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DB1AC" w14:textId="0B03DC8D" w:rsidR="006B087E" w:rsidRPr="00726D52" w:rsidRDefault="0016503D" w:rsidP="00DE2E7A">
      <w:pPr>
        <w:pStyle w:val="Pagedecouverture"/>
        <w:rPr>
          <w:noProof/>
        </w:rPr>
      </w:pPr>
      <w:bookmarkStart w:id="0" w:name="LW_BM_COVERPAGE"/>
      <w:r>
        <w:rPr>
          <w:noProof/>
        </w:rPr>
        <w:pict w14:anchorId="07B4C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5CF10F1-AEFA-430A-A3AA-6E738A86EA85" style="width:454.9pt;height:479.45pt">
            <v:imagedata r:id="rId11" o:title=""/>
          </v:shape>
        </w:pict>
      </w:r>
    </w:p>
    <w:bookmarkEnd w:id="0"/>
    <w:p w14:paraId="63260D17" w14:textId="77777777" w:rsidR="006B087E" w:rsidRPr="00726D52" w:rsidRDefault="006B087E" w:rsidP="000E3086">
      <w:pPr>
        <w:pStyle w:val="TOCHeading"/>
        <w:rPr>
          <w:noProof/>
        </w:rPr>
        <w:sectPr w:rsidR="006B087E" w:rsidRPr="00726D52" w:rsidSect="00DE2E7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5D12411" w14:textId="77777777" w:rsidR="006B087E" w:rsidRPr="00726D52" w:rsidRDefault="006B087E" w:rsidP="000E3086">
      <w:pPr>
        <w:pStyle w:val="TOCHeading"/>
        <w:rPr>
          <w:noProof/>
        </w:rPr>
      </w:pPr>
      <w:r w:rsidRPr="00726D52">
        <w:rPr>
          <w:noProof/>
        </w:rPr>
        <w:lastRenderedPageBreak/>
        <w:t>Table of contents</w:t>
      </w:r>
    </w:p>
    <w:p w14:paraId="77A41C17" w14:textId="4571D88E" w:rsidR="001E049F" w:rsidRPr="00726D52" w:rsidRDefault="006B087E">
      <w:pPr>
        <w:pStyle w:val="TOC1"/>
        <w:rPr>
          <w:rFonts w:asciiTheme="minorHAnsi" w:eastAsiaTheme="minorEastAsia" w:hAnsiTheme="minorHAnsi" w:cstheme="minorBidi"/>
          <w:caps w:val="0"/>
          <w:noProof/>
          <w:kern w:val="2"/>
          <w:sz w:val="24"/>
          <w:szCs w:val="24"/>
          <w:lang w:eastAsia="ja-JP"/>
          <w14:ligatures w14:val="standardContextual"/>
        </w:rPr>
      </w:pPr>
      <w:r w:rsidRPr="00726D52">
        <w:rPr>
          <w:noProof/>
        </w:rPr>
        <w:fldChar w:fldCharType="begin"/>
      </w:r>
      <w:r w:rsidRPr="00726D52">
        <w:rPr>
          <w:noProof/>
        </w:rPr>
        <w:instrText xml:space="preserve"> TOC \o "1-1" \h \z \t "Heading 2;2;Heading 3;3;Annex Title;1" </w:instrText>
      </w:r>
      <w:r w:rsidRPr="00726D52">
        <w:rPr>
          <w:noProof/>
        </w:rPr>
        <w:fldChar w:fldCharType="separate"/>
      </w:r>
      <w:hyperlink w:anchor="_Toc224614029" w:history="1">
        <w:r w:rsidR="001E049F" w:rsidRPr="00726D52">
          <w:rPr>
            <w:rStyle w:val="Hyperlink"/>
            <w:noProof/>
          </w:rPr>
          <w:t>1.</w:t>
        </w:r>
        <w:r w:rsidR="001E049F" w:rsidRPr="00726D52">
          <w:rPr>
            <w:rFonts w:asciiTheme="minorHAnsi" w:eastAsiaTheme="minorEastAsia" w:hAnsiTheme="minorHAnsi" w:cstheme="minorBidi"/>
            <w:caps w:val="0"/>
            <w:noProof/>
            <w:kern w:val="2"/>
            <w:sz w:val="24"/>
            <w:szCs w:val="24"/>
            <w:lang w:eastAsia="ja-JP"/>
            <w14:ligatures w14:val="standardContextual"/>
          </w:rPr>
          <w:tab/>
        </w:r>
        <w:r w:rsidR="001E049F" w:rsidRPr="00726D52">
          <w:rPr>
            <w:rStyle w:val="Hyperlink"/>
            <w:noProof/>
          </w:rPr>
          <w:t>Introduction: Political and legal context</w:t>
        </w:r>
        <w:r w:rsidR="001E049F" w:rsidRPr="00726D52">
          <w:rPr>
            <w:noProof/>
            <w:webHidden/>
          </w:rPr>
          <w:tab/>
        </w:r>
        <w:r w:rsidR="001E049F" w:rsidRPr="00726D52">
          <w:rPr>
            <w:noProof/>
            <w:webHidden/>
          </w:rPr>
          <w:fldChar w:fldCharType="begin"/>
        </w:r>
        <w:r w:rsidR="001E049F" w:rsidRPr="00726D52">
          <w:rPr>
            <w:noProof/>
            <w:webHidden/>
          </w:rPr>
          <w:instrText xml:space="preserve"> PAGEREF _Toc224614029 \h </w:instrText>
        </w:r>
        <w:r w:rsidR="001E049F" w:rsidRPr="00726D52">
          <w:rPr>
            <w:noProof/>
            <w:webHidden/>
          </w:rPr>
        </w:r>
        <w:r w:rsidR="001E049F" w:rsidRPr="00726D52">
          <w:rPr>
            <w:noProof/>
            <w:webHidden/>
          </w:rPr>
          <w:fldChar w:fldCharType="separate"/>
        </w:r>
        <w:r w:rsidR="001E049F" w:rsidRPr="00726D52">
          <w:rPr>
            <w:noProof/>
            <w:webHidden/>
          </w:rPr>
          <w:t>6</w:t>
        </w:r>
        <w:r w:rsidR="001E049F" w:rsidRPr="00726D52">
          <w:rPr>
            <w:noProof/>
            <w:webHidden/>
          </w:rPr>
          <w:fldChar w:fldCharType="end"/>
        </w:r>
      </w:hyperlink>
    </w:p>
    <w:p w14:paraId="6DD68F92" w14:textId="4493E1A1"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0" w:history="1">
        <w:r w:rsidRPr="00726D52">
          <w:rPr>
            <w:rStyle w:val="Hyperlink"/>
            <w:noProof/>
          </w:rPr>
          <w:t>2.</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Problem definition</w:t>
        </w:r>
        <w:r w:rsidRPr="00726D52">
          <w:rPr>
            <w:noProof/>
            <w:webHidden/>
          </w:rPr>
          <w:tab/>
        </w:r>
        <w:r w:rsidRPr="00726D52">
          <w:rPr>
            <w:noProof/>
            <w:webHidden/>
          </w:rPr>
          <w:fldChar w:fldCharType="begin"/>
        </w:r>
        <w:r w:rsidRPr="00726D52">
          <w:rPr>
            <w:noProof/>
            <w:webHidden/>
          </w:rPr>
          <w:instrText xml:space="preserve"> PAGEREF _Toc224614030 \h </w:instrText>
        </w:r>
        <w:r w:rsidRPr="00726D52">
          <w:rPr>
            <w:noProof/>
            <w:webHidden/>
          </w:rPr>
        </w:r>
        <w:r w:rsidRPr="00726D52">
          <w:rPr>
            <w:noProof/>
            <w:webHidden/>
          </w:rPr>
          <w:fldChar w:fldCharType="separate"/>
        </w:r>
        <w:r w:rsidRPr="00726D52">
          <w:rPr>
            <w:noProof/>
            <w:webHidden/>
          </w:rPr>
          <w:t>9</w:t>
        </w:r>
        <w:r w:rsidRPr="00726D52">
          <w:rPr>
            <w:noProof/>
            <w:webHidden/>
          </w:rPr>
          <w:fldChar w:fldCharType="end"/>
        </w:r>
      </w:hyperlink>
    </w:p>
    <w:p w14:paraId="5B4EBF8F" w14:textId="580DEC7F"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1" w:history="1">
        <w:r w:rsidRPr="00726D52">
          <w:rPr>
            <w:rStyle w:val="Hyperlink"/>
            <w:noProof/>
          </w:rPr>
          <w:t>3.</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Why should the EU act?</w:t>
        </w:r>
        <w:r w:rsidRPr="00726D52">
          <w:rPr>
            <w:noProof/>
            <w:webHidden/>
          </w:rPr>
          <w:tab/>
        </w:r>
        <w:r w:rsidRPr="00726D52">
          <w:rPr>
            <w:noProof/>
            <w:webHidden/>
          </w:rPr>
          <w:fldChar w:fldCharType="begin"/>
        </w:r>
        <w:r w:rsidRPr="00726D52">
          <w:rPr>
            <w:noProof/>
            <w:webHidden/>
          </w:rPr>
          <w:instrText xml:space="preserve"> PAGEREF _Toc224614031 \h </w:instrText>
        </w:r>
        <w:r w:rsidRPr="00726D52">
          <w:rPr>
            <w:noProof/>
            <w:webHidden/>
          </w:rPr>
        </w:r>
        <w:r w:rsidRPr="00726D52">
          <w:rPr>
            <w:noProof/>
            <w:webHidden/>
          </w:rPr>
          <w:fldChar w:fldCharType="separate"/>
        </w:r>
        <w:r w:rsidRPr="00726D52">
          <w:rPr>
            <w:noProof/>
            <w:webHidden/>
          </w:rPr>
          <w:t>20</w:t>
        </w:r>
        <w:r w:rsidRPr="00726D52">
          <w:rPr>
            <w:noProof/>
            <w:webHidden/>
          </w:rPr>
          <w:fldChar w:fldCharType="end"/>
        </w:r>
      </w:hyperlink>
    </w:p>
    <w:p w14:paraId="7717C3F6" w14:textId="3384A162"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2" w:history="1">
        <w:r w:rsidRPr="00726D52">
          <w:rPr>
            <w:rStyle w:val="Hyperlink"/>
            <w:noProof/>
          </w:rPr>
          <w:t>4.</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Objectives: What is to be achieved?</w:t>
        </w:r>
        <w:r w:rsidRPr="00726D52">
          <w:rPr>
            <w:noProof/>
            <w:webHidden/>
          </w:rPr>
          <w:tab/>
        </w:r>
        <w:r w:rsidRPr="00726D52">
          <w:rPr>
            <w:noProof/>
            <w:webHidden/>
          </w:rPr>
          <w:fldChar w:fldCharType="begin"/>
        </w:r>
        <w:r w:rsidRPr="00726D52">
          <w:rPr>
            <w:noProof/>
            <w:webHidden/>
          </w:rPr>
          <w:instrText xml:space="preserve"> PAGEREF _Toc224614032 \h </w:instrText>
        </w:r>
        <w:r w:rsidRPr="00726D52">
          <w:rPr>
            <w:noProof/>
            <w:webHidden/>
          </w:rPr>
        </w:r>
        <w:r w:rsidRPr="00726D52">
          <w:rPr>
            <w:noProof/>
            <w:webHidden/>
          </w:rPr>
          <w:fldChar w:fldCharType="separate"/>
        </w:r>
        <w:r w:rsidRPr="00726D52">
          <w:rPr>
            <w:noProof/>
            <w:webHidden/>
          </w:rPr>
          <w:t>22</w:t>
        </w:r>
        <w:r w:rsidRPr="00726D52">
          <w:rPr>
            <w:noProof/>
            <w:webHidden/>
          </w:rPr>
          <w:fldChar w:fldCharType="end"/>
        </w:r>
      </w:hyperlink>
    </w:p>
    <w:p w14:paraId="65C5AD99" w14:textId="079C2CEA"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4" w:history="1">
        <w:r w:rsidRPr="00726D52">
          <w:rPr>
            <w:rStyle w:val="Hyperlink"/>
            <w:noProof/>
          </w:rPr>
          <w:t>5.</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What are the available policy options?</w:t>
        </w:r>
        <w:r w:rsidRPr="00726D52">
          <w:rPr>
            <w:noProof/>
            <w:webHidden/>
          </w:rPr>
          <w:tab/>
        </w:r>
        <w:r w:rsidRPr="00726D52">
          <w:rPr>
            <w:noProof/>
            <w:webHidden/>
          </w:rPr>
          <w:fldChar w:fldCharType="begin"/>
        </w:r>
        <w:r w:rsidRPr="00726D52">
          <w:rPr>
            <w:noProof/>
            <w:webHidden/>
          </w:rPr>
          <w:instrText xml:space="preserve"> PAGEREF _Toc224614034 \h </w:instrText>
        </w:r>
        <w:r w:rsidRPr="00726D52">
          <w:rPr>
            <w:noProof/>
            <w:webHidden/>
          </w:rPr>
        </w:r>
        <w:r w:rsidRPr="00726D52">
          <w:rPr>
            <w:noProof/>
            <w:webHidden/>
          </w:rPr>
          <w:fldChar w:fldCharType="separate"/>
        </w:r>
        <w:r w:rsidRPr="00726D52">
          <w:rPr>
            <w:noProof/>
            <w:webHidden/>
          </w:rPr>
          <w:t>24</w:t>
        </w:r>
        <w:r w:rsidRPr="00726D52">
          <w:rPr>
            <w:noProof/>
            <w:webHidden/>
          </w:rPr>
          <w:fldChar w:fldCharType="end"/>
        </w:r>
      </w:hyperlink>
    </w:p>
    <w:p w14:paraId="6BA1C2E3" w14:textId="2F751DA4"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5" w:history="1">
        <w:r w:rsidRPr="00726D52">
          <w:rPr>
            <w:rStyle w:val="Hyperlink"/>
            <w:noProof/>
          </w:rPr>
          <w:t>6.</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WHAT ARE THE IMPACTS OF THE POLICY OPTIONS?</w:t>
        </w:r>
        <w:r w:rsidRPr="00726D52">
          <w:rPr>
            <w:noProof/>
            <w:webHidden/>
          </w:rPr>
          <w:tab/>
        </w:r>
        <w:r w:rsidRPr="00726D52">
          <w:rPr>
            <w:noProof/>
            <w:webHidden/>
          </w:rPr>
          <w:fldChar w:fldCharType="begin"/>
        </w:r>
        <w:r w:rsidRPr="00726D52">
          <w:rPr>
            <w:noProof/>
            <w:webHidden/>
          </w:rPr>
          <w:instrText xml:space="preserve"> PAGEREF _Toc224614035 \h </w:instrText>
        </w:r>
        <w:r w:rsidRPr="00726D52">
          <w:rPr>
            <w:noProof/>
            <w:webHidden/>
          </w:rPr>
        </w:r>
        <w:r w:rsidRPr="00726D52">
          <w:rPr>
            <w:noProof/>
            <w:webHidden/>
          </w:rPr>
          <w:fldChar w:fldCharType="separate"/>
        </w:r>
        <w:r w:rsidRPr="00726D52">
          <w:rPr>
            <w:noProof/>
            <w:webHidden/>
          </w:rPr>
          <w:t>37</w:t>
        </w:r>
        <w:r w:rsidRPr="00726D52">
          <w:rPr>
            <w:noProof/>
            <w:webHidden/>
          </w:rPr>
          <w:fldChar w:fldCharType="end"/>
        </w:r>
      </w:hyperlink>
    </w:p>
    <w:p w14:paraId="37BE656B" w14:textId="609B1B7D"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6" w:history="1">
        <w:r w:rsidRPr="00726D52">
          <w:rPr>
            <w:rStyle w:val="Hyperlink"/>
            <w:noProof/>
          </w:rPr>
          <w:t>7</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How do the options compare?</w:t>
        </w:r>
        <w:r w:rsidRPr="00726D52">
          <w:rPr>
            <w:noProof/>
            <w:webHidden/>
          </w:rPr>
          <w:tab/>
        </w:r>
        <w:r w:rsidRPr="00726D52">
          <w:rPr>
            <w:noProof/>
            <w:webHidden/>
          </w:rPr>
          <w:fldChar w:fldCharType="begin"/>
        </w:r>
        <w:r w:rsidRPr="00726D52">
          <w:rPr>
            <w:noProof/>
            <w:webHidden/>
          </w:rPr>
          <w:instrText xml:space="preserve"> PAGEREF _Toc224614036 \h </w:instrText>
        </w:r>
        <w:r w:rsidRPr="00726D52">
          <w:rPr>
            <w:noProof/>
            <w:webHidden/>
          </w:rPr>
        </w:r>
        <w:r w:rsidRPr="00726D52">
          <w:rPr>
            <w:noProof/>
            <w:webHidden/>
          </w:rPr>
          <w:fldChar w:fldCharType="separate"/>
        </w:r>
        <w:r w:rsidRPr="00726D52">
          <w:rPr>
            <w:noProof/>
            <w:webHidden/>
          </w:rPr>
          <w:t>44</w:t>
        </w:r>
        <w:r w:rsidRPr="00726D52">
          <w:rPr>
            <w:noProof/>
            <w:webHidden/>
          </w:rPr>
          <w:fldChar w:fldCharType="end"/>
        </w:r>
      </w:hyperlink>
    </w:p>
    <w:p w14:paraId="1E458387" w14:textId="28AF4E0D"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7" w:history="1">
        <w:r w:rsidRPr="00726D52">
          <w:rPr>
            <w:rStyle w:val="Hyperlink"/>
            <w:noProof/>
          </w:rPr>
          <w:t>8</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Preferred option</w:t>
        </w:r>
        <w:r w:rsidRPr="00726D52">
          <w:rPr>
            <w:noProof/>
            <w:webHidden/>
          </w:rPr>
          <w:tab/>
        </w:r>
        <w:r w:rsidRPr="00726D52">
          <w:rPr>
            <w:noProof/>
            <w:webHidden/>
          </w:rPr>
          <w:fldChar w:fldCharType="begin"/>
        </w:r>
        <w:r w:rsidRPr="00726D52">
          <w:rPr>
            <w:noProof/>
            <w:webHidden/>
          </w:rPr>
          <w:instrText xml:space="preserve"> PAGEREF _Toc224614037 \h </w:instrText>
        </w:r>
        <w:r w:rsidRPr="00726D52">
          <w:rPr>
            <w:noProof/>
            <w:webHidden/>
          </w:rPr>
        </w:r>
        <w:r w:rsidRPr="00726D52">
          <w:rPr>
            <w:noProof/>
            <w:webHidden/>
          </w:rPr>
          <w:fldChar w:fldCharType="separate"/>
        </w:r>
        <w:r w:rsidRPr="00726D52">
          <w:rPr>
            <w:noProof/>
            <w:webHidden/>
          </w:rPr>
          <w:t>47</w:t>
        </w:r>
        <w:r w:rsidRPr="00726D52">
          <w:rPr>
            <w:noProof/>
            <w:webHidden/>
          </w:rPr>
          <w:fldChar w:fldCharType="end"/>
        </w:r>
      </w:hyperlink>
    </w:p>
    <w:p w14:paraId="6BD39AB9" w14:textId="2FEB382B"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8" w:history="1">
        <w:r w:rsidRPr="00726D52">
          <w:rPr>
            <w:rStyle w:val="Hyperlink"/>
            <w:noProof/>
          </w:rPr>
          <w:t>9. How will actual impacts be monitored and evaluated?</w:t>
        </w:r>
        <w:r w:rsidRPr="00726D52">
          <w:rPr>
            <w:noProof/>
            <w:webHidden/>
          </w:rPr>
          <w:tab/>
        </w:r>
        <w:r w:rsidRPr="00726D52">
          <w:rPr>
            <w:noProof/>
            <w:webHidden/>
          </w:rPr>
          <w:fldChar w:fldCharType="begin"/>
        </w:r>
        <w:r w:rsidRPr="00726D52">
          <w:rPr>
            <w:noProof/>
            <w:webHidden/>
          </w:rPr>
          <w:instrText xml:space="preserve"> PAGEREF _Toc224614038 \h </w:instrText>
        </w:r>
        <w:r w:rsidRPr="00726D52">
          <w:rPr>
            <w:noProof/>
            <w:webHidden/>
          </w:rPr>
        </w:r>
        <w:r w:rsidRPr="00726D52">
          <w:rPr>
            <w:noProof/>
            <w:webHidden/>
          </w:rPr>
          <w:fldChar w:fldCharType="separate"/>
        </w:r>
        <w:r w:rsidRPr="00726D52">
          <w:rPr>
            <w:noProof/>
            <w:webHidden/>
          </w:rPr>
          <w:t>52</w:t>
        </w:r>
        <w:r w:rsidRPr="00726D52">
          <w:rPr>
            <w:noProof/>
            <w:webHidden/>
          </w:rPr>
          <w:fldChar w:fldCharType="end"/>
        </w:r>
      </w:hyperlink>
    </w:p>
    <w:p w14:paraId="2FE38C64" w14:textId="5EB9D27E"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39" w:history="1">
        <w:r w:rsidRPr="00726D52">
          <w:rPr>
            <w:rStyle w:val="Hyperlink"/>
            <w:noProof/>
          </w:rPr>
          <w:t>Annex 1: Procedural information</w:t>
        </w:r>
        <w:r w:rsidRPr="00726D52">
          <w:rPr>
            <w:noProof/>
            <w:webHidden/>
          </w:rPr>
          <w:tab/>
        </w:r>
        <w:r w:rsidRPr="00726D52">
          <w:rPr>
            <w:noProof/>
            <w:webHidden/>
          </w:rPr>
          <w:fldChar w:fldCharType="begin"/>
        </w:r>
        <w:r w:rsidRPr="00726D52">
          <w:rPr>
            <w:noProof/>
            <w:webHidden/>
          </w:rPr>
          <w:instrText xml:space="preserve"> PAGEREF _Toc224614039 \h </w:instrText>
        </w:r>
        <w:r w:rsidRPr="00726D52">
          <w:rPr>
            <w:noProof/>
            <w:webHidden/>
          </w:rPr>
        </w:r>
        <w:r w:rsidRPr="00726D52">
          <w:rPr>
            <w:noProof/>
            <w:webHidden/>
          </w:rPr>
          <w:fldChar w:fldCharType="separate"/>
        </w:r>
        <w:r w:rsidRPr="00726D52">
          <w:rPr>
            <w:noProof/>
            <w:webHidden/>
          </w:rPr>
          <w:t>53</w:t>
        </w:r>
        <w:r w:rsidRPr="00726D52">
          <w:rPr>
            <w:noProof/>
            <w:webHidden/>
          </w:rPr>
          <w:fldChar w:fldCharType="end"/>
        </w:r>
      </w:hyperlink>
    </w:p>
    <w:p w14:paraId="478DA26F" w14:textId="6DF7B4AE"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0" w:history="1">
        <w:r w:rsidRPr="00726D52">
          <w:rPr>
            <w:rStyle w:val="Hyperlink"/>
            <w:noProof/>
          </w:rPr>
          <w:t>Lead DG, D</w:t>
        </w:r>
        <w:r w:rsidRPr="00726D52">
          <w:rPr>
            <w:rStyle w:val="Hyperlink"/>
            <w:i/>
            <w:noProof/>
          </w:rPr>
          <w:t>e</w:t>
        </w:r>
        <w:r w:rsidRPr="00726D52">
          <w:rPr>
            <w:rStyle w:val="Hyperlink"/>
            <w:noProof/>
          </w:rPr>
          <w:t>cide Planning/CWP references</w:t>
        </w:r>
        <w:r w:rsidRPr="00726D52">
          <w:rPr>
            <w:noProof/>
            <w:webHidden/>
          </w:rPr>
          <w:tab/>
        </w:r>
        <w:r w:rsidRPr="00726D52">
          <w:rPr>
            <w:noProof/>
            <w:webHidden/>
          </w:rPr>
          <w:fldChar w:fldCharType="begin"/>
        </w:r>
        <w:r w:rsidRPr="00726D52">
          <w:rPr>
            <w:noProof/>
            <w:webHidden/>
          </w:rPr>
          <w:instrText xml:space="preserve"> PAGEREF _Toc224614040 \h </w:instrText>
        </w:r>
        <w:r w:rsidRPr="00726D52">
          <w:rPr>
            <w:noProof/>
            <w:webHidden/>
          </w:rPr>
        </w:r>
        <w:r w:rsidRPr="00726D52">
          <w:rPr>
            <w:noProof/>
            <w:webHidden/>
          </w:rPr>
          <w:fldChar w:fldCharType="separate"/>
        </w:r>
        <w:r w:rsidRPr="00726D52">
          <w:rPr>
            <w:noProof/>
            <w:webHidden/>
          </w:rPr>
          <w:t>53</w:t>
        </w:r>
        <w:r w:rsidRPr="00726D52">
          <w:rPr>
            <w:noProof/>
            <w:webHidden/>
          </w:rPr>
          <w:fldChar w:fldCharType="end"/>
        </w:r>
      </w:hyperlink>
    </w:p>
    <w:p w14:paraId="1F9D4874" w14:textId="483072E0"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1" w:history="1">
        <w:r w:rsidRPr="00726D52">
          <w:rPr>
            <w:rStyle w:val="Hyperlink"/>
            <w:noProof/>
          </w:rPr>
          <w:t>Organisation and timing</w:t>
        </w:r>
        <w:r w:rsidRPr="00726D52">
          <w:rPr>
            <w:noProof/>
            <w:webHidden/>
          </w:rPr>
          <w:tab/>
        </w:r>
        <w:r w:rsidRPr="00726D52">
          <w:rPr>
            <w:noProof/>
            <w:webHidden/>
          </w:rPr>
          <w:fldChar w:fldCharType="begin"/>
        </w:r>
        <w:r w:rsidRPr="00726D52">
          <w:rPr>
            <w:noProof/>
            <w:webHidden/>
          </w:rPr>
          <w:instrText xml:space="preserve"> PAGEREF _Toc224614041 \h </w:instrText>
        </w:r>
        <w:r w:rsidRPr="00726D52">
          <w:rPr>
            <w:noProof/>
            <w:webHidden/>
          </w:rPr>
        </w:r>
        <w:r w:rsidRPr="00726D52">
          <w:rPr>
            <w:noProof/>
            <w:webHidden/>
          </w:rPr>
          <w:fldChar w:fldCharType="separate"/>
        </w:r>
        <w:r w:rsidRPr="00726D52">
          <w:rPr>
            <w:noProof/>
            <w:webHidden/>
          </w:rPr>
          <w:t>53</w:t>
        </w:r>
        <w:r w:rsidRPr="00726D52">
          <w:rPr>
            <w:noProof/>
            <w:webHidden/>
          </w:rPr>
          <w:fldChar w:fldCharType="end"/>
        </w:r>
      </w:hyperlink>
    </w:p>
    <w:p w14:paraId="6FF15298" w14:textId="600D04E2"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2" w:history="1">
        <w:r w:rsidRPr="00726D52">
          <w:rPr>
            <w:rStyle w:val="Hyperlink"/>
            <w:noProof/>
          </w:rPr>
          <w:t>Consultation of the RSB</w:t>
        </w:r>
        <w:r w:rsidRPr="00726D52">
          <w:rPr>
            <w:noProof/>
            <w:webHidden/>
          </w:rPr>
          <w:tab/>
        </w:r>
        <w:r w:rsidRPr="00726D52">
          <w:rPr>
            <w:noProof/>
            <w:webHidden/>
          </w:rPr>
          <w:fldChar w:fldCharType="begin"/>
        </w:r>
        <w:r w:rsidRPr="00726D52">
          <w:rPr>
            <w:noProof/>
            <w:webHidden/>
          </w:rPr>
          <w:instrText xml:space="preserve"> PAGEREF _Toc224614042 \h </w:instrText>
        </w:r>
        <w:r w:rsidRPr="00726D52">
          <w:rPr>
            <w:noProof/>
            <w:webHidden/>
          </w:rPr>
        </w:r>
        <w:r w:rsidRPr="00726D52">
          <w:rPr>
            <w:noProof/>
            <w:webHidden/>
          </w:rPr>
          <w:fldChar w:fldCharType="separate"/>
        </w:r>
        <w:r w:rsidRPr="00726D52">
          <w:rPr>
            <w:noProof/>
            <w:webHidden/>
          </w:rPr>
          <w:t>54</w:t>
        </w:r>
        <w:r w:rsidRPr="00726D52">
          <w:rPr>
            <w:noProof/>
            <w:webHidden/>
          </w:rPr>
          <w:fldChar w:fldCharType="end"/>
        </w:r>
      </w:hyperlink>
    </w:p>
    <w:p w14:paraId="17FA83DD" w14:textId="6DB8E020"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3" w:history="1">
        <w:r w:rsidRPr="00726D52">
          <w:rPr>
            <w:rStyle w:val="Hyperlink"/>
            <w:noProof/>
          </w:rPr>
          <w:t>Evidence, sources and quality</w:t>
        </w:r>
        <w:r w:rsidRPr="00726D52">
          <w:rPr>
            <w:noProof/>
            <w:webHidden/>
          </w:rPr>
          <w:tab/>
        </w:r>
        <w:r w:rsidRPr="00726D52">
          <w:rPr>
            <w:noProof/>
            <w:webHidden/>
          </w:rPr>
          <w:fldChar w:fldCharType="begin"/>
        </w:r>
        <w:r w:rsidRPr="00726D52">
          <w:rPr>
            <w:noProof/>
            <w:webHidden/>
          </w:rPr>
          <w:instrText xml:space="preserve"> PAGEREF _Toc224614043 \h </w:instrText>
        </w:r>
        <w:r w:rsidRPr="00726D52">
          <w:rPr>
            <w:noProof/>
            <w:webHidden/>
          </w:rPr>
        </w:r>
        <w:r w:rsidRPr="00726D52">
          <w:rPr>
            <w:noProof/>
            <w:webHidden/>
          </w:rPr>
          <w:fldChar w:fldCharType="separate"/>
        </w:r>
        <w:r w:rsidRPr="00726D52">
          <w:rPr>
            <w:noProof/>
            <w:webHidden/>
          </w:rPr>
          <w:t>54</w:t>
        </w:r>
        <w:r w:rsidRPr="00726D52">
          <w:rPr>
            <w:noProof/>
            <w:webHidden/>
          </w:rPr>
          <w:fldChar w:fldCharType="end"/>
        </w:r>
      </w:hyperlink>
    </w:p>
    <w:p w14:paraId="00A16578" w14:textId="542B655A"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4" w:history="1">
        <w:r w:rsidRPr="00726D52">
          <w:rPr>
            <w:rStyle w:val="Hyperlink"/>
            <w:noProof/>
          </w:rPr>
          <w:t>Annex 2: Stakeholder consultation (Synopsis report)</w:t>
        </w:r>
        <w:r w:rsidRPr="00726D52">
          <w:rPr>
            <w:noProof/>
            <w:webHidden/>
          </w:rPr>
          <w:tab/>
        </w:r>
        <w:r w:rsidRPr="00726D52">
          <w:rPr>
            <w:noProof/>
            <w:webHidden/>
          </w:rPr>
          <w:fldChar w:fldCharType="begin"/>
        </w:r>
        <w:r w:rsidRPr="00726D52">
          <w:rPr>
            <w:noProof/>
            <w:webHidden/>
          </w:rPr>
          <w:instrText xml:space="preserve"> PAGEREF _Toc224614044 \h </w:instrText>
        </w:r>
        <w:r w:rsidRPr="00726D52">
          <w:rPr>
            <w:noProof/>
            <w:webHidden/>
          </w:rPr>
        </w:r>
        <w:r w:rsidRPr="00726D52">
          <w:rPr>
            <w:noProof/>
            <w:webHidden/>
          </w:rPr>
          <w:fldChar w:fldCharType="separate"/>
        </w:r>
        <w:r w:rsidRPr="00726D52">
          <w:rPr>
            <w:noProof/>
            <w:webHidden/>
          </w:rPr>
          <w:t>55</w:t>
        </w:r>
        <w:r w:rsidRPr="00726D52">
          <w:rPr>
            <w:noProof/>
            <w:webHidden/>
          </w:rPr>
          <w:fldChar w:fldCharType="end"/>
        </w:r>
      </w:hyperlink>
    </w:p>
    <w:p w14:paraId="4ABE5834" w14:textId="5B21D603"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5" w:history="1">
        <w:r w:rsidRPr="00726D52">
          <w:rPr>
            <w:rStyle w:val="Hyperlink"/>
            <w:noProof/>
          </w:rPr>
          <w:t>Annex 3: Who is affected and how?</w:t>
        </w:r>
        <w:r w:rsidRPr="00726D52">
          <w:rPr>
            <w:noProof/>
            <w:webHidden/>
          </w:rPr>
          <w:tab/>
        </w:r>
        <w:r w:rsidRPr="00726D52">
          <w:rPr>
            <w:noProof/>
            <w:webHidden/>
          </w:rPr>
          <w:fldChar w:fldCharType="begin"/>
        </w:r>
        <w:r w:rsidRPr="00726D52">
          <w:rPr>
            <w:noProof/>
            <w:webHidden/>
          </w:rPr>
          <w:instrText xml:space="preserve"> PAGEREF _Toc224614045 \h </w:instrText>
        </w:r>
        <w:r w:rsidRPr="00726D52">
          <w:rPr>
            <w:noProof/>
            <w:webHidden/>
          </w:rPr>
        </w:r>
        <w:r w:rsidRPr="00726D52">
          <w:rPr>
            <w:noProof/>
            <w:webHidden/>
          </w:rPr>
          <w:fldChar w:fldCharType="separate"/>
        </w:r>
        <w:r w:rsidRPr="00726D52">
          <w:rPr>
            <w:noProof/>
            <w:webHidden/>
          </w:rPr>
          <w:t>71</w:t>
        </w:r>
        <w:r w:rsidRPr="00726D52">
          <w:rPr>
            <w:noProof/>
            <w:webHidden/>
          </w:rPr>
          <w:fldChar w:fldCharType="end"/>
        </w:r>
      </w:hyperlink>
    </w:p>
    <w:p w14:paraId="034A91CC" w14:textId="1D4BE212"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6" w:history="1">
        <w:r w:rsidRPr="00726D52">
          <w:rPr>
            <w:rStyle w:val="Hyperlink"/>
            <w:bCs/>
            <w:noProof/>
          </w:rPr>
          <w:t>1.</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bCs/>
            <w:noProof/>
          </w:rPr>
          <w:t>Practical implications of the initiative</w:t>
        </w:r>
        <w:r w:rsidRPr="00726D52">
          <w:rPr>
            <w:noProof/>
            <w:webHidden/>
          </w:rPr>
          <w:tab/>
        </w:r>
        <w:r w:rsidRPr="00726D52">
          <w:rPr>
            <w:noProof/>
            <w:webHidden/>
          </w:rPr>
          <w:fldChar w:fldCharType="begin"/>
        </w:r>
        <w:r w:rsidRPr="00726D52">
          <w:rPr>
            <w:noProof/>
            <w:webHidden/>
          </w:rPr>
          <w:instrText xml:space="preserve"> PAGEREF _Toc224614046 \h </w:instrText>
        </w:r>
        <w:r w:rsidRPr="00726D52">
          <w:rPr>
            <w:noProof/>
            <w:webHidden/>
          </w:rPr>
        </w:r>
        <w:r w:rsidRPr="00726D52">
          <w:rPr>
            <w:noProof/>
            <w:webHidden/>
          </w:rPr>
          <w:fldChar w:fldCharType="separate"/>
        </w:r>
        <w:r w:rsidRPr="00726D52">
          <w:rPr>
            <w:noProof/>
            <w:webHidden/>
          </w:rPr>
          <w:t>71</w:t>
        </w:r>
        <w:r w:rsidRPr="00726D52">
          <w:rPr>
            <w:noProof/>
            <w:webHidden/>
          </w:rPr>
          <w:fldChar w:fldCharType="end"/>
        </w:r>
      </w:hyperlink>
    </w:p>
    <w:p w14:paraId="5EC7E1F3" w14:textId="611D5E3F"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7" w:history="1">
        <w:r w:rsidRPr="00726D52">
          <w:rPr>
            <w:rStyle w:val="Hyperlink"/>
            <w:bCs/>
            <w:noProof/>
          </w:rPr>
          <w:t>2.</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bCs/>
            <w:noProof/>
          </w:rPr>
          <w:t>Summary of costs and benefits</w:t>
        </w:r>
        <w:r w:rsidRPr="00726D52">
          <w:rPr>
            <w:noProof/>
            <w:webHidden/>
          </w:rPr>
          <w:tab/>
        </w:r>
        <w:r w:rsidRPr="00726D52">
          <w:rPr>
            <w:noProof/>
            <w:webHidden/>
          </w:rPr>
          <w:fldChar w:fldCharType="begin"/>
        </w:r>
        <w:r w:rsidRPr="00726D52">
          <w:rPr>
            <w:noProof/>
            <w:webHidden/>
          </w:rPr>
          <w:instrText xml:space="preserve"> PAGEREF _Toc224614047 \h </w:instrText>
        </w:r>
        <w:r w:rsidRPr="00726D52">
          <w:rPr>
            <w:noProof/>
            <w:webHidden/>
          </w:rPr>
        </w:r>
        <w:r w:rsidRPr="00726D52">
          <w:rPr>
            <w:noProof/>
            <w:webHidden/>
          </w:rPr>
          <w:fldChar w:fldCharType="separate"/>
        </w:r>
        <w:r w:rsidRPr="00726D52">
          <w:rPr>
            <w:noProof/>
            <w:webHidden/>
          </w:rPr>
          <w:t>72</w:t>
        </w:r>
        <w:r w:rsidRPr="00726D52">
          <w:rPr>
            <w:noProof/>
            <w:webHidden/>
          </w:rPr>
          <w:fldChar w:fldCharType="end"/>
        </w:r>
      </w:hyperlink>
    </w:p>
    <w:p w14:paraId="353412E1" w14:textId="55CBA90A"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8" w:history="1">
        <w:r w:rsidRPr="00726D52">
          <w:rPr>
            <w:rStyle w:val="Hyperlink"/>
            <w:bCs/>
            <w:noProof/>
          </w:rPr>
          <w:t>3.</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bCs/>
            <w:noProof/>
          </w:rPr>
          <w:t>Relevant sustainable development goals</w:t>
        </w:r>
        <w:r w:rsidRPr="00726D52">
          <w:rPr>
            <w:noProof/>
            <w:webHidden/>
          </w:rPr>
          <w:tab/>
        </w:r>
        <w:r w:rsidRPr="00726D52">
          <w:rPr>
            <w:noProof/>
            <w:webHidden/>
          </w:rPr>
          <w:fldChar w:fldCharType="begin"/>
        </w:r>
        <w:r w:rsidRPr="00726D52">
          <w:rPr>
            <w:noProof/>
            <w:webHidden/>
          </w:rPr>
          <w:instrText xml:space="preserve"> PAGEREF _Toc224614048 \h </w:instrText>
        </w:r>
        <w:r w:rsidRPr="00726D52">
          <w:rPr>
            <w:noProof/>
            <w:webHidden/>
          </w:rPr>
        </w:r>
        <w:r w:rsidRPr="00726D52">
          <w:rPr>
            <w:noProof/>
            <w:webHidden/>
          </w:rPr>
          <w:fldChar w:fldCharType="separate"/>
        </w:r>
        <w:r w:rsidRPr="00726D52">
          <w:rPr>
            <w:noProof/>
            <w:webHidden/>
          </w:rPr>
          <w:t>92</w:t>
        </w:r>
        <w:r w:rsidRPr="00726D52">
          <w:rPr>
            <w:noProof/>
            <w:webHidden/>
          </w:rPr>
          <w:fldChar w:fldCharType="end"/>
        </w:r>
      </w:hyperlink>
    </w:p>
    <w:p w14:paraId="29C505ED" w14:textId="635715AD"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49" w:history="1">
        <w:r w:rsidRPr="00726D52">
          <w:rPr>
            <w:rStyle w:val="Hyperlink"/>
            <w:noProof/>
          </w:rPr>
          <w:t>Annex 4: Analytical methods</w:t>
        </w:r>
        <w:r w:rsidRPr="00726D52">
          <w:rPr>
            <w:noProof/>
            <w:webHidden/>
          </w:rPr>
          <w:tab/>
        </w:r>
        <w:r w:rsidRPr="00726D52">
          <w:rPr>
            <w:noProof/>
            <w:webHidden/>
          </w:rPr>
          <w:fldChar w:fldCharType="begin"/>
        </w:r>
        <w:r w:rsidRPr="00726D52">
          <w:rPr>
            <w:noProof/>
            <w:webHidden/>
          </w:rPr>
          <w:instrText xml:space="preserve"> PAGEREF _Toc224614049 \h </w:instrText>
        </w:r>
        <w:r w:rsidRPr="00726D52">
          <w:rPr>
            <w:noProof/>
            <w:webHidden/>
          </w:rPr>
        </w:r>
        <w:r w:rsidRPr="00726D52">
          <w:rPr>
            <w:noProof/>
            <w:webHidden/>
          </w:rPr>
          <w:fldChar w:fldCharType="separate"/>
        </w:r>
        <w:r w:rsidRPr="00726D52">
          <w:rPr>
            <w:noProof/>
            <w:webHidden/>
          </w:rPr>
          <w:t>93</w:t>
        </w:r>
        <w:r w:rsidRPr="00726D52">
          <w:rPr>
            <w:noProof/>
            <w:webHidden/>
          </w:rPr>
          <w:fldChar w:fldCharType="end"/>
        </w:r>
      </w:hyperlink>
    </w:p>
    <w:p w14:paraId="068113D1" w14:textId="2F399FCC"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0" w:history="1">
        <w:r w:rsidRPr="00726D52">
          <w:rPr>
            <w:rStyle w:val="Hyperlink"/>
            <w:noProof/>
          </w:rPr>
          <w:t>1.</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Methodological approach</w:t>
        </w:r>
        <w:r w:rsidRPr="00726D52">
          <w:rPr>
            <w:noProof/>
            <w:webHidden/>
          </w:rPr>
          <w:tab/>
        </w:r>
        <w:r w:rsidRPr="00726D52">
          <w:rPr>
            <w:noProof/>
            <w:webHidden/>
          </w:rPr>
          <w:fldChar w:fldCharType="begin"/>
        </w:r>
        <w:r w:rsidRPr="00726D52">
          <w:rPr>
            <w:noProof/>
            <w:webHidden/>
          </w:rPr>
          <w:instrText xml:space="preserve"> PAGEREF _Toc224614050 \h </w:instrText>
        </w:r>
        <w:r w:rsidRPr="00726D52">
          <w:rPr>
            <w:noProof/>
            <w:webHidden/>
          </w:rPr>
        </w:r>
        <w:r w:rsidRPr="00726D52">
          <w:rPr>
            <w:noProof/>
            <w:webHidden/>
          </w:rPr>
          <w:fldChar w:fldCharType="separate"/>
        </w:r>
        <w:r w:rsidRPr="00726D52">
          <w:rPr>
            <w:noProof/>
            <w:webHidden/>
          </w:rPr>
          <w:t>93</w:t>
        </w:r>
        <w:r w:rsidRPr="00726D52">
          <w:rPr>
            <w:noProof/>
            <w:webHidden/>
          </w:rPr>
          <w:fldChar w:fldCharType="end"/>
        </w:r>
      </w:hyperlink>
    </w:p>
    <w:p w14:paraId="20E1EDAD" w14:textId="2AED184A"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1" w:history="1">
        <w:r w:rsidRPr="00726D52">
          <w:rPr>
            <w:rStyle w:val="Hyperlink"/>
            <w:noProof/>
          </w:rPr>
          <w:t>2.</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Costing methodologies</w:t>
        </w:r>
        <w:r w:rsidRPr="00726D52">
          <w:rPr>
            <w:noProof/>
            <w:webHidden/>
          </w:rPr>
          <w:tab/>
        </w:r>
        <w:r w:rsidRPr="00726D52">
          <w:rPr>
            <w:noProof/>
            <w:webHidden/>
          </w:rPr>
          <w:fldChar w:fldCharType="begin"/>
        </w:r>
        <w:r w:rsidRPr="00726D52">
          <w:rPr>
            <w:noProof/>
            <w:webHidden/>
          </w:rPr>
          <w:instrText xml:space="preserve"> PAGEREF _Toc224614051 \h </w:instrText>
        </w:r>
        <w:r w:rsidRPr="00726D52">
          <w:rPr>
            <w:noProof/>
            <w:webHidden/>
          </w:rPr>
        </w:r>
        <w:r w:rsidRPr="00726D52">
          <w:rPr>
            <w:noProof/>
            <w:webHidden/>
          </w:rPr>
          <w:fldChar w:fldCharType="separate"/>
        </w:r>
        <w:r w:rsidRPr="00726D52">
          <w:rPr>
            <w:noProof/>
            <w:webHidden/>
          </w:rPr>
          <w:t>94</w:t>
        </w:r>
        <w:r w:rsidRPr="00726D52">
          <w:rPr>
            <w:noProof/>
            <w:webHidden/>
          </w:rPr>
          <w:fldChar w:fldCharType="end"/>
        </w:r>
      </w:hyperlink>
    </w:p>
    <w:p w14:paraId="1667DAE5" w14:textId="230DA46A"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2" w:history="1">
        <w:r w:rsidRPr="00726D52">
          <w:rPr>
            <w:rStyle w:val="Hyperlink"/>
            <w:noProof/>
          </w:rPr>
          <w:t>3.</w:t>
        </w:r>
        <w:r w:rsidRPr="00726D52">
          <w:rPr>
            <w:rFonts w:asciiTheme="minorHAnsi" w:eastAsiaTheme="minorEastAsia" w:hAnsiTheme="minorHAnsi" w:cstheme="minorBidi"/>
            <w:caps w:val="0"/>
            <w:noProof/>
            <w:kern w:val="2"/>
            <w:sz w:val="24"/>
            <w:szCs w:val="24"/>
            <w:lang w:eastAsia="ja-JP"/>
            <w14:ligatures w14:val="standardContextual"/>
          </w:rPr>
          <w:tab/>
        </w:r>
        <w:r w:rsidRPr="00726D52">
          <w:rPr>
            <w:rStyle w:val="Hyperlink"/>
            <w:noProof/>
          </w:rPr>
          <w:t>Caveats and limitations</w:t>
        </w:r>
        <w:r w:rsidRPr="00726D52">
          <w:rPr>
            <w:noProof/>
            <w:webHidden/>
          </w:rPr>
          <w:tab/>
        </w:r>
        <w:r w:rsidRPr="00726D52">
          <w:rPr>
            <w:noProof/>
            <w:webHidden/>
          </w:rPr>
          <w:fldChar w:fldCharType="begin"/>
        </w:r>
        <w:r w:rsidRPr="00726D52">
          <w:rPr>
            <w:noProof/>
            <w:webHidden/>
          </w:rPr>
          <w:instrText xml:space="preserve"> PAGEREF _Toc224614052 \h </w:instrText>
        </w:r>
        <w:r w:rsidRPr="00726D52">
          <w:rPr>
            <w:noProof/>
            <w:webHidden/>
          </w:rPr>
        </w:r>
        <w:r w:rsidRPr="00726D52">
          <w:rPr>
            <w:noProof/>
            <w:webHidden/>
          </w:rPr>
          <w:fldChar w:fldCharType="separate"/>
        </w:r>
        <w:r w:rsidRPr="00726D52">
          <w:rPr>
            <w:noProof/>
            <w:webHidden/>
          </w:rPr>
          <w:t>96</w:t>
        </w:r>
        <w:r w:rsidRPr="00726D52">
          <w:rPr>
            <w:noProof/>
            <w:webHidden/>
          </w:rPr>
          <w:fldChar w:fldCharType="end"/>
        </w:r>
      </w:hyperlink>
    </w:p>
    <w:p w14:paraId="29453CE3" w14:textId="273D118E"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3" w:history="1">
        <w:r w:rsidRPr="00726D52">
          <w:rPr>
            <w:rStyle w:val="Hyperlink"/>
            <w:noProof/>
          </w:rPr>
          <w:t>Annex 5: The preferred policy measures</w:t>
        </w:r>
        <w:r w:rsidRPr="00726D52">
          <w:rPr>
            <w:noProof/>
            <w:webHidden/>
          </w:rPr>
          <w:tab/>
        </w:r>
        <w:r w:rsidRPr="00726D52">
          <w:rPr>
            <w:noProof/>
            <w:webHidden/>
          </w:rPr>
          <w:fldChar w:fldCharType="begin"/>
        </w:r>
        <w:r w:rsidRPr="00726D52">
          <w:rPr>
            <w:noProof/>
            <w:webHidden/>
          </w:rPr>
          <w:instrText xml:space="preserve"> PAGEREF _Toc224614053 \h </w:instrText>
        </w:r>
        <w:r w:rsidRPr="00726D52">
          <w:rPr>
            <w:noProof/>
            <w:webHidden/>
          </w:rPr>
        </w:r>
        <w:r w:rsidRPr="00726D52">
          <w:rPr>
            <w:noProof/>
            <w:webHidden/>
          </w:rPr>
          <w:fldChar w:fldCharType="separate"/>
        </w:r>
        <w:r w:rsidRPr="00726D52">
          <w:rPr>
            <w:noProof/>
            <w:webHidden/>
          </w:rPr>
          <w:t>98</w:t>
        </w:r>
        <w:r w:rsidRPr="00726D52">
          <w:rPr>
            <w:noProof/>
            <w:webHidden/>
          </w:rPr>
          <w:fldChar w:fldCharType="end"/>
        </w:r>
      </w:hyperlink>
    </w:p>
    <w:p w14:paraId="603DA50F" w14:textId="19B4EB1C"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4" w:history="1">
        <w:r w:rsidRPr="00726D52">
          <w:rPr>
            <w:rStyle w:val="Hyperlink"/>
            <w:noProof/>
          </w:rPr>
          <w:t>Annex 6: Monitoring and Evaluation framework for the preferred policy measures</w:t>
        </w:r>
        <w:r w:rsidRPr="00726D52">
          <w:rPr>
            <w:noProof/>
            <w:webHidden/>
          </w:rPr>
          <w:tab/>
        </w:r>
        <w:r w:rsidRPr="00726D52">
          <w:rPr>
            <w:noProof/>
            <w:webHidden/>
          </w:rPr>
          <w:fldChar w:fldCharType="begin"/>
        </w:r>
        <w:r w:rsidRPr="00726D52">
          <w:rPr>
            <w:noProof/>
            <w:webHidden/>
          </w:rPr>
          <w:instrText xml:space="preserve"> PAGEREF _Toc224614054 \h </w:instrText>
        </w:r>
        <w:r w:rsidRPr="00726D52">
          <w:rPr>
            <w:noProof/>
            <w:webHidden/>
          </w:rPr>
        </w:r>
        <w:r w:rsidRPr="00726D52">
          <w:rPr>
            <w:noProof/>
            <w:webHidden/>
          </w:rPr>
          <w:fldChar w:fldCharType="separate"/>
        </w:r>
        <w:r w:rsidRPr="00726D52">
          <w:rPr>
            <w:noProof/>
            <w:webHidden/>
          </w:rPr>
          <w:t>106</w:t>
        </w:r>
        <w:r w:rsidRPr="00726D52">
          <w:rPr>
            <w:noProof/>
            <w:webHidden/>
          </w:rPr>
          <w:fldChar w:fldCharType="end"/>
        </w:r>
      </w:hyperlink>
    </w:p>
    <w:p w14:paraId="37F20D10" w14:textId="0A9B45E8"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5" w:history="1">
        <w:r w:rsidRPr="00726D52">
          <w:rPr>
            <w:rStyle w:val="Hyperlink"/>
            <w:noProof/>
          </w:rPr>
          <w:t>Annex 7: Evaluation of the existing policy and legislative framework</w:t>
        </w:r>
        <w:r w:rsidRPr="00726D52">
          <w:rPr>
            <w:noProof/>
            <w:webHidden/>
          </w:rPr>
          <w:tab/>
        </w:r>
        <w:r w:rsidRPr="00726D52">
          <w:rPr>
            <w:noProof/>
            <w:webHidden/>
          </w:rPr>
          <w:fldChar w:fldCharType="begin"/>
        </w:r>
        <w:r w:rsidRPr="00726D52">
          <w:rPr>
            <w:noProof/>
            <w:webHidden/>
          </w:rPr>
          <w:instrText xml:space="preserve"> PAGEREF _Toc224614055 \h </w:instrText>
        </w:r>
        <w:r w:rsidRPr="00726D52">
          <w:rPr>
            <w:noProof/>
            <w:webHidden/>
          </w:rPr>
        </w:r>
        <w:r w:rsidRPr="00726D52">
          <w:rPr>
            <w:noProof/>
            <w:webHidden/>
          </w:rPr>
          <w:fldChar w:fldCharType="separate"/>
        </w:r>
        <w:r w:rsidRPr="00726D52">
          <w:rPr>
            <w:noProof/>
            <w:webHidden/>
          </w:rPr>
          <w:t>111</w:t>
        </w:r>
        <w:r w:rsidRPr="00726D52">
          <w:rPr>
            <w:noProof/>
            <w:webHidden/>
          </w:rPr>
          <w:fldChar w:fldCharType="end"/>
        </w:r>
      </w:hyperlink>
    </w:p>
    <w:p w14:paraId="5BEBE5C5" w14:textId="79EBF520"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6" w:history="1">
        <w:r w:rsidRPr="00726D52">
          <w:rPr>
            <w:rStyle w:val="Hyperlink"/>
            <w:noProof/>
          </w:rPr>
          <w:t>Annex 8: Inventory of existing information systems and tools at Europol</w:t>
        </w:r>
        <w:r w:rsidRPr="00726D52">
          <w:rPr>
            <w:noProof/>
            <w:webHidden/>
          </w:rPr>
          <w:tab/>
        </w:r>
        <w:r w:rsidRPr="00726D52">
          <w:rPr>
            <w:noProof/>
            <w:webHidden/>
          </w:rPr>
          <w:fldChar w:fldCharType="begin"/>
        </w:r>
        <w:r w:rsidRPr="00726D52">
          <w:rPr>
            <w:noProof/>
            <w:webHidden/>
          </w:rPr>
          <w:instrText xml:space="preserve"> PAGEREF _Toc224614056 \h </w:instrText>
        </w:r>
        <w:r w:rsidRPr="00726D52">
          <w:rPr>
            <w:noProof/>
            <w:webHidden/>
          </w:rPr>
        </w:r>
        <w:r w:rsidRPr="00726D52">
          <w:rPr>
            <w:noProof/>
            <w:webHidden/>
          </w:rPr>
          <w:fldChar w:fldCharType="separate"/>
        </w:r>
        <w:r w:rsidRPr="00726D52">
          <w:rPr>
            <w:noProof/>
            <w:webHidden/>
          </w:rPr>
          <w:t>148</w:t>
        </w:r>
        <w:r w:rsidRPr="00726D52">
          <w:rPr>
            <w:noProof/>
            <w:webHidden/>
          </w:rPr>
          <w:fldChar w:fldCharType="end"/>
        </w:r>
      </w:hyperlink>
    </w:p>
    <w:p w14:paraId="03DA90EF" w14:textId="4D26527C"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7" w:history="1">
        <w:r w:rsidRPr="00726D52">
          <w:rPr>
            <w:rStyle w:val="Hyperlink"/>
            <w:noProof/>
          </w:rPr>
          <w:t>Annex 9: DNA matching service</w:t>
        </w:r>
        <w:r w:rsidRPr="00726D52">
          <w:rPr>
            <w:noProof/>
            <w:webHidden/>
          </w:rPr>
          <w:tab/>
        </w:r>
        <w:r w:rsidRPr="00726D52">
          <w:rPr>
            <w:noProof/>
            <w:webHidden/>
          </w:rPr>
          <w:fldChar w:fldCharType="begin"/>
        </w:r>
        <w:r w:rsidRPr="00726D52">
          <w:rPr>
            <w:noProof/>
            <w:webHidden/>
          </w:rPr>
          <w:instrText xml:space="preserve"> PAGEREF _Toc224614057 \h </w:instrText>
        </w:r>
        <w:r w:rsidRPr="00726D52">
          <w:rPr>
            <w:noProof/>
            <w:webHidden/>
          </w:rPr>
        </w:r>
        <w:r w:rsidRPr="00726D52">
          <w:rPr>
            <w:noProof/>
            <w:webHidden/>
          </w:rPr>
          <w:fldChar w:fldCharType="separate"/>
        </w:r>
        <w:r w:rsidRPr="00726D52">
          <w:rPr>
            <w:noProof/>
            <w:webHidden/>
          </w:rPr>
          <w:t>151</w:t>
        </w:r>
        <w:r w:rsidRPr="00726D52">
          <w:rPr>
            <w:noProof/>
            <w:webHidden/>
          </w:rPr>
          <w:fldChar w:fldCharType="end"/>
        </w:r>
      </w:hyperlink>
    </w:p>
    <w:p w14:paraId="72F6D68C" w14:textId="2BE46A42" w:rsidR="001E049F" w:rsidRPr="00726D52" w:rsidRDefault="001E049F">
      <w:pPr>
        <w:pStyle w:val="TOC1"/>
        <w:rPr>
          <w:rFonts w:asciiTheme="minorHAnsi" w:eastAsiaTheme="minorEastAsia" w:hAnsiTheme="minorHAnsi" w:cstheme="minorBidi"/>
          <w:caps w:val="0"/>
          <w:noProof/>
          <w:kern w:val="2"/>
          <w:sz w:val="24"/>
          <w:szCs w:val="24"/>
          <w:lang w:eastAsia="ja-JP"/>
          <w14:ligatures w14:val="standardContextual"/>
        </w:rPr>
      </w:pPr>
      <w:hyperlink w:anchor="_Toc224614058" w:history="1">
        <w:r w:rsidRPr="00726D52">
          <w:rPr>
            <w:rStyle w:val="Hyperlink"/>
            <w:noProof/>
          </w:rPr>
          <w:t>Annex 10: Impacts of Policy options</w:t>
        </w:r>
        <w:r w:rsidRPr="00726D52">
          <w:rPr>
            <w:noProof/>
            <w:webHidden/>
          </w:rPr>
          <w:tab/>
        </w:r>
        <w:r w:rsidRPr="00726D52">
          <w:rPr>
            <w:noProof/>
            <w:webHidden/>
          </w:rPr>
          <w:fldChar w:fldCharType="begin"/>
        </w:r>
        <w:r w:rsidRPr="00726D52">
          <w:rPr>
            <w:noProof/>
            <w:webHidden/>
          </w:rPr>
          <w:instrText xml:space="preserve"> PAGEREF _Toc224614058 \h </w:instrText>
        </w:r>
        <w:r w:rsidRPr="00726D52">
          <w:rPr>
            <w:noProof/>
            <w:webHidden/>
          </w:rPr>
        </w:r>
        <w:r w:rsidRPr="00726D52">
          <w:rPr>
            <w:noProof/>
            <w:webHidden/>
          </w:rPr>
          <w:fldChar w:fldCharType="separate"/>
        </w:r>
        <w:r w:rsidRPr="00726D52">
          <w:rPr>
            <w:noProof/>
            <w:webHidden/>
          </w:rPr>
          <w:t>153</w:t>
        </w:r>
        <w:r w:rsidRPr="00726D52">
          <w:rPr>
            <w:noProof/>
            <w:webHidden/>
          </w:rPr>
          <w:fldChar w:fldCharType="end"/>
        </w:r>
      </w:hyperlink>
    </w:p>
    <w:p w14:paraId="4BF896AF" w14:textId="5657472E" w:rsidR="001B0161" w:rsidRPr="00726D52" w:rsidRDefault="006B087E" w:rsidP="000E3086">
      <w:pPr>
        <w:rPr>
          <w:noProof/>
        </w:rPr>
      </w:pPr>
      <w:r w:rsidRPr="00726D52">
        <w:rPr>
          <w:noProof/>
        </w:rPr>
        <w:fldChar w:fldCharType="end"/>
      </w:r>
    </w:p>
    <w:p w14:paraId="1AB99A8F" w14:textId="77777777" w:rsidR="001B0161" w:rsidRPr="00726D52" w:rsidRDefault="001B0161" w:rsidP="000E3086">
      <w:pPr>
        <w:rPr>
          <w:noProof/>
        </w:rPr>
      </w:pPr>
      <w:r w:rsidRPr="00726D52">
        <w:rPr>
          <w:noProof/>
        </w:rPr>
        <w:br w:type="page"/>
      </w:r>
    </w:p>
    <w:p w14:paraId="5D6B1167" w14:textId="77777777" w:rsidR="006B087E" w:rsidRPr="00726D52" w:rsidRDefault="006B087E" w:rsidP="000E3086">
      <w:pPr>
        <w:rPr>
          <w:noProof/>
        </w:rPr>
      </w:pPr>
    </w:p>
    <w:p w14:paraId="573288B1" w14:textId="79191DA8" w:rsidR="006B087E" w:rsidRPr="00726D52" w:rsidRDefault="006B087E" w:rsidP="00116AAD">
      <w:pPr>
        <w:jc w:val="center"/>
        <w:rPr>
          <w:b/>
          <w:bCs/>
          <w:noProof/>
        </w:rPr>
      </w:pPr>
      <w:r w:rsidRPr="00726D52">
        <w:rPr>
          <w:b/>
          <w:bCs/>
          <w:noProof/>
        </w:rPr>
        <w:t>Glossary</w:t>
      </w:r>
    </w:p>
    <w:tbl>
      <w:tblPr>
        <w:tblStyle w:val="TableGrid"/>
        <w:tblW w:w="0" w:type="auto"/>
        <w:tblInd w:w="90" w:type="dxa"/>
        <w:tblLook w:val="04A0" w:firstRow="1" w:lastRow="0" w:firstColumn="1" w:lastColumn="0" w:noHBand="0" w:noVBand="1"/>
      </w:tblPr>
      <w:tblGrid>
        <w:gridCol w:w="2321"/>
        <w:gridCol w:w="6187"/>
      </w:tblGrid>
      <w:tr w:rsidR="00AE1184" w:rsidRPr="00726D52" w14:paraId="1DC0B5B5" w14:textId="77777777" w:rsidTr="00116AAD">
        <w:trPr>
          <w:trHeight w:val="300"/>
        </w:trPr>
        <w:tc>
          <w:tcPr>
            <w:tcW w:w="2321" w:type="dxa"/>
            <w:tcBorders>
              <w:top w:val="single" w:sz="8" w:space="0" w:color="auto"/>
              <w:left w:val="single" w:sz="8" w:space="0" w:color="auto"/>
              <w:bottom w:val="double" w:sz="4" w:space="0" w:color="auto"/>
              <w:right w:val="single" w:sz="8" w:space="0" w:color="auto"/>
            </w:tcBorders>
            <w:tcMar>
              <w:left w:w="108" w:type="dxa"/>
              <w:right w:w="108" w:type="dxa"/>
            </w:tcMar>
            <w:vAlign w:val="center"/>
          </w:tcPr>
          <w:p w14:paraId="133E438F" w14:textId="1EE836C8" w:rsidR="5908500A" w:rsidRPr="00726D52" w:rsidRDefault="5908500A" w:rsidP="5908500A">
            <w:pPr>
              <w:spacing w:before="120" w:after="120"/>
              <w:jc w:val="center"/>
              <w:rPr>
                <w:noProof/>
              </w:rPr>
            </w:pPr>
            <w:r w:rsidRPr="00726D52">
              <w:rPr>
                <w:b/>
                <w:bCs/>
                <w:noProof/>
                <w:color w:val="000000" w:themeColor="text1"/>
              </w:rPr>
              <w:t>Term or acronym</w:t>
            </w:r>
          </w:p>
        </w:tc>
        <w:tc>
          <w:tcPr>
            <w:tcW w:w="6187" w:type="dxa"/>
            <w:tcBorders>
              <w:top w:val="single" w:sz="8" w:space="0" w:color="auto"/>
              <w:left w:val="single" w:sz="8" w:space="0" w:color="auto"/>
              <w:bottom w:val="double" w:sz="4" w:space="0" w:color="auto"/>
              <w:right w:val="single" w:sz="8" w:space="0" w:color="auto"/>
            </w:tcBorders>
            <w:tcMar>
              <w:left w:w="108" w:type="dxa"/>
              <w:right w:w="108" w:type="dxa"/>
            </w:tcMar>
            <w:vAlign w:val="center"/>
          </w:tcPr>
          <w:p w14:paraId="15EC9295" w14:textId="3CD2A5CA" w:rsidR="5908500A" w:rsidRPr="00726D52" w:rsidRDefault="5908500A" w:rsidP="5908500A">
            <w:pPr>
              <w:spacing w:before="120" w:after="120"/>
              <w:jc w:val="center"/>
              <w:rPr>
                <w:noProof/>
              </w:rPr>
            </w:pPr>
            <w:r w:rsidRPr="00726D52">
              <w:rPr>
                <w:b/>
                <w:bCs/>
                <w:noProof/>
                <w:color w:val="000000" w:themeColor="text1"/>
              </w:rPr>
              <w:t>Meaning or definition</w:t>
            </w:r>
          </w:p>
        </w:tc>
      </w:tr>
      <w:tr w:rsidR="00116AAD" w:rsidRPr="00726D52" w14:paraId="11B4386A" w14:textId="77777777" w:rsidTr="00116AAD">
        <w:trPr>
          <w:trHeight w:val="15"/>
        </w:trPr>
        <w:tc>
          <w:tcPr>
            <w:tcW w:w="2321" w:type="dxa"/>
            <w:tcBorders>
              <w:top w:val="double" w:sz="4"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869FBCA" w14:textId="13AD783E" w:rsidR="5908500A" w:rsidRPr="00726D52" w:rsidRDefault="00E6632B" w:rsidP="5908500A">
            <w:pPr>
              <w:jc w:val="center"/>
              <w:rPr>
                <w:noProof/>
              </w:rPr>
            </w:pPr>
            <w:r w:rsidRPr="00726D52">
              <w:rPr>
                <w:noProof/>
                <w:color w:val="000000" w:themeColor="text1"/>
              </w:rPr>
              <w:t>AIRPOL</w:t>
            </w:r>
          </w:p>
        </w:tc>
        <w:tc>
          <w:tcPr>
            <w:tcW w:w="6187" w:type="dxa"/>
            <w:tcBorders>
              <w:top w:val="double" w:sz="4" w:space="0" w:color="auto"/>
              <w:left w:val="single" w:sz="8" w:space="0" w:color="auto"/>
              <w:bottom w:val="single" w:sz="8" w:space="0" w:color="auto"/>
              <w:right w:val="single" w:sz="8" w:space="0" w:color="auto"/>
            </w:tcBorders>
            <w:tcMar>
              <w:top w:w="85" w:type="dxa"/>
              <w:left w:w="57" w:type="dxa"/>
              <w:bottom w:w="85" w:type="dxa"/>
              <w:right w:w="57" w:type="dxa"/>
            </w:tcMar>
          </w:tcPr>
          <w:p w14:paraId="727982AA" w14:textId="687179F4" w:rsidR="5908500A" w:rsidRPr="00726D52" w:rsidRDefault="00E6632B" w:rsidP="5908500A">
            <w:pPr>
              <w:rPr>
                <w:noProof/>
              </w:rPr>
            </w:pPr>
            <w:r w:rsidRPr="00726D52">
              <w:rPr>
                <w:noProof/>
              </w:rPr>
              <w:t>Law enforcement network in the European aviation sector</w:t>
            </w:r>
          </w:p>
        </w:tc>
      </w:tr>
      <w:tr w:rsidR="5908500A" w:rsidRPr="00726D52" w14:paraId="6DEF8CF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B3D1C89" w14:textId="73E8DF8D" w:rsidR="5908500A" w:rsidRPr="00726D52" w:rsidRDefault="00C25B44" w:rsidP="5908500A">
            <w:pPr>
              <w:jc w:val="center"/>
              <w:rPr>
                <w:noProof/>
              </w:rPr>
            </w:pPr>
            <w:r w:rsidRPr="00726D52">
              <w:rPr>
                <w:noProof/>
              </w:rPr>
              <w:t>AMLA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633F017" w14:textId="78B05FC9" w:rsidR="5908500A" w:rsidRPr="00726D52" w:rsidRDefault="00C25B44" w:rsidP="5908500A">
            <w:pPr>
              <w:rPr>
                <w:noProof/>
              </w:rPr>
            </w:pPr>
            <w:r w:rsidRPr="00726D52">
              <w:rPr>
                <w:noProof/>
              </w:rPr>
              <w:t>Authority for Anti-Money Laundering and Countering the Financing of Terrorism</w:t>
            </w:r>
          </w:p>
        </w:tc>
      </w:tr>
      <w:tr w:rsidR="00116AAD" w:rsidRPr="00726D52" w14:paraId="35FA31E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25751FE" w14:textId="09B80178" w:rsidR="00CA10EC" w:rsidRPr="00726D52" w:rsidRDefault="00CA10EC" w:rsidP="00CA10EC">
            <w:pPr>
              <w:jc w:val="center"/>
              <w:rPr>
                <w:noProof/>
              </w:rPr>
            </w:pPr>
            <w:r w:rsidRPr="00726D52">
              <w:rPr>
                <w:noProof/>
                <w:color w:val="000000" w:themeColor="text1"/>
              </w:rPr>
              <w:t>AP</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2AF15DB5" w14:textId="3A5F777E" w:rsidR="00CA10EC" w:rsidRPr="00726D52" w:rsidRDefault="00CA10EC" w:rsidP="00CA10EC">
            <w:pPr>
              <w:rPr>
                <w:noProof/>
              </w:rPr>
            </w:pPr>
            <w:r w:rsidRPr="00726D52">
              <w:rPr>
                <w:noProof/>
              </w:rPr>
              <w:t>Analysis Project</w:t>
            </w:r>
          </w:p>
        </w:tc>
      </w:tr>
      <w:tr w:rsidR="00116AAD" w:rsidRPr="00726D52" w14:paraId="7B43A55C"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0823985" w14:textId="58FD1DC0" w:rsidR="00653350" w:rsidRPr="00726D52" w:rsidRDefault="00653350" w:rsidP="00653350">
            <w:pPr>
              <w:jc w:val="center"/>
              <w:rPr>
                <w:noProof/>
              </w:rPr>
            </w:pPr>
            <w:r w:rsidRPr="00726D52">
              <w:rPr>
                <w:noProof/>
              </w:rPr>
              <w:t>ATLAS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EE572AA" w14:textId="088AC8D0" w:rsidR="00653350" w:rsidRPr="00726D52" w:rsidRDefault="00653350" w:rsidP="00653350">
            <w:pPr>
              <w:rPr>
                <w:noProof/>
              </w:rPr>
            </w:pPr>
            <w:r w:rsidRPr="00726D52">
              <w:rPr>
                <w:noProof/>
              </w:rPr>
              <w:t>European Cybersecurity Atlas</w:t>
            </w:r>
          </w:p>
        </w:tc>
      </w:tr>
      <w:tr w:rsidR="00F10010" w:rsidRPr="00726D52" w14:paraId="53A26BD1"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78DCF69A" w14:textId="2544E88F" w:rsidR="5908500A" w:rsidRPr="00726D52" w:rsidRDefault="00653350" w:rsidP="5908500A">
            <w:pPr>
              <w:jc w:val="center"/>
              <w:rPr>
                <w:noProof/>
              </w:rPr>
            </w:pPr>
            <w:r w:rsidRPr="00726D52">
              <w:rPr>
                <w:noProof/>
              </w:rPr>
              <w:t>CAAR</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E14CE5D" w14:textId="45C1FE9E" w:rsidR="5908500A" w:rsidRPr="00726D52" w:rsidRDefault="00653350" w:rsidP="5908500A">
            <w:pPr>
              <w:rPr>
                <w:noProof/>
              </w:rPr>
            </w:pPr>
            <w:r w:rsidRPr="00726D52">
              <w:rPr>
                <w:noProof/>
              </w:rPr>
              <w:t>Consolidated Annual Activity Report</w:t>
            </w:r>
          </w:p>
        </w:tc>
      </w:tr>
      <w:tr w:rsidR="00AE1184" w:rsidRPr="00726D52" w14:paraId="5E007DF1"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758211D" w14:textId="3904096C" w:rsidR="5908500A" w:rsidRPr="00726D52" w:rsidRDefault="00C46B4E" w:rsidP="5908500A">
            <w:pPr>
              <w:jc w:val="center"/>
              <w:rPr>
                <w:noProof/>
              </w:rPr>
            </w:pPr>
            <w:r w:rsidRPr="00726D52">
              <w:rPr>
                <w:noProof/>
              </w:rPr>
              <w:t>CEPOL</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2BC6875A" w14:textId="3951E59E" w:rsidR="5908500A" w:rsidRPr="00726D52" w:rsidRDefault="5908500A" w:rsidP="5908500A">
            <w:pPr>
              <w:rPr>
                <w:noProof/>
              </w:rPr>
            </w:pPr>
            <w:r w:rsidRPr="00726D52">
              <w:rPr>
                <w:noProof/>
              </w:rPr>
              <w:t xml:space="preserve">European Union Agency for </w:t>
            </w:r>
            <w:r w:rsidR="00C46B4E" w:rsidRPr="00726D52">
              <w:rPr>
                <w:noProof/>
              </w:rPr>
              <w:t>Law Enforcement Training</w:t>
            </w:r>
          </w:p>
        </w:tc>
      </w:tr>
      <w:tr w:rsidR="00F10010" w:rsidRPr="00726D52" w14:paraId="2CBBB423"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64A6B41" w14:textId="4A5080D0" w:rsidR="5908500A" w:rsidRPr="00726D52" w:rsidRDefault="00016620" w:rsidP="5908500A">
            <w:pPr>
              <w:jc w:val="center"/>
              <w:rPr>
                <w:noProof/>
              </w:rPr>
            </w:pPr>
            <w:r w:rsidRPr="00726D52">
              <w:rPr>
                <w:noProof/>
              </w:rPr>
              <w:t>CODIS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3E1608B" w14:textId="647D4824" w:rsidR="5908500A" w:rsidRPr="00726D52" w:rsidRDefault="00016620" w:rsidP="5908500A">
            <w:pPr>
              <w:rPr>
                <w:noProof/>
              </w:rPr>
            </w:pPr>
            <w:r w:rsidRPr="00726D52">
              <w:rPr>
                <w:bCs/>
                <w:noProof/>
              </w:rPr>
              <w:t>Combined DNA Index System</w:t>
            </w:r>
          </w:p>
        </w:tc>
      </w:tr>
      <w:tr w:rsidR="00F10010" w:rsidRPr="00726D52" w14:paraId="241FFD82"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4D08FE2" w14:textId="0553ACF9" w:rsidR="5908500A" w:rsidRPr="00726D52" w:rsidRDefault="00016620" w:rsidP="5908500A">
            <w:pPr>
              <w:jc w:val="center"/>
              <w:rPr>
                <w:noProof/>
              </w:rPr>
            </w:pPr>
            <w:r w:rsidRPr="00726D52">
              <w:rPr>
                <w:noProof/>
              </w:rPr>
              <w:t>COSI</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0CA5D509" w14:textId="436E5299" w:rsidR="5908500A" w:rsidRPr="00726D52" w:rsidRDefault="00016620" w:rsidP="5908500A">
            <w:pPr>
              <w:rPr>
                <w:noProof/>
              </w:rPr>
            </w:pPr>
            <w:r w:rsidRPr="00726D52">
              <w:rPr>
                <w:noProof/>
              </w:rPr>
              <w:t>Standing Committee on Operational Cooperation on Internal Security</w:t>
            </w:r>
          </w:p>
        </w:tc>
      </w:tr>
      <w:tr w:rsidR="00F10010" w:rsidRPr="00726D52" w14:paraId="6718B020"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B84667D" w14:textId="64C59978" w:rsidR="5908500A" w:rsidRPr="00726D52" w:rsidRDefault="000E52BF" w:rsidP="5908500A">
            <w:pPr>
              <w:jc w:val="center"/>
              <w:rPr>
                <w:noProof/>
              </w:rPr>
            </w:pPr>
            <w:r w:rsidRPr="00726D52">
              <w:rPr>
                <w:noProof/>
              </w:rPr>
              <w:t>DSC</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03C6C8C" w14:textId="5C031591" w:rsidR="5908500A" w:rsidRPr="00726D52" w:rsidRDefault="000E52BF" w:rsidP="5908500A">
            <w:pPr>
              <w:rPr>
                <w:noProof/>
              </w:rPr>
            </w:pPr>
            <w:r w:rsidRPr="00726D52">
              <w:rPr>
                <w:noProof/>
              </w:rPr>
              <w:t>Data Subject Categorisation</w:t>
            </w:r>
          </w:p>
        </w:tc>
      </w:tr>
      <w:tr w:rsidR="00F10010" w:rsidRPr="00726D52" w14:paraId="20D418C5"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D60B34D" w14:textId="009126CE" w:rsidR="5908500A" w:rsidRPr="00726D52" w:rsidRDefault="004439D4" w:rsidP="5908500A">
            <w:pPr>
              <w:jc w:val="center"/>
              <w:rPr>
                <w:noProof/>
              </w:rPr>
            </w:pPr>
            <w:r w:rsidRPr="00726D52">
              <w:rPr>
                <w:noProof/>
              </w:rPr>
              <w:t>EAS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7E41515" w14:textId="1038295B" w:rsidR="5908500A" w:rsidRPr="00726D52" w:rsidRDefault="004439D4" w:rsidP="5908500A">
            <w:pPr>
              <w:rPr>
                <w:noProof/>
              </w:rPr>
            </w:pPr>
            <w:r w:rsidRPr="00726D52">
              <w:rPr>
                <w:noProof/>
              </w:rPr>
              <w:t>Europol Analysis System</w:t>
            </w:r>
          </w:p>
        </w:tc>
      </w:tr>
      <w:tr w:rsidR="00F10010" w:rsidRPr="00726D52" w14:paraId="7D29AC66"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518D21B" w14:textId="55974F04" w:rsidR="5908500A" w:rsidRPr="00726D52" w:rsidRDefault="009E7CA7" w:rsidP="5908500A">
            <w:pPr>
              <w:jc w:val="center"/>
              <w:rPr>
                <w:noProof/>
              </w:rPr>
            </w:pPr>
            <w:r w:rsidRPr="00726D52">
              <w:rPr>
                <w:noProof/>
              </w:rPr>
              <w:t xml:space="preserve"> EBCG Regulation</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344849FC" w14:textId="533E761C" w:rsidR="5908500A" w:rsidRPr="00726D52" w:rsidRDefault="009E7CA7" w:rsidP="5908500A">
            <w:pPr>
              <w:rPr>
                <w:noProof/>
              </w:rPr>
            </w:pPr>
            <w:r w:rsidRPr="00726D52">
              <w:rPr>
                <w:noProof/>
              </w:rPr>
              <w:t xml:space="preserve"> Regulation (EU) 2019/1896 on the European Border and Coast Guard Agency</w:t>
            </w:r>
          </w:p>
        </w:tc>
      </w:tr>
      <w:tr w:rsidR="00F10010" w:rsidRPr="00726D52" w14:paraId="6865E1E7"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7CE5407" w14:textId="37ACEA3A" w:rsidR="5908500A" w:rsidRPr="00726D52" w:rsidRDefault="009E7CA7" w:rsidP="5908500A">
            <w:pPr>
              <w:jc w:val="center"/>
              <w:rPr>
                <w:noProof/>
              </w:rPr>
            </w:pPr>
            <w:r w:rsidRPr="00726D52">
              <w:rPr>
                <w:noProof/>
              </w:rPr>
              <w:t xml:space="preserve">ECB </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31D6C06" w14:textId="49CB7978" w:rsidR="5908500A" w:rsidRPr="00726D52" w:rsidRDefault="009E7CA7" w:rsidP="5908500A">
            <w:pPr>
              <w:rPr>
                <w:noProof/>
              </w:rPr>
            </w:pPr>
            <w:r w:rsidRPr="00726D52">
              <w:rPr>
                <w:noProof/>
              </w:rPr>
              <w:t>European Central Bank</w:t>
            </w:r>
          </w:p>
        </w:tc>
      </w:tr>
      <w:tr w:rsidR="00F10010" w:rsidRPr="00726D52" w14:paraId="27536168"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C3B0DE5" w14:textId="1DFFD201" w:rsidR="5908500A" w:rsidRPr="00726D52" w:rsidRDefault="00F2078E" w:rsidP="5908500A">
            <w:pPr>
              <w:jc w:val="center"/>
              <w:rPr>
                <w:noProof/>
              </w:rPr>
            </w:pPr>
            <w:r w:rsidRPr="00726D52">
              <w:rPr>
                <w:noProof/>
              </w:rPr>
              <w:t>ECCC</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0CCFA65A" w14:textId="7A2828EE" w:rsidR="5908500A" w:rsidRPr="00726D52" w:rsidRDefault="007C55BB" w:rsidP="5908500A">
            <w:pPr>
              <w:rPr>
                <w:noProof/>
              </w:rPr>
            </w:pPr>
            <w:r w:rsidRPr="00726D52">
              <w:rPr>
                <w:noProof/>
              </w:rPr>
              <w:t>European</w:t>
            </w:r>
            <w:r w:rsidR="008F3161" w:rsidRPr="00726D52">
              <w:rPr>
                <w:noProof/>
              </w:rPr>
              <w:t xml:space="preserve"> </w:t>
            </w:r>
            <w:r w:rsidRPr="00726D52">
              <w:rPr>
                <w:noProof/>
              </w:rPr>
              <w:t xml:space="preserve">Cybersecurity Competence Centre </w:t>
            </w:r>
          </w:p>
        </w:tc>
      </w:tr>
      <w:tr w:rsidR="00116AAD" w:rsidRPr="00726D52" w14:paraId="22200311"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77A8B8DE" w14:textId="2AC08049" w:rsidR="00524ED7" w:rsidRPr="00726D52" w:rsidRDefault="00524ED7" w:rsidP="00524ED7">
            <w:pPr>
              <w:jc w:val="center"/>
              <w:rPr>
                <w:noProof/>
              </w:rPr>
            </w:pPr>
            <w:r w:rsidRPr="00726D52">
              <w:rPr>
                <w:noProof/>
              </w:rPr>
              <w:t>EDPS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EC90DB8" w14:textId="360637C7" w:rsidR="00524ED7" w:rsidRPr="00726D52" w:rsidDel="001D1AA5" w:rsidRDefault="00524ED7" w:rsidP="00524ED7">
            <w:pPr>
              <w:rPr>
                <w:noProof/>
              </w:rPr>
            </w:pPr>
            <w:r w:rsidRPr="00726D52">
              <w:rPr>
                <w:noProof/>
              </w:rPr>
              <w:t>European Data Protection Supervisor</w:t>
            </w:r>
          </w:p>
        </w:tc>
      </w:tr>
      <w:tr w:rsidR="00FB49D3" w:rsidRPr="00726D52" w14:paraId="01B91767"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836DFCA" w14:textId="73214436" w:rsidR="5908500A" w:rsidRPr="00726D52" w:rsidRDefault="00F2078E" w:rsidP="5908500A">
            <w:pPr>
              <w:jc w:val="center"/>
              <w:rPr>
                <w:noProof/>
              </w:rPr>
            </w:pPr>
            <w:r w:rsidRPr="00726D52">
              <w:rPr>
                <w:noProof/>
              </w:rPr>
              <w:t>EEAS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0138924" w14:textId="5BF6B0FF" w:rsidR="5908500A" w:rsidRPr="00726D52" w:rsidRDefault="00F2078E" w:rsidP="5908500A">
            <w:pPr>
              <w:rPr>
                <w:noProof/>
              </w:rPr>
            </w:pPr>
            <w:r w:rsidRPr="00726D52">
              <w:rPr>
                <w:noProof/>
              </w:rPr>
              <w:t>European External Action Service</w:t>
            </w:r>
          </w:p>
        </w:tc>
      </w:tr>
      <w:tr w:rsidR="00F10010" w:rsidRPr="00726D52" w14:paraId="72D55D29"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A33C443" w14:textId="21F11D66" w:rsidR="5908500A" w:rsidRPr="00726D52" w:rsidRDefault="0091245B" w:rsidP="5908500A">
            <w:pPr>
              <w:jc w:val="center"/>
              <w:rPr>
                <w:noProof/>
              </w:rPr>
            </w:pPr>
            <w:r w:rsidRPr="00726D52">
              <w:rPr>
                <w:noProof/>
              </w:rPr>
              <w:lastRenderedPageBreak/>
              <w:t>EFECC</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3BB9DD3" w14:textId="3A01A813" w:rsidR="5908500A" w:rsidRPr="00726D52" w:rsidRDefault="0091245B" w:rsidP="5908500A">
            <w:pPr>
              <w:rPr>
                <w:noProof/>
              </w:rPr>
            </w:pPr>
            <w:r w:rsidRPr="00726D52">
              <w:rPr>
                <w:noProof/>
              </w:rPr>
              <w:t>European Financial and Economic Crime Centre</w:t>
            </w:r>
          </w:p>
        </w:tc>
      </w:tr>
      <w:tr w:rsidR="00F10010" w:rsidRPr="00726D52" w14:paraId="540F5E8A"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8174F20" w14:textId="6C99A875" w:rsidR="5908500A" w:rsidRPr="00726D52" w:rsidRDefault="00EB6E82" w:rsidP="5908500A">
            <w:pPr>
              <w:jc w:val="center"/>
              <w:rPr>
                <w:noProof/>
              </w:rPr>
            </w:pPr>
            <w:r w:rsidRPr="00726D52">
              <w:rPr>
                <w:noProof/>
              </w:rPr>
              <w:t>EIFS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3852C417" w14:textId="5DE07C40" w:rsidR="5908500A" w:rsidRPr="00726D52" w:rsidRDefault="00EB6E82" w:rsidP="5908500A">
            <w:pPr>
              <w:rPr>
                <w:noProof/>
              </w:rPr>
            </w:pPr>
            <w:r w:rsidRPr="00726D52">
              <w:rPr>
                <w:noProof/>
              </w:rPr>
              <w:t>European In-Flight Security Officer Network</w:t>
            </w:r>
          </w:p>
        </w:tc>
      </w:tr>
      <w:tr w:rsidR="00116AAD" w:rsidRPr="00726D52" w14:paraId="253E8FEE"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B92D6A7" w14:textId="35B665DD" w:rsidR="00116AAD" w:rsidRPr="00726D52" w:rsidRDefault="00116AAD" w:rsidP="5908500A">
            <w:pPr>
              <w:jc w:val="center"/>
              <w:rPr>
                <w:noProof/>
              </w:rPr>
            </w:pPr>
            <w:r w:rsidRPr="00726D52">
              <w:rPr>
                <w:noProof/>
              </w:rPr>
              <w:t>EIGE</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B41C564" w14:textId="316E9B91" w:rsidR="00116AAD" w:rsidRPr="00726D52" w:rsidRDefault="00116AAD" w:rsidP="5908500A">
            <w:pPr>
              <w:rPr>
                <w:noProof/>
              </w:rPr>
            </w:pPr>
            <w:r w:rsidRPr="00726D52">
              <w:rPr>
                <w:noProof/>
              </w:rPr>
              <w:t>European Institute for Gender Equality</w:t>
            </w:r>
          </w:p>
        </w:tc>
      </w:tr>
      <w:tr w:rsidR="00116AAD" w:rsidRPr="00726D52" w14:paraId="212C2A1E"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7F18E63" w14:textId="7B52C52A" w:rsidR="00116AAD" w:rsidRPr="00726D52" w:rsidRDefault="00116AAD" w:rsidP="5908500A">
            <w:pPr>
              <w:jc w:val="center"/>
              <w:rPr>
                <w:noProof/>
              </w:rPr>
            </w:pPr>
            <w:r w:rsidRPr="00726D52">
              <w:rPr>
                <w:noProof/>
              </w:rPr>
              <w:t>EIS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28F02E47" w14:textId="3162E501" w:rsidR="00116AAD" w:rsidRPr="00726D52" w:rsidRDefault="00116AAD" w:rsidP="5908500A">
            <w:pPr>
              <w:rPr>
                <w:noProof/>
              </w:rPr>
            </w:pPr>
            <w:r w:rsidRPr="00726D52">
              <w:rPr>
                <w:noProof/>
              </w:rPr>
              <w:t>Europol Information System</w:t>
            </w:r>
          </w:p>
        </w:tc>
      </w:tr>
      <w:tr w:rsidR="00116AAD" w:rsidRPr="00726D52" w14:paraId="3F01DB5A"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30E8FDD" w14:textId="7E9ECAED" w:rsidR="00116AAD" w:rsidRPr="00726D52" w:rsidRDefault="00116AAD" w:rsidP="00102FEC">
            <w:pPr>
              <w:jc w:val="center"/>
              <w:rPr>
                <w:noProof/>
                <w:color w:val="000000" w:themeColor="text1"/>
              </w:rPr>
            </w:pPr>
            <w:r w:rsidRPr="00726D52">
              <w:rPr>
                <w:noProof/>
              </w:rPr>
              <w:t>ELA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0B1D578" w14:textId="0969FD61" w:rsidR="00116AAD" w:rsidRPr="00726D52" w:rsidRDefault="00116AAD" w:rsidP="00102FEC">
            <w:pPr>
              <w:rPr>
                <w:noProof/>
              </w:rPr>
            </w:pPr>
            <w:r w:rsidRPr="00726D52">
              <w:rPr>
                <w:noProof/>
              </w:rPr>
              <w:t>European Labour Authority</w:t>
            </w:r>
          </w:p>
        </w:tc>
      </w:tr>
      <w:tr w:rsidR="00116AAD" w:rsidRPr="00726D52" w14:paraId="0358E33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E848976" w14:textId="68D2AE2C" w:rsidR="00116AAD" w:rsidRPr="00726D52" w:rsidRDefault="00116AAD" w:rsidP="00E3268C">
            <w:pPr>
              <w:jc w:val="center"/>
              <w:rPr>
                <w:noProof/>
              </w:rPr>
            </w:pPr>
            <w:r w:rsidRPr="00726D52">
              <w:rPr>
                <w:noProof/>
              </w:rPr>
              <w:t>EMPACT</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35F2ECF" w14:textId="014FD3E2" w:rsidR="00116AAD" w:rsidRPr="00726D52" w:rsidRDefault="00116AAD" w:rsidP="00E3268C">
            <w:pPr>
              <w:rPr>
                <w:noProof/>
              </w:rPr>
            </w:pPr>
            <w:r w:rsidRPr="00726D52">
              <w:rPr>
                <w:noProof/>
              </w:rPr>
              <w:t>European Multidisciplinary Platform Against Criminal Threats</w:t>
            </w:r>
          </w:p>
        </w:tc>
      </w:tr>
      <w:tr w:rsidR="00116AAD" w:rsidRPr="00726D52" w14:paraId="4737B258"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BF6F68D" w14:textId="4954C870" w:rsidR="00116AAD" w:rsidRPr="00726D52" w:rsidRDefault="00116AAD" w:rsidP="5908500A">
            <w:pPr>
              <w:jc w:val="center"/>
              <w:rPr>
                <w:noProof/>
              </w:rPr>
            </w:pPr>
            <w:r w:rsidRPr="00726D52">
              <w:rPr>
                <w:noProof/>
              </w:rPr>
              <w:t>ENISA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B3183CD" w14:textId="3D2CFA19" w:rsidR="00116AAD" w:rsidRPr="00726D52" w:rsidRDefault="00116AAD" w:rsidP="5908500A">
            <w:pPr>
              <w:rPr>
                <w:noProof/>
              </w:rPr>
            </w:pPr>
            <w:r w:rsidRPr="00726D52">
              <w:rPr>
                <w:noProof/>
              </w:rPr>
              <w:t>European Union Agency for Cybersecurity</w:t>
            </w:r>
          </w:p>
        </w:tc>
      </w:tr>
      <w:tr w:rsidR="00116AAD" w:rsidRPr="00726D52" w14:paraId="70E1711E"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94967B3" w14:textId="26739665" w:rsidR="00116AAD" w:rsidRPr="00726D52" w:rsidRDefault="00116AAD" w:rsidP="5908500A">
            <w:pPr>
              <w:jc w:val="center"/>
              <w:rPr>
                <w:noProof/>
              </w:rPr>
            </w:pPr>
            <w:r w:rsidRPr="00726D52">
              <w:rPr>
                <w:noProof/>
              </w:rPr>
              <w:t>ENU</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F632FAB" w14:textId="0A8923B9" w:rsidR="00116AAD" w:rsidRPr="00726D52" w:rsidRDefault="00116AAD" w:rsidP="5908500A">
            <w:pPr>
              <w:rPr>
                <w:noProof/>
              </w:rPr>
            </w:pPr>
            <w:r w:rsidRPr="00726D52">
              <w:rPr>
                <w:noProof/>
              </w:rPr>
              <w:t>Europol National Unit</w:t>
            </w:r>
          </w:p>
        </w:tc>
      </w:tr>
      <w:tr w:rsidR="00116AAD" w:rsidRPr="00726D52" w14:paraId="49CC233C"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3C6ACC48" w14:textId="1BEB9088" w:rsidR="00116AAD" w:rsidRPr="00726D52" w:rsidRDefault="00116AAD" w:rsidP="5908500A">
            <w:pPr>
              <w:jc w:val="center"/>
              <w:rPr>
                <w:noProof/>
              </w:rPr>
            </w:pPr>
            <w:r w:rsidRPr="00726D52">
              <w:rPr>
                <w:noProof/>
              </w:rPr>
              <w:t>EPPO</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ACEB1AF" w14:textId="25FE91CD" w:rsidR="00116AAD" w:rsidRPr="00726D52" w:rsidRDefault="00116AAD" w:rsidP="5908500A">
            <w:pPr>
              <w:rPr>
                <w:noProof/>
              </w:rPr>
            </w:pPr>
            <w:r w:rsidRPr="00726D52">
              <w:rPr>
                <w:noProof/>
              </w:rPr>
              <w:t>European Public Prosecutor’s Office</w:t>
            </w:r>
          </w:p>
        </w:tc>
      </w:tr>
      <w:tr w:rsidR="00116AAD" w:rsidRPr="00726D52" w14:paraId="07A91FBB"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1CA5080" w14:textId="61195032" w:rsidR="00116AAD" w:rsidRPr="00726D52" w:rsidRDefault="00116AAD" w:rsidP="5908500A">
            <w:pPr>
              <w:jc w:val="center"/>
              <w:rPr>
                <w:noProof/>
              </w:rPr>
            </w:pPr>
            <w:r w:rsidRPr="00726D52">
              <w:rPr>
                <w:noProof/>
              </w:rPr>
              <w:t>EPRIS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02BFDD6" w14:textId="1875A63B" w:rsidR="00116AAD" w:rsidRPr="00726D52" w:rsidRDefault="00116AAD" w:rsidP="5908500A">
            <w:pPr>
              <w:rPr>
                <w:noProof/>
              </w:rPr>
            </w:pPr>
            <w:r w:rsidRPr="00726D52">
              <w:rPr>
                <w:noProof/>
              </w:rPr>
              <w:t>European Police Records Index System</w:t>
            </w:r>
          </w:p>
        </w:tc>
      </w:tr>
      <w:tr w:rsidR="00116AAD" w:rsidRPr="00726D52" w14:paraId="66087D90"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C226CC8" w14:textId="0E411642" w:rsidR="00116AAD" w:rsidRPr="00726D52" w:rsidRDefault="00116AAD" w:rsidP="5908500A">
            <w:pPr>
              <w:jc w:val="center"/>
              <w:rPr>
                <w:noProof/>
              </w:rPr>
            </w:pPr>
            <w:r w:rsidRPr="00726D52">
              <w:rPr>
                <w:rFonts w:eastAsiaTheme="minorHAnsi"/>
                <w:noProof/>
              </w:rPr>
              <w:t xml:space="preserve"> ER</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54F97B5" w14:textId="788AACFA" w:rsidR="00116AAD" w:rsidRPr="00726D52" w:rsidRDefault="00116AAD" w:rsidP="5908500A">
            <w:pPr>
              <w:rPr>
                <w:noProof/>
              </w:rPr>
            </w:pPr>
            <w:r w:rsidRPr="00726D52">
              <w:rPr>
                <w:noProof/>
              </w:rPr>
              <w:t xml:space="preserve">Regulation (EU) 2016/794 (“Europol Regulation”) </w:t>
            </w:r>
          </w:p>
        </w:tc>
      </w:tr>
      <w:tr w:rsidR="00116AAD" w:rsidRPr="00726D52" w14:paraId="04E12733"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7EABD6CF" w14:textId="53600522" w:rsidR="00116AAD" w:rsidRPr="00726D52" w:rsidRDefault="00116AAD" w:rsidP="5908500A">
            <w:pPr>
              <w:jc w:val="center"/>
              <w:rPr>
                <w:noProof/>
              </w:rPr>
            </w:pPr>
            <w:r w:rsidRPr="00726D52">
              <w:rPr>
                <w:noProof/>
              </w:rPr>
              <w:t>EUAA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27A7B88" w14:textId="317CEABF" w:rsidR="00116AAD" w:rsidRPr="00726D52" w:rsidRDefault="00116AAD" w:rsidP="5908500A">
            <w:pPr>
              <w:rPr>
                <w:noProof/>
              </w:rPr>
            </w:pPr>
            <w:r w:rsidRPr="00726D52">
              <w:rPr>
                <w:noProof/>
              </w:rPr>
              <w:t>European Union Agency for Asylum</w:t>
            </w:r>
          </w:p>
        </w:tc>
      </w:tr>
      <w:tr w:rsidR="00116AAD" w:rsidRPr="00726D52" w14:paraId="0FC9E522"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3110528F" w14:textId="4A9BF59F" w:rsidR="00116AAD" w:rsidRPr="00726D52" w:rsidRDefault="00116AAD" w:rsidP="5908500A">
            <w:pPr>
              <w:jc w:val="center"/>
              <w:rPr>
                <w:noProof/>
              </w:rPr>
            </w:pPr>
            <w:r w:rsidRPr="00726D52">
              <w:rPr>
                <w:noProof/>
              </w:rPr>
              <w:t>EUCARIS</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33B37E9" w14:textId="6DAF8DA6" w:rsidR="00116AAD" w:rsidRPr="00726D52" w:rsidRDefault="00116AAD" w:rsidP="5908500A">
            <w:pPr>
              <w:rPr>
                <w:noProof/>
              </w:rPr>
            </w:pPr>
            <w:r w:rsidRPr="00726D52">
              <w:rPr>
                <w:noProof/>
              </w:rPr>
              <w:t xml:space="preserve">European Car and Driving Licence Information System </w:t>
            </w:r>
          </w:p>
        </w:tc>
      </w:tr>
      <w:tr w:rsidR="00116AAD" w:rsidRPr="00726D52" w14:paraId="7B9E9ADE"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37B25B4" w14:textId="008ACA96" w:rsidR="00116AAD" w:rsidRPr="00726D52" w:rsidRDefault="00116AAD" w:rsidP="5908500A">
            <w:pPr>
              <w:jc w:val="center"/>
              <w:rPr>
                <w:noProof/>
              </w:rPr>
            </w:pPr>
            <w:r w:rsidRPr="00726D52">
              <w:rPr>
                <w:noProof/>
              </w:rPr>
              <w:t>EUDA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06A5547" w14:textId="492F6C5C" w:rsidR="00116AAD" w:rsidRPr="00726D52" w:rsidRDefault="00116AAD" w:rsidP="5908500A">
            <w:pPr>
              <w:rPr>
                <w:noProof/>
              </w:rPr>
            </w:pPr>
            <w:r w:rsidRPr="00726D52">
              <w:rPr>
                <w:noProof/>
              </w:rPr>
              <w:t>European Union Drugs Agency</w:t>
            </w:r>
          </w:p>
        </w:tc>
      </w:tr>
      <w:tr w:rsidR="00116AAD" w:rsidRPr="00726D52" w14:paraId="1984A5D1"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CA1D186" w14:textId="736410BA" w:rsidR="00116AAD" w:rsidRPr="00726D52" w:rsidRDefault="00116AAD" w:rsidP="5908500A">
            <w:pPr>
              <w:jc w:val="center"/>
              <w:rPr>
                <w:noProof/>
              </w:rPr>
            </w:pPr>
            <w:r w:rsidRPr="00726D52">
              <w:rPr>
                <w:noProof/>
              </w:rPr>
              <w:t>EU-SOCTA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48A70A5" w14:textId="71CC0421" w:rsidR="00116AAD" w:rsidRPr="00726D52" w:rsidRDefault="00116AAD" w:rsidP="5908500A">
            <w:pPr>
              <w:rPr>
                <w:noProof/>
              </w:rPr>
            </w:pPr>
            <w:r w:rsidRPr="00726D52">
              <w:rPr>
                <w:noProof/>
              </w:rPr>
              <w:t>European Union Serious and Organised Crime Threat Assessment</w:t>
            </w:r>
          </w:p>
        </w:tc>
      </w:tr>
      <w:tr w:rsidR="00116AAD" w:rsidRPr="00726D52" w14:paraId="33DC1A67"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816F840" w14:textId="0A1C0C01" w:rsidR="00116AAD" w:rsidRPr="00726D52" w:rsidRDefault="00116AAD" w:rsidP="5908500A">
            <w:pPr>
              <w:jc w:val="center"/>
              <w:rPr>
                <w:noProof/>
              </w:rPr>
            </w:pPr>
            <w:r w:rsidRPr="00726D52">
              <w:rPr>
                <w:noProof/>
              </w:rPr>
              <w:t>Eurojust</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8761728" w14:textId="6F1D7437" w:rsidR="00116AAD" w:rsidRPr="00726D52" w:rsidRDefault="00116AAD" w:rsidP="5908500A">
            <w:pPr>
              <w:rPr>
                <w:noProof/>
              </w:rPr>
            </w:pPr>
            <w:r w:rsidRPr="00726D52">
              <w:rPr>
                <w:noProof/>
              </w:rPr>
              <w:t>European Union Agency for Criminal Justice Cooperation</w:t>
            </w:r>
          </w:p>
        </w:tc>
      </w:tr>
      <w:tr w:rsidR="00116AAD" w:rsidRPr="00726D52" w14:paraId="51C73949"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2DD880B" w14:textId="20CC41F2" w:rsidR="00116AAD" w:rsidRPr="00726D52" w:rsidRDefault="00116AAD" w:rsidP="5908500A">
            <w:pPr>
              <w:jc w:val="center"/>
              <w:rPr>
                <w:noProof/>
              </w:rPr>
            </w:pPr>
            <w:r w:rsidRPr="00726D52">
              <w:rPr>
                <w:noProof/>
              </w:rPr>
              <w:t xml:space="preserve"> Eurojust Regulation</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99D5744" w14:textId="4E4456F8" w:rsidR="00116AAD" w:rsidRPr="00726D52" w:rsidRDefault="00116AAD" w:rsidP="5908500A">
            <w:pPr>
              <w:rPr>
                <w:noProof/>
              </w:rPr>
            </w:pPr>
            <w:r w:rsidRPr="00726D52">
              <w:rPr>
                <w:noProof/>
              </w:rPr>
              <w:t xml:space="preserve"> Regulation (EU) 2018/1727</w:t>
            </w:r>
          </w:p>
        </w:tc>
      </w:tr>
      <w:tr w:rsidR="00116AAD" w:rsidRPr="00726D52" w14:paraId="09E8CAB5"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50E31472" w14:textId="7D09BBEE" w:rsidR="00116AAD" w:rsidRPr="00726D52" w:rsidRDefault="00116AAD" w:rsidP="5908500A">
            <w:pPr>
              <w:jc w:val="center"/>
              <w:rPr>
                <w:noProof/>
              </w:rPr>
            </w:pPr>
            <w:r w:rsidRPr="00726D52">
              <w:rPr>
                <w:noProof/>
              </w:rPr>
              <w:t>Europol</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3A62CC55" w14:textId="12956508" w:rsidR="00116AAD" w:rsidRPr="00726D52" w:rsidRDefault="00116AAD" w:rsidP="5908500A">
            <w:pPr>
              <w:rPr>
                <w:noProof/>
              </w:rPr>
            </w:pPr>
            <w:r w:rsidRPr="00726D52">
              <w:rPr>
                <w:noProof/>
              </w:rPr>
              <w:t>European Union Agency for Law Enforcement Cooperation</w:t>
            </w:r>
          </w:p>
        </w:tc>
      </w:tr>
      <w:tr w:rsidR="00116AAD" w:rsidRPr="00726D52" w14:paraId="7717206A"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581A02EA" w14:textId="3F684269" w:rsidR="00116AAD" w:rsidRPr="00726D52" w:rsidRDefault="00116AAD" w:rsidP="007E3E12">
            <w:pPr>
              <w:jc w:val="center"/>
              <w:rPr>
                <w:noProof/>
              </w:rPr>
            </w:pPr>
            <w:r w:rsidRPr="00726D52">
              <w:rPr>
                <w:noProof/>
              </w:rPr>
              <w:lastRenderedPageBreak/>
              <w:t>Europol Regulation</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8EEAAB0" w14:textId="2F6E6912" w:rsidR="00116AAD" w:rsidRPr="00726D52" w:rsidRDefault="00116AAD" w:rsidP="007E3E12">
            <w:pPr>
              <w:rPr>
                <w:noProof/>
              </w:rPr>
            </w:pPr>
            <w:r w:rsidRPr="00726D52">
              <w:rPr>
                <w:noProof/>
              </w:rPr>
              <w:t>Regulation (EU) 2016/794</w:t>
            </w:r>
          </w:p>
        </w:tc>
      </w:tr>
      <w:tr w:rsidR="00116AAD" w:rsidRPr="00726D52" w14:paraId="33584CD2"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7785B83" w14:textId="52915805" w:rsidR="00116AAD" w:rsidRPr="00726D52" w:rsidRDefault="00116AAD" w:rsidP="5908500A">
            <w:pPr>
              <w:jc w:val="center"/>
              <w:rPr>
                <w:noProof/>
              </w:rPr>
            </w:pPr>
            <w:r w:rsidRPr="00726D52">
              <w:rPr>
                <w:noProof/>
              </w:rPr>
              <w:t>eu-LISA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25C7506" w14:textId="3D97EF11" w:rsidR="00116AAD" w:rsidRPr="00726D52" w:rsidRDefault="00116AAD" w:rsidP="5908500A">
            <w:pPr>
              <w:rPr>
                <w:noProof/>
              </w:rPr>
            </w:pPr>
            <w:r w:rsidRPr="00726D52">
              <w:rPr>
                <w:noProof/>
              </w:rPr>
              <w:t>European Union Agency for the Operational Management of Large-Scale IT Systems in the Area of Freedom, Security and Justice</w:t>
            </w:r>
          </w:p>
        </w:tc>
      </w:tr>
      <w:tr w:rsidR="00116AAD" w:rsidRPr="00726D52" w14:paraId="5CF20E7F"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12FA97E" w14:textId="10452E9D" w:rsidR="00116AAD" w:rsidRPr="00726D52" w:rsidRDefault="00116AAD" w:rsidP="00F927BA">
            <w:pPr>
              <w:jc w:val="center"/>
              <w:rPr>
                <w:noProof/>
              </w:rPr>
            </w:pPr>
            <w:r w:rsidRPr="00726D52">
              <w:rPr>
                <w:noProof/>
              </w:rPr>
              <w:t>FEPORT</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C86081D" w14:textId="034961F9" w:rsidR="00116AAD" w:rsidRPr="00726D52" w:rsidRDefault="00116AAD" w:rsidP="00F927BA">
            <w:pPr>
              <w:rPr>
                <w:noProof/>
              </w:rPr>
            </w:pPr>
            <w:r w:rsidRPr="00726D52">
              <w:rPr>
                <w:noProof/>
              </w:rPr>
              <w:t>Federation of European Private Port Companies and Terminals</w:t>
            </w:r>
          </w:p>
        </w:tc>
      </w:tr>
      <w:tr w:rsidR="00116AAD" w:rsidRPr="00726D52" w14:paraId="69363729"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F613E85" w14:textId="08896831" w:rsidR="00116AAD" w:rsidRPr="00726D52" w:rsidRDefault="00116AAD" w:rsidP="5908500A">
            <w:pPr>
              <w:jc w:val="center"/>
              <w:rPr>
                <w:noProof/>
              </w:rPr>
            </w:pPr>
            <w:r w:rsidRPr="00726D52">
              <w:rPr>
                <w:noProof/>
              </w:rPr>
              <w:t>FRA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85E56AC" w14:textId="2A7AE7A5" w:rsidR="00116AAD" w:rsidRPr="00726D52" w:rsidRDefault="00116AAD" w:rsidP="5908500A">
            <w:pPr>
              <w:rPr>
                <w:noProof/>
              </w:rPr>
            </w:pPr>
            <w:r w:rsidRPr="00726D52">
              <w:rPr>
                <w:noProof/>
              </w:rPr>
              <w:t>European Union Agency for Fundamental Rights</w:t>
            </w:r>
          </w:p>
        </w:tc>
      </w:tr>
      <w:tr w:rsidR="00116AAD" w:rsidRPr="00726D52" w14:paraId="2EC49D7D"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7491C96E" w14:textId="79EA44A1" w:rsidR="00116AAD" w:rsidRPr="00726D52" w:rsidRDefault="00116AAD" w:rsidP="5908500A">
            <w:pPr>
              <w:jc w:val="center"/>
              <w:rPr>
                <w:noProof/>
              </w:rPr>
            </w:pPr>
            <w:r w:rsidRPr="00726D52">
              <w:rPr>
                <w:noProof/>
              </w:rPr>
              <w:t>Frontex</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07C5A0C7" w14:textId="62AFC5AC" w:rsidR="00116AAD" w:rsidRPr="00726D52" w:rsidRDefault="00116AAD" w:rsidP="5908500A">
            <w:pPr>
              <w:rPr>
                <w:noProof/>
              </w:rPr>
            </w:pPr>
            <w:r w:rsidRPr="00726D52">
              <w:rPr>
                <w:noProof/>
              </w:rPr>
              <w:t>European Border and Coast Guard Agency</w:t>
            </w:r>
          </w:p>
        </w:tc>
      </w:tr>
      <w:tr w:rsidR="00116AAD" w:rsidRPr="00726D52" w14:paraId="2E016F9F"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5D5E5541" w14:textId="6F962BD9" w:rsidR="00116AAD" w:rsidRPr="00726D52" w:rsidRDefault="00116AAD" w:rsidP="5908500A">
            <w:pPr>
              <w:jc w:val="center"/>
              <w:rPr>
                <w:noProof/>
                <w:color w:val="000000" w:themeColor="text1"/>
              </w:rPr>
            </w:pPr>
            <w:r w:rsidRPr="00726D52">
              <w:rPr>
                <w:noProof/>
              </w:rPr>
              <w:t>HRSN</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06F988CA" w14:textId="49363EE2" w:rsidR="00116AAD" w:rsidRPr="00726D52" w:rsidRDefault="00116AAD" w:rsidP="5908500A">
            <w:pPr>
              <w:rPr>
                <w:noProof/>
              </w:rPr>
            </w:pPr>
            <w:r w:rsidRPr="00726D52">
              <w:rPr>
                <w:noProof/>
              </w:rPr>
              <w:t>High Risk Security Network</w:t>
            </w:r>
          </w:p>
        </w:tc>
      </w:tr>
      <w:tr w:rsidR="00116AAD" w:rsidRPr="00726D52" w14:paraId="2AA569B6"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7C359F89" w14:textId="36B27590" w:rsidR="00116AAD" w:rsidRPr="00726D52" w:rsidRDefault="00116AAD" w:rsidP="5908500A">
            <w:pPr>
              <w:jc w:val="center"/>
              <w:rPr>
                <w:noProof/>
                <w:color w:val="000000" w:themeColor="text1"/>
              </w:rPr>
            </w:pPr>
            <w:r w:rsidRPr="00726D52">
              <w:rPr>
                <w:noProof/>
              </w:rPr>
              <w:t>Interpol</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3036353E" w14:textId="118CAFA7" w:rsidR="00116AAD" w:rsidRPr="00726D52" w:rsidRDefault="00116AAD" w:rsidP="5908500A">
            <w:pPr>
              <w:rPr>
                <w:noProof/>
              </w:rPr>
            </w:pPr>
            <w:r w:rsidRPr="00726D52">
              <w:rPr>
                <w:noProof/>
              </w:rPr>
              <w:t>International Criminal Police Organization</w:t>
            </w:r>
          </w:p>
        </w:tc>
      </w:tr>
      <w:tr w:rsidR="00116AAD" w:rsidRPr="00726D52" w14:paraId="4DABF161"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31DA2D3" w14:textId="4739540B" w:rsidR="00116AAD" w:rsidRPr="00726D52" w:rsidRDefault="00116AAD" w:rsidP="5908500A">
            <w:pPr>
              <w:jc w:val="center"/>
              <w:rPr>
                <w:noProof/>
                <w:color w:val="000000" w:themeColor="text1"/>
              </w:rPr>
            </w:pPr>
            <w:r w:rsidRPr="00726D52">
              <w:rPr>
                <w:noProof/>
              </w:rPr>
              <w:t>IOCTA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2FC21DC" w14:textId="02DEA892" w:rsidR="00116AAD" w:rsidRPr="00726D52" w:rsidRDefault="00116AAD" w:rsidP="5908500A">
            <w:pPr>
              <w:rPr>
                <w:noProof/>
              </w:rPr>
            </w:pPr>
            <w:r w:rsidRPr="00726D52">
              <w:rPr>
                <w:noProof/>
              </w:rPr>
              <w:t xml:space="preserve"> Internet Organised Crime Threat Assessment</w:t>
            </w:r>
          </w:p>
        </w:tc>
      </w:tr>
      <w:tr w:rsidR="00116AAD" w:rsidRPr="00726D52" w14:paraId="645BE8D7"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50BABC02" w14:textId="1473BAC4" w:rsidR="00116AAD" w:rsidRPr="00726D52" w:rsidRDefault="00116AAD" w:rsidP="5908500A">
            <w:pPr>
              <w:jc w:val="center"/>
              <w:rPr>
                <w:noProof/>
                <w:color w:val="000000" w:themeColor="text1"/>
              </w:rPr>
            </w:pPr>
            <w:r w:rsidRPr="00726D52">
              <w:rPr>
                <w:noProof/>
              </w:rPr>
              <w:t>JAD</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26CB67DA" w14:textId="00893383" w:rsidR="00116AAD" w:rsidRPr="00726D52" w:rsidRDefault="00116AAD" w:rsidP="5908500A">
            <w:pPr>
              <w:rPr>
                <w:noProof/>
              </w:rPr>
            </w:pPr>
            <w:r w:rsidRPr="00726D52">
              <w:rPr>
                <w:noProof/>
              </w:rPr>
              <w:t>Joint Action Days</w:t>
            </w:r>
          </w:p>
        </w:tc>
      </w:tr>
      <w:tr w:rsidR="00116AAD" w:rsidRPr="00726D52" w14:paraId="22EEC005"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3CC25E89" w14:textId="0578ED9A" w:rsidR="00116AAD" w:rsidRPr="00726D52" w:rsidRDefault="00116AAD" w:rsidP="00DD579D">
            <w:pPr>
              <w:jc w:val="center"/>
              <w:rPr>
                <w:noProof/>
                <w:color w:val="000000" w:themeColor="text1"/>
              </w:rPr>
            </w:pPr>
            <w:r w:rsidRPr="00726D52">
              <w:rPr>
                <w:noProof/>
              </w:rPr>
              <w:t>JHA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07B18B0F" w14:textId="2EE2F634" w:rsidR="00116AAD" w:rsidRPr="00726D52" w:rsidRDefault="00116AAD" w:rsidP="00DD579D">
            <w:pPr>
              <w:rPr>
                <w:noProof/>
              </w:rPr>
            </w:pPr>
            <w:r w:rsidRPr="00726D52">
              <w:rPr>
                <w:noProof/>
              </w:rPr>
              <w:t>Justice and Home Affairs</w:t>
            </w:r>
          </w:p>
        </w:tc>
      </w:tr>
      <w:tr w:rsidR="00116AAD" w:rsidRPr="00726D52" w14:paraId="211CD379"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49813B4" w14:textId="67D3AF94" w:rsidR="00116AAD" w:rsidRPr="00726D52" w:rsidRDefault="00116AAD" w:rsidP="00146120">
            <w:pPr>
              <w:jc w:val="center"/>
              <w:rPr>
                <w:noProof/>
                <w:color w:val="000000" w:themeColor="text1"/>
              </w:rPr>
            </w:pPr>
            <w:r w:rsidRPr="00726D52">
              <w:rPr>
                <w:noProof/>
              </w:rPr>
              <w:t>JIT</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938BD3B" w14:textId="0C34711C" w:rsidR="00116AAD" w:rsidRPr="00726D52" w:rsidRDefault="00116AAD" w:rsidP="00146120">
            <w:pPr>
              <w:rPr>
                <w:noProof/>
              </w:rPr>
            </w:pPr>
            <w:r w:rsidRPr="00726D52">
              <w:rPr>
                <w:noProof/>
              </w:rPr>
              <w:t>Joint Investigation Team</w:t>
            </w:r>
          </w:p>
        </w:tc>
      </w:tr>
      <w:tr w:rsidR="00116AAD" w:rsidRPr="00726D52" w14:paraId="7A4A767F"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5CB5FF7" w14:textId="0C3A0EFE" w:rsidR="00116AAD" w:rsidRPr="00726D52" w:rsidRDefault="00116AAD" w:rsidP="00A66F30">
            <w:pPr>
              <w:jc w:val="center"/>
              <w:rPr>
                <w:noProof/>
                <w:color w:val="000000" w:themeColor="text1"/>
              </w:rPr>
            </w:pPr>
            <w:r w:rsidRPr="00726D52">
              <w:rPr>
                <w:noProof/>
              </w:rPr>
              <w:t>JOAC</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62D78C5" w14:textId="6C329B09" w:rsidR="00116AAD" w:rsidRPr="00726D52" w:rsidRDefault="00116AAD" w:rsidP="00A66F30">
            <w:pPr>
              <w:rPr>
                <w:noProof/>
              </w:rPr>
            </w:pPr>
            <w:r w:rsidRPr="00726D52">
              <w:rPr>
                <w:noProof/>
              </w:rPr>
              <w:t>Joint Operational Analysis Case Platform</w:t>
            </w:r>
          </w:p>
        </w:tc>
      </w:tr>
      <w:tr w:rsidR="00116AAD" w:rsidRPr="00726D52" w14:paraId="3385CE36"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278E8F8" w14:textId="00B11571" w:rsidR="00116AAD" w:rsidRPr="00726D52" w:rsidRDefault="00116AAD" w:rsidP="00440C13">
            <w:pPr>
              <w:jc w:val="center"/>
              <w:rPr>
                <w:noProof/>
                <w:color w:val="000000" w:themeColor="text1"/>
              </w:rPr>
            </w:pPr>
            <w:r w:rsidRPr="00726D52">
              <w:rPr>
                <w:noProof/>
              </w:rPr>
              <w:t>LED</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38E2B7E" w14:textId="4D86E333" w:rsidR="00116AAD" w:rsidRPr="00726D52" w:rsidRDefault="00116AAD" w:rsidP="00440C13">
            <w:pPr>
              <w:rPr>
                <w:noProof/>
              </w:rPr>
            </w:pPr>
            <w:r w:rsidRPr="00726D52">
              <w:rPr>
                <w:noProof/>
              </w:rPr>
              <w:t>Law Enforcement Directive</w:t>
            </w:r>
          </w:p>
        </w:tc>
      </w:tr>
      <w:tr w:rsidR="00116AAD" w:rsidRPr="00726D52" w14:paraId="3806613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E87C1E9" w14:textId="4CEF823C" w:rsidR="00116AAD" w:rsidRPr="00726D52" w:rsidRDefault="00116AAD" w:rsidP="00EA05B2">
            <w:pPr>
              <w:jc w:val="center"/>
              <w:rPr>
                <w:noProof/>
                <w:color w:val="000000" w:themeColor="text1"/>
              </w:rPr>
            </w:pPr>
            <w:r w:rsidRPr="00726D52">
              <w:rPr>
                <w:noProof/>
              </w:rPr>
              <w:t>LEWP</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926C71C" w14:textId="6841F4AE" w:rsidR="00116AAD" w:rsidRPr="00726D52" w:rsidRDefault="00116AAD" w:rsidP="00EA05B2">
            <w:pPr>
              <w:rPr>
                <w:noProof/>
              </w:rPr>
            </w:pPr>
            <w:r w:rsidRPr="00726D52">
              <w:rPr>
                <w:noProof/>
              </w:rPr>
              <w:t>Law Enforcement Working Party</w:t>
            </w:r>
          </w:p>
        </w:tc>
      </w:tr>
      <w:tr w:rsidR="00116AAD" w:rsidRPr="00726D52" w14:paraId="19C526E1"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4A9856EA" w14:textId="59FC9DFF" w:rsidR="00116AAD" w:rsidRPr="00726D52" w:rsidRDefault="00116AAD" w:rsidP="00F95362">
            <w:pPr>
              <w:jc w:val="center"/>
              <w:rPr>
                <w:noProof/>
                <w:color w:val="000000" w:themeColor="text1"/>
              </w:rPr>
            </w:pPr>
            <w:r w:rsidRPr="00726D52">
              <w:rPr>
                <w:noProof/>
              </w:rPr>
              <w:t>MAOC (N)</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14B34E9" w14:textId="5A943745" w:rsidR="00116AAD" w:rsidRPr="00726D52" w:rsidRDefault="00116AAD" w:rsidP="00F95362">
            <w:pPr>
              <w:rPr>
                <w:noProof/>
              </w:rPr>
            </w:pPr>
            <w:r w:rsidRPr="00726D52">
              <w:rPr>
                <w:noProof/>
              </w:rPr>
              <w:t>Maritime Analysis and Operations Centre (Narcotics)</w:t>
            </w:r>
          </w:p>
        </w:tc>
      </w:tr>
      <w:tr w:rsidR="00116AAD" w:rsidRPr="00726D52" w14:paraId="224BDAF6"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34822B59" w14:textId="76ECFE01" w:rsidR="00116AAD" w:rsidRPr="00726D52" w:rsidRDefault="00116AAD" w:rsidP="00F95362">
            <w:pPr>
              <w:jc w:val="center"/>
              <w:rPr>
                <w:noProof/>
                <w:color w:val="000000" w:themeColor="text1"/>
              </w:rPr>
            </w:pPr>
            <w:r w:rsidRPr="00726D52">
              <w:rPr>
                <w:noProof/>
              </w:rPr>
              <w:t>OLAF</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00C5C224" w14:textId="39527FF1" w:rsidR="00116AAD" w:rsidRPr="00726D52" w:rsidRDefault="00116AAD" w:rsidP="00F95362">
            <w:pPr>
              <w:rPr>
                <w:noProof/>
              </w:rPr>
            </w:pPr>
            <w:r w:rsidRPr="00726D52">
              <w:rPr>
                <w:noProof/>
              </w:rPr>
              <w:t>European Anti-Fraud Office</w:t>
            </w:r>
          </w:p>
        </w:tc>
      </w:tr>
      <w:tr w:rsidR="00116AAD" w:rsidRPr="00726D52" w14:paraId="2DCE35E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D4C939C" w14:textId="6A158BA3" w:rsidR="00116AAD" w:rsidRPr="00726D52" w:rsidRDefault="00116AAD" w:rsidP="00881F86">
            <w:pPr>
              <w:jc w:val="center"/>
              <w:rPr>
                <w:noProof/>
                <w:color w:val="000000" w:themeColor="text1"/>
              </w:rPr>
            </w:pPr>
            <w:r w:rsidRPr="00726D52">
              <w:rPr>
                <w:noProof/>
              </w:rPr>
              <w:t xml:space="preserve">OSINT </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DC78795" w14:textId="6B72AD4D" w:rsidR="00116AAD" w:rsidRPr="00726D52" w:rsidRDefault="00116AAD" w:rsidP="00881F86">
            <w:pPr>
              <w:rPr>
                <w:noProof/>
              </w:rPr>
            </w:pPr>
            <w:r w:rsidRPr="00726D52">
              <w:rPr>
                <w:noProof/>
              </w:rPr>
              <w:t xml:space="preserve"> Open-Source Intelligence</w:t>
            </w:r>
          </w:p>
        </w:tc>
      </w:tr>
      <w:tr w:rsidR="00116AAD" w:rsidRPr="00726D52" w14:paraId="05E4C1CB"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5BDF69D4" w14:textId="30A14E14" w:rsidR="00116AAD" w:rsidRPr="00726D52" w:rsidRDefault="00116AAD" w:rsidP="5908500A">
            <w:pPr>
              <w:jc w:val="center"/>
              <w:rPr>
                <w:noProof/>
                <w:color w:val="000000" w:themeColor="text1"/>
              </w:rPr>
            </w:pPr>
            <w:r w:rsidRPr="00726D52">
              <w:rPr>
                <w:noProof/>
              </w:rPr>
              <w:lastRenderedPageBreak/>
              <w:t>OTF</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24EBD205" w14:textId="4119D26C" w:rsidR="00116AAD" w:rsidRPr="00726D52" w:rsidRDefault="00116AAD" w:rsidP="5908500A">
            <w:pPr>
              <w:rPr>
                <w:bCs/>
                <w:noProof/>
              </w:rPr>
            </w:pPr>
            <w:r w:rsidRPr="00726D52">
              <w:rPr>
                <w:noProof/>
              </w:rPr>
              <w:t>Operational Task Forces</w:t>
            </w:r>
          </w:p>
        </w:tc>
      </w:tr>
      <w:tr w:rsidR="00116AAD" w:rsidRPr="00726D52" w14:paraId="302FEFA6"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9F2CFB8" w14:textId="1CF48C17" w:rsidR="00116AAD" w:rsidRPr="00726D52" w:rsidRDefault="00116AAD" w:rsidP="5908500A">
            <w:pPr>
              <w:jc w:val="center"/>
              <w:rPr>
                <w:noProof/>
                <w:color w:val="000000" w:themeColor="text1"/>
              </w:rPr>
            </w:pPr>
            <w:r w:rsidRPr="00726D52">
              <w:rPr>
                <w:noProof/>
              </w:rPr>
              <w:t>PD</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31785E9" w14:textId="10F47968" w:rsidR="00116AAD" w:rsidRPr="00726D52" w:rsidRDefault="00116AAD" w:rsidP="5908500A">
            <w:pPr>
              <w:rPr>
                <w:noProof/>
              </w:rPr>
            </w:pPr>
            <w:r w:rsidRPr="00726D52">
              <w:rPr>
                <w:noProof/>
              </w:rPr>
              <w:t>Programming Document</w:t>
            </w:r>
          </w:p>
        </w:tc>
      </w:tr>
      <w:tr w:rsidR="00116AAD" w:rsidRPr="00726D52" w14:paraId="6954DB9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7032AC1" w14:textId="3E161DA5" w:rsidR="00116AAD" w:rsidRPr="00726D52" w:rsidRDefault="00116AAD" w:rsidP="5908500A">
            <w:pPr>
              <w:jc w:val="center"/>
              <w:rPr>
                <w:noProof/>
                <w:color w:val="000000" w:themeColor="text1"/>
              </w:rPr>
            </w:pPr>
            <w:r w:rsidRPr="00726D52">
              <w:rPr>
                <w:noProof/>
              </w:rPr>
              <w:t>QUEST</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F8BF359" w14:textId="41CAB1EE" w:rsidR="00116AAD" w:rsidRPr="00726D52" w:rsidRDefault="00116AAD" w:rsidP="5908500A">
            <w:pPr>
              <w:rPr>
                <w:noProof/>
              </w:rPr>
            </w:pPr>
            <w:r w:rsidRPr="00726D52">
              <w:rPr>
                <w:noProof/>
              </w:rPr>
              <w:t>Querying Europol Systems</w:t>
            </w:r>
          </w:p>
        </w:tc>
      </w:tr>
      <w:tr w:rsidR="00116AAD" w:rsidRPr="00726D52" w14:paraId="0298A318"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B030EE2" w14:textId="0D10B267" w:rsidR="00116AAD" w:rsidRPr="00726D52" w:rsidRDefault="00116AAD" w:rsidP="5908500A">
            <w:pPr>
              <w:jc w:val="center"/>
              <w:rPr>
                <w:noProof/>
                <w:color w:val="000000" w:themeColor="text1"/>
              </w:rPr>
            </w:pPr>
            <w:r w:rsidRPr="00726D52">
              <w:rPr>
                <w:noProof/>
              </w:rPr>
              <w:t>RAILPOL</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F5EECE2" w14:textId="07EA5CFC" w:rsidR="00116AAD" w:rsidRPr="00726D52" w:rsidRDefault="00116AAD" w:rsidP="5908500A">
            <w:pPr>
              <w:rPr>
                <w:noProof/>
              </w:rPr>
            </w:pPr>
            <w:r w:rsidRPr="00726D52">
              <w:rPr>
                <w:noProof/>
              </w:rPr>
              <w:t>European Association of Railway Police Forces</w:t>
            </w:r>
          </w:p>
        </w:tc>
      </w:tr>
      <w:tr w:rsidR="00116AAD" w:rsidRPr="00726D52" w14:paraId="4FDA71E9"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0A211A2" w14:textId="5A153932" w:rsidR="00116AAD" w:rsidRPr="00726D52" w:rsidRDefault="00116AAD" w:rsidP="5908500A">
            <w:pPr>
              <w:jc w:val="center"/>
              <w:rPr>
                <w:noProof/>
                <w:color w:val="000000" w:themeColor="text1"/>
              </w:rPr>
            </w:pPr>
            <w:r w:rsidRPr="00726D52">
              <w:rPr>
                <w:noProof/>
              </w:rPr>
              <w:t>REFIT</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648B27C6" w14:textId="66984A7E" w:rsidR="00116AAD" w:rsidRPr="00726D52" w:rsidRDefault="00116AAD" w:rsidP="5908500A">
            <w:pPr>
              <w:rPr>
                <w:noProof/>
              </w:rPr>
            </w:pPr>
            <w:r w:rsidRPr="00726D52">
              <w:rPr>
                <w:noProof/>
              </w:rPr>
              <w:t>Commission’s Regulatory Fitness and Performance Programme</w:t>
            </w:r>
          </w:p>
        </w:tc>
      </w:tr>
      <w:tr w:rsidR="00116AAD" w:rsidRPr="00726D52" w14:paraId="25EA6255"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0567AF44" w14:textId="633EA10B" w:rsidR="00116AAD" w:rsidRPr="00726D52" w:rsidRDefault="00116AAD" w:rsidP="5908500A">
            <w:pPr>
              <w:jc w:val="center"/>
              <w:rPr>
                <w:noProof/>
                <w:color w:val="000000" w:themeColor="text1"/>
              </w:rPr>
            </w:pPr>
            <w:r w:rsidRPr="00726D52">
              <w:rPr>
                <w:noProof/>
              </w:rPr>
              <w:t>SDG</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75BB6C50" w14:textId="5FF25CCA" w:rsidR="00116AAD" w:rsidRPr="00726D52" w:rsidRDefault="00116AAD" w:rsidP="5908500A">
            <w:pPr>
              <w:rPr>
                <w:noProof/>
              </w:rPr>
            </w:pPr>
            <w:r w:rsidRPr="00726D52">
              <w:rPr>
                <w:noProof/>
              </w:rPr>
              <w:t>Sustainable Development Goal</w:t>
            </w:r>
          </w:p>
        </w:tc>
      </w:tr>
      <w:tr w:rsidR="00116AAD" w:rsidRPr="00726D52" w14:paraId="016FCBC4"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571016FC" w14:textId="4A9238B8" w:rsidR="00116AAD" w:rsidRPr="00726D52" w:rsidRDefault="00116AAD" w:rsidP="5908500A">
            <w:pPr>
              <w:jc w:val="center"/>
              <w:rPr>
                <w:noProof/>
                <w:color w:val="000000" w:themeColor="text1"/>
              </w:rPr>
            </w:pPr>
            <w:r w:rsidRPr="00726D52">
              <w:rPr>
                <w:noProof/>
              </w:rPr>
              <w:t>SIENA</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F4EAD39" w14:textId="422F31CC" w:rsidR="00116AAD" w:rsidRPr="00726D52" w:rsidRDefault="00116AAD" w:rsidP="5908500A">
            <w:pPr>
              <w:rPr>
                <w:noProof/>
              </w:rPr>
            </w:pPr>
            <w:r w:rsidRPr="00726D52">
              <w:rPr>
                <w:noProof/>
              </w:rPr>
              <w:t>Secure Information Exchange Network Application</w:t>
            </w:r>
          </w:p>
        </w:tc>
      </w:tr>
      <w:tr w:rsidR="00116AAD" w:rsidRPr="00726D52" w14:paraId="2E8D1B05"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12C9F3A" w14:textId="4805601B" w:rsidR="00116AAD" w:rsidRPr="00726D52" w:rsidRDefault="00116AAD" w:rsidP="5908500A">
            <w:pPr>
              <w:jc w:val="center"/>
              <w:rPr>
                <w:noProof/>
                <w:color w:val="000000" w:themeColor="text1"/>
              </w:rPr>
            </w:pPr>
            <w:r w:rsidRPr="00726D52">
              <w:rPr>
                <w:noProof/>
                <w:color w:val="000000" w:themeColor="text1"/>
              </w:rPr>
              <w:t>SPoC</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7E5382F" w14:textId="16DDBD4A" w:rsidR="00116AAD" w:rsidRPr="00726D52" w:rsidRDefault="00116AAD" w:rsidP="5908500A">
            <w:pPr>
              <w:rPr>
                <w:noProof/>
              </w:rPr>
            </w:pPr>
            <w:r w:rsidRPr="00726D52">
              <w:rPr>
                <w:noProof/>
              </w:rPr>
              <w:t xml:space="preserve">Single Points of Contact </w:t>
            </w:r>
          </w:p>
        </w:tc>
      </w:tr>
      <w:tr w:rsidR="00116AAD" w:rsidRPr="00726D52" w14:paraId="469278BC"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2122A9E8" w14:textId="27DE90C4" w:rsidR="00116AAD" w:rsidRPr="00726D52" w:rsidRDefault="00116AAD" w:rsidP="5908500A">
            <w:pPr>
              <w:jc w:val="center"/>
              <w:rPr>
                <w:noProof/>
                <w:color w:val="000000" w:themeColor="text1"/>
              </w:rPr>
            </w:pPr>
            <w:r w:rsidRPr="00726D52">
              <w:rPr>
                <w:noProof/>
              </w:rPr>
              <w:t>TEU</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49DCE90C" w14:textId="49945791" w:rsidR="00116AAD" w:rsidRPr="00726D52" w:rsidRDefault="00116AAD" w:rsidP="5908500A">
            <w:pPr>
              <w:rPr>
                <w:noProof/>
              </w:rPr>
            </w:pPr>
            <w:r w:rsidRPr="00726D52">
              <w:rPr>
                <w:noProof/>
              </w:rPr>
              <w:t>Treaty on European Union</w:t>
            </w:r>
          </w:p>
        </w:tc>
      </w:tr>
      <w:tr w:rsidR="00116AAD" w:rsidRPr="00726D52" w14:paraId="061D283A"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1FB412F8" w14:textId="4D4456A4" w:rsidR="00116AAD" w:rsidRPr="00726D52" w:rsidRDefault="00116AAD" w:rsidP="5908500A">
            <w:pPr>
              <w:jc w:val="center"/>
              <w:rPr>
                <w:noProof/>
                <w:color w:val="000000" w:themeColor="text1"/>
              </w:rPr>
            </w:pPr>
            <w:r w:rsidRPr="00726D52">
              <w:rPr>
                <w:noProof/>
              </w:rPr>
              <w:t>TFEU</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5A4888D6" w14:textId="4C768BA6" w:rsidR="00116AAD" w:rsidRPr="00726D52" w:rsidRDefault="00116AAD" w:rsidP="5908500A">
            <w:pPr>
              <w:rPr>
                <w:noProof/>
              </w:rPr>
            </w:pPr>
            <w:r w:rsidRPr="00726D52">
              <w:rPr>
                <w:noProof/>
              </w:rPr>
              <w:t>Treaty on the Functioning of the European Union</w:t>
            </w:r>
          </w:p>
        </w:tc>
      </w:tr>
      <w:tr w:rsidR="00116AAD" w:rsidRPr="00726D52" w14:paraId="5BFFCB8E" w14:textId="77777777" w:rsidTr="00116AAD">
        <w:trPr>
          <w:trHeight w:val="15"/>
        </w:trPr>
        <w:tc>
          <w:tcPr>
            <w:tcW w:w="2321"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vAlign w:val="center"/>
          </w:tcPr>
          <w:p w14:paraId="6C8A5574" w14:textId="543D504D" w:rsidR="00116AAD" w:rsidRPr="00726D52" w:rsidRDefault="00116AAD" w:rsidP="5908500A">
            <w:pPr>
              <w:jc w:val="center"/>
              <w:rPr>
                <w:noProof/>
                <w:color w:val="000000" w:themeColor="text1"/>
              </w:rPr>
            </w:pPr>
            <w:r w:rsidRPr="00726D52">
              <w:rPr>
                <w:noProof/>
              </w:rPr>
              <w:t>UMF</w:t>
            </w:r>
          </w:p>
        </w:tc>
        <w:tc>
          <w:tcPr>
            <w:tcW w:w="6187" w:type="dxa"/>
            <w:tcBorders>
              <w:top w:val="single" w:sz="8" w:space="0" w:color="auto"/>
              <w:left w:val="single" w:sz="8" w:space="0" w:color="auto"/>
              <w:bottom w:val="single" w:sz="8" w:space="0" w:color="auto"/>
              <w:right w:val="single" w:sz="8" w:space="0" w:color="auto"/>
            </w:tcBorders>
            <w:tcMar>
              <w:top w:w="85" w:type="dxa"/>
              <w:left w:w="57" w:type="dxa"/>
              <w:bottom w:w="85" w:type="dxa"/>
              <w:right w:w="57" w:type="dxa"/>
            </w:tcMar>
          </w:tcPr>
          <w:p w14:paraId="11FD2FF1" w14:textId="2CB6A42A" w:rsidR="00116AAD" w:rsidRPr="00726D52" w:rsidRDefault="00116AAD" w:rsidP="5908500A">
            <w:pPr>
              <w:rPr>
                <w:noProof/>
              </w:rPr>
            </w:pPr>
            <w:r w:rsidRPr="00726D52">
              <w:rPr>
                <w:noProof/>
              </w:rPr>
              <w:t>Unform Messaging Format</w:t>
            </w:r>
          </w:p>
        </w:tc>
      </w:tr>
    </w:tbl>
    <w:p w14:paraId="5A378EDE" w14:textId="115006E3" w:rsidR="007C5A97" w:rsidRPr="00726D52" w:rsidRDefault="007C5A97" w:rsidP="000E3086">
      <w:pPr>
        <w:rPr>
          <w:noProof/>
        </w:rPr>
      </w:pPr>
    </w:p>
    <w:p w14:paraId="45396DD4" w14:textId="34DDE4BE" w:rsidR="006B087E" w:rsidRPr="00726D52" w:rsidRDefault="007C5A97" w:rsidP="0034715D">
      <w:pPr>
        <w:spacing w:after="200" w:line="276" w:lineRule="auto"/>
        <w:jc w:val="left"/>
        <w:rPr>
          <w:noProof/>
        </w:rPr>
      </w:pPr>
      <w:r w:rsidRPr="00726D52">
        <w:rPr>
          <w:noProof/>
        </w:rPr>
        <w:br w:type="page"/>
      </w:r>
    </w:p>
    <w:p w14:paraId="473747AA" w14:textId="2B054ED9" w:rsidR="006B087E" w:rsidRPr="00726D52" w:rsidRDefault="006B087E" w:rsidP="000E3086">
      <w:pPr>
        <w:pStyle w:val="Heading1"/>
        <w:rPr>
          <w:noProof/>
        </w:rPr>
      </w:pPr>
      <w:bookmarkStart w:id="1" w:name="_Toc224614029"/>
      <w:r w:rsidRPr="00726D52">
        <w:rPr>
          <w:noProof/>
        </w:rPr>
        <w:lastRenderedPageBreak/>
        <w:t>Introduction: Political and legal context</w:t>
      </w:r>
      <w:bookmarkEnd w:id="1"/>
    </w:p>
    <w:p w14:paraId="49E38DCB" w14:textId="410A590E" w:rsidR="00252439" w:rsidRPr="00726D52" w:rsidRDefault="00252439" w:rsidP="00252439">
      <w:pPr>
        <w:spacing w:after="120"/>
        <w:rPr>
          <w:rFonts w:eastAsia="Aptos"/>
          <w:noProof/>
        </w:rPr>
      </w:pPr>
      <w:r w:rsidRPr="00726D52">
        <w:rPr>
          <w:rFonts w:eastAsia="Aptos"/>
          <w:noProof/>
        </w:rPr>
        <w:t xml:space="preserve">The EU is entering a </w:t>
      </w:r>
      <w:r w:rsidRPr="00726D52">
        <w:rPr>
          <w:rFonts w:eastAsia="Aptos"/>
          <w:b/>
          <w:bCs/>
          <w:noProof/>
        </w:rPr>
        <w:t>new security era</w:t>
      </w:r>
      <w:r w:rsidRPr="00726D52">
        <w:rPr>
          <w:rFonts w:eastAsia="Aptos"/>
          <w:noProof/>
        </w:rPr>
        <w:t xml:space="preserve"> marked by rapid and lasting change. The assumptions that shaped Europe’s internal security framework even a decade ago are increasingly </w:t>
      </w:r>
      <w:r w:rsidR="00BB0038" w:rsidRPr="00726D52">
        <w:rPr>
          <w:rFonts w:eastAsia="Aptos"/>
          <w:noProof/>
        </w:rPr>
        <w:t xml:space="preserve">being </w:t>
      </w:r>
      <w:r w:rsidRPr="00726D52">
        <w:rPr>
          <w:rFonts w:eastAsia="Aptos"/>
          <w:noProof/>
        </w:rPr>
        <w:t xml:space="preserve">overtaken by a reality in which threats evolve faster, operate across borders by default, and unfold across highly interconnected digital, economic, and societal systems. </w:t>
      </w:r>
      <w:r w:rsidR="00183466" w:rsidRPr="00726D52">
        <w:rPr>
          <w:rFonts w:eastAsia="Aptos"/>
          <w:noProof/>
        </w:rPr>
        <w:t>At the same time, s</w:t>
      </w:r>
      <w:r w:rsidRPr="00726D52">
        <w:rPr>
          <w:rFonts w:eastAsia="Aptos"/>
          <w:noProof/>
        </w:rPr>
        <w:t>erious and organised crime, terrorism, cybercrime, and hybrid threats increasingly converge, combining criminal activity, cyber</w:t>
      </w:r>
      <w:r w:rsidR="00B612F2" w:rsidRPr="00726D52">
        <w:rPr>
          <w:rFonts w:eastAsia="Aptos"/>
          <w:noProof/>
        </w:rPr>
        <w:t>crime</w:t>
      </w:r>
      <w:r w:rsidRPr="00726D52">
        <w:rPr>
          <w:rFonts w:eastAsia="Aptos"/>
          <w:noProof/>
        </w:rPr>
        <w:t xml:space="preserve"> operations, and economic interference. Their effects ripple across the EU, threatening economic stability, straining institutional resilience, and eroding public trust. Geopolitical instability, including Russia’s war of aggression against Ukraine, has further amplified these risks.</w:t>
      </w:r>
    </w:p>
    <w:p w14:paraId="39C37991" w14:textId="692AD3BF" w:rsidR="00252439" w:rsidRPr="00726D52" w:rsidRDefault="00252439" w:rsidP="00252439">
      <w:pPr>
        <w:spacing w:after="120"/>
        <w:rPr>
          <w:rFonts w:eastAsia="Aptos"/>
          <w:noProof/>
        </w:rPr>
      </w:pPr>
      <w:r w:rsidRPr="00726D52">
        <w:rPr>
          <w:rFonts w:eastAsia="Aptos"/>
          <w:noProof/>
        </w:rPr>
        <w:t xml:space="preserve">As emphasised by the European Council in June 2025, </w:t>
      </w:r>
      <w:r w:rsidR="00463B97" w:rsidRPr="00726D52">
        <w:rPr>
          <w:rFonts w:eastAsia="Aptos"/>
          <w:i/>
          <w:iCs/>
          <w:noProof/>
        </w:rPr>
        <w:t>“s</w:t>
      </w:r>
      <w:r w:rsidRPr="00726D52">
        <w:rPr>
          <w:rFonts w:eastAsia="Aptos"/>
          <w:i/>
          <w:iCs/>
          <w:noProof/>
        </w:rPr>
        <w:t xml:space="preserve">erious and organised crime, and terrorism, radicalisation and violent extremism, both online and offline, </w:t>
      </w:r>
      <w:r w:rsidRPr="00726D52">
        <w:rPr>
          <w:rFonts w:eastAsia="Aptos"/>
          <w:b/>
          <w:bCs/>
          <w:i/>
          <w:iCs/>
          <w:noProof/>
        </w:rPr>
        <w:t>represent a major threat to European citizens and the security of Member States</w:t>
      </w:r>
      <w:r w:rsidR="00463B97" w:rsidRPr="00726D52">
        <w:rPr>
          <w:rFonts w:eastAsia="Aptos"/>
          <w:i/>
          <w:iCs/>
          <w:noProof/>
        </w:rPr>
        <w:t>”</w:t>
      </w:r>
      <w:r w:rsidR="003A71D0" w:rsidRPr="00726D52">
        <w:rPr>
          <w:rStyle w:val="FootnoteReference"/>
          <w:rFonts w:eastAsia="Aptos"/>
          <w:noProof/>
        </w:rPr>
        <w:footnoteReference w:id="2"/>
      </w:r>
      <w:r w:rsidR="003A71D0" w:rsidRPr="00726D52">
        <w:rPr>
          <w:rFonts w:eastAsia="Aptos"/>
          <w:noProof/>
        </w:rPr>
        <w:t>,</w:t>
      </w:r>
      <w:r w:rsidRPr="00726D52">
        <w:rPr>
          <w:rFonts w:eastAsia="Aptos"/>
          <w:noProof/>
        </w:rPr>
        <w:t xml:space="preserve"> requiring the mobilisation of all relevant instruments at both national and Union level. Their impact reaches beyond security alone, </w:t>
      </w:r>
      <w:r w:rsidR="000360F0" w:rsidRPr="00726D52">
        <w:rPr>
          <w:rFonts w:eastAsia="Aptos"/>
          <w:noProof/>
        </w:rPr>
        <w:t xml:space="preserve">affecting </w:t>
      </w:r>
      <w:r w:rsidRPr="00726D52">
        <w:rPr>
          <w:rFonts w:eastAsia="Aptos"/>
          <w:noProof/>
        </w:rPr>
        <w:t xml:space="preserve">citizens’ sense of safety and confidence in the EU’s ability to protect them. This concern is tangible, with 64% of EU citizens </w:t>
      </w:r>
      <w:r w:rsidR="006A492A" w:rsidRPr="00726D52">
        <w:rPr>
          <w:rFonts w:eastAsia="Aptos"/>
          <w:noProof/>
        </w:rPr>
        <w:t xml:space="preserve">saying they are </w:t>
      </w:r>
      <w:r w:rsidRPr="00726D52">
        <w:rPr>
          <w:rFonts w:eastAsia="Aptos"/>
          <w:noProof/>
        </w:rPr>
        <w:t>worried about the EU’s security in the coming years</w:t>
      </w:r>
      <w:r w:rsidRPr="00726D52">
        <w:rPr>
          <w:rStyle w:val="FootnoteReference"/>
          <w:rFonts w:eastAsia="Aptos"/>
          <w:noProof/>
        </w:rPr>
        <w:footnoteReference w:id="3"/>
      </w:r>
      <w:r w:rsidRPr="00726D52">
        <w:rPr>
          <w:rFonts w:eastAsia="Aptos"/>
          <w:noProof/>
        </w:rPr>
        <w:t>.</w:t>
      </w:r>
    </w:p>
    <w:p w14:paraId="1B1B7AD5" w14:textId="63E1AA08" w:rsidR="00252439" w:rsidRPr="00726D52" w:rsidRDefault="00252439" w:rsidP="00252439">
      <w:pPr>
        <w:spacing w:after="120"/>
        <w:rPr>
          <w:rFonts w:eastAsia="Aptos"/>
          <w:noProof/>
        </w:rPr>
      </w:pPr>
      <w:r w:rsidRPr="00726D52">
        <w:rPr>
          <w:rFonts w:eastAsia="Aptos"/>
          <w:noProof/>
        </w:rPr>
        <w:t xml:space="preserve">This evolving threat landscape unfolds within an area without internal frontiers, where free movement is a defining strength of the EU and where preparedness must match the scale and fluidity of cross-border threats. In such a space, security </w:t>
      </w:r>
      <w:r w:rsidR="00891DA7" w:rsidRPr="00726D52">
        <w:rPr>
          <w:rFonts w:eastAsia="Aptos"/>
          <w:noProof/>
        </w:rPr>
        <w:t>cannot</w:t>
      </w:r>
      <w:r w:rsidRPr="00726D52">
        <w:rPr>
          <w:rFonts w:eastAsia="Aptos"/>
          <w:noProof/>
        </w:rPr>
        <w:t xml:space="preserve"> be </w:t>
      </w:r>
      <w:r w:rsidR="00C929EA" w:rsidRPr="00726D52">
        <w:rPr>
          <w:rFonts w:eastAsia="Aptos"/>
          <w:noProof/>
        </w:rPr>
        <w:t xml:space="preserve">ensured </w:t>
      </w:r>
      <w:r w:rsidR="00891DA7" w:rsidRPr="00726D52">
        <w:rPr>
          <w:rFonts w:eastAsia="Aptos"/>
          <w:noProof/>
        </w:rPr>
        <w:t>by Member States acting alone</w:t>
      </w:r>
      <w:r w:rsidRPr="00726D52">
        <w:rPr>
          <w:rFonts w:eastAsia="Aptos"/>
          <w:noProof/>
        </w:rPr>
        <w:t>. Europe’s security architecture therefore combines action within national jurisdictions with coordination at Union level, where information can be brought together, cross-border connections identified, and common responses enabled</w:t>
      </w:r>
      <w:r w:rsidRPr="00726D52">
        <w:rPr>
          <w:rStyle w:val="FootnoteReference"/>
          <w:rFonts w:eastAsia="Aptos"/>
          <w:noProof/>
        </w:rPr>
        <w:footnoteReference w:id="4"/>
      </w:r>
      <w:r w:rsidRPr="00726D52">
        <w:rPr>
          <w:rFonts w:eastAsia="Aptos"/>
          <w:noProof/>
        </w:rPr>
        <w:t xml:space="preserve">. This </w:t>
      </w:r>
      <w:r w:rsidR="00891DA7" w:rsidRPr="00726D52">
        <w:rPr>
          <w:rFonts w:eastAsia="Aptos"/>
          <w:noProof/>
        </w:rPr>
        <w:t>allows</w:t>
      </w:r>
      <w:r w:rsidRPr="00726D52">
        <w:rPr>
          <w:rFonts w:eastAsia="Aptos"/>
          <w:noProof/>
        </w:rPr>
        <w:t xml:space="preserve"> threats </w:t>
      </w:r>
      <w:r w:rsidR="00C6505F" w:rsidRPr="00726D52">
        <w:rPr>
          <w:rFonts w:eastAsia="Aptos"/>
          <w:noProof/>
        </w:rPr>
        <w:t>to be addressed more effectively and at the right scale</w:t>
      </w:r>
      <w:r w:rsidRPr="00726D52">
        <w:rPr>
          <w:rFonts w:eastAsia="Aptos"/>
          <w:noProof/>
        </w:rPr>
        <w:t>.</w:t>
      </w:r>
      <w:r w:rsidR="00C13588" w:rsidRPr="00726D52">
        <w:rPr>
          <w:noProof/>
        </w:rPr>
        <w:t xml:space="preserve"> </w:t>
      </w:r>
      <w:r w:rsidR="00C13588" w:rsidRPr="00726D52">
        <w:rPr>
          <w:rFonts w:eastAsia="Aptos"/>
          <w:noProof/>
        </w:rPr>
        <w:t>This architecture relies on a broader ecosystem of EU bodies and agencies operating across different stages of the security and criminal justice chain. Within this framework, Europol supports criminal intelligence analysis, operational coordination and information exchange between law enforcement authorities. Eurojust facilitates judicial cooperation and coordination between prosecutors and judicial authorities. The EPPO investigates and prosecutes criminal offences affecting the financial interests of the Union, while OLAF conducts administrative investigations into fraud, corruption and other irregularities affecting the EU budget. Frontex supports border management and contributes to situational awareness at the external borders, including in relation to cross-border crime. Europol increasingly operates in close interaction with these actors, notably through information exchange, analytical support, operational coordination and cross-system cooperation.</w:t>
      </w:r>
    </w:p>
    <w:p w14:paraId="0843F7FA" w14:textId="065C2DC5" w:rsidR="00252439" w:rsidRPr="00726D52" w:rsidRDefault="00252439" w:rsidP="00252439">
      <w:pPr>
        <w:spacing w:after="120"/>
        <w:rPr>
          <w:rFonts w:eastAsia="Aptos"/>
          <w:noProof/>
        </w:rPr>
      </w:pPr>
      <w:r w:rsidRPr="00726D52">
        <w:rPr>
          <w:rFonts w:eastAsia="Aptos"/>
          <w:noProof/>
        </w:rPr>
        <w:t xml:space="preserve">These dynamics are reflected in Europol’s 2025 </w:t>
      </w:r>
      <w:r w:rsidR="003C119B" w:rsidRPr="00726D52">
        <w:rPr>
          <w:rFonts w:eastAsia="Aptos"/>
          <w:noProof/>
        </w:rPr>
        <w:t>E</w:t>
      </w:r>
      <w:r w:rsidR="00970699" w:rsidRPr="00726D52">
        <w:rPr>
          <w:rFonts w:eastAsia="Aptos"/>
          <w:noProof/>
        </w:rPr>
        <w:t xml:space="preserve">U </w:t>
      </w:r>
      <w:r w:rsidRPr="00726D52">
        <w:rPr>
          <w:rFonts w:eastAsia="Aptos"/>
          <w:noProof/>
        </w:rPr>
        <w:t>Serious and Organised Crime Threat Assessment</w:t>
      </w:r>
      <w:r w:rsidRPr="00726D52">
        <w:rPr>
          <w:rStyle w:val="FootnoteReference"/>
          <w:rFonts w:eastAsia="Aptos"/>
          <w:noProof/>
        </w:rPr>
        <w:footnoteReference w:id="5"/>
      </w:r>
      <w:r w:rsidRPr="00726D52">
        <w:rPr>
          <w:rFonts w:eastAsia="Aptos"/>
          <w:noProof/>
        </w:rPr>
        <w:t xml:space="preserve">, which identifies a </w:t>
      </w:r>
      <w:r w:rsidRPr="00726D52">
        <w:rPr>
          <w:rFonts w:eastAsia="Aptos"/>
          <w:b/>
          <w:bCs/>
          <w:noProof/>
        </w:rPr>
        <w:t>fundamental transformation in the nature of crime</w:t>
      </w:r>
      <w:r w:rsidRPr="00726D52">
        <w:rPr>
          <w:rFonts w:eastAsia="Aptos"/>
          <w:noProof/>
        </w:rPr>
        <w:t>. Criminal networks</w:t>
      </w:r>
      <w:r w:rsidRPr="00726D52">
        <w:rPr>
          <w:rStyle w:val="FootnoteReference"/>
          <w:rFonts w:eastAsia="Aptos"/>
          <w:noProof/>
        </w:rPr>
        <w:footnoteReference w:id="6"/>
      </w:r>
      <w:r w:rsidRPr="00726D52">
        <w:rPr>
          <w:rFonts w:eastAsia="Aptos"/>
          <w:noProof/>
        </w:rPr>
        <w:t xml:space="preserve"> are more resilient, technologically enabled, and transnational than ever </w:t>
      </w:r>
      <w:r w:rsidRPr="00726D52">
        <w:rPr>
          <w:rFonts w:eastAsia="Aptos"/>
          <w:noProof/>
        </w:rPr>
        <w:lastRenderedPageBreak/>
        <w:t xml:space="preserve">before. They operate simultaneously across multiple jurisdictions and rely extensively on digital infrastructures, encryption, financial systems, and emerging technologies </w:t>
      </w:r>
      <w:r w:rsidR="00F329E5" w:rsidRPr="00726D52">
        <w:rPr>
          <w:rFonts w:eastAsia="Aptos"/>
          <w:noProof/>
        </w:rPr>
        <w:t>(for example cryptocurrencies or anonymisation tools)</w:t>
      </w:r>
      <w:r w:rsidRPr="00726D52">
        <w:rPr>
          <w:rFonts w:eastAsia="Aptos"/>
          <w:noProof/>
        </w:rPr>
        <w:t xml:space="preserve"> to organise, expand, and conceal their activities. Digitalisation has accelerated the scale, reach, and operational sophistication of criminal and terrorist actors</w:t>
      </w:r>
      <w:r w:rsidR="00953BF3" w:rsidRPr="00726D52">
        <w:rPr>
          <w:rFonts w:eastAsia="Aptos"/>
          <w:noProof/>
        </w:rPr>
        <w:t>. For example, organised crime groups increasingly use encrypted communication platforms, online marketplaces and digital payments to coordinate activities across borders.</w:t>
      </w:r>
      <w:r w:rsidRPr="00726D52">
        <w:rPr>
          <w:rFonts w:eastAsia="Aptos"/>
          <w:noProof/>
        </w:rPr>
        <w:t xml:space="preserve"> </w:t>
      </w:r>
      <w:r w:rsidR="00D245A5" w:rsidRPr="00726D52">
        <w:rPr>
          <w:rFonts w:eastAsia="Aptos"/>
          <w:noProof/>
        </w:rPr>
        <w:t xml:space="preserve">At the same time, </w:t>
      </w:r>
      <w:r w:rsidRPr="00726D52">
        <w:rPr>
          <w:rFonts w:eastAsia="Aptos"/>
          <w:noProof/>
        </w:rPr>
        <w:t>the growing convergence between cybercrime</w:t>
      </w:r>
      <w:r w:rsidRPr="00726D52">
        <w:rPr>
          <w:rStyle w:val="FootnoteReference"/>
          <w:rFonts w:eastAsia="Aptos"/>
          <w:noProof/>
        </w:rPr>
        <w:footnoteReference w:id="7"/>
      </w:r>
      <w:r w:rsidRPr="00726D52">
        <w:rPr>
          <w:rFonts w:eastAsia="Aptos"/>
          <w:noProof/>
        </w:rPr>
        <w:t>, financial crime</w:t>
      </w:r>
      <w:r w:rsidRPr="00726D52">
        <w:rPr>
          <w:rStyle w:val="FootnoteReference"/>
          <w:rFonts w:eastAsia="Aptos"/>
          <w:noProof/>
        </w:rPr>
        <w:footnoteReference w:id="8"/>
      </w:r>
      <w:r w:rsidRPr="00726D52">
        <w:rPr>
          <w:rFonts w:eastAsia="Aptos"/>
          <w:noProof/>
        </w:rPr>
        <w:t>, and terrorism</w:t>
      </w:r>
      <w:r w:rsidRPr="00726D52">
        <w:rPr>
          <w:rStyle w:val="FootnoteReference"/>
          <w:rFonts w:eastAsia="Aptos"/>
          <w:noProof/>
        </w:rPr>
        <w:footnoteReference w:id="9"/>
      </w:r>
      <w:r w:rsidRPr="00726D52">
        <w:rPr>
          <w:rFonts w:eastAsia="Aptos"/>
          <w:noProof/>
        </w:rPr>
        <w:t xml:space="preserve"> further increases the complexity of the threat environment.</w:t>
      </w:r>
    </w:p>
    <w:p w14:paraId="328CE6F2" w14:textId="1AFBF3ED" w:rsidR="00252439" w:rsidRPr="00726D52" w:rsidRDefault="00252439" w:rsidP="00252439">
      <w:pPr>
        <w:spacing w:after="120"/>
        <w:rPr>
          <w:rFonts w:eastAsia="Aptos"/>
          <w:noProof/>
        </w:rPr>
      </w:pPr>
      <w:r w:rsidRPr="00726D52">
        <w:rPr>
          <w:rFonts w:eastAsia="Aptos"/>
          <w:noProof/>
        </w:rPr>
        <w:t xml:space="preserve">This transformation is driving a </w:t>
      </w:r>
      <w:r w:rsidR="00450A78" w:rsidRPr="00726D52">
        <w:rPr>
          <w:rFonts w:eastAsia="Aptos"/>
          <w:noProof/>
        </w:rPr>
        <w:t>change</w:t>
      </w:r>
      <w:r w:rsidR="00463B97" w:rsidRPr="00726D52">
        <w:rPr>
          <w:rFonts w:eastAsia="Aptos"/>
          <w:noProof/>
        </w:rPr>
        <w:t xml:space="preserve"> </w:t>
      </w:r>
      <w:r w:rsidRPr="00726D52">
        <w:rPr>
          <w:rFonts w:eastAsia="Aptos"/>
          <w:noProof/>
        </w:rPr>
        <w:t>in how security is organised across the EU. Member States are modernising their frameworks and deepening cooperation</w:t>
      </w:r>
      <w:r w:rsidRPr="00726D52">
        <w:rPr>
          <w:rStyle w:val="FootnoteReference"/>
          <w:rFonts w:eastAsia="Aptos"/>
          <w:noProof/>
        </w:rPr>
        <w:footnoteReference w:id="10"/>
      </w:r>
      <w:r w:rsidRPr="00726D52">
        <w:rPr>
          <w:rFonts w:eastAsia="Aptos"/>
          <w:noProof/>
        </w:rPr>
        <w:t xml:space="preserve">. More fundamentally, these developments are </w:t>
      </w:r>
      <w:r w:rsidRPr="00726D52">
        <w:rPr>
          <w:rFonts w:eastAsia="Aptos"/>
          <w:b/>
          <w:bCs/>
          <w:noProof/>
        </w:rPr>
        <w:t xml:space="preserve">reshaping expectations </w:t>
      </w:r>
      <w:r w:rsidRPr="00726D52">
        <w:rPr>
          <w:rFonts w:eastAsia="Aptos"/>
          <w:noProof/>
        </w:rPr>
        <w:t xml:space="preserve">placed on law enforcement authorities and on the Union’s collective capacity to act. </w:t>
      </w:r>
      <w:r w:rsidR="00E348B7" w:rsidRPr="00726D52">
        <w:rPr>
          <w:rFonts w:eastAsia="Aptos"/>
          <w:noProof/>
        </w:rPr>
        <w:t>N</w:t>
      </w:r>
      <w:r w:rsidRPr="00726D52">
        <w:rPr>
          <w:rFonts w:eastAsia="Aptos"/>
          <w:noProof/>
        </w:rPr>
        <w:t>o single authority</w:t>
      </w:r>
      <w:r w:rsidR="00E348B7" w:rsidRPr="00726D52">
        <w:rPr>
          <w:rFonts w:eastAsia="Aptos"/>
          <w:noProof/>
        </w:rPr>
        <w:t xml:space="preserve"> </w:t>
      </w:r>
      <w:r w:rsidRPr="00726D52">
        <w:rPr>
          <w:rFonts w:eastAsia="Aptos"/>
          <w:noProof/>
        </w:rPr>
        <w:t xml:space="preserve">can fully capture or address threats that develop simultaneously across multiple jurisdictions and operational domains. </w:t>
      </w:r>
    </w:p>
    <w:p w14:paraId="6284A36F" w14:textId="0A47A130" w:rsidR="00252439" w:rsidRPr="00726D52" w:rsidRDefault="00252439" w:rsidP="00252439">
      <w:pPr>
        <w:spacing w:after="120"/>
        <w:rPr>
          <w:rFonts w:eastAsia="Aptos"/>
          <w:noProof/>
        </w:rPr>
      </w:pPr>
      <w:r w:rsidRPr="00726D52">
        <w:rPr>
          <w:rFonts w:eastAsia="Aptos"/>
          <w:noProof/>
        </w:rPr>
        <w:t xml:space="preserve">In response and recognising that internal security is a shared European responsibility, the EU has articulated an ambitious political vision to strengthen its collective security, notably through </w:t>
      </w:r>
      <w:r w:rsidRPr="00726D52">
        <w:rPr>
          <w:rFonts w:eastAsia="Aptos"/>
          <w:b/>
          <w:bCs/>
          <w:noProof/>
        </w:rPr>
        <w:t xml:space="preserve">ProtectEU </w:t>
      </w:r>
      <w:r w:rsidR="2D8D6944" w:rsidRPr="00726D52">
        <w:rPr>
          <w:rFonts w:eastAsia="Aptos"/>
          <w:b/>
          <w:bCs/>
          <w:noProof/>
        </w:rPr>
        <w:t xml:space="preserve">– </w:t>
      </w:r>
      <w:r w:rsidR="384DEB3E" w:rsidRPr="00726D52">
        <w:rPr>
          <w:rFonts w:eastAsia="Aptos"/>
          <w:b/>
          <w:bCs/>
          <w:noProof/>
        </w:rPr>
        <w:t>a</w:t>
      </w:r>
      <w:r w:rsidRPr="00726D52">
        <w:rPr>
          <w:rFonts w:eastAsia="Aptos"/>
          <w:b/>
          <w:bCs/>
          <w:noProof/>
        </w:rPr>
        <w:t xml:space="preserve"> </w:t>
      </w:r>
      <w:r w:rsidR="2D8D6944" w:rsidRPr="00726D52">
        <w:rPr>
          <w:rFonts w:eastAsia="Aptos"/>
          <w:b/>
          <w:bCs/>
          <w:noProof/>
        </w:rPr>
        <w:t xml:space="preserve">European </w:t>
      </w:r>
      <w:r w:rsidRPr="00726D52">
        <w:rPr>
          <w:rFonts w:eastAsia="Aptos"/>
          <w:b/>
          <w:bCs/>
          <w:noProof/>
        </w:rPr>
        <w:t>Internal Security Strategy</w:t>
      </w:r>
      <w:r w:rsidR="000B56B0" w:rsidRPr="00726D52">
        <w:rPr>
          <w:rStyle w:val="FootnoteReference"/>
          <w:rFonts w:eastAsia="Aptos"/>
          <w:b/>
          <w:bCs/>
          <w:noProof/>
        </w:rPr>
        <w:footnoteReference w:id="11"/>
      </w:r>
      <w:r w:rsidRPr="00726D52">
        <w:rPr>
          <w:rFonts w:eastAsia="Aptos"/>
          <w:noProof/>
        </w:rPr>
        <w:t xml:space="preserve">. At the centre of this vision stands Europol, </w:t>
      </w:r>
      <w:r w:rsidR="00735B20" w:rsidRPr="00726D52">
        <w:rPr>
          <w:rFonts w:eastAsia="Aptos"/>
          <w:noProof/>
        </w:rPr>
        <w:t>a key instrument of European cooperation in internal security</w:t>
      </w:r>
      <w:r w:rsidRPr="00726D52">
        <w:rPr>
          <w:rFonts w:eastAsia="Aptos"/>
          <w:noProof/>
        </w:rPr>
        <w:t xml:space="preserve">. </w:t>
      </w:r>
      <w:r w:rsidR="00A41F64" w:rsidRPr="00726D52">
        <w:rPr>
          <w:rFonts w:eastAsia="Aptos"/>
          <w:noProof/>
        </w:rPr>
        <w:t xml:space="preserve">Established two decades ago to support cooperation between national law enforcement authorities, the agency has progressively evolved into a key operational and analytical hub. By enabling information exchange, criminal intelligence analysis and coordinated action against cross-border crime, Europol helps Member States detect criminal networks, connect intelligence and act collectively against threats that no single </w:t>
      </w:r>
      <w:r w:rsidR="00DF3497" w:rsidRPr="00726D52">
        <w:rPr>
          <w:rFonts w:eastAsia="Aptos"/>
          <w:noProof/>
        </w:rPr>
        <w:t xml:space="preserve">national </w:t>
      </w:r>
      <w:r w:rsidR="00A41F64" w:rsidRPr="00726D52">
        <w:rPr>
          <w:rFonts w:eastAsia="Aptos"/>
          <w:noProof/>
        </w:rPr>
        <w:t xml:space="preserve">authority could address alone. </w:t>
      </w:r>
      <w:r w:rsidRPr="00726D52">
        <w:rPr>
          <w:rFonts w:eastAsia="Aptos"/>
          <w:noProof/>
        </w:rPr>
        <w:t>Over the past 2</w:t>
      </w:r>
      <w:r w:rsidR="56C3271A" w:rsidRPr="00726D52">
        <w:rPr>
          <w:rFonts w:eastAsia="Aptos"/>
          <w:noProof/>
        </w:rPr>
        <w:t>6</w:t>
      </w:r>
      <w:r w:rsidRPr="00726D52">
        <w:rPr>
          <w:rFonts w:eastAsia="Aptos"/>
          <w:noProof/>
        </w:rPr>
        <w:t xml:space="preserve"> years, Europol has evolved from a coordination platform into a central operational and analytical hub at the heart of Europe’s law enforcement architecture. By </w:t>
      </w:r>
      <w:r w:rsidR="004E0EFE" w:rsidRPr="00726D52">
        <w:rPr>
          <w:rFonts w:eastAsia="Aptos"/>
          <w:noProof/>
        </w:rPr>
        <w:t>supporting thousands</w:t>
      </w:r>
      <w:r w:rsidRPr="00726D52">
        <w:rPr>
          <w:rFonts w:eastAsia="Aptos"/>
          <w:noProof/>
        </w:rPr>
        <w:t xml:space="preserve"> of operations each year and enabling millions of information exchanges, Europol has </w:t>
      </w:r>
      <w:r w:rsidR="00C56133" w:rsidRPr="00726D52">
        <w:rPr>
          <w:rFonts w:eastAsia="Aptos"/>
          <w:noProof/>
        </w:rPr>
        <w:t xml:space="preserve">helped </w:t>
      </w:r>
      <w:r w:rsidRPr="00726D52">
        <w:rPr>
          <w:rFonts w:eastAsia="Aptos"/>
          <w:noProof/>
        </w:rPr>
        <w:t xml:space="preserve">transform fragmented national efforts into a </w:t>
      </w:r>
      <w:r w:rsidR="00C56133" w:rsidRPr="00726D52">
        <w:rPr>
          <w:rFonts w:eastAsia="Aptos"/>
          <w:noProof/>
        </w:rPr>
        <w:t>more</w:t>
      </w:r>
      <w:r w:rsidRPr="00726D52">
        <w:rPr>
          <w:rFonts w:eastAsia="Aptos"/>
          <w:noProof/>
        </w:rPr>
        <w:t xml:space="preserve"> connected European response.</w:t>
      </w:r>
      <w:r w:rsidRPr="00726D52">
        <w:rPr>
          <w:rStyle w:val="FootnoteReference"/>
          <w:rFonts w:eastAsia="Aptos"/>
          <w:noProof/>
        </w:rPr>
        <w:footnoteReference w:id="12"/>
      </w:r>
    </w:p>
    <w:p w14:paraId="157ECB25" w14:textId="78FF5420" w:rsidR="00252439" w:rsidRPr="00726D52" w:rsidRDefault="00252439" w:rsidP="00252439">
      <w:pPr>
        <w:spacing w:after="120"/>
        <w:rPr>
          <w:rFonts w:eastAsia="Aptos"/>
          <w:noProof/>
        </w:rPr>
      </w:pPr>
      <w:r w:rsidRPr="00726D52">
        <w:rPr>
          <w:rFonts w:eastAsia="Aptos"/>
          <w:noProof/>
        </w:rPr>
        <w:t xml:space="preserve">Europol is today a force multiplier for European security, reflecting a shift from cooperation as an option to </w:t>
      </w:r>
      <w:r w:rsidRPr="00726D52">
        <w:rPr>
          <w:rFonts w:eastAsia="Aptos"/>
          <w:b/>
          <w:bCs/>
          <w:noProof/>
        </w:rPr>
        <w:t>cooperation as a necessity</w:t>
      </w:r>
      <w:r w:rsidRPr="00726D52">
        <w:rPr>
          <w:rFonts w:eastAsia="Aptos"/>
          <w:noProof/>
        </w:rPr>
        <w:t>. This level of integration, once unimaginable, has been enabled through successive legal reinforcements,</w:t>
      </w:r>
      <w:r w:rsidRPr="00726D52">
        <w:rPr>
          <w:rStyle w:val="FootnoteReference"/>
          <w:rFonts w:eastAsia="Aptos"/>
          <w:noProof/>
        </w:rPr>
        <w:footnoteReference w:id="13"/>
      </w:r>
      <w:r w:rsidR="0029097E" w:rsidRPr="00726D52">
        <w:rPr>
          <w:rFonts w:eastAsia="Aptos"/>
          <w:noProof/>
        </w:rPr>
        <w:t xml:space="preserve"> building on Member States’ willingness to pool expertise and capabilities to step up the fight against serious crime and terrorism</w:t>
      </w:r>
      <w:r w:rsidR="00C56133" w:rsidRPr="00726D52">
        <w:rPr>
          <w:rFonts w:eastAsia="Aptos"/>
          <w:noProof/>
        </w:rPr>
        <w:t>.</w:t>
      </w:r>
      <w:r w:rsidR="0029097E" w:rsidRPr="00726D52">
        <w:rPr>
          <w:rFonts w:eastAsia="Aptos"/>
          <w:noProof/>
        </w:rPr>
        <w:t xml:space="preserve"> </w:t>
      </w:r>
      <w:r w:rsidR="00C22EA7" w:rsidRPr="00726D52">
        <w:rPr>
          <w:rFonts w:eastAsia="Aptos"/>
          <w:noProof/>
        </w:rPr>
        <w:t xml:space="preserve">In doing so, it gives practical </w:t>
      </w:r>
      <w:r w:rsidRPr="00726D52">
        <w:rPr>
          <w:rFonts w:eastAsia="Aptos"/>
          <w:noProof/>
        </w:rPr>
        <w:t xml:space="preserve">effect to the Treaties’ objective of ensuring a high level of security for the EU and its citizens in an area without internal </w:t>
      </w:r>
      <w:r w:rsidRPr="00726D52">
        <w:rPr>
          <w:rFonts w:eastAsia="Aptos"/>
          <w:noProof/>
        </w:rPr>
        <w:lastRenderedPageBreak/>
        <w:t>frontiers</w:t>
      </w:r>
      <w:r w:rsidRPr="00726D52">
        <w:rPr>
          <w:rStyle w:val="FootnoteReference"/>
          <w:rFonts w:eastAsia="Aptos"/>
          <w:noProof/>
        </w:rPr>
        <w:footnoteReference w:id="14"/>
      </w:r>
      <w:r w:rsidRPr="00726D52">
        <w:rPr>
          <w:rFonts w:eastAsia="Aptos"/>
          <w:noProof/>
        </w:rPr>
        <w:t xml:space="preserve">. As its mandate and tools have evolved, Europol has become a central pillar of a more integrated and operational European security architecture. </w:t>
      </w:r>
    </w:p>
    <w:p w14:paraId="3C43FA8C" w14:textId="7DAC46AD" w:rsidR="00252439" w:rsidRPr="00726D52" w:rsidRDefault="00252439" w:rsidP="00252439">
      <w:pPr>
        <w:spacing w:after="120"/>
        <w:rPr>
          <w:rFonts w:eastAsia="Aptos"/>
          <w:noProof/>
        </w:rPr>
      </w:pPr>
      <w:r w:rsidRPr="00726D52">
        <w:rPr>
          <w:rFonts w:eastAsia="Aptos"/>
          <w:noProof/>
        </w:rPr>
        <w:t xml:space="preserve">Yet Europol’s success has also raised </w:t>
      </w:r>
      <w:r w:rsidR="00D72277" w:rsidRPr="00726D52">
        <w:rPr>
          <w:rFonts w:eastAsia="Aptos"/>
          <w:noProof/>
        </w:rPr>
        <w:t>expectations about what European cooperation can</w:t>
      </w:r>
      <w:r w:rsidRPr="00726D52">
        <w:rPr>
          <w:rFonts w:eastAsia="Aptos"/>
          <w:noProof/>
        </w:rPr>
        <w:t xml:space="preserve"> deliver. It has shown that collective action </w:t>
      </w:r>
      <w:r w:rsidR="004472A5" w:rsidRPr="00726D52">
        <w:rPr>
          <w:rFonts w:eastAsia="Aptos"/>
          <w:noProof/>
        </w:rPr>
        <w:t xml:space="preserve">and EU support </w:t>
      </w:r>
      <w:r w:rsidRPr="00726D52">
        <w:rPr>
          <w:rFonts w:eastAsia="Aptos"/>
          <w:noProof/>
        </w:rPr>
        <w:t xml:space="preserve">can extend the reach and effectiveness of national authorities. In particular, the </w:t>
      </w:r>
      <w:r w:rsidRPr="00726D52">
        <w:rPr>
          <w:rFonts w:eastAsia="Aptos"/>
          <w:b/>
          <w:bCs/>
          <w:noProof/>
        </w:rPr>
        <w:t>2022 reform</w:t>
      </w:r>
      <w:r w:rsidR="006237CD" w:rsidRPr="00726D52">
        <w:rPr>
          <w:rStyle w:val="FootnoteReference"/>
          <w:rFonts w:eastAsia="Aptos"/>
          <w:noProof/>
        </w:rPr>
        <w:footnoteReference w:id="15"/>
      </w:r>
      <w:r w:rsidRPr="00726D52">
        <w:rPr>
          <w:rFonts w:eastAsia="Aptos"/>
          <w:noProof/>
        </w:rPr>
        <w:t xml:space="preserve"> marked a decisive strengthening of Europol’s mandate, </w:t>
      </w:r>
      <w:r w:rsidR="005C643D" w:rsidRPr="00726D52">
        <w:rPr>
          <w:rFonts w:eastAsia="Aptos"/>
          <w:noProof/>
        </w:rPr>
        <w:t>addressing urgent operational and legal constraints identified at that time, notably concerning large datasets and cooperation with private parties</w:t>
      </w:r>
      <w:r w:rsidRPr="00726D52">
        <w:rPr>
          <w:rFonts w:eastAsia="Aptos"/>
          <w:noProof/>
        </w:rPr>
        <w:t xml:space="preserve">. </w:t>
      </w:r>
      <w:r w:rsidR="006E7B02" w:rsidRPr="00726D52">
        <w:rPr>
          <w:rFonts w:eastAsia="Aptos"/>
          <w:noProof/>
        </w:rPr>
        <w:t xml:space="preserve">However, the operational and technological environment has evolved at a significantly faster pace than anticipated at the time of the 2022 </w:t>
      </w:r>
      <w:r w:rsidR="00F64D05" w:rsidRPr="00726D52">
        <w:rPr>
          <w:rFonts w:eastAsia="Aptos"/>
          <w:noProof/>
        </w:rPr>
        <w:t>reform</w:t>
      </w:r>
      <w:r w:rsidR="005C643D" w:rsidRPr="00726D52">
        <w:rPr>
          <w:rFonts w:eastAsia="Aptos"/>
          <w:noProof/>
        </w:rPr>
        <w:t xml:space="preserve">, with an exponential increase in multi-source data, growing expectations regarding proactive operational support, and the emergence of more integrated EU security frameworks and cooperation models. </w:t>
      </w:r>
      <w:r w:rsidRPr="00726D52">
        <w:rPr>
          <w:rFonts w:eastAsia="Aptos"/>
          <w:noProof/>
        </w:rPr>
        <w:t>Threats that once appeared at the periphery have moved to the forefront, redefining the scale and intensity of the challenge</w:t>
      </w:r>
      <w:r w:rsidR="00BC34E7" w:rsidRPr="00726D52">
        <w:rPr>
          <w:rFonts w:eastAsia="Aptos"/>
          <w:noProof/>
        </w:rPr>
        <w:t>s</w:t>
      </w:r>
      <w:r w:rsidRPr="00726D52">
        <w:rPr>
          <w:rFonts w:eastAsia="Aptos"/>
          <w:noProof/>
        </w:rPr>
        <w:t xml:space="preserve"> facing the Union</w:t>
      </w:r>
      <w:r w:rsidRPr="00726D52">
        <w:rPr>
          <w:rStyle w:val="FootnoteReference"/>
          <w:rFonts w:eastAsia="Aptos"/>
          <w:noProof/>
        </w:rPr>
        <w:footnoteReference w:id="16"/>
      </w:r>
      <w:r w:rsidRPr="00726D52">
        <w:rPr>
          <w:rFonts w:eastAsia="Aptos"/>
          <w:noProof/>
        </w:rPr>
        <w:t xml:space="preserve">. </w:t>
      </w:r>
      <w:r w:rsidR="005C643D" w:rsidRPr="00726D52">
        <w:rPr>
          <w:rFonts w:eastAsia="Aptos"/>
          <w:noProof/>
        </w:rPr>
        <w:t>These developments have revealed structural limitations in the current mandate which go beyond the targeted adjustments introduced in 2022.</w:t>
      </w:r>
    </w:p>
    <w:p w14:paraId="16EF97DE" w14:textId="77777777" w:rsidR="00252439" w:rsidRPr="00726D52" w:rsidRDefault="00252439" w:rsidP="00252439">
      <w:pPr>
        <w:spacing w:after="120"/>
        <w:rPr>
          <w:rFonts w:eastAsia="Aptos"/>
          <w:noProof/>
        </w:rPr>
      </w:pPr>
      <w:r w:rsidRPr="00726D52">
        <w:rPr>
          <w:rFonts w:eastAsia="Aptos"/>
          <w:noProof/>
        </w:rPr>
        <w:t xml:space="preserve">This acceleration calls for safeguarding Europol’s ability to operate effectively in the face of new threats. This ambition lies at the heart of the Union’s political priorities. In her </w:t>
      </w:r>
      <w:r w:rsidRPr="00726D52">
        <w:rPr>
          <w:rFonts w:eastAsia="Aptos"/>
          <w:b/>
          <w:bCs/>
          <w:noProof/>
        </w:rPr>
        <w:t>Political Guidelines, President von der Leyen</w:t>
      </w:r>
      <w:r w:rsidRPr="00726D52">
        <w:rPr>
          <w:rFonts w:eastAsia="Aptos"/>
          <w:noProof/>
        </w:rPr>
        <w:t xml:space="preserve"> called for making Europol “a truly operational police agency”, signalling a clear commitment to equip the Union with the capabilities required to respond to a rapidly evolving threat environment.</w:t>
      </w:r>
    </w:p>
    <w:p w14:paraId="00A1CC4F" w14:textId="78FA2221" w:rsidR="00252439" w:rsidRPr="00726D52" w:rsidRDefault="00252439" w:rsidP="00252439">
      <w:pPr>
        <w:spacing w:after="120"/>
        <w:rPr>
          <w:rFonts w:eastAsia="Aptos"/>
          <w:noProof/>
        </w:rPr>
      </w:pPr>
      <w:r w:rsidRPr="00726D52">
        <w:rPr>
          <w:rFonts w:eastAsia="Aptos"/>
          <w:noProof/>
        </w:rPr>
        <w:t>This impact assessment therefore examines how Europol’s legal framework</w:t>
      </w:r>
      <w:r w:rsidR="004472A5" w:rsidRPr="00726D52">
        <w:rPr>
          <w:rFonts w:eastAsia="Aptos"/>
          <w:noProof/>
        </w:rPr>
        <w:t>, capabilities and resource</w:t>
      </w:r>
      <w:r w:rsidR="002B0911" w:rsidRPr="00726D52">
        <w:rPr>
          <w:rFonts w:eastAsia="Aptos"/>
          <w:noProof/>
        </w:rPr>
        <w:t>s</w:t>
      </w:r>
      <w:r w:rsidRPr="00726D52">
        <w:rPr>
          <w:rFonts w:eastAsia="Aptos"/>
          <w:noProof/>
        </w:rPr>
        <w:t xml:space="preserve"> need to evolve to ensure the Union remains able to address emerging security challenges effectively, with </w:t>
      </w:r>
      <w:r w:rsidR="006A492A" w:rsidRPr="00726D52">
        <w:rPr>
          <w:rFonts w:eastAsia="Aptos"/>
          <w:noProof/>
        </w:rPr>
        <w:t>a stronger focus</w:t>
      </w:r>
      <w:r w:rsidRPr="00726D52">
        <w:rPr>
          <w:rFonts w:eastAsia="Aptos"/>
          <w:noProof/>
        </w:rPr>
        <w:t xml:space="preserve"> on speed, integration</w:t>
      </w:r>
      <w:r w:rsidR="006204BF" w:rsidRPr="00726D52">
        <w:rPr>
          <w:rFonts w:eastAsia="Aptos"/>
          <w:noProof/>
        </w:rPr>
        <w:t>,</w:t>
      </w:r>
      <w:r w:rsidRPr="00726D52">
        <w:rPr>
          <w:rFonts w:eastAsia="Aptos"/>
          <w:noProof/>
        </w:rPr>
        <w:t xml:space="preserve"> and operational effectiveness. As technology redefines the nature of security itself, it is essential to put in place a robust and future-proof framework that enables Europol to respond to evolving threats</w:t>
      </w:r>
      <w:r w:rsidR="00A649BA" w:rsidRPr="00726D52">
        <w:rPr>
          <w:rFonts w:eastAsia="Aptos"/>
          <w:noProof/>
        </w:rPr>
        <w:t xml:space="preserve">, in close coordination with all relevant </w:t>
      </w:r>
      <w:r w:rsidR="261F0ED7" w:rsidRPr="00726D52">
        <w:rPr>
          <w:rFonts w:eastAsia="Aptos"/>
          <w:noProof/>
        </w:rPr>
        <w:t xml:space="preserve">Union </w:t>
      </w:r>
      <w:r w:rsidR="00A649BA" w:rsidRPr="00726D52">
        <w:rPr>
          <w:rFonts w:eastAsia="Aptos"/>
          <w:noProof/>
        </w:rPr>
        <w:t>bodies and agencies,</w:t>
      </w:r>
      <w:r w:rsidRPr="00726D52">
        <w:rPr>
          <w:rFonts w:eastAsia="Aptos"/>
          <w:noProof/>
        </w:rPr>
        <w:t xml:space="preserve"> while remaining firmly grounded in the Union’s values and trusted by its citizens</w:t>
      </w:r>
      <w:r w:rsidR="004E3DFD" w:rsidRPr="00726D52">
        <w:rPr>
          <w:rFonts w:eastAsia="Aptos"/>
          <w:noProof/>
        </w:rPr>
        <w:t xml:space="preserve">, including </w:t>
      </w:r>
      <w:r w:rsidR="006A492A" w:rsidRPr="00726D52">
        <w:rPr>
          <w:rFonts w:eastAsia="Aptos"/>
          <w:noProof/>
        </w:rPr>
        <w:t>by</w:t>
      </w:r>
      <w:r w:rsidR="004E3DFD" w:rsidRPr="00726D52">
        <w:rPr>
          <w:rFonts w:eastAsia="Aptos"/>
          <w:noProof/>
        </w:rPr>
        <w:t xml:space="preserve"> maintaining a high level of data protection at Europol</w:t>
      </w:r>
      <w:r w:rsidRPr="00726D52">
        <w:rPr>
          <w:rFonts w:eastAsia="Aptos"/>
          <w:noProof/>
        </w:rPr>
        <w:t>.</w:t>
      </w:r>
    </w:p>
    <w:p w14:paraId="5182D3DF" w14:textId="658F78F2" w:rsidR="00F40937" w:rsidRPr="00726D52" w:rsidRDefault="00252439" w:rsidP="00252439">
      <w:pPr>
        <w:spacing w:after="120"/>
        <w:rPr>
          <w:rFonts w:eastAsia="Aptos"/>
          <w:noProof/>
        </w:rPr>
      </w:pPr>
      <w:r w:rsidRPr="00726D52">
        <w:rPr>
          <w:rFonts w:eastAsia="Aptos"/>
          <w:noProof/>
        </w:rPr>
        <w:t xml:space="preserve">This assessment takes place within a </w:t>
      </w:r>
      <w:r w:rsidRPr="00726D52">
        <w:rPr>
          <w:rFonts w:eastAsia="Aptos"/>
          <w:b/>
          <w:bCs/>
          <w:noProof/>
        </w:rPr>
        <w:t>broader effort to strengthen the Union’s overall security architecture</w:t>
      </w:r>
      <w:r w:rsidR="00F40937" w:rsidRPr="00726D52">
        <w:rPr>
          <w:rFonts w:eastAsia="Aptos"/>
          <w:b/>
          <w:bCs/>
          <w:noProof/>
        </w:rPr>
        <w:t xml:space="preserve"> </w:t>
      </w:r>
      <w:r w:rsidR="00F40937" w:rsidRPr="00726D52">
        <w:rPr>
          <w:rFonts w:eastAsia="Aptos"/>
          <w:noProof/>
        </w:rPr>
        <w:t xml:space="preserve">as outlined in ProtectEU. </w:t>
      </w:r>
      <w:r w:rsidR="007A44F4" w:rsidRPr="00726D52">
        <w:rPr>
          <w:rFonts w:eastAsia="Aptos"/>
          <w:noProof/>
        </w:rPr>
        <w:t>In this context, several legislative and policy initiatives are being advanced to reinforce the EU’s response to serious and organised crime</w:t>
      </w:r>
      <w:r w:rsidR="00D051F8" w:rsidRPr="00726D52">
        <w:rPr>
          <w:rFonts w:eastAsia="Aptos"/>
          <w:noProof/>
        </w:rPr>
        <w:t xml:space="preserve"> and terrorism</w:t>
      </w:r>
      <w:r w:rsidR="007A44F4" w:rsidRPr="00726D52">
        <w:rPr>
          <w:rFonts w:eastAsia="Aptos"/>
          <w:noProof/>
        </w:rPr>
        <w:t xml:space="preserve">. These include the recently adopted proposal </w:t>
      </w:r>
      <w:r w:rsidR="001E7685" w:rsidRPr="00726D52">
        <w:rPr>
          <w:rFonts w:eastAsia="Aptos"/>
          <w:noProof/>
        </w:rPr>
        <w:t>establishing</w:t>
      </w:r>
      <w:r w:rsidR="005565DA" w:rsidRPr="00726D52">
        <w:rPr>
          <w:rFonts w:eastAsia="Aptos"/>
          <w:noProof/>
        </w:rPr>
        <w:t xml:space="preserve"> EU</w:t>
      </w:r>
      <w:r w:rsidR="00D34C34" w:rsidRPr="00726D52">
        <w:rPr>
          <w:rFonts w:eastAsia="Aptos"/>
          <w:noProof/>
        </w:rPr>
        <w:t xml:space="preserve">-wide rules against the trafficking of illicit </w:t>
      </w:r>
      <w:r w:rsidR="005565DA" w:rsidRPr="00726D52">
        <w:rPr>
          <w:rFonts w:eastAsia="Aptos"/>
          <w:noProof/>
        </w:rPr>
        <w:t>firearms</w:t>
      </w:r>
      <w:r w:rsidR="004C4C16" w:rsidRPr="00726D52">
        <w:rPr>
          <w:rStyle w:val="FootnoteReference"/>
          <w:rFonts w:eastAsia="Aptos"/>
          <w:noProof/>
        </w:rPr>
        <w:footnoteReference w:id="17"/>
      </w:r>
      <w:r w:rsidR="007A44F4" w:rsidRPr="00726D52">
        <w:rPr>
          <w:rFonts w:eastAsia="Aptos"/>
          <w:noProof/>
        </w:rPr>
        <w:t xml:space="preserve"> and the forthcoming proposal establishing new EU rules to fight organised crime</w:t>
      </w:r>
      <w:r w:rsidR="004C4C16" w:rsidRPr="00726D52">
        <w:rPr>
          <w:rStyle w:val="FootnoteReference"/>
          <w:rFonts w:eastAsia="Aptos"/>
          <w:noProof/>
        </w:rPr>
        <w:footnoteReference w:id="18"/>
      </w:r>
      <w:r w:rsidR="007A44F4" w:rsidRPr="00726D52">
        <w:rPr>
          <w:rFonts w:eastAsia="Aptos"/>
          <w:noProof/>
        </w:rPr>
        <w:t xml:space="preserve">. </w:t>
      </w:r>
      <w:r w:rsidR="007C374D" w:rsidRPr="00726D52">
        <w:rPr>
          <w:rFonts w:eastAsia="Aptos"/>
          <w:noProof/>
        </w:rPr>
        <w:t xml:space="preserve">At the same time, a number of operational and strategic initiatives have been put forward to support Member States in </w:t>
      </w:r>
      <w:r w:rsidR="007C374D" w:rsidRPr="00726D52">
        <w:rPr>
          <w:rFonts w:eastAsia="Aptos"/>
          <w:noProof/>
        </w:rPr>
        <w:lastRenderedPageBreak/>
        <w:t xml:space="preserve">addressing evolving threats, including the </w:t>
      </w:r>
      <w:r w:rsidR="00ED4B31" w:rsidRPr="00726D52">
        <w:rPr>
          <w:rFonts w:eastAsia="Aptos"/>
          <w:noProof/>
        </w:rPr>
        <w:t xml:space="preserve">new </w:t>
      </w:r>
      <w:r w:rsidR="007C374D" w:rsidRPr="00726D52">
        <w:rPr>
          <w:rFonts w:eastAsia="Aptos"/>
          <w:noProof/>
        </w:rPr>
        <w:t>EU Drug Strategy</w:t>
      </w:r>
      <w:r w:rsidR="00CE6C3E" w:rsidRPr="00726D52">
        <w:rPr>
          <w:rStyle w:val="FootnoteReference"/>
          <w:rFonts w:eastAsia="Aptos"/>
          <w:noProof/>
        </w:rPr>
        <w:footnoteReference w:id="19"/>
      </w:r>
      <w:r w:rsidR="00ED4B31" w:rsidRPr="00726D52">
        <w:rPr>
          <w:rFonts w:eastAsia="Aptos"/>
          <w:noProof/>
        </w:rPr>
        <w:t xml:space="preserve"> and</w:t>
      </w:r>
      <w:r w:rsidR="007C374D" w:rsidRPr="00726D52">
        <w:rPr>
          <w:rFonts w:eastAsia="Aptos"/>
          <w:noProof/>
        </w:rPr>
        <w:t xml:space="preserve"> Action Plan against drug trafficking</w:t>
      </w:r>
      <w:r w:rsidR="00D010FE" w:rsidRPr="00726D52">
        <w:rPr>
          <w:rStyle w:val="FootnoteReference"/>
          <w:rFonts w:eastAsia="Aptos"/>
          <w:noProof/>
        </w:rPr>
        <w:footnoteReference w:id="20"/>
      </w:r>
      <w:r w:rsidR="007C374D" w:rsidRPr="00726D52">
        <w:rPr>
          <w:rFonts w:eastAsia="Aptos"/>
          <w:noProof/>
        </w:rPr>
        <w:t xml:space="preserve">, and the </w:t>
      </w:r>
      <w:r w:rsidR="00EF450B" w:rsidRPr="00726D52">
        <w:rPr>
          <w:rFonts w:eastAsia="Aptos"/>
          <w:noProof/>
        </w:rPr>
        <w:t>A</w:t>
      </w:r>
      <w:r w:rsidR="002733FB" w:rsidRPr="00726D52">
        <w:rPr>
          <w:rFonts w:eastAsia="Aptos"/>
          <w:noProof/>
        </w:rPr>
        <w:t>genda</w:t>
      </w:r>
      <w:r w:rsidR="007C374D" w:rsidRPr="00726D52">
        <w:rPr>
          <w:rFonts w:eastAsia="Aptos"/>
          <w:noProof/>
        </w:rPr>
        <w:t xml:space="preserve"> to prevent and counter terrorism</w:t>
      </w:r>
      <w:r w:rsidR="005C6649" w:rsidRPr="00726D52">
        <w:rPr>
          <w:rStyle w:val="FootnoteReference"/>
          <w:rFonts w:eastAsia="Aptos"/>
          <w:noProof/>
        </w:rPr>
        <w:footnoteReference w:id="21"/>
      </w:r>
      <w:r w:rsidR="007C374D" w:rsidRPr="00726D52">
        <w:rPr>
          <w:rFonts w:eastAsia="Aptos"/>
          <w:noProof/>
        </w:rPr>
        <w:t>.</w:t>
      </w:r>
    </w:p>
    <w:p w14:paraId="008D0F6C" w14:textId="240B4E90" w:rsidR="00295082" w:rsidRPr="00726D52" w:rsidRDefault="00252439" w:rsidP="00AF3028">
      <w:pPr>
        <w:spacing w:after="120"/>
        <w:rPr>
          <w:rFonts w:eastAsia="Aptos"/>
          <w:noProof/>
        </w:rPr>
      </w:pPr>
      <w:r w:rsidRPr="00726D52">
        <w:rPr>
          <w:rFonts w:eastAsia="Aptos"/>
          <w:noProof/>
        </w:rPr>
        <w:t xml:space="preserve">It also contributes to improving the effectiveness of the </w:t>
      </w:r>
      <w:r w:rsidRPr="00726D52">
        <w:rPr>
          <w:rFonts w:eastAsia="Aptos"/>
          <w:b/>
          <w:bCs/>
          <w:noProof/>
        </w:rPr>
        <w:t xml:space="preserve">EU’s unique ecosystem of specialised </w:t>
      </w:r>
      <w:r w:rsidR="00567932" w:rsidRPr="00726D52">
        <w:rPr>
          <w:rFonts w:eastAsia="Aptos"/>
          <w:b/>
          <w:bCs/>
          <w:noProof/>
        </w:rPr>
        <w:t xml:space="preserve">bodies and </w:t>
      </w:r>
      <w:r w:rsidRPr="00726D52">
        <w:rPr>
          <w:rFonts w:eastAsia="Aptos"/>
          <w:b/>
          <w:bCs/>
          <w:noProof/>
        </w:rPr>
        <w:t>agencies,</w:t>
      </w:r>
      <w:r w:rsidRPr="00726D52">
        <w:rPr>
          <w:rFonts w:eastAsia="Aptos"/>
          <w:noProof/>
        </w:rPr>
        <w:t xml:space="preserve"> whose mandates are being revised</w:t>
      </w:r>
      <w:r w:rsidRPr="00726D52">
        <w:rPr>
          <w:rStyle w:val="FootnoteReference"/>
          <w:rFonts w:eastAsia="Aptos"/>
          <w:noProof/>
        </w:rPr>
        <w:footnoteReference w:id="22"/>
      </w:r>
      <w:r w:rsidRPr="00726D52">
        <w:rPr>
          <w:rFonts w:eastAsia="Aptos"/>
          <w:noProof/>
        </w:rPr>
        <w:t xml:space="preserve"> to reflect evolving</w:t>
      </w:r>
      <w:r w:rsidR="00E05608" w:rsidRPr="00726D52">
        <w:rPr>
          <w:rFonts w:eastAsia="Aptos"/>
          <w:noProof/>
        </w:rPr>
        <w:t xml:space="preserve"> </w:t>
      </w:r>
      <w:r w:rsidRPr="00726D52">
        <w:rPr>
          <w:rFonts w:eastAsia="Aptos"/>
          <w:noProof/>
        </w:rPr>
        <w:t>operational demands. Frontex</w:t>
      </w:r>
      <w:r w:rsidRPr="00726D52">
        <w:rPr>
          <w:rStyle w:val="FootnoteReference"/>
          <w:rFonts w:eastAsia="Aptos"/>
          <w:noProof/>
        </w:rPr>
        <w:footnoteReference w:id="23"/>
      </w:r>
      <w:r w:rsidRPr="00726D52">
        <w:rPr>
          <w:rFonts w:eastAsia="Aptos"/>
          <w:noProof/>
        </w:rPr>
        <w:t>, Europol, Eurojust</w:t>
      </w:r>
      <w:r w:rsidRPr="00726D52">
        <w:rPr>
          <w:rStyle w:val="FootnoteReference"/>
          <w:rFonts w:eastAsia="Aptos"/>
          <w:noProof/>
        </w:rPr>
        <w:footnoteReference w:id="24"/>
      </w:r>
      <w:r w:rsidRPr="00726D52">
        <w:rPr>
          <w:rFonts w:eastAsia="Aptos"/>
          <w:noProof/>
        </w:rPr>
        <w:t xml:space="preserve">, and the </w:t>
      </w:r>
      <w:r w:rsidR="001645F4" w:rsidRPr="00726D52">
        <w:rPr>
          <w:rFonts w:eastAsia="Aptos"/>
          <w:noProof/>
        </w:rPr>
        <w:t>EPPO</w:t>
      </w:r>
      <w:r w:rsidRPr="00726D52">
        <w:rPr>
          <w:rStyle w:val="FootnoteReference"/>
          <w:rFonts w:eastAsia="Aptos"/>
          <w:noProof/>
        </w:rPr>
        <w:footnoteReference w:id="25"/>
      </w:r>
      <w:r w:rsidRPr="00726D52">
        <w:rPr>
          <w:rFonts w:eastAsia="Aptos"/>
          <w:noProof/>
        </w:rPr>
        <w:t xml:space="preserve"> each fulfil distinct but complementary roles across the security and criminal justice continuum. Ensuring seamless </w:t>
      </w:r>
      <w:r w:rsidR="009E382B" w:rsidRPr="00726D52">
        <w:rPr>
          <w:rFonts w:eastAsia="Aptos"/>
          <w:noProof/>
        </w:rPr>
        <w:t>cooperation and</w:t>
      </w:r>
      <w:r w:rsidRPr="00726D52">
        <w:rPr>
          <w:rFonts w:eastAsia="Aptos"/>
          <w:noProof/>
        </w:rPr>
        <w:t xml:space="preserve"> information exchange between them is essential </w:t>
      </w:r>
      <w:r w:rsidR="009E382B" w:rsidRPr="00726D52">
        <w:rPr>
          <w:rFonts w:eastAsia="Aptos"/>
          <w:noProof/>
        </w:rPr>
        <w:t>for</w:t>
      </w:r>
      <w:r w:rsidRPr="00726D52">
        <w:rPr>
          <w:rFonts w:eastAsia="Aptos"/>
          <w:noProof/>
        </w:rPr>
        <w:t xml:space="preserve"> a more integrated and effective European response.</w:t>
      </w:r>
      <w:r w:rsidR="002F18EE" w:rsidRPr="00726D52">
        <w:rPr>
          <w:rFonts w:eastAsia="Aptos"/>
          <w:noProof/>
        </w:rPr>
        <w:t xml:space="preserve"> </w:t>
      </w:r>
      <w:r w:rsidR="005B4D38" w:rsidRPr="00726D52">
        <w:rPr>
          <w:rFonts w:eastAsia="Aptos"/>
          <w:noProof/>
        </w:rPr>
        <w:t xml:space="preserve">In practice, these interactions increasingly require continuous operational coordination and interoperable information flows across the different stages of detection, intelligence development, investigation, prosecution and operational follow-up. This includes, for example, Europol’s analytical support to cross-border investigations coordinated by Eurojust, cooperation with the EPPO in complex financial and organised crime investigations, exchanges with OLAF in relation to fraud patterns affecting the EU budget and support to Frontex regarding criminal intelligence linked to migrant smuggling, trafficking in human beings and other cross-border criminal activities. </w:t>
      </w:r>
      <w:r w:rsidR="00AF4573" w:rsidRPr="00726D52">
        <w:rPr>
          <w:rFonts w:eastAsia="Aptos"/>
          <w:noProof/>
        </w:rPr>
        <w:t>Closer cooperation and information exchange between relevant EU bodies and agencies is also an integral part of the comprehensive review of the EU's anti-fraud architecture (AFA) to strengthen oversight and accountability</w:t>
      </w:r>
      <w:r w:rsidR="00AF4573" w:rsidRPr="00726D52">
        <w:rPr>
          <w:rStyle w:val="FootnoteReference"/>
          <w:rFonts w:eastAsia="Aptos"/>
          <w:noProof/>
        </w:rPr>
        <w:footnoteReference w:id="26"/>
      </w:r>
      <w:r w:rsidR="00E3764A" w:rsidRPr="00726D52">
        <w:rPr>
          <w:rFonts w:eastAsia="Aptos"/>
          <w:noProof/>
        </w:rPr>
        <w:t>.</w:t>
      </w:r>
    </w:p>
    <w:p w14:paraId="16E4ABBF" w14:textId="6D110576" w:rsidR="00AF3028" w:rsidRPr="00726D52" w:rsidRDefault="00CB2C4E" w:rsidP="00623A6F">
      <w:pPr>
        <w:spacing w:after="120"/>
        <w:rPr>
          <w:rFonts w:eastAsia="Aptos"/>
          <w:noProof/>
        </w:rPr>
      </w:pPr>
      <w:r w:rsidRPr="00726D52">
        <w:rPr>
          <w:rFonts w:eastAsia="Aptos"/>
          <w:noProof/>
        </w:rPr>
        <w:t xml:space="preserve">The revision of Europol’s framework also takes place in parallel with the revision of </w:t>
      </w:r>
      <w:r w:rsidR="00315B7A" w:rsidRPr="00726D52">
        <w:rPr>
          <w:rFonts w:eastAsia="Aptos"/>
          <w:noProof/>
        </w:rPr>
        <w:t>C</w:t>
      </w:r>
      <w:r w:rsidR="008064B6" w:rsidRPr="00726D52">
        <w:rPr>
          <w:rFonts w:eastAsia="Aptos"/>
          <w:noProof/>
        </w:rPr>
        <w:t xml:space="preserve">hapter IX of </w:t>
      </w:r>
      <w:r w:rsidRPr="00726D52">
        <w:rPr>
          <w:rFonts w:eastAsia="Aptos"/>
          <w:noProof/>
        </w:rPr>
        <w:t xml:space="preserve">the </w:t>
      </w:r>
      <w:r w:rsidRPr="00726D52">
        <w:rPr>
          <w:rFonts w:eastAsia="Aptos"/>
          <w:b/>
          <w:bCs/>
          <w:noProof/>
        </w:rPr>
        <w:t>EU legal framework on data protection for EU institutions, bodies, offices and agencies</w:t>
      </w:r>
      <w:r w:rsidR="00623A6F" w:rsidRPr="00726D52">
        <w:rPr>
          <w:rFonts w:eastAsia="Aptos"/>
          <w:b/>
          <w:bCs/>
          <w:noProof/>
        </w:rPr>
        <w:t xml:space="preserve"> (</w:t>
      </w:r>
      <w:r w:rsidR="00AF3028" w:rsidRPr="00726D52">
        <w:rPr>
          <w:rFonts w:eastAsia="Aptos"/>
          <w:b/>
          <w:bCs/>
          <w:noProof/>
        </w:rPr>
        <w:t>EUDPR</w:t>
      </w:r>
      <w:r w:rsidR="00623A6F" w:rsidRPr="00726D52">
        <w:rPr>
          <w:rFonts w:eastAsia="Aptos"/>
          <w:b/>
          <w:bCs/>
          <w:noProof/>
        </w:rPr>
        <w:t>)</w:t>
      </w:r>
      <w:r w:rsidR="00936D7D" w:rsidRPr="00726D52">
        <w:rPr>
          <w:rStyle w:val="FootnoteReference"/>
          <w:rFonts w:eastAsia="Aptos"/>
          <w:b/>
          <w:bCs/>
          <w:noProof/>
        </w:rPr>
        <w:footnoteReference w:id="27"/>
      </w:r>
      <w:r w:rsidR="00FF5BAB" w:rsidRPr="00726D52">
        <w:rPr>
          <w:rFonts w:eastAsia="Aptos"/>
          <w:noProof/>
        </w:rPr>
        <w:t>. This provides</w:t>
      </w:r>
      <w:r w:rsidR="00623A6F" w:rsidRPr="00726D52">
        <w:rPr>
          <w:rFonts w:eastAsia="Aptos"/>
          <w:noProof/>
        </w:rPr>
        <w:t xml:space="preserve"> </w:t>
      </w:r>
      <w:r w:rsidR="00AF3028" w:rsidRPr="00726D52">
        <w:rPr>
          <w:rFonts w:eastAsia="Aptos"/>
          <w:noProof/>
        </w:rPr>
        <w:t>an opportunity to ensur</w:t>
      </w:r>
      <w:r w:rsidR="00750730" w:rsidRPr="00726D52">
        <w:rPr>
          <w:rFonts w:eastAsia="Aptos"/>
          <w:noProof/>
        </w:rPr>
        <w:t>e</w:t>
      </w:r>
      <w:r w:rsidR="00AF3028" w:rsidRPr="00726D52">
        <w:rPr>
          <w:rFonts w:eastAsia="Aptos"/>
          <w:noProof/>
        </w:rPr>
        <w:t xml:space="preserve"> full coherence</w:t>
      </w:r>
      <w:r w:rsidR="00623A6F" w:rsidRPr="00726D52">
        <w:rPr>
          <w:rFonts w:eastAsia="Aptos"/>
          <w:noProof/>
        </w:rPr>
        <w:t xml:space="preserve"> </w:t>
      </w:r>
      <w:r w:rsidR="00AF3028" w:rsidRPr="00726D52">
        <w:rPr>
          <w:rFonts w:eastAsia="Aptos"/>
          <w:noProof/>
        </w:rPr>
        <w:t>and</w:t>
      </w:r>
      <w:r w:rsidR="00750730" w:rsidRPr="00726D52">
        <w:rPr>
          <w:rFonts w:eastAsia="Aptos"/>
          <w:noProof/>
        </w:rPr>
        <w:t xml:space="preserve"> </w:t>
      </w:r>
      <w:r w:rsidR="00AF3028" w:rsidRPr="00726D52">
        <w:rPr>
          <w:rFonts w:eastAsia="Aptos"/>
          <w:noProof/>
        </w:rPr>
        <w:t>alignment between Europol’s evolving operational mandate and the EU data protection framework</w:t>
      </w:r>
      <w:r w:rsidR="004850B6" w:rsidRPr="00726D52">
        <w:rPr>
          <w:rStyle w:val="FootnoteReference"/>
          <w:rFonts w:eastAsia="Aptos"/>
          <w:noProof/>
        </w:rPr>
        <w:footnoteReference w:id="28"/>
      </w:r>
      <w:r w:rsidR="00AF3028" w:rsidRPr="00726D52">
        <w:rPr>
          <w:rFonts w:eastAsia="Aptos"/>
          <w:noProof/>
        </w:rPr>
        <w:t xml:space="preserve">. </w:t>
      </w:r>
    </w:p>
    <w:p w14:paraId="1C0E0B74" w14:textId="07FD8AE9" w:rsidR="001C153A" w:rsidRPr="00726D52" w:rsidRDefault="001C153A" w:rsidP="00AF3028">
      <w:pPr>
        <w:spacing w:after="120"/>
        <w:rPr>
          <w:rFonts w:eastAsia="Aptos"/>
          <w:noProof/>
        </w:rPr>
      </w:pPr>
      <w:r w:rsidRPr="00726D52">
        <w:rPr>
          <w:rFonts w:eastAsia="Aptos"/>
          <w:noProof/>
        </w:rPr>
        <w:t xml:space="preserve">In this evolving landscape, ensuring that Europol remains capable of supporting a strong and integrated European response to security threats </w:t>
      </w:r>
      <w:r w:rsidR="0060445C" w:rsidRPr="00726D52">
        <w:rPr>
          <w:rFonts w:eastAsia="Aptos"/>
          <w:b/>
          <w:bCs/>
          <w:noProof/>
        </w:rPr>
        <w:t>remains strategically important for the Union</w:t>
      </w:r>
      <w:r w:rsidRPr="00726D52">
        <w:rPr>
          <w:rFonts w:eastAsia="Aptos"/>
          <w:noProof/>
        </w:rPr>
        <w:t>.</w:t>
      </w:r>
      <w:r w:rsidR="005870DF" w:rsidRPr="00726D52">
        <w:rPr>
          <w:rFonts w:eastAsia="Aptos"/>
          <w:noProof/>
        </w:rPr>
        <w:t xml:space="preserve"> It also provides an opportunity to ensure greater legal coherence across the broader EU internal security framework, including ongoing reforms affecting information </w:t>
      </w:r>
      <w:r w:rsidR="005870DF" w:rsidRPr="00726D52">
        <w:rPr>
          <w:rFonts w:eastAsia="Aptos"/>
          <w:noProof/>
        </w:rPr>
        <w:lastRenderedPageBreak/>
        <w:t>exchange, interoperability, anti-fraud cooperation and operational coordination between Union bodies and agencies.</w:t>
      </w:r>
    </w:p>
    <w:p w14:paraId="5BDA5DC0" w14:textId="77777777" w:rsidR="006B087E" w:rsidRPr="00726D52" w:rsidRDefault="006B087E" w:rsidP="000E3086">
      <w:pPr>
        <w:pStyle w:val="Heading1"/>
        <w:rPr>
          <w:noProof/>
        </w:rPr>
      </w:pPr>
      <w:bookmarkStart w:id="2" w:name="_Toc224614030"/>
      <w:r w:rsidRPr="00726D52">
        <w:rPr>
          <w:noProof/>
        </w:rPr>
        <w:t>Problem definition</w:t>
      </w:r>
      <w:bookmarkEnd w:id="2"/>
    </w:p>
    <w:p w14:paraId="26D72349" w14:textId="7E5A0106" w:rsidR="007B7865" w:rsidRPr="00726D52" w:rsidRDefault="009F4B98" w:rsidP="007B7865">
      <w:pPr>
        <w:spacing w:after="120"/>
        <w:rPr>
          <w:noProof/>
        </w:rPr>
      </w:pPr>
      <w:r w:rsidRPr="00726D52">
        <w:rPr>
          <w:noProof/>
        </w:rPr>
        <w:t>In today</w:t>
      </w:r>
      <w:r w:rsidR="00637014" w:rsidRPr="00726D52">
        <w:rPr>
          <w:noProof/>
        </w:rPr>
        <w:t xml:space="preserve">’s security environment, effective cooperation between law enforcement authorities and </w:t>
      </w:r>
      <w:r w:rsidR="00637014" w:rsidRPr="00726D52">
        <w:rPr>
          <w:b/>
          <w:bCs/>
          <w:noProof/>
        </w:rPr>
        <w:t xml:space="preserve">strong EU-level </w:t>
      </w:r>
      <w:r w:rsidR="00884328" w:rsidRPr="00726D52">
        <w:rPr>
          <w:b/>
          <w:bCs/>
          <w:noProof/>
        </w:rPr>
        <w:t xml:space="preserve">coordination </w:t>
      </w:r>
      <w:r w:rsidR="00637014" w:rsidRPr="00726D52">
        <w:rPr>
          <w:noProof/>
        </w:rPr>
        <w:t>have become essential to complement and reinforce Member States’ efforts.</w:t>
      </w:r>
    </w:p>
    <w:p w14:paraId="267179F1" w14:textId="2F9046A6" w:rsidR="007B7865" w:rsidRPr="00726D52" w:rsidRDefault="00726D52" w:rsidP="007B7865">
      <w:pPr>
        <w:spacing w:after="120"/>
        <w:rPr>
          <w:noProof/>
        </w:rPr>
      </w:pPr>
      <w:r w:rsidRPr="00726D52">
        <w:rPr>
          <w:noProof/>
        </w:rPr>
        <w:t>The importance of strong European cooperation</w:t>
      </w:r>
      <w:r w:rsidR="00F558E8" w:rsidRPr="00726D52">
        <w:rPr>
          <w:noProof/>
        </w:rPr>
        <w:t xml:space="preserve"> </w:t>
      </w:r>
      <w:r w:rsidR="00DD0108" w:rsidRPr="00726D52">
        <w:rPr>
          <w:noProof/>
        </w:rPr>
        <w:t>i</w:t>
      </w:r>
      <w:r w:rsidR="00F558E8" w:rsidRPr="00726D52">
        <w:rPr>
          <w:noProof/>
        </w:rPr>
        <w:t xml:space="preserve">s reflected in the European Police Chiefs Convention </w:t>
      </w:r>
      <w:r w:rsidR="005C1D7D" w:rsidRPr="00726D52">
        <w:rPr>
          <w:noProof/>
        </w:rPr>
        <w:t xml:space="preserve">of </w:t>
      </w:r>
      <w:r w:rsidR="00F558E8" w:rsidRPr="00726D52">
        <w:rPr>
          <w:noProof/>
        </w:rPr>
        <w:t>2023</w:t>
      </w:r>
      <w:r w:rsidR="00F558E8" w:rsidRPr="00726D52">
        <w:rPr>
          <w:rStyle w:val="FootnoteReference"/>
          <w:rFonts w:eastAsia="Aptos"/>
          <w:noProof/>
        </w:rPr>
        <w:footnoteReference w:id="29"/>
      </w:r>
      <w:r w:rsidR="00F558E8" w:rsidRPr="00726D52">
        <w:rPr>
          <w:noProof/>
        </w:rPr>
        <w:t xml:space="preserve"> and the joint call </w:t>
      </w:r>
      <w:r w:rsidR="007432CE" w:rsidRPr="00726D52">
        <w:rPr>
          <w:noProof/>
        </w:rPr>
        <w:t>by</w:t>
      </w:r>
      <w:r w:rsidR="00F558E8" w:rsidRPr="00726D52">
        <w:rPr>
          <w:noProof/>
        </w:rPr>
        <w:t xml:space="preserve"> European </w:t>
      </w:r>
      <w:r w:rsidR="005C1D7D" w:rsidRPr="00726D52">
        <w:rPr>
          <w:noProof/>
        </w:rPr>
        <w:t>P</w:t>
      </w:r>
      <w:r w:rsidR="00F558E8" w:rsidRPr="00726D52">
        <w:rPr>
          <w:noProof/>
        </w:rPr>
        <w:t xml:space="preserve">olice </w:t>
      </w:r>
      <w:r w:rsidR="005C1D7D" w:rsidRPr="00726D52">
        <w:rPr>
          <w:noProof/>
        </w:rPr>
        <w:t>C</w:t>
      </w:r>
      <w:r w:rsidR="00F558E8" w:rsidRPr="00726D52">
        <w:rPr>
          <w:noProof/>
        </w:rPr>
        <w:t>hiefs</w:t>
      </w:r>
      <w:r w:rsidR="00F558E8" w:rsidRPr="00726D52">
        <w:rPr>
          <w:rStyle w:val="FootnoteReference"/>
          <w:noProof/>
        </w:rPr>
        <w:footnoteReference w:id="30"/>
      </w:r>
      <w:r w:rsidR="00F558E8" w:rsidRPr="00726D52">
        <w:rPr>
          <w:noProof/>
        </w:rPr>
        <w:t xml:space="preserve"> in 2025 to further strengthen Europol’s role.</w:t>
      </w:r>
    </w:p>
    <w:p w14:paraId="064748D9" w14:textId="79E77AFA" w:rsidR="007B7865" w:rsidRPr="00726D52" w:rsidRDefault="572771D4" w:rsidP="005D1F20">
      <w:pPr>
        <w:pStyle w:val="Text2"/>
        <w:spacing w:after="120" w:line="257" w:lineRule="auto"/>
        <w:ind w:left="0"/>
        <w:rPr>
          <w:noProof/>
        </w:rPr>
      </w:pPr>
      <w:r w:rsidRPr="00726D52">
        <w:rPr>
          <w:noProof/>
        </w:rPr>
        <w:t xml:space="preserve">Despite its strengthened mandate, Europol is </w:t>
      </w:r>
      <w:r w:rsidRPr="00726D52">
        <w:rPr>
          <w:b/>
          <w:bCs/>
          <w:noProof/>
        </w:rPr>
        <w:t>not fully equipped</w:t>
      </w:r>
      <w:r w:rsidRPr="00726D52">
        <w:rPr>
          <w:noProof/>
        </w:rPr>
        <w:t xml:space="preserve"> </w:t>
      </w:r>
      <w:r w:rsidR="6EA0AA31" w:rsidRPr="00726D52">
        <w:rPr>
          <w:b/>
          <w:bCs/>
          <w:noProof/>
        </w:rPr>
        <w:t>to</w:t>
      </w:r>
      <w:r w:rsidR="1911194E" w:rsidRPr="00726D52">
        <w:rPr>
          <w:b/>
          <w:bCs/>
          <w:noProof/>
        </w:rPr>
        <w:t xml:space="preserve"> fulfil its mission in this evolving environment.</w:t>
      </w:r>
      <w:r w:rsidR="1911194E" w:rsidRPr="00726D52">
        <w:rPr>
          <w:noProof/>
        </w:rPr>
        <w:t xml:space="preserve"> As highlighted in the Commission report </w:t>
      </w:r>
      <w:r w:rsidR="7F44A64C" w:rsidRPr="00726D52">
        <w:rPr>
          <w:noProof/>
        </w:rPr>
        <w:t xml:space="preserve">pursuant to </w:t>
      </w:r>
      <w:r w:rsidR="1911194E" w:rsidRPr="00726D52">
        <w:rPr>
          <w:noProof/>
        </w:rPr>
        <w:t>Article 68(3) of the Europol Regulation</w:t>
      </w:r>
      <w:r w:rsidR="007B7865" w:rsidRPr="00726D52">
        <w:rPr>
          <w:rStyle w:val="FootnoteReference"/>
          <w:noProof/>
        </w:rPr>
        <w:footnoteReference w:id="31"/>
      </w:r>
      <w:r w:rsidR="1911194E" w:rsidRPr="00726D52">
        <w:rPr>
          <w:noProof/>
        </w:rPr>
        <w:t xml:space="preserve"> and in the evaluation of Europol</w:t>
      </w:r>
      <w:r w:rsidR="007B7865" w:rsidRPr="00726D52">
        <w:rPr>
          <w:rStyle w:val="FootnoteReference"/>
          <w:noProof/>
        </w:rPr>
        <w:footnoteReference w:id="32"/>
      </w:r>
      <w:r w:rsidR="1911194E" w:rsidRPr="00726D52">
        <w:rPr>
          <w:noProof/>
        </w:rPr>
        <w:t xml:space="preserve">, the Agency faces legal, operational, and structural constraints that limit its ability to provide timely, comprehensive, and actionable support to Member States. </w:t>
      </w:r>
      <w:r w:rsidR="1911194E" w:rsidRPr="00726D52">
        <w:rPr>
          <w:b/>
          <w:bCs/>
          <w:noProof/>
        </w:rPr>
        <w:t xml:space="preserve">Persistent information gaps </w:t>
      </w:r>
      <w:r w:rsidR="1911194E" w:rsidRPr="00726D52">
        <w:rPr>
          <w:noProof/>
        </w:rPr>
        <w:t xml:space="preserve">hinder the development of a complete </w:t>
      </w:r>
      <w:r w:rsidR="177A6174" w:rsidRPr="00726D52">
        <w:rPr>
          <w:noProof/>
        </w:rPr>
        <w:t xml:space="preserve">criminal </w:t>
      </w:r>
      <w:r w:rsidR="1911194E" w:rsidRPr="00726D52">
        <w:rPr>
          <w:noProof/>
        </w:rPr>
        <w:t xml:space="preserve">intelligence picture of cross-border threats. </w:t>
      </w:r>
      <w:r w:rsidR="177A6174" w:rsidRPr="00726D52">
        <w:rPr>
          <w:b/>
          <w:bCs/>
          <w:noProof/>
        </w:rPr>
        <w:t>Uneven and fragmented o</w:t>
      </w:r>
      <w:r w:rsidR="1911194E" w:rsidRPr="00726D52">
        <w:rPr>
          <w:b/>
          <w:bCs/>
          <w:noProof/>
        </w:rPr>
        <w:t>perational cooperation</w:t>
      </w:r>
      <w:r w:rsidR="1911194E" w:rsidRPr="00726D52">
        <w:rPr>
          <w:noProof/>
        </w:rPr>
        <w:t xml:space="preserve"> and coordination with Member States </w:t>
      </w:r>
      <w:r w:rsidR="1D273AC0" w:rsidRPr="00726D52">
        <w:rPr>
          <w:noProof/>
        </w:rPr>
        <w:t>limit the added value of Europol’s support for the action of national authorities on the ground.</w:t>
      </w:r>
      <w:r w:rsidR="1911194E" w:rsidRPr="00726D52">
        <w:rPr>
          <w:noProof/>
        </w:rPr>
        <w:t xml:space="preserve"> </w:t>
      </w:r>
      <w:r w:rsidR="1911194E" w:rsidRPr="00726D52">
        <w:rPr>
          <w:b/>
          <w:bCs/>
          <w:noProof/>
        </w:rPr>
        <w:t>Limitations in technical capabilities</w:t>
      </w:r>
      <w:r w:rsidR="1911194E" w:rsidRPr="00726D52">
        <w:rPr>
          <w:noProof/>
        </w:rPr>
        <w:t xml:space="preserve">, specialised expertise, and preparedness reduce the ability to respond effectively to increasingly sophisticated and technologically enabled criminal activity. Together, these constraints reduce Europol’s operational effectiveness and its capacity to deliver its full added value. </w:t>
      </w:r>
    </w:p>
    <w:p w14:paraId="6FC5493F" w14:textId="7B203946" w:rsidR="0057740A" w:rsidRPr="00726D52" w:rsidRDefault="0057740A" w:rsidP="005D1F20">
      <w:pPr>
        <w:pStyle w:val="Text2"/>
        <w:spacing w:after="120" w:line="257" w:lineRule="auto"/>
        <w:ind w:left="0"/>
        <w:rPr>
          <w:noProof/>
        </w:rPr>
      </w:pPr>
      <w:r w:rsidRPr="00726D52">
        <w:rPr>
          <w:noProof/>
        </w:rPr>
        <w:t xml:space="preserve">As a result, a </w:t>
      </w:r>
      <w:r w:rsidRPr="00726D52">
        <w:rPr>
          <w:b/>
          <w:bCs/>
          <w:noProof/>
        </w:rPr>
        <w:t>structural gap</w:t>
      </w:r>
      <w:r w:rsidRPr="00726D52">
        <w:rPr>
          <w:noProof/>
        </w:rPr>
        <w:t xml:space="preserve"> is widening between the Union’s security ambitions and Europol’s ability to fully deliver on its mission in practice. The scale, speed, and sophistication of emerging threats are placing demands on Europol that its current framework struggles to meet. When criminal intelligence cannot be fully connected and operational responses cannot be coordinated in time, critical opportunities to detect and disrupt cross-border criminal activity are lost, weakening the EU’s ability to respond</w:t>
      </w:r>
      <w:r w:rsidRPr="00726D52">
        <w:rPr>
          <w:rStyle w:val="Bodytext1"/>
          <w:noProof/>
        </w:rPr>
        <w:t>.</w:t>
      </w:r>
    </w:p>
    <w:p w14:paraId="42A01FE8" w14:textId="6AF53F4D" w:rsidR="21193C73" w:rsidRPr="00726D52" w:rsidRDefault="26F24C10" w:rsidP="0092241C">
      <w:pPr>
        <w:pStyle w:val="Heading2"/>
        <w:spacing w:before="360"/>
        <w:rPr>
          <w:noProof/>
        </w:rPr>
      </w:pPr>
      <w:r w:rsidRPr="00726D52">
        <w:rPr>
          <w:noProof/>
        </w:rPr>
        <w:t>What are the problems?</w:t>
      </w:r>
    </w:p>
    <w:tbl>
      <w:tblPr>
        <w:tblStyle w:val="TableGrid"/>
        <w:tblW w:w="0" w:type="auto"/>
        <w:tblLook w:val="04A0" w:firstRow="1" w:lastRow="0" w:firstColumn="1" w:lastColumn="0" w:noHBand="0" w:noVBand="1"/>
      </w:tblPr>
      <w:tblGrid>
        <w:gridCol w:w="8608"/>
      </w:tblGrid>
      <w:tr w:rsidR="00FB35CD" w:rsidRPr="00726D52" w14:paraId="6A43CC29" w14:textId="77777777" w:rsidTr="003F1BAC">
        <w:tc>
          <w:tcPr>
            <w:tcW w:w="8834" w:type="dxa"/>
            <w:shd w:val="clear" w:color="auto" w:fill="FDE9D9" w:themeFill="accent6" w:themeFillTint="33"/>
          </w:tcPr>
          <w:p w14:paraId="0C95CF71" w14:textId="0D48DD3A" w:rsidR="00FB35CD" w:rsidRPr="00726D52" w:rsidRDefault="00FB35CD">
            <w:pPr>
              <w:spacing w:before="120" w:after="120"/>
              <w:rPr>
                <w:b/>
                <w:noProof/>
              </w:rPr>
            </w:pPr>
            <w:r w:rsidRPr="00726D52">
              <w:rPr>
                <w:b/>
                <w:bCs/>
                <w:noProof/>
              </w:rPr>
              <w:t xml:space="preserve">2.1.1 </w:t>
            </w:r>
            <w:r w:rsidRPr="00726D52">
              <w:rPr>
                <w:b/>
                <w:bCs/>
                <w:noProof/>
                <w:u w:val="single"/>
              </w:rPr>
              <w:t>Problem 1</w:t>
            </w:r>
            <w:r w:rsidRPr="00726D52">
              <w:rPr>
                <w:b/>
                <w:bCs/>
                <w:noProof/>
              </w:rPr>
              <w:t>: Europol and national authorities face persistent information gaps when investigating cross-border crimes and identifying threats.</w:t>
            </w:r>
          </w:p>
        </w:tc>
      </w:tr>
    </w:tbl>
    <w:p w14:paraId="75003B73" w14:textId="77777777" w:rsidR="00F8194E" w:rsidRPr="00726D52" w:rsidRDefault="00F8194E" w:rsidP="42125757">
      <w:pPr>
        <w:spacing w:after="0"/>
        <w:rPr>
          <w:noProof/>
        </w:rPr>
      </w:pPr>
    </w:p>
    <w:p w14:paraId="108A1F9E" w14:textId="0DF8400A" w:rsidR="71DE6144" w:rsidRPr="00726D52" w:rsidRDefault="00B1799A" w:rsidP="00DA1260">
      <w:pPr>
        <w:spacing w:after="120"/>
        <w:rPr>
          <w:noProof/>
        </w:rPr>
      </w:pPr>
      <w:r w:rsidRPr="00726D52">
        <w:rPr>
          <w:noProof/>
        </w:rPr>
        <w:lastRenderedPageBreak/>
        <w:t>Serious and organised crime, terrorism and hybrid threats increasingly operate across jurisdictions and digital environments</w:t>
      </w:r>
      <w:r w:rsidR="00751098" w:rsidRPr="00726D52">
        <w:rPr>
          <w:noProof/>
        </w:rPr>
        <w:t>.</w:t>
      </w:r>
      <w:r w:rsidR="00AC5F79" w:rsidRPr="00726D52">
        <w:rPr>
          <w:noProof/>
        </w:rPr>
        <w:t xml:space="preserve"> Effective investigations therefore depend on the ability of national authorities and Europol to access and connect relevant information.</w:t>
      </w:r>
    </w:p>
    <w:p w14:paraId="27525A5A" w14:textId="6DB77007" w:rsidR="001818EA" w:rsidRPr="00726D52" w:rsidRDefault="00D87963" w:rsidP="008D28C2">
      <w:pPr>
        <w:spacing w:after="120"/>
        <w:rPr>
          <w:noProof/>
        </w:rPr>
      </w:pPr>
      <w:r w:rsidRPr="00726D52">
        <w:rPr>
          <w:noProof/>
        </w:rPr>
        <w:t xml:space="preserve">However, </w:t>
      </w:r>
      <w:r w:rsidR="00521209" w:rsidRPr="00726D52">
        <w:rPr>
          <w:noProof/>
        </w:rPr>
        <w:t>Member States’ law enforcement agencies do not share sufficient relevant data with Europol. Therefore</w:t>
      </w:r>
      <w:r w:rsidRPr="00726D52">
        <w:rPr>
          <w:noProof/>
        </w:rPr>
        <w:t xml:space="preserve">, </w:t>
      </w:r>
      <w:r w:rsidRPr="00726D52">
        <w:rPr>
          <w:b/>
          <w:bCs/>
          <w:noProof/>
        </w:rPr>
        <w:t>information available at EU level remains uneven and incomplete</w:t>
      </w:r>
      <w:r w:rsidR="00C2739A" w:rsidRPr="00726D52">
        <w:rPr>
          <w:rStyle w:val="FootnoteReference"/>
          <w:noProof/>
        </w:rPr>
        <w:footnoteReference w:id="33"/>
      </w:r>
      <w:r w:rsidRPr="00726D52">
        <w:rPr>
          <w:noProof/>
        </w:rPr>
        <w:t>, affecting</w:t>
      </w:r>
      <w:r w:rsidR="001818EA" w:rsidRPr="00726D52">
        <w:rPr>
          <w:noProof/>
        </w:rPr>
        <w:t xml:space="preserve"> Europol’s analytical capabilities</w:t>
      </w:r>
      <w:r w:rsidR="0002173A" w:rsidRPr="00726D52">
        <w:rPr>
          <w:noProof/>
        </w:rPr>
        <w:t xml:space="preserve"> and</w:t>
      </w:r>
      <w:r w:rsidR="00262559" w:rsidRPr="00726D52">
        <w:rPr>
          <w:noProof/>
        </w:rPr>
        <w:t xml:space="preserve"> </w:t>
      </w:r>
      <w:r w:rsidR="00182114" w:rsidRPr="00726D52">
        <w:rPr>
          <w:noProof/>
        </w:rPr>
        <w:t xml:space="preserve">leaving investigators without a complete picture of criminal networks operating across borders. </w:t>
      </w:r>
      <w:r w:rsidR="0057235F" w:rsidRPr="00726D52">
        <w:rPr>
          <w:noProof/>
        </w:rPr>
        <w:t xml:space="preserve">As a result, parallel investigations may take place without awareness of related cases in other Member States, and links between suspects, criminal activities or financial flows may remain undetected. This reduces the effectiveness of cross-border investigations and </w:t>
      </w:r>
      <w:r w:rsidR="0057235F" w:rsidRPr="00726D52">
        <w:rPr>
          <w:b/>
          <w:bCs/>
          <w:noProof/>
        </w:rPr>
        <w:t>limits Europol’s ability to identify connections between cases</w:t>
      </w:r>
      <w:r w:rsidR="0057235F" w:rsidRPr="00726D52">
        <w:rPr>
          <w:noProof/>
        </w:rPr>
        <w:t>, delaying the detection of organised crime structures and weakening the capacity to anticipate evolving criminal threats</w:t>
      </w:r>
      <w:r w:rsidR="00041FC9" w:rsidRPr="00726D52">
        <w:rPr>
          <w:noProof/>
        </w:rPr>
        <w:t>.</w:t>
      </w:r>
    </w:p>
    <w:p w14:paraId="3DD57CF7" w14:textId="0A9CBF33" w:rsidR="005A40A3" w:rsidRPr="00726D52" w:rsidRDefault="007766BE" w:rsidP="00041FC9">
      <w:pPr>
        <w:spacing w:after="120"/>
        <w:rPr>
          <w:noProof/>
        </w:rPr>
      </w:pPr>
      <w:r w:rsidRPr="00726D52">
        <w:rPr>
          <w:noProof/>
        </w:rPr>
        <w:t>D</w:t>
      </w:r>
      <w:r w:rsidR="71DE6144" w:rsidRPr="00726D52">
        <w:rPr>
          <w:noProof/>
        </w:rPr>
        <w:t xml:space="preserve">ata contributions </w:t>
      </w:r>
      <w:r w:rsidR="00FB03D8" w:rsidRPr="00726D52">
        <w:rPr>
          <w:noProof/>
        </w:rPr>
        <w:t>via</w:t>
      </w:r>
      <w:r w:rsidR="71DE6144" w:rsidRPr="00726D52">
        <w:rPr>
          <w:noProof/>
        </w:rPr>
        <w:t xml:space="preserve"> </w:t>
      </w:r>
      <w:r w:rsidR="009D7AAE" w:rsidRPr="00726D52">
        <w:rPr>
          <w:noProof/>
        </w:rPr>
        <w:t>the Secure Information Exchange Network Application</w:t>
      </w:r>
      <w:r w:rsidR="00B756DE" w:rsidRPr="00726D52">
        <w:rPr>
          <w:rStyle w:val="FootnoteReference"/>
          <w:noProof/>
        </w:rPr>
        <w:footnoteReference w:id="34"/>
      </w:r>
      <w:r w:rsidR="71DE6144" w:rsidRPr="00726D52">
        <w:rPr>
          <w:noProof/>
        </w:rPr>
        <w:t xml:space="preserve"> </w:t>
      </w:r>
      <w:r w:rsidR="00F54FB7" w:rsidRPr="00726D52">
        <w:rPr>
          <w:noProof/>
        </w:rPr>
        <w:t xml:space="preserve">(SIENA) </w:t>
      </w:r>
      <w:r w:rsidR="71DE6144" w:rsidRPr="00726D52">
        <w:rPr>
          <w:noProof/>
        </w:rPr>
        <w:t>and the Europol Information System</w:t>
      </w:r>
      <w:r w:rsidR="00B756DE" w:rsidRPr="00726D52">
        <w:rPr>
          <w:rStyle w:val="FootnoteReference"/>
          <w:noProof/>
        </w:rPr>
        <w:footnoteReference w:id="35"/>
      </w:r>
      <w:r w:rsidR="71DE6144" w:rsidRPr="00726D52">
        <w:rPr>
          <w:noProof/>
        </w:rPr>
        <w:t xml:space="preserve"> (EIS) vary significantly, </w:t>
      </w:r>
      <w:r w:rsidR="00F86847" w:rsidRPr="00726D52">
        <w:rPr>
          <w:noProof/>
        </w:rPr>
        <w:t xml:space="preserve">with </w:t>
      </w:r>
      <w:r w:rsidRPr="00726D52">
        <w:rPr>
          <w:noProof/>
        </w:rPr>
        <w:t>a limited number of Member States providing a disproportionate share of operational data</w:t>
      </w:r>
      <w:r w:rsidR="00463B97" w:rsidRPr="00726D52">
        <w:rPr>
          <w:noProof/>
        </w:rPr>
        <w:t>,</w:t>
      </w:r>
      <w:r w:rsidR="006A6DD3" w:rsidRPr="00726D52">
        <w:rPr>
          <w:noProof/>
        </w:rPr>
        <w:t xml:space="preserve"> while contribut</w:t>
      </w:r>
      <w:r w:rsidR="000A4FA3" w:rsidRPr="00726D52">
        <w:rPr>
          <w:noProof/>
        </w:rPr>
        <w:t xml:space="preserve">ions </w:t>
      </w:r>
      <w:r w:rsidR="00463B97" w:rsidRPr="00726D52">
        <w:rPr>
          <w:noProof/>
        </w:rPr>
        <w:t xml:space="preserve">from other Member States </w:t>
      </w:r>
      <w:r w:rsidR="000A4FA3" w:rsidRPr="00726D52">
        <w:rPr>
          <w:noProof/>
        </w:rPr>
        <w:t>are</w:t>
      </w:r>
      <w:r w:rsidR="006A6DD3" w:rsidRPr="00726D52">
        <w:rPr>
          <w:noProof/>
        </w:rPr>
        <w:t xml:space="preserve"> limited</w:t>
      </w:r>
      <w:r w:rsidRPr="00726D52">
        <w:rPr>
          <w:noProof/>
        </w:rPr>
        <w:t xml:space="preserve">. </w:t>
      </w:r>
      <w:r w:rsidR="006B1CBD" w:rsidRPr="00726D52">
        <w:rPr>
          <w:noProof/>
        </w:rPr>
        <w:t>This</w:t>
      </w:r>
      <w:r w:rsidRPr="00726D52">
        <w:rPr>
          <w:noProof/>
        </w:rPr>
        <w:t xml:space="preserve"> uneven distribution creates </w:t>
      </w:r>
      <w:r w:rsidRPr="00726D52">
        <w:rPr>
          <w:b/>
          <w:bCs/>
          <w:noProof/>
        </w:rPr>
        <w:t>structural blind spots</w:t>
      </w:r>
      <w:r w:rsidRPr="00726D52">
        <w:rPr>
          <w:noProof/>
        </w:rPr>
        <w:t xml:space="preserve"> that can be exploited by cross-border criminal networks.</w:t>
      </w:r>
      <w:r w:rsidR="00777FDC" w:rsidRPr="00726D52">
        <w:rPr>
          <w:noProof/>
        </w:rPr>
        <w:t xml:space="preserve"> In addition, </w:t>
      </w:r>
      <w:r w:rsidR="71DE6144" w:rsidRPr="00726D52">
        <w:rPr>
          <w:noProof/>
        </w:rPr>
        <w:t xml:space="preserve">even where data are shared, they are often incomplete or </w:t>
      </w:r>
      <w:r w:rsidR="71DE6144" w:rsidRPr="00726D52">
        <w:rPr>
          <w:b/>
          <w:bCs/>
          <w:noProof/>
        </w:rPr>
        <w:t>lack key identifiers</w:t>
      </w:r>
      <w:r w:rsidR="006B0916" w:rsidRPr="00726D52">
        <w:rPr>
          <w:noProof/>
        </w:rPr>
        <w:t>, that is, are not provided in the structured format that would allow automatic comparison of records</w:t>
      </w:r>
      <w:r w:rsidR="006B0916" w:rsidRPr="00726D52" w:rsidDel="006B0916">
        <w:rPr>
          <w:noProof/>
        </w:rPr>
        <w:t xml:space="preserve"> </w:t>
      </w:r>
      <w:r w:rsidR="71DE6144" w:rsidRPr="00726D52">
        <w:rPr>
          <w:noProof/>
        </w:rPr>
        <w:t>for reliable cross-matching</w:t>
      </w:r>
      <w:r w:rsidR="00080DC0" w:rsidRPr="00726D52">
        <w:rPr>
          <w:rStyle w:val="FootnoteReference"/>
          <w:noProof/>
        </w:rPr>
        <w:footnoteReference w:id="36"/>
      </w:r>
      <w:r w:rsidR="71DE6144" w:rsidRPr="00726D52">
        <w:rPr>
          <w:noProof/>
        </w:rPr>
        <w:t xml:space="preserve">. </w:t>
      </w:r>
      <w:r w:rsidR="006705C3" w:rsidRPr="00726D52">
        <w:rPr>
          <w:noProof/>
        </w:rPr>
        <w:t xml:space="preserve">Investigators are often confronted with inconsistent </w:t>
      </w:r>
      <w:r w:rsidR="71DE6144" w:rsidRPr="00726D52">
        <w:rPr>
          <w:noProof/>
        </w:rPr>
        <w:t xml:space="preserve">data quality, </w:t>
      </w:r>
      <w:r w:rsidR="00366698" w:rsidRPr="00726D52">
        <w:rPr>
          <w:noProof/>
        </w:rPr>
        <w:t xml:space="preserve">or with data that is collected or stored in different formats from their own and hence cannot be used in the investigators’ own case management systems without </w:t>
      </w:r>
      <w:r w:rsidR="71DE6144" w:rsidRPr="00726D52">
        <w:rPr>
          <w:noProof/>
        </w:rPr>
        <w:t>manual processing</w:t>
      </w:r>
      <w:r w:rsidR="00366698" w:rsidRPr="00726D52">
        <w:rPr>
          <w:noProof/>
        </w:rPr>
        <w:t>. These differences cost time and</w:t>
      </w:r>
      <w:r w:rsidR="71DE6144" w:rsidRPr="00726D52">
        <w:rPr>
          <w:noProof/>
        </w:rPr>
        <w:t xml:space="preserve"> reduce usability</w:t>
      </w:r>
      <w:r w:rsidR="0014239B" w:rsidRPr="00726D52">
        <w:rPr>
          <w:noProof/>
        </w:rPr>
        <w:t>,</w:t>
      </w:r>
      <w:r w:rsidR="005A40A3" w:rsidRPr="00726D52">
        <w:rPr>
          <w:noProof/>
        </w:rPr>
        <w:t xml:space="preserve"> directly affect</w:t>
      </w:r>
      <w:r w:rsidR="0014239B" w:rsidRPr="00726D52">
        <w:rPr>
          <w:noProof/>
        </w:rPr>
        <w:t>ing</w:t>
      </w:r>
      <w:r w:rsidR="005A40A3" w:rsidRPr="00726D52">
        <w:rPr>
          <w:noProof/>
        </w:rPr>
        <w:t xml:space="preserve"> </w:t>
      </w:r>
      <w:r w:rsidR="005A40A3" w:rsidRPr="00726D52">
        <w:rPr>
          <w:b/>
          <w:bCs/>
          <w:noProof/>
        </w:rPr>
        <w:t>national investigations</w:t>
      </w:r>
      <w:r w:rsidR="005A40A3" w:rsidRPr="00726D52">
        <w:rPr>
          <w:noProof/>
        </w:rPr>
        <w:t>.</w:t>
      </w:r>
    </w:p>
    <w:p w14:paraId="7E55B1A7" w14:textId="1E81877F" w:rsidR="00893A93" w:rsidRPr="00726D52" w:rsidRDefault="004248B3" w:rsidP="00BB1FA3">
      <w:pPr>
        <w:rPr>
          <w:noProof/>
        </w:rPr>
      </w:pPr>
      <w:r w:rsidRPr="00726D52">
        <w:rPr>
          <w:noProof/>
        </w:rPr>
        <w:t>Moreover</w:t>
      </w:r>
      <w:r w:rsidR="00BC3BAE" w:rsidRPr="00726D52">
        <w:rPr>
          <w:noProof/>
        </w:rPr>
        <w:t xml:space="preserve">, Europol faces </w:t>
      </w:r>
      <w:r w:rsidR="00BC3BAE" w:rsidRPr="00726D52">
        <w:rPr>
          <w:b/>
          <w:bCs/>
          <w:noProof/>
        </w:rPr>
        <w:t>operational constraints in processing large datasets</w:t>
      </w:r>
      <w:r w:rsidR="00BC3BAE" w:rsidRPr="00726D52">
        <w:rPr>
          <w:noProof/>
        </w:rPr>
        <w:t xml:space="preserve"> relevant for cross-border investigations. In particular, the application of Data Subject Categorisation (DSC) under the Europol Regulation</w:t>
      </w:r>
      <w:r w:rsidR="00747FCB" w:rsidRPr="00726D52">
        <w:rPr>
          <w:rStyle w:val="FootnoteReference"/>
          <w:noProof/>
        </w:rPr>
        <w:footnoteReference w:id="37"/>
      </w:r>
      <w:r w:rsidR="00BC3BAE" w:rsidRPr="00726D52">
        <w:rPr>
          <w:noProof/>
        </w:rPr>
        <w:t xml:space="preserve"> </w:t>
      </w:r>
      <w:r w:rsidR="00345057" w:rsidRPr="00726D52">
        <w:rPr>
          <w:noProof/>
        </w:rPr>
        <w:t xml:space="preserve">delays the intake and analysis of large volumes of data, as the categorisation of large or unstructured datasets often requires manual intervention and additional proportionality assessments. In time-sensitive </w:t>
      </w:r>
      <w:r w:rsidR="00345057" w:rsidRPr="00726D52">
        <w:rPr>
          <w:noProof/>
        </w:rPr>
        <w:lastRenderedPageBreak/>
        <w:t>investigations, this limit</w:t>
      </w:r>
      <w:r w:rsidR="00467B34" w:rsidRPr="00726D52">
        <w:rPr>
          <w:noProof/>
        </w:rPr>
        <w:t>s</w:t>
      </w:r>
      <w:r w:rsidR="00345057" w:rsidRPr="00726D52">
        <w:rPr>
          <w:noProof/>
        </w:rPr>
        <w:t xml:space="preserve"> Europol’s ability to rapidly identify links between suspects, detect emerging criminal networks and provide timely operational support</w:t>
      </w:r>
      <w:r w:rsidR="001C377F" w:rsidRPr="00726D52">
        <w:rPr>
          <w:rStyle w:val="FootnoteReference"/>
          <w:noProof/>
        </w:rPr>
        <w:footnoteReference w:id="38"/>
      </w:r>
      <w:r w:rsidR="00467B34" w:rsidRPr="00726D52">
        <w:rPr>
          <w:noProof/>
        </w:rPr>
        <w:t>.</w:t>
      </w:r>
      <w:r w:rsidR="00662367" w:rsidRPr="00726D52">
        <w:rPr>
          <w:noProof/>
        </w:rPr>
        <w:t xml:space="preserve"> </w:t>
      </w:r>
    </w:p>
    <w:tbl>
      <w:tblPr>
        <w:tblStyle w:val="TableGrid"/>
        <w:tblW w:w="0" w:type="auto"/>
        <w:tblLook w:val="04A0" w:firstRow="1" w:lastRow="0" w:firstColumn="1" w:lastColumn="0" w:noHBand="0" w:noVBand="1"/>
      </w:tblPr>
      <w:tblGrid>
        <w:gridCol w:w="8608"/>
      </w:tblGrid>
      <w:tr w:rsidR="005A5896" w:rsidRPr="00726D52" w14:paraId="5450A6BF" w14:textId="77777777" w:rsidTr="003950DD">
        <w:tc>
          <w:tcPr>
            <w:tcW w:w="8834" w:type="dxa"/>
            <w:shd w:val="clear" w:color="auto" w:fill="FDE9D9" w:themeFill="accent6" w:themeFillTint="33"/>
          </w:tcPr>
          <w:p w14:paraId="0C19C96A" w14:textId="04B66159" w:rsidR="005A5896" w:rsidRPr="00726D52" w:rsidRDefault="0F3A99C6" w:rsidP="00DB0C03">
            <w:pPr>
              <w:spacing w:before="120" w:after="120"/>
              <w:rPr>
                <w:b/>
                <w:noProof/>
              </w:rPr>
            </w:pPr>
            <w:r w:rsidRPr="00726D52">
              <w:rPr>
                <w:b/>
                <w:bCs/>
                <w:noProof/>
              </w:rPr>
              <w:t>2.</w:t>
            </w:r>
            <w:r w:rsidR="6829738E" w:rsidRPr="00726D52">
              <w:rPr>
                <w:b/>
                <w:bCs/>
                <w:noProof/>
              </w:rPr>
              <w:t>1</w:t>
            </w:r>
            <w:r w:rsidRPr="00726D52">
              <w:rPr>
                <w:b/>
                <w:bCs/>
                <w:noProof/>
              </w:rPr>
              <w:t xml:space="preserve">.2 </w:t>
            </w:r>
            <w:r w:rsidRPr="00726D52">
              <w:rPr>
                <w:b/>
                <w:bCs/>
                <w:noProof/>
                <w:u w:val="single"/>
              </w:rPr>
              <w:t>Problem 2</w:t>
            </w:r>
            <w:r w:rsidRPr="00726D52">
              <w:rPr>
                <w:b/>
                <w:bCs/>
                <w:noProof/>
              </w:rPr>
              <w:t xml:space="preserve">: </w:t>
            </w:r>
            <w:r w:rsidR="00FB37CB" w:rsidRPr="00726D52">
              <w:rPr>
                <w:b/>
                <w:bCs/>
                <w:noProof/>
              </w:rPr>
              <w:t xml:space="preserve">Europol’s operational support </w:t>
            </w:r>
            <w:r w:rsidR="00BB4E9C" w:rsidRPr="00726D52">
              <w:rPr>
                <w:b/>
                <w:bCs/>
                <w:noProof/>
              </w:rPr>
              <w:t>remains limited and fragmented</w:t>
            </w:r>
          </w:p>
        </w:tc>
      </w:tr>
    </w:tbl>
    <w:p w14:paraId="491A939D" w14:textId="77777777" w:rsidR="00E861DF" w:rsidRPr="00726D52" w:rsidRDefault="00E861DF" w:rsidP="31831C40">
      <w:pPr>
        <w:pStyle w:val="Text2"/>
        <w:shd w:val="clear" w:color="auto" w:fill="FFFFFF" w:themeFill="background1"/>
        <w:spacing w:after="0"/>
        <w:ind w:left="0"/>
        <w:rPr>
          <w:noProof/>
        </w:rPr>
      </w:pPr>
    </w:p>
    <w:p w14:paraId="04E0953C" w14:textId="752C45E7" w:rsidR="00613A29" w:rsidRPr="00726D52" w:rsidRDefault="0047668A" w:rsidP="00EA238E">
      <w:pPr>
        <w:pStyle w:val="Text2"/>
        <w:shd w:val="clear" w:color="auto" w:fill="FFFFFF" w:themeFill="background1"/>
        <w:spacing w:after="120"/>
        <w:ind w:left="0"/>
        <w:rPr>
          <w:b/>
          <w:bCs/>
          <w:noProof/>
        </w:rPr>
      </w:pPr>
      <w:r w:rsidRPr="00726D52">
        <w:rPr>
          <w:noProof/>
        </w:rPr>
        <w:t>C</w:t>
      </w:r>
      <w:r w:rsidR="00FE46CD" w:rsidRPr="00726D52">
        <w:rPr>
          <w:noProof/>
        </w:rPr>
        <w:t>rime</w:t>
      </w:r>
      <w:r w:rsidRPr="00726D52">
        <w:rPr>
          <w:noProof/>
        </w:rPr>
        <w:t xml:space="preserve"> is borderless</w:t>
      </w:r>
      <w:r w:rsidR="005A6623" w:rsidRPr="00726D52">
        <w:rPr>
          <w:noProof/>
        </w:rPr>
        <w:t xml:space="preserve"> and </w:t>
      </w:r>
      <w:r w:rsidR="00A91EE9" w:rsidRPr="00726D52">
        <w:rPr>
          <w:noProof/>
        </w:rPr>
        <w:t xml:space="preserve">the most threatening criminal networks </w:t>
      </w:r>
      <w:r w:rsidR="009608F8" w:rsidRPr="00726D52">
        <w:rPr>
          <w:noProof/>
        </w:rPr>
        <w:t xml:space="preserve">in </w:t>
      </w:r>
      <w:r w:rsidR="00A91EE9" w:rsidRPr="00726D52">
        <w:rPr>
          <w:noProof/>
        </w:rPr>
        <w:t xml:space="preserve">the EU </w:t>
      </w:r>
      <w:r w:rsidR="008D2E84" w:rsidRPr="00726D52">
        <w:rPr>
          <w:noProof/>
        </w:rPr>
        <w:t>affect</w:t>
      </w:r>
      <w:r w:rsidR="00A91EE9" w:rsidRPr="00726D52">
        <w:rPr>
          <w:noProof/>
        </w:rPr>
        <w:t xml:space="preserve"> all Member States</w:t>
      </w:r>
      <w:r w:rsidR="00014ACC" w:rsidRPr="00726D52">
        <w:rPr>
          <w:rStyle w:val="FootnoteReference"/>
          <w:noProof/>
        </w:rPr>
        <w:footnoteReference w:id="39"/>
      </w:r>
      <w:r w:rsidR="00363996" w:rsidRPr="00726D52">
        <w:rPr>
          <w:noProof/>
        </w:rPr>
        <w:t>.</w:t>
      </w:r>
      <w:r w:rsidR="00FE46CD" w:rsidRPr="00726D52">
        <w:rPr>
          <w:noProof/>
        </w:rPr>
        <w:t xml:space="preserve"> </w:t>
      </w:r>
      <w:r w:rsidR="00EA238E" w:rsidRPr="00726D52">
        <w:rPr>
          <w:noProof/>
        </w:rPr>
        <w:t xml:space="preserve">Despite its central role in </w:t>
      </w:r>
      <w:r w:rsidR="00553630" w:rsidRPr="00726D52">
        <w:rPr>
          <w:noProof/>
        </w:rPr>
        <w:t>enabling</w:t>
      </w:r>
      <w:r w:rsidR="00EA238E" w:rsidRPr="00726D52">
        <w:rPr>
          <w:noProof/>
        </w:rPr>
        <w:t xml:space="preserve"> </w:t>
      </w:r>
      <w:r w:rsidR="00A62A64" w:rsidRPr="00726D52">
        <w:rPr>
          <w:noProof/>
        </w:rPr>
        <w:t xml:space="preserve">a </w:t>
      </w:r>
      <w:r w:rsidR="00B35F44" w:rsidRPr="00726D52">
        <w:rPr>
          <w:noProof/>
        </w:rPr>
        <w:t xml:space="preserve">necessary </w:t>
      </w:r>
      <w:r w:rsidR="00A62A64" w:rsidRPr="00726D52">
        <w:rPr>
          <w:noProof/>
        </w:rPr>
        <w:t xml:space="preserve">cross-border </w:t>
      </w:r>
      <w:r w:rsidR="00553630" w:rsidRPr="00726D52">
        <w:rPr>
          <w:noProof/>
        </w:rPr>
        <w:t>response</w:t>
      </w:r>
      <w:r w:rsidR="00F1304B" w:rsidRPr="00726D52">
        <w:rPr>
          <w:noProof/>
        </w:rPr>
        <w:t xml:space="preserve"> through</w:t>
      </w:r>
      <w:r w:rsidR="00EA238E" w:rsidRPr="00726D52">
        <w:rPr>
          <w:noProof/>
        </w:rPr>
        <w:t xml:space="preserve"> </w:t>
      </w:r>
      <w:r w:rsidR="005C537E" w:rsidRPr="00726D52">
        <w:rPr>
          <w:noProof/>
        </w:rPr>
        <w:t xml:space="preserve">EU-level </w:t>
      </w:r>
      <w:r w:rsidR="00EA238E" w:rsidRPr="00726D52">
        <w:rPr>
          <w:noProof/>
        </w:rPr>
        <w:t>law enforcement cooperation</w:t>
      </w:r>
      <w:r w:rsidR="00850E58" w:rsidRPr="00726D52">
        <w:rPr>
          <w:noProof/>
        </w:rPr>
        <w:t xml:space="preserve">, </w:t>
      </w:r>
      <w:r w:rsidR="00EA238E" w:rsidRPr="00726D52">
        <w:rPr>
          <w:noProof/>
        </w:rPr>
        <w:t>Europol’s operational support to Member States</w:t>
      </w:r>
      <w:r w:rsidR="00D1058E" w:rsidRPr="00726D52">
        <w:rPr>
          <w:noProof/>
        </w:rPr>
        <w:t xml:space="preserve"> –</w:t>
      </w:r>
      <w:r w:rsidR="64A3E50B" w:rsidRPr="00726D52">
        <w:rPr>
          <w:noProof/>
        </w:rPr>
        <w:t xml:space="preserve"> including</w:t>
      </w:r>
      <w:r w:rsidR="00D1058E" w:rsidRPr="00726D52">
        <w:rPr>
          <w:noProof/>
        </w:rPr>
        <w:t xml:space="preserve"> through</w:t>
      </w:r>
      <w:r w:rsidR="64A3E50B" w:rsidRPr="00726D52">
        <w:rPr>
          <w:noProof/>
        </w:rPr>
        <w:t xml:space="preserve"> cooperation with partners, </w:t>
      </w:r>
      <w:r w:rsidR="00D1058E" w:rsidRPr="00726D52">
        <w:rPr>
          <w:noProof/>
        </w:rPr>
        <w:t>in particular</w:t>
      </w:r>
      <w:r w:rsidR="64A3E50B" w:rsidRPr="00726D52">
        <w:rPr>
          <w:noProof/>
        </w:rPr>
        <w:t xml:space="preserve"> </w:t>
      </w:r>
      <w:r w:rsidR="008928C4" w:rsidRPr="00726D52">
        <w:rPr>
          <w:noProof/>
        </w:rPr>
        <w:t>EU bodies and agencies</w:t>
      </w:r>
      <w:r w:rsidR="00D1058E" w:rsidRPr="00726D52">
        <w:rPr>
          <w:noProof/>
        </w:rPr>
        <w:t xml:space="preserve"> –</w:t>
      </w:r>
      <w:r w:rsidR="00EA238E" w:rsidRPr="00726D52">
        <w:rPr>
          <w:noProof/>
        </w:rPr>
        <w:t xml:space="preserve"> remains </w:t>
      </w:r>
      <w:r w:rsidR="00EA238E" w:rsidRPr="00726D52">
        <w:rPr>
          <w:b/>
          <w:bCs/>
          <w:noProof/>
        </w:rPr>
        <w:t>limited</w:t>
      </w:r>
      <w:r w:rsidR="00766ED2" w:rsidRPr="00726D52">
        <w:rPr>
          <w:b/>
          <w:bCs/>
          <w:noProof/>
        </w:rPr>
        <w:t>,</w:t>
      </w:r>
      <w:r w:rsidR="007956B7" w:rsidRPr="00726D52">
        <w:rPr>
          <w:b/>
          <w:bCs/>
          <w:noProof/>
        </w:rPr>
        <w:t xml:space="preserve"> </w:t>
      </w:r>
      <w:r w:rsidR="00EA238E" w:rsidRPr="00726D52">
        <w:rPr>
          <w:b/>
          <w:bCs/>
          <w:noProof/>
        </w:rPr>
        <w:t>fragmented</w:t>
      </w:r>
      <w:r w:rsidR="00EA238E" w:rsidRPr="00726D52" w:rsidDel="007956B7">
        <w:rPr>
          <w:b/>
          <w:bCs/>
          <w:noProof/>
        </w:rPr>
        <w:t xml:space="preserve"> and uneven.</w:t>
      </w:r>
      <w:r w:rsidR="00DC27DC" w:rsidRPr="00726D52">
        <w:rPr>
          <w:b/>
          <w:bCs/>
          <w:noProof/>
        </w:rPr>
        <w:t xml:space="preserve"> </w:t>
      </w:r>
    </w:p>
    <w:p w14:paraId="2F5826AC" w14:textId="3E976B88" w:rsidR="00EA238E" w:rsidRPr="00726D52" w:rsidRDefault="00DC27DC" w:rsidP="00EA238E">
      <w:pPr>
        <w:pStyle w:val="Text2"/>
        <w:shd w:val="clear" w:color="auto" w:fill="FFFFFF" w:themeFill="background1"/>
        <w:spacing w:after="120"/>
        <w:ind w:left="0"/>
        <w:rPr>
          <w:b/>
          <w:bCs/>
          <w:noProof/>
        </w:rPr>
      </w:pPr>
      <w:r w:rsidRPr="00726D52">
        <w:rPr>
          <w:noProof/>
        </w:rPr>
        <w:t xml:space="preserve">In particular, </w:t>
      </w:r>
      <w:r w:rsidR="00411943" w:rsidRPr="00726D52">
        <w:rPr>
          <w:noProof/>
        </w:rPr>
        <w:t>c</w:t>
      </w:r>
      <w:r w:rsidR="0025014D" w:rsidRPr="00726D52">
        <w:rPr>
          <w:noProof/>
        </w:rPr>
        <w:t xml:space="preserve">ooperation </w:t>
      </w:r>
      <w:r w:rsidRPr="00726D52">
        <w:rPr>
          <w:noProof/>
        </w:rPr>
        <w:t xml:space="preserve">between Europol and other EU </w:t>
      </w:r>
      <w:r w:rsidR="00C14FB8" w:rsidRPr="00726D52">
        <w:rPr>
          <w:noProof/>
        </w:rPr>
        <w:t xml:space="preserve">bodies and agencies </w:t>
      </w:r>
      <w:r w:rsidR="0025014D" w:rsidRPr="00726D52">
        <w:rPr>
          <w:noProof/>
        </w:rPr>
        <w:t xml:space="preserve">is marked by weak </w:t>
      </w:r>
      <w:r w:rsidR="000F7836" w:rsidRPr="00726D52">
        <w:rPr>
          <w:noProof/>
        </w:rPr>
        <w:t>information exchange and insufficient institutionalisation</w:t>
      </w:r>
      <w:r w:rsidRPr="00726D52">
        <w:rPr>
          <w:noProof/>
        </w:rPr>
        <w:t>, which limits the potential for timely and comprehensive EU-level responses to cross-border crime.</w:t>
      </w:r>
    </w:p>
    <w:p w14:paraId="5080DE04" w14:textId="7D20B8B9" w:rsidR="00963DC9" w:rsidRPr="00726D52" w:rsidRDefault="006F3A35" w:rsidP="00963DC9">
      <w:pPr>
        <w:pStyle w:val="Text2"/>
        <w:shd w:val="clear" w:color="auto" w:fill="FFFFFF" w:themeFill="background1"/>
        <w:spacing w:after="120"/>
        <w:ind w:left="0"/>
        <w:rPr>
          <w:noProof/>
        </w:rPr>
      </w:pPr>
      <w:r w:rsidRPr="00726D52">
        <w:rPr>
          <w:noProof/>
        </w:rPr>
        <w:t>Across Member States, e</w:t>
      </w:r>
      <w:r w:rsidR="007471CD" w:rsidRPr="00726D52">
        <w:rPr>
          <w:noProof/>
        </w:rPr>
        <w:t>ngagement with Europol</w:t>
      </w:r>
      <w:r w:rsidR="00247B35" w:rsidRPr="00726D52">
        <w:rPr>
          <w:rStyle w:val="FootnoteReference"/>
          <w:noProof/>
        </w:rPr>
        <w:footnoteReference w:id="40"/>
      </w:r>
      <w:r w:rsidR="007471CD" w:rsidRPr="00726D52">
        <w:rPr>
          <w:noProof/>
        </w:rPr>
        <w:t xml:space="preserve"> varies significantly in terms of the frequency of operational requests, participation in analytical projects and operational task forces, and use of Europol’s information systems</w:t>
      </w:r>
      <w:r w:rsidR="0033777B" w:rsidRPr="00726D52">
        <w:rPr>
          <w:rStyle w:val="FootnoteReference"/>
          <w:noProof/>
        </w:rPr>
        <w:footnoteReference w:id="41"/>
      </w:r>
      <w:r w:rsidR="007471CD" w:rsidRPr="00726D52">
        <w:rPr>
          <w:noProof/>
        </w:rPr>
        <w:t xml:space="preserve">. </w:t>
      </w:r>
      <w:r w:rsidR="0006453D" w:rsidRPr="00726D52">
        <w:rPr>
          <w:noProof/>
        </w:rPr>
        <w:t xml:space="preserve">The efficient and comprehensive use of Europol’s support often depends on national law enforcement agencies’ knowledge about the available services and their possible added value for a given investigation. </w:t>
      </w:r>
      <w:r w:rsidR="00E63BD3" w:rsidRPr="00726D52">
        <w:rPr>
          <w:noProof/>
        </w:rPr>
        <w:t xml:space="preserve">As a result, Europol’s operational support, including analytical products, </w:t>
      </w:r>
      <w:r w:rsidR="00C14103" w:rsidRPr="00726D52">
        <w:rPr>
          <w:noProof/>
        </w:rPr>
        <w:t xml:space="preserve">criminal </w:t>
      </w:r>
      <w:r w:rsidR="00E63BD3" w:rsidRPr="00726D52">
        <w:rPr>
          <w:noProof/>
        </w:rPr>
        <w:t>intelligence development and operational coordination, is not always utilised in a consistent and timely manner in ongoing investigations</w:t>
      </w:r>
      <w:r w:rsidR="007E15EC" w:rsidRPr="00726D52">
        <w:rPr>
          <w:rStyle w:val="FootnoteReference"/>
          <w:noProof/>
        </w:rPr>
        <w:footnoteReference w:id="42"/>
      </w:r>
      <w:r w:rsidR="00E63BD3" w:rsidRPr="00726D52">
        <w:rPr>
          <w:noProof/>
        </w:rPr>
        <w:t xml:space="preserve">. The Agency’s capabilities are therefore not always deployed to their full potential in support of national authorities dealing with serious and organised crime with a cross-border dimension. This </w:t>
      </w:r>
      <w:r w:rsidR="007E15EC" w:rsidRPr="00726D52">
        <w:rPr>
          <w:noProof/>
        </w:rPr>
        <w:t xml:space="preserve">significantly </w:t>
      </w:r>
      <w:r w:rsidR="00E63BD3" w:rsidRPr="00726D52">
        <w:rPr>
          <w:noProof/>
        </w:rPr>
        <w:t>affects the overall effectiveness of EU-level support for complex cross-border investigations</w:t>
      </w:r>
      <w:r w:rsidR="00362C6B" w:rsidRPr="00726D52">
        <w:rPr>
          <w:noProof/>
        </w:rPr>
        <w:t>.</w:t>
      </w:r>
    </w:p>
    <w:p w14:paraId="61AC5D76" w14:textId="4F24D05A" w:rsidR="009200EC" w:rsidRPr="00726D52" w:rsidRDefault="009200EC" w:rsidP="00AC7161">
      <w:pPr>
        <w:rPr>
          <w:noProof/>
        </w:rPr>
      </w:pPr>
      <w:r w:rsidRPr="00726D52">
        <w:rPr>
          <w:noProof/>
        </w:rPr>
        <w:t xml:space="preserve">At the same time, national law enforcement authorities across the Union remain </w:t>
      </w:r>
      <w:r w:rsidRPr="00726D52">
        <w:rPr>
          <w:b/>
          <w:bCs/>
          <w:noProof/>
        </w:rPr>
        <w:t>unevenly equipped</w:t>
      </w:r>
      <w:r w:rsidRPr="00726D52">
        <w:rPr>
          <w:noProof/>
        </w:rPr>
        <w:t xml:space="preserve"> with the </w:t>
      </w:r>
      <w:r w:rsidR="008D50AF" w:rsidRPr="00726D52">
        <w:rPr>
          <w:noProof/>
        </w:rPr>
        <w:t>advanced</w:t>
      </w:r>
      <w:r w:rsidRPr="00726D52">
        <w:rPr>
          <w:noProof/>
        </w:rPr>
        <w:t xml:space="preserve"> specialised </w:t>
      </w:r>
      <w:r w:rsidR="008D50AF" w:rsidRPr="00726D52">
        <w:rPr>
          <w:noProof/>
        </w:rPr>
        <w:t xml:space="preserve">and </w:t>
      </w:r>
      <w:r w:rsidRPr="00726D52">
        <w:rPr>
          <w:noProof/>
        </w:rPr>
        <w:t xml:space="preserve">technical expertise required to address increasingly technology-enabled forms of crime. </w:t>
      </w:r>
      <w:r w:rsidR="00AC7161" w:rsidRPr="00726D52">
        <w:rPr>
          <w:noProof/>
        </w:rPr>
        <w:t xml:space="preserve">While Member States continue to </w:t>
      </w:r>
      <w:r w:rsidR="00AC7161" w:rsidRPr="00726D52">
        <w:rPr>
          <w:noProof/>
        </w:rPr>
        <w:lastRenderedPageBreak/>
        <w:t xml:space="preserve">strengthen their capabilities, tackling these threats increasingly requires highly specialised tools, expertise and analytical capacities that are costly to develop and maintain at national level. </w:t>
      </w:r>
      <w:r w:rsidR="009735D9" w:rsidRPr="00726D52">
        <w:rPr>
          <w:noProof/>
        </w:rPr>
        <w:t xml:space="preserve">This </w:t>
      </w:r>
      <w:r w:rsidR="00AC7161" w:rsidRPr="00726D52">
        <w:rPr>
          <w:noProof/>
        </w:rPr>
        <w:t>has led to growing</w:t>
      </w:r>
      <w:r w:rsidR="009735D9" w:rsidRPr="00726D52">
        <w:rPr>
          <w:noProof/>
        </w:rPr>
        <w:t xml:space="preserve"> reliance on Europol’s specialised technical</w:t>
      </w:r>
      <w:r w:rsidR="00FA7A1D" w:rsidRPr="00726D52">
        <w:rPr>
          <w:rStyle w:val="FootnoteReference"/>
          <w:noProof/>
        </w:rPr>
        <w:footnoteReference w:id="43"/>
      </w:r>
      <w:r w:rsidR="009735D9" w:rsidRPr="00726D52">
        <w:rPr>
          <w:noProof/>
        </w:rPr>
        <w:t xml:space="preserve"> and innovation</w:t>
      </w:r>
      <w:r w:rsidR="00FA7A1D" w:rsidRPr="00726D52">
        <w:rPr>
          <w:rStyle w:val="FootnoteReference"/>
          <w:noProof/>
        </w:rPr>
        <w:footnoteReference w:id="44"/>
      </w:r>
      <w:r w:rsidR="009735D9" w:rsidRPr="00726D52">
        <w:rPr>
          <w:noProof/>
        </w:rPr>
        <w:t xml:space="preserve"> support</w:t>
      </w:r>
      <w:r w:rsidR="004D64D8" w:rsidRPr="00726D52">
        <w:rPr>
          <w:noProof/>
        </w:rPr>
        <w:t>,</w:t>
      </w:r>
      <w:r w:rsidR="009735D9" w:rsidRPr="00726D52">
        <w:rPr>
          <w:noProof/>
        </w:rPr>
        <w:t xml:space="preserve"> including training and operational assistance in areas such as digital forensics, artificial intelligence</w:t>
      </w:r>
      <w:r w:rsidR="00B53EDA" w:rsidRPr="00726D52">
        <w:rPr>
          <w:noProof/>
        </w:rPr>
        <w:t>,</w:t>
      </w:r>
      <w:r w:rsidR="009735D9" w:rsidRPr="00726D52">
        <w:rPr>
          <w:noProof/>
        </w:rPr>
        <w:t xml:space="preserve"> and cryptocurrency investigations</w:t>
      </w:r>
      <w:r w:rsidR="00957868" w:rsidRPr="00726D52">
        <w:rPr>
          <w:rStyle w:val="FootnoteReference"/>
          <w:noProof/>
        </w:rPr>
        <w:footnoteReference w:id="45"/>
      </w:r>
      <w:r w:rsidR="009735D9" w:rsidRPr="00726D52">
        <w:rPr>
          <w:noProof/>
        </w:rPr>
        <w:t xml:space="preserve">. </w:t>
      </w:r>
      <w:r w:rsidR="003329B3" w:rsidRPr="00726D52">
        <w:rPr>
          <w:noProof/>
        </w:rPr>
        <w:t>Demand</w:t>
      </w:r>
      <w:r w:rsidR="004F3E77" w:rsidRPr="00726D52">
        <w:rPr>
          <w:noProof/>
        </w:rPr>
        <w:t xml:space="preserve"> for such support continues to grow faster than </w:t>
      </w:r>
      <w:r w:rsidR="003329B3" w:rsidRPr="00726D52">
        <w:rPr>
          <w:noProof/>
        </w:rPr>
        <w:t xml:space="preserve">Europol’s </w:t>
      </w:r>
      <w:r w:rsidR="004F3E77" w:rsidRPr="00726D52">
        <w:rPr>
          <w:noProof/>
        </w:rPr>
        <w:t xml:space="preserve">current </w:t>
      </w:r>
      <w:r w:rsidR="003329B3" w:rsidRPr="00726D52">
        <w:rPr>
          <w:noProof/>
        </w:rPr>
        <w:t>ability to provide</w:t>
      </w:r>
      <w:r w:rsidR="001D6472" w:rsidRPr="00726D52">
        <w:rPr>
          <w:noProof/>
        </w:rPr>
        <w:t xml:space="preserve"> it</w:t>
      </w:r>
      <w:r w:rsidR="004F3E77" w:rsidRPr="00726D52">
        <w:rPr>
          <w:noProof/>
        </w:rPr>
        <w:t xml:space="preserve">, limiting Europol’s ability to respond effectively to the operational needs </w:t>
      </w:r>
      <w:r w:rsidR="006D51A7" w:rsidRPr="00726D52">
        <w:rPr>
          <w:noProof/>
        </w:rPr>
        <w:t>across the Union</w:t>
      </w:r>
      <w:r w:rsidR="00817F4E" w:rsidRPr="00726D52">
        <w:rPr>
          <w:rStyle w:val="FootnoteReference"/>
          <w:noProof/>
        </w:rPr>
        <w:footnoteReference w:id="46"/>
      </w:r>
      <w:r w:rsidRPr="00726D52">
        <w:rPr>
          <w:noProof/>
        </w:rPr>
        <w:t>.</w:t>
      </w:r>
      <w:r w:rsidR="00401CCC" w:rsidRPr="00726D52">
        <w:rPr>
          <w:b/>
          <w:bCs/>
          <w:noProof/>
        </w:rPr>
        <w:t xml:space="preserve"> </w:t>
      </w:r>
      <w:r w:rsidR="00401CCC" w:rsidRPr="00726D52">
        <w:rPr>
          <w:noProof/>
        </w:rPr>
        <w:t>As a result, Europol cannot always scale its support in line with the increasing operational demands from Member States, leaving capability gaps at EU level in areas where collective support would be most efficient.</w:t>
      </w:r>
    </w:p>
    <w:p w14:paraId="56A05F85" w14:textId="6059391F" w:rsidR="000A51FB" w:rsidRPr="00726D52" w:rsidRDefault="000A51FB" w:rsidP="007967DD">
      <w:pPr>
        <w:pStyle w:val="Text2"/>
        <w:shd w:val="clear" w:color="auto" w:fill="FFFFFF" w:themeFill="background1"/>
        <w:spacing w:after="120"/>
        <w:ind w:left="0"/>
        <w:rPr>
          <w:noProof/>
        </w:rPr>
      </w:pPr>
      <w:r w:rsidRPr="00726D52">
        <w:rPr>
          <w:noProof/>
        </w:rPr>
        <w:t xml:space="preserve">Operational </w:t>
      </w:r>
      <w:r w:rsidR="00D417D8" w:rsidRPr="00726D52">
        <w:rPr>
          <w:noProof/>
        </w:rPr>
        <w:t xml:space="preserve">support </w:t>
      </w:r>
      <w:r w:rsidRPr="00726D52">
        <w:rPr>
          <w:noProof/>
        </w:rPr>
        <w:t xml:space="preserve">limitations also </w:t>
      </w:r>
      <w:r w:rsidR="00D417D8" w:rsidRPr="00726D52">
        <w:rPr>
          <w:noProof/>
        </w:rPr>
        <w:t xml:space="preserve">stem from and </w:t>
      </w:r>
      <w:r w:rsidRPr="00726D52">
        <w:rPr>
          <w:noProof/>
        </w:rPr>
        <w:t xml:space="preserve">extend to cooperation with </w:t>
      </w:r>
      <w:r w:rsidRPr="00726D52">
        <w:rPr>
          <w:b/>
          <w:bCs/>
          <w:noProof/>
        </w:rPr>
        <w:t>relevant EU bodies and agencies</w:t>
      </w:r>
      <w:r w:rsidRPr="00726D52">
        <w:rPr>
          <w:noProof/>
        </w:rPr>
        <w:t xml:space="preserve"> responsible for preventing and combating cross-border crime within their respective mandates.</w:t>
      </w:r>
    </w:p>
    <w:p w14:paraId="4D5E99A3" w14:textId="60264892" w:rsidR="00752460" w:rsidRPr="00726D52" w:rsidRDefault="001A7F54" w:rsidP="007967DD">
      <w:pPr>
        <w:pStyle w:val="Text2"/>
        <w:shd w:val="clear" w:color="auto" w:fill="FFFFFF" w:themeFill="background1"/>
        <w:spacing w:after="120"/>
        <w:ind w:left="0"/>
        <w:rPr>
          <w:noProof/>
        </w:rPr>
      </w:pPr>
      <w:r w:rsidRPr="00726D52">
        <w:rPr>
          <w:noProof/>
        </w:rPr>
        <w:t xml:space="preserve">Since the </w:t>
      </w:r>
      <w:r w:rsidRPr="00726D52">
        <w:rPr>
          <w:b/>
          <w:bCs/>
          <w:noProof/>
        </w:rPr>
        <w:t>European Public Prosecutor’s Office</w:t>
      </w:r>
      <w:r w:rsidRPr="00726D52">
        <w:rPr>
          <w:noProof/>
        </w:rPr>
        <w:t xml:space="preserve"> (EPPO)</w:t>
      </w:r>
      <w:r w:rsidRPr="00726D52">
        <w:rPr>
          <w:rStyle w:val="FootnoteReference"/>
          <w:noProof/>
        </w:rPr>
        <w:footnoteReference w:id="47"/>
      </w:r>
      <w:r w:rsidRPr="00726D52">
        <w:rPr>
          <w:noProof/>
        </w:rPr>
        <w:t xml:space="preserve"> became operational in 2021, Europol and the EPPO have significantly strengthened their operational cooperation</w:t>
      </w:r>
      <w:r w:rsidR="002554C8" w:rsidRPr="00726D52">
        <w:rPr>
          <w:noProof/>
        </w:rPr>
        <w:t xml:space="preserve"> on</w:t>
      </w:r>
      <w:r w:rsidRPr="00726D52">
        <w:rPr>
          <w:noProof/>
        </w:rPr>
        <w:t xml:space="preserve"> complex cross-border investigations affecting the Union’s financial interests.</w:t>
      </w:r>
      <w:r w:rsidR="002554C8" w:rsidRPr="00726D52">
        <w:rPr>
          <w:rStyle w:val="FootnoteReference"/>
          <w:noProof/>
        </w:rPr>
        <w:footnoteReference w:id="48"/>
      </w:r>
      <w:r w:rsidR="00576A8B" w:rsidRPr="00726D52">
        <w:rPr>
          <w:noProof/>
        </w:rPr>
        <w:t xml:space="preserve"> </w:t>
      </w:r>
      <w:r w:rsidR="00356940" w:rsidRPr="00726D52">
        <w:rPr>
          <w:noProof/>
        </w:rPr>
        <w:t>Over recent years, the growing scale and complexity of EPPO investigations have increased demand for Europol’s analytical support, including cross-checking operational data against Europol databases</w:t>
      </w:r>
      <w:r w:rsidR="00A36D34" w:rsidRPr="00726D52">
        <w:rPr>
          <w:noProof/>
        </w:rPr>
        <w:t>,</w:t>
      </w:r>
      <w:r w:rsidR="00356940" w:rsidRPr="00726D52">
        <w:rPr>
          <w:noProof/>
        </w:rPr>
        <w:t xml:space="preserve"> identifying links across cases</w:t>
      </w:r>
      <w:r w:rsidR="00807F4B" w:rsidRPr="00726D52">
        <w:rPr>
          <w:noProof/>
        </w:rPr>
        <w:t>,</w:t>
      </w:r>
      <w:r w:rsidR="00A36D34" w:rsidRPr="00726D52">
        <w:rPr>
          <w:noProof/>
        </w:rPr>
        <w:t xml:space="preserve"> and enriching them</w:t>
      </w:r>
      <w:r w:rsidR="00D728ED" w:rsidRPr="00726D52">
        <w:rPr>
          <w:rStyle w:val="FootnoteReference"/>
          <w:noProof/>
        </w:rPr>
        <w:footnoteReference w:id="49"/>
      </w:r>
      <w:r w:rsidR="00356940" w:rsidRPr="00726D52">
        <w:rPr>
          <w:noProof/>
        </w:rPr>
        <w:t xml:space="preserve">. </w:t>
      </w:r>
      <w:r w:rsidR="00DD49AD" w:rsidRPr="00726D52">
        <w:rPr>
          <w:noProof/>
        </w:rPr>
        <w:t xml:space="preserve">However, </w:t>
      </w:r>
      <w:r w:rsidR="001259BF" w:rsidRPr="00726D52">
        <w:rPr>
          <w:noProof/>
        </w:rPr>
        <w:t>the current legal framework governing the exchange and use of operational information between Europol and the EPPO limits the extent of th</w:t>
      </w:r>
      <w:r w:rsidR="00F40CB8" w:rsidRPr="00726D52">
        <w:rPr>
          <w:noProof/>
        </w:rPr>
        <w:t>e</w:t>
      </w:r>
      <w:r w:rsidR="001259BF" w:rsidRPr="00726D52">
        <w:rPr>
          <w:noProof/>
        </w:rPr>
        <w:t xml:space="preserve"> support</w:t>
      </w:r>
      <w:r w:rsidR="00F40CB8" w:rsidRPr="00726D52">
        <w:rPr>
          <w:noProof/>
        </w:rPr>
        <w:t xml:space="preserve"> Europol can provide</w:t>
      </w:r>
      <w:r w:rsidR="00BE5D62" w:rsidRPr="00726D52">
        <w:rPr>
          <w:noProof/>
        </w:rPr>
        <w:t xml:space="preserve">, </w:t>
      </w:r>
      <w:r w:rsidR="00DD49AD" w:rsidRPr="00726D52">
        <w:rPr>
          <w:noProof/>
        </w:rPr>
        <w:t>including by analysing relevant datasets</w:t>
      </w:r>
      <w:r w:rsidR="00DD49AD" w:rsidRPr="00726D52">
        <w:rPr>
          <w:rStyle w:val="FootnoteReference"/>
          <w:noProof/>
        </w:rPr>
        <w:footnoteReference w:id="50"/>
      </w:r>
      <w:r w:rsidR="00DD49AD" w:rsidRPr="00726D52">
        <w:rPr>
          <w:noProof/>
        </w:rPr>
        <w:t xml:space="preserve"> and identifying connections between cases. </w:t>
      </w:r>
      <w:r w:rsidR="0077799B" w:rsidRPr="00726D52">
        <w:rPr>
          <w:noProof/>
        </w:rPr>
        <w:t xml:space="preserve">At </w:t>
      </w:r>
      <w:r w:rsidR="0077799B" w:rsidRPr="00726D52">
        <w:rPr>
          <w:noProof/>
        </w:rPr>
        <w:lastRenderedPageBreak/>
        <w:t>the same time</w:t>
      </w:r>
      <w:r w:rsidR="00DD49AD" w:rsidRPr="00726D52">
        <w:rPr>
          <w:noProof/>
        </w:rPr>
        <w:t>, l</w:t>
      </w:r>
      <w:r w:rsidR="51A3DBC4" w:rsidRPr="00726D52">
        <w:rPr>
          <w:noProof/>
        </w:rPr>
        <w:t>arge</w:t>
      </w:r>
      <w:r w:rsidR="000005EF" w:rsidRPr="00726D52">
        <w:rPr>
          <w:noProof/>
        </w:rPr>
        <w:t xml:space="preserve"> volumes of operational data held by the EPPO</w:t>
      </w:r>
      <w:r w:rsidR="00734921" w:rsidRPr="00726D52">
        <w:rPr>
          <w:rStyle w:val="FootnoteReference"/>
          <w:noProof/>
        </w:rPr>
        <w:footnoteReference w:id="51"/>
      </w:r>
      <w:r w:rsidR="000005EF" w:rsidRPr="00726D52">
        <w:rPr>
          <w:noProof/>
        </w:rPr>
        <w:t xml:space="preserve"> </w:t>
      </w:r>
      <w:r w:rsidR="006F486C" w:rsidRPr="00726D52">
        <w:rPr>
          <w:noProof/>
        </w:rPr>
        <w:t xml:space="preserve">cannot always be effectively used </w:t>
      </w:r>
      <w:r w:rsidR="00BE5D62" w:rsidRPr="00726D52">
        <w:rPr>
          <w:noProof/>
        </w:rPr>
        <w:t>by Europol for its</w:t>
      </w:r>
      <w:r w:rsidR="006F486C" w:rsidRPr="00726D52">
        <w:rPr>
          <w:noProof/>
        </w:rPr>
        <w:t xml:space="preserve"> activities </w:t>
      </w:r>
      <w:r w:rsidR="006E3D2C" w:rsidRPr="00726D52">
        <w:rPr>
          <w:noProof/>
        </w:rPr>
        <w:t xml:space="preserve">due to </w:t>
      </w:r>
      <w:r w:rsidR="003C34B1" w:rsidRPr="00726D52">
        <w:rPr>
          <w:noProof/>
        </w:rPr>
        <w:t xml:space="preserve">mandate </w:t>
      </w:r>
      <w:r w:rsidR="006E3D2C" w:rsidRPr="00726D52">
        <w:rPr>
          <w:noProof/>
        </w:rPr>
        <w:t>limitations. This reduces Europol’s</w:t>
      </w:r>
      <w:r w:rsidR="006F486C" w:rsidRPr="00726D52">
        <w:rPr>
          <w:noProof/>
        </w:rPr>
        <w:t xml:space="preserve"> ability to </w:t>
      </w:r>
      <w:r w:rsidR="00EA3ECD" w:rsidRPr="00726D52">
        <w:rPr>
          <w:noProof/>
        </w:rPr>
        <w:t xml:space="preserve">support </w:t>
      </w:r>
      <w:r w:rsidR="004D33B3" w:rsidRPr="00726D52">
        <w:rPr>
          <w:noProof/>
        </w:rPr>
        <w:t>the</w:t>
      </w:r>
      <w:r w:rsidR="006F486C" w:rsidRPr="00726D52">
        <w:rPr>
          <w:noProof/>
        </w:rPr>
        <w:t xml:space="preserve"> investigations conducted by national law enforcement authorities</w:t>
      </w:r>
      <w:r w:rsidR="0065297D" w:rsidRPr="00726D52">
        <w:rPr>
          <w:rFonts w:eastAsiaTheme="minorHAnsi"/>
          <w:noProof/>
          <w:szCs w:val="24"/>
        </w:rPr>
        <w:t xml:space="preserve"> </w:t>
      </w:r>
      <w:r w:rsidR="0065297D" w:rsidRPr="00726D52">
        <w:rPr>
          <w:noProof/>
        </w:rPr>
        <w:t xml:space="preserve">and provide </w:t>
      </w:r>
      <w:r w:rsidR="00DC35F4" w:rsidRPr="00726D52">
        <w:rPr>
          <w:noProof/>
        </w:rPr>
        <w:t xml:space="preserve">them with </w:t>
      </w:r>
      <w:r w:rsidR="0065297D" w:rsidRPr="00726D52">
        <w:rPr>
          <w:noProof/>
        </w:rPr>
        <w:t>comprehensive analytical support</w:t>
      </w:r>
      <w:r w:rsidR="006F486C" w:rsidRPr="00726D52">
        <w:rPr>
          <w:noProof/>
        </w:rPr>
        <w:t>.</w:t>
      </w:r>
    </w:p>
    <w:p w14:paraId="390D0D63" w14:textId="1D5CB5E8" w:rsidR="00E86BAF" w:rsidRPr="00726D52" w:rsidRDefault="00AD5F17" w:rsidP="00AB6396">
      <w:pPr>
        <w:pStyle w:val="Text2"/>
        <w:spacing w:after="120"/>
        <w:ind w:left="0"/>
        <w:rPr>
          <w:noProof/>
        </w:rPr>
      </w:pPr>
      <w:r w:rsidRPr="00726D52">
        <w:rPr>
          <w:noProof/>
        </w:rPr>
        <w:t>Cooperation</w:t>
      </w:r>
      <w:r w:rsidR="005F5ECC" w:rsidRPr="00726D52">
        <w:rPr>
          <w:noProof/>
        </w:rPr>
        <w:t xml:space="preserve"> between Europol and </w:t>
      </w:r>
      <w:r w:rsidR="005F5ECC" w:rsidRPr="00726D52">
        <w:rPr>
          <w:b/>
          <w:bCs/>
          <w:noProof/>
        </w:rPr>
        <w:t xml:space="preserve">Eurojust </w:t>
      </w:r>
      <w:r w:rsidR="005F5ECC" w:rsidRPr="00726D52">
        <w:rPr>
          <w:noProof/>
        </w:rPr>
        <w:t>also remains limited in practice</w:t>
      </w:r>
      <w:r w:rsidR="00D30BEF" w:rsidRPr="00726D52">
        <w:rPr>
          <w:noProof/>
        </w:rPr>
        <w:t>, particularly due to the very limited exchange of operational information between the two agencies</w:t>
      </w:r>
      <w:r w:rsidR="00044105" w:rsidRPr="00726D52">
        <w:rPr>
          <w:rStyle w:val="FootnoteReference"/>
          <w:noProof/>
        </w:rPr>
        <w:footnoteReference w:id="52"/>
      </w:r>
      <w:r w:rsidR="005F5ECC" w:rsidRPr="00726D52">
        <w:rPr>
          <w:noProof/>
        </w:rPr>
        <w:t xml:space="preserve">. </w:t>
      </w:r>
      <w:r w:rsidR="00B7276B" w:rsidRPr="00726D52">
        <w:rPr>
          <w:noProof/>
        </w:rPr>
        <w:t>As a result, Europol receives only a very limited amount of information from Eurojust, constraining its ability to detect links between cases handled by judicial authorities and those analysed within Europol’s operational and analytical activities.</w:t>
      </w:r>
      <w:r w:rsidR="00734921" w:rsidRPr="00726D52">
        <w:rPr>
          <w:noProof/>
        </w:rPr>
        <w:t xml:space="preserve"> </w:t>
      </w:r>
      <w:r w:rsidR="00E86BAF" w:rsidRPr="00726D52">
        <w:rPr>
          <w:noProof/>
        </w:rPr>
        <w:t xml:space="preserve">In addition, gaps persist in the </w:t>
      </w:r>
      <w:r w:rsidR="0087642B" w:rsidRPr="00726D52">
        <w:rPr>
          <w:noProof/>
        </w:rPr>
        <w:t xml:space="preserve">EU-level </w:t>
      </w:r>
      <w:r w:rsidR="00E86BAF" w:rsidRPr="00726D52">
        <w:rPr>
          <w:noProof/>
        </w:rPr>
        <w:t xml:space="preserve">support available </w:t>
      </w:r>
      <w:r w:rsidR="0087642B" w:rsidRPr="00726D52">
        <w:rPr>
          <w:noProof/>
        </w:rPr>
        <w:t>to</w:t>
      </w:r>
      <w:r w:rsidR="00E86BAF" w:rsidRPr="00726D52">
        <w:rPr>
          <w:noProof/>
        </w:rPr>
        <w:t xml:space="preserve"> national authorities seeking to obtain electronic evidence in investigations</w:t>
      </w:r>
      <w:r w:rsidR="00A3414E" w:rsidRPr="00726D52">
        <w:rPr>
          <w:noProof/>
        </w:rPr>
        <w:t xml:space="preserve"> today</w:t>
      </w:r>
      <w:r w:rsidR="003D6822" w:rsidRPr="00726D52">
        <w:rPr>
          <w:noProof/>
        </w:rPr>
        <w:t>,</w:t>
      </w:r>
      <w:r w:rsidR="00571333" w:rsidRPr="00726D52">
        <w:rPr>
          <w:rStyle w:val="FootnoteReference"/>
          <w:noProof/>
        </w:rPr>
        <w:footnoteReference w:id="53"/>
      </w:r>
      <w:r w:rsidR="003D6822" w:rsidRPr="00726D52">
        <w:rPr>
          <w:noProof/>
        </w:rPr>
        <w:t xml:space="preserve"> as there is currently no stable and structured EU-level framework for operational cooperation between Europol and Eurojust to support Member States </w:t>
      </w:r>
      <w:r w:rsidR="002B57E6" w:rsidRPr="00726D52">
        <w:rPr>
          <w:noProof/>
        </w:rPr>
        <w:t>in this regard</w:t>
      </w:r>
      <w:r w:rsidR="00DA37CF" w:rsidRPr="00726D52">
        <w:rPr>
          <w:rStyle w:val="FootnoteReference"/>
          <w:noProof/>
        </w:rPr>
        <w:footnoteReference w:id="54"/>
      </w:r>
      <w:r w:rsidR="00E86BAF" w:rsidRPr="00726D52">
        <w:rPr>
          <w:noProof/>
        </w:rPr>
        <w:t xml:space="preserve">. </w:t>
      </w:r>
    </w:p>
    <w:p w14:paraId="6237994A" w14:textId="1E90FFA1" w:rsidR="00737EE8" w:rsidRPr="00726D52" w:rsidRDefault="00737EE8" w:rsidP="00AB6396">
      <w:pPr>
        <w:pStyle w:val="Text2"/>
        <w:spacing w:after="120"/>
        <w:ind w:left="0"/>
        <w:rPr>
          <w:noProof/>
        </w:rPr>
      </w:pPr>
      <w:r w:rsidRPr="00726D52">
        <w:rPr>
          <w:noProof/>
        </w:rPr>
        <w:t xml:space="preserve">More broadly, structured EU-level </w:t>
      </w:r>
      <w:r w:rsidR="00BA68A2" w:rsidRPr="00726D52">
        <w:rPr>
          <w:noProof/>
        </w:rPr>
        <w:t xml:space="preserve">cooperation </w:t>
      </w:r>
      <w:r w:rsidR="000271F9" w:rsidRPr="00726D52">
        <w:rPr>
          <w:noProof/>
        </w:rPr>
        <w:t>in</w:t>
      </w:r>
      <w:r w:rsidR="00BA68A2" w:rsidRPr="00726D52">
        <w:rPr>
          <w:noProof/>
        </w:rPr>
        <w:t xml:space="preserve"> support </w:t>
      </w:r>
      <w:r w:rsidR="000271F9" w:rsidRPr="00726D52">
        <w:rPr>
          <w:noProof/>
        </w:rPr>
        <w:t>of</w:t>
      </w:r>
      <w:r w:rsidR="00BA68A2" w:rsidRPr="00726D52">
        <w:rPr>
          <w:noProof/>
        </w:rPr>
        <w:t xml:space="preserve"> investigations into </w:t>
      </w:r>
      <w:r w:rsidRPr="00726D52">
        <w:rPr>
          <w:noProof/>
        </w:rPr>
        <w:t xml:space="preserve">cross-border </w:t>
      </w:r>
      <w:r w:rsidR="00BA68A2" w:rsidRPr="00726D52">
        <w:rPr>
          <w:noProof/>
        </w:rPr>
        <w:t xml:space="preserve">crime </w:t>
      </w:r>
      <w:r w:rsidRPr="00726D52">
        <w:rPr>
          <w:noProof/>
        </w:rPr>
        <w:t>remains uneven across the EU</w:t>
      </w:r>
      <w:r w:rsidR="00E51D10" w:rsidRPr="00726D52">
        <w:rPr>
          <w:noProof/>
        </w:rPr>
        <w:t>’s internal</w:t>
      </w:r>
      <w:r w:rsidRPr="00726D52">
        <w:rPr>
          <w:noProof/>
        </w:rPr>
        <w:t xml:space="preserve"> security architecture. Exchanges of information between Europol and other relevant EU actors</w:t>
      </w:r>
      <w:r w:rsidR="004306C5" w:rsidRPr="00726D52">
        <w:rPr>
          <w:noProof/>
        </w:rPr>
        <w:t>,</w:t>
      </w:r>
      <w:r w:rsidRPr="00726D52">
        <w:rPr>
          <w:noProof/>
        </w:rPr>
        <w:t xml:space="preserve"> including Frontex</w:t>
      </w:r>
      <w:r w:rsidR="001A5B24" w:rsidRPr="00726D52">
        <w:rPr>
          <w:noProof/>
        </w:rPr>
        <w:t xml:space="preserve"> </w:t>
      </w:r>
      <w:r w:rsidRPr="00726D52">
        <w:rPr>
          <w:noProof/>
        </w:rPr>
        <w:t>in the area</w:t>
      </w:r>
      <w:r w:rsidR="3E628D21" w:rsidRPr="00726D52">
        <w:rPr>
          <w:noProof/>
        </w:rPr>
        <w:t>s</w:t>
      </w:r>
      <w:r w:rsidRPr="00726D52">
        <w:rPr>
          <w:noProof/>
        </w:rPr>
        <w:t xml:space="preserve"> of </w:t>
      </w:r>
      <w:r w:rsidR="1203AE8C" w:rsidRPr="00726D52">
        <w:rPr>
          <w:noProof/>
        </w:rPr>
        <w:t>migrant smuggling and trafficking in human beings</w:t>
      </w:r>
      <w:r w:rsidRPr="00726D52">
        <w:rPr>
          <w:noProof/>
        </w:rPr>
        <w:t>,</w:t>
      </w:r>
      <w:r w:rsidR="001D158E" w:rsidRPr="00726D52">
        <w:rPr>
          <w:rStyle w:val="FootnoteReference"/>
          <w:noProof/>
        </w:rPr>
        <w:footnoteReference w:id="55"/>
      </w:r>
      <w:r w:rsidRPr="00726D52">
        <w:rPr>
          <w:noProof/>
        </w:rPr>
        <w:t xml:space="preserve"> </w:t>
      </w:r>
      <w:r w:rsidR="007E0C84" w:rsidRPr="00726D52">
        <w:rPr>
          <w:noProof/>
        </w:rPr>
        <w:t>the Anti-Money Laundering Authority (</w:t>
      </w:r>
      <w:r w:rsidRPr="00726D52">
        <w:rPr>
          <w:noProof/>
        </w:rPr>
        <w:t>AMLA</w:t>
      </w:r>
      <w:r w:rsidR="007E0C84" w:rsidRPr="00726D52">
        <w:rPr>
          <w:noProof/>
        </w:rPr>
        <w:t>)</w:t>
      </w:r>
      <w:r w:rsidRPr="00726D52">
        <w:rPr>
          <w:noProof/>
        </w:rPr>
        <w:t xml:space="preserve"> in financial crime</w:t>
      </w:r>
      <w:r w:rsidR="004306C5" w:rsidRPr="00726D52">
        <w:rPr>
          <w:rStyle w:val="FootnoteReference"/>
          <w:noProof/>
        </w:rPr>
        <w:footnoteReference w:id="56"/>
      </w:r>
      <w:r w:rsidRPr="00726D52">
        <w:rPr>
          <w:noProof/>
        </w:rPr>
        <w:t>, and EU cybersecurity actors</w:t>
      </w:r>
      <w:r w:rsidR="00D54B17" w:rsidRPr="00726D52">
        <w:rPr>
          <w:noProof/>
        </w:rPr>
        <w:t>,</w:t>
      </w:r>
      <w:r w:rsidRPr="00726D52">
        <w:rPr>
          <w:noProof/>
        </w:rPr>
        <w:t xml:space="preserve"> such as </w:t>
      </w:r>
      <w:r w:rsidR="00A51B27" w:rsidRPr="00726D52">
        <w:rPr>
          <w:noProof/>
        </w:rPr>
        <w:t>the EU Agency for Cybersecurity (</w:t>
      </w:r>
      <w:r w:rsidRPr="00726D52">
        <w:rPr>
          <w:noProof/>
        </w:rPr>
        <w:t>ENISA</w:t>
      </w:r>
      <w:r w:rsidR="00A51B27" w:rsidRPr="00726D52">
        <w:rPr>
          <w:noProof/>
        </w:rPr>
        <w:t>)</w:t>
      </w:r>
      <w:r w:rsidRPr="00726D52">
        <w:rPr>
          <w:noProof/>
        </w:rPr>
        <w:t>,</w:t>
      </w:r>
      <w:r w:rsidR="00352105" w:rsidRPr="00726D52">
        <w:rPr>
          <w:rStyle w:val="FootnoteReference"/>
          <w:noProof/>
        </w:rPr>
        <w:footnoteReference w:id="57"/>
      </w:r>
      <w:r w:rsidRPr="00726D52">
        <w:rPr>
          <w:noProof/>
        </w:rPr>
        <w:t xml:space="preserve"> CERT-EU and the </w:t>
      </w:r>
      <w:r w:rsidR="004736C8" w:rsidRPr="00726D52">
        <w:rPr>
          <w:noProof/>
        </w:rPr>
        <w:t xml:space="preserve">European Cybersecurity </w:t>
      </w:r>
      <w:r w:rsidR="004736C8" w:rsidRPr="00726D52">
        <w:rPr>
          <w:noProof/>
        </w:rPr>
        <w:lastRenderedPageBreak/>
        <w:t>Competence Centre</w:t>
      </w:r>
      <w:r w:rsidR="00D53FC2" w:rsidRPr="00726D52">
        <w:rPr>
          <w:noProof/>
        </w:rPr>
        <w:t xml:space="preserve"> (ECCC)</w:t>
      </w:r>
      <w:r w:rsidR="009827D4" w:rsidRPr="00726D52">
        <w:rPr>
          <w:rStyle w:val="FootnoteReference"/>
          <w:noProof/>
        </w:rPr>
        <w:footnoteReference w:id="58"/>
      </w:r>
      <w:r w:rsidR="004306C5" w:rsidRPr="00726D52">
        <w:rPr>
          <w:noProof/>
        </w:rPr>
        <w:t>,</w:t>
      </w:r>
      <w:r w:rsidRPr="00726D52">
        <w:rPr>
          <w:noProof/>
        </w:rPr>
        <w:t xml:space="preserve"> remain limited, reducing the potential for coordinated responses to cross-border and cyber-enabled crime.</w:t>
      </w:r>
    </w:p>
    <w:p w14:paraId="16A2A403" w14:textId="77777777" w:rsidR="006B087E" w:rsidRPr="00726D52" w:rsidRDefault="006B087E" w:rsidP="000E3086">
      <w:pPr>
        <w:pStyle w:val="Heading2"/>
        <w:rPr>
          <w:noProof/>
        </w:rPr>
      </w:pPr>
      <w:r w:rsidRPr="00726D52">
        <w:rPr>
          <w:noProof/>
        </w:rPr>
        <w:t>What are the problem drivers?</w:t>
      </w:r>
    </w:p>
    <w:tbl>
      <w:tblPr>
        <w:tblStyle w:val="TableGrid"/>
        <w:tblW w:w="0" w:type="auto"/>
        <w:tblLook w:val="04A0" w:firstRow="1" w:lastRow="0" w:firstColumn="1" w:lastColumn="0" w:noHBand="0" w:noVBand="1"/>
      </w:tblPr>
      <w:tblGrid>
        <w:gridCol w:w="8608"/>
      </w:tblGrid>
      <w:tr w:rsidR="0023297D" w:rsidRPr="00726D52" w14:paraId="4D200F3A" w14:textId="77777777" w:rsidTr="001A5B24">
        <w:tc>
          <w:tcPr>
            <w:tcW w:w="9828" w:type="dxa"/>
            <w:shd w:val="clear" w:color="auto" w:fill="E5DFEC" w:themeFill="accent4" w:themeFillTint="33"/>
          </w:tcPr>
          <w:p w14:paraId="6733E689" w14:textId="45E2887D" w:rsidR="0023297D" w:rsidRPr="00726D52" w:rsidRDefault="0023297D">
            <w:pPr>
              <w:spacing w:before="120" w:after="120"/>
              <w:rPr>
                <w:b/>
                <w:noProof/>
              </w:rPr>
            </w:pPr>
            <w:r w:rsidRPr="00726D52">
              <w:rPr>
                <w:b/>
                <w:bCs/>
                <w:noProof/>
              </w:rPr>
              <w:t xml:space="preserve">2.2.1 </w:t>
            </w:r>
            <w:r w:rsidRPr="00726D52">
              <w:rPr>
                <w:b/>
                <w:bCs/>
                <w:noProof/>
                <w:u w:val="single"/>
              </w:rPr>
              <w:t>Problem 1</w:t>
            </w:r>
            <w:r w:rsidRPr="00726D52">
              <w:rPr>
                <w:b/>
                <w:bCs/>
                <w:noProof/>
              </w:rPr>
              <w:t>: Europol and national authorities face persistent information gaps when investigating cross-border crimes and identifying threats.</w:t>
            </w:r>
          </w:p>
        </w:tc>
      </w:tr>
    </w:tbl>
    <w:p w14:paraId="0B6826A7" w14:textId="764B3779" w:rsidR="000C6EA1" w:rsidRPr="00726D52" w:rsidRDefault="00633935" w:rsidP="00967FD6">
      <w:pPr>
        <w:pStyle w:val="Text2"/>
        <w:spacing w:before="240"/>
        <w:ind w:left="0"/>
        <w:rPr>
          <w:b/>
          <w:bCs/>
          <w:noProof/>
        </w:rPr>
      </w:pPr>
      <w:r w:rsidRPr="00726D52">
        <w:rPr>
          <w:b/>
          <w:bCs/>
          <w:noProof/>
        </w:rPr>
        <w:t>Driver</w:t>
      </w:r>
      <w:r w:rsidR="0023297D" w:rsidRPr="00726D52">
        <w:rPr>
          <w:b/>
          <w:bCs/>
          <w:noProof/>
        </w:rPr>
        <w:t xml:space="preserve"> 1.1</w:t>
      </w:r>
      <w:r w:rsidRPr="00726D52">
        <w:rPr>
          <w:b/>
          <w:bCs/>
          <w:noProof/>
        </w:rPr>
        <w:t xml:space="preserve">: </w:t>
      </w:r>
      <w:r w:rsidR="000A7070" w:rsidRPr="00726D52">
        <w:rPr>
          <w:b/>
          <w:bCs/>
          <w:noProof/>
        </w:rPr>
        <w:t>Regulatory, l</w:t>
      </w:r>
      <w:r w:rsidR="001A4E8A" w:rsidRPr="00726D52">
        <w:rPr>
          <w:b/>
          <w:bCs/>
          <w:noProof/>
        </w:rPr>
        <w:t xml:space="preserve">egal and procedural constraints affecting </w:t>
      </w:r>
      <w:r w:rsidR="00105735" w:rsidRPr="00726D52">
        <w:rPr>
          <w:b/>
          <w:bCs/>
          <w:noProof/>
        </w:rPr>
        <w:t>information</w:t>
      </w:r>
      <w:r w:rsidR="001A4E8A" w:rsidRPr="00726D52">
        <w:rPr>
          <w:b/>
          <w:bCs/>
          <w:noProof/>
        </w:rPr>
        <w:t xml:space="preserve"> sharing</w:t>
      </w:r>
    </w:p>
    <w:p w14:paraId="042515E3" w14:textId="71146BBA" w:rsidR="00FF33C6" w:rsidRPr="00726D52" w:rsidRDefault="00FF33C6" w:rsidP="00FF33C6">
      <w:pPr>
        <w:rPr>
          <w:noProof/>
        </w:rPr>
      </w:pPr>
      <w:r w:rsidRPr="00726D52">
        <w:rPr>
          <w:noProof/>
        </w:rPr>
        <w:t>Divergent national criminal procedure laws</w:t>
      </w:r>
      <w:r w:rsidR="00282E62" w:rsidRPr="00726D52">
        <w:rPr>
          <w:noProof/>
        </w:rPr>
        <w:t xml:space="preserve"> </w:t>
      </w:r>
      <w:r w:rsidRPr="00726D52">
        <w:rPr>
          <w:noProof/>
        </w:rPr>
        <w:t>and differing interpretations of necessity and proportionality drive selective and inconsistent information sharing between Member States</w:t>
      </w:r>
      <w:r w:rsidR="00316E0C" w:rsidRPr="00726D52">
        <w:rPr>
          <w:noProof/>
        </w:rPr>
        <w:t xml:space="preserve"> and Europol</w:t>
      </w:r>
      <w:r w:rsidRPr="00726D52">
        <w:rPr>
          <w:noProof/>
        </w:rPr>
        <w:t>. Political sensitivities, historical cooperation patterns and varying levels of trust in Europol’s handling of sensitive data (e.g. terrorism, minors, financial crime or migration cases) further reinforce conservative practices</w:t>
      </w:r>
      <w:r w:rsidR="00282E62" w:rsidRPr="00726D52">
        <w:rPr>
          <w:noProof/>
        </w:rPr>
        <w:t xml:space="preserve"> among Member States</w:t>
      </w:r>
      <w:r w:rsidRPr="00726D52">
        <w:rPr>
          <w:noProof/>
        </w:rPr>
        <w:t>.</w:t>
      </w:r>
    </w:p>
    <w:p w14:paraId="1DC55F89" w14:textId="743D9924" w:rsidR="00FF33C6" w:rsidRPr="00726D52" w:rsidRDefault="00FF33C6" w:rsidP="00FF33C6">
      <w:pPr>
        <w:rPr>
          <w:noProof/>
        </w:rPr>
      </w:pPr>
      <w:r w:rsidRPr="00726D52">
        <w:rPr>
          <w:noProof/>
        </w:rPr>
        <w:t>As a result, information exchange remains uneven and incomplete, with Member States sometimes limiting or delaying transmission of operational data, even where cooperation would be legally possible and operationally justified.</w:t>
      </w:r>
      <w:r w:rsidR="00F357EB" w:rsidRPr="00726D52">
        <w:rPr>
          <w:noProof/>
        </w:rPr>
        <w:t xml:space="preserve"> This is reflected in significant variations in Member States’ contributions to Europol systems and in the uneven use of information exchange channels.</w:t>
      </w:r>
    </w:p>
    <w:p w14:paraId="42E6743F" w14:textId="2D7B09F2" w:rsidR="000C6EA1" w:rsidRPr="00726D52" w:rsidRDefault="00633935" w:rsidP="0023297D">
      <w:pPr>
        <w:pStyle w:val="Text2"/>
        <w:ind w:left="0"/>
        <w:rPr>
          <w:b/>
          <w:bCs/>
          <w:noProof/>
        </w:rPr>
      </w:pPr>
      <w:r w:rsidRPr="00726D52">
        <w:rPr>
          <w:b/>
          <w:bCs/>
          <w:noProof/>
        </w:rPr>
        <w:t>Driver</w:t>
      </w:r>
      <w:r w:rsidR="0023297D" w:rsidRPr="00726D52">
        <w:rPr>
          <w:b/>
          <w:bCs/>
          <w:noProof/>
        </w:rPr>
        <w:t xml:space="preserve"> 1.2</w:t>
      </w:r>
      <w:r w:rsidRPr="00726D52">
        <w:rPr>
          <w:b/>
          <w:bCs/>
          <w:noProof/>
        </w:rPr>
        <w:t xml:space="preserve">: </w:t>
      </w:r>
      <w:r w:rsidR="00F357EB" w:rsidRPr="00726D52">
        <w:rPr>
          <w:b/>
          <w:bCs/>
          <w:noProof/>
        </w:rPr>
        <w:t>Operational and t</w:t>
      </w:r>
      <w:r w:rsidR="009E182F" w:rsidRPr="00726D52">
        <w:rPr>
          <w:b/>
          <w:bCs/>
          <w:noProof/>
        </w:rPr>
        <w:t>echnical limitations in data automation, integration and standardisation hampering information exchange</w:t>
      </w:r>
    </w:p>
    <w:p w14:paraId="1D5F7786" w14:textId="03D8D43F" w:rsidR="00565EF1" w:rsidRPr="00726D52" w:rsidRDefault="00565EF1" w:rsidP="00565EF1">
      <w:pPr>
        <w:rPr>
          <w:noProof/>
        </w:rPr>
      </w:pPr>
      <w:r w:rsidRPr="00726D52">
        <w:rPr>
          <w:noProof/>
        </w:rPr>
        <w:t xml:space="preserve">Member States’ </w:t>
      </w:r>
      <w:r w:rsidR="004D2390" w:rsidRPr="00726D52">
        <w:rPr>
          <w:noProof/>
        </w:rPr>
        <w:t xml:space="preserve">law enforcement </w:t>
      </w:r>
      <w:r w:rsidRPr="00726D52">
        <w:rPr>
          <w:noProof/>
        </w:rPr>
        <w:t xml:space="preserve">IT systems differ significantly in terms of automation, connectivity, and their ability to produce structured, interoperable data. Only a </w:t>
      </w:r>
      <w:r w:rsidR="008C5629" w:rsidRPr="00726D52">
        <w:rPr>
          <w:noProof/>
        </w:rPr>
        <w:t>few</w:t>
      </w:r>
      <w:r w:rsidRPr="00726D52">
        <w:rPr>
          <w:noProof/>
        </w:rPr>
        <w:t xml:space="preserve"> operate automated data</w:t>
      </w:r>
      <w:r w:rsidR="00356AC4" w:rsidRPr="00726D52">
        <w:rPr>
          <w:noProof/>
        </w:rPr>
        <w:t xml:space="preserve"> </w:t>
      </w:r>
      <w:r w:rsidRPr="00726D52">
        <w:rPr>
          <w:noProof/>
        </w:rPr>
        <w:t xml:space="preserve">loaders </w:t>
      </w:r>
      <w:r w:rsidR="00876572" w:rsidRPr="00726D52">
        <w:rPr>
          <w:noProof/>
        </w:rPr>
        <w:t>to transmit data to Europol</w:t>
      </w:r>
      <w:r w:rsidR="00ED4B86" w:rsidRPr="00726D52">
        <w:rPr>
          <w:rStyle w:val="FootnoteReference"/>
          <w:noProof/>
        </w:rPr>
        <w:footnoteReference w:id="59"/>
      </w:r>
      <w:r w:rsidRPr="00726D52">
        <w:rPr>
          <w:noProof/>
        </w:rPr>
        <w:t xml:space="preserve">, while others rely on manual processes or, in some cases, bypass EU channels altogether. </w:t>
      </w:r>
      <w:r w:rsidR="00876572" w:rsidRPr="00726D52">
        <w:rPr>
          <w:noProof/>
        </w:rPr>
        <w:t>Europol’s core systems</w:t>
      </w:r>
      <w:r w:rsidRPr="00726D52">
        <w:rPr>
          <w:noProof/>
        </w:rPr>
        <w:t xml:space="preserve"> remain underutilised</w:t>
      </w:r>
      <w:r w:rsidR="00413830" w:rsidRPr="00726D52">
        <w:rPr>
          <w:rStyle w:val="FootnoteReference"/>
          <w:noProof/>
        </w:rPr>
        <w:footnoteReference w:id="60"/>
      </w:r>
      <w:r w:rsidRPr="00726D52">
        <w:rPr>
          <w:noProof/>
        </w:rPr>
        <w:t>, reducing cross-border visibility and EU-level situational awareness.</w:t>
      </w:r>
      <w:r w:rsidR="00AD7B99" w:rsidRPr="00726D52">
        <w:rPr>
          <w:noProof/>
        </w:rPr>
        <w:t xml:space="preserve"> </w:t>
      </w:r>
      <w:r w:rsidR="00011705" w:rsidRPr="00726D52">
        <w:rPr>
          <w:noProof/>
        </w:rPr>
        <w:t>Therefore, the a</w:t>
      </w:r>
      <w:r w:rsidR="00AD7B99" w:rsidRPr="00726D52">
        <w:rPr>
          <w:noProof/>
        </w:rPr>
        <w:t>vailable statistics point to significant disparities in connectivity and data transmission practices across Member States.</w:t>
      </w:r>
    </w:p>
    <w:p w14:paraId="273E89EC" w14:textId="7482CE3A" w:rsidR="00565EF1" w:rsidRPr="00726D52" w:rsidRDefault="00565EF1" w:rsidP="00565EF1">
      <w:pPr>
        <w:rPr>
          <w:noProof/>
        </w:rPr>
      </w:pPr>
      <w:r w:rsidRPr="00726D52">
        <w:rPr>
          <w:noProof/>
        </w:rPr>
        <w:t xml:space="preserve">Even where connectivity exists, most operational information is transmitted in unstructured formats requiring manual processing. The lack of common data models, standardised templates and automated workflows slows ingestion, cross-checking and analysis. These technical limitations reduce scalability and prevent near-real-time </w:t>
      </w:r>
      <w:r w:rsidR="008012F9" w:rsidRPr="00726D52">
        <w:rPr>
          <w:noProof/>
        </w:rPr>
        <w:t xml:space="preserve">criminal </w:t>
      </w:r>
      <w:r w:rsidRPr="00726D52">
        <w:rPr>
          <w:noProof/>
        </w:rPr>
        <w:t>intelligence production, including for biometric and multimedia data, thereby limiting Europol’s analytical capacity and operational added value.</w:t>
      </w:r>
    </w:p>
    <w:p w14:paraId="75462499" w14:textId="0B824EE3" w:rsidR="000C6EA1" w:rsidRPr="00726D52" w:rsidRDefault="00633935" w:rsidP="00633935">
      <w:pPr>
        <w:pStyle w:val="Text2"/>
        <w:ind w:left="0"/>
        <w:rPr>
          <w:b/>
          <w:bCs/>
          <w:noProof/>
        </w:rPr>
      </w:pPr>
      <w:r w:rsidRPr="00726D52">
        <w:rPr>
          <w:b/>
          <w:bCs/>
          <w:noProof/>
        </w:rPr>
        <w:t>Driver</w:t>
      </w:r>
      <w:r w:rsidR="0023297D" w:rsidRPr="00726D52">
        <w:rPr>
          <w:b/>
          <w:bCs/>
          <w:noProof/>
        </w:rPr>
        <w:t xml:space="preserve"> 1.3</w:t>
      </w:r>
      <w:r w:rsidRPr="00726D52">
        <w:rPr>
          <w:b/>
          <w:bCs/>
          <w:noProof/>
        </w:rPr>
        <w:t xml:space="preserve">: </w:t>
      </w:r>
      <w:r w:rsidR="00726D52" w:rsidRPr="00726D52">
        <w:rPr>
          <w:b/>
          <w:bCs/>
          <w:noProof/>
        </w:rPr>
        <w:t>Regulatory</w:t>
      </w:r>
      <w:r w:rsidR="00011705" w:rsidRPr="00726D52">
        <w:rPr>
          <w:b/>
          <w:bCs/>
          <w:noProof/>
        </w:rPr>
        <w:t>, l</w:t>
      </w:r>
      <w:r w:rsidR="0068572C" w:rsidRPr="00726D52">
        <w:rPr>
          <w:b/>
          <w:bCs/>
          <w:noProof/>
        </w:rPr>
        <w:t>egal and procedural constraints affecting data processing</w:t>
      </w:r>
    </w:p>
    <w:p w14:paraId="64703106" w14:textId="38D08869" w:rsidR="0068572C" w:rsidRPr="00726D52" w:rsidRDefault="0068572C" w:rsidP="0068572C">
      <w:pPr>
        <w:pStyle w:val="Text2"/>
        <w:ind w:left="0"/>
        <w:rPr>
          <w:noProof/>
        </w:rPr>
      </w:pPr>
      <w:r w:rsidRPr="00726D52">
        <w:rPr>
          <w:noProof/>
        </w:rPr>
        <w:lastRenderedPageBreak/>
        <w:t xml:space="preserve">Compliance requirements </w:t>
      </w:r>
      <w:r w:rsidR="00944AA8" w:rsidRPr="00726D52">
        <w:rPr>
          <w:noProof/>
        </w:rPr>
        <w:t>related to</w:t>
      </w:r>
      <w:r w:rsidRPr="00726D52">
        <w:rPr>
          <w:noProof/>
        </w:rPr>
        <w:t xml:space="preserve"> data protection rules, in particular regarding DSC</w:t>
      </w:r>
      <w:r w:rsidR="00096BF3" w:rsidRPr="00726D52">
        <w:rPr>
          <w:rStyle w:val="FootnoteReference"/>
          <w:noProof/>
        </w:rPr>
        <w:footnoteReference w:id="61"/>
      </w:r>
      <w:r w:rsidRPr="00726D52">
        <w:rPr>
          <w:noProof/>
        </w:rPr>
        <w:t>, operate in practice as structural constraints on information processing.</w:t>
      </w:r>
    </w:p>
    <w:p w14:paraId="3F159CFB" w14:textId="6804DD02" w:rsidR="0068572C" w:rsidRPr="00726D52" w:rsidRDefault="0068572C" w:rsidP="0068572C">
      <w:pPr>
        <w:pStyle w:val="Text2"/>
        <w:ind w:left="0"/>
        <w:rPr>
          <w:noProof/>
        </w:rPr>
      </w:pPr>
      <w:r w:rsidRPr="00726D52">
        <w:rPr>
          <w:noProof/>
        </w:rPr>
        <w:t xml:space="preserve">The requirement to apply DSC </w:t>
      </w:r>
      <w:r w:rsidRPr="00726D52">
        <w:rPr>
          <w:i/>
          <w:iCs/>
          <w:noProof/>
        </w:rPr>
        <w:t>ex ante</w:t>
      </w:r>
      <w:r w:rsidRPr="00726D52">
        <w:rPr>
          <w:noProof/>
        </w:rPr>
        <w:t>, combined with intensive procedural safeguards</w:t>
      </w:r>
      <w:r w:rsidR="00B102F3" w:rsidRPr="00726D52">
        <w:rPr>
          <w:noProof/>
        </w:rPr>
        <w:t>,</w:t>
      </w:r>
      <w:r w:rsidRPr="00726D52">
        <w:rPr>
          <w:noProof/>
        </w:rPr>
        <w:t xml:space="preserve"> slows down or in some cases prevents the timely processing and further handling of data, particularly in fast-moving or data-intensive investigations.</w:t>
      </w:r>
      <w:r w:rsidR="00371ADB" w:rsidRPr="00726D52">
        <w:rPr>
          <w:noProof/>
        </w:rPr>
        <w:t xml:space="preserve"> Europol experience </w:t>
      </w:r>
      <w:r w:rsidR="00726D52" w:rsidRPr="00726D52">
        <w:rPr>
          <w:noProof/>
        </w:rPr>
        <w:t>indicates</w:t>
      </w:r>
      <w:r w:rsidR="00371ADB" w:rsidRPr="00726D52">
        <w:rPr>
          <w:noProof/>
        </w:rPr>
        <w:t xml:space="preserve"> that the application of DSC to large datasets can require significant time and specialised resources before operational analysis can begin.</w:t>
      </w:r>
    </w:p>
    <w:p w14:paraId="3B340EF1" w14:textId="77777777" w:rsidR="0068572C" w:rsidRPr="00726D52" w:rsidRDefault="0068572C" w:rsidP="0068572C">
      <w:pPr>
        <w:pStyle w:val="Text2"/>
        <w:ind w:left="0"/>
        <w:rPr>
          <w:noProof/>
        </w:rPr>
      </w:pPr>
      <w:r w:rsidRPr="00726D52">
        <w:rPr>
          <w:noProof/>
        </w:rPr>
        <w:t>While legally robust, these procedural requirements reduce operational agility and delay access to cross-border intelligence. As a consequence, Europol and Member States may face constraints in fully exploiting lawfully available data, even where processing would be operationally necessary and proportionate.</w:t>
      </w:r>
    </w:p>
    <w:p w14:paraId="516BAC09" w14:textId="078023F2" w:rsidR="00F30CB3" w:rsidRPr="00726D52" w:rsidRDefault="00F30CB3" w:rsidP="00F30CB3">
      <w:pPr>
        <w:spacing w:after="160" w:line="259" w:lineRule="auto"/>
        <w:rPr>
          <w:noProof/>
        </w:rPr>
      </w:pPr>
      <w:r w:rsidRPr="00726D52">
        <w:rPr>
          <w:b/>
          <w:bCs/>
          <w:noProof/>
        </w:rPr>
        <w:t>Driver 1.4</w:t>
      </w:r>
      <w:r w:rsidR="008236D5" w:rsidRPr="00726D52">
        <w:rPr>
          <w:b/>
          <w:bCs/>
          <w:noProof/>
        </w:rPr>
        <w:t>:</w:t>
      </w:r>
      <w:r w:rsidRPr="00726D52">
        <w:rPr>
          <w:b/>
          <w:bCs/>
          <w:noProof/>
        </w:rPr>
        <w:t xml:space="preserve"> </w:t>
      </w:r>
      <w:r w:rsidR="00470272" w:rsidRPr="00726D52">
        <w:rPr>
          <w:b/>
          <w:bCs/>
          <w:noProof/>
        </w:rPr>
        <w:t xml:space="preserve">Structural and operational </w:t>
      </w:r>
      <w:r w:rsidRPr="00726D52">
        <w:rPr>
          <w:b/>
          <w:bCs/>
          <w:noProof/>
        </w:rPr>
        <w:t xml:space="preserve">shift in the </w:t>
      </w:r>
      <w:r w:rsidR="00DB49F9" w:rsidRPr="00726D52">
        <w:rPr>
          <w:b/>
          <w:bCs/>
          <w:noProof/>
        </w:rPr>
        <w:t>criminal data and information</w:t>
      </w:r>
      <w:r w:rsidRPr="00726D52">
        <w:rPr>
          <w:b/>
          <w:bCs/>
          <w:noProof/>
        </w:rPr>
        <w:t xml:space="preserve"> environment</w:t>
      </w:r>
    </w:p>
    <w:p w14:paraId="4D8B1617" w14:textId="7CF31D6D" w:rsidR="00522ED0" w:rsidRPr="00726D52" w:rsidRDefault="001C3D78" w:rsidP="004A765C">
      <w:pPr>
        <w:rPr>
          <w:noProof/>
        </w:rPr>
      </w:pPr>
      <w:r w:rsidRPr="00726D52">
        <w:rPr>
          <w:noProof/>
        </w:rPr>
        <w:t>The digital transformation of crime has fundamentally changed the nature and volume of information relevant to criminal investigations. Criminal networks increasingly operate across digital platforms, financial systems and communication infrastructures spanning several jurisdictions, generating large volumes of fragmented operational data held by different authorities. The growing use of technologies such as artificial intelligence further increases the speed, scale and complexity of criminal activity</w:t>
      </w:r>
      <w:r w:rsidR="004A765C" w:rsidRPr="00726D52">
        <w:rPr>
          <w:rStyle w:val="FootnoteReference"/>
          <w:noProof/>
        </w:rPr>
        <w:footnoteReference w:id="62"/>
      </w:r>
      <w:r w:rsidRPr="00726D52">
        <w:rPr>
          <w:noProof/>
        </w:rPr>
        <w:t xml:space="preserve">. </w:t>
      </w:r>
    </w:p>
    <w:p w14:paraId="4FDD6D2B" w14:textId="0BFA1305" w:rsidR="001C3D78" w:rsidRPr="00726D52" w:rsidRDefault="001C3D78" w:rsidP="004A765C">
      <w:pPr>
        <w:rPr>
          <w:noProof/>
        </w:rPr>
      </w:pPr>
      <w:r w:rsidRPr="00726D52">
        <w:rPr>
          <w:noProof/>
        </w:rPr>
        <w:t xml:space="preserve">As a result, effective responses to serious and organised crime increasingly depend on the rapid exchange, correlation and analysis of information across national and EU-level systems. </w:t>
      </w:r>
      <w:r w:rsidR="009E49B9" w:rsidRPr="00726D52">
        <w:rPr>
          <w:noProof/>
        </w:rPr>
        <w:t>In practice, key elements of an investigation are often dispersed across several Member States and authorities, making it necessary to connect different pieces of information – such as suspects, communication data or financial transactions – in order to detect cross-border criminal networks.</w:t>
      </w:r>
      <w:r w:rsidR="009E49B9" w:rsidRPr="00726D52">
        <w:rPr>
          <w:b/>
          <w:bCs/>
          <w:noProof/>
        </w:rPr>
        <w:t xml:space="preserve"> </w:t>
      </w:r>
      <w:r w:rsidRPr="00726D52">
        <w:rPr>
          <w:noProof/>
        </w:rPr>
        <w:t>However, existing information-sharing mechanisms were largely designed for more limited data volumes and slower operational cycles</w:t>
      </w:r>
      <w:r w:rsidR="00C528AD" w:rsidRPr="00726D52">
        <w:rPr>
          <w:noProof/>
        </w:rPr>
        <w:t>. They rely mainly on message-based exchanges between authorities, where information is shared case by case rather than analysed collectively across systems. This can make it harder to identify links between investigations and to build a timely and comprehensive EU-level criminal intelligence picture.</w:t>
      </w:r>
    </w:p>
    <w:tbl>
      <w:tblPr>
        <w:tblStyle w:val="TableGrid"/>
        <w:tblW w:w="0" w:type="auto"/>
        <w:tblLook w:val="04A0" w:firstRow="1" w:lastRow="0" w:firstColumn="1" w:lastColumn="0" w:noHBand="0" w:noVBand="1"/>
      </w:tblPr>
      <w:tblGrid>
        <w:gridCol w:w="8608"/>
      </w:tblGrid>
      <w:tr w:rsidR="00CC438A" w:rsidRPr="00726D52" w14:paraId="0C2294E1" w14:textId="77777777" w:rsidTr="006B32D2">
        <w:tc>
          <w:tcPr>
            <w:tcW w:w="8834" w:type="dxa"/>
            <w:shd w:val="clear" w:color="auto" w:fill="E5DFEC" w:themeFill="accent4" w:themeFillTint="33"/>
          </w:tcPr>
          <w:p w14:paraId="1335A5B4" w14:textId="46CFD47A" w:rsidR="00CC438A" w:rsidRPr="00726D52" w:rsidRDefault="20014655" w:rsidP="00DB441C">
            <w:pPr>
              <w:spacing w:before="120" w:after="120"/>
              <w:rPr>
                <w:b/>
                <w:noProof/>
              </w:rPr>
            </w:pPr>
            <w:r w:rsidRPr="00726D52">
              <w:rPr>
                <w:b/>
                <w:bCs/>
                <w:noProof/>
              </w:rPr>
              <w:t xml:space="preserve">2.2.2 </w:t>
            </w:r>
            <w:r w:rsidRPr="00726D52">
              <w:rPr>
                <w:b/>
                <w:bCs/>
                <w:noProof/>
                <w:u w:val="single"/>
              </w:rPr>
              <w:t>Problem 2</w:t>
            </w:r>
            <w:r w:rsidRPr="00726D52">
              <w:rPr>
                <w:b/>
                <w:bCs/>
                <w:noProof/>
              </w:rPr>
              <w:t xml:space="preserve">: </w:t>
            </w:r>
            <w:r w:rsidR="007304E3" w:rsidRPr="00726D52">
              <w:rPr>
                <w:b/>
                <w:bCs/>
                <w:noProof/>
              </w:rPr>
              <w:t>Europol’s operational support remains limited and fragmented</w:t>
            </w:r>
          </w:p>
        </w:tc>
      </w:tr>
    </w:tbl>
    <w:p w14:paraId="00F5A51E" w14:textId="59EFB1AF" w:rsidR="6A285241" w:rsidRPr="00726D52" w:rsidRDefault="6A285241" w:rsidP="094DC353">
      <w:pPr>
        <w:pStyle w:val="Heading4"/>
        <w:keepLines/>
        <w:spacing w:before="360" w:after="60" w:line="260" w:lineRule="atLeast"/>
        <w:rPr>
          <w:rFonts w:eastAsia="Arial"/>
          <w:b/>
          <w:noProof/>
          <w:color w:val="000000" w:themeColor="text1"/>
        </w:rPr>
      </w:pPr>
      <w:r w:rsidRPr="00726D52">
        <w:rPr>
          <w:rFonts w:eastAsia="Arial"/>
          <w:b/>
          <w:noProof/>
          <w:color w:val="000000" w:themeColor="text1"/>
        </w:rPr>
        <w:lastRenderedPageBreak/>
        <w:t xml:space="preserve">Driver 2.1: </w:t>
      </w:r>
      <w:r w:rsidR="00470272" w:rsidRPr="00726D52">
        <w:rPr>
          <w:rFonts w:eastAsia="Arial"/>
          <w:b/>
          <w:noProof/>
          <w:color w:val="000000" w:themeColor="text1"/>
        </w:rPr>
        <w:t>Operational l</w:t>
      </w:r>
      <w:r w:rsidR="007C1F66" w:rsidRPr="00726D52">
        <w:rPr>
          <w:rFonts w:eastAsia="Arial"/>
          <w:b/>
          <w:noProof/>
          <w:color w:val="000000" w:themeColor="text1"/>
        </w:rPr>
        <w:t>imited awareness of Europol’s operational support</w:t>
      </w:r>
    </w:p>
    <w:p w14:paraId="0E392F6F" w14:textId="2A9065BA" w:rsidR="007820F4" w:rsidRPr="00726D52" w:rsidRDefault="007820F4" w:rsidP="31831C40">
      <w:pPr>
        <w:spacing w:before="240" w:after="160" w:line="259" w:lineRule="auto"/>
        <w:rPr>
          <w:rFonts w:eastAsia="Arial"/>
          <w:noProof/>
          <w:color w:val="000000" w:themeColor="text1"/>
        </w:rPr>
      </w:pPr>
      <w:r w:rsidRPr="00726D52">
        <w:rPr>
          <w:rFonts w:eastAsia="Arial"/>
          <w:noProof/>
          <w:color w:val="000000" w:themeColor="text1"/>
        </w:rPr>
        <w:t>Awareness among Member States of the full range of Europol’s operational tools, services and capabilities remain</w:t>
      </w:r>
      <w:r w:rsidR="000F64F4" w:rsidRPr="00726D52">
        <w:rPr>
          <w:rFonts w:eastAsia="Arial"/>
          <w:noProof/>
          <w:color w:val="000000" w:themeColor="text1"/>
        </w:rPr>
        <w:t>s</w:t>
      </w:r>
      <w:r w:rsidRPr="00726D52">
        <w:rPr>
          <w:rFonts w:eastAsia="Arial"/>
          <w:noProof/>
          <w:color w:val="000000" w:themeColor="text1"/>
        </w:rPr>
        <w:t xml:space="preserve"> uneven</w:t>
      </w:r>
      <w:r w:rsidR="004979B5" w:rsidRPr="00726D52">
        <w:rPr>
          <w:rStyle w:val="FootnoteReference"/>
          <w:rFonts w:eastAsia="Arial"/>
          <w:noProof/>
          <w:color w:val="000000" w:themeColor="text1"/>
        </w:rPr>
        <w:footnoteReference w:id="63"/>
      </w:r>
      <w:r w:rsidR="006B32D2" w:rsidRPr="00726D52">
        <w:rPr>
          <w:rFonts w:eastAsia="Arial"/>
          <w:noProof/>
          <w:color w:val="000000" w:themeColor="text1"/>
        </w:rPr>
        <w:t>.</w:t>
      </w:r>
      <w:r w:rsidRPr="00726D52">
        <w:rPr>
          <w:rFonts w:eastAsia="Arial"/>
          <w:noProof/>
          <w:color w:val="000000" w:themeColor="text1"/>
        </w:rPr>
        <w:t xml:space="preserve"> As the use of Europol’s operational support is voluntary and initiated at national level</w:t>
      </w:r>
      <w:r w:rsidRPr="00726D52">
        <w:rPr>
          <w:rStyle w:val="FootnoteReference"/>
          <w:rFonts w:eastAsia="Arial"/>
          <w:noProof/>
          <w:color w:val="000000" w:themeColor="text1"/>
        </w:rPr>
        <w:footnoteReference w:id="64"/>
      </w:r>
      <w:r w:rsidRPr="00726D52">
        <w:rPr>
          <w:rFonts w:eastAsia="Arial"/>
          <w:noProof/>
          <w:color w:val="000000" w:themeColor="text1"/>
        </w:rPr>
        <w:t>, national authorities may not always consider Europol</w:t>
      </w:r>
      <w:r w:rsidR="006D25E7" w:rsidRPr="00726D52">
        <w:rPr>
          <w:rFonts w:eastAsia="Arial"/>
          <w:noProof/>
          <w:color w:val="000000" w:themeColor="text1"/>
        </w:rPr>
        <w:t>’s</w:t>
      </w:r>
      <w:r w:rsidRPr="00726D52">
        <w:rPr>
          <w:rFonts w:eastAsia="Arial"/>
          <w:noProof/>
          <w:color w:val="000000" w:themeColor="text1"/>
        </w:rPr>
        <w:t xml:space="preserve"> involvement at an early stage of investigations.</w:t>
      </w:r>
      <w:r w:rsidR="00BE273E" w:rsidRPr="00726D52">
        <w:rPr>
          <w:rStyle w:val="FootnoteReference"/>
          <w:rFonts w:eastAsia="Arial"/>
          <w:noProof/>
          <w:color w:val="000000" w:themeColor="text1"/>
        </w:rPr>
        <w:footnoteReference w:id="65"/>
      </w:r>
      <w:r w:rsidRPr="00726D52">
        <w:rPr>
          <w:rFonts w:eastAsia="Arial"/>
          <w:noProof/>
          <w:color w:val="000000" w:themeColor="text1"/>
        </w:rPr>
        <w:t xml:space="preserve"> This result</w:t>
      </w:r>
      <w:r w:rsidR="00714F1C" w:rsidRPr="00726D52">
        <w:rPr>
          <w:rFonts w:eastAsia="Arial"/>
          <w:noProof/>
          <w:color w:val="000000" w:themeColor="text1"/>
        </w:rPr>
        <w:t>s</w:t>
      </w:r>
      <w:r w:rsidRPr="00726D52">
        <w:rPr>
          <w:rFonts w:eastAsia="Arial"/>
          <w:noProof/>
          <w:color w:val="000000" w:themeColor="text1"/>
        </w:rPr>
        <w:t xml:space="preserve"> in delayed engagement with the Agency and limit</w:t>
      </w:r>
      <w:r w:rsidR="00B30F85" w:rsidRPr="00726D52">
        <w:rPr>
          <w:rFonts w:eastAsia="Arial"/>
          <w:noProof/>
          <w:color w:val="000000" w:themeColor="text1"/>
        </w:rPr>
        <w:t>s</w:t>
      </w:r>
      <w:r w:rsidRPr="00726D52">
        <w:rPr>
          <w:rFonts w:eastAsia="Arial"/>
          <w:noProof/>
          <w:color w:val="000000" w:themeColor="text1"/>
        </w:rPr>
        <w:t xml:space="preserve"> the timely exchange of information, the early identification of cross-border links, and the effective use of Europol’s capabilities to support coordinated EU-level responses to serious and organised crime.</w:t>
      </w:r>
      <w:r w:rsidR="00480CA5" w:rsidRPr="00726D52">
        <w:rPr>
          <w:rStyle w:val="FootnoteReference"/>
          <w:rFonts w:eastAsia="Arial"/>
          <w:noProof/>
          <w:color w:val="000000" w:themeColor="text1"/>
        </w:rPr>
        <w:footnoteReference w:id="66"/>
      </w:r>
      <w:r w:rsidR="003852CD" w:rsidRPr="00726D52">
        <w:rPr>
          <w:noProof/>
        </w:rPr>
        <w:t xml:space="preserve"> </w:t>
      </w:r>
      <w:r w:rsidR="003852CD" w:rsidRPr="00726D52">
        <w:rPr>
          <w:rFonts w:eastAsia="Arial"/>
          <w:noProof/>
          <w:color w:val="000000" w:themeColor="text1"/>
        </w:rPr>
        <w:t>Available operational data show important differences between Member States in the frequency and timing of requests for Europol operational support.</w:t>
      </w:r>
    </w:p>
    <w:p w14:paraId="351A4E10" w14:textId="6B7A8094" w:rsidR="00096713" w:rsidRPr="00726D52" w:rsidRDefault="22D5261A" w:rsidP="002D782E">
      <w:pPr>
        <w:rPr>
          <w:b/>
          <w:noProof/>
        </w:rPr>
      </w:pPr>
      <w:r w:rsidRPr="00726D52">
        <w:rPr>
          <w:b/>
          <w:noProof/>
        </w:rPr>
        <w:t xml:space="preserve">Driver </w:t>
      </w:r>
      <w:r w:rsidR="004A765C" w:rsidRPr="00726D52">
        <w:rPr>
          <w:b/>
          <w:noProof/>
        </w:rPr>
        <w:t>2</w:t>
      </w:r>
      <w:r w:rsidR="002D782E" w:rsidRPr="00726D52">
        <w:rPr>
          <w:b/>
          <w:noProof/>
        </w:rPr>
        <w:t>.</w:t>
      </w:r>
      <w:r w:rsidRPr="00726D52">
        <w:rPr>
          <w:b/>
          <w:noProof/>
        </w:rPr>
        <w:t>2</w:t>
      </w:r>
      <w:r w:rsidR="0095506F" w:rsidRPr="00726D52">
        <w:rPr>
          <w:b/>
          <w:noProof/>
        </w:rPr>
        <w:t>:</w:t>
      </w:r>
      <w:r w:rsidR="002D782E" w:rsidRPr="00726D52">
        <w:rPr>
          <w:b/>
          <w:noProof/>
        </w:rPr>
        <w:t xml:space="preserve"> </w:t>
      </w:r>
      <w:r w:rsidR="00957447" w:rsidRPr="00726D52">
        <w:rPr>
          <w:b/>
          <w:noProof/>
        </w:rPr>
        <w:t>O</w:t>
      </w:r>
      <w:r w:rsidR="00096713" w:rsidRPr="00726D52">
        <w:rPr>
          <w:b/>
          <w:noProof/>
        </w:rPr>
        <w:t>perational</w:t>
      </w:r>
      <w:r w:rsidR="003852CD" w:rsidRPr="00726D52">
        <w:rPr>
          <w:b/>
          <w:noProof/>
        </w:rPr>
        <w:t xml:space="preserve"> and capability-related</w:t>
      </w:r>
      <w:r w:rsidR="00096713" w:rsidRPr="00726D52">
        <w:rPr>
          <w:b/>
          <w:noProof/>
        </w:rPr>
        <w:t xml:space="preserve"> </w:t>
      </w:r>
      <w:r w:rsidR="00957447" w:rsidRPr="00726D52">
        <w:rPr>
          <w:b/>
          <w:noProof/>
        </w:rPr>
        <w:t xml:space="preserve">constraints limiting the tailoring of Europol’s </w:t>
      </w:r>
      <w:r w:rsidR="00096713" w:rsidRPr="00726D52">
        <w:rPr>
          <w:b/>
          <w:noProof/>
        </w:rPr>
        <w:t>support to national investigative needs</w:t>
      </w:r>
    </w:p>
    <w:p w14:paraId="67B2E323" w14:textId="7CECF5B2" w:rsidR="00463B97" w:rsidRPr="00726D52" w:rsidRDefault="00BD2116" w:rsidP="002D782E">
      <w:pPr>
        <w:rPr>
          <w:noProof/>
        </w:rPr>
      </w:pPr>
      <w:r w:rsidRPr="00726D52">
        <w:rPr>
          <w:noProof/>
        </w:rPr>
        <w:t>While Europol provides operational support to Member States, the support provided is not always sufficiently tailored to the specific needs</w:t>
      </w:r>
      <w:r w:rsidR="00727106" w:rsidRPr="00726D52">
        <w:rPr>
          <w:rStyle w:val="FootnoteReference"/>
          <w:noProof/>
        </w:rPr>
        <w:footnoteReference w:id="67"/>
      </w:r>
      <w:r w:rsidR="009B32F3" w:rsidRPr="00726D52">
        <w:rPr>
          <w:noProof/>
        </w:rPr>
        <w:t>,</w:t>
      </w:r>
      <w:r w:rsidRPr="00726D52">
        <w:rPr>
          <w:noProof/>
        </w:rPr>
        <w:t xml:space="preserve"> legal frameworks and evidentiary requirements of national investigations. As a result, the analytical outputs or information provided by Europol may not always be directly usable in national proceedings. In some cases, national authorities must repeat investigative or analytical steps </w:t>
      </w:r>
      <w:r w:rsidR="001339DA" w:rsidRPr="00726D52">
        <w:rPr>
          <w:noProof/>
        </w:rPr>
        <w:t>to</w:t>
      </w:r>
      <w:r w:rsidRPr="00726D52">
        <w:rPr>
          <w:noProof/>
        </w:rPr>
        <w:t xml:space="preserve"> produce evidence that complies with national procedural requirements. This create</w:t>
      </w:r>
      <w:r w:rsidR="00B57990" w:rsidRPr="00726D52">
        <w:rPr>
          <w:noProof/>
        </w:rPr>
        <w:t>s</w:t>
      </w:r>
      <w:r w:rsidRPr="00726D52">
        <w:rPr>
          <w:noProof/>
        </w:rPr>
        <w:t xml:space="preserve"> inefficiencies, increase</w:t>
      </w:r>
      <w:r w:rsidR="00022D7C" w:rsidRPr="00726D52">
        <w:rPr>
          <w:noProof/>
        </w:rPr>
        <w:t>s</w:t>
      </w:r>
      <w:r w:rsidRPr="00726D52">
        <w:rPr>
          <w:noProof/>
        </w:rPr>
        <w:t xml:space="preserve"> the workload for national investigators and reduce</w:t>
      </w:r>
      <w:r w:rsidR="00860C4F" w:rsidRPr="00726D52">
        <w:rPr>
          <w:noProof/>
        </w:rPr>
        <w:t>s</w:t>
      </w:r>
      <w:r w:rsidRPr="00726D52">
        <w:rPr>
          <w:noProof/>
        </w:rPr>
        <w:t xml:space="preserve"> the overall effectiveness of </w:t>
      </w:r>
      <w:r w:rsidR="009B32F3" w:rsidRPr="00726D52">
        <w:rPr>
          <w:noProof/>
        </w:rPr>
        <w:t>the operational support provided by Europol.</w:t>
      </w:r>
      <w:r w:rsidR="00D07A2B" w:rsidRPr="00726D52">
        <w:rPr>
          <w:noProof/>
        </w:rPr>
        <w:t xml:space="preserve"> </w:t>
      </w:r>
    </w:p>
    <w:p w14:paraId="4A2400BB" w14:textId="2F678B4C" w:rsidR="005216C3" w:rsidRPr="00726D52" w:rsidRDefault="005216C3" w:rsidP="002D782E">
      <w:pPr>
        <w:rPr>
          <w:noProof/>
        </w:rPr>
      </w:pPr>
      <w:r w:rsidRPr="00726D52">
        <w:rPr>
          <w:noProof/>
        </w:rPr>
        <w:t>At the same time, the rapid digitalisation of crime requires investigators to use increasingly specialised tools, technologies and skills, including in areas such as digital forensics, artificial intelligence and cryptocurrency investigations. Europol’s current framework limits its ability to develop and provide such tools and specialised training at scale across the Union, constraining its capacity to support technology-enabled investigations.</w:t>
      </w:r>
      <w:r w:rsidR="003E506C" w:rsidRPr="00726D52">
        <w:rPr>
          <w:noProof/>
        </w:rPr>
        <w:t xml:space="preserve"> Demand for specialised operational support and advanced analytical capabilities has increased significantly in recent years</w:t>
      </w:r>
    </w:p>
    <w:p w14:paraId="7564AC29" w14:textId="7D8BA7EC" w:rsidR="002D782E" w:rsidRPr="00726D52" w:rsidRDefault="00BD2116" w:rsidP="002D782E">
      <w:pPr>
        <w:rPr>
          <w:b/>
          <w:noProof/>
        </w:rPr>
      </w:pPr>
      <w:r w:rsidRPr="00726D52">
        <w:rPr>
          <w:b/>
          <w:noProof/>
        </w:rPr>
        <w:lastRenderedPageBreak/>
        <w:t>Driver 2.3:</w:t>
      </w:r>
      <w:r w:rsidR="002D782E" w:rsidRPr="00726D52">
        <w:rPr>
          <w:b/>
          <w:noProof/>
        </w:rPr>
        <w:t xml:space="preserve"> Limited capacity for systemic modernisation of law enforcement capabilities</w:t>
      </w:r>
    </w:p>
    <w:p w14:paraId="1BC66B0A" w14:textId="4E43E03E" w:rsidR="002D782E" w:rsidRPr="00726D52" w:rsidRDefault="002025B7" w:rsidP="00854404">
      <w:pPr>
        <w:spacing w:after="120"/>
        <w:rPr>
          <w:noProof/>
        </w:rPr>
      </w:pPr>
      <w:r w:rsidRPr="00726D52">
        <w:rPr>
          <w:noProof/>
        </w:rPr>
        <w:t>In many Member States, organisational, legal</w:t>
      </w:r>
      <w:r w:rsidR="00F60500" w:rsidRPr="00726D52">
        <w:rPr>
          <w:noProof/>
        </w:rPr>
        <w:t>,</w:t>
      </w:r>
      <w:r w:rsidRPr="00726D52">
        <w:rPr>
          <w:noProof/>
        </w:rPr>
        <w:t xml:space="preserve"> and procurement constraints limit the systematic uptake and scaling of innovation, resulting in fragmented development and uneven deployment of modern investigative tools</w:t>
      </w:r>
      <w:r w:rsidR="00817C3E" w:rsidRPr="00726D52">
        <w:rPr>
          <w:noProof/>
        </w:rPr>
        <w:t xml:space="preserve">. </w:t>
      </w:r>
      <w:r w:rsidR="00370607" w:rsidRPr="00726D52">
        <w:rPr>
          <w:noProof/>
        </w:rPr>
        <w:t>Barriers include overlapping responsibilities across national, regional and local authorities, slow procurement processes, and rigid administrative procedures</w:t>
      </w:r>
      <w:r w:rsidR="00C14A08" w:rsidRPr="00726D52">
        <w:rPr>
          <w:noProof/>
        </w:rPr>
        <w:t xml:space="preserve">. As a result, innovative solutions are often developed within short-term projects or pilot initiatives but struggle to transition into sustainable operational capabilities deployed at </w:t>
      </w:r>
      <w:r w:rsidR="008A1FA7" w:rsidRPr="00726D52">
        <w:rPr>
          <w:noProof/>
        </w:rPr>
        <w:t>EU</w:t>
      </w:r>
      <w:r w:rsidR="00A91E40" w:rsidRPr="00726D52">
        <w:rPr>
          <w:noProof/>
        </w:rPr>
        <w:t xml:space="preserve"> </w:t>
      </w:r>
      <w:r w:rsidR="008A1FA7" w:rsidRPr="00726D52">
        <w:rPr>
          <w:noProof/>
        </w:rPr>
        <w:t>level</w:t>
      </w:r>
      <w:r w:rsidR="00EC4057" w:rsidRPr="00726D52">
        <w:rPr>
          <w:rStyle w:val="FootnoteReference"/>
          <w:noProof/>
        </w:rPr>
        <w:footnoteReference w:id="68"/>
      </w:r>
      <w:r w:rsidRPr="00726D52">
        <w:rPr>
          <w:noProof/>
        </w:rPr>
        <w:t xml:space="preserve">. This creates disparities in operational capabilities across the Union and </w:t>
      </w:r>
      <w:r w:rsidR="007F3B4C" w:rsidRPr="00726D52">
        <w:rPr>
          <w:noProof/>
        </w:rPr>
        <w:t>even stronger</w:t>
      </w:r>
      <w:r w:rsidRPr="00726D52">
        <w:rPr>
          <w:noProof/>
        </w:rPr>
        <w:t xml:space="preserve"> reliance on Europol to provide specialised expertise and technical support in cross-border investigations</w:t>
      </w:r>
      <w:r w:rsidR="002D1E61" w:rsidRPr="00726D52">
        <w:rPr>
          <w:noProof/>
        </w:rPr>
        <w:t>.</w:t>
      </w:r>
      <w:r w:rsidR="00001184" w:rsidRPr="00726D52">
        <w:rPr>
          <w:noProof/>
        </w:rPr>
        <w:t xml:space="preserve"> .</w:t>
      </w:r>
      <w:r w:rsidRPr="00726D52">
        <w:rPr>
          <w:noProof/>
        </w:rPr>
        <w:t xml:space="preserve"> </w:t>
      </w:r>
      <w:r w:rsidR="006E6E9F" w:rsidRPr="00726D52">
        <w:rPr>
          <w:noProof/>
        </w:rPr>
        <w:t>D</w:t>
      </w:r>
      <w:r w:rsidR="007128D6" w:rsidRPr="00726D52">
        <w:rPr>
          <w:noProof/>
        </w:rPr>
        <w:t>espite the growing demand</w:t>
      </w:r>
      <w:r w:rsidR="00750A3C" w:rsidRPr="00726D52">
        <w:rPr>
          <w:rStyle w:val="FootnoteReference"/>
          <w:noProof/>
        </w:rPr>
        <w:footnoteReference w:id="69"/>
      </w:r>
      <w:r w:rsidR="006E6E9F" w:rsidRPr="00726D52">
        <w:rPr>
          <w:noProof/>
        </w:rPr>
        <w:t>,</w:t>
      </w:r>
      <w:r w:rsidR="007128D6" w:rsidRPr="00726D52">
        <w:rPr>
          <w:noProof/>
        </w:rPr>
        <w:t xml:space="preserve"> </w:t>
      </w:r>
      <w:r w:rsidRPr="00726D52">
        <w:rPr>
          <w:noProof/>
        </w:rPr>
        <w:t>Europol’s role in supporting innovation and specialised capabilities remains limited in scale, constraining its ability to systematically strengthen operational capabilities across Member States</w:t>
      </w:r>
      <w:r w:rsidR="00F52863" w:rsidRPr="00726D52">
        <w:rPr>
          <w:rStyle w:val="FootnoteReference"/>
          <w:rFonts w:eastAsia="Arial"/>
          <w:noProof/>
          <w:color w:val="000000" w:themeColor="text1"/>
        </w:rPr>
        <w:footnoteReference w:id="70"/>
      </w:r>
      <w:r w:rsidR="002D782E" w:rsidRPr="00726D52">
        <w:rPr>
          <w:noProof/>
        </w:rPr>
        <w:t>.</w:t>
      </w:r>
      <w:r w:rsidR="0078740E" w:rsidRPr="00726D52">
        <w:rPr>
          <w:noProof/>
        </w:rPr>
        <w:t xml:space="preserve"> This includes limitations linked to available specialised expertise, technical capacity and scalable operational support resources.</w:t>
      </w:r>
    </w:p>
    <w:p w14:paraId="3083894F" w14:textId="55A38C79" w:rsidR="001C2D5B" w:rsidRPr="00726D52" w:rsidRDefault="22D5261A" w:rsidP="00730429">
      <w:pPr>
        <w:spacing w:before="240" w:line="259" w:lineRule="auto"/>
        <w:rPr>
          <w:rFonts w:eastAsia="Arial"/>
          <w:b/>
          <w:noProof/>
          <w:color w:val="000000" w:themeColor="text1"/>
        </w:rPr>
      </w:pPr>
      <w:r w:rsidRPr="00726D52">
        <w:rPr>
          <w:rFonts w:eastAsia="Arial"/>
          <w:b/>
          <w:noProof/>
          <w:color w:val="000000" w:themeColor="text1"/>
        </w:rPr>
        <w:t>Driver 2.</w:t>
      </w:r>
      <w:r w:rsidR="00BD2116" w:rsidRPr="00726D52">
        <w:rPr>
          <w:rFonts w:eastAsia="Arial"/>
          <w:b/>
          <w:noProof/>
          <w:color w:val="000000" w:themeColor="text1"/>
        </w:rPr>
        <w:t>4</w:t>
      </w:r>
      <w:r w:rsidRPr="00726D52">
        <w:rPr>
          <w:rFonts w:eastAsia="Arial"/>
          <w:b/>
          <w:noProof/>
          <w:color w:val="000000" w:themeColor="text1"/>
        </w:rPr>
        <w:t xml:space="preserve">: </w:t>
      </w:r>
      <w:r w:rsidR="0078740E" w:rsidRPr="00726D52">
        <w:rPr>
          <w:rFonts w:eastAsia="Arial"/>
          <w:b/>
          <w:noProof/>
          <w:color w:val="000000" w:themeColor="text1"/>
        </w:rPr>
        <w:t>Regulatory, l</w:t>
      </w:r>
      <w:r w:rsidR="004233D3" w:rsidRPr="00726D52">
        <w:rPr>
          <w:rFonts w:eastAsia="Arial"/>
          <w:b/>
          <w:noProof/>
          <w:color w:val="000000" w:themeColor="text1"/>
        </w:rPr>
        <w:t xml:space="preserve">egal </w:t>
      </w:r>
      <w:r w:rsidR="000F48B6" w:rsidRPr="00726D52">
        <w:rPr>
          <w:rFonts w:eastAsia="Arial"/>
          <w:b/>
          <w:noProof/>
          <w:color w:val="000000" w:themeColor="text1"/>
        </w:rPr>
        <w:t xml:space="preserve">and operational </w:t>
      </w:r>
      <w:r w:rsidR="004233D3" w:rsidRPr="00726D52">
        <w:rPr>
          <w:rFonts w:eastAsia="Arial"/>
          <w:b/>
          <w:noProof/>
          <w:color w:val="000000" w:themeColor="text1"/>
        </w:rPr>
        <w:t>constraints on information sharing between Europol and the EPPO</w:t>
      </w:r>
    </w:p>
    <w:p w14:paraId="2F1B2A90" w14:textId="0267F8AE" w:rsidR="00C9589A" w:rsidRPr="00726D52" w:rsidRDefault="00A24B38" w:rsidP="00730429">
      <w:pPr>
        <w:spacing w:before="240" w:line="259" w:lineRule="auto"/>
        <w:rPr>
          <w:rFonts w:eastAsia="Arial"/>
          <w:noProof/>
          <w:color w:val="000000" w:themeColor="text1"/>
        </w:rPr>
      </w:pPr>
      <w:r w:rsidRPr="00726D52">
        <w:rPr>
          <w:rFonts w:eastAsia="Arial"/>
          <w:noProof/>
          <w:color w:val="000000" w:themeColor="text1"/>
        </w:rPr>
        <w:t>The current legal framework does not provide a sufficiently robust basis for systematic operational cooperation between Europol and the EPPO</w:t>
      </w:r>
      <w:r w:rsidR="00A3495A" w:rsidRPr="00726D52">
        <w:rPr>
          <w:rStyle w:val="FootnoteReference"/>
          <w:rFonts w:eastAsia="Arial"/>
          <w:noProof/>
          <w:color w:val="000000" w:themeColor="text1"/>
        </w:rPr>
        <w:footnoteReference w:id="71"/>
      </w:r>
      <w:r w:rsidR="003D70C7" w:rsidRPr="00726D52">
        <w:rPr>
          <w:rFonts w:eastAsia="Arial"/>
          <w:noProof/>
          <w:color w:val="000000" w:themeColor="text1"/>
        </w:rPr>
        <w:t>.</w:t>
      </w:r>
      <w:r w:rsidRPr="00726D52">
        <w:rPr>
          <w:rFonts w:eastAsia="Arial"/>
          <w:noProof/>
          <w:color w:val="000000" w:themeColor="text1"/>
        </w:rPr>
        <w:t xml:space="preserve"> </w:t>
      </w:r>
      <w:r w:rsidR="00C9589A" w:rsidRPr="00726D52">
        <w:rPr>
          <w:rFonts w:eastAsia="Arial"/>
          <w:noProof/>
          <w:color w:val="000000" w:themeColor="text1"/>
        </w:rPr>
        <w:t>As a result, c</w:t>
      </w:r>
      <w:r w:rsidR="00A42103" w:rsidRPr="00726D52">
        <w:rPr>
          <w:rFonts w:eastAsia="Arial"/>
          <w:noProof/>
          <w:color w:val="000000" w:themeColor="text1"/>
        </w:rPr>
        <w:t xml:space="preserve">ooperation largely relies on </w:t>
      </w:r>
      <w:r w:rsidR="00A42103" w:rsidRPr="00726D52">
        <w:rPr>
          <w:rFonts w:eastAsia="Arial"/>
          <w:i/>
          <w:iCs/>
          <w:noProof/>
          <w:color w:val="000000" w:themeColor="text1"/>
        </w:rPr>
        <w:t>ad hoc</w:t>
      </w:r>
      <w:r w:rsidR="00A42103" w:rsidRPr="00726D52">
        <w:rPr>
          <w:rFonts w:eastAsia="Arial"/>
          <w:noProof/>
          <w:color w:val="000000" w:themeColor="text1"/>
        </w:rPr>
        <w:t xml:space="preserve"> requests and case-by-case arrangements, limiting the systematic mobilisation of Europol’s analytical support for EPPO investigations and preventing the full exploitation of complementarities between </w:t>
      </w:r>
      <w:r w:rsidR="002C07E1" w:rsidRPr="00726D52">
        <w:rPr>
          <w:rFonts w:eastAsia="Arial"/>
          <w:noProof/>
          <w:color w:val="000000" w:themeColor="text1"/>
        </w:rPr>
        <w:t>Europol and the EPPO</w:t>
      </w:r>
      <w:r w:rsidR="00A42103" w:rsidRPr="00726D52">
        <w:rPr>
          <w:rStyle w:val="FootnoteReference"/>
          <w:rFonts w:eastAsia="Arial"/>
          <w:noProof/>
          <w:color w:val="000000" w:themeColor="text1"/>
        </w:rPr>
        <w:footnoteReference w:id="72"/>
      </w:r>
      <w:r w:rsidR="00A42103" w:rsidRPr="00726D52">
        <w:rPr>
          <w:rFonts w:eastAsia="Arial"/>
          <w:noProof/>
          <w:color w:val="000000" w:themeColor="text1"/>
        </w:rPr>
        <w:t>.</w:t>
      </w:r>
      <w:r w:rsidR="005B08F6" w:rsidRPr="00726D52">
        <w:rPr>
          <w:rFonts w:eastAsia="Arial"/>
          <w:noProof/>
          <w:color w:val="000000" w:themeColor="text1"/>
        </w:rPr>
        <w:t xml:space="preserve"> In addition, </w:t>
      </w:r>
      <w:r w:rsidR="001C2D5B" w:rsidRPr="00726D52">
        <w:rPr>
          <w:rFonts w:eastAsia="Arial"/>
          <w:noProof/>
          <w:color w:val="000000" w:themeColor="text1"/>
        </w:rPr>
        <w:t xml:space="preserve">Europol cannot share relevant operational information directly with the EPPO without the </w:t>
      </w:r>
      <w:r w:rsidR="001C2D5B" w:rsidRPr="00726D52">
        <w:rPr>
          <w:rFonts w:eastAsia="Arial"/>
          <w:noProof/>
          <w:color w:val="000000" w:themeColor="text1"/>
        </w:rPr>
        <w:lastRenderedPageBreak/>
        <w:t>consent of the Member State that provided the data</w:t>
      </w:r>
      <w:r w:rsidR="00C9589A" w:rsidRPr="00726D52">
        <w:rPr>
          <w:rStyle w:val="FootnoteReference"/>
          <w:rFonts w:eastAsia="Arial"/>
          <w:noProof/>
          <w:color w:val="000000" w:themeColor="text1"/>
        </w:rPr>
        <w:footnoteReference w:id="73"/>
      </w:r>
      <w:r w:rsidR="001C2D5B" w:rsidRPr="00726D52">
        <w:rPr>
          <w:rFonts w:eastAsia="Arial"/>
          <w:noProof/>
          <w:color w:val="000000" w:themeColor="text1"/>
        </w:rPr>
        <w:t xml:space="preserve">, which </w:t>
      </w:r>
      <w:r w:rsidR="00A0197C" w:rsidRPr="00726D52">
        <w:rPr>
          <w:rFonts w:eastAsia="Arial"/>
          <w:noProof/>
          <w:color w:val="000000" w:themeColor="text1"/>
        </w:rPr>
        <w:t xml:space="preserve">significantly </w:t>
      </w:r>
      <w:r w:rsidR="001C2D5B" w:rsidRPr="00726D52">
        <w:rPr>
          <w:rFonts w:eastAsia="Arial"/>
          <w:noProof/>
          <w:color w:val="000000" w:themeColor="text1"/>
        </w:rPr>
        <w:t>delay</w:t>
      </w:r>
      <w:r w:rsidR="0066025E" w:rsidRPr="00726D52">
        <w:rPr>
          <w:rFonts w:eastAsia="Arial"/>
          <w:noProof/>
          <w:color w:val="000000" w:themeColor="text1"/>
        </w:rPr>
        <w:t>s</w:t>
      </w:r>
      <w:r w:rsidR="001C2D5B" w:rsidRPr="00726D52">
        <w:rPr>
          <w:rFonts w:eastAsia="Arial"/>
          <w:noProof/>
          <w:color w:val="000000" w:themeColor="text1"/>
        </w:rPr>
        <w:t xml:space="preserve"> access to information relevant for EPPO investigations</w:t>
      </w:r>
      <w:r w:rsidR="00D85689" w:rsidRPr="00726D52">
        <w:rPr>
          <w:rStyle w:val="FootnoteReference"/>
          <w:rFonts w:eastAsia="Arial"/>
          <w:noProof/>
          <w:color w:val="000000" w:themeColor="text1"/>
        </w:rPr>
        <w:footnoteReference w:id="74"/>
      </w:r>
      <w:r w:rsidR="001C2D5B" w:rsidRPr="00726D52">
        <w:rPr>
          <w:rFonts w:eastAsia="Arial"/>
          <w:noProof/>
          <w:color w:val="000000" w:themeColor="text1"/>
        </w:rPr>
        <w:t>.</w:t>
      </w:r>
      <w:r w:rsidR="004A3491" w:rsidRPr="00726D52">
        <w:rPr>
          <w:rFonts w:eastAsia="Arial"/>
          <w:noProof/>
          <w:color w:val="000000" w:themeColor="text1"/>
        </w:rPr>
        <w:t>​</w:t>
      </w:r>
    </w:p>
    <w:p w14:paraId="454E87B8" w14:textId="3BB6D0D0" w:rsidR="0004470E" w:rsidRPr="00726D52" w:rsidRDefault="0004470E" w:rsidP="00730429">
      <w:pPr>
        <w:spacing w:before="240" w:line="259" w:lineRule="auto"/>
        <w:rPr>
          <w:rFonts w:eastAsia="Arial"/>
          <w:b/>
          <w:noProof/>
          <w:color w:val="000000" w:themeColor="text1"/>
        </w:rPr>
      </w:pPr>
      <w:r w:rsidRPr="00726D52">
        <w:rPr>
          <w:rFonts w:eastAsia="Arial"/>
          <w:b/>
          <w:noProof/>
          <w:color w:val="000000" w:themeColor="text1"/>
        </w:rPr>
        <w:t>Driver 2.</w:t>
      </w:r>
      <w:r w:rsidR="001F5D84" w:rsidRPr="00726D52">
        <w:rPr>
          <w:rFonts w:eastAsia="Arial"/>
          <w:b/>
          <w:noProof/>
          <w:color w:val="000000" w:themeColor="text1"/>
        </w:rPr>
        <w:t>5</w:t>
      </w:r>
      <w:r w:rsidRPr="00726D52">
        <w:rPr>
          <w:rFonts w:eastAsia="Arial"/>
          <w:b/>
          <w:noProof/>
          <w:color w:val="000000" w:themeColor="text1"/>
        </w:rPr>
        <w:t xml:space="preserve">: </w:t>
      </w:r>
      <w:r w:rsidR="0029613F" w:rsidRPr="00726D52">
        <w:rPr>
          <w:rFonts w:eastAsia="Arial"/>
          <w:b/>
          <w:noProof/>
          <w:color w:val="000000" w:themeColor="text1"/>
        </w:rPr>
        <w:t xml:space="preserve">Weak </w:t>
      </w:r>
      <w:r w:rsidR="002F43F0" w:rsidRPr="00726D52">
        <w:rPr>
          <w:rFonts w:eastAsia="Arial"/>
          <w:b/>
          <w:noProof/>
          <w:color w:val="000000" w:themeColor="text1"/>
        </w:rPr>
        <w:t>information exchange and</w:t>
      </w:r>
      <w:r w:rsidR="0082690B" w:rsidRPr="00726D52">
        <w:rPr>
          <w:rFonts w:eastAsia="Arial"/>
          <w:b/>
          <w:noProof/>
          <w:color w:val="000000" w:themeColor="text1"/>
        </w:rPr>
        <w:t xml:space="preserve"> </w:t>
      </w:r>
      <w:r w:rsidR="00B55223" w:rsidRPr="00726D52">
        <w:rPr>
          <w:rFonts w:eastAsia="Arial"/>
          <w:b/>
          <w:noProof/>
          <w:color w:val="000000" w:themeColor="text1"/>
        </w:rPr>
        <w:t xml:space="preserve">insufficiently </w:t>
      </w:r>
      <w:r w:rsidR="00E3605C" w:rsidRPr="00726D52">
        <w:rPr>
          <w:rFonts w:eastAsia="Arial"/>
          <w:b/>
          <w:noProof/>
          <w:color w:val="000000" w:themeColor="text1"/>
        </w:rPr>
        <w:t>institutionalised</w:t>
      </w:r>
      <w:r w:rsidR="00436F0F" w:rsidRPr="00726D52">
        <w:rPr>
          <w:rFonts w:eastAsia="Arial"/>
          <w:b/>
          <w:noProof/>
          <w:color w:val="000000" w:themeColor="text1"/>
        </w:rPr>
        <w:t xml:space="preserve"> cooperation between Europol and other EU bodies and agencies</w:t>
      </w:r>
    </w:p>
    <w:p w14:paraId="67C995F1" w14:textId="5BFB740A" w:rsidR="00057193" w:rsidRPr="00726D52" w:rsidRDefault="25989B28" w:rsidP="0082690B">
      <w:pPr>
        <w:spacing w:after="0" w:line="259" w:lineRule="auto"/>
        <w:rPr>
          <w:noProof/>
        </w:rPr>
      </w:pPr>
      <w:r w:rsidRPr="00726D52">
        <w:rPr>
          <w:rFonts w:eastAsia="Times New Roman"/>
          <w:noProof/>
        </w:rPr>
        <w:t xml:space="preserve">Despite the growing need for </w:t>
      </w:r>
      <w:r w:rsidR="517B51E3" w:rsidRPr="00726D52">
        <w:rPr>
          <w:rFonts w:eastAsia="Times New Roman"/>
          <w:noProof/>
        </w:rPr>
        <w:t>seamless cooperation</w:t>
      </w:r>
      <w:r w:rsidRPr="00726D52">
        <w:rPr>
          <w:rFonts w:eastAsia="Times New Roman"/>
          <w:noProof/>
        </w:rPr>
        <w:t xml:space="preserve"> across the EU</w:t>
      </w:r>
      <w:r w:rsidR="44CF9360" w:rsidRPr="00726D52">
        <w:rPr>
          <w:rFonts w:eastAsia="Times New Roman"/>
          <w:noProof/>
        </w:rPr>
        <w:t>’s</w:t>
      </w:r>
      <w:r w:rsidRPr="00726D52">
        <w:rPr>
          <w:rFonts w:eastAsia="Times New Roman"/>
          <w:noProof/>
        </w:rPr>
        <w:t xml:space="preserve"> internal security architecture</w:t>
      </w:r>
      <w:r w:rsidR="00E701D8" w:rsidRPr="00726D52">
        <w:rPr>
          <w:rStyle w:val="FootnoteReference"/>
          <w:rFonts w:eastAsia="Times New Roman"/>
          <w:noProof/>
        </w:rPr>
        <w:footnoteReference w:id="75"/>
      </w:r>
      <w:r w:rsidR="00E54949" w:rsidRPr="00726D52">
        <w:rPr>
          <w:rFonts w:eastAsia="Times New Roman"/>
          <w:noProof/>
        </w:rPr>
        <w:t>,</w:t>
      </w:r>
      <w:r w:rsidRPr="00726D52">
        <w:rPr>
          <w:rFonts w:eastAsia="Times New Roman"/>
          <w:noProof/>
        </w:rPr>
        <w:t xml:space="preserve"> </w:t>
      </w:r>
      <w:r w:rsidR="0E3BC01F" w:rsidRPr="00726D52">
        <w:rPr>
          <w:rFonts w:eastAsia="Times New Roman"/>
          <w:noProof/>
        </w:rPr>
        <w:t xml:space="preserve">crucial </w:t>
      </w:r>
      <w:r w:rsidR="268117AC" w:rsidRPr="00726D52">
        <w:rPr>
          <w:rFonts w:eastAsia="Times New Roman"/>
          <w:noProof/>
        </w:rPr>
        <w:t xml:space="preserve">information exchange </w:t>
      </w:r>
      <w:r w:rsidRPr="00726D52">
        <w:rPr>
          <w:rFonts w:eastAsia="Times New Roman"/>
          <w:noProof/>
        </w:rPr>
        <w:t>between Europol and other relevant EU bodies and agencies, including Frontex</w:t>
      </w:r>
      <w:r w:rsidR="0070048B" w:rsidRPr="00726D52">
        <w:rPr>
          <w:rStyle w:val="FootnoteReference"/>
          <w:rFonts w:eastAsia="Times New Roman"/>
          <w:noProof/>
        </w:rPr>
        <w:footnoteReference w:id="76"/>
      </w:r>
      <w:r w:rsidR="00FF6988" w:rsidRPr="00726D52">
        <w:rPr>
          <w:rFonts w:eastAsia="Times New Roman"/>
          <w:noProof/>
        </w:rPr>
        <w:t>,</w:t>
      </w:r>
      <w:r w:rsidRPr="00726D52">
        <w:rPr>
          <w:rFonts w:eastAsia="Times New Roman"/>
          <w:noProof/>
        </w:rPr>
        <w:t xml:space="preserve"> AMLA</w:t>
      </w:r>
      <w:r w:rsidR="002D7242" w:rsidRPr="00726D52">
        <w:rPr>
          <w:rStyle w:val="FootnoteReference"/>
          <w:rFonts w:eastAsia="Times New Roman"/>
          <w:noProof/>
        </w:rPr>
        <w:footnoteReference w:id="77"/>
      </w:r>
      <w:r w:rsidR="05CCFBEE" w:rsidRPr="00726D52">
        <w:rPr>
          <w:rFonts w:eastAsia="Times New Roman"/>
          <w:noProof/>
        </w:rPr>
        <w:t>, Eurojust</w:t>
      </w:r>
      <w:r w:rsidR="0D84DE80" w:rsidRPr="00726D52">
        <w:rPr>
          <w:rFonts w:eastAsia="Times New Roman"/>
          <w:noProof/>
        </w:rPr>
        <w:t>,</w:t>
      </w:r>
      <w:r w:rsidR="00D623A9" w:rsidRPr="00726D52">
        <w:rPr>
          <w:rStyle w:val="FootnoteReference"/>
          <w:rFonts w:eastAsia="Times New Roman"/>
          <w:noProof/>
        </w:rPr>
        <w:footnoteReference w:id="78"/>
      </w:r>
      <w:r w:rsidR="05CCFBEE" w:rsidRPr="00726D52">
        <w:rPr>
          <w:rFonts w:eastAsia="Times New Roman"/>
          <w:noProof/>
        </w:rPr>
        <w:t xml:space="preserve"> and OLAF</w:t>
      </w:r>
      <w:r w:rsidR="5BF8F71C" w:rsidRPr="00726D52">
        <w:rPr>
          <w:rFonts w:eastAsia="Times New Roman"/>
          <w:noProof/>
        </w:rPr>
        <w:t>,</w:t>
      </w:r>
      <w:r w:rsidR="003F4FBD" w:rsidRPr="00726D52">
        <w:rPr>
          <w:rStyle w:val="FootnoteReference"/>
          <w:rFonts w:eastAsia="Times New Roman"/>
          <w:noProof/>
        </w:rPr>
        <w:footnoteReference w:id="79"/>
      </w:r>
      <w:r w:rsidR="5BF8F71C" w:rsidRPr="00726D52">
        <w:rPr>
          <w:rFonts w:eastAsia="Times New Roman"/>
          <w:noProof/>
        </w:rPr>
        <w:t xml:space="preserve"> remains weak. </w:t>
      </w:r>
      <w:r w:rsidR="00D02D48" w:rsidRPr="00726D52">
        <w:rPr>
          <w:rFonts w:eastAsia="Times New Roman"/>
          <w:noProof/>
        </w:rPr>
        <w:t xml:space="preserve">Existing exchanges remain uneven and are often dependent on ad hoc arrangements. </w:t>
      </w:r>
      <w:r w:rsidR="008E7A57" w:rsidRPr="00726D52">
        <w:rPr>
          <w:rFonts w:eastAsia="Times New Roman"/>
          <w:noProof/>
        </w:rPr>
        <w:t>This affects the complete</w:t>
      </w:r>
      <w:r w:rsidR="00AD569C" w:rsidRPr="00726D52">
        <w:rPr>
          <w:rFonts w:eastAsia="Times New Roman"/>
          <w:noProof/>
        </w:rPr>
        <w:t>ness of the EU-level criminal intelligence picture that Europol can pro</w:t>
      </w:r>
      <w:r w:rsidR="001B2E3C" w:rsidRPr="00726D52">
        <w:rPr>
          <w:rFonts w:eastAsia="Times New Roman"/>
          <w:noProof/>
        </w:rPr>
        <w:t>vide</w:t>
      </w:r>
      <w:r w:rsidR="00E32E0B" w:rsidRPr="00726D52">
        <w:rPr>
          <w:rFonts w:eastAsia="Times New Roman"/>
          <w:noProof/>
        </w:rPr>
        <w:t xml:space="preserve"> </w:t>
      </w:r>
      <w:r w:rsidR="001B2E3C" w:rsidRPr="00726D52">
        <w:rPr>
          <w:rFonts w:eastAsia="Times New Roman"/>
          <w:noProof/>
        </w:rPr>
        <w:t>in</w:t>
      </w:r>
      <w:r w:rsidR="00E32E0B" w:rsidRPr="00726D52">
        <w:rPr>
          <w:rFonts w:eastAsia="Times New Roman"/>
          <w:noProof/>
        </w:rPr>
        <w:t xml:space="preserve"> support </w:t>
      </w:r>
      <w:r w:rsidR="001B2E3C" w:rsidRPr="00726D52">
        <w:rPr>
          <w:rFonts w:eastAsia="Times New Roman"/>
          <w:noProof/>
        </w:rPr>
        <w:t xml:space="preserve">of </w:t>
      </w:r>
      <w:r w:rsidR="00B2743E" w:rsidRPr="00726D52">
        <w:rPr>
          <w:rFonts w:eastAsia="Times New Roman"/>
          <w:noProof/>
        </w:rPr>
        <w:t>Member State</w:t>
      </w:r>
      <w:r w:rsidR="00E32E0B" w:rsidRPr="00726D52">
        <w:rPr>
          <w:rFonts w:eastAsia="Times New Roman"/>
          <w:noProof/>
        </w:rPr>
        <w:t xml:space="preserve"> </w:t>
      </w:r>
      <w:r w:rsidR="00CD7441" w:rsidRPr="00726D52">
        <w:rPr>
          <w:rFonts w:eastAsia="Times New Roman"/>
          <w:noProof/>
        </w:rPr>
        <w:t xml:space="preserve">national </w:t>
      </w:r>
      <w:r w:rsidR="00E32E0B" w:rsidRPr="00726D52">
        <w:rPr>
          <w:rFonts w:eastAsia="Times New Roman"/>
          <w:noProof/>
        </w:rPr>
        <w:t>authorities</w:t>
      </w:r>
      <w:r w:rsidR="00B2743E" w:rsidRPr="00726D52">
        <w:rPr>
          <w:rFonts w:eastAsia="Times New Roman"/>
          <w:noProof/>
        </w:rPr>
        <w:t>.</w:t>
      </w:r>
      <w:r w:rsidR="00AD569C" w:rsidRPr="00726D52">
        <w:rPr>
          <w:rFonts w:eastAsia="Times New Roman"/>
          <w:noProof/>
        </w:rPr>
        <w:t xml:space="preserve"> </w:t>
      </w:r>
      <w:r w:rsidR="00D623A9" w:rsidRPr="00726D52">
        <w:rPr>
          <w:rFonts w:eastAsia="Times New Roman"/>
          <w:noProof/>
        </w:rPr>
        <w:t>Moreover, b</w:t>
      </w:r>
      <w:r w:rsidR="4B5DA647" w:rsidRPr="00726D52">
        <w:rPr>
          <w:rFonts w:eastAsia="Times New Roman"/>
          <w:noProof/>
        </w:rPr>
        <w:t xml:space="preserve">roader cooperation between Europol and </w:t>
      </w:r>
      <w:r w:rsidR="091E0FB1" w:rsidRPr="00726D52">
        <w:rPr>
          <w:rFonts w:eastAsia="Times New Roman"/>
          <w:noProof/>
        </w:rPr>
        <w:t>other relevant EU bodies and agencies, such as Eurojust</w:t>
      </w:r>
      <w:r w:rsidR="00843080" w:rsidRPr="00726D52">
        <w:rPr>
          <w:rStyle w:val="FootnoteReference"/>
          <w:rFonts w:eastAsia="Times New Roman"/>
          <w:noProof/>
        </w:rPr>
        <w:footnoteReference w:id="80"/>
      </w:r>
      <w:r w:rsidR="091E0FB1" w:rsidRPr="00726D52">
        <w:rPr>
          <w:rFonts w:eastAsia="Times New Roman"/>
          <w:noProof/>
        </w:rPr>
        <w:t xml:space="preserve"> and ENISA</w:t>
      </w:r>
      <w:r w:rsidR="00177EE7" w:rsidRPr="00726D52">
        <w:rPr>
          <w:rStyle w:val="FootnoteReference"/>
          <w:noProof/>
        </w:rPr>
        <w:footnoteReference w:id="81"/>
      </w:r>
      <w:r w:rsidR="00CD0AD0" w:rsidRPr="00726D52">
        <w:rPr>
          <w:rFonts w:eastAsia="Times New Roman"/>
          <w:noProof/>
        </w:rPr>
        <w:t>,</w:t>
      </w:r>
      <w:r w:rsidR="091E0FB1" w:rsidRPr="00726D52">
        <w:rPr>
          <w:rFonts w:eastAsia="Times New Roman"/>
          <w:noProof/>
        </w:rPr>
        <w:t xml:space="preserve"> is obstructed by </w:t>
      </w:r>
      <w:r w:rsidR="5D8A9D97" w:rsidRPr="00726D52">
        <w:rPr>
          <w:rFonts w:eastAsia="Times New Roman"/>
          <w:noProof/>
        </w:rPr>
        <w:t>insufficient institutionalis</w:t>
      </w:r>
      <w:r w:rsidR="00A850B1" w:rsidRPr="00726D52">
        <w:rPr>
          <w:rFonts w:eastAsia="Times New Roman"/>
          <w:noProof/>
        </w:rPr>
        <w:t>ation</w:t>
      </w:r>
      <w:r w:rsidR="00737F49" w:rsidRPr="00726D52">
        <w:rPr>
          <w:rFonts w:eastAsia="Times New Roman"/>
          <w:noProof/>
        </w:rPr>
        <w:t>. This</w:t>
      </w:r>
      <w:r w:rsidR="006F14DB" w:rsidRPr="00726D52">
        <w:rPr>
          <w:rFonts w:eastAsia="Times New Roman"/>
          <w:noProof/>
        </w:rPr>
        <w:t xml:space="preserve"> hinder</w:t>
      </w:r>
      <w:r w:rsidR="00737F49" w:rsidRPr="00726D52">
        <w:rPr>
          <w:rFonts w:eastAsia="Times New Roman"/>
          <w:noProof/>
        </w:rPr>
        <w:t>s</w:t>
      </w:r>
      <w:r w:rsidR="00B1595B" w:rsidRPr="00726D52">
        <w:rPr>
          <w:rFonts w:eastAsia="Times New Roman"/>
          <w:noProof/>
        </w:rPr>
        <w:t xml:space="preserve"> </w:t>
      </w:r>
      <w:r w:rsidR="00DC1E2D" w:rsidRPr="00726D52">
        <w:rPr>
          <w:rFonts w:eastAsia="Times New Roman"/>
          <w:noProof/>
        </w:rPr>
        <w:t>the</w:t>
      </w:r>
      <w:r w:rsidR="00ED76CB" w:rsidRPr="00726D52">
        <w:rPr>
          <w:rFonts w:eastAsia="Times New Roman"/>
          <w:noProof/>
        </w:rPr>
        <w:t xml:space="preserve"> </w:t>
      </w:r>
      <w:r w:rsidR="00BD35C8" w:rsidRPr="00726D52">
        <w:rPr>
          <w:rFonts w:eastAsia="Times New Roman"/>
          <w:noProof/>
        </w:rPr>
        <w:t>scope</w:t>
      </w:r>
      <w:r w:rsidR="003A009A" w:rsidRPr="00726D52">
        <w:rPr>
          <w:rFonts w:eastAsia="Times New Roman"/>
          <w:noProof/>
        </w:rPr>
        <w:t>, foreseeability</w:t>
      </w:r>
      <w:r w:rsidR="00BD35C8" w:rsidRPr="00726D52">
        <w:rPr>
          <w:rFonts w:eastAsia="Times New Roman"/>
          <w:noProof/>
        </w:rPr>
        <w:t xml:space="preserve"> and </w:t>
      </w:r>
      <w:r w:rsidR="008649DF" w:rsidRPr="00726D52">
        <w:rPr>
          <w:rFonts w:eastAsia="Times New Roman"/>
          <w:noProof/>
        </w:rPr>
        <w:t>sustainability</w:t>
      </w:r>
      <w:r w:rsidR="00BD35C8" w:rsidRPr="00726D52">
        <w:rPr>
          <w:rFonts w:eastAsia="Times New Roman"/>
          <w:noProof/>
        </w:rPr>
        <w:t xml:space="preserve"> of </w:t>
      </w:r>
      <w:r w:rsidR="004B499E" w:rsidRPr="00726D52">
        <w:rPr>
          <w:rFonts w:eastAsia="Times New Roman"/>
          <w:noProof/>
        </w:rPr>
        <w:t>coordinated</w:t>
      </w:r>
      <w:r w:rsidR="00BD35C8" w:rsidRPr="00726D52">
        <w:rPr>
          <w:rFonts w:eastAsia="Times New Roman"/>
          <w:noProof/>
        </w:rPr>
        <w:t xml:space="preserve"> support </w:t>
      </w:r>
      <w:r w:rsidR="00306771" w:rsidRPr="00726D52">
        <w:rPr>
          <w:rFonts w:eastAsia="Times New Roman"/>
          <w:noProof/>
        </w:rPr>
        <w:t>benefiting</w:t>
      </w:r>
      <w:r w:rsidR="006C3359" w:rsidRPr="00726D52">
        <w:rPr>
          <w:rFonts w:eastAsia="Times New Roman"/>
          <w:noProof/>
        </w:rPr>
        <w:t xml:space="preserve"> </w:t>
      </w:r>
      <w:r w:rsidR="00306771" w:rsidRPr="00726D52">
        <w:rPr>
          <w:rFonts w:eastAsia="Times New Roman"/>
          <w:noProof/>
        </w:rPr>
        <w:t>the</w:t>
      </w:r>
      <w:r w:rsidR="006C3359" w:rsidRPr="00726D52">
        <w:rPr>
          <w:rFonts w:eastAsia="Times New Roman"/>
          <w:noProof/>
        </w:rPr>
        <w:t xml:space="preserve"> national authorities</w:t>
      </w:r>
      <w:r w:rsidR="00306771" w:rsidRPr="00726D52">
        <w:rPr>
          <w:rFonts w:eastAsia="Times New Roman"/>
          <w:noProof/>
        </w:rPr>
        <w:t xml:space="preserve"> of EU Member State</w:t>
      </w:r>
      <w:r w:rsidR="00842014" w:rsidRPr="00726D52">
        <w:rPr>
          <w:rFonts w:eastAsia="Times New Roman"/>
          <w:noProof/>
        </w:rPr>
        <w:t>s</w:t>
      </w:r>
      <w:r w:rsidR="00BD35C8" w:rsidRPr="00726D52">
        <w:rPr>
          <w:rFonts w:eastAsia="Times New Roman"/>
          <w:noProof/>
        </w:rPr>
        <w:t>.</w:t>
      </w:r>
      <w:r w:rsidR="0017682A" w:rsidRPr="00726D52">
        <w:rPr>
          <w:rStyle w:val="FootnoteReference"/>
          <w:rFonts w:eastAsia="Times New Roman"/>
          <w:noProof/>
        </w:rPr>
        <w:footnoteReference w:id="82"/>
      </w:r>
      <w:r w:rsidR="00BD35C8" w:rsidRPr="00726D52">
        <w:rPr>
          <w:rFonts w:eastAsia="Times New Roman"/>
          <w:noProof/>
        </w:rPr>
        <w:t xml:space="preserve"> </w:t>
      </w:r>
    </w:p>
    <w:p w14:paraId="705AC72F" w14:textId="6CECF2E1" w:rsidR="005C1EDF" w:rsidRPr="00726D52" w:rsidRDefault="006B087E" w:rsidP="00B83472">
      <w:pPr>
        <w:pStyle w:val="Heading2"/>
        <w:spacing w:before="240"/>
        <w:rPr>
          <w:noProof/>
        </w:rPr>
      </w:pPr>
      <w:r w:rsidRPr="00726D52">
        <w:rPr>
          <w:noProof/>
        </w:rPr>
        <w:lastRenderedPageBreak/>
        <w:t xml:space="preserve">How </w:t>
      </w:r>
      <w:r w:rsidR="00CC3AAC" w:rsidRPr="00726D52">
        <w:rPr>
          <w:noProof/>
        </w:rPr>
        <w:t>likely is the problem to persist?</w:t>
      </w:r>
    </w:p>
    <w:p w14:paraId="51FEDD11" w14:textId="4356CAA9" w:rsidR="005A70C0" w:rsidRPr="00726D52" w:rsidRDefault="005A70C0" w:rsidP="005A70C0">
      <w:pPr>
        <w:pStyle w:val="Text2"/>
        <w:spacing w:after="120"/>
        <w:ind w:left="0"/>
        <w:rPr>
          <w:noProof/>
        </w:rPr>
      </w:pPr>
      <w:r w:rsidRPr="00726D52">
        <w:rPr>
          <w:noProof/>
        </w:rPr>
        <w:t xml:space="preserve">The overall problem is structural and likely to persist, as it is </w:t>
      </w:r>
      <w:r w:rsidRPr="00726D52">
        <w:rPr>
          <w:b/>
          <w:bCs/>
          <w:noProof/>
        </w:rPr>
        <w:t>driven by long-term trends</w:t>
      </w:r>
      <w:r w:rsidRPr="00726D52">
        <w:rPr>
          <w:noProof/>
        </w:rPr>
        <w:t xml:space="preserve"> in the scale, complexity, and digitalisation of serious and organised crime. This will require more timely </w:t>
      </w:r>
      <w:r w:rsidR="00F6276B" w:rsidRPr="00726D52">
        <w:rPr>
          <w:noProof/>
        </w:rPr>
        <w:t xml:space="preserve">criminal </w:t>
      </w:r>
      <w:r w:rsidRPr="00726D52">
        <w:rPr>
          <w:noProof/>
        </w:rPr>
        <w:t xml:space="preserve">intelligence, closer operational coordination across Member States and Europol, and access to advanced analytical and technical capabilities. At the same time, Europol’s ability to respond effectively will continue to be shaped by its legal framework, technical infrastructure, and available expertise, which cannot evolve automatically in line with operational needs. As cooperation increasingly involves a wider range of actors, including EU </w:t>
      </w:r>
      <w:r w:rsidR="00F6276B" w:rsidRPr="00726D52">
        <w:rPr>
          <w:noProof/>
        </w:rPr>
        <w:t xml:space="preserve">bodies and </w:t>
      </w:r>
      <w:r w:rsidRPr="00726D52">
        <w:rPr>
          <w:noProof/>
        </w:rPr>
        <w:t>agencies, the need for effective coordination and specialised support at European level will further grow. Without adaptation, these trends are likely to widen the gap between operational needs and Europol’s capacity to support Member States effectively.</w:t>
      </w:r>
    </w:p>
    <w:p w14:paraId="3973C8A4" w14:textId="592E9547" w:rsidR="005A70C0" w:rsidRPr="00726D52" w:rsidRDefault="005A70C0" w:rsidP="005A70C0">
      <w:pPr>
        <w:pStyle w:val="Text2"/>
        <w:spacing w:after="120"/>
        <w:ind w:left="0"/>
        <w:rPr>
          <w:noProof/>
        </w:rPr>
      </w:pPr>
      <w:r w:rsidRPr="00726D52">
        <w:rPr>
          <w:noProof/>
        </w:rPr>
        <w:t xml:space="preserve">First, </w:t>
      </w:r>
      <w:r w:rsidRPr="00726D52">
        <w:rPr>
          <w:b/>
          <w:bCs/>
          <w:noProof/>
        </w:rPr>
        <w:t>data-related challenges are expected to intensify sharply</w:t>
      </w:r>
      <w:r w:rsidRPr="00726D52">
        <w:rPr>
          <w:noProof/>
        </w:rPr>
        <w:t xml:space="preserve"> as the volume, speed, and complexity of operational data continue to accelerate. Criminal investigations are increasingly driven by digital evidence, encrypted communications, and data dispersed across multiple jurisdictions and platforms, generating vast and fragmented datasets. At the same time, persistent differences in </w:t>
      </w:r>
      <w:r w:rsidR="00AA59DC" w:rsidRPr="00726D52">
        <w:rPr>
          <w:noProof/>
        </w:rPr>
        <w:t>information sharing</w:t>
      </w:r>
      <w:r w:rsidRPr="00726D52">
        <w:rPr>
          <w:noProof/>
        </w:rPr>
        <w:t xml:space="preserve"> practices, limited interoperability, and constraints in processing large and complex datasets will continue to hinder Europol’s ability to fully integrate and exploit this information. Without addressing these structural data gaps, Europol risks falling behind the scale and pace at which criminal networks operate, limiting its capacity to generate a complete and timely European </w:t>
      </w:r>
      <w:r w:rsidR="0043790C" w:rsidRPr="00726D52">
        <w:rPr>
          <w:noProof/>
        </w:rPr>
        <w:t xml:space="preserve">criminal </w:t>
      </w:r>
      <w:r w:rsidRPr="00726D52">
        <w:rPr>
          <w:noProof/>
        </w:rPr>
        <w:t>intelligence picture and to detect critical cross-border links.</w:t>
      </w:r>
    </w:p>
    <w:p w14:paraId="712C8A76" w14:textId="7E50EE92" w:rsidR="004B453D" w:rsidRPr="00726D52" w:rsidRDefault="005A70C0" w:rsidP="005A70C0">
      <w:pPr>
        <w:pStyle w:val="Text2"/>
        <w:spacing w:after="120"/>
        <w:ind w:left="0"/>
        <w:rPr>
          <w:noProof/>
        </w:rPr>
      </w:pPr>
      <w:r w:rsidRPr="00726D52">
        <w:rPr>
          <w:noProof/>
        </w:rPr>
        <w:t xml:space="preserve">At the same time, Europol’s role as an information hub is expected to expand significantly, with increasing volumes of operational data being transmitted from Member States and partners. If existing </w:t>
      </w:r>
      <w:r w:rsidR="00B0578E" w:rsidRPr="00726D52">
        <w:rPr>
          <w:noProof/>
        </w:rPr>
        <w:t>legal, technical and resource</w:t>
      </w:r>
      <w:r w:rsidRPr="00726D52">
        <w:rPr>
          <w:noProof/>
        </w:rPr>
        <w:t xml:space="preserve"> constraints regarding data processing by Europol are not addressed, these growing data flows will place </w:t>
      </w:r>
      <w:r w:rsidRPr="00726D52">
        <w:rPr>
          <w:b/>
          <w:bCs/>
          <w:noProof/>
        </w:rPr>
        <w:t>mounting pressure on Europol’s systems and resources</w:t>
      </w:r>
      <w:r w:rsidRPr="00726D52">
        <w:rPr>
          <w:noProof/>
        </w:rPr>
        <w:t xml:space="preserve">, creating structural bottlenecks. In such a scenario, efforts to improve information sharing and close existing data gaps may yield only limited operational benefit, as the Agency’s ability to translate greater data availability into actionable </w:t>
      </w:r>
      <w:r w:rsidR="0043790C" w:rsidRPr="00726D52">
        <w:rPr>
          <w:noProof/>
        </w:rPr>
        <w:t xml:space="preserve">criminal </w:t>
      </w:r>
      <w:r w:rsidRPr="00726D52">
        <w:rPr>
          <w:noProof/>
        </w:rPr>
        <w:t>intelligence would remain constrained</w:t>
      </w:r>
      <w:r w:rsidR="00FD485C" w:rsidRPr="00726D52">
        <w:rPr>
          <w:rFonts w:eastAsiaTheme="minorHAnsi"/>
          <w:noProof/>
          <w:szCs w:val="24"/>
        </w:rPr>
        <w:t xml:space="preserve"> </w:t>
      </w:r>
      <w:r w:rsidR="00D678C5" w:rsidRPr="00726D52">
        <w:rPr>
          <w:rFonts w:eastAsiaTheme="minorHAnsi"/>
          <w:noProof/>
          <w:szCs w:val="24"/>
        </w:rPr>
        <w:t xml:space="preserve">by </w:t>
      </w:r>
      <w:r w:rsidR="00FD485C" w:rsidRPr="00726D52">
        <w:rPr>
          <w:noProof/>
        </w:rPr>
        <w:t>existing legal and resource limitations</w:t>
      </w:r>
      <w:r w:rsidRPr="00726D52">
        <w:rPr>
          <w:noProof/>
        </w:rPr>
        <w:t>. Rather than strengthening Europol’s operational impact, the growing data flows could deepen existing bottlenecks, increasing the burden on the Agency and limiting its ability to deliver timely and effective support in an increasingly demanding security environment.</w:t>
      </w:r>
    </w:p>
    <w:p w14:paraId="53EC619F" w14:textId="060E645A" w:rsidR="005A70C0" w:rsidRPr="00726D52" w:rsidRDefault="005A70C0" w:rsidP="005A70C0">
      <w:pPr>
        <w:pStyle w:val="Text2"/>
        <w:spacing w:after="120"/>
        <w:ind w:left="0"/>
        <w:rPr>
          <w:noProof/>
        </w:rPr>
      </w:pPr>
      <w:r w:rsidRPr="00726D52">
        <w:rPr>
          <w:noProof/>
        </w:rPr>
        <w:lastRenderedPageBreak/>
        <w:t xml:space="preserve">Second, </w:t>
      </w:r>
      <w:r w:rsidRPr="00726D52">
        <w:rPr>
          <w:b/>
          <w:bCs/>
          <w:noProof/>
        </w:rPr>
        <w:t>operational demands on Europol are expected to increase significantly</w:t>
      </w:r>
      <w:r w:rsidR="00C25711" w:rsidRPr="00726D52">
        <w:rPr>
          <w:rStyle w:val="FootnoteReference"/>
          <w:noProof/>
        </w:rPr>
        <w:footnoteReference w:id="83"/>
      </w:r>
      <w:r w:rsidRPr="00726D52">
        <w:rPr>
          <w:noProof/>
        </w:rPr>
        <w:t xml:space="preserve"> as </w:t>
      </w:r>
      <w:r w:rsidR="00BA6E47" w:rsidRPr="00726D52">
        <w:rPr>
          <w:noProof/>
        </w:rPr>
        <w:t>the criminal landscape</w:t>
      </w:r>
      <w:r w:rsidRPr="00726D52">
        <w:rPr>
          <w:noProof/>
        </w:rPr>
        <w:t xml:space="preserve"> become</w:t>
      </w:r>
      <w:r w:rsidR="00CD10CD" w:rsidRPr="00726D52">
        <w:rPr>
          <w:noProof/>
        </w:rPr>
        <w:t>s</w:t>
      </w:r>
      <w:r w:rsidRPr="00726D52">
        <w:rPr>
          <w:noProof/>
        </w:rPr>
        <w:t xml:space="preserve"> more </w:t>
      </w:r>
      <w:r w:rsidR="00342913" w:rsidRPr="00726D52">
        <w:rPr>
          <w:noProof/>
        </w:rPr>
        <w:t>complex, connected and transnational</w:t>
      </w:r>
      <w:r w:rsidR="00777053" w:rsidRPr="00726D52">
        <w:rPr>
          <w:noProof/>
        </w:rPr>
        <w:t>,</w:t>
      </w:r>
      <w:r w:rsidR="00777053" w:rsidRPr="00726D52">
        <w:rPr>
          <w:rStyle w:val="FootnoteReference"/>
          <w:noProof/>
        </w:rPr>
        <w:footnoteReference w:id="84"/>
      </w:r>
      <w:r w:rsidR="00342913" w:rsidRPr="00726D52">
        <w:rPr>
          <w:noProof/>
        </w:rPr>
        <w:t xml:space="preserve"> </w:t>
      </w:r>
      <w:r w:rsidRPr="00726D52">
        <w:rPr>
          <w:noProof/>
        </w:rPr>
        <w:t>requir</w:t>
      </w:r>
      <w:r w:rsidR="00777053" w:rsidRPr="00726D52">
        <w:rPr>
          <w:noProof/>
        </w:rPr>
        <w:t>ing</w:t>
      </w:r>
      <w:r w:rsidRPr="00726D52">
        <w:rPr>
          <w:noProof/>
        </w:rPr>
        <w:t xml:space="preserve"> faster, more coordinated responses across jurisdictions and actors. Effective action increasingly depends on the ability to rapidly connect information, provide timely analytical and operational support, and facilitate coordinated action across jurisdictions. However, Europol’s ability to expand and adapt its operational support is shaped by the scope and modalities defined in its legal framework, which cannot automatically evolve in line with operational needs</w:t>
      </w:r>
      <w:r w:rsidR="00CC0BDA" w:rsidRPr="00726D52">
        <w:rPr>
          <w:noProof/>
        </w:rPr>
        <w:t>.</w:t>
      </w:r>
    </w:p>
    <w:p w14:paraId="2E69EC07" w14:textId="700882F9" w:rsidR="005A70C0" w:rsidRPr="00726D52" w:rsidRDefault="005A70C0" w:rsidP="005A70C0">
      <w:pPr>
        <w:pStyle w:val="Text2"/>
        <w:spacing w:after="120"/>
        <w:ind w:left="0"/>
        <w:rPr>
          <w:noProof/>
        </w:rPr>
      </w:pPr>
      <w:r w:rsidRPr="00726D52">
        <w:rPr>
          <w:noProof/>
        </w:rPr>
        <w:t xml:space="preserve">Furthermore, the need for </w:t>
      </w:r>
      <w:r w:rsidR="00355D4B" w:rsidRPr="00726D52">
        <w:rPr>
          <w:noProof/>
        </w:rPr>
        <w:t xml:space="preserve">closer cooperation </w:t>
      </w:r>
      <w:r w:rsidRPr="00726D52">
        <w:rPr>
          <w:noProof/>
        </w:rPr>
        <w:t>and complementar</w:t>
      </w:r>
      <w:r w:rsidR="00EE4193" w:rsidRPr="00726D52">
        <w:rPr>
          <w:noProof/>
        </w:rPr>
        <w:t>it</w:t>
      </w:r>
      <w:r w:rsidRPr="00726D52">
        <w:rPr>
          <w:noProof/>
        </w:rPr>
        <w:t xml:space="preserve">y </w:t>
      </w:r>
      <w:r w:rsidR="004135F0" w:rsidRPr="00726D52">
        <w:rPr>
          <w:noProof/>
        </w:rPr>
        <w:t>between</w:t>
      </w:r>
      <w:r w:rsidRPr="00726D52">
        <w:rPr>
          <w:noProof/>
        </w:rPr>
        <w:t xml:space="preserve"> </w:t>
      </w:r>
      <w:r w:rsidR="004135F0" w:rsidRPr="00726D52">
        <w:rPr>
          <w:b/>
          <w:bCs/>
          <w:noProof/>
        </w:rPr>
        <w:t>EU bodies and agencie</w:t>
      </w:r>
      <w:r w:rsidR="00257F4B" w:rsidRPr="00726D52">
        <w:rPr>
          <w:b/>
          <w:bCs/>
          <w:noProof/>
        </w:rPr>
        <w:t>s</w:t>
      </w:r>
      <w:r w:rsidR="004135F0" w:rsidRPr="00726D52">
        <w:rPr>
          <w:b/>
          <w:bCs/>
          <w:noProof/>
        </w:rPr>
        <w:t xml:space="preserve"> </w:t>
      </w:r>
      <w:r w:rsidRPr="00726D52">
        <w:rPr>
          <w:noProof/>
        </w:rPr>
        <w:t>will become more critical.</w:t>
      </w:r>
      <w:r w:rsidR="004135F0" w:rsidRPr="00726D52">
        <w:rPr>
          <w:rStyle w:val="FootnoteReference"/>
          <w:noProof/>
        </w:rPr>
        <w:footnoteReference w:id="85"/>
      </w:r>
      <w:r w:rsidRPr="00726D52">
        <w:rPr>
          <w:noProof/>
        </w:rPr>
        <w:t xml:space="preserve"> </w:t>
      </w:r>
      <w:r w:rsidR="00116AAD" w:rsidRPr="00726D52">
        <w:rPr>
          <w:noProof/>
        </w:rPr>
        <w:t>F</w:t>
      </w:r>
      <w:r w:rsidRPr="00726D52">
        <w:rPr>
          <w:noProof/>
        </w:rPr>
        <w:t xml:space="preserve">ragmentation </w:t>
      </w:r>
      <w:r w:rsidR="00382FFC" w:rsidRPr="00726D52">
        <w:rPr>
          <w:noProof/>
        </w:rPr>
        <w:t xml:space="preserve">and duplication </w:t>
      </w:r>
      <w:r w:rsidR="00116AAD" w:rsidRPr="00726D52">
        <w:rPr>
          <w:noProof/>
        </w:rPr>
        <w:t xml:space="preserve">of EU efforts </w:t>
      </w:r>
      <w:r w:rsidR="00382FFC" w:rsidRPr="00726D52">
        <w:rPr>
          <w:noProof/>
        </w:rPr>
        <w:t xml:space="preserve">would </w:t>
      </w:r>
      <w:r w:rsidRPr="00726D52">
        <w:rPr>
          <w:noProof/>
        </w:rPr>
        <w:t xml:space="preserve">reduce </w:t>
      </w:r>
      <w:r w:rsidR="00382FFC" w:rsidRPr="00726D52">
        <w:rPr>
          <w:noProof/>
        </w:rPr>
        <w:t xml:space="preserve">effectiveness and </w:t>
      </w:r>
      <w:r w:rsidRPr="00726D52">
        <w:rPr>
          <w:noProof/>
        </w:rPr>
        <w:t>efficiency, limit</w:t>
      </w:r>
      <w:r w:rsidR="00382FFC" w:rsidRPr="00726D52">
        <w:rPr>
          <w:noProof/>
        </w:rPr>
        <w:t>ing</w:t>
      </w:r>
      <w:r w:rsidRPr="00726D52">
        <w:rPr>
          <w:noProof/>
        </w:rPr>
        <w:t xml:space="preserve"> the Union’s ability to deliver a coherent and effective operational response to increasingly complex cross-border crime.</w:t>
      </w:r>
    </w:p>
    <w:p w14:paraId="30908529" w14:textId="1A5B6AB1" w:rsidR="005A70C0" w:rsidRPr="00726D52" w:rsidRDefault="005A70C0" w:rsidP="005A70C0">
      <w:pPr>
        <w:pStyle w:val="Text2"/>
        <w:spacing w:after="120"/>
        <w:ind w:left="0"/>
        <w:rPr>
          <w:noProof/>
        </w:rPr>
      </w:pPr>
      <w:r w:rsidRPr="00726D52">
        <w:rPr>
          <w:noProof/>
        </w:rPr>
        <w:t xml:space="preserve">Third, </w:t>
      </w:r>
      <w:r w:rsidRPr="00726D52">
        <w:rPr>
          <w:b/>
          <w:bCs/>
          <w:noProof/>
        </w:rPr>
        <w:t>capability gaps are also expected to persist and widen</w:t>
      </w:r>
      <w:r w:rsidRPr="00726D52">
        <w:rPr>
          <w:noProof/>
        </w:rPr>
        <w:t xml:space="preserve"> due to the rapid pace of technological change, including developments in artificial intelligence, digital forensics, and advanced analytics.</w:t>
      </w:r>
      <w:r w:rsidR="004C3F6B" w:rsidRPr="00726D52">
        <w:rPr>
          <w:rStyle w:val="FootnoteReference"/>
          <w:noProof/>
        </w:rPr>
        <w:footnoteReference w:id="86"/>
      </w:r>
      <w:r w:rsidRPr="00726D52">
        <w:rPr>
          <w:noProof/>
        </w:rPr>
        <w:t xml:space="preserve"> Criminal networks are early adopters of new technologies, </w:t>
      </w:r>
      <w:r w:rsidR="00232CC4" w:rsidRPr="00726D52">
        <w:rPr>
          <w:noProof/>
        </w:rPr>
        <w:t xml:space="preserve">and </w:t>
      </w:r>
      <w:r w:rsidRPr="00726D52">
        <w:rPr>
          <w:noProof/>
        </w:rPr>
        <w:t xml:space="preserve">law enforcement authorities require specialised expertise, advanced analytical tools, and scalable technical infrastructure to respond effectively. However, national innovation capacities and training systems are expected to evolve unevenly due to differing priorities, resources, and organisational constraints. </w:t>
      </w:r>
      <w:r w:rsidR="009A71EE" w:rsidRPr="00726D52">
        <w:rPr>
          <w:noProof/>
        </w:rPr>
        <w:t xml:space="preserve">In addition, parallel innovation and development ties up scarce resources. </w:t>
      </w:r>
      <w:r w:rsidRPr="00726D52">
        <w:rPr>
          <w:noProof/>
        </w:rPr>
        <w:t xml:space="preserve">Without stronger coordination at EU level, </w:t>
      </w:r>
      <w:r w:rsidR="009A71EE" w:rsidRPr="00726D52">
        <w:rPr>
          <w:noProof/>
        </w:rPr>
        <w:t>inefficiencies</w:t>
      </w:r>
      <w:r w:rsidRPr="00726D52">
        <w:rPr>
          <w:noProof/>
        </w:rPr>
        <w:t>, disparities in skills</w:t>
      </w:r>
      <w:r w:rsidR="00555968" w:rsidRPr="00726D52">
        <w:rPr>
          <w:rStyle w:val="FootnoteReference"/>
          <w:noProof/>
        </w:rPr>
        <w:footnoteReference w:id="87"/>
      </w:r>
      <w:r w:rsidRPr="00726D52">
        <w:rPr>
          <w:noProof/>
        </w:rPr>
        <w:t>, technical capabilities, and preparedness across Member States are likely to persist or deepen, limiting the effectiveness of the collective European response.</w:t>
      </w:r>
    </w:p>
    <w:p w14:paraId="0718DFC1" w14:textId="43E45D18" w:rsidR="00CC5D5B" w:rsidRPr="00726D52" w:rsidRDefault="00CC5D5B" w:rsidP="00CC5D5B">
      <w:pPr>
        <w:rPr>
          <w:noProof/>
        </w:rPr>
      </w:pPr>
      <w:r w:rsidRPr="00726D52">
        <w:rPr>
          <w:noProof/>
        </w:rPr>
        <w:t xml:space="preserve">Taken together, these dynamics suggest that, without intervention, the gap between the complexity of criminal threats and the capacity of </w:t>
      </w:r>
      <w:r w:rsidR="005A70C0" w:rsidRPr="00726D52">
        <w:rPr>
          <w:noProof/>
        </w:rPr>
        <w:t xml:space="preserve">Europol and </w:t>
      </w:r>
      <w:r w:rsidRPr="00726D52">
        <w:rPr>
          <w:noProof/>
        </w:rPr>
        <w:t xml:space="preserve">law enforcement authorities to address them effectively </w:t>
      </w:r>
      <w:r w:rsidRPr="00726D52">
        <w:rPr>
          <w:b/>
          <w:bCs/>
          <w:noProof/>
        </w:rPr>
        <w:t>will widen</w:t>
      </w:r>
      <w:r w:rsidRPr="00726D52">
        <w:rPr>
          <w:noProof/>
        </w:rPr>
        <w:t>, with continued implications for the quality of national investigations, the effectiveness of cross-border cooperation and the overall capacity of the Union to respond coherently to serious and organised crime.</w:t>
      </w:r>
    </w:p>
    <w:p w14:paraId="59140ACA" w14:textId="20FBF1EE" w:rsidR="006B087E" w:rsidRPr="00726D52" w:rsidRDefault="006B087E" w:rsidP="000E3086">
      <w:pPr>
        <w:pStyle w:val="Heading1"/>
        <w:rPr>
          <w:noProof/>
        </w:rPr>
      </w:pPr>
      <w:bookmarkStart w:id="3" w:name="_Toc224614031"/>
      <w:r w:rsidRPr="00726D52">
        <w:rPr>
          <w:noProof/>
        </w:rPr>
        <w:lastRenderedPageBreak/>
        <w:t>Why should the EU act?</w:t>
      </w:r>
      <w:bookmarkEnd w:id="3"/>
    </w:p>
    <w:p w14:paraId="70EEDAD8" w14:textId="27CDA533" w:rsidR="006B087E" w:rsidRPr="00726D52" w:rsidRDefault="006B087E" w:rsidP="000E3086">
      <w:pPr>
        <w:pStyle w:val="Heading2"/>
        <w:rPr>
          <w:noProof/>
        </w:rPr>
      </w:pPr>
      <w:r w:rsidRPr="00726D52">
        <w:rPr>
          <w:noProof/>
        </w:rPr>
        <w:t>Legal basis</w:t>
      </w:r>
      <w:r w:rsidR="3633F18D" w:rsidRPr="00726D52">
        <w:rPr>
          <w:noProof/>
        </w:rPr>
        <w:t xml:space="preserve"> </w:t>
      </w:r>
    </w:p>
    <w:p w14:paraId="3B20A854" w14:textId="77777777" w:rsidR="006C605C" w:rsidRPr="00726D52" w:rsidRDefault="006C605C" w:rsidP="006C605C">
      <w:pPr>
        <w:spacing w:after="120"/>
        <w:rPr>
          <w:rFonts w:eastAsia="Times New Roman"/>
          <w:noProof/>
        </w:rPr>
      </w:pPr>
      <w:r w:rsidRPr="00726D52">
        <w:rPr>
          <w:rFonts w:eastAsia="Times New Roman"/>
          <w:noProof/>
        </w:rPr>
        <w:t>The legal basis of this initiative is Article 88 of the Treaty on the Functioning of the European Union (TFEU), which establishes Europol’s mission. In particular, it stipulates that the Agency shall ‘</w:t>
      </w:r>
      <w:r w:rsidRPr="00726D52">
        <w:rPr>
          <w:rFonts w:eastAsia="Times New Roman"/>
          <w:i/>
          <w:iCs/>
          <w:noProof/>
        </w:rPr>
        <w:t>support and strengthen action by the Member States' police authorities and other law enforcement services and their mutual cooperation in preventing and combating serious crime affecting two or more Member States, terrorism and forms of crime which affect a common interest covered by a Union policy</w:t>
      </w:r>
      <w:r w:rsidRPr="00726D52">
        <w:rPr>
          <w:rFonts w:eastAsia="Times New Roman"/>
          <w:noProof/>
        </w:rPr>
        <w:t xml:space="preserve">’. </w:t>
      </w:r>
    </w:p>
    <w:p w14:paraId="6EE6610D" w14:textId="77777777" w:rsidR="006C605C" w:rsidRPr="00726D52" w:rsidRDefault="006C605C" w:rsidP="006C605C">
      <w:pPr>
        <w:rPr>
          <w:rFonts w:eastAsia="Times New Roman"/>
          <w:noProof/>
        </w:rPr>
      </w:pPr>
      <w:r w:rsidRPr="00726D52">
        <w:rPr>
          <w:rFonts w:eastAsia="Times New Roman"/>
          <w:noProof/>
        </w:rPr>
        <w:t>Article 88(2) TFEU empowers the European Parliament and the Council, acting in accordance with the ordinary legislative procedure by means of regulations, to determine Europol’s structure, operation, field of action, and tasks.</w:t>
      </w:r>
    </w:p>
    <w:p w14:paraId="5E89CE3C" w14:textId="77777777" w:rsidR="006B087E" w:rsidRPr="00726D52" w:rsidRDefault="006B087E" w:rsidP="000E3086">
      <w:pPr>
        <w:pStyle w:val="Heading2"/>
        <w:rPr>
          <w:noProof/>
        </w:rPr>
      </w:pPr>
      <w:r w:rsidRPr="00726D52">
        <w:rPr>
          <w:noProof/>
        </w:rPr>
        <w:t>Subsidiarity: Necessity of EU action</w:t>
      </w:r>
    </w:p>
    <w:p w14:paraId="2FB50688" w14:textId="77777777" w:rsidR="00843218" w:rsidRPr="00726D52" w:rsidRDefault="00843218" w:rsidP="00843218">
      <w:pPr>
        <w:pStyle w:val="Text2"/>
        <w:spacing w:after="120"/>
        <w:ind w:left="0"/>
        <w:rPr>
          <w:noProof/>
        </w:rPr>
      </w:pPr>
      <w:r w:rsidRPr="00726D52">
        <w:rPr>
          <w:noProof/>
        </w:rPr>
        <w:t>According to the subsidiarity principle laid down in Article 5(3) TFEU, action at EU level should be taken only when the aims envisaged cannot be achieved sufficiently by Member States alone and can therefore, by reason of the scale or effects of the proposed action, be better achieved by the EU.</w:t>
      </w:r>
    </w:p>
    <w:p w14:paraId="4EC867AC" w14:textId="440EA79B" w:rsidR="00843218" w:rsidRPr="00726D52" w:rsidRDefault="00843218" w:rsidP="00843218">
      <w:pPr>
        <w:pStyle w:val="Text2"/>
        <w:spacing w:after="120"/>
        <w:ind w:left="0"/>
        <w:rPr>
          <w:noProof/>
        </w:rPr>
      </w:pPr>
      <w:r w:rsidRPr="00726D52">
        <w:rPr>
          <w:noProof/>
        </w:rPr>
        <w:t xml:space="preserve">Europol’s mandate is to support and strengthen cooperation between Member States’ law enforcement authorities in addressing serious </w:t>
      </w:r>
      <w:r w:rsidR="00F62DF7" w:rsidRPr="00726D52">
        <w:rPr>
          <w:noProof/>
        </w:rPr>
        <w:t>and</w:t>
      </w:r>
      <w:r w:rsidR="0036259A" w:rsidRPr="00726D52">
        <w:rPr>
          <w:noProof/>
        </w:rPr>
        <w:t xml:space="preserve"> </w:t>
      </w:r>
      <w:r w:rsidRPr="00726D52">
        <w:rPr>
          <w:noProof/>
        </w:rPr>
        <w:t xml:space="preserve">organised crime and terrorism. </w:t>
      </w:r>
      <w:r w:rsidRPr="00726D52">
        <w:rPr>
          <w:b/>
          <w:bCs/>
          <w:noProof/>
        </w:rPr>
        <w:t>These threats increasingly operate across borders</w:t>
      </w:r>
      <w:r w:rsidRPr="00726D52">
        <w:rPr>
          <w:noProof/>
        </w:rPr>
        <w:t>, jurisdictions, and digital environments, requiring coordinated action and the timely exchange and analysis of information at Union level. Member States acting alone cannot ensure the necessary level of coordination, nor can they establish a comprehensive</w:t>
      </w:r>
      <w:r w:rsidR="00B03421" w:rsidRPr="00726D52">
        <w:rPr>
          <w:noProof/>
        </w:rPr>
        <w:t xml:space="preserve"> criminal</w:t>
      </w:r>
      <w:r w:rsidRPr="00726D52">
        <w:rPr>
          <w:noProof/>
        </w:rPr>
        <w:t xml:space="preserve"> intelligence picture across the Unio</w:t>
      </w:r>
      <w:r w:rsidR="00B03421" w:rsidRPr="00726D52">
        <w:rPr>
          <w:noProof/>
        </w:rPr>
        <w:t>n</w:t>
      </w:r>
      <w:r w:rsidRPr="00726D52">
        <w:rPr>
          <w:noProof/>
        </w:rPr>
        <w:t>.</w:t>
      </w:r>
    </w:p>
    <w:p w14:paraId="4414B303" w14:textId="20177B53" w:rsidR="3E46EBF8" w:rsidRPr="00726D52" w:rsidRDefault="00843218" w:rsidP="011EACDE">
      <w:pPr>
        <w:pStyle w:val="Text2"/>
        <w:ind w:left="0"/>
        <w:rPr>
          <w:noProof/>
        </w:rPr>
      </w:pPr>
      <w:r w:rsidRPr="00726D52">
        <w:rPr>
          <w:noProof/>
        </w:rPr>
        <w:t>Union action is therefore necessary to provide a common legal framework enabling Europol to effectively support Member States, facilitate cooperation, and strengthen the exchange and analysis of operational information. Moreover, as Europol is a Union agency established by Regulation (EU) 2016/794, any modification of its mandate or functioning can only be achieved through Union legislation. The objectives of this initiative can therefore be better achieved at Union level, in accordance with the principle of subsidiarity</w:t>
      </w:r>
      <w:r w:rsidR="3E46EBF8" w:rsidRPr="00726D52">
        <w:rPr>
          <w:noProof/>
        </w:rPr>
        <w:t>.</w:t>
      </w:r>
    </w:p>
    <w:p w14:paraId="597DB56E" w14:textId="77777777" w:rsidR="006B087E" w:rsidRPr="00726D52" w:rsidRDefault="006B087E" w:rsidP="000E3086">
      <w:pPr>
        <w:pStyle w:val="Heading2"/>
        <w:rPr>
          <w:noProof/>
        </w:rPr>
      </w:pPr>
      <w:r w:rsidRPr="00726D52">
        <w:rPr>
          <w:noProof/>
        </w:rPr>
        <w:t>Subsidiarity: Added value of EU action</w:t>
      </w:r>
    </w:p>
    <w:p w14:paraId="174D123C" w14:textId="00D75CBF" w:rsidR="00A728D3" w:rsidRPr="00726D52" w:rsidRDefault="00A728D3" w:rsidP="00A728D3">
      <w:pPr>
        <w:tabs>
          <w:tab w:val="num" w:pos="340"/>
        </w:tabs>
        <w:spacing w:after="120" w:line="260" w:lineRule="atLeast"/>
        <w:rPr>
          <w:rFonts w:eastAsia="Times New Roman"/>
          <w:noProof/>
          <w:color w:val="000000" w:themeColor="text1"/>
        </w:rPr>
      </w:pPr>
      <w:r w:rsidRPr="00726D52">
        <w:rPr>
          <w:rFonts w:eastAsia="Times New Roman"/>
          <w:noProof/>
          <w:color w:val="000000" w:themeColor="text1"/>
        </w:rPr>
        <w:t xml:space="preserve">The evaluation of the Europol Regulation (Annex </w:t>
      </w:r>
      <w:r w:rsidR="00A735BE" w:rsidRPr="00726D52">
        <w:rPr>
          <w:rFonts w:eastAsia="Times New Roman"/>
          <w:noProof/>
          <w:color w:val="000000" w:themeColor="text1"/>
        </w:rPr>
        <w:t>7</w:t>
      </w:r>
      <w:r w:rsidRPr="00726D52">
        <w:rPr>
          <w:rFonts w:eastAsia="Times New Roman"/>
          <w:noProof/>
          <w:color w:val="000000" w:themeColor="text1"/>
        </w:rPr>
        <w:t xml:space="preserve">) has confirmed that Europol plays a </w:t>
      </w:r>
      <w:r w:rsidRPr="00726D52">
        <w:rPr>
          <w:rFonts w:eastAsia="Times New Roman"/>
          <w:b/>
          <w:bCs/>
          <w:noProof/>
          <w:color w:val="000000" w:themeColor="text1"/>
        </w:rPr>
        <w:t>unique and indispensable role</w:t>
      </w:r>
      <w:r w:rsidRPr="00726D52">
        <w:rPr>
          <w:rFonts w:eastAsia="Times New Roman"/>
          <w:noProof/>
          <w:color w:val="000000" w:themeColor="text1"/>
        </w:rPr>
        <w:t xml:space="preserve"> in supporting Member States in preventing and combating serious and organised crime and terrorism, in particular where these threats have a cross-border dimension. Through its criminal intelligence analysis, operational and technical support to investigations, coordination of cross-border law enforcement actions, and support to joint investigation teams, </w:t>
      </w:r>
      <w:r w:rsidRPr="00726D52">
        <w:rPr>
          <w:rFonts w:eastAsia="Times New Roman"/>
          <w:b/>
          <w:bCs/>
          <w:noProof/>
          <w:color w:val="000000" w:themeColor="text1"/>
        </w:rPr>
        <w:t>Europol expands the reach, speed, and effectiveness of national investigations</w:t>
      </w:r>
      <w:r w:rsidRPr="00726D52">
        <w:rPr>
          <w:rFonts w:eastAsia="Times New Roman"/>
          <w:noProof/>
          <w:color w:val="000000" w:themeColor="text1"/>
        </w:rPr>
        <w:t>. It enables authorities to detect connections between criminal activities across multiple Member States, identify priority targets, and coordinate operational responses, thereby significantly strengthening the Union’s collective ability to disrupt criminal networks.</w:t>
      </w:r>
    </w:p>
    <w:p w14:paraId="02C13B6D" w14:textId="02685091" w:rsidR="00A728D3" w:rsidRPr="00726D52" w:rsidRDefault="76262657" w:rsidP="7A0AEE46">
      <w:pPr>
        <w:tabs>
          <w:tab w:val="num" w:pos="340"/>
        </w:tabs>
        <w:spacing w:after="120" w:line="260" w:lineRule="atLeast"/>
        <w:rPr>
          <w:rFonts w:eastAsia="Times New Roman"/>
          <w:noProof/>
          <w:color w:val="000000" w:themeColor="text1"/>
        </w:rPr>
      </w:pPr>
      <w:r w:rsidRPr="00726D52">
        <w:rPr>
          <w:rFonts w:eastAsia="Times New Roman"/>
          <w:noProof/>
          <w:color w:val="000000" w:themeColor="text1"/>
        </w:rPr>
        <w:lastRenderedPageBreak/>
        <w:t>Europol also provides specialised capabilities, expertise, and technological infrastructure that individual Member States could not develop or maintain efficiently on their own.</w:t>
      </w:r>
      <w:r w:rsidR="00756137" w:rsidRPr="00726D52">
        <w:rPr>
          <w:rStyle w:val="FootnoteReference"/>
          <w:rFonts w:eastAsia="Times New Roman"/>
          <w:noProof/>
          <w:color w:val="000000" w:themeColor="text1"/>
        </w:rPr>
        <w:footnoteReference w:id="88"/>
      </w:r>
      <w:r w:rsidRPr="00726D52">
        <w:rPr>
          <w:rFonts w:eastAsia="Times New Roman"/>
          <w:noProof/>
          <w:color w:val="000000" w:themeColor="text1"/>
        </w:rPr>
        <w:t xml:space="preserve"> This includes advanced analytical and forensic capacities, the ability to process and analyse very large and complex datasets, and innovation and technical support to address evolving threats. By centralising high-value expertise, tools, and infrastructure at Union level, Europol generates </w:t>
      </w:r>
      <w:r w:rsidRPr="00726D52">
        <w:rPr>
          <w:rFonts w:eastAsia="Times New Roman"/>
          <w:b/>
          <w:bCs/>
          <w:noProof/>
          <w:color w:val="000000" w:themeColor="text1"/>
        </w:rPr>
        <w:t>substantial economies of scale</w:t>
      </w:r>
      <w:r w:rsidRPr="00726D52">
        <w:rPr>
          <w:rFonts w:eastAsia="Times New Roman"/>
          <w:noProof/>
          <w:color w:val="000000" w:themeColor="text1"/>
        </w:rPr>
        <w:t>, reduces duplication of investment, and ensures that all Member States benefit from cutting-edge capabilities, regardless of their size or national resources.</w:t>
      </w:r>
    </w:p>
    <w:p w14:paraId="038CCB61" w14:textId="11E99CC2" w:rsidR="00A728D3" w:rsidRPr="00726D52" w:rsidRDefault="00A728D3" w:rsidP="000C7DED">
      <w:pPr>
        <w:tabs>
          <w:tab w:val="num" w:pos="340"/>
        </w:tabs>
        <w:spacing w:after="120" w:line="260" w:lineRule="atLeast"/>
        <w:rPr>
          <w:rFonts w:eastAsia="Times New Roman"/>
          <w:noProof/>
        </w:rPr>
      </w:pPr>
      <w:r w:rsidRPr="00726D52">
        <w:rPr>
          <w:rFonts w:eastAsia="Times New Roman"/>
          <w:noProof/>
        </w:rPr>
        <w:t>A common Union legal framework ensures that Europol can perform its tasks consistently, effectively, and with full respect for Member States’ competences and responsibilities for law enforcement. It also guarantees coherent governance, accountability, and safeguards, including a high level of protection of personal data, thereby strengthening mutual trust and enabling effective operational cooperation.</w:t>
      </w:r>
      <w:r w:rsidR="003077E6" w:rsidRPr="00726D52">
        <w:rPr>
          <w:rFonts w:eastAsia="Times New Roman"/>
          <w:noProof/>
        </w:rPr>
        <w:t xml:space="preserve"> </w:t>
      </w:r>
      <w:r w:rsidRPr="00726D52">
        <w:rPr>
          <w:rFonts w:eastAsia="Times New Roman"/>
          <w:noProof/>
        </w:rPr>
        <w:t>This contributes to ensuring a high level of security across the Union and to protecting the integrity of its internal market</w:t>
      </w:r>
      <w:r w:rsidRPr="00726D52">
        <w:rPr>
          <w:rStyle w:val="FootnoteReference"/>
          <w:rFonts w:eastAsia="Times New Roman"/>
          <w:noProof/>
        </w:rPr>
        <w:footnoteReference w:id="89"/>
      </w:r>
      <w:r w:rsidRPr="00726D52">
        <w:rPr>
          <w:rFonts w:eastAsia="Times New Roman"/>
          <w:noProof/>
        </w:rPr>
        <w:t>, democratic institutions, and digital and economic infrastructure.</w:t>
      </w:r>
    </w:p>
    <w:p w14:paraId="6C77EBA2" w14:textId="77777777" w:rsidR="006B087E" w:rsidRPr="00726D52" w:rsidRDefault="600FD708" w:rsidP="000E3086">
      <w:pPr>
        <w:pStyle w:val="Heading1"/>
        <w:rPr>
          <w:noProof/>
        </w:rPr>
      </w:pPr>
      <w:bookmarkStart w:id="4" w:name="_Toc224614032"/>
      <w:r w:rsidRPr="00726D52">
        <w:rPr>
          <w:noProof/>
        </w:rPr>
        <w:t>Objectives: What is to be achieved?</w:t>
      </w:r>
      <w:bookmarkEnd w:id="4"/>
    </w:p>
    <w:p w14:paraId="07266048" w14:textId="77777777" w:rsidR="006B087E" w:rsidRPr="00726D52" w:rsidRDefault="600FD708" w:rsidP="000E3086">
      <w:pPr>
        <w:pStyle w:val="Heading2"/>
        <w:rPr>
          <w:noProof/>
        </w:rPr>
      </w:pPr>
      <w:r w:rsidRPr="00726D52">
        <w:rPr>
          <w:noProof/>
        </w:rPr>
        <w:t>General objectives</w:t>
      </w:r>
    </w:p>
    <w:p w14:paraId="2DEC4CC7" w14:textId="237156F6" w:rsidR="00A61F7B" w:rsidRPr="00726D52" w:rsidRDefault="00332644" w:rsidP="007C4F8D">
      <w:pPr>
        <w:spacing w:line="257" w:lineRule="auto"/>
        <w:rPr>
          <w:rFonts w:eastAsia="Arial"/>
          <w:noProof/>
        </w:rPr>
      </w:pPr>
      <w:r w:rsidRPr="00726D52">
        <w:rPr>
          <w:rFonts w:eastAsia="Arial"/>
          <w:noProof/>
        </w:rPr>
        <w:t xml:space="preserve">The general objective of this initiative is to </w:t>
      </w:r>
      <w:r w:rsidR="00A61F7B" w:rsidRPr="00726D52">
        <w:rPr>
          <w:rFonts w:eastAsia="Arial"/>
          <w:noProof/>
        </w:rPr>
        <w:t>improve the effectiveness of EU-level law enforcement cooperation in preventing and combating serious and organised crime and terrorism, in order to contribute to a high level of internal security in the EU</w:t>
      </w:r>
      <w:r w:rsidRPr="00726D52">
        <w:rPr>
          <w:rFonts w:eastAsia="Arial"/>
          <w:noProof/>
        </w:rPr>
        <w:t xml:space="preserve">. </w:t>
      </w:r>
    </w:p>
    <w:p w14:paraId="21387B1F" w14:textId="22B2365F" w:rsidR="002A0AE9" w:rsidRPr="00726D52" w:rsidRDefault="00332644" w:rsidP="002F31CE">
      <w:pPr>
        <w:spacing w:line="257" w:lineRule="auto"/>
        <w:rPr>
          <w:rFonts w:eastAsia="Arial"/>
          <w:noProof/>
        </w:rPr>
      </w:pPr>
      <w:r w:rsidRPr="00726D52">
        <w:rPr>
          <w:rFonts w:eastAsia="Arial"/>
          <w:noProof/>
        </w:rPr>
        <w:t xml:space="preserve">In particular, </w:t>
      </w:r>
      <w:r w:rsidR="002F31CE" w:rsidRPr="00726D52">
        <w:rPr>
          <w:rFonts w:eastAsia="Arial"/>
          <w:noProof/>
        </w:rPr>
        <w:t>the aim is to enhance</w:t>
      </w:r>
      <w:r w:rsidRPr="00726D52">
        <w:rPr>
          <w:rFonts w:eastAsia="Arial"/>
          <w:noProof/>
        </w:rPr>
        <w:t xml:space="preserve"> Europol</w:t>
      </w:r>
      <w:r w:rsidR="002F31CE" w:rsidRPr="00726D52">
        <w:rPr>
          <w:rFonts w:eastAsia="Arial"/>
          <w:noProof/>
        </w:rPr>
        <w:t>’s</w:t>
      </w:r>
      <w:r w:rsidRPr="00726D52">
        <w:rPr>
          <w:rFonts w:eastAsia="Arial"/>
          <w:noProof/>
        </w:rPr>
        <w:t xml:space="preserve"> </w:t>
      </w:r>
      <w:r w:rsidR="002F31CE" w:rsidRPr="00726D52">
        <w:rPr>
          <w:rFonts w:eastAsia="Arial"/>
          <w:noProof/>
        </w:rPr>
        <w:t>capacity to enable a more complete and timely understanding of criminal threats across the Union and to support their effective detection, disruption and prevention, thereby contributing to the protection of citizens and victims.</w:t>
      </w:r>
    </w:p>
    <w:p w14:paraId="51967D21" w14:textId="77777777" w:rsidR="00EB3935" w:rsidRPr="00726D52" w:rsidRDefault="600FD708" w:rsidP="00EB3935">
      <w:pPr>
        <w:pStyle w:val="Heading2"/>
        <w:rPr>
          <w:noProof/>
        </w:rPr>
      </w:pPr>
      <w:r w:rsidRPr="00726D52">
        <w:rPr>
          <w:noProof/>
        </w:rPr>
        <w:t>Specific objective</w:t>
      </w:r>
    </w:p>
    <w:p w14:paraId="17E22394" w14:textId="6AE518A4" w:rsidR="00E675EA" w:rsidRPr="00726D52" w:rsidRDefault="0034058B" w:rsidP="0034058B">
      <w:pPr>
        <w:pStyle w:val="Heading3"/>
        <w:numPr>
          <w:ilvl w:val="0"/>
          <w:numId w:val="0"/>
        </w:numPr>
        <w:rPr>
          <w:b/>
          <w:bCs/>
          <w:noProof/>
        </w:rPr>
      </w:pPr>
      <w:r w:rsidRPr="00726D52">
        <w:rPr>
          <w:b/>
          <w:bCs/>
          <w:noProof/>
        </w:rPr>
        <w:t>4.2.1</w:t>
      </w:r>
      <w:r w:rsidR="00E675EA" w:rsidRPr="00726D52">
        <w:rPr>
          <w:b/>
          <w:noProof/>
        </w:rPr>
        <w:t xml:space="preserve"> Reinforce Europol’s role as an information hub</w:t>
      </w:r>
      <w:r w:rsidR="00927057" w:rsidRPr="00726D52">
        <w:rPr>
          <w:b/>
          <w:noProof/>
        </w:rPr>
        <w:t xml:space="preserve"> for law enforcement</w:t>
      </w:r>
    </w:p>
    <w:p w14:paraId="72BBEDC4" w14:textId="77777777" w:rsidR="002F31CE" w:rsidRPr="00726D52" w:rsidRDefault="00E675EA" w:rsidP="00E675EA">
      <w:pPr>
        <w:rPr>
          <w:rFonts w:eastAsia="Times New Roman"/>
          <w:noProof/>
        </w:rPr>
      </w:pPr>
      <w:r w:rsidRPr="00726D52">
        <w:rPr>
          <w:rFonts w:eastAsia="Times New Roman"/>
          <w:noProof/>
        </w:rPr>
        <w:t xml:space="preserve">This objective aims to strengthen Europol’s capacity to collect, process, analyse and share high-quality criminal information across borders. </w:t>
      </w:r>
      <w:r w:rsidR="002F31CE" w:rsidRPr="00726D52">
        <w:rPr>
          <w:rFonts w:eastAsia="Times New Roman"/>
          <w:noProof/>
        </w:rPr>
        <w:t xml:space="preserve">It focuses on: </w:t>
      </w:r>
    </w:p>
    <w:p w14:paraId="6EF5576D" w14:textId="0B1B90DD" w:rsidR="002F31CE" w:rsidRPr="00726D52" w:rsidRDefault="002F31CE" w:rsidP="002F31CE">
      <w:pPr>
        <w:pStyle w:val="ListParagraph"/>
        <w:numPr>
          <w:ilvl w:val="0"/>
          <w:numId w:val="92"/>
        </w:numPr>
        <w:rPr>
          <w:rFonts w:eastAsia="Times New Roman"/>
          <w:noProof/>
        </w:rPr>
      </w:pPr>
      <w:r w:rsidRPr="00726D52">
        <w:rPr>
          <w:rFonts w:eastAsia="Times New Roman"/>
          <w:noProof/>
        </w:rPr>
        <w:t xml:space="preserve">improving the </w:t>
      </w:r>
      <w:r w:rsidRPr="00726D52">
        <w:rPr>
          <w:rFonts w:eastAsia="Times New Roman"/>
          <w:b/>
          <w:bCs/>
          <w:noProof/>
        </w:rPr>
        <w:t>timeliness and completeness of information exchange</w:t>
      </w:r>
      <w:r w:rsidRPr="00726D52">
        <w:rPr>
          <w:rFonts w:eastAsia="Times New Roman"/>
          <w:noProof/>
        </w:rPr>
        <w:t>, including reducing delays and gaps in cross-border data sharing;</w:t>
      </w:r>
    </w:p>
    <w:p w14:paraId="66E4576D" w14:textId="77777777" w:rsidR="002F31CE" w:rsidRPr="00726D52" w:rsidRDefault="002F31CE" w:rsidP="002F31CE">
      <w:pPr>
        <w:pStyle w:val="ListParagraph"/>
        <w:numPr>
          <w:ilvl w:val="0"/>
          <w:numId w:val="92"/>
        </w:numPr>
        <w:rPr>
          <w:rFonts w:eastAsia="Times New Roman"/>
          <w:noProof/>
        </w:rPr>
      </w:pPr>
      <w:r w:rsidRPr="00726D52">
        <w:rPr>
          <w:rFonts w:eastAsia="Times New Roman"/>
          <w:noProof/>
        </w:rPr>
        <w:t xml:space="preserve">ensuring that </w:t>
      </w:r>
      <w:r w:rsidRPr="00726D52">
        <w:rPr>
          <w:rFonts w:eastAsia="Times New Roman"/>
          <w:b/>
          <w:bCs/>
          <w:noProof/>
        </w:rPr>
        <w:t>relevant information is available and accessible</w:t>
      </w:r>
      <w:r w:rsidRPr="00726D52">
        <w:rPr>
          <w:rFonts w:eastAsia="Times New Roman"/>
          <w:noProof/>
        </w:rPr>
        <w:t xml:space="preserve"> across Member States and relevant EU bodies and agencies in a consistent and interoperable manner;</w:t>
      </w:r>
    </w:p>
    <w:p w14:paraId="7A83DE75" w14:textId="3E967FE9" w:rsidR="002F31CE" w:rsidRPr="00726D52" w:rsidRDefault="002F31CE" w:rsidP="002F31CE">
      <w:pPr>
        <w:pStyle w:val="ListParagraph"/>
        <w:numPr>
          <w:ilvl w:val="0"/>
          <w:numId w:val="92"/>
        </w:numPr>
        <w:rPr>
          <w:rFonts w:eastAsia="Times New Roman"/>
          <w:noProof/>
        </w:rPr>
      </w:pPr>
      <w:r w:rsidRPr="00726D52">
        <w:rPr>
          <w:rFonts w:eastAsia="Times New Roman"/>
          <w:noProof/>
        </w:rPr>
        <w:lastRenderedPageBreak/>
        <w:t xml:space="preserve">improving the </w:t>
      </w:r>
      <w:r w:rsidRPr="00726D52">
        <w:rPr>
          <w:rFonts w:eastAsia="Times New Roman"/>
          <w:b/>
          <w:bCs/>
          <w:noProof/>
        </w:rPr>
        <w:t>usability of information for operational purposes</w:t>
      </w:r>
      <w:r w:rsidRPr="00726D52">
        <w:rPr>
          <w:rFonts w:eastAsia="Times New Roman"/>
          <w:noProof/>
        </w:rPr>
        <w:t>, including its structuring, analysis and sharing in an actionable format</w:t>
      </w:r>
      <w:r w:rsidR="00E675EA" w:rsidRPr="00726D52">
        <w:rPr>
          <w:rFonts w:eastAsia="Times New Roman"/>
          <w:noProof/>
        </w:rPr>
        <w:t xml:space="preserve">. </w:t>
      </w:r>
    </w:p>
    <w:p w14:paraId="597BA281" w14:textId="153EBD8C" w:rsidR="00E675EA" w:rsidRPr="00726D52" w:rsidRDefault="00B50C85" w:rsidP="002F31CE">
      <w:pPr>
        <w:rPr>
          <w:rFonts w:eastAsia="Times New Roman"/>
          <w:noProof/>
        </w:rPr>
      </w:pPr>
      <w:r w:rsidRPr="00726D52">
        <w:rPr>
          <w:rFonts w:eastAsia="Times New Roman"/>
          <w:noProof/>
        </w:rPr>
        <w:t xml:space="preserve">By addressing fragmentation and the under-utilisation of existing tools, this objective will enable the </w:t>
      </w:r>
      <w:r w:rsidRPr="00726D52">
        <w:rPr>
          <w:rFonts w:eastAsia="Times New Roman"/>
          <w:b/>
          <w:bCs/>
          <w:noProof/>
        </w:rPr>
        <w:t>systematic identification of cross-border links between cases, individuals and criminal networks, including emerging threats, and support more effective operational action</w:t>
      </w:r>
      <w:r w:rsidRPr="00726D52">
        <w:rPr>
          <w:rFonts w:eastAsia="Times New Roman"/>
          <w:noProof/>
        </w:rPr>
        <w:t>, while maintaining robust data protection and fundamental rights safeguards.</w:t>
      </w:r>
    </w:p>
    <w:p w14:paraId="54BE0859" w14:textId="139DF482" w:rsidR="006E1D74" w:rsidRPr="00726D52" w:rsidRDefault="00A55537" w:rsidP="00A55537">
      <w:pPr>
        <w:pStyle w:val="Heading3"/>
        <w:numPr>
          <w:ilvl w:val="0"/>
          <w:numId w:val="0"/>
        </w:numPr>
        <w:spacing w:after="120"/>
        <w:rPr>
          <w:b/>
          <w:bCs/>
          <w:noProof/>
        </w:rPr>
      </w:pPr>
      <w:r w:rsidRPr="00726D52">
        <w:rPr>
          <w:b/>
          <w:bCs/>
          <w:noProof/>
        </w:rPr>
        <w:t>4.2.</w:t>
      </w:r>
      <w:r w:rsidR="0034058B" w:rsidRPr="00726D52">
        <w:rPr>
          <w:b/>
          <w:bCs/>
          <w:noProof/>
        </w:rPr>
        <w:t>2</w:t>
      </w:r>
      <w:r w:rsidRPr="00726D52">
        <w:rPr>
          <w:b/>
          <w:bCs/>
          <w:noProof/>
        </w:rPr>
        <w:t xml:space="preserve">. </w:t>
      </w:r>
      <w:r w:rsidR="006E1D74" w:rsidRPr="00726D52">
        <w:rPr>
          <w:b/>
          <w:bCs/>
          <w:noProof/>
        </w:rPr>
        <w:t>Strengthening Europol’s capacity to support law enforcement operational action</w:t>
      </w:r>
    </w:p>
    <w:p w14:paraId="513C7978" w14:textId="22FA602E" w:rsidR="00B50C85" w:rsidRPr="00726D52" w:rsidRDefault="00B50C85" w:rsidP="008876AE">
      <w:pPr>
        <w:spacing w:after="120"/>
        <w:rPr>
          <w:rFonts w:eastAsia="Times New Roman"/>
          <w:noProof/>
        </w:rPr>
      </w:pPr>
      <w:r w:rsidRPr="00726D52">
        <w:rPr>
          <w:rFonts w:eastAsia="Times New Roman"/>
          <w:noProof/>
        </w:rPr>
        <w:t xml:space="preserve">This objective aims to ensure that Europol can </w:t>
      </w:r>
      <w:r w:rsidRPr="00726D52">
        <w:rPr>
          <w:rFonts w:eastAsia="Times New Roman"/>
          <w:b/>
          <w:bCs/>
          <w:noProof/>
        </w:rPr>
        <w:t>provide timely, coordinated and operationally relevant support to cross-border investigations into serious and organised crime and terrorism</w:t>
      </w:r>
      <w:r w:rsidR="008876AE" w:rsidRPr="00726D52">
        <w:rPr>
          <w:rFonts w:eastAsia="Times New Roman"/>
          <w:noProof/>
        </w:rPr>
        <w:t>.</w:t>
      </w:r>
      <w:r w:rsidRPr="00726D52">
        <w:rPr>
          <w:rFonts w:eastAsia="Times New Roman"/>
          <w:noProof/>
        </w:rPr>
        <w:t xml:space="preserve"> It focuses on:</w:t>
      </w:r>
    </w:p>
    <w:p w14:paraId="21E71836" w14:textId="77777777" w:rsidR="00B50C85" w:rsidRPr="00726D52" w:rsidRDefault="00B50C85" w:rsidP="00B50C85">
      <w:pPr>
        <w:pStyle w:val="ListParagraph"/>
        <w:numPr>
          <w:ilvl w:val="0"/>
          <w:numId w:val="93"/>
        </w:numPr>
        <w:spacing w:after="120"/>
        <w:rPr>
          <w:rFonts w:eastAsia="Times New Roman"/>
          <w:noProof/>
        </w:rPr>
      </w:pPr>
      <w:r w:rsidRPr="00726D52">
        <w:rPr>
          <w:rFonts w:eastAsia="Times New Roman"/>
          <w:noProof/>
        </w:rPr>
        <w:t xml:space="preserve">enabling </w:t>
      </w:r>
      <w:r w:rsidRPr="00726D52">
        <w:rPr>
          <w:rFonts w:eastAsia="Times New Roman"/>
          <w:b/>
          <w:bCs/>
          <w:noProof/>
        </w:rPr>
        <w:t xml:space="preserve">earlier and more consistent involvement of Europol </w:t>
      </w:r>
      <w:r w:rsidRPr="00726D52">
        <w:rPr>
          <w:rFonts w:eastAsia="Times New Roman"/>
          <w:noProof/>
        </w:rPr>
        <w:t>in cross-border investigations;</w:t>
      </w:r>
    </w:p>
    <w:p w14:paraId="5AC5DAA4" w14:textId="3C7782F0" w:rsidR="00B50C85" w:rsidRPr="00726D52" w:rsidRDefault="00B50C85" w:rsidP="00B50C85">
      <w:pPr>
        <w:pStyle w:val="ListParagraph"/>
        <w:numPr>
          <w:ilvl w:val="0"/>
          <w:numId w:val="93"/>
        </w:numPr>
        <w:spacing w:after="120"/>
        <w:rPr>
          <w:rFonts w:eastAsia="Times New Roman"/>
          <w:noProof/>
        </w:rPr>
      </w:pPr>
      <w:r w:rsidRPr="00726D52">
        <w:rPr>
          <w:rFonts w:eastAsia="Times New Roman"/>
          <w:noProof/>
        </w:rPr>
        <w:t xml:space="preserve">improving the </w:t>
      </w:r>
      <w:r w:rsidRPr="00726D52">
        <w:rPr>
          <w:rFonts w:eastAsia="Times New Roman"/>
          <w:b/>
          <w:bCs/>
          <w:noProof/>
        </w:rPr>
        <w:t>translation of criminal intelligence into concrete operational results</w:t>
      </w:r>
      <w:r w:rsidRPr="00726D52">
        <w:rPr>
          <w:rFonts w:eastAsia="Times New Roman"/>
          <w:noProof/>
        </w:rPr>
        <w:t>, including support to coordinated measures;</w:t>
      </w:r>
    </w:p>
    <w:p w14:paraId="6957B033" w14:textId="5DAE24B5" w:rsidR="00B50C85" w:rsidRPr="00726D52" w:rsidRDefault="00B50C85" w:rsidP="00B50C85">
      <w:pPr>
        <w:pStyle w:val="ListParagraph"/>
        <w:numPr>
          <w:ilvl w:val="0"/>
          <w:numId w:val="93"/>
        </w:numPr>
        <w:spacing w:after="120"/>
        <w:rPr>
          <w:rFonts w:eastAsia="Times New Roman"/>
          <w:noProof/>
        </w:rPr>
      </w:pPr>
      <w:r w:rsidRPr="00726D52">
        <w:rPr>
          <w:rFonts w:eastAsia="Times New Roman"/>
          <w:noProof/>
        </w:rPr>
        <w:t xml:space="preserve">strengthening </w:t>
      </w:r>
      <w:r w:rsidRPr="00726D52">
        <w:rPr>
          <w:rFonts w:eastAsia="Times New Roman"/>
          <w:b/>
          <w:bCs/>
          <w:noProof/>
        </w:rPr>
        <w:t>operational coordination and cooperation with Member States and Union bodies and agencies, in particular the EPPO</w:t>
      </w:r>
      <w:r w:rsidRPr="00726D52">
        <w:rPr>
          <w:rFonts w:eastAsia="Times New Roman"/>
          <w:noProof/>
        </w:rPr>
        <w:t>, including through a more continuous use of EU-level capabilities.</w:t>
      </w:r>
    </w:p>
    <w:p w14:paraId="0A3A04EC" w14:textId="53F4C81C" w:rsidR="004F3204" w:rsidRPr="00726D52" w:rsidRDefault="00B50C85" w:rsidP="00B50C85">
      <w:pPr>
        <w:rPr>
          <w:noProof/>
        </w:rPr>
      </w:pPr>
      <w:r w:rsidRPr="00726D52">
        <w:rPr>
          <w:rFonts w:eastAsia="Times New Roman"/>
          <w:noProof/>
        </w:rPr>
        <w:t>This will support faster, more coherent and effective investigations, and ensure a more continuous EU-level support across the operational lifecycle, from intelligence to investigation and prosecution.</w:t>
      </w:r>
    </w:p>
    <w:p w14:paraId="1DA05BAC" w14:textId="77777777" w:rsidR="00B275F2" w:rsidRPr="00726D52" w:rsidRDefault="00B275F2" w:rsidP="723760F3">
      <w:pPr>
        <w:rPr>
          <w:rFonts w:eastAsia="Times New Roman"/>
          <w:noProof/>
        </w:rPr>
      </w:pPr>
      <w:bookmarkStart w:id="5" w:name="_Hlk221498479"/>
    </w:p>
    <w:p w14:paraId="3CC348E9" w14:textId="77777777" w:rsidR="0097258D" w:rsidRPr="00726D52" w:rsidRDefault="0097258D" w:rsidP="0097258D">
      <w:pPr>
        <w:keepNext/>
        <w:rPr>
          <w:noProof/>
        </w:rPr>
      </w:pPr>
      <w:r w:rsidRPr="00726D52">
        <w:rPr>
          <w:rFonts w:eastAsia="Times New Roman"/>
          <w:noProof/>
          <w:color w:val="FF0000"/>
          <w:lang w:eastAsia="en-GB"/>
        </w:rPr>
        <w:drawing>
          <wp:inline distT="0" distB="0" distL="0" distR="0" wp14:anchorId="40617F83" wp14:editId="548A35DA">
            <wp:extent cx="4810539" cy="3073400"/>
            <wp:effectExtent l="0" t="0" r="9525" b="0"/>
            <wp:docPr id="1427357951" name="Picture 1"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57951" name="Picture 1" descr="A diagram of a problem&#10;&#10;AI-generated content may be incorrect."/>
                    <pic:cNvPicPr/>
                  </pic:nvPicPr>
                  <pic:blipFill>
                    <a:blip r:embed="rId18"/>
                    <a:stretch>
                      <a:fillRect/>
                    </a:stretch>
                  </pic:blipFill>
                  <pic:spPr>
                    <a:xfrm>
                      <a:off x="0" y="0"/>
                      <a:ext cx="4833123" cy="3087829"/>
                    </a:xfrm>
                    <a:prstGeom prst="rect">
                      <a:avLst/>
                    </a:prstGeom>
                  </pic:spPr>
                </pic:pic>
              </a:graphicData>
            </a:graphic>
          </wp:inline>
        </w:drawing>
      </w:r>
    </w:p>
    <w:p w14:paraId="7BD2817D" w14:textId="56214342" w:rsidR="002E2EBB" w:rsidRPr="00726D52" w:rsidRDefault="0097258D" w:rsidP="006C2EF1">
      <w:pPr>
        <w:pStyle w:val="Caption"/>
        <w:rPr>
          <w:noProof/>
        </w:rPr>
      </w:pPr>
      <w:r w:rsidRPr="00726D52">
        <w:rPr>
          <w:noProof/>
        </w:rPr>
        <w:t xml:space="preserve">Figure </w:t>
      </w:r>
      <w:r w:rsidRPr="00726D52">
        <w:rPr>
          <w:noProof/>
        </w:rPr>
        <w:fldChar w:fldCharType="begin"/>
      </w:r>
      <w:r w:rsidRPr="00726D52">
        <w:rPr>
          <w:noProof/>
        </w:rPr>
        <w:instrText xml:space="preserve"> SEQ Figure \* ARABIC </w:instrText>
      </w:r>
      <w:r w:rsidRPr="00726D52">
        <w:rPr>
          <w:noProof/>
        </w:rPr>
        <w:fldChar w:fldCharType="separate"/>
      </w:r>
      <w:r w:rsidRPr="00726D52">
        <w:rPr>
          <w:noProof/>
        </w:rPr>
        <w:t>1</w:t>
      </w:r>
      <w:r w:rsidRPr="00726D52">
        <w:rPr>
          <w:noProof/>
        </w:rPr>
        <w:fldChar w:fldCharType="end"/>
      </w:r>
      <w:r w:rsidRPr="00726D52">
        <w:rPr>
          <w:noProof/>
        </w:rPr>
        <w:t>: Intervention Logic</w:t>
      </w:r>
      <w:bookmarkEnd w:id="5"/>
    </w:p>
    <w:p w14:paraId="39FC63C2" w14:textId="05C84110" w:rsidR="00555968" w:rsidRPr="00726D52" w:rsidRDefault="600FD708" w:rsidP="00555968">
      <w:pPr>
        <w:pStyle w:val="Heading1"/>
        <w:rPr>
          <w:noProof/>
        </w:rPr>
      </w:pPr>
      <w:bookmarkStart w:id="6" w:name="_Toc224614033"/>
      <w:bookmarkStart w:id="7" w:name="_Toc224614034"/>
      <w:bookmarkEnd w:id="6"/>
      <w:r w:rsidRPr="00726D52">
        <w:rPr>
          <w:noProof/>
        </w:rPr>
        <w:lastRenderedPageBreak/>
        <w:t>What are the available policy options?</w:t>
      </w:r>
      <w:bookmarkEnd w:id="7"/>
    </w:p>
    <w:p w14:paraId="324B1E3F" w14:textId="2CE72CE8" w:rsidR="006B087E" w:rsidRPr="00726D52" w:rsidRDefault="600FD708" w:rsidP="00555968">
      <w:pPr>
        <w:pStyle w:val="Heading2"/>
        <w:rPr>
          <w:noProof/>
        </w:rPr>
      </w:pPr>
      <w:r w:rsidRPr="00726D52">
        <w:rPr>
          <w:noProof/>
        </w:rPr>
        <w:t>What is the baseline from which options are assessed?</w:t>
      </w:r>
    </w:p>
    <w:p w14:paraId="36465D3B" w14:textId="2D7F517B" w:rsidR="007B7865" w:rsidRPr="00726D52" w:rsidRDefault="007B7865" w:rsidP="007B7865">
      <w:pPr>
        <w:spacing w:after="120"/>
        <w:rPr>
          <w:noProof/>
        </w:rPr>
      </w:pPr>
      <w:r w:rsidRPr="00726D52">
        <w:rPr>
          <w:noProof/>
        </w:rPr>
        <w:t>The baseline scenario reflects the continuation of the current legal, governance, and operational framework established by Regulation (EU) 2016/794, as amended.</w:t>
      </w:r>
    </w:p>
    <w:p w14:paraId="44735F73" w14:textId="1D977EA3" w:rsidR="007B7865" w:rsidRPr="00726D52" w:rsidRDefault="007B7865" w:rsidP="007B7865">
      <w:pPr>
        <w:spacing w:after="120"/>
        <w:rPr>
          <w:noProof/>
        </w:rPr>
      </w:pPr>
      <w:r w:rsidRPr="00726D52">
        <w:rPr>
          <w:noProof/>
        </w:rPr>
        <w:t>Under this scenario, Europol would continue to support cross-border cooperation, provide criminal intelligence analysis, and contribute to coordinated operational responses, playing a key role in enabling collective action against serious and organised crime and terrorism</w:t>
      </w:r>
      <w:r w:rsidR="006312BF" w:rsidRPr="00726D52">
        <w:rPr>
          <w:rStyle w:val="FootnoteReference"/>
          <w:noProof/>
        </w:rPr>
        <w:footnoteReference w:id="90"/>
      </w:r>
      <w:r w:rsidRPr="00726D52">
        <w:rPr>
          <w:noProof/>
        </w:rPr>
        <w:t>.</w:t>
      </w:r>
    </w:p>
    <w:p w14:paraId="19218F67" w14:textId="05354B4F" w:rsidR="007B7865" w:rsidRPr="00726D52" w:rsidRDefault="007B7865" w:rsidP="007B7865">
      <w:pPr>
        <w:spacing w:after="120"/>
        <w:rPr>
          <w:noProof/>
        </w:rPr>
      </w:pPr>
      <w:r w:rsidRPr="00726D52">
        <w:rPr>
          <w:noProof/>
        </w:rPr>
        <w:t>Over the period 2027-2037, the operational environment is expected to transform fundamentally, with criminal networks leveraging advanced technologies, scaling their activities across borders with unprecedented speed, and producing volumes of data that challenge the ability of authorities to detect, analyse, and respond effectively</w:t>
      </w:r>
      <w:r w:rsidR="001D7450" w:rsidRPr="00726D52">
        <w:rPr>
          <w:rStyle w:val="FootnoteReference"/>
          <w:noProof/>
        </w:rPr>
        <w:footnoteReference w:id="91"/>
      </w:r>
      <w:r w:rsidRPr="00726D52">
        <w:rPr>
          <w:noProof/>
        </w:rPr>
        <w:t>. Operational cooperation at Union level will become indispensable, requiring faster, deeper, and more continuous coordination to match the speed, complexity, and reach of evolving threats.</w:t>
      </w:r>
    </w:p>
    <w:p w14:paraId="378726FA" w14:textId="777BAB06" w:rsidR="007B7865" w:rsidRPr="00726D52" w:rsidRDefault="007B7865" w:rsidP="007B7865">
      <w:pPr>
        <w:spacing w:after="120"/>
        <w:rPr>
          <w:noProof/>
        </w:rPr>
      </w:pPr>
      <w:r w:rsidRPr="00726D52">
        <w:rPr>
          <w:noProof/>
        </w:rPr>
        <w:t xml:space="preserve">In this evolving environment, Europol would remain a central pillar of the Union’s </w:t>
      </w:r>
      <w:r w:rsidR="005010E7" w:rsidRPr="00726D52">
        <w:rPr>
          <w:noProof/>
        </w:rPr>
        <w:t xml:space="preserve">internal </w:t>
      </w:r>
      <w:r w:rsidRPr="00726D52">
        <w:rPr>
          <w:noProof/>
        </w:rPr>
        <w:t xml:space="preserve">security architecture, but the fact that its operational model was conceived for a fundamentally different era would become increasingly evident. As threats grow faster, more data-driven, and more interconnected, Europol’s ability to keep pace would be progressively constrained by the limits of its current legal, technical, and organisational framework. While Europol would continue to adapt incrementally, its capacity to </w:t>
      </w:r>
      <w:r w:rsidRPr="00726D52">
        <w:rPr>
          <w:b/>
          <w:bCs/>
          <w:noProof/>
        </w:rPr>
        <w:t>operate at the scale and tempo required</w:t>
      </w:r>
      <w:r w:rsidRPr="00726D52">
        <w:rPr>
          <w:noProof/>
        </w:rPr>
        <w:t xml:space="preserve"> by the evolving threat environment would remain shaped by the limits of its existing legal, technical, and organisational framework.</w:t>
      </w:r>
    </w:p>
    <w:p w14:paraId="56EF2660" w14:textId="1B26A68C" w:rsidR="007B7865" w:rsidRPr="00726D52" w:rsidRDefault="007B7865" w:rsidP="007B7865">
      <w:pPr>
        <w:spacing w:after="120"/>
        <w:rPr>
          <w:noProof/>
        </w:rPr>
      </w:pPr>
      <w:r w:rsidRPr="00726D52">
        <w:rPr>
          <w:noProof/>
        </w:rPr>
        <w:t xml:space="preserve">In terms of </w:t>
      </w:r>
      <w:r w:rsidRPr="00726D52">
        <w:rPr>
          <w:b/>
          <w:bCs/>
          <w:noProof/>
        </w:rPr>
        <w:t xml:space="preserve">information and </w:t>
      </w:r>
      <w:r w:rsidR="00191734" w:rsidRPr="00726D52">
        <w:rPr>
          <w:b/>
          <w:bCs/>
          <w:noProof/>
        </w:rPr>
        <w:t xml:space="preserve">criminal </w:t>
      </w:r>
      <w:r w:rsidRPr="00726D52">
        <w:rPr>
          <w:b/>
          <w:bCs/>
          <w:noProof/>
        </w:rPr>
        <w:t>intelligence</w:t>
      </w:r>
      <w:r w:rsidRPr="00726D52">
        <w:rPr>
          <w:noProof/>
        </w:rPr>
        <w:t xml:space="preserve">, Europol would remain the Union’s central hub for receiving and analysing criminal data, but the scale and complexity of incoming information would grow far faster than </w:t>
      </w:r>
      <w:r w:rsidR="00191734" w:rsidRPr="00726D52">
        <w:rPr>
          <w:noProof/>
        </w:rPr>
        <w:t>Europol’s</w:t>
      </w:r>
      <w:r w:rsidRPr="00726D52">
        <w:rPr>
          <w:noProof/>
        </w:rPr>
        <w:t xml:space="preserve"> capacity to fully exploit it. Despite ongoing initiatives to improve connectivity</w:t>
      </w:r>
      <w:r w:rsidRPr="00726D52">
        <w:rPr>
          <w:rStyle w:val="FootnoteReference"/>
          <w:noProof/>
        </w:rPr>
        <w:footnoteReference w:id="92"/>
      </w:r>
      <w:r w:rsidRPr="00726D52">
        <w:rPr>
          <w:noProof/>
        </w:rPr>
        <w:t xml:space="preserve"> and expand data exchange</w:t>
      </w:r>
      <w:r w:rsidRPr="00726D52">
        <w:rPr>
          <w:rStyle w:val="FootnoteReference"/>
          <w:noProof/>
        </w:rPr>
        <w:footnoteReference w:id="93"/>
      </w:r>
      <w:r w:rsidRPr="00726D52">
        <w:rPr>
          <w:noProof/>
        </w:rPr>
        <w:t xml:space="preserve">, information flows would remain uneven and incomplete, reflecting persistent disparities in national capabilities and system integration. At the same time, the exponential growth of digital evidence and data-intensive investigations would place mounting pressure on Europol’s infrastructure and analytical environment. Increasingly, resources would be absorbed by maintaining and stabilising existing systems, limiting the Agency’s ability to scale processing capacity and deploy advanced analytical tools. Without structural change, Europol would face growing difficulty in transforming expanding data volumes into timely </w:t>
      </w:r>
      <w:r w:rsidR="00B5112F" w:rsidRPr="00726D52">
        <w:rPr>
          <w:noProof/>
        </w:rPr>
        <w:lastRenderedPageBreak/>
        <w:t xml:space="preserve">and </w:t>
      </w:r>
      <w:r w:rsidRPr="00726D52">
        <w:rPr>
          <w:noProof/>
        </w:rPr>
        <w:t>operational</w:t>
      </w:r>
      <w:r w:rsidR="00B5112F" w:rsidRPr="00726D52">
        <w:rPr>
          <w:noProof/>
        </w:rPr>
        <w:t xml:space="preserve"> criminal</w:t>
      </w:r>
      <w:r w:rsidRPr="00726D52">
        <w:rPr>
          <w:noProof/>
        </w:rPr>
        <w:t xml:space="preserve"> intelligence, weakening the Union’s ability to detect and disrupt cross-border threats.</w:t>
      </w:r>
    </w:p>
    <w:p w14:paraId="2FA01DBF" w14:textId="1D696115" w:rsidR="007B7865" w:rsidRPr="00726D52" w:rsidRDefault="007B7865" w:rsidP="007B7865">
      <w:pPr>
        <w:spacing w:after="120"/>
        <w:rPr>
          <w:noProof/>
        </w:rPr>
      </w:pPr>
      <w:r w:rsidRPr="00726D52">
        <w:rPr>
          <w:noProof/>
        </w:rPr>
        <w:t xml:space="preserve">Europol’s </w:t>
      </w:r>
      <w:r w:rsidRPr="00726D52">
        <w:rPr>
          <w:b/>
          <w:noProof/>
        </w:rPr>
        <w:t>operational support</w:t>
      </w:r>
      <w:r w:rsidRPr="00726D52">
        <w:rPr>
          <w:noProof/>
        </w:rPr>
        <w:t xml:space="preserve"> would also continue to expand within its existing mandate. Europol would continue to support investigations and coordinated operational activities through analytical contributions, technical expertise, and coordination functions, including support to joint investigation teams, operational task forces, and cooperation with Union </w:t>
      </w:r>
      <w:r w:rsidR="00B45CC6" w:rsidRPr="00726D52">
        <w:rPr>
          <w:noProof/>
        </w:rPr>
        <w:t>bo</w:t>
      </w:r>
      <w:r w:rsidR="00AF77A1" w:rsidRPr="00726D52">
        <w:rPr>
          <w:noProof/>
        </w:rPr>
        <w:t xml:space="preserve">dies and </w:t>
      </w:r>
      <w:r w:rsidRPr="00726D52">
        <w:rPr>
          <w:noProof/>
        </w:rPr>
        <w:t xml:space="preserve">agencies. </w:t>
      </w:r>
      <w:r w:rsidR="2B5F785B" w:rsidRPr="00726D52">
        <w:rPr>
          <w:rFonts w:eastAsia="Times New Roman"/>
          <w:noProof/>
        </w:rPr>
        <w:t>Europol would also continue to play an important role in facilitating cooperation with international partners, including through</w:t>
      </w:r>
      <w:r w:rsidR="00933BE4" w:rsidRPr="00726D52">
        <w:rPr>
          <w:rFonts w:eastAsia="Times New Roman"/>
          <w:noProof/>
        </w:rPr>
        <w:t xml:space="preserve"> closer partnerships with </w:t>
      </w:r>
      <w:r w:rsidR="00113E08" w:rsidRPr="00726D52">
        <w:rPr>
          <w:rFonts w:eastAsia="Times New Roman"/>
          <w:noProof/>
        </w:rPr>
        <w:t>specific</w:t>
      </w:r>
      <w:r w:rsidR="00933BE4" w:rsidRPr="00726D52">
        <w:rPr>
          <w:rFonts w:eastAsia="Times New Roman"/>
          <w:noProof/>
        </w:rPr>
        <w:t xml:space="preserve"> countries</w:t>
      </w:r>
      <w:r w:rsidR="2B5F785B" w:rsidRPr="00726D52">
        <w:rPr>
          <w:rFonts w:eastAsia="Times New Roman"/>
          <w:noProof/>
        </w:rPr>
        <w:t xml:space="preserve">. </w:t>
      </w:r>
      <w:r w:rsidRPr="00726D52">
        <w:rPr>
          <w:noProof/>
        </w:rPr>
        <w:t xml:space="preserve">However, as operational demands increase in scale and complexity, Europol’s ability to provide timely and comprehensive support across all relevant investigations would remain </w:t>
      </w:r>
      <w:r w:rsidR="000B4BDC" w:rsidRPr="00726D52">
        <w:rPr>
          <w:noProof/>
        </w:rPr>
        <w:t xml:space="preserve">limited </w:t>
      </w:r>
      <w:r w:rsidRPr="00726D52">
        <w:rPr>
          <w:noProof/>
        </w:rPr>
        <w:t xml:space="preserve">by structural factors, including legal and procedural constraints, uneven Member State participation, and limits in the scalability of its analytical and coordination functions. As a result, Europol’s operational engagement would remain selective, contributing to uneven levels of operational support across the Union. At the same time, as the mandates and operational activities of other Union </w:t>
      </w:r>
      <w:r w:rsidR="00AF77A1" w:rsidRPr="00726D52">
        <w:rPr>
          <w:noProof/>
        </w:rPr>
        <w:t>actors</w:t>
      </w:r>
      <w:r w:rsidR="008B5C1F">
        <w:rPr>
          <w:noProof/>
        </w:rPr>
        <w:t>,</w:t>
      </w:r>
      <w:r w:rsidRPr="00726D52">
        <w:rPr>
          <w:noProof/>
        </w:rPr>
        <w:t xml:space="preserve"> notably </w:t>
      </w:r>
      <w:r w:rsidR="00AF77A1" w:rsidRPr="00726D52">
        <w:rPr>
          <w:noProof/>
        </w:rPr>
        <w:t>the EPPO</w:t>
      </w:r>
      <w:r w:rsidR="008B5C1F">
        <w:rPr>
          <w:noProof/>
        </w:rPr>
        <w:t>,</w:t>
      </w:r>
      <w:r w:rsidRPr="00726D52">
        <w:rPr>
          <w:noProof/>
        </w:rPr>
        <w:t xml:space="preserve"> </w:t>
      </w:r>
      <w:r w:rsidR="00687899" w:rsidRPr="00726D52">
        <w:rPr>
          <w:noProof/>
        </w:rPr>
        <w:t xml:space="preserve">expand, </w:t>
      </w:r>
      <w:r w:rsidRPr="00726D52">
        <w:rPr>
          <w:noProof/>
        </w:rPr>
        <w:t xml:space="preserve">Europol would be </w:t>
      </w:r>
      <w:r w:rsidR="00687899" w:rsidRPr="00726D52">
        <w:rPr>
          <w:noProof/>
        </w:rPr>
        <w:t xml:space="preserve">increasingly </w:t>
      </w:r>
      <w:r w:rsidRPr="00726D52">
        <w:rPr>
          <w:noProof/>
        </w:rPr>
        <w:t xml:space="preserve">expected to provide analytical and coordination support, </w:t>
      </w:r>
      <w:r w:rsidR="00687899" w:rsidRPr="00726D52">
        <w:rPr>
          <w:noProof/>
        </w:rPr>
        <w:t xml:space="preserve">with </w:t>
      </w:r>
      <w:r w:rsidRPr="00726D52">
        <w:rPr>
          <w:noProof/>
        </w:rPr>
        <w:t>cooperation continu</w:t>
      </w:r>
      <w:r w:rsidR="00687899" w:rsidRPr="00726D52">
        <w:rPr>
          <w:noProof/>
        </w:rPr>
        <w:t>ing</w:t>
      </w:r>
      <w:r w:rsidRPr="00726D52">
        <w:rPr>
          <w:noProof/>
        </w:rPr>
        <w:t xml:space="preserve"> to deepen</w:t>
      </w:r>
      <w:r w:rsidR="00751FFE" w:rsidRPr="00726D52">
        <w:rPr>
          <w:noProof/>
        </w:rPr>
        <w:t xml:space="preserve">, while </w:t>
      </w:r>
      <w:r w:rsidRPr="00726D52">
        <w:rPr>
          <w:noProof/>
        </w:rPr>
        <w:t>remain</w:t>
      </w:r>
      <w:r w:rsidR="00751FFE" w:rsidRPr="00726D52">
        <w:rPr>
          <w:noProof/>
        </w:rPr>
        <w:t>ing</w:t>
      </w:r>
      <w:r w:rsidRPr="00726D52">
        <w:rPr>
          <w:noProof/>
        </w:rPr>
        <w:t xml:space="preserve"> </w:t>
      </w:r>
      <w:r w:rsidR="000B4BDC" w:rsidRPr="00726D52">
        <w:rPr>
          <w:noProof/>
        </w:rPr>
        <w:t xml:space="preserve">hampered </w:t>
      </w:r>
      <w:r w:rsidRPr="00726D52">
        <w:rPr>
          <w:noProof/>
        </w:rPr>
        <w:t>by fragmented mandates.</w:t>
      </w:r>
    </w:p>
    <w:p w14:paraId="4F69F5A5" w14:textId="3D60EDCA" w:rsidR="00D961B3" w:rsidRPr="00726D52" w:rsidRDefault="007B7865" w:rsidP="00336D44">
      <w:pPr>
        <w:rPr>
          <w:noProof/>
        </w:rPr>
      </w:pPr>
      <w:r w:rsidRPr="00726D52">
        <w:rPr>
          <w:noProof/>
        </w:rPr>
        <w:t xml:space="preserve">Europol would also continue to provide </w:t>
      </w:r>
      <w:r w:rsidRPr="00726D52">
        <w:rPr>
          <w:b/>
          <w:bCs/>
          <w:noProof/>
        </w:rPr>
        <w:t>specialised expertise and advanced capabilities</w:t>
      </w:r>
      <w:r w:rsidRPr="00726D52">
        <w:rPr>
          <w:noProof/>
        </w:rPr>
        <w:t>, including in digital forensics, decryption, and large-scale data analysis</w:t>
      </w:r>
      <w:r w:rsidR="00E21BDF" w:rsidRPr="00726D52">
        <w:rPr>
          <w:rStyle w:val="FootnoteReference"/>
          <w:noProof/>
        </w:rPr>
        <w:footnoteReference w:id="94"/>
      </w:r>
      <w:r w:rsidR="00340686" w:rsidRPr="00726D52">
        <w:rPr>
          <w:noProof/>
        </w:rPr>
        <w:t>, without duplicating those provided by other EU bodies and agencies</w:t>
      </w:r>
      <w:r w:rsidRPr="00726D52">
        <w:rPr>
          <w:noProof/>
        </w:rPr>
        <w:t xml:space="preserve">. </w:t>
      </w:r>
      <w:r w:rsidR="00732AA4" w:rsidRPr="00726D52">
        <w:rPr>
          <w:noProof/>
        </w:rPr>
        <w:t>Europol’s technological role in supporting the Union’s response to online threats is also expected to continue expanding in line with existing policy frameworks, including the Digital Services Act</w:t>
      </w:r>
      <w:r w:rsidR="00DF607F" w:rsidRPr="00726D52">
        <w:rPr>
          <w:rStyle w:val="FootnoteReference"/>
          <w:noProof/>
        </w:rPr>
        <w:footnoteReference w:id="95"/>
      </w:r>
      <w:r w:rsidR="00732AA4" w:rsidRPr="00726D52">
        <w:rPr>
          <w:noProof/>
        </w:rPr>
        <w:t xml:space="preserve"> and developments under the Cybersecurity Act</w:t>
      </w:r>
      <w:r w:rsidR="00734482" w:rsidRPr="00726D52">
        <w:rPr>
          <w:rStyle w:val="FootnoteReference"/>
          <w:noProof/>
        </w:rPr>
        <w:footnoteReference w:id="96"/>
      </w:r>
      <w:r w:rsidR="00732AA4" w:rsidRPr="00726D52">
        <w:rPr>
          <w:noProof/>
        </w:rPr>
        <w:t xml:space="preserve">. </w:t>
      </w:r>
      <w:r w:rsidR="00CD4ACC" w:rsidRPr="00726D52">
        <w:rPr>
          <w:noProof/>
        </w:rPr>
        <w:t>This work increasingly involves structured cooperation with private sector actors, including online platforms, financial service providers and technology companies, which play an important role in detecting</w:t>
      </w:r>
      <w:r w:rsidR="00113E08" w:rsidRPr="00726D52">
        <w:rPr>
          <w:noProof/>
        </w:rPr>
        <w:t xml:space="preserve"> and</w:t>
      </w:r>
      <w:r w:rsidR="00CD4ACC" w:rsidRPr="00726D52">
        <w:rPr>
          <w:noProof/>
        </w:rPr>
        <w:t xml:space="preserve"> reporting criminal activity in the digital environment. </w:t>
      </w:r>
      <w:r w:rsidR="006319C9" w:rsidRPr="00726D52">
        <w:rPr>
          <w:noProof/>
        </w:rPr>
        <w:t xml:space="preserve">These </w:t>
      </w:r>
      <w:r w:rsidR="00732AA4" w:rsidRPr="00726D52">
        <w:rPr>
          <w:noProof/>
        </w:rPr>
        <w:t xml:space="preserve">initiatives increasingly rely on Europol’s </w:t>
      </w:r>
      <w:r w:rsidR="006319C9" w:rsidRPr="00726D52">
        <w:rPr>
          <w:noProof/>
        </w:rPr>
        <w:t xml:space="preserve">technical and analytical </w:t>
      </w:r>
      <w:r w:rsidR="00732AA4" w:rsidRPr="00726D52">
        <w:rPr>
          <w:noProof/>
        </w:rPr>
        <w:t xml:space="preserve">expertise to </w:t>
      </w:r>
      <w:r w:rsidR="006319C9" w:rsidRPr="00726D52">
        <w:rPr>
          <w:noProof/>
        </w:rPr>
        <w:t xml:space="preserve">support </w:t>
      </w:r>
      <w:r w:rsidR="00732AA4" w:rsidRPr="00726D52">
        <w:rPr>
          <w:noProof/>
        </w:rPr>
        <w:t xml:space="preserve">the identification and assessment of online risks, including those linked to serious and organised crime, terrorism and </w:t>
      </w:r>
      <w:r w:rsidR="006319C9" w:rsidRPr="00726D52">
        <w:rPr>
          <w:noProof/>
        </w:rPr>
        <w:t>illegal content</w:t>
      </w:r>
      <w:r w:rsidR="00732AA4" w:rsidRPr="00726D52">
        <w:rPr>
          <w:noProof/>
        </w:rPr>
        <w:t xml:space="preserve"> online</w:t>
      </w:r>
      <w:r w:rsidR="00106323" w:rsidRPr="00726D52">
        <w:rPr>
          <w:rStyle w:val="FootnoteReference"/>
          <w:noProof/>
        </w:rPr>
        <w:footnoteReference w:id="97"/>
      </w:r>
      <w:r w:rsidR="00732AA4" w:rsidRPr="00726D52">
        <w:rPr>
          <w:noProof/>
        </w:rPr>
        <w:t>.</w:t>
      </w:r>
      <w:r w:rsidRPr="00726D52">
        <w:rPr>
          <w:noProof/>
        </w:rPr>
        <w:t xml:space="preserve"> </w:t>
      </w:r>
      <w:r w:rsidR="006319C9" w:rsidRPr="00726D52">
        <w:rPr>
          <w:noProof/>
        </w:rPr>
        <w:t>Furthermore, t</w:t>
      </w:r>
      <w:r w:rsidRPr="00726D52">
        <w:rPr>
          <w:noProof/>
        </w:rPr>
        <w:t xml:space="preserve">he work of </w:t>
      </w:r>
      <w:r w:rsidR="00966B3A" w:rsidRPr="00726D52">
        <w:rPr>
          <w:noProof/>
        </w:rPr>
        <w:t xml:space="preserve">Europol’s </w:t>
      </w:r>
      <w:r w:rsidRPr="00726D52">
        <w:rPr>
          <w:noProof/>
        </w:rPr>
        <w:t>Innovation Lab</w:t>
      </w:r>
      <w:r w:rsidR="003B7059" w:rsidRPr="00726D52">
        <w:rPr>
          <w:rStyle w:val="FootnoteReference"/>
          <w:noProof/>
        </w:rPr>
        <w:footnoteReference w:id="98"/>
      </w:r>
      <w:r w:rsidRPr="00726D52">
        <w:rPr>
          <w:noProof/>
        </w:rPr>
        <w:t xml:space="preserve"> and the European </w:t>
      </w:r>
      <w:r w:rsidRPr="00726D52">
        <w:rPr>
          <w:noProof/>
        </w:rPr>
        <w:lastRenderedPageBreak/>
        <w:t>Clearing Board</w:t>
      </w:r>
      <w:r w:rsidR="00A34EB8" w:rsidRPr="00726D52">
        <w:rPr>
          <w:rStyle w:val="FootnoteReference"/>
          <w:noProof/>
        </w:rPr>
        <w:footnoteReference w:id="99"/>
      </w:r>
      <w:r w:rsidRPr="00726D52">
        <w:rPr>
          <w:noProof/>
        </w:rPr>
        <w:t xml:space="preserve">, and technological developments would contribute to incremental improvements, and Europol would remain a key provider of specialised capabilities that many Member States </w:t>
      </w:r>
      <w:r w:rsidR="00FB50E2" w:rsidRPr="00726D52">
        <w:rPr>
          <w:noProof/>
        </w:rPr>
        <w:t xml:space="preserve">would not be able to </w:t>
      </w:r>
      <w:r w:rsidRPr="00726D52">
        <w:rPr>
          <w:noProof/>
        </w:rPr>
        <w:t>sustain independently. However, the pace of technological change and the increasing sophistication of criminal methodologies would continue to raise operational requirements. Europol’s ability to scale advanced capabilities and operationalise emerging technologies would remain shaped by structural constraints, including ICT infrastructure limitations, governance and legal requirements, procurement timelines, and compliance obligations. Legal and procedural safeguards, including narrowly defined mandates governing the use of publicly available information, biometric data, and artificial intelligence tools, would continue to shape the pace and scope of deploying new analytical techniques</w:t>
      </w:r>
      <w:r w:rsidR="000F493A" w:rsidRPr="00726D52">
        <w:rPr>
          <w:rStyle w:val="FootnoteReference"/>
          <w:noProof/>
        </w:rPr>
        <w:footnoteReference w:id="100"/>
      </w:r>
      <w:r w:rsidR="000C6C40" w:rsidRPr="00726D52">
        <w:rPr>
          <w:noProof/>
        </w:rPr>
        <w:t>.</w:t>
      </w:r>
      <w:r w:rsidRPr="00726D52">
        <w:rPr>
          <w:noProof/>
        </w:rPr>
        <w:t xml:space="preserve"> </w:t>
      </w:r>
      <w:r w:rsidR="000C6C40" w:rsidRPr="00726D52">
        <w:rPr>
          <w:noProof/>
        </w:rPr>
        <w:t>In particular, the growing importance of publicly available information and open-source intelligence (OSINT) in criminal investigations would further increase analytical demands on Europol</w:t>
      </w:r>
      <w:r w:rsidR="00ED4303" w:rsidRPr="00726D52">
        <w:rPr>
          <w:noProof/>
        </w:rPr>
        <w:t xml:space="preserve"> to </w:t>
      </w:r>
      <w:r w:rsidR="000C6C40" w:rsidRPr="00726D52">
        <w:rPr>
          <w:noProof/>
        </w:rPr>
        <w:t>exploit such data.</w:t>
      </w:r>
    </w:p>
    <w:p w14:paraId="37507B5B" w14:textId="56257866" w:rsidR="00370D63" w:rsidRPr="00726D52" w:rsidRDefault="00370D63" w:rsidP="00336D44">
      <w:pPr>
        <w:rPr>
          <w:noProof/>
        </w:rPr>
      </w:pPr>
      <w:r w:rsidRPr="00726D52">
        <w:rPr>
          <w:noProof/>
        </w:rPr>
        <w:t xml:space="preserve">In </w:t>
      </w:r>
      <w:r w:rsidRPr="00726D52">
        <w:rPr>
          <w:b/>
          <w:bCs/>
          <w:noProof/>
        </w:rPr>
        <w:t>financial terms</w:t>
      </w:r>
      <w:r w:rsidRPr="00726D52">
        <w:rPr>
          <w:noProof/>
        </w:rPr>
        <w:t>, the baseline scenario assumes the continuation of Europol’s current budgetary trajectory under the existing Multiannual Financial Framework</w:t>
      </w:r>
      <w:r w:rsidR="00771C2D" w:rsidRPr="00726D52">
        <w:rPr>
          <w:noProof/>
        </w:rPr>
        <w:t>, reflecting a no-policy-change scenario</w:t>
      </w:r>
      <w:r w:rsidRPr="00726D52">
        <w:rPr>
          <w:noProof/>
        </w:rPr>
        <w:t xml:space="preserve">. Europol’s budget has grown steadily in recent years, increasing from approximately EUR 169 million in 2021 to around EUR 235 million in 2025, reflecting the </w:t>
      </w:r>
      <w:r w:rsidR="00AF39AA" w:rsidRPr="00726D52">
        <w:rPr>
          <w:noProof/>
        </w:rPr>
        <w:t xml:space="preserve">Agency’s </w:t>
      </w:r>
      <w:r w:rsidRPr="00726D52">
        <w:rPr>
          <w:noProof/>
        </w:rPr>
        <w:t xml:space="preserve">gradual expansion of </w:t>
      </w:r>
      <w:r w:rsidR="00977C95" w:rsidRPr="00726D52">
        <w:rPr>
          <w:noProof/>
        </w:rPr>
        <w:t>its</w:t>
      </w:r>
      <w:r w:rsidRPr="00726D52">
        <w:rPr>
          <w:noProof/>
        </w:rPr>
        <w:t xml:space="preserve"> operational responsibilities and analytical capabilities. Based on this trend, the cumulative Europol budget over the current MFF (2021</w:t>
      </w:r>
      <w:r w:rsidR="004C6DD5" w:rsidRPr="00726D52">
        <w:rPr>
          <w:noProof/>
        </w:rPr>
        <w:t>-</w:t>
      </w:r>
      <w:r w:rsidRPr="00726D52">
        <w:rPr>
          <w:noProof/>
        </w:rPr>
        <w:t xml:space="preserve">2027) is estimated at around EUR 1.5 billion. For the purposes of this impact assessment, baseline projections assume that </w:t>
      </w:r>
      <w:r w:rsidRPr="00726D52">
        <w:rPr>
          <w:b/>
          <w:bCs/>
          <w:noProof/>
        </w:rPr>
        <w:t>Europol’s budget would continue to evolve broadly in line with historical trends</w:t>
      </w:r>
      <w:r w:rsidRPr="00726D52">
        <w:rPr>
          <w:noProof/>
        </w:rPr>
        <w:t xml:space="preserve">, resulting in a projected envelope of approximately </w:t>
      </w:r>
      <w:r w:rsidRPr="00726D52">
        <w:rPr>
          <w:b/>
          <w:bCs/>
          <w:noProof/>
        </w:rPr>
        <w:t>EUR 2.3</w:t>
      </w:r>
      <w:r w:rsidR="004C6DD5" w:rsidRPr="00726D52">
        <w:rPr>
          <w:b/>
          <w:bCs/>
          <w:noProof/>
        </w:rPr>
        <w:t>-</w:t>
      </w:r>
      <w:r w:rsidRPr="00726D52">
        <w:rPr>
          <w:b/>
          <w:bCs/>
          <w:noProof/>
        </w:rPr>
        <w:t>2.9 billion</w:t>
      </w:r>
      <w:r w:rsidRPr="00726D52">
        <w:rPr>
          <w:noProof/>
        </w:rPr>
        <w:t xml:space="preserve"> over the following MFF period (2028</w:t>
      </w:r>
      <w:r w:rsidR="0047174D" w:rsidRPr="00726D52">
        <w:rPr>
          <w:noProof/>
        </w:rPr>
        <w:t>-</w:t>
      </w:r>
      <w:r w:rsidRPr="00726D52">
        <w:rPr>
          <w:noProof/>
        </w:rPr>
        <w:t>2034), depending on whether linear growth or a constant growth rate is assumed</w:t>
      </w:r>
      <w:r w:rsidR="00153BB7" w:rsidRPr="00726D52">
        <w:rPr>
          <w:rStyle w:val="FootnoteReference"/>
          <w:noProof/>
        </w:rPr>
        <w:footnoteReference w:id="101"/>
      </w:r>
      <w:r w:rsidRPr="00726D52">
        <w:rPr>
          <w:noProof/>
        </w:rPr>
        <w:t xml:space="preserve">. </w:t>
      </w:r>
      <w:r w:rsidR="00BD24E2" w:rsidRPr="00726D52">
        <w:rPr>
          <w:bCs/>
          <w:noProof/>
        </w:rPr>
        <w:t>These projections exclude the costs associated with the policy options assessed in this impact assessment and reflect expenditure that would likely be incurred irrespective of the initiative. The budgetary impact of the preferred option should therefore be assessed in addition to the projected baseline envelope.</w:t>
      </w:r>
    </w:p>
    <w:p w14:paraId="15A5FE03" w14:textId="0518A00B" w:rsidR="006B087E" w:rsidRPr="00726D52" w:rsidRDefault="006B087E" w:rsidP="00463B97">
      <w:pPr>
        <w:pStyle w:val="Heading2"/>
        <w:rPr>
          <w:noProof/>
        </w:rPr>
      </w:pPr>
      <w:r w:rsidRPr="00726D52">
        <w:rPr>
          <w:noProof/>
        </w:rPr>
        <w:t>Description of the policy options</w:t>
      </w:r>
    </w:p>
    <w:p w14:paraId="146C6310" w14:textId="2F106877" w:rsidR="007B7865" w:rsidRPr="00726D52" w:rsidRDefault="00F73066" w:rsidP="007B7865">
      <w:pPr>
        <w:spacing w:after="120"/>
        <w:rPr>
          <w:noProof/>
        </w:rPr>
      </w:pPr>
      <w:r w:rsidRPr="00726D52">
        <w:rPr>
          <w:noProof/>
        </w:rPr>
        <w:t xml:space="preserve">This Impact Assessment examines </w:t>
      </w:r>
      <w:r w:rsidR="00684CD5" w:rsidRPr="00726D52">
        <w:rPr>
          <w:noProof/>
        </w:rPr>
        <w:t>two</w:t>
      </w:r>
      <w:r w:rsidRPr="00726D52">
        <w:rPr>
          <w:noProof/>
        </w:rPr>
        <w:t xml:space="preserve"> policy options, focusing on the main strategic directions for strengthening Europol’s role within the Union’s security architecture and presenting those </w:t>
      </w:r>
      <w:r w:rsidR="00385ED0" w:rsidRPr="00726D52">
        <w:rPr>
          <w:noProof/>
        </w:rPr>
        <w:t>measures contained in the two options that would have</w:t>
      </w:r>
      <w:r w:rsidRPr="00726D52">
        <w:rPr>
          <w:noProof/>
        </w:rPr>
        <w:t xml:space="preserve"> the most significant implications.</w:t>
      </w:r>
      <w:r w:rsidR="00E8116B" w:rsidRPr="00726D52">
        <w:rPr>
          <w:noProof/>
        </w:rPr>
        <w:t xml:space="preserve"> </w:t>
      </w:r>
      <w:r w:rsidR="007B7865" w:rsidRPr="00726D52">
        <w:rPr>
          <w:noProof/>
        </w:rPr>
        <w:t>The</w:t>
      </w:r>
      <w:r w:rsidR="00E8116B" w:rsidRPr="00726D52">
        <w:rPr>
          <w:noProof/>
        </w:rPr>
        <w:t xml:space="preserve">se </w:t>
      </w:r>
      <w:r w:rsidR="007B7865" w:rsidRPr="00726D52">
        <w:rPr>
          <w:noProof/>
        </w:rPr>
        <w:t xml:space="preserve">options are structured around </w:t>
      </w:r>
      <w:r w:rsidR="007B7865" w:rsidRPr="00726D52">
        <w:rPr>
          <w:b/>
          <w:bCs/>
          <w:noProof/>
        </w:rPr>
        <w:t>two distinct policy directions both reflecting an ambitious strengthening of Europol’s role</w:t>
      </w:r>
      <w:r w:rsidR="007B7865" w:rsidRPr="00726D52">
        <w:rPr>
          <w:noProof/>
        </w:rPr>
        <w:t>.</w:t>
      </w:r>
    </w:p>
    <w:p w14:paraId="1D212B7D" w14:textId="7A2DC52A" w:rsidR="007B7865" w:rsidRPr="00726D52" w:rsidRDefault="007B7865" w:rsidP="007B7865">
      <w:pPr>
        <w:spacing w:after="120"/>
        <w:rPr>
          <w:noProof/>
        </w:rPr>
      </w:pPr>
      <w:r w:rsidRPr="00726D52">
        <w:rPr>
          <w:b/>
          <w:bCs/>
          <w:noProof/>
        </w:rPr>
        <w:t xml:space="preserve">Policy Option 1 </w:t>
      </w:r>
      <w:r w:rsidR="007D5A11" w:rsidRPr="00726D52">
        <w:rPr>
          <w:noProof/>
        </w:rPr>
        <w:t>strengthens Europol’s existing mandate and operational model through targeted structural improvements and expanded capabilities, enabling more effective and scalable operations while preserving the current framework.</w:t>
      </w:r>
    </w:p>
    <w:p w14:paraId="1C8E299D" w14:textId="41C12E3A" w:rsidR="007B7865" w:rsidRPr="00726D52" w:rsidRDefault="007B7865" w:rsidP="007B7865">
      <w:pPr>
        <w:spacing w:after="120"/>
        <w:rPr>
          <w:noProof/>
        </w:rPr>
      </w:pPr>
      <w:r w:rsidRPr="00726D52">
        <w:rPr>
          <w:b/>
          <w:bCs/>
          <w:noProof/>
        </w:rPr>
        <w:lastRenderedPageBreak/>
        <w:t>Policy Option 2</w:t>
      </w:r>
      <w:r w:rsidRPr="00726D52">
        <w:rPr>
          <w:noProof/>
        </w:rPr>
        <w:t xml:space="preserve">, </w:t>
      </w:r>
      <w:r w:rsidR="003C584F" w:rsidRPr="00726D52">
        <w:rPr>
          <w:noProof/>
        </w:rPr>
        <w:t>by contrast, explores a more fundamental evolution of Europol’s role, positioning the Agency as an essential Union-level capability for coordinating operations and generating criminal intelligence in response to increasingly complex cross-border threats.</w:t>
      </w:r>
    </w:p>
    <w:p w14:paraId="0EC5F261" w14:textId="77777777" w:rsidR="00231713" w:rsidRPr="00726D52" w:rsidRDefault="007B7865" w:rsidP="00E05608">
      <w:pPr>
        <w:spacing w:after="120"/>
        <w:rPr>
          <w:noProof/>
        </w:rPr>
      </w:pPr>
      <w:r w:rsidRPr="00726D52">
        <w:rPr>
          <w:noProof/>
        </w:rPr>
        <w:t>Each policy option comprises a coherent</w:t>
      </w:r>
      <w:r w:rsidR="00D65ACA" w:rsidRPr="00726D52">
        <w:rPr>
          <w:noProof/>
        </w:rPr>
        <w:t>, but not exhaustive,</w:t>
      </w:r>
      <w:r w:rsidRPr="00726D52">
        <w:rPr>
          <w:noProof/>
        </w:rPr>
        <w:t xml:space="preserve"> set of measures addressing the specific objectives of strengthening Europol. Some measures represent progressive improvements that could be implemented cumulatively, with Policy Option 2 building on and going beyond elements of Policy Option 1. However, other measures reflect alternative approaches that are specific to each option and are not cumulative.</w:t>
      </w:r>
    </w:p>
    <w:p w14:paraId="2058DFD8" w14:textId="42624D80" w:rsidR="00B96837" w:rsidRPr="00726D52" w:rsidRDefault="00231713" w:rsidP="00E05608">
      <w:pPr>
        <w:spacing w:after="120"/>
        <w:rPr>
          <w:noProof/>
        </w:rPr>
      </w:pPr>
      <w:r w:rsidRPr="00726D52">
        <w:rPr>
          <w:noProof/>
        </w:rPr>
        <w:t>The policy measures have been designed to address the two identified problem areas in a complementary manner. Measures under Sub-policy Options 1.1, 2.1, 2.2 and 2.4 primarily address the persistent information gaps that hinder the development of a complete EU-wide criminal intelligence picture. Measures under Sub-policy Options 1.3, 1.4, 2.3 and 2.4 primarily address the fragmented and uneven use of Europol's operational support and specialised capabilities. Together, the measures seek to improve both the availability of operational information and Europol's ability to provide timely, effective and operationally embedded support to Member States and other relevant EU actors.</w:t>
      </w:r>
      <w:r w:rsidR="00B96837" w:rsidRPr="00726D52">
        <w:rPr>
          <w:noProof/>
          <w:u w:val="single"/>
        </w:rPr>
        <w:br w:type="page"/>
      </w:r>
    </w:p>
    <w:p w14:paraId="055FCD43" w14:textId="77777777" w:rsidR="0065552A" w:rsidRPr="00726D52" w:rsidRDefault="0065552A">
      <w:pPr>
        <w:rPr>
          <w:b/>
          <w:bCs/>
          <w:noProof/>
          <w:u w:val="single"/>
        </w:rPr>
        <w:sectPr w:rsidR="0065552A" w:rsidRPr="00726D52" w:rsidSect="0053316B">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sectPr>
      </w:pPr>
      <w:bookmarkStart w:id="8" w:name="_Hlk221499263"/>
    </w:p>
    <w:p w14:paraId="215AC2CC" w14:textId="1B8B8969" w:rsidR="00B96837" w:rsidRPr="00726D52" w:rsidRDefault="49ACC9F4">
      <w:pPr>
        <w:rPr>
          <w:b/>
          <w:bCs/>
          <w:noProof/>
          <w:u w:val="single"/>
        </w:rPr>
      </w:pPr>
      <w:r w:rsidRPr="00726D52">
        <w:rPr>
          <w:b/>
          <w:bCs/>
          <w:noProof/>
          <w:u w:val="single"/>
        </w:rPr>
        <w:lastRenderedPageBreak/>
        <w:t>Policy O</w:t>
      </w:r>
      <w:r w:rsidR="002E6B02" w:rsidRPr="00726D52">
        <w:rPr>
          <w:b/>
          <w:bCs/>
          <w:noProof/>
          <w:u w:val="single"/>
        </w:rPr>
        <w:t xml:space="preserve">ptions </w:t>
      </w:r>
      <w:r w:rsidR="6F994E3A" w:rsidRPr="00726D52">
        <w:rPr>
          <w:b/>
          <w:bCs/>
          <w:noProof/>
          <w:u w:val="single"/>
        </w:rPr>
        <w:t>(</w:t>
      </w:r>
      <w:r w:rsidR="002E6B02" w:rsidRPr="00726D52">
        <w:rPr>
          <w:b/>
          <w:bCs/>
          <w:noProof/>
          <w:u w:val="single"/>
        </w:rPr>
        <w:t>table</w:t>
      </w:r>
      <w:r w:rsidR="474717FE" w:rsidRPr="00726D52">
        <w:rPr>
          <w:b/>
          <w:bCs/>
          <w:noProof/>
          <w:u w:val="single"/>
        </w:rPr>
        <w:t>)</w:t>
      </w:r>
      <w:r w:rsidR="002E6B02" w:rsidRPr="00726D52">
        <w:rPr>
          <w:b/>
          <w:bCs/>
          <w:noProof/>
          <w:u w:val="single"/>
        </w:rPr>
        <w:t>:</w:t>
      </w:r>
    </w:p>
    <w:bookmarkEnd w:id="8"/>
    <w:tbl>
      <w:tblPr>
        <w:tblStyle w:val="TableGrid"/>
        <w:tblW w:w="0" w:type="auto"/>
        <w:tblLook w:val="04A0" w:firstRow="1" w:lastRow="0" w:firstColumn="1" w:lastColumn="0" w:noHBand="0" w:noVBand="1"/>
      </w:tblPr>
      <w:tblGrid>
        <w:gridCol w:w="5353"/>
        <w:gridCol w:w="4253"/>
        <w:gridCol w:w="4677"/>
      </w:tblGrid>
      <w:tr w:rsidR="00150D04" w:rsidRPr="00726D52" w14:paraId="2B2B6EBD" w14:textId="77777777" w:rsidTr="00C05BFC">
        <w:tc>
          <w:tcPr>
            <w:tcW w:w="5353" w:type="dxa"/>
            <w:shd w:val="clear" w:color="auto" w:fill="FDE9D9" w:themeFill="accent6" w:themeFillTint="33"/>
          </w:tcPr>
          <w:p w14:paraId="75117A5E" w14:textId="77777777" w:rsidR="00150D04" w:rsidRPr="00726D52" w:rsidRDefault="00150D04" w:rsidP="00C05BFC">
            <w:pPr>
              <w:rPr>
                <w:noProof/>
              </w:rPr>
            </w:pPr>
          </w:p>
        </w:tc>
        <w:tc>
          <w:tcPr>
            <w:tcW w:w="4253" w:type="dxa"/>
            <w:shd w:val="clear" w:color="auto" w:fill="E5B8B7" w:themeFill="accent2" w:themeFillTint="66"/>
          </w:tcPr>
          <w:p w14:paraId="3A905DF0" w14:textId="77777777" w:rsidR="00150D04" w:rsidRPr="00726D52" w:rsidRDefault="00150D04" w:rsidP="00C05BFC">
            <w:pPr>
              <w:jc w:val="center"/>
              <w:rPr>
                <w:b/>
                <w:bCs/>
                <w:noProof/>
              </w:rPr>
            </w:pPr>
            <w:r w:rsidRPr="00726D52">
              <w:rPr>
                <w:b/>
                <w:bCs/>
                <w:noProof/>
              </w:rPr>
              <w:t>Policy Option 1: Reinforcing Europol’s existing model</w:t>
            </w:r>
          </w:p>
        </w:tc>
        <w:tc>
          <w:tcPr>
            <w:tcW w:w="4677" w:type="dxa"/>
            <w:shd w:val="clear" w:color="auto" w:fill="E5B8B7" w:themeFill="accent2" w:themeFillTint="66"/>
          </w:tcPr>
          <w:p w14:paraId="4F708858" w14:textId="77777777" w:rsidR="00150D04" w:rsidRPr="00726D52" w:rsidRDefault="00150D04" w:rsidP="00C05BFC">
            <w:pPr>
              <w:jc w:val="center"/>
              <w:rPr>
                <w:b/>
                <w:bCs/>
                <w:noProof/>
              </w:rPr>
            </w:pPr>
            <w:r w:rsidRPr="00726D52">
              <w:rPr>
                <w:b/>
                <w:bCs/>
                <w:noProof/>
              </w:rPr>
              <w:t>Policy Option 2: Designing a new model for Europol</w:t>
            </w:r>
          </w:p>
        </w:tc>
      </w:tr>
      <w:tr w:rsidR="00150D04" w:rsidRPr="00726D52" w14:paraId="19545455" w14:textId="77777777" w:rsidTr="00C05BFC">
        <w:tc>
          <w:tcPr>
            <w:tcW w:w="5353" w:type="dxa"/>
            <w:shd w:val="clear" w:color="auto" w:fill="FBD4B4" w:themeFill="accent6" w:themeFillTint="66"/>
          </w:tcPr>
          <w:p w14:paraId="3C44092D" w14:textId="77777777" w:rsidR="00150D04" w:rsidRPr="00726D52" w:rsidRDefault="00150D04" w:rsidP="00C05BFC">
            <w:pPr>
              <w:spacing w:after="0"/>
              <w:jc w:val="left"/>
              <w:rPr>
                <w:b/>
                <w:bCs/>
                <w:noProof/>
              </w:rPr>
            </w:pPr>
            <w:r w:rsidRPr="00726D52">
              <w:rPr>
                <w:b/>
                <w:bCs/>
                <w:noProof/>
              </w:rPr>
              <w:t>Specific Objective 1: Reinforce Europol’s role as an information hub for law enforcement</w:t>
            </w:r>
          </w:p>
        </w:tc>
        <w:tc>
          <w:tcPr>
            <w:tcW w:w="8930" w:type="dxa"/>
            <w:gridSpan w:val="2"/>
            <w:shd w:val="clear" w:color="auto" w:fill="FDE9D9" w:themeFill="accent6" w:themeFillTint="33"/>
          </w:tcPr>
          <w:p w14:paraId="1920C5E3" w14:textId="77777777" w:rsidR="00150D04" w:rsidRPr="00726D52" w:rsidRDefault="00150D04" w:rsidP="00C05BFC">
            <w:pPr>
              <w:rPr>
                <w:noProof/>
              </w:rPr>
            </w:pPr>
          </w:p>
        </w:tc>
      </w:tr>
      <w:tr w:rsidR="00150D04" w:rsidRPr="00726D52" w14:paraId="777A31E5" w14:textId="77777777" w:rsidTr="00C05BFC">
        <w:tc>
          <w:tcPr>
            <w:tcW w:w="5353" w:type="dxa"/>
            <w:shd w:val="clear" w:color="auto" w:fill="FDE9D9" w:themeFill="accent6" w:themeFillTint="33"/>
          </w:tcPr>
          <w:p w14:paraId="53340390" w14:textId="77777777" w:rsidR="00150D04" w:rsidRPr="00726D52" w:rsidRDefault="00150D04" w:rsidP="009502B2">
            <w:pPr>
              <w:numPr>
                <w:ilvl w:val="0"/>
                <w:numId w:val="5"/>
              </w:numPr>
              <w:spacing w:after="0"/>
              <w:jc w:val="left"/>
              <w:rPr>
                <w:noProof/>
              </w:rPr>
            </w:pPr>
            <w:r w:rsidRPr="00726D52">
              <w:rPr>
                <w:noProof/>
              </w:rPr>
              <w:t>closing information gaps</w:t>
            </w:r>
          </w:p>
        </w:tc>
        <w:tc>
          <w:tcPr>
            <w:tcW w:w="4253" w:type="dxa"/>
            <w:shd w:val="clear" w:color="auto" w:fill="B8CCE4" w:themeFill="accent1" w:themeFillTint="66"/>
          </w:tcPr>
          <w:p w14:paraId="0D799E7B" w14:textId="77777777" w:rsidR="00150D04" w:rsidRPr="00726D52" w:rsidRDefault="00150D04" w:rsidP="00C05BFC">
            <w:pPr>
              <w:spacing w:after="0"/>
              <w:jc w:val="left"/>
              <w:rPr>
                <w:noProof/>
              </w:rPr>
            </w:pPr>
            <w:r w:rsidRPr="00726D52">
              <w:rPr>
                <w:b/>
                <w:bCs/>
                <w:noProof/>
              </w:rPr>
              <w:t>Sub policy option 1.1</w:t>
            </w:r>
            <w:r w:rsidRPr="00726D52">
              <w:rPr>
                <w:noProof/>
              </w:rPr>
              <w:t>: strengthened data availability, processing and service</w:t>
            </w:r>
          </w:p>
        </w:tc>
        <w:tc>
          <w:tcPr>
            <w:tcW w:w="4677" w:type="dxa"/>
            <w:shd w:val="clear" w:color="auto" w:fill="B8CCE4" w:themeFill="accent1" w:themeFillTint="66"/>
          </w:tcPr>
          <w:p w14:paraId="0DC18F22" w14:textId="1F9D5F04" w:rsidR="00150D04" w:rsidRPr="00726D52" w:rsidRDefault="00150D04" w:rsidP="00C05BFC">
            <w:pPr>
              <w:spacing w:after="0"/>
              <w:jc w:val="left"/>
              <w:rPr>
                <w:noProof/>
              </w:rPr>
            </w:pPr>
            <w:r w:rsidRPr="00726D52">
              <w:rPr>
                <w:b/>
                <w:bCs/>
                <w:noProof/>
              </w:rPr>
              <w:t>Sub policy option 2.1</w:t>
            </w:r>
            <w:r w:rsidRPr="00726D52">
              <w:rPr>
                <w:noProof/>
              </w:rPr>
              <w:t>: Europol as an operational service provider and information hub</w:t>
            </w:r>
            <w:r w:rsidR="007B5DE9" w:rsidRPr="00726D52">
              <w:rPr>
                <w:noProof/>
              </w:rPr>
              <w:t xml:space="preserve"> for law enforcement</w:t>
            </w:r>
          </w:p>
          <w:p w14:paraId="559CB28A" w14:textId="77777777" w:rsidR="00150D04" w:rsidRPr="00726D52" w:rsidRDefault="00150D04" w:rsidP="00C05BFC">
            <w:pPr>
              <w:spacing w:after="0"/>
              <w:jc w:val="left"/>
              <w:rPr>
                <w:noProof/>
              </w:rPr>
            </w:pPr>
          </w:p>
        </w:tc>
      </w:tr>
      <w:tr w:rsidR="00150D04" w:rsidRPr="00726D52" w14:paraId="215321E6" w14:textId="77777777" w:rsidTr="00C05BFC">
        <w:tc>
          <w:tcPr>
            <w:tcW w:w="5353" w:type="dxa"/>
            <w:shd w:val="clear" w:color="auto" w:fill="FDE9D9" w:themeFill="accent6" w:themeFillTint="33"/>
          </w:tcPr>
          <w:p w14:paraId="25D90F43" w14:textId="77777777" w:rsidR="00150D04" w:rsidRPr="00726D52" w:rsidRDefault="00150D04" w:rsidP="009502B2">
            <w:pPr>
              <w:numPr>
                <w:ilvl w:val="0"/>
                <w:numId w:val="5"/>
              </w:numPr>
              <w:spacing w:after="0"/>
              <w:jc w:val="left"/>
              <w:rPr>
                <w:noProof/>
              </w:rPr>
            </w:pPr>
            <w:r w:rsidRPr="00726D52">
              <w:rPr>
                <w:noProof/>
              </w:rPr>
              <w:t>addressing data subject categorisation</w:t>
            </w:r>
          </w:p>
        </w:tc>
        <w:tc>
          <w:tcPr>
            <w:tcW w:w="4253" w:type="dxa"/>
            <w:shd w:val="clear" w:color="auto" w:fill="B8CCE4" w:themeFill="accent1" w:themeFillTint="66"/>
          </w:tcPr>
          <w:p w14:paraId="132B3491" w14:textId="77777777" w:rsidR="00150D04" w:rsidRPr="00726D52" w:rsidRDefault="00150D04" w:rsidP="00C05BFC">
            <w:pPr>
              <w:spacing w:after="0"/>
              <w:jc w:val="left"/>
              <w:rPr>
                <w:noProof/>
              </w:rPr>
            </w:pPr>
            <w:r w:rsidRPr="00726D52">
              <w:rPr>
                <w:b/>
                <w:bCs/>
                <w:noProof/>
              </w:rPr>
              <w:t>Sub policy option 1.2</w:t>
            </w:r>
            <w:r w:rsidRPr="00726D52">
              <w:rPr>
                <w:noProof/>
              </w:rPr>
              <w:t>: enhanced mitigating measures to address the obstacles of Data Subject Categorisation</w:t>
            </w:r>
          </w:p>
          <w:p w14:paraId="7B8C4D21" w14:textId="77777777" w:rsidR="00150D04" w:rsidRPr="00726D52" w:rsidRDefault="00150D04" w:rsidP="00C05BFC">
            <w:pPr>
              <w:rPr>
                <w:noProof/>
              </w:rPr>
            </w:pPr>
          </w:p>
        </w:tc>
        <w:tc>
          <w:tcPr>
            <w:tcW w:w="4677" w:type="dxa"/>
            <w:shd w:val="clear" w:color="auto" w:fill="B8CCE4" w:themeFill="accent1" w:themeFillTint="66"/>
          </w:tcPr>
          <w:p w14:paraId="5077DC81" w14:textId="7EDE1D16" w:rsidR="00150D04" w:rsidRPr="00726D52" w:rsidRDefault="00150D04" w:rsidP="00C05BFC">
            <w:pPr>
              <w:spacing w:after="0"/>
              <w:jc w:val="left"/>
              <w:rPr>
                <w:noProof/>
              </w:rPr>
            </w:pPr>
            <w:r w:rsidRPr="00726D52">
              <w:rPr>
                <w:b/>
                <w:bCs/>
                <w:noProof/>
              </w:rPr>
              <w:t>Sub policy option 2.2</w:t>
            </w:r>
            <w:r w:rsidRPr="00726D52">
              <w:rPr>
                <w:noProof/>
              </w:rPr>
              <w:t xml:space="preserve">: simplified rules to </w:t>
            </w:r>
            <w:r w:rsidR="00415AEB" w:rsidRPr="00726D52">
              <w:rPr>
                <w:noProof/>
              </w:rPr>
              <w:t>reduce the administrative burden</w:t>
            </w:r>
            <w:r w:rsidRPr="00726D52">
              <w:rPr>
                <w:noProof/>
              </w:rPr>
              <w:t xml:space="preserve"> of data subject categorisation</w:t>
            </w:r>
          </w:p>
        </w:tc>
      </w:tr>
      <w:tr w:rsidR="00150D04" w:rsidRPr="00726D52" w14:paraId="51BC4B13" w14:textId="77777777" w:rsidTr="00C05BFC">
        <w:trPr>
          <w:trHeight w:val="885"/>
        </w:trPr>
        <w:tc>
          <w:tcPr>
            <w:tcW w:w="5353" w:type="dxa"/>
            <w:shd w:val="clear" w:color="auto" w:fill="FBD4B4" w:themeFill="accent6" w:themeFillTint="66"/>
          </w:tcPr>
          <w:p w14:paraId="0D4830A7" w14:textId="7B19C2B6" w:rsidR="00150D04" w:rsidRPr="00726D52" w:rsidRDefault="00150D04" w:rsidP="00C05BFC">
            <w:pPr>
              <w:spacing w:after="0"/>
              <w:jc w:val="left"/>
              <w:rPr>
                <w:b/>
                <w:bCs/>
                <w:noProof/>
              </w:rPr>
            </w:pPr>
            <w:r w:rsidRPr="00726D52">
              <w:rPr>
                <w:b/>
                <w:bCs/>
                <w:noProof/>
              </w:rPr>
              <w:t xml:space="preserve">Specific Objective 2: </w:t>
            </w:r>
            <w:r w:rsidR="00837D0F" w:rsidRPr="00726D52">
              <w:rPr>
                <w:b/>
                <w:bCs/>
                <w:noProof/>
              </w:rPr>
              <w:t>Strengthening Europol’s capacity to support law enforcement operational action</w:t>
            </w:r>
          </w:p>
          <w:p w14:paraId="257F1DB5" w14:textId="77777777" w:rsidR="00150D04" w:rsidRPr="00726D52" w:rsidRDefault="00150D04" w:rsidP="00C05BFC">
            <w:pPr>
              <w:spacing w:after="0"/>
              <w:jc w:val="left"/>
              <w:rPr>
                <w:b/>
                <w:bCs/>
                <w:noProof/>
              </w:rPr>
            </w:pPr>
          </w:p>
        </w:tc>
        <w:tc>
          <w:tcPr>
            <w:tcW w:w="8930" w:type="dxa"/>
            <w:gridSpan w:val="2"/>
            <w:shd w:val="clear" w:color="auto" w:fill="FDE9D9" w:themeFill="accent6" w:themeFillTint="33"/>
          </w:tcPr>
          <w:p w14:paraId="18A37496" w14:textId="77777777" w:rsidR="00150D04" w:rsidRPr="00726D52" w:rsidRDefault="00150D04" w:rsidP="00C05BFC">
            <w:pPr>
              <w:rPr>
                <w:noProof/>
              </w:rPr>
            </w:pPr>
          </w:p>
        </w:tc>
      </w:tr>
      <w:tr w:rsidR="00150D04" w:rsidRPr="00726D52" w14:paraId="7EB5EC34" w14:textId="77777777" w:rsidTr="00C05BFC">
        <w:tc>
          <w:tcPr>
            <w:tcW w:w="5353" w:type="dxa"/>
            <w:shd w:val="clear" w:color="auto" w:fill="FDE9D9" w:themeFill="accent6" w:themeFillTint="33"/>
          </w:tcPr>
          <w:p w14:paraId="3F98F4AA" w14:textId="77777777" w:rsidR="00150D04" w:rsidRPr="00726D52" w:rsidRDefault="00150D04" w:rsidP="009502B2">
            <w:pPr>
              <w:numPr>
                <w:ilvl w:val="0"/>
                <w:numId w:val="6"/>
              </w:numPr>
              <w:spacing w:after="0"/>
              <w:jc w:val="left"/>
              <w:rPr>
                <w:noProof/>
              </w:rPr>
            </w:pPr>
            <w:r w:rsidRPr="00726D52">
              <w:rPr>
                <w:noProof/>
              </w:rPr>
              <w:t>inter-agency cooperation</w:t>
            </w:r>
          </w:p>
        </w:tc>
        <w:tc>
          <w:tcPr>
            <w:tcW w:w="4253" w:type="dxa"/>
            <w:shd w:val="clear" w:color="auto" w:fill="B8CCE4" w:themeFill="accent1" w:themeFillTint="66"/>
          </w:tcPr>
          <w:p w14:paraId="69EEF2A6" w14:textId="77777777" w:rsidR="00150D04" w:rsidRPr="00726D52" w:rsidRDefault="00150D04" w:rsidP="00C05BFC">
            <w:pPr>
              <w:spacing w:after="0"/>
              <w:jc w:val="left"/>
              <w:rPr>
                <w:noProof/>
              </w:rPr>
            </w:pPr>
            <w:r w:rsidRPr="00726D52">
              <w:rPr>
                <w:b/>
                <w:bCs/>
                <w:noProof/>
              </w:rPr>
              <w:t>Sub policy option 1.3</w:t>
            </w:r>
            <w:r w:rsidRPr="00726D52">
              <w:rPr>
                <w:noProof/>
              </w:rPr>
              <w:t xml:space="preserve">: reinforced cooperation with the EU bodies and agencies for internal security </w:t>
            </w:r>
          </w:p>
          <w:p w14:paraId="0EDFC2CB" w14:textId="77777777" w:rsidR="00150D04" w:rsidRPr="00726D52" w:rsidRDefault="00150D04" w:rsidP="00C05BFC">
            <w:pPr>
              <w:spacing w:after="0"/>
              <w:jc w:val="left"/>
              <w:rPr>
                <w:noProof/>
              </w:rPr>
            </w:pPr>
          </w:p>
        </w:tc>
        <w:tc>
          <w:tcPr>
            <w:tcW w:w="4677" w:type="dxa"/>
            <w:shd w:val="clear" w:color="auto" w:fill="B8CCE4" w:themeFill="accent1" w:themeFillTint="66"/>
          </w:tcPr>
          <w:p w14:paraId="39409C38" w14:textId="629B56C9" w:rsidR="00150D04" w:rsidRPr="00726D52" w:rsidRDefault="00150D04" w:rsidP="00C05BFC">
            <w:pPr>
              <w:spacing w:after="0"/>
              <w:jc w:val="left"/>
              <w:rPr>
                <w:noProof/>
              </w:rPr>
            </w:pPr>
            <w:r w:rsidRPr="00726D52">
              <w:rPr>
                <w:b/>
                <w:bCs/>
                <w:noProof/>
              </w:rPr>
              <w:t>Sub policy option 2.3</w:t>
            </w:r>
            <w:r w:rsidRPr="00726D52">
              <w:rPr>
                <w:noProof/>
              </w:rPr>
              <w:t>: Europol to provide analytical support to the EPPO</w:t>
            </w:r>
          </w:p>
        </w:tc>
      </w:tr>
      <w:tr w:rsidR="00150D04" w:rsidRPr="00726D52" w14:paraId="2AAE88ED" w14:textId="77777777" w:rsidTr="00C05BFC">
        <w:tc>
          <w:tcPr>
            <w:tcW w:w="5353" w:type="dxa"/>
            <w:shd w:val="clear" w:color="auto" w:fill="FDE9D9" w:themeFill="accent6" w:themeFillTint="33"/>
          </w:tcPr>
          <w:p w14:paraId="24337B42" w14:textId="77777777" w:rsidR="00150D04" w:rsidRPr="00726D52" w:rsidRDefault="00150D04" w:rsidP="009502B2">
            <w:pPr>
              <w:numPr>
                <w:ilvl w:val="0"/>
                <w:numId w:val="6"/>
              </w:numPr>
              <w:spacing w:after="0"/>
              <w:jc w:val="left"/>
              <w:rPr>
                <w:noProof/>
              </w:rPr>
            </w:pPr>
            <w:r w:rsidRPr="00726D52">
              <w:rPr>
                <w:noProof/>
              </w:rPr>
              <w:t>bringing Europol’s support to the ground</w:t>
            </w:r>
          </w:p>
        </w:tc>
        <w:tc>
          <w:tcPr>
            <w:tcW w:w="4253" w:type="dxa"/>
            <w:shd w:val="clear" w:color="auto" w:fill="B8CCE4" w:themeFill="accent1" w:themeFillTint="66"/>
          </w:tcPr>
          <w:p w14:paraId="660C49E6" w14:textId="77777777" w:rsidR="00150D04" w:rsidRPr="00726D52" w:rsidRDefault="00150D04" w:rsidP="00C05BFC">
            <w:pPr>
              <w:spacing w:after="0"/>
              <w:jc w:val="left"/>
              <w:rPr>
                <w:noProof/>
              </w:rPr>
            </w:pPr>
            <w:r w:rsidRPr="00726D52">
              <w:rPr>
                <w:b/>
                <w:bCs/>
                <w:noProof/>
              </w:rPr>
              <w:t>Sub policy option 1.4</w:t>
            </w:r>
            <w:r w:rsidRPr="00726D52">
              <w:rPr>
                <w:noProof/>
              </w:rPr>
              <w:t>: Europol digital platforms embedded in national investigations</w:t>
            </w:r>
          </w:p>
        </w:tc>
        <w:tc>
          <w:tcPr>
            <w:tcW w:w="4677" w:type="dxa"/>
            <w:shd w:val="clear" w:color="auto" w:fill="B8CCE4" w:themeFill="accent1" w:themeFillTint="66"/>
          </w:tcPr>
          <w:p w14:paraId="007BDBDE" w14:textId="77777777" w:rsidR="00150D04" w:rsidRPr="00726D52" w:rsidRDefault="00150D04" w:rsidP="00C05BFC">
            <w:pPr>
              <w:spacing w:after="0"/>
              <w:jc w:val="left"/>
              <w:rPr>
                <w:noProof/>
              </w:rPr>
            </w:pPr>
            <w:r w:rsidRPr="00726D52">
              <w:rPr>
                <w:b/>
                <w:bCs/>
                <w:noProof/>
              </w:rPr>
              <w:t>Sub policy option</w:t>
            </w:r>
            <w:r w:rsidRPr="00726D52">
              <w:rPr>
                <w:b/>
                <w:noProof/>
              </w:rPr>
              <w:t xml:space="preserve"> 2.4</w:t>
            </w:r>
            <w:r w:rsidRPr="00726D52">
              <w:rPr>
                <w:noProof/>
              </w:rPr>
              <w:t>: EU Digital Police Cloud and Europol support offices</w:t>
            </w:r>
          </w:p>
        </w:tc>
      </w:tr>
    </w:tbl>
    <w:p w14:paraId="47523D8F" w14:textId="77777777" w:rsidR="0065552A" w:rsidRPr="00726D52" w:rsidRDefault="0065552A" w:rsidP="00463B97">
      <w:pPr>
        <w:pStyle w:val="Heading3"/>
        <w:numPr>
          <w:ilvl w:val="0"/>
          <w:numId w:val="0"/>
        </w:numPr>
        <w:tabs>
          <w:tab w:val="clear" w:pos="9007"/>
        </w:tabs>
        <w:rPr>
          <w:b/>
          <w:bCs/>
          <w:noProof/>
        </w:rPr>
        <w:sectPr w:rsidR="0065552A" w:rsidRPr="00726D52" w:rsidSect="0065552A">
          <w:headerReference w:type="default" r:id="rId25"/>
          <w:footerReference w:type="default" r:id="rId26"/>
          <w:headerReference w:type="first" r:id="rId27"/>
          <w:footerReference w:type="first" r:id="rId28"/>
          <w:pgSz w:w="16838" w:h="11906" w:orient="landscape"/>
          <w:pgMar w:top="1588" w:right="1021" w:bottom="1701" w:left="1021" w:header="601" w:footer="1077" w:gutter="0"/>
          <w:cols w:space="720"/>
          <w:titlePg/>
        </w:sectPr>
      </w:pPr>
    </w:p>
    <w:p w14:paraId="5C8F55F6" w14:textId="34225FC6" w:rsidR="00C35BD4" w:rsidRPr="00726D52" w:rsidRDefault="00555968" w:rsidP="00555968">
      <w:pPr>
        <w:pStyle w:val="Heading3"/>
        <w:numPr>
          <w:ilvl w:val="0"/>
          <w:numId w:val="0"/>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BD4B4" w:themeFill="accent6" w:themeFillTint="66"/>
        <w:tabs>
          <w:tab w:val="clear" w:pos="9007"/>
        </w:tabs>
        <w:rPr>
          <w:b/>
          <w:bCs/>
          <w:noProof/>
        </w:rPr>
      </w:pPr>
      <w:r w:rsidRPr="00726D52">
        <w:rPr>
          <w:b/>
          <w:bCs/>
          <w:noProof/>
        </w:rPr>
        <w:lastRenderedPageBreak/>
        <w:t xml:space="preserve">4.1.1. </w:t>
      </w:r>
      <w:r w:rsidR="00986638" w:rsidRPr="00726D52">
        <w:rPr>
          <w:b/>
          <w:bCs/>
          <w:noProof/>
        </w:rPr>
        <w:t>Specific Objective</w:t>
      </w:r>
      <w:r w:rsidR="00C35BD4" w:rsidRPr="00726D52">
        <w:rPr>
          <w:b/>
          <w:bCs/>
          <w:noProof/>
        </w:rPr>
        <w:t xml:space="preserve"> 1: Reinforce Europol’s role as the EU operational</w:t>
      </w:r>
      <w:r w:rsidR="00D311DC" w:rsidRPr="00726D52">
        <w:rPr>
          <w:b/>
          <w:bCs/>
          <w:noProof/>
        </w:rPr>
        <w:t xml:space="preserve"> information hub</w:t>
      </w:r>
      <w:r w:rsidR="00E8281D" w:rsidRPr="00726D52">
        <w:rPr>
          <w:b/>
          <w:bCs/>
          <w:noProof/>
        </w:rPr>
        <w:t xml:space="preserve"> for law enforcement</w:t>
      </w:r>
    </w:p>
    <w:p w14:paraId="567A7D1A" w14:textId="6B740276" w:rsidR="00D311DC" w:rsidRPr="00726D52" w:rsidRDefault="00D311DC" w:rsidP="00986638">
      <w:pPr>
        <w:pStyle w:val="Heading4"/>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5B8B7" w:themeFill="accent2" w:themeFillTint="66"/>
        <w:rPr>
          <w:b/>
          <w:bCs/>
          <w:noProof/>
        </w:rPr>
      </w:pPr>
      <w:r w:rsidRPr="00726D52">
        <w:rPr>
          <w:b/>
          <w:bCs/>
          <w:noProof/>
        </w:rPr>
        <w:t>Policy Option 1: Reinforc</w:t>
      </w:r>
      <w:r w:rsidR="7C67ACD6" w:rsidRPr="00726D52">
        <w:rPr>
          <w:b/>
          <w:bCs/>
          <w:noProof/>
        </w:rPr>
        <w:t>ing</w:t>
      </w:r>
      <w:r w:rsidRPr="00726D52">
        <w:rPr>
          <w:b/>
          <w:bCs/>
          <w:noProof/>
        </w:rPr>
        <w:t xml:space="preserve"> Europol</w:t>
      </w:r>
      <w:r w:rsidR="5C444347" w:rsidRPr="00726D52">
        <w:rPr>
          <w:b/>
          <w:bCs/>
          <w:noProof/>
        </w:rPr>
        <w:t>’</w:t>
      </w:r>
      <w:r w:rsidR="30792A47" w:rsidRPr="00726D52">
        <w:rPr>
          <w:b/>
          <w:bCs/>
          <w:noProof/>
        </w:rPr>
        <w:t>s</w:t>
      </w:r>
      <w:r w:rsidRPr="00726D52">
        <w:rPr>
          <w:b/>
          <w:bCs/>
          <w:noProof/>
        </w:rPr>
        <w:t xml:space="preserve"> </w:t>
      </w:r>
      <w:r w:rsidR="74E9FF76" w:rsidRPr="00726D52">
        <w:rPr>
          <w:b/>
          <w:bCs/>
          <w:noProof/>
        </w:rPr>
        <w:t>existing</w:t>
      </w:r>
      <w:r w:rsidR="0BA80A8D" w:rsidRPr="00726D52">
        <w:rPr>
          <w:b/>
          <w:bCs/>
          <w:noProof/>
        </w:rPr>
        <w:t xml:space="preserve"> </w:t>
      </w:r>
      <w:r w:rsidRPr="00726D52">
        <w:rPr>
          <w:b/>
          <w:bCs/>
          <w:noProof/>
        </w:rPr>
        <w:t>model</w:t>
      </w:r>
    </w:p>
    <w:tbl>
      <w:tblPr>
        <w:tblStyle w:val="TableGrid"/>
        <w:tblW w:w="0" w:type="auto"/>
        <w:tblLook w:val="04A0" w:firstRow="1" w:lastRow="0" w:firstColumn="1" w:lastColumn="0" w:noHBand="0" w:noVBand="1"/>
      </w:tblPr>
      <w:tblGrid>
        <w:gridCol w:w="8608"/>
      </w:tblGrid>
      <w:tr w:rsidR="00D311DC" w:rsidRPr="00726D52" w14:paraId="30B2D8AA" w14:textId="77777777">
        <w:tc>
          <w:tcPr>
            <w:tcW w:w="9602" w:type="dxa"/>
            <w:shd w:val="clear" w:color="auto" w:fill="B8CCE4" w:themeFill="accent1" w:themeFillTint="66"/>
          </w:tcPr>
          <w:p w14:paraId="341E20A5" w14:textId="1BB450DF" w:rsidR="00D311DC" w:rsidRPr="00726D52" w:rsidRDefault="003E341D" w:rsidP="005B67CF">
            <w:pPr>
              <w:pStyle w:val="Text2"/>
              <w:tabs>
                <w:tab w:val="clear" w:pos="2302"/>
              </w:tabs>
              <w:spacing w:before="120" w:after="120"/>
              <w:ind w:left="0"/>
              <w:rPr>
                <w:noProof/>
                <w:lang w:eastAsia="fr-BE"/>
              </w:rPr>
            </w:pPr>
            <w:bookmarkStart w:id="9" w:name="_Hlk221266436"/>
            <w:r w:rsidRPr="00726D52">
              <w:rPr>
                <w:b/>
                <w:noProof/>
                <w:u w:val="single"/>
                <w:lang w:eastAsia="fr-BE"/>
              </w:rPr>
              <w:t>Sub-po</w:t>
            </w:r>
            <w:r w:rsidR="00D311DC" w:rsidRPr="00726D52">
              <w:rPr>
                <w:b/>
                <w:noProof/>
                <w:u w:val="single"/>
                <w:lang w:eastAsia="fr-BE"/>
              </w:rPr>
              <w:t>licy option 1.1</w:t>
            </w:r>
            <w:r w:rsidR="00D311DC" w:rsidRPr="00726D52">
              <w:rPr>
                <w:b/>
                <w:noProof/>
                <w:lang w:eastAsia="fr-BE"/>
              </w:rPr>
              <w:t>: Strengthened data availability, processing and service</w:t>
            </w:r>
          </w:p>
          <w:bookmarkEnd w:id="9"/>
          <w:p w14:paraId="02D71763" w14:textId="77777777" w:rsidR="00D311DC" w:rsidRPr="00726D52" w:rsidRDefault="00D311DC" w:rsidP="005B67CF">
            <w:pPr>
              <w:pStyle w:val="Text2"/>
              <w:numPr>
                <w:ilvl w:val="0"/>
                <w:numId w:val="4"/>
              </w:numPr>
              <w:tabs>
                <w:tab w:val="clear" w:pos="2302"/>
              </w:tabs>
              <w:spacing w:after="120"/>
              <w:rPr>
                <w:noProof/>
              </w:rPr>
            </w:pPr>
            <w:r w:rsidRPr="00726D52">
              <w:rPr>
                <w:noProof/>
              </w:rPr>
              <w:t>Improving data availability through targeted and incremental data-sharing obligations</w:t>
            </w:r>
          </w:p>
          <w:p w14:paraId="3A001859" w14:textId="77777777" w:rsidR="00D311DC" w:rsidRPr="00726D52" w:rsidRDefault="00D311DC" w:rsidP="005B67CF">
            <w:pPr>
              <w:pStyle w:val="Text2"/>
              <w:numPr>
                <w:ilvl w:val="0"/>
                <w:numId w:val="4"/>
              </w:numPr>
              <w:tabs>
                <w:tab w:val="clear" w:pos="2302"/>
              </w:tabs>
              <w:spacing w:after="120"/>
              <w:rPr>
                <w:noProof/>
              </w:rPr>
            </w:pPr>
            <w:r w:rsidRPr="00726D52">
              <w:rPr>
                <w:noProof/>
              </w:rPr>
              <w:t>Upgrading Europol systems and services to deliver stronger operational returns</w:t>
            </w:r>
          </w:p>
        </w:tc>
      </w:tr>
    </w:tbl>
    <w:p w14:paraId="582EAC6D" w14:textId="779C37BD" w:rsidR="00D311DC" w:rsidRPr="00726D52" w:rsidRDefault="00D311DC" w:rsidP="00792C25">
      <w:pPr>
        <w:spacing w:before="240" w:after="120"/>
        <w:rPr>
          <w:noProof/>
        </w:rPr>
      </w:pPr>
      <w:r w:rsidRPr="00726D52">
        <w:rPr>
          <w:noProof/>
        </w:rPr>
        <w:t xml:space="preserve">This </w:t>
      </w:r>
      <w:r w:rsidR="00712FE0" w:rsidRPr="00726D52">
        <w:rPr>
          <w:noProof/>
        </w:rPr>
        <w:t>sub-</w:t>
      </w:r>
      <w:r w:rsidRPr="00726D52">
        <w:rPr>
          <w:noProof/>
        </w:rPr>
        <w:t xml:space="preserve">policy option aims to strengthen Europol’s ability to support Member State investigations by improving the </w:t>
      </w:r>
      <w:r w:rsidRPr="00726D52">
        <w:rPr>
          <w:rStyle w:val="Strong"/>
          <w:noProof/>
        </w:rPr>
        <w:t>availability, timeliness and operational use of data</w:t>
      </w:r>
      <w:r w:rsidRPr="00726D52">
        <w:rPr>
          <w:noProof/>
        </w:rPr>
        <w:t xml:space="preserve">, while ensuring that enhanced cooperation delivers </w:t>
      </w:r>
      <w:r w:rsidRPr="00726D52">
        <w:rPr>
          <w:rStyle w:val="Strong"/>
          <w:noProof/>
        </w:rPr>
        <w:t>clear operational returns</w:t>
      </w:r>
      <w:r w:rsidRPr="00726D52">
        <w:rPr>
          <w:noProof/>
        </w:rPr>
        <w:t xml:space="preserve"> to Member States. It addresses the main technical, organisational and practical barriers to effective information exchange </w:t>
      </w:r>
      <w:r w:rsidRPr="00726D52">
        <w:rPr>
          <w:rStyle w:val="Strong"/>
          <w:noProof/>
        </w:rPr>
        <w:t>without introducing automatic or bulk data transfers</w:t>
      </w:r>
      <w:r w:rsidRPr="00726D52">
        <w:rPr>
          <w:noProof/>
        </w:rPr>
        <w:t>, and without altering the fundamental data-ownership model or Europol’s mandate.</w:t>
      </w:r>
    </w:p>
    <w:p w14:paraId="1199B40E" w14:textId="07C79B79" w:rsidR="00D311DC" w:rsidRPr="00726D52" w:rsidRDefault="003950C2" w:rsidP="00792C25">
      <w:pPr>
        <w:spacing w:after="120"/>
        <w:rPr>
          <w:noProof/>
        </w:rPr>
      </w:pPr>
      <w:r w:rsidRPr="00726D52">
        <w:rPr>
          <w:noProof/>
        </w:rPr>
        <w:t xml:space="preserve">The option focuses on </w:t>
      </w:r>
      <w:r w:rsidRPr="00726D52">
        <w:rPr>
          <w:b/>
          <w:bCs/>
          <w:noProof/>
        </w:rPr>
        <w:t>priority crime areas</w:t>
      </w:r>
      <w:r w:rsidRPr="00726D52">
        <w:rPr>
          <w:noProof/>
        </w:rPr>
        <w:t xml:space="preserve"> identified in the Europol Regulation (e.g., terrorism</w:t>
      </w:r>
      <w:r w:rsidR="00BC744C" w:rsidRPr="00726D52">
        <w:rPr>
          <w:noProof/>
        </w:rPr>
        <w:t xml:space="preserve"> and</w:t>
      </w:r>
      <w:r w:rsidRPr="00726D52">
        <w:rPr>
          <w:noProof/>
        </w:rPr>
        <w:t xml:space="preserve"> child sexual exploitation) where EU added value is clear. </w:t>
      </w:r>
      <w:r w:rsidRPr="00726D52">
        <w:rPr>
          <w:b/>
          <w:bCs/>
          <w:noProof/>
        </w:rPr>
        <w:t>Member States</w:t>
      </w:r>
      <w:r w:rsidRPr="00726D52">
        <w:rPr>
          <w:noProof/>
        </w:rPr>
        <w:t xml:space="preserve"> would have </w:t>
      </w:r>
      <w:r w:rsidRPr="00726D52">
        <w:rPr>
          <w:b/>
          <w:bCs/>
          <w:noProof/>
        </w:rPr>
        <w:t>limited, progressive duties</w:t>
      </w:r>
      <w:r w:rsidRPr="00726D52">
        <w:rPr>
          <w:noProof/>
        </w:rPr>
        <w:t xml:space="preserve"> to make relevant data available to Europol, building on existing cooperation practices.</w:t>
      </w:r>
    </w:p>
    <w:p w14:paraId="509D4A7C" w14:textId="2A66C66E" w:rsidR="00D311DC" w:rsidRPr="00726D52" w:rsidRDefault="00334D52" w:rsidP="00792C25">
      <w:pPr>
        <w:spacing w:after="120"/>
        <w:rPr>
          <w:noProof/>
        </w:rPr>
      </w:pPr>
      <w:r w:rsidRPr="00726D52">
        <w:rPr>
          <w:noProof/>
        </w:rPr>
        <w:t xml:space="preserve">A key measure is the </w:t>
      </w:r>
      <w:r w:rsidR="009F646B" w:rsidRPr="00726D52">
        <w:rPr>
          <w:b/>
          <w:bCs/>
          <w:noProof/>
        </w:rPr>
        <w:t>mandatory</w:t>
      </w:r>
      <w:r w:rsidR="009F646B" w:rsidRPr="00726D52">
        <w:rPr>
          <w:noProof/>
        </w:rPr>
        <w:t xml:space="preserve"> </w:t>
      </w:r>
      <w:r w:rsidRPr="00726D52">
        <w:rPr>
          <w:noProof/>
        </w:rPr>
        <w:t>deployment of technical</w:t>
      </w:r>
      <w:r w:rsidRPr="00726D52">
        <w:rPr>
          <w:b/>
          <w:bCs/>
          <w:noProof/>
        </w:rPr>
        <w:t xml:space="preserve"> data-loader solutions</w:t>
      </w:r>
      <w:r w:rsidRPr="00726D52">
        <w:rPr>
          <w:noProof/>
        </w:rPr>
        <w:t xml:space="preserve">, enabling </w:t>
      </w:r>
      <w:r w:rsidRPr="00726D52">
        <w:rPr>
          <w:b/>
          <w:bCs/>
          <w:noProof/>
        </w:rPr>
        <w:t>automated and timely data uploads</w:t>
      </w:r>
      <w:r w:rsidRPr="00726D52">
        <w:rPr>
          <w:noProof/>
        </w:rPr>
        <w:t xml:space="preserve"> while preserving </w:t>
      </w:r>
      <w:r w:rsidRPr="00726D52">
        <w:rPr>
          <w:b/>
          <w:bCs/>
          <w:noProof/>
        </w:rPr>
        <w:t>full Member State control</w:t>
      </w:r>
      <w:r w:rsidRPr="00726D52">
        <w:rPr>
          <w:noProof/>
        </w:rPr>
        <w:t xml:space="preserve"> over shared data. Experience shows such tools reduce administrative burden, increase timeliness, and support more systematic </w:t>
      </w:r>
      <w:r w:rsidR="00AA59DC" w:rsidRPr="00726D52">
        <w:rPr>
          <w:noProof/>
        </w:rPr>
        <w:t>information sharing</w:t>
      </w:r>
      <w:r w:rsidRPr="00726D52">
        <w:rPr>
          <w:noProof/>
        </w:rPr>
        <w:t>.</w:t>
      </w:r>
      <w:r w:rsidR="002A2FD4" w:rsidRPr="00726D52">
        <w:rPr>
          <w:rFonts w:ascii="Calibri" w:hAnsi="Calibri" w:cs="Calibri"/>
          <w:noProof/>
          <w:color w:val="000000"/>
          <w:sz w:val="20"/>
          <w:szCs w:val="20"/>
          <w:shd w:val="clear" w:color="auto" w:fill="FFFFFF"/>
        </w:rPr>
        <w:t xml:space="preserve"> </w:t>
      </w:r>
      <w:r w:rsidR="002A2FD4" w:rsidRPr="00726D52">
        <w:rPr>
          <w:noProof/>
        </w:rPr>
        <w:t xml:space="preserve">If all Member States were to contribute at levels comparable (per capita) to </w:t>
      </w:r>
      <w:r w:rsidRPr="00726D52">
        <w:rPr>
          <w:noProof/>
        </w:rPr>
        <w:t xml:space="preserve">Member States equipped with data loaders (such as </w:t>
      </w:r>
      <w:r w:rsidR="002A2FD4" w:rsidRPr="00726D52">
        <w:rPr>
          <w:noProof/>
        </w:rPr>
        <w:t>Germany and the Netherlands</w:t>
      </w:r>
      <w:r w:rsidR="000B5DFB" w:rsidRPr="00726D52">
        <w:rPr>
          <w:noProof/>
        </w:rPr>
        <w:t>)</w:t>
      </w:r>
      <w:r w:rsidR="00E42FF3" w:rsidRPr="00726D52">
        <w:rPr>
          <w:noProof/>
        </w:rPr>
        <w:t>, the</w:t>
      </w:r>
      <w:r w:rsidR="002A2FD4" w:rsidRPr="00726D52">
        <w:rPr>
          <w:noProof/>
        </w:rPr>
        <w:t xml:space="preserve"> overall EIS content could </w:t>
      </w:r>
      <w:r w:rsidR="008574DC" w:rsidRPr="00726D52">
        <w:rPr>
          <w:noProof/>
        </w:rPr>
        <w:t>potentially</w:t>
      </w:r>
      <w:r w:rsidR="002A2FD4" w:rsidRPr="00726D52">
        <w:rPr>
          <w:noProof/>
        </w:rPr>
        <w:t xml:space="preserve"> increase by 50% </w:t>
      </w:r>
      <w:r w:rsidR="000B5DFB" w:rsidRPr="00726D52">
        <w:rPr>
          <w:noProof/>
        </w:rPr>
        <w:t>in the short term</w:t>
      </w:r>
      <w:r w:rsidR="00D752C6" w:rsidRPr="00726D52">
        <w:rPr>
          <w:noProof/>
        </w:rPr>
        <w:t>, providing a more comprehensive threat intelligence picture and a greater chance of identifying interconnected cases.</w:t>
      </w:r>
    </w:p>
    <w:p w14:paraId="3D3F693D" w14:textId="21082446" w:rsidR="00D311DC" w:rsidRPr="00726D52" w:rsidRDefault="00D311DC" w:rsidP="00792C25">
      <w:pPr>
        <w:spacing w:after="120"/>
        <w:rPr>
          <w:noProof/>
        </w:rPr>
      </w:pPr>
      <w:r w:rsidRPr="00726D52">
        <w:rPr>
          <w:noProof/>
        </w:rPr>
        <w:t xml:space="preserve">This approach does not alter the </w:t>
      </w:r>
      <w:r w:rsidR="00E70D07" w:rsidRPr="00726D52">
        <w:rPr>
          <w:noProof/>
        </w:rPr>
        <w:t xml:space="preserve">possibility left to </w:t>
      </w:r>
      <w:r w:rsidRPr="00726D52">
        <w:rPr>
          <w:noProof/>
        </w:rPr>
        <w:t xml:space="preserve">Member States </w:t>
      </w:r>
      <w:r w:rsidR="00706979" w:rsidRPr="00726D52">
        <w:rPr>
          <w:noProof/>
        </w:rPr>
        <w:t xml:space="preserve">to decide not to supply information to Europol </w:t>
      </w:r>
      <w:r w:rsidRPr="00726D52">
        <w:rPr>
          <w:noProof/>
        </w:rPr>
        <w:t>under Article 7(7) of the Europol Regulation, nor does it confer autonomous data</w:t>
      </w:r>
      <w:r w:rsidR="00F42862" w:rsidRPr="00726D52">
        <w:rPr>
          <w:noProof/>
        </w:rPr>
        <w:t xml:space="preserve"> </w:t>
      </w:r>
      <w:r w:rsidRPr="00726D52">
        <w:rPr>
          <w:noProof/>
        </w:rPr>
        <w:t xml:space="preserve">collection powers on Europol. The focus is on </w:t>
      </w:r>
      <w:r w:rsidRPr="00726D52">
        <w:rPr>
          <w:rStyle w:val="Strong"/>
          <w:noProof/>
        </w:rPr>
        <w:t>technical readiness, predictability and consistency</w:t>
      </w:r>
      <w:r w:rsidRPr="00726D52">
        <w:rPr>
          <w:noProof/>
        </w:rPr>
        <w:t>, supported by transparency measures such as monitoring of response times, feedback loops to national units and aggregated reporting on responsiveness.</w:t>
      </w:r>
    </w:p>
    <w:p w14:paraId="792CD119" w14:textId="62479A56" w:rsidR="00423EB5" w:rsidRPr="00726D52" w:rsidRDefault="00906FFE" w:rsidP="00792C25">
      <w:pPr>
        <w:spacing w:after="120"/>
        <w:rPr>
          <w:noProof/>
        </w:rPr>
      </w:pPr>
      <w:r w:rsidRPr="00726D52">
        <w:rPr>
          <w:noProof/>
        </w:rPr>
        <w:t xml:space="preserve">A central component is a </w:t>
      </w:r>
      <w:r w:rsidRPr="00726D52">
        <w:rPr>
          <w:b/>
          <w:noProof/>
        </w:rPr>
        <w:t>major upgrade of Europol’s ICT infrastructure and core systems</w:t>
      </w:r>
      <w:r w:rsidRPr="00726D52">
        <w:rPr>
          <w:noProof/>
        </w:rPr>
        <w:t xml:space="preserve"> (including SIENA, EIS, EAS and QUEST/QUEST+)</w:t>
      </w:r>
      <w:r w:rsidR="008E6366" w:rsidRPr="00726D52">
        <w:rPr>
          <w:rStyle w:val="FootnoteReference"/>
          <w:noProof/>
        </w:rPr>
        <w:footnoteReference w:id="102"/>
      </w:r>
      <w:r w:rsidRPr="00726D52">
        <w:rPr>
          <w:noProof/>
        </w:rPr>
        <w:t xml:space="preserve">, improving scalability, automation, usability and performance. This ensures that increased data availability translates into tangible benefits for Member States. Where appropriate, proven EU technologies from </w:t>
      </w:r>
      <w:r w:rsidR="003E341D" w:rsidRPr="00726D52">
        <w:rPr>
          <w:noProof/>
        </w:rPr>
        <w:t>EU</w:t>
      </w:r>
      <w:r w:rsidRPr="00726D52">
        <w:rPr>
          <w:noProof/>
        </w:rPr>
        <w:t xml:space="preserve"> large-scale systems </w:t>
      </w:r>
      <w:r w:rsidR="003E341D" w:rsidRPr="00726D52">
        <w:rPr>
          <w:noProof/>
        </w:rPr>
        <w:t xml:space="preserve">provided by eu-LISA </w:t>
      </w:r>
      <w:r w:rsidRPr="00726D52">
        <w:rPr>
          <w:noProof/>
        </w:rPr>
        <w:t xml:space="preserve">could be reused to </w:t>
      </w:r>
      <w:r w:rsidRPr="00726D52">
        <w:rPr>
          <w:noProof/>
        </w:rPr>
        <w:lastRenderedPageBreak/>
        <w:t>enhance interoperability and resilience systems</w:t>
      </w:r>
      <w:r w:rsidR="00261864" w:rsidRPr="00726D52">
        <w:rPr>
          <w:rStyle w:val="FootnoteReference"/>
          <w:noProof/>
        </w:rPr>
        <w:footnoteReference w:id="103"/>
      </w:r>
      <w:r w:rsidRPr="00726D52">
        <w:rPr>
          <w:noProof/>
        </w:rPr>
        <w:t>.</w:t>
      </w:r>
      <w:r w:rsidR="00E127A2" w:rsidRPr="00726D52">
        <w:rPr>
          <w:noProof/>
        </w:rPr>
        <w:t xml:space="preserve"> This increase in capacity</w:t>
      </w:r>
      <w:r w:rsidR="009C1D1C" w:rsidRPr="00726D52">
        <w:rPr>
          <w:noProof/>
        </w:rPr>
        <w:t xml:space="preserve"> would enable systematic and automated cross-check against relevant EU information systems</w:t>
      </w:r>
      <w:r w:rsidR="00423EB5" w:rsidRPr="00726D52">
        <w:rPr>
          <w:rStyle w:val="FootnoteReference"/>
          <w:noProof/>
        </w:rPr>
        <w:footnoteReference w:id="104"/>
      </w:r>
      <w:r w:rsidR="00C33E36" w:rsidRPr="00726D52">
        <w:rPr>
          <w:noProof/>
        </w:rPr>
        <w:t>.</w:t>
      </w:r>
    </w:p>
    <w:p w14:paraId="66D2859A" w14:textId="10F33052" w:rsidR="00DF3026" w:rsidRPr="00726D52" w:rsidRDefault="00906FFE" w:rsidP="00792C25">
      <w:pPr>
        <w:spacing w:after="120"/>
        <w:rPr>
          <w:noProof/>
        </w:rPr>
      </w:pPr>
      <w:r w:rsidRPr="00726D52">
        <w:rPr>
          <w:noProof/>
        </w:rPr>
        <w:t xml:space="preserve">Europol’s role in maintaining </w:t>
      </w:r>
      <w:r w:rsidRPr="00726D52">
        <w:rPr>
          <w:b/>
          <w:noProof/>
        </w:rPr>
        <w:t>common technical and data standards</w:t>
      </w:r>
      <w:r w:rsidRPr="00726D52">
        <w:rPr>
          <w:noProof/>
        </w:rPr>
        <w:t>, notably the Universal Messaging Format (UMF), would be reinforced to reduce fragmentation, mapping costs and duplication, while supporting automation and data quality.</w:t>
      </w:r>
      <w:r w:rsidR="00DF3026" w:rsidRPr="00726D52">
        <w:rPr>
          <w:noProof/>
        </w:rPr>
        <w:t xml:space="preserve"> The option also consolidates Europol’s </w:t>
      </w:r>
      <w:r w:rsidR="00DF3026" w:rsidRPr="00726D52">
        <w:rPr>
          <w:b/>
          <w:bCs/>
          <w:noProof/>
        </w:rPr>
        <w:t>OSINT capacity</w:t>
      </w:r>
      <w:r w:rsidR="00CB02AC" w:rsidRPr="00726D52">
        <w:rPr>
          <w:rStyle w:val="FootnoteReference"/>
          <w:noProof/>
        </w:rPr>
        <w:footnoteReference w:id="105"/>
      </w:r>
      <w:r w:rsidR="00DF3026" w:rsidRPr="00726D52">
        <w:rPr>
          <w:noProof/>
        </w:rPr>
        <w:t xml:space="preserve">, including </w:t>
      </w:r>
      <w:r w:rsidR="00BA4326" w:rsidRPr="00726D52">
        <w:rPr>
          <w:noProof/>
        </w:rPr>
        <w:t xml:space="preserve">the </w:t>
      </w:r>
      <w:r w:rsidR="00BA4326" w:rsidRPr="00726D52">
        <w:rPr>
          <w:b/>
          <w:bCs/>
          <w:noProof/>
        </w:rPr>
        <w:t>application and deployment</w:t>
      </w:r>
      <w:r w:rsidR="00BA4326" w:rsidRPr="00726D52">
        <w:rPr>
          <w:noProof/>
        </w:rPr>
        <w:t xml:space="preserve"> </w:t>
      </w:r>
      <w:r w:rsidR="00BA4326" w:rsidRPr="00726D52">
        <w:rPr>
          <w:b/>
          <w:bCs/>
          <w:noProof/>
        </w:rPr>
        <w:t xml:space="preserve">of </w:t>
      </w:r>
      <w:r w:rsidR="00DF3026" w:rsidRPr="00726D52">
        <w:rPr>
          <w:b/>
          <w:bCs/>
          <w:noProof/>
        </w:rPr>
        <w:t>AI-assisted tools</w:t>
      </w:r>
      <w:r w:rsidR="00DF3026" w:rsidRPr="00726D52">
        <w:rPr>
          <w:noProof/>
        </w:rPr>
        <w:t>.</w:t>
      </w:r>
    </w:p>
    <w:p w14:paraId="5D77FA22" w14:textId="4C0D04BE" w:rsidR="00906FFE" w:rsidRPr="00726D52" w:rsidRDefault="00906FFE" w:rsidP="00792C25">
      <w:pPr>
        <w:spacing w:after="120"/>
        <w:rPr>
          <w:noProof/>
        </w:rPr>
      </w:pPr>
      <w:r w:rsidRPr="00726D52">
        <w:rPr>
          <w:noProof/>
        </w:rPr>
        <w:t xml:space="preserve">To reduce implementation costs, Europol could support </w:t>
      </w:r>
      <w:r w:rsidRPr="00726D52">
        <w:rPr>
          <w:b/>
          <w:noProof/>
        </w:rPr>
        <w:t>joint procurement of technical components</w:t>
      </w:r>
      <w:r w:rsidRPr="00726D52">
        <w:rPr>
          <w:noProof/>
        </w:rPr>
        <w:t xml:space="preserve"> (e.g.</w:t>
      </w:r>
      <w:r w:rsidR="00EA01EF" w:rsidRPr="00726D52">
        <w:rPr>
          <w:noProof/>
        </w:rPr>
        <w:t>,</w:t>
      </w:r>
      <w:r w:rsidRPr="00726D52">
        <w:rPr>
          <w:noProof/>
        </w:rPr>
        <w:t xml:space="preserve"> data-loaders and interfaces), promoting economies of scale and interoperability.</w:t>
      </w:r>
      <w:r w:rsidR="00E327DF" w:rsidRPr="00726D52">
        <w:rPr>
          <w:noProof/>
        </w:rPr>
        <w:t xml:space="preserve"> </w:t>
      </w:r>
      <w:r w:rsidRPr="00726D52">
        <w:rPr>
          <w:noProof/>
        </w:rPr>
        <w:t xml:space="preserve">Crucially, the option strengthens Europol’s </w:t>
      </w:r>
      <w:r w:rsidRPr="00726D52">
        <w:rPr>
          <w:b/>
          <w:noProof/>
        </w:rPr>
        <w:t>service and assistance role</w:t>
      </w:r>
      <w:r w:rsidRPr="00726D52">
        <w:rPr>
          <w:noProof/>
        </w:rPr>
        <w:t xml:space="preserve"> through a dedicated pool of ICT and data-management experts supporting Member States with deployment, troubleshooting, standards compliance and training. This ensures consistent uptake and practical operational benefits.</w:t>
      </w:r>
    </w:p>
    <w:p w14:paraId="5EC3CD7B" w14:textId="75904C39" w:rsidR="00906FFE" w:rsidRPr="00726D52" w:rsidRDefault="002618E6" w:rsidP="00792C25">
      <w:pPr>
        <w:rPr>
          <w:noProof/>
        </w:rPr>
      </w:pPr>
      <w:r w:rsidRPr="00726D52">
        <w:rPr>
          <w:noProof/>
        </w:rPr>
        <w:t>Overall, this</w:t>
      </w:r>
      <w:r w:rsidR="00712FE0" w:rsidRPr="00726D52">
        <w:rPr>
          <w:noProof/>
        </w:rPr>
        <w:t xml:space="preserve"> sub-policy</w:t>
      </w:r>
      <w:r w:rsidRPr="00726D52">
        <w:rPr>
          <w:noProof/>
        </w:rPr>
        <w:t xml:space="preserve"> option enhances the </w:t>
      </w:r>
      <w:r w:rsidRPr="00726D52">
        <w:rPr>
          <w:b/>
          <w:bCs/>
          <w:noProof/>
        </w:rPr>
        <w:t>availability, quality, and operational use of data</w:t>
      </w:r>
      <w:r w:rsidRPr="00726D52">
        <w:rPr>
          <w:noProof/>
        </w:rPr>
        <w:t xml:space="preserve"> while fully respecting </w:t>
      </w:r>
      <w:r w:rsidRPr="00726D52">
        <w:rPr>
          <w:b/>
          <w:bCs/>
          <w:noProof/>
        </w:rPr>
        <w:t>national autonomy and data ownership</w:t>
      </w:r>
      <w:r w:rsidRPr="00726D52">
        <w:rPr>
          <w:noProof/>
        </w:rPr>
        <w:t>, functioning as both a standalone upgrade and a key enabler for broader reform measures</w:t>
      </w:r>
      <w:r w:rsidR="00906FFE" w:rsidRPr="00726D52">
        <w:rPr>
          <w:noProof/>
        </w:rPr>
        <w:t>.</w:t>
      </w:r>
    </w:p>
    <w:tbl>
      <w:tblPr>
        <w:tblStyle w:val="TableGrid"/>
        <w:tblW w:w="0" w:type="auto"/>
        <w:tblLook w:val="04A0" w:firstRow="1" w:lastRow="0" w:firstColumn="1" w:lastColumn="0" w:noHBand="0" w:noVBand="1"/>
      </w:tblPr>
      <w:tblGrid>
        <w:gridCol w:w="8608"/>
      </w:tblGrid>
      <w:tr w:rsidR="00D311DC" w:rsidRPr="00726D52" w14:paraId="25CF258F" w14:textId="77777777" w:rsidTr="003F004B">
        <w:trPr>
          <w:trHeight w:val="1042"/>
        </w:trPr>
        <w:tc>
          <w:tcPr>
            <w:tcW w:w="8834" w:type="dxa"/>
            <w:shd w:val="clear" w:color="auto" w:fill="B8CCE4" w:themeFill="accent1" w:themeFillTint="66"/>
          </w:tcPr>
          <w:p w14:paraId="49F9C325" w14:textId="1782BD0B" w:rsidR="00D311DC" w:rsidRPr="00726D52" w:rsidRDefault="00B7035D" w:rsidP="005B67CF">
            <w:pPr>
              <w:pStyle w:val="Text2"/>
              <w:tabs>
                <w:tab w:val="clear" w:pos="2302"/>
              </w:tabs>
              <w:spacing w:before="120" w:after="120"/>
              <w:ind w:left="0"/>
              <w:rPr>
                <w:noProof/>
              </w:rPr>
            </w:pPr>
            <w:bookmarkStart w:id="10" w:name="_Hlk221266448"/>
            <w:r w:rsidRPr="00726D52">
              <w:rPr>
                <w:b/>
                <w:noProof/>
                <w:u w:val="single"/>
                <w:lang w:eastAsia="fr-BE"/>
              </w:rPr>
              <w:t>Sub</w:t>
            </w:r>
            <w:r w:rsidR="00D34AEF" w:rsidRPr="00726D52">
              <w:rPr>
                <w:b/>
                <w:noProof/>
                <w:u w:val="single"/>
                <w:lang w:eastAsia="fr-BE"/>
              </w:rPr>
              <w:t xml:space="preserve"> </w:t>
            </w:r>
            <w:r w:rsidRPr="00726D52">
              <w:rPr>
                <w:b/>
                <w:noProof/>
                <w:u w:val="single"/>
                <w:lang w:eastAsia="fr-BE"/>
              </w:rPr>
              <w:t>p</w:t>
            </w:r>
            <w:r w:rsidR="00D311DC" w:rsidRPr="00726D52">
              <w:rPr>
                <w:b/>
                <w:noProof/>
                <w:u w:val="single"/>
                <w:lang w:eastAsia="fr-BE"/>
              </w:rPr>
              <w:t>olicy option 1.</w:t>
            </w:r>
            <w:r w:rsidR="00D311DC" w:rsidRPr="00726D52">
              <w:rPr>
                <w:b/>
                <w:bCs/>
                <w:noProof/>
                <w:u w:val="single"/>
                <w:lang w:eastAsia="fr-BE"/>
              </w:rPr>
              <w:t>2</w:t>
            </w:r>
            <w:r w:rsidR="00D311DC" w:rsidRPr="00726D52">
              <w:rPr>
                <w:b/>
                <w:noProof/>
                <w:lang w:eastAsia="fr-BE"/>
              </w:rPr>
              <w:t xml:space="preserve">: </w:t>
            </w:r>
            <w:r w:rsidR="00D311DC" w:rsidRPr="00726D52">
              <w:rPr>
                <w:b/>
                <w:bCs/>
                <w:noProof/>
              </w:rPr>
              <w:t>Mitigating measures to address the obstacles of D</w:t>
            </w:r>
            <w:r w:rsidR="001F693A" w:rsidRPr="00726D52">
              <w:rPr>
                <w:b/>
                <w:bCs/>
                <w:noProof/>
              </w:rPr>
              <w:t xml:space="preserve">ata </w:t>
            </w:r>
            <w:r w:rsidR="00D311DC" w:rsidRPr="00726D52">
              <w:rPr>
                <w:b/>
                <w:bCs/>
                <w:noProof/>
              </w:rPr>
              <w:t>S</w:t>
            </w:r>
            <w:r w:rsidR="001F693A" w:rsidRPr="00726D52">
              <w:rPr>
                <w:b/>
                <w:bCs/>
                <w:noProof/>
              </w:rPr>
              <w:t xml:space="preserve">ubject </w:t>
            </w:r>
            <w:r w:rsidR="00D311DC" w:rsidRPr="00726D52">
              <w:rPr>
                <w:b/>
                <w:bCs/>
                <w:noProof/>
              </w:rPr>
              <w:t>C</w:t>
            </w:r>
            <w:r w:rsidR="001F693A" w:rsidRPr="00726D52">
              <w:rPr>
                <w:b/>
                <w:bCs/>
                <w:noProof/>
              </w:rPr>
              <w:t>ategorisation</w:t>
            </w:r>
          </w:p>
          <w:bookmarkEnd w:id="10"/>
          <w:p w14:paraId="0DC05024" w14:textId="72E2CA10" w:rsidR="00D311DC" w:rsidRPr="00726D52" w:rsidRDefault="00D311DC" w:rsidP="005B67CF">
            <w:pPr>
              <w:pStyle w:val="Text2"/>
              <w:numPr>
                <w:ilvl w:val="0"/>
                <w:numId w:val="4"/>
              </w:numPr>
              <w:spacing w:after="120"/>
              <w:rPr>
                <w:noProof/>
              </w:rPr>
            </w:pPr>
            <w:r w:rsidRPr="00726D52">
              <w:rPr>
                <w:noProof/>
              </w:rPr>
              <w:t>Smarter and faster implementation of Data Subject Categorisation</w:t>
            </w:r>
          </w:p>
        </w:tc>
      </w:tr>
    </w:tbl>
    <w:p w14:paraId="16E0A66F" w14:textId="35B6A8FA" w:rsidR="00D311DC" w:rsidRPr="00726D52" w:rsidRDefault="008A6999" w:rsidP="007367B7">
      <w:pPr>
        <w:pStyle w:val="Text2"/>
        <w:spacing w:before="240" w:after="120"/>
        <w:ind w:left="0"/>
        <w:rPr>
          <w:noProof/>
        </w:rPr>
      </w:pPr>
      <w:r w:rsidRPr="00726D52">
        <w:rPr>
          <w:noProof/>
        </w:rPr>
        <w:t xml:space="preserve">This sub-policy option aims to </w:t>
      </w:r>
      <w:r w:rsidRPr="00726D52">
        <w:rPr>
          <w:b/>
          <w:bCs/>
          <w:noProof/>
        </w:rPr>
        <w:t>improve the efficiency</w:t>
      </w:r>
      <w:r w:rsidRPr="00726D52">
        <w:rPr>
          <w:noProof/>
        </w:rPr>
        <w:t xml:space="preserve"> of </w:t>
      </w:r>
      <w:r w:rsidR="00DB75A5" w:rsidRPr="00726D52">
        <w:rPr>
          <w:noProof/>
        </w:rPr>
        <w:t>DSC</w:t>
      </w:r>
      <w:r w:rsidRPr="00726D52">
        <w:rPr>
          <w:noProof/>
        </w:rPr>
        <w:t xml:space="preserve"> at Europol without changing the existing legal framework. It focuses on mitigating the resource-intensive nature of current requirements by strengthening Europol’s operational procedures and technological capabilities</w:t>
      </w:r>
      <w:r w:rsidR="00D311DC" w:rsidRPr="00726D52">
        <w:rPr>
          <w:noProof/>
        </w:rPr>
        <w:t>.</w:t>
      </w:r>
    </w:p>
    <w:p w14:paraId="0BDCE164" w14:textId="49F8006B" w:rsidR="00CC4197" w:rsidRPr="00726D52" w:rsidRDefault="00CC4197" w:rsidP="001F693A">
      <w:pPr>
        <w:pStyle w:val="Text2"/>
        <w:spacing w:before="120"/>
        <w:ind w:left="0"/>
        <w:rPr>
          <w:noProof/>
        </w:rPr>
      </w:pPr>
      <w:r w:rsidRPr="00726D52">
        <w:rPr>
          <w:noProof/>
        </w:rPr>
        <w:t xml:space="preserve">In particular, Europol would deploy </w:t>
      </w:r>
      <w:r w:rsidRPr="00726D52">
        <w:rPr>
          <w:b/>
          <w:bCs/>
          <w:noProof/>
        </w:rPr>
        <w:t>advanced analytical tools</w:t>
      </w:r>
      <w:r w:rsidRPr="00726D52">
        <w:rPr>
          <w:noProof/>
        </w:rPr>
        <w:t xml:space="preserve"> and update internal guidelines to support faster and more consistent </w:t>
      </w:r>
      <w:r w:rsidR="00FE78AB" w:rsidRPr="00726D52">
        <w:rPr>
          <w:noProof/>
        </w:rPr>
        <w:t>DSC</w:t>
      </w:r>
      <w:r w:rsidRPr="00726D52">
        <w:rPr>
          <w:noProof/>
        </w:rPr>
        <w:t>. This could include operational manuals and standardised procedures for handling specific datasets, such as telecommunications data, open-source intelligence or financial information. The objective would be to streamline the process, enhance legal certainty and reduce the operational burden.</w:t>
      </w:r>
      <w:r w:rsidR="001F693A" w:rsidRPr="00726D52">
        <w:rPr>
          <w:noProof/>
        </w:rPr>
        <w:t xml:space="preserve"> The option would also strengthen cooperation with Member States to facilitate the efficient processing of complex datasets and support timely investigations.</w:t>
      </w:r>
    </w:p>
    <w:p w14:paraId="4AB44D6E" w14:textId="77777777" w:rsidR="00051421" w:rsidRPr="00726D52" w:rsidRDefault="00051421" w:rsidP="001F693A">
      <w:pPr>
        <w:pStyle w:val="Text2"/>
        <w:spacing w:before="120"/>
        <w:ind w:left="0"/>
        <w:rPr>
          <w:noProof/>
        </w:rPr>
      </w:pPr>
    </w:p>
    <w:p w14:paraId="6DF7E7E8" w14:textId="7BEDC414" w:rsidR="00D311DC" w:rsidRPr="00726D52" w:rsidRDefault="00D311DC" w:rsidP="008C79B9">
      <w:pPr>
        <w:pStyle w:val="Heading4"/>
        <w:pBdr>
          <w:top w:val="single" w:sz="4" w:space="1" w:color="auto"/>
          <w:left w:val="single" w:sz="4" w:space="4" w:color="auto"/>
          <w:bottom w:val="single" w:sz="4" w:space="1" w:color="auto"/>
          <w:right w:val="single" w:sz="4" w:space="4" w:color="auto"/>
        </w:pBdr>
        <w:shd w:val="clear" w:color="auto" w:fill="E5B8B7" w:themeFill="accent2" w:themeFillTint="66"/>
        <w:rPr>
          <w:b/>
          <w:bCs/>
          <w:noProof/>
        </w:rPr>
      </w:pPr>
      <w:r w:rsidRPr="00726D52">
        <w:rPr>
          <w:b/>
          <w:noProof/>
          <w:u w:val="single"/>
        </w:rPr>
        <w:lastRenderedPageBreak/>
        <w:t>Policy Option 2</w:t>
      </w:r>
      <w:r w:rsidRPr="00726D52">
        <w:rPr>
          <w:b/>
          <w:bCs/>
          <w:noProof/>
        </w:rPr>
        <w:t xml:space="preserve">: </w:t>
      </w:r>
      <w:r w:rsidR="283D6D55" w:rsidRPr="00726D52">
        <w:rPr>
          <w:b/>
          <w:bCs/>
          <w:noProof/>
        </w:rPr>
        <w:t xml:space="preserve">Designing </w:t>
      </w:r>
      <w:r w:rsidR="66F9E75C" w:rsidRPr="00726D52">
        <w:rPr>
          <w:b/>
          <w:bCs/>
          <w:noProof/>
        </w:rPr>
        <w:t>a</w:t>
      </w:r>
      <w:r w:rsidRPr="00726D52">
        <w:rPr>
          <w:b/>
          <w:bCs/>
          <w:noProof/>
        </w:rPr>
        <w:t xml:space="preserve"> new model for Europol </w:t>
      </w:r>
    </w:p>
    <w:tbl>
      <w:tblPr>
        <w:tblStyle w:val="TableGrid"/>
        <w:tblW w:w="0" w:type="auto"/>
        <w:tblLook w:val="04A0" w:firstRow="1" w:lastRow="0" w:firstColumn="1" w:lastColumn="0" w:noHBand="0" w:noVBand="1"/>
      </w:tblPr>
      <w:tblGrid>
        <w:gridCol w:w="8608"/>
      </w:tblGrid>
      <w:tr w:rsidR="00D311DC" w:rsidRPr="00726D52" w14:paraId="41425A19" w14:textId="77777777">
        <w:tc>
          <w:tcPr>
            <w:tcW w:w="9602" w:type="dxa"/>
            <w:shd w:val="clear" w:color="auto" w:fill="B8CCE4" w:themeFill="accent1" w:themeFillTint="66"/>
          </w:tcPr>
          <w:p w14:paraId="5A88A691" w14:textId="107B24F5" w:rsidR="00D311DC" w:rsidRPr="00726D52" w:rsidRDefault="008C79B9" w:rsidP="00051421">
            <w:pPr>
              <w:pStyle w:val="Text2"/>
              <w:tabs>
                <w:tab w:val="clear" w:pos="2302"/>
              </w:tabs>
              <w:spacing w:before="120" w:after="120"/>
              <w:ind w:left="0"/>
              <w:rPr>
                <w:b/>
                <w:bCs/>
                <w:noProof/>
              </w:rPr>
            </w:pPr>
            <w:bookmarkStart w:id="11" w:name="_Hlk221266460"/>
            <w:r w:rsidRPr="00726D52">
              <w:rPr>
                <w:b/>
                <w:noProof/>
                <w:u w:val="single"/>
                <w:lang w:eastAsia="fr-BE"/>
              </w:rPr>
              <w:t>Sub</w:t>
            </w:r>
            <w:r w:rsidR="00D34AEF" w:rsidRPr="00726D52">
              <w:rPr>
                <w:b/>
                <w:noProof/>
                <w:u w:val="single"/>
                <w:lang w:eastAsia="fr-BE"/>
              </w:rPr>
              <w:t xml:space="preserve"> </w:t>
            </w:r>
            <w:r w:rsidRPr="00726D52">
              <w:rPr>
                <w:b/>
                <w:noProof/>
                <w:u w:val="single"/>
                <w:lang w:eastAsia="fr-BE"/>
              </w:rPr>
              <w:t>p</w:t>
            </w:r>
            <w:r w:rsidR="00D311DC" w:rsidRPr="00726D52">
              <w:rPr>
                <w:b/>
                <w:noProof/>
                <w:u w:val="single"/>
                <w:lang w:eastAsia="fr-BE"/>
              </w:rPr>
              <w:t>olicy option 2.1</w:t>
            </w:r>
            <w:r w:rsidR="00D311DC" w:rsidRPr="00726D52">
              <w:rPr>
                <w:b/>
                <w:noProof/>
                <w:lang w:eastAsia="fr-BE"/>
              </w:rPr>
              <w:t xml:space="preserve">: </w:t>
            </w:r>
            <w:r w:rsidR="00D311DC" w:rsidRPr="00726D52">
              <w:rPr>
                <w:b/>
                <w:bCs/>
                <w:noProof/>
              </w:rPr>
              <w:t>Europol as an operational service provider and information hub</w:t>
            </w:r>
            <w:r w:rsidR="001D734A" w:rsidRPr="00726D52">
              <w:rPr>
                <w:b/>
                <w:bCs/>
                <w:noProof/>
              </w:rPr>
              <w:t xml:space="preserve"> for law enforcement</w:t>
            </w:r>
          </w:p>
          <w:bookmarkEnd w:id="11"/>
          <w:p w14:paraId="476AE91C" w14:textId="77777777" w:rsidR="00D311DC" w:rsidRPr="00726D52" w:rsidRDefault="00D311DC" w:rsidP="00051421">
            <w:pPr>
              <w:pStyle w:val="Text2"/>
              <w:numPr>
                <w:ilvl w:val="0"/>
                <w:numId w:val="4"/>
              </w:numPr>
              <w:tabs>
                <w:tab w:val="clear" w:pos="2302"/>
              </w:tabs>
              <w:spacing w:after="120"/>
              <w:rPr>
                <w:noProof/>
              </w:rPr>
            </w:pPr>
            <w:r w:rsidRPr="00726D52">
              <w:rPr>
                <w:noProof/>
              </w:rPr>
              <w:t>Authorised Europol access to national data</w:t>
            </w:r>
          </w:p>
          <w:p w14:paraId="4EAC40E4" w14:textId="77777777" w:rsidR="00D311DC" w:rsidRPr="00726D52" w:rsidRDefault="00D311DC" w:rsidP="00051421">
            <w:pPr>
              <w:pStyle w:val="Text2"/>
              <w:numPr>
                <w:ilvl w:val="0"/>
                <w:numId w:val="4"/>
              </w:numPr>
              <w:tabs>
                <w:tab w:val="clear" w:pos="2302"/>
              </w:tabs>
              <w:spacing w:after="120"/>
              <w:rPr>
                <w:noProof/>
              </w:rPr>
            </w:pPr>
            <w:r w:rsidRPr="00726D52">
              <w:rPr>
                <w:noProof/>
              </w:rPr>
              <w:t>Europol as a provider of operational services</w:t>
            </w:r>
          </w:p>
        </w:tc>
      </w:tr>
    </w:tbl>
    <w:p w14:paraId="298740CF" w14:textId="723D9149" w:rsidR="00D311DC" w:rsidRPr="00726D52" w:rsidRDefault="00D311DC" w:rsidP="00051421">
      <w:pPr>
        <w:spacing w:before="240" w:after="120"/>
        <w:rPr>
          <w:noProof/>
        </w:rPr>
      </w:pPr>
      <w:r w:rsidRPr="00726D52">
        <w:rPr>
          <w:noProof/>
        </w:rPr>
        <w:t xml:space="preserve">This </w:t>
      </w:r>
      <w:r w:rsidR="00051421" w:rsidRPr="00726D52">
        <w:rPr>
          <w:noProof/>
        </w:rPr>
        <w:t xml:space="preserve">sub </w:t>
      </w:r>
      <w:r w:rsidRPr="00726D52">
        <w:rPr>
          <w:noProof/>
        </w:rPr>
        <w:t xml:space="preserve">policy option strengthens Europol’s role as an </w:t>
      </w:r>
      <w:r w:rsidRPr="00726D52">
        <w:rPr>
          <w:b/>
          <w:bCs/>
          <w:noProof/>
        </w:rPr>
        <w:t>operational service provider acting on behalf of Member States</w:t>
      </w:r>
      <w:r w:rsidRPr="00726D52">
        <w:rPr>
          <w:noProof/>
        </w:rPr>
        <w:t xml:space="preserve">, by improving its ability to access, process and operationally exploit relevant information, while fully preserving </w:t>
      </w:r>
      <w:r w:rsidRPr="00726D52">
        <w:rPr>
          <w:b/>
          <w:bCs/>
          <w:noProof/>
        </w:rPr>
        <w:t>Member State data ownership, investigative autonomy and existing decentralised architectures</w:t>
      </w:r>
      <w:r w:rsidRPr="00726D52">
        <w:rPr>
          <w:noProof/>
        </w:rPr>
        <w:t>. It builds on existing EU frameworks, notably Prüm II</w:t>
      </w:r>
      <w:r w:rsidR="00466B6E" w:rsidRPr="00726D52">
        <w:rPr>
          <w:rStyle w:val="FootnoteReference"/>
          <w:noProof/>
        </w:rPr>
        <w:footnoteReference w:id="106"/>
      </w:r>
      <w:r w:rsidR="00051421" w:rsidRPr="00726D52">
        <w:rPr>
          <w:noProof/>
        </w:rPr>
        <w:t>,</w:t>
      </w:r>
      <w:r w:rsidRPr="00726D52">
        <w:rPr>
          <w:noProof/>
        </w:rPr>
        <w:t xml:space="preserve"> and focuses on targeted extensions where clear EU added value and operational necessity are demonstrated.</w:t>
      </w:r>
    </w:p>
    <w:p w14:paraId="0B7B91C7" w14:textId="4B97308A" w:rsidR="00FC2AC7" w:rsidRPr="00726D52" w:rsidRDefault="00D311DC" w:rsidP="006B51E4">
      <w:pPr>
        <w:rPr>
          <w:noProof/>
        </w:rPr>
      </w:pPr>
      <w:r w:rsidRPr="00726D52">
        <w:rPr>
          <w:noProof/>
        </w:rPr>
        <w:t xml:space="preserve">Under this option, Europol would be allowed, </w:t>
      </w:r>
      <w:r w:rsidR="00A8136E" w:rsidRPr="00726D52">
        <w:rPr>
          <w:b/>
          <w:bCs/>
          <w:noProof/>
        </w:rPr>
        <w:t>with the</w:t>
      </w:r>
      <w:r w:rsidRPr="00726D52">
        <w:rPr>
          <w:b/>
          <w:bCs/>
          <w:noProof/>
        </w:rPr>
        <w:t xml:space="preserve"> explicit authoris</w:t>
      </w:r>
      <w:r w:rsidR="00A8136E" w:rsidRPr="00726D52">
        <w:rPr>
          <w:b/>
          <w:bCs/>
          <w:noProof/>
        </w:rPr>
        <w:t>ation</w:t>
      </w:r>
      <w:r w:rsidR="00FC2AC7" w:rsidRPr="00726D52">
        <w:rPr>
          <w:b/>
          <w:bCs/>
          <w:noProof/>
        </w:rPr>
        <w:t xml:space="preserve"> of</w:t>
      </w:r>
      <w:r w:rsidRPr="00726D52">
        <w:rPr>
          <w:b/>
          <w:bCs/>
          <w:noProof/>
        </w:rPr>
        <w:t xml:space="preserve"> the data-owning Member State(s)</w:t>
      </w:r>
      <w:r w:rsidRPr="00726D52">
        <w:rPr>
          <w:noProof/>
        </w:rPr>
        <w:t xml:space="preserve">, </w:t>
      </w:r>
      <w:r w:rsidR="00FC2AC7" w:rsidRPr="00726D52">
        <w:rPr>
          <w:noProof/>
        </w:rPr>
        <w:t xml:space="preserve">to query national databases already connected </w:t>
      </w:r>
      <w:r w:rsidR="002F4E99" w:rsidRPr="00726D52">
        <w:rPr>
          <w:noProof/>
        </w:rPr>
        <w:t>under</w:t>
      </w:r>
      <w:r w:rsidR="00FC2AC7" w:rsidRPr="00726D52">
        <w:rPr>
          <w:noProof/>
        </w:rPr>
        <w:t xml:space="preserve"> EU information exchange mechanisms, in particular the Prüm II framework. </w:t>
      </w:r>
      <w:r w:rsidR="002F4E99" w:rsidRPr="00726D52">
        <w:rPr>
          <w:noProof/>
        </w:rPr>
        <w:t>This would include national biometric databases (DNA</w:t>
      </w:r>
      <w:r w:rsidR="00692182" w:rsidRPr="00726D52">
        <w:rPr>
          <w:noProof/>
        </w:rPr>
        <w:t xml:space="preserve"> profiles</w:t>
      </w:r>
      <w:r w:rsidR="002F4E99" w:rsidRPr="00726D52">
        <w:rPr>
          <w:noProof/>
        </w:rPr>
        <w:t>, fingerprints and facial images), police record indexes (EPRIS) and vehicle registration data</w:t>
      </w:r>
      <w:r w:rsidR="009A09D8" w:rsidRPr="00726D52">
        <w:rPr>
          <w:noProof/>
        </w:rPr>
        <w:t xml:space="preserve"> (EUCARIS)</w:t>
      </w:r>
      <w:r w:rsidR="00A0624D" w:rsidRPr="00726D52">
        <w:rPr>
          <w:noProof/>
        </w:rPr>
        <w:t>.</w:t>
      </w:r>
    </w:p>
    <w:p w14:paraId="551C591E" w14:textId="24108AE1" w:rsidR="00D311DC" w:rsidRPr="00726D52" w:rsidRDefault="00D311DC" w:rsidP="006B51E4">
      <w:pPr>
        <w:rPr>
          <w:noProof/>
        </w:rPr>
      </w:pPr>
      <w:r w:rsidRPr="00726D52">
        <w:rPr>
          <w:noProof/>
        </w:rPr>
        <w:t xml:space="preserve">The key change would be to </w:t>
      </w:r>
      <w:r w:rsidRPr="00726D52">
        <w:rPr>
          <w:b/>
          <w:bCs/>
          <w:noProof/>
        </w:rPr>
        <w:t xml:space="preserve">remove the current restriction linked to the origin of the data </w:t>
      </w:r>
      <w:r w:rsidR="00E715E4" w:rsidRPr="00726D52">
        <w:rPr>
          <w:b/>
          <w:bCs/>
          <w:noProof/>
        </w:rPr>
        <w:t xml:space="preserve">to be </w:t>
      </w:r>
      <w:r w:rsidRPr="00726D52">
        <w:rPr>
          <w:b/>
          <w:bCs/>
          <w:noProof/>
        </w:rPr>
        <w:t>used by Europol</w:t>
      </w:r>
      <w:r w:rsidRPr="00726D52">
        <w:rPr>
          <w:noProof/>
        </w:rPr>
        <w:t xml:space="preserve"> when launching queries, allowing Europol to use authorised national data in addition to </w:t>
      </w:r>
      <w:r w:rsidR="00726D52" w:rsidRPr="00726D52">
        <w:rPr>
          <w:noProof/>
        </w:rPr>
        <w:t>third country</w:t>
      </w:r>
      <w:r w:rsidRPr="00726D52">
        <w:rPr>
          <w:noProof/>
        </w:rPr>
        <w:t>-sourced data</w:t>
      </w:r>
      <w:r w:rsidR="000F3CE5" w:rsidRPr="00726D52">
        <w:rPr>
          <w:rStyle w:val="FootnoteReference"/>
          <w:noProof/>
        </w:rPr>
        <w:footnoteReference w:id="107"/>
      </w:r>
      <w:r w:rsidRPr="00726D52">
        <w:rPr>
          <w:noProof/>
        </w:rPr>
        <w:t xml:space="preserve">. Europol would act strictly </w:t>
      </w:r>
      <w:r w:rsidRPr="00726D52">
        <w:rPr>
          <w:b/>
          <w:bCs/>
          <w:noProof/>
        </w:rPr>
        <w:t>on behalf of and within the scope defined by the authorising Member State(s)</w:t>
      </w:r>
      <w:r w:rsidR="00C62ACC" w:rsidRPr="00726D52">
        <w:rPr>
          <w:rStyle w:val="FootnoteReference"/>
          <w:noProof/>
        </w:rPr>
        <w:footnoteReference w:id="108"/>
      </w:r>
      <w:r w:rsidRPr="00726D52">
        <w:rPr>
          <w:noProof/>
        </w:rPr>
        <w:t>.</w:t>
      </w:r>
    </w:p>
    <w:p w14:paraId="3B93C484" w14:textId="5E761832" w:rsidR="00D311DC" w:rsidRPr="00726D52" w:rsidRDefault="00D311DC" w:rsidP="006B51E4">
      <w:pPr>
        <w:rPr>
          <w:noProof/>
        </w:rPr>
      </w:pPr>
      <w:r w:rsidRPr="00726D52">
        <w:rPr>
          <w:noProof/>
        </w:rPr>
        <w:t xml:space="preserve">For non-biometric data, this represents a proportionate extension of Europol’s existing analytical role, removing an artificial constraint that limits operational effectiveness. For biometric data, Europol would function as a </w:t>
      </w:r>
      <w:r w:rsidRPr="00726D52">
        <w:rPr>
          <w:b/>
          <w:bCs/>
          <w:noProof/>
        </w:rPr>
        <w:t>technical and forensic service provider</w:t>
      </w:r>
      <w:r w:rsidRPr="00726D52">
        <w:rPr>
          <w:noProof/>
        </w:rPr>
        <w:t>, supporting Member States by launching authorised queries, handling complex matches and providing expert analysis, particularly in time-critical or large-scale cases (e.g.</w:t>
      </w:r>
      <w:r w:rsidR="00705E8C" w:rsidRPr="00726D52">
        <w:rPr>
          <w:noProof/>
        </w:rPr>
        <w:t>,</w:t>
      </w:r>
      <w:r w:rsidRPr="00726D52">
        <w:rPr>
          <w:noProof/>
        </w:rPr>
        <w:t xml:space="preserve"> terrorist attacks</w:t>
      </w:r>
      <w:r w:rsidR="00705E8C" w:rsidRPr="00726D52">
        <w:rPr>
          <w:noProof/>
        </w:rPr>
        <w:t xml:space="preserve"> or</w:t>
      </w:r>
      <w:r w:rsidRPr="00726D52">
        <w:rPr>
          <w:noProof/>
        </w:rPr>
        <w:t xml:space="preserve"> mass casualty events). Authorisations could be granted on a standing or ad-hoc basis.</w:t>
      </w:r>
    </w:p>
    <w:p w14:paraId="388862D5" w14:textId="6F5E14D1" w:rsidR="00D311DC" w:rsidRPr="00726D52" w:rsidRDefault="00DD3396" w:rsidP="006B51E4">
      <w:pPr>
        <w:rPr>
          <w:noProof/>
        </w:rPr>
      </w:pPr>
      <w:r w:rsidRPr="00726D52">
        <w:rPr>
          <w:noProof/>
        </w:rPr>
        <w:t xml:space="preserve">Beyond data access, this option </w:t>
      </w:r>
      <w:r w:rsidR="000E3B64" w:rsidRPr="00726D52">
        <w:rPr>
          <w:noProof/>
        </w:rPr>
        <w:t xml:space="preserve">would also </w:t>
      </w:r>
      <w:r w:rsidRPr="00726D52">
        <w:rPr>
          <w:noProof/>
        </w:rPr>
        <w:t xml:space="preserve">position </w:t>
      </w:r>
      <w:r w:rsidRPr="00726D52">
        <w:rPr>
          <w:b/>
          <w:noProof/>
        </w:rPr>
        <w:t>Europol as a provider of shared EU-level operational and technical services</w:t>
      </w:r>
      <w:r w:rsidRPr="00726D52">
        <w:rPr>
          <w:noProof/>
        </w:rPr>
        <w:t xml:space="preserve">, reducing fragmentation, dependencies, and costs. </w:t>
      </w:r>
      <w:r w:rsidR="000E3B64" w:rsidRPr="00726D52">
        <w:rPr>
          <w:noProof/>
        </w:rPr>
        <w:t xml:space="preserve">These services would be optional, demand-driven and subject to strong Member </w:t>
      </w:r>
      <w:r w:rsidR="000E3B64" w:rsidRPr="00726D52">
        <w:rPr>
          <w:noProof/>
        </w:rPr>
        <w:lastRenderedPageBreak/>
        <w:t>State oversight</w:t>
      </w:r>
      <w:r w:rsidRPr="00726D52">
        <w:rPr>
          <w:noProof/>
        </w:rPr>
        <w:t>.</w:t>
      </w:r>
      <w:r w:rsidR="000E3B64" w:rsidRPr="00726D52">
        <w:rPr>
          <w:noProof/>
        </w:rPr>
        <w:t xml:space="preserve"> </w:t>
      </w:r>
      <w:r w:rsidRPr="00726D52">
        <w:rPr>
          <w:noProof/>
        </w:rPr>
        <w:t xml:space="preserve">A key example is an </w:t>
      </w:r>
      <w:r w:rsidRPr="00726D52">
        <w:rPr>
          <w:b/>
          <w:noProof/>
        </w:rPr>
        <w:t>EU DNA matching service</w:t>
      </w:r>
      <w:r w:rsidR="004764D1" w:rsidRPr="00726D52">
        <w:rPr>
          <w:rStyle w:val="FootnoteReference"/>
          <w:bCs/>
          <w:noProof/>
        </w:rPr>
        <w:footnoteReference w:id="109"/>
      </w:r>
      <w:r w:rsidR="004764D1" w:rsidRPr="00726D52">
        <w:rPr>
          <w:bCs/>
          <w:noProof/>
        </w:rPr>
        <w:t>, as Member States currently rely on different technologies, including third-country tools.</w:t>
      </w:r>
      <w:r w:rsidR="001B4423" w:rsidRPr="00726D52">
        <w:rPr>
          <w:bCs/>
          <w:noProof/>
        </w:rPr>
        <w:t xml:space="preserve"> An EU-level service facilitated by Europol would support </w:t>
      </w:r>
      <w:r w:rsidR="001B4423" w:rsidRPr="00726D52">
        <w:rPr>
          <w:b/>
          <w:noProof/>
        </w:rPr>
        <w:t>Prüm II implementation</w:t>
      </w:r>
      <w:r w:rsidR="001B4423" w:rsidRPr="00726D52">
        <w:rPr>
          <w:bCs/>
          <w:noProof/>
        </w:rPr>
        <w:t>, reduce external dependencies and ensure interoperability</w:t>
      </w:r>
      <w:r w:rsidR="000A1C38" w:rsidRPr="00726D52">
        <w:rPr>
          <w:bCs/>
          <w:noProof/>
        </w:rPr>
        <w:t>, while</w:t>
      </w:r>
      <w:r w:rsidR="00DF5E1D" w:rsidRPr="00726D52">
        <w:rPr>
          <w:bCs/>
          <w:noProof/>
        </w:rPr>
        <w:t xml:space="preserve"> </w:t>
      </w:r>
      <w:r w:rsidRPr="00726D52">
        <w:rPr>
          <w:noProof/>
        </w:rPr>
        <w:t>reduc</w:t>
      </w:r>
      <w:r w:rsidR="000A1C38" w:rsidRPr="00726D52">
        <w:rPr>
          <w:noProof/>
        </w:rPr>
        <w:t>ing</w:t>
      </w:r>
      <w:r w:rsidRPr="00726D52">
        <w:rPr>
          <w:noProof/>
        </w:rPr>
        <w:t xml:space="preserve"> dependency on third-country tools.</w:t>
      </w:r>
    </w:p>
    <w:tbl>
      <w:tblPr>
        <w:tblStyle w:val="TableGrid"/>
        <w:tblW w:w="0" w:type="auto"/>
        <w:tblLook w:val="04A0" w:firstRow="1" w:lastRow="0" w:firstColumn="1" w:lastColumn="0" w:noHBand="0" w:noVBand="1"/>
      </w:tblPr>
      <w:tblGrid>
        <w:gridCol w:w="8608"/>
      </w:tblGrid>
      <w:tr w:rsidR="00D311DC" w:rsidRPr="00726D52" w14:paraId="0F9BFCE5" w14:textId="77777777" w:rsidTr="00B857D4">
        <w:trPr>
          <w:trHeight w:val="1042"/>
        </w:trPr>
        <w:tc>
          <w:tcPr>
            <w:tcW w:w="8834" w:type="dxa"/>
            <w:shd w:val="clear" w:color="auto" w:fill="B8CCE4" w:themeFill="accent1" w:themeFillTint="66"/>
          </w:tcPr>
          <w:p w14:paraId="4DC41E85" w14:textId="4BA9BAEB" w:rsidR="00D311DC" w:rsidRPr="00726D52" w:rsidRDefault="00EC0418" w:rsidP="001B4423">
            <w:pPr>
              <w:pStyle w:val="Text2"/>
              <w:tabs>
                <w:tab w:val="clear" w:pos="2302"/>
              </w:tabs>
              <w:spacing w:before="120" w:after="120"/>
              <w:ind w:left="0"/>
              <w:rPr>
                <w:noProof/>
              </w:rPr>
            </w:pPr>
            <w:r w:rsidRPr="00726D52">
              <w:rPr>
                <w:b/>
                <w:noProof/>
                <w:u w:val="single"/>
                <w:lang w:eastAsia="fr-BE"/>
              </w:rPr>
              <w:t>Sub p</w:t>
            </w:r>
            <w:r w:rsidR="00D311DC" w:rsidRPr="00726D52">
              <w:rPr>
                <w:b/>
                <w:noProof/>
                <w:u w:val="single"/>
                <w:lang w:eastAsia="fr-BE"/>
              </w:rPr>
              <w:t>olicy option 2.2</w:t>
            </w:r>
            <w:r w:rsidR="00D311DC" w:rsidRPr="00726D52">
              <w:rPr>
                <w:b/>
                <w:noProof/>
                <w:lang w:eastAsia="fr-BE"/>
              </w:rPr>
              <w:t xml:space="preserve">: </w:t>
            </w:r>
            <w:r w:rsidR="00D311DC" w:rsidRPr="00726D52">
              <w:rPr>
                <w:b/>
                <w:bCs/>
                <w:noProof/>
              </w:rPr>
              <w:t xml:space="preserve">Simplified rules to </w:t>
            </w:r>
            <w:r w:rsidR="00D750EF" w:rsidRPr="00726D52">
              <w:rPr>
                <w:b/>
                <w:bCs/>
                <w:noProof/>
              </w:rPr>
              <w:t>reduce the administrative burden</w:t>
            </w:r>
            <w:r w:rsidR="00D311DC" w:rsidRPr="00726D52">
              <w:rPr>
                <w:b/>
                <w:bCs/>
                <w:noProof/>
              </w:rPr>
              <w:t xml:space="preserve"> of </w:t>
            </w:r>
            <w:r w:rsidR="000A1C38" w:rsidRPr="00726D52">
              <w:rPr>
                <w:b/>
                <w:bCs/>
                <w:noProof/>
              </w:rPr>
              <w:t>D</w:t>
            </w:r>
            <w:r w:rsidR="00D311DC" w:rsidRPr="00726D52">
              <w:rPr>
                <w:b/>
                <w:bCs/>
                <w:noProof/>
              </w:rPr>
              <w:t xml:space="preserve">ata </w:t>
            </w:r>
            <w:r w:rsidR="000A1C38" w:rsidRPr="00726D52">
              <w:rPr>
                <w:b/>
                <w:bCs/>
                <w:noProof/>
              </w:rPr>
              <w:t>S</w:t>
            </w:r>
            <w:r w:rsidR="00D311DC" w:rsidRPr="00726D52">
              <w:rPr>
                <w:b/>
                <w:bCs/>
                <w:noProof/>
              </w:rPr>
              <w:t xml:space="preserve">ubject </w:t>
            </w:r>
            <w:r w:rsidR="003E1538" w:rsidRPr="00726D52">
              <w:rPr>
                <w:b/>
                <w:bCs/>
                <w:noProof/>
              </w:rPr>
              <w:t>C</w:t>
            </w:r>
            <w:r w:rsidR="00D311DC" w:rsidRPr="00726D52">
              <w:rPr>
                <w:b/>
                <w:bCs/>
                <w:noProof/>
              </w:rPr>
              <w:t>ategorisation</w:t>
            </w:r>
          </w:p>
          <w:p w14:paraId="77D3B38C" w14:textId="77777777" w:rsidR="00D311DC" w:rsidRPr="00726D52" w:rsidRDefault="00D311DC" w:rsidP="001B4423">
            <w:pPr>
              <w:pStyle w:val="Text2"/>
              <w:numPr>
                <w:ilvl w:val="0"/>
                <w:numId w:val="4"/>
              </w:numPr>
              <w:spacing w:after="120"/>
              <w:rPr>
                <w:noProof/>
              </w:rPr>
            </w:pPr>
            <w:r w:rsidRPr="00726D52">
              <w:rPr>
                <w:noProof/>
              </w:rPr>
              <w:t>Aligning the rules with already existing legal frameworks</w:t>
            </w:r>
          </w:p>
        </w:tc>
      </w:tr>
    </w:tbl>
    <w:p w14:paraId="6E419A8E" w14:textId="6EBE1654" w:rsidR="00D311DC" w:rsidRPr="00726D52" w:rsidRDefault="00B857D4" w:rsidP="001B4423">
      <w:pPr>
        <w:spacing w:before="240"/>
        <w:rPr>
          <w:noProof/>
        </w:rPr>
      </w:pPr>
      <w:r w:rsidRPr="00726D52">
        <w:rPr>
          <w:noProof/>
        </w:rPr>
        <w:t>This sub-policy option would entail a legislative overhaul</w:t>
      </w:r>
      <w:r w:rsidR="00415AEB" w:rsidRPr="00726D52">
        <w:rPr>
          <w:noProof/>
        </w:rPr>
        <w:t>,</w:t>
      </w:r>
      <w:r w:rsidRPr="00726D52">
        <w:rPr>
          <w:noProof/>
        </w:rPr>
        <w:t xml:space="preserve"> aligning the Europol Regulation with the EU Data Protection Regulation (EUDPR) and the Law Enforcement Directive (LED),</w:t>
      </w:r>
      <w:r w:rsidR="001B0628" w:rsidRPr="00726D52">
        <w:rPr>
          <w:noProof/>
        </w:rPr>
        <w:t xml:space="preserve"> to establish an appropriate legal framework for Europol,</w:t>
      </w:r>
      <w:r w:rsidRPr="00726D52">
        <w:rPr>
          <w:noProof/>
        </w:rPr>
        <w:t xml:space="preserve"> simplifying the rules for data processing </w:t>
      </w:r>
      <w:r w:rsidR="00EA0F35" w:rsidRPr="00726D52">
        <w:rPr>
          <w:noProof/>
        </w:rPr>
        <w:t xml:space="preserve">and improving Europol’s operational flexibility, </w:t>
      </w:r>
      <w:r w:rsidRPr="00726D52">
        <w:rPr>
          <w:noProof/>
        </w:rPr>
        <w:t>while maintaining a high level of data protection.</w:t>
      </w:r>
    </w:p>
    <w:p w14:paraId="5CE8D2B7" w14:textId="6F594CAE" w:rsidR="00E360B0" w:rsidRPr="00726D52" w:rsidRDefault="00E360B0" w:rsidP="001B4423">
      <w:pPr>
        <w:spacing w:before="240"/>
        <w:rPr>
          <w:noProof/>
        </w:rPr>
      </w:pPr>
      <w:r w:rsidRPr="00726D52">
        <w:rPr>
          <w:noProof/>
        </w:rPr>
        <w:t xml:space="preserve">Under this approach, DSC would be required “where applicable and as far as possible”, rather than as a strict </w:t>
      </w:r>
      <w:r w:rsidRPr="00726D52">
        <w:rPr>
          <w:i/>
          <w:iCs/>
          <w:noProof/>
        </w:rPr>
        <w:t>ex ante</w:t>
      </w:r>
      <w:r w:rsidRPr="00726D52">
        <w:rPr>
          <w:noProof/>
        </w:rPr>
        <w:t xml:space="preserve"> condition for accepting and processing </w:t>
      </w:r>
      <w:r w:rsidR="00EA0F35" w:rsidRPr="00726D52">
        <w:rPr>
          <w:noProof/>
        </w:rPr>
        <w:t>all</w:t>
      </w:r>
      <w:r w:rsidRPr="00726D52">
        <w:rPr>
          <w:noProof/>
        </w:rPr>
        <w:t xml:space="preserve"> data. Categorisation would instead take place when data is operationally used, allowing Europol to process larger and more complex datasets while ensuring proportionate and meaningful classification.</w:t>
      </w:r>
    </w:p>
    <w:p w14:paraId="23009228" w14:textId="693FFAF6" w:rsidR="003F1814" w:rsidRPr="00726D52" w:rsidRDefault="005508BF" w:rsidP="00A84B05">
      <w:pPr>
        <w:spacing w:before="240"/>
        <w:rPr>
          <w:noProof/>
        </w:rPr>
      </w:pPr>
      <w:r w:rsidRPr="00726D52">
        <w:rPr>
          <w:noProof/>
        </w:rPr>
        <w:t xml:space="preserve">This framework would provide </w:t>
      </w:r>
      <w:r w:rsidRPr="00726D52">
        <w:rPr>
          <w:b/>
          <w:bCs/>
          <w:noProof/>
        </w:rPr>
        <w:t>greater legal clarity</w:t>
      </w:r>
      <w:r w:rsidRPr="00726D52">
        <w:rPr>
          <w:noProof/>
        </w:rPr>
        <w:t>, support the use of advanced analytical tools and machine learning</w:t>
      </w:r>
      <w:r w:rsidR="0091687C" w:rsidRPr="00726D52">
        <w:rPr>
          <w:noProof/>
        </w:rPr>
        <w:t xml:space="preserve"> by enabling more consistent processing</w:t>
      </w:r>
      <w:r w:rsidRPr="00726D52">
        <w:rPr>
          <w:noProof/>
        </w:rPr>
        <w:t xml:space="preserve"> and </w:t>
      </w:r>
      <w:r w:rsidR="0091687C" w:rsidRPr="00726D52">
        <w:rPr>
          <w:noProof/>
        </w:rPr>
        <w:t>analysis of large and complex datasets</w:t>
      </w:r>
      <w:r w:rsidRPr="00726D52">
        <w:rPr>
          <w:noProof/>
        </w:rPr>
        <w:t xml:space="preserve">, and reduce operational bottlenecks. Oversight by the European Data Protection Supervisor (EDPS) would remain. </w:t>
      </w:r>
      <w:r w:rsidR="00EA0F35" w:rsidRPr="00726D52">
        <w:rPr>
          <w:noProof/>
        </w:rPr>
        <w:t>The</w:t>
      </w:r>
      <w:r w:rsidRPr="00726D52">
        <w:rPr>
          <w:noProof/>
        </w:rPr>
        <w:t xml:space="preserve"> alignment would </w:t>
      </w:r>
      <w:r w:rsidR="00EA0F35" w:rsidRPr="00726D52">
        <w:rPr>
          <w:noProof/>
        </w:rPr>
        <w:t xml:space="preserve">also </w:t>
      </w:r>
      <w:r w:rsidRPr="00726D52">
        <w:rPr>
          <w:noProof/>
        </w:rPr>
        <w:t>enhance consistency across EU data protection instruments</w:t>
      </w:r>
      <w:r w:rsidR="001D4210" w:rsidRPr="00726D52">
        <w:rPr>
          <w:noProof/>
        </w:rPr>
        <w:t>, providing simplification and reducing fragmentation.</w:t>
      </w:r>
    </w:p>
    <w:tbl>
      <w:tblPr>
        <w:tblStyle w:val="TableGrid"/>
        <w:tblW w:w="0" w:type="auto"/>
        <w:tblInd w:w="38" w:type="dxa"/>
        <w:tblLook w:val="04A0" w:firstRow="1" w:lastRow="0" w:firstColumn="1" w:lastColumn="0" w:noHBand="0" w:noVBand="1"/>
      </w:tblPr>
      <w:tblGrid>
        <w:gridCol w:w="8570"/>
      </w:tblGrid>
      <w:tr w:rsidR="00B86505" w:rsidRPr="00726D52" w14:paraId="3E836D16" w14:textId="77777777" w:rsidTr="00555968">
        <w:tc>
          <w:tcPr>
            <w:tcW w:w="8758" w:type="dxa"/>
            <w:shd w:val="clear" w:color="auto" w:fill="FBD4B4" w:themeFill="accent6" w:themeFillTint="66"/>
          </w:tcPr>
          <w:p w14:paraId="77DB98D7" w14:textId="4F17A50F" w:rsidR="00B86505" w:rsidRPr="00726D52" w:rsidRDefault="00B86505" w:rsidP="00555968">
            <w:pPr>
              <w:spacing w:before="120" w:after="120"/>
              <w:rPr>
                <w:b/>
                <w:bCs/>
                <w:noProof/>
              </w:rPr>
            </w:pPr>
            <w:r w:rsidRPr="00726D52">
              <w:rPr>
                <w:b/>
                <w:bCs/>
                <w:noProof/>
              </w:rPr>
              <w:t>4.5.2. Specific objective 2: Reinforce Europol’s role in providing operational support to investigations</w:t>
            </w:r>
          </w:p>
        </w:tc>
      </w:tr>
      <w:tr w:rsidR="00076E25" w:rsidRPr="00726D52" w14:paraId="33D5EF8B" w14:textId="77777777" w:rsidTr="00555968">
        <w:tc>
          <w:tcPr>
            <w:tcW w:w="8758" w:type="dxa"/>
            <w:shd w:val="clear" w:color="auto" w:fill="E5B8B7" w:themeFill="accent2" w:themeFillTint="66"/>
          </w:tcPr>
          <w:p w14:paraId="21BB91D2" w14:textId="5BDDE223" w:rsidR="00076E25" w:rsidRPr="00726D52" w:rsidRDefault="00076E25" w:rsidP="00B86505">
            <w:pPr>
              <w:spacing w:before="120" w:after="120"/>
              <w:rPr>
                <w:b/>
                <w:bCs/>
                <w:noProof/>
              </w:rPr>
            </w:pPr>
            <w:r w:rsidRPr="00726D52">
              <w:rPr>
                <w:b/>
                <w:bCs/>
                <w:noProof/>
                <w:szCs w:val="20"/>
                <w:u w:val="single"/>
                <w:lang w:eastAsia="fr-BE"/>
              </w:rPr>
              <w:t>Policy Option 1</w:t>
            </w:r>
            <w:r w:rsidRPr="00726D52">
              <w:rPr>
                <w:b/>
                <w:bCs/>
                <w:noProof/>
                <w:szCs w:val="20"/>
                <w:lang w:eastAsia="fr-BE"/>
              </w:rPr>
              <w:t>: Reinforcing Europol’s existing model</w:t>
            </w:r>
          </w:p>
        </w:tc>
      </w:tr>
    </w:tbl>
    <w:p w14:paraId="6D4DA8BF" w14:textId="388F50B7" w:rsidR="00DB1226" w:rsidRPr="00726D52" w:rsidRDefault="00DB1226" w:rsidP="007302D2">
      <w:pPr>
        <w:pStyle w:val="Heading3"/>
        <w:numPr>
          <w:ilvl w:val="0"/>
          <w:numId w:val="0"/>
        </w:numPr>
        <w:spacing w:after="0"/>
        <w:rPr>
          <w:noProof/>
        </w:rPr>
      </w:pPr>
      <w:bookmarkStart w:id="12" w:name="_Hlk221266315"/>
    </w:p>
    <w:tbl>
      <w:tblPr>
        <w:tblStyle w:val="TableGrid"/>
        <w:tblW w:w="0" w:type="auto"/>
        <w:tblLook w:val="04A0" w:firstRow="1" w:lastRow="0" w:firstColumn="1" w:lastColumn="0" w:noHBand="0" w:noVBand="1"/>
      </w:tblPr>
      <w:tblGrid>
        <w:gridCol w:w="8608"/>
      </w:tblGrid>
      <w:tr w:rsidR="00F36B72" w:rsidRPr="00726D52" w14:paraId="733B637F" w14:textId="77777777" w:rsidTr="00511840">
        <w:tc>
          <w:tcPr>
            <w:tcW w:w="8834" w:type="dxa"/>
            <w:shd w:val="clear" w:color="auto" w:fill="B8CCE4" w:themeFill="accent1" w:themeFillTint="66"/>
          </w:tcPr>
          <w:p w14:paraId="39369EBC" w14:textId="56280254" w:rsidR="00F36B72" w:rsidRPr="00726D52" w:rsidRDefault="00076E25" w:rsidP="00711A83">
            <w:pPr>
              <w:pStyle w:val="Text2"/>
              <w:spacing w:before="120" w:after="120"/>
              <w:ind w:left="0"/>
              <w:rPr>
                <w:b/>
                <w:noProof/>
                <w:lang w:eastAsia="fr-BE"/>
              </w:rPr>
            </w:pPr>
            <w:bookmarkStart w:id="13" w:name="_Hlk221266561"/>
            <w:bookmarkEnd w:id="12"/>
            <w:r w:rsidRPr="00726D52">
              <w:rPr>
                <w:b/>
                <w:noProof/>
                <w:u w:val="single"/>
                <w:lang w:eastAsia="fr-BE"/>
              </w:rPr>
              <w:t xml:space="preserve">Sub </w:t>
            </w:r>
            <w:r w:rsidR="009F0941" w:rsidRPr="00726D52">
              <w:rPr>
                <w:b/>
                <w:noProof/>
                <w:u w:val="single"/>
                <w:lang w:eastAsia="fr-BE"/>
              </w:rPr>
              <w:t>p</w:t>
            </w:r>
            <w:r w:rsidR="00F36B72" w:rsidRPr="00726D52">
              <w:rPr>
                <w:b/>
                <w:noProof/>
                <w:u w:val="single"/>
                <w:lang w:eastAsia="fr-BE"/>
              </w:rPr>
              <w:t>olicy option 1.3</w:t>
            </w:r>
            <w:r w:rsidR="00F36B72" w:rsidRPr="00726D52">
              <w:rPr>
                <w:b/>
                <w:noProof/>
                <w:lang w:eastAsia="fr-BE"/>
              </w:rPr>
              <w:t xml:space="preserve">: </w:t>
            </w:r>
            <w:r w:rsidR="009F0941" w:rsidRPr="00726D52">
              <w:rPr>
                <w:b/>
                <w:noProof/>
                <w:lang w:eastAsia="fr-BE"/>
              </w:rPr>
              <w:t>e</w:t>
            </w:r>
            <w:r w:rsidR="00F36B72" w:rsidRPr="00726D52">
              <w:rPr>
                <w:b/>
                <w:noProof/>
                <w:lang w:eastAsia="fr-BE"/>
              </w:rPr>
              <w:t xml:space="preserve">nhanced EU inter-agency information </w:t>
            </w:r>
          </w:p>
          <w:p w14:paraId="53BC9651" w14:textId="77777777" w:rsidR="00B81F4E" w:rsidRPr="00726D52" w:rsidRDefault="00B81F4E" w:rsidP="009502B2">
            <w:pPr>
              <w:pStyle w:val="Text2"/>
              <w:numPr>
                <w:ilvl w:val="0"/>
                <w:numId w:val="75"/>
              </w:numPr>
              <w:spacing w:before="120" w:after="120"/>
              <w:rPr>
                <w:b/>
                <w:noProof/>
                <w:lang w:eastAsia="fr-BE"/>
              </w:rPr>
            </w:pPr>
            <w:r w:rsidRPr="00726D52">
              <w:rPr>
                <w:bCs/>
                <w:noProof/>
                <w:lang w:eastAsia="fr-BE"/>
              </w:rPr>
              <w:t>Reinforced operational support to the EPPO</w:t>
            </w:r>
          </w:p>
          <w:p w14:paraId="70FF4AF7" w14:textId="77777777" w:rsidR="00B81F4E" w:rsidRPr="00726D52" w:rsidRDefault="00B81F4E" w:rsidP="009502B2">
            <w:pPr>
              <w:pStyle w:val="Text2"/>
              <w:numPr>
                <w:ilvl w:val="0"/>
                <w:numId w:val="75"/>
              </w:numPr>
              <w:spacing w:before="120" w:after="120"/>
              <w:rPr>
                <w:b/>
                <w:noProof/>
                <w:lang w:eastAsia="fr-BE"/>
              </w:rPr>
            </w:pPr>
            <w:r w:rsidRPr="00726D52">
              <w:rPr>
                <w:bCs/>
                <w:noProof/>
                <w:lang w:eastAsia="fr-BE"/>
              </w:rPr>
              <w:t>Strengthened Europol-Eurojust operational continuum</w:t>
            </w:r>
          </w:p>
          <w:p w14:paraId="49483C3A" w14:textId="253157BA" w:rsidR="00B81F4E" w:rsidRPr="00726D52" w:rsidRDefault="00B81F4E" w:rsidP="009502B2">
            <w:pPr>
              <w:pStyle w:val="Text2"/>
              <w:numPr>
                <w:ilvl w:val="0"/>
                <w:numId w:val="75"/>
              </w:numPr>
              <w:spacing w:before="120" w:after="120"/>
              <w:rPr>
                <w:b/>
                <w:noProof/>
                <w:lang w:eastAsia="fr-BE"/>
              </w:rPr>
            </w:pPr>
            <w:r w:rsidRPr="00726D52">
              <w:rPr>
                <w:noProof/>
              </w:rPr>
              <w:t>Enhanced information sharing between Europol and AMLA</w:t>
            </w:r>
          </w:p>
        </w:tc>
      </w:tr>
    </w:tbl>
    <w:p w14:paraId="1413B323" w14:textId="006D8FA9" w:rsidR="00511840" w:rsidRPr="00726D52" w:rsidRDefault="00B64EAE" w:rsidP="00E813F1">
      <w:pPr>
        <w:spacing w:before="240" w:after="0"/>
        <w:rPr>
          <w:rFonts w:eastAsia="Times New Roman"/>
          <w:noProof/>
        </w:rPr>
      </w:pPr>
      <w:r w:rsidRPr="00726D52">
        <w:rPr>
          <w:rFonts w:eastAsia="Times New Roman"/>
          <w:noProof/>
        </w:rPr>
        <w:lastRenderedPageBreak/>
        <w:t>This option strengthens operational information exchange and cooperation between Europol and key EU bodies and agencies, notably the EPPO, Eurojust and AMLA, to ensure more coherent and effective EU-level support for national authorities in tackling cross-border crime.</w:t>
      </w:r>
      <w:r w:rsidR="0075439D" w:rsidRPr="00726D52">
        <w:rPr>
          <w:rFonts w:eastAsia="Times New Roman"/>
          <w:noProof/>
        </w:rPr>
        <w:t xml:space="preserve"> </w:t>
      </w:r>
    </w:p>
    <w:p w14:paraId="3ABD425C" w14:textId="7E6E4354" w:rsidR="00BB0D38" w:rsidRPr="00726D52" w:rsidRDefault="00835267" w:rsidP="00BB0D38">
      <w:pPr>
        <w:spacing w:before="120" w:after="0"/>
        <w:rPr>
          <w:rFonts w:eastAsia="Times New Roman"/>
          <w:noProof/>
        </w:rPr>
      </w:pPr>
      <w:r w:rsidRPr="00726D52">
        <w:rPr>
          <w:rFonts w:eastAsia="Times New Roman"/>
          <w:b/>
          <w:bCs/>
          <w:noProof/>
        </w:rPr>
        <w:t>Reinforced Europol support to the EPPO</w:t>
      </w:r>
    </w:p>
    <w:p w14:paraId="3F6850A9" w14:textId="61752AB4" w:rsidR="001E2674" w:rsidRPr="00726D52" w:rsidRDefault="00E97A7A" w:rsidP="00BB0D38">
      <w:pPr>
        <w:spacing w:before="120" w:after="0"/>
        <w:rPr>
          <w:rFonts w:eastAsia="Times New Roman"/>
          <w:noProof/>
        </w:rPr>
      </w:pPr>
      <w:r w:rsidRPr="00726D52">
        <w:rPr>
          <w:rFonts w:eastAsia="Times New Roman"/>
          <w:noProof/>
        </w:rPr>
        <w:t xml:space="preserve">This component would strengthen Europol’s support to the EPPO while maintaining the current institutional framework. </w:t>
      </w:r>
      <w:r w:rsidR="009659B4" w:rsidRPr="00726D52">
        <w:rPr>
          <w:rFonts w:eastAsia="Times New Roman"/>
          <w:noProof/>
        </w:rPr>
        <w:t>Europol would enhance its analytical</w:t>
      </w:r>
      <w:r w:rsidR="00F341F9" w:rsidRPr="00726D52">
        <w:rPr>
          <w:rFonts w:eastAsia="Times New Roman"/>
          <w:noProof/>
        </w:rPr>
        <w:t xml:space="preserve"> </w:t>
      </w:r>
      <w:r w:rsidR="009659B4" w:rsidRPr="00726D52">
        <w:rPr>
          <w:rFonts w:eastAsia="Times New Roman"/>
          <w:noProof/>
        </w:rPr>
        <w:t>support to EPPO investigations, ensuring more systematic and timely cooperation</w:t>
      </w:r>
      <w:r w:rsidR="00F341F9" w:rsidRPr="00726D52">
        <w:rPr>
          <w:rFonts w:eastAsia="Times New Roman"/>
          <w:noProof/>
        </w:rPr>
        <w:t xml:space="preserve"> to be able to match the growing needs of</w:t>
      </w:r>
      <w:r w:rsidR="009659B4" w:rsidRPr="00726D52">
        <w:rPr>
          <w:rFonts w:eastAsia="Times New Roman"/>
          <w:noProof/>
        </w:rPr>
        <w:t xml:space="preserve"> the EPPO. </w:t>
      </w:r>
      <w:r w:rsidR="00014CC2" w:rsidRPr="00726D52">
        <w:rPr>
          <w:rFonts w:eastAsia="Times New Roman"/>
          <w:noProof/>
        </w:rPr>
        <w:t xml:space="preserve">This could involve allocating additional specialised staff within Europol, including the creation of a </w:t>
      </w:r>
      <w:r w:rsidR="00014CC2" w:rsidRPr="00726D52">
        <w:rPr>
          <w:rFonts w:eastAsia="Times New Roman"/>
          <w:b/>
          <w:bCs/>
          <w:noProof/>
        </w:rPr>
        <w:t>dedicated team focusing on EPPO-related cases</w:t>
      </w:r>
      <w:r w:rsidR="00014CC2" w:rsidRPr="00726D52">
        <w:rPr>
          <w:rFonts w:eastAsia="Times New Roman"/>
          <w:noProof/>
        </w:rPr>
        <w:t>. Such a team would deepen expertise, improve operational coordination and enable more structured planning of resources. The option would also strengthen operational interaction through enhanced coordination between liaison officers stationed at Europol and the EPPO.</w:t>
      </w:r>
    </w:p>
    <w:p w14:paraId="340122A6" w14:textId="126B7060" w:rsidR="00B0075C" w:rsidRPr="00726D52" w:rsidRDefault="00C46B58" w:rsidP="00BB0D38">
      <w:pPr>
        <w:spacing w:before="120" w:after="0"/>
        <w:rPr>
          <w:rFonts w:eastAsia="Times New Roman"/>
          <w:noProof/>
        </w:rPr>
      </w:pPr>
      <w:r w:rsidRPr="00726D52">
        <w:rPr>
          <w:rFonts w:eastAsia="Times New Roman"/>
          <w:noProof/>
        </w:rPr>
        <w:t>These measures would require targeted legislative amendments but would not alter the respective mandates of Europol and the EPPO or the fundamental nature of their relationship.</w:t>
      </w:r>
    </w:p>
    <w:p w14:paraId="7E31642A" w14:textId="37147431" w:rsidR="00DF5BE2" w:rsidRPr="00726D52" w:rsidRDefault="00DF5BE2" w:rsidP="00DE735C">
      <w:pPr>
        <w:spacing w:before="120" w:after="0"/>
        <w:rPr>
          <w:rFonts w:eastAsia="Times New Roman"/>
          <w:b/>
          <w:bCs/>
          <w:noProof/>
        </w:rPr>
      </w:pPr>
      <w:r w:rsidRPr="00726D52">
        <w:rPr>
          <w:rFonts w:eastAsia="Times New Roman"/>
          <w:b/>
          <w:bCs/>
          <w:noProof/>
        </w:rPr>
        <w:t>Strengthened Europol</w:t>
      </w:r>
      <w:r w:rsidR="001F3D73" w:rsidRPr="00726D52">
        <w:rPr>
          <w:rFonts w:eastAsia="Times New Roman"/>
          <w:b/>
          <w:bCs/>
          <w:noProof/>
        </w:rPr>
        <w:t>-</w:t>
      </w:r>
      <w:r w:rsidRPr="00726D52">
        <w:rPr>
          <w:rFonts w:eastAsia="Times New Roman"/>
          <w:b/>
          <w:bCs/>
          <w:noProof/>
        </w:rPr>
        <w:t>Eurojust operational continuum</w:t>
      </w:r>
    </w:p>
    <w:p w14:paraId="7F7890E9" w14:textId="6F7F6249" w:rsidR="0039560F" w:rsidRPr="00726D52" w:rsidRDefault="003508B2" w:rsidP="00DE735C">
      <w:pPr>
        <w:spacing w:before="120" w:after="0"/>
        <w:rPr>
          <w:rFonts w:eastAsia="Times New Roman"/>
          <w:noProof/>
        </w:rPr>
      </w:pPr>
      <w:r w:rsidRPr="00726D52">
        <w:rPr>
          <w:rFonts w:eastAsia="Times New Roman"/>
          <w:noProof/>
        </w:rPr>
        <w:t>T</w:t>
      </w:r>
      <w:r w:rsidR="00C81888" w:rsidRPr="00726D52">
        <w:rPr>
          <w:rFonts w:eastAsia="Times New Roman"/>
          <w:noProof/>
        </w:rPr>
        <w:t>his component would strengthen complementarity between Europol and Eurojust, ensuring a seamless continuum between law enforcement and judicial cooperation and enabling more integrated EU support throughout cross-border investigations.</w:t>
      </w:r>
      <w:r w:rsidR="0039560F" w:rsidRPr="00726D52">
        <w:rPr>
          <w:rFonts w:eastAsia="Times New Roman"/>
          <w:noProof/>
        </w:rPr>
        <w:t xml:space="preserve"> </w:t>
      </w:r>
      <w:r w:rsidR="007829CF" w:rsidRPr="00726D52">
        <w:rPr>
          <w:rFonts w:eastAsia="Times New Roman"/>
          <w:noProof/>
        </w:rPr>
        <w:t>Operationally, this would support a more continuous transition between the intelligence, investigation and prosecution phases of cross-border cases, while avoiding duplication of efforts between authorities.</w:t>
      </w:r>
    </w:p>
    <w:p w14:paraId="5B88B53F" w14:textId="5A837260" w:rsidR="00F950D7" w:rsidRPr="00726D52" w:rsidRDefault="0039560F" w:rsidP="0039560F">
      <w:pPr>
        <w:spacing w:before="120" w:after="0"/>
        <w:rPr>
          <w:rFonts w:eastAsia="Times New Roman"/>
          <w:noProof/>
        </w:rPr>
      </w:pPr>
      <w:r w:rsidRPr="00726D52">
        <w:rPr>
          <w:rFonts w:eastAsia="Times New Roman"/>
          <w:noProof/>
        </w:rPr>
        <w:t xml:space="preserve">A first element of this measure would be to enhance information sharing by improving indirect access to information between Europol and Eurojust through the </w:t>
      </w:r>
      <w:r w:rsidR="008577FC" w:rsidRPr="00726D52">
        <w:rPr>
          <w:rFonts w:eastAsia="Times New Roman"/>
          <w:noProof/>
        </w:rPr>
        <w:t>practical implementation</w:t>
      </w:r>
      <w:r w:rsidRPr="00726D52">
        <w:rPr>
          <w:rFonts w:eastAsia="Times New Roman"/>
          <w:noProof/>
        </w:rPr>
        <w:t xml:space="preserve"> of the </w:t>
      </w:r>
      <w:r w:rsidRPr="00726D52">
        <w:rPr>
          <w:rFonts w:eastAsia="Times New Roman"/>
          <w:b/>
          <w:bCs/>
          <w:noProof/>
        </w:rPr>
        <w:t>hit/no-hit system</w:t>
      </w:r>
      <w:r w:rsidR="008577FC" w:rsidRPr="00726D52">
        <w:rPr>
          <w:rFonts w:eastAsia="Times New Roman"/>
          <w:noProof/>
        </w:rPr>
        <w:t xml:space="preserve"> provided for in the mandate of both agencies</w:t>
      </w:r>
      <w:r w:rsidR="00F9576C" w:rsidRPr="00726D52">
        <w:rPr>
          <w:rStyle w:val="FootnoteReference"/>
          <w:rFonts w:eastAsia="Times New Roman"/>
          <w:noProof/>
        </w:rPr>
        <w:footnoteReference w:id="110"/>
      </w:r>
      <w:r w:rsidRPr="00726D52">
        <w:rPr>
          <w:rFonts w:eastAsia="Times New Roman"/>
          <w:noProof/>
        </w:rPr>
        <w:t>.</w:t>
      </w:r>
      <w:r w:rsidR="007A760C" w:rsidRPr="00726D52">
        <w:rPr>
          <w:noProof/>
        </w:rPr>
        <w:t xml:space="preserve"> </w:t>
      </w:r>
      <w:r w:rsidR="007A760C" w:rsidRPr="00726D52">
        <w:rPr>
          <w:rFonts w:eastAsia="Times New Roman"/>
          <w:noProof/>
        </w:rPr>
        <w:t>Under this system, each agency would be able to query limited reference data held by the other agency in order to identify whether potentially relevant operational or judicial information exists, without obtaining direct access to the underlying files.</w:t>
      </w:r>
      <w:r w:rsidR="008577FC" w:rsidRPr="00726D52">
        <w:rPr>
          <w:rFonts w:eastAsia="Times New Roman"/>
          <w:noProof/>
        </w:rPr>
        <w:t xml:space="preserve"> Operationally, this</w:t>
      </w:r>
      <w:r w:rsidRPr="00726D52">
        <w:rPr>
          <w:rFonts w:eastAsia="Times New Roman"/>
          <w:noProof/>
        </w:rPr>
        <w:t xml:space="preserve"> would involve upgrading the current mechanism through the </w:t>
      </w:r>
      <w:r w:rsidR="00CA1217" w:rsidRPr="00726D52">
        <w:rPr>
          <w:rFonts w:eastAsia="Times New Roman"/>
          <w:noProof/>
        </w:rPr>
        <w:t xml:space="preserve">implementation </w:t>
      </w:r>
      <w:r w:rsidRPr="00726D52">
        <w:rPr>
          <w:rFonts w:eastAsia="Times New Roman"/>
          <w:noProof/>
        </w:rPr>
        <w:t>of more automated processes, thereby enabling faster and more efficient exchanges of relevant information between the two agencies.</w:t>
      </w:r>
    </w:p>
    <w:p w14:paraId="515691DC" w14:textId="4CB33077" w:rsidR="00E453EA" w:rsidRPr="00726D52" w:rsidRDefault="00CA51D2" w:rsidP="00534994">
      <w:pPr>
        <w:spacing w:before="120" w:after="0"/>
        <w:rPr>
          <w:rFonts w:eastAsia="Times New Roman"/>
          <w:noProof/>
        </w:rPr>
      </w:pPr>
      <w:r w:rsidRPr="00726D52">
        <w:rPr>
          <w:rFonts w:eastAsia="Times New Roman"/>
          <w:noProof/>
        </w:rPr>
        <w:t>A second element would</w:t>
      </w:r>
      <w:r w:rsidR="004972D1" w:rsidRPr="00726D52">
        <w:rPr>
          <w:rFonts w:eastAsia="Times New Roman"/>
          <w:noProof/>
        </w:rPr>
        <w:t xml:space="preserve"> establish </w:t>
      </w:r>
      <w:r w:rsidR="004972D1" w:rsidRPr="00726D52">
        <w:rPr>
          <w:rFonts w:eastAsia="Times New Roman"/>
          <w:b/>
          <w:bCs/>
          <w:noProof/>
        </w:rPr>
        <w:t>specialised EU-level support</w:t>
      </w:r>
      <w:r w:rsidR="004972D1" w:rsidRPr="00726D52">
        <w:rPr>
          <w:rFonts w:eastAsia="Times New Roman"/>
          <w:noProof/>
        </w:rPr>
        <w:t xml:space="preserve"> within Europol for national authorities seeking to obtain electronic evidence from online service providers. </w:t>
      </w:r>
      <w:r w:rsidR="00066B67" w:rsidRPr="00726D52">
        <w:rPr>
          <w:rFonts w:eastAsia="Times New Roman"/>
          <w:noProof/>
        </w:rPr>
        <w:t xml:space="preserve">This support would complement the judicial coordination role of Eurojust by focusing on the operational and technical dimensions of cross-border access to electronic evidence. </w:t>
      </w:r>
      <w:r w:rsidR="004972D1" w:rsidRPr="00726D52">
        <w:rPr>
          <w:rFonts w:eastAsia="Times New Roman"/>
          <w:noProof/>
        </w:rPr>
        <w:t xml:space="preserve">This would include operational guidance on legal procedures, practical tools and technical expertise for requesting and handling electronic evidence, as well as structured channels for interaction with service providers. </w:t>
      </w:r>
      <w:r w:rsidR="0072500A" w:rsidRPr="00726D52">
        <w:rPr>
          <w:rFonts w:eastAsia="Times New Roman"/>
          <w:noProof/>
        </w:rPr>
        <w:t xml:space="preserve">Europol’s role would focus on facilitating operational coordination, technical assistance and information exchange, while judicial </w:t>
      </w:r>
      <w:r w:rsidR="0072500A" w:rsidRPr="00726D52">
        <w:rPr>
          <w:rFonts w:eastAsia="Times New Roman"/>
          <w:noProof/>
        </w:rPr>
        <w:lastRenderedPageBreak/>
        <w:t xml:space="preserve">authorisations and prosecutorial decisions would remain the responsibility of competent national authorities and judicial actors. </w:t>
      </w:r>
      <w:r w:rsidR="00E36228" w:rsidRPr="00726D52">
        <w:rPr>
          <w:rFonts w:eastAsia="Times New Roman"/>
          <w:noProof/>
        </w:rPr>
        <w:t>Europol could also maintain dedicated resources facilitating exchanges between competent authorities and providers, supporting the preservation, production and handling of electronic evidence in cross-border investigations. This would enable more consistent and predictable EU-level support in cases involving digital evidence and strengthen operational coordination between Europol and Eurojust.</w:t>
      </w:r>
    </w:p>
    <w:p w14:paraId="6EB81405" w14:textId="689181D1" w:rsidR="00290B25" w:rsidRPr="00726D52" w:rsidRDefault="006036AA" w:rsidP="00DF5BE2">
      <w:pPr>
        <w:spacing w:before="120" w:after="120"/>
        <w:rPr>
          <w:rFonts w:eastAsia="Times New Roman"/>
          <w:noProof/>
        </w:rPr>
      </w:pPr>
      <w:r w:rsidRPr="00726D52">
        <w:rPr>
          <w:rFonts w:eastAsia="Times New Roman"/>
          <w:b/>
          <w:bCs/>
          <w:noProof/>
        </w:rPr>
        <w:t xml:space="preserve">Enhanced information sharing between Europol and </w:t>
      </w:r>
      <w:r w:rsidR="008C4C43" w:rsidRPr="00726D52">
        <w:rPr>
          <w:rFonts w:eastAsia="Times New Roman"/>
          <w:b/>
          <w:bCs/>
          <w:noProof/>
        </w:rPr>
        <w:t xml:space="preserve">the </w:t>
      </w:r>
      <w:r w:rsidRPr="00726D52">
        <w:rPr>
          <w:rFonts w:eastAsia="Times New Roman"/>
          <w:b/>
          <w:bCs/>
          <w:noProof/>
        </w:rPr>
        <w:t>AMLA</w:t>
      </w:r>
      <w:r w:rsidR="000F2732" w:rsidRPr="00726D52">
        <w:rPr>
          <w:rFonts w:eastAsia="Times New Roman"/>
          <w:noProof/>
        </w:rPr>
        <w:t xml:space="preserve"> </w:t>
      </w:r>
    </w:p>
    <w:p w14:paraId="755A619F" w14:textId="3340ABE2" w:rsidR="00F36B72" w:rsidRPr="00726D52" w:rsidRDefault="000F2732" w:rsidP="00D7514D">
      <w:pPr>
        <w:spacing w:before="120"/>
        <w:rPr>
          <w:rFonts w:eastAsia="Times New Roman"/>
          <w:noProof/>
        </w:rPr>
      </w:pPr>
      <w:r w:rsidRPr="00726D52">
        <w:rPr>
          <w:rFonts w:eastAsia="Times New Roman"/>
          <w:noProof/>
        </w:rPr>
        <w:t xml:space="preserve">This </w:t>
      </w:r>
      <w:r w:rsidR="00290B25" w:rsidRPr="00726D52">
        <w:rPr>
          <w:rFonts w:eastAsia="Times New Roman"/>
          <w:noProof/>
        </w:rPr>
        <w:t>component</w:t>
      </w:r>
      <w:r w:rsidRPr="00726D52">
        <w:rPr>
          <w:rFonts w:eastAsia="Times New Roman"/>
          <w:noProof/>
        </w:rPr>
        <w:t xml:space="preserve"> would strengthen cooperation between Europol and the AMLA by enabling</w:t>
      </w:r>
      <w:r w:rsidR="00CA1217" w:rsidRPr="00726D52">
        <w:rPr>
          <w:rFonts w:eastAsia="Times New Roman"/>
          <w:noProof/>
        </w:rPr>
        <w:t xml:space="preserve"> </w:t>
      </w:r>
      <w:r w:rsidRPr="00726D52">
        <w:rPr>
          <w:rFonts w:eastAsia="Times New Roman"/>
          <w:b/>
          <w:bCs/>
          <w:noProof/>
        </w:rPr>
        <w:t>structured information exchanges</w:t>
      </w:r>
      <w:r w:rsidRPr="00726D52">
        <w:rPr>
          <w:rFonts w:eastAsia="Times New Roman"/>
          <w:noProof/>
        </w:rPr>
        <w:t xml:space="preserve"> between the two bodies. In particular, it would provide AMLA with indirect access to information stored by Europol through the hit/no-hit system. This would allow AMLA to identify potential links between financial intelligence and Europol’s operational information on serious and organised crime.</w:t>
      </w:r>
    </w:p>
    <w:tbl>
      <w:tblPr>
        <w:tblStyle w:val="TableGrid"/>
        <w:tblW w:w="0" w:type="auto"/>
        <w:tblLook w:val="04A0" w:firstRow="1" w:lastRow="0" w:firstColumn="1" w:lastColumn="0" w:noHBand="0" w:noVBand="1"/>
      </w:tblPr>
      <w:tblGrid>
        <w:gridCol w:w="8608"/>
      </w:tblGrid>
      <w:tr w:rsidR="00DB1226" w:rsidRPr="00726D52" w14:paraId="71532C76" w14:textId="77777777" w:rsidTr="00B502F1">
        <w:tc>
          <w:tcPr>
            <w:tcW w:w="8834" w:type="dxa"/>
            <w:shd w:val="clear" w:color="auto" w:fill="B8CCE4" w:themeFill="accent1" w:themeFillTint="66"/>
          </w:tcPr>
          <w:p w14:paraId="660ECE17" w14:textId="476070A6" w:rsidR="00DB1226" w:rsidRPr="00726D52" w:rsidRDefault="00CA1217" w:rsidP="001F3D73">
            <w:pPr>
              <w:pStyle w:val="Text2"/>
              <w:tabs>
                <w:tab w:val="clear" w:pos="2302"/>
              </w:tabs>
              <w:spacing w:before="120" w:after="120"/>
              <w:ind w:left="0"/>
              <w:rPr>
                <w:b/>
                <w:noProof/>
                <w:lang w:eastAsia="fr-BE"/>
              </w:rPr>
            </w:pPr>
            <w:bookmarkStart w:id="14" w:name="_Hlk221266566"/>
            <w:bookmarkEnd w:id="13"/>
            <w:r w:rsidRPr="00726D52">
              <w:rPr>
                <w:b/>
                <w:noProof/>
                <w:u w:val="single"/>
                <w:lang w:eastAsia="fr-BE"/>
              </w:rPr>
              <w:t>Sub p</w:t>
            </w:r>
            <w:r w:rsidR="00DB1226" w:rsidRPr="00726D52">
              <w:rPr>
                <w:b/>
                <w:noProof/>
                <w:u w:val="single"/>
                <w:lang w:eastAsia="fr-BE"/>
              </w:rPr>
              <w:t xml:space="preserve">olicy option </w:t>
            </w:r>
            <w:r w:rsidR="00C35BD4" w:rsidRPr="00726D52">
              <w:rPr>
                <w:b/>
                <w:noProof/>
                <w:u w:val="single"/>
                <w:lang w:eastAsia="fr-BE"/>
              </w:rPr>
              <w:t>1.4</w:t>
            </w:r>
            <w:r w:rsidR="00DB1226" w:rsidRPr="00726D52">
              <w:rPr>
                <w:b/>
                <w:noProof/>
                <w:lang w:eastAsia="fr-BE"/>
              </w:rPr>
              <w:t xml:space="preserve">: </w:t>
            </w:r>
            <w:r w:rsidR="00C6271F" w:rsidRPr="00726D52">
              <w:rPr>
                <w:b/>
                <w:noProof/>
                <w:lang w:eastAsia="fr-BE"/>
              </w:rPr>
              <w:t xml:space="preserve">Embedding </w:t>
            </w:r>
            <w:r w:rsidR="00DB1226" w:rsidRPr="00726D52">
              <w:rPr>
                <w:b/>
                <w:noProof/>
                <w:lang w:eastAsia="fr-BE"/>
              </w:rPr>
              <w:t xml:space="preserve">Europol </w:t>
            </w:r>
            <w:r w:rsidR="00C6271F" w:rsidRPr="00726D52">
              <w:rPr>
                <w:b/>
                <w:noProof/>
                <w:lang w:eastAsia="fr-BE"/>
              </w:rPr>
              <w:t xml:space="preserve">tools and systems </w:t>
            </w:r>
            <w:r w:rsidR="00DB1226" w:rsidRPr="00726D52">
              <w:rPr>
                <w:b/>
                <w:noProof/>
                <w:lang w:eastAsia="fr-BE"/>
              </w:rPr>
              <w:t>in national investigations</w:t>
            </w:r>
            <w:bookmarkEnd w:id="14"/>
          </w:p>
          <w:p w14:paraId="50399190" w14:textId="77777777" w:rsidR="00D00BB8" w:rsidRPr="00726D52" w:rsidRDefault="00D00BB8" w:rsidP="008C4C43">
            <w:pPr>
              <w:pStyle w:val="Text2"/>
              <w:numPr>
                <w:ilvl w:val="0"/>
                <w:numId w:val="4"/>
              </w:numPr>
              <w:tabs>
                <w:tab w:val="clear" w:pos="2302"/>
              </w:tabs>
              <w:spacing w:after="120"/>
              <w:rPr>
                <w:noProof/>
              </w:rPr>
            </w:pPr>
            <w:r w:rsidRPr="00726D52">
              <w:rPr>
                <w:noProof/>
              </w:rPr>
              <w:t>Connect national case management systems</w:t>
            </w:r>
          </w:p>
          <w:p w14:paraId="7998ADDF" w14:textId="76B7C414" w:rsidR="00DB1226" w:rsidRPr="00726D52" w:rsidRDefault="00D00BB8" w:rsidP="008C4C43">
            <w:pPr>
              <w:pStyle w:val="Text2"/>
              <w:numPr>
                <w:ilvl w:val="0"/>
                <w:numId w:val="4"/>
              </w:numPr>
              <w:tabs>
                <w:tab w:val="clear" w:pos="2302"/>
              </w:tabs>
              <w:spacing w:after="120"/>
              <w:rPr>
                <w:noProof/>
                <w:lang w:eastAsia="fr-BE"/>
              </w:rPr>
            </w:pPr>
            <w:r w:rsidRPr="00726D52">
              <w:rPr>
                <w:noProof/>
              </w:rPr>
              <w:t>Targeted obligation to consult Europol systems</w:t>
            </w:r>
          </w:p>
        </w:tc>
      </w:tr>
    </w:tbl>
    <w:p w14:paraId="39733362" w14:textId="208A369C" w:rsidR="00E13ECA" w:rsidRPr="00726D52" w:rsidRDefault="00E13ECA" w:rsidP="000A0E4B">
      <w:pPr>
        <w:spacing w:before="240" w:after="120"/>
        <w:rPr>
          <w:noProof/>
        </w:rPr>
      </w:pPr>
      <w:r w:rsidRPr="00726D52">
        <w:rPr>
          <w:noProof/>
        </w:rPr>
        <w:t xml:space="preserve">This option would bring Europol’s analytical capabilities closer to the daily work of investigators by integrating Europol tools directly into national case </w:t>
      </w:r>
      <w:r w:rsidR="001E1E6F" w:rsidRPr="00726D52">
        <w:rPr>
          <w:noProof/>
        </w:rPr>
        <w:t xml:space="preserve">management </w:t>
      </w:r>
      <w:r w:rsidRPr="00726D52">
        <w:rPr>
          <w:noProof/>
        </w:rPr>
        <w:t>systems. Instead of relying mainly on reactive exchanges of information, investigators would be able to access Europol’s analytical support as part of their normal investigative workflow, allowing earlier identification of cross-border links and stronger analytical support throughout investigations.</w:t>
      </w:r>
    </w:p>
    <w:p w14:paraId="12279CC8" w14:textId="1B2F157A" w:rsidR="00655F1F" w:rsidRPr="00726D52" w:rsidRDefault="00CE2B36" w:rsidP="000A0E4B">
      <w:pPr>
        <w:spacing w:after="120"/>
        <w:rPr>
          <w:noProof/>
        </w:rPr>
      </w:pPr>
      <w:r w:rsidRPr="00726D52">
        <w:rPr>
          <w:noProof/>
        </w:rPr>
        <w:t xml:space="preserve">Member States would progressively </w:t>
      </w:r>
      <w:r w:rsidRPr="00726D52">
        <w:rPr>
          <w:b/>
          <w:bCs/>
          <w:noProof/>
        </w:rPr>
        <w:t>connect their national case management systems</w:t>
      </w:r>
      <w:r w:rsidRPr="00726D52">
        <w:rPr>
          <w:noProof/>
        </w:rPr>
        <w:t xml:space="preserve"> </w:t>
      </w:r>
      <w:r w:rsidR="00B0040B" w:rsidRPr="00726D52">
        <w:rPr>
          <w:noProof/>
        </w:rPr>
        <w:t xml:space="preserve">- to be established under Directive (EU) 2024/977 - </w:t>
      </w:r>
      <w:r w:rsidRPr="00726D52">
        <w:rPr>
          <w:noProof/>
        </w:rPr>
        <w:t>with Europol</w:t>
      </w:r>
      <w:r w:rsidR="006C7A3C" w:rsidRPr="00726D52">
        <w:rPr>
          <w:noProof/>
        </w:rPr>
        <w:t xml:space="preserve"> </w:t>
      </w:r>
      <w:r w:rsidRPr="00726D52">
        <w:rPr>
          <w:noProof/>
        </w:rPr>
        <w:t xml:space="preserve">systems through secure interfaces and common data standards. Investigators would be able to consult Europol </w:t>
      </w:r>
      <w:r w:rsidR="006130F2" w:rsidRPr="00726D52">
        <w:rPr>
          <w:noProof/>
        </w:rPr>
        <w:t xml:space="preserve">systems </w:t>
      </w:r>
      <w:r w:rsidRPr="00726D52">
        <w:rPr>
          <w:noProof/>
        </w:rPr>
        <w:t>automatically at predefined stages of an investigation, receive cross-checks and analytical feedback directly within their case files, and transmit relevant case information to Europol.</w:t>
      </w:r>
    </w:p>
    <w:p w14:paraId="7463397E" w14:textId="4F32D405" w:rsidR="00BB7681" w:rsidRPr="00726D52" w:rsidRDefault="00BC361E" w:rsidP="000A0E4B">
      <w:pPr>
        <w:spacing w:after="120"/>
        <w:rPr>
          <w:noProof/>
        </w:rPr>
      </w:pPr>
      <w:r w:rsidRPr="00726D52">
        <w:rPr>
          <w:noProof/>
        </w:rPr>
        <w:t>This approach would enable largely automated exchanges, allowing Europol to function as a shared analytical backbone by providing automated cross-checks</w:t>
      </w:r>
      <w:r w:rsidR="007E56D1" w:rsidRPr="00726D52">
        <w:rPr>
          <w:noProof/>
        </w:rPr>
        <w:t xml:space="preserve"> </w:t>
      </w:r>
      <w:r w:rsidRPr="00726D52">
        <w:rPr>
          <w:noProof/>
        </w:rPr>
        <w:t>and identification of cross-border connections in support of national investigations</w:t>
      </w:r>
      <w:r w:rsidR="00BF7DA6" w:rsidRPr="00726D52">
        <w:rPr>
          <w:noProof/>
        </w:rPr>
        <w:t>.</w:t>
      </w:r>
    </w:p>
    <w:p w14:paraId="3F61007F" w14:textId="47CFF8D7" w:rsidR="004F670F" w:rsidRPr="00726D52" w:rsidRDefault="00D97A36" w:rsidP="000A0E4B">
      <w:pPr>
        <w:spacing w:after="120"/>
        <w:rPr>
          <w:noProof/>
        </w:rPr>
      </w:pPr>
      <w:r w:rsidRPr="00726D52">
        <w:rPr>
          <w:noProof/>
        </w:rPr>
        <w:t xml:space="preserve">The option would also introduce a </w:t>
      </w:r>
      <w:r w:rsidRPr="00726D52">
        <w:rPr>
          <w:b/>
          <w:bCs/>
          <w:noProof/>
        </w:rPr>
        <w:t xml:space="preserve">targeted obligation to consult Europol systems </w:t>
      </w:r>
      <w:r w:rsidRPr="00726D52">
        <w:rPr>
          <w:noProof/>
        </w:rPr>
        <w:t>in serious and organised crime investigations with a cross-border dimension. Where relevant links are identified, this could trigger conditional sharing of case data with Europol, while fully respecting the principles of necessity and proportionality. Embedded consultation would support earlier detection of cross-border connections and help avoid investigative overlaps, complementing existing information exchange channels.</w:t>
      </w:r>
    </w:p>
    <w:p w14:paraId="1894B9BC" w14:textId="5C42C72E" w:rsidR="00443566" w:rsidRPr="00726D52" w:rsidRDefault="00AB15EA" w:rsidP="000A0E4B">
      <w:pPr>
        <w:pStyle w:val="NormalWeb"/>
        <w:spacing w:before="0" w:beforeAutospacing="0" w:after="120" w:afterAutospacing="0"/>
        <w:jc w:val="both"/>
        <w:rPr>
          <w:noProof/>
          <w:lang w:val="en-GB"/>
        </w:rPr>
      </w:pPr>
      <w:r w:rsidRPr="00726D52">
        <w:rPr>
          <w:noProof/>
          <w:lang w:val="en-GB"/>
        </w:rPr>
        <w:t xml:space="preserve">Implementation would depend on the development of fast, scalable and reliable digital infrastructure as envisaged under </w:t>
      </w:r>
      <w:r w:rsidR="00A469AD" w:rsidRPr="00726D52">
        <w:rPr>
          <w:noProof/>
          <w:lang w:val="en-GB"/>
        </w:rPr>
        <w:t>Sub p</w:t>
      </w:r>
      <w:r w:rsidRPr="00726D52">
        <w:rPr>
          <w:noProof/>
          <w:lang w:val="en-GB"/>
        </w:rPr>
        <w:t xml:space="preserve">olicy </w:t>
      </w:r>
      <w:r w:rsidR="00A469AD" w:rsidRPr="00726D52">
        <w:rPr>
          <w:noProof/>
          <w:lang w:val="en-GB"/>
        </w:rPr>
        <w:t>o</w:t>
      </w:r>
      <w:r w:rsidRPr="00726D52">
        <w:rPr>
          <w:noProof/>
          <w:lang w:val="en-GB"/>
        </w:rPr>
        <w:t>ption 1.1.</w:t>
      </w:r>
    </w:p>
    <w:tbl>
      <w:tblPr>
        <w:tblStyle w:val="TableGrid"/>
        <w:tblW w:w="0" w:type="auto"/>
        <w:tblInd w:w="38" w:type="dxa"/>
        <w:tblLook w:val="04A0" w:firstRow="1" w:lastRow="0" w:firstColumn="1" w:lastColumn="0" w:noHBand="0" w:noVBand="1"/>
      </w:tblPr>
      <w:tblGrid>
        <w:gridCol w:w="8570"/>
      </w:tblGrid>
      <w:tr w:rsidR="004E111B" w:rsidRPr="00726D52" w14:paraId="79822B85" w14:textId="77777777" w:rsidTr="00BF5767">
        <w:tc>
          <w:tcPr>
            <w:tcW w:w="8570" w:type="dxa"/>
            <w:shd w:val="clear" w:color="auto" w:fill="E5B8B7" w:themeFill="accent2" w:themeFillTint="66"/>
          </w:tcPr>
          <w:p w14:paraId="61439A45" w14:textId="656E7CB8" w:rsidR="004E111B" w:rsidRPr="00726D52" w:rsidRDefault="004E111B" w:rsidP="00555968">
            <w:pPr>
              <w:pStyle w:val="NormalWeb"/>
              <w:spacing w:before="120" w:beforeAutospacing="0" w:after="120" w:afterAutospacing="0"/>
              <w:jc w:val="both"/>
              <w:rPr>
                <w:noProof/>
                <w:lang w:val="en-GB"/>
              </w:rPr>
            </w:pPr>
            <w:r w:rsidRPr="00726D52">
              <w:rPr>
                <w:b/>
                <w:bCs/>
                <w:noProof/>
                <w:u w:val="single"/>
                <w:lang w:val="en-GB"/>
              </w:rPr>
              <w:lastRenderedPageBreak/>
              <w:t>Policy Option 2</w:t>
            </w:r>
            <w:r w:rsidRPr="00726D52">
              <w:rPr>
                <w:b/>
                <w:bCs/>
                <w:noProof/>
                <w:lang w:val="en-GB"/>
              </w:rPr>
              <w:t>: A new model for Europol</w:t>
            </w:r>
          </w:p>
        </w:tc>
      </w:tr>
    </w:tbl>
    <w:p w14:paraId="2BFA1D18" w14:textId="2147BFF4" w:rsidR="00DB1226" w:rsidRPr="00726D52" w:rsidRDefault="00DB1226" w:rsidP="00555968">
      <w:pPr>
        <w:pStyle w:val="Heading4"/>
        <w:spacing w:after="0"/>
        <w:rPr>
          <w:b/>
          <w:bCs/>
          <w:noProof/>
        </w:rPr>
      </w:pPr>
      <w:bookmarkStart w:id="15" w:name="_Hlk221266576"/>
    </w:p>
    <w:tbl>
      <w:tblPr>
        <w:tblStyle w:val="TableGrid"/>
        <w:tblW w:w="0" w:type="auto"/>
        <w:tblLook w:val="04A0" w:firstRow="1" w:lastRow="0" w:firstColumn="1" w:lastColumn="0" w:noHBand="0" w:noVBand="1"/>
      </w:tblPr>
      <w:tblGrid>
        <w:gridCol w:w="8608"/>
      </w:tblGrid>
      <w:tr w:rsidR="00F36B72" w:rsidRPr="00726D52" w14:paraId="46C8C3B2" w14:textId="77777777" w:rsidTr="00431914">
        <w:tc>
          <w:tcPr>
            <w:tcW w:w="8834" w:type="dxa"/>
            <w:shd w:val="clear" w:color="auto" w:fill="B8CCE4" w:themeFill="accent1" w:themeFillTint="66"/>
          </w:tcPr>
          <w:p w14:paraId="3D93AB2F" w14:textId="376AC41C" w:rsidR="00F36B72" w:rsidRPr="00726D52" w:rsidRDefault="004E111B" w:rsidP="000A0E4B">
            <w:pPr>
              <w:pStyle w:val="Text2"/>
              <w:tabs>
                <w:tab w:val="clear" w:pos="2302"/>
              </w:tabs>
              <w:spacing w:before="120" w:after="120"/>
              <w:ind w:left="0"/>
              <w:rPr>
                <w:b/>
                <w:noProof/>
              </w:rPr>
            </w:pPr>
            <w:r w:rsidRPr="00726D52">
              <w:rPr>
                <w:b/>
                <w:noProof/>
                <w:u w:val="single"/>
                <w:lang w:eastAsia="fr-BE"/>
              </w:rPr>
              <w:t>Sub p</w:t>
            </w:r>
            <w:r w:rsidR="00F36B72" w:rsidRPr="00726D52">
              <w:rPr>
                <w:b/>
                <w:noProof/>
                <w:u w:val="single"/>
                <w:lang w:eastAsia="fr-BE"/>
              </w:rPr>
              <w:t>olicy option 2.3</w:t>
            </w:r>
            <w:r w:rsidR="00F36B72" w:rsidRPr="00726D52">
              <w:rPr>
                <w:b/>
                <w:noProof/>
                <w:lang w:eastAsia="fr-BE"/>
              </w:rPr>
              <w:t xml:space="preserve">: </w:t>
            </w:r>
            <w:r w:rsidR="00F36B72" w:rsidRPr="00726D52">
              <w:rPr>
                <w:b/>
                <w:noProof/>
              </w:rPr>
              <w:t>Europol as</w:t>
            </w:r>
            <w:r w:rsidR="5D9F7611" w:rsidRPr="00726D52">
              <w:rPr>
                <w:b/>
                <w:bCs/>
                <w:noProof/>
              </w:rPr>
              <w:t xml:space="preserve"> </w:t>
            </w:r>
            <w:r w:rsidR="28E9189A" w:rsidRPr="00726D52">
              <w:rPr>
                <w:b/>
                <w:bCs/>
                <w:noProof/>
              </w:rPr>
              <w:t>structural</w:t>
            </w:r>
            <w:r w:rsidR="5D9F7611" w:rsidRPr="00726D52">
              <w:rPr>
                <w:b/>
                <w:bCs/>
                <w:noProof/>
              </w:rPr>
              <w:t xml:space="preserve"> provider of information, analytical support and capabilities to </w:t>
            </w:r>
            <w:r w:rsidR="00F36B72" w:rsidRPr="00726D52">
              <w:rPr>
                <w:b/>
                <w:noProof/>
              </w:rPr>
              <w:t>the EPPO</w:t>
            </w:r>
            <w:r w:rsidR="00404E99" w:rsidRPr="00726D52">
              <w:rPr>
                <w:rStyle w:val="FootnoteReference"/>
                <w:b/>
                <w:noProof/>
              </w:rPr>
              <w:footnoteReference w:id="111"/>
            </w:r>
          </w:p>
          <w:p w14:paraId="335B0B2E" w14:textId="77F65E31" w:rsidR="004730ED" w:rsidRPr="00726D52" w:rsidRDefault="0093345C" w:rsidP="009502B2">
            <w:pPr>
              <w:pStyle w:val="Text2"/>
              <w:numPr>
                <w:ilvl w:val="0"/>
                <w:numId w:val="76"/>
              </w:numPr>
              <w:tabs>
                <w:tab w:val="clear" w:pos="2302"/>
              </w:tabs>
              <w:rPr>
                <w:noProof/>
                <w:lang w:eastAsia="fr-BE"/>
              </w:rPr>
            </w:pPr>
            <w:r w:rsidRPr="00726D52">
              <w:rPr>
                <w:noProof/>
                <w:lang w:eastAsia="fr-BE"/>
              </w:rPr>
              <w:t>I</w:t>
            </w:r>
            <w:r w:rsidR="004730ED" w:rsidRPr="00726D52">
              <w:rPr>
                <w:noProof/>
                <w:lang w:eastAsia="fr-BE"/>
              </w:rPr>
              <w:t>ntegrated and systematic framework of operational and analytical support</w:t>
            </w:r>
          </w:p>
        </w:tc>
      </w:tr>
    </w:tbl>
    <w:p w14:paraId="740CB11A" w14:textId="7024A968" w:rsidR="008428E0" w:rsidRPr="00726D52" w:rsidRDefault="00431914" w:rsidP="00555968">
      <w:pPr>
        <w:spacing w:before="240" w:after="120"/>
        <w:rPr>
          <w:rFonts w:eastAsia="Times New Roman"/>
          <w:noProof/>
        </w:rPr>
      </w:pPr>
      <w:r w:rsidRPr="00726D52">
        <w:rPr>
          <w:rFonts w:eastAsia="Times New Roman"/>
          <w:noProof/>
        </w:rPr>
        <w:t xml:space="preserve">This option would introduce a structural shift in Europol’s support to the EPPO, moving from the current request-based model to a </w:t>
      </w:r>
      <w:r w:rsidRPr="00726D52">
        <w:rPr>
          <w:rFonts w:eastAsia="Times New Roman"/>
          <w:b/>
          <w:bCs/>
          <w:noProof/>
        </w:rPr>
        <w:t>systematic framework for analytical support</w:t>
      </w:r>
      <w:r w:rsidRPr="00726D52">
        <w:rPr>
          <w:rFonts w:eastAsia="Times New Roman"/>
          <w:noProof/>
        </w:rPr>
        <w:t>. Europol would act as a structural provider of analytical capabilities to the EPPO, ensuring that the Union’s central law enforcement expertise is mobilised consistently in investigations affecting the Union’s financial interests</w:t>
      </w:r>
      <w:r w:rsidR="00E33004" w:rsidRPr="00726D52">
        <w:rPr>
          <w:rFonts w:eastAsia="Times New Roman"/>
          <w:noProof/>
        </w:rPr>
        <w:t>.</w:t>
      </w:r>
    </w:p>
    <w:p w14:paraId="529D836A" w14:textId="228BE33E" w:rsidR="00B26438" w:rsidRPr="00726D52" w:rsidRDefault="00B26438" w:rsidP="00555968">
      <w:pPr>
        <w:spacing w:before="240" w:after="120"/>
        <w:rPr>
          <w:rFonts w:eastAsia="Times New Roman"/>
          <w:noProof/>
        </w:rPr>
      </w:pPr>
      <w:r w:rsidRPr="00726D52">
        <w:rPr>
          <w:rFonts w:eastAsia="Times New Roman"/>
          <w:noProof/>
        </w:rPr>
        <w:t xml:space="preserve">A key element would be the establishment of a structured framework through which Europol’s analytical and technical capabilities are systematically deployed in support of EPPO investigations. This would include a </w:t>
      </w:r>
      <w:r w:rsidRPr="00726D52">
        <w:rPr>
          <w:rFonts w:eastAsia="Times New Roman"/>
          <w:b/>
          <w:bCs/>
          <w:noProof/>
        </w:rPr>
        <w:t>dedicated capability within Europol composed of specialised staff focusing on EPPO-related cases</w:t>
      </w:r>
      <w:r w:rsidRPr="00726D52">
        <w:rPr>
          <w:rFonts w:eastAsia="Times New Roman"/>
          <w:noProof/>
        </w:rPr>
        <w:t>, enabling deeper expertise and more predictable operational support.</w:t>
      </w:r>
    </w:p>
    <w:p w14:paraId="58C7E84C" w14:textId="5B9383FE" w:rsidR="00075D7D" w:rsidRPr="00726D52" w:rsidRDefault="00075D7D" w:rsidP="00B663EE">
      <w:pPr>
        <w:spacing w:before="120" w:after="120"/>
        <w:rPr>
          <w:rFonts w:eastAsia="Times New Roman"/>
          <w:noProof/>
        </w:rPr>
      </w:pPr>
      <w:r w:rsidRPr="00726D52">
        <w:rPr>
          <w:rFonts w:eastAsia="Times New Roman"/>
          <w:noProof/>
        </w:rPr>
        <w:t xml:space="preserve">Under this model, the EPPO would be able to </w:t>
      </w:r>
      <w:r w:rsidRPr="00726D52">
        <w:rPr>
          <w:rFonts w:eastAsia="Times New Roman"/>
          <w:b/>
          <w:bCs/>
          <w:noProof/>
        </w:rPr>
        <w:t>guide and prioritise the analytical support</w:t>
      </w:r>
      <w:r w:rsidRPr="00726D52">
        <w:rPr>
          <w:rFonts w:eastAsia="Times New Roman"/>
          <w:noProof/>
        </w:rPr>
        <w:t xml:space="preserve"> provided by Europol, ensuring alignment with investigative needs and timelines and that analytical tasks and operational activities of a non-coercive nature are carried out by Europol </w:t>
      </w:r>
      <w:r w:rsidRPr="00726D52">
        <w:rPr>
          <w:rFonts w:eastAsia="Times New Roman"/>
          <w:b/>
          <w:bCs/>
          <w:noProof/>
        </w:rPr>
        <w:t>on behalf of the EPPO</w:t>
      </w:r>
      <w:r w:rsidRPr="00726D52">
        <w:rPr>
          <w:rFonts w:eastAsia="Times New Roman"/>
          <w:noProof/>
        </w:rPr>
        <w:t>. Europol would provide analytical support during operational phases of investigations, technical assistance in processing seized data, and intelligence products supporting investigative strategies. This would allow the EPPO to benefit more systematically from Europol’s expertise in large-scale data analysis and criminal intelligence development in complex cross-border financial crime cases.</w:t>
      </w:r>
    </w:p>
    <w:p w14:paraId="09A9C10C" w14:textId="3E8F1500" w:rsidR="00F36B72" w:rsidRPr="00726D52" w:rsidRDefault="00404E99" w:rsidP="00B663EE">
      <w:pPr>
        <w:spacing w:before="120"/>
        <w:rPr>
          <w:noProof/>
        </w:rPr>
      </w:pPr>
      <w:r w:rsidRPr="00726D52">
        <w:rPr>
          <w:rFonts w:eastAsia="Times New Roman"/>
          <w:noProof/>
        </w:rPr>
        <w:t xml:space="preserve">The option would also strengthen </w:t>
      </w:r>
      <w:r w:rsidRPr="00726D52">
        <w:rPr>
          <w:rFonts w:eastAsia="Times New Roman"/>
          <w:b/>
          <w:bCs/>
          <w:noProof/>
        </w:rPr>
        <w:t>information exchange</w:t>
      </w:r>
      <w:r w:rsidRPr="00726D52">
        <w:rPr>
          <w:rFonts w:eastAsia="Times New Roman"/>
          <w:noProof/>
        </w:rPr>
        <w:t xml:space="preserve"> between Europol and the EPPO within the EPPO’s mandate. The Europol Regulation could mirror the logic of the EPPO Regulation by allowing the EPPO to access relevant information held by Europol when this falls within its competence. Faster and more systematic data exchange would enable both bodies to identify cross-border criminal links more effectively and strengthen investigations affecting the Union’s financial interests. Clear arrangements would govern the control and use of exchanged data, without </w:t>
      </w:r>
      <w:r w:rsidR="000F174B" w:rsidRPr="00726D52">
        <w:rPr>
          <w:rFonts w:eastAsia="Times New Roman"/>
          <w:noProof/>
        </w:rPr>
        <w:t xml:space="preserve">fundamentally </w:t>
      </w:r>
      <w:r w:rsidRPr="00726D52">
        <w:rPr>
          <w:rFonts w:eastAsia="Times New Roman"/>
          <w:noProof/>
        </w:rPr>
        <w:t>altering the existing data-ownership model or Europol’s mandate.</w:t>
      </w:r>
    </w:p>
    <w:tbl>
      <w:tblPr>
        <w:tblStyle w:val="TableGrid"/>
        <w:tblW w:w="0" w:type="auto"/>
        <w:tblLook w:val="04A0" w:firstRow="1" w:lastRow="0" w:firstColumn="1" w:lastColumn="0" w:noHBand="0" w:noVBand="1"/>
      </w:tblPr>
      <w:tblGrid>
        <w:gridCol w:w="8608"/>
      </w:tblGrid>
      <w:tr w:rsidR="00D30ABE" w:rsidRPr="00726D52" w14:paraId="57CD654D" w14:textId="77777777" w:rsidTr="00B502F1">
        <w:tc>
          <w:tcPr>
            <w:tcW w:w="8834" w:type="dxa"/>
            <w:shd w:val="clear" w:color="auto" w:fill="B8CCE4" w:themeFill="accent1" w:themeFillTint="66"/>
          </w:tcPr>
          <w:p w14:paraId="02DE11BD" w14:textId="2B2F160D" w:rsidR="00A25479" w:rsidRPr="00726D52" w:rsidRDefault="00E634D2" w:rsidP="00B663EE">
            <w:pPr>
              <w:pStyle w:val="Text2"/>
              <w:tabs>
                <w:tab w:val="clear" w:pos="2302"/>
              </w:tabs>
              <w:spacing w:before="120" w:after="120"/>
              <w:ind w:left="0"/>
              <w:rPr>
                <w:b/>
                <w:bCs/>
                <w:noProof/>
              </w:rPr>
            </w:pPr>
            <w:bookmarkStart w:id="16" w:name="_Hlk221266581"/>
            <w:bookmarkEnd w:id="15"/>
            <w:r w:rsidRPr="00726D52">
              <w:rPr>
                <w:b/>
                <w:noProof/>
                <w:u w:val="single"/>
                <w:lang w:eastAsia="fr-BE"/>
              </w:rPr>
              <w:t>Sub p</w:t>
            </w:r>
            <w:r w:rsidR="00DB1226" w:rsidRPr="00726D52">
              <w:rPr>
                <w:b/>
                <w:noProof/>
                <w:u w:val="single"/>
                <w:lang w:eastAsia="fr-BE"/>
              </w:rPr>
              <w:t xml:space="preserve">olicy option </w:t>
            </w:r>
            <w:r w:rsidR="00F36B72" w:rsidRPr="00726D52">
              <w:rPr>
                <w:b/>
                <w:noProof/>
                <w:u w:val="single"/>
                <w:lang w:eastAsia="fr-BE"/>
              </w:rPr>
              <w:t>2.4</w:t>
            </w:r>
            <w:r w:rsidR="00DB1226" w:rsidRPr="00726D52">
              <w:rPr>
                <w:b/>
                <w:noProof/>
                <w:lang w:eastAsia="fr-BE"/>
              </w:rPr>
              <w:t xml:space="preserve">: </w:t>
            </w:r>
            <w:r w:rsidR="00121FF4" w:rsidRPr="00726D52">
              <w:rPr>
                <w:b/>
                <w:bCs/>
                <w:noProof/>
              </w:rPr>
              <w:t>Operational integration of Europol into national investigations</w:t>
            </w:r>
          </w:p>
          <w:p w14:paraId="113D9E25" w14:textId="77777777" w:rsidR="00A27ADA" w:rsidRPr="00726D52" w:rsidRDefault="00A27ADA" w:rsidP="009502B2">
            <w:pPr>
              <w:pStyle w:val="Text2"/>
              <w:numPr>
                <w:ilvl w:val="0"/>
                <w:numId w:val="74"/>
              </w:numPr>
              <w:tabs>
                <w:tab w:val="clear" w:pos="2302"/>
              </w:tabs>
              <w:spacing w:after="120"/>
              <w:rPr>
                <w:noProof/>
                <w:lang w:eastAsia="fr-BE"/>
              </w:rPr>
            </w:pPr>
            <w:r w:rsidRPr="00726D52">
              <w:rPr>
                <w:noProof/>
                <w:lang w:eastAsia="fr-BE"/>
              </w:rPr>
              <w:t>EU Police Cloud</w:t>
            </w:r>
          </w:p>
          <w:p w14:paraId="033DFA5E" w14:textId="03E8BA93" w:rsidR="00A25479" w:rsidRPr="00726D52" w:rsidRDefault="00A27ADA" w:rsidP="009502B2">
            <w:pPr>
              <w:pStyle w:val="Text2"/>
              <w:numPr>
                <w:ilvl w:val="0"/>
                <w:numId w:val="74"/>
              </w:numPr>
              <w:tabs>
                <w:tab w:val="clear" w:pos="2302"/>
              </w:tabs>
              <w:spacing w:after="120"/>
              <w:rPr>
                <w:noProof/>
                <w:lang w:eastAsia="fr-BE"/>
              </w:rPr>
            </w:pPr>
            <w:r w:rsidRPr="00726D52">
              <w:rPr>
                <w:noProof/>
                <w:lang w:eastAsia="fr-BE"/>
              </w:rPr>
              <w:t>Europol Support Offices</w:t>
            </w:r>
          </w:p>
        </w:tc>
      </w:tr>
    </w:tbl>
    <w:bookmarkEnd w:id="16"/>
    <w:p w14:paraId="24307AA7" w14:textId="2C867CC4" w:rsidR="005F0A9C" w:rsidRPr="00726D52" w:rsidRDefault="005973FD" w:rsidP="005973FD">
      <w:pPr>
        <w:spacing w:before="240" w:after="120"/>
        <w:rPr>
          <w:noProof/>
        </w:rPr>
      </w:pPr>
      <w:r w:rsidRPr="00726D52">
        <w:rPr>
          <w:noProof/>
        </w:rPr>
        <w:lastRenderedPageBreak/>
        <w:t>This sub-option would transform the way Europol supports investigations by embedding its analytical, technical and coordination capabilities directly within national operational environments. Through a shared EU law enforcement platform (“EU Police Cloud”) and reinforced operational presence in Member States, Europol would evolve from a central hub into an operational capability integrated into the day-to-day work of investigators across the Union.</w:t>
      </w:r>
    </w:p>
    <w:p w14:paraId="1E60143B" w14:textId="76B93E0C" w:rsidR="000473B1" w:rsidRPr="00726D52" w:rsidRDefault="000473B1" w:rsidP="005973FD">
      <w:pPr>
        <w:spacing w:after="120"/>
        <w:rPr>
          <w:b/>
          <w:noProof/>
        </w:rPr>
      </w:pPr>
      <w:r w:rsidRPr="00726D52">
        <w:rPr>
          <w:b/>
          <w:noProof/>
        </w:rPr>
        <w:t>EU Police Cloud</w:t>
      </w:r>
    </w:p>
    <w:p w14:paraId="50951EC9" w14:textId="3761EBE2" w:rsidR="00313819" w:rsidRPr="00726D52" w:rsidRDefault="00313819" w:rsidP="005973FD">
      <w:pPr>
        <w:spacing w:after="120"/>
        <w:rPr>
          <w:noProof/>
        </w:rPr>
      </w:pPr>
      <w:r w:rsidRPr="00726D52">
        <w:rPr>
          <w:noProof/>
        </w:rPr>
        <w:t xml:space="preserve">The EU Police Cloud would provide investigators in Member States with direct access to Europol’s analytical tools, collaborative environments and data-processing capabilities through a secure digital platform. </w:t>
      </w:r>
      <w:r w:rsidR="00283B70" w:rsidRPr="00726D52">
        <w:rPr>
          <w:noProof/>
        </w:rPr>
        <w:t>Rather than relying primarily on request-based support, investigators would be able to use Europol tools directly during investigations.</w:t>
      </w:r>
      <w:r w:rsidR="000D32F2" w:rsidRPr="00726D52">
        <w:rPr>
          <w:noProof/>
        </w:rPr>
        <w:t xml:space="preserve"> Access would be granted only to authorised users designated by competent national authorities and Europol, based on role-based permissions and investigation-specific access rights.</w:t>
      </w:r>
      <w:r w:rsidR="00CA2E56" w:rsidRPr="00726D52">
        <w:rPr>
          <w:noProof/>
        </w:rPr>
        <w:t xml:space="preserve"> Authentication could rely on the EU Police Digital Identity, allowing national authorities to issue, manage and revoke credentials while ensuring a harmonised and trusted access framework across the Union.</w:t>
      </w:r>
    </w:p>
    <w:p w14:paraId="6165DA77" w14:textId="3E80CE17" w:rsidR="00E50196" w:rsidRPr="00726D52" w:rsidRDefault="5204C647" w:rsidP="005973FD">
      <w:pPr>
        <w:spacing w:after="120"/>
        <w:rPr>
          <w:noProof/>
        </w:rPr>
      </w:pPr>
      <w:r w:rsidRPr="00726D52">
        <w:rPr>
          <w:noProof/>
        </w:rPr>
        <w:t xml:space="preserve">The platform would remove technical barriers that currently limit the use of Europol’s digital tools and progressively become accessible to a broad community of law enforcement users across the Union </w:t>
      </w:r>
      <w:r w:rsidR="34FDE43C" w:rsidRPr="00726D52">
        <w:rPr>
          <w:noProof/>
        </w:rPr>
        <w:t>(up to 380</w:t>
      </w:r>
      <w:r w:rsidR="3735DF0D" w:rsidRPr="00726D52">
        <w:rPr>
          <w:noProof/>
        </w:rPr>
        <w:t> </w:t>
      </w:r>
      <w:r w:rsidR="34FDE43C" w:rsidRPr="00726D52">
        <w:rPr>
          <w:noProof/>
        </w:rPr>
        <w:t>000 by 2035</w:t>
      </w:r>
      <w:r w:rsidR="00A2088C" w:rsidRPr="00726D52">
        <w:rPr>
          <w:rStyle w:val="FootnoteReference"/>
          <w:noProof/>
        </w:rPr>
        <w:footnoteReference w:id="112"/>
      </w:r>
      <w:r w:rsidR="34FDE43C" w:rsidRPr="00726D52">
        <w:rPr>
          <w:noProof/>
        </w:rPr>
        <w:t>).</w:t>
      </w:r>
      <w:r w:rsidRPr="00726D52">
        <w:rPr>
          <w:noProof/>
        </w:rPr>
        <w:t xml:space="preserve"> Designed as a modular online platform, it would allow investigators to access specialised tools and shared data in real time, enabling more timely and operationally embedded collaboration with Europol.</w:t>
      </w:r>
      <w:r w:rsidR="000D32F2" w:rsidRPr="00726D52">
        <w:rPr>
          <w:noProof/>
        </w:rPr>
        <w:t xml:space="preserve"> In practice, investigators participating in the same join operational case could securely collaborate within dedicated digital workspaces, exchange operational information, perform analytical queries and coordinate investigative actions in near real time.</w:t>
      </w:r>
      <w:r w:rsidR="4C622B32" w:rsidRPr="00726D52">
        <w:rPr>
          <w:noProof/>
        </w:rPr>
        <w:t xml:space="preserve"> The EU Police Cloud would bring together, through a </w:t>
      </w:r>
      <w:r w:rsidR="4C622B32" w:rsidRPr="00726D52">
        <w:rPr>
          <w:b/>
          <w:bCs/>
          <w:noProof/>
        </w:rPr>
        <w:t>single digital environment</w:t>
      </w:r>
      <w:r w:rsidR="4C622B32" w:rsidRPr="00726D52">
        <w:rPr>
          <w:noProof/>
        </w:rPr>
        <w:t>, the analytical and operational tools currently available at Europol’s headquarters and make them accessible to national investigators across the Union.</w:t>
      </w:r>
    </w:p>
    <w:p w14:paraId="23EEB873" w14:textId="608719F0" w:rsidR="003862D7" w:rsidRPr="00726D52" w:rsidRDefault="003862D7" w:rsidP="005973FD">
      <w:pPr>
        <w:spacing w:after="120"/>
        <w:rPr>
          <w:noProof/>
        </w:rPr>
      </w:pPr>
      <w:r w:rsidRPr="00726D52">
        <w:rPr>
          <w:noProof/>
        </w:rPr>
        <w:t xml:space="preserve">A core function would be the ability to </w:t>
      </w:r>
      <w:r w:rsidRPr="00726D52">
        <w:rPr>
          <w:b/>
          <w:bCs/>
          <w:noProof/>
        </w:rPr>
        <w:t>upload, store and analyse large volumes of investigative data</w:t>
      </w:r>
      <w:r w:rsidRPr="00726D52">
        <w:rPr>
          <w:noProof/>
        </w:rPr>
        <w:t xml:space="preserve">, including structured data (police records, administrative data) and unstructured data (digital extractions, seized devices, operational material). </w:t>
      </w:r>
      <w:r w:rsidR="009600C8" w:rsidRPr="00726D52">
        <w:rPr>
          <w:noProof/>
        </w:rPr>
        <w:t xml:space="preserve">Data uploaded to the platform would remain logically separated according to the relevant investigation, operational task or access authorisation. </w:t>
      </w:r>
      <w:r w:rsidR="005D25CB" w:rsidRPr="00726D52">
        <w:rPr>
          <w:noProof/>
        </w:rPr>
        <w:t xml:space="preserve">Data would remain subject to strict access control, compartmentalisation by investigation, and robust security safeguards, ensuring that only authorised personnel can access relevant datasets. </w:t>
      </w:r>
      <w:r w:rsidR="009600C8" w:rsidRPr="00726D52">
        <w:rPr>
          <w:noProof/>
        </w:rPr>
        <w:t>All data-processing activities would be logged</w:t>
      </w:r>
      <w:r w:rsidR="00CA2E56" w:rsidRPr="00726D52">
        <w:rPr>
          <w:noProof/>
        </w:rPr>
        <w:t xml:space="preserve"> and auditable, enabling ex post verification of compliance with access rights, investigation mandates and data-protection requirements</w:t>
      </w:r>
      <w:r w:rsidR="009600C8" w:rsidRPr="00726D52">
        <w:rPr>
          <w:noProof/>
        </w:rPr>
        <w:t xml:space="preserve">. </w:t>
      </w:r>
      <w:r w:rsidRPr="00726D52">
        <w:rPr>
          <w:noProof/>
        </w:rPr>
        <w:t xml:space="preserve">Advanced forensic and analytical modules, including AI-based tools and biometric </w:t>
      </w:r>
      <w:bookmarkStart w:id="17" w:name="_Int_GkLP26uP"/>
      <w:r w:rsidRPr="00726D52">
        <w:rPr>
          <w:noProof/>
        </w:rPr>
        <w:t>capabilities, would</w:t>
      </w:r>
      <w:bookmarkEnd w:id="17"/>
      <w:r w:rsidRPr="00726D52">
        <w:rPr>
          <w:noProof/>
        </w:rPr>
        <w:t xml:space="preserve"> enable targeted cross-checks within joint investigations.</w:t>
      </w:r>
    </w:p>
    <w:p w14:paraId="1826D8A4" w14:textId="47A95028" w:rsidR="003862D7" w:rsidRPr="00726D52" w:rsidRDefault="007A272A" w:rsidP="005973FD">
      <w:pPr>
        <w:spacing w:after="120"/>
        <w:rPr>
          <w:noProof/>
        </w:rPr>
      </w:pPr>
      <w:r w:rsidRPr="00726D52">
        <w:rPr>
          <w:noProof/>
        </w:rPr>
        <w:t xml:space="preserve">Other modules would </w:t>
      </w:r>
      <w:r w:rsidRPr="00726D52">
        <w:rPr>
          <w:b/>
          <w:bCs/>
          <w:noProof/>
        </w:rPr>
        <w:t>automate searches and requests</w:t>
      </w:r>
      <w:r w:rsidRPr="00726D52">
        <w:rPr>
          <w:noProof/>
        </w:rPr>
        <w:t xml:space="preserve"> across information available for law enforcement purposes under Union or national law, including police records </w:t>
      </w:r>
      <w:r w:rsidR="003862D7" w:rsidRPr="00726D52">
        <w:rPr>
          <w:noProof/>
        </w:rPr>
        <w:t xml:space="preserve">(EIS </w:t>
      </w:r>
      <w:r w:rsidRPr="00726D52">
        <w:rPr>
          <w:noProof/>
        </w:rPr>
        <w:t>and</w:t>
      </w:r>
      <w:r w:rsidR="003862D7" w:rsidRPr="00726D52">
        <w:rPr>
          <w:noProof/>
        </w:rPr>
        <w:t xml:space="preserve"> national records via the Prüm </w:t>
      </w:r>
      <w:r w:rsidR="00917BB4" w:rsidRPr="00726D52">
        <w:rPr>
          <w:noProof/>
        </w:rPr>
        <w:t xml:space="preserve">II </w:t>
      </w:r>
      <w:r w:rsidR="003862D7" w:rsidRPr="00726D52">
        <w:rPr>
          <w:noProof/>
        </w:rPr>
        <w:t>framework), investigative records</w:t>
      </w:r>
      <w:r w:rsidR="003C6A21" w:rsidRPr="00726D52">
        <w:rPr>
          <w:noProof/>
        </w:rPr>
        <w:t>,</w:t>
      </w:r>
      <w:r w:rsidR="003862D7" w:rsidRPr="00726D52">
        <w:rPr>
          <w:noProof/>
        </w:rPr>
        <w:t xml:space="preserve"> interoperability </w:t>
      </w:r>
      <w:r w:rsidR="003862D7" w:rsidRPr="00726D52">
        <w:rPr>
          <w:noProof/>
        </w:rPr>
        <w:lastRenderedPageBreak/>
        <w:t xml:space="preserve">databases, national administrative records (see policy option 1.1), OSINT, referrals, information provided by third countries or private parties to Europol. </w:t>
      </w:r>
      <w:r w:rsidR="002613CF" w:rsidRPr="00726D52">
        <w:rPr>
          <w:noProof/>
        </w:rPr>
        <w:t xml:space="preserve">Queries would be </w:t>
      </w:r>
      <w:r w:rsidR="00726D52" w:rsidRPr="00726D52">
        <w:rPr>
          <w:noProof/>
        </w:rPr>
        <w:t>taking</w:t>
      </w:r>
      <w:r w:rsidR="002613CF" w:rsidRPr="00726D52">
        <w:rPr>
          <w:noProof/>
        </w:rPr>
        <w:t xml:space="preserve"> place in accordance with applicable access rights and legal bases, ensuring that users only obtain access to information they are authorised to consult. </w:t>
      </w:r>
      <w:r w:rsidR="003862D7" w:rsidRPr="00726D52">
        <w:rPr>
          <w:noProof/>
        </w:rPr>
        <w:t xml:space="preserve">To improve reactivity, regular repeated searches and </w:t>
      </w:r>
      <w:r w:rsidR="003862D7" w:rsidRPr="00726D52">
        <w:rPr>
          <w:b/>
          <w:bCs/>
          <w:noProof/>
        </w:rPr>
        <w:t>alerts</w:t>
      </w:r>
      <w:r w:rsidR="003862D7" w:rsidRPr="00726D52">
        <w:rPr>
          <w:noProof/>
        </w:rPr>
        <w:t xml:space="preserve"> would be implemented. </w:t>
      </w:r>
    </w:p>
    <w:p w14:paraId="2551BC49" w14:textId="2463499D" w:rsidR="003862D7" w:rsidRPr="00726D52" w:rsidRDefault="003862D7" w:rsidP="005973FD">
      <w:pPr>
        <w:spacing w:after="120"/>
        <w:rPr>
          <w:noProof/>
        </w:rPr>
      </w:pPr>
      <w:r w:rsidRPr="00726D52">
        <w:rPr>
          <w:noProof/>
        </w:rPr>
        <w:t xml:space="preserve">As collaboration builds upon a continuum of exchanges from the more technical to the more communicational, this platform would provide online integrated collaboration tools building on </w:t>
      </w:r>
      <w:r w:rsidR="009B526E" w:rsidRPr="00726D52">
        <w:rPr>
          <w:noProof/>
        </w:rPr>
        <w:t>existing Europol tools</w:t>
      </w:r>
      <w:r w:rsidR="009B526E" w:rsidRPr="00726D52">
        <w:rPr>
          <w:rStyle w:val="FootnoteReference"/>
          <w:noProof/>
        </w:rPr>
        <w:footnoteReference w:id="113"/>
      </w:r>
      <w:r w:rsidR="009B526E" w:rsidRPr="00726D52">
        <w:rPr>
          <w:noProof/>
        </w:rPr>
        <w:t xml:space="preserve"> </w:t>
      </w:r>
      <w:r w:rsidRPr="00726D52">
        <w:rPr>
          <w:noProof/>
        </w:rPr>
        <w:t>such as messaging, mail and video conference.</w:t>
      </w:r>
      <w:r w:rsidR="005D19FB" w:rsidRPr="00726D52">
        <w:rPr>
          <w:noProof/>
        </w:rPr>
        <w:t xml:space="preserve"> These functionalities would support operational coordination between investigators and analysts.</w:t>
      </w:r>
    </w:p>
    <w:p w14:paraId="2B7B768C" w14:textId="6581228E" w:rsidR="00030350" w:rsidRPr="00726D52" w:rsidRDefault="00E50196" w:rsidP="005973FD">
      <w:pPr>
        <w:spacing w:after="120"/>
        <w:rPr>
          <w:noProof/>
        </w:rPr>
      </w:pPr>
      <w:r w:rsidRPr="00726D52">
        <w:rPr>
          <w:noProof/>
        </w:rPr>
        <w:t xml:space="preserve">To handle increasing data, processing and users, the platform would use </w:t>
      </w:r>
      <w:r w:rsidR="00066EC8" w:rsidRPr="00726D52">
        <w:rPr>
          <w:b/>
          <w:bCs/>
          <w:noProof/>
        </w:rPr>
        <w:t>multi</w:t>
      </w:r>
      <w:r w:rsidR="004167A7" w:rsidRPr="00726D52">
        <w:rPr>
          <w:b/>
          <w:bCs/>
          <w:noProof/>
        </w:rPr>
        <w:t>-</w:t>
      </w:r>
      <w:r w:rsidRPr="00726D52">
        <w:rPr>
          <w:b/>
          <w:bCs/>
          <w:noProof/>
        </w:rPr>
        <w:t>cloud infrastructure</w:t>
      </w:r>
      <w:r w:rsidRPr="00726D52">
        <w:rPr>
          <w:noProof/>
        </w:rPr>
        <w:t xml:space="preserve"> (private and sovereign), allowing differentiated treatment of sensitive areas like terrorism.</w:t>
      </w:r>
      <w:r w:rsidR="000B2F8D" w:rsidRPr="00726D52">
        <w:rPr>
          <w:noProof/>
        </w:rPr>
        <w:t xml:space="preserve"> Sensitive operational environments could be hosted within dedicated secured infrastructures with reinforced access restrictions and cybersecurity measures.</w:t>
      </w:r>
      <w:r w:rsidRPr="00726D52">
        <w:rPr>
          <w:noProof/>
        </w:rPr>
        <w:t xml:space="preserve"> It would be accessible as a </w:t>
      </w:r>
      <w:r w:rsidRPr="00726D52">
        <w:rPr>
          <w:b/>
          <w:bCs/>
          <w:noProof/>
        </w:rPr>
        <w:t>standalone web/mobile application</w:t>
      </w:r>
      <w:r w:rsidRPr="00726D52">
        <w:rPr>
          <w:noProof/>
        </w:rPr>
        <w:t xml:space="preserve"> and via A</w:t>
      </w:r>
      <w:r w:rsidR="007A5885" w:rsidRPr="00726D52">
        <w:rPr>
          <w:noProof/>
        </w:rPr>
        <w:t xml:space="preserve">pplication </w:t>
      </w:r>
      <w:r w:rsidRPr="00726D52">
        <w:rPr>
          <w:noProof/>
        </w:rPr>
        <w:t>P</w:t>
      </w:r>
      <w:r w:rsidR="007A5885" w:rsidRPr="00726D52">
        <w:rPr>
          <w:noProof/>
        </w:rPr>
        <w:t xml:space="preserve">rogramming </w:t>
      </w:r>
      <w:r w:rsidRPr="00726D52">
        <w:rPr>
          <w:noProof/>
        </w:rPr>
        <w:t>I</w:t>
      </w:r>
      <w:r w:rsidR="007A5885" w:rsidRPr="00726D52">
        <w:rPr>
          <w:noProof/>
        </w:rPr>
        <w:t>nterface</w:t>
      </w:r>
      <w:r w:rsidRPr="00726D52">
        <w:rPr>
          <w:noProof/>
        </w:rPr>
        <w:t>s</w:t>
      </w:r>
      <w:r w:rsidR="004E3F54" w:rsidRPr="00726D52">
        <w:rPr>
          <w:noProof/>
        </w:rPr>
        <w:t xml:space="preserve"> (APIs)</w:t>
      </w:r>
      <w:r w:rsidR="004E3F54" w:rsidRPr="00726D52">
        <w:rPr>
          <w:rStyle w:val="FootnoteReference"/>
          <w:noProof/>
        </w:rPr>
        <w:footnoteReference w:id="114"/>
      </w:r>
      <w:r w:rsidRPr="00726D52">
        <w:rPr>
          <w:noProof/>
        </w:rPr>
        <w:t xml:space="preserve"> for integration with national case management systems, supporting Europol’s standardisation role. Security would rely on a </w:t>
      </w:r>
      <w:r w:rsidRPr="00726D52">
        <w:rPr>
          <w:b/>
          <w:bCs/>
          <w:noProof/>
        </w:rPr>
        <w:t>harmonised EU Police Digital Identity</w:t>
      </w:r>
      <w:r w:rsidRPr="00726D52">
        <w:rPr>
          <w:noProof/>
        </w:rPr>
        <w:t xml:space="preserve"> </w:t>
      </w:r>
      <w:r w:rsidR="00783809" w:rsidRPr="00726D52">
        <w:rPr>
          <w:noProof/>
        </w:rPr>
        <w:t xml:space="preserve">based on the EU Digital Identity Framework at high assurance level </w:t>
      </w:r>
      <w:r w:rsidR="00057A74" w:rsidRPr="00726D52">
        <w:rPr>
          <w:noProof/>
        </w:rPr>
        <w:t xml:space="preserve">granting </w:t>
      </w:r>
      <w:r w:rsidR="00783809" w:rsidRPr="00726D52">
        <w:rPr>
          <w:noProof/>
        </w:rPr>
        <w:t>secure and trusted access across the Union</w:t>
      </w:r>
      <w:r w:rsidRPr="00726D52">
        <w:rPr>
          <w:noProof/>
        </w:rPr>
        <w:t>.</w:t>
      </w:r>
      <w:r w:rsidR="00743DD9" w:rsidRPr="00726D52">
        <w:rPr>
          <w:noProof/>
        </w:rPr>
        <w:t xml:space="preserve"> </w:t>
      </w:r>
      <w:r w:rsidR="00CA2E56" w:rsidRPr="00726D52">
        <w:rPr>
          <w:noProof/>
        </w:rPr>
        <w:t xml:space="preserve">The platform would be developed according to security-by-design and security-by-default principles. </w:t>
      </w:r>
      <w:r w:rsidR="00743DD9" w:rsidRPr="00726D52">
        <w:rPr>
          <w:noProof/>
        </w:rPr>
        <w:t xml:space="preserve">Cybersecurity safeguards would include </w:t>
      </w:r>
      <w:r w:rsidR="00CA2E56" w:rsidRPr="00726D52">
        <w:rPr>
          <w:noProof/>
        </w:rPr>
        <w:t>multi-factor authentication</w:t>
      </w:r>
      <w:r w:rsidR="00743DD9" w:rsidRPr="00726D52">
        <w:rPr>
          <w:noProof/>
        </w:rPr>
        <w:t xml:space="preserve">, encryption, continuous </w:t>
      </w:r>
      <w:r w:rsidR="00CA2E56" w:rsidRPr="00726D52">
        <w:rPr>
          <w:noProof/>
        </w:rPr>
        <w:t xml:space="preserve">security </w:t>
      </w:r>
      <w:r w:rsidR="00743DD9" w:rsidRPr="00726D52">
        <w:rPr>
          <w:noProof/>
        </w:rPr>
        <w:t>monitoring, incident detection</w:t>
      </w:r>
      <w:r w:rsidR="00CA2E56" w:rsidRPr="00726D52">
        <w:rPr>
          <w:noProof/>
        </w:rPr>
        <w:t xml:space="preserve"> and response</w:t>
      </w:r>
      <w:r w:rsidR="00743DD9" w:rsidRPr="00726D52">
        <w:rPr>
          <w:noProof/>
        </w:rPr>
        <w:t xml:space="preserve"> capabilities, audit trails and resilience measures against unauthorised access</w:t>
      </w:r>
      <w:r w:rsidR="00CA2E56" w:rsidRPr="00726D52">
        <w:rPr>
          <w:noProof/>
        </w:rPr>
        <w:t>, data breaches</w:t>
      </w:r>
      <w:r w:rsidR="00743DD9" w:rsidRPr="00726D52">
        <w:rPr>
          <w:noProof/>
        </w:rPr>
        <w:t xml:space="preserve"> or cyberattacks.</w:t>
      </w:r>
      <w:r w:rsidR="00CA2E56" w:rsidRPr="00726D52">
        <w:rPr>
          <w:noProof/>
        </w:rPr>
        <w:t xml:space="preserve"> Sensitive operational environments could be subject to enhanced security requirements depending on the nature of the data processed.</w:t>
      </w:r>
      <w:r w:rsidR="00030350" w:rsidRPr="00726D52">
        <w:rPr>
          <w:noProof/>
        </w:rPr>
        <w:t xml:space="preserve"> Successful </w:t>
      </w:r>
      <w:r w:rsidR="00267E3E" w:rsidRPr="00726D52">
        <w:rPr>
          <w:noProof/>
        </w:rPr>
        <w:t>implementation</w:t>
      </w:r>
      <w:r w:rsidR="00030350" w:rsidRPr="00726D52">
        <w:rPr>
          <w:noProof/>
        </w:rPr>
        <w:t xml:space="preserve"> would depend on the simplification of the DSC under </w:t>
      </w:r>
      <w:r w:rsidR="007F38E3" w:rsidRPr="00726D52">
        <w:rPr>
          <w:noProof/>
        </w:rPr>
        <w:t>Sub</w:t>
      </w:r>
      <w:r w:rsidR="00A469AD" w:rsidRPr="00726D52">
        <w:rPr>
          <w:noProof/>
        </w:rPr>
        <w:t xml:space="preserve"> </w:t>
      </w:r>
      <w:r w:rsidR="007F38E3" w:rsidRPr="00726D52">
        <w:rPr>
          <w:noProof/>
        </w:rPr>
        <w:t>p</w:t>
      </w:r>
      <w:r w:rsidR="00030350" w:rsidRPr="00726D52">
        <w:rPr>
          <w:noProof/>
        </w:rPr>
        <w:t xml:space="preserve">olicy </w:t>
      </w:r>
      <w:r w:rsidR="007F38E3" w:rsidRPr="00726D52">
        <w:rPr>
          <w:noProof/>
        </w:rPr>
        <w:t>o</w:t>
      </w:r>
      <w:r w:rsidR="00030350" w:rsidRPr="00726D52">
        <w:rPr>
          <w:noProof/>
        </w:rPr>
        <w:t>ption 2.2 to allow for Europol to process data even if the DSC has not yet been carried out.</w:t>
      </w:r>
    </w:p>
    <w:p w14:paraId="7D11BFB3" w14:textId="2C598D09" w:rsidR="000473B1" w:rsidRPr="00726D52" w:rsidRDefault="000473B1" w:rsidP="005973FD">
      <w:pPr>
        <w:spacing w:after="120"/>
        <w:rPr>
          <w:b/>
          <w:noProof/>
        </w:rPr>
      </w:pPr>
      <w:r w:rsidRPr="00726D52">
        <w:rPr>
          <w:b/>
          <w:noProof/>
        </w:rPr>
        <w:t>Europol support offices</w:t>
      </w:r>
    </w:p>
    <w:p w14:paraId="506A7EBE" w14:textId="4C2F0FA4" w:rsidR="00F42EF9" w:rsidRPr="00726D52" w:rsidRDefault="00DA0979" w:rsidP="005973FD">
      <w:pPr>
        <w:spacing w:after="120"/>
        <w:rPr>
          <w:noProof/>
        </w:rPr>
      </w:pPr>
      <w:r w:rsidRPr="00726D52">
        <w:rPr>
          <w:noProof/>
        </w:rPr>
        <w:t xml:space="preserve">Europol </w:t>
      </w:r>
      <w:r w:rsidR="00CA5759" w:rsidRPr="00726D52">
        <w:rPr>
          <w:noProof/>
        </w:rPr>
        <w:t xml:space="preserve">support offices would strengthen Europol’s operational presence in Member States and </w:t>
      </w:r>
      <w:r w:rsidR="00CA5759" w:rsidRPr="00726D52">
        <w:rPr>
          <w:b/>
          <w:bCs/>
          <w:noProof/>
        </w:rPr>
        <w:t>serve as interfaces with national authorities</w:t>
      </w:r>
      <w:r w:rsidR="00CA5759" w:rsidRPr="00726D52">
        <w:rPr>
          <w:noProof/>
        </w:rPr>
        <w:t>, helping investigators integrate Europol’s tools, analysis and expertise into ongoing investigations. They could build on the existing Europol National Units in each Member State.</w:t>
      </w:r>
    </w:p>
    <w:p w14:paraId="208D169E" w14:textId="258FB749" w:rsidR="009A7AA0" w:rsidRPr="00726D52" w:rsidRDefault="009A7AA0" w:rsidP="005973FD">
      <w:pPr>
        <w:spacing w:after="120"/>
        <w:rPr>
          <w:noProof/>
        </w:rPr>
      </w:pPr>
      <w:r w:rsidRPr="00726D52">
        <w:rPr>
          <w:noProof/>
        </w:rPr>
        <w:t>The model would rely on staffing arrangements that combine expertise</w:t>
      </w:r>
      <w:r w:rsidR="006F1056" w:rsidRPr="00726D52">
        <w:rPr>
          <w:noProof/>
        </w:rPr>
        <w:t xml:space="preserve"> on Europol and its tools</w:t>
      </w:r>
      <w:r w:rsidRPr="00726D52">
        <w:rPr>
          <w:noProof/>
        </w:rPr>
        <w:t xml:space="preserve"> with strong familiarity with national investigative environments. This </w:t>
      </w:r>
      <w:r w:rsidR="00CA5759" w:rsidRPr="00726D52">
        <w:rPr>
          <w:noProof/>
        </w:rPr>
        <w:t>would</w:t>
      </w:r>
      <w:r w:rsidRPr="00726D52">
        <w:rPr>
          <w:noProof/>
        </w:rPr>
        <w:t xml:space="preserve"> allow Europol</w:t>
      </w:r>
      <w:r w:rsidR="00B814F1" w:rsidRPr="00726D52">
        <w:rPr>
          <w:noProof/>
        </w:rPr>
        <w:t>’s</w:t>
      </w:r>
      <w:r w:rsidRPr="00726D52">
        <w:rPr>
          <w:noProof/>
        </w:rPr>
        <w:t xml:space="preserve"> support to be better aligned with national legal frameworks, procedural requirements and investigative workflows.</w:t>
      </w:r>
    </w:p>
    <w:p w14:paraId="5FA96BD6" w14:textId="7B11E3F3" w:rsidR="009A7AA0" w:rsidRPr="00726D52" w:rsidRDefault="009A7AA0" w:rsidP="005973FD">
      <w:pPr>
        <w:spacing w:after="120"/>
        <w:rPr>
          <w:noProof/>
        </w:rPr>
      </w:pPr>
      <w:r w:rsidRPr="00726D52">
        <w:rPr>
          <w:noProof/>
        </w:rPr>
        <w:t xml:space="preserve">Through this approach, Europol support offices would act as operational multipliers within national investigative ecosystems. </w:t>
      </w:r>
      <w:r w:rsidR="005603E8" w:rsidRPr="00726D52">
        <w:rPr>
          <w:noProof/>
        </w:rPr>
        <w:t>They</w:t>
      </w:r>
      <w:r w:rsidR="00924E62" w:rsidRPr="00726D52">
        <w:rPr>
          <w:noProof/>
        </w:rPr>
        <w:t xml:space="preserve"> would provide investigators with immediate operational access to Europol’s analytical tools, specialist expertise and technical capabilities, </w:t>
      </w:r>
      <w:r w:rsidR="00A42526" w:rsidRPr="00726D52">
        <w:rPr>
          <w:noProof/>
        </w:rPr>
        <w:t xml:space="preserve">enhancing awareness of Europol’s support and </w:t>
      </w:r>
      <w:r w:rsidR="00924E62" w:rsidRPr="00726D52">
        <w:rPr>
          <w:noProof/>
        </w:rPr>
        <w:t xml:space="preserve">effectively embedding </w:t>
      </w:r>
      <w:r w:rsidR="00A42526" w:rsidRPr="00726D52">
        <w:rPr>
          <w:noProof/>
        </w:rPr>
        <w:t>that</w:t>
      </w:r>
      <w:r w:rsidR="00924E62" w:rsidRPr="00726D52">
        <w:rPr>
          <w:noProof/>
        </w:rPr>
        <w:t xml:space="preserve"> support within investigations. By enabling the early mobilisation of Europol capabilities, </w:t>
      </w:r>
      <w:r w:rsidR="00924E62" w:rsidRPr="00726D52">
        <w:rPr>
          <w:noProof/>
        </w:rPr>
        <w:lastRenderedPageBreak/>
        <w:t xml:space="preserve">they would ensure that analytical outputs and technical support are produced in forms that can be </w:t>
      </w:r>
      <w:r w:rsidR="00924E62" w:rsidRPr="00726D52">
        <w:rPr>
          <w:b/>
          <w:bCs/>
          <w:noProof/>
        </w:rPr>
        <w:t>directly integrated into national investigative processes</w:t>
      </w:r>
      <w:r w:rsidR="00924E62" w:rsidRPr="00726D52">
        <w:rPr>
          <w:noProof/>
        </w:rPr>
        <w:t xml:space="preserve"> and, where relevant, relied upon in judicial proceedings.</w:t>
      </w:r>
    </w:p>
    <w:p w14:paraId="019AD2AD" w14:textId="77777777" w:rsidR="002C548C" w:rsidRPr="00726D52" w:rsidRDefault="0016209C" w:rsidP="005973FD">
      <w:pPr>
        <w:spacing w:after="120"/>
        <w:rPr>
          <w:noProof/>
        </w:rPr>
      </w:pPr>
      <w:r w:rsidRPr="00726D52">
        <w:rPr>
          <w:noProof/>
        </w:rPr>
        <w:t xml:space="preserve">The support offices would also provide a </w:t>
      </w:r>
      <w:r w:rsidRPr="00726D52">
        <w:rPr>
          <w:b/>
          <w:bCs/>
          <w:noProof/>
        </w:rPr>
        <w:t>stable operational interface</w:t>
      </w:r>
      <w:r w:rsidRPr="00726D52">
        <w:rPr>
          <w:noProof/>
        </w:rPr>
        <w:t xml:space="preserve"> for the deployment of specialised Europol capabilities, including digital forensic expertise, data analysis and other technical support.</w:t>
      </w:r>
      <w:r w:rsidR="000F3771" w:rsidRPr="00726D52">
        <w:rPr>
          <w:noProof/>
        </w:rPr>
        <w:t xml:space="preserve"> </w:t>
      </w:r>
      <w:r w:rsidR="007955AD" w:rsidRPr="00726D52">
        <w:rPr>
          <w:noProof/>
        </w:rPr>
        <w:t xml:space="preserve">This model would complement the Agency’s strong central </w:t>
      </w:r>
      <w:r w:rsidR="000F3771" w:rsidRPr="00726D52">
        <w:rPr>
          <w:noProof/>
        </w:rPr>
        <w:t>model</w:t>
      </w:r>
      <w:r w:rsidR="007955AD" w:rsidRPr="00726D52">
        <w:rPr>
          <w:noProof/>
        </w:rPr>
        <w:t xml:space="preserve"> while bringing Europol’s capabilities closer to investigators on the ground. It would also support a more circular exchange of expertise between Europol and national authorities, strengthening operational cooperation and the practical use of Europol capabilities across the Union.</w:t>
      </w:r>
    </w:p>
    <w:p w14:paraId="7225544D" w14:textId="78D380E8" w:rsidR="006B087E" w:rsidRPr="00726D52" w:rsidRDefault="600FD708" w:rsidP="000564D7">
      <w:pPr>
        <w:pStyle w:val="Heading2"/>
        <w:rPr>
          <w:noProof/>
        </w:rPr>
      </w:pPr>
      <w:r w:rsidRPr="00726D52">
        <w:rPr>
          <w:noProof/>
        </w:rPr>
        <w:t>Options discarded at an early stage</w:t>
      </w:r>
    </w:p>
    <w:p w14:paraId="2A4BBAB4" w14:textId="6319E7A7" w:rsidR="006B087E" w:rsidRPr="00726D52" w:rsidRDefault="00921228" w:rsidP="000564D7">
      <w:pPr>
        <w:pStyle w:val="Heading3"/>
        <w:rPr>
          <w:noProof/>
        </w:rPr>
      </w:pPr>
      <w:r w:rsidRPr="00726D52">
        <w:rPr>
          <w:noProof/>
        </w:rPr>
        <w:t xml:space="preserve"> </w:t>
      </w:r>
      <w:r w:rsidR="075C7884" w:rsidRPr="00726D52">
        <w:rPr>
          <w:noProof/>
        </w:rPr>
        <w:t>Non-legislative action and targeted changes to Europol’s legal framework</w:t>
      </w:r>
    </w:p>
    <w:p w14:paraId="6FB3609F" w14:textId="77777777" w:rsidR="007B7865" w:rsidRPr="00726D52" w:rsidRDefault="007B7865" w:rsidP="007B7865">
      <w:pPr>
        <w:spacing w:after="120"/>
        <w:rPr>
          <w:noProof/>
        </w:rPr>
      </w:pPr>
      <w:r w:rsidRPr="00726D52">
        <w:rPr>
          <w:noProof/>
        </w:rPr>
        <w:t>Non-legislative measures, including operational arrangements, guidance, and technical improvements within the existing legal framework, were considered but found insufficient to address the structural limitations identified. While such measures could deliver incremental improvements, they would not enable Europol to access, process, and operationally exploit information at the scale required, nor to strengthen its operational support, capabilities, and governance in a systematic and sustainable manner.</w:t>
      </w:r>
    </w:p>
    <w:p w14:paraId="0FAC4CE4" w14:textId="1C59F6B3" w:rsidR="006B087E" w:rsidRPr="00726D52" w:rsidRDefault="00A26004" w:rsidP="67A6CF0B">
      <w:pPr>
        <w:rPr>
          <w:noProof/>
        </w:rPr>
      </w:pPr>
      <w:r w:rsidRPr="00726D52">
        <w:rPr>
          <w:noProof/>
        </w:rPr>
        <w:t xml:space="preserve">Similarly, more limited and isolated amendments to the Europol </w:t>
      </w:r>
      <w:r w:rsidR="007B7865" w:rsidRPr="00726D52">
        <w:rPr>
          <w:noProof/>
        </w:rPr>
        <w:t>Regulation were considered but discarded, as they would not provide the comprehensive and future-proof framework needed to enable Europol to operate effectively in a rapidly evolving and increasingly complex security environment</w:t>
      </w:r>
      <w:r w:rsidR="007B7865" w:rsidRPr="00726D52">
        <w:rPr>
          <w:rStyle w:val="FootnoteReference"/>
          <w:noProof/>
        </w:rPr>
        <w:footnoteReference w:id="115"/>
      </w:r>
      <w:r w:rsidR="007B7865" w:rsidRPr="00726D52">
        <w:rPr>
          <w:noProof/>
        </w:rPr>
        <w:t>.</w:t>
      </w:r>
      <w:r w:rsidR="00CD55A0" w:rsidRPr="00726D52">
        <w:rPr>
          <w:noProof/>
        </w:rPr>
        <w:t xml:space="preserve"> Targeted legislative adjustments may address specific issues, but</w:t>
      </w:r>
      <w:r w:rsidR="00772EA4" w:rsidRPr="00726D52">
        <w:rPr>
          <w:noProof/>
        </w:rPr>
        <w:t>,</w:t>
      </w:r>
      <w:r w:rsidR="00CD55A0" w:rsidRPr="00726D52">
        <w:rPr>
          <w:noProof/>
        </w:rPr>
        <w:t xml:space="preserve"> on their own</w:t>
      </w:r>
      <w:r w:rsidR="00772EA4" w:rsidRPr="00726D52">
        <w:rPr>
          <w:noProof/>
        </w:rPr>
        <w:t>,</w:t>
      </w:r>
      <w:r w:rsidR="00CD55A0" w:rsidRPr="00726D52">
        <w:rPr>
          <w:noProof/>
        </w:rPr>
        <w:t xml:space="preserve"> would not fully address the broader structural challenges identified.</w:t>
      </w:r>
    </w:p>
    <w:p w14:paraId="5248CAB5" w14:textId="0751929C" w:rsidR="006B087E" w:rsidRPr="00726D52" w:rsidRDefault="075C7884" w:rsidP="000564D7">
      <w:pPr>
        <w:pStyle w:val="Heading3"/>
        <w:rPr>
          <w:noProof/>
        </w:rPr>
      </w:pPr>
      <w:r w:rsidRPr="00726D52">
        <w:rPr>
          <w:noProof/>
        </w:rPr>
        <w:t xml:space="preserve"> Turning Europol into an autonomous agency with executive powers</w:t>
      </w:r>
    </w:p>
    <w:p w14:paraId="7C94CAB9" w14:textId="45650F9A" w:rsidR="002F1185" w:rsidRPr="00726D52" w:rsidRDefault="004E6765" w:rsidP="00555968">
      <w:pPr>
        <w:pStyle w:val="Text1"/>
        <w:ind w:left="0"/>
        <w:rPr>
          <w:noProof/>
        </w:rPr>
      </w:pPr>
      <w:r w:rsidRPr="00726D52">
        <w:rPr>
          <w:noProof/>
        </w:rPr>
        <w:t>The option of transforming Europol into an autonomous agency with executive law enforcement powers, including the ability to conduct investigations or take coercive measures independently of Member State authorities, was considered</w:t>
      </w:r>
      <w:r w:rsidRPr="00726D52">
        <w:rPr>
          <w:rStyle w:val="FootnoteReference"/>
          <w:noProof/>
        </w:rPr>
        <w:footnoteReference w:id="116"/>
      </w:r>
      <w:r w:rsidRPr="00726D52">
        <w:rPr>
          <w:noProof/>
        </w:rPr>
        <w:t xml:space="preserve"> but discarded at an early stage. Such an approach would </w:t>
      </w:r>
      <w:r w:rsidR="001F32C5" w:rsidRPr="00726D52">
        <w:rPr>
          <w:noProof/>
        </w:rPr>
        <w:t>represent a fundamental departure from the current role of Europol as a support and coordination agency operating in close cooperation with national authoritie</w:t>
      </w:r>
      <w:r w:rsidRPr="00726D52">
        <w:rPr>
          <w:noProof/>
        </w:rPr>
        <w:t>s</w:t>
      </w:r>
      <w:r w:rsidR="00CD55A0" w:rsidRPr="00726D52">
        <w:rPr>
          <w:noProof/>
        </w:rPr>
        <w:t xml:space="preserve"> </w:t>
      </w:r>
      <w:r w:rsidR="00F1684F" w:rsidRPr="00726D52">
        <w:rPr>
          <w:noProof/>
        </w:rPr>
        <w:t xml:space="preserve">in line with </w:t>
      </w:r>
      <w:r w:rsidR="00CD55A0" w:rsidRPr="00726D52">
        <w:rPr>
          <w:noProof/>
        </w:rPr>
        <w:t>Article 88 TF</w:t>
      </w:r>
      <w:r w:rsidR="006E4A8F" w:rsidRPr="00726D52">
        <w:rPr>
          <w:noProof/>
        </w:rPr>
        <w:t>EU.</w:t>
      </w:r>
    </w:p>
    <w:p w14:paraId="6DDD46B8" w14:textId="36723864" w:rsidR="004E6765" w:rsidRPr="00726D52" w:rsidRDefault="002F1185" w:rsidP="00555968">
      <w:pPr>
        <w:pStyle w:val="Text1"/>
        <w:ind w:left="0"/>
        <w:rPr>
          <w:noProof/>
        </w:rPr>
      </w:pPr>
      <w:r w:rsidRPr="00726D52">
        <w:rPr>
          <w:noProof/>
        </w:rPr>
        <w:lastRenderedPageBreak/>
        <w:t xml:space="preserve">This option would raise significant legal, operational and governance complexities. </w:t>
      </w:r>
      <w:r w:rsidR="004E6765" w:rsidRPr="00726D52">
        <w:rPr>
          <w:noProof/>
        </w:rPr>
        <w:t xml:space="preserve">Consequently, this option will not be available in short- to mid-term to address the pressing security needs identified in </w:t>
      </w:r>
      <w:r w:rsidR="00AE327A" w:rsidRPr="00726D52">
        <w:rPr>
          <w:noProof/>
        </w:rPr>
        <w:t>S</w:t>
      </w:r>
      <w:r w:rsidR="004E6765" w:rsidRPr="00726D52">
        <w:rPr>
          <w:noProof/>
        </w:rPr>
        <w:t>ection 2</w:t>
      </w:r>
      <w:r w:rsidR="00FF327F" w:rsidRPr="00726D52">
        <w:rPr>
          <w:noProof/>
        </w:rPr>
        <w:t>.</w:t>
      </w:r>
    </w:p>
    <w:p w14:paraId="2D20FBBD" w14:textId="04538499" w:rsidR="003B7BC4" w:rsidRPr="00726D52" w:rsidRDefault="003B7BC4" w:rsidP="006A09FA">
      <w:pPr>
        <w:pStyle w:val="Heading1"/>
        <w:rPr>
          <w:noProof/>
        </w:rPr>
      </w:pPr>
      <w:bookmarkStart w:id="18" w:name="_Toc224614035"/>
      <w:r w:rsidRPr="00726D52">
        <w:rPr>
          <w:noProof/>
        </w:rPr>
        <w:t>WHAT ARE THE IMPACTS OF THE POLICY OPTIONS?</w:t>
      </w:r>
      <w:bookmarkEnd w:id="18"/>
    </w:p>
    <w:p w14:paraId="65665B7F" w14:textId="778DD0B2" w:rsidR="003B7BC4" w:rsidRPr="00726D52" w:rsidRDefault="003B7BC4" w:rsidP="00134C68">
      <w:pPr>
        <w:spacing w:after="120"/>
        <w:rPr>
          <w:noProof/>
        </w:rPr>
      </w:pPr>
      <w:r w:rsidRPr="00726D52">
        <w:rPr>
          <w:noProof/>
        </w:rPr>
        <w:t>This section assesses the expected impacts of the policy options described in Section 5. The analysis evaluates the extent to which the options would contribute to achieving the objectives identified in Section 4, compared with the baseline scenario described in Section 5.3. The impacts are assessed on a scale ranging from ‘very positive impact’ (++) to ‘very negative impact’ (--), with intermediate scores: ‘positive impact’ (+), ‘neutral’ (0) and ‘negative impact’ (-).</w:t>
      </w:r>
    </w:p>
    <w:p w14:paraId="22D10F2D" w14:textId="724D6EE5" w:rsidR="003B7BC4" w:rsidRPr="00726D52" w:rsidRDefault="003B7BC4" w:rsidP="003B7BC4">
      <w:pPr>
        <w:rPr>
          <w:noProof/>
        </w:rPr>
      </w:pPr>
      <w:r w:rsidRPr="00726D52">
        <w:rPr>
          <w:noProof/>
        </w:rPr>
        <w:t xml:space="preserve">The assessment draws on the evidence collected through the study supporting this Impact Assessment, including, where possible, the quantification and monetisation of impacts. Where sufficient data was available, impacts were quantified based on existing assessments or modelling; where this was not possible, a qualitative assessment was carried out. Further details on the methodology and underlying estimates are provided in Annex </w:t>
      </w:r>
      <w:r w:rsidR="003C6A21" w:rsidRPr="00726D52">
        <w:rPr>
          <w:noProof/>
        </w:rPr>
        <w:t>10</w:t>
      </w:r>
      <w:r w:rsidRPr="00726D52">
        <w:rPr>
          <w:noProof/>
        </w:rPr>
        <w:t>.</w:t>
      </w:r>
    </w:p>
    <w:p w14:paraId="493FE460" w14:textId="06B56944" w:rsidR="003B7BC4" w:rsidRPr="00726D52" w:rsidRDefault="003B7BC4" w:rsidP="003B7BC4">
      <w:pPr>
        <w:rPr>
          <w:b/>
          <w:bCs/>
          <w:noProof/>
          <w:u w:val="single"/>
        </w:rPr>
      </w:pPr>
      <w:r w:rsidRPr="00726D52">
        <w:rPr>
          <w:b/>
          <w:bCs/>
          <w:noProof/>
        </w:rPr>
        <w:t xml:space="preserve">6.1 </w:t>
      </w:r>
      <w:r w:rsidRPr="00726D52">
        <w:rPr>
          <w:b/>
          <w:bCs/>
          <w:noProof/>
          <w:u w:val="single"/>
        </w:rPr>
        <w:t>Financial impacts</w:t>
      </w:r>
      <w:r w:rsidRPr="00726D52">
        <w:rPr>
          <w:rStyle w:val="FootnoteReference"/>
          <w:b/>
          <w:bCs/>
          <w:noProof/>
        </w:rPr>
        <w:footnoteReference w:id="117"/>
      </w:r>
    </w:p>
    <w:p w14:paraId="47B58233" w14:textId="77777777" w:rsidR="003B7BC4" w:rsidRPr="00726D52" w:rsidRDefault="003B7BC4" w:rsidP="003B7BC4">
      <w:pPr>
        <w:rPr>
          <w:b/>
          <w:bCs/>
          <w:noProof/>
          <w:u w:val="single"/>
        </w:rPr>
      </w:pPr>
      <w:r w:rsidRPr="00726D52">
        <w:rPr>
          <w:b/>
          <w:bCs/>
          <w:noProof/>
          <w:u w:val="single"/>
        </w:rPr>
        <w:t>Impact on EU institutions and agencies</w:t>
      </w:r>
    </w:p>
    <w:p w14:paraId="66661648" w14:textId="5FF40459" w:rsidR="00257FD2" w:rsidRPr="00726D52" w:rsidRDefault="003B7BC4" w:rsidP="003B7BC4">
      <w:pPr>
        <w:spacing w:after="120"/>
        <w:rPr>
          <w:noProof/>
        </w:rPr>
      </w:pPr>
      <w:r w:rsidRPr="00726D52">
        <w:rPr>
          <w:b/>
          <w:bCs/>
          <w:noProof/>
          <w:u w:val="single"/>
        </w:rPr>
        <w:t xml:space="preserve">Policy Option 1 (+/-) </w:t>
      </w:r>
      <w:r w:rsidRPr="00726D52">
        <w:rPr>
          <w:noProof/>
        </w:rPr>
        <w:t>entails additional financial and human resource requirements for Europol.</w:t>
      </w:r>
      <w:r w:rsidR="00257FD2" w:rsidRPr="00726D52">
        <w:rPr>
          <w:noProof/>
        </w:rPr>
        <w:t xml:space="preserve"> </w:t>
      </w:r>
      <w:r w:rsidR="001F678C" w:rsidRPr="00726D52">
        <w:rPr>
          <w:noProof/>
        </w:rPr>
        <w:t xml:space="preserve">Over the 2028–2034 Multiannual Financial Framework (MFF) period, </w:t>
      </w:r>
      <w:r w:rsidR="001F678C" w:rsidRPr="00726D52">
        <w:rPr>
          <w:b/>
          <w:bCs/>
          <w:noProof/>
        </w:rPr>
        <w:t>o</w:t>
      </w:r>
      <w:r w:rsidRPr="00726D52">
        <w:rPr>
          <w:b/>
          <w:bCs/>
          <w:noProof/>
        </w:rPr>
        <w:t xml:space="preserve">ne-off </w:t>
      </w:r>
      <w:r w:rsidR="00A35045" w:rsidRPr="00726D52">
        <w:rPr>
          <w:b/>
          <w:bCs/>
          <w:noProof/>
        </w:rPr>
        <w:t xml:space="preserve">adjustment </w:t>
      </w:r>
      <w:r w:rsidRPr="00726D52">
        <w:rPr>
          <w:b/>
          <w:bCs/>
          <w:noProof/>
        </w:rPr>
        <w:t>costs</w:t>
      </w:r>
      <w:r w:rsidRPr="00726D52">
        <w:rPr>
          <w:noProof/>
        </w:rPr>
        <w:t xml:space="preserve"> are estimated at approximately </w:t>
      </w:r>
      <w:r w:rsidRPr="00726D52">
        <w:rPr>
          <w:b/>
          <w:bCs/>
          <w:noProof/>
        </w:rPr>
        <w:t>EUR 61 million</w:t>
      </w:r>
      <w:r w:rsidRPr="00726D52">
        <w:rPr>
          <w:rStyle w:val="FootnoteReference"/>
          <w:b/>
          <w:bCs/>
          <w:noProof/>
        </w:rPr>
        <w:footnoteReference w:id="118"/>
      </w:r>
      <w:r w:rsidRPr="00726D52">
        <w:rPr>
          <w:noProof/>
        </w:rPr>
        <w:t xml:space="preserve">, mainly associated with upgrades of </w:t>
      </w:r>
      <w:r w:rsidR="005D7254" w:rsidRPr="00726D52">
        <w:rPr>
          <w:bCs/>
          <w:noProof/>
        </w:rPr>
        <w:t xml:space="preserve">ICT infrastructure including </w:t>
      </w:r>
      <w:r w:rsidR="00847B3B" w:rsidRPr="00726D52">
        <w:rPr>
          <w:bCs/>
          <w:noProof/>
        </w:rPr>
        <w:t>the EIS, the EAS</w:t>
      </w:r>
      <w:r w:rsidR="00847B3B" w:rsidRPr="00726D52">
        <w:rPr>
          <w:noProof/>
        </w:rPr>
        <w:t>, SIENA, QUEST</w:t>
      </w:r>
      <w:r w:rsidRPr="00726D52">
        <w:rPr>
          <w:noProof/>
        </w:rPr>
        <w:t xml:space="preserve"> and analytical tools supporting operational information exchange and analysis. Europol would also incur </w:t>
      </w:r>
      <w:r w:rsidRPr="00726D52">
        <w:rPr>
          <w:b/>
          <w:bCs/>
          <w:noProof/>
        </w:rPr>
        <w:t xml:space="preserve">recurring annual </w:t>
      </w:r>
      <w:r w:rsidR="004C1371" w:rsidRPr="00726D52">
        <w:rPr>
          <w:b/>
          <w:bCs/>
          <w:noProof/>
        </w:rPr>
        <w:t>adjustment cost</w:t>
      </w:r>
      <w:r w:rsidR="008B5C1F">
        <w:rPr>
          <w:b/>
          <w:bCs/>
          <w:noProof/>
        </w:rPr>
        <w:t>s</w:t>
      </w:r>
      <w:r w:rsidR="004C1371" w:rsidRPr="00726D52">
        <w:rPr>
          <w:b/>
          <w:bCs/>
          <w:noProof/>
        </w:rPr>
        <w:t xml:space="preserve"> </w:t>
      </w:r>
      <w:r w:rsidRPr="00726D52">
        <w:rPr>
          <w:b/>
          <w:bCs/>
          <w:noProof/>
        </w:rPr>
        <w:t>of around EUR 12.2 million</w:t>
      </w:r>
      <w:r w:rsidRPr="00726D52">
        <w:rPr>
          <w:rStyle w:val="FootnoteReference"/>
          <w:b/>
          <w:bCs/>
          <w:noProof/>
        </w:rPr>
        <w:footnoteReference w:id="119"/>
      </w:r>
      <w:r w:rsidRPr="00726D52">
        <w:rPr>
          <w:noProof/>
        </w:rPr>
        <w:t xml:space="preserve"> </w:t>
      </w:r>
      <w:r w:rsidR="00367BF0" w:rsidRPr="00726D52">
        <w:rPr>
          <w:noProof/>
        </w:rPr>
        <w:t xml:space="preserve">(corresponding to approximately EUR 85.4 million cumulatively over the 2028–2034 period) </w:t>
      </w:r>
      <w:r w:rsidRPr="00726D52">
        <w:rPr>
          <w:noProof/>
        </w:rPr>
        <w:t xml:space="preserve">related to </w:t>
      </w:r>
      <w:r w:rsidR="00A81343" w:rsidRPr="00726D52">
        <w:rPr>
          <w:noProof/>
        </w:rPr>
        <w:t xml:space="preserve">staff, </w:t>
      </w:r>
      <w:r w:rsidRPr="00726D52">
        <w:rPr>
          <w:noProof/>
        </w:rPr>
        <w:t>system maintenance, infrastructure operation and technical support to Member States</w:t>
      </w:r>
      <w:r w:rsidRPr="00726D52">
        <w:rPr>
          <w:rStyle w:val="FootnoteReference"/>
          <w:noProof/>
        </w:rPr>
        <w:footnoteReference w:id="120"/>
      </w:r>
      <w:r w:rsidRPr="00726D52">
        <w:rPr>
          <w:noProof/>
        </w:rPr>
        <w:t xml:space="preserve">. </w:t>
      </w:r>
    </w:p>
    <w:p w14:paraId="46A9F7BF" w14:textId="333BF43D" w:rsidR="003B7BC4" w:rsidRPr="00726D52" w:rsidRDefault="003B7BC4" w:rsidP="003B7BC4">
      <w:pPr>
        <w:spacing w:after="120"/>
        <w:rPr>
          <w:noProof/>
        </w:rPr>
      </w:pPr>
      <w:r w:rsidRPr="00726D52">
        <w:rPr>
          <w:noProof/>
        </w:rPr>
        <w:t xml:space="preserve">Additional costs related to mitigating measures on </w:t>
      </w:r>
      <w:r w:rsidR="00040ED1" w:rsidRPr="00726D52">
        <w:rPr>
          <w:noProof/>
        </w:rPr>
        <w:t>DSC</w:t>
      </w:r>
      <w:r w:rsidRPr="00726D52">
        <w:rPr>
          <w:noProof/>
        </w:rPr>
        <w:t xml:space="preserve"> are expected to remain limited, as they mainly concern the development of internal guidance, analytical tools and training materials</w:t>
      </w:r>
      <w:r w:rsidRPr="00726D52">
        <w:rPr>
          <w:rStyle w:val="FootnoteReference"/>
          <w:noProof/>
        </w:rPr>
        <w:footnoteReference w:id="121"/>
      </w:r>
      <w:r w:rsidRPr="00726D52">
        <w:rPr>
          <w:noProof/>
        </w:rPr>
        <w:t>.</w:t>
      </w:r>
    </w:p>
    <w:p w14:paraId="01922EE9" w14:textId="562B2DD8" w:rsidR="003B7BC4" w:rsidRPr="00726D52" w:rsidRDefault="003B7BC4" w:rsidP="003B7BC4">
      <w:pPr>
        <w:spacing w:after="120"/>
        <w:rPr>
          <w:noProof/>
        </w:rPr>
      </w:pPr>
      <w:r w:rsidRPr="00726D52">
        <w:rPr>
          <w:noProof/>
        </w:rPr>
        <w:t xml:space="preserve">Policy Option 1 also includes measures reinforcing operational cooperation between Europol and other EU </w:t>
      </w:r>
      <w:r w:rsidR="00257FD2" w:rsidRPr="00726D52">
        <w:rPr>
          <w:noProof/>
        </w:rPr>
        <w:t>bodies and agencies</w:t>
      </w:r>
      <w:r w:rsidRPr="00726D52">
        <w:rPr>
          <w:noProof/>
        </w:rPr>
        <w:t xml:space="preserve">. In particular, strengthening Europol’s support to the </w:t>
      </w:r>
      <w:r w:rsidR="00257FD2" w:rsidRPr="00726D52">
        <w:rPr>
          <w:noProof/>
        </w:rPr>
        <w:t>EPPO</w:t>
      </w:r>
      <w:r w:rsidRPr="00726D52">
        <w:rPr>
          <w:noProof/>
        </w:rPr>
        <w:t xml:space="preserve"> would require the establishment of a dedicated analytical and operational support capacity within Europol. The </w:t>
      </w:r>
      <w:r w:rsidR="00B05D68" w:rsidRPr="00726D52">
        <w:rPr>
          <w:noProof/>
        </w:rPr>
        <w:t xml:space="preserve">recurring </w:t>
      </w:r>
      <w:r w:rsidRPr="00726D52">
        <w:rPr>
          <w:noProof/>
        </w:rPr>
        <w:t xml:space="preserve">annual </w:t>
      </w:r>
      <w:r w:rsidR="00B05D68" w:rsidRPr="00726D52">
        <w:rPr>
          <w:noProof/>
        </w:rPr>
        <w:t xml:space="preserve">operational </w:t>
      </w:r>
      <w:r w:rsidRPr="00726D52">
        <w:rPr>
          <w:noProof/>
        </w:rPr>
        <w:t xml:space="preserve">cost of this reinforced </w:t>
      </w:r>
      <w:r w:rsidRPr="00726D52">
        <w:rPr>
          <w:noProof/>
        </w:rPr>
        <w:lastRenderedPageBreak/>
        <w:t xml:space="preserve">support is estimated at approximately </w:t>
      </w:r>
      <w:r w:rsidRPr="00726D52">
        <w:rPr>
          <w:b/>
          <w:bCs/>
          <w:noProof/>
        </w:rPr>
        <w:t>EUR 10 million</w:t>
      </w:r>
      <w:r w:rsidRPr="00726D52">
        <w:rPr>
          <w:rStyle w:val="FootnoteReference"/>
          <w:b/>
          <w:bCs/>
          <w:noProof/>
        </w:rPr>
        <w:footnoteReference w:id="122"/>
      </w:r>
      <w:r w:rsidR="00367BF0" w:rsidRPr="00726D52">
        <w:rPr>
          <w:b/>
          <w:bCs/>
          <w:noProof/>
        </w:rPr>
        <w:t xml:space="preserve"> </w:t>
      </w:r>
      <w:r w:rsidR="00367BF0" w:rsidRPr="00726D52">
        <w:rPr>
          <w:noProof/>
        </w:rPr>
        <w:t>(corresponding to approximately EUR 70 million cumulatively over the 2028–2034 period)</w:t>
      </w:r>
      <w:r w:rsidRPr="00726D52">
        <w:rPr>
          <w:noProof/>
        </w:rPr>
        <w:t xml:space="preserve">. </w:t>
      </w:r>
      <w:r w:rsidR="00602F00" w:rsidRPr="00726D52">
        <w:rPr>
          <w:noProof/>
        </w:rPr>
        <w:t>Furthermore, m</w:t>
      </w:r>
      <w:r w:rsidRPr="00726D52">
        <w:rPr>
          <w:noProof/>
        </w:rPr>
        <w:t xml:space="preserve">easures strengthening the operational continuum between Europol and Eurojust would generate </w:t>
      </w:r>
      <w:r w:rsidRPr="00726D52">
        <w:rPr>
          <w:b/>
          <w:bCs/>
          <w:noProof/>
        </w:rPr>
        <w:t>limited additional EU-level</w:t>
      </w:r>
      <w:r w:rsidR="00B05D68" w:rsidRPr="00726D52">
        <w:rPr>
          <w:b/>
          <w:bCs/>
          <w:noProof/>
        </w:rPr>
        <w:t xml:space="preserve"> financial</w:t>
      </w:r>
      <w:r w:rsidRPr="00726D52">
        <w:rPr>
          <w:b/>
          <w:bCs/>
          <w:noProof/>
        </w:rPr>
        <w:t xml:space="preserve"> costs</w:t>
      </w:r>
      <w:r w:rsidRPr="00726D52">
        <w:rPr>
          <w:noProof/>
        </w:rPr>
        <w:t xml:space="preserve">, estimated at approximately </w:t>
      </w:r>
      <w:r w:rsidRPr="00726D52">
        <w:rPr>
          <w:b/>
          <w:bCs/>
          <w:noProof/>
        </w:rPr>
        <w:t xml:space="preserve">EUR 2 million in one-off costs and EUR 1 million in </w:t>
      </w:r>
      <w:r w:rsidR="00B05D68" w:rsidRPr="00726D52">
        <w:rPr>
          <w:b/>
          <w:bCs/>
          <w:noProof/>
        </w:rPr>
        <w:t xml:space="preserve">recurring </w:t>
      </w:r>
      <w:r w:rsidRPr="00726D52">
        <w:rPr>
          <w:b/>
          <w:bCs/>
          <w:noProof/>
        </w:rPr>
        <w:t xml:space="preserve">annual </w:t>
      </w:r>
      <w:r w:rsidR="004C1371" w:rsidRPr="00726D52">
        <w:rPr>
          <w:b/>
          <w:bCs/>
          <w:noProof/>
        </w:rPr>
        <w:t xml:space="preserve">adjustment cost </w:t>
      </w:r>
      <w:r w:rsidR="0078542A" w:rsidRPr="00726D52">
        <w:rPr>
          <w:noProof/>
        </w:rPr>
        <w:t>(corresponding to approximately EUR 7 million cumulatively over the 2028–2034 period)</w:t>
      </w:r>
      <w:r w:rsidRPr="00726D52">
        <w:rPr>
          <w:noProof/>
        </w:rPr>
        <w:t>, mainly related to system adaptations and operational coordination</w:t>
      </w:r>
      <w:r w:rsidRPr="00726D52">
        <w:rPr>
          <w:rStyle w:val="FootnoteReference"/>
          <w:noProof/>
        </w:rPr>
        <w:footnoteReference w:id="123"/>
      </w:r>
      <w:r w:rsidR="00257FD2" w:rsidRPr="00726D52">
        <w:rPr>
          <w:noProof/>
        </w:rPr>
        <w:t>.</w:t>
      </w:r>
    </w:p>
    <w:p w14:paraId="601E4FEC" w14:textId="2FB33846" w:rsidR="003B7BC4" w:rsidRPr="00726D52" w:rsidRDefault="003B7BC4" w:rsidP="003B7BC4">
      <w:pPr>
        <w:spacing w:after="120"/>
        <w:rPr>
          <w:noProof/>
        </w:rPr>
      </w:pPr>
      <w:r w:rsidRPr="00726D52">
        <w:rPr>
          <w:noProof/>
        </w:rPr>
        <w:t xml:space="preserve">Finally, the integration of Europol analytical tools and systems into national investigative environments would require additional investment at Europol level, with </w:t>
      </w:r>
      <w:r w:rsidRPr="00726D52">
        <w:rPr>
          <w:b/>
          <w:bCs/>
          <w:noProof/>
        </w:rPr>
        <w:t>one-off</w:t>
      </w:r>
      <w:r w:rsidR="00B05D68" w:rsidRPr="00726D52">
        <w:rPr>
          <w:b/>
          <w:bCs/>
          <w:noProof/>
        </w:rPr>
        <w:t xml:space="preserve"> adjustment</w:t>
      </w:r>
      <w:r w:rsidRPr="00726D52">
        <w:rPr>
          <w:b/>
          <w:bCs/>
          <w:noProof/>
        </w:rPr>
        <w:t xml:space="preserve"> costs estimated at approximately EUR 50 million and recurring annual </w:t>
      </w:r>
      <w:r w:rsidR="004C1371" w:rsidRPr="00726D52">
        <w:rPr>
          <w:b/>
          <w:bCs/>
          <w:noProof/>
        </w:rPr>
        <w:t xml:space="preserve">adjustment cost </w:t>
      </w:r>
      <w:r w:rsidRPr="00726D52">
        <w:rPr>
          <w:b/>
          <w:bCs/>
          <w:noProof/>
        </w:rPr>
        <w:t>of around EUR 8 million</w:t>
      </w:r>
      <w:r w:rsidRPr="00726D52">
        <w:rPr>
          <w:rStyle w:val="FootnoteReference"/>
          <w:noProof/>
        </w:rPr>
        <w:footnoteReference w:id="124"/>
      </w:r>
      <w:r w:rsidR="00F15212" w:rsidRPr="00726D52">
        <w:rPr>
          <w:b/>
          <w:bCs/>
          <w:noProof/>
        </w:rPr>
        <w:t xml:space="preserve"> </w:t>
      </w:r>
      <w:r w:rsidR="00F15212" w:rsidRPr="00726D52">
        <w:rPr>
          <w:noProof/>
        </w:rPr>
        <w:t>(corresponding to approximately EUR 56 million cumulatively over the 2028–2034 period)</w:t>
      </w:r>
      <w:r w:rsidRPr="00726D52">
        <w:rPr>
          <w:noProof/>
        </w:rPr>
        <w:t>.</w:t>
      </w:r>
    </w:p>
    <w:p w14:paraId="05ED022E" w14:textId="513F2466" w:rsidR="003B7BC4" w:rsidRPr="00726D52" w:rsidRDefault="003B7BC4" w:rsidP="003B7BC4">
      <w:pPr>
        <w:spacing w:after="120"/>
        <w:rPr>
          <w:noProof/>
        </w:rPr>
      </w:pPr>
      <w:r w:rsidRPr="00726D52">
        <w:rPr>
          <w:noProof/>
          <w:u w:val="single"/>
        </w:rPr>
        <w:t xml:space="preserve">Under </w:t>
      </w:r>
      <w:r w:rsidRPr="00726D52">
        <w:rPr>
          <w:b/>
          <w:bCs/>
          <w:noProof/>
          <w:u w:val="single"/>
        </w:rPr>
        <w:t>Policy Option 2</w:t>
      </w:r>
      <w:r w:rsidRPr="00726D52">
        <w:rPr>
          <w:noProof/>
        </w:rPr>
        <w:t xml:space="preserve">, the </w:t>
      </w:r>
      <w:r w:rsidR="00B05D68" w:rsidRPr="00726D52">
        <w:rPr>
          <w:noProof/>
        </w:rPr>
        <w:t xml:space="preserve">financial </w:t>
      </w:r>
      <w:r w:rsidRPr="00726D52">
        <w:rPr>
          <w:noProof/>
        </w:rPr>
        <w:t xml:space="preserve">impact on EU institutions and agencies would be more significant </w:t>
      </w:r>
      <w:r w:rsidRPr="00726D52">
        <w:rPr>
          <w:b/>
          <w:bCs/>
          <w:noProof/>
        </w:rPr>
        <w:t xml:space="preserve">(+). </w:t>
      </w:r>
    </w:p>
    <w:p w14:paraId="70795DCC" w14:textId="34896681" w:rsidR="003B7BC4" w:rsidRPr="00726D52" w:rsidRDefault="003B7BC4" w:rsidP="003B7BC4">
      <w:pPr>
        <w:spacing w:after="120"/>
        <w:rPr>
          <w:noProof/>
        </w:rPr>
      </w:pPr>
      <w:r w:rsidRPr="00726D52">
        <w:rPr>
          <w:noProof/>
        </w:rPr>
        <w:t>For Europol, one-off</w:t>
      </w:r>
      <w:r w:rsidR="00B05D68" w:rsidRPr="00726D52">
        <w:rPr>
          <w:noProof/>
        </w:rPr>
        <w:t xml:space="preserve"> adjustment</w:t>
      </w:r>
      <w:r w:rsidRPr="00726D52">
        <w:rPr>
          <w:noProof/>
        </w:rPr>
        <w:t xml:space="preserve"> costs are estimated at approximately </w:t>
      </w:r>
      <w:r w:rsidRPr="00726D52">
        <w:rPr>
          <w:b/>
          <w:bCs/>
          <w:noProof/>
        </w:rPr>
        <w:t>EUR 11 million</w:t>
      </w:r>
      <w:r w:rsidRPr="00726D52">
        <w:rPr>
          <w:noProof/>
        </w:rPr>
        <w:t xml:space="preserve">, mainly linked to system adaptations, reinforced data-management capacity and the development of an EU DNA matching service. Europol would also incur </w:t>
      </w:r>
      <w:r w:rsidRPr="00726D52">
        <w:rPr>
          <w:b/>
          <w:bCs/>
          <w:noProof/>
        </w:rPr>
        <w:t>recurring annual</w:t>
      </w:r>
      <w:r w:rsidR="00B05D68" w:rsidRPr="00726D52">
        <w:rPr>
          <w:b/>
          <w:bCs/>
          <w:noProof/>
        </w:rPr>
        <w:t xml:space="preserve"> </w:t>
      </w:r>
      <w:r w:rsidR="004C1371" w:rsidRPr="00726D52">
        <w:rPr>
          <w:b/>
          <w:bCs/>
          <w:noProof/>
        </w:rPr>
        <w:t xml:space="preserve">adjustment cost </w:t>
      </w:r>
      <w:r w:rsidRPr="00726D52">
        <w:rPr>
          <w:b/>
          <w:bCs/>
          <w:noProof/>
        </w:rPr>
        <w:t xml:space="preserve">of around EUR </w:t>
      </w:r>
      <w:r w:rsidR="00692777" w:rsidRPr="00726D52">
        <w:rPr>
          <w:b/>
          <w:noProof/>
        </w:rPr>
        <w:t>5</w:t>
      </w:r>
      <w:r w:rsidRPr="00726D52">
        <w:rPr>
          <w:b/>
          <w:noProof/>
        </w:rPr>
        <w:t>.3</w:t>
      </w:r>
      <w:r w:rsidRPr="00726D52">
        <w:rPr>
          <w:b/>
          <w:bCs/>
          <w:noProof/>
        </w:rPr>
        <w:t xml:space="preserve"> million</w:t>
      </w:r>
      <w:r w:rsidR="0028069A" w:rsidRPr="00726D52">
        <w:rPr>
          <w:b/>
          <w:bCs/>
          <w:noProof/>
        </w:rPr>
        <w:t xml:space="preserve"> </w:t>
      </w:r>
      <w:r w:rsidR="0028069A" w:rsidRPr="00726D52">
        <w:rPr>
          <w:noProof/>
        </w:rPr>
        <w:t>(corresponding to approximately EUR 37.1 million cumulatively over the 2028–2034 period)</w:t>
      </w:r>
      <w:r w:rsidRPr="00726D52">
        <w:rPr>
          <w:noProof/>
        </w:rPr>
        <w:t>, primarily related to specialised staff, system maintenance and operational support associated with these services</w:t>
      </w:r>
      <w:r w:rsidRPr="00726D52">
        <w:rPr>
          <w:rStyle w:val="FootnoteReference"/>
          <w:noProof/>
        </w:rPr>
        <w:footnoteReference w:id="125"/>
      </w:r>
      <w:r w:rsidRPr="00726D52">
        <w:rPr>
          <w:noProof/>
        </w:rPr>
        <w:t>.</w:t>
      </w:r>
      <w:r w:rsidR="00602F00" w:rsidRPr="00726D52">
        <w:rPr>
          <w:noProof/>
        </w:rPr>
        <w:t xml:space="preserve"> </w:t>
      </w:r>
      <w:r w:rsidRPr="00726D52">
        <w:rPr>
          <w:noProof/>
        </w:rPr>
        <w:t>However, these investments could generate efficiency gains at EU level by reducing fragmentation, avoiding duplication of technical solutions across Member States and providing shared operational services at scale.</w:t>
      </w:r>
    </w:p>
    <w:p w14:paraId="7B105910" w14:textId="6749ED76" w:rsidR="003B7BC4" w:rsidRPr="00726D52" w:rsidRDefault="00BA318E" w:rsidP="003B7BC4">
      <w:pPr>
        <w:spacing w:after="120"/>
        <w:rPr>
          <w:noProof/>
        </w:rPr>
      </w:pPr>
      <w:r w:rsidRPr="00726D52">
        <w:rPr>
          <w:noProof/>
        </w:rPr>
        <w:t>Furthermore, a</w:t>
      </w:r>
      <w:r w:rsidR="003B7BC4" w:rsidRPr="00726D52">
        <w:rPr>
          <w:noProof/>
        </w:rPr>
        <w:t xml:space="preserve">dditional </w:t>
      </w:r>
      <w:r w:rsidR="00B05D68" w:rsidRPr="00726D52">
        <w:rPr>
          <w:noProof/>
        </w:rPr>
        <w:t xml:space="preserve">financial </w:t>
      </w:r>
      <w:r w:rsidR="003B7BC4" w:rsidRPr="00726D52">
        <w:rPr>
          <w:noProof/>
        </w:rPr>
        <w:t xml:space="preserve">effects would arise from the </w:t>
      </w:r>
      <w:r w:rsidR="003B7BC4" w:rsidRPr="00726D52">
        <w:rPr>
          <w:b/>
          <w:bCs/>
          <w:noProof/>
        </w:rPr>
        <w:t xml:space="preserve">simplification of the rules on </w:t>
      </w:r>
      <w:r w:rsidR="00D15965" w:rsidRPr="00726D52">
        <w:rPr>
          <w:b/>
          <w:bCs/>
          <w:noProof/>
        </w:rPr>
        <w:t>DSC</w:t>
      </w:r>
      <w:r w:rsidR="003B7BC4" w:rsidRPr="00726D52">
        <w:rPr>
          <w:noProof/>
        </w:rPr>
        <w:t xml:space="preserve">. While this policy option would significantly improve Europol’s operational flexibility and capacity to process information, it would not require substantial financial investment, as it mainly involves legislative alignment and simplification of existing rules. On the contrary, the simplification of the current framework is expected to generate </w:t>
      </w:r>
      <w:r w:rsidR="003B7BC4" w:rsidRPr="00726D52">
        <w:rPr>
          <w:b/>
          <w:bCs/>
          <w:noProof/>
        </w:rPr>
        <w:t>administrative savings and efficiency gains</w:t>
      </w:r>
      <w:r w:rsidR="003B7BC4" w:rsidRPr="00726D52">
        <w:rPr>
          <w:noProof/>
        </w:rPr>
        <w:t xml:space="preserve">, as resources currently devoted to the labour-intensive process of </w:t>
      </w:r>
      <w:r w:rsidR="007862DC" w:rsidRPr="00726D52">
        <w:rPr>
          <w:noProof/>
        </w:rPr>
        <w:t>DSC</w:t>
      </w:r>
      <w:r w:rsidR="003B7BC4" w:rsidRPr="00726D52">
        <w:rPr>
          <w:noProof/>
        </w:rPr>
        <w:t xml:space="preserve"> could be redeployed to operational analysis and investigative support. Overall, the measure is therefore expected to have a </w:t>
      </w:r>
      <w:r w:rsidR="003B7BC4" w:rsidRPr="00726D52">
        <w:rPr>
          <w:b/>
          <w:bCs/>
          <w:noProof/>
        </w:rPr>
        <w:t xml:space="preserve">very positive </w:t>
      </w:r>
      <w:r w:rsidR="00B05D68" w:rsidRPr="00726D52">
        <w:rPr>
          <w:b/>
          <w:bCs/>
          <w:noProof/>
        </w:rPr>
        <w:t xml:space="preserve">financial </w:t>
      </w:r>
      <w:r w:rsidR="003B7BC4" w:rsidRPr="00726D52">
        <w:rPr>
          <w:b/>
          <w:bCs/>
          <w:noProof/>
        </w:rPr>
        <w:t>impact</w:t>
      </w:r>
      <w:r w:rsidR="003B7BC4" w:rsidRPr="00726D52">
        <w:rPr>
          <w:noProof/>
        </w:rPr>
        <w:t>, primarily through efficiency gains rather than additional expenditure</w:t>
      </w:r>
      <w:r w:rsidR="007B0653" w:rsidRPr="00726D52">
        <w:rPr>
          <w:noProof/>
        </w:rPr>
        <w:t>, although these gains remain difficult to quantify precisely at this stage due to limited comparable operational data</w:t>
      </w:r>
      <w:r w:rsidR="003B7BC4" w:rsidRPr="00726D52">
        <w:rPr>
          <w:noProof/>
        </w:rPr>
        <w:t>.</w:t>
      </w:r>
    </w:p>
    <w:p w14:paraId="3D35A1B1" w14:textId="74F63E0B" w:rsidR="003B7BC4" w:rsidRPr="00726D52" w:rsidRDefault="003B7BC4" w:rsidP="003B7BC4">
      <w:pPr>
        <w:spacing w:after="120"/>
        <w:rPr>
          <w:noProof/>
        </w:rPr>
      </w:pPr>
      <w:r w:rsidRPr="00726D52">
        <w:rPr>
          <w:noProof/>
        </w:rPr>
        <w:lastRenderedPageBreak/>
        <w:t xml:space="preserve">The development of the </w:t>
      </w:r>
      <w:r w:rsidRPr="00726D52">
        <w:rPr>
          <w:b/>
          <w:bCs/>
          <w:noProof/>
        </w:rPr>
        <w:t xml:space="preserve">EU Police Cloud </w:t>
      </w:r>
      <w:r w:rsidRPr="00726D52">
        <w:rPr>
          <w:noProof/>
        </w:rPr>
        <w:t xml:space="preserve">would entail </w:t>
      </w:r>
      <w:r w:rsidRPr="00726D52">
        <w:rPr>
          <w:b/>
          <w:bCs/>
          <w:noProof/>
        </w:rPr>
        <w:t xml:space="preserve">one-off </w:t>
      </w:r>
      <w:r w:rsidR="00B05D68" w:rsidRPr="00726D52">
        <w:rPr>
          <w:b/>
          <w:bCs/>
          <w:noProof/>
        </w:rPr>
        <w:t xml:space="preserve">adjustment </w:t>
      </w:r>
      <w:r w:rsidRPr="00726D52">
        <w:rPr>
          <w:b/>
          <w:bCs/>
          <w:noProof/>
        </w:rPr>
        <w:t xml:space="preserve">costs for Europol estimated at approximately EUR </w:t>
      </w:r>
      <w:r w:rsidR="00A46785" w:rsidRPr="00726D52">
        <w:rPr>
          <w:b/>
          <w:bCs/>
          <w:noProof/>
        </w:rPr>
        <w:t xml:space="preserve">143.3 </w:t>
      </w:r>
      <w:r w:rsidRPr="00726D52">
        <w:rPr>
          <w:b/>
          <w:bCs/>
          <w:noProof/>
        </w:rPr>
        <w:t>million</w:t>
      </w:r>
      <w:r w:rsidRPr="00726D52">
        <w:rPr>
          <w:noProof/>
        </w:rPr>
        <w:t xml:space="preserve"> and </w:t>
      </w:r>
      <w:r w:rsidRPr="00726D52">
        <w:rPr>
          <w:b/>
          <w:bCs/>
          <w:noProof/>
        </w:rPr>
        <w:t>recurring annual</w:t>
      </w:r>
      <w:r w:rsidR="00B05D68" w:rsidRPr="00726D52">
        <w:rPr>
          <w:b/>
          <w:bCs/>
          <w:noProof/>
        </w:rPr>
        <w:t xml:space="preserve"> </w:t>
      </w:r>
      <w:r w:rsidR="004C1371" w:rsidRPr="00726D52">
        <w:rPr>
          <w:b/>
          <w:bCs/>
          <w:noProof/>
        </w:rPr>
        <w:t xml:space="preserve">adjustment cost </w:t>
      </w:r>
      <w:r w:rsidRPr="00726D52">
        <w:rPr>
          <w:b/>
          <w:bCs/>
          <w:noProof/>
        </w:rPr>
        <w:t xml:space="preserve">of around EUR </w:t>
      </w:r>
      <w:r w:rsidR="003562E1" w:rsidRPr="00726D52">
        <w:rPr>
          <w:b/>
          <w:bCs/>
          <w:noProof/>
        </w:rPr>
        <w:t>39.8</w:t>
      </w:r>
      <w:r w:rsidRPr="00726D52">
        <w:rPr>
          <w:b/>
          <w:bCs/>
          <w:noProof/>
        </w:rPr>
        <w:t xml:space="preserve"> million</w:t>
      </w:r>
      <w:r w:rsidRPr="00726D52">
        <w:rPr>
          <w:rStyle w:val="FootnoteReference"/>
          <w:noProof/>
        </w:rPr>
        <w:footnoteReference w:id="126"/>
      </w:r>
      <w:r w:rsidR="00336F4D" w:rsidRPr="00726D52">
        <w:rPr>
          <w:b/>
          <w:bCs/>
          <w:noProof/>
        </w:rPr>
        <w:t xml:space="preserve"> </w:t>
      </w:r>
      <w:r w:rsidR="00336F4D" w:rsidRPr="00726D52">
        <w:rPr>
          <w:noProof/>
        </w:rPr>
        <w:t>(corresponding to approximately EUR 278.6 million cumulatively over the 2028–2034 period)</w:t>
      </w:r>
      <w:r w:rsidRPr="00726D52">
        <w:rPr>
          <w:noProof/>
        </w:rPr>
        <w:t>. While the initial investment in digital infrastructure is significant, the use of a common EU-level platform is expected to generate efficiency gains over time by reducing fragmentation between national systems and enabling more efficient processing and analysis of operational data</w:t>
      </w:r>
      <w:r w:rsidR="00847B3B" w:rsidRPr="00726D52">
        <w:rPr>
          <w:rStyle w:val="FootnoteReference"/>
          <w:noProof/>
        </w:rPr>
        <w:footnoteReference w:id="127"/>
      </w:r>
      <w:r w:rsidRPr="00726D52">
        <w:rPr>
          <w:noProof/>
        </w:rPr>
        <w:t>.</w:t>
      </w:r>
    </w:p>
    <w:p w14:paraId="4D88C5E9" w14:textId="2691EBDE" w:rsidR="003B7BC4" w:rsidRPr="00726D52" w:rsidRDefault="003B7BC4" w:rsidP="003B7BC4">
      <w:pPr>
        <w:spacing w:after="120"/>
        <w:rPr>
          <w:noProof/>
        </w:rPr>
      </w:pPr>
      <w:r w:rsidRPr="00726D52">
        <w:rPr>
          <w:noProof/>
        </w:rPr>
        <w:t xml:space="preserve">Additional costs would arise from the </w:t>
      </w:r>
      <w:r w:rsidRPr="00726D52">
        <w:rPr>
          <w:b/>
          <w:bCs/>
          <w:noProof/>
        </w:rPr>
        <w:t>deployment of Europol support offices in Member States</w:t>
      </w:r>
      <w:r w:rsidRPr="00726D52">
        <w:rPr>
          <w:noProof/>
        </w:rPr>
        <w:t>, with</w:t>
      </w:r>
      <w:r w:rsidR="002E4545" w:rsidRPr="00726D52">
        <w:rPr>
          <w:noProof/>
        </w:rPr>
        <w:t xml:space="preserve"> </w:t>
      </w:r>
      <w:r w:rsidR="00E47C42" w:rsidRPr="00726D52">
        <w:rPr>
          <w:b/>
          <w:bCs/>
          <w:noProof/>
        </w:rPr>
        <w:t>re</w:t>
      </w:r>
      <w:r w:rsidRPr="00726D52">
        <w:rPr>
          <w:b/>
          <w:bCs/>
          <w:noProof/>
        </w:rPr>
        <w:t>curring annual</w:t>
      </w:r>
      <w:r w:rsidR="00B05D68" w:rsidRPr="00726D52">
        <w:rPr>
          <w:b/>
          <w:bCs/>
          <w:noProof/>
        </w:rPr>
        <w:t xml:space="preserve"> </w:t>
      </w:r>
      <w:r w:rsidR="004C1371" w:rsidRPr="00726D52">
        <w:rPr>
          <w:b/>
          <w:bCs/>
          <w:noProof/>
        </w:rPr>
        <w:t xml:space="preserve">adjustment cost </w:t>
      </w:r>
      <w:r w:rsidRPr="00726D52">
        <w:rPr>
          <w:b/>
          <w:bCs/>
          <w:noProof/>
        </w:rPr>
        <w:t>of up to EUR 6.5 million</w:t>
      </w:r>
      <w:r w:rsidR="00685160" w:rsidRPr="00726D52">
        <w:rPr>
          <w:rStyle w:val="FootnoteReference"/>
          <w:b/>
          <w:bCs/>
          <w:noProof/>
        </w:rPr>
        <w:footnoteReference w:id="128"/>
      </w:r>
      <w:r w:rsidR="00336F4D" w:rsidRPr="00726D52">
        <w:rPr>
          <w:b/>
          <w:bCs/>
          <w:noProof/>
        </w:rPr>
        <w:t xml:space="preserve"> </w:t>
      </w:r>
      <w:r w:rsidR="00336F4D" w:rsidRPr="00726D52">
        <w:rPr>
          <w:noProof/>
        </w:rPr>
        <w:t>(corresponding to approximately EUR 45.5 million cumulatively over the 2028–2034 period)</w:t>
      </w:r>
      <w:r w:rsidRPr="00726D52">
        <w:rPr>
          <w:noProof/>
        </w:rPr>
        <w:t xml:space="preserve">. </w:t>
      </w:r>
    </w:p>
    <w:p w14:paraId="131D67D8" w14:textId="67A9DDC7" w:rsidR="003B7BC4" w:rsidRPr="00726D52" w:rsidRDefault="003B7BC4" w:rsidP="004505B7">
      <w:pPr>
        <w:spacing w:after="120"/>
        <w:rPr>
          <w:noProof/>
        </w:rPr>
      </w:pPr>
      <w:r w:rsidRPr="00726D52">
        <w:rPr>
          <w:noProof/>
        </w:rPr>
        <w:t xml:space="preserve">Establishing Europol as a structural provider of analytical and operational support to the EPPO would generate </w:t>
      </w:r>
      <w:r w:rsidRPr="00726D52">
        <w:rPr>
          <w:b/>
          <w:bCs/>
          <w:noProof/>
        </w:rPr>
        <w:t xml:space="preserve">additional </w:t>
      </w:r>
      <w:r w:rsidR="004C1371" w:rsidRPr="00726D52">
        <w:rPr>
          <w:b/>
          <w:bCs/>
          <w:noProof/>
        </w:rPr>
        <w:t xml:space="preserve">adjustment </w:t>
      </w:r>
      <w:r w:rsidR="00726D52">
        <w:rPr>
          <w:b/>
          <w:bCs/>
          <w:noProof/>
        </w:rPr>
        <w:t>recurring</w:t>
      </w:r>
      <w:r w:rsidR="004C1371" w:rsidRPr="00726D52">
        <w:rPr>
          <w:b/>
          <w:bCs/>
          <w:noProof/>
        </w:rPr>
        <w:t xml:space="preserve"> cost </w:t>
      </w:r>
      <w:r w:rsidRPr="00726D52">
        <w:rPr>
          <w:b/>
          <w:bCs/>
          <w:noProof/>
        </w:rPr>
        <w:t>at EU level estimated at approximately EUR 11 million per yea</w:t>
      </w:r>
      <w:r w:rsidR="00C27C9D" w:rsidRPr="00726D52">
        <w:rPr>
          <w:b/>
          <w:bCs/>
          <w:noProof/>
        </w:rPr>
        <w:t>r</w:t>
      </w:r>
      <w:r w:rsidR="00C27C9D" w:rsidRPr="00726D52">
        <w:rPr>
          <w:rStyle w:val="FootnoteReference"/>
          <w:b/>
          <w:bCs/>
          <w:noProof/>
        </w:rPr>
        <w:footnoteReference w:id="129"/>
      </w:r>
      <w:r w:rsidR="0084059B" w:rsidRPr="00726D52">
        <w:rPr>
          <w:b/>
          <w:bCs/>
          <w:noProof/>
        </w:rPr>
        <w:t xml:space="preserve"> </w:t>
      </w:r>
      <w:r w:rsidR="0084059B" w:rsidRPr="00726D52">
        <w:rPr>
          <w:noProof/>
        </w:rPr>
        <w:t>(corresponding to approximately EUR 77 million cumulatively over the 2028–2034 period)</w:t>
      </w:r>
      <w:r w:rsidRPr="00726D52">
        <w:rPr>
          <w:noProof/>
        </w:rPr>
        <w:t>. These costs relate mainly to the creation and operation of a dedicated Europol support capacity composed of specialised analysts and operational staff supporting EPPO investigations</w:t>
      </w:r>
      <w:r w:rsidRPr="00726D52">
        <w:rPr>
          <w:rStyle w:val="FootnoteReference"/>
          <w:noProof/>
        </w:rPr>
        <w:footnoteReference w:id="130"/>
      </w:r>
      <w:r w:rsidRPr="00726D52">
        <w:rPr>
          <w:noProof/>
        </w:rPr>
        <w:t>. No separate one-off</w:t>
      </w:r>
      <w:r w:rsidR="00B05D68" w:rsidRPr="00726D52">
        <w:rPr>
          <w:noProof/>
        </w:rPr>
        <w:t xml:space="preserve"> adjustment</w:t>
      </w:r>
      <w:r w:rsidRPr="00726D52">
        <w:rPr>
          <w:noProof/>
        </w:rPr>
        <w:t xml:space="preserve"> costs are expected</w:t>
      </w:r>
      <w:r w:rsidRPr="00726D52">
        <w:rPr>
          <w:rStyle w:val="FootnoteReference"/>
          <w:noProof/>
        </w:rPr>
        <w:footnoteReference w:id="131"/>
      </w:r>
      <w:r w:rsidRPr="00726D52">
        <w:rPr>
          <w:noProof/>
        </w:rPr>
        <w:t>.</w:t>
      </w:r>
    </w:p>
    <w:p w14:paraId="574822DF" w14:textId="77777777" w:rsidR="00D34AEF" w:rsidRPr="00726D52" w:rsidRDefault="00D34AEF" w:rsidP="004505B7">
      <w:pPr>
        <w:spacing w:after="120"/>
        <w:rPr>
          <w:noProof/>
        </w:rPr>
      </w:pPr>
    </w:p>
    <w:p w14:paraId="6A258808" w14:textId="77777777" w:rsidR="003B7BC4" w:rsidRPr="00726D52" w:rsidRDefault="003B7BC4" w:rsidP="004505B7">
      <w:pPr>
        <w:spacing w:after="120"/>
        <w:rPr>
          <w:b/>
          <w:bCs/>
          <w:noProof/>
          <w:u w:val="single"/>
        </w:rPr>
      </w:pPr>
      <w:r w:rsidRPr="00726D52">
        <w:rPr>
          <w:b/>
          <w:bCs/>
          <w:noProof/>
          <w:u w:val="single"/>
        </w:rPr>
        <w:t>Impact on Member States</w:t>
      </w:r>
    </w:p>
    <w:p w14:paraId="3CE08E72" w14:textId="350E3832" w:rsidR="003B7BC4" w:rsidRPr="00726D52" w:rsidRDefault="003B7BC4" w:rsidP="004505B7">
      <w:pPr>
        <w:spacing w:before="240" w:after="120"/>
        <w:rPr>
          <w:noProof/>
        </w:rPr>
      </w:pPr>
      <w:r w:rsidRPr="00726D52">
        <w:rPr>
          <w:noProof/>
          <w:u w:val="single"/>
        </w:rPr>
        <w:t xml:space="preserve">Under </w:t>
      </w:r>
      <w:r w:rsidRPr="00726D52">
        <w:rPr>
          <w:b/>
          <w:bCs/>
          <w:noProof/>
          <w:u w:val="single"/>
        </w:rPr>
        <w:t>Policy Option 1</w:t>
      </w:r>
      <w:r w:rsidRPr="00726D52">
        <w:rPr>
          <w:b/>
          <w:bCs/>
          <w:noProof/>
        </w:rPr>
        <w:t xml:space="preserve"> (+),</w:t>
      </w:r>
      <w:r w:rsidRPr="00726D52">
        <w:rPr>
          <w:noProof/>
        </w:rPr>
        <w:t xml:space="preserve"> Member States would incur </w:t>
      </w:r>
      <w:r w:rsidRPr="00726D52">
        <w:rPr>
          <w:b/>
          <w:bCs/>
          <w:noProof/>
        </w:rPr>
        <w:t>moderate implementation costs</w:t>
      </w:r>
      <w:r w:rsidRPr="00726D52">
        <w:rPr>
          <w:noProof/>
        </w:rPr>
        <w:t>, mainly related to improving data exchange with Europol and integrating Europol analytical capabilities into national investigative environments.</w:t>
      </w:r>
    </w:p>
    <w:p w14:paraId="0DC588B4" w14:textId="49D940F8" w:rsidR="003B7BC4" w:rsidRPr="00726D52" w:rsidRDefault="003B7BC4" w:rsidP="004505B7">
      <w:pPr>
        <w:spacing w:after="120"/>
        <w:rPr>
          <w:noProof/>
        </w:rPr>
      </w:pPr>
      <w:r w:rsidRPr="00726D52">
        <w:rPr>
          <w:noProof/>
        </w:rPr>
        <w:t xml:space="preserve">One-off costs are estimated at approximately </w:t>
      </w:r>
      <w:r w:rsidRPr="00726D52">
        <w:rPr>
          <w:b/>
          <w:bCs/>
          <w:noProof/>
        </w:rPr>
        <w:t>EUR 81 million in total (around EUR 3 million per Member State on average)</w:t>
      </w:r>
      <w:r w:rsidRPr="00726D52">
        <w:rPr>
          <w:noProof/>
        </w:rPr>
        <w:t xml:space="preserve">, primarily linked to the deployment of automated data-loader solutions and the technical adjustments required to connect national systems with upgraded Europol platforms. Recurring annual costs are estimated at approximately </w:t>
      </w:r>
      <w:r w:rsidRPr="00726D52">
        <w:rPr>
          <w:b/>
          <w:bCs/>
          <w:noProof/>
        </w:rPr>
        <w:t>EUR 16.2 million</w:t>
      </w:r>
      <w:r w:rsidR="00567FD4" w:rsidRPr="00726D52">
        <w:rPr>
          <w:b/>
          <w:bCs/>
          <w:noProof/>
        </w:rPr>
        <w:t xml:space="preserve"> </w:t>
      </w:r>
      <w:r w:rsidR="00567FD4" w:rsidRPr="00726D52">
        <w:rPr>
          <w:noProof/>
        </w:rPr>
        <w:t>(corresponding to approximately EUR 113.4 million cumulatively over the 2028–2034 period)</w:t>
      </w:r>
      <w:r w:rsidRPr="00726D52">
        <w:rPr>
          <w:noProof/>
        </w:rPr>
        <w:t>, mainly related to maintenance of data</w:t>
      </w:r>
      <w:r w:rsidR="009B5345" w:rsidRPr="00726D52">
        <w:rPr>
          <w:noProof/>
        </w:rPr>
        <w:t xml:space="preserve"> </w:t>
      </w:r>
      <w:r w:rsidRPr="00726D52">
        <w:rPr>
          <w:noProof/>
        </w:rPr>
        <w:t>loader infrastructure, system interfaces and operational support.</w:t>
      </w:r>
    </w:p>
    <w:p w14:paraId="6E1A1A55" w14:textId="660C6A79" w:rsidR="003B7BC4" w:rsidRPr="00726D52" w:rsidRDefault="003B7BC4" w:rsidP="004505B7">
      <w:pPr>
        <w:spacing w:after="120"/>
        <w:rPr>
          <w:noProof/>
        </w:rPr>
      </w:pPr>
      <w:r w:rsidRPr="00726D52">
        <w:rPr>
          <w:noProof/>
        </w:rPr>
        <w:t xml:space="preserve">Further costs would arise from the </w:t>
      </w:r>
      <w:r w:rsidRPr="00726D52">
        <w:rPr>
          <w:b/>
          <w:bCs/>
          <w:noProof/>
        </w:rPr>
        <w:t xml:space="preserve">integration of </w:t>
      </w:r>
      <w:r w:rsidR="008522FF" w:rsidRPr="00726D52">
        <w:rPr>
          <w:b/>
          <w:bCs/>
          <w:noProof/>
        </w:rPr>
        <w:t>EIS and EAS</w:t>
      </w:r>
      <w:r w:rsidRPr="00726D52">
        <w:rPr>
          <w:b/>
          <w:bCs/>
          <w:noProof/>
        </w:rPr>
        <w:t xml:space="preserve"> into national investigative environments</w:t>
      </w:r>
      <w:r w:rsidRPr="00726D52">
        <w:rPr>
          <w:noProof/>
        </w:rPr>
        <w:t xml:space="preserve">, including updates to national case management systems, the adoption of common data standards and training of personnel. These investments are estimated at approximately </w:t>
      </w:r>
      <w:r w:rsidRPr="00726D52">
        <w:rPr>
          <w:b/>
          <w:bCs/>
          <w:noProof/>
        </w:rPr>
        <w:t xml:space="preserve">EUR 105 million in one-off costs and EUR 20 million in </w:t>
      </w:r>
      <w:r w:rsidRPr="00726D52">
        <w:rPr>
          <w:b/>
          <w:bCs/>
          <w:noProof/>
        </w:rPr>
        <w:lastRenderedPageBreak/>
        <w:t>annual recurring costs</w:t>
      </w:r>
      <w:r w:rsidR="00133E16" w:rsidRPr="00726D52">
        <w:rPr>
          <w:b/>
          <w:bCs/>
          <w:noProof/>
        </w:rPr>
        <w:t xml:space="preserve"> </w:t>
      </w:r>
      <w:r w:rsidR="00133E16" w:rsidRPr="00726D52">
        <w:rPr>
          <w:noProof/>
        </w:rPr>
        <w:t>(corresponding to approximately EUR 140 million cumulatively over the 2028–2034 period)</w:t>
      </w:r>
      <w:r w:rsidRPr="00726D52">
        <w:rPr>
          <w:noProof/>
        </w:rPr>
        <w:t>.</w:t>
      </w:r>
    </w:p>
    <w:p w14:paraId="7A7130E0" w14:textId="1936E78D" w:rsidR="003B7BC4" w:rsidRPr="00726D52" w:rsidRDefault="003B7BC4" w:rsidP="004505B7">
      <w:pPr>
        <w:rPr>
          <w:noProof/>
        </w:rPr>
      </w:pPr>
      <w:r w:rsidRPr="00726D52">
        <w:rPr>
          <w:noProof/>
        </w:rPr>
        <w:t xml:space="preserve">At the same time, Policy Option 1 is expected to generate </w:t>
      </w:r>
      <w:r w:rsidRPr="00726D52">
        <w:rPr>
          <w:b/>
          <w:bCs/>
          <w:noProof/>
        </w:rPr>
        <w:t>significant operational efficiencies for national authorities</w:t>
      </w:r>
      <w:r w:rsidR="00ED251B" w:rsidRPr="00726D52">
        <w:rPr>
          <w:rStyle w:val="FootnoteReference"/>
          <w:b/>
          <w:bCs/>
          <w:noProof/>
        </w:rPr>
        <w:footnoteReference w:id="132"/>
      </w:r>
      <w:r w:rsidRPr="00726D52">
        <w:rPr>
          <w:noProof/>
        </w:rPr>
        <w:t xml:space="preserve">. Automated data loaders would reduce manual processing and delays in information sharing, while improved Europol systems and embedded analytical services would allow investigators to benefit more systematically from EU-level analytical capabilities. Measures addressing obstacles linked to </w:t>
      </w:r>
      <w:r w:rsidR="00104A9B" w:rsidRPr="00726D52">
        <w:rPr>
          <w:noProof/>
        </w:rPr>
        <w:t>DSC</w:t>
      </w:r>
      <w:r w:rsidRPr="00726D52">
        <w:rPr>
          <w:noProof/>
        </w:rPr>
        <w:t xml:space="preserve"> would </w:t>
      </w:r>
      <w:r w:rsidRPr="00726D52">
        <w:rPr>
          <w:b/>
          <w:bCs/>
          <w:noProof/>
        </w:rPr>
        <w:t>not generate additional costs for Member States</w:t>
      </w:r>
      <w:r w:rsidRPr="00726D52">
        <w:rPr>
          <w:noProof/>
        </w:rPr>
        <w:t>, as they mainly concern internal procedures within Europol.</w:t>
      </w:r>
    </w:p>
    <w:p w14:paraId="636D0745" w14:textId="77777777" w:rsidR="003B7BC4" w:rsidRPr="00726D52" w:rsidRDefault="003B7BC4" w:rsidP="004505B7">
      <w:pPr>
        <w:spacing w:after="120"/>
        <w:rPr>
          <w:noProof/>
        </w:rPr>
      </w:pPr>
      <w:r w:rsidRPr="00726D52">
        <w:rPr>
          <w:noProof/>
        </w:rPr>
        <w:t xml:space="preserve">Under </w:t>
      </w:r>
      <w:r w:rsidRPr="00726D52">
        <w:rPr>
          <w:b/>
          <w:bCs/>
          <w:noProof/>
          <w:u w:val="single"/>
        </w:rPr>
        <w:t>Policy Option 2 (+/-),</w:t>
      </w:r>
      <w:r w:rsidRPr="00726D52">
        <w:rPr>
          <w:noProof/>
        </w:rPr>
        <w:t xml:space="preserve"> the economic impact on Member States would vary depending on the operational capabilities developed at EU level.</w:t>
      </w:r>
    </w:p>
    <w:p w14:paraId="68BCD2AE" w14:textId="66B52433" w:rsidR="003B7BC4" w:rsidRPr="00726D52" w:rsidRDefault="003B7BC4" w:rsidP="004505B7">
      <w:pPr>
        <w:spacing w:after="120"/>
        <w:rPr>
          <w:noProof/>
        </w:rPr>
      </w:pPr>
      <w:r w:rsidRPr="00726D52">
        <w:rPr>
          <w:noProof/>
        </w:rPr>
        <w:t xml:space="preserve">For measures enabling Europol to act as an </w:t>
      </w:r>
      <w:r w:rsidRPr="00726D52">
        <w:rPr>
          <w:b/>
          <w:bCs/>
          <w:noProof/>
        </w:rPr>
        <w:t>operational service provider and information hub</w:t>
      </w:r>
      <w:r w:rsidRPr="00726D52">
        <w:rPr>
          <w:noProof/>
        </w:rPr>
        <w:t xml:space="preserve">, Member State costs are expected to remain </w:t>
      </w:r>
      <w:r w:rsidRPr="00726D52">
        <w:rPr>
          <w:b/>
          <w:bCs/>
          <w:noProof/>
        </w:rPr>
        <w:t>very limited</w:t>
      </w:r>
      <w:r w:rsidRPr="00726D52">
        <w:rPr>
          <w:noProof/>
        </w:rPr>
        <w:t xml:space="preserve">, as the approach relies primarily on existing EU information exchange </w:t>
      </w:r>
      <w:r w:rsidR="00E05AF2" w:rsidRPr="00726D52">
        <w:rPr>
          <w:noProof/>
        </w:rPr>
        <w:t>mechanisms,</w:t>
      </w:r>
      <w:r w:rsidRPr="00726D52">
        <w:rPr>
          <w:noProof/>
        </w:rPr>
        <w:t xml:space="preserve"> such as the Prüm </w:t>
      </w:r>
      <w:r w:rsidR="00E05AF2" w:rsidRPr="00726D52">
        <w:rPr>
          <w:noProof/>
        </w:rPr>
        <w:t xml:space="preserve">II </w:t>
      </w:r>
      <w:r w:rsidRPr="00726D52">
        <w:rPr>
          <w:noProof/>
        </w:rPr>
        <w:t xml:space="preserve">framework. One-off costs are estimated at approximately </w:t>
      </w:r>
      <w:r w:rsidRPr="00726D52">
        <w:rPr>
          <w:b/>
          <w:bCs/>
          <w:noProof/>
        </w:rPr>
        <w:t>EUR 0.05 million per Member State</w:t>
      </w:r>
      <w:r w:rsidR="00C141AE" w:rsidRPr="00726D52">
        <w:rPr>
          <w:rStyle w:val="FootnoteReference"/>
          <w:b/>
          <w:bCs/>
          <w:noProof/>
        </w:rPr>
        <w:footnoteReference w:id="133"/>
      </w:r>
      <w:r w:rsidRPr="00726D52">
        <w:rPr>
          <w:noProof/>
        </w:rPr>
        <w:t>, reflecting minor technical adjustments required to enable authorised queries through existing infrastructure. Recurring costs are expected to remain negligible.</w:t>
      </w:r>
    </w:p>
    <w:p w14:paraId="2EEB5DA4" w14:textId="7294C9E0" w:rsidR="003B7BC4" w:rsidRPr="00726D52" w:rsidRDefault="003B7BC4" w:rsidP="004505B7">
      <w:pPr>
        <w:spacing w:after="120"/>
        <w:rPr>
          <w:noProof/>
        </w:rPr>
      </w:pPr>
      <w:r w:rsidRPr="00726D52">
        <w:rPr>
          <w:noProof/>
        </w:rPr>
        <w:t xml:space="preserve">More substantial costs would arise from the </w:t>
      </w:r>
      <w:r w:rsidRPr="00726D52">
        <w:rPr>
          <w:b/>
          <w:bCs/>
          <w:noProof/>
        </w:rPr>
        <w:t>deployment of the EU Police Cloud and related digital infrastructure</w:t>
      </w:r>
      <w:r w:rsidRPr="00726D52">
        <w:rPr>
          <w:noProof/>
        </w:rPr>
        <w:t xml:space="preserve">, which would require adjustments to national systems, integration with the EU Police Digital </w:t>
      </w:r>
      <w:r w:rsidR="008C1F35" w:rsidRPr="00726D52">
        <w:rPr>
          <w:noProof/>
        </w:rPr>
        <w:t xml:space="preserve">ID </w:t>
      </w:r>
      <w:r w:rsidRPr="00726D52">
        <w:rPr>
          <w:noProof/>
        </w:rPr>
        <w:t xml:space="preserve">framework, training and data migration. These investments are estimated at approximately </w:t>
      </w:r>
      <w:r w:rsidRPr="00726D52">
        <w:rPr>
          <w:b/>
          <w:bCs/>
          <w:noProof/>
        </w:rPr>
        <w:t>EUR 67.5 million in one-off costs and EUR 11.4 million in annual recurring costs</w:t>
      </w:r>
      <w:r w:rsidR="008522FF" w:rsidRPr="00726D52">
        <w:rPr>
          <w:rStyle w:val="FootnoteReference"/>
          <w:b/>
          <w:bCs/>
          <w:noProof/>
        </w:rPr>
        <w:footnoteReference w:id="134"/>
      </w:r>
      <w:r w:rsidR="00AE62BB" w:rsidRPr="00726D52">
        <w:rPr>
          <w:b/>
          <w:bCs/>
          <w:noProof/>
        </w:rPr>
        <w:t xml:space="preserve"> </w:t>
      </w:r>
      <w:r w:rsidR="00AE62BB" w:rsidRPr="00726D52">
        <w:rPr>
          <w:noProof/>
        </w:rPr>
        <w:t>(corresponding to approximately EUR 79.8 million cumulatively over the 2028–2034 period)</w:t>
      </w:r>
      <w:r w:rsidRPr="00726D52">
        <w:rPr>
          <w:noProof/>
        </w:rPr>
        <w:t>.</w:t>
      </w:r>
    </w:p>
    <w:p w14:paraId="16741CCB" w14:textId="77777777" w:rsidR="003B7BC4" w:rsidRPr="00726D52" w:rsidRDefault="003B7BC4" w:rsidP="004505B7">
      <w:pPr>
        <w:spacing w:after="120"/>
        <w:rPr>
          <w:noProof/>
        </w:rPr>
      </w:pPr>
      <w:r w:rsidRPr="00726D52">
        <w:rPr>
          <w:noProof/>
        </w:rPr>
        <w:t xml:space="preserve">Overall, although Policy Option 2 involves high implementation costs for Member States in relation to digital infrastructure, these investments are expected to generate </w:t>
      </w:r>
      <w:r w:rsidRPr="00726D52">
        <w:rPr>
          <w:b/>
          <w:bCs/>
          <w:noProof/>
        </w:rPr>
        <w:t>long-term efficiency gains</w:t>
      </w:r>
      <w:r w:rsidRPr="00726D52">
        <w:rPr>
          <w:noProof/>
        </w:rPr>
        <w:t xml:space="preserve"> by enabling access to shared analytical tools and operational services at EU level, reducing fragmentation of national solutions and supporting more effective cross-border investigations.</w:t>
      </w:r>
    </w:p>
    <w:p w14:paraId="7F8164C5" w14:textId="7499521D" w:rsidR="003B7BC4" w:rsidRPr="00726D52" w:rsidRDefault="003B7BC4" w:rsidP="003B7BC4">
      <w:pPr>
        <w:rPr>
          <w:b/>
          <w:bCs/>
          <w:noProof/>
          <w:u w:val="single"/>
        </w:rPr>
      </w:pPr>
      <w:r w:rsidRPr="00726D52">
        <w:rPr>
          <w:b/>
          <w:bCs/>
          <w:noProof/>
          <w:u w:val="single"/>
        </w:rPr>
        <w:t>6.2 Social impacts</w:t>
      </w:r>
    </w:p>
    <w:p w14:paraId="2203CF48" w14:textId="77777777" w:rsidR="003B7BC4" w:rsidRPr="00726D52" w:rsidRDefault="003B7BC4" w:rsidP="003B7BC4">
      <w:pPr>
        <w:rPr>
          <w:b/>
          <w:bCs/>
          <w:noProof/>
        </w:rPr>
      </w:pPr>
      <w:r w:rsidRPr="00726D52">
        <w:rPr>
          <w:b/>
          <w:bCs/>
          <w:noProof/>
        </w:rPr>
        <w:t>6.2.1 Impacts on security and EU citizens</w:t>
      </w:r>
    </w:p>
    <w:p w14:paraId="2F734F6F" w14:textId="77777777" w:rsidR="00C45B9A" w:rsidRPr="00726D52" w:rsidRDefault="003B7BC4" w:rsidP="003B7BC4">
      <w:pPr>
        <w:rPr>
          <w:noProof/>
        </w:rPr>
      </w:pPr>
      <w:r w:rsidRPr="00726D52">
        <w:rPr>
          <w:b/>
          <w:bCs/>
          <w:noProof/>
        </w:rPr>
        <w:t>Policy Option 1 (+)</w:t>
      </w:r>
      <w:r w:rsidRPr="00726D52">
        <w:rPr>
          <w:noProof/>
        </w:rPr>
        <w:t xml:space="preserve"> is expected to have a positive impact on internal security by strengthening the ability of national authorities and EU bodies to detect and investigate cross-border criminal activity. Improved data availability and upgraded Europol systems would enable more systematic cross-checks and faster analytical support, helping investigators identify cross-border links earlier and coordinate more effectively.</w:t>
      </w:r>
    </w:p>
    <w:p w14:paraId="0733BE6C" w14:textId="61DDF680" w:rsidR="003B7BC4" w:rsidRPr="00726D52" w:rsidRDefault="00C45B9A" w:rsidP="003B7BC4">
      <w:pPr>
        <w:rPr>
          <w:noProof/>
        </w:rPr>
      </w:pPr>
      <w:r w:rsidRPr="00726D52">
        <w:rPr>
          <w:noProof/>
        </w:rPr>
        <w:t xml:space="preserve">Reinforced cooperation with the EPPO would reinforce investigations affecting the Union’s financial interests, </w:t>
      </w:r>
      <w:r w:rsidR="00C9045F" w:rsidRPr="00726D52">
        <w:rPr>
          <w:noProof/>
        </w:rPr>
        <w:t xml:space="preserve">while stronger coordination with Eurojust would facilitate the </w:t>
      </w:r>
      <w:r w:rsidR="00C9045F" w:rsidRPr="00726D52">
        <w:rPr>
          <w:noProof/>
        </w:rPr>
        <w:lastRenderedPageBreak/>
        <w:t>judicial handling of complex cross-border cases, including those involving electronic evidence. Embedding Europol analytical tools within national investigative workflows would further reduce the risk of undetected cross-border criminal connections, ultimately contributing to a higher level of security for EU citizens.</w:t>
      </w:r>
    </w:p>
    <w:p w14:paraId="671CF0BA" w14:textId="5A0995F4" w:rsidR="003B7BC4" w:rsidRPr="00726D52" w:rsidRDefault="003B7BC4" w:rsidP="003B7BC4">
      <w:pPr>
        <w:rPr>
          <w:noProof/>
        </w:rPr>
      </w:pPr>
      <w:r w:rsidRPr="00726D52">
        <w:rPr>
          <w:b/>
          <w:bCs/>
          <w:noProof/>
        </w:rPr>
        <w:t>Policy Option 2 (++)</w:t>
      </w:r>
      <w:r w:rsidRPr="00726D52">
        <w:rPr>
          <w:noProof/>
        </w:rPr>
        <w:t xml:space="preserve"> </w:t>
      </w:r>
      <w:r w:rsidR="00737C39" w:rsidRPr="00726D52">
        <w:rPr>
          <w:noProof/>
        </w:rPr>
        <w:t xml:space="preserve">is expected to have a very strong positive impact on security by significantly strengthening the Union’s ability to detect, investigate and disrupt serious and organised crime. Faster and more systematic cross-checks across national databases under the Prüm </w:t>
      </w:r>
      <w:r w:rsidR="00A079A5" w:rsidRPr="00726D52">
        <w:rPr>
          <w:noProof/>
        </w:rPr>
        <w:t xml:space="preserve">II </w:t>
      </w:r>
      <w:r w:rsidR="00737C39" w:rsidRPr="00726D52">
        <w:rPr>
          <w:noProof/>
        </w:rPr>
        <w:t>framework would enable investigators to identify cross-border criminal networks earlier and act more quickly. Shared EU-level operational capabilities and simplified data processing rules would substantially increase Europol’s analytical capacity, allowing authorities to exploit large datasets and detect criminal patterns that would otherwise remain unnoticed.</w:t>
      </w:r>
      <w:r w:rsidRPr="00726D52">
        <w:rPr>
          <w:noProof/>
        </w:rPr>
        <w:t xml:space="preserve"> </w:t>
      </w:r>
    </w:p>
    <w:p w14:paraId="11E420C6" w14:textId="3D05745F" w:rsidR="006554F4" w:rsidRPr="00726D52" w:rsidRDefault="006554F4" w:rsidP="003B7BC4">
      <w:pPr>
        <w:rPr>
          <w:noProof/>
        </w:rPr>
      </w:pPr>
      <w:r w:rsidRPr="00726D52">
        <w:rPr>
          <w:noProof/>
        </w:rPr>
        <w:t>By making Europol’s capabilities directly accessible to investigators through shared digital infrastructure and strengthened operational presence in Member States, the option would enable faster, more coordinated and intelligence-driven investigations across the Union. Overall, this option would markedly improve the EU’s ability to prevent and disrupt cross-border crime and terrorism, delivering tangible security benefits for EU citizens.</w:t>
      </w:r>
    </w:p>
    <w:p w14:paraId="5C4BF1F3" w14:textId="77777777" w:rsidR="003B7BC4" w:rsidRPr="00726D52" w:rsidRDefault="003B7BC4" w:rsidP="003B7BC4">
      <w:pPr>
        <w:rPr>
          <w:b/>
          <w:bCs/>
          <w:noProof/>
        </w:rPr>
      </w:pPr>
      <w:r w:rsidRPr="00726D52">
        <w:rPr>
          <w:b/>
          <w:bCs/>
          <w:noProof/>
        </w:rPr>
        <w:t>6.2.2 Administrative impacts on national authorities</w:t>
      </w:r>
    </w:p>
    <w:p w14:paraId="688DE412" w14:textId="71EC71E3" w:rsidR="003B7BC4" w:rsidRPr="00726D52" w:rsidRDefault="003B7BC4" w:rsidP="003B7BC4">
      <w:pPr>
        <w:rPr>
          <w:noProof/>
        </w:rPr>
      </w:pPr>
      <w:r w:rsidRPr="00726D52">
        <w:rPr>
          <w:b/>
          <w:bCs/>
          <w:noProof/>
          <w:u w:val="single"/>
        </w:rPr>
        <w:t>Policy Option 1 (+)</w:t>
      </w:r>
      <w:r w:rsidRPr="00726D52">
        <w:rPr>
          <w:noProof/>
        </w:rPr>
        <w:t xml:space="preserve"> is expected to have a positive impact on the administrative efficiency of national law enforcement authorities by streamlining cross-border information exchange and improving the operational returns of cooperation with Europol. Improved data availability and automated data-sharing tools would reduce manual administrative tasks and delays, while upgraded Europol systems would provide faster cross-checks and analytical support. Additional efficiency gains would arise from clearer guidance on </w:t>
      </w:r>
      <w:r w:rsidR="00A7257F" w:rsidRPr="00726D52">
        <w:rPr>
          <w:noProof/>
        </w:rPr>
        <w:t>DSC</w:t>
      </w:r>
      <w:r w:rsidRPr="00726D52">
        <w:rPr>
          <w:noProof/>
        </w:rPr>
        <w:t xml:space="preserve"> and strengthened cooperation with EU </w:t>
      </w:r>
      <w:r w:rsidR="006554F4" w:rsidRPr="00726D52">
        <w:rPr>
          <w:noProof/>
        </w:rPr>
        <w:t>bodies and agencies</w:t>
      </w:r>
      <w:r w:rsidRPr="00726D52">
        <w:rPr>
          <w:noProof/>
        </w:rPr>
        <w:t>. Embedding Europol tools more directly into national investigative workflows would further reduce administrative friction and improve the systematic use of EU-level information in investigations.</w:t>
      </w:r>
    </w:p>
    <w:p w14:paraId="26737CDA" w14:textId="4EBDE327" w:rsidR="003B7BC4" w:rsidRPr="00726D52" w:rsidRDefault="003B7BC4" w:rsidP="003B7BC4">
      <w:pPr>
        <w:rPr>
          <w:noProof/>
        </w:rPr>
      </w:pPr>
      <w:r w:rsidRPr="00726D52">
        <w:rPr>
          <w:b/>
          <w:bCs/>
          <w:noProof/>
          <w:u w:val="single"/>
        </w:rPr>
        <w:t>Policy Option 2 (++)</w:t>
      </w:r>
      <w:r w:rsidRPr="00726D52">
        <w:rPr>
          <w:noProof/>
        </w:rPr>
        <w:t xml:space="preserve"> would </w:t>
      </w:r>
      <w:r w:rsidR="00925357" w:rsidRPr="00726D52">
        <w:rPr>
          <w:noProof/>
        </w:rPr>
        <w:t xml:space="preserve">result in </w:t>
      </w:r>
      <w:r w:rsidRPr="00726D52">
        <w:rPr>
          <w:noProof/>
        </w:rPr>
        <w:t>strong administrative efficiency gains by simplifying procedures and expanding EU-level operational support. Allowing Europol, when authorised</w:t>
      </w:r>
      <w:r w:rsidR="00925357" w:rsidRPr="00726D52">
        <w:rPr>
          <w:noProof/>
        </w:rPr>
        <w:t xml:space="preserve"> by Member States</w:t>
      </w:r>
      <w:r w:rsidRPr="00726D52">
        <w:rPr>
          <w:noProof/>
        </w:rPr>
        <w:t xml:space="preserve">, to query national databases under </w:t>
      </w:r>
      <w:r w:rsidR="00925357" w:rsidRPr="00726D52">
        <w:rPr>
          <w:noProof/>
        </w:rPr>
        <w:t>the Prüm</w:t>
      </w:r>
      <w:r w:rsidRPr="00726D52">
        <w:rPr>
          <w:noProof/>
        </w:rPr>
        <w:t xml:space="preserve"> </w:t>
      </w:r>
      <w:r w:rsidR="002023A6" w:rsidRPr="00726D52">
        <w:rPr>
          <w:noProof/>
        </w:rPr>
        <w:t xml:space="preserve">II </w:t>
      </w:r>
      <w:r w:rsidRPr="00726D52">
        <w:rPr>
          <w:noProof/>
        </w:rPr>
        <w:t>framework would reduce administrative workload in cross-border investigations and enable Europol to carry out complex analytical and forensic tasks on behalf of Member States. Further gains would arise from establishing Europol as a structural provider of analytical support to the E</w:t>
      </w:r>
      <w:r w:rsidR="009D1EC3" w:rsidRPr="00726D52">
        <w:rPr>
          <w:noProof/>
        </w:rPr>
        <w:t xml:space="preserve">PPO </w:t>
      </w:r>
      <w:r w:rsidR="007E6A1C" w:rsidRPr="00726D52">
        <w:rPr>
          <w:noProof/>
        </w:rPr>
        <w:t>to avoid multiple requests for information</w:t>
      </w:r>
      <w:r w:rsidRPr="00726D52">
        <w:rPr>
          <w:noProof/>
        </w:rPr>
        <w:t>. The EU Police Cloud and Europol support offices would also facilitate easier access to Europol tools and expertise, improving operational interaction and reducing coordination burdens for national authorities.</w:t>
      </w:r>
    </w:p>
    <w:p w14:paraId="378989C4" w14:textId="77777777" w:rsidR="003B7BC4" w:rsidRPr="00726D52" w:rsidRDefault="003B7BC4" w:rsidP="003B7BC4">
      <w:pPr>
        <w:rPr>
          <w:noProof/>
        </w:rPr>
      </w:pPr>
      <w:r w:rsidRPr="00726D52">
        <w:rPr>
          <w:b/>
          <w:bCs/>
          <w:noProof/>
        </w:rPr>
        <w:t>6.2.3 Youth impacts</w:t>
      </w:r>
    </w:p>
    <w:p w14:paraId="3277047D" w14:textId="67DDE607" w:rsidR="003B7BC4" w:rsidRPr="00726D52" w:rsidRDefault="003B7BC4" w:rsidP="003B7BC4">
      <w:pPr>
        <w:rPr>
          <w:noProof/>
        </w:rPr>
      </w:pPr>
      <w:r w:rsidRPr="00726D52">
        <w:rPr>
          <w:noProof/>
        </w:rPr>
        <w:t xml:space="preserve">Both policy options (0) are not expected to have direct impacts specifically targeting young people. However, by strengthening the Union’s capacity to prevent and combat serious and organised crime, including offences that particularly affect minors, such as child sexual </w:t>
      </w:r>
      <w:r w:rsidRPr="00726D52">
        <w:rPr>
          <w:noProof/>
        </w:rPr>
        <w:lastRenderedPageBreak/>
        <w:t>exploitation or cyber-enabled crime, the measures may have indirect positive effects</w:t>
      </w:r>
      <w:r w:rsidR="00960B4A" w:rsidRPr="00726D52">
        <w:rPr>
          <w:noProof/>
        </w:rPr>
        <w:t xml:space="preserve"> on young people</w:t>
      </w:r>
      <w:r w:rsidRPr="00726D52">
        <w:rPr>
          <w:noProof/>
        </w:rPr>
        <w:t>.</w:t>
      </w:r>
    </w:p>
    <w:p w14:paraId="05AFFC65" w14:textId="1C89FBF8" w:rsidR="0019607B" w:rsidRPr="00726D52" w:rsidRDefault="0019607B" w:rsidP="0019607B">
      <w:pPr>
        <w:rPr>
          <w:noProof/>
        </w:rPr>
      </w:pPr>
      <w:r w:rsidRPr="00726D52">
        <w:rPr>
          <w:b/>
          <w:bCs/>
          <w:noProof/>
        </w:rPr>
        <w:t>6.2.4 SMEs</w:t>
      </w:r>
    </w:p>
    <w:p w14:paraId="721CD8C5" w14:textId="4CB94B34" w:rsidR="0019607B" w:rsidRPr="00726D52" w:rsidRDefault="0019607B" w:rsidP="003B7BC4">
      <w:pPr>
        <w:rPr>
          <w:noProof/>
        </w:rPr>
      </w:pPr>
      <w:r w:rsidRPr="00726D52">
        <w:rPr>
          <w:noProof/>
        </w:rPr>
        <w:t>Both policy options concern the operational framework, governance and cooperation mechanisms of Europol and competent public authorities. It does not introduce regulatory obligations, compliance requirements or direct operational impacts for SMEs. Both policy options are therefore not expected to have direct impacts for SMEs.</w:t>
      </w:r>
    </w:p>
    <w:p w14:paraId="1AF3F28C" w14:textId="77777777" w:rsidR="003B7BC4" w:rsidRPr="00726D52" w:rsidRDefault="003B7BC4" w:rsidP="003B7BC4">
      <w:pPr>
        <w:rPr>
          <w:b/>
          <w:bCs/>
          <w:noProof/>
          <w:u w:val="single"/>
        </w:rPr>
      </w:pPr>
      <w:r w:rsidRPr="00726D52">
        <w:rPr>
          <w:b/>
          <w:bCs/>
          <w:noProof/>
          <w:u w:val="single"/>
        </w:rPr>
        <w:t>6.3 Fundamental rights impacts</w:t>
      </w:r>
    </w:p>
    <w:p w14:paraId="1BACB51C" w14:textId="2EE38C82" w:rsidR="003B7BC4" w:rsidRPr="00726D52" w:rsidRDefault="003B7BC4" w:rsidP="003B7BC4">
      <w:pPr>
        <w:spacing w:after="120"/>
        <w:rPr>
          <w:noProof/>
        </w:rPr>
      </w:pPr>
      <w:r w:rsidRPr="00726D52">
        <w:rPr>
          <w:noProof/>
        </w:rPr>
        <w:t xml:space="preserve">The two policy options assessed in this Impact Assessment involve the processing of personal data in the context of law enforcement cooperation. They therefore relate primarily to the fundamental rights to </w:t>
      </w:r>
      <w:r w:rsidRPr="00726D52">
        <w:rPr>
          <w:b/>
          <w:bCs/>
          <w:noProof/>
        </w:rPr>
        <w:t>respect for private and family life (Article 7)</w:t>
      </w:r>
      <w:r w:rsidRPr="00726D52">
        <w:rPr>
          <w:noProof/>
        </w:rPr>
        <w:t xml:space="preserve"> and </w:t>
      </w:r>
      <w:r w:rsidRPr="00726D52">
        <w:rPr>
          <w:b/>
          <w:bCs/>
          <w:noProof/>
        </w:rPr>
        <w:t>protection of personal data (Article 8)</w:t>
      </w:r>
      <w:r w:rsidRPr="00726D52">
        <w:rPr>
          <w:noProof/>
        </w:rPr>
        <w:t xml:space="preserve"> of the Charter of Fundamental Rights of the European Union. The analysis below assesses whether any interference with these rights is necessary and proportionate to the objective of general interest consisting in the prevention, detection and investigation of serious</w:t>
      </w:r>
      <w:r w:rsidR="00924F25" w:rsidRPr="00726D52">
        <w:rPr>
          <w:noProof/>
        </w:rPr>
        <w:t xml:space="preserve"> and organised</w:t>
      </w:r>
      <w:r w:rsidRPr="00726D52">
        <w:rPr>
          <w:noProof/>
        </w:rPr>
        <w:t xml:space="preserve"> crime and terrorism.</w:t>
      </w:r>
    </w:p>
    <w:p w14:paraId="443A4859" w14:textId="1DD62FA5" w:rsidR="000673FD" w:rsidRPr="00726D52" w:rsidRDefault="0074032B" w:rsidP="00173432">
      <w:pPr>
        <w:spacing w:before="240" w:after="120"/>
        <w:rPr>
          <w:b/>
          <w:bCs/>
          <w:noProof/>
        </w:rPr>
      </w:pPr>
      <w:r w:rsidRPr="00726D52">
        <w:rPr>
          <w:b/>
          <w:bCs/>
          <w:noProof/>
        </w:rPr>
        <w:t xml:space="preserve">6.3.1 </w:t>
      </w:r>
      <w:r w:rsidR="000673FD" w:rsidRPr="00726D52">
        <w:rPr>
          <w:b/>
          <w:bCs/>
          <w:noProof/>
        </w:rPr>
        <w:t>Objective of general interest</w:t>
      </w:r>
    </w:p>
    <w:p w14:paraId="7ADAE508" w14:textId="396E7DCA" w:rsidR="0074032B" w:rsidRPr="00726D52" w:rsidRDefault="0074032B" w:rsidP="0074032B">
      <w:pPr>
        <w:spacing w:after="120"/>
        <w:rPr>
          <w:noProof/>
        </w:rPr>
      </w:pPr>
      <w:r w:rsidRPr="00726D52">
        <w:rPr>
          <w:b/>
          <w:noProof/>
        </w:rPr>
        <w:t>Policy Option 1 (++)</w:t>
      </w:r>
    </w:p>
    <w:p w14:paraId="0AF64FDC" w14:textId="61BF6BA1" w:rsidR="000673FD" w:rsidRPr="00726D52" w:rsidRDefault="000673FD" w:rsidP="000673FD">
      <w:pPr>
        <w:spacing w:after="120"/>
        <w:rPr>
          <w:noProof/>
        </w:rPr>
      </w:pPr>
      <w:r w:rsidRPr="00726D52">
        <w:rPr>
          <w:noProof/>
        </w:rPr>
        <w:t xml:space="preserve">Policy Option 1 </w:t>
      </w:r>
      <w:r w:rsidR="003856D8" w:rsidRPr="00726D52">
        <w:rPr>
          <w:noProof/>
        </w:rPr>
        <w:t>contributes to the objective of general interest consisting in the prevention, detection and investigation of serious and organised crime and terrorism. By improving the availability, quality and timeliness of operational data exchanged between Member States and Europol, the option would strengthen the analytical capacity of law enforcement authorities and support earlier identification of cross-border criminal links. Upgrading Europol’s systems and improving data exchange with other EU bodies and agencies would allow authorities to exploit operational information more effectively</w:t>
      </w:r>
      <w:r w:rsidR="001A5180" w:rsidRPr="00726D52">
        <w:rPr>
          <w:noProof/>
        </w:rPr>
        <w:t>.</w:t>
      </w:r>
    </w:p>
    <w:p w14:paraId="715B7591" w14:textId="7065E65C" w:rsidR="0074032B" w:rsidRPr="00726D52" w:rsidRDefault="0074032B" w:rsidP="0074032B">
      <w:pPr>
        <w:spacing w:after="120"/>
        <w:rPr>
          <w:noProof/>
        </w:rPr>
      </w:pPr>
      <w:r w:rsidRPr="00726D52">
        <w:rPr>
          <w:b/>
          <w:noProof/>
        </w:rPr>
        <w:t>Policy Option 2 (++)</w:t>
      </w:r>
    </w:p>
    <w:p w14:paraId="39F5A5FB" w14:textId="3CC53635" w:rsidR="0074032B" w:rsidRPr="00726D52" w:rsidRDefault="0074032B" w:rsidP="0074032B">
      <w:pPr>
        <w:spacing w:after="120"/>
        <w:rPr>
          <w:i/>
          <w:noProof/>
        </w:rPr>
      </w:pPr>
      <w:r w:rsidRPr="00726D52">
        <w:rPr>
          <w:i/>
          <w:noProof/>
        </w:rPr>
        <w:t>Objective of general interest</w:t>
      </w:r>
    </w:p>
    <w:p w14:paraId="272F14CB" w14:textId="4151DA3B" w:rsidR="00544958" w:rsidRPr="00726D52" w:rsidRDefault="00753CD7" w:rsidP="003B7BC4">
      <w:pPr>
        <w:spacing w:after="120"/>
        <w:rPr>
          <w:noProof/>
        </w:rPr>
      </w:pPr>
      <w:r w:rsidRPr="00726D52">
        <w:rPr>
          <w:noProof/>
        </w:rPr>
        <w:t xml:space="preserve">Policy Option 2 would further strengthen the Union’s capacity to prevent, detect and investigate serious and organised crime and terrorism by significantly improving the ability of law enforcement authorities to access, process and analyse operational data across borders. By enabling faster cross-checks across databases, expanding EU-level analytical capabilities and simplifying data processing rules, the option would allow authorities to exploit large and complex datasets more effectively in support of investigations. This would enhance the detection of criminal networks, strengthen cross-border investigations and improve the overall effectiveness of EU action against serious </w:t>
      </w:r>
      <w:r w:rsidR="005C7512" w:rsidRPr="00726D52">
        <w:rPr>
          <w:noProof/>
        </w:rPr>
        <w:t xml:space="preserve">and organised </w:t>
      </w:r>
      <w:r w:rsidRPr="00726D52">
        <w:rPr>
          <w:noProof/>
        </w:rPr>
        <w:t>crime.</w:t>
      </w:r>
    </w:p>
    <w:p w14:paraId="4BACBB41" w14:textId="5E100224" w:rsidR="003B7BC4" w:rsidRPr="00726D52" w:rsidRDefault="003B7BC4" w:rsidP="003B7BC4">
      <w:pPr>
        <w:spacing w:after="120"/>
        <w:rPr>
          <w:b/>
          <w:bCs/>
          <w:noProof/>
        </w:rPr>
      </w:pPr>
      <w:r w:rsidRPr="00726D52">
        <w:rPr>
          <w:b/>
          <w:bCs/>
          <w:noProof/>
        </w:rPr>
        <w:t>6.3.</w:t>
      </w:r>
      <w:r w:rsidR="0074032B" w:rsidRPr="00726D52">
        <w:rPr>
          <w:b/>
          <w:bCs/>
          <w:noProof/>
        </w:rPr>
        <w:t>2</w:t>
      </w:r>
      <w:r w:rsidRPr="00726D52">
        <w:rPr>
          <w:b/>
          <w:bCs/>
          <w:noProof/>
        </w:rPr>
        <w:t xml:space="preserve"> Protection of personal data</w:t>
      </w:r>
    </w:p>
    <w:p w14:paraId="3C987C6A" w14:textId="68E6E937" w:rsidR="003B7BC4" w:rsidRPr="00726D52" w:rsidRDefault="003B7BC4" w:rsidP="003B7BC4">
      <w:pPr>
        <w:spacing w:after="120"/>
        <w:rPr>
          <w:noProof/>
        </w:rPr>
      </w:pPr>
      <w:r w:rsidRPr="00726D52">
        <w:rPr>
          <w:b/>
          <w:noProof/>
        </w:rPr>
        <w:t>Policy Option 1 (0)</w:t>
      </w:r>
    </w:p>
    <w:p w14:paraId="35DC80B2" w14:textId="77777777" w:rsidR="003B7BC4" w:rsidRPr="00726D52" w:rsidRDefault="003B7BC4" w:rsidP="003B7BC4">
      <w:pPr>
        <w:spacing w:after="120"/>
        <w:rPr>
          <w:i/>
          <w:noProof/>
        </w:rPr>
      </w:pPr>
      <w:r w:rsidRPr="00726D52">
        <w:rPr>
          <w:i/>
          <w:noProof/>
        </w:rPr>
        <w:t>Necessity</w:t>
      </w:r>
    </w:p>
    <w:p w14:paraId="674203F4" w14:textId="6620AE7B" w:rsidR="003B7BC4" w:rsidRPr="00726D52" w:rsidRDefault="003B7BC4" w:rsidP="003B7BC4">
      <w:pPr>
        <w:spacing w:after="120"/>
        <w:rPr>
          <w:noProof/>
        </w:rPr>
      </w:pPr>
      <w:r w:rsidRPr="00726D52">
        <w:rPr>
          <w:noProof/>
        </w:rPr>
        <w:t xml:space="preserve">The measures included in Policy Option 1 aim to address operational inefficiencies in the current framework for information exchange and analysis. In particular, fragmented and </w:t>
      </w:r>
      <w:r w:rsidRPr="00726D52">
        <w:rPr>
          <w:noProof/>
        </w:rPr>
        <w:lastRenderedPageBreak/>
        <w:t>largely manual data-sharing processes limit the ability of Europol and Member States to analyse operational information effectively and identify cross-border criminal connections. Improving data availability through automated tools and upgrading Europol systems would ensure that lawfully shareable information can be processed more efficiently and used more systematically in criminal investigations.</w:t>
      </w:r>
    </w:p>
    <w:p w14:paraId="6A9E98EE" w14:textId="3B759041" w:rsidR="003B7BC4" w:rsidRPr="00726D52" w:rsidRDefault="003B7BC4" w:rsidP="003B7BC4">
      <w:pPr>
        <w:spacing w:after="120"/>
        <w:rPr>
          <w:noProof/>
        </w:rPr>
      </w:pPr>
      <w:r w:rsidRPr="00726D52">
        <w:rPr>
          <w:noProof/>
        </w:rPr>
        <w:t>At the same time, the option does not introduce new categories of personal data, new processing purposes</w:t>
      </w:r>
      <w:r w:rsidR="00D23DF8" w:rsidRPr="00726D52">
        <w:rPr>
          <w:noProof/>
        </w:rPr>
        <w:t>,</w:t>
      </w:r>
      <w:r w:rsidRPr="00726D52">
        <w:rPr>
          <w:noProof/>
        </w:rPr>
        <w:t xml:space="preserve"> or additional access rights. The measures primarily concern improvements to the functioning of existing systems and procedures and therefore operate within the current legal framework governing the processing of personal data by Europol and national authorities.</w:t>
      </w:r>
    </w:p>
    <w:p w14:paraId="76F7AC92" w14:textId="291CB800" w:rsidR="00827EF3" w:rsidRPr="00726D52" w:rsidRDefault="00827EF3" w:rsidP="003B7BC4">
      <w:pPr>
        <w:spacing w:after="120"/>
        <w:rPr>
          <w:noProof/>
        </w:rPr>
      </w:pPr>
      <w:r w:rsidRPr="00726D52">
        <w:rPr>
          <w:noProof/>
        </w:rPr>
        <w:t>While the option does not substantially alter the existing data-protection framework, increased automation and interoperability may nevertheless increase certain risks related to erroneous data propagation, unauthorised access or wider dissemination of inaccurate information if safeguards are not effectively implemented.</w:t>
      </w:r>
    </w:p>
    <w:p w14:paraId="615DD4E0" w14:textId="77777777" w:rsidR="003B7BC4" w:rsidRPr="00726D52" w:rsidRDefault="003B7BC4" w:rsidP="003B7BC4">
      <w:pPr>
        <w:spacing w:after="120"/>
        <w:rPr>
          <w:i/>
          <w:noProof/>
        </w:rPr>
      </w:pPr>
      <w:r w:rsidRPr="00726D52">
        <w:rPr>
          <w:i/>
          <w:noProof/>
        </w:rPr>
        <w:t>Proportionality</w:t>
      </w:r>
    </w:p>
    <w:p w14:paraId="67BC7D39" w14:textId="77777777" w:rsidR="003B7BC4" w:rsidRPr="00726D52" w:rsidRDefault="003B7BC4" w:rsidP="003B7BC4">
      <w:pPr>
        <w:spacing w:after="120"/>
        <w:rPr>
          <w:noProof/>
        </w:rPr>
      </w:pPr>
      <w:r w:rsidRPr="00726D52">
        <w:rPr>
          <w:noProof/>
        </w:rPr>
        <w:t>The option preserves the existing safeguards governing the processing of personal data. Member States would retain control over the data they share with Europol and existing rules on purpose limitation, access conditions and retention periods would remain unchanged. Measures addressing operational challenges related to data subject categorisation would focus on improving procedures and guidance rather than modifying the underlying legal obligations.</w:t>
      </w:r>
    </w:p>
    <w:p w14:paraId="7129F4E6" w14:textId="5D93208E" w:rsidR="00D170C1" w:rsidRPr="00726D52" w:rsidRDefault="00D170C1" w:rsidP="003B7BC4">
      <w:pPr>
        <w:spacing w:after="120"/>
        <w:rPr>
          <w:noProof/>
        </w:rPr>
      </w:pPr>
      <w:r w:rsidRPr="00726D52">
        <w:rPr>
          <w:noProof/>
        </w:rPr>
        <w:t>Operational safeguards would continue to include role-based access controls, logging and traceability of access to operational data, differentiated handling codes defined by the data owner, data-quality verification mechanisms, and supervision by the Europol Data Protection Officer and the European Data Protection Supervisor (EDPS). Europol’s existing information-security framework, including encryption, network segmentation, secure authentication mechanisms and continuous security monitoring, would continue to apply to upgraded systems and automated exchange tools.</w:t>
      </w:r>
    </w:p>
    <w:p w14:paraId="3337DAC6" w14:textId="5AB82C9C" w:rsidR="00D170C1" w:rsidRPr="00726D52" w:rsidRDefault="00D170C1" w:rsidP="003B7BC4">
      <w:pPr>
        <w:spacing w:after="120"/>
        <w:rPr>
          <w:noProof/>
        </w:rPr>
      </w:pPr>
      <w:r w:rsidRPr="00726D52">
        <w:rPr>
          <w:noProof/>
        </w:rPr>
        <w:t>In practice, automated data-loading solutions would not bypass Member State control over operational data. Member States would remain responsible for defining which categories of information may be shared automatically, under which conditions, and with which handling restrictions. Automated exchanges would therefore remain subject to predefined operational parameters, auditability and ex post verification mechanisms.</w:t>
      </w:r>
    </w:p>
    <w:p w14:paraId="015BD39E" w14:textId="77777777" w:rsidR="003B7BC4" w:rsidRPr="00726D52" w:rsidRDefault="003B7BC4" w:rsidP="003B7BC4">
      <w:pPr>
        <w:spacing w:after="120"/>
        <w:rPr>
          <w:i/>
          <w:noProof/>
        </w:rPr>
      </w:pPr>
      <w:r w:rsidRPr="00726D52">
        <w:rPr>
          <w:i/>
          <w:noProof/>
        </w:rPr>
        <w:t>Conclusion</w:t>
      </w:r>
    </w:p>
    <w:p w14:paraId="3AD1F598" w14:textId="465D6179" w:rsidR="003B7BC4" w:rsidRPr="00726D52" w:rsidRDefault="003B7BC4" w:rsidP="003B7BC4">
      <w:pPr>
        <w:spacing w:after="120"/>
        <w:rPr>
          <w:noProof/>
        </w:rPr>
      </w:pPr>
      <w:r w:rsidRPr="00726D52">
        <w:rPr>
          <w:noProof/>
        </w:rPr>
        <w:t xml:space="preserve">Overall, Policy Option 1 respects the principles of necessity and proportionality while maintaining the existing level of data protection safeguards. Its impact on the protection of personal data is therefore assessed as </w:t>
      </w:r>
      <w:r w:rsidRPr="00726D52">
        <w:rPr>
          <w:b/>
          <w:noProof/>
        </w:rPr>
        <w:t>neutral (0)</w:t>
      </w:r>
      <w:r w:rsidRPr="00726D52">
        <w:rPr>
          <w:noProof/>
        </w:rPr>
        <w:t>.</w:t>
      </w:r>
      <w:r w:rsidR="004C41D8" w:rsidRPr="00726D52">
        <w:rPr>
          <w:noProof/>
        </w:rPr>
        <w:t xml:space="preserve"> Although certain operational risks linked to increased automation remain, these are considered limited and manageable within the existing EU data protection, cybersecurity and supervisory framework.</w:t>
      </w:r>
    </w:p>
    <w:p w14:paraId="23C78D9B" w14:textId="1370E704" w:rsidR="003B7BC4" w:rsidRPr="00726D52" w:rsidRDefault="003B7BC4" w:rsidP="00E22F20">
      <w:pPr>
        <w:spacing w:before="240" w:after="120"/>
        <w:rPr>
          <w:b/>
          <w:noProof/>
        </w:rPr>
      </w:pPr>
      <w:r w:rsidRPr="00726D52">
        <w:rPr>
          <w:b/>
          <w:noProof/>
        </w:rPr>
        <w:t xml:space="preserve">Policy </w:t>
      </w:r>
      <w:r w:rsidR="00AD5ACD" w:rsidRPr="00726D52">
        <w:rPr>
          <w:b/>
          <w:noProof/>
        </w:rPr>
        <w:t>O</w:t>
      </w:r>
      <w:r w:rsidRPr="00726D52">
        <w:rPr>
          <w:b/>
          <w:noProof/>
        </w:rPr>
        <w:t>ption 2 (-)</w:t>
      </w:r>
    </w:p>
    <w:p w14:paraId="29BFDFD0" w14:textId="77777777" w:rsidR="003B7BC4" w:rsidRPr="00726D52" w:rsidRDefault="003B7BC4" w:rsidP="003B7BC4">
      <w:pPr>
        <w:spacing w:after="120"/>
        <w:rPr>
          <w:i/>
          <w:noProof/>
        </w:rPr>
      </w:pPr>
      <w:r w:rsidRPr="00726D52">
        <w:rPr>
          <w:i/>
          <w:noProof/>
        </w:rPr>
        <w:t>Necessity</w:t>
      </w:r>
    </w:p>
    <w:p w14:paraId="40F9E93B" w14:textId="7619EC52" w:rsidR="003B7BC4" w:rsidRPr="00726D52" w:rsidRDefault="003B7BC4" w:rsidP="003B7BC4">
      <w:pPr>
        <w:spacing w:after="120"/>
        <w:rPr>
          <w:noProof/>
        </w:rPr>
      </w:pPr>
      <w:r w:rsidRPr="00726D52">
        <w:rPr>
          <w:noProof/>
        </w:rPr>
        <w:lastRenderedPageBreak/>
        <w:t xml:space="preserve">The measures address operational limitations currently affecting cross-border investigations, particularly delays and fragmentation in accessing and analysing operational data. Allowing Europol, when authorised by Member States, to perform queries in national databases connected under existing EU frameworks would enable faster identification of cross-border links in complex or time-critical investigations. Shared services, such as a potential EU DNA matching </w:t>
      </w:r>
      <w:r w:rsidR="00A4423B" w:rsidRPr="00726D52">
        <w:rPr>
          <w:noProof/>
        </w:rPr>
        <w:t>service</w:t>
      </w:r>
      <w:r w:rsidRPr="00726D52">
        <w:rPr>
          <w:noProof/>
        </w:rPr>
        <w:t>, would strengthen forensic cooperation and reduce reliance on fragmented technical solutions.</w:t>
      </w:r>
    </w:p>
    <w:p w14:paraId="4E755EE4" w14:textId="6D5B4E7B" w:rsidR="003B7BC4" w:rsidRPr="00726D52" w:rsidRDefault="003B7BC4" w:rsidP="003B7BC4">
      <w:pPr>
        <w:spacing w:after="120"/>
        <w:rPr>
          <w:noProof/>
        </w:rPr>
      </w:pPr>
      <w:r w:rsidRPr="00726D52">
        <w:rPr>
          <w:noProof/>
        </w:rPr>
        <w:t xml:space="preserve">In addition, the EU Police Cloud would provide the scalable infrastructure required to process large and complex datasets used in cross-border investigations, while the simplification of </w:t>
      </w:r>
      <w:r w:rsidR="0011486C" w:rsidRPr="00726D52">
        <w:rPr>
          <w:noProof/>
        </w:rPr>
        <w:t>DSC</w:t>
      </w:r>
      <w:r w:rsidRPr="00726D52">
        <w:rPr>
          <w:noProof/>
        </w:rPr>
        <w:t xml:space="preserve"> rules would allow lawfully collected data to be processed more efficiently. These measures are therefore necessary to ensure that operational information can be effectively used to combat increasingly digital and transnational forms of crime.</w:t>
      </w:r>
    </w:p>
    <w:p w14:paraId="2075DD07" w14:textId="79B23860" w:rsidR="00D34AEF" w:rsidRPr="00726D52" w:rsidRDefault="004C41D8" w:rsidP="003B7BC4">
      <w:pPr>
        <w:spacing w:after="120"/>
        <w:rPr>
          <w:noProof/>
        </w:rPr>
      </w:pPr>
      <w:r w:rsidRPr="00726D52">
        <w:rPr>
          <w:noProof/>
        </w:rPr>
        <w:t>At the same time, these measures increase the scale, speed and interconnectedness of operational data processing, thereby creating heightened risks relating to cybersecurity, unlawful access, function creep, excessive data availability, potential re-use of data beyond the original operational context, and the processing of inaccurate or insufficiently categorised data. The EU Police Cloud in particular would create a more integrated operational environment with a significantly larger user base and increased volumes of sensitive law-enforcement information processed digitally across borders.</w:t>
      </w:r>
    </w:p>
    <w:p w14:paraId="07C61E3C" w14:textId="77777777" w:rsidR="003B7BC4" w:rsidRPr="00726D52" w:rsidRDefault="003B7BC4" w:rsidP="003B7BC4">
      <w:pPr>
        <w:spacing w:after="120"/>
        <w:rPr>
          <w:bCs/>
          <w:i/>
          <w:iCs/>
          <w:noProof/>
        </w:rPr>
      </w:pPr>
      <w:r w:rsidRPr="00726D52">
        <w:rPr>
          <w:bCs/>
          <w:i/>
          <w:iCs/>
          <w:noProof/>
        </w:rPr>
        <w:t>Proportionality</w:t>
      </w:r>
    </w:p>
    <w:p w14:paraId="56828943" w14:textId="39E915E5" w:rsidR="003B7BC4" w:rsidRPr="00726D52" w:rsidRDefault="003B7BC4" w:rsidP="003B7BC4">
      <w:pPr>
        <w:spacing w:after="120"/>
        <w:rPr>
          <w:noProof/>
        </w:rPr>
      </w:pPr>
      <w:r w:rsidRPr="00726D52">
        <w:rPr>
          <w:noProof/>
        </w:rPr>
        <w:t>The interference with fundamental rights remains proportionate. Europol would act only on the basis of Member State authorisation and within its mandate, without centralising national databases or altering Member State ownership of data. The measures do not introduce fundamentally new categories of personal data or new processing purposes but improve the operational use of data already lawfully collected for law</w:t>
      </w:r>
      <w:r w:rsidR="00C53244" w:rsidRPr="00726D52">
        <w:rPr>
          <w:noProof/>
        </w:rPr>
        <w:t xml:space="preserve"> </w:t>
      </w:r>
      <w:r w:rsidRPr="00726D52">
        <w:rPr>
          <w:noProof/>
        </w:rPr>
        <w:t>enforcement purposes.</w:t>
      </w:r>
    </w:p>
    <w:p w14:paraId="68D8A249" w14:textId="141AADE9" w:rsidR="003B7BC4" w:rsidRPr="00726D52" w:rsidRDefault="003B7BC4" w:rsidP="003B7BC4">
      <w:pPr>
        <w:spacing w:after="120"/>
        <w:rPr>
          <w:noProof/>
        </w:rPr>
      </w:pPr>
      <w:r w:rsidRPr="00726D52">
        <w:rPr>
          <w:noProof/>
        </w:rPr>
        <w:t>Processing would remain subject to the safeguards provided under the Europol Regulation, the Law Enforcement Directive and the EU</w:t>
      </w:r>
      <w:r w:rsidR="0081491F" w:rsidRPr="00726D52">
        <w:rPr>
          <w:noProof/>
        </w:rPr>
        <w:t>DPR</w:t>
      </w:r>
      <w:r w:rsidRPr="00726D52">
        <w:rPr>
          <w:noProof/>
        </w:rPr>
        <w:t>, including purpose limitation, access controls and independent supervision. Technical infrastructures such as the EU Police Cloud would incorporate security-by-design features, strong authentication and traceable access management to ensure accountability.</w:t>
      </w:r>
    </w:p>
    <w:p w14:paraId="07C56B2C" w14:textId="2343640D" w:rsidR="00676E9C" w:rsidRPr="00726D52" w:rsidRDefault="00676E9C" w:rsidP="003B7BC4">
      <w:pPr>
        <w:spacing w:after="120"/>
        <w:rPr>
          <w:noProof/>
        </w:rPr>
      </w:pPr>
      <w:r w:rsidRPr="00726D52">
        <w:rPr>
          <w:noProof/>
        </w:rPr>
        <w:t>More specifically, the EU Police Cloud would rely on a multi-layered security architecture combining organisational, technical and legal safeguards. These would include end-to-end encryption of data in transit and at rest, strict compartmentalisation of operational datasets, role-based and attribute-based access controls, multi-factor authentication through the EU Police Digital Identity framework, continuous security monitoring, penetration testing and detailed audit logs enabling full traceability of user actions.</w:t>
      </w:r>
    </w:p>
    <w:p w14:paraId="259EEF0D" w14:textId="5000ADAF" w:rsidR="00676E9C" w:rsidRPr="00726D52" w:rsidRDefault="00676E9C" w:rsidP="003B7BC4">
      <w:pPr>
        <w:spacing w:after="120"/>
        <w:rPr>
          <w:noProof/>
        </w:rPr>
      </w:pPr>
      <w:r w:rsidRPr="00726D52">
        <w:rPr>
          <w:noProof/>
        </w:rPr>
        <w:t>Access to operational environments and datasets would remain limited to specifically authorised users acting within defined operational mandates and on a need-to-know basis. Different investigations and operational projects would remain logically separated through compartmentalised access environments, preventing unrestricted cross-access to operational information.</w:t>
      </w:r>
    </w:p>
    <w:p w14:paraId="7D5442A9" w14:textId="5B80176C" w:rsidR="00676E9C" w:rsidRPr="00726D52" w:rsidRDefault="00676E9C" w:rsidP="003B7BC4">
      <w:pPr>
        <w:spacing w:after="120"/>
        <w:rPr>
          <w:noProof/>
        </w:rPr>
      </w:pPr>
      <w:r w:rsidRPr="00726D52">
        <w:rPr>
          <w:noProof/>
        </w:rPr>
        <w:t xml:space="preserve">The processing of sensitive operational datasets would also remain subject to differentiated handling codes, retention periods and supervisory controls. Europol’s Data Protection </w:t>
      </w:r>
      <w:r w:rsidRPr="00726D52">
        <w:rPr>
          <w:noProof/>
        </w:rPr>
        <w:lastRenderedPageBreak/>
        <w:t>Function and the EDPS would continue exercising oversight over compliance with data-protection obligations, including in relation to large datasets, automated analytical tools and the use of artificial intelligence-supported functionalities.</w:t>
      </w:r>
    </w:p>
    <w:p w14:paraId="10EA796D" w14:textId="7159202C" w:rsidR="00676E9C" w:rsidRPr="00726D52" w:rsidRDefault="00676E9C" w:rsidP="003B7BC4">
      <w:pPr>
        <w:spacing w:after="120"/>
        <w:rPr>
          <w:noProof/>
        </w:rPr>
      </w:pPr>
      <w:r w:rsidRPr="00726D52">
        <w:rPr>
          <w:noProof/>
        </w:rPr>
        <w:t>Regarding the simplification of DSC rules, safeguards would continue to require Europol to assess the relevance, reliability and necessity of operational data within defined timeframes. The simplification would therefore not eliminate data-protection obligations, but rather adapt the sequencing and operational handling of categorisation requirements to avoid unnecessary delays in time-sensitive investigations</w:t>
      </w:r>
      <w:r w:rsidR="00B8344A" w:rsidRPr="00726D52">
        <w:rPr>
          <w:noProof/>
        </w:rPr>
        <w:t>, therefore aligning it with the EUDPR</w:t>
      </w:r>
      <w:r w:rsidRPr="00726D52">
        <w:rPr>
          <w:noProof/>
        </w:rPr>
        <w:t xml:space="preserve">. </w:t>
      </w:r>
    </w:p>
    <w:p w14:paraId="03F2B4D9" w14:textId="7CBDE57A" w:rsidR="00676E9C" w:rsidRPr="00726D52" w:rsidRDefault="00676E9C" w:rsidP="003B7BC4">
      <w:pPr>
        <w:spacing w:after="120"/>
        <w:rPr>
          <w:noProof/>
        </w:rPr>
      </w:pPr>
      <w:r w:rsidRPr="00726D52">
        <w:rPr>
          <w:noProof/>
        </w:rPr>
        <w:t>Cybersecurity risks associated with the EU Police Cloud would furthermore be mitigated through compliance with the EU cybersecurity framework applicable to Union institutions and bodies, including high common cybersecurity standards, incident reporting obligations, business continuity measures, security accreditation procedures and continuous vulnerability management. Given the sensitivity of the data processed, implementation would likely require phased deployment, independent security testing and reinforced operational-security governance arrangements.</w:t>
      </w:r>
    </w:p>
    <w:p w14:paraId="59D6A748" w14:textId="77777777" w:rsidR="003B7BC4" w:rsidRPr="00726D52" w:rsidRDefault="003B7BC4" w:rsidP="003B7BC4">
      <w:pPr>
        <w:spacing w:after="120"/>
        <w:rPr>
          <w:bCs/>
          <w:i/>
          <w:iCs/>
          <w:noProof/>
        </w:rPr>
      </w:pPr>
      <w:r w:rsidRPr="00726D52">
        <w:rPr>
          <w:bCs/>
          <w:i/>
          <w:iCs/>
          <w:noProof/>
        </w:rPr>
        <w:t>Conclusion</w:t>
      </w:r>
    </w:p>
    <w:p w14:paraId="1ADC4A0D" w14:textId="5E8E7027" w:rsidR="003B7BC4" w:rsidRPr="00726D52" w:rsidRDefault="003B7BC4" w:rsidP="003B7BC4">
      <w:pPr>
        <w:spacing w:after="120"/>
        <w:rPr>
          <w:noProof/>
        </w:rPr>
      </w:pPr>
      <w:r w:rsidRPr="00726D52">
        <w:rPr>
          <w:noProof/>
        </w:rPr>
        <w:t>Overall, Policy Option 2 would increase the operational processing of personal data within EU law</w:t>
      </w:r>
      <w:r w:rsidR="005B4DD8" w:rsidRPr="00726D52">
        <w:rPr>
          <w:noProof/>
        </w:rPr>
        <w:t xml:space="preserve"> enforcement</w:t>
      </w:r>
      <w:r w:rsidR="00173432" w:rsidRPr="00726D52">
        <w:rPr>
          <w:noProof/>
        </w:rPr>
        <w:t xml:space="preserve"> </w:t>
      </w:r>
      <w:r w:rsidRPr="00726D52">
        <w:rPr>
          <w:noProof/>
        </w:rPr>
        <w:t xml:space="preserve">cooperation and therefore has a </w:t>
      </w:r>
      <w:r w:rsidRPr="00726D52">
        <w:rPr>
          <w:b/>
          <w:noProof/>
        </w:rPr>
        <w:t>negative impact (-) on the protection of personal data</w:t>
      </w:r>
      <w:r w:rsidRPr="00726D52">
        <w:rPr>
          <w:noProof/>
        </w:rPr>
        <w:t xml:space="preserve"> compared with the baseline. Nevertheless, the interference with fundamental rights remains </w:t>
      </w:r>
      <w:r w:rsidRPr="00726D52">
        <w:rPr>
          <w:b/>
          <w:noProof/>
        </w:rPr>
        <w:t xml:space="preserve">justified by the objective of combating serious </w:t>
      </w:r>
      <w:r w:rsidR="00975B06" w:rsidRPr="00726D52">
        <w:rPr>
          <w:b/>
          <w:noProof/>
        </w:rPr>
        <w:t xml:space="preserve">and organised </w:t>
      </w:r>
      <w:r w:rsidRPr="00726D52">
        <w:rPr>
          <w:b/>
          <w:noProof/>
        </w:rPr>
        <w:t>crime and terrorism</w:t>
      </w:r>
      <w:r w:rsidRPr="00726D52">
        <w:rPr>
          <w:noProof/>
        </w:rPr>
        <w:t xml:space="preserve">, and the measures are </w:t>
      </w:r>
      <w:r w:rsidRPr="00726D52">
        <w:rPr>
          <w:b/>
          <w:noProof/>
        </w:rPr>
        <w:t>necessary and proportionate</w:t>
      </w:r>
      <w:r w:rsidRPr="00726D52">
        <w:rPr>
          <w:noProof/>
        </w:rPr>
        <w:t xml:space="preserve">, while maintaining the safeguards and oversight mechanisms provided by </w:t>
      </w:r>
      <w:r w:rsidR="00975B06" w:rsidRPr="00726D52">
        <w:rPr>
          <w:noProof/>
        </w:rPr>
        <w:t xml:space="preserve">the </w:t>
      </w:r>
      <w:r w:rsidRPr="00726D52">
        <w:rPr>
          <w:noProof/>
        </w:rPr>
        <w:t xml:space="preserve">EU data protection </w:t>
      </w:r>
      <w:r w:rsidR="00975B06" w:rsidRPr="00726D52">
        <w:rPr>
          <w:noProof/>
        </w:rPr>
        <w:t>framework</w:t>
      </w:r>
      <w:r w:rsidRPr="00726D52">
        <w:rPr>
          <w:noProof/>
        </w:rPr>
        <w:t>.</w:t>
      </w:r>
    </w:p>
    <w:p w14:paraId="0E2A486B" w14:textId="7B3C744E" w:rsidR="00F62F5D" w:rsidRPr="00726D52" w:rsidRDefault="00F62F5D" w:rsidP="003B7BC4">
      <w:pPr>
        <w:spacing w:after="120"/>
        <w:rPr>
          <w:noProof/>
        </w:rPr>
      </w:pPr>
      <w:r w:rsidRPr="00726D52">
        <w:rPr>
          <w:noProof/>
        </w:rPr>
        <w:t>Although residual risks related to cybersecurity, data concentration and broader operational access cannot be fully eliminated, these risks are expected to be mitigated through a combination of legal limitations, technical safeguards, operational controls and independent supervision. The overall impact on fundamental rights is therefore considered proportionate in light of the security objectives pursued and the safeguards accompanying implementation.</w:t>
      </w:r>
    </w:p>
    <w:p w14:paraId="1011A6D9" w14:textId="77777777" w:rsidR="003B7BC4" w:rsidRPr="00726D52" w:rsidRDefault="003B7BC4" w:rsidP="003B7BC4">
      <w:pPr>
        <w:spacing w:before="240"/>
        <w:rPr>
          <w:b/>
          <w:bCs/>
          <w:noProof/>
          <w:u w:val="single"/>
        </w:rPr>
      </w:pPr>
      <w:r w:rsidRPr="00726D52">
        <w:rPr>
          <w:b/>
          <w:bCs/>
          <w:noProof/>
          <w:u w:val="single"/>
        </w:rPr>
        <w:t>6.4 Environmental impacts</w:t>
      </w:r>
    </w:p>
    <w:p w14:paraId="103A894F" w14:textId="2D2E7F62" w:rsidR="003B7BC4" w:rsidRPr="00726D52" w:rsidRDefault="003B7BC4" w:rsidP="003B7BC4">
      <w:pPr>
        <w:rPr>
          <w:noProof/>
        </w:rPr>
      </w:pPr>
      <w:r w:rsidRPr="00726D52">
        <w:rPr>
          <w:noProof/>
        </w:rPr>
        <w:t xml:space="preserve">Both policy options are not expected to have direct environmental impacts (0), as they concern the organisation of law enforcement cooperation and the analytical and operational support provided by Europol. However, the options could have indirect positive effects on the environment. Environmental crime is included among the areas of criminal activity listed in Annex I of the Europol Regulation. By strengthening Europol’s analytical capabilities, operational support and cooperation with national authorities, </w:t>
      </w:r>
      <w:r w:rsidR="005558A1" w:rsidRPr="00726D52">
        <w:rPr>
          <w:b/>
          <w:bCs/>
          <w:noProof/>
        </w:rPr>
        <w:t>P</w:t>
      </w:r>
      <w:r w:rsidRPr="00726D52">
        <w:rPr>
          <w:b/>
          <w:bCs/>
          <w:noProof/>
        </w:rPr>
        <w:t xml:space="preserve">olicy </w:t>
      </w:r>
      <w:r w:rsidR="005558A1" w:rsidRPr="00726D52">
        <w:rPr>
          <w:b/>
          <w:bCs/>
          <w:noProof/>
        </w:rPr>
        <w:t>O</w:t>
      </w:r>
      <w:r w:rsidRPr="00726D52">
        <w:rPr>
          <w:b/>
          <w:bCs/>
          <w:noProof/>
        </w:rPr>
        <w:t>ptions 1 and 2 could contribute to more effective detection and investigation of environmental crime</w:t>
      </w:r>
      <w:r w:rsidRPr="00726D52">
        <w:rPr>
          <w:noProof/>
        </w:rPr>
        <w:t>, such as illegal waste trafficking or wildlife trafficking.</w:t>
      </w:r>
    </w:p>
    <w:p w14:paraId="52F826AF" w14:textId="77777777" w:rsidR="006B087E" w:rsidRPr="00726D52" w:rsidRDefault="006B087E" w:rsidP="009502B2">
      <w:pPr>
        <w:pStyle w:val="Heading1"/>
        <w:numPr>
          <w:ilvl w:val="0"/>
          <w:numId w:val="68"/>
        </w:numPr>
        <w:spacing w:after="120"/>
        <w:rPr>
          <w:noProof/>
        </w:rPr>
      </w:pPr>
      <w:bookmarkStart w:id="19" w:name="_Toc224614036"/>
      <w:r w:rsidRPr="00726D52">
        <w:rPr>
          <w:noProof/>
        </w:rPr>
        <w:lastRenderedPageBreak/>
        <w:t>How do the options compare?</w:t>
      </w:r>
      <w:bookmarkEnd w:id="19"/>
    </w:p>
    <w:p w14:paraId="20C34729" w14:textId="5CCC4529" w:rsidR="00C52A01" w:rsidRPr="00726D52" w:rsidRDefault="00C52A01" w:rsidP="005D7C27">
      <w:pPr>
        <w:pStyle w:val="NormalWeb"/>
        <w:spacing w:before="120" w:beforeAutospacing="0" w:after="0" w:afterAutospacing="0"/>
        <w:jc w:val="both"/>
        <w:rPr>
          <w:noProof/>
          <w:lang w:val="en-GB"/>
        </w:rPr>
      </w:pPr>
      <w:r w:rsidRPr="00726D52">
        <w:rPr>
          <w:noProof/>
          <w:lang w:val="en-GB"/>
        </w:rPr>
        <w:t xml:space="preserve">This section compares the policy options presented in Section 5 against the baseline scenario described in Section 5.3 and assesses their relative effectiveness in achieving the objectives identified in Section 4. </w:t>
      </w:r>
    </w:p>
    <w:p w14:paraId="69E07B58" w14:textId="2181C679" w:rsidR="00C86CA7" w:rsidRPr="00726D52" w:rsidRDefault="00C86CA7" w:rsidP="005D7C27">
      <w:pPr>
        <w:pStyle w:val="NormalWeb"/>
        <w:spacing w:before="120" w:beforeAutospacing="0" w:after="240" w:afterAutospacing="0"/>
        <w:jc w:val="both"/>
        <w:rPr>
          <w:noProof/>
          <w:lang w:val="en-GB"/>
        </w:rPr>
      </w:pPr>
      <w:r w:rsidRPr="00726D52">
        <w:rPr>
          <w:noProof/>
          <w:lang w:val="en-GB"/>
        </w:rPr>
        <w:t xml:space="preserve">Overall, both policy options would improve Europol’s capacity to support Member States in preventing and combating serious and organised crime and terrorism. However, they differ in the scale of change introduced, the level of investment required and the extent to which Europol’s operational role within the EU </w:t>
      </w:r>
      <w:r w:rsidR="0006762E" w:rsidRPr="00726D52">
        <w:rPr>
          <w:noProof/>
          <w:lang w:val="en-GB"/>
        </w:rPr>
        <w:t xml:space="preserve">internal </w:t>
      </w:r>
      <w:r w:rsidRPr="00726D52">
        <w:rPr>
          <w:noProof/>
          <w:lang w:val="en-GB"/>
        </w:rPr>
        <w:t>security architecture would evolve.</w:t>
      </w:r>
      <w:r w:rsidR="00624213" w:rsidRPr="00726D52">
        <w:rPr>
          <w:noProof/>
          <w:lang w:val="en-GB"/>
        </w:rPr>
        <w:t xml:space="preserve"> </w:t>
      </w:r>
      <w:r w:rsidR="00624213" w:rsidRPr="00726D52">
        <w:rPr>
          <w:rStyle w:val="Strong"/>
          <w:noProof/>
          <w:lang w:val="en-GB"/>
        </w:rPr>
        <w:t>Policy Option 1 focuses on reinforcing and modernising the existing cooperation model, whereas Policy Option 2 introduces a more integrated operational model with stronger EU-level capabilities.</w:t>
      </w:r>
    </w:p>
    <w:p w14:paraId="1A99F35F" w14:textId="603DC86C" w:rsidR="007F76FD" w:rsidRPr="00726D52" w:rsidRDefault="0038319A" w:rsidP="009502B2">
      <w:pPr>
        <w:pStyle w:val="Heading2"/>
        <w:numPr>
          <w:ilvl w:val="1"/>
          <w:numId w:val="30"/>
        </w:numPr>
        <w:spacing w:after="120"/>
        <w:rPr>
          <w:noProof/>
        </w:rPr>
      </w:pPr>
      <w:r w:rsidRPr="00726D52">
        <w:rPr>
          <w:noProof/>
        </w:rPr>
        <w:t xml:space="preserve"> Addressing information gaps</w:t>
      </w:r>
    </w:p>
    <w:p w14:paraId="79C687D9" w14:textId="5773F2AB" w:rsidR="006F0977" w:rsidRPr="00726D52" w:rsidRDefault="001435C0" w:rsidP="00F12794">
      <w:pPr>
        <w:pStyle w:val="Text2"/>
        <w:spacing w:after="120"/>
        <w:ind w:left="0"/>
        <w:rPr>
          <w:noProof/>
        </w:rPr>
      </w:pPr>
      <w:r w:rsidRPr="00726D52">
        <w:rPr>
          <w:noProof/>
        </w:rPr>
        <w:t xml:space="preserve">Both policy options address </w:t>
      </w:r>
      <w:r w:rsidRPr="00726D52">
        <w:rPr>
          <w:b/>
          <w:bCs/>
          <w:noProof/>
        </w:rPr>
        <w:t>two closely linked aspects of the problem</w:t>
      </w:r>
      <w:r w:rsidRPr="00726D52">
        <w:rPr>
          <w:noProof/>
        </w:rPr>
        <w:t>: the availability of operational information shared with Europol and the conditions under which Europol can process and that information.</w:t>
      </w:r>
    </w:p>
    <w:p w14:paraId="2024ECE1" w14:textId="1782CAB1" w:rsidR="0026642A" w:rsidRPr="00726D52" w:rsidRDefault="0026642A" w:rsidP="00F12794">
      <w:pPr>
        <w:pStyle w:val="Text2"/>
        <w:spacing w:after="120"/>
        <w:ind w:left="0"/>
        <w:rPr>
          <w:noProof/>
        </w:rPr>
      </w:pPr>
      <w:r w:rsidRPr="00726D52">
        <w:rPr>
          <w:b/>
          <w:noProof/>
          <w:u w:val="single"/>
        </w:rPr>
        <w:t>Policy Option 1 (</w:t>
      </w:r>
      <w:r w:rsidR="00E302C2" w:rsidRPr="00726D52">
        <w:rPr>
          <w:b/>
          <w:noProof/>
          <w:u w:val="single"/>
        </w:rPr>
        <w:t>S</w:t>
      </w:r>
      <w:r w:rsidRPr="00726D52">
        <w:rPr>
          <w:b/>
          <w:noProof/>
          <w:u w:val="single"/>
        </w:rPr>
        <w:t>ub</w:t>
      </w:r>
      <w:r w:rsidR="00E302C2" w:rsidRPr="00726D52">
        <w:rPr>
          <w:b/>
          <w:noProof/>
          <w:u w:val="single"/>
        </w:rPr>
        <w:t xml:space="preserve"> </w:t>
      </w:r>
      <w:r w:rsidRPr="00726D52">
        <w:rPr>
          <w:b/>
          <w:noProof/>
          <w:u w:val="single"/>
        </w:rPr>
        <w:t>policy options 1.1 and 1.2)</w:t>
      </w:r>
      <w:r w:rsidRPr="00726D52">
        <w:rPr>
          <w:b/>
          <w:bCs/>
          <w:noProof/>
        </w:rPr>
        <w:t xml:space="preserve"> </w:t>
      </w:r>
      <w:r w:rsidRPr="00726D52">
        <w:rPr>
          <w:noProof/>
        </w:rPr>
        <w:t>focuses on improving the functioning of the existing information exchange model, notably through automated data loaders, targeted data-sharing obligations and upgrades to Europol’s core information systems.</w:t>
      </w:r>
    </w:p>
    <w:p w14:paraId="76940409" w14:textId="14E98F56" w:rsidR="001F4480" w:rsidRPr="00726D52" w:rsidRDefault="00D33769" w:rsidP="00F12794">
      <w:pPr>
        <w:pStyle w:val="Text2"/>
        <w:spacing w:after="120"/>
        <w:ind w:left="0"/>
        <w:rPr>
          <w:noProof/>
        </w:rPr>
      </w:pPr>
      <w:r w:rsidRPr="00726D52">
        <w:rPr>
          <w:b/>
          <w:bCs/>
          <w:noProof/>
        </w:rPr>
        <w:t>In terms of effectiveness</w:t>
      </w:r>
      <w:r w:rsidRPr="00726D52">
        <w:rPr>
          <w:noProof/>
        </w:rPr>
        <w:t xml:space="preserve">, </w:t>
      </w:r>
      <w:r w:rsidR="001F4480" w:rsidRPr="00726D52">
        <w:rPr>
          <w:noProof/>
        </w:rPr>
        <w:t>these measures would significantly improve the availability, quality and timeliness of operational information available to Europol, thereby strengthening its analytical support to Member States. However, the option would not fully address structural constraints affecting Europol’s capacity to process large and complex datasets, as the current framework for data subject categorisation would remain unchanged. At the same time, information sharing would continue to rely largely on voluntary contributions by Member States.</w:t>
      </w:r>
    </w:p>
    <w:p w14:paraId="4CD1C2CC" w14:textId="0DB4F2F9" w:rsidR="002177FA" w:rsidRPr="00726D52" w:rsidRDefault="003150D0" w:rsidP="001165CB">
      <w:pPr>
        <w:pStyle w:val="Text2"/>
        <w:spacing w:after="120"/>
        <w:ind w:left="0"/>
        <w:rPr>
          <w:noProof/>
        </w:rPr>
      </w:pPr>
      <w:r w:rsidRPr="00726D52">
        <w:rPr>
          <w:b/>
          <w:noProof/>
        </w:rPr>
        <w:t>In terms of efficiency</w:t>
      </w:r>
      <w:r w:rsidRPr="00726D52">
        <w:rPr>
          <w:bCs/>
          <w:noProof/>
        </w:rPr>
        <w:t>, the option requires investment in digital infrastructure and system upgrades but largely builds on existing systems and cooperation mechanisms. These investments are expected to generate operational efficiencies through improved automation and interoperability.</w:t>
      </w:r>
    </w:p>
    <w:p w14:paraId="13520C0B" w14:textId="0FA6B28F" w:rsidR="002177FA" w:rsidRPr="00726D52" w:rsidRDefault="002177FA" w:rsidP="001165CB">
      <w:pPr>
        <w:pStyle w:val="Text2"/>
        <w:spacing w:after="120"/>
        <w:ind w:left="0"/>
        <w:rPr>
          <w:noProof/>
        </w:rPr>
      </w:pPr>
      <w:r w:rsidRPr="00726D52">
        <w:rPr>
          <w:b/>
          <w:noProof/>
        </w:rPr>
        <w:t>Regarding coherence</w:t>
      </w:r>
      <w:r w:rsidRPr="00726D52">
        <w:rPr>
          <w:noProof/>
        </w:rPr>
        <w:t xml:space="preserve">, </w:t>
      </w:r>
      <w:r w:rsidR="00BC6DAC" w:rsidRPr="00726D52">
        <w:rPr>
          <w:noProof/>
        </w:rPr>
        <w:t>the option</w:t>
      </w:r>
      <w:r w:rsidRPr="00726D52">
        <w:rPr>
          <w:noProof/>
        </w:rPr>
        <w:t xml:space="preserve"> fully preserves the current decentralised model of information exchange and maintains Member States’ control over operational data.</w:t>
      </w:r>
    </w:p>
    <w:p w14:paraId="21AE95DB" w14:textId="0F0D91EA" w:rsidR="006B22C5" w:rsidRPr="00726D52" w:rsidRDefault="006B22C5" w:rsidP="001165CB">
      <w:pPr>
        <w:pStyle w:val="Text2"/>
        <w:spacing w:after="120"/>
        <w:ind w:left="0"/>
        <w:rPr>
          <w:b/>
          <w:bCs/>
          <w:noProof/>
        </w:rPr>
      </w:pPr>
      <w:r w:rsidRPr="00726D52">
        <w:rPr>
          <w:b/>
          <w:bCs/>
          <w:noProof/>
        </w:rPr>
        <w:t>In terms of fundamental rights</w:t>
      </w:r>
      <w:r w:rsidRPr="00726D52">
        <w:rPr>
          <w:noProof/>
        </w:rPr>
        <w:t>,</w:t>
      </w:r>
      <w:r w:rsidR="00092B87" w:rsidRPr="00726D52">
        <w:rPr>
          <w:noProof/>
        </w:rPr>
        <w:t xml:space="preserve"> </w:t>
      </w:r>
      <w:r w:rsidR="00253213" w:rsidRPr="00726D52">
        <w:rPr>
          <w:noProof/>
        </w:rPr>
        <w:t>the option improves data-sharing efficiency within existing safeguards and does not introduce new data, purposes or access rights.</w:t>
      </w:r>
    </w:p>
    <w:p w14:paraId="7007E158" w14:textId="26605CB0" w:rsidR="007F0B08" w:rsidRPr="00726D52" w:rsidRDefault="007F0B08" w:rsidP="001165CB">
      <w:pPr>
        <w:pStyle w:val="Text2"/>
        <w:spacing w:after="120"/>
        <w:ind w:left="0"/>
        <w:rPr>
          <w:noProof/>
        </w:rPr>
      </w:pPr>
      <w:r w:rsidRPr="00726D52">
        <w:rPr>
          <w:b/>
          <w:bCs/>
          <w:noProof/>
          <w:u w:val="single"/>
        </w:rPr>
        <w:t>Policy Option 2 (</w:t>
      </w:r>
      <w:r w:rsidR="00BC6DAC" w:rsidRPr="00726D52">
        <w:rPr>
          <w:b/>
          <w:bCs/>
          <w:noProof/>
          <w:u w:val="single"/>
        </w:rPr>
        <w:t>S</w:t>
      </w:r>
      <w:r w:rsidRPr="00726D52">
        <w:rPr>
          <w:b/>
          <w:bCs/>
          <w:noProof/>
          <w:u w:val="single"/>
        </w:rPr>
        <w:t xml:space="preserve">ub policy options 2.1 and 2.2) </w:t>
      </w:r>
      <w:r w:rsidRPr="00726D52">
        <w:rPr>
          <w:noProof/>
        </w:rPr>
        <w:t>introduces a</w:t>
      </w:r>
      <w:r w:rsidR="001844D9" w:rsidRPr="00726D52">
        <w:rPr>
          <w:noProof/>
        </w:rPr>
        <w:t>n integrated</w:t>
      </w:r>
      <w:r w:rsidR="00304741" w:rsidRPr="00726D52">
        <w:rPr>
          <w:noProof/>
        </w:rPr>
        <w:t xml:space="preserve"> model </w:t>
      </w:r>
      <w:r w:rsidRPr="00726D52">
        <w:rPr>
          <w:noProof/>
        </w:rPr>
        <w:t xml:space="preserve">by allowing Europol, </w:t>
      </w:r>
      <w:r w:rsidR="00FE4DF8" w:rsidRPr="00726D52">
        <w:rPr>
          <w:noProof/>
        </w:rPr>
        <w:t xml:space="preserve">where </w:t>
      </w:r>
      <w:r w:rsidRPr="00726D52">
        <w:rPr>
          <w:noProof/>
        </w:rPr>
        <w:t xml:space="preserve">authorised by Member States, to query certain national databases connected under EU frameworks </w:t>
      </w:r>
      <w:r w:rsidR="00A22292" w:rsidRPr="00726D52">
        <w:rPr>
          <w:noProof/>
        </w:rPr>
        <w:t xml:space="preserve">and </w:t>
      </w:r>
      <w:r w:rsidR="007B7745" w:rsidRPr="00726D52">
        <w:rPr>
          <w:noProof/>
        </w:rPr>
        <w:t>by</w:t>
      </w:r>
      <w:r w:rsidR="00A22292" w:rsidRPr="00726D52">
        <w:rPr>
          <w:noProof/>
        </w:rPr>
        <w:t xml:space="preserve"> simplify</w:t>
      </w:r>
      <w:r w:rsidR="007B7745" w:rsidRPr="00726D52">
        <w:rPr>
          <w:noProof/>
        </w:rPr>
        <w:t>ing</w:t>
      </w:r>
      <w:r w:rsidR="00A22292" w:rsidRPr="00726D52">
        <w:rPr>
          <w:noProof/>
        </w:rPr>
        <w:t xml:space="preserve"> the rules governing the processing of operational data by reforming data subject categorisation.</w:t>
      </w:r>
    </w:p>
    <w:p w14:paraId="79DBC725" w14:textId="72E828DA" w:rsidR="007F0B08" w:rsidRPr="00726D52" w:rsidRDefault="007F0B08" w:rsidP="001165CB">
      <w:pPr>
        <w:pStyle w:val="Text2"/>
        <w:spacing w:after="120"/>
        <w:ind w:left="0"/>
        <w:rPr>
          <w:noProof/>
        </w:rPr>
      </w:pPr>
      <w:r w:rsidRPr="00726D52">
        <w:rPr>
          <w:b/>
          <w:bCs/>
          <w:noProof/>
        </w:rPr>
        <w:t>In terms of effectiveness</w:t>
      </w:r>
      <w:r w:rsidRPr="00726D52">
        <w:rPr>
          <w:noProof/>
        </w:rPr>
        <w:t xml:space="preserve">, these measures would significantly improve Europol’s ability to identify cross-border links and process large operational datasets, </w:t>
      </w:r>
      <w:r w:rsidR="00DE4D05" w:rsidRPr="00726D52">
        <w:rPr>
          <w:noProof/>
        </w:rPr>
        <w:t xml:space="preserve">thereby enabling </w:t>
      </w:r>
      <w:r w:rsidRPr="00726D52">
        <w:rPr>
          <w:noProof/>
        </w:rPr>
        <w:t>more systematic use of advanced analytical tools.</w:t>
      </w:r>
    </w:p>
    <w:p w14:paraId="1757E836" w14:textId="4470589F" w:rsidR="007F0B08" w:rsidRPr="00726D52" w:rsidRDefault="007F0B08" w:rsidP="001165CB">
      <w:pPr>
        <w:pStyle w:val="Text2"/>
        <w:spacing w:after="120"/>
        <w:ind w:left="0"/>
        <w:rPr>
          <w:noProof/>
        </w:rPr>
      </w:pPr>
      <w:r w:rsidRPr="00726D52">
        <w:rPr>
          <w:b/>
          <w:bCs/>
          <w:noProof/>
        </w:rPr>
        <w:t>In terms of efficiency</w:t>
      </w:r>
      <w:r w:rsidRPr="00726D52">
        <w:rPr>
          <w:noProof/>
        </w:rPr>
        <w:t xml:space="preserve">, the option involves higher implementation costs, particularly related to the development of shared operational capabilities and digital infrastructure. </w:t>
      </w:r>
      <w:r w:rsidRPr="00726D52">
        <w:rPr>
          <w:noProof/>
        </w:rPr>
        <w:lastRenderedPageBreak/>
        <w:t xml:space="preserve">However, it may </w:t>
      </w:r>
      <w:r w:rsidR="00DE4D05" w:rsidRPr="00726D52">
        <w:rPr>
          <w:noProof/>
        </w:rPr>
        <w:t>also</w:t>
      </w:r>
      <w:r w:rsidRPr="00726D52">
        <w:rPr>
          <w:noProof/>
        </w:rPr>
        <w:t xml:space="preserve"> generate long-term efficiency gains by reducing fragmentation of analytical tools across the Union.</w:t>
      </w:r>
    </w:p>
    <w:p w14:paraId="0839ED8A" w14:textId="0DDA2621" w:rsidR="00017926" w:rsidRPr="00726D52" w:rsidRDefault="007F0B08" w:rsidP="001165CB">
      <w:pPr>
        <w:pStyle w:val="Text2"/>
        <w:spacing w:after="120"/>
        <w:ind w:left="0"/>
        <w:rPr>
          <w:noProof/>
        </w:rPr>
      </w:pPr>
      <w:r w:rsidRPr="00726D52">
        <w:rPr>
          <w:b/>
          <w:bCs/>
          <w:noProof/>
        </w:rPr>
        <w:t>Regarding coherence</w:t>
      </w:r>
      <w:r w:rsidRPr="00726D52">
        <w:rPr>
          <w:noProof/>
        </w:rPr>
        <w:t>, the option represents a more significant evolution of Europol’s operational role</w:t>
      </w:r>
      <w:r w:rsidR="00DE4D05" w:rsidRPr="00726D52">
        <w:rPr>
          <w:noProof/>
        </w:rPr>
        <w:t>,</w:t>
      </w:r>
      <w:r w:rsidRPr="00726D52">
        <w:rPr>
          <w:noProof/>
        </w:rPr>
        <w:t xml:space="preserve"> but remains compatible with the EU legal framework, as Europol would continue to act in support of Member States.</w:t>
      </w:r>
    </w:p>
    <w:p w14:paraId="17F68E14" w14:textId="7C3C5FD4" w:rsidR="00626DA2" w:rsidRPr="00726D52" w:rsidRDefault="00A470C3" w:rsidP="001165CB">
      <w:pPr>
        <w:pStyle w:val="Text2"/>
        <w:spacing w:after="120"/>
        <w:ind w:left="0"/>
        <w:rPr>
          <w:noProof/>
        </w:rPr>
      </w:pPr>
      <w:r w:rsidRPr="00726D52">
        <w:rPr>
          <w:b/>
          <w:bCs/>
          <w:noProof/>
        </w:rPr>
        <w:t>In terms of fundamental rights</w:t>
      </w:r>
      <w:r w:rsidRPr="00726D52">
        <w:rPr>
          <w:noProof/>
        </w:rPr>
        <w:t xml:space="preserve">, the option would increase the operational processing of personal data compared with the baseline. </w:t>
      </w:r>
      <w:r w:rsidR="00DE4D05" w:rsidRPr="00726D52">
        <w:rPr>
          <w:noProof/>
        </w:rPr>
        <w:t>Such processing</w:t>
      </w:r>
      <w:r w:rsidRPr="00726D52">
        <w:rPr>
          <w:noProof/>
        </w:rPr>
        <w:t xml:space="preserve"> would nevertheless remain subject to the safeguards and oversight mechanisms provided under EU data protection law.</w:t>
      </w:r>
    </w:p>
    <w:p w14:paraId="467330C5" w14:textId="77777777" w:rsidR="00D34AEF" w:rsidRPr="00726D52" w:rsidRDefault="00D34AEF" w:rsidP="001165CB">
      <w:pPr>
        <w:pStyle w:val="Text2"/>
        <w:spacing w:after="120"/>
        <w:ind w:left="0"/>
        <w:rPr>
          <w:noProof/>
        </w:rPr>
      </w:pPr>
    </w:p>
    <w:tbl>
      <w:tblPr>
        <w:tblStyle w:val="TableGrid"/>
        <w:tblW w:w="8604" w:type="dxa"/>
        <w:tblInd w:w="38" w:type="dxa"/>
        <w:tblLook w:val="04A0" w:firstRow="1" w:lastRow="0" w:firstColumn="1" w:lastColumn="0" w:noHBand="0" w:noVBand="1"/>
      </w:tblPr>
      <w:tblGrid>
        <w:gridCol w:w="2137"/>
        <w:gridCol w:w="2155"/>
        <w:gridCol w:w="2156"/>
        <w:gridCol w:w="2156"/>
      </w:tblGrid>
      <w:tr w:rsidR="005243E3" w:rsidRPr="00726D52" w14:paraId="1E5BC206" w14:textId="77777777" w:rsidTr="00D34AEF">
        <w:trPr>
          <w:trHeight w:val="519"/>
        </w:trPr>
        <w:tc>
          <w:tcPr>
            <w:tcW w:w="2137" w:type="dxa"/>
            <w:shd w:val="clear" w:color="auto" w:fill="F2F2F2" w:themeFill="background1" w:themeFillShade="F2"/>
            <w:vAlign w:val="center"/>
          </w:tcPr>
          <w:p w14:paraId="04872807" w14:textId="15E18A5A" w:rsidR="005243E3" w:rsidRPr="00726D52" w:rsidRDefault="005243E3" w:rsidP="00CC1145">
            <w:pPr>
              <w:pStyle w:val="Text2"/>
              <w:ind w:left="0"/>
              <w:jc w:val="center"/>
              <w:rPr>
                <w:b/>
                <w:noProof/>
              </w:rPr>
            </w:pPr>
            <w:r w:rsidRPr="00726D52">
              <w:rPr>
                <w:b/>
                <w:noProof/>
              </w:rPr>
              <w:t>Criterion</w:t>
            </w:r>
          </w:p>
        </w:tc>
        <w:tc>
          <w:tcPr>
            <w:tcW w:w="2155" w:type="dxa"/>
            <w:shd w:val="clear" w:color="auto" w:fill="F2F2F2" w:themeFill="background1" w:themeFillShade="F2"/>
          </w:tcPr>
          <w:p w14:paraId="7D96C250" w14:textId="20279C8F" w:rsidR="00B570DA" w:rsidRPr="00726D52" w:rsidRDefault="00B570DA" w:rsidP="00CC1145">
            <w:pPr>
              <w:pStyle w:val="Text2"/>
              <w:ind w:left="0"/>
              <w:jc w:val="center"/>
              <w:rPr>
                <w:b/>
                <w:bCs/>
                <w:noProof/>
              </w:rPr>
            </w:pPr>
            <w:r w:rsidRPr="00726D52">
              <w:rPr>
                <w:b/>
                <w:bCs/>
                <w:noProof/>
              </w:rPr>
              <w:t>Baseline</w:t>
            </w:r>
          </w:p>
        </w:tc>
        <w:tc>
          <w:tcPr>
            <w:tcW w:w="2156" w:type="dxa"/>
            <w:shd w:val="clear" w:color="auto" w:fill="F2F2F2" w:themeFill="background1" w:themeFillShade="F2"/>
            <w:vAlign w:val="center"/>
          </w:tcPr>
          <w:p w14:paraId="5017562E" w14:textId="54AF8D6F" w:rsidR="005243E3" w:rsidRPr="00726D52" w:rsidRDefault="005243E3" w:rsidP="00CC1145">
            <w:pPr>
              <w:pStyle w:val="Text2"/>
              <w:ind w:left="0"/>
              <w:jc w:val="center"/>
              <w:rPr>
                <w:b/>
                <w:noProof/>
              </w:rPr>
            </w:pPr>
            <w:r w:rsidRPr="00726D52">
              <w:rPr>
                <w:b/>
                <w:noProof/>
              </w:rPr>
              <w:t>Policy option 1</w:t>
            </w:r>
          </w:p>
        </w:tc>
        <w:tc>
          <w:tcPr>
            <w:tcW w:w="2156" w:type="dxa"/>
            <w:shd w:val="clear" w:color="auto" w:fill="F2F2F2" w:themeFill="background1" w:themeFillShade="F2"/>
            <w:vAlign w:val="center"/>
          </w:tcPr>
          <w:p w14:paraId="2A52010C" w14:textId="66817AE5" w:rsidR="005243E3" w:rsidRPr="00726D52" w:rsidRDefault="005243E3" w:rsidP="00CC1145">
            <w:pPr>
              <w:pStyle w:val="Text2"/>
              <w:ind w:left="0"/>
              <w:jc w:val="center"/>
              <w:rPr>
                <w:b/>
                <w:noProof/>
              </w:rPr>
            </w:pPr>
            <w:r w:rsidRPr="00726D52">
              <w:rPr>
                <w:b/>
                <w:noProof/>
              </w:rPr>
              <w:t>Policy option</w:t>
            </w:r>
            <w:r w:rsidR="00CC1145" w:rsidRPr="00726D52">
              <w:rPr>
                <w:b/>
                <w:bCs/>
                <w:noProof/>
              </w:rPr>
              <w:t xml:space="preserve"> 2</w:t>
            </w:r>
          </w:p>
        </w:tc>
      </w:tr>
      <w:tr w:rsidR="005243E3" w:rsidRPr="00726D52" w14:paraId="12C5EF5D" w14:textId="77777777" w:rsidTr="00D34AEF">
        <w:trPr>
          <w:trHeight w:val="509"/>
        </w:trPr>
        <w:tc>
          <w:tcPr>
            <w:tcW w:w="2137" w:type="dxa"/>
            <w:shd w:val="clear" w:color="auto" w:fill="F2F2F2" w:themeFill="background1" w:themeFillShade="F2"/>
            <w:vAlign w:val="center"/>
          </w:tcPr>
          <w:p w14:paraId="412F1E85" w14:textId="6B58185D" w:rsidR="005243E3" w:rsidRPr="00726D52" w:rsidRDefault="00CC1145" w:rsidP="00CC1145">
            <w:pPr>
              <w:pStyle w:val="Text2"/>
              <w:ind w:left="0"/>
              <w:jc w:val="center"/>
              <w:rPr>
                <w:b/>
                <w:noProof/>
              </w:rPr>
            </w:pPr>
            <w:r w:rsidRPr="00726D52">
              <w:rPr>
                <w:b/>
                <w:noProof/>
              </w:rPr>
              <w:t>Effectiveness</w:t>
            </w:r>
          </w:p>
        </w:tc>
        <w:tc>
          <w:tcPr>
            <w:tcW w:w="2155" w:type="dxa"/>
          </w:tcPr>
          <w:p w14:paraId="6EDA9D19" w14:textId="67091117" w:rsidR="00B570DA" w:rsidRPr="00726D52" w:rsidRDefault="0039665C" w:rsidP="00CC1145">
            <w:pPr>
              <w:pStyle w:val="Text2"/>
              <w:ind w:left="0"/>
              <w:jc w:val="center"/>
              <w:rPr>
                <w:noProof/>
              </w:rPr>
            </w:pPr>
            <w:r w:rsidRPr="00726D52">
              <w:rPr>
                <w:noProof/>
              </w:rPr>
              <w:t>0</w:t>
            </w:r>
          </w:p>
        </w:tc>
        <w:tc>
          <w:tcPr>
            <w:tcW w:w="2156" w:type="dxa"/>
            <w:vAlign w:val="center"/>
          </w:tcPr>
          <w:p w14:paraId="47B2B2F3" w14:textId="34C01E37" w:rsidR="005243E3" w:rsidRPr="00726D52" w:rsidRDefault="00CC1145" w:rsidP="00CC1145">
            <w:pPr>
              <w:pStyle w:val="Text2"/>
              <w:ind w:left="0"/>
              <w:jc w:val="center"/>
              <w:rPr>
                <w:noProof/>
              </w:rPr>
            </w:pPr>
            <w:r w:rsidRPr="00726D52">
              <w:rPr>
                <w:noProof/>
              </w:rPr>
              <w:t>+</w:t>
            </w:r>
          </w:p>
        </w:tc>
        <w:tc>
          <w:tcPr>
            <w:tcW w:w="2156" w:type="dxa"/>
            <w:vAlign w:val="center"/>
          </w:tcPr>
          <w:p w14:paraId="2D87FDED" w14:textId="32B3BBB3" w:rsidR="005243E3" w:rsidRPr="00726D52" w:rsidRDefault="00CC1145" w:rsidP="00CC1145">
            <w:pPr>
              <w:pStyle w:val="Text2"/>
              <w:ind w:left="0"/>
              <w:jc w:val="center"/>
              <w:rPr>
                <w:noProof/>
              </w:rPr>
            </w:pPr>
            <w:r w:rsidRPr="00726D52">
              <w:rPr>
                <w:noProof/>
              </w:rPr>
              <w:t>++</w:t>
            </w:r>
          </w:p>
        </w:tc>
      </w:tr>
      <w:tr w:rsidR="005243E3" w:rsidRPr="00726D52" w14:paraId="437D7EA4" w14:textId="77777777" w:rsidTr="00D34AEF">
        <w:trPr>
          <w:trHeight w:val="519"/>
        </w:trPr>
        <w:tc>
          <w:tcPr>
            <w:tcW w:w="2137" w:type="dxa"/>
            <w:shd w:val="clear" w:color="auto" w:fill="F2F2F2" w:themeFill="background1" w:themeFillShade="F2"/>
            <w:vAlign w:val="center"/>
          </w:tcPr>
          <w:p w14:paraId="4E7C6CF8" w14:textId="5600C408" w:rsidR="005243E3" w:rsidRPr="00726D52" w:rsidRDefault="00CC1145" w:rsidP="00CC1145">
            <w:pPr>
              <w:pStyle w:val="Text2"/>
              <w:ind w:left="0"/>
              <w:jc w:val="center"/>
              <w:rPr>
                <w:b/>
                <w:noProof/>
              </w:rPr>
            </w:pPr>
            <w:r w:rsidRPr="00726D52">
              <w:rPr>
                <w:b/>
                <w:noProof/>
              </w:rPr>
              <w:t>Efficiency</w:t>
            </w:r>
          </w:p>
        </w:tc>
        <w:tc>
          <w:tcPr>
            <w:tcW w:w="2155" w:type="dxa"/>
          </w:tcPr>
          <w:p w14:paraId="61F3F500" w14:textId="61E19E48" w:rsidR="00B570DA" w:rsidRPr="00726D52" w:rsidRDefault="0039665C" w:rsidP="00CC1145">
            <w:pPr>
              <w:pStyle w:val="Text2"/>
              <w:ind w:left="0"/>
              <w:jc w:val="center"/>
              <w:rPr>
                <w:noProof/>
              </w:rPr>
            </w:pPr>
            <w:r w:rsidRPr="00726D52">
              <w:rPr>
                <w:noProof/>
              </w:rPr>
              <w:t>0</w:t>
            </w:r>
          </w:p>
        </w:tc>
        <w:tc>
          <w:tcPr>
            <w:tcW w:w="2156" w:type="dxa"/>
            <w:vAlign w:val="center"/>
          </w:tcPr>
          <w:p w14:paraId="166D4A0D" w14:textId="113C5B9F" w:rsidR="005243E3" w:rsidRPr="00726D52" w:rsidRDefault="00737407" w:rsidP="00CC1145">
            <w:pPr>
              <w:pStyle w:val="Text2"/>
              <w:ind w:left="0"/>
              <w:jc w:val="center"/>
              <w:rPr>
                <w:noProof/>
              </w:rPr>
            </w:pPr>
            <w:r w:rsidRPr="00726D52">
              <w:rPr>
                <w:noProof/>
              </w:rPr>
              <w:t>+</w:t>
            </w:r>
          </w:p>
        </w:tc>
        <w:tc>
          <w:tcPr>
            <w:tcW w:w="2156" w:type="dxa"/>
            <w:vAlign w:val="center"/>
          </w:tcPr>
          <w:p w14:paraId="79BE9409" w14:textId="639AD7E3" w:rsidR="005243E3" w:rsidRPr="00726D52" w:rsidRDefault="00F8743C" w:rsidP="00CC1145">
            <w:pPr>
              <w:pStyle w:val="Text2"/>
              <w:ind w:left="0"/>
              <w:jc w:val="center"/>
              <w:rPr>
                <w:noProof/>
              </w:rPr>
            </w:pPr>
            <w:r w:rsidRPr="00726D52">
              <w:rPr>
                <w:noProof/>
              </w:rPr>
              <w:t>+</w:t>
            </w:r>
          </w:p>
        </w:tc>
      </w:tr>
      <w:tr w:rsidR="0047727D" w:rsidRPr="00726D52" w14:paraId="51A249BB" w14:textId="77777777" w:rsidTr="00D34AEF">
        <w:trPr>
          <w:trHeight w:val="519"/>
        </w:trPr>
        <w:tc>
          <w:tcPr>
            <w:tcW w:w="2137" w:type="dxa"/>
            <w:shd w:val="clear" w:color="auto" w:fill="F2F2F2" w:themeFill="background1" w:themeFillShade="F2"/>
            <w:vAlign w:val="center"/>
          </w:tcPr>
          <w:p w14:paraId="3DDBED84" w14:textId="013BF49A" w:rsidR="0047727D" w:rsidRPr="00726D52" w:rsidRDefault="0047727D" w:rsidP="00CC1145">
            <w:pPr>
              <w:pStyle w:val="Text2"/>
              <w:ind w:left="0"/>
              <w:jc w:val="center"/>
              <w:rPr>
                <w:b/>
                <w:noProof/>
              </w:rPr>
            </w:pPr>
            <w:r w:rsidRPr="00726D52">
              <w:rPr>
                <w:b/>
                <w:bCs/>
                <w:noProof/>
              </w:rPr>
              <w:t>C</w:t>
            </w:r>
            <w:r w:rsidR="00FC097C" w:rsidRPr="00726D52">
              <w:rPr>
                <w:b/>
                <w:bCs/>
                <w:noProof/>
              </w:rPr>
              <w:t>oherence</w:t>
            </w:r>
          </w:p>
        </w:tc>
        <w:tc>
          <w:tcPr>
            <w:tcW w:w="2155" w:type="dxa"/>
          </w:tcPr>
          <w:p w14:paraId="3933AF07" w14:textId="278224D2" w:rsidR="0047727D" w:rsidRPr="00726D52" w:rsidRDefault="0039665C" w:rsidP="00CC1145">
            <w:pPr>
              <w:pStyle w:val="Text2"/>
              <w:ind w:left="0"/>
              <w:jc w:val="center"/>
              <w:rPr>
                <w:noProof/>
              </w:rPr>
            </w:pPr>
            <w:r w:rsidRPr="00726D52">
              <w:rPr>
                <w:noProof/>
              </w:rPr>
              <w:t>0</w:t>
            </w:r>
          </w:p>
        </w:tc>
        <w:tc>
          <w:tcPr>
            <w:tcW w:w="2156" w:type="dxa"/>
            <w:vAlign w:val="center"/>
          </w:tcPr>
          <w:p w14:paraId="0ECE83BA" w14:textId="10BB9E38" w:rsidR="0047727D" w:rsidRPr="00726D52" w:rsidRDefault="00FC097C" w:rsidP="00CC1145">
            <w:pPr>
              <w:pStyle w:val="Text2"/>
              <w:ind w:left="0"/>
              <w:jc w:val="center"/>
              <w:rPr>
                <w:noProof/>
              </w:rPr>
            </w:pPr>
            <w:r w:rsidRPr="00726D52">
              <w:rPr>
                <w:noProof/>
              </w:rPr>
              <w:t>+</w:t>
            </w:r>
          </w:p>
        </w:tc>
        <w:tc>
          <w:tcPr>
            <w:tcW w:w="2156" w:type="dxa"/>
            <w:vAlign w:val="center"/>
          </w:tcPr>
          <w:p w14:paraId="23A0246E" w14:textId="08B17AC0" w:rsidR="0047727D" w:rsidRPr="00726D52" w:rsidRDefault="00FC097C" w:rsidP="00CC1145">
            <w:pPr>
              <w:pStyle w:val="Text2"/>
              <w:ind w:left="0"/>
              <w:jc w:val="center"/>
              <w:rPr>
                <w:noProof/>
              </w:rPr>
            </w:pPr>
            <w:r w:rsidRPr="00726D52">
              <w:rPr>
                <w:noProof/>
              </w:rPr>
              <w:t>+</w:t>
            </w:r>
          </w:p>
        </w:tc>
      </w:tr>
      <w:tr w:rsidR="005243E3" w:rsidRPr="00726D52" w14:paraId="3AC5D071" w14:textId="77777777" w:rsidTr="00D34AEF">
        <w:trPr>
          <w:trHeight w:val="509"/>
        </w:trPr>
        <w:tc>
          <w:tcPr>
            <w:tcW w:w="2137" w:type="dxa"/>
            <w:shd w:val="clear" w:color="auto" w:fill="F2F2F2" w:themeFill="background1" w:themeFillShade="F2"/>
            <w:vAlign w:val="center"/>
          </w:tcPr>
          <w:p w14:paraId="40703CA2" w14:textId="0D3A0B61" w:rsidR="005243E3" w:rsidRPr="00726D52" w:rsidRDefault="00CC1145" w:rsidP="00CC1145">
            <w:pPr>
              <w:pStyle w:val="Text2"/>
              <w:ind w:left="0"/>
              <w:jc w:val="center"/>
              <w:rPr>
                <w:b/>
                <w:noProof/>
              </w:rPr>
            </w:pPr>
            <w:r w:rsidRPr="00726D52">
              <w:rPr>
                <w:b/>
                <w:noProof/>
              </w:rPr>
              <w:t>Fundamental rights</w:t>
            </w:r>
          </w:p>
        </w:tc>
        <w:tc>
          <w:tcPr>
            <w:tcW w:w="2155" w:type="dxa"/>
          </w:tcPr>
          <w:p w14:paraId="38456834" w14:textId="46CB5F03" w:rsidR="00B570DA" w:rsidRPr="00726D52" w:rsidRDefault="0039665C" w:rsidP="00CC1145">
            <w:pPr>
              <w:pStyle w:val="Text2"/>
              <w:ind w:left="0"/>
              <w:jc w:val="center"/>
              <w:rPr>
                <w:noProof/>
              </w:rPr>
            </w:pPr>
            <w:r w:rsidRPr="00726D52">
              <w:rPr>
                <w:noProof/>
              </w:rPr>
              <w:t>0</w:t>
            </w:r>
          </w:p>
        </w:tc>
        <w:tc>
          <w:tcPr>
            <w:tcW w:w="2156" w:type="dxa"/>
            <w:vAlign w:val="center"/>
          </w:tcPr>
          <w:p w14:paraId="2CD2F1A3" w14:textId="5393938A" w:rsidR="005243E3" w:rsidRPr="00726D52" w:rsidRDefault="00737407" w:rsidP="00CC1145">
            <w:pPr>
              <w:pStyle w:val="Text2"/>
              <w:ind w:left="0"/>
              <w:jc w:val="center"/>
              <w:rPr>
                <w:noProof/>
              </w:rPr>
            </w:pPr>
            <w:r w:rsidRPr="00726D52">
              <w:rPr>
                <w:noProof/>
              </w:rPr>
              <w:t>0</w:t>
            </w:r>
          </w:p>
        </w:tc>
        <w:tc>
          <w:tcPr>
            <w:tcW w:w="2156" w:type="dxa"/>
            <w:vAlign w:val="center"/>
          </w:tcPr>
          <w:p w14:paraId="338CCB70" w14:textId="5F8FF87C" w:rsidR="005243E3" w:rsidRPr="00726D52" w:rsidRDefault="00737407" w:rsidP="00CC1145">
            <w:pPr>
              <w:pStyle w:val="Text2"/>
              <w:ind w:left="0"/>
              <w:jc w:val="center"/>
              <w:rPr>
                <w:noProof/>
              </w:rPr>
            </w:pPr>
            <w:r w:rsidRPr="00726D52">
              <w:rPr>
                <w:noProof/>
              </w:rPr>
              <w:t>-</w:t>
            </w:r>
          </w:p>
        </w:tc>
      </w:tr>
    </w:tbl>
    <w:p w14:paraId="1FE64B2E" w14:textId="753EEA4C" w:rsidR="00BF09CA" w:rsidRPr="00726D52" w:rsidRDefault="0039665C" w:rsidP="009502B2">
      <w:pPr>
        <w:pStyle w:val="Heading2"/>
        <w:numPr>
          <w:ilvl w:val="1"/>
          <w:numId w:val="30"/>
        </w:numPr>
        <w:spacing w:before="240"/>
        <w:rPr>
          <w:noProof/>
        </w:rPr>
      </w:pPr>
      <w:r w:rsidRPr="00726D52">
        <w:rPr>
          <w:noProof/>
        </w:rPr>
        <w:t xml:space="preserve"> </w:t>
      </w:r>
      <w:r w:rsidR="00E2599E" w:rsidRPr="00726D52">
        <w:rPr>
          <w:noProof/>
        </w:rPr>
        <w:t>Addressing operational gaps</w:t>
      </w:r>
    </w:p>
    <w:p w14:paraId="228A482C" w14:textId="600E084D" w:rsidR="002D3127" w:rsidRPr="00726D52" w:rsidRDefault="00282D6F" w:rsidP="00A4659A">
      <w:pPr>
        <w:pStyle w:val="Text2"/>
        <w:ind w:left="0"/>
        <w:rPr>
          <w:b/>
          <w:noProof/>
        </w:rPr>
      </w:pPr>
      <w:r w:rsidRPr="00726D52">
        <w:rPr>
          <w:noProof/>
        </w:rPr>
        <w:t xml:space="preserve">Both policy options addressing this problem concern Europol’s capacity to provide operational support to investigations across the Union. These limitations relate both to </w:t>
      </w:r>
      <w:r w:rsidR="00001483" w:rsidRPr="00726D52">
        <w:rPr>
          <w:noProof/>
        </w:rPr>
        <w:t xml:space="preserve">the level of </w:t>
      </w:r>
      <w:r w:rsidR="00A4659A" w:rsidRPr="00726D52">
        <w:rPr>
          <w:noProof/>
        </w:rPr>
        <w:t xml:space="preserve">operational support </w:t>
      </w:r>
      <w:r w:rsidR="00001483" w:rsidRPr="00726D52">
        <w:rPr>
          <w:noProof/>
        </w:rPr>
        <w:t xml:space="preserve">provided </w:t>
      </w:r>
      <w:r w:rsidR="00A4659A" w:rsidRPr="00726D52">
        <w:rPr>
          <w:noProof/>
        </w:rPr>
        <w:t xml:space="preserve">to Member States and </w:t>
      </w:r>
      <w:r w:rsidR="00AC69C6" w:rsidRPr="00726D52">
        <w:rPr>
          <w:noProof/>
        </w:rPr>
        <w:t>to</w:t>
      </w:r>
      <w:r w:rsidR="00A4659A" w:rsidRPr="00726D52">
        <w:rPr>
          <w:noProof/>
        </w:rPr>
        <w:t xml:space="preserve"> </w:t>
      </w:r>
      <w:r w:rsidRPr="00726D52">
        <w:rPr>
          <w:noProof/>
        </w:rPr>
        <w:t>the coordination of EU-level support between Europol and other EU actors</w:t>
      </w:r>
      <w:r w:rsidR="00001483" w:rsidRPr="00726D52">
        <w:rPr>
          <w:noProof/>
        </w:rPr>
        <w:t xml:space="preserve"> involved in </w:t>
      </w:r>
      <w:r w:rsidR="00087C97" w:rsidRPr="00726D52">
        <w:rPr>
          <w:noProof/>
        </w:rPr>
        <w:t xml:space="preserve">combatting </w:t>
      </w:r>
      <w:r w:rsidR="00001483" w:rsidRPr="00726D52">
        <w:rPr>
          <w:noProof/>
        </w:rPr>
        <w:t xml:space="preserve">cross-border </w:t>
      </w:r>
      <w:r w:rsidR="00087C97" w:rsidRPr="00726D52">
        <w:rPr>
          <w:noProof/>
        </w:rPr>
        <w:t>crime</w:t>
      </w:r>
      <w:r w:rsidR="0092550B" w:rsidRPr="00726D52">
        <w:rPr>
          <w:noProof/>
        </w:rPr>
        <w:t>.</w:t>
      </w:r>
    </w:p>
    <w:p w14:paraId="33B08680" w14:textId="2190A3AE" w:rsidR="00792C72" w:rsidRPr="00726D52" w:rsidRDefault="00792C72" w:rsidP="00D52E8B">
      <w:pPr>
        <w:pStyle w:val="Text2"/>
        <w:spacing w:after="120"/>
        <w:ind w:left="0"/>
        <w:rPr>
          <w:iCs/>
          <w:noProof/>
        </w:rPr>
      </w:pPr>
      <w:r w:rsidRPr="00726D52">
        <w:rPr>
          <w:b/>
          <w:bCs/>
          <w:iCs/>
          <w:noProof/>
          <w:u w:val="single"/>
        </w:rPr>
        <w:t>Policy Option 1</w:t>
      </w:r>
      <w:r w:rsidR="002319D4" w:rsidRPr="00726D52">
        <w:rPr>
          <w:b/>
          <w:bCs/>
          <w:iCs/>
          <w:noProof/>
          <w:u w:val="single"/>
        </w:rPr>
        <w:t xml:space="preserve"> (</w:t>
      </w:r>
      <w:r w:rsidR="0092550B" w:rsidRPr="00726D52">
        <w:rPr>
          <w:b/>
          <w:bCs/>
          <w:iCs/>
          <w:noProof/>
          <w:u w:val="single"/>
        </w:rPr>
        <w:t>S</w:t>
      </w:r>
      <w:r w:rsidR="002319D4" w:rsidRPr="00726D52">
        <w:rPr>
          <w:b/>
          <w:bCs/>
          <w:iCs/>
          <w:noProof/>
          <w:u w:val="single"/>
        </w:rPr>
        <w:t>ub</w:t>
      </w:r>
      <w:r w:rsidR="0092550B" w:rsidRPr="00726D52">
        <w:rPr>
          <w:b/>
          <w:bCs/>
          <w:iCs/>
          <w:noProof/>
          <w:u w:val="single"/>
        </w:rPr>
        <w:t xml:space="preserve"> </w:t>
      </w:r>
      <w:r w:rsidR="002319D4" w:rsidRPr="00726D52">
        <w:rPr>
          <w:b/>
          <w:bCs/>
          <w:iCs/>
          <w:noProof/>
          <w:u w:val="single"/>
        </w:rPr>
        <w:t>policy options 1.3 and 1.4)</w:t>
      </w:r>
      <w:r w:rsidRPr="00726D52">
        <w:rPr>
          <w:b/>
          <w:noProof/>
          <w:u w:val="single"/>
        </w:rPr>
        <w:t xml:space="preserve"> </w:t>
      </w:r>
      <w:r w:rsidRPr="00726D52">
        <w:rPr>
          <w:iCs/>
          <w:noProof/>
        </w:rPr>
        <w:t>focuses on reinforcing the existing operational cooperation model by strengthening coordination between Europol and other EU actors and by bringing Europol’s capabilities closer to national investigators.</w:t>
      </w:r>
    </w:p>
    <w:p w14:paraId="52A4A471" w14:textId="6F745A52" w:rsidR="00792C72" w:rsidRPr="00726D52" w:rsidRDefault="00792C72" w:rsidP="00D52E8B">
      <w:pPr>
        <w:pStyle w:val="Text2"/>
        <w:spacing w:after="120"/>
        <w:ind w:left="0"/>
        <w:rPr>
          <w:iCs/>
          <w:noProof/>
        </w:rPr>
      </w:pPr>
      <w:r w:rsidRPr="00726D52">
        <w:rPr>
          <w:b/>
          <w:noProof/>
        </w:rPr>
        <w:t>In terms of effectiveness</w:t>
      </w:r>
      <w:r w:rsidRPr="00726D52">
        <w:rPr>
          <w:iCs/>
          <w:noProof/>
        </w:rPr>
        <w:t xml:space="preserve">, these measures would improve the overall EU support architecture for cross-border investigations. Embedding Europol tools into national investigative workflows would support earlier identification of cross-border links and allow Europol’s analytical capabilities to be used more systematically by national authorities. Strengthened cooperation between Europol, the EPPO and Eurojust would </w:t>
      </w:r>
      <w:r w:rsidR="00B938B6" w:rsidRPr="00726D52">
        <w:rPr>
          <w:iCs/>
          <w:noProof/>
        </w:rPr>
        <w:t xml:space="preserve">also </w:t>
      </w:r>
      <w:r w:rsidRPr="00726D52">
        <w:rPr>
          <w:iCs/>
          <w:noProof/>
        </w:rPr>
        <w:t xml:space="preserve">facilitate more efficient handling of complex cases. However, the option would </w:t>
      </w:r>
      <w:r w:rsidR="00CE13DB" w:rsidRPr="00726D52">
        <w:rPr>
          <w:iCs/>
          <w:noProof/>
        </w:rPr>
        <w:t>primarily</w:t>
      </w:r>
      <w:r w:rsidRPr="00726D52">
        <w:rPr>
          <w:iCs/>
          <w:noProof/>
        </w:rPr>
        <w:t xml:space="preserve"> reinforce the current cooperation model and would not fundamentally transform </w:t>
      </w:r>
      <w:r w:rsidR="00CE13DB" w:rsidRPr="00726D52">
        <w:rPr>
          <w:iCs/>
          <w:noProof/>
        </w:rPr>
        <w:t>how</w:t>
      </w:r>
      <w:r w:rsidRPr="00726D52">
        <w:rPr>
          <w:iCs/>
          <w:noProof/>
        </w:rPr>
        <w:t xml:space="preserve"> Europol’s capabilities are accessed and used by investigators.</w:t>
      </w:r>
    </w:p>
    <w:p w14:paraId="2DA1D6DD" w14:textId="3DFB6C03" w:rsidR="00792C72" w:rsidRPr="00726D52" w:rsidRDefault="00792C72" w:rsidP="00B4154B">
      <w:pPr>
        <w:pStyle w:val="Text2"/>
        <w:ind w:left="0"/>
        <w:rPr>
          <w:iCs/>
          <w:noProof/>
        </w:rPr>
      </w:pPr>
      <w:r w:rsidRPr="00726D52">
        <w:rPr>
          <w:b/>
          <w:noProof/>
        </w:rPr>
        <w:t>In terms of efficiency</w:t>
      </w:r>
      <w:r w:rsidRPr="00726D52">
        <w:rPr>
          <w:iCs/>
          <w:noProof/>
        </w:rPr>
        <w:t xml:space="preserve">, the option requires significant investment in system integration and digital infrastructure, particularly </w:t>
      </w:r>
      <w:r w:rsidR="00CE13DB" w:rsidRPr="00726D52">
        <w:rPr>
          <w:iCs/>
          <w:noProof/>
        </w:rPr>
        <w:t>to emb</w:t>
      </w:r>
      <w:r w:rsidR="001E52CB" w:rsidRPr="00726D52">
        <w:rPr>
          <w:iCs/>
          <w:noProof/>
        </w:rPr>
        <w:t>ed</w:t>
      </w:r>
      <w:r w:rsidRPr="00726D52">
        <w:rPr>
          <w:iCs/>
          <w:noProof/>
        </w:rPr>
        <w:t xml:space="preserve"> Europol analytical tools into national case management systems. At the same time, these investments build on existing cooperation structures and are expected to generate operational efficiencies by reducing administrative </w:t>
      </w:r>
      <w:r w:rsidRPr="00726D52">
        <w:rPr>
          <w:iCs/>
          <w:noProof/>
        </w:rPr>
        <w:lastRenderedPageBreak/>
        <w:t>burdens associated with manual information exchange and by improving the timeliness of analytical support.</w:t>
      </w:r>
    </w:p>
    <w:p w14:paraId="2AE51CB0" w14:textId="34700612" w:rsidR="00A4659A" w:rsidRPr="00726D52" w:rsidRDefault="00792C72" w:rsidP="1E08DA98">
      <w:pPr>
        <w:pStyle w:val="Text2"/>
        <w:ind w:left="0"/>
        <w:rPr>
          <w:noProof/>
        </w:rPr>
      </w:pPr>
      <w:r w:rsidRPr="00726D52">
        <w:rPr>
          <w:b/>
          <w:noProof/>
        </w:rPr>
        <w:t>Regarding coherence</w:t>
      </w:r>
      <w:r w:rsidRPr="00726D52">
        <w:rPr>
          <w:iCs/>
          <w:noProof/>
        </w:rPr>
        <w:t xml:space="preserve">, </w:t>
      </w:r>
      <w:r w:rsidR="006205FA" w:rsidRPr="00726D52">
        <w:rPr>
          <w:iCs/>
          <w:noProof/>
        </w:rPr>
        <w:t>the option</w:t>
      </w:r>
      <w:r w:rsidRPr="00726D52">
        <w:rPr>
          <w:iCs/>
          <w:noProof/>
        </w:rPr>
        <w:t xml:space="preserve"> preserves the existing institutional balance within the EU </w:t>
      </w:r>
      <w:r w:rsidR="006205FA" w:rsidRPr="00726D52">
        <w:rPr>
          <w:iCs/>
          <w:noProof/>
        </w:rPr>
        <w:t xml:space="preserve">internal </w:t>
      </w:r>
      <w:r w:rsidRPr="00726D52">
        <w:rPr>
          <w:iCs/>
          <w:noProof/>
        </w:rPr>
        <w:t xml:space="preserve">security architecture. Europol would continue to operate as a support agency acting in close cooperation with national authorities and other EU </w:t>
      </w:r>
      <w:r w:rsidR="00D81F38" w:rsidRPr="00726D52">
        <w:rPr>
          <w:iCs/>
          <w:noProof/>
        </w:rPr>
        <w:t>actors</w:t>
      </w:r>
      <w:r w:rsidRPr="00726D52">
        <w:rPr>
          <w:noProof/>
        </w:rPr>
        <w:t>.</w:t>
      </w:r>
    </w:p>
    <w:p w14:paraId="7C863353" w14:textId="1C9C6E62" w:rsidR="00BD5CBD" w:rsidRPr="00726D52" w:rsidRDefault="00BD5CBD" w:rsidP="00BD5CBD">
      <w:pPr>
        <w:pStyle w:val="Text2"/>
        <w:ind w:left="0"/>
        <w:rPr>
          <w:noProof/>
        </w:rPr>
      </w:pPr>
      <w:r w:rsidRPr="00726D52">
        <w:rPr>
          <w:b/>
          <w:noProof/>
          <w:u w:val="single"/>
        </w:rPr>
        <w:t>Policy Option 2 (</w:t>
      </w:r>
      <w:r w:rsidR="003B27CB" w:rsidRPr="00726D52">
        <w:rPr>
          <w:b/>
          <w:noProof/>
          <w:u w:val="single"/>
        </w:rPr>
        <w:t>S</w:t>
      </w:r>
      <w:r w:rsidRPr="00726D52">
        <w:rPr>
          <w:b/>
          <w:noProof/>
          <w:u w:val="single"/>
        </w:rPr>
        <w:t>ub</w:t>
      </w:r>
      <w:r w:rsidR="003B27CB" w:rsidRPr="00726D52">
        <w:rPr>
          <w:b/>
          <w:noProof/>
          <w:u w:val="single"/>
        </w:rPr>
        <w:t xml:space="preserve"> </w:t>
      </w:r>
      <w:r w:rsidRPr="00726D52">
        <w:rPr>
          <w:b/>
          <w:noProof/>
          <w:u w:val="single"/>
        </w:rPr>
        <w:t>policy options 2.3 and 2.4)</w:t>
      </w:r>
      <w:r w:rsidRPr="00726D52">
        <w:rPr>
          <w:noProof/>
        </w:rPr>
        <w:t xml:space="preserve"> introduces a more integrated operational model aimed at bringing Europol’s capabilities closer to investigators and strengthening its role as a provider of operational services at EU level.</w:t>
      </w:r>
    </w:p>
    <w:p w14:paraId="1DC9C928" w14:textId="0A26F77F" w:rsidR="00BD5CBD" w:rsidRPr="00726D52" w:rsidRDefault="00BD5CBD" w:rsidP="00BD5CBD">
      <w:pPr>
        <w:pStyle w:val="Text2"/>
        <w:ind w:left="0"/>
        <w:rPr>
          <w:noProof/>
        </w:rPr>
      </w:pPr>
      <w:r w:rsidRPr="00726D52">
        <w:rPr>
          <w:b/>
          <w:noProof/>
        </w:rPr>
        <w:t>In terms of effectiveness</w:t>
      </w:r>
      <w:r w:rsidRPr="00726D52">
        <w:rPr>
          <w:noProof/>
        </w:rPr>
        <w:t xml:space="preserve">, these measures would significantly enhance Europol’s operational support to investigations. </w:t>
      </w:r>
      <w:r w:rsidR="00925B10" w:rsidRPr="00726D52">
        <w:rPr>
          <w:noProof/>
        </w:rPr>
        <w:t>The</w:t>
      </w:r>
      <w:r w:rsidRPr="00726D52">
        <w:rPr>
          <w:noProof/>
        </w:rPr>
        <w:t xml:space="preserve"> EU Police Cloud and Europol support offices would enable investigators to access Europol’s analytical tools, collaborative environments and technical capabilities more directly during investigations, facilitating large-scale collaborative investigations and more effective use of advanced analytical tools.</w:t>
      </w:r>
      <w:r w:rsidR="00925B10" w:rsidRPr="00726D52">
        <w:rPr>
          <w:noProof/>
        </w:rPr>
        <w:t xml:space="preserve"> At the same time, e</w:t>
      </w:r>
      <w:r w:rsidRPr="00726D52">
        <w:rPr>
          <w:noProof/>
        </w:rPr>
        <w:t xml:space="preserve">stablishing Europol as a structural provider of analytical capabilities to the EPPO would ensure </w:t>
      </w:r>
      <w:r w:rsidR="007A1B0A" w:rsidRPr="00726D52">
        <w:rPr>
          <w:noProof/>
        </w:rPr>
        <w:t xml:space="preserve">a </w:t>
      </w:r>
      <w:r w:rsidRPr="00726D52">
        <w:rPr>
          <w:noProof/>
        </w:rPr>
        <w:t>more systematic use of Europol’s expertise in complex cross-border cases.</w:t>
      </w:r>
    </w:p>
    <w:p w14:paraId="1FC683BF" w14:textId="77777777" w:rsidR="008D3D3A" w:rsidRPr="00726D52" w:rsidRDefault="008D3D3A" w:rsidP="008D3D3A">
      <w:pPr>
        <w:pStyle w:val="Text2"/>
        <w:ind w:left="0"/>
        <w:rPr>
          <w:noProof/>
        </w:rPr>
      </w:pPr>
      <w:r w:rsidRPr="00726D52">
        <w:rPr>
          <w:b/>
          <w:noProof/>
        </w:rPr>
        <w:t>In terms of efficiency</w:t>
      </w:r>
      <w:r w:rsidRPr="00726D52">
        <w:rPr>
          <w:noProof/>
        </w:rPr>
        <w:t>, the option involves substantial investment in digital infrastructure and operational capacity, particularly for the development of the EU Police Cloud and the deployment of support offices in Member States. However, the use of shared EU-level analytical tools and collaborative environments could generate long-term efficiency gains by reducing fragmentation of national solutions and enabling more efficient cross-border investigations.</w:t>
      </w:r>
    </w:p>
    <w:p w14:paraId="1DB90464" w14:textId="3CBC7BBF" w:rsidR="008D3D3A" w:rsidRPr="00726D52" w:rsidRDefault="008D3D3A" w:rsidP="008D3D3A">
      <w:pPr>
        <w:pStyle w:val="Text2"/>
        <w:ind w:left="0"/>
        <w:rPr>
          <w:noProof/>
        </w:rPr>
      </w:pPr>
      <w:r w:rsidRPr="00726D52">
        <w:rPr>
          <w:b/>
          <w:noProof/>
        </w:rPr>
        <w:t>Regarding coherence</w:t>
      </w:r>
      <w:r w:rsidRPr="00726D52">
        <w:rPr>
          <w:noProof/>
        </w:rPr>
        <w:t xml:space="preserve">, the option represents a more significant evolution of Europol’s operational role within the EU </w:t>
      </w:r>
      <w:r w:rsidR="004F18A3" w:rsidRPr="00726D52">
        <w:rPr>
          <w:noProof/>
        </w:rPr>
        <w:t xml:space="preserve">internal </w:t>
      </w:r>
      <w:r w:rsidRPr="00726D52">
        <w:rPr>
          <w:noProof/>
        </w:rPr>
        <w:t>security architecture. The measures would remain compatible with the existing institutional framework for EU law enforcement cooperation.</w:t>
      </w:r>
    </w:p>
    <w:p w14:paraId="5DEA272D" w14:textId="5814DD5D" w:rsidR="008D3D3A" w:rsidRPr="00726D52" w:rsidRDefault="008D3D3A" w:rsidP="008D3D3A">
      <w:pPr>
        <w:pStyle w:val="Text2"/>
        <w:ind w:left="0"/>
        <w:rPr>
          <w:noProof/>
        </w:rPr>
      </w:pPr>
      <w:r w:rsidRPr="00726D52">
        <w:rPr>
          <w:b/>
          <w:noProof/>
        </w:rPr>
        <w:t>In terms of fundamental rights</w:t>
      </w:r>
      <w:r w:rsidRPr="00726D52">
        <w:rPr>
          <w:noProof/>
        </w:rPr>
        <w:t xml:space="preserve">, the option could </w:t>
      </w:r>
      <w:r w:rsidR="00456675" w:rsidRPr="00726D52">
        <w:rPr>
          <w:iCs/>
          <w:noProof/>
        </w:rPr>
        <w:t xml:space="preserve">lead to a moderate </w:t>
      </w:r>
      <w:r w:rsidRPr="00726D52">
        <w:rPr>
          <w:noProof/>
        </w:rPr>
        <w:t xml:space="preserve">increase </w:t>
      </w:r>
      <w:r w:rsidR="00456675" w:rsidRPr="00726D52">
        <w:rPr>
          <w:iCs/>
          <w:noProof/>
        </w:rPr>
        <w:t xml:space="preserve">in </w:t>
      </w:r>
      <w:r w:rsidRPr="00726D52">
        <w:rPr>
          <w:noProof/>
        </w:rPr>
        <w:t>the operational processing of personal data compared with the baseline</w:t>
      </w:r>
      <w:r w:rsidR="00456675" w:rsidRPr="00726D52">
        <w:rPr>
          <w:iCs/>
          <w:noProof/>
        </w:rPr>
        <w:t>, notably</w:t>
      </w:r>
      <w:r w:rsidR="00FF3488" w:rsidRPr="00726D52">
        <w:rPr>
          <w:iCs/>
          <w:noProof/>
        </w:rPr>
        <w:t xml:space="preserve"> due to the more </w:t>
      </w:r>
      <w:r w:rsidR="00456675" w:rsidRPr="00726D52">
        <w:rPr>
          <w:iCs/>
          <w:noProof/>
        </w:rPr>
        <w:t xml:space="preserve">systematic and collaborative </w:t>
      </w:r>
      <w:r w:rsidRPr="00726D52">
        <w:rPr>
          <w:noProof/>
        </w:rPr>
        <w:t xml:space="preserve">use of </w:t>
      </w:r>
      <w:r w:rsidR="00456675" w:rsidRPr="00726D52">
        <w:rPr>
          <w:iCs/>
          <w:noProof/>
        </w:rPr>
        <w:t>Europol’s</w:t>
      </w:r>
      <w:r w:rsidRPr="00726D52">
        <w:rPr>
          <w:noProof/>
        </w:rPr>
        <w:t xml:space="preserve"> analytical </w:t>
      </w:r>
      <w:r w:rsidR="00FF3488" w:rsidRPr="00726D52">
        <w:rPr>
          <w:iCs/>
          <w:noProof/>
        </w:rPr>
        <w:t>tools</w:t>
      </w:r>
      <w:r w:rsidRPr="00726D52">
        <w:rPr>
          <w:noProof/>
        </w:rPr>
        <w:t xml:space="preserve"> </w:t>
      </w:r>
      <w:r w:rsidR="00FF3488" w:rsidRPr="00726D52">
        <w:rPr>
          <w:iCs/>
          <w:noProof/>
        </w:rPr>
        <w:t xml:space="preserve">within the EU Police Cloud. </w:t>
      </w:r>
      <w:r w:rsidR="0056656B" w:rsidRPr="00726D52">
        <w:rPr>
          <w:noProof/>
        </w:rPr>
        <w:t xml:space="preserve">In addition, the simplification of the </w:t>
      </w:r>
      <w:r w:rsidR="004F18A3" w:rsidRPr="00726D52">
        <w:rPr>
          <w:noProof/>
        </w:rPr>
        <w:t>DSC</w:t>
      </w:r>
      <w:r w:rsidR="0056656B" w:rsidRPr="00726D52">
        <w:rPr>
          <w:noProof/>
        </w:rPr>
        <w:t xml:space="preserve"> framework would expand the categories of personal data that Europol may process for operational analysis in certain cases, where the</w:t>
      </w:r>
      <w:r w:rsidR="004D3C53" w:rsidRPr="00726D52">
        <w:rPr>
          <w:noProof/>
        </w:rPr>
        <w:t xml:space="preserve"> DSC</w:t>
      </w:r>
      <w:r w:rsidR="0056656B" w:rsidRPr="00726D52">
        <w:rPr>
          <w:noProof/>
        </w:rPr>
        <w:t xml:space="preserve"> is not immediately possible and must be carried out </w:t>
      </w:r>
      <w:r w:rsidR="0056656B" w:rsidRPr="00726D52">
        <w:rPr>
          <w:i/>
          <w:iCs/>
          <w:noProof/>
        </w:rPr>
        <w:t>as far as feasible and as early as possible</w:t>
      </w:r>
      <w:r w:rsidR="0056656B" w:rsidRPr="00726D52">
        <w:rPr>
          <w:noProof/>
        </w:rPr>
        <w:t>. This may increase the volume of personal data processed compared with the baseline.</w:t>
      </w:r>
      <w:r w:rsidR="00820545" w:rsidRPr="00726D52">
        <w:rPr>
          <w:noProof/>
        </w:rPr>
        <w:t xml:space="preserve"> </w:t>
      </w:r>
      <w:r w:rsidR="00456675" w:rsidRPr="00726D52">
        <w:rPr>
          <w:iCs/>
          <w:noProof/>
        </w:rPr>
        <w:t>At the same time, the use of a common EU-level infrastructure could also strengthen safeguards by enabling more consistent security standards, access controls and audit mechanisms across the Union. In any event</w:t>
      </w:r>
      <w:r w:rsidRPr="00726D52">
        <w:rPr>
          <w:noProof/>
        </w:rPr>
        <w:t xml:space="preserve">, such processing would remain subject to the safeguards and oversight mechanisms provided under EU </w:t>
      </w:r>
      <w:r w:rsidR="00456675" w:rsidRPr="00726D52">
        <w:rPr>
          <w:iCs/>
          <w:noProof/>
        </w:rPr>
        <w:t>data protection law</w:t>
      </w:r>
      <w:r w:rsidR="00FF3488" w:rsidRPr="00726D52">
        <w:rPr>
          <w:iCs/>
          <w:noProof/>
        </w:rPr>
        <w:t>.</w:t>
      </w:r>
    </w:p>
    <w:tbl>
      <w:tblPr>
        <w:tblStyle w:val="TableGrid"/>
        <w:tblW w:w="8604" w:type="dxa"/>
        <w:tblInd w:w="38" w:type="dxa"/>
        <w:tblLook w:val="04A0" w:firstRow="1" w:lastRow="0" w:firstColumn="1" w:lastColumn="0" w:noHBand="0" w:noVBand="1"/>
      </w:tblPr>
      <w:tblGrid>
        <w:gridCol w:w="2137"/>
        <w:gridCol w:w="2155"/>
        <w:gridCol w:w="2156"/>
        <w:gridCol w:w="2156"/>
      </w:tblGrid>
      <w:tr w:rsidR="00C470CA" w:rsidRPr="00726D52" w14:paraId="516BF178" w14:textId="77777777" w:rsidTr="00D34AEF">
        <w:trPr>
          <w:trHeight w:val="519"/>
        </w:trPr>
        <w:tc>
          <w:tcPr>
            <w:tcW w:w="2137" w:type="dxa"/>
            <w:shd w:val="clear" w:color="auto" w:fill="F2F2F2" w:themeFill="background1" w:themeFillShade="F2"/>
            <w:vAlign w:val="center"/>
          </w:tcPr>
          <w:p w14:paraId="1FEC4758" w14:textId="77777777" w:rsidR="00C470CA" w:rsidRPr="00726D52" w:rsidRDefault="00C470CA">
            <w:pPr>
              <w:pStyle w:val="Text2"/>
              <w:ind w:left="0"/>
              <w:jc w:val="center"/>
              <w:rPr>
                <w:b/>
                <w:bCs/>
                <w:noProof/>
              </w:rPr>
            </w:pPr>
            <w:r w:rsidRPr="00726D52">
              <w:rPr>
                <w:b/>
                <w:bCs/>
                <w:noProof/>
              </w:rPr>
              <w:t>Criterion</w:t>
            </w:r>
          </w:p>
        </w:tc>
        <w:tc>
          <w:tcPr>
            <w:tcW w:w="2155" w:type="dxa"/>
            <w:shd w:val="clear" w:color="auto" w:fill="F2F2F2" w:themeFill="background1" w:themeFillShade="F2"/>
          </w:tcPr>
          <w:p w14:paraId="4679C539" w14:textId="77777777" w:rsidR="00C470CA" w:rsidRPr="00726D52" w:rsidRDefault="00C470CA">
            <w:pPr>
              <w:pStyle w:val="Text2"/>
              <w:ind w:left="0"/>
              <w:jc w:val="center"/>
              <w:rPr>
                <w:b/>
                <w:bCs/>
                <w:noProof/>
              </w:rPr>
            </w:pPr>
            <w:r w:rsidRPr="00726D52">
              <w:rPr>
                <w:b/>
                <w:bCs/>
                <w:noProof/>
              </w:rPr>
              <w:t>Baseline</w:t>
            </w:r>
          </w:p>
        </w:tc>
        <w:tc>
          <w:tcPr>
            <w:tcW w:w="2156" w:type="dxa"/>
            <w:shd w:val="clear" w:color="auto" w:fill="F2F2F2" w:themeFill="background1" w:themeFillShade="F2"/>
            <w:vAlign w:val="center"/>
          </w:tcPr>
          <w:p w14:paraId="488FF5C5" w14:textId="77777777" w:rsidR="00C470CA" w:rsidRPr="00726D52" w:rsidRDefault="00C470CA">
            <w:pPr>
              <w:pStyle w:val="Text2"/>
              <w:ind w:left="0"/>
              <w:jc w:val="center"/>
              <w:rPr>
                <w:b/>
                <w:bCs/>
                <w:noProof/>
              </w:rPr>
            </w:pPr>
            <w:r w:rsidRPr="00726D52">
              <w:rPr>
                <w:b/>
                <w:bCs/>
                <w:noProof/>
              </w:rPr>
              <w:t>Policy option 1</w:t>
            </w:r>
          </w:p>
        </w:tc>
        <w:tc>
          <w:tcPr>
            <w:tcW w:w="2156" w:type="dxa"/>
            <w:shd w:val="clear" w:color="auto" w:fill="F2F2F2" w:themeFill="background1" w:themeFillShade="F2"/>
            <w:vAlign w:val="center"/>
          </w:tcPr>
          <w:p w14:paraId="55D46D24" w14:textId="77777777" w:rsidR="00C470CA" w:rsidRPr="00726D52" w:rsidRDefault="00C470CA">
            <w:pPr>
              <w:pStyle w:val="Text2"/>
              <w:ind w:left="0"/>
              <w:jc w:val="center"/>
              <w:rPr>
                <w:b/>
                <w:bCs/>
                <w:noProof/>
              </w:rPr>
            </w:pPr>
            <w:r w:rsidRPr="00726D52">
              <w:rPr>
                <w:b/>
                <w:bCs/>
                <w:noProof/>
              </w:rPr>
              <w:t>Policy option 2</w:t>
            </w:r>
          </w:p>
        </w:tc>
      </w:tr>
      <w:tr w:rsidR="00C470CA" w:rsidRPr="00726D52" w14:paraId="4DB76C88" w14:textId="77777777" w:rsidTr="00D34AEF">
        <w:trPr>
          <w:trHeight w:val="509"/>
        </w:trPr>
        <w:tc>
          <w:tcPr>
            <w:tcW w:w="2137" w:type="dxa"/>
            <w:shd w:val="clear" w:color="auto" w:fill="F2F2F2" w:themeFill="background1" w:themeFillShade="F2"/>
            <w:vAlign w:val="center"/>
          </w:tcPr>
          <w:p w14:paraId="351B57F2" w14:textId="77777777" w:rsidR="00C470CA" w:rsidRPr="00726D52" w:rsidRDefault="00C470CA">
            <w:pPr>
              <w:pStyle w:val="Text2"/>
              <w:ind w:left="0"/>
              <w:jc w:val="center"/>
              <w:rPr>
                <w:b/>
                <w:bCs/>
                <w:noProof/>
              </w:rPr>
            </w:pPr>
            <w:r w:rsidRPr="00726D52">
              <w:rPr>
                <w:b/>
                <w:bCs/>
                <w:noProof/>
              </w:rPr>
              <w:t>Effectiveness</w:t>
            </w:r>
          </w:p>
        </w:tc>
        <w:tc>
          <w:tcPr>
            <w:tcW w:w="2155" w:type="dxa"/>
          </w:tcPr>
          <w:p w14:paraId="7509A019" w14:textId="77777777" w:rsidR="00C470CA" w:rsidRPr="00726D52" w:rsidRDefault="00C470CA">
            <w:pPr>
              <w:pStyle w:val="Text2"/>
              <w:ind w:left="0"/>
              <w:jc w:val="center"/>
              <w:rPr>
                <w:noProof/>
              </w:rPr>
            </w:pPr>
            <w:r w:rsidRPr="00726D52">
              <w:rPr>
                <w:noProof/>
              </w:rPr>
              <w:t>0</w:t>
            </w:r>
          </w:p>
        </w:tc>
        <w:tc>
          <w:tcPr>
            <w:tcW w:w="2156" w:type="dxa"/>
            <w:vAlign w:val="center"/>
          </w:tcPr>
          <w:p w14:paraId="0D4FE056" w14:textId="77777777" w:rsidR="00C470CA" w:rsidRPr="00726D52" w:rsidRDefault="00C470CA">
            <w:pPr>
              <w:pStyle w:val="Text2"/>
              <w:ind w:left="0"/>
              <w:jc w:val="center"/>
              <w:rPr>
                <w:noProof/>
              </w:rPr>
            </w:pPr>
            <w:r w:rsidRPr="00726D52">
              <w:rPr>
                <w:noProof/>
              </w:rPr>
              <w:t>+</w:t>
            </w:r>
          </w:p>
        </w:tc>
        <w:tc>
          <w:tcPr>
            <w:tcW w:w="2156" w:type="dxa"/>
            <w:vAlign w:val="center"/>
          </w:tcPr>
          <w:p w14:paraId="4C5E0375" w14:textId="77777777" w:rsidR="00C470CA" w:rsidRPr="00726D52" w:rsidRDefault="00C470CA">
            <w:pPr>
              <w:pStyle w:val="Text2"/>
              <w:ind w:left="0"/>
              <w:jc w:val="center"/>
              <w:rPr>
                <w:noProof/>
              </w:rPr>
            </w:pPr>
            <w:r w:rsidRPr="00726D52">
              <w:rPr>
                <w:noProof/>
              </w:rPr>
              <w:t>++</w:t>
            </w:r>
          </w:p>
        </w:tc>
      </w:tr>
      <w:tr w:rsidR="00C470CA" w:rsidRPr="00726D52" w14:paraId="02D53A7A" w14:textId="77777777" w:rsidTr="00D34AEF">
        <w:trPr>
          <w:trHeight w:val="519"/>
        </w:trPr>
        <w:tc>
          <w:tcPr>
            <w:tcW w:w="2137" w:type="dxa"/>
            <w:shd w:val="clear" w:color="auto" w:fill="F2F2F2" w:themeFill="background1" w:themeFillShade="F2"/>
            <w:vAlign w:val="center"/>
          </w:tcPr>
          <w:p w14:paraId="10CB6CC2" w14:textId="77777777" w:rsidR="00C470CA" w:rsidRPr="00726D52" w:rsidRDefault="00C470CA">
            <w:pPr>
              <w:pStyle w:val="Text2"/>
              <w:ind w:left="0"/>
              <w:jc w:val="center"/>
              <w:rPr>
                <w:b/>
                <w:bCs/>
                <w:noProof/>
              </w:rPr>
            </w:pPr>
            <w:r w:rsidRPr="00726D52">
              <w:rPr>
                <w:b/>
                <w:bCs/>
                <w:noProof/>
              </w:rPr>
              <w:lastRenderedPageBreak/>
              <w:t>Efficiency</w:t>
            </w:r>
          </w:p>
        </w:tc>
        <w:tc>
          <w:tcPr>
            <w:tcW w:w="2155" w:type="dxa"/>
          </w:tcPr>
          <w:p w14:paraId="67180FAA" w14:textId="77777777" w:rsidR="00C470CA" w:rsidRPr="00726D52" w:rsidRDefault="00C470CA">
            <w:pPr>
              <w:pStyle w:val="Text2"/>
              <w:ind w:left="0"/>
              <w:jc w:val="center"/>
              <w:rPr>
                <w:noProof/>
              </w:rPr>
            </w:pPr>
            <w:r w:rsidRPr="00726D52">
              <w:rPr>
                <w:noProof/>
              </w:rPr>
              <w:t>0</w:t>
            </w:r>
          </w:p>
        </w:tc>
        <w:tc>
          <w:tcPr>
            <w:tcW w:w="2156" w:type="dxa"/>
            <w:vAlign w:val="center"/>
          </w:tcPr>
          <w:p w14:paraId="211DC7A6" w14:textId="77777777" w:rsidR="00C470CA" w:rsidRPr="00726D52" w:rsidRDefault="00C470CA">
            <w:pPr>
              <w:pStyle w:val="Text2"/>
              <w:ind w:left="0"/>
              <w:jc w:val="center"/>
              <w:rPr>
                <w:noProof/>
              </w:rPr>
            </w:pPr>
            <w:r w:rsidRPr="00726D52">
              <w:rPr>
                <w:noProof/>
              </w:rPr>
              <w:t>+</w:t>
            </w:r>
          </w:p>
        </w:tc>
        <w:tc>
          <w:tcPr>
            <w:tcW w:w="2156" w:type="dxa"/>
            <w:vAlign w:val="center"/>
          </w:tcPr>
          <w:p w14:paraId="0E80EB72" w14:textId="26CD15CD" w:rsidR="00C470CA" w:rsidRPr="00726D52" w:rsidRDefault="00C470CA">
            <w:pPr>
              <w:pStyle w:val="Text2"/>
              <w:ind w:left="0"/>
              <w:jc w:val="center"/>
              <w:rPr>
                <w:noProof/>
              </w:rPr>
            </w:pPr>
            <w:r w:rsidRPr="00726D52">
              <w:rPr>
                <w:noProof/>
              </w:rPr>
              <w:t>+</w:t>
            </w:r>
          </w:p>
        </w:tc>
      </w:tr>
      <w:tr w:rsidR="00C470CA" w:rsidRPr="00726D52" w14:paraId="687A002F" w14:textId="77777777" w:rsidTr="00D34AEF">
        <w:trPr>
          <w:trHeight w:val="519"/>
        </w:trPr>
        <w:tc>
          <w:tcPr>
            <w:tcW w:w="2137" w:type="dxa"/>
            <w:shd w:val="clear" w:color="auto" w:fill="F2F2F2" w:themeFill="background1" w:themeFillShade="F2"/>
            <w:vAlign w:val="center"/>
          </w:tcPr>
          <w:p w14:paraId="4931076D" w14:textId="77777777" w:rsidR="00C470CA" w:rsidRPr="00726D52" w:rsidRDefault="00C470CA">
            <w:pPr>
              <w:pStyle w:val="Text2"/>
              <w:ind w:left="0"/>
              <w:jc w:val="center"/>
              <w:rPr>
                <w:b/>
                <w:bCs/>
                <w:noProof/>
              </w:rPr>
            </w:pPr>
            <w:r w:rsidRPr="00726D52">
              <w:rPr>
                <w:b/>
                <w:bCs/>
                <w:noProof/>
              </w:rPr>
              <w:t>Coherence</w:t>
            </w:r>
          </w:p>
        </w:tc>
        <w:tc>
          <w:tcPr>
            <w:tcW w:w="2155" w:type="dxa"/>
          </w:tcPr>
          <w:p w14:paraId="78F6C7C6" w14:textId="77777777" w:rsidR="00C470CA" w:rsidRPr="00726D52" w:rsidRDefault="00C470CA">
            <w:pPr>
              <w:pStyle w:val="Text2"/>
              <w:ind w:left="0"/>
              <w:jc w:val="center"/>
              <w:rPr>
                <w:noProof/>
              </w:rPr>
            </w:pPr>
            <w:r w:rsidRPr="00726D52">
              <w:rPr>
                <w:noProof/>
              </w:rPr>
              <w:t>0</w:t>
            </w:r>
          </w:p>
        </w:tc>
        <w:tc>
          <w:tcPr>
            <w:tcW w:w="2156" w:type="dxa"/>
            <w:vAlign w:val="center"/>
          </w:tcPr>
          <w:p w14:paraId="2E5AEC58" w14:textId="77777777" w:rsidR="00C470CA" w:rsidRPr="00726D52" w:rsidRDefault="00C470CA">
            <w:pPr>
              <w:pStyle w:val="Text2"/>
              <w:ind w:left="0"/>
              <w:jc w:val="center"/>
              <w:rPr>
                <w:noProof/>
              </w:rPr>
            </w:pPr>
            <w:r w:rsidRPr="00726D52">
              <w:rPr>
                <w:noProof/>
              </w:rPr>
              <w:t>+</w:t>
            </w:r>
          </w:p>
        </w:tc>
        <w:tc>
          <w:tcPr>
            <w:tcW w:w="2156" w:type="dxa"/>
            <w:vAlign w:val="center"/>
          </w:tcPr>
          <w:p w14:paraId="7129B7B8" w14:textId="77777777" w:rsidR="00C470CA" w:rsidRPr="00726D52" w:rsidRDefault="00C470CA">
            <w:pPr>
              <w:pStyle w:val="Text2"/>
              <w:ind w:left="0"/>
              <w:jc w:val="center"/>
              <w:rPr>
                <w:noProof/>
              </w:rPr>
            </w:pPr>
            <w:r w:rsidRPr="00726D52">
              <w:rPr>
                <w:noProof/>
              </w:rPr>
              <w:t>+</w:t>
            </w:r>
          </w:p>
        </w:tc>
      </w:tr>
      <w:tr w:rsidR="00C470CA" w:rsidRPr="00726D52" w14:paraId="0C2F298D" w14:textId="77777777" w:rsidTr="00D34AEF">
        <w:trPr>
          <w:trHeight w:val="509"/>
        </w:trPr>
        <w:tc>
          <w:tcPr>
            <w:tcW w:w="2137" w:type="dxa"/>
            <w:shd w:val="clear" w:color="auto" w:fill="F2F2F2" w:themeFill="background1" w:themeFillShade="F2"/>
            <w:vAlign w:val="center"/>
          </w:tcPr>
          <w:p w14:paraId="2B65EC1C" w14:textId="77777777" w:rsidR="00C470CA" w:rsidRPr="00726D52" w:rsidRDefault="00C470CA">
            <w:pPr>
              <w:pStyle w:val="Text2"/>
              <w:ind w:left="0"/>
              <w:jc w:val="center"/>
              <w:rPr>
                <w:b/>
                <w:bCs/>
                <w:noProof/>
              </w:rPr>
            </w:pPr>
            <w:r w:rsidRPr="00726D52">
              <w:rPr>
                <w:b/>
                <w:bCs/>
                <w:noProof/>
              </w:rPr>
              <w:t>Fundamental rights</w:t>
            </w:r>
          </w:p>
        </w:tc>
        <w:tc>
          <w:tcPr>
            <w:tcW w:w="2155" w:type="dxa"/>
          </w:tcPr>
          <w:p w14:paraId="001FAA45" w14:textId="77777777" w:rsidR="00C470CA" w:rsidRPr="00726D52" w:rsidRDefault="00C470CA">
            <w:pPr>
              <w:pStyle w:val="Text2"/>
              <w:ind w:left="0"/>
              <w:jc w:val="center"/>
              <w:rPr>
                <w:noProof/>
              </w:rPr>
            </w:pPr>
            <w:r w:rsidRPr="00726D52">
              <w:rPr>
                <w:noProof/>
              </w:rPr>
              <w:t>0</w:t>
            </w:r>
          </w:p>
        </w:tc>
        <w:tc>
          <w:tcPr>
            <w:tcW w:w="2156" w:type="dxa"/>
            <w:vAlign w:val="center"/>
          </w:tcPr>
          <w:p w14:paraId="59D3C01A" w14:textId="77777777" w:rsidR="00C470CA" w:rsidRPr="00726D52" w:rsidRDefault="00C470CA">
            <w:pPr>
              <w:pStyle w:val="Text2"/>
              <w:ind w:left="0"/>
              <w:jc w:val="center"/>
              <w:rPr>
                <w:noProof/>
              </w:rPr>
            </w:pPr>
            <w:r w:rsidRPr="00726D52">
              <w:rPr>
                <w:noProof/>
              </w:rPr>
              <w:t>0</w:t>
            </w:r>
          </w:p>
        </w:tc>
        <w:tc>
          <w:tcPr>
            <w:tcW w:w="2156" w:type="dxa"/>
            <w:vAlign w:val="center"/>
          </w:tcPr>
          <w:p w14:paraId="2B7D97A4" w14:textId="77777777" w:rsidR="00C470CA" w:rsidRPr="00726D52" w:rsidRDefault="00C470CA">
            <w:pPr>
              <w:pStyle w:val="Text2"/>
              <w:ind w:left="0"/>
              <w:jc w:val="center"/>
              <w:rPr>
                <w:noProof/>
              </w:rPr>
            </w:pPr>
            <w:r w:rsidRPr="00726D52">
              <w:rPr>
                <w:noProof/>
              </w:rPr>
              <w:t>-</w:t>
            </w:r>
          </w:p>
        </w:tc>
      </w:tr>
    </w:tbl>
    <w:p w14:paraId="2BF8B3CB" w14:textId="4ACB3205" w:rsidR="006B087E" w:rsidRPr="00726D52" w:rsidRDefault="006B087E" w:rsidP="009502B2">
      <w:pPr>
        <w:pStyle w:val="Heading1"/>
        <w:numPr>
          <w:ilvl w:val="0"/>
          <w:numId w:val="68"/>
        </w:numPr>
        <w:rPr>
          <w:noProof/>
        </w:rPr>
      </w:pPr>
      <w:bookmarkStart w:id="20" w:name="_Toc224614037"/>
      <w:r w:rsidRPr="00726D52">
        <w:rPr>
          <w:noProof/>
        </w:rPr>
        <w:t>Preferred option</w:t>
      </w:r>
      <w:bookmarkEnd w:id="20"/>
    </w:p>
    <w:p w14:paraId="1B1157C0" w14:textId="23911A49" w:rsidR="00BB3205" w:rsidRPr="00726D52" w:rsidRDefault="0016754B" w:rsidP="00BB3205">
      <w:pPr>
        <w:rPr>
          <w:noProof/>
        </w:rPr>
      </w:pPr>
      <w:r w:rsidRPr="00726D52">
        <w:rPr>
          <w:noProof/>
        </w:rPr>
        <w:t xml:space="preserve">Based on the comparison of policy options in Section 7 and the impacts assessed in Section 6, the preferred approach consists of a package of measures </w:t>
      </w:r>
      <w:r w:rsidRPr="00726D52">
        <w:rPr>
          <w:b/>
          <w:bCs/>
          <w:noProof/>
        </w:rPr>
        <w:t>combining elements</w:t>
      </w:r>
      <w:r w:rsidRPr="00726D52">
        <w:rPr>
          <w:noProof/>
        </w:rPr>
        <w:t xml:space="preserve"> from Policy Options 1 and 2. This approach addresses </w:t>
      </w:r>
      <w:r w:rsidR="00E0185E" w:rsidRPr="00726D52">
        <w:rPr>
          <w:noProof/>
        </w:rPr>
        <w:t>both the information gaps affecting Europol’s role as an information hub and the operational limitations that constrain timely and effective support to investigations, with advanced capabilities acting as a cross-cutting enabler.</w:t>
      </w:r>
    </w:p>
    <w:tbl>
      <w:tblPr>
        <w:tblStyle w:val="TableGrid"/>
        <w:tblW w:w="0" w:type="auto"/>
        <w:tblInd w:w="38" w:type="dxa"/>
        <w:tblLook w:val="04A0" w:firstRow="1" w:lastRow="0" w:firstColumn="1" w:lastColumn="0" w:noHBand="0" w:noVBand="1"/>
      </w:tblPr>
      <w:tblGrid>
        <w:gridCol w:w="2859"/>
        <w:gridCol w:w="2841"/>
        <w:gridCol w:w="2870"/>
      </w:tblGrid>
      <w:tr w:rsidR="00A359A6" w:rsidRPr="00726D52" w14:paraId="3079367C" w14:textId="77777777" w:rsidTr="00D550D3">
        <w:tc>
          <w:tcPr>
            <w:tcW w:w="2919" w:type="dxa"/>
            <w:shd w:val="clear" w:color="auto" w:fill="D9D9D9" w:themeFill="background1" w:themeFillShade="D9"/>
            <w:vAlign w:val="center"/>
          </w:tcPr>
          <w:p w14:paraId="483EF7BF" w14:textId="000EF907" w:rsidR="00A359A6" w:rsidRPr="00726D52" w:rsidRDefault="0066162F" w:rsidP="00CB5F2C">
            <w:pPr>
              <w:spacing w:before="120" w:after="120"/>
              <w:jc w:val="center"/>
              <w:rPr>
                <w:b/>
                <w:bCs/>
                <w:noProof/>
              </w:rPr>
            </w:pPr>
            <w:r w:rsidRPr="00726D52">
              <w:rPr>
                <w:b/>
                <w:bCs/>
                <w:noProof/>
              </w:rPr>
              <w:t>Specific objective</w:t>
            </w:r>
          </w:p>
        </w:tc>
        <w:tc>
          <w:tcPr>
            <w:tcW w:w="2919" w:type="dxa"/>
            <w:shd w:val="clear" w:color="auto" w:fill="D9D9D9" w:themeFill="background1" w:themeFillShade="D9"/>
            <w:vAlign w:val="center"/>
          </w:tcPr>
          <w:p w14:paraId="32B34084" w14:textId="2190A240" w:rsidR="00A359A6" w:rsidRPr="00726D52" w:rsidRDefault="00A359A6" w:rsidP="00CB5F2C">
            <w:pPr>
              <w:spacing w:before="120" w:after="120"/>
              <w:jc w:val="center"/>
              <w:rPr>
                <w:b/>
                <w:bCs/>
                <w:noProof/>
              </w:rPr>
            </w:pPr>
            <w:r w:rsidRPr="00726D52">
              <w:rPr>
                <w:b/>
                <w:bCs/>
                <w:noProof/>
              </w:rPr>
              <w:t>Policy option</w:t>
            </w:r>
          </w:p>
        </w:tc>
        <w:tc>
          <w:tcPr>
            <w:tcW w:w="2920" w:type="dxa"/>
            <w:shd w:val="clear" w:color="auto" w:fill="D9D9D9" w:themeFill="background1" w:themeFillShade="D9"/>
            <w:vAlign w:val="center"/>
          </w:tcPr>
          <w:p w14:paraId="21BED189" w14:textId="213139AF" w:rsidR="00A359A6" w:rsidRPr="00726D52" w:rsidRDefault="00A359A6" w:rsidP="00CB5F2C">
            <w:pPr>
              <w:spacing w:before="120" w:after="120"/>
              <w:jc w:val="center"/>
              <w:rPr>
                <w:b/>
                <w:bCs/>
                <w:noProof/>
              </w:rPr>
            </w:pPr>
            <w:r w:rsidRPr="00726D52">
              <w:rPr>
                <w:b/>
                <w:bCs/>
                <w:noProof/>
              </w:rPr>
              <w:t>Main measure</w:t>
            </w:r>
          </w:p>
        </w:tc>
      </w:tr>
      <w:tr w:rsidR="00A359A6" w:rsidRPr="00726D52" w14:paraId="6D2F5B63" w14:textId="77777777" w:rsidTr="00D550D3">
        <w:tc>
          <w:tcPr>
            <w:tcW w:w="2919" w:type="dxa"/>
            <w:shd w:val="clear" w:color="auto" w:fill="FBD4B4" w:themeFill="accent6" w:themeFillTint="66"/>
            <w:vAlign w:val="center"/>
          </w:tcPr>
          <w:p w14:paraId="352BF1FD" w14:textId="1FE8F61B" w:rsidR="00A359A6" w:rsidRPr="00726D52" w:rsidRDefault="0028604C" w:rsidP="00D550D3">
            <w:pPr>
              <w:jc w:val="center"/>
              <w:rPr>
                <w:noProof/>
              </w:rPr>
            </w:pPr>
            <w:r w:rsidRPr="00726D52">
              <w:rPr>
                <w:noProof/>
              </w:rPr>
              <w:t>Information exchange</w:t>
            </w:r>
          </w:p>
        </w:tc>
        <w:tc>
          <w:tcPr>
            <w:tcW w:w="2919" w:type="dxa"/>
            <w:shd w:val="clear" w:color="auto" w:fill="E5B8B7" w:themeFill="accent2" w:themeFillTint="66"/>
            <w:vAlign w:val="center"/>
          </w:tcPr>
          <w:p w14:paraId="71EF4090" w14:textId="2AFC90E7" w:rsidR="00A359A6" w:rsidRPr="00726D52" w:rsidRDefault="0028604C" w:rsidP="00CB5F2C">
            <w:pPr>
              <w:jc w:val="left"/>
              <w:rPr>
                <w:noProof/>
              </w:rPr>
            </w:pPr>
            <w:r w:rsidRPr="00726D52">
              <w:rPr>
                <w:noProof/>
              </w:rPr>
              <w:t xml:space="preserve">Policy </w:t>
            </w:r>
            <w:r w:rsidR="007218B4" w:rsidRPr="00726D52">
              <w:rPr>
                <w:noProof/>
              </w:rPr>
              <w:t>O</w:t>
            </w:r>
            <w:r w:rsidRPr="00726D52">
              <w:rPr>
                <w:noProof/>
              </w:rPr>
              <w:t>ption 1 (</w:t>
            </w:r>
            <w:r w:rsidR="007218B4" w:rsidRPr="00726D52">
              <w:rPr>
                <w:noProof/>
              </w:rPr>
              <w:t>S</w:t>
            </w:r>
            <w:r w:rsidRPr="00726D52">
              <w:rPr>
                <w:noProof/>
              </w:rPr>
              <w:t>ub policy option 1.1)</w:t>
            </w:r>
          </w:p>
        </w:tc>
        <w:tc>
          <w:tcPr>
            <w:tcW w:w="2920" w:type="dxa"/>
            <w:shd w:val="clear" w:color="auto" w:fill="C6D9F1" w:themeFill="text2" w:themeFillTint="33"/>
            <w:vAlign w:val="center"/>
          </w:tcPr>
          <w:p w14:paraId="028CC35C" w14:textId="66052BCF" w:rsidR="00A359A6" w:rsidRPr="00726D52" w:rsidRDefault="00DF27BD" w:rsidP="00CB5F2C">
            <w:pPr>
              <w:jc w:val="left"/>
              <w:rPr>
                <w:noProof/>
              </w:rPr>
            </w:pPr>
            <w:r w:rsidRPr="00726D52">
              <w:rPr>
                <w:noProof/>
              </w:rPr>
              <w:t>Strengthened data availability, processing and service</w:t>
            </w:r>
          </w:p>
        </w:tc>
      </w:tr>
      <w:tr w:rsidR="00701372" w:rsidRPr="00726D52" w14:paraId="5EB1B27C" w14:textId="77777777" w:rsidTr="00D550D3">
        <w:tc>
          <w:tcPr>
            <w:tcW w:w="2919" w:type="dxa"/>
            <w:shd w:val="clear" w:color="auto" w:fill="FBD4B4" w:themeFill="accent6" w:themeFillTint="66"/>
            <w:vAlign w:val="center"/>
          </w:tcPr>
          <w:p w14:paraId="0AA7AA16" w14:textId="4AA23B33" w:rsidR="00701372" w:rsidRPr="00726D52" w:rsidRDefault="00701372" w:rsidP="00D550D3">
            <w:pPr>
              <w:jc w:val="center"/>
              <w:rPr>
                <w:noProof/>
              </w:rPr>
            </w:pPr>
            <w:r w:rsidRPr="00726D52">
              <w:rPr>
                <w:noProof/>
              </w:rPr>
              <w:t>Information exchange</w:t>
            </w:r>
            <w:r w:rsidR="00B475D0" w:rsidRPr="00726D52">
              <w:rPr>
                <w:noProof/>
              </w:rPr>
              <w:t xml:space="preserve"> and advanced capabilities</w:t>
            </w:r>
          </w:p>
        </w:tc>
        <w:tc>
          <w:tcPr>
            <w:tcW w:w="2919" w:type="dxa"/>
            <w:shd w:val="clear" w:color="auto" w:fill="E5B8B7" w:themeFill="accent2" w:themeFillTint="66"/>
            <w:vAlign w:val="center"/>
          </w:tcPr>
          <w:p w14:paraId="5D34C3F0" w14:textId="3D01DDE0" w:rsidR="00701372" w:rsidRPr="00726D52" w:rsidRDefault="00701372" w:rsidP="00CB5F2C">
            <w:pPr>
              <w:jc w:val="left"/>
              <w:rPr>
                <w:noProof/>
              </w:rPr>
            </w:pPr>
            <w:r w:rsidRPr="00726D52">
              <w:rPr>
                <w:noProof/>
              </w:rPr>
              <w:t xml:space="preserve">Policy </w:t>
            </w:r>
            <w:r w:rsidR="007218B4" w:rsidRPr="00726D52">
              <w:rPr>
                <w:noProof/>
              </w:rPr>
              <w:t>O</w:t>
            </w:r>
            <w:r w:rsidRPr="00726D52">
              <w:rPr>
                <w:noProof/>
              </w:rPr>
              <w:t>ption 2 (</w:t>
            </w:r>
            <w:r w:rsidR="007218B4" w:rsidRPr="00726D52">
              <w:rPr>
                <w:noProof/>
              </w:rPr>
              <w:t>S</w:t>
            </w:r>
            <w:r w:rsidRPr="00726D52">
              <w:rPr>
                <w:noProof/>
              </w:rPr>
              <w:t>ub policy option 2.1)</w:t>
            </w:r>
          </w:p>
        </w:tc>
        <w:tc>
          <w:tcPr>
            <w:tcW w:w="2920" w:type="dxa"/>
            <w:shd w:val="clear" w:color="auto" w:fill="C6D9F1" w:themeFill="text2" w:themeFillTint="33"/>
            <w:vAlign w:val="center"/>
          </w:tcPr>
          <w:p w14:paraId="4C4DC5FF" w14:textId="7D4C3DB7" w:rsidR="00701372" w:rsidRPr="00726D52" w:rsidRDefault="00DF27BD" w:rsidP="00CB5F2C">
            <w:pPr>
              <w:jc w:val="left"/>
              <w:rPr>
                <w:noProof/>
              </w:rPr>
            </w:pPr>
            <w:r w:rsidRPr="00726D52">
              <w:rPr>
                <w:noProof/>
              </w:rPr>
              <w:t>Extension of Europol access to relevant data via the Prüm</w:t>
            </w:r>
            <w:r w:rsidR="007218B4" w:rsidRPr="00726D52">
              <w:rPr>
                <w:noProof/>
              </w:rPr>
              <w:t xml:space="preserve"> II</w:t>
            </w:r>
            <w:r w:rsidRPr="00726D52">
              <w:rPr>
                <w:noProof/>
              </w:rPr>
              <w:t xml:space="preserve"> framework</w:t>
            </w:r>
          </w:p>
        </w:tc>
      </w:tr>
      <w:tr w:rsidR="00701372" w:rsidRPr="00726D52" w14:paraId="1204DEB3" w14:textId="77777777" w:rsidTr="00D550D3">
        <w:tc>
          <w:tcPr>
            <w:tcW w:w="2919" w:type="dxa"/>
            <w:shd w:val="clear" w:color="auto" w:fill="FBD4B4" w:themeFill="accent6" w:themeFillTint="66"/>
            <w:vAlign w:val="center"/>
          </w:tcPr>
          <w:p w14:paraId="4CD1E34C" w14:textId="02FD2938" w:rsidR="00701372" w:rsidRPr="00726D52" w:rsidRDefault="00701372" w:rsidP="00D550D3">
            <w:pPr>
              <w:jc w:val="center"/>
              <w:rPr>
                <w:noProof/>
              </w:rPr>
            </w:pPr>
            <w:r w:rsidRPr="00726D52">
              <w:rPr>
                <w:noProof/>
              </w:rPr>
              <w:t>Information exchange</w:t>
            </w:r>
          </w:p>
        </w:tc>
        <w:tc>
          <w:tcPr>
            <w:tcW w:w="2919" w:type="dxa"/>
            <w:shd w:val="clear" w:color="auto" w:fill="E5B8B7" w:themeFill="accent2" w:themeFillTint="66"/>
            <w:vAlign w:val="center"/>
          </w:tcPr>
          <w:p w14:paraId="2B09AE9B" w14:textId="011E1589" w:rsidR="00701372" w:rsidRPr="00726D52" w:rsidRDefault="00701372" w:rsidP="00CB5F2C">
            <w:pPr>
              <w:jc w:val="left"/>
              <w:rPr>
                <w:noProof/>
              </w:rPr>
            </w:pPr>
            <w:r w:rsidRPr="00726D52">
              <w:rPr>
                <w:noProof/>
              </w:rPr>
              <w:t xml:space="preserve">Policy </w:t>
            </w:r>
            <w:r w:rsidR="007218B4" w:rsidRPr="00726D52">
              <w:rPr>
                <w:noProof/>
              </w:rPr>
              <w:t>O</w:t>
            </w:r>
            <w:r w:rsidRPr="00726D52">
              <w:rPr>
                <w:noProof/>
              </w:rPr>
              <w:t>ption 2 (</w:t>
            </w:r>
            <w:r w:rsidR="007218B4" w:rsidRPr="00726D52">
              <w:rPr>
                <w:noProof/>
              </w:rPr>
              <w:t>S</w:t>
            </w:r>
            <w:r w:rsidRPr="00726D52">
              <w:rPr>
                <w:noProof/>
              </w:rPr>
              <w:t>ub policy option 2.2)</w:t>
            </w:r>
          </w:p>
        </w:tc>
        <w:tc>
          <w:tcPr>
            <w:tcW w:w="2920" w:type="dxa"/>
            <w:shd w:val="clear" w:color="auto" w:fill="C6D9F1" w:themeFill="text2" w:themeFillTint="33"/>
            <w:vAlign w:val="center"/>
          </w:tcPr>
          <w:p w14:paraId="2D7C3B8A" w14:textId="1A2A804F" w:rsidR="00701372" w:rsidRPr="00726D52" w:rsidRDefault="00701372" w:rsidP="00CB5F2C">
            <w:pPr>
              <w:jc w:val="left"/>
              <w:rPr>
                <w:noProof/>
              </w:rPr>
            </w:pPr>
            <w:r w:rsidRPr="00726D52">
              <w:rPr>
                <w:noProof/>
              </w:rPr>
              <w:t xml:space="preserve">Reform of </w:t>
            </w:r>
            <w:r w:rsidR="00BE5DA8" w:rsidRPr="00726D52">
              <w:rPr>
                <w:noProof/>
              </w:rPr>
              <w:t>D</w:t>
            </w:r>
            <w:r w:rsidRPr="00726D52">
              <w:rPr>
                <w:noProof/>
              </w:rPr>
              <w:t xml:space="preserve">ata </w:t>
            </w:r>
            <w:r w:rsidR="00BE5DA8" w:rsidRPr="00726D52">
              <w:rPr>
                <w:noProof/>
              </w:rPr>
              <w:t>S</w:t>
            </w:r>
            <w:r w:rsidRPr="00726D52">
              <w:rPr>
                <w:noProof/>
              </w:rPr>
              <w:t xml:space="preserve">ubject </w:t>
            </w:r>
            <w:r w:rsidR="00BE5DA8" w:rsidRPr="00726D52">
              <w:rPr>
                <w:noProof/>
              </w:rPr>
              <w:t>C</w:t>
            </w:r>
            <w:r w:rsidRPr="00726D52">
              <w:rPr>
                <w:noProof/>
              </w:rPr>
              <w:t xml:space="preserve">ategorisation </w:t>
            </w:r>
          </w:p>
        </w:tc>
      </w:tr>
      <w:tr w:rsidR="00701372" w:rsidRPr="00726D52" w14:paraId="25CF8B6E" w14:textId="77777777" w:rsidTr="00D550D3">
        <w:tc>
          <w:tcPr>
            <w:tcW w:w="2919" w:type="dxa"/>
            <w:shd w:val="clear" w:color="auto" w:fill="FBD4B4" w:themeFill="accent6" w:themeFillTint="66"/>
            <w:vAlign w:val="center"/>
          </w:tcPr>
          <w:p w14:paraId="5FE02A07" w14:textId="1B886C6A" w:rsidR="00701372" w:rsidRPr="00726D52" w:rsidRDefault="00BC2A63" w:rsidP="00D550D3">
            <w:pPr>
              <w:jc w:val="center"/>
              <w:rPr>
                <w:noProof/>
              </w:rPr>
            </w:pPr>
            <w:r w:rsidRPr="00726D52">
              <w:rPr>
                <w:noProof/>
              </w:rPr>
              <w:t>Operational support</w:t>
            </w:r>
          </w:p>
        </w:tc>
        <w:tc>
          <w:tcPr>
            <w:tcW w:w="2919" w:type="dxa"/>
            <w:shd w:val="clear" w:color="auto" w:fill="E5B8B7" w:themeFill="accent2" w:themeFillTint="66"/>
            <w:vAlign w:val="center"/>
          </w:tcPr>
          <w:p w14:paraId="35B946CE" w14:textId="55A8D967" w:rsidR="00701372" w:rsidRPr="00726D52" w:rsidRDefault="00BC2A63" w:rsidP="00CB5F2C">
            <w:pPr>
              <w:jc w:val="left"/>
              <w:rPr>
                <w:noProof/>
              </w:rPr>
            </w:pPr>
            <w:r w:rsidRPr="00726D52">
              <w:rPr>
                <w:noProof/>
              </w:rPr>
              <w:t xml:space="preserve">Policy </w:t>
            </w:r>
            <w:r w:rsidR="007218B4" w:rsidRPr="00726D52">
              <w:rPr>
                <w:noProof/>
              </w:rPr>
              <w:t>O</w:t>
            </w:r>
            <w:r w:rsidRPr="00726D52">
              <w:rPr>
                <w:noProof/>
              </w:rPr>
              <w:t>ption 1 (</w:t>
            </w:r>
            <w:r w:rsidR="007218B4" w:rsidRPr="00726D52">
              <w:rPr>
                <w:noProof/>
              </w:rPr>
              <w:t>S</w:t>
            </w:r>
            <w:r w:rsidRPr="00726D52">
              <w:rPr>
                <w:noProof/>
              </w:rPr>
              <w:t>ub policy option 1.3)</w:t>
            </w:r>
          </w:p>
        </w:tc>
        <w:tc>
          <w:tcPr>
            <w:tcW w:w="2920" w:type="dxa"/>
            <w:shd w:val="clear" w:color="auto" w:fill="C6D9F1" w:themeFill="text2" w:themeFillTint="33"/>
            <w:vAlign w:val="center"/>
          </w:tcPr>
          <w:p w14:paraId="1FDE14C5" w14:textId="1EA34F6C" w:rsidR="00701372" w:rsidRPr="00726D52" w:rsidRDefault="00BC2A63" w:rsidP="00CB5F2C">
            <w:pPr>
              <w:jc w:val="left"/>
              <w:rPr>
                <w:noProof/>
              </w:rPr>
            </w:pPr>
            <w:r w:rsidRPr="00726D52">
              <w:rPr>
                <w:noProof/>
              </w:rPr>
              <w:t xml:space="preserve">Enhanced EU inter-agency cooperation </w:t>
            </w:r>
            <w:r w:rsidR="00DF27BD" w:rsidRPr="00726D52">
              <w:rPr>
                <w:noProof/>
              </w:rPr>
              <w:t>with</w:t>
            </w:r>
            <w:r w:rsidRPr="00726D52">
              <w:rPr>
                <w:noProof/>
              </w:rPr>
              <w:t xml:space="preserve"> Eurojust</w:t>
            </w:r>
            <w:r w:rsidR="00DF27BD" w:rsidRPr="00726D52">
              <w:rPr>
                <w:noProof/>
              </w:rPr>
              <w:t>, AMLA</w:t>
            </w:r>
          </w:p>
        </w:tc>
      </w:tr>
      <w:tr w:rsidR="00E4346D" w:rsidRPr="00726D52" w14:paraId="218A5887" w14:textId="77777777" w:rsidTr="00D550D3">
        <w:tc>
          <w:tcPr>
            <w:tcW w:w="2919" w:type="dxa"/>
            <w:shd w:val="clear" w:color="auto" w:fill="FBD4B4" w:themeFill="accent6" w:themeFillTint="66"/>
            <w:vAlign w:val="center"/>
          </w:tcPr>
          <w:p w14:paraId="2624C7D7" w14:textId="278A8E37" w:rsidR="00E4346D" w:rsidRPr="00726D52" w:rsidRDefault="00E4346D" w:rsidP="00D550D3">
            <w:pPr>
              <w:jc w:val="center"/>
              <w:rPr>
                <w:noProof/>
              </w:rPr>
            </w:pPr>
            <w:r w:rsidRPr="00726D52">
              <w:rPr>
                <w:noProof/>
              </w:rPr>
              <w:t>Operational support</w:t>
            </w:r>
          </w:p>
        </w:tc>
        <w:tc>
          <w:tcPr>
            <w:tcW w:w="2919" w:type="dxa"/>
            <w:shd w:val="clear" w:color="auto" w:fill="E5B8B7" w:themeFill="accent2" w:themeFillTint="66"/>
            <w:vAlign w:val="center"/>
          </w:tcPr>
          <w:p w14:paraId="6C134484" w14:textId="327C0D85" w:rsidR="00E4346D" w:rsidRPr="00726D52" w:rsidRDefault="00CB5F2C" w:rsidP="00CB5F2C">
            <w:pPr>
              <w:jc w:val="left"/>
              <w:rPr>
                <w:noProof/>
              </w:rPr>
            </w:pPr>
            <w:r w:rsidRPr="00726D52">
              <w:rPr>
                <w:noProof/>
              </w:rPr>
              <w:t xml:space="preserve">Policy </w:t>
            </w:r>
            <w:r w:rsidR="007218B4" w:rsidRPr="00726D52">
              <w:rPr>
                <w:noProof/>
              </w:rPr>
              <w:t>O</w:t>
            </w:r>
            <w:r w:rsidRPr="00726D52">
              <w:rPr>
                <w:noProof/>
              </w:rPr>
              <w:t>ption 2 (</w:t>
            </w:r>
            <w:r w:rsidR="007218B4" w:rsidRPr="00726D52">
              <w:rPr>
                <w:noProof/>
              </w:rPr>
              <w:t>S</w:t>
            </w:r>
            <w:r w:rsidRPr="00726D52">
              <w:rPr>
                <w:noProof/>
              </w:rPr>
              <w:t>ub policy option 2.3)</w:t>
            </w:r>
          </w:p>
        </w:tc>
        <w:tc>
          <w:tcPr>
            <w:tcW w:w="2920" w:type="dxa"/>
            <w:shd w:val="clear" w:color="auto" w:fill="C6D9F1" w:themeFill="text2" w:themeFillTint="33"/>
            <w:vAlign w:val="center"/>
          </w:tcPr>
          <w:p w14:paraId="3A386BBF" w14:textId="102099BF" w:rsidR="00E4346D" w:rsidRPr="00726D52" w:rsidRDefault="00E4346D" w:rsidP="00CB5F2C">
            <w:pPr>
              <w:jc w:val="left"/>
              <w:rPr>
                <w:noProof/>
              </w:rPr>
            </w:pPr>
            <w:r w:rsidRPr="00726D52">
              <w:rPr>
                <w:noProof/>
              </w:rPr>
              <w:t>Structural Europol-EPPO partnership</w:t>
            </w:r>
          </w:p>
        </w:tc>
      </w:tr>
      <w:tr w:rsidR="00E4346D" w:rsidRPr="00726D52" w14:paraId="5A890986" w14:textId="77777777" w:rsidTr="00D550D3">
        <w:tc>
          <w:tcPr>
            <w:tcW w:w="2919" w:type="dxa"/>
            <w:shd w:val="clear" w:color="auto" w:fill="FBD4B4" w:themeFill="accent6" w:themeFillTint="66"/>
            <w:vAlign w:val="center"/>
          </w:tcPr>
          <w:p w14:paraId="5372FA39" w14:textId="3621EE28" w:rsidR="00E4346D" w:rsidRPr="00726D52" w:rsidRDefault="00E4346D" w:rsidP="00D550D3">
            <w:pPr>
              <w:jc w:val="center"/>
              <w:rPr>
                <w:noProof/>
              </w:rPr>
            </w:pPr>
            <w:r w:rsidRPr="00726D52">
              <w:rPr>
                <w:noProof/>
              </w:rPr>
              <w:t>Operational support</w:t>
            </w:r>
          </w:p>
        </w:tc>
        <w:tc>
          <w:tcPr>
            <w:tcW w:w="2919" w:type="dxa"/>
            <w:shd w:val="clear" w:color="auto" w:fill="E5B8B7" w:themeFill="accent2" w:themeFillTint="66"/>
            <w:vAlign w:val="center"/>
          </w:tcPr>
          <w:p w14:paraId="7CF64BF9" w14:textId="293C6BE5" w:rsidR="00E4346D" w:rsidRPr="00726D52" w:rsidRDefault="00E4346D" w:rsidP="00CB5F2C">
            <w:pPr>
              <w:jc w:val="left"/>
              <w:rPr>
                <w:noProof/>
              </w:rPr>
            </w:pPr>
            <w:r w:rsidRPr="00726D52">
              <w:rPr>
                <w:noProof/>
              </w:rPr>
              <w:t xml:space="preserve">Policy </w:t>
            </w:r>
            <w:r w:rsidR="007218B4" w:rsidRPr="00726D52">
              <w:rPr>
                <w:noProof/>
              </w:rPr>
              <w:t>O</w:t>
            </w:r>
            <w:r w:rsidRPr="00726D52">
              <w:rPr>
                <w:noProof/>
              </w:rPr>
              <w:t>ption 1 (</w:t>
            </w:r>
            <w:r w:rsidR="007218B4" w:rsidRPr="00726D52">
              <w:rPr>
                <w:noProof/>
              </w:rPr>
              <w:t>S</w:t>
            </w:r>
            <w:r w:rsidRPr="00726D52">
              <w:rPr>
                <w:noProof/>
              </w:rPr>
              <w:t>ub policy option 1.4)</w:t>
            </w:r>
          </w:p>
        </w:tc>
        <w:tc>
          <w:tcPr>
            <w:tcW w:w="2920" w:type="dxa"/>
            <w:shd w:val="clear" w:color="auto" w:fill="C6D9F1" w:themeFill="text2" w:themeFillTint="33"/>
            <w:vAlign w:val="center"/>
          </w:tcPr>
          <w:p w14:paraId="0FCD858C" w14:textId="31F2AE90" w:rsidR="00E4346D" w:rsidRPr="00726D52" w:rsidRDefault="00DF27BD" w:rsidP="00CB5F2C">
            <w:pPr>
              <w:jc w:val="left"/>
              <w:rPr>
                <w:noProof/>
              </w:rPr>
            </w:pPr>
            <w:r w:rsidRPr="00726D52">
              <w:rPr>
                <w:noProof/>
              </w:rPr>
              <w:t>Embedding Europol tools and systems in national investigations</w:t>
            </w:r>
          </w:p>
        </w:tc>
      </w:tr>
      <w:tr w:rsidR="00E4346D" w:rsidRPr="00726D52" w14:paraId="77E84639" w14:textId="77777777" w:rsidTr="00D550D3">
        <w:tc>
          <w:tcPr>
            <w:tcW w:w="2919" w:type="dxa"/>
            <w:shd w:val="clear" w:color="auto" w:fill="FBD4B4" w:themeFill="accent6" w:themeFillTint="66"/>
            <w:vAlign w:val="center"/>
          </w:tcPr>
          <w:p w14:paraId="53AB3BB4" w14:textId="65DEEAF1" w:rsidR="00E4346D" w:rsidRPr="00726D52" w:rsidRDefault="00E4346D" w:rsidP="00D550D3">
            <w:pPr>
              <w:jc w:val="center"/>
              <w:rPr>
                <w:noProof/>
              </w:rPr>
            </w:pPr>
            <w:r w:rsidRPr="00726D52">
              <w:rPr>
                <w:noProof/>
              </w:rPr>
              <w:t>Operational support</w:t>
            </w:r>
            <w:r w:rsidR="00B475D0" w:rsidRPr="00726D52">
              <w:rPr>
                <w:noProof/>
              </w:rPr>
              <w:t xml:space="preserve"> and advanced capabilities</w:t>
            </w:r>
          </w:p>
        </w:tc>
        <w:tc>
          <w:tcPr>
            <w:tcW w:w="2919" w:type="dxa"/>
            <w:shd w:val="clear" w:color="auto" w:fill="E5B8B7" w:themeFill="accent2" w:themeFillTint="66"/>
            <w:vAlign w:val="center"/>
          </w:tcPr>
          <w:p w14:paraId="6B1E466C" w14:textId="4DED46C4" w:rsidR="00E4346D" w:rsidRPr="00726D52" w:rsidRDefault="00E4346D" w:rsidP="00CB5F2C">
            <w:pPr>
              <w:jc w:val="left"/>
              <w:rPr>
                <w:noProof/>
              </w:rPr>
            </w:pPr>
            <w:r w:rsidRPr="00726D52">
              <w:rPr>
                <w:noProof/>
              </w:rPr>
              <w:t xml:space="preserve">Policy </w:t>
            </w:r>
            <w:r w:rsidR="007218B4" w:rsidRPr="00726D52">
              <w:rPr>
                <w:noProof/>
              </w:rPr>
              <w:t>O</w:t>
            </w:r>
            <w:r w:rsidRPr="00726D52">
              <w:rPr>
                <w:noProof/>
              </w:rPr>
              <w:t>ption 2 (</w:t>
            </w:r>
            <w:r w:rsidR="007218B4" w:rsidRPr="00726D52">
              <w:rPr>
                <w:noProof/>
              </w:rPr>
              <w:t>S</w:t>
            </w:r>
            <w:r w:rsidRPr="00726D52">
              <w:rPr>
                <w:noProof/>
              </w:rPr>
              <w:t>ub policy option 2.4)</w:t>
            </w:r>
          </w:p>
        </w:tc>
        <w:tc>
          <w:tcPr>
            <w:tcW w:w="2920" w:type="dxa"/>
            <w:shd w:val="clear" w:color="auto" w:fill="C6D9F1" w:themeFill="text2" w:themeFillTint="33"/>
            <w:vAlign w:val="center"/>
          </w:tcPr>
          <w:p w14:paraId="03809BDE" w14:textId="70C764DB" w:rsidR="00E4346D" w:rsidRPr="00726D52" w:rsidRDefault="0005542C" w:rsidP="00CB5F2C">
            <w:pPr>
              <w:jc w:val="left"/>
              <w:rPr>
                <w:noProof/>
              </w:rPr>
            </w:pPr>
            <w:r w:rsidRPr="00726D52">
              <w:rPr>
                <w:noProof/>
              </w:rPr>
              <w:t>Operational integration of Europol into national investigations (EU C</w:t>
            </w:r>
            <w:r w:rsidR="00DF27BD" w:rsidRPr="00726D52">
              <w:rPr>
                <w:noProof/>
              </w:rPr>
              <w:t>loud, Europol support offices</w:t>
            </w:r>
            <w:r w:rsidRPr="00726D52">
              <w:rPr>
                <w:noProof/>
              </w:rPr>
              <w:t>)</w:t>
            </w:r>
          </w:p>
        </w:tc>
      </w:tr>
    </w:tbl>
    <w:p w14:paraId="3E49B319" w14:textId="6E99BEB7" w:rsidR="006C0FA8" w:rsidRPr="00726D52" w:rsidRDefault="008652C3" w:rsidP="00CB5F2C">
      <w:pPr>
        <w:spacing w:before="240"/>
        <w:rPr>
          <w:noProof/>
        </w:rPr>
      </w:pPr>
      <w:r w:rsidRPr="00726D52">
        <w:rPr>
          <w:noProof/>
        </w:rPr>
        <w:t xml:space="preserve">Taken together, these measures form a </w:t>
      </w:r>
      <w:r w:rsidRPr="00726D52">
        <w:rPr>
          <w:b/>
          <w:noProof/>
        </w:rPr>
        <w:t>coherent and mutually reinforcing reform</w:t>
      </w:r>
      <w:r w:rsidRPr="00726D52">
        <w:rPr>
          <w:noProof/>
        </w:rPr>
        <w:t xml:space="preserve"> of the EU law enforcement information architecture.</w:t>
      </w:r>
    </w:p>
    <w:p w14:paraId="36F22CFB" w14:textId="78D9DB82" w:rsidR="00836F8E" w:rsidRPr="00726D52" w:rsidRDefault="00836F8E" w:rsidP="004372E3">
      <w:pPr>
        <w:pStyle w:val="Heading3"/>
        <w:numPr>
          <w:ilvl w:val="0"/>
          <w:numId w:val="0"/>
        </w:numPr>
        <w:rPr>
          <w:b/>
          <w:bCs/>
          <w:i w:val="0"/>
          <w:noProof/>
          <w:sz w:val="27"/>
          <w:szCs w:val="27"/>
        </w:rPr>
      </w:pPr>
      <w:r w:rsidRPr="00726D52">
        <w:rPr>
          <w:b/>
          <w:bCs/>
          <w:i w:val="0"/>
          <w:noProof/>
        </w:rPr>
        <w:lastRenderedPageBreak/>
        <w:t>Options not retained</w:t>
      </w:r>
    </w:p>
    <w:p w14:paraId="1922B0D0" w14:textId="51E15B90" w:rsidR="00836F8E" w:rsidRPr="00726D52" w:rsidRDefault="00836F8E" w:rsidP="00EE7508">
      <w:pPr>
        <w:pStyle w:val="NormalWeb"/>
        <w:spacing w:before="0" w:beforeAutospacing="0" w:after="240" w:afterAutospacing="0"/>
        <w:jc w:val="both"/>
        <w:rPr>
          <w:noProof/>
          <w:lang w:val="en-GB"/>
        </w:rPr>
      </w:pPr>
      <w:r w:rsidRPr="00726D52">
        <w:rPr>
          <w:noProof/>
          <w:lang w:val="en-GB"/>
        </w:rPr>
        <w:t xml:space="preserve">Several elements considered during the assessment were not retained in the preferred package. </w:t>
      </w:r>
      <w:r w:rsidR="00712FA9" w:rsidRPr="00726D52">
        <w:rPr>
          <w:noProof/>
          <w:lang w:val="en-GB"/>
        </w:rPr>
        <w:t xml:space="preserve">In particular, </w:t>
      </w:r>
      <w:r w:rsidR="007A1B1F" w:rsidRPr="00726D52">
        <w:rPr>
          <w:b/>
          <w:bCs/>
          <w:noProof/>
          <w:lang w:val="en-GB"/>
        </w:rPr>
        <w:t>S</w:t>
      </w:r>
      <w:r w:rsidR="001E52CB" w:rsidRPr="00726D52">
        <w:rPr>
          <w:b/>
          <w:bCs/>
          <w:noProof/>
          <w:lang w:val="en-GB"/>
        </w:rPr>
        <w:t>ub p</w:t>
      </w:r>
      <w:r w:rsidR="00031334" w:rsidRPr="00726D52">
        <w:rPr>
          <w:b/>
          <w:bCs/>
          <w:noProof/>
          <w:lang w:val="en-GB"/>
        </w:rPr>
        <w:t xml:space="preserve">olicy </w:t>
      </w:r>
      <w:r w:rsidR="007A1B1F" w:rsidRPr="00726D52">
        <w:rPr>
          <w:b/>
          <w:bCs/>
          <w:noProof/>
          <w:lang w:val="en-GB"/>
        </w:rPr>
        <w:t>o</w:t>
      </w:r>
      <w:r w:rsidR="00031334" w:rsidRPr="00726D52">
        <w:rPr>
          <w:b/>
          <w:bCs/>
          <w:noProof/>
          <w:lang w:val="en-GB"/>
        </w:rPr>
        <w:t>ption 1.2 was not retained</w:t>
      </w:r>
      <w:r w:rsidR="00031334" w:rsidRPr="00726D52">
        <w:rPr>
          <w:noProof/>
          <w:lang w:val="en-GB"/>
        </w:rPr>
        <w:t>, as the targeted improvements in data availability and automation provided under</w:t>
      </w:r>
      <w:r w:rsidR="001E52CB" w:rsidRPr="00726D52">
        <w:rPr>
          <w:noProof/>
          <w:lang w:val="en-GB"/>
        </w:rPr>
        <w:t xml:space="preserve"> </w:t>
      </w:r>
      <w:r w:rsidR="007A1B1F" w:rsidRPr="00726D52">
        <w:rPr>
          <w:noProof/>
          <w:lang w:val="en-GB"/>
        </w:rPr>
        <w:t>S</w:t>
      </w:r>
      <w:r w:rsidR="001E52CB" w:rsidRPr="00726D52">
        <w:rPr>
          <w:noProof/>
          <w:lang w:val="en-GB"/>
        </w:rPr>
        <w:t>ub</w:t>
      </w:r>
      <w:r w:rsidR="00031334" w:rsidRPr="00726D52">
        <w:rPr>
          <w:noProof/>
          <w:lang w:val="en-GB"/>
        </w:rPr>
        <w:t xml:space="preserve"> </w:t>
      </w:r>
      <w:r w:rsidR="001E52CB" w:rsidRPr="00726D52">
        <w:rPr>
          <w:noProof/>
          <w:lang w:val="en-GB"/>
        </w:rPr>
        <w:t>p</w:t>
      </w:r>
      <w:r w:rsidR="00031334" w:rsidRPr="00726D52">
        <w:rPr>
          <w:noProof/>
          <w:lang w:val="en-GB"/>
        </w:rPr>
        <w:t xml:space="preserve">olicy </w:t>
      </w:r>
      <w:r w:rsidR="007A1B1F" w:rsidRPr="00726D52">
        <w:rPr>
          <w:noProof/>
          <w:lang w:val="en-GB"/>
        </w:rPr>
        <w:t>o</w:t>
      </w:r>
      <w:r w:rsidR="00031334" w:rsidRPr="00726D52">
        <w:rPr>
          <w:noProof/>
          <w:lang w:val="en-GB"/>
        </w:rPr>
        <w:t xml:space="preserve">ptions 1.1, 1.4 and 2.4, </w:t>
      </w:r>
      <w:r w:rsidR="00031334" w:rsidRPr="00726D52">
        <w:rPr>
          <w:b/>
          <w:bCs/>
          <w:noProof/>
          <w:lang w:val="en-GB"/>
        </w:rPr>
        <w:t xml:space="preserve">combined with the structural reform of data subject categorisation introduced under </w:t>
      </w:r>
      <w:r w:rsidR="007A1B1F" w:rsidRPr="00726D52">
        <w:rPr>
          <w:b/>
          <w:bCs/>
          <w:noProof/>
          <w:lang w:val="en-GB"/>
        </w:rPr>
        <w:t>S</w:t>
      </w:r>
      <w:r w:rsidR="001E52CB" w:rsidRPr="00726D52">
        <w:rPr>
          <w:b/>
          <w:bCs/>
          <w:noProof/>
          <w:lang w:val="en-GB"/>
        </w:rPr>
        <w:t>ub p</w:t>
      </w:r>
      <w:r w:rsidR="00031334" w:rsidRPr="00726D52">
        <w:rPr>
          <w:b/>
          <w:bCs/>
          <w:noProof/>
          <w:lang w:val="en-GB"/>
        </w:rPr>
        <w:t xml:space="preserve">olicy </w:t>
      </w:r>
      <w:r w:rsidR="007A1B1F" w:rsidRPr="00726D52">
        <w:rPr>
          <w:b/>
          <w:bCs/>
          <w:noProof/>
          <w:lang w:val="en-GB"/>
        </w:rPr>
        <w:t>o</w:t>
      </w:r>
      <w:r w:rsidR="00031334" w:rsidRPr="00726D52">
        <w:rPr>
          <w:b/>
          <w:bCs/>
          <w:noProof/>
          <w:lang w:val="en-GB"/>
        </w:rPr>
        <w:t>ption 2.2</w:t>
      </w:r>
      <w:r w:rsidR="00031334" w:rsidRPr="00726D52">
        <w:rPr>
          <w:noProof/>
          <w:lang w:val="en-GB"/>
        </w:rPr>
        <w:t>, provide a more effective and coherent framework for operational data processing</w:t>
      </w:r>
      <w:r w:rsidR="00712FA9" w:rsidRPr="00726D52">
        <w:rPr>
          <w:noProof/>
          <w:lang w:val="en-GB"/>
        </w:rPr>
        <w:t>.</w:t>
      </w:r>
      <w:r w:rsidR="0079424C" w:rsidRPr="00726D52">
        <w:rPr>
          <w:noProof/>
          <w:lang w:val="en-GB"/>
        </w:rPr>
        <w:t xml:space="preserve"> At the same, </w:t>
      </w:r>
      <w:r w:rsidR="00B129C7" w:rsidRPr="00726D52">
        <w:rPr>
          <w:b/>
          <w:bCs/>
          <w:noProof/>
          <w:lang w:val="en-GB"/>
        </w:rPr>
        <w:t>S</w:t>
      </w:r>
      <w:r w:rsidR="0079424C" w:rsidRPr="00726D52">
        <w:rPr>
          <w:b/>
          <w:bCs/>
          <w:noProof/>
          <w:lang w:val="en-GB"/>
        </w:rPr>
        <w:t>ub policy option 1.3</w:t>
      </w:r>
      <w:r w:rsidR="0079424C" w:rsidRPr="00726D52">
        <w:rPr>
          <w:noProof/>
          <w:lang w:val="en-GB"/>
        </w:rPr>
        <w:t xml:space="preserve"> is also not retained because </w:t>
      </w:r>
      <w:r w:rsidR="00505051" w:rsidRPr="00726D52">
        <w:rPr>
          <w:noProof/>
          <w:lang w:val="en-GB"/>
        </w:rPr>
        <w:t>exploiting</w:t>
      </w:r>
      <w:r w:rsidR="00EC2F15" w:rsidRPr="00726D52">
        <w:rPr>
          <w:noProof/>
          <w:lang w:val="en-GB"/>
        </w:rPr>
        <w:t xml:space="preserve"> the full potential between Europol and the EPPO </w:t>
      </w:r>
      <w:r w:rsidR="00B23DC4" w:rsidRPr="00726D52">
        <w:rPr>
          <w:noProof/>
          <w:lang w:val="en-GB"/>
        </w:rPr>
        <w:t>requires</w:t>
      </w:r>
      <w:r w:rsidR="00EC2F15" w:rsidRPr="00726D52">
        <w:rPr>
          <w:noProof/>
          <w:lang w:val="en-GB"/>
        </w:rPr>
        <w:t xml:space="preserve"> </w:t>
      </w:r>
      <w:r w:rsidR="00505051" w:rsidRPr="00726D52">
        <w:rPr>
          <w:noProof/>
          <w:lang w:val="en-GB"/>
        </w:rPr>
        <w:t>substantial</w:t>
      </w:r>
      <w:r w:rsidR="00EC2F15" w:rsidRPr="00726D52">
        <w:rPr>
          <w:noProof/>
          <w:lang w:val="en-GB"/>
        </w:rPr>
        <w:t xml:space="preserve"> </w:t>
      </w:r>
      <w:r w:rsidR="00505051" w:rsidRPr="00726D52">
        <w:rPr>
          <w:noProof/>
          <w:lang w:val="en-GB"/>
        </w:rPr>
        <w:t>reinforcements</w:t>
      </w:r>
      <w:r w:rsidR="00EC2F15" w:rsidRPr="00726D52">
        <w:rPr>
          <w:noProof/>
          <w:lang w:val="en-GB"/>
        </w:rPr>
        <w:t>.</w:t>
      </w:r>
    </w:p>
    <w:p w14:paraId="47272EF1" w14:textId="619D19AB" w:rsidR="003B173D" w:rsidRPr="00726D52" w:rsidRDefault="003B173D" w:rsidP="006C0FA8">
      <w:pPr>
        <w:rPr>
          <w:b/>
          <w:bCs/>
          <w:noProof/>
        </w:rPr>
      </w:pPr>
      <w:r w:rsidRPr="00726D52">
        <w:rPr>
          <w:b/>
          <w:bCs/>
          <w:noProof/>
        </w:rPr>
        <w:t>8.1. Impacts of the preferred option</w:t>
      </w:r>
    </w:p>
    <w:p w14:paraId="72165E93" w14:textId="610CD205" w:rsidR="0053171D" w:rsidRPr="00726D52" w:rsidRDefault="0053171D" w:rsidP="058198BE">
      <w:pPr>
        <w:pStyle w:val="Heading3"/>
        <w:numPr>
          <w:ilvl w:val="0"/>
          <w:numId w:val="0"/>
        </w:numPr>
        <w:rPr>
          <w:bCs/>
          <w:i w:val="0"/>
          <w:noProof/>
          <w:sz w:val="27"/>
          <w:szCs w:val="27"/>
          <w:u w:val="single"/>
        </w:rPr>
      </w:pPr>
      <w:r w:rsidRPr="00726D52">
        <w:rPr>
          <w:bCs/>
          <w:i w:val="0"/>
          <w:noProof/>
          <w:u w:val="single"/>
        </w:rPr>
        <w:t>Cumulative impact of the preferred package</w:t>
      </w:r>
    </w:p>
    <w:p w14:paraId="386C29EE" w14:textId="06778069" w:rsidR="00F4224E" w:rsidRPr="00726D52" w:rsidRDefault="00F4224E" w:rsidP="00F4224E">
      <w:pPr>
        <w:pStyle w:val="NormalWeb"/>
        <w:spacing w:before="0" w:beforeAutospacing="0" w:after="120" w:afterAutospacing="0"/>
        <w:jc w:val="both"/>
        <w:rPr>
          <w:noProof/>
          <w:lang w:val="en-GB"/>
        </w:rPr>
      </w:pPr>
      <w:r w:rsidRPr="00726D52">
        <w:rPr>
          <w:noProof/>
          <w:lang w:val="en-GB"/>
        </w:rPr>
        <w:t xml:space="preserve">The preferred package generates cumulative impacts by combining measures that address </w:t>
      </w:r>
      <w:r w:rsidRPr="00726D52">
        <w:rPr>
          <w:b/>
          <w:bCs/>
          <w:noProof/>
          <w:lang w:val="en-GB"/>
        </w:rPr>
        <w:t>different but interrelated drivers of the problem</w:t>
      </w:r>
      <w:r w:rsidRPr="00726D52">
        <w:rPr>
          <w:noProof/>
          <w:lang w:val="en-GB"/>
        </w:rPr>
        <w:t>. Taken together, these measures strengthen Europol’s ability to combat cross-border crime more effectively than any individual measure alone.</w:t>
      </w:r>
    </w:p>
    <w:p w14:paraId="1F255800" w14:textId="700A6670" w:rsidR="003553A2" w:rsidRPr="00726D52" w:rsidRDefault="003553A2" w:rsidP="00F4224E">
      <w:pPr>
        <w:pStyle w:val="NormalWeb"/>
        <w:spacing w:before="0" w:beforeAutospacing="0" w:after="120" w:afterAutospacing="0"/>
        <w:jc w:val="both"/>
        <w:rPr>
          <w:noProof/>
          <w:lang w:val="en-GB"/>
        </w:rPr>
      </w:pPr>
      <w:r w:rsidRPr="00726D52">
        <w:rPr>
          <w:noProof/>
          <w:lang w:val="en-GB"/>
        </w:rPr>
        <w:t>First, improvements in data availability and usability (</w:t>
      </w:r>
      <w:r w:rsidR="00B129C7" w:rsidRPr="00726D52">
        <w:rPr>
          <w:noProof/>
          <w:lang w:val="en-GB"/>
        </w:rPr>
        <w:t>Sub policy o</w:t>
      </w:r>
      <w:r w:rsidRPr="00726D52">
        <w:rPr>
          <w:noProof/>
          <w:lang w:val="en-GB"/>
        </w:rPr>
        <w:t xml:space="preserve">ptions 1.1, 2.1, 2.2 and 1.4) enhance Europol’s capacity to receive, process and analyse operational information. This </w:t>
      </w:r>
      <w:r w:rsidRPr="00726D52">
        <w:rPr>
          <w:b/>
          <w:bCs/>
          <w:noProof/>
          <w:lang w:val="en-GB"/>
        </w:rPr>
        <w:t>strengthens the analytical basis for cross-border investigations</w:t>
      </w:r>
      <w:r w:rsidRPr="00726D52">
        <w:rPr>
          <w:noProof/>
          <w:lang w:val="en-GB"/>
        </w:rPr>
        <w:t xml:space="preserve"> and improves the quality and timeliness of</w:t>
      </w:r>
      <w:r w:rsidR="006A36FE" w:rsidRPr="00726D52">
        <w:rPr>
          <w:noProof/>
          <w:lang w:val="en-GB"/>
        </w:rPr>
        <w:t xml:space="preserve"> criminal</w:t>
      </w:r>
      <w:r w:rsidRPr="00726D52">
        <w:rPr>
          <w:noProof/>
          <w:lang w:val="en-GB"/>
        </w:rPr>
        <w:t xml:space="preserve"> intelligence products provided to Member States.</w:t>
      </w:r>
    </w:p>
    <w:p w14:paraId="03538121" w14:textId="4419779C" w:rsidR="006A36FE" w:rsidRPr="00726D52" w:rsidRDefault="006A36FE" w:rsidP="00F4224E">
      <w:pPr>
        <w:pStyle w:val="NormalWeb"/>
        <w:spacing w:before="0" w:beforeAutospacing="0" w:after="120" w:afterAutospacing="0"/>
        <w:jc w:val="both"/>
        <w:rPr>
          <w:noProof/>
          <w:lang w:val="en-GB"/>
        </w:rPr>
      </w:pPr>
      <w:r w:rsidRPr="00726D52">
        <w:rPr>
          <w:noProof/>
          <w:lang w:val="en-GB"/>
        </w:rPr>
        <w:t>Second, reinforced cooperation with EU actors, notably Eurojust and the</w:t>
      </w:r>
      <w:r w:rsidR="00253B48" w:rsidRPr="00726D52">
        <w:rPr>
          <w:noProof/>
          <w:lang w:val="en-GB"/>
        </w:rPr>
        <w:t xml:space="preserve"> EPPO </w:t>
      </w:r>
      <w:r w:rsidRPr="00726D52">
        <w:rPr>
          <w:noProof/>
          <w:lang w:val="en-GB"/>
        </w:rPr>
        <w:t>(</w:t>
      </w:r>
      <w:r w:rsidR="00253B48" w:rsidRPr="00726D52">
        <w:rPr>
          <w:noProof/>
          <w:lang w:val="en-GB"/>
        </w:rPr>
        <w:t>S</w:t>
      </w:r>
      <w:r w:rsidR="005E48ED" w:rsidRPr="00726D52">
        <w:rPr>
          <w:noProof/>
          <w:lang w:val="en-GB"/>
        </w:rPr>
        <w:t xml:space="preserve">ub </w:t>
      </w:r>
      <w:r w:rsidR="00253B48" w:rsidRPr="00726D52">
        <w:rPr>
          <w:noProof/>
          <w:lang w:val="en-GB"/>
        </w:rPr>
        <w:t xml:space="preserve">policy </w:t>
      </w:r>
      <w:r w:rsidR="005E48ED" w:rsidRPr="00726D52">
        <w:rPr>
          <w:noProof/>
          <w:lang w:val="en-GB"/>
        </w:rPr>
        <w:t>o</w:t>
      </w:r>
      <w:r w:rsidRPr="00726D52">
        <w:rPr>
          <w:noProof/>
          <w:lang w:val="en-GB"/>
        </w:rPr>
        <w:t xml:space="preserve">ptions 1.3 and 2.3), improves </w:t>
      </w:r>
      <w:r w:rsidRPr="00726D52">
        <w:rPr>
          <w:b/>
          <w:bCs/>
          <w:noProof/>
          <w:lang w:val="en-GB"/>
        </w:rPr>
        <w:t>the coordination between operational and prosecutorial support at EU level</w:t>
      </w:r>
      <w:r w:rsidRPr="00726D52">
        <w:rPr>
          <w:noProof/>
          <w:lang w:val="en-GB"/>
        </w:rPr>
        <w:t>. This facilitates more effective follow-up of operational criminal intelligence and strengthens the overall EU response to serious and organised crime.</w:t>
      </w:r>
    </w:p>
    <w:p w14:paraId="7410D24F" w14:textId="6B0FA0D8" w:rsidR="00830A73" w:rsidRPr="00726D52" w:rsidRDefault="00482E3C" w:rsidP="00830A73">
      <w:pPr>
        <w:pStyle w:val="NormalWeb"/>
        <w:spacing w:before="0" w:beforeAutospacing="0" w:after="120" w:afterAutospacing="0"/>
        <w:jc w:val="both"/>
        <w:rPr>
          <w:noProof/>
          <w:lang w:val="en-GB"/>
        </w:rPr>
      </w:pPr>
      <w:r w:rsidRPr="00726D52">
        <w:rPr>
          <w:noProof/>
          <w:lang w:val="en-GB"/>
        </w:rPr>
        <w:t>Finally, the EU Police Cloud and related operational integration measures, including Europol support offices (</w:t>
      </w:r>
      <w:r w:rsidR="00253B48" w:rsidRPr="00726D52">
        <w:rPr>
          <w:noProof/>
          <w:lang w:val="en-GB"/>
        </w:rPr>
        <w:t>S</w:t>
      </w:r>
      <w:r w:rsidRPr="00726D52">
        <w:rPr>
          <w:noProof/>
          <w:lang w:val="en-GB"/>
        </w:rPr>
        <w:t>ub</w:t>
      </w:r>
      <w:r w:rsidR="00253B48" w:rsidRPr="00726D52">
        <w:rPr>
          <w:noProof/>
          <w:lang w:val="en-GB"/>
        </w:rPr>
        <w:t xml:space="preserve"> policy </w:t>
      </w:r>
      <w:r w:rsidRPr="00726D52">
        <w:rPr>
          <w:noProof/>
          <w:lang w:val="en-GB"/>
        </w:rPr>
        <w:t xml:space="preserve">option 2.4), provide the </w:t>
      </w:r>
      <w:r w:rsidRPr="00726D52">
        <w:rPr>
          <w:b/>
          <w:bCs/>
          <w:noProof/>
          <w:lang w:val="en-GB"/>
        </w:rPr>
        <w:t>scalable digital and operational infrastructure</w:t>
      </w:r>
      <w:r w:rsidRPr="00726D52">
        <w:rPr>
          <w:noProof/>
          <w:lang w:val="en-GB"/>
        </w:rPr>
        <w:t xml:space="preserve"> needed to support more advanced data analysis and closer day-to-day operational cooperation between Europol and national authorities, including in support of ongoing investigations.</w:t>
      </w:r>
    </w:p>
    <w:p w14:paraId="35A35BCD" w14:textId="4E9F7FA4" w:rsidR="0053171D" w:rsidRPr="00726D52" w:rsidRDefault="005E48ED" w:rsidP="00C765B2">
      <w:pPr>
        <w:pStyle w:val="NormalWeb"/>
        <w:spacing w:before="0" w:beforeAutospacing="0" w:after="240" w:afterAutospacing="0"/>
        <w:jc w:val="both"/>
        <w:rPr>
          <w:noProof/>
          <w:lang w:val="en-GB"/>
        </w:rPr>
      </w:pPr>
      <w:r w:rsidRPr="00726D52">
        <w:rPr>
          <w:noProof/>
          <w:lang w:val="en-GB"/>
        </w:rPr>
        <w:t>By combining these elements, the preferred package improves the flow of information, strengthens operational coordination and provides the technical capabilities needed to support more integrated EU law enforcement cooperation</w:t>
      </w:r>
      <w:r w:rsidR="0053171D" w:rsidRPr="00726D52">
        <w:rPr>
          <w:noProof/>
          <w:lang w:val="en-GB"/>
        </w:rPr>
        <w:t>.</w:t>
      </w:r>
    </w:p>
    <w:p w14:paraId="4A01F6AD" w14:textId="13D0AE90" w:rsidR="00A70585" w:rsidRPr="00726D52" w:rsidRDefault="003B03D1" w:rsidP="00BC69E3">
      <w:pPr>
        <w:rPr>
          <w:b/>
          <w:bCs/>
          <w:noProof/>
          <w:u w:val="single"/>
        </w:rPr>
      </w:pPr>
      <w:r w:rsidRPr="00726D52">
        <w:rPr>
          <w:b/>
          <w:bCs/>
          <w:noProof/>
          <w:u w:val="single"/>
        </w:rPr>
        <w:t xml:space="preserve">8.1.1 </w:t>
      </w:r>
      <w:r w:rsidR="00A70585" w:rsidRPr="00726D52">
        <w:rPr>
          <w:b/>
          <w:bCs/>
          <w:noProof/>
          <w:u w:val="single"/>
        </w:rPr>
        <w:t>Financial impacts (+)</w:t>
      </w:r>
    </w:p>
    <w:p w14:paraId="35230039" w14:textId="3BE7F387" w:rsidR="00BC69E3" w:rsidRPr="00726D52" w:rsidRDefault="00BC69E3" w:rsidP="00BC69E3">
      <w:pPr>
        <w:rPr>
          <w:noProof/>
        </w:rPr>
      </w:pPr>
      <w:r w:rsidRPr="00726D52">
        <w:rPr>
          <w:noProof/>
        </w:rPr>
        <w:t>The preferred package entails cumulative investments at both Member State and EU level while generating important efficiencies through synergies between the selected measures.</w:t>
      </w:r>
    </w:p>
    <w:p w14:paraId="7EDE81D2" w14:textId="7CB4AE74" w:rsidR="00F34FCC" w:rsidRPr="00726D52" w:rsidRDefault="00BC69E3" w:rsidP="00BC69E3">
      <w:pPr>
        <w:rPr>
          <w:noProof/>
        </w:rPr>
      </w:pPr>
      <w:r w:rsidRPr="00726D52">
        <w:rPr>
          <w:noProof/>
        </w:rPr>
        <w:t xml:space="preserve">In particular, overlaps between </w:t>
      </w:r>
      <w:r w:rsidR="009330F1" w:rsidRPr="00726D52">
        <w:rPr>
          <w:noProof/>
        </w:rPr>
        <w:t>S</w:t>
      </w:r>
      <w:r w:rsidR="006444D6" w:rsidRPr="00726D52">
        <w:rPr>
          <w:noProof/>
        </w:rPr>
        <w:t>ub p</w:t>
      </w:r>
      <w:r w:rsidRPr="00726D52">
        <w:rPr>
          <w:noProof/>
        </w:rPr>
        <w:t xml:space="preserve">olicy </w:t>
      </w:r>
      <w:r w:rsidR="006444D6" w:rsidRPr="00726D52">
        <w:rPr>
          <w:noProof/>
        </w:rPr>
        <w:t>o</w:t>
      </w:r>
      <w:r w:rsidRPr="00726D52">
        <w:rPr>
          <w:noProof/>
        </w:rPr>
        <w:t xml:space="preserve">ptions 1.1 and 1.4 generate </w:t>
      </w:r>
      <w:r w:rsidRPr="00726D52">
        <w:rPr>
          <w:b/>
          <w:bCs/>
          <w:noProof/>
        </w:rPr>
        <w:t>economies of scale</w:t>
      </w:r>
      <w:r w:rsidR="00F34FCC" w:rsidRPr="00726D52">
        <w:rPr>
          <w:b/>
          <w:bCs/>
          <w:noProof/>
        </w:rPr>
        <w:t xml:space="preserve">. </w:t>
      </w:r>
      <w:r w:rsidR="00F34FCC" w:rsidRPr="00726D52">
        <w:rPr>
          <w:noProof/>
        </w:rPr>
        <w:t xml:space="preserve">As some infrastructure and implementation costs are shared, the combined implementation reduces costs by an estimated </w:t>
      </w:r>
      <w:r w:rsidR="00F34FCC" w:rsidRPr="00726D52">
        <w:rPr>
          <w:b/>
          <w:bCs/>
          <w:noProof/>
        </w:rPr>
        <w:t>EUR 30 million</w:t>
      </w:r>
      <w:r w:rsidR="00F34FCC" w:rsidRPr="00726D52">
        <w:rPr>
          <w:noProof/>
        </w:rPr>
        <w:t xml:space="preserve"> in one-off expenditure and </w:t>
      </w:r>
      <w:r w:rsidR="00F34FCC" w:rsidRPr="00726D52">
        <w:rPr>
          <w:b/>
          <w:bCs/>
          <w:noProof/>
        </w:rPr>
        <w:t xml:space="preserve">EUR </w:t>
      </w:r>
      <w:r w:rsidR="00795688" w:rsidRPr="00726D52">
        <w:rPr>
          <w:b/>
          <w:bCs/>
          <w:noProof/>
        </w:rPr>
        <w:t xml:space="preserve">6 </w:t>
      </w:r>
      <w:r w:rsidR="00F34FCC" w:rsidRPr="00726D52">
        <w:rPr>
          <w:b/>
          <w:bCs/>
          <w:noProof/>
        </w:rPr>
        <w:t xml:space="preserve">million in recurring </w:t>
      </w:r>
      <w:r w:rsidR="006A7B09" w:rsidRPr="00726D52">
        <w:rPr>
          <w:b/>
          <w:bCs/>
          <w:noProof/>
        </w:rPr>
        <w:t xml:space="preserve">annual </w:t>
      </w:r>
      <w:r w:rsidR="00F34FCC" w:rsidRPr="00726D52">
        <w:rPr>
          <w:b/>
          <w:bCs/>
          <w:noProof/>
        </w:rPr>
        <w:t>costs</w:t>
      </w:r>
      <w:r w:rsidR="00F34FCC" w:rsidRPr="00726D52">
        <w:rPr>
          <w:noProof/>
        </w:rPr>
        <w:t xml:space="preserve"> </w:t>
      </w:r>
      <w:r w:rsidR="000756A6" w:rsidRPr="00726D52">
        <w:rPr>
          <w:noProof/>
        </w:rPr>
        <w:t xml:space="preserve">(corresponding to approximately EUR 42 </w:t>
      </w:r>
      <w:r w:rsidR="000756A6" w:rsidRPr="00726D52">
        <w:rPr>
          <w:noProof/>
        </w:rPr>
        <w:lastRenderedPageBreak/>
        <w:t xml:space="preserve">million over the 2028–2034 MFF period) </w:t>
      </w:r>
      <w:r w:rsidR="00F34FCC" w:rsidRPr="00726D52">
        <w:rPr>
          <w:noProof/>
        </w:rPr>
        <w:t>compared with a scenario where the options would be implemented separately.</w:t>
      </w:r>
    </w:p>
    <w:p w14:paraId="2D9927C6" w14:textId="0F4AFB43" w:rsidR="00BC69E3" w:rsidRPr="00726D52" w:rsidRDefault="00BC69E3" w:rsidP="00BC69E3">
      <w:pPr>
        <w:rPr>
          <w:noProof/>
        </w:rPr>
      </w:pPr>
      <w:r w:rsidRPr="00726D52">
        <w:rPr>
          <w:noProof/>
        </w:rPr>
        <w:t xml:space="preserve">The </w:t>
      </w:r>
      <w:r w:rsidR="00CC0AF2" w:rsidRPr="00726D52">
        <w:rPr>
          <w:noProof/>
        </w:rPr>
        <w:t xml:space="preserve">total </w:t>
      </w:r>
      <w:r w:rsidRPr="00726D52">
        <w:rPr>
          <w:noProof/>
        </w:rPr>
        <w:t>estimated costs</w:t>
      </w:r>
      <w:r w:rsidR="00DA76CE" w:rsidRPr="00726D52">
        <w:rPr>
          <w:rStyle w:val="FootnoteReference"/>
          <w:noProof/>
        </w:rPr>
        <w:footnoteReference w:id="135"/>
      </w:r>
      <w:r w:rsidRPr="00726D52">
        <w:rPr>
          <w:noProof/>
        </w:rPr>
        <w:t xml:space="preserve"> are:</w:t>
      </w:r>
    </w:p>
    <w:tbl>
      <w:tblPr>
        <w:tblStyle w:val="TableGrid"/>
        <w:tblW w:w="0" w:type="auto"/>
        <w:tblInd w:w="38" w:type="dxa"/>
        <w:tblLook w:val="04A0" w:firstRow="1" w:lastRow="0" w:firstColumn="1" w:lastColumn="0" w:noHBand="0" w:noVBand="1"/>
      </w:tblPr>
      <w:tblGrid>
        <w:gridCol w:w="2859"/>
        <w:gridCol w:w="2856"/>
        <w:gridCol w:w="2855"/>
      </w:tblGrid>
      <w:tr w:rsidR="008E286B" w:rsidRPr="00726D52" w14:paraId="06BCA613" w14:textId="77777777" w:rsidTr="006C2EF1">
        <w:tc>
          <w:tcPr>
            <w:tcW w:w="2859" w:type="dxa"/>
            <w:vAlign w:val="center"/>
          </w:tcPr>
          <w:p w14:paraId="1917CEC9" w14:textId="4658F543" w:rsidR="008E286B" w:rsidRPr="00726D52" w:rsidRDefault="008E286B" w:rsidP="00157523">
            <w:pPr>
              <w:jc w:val="center"/>
              <w:rPr>
                <w:b/>
                <w:noProof/>
              </w:rPr>
            </w:pPr>
            <w:r w:rsidRPr="00726D52">
              <w:rPr>
                <w:b/>
                <w:noProof/>
              </w:rPr>
              <w:t>Costs</w:t>
            </w:r>
          </w:p>
        </w:tc>
        <w:tc>
          <w:tcPr>
            <w:tcW w:w="2856" w:type="dxa"/>
            <w:vAlign w:val="center"/>
          </w:tcPr>
          <w:p w14:paraId="4164A56C" w14:textId="09573076" w:rsidR="008E286B" w:rsidRPr="00726D52" w:rsidRDefault="008E286B" w:rsidP="00157523">
            <w:pPr>
              <w:jc w:val="center"/>
              <w:rPr>
                <w:b/>
                <w:noProof/>
              </w:rPr>
            </w:pPr>
            <w:r w:rsidRPr="00726D52">
              <w:rPr>
                <w:b/>
                <w:noProof/>
              </w:rPr>
              <w:t>Member States</w:t>
            </w:r>
          </w:p>
        </w:tc>
        <w:tc>
          <w:tcPr>
            <w:tcW w:w="2855" w:type="dxa"/>
            <w:vAlign w:val="center"/>
          </w:tcPr>
          <w:p w14:paraId="4D2B071C" w14:textId="19DDE180" w:rsidR="008E286B" w:rsidRPr="00726D52" w:rsidRDefault="008E286B" w:rsidP="00157523">
            <w:pPr>
              <w:jc w:val="center"/>
              <w:rPr>
                <w:b/>
                <w:noProof/>
              </w:rPr>
            </w:pPr>
            <w:r w:rsidRPr="00726D52">
              <w:rPr>
                <w:b/>
                <w:noProof/>
              </w:rPr>
              <w:t>Europol</w:t>
            </w:r>
          </w:p>
        </w:tc>
      </w:tr>
      <w:tr w:rsidR="008E286B" w:rsidRPr="00726D52" w14:paraId="5F36E650" w14:textId="77777777" w:rsidTr="006C2EF1">
        <w:tc>
          <w:tcPr>
            <w:tcW w:w="2859" w:type="dxa"/>
            <w:vAlign w:val="center"/>
          </w:tcPr>
          <w:p w14:paraId="0E3BE5C5" w14:textId="64870A14" w:rsidR="008E286B" w:rsidRPr="00726D52" w:rsidRDefault="00F06648" w:rsidP="00157523">
            <w:pPr>
              <w:jc w:val="center"/>
              <w:rPr>
                <w:b/>
                <w:noProof/>
              </w:rPr>
            </w:pPr>
            <w:r w:rsidRPr="00726D52">
              <w:rPr>
                <w:b/>
                <w:noProof/>
              </w:rPr>
              <w:t>One-off costs</w:t>
            </w:r>
          </w:p>
        </w:tc>
        <w:tc>
          <w:tcPr>
            <w:tcW w:w="2856" w:type="dxa"/>
            <w:vAlign w:val="center"/>
          </w:tcPr>
          <w:p w14:paraId="2AEA7941" w14:textId="0344B007" w:rsidR="008E286B" w:rsidRPr="00726D52" w:rsidRDefault="00F06648" w:rsidP="00157523">
            <w:pPr>
              <w:jc w:val="center"/>
              <w:rPr>
                <w:noProof/>
              </w:rPr>
            </w:pPr>
            <w:r w:rsidRPr="00726D52">
              <w:rPr>
                <w:noProof/>
              </w:rPr>
              <w:t>EUR 254.85 million</w:t>
            </w:r>
          </w:p>
        </w:tc>
        <w:tc>
          <w:tcPr>
            <w:tcW w:w="2855" w:type="dxa"/>
            <w:vAlign w:val="center"/>
          </w:tcPr>
          <w:p w14:paraId="003A7F6B" w14:textId="78DFBA1D" w:rsidR="008E286B" w:rsidRPr="00726D52" w:rsidRDefault="00157523" w:rsidP="00157523">
            <w:pPr>
              <w:jc w:val="center"/>
              <w:rPr>
                <w:noProof/>
              </w:rPr>
            </w:pPr>
            <w:r w:rsidRPr="00726D52">
              <w:rPr>
                <w:noProof/>
              </w:rPr>
              <w:t xml:space="preserve">EUR </w:t>
            </w:r>
            <w:r w:rsidR="000B790F" w:rsidRPr="00726D52">
              <w:rPr>
                <w:noProof/>
              </w:rPr>
              <w:t xml:space="preserve">239.8 </w:t>
            </w:r>
            <w:r w:rsidRPr="00726D52">
              <w:rPr>
                <w:noProof/>
              </w:rPr>
              <w:t>million</w:t>
            </w:r>
          </w:p>
        </w:tc>
      </w:tr>
      <w:tr w:rsidR="008E286B" w:rsidRPr="00726D52" w14:paraId="7CDB1DAE" w14:textId="77777777" w:rsidTr="006C2EF1">
        <w:tc>
          <w:tcPr>
            <w:tcW w:w="2859" w:type="dxa"/>
            <w:vAlign w:val="center"/>
          </w:tcPr>
          <w:p w14:paraId="582E7EFA" w14:textId="2A64376F" w:rsidR="008E286B" w:rsidRPr="00726D52" w:rsidRDefault="00F06648" w:rsidP="00157523">
            <w:pPr>
              <w:jc w:val="center"/>
              <w:rPr>
                <w:b/>
                <w:noProof/>
              </w:rPr>
            </w:pPr>
            <w:r w:rsidRPr="00726D52">
              <w:rPr>
                <w:b/>
                <w:noProof/>
              </w:rPr>
              <w:t>Annual recurring costs</w:t>
            </w:r>
          </w:p>
        </w:tc>
        <w:tc>
          <w:tcPr>
            <w:tcW w:w="2856" w:type="dxa"/>
            <w:vAlign w:val="center"/>
          </w:tcPr>
          <w:p w14:paraId="0ACA24F9" w14:textId="586B8C67" w:rsidR="008E286B" w:rsidRPr="00726D52" w:rsidRDefault="00157523" w:rsidP="00157523">
            <w:pPr>
              <w:jc w:val="center"/>
              <w:rPr>
                <w:noProof/>
              </w:rPr>
            </w:pPr>
            <w:r w:rsidRPr="00726D52">
              <w:rPr>
                <w:noProof/>
              </w:rPr>
              <w:t>EUR 47.9 million</w:t>
            </w:r>
          </w:p>
        </w:tc>
        <w:tc>
          <w:tcPr>
            <w:tcW w:w="2855" w:type="dxa"/>
            <w:vAlign w:val="center"/>
          </w:tcPr>
          <w:p w14:paraId="07F92A5E" w14:textId="11D5B48B" w:rsidR="008E286B" w:rsidRPr="00726D52" w:rsidRDefault="00157523" w:rsidP="00157523">
            <w:pPr>
              <w:jc w:val="center"/>
              <w:rPr>
                <w:noProof/>
              </w:rPr>
            </w:pPr>
            <w:r w:rsidRPr="00726D52">
              <w:rPr>
                <w:noProof/>
              </w:rPr>
              <w:t xml:space="preserve">EUR </w:t>
            </w:r>
            <w:r w:rsidR="00437620" w:rsidRPr="00726D52">
              <w:rPr>
                <w:noProof/>
              </w:rPr>
              <w:t>78.4</w:t>
            </w:r>
            <w:r w:rsidRPr="00726D52">
              <w:rPr>
                <w:noProof/>
              </w:rPr>
              <w:t xml:space="preserve"> million</w:t>
            </w:r>
          </w:p>
        </w:tc>
      </w:tr>
      <w:tr w:rsidR="000756A6" w:rsidRPr="00726D52" w14:paraId="3D93D96F" w14:textId="77777777" w:rsidTr="006C2EF1">
        <w:tc>
          <w:tcPr>
            <w:tcW w:w="2859" w:type="dxa"/>
            <w:vAlign w:val="center"/>
          </w:tcPr>
          <w:p w14:paraId="6769A4E7" w14:textId="24462C8A" w:rsidR="000756A6" w:rsidRPr="00726D52" w:rsidRDefault="000756A6" w:rsidP="00157523">
            <w:pPr>
              <w:jc w:val="center"/>
              <w:rPr>
                <w:b/>
                <w:noProof/>
              </w:rPr>
            </w:pPr>
            <w:r w:rsidRPr="00726D52">
              <w:rPr>
                <w:b/>
                <w:noProof/>
              </w:rPr>
              <w:t xml:space="preserve">Recurring </w:t>
            </w:r>
            <w:r w:rsidR="00697428" w:rsidRPr="00726D52">
              <w:rPr>
                <w:b/>
                <w:noProof/>
              </w:rPr>
              <w:t>costs cumulative 2028-2034</w:t>
            </w:r>
          </w:p>
        </w:tc>
        <w:tc>
          <w:tcPr>
            <w:tcW w:w="2856" w:type="dxa"/>
            <w:vAlign w:val="center"/>
          </w:tcPr>
          <w:p w14:paraId="5AE815DF" w14:textId="03352E18" w:rsidR="000756A6" w:rsidRPr="00726D52" w:rsidRDefault="00697428" w:rsidP="00157523">
            <w:pPr>
              <w:jc w:val="center"/>
              <w:rPr>
                <w:noProof/>
              </w:rPr>
            </w:pPr>
            <w:r w:rsidRPr="00726D52">
              <w:rPr>
                <w:noProof/>
              </w:rPr>
              <w:t>EUR 335.3 million</w:t>
            </w:r>
          </w:p>
        </w:tc>
        <w:tc>
          <w:tcPr>
            <w:tcW w:w="2855" w:type="dxa"/>
            <w:vAlign w:val="center"/>
          </w:tcPr>
          <w:p w14:paraId="149BF1B1" w14:textId="31457524" w:rsidR="000756A6" w:rsidRPr="00726D52" w:rsidRDefault="00697428" w:rsidP="00157523">
            <w:pPr>
              <w:jc w:val="center"/>
              <w:rPr>
                <w:noProof/>
              </w:rPr>
            </w:pPr>
            <w:r w:rsidRPr="00726D52">
              <w:rPr>
                <w:noProof/>
              </w:rPr>
              <w:t>EUR 548.8 million</w:t>
            </w:r>
          </w:p>
        </w:tc>
      </w:tr>
      <w:tr w:rsidR="00296311" w:rsidRPr="00726D52" w14:paraId="1FB697D7" w14:textId="77777777" w:rsidTr="000756A6">
        <w:tc>
          <w:tcPr>
            <w:tcW w:w="2859" w:type="dxa"/>
            <w:vAlign w:val="center"/>
          </w:tcPr>
          <w:p w14:paraId="11E202F4" w14:textId="1757A141" w:rsidR="00296311" w:rsidRPr="00726D52" w:rsidRDefault="00296311" w:rsidP="00157523">
            <w:pPr>
              <w:jc w:val="center"/>
              <w:rPr>
                <w:b/>
                <w:noProof/>
              </w:rPr>
            </w:pPr>
            <w:r w:rsidRPr="00726D52">
              <w:rPr>
                <w:b/>
                <w:noProof/>
              </w:rPr>
              <w:t>Total costs over 2028–2034 (one-off + recurring)</w:t>
            </w:r>
          </w:p>
        </w:tc>
        <w:tc>
          <w:tcPr>
            <w:tcW w:w="2856" w:type="dxa"/>
            <w:vAlign w:val="center"/>
          </w:tcPr>
          <w:p w14:paraId="26980144" w14:textId="1EA644B4" w:rsidR="00296311" w:rsidRPr="00726D52" w:rsidRDefault="00296311" w:rsidP="00157523">
            <w:pPr>
              <w:jc w:val="center"/>
              <w:rPr>
                <w:noProof/>
              </w:rPr>
            </w:pPr>
            <w:r w:rsidRPr="00726D52">
              <w:rPr>
                <w:noProof/>
              </w:rPr>
              <w:t>EUR 590.15 million</w:t>
            </w:r>
          </w:p>
        </w:tc>
        <w:tc>
          <w:tcPr>
            <w:tcW w:w="2855" w:type="dxa"/>
            <w:vAlign w:val="center"/>
          </w:tcPr>
          <w:p w14:paraId="30755124" w14:textId="0497AACF" w:rsidR="00296311" w:rsidRPr="00726D52" w:rsidRDefault="00296311" w:rsidP="00157523">
            <w:pPr>
              <w:jc w:val="center"/>
              <w:rPr>
                <w:noProof/>
              </w:rPr>
            </w:pPr>
            <w:r w:rsidRPr="00726D52">
              <w:rPr>
                <w:noProof/>
              </w:rPr>
              <w:t>EUR 788.6 million</w:t>
            </w:r>
          </w:p>
        </w:tc>
      </w:tr>
    </w:tbl>
    <w:p w14:paraId="5EE964EA" w14:textId="41EEBC6B" w:rsidR="00ED53FE" w:rsidRPr="00726D52" w:rsidRDefault="003B03D1" w:rsidP="00A55849">
      <w:pPr>
        <w:spacing w:before="240"/>
        <w:rPr>
          <w:b/>
          <w:bCs/>
          <w:noProof/>
          <w:u w:val="single"/>
        </w:rPr>
      </w:pPr>
      <w:r w:rsidRPr="00726D52">
        <w:rPr>
          <w:b/>
          <w:bCs/>
          <w:noProof/>
          <w:u w:val="single"/>
        </w:rPr>
        <w:t xml:space="preserve">8.1.2. </w:t>
      </w:r>
      <w:r w:rsidR="00ED53FE" w:rsidRPr="00726D52">
        <w:rPr>
          <w:b/>
          <w:bCs/>
          <w:noProof/>
          <w:u w:val="single"/>
        </w:rPr>
        <w:t>Social impacts</w:t>
      </w:r>
    </w:p>
    <w:p w14:paraId="0724B42A" w14:textId="3A946BB0" w:rsidR="00E46F33" w:rsidRPr="00726D52" w:rsidRDefault="00A718CC" w:rsidP="00A55849">
      <w:pPr>
        <w:spacing w:before="240"/>
        <w:rPr>
          <w:noProof/>
        </w:rPr>
      </w:pPr>
      <w:r w:rsidRPr="00726D52">
        <w:rPr>
          <w:b/>
          <w:bCs/>
          <w:noProof/>
        </w:rPr>
        <w:t>Impact on security and EU citizens (++)</w:t>
      </w:r>
    </w:p>
    <w:p w14:paraId="2048F564" w14:textId="7A0549AD" w:rsidR="0017207A" w:rsidRPr="00726D52" w:rsidRDefault="0017207A" w:rsidP="000A028A">
      <w:pPr>
        <w:spacing w:before="240" w:after="120"/>
        <w:rPr>
          <w:noProof/>
        </w:rPr>
      </w:pPr>
      <w:r w:rsidRPr="00726D52">
        <w:rPr>
          <w:noProof/>
        </w:rPr>
        <w:t xml:space="preserve">Each of the preferred </w:t>
      </w:r>
      <w:r w:rsidR="004B7A4F" w:rsidRPr="00726D52">
        <w:rPr>
          <w:noProof/>
        </w:rPr>
        <w:t xml:space="preserve">Sub policy </w:t>
      </w:r>
      <w:r w:rsidRPr="00726D52">
        <w:rPr>
          <w:noProof/>
        </w:rPr>
        <w:t xml:space="preserve">options contributes individually to strengthening EU internal security. </w:t>
      </w:r>
      <w:r w:rsidR="000A028A" w:rsidRPr="00726D52">
        <w:rPr>
          <w:noProof/>
        </w:rPr>
        <w:t xml:space="preserve">When implemented together, their effects are cumulative and mutually reinforcing because they address </w:t>
      </w:r>
      <w:r w:rsidR="000A028A" w:rsidRPr="00726D52">
        <w:rPr>
          <w:b/>
          <w:bCs/>
          <w:noProof/>
        </w:rPr>
        <w:t>successive steps</w:t>
      </w:r>
      <w:r w:rsidR="000A028A" w:rsidRPr="00726D52">
        <w:rPr>
          <w:noProof/>
        </w:rPr>
        <w:t xml:space="preserve"> of cross-border law enforcement cooperation. Improved access to and usability of data (</w:t>
      </w:r>
      <w:r w:rsidR="004B7A4F" w:rsidRPr="00726D52">
        <w:rPr>
          <w:noProof/>
        </w:rPr>
        <w:t>Sub policy o</w:t>
      </w:r>
      <w:r w:rsidR="000A028A" w:rsidRPr="00726D52">
        <w:rPr>
          <w:noProof/>
        </w:rPr>
        <w:t>ptions 1.1, 2.1, 2.2, 1.4) strengthens the information base for investigations. Stronger cooperation between EU actors (</w:t>
      </w:r>
      <w:r w:rsidR="004B7A4F" w:rsidRPr="00726D52">
        <w:rPr>
          <w:noProof/>
        </w:rPr>
        <w:t>Sub policy o</w:t>
      </w:r>
      <w:r w:rsidR="000A028A" w:rsidRPr="00726D52">
        <w:rPr>
          <w:noProof/>
        </w:rPr>
        <w:t>ptions 1.3, 2.3) ensures that this information can be operationally used and followed up at EU level. Modern digital tools and infrastructure (</w:t>
      </w:r>
      <w:r w:rsidR="004B7A4F" w:rsidRPr="00726D52">
        <w:rPr>
          <w:noProof/>
        </w:rPr>
        <w:t>Sub policy o</w:t>
      </w:r>
      <w:r w:rsidR="000A028A" w:rsidRPr="00726D52">
        <w:rPr>
          <w:noProof/>
        </w:rPr>
        <w:t>ption 2.4) enable this information sharing and cooperation to take place efficiently at scale.</w:t>
      </w:r>
    </w:p>
    <w:p w14:paraId="769BF0D6" w14:textId="5FD36664" w:rsidR="007A595C" w:rsidRPr="00726D52" w:rsidRDefault="007A595C" w:rsidP="007A595C">
      <w:pPr>
        <w:spacing w:before="240"/>
        <w:rPr>
          <w:b/>
          <w:bCs/>
          <w:noProof/>
        </w:rPr>
      </w:pPr>
      <w:r w:rsidRPr="00726D52">
        <w:rPr>
          <w:b/>
          <w:bCs/>
          <w:noProof/>
        </w:rPr>
        <w:t>Administrative impacts on national authorities (++)</w:t>
      </w:r>
    </w:p>
    <w:p w14:paraId="0883A2DD" w14:textId="161D8155" w:rsidR="007A595C" w:rsidRPr="00726D52" w:rsidRDefault="00B81C18" w:rsidP="007A595C">
      <w:pPr>
        <w:spacing w:before="240"/>
        <w:rPr>
          <w:noProof/>
        </w:rPr>
      </w:pPr>
      <w:r w:rsidRPr="00726D52">
        <w:rPr>
          <w:noProof/>
        </w:rPr>
        <w:t>While some adjustments and implementation efforts will be required, the preferred package is expected to reduce administrative burden over time by simplifying information exchange, improving legal clarity and enabling more efficient operational cooperation. This contributes to greater operational effectiveness and strengthens the capacity of national authorities to address increasingly complex and digitalised criminal threats.</w:t>
      </w:r>
    </w:p>
    <w:p w14:paraId="658514E2" w14:textId="612D67EF" w:rsidR="006B6B8A" w:rsidRPr="00726D52" w:rsidRDefault="006B6B8A" w:rsidP="006B6B8A">
      <w:pPr>
        <w:spacing w:before="240"/>
        <w:rPr>
          <w:noProof/>
        </w:rPr>
      </w:pPr>
      <w:r w:rsidRPr="00726D52">
        <w:rPr>
          <w:b/>
          <w:bCs/>
          <w:noProof/>
        </w:rPr>
        <w:t>Youth impacts (0)</w:t>
      </w:r>
    </w:p>
    <w:p w14:paraId="3D7F0BAD" w14:textId="5652EAB3" w:rsidR="006B6B8A" w:rsidRPr="00726D52" w:rsidRDefault="006B6B8A" w:rsidP="006B6B8A">
      <w:pPr>
        <w:spacing w:before="240"/>
        <w:rPr>
          <w:noProof/>
        </w:rPr>
      </w:pPr>
      <w:r w:rsidRPr="00726D52">
        <w:rPr>
          <w:noProof/>
        </w:rPr>
        <w:t>The preferred option is not expected to have direct impacts specifically targeting young people. However, by strengthening the Union’s capacity to prevent and combat serious crime, including offences that particularly affect minors</w:t>
      </w:r>
      <w:r w:rsidR="00331F38" w:rsidRPr="00726D52">
        <w:rPr>
          <w:noProof/>
        </w:rPr>
        <w:t>,</w:t>
      </w:r>
      <w:r w:rsidRPr="00726D52">
        <w:rPr>
          <w:noProof/>
        </w:rPr>
        <w:t xml:space="preserve"> such as child sexual exploitation </w:t>
      </w:r>
      <w:r w:rsidRPr="00726D52">
        <w:rPr>
          <w:noProof/>
        </w:rPr>
        <w:lastRenderedPageBreak/>
        <w:t>and cyber-enabled crime, the measures may have indirect positive effects on the protection and safety of young people across the Union.</w:t>
      </w:r>
    </w:p>
    <w:p w14:paraId="67B59A30" w14:textId="57DCBDBF" w:rsidR="005B41A4" w:rsidRPr="00726D52" w:rsidRDefault="005B41A4" w:rsidP="005B41A4">
      <w:pPr>
        <w:spacing w:before="240"/>
        <w:rPr>
          <w:b/>
          <w:bCs/>
          <w:noProof/>
          <w:u w:val="single"/>
        </w:rPr>
      </w:pPr>
      <w:r w:rsidRPr="00726D52">
        <w:rPr>
          <w:b/>
          <w:bCs/>
          <w:noProof/>
          <w:u w:val="single"/>
        </w:rPr>
        <w:t>8.1.3 Fundamental rights impacts</w:t>
      </w:r>
    </w:p>
    <w:p w14:paraId="3CE903DF" w14:textId="7004D2C2" w:rsidR="005B41A4" w:rsidRPr="00726D52" w:rsidRDefault="005B41A4" w:rsidP="005B41A4">
      <w:pPr>
        <w:spacing w:before="240"/>
        <w:rPr>
          <w:noProof/>
        </w:rPr>
      </w:pPr>
      <w:r w:rsidRPr="00726D52">
        <w:rPr>
          <w:b/>
          <w:bCs/>
          <w:noProof/>
        </w:rPr>
        <w:t>Objective of general interest</w:t>
      </w:r>
      <w:r w:rsidRPr="00726D52">
        <w:rPr>
          <w:noProof/>
        </w:rPr>
        <w:t xml:space="preserve"> (++)</w:t>
      </w:r>
    </w:p>
    <w:p w14:paraId="6EEE3AFF" w14:textId="6E7C4474" w:rsidR="005B41A4" w:rsidRPr="00726D52" w:rsidRDefault="00BA0590" w:rsidP="005B41A4">
      <w:pPr>
        <w:spacing w:before="240"/>
        <w:rPr>
          <w:noProof/>
        </w:rPr>
      </w:pPr>
      <w:r w:rsidRPr="00726D52">
        <w:rPr>
          <w:noProof/>
        </w:rPr>
        <w:t>The preferred package makes a significant contribution to the objective of general interest of preventing, detecting and investigating serious and organised crime and terrorism in the Union.</w:t>
      </w:r>
      <w:r w:rsidR="00C578FC" w:rsidRPr="00726D52">
        <w:rPr>
          <w:noProof/>
        </w:rPr>
        <w:t xml:space="preserve"> By enabling earlier identification of cross-border criminal activities and facilitating more effective operational responses, the measures strengthen the Union’s overall capacity to protect citizens and address evolving security threats.</w:t>
      </w:r>
    </w:p>
    <w:p w14:paraId="656281C5" w14:textId="6DEE5CD4" w:rsidR="005B41A4" w:rsidRPr="00726D52" w:rsidRDefault="005B41A4" w:rsidP="005B41A4">
      <w:pPr>
        <w:spacing w:before="240"/>
        <w:rPr>
          <w:noProof/>
        </w:rPr>
      </w:pPr>
      <w:r w:rsidRPr="00726D52">
        <w:rPr>
          <w:b/>
          <w:noProof/>
        </w:rPr>
        <w:t>Protection of personal data</w:t>
      </w:r>
      <w:r w:rsidRPr="00726D52">
        <w:rPr>
          <w:noProof/>
        </w:rPr>
        <w:t xml:space="preserve"> (0)</w:t>
      </w:r>
    </w:p>
    <w:p w14:paraId="44B4E8CC" w14:textId="77777777" w:rsidR="001F5EFF" w:rsidRPr="00726D52" w:rsidRDefault="001F5EFF" w:rsidP="001F5EFF">
      <w:pPr>
        <w:spacing w:after="120"/>
        <w:rPr>
          <w:i/>
          <w:iCs/>
          <w:noProof/>
        </w:rPr>
      </w:pPr>
      <w:r w:rsidRPr="00726D52">
        <w:rPr>
          <w:i/>
          <w:iCs/>
          <w:noProof/>
        </w:rPr>
        <w:t>Necessity</w:t>
      </w:r>
    </w:p>
    <w:p w14:paraId="6B53AEED" w14:textId="39EBBE5E" w:rsidR="001F5EFF" w:rsidRPr="00726D52" w:rsidRDefault="002C07DA" w:rsidP="001F5EFF">
      <w:pPr>
        <w:spacing w:after="120"/>
        <w:rPr>
          <w:noProof/>
        </w:rPr>
      </w:pPr>
      <w:r w:rsidRPr="00726D52">
        <w:rPr>
          <w:noProof/>
        </w:rPr>
        <w:t xml:space="preserve">Some elements of the preferred package increase Europol’s ability to query and analyse operational data in support of cross-border investigations (notably </w:t>
      </w:r>
      <w:r w:rsidR="00ED5888" w:rsidRPr="00726D52">
        <w:rPr>
          <w:noProof/>
        </w:rPr>
        <w:t>Sub policy o</w:t>
      </w:r>
      <w:r w:rsidRPr="00726D52">
        <w:rPr>
          <w:noProof/>
        </w:rPr>
        <w:t>ptions 2.1 and 2.4), which may lead to a greater operational use of personal data. At the same time, the reform of data subject categorisation (</w:t>
      </w:r>
      <w:r w:rsidR="00ED5888" w:rsidRPr="00726D52">
        <w:rPr>
          <w:noProof/>
        </w:rPr>
        <w:t>Sub policy o</w:t>
      </w:r>
      <w:r w:rsidRPr="00726D52">
        <w:rPr>
          <w:noProof/>
        </w:rPr>
        <w:t>ption 2.2) is necessary to address operational inefficiencies that currently limit the effective use of lawfully collected information. Together, these measures enable more timely and effective analysis of data relevant to serious and organised crime and terrorism.</w:t>
      </w:r>
    </w:p>
    <w:p w14:paraId="0B468712" w14:textId="77777777" w:rsidR="001F5EFF" w:rsidRPr="00726D52" w:rsidRDefault="001F5EFF" w:rsidP="001F5EFF">
      <w:pPr>
        <w:spacing w:after="120"/>
        <w:rPr>
          <w:i/>
          <w:iCs/>
          <w:noProof/>
        </w:rPr>
      </w:pPr>
      <w:r w:rsidRPr="00726D52">
        <w:rPr>
          <w:i/>
          <w:iCs/>
          <w:noProof/>
        </w:rPr>
        <w:t>Proportionality</w:t>
      </w:r>
    </w:p>
    <w:p w14:paraId="477080A5" w14:textId="246B9A4B" w:rsidR="005B41A4" w:rsidRPr="00726D52" w:rsidRDefault="001F5EFF" w:rsidP="001F5EFF">
      <w:pPr>
        <w:spacing w:after="120"/>
        <w:rPr>
          <w:noProof/>
        </w:rPr>
      </w:pPr>
      <w:r w:rsidRPr="00726D52">
        <w:rPr>
          <w:noProof/>
        </w:rPr>
        <w:t>The impact on data protection remains limited and proportionate. The measures do not introduce new categories of personal data. Processing would remain subject to the safeguards provided under the EU data protection framework, including purpose limitation, access controls and independent supervision.</w:t>
      </w:r>
    </w:p>
    <w:p w14:paraId="5ADE5612" w14:textId="01DF4EBA" w:rsidR="00E50322" w:rsidRPr="00726D52" w:rsidRDefault="00E50322" w:rsidP="00E50322">
      <w:pPr>
        <w:spacing w:after="120"/>
        <w:rPr>
          <w:i/>
          <w:iCs/>
          <w:noProof/>
        </w:rPr>
      </w:pPr>
      <w:r w:rsidRPr="00726D52">
        <w:rPr>
          <w:i/>
          <w:iCs/>
          <w:noProof/>
        </w:rPr>
        <w:t>Conclusion</w:t>
      </w:r>
    </w:p>
    <w:p w14:paraId="4E863040" w14:textId="77777777" w:rsidR="00AB15B2" w:rsidRPr="00726D52" w:rsidRDefault="00E50322" w:rsidP="005B41A4">
      <w:pPr>
        <w:spacing w:before="240"/>
        <w:rPr>
          <w:noProof/>
        </w:rPr>
      </w:pPr>
      <w:r w:rsidRPr="00726D52">
        <w:rPr>
          <w:noProof/>
        </w:rPr>
        <w:t xml:space="preserve">Overall, the preferred package enhances Europol’s analytical capabilities while remaining within existing data protection safeguards. Its impact on personal data is therefore limited and proportionate. </w:t>
      </w:r>
    </w:p>
    <w:p w14:paraId="3177B154" w14:textId="3412C116" w:rsidR="005B41A4" w:rsidRPr="00726D52" w:rsidRDefault="005B41A4" w:rsidP="005B41A4">
      <w:pPr>
        <w:spacing w:before="240"/>
        <w:rPr>
          <w:b/>
          <w:noProof/>
          <w:u w:val="single"/>
        </w:rPr>
      </w:pPr>
      <w:r w:rsidRPr="00726D52">
        <w:rPr>
          <w:b/>
          <w:noProof/>
          <w:u w:val="single"/>
        </w:rPr>
        <w:t>8</w:t>
      </w:r>
      <w:r w:rsidRPr="00726D52">
        <w:rPr>
          <w:b/>
          <w:bCs/>
          <w:noProof/>
          <w:u w:val="single"/>
        </w:rPr>
        <w:t>.</w:t>
      </w:r>
      <w:r w:rsidR="00AB4D6C" w:rsidRPr="00726D52">
        <w:rPr>
          <w:b/>
          <w:bCs/>
          <w:noProof/>
          <w:u w:val="single"/>
        </w:rPr>
        <w:t>1</w:t>
      </w:r>
      <w:r w:rsidRPr="00726D52">
        <w:rPr>
          <w:b/>
          <w:noProof/>
          <w:u w:val="single"/>
        </w:rPr>
        <w:t>.4 Environmental impacts (0)</w:t>
      </w:r>
    </w:p>
    <w:p w14:paraId="240AB91F" w14:textId="4607B33B" w:rsidR="005B41A4" w:rsidRPr="00726D52" w:rsidRDefault="005B41A4" w:rsidP="005B41A4">
      <w:pPr>
        <w:spacing w:before="240"/>
        <w:rPr>
          <w:noProof/>
        </w:rPr>
      </w:pPr>
      <w:r w:rsidRPr="00726D52">
        <w:rPr>
          <w:noProof/>
        </w:rPr>
        <w:t>The preferred option is not expected to have direct environmental impacts. However, by strengthening the operational capabilities of law enforcement authorities to investigate environmental crime, the package may indirectly contribute to the protection of the environment.</w:t>
      </w:r>
    </w:p>
    <w:p w14:paraId="29211CF5" w14:textId="083B1BE3" w:rsidR="00493077" w:rsidRPr="00726D52" w:rsidRDefault="00493077" w:rsidP="00493077">
      <w:pPr>
        <w:spacing w:before="240"/>
        <w:rPr>
          <w:b/>
          <w:bCs/>
          <w:noProof/>
          <w:u w:val="single"/>
        </w:rPr>
      </w:pPr>
      <w:r w:rsidRPr="00726D52">
        <w:rPr>
          <w:b/>
          <w:bCs/>
          <w:noProof/>
          <w:u w:val="single"/>
        </w:rPr>
        <w:t>8.1.5 Feasibility (+)</w:t>
      </w:r>
    </w:p>
    <w:p w14:paraId="73BBAFDE" w14:textId="438B401C" w:rsidR="00493077" w:rsidRPr="00726D52" w:rsidRDefault="00493077" w:rsidP="00A315B3">
      <w:pPr>
        <w:spacing w:before="120" w:after="120"/>
        <w:rPr>
          <w:noProof/>
        </w:rPr>
      </w:pPr>
      <w:r w:rsidRPr="00726D52">
        <w:rPr>
          <w:noProof/>
        </w:rPr>
        <w:lastRenderedPageBreak/>
        <w:t>All preferred measures are technically feasible as they build on existing legal frameworks, operational practices and IT infrastructure at EU and national level</w:t>
      </w:r>
      <w:r w:rsidR="00A315B3" w:rsidRPr="00726D52">
        <w:rPr>
          <w:rStyle w:val="FootnoteReference"/>
          <w:noProof/>
        </w:rPr>
        <w:footnoteReference w:id="136"/>
      </w:r>
      <w:r w:rsidRPr="00726D52">
        <w:rPr>
          <w:noProof/>
        </w:rPr>
        <w:t>.</w:t>
      </w:r>
    </w:p>
    <w:p w14:paraId="586A1A87" w14:textId="0309FA74" w:rsidR="00493077" w:rsidRPr="00726D52" w:rsidRDefault="00927304" w:rsidP="00A315B3">
      <w:pPr>
        <w:spacing w:before="120" w:after="120"/>
        <w:rPr>
          <w:noProof/>
        </w:rPr>
      </w:pPr>
      <w:r w:rsidRPr="00726D52">
        <w:rPr>
          <w:noProof/>
        </w:rPr>
        <w:t>From a technical perspective, t</w:t>
      </w:r>
      <w:r w:rsidR="00493077" w:rsidRPr="00726D52">
        <w:rPr>
          <w:noProof/>
        </w:rPr>
        <w:t>he reform primarily relies on upgrading and integrating existing systems rather than creating entirely new architectures. Synergies with established EU technological frameworks, including those developed by eu-LISA, further enhance feasibility by leveraging proven interoperability standards and secure digital infrastructure.</w:t>
      </w:r>
    </w:p>
    <w:p w14:paraId="6A2BBA87" w14:textId="077FFFB3" w:rsidR="00493077" w:rsidRPr="00726D52" w:rsidRDefault="00493077" w:rsidP="00A315B3">
      <w:pPr>
        <w:spacing w:before="120" w:after="120"/>
        <w:rPr>
          <w:noProof/>
        </w:rPr>
      </w:pPr>
      <w:r w:rsidRPr="00726D52">
        <w:rPr>
          <w:noProof/>
        </w:rPr>
        <w:t>From a political perspective, the preferred package remains proportionate and compatible with the current distribution of competences between the Union and the Member States.</w:t>
      </w:r>
    </w:p>
    <w:p w14:paraId="44E6F3E4" w14:textId="6614CC98" w:rsidR="00771174" w:rsidRPr="00726D52" w:rsidRDefault="00771174" w:rsidP="00771174">
      <w:pPr>
        <w:spacing w:before="240"/>
        <w:rPr>
          <w:b/>
          <w:bCs/>
          <w:noProof/>
          <w:u w:val="single"/>
        </w:rPr>
      </w:pPr>
      <w:r w:rsidRPr="00726D52">
        <w:rPr>
          <w:b/>
          <w:bCs/>
          <w:noProof/>
          <w:u w:val="single"/>
        </w:rPr>
        <w:t>8.1.6 Impact on digitalisation (++)</w:t>
      </w:r>
    </w:p>
    <w:p w14:paraId="5FA8389B" w14:textId="77777777" w:rsidR="00771174" w:rsidRPr="00726D52" w:rsidRDefault="00771174" w:rsidP="0046591D">
      <w:pPr>
        <w:spacing w:after="120"/>
        <w:rPr>
          <w:noProof/>
        </w:rPr>
      </w:pPr>
      <w:r w:rsidRPr="00726D52">
        <w:rPr>
          <w:noProof/>
        </w:rPr>
        <w:t>The preferred option strongly supports the digital transformation of EU law enforcement cooperation.</w:t>
      </w:r>
    </w:p>
    <w:p w14:paraId="1404E99C" w14:textId="6BC1C3BA" w:rsidR="00771174" w:rsidRPr="00726D52" w:rsidRDefault="00771174" w:rsidP="0046591D">
      <w:pPr>
        <w:spacing w:after="120"/>
        <w:rPr>
          <w:noProof/>
        </w:rPr>
      </w:pPr>
      <w:r w:rsidRPr="00726D52">
        <w:rPr>
          <w:noProof/>
        </w:rPr>
        <w:t>Improved data availability and harmonised rules enhance information exchange and operational analysis, while the EU Police Cloud provides the scalable digital infrastructure necessary for advanced analytical capabilities and secure collaboration across Member States.</w:t>
      </w:r>
    </w:p>
    <w:p w14:paraId="05CE8FC7" w14:textId="439DB11C" w:rsidR="00C12C21" w:rsidRPr="00726D52" w:rsidRDefault="00C12C21" w:rsidP="009502B2">
      <w:pPr>
        <w:pStyle w:val="ListParagraph"/>
        <w:numPr>
          <w:ilvl w:val="1"/>
          <w:numId w:val="69"/>
        </w:numPr>
        <w:spacing w:before="240"/>
        <w:rPr>
          <w:b/>
          <w:noProof/>
        </w:rPr>
      </w:pPr>
      <w:r w:rsidRPr="00726D52">
        <w:rPr>
          <w:b/>
          <w:noProof/>
        </w:rPr>
        <w:t>REFIT </w:t>
      </w:r>
      <w:r w:rsidR="003371A3" w:rsidRPr="00726D52">
        <w:rPr>
          <w:rStyle w:val="Heading21"/>
          <w:bCs w:val="0"/>
          <w:noProof/>
        </w:rPr>
        <w:t>(simplification and improved efficiency)</w:t>
      </w:r>
    </w:p>
    <w:p w14:paraId="1CFA06AB" w14:textId="2407FD4E" w:rsidR="00112D16" w:rsidRPr="00726D52" w:rsidRDefault="00112D16" w:rsidP="0046591D">
      <w:pPr>
        <w:pStyle w:val="NormalWeb"/>
        <w:spacing w:before="0" w:beforeAutospacing="0" w:after="120" w:afterAutospacing="0"/>
        <w:jc w:val="both"/>
        <w:rPr>
          <w:noProof/>
          <w:lang w:val="en-GB"/>
        </w:rPr>
      </w:pPr>
      <w:r w:rsidRPr="00726D52">
        <w:rPr>
          <w:noProof/>
          <w:lang w:val="en-GB"/>
        </w:rPr>
        <w:t xml:space="preserve">In line with the Commission’s Regulatory Fitness and Performance Programme (REFIT), revisions of existing EU legislation aim to simplify rules and reduce unnecessary administrative burden. In this context, the revision of the Europol legal framework seeks to </w:t>
      </w:r>
      <w:r w:rsidRPr="00726D52">
        <w:rPr>
          <w:b/>
          <w:noProof/>
          <w:lang w:val="en-GB"/>
        </w:rPr>
        <w:t xml:space="preserve">streamline procedures </w:t>
      </w:r>
      <w:r w:rsidRPr="00726D52">
        <w:rPr>
          <w:noProof/>
          <w:lang w:val="en-GB"/>
        </w:rPr>
        <w:t>and improve the efficiency of EU law enforcement cooperation.</w:t>
      </w:r>
    </w:p>
    <w:p w14:paraId="407B6408" w14:textId="38A93875" w:rsidR="000F6578" w:rsidRPr="00726D52" w:rsidRDefault="008E39C8" w:rsidP="0046591D">
      <w:pPr>
        <w:pStyle w:val="NormalWeb"/>
        <w:spacing w:before="0" w:beforeAutospacing="0" w:after="120" w:afterAutospacing="0"/>
        <w:jc w:val="both"/>
        <w:rPr>
          <w:noProof/>
          <w:lang w:val="en-GB"/>
        </w:rPr>
      </w:pPr>
      <w:r w:rsidRPr="00726D52">
        <w:rPr>
          <w:noProof/>
          <w:lang w:val="en-GB"/>
        </w:rPr>
        <w:t xml:space="preserve">While the preferred option may require additional engagement from Member States, notably in authorising Europol to query certain national databases and ensuring connectivity to shared services, these efforts are offset by improved operational support, faster cross-border investigations and more efficient use of EU-level analytical capabilities. </w:t>
      </w:r>
      <w:r w:rsidR="00112D16" w:rsidRPr="00726D52">
        <w:rPr>
          <w:noProof/>
          <w:lang w:val="en-GB"/>
        </w:rPr>
        <w:t xml:space="preserve">In particular, the simplification of </w:t>
      </w:r>
      <w:r w:rsidR="00BE5DA8" w:rsidRPr="00726D52">
        <w:rPr>
          <w:noProof/>
          <w:lang w:val="en-GB"/>
        </w:rPr>
        <w:t>DSC</w:t>
      </w:r>
      <w:r w:rsidR="00112D16" w:rsidRPr="00726D52">
        <w:rPr>
          <w:noProof/>
          <w:lang w:val="en-GB"/>
        </w:rPr>
        <w:t xml:space="preserve"> (</w:t>
      </w:r>
      <w:r w:rsidR="00BE5DA8" w:rsidRPr="00726D52">
        <w:rPr>
          <w:noProof/>
          <w:lang w:val="en-GB"/>
        </w:rPr>
        <w:t>S</w:t>
      </w:r>
      <w:r w:rsidR="00973899" w:rsidRPr="00726D52">
        <w:rPr>
          <w:noProof/>
          <w:lang w:val="en-GB"/>
        </w:rPr>
        <w:t>ub p</w:t>
      </w:r>
      <w:r w:rsidR="00112D16" w:rsidRPr="00726D52">
        <w:rPr>
          <w:noProof/>
          <w:lang w:val="en-GB"/>
        </w:rPr>
        <w:t xml:space="preserve">olicy </w:t>
      </w:r>
      <w:r w:rsidR="00973899" w:rsidRPr="00726D52">
        <w:rPr>
          <w:noProof/>
          <w:lang w:val="en-GB"/>
        </w:rPr>
        <w:t>o</w:t>
      </w:r>
      <w:r w:rsidR="00112D16" w:rsidRPr="00726D52">
        <w:rPr>
          <w:noProof/>
          <w:lang w:val="en-GB"/>
        </w:rPr>
        <w:t>ption 2.2) will directly contribute to reducing administrative burden by introducing clearer procedures and more proportionate safeguards. Additional measures, such as technical guidance, training and centralised support provided by Europol, will further facilitate implementation.</w:t>
      </w:r>
    </w:p>
    <w:p w14:paraId="0A32C2B2" w14:textId="5AF6AA19" w:rsidR="00C12C21" w:rsidRPr="00726D52" w:rsidRDefault="00C12C21" w:rsidP="009502B2">
      <w:pPr>
        <w:pStyle w:val="ListParagraph"/>
        <w:numPr>
          <w:ilvl w:val="1"/>
          <w:numId w:val="69"/>
        </w:numPr>
        <w:spacing w:after="120"/>
        <w:rPr>
          <w:b/>
          <w:noProof/>
        </w:rPr>
      </w:pPr>
      <w:r w:rsidRPr="00726D52">
        <w:rPr>
          <w:b/>
          <w:bCs/>
          <w:noProof/>
        </w:rPr>
        <w:t>Application</w:t>
      </w:r>
      <w:r w:rsidRPr="00726D52">
        <w:rPr>
          <w:b/>
          <w:noProof/>
        </w:rPr>
        <w:t> of the ‘one in, one out’ approach </w:t>
      </w:r>
    </w:p>
    <w:p w14:paraId="2575735B" w14:textId="06F208CE" w:rsidR="00F46137" w:rsidRPr="00726D52" w:rsidRDefault="00F46137" w:rsidP="0046591D">
      <w:pPr>
        <w:pStyle w:val="NormalWeb"/>
        <w:spacing w:before="0" w:beforeAutospacing="0" w:after="120" w:afterAutospacing="0"/>
        <w:jc w:val="both"/>
        <w:rPr>
          <w:noProof/>
          <w:lang w:val="en-GB"/>
        </w:rPr>
      </w:pPr>
      <w:r w:rsidRPr="00726D52">
        <w:rPr>
          <w:noProof/>
          <w:lang w:val="en-GB"/>
        </w:rPr>
        <w:t xml:space="preserve">This initiative </w:t>
      </w:r>
      <w:r w:rsidRPr="00726D52">
        <w:rPr>
          <w:b/>
          <w:bCs/>
          <w:noProof/>
          <w:lang w:val="en-GB"/>
        </w:rPr>
        <w:t>does not impose administrative costs on businesses</w:t>
      </w:r>
      <w:r w:rsidRPr="00726D52">
        <w:rPr>
          <w:noProof/>
          <w:lang w:val="en-GB"/>
        </w:rPr>
        <w:t xml:space="preserve"> and therefore does not trigger the ‘one in, one out’ adjustment mechanism. The measures primarily concern public authorities involved in law enforcement cooperation and do not introduce new regulatory obligations for the private sector.</w:t>
      </w:r>
      <w:r w:rsidR="00A47E20" w:rsidRPr="00726D52">
        <w:rPr>
          <w:noProof/>
          <w:lang w:val="en-GB"/>
        </w:rPr>
        <w:t xml:space="preserve"> </w:t>
      </w:r>
      <w:r w:rsidRPr="00726D52">
        <w:rPr>
          <w:noProof/>
          <w:lang w:val="en-GB"/>
        </w:rPr>
        <w:t>As a result, the initiative does not entail administrative costs or savings for businesses and does not generate direct costs for citizens. Any adjustment costs associated with the implementation of the preferred option will mainly concern public authorities, notably in relation to the adaptation of information systems and operational procedures.</w:t>
      </w:r>
    </w:p>
    <w:p w14:paraId="5863EFF1" w14:textId="771E2F7F" w:rsidR="00C12C21" w:rsidRPr="00726D52" w:rsidRDefault="00F46137" w:rsidP="0046591D">
      <w:pPr>
        <w:pStyle w:val="NormalWeb"/>
        <w:spacing w:before="0" w:beforeAutospacing="0" w:after="120" w:afterAutospacing="0"/>
        <w:jc w:val="both"/>
        <w:rPr>
          <w:noProof/>
          <w:lang w:val="en-GB"/>
        </w:rPr>
      </w:pPr>
      <w:r w:rsidRPr="00726D52">
        <w:rPr>
          <w:noProof/>
          <w:lang w:val="en-GB"/>
        </w:rPr>
        <w:lastRenderedPageBreak/>
        <w:t>At the same time, the initiative is expected to generate significant public benefits by strengthening the Union’s capacity to prevent and combat serious and organised crime.</w:t>
      </w:r>
    </w:p>
    <w:p w14:paraId="4C03DDD2" w14:textId="793F0AF4" w:rsidR="4C5F716E" w:rsidRPr="00726D52" w:rsidRDefault="583FA8BE" w:rsidP="589D67F4">
      <w:pPr>
        <w:pStyle w:val="Heading1"/>
        <w:numPr>
          <w:ilvl w:val="0"/>
          <w:numId w:val="0"/>
        </w:numPr>
        <w:rPr>
          <w:noProof/>
        </w:rPr>
      </w:pPr>
      <w:bookmarkStart w:id="21" w:name="_Toc224614038"/>
      <w:r w:rsidRPr="00726D52">
        <w:rPr>
          <w:noProof/>
        </w:rPr>
        <w:t xml:space="preserve">9. </w:t>
      </w:r>
      <w:r w:rsidR="006B087E" w:rsidRPr="00726D52">
        <w:rPr>
          <w:noProof/>
        </w:rPr>
        <w:t>How will actual impacts be monitored and evaluated?</w:t>
      </w:r>
      <w:bookmarkEnd w:id="21"/>
    </w:p>
    <w:p w14:paraId="28DD78DA" w14:textId="35D066C8" w:rsidR="00CB7AEC" w:rsidRPr="00726D52" w:rsidRDefault="003F0DCC" w:rsidP="00CB7AEC">
      <w:pPr>
        <w:rPr>
          <w:rFonts w:eastAsia="Times New Roman"/>
          <w:noProof/>
          <w:color w:val="000000" w:themeColor="text1"/>
        </w:rPr>
      </w:pPr>
      <w:r w:rsidRPr="00726D52">
        <w:rPr>
          <w:rFonts w:eastAsia="Times New Roman"/>
          <w:noProof/>
          <w:color w:val="000000" w:themeColor="text1"/>
        </w:rPr>
        <w:t xml:space="preserve">The Commission will monitor the impacts of the preferred option through the </w:t>
      </w:r>
      <w:r w:rsidRPr="00726D52">
        <w:rPr>
          <w:rFonts w:eastAsia="Times New Roman"/>
          <w:b/>
          <w:bCs/>
          <w:noProof/>
          <w:color w:val="000000" w:themeColor="text1"/>
        </w:rPr>
        <w:t>existing evaluation and reporting framework under Article 68 of the Europol Regulation</w:t>
      </w:r>
      <w:r w:rsidRPr="00726D52">
        <w:rPr>
          <w:rFonts w:eastAsia="Times New Roman"/>
          <w:noProof/>
          <w:color w:val="000000" w:themeColor="text1"/>
        </w:rPr>
        <w:t>, which provides for periodic assessments of Europol’s effectiveness, efficiency and EU added value. To ensure coherence and avoid duplication, monitoring will rely primarily on Europol’s established reporting tools</w:t>
      </w:r>
      <w:r w:rsidR="00F2538F" w:rsidRPr="00726D52">
        <w:rPr>
          <w:rStyle w:val="FootnoteReference"/>
          <w:rFonts w:eastAsia="Times New Roman"/>
          <w:noProof/>
          <w:color w:val="000000" w:themeColor="text1"/>
        </w:rPr>
        <w:footnoteReference w:id="137"/>
      </w:r>
      <w:r w:rsidRPr="00726D52">
        <w:rPr>
          <w:rFonts w:eastAsia="Times New Roman"/>
          <w:noProof/>
          <w:color w:val="000000" w:themeColor="text1"/>
        </w:rPr>
        <w:t>, complemented where necessary by indicators aligned with the objectives of this initiative</w:t>
      </w:r>
      <w:r w:rsidR="00010483" w:rsidRPr="00726D52">
        <w:rPr>
          <w:rFonts w:eastAsia="Times New Roman"/>
          <w:noProof/>
          <w:color w:val="000000" w:themeColor="text1"/>
        </w:rPr>
        <w:t>.</w:t>
      </w:r>
    </w:p>
    <w:p w14:paraId="0CAC7E30" w14:textId="43BF429D" w:rsidR="008E28B8" w:rsidRPr="00726D52" w:rsidRDefault="00CB7AEC" w:rsidP="00CB7AEC">
      <w:pPr>
        <w:rPr>
          <w:rFonts w:eastAsia="Times New Roman"/>
          <w:noProof/>
          <w:color w:val="000000" w:themeColor="text1"/>
        </w:rPr>
      </w:pPr>
      <w:r w:rsidRPr="00726D52">
        <w:rPr>
          <w:rFonts w:eastAsia="Times New Roman"/>
          <w:b/>
          <w:noProof/>
          <w:color w:val="000000" w:themeColor="text1"/>
        </w:rPr>
        <w:t>Monitoring will cover outputs, results and broader impacts</w:t>
      </w:r>
      <w:r w:rsidRPr="00726D52">
        <w:rPr>
          <w:rFonts w:eastAsia="Times New Roman"/>
          <w:noProof/>
          <w:color w:val="000000" w:themeColor="text1"/>
        </w:rPr>
        <w:t xml:space="preserve">, including improvements in information exchange, operational support to cross-border investigations, </w:t>
      </w:r>
      <w:r w:rsidR="00C83218" w:rsidRPr="00726D52">
        <w:rPr>
          <w:rFonts w:eastAsia="Times New Roman"/>
          <w:noProof/>
          <w:color w:val="000000" w:themeColor="text1"/>
        </w:rPr>
        <w:t xml:space="preserve">including the provision of modern capabilities, and </w:t>
      </w:r>
      <w:r w:rsidRPr="00726D52">
        <w:rPr>
          <w:rFonts w:eastAsia="Times New Roman"/>
          <w:noProof/>
          <w:color w:val="000000" w:themeColor="text1"/>
        </w:rPr>
        <w:t xml:space="preserve">inter-agency cooperation. Particular attention will be given to data protection compliance, proportionality and fundamental rights safeguards, including supervision by the </w:t>
      </w:r>
      <w:r w:rsidR="00264F5D" w:rsidRPr="00726D52">
        <w:rPr>
          <w:rFonts w:eastAsia="Times New Roman"/>
          <w:noProof/>
          <w:color w:val="000000" w:themeColor="text1"/>
        </w:rPr>
        <w:t>E</w:t>
      </w:r>
      <w:r w:rsidR="00224F8A" w:rsidRPr="00726D52">
        <w:rPr>
          <w:rFonts w:eastAsia="Times New Roman"/>
          <w:noProof/>
          <w:color w:val="000000" w:themeColor="text1"/>
        </w:rPr>
        <w:t>DPS</w:t>
      </w:r>
      <w:r w:rsidR="00264F5D" w:rsidRPr="00726D52">
        <w:rPr>
          <w:rFonts w:eastAsia="Times New Roman"/>
          <w:noProof/>
          <w:color w:val="000000" w:themeColor="text1"/>
        </w:rPr>
        <w:t>.</w:t>
      </w:r>
      <w:r w:rsidRPr="00726D52">
        <w:rPr>
          <w:rFonts w:eastAsia="Times New Roman"/>
          <w:noProof/>
          <w:color w:val="000000" w:themeColor="text1"/>
        </w:rPr>
        <w:t xml:space="preserve"> Indicators will be collected </w:t>
      </w:r>
      <w:r w:rsidR="00264F5D" w:rsidRPr="00726D52">
        <w:rPr>
          <w:rFonts w:eastAsia="Times New Roman"/>
          <w:noProof/>
          <w:color w:val="000000" w:themeColor="text1"/>
        </w:rPr>
        <w:t>annually</w:t>
      </w:r>
      <w:r w:rsidRPr="00726D52">
        <w:rPr>
          <w:rFonts w:eastAsia="Times New Roman"/>
          <w:noProof/>
          <w:color w:val="000000" w:themeColor="text1"/>
        </w:rPr>
        <w:t xml:space="preserve"> from the entry into force of the revised Regulation. </w:t>
      </w:r>
    </w:p>
    <w:p w14:paraId="53720E59" w14:textId="33749D62" w:rsidR="00CB7AEC" w:rsidRPr="00726D52" w:rsidRDefault="008E28B8" w:rsidP="00CB7AEC">
      <w:pPr>
        <w:rPr>
          <w:rFonts w:eastAsia="Times New Roman"/>
          <w:noProof/>
          <w:color w:val="000000" w:themeColor="text1"/>
        </w:rPr>
      </w:pPr>
      <w:r w:rsidRPr="00726D52">
        <w:rPr>
          <w:rFonts w:eastAsia="Times New Roman"/>
          <w:noProof/>
          <w:color w:val="000000" w:themeColor="text1"/>
        </w:rPr>
        <w:t xml:space="preserve">In line with Article 68 of the Europol Regulation, the Commission will carry out an evaluation four years after the entry into force of the revised Regulation to assess its effectiveness, efficiency, coherence, relevance and EU added value, and to inform any future revision. Detailed monitoring indicators are set out in Annex </w:t>
      </w:r>
      <w:r w:rsidR="00322D96" w:rsidRPr="00726D52">
        <w:rPr>
          <w:rFonts w:eastAsia="Times New Roman"/>
          <w:noProof/>
          <w:color w:val="000000" w:themeColor="text1"/>
        </w:rPr>
        <w:t>6</w:t>
      </w:r>
      <w:r w:rsidRPr="00726D52">
        <w:rPr>
          <w:rFonts w:eastAsia="Times New Roman"/>
          <w:noProof/>
          <w:color w:val="000000" w:themeColor="text1"/>
        </w:rPr>
        <w:t>.</w:t>
      </w:r>
    </w:p>
    <w:p w14:paraId="0EE88155" w14:textId="1560909C" w:rsidR="006B087E" w:rsidRPr="00726D52" w:rsidRDefault="006B087E" w:rsidP="57437D81">
      <w:pPr>
        <w:rPr>
          <w:noProof/>
        </w:rPr>
      </w:pPr>
    </w:p>
    <w:p w14:paraId="3CA6A4FA" w14:textId="7525CF4B" w:rsidR="006B087E" w:rsidRPr="00726D52" w:rsidRDefault="006B087E" w:rsidP="4EDD5F03">
      <w:pPr>
        <w:spacing w:before="120" w:after="120" w:line="260" w:lineRule="atLeast"/>
        <w:rPr>
          <w:rFonts w:ascii="Arial" w:eastAsia="Arial" w:hAnsi="Arial" w:cs="Arial"/>
          <w:noProof/>
          <w:color w:val="000000" w:themeColor="text1"/>
          <w:sz w:val="22"/>
          <w:szCs w:val="22"/>
        </w:rPr>
        <w:sectPr w:rsidR="006B087E" w:rsidRPr="00726D52" w:rsidSect="0053316B">
          <w:headerReference w:type="default" r:id="rId29"/>
          <w:footerReference w:type="default" r:id="rId30"/>
          <w:headerReference w:type="first" r:id="rId31"/>
          <w:footerReference w:type="first" r:id="rId32"/>
          <w:pgSz w:w="11906" w:h="16838"/>
          <w:pgMar w:top="1020" w:right="1701" w:bottom="1020" w:left="1587" w:header="601" w:footer="1077" w:gutter="0"/>
          <w:cols w:space="720"/>
          <w:titlePg/>
        </w:sectPr>
      </w:pPr>
    </w:p>
    <w:p w14:paraId="7F361B99" w14:textId="03A208C3" w:rsidR="00181F4A" w:rsidRPr="00726D52" w:rsidRDefault="0D9886C2" w:rsidP="2C37EBCE">
      <w:pPr>
        <w:pStyle w:val="AnnexTitle"/>
        <w:rPr>
          <w:noProof/>
          <w:szCs w:val="32"/>
        </w:rPr>
      </w:pPr>
      <w:bookmarkStart w:id="22" w:name="_Toc224614039"/>
      <w:r w:rsidRPr="00726D52">
        <w:rPr>
          <w:noProof/>
        </w:rPr>
        <w:lastRenderedPageBreak/>
        <w:t>Annex 1: Procedural information</w:t>
      </w:r>
      <w:bookmarkEnd w:id="22"/>
    </w:p>
    <w:p w14:paraId="2A8E1E99" w14:textId="7E62E5AF" w:rsidR="00181F4A" w:rsidRPr="00726D52" w:rsidRDefault="00181F4A" w:rsidP="20BA3F03">
      <w:pPr>
        <w:pStyle w:val="Heading1"/>
        <w:numPr>
          <w:ilvl w:val="0"/>
          <w:numId w:val="0"/>
        </w:numPr>
        <w:rPr>
          <w:noProof/>
          <w:color w:val="000000" w:themeColor="text1"/>
        </w:rPr>
      </w:pPr>
    </w:p>
    <w:p w14:paraId="41A1093D" w14:textId="5B5F55C3" w:rsidR="00181F4A" w:rsidRPr="00726D52" w:rsidRDefault="42249B20" w:rsidP="63EBA656">
      <w:pPr>
        <w:pStyle w:val="Heading1"/>
        <w:numPr>
          <w:ilvl w:val="0"/>
          <w:numId w:val="0"/>
        </w:numPr>
        <w:rPr>
          <w:noProof/>
          <w:color w:val="000000" w:themeColor="text1"/>
        </w:rPr>
      </w:pPr>
      <w:bookmarkStart w:id="23" w:name="_Toc224614040"/>
      <w:r w:rsidRPr="00726D52">
        <w:rPr>
          <w:noProof/>
          <w:color w:val="000000" w:themeColor="text1"/>
        </w:rPr>
        <w:t>Lead DG, D</w:t>
      </w:r>
      <w:r w:rsidRPr="00726D52">
        <w:rPr>
          <w:i/>
          <w:noProof/>
          <w:color w:val="000000" w:themeColor="text1"/>
        </w:rPr>
        <w:t>e</w:t>
      </w:r>
      <w:r w:rsidRPr="00726D52">
        <w:rPr>
          <w:noProof/>
          <w:color w:val="000000" w:themeColor="text1"/>
        </w:rPr>
        <w:t>cide Planning/CWP references</w:t>
      </w:r>
      <w:bookmarkEnd w:id="23"/>
    </w:p>
    <w:p w14:paraId="04856DDC" w14:textId="59FEF135" w:rsidR="00181F4A" w:rsidRPr="00726D52" w:rsidRDefault="42249B20" w:rsidP="35281CB8">
      <w:pPr>
        <w:pStyle w:val="Text1"/>
        <w:ind w:left="0"/>
        <w:rPr>
          <w:noProof/>
          <w:color w:val="000000" w:themeColor="text1"/>
        </w:rPr>
      </w:pPr>
      <w:r w:rsidRPr="00726D52">
        <w:rPr>
          <w:noProof/>
          <w:color w:val="000000" w:themeColor="text1"/>
        </w:rPr>
        <w:t xml:space="preserve">The lead DG is the Directorate-General for Migration and Home Affairs (DG HOME). The agenda planning (Decide) reference </w:t>
      </w:r>
      <w:r w:rsidR="03ED6D3E" w:rsidRPr="00726D52">
        <w:rPr>
          <w:noProof/>
          <w:color w:val="000000" w:themeColor="text1"/>
        </w:rPr>
        <w:t>for</w:t>
      </w:r>
      <w:r w:rsidRPr="00726D52">
        <w:rPr>
          <w:noProof/>
          <w:color w:val="000000" w:themeColor="text1"/>
        </w:rPr>
        <w:t xml:space="preserve"> the </w:t>
      </w:r>
      <w:r w:rsidR="03ED6D3E" w:rsidRPr="00726D52">
        <w:rPr>
          <w:noProof/>
          <w:color w:val="000000" w:themeColor="text1"/>
        </w:rPr>
        <w:t>Proposal</w:t>
      </w:r>
      <w:r w:rsidRPr="00726D52">
        <w:rPr>
          <w:noProof/>
          <w:color w:val="000000" w:themeColor="text1"/>
        </w:rPr>
        <w:t xml:space="preserve"> </w:t>
      </w:r>
      <w:r w:rsidR="792915F5" w:rsidRPr="00726D52">
        <w:rPr>
          <w:noProof/>
          <w:color w:val="000000" w:themeColor="text1"/>
        </w:rPr>
        <w:t>for a Regulation on Europol</w:t>
      </w:r>
      <w:r w:rsidRPr="00726D52">
        <w:rPr>
          <w:noProof/>
          <w:color w:val="000000" w:themeColor="text1"/>
        </w:rPr>
        <w:t xml:space="preserve"> is PLAN/2025/524.</w:t>
      </w:r>
    </w:p>
    <w:p w14:paraId="617B432F" w14:textId="5900AD07" w:rsidR="00181F4A" w:rsidRPr="00726D52" w:rsidRDefault="42249B20" w:rsidP="63EBA656">
      <w:pPr>
        <w:pStyle w:val="Heading1"/>
        <w:numPr>
          <w:ilvl w:val="0"/>
          <w:numId w:val="0"/>
        </w:numPr>
        <w:rPr>
          <w:noProof/>
          <w:color w:val="000000" w:themeColor="text1"/>
        </w:rPr>
      </w:pPr>
      <w:bookmarkStart w:id="24" w:name="_Toc224614041"/>
      <w:r w:rsidRPr="00726D52">
        <w:rPr>
          <w:noProof/>
          <w:color w:val="000000" w:themeColor="text1"/>
        </w:rPr>
        <w:t>Organisation and timing</w:t>
      </w:r>
      <w:bookmarkEnd w:id="24"/>
    </w:p>
    <w:p w14:paraId="512DBE41" w14:textId="0F536F69" w:rsidR="00181F4A" w:rsidRPr="00726D52" w:rsidRDefault="42249B20" w:rsidP="35281CB8">
      <w:pPr>
        <w:spacing w:after="120" w:line="257" w:lineRule="auto"/>
        <w:rPr>
          <w:rFonts w:eastAsia="Times New Roman"/>
          <w:noProof/>
          <w:color w:val="000000" w:themeColor="text1"/>
        </w:rPr>
      </w:pPr>
      <w:r w:rsidRPr="00726D52">
        <w:rPr>
          <w:rFonts w:eastAsia="Times New Roman"/>
          <w:noProof/>
          <w:color w:val="000000" w:themeColor="text1"/>
        </w:rPr>
        <w:t>Th</w:t>
      </w:r>
      <w:r w:rsidR="49C3D1D7" w:rsidRPr="00726D52">
        <w:rPr>
          <w:rFonts w:eastAsia="Times New Roman"/>
          <w:noProof/>
          <w:color w:val="000000" w:themeColor="text1"/>
        </w:rPr>
        <w:t>e</w:t>
      </w:r>
      <w:r w:rsidRPr="00726D52">
        <w:rPr>
          <w:rFonts w:eastAsia="Times New Roman"/>
          <w:noProof/>
          <w:color w:val="000000" w:themeColor="text1"/>
        </w:rPr>
        <w:t xml:space="preserve"> initiative is </w:t>
      </w:r>
      <w:r w:rsidR="6C4DB481" w:rsidRPr="00726D52">
        <w:rPr>
          <w:rFonts w:eastAsia="Times New Roman"/>
          <w:noProof/>
          <w:color w:val="000000" w:themeColor="text1"/>
        </w:rPr>
        <w:t>plann</w:t>
      </w:r>
      <w:r w:rsidR="310BF9F2" w:rsidRPr="00726D52">
        <w:rPr>
          <w:rFonts w:eastAsia="Times New Roman"/>
          <w:noProof/>
          <w:color w:val="000000" w:themeColor="text1"/>
        </w:rPr>
        <w:t>ed</w:t>
      </w:r>
      <w:r w:rsidR="590D480D" w:rsidRPr="00726D52">
        <w:rPr>
          <w:rFonts w:eastAsia="Times New Roman"/>
          <w:noProof/>
          <w:color w:val="000000" w:themeColor="text1"/>
        </w:rPr>
        <w:t xml:space="preserve"> for Q2 2026 by</w:t>
      </w:r>
      <w:r w:rsidRPr="00726D52">
        <w:rPr>
          <w:rFonts w:eastAsia="Times New Roman"/>
          <w:noProof/>
          <w:color w:val="000000" w:themeColor="text1"/>
        </w:rPr>
        <w:t xml:space="preserve"> the Commission Work Programme 2026</w:t>
      </w:r>
      <w:r w:rsidR="24F1D734" w:rsidRPr="00726D52">
        <w:rPr>
          <w:rFonts w:eastAsia="Times New Roman"/>
          <w:noProof/>
          <w:color w:val="000000" w:themeColor="text1"/>
        </w:rPr>
        <w:t>.</w:t>
      </w:r>
      <w:r w:rsidRPr="00726D52">
        <w:rPr>
          <w:rFonts w:eastAsia="Times New Roman"/>
          <w:noProof/>
          <w:color w:val="000000" w:themeColor="text1"/>
        </w:rPr>
        <w:t xml:space="preserve"> </w:t>
      </w:r>
    </w:p>
    <w:p w14:paraId="2A5ED284" w14:textId="534E6797" w:rsidR="00181F4A" w:rsidRPr="00726D52" w:rsidRDefault="42249B20" w:rsidP="4DCCB685">
      <w:pPr>
        <w:spacing w:after="120" w:line="257" w:lineRule="auto"/>
        <w:rPr>
          <w:rFonts w:eastAsia="Times New Roman"/>
          <w:noProof/>
        </w:rPr>
      </w:pPr>
      <w:r w:rsidRPr="00726D52">
        <w:rPr>
          <w:rFonts w:eastAsia="Times New Roman"/>
          <w:noProof/>
        </w:rPr>
        <w:t>The Interservice Steering Group (ISSG</w:t>
      </w:r>
      <w:r w:rsidRPr="00726D52">
        <w:rPr>
          <w:rFonts w:eastAsia="Times New Roman"/>
          <w:noProof/>
          <w:u w:val="single"/>
        </w:rPr>
        <w:t>)</w:t>
      </w:r>
      <w:r w:rsidRPr="00726D52">
        <w:rPr>
          <w:rFonts w:eastAsia="Times New Roman"/>
          <w:noProof/>
        </w:rPr>
        <w:t xml:space="preserve"> </w:t>
      </w:r>
      <w:r w:rsidR="4A82EAEC" w:rsidRPr="00726D52">
        <w:rPr>
          <w:rFonts w:eastAsia="Times New Roman"/>
          <w:noProof/>
        </w:rPr>
        <w:t xml:space="preserve">on the Revision of Europol </w:t>
      </w:r>
      <w:r w:rsidR="64D8FB8B" w:rsidRPr="00726D52">
        <w:rPr>
          <w:rFonts w:eastAsia="Times New Roman"/>
          <w:noProof/>
        </w:rPr>
        <w:t xml:space="preserve">co-chaired by SG and HOME </w:t>
      </w:r>
      <w:r w:rsidRPr="00726D52">
        <w:rPr>
          <w:rFonts w:eastAsia="Times New Roman"/>
          <w:noProof/>
        </w:rPr>
        <w:t xml:space="preserve">was </w:t>
      </w:r>
      <w:r w:rsidR="4A82EAEC" w:rsidRPr="00726D52">
        <w:rPr>
          <w:rFonts w:eastAsia="Times New Roman"/>
          <w:noProof/>
        </w:rPr>
        <w:t xml:space="preserve">composed of the following </w:t>
      </w:r>
      <w:r w:rsidR="66B1C04D" w:rsidRPr="00726D52">
        <w:rPr>
          <w:rFonts w:eastAsia="Times New Roman"/>
          <w:noProof/>
        </w:rPr>
        <w:t xml:space="preserve">further </w:t>
      </w:r>
      <w:r w:rsidR="4A82EAEC" w:rsidRPr="00726D52">
        <w:rPr>
          <w:rFonts w:eastAsia="Times New Roman"/>
          <w:noProof/>
        </w:rPr>
        <w:t xml:space="preserve">services: </w:t>
      </w:r>
      <w:r w:rsidR="2E77F596" w:rsidRPr="00726D52">
        <w:rPr>
          <w:rFonts w:eastAsia="Times New Roman"/>
          <w:noProof/>
        </w:rPr>
        <w:t>SJ,</w:t>
      </w:r>
      <w:r w:rsidR="28C2B53B" w:rsidRPr="00726D52">
        <w:rPr>
          <w:rFonts w:eastAsia="Times New Roman"/>
          <w:noProof/>
        </w:rPr>
        <w:t xml:space="preserve"> BUDG, CNECT,</w:t>
      </w:r>
      <w:r w:rsidR="2E77F596" w:rsidRPr="00726D52">
        <w:rPr>
          <w:rFonts w:eastAsia="Times New Roman"/>
          <w:noProof/>
        </w:rPr>
        <w:t xml:space="preserve"> </w:t>
      </w:r>
      <w:r w:rsidR="2A9999C7" w:rsidRPr="00726D52">
        <w:rPr>
          <w:rFonts w:eastAsia="Times New Roman"/>
          <w:noProof/>
        </w:rPr>
        <w:t>EEAS, ENEST, FISMA,</w:t>
      </w:r>
      <w:r w:rsidR="1EDA2006" w:rsidRPr="00726D52">
        <w:rPr>
          <w:rFonts w:eastAsia="Times New Roman"/>
          <w:noProof/>
        </w:rPr>
        <w:t xml:space="preserve"> FPI,</w:t>
      </w:r>
      <w:r w:rsidR="2A9999C7" w:rsidRPr="00726D52">
        <w:rPr>
          <w:rFonts w:eastAsia="Times New Roman"/>
          <w:noProof/>
        </w:rPr>
        <w:t xml:space="preserve"> </w:t>
      </w:r>
      <w:r w:rsidR="6BD98512" w:rsidRPr="00726D52">
        <w:rPr>
          <w:rFonts w:eastAsia="Times New Roman"/>
          <w:noProof/>
        </w:rPr>
        <w:t xml:space="preserve">HR, </w:t>
      </w:r>
      <w:r w:rsidR="28C98DD3" w:rsidRPr="00726D52">
        <w:rPr>
          <w:rFonts w:eastAsia="Times New Roman"/>
          <w:noProof/>
        </w:rPr>
        <w:t>IAS, INTPA,</w:t>
      </w:r>
      <w:r w:rsidR="2A9999C7" w:rsidRPr="00726D52">
        <w:rPr>
          <w:rFonts w:eastAsia="Times New Roman"/>
          <w:noProof/>
        </w:rPr>
        <w:t xml:space="preserve"> </w:t>
      </w:r>
      <w:r w:rsidR="1D21E72F" w:rsidRPr="00726D52">
        <w:rPr>
          <w:rFonts w:eastAsia="Times New Roman"/>
          <w:noProof/>
        </w:rPr>
        <w:t xml:space="preserve">JRC, </w:t>
      </w:r>
      <w:r w:rsidR="2E77F596" w:rsidRPr="00726D52">
        <w:rPr>
          <w:rFonts w:eastAsia="Times New Roman"/>
          <w:noProof/>
        </w:rPr>
        <w:t>JUST,</w:t>
      </w:r>
      <w:r w:rsidR="6FF659A1" w:rsidRPr="00726D52">
        <w:rPr>
          <w:rFonts w:eastAsia="Times New Roman"/>
          <w:noProof/>
        </w:rPr>
        <w:t xml:space="preserve"> MARE, MENA, OLAF, RTD,</w:t>
      </w:r>
      <w:r w:rsidR="2E77F596" w:rsidRPr="00726D52">
        <w:rPr>
          <w:rFonts w:eastAsia="Times New Roman"/>
          <w:noProof/>
        </w:rPr>
        <w:t>TAXUD</w:t>
      </w:r>
      <w:r w:rsidR="4E2A6F42" w:rsidRPr="00726D52">
        <w:rPr>
          <w:rFonts w:eastAsia="Times New Roman"/>
          <w:noProof/>
        </w:rPr>
        <w:t>.</w:t>
      </w:r>
    </w:p>
    <w:p w14:paraId="1C1365E8" w14:textId="77777777" w:rsidR="00E27FC8" w:rsidRPr="00726D52" w:rsidRDefault="4A82EAEC" w:rsidP="65BA4904">
      <w:pPr>
        <w:spacing w:after="120" w:line="257" w:lineRule="auto"/>
        <w:rPr>
          <w:rFonts w:eastAsia="Times New Roman"/>
          <w:noProof/>
          <w:color w:val="000000" w:themeColor="text1"/>
        </w:rPr>
      </w:pPr>
      <w:r w:rsidRPr="00726D52">
        <w:rPr>
          <w:rFonts w:eastAsia="Times New Roman"/>
          <w:noProof/>
          <w:color w:val="000000" w:themeColor="text1"/>
        </w:rPr>
        <w:t>The ISSG on the Revision of Europol met four times to discuss the preparations for the upcoming initiative</w:t>
      </w:r>
      <w:r w:rsidR="08C7CA8A" w:rsidRPr="00726D52">
        <w:rPr>
          <w:rFonts w:eastAsia="Times New Roman"/>
          <w:noProof/>
          <w:color w:val="000000" w:themeColor="text1"/>
        </w:rPr>
        <w:t xml:space="preserve">, namely on 11 April 2025, 11 December 2025, </w:t>
      </w:r>
      <w:r w:rsidR="47064670" w:rsidRPr="00726D52">
        <w:rPr>
          <w:rFonts w:eastAsia="Times New Roman"/>
          <w:noProof/>
          <w:color w:val="000000" w:themeColor="text1"/>
        </w:rPr>
        <w:t xml:space="preserve">11 </w:t>
      </w:r>
      <w:r w:rsidR="08C7CA8A" w:rsidRPr="00726D52">
        <w:rPr>
          <w:rFonts w:eastAsia="Times New Roman"/>
          <w:noProof/>
          <w:color w:val="000000" w:themeColor="text1"/>
        </w:rPr>
        <w:t xml:space="preserve">February 2026 and 10 March 2026. </w:t>
      </w:r>
    </w:p>
    <w:p w14:paraId="3AF973B7" w14:textId="2448E8B0" w:rsidR="4D219B45" w:rsidRPr="00726D52" w:rsidRDefault="1BF5D186" w:rsidP="65BA4904">
      <w:pPr>
        <w:spacing w:after="120" w:line="257" w:lineRule="auto"/>
        <w:rPr>
          <w:noProof/>
        </w:rPr>
      </w:pPr>
      <w:r w:rsidRPr="00726D52">
        <w:rPr>
          <w:rFonts w:eastAsia="Times New Roman"/>
          <w:noProof/>
          <w:color w:val="000000" w:themeColor="text1"/>
        </w:rPr>
        <w:t xml:space="preserve">At the meeting of 11 April 2025, the ISSG discussed </w:t>
      </w:r>
      <w:r w:rsidR="78951E62" w:rsidRPr="00726D52">
        <w:rPr>
          <w:rFonts w:eastAsia="Times New Roman"/>
          <w:noProof/>
          <w:color w:val="000000" w:themeColor="text1"/>
        </w:rPr>
        <w:t>about the upcoming initiative and</w:t>
      </w:r>
      <w:r w:rsidR="4A82EAEC" w:rsidRPr="00726D52">
        <w:rPr>
          <w:rFonts w:eastAsia="Times New Roman"/>
          <w:noProof/>
          <w:color w:val="000000" w:themeColor="text1"/>
        </w:rPr>
        <w:t xml:space="preserve"> </w:t>
      </w:r>
      <w:r w:rsidR="7B712289" w:rsidRPr="00726D52">
        <w:rPr>
          <w:rFonts w:eastAsia="Times New Roman"/>
          <w:noProof/>
          <w:color w:val="000000" w:themeColor="text1"/>
        </w:rPr>
        <w:t xml:space="preserve">the terms of reference </w:t>
      </w:r>
      <w:r w:rsidR="1BD1D81A" w:rsidRPr="00726D52">
        <w:rPr>
          <w:rFonts w:eastAsia="Times New Roman"/>
          <w:noProof/>
          <w:color w:val="000000" w:themeColor="text1"/>
        </w:rPr>
        <w:t>for an external study</w:t>
      </w:r>
      <w:r w:rsidR="7B712289" w:rsidRPr="00726D52">
        <w:rPr>
          <w:rFonts w:eastAsia="Times New Roman"/>
          <w:noProof/>
          <w:color w:val="000000" w:themeColor="text1"/>
        </w:rPr>
        <w:t xml:space="preserve"> </w:t>
      </w:r>
      <w:r w:rsidR="7B712289" w:rsidRPr="00726D52">
        <w:rPr>
          <w:noProof/>
        </w:rPr>
        <w:t xml:space="preserve">supporting the </w:t>
      </w:r>
      <w:r w:rsidR="3AB4FAA8" w:rsidRPr="00726D52">
        <w:rPr>
          <w:noProof/>
        </w:rPr>
        <w:t>back-to</w:t>
      </w:r>
      <w:r w:rsidR="7E0478D8" w:rsidRPr="00726D52">
        <w:rPr>
          <w:noProof/>
        </w:rPr>
        <w:t>-</w:t>
      </w:r>
      <w:r w:rsidR="3AB4FAA8" w:rsidRPr="00726D52">
        <w:rPr>
          <w:noProof/>
        </w:rPr>
        <w:t xml:space="preserve">back </w:t>
      </w:r>
      <w:r w:rsidR="7B712289" w:rsidRPr="00726D52">
        <w:rPr>
          <w:noProof/>
        </w:rPr>
        <w:t xml:space="preserve">evaluation </w:t>
      </w:r>
      <w:r w:rsidR="668F1F4C" w:rsidRPr="00726D52">
        <w:rPr>
          <w:noProof/>
        </w:rPr>
        <w:t xml:space="preserve">of the Europol Regulation </w:t>
      </w:r>
      <w:r w:rsidR="7B712289" w:rsidRPr="00726D52">
        <w:rPr>
          <w:noProof/>
        </w:rPr>
        <w:t xml:space="preserve">and the impact assessment </w:t>
      </w:r>
      <w:r w:rsidR="1B2FFA24" w:rsidRPr="00726D52">
        <w:rPr>
          <w:noProof/>
        </w:rPr>
        <w:t>for its revision</w:t>
      </w:r>
      <w:r w:rsidR="15643000" w:rsidRPr="00726D52">
        <w:rPr>
          <w:noProof/>
        </w:rPr>
        <w:t>.</w:t>
      </w:r>
    </w:p>
    <w:p w14:paraId="4124C8B2" w14:textId="2529D469" w:rsidR="4D219B45" w:rsidRPr="00726D52" w:rsidRDefault="4D219B45" w:rsidP="33CEDB80">
      <w:pPr>
        <w:spacing w:after="120" w:line="257" w:lineRule="auto"/>
        <w:rPr>
          <w:noProof/>
        </w:rPr>
      </w:pPr>
      <w:r w:rsidRPr="00726D52">
        <w:rPr>
          <w:rFonts w:eastAsia="Times New Roman"/>
          <w:noProof/>
          <w:color w:val="000000" w:themeColor="text1"/>
        </w:rPr>
        <w:t>At the meeting of 11</w:t>
      </w:r>
      <w:r w:rsidR="0835AC92" w:rsidRPr="00726D52">
        <w:rPr>
          <w:rFonts w:eastAsia="Times New Roman"/>
          <w:noProof/>
          <w:color w:val="000000" w:themeColor="text1"/>
        </w:rPr>
        <w:t xml:space="preserve"> </w:t>
      </w:r>
      <w:r w:rsidR="08012DB1" w:rsidRPr="00726D52">
        <w:rPr>
          <w:rFonts w:eastAsia="Times New Roman"/>
          <w:noProof/>
          <w:color w:val="000000" w:themeColor="text1"/>
        </w:rPr>
        <w:t>December 2025</w:t>
      </w:r>
      <w:r w:rsidRPr="00726D52">
        <w:rPr>
          <w:rFonts w:eastAsia="Times New Roman"/>
          <w:noProof/>
          <w:color w:val="000000" w:themeColor="text1"/>
        </w:rPr>
        <w:t xml:space="preserve">, after the draft interim report of the external </w:t>
      </w:r>
      <w:r w:rsidRPr="00726D52">
        <w:rPr>
          <w:noProof/>
        </w:rPr>
        <w:t xml:space="preserve">’Study supporting the evaluation and the impact assessment of the Europol Regulation’ was presented by the contractor, </w:t>
      </w:r>
      <w:r w:rsidR="310446AD" w:rsidRPr="00726D52">
        <w:rPr>
          <w:noProof/>
        </w:rPr>
        <w:t>focusing on the findings of the evaluation,</w:t>
      </w:r>
      <w:r w:rsidRPr="00726D52">
        <w:rPr>
          <w:noProof/>
        </w:rPr>
        <w:t xml:space="preserve"> the ISSG discussed the Commission report </w:t>
      </w:r>
      <w:r w:rsidR="78ACABD1" w:rsidRPr="00726D52">
        <w:rPr>
          <w:noProof/>
        </w:rPr>
        <w:t xml:space="preserve">delivered pursuant to Article 68(3) of the Europol Regulation </w:t>
      </w:r>
      <w:r w:rsidR="1E9F283B" w:rsidRPr="00726D52">
        <w:rPr>
          <w:noProof/>
        </w:rPr>
        <w:t>and the draft intervention logic for the upcoming legislative initiative prepared by DG HOME.</w:t>
      </w:r>
    </w:p>
    <w:p w14:paraId="11EE966E" w14:textId="2F8A8B35" w:rsidR="27A4789E" w:rsidRPr="00726D52" w:rsidRDefault="27A4789E" w:rsidP="508D69C4">
      <w:pPr>
        <w:spacing w:after="120" w:line="257" w:lineRule="auto"/>
        <w:rPr>
          <w:rFonts w:eastAsia="Times New Roman"/>
          <w:noProof/>
          <w:color w:val="000000" w:themeColor="text1"/>
        </w:rPr>
      </w:pPr>
      <w:r w:rsidRPr="00726D52">
        <w:rPr>
          <w:rFonts w:eastAsia="Times New Roman"/>
          <w:noProof/>
          <w:color w:val="000000" w:themeColor="text1"/>
        </w:rPr>
        <w:t>At the meeting of 11 February 2026</w:t>
      </w:r>
      <w:r w:rsidR="6007EA8E" w:rsidRPr="00726D52">
        <w:rPr>
          <w:rFonts w:eastAsia="Times New Roman"/>
          <w:noProof/>
          <w:color w:val="000000" w:themeColor="text1"/>
        </w:rPr>
        <w:t>, the ISSG discussed a very preliminary draft of sections 1-5 of th</w:t>
      </w:r>
      <w:r w:rsidR="1D3574BA" w:rsidRPr="00726D52">
        <w:rPr>
          <w:rFonts w:eastAsia="Times New Roman"/>
          <w:noProof/>
          <w:color w:val="000000" w:themeColor="text1"/>
        </w:rPr>
        <w:t>is</w:t>
      </w:r>
      <w:r w:rsidR="6007EA8E" w:rsidRPr="00726D52">
        <w:rPr>
          <w:rFonts w:eastAsia="Times New Roman"/>
          <w:noProof/>
          <w:color w:val="000000" w:themeColor="text1"/>
        </w:rPr>
        <w:t xml:space="preserve"> </w:t>
      </w:r>
      <w:r w:rsidR="007B1A0E" w:rsidRPr="00726D52">
        <w:rPr>
          <w:rFonts w:eastAsia="Times New Roman"/>
          <w:noProof/>
          <w:color w:val="000000" w:themeColor="text1"/>
        </w:rPr>
        <w:t>I</w:t>
      </w:r>
      <w:r w:rsidR="6007EA8E" w:rsidRPr="00726D52">
        <w:rPr>
          <w:rFonts w:eastAsia="Times New Roman"/>
          <w:noProof/>
          <w:color w:val="000000" w:themeColor="text1"/>
        </w:rPr>
        <w:t xml:space="preserve">mpact </w:t>
      </w:r>
      <w:r w:rsidR="007B1A0E" w:rsidRPr="00726D52">
        <w:rPr>
          <w:rFonts w:eastAsia="Times New Roman"/>
          <w:noProof/>
          <w:color w:val="000000" w:themeColor="text1"/>
        </w:rPr>
        <w:t>A</w:t>
      </w:r>
      <w:r w:rsidR="6007EA8E" w:rsidRPr="00726D52">
        <w:rPr>
          <w:rFonts w:eastAsia="Times New Roman"/>
          <w:noProof/>
          <w:color w:val="000000" w:themeColor="text1"/>
        </w:rPr>
        <w:t xml:space="preserve">ssessment report </w:t>
      </w:r>
      <w:r w:rsidR="0051040E" w:rsidRPr="00726D52">
        <w:rPr>
          <w:rFonts w:eastAsia="Times New Roman"/>
          <w:noProof/>
          <w:color w:val="000000" w:themeColor="text1"/>
        </w:rPr>
        <w:t xml:space="preserve">(SWD) </w:t>
      </w:r>
      <w:r w:rsidR="6007EA8E" w:rsidRPr="00726D52">
        <w:rPr>
          <w:rFonts w:eastAsia="Times New Roman"/>
          <w:noProof/>
          <w:color w:val="000000" w:themeColor="text1"/>
        </w:rPr>
        <w:t xml:space="preserve">to allow the Commission services to </w:t>
      </w:r>
      <w:r w:rsidR="4277B742" w:rsidRPr="00726D52">
        <w:rPr>
          <w:rFonts w:eastAsia="Times New Roman"/>
          <w:noProof/>
          <w:color w:val="000000" w:themeColor="text1"/>
        </w:rPr>
        <w:t xml:space="preserve">discuss and </w:t>
      </w:r>
      <w:r w:rsidR="6007EA8E" w:rsidRPr="00726D52">
        <w:rPr>
          <w:rFonts w:eastAsia="Times New Roman"/>
          <w:noProof/>
          <w:color w:val="000000" w:themeColor="text1"/>
        </w:rPr>
        <w:t>agree on the problem defin</w:t>
      </w:r>
      <w:r w:rsidR="00895CF3" w:rsidRPr="00726D52">
        <w:rPr>
          <w:rFonts w:eastAsia="Times New Roman"/>
          <w:noProof/>
          <w:color w:val="000000" w:themeColor="text1"/>
        </w:rPr>
        <w:t>i</w:t>
      </w:r>
      <w:r w:rsidR="6007EA8E" w:rsidRPr="00726D52">
        <w:rPr>
          <w:rFonts w:eastAsia="Times New Roman"/>
          <w:noProof/>
          <w:color w:val="000000" w:themeColor="text1"/>
        </w:rPr>
        <w:t>tion</w:t>
      </w:r>
      <w:r w:rsidR="0B0124D7" w:rsidRPr="00726D52">
        <w:rPr>
          <w:rFonts w:eastAsia="Times New Roman"/>
          <w:noProof/>
          <w:color w:val="000000" w:themeColor="text1"/>
        </w:rPr>
        <w:t xml:space="preserve">, objectives and policy options. DG HOME later shared a </w:t>
      </w:r>
      <w:r w:rsidR="1BAC463B" w:rsidRPr="00726D52">
        <w:rPr>
          <w:rFonts w:eastAsia="Times New Roman"/>
          <w:noProof/>
          <w:color w:val="000000" w:themeColor="text1"/>
        </w:rPr>
        <w:t xml:space="preserve">consolidated </w:t>
      </w:r>
      <w:r w:rsidR="2C3D233F" w:rsidRPr="00726D52">
        <w:rPr>
          <w:rFonts w:eastAsia="Times New Roman"/>
          <w:noProof/>
          <w:color w:val="000000" w:themeColor="text1"/>
        </w:rPr>
        <w:t>version</w:t>
      </w:r>
      <w:r w:rsidR="1BAC463B" w:rsidRPr="00726D52">
        <w:rPr>
          <w:rFonts w:eastAsia="Times New Roman"/>
          <w:noProof/>
          <w:color w:val="000000" w:themeColor="text1"/>
        </w:rPr>
        <w:t xml:space="preserve"> of the draft SWD to allow </w:t>
      </w:r>
      <w:r w:rsidR="5D5D080B" w:rsidRPr="00726D52">
        <w:rPr>
          <w:rFonts w:eastAsia="Times New Roman"/>
          <w:noProof/>
          <w:color w:val="000000" w:themeColor="text1"/>
        </w:rPr>
        <w:t xml:space="preserve">the ISSG to comment in writing </w:t>
      </w:r>
      <w:r w:rsidR="1BAC463B" w:rsidRPr="00726D52">
        <w:rPr>
          <w:rFonts w:eastAsia="Times New Roman"/>
          <w:noProof/>
          <w:color w:val="000000" w:themeColor="text1"/>
        </w:rPr>
        <w:t>by 4 March 2026</w:t>
      </w:r>
      <w:r w:rsidR="14350D9F" w:rsidRPr="00726D52">
        <w:rPr>
          <w:rFonts w:eastAsia="Times New Roman"/>
          <w:noProof/>
          <w:color w:val="000000" w:themeColor="text1"/>
        </w:rPr>
        <w:t>.</w:t>
      </w:r>
    </w:p>
    <w:p w14:paraId="44CC9E51" w14:textId="534CFA9C" w:rsidR="00181F4A" w:rsidRPr="00726D52" w:rsidRDefault="51304530" w:rsidP="35281CB8">
      <w:pPr>
        <w:spacing w:after="120" w:line="257" w:lineRule="auto"/>
        <w:rPr>
          <w:rFonts w:eastAsia="Times New Roman"/>
          <w:noProof/>
          <w:color w:val="000000" w:themeColor="text1"/>
        </w:rPr>
      </w:pPr>
      <w:r w:rsidRPr="00726D52">
        <w:rPr>
          <w:rFonts w:eastAsia="Times New Roman"/>
          <w:noProof/>
          <w:color w:val="000000" w:themeColor="text1"/>
        </w:rPr>
        <w:t xml:space="preserve">At the meeting of </w:t>
      </w:r>
      <w:r w:rsidR="7B0C2A47" w:rsidRPr="00726D52">
        <w:rPr>
          <w:rFonts w:eastAsia="Times New Roman"/>
          <w:noProof/>
          <w:color w:val="000000" w:themeColor="text1"/>
        </w:rPr>
        <w:t>10 March 2026</w:t>
      </w:r>
      <w:r w:rsidRPr="00726D52">
        <w:rPr>
          <w:rFonts w:eastAsia="Times New Roman"/>
          <w:noProof/>
          <w:color w:val="000000" w:themeColor="text1"/>
        </w:rPr>
        <w:t xml:space="preserve">, </w:t>
      </w:r>
      <w:r w:rsidR="5383E532" w:rsidRPr="00726D52">
        <w:rPr>
          <w:rFonts w:eastAsia="Times New Roman"/>
          <w:noProof/>
          <w:color w:val="000000" w:themeColor="text1"/>
        </w:rPr>
        <w:t xml:space="preserve">after </w:t>
      </w:r>
      <w:r w:rsidRPr="00726D52">
        <w:rPr>
          <w:rFonts w:eastAsia="Times New Roman"/>
          <w:noProof/>
          <w:color w:val="000000" w:themeColor="text1"/>
        </w:rPr>
        <w:t xml:space="preserve">the draft final report of the </w:t>
      </w:r>
      <w:r w:rsidR="0F552902" w:rsidRPr="00726D52">
        <w:rPr>
          <w:rFonts w:eastAsia="Times New Roman"/>
          <w:noProof/>
          <w:color w:val="000000" w:themeColor="text1"/>
        </w:rPr>
        <w:t xml:space="preserve">external </w:t>
      </w:r>
      <w:r w:rsidRPr="00726D52">
        <w:rPr>
          <w:noProof/>
        </w:rPr>
        <w:t xml:space="preserve">’Study supporting the evaluation and the impact assessment of the Europol Regulation’ was </w:t>
      </w:r>
      <w:r w:rsidR="3ECF5EC3" w:rsidRPr="00726D52">
        <w:rPr>
          <w:noProof/>
        </w:rPr>
        <w:t>presented</w:t>
      </w:r>
      <w:r w:rsidRPr="00726D52">
        <w:rPr>
          <w:noProof/>
        </w:rPr>
        <w:t xml:space="preserve"> by the contractor</w:t>
      </w:r>
      <w:r w:rsidR="5F5F91BC" w:rsidRPr="00726D52">
        <w:rPr>
          <w:noProof/>
        </w:rPr>
        <w:t xml:space="preserve">, </w:t>
      </w:r>
      <w:r w:rsidR="57933865" w:rsidRPr="00726D52">
        <w:rPr>
          <w:noProof/>
        </w:rPr>
        <w:t>the draft SWD was discuss</w:t>
      </w:r>
      <w:r w:rsidR="66173000" w:rsidRPr="00726D52">
        <w:rPr>
          <w:noProof/>
        </w:rPr>
        <w:t>ed by the ISSG.</w:t>
      </w:r>
    </w:p>
    <w:p w14:paraId="2D6C916B" w14:textId="3A12DD83" w:rsidR="1BC2F6F5" w:rsidRPr="00726D52" w:rsidRDefault="1BC2F6F5" w:rsidP="5B4B1974">
      <w:pPr>
        <w:spacing w:after="120" w:line="257" w:lineRule="auto"/>
        <w:rPr>
          <w:noProof/>
        </w:rPr>
      </w:pPr>
      <w:r w:rsidRPr="00726D52">
        <w:rPr>
          <w:noProof/>
        </w:rPr>
        <w:t>Throughout the process, the ISSG was involved in all key intermediate steps</w:t>
      </w:r>
      <w:r w:rsidR="7215D3D0" w:rsidRPr="00726D52">
        <w:rPr>
          <w:noProof/>
        </w:rPr>
        <w:t xml:space="preserve">: e.g., </w:t>
      </w:r>
      <w:r w:rsidR="0051040E" w:rsidRPr="00726D52">
        <w:rPr>
          <w:noProof/>
        </w:rPr>
        <w:t>C</w:t>
      </w:r>
      <w:r w:rsidRPr="00726D52">
        <w:rPr>
          <w:noProof/>
        </w:rPr>
        <w:t xml:space="preserve">all for </w:t>
      </w:r>
      <w:r w:rsidR="0051040E" w:rsidRPr="00726D52">
        <w:rPr>
          <w:noProof/>
        </w:rPr>
        <w:t>E</w:t>
      </w:r>
      <w:r w:rsidRPr="00726D52">
        <w:rPr>
          <w:noProof/>
        </w:rPr>
        <w:t xml:space="preserve">vidence, </w:t>
      </w:r>
      <w:r w:rsidR="2C67B4F8" w:rsidRPr="00726D52">
        <w:rPr>
          <w:noProof/>
        </w:rPr>
        <w:t xml:space="preserve">consultation strategy, </w:t>
      </w:r>
      <w:r w:rsidRPr="00726D52">
        <w:rPr>
          <w:noProof/>
        </w:rPr>
        <w:t xml:space="preserve">public </w:t>
      </w:r>
      <w:r w:rsidR="5FE94713" w:rsidRPr="00726D52">
        <w:rPr>
          <w:noProof/>
        </w:rPr>
        <w:t xml:space="preserve">consultation questionnaire, targeted surveys, </w:t>
      </w:r>
      <w:r w:rsidR="62816384" w:rsidRPr="00726D52">
        <w:rPr>
          <w:noProof/>
        </w:rPr>
        <w:t>inception report of the external study, etc.</w:t>
      </w:r>
      <w:r w:rsidRPr="00726D52">
        <w:rPr>
          <w:noProof/>
        </w:rPr>
        <w:t xml:space="preserve"> </w:t>
      </w:r>
    </w:p>
    <w:p w14:paraId="4B6346D9" w14:textId="5CC09E74" w:rsidR="00181F4A" w:rsidRPr="00726D52" w:rsidRDefault="4AC47A6E" w:rsidP="4970C49B">
      <w:pPr>
        <w:pStyle w:val="Heading1"/>
        <w:numPr>
          <w:ilvl w:val="0"/>
          <w:numId w:val="0"/>
        </w:numPr>
        <w:rPr>
          <w:noProof/>
          <w:color w:val="000000" w:themeColor="text1"/>
        </w:rPr>
      </w:pPr>
      <w:bookmarkStart w:id="25" w:name="_Toc224614042"/>
      <w:r w:rsidRPr="00726D52">
        <w:rPr>
          <w:noProof/>
          <w:color w:val="000000" w:themeColor="text1"/>
        </w:rPr>
        <w:t>Consultation of the RSB</w:t>
      </w:r>
      <w:bookmarkEnd w:id="25"/>
    </w:p>
    <w:p w14:paraId="6BC3EEF8" w14:textId="2E7B29A6" w:rsidR="00181F4A" w:rsidRPr="00726D52" w:rsidRDefault="2BDE1849" w:rsidP="2CF07369">
      <w:pPr>
        <w:rPr>
          <w:rFonts w:eastAsia="Times New Roman"/>
          <w:noProof/>
          <w:color w:val="000000" w:themeColor="text1"/>
        </w:rPr>
      </w:pPr>
      <w:r w:rsidRPr="00726D52">
        <w:rPr>
          <w:rFonts w:eastAsia="Times New Roman"/>
          <w:noProof/>
          <w:color w:val="000000" w:themeColor="text1"/>
        </w:rPr>
        <w:t>D</w:t>
      </w:r>
      <w:r w:rsidR="7D33EF06" w:rsidRPr="00726D52">
        <w:rPr>
          <w:rFonts w:eastAsia="Times New Roman"/>
          <w:noProof/>
          <w:color w:val="000000" w:themeColor="text1"/>
        </w:rPr>
        <w:t>G</w:t>
      </w:r>
      <w:r w:rsidRPr="00726D52">
        <w:rPr>
          <w:rFonts w:eastAsia="Times New Roman"/>
          <w:noProof/>
          <w:color w:val="000000" w:themeColor="text1"/>
        </w:rPr>
        <w:t xml:space="preserve"> HOME has prepared this</w:t>
      </w:r>
      <w:r w:rsidR="4AC47A6E" w:rsidRPr="00726D52">
        <w:rPr>
          <w:rFonts w:eastAsia="Times New Roman"/>
          <w:noProof/>
          <w:color w:val="000000" w:themeColor="text1"/>
        </w:rPr>
        <w:t xml:space="preserve"> draft </w:t>
      </w:r>
      <w:r w:rsidRPr="00726D52">
        <w:rPr>
          <w:rFonts w:eastAsia="Times New Roman"/>
          <w:noProof/>
          <w:color w:val="000000" w:themeColor="text1"/>
        </w:rPr>
        <w:t>S</w:t>
      </w:r>
      <w:r w:rsidR="0051040E" w:rsidRPr="00726D52">
        <w:rPr>
          <w:rFonts w:eastAsia="Times New Roman"/>
          <w:noProof/>
          <w:color w:val="000000" w:themeColor="text1"/>
        </w:rPr>
        <w:t>WD</w:t>
      </w:r>
      <w:r w:rsidRPr="00726D52">
        <w:rPr>
          <w:rFonts w:eastAsia="Times New Roman"/>
          <w:noProof/>
          <w:color w:val="000000" w:themeColor="text1"/>
        </w:rPr>
        <w:t xml:space="preserve"> for submission</w:t>
      </w:r>
      <w:r w:rsidR="4AC47A6E" w:rsidRPr="00726D52">
        <w:rPr>
          <w:rFonts w:eastAsia="Times New Roman"/>
          <w:noProof/>
          <w:color w:val="000000" w:themeColor="text1"/>
        </w:rPr>
        <w:t xml:space="preserve"> to the Regulatory Scrutiny Board </w:t>
      </w:r>
      <w:r w:rsidRPr="00726D52">
        <w:rPr>
          <w:rFonts w:eastAsia="Times New Roman"/>
          <w:noProof/>
          <w:color w:val="000000" w:themeColor="text1"/>
        </w:rPr>
        <w:t xml:space="preserve">(RSB) </w:t>
      </w:r>
      <w:r w:rsidR="4AC47A6E" w:rsidRPr="00726D52">
        <w:rPr>
          <w:rFonts w:eastAsia="Times New Roman"/>
          <w:noProof/>
          <w:color w:val="000000" w:themeColor="text1"/>
        </w:rPr>
        <w:t xml:space="preserve">on 18 March 2026 with a view to the </w:t>
      </w:r>
      <w:r w:rsidRPr="00726D52">
        <w:rPr>
          <w:rFonts w:eastAsia="Times New Roman"/>
          <w:noProof/>
          <w:color w:val="000000" w:themeColor="text1"/>
        </w:rPr>
        <w:t xml:space="preserve">meeting with the </w:t>
      </w:r>
      <w:r w:rsidR="4AC47A6E" w:rsidRPr="00726D52">
        <w:rPr>
          <w:rFonts w:eastAsia="Times New Roman"/>
          <w:noProof/>
          <w:color w:val="000000" w:themeColor="text1"/>
        </w:rPr>
        <w:t xml:space="preserve">RSB </w:t>
      </w:r>
      <w:r w:rsidRPr="00726D52">
        <w:rPr>
          <w:rFonts w:eastAsia="Times New Roman"/>
          <w:noProof/>
          <w:color w:val="000000" w:themeColor="text1"/>
        </w:rPr>
        <w:t>scheduled for</w:t>
      </w:r>
      <w:r w:rsidR="4AC47A6E" w:rsidRPr="00726D52">
        <w:rPr>
          <w:rFonts w:eastAsia="Times New Roman"/>
          <w:noProof/>
          <w:color w:val="000000" w:themeColor="text1"/>
        </w:rPr>
        <w:t xml:space="preserve"> 15 April 2026.</w:t>
      </w:r>
    </w:p>
    <w:p w14:paraId="7285C109" w14:textId="28943257" w:rsidR="006079A9" w:rsidRPr="00726D52" w:rsidRDefault="006079A9" w:rsidP="006079A9">
      <w:pPr>
        <w:rPr>
          <w:rFonts w:eastAsia="Times New Roman"/>
          <w:noProof/>
          <w:color w:val="000000" w:themeColor="text1"/>
        </w:rPr>
      </w:pPr>
      <w:r w:rsidRPr="00726D52">
        <w:rPr>
          <w:rFonts w:eastAsia="Times New Roman"/>
          <w:noProof/>
          <w:color w:val="000000" w:themeColor="text1"/>
        </w:rPr>
        <w:lastRenderedPageBreak/>
        <w:t>An upstream meeting with the RSB took place on 9 January 2026 to discuss the preparation of the impact assessment accompanying the revision of the Europol Regulation. The discussion focused in particular on the problem definition and evidence base, the distinction between problem drivers and consequences, the operationalisation of objectives in SMART terms, and the design and comparison of policy options. Particular attention was given to fundamental rights and data protection impacts, the coherence of Europol’s role within the broader EU security and justice architecture, and the need for robust observational data and cost-benefit analysis. The RSB also provided guidance on strengthening the intervention logic, monitoring framework and overall reader-friendliness of the report.</w:t>
      </w:r>
    </w:p>
    <w:p w14:paraId="647C33B5" w14:textId="0D1F5BCD" w:rsidR="00C74B7F" w:rsidRPr="00726D52" w:rsidRDefault="00D11F6B" w:rsidP="006079A9">
      <w:pPr>
        <w:rPr>
          <w:rFonts w:eastAsia="Times New Roman"/>
          <w:noProof/>
          <w:color w:val="000000" w:themeColor="text1"/>
        </w:rPr>
      </w:pPr>
      <w:r w:rsidRPr="00726D52">
        <w:rPr>
          <w:rFonts w:eastAsia="Times New Roman"/>
          <w:noProof/>
          <w:color w:val="000000" w:themeColor="text1"/>
        </w:rPr>
        <w:t>In line with the recommendations contained in the RSB's positive opinion with reservations, the report has been revised to address all shortcomings identified by the Board. The table below summarises the recommendations made by the RSB and the actions taken to reflect them in the revised Impact Assessment report</w:t>
      </w:r>
      <w:r w:rsidR="00C74B7F" w:rsidRPr="00726D52">
        <w:rPr>
          <w:rFonts w:eastAsia="Times New Roman"/>
          <w:noProof/>
          <w:color w:val="000000" w:themeColor="text1"/>
        </w:rPr>
        <w:t>:</w:t>
      </w:r>
    </w:p>
    <w:tbl>
      <w:tblPr>
        <w:tblStyle w:val="GridTable4-Accent1"/>
        <w:tblW w:w="0" w:type="auto"/>
        <w:tblLook w:val="04A0" w:firstRow="1" w:lastRow="0" w:firstColumn="1" w:lastColumn="0" w:noHBand="0" w:noVBand="1"/>
      </w:tblPr>
      <w:tblGrid>
        <w:gridCol w:w="3475"/>
        <w:gridCol w:w="5133"/>
      </w:tblGrid>
      <w:tr w:rsidR="00C74B7F" w:rsidRPr="00726D52" w14:paraId="50BDD95B" w14:textId="77777777" w:rsidTr="00D54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5" w:type="dxa"/>
          </w:tcPr>
          <w:p w14:paraId="46435D08" w14:textId="73608639" w:rsidR="00C74B7F" w:rsidRPr="00726D52" w:rsidRDefault="00C74B7F" w:rsidP="006079A9">
            <w:pPr>
              <w:rPr>
                <w:rFonts w:eastAsia="Times New Roman"/>
                <w:bCs w:val="0"/>
                <w:noProof/>
              </w:rPr>
            </w:pPr>
            <w:r w:rsidRPr="00726D52">
              <w:rPr>
                <w:bCs w:val="0"/>
                <w:noProof/>
              </w:rPr>
              <w:t>RSB recommendation</w:t>
            </w:r>
          </w:p>
        </w:tc>
        <w:tc>
          <w:tcPr>
            <w:tcW w:w="5133" w:type="dxa"/>
          </w:tcPr>
          <w:p w14:paraId="2154E40F" w14:textId="10B065F1" w:rsidR="00C74B7F" w:rsidRPr="00726D52" w:rsidRDefault="00C74B7F" w:rsidP="006079A9">
            <w:pPr>
              <w:cnfStyle w:val="100000000000" w:firstRow="1" w:lastRow="0" w:firstColumn="0" w:lastColumn="0" w:oddVBand="0" w:evenVBand="0" w:oddHBand="0" w:evenHBand="0" w:firstRowFirstColumn="0" w:firstRowLastColumn="0" w:lastRowFirstColumn="0" w:lastRowLastColumn="0"/>
              <w:rPr>
                <w:rFonts w:eastAsia="Times New Roman"/>
                <w:bCs w:val="0"/>
                <w:noProof/>
              </w:rPr>
            </w:pPr>
            <w:r w:rsidRPr="00726D52">
              <w:rPr>
                <w:bCs w:val="0"/>
                <w:noProof/>
              </w:rPr>
              <w:t>Changes introduced in the revised IA report</w:t>
            </w:r>
          </w:p>
        </w:tc>
      </w:tr>
      <w:tr w:rsidR="00C74B7F" w:rsidRPr="00726D52" w14:paraId="69F7581B" w14:textId="77777777" w:rsidTr="00D54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5" w:type="dxa"/>
          </w:tcPr>
          <w:p w14:paraId="1E4863F5" w14:textId="4B41913C" w:rsidR="00C74B7F" w:rsidRPr="00726D52" w:rsidRDefault="00C74B7F" w:rsidP="006079A9">
            <w:pPr>
              <w:rPr>
                <w:rFonts w:eastAsia="Times New Roman"/>
                <w:bCs w:val="0"/>
                <w:noProof/>
                <w:color w:val="000000" w:themeColor="text1"/>
              </w:rPr>
            </w:pPr>
            <w:r w:rsidRPr="00726D52">
              <w:rPr>
                <w:bCs w:val="0"/>
                <w:noProof/>
                <w:color w:val="000000" w:themeColor="text1"/>
              </w:rPr>
              <w:t>1. Improve assessment of impacts on fundamental rights, data protection and cybersecurity. Clarify safeguards and mitigation measures.</w:t>
            </w:r>
          </w:p>
        </w:tc>
        <w:tc>
          <w:tcPr>
            <w:tcW w:w="5133" w:type="dxa"/>
          </w:tcPr>
          <w:p w14:paraId="5A2F770F" w14:textId="3B28C908" w:rsidR="00C74B7F" w:rsidRPr="00726D52" w:rsidRDefault="00C74B7F" w:rsidP="006079A9">
            <w:pPr>
              <w:cnfStyle w:val="000000100000" w:firstRow="0" w:lastRow="0" w:firstColumn="0" w:lastColumn="0" w:oddVBand="0" w:evenVBand="0" w:oddHBand="1" w:evenHBand="0" w:firstRowFirstColumn="0" w:firstRowLastColumn="0" w:lastRowFirstColumn="0" w:lastRowLastColumn="0"/>
              <w:rPr>
                <w:rFonts w:eastAsia="Times New Roman"/>
                <w:noProof/>
                <w:color w:val="000000" w:themeColor="text1"/>
              </w:rPr>
            </w:pPr>
            <w:r w:rsidRPr="00726D52">
              <w:rPr>
                <w:noProof/>
                <w:color w:val="000000" w:themeColor="text1"/>
              </w:rPr>
              <w:t>The section on fundamental rights was substantially revised. The assessment now explains in practical terms how safeguards would operate for each relevant measure, including purpose limitation, access controls, role-based access management, logging, audit trails, retention periods, prior Member State authorisation, EDPS supervision and judicial remedies. A dedicated assessment of cybersecurity risks linked to the EU Police Cloud was added, covering risks such as unauthorised access, data breaches, insider threats, supply-chain vulnerabilities and cloud concentration risks, together with mitigation measures including security-by-design, encryption, zero-trust architecture, multi-cloud deployment, continuous monitoring, and incident response mechanisms.</w:t>
            </w:r>
          </w:p>
        </w:tc>
      </w:tr>
      <w:tr w:rsidR="00C74B7F" w:rsidRPr="00726D52" w14:paraId="3B0DAB63" w14:textId="77777777" w:rsidTr="00D54846">
        <w:tc>
          <w:tcPr>
            <w:cnfStyle w:val="001000000000" w:firstRow="0" w:lastRow="0" w:firstColumn="1" w:lastColumn="0" w:oddVBand="0" w:evenVBand="0" w:oddHBand="0" w:evenHBand="0" w:firstRowFirstColumn="0" w:firstRowLastColumn="0" w:lastRowFirstColumn="0" w:lastRowLastColumn="0"/>
            <w:tcW w:w="3475" w:type="dxa"/>
          </w:tcPr>
          <w:p w14:paraId="50FC05F5" w14:textId="4B6C08E6" w:rsidR="00C74B7F" w:rsidRPr="00726D52" w:rsidRDefault="00231FCA" w:rsidP="006079A9">
            <w:pPr>
              <w:rPr>
                <w:rFonts w:eastAsia="Times New Roman"/>
                <w:bCs w:val="0"/>
                <w:noProof/>
                <w:color w:val="000000" w:themeColor="text1"/>
              </w:rPr>
            </w:pPr>
            <w:r w:rsidRPr="00726D52">
              <w:rPr>
                <w:bCs w:val="0"/>
                <w:noProof/>
                <w:color w:val="000000" w:themeColor="text1"/>
              </w:rPr>
              <w:t>2. Better explain Europol's legal and operational environment and justify the need for a new reform following the 2022 reform.</w:t>
            </w:r>
          </w:p>
        </w:tc>
        <w:tc>
          <w:tcPr>
            <w:tcW w:w="5133" w:type="dxa"/>
          </w:tcPr>
          <w:p w14:paraId="6F7D7566" w14:textId="3556B235" w:rsidR="00C74B7F" w:rsidRPr="00726D52" w:rsidRDefault="00231FCA" w:rsidP="006079A9">
            <w:pPr>
              <w:cnfStyle w:val="000000000000" w:firstRow="0" w:lastRow="0" w:firstColumn="0" w:lastColumn="0" w:oddVBand="0" w:evenVBand="0" w:oddHBand="0" w:evenHBand="0" w:firstRowFirstColumn="0" w:firstRowLastColumn="0" w:lastRowFirstColumn="0" w:lastRowLastColumn="0"/>
              <w:rPr>
                <w:rFonts w:eastAsia="Times New Roman"/>
                <w:noProof/>
                <w:color w:val="000000" w:themeColor="text1"/>
              </w:rPr>
            </w:pPr>
            <w:r w:rsidRPr="00726D52">
              <w:rPr>
                <w:rFonts w:eastAsia="Times New Roman"/>
                <w:noProof/>
                <w:color w:val="000000" w:themeColor="text1"/>
              </w:rPr>
              <w:t>The problem definition and baseline sections were strengthened to provide a clearer overview of Europol's position within the EU internal security architecture and its interaction with Member States, Eurojust, EPPO, OLAF and other EU actors. Additional explanation was added to demonstrate that many operational challenges stem from developments that occurred after the adoption of the 2022 reform, including the rapid increase in data volumes, digitalisation of crime, operational experience with the amended mandate, emergence of new technologies and implementation lessons learned since entry into force.</w:t>
            </w:r>
          </w:p>
        </w:tc>
      </w:tr>
      <w:tr w:rsidR="00C74B7F" w:rsidRPr="00726D52" w14:paraId="2F51153E" w14:textId="77777777" w:rsidTr="00D54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5" w:type="dxa"/>
          </w:tcPr>
          <w:p w14:paraId="1674CD02" w14:textId="0AAC3724" w:rsidR="00C74B7F" w:rsidRPr="00726D52" w:rsidRDefault="00231FCA" w:rsidP="006079A9">
            <w:pPr>
              <w:rPr>
                <w:rFonts w:eastAsia="Times New Roman"/>
                <w:noProof/>
                <w:color w:val="000000" w:themeColor="text1"/>
              </w:rPr>
            </w:pPr>
            <w:r w:rsidRPr="00726D52">
              <w:rPr>
                <w:rFonts w:eastAsia="Times New Roman"/>
                <w:noProof/>
                <w:color w:val="000000" w:themeColor="text1"/>
              </w:rPr>
              <w:lastRenderedPageBreak/>
              <w:t>3. Better distinguish regulatory, operational and resource-related drivers and strengthen evidence base.</w:t>
            </w:r>
          </w:p>
        </w:tc>
        <w:tc>
          <w:tcPr>
            <w:tcW w:w="5133" w:type="dxa"/>
          </w:tcPr>
          <w:p w14:paraId="19E9899D" w14:textId="7FAA7039" w:rsidR="00C74B7F" w:rsidRPr="00726D52" w:rsidRDefault="00231FCA" w:rsidP="006079A9">
            <w:pPr>
              <w:cnfStyle w:val="000000100000" w:firstRow="0" w:lastRow="0" w:firstColumn="0" w:lastColumn="0" w:oddVBand="0" w:evenVBand="0" w:oddHBand="1" w:evenHBand="0" w:firstRowFirstColumn="0" w:firstRowLastColumn="0" w:lastRowFirstColumn="0" w:lastRowLastColumn="0"/>
              <w:rPr>
                <w:rFonts w:eastAsia="Times New Roman"/>
                <w:noProof/>
                <w:color w:val="000000" w:themeColor="text1"/>
              </w:rPr>
            </w:pPr>
            <w:r w:rsidRPr="00726D52">
              <w:rPr>
                <w:rFonts w:eastAsia="Times New Roman"/>
                <w:noProof/>
                <w:color w:val="000000" w:themeColor="text1"/>
              </w:rPr>
              <w:t>he problem tree and problem description were revised to clearly distinguish between regulatory constraints, operational limitations and resource/capacity-related challenges. Additional evidence and operational examples were incorporated throughout the report, including Europol operational statistics, SIENA and Europol information system usage data, EPPO cooperation figures, information exchange indicators and findings from evaluations and stakeholder consultations.</w:t>
            </w:r>
          </w:p>
        </w:tc>
      </w:tr>
      <w:tr w:rsidR="00C74B7F" w:rsidRPr="00726D52" w14:paraId="6CB39A36" w14:textId="77777777" w:rsidTr="00D54846">
        <w:tc>
          <w:tcPr>
            <w:cnfStyle w:val="001000000000" w:firstRow="0" w:lastRow="0" w:firstColumn="1" w:lastColumn="0" w:oddVBand="0" w:evenVBand="0" w:oddHBand="0" w:evenHBand="0" w:firstRowFirstColumn="0" w:firstRowLastColumn="0" w:lastRowFirstColumn="0" w:lastRowLastColumn="0"/>
            <w:tcW w:w="3475" w:type="dxa"/>
          </w:tcPr>
          <w:p w14:paraId="350F5FE8" w14:textId="2F5E2051" w:rsidR="00C74B7F" w:rsidRPr="00726D52" w:rsidRDefault="00231FCA" w:rsidP="006079A9">
            <w:pPr>
              <w:rPr>
                <w:rFonts w:eastAsia="Times New Roman"/>
                <w:noProof/>
                <w:color w:val="000000" w:themeColor="text1"/>
              </w:rPr>
            </w:pPr>
            <w:r w:rsidRPr="00726D52">
              <w:rPr>
                <w:rFonts w:eastAsia="Times New Roman"/>
                <w:noProof/>
                <w:color w:val="000000" w:themeColor="text1"/>
              </w:rPr>
              <w:t>4. Reformulate specific objectives in SMART terms and strengthen links to policy options.</w:t>
            </w:r>
          </w:p>
        </w:tc>
        <w:tc>
          <w:tcPr>
            <w:tcW w:w="5133" w:type="dxa"/>
          </w:tcPr>
          <w:p w14:paraId="29DF0AF1" w14:textId="0E54A17C" w:rsidR="00C74B7F" w:rsidRPr="00726D52" w:rsidRDefault="00231FCA" w:rsidP="006079A9">
            <w:pPr>
              <w:cnfStyle w:val="000000000000" w:firstRow="0" w:lastRow="0" w:firstColumn="0" w:lastColumn="0" w:oddVBand="0" w:evenVBand="0" w:oddHBand="0" w:evenHBand="0" w:firstRowFirstColumn="0" w:firstRowLastColumn="0" w:lastRowFirstColumn="0" w:lastRowLastColumn="0"/>
              <w:rPr>
                <w:rFonts w:eastAsia="Times New Roman"/>
                <w:noProof/>
                <w:color w:val="000000" w:themeColor="text1"/>
              </w:rPr>
            </w:pPr>
            <w:r w:rsidRPr="00726D52">
              <w:rPr>
                <w:rFonts w:eastAsia="Times New Roman"/>
                <w:noProof/>
                <w:color w:val="000000" w:themeColor="text1"/>
              </w:rPr>
              <w:t>The specific objectives were revised following SMART principles. Objectives are now formulated in a more measurable and operational manner. The intervention logic was strengthened by clarifying the link between identified problems, specific objectives, operational objectives and the corresponding sub-policy options. Explanations were added throughout the policy options chapter to demonstrate how each measure contributes to achieving the objectives.</w:t>
            </w:r>
          </w:p>
        </w:tc>
      </w:tr>
      <w:tr w:rsidR="00C74B7F" w:rsidRPr="00726D52" w14:paraId="31F393A0" w14:textId="77777777" w:rsidTr="00D54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5" w:type="dxa"/>
          </w:tcPr>
          <w:p w14:paraId="0C55B3AC" w14:textId="112687D7" w:rsidR="00C74B7F" w:rsidRPr="00726D52" w:rsidRDefault="00231FCA" w:rsidP="006079A9">
            <w:pPr>
              <w:rPr>
                <w:rFonts w:eastAsia="Times New Roman"/>
                <w:noProof/>
                <w:color w:val="000000" w:themeColor="text1"/>
              </w:rPr>
            </w:pPr>
            <w:r w:rsidRPr="00726D52">
              <w:rPr>
                <w:rFonts w:eastAsia="Times New Roman"/>
                <w:noProof/>
                <w:color w:val="000000" w:themeColor="text1"/>
              </w:rPr>
              <w:t>5. Better define policy measures, including cooperation with Eurojust and the EU Police Cloud.</w:t>
            </w:r>
          </w:p>
        </w:tc>
        <w:tc>
          <w:tcPr>
            <w:tcW w:w="5133" w:type="dxa"/>
          </w:tcPr>
          <w:p w14:paraId="4EDA90D8" w14:textId="5605A81D" w:rsidR="00C74B7F" w:rsidRPr="00726D52" w:rsidRDefault="00231FCA" w:rsidP="006079A9">
            <w:pPr>
              <w:cnfStyle w:val="000000100000" w:firstRow="0" w:lastRow="0" w:firstColumn="0" w:lastColumn="0" w:oddVBand="0" w:evenVBand="0" w:oddHBand="1" w:evenHBand="0" w:firstRowFirstColumn="0" w:firstRowLastColumn="0" w:lastRowFirstColumn="0" w:lastRowLastColumn="0"/>
              <w:rPr>
                <w:rFonts w:eastAsia="Times New Roman"/>
                <w:noProof/>
                <w:color w:val="000000" w:themeColor="text1"/>
              </w:rPr>
            </w:pPr>
            <w:r w:rsidRPr="00726D52">
              <w:rPr>
                <w:rFonts w:eastAsia="Times New Roman"/>
                <w:noProof/>
                <w:color w:val="000000" w:themeColor="text1"/>
              </w:rPr>
              <w:t>Additional operational detail was introduced for several measures. For Europol-Eurojust cooperation, the report now explains how the enhanced hit/no-hit mechanism would function in practice, including automation and information flows. The EU Police Cloud description was substantially expanded, including architecture, access model, data processing environment, analytical tools, interoperability features, cloud infrastructure, digital identity framework, APIs and operational safeguards.</w:t>
            </w:r>
          </w:p>
        </w:tc>
      </w:tr>
      <w:tr w:rsidR="00C74B7F" w:rsidRPr="00726D52" w14:paraId="03CC6BF7" w14:textId="77777777" w:rsidTr="00D54846">
        <w:tc>
          <w:tcPr>
            <w:cnfStyle w:val="001000000000" w:firstRow="0" w:lastRow="0" w:firstColumn="1" w:lastColumn="0" w:oddVBand="0" w:evenVBand="0" w:oddHBand="0" w:evenHBand="0" w:firstRowFirstColumn="0" w:firstRowLastColumn="0" w:lastRowFirstColumn="0" w:lastRowLastColumn="0"/>
            <w:tcW w:w="3475" w:type="dxa"/>
          </w:tcPr>
          <w:p w14:paraId="54A8B0C2" w14:textId="1D53ED0C" w:rsidR="00C74B7F" w:rsidRPr="00726D52" w:rsidRDefault="00231FCA" w:rsidP="006079A9">
            <w:pPr>
              <w:rPr>
                <w:rFonts w:eastAsia="Times New Roman"/>
                <w:noProof/>
                <w:color w:val="000000" w:themeColor="text1"/>
              </w:rPr>
            </w:pPr>
            <w:r w:rsidRPr="00726D52">
              <w:rPr>
                <w:rFonts w:eastAsia="Times New Roman"/>
                <w:noProof/>
                <w:color w:val="000000" w:themeColor="text1"/>
              </w:rPr>
              <w:t>6. Improve cost assessment and ensure consistency across the report.</w:t>
            </w:r>
          </w:p>
        </w:tc>
        <w:tc>
          <w:tcPr>
            <w:tcW w:w="5133" w:type="dxa"/>
          </w:tcPr>
          <w:p w14:paraId="6691D605" w14:textId="6EB273CA" w:rsidR="00C74B7F" w:rsidRPr="00726D52" w:rsidRDefault="00231FCA" w:rsidP="006079A9">
            <w:pPr>
              <w:cnfStyle w:val="000000000000" w:firstRow="0" w:lastRow="0" w:firstColumn="0" w:lastColumn="0" w:oddVBand="0" w:evenVBand="0" w:oddHBand="0" w:evenHBand="0" w:firstRowFirstColumn="0" w:firstRowLastColumn="0" w:lastRowFirstColumn="0" w:lastRowLastColumn="0"/>
              <w:rPr>
                <w:rFonts w:eastAsia="Times New Roman"/>
                <w:noProof/>
                <w:color w:val="000000" w:themeColor="text1"/>
              </w:rPr>
            </w:pPr>
            <w:r w:rsidRPr="00726D52">
              <w:rPr>
                <w:rFonts w:eastAsia="Times New Roman"/>
                <w:noProof/>
                <w:color w:val="000000" w:themeColor="text1"/>
              </w:rPr>
              <w:t>The costing methodology was revised and harmonised across the report and annexes. The assessment now clearly identifies the reference period as the 2028-2034 MFF. Cost tables distinguish one-off and recurrent costs and present cumulative costs over the MFF period. Explanatory text was updated throughout the report to consistently refer to annual and cumulative costs. The nature of costs was clarified as implementation/adjustment costs rather than administrative burden. Cross-references and calculations were aligned between the main report and Annex 3.</w:t>
            </w:r>
          </w:p>
        </w:tc>
      </w:tr>
      <w:tr w:rsidR="00C74B7F" w:rsidRPr="00726D52" w14:paraId="2AE718D5" w14:textId="77777777" w:rsidTr="00D54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5" w:type="dxa"/>
          </w:tcPr>
          <w:p w14:paraId="545696A8" w14:textId="0FEB54E5" w:rsidR="00C74B7F" w:rsidRPr="00726D52" w:rsidRDefault="00231FCA" w:rsidP="00D54846">
            <w:pPr>
              <w:tabs>
                <w:tab w:val="left" w:pos="1005"/>
              </w:tabs>
              <w:rPr>
                <w:rFonts w:eastAsia="Times New Roman"/>
                <w:noProof/>
                <w:color w:val="000000" w:themeColor="text1"/>
              </w:rPr>
            </w:pPr>
            <w:r w:rsidRPr="00726D52">
              <w:rPr>
                <w:rFonts w:eastAsia="Times New Roman"/>
                <w:noProof/>
                <w:color w:val="000000" w:themeColor="text1"/>
              </w:rPr>
              <w:lastRenderedPageBreak/>
              <w:t>7. Strengthen monitoring and evaluation framework and link objectives to indicators, outputs, outcomes and impacts.</w:t>
            </w:r>
          </w:p>
        </w:tc>
        <w:tc>
          <w:tcPr>
            <w:tcW w:w="5133" w:type="dxa"/>
          </w:tcPr>
          <w:p w14:paraId="18DE8027" w14:textId="4F850BD2" w:rsidR="00C74B7F" w:rsidRPr="00726D52" w:rsidRDefault="00231FCA" w:rsidP="006079A9">
            <w:pPr>
              <w:cnfStyle w:val="000000100000" w:firstRow="0" w:lastRow="0" w:firstColumn="0" w:lastColumn="0" w:oddVBand="0" w:evenVBand="0" w:oddHBand="1" w:evenHBand="0" w:firstRowFirstColumn="0" w:firstRowLastColumn="0" w:lastRowFirstColumn="0" w:lastRowLastColumn="0"/>
              <w:rPr>
                <w:rFonts w:eastAsia="Times New Roman"/>
                <w:noProof/>
                <w:color w:val="000000" w:themeColor="text1"/>
              </w:rPr>
            </w:pPr>
            <w:r w:rsidRPr="00726D52">
              <w:rPr>
                <w:rFonts w:eastAsia="Times New Roman"/>
                <w:noProof/>
                <w:color w:val="000000" w:themeColor="text1"/>
              </w:rPr>
              <w:t>The monitoring framework was comprehensively revised. Indicators are now explicitly linked to specific objectives and operational objectives. The framework distinguishes outputs, outcomes and impacts and introduces measurable performance indicators. Additional indicators were added covering information exchange, operational support, cooperation with EU agencies, deployment of capabilities, uptake of systems and user satisfaction. Targets and measurement approaches were clarified to facilitate future evaluation of effectiveness, efficiency and impact.</w:t>
            </w:r>
          </w:p>
        </w:tc>
      </w:tr>
    </w:tbl>
    <w:p w14:paraId="19389074" w14:textId="77777777" w:rsidR="00C74B7F" w:rsidRPr="00726D52" w:rsidRDefault="00C74B7F" w:rsidP="006079A9">
      <w:pPr>
        <w:rPr>
          <w:rFonts w:eastAsia="Times New Roman"/>
          <w:noProof/>
          <w:color w:val="000000" w:themeColor="text1"/>
        </w:rPr>
      </w:pPr>
    </w:p>
    <w:p w14:paraId="27DD9F39" w14:textId="26CF44E0" w:rsidR="00181F4A" w:rsidRPr="00726D52" w:rsidRDefault="42249B20" w:rsidP="49CC97C7">
      <w:pPr>
        <w:pStyle w:val="Heading1"/>
        <w:numPr>
          <w:ilvl w:val="0"/>
          <w:numId w:val="0"/>
        </w:numPr>
        <w:rPr>
          <w:noProof/>
          <w:color w:val="000000" w:themeColor="text1"/>
        </w:rPr>
      </w:pPr>
      <w:bookmarkStart w:id="26" w:name="_Toc224614043"/>
      <w:r w:rsidRPr="00726D52">
        <w:rPr>
          <w:noProof/>
          <w:color w:val="000000" w:themeColor="text1"/>
        </w:rPr>
        <w:t>Evidence, sources and quality</w:t>
      </w:r>
      <w:bookmarkEnd w:id="26"/>
    </w:p>
    <w:p w14:paraId="6CB5C08A" w14:textId="47238A5D" w:rsidR="00181F4A" w:rsidRPr="00726D52" w:rsidRDefault="45783BE3" w:rsidP="49CC97C7">
      <w:pPr>
        <w:pStyle w:val="Text1"/>
        <w:ind w:left="0"/>
        <w:rPr>
          <w:noProof/>
        </w:rPr>
      </w:pPr>
      <w:r w:rsidRPr="00726D52">
        <w:rPr>
          <w:noProof/>
        </w:rPr>
        <w:t xml:space="preserve">The impact assessment is based on the </w:t>
      </w:r>
      <w:r w:rsidR="0510ED75" w:rsidRPr="00726D52">
        <w:rPr>
          <w:noProof/>
        </w:rPr>
        <w:t xml:space="preserve">results of an inclusive and comprehensive consultation of all relevant stakeholders (Annex 2), </w:t>
      </w:r>
      <w:r w:rsidR="3BC34315" w:rsidRPr="00726D52">
        <w:rPr>
          <w:noProof/>
        </w:rPr>
        <w:t xml:space="preserve">which equally informed </w:t>
      </w:r>
      <w:r w:rsidR="0510ED75" w:rsidRPr="00726D52">
        <w:rPr>
          <w:noProof/>
        </w:rPr>
        <w:t xml:space="preserve">the evaluation </w:t>
      </w:r>
      <w:r w:rsidR="00830BAE" w:rsidRPr="00726D52">
        <w:rPr>
          <w:noProof/>
        </w:rPr>
        <w:t xml:space="preserve">of the Europol Regulation </w:t>
      </w:r>
      <w:r w:rsidR="4AD5B2AA" w:rsidRPr="00726D52">
        <w:rPr>
          <w:noProof/>
        </w:rPr>
        <w:t>(Annex</w:t>
      </w:r>
      <w:r w:rsidR="3ED01A3C" w:rsidRPr="00726D52">
        <w:rPr>
          <w:noProof/>
        </w:rPr>
        <w:t xml:space="preserve"> </w:t>
      </w:r>
      <w:r w:rsidR="4AD5B2AA" w:rsidRPr="00726D52">
        <w:rPr>
          <w:noProof/>
        </w:rPr>
        <w:t>7</w:t>
      </w:r>
      <w:r w:rsidR="3B9AE34E" w:rsidRPr="00726D52">
        <w:rPr>
          <w:noProof/>
        </w:rPr>
        <w:t>). The consultation</w:t>
      </w:r>
      <w:r w:rsidR="40EFDFCA" w:rsidRPr="00726D52">
        <w:rPr>
          <w:noProof/>
        </w:rPr>
        <w:t xml:space="preserve"> included scientific expertise, </w:t>
      </w:r>
      <w:r w:rsidR="5A4C93FA" w:rsidRPr="00726D52">
        <w:rPr>
          <w:noProof/>
        </w:rPr>
        <w:t>for instance</w:t>
      </w:r>
      <w:r w:rsidR="40EFDFCA" w:rsidRPr="00726D52">
        <w:rPr>
          <w:noProof/>
        </w:rPr>
        <w:t xml:space="preserve"> </w:t>
      </w:r>
      <w:r w:rsidR="00830BAE" w:rsidRPr="00726D52">
        <w:rPr>
          <w:noProof/>
        </w:rPr>
        <w:t>through</w:t>
      </w:r>
      <w:r w:rsidR="40EFDFCA" w:rsidRPr="00726D52">
        <w:rPr>
          <w:noProof/>
        </w:rPr>
        <w:t xml:space="preserve"> </w:t>
      </w:r>
      <w:r w:rsidR="01EE006A" w:rsidRPr="00726D52">
        <w:rPr>
          <w:noProof/>
        </w:rPr>
        <w:t xml:space="preserve">four </w:t>
      </w:r>
      <w:r w:rsidR="40EFDFCA" w:rsidRPr="00726D52">
        <w:rPr>
          <w:noProof/>
        </w:rPr>
        <w:t xml:space="preserve">expert </w:t>
      </w:r>
      <w:r w:rsidR="0F4189FF" w:rsidRPr="00726D52">
        <w:rPr>
          <w:noProof/>
        </w:rPr>
        <w:t>workshops</w:t>
      </w:r>
      <w:r w:rsidR="00830BAE" w:rsidRPr="00726D52">
        <w:rPr>
          <w:rStyle w:val="FootnoteReference"/>
          <w:noProof/>
        </w:rPr>
        <w:footnoteReference w:id="138"/>
      </w:r>
      <w:r w:rsidR="4AD5B2AA" w:rsidRPr="00726D52">
        <w:rPr>
          <w:noProof/>
        </w:rPr>
        <w:t xml:space="preserve">. </w:t>
      </w:r>
      <w:r w:rsidR="478AC8F5" w:rsidRPr="00726D52">
        <w:rPr>
          <w:noProof/>
        </w:rPr>
        <w:t>Consultations</w:t>
      </w:r>
      <w:r w:rsidR="00830BAE" w:rsidRPr="00726D52">
        <w:rPr>
          <w:rStyle w:val="FootnoteReference"/>
          <w:noProof/>
        </w:rPr>
        <w:footnoteReference w:id="139"/>
      </w:r>
      <w:r w:rsidR="478AC8F5" w:rsidRPr="00726D52">
        <w:rPr>
          <w:noProof/>
        </w:rPr>
        <w:t xml:space="preserve"> and desk research were conducted also in the context of the</w:t>
      </w:r>
      <w:r w:rsidR="4AD5B2AA" w:rsidRPr="00726D52">
        <w:rPr>
          <w:noProof/>
        </w:rPr>
        <w:t xml:space="preserve"> </w:t>
      </w:r>
      <w:r w:rsidR="00387BCD" w:rsidRPr="00726D52">
        <w:rPr>
          <w:noProof/>
        </w:rPr>
        <w:t>‘</w:t>
      </w:r>
      <w:r w:rsidRPr="00726D52">
        <w:rPr>
          <w:noProof/>
        </w:rPr>
        <w:t>Study supporting the evaluation and the impact assessment of the Europol Regulation’</w:t>
      </w:r>
      <w:r w:rsidR="77DF07C2" w:rsidRPr="00726D52">
        <w:rPr>
          <w:noProof/>
        </w:rPr>
        <w:t>, which</w:t>
      </w:r>
      <w:r w:rsidR="7A4284DC" w:rsidRPr="00726D52">
        <w:rPr>
          <w:noProof/>
        </w:rPr>
        <w:t xml:space="preserve"> contributed to the evidence base for this back-to-back evaluation and impact assessment</w:t>
      </w:r>
      <w:r w:rsidR="00830BAE" w:rsidRPr="00726D52">
        <w:rPr>
          <w:rStyle w:val="FootnoteReference"/>
          <w:noProof/>
        </w:rPr>
        <w:footnoteReference w:id="140"/>
      </w:r>
      <w:r w:rsidRPr="00726D52">
        <w:rPr>
          <w:noProof/>
        </w:rPr>
        <w:t>.</w:t>
      </w:r>
      <w:r w:rsidR="00CE1119" w:rsidRPr="00726D52">
        <w:rPr>
          <w:noProof/>
        </w:rPr>
        <w:t xml:space="preserve"> Observational data complement stakeholder views, </w:t>
      </w:r>
      <w:r w:rsidR="006C1910" w:rsidRPr="00726D52">
        <w:rPr>
          <w:noProof/>
        </w:rPr>
        <w:t>reinforcing the</w:t>
      </w:r>
      <w:r w:rsidR="00435CDA" w:rsidRPr="00726D52">
        <w:rPr>
          <w:noProof/>
        </w:rPr>
        <w:t xml:space="preserve"> evidence base.</w:t>
      </w:r>
    </w:p>
    <w:p w14:paraId="2C6FB6C5" w14:textId="64C8324D" w:rsidR="00181F4A" w:rsidRPr="00726D52" w:rsidRDefault="00181F4A" w:rsidP="2C37EBCE">
      <w:pPr>
        <w:rPr>
          <w:rFonts w:eastAsia="Times New Roman"/>
          <w:noProof/>
          <w:color w:val="000000" w:themeColor="text1"/>
        </w:rPr>
      </w:pPr>
    </w:p>
    <w:p w14:paraId="707EFA86" w14:textId="1C0CBB41" w:rsidR="00181F4A" w:rsidRPr="00726D52" w:rsidRDefault="00181F4A" w:rsidP="2C37EBCE">
      <w:pPr>
        <w:rPr>
          <w:rFonts w:eastAsia="Times New Roman"/>
          <w:noProof/>
          <w:color w:val="000000" w:themeColor="text1"/>
        </w:rPr>
      </w:pPr>
    </w:p>
    <w:p w14:paraId="71556B55" w14:textId="2084AD73" w:rsidR="00181F4A" w:rsidRPr="00726D52" w:rsidRDefault="00181F4A" w:rsidP="2C37EBCE">
      <w:pPr>
        <w:rPr>
          <w:rFonts w:eastAsia="Times New Roman"/>
          <w:noProof/>
          <w:color w:val="000000" w:themeColor="text1"/>
        </w:rPr>
      </w:pPr>
    </w:p>
    <w:p w14:paraId="2CB2E0AC" w14:textId="016A447C" w:rsidR="00181F4A" w:rsidRPr="00726D52" w:rsidRDefault="00181F4A" w:rsidP="2C37EBCE">
      <w:pPr>
        <w:rPr>
          <w:rFonts w:eastAsia="Times New Roman"/>
          <w:noProof/>
          <w:color w:val="000000" w:themeColor="text1"/>
        </w:rPr>
      </w:pPr>
    </w:p>
    <w:p w14:paraId="221734FA" w14:textId="6651F08C" w:rsidR="00181F4A" w:rsidRPr="00726D52" w:rsidRDefault="00181F4A" w:rsidP="2C37EBCE">
      <w:pPr>
        <w:rPr>
          <w:rFonts w:eastAsia="Times New Roman"/>
          <w:noProof/>
          <w:color w:val="000000" w:themeColor="text1"/>
        </w:rPr>
      </w:pPr>
    </w:p>
    <w:p w14:paraId="38CBD05D" w14:textId="2FE10EB3" w:rsidR="00181F4A" w:rsidRPr="00726D52" w:rsidRDefault="00181F4A" w:rsidP="2C37EBCE">
      <w:pPr>
        <w:rPr>
          <w:rFonts w:eastAsia="Times New Roman"/>
          <w:noProof/>
          <w:color w:val="000000" w:themeColor="text1"/>
        </w:rPr>
      </w:pPr>
    </w:p>
    <w:p w14:paraId="4FF3A356" w14:textId="425996EA" w:rsidR="00181F4A" w:rsidRPr="00726D52" w:rsidRDefault="00181F4A" w:rsidP="2C37EBCE">
      <w:pPr>
        <w:rPr>
          <w:rFonts w:eastAsia="Times New Roman"/>
          <w:noProof/>
          <w:color w:val="000000" w:themeColor="text1"/>
        </w:rPr>
      </w:pPr>
    </w:p>
    <w:p w14:paraId="7ADC9F2D" w14:textId="78D4A4E4" w:rsidR="00181F4A" w:rsidRPr="00726D52" w:rsidRDefault="00181F4A" w:rsidP="2C37EBCE">
      <w:pPr>
        <w:rPr>
          <w:rFonts w:eastAsia="Times New Roman"/>
          <w:noProof/>
          <w:color w:val="000000" w:themeColor="text1"/>
        </w:rPr>
      </w:pPr>
    </w:p>
    <w:p w14:paraId="53858401" w14:textId="543D3413" w:rsidR="00181F4A" w:rsidRPr="00726D52" w:rsidRDefault="00181F4A" w:rsidP="2C37EBCE">
      <w:pPr>
        <w:rPr>
          <w:rFonts w:eastAsia="Times New Roman"/>
          <w:noProof/>
          <w:color w:val="000000" w:themeColor="text1"/>
        </w:rPr>
      </w:pPr>
    </w:p>
    <w:p w14:paraId="56306122" w14:textId="6E460FF4" w:rsidR="00181F4A" w:rsidRPr="00726D52" w:rsidRDefault="00181F4A" w:rsidP="2C37EBCE">
      <w:pPr>
        <w:rPr>
          <w:rFonts w:eastAsia="Times New Roman"/>
          <w:noProof/>
          <w:color w:val="000000" w:themeColor="text1"/>
        </w:rPr>
      </w:pPr>
    </w:p>
    <w:p w14:paraId="476C422F" w14:textId="77777777" w:rsidR="007E0E71" w:rsidRPr="00726D52" w:rsidRDefault="007E0E71">
      <w:pPr>
        <w:spacing w:after="200" w:line="276" w:lineRule="auto"/>
        <w:jc w:val="left"/>
        <w:rPr>
          <w:rFonts w:eastAsia="Times New Roman"/>
          <w:b/>
          <w:smallCaps/>
          <w:noProof/>
          <w:sz w:val="32"/>
          <w:szCs w:val="20"/>
        </w:rPr>
      </w:pPr>
      <w:r w:rsidRPr="00726D52">
        <w:rPr>
          <w:noProof/>
        </w:rPr>
        <w:lastRenderedPageBreak/>
        <w:br w:type="page"/>
      </w:r>
    </w:p>
    <w:p w14:paraId="7E400099" w14:textId="7B76D217" w:rsidR="00181F4A" w:rsidRPr="00726D52" w:rsidRDefault="0D9886C2" w:rsidP="2C37EBCE">
      <w:pPr>
        <w:pStyle w:val="AnnexTitle"/>
        <w:rPr>
          <w:noProof/>
          <w:szCs w:val="32"/>
        </w:rPr>
      </w:pPr>
      <w:bookmarkStart w:id="27" w:name="_Toc224614044"/>
      <w:r w:rsidRPr="00726D52">
        <w:rPr>
          <w:noProof/>
        </w:rPr>
        <w:lastRenderedPageBreak/>
        <w:t>Annex 2: Stakeholder consultation (Synopsis report)</w:t>
      </w:r>
      <w:bookmarkEnd w:id="27"/>
    </w:p>
    <w:p w14:paraId="4974D285" w14:textId="06135C05" w:rsidR="00181F4A" w:rsidRPr="00726D52" w:rsidRDefault="719A4F3C" w:rsidP="009502B2">
      <w:pPr>
        <w:pStyle w:val="ListParagraph"/>
        <w:keepNext/>
        <w:numPr>
          <w:ilvl w:val="6"/>
          <w:numId w:val="65"/>
        </w:numPr>
        <w:spacing w:after="200" w:line="276" w:lineRule="auto"/>
        <w:ind w:left="927"/>
        <w:jc w:val="left"/>
        <w:rPr>
          <w:rFonts w:eastAsia="Times New Roman"/>
          <w:noProof/>
          <w:color w:val="000000" w:themeColor="text1"/>
        </w:rPr>
      </w:pPr>
      <w:r w:rsidRPr="00726D52">
        <w:rPr>
          <w:rFonts w:eastAsia="Times New Roman"/>
          <w:b/>
          <w:noProof/>
          <w:color w:val="000000" w:themeColor="text1"/>
        </w:rPr>
        <w:t>Introduction</w:t>
      </w:r>
    </w:p>
    <w:p w14:paraId="0FD3E1C5" w14:textId="73765C2A" w:rsidR="00181F4A" w:rsidRPr="00726D52" w:rsidRDefault="719A4F3C" w:rsidP="735902D7">
      <w:pPr>
        <w:keepNext/>
        <w:spacing w:after="200" w:line="276" w:lineRule="auto"/>
        <w:rPr>
          <w:rFonts w:eastAsia="Times New Roman"/>
          <w:noProof/>
          <w:color w:val="000000" w:themeColor="text1"/>
        </w:rPr>
      </w:pPr>
      <w:r w:rsidRPr="00726D52">
        <w:rPr>
          <w:rFonts w:eastAsia="Times New Roman"/>
          <w:noProof/>
          <w:color w:val="000000" w:themeColor="text1"/>
        </w:rPr>
        <w:t>The preparation for the upcoming legislative proposal on Europol has been anchored in an inclusive and comprehensive consultation of relevant stakeholders to ensure that the proposal reflects both the political ambition to reinforce Europol</w:t>
      </w:r>
      <w:r w:rsidRPr="00726D52">
        <w:rPr>
          <w:rStyle w:val="FootnoteReference"/>
          <w:rFonts w:eastAsia="Times New Roman"/>
          <w:noProof/>
          <w:color w:val="000000" w:themeColor="text1"/>
        </w:rPr>
        <w:footnoteReference w:id="141"/>
      </w:r>
      <w:r w:rsidRPr="00726D52">
        <w:rPr>
          <w:rFonts w:eastAsia="Times New Roman"/>
          <w:noProof/>
          <w:color w:val="000000" w:themeColor="text1"/>
        </w:rPr>
        <w:t xml:space="preserve"> and the operational needs of the Member States.</w:t>
      </w:r>
      <w:r w:rsidRPr="00726D52">
        <w:rPr>
          <w:rStyle w:val="FootnoteReference"/>
          <w:rFonts w:eastAsia="Times New Roman"/>
          <w:noProof/>
          <w:color w:val="000000" w:themeColor="text1"/>
        </w:rPr>
        <w:footnoteReference w:id="142"/>
      </w:r>
    </w:p>
    <w:p w14:paraId="0D83FADD" w14:textId="477DD51E" w:rsidR="00181F4A" w:rsidRPr="00726D52" w:rsidRDefault="719A4F3C" w:rsidP="00116AAD">
      <w:pPr>
        <w:keepNext/>
        <w:spacing w:after="200" w:line="276" w:lineRule="auto"/>
        <w:rPr>
          <w:rFonts w:eastAsia="Times New Roman"/>
          <w:noProof/>
          <w:color w:val="000000" w:themeColor="text1"/>
        </w:rPr>
      </w:pPr>
      <w:r w:rsidRPr="00726D52">
        <w:rPr>
          <w:rFonts w:eastAsia="Times New Roman"/>
          <w:noProof/>
          <w:color w:val="000000" w:themeColor="text1"/>
        </w:rPr>
        <w:t>In line with the Better Regulation Guidelines and Toolbox, this annex provides an overview of the stakeholder consultation activities undertaken in preparation for the initiative. It summarises the consultation strategy, the stakeholders consulted, the consultation methods used, the main views expressed, and how these views have been taken into account in the preparation of the impact assessment.</w:t>
      </w:r>
    </w:p>
    <w:p w14:paraId="60E67C6B" w14:textId="2CAB5F45" w:rsidR="00181F4A" w:rsidRPr="00726D52" w:rsidRDefault="719A4F3C" w:rsidP="009502B2">
      <w:pPr>
        <w:pStyle w:val="ListParagraph"/>
        <w:keepNext/>
        <w:numPr>
          <w:ilvl w:val="6"/>
          <w:numId w:val="65"/>
        </w:numPr>
        <w:spacing w:after="200" w:line="276" w:lineRule="auto"/>
        <w:ind w:left="927"/>
        <w:rPr>
          <w:rFonts w:eastAsia="Times New Roman"/>
          <w:noProof/>
          <w:color w:val="000000" w:themeColor="text1"/>
        </w:rPr>
      </w:pPr>
      <w:r w:rsidRPr="00726D52">
        <w:rPr>
          <w:rFonts w:eastAsia="Times New Roman"/>
          <w:b/>
          <w:noProof/>
          <w:color w:val="000000" w:themeColor="text1"/>
        </w:rPr>
        <w:t>Consultation strategy</w:t>
      </w:r>
    </w:p>
    <w:p w14:paraId="5F384A8F" w14:textId="77777777" w:rsidR="00D34AEF" w:rsidRPr="00726D52" w:rsidRDefault="00D34AEF"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The consultation strategy followed three main phases. The first phase served to discuss extensively with the Member States at policy and senior official level to adequately scope their operational needs (May – June 2025). The second phase served to gather in-depth feedback and evidence from all relevant stakeholders, including on both the evaluation of the Europol Regulation and all the elements of the impact assessment, ranging from the definitions of the problems and objectives to the analysis of the impacts of the policy options and the comparison of policy measures (July 2025 – February 2026). The third phase served for discussions at political level (March 2026).</w:t>
      </w:r>
    </w:p>
    <w:p w14:paraId="1456A65A" w14:textId="142F502E" w:rsidR="00181F4A" w:rsidRPr="00726D52" w:rsidRDefault="719A4F3C" w:rsidP="009502B2">
      <w:pPr>
        <w:pStyle w:val="ListParagraph"/>
        <w:widowControl w:val="0"/>
        <w:numPr>
          <w:ilvl w:val="6"/>
          <w:numId w:val="65"/>
        </w:numPr>
        <w:spacing w:after="200" w:line="276" w:lineRule="auto"/>
        <w:ind w:left="924" w:hanging="357"/>
        <w:rPr>
          <w:rFonts w:eastAsia="Times New Roman"/>
          <w:b/>
          <w:noProof/>
          <w:color w:val="000000" w:themeColor="text1"/>
        </w:rPr>
      </w:pPr>
      <w:r w:rsidRPr="00726D52">
        <w:rPr>
          <w:rFonts w:eastAsia="Times New Roman"/>
          <w:b/>
          <w:noProof/>
          <w:color w:val="000000" w:themeColor="text1"/>
        </w:rPr>
        <w:t xml:space="preserve">Consultation activities </w:t>
      </w:r>
    </w:p>
    <w:p w14:paraId="0F364B3E" w14:textId="0AB9F18E" w:rsidR="00181F4A" w:rsidRPr="00726D52" w:rsidRDefault="719A4F3C" w:rsidP="00D34AEF">
      <w:pPr>
        <w:widowControl w:val="0"/>
        <w:spacing w:after="200" w:line="276" w:lineRule="auto"/>
        <w:ind w:firstLine="720"/>
        <w:rPr>
          <w:rFonts w:eastAsia="Times New Roman"/>
          <w:noProof/>
          <w:color w:val="000000" w:themeColor="text1"/>
        </w:rPr>
      </w:pPr>
      <w:r w:rsidRPr="00726D52">
        <w:rPr>
          <w:rFonts w:eastAsia="Times New Roman"/>
          <w:b/>
          <w:bCs/>
          <w:noProof/>
          <w:color w:val="000000" w:themeColor="text1"/>
        </w:rPr>
        <w:t xml:space="preserve">3.1 Phase 1: extensive consultations with the Member States at policy and </w:t>
      </w:r>
      <w:r w:rsidR="00181F4A" w:rsidRPr="00726D52">
        <w:rPr>
          <w:noProof/>
        </w:rPr>
        <w:tab/>
      </w:r>
      <w:r w:rsidRPr="00726D52">
        <w:rPr>
          <w:rFonts w:eastAsia="Times New Roman"/>
          <w:b/>
          <w:bCs/>
          <w:noProof/>
          <w:color w:val="000000" w:themeColor="text1"/>
        </w:rPr>
        <w:t xml:space="preserve">senior official level </w:t>
      </w:r>
    </w:p>
    <w:p w14:paraId="4DBA99E6" w14:textId="789247C8" w:rsidR="00181F4A" w:rsidRPr="00726D52" w:rsidRDefault="719A4F3C"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Scoping discussions with the Member States were held in multiple fora, notably: </w:t>
      </w:r>
    </w:p>
    <w:p w14:paraId="49550646" w14:textId="5873CCC4" w:rsidR="00181F4A" w:rsidRPr="00726D52" w:rsidRDefault="719A4F3C"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 the EU Council Standing Committee on Internal Security (COSI);</w:t>
      </w:r>
    </w:p>
    <w:p w14:paraId="66C3F67D" w14:textId="171BD0EB" w:rsidR="00181F4A" w:rsidRPr="00726D52" w:rsidRDefault="719A4F3C"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 the High-Level Forum on the Future of EU Criminal Justice; </w:t>
      </w:r>
    </w:p>
    <w:p w14:paraId="19134711" w14:textId="7F8C2958" w:rsidR="00181F4A" w:rsidRPr="00726D52" w:rsidRDefault="719A4F3C"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 the Management Board of Europol; </w:t>
      </w:r>
    </w:p>
    <w:p w14:paraId="21951543" w14:textId="2069676C" w:rsidR="00181F4A" w:rsidRPr="00726D52" w:rsidRDefault="719A4F3C"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 the consultation kick-off meeting organised by DG HOME at senior official level; </w:t>
      </w:r>
    </w:p>
    <w:p w14:paraId="44DFEB97" w14:textId="4AA97001" w:rsidR="00181F4A" w:rsidRPr="00726D52" w:rsidRDefault="719A4F3C" w:rsidP="00D34AEF">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 the EU Council Law Enforcement Working Party (LEWP). </w:t>
      </w:r>
    </w:p>
    <w:tbl>
      <w:tblPr>
        <w:tblStyle w:val="TableGrid"/>
        <w:tblW w:w="0" w:type="auto"/>
        <w:tblLook w:val="06A0" w:firstRow="1" w:lastRow="0" w:firstColumn="1" w:lastColumn="0" w:noHBand="1" w:noVBand="1"/>
      </w:tblPr>
      <w:tblGrid>
        <w:gridCol w:w="8608"/>
      </w:tblGrid>
      <w:tr w:rsidR="35281CB8" w:rsidRPr="00726D52" w14:paraId="56D2F666" w14:textId="77777777" w:rsidTr="35281CB8">
        <w:trPr>
          <w:trHeight w:val="300"/>
        </w:trPr>
        <w:tc>
          <w:tcPr>
            <w:tcW w:w="8610" w:type="dxa"/>
          </w:tcPr>
          <w:p w14:paraId="75F00091" w14:textId="30183493" w:rsidR="738146E7" w:rsidRPr="00726D52" w:rsidRDefault="738146E7" w:rsidP="35281CB8">
            <w:pPr>
              <w:spacing w:after="200" w:line="276" w:lineRule="auto"/>
              <w:rPr>
                <w:noProof/>
              </w:rPr>
            </w:pPr>
            <w:r w:rsidRPr="00726D52">
              <w:rPr>
                <w:noProof/>
                <w:color w:val="000000" w:themeColor="text1"/>
              </w:rPr>
              <w:lastRenderedPageBreak/>
              <w:t>Regarding the outcomes of these consultations, Council discussions in COSI and LEWP showed Member States broadly support reinforcing Europol’s operational role within the current treaty limits, while strongly rejecting the idea of a “European FBI” and being concerned about including hybrid threats as a crime area for which Europol is competent. At the High-Level Forum on EU Criminal Justice of 21 May 2025, judicial authorities also expressed support for strengthening Europol’s core tasks, particularly data exchange and support for the EPPO. At the consultation kick-off meeting organised by DG HOME on 20 June 2025, Member States expressed consensus on increasing Europol’s operational effectiveness without transforming it into an executive or intelligence agency. They prioritised faster, more flexible support for national investigations. They cautioned against centralising expertise at the EU level alone. The dedicated discussion in the Management Board of Europol on 25 June 2025 revealed Member States’ support for reinforcing Europol’s role as the EU criminal information hub, improving processing of large data sets and addressing legal and technical obstacles in the data protection framework.</w:t>
            </w:r>
          </w:p>
        </w:tc>
      </w:tr>
    </w:tbl>
    <w:p w14:paraId="0CA5A05B" w14:textId="6D177BA5" w:rsidR="35281CB8" w:rsidRPr="00726D52" w:rsidRDefault="35281CB8" w:rsidP="35281CB8">
      <w:pPr>
        <w:keepNext/>
        <w:spacing w:after="200" w:line="276" w:lineRule="auto"/>
        <w:rPr>
          <w:rFonts w:eastAsia="Times New Roman"/>
          <w:noProof/>
          <w:color w:val="000000" w:themeColor="text1"/>
        </w:rPr>
      </w:pPr>
    </w:p>
    <w:p w14:paraId="5CAC21D0" w14:textId="5517EC52" w:rsidR="00181F4A" w:rsidRPr="00726D52" w:rsidRDefault="719A4F3C" w:rsidP="735902D7">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3.2 Phase 2: In-depth evidence gathering</w:t>
      </w:r>
    </w:p>
    <w:p w14:paraId="56F7B260" w14:textId="644C2E54" w:rsidR="00181F4A" w:rsidRPr="00726D52" w:rsidRDefault="719A4F3C" w:rsidP="735902D7">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 xml:space="preserve">3.2.1 Call for evidence </w:t>
      </w:r>
    </w:p>
    <w:p w14:paraId="03ACFF65" w14:textId="2F46537C" w:rsidR="00181F4A" w:rsidRPr="00726D52" w:rsidRDefault="719A4F3C" w:rsidP="735902D7">
      <w:pPr>
        <w:keepNext/>
        <w:rPr>
          <w:rFonts w:eastAsia="Times New Roman"/>
          <w:noProof/>
          <w:color w:val="000000" w:themeColor="text1"/>
        </w:rPr>
      </w:pPr>
      <w:r w:rsidRPr="00726D52">
        <w:rPr>
          <w:rFonts w:eastAsia="Times New Roman"/>
          <w:noProof/>
          <w:color w:val="000000" w:themeColor="text1"/>
        </w:rPr>
        <w:t>The Commission published a call for evidence on the ‘</w:t>
      </w:r>
      <w:hyperlink r:id="rId33">
        <w:r w:rsidRPr="00726D52">
          <w:rPr>
            <w:rStyle w:val="Hyperlink"/>
            <w:rFonts w:eastAsia="Times New Roman"/>
            <w:noProof/>
          </w:rPr>
          <w:t>Have your say</w:t>
        </w:r>
      </w:hyperlink>
      <w:r w:rsidRPr="00726D52">
        <w:rPr>
          <w:rFonts w:eastAsia="Times New Roman"/>
          <w:noProof/>
          <w:color w:val="000000" w:themeColor="text1"/>
        </w:rPr>
        <w:t xml:space="preserve">’ web portal from 3 July 2025 to 31 July 2025. Seventeen valid responses were received. Six position papers were submitted by business associations, non-governmental organisations (NGOs) and academia. </w:t>
      </w:r>
    </w:p>
    <w:p w14:paraId="4AF31DB3" w14:textId="020956E1" w:rsidR="00181F4A" w:rsidRPr="00726D52" w:rsidRDefault="719A4F3C" w:rsidP="735902D7">
      <w:pPr>
        <w:keepNext/>
        <w:rPr>
          <w:rFonts w:eastAsia="Times New Roman"/>
          <w:noProof/>
          <w:color w:val="156082"/>
        </w:rPr>
      </w:pPr>
      <w:r w:rsidRPr="00726D52">
        <w:rPr>
          <w:rFonts w:eastAsia="Times New Roman"/>
          <w:noProof/>
          <w:color w:val="156082"/>
        </w:rPr>
        <w:t>Table</w:t>
      </w:r>
      <w:r w:rsidR="00472C0A" w:rsidRPr="00726D52">
        <w:rPr>
          <w:rFonts w:eastAsia="Times New Roman"/>
          <w:noProof/>
          <w:color w:val="156082"/>
        </w:rPr>
        <w:t xml:space="preserve"> – </w:t>
      </w:r>
      <w:r w:rsidRPr="00726D52">
        <w:rPr>
          <w:rFonts w:eastAsia="Times New Roman"/>
          <w:noProof/>
          <w:color w:val="156082"/>
        </w:rPr>
        <w:t>Responses to the call for evidence by stakeholder group and country of origin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756"/>
        <w:gridCol w:w="3302"/>
        <w:gridCol w:w="2560"/>
      </w:tblGrid>
      <w:tr w:rsidR="735902D7" w:rsidRPr="00726D52" w14:paraId="36060129" w14:textId="77777777" w:rsidTr="735902D7">
        <w:trPr>
          <w:trHeight w:val="225"/>
        </w:trPr>
        <w:tc>
          <w:tcPr>
            <w:tcW w:w="2790" w:type="dxa"/>
            <w:tcBorders>
              <w:top w:val="nil"/>
              <w:left w:val="nil"/>
              <w:bottom w:val="single" w:sz="6" w:space="0" w:color="D8E0E3"/>
              <w:right w:val="single" w:sz="6" w:space="0" w:color="D8E0E3"/>
            </w:tcBorders>
            <w:shd w:val="clear" w:color="auto" w:fill="48773D"/>
            <w:tcMar>
              <w:left w:w="105" w:type="dxa"/>
              <w:right w:w="105" w:type="dxa"/>
            </w:tcMar>
          </w:tcPr>
          <w:p w14:paraId="13D48FD6" w14:textId="1932B769" w:rsidR="735902D7" w:rsidRPr="00726D52" w:rsidRDefault="735902D7" w:rsidP="735902D7">
            <w:pPr>
              <w:rPr>
                <w:rFonts w:eastAsia="Times New Roman"/>
                <w:noProof/>
                <w:color w:val="F5F5F5"/>
              </w:rPr>
            </w:pPr>
            <w:r w:rsidRPr="00726D52">
              <w:rPr>
                <w:rFonts w:eastAsia="Times New Roman"/>
                <w:noProof/>
                <w:color w:val="FFFFFF" w:themeColor="background1"/>
              </w:rPr>
              <w:t>Stakeholder group</w:t>
            </w:r>
          </w:p>
        </w:tc>
        <w:tc>
          <w:tcPr>
            <w:tcW w:w="3390" w:type="dxa"/>
            <w:tcBorders>
              <w:top w:val="nil"/>
              <w:left w:val="single" w:sz="6" w:space="0" w:color="D8E0E3"/>
              <w:bottom w:val="single" w:sz="6" w:space="0" w:color="D8E0E3"/>
              <w:right w:val="single" w:sz="6" w:space="0" w:color="D8E0E3"/>
            </w:tcBorders>
            <w:shd w:val="clear" w:color="auto" w:fill="48773D"/>
            <w:tcMar>
              <w:left w:w="105" w:type="dxa"/>
              <w:right w:w="105" w:type="dxa"/>
            </w:tcMar>
          </w:tcPr>
          <w:p w14:paraId="62B52B3C" w14:textId="74381562" w:rsidR="735902D7" w:rsidRPr="00726D52" w:rsidRDefault="735902D7" w:rsidP="735902D7">
            <w:pPr>
              <w:rPr>
                <w:rFonts w:eastAsia="Times New Roman"/>
                <w:noProof/>
                <w:color w:val="F5F5F5"/>
              </w:rPr>
            </w:pPr>
            <w:r w:rsidRPr="00726D52">
              <w:rPr>
                <w:rFonts w:eastAsia="Times New Roman"/>
                <w:noProof/>
                <w:color w:val="FFFFFF" w:themeColor="background1"/>
              </w:rPr>
              <w:t>Country of origin</w:t>
            </w:r>
          </w:p>
        </w:tc>
        <w:tc>
          <w:tcPr>
            <w:tcW w:w="2625" w:type="dxa"/>
            <w:tcBorders>
              <w:top w:val="nil"/>
              <w:left w:val="single" w:sz="6" w:space="0" w:color="D8E0E3"/>
              <w:bottom w:val="single" w:sz="6" w:space="0" w:color="D8E0E3"/>
              <w:right w:val="nil"/>
            </w:tcBorders>
            <w:shd w:val="clear" w:color="auto" w:fill="48773D"/>
            <w:tcMar>
              <w:left w:w="105" w:type="dxa"/>
              <w:right w:w="105" w:type="dxa"/>
            </w:tcMar>
          </w:tcPr>
          <w:p w14:paraId="40C2AEBE" w14:textId="69CC70DF" w:rsidR="735902D7" w:rsidRPr="00726D52" w:rsidRDefault="735902D7" w:rsidP="735902D7">
            <w:pPr>
              <w:rPr>
                <w:rFonts w:eastAsia="Times New Roman"/>
                <w:noProof/>
                <w:color w:val="F5F5F5"/>
              </w:rPr>
            </w:pPr>
            <w:r w:rsidRPr="00726D52">
              <w:rPr>
                <w:rFonts w:eastAsia="Times New Roman"/>
                <w:noProof/>
                <w:color w:val="FFFFFF" w:themeColor="background1"/>
              </w:rPr>
              <w:t>Number of responses </w:t>
            </w:r>
          </w:p>
        </w:tc>
      </w:tr>
      <w:tr w:rsidR="735902D7" w:rsidRPr="00726D52" w14:paraId="1946910B" w14:textId="77777777" w:rsidTr="735902D7">
        <w:trPr>
          <w:trHeight w:val="165"/>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0161BF19" w14:textId="5F0E122D" w:rsidR="735902D7" w:rsidRPr="00726D52" w:rsidRDefault="735902D7" w:rsidP="735902D7">
            <w:pPr>
              <w:rPr>
                <w:rFonts w:eastAsia="Times New Roman"/>
                <w:noProof/>
              </w:rPr>
            </w:pPr>
            <w:r w:rsidRPr="00726D52">
              <w:rPr>
                <w:rFonts w:eastAsia="Times New Roman"/>
                <w:noProof/>
              </w:rPr>
              <w:t>Academic/research organisation</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6527C02E" w14:textId="5F62472D" w:rsidR="735902D7" w:rsidRPr="00726D52" w:rsidRDefault="735902D7" w:rsidP="735902D7">
            <w:pPr>
              <w:rPr>
                <w:rFonts w:eastAsia="Times New Roman"/>
                <w:noProof/>
              </w:rPr>
            </w:pPr>
            <w:r w:rsidRPr="00726D52">
              <w:rPr>
                <w:rFonts w:eastAsia="Times New Roman"/>
                <w:noProof/>
              </w:rPr>
              <w:t>Romania</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78BCC37D" w14:textId="62D31A83" w:rsidR="735902D7" w:rsidRPr="00726D52" w:rsidRDefault="735902D7" w:rsidP="735902D7">
            <w:pPr>
              <w:rPr>
                <w:rFonts w:eastAsia="Times New Roman"/>
                <w:noProof/>
              </w:rPr>
            </w:pPr>
            <w:r w:rsidRPr="00726D52">
              <w:rPr>
                <w:rFonts w:eastAsia="Times New Roman"/>
                <w:noProof/>
              </w:rPr>
              <w:t>1</w:t>
            </w:r>
          </w:p>
        </w:tc>
      </w:tr>
      <w:tr w:rsidR="735902D7" w:rsidRPr="00726D52" w14:paraId="46092BC5" w14:textId="77777777" w:rsidTr="735902D7">
        <w:trPr>
          <w:trHeight w:val="165"/>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01B9618A" w14:textId="50F5309F" w:rsidR="735902D7" w:rsidRPr="00726D52" w:rsidRDefault="735902D7" w:rsidP="735902D7">
            <w:pPr>
              <w:rPr>
                <w:rFonts w:eastAsia="Times New Roman"/>
                <w:noProof/>
              </w:rPr>
            </w:pPr>
            <w:r w:rsidRPr="00726D52">
              <w:rPr>
                <w:rFonts w:eastAsia="Times New Roman"/>
                <w:noProof/>
              </w:rPr>
              <w:t>Business association</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43E8C146" w14:textId="45F512FF" w:rsidR="735902D7" w:rsidRPr="00726D52" w:rsidRDefault="735902D7" w:rsidP="735902D7">
            <w:pPr>
              <w:rPr>
                <w:rFonts w:eastAsia="Times New Roman"/>
                <w:noProof/>
              </w:rPr>
            </w:pPr>
            <w:r w:rsidRPr="00726D52">
              <w:rPr>
                <w:rFonts w:eastAsia="Times New Roman"/>
                <w:noProof/>
              </w:rPr>
              <w:t>Belgium</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6F43215A" w14:textId="2361E100" w:rsidR="735902D7" w:rsidRPr="00726D52" w:rsidRDefault="735902D7" w:rsidP="735902D7">
            <w:pPr>
              <w:rPr>
                <w:rFonts w:eastAsia="Times New Roman"/>
                <w:noProof/>
              </w:rPr>
            </w:pPr>
            <w:r w:rsidRPr="00726D52">
              <w:rPr>
                <w:rFonts w:eastAsia="Times New Roman"/>
                <w:noProof/>
              </w:rPr>
              <w:t>3</w:t>
            </w:r>
          </w:p>
        </w:tc>
      </w:tr>
      <w:tr w:rsidR="735902D7" w:rsidRPr="00726D52" w14:paraId="53743AD2" w14:textId="77777777" w:rsidTr="735902D7">
        <w:trPr>
          <w:trHeight w:val="90"/>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7DF42097" w14:textId="4E4B2C4A" w:rsidR="735902D7" w:rsidRPr="00726D52" w:rsidRDefault="735902D7" w:rsidP="735902D7">
            <w:pPr>
              <w:rPr>
                <w:rFonts w:eastAsia="Times New Roman"/>
                <w:noProof/>
              </w:rPr>
            </w:pPr>
            <w:r w:rsidRPr="00726D52">
              <w:rPr>
                <w:rFonts w:eastAsia="Times New Roman"/>
                <w:noProof/>
              </w:rPr>
              <w:t>Company/business</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56886486" w14:textId="5B36E6B0" w:rsidR="735902D7" w:rsidRPr="00726D52" w:rsidRDefault="735902D7" w:rsidP="735902D7">
            <w:pPr>
              <w:rPr>
                <w:rFonts w:eastAsia="Times New Roman"/>
                <w:noProof/>
              </w:rPr>
            </w:pPr>
            <w:r w:rsidRPr="00726D52">
              <w:rPr>
                <w:rFonts w:eastAsia="Times New Roman"/>
                <w:noProof/>
              </w:rPr>
              <w:t>Austria, Italy</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250E705C" w14:textId="0E24684D" w:rsidR="735902D7" w:rsidRPr="00726D52" w:rsidRDefault="735902D7" w:rsidP="735902D7">
            <w:pPr>
              <w:rPr>
                <w:rFonts w:eastAsia="Times New Roman"/>
                <w:noProof/>
              </w:rPr>
            </w:pPr>
            <w:r w:rsidRPr="00726D52">
              <w:rPr>
                <w:rFonts w:eastAsia="Times New Roman"/>
                <w:noProof/>
              </w:rPr>
              <w:t>2</w:t>
            </w:r>
          </w:p>
        </w:tc>
      </w:tr>
      <w:tr w:rsidR="735902D7" w:rsidRPr="00726D52" w14:paraId="51BA1889" w14:textId="77777777" w:rsidTr="735902D7">
        <w:trPr>
          <w:trHeight w:val="225"/>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00D1F7F4" w14:textId="4D4CC342" w:rsidR="735902D7" w:rsidRPr="00726D52" w:rsidRDefault="735902D7" w:rsidP="735902D7">
            <w:pPr>
              <w:rPr>
                <w:rFonts w:eastAsia="Times New Roman"/>
                <w:noProof/>
              </w:rPr>
            </w:pPr>
            <w:r w:rsidRPr="00726D52">
              <w:rPr>
                <w:rFonts w:eastAsia="Times New Roman"/>
                <w:noProof/>
              </w:rPr>
              <w:t>EU citizen</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68582FFC" w14:textId="1703A9F4" w:rsidR="735902D7" w:rsidRPr="0016503D" w:rsidRDefault="735902D7" w:rsidP="735902D7">
            <w:pPr>
              <w:rPr>
                <w:rFonts w:eastAsia="Times New Roman"/>
                <w:noProof/>
                <w:lang w:val="it-IT"/>
              </w:rPr>
            </w:pPr>
            <w:r w:rsidRPr="0016503D">
              <w:rPr>
                <w:rFonts w:eastAsia="Times New Roman"/>
                <w:noProof/>
                <w:lang w:val="it-IT"/>
              </w:rPr>
              <w:t>Belgium, Bulgaria, Finland, Germany, Lithuania, Slovakia </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7C1EE5B9" w14:textId="1E97471E" w:rsidR="735902D7" w:rsidRPr="00726D52" w:rsidRDefault="735902D7" w:rsidP="735902D7">
            <w:pPr>
              <w:rPr>
                <w:rFonts w:eastAsia="Times New Roman"/>
                <w:noProof/>
              </w:rPr>
            </w:pPr>
            <w:r w:rsidRPr="00726D52">
              <w:rPr>
                <w:rFonts w:eastAsia="Times New Roman"/>
                <w:noProof/>
              </w:rPr>
              <w:t>6</w:t>
            </w:r>
          </w:p>
        </w:tc>
      </w:tr>
      <w:tr w:rsidR="735902D7" w:rsidRPr="00726D52" w14:paraId="6BA3315E" w14:textId="77777777" w:rsidTr="735902D7">
        <w:trPr>
          <w:trHeight w:val="90"/>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52A16C57" w14:textId="2C9C28E4" w:rsidR="735902D7" w:rsidRPr="00726D52" w:rsidRDefault="735902D7" w:rsidP="735902D7">
            <w:pPr>
              <w:rPr>
                <w:rFonts w:eastAsia="Times New Roman"/>
                <w:noProof/>
              </w:rPr>
            </w:pPr>
            <w:r w:rsidRPr="00726D52">
              <w:rPr>
                <w:rFonts w:eastAsia="Times New Roman"/>
                <w:noProof/>
              </w:rPr>
              <w:t>Non-EU citizen</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3962D89F" w14:textId="3DABC0BA" w:rsidR="735902D7" w:rsidRPr="00726D52" w:rsidRDefault="735902D7" w:rsidP="735902D7">
            <w:pPr>
              <w:rPr>
                <w:rFonts w:eastAsia="Times New Roman"/>
                <w:noProof/>
              </w:rPr>
            </w:pPr>
            <w:r w:rsidRPr="00726D52">
              <w:rPr>
                <w:rFonts w:eastAsia="Times New Roman"/>
                <w:noProof/>
              </w:rPr>
              <w:t>Mexico</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0D8EE0CD" w14:textId="2C093143" w:rsidR="735902D7" w:rsidRPr="00726D52" w:rsidRDefault="735902D7" w:rsidP="735902D7">
            <w:pPr>
              <w:rPr>
                <w:rFonts w:eastAsia="Times New Roman"/>
                <w:noProof/>
              </w:rPr>
            </w:pPr>
            <w:r w:rsidRPr="00726D52">
              <w:rPr>
                <w:rFonts w:eastAsia="Times New Roman"/>
                <w:noProof/>
              </w:rPr>
              <w:t>1</w:t>
            </w:r>
          </w:p>
        </w:tc>
      </w:tr>
      <w:tr w:rsidR="735902D7" w:rsidRPr="00726D52" w14:paraId="4F0CD757" w14:textId="77777777" w:rsidTr="735902D7">
        <w:trPr>
          <w:trHeight w:val="165"/>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2DA213FB" w14:textId="1FD3592C" w:rsidR="735902D7" w:rsidRPr="00726D52" w:rsidRDefault="735902D7" w:rsidP="735902D7">
            <w:pPr>
              <w:rPr>
                <w:rFonts w:eastAsia="Times New Roman"/>
                <w:noProof/>
              </w:rPr>
            </w:pPr>
            <w:r w:rsidRPr="00726D52">
              <w:rPr>
                <w:rFonts w:eastAsia="Times New Roman"/>
                <w:noProof/>
              </w:rPr>
              <w:t>Non-governmental organisation (NGO)</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243F1449" w14:textId="7A739FC8" w:rsidR="735902D7" w:rsidRPr="00726D52" w:rsidRDefault="735902D7" w:rsidP="735902D7">
            <w:pPr>
              <w:rPr>
                <w:rFonts w:eastAsia="Times New Roman"/>
                <w:noProof/>
              </w:rPr>
            </w:pPr>
            <w:r w:rsidRPr="00726D52">
              <w:rPr>
                <w:rFonts w:eastAsia="Times New Roman"/>
                <w:noProof/>
              </w:rPr>
              <w:t>Belgium, United Kingdom</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624A93A4" w14:textId="4261F1BD" w:rsidR="735902D7" w:rsidRPr="00726D52" w:rsidRDefault="735902D7" w:rsidP="735902D7">
            <w:pPr>
              <w:rPr>
                <w:rFonts w:eastAsia="Times New Roman"/>
                <w:noProof/>
              </w:rPr>
            </w:pPr>
            <w:r w:rsidRPr="00726D52">
              <w:rPr>
                <w:rFonts w:eastAsia="Times New Roman"/>
                <w:noProof/>
              </w:rPr>
              <w:t>2</w:t>
            </w:r>
          </w:p>
        </w:tc>
      </w:tr>
      <w:tr w:rsidR="735902D7" w:rsidRPr="00726D52" w14:paraId="64F675FD" w14:textId="77777777" w:rsidTr="735902D7">
        <w:trPr>
          <w:trHeight w:val="165"/>
        </w:trPr>
        <w:tc>
          <w:tcPr>
            <w:tcW w:w="2790" w:type="dxa"/>
            <w:tcBorders>
              <w:top w:val="single" w:sz="6" w:space="0" w:color="D8E0E3"/>
              <w:left w:val="nil"/>
              <w:bottom w:val="single" w:sz="6" w:space="0" w:color="D8E0E3"/>
              <w:right w:val="single" w:sz="6" w:space="0" w:color="D8E0E3"/>
            </w:tcBorders>
            <w:shd w:val="clear" w:color="auto" w:fill="FFFFFF" w:themeFill="background1"/>
            <w:tcMar>
              <w:left w:w="105" w:type="dxa"/>
              <w:right w:w="105" w:type="dxa"/>
            </w:tcMar>
          </w:tcPr>
          <w:p w14:paraId="15AB2806" w14:textId="1E5249A8" w:rsidR="735902D7" w:rsidRPr="00726D52" w:rsidRDefault="735902D7" w:rsidP="735902D7">
            <w:pPr>
              <w:rPr>
                <w:rFonts w:eastAsia="Times New Roman"/>
                <w:noProof/>
              </w:rPr>
            </w:pPr>
            <w:r w:rsidRPr="00726D52">
              <w:rPr>
                <w:rFonts w:eastAsia="Times New Roman"/>
                <w:noProof/>
              </w:rPr>
              <w:t>Trade Union</w:t>
            </w:r>
          </w:p>
        </w:tc>
        <w:tc>
          <w:tcPr>
            <w:tcW w:w="3390" w:type="dxa"/>
            <w:tcBorders>
              <w:top w:val="single" w:sz="6" w:space="0" w:color="D8E0E3"/>
              <w:left w:val="single" w:sz="6" w:space="0" w:color="D8E0E3"/>
              <w:bottom w:val="single" w:sz="6" w:space="0" w:color="D8E0E3"/>
              <w:right w:val="single" w:sz="6" w:space="0" w:color="D8E0E3"/>
            </w:tcBorders>
            <w:tcMar>
              <w:left w:w="105" w:type="dxa"/>
              <w:right w:w="105" w:type="dxa"/>
            </w:tcMar>
          </w:tcPr>
          <w:p w14:paraId="51B54B89" w14:textId="7D0F80D7" w:rsidR="735902D7" w:rsidRPr="00726D52" w:rsidRDefault="735902D7" w:rsidP="735902D7">
            <w:pPr>
              <w:rPr>
                <w:rFonts w:eastAsia="Times New Roman"/>
                <w:noProof/>
              </w:rPr>
            </w:pPr>
            <w:r w:rsidRPr="00726D52">
              <w:rPr>
                <w:rFonts w:eastAsia="Times New Roman"/>
                <w:noProof/>
              </w:rPr>
              <w:t>Belgium, Luxembourg</w:t>
            </w:r>
          </w:p>
        </w:tc>
        <w:tc>
          <w:tcPr>
            <w:tcW w:w="2625" w:type="dxa"/>
            <w:tcBorders>
              <w:top w:val="single" w:sz="6" w:space="0" w:color="D8E0E3"/>
              <w:left w:val="single" w:sz="6" w:space="0" w:color="D8E0E3"/>
              <w:bottom w:val="single" w:sz="6" w:space="0" w:color="D8E0E3"/>
              <w:right w:val="nil"/>
            </w:tcBorders>
            <w:tcMar>
              <w:left w:w="105" w:type="dxa"/>
              <w:right w:w="105" w:type="dxa"/>
            </w:tcMar>
          </w:tcPr>
          <w:p w14:paraId="71208FF8" w14:textId="51F1BADD" w:rsidR="735902D7" w:rsidRPr="00726D52" w:rsidRDefault="735902D7" w:rsidP="735902D7">
            <w:pPr>
              <w:rPr>
                <w:rFonts w:eastAsia="Times New Roman"/>
                <w:noProof/>
              </w:rPr>
            </w:pPr>
            <w:r w:rsidRPr="00726D52">
              <w:rPr>
                <w:rFonts w:eastAsia="Times New Roman"/>
                <w:noProof/>
              </w:rPr>
              <w:t>2</w:t>
            </w:r>
          </w:p>
        </w:tc>
      </w:tr>
      <w:tr w:rsidR="735902D7" w:rsidRPr="00726D52" w14:paraId="15497BFE" w14:textId="77777777" w:rsidTr="735902D7">
        <w:trPr>
          <w:trHeight w:val="90"/>
        </w:trPr>
        <w:tc>
          <w:tcPr>
            <w:tcW w:w="2790" w:type="dxa"/>
            <w:tcBorders>
              <w:top w:val="single" w:sz="6" w:space="0" w:color="D8E0E3"/>
              <w:left w:val="nil"/>
              <w:bottom w:val="nil"/>
              <w:right w:val="single" w:sz="6" w:space="0" w:color="D8E0E3"/>
            </w:tcBorders>
            <w:shd w:val="clear" w:color="auto" w:fill="D9D9D9" w:themeFill="background1" w:themeFillShade="D9"/>
            <w:tcMar>
              <w:left w:w="105" w:type="dxa"/>
              <w:right w:w="105" w:type="dxa"/>
            </w:tcMar>
          </w:tcPr>
          <w:p w14:paraId="13F91DEC" w14:textId="5584095F" w:rsidR="735902D7" w:rsidRPr="00726D52" w:rsidRDefault="735902D7" w:rsidP="735902D7">
            <w:pPr>
              <w:rPr>
                <w:rFonts w:eastAsia="Times New Roman"/>
                <w:noProof/>
              </w:rPr>
            </w:pPr>
            <w:r w:rsidRPr="00726D52">
              <w:rPr>
                <w:rFonts w:eastAsia="Times New Roman"/>
                <w:noProof/>
              </w:rPr>
              <w:lastRenderedPageBreak/>
              <w:t>Total</w:t>
            </w:r>
          </w:p>
        </w:tc>
        <w:tc>
          <w:tcPr>
            <w:tcW w:w="3390" w:type="dxa"/>
            <w:tcBorders>
              <w:top w:val="single" w:sz="6" w:space="0" w:color="D8E0E3"/>
              <w:left w:val="single" w:sz="6" w:space="0" w:color="D8E0E3"/>
              <w:bottom w:val="nil"/>
              <w:right w:val="single" w:sz="6" w:space="0" w:color="D8E0E3"/>
            </w:tcBorders>
            <w:shd w:val="clear" w:color="auto" w:fill="D9D9D9" w:themeFill="background1" w:themeFillShade="D9"/>
            <w:tcMar>
              <w:left w:w="105" w:type="dxa"/>
              <w:right w:w="105" w:type="dxa"/>
            </w:tcMar>
          </w:tcPr>
          <w:p w14:paraId="1CDEDC15" w14:textId="3F74F9C1" w:rsidR="735902D7" w:rsidRPr="00726D52" w:rsidRDefault="735902D7" w:rsidP="735902D7">
            <w:pPr>
              <w:rPr>
                <w:rFonts w:eastAsia="Times New Roman"/>
                <w:noProof/>
              </w:rPr>
            </w:pPr>
          </w:p>
        </w:tc>
        <w:tc>
          <w:tcPr>
            <w:tcW w:w="2625" w:type="dxa"/>
            <w:tcBorders>
              <w:top w:val="single" w:sz="6" w:space="0" w:color="D8E0E3"/>
              <w:left w:val="single" w:sz="6" w:space="0" w:color="D8E0E3"/>
              <w:bottom w:val="nil"/>
              <w:right w:val="nil"/>
            </w:tcBorders>
            <w:shd w:val="clear" w:color="auto" w:fill="D9D9D9" w:themeFill="background1" w:themeFillShade="D9"/>
            <w:tcMar>
              <w:left w:w="105" w:type="dxa"/>
              <w:right w:w="105" w:type="dxa"/>
            </w:tcMar>
          </w:tcPr>
          <w:p w14:paraId="195ABBAA" w14:textId="503A7538" w:rsidR="735902D7" w:rsidRPr="00726D52" w:rsidRDefault="735902D7" w:rsidP="735902D7">
            <w:pPr>
              <w:rPr>
                <w:rFonts w:eastAsia="Times New Roman"/>
                <w:noProof/>
              </w:rPr>
            </w:pPr>
            <w:r w:rsidRPr="00726D52">
              <w:rPr>
                <w:rFonts w:eastAsia="Times New Roman"/>
                <w:noProof/>
              </w:rPr>
              <w:t>17</w:t>
            </w:r>
          </w:p>
        </w:tc>
      </w:tr>
    </w:tbl>
    <w:p w14:paraId="3475DC82" w14:textId="46CCB1BB" w:rsidR="00181F4A" w:rsidRPr="00726D52" w:rsidRDefault="00181F4A" w:rsidP="735902D7">
      <w:pPr>
        <w:keepNext/>
        <w:rPr>
          <w:rFonts w:eastAsia="Times New Roman"/>
          <w:noProof/>
          <w:color w:val="000000" w:themeColor="text1"/>
        </w:rPr>
      </w:pPr>
    </w:p>
    <w:tbl>
      <w:tblPr>
        <w:tblStyle w:val="TableGrid"/>
        <w:tblW w:w="0" w:type="auto"/>
        <w:tblLook w:val="06A0" w:firstRow="1" w:lastRow="0" w:firstColumn="1" w:lastColumn="0" w:noHBand="1" w:noVBand="1"/>
      </w:tblPr>
      <w:tblGrid>
        <w:gridCol w:w="8608"/>
      </w:tblGrid>
      <w:tr w:rsidR="35281CB8" w:rsidRPr="00726D52" w14:paraId="67081B8D" w14:textId="77777777" w:rsidTr="35281CB8">
        <w:trPr>
          <w:trHeight w:val="300"/>
        </w:trPr>
        <w:tc>
          <w:tcPr>
            <w:tcW w:w="8610" w:type="dxa"/>
          </w:tcPr>
          <w:p w14:paraId="728200E4" w14:textId="073AA2AE" w:rsidR="71C023CE" w:rsidRPr="00726D52" w:rsidRDefault="71C023CE" w:rsidP="35281CB8">
            <w:pPr>
              <w:keepNext/>
              <w:rPr>
                <w:noProof/>
                <w:color w:val="000000" w:themeColor="text1"/>
              </w:rPr>
            </w:pPr>
            <w:r w:rsidRPr="00726D52">
              <w:rPr>
                <w:noProof/>
                <w:color w:val="000000" w:themeColor="text1"/>
              </w:rPr>
              <w:t>The main points raised by the respondents to the call for evidence:</w:t>
            </w:r>
          </w:p>
          <w:p w14:paraId="771A7D5D" w14:textId="109AFB98" w:rsidR="71C023CE" w:rsidRPr="00726D52" w:rsidRDefault="71C023CE" w:rsidP="009502B2">
            <w:pPr>
              <w:pStyle w:val="ListParagraph"/>
              <w:keepNext/>
              <w:numPr>
                <w:ilvl w:val="0"/>
                <w:numId w:val="64"/>
              </w:numPr>
              <w:rPr>
                <w:noProof/>
                <w:color w:val="000000" w:themeColor="text1"/>
              </w:rPr>
            </w:pPr>
            <w:r w:rsidRPr="00726D52">
              <w:rPr>
                <w:noProof/>
                <w:color w:val="000000" w:themeColor="text1"/>
              </w:rPr>
              <w:t>General support for strengthening Europol’s mandate, particularly to address emerging threats, with many calling for enhanced operational capabilities, specialised units, and a stronger coordinating role at EU level.</w:t>
            </w:r>
          </w:p>
          <w:p w14:paraId="6B94CEC3" w14:textId="7AEB36A1" w:rsidR="71C023CE" w:rsidRPr="00726D52" w:rsidRDefault="71C023CE" w:rsidP="009502B2">
            <w:pPr>
              <w:pStyle w:val="ListParagraph"/>
              <w:keepNext/>
              <w:numPr>
                <w:ilvl w:val="0"/>
                <w:numId w:val="63"/>
              </w:numPr>
              <w:rPr>
                <w:noProof/>
                <w:color w:val="000000" w:themeColor="text1"/>
              </w:rPr>
            </w:pPr>
            <w:r w:rsidRPr="00726D52">
              <w:rPr>
                <w:noProof/>
                <w:color w:val="000000" w:themeColor="text1"/>
              </w:rPr>
              <w:t>Concerns regarding fundamental rights raised mainly by a digital rights NGO and some EU citizens.</w:t>
            </w:r>
          </w:p>
          <w:p w14:paraId="6F2E017B" w14:textId="3FD89596" w:rsidR="71C023CE" w:rsidRPr="00726D52" w:rsidRDefault="71C023CE" w:rsidP="009502B2">
            <w:pPr>
              <w:pStyle w:val="ListParagraph"/>
              <w:keepNext/>
              <w:numPr>
                <w:ilvl w:val="0"/>
                <w:numId w:val="62"/>
              </w:numPr>
              <w:rPr>
                <w:noProof/>
                <w:color w:val="000000" w:themeColor="text1"/>
              </w:rPr>
            </w:pPr>
            <w:r w:rsidRPr="00726D52">
              <w:rPr>
                <w:noProof/>
                <w:color w:val="000000" w:themeColor="text1"/>
              </w:rPr>
              <w:t>Emphasis on the need to support frontline policing, with police trade unions stressing that any mandate changes should be accompanied by investments.</w:t>
            </w:r>
          </w:p>
          <w:p w14:paraId="0F9A184D" w14:textId="54506016" w:rsidR="71C023CE" w:rsidRPr="00726D52" w:rsidRDefault="71C023CE" w:rsidP="009502B2">
            <w:pPr>
              <w:pStyle w:val="ListParagraph"/>
              <w:keepNext/>
              <w:numPr>
                <w:ilvl w:val="0"/>
                <w:numId w:val="61"/>
              </w:numPr>
              <w:rPr>
                <w:noProof/>
                <w:color w:val="000000" w:themeColor="text1"/>
              </w:rPr>
            </w:pPr>
            <w:r w:rsidRPr="00726D52">
              <w:rPr>
                <w:noProof/>
                <w:color w:val="000000" w:themeColor="text1"/>
              </w:rPr>
              <w:t>Diverging views on the extent of Europol’s operational autonomy, with business associations and an environmental NGO favouring stronger operational powers to serve sectoral priorities, while other stakeholders believe Europol should remain primarily a coordination and support body.</w:t>
            </w:r>
          </w:p>
        </w:tc>
      </w:tr>
    </w:tbl>
    <w:p w14:paraId="7A702A7A" w14:textId="131BEF84" w:rsidR="00181F4A" w:rsidRPr="00726D52" w:rsidRDefault="00181F4A" w:rsidP="35281CB8">
      <w:pPr>
        <w:rPr>
          <w:rFonts w:eastAsia="Times New Roman"/>
          <w:noProof/>
          <w:color w:val="000000" w:themeColor="text1"/>
        </w:rPr>
      </w:pPr>
    </w:p>
    <w:p w14:paraId="3A035C9D" w14:textId="7E4EF322" w:rsidR="00181F4A" w:rsidRPr="00726D52" w:rsidRDefault="719A4F3C" w:rsidP="735902D7">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3.2.2 Public consultation</w:t>
      </w:r>
    </w:p>
    <w:p w14:paraId="6DAFE337" w14:textId="499BFE5B" w:rsidR="00181F4A" w:rsidRPr="00726D52" w:rsidRDefault="719A4F3C" w:rsidP="735902D7">
      <w:pPr>
        <w:keepNext/>
        <w:rPr>
          <w:rFonts w:eastAsia="Times New Roman"/>
          <w:noProof/>
          <w:color w:val="000000" w:themeColor="text1"/>
        </w:rPr>
      </w:pPr>
      <w:r w:rsidRPr="00726D52">
        <w:rPr>
          <w:rFonts w:eastAsia="Times New Roman"/>
          <w:noProof/>
          <w:color w:val="000000" w:themeColor="text1"/>
        </w:rPr>
        <w:t>The Commission conducted a public consultation on ‘</w:t>
      </w:r>
      <w:hyperlink r:id="rId34">
        <w:r w:rsidRPr="00726D52">
          <w:rPr>
            <w:rStyle w:val="Hyperlink"/>
            <w:rFonts w:eastAsia="Times New Roman"/>
            <w:noProof/>
          </w:rPr>
          <w:t>Law enforcement cooperation – new Europol regulation (proposed)</w:t>
        </w:r>
      </w:hyperlink>
      <w:r w:rsidRPr="00726D52">
        <w:rPr>
          <w:rFonts w:eastAsia="Times New Roman"/>
          <w:noProof/>
          <w:color w:val="000000" w:themeColor="text1"/>
        </w:rPr>
        <w:t>’ via its ‘</w:t>
      </w:r>
      <w:hyperlink r:id="rId35">
        <w:r w:rsidRPr="00726D52">
          <w:rPr>
            <w:rStyle w:val="Hyperlink"/>
            <w:rFonts w:eastAsia="Times New Roman"/>
            <w:noProof/>
          </w:rPr>
          <w:t>Have Your Say</w:t>
        </w:r>
      </w:hyperlink>
      <w:r w:rsidRPr="00726D52">
        <w:rPr>
          <w:rFonts w:eastAsia="Times New Roman"/>
          <w:noProof/>
          <w:color w:val="000000" w:themeColor="text1"/>
        </w:rPr>
        <w:t xml:space="preserve">’ web portal for 12 weeks, between 27 October 2025 and 15 January 2026. The public consultation aimed to gather insights on: (i) the implementation of the Europol Regulation, focusing specifically on its effectiveness, efficiency, relevance, coherence, EU added value and impact; (ii) existing needs and gaps; (iii) quantitative and qualitative inputs to support the Commission in identifying possible policy measures to support Member States; and (iv) the effectiveness and operational functioning of existing EU tools. The consultation received 33 valid replies. No coordinated campaigns were identified. Eight position papers were submitted by three NGOs, one EU citizen, one public authority, one business association, one company/business, and one stakeholder that identified as “other”. </w:t>
      </w:r>
    </w:p>
    <w:p w14:paraId="63FA8DE5" w14:textId="7DF7E187" w:rsidR="00181F4A" w:rsidRPr="00726D52" w:rsidRDefault="719A4F3C" w:rsidP="735902D7">
      <w:pPr>
        <w:pStyle w:val="AnnexTable"/>
        <w:rPr>
          <w:rFonts w:ascii="Times New Roman" w:eastAsia="Times New Roman" w:hAnsi="Times New Roman" w:cs="Times New Roman"/>
          <w:noProof/>
        </w:rPr>
      </w:pPr>
      <w:r w:rsidRPr="00726D52">
        <w:rPr>
          <w:rFonts w:ascii="Times New Roman" w:eastAsia="Times New Roman" w:hAnsi="Times New Roman" w:cs="Times New Roman"/>
          <w:noProof/>
        </w:rPr>
        <w:t>Table</w:t>
      </w:r>
      <w:r w:rsidR="00B824AB" w:rsidRPr="00726D52">
        <w:rPr>
          <w:rFonts w:ascii="Times New Roman" w:eastAsia="Times New Roman" w:hAnsi="Times New Roman" w:cs="Times New Roman"/>
          <w:noProof/>
        </w:rPr>
        <w:t xml:space="preserve"> –</w:t>
      </w:r>
      <w:r w:rsidRPr="00726D52">
        <w:rPr>
          <w:rFonts w:ascii="Times New Roman" w:eastAsia="Times New Roman" w:hAnsi="Times New Roman" w:cs="Times New Roman"/>
          <w:noProof/>
        </w:rPr>
        <w:t xml:space="preserve"> Responses to the public consultation by stakeholder group and country of origin</w:t>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879"/>
        <w:gridCol w:w="3947"/>
        <w:gridCol w:w="1776"/>
      </w:tblGrid>
      <w:tr w:rsidR="735902D7" w:rsidRPr="00726D52" w14:paraId="4257E52F" w14:textId="77777777" w:rsidTr="00455B0C">
        <w:trPr>
          <w:trHeight w:val="300"/>
        </w:trPr>
        <w:tc>
          <w:tcPr>
            <w:tcW w:w="2879" w:type="dxa"/>
            <w:tcBorders>
              <w:top w:val="nil"/>
              <w:left w:val="single" w:sz="6" w:space="0" w:color="auto"/>
              <w:bottom w:val="single" w:sz="6" w:space="0" w:color="D8E0E3"/>
              <w:right w:val="single" w:sz="6" w:space="0" w:color="D8E0E3"/>
            </w:tcBorders>
            <w:shd w:val="clear" w:color="auto" w:fill="48773D"/>
            <w:tcMar>
              <w:top w:w="45" w:type="dxa"/>
              <w:left w:w="105" w:type="dxa"/>
              <w:right w:w="105" w:type="dxa"/>
            </w:tcMar>
            <w:vAlign w:val="center"/>
          </w:tcPr>
          <w:p w14:paraId="25E4A712" w14:textId="3082E100" w:rsidR="735902D7" w:rsidRPr="00726D52" w:rsidRDefault="735902D7" w:rsidP="735902D7">
            <w:pPr>
              <w:spacing w:after="0" w:line="220" w:lineRule="atLeast"/>
              <w:ind w:left="57" w:right="57"/>
              <w:rPr>
                <w:rFonts w:eastAsia="Times New Roman"/>
                <w:noProof/>
                <w:color w:val="FFFFFF" w:themeColor="background1"/>
              </w:rPr>
            </w:pPr>
            <w:r w:rsidRPr="00726D52">
              <w:rPr>
                <w:rFonts w:eastAsia="Times New Roman"/>
                <w:b/>
                <w:bCs/>
                <w:noProof/>
                <w:color w:val="FFFFFF" w:themeColor="background1"/>
              </w:rPr>
              <w:t>Stakeholder group</w:t>
            </w:r>
          </w:p>
        </w:tc>
        <w:tc>
          <w:tcPr>
            <w:tcW w:w="3947" w:type="dxa"/>
            <w:tcBorders>
              <w:top w:val="nil"/>
              <w:left w:val="single" w:sz="6" w:space="0" w:color="D8E0E3"/>
              <w:bottom w:val="single" w:sz="6" w:space="0" w:color="D8E0E3"/>
              <w:right w:val="single" w:sz="6" w:space="0" w:color="D8E0E3"/>
            </w:tcBorders>
            <w:shd w:val="clear" w:color="auto" w:fill="48773D"/>
            <w:tcMar>
              <w:top w:w="45" w:type="dxa"/>
              <w:left w:w="105" w:type="dxa"/>
              <w:right w:w="105" w:type="dxa"/>
            </w:tcMar>
            <w:vAlign w:val="center"/>
          </w:tcPr>
          <w:p w14:paraId="2DDC95CA" w14:textId="61BD5A07" w:rsidR="735902D7" w:rsidRPr="00726D52" w:rsidRDefault="735902D7" w:rsidP="735902D7">
            <w:pPr>
              <w:spacing w:after="0" w:line="220" w:lineRule="atLeast"/>
              <w:ind w:left="57" w:right="57"/>
              <w:rPr>
                <w:rFonts w:eastAsia="Times New Roman"/>
                <w:noProof/>
                <w:color w:val="FFFFFF" w:themeColor="background1"/>
              </w:rPr>
            </w:pPr>
            <w:r w:rsidRPr="00726D52">
              <w:rPr>
                <w:rFonts w:eastAsia="Times New Roman"/>
                <w:b/>
                <w:bCs/>
                <w:noProof/>
                <w:color w:val="FFFFFF" w:themeColor="background1"/>
              </w:rPr>
              <w:t>Country of origin</w:t>
            </w:r>
          </w:p>
        </w:tc>
        <w:tc>
          <w:tcPr>
            <w:tcW w:w="1776" w:type="dxa"/>
            <w:tcBorders>
              <w:top w:val="nil"/>
              <w:left w:val="single" w:sz="6" w:space="0" w:color="D8E0E3"/>
              <w:bottom w:val="single" w:sz="6" w:space="0" w:color="D8E0E3"/>
              <w:right w:val="single" w:sz="6" w:space="0" w:color="auto"/>
            </w:tcBorders>
            <w:shd w:val="clear" w:color="auto" w:fill="48773D"/>
            <w:tcMar>
              <w:top w:w="45" w:type="dxa"/>
              <w:left w:w="105" w:type="dxa"/>
              <w:right w:w="105" w:type="dxa"/>
            </w:tcMar>
            <w:vAlign w:val="center"/>
          </w:tcPr>
          <w:p w14:paraId="55869246" w14:textId="0CD2F552" w:rsidR="735902D7" w:rsidRPr="00726D52" w:rsidRDefault="735902D7" w:rsidP="735902D7">
            <w:pPr>
              <w:spacing w:after="0" w:line="220" w:lineRule="atLeast"/>
              <w:ind w:left="57" w:right="57"/>
              <w:rPr>
                <w:rFonts w:eastAsia="Times New Roman"/>
                <w:noProof/>
                <w:color w:val="FFFFFF" w:themeColor="background1"/>
              </w:rPr>
            </w:pPr>
            <w:r w:rsidRPr="00726D52">
              <w:rPr>
                <w:rFonts w:eastAsia="Times New Roman"/>
                <w:b/>
                <w:bCs/>
                <w:noProof/>
                <w:color w:val="FFFFFF" w:themeColor="background1"/>
              </w:rPr>
              <w:t>Number of responses</w:t>
            </w:r>
          </w:p>
        </w:tc>
      </w:tr>
      <w:tr w:rsidR="735902D7" w:rsidRPr="00726D52" w14:paraId="6022DAB2"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10D6F636" w14:textId="0A9A378F" w:rsidR="735902D7" w:rsidRPr="00726D52" w:rsidRDefault="735902D7" w:rsidP="735902D7">
            <w:pPr>
              <w:spacing w:after="0" w:line="220" w:lineRule="atLeast"/>
              <w:ind w:right="57"/>
              <w:rPr>
                <w:rFonts w:eastAsia="Times New Roman"/>
                <w:noProof/>
              </w:rPr>
            </w:pPr>
            <w:r w:rsidRPr="00726D52">
              <w:rPr>
                <w:rFonts w:eastAsia="Times New Roman"/>
                <w:noProof/>
              </w:rPr>
              <w:t>EU citizen</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3606A4B3" w14:textId="3184CCCD" w:rsidR="735902D7" w:rsidRPr="00726D52" w:rsidRDefault="735902D7" w:rsidP="735902D7">
            <w:pPr>
              <w:spacing w:after="0" w:line="220" w:lineRule="atLeast"/>
              <w:ind w:right="57"/>
              <w:rPr>
                <w:rFonts w:eastAsia="Times New Roman"/>
                <w:noProof/>
                <w:sz w:val="19"/>
                <w:szCs w:val="19"/>
              </w:rPr>
            </w:pPr>
            <w:r w:rsidRPr="00726D52">
              <w:rPr>
                <w:rFonts w:eastAsia="Times New Roman"/>
                <w:noProof/>
              </w:rPr>
              <w:t>France, Germany, Ireland, Italy, United Kingdom</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3C873CD8" w14:textId="27003DBE" w:rsidR="735902D7" w:rsidRPr="00726D52" w:rsidRDefault="735902D7" w:rsidP="735902D7">
            <w:pPr>
              <w:spacing w:after="0" w:line="220" w:lineRule="atLeast"/>
              <w:ind w:right="57"/>
              <w:rPr>
                <w:rFonts w:eastAsia="Times New Roman"/>
                <w:noProof/>
              </w:rPr>
            </w:pPr>
            <w:r w:rsidRPr="00726D52">
              <w:rPr>
                <w:rFonts w:eastAsia="Times New Roman"/>
                <w:noProof/>
              </w:rPr>
              <w:t>6</w:t>
            </w:r>
          </w:p>
        </w:tc>
      </w:tr>
      <w:tr w:rsidR="735902D7" w:rsidRPr="00726D52" w14:paraId="07FF51AD"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5740C3C5" w14:textId="41A5AB69" w:rsidR="735902D7" w:rsidRPr="00726D52" w:rsidRDefault="735902D7" w:rsidP="735902D7">
            <w:pPr>
              <w:spacing w:after="0" w:line="220" w:lineRule="atLeast"/>
              <w:ind w:right="57"/>
              <w:rPr>
                <w:rFonts w:eastAsia="Times New Roman"/>
                <w:noProof/>
              </w:rPr>
            </w:pPr>
            <w:r w:rsidRPr="00726D52">
              <w:rPr>
                <w:rFonts w:eastAsia="Times New Roman"/>
                <w:noProof/>
              </w:rPr>
              <w:t>Business association</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0CB2DF38" w14:textId="116A7381" w:rsidR="735902D7" w:rsidRPr="00726D52" w:rsidRDefault="735902D7" w:rsidP="735902D7">
            <w:pPr>
              <w:spacing w:after="0" w:line="220" w:lineRule="atLeast"/>
              <w:ind w:right="57"/>
              <w:rPr>
                <w:rFonts w:eastAsia="Times New Roman"/>
                <w:noProof/>
              </w:rPr>
            </w:pPr>
            <w:r w:rsidRPr="00726D52">
              <w:rPr>
                <w:rFonts w:eastAsia="Times New Roman"/>
                <w:noProof/>
              </w:rPr>
              <w:t>Belgium</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49B1A520" w14:textId="76ACACBF" w:rsidR="735902D7" w:rsidRPr="00726D52" w:rsidRDefault="735902D7" w:rsidP="735902D7">
            <w:pPr>
              <w:spacing w:after="0" w:line="220" w:lineRule="atLeast"/>
              <w:ind w:right="57"/>
              <w:rPr>
                <w:rFonts w:eastAsia="Times New Roman"/>
                <w:noProof/>
              </w:rPr>
            </w:pPr>
            <w:r w:rsidRPr="00726D52">
              <w:rPr>
                <w:rFonts w:eastAsia="Times New Roman"/>
                <w:noProof/>
              </w:rPr>
              <w:t>1</w:t>
            </w:r>
          </w:p>
        </w:tc>
      </w:tr>
      <w:tr w:rsidR="735902D7" w:rsidRPr="00726D52" w14:paraId="19A53AFD"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36A874ED" w14:textId="062A79D7" w:rsidR="735902D7" w:rsidRPr="00726D52" w:rsidRDefault="735902D7" w:rsidP="735902D7">
            <w:pPr>
              <w:spacing w:after="0" w:line="220" w:lineRule="atLeast"/>
              <w:ind w:right="57"/>
              <w:rPr>
                <w:rFonts w:eastAsia="Times New Roman"/>
                <w:noProof/>
              </w:rPr>
            </w:pPr>
            <w:r w:rsidRPr="00726D52">
              <w:rPr>
                <w:rFonts w:eastAsia="Times New Roman"/>
                <w:noProof/>
              </w:rPr>
              <w:t>Company/business</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1E017AFF" w14:textId="5656C96F" w:rsidR="735902D7" w:rsidRPr="00726D52" w:rsidRDefault="735902D7" w:rsidP="735902D7">
            <w:pPr>
              <w:spacing w:after="0" w:line="220" w:lineRule="atLeast"/>
              <w:ind w:right="57"/>
              <w:rPr>
                <w:rFonts w:eastAsia="Times New Roman"/>
                <w:noProof/>
              </w:rPr>
            </w:pPr>
            <w:r w:rsidRPr="00726D52">
              <w:rPr>
                <w:rFonts w:eastAsia="Times New Roman"/>
                <w:noProof/>
              </w:rPr>
              <w:t>Belgium, Ireland, United States</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642F7218" w14:textId="6CD85DAA" w:rsidR="735902D7" w:rsidRPr="00726D52" w:rsidRDefault="735902D7" w:rsidP="735902D7">
            <w:pPr>
              <w:spacing w:after="0" w:line="220" w:lineRule="atLeast"/>
              <w:ind w:right="57"/>
              <w:rPr>
                <w:rFonts w:eastAsia="Times New Roman"/>
                <w:noProof/>
              </w:rPr>
            </w:pPr>
            <w:r w:rsidRPr="00726D52">
              <w:rPr>
                <w:rFonts w:eastAsia="Times New Roman"/>
                <w:noProof/>
              </w:rPr>
              <w:t>3</w:t>
            </w:r>
          </w:p>
        </w:tc>
      </w:tr>
      <w:tr w:rsidR="735902D7" w:rsidRPr="00726D52" w14:paraId="03A3E224"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018192F5" w14:textId="6E3F9F8E" w:rsidR="735902D7" w:rsidRPr="00726D52" w:rsidRDefault="735902D7" w:rsidP="735902D7">
            <w:pPr>
              <w:spacing w:after="0" w:line="220" w:lineRule="atLeast"/>
              <w:ind w:right="57"/>
              <w:rPr>
                <w:rFonts w:eastAsia="Times New Roman"/>
                <w:noProof/>
              </w:rPr>
            </w:pPr>
            <w:r w:rsidRPr="00726D52">
              <w:rPr>
                <w:rFonts w:eastAsia="Times New Roman"/>
                <w:noProof/>
              </w:rPr>
              <w:t>Consumer organisation</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7502EC4D" w14:textId="7248FFB7" w:rsidR="735902D7" w:rsidRPr="00726D52" w:rsidRDefault="735902D7" w:rsidP="735902D7">
            <w:pPr>
              <w:spacing w:after="0" w:line="220" w:lineRule="atLeast"/>
              <w:ind w:right="57"/>
              <w:rPr>
                <w:rFonts w:eastAsia="Times New Roman"/>
                <w:noProof/>
              </w:rPr>
            </w:pPr>
            <w:r w:rsidRPr="00726D52">
              <w:rPr>
                <w:rFonts w:eastAsia="Times New Roman"/>
                <w:noProof/>
              </w:rPr>
              <w:t>Italy</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6D8A734C" w14:textId="5081F3E2" w:rsidR="735902D7" w:rsidRPr="00726D52" w:rsidRDefault="735902D7" w:rsidP="735902D7">
            <w:pPr>
              <w:spacing w:after="0" w:line="220" w:lineRule="atLeast"/>
              <w:ind w:right="57"/>
              <w:rPr>
                <w:rFonts w:eastAsia="Times New Roman"/>
                <w:noProof/>
              </w:rPr>
            </w:pPr>
            <w:r w:rsidRPr="00726D52">
              <w:rPr>
                <w:rFonts w:eastAsia="Times New Roman"/>
                <w:noProof/>
              </w:rPr>
              <w:t>1</w:t>
            </w:r>
          </w:p>
        </w:tc>
      </w:tr>
      <w:tr w:rsidR="735902D7" w:rsidRPr="00726D52" w14:paraId="7674B219"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5B4E81F5" w14:textId="362E3FB4" w:rsidR="735902D7" w:rsidRPr="00726D52" w:rsidRDefault="735902D7" w:rsidP="735902D7">
            <w:pPr>
              <w:spacing w:after="0" w:line="220" w:lineRule="atLeast"/>
              <w:ind w:right="57"/>
              <w:rPr>
                <w:rFonts w:eastAsia="Times New Roman"/>
                <w:noProof/>
              </w:rPr>
            </w:pPr>
            <w:r w:rsidRPr="00726D52">
              <w:rPr>
                <w:rFonts w:eastAsia="Times New Roman"/>
                <w:noProof/>
              </w:rPr>
              <w:t>Non-governmental organisation (NGO)</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30D64E31" w14:textId="10328279" w:rsidR="735902D7" w:rsidRPr="00726D52" w:rsidRDefault="735902D7" w:rsidP="735902D7">
            <w:pPr>
              <w:spacing w:after="0" w:line="220" w:lineRule="atLeast"/>
              <w:ind w:right="57"/>
              <w:rPr>
                <w:rFonts w:eastAsia="Times New Roman"/>
                <w:noProof/>
              </w:rPr>
            </w:pPr>
            <w:r w:rsidRPr="00726D52">
              <w:rPr>
                <w:rFonts w:eastAsia="Times New Roman"/>
                <w:noProof/>
              </w:rPr>
              <w:t>Belgium, United Kingdom</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5B7C3B8C" w14:textId="34BEE4E6" w:rsidR="735902D7" w:rsidRPr="00726D52" w:rsidRDefault="735902D7" w:rsidP="735902D7">
            <w:pPr>
              <w:spacing w:after="0" w:line="220" w:lineRule="atLeast"/>
              <w:ind w:right="57"/>
              <w:rPr>
                <w:rFonts w:eastAsia="Times New Roman"/>
                <w:noProof/>
              </w:rPr>
            </w:pPr>
            <w:r w:rsidRPr="00726D52">
              <w:rPr>
                <w:rFonts w:eastAsia="Times New Roman"/>
                <w:noProof/>
              </w:rPr>
              <w:t>4</w:t>
            </w:r>
          </w:p>
        </w:tc>
      </w:tr>
      <w:tr w:rsidR="735902D7" w:rsidRPr="00726D52" w14:paraId="34022746"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14B445A0" w14:textId="7A7C2F87" w:rsidR="735902D7" w:rsidRPr="00726D52" w:rsidRDefault="735902D7" w:rsidP="735902D7">
            <w:pPr>
              <w:spacing w:after="0" w:line="220" w:lineRule="atLeast"/>
              <w:ind w:right="57"/>
              <w:rPr>
                <w:rFonts w:eastAsia="Times New Roman"/>
                <w:noProof/>
              </w:rPr>
            </w:pPr>
            <w:r w:rsidRPr="00726D52">
              <w:rPr>
                <w:rFonts w:eastAsia="Times New Roman"/>
                <w:noProof/>
              </w:rPr>
              <w:lastRenderedPageBreak/>
              <w:t>Public authority</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4C8BAFBA" w14:textId="3B3646B3" w:rsidR="735902D7" w:rsidRPr="00726D52" w:rsidRDefault="735902D7" w:rsidP="735902D7">
            <w:pPr>
              <w:spacing w:after="0" w:line="220" w:lineRule="atLeast"/>
              <w:ind w:right="57"/>
              <w:rPr>
                <w:rFonts w:eastAsia="Times New Roman"/>
                <w:noProof/>
              </w:rPr>
            </w:pPr>
            <w:r w:rsidRPr="00726D52">
              <w:rPr>
                <w:rFonts w:eastAsia="Times New Roman"/>
                <w:noProof/>
              </w:rPr>
              <w:t>Croatia, Cyprus, Ireland, Italy, Germany, Netherlands, Norway, Spain, Switzerland</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001EE64A" w14:textId="78BB9BFD" w:rsidR="735902D7" w:rsidRPr="00726D52" w:rsidRDefault="735902D7" w:rsidP="735902D7">
            <w:pPr>
              <w:spacing w:after="0" w:line="220" w:lineRule="atLeast"/>
              <w:ind w:right="57"/>
              <w:rPr>
                <w:rFonts w:eastAsia="Times New Roman"/>
                <w:noProof/>
              </w:rPr>
            </w:pPr>
            <w:r w:rsidRPr="00726D52">
              <w:rPr>
                <w:rFonts w:eastAsia="Times New Roman"/>
                <w:noProof/>
              </w:rPr>
              <w:t>13</w:t>
            </w:r>
          </w:p>
        </w:tc>
      </w:tr>
      <w:tr w:rsidR="735902D7" w:rsidRPr="00726D52" w14:paraId="2E182F20"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tcMar>
              <w:top w:w="45" w:type="dxa"/>
              <w:left w:w="105" w:type="dxa"/>
              <w:right w:w="105" w:type="dxa"/>
            </w:tcMar>
          </w:tcPr>
          <w:p w14:paraId="3392AB56" w14:textId="33FB5313" w:rsidR="735902D7" w:rsidRPr="00726D52" w:rsidRDefault="735902D7" w:rsidP="735902D7">
            <w:pPr>
              <w:spacing w:after="0" w:line="220" w:lineRule="atLeast"/>
              <w:ind w:right="57"/>
              <w:rPr>
                <w:rFonts w:eastAsia="Times New Roman"/>
                <w:noProof/>
              </w:rPr>
            </w:pPr>
            <w:r w:rsidRPr="00726D52">
              <w:rPr>
                <w:rFonts w:eastAsia="Times New Roman"/>
                <w:noProof/>
              </w:rPr>
              <w:t>Other (not specified)</w:t>
            </w:r>
          </w:p>
        </w:tc>
        <w:tc>
          <w:tcPr>
            <w:tcW w:w="3947" w:type="dxa"/>
            <w:tcBorders>
              <w:top w:val="single" w:sz="6" w:space="0" w:color="D8E0E3"/>
              <w:left w:val="single" w:sz="6" w:space="0" w:color="D8E0E3"/>
              <w:bottom w:val="single" w:sz="6" w:space="0" w:color="D8E0E3"/>
              <w:right w:val="single" w:sz="6" w:space="0" w:color="D8E0E3"/>
            </w:tcBorders>
            <w:tcMar>
              <w:top w:w="45" w:type="dxa"/>
              <w:left w:w="105" w:type="dxa"/>
              <w:right w:w="105" w:type="dxa"/>
            </w:tcMar>
          </w:tcPr>
          <w:p w14:paraId="50DA3D7D" w14:textId="69DBD0DD" w:rsidR="735902D7" w:rsidRPr="00726D52" w:rsidRDefault="735902D7" w:rsidP="735902D7">
            <w:pPr>
              <w:spacing w:after="0" w:line="220" w:lineRule="atLeast"/>
              <w:ind w:right="57"/>
              <w:rPr>
                <w:rFonts w:eastAsia="Times New Roman"/>
                <w:noProof/>
              </w:rPr>
            </w:pPr>
            <w:r w:rsidRPr="00726D52">
              <w:rPr>
                <w:rFonts w:eastAsia="Times New Roman"/>
                <w:noProof/>
              </w:rPr>
              <w:t>Germany, Italy, Latvia</w:t>
            </w:r>
          </w:p>
        </w:tc>
        <w:tc>
          <w:tcPr>
            <w:tcW w:w="1776" w:type="dxa"/>
            <w:tcBorders>
              <w:top w:val="single" w:sz="6" w:space="0" w:color="D8E0E3"/>
              <w:left w:val="single" w:sz="6" w:space="0" w:color="D8E0E3"/>
              <w:bottom w:val="single" w:sz="6" w:space="0" w:color="D8E0E3"/>
              <w:right w:val="single" w:sz="6" w:space="0" w:color="auto"/>
            </w:tcBorders>
            <w:tcMar>
              <w:top w:w="45" w:type="dxa"/>
              <w:left w:w="105" w:type="dxa"/>
              <w:right w:w="105" w:type="dxa"/>
            </w:tcMar>
          </w:tcPr>
          <w:p w14:paraId="6A96C7E2" w14:textId="45AE75F5" w:rsidR="735902D7" w:rsidRPr="00726D52" w:rsidRDefault="735902D7" w:rsidP="735902D7">
            <w:pPr>
              <w:spacing w:after="0" w:line="220" w:lineRule="atLeast"/>
              <w:ind w:right="57"/>
              <w:rPr>
                <w:rFonts w:eastAsia="Times New Roman"/>
                <w:noProof/>
              </w:rPr>
            </w:pPr>
            <w:r w:rsidRPr="00726D52">
              <w:rPr>
                <w:rFonts w:eastAsia="Times New Roman"/>
                <w:noProof/>
              </w:rPr>
              <w:t>5</w:t>
            </w:r>
          </w:p>
        </w:tc>
      </w:tr>
      <w:tr w:rsidR="00455B0C" w:rsidRPr="00726D52" w14:paraId="6843CDBB" w14:textId="77777777" w:rsidTr="00455B0C">
        <w:trPr>
          <w:trHeight w:val="300"/>
        </w:trPr>
        <w:tc>
          <w:tcPr>
            <w:tcW w:w="2879" w:type="dxa"/>
            <w:tcBorders>
              <w:top w:val="single" w:sz="6" w:space="0" w:color="D8E0E3"/>
              <w:left w:val="single" w:sz="6" w:space="0" w:color="auto"/>
              <w:bottom w:val="single" w:sz="6" w:space="0" w:color="D8E0E3"/>
              <w:right w:val="single" w:sz="6" w:space="0" w:color="D8E0E3"/>
            </w:tcBorders>
            <w:shd w:val="clear" w:color="auto" w:fill="D9D9D9" w:themeFill="background1" w:themeFillShade="D9"/>
            <w:tcMar>
              <w:top w:w="45" w:type="dxa"/>
              <w:left w:w="105" w:type="dxa"/>
              <w:right w:w="105" w:type="dxa"/>
            </w:tcMar>
          </w:tcPr>
          <w:p w14:paraId="2AF5BB37" w14:textId="0E0BA4F6" w:rsidR="00455B0C" w:rsidRPr="00726D52" w:rsidRDefault="00455B0C" w:rsidP="735902D7">
            <w:pPr>
              <w:spacing w:after="0" w:line="220" w:lineRule="atLeast"/>
              <w:ind w:right="57"/>
              <w:rPr>
                <w:rFonts w:eastAsia="Times New Roman"/>
                <w:b/>
                <w:bCs/>
                <w:noProof/>
              </w:rPr>
            </w:pPr>
            <w:r w:rsidRPr="00726D52">
              <w:rPr>
                <w:rFonts w:eastAsia="Times New Roman"/>
                <w:b/>
                <w:bCs/>
                <w:noProof/>
              </w:rPr>
              <w:t>Total</w:t>
            </w:r>
          </w:p>
        </w:tc>
        <w:tc>
          <w:tcPr>
            <w:tcW w:w="3947" w:type="dxa"/>
            <w:tcBorders>
              <w:top w:val="single" w:sz="6" w:space="0" w:color="D8E0E3"/>
              <w:left w:val="single" w:sz="6" w:space="0" w:color="D8E0E3"/>
              <w:bottom w:val="single" w:sz="6" w:space="0" w:color="D8E0E3"/>
              <w:right w:val="single" w:sz="6" w:space="0" w:color="D8E0E3"/>
            </w:tcBorders>
            <w:shd w:val="clear" w:color="auto" w:fill="D9D9D9" w:themeFill="background1" w:themeFillShade="D9"/>
            <w:tcMar>
              <w:top w:w="45" w:type="dxa"/>
              <w:left w:w="105" w:type="dxa"/>
              <w:right w:w="105" w:type="dxa"/>
            </w:tcMar>
          </w:tcPr>
          <w:p w14:paraId="301BF7C3" w14:textId="77777777" w:rsidR="00455B0C" w:rsidRPr="00726D52" w:rsidRDefault="00455B0C" w:rsidP="735902D7">
            <w:pPr>
              <w:spacing w:after="0" w:line="220" w:lineRule="atLeast"/>
              <w:ind w:right="57"/>
              <w:rPr>
                <w:rFonts w:eastAsia="Times New Roman"/>
                <w:b/>
                <w:bCs/>
                <w:noProof/>
              </w:rPr>
            </w:pPr>
          </w:p>
        </w:tc>
        <w:tc>
          <w:tcPr>
            <w:tcW w:w="1776" w:type="dxa"/>
            <w:tcBorders>
              <w:top w:val="single" w:sz="6" w:space="0" w:color="D8E0E3"/>
              <w:left w:val="single" w:sz="6" w:space="0" w:color="D8E0E3"/>
              <w:bottom w:val="single" w:sz="6" w:space="0" w:color="D8E0E3"/>
              <w:right w:val="single" w:sz="6" w:space="0" w:color="auto"/>
            </w:tcBorders>
            <w:shd w:val="clear" w:color="auto" w:fill="D9D9D9" w:themeFill="background1" w:themeFillShade="D9"/>
            <w:tcMar>
              <w:top w:w="45" w:type="dxa"/>
              <w:left w:w="105" w:type="dxa"/>
              <w:right w:w="105" w:type="dxa"/>
            </w:tcMar>
          </w:tcPr>
          <w:p w14:paraId="3BFCB1F5" w14:textId="56191DDC" w:rsidR="00455B0C" w:rsidRPr="00726D52" w:rsidRDefault="00455B0C" w:rsidP="735902D7">
            <w:pPr>
              <w:spacing w:after="0" w:line="220" w:lineRule="atLeast"/>
              <w:ind w:right="57"/>
              <w:rPr>
                <w:rFonts w:eastAsia="Times New Roman"/>
                <w:b/>
                <w:bCs/>
                <w:noProof/>
              </w:rPr>
            </w:pPr>
            <w:r w:rsidRPr="00726D52">
              <w:rPr>
                <w:rFonts w:eastAsia="Times New Roman"/>
                <w:b/>
                <w:bCs/>
                <w:noProof/>
              </w:rPr>
              <w:t>33</w:t>
            </w:r>
          </w:p>
        </w:tc>
      </w:tr>
    </w:tbl>
    <w:p w14:paraId="2A5A6986" w14:textId="77777777" w:rsidR="00455B0C" w:rsidRPr="00726D52" w:rsidRDefault="00455B0C">
      <w:pPr>
        <w:rPr>
          <w:noProof/>
        </w:rPr>
      </w:pPr>
    </w:p>
    <w:tbl>
      <w:tblPr>
        <w:tblStyle w:val="TableGrid"/>
        <w:tblW w:w="0" w:type="auto"/>
        <w:tblLook w:val="06A0" w:firstRow="1" w:lastRow="0" w:firstColumn="1" w:lastColumn="0" w:noHBand="1" w:noVBand="1"/>
      </w:tblPr>
      <w:tblGrid>
        <w:gridCol w:w="8608"/>
      </w:tblGrid>
      <w:tr w:rsidR="35281CB8" w:rsidRPr="00726D52" w14:paraId="120B9BD4" w14:textId="77777777" w:rsidTr="00455B0C">
        <w:trPr>
          <w:trHeight w:val="300"/>
        </w:trPr>
        <w:tc>
          <w:tcPr>
            <w:tcW w:w="8608" w:type="dxa"/>
          </w:tcPr>
          <w:p w14:paraId="07C95A1D" w14:textId="27523B7E" w:rsidR="19A9A76E" w:rsidRPr="00726D52" w:rsidRDefault="19A9A76E" w:rsidP="00455B0C">
            <w:pPr>
              <w:widowControl w:val="0"/>
              <w:spacing w:before="120"/>
              <w:rPr>
                <w:noProof/>
                <w:color w:val="000000" w:themeColor="text1"/>
              </w:rPr>
            </w:pPr>
            <w:r w:rsidRPr="00726D52">
              <w:rPr>
                <w:noProof/>
                <w:color w:val="000000" w:themeColor="text1"/>
              </w:rPr>
              <w:t>The main points raised by stakeholders in the public consultation were as follows:</w:t>
            </w:r>
            <w:r w:rsidR="00B8714D" w:rsidRPr="00726D52">
              <w:rPr>
                <w:rStyle w:val="FootnoteReference"/>
                <w:noProof/>
                <w:color w:val="000000" w:themeColor="text1"/>
              </w:rPr>
              <w:footnoteReference w:id="143"/>
            </w:r>
          </w:p>
          <w:p w14:paraId="37952329" w14:textId="2DF851DA" w:rsidR="19A9A76E" w:rsidRPr="00726D52" w:rsidRDefault="19A9A76E" w:rsidP="009502B2">
            <w:pPr>
              <w:pStyle w:val="ListParagraph"/>
              <w:widowControl w:val="0"/>
              <w:numPr>
                <w:ilvl w:val="0"/>
                <w:numId w:val="60"/>
              </w:numPr>
              <w:rPr>
                <w:noProof/>
                <w:color w:val="000000" w:themeColor="text1"/>
              </w:rPr>
            </w:pPr>
            <w:r w:rsidRPr="00726D52">
              <w:rPr>
                <w:b/>
                <w:bCs/>
                <w:noProof/>
                <w:color w:val="000000" w:themeColor="text1"/>
              </w:rPr>
              <w:t xml:space="preserve">Overall effectiveness is assessed positively, with strong performance in core analytical and coordination functions. </w:t>
            </w:r>
            <w:r w:rsidRPr="00726D52">
              <w:rPr>
                <w:noProof/>
                <w:color w:val="000000" w:themeColor="text1"/>
              </w:rPr>
              <w:t>Respondents generally viewed Europol’s performance under the current Regulation as effective, particularly its role as the EU criminal information hub, its analytical outputs (e.g. threat assessments and situation reports), and its coordination of investigative and operational actions. At the same time, uncertainty remained higher for cooperation with the private sector and for the development of centres of expertise, and legal factors were most often identified as obstacles to effective implementation.</w:t>
            </w:r>
          </w:p>
          <w:p w14:paraId="44956628" w14:textId="0925C5A8" w:rsidR="19A9A76E" w:rsidRPr="00726D52" w:rsidRDefault="19A9A76E" w:rsidP="009502B2">
            <w:pPr>
              <w:pStyle w:val="ListParagraph"/>
              <w:widowControl w:val="0"/>
              <w:numPr>
                <w:ilvl w:val="0"/>
                <w:numId w:val="60"/>
              </w:numPr>
              <w:rPr>
                <w:noProof/>
                <w:color w:val="000000" w:themeColor="text1"/>
              </w:rPr>
            </w:pPr>
            <w:r w:rsidRPr="00726D52">
              <w:rPr>
                <w:b/>
                <w:bCs/>
                <w:noProof/>
                <w:color w:val="000000" w:themeColor="text1"/>
              </w:rPr>
              <w:t>The Regulation is considered relevant to and aligned with EU priorities, with high satisfaction for operational and technological support.</w:t>
            </w:r>
            <w:r w:rsidRPr="00726D52">
              <w:rPr>
                <w:noProof/>
                <w:color w:val="000000" w:themeColor="text1"/>
              </w:rPr>
              <w:t xml:space="preserve"> Most respondents judged Europol’s objectives and activities to be highly relevant or relevant to EU law enforcement and security priorities. Europol’s focus on key crime areas was seen as broadly aligned with EU priorities, and satisfaction was particularly high regarding operational investigative support and technological expertise (including digital forensics, AI-based data analysis and biometrics). There was limited appetite, or uncertainty, about expanding Europol’s focus to additional crime areas.</w:t>
            </w:r>
          </w:p>
          <w:p w14:paraId="453C1221" w14:textId="435B0D6F" w:rsidR="19A9A76E" w:rsidRPr="00726D52" w:rsidRDefault="19A9A76E" w:rsidP="009502B2">
            <w:pPr>
              <w:pStyle w:val="ListParagraph"/>
              <w:widowControl w:val="0"/>
              <w:numPr>
                <w:ilvl w:val="0"/>
                <w:numId w:val="60"/>
              </w:numPr>
              <w:rPr>
                <w:noProof/>
                <w:color w:val="000000" w:themeColor="text1"/>
              </w:rPr>
            </w:pPr>
            <w:r w:rsidRPr="00726D52">
              <w:rPr>
                <w:b/>
                <w:bCs/>
                <w:noProof/>
                <w:color w:val="000000" w:themeColor="text1"/>
              </w:rPr>
              <w:t>EU added value is widely recognised</w:t>
            </w:r>
            <w:r w:rsidRPr="00726D52">
              <w:rPr>
                <w:noProof/>
                <w:color w:val="000000" w:themeColor="text1"/>
              </w:rPr>
              <w:t>. An overwhelming majority of respondents rated Europol’s EU added value positively, and more than half observed positive changes attributable to the Regulation. In the absence of Europol, respondents considered that Member States would only be able to conduct comparable investigations and information exchanges to a limited extent.</w:t>
            </w:r>
          </w:p>
          <w:p w14:paraId="744B0712" w14:textId="5C1BECA3" w:rsidR="19A9A76E" w:rsidRPr="00726D52" w:rsidRDefault="19A9A76E" w:rsidP="009502B2">
            <w:pPr>
              <w:pStyle w:val="ListParagraph"/>
              <w:widowControl w:val="0"/>
              <w:numPr>
                <w:ilvl w:val="0"/>
                <w:numId w:val="60"/>
              </w:numPr>
              <w:rPr>
                <w:noProof/>
                <w:color w:val="000000" w:themeColor="text1"/>
              </w:rPr>
            </w:pPr>
            <w:r w:rsidRPr="00726D52">
              <w:rPr>
                <w:b/>
                <w:bCs/>
                <w:noProof/>
                <w:color w:val="000000" w:themeColor="text1"/>
              </w:rPr>
              <w:t xml:space="preserve">Implementation challenges relate mainly to resources, governance and legal–technical constraints. </w:t>
            </w:r>
            <w:r w:rsidRPr="00726D52">
              <w:rPr>
                <w:noProof/>
                <w:color w:val="000000" w:themeColor="text1"/>
              </w:rPr>
              <w:t xml:space="preserve">While respondents generally considered that the current Regulation enables Europol to fulfil its mandate, governance, oversight, and resources received the lowest positive ratings. More broadly, legal and procedural uncertainties (notably regarding access to data and admissibility of evidence), technological and legal disparities between Member States, and rapidly evolving digital criminal methods were identified as significant constraints on effective implementation. </w:t>
            </w:r>
          </w:p>
          <w:p w14:paraId="18E9A9C5" w14:textId="286D6970" w:rsidR="19A9A76E" w:rsidRPr="00726D52" w:rsidRDefault="19A9A76E" w:rsidP="009502B2">
            <w:pPr>
              <w:pStyle w:val="ListParagraph"/>
              <w:widowControl w:val="0"/>
              <w:numPr>
                <w:ilvl w:val="0"/>
                <w:numId w:val="60"/>
              </w:numPr>
              <w:rPr>
                <w:noProof/>
                <w:color w:val="000000" w:themeColor="text1"/>
              </w:rPr>
            </w:pPr>
            <w:r w:rsidRPr="00726D52">
              <w:rPr>
                <w:b/>
                <w:bCs/>
                <w:noProof/>
                <w:color w:val="000000" w:themeColor="text1"/>
              </w:rPr>
              <w:t>Preferred pathways for revision</w:t>
            </w:r>
            <w:r w:rsidRPr="00726D52">
              <w:rPr>
                <w:noProof/>
                <w:color w:val="000000" w:themeColor="text1"/>
              </w:rPr>
              <w:t xml:space="preserve"> favour non‑legislative measures and targeted </w:t>
            </w:r>
            <w:r w:rsidRPr="00726D52">
              <w:rPr>
                <w:b/>
                <w:bCs/>
                <w:noProof/>
                <w:color w:val="000000" w:themeColor="text1"/>
              </w:rPr>
              <w:lastRenderedPageBreak/>
              <w:t>amendments rather than a full mandate overhaul</w:t>
            </w:r>
            <w:r w:rsidRPr="00726D52">
              <w:rPr>
                <w:noProof/>
                <w:color w:val="000000" w:themeColor="text1"/>
              </w:rPr>
              <w:t>.</w:t>
            </w:r>
          </w:p>
        </w:tc>
      </w:tr>
    </w:tbl>
    <w:p w14:paraId="7D7FF943" w14:textId="05BE5929" w:rsidR="00181F4A" w:rsidRPr="00726D52" w:rsidRDefault="719A4F3C" w:rsidP="0F134F05">
      <w:pPr>
        <w:keepNext/>
        <w:spacing w:before="120" w:after="200" w:line="276" w:lineRule="auto"/>
        <w:ind w:firstLine="720"/>
        <w:rPr>
          <w:rFonts w:eastAsia="Times New Roman"/>
          <w:noProof/>
          <w:color w:val="000000" w:themeColor="text1"/>
        </w:rPr>
      </w:pPr>
      <w:r w:rsidRPr="00726D52">
        <w:rPr>
          <w:rFonts w:eastAsia="Times New Roman"/>
          <w:b/>
          <w:bCs/>
          <w:noProof/>
          <w:color w:val="000000" w:themeColor="text1"/>
        </w:rPr>
        <w:lastRenderedPageBreak/>
        <w:t xml:space="preserve">3.2.3 Four thematic workshops on the future of Europol </w:t>
      </w:r>
    </w:p>
    <w:p w14:paraId="5238DCB0" w14:textId="5E4447C1" w:rsidR="00181F4A" w:rsidRPr="00726D52" w:rsidRDefault="719A4F3C" w:rsidP="0F134F05">
      <w:pPr>
        <w:keepNext/>
        <w:spacing w:before="120" w:after="200" w:line="276" w:lineRule="auto"/>
        <w:rPr>
          <w:rFonts w:eastAsia="Times New Roman"/>
          <w:noProof/>
          <w:color w:val="000000" w:themeColor="text1"/>
        </w:rPr>
      </w:pPr>
      <w:r w:rsidRPr="00726D52">
        <w:rPr>
          <w:rFonts w:eastAsia="Times New Roman"/>
          <w:noProof/>
          <w:color w:val="000000" w:themeColor="text1"/>
        </w:rPr>
        <w:t>DG HOME organised four thematic workshops on the future of Europol to gather feedback at technical level notably from Member States’ experts. Europol participated in all workshops and the EPPO participated in the agenda point on Europol-EPPO cooperation. Each workshop was attended by around 100 experts. Overall, nineteen agenda topics were addressed and around a dozen written contributions by Member States were received by the Commission as a follow-up to the discussions.</w:t>
      </w:r>
    </w:p>
    <w:p w14:paraId="5943085F" w14:textId="743336DD" w:rsidR="00181F4A"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The first two workshops were held on 6 and 7 November and were dedicated to “Optimising Europol’s data ecosystem and strengthening Europol’s role as the EU’s operational information hub” and “Developing EU-level specialised law enforcement expertise and operational innovation within Europol, and reinforcing Europol’s role in tackling persistent and emerging security threats, including within the EMPACT framework”. The third and fourth thematic expert workshops were held on 18 and 19 December and were respectively dedicated to “inter-agency cooperation, notably strengthening law enforcement and judicial cooperation with the EPPO” and “resources, Europol’s human resources model, governance and data protection”. </w:t>
      </w:r>
    </w:p>
    <w:tbl>
      <w:tblPr>
        <w:tblStyle w:val="TableGrid"/>
        <w:tblW w:w="0" w:type="auto"/>
        <w:tblLook w:val="06A0" w:firstRow="1" w:lastRow="0" w:firstColumn="1" w:lastColumn="0" w:noHBand="1" w:noVBand="1"/>
      </w:tblPr>
      <w:tblGrid>
        <w:gridCol w:w="8608"/>
      </w:tblGrid>
      <w:tr w:rsidR="35281CB8" w:rsidRPr="00726D52" w14:paraId="68CCD875" w14:textId="77777777" w:rsidTr="35281CB8">
        <w:trPr>
          <w:trHeight w:val="300"/>
        </w:trPr>
        <w:tc>
          <w:tcPr>
            <w:tcW w:w="8610" w:type="dxa"/>
          </w:tcPr>
          <w:p w14:paraId="491F77D4" w14:textId="53BAB12E" w:rsidR="6CFAF7DB" w:rsidRPr="00726D52" w:rsidRDefault="6CFAF7DB" w:rsidP="00455B0C">
            <w:pPr>
              <w:widowControl w:val="0"/>
              <w:spacing w:after="200" w:line="276" w:lineRule="auto"/>
              <w:rPr>
                <w:noProof/>
                <w:color w:val="000000" w:themeColor="text1"/>
              </w:rPr>
            </w:pPr>
            <w:r w:rsidRPr="00726D52">
              <w:rPr>
                <w:noProof/>
                <w:color w:val="000000" w:themeColor="text1"/>
              </w:rPr>
              <w:t xml:space="preserve">On optimising Europol’s data ecosystem and strengthening Europol’s role as the EU’s operational information hub, experts agreed on the need to upload, securely share and jointly analyse large sets of data in real-time. They stressed the need to have joint and simultaneous data analysis, paving the way towards a collaborative EU law enforcement digital space, as a one-stop-shop working environment. They emphasised the need to bolster Europol’s capacities to cooperate with private parties. Experts expressed varying degrees of openness to a more active role for Europol in accessing existing information at both national and EU levels. </w:t>
            </w:r>
          </w:p>
          <w:p w14:paraId="06D4EDA2" w14:textId="0467F64E" w:rsidR="6CFAF7DB" w:rsidRPr="00726D52" w:rsidRDefault="6CFAF7DB" w:rsidP="00455B0C">
            <w:pPr>
              <w:widowControl w:val="0"/>
              <w:spacing w:after="200" w:line="276" w:lineRule="auto"/>
              <w:rPr>
                <w:noProof/>
                <w:color w:val="000000" w:themeColor="text1"/>
              </w:rPr>
            </w:pPr>
            <w:r w:rsidRPr="00726D52">
              <w:rPr>
                <w:noProof/>
                <w:color w:val="000000" w:themeColor="text1"/>
              </w:rPr>
              <w:t>On strengthening Europol’s operational role in coordinating support to counter persistent threats, a majority of experts considered that the operational mechanisms already in place (OTFs, EMPACT) work well and require only additional funding to respond to their needs. Experts did not consider medium or long-term deployment of Europol staff (e.g. the European Operational Team Costa del Sol) necessary, but supported targeted and flexible deployments, if required, and upon request by Member States</w:t>
            </w:r>
            <w:r w:rsidR="008B5C1F">
              <w:rPr>
                <w:noProof/>
                <w:color w:val="000000" w:themeColor="text1"/>
              </w:rPr>
              <w:t>.</w:t>
            </w:r>
          </w:p>
          <w:p w14:paraId="6F07A47C" w14:textId="543FC143" w:rsidR="6CFAF7DB" w:rsidRPr="00726D52" w:rsidRDefault="6CFAF7DB" w:rsidP="00455B0C">
            <w:pPr>
              <w:widowControl w:val="0"/>
              <w:spacing w:after="200" w:line="276" w:lineRule="auto"/>
              <w:rPr>
                <w:noProof/>
                <w:color w:val="000000" w:themeColor="text1"/>
              </w:rPr>
            </w:pPr>
            <w:r w:rsidRPr="00726D52">
              <w:rPr>
                <w:noProof/>
                <w:color w:val="000000" w:themeColor="text1"/>
              </w:rPr>
              <w:t xml:space="preserve">On enhancing EU-level specialised expertise in fighting online crime, experts emphasised the operational need to enhance Europol’s supportive role in the “digital space”. They underlined the benefit of technical standardisation and discussed on an enhanced role for Europol in case the national authority cannot be identified. </w:t>
            </w:r>
          </w:p>
          <w:p w14:paraId="5C1B3930" w14:textId="582528A4" w:rsidR="6CFAF7DB" w:rsidRPr="00726D52" w:rsidRDefault="6CFAF7DB" w:rsidP="00455B0C">
            <w:pPr>
              <w:widowControl w:val="0"/>
              <w:spacing w:after="200" w:line="276" w:lineRule="auto"/>
              <w:rPr>
                <w:noProof/>
                <w:color w:val="000000" w:themeColor="text1"/>
              </w:rPr>
            </w:pPr>
            <w:r w:rsidRPr="00726D52">
              <w:rPr>
                <w:noProof/>
                <w:color w:val="000000" w:themeColor="text1"/>
              </w:rPr>
              <w:t xml:space="preserve">On reinforcing Europol’s support role in countering emerging criminal threats, experts </w:t>
            </w:r>
            <w:r w:rsidRPr="00726D52">
              <w:rPr>
                <w:noProof/>
                <w:color w:val="000000" w:themeColor="text1"/>
              </w:rPr>
              <w:lastRenderedPageBreak/>
              <w:t xml:space="preserve">agreed that Europol’s capabilities should focus on the criminal law component. They did not propose adding hybrid threats as part of the forms of crime for which Europol is competent, noting that the current list of crimes already provides sufficient scope for requesting Europol’s support in response to their operational needs. </w:t>
            </w:r>
          </w:p>
          <w:p w14:paraId="27F52ADF" w14:textId="4BD74175" w:rsidR="6CFAF7DB" w:rsidRPr="00726D52" w:rsidRDefault="6CFAF7DB" w:rsidP="00455B0C">
            <w:pPr>
              <w:widowControl w:val="0"/>
              <w:spacing w:after="200" w:line="276" w:lineRule="auto"/>
              <w:rPr>
                <w:noProof/>
                <w:color w:val="000000" w:themeColor="text1"/>
              </w:rPr>
            </w:pPr>
            <w:r w:rsidRPr="00726D52">
              <w:rPr>
                <w:noProof/>
                <w:color w:val="000000" w:themeColor="text1"/>
              </w:rPr>
              <w:t xml:space="preserve">On strengthening EPPO-Europol cooperation for greater operational impact, discussions highlighted the growing demand for Europol support to EPPO investigations. EPPO called on moving from constrained information sharing toward full bidirectional information exchange, reinforced analytical capacities at Europol, possible dedicated structures for EPPO-related crime areas, and operational support on the ground with Member States’ consent. While </w:t>
            </w:r>
            <w:r w:rsidR="00396ABE" w:rsidRPr="00726D52">
              <w:rPr>
                <w:noProof/>
                <w:color w:val="000000" w:themeColor="text1"/>
              </w:rPr>
              <w:t>M</w:t>
            </w:r>
            <w:r w:rsidRPr="00726D52">
              <w:rPr>
                <w:noProof/>
                <w:color w:val="000000" w:themeColor="text1"/>
              </w:rPr>
              <w:t xml:space="preserve">ember States broadly supported stronger operational cooperation, views diverged on creating dedicated Europol units and on legal changes. Many experts favoured fully exploiting the existing legal framework, stressing data ownership principles and better coordination. </w:t>
            </w:r>
          </w:p>
          <w:p w14:paraId="7F17FB32" w14:textId="038A11C6" w:rsidR="6CFAF7DB" w:rsidRPr="00726D52" w:rsidRDefault="6CFAF7DB" w:rsidP="00455B0C">
            <w:pPr>
              <w:widowControl w:val="0"/>
              <w:spacing w:after="200" w:line="276" w:lineRule="auto"/>
              <w:rPr>
                <w:noProof/>
                <w:color w:val="000000" w:themeColor="text1"/>
              </w:rPr>
            </w:pPr>
            <w:r w:rsidRPr="00726D52">
              <w:rPr>
                <w:noProof/>
                <w:color w:val="000000" w:themeColor="text1"/>
              </w:rPr>
              <w:t xml:space="preserve">On building a stronger EU law enforcement-judicial cooperation continuum, there was a </w:t>
            </w:r>
            <w:r w:rsidR="4E43F7F9" w:rsidRPr="00726D52">
              <w:rPr>
                <w:noProof/>
                <w:color w:val="000000" w:themeColor="text1"/>
              </w:rPr>
              <w:t>broad</w:t>
            </w:r>
            <w:r w:rsidRPr="00726D52">
              <w:rPr>
                <w:noProof/>
                <w:color w:val="000000" w:themeColor="text1"/>
              </w:rPr>
              <w:t xml:space="preserve"> agreement on the added value of OTFs and JITs and on the need for enhanced Europol support, including training, coordination, and deconfliction. Member States called for simplified procedures and increased financial resources. Strong support was expressed for the EU-funded SIRIUS project and for establishing a permanent joint Eurojust-Europol platform, notably for asset recovery, including crypto assets. </w:t>
            </w:r>
          </w:p>
          <w:p w14:paraId="3ECD9960" w14:textId="1BF6FE85" w:rsidR="6CFAF7DB" w:rsidRPr="00726D52" w:rsidRDefault="6CFAF7DB" w:rsidP="00455B0C">
            <w:pPr>
              <w:widowControl w:val="0"/>
              <w:spacing w:after="200" w:line="276" w:lineRule="auto"/>
              <w:rPr>
                <w:noProof/>
                <w:color w:val="000000" w:themeColor="text1"/>
              </w:rPr>
            </w:pPr>
            <w:r w:rsidRPr="00726D52">
              <w:rPr>
                <w:noProof/>
                <w:color w:val="000000" w:themeColor="text1"/>
              </w:rPr>
              <w:t>On enhancing information sharing and aligned information management, Member States reaffirmed SIENA as the core secure communication channel and underlined the need to harmonise the inter-agency legal framework to avoid duplication, particularly between Europol and Frontex. Some supported broader information exchange with other EU actors, including AMLA, ENISA, the ECB (on terrorism) and MA</w:t>
            </w:r>
            <w:r w:rsidR="00A61BA9" w:rsidRPr="00726D52">
              <w:rPr>
                <w:noProof/>
                <w:color w:val="000000" w:themeColor="text1"/>
              </w:rPr>
              <w:t>O</w:t>
            </w:r>
            <w:r w:rsidRPr="00726D52">
              <w:rPr>
                <w:noProof/>
                <w:color w:val="000000" w:themeColor="text1"/>
              </w:rPr>
              <w:t>C-N (on maritime drug trafficking).</w:t>
            </w:r>
          </w:p>
          <w:p w14:paraId="58FC1203" w14:textId="2F0DF52F" w:rsidR="6CFAF7DB" w:rsidRPr="00726D52" w:rsidRDefault="6CFAF7DB" w:rsidP="00455B0C">
            <w:pPr>
              <w:widowControl w:val="0"/>
              <w:spacing w:after="200" w:line="276" w:lineRule="auto"/>
              <w:rPr>
                <w:noProof/>
                <w:color w:val="000000" w:themeColor="text1"/>
              </w:rPr>
            </w:pPr>
            <w:r w:rsidRPr="00726D52">
              <w:rPr>
                <w:noProof/>
                <w:color w:val="000000" w:themeColor="text1"/>
              </w:rPr>
              <w:t xml:space="preserve">On joining forces in digital services and cloud solutions, there was broad support for developing a secure, future-proof EU cloud solution to enhance data management and joint processing. Different options were discussed, ranging from a private Europol cloud provided by a European supplier to a common eu-LISA-hosted infrastructure for the JHA domain. Experts agreed on the strong operational need and on the necessity for further reflection on the most appropriate model. </w:t>
            </w:r>
          </w:p>
          <w:p w14:paraId="3EA62798" w14:textId="24C494E3" w:rsidR="6CFAF7DB" w:rsidRPr="00726D52" w:rsidRDefault="6CFAF7DB" w:rsidP="00455B0C">
            <w:pPr>
              <w:widowControl w:val="0"/>
              <w:spacing w:after="200" w:line="276" w:lineRule="auto"/>
              <w:rPr>
                <w:noProof/>
                <w:color w:val="000000" w:themeColor="text1"/>
              </w:rPr>
            </w:pPr>
            <w:r w:rsidRPr="00726D52">
              <w:rPr>
                <w:noProof/>
                <w:color w:val="000000" w:themeColor="text1"/>
              </w:rPr>
              <w:t>On Europol’s data protection framework, Member States widely considered data protection rules, as currently interpreted, to be a major operational constraint. Many supported a review of Europol’s data processing powers, notably for uncategorised data, with a shift towards a case-based approach aligned with national practices, while maintaining a high level of protection. Simplification of procedures and a review of data retention periods were also advocated, particularly in light of the EDPS’ strict interpretation</w:t>
            </w:r>
            <w:r w:rsidR="008B5C1F">
              <w:rPr>
                <w:noProof/>
                <w:color w:val="000000" w:themeColor="text1"/>
              </w:rPr>
              <w:t>.</w:t>
            </w:r>
          </w:p>
          <w:p w14:paraId="1798E2EA" w14:textId="779E5949" w:rsidR="6CFAF7DB" w:rsidRPr="00726D52" w:rsidRDefault="6CFAF7DB" w:rsidP="00455B0C">
            <w:pPr>
              <w:widowControl w:val="0"/>
              <w:spacing w:after="200" w:line="276" w:lineRule="auto"/>
              <w:rPr>
                <w:noProof/>
                <w:color w:val="000000" w:themeColor="text1"/>
              </w:rPr>
            </w:pPr>
            <w:r w:rsidRPr="00726D52">
              <w:rPr>
                <w:noProof/>
                <w:color w:val="000000" w:themeColor="text1"/>
              </w:rPr>
              <w:lastRenderedPageBreak/>
              <w:t>On strengthening Member States’ role in Europol governance, experts agreed on reviewing the functioning of the Europol National Units (ENUs) and strengthening their role as the key interface between Europol and national authorities. ENUs should be empowered act as a national “mirror” of Europol, enhancing awareness, trust and effective use of the Agency’s tools.</w:t>
            </w:r>
          </w:p>
        </w:tc>
      </w:tr>
    </w:tbl>
    <w:p w14:paraId="179A753C" w14:textId="77777777" w:rsidR="00455B0C" w:rsidRPr="00726D52" w:rsidRDefault="00455B0C" w:rsidP="00455B0C">
      <w:pPr>
        <w:keepNext/>
        <w:spacing w:after="200" w:line="276" w:lineRule="auto"/>
        <w:rPr>
          <w:rFonts w:eastAsia="Times New Roman"/>
          <w:b/>
          <w:bCs/>
          <w:noProof/>
          <w:color w:val="000000" w:themeColor="text1"/>
        </w:rPr>
      </w:pPr>
    </w:p>
    <w:p w14:paraId="308D9DD7" w14:textId="742DAEDE" w:rsidR="00181F4A" w:rsidRPr="00726D52" w:rsidRDefault="719A4F3C" w:rsidP="735902D7">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3.2.3 Targeted consultations in the context of the external supporting study</w:t>
      </w:r>
    </w:p>
    <w:p w14:paraId="66AE7C44" w14:textId="77777777" w:rsidR="00455B0C"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An external study was commissioned to support the preparation of the initiative. It started in July 2025. The contractor carried out extensive consultation activities until March 2026. Notably, these included six targeted surveys, more than 135 stakeholder interviews (12 exploratory interviews followed by more than 123 targeted interviews), six field visits, and three focus group meetings. </w:t>
      </w:r>
    </w:p>
    <w:p w14:paraId="2BBC099E" w14:textId="4EE234F6" w:rsidR="00181F4A"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The targeted surveys were developed for the following stakeholder groups:</w:t>
      </w:r>
    </w:p>
    <w:p w14:paraId="0CABA09A" w14:textId="08A297E1" w:rsidR="00181F4A" w:rsidRPr="00726D52" w:rsidRDefault="719A4F3C" w:rsidP="009502B2">
      <w:pPr>
        <w:pStyle w:val="ListParagraph"/>
        <w:widowControl w:val="0"/>
        <w:numPr>
          <w:ilvl w:val="0"/>
          <w:numId w:val="59"/>
        </w:numPr>
        <w:spacing w:after="200" w:line="276" w:lineRule="auto"/>
        <w:rPr>
          <w:rFonts w:eastAsia="Times New Roman"/>
          <w:noProof/>
          <w:color w:val="000000" w:themeColor="text1"/>
        </w:rPr>
      </w:pPr>
      <w:r w:rsidRPr="00726D52">
        <w:rPr>
          <w:rFonts w:eastAsia="Times New Roman"/>
          <w:noProof/>
          <w:color w:val="000000" w:themeColor="text1"/>
        </w:rPr>
        <w:t>National law enforcement authorities of the EU Member States.</w:t>
      </w:r>
    </w:p>
    <w:p w14:paraId="6373AF9B" w14:textId="06C4EB52" w:rsidR="00181F4A" w:rsidRPr="00726D52" w:rsidRDefault="719A4F3C" w:rsidP="009502B2">
      <w:pPr>
        <w:pStyle w:val="ListParagraph"/>
        <w:widowControl w:val="0"/>
        <w:numPr>
          <w:ilvl w:val="0"/>
          <w:numId w:val="59"/>
        </w:numPr>
        <w:spacing w:after="200" w:line="276" w:lineRule="auto"/>
        <w:rPr>
          <w:rFonts w:eastAsia="Times New Roman"/>
          <w:noProof/>
          <w:color w:val="000000" w:themeColor="text1"/>
        </w:rPr>
      </w:pPr>
      <w:r w:rsidRPr="00726D52">
        <w:rPr>
          <w:rFonts w:eastAsia="Times New Roman"/>
          <w:noProof/>
          <w:color w:val="000000" w:themeColor="text1"/>
        </w:rPr>
        <w:t xml:space="preserve">National law enforcement authorities of third countries. </w:t>
      </w:r>
    </w:p>
    <w:p w14:paraId="32F447BB" w14:textId="476B41CB" w:rsidR="00181F4A" w:rsidRPr="00726D52" w:rsidRDefault="719A4F3C" w:rsidP="009502B2">
      <w:pPr>
        <w:pStyle w:val="ListParagraph"/>
        <w:widowControl w:val="0"/>
        <w:numPr>
          <w:ilvl w:val="0"/>
          <w:numId w:val="59"/>
        </w:numPr>
        <w:spacing w:after="200" w:line="276" w:lineRule="auto"/>
        <w:rPr>
          <w:rFonts w:eastAsia="Times New Roman"/>
          <w:noProof/>
          <w:color w:val="000000" w:themeColor="text1"/>
        </w:rPr>
      </w:pPr>
      <w:r w:rsidRPr="00726D52">
        <w:rPr>
          <w:rFonts w:eastAsia="Times New Roman"/>
          <w:noProof/>
          <w:color w:val="000000" w:themeColor="text1"/>
        </w:rPr>
        <w:t xml:space="preserve">Law enforcement networks. </w:t>
      </w:r>
    </w:p>
    <w:p w14:paraId="529EE536" w14:textId="60DF49CF" w:rsidR="00181F4A" w:rsidRPr="00726D52" w:rsidRDefault="719A4F3C" w:rsidP="009502B2">
      <w:pPr>
        <w:pStyle w:val="ListParagraph"/>
        <w:widowControl w:val="0"/>
        <w:numPr>
          <w:ilvl w:val="0"/>
          <w:numId w:val="59"/>
        </w:numPr>
        <w:spacing w:after="200" w:line="276" w:lineRule="auto"/>
        <w:rPr>
          <w:rFonts w:eastAsia="Times New Roman"/>
          <w:noProof/>
          <w:color w:val="000000" w:themeColor="text1"/>
        </w:rPr>
      </w:pPr>
      <w:r w:rsidRPr="00726D52">
        <w:rPr>
          <w:rFonts w:eastAsia="Times New Roman"/>
          <w:noProof/>
          <w:color w:val="000000" w:themeColor="text1"/>
        </w:rPr>
        <w:t>EU agencies, bodies and offices (BOAs).</w:t>
      </w:r>
    </w:p>
    <w:p w14:paraId="7A02DDAA" w14:textId="29DCD895" w:rsidR="00181F4A" w:rsidRPr="00726D52" w:rsidRDefault="719A4F3C" w:rsidP="009502B2">
      <w:pPr>
        <w:pStyle w:val="ListParagraph"/>
        <w:widowControl w:val="0"/>
        <w:numPr>
          <w:ilvl w:val="0"/>
          <w:numId w:val="59"/>
        </w:numPr>
        <w:spacing w:after="200" w:line="276" w:lineRule="auto"/>
        <w:rPr>
          <w:rFonts w:eastAsia="Times New Roman"/>
          <w:noProof/>
          <w:color w:val="000000" w:themeColor="text1"/>
        </w:rPr>
      </w:pPr>
      <w:r w:rsidRPr="00726D52">
        <w:rPr>
          <w:rFonts w:eastAsia="Times New Roman"/>
          <w:noProof/>
          <w:color w:val="000000" w:themeColor="text1"/>
        </w:rPr>
        <w:t xml:space="preserve">Private parties- companies. </w:t>
      </w:r>
    </w:p>
    <w:p w14:paraId="7E77609F" w14:textId="77DCF71D" w:rsidR="00181F4A" w:rsidRPr="00726D52" w:rsidRDefault="719A4F3C" w:rsidP="009502B2">
      <w:pPr>
        <w:pStyle w:val="ListParagraph"/>
        <w:widowControl w:val="0"/>
        <w:numPr>
          <w:ilvl w:val="0"/>
          <w:numId w:val="59"/>
        </w:numPr>
        <w:spacing w:after="200" w:line="276" w:lineRule="auto"/>
        <w:rPr>
          <w:rFonts w:eastAsia="Times New Roman"/>
          <w:noProof/>
          <w:color w:val="000000" w:themeColor="text1"/>
        </w:rPr>
      </w:pPr>
      <w:r w:rsidRPr="00726D52">
        <w:rPr>
          <w:rFonts w:eastAsia="Times New Roman"/>
          <w:noProof/>
          <w:color w:val="000000" w:themeColor="text1"/>
        </w:rPr>
        <w:t xml:space="preserve">Non-governmental, civil society and research organisations. </w:t>
      </w:r>
    </w:p>
    <w:p w14:paraId="0F5BFD1A" w14:textId="004AB928" w:rsidR="00181F4A"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Interviews were conducted with:</w:t>
      </w:r>
    </w:p>
    <w:p w14:paraId="139318D4" w14:textId="559F1549"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national authorities of the EU Member States, including Denmark (56);</w:t>
      </w:r>
    </w:p>
    <w:p w14:paraId="7C81932B" w14:textId="5FFFDA35"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Europol staff members, including managers and senior managers (35);</w:t>
      </w:r>
    </w:p>
    <w:p w14:paraId="267EB010" w14:textId="78CD07CF"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European Commission services (14);</w:t>
      </w:r>
    </w:p>
    <w:p w14:paraId="7C719E0B" w14:textId="30477E98"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EU agencies</w:t>
      </w:r>
      <w:r w:rsidRPr="00726D52">
        <w:rPr>
          <w:rStyle w:val="FootnoteReference"/>
          <w:rFonts w:eastAsia="Times New Roman"/>
          <w:noProof/>
          <w:color w:val="000000" w:themeColor="text1"/>
        </w:rPr>
        <w:footnoteReference w:id="144"/>
      </w:r>
      <w:r w:rsidRPr="00726D52">
        <w:rPr>
          <w:rFonts w:eastAsia="Times New Roman"/>
          <w:noProof/>
          <w:color w:val="000000" w:themeColor="text1"/>
        </w:rPr>
        <w:t xml:space="preserve"> (8);</w:t>
      </w:r>
    </w:p>
    <w:p w14:paraId="3C7EDDBC" w14:textId="00730DBD"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EU bodies and offices</w:t>
      </w:r>
      <w:r w:rsidRPr="00726D52">
        <w:rPr>
          <w:rStyle w:val="FootnoteReference"/>
          <w:rFonts w:eastAsia="Times New Roman"/>
          <w:noProof/>
          <w:color w:val="000000" w:themeColor="text1"/>
        </w:rPr>
        <w:footnoteReference w:id="145"/>
      </w:r>
      <w:r w:rsidRPr="00726D52">
        <w:rPr>
          <w:rFonts w:eastAsia="Times New Roman"/>
          <w:noProof/>
          <w:color w:val="000000" w:themeColor="text1"/>
        </w:rPr>
        <w:t xml:space="preserve"> (4),</w:t>
      </w:r>
    </w:p>
    <w:p w14:paraId="22A80955" w14:textId="22AD60AE"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law enforcement networks</w:t>
      </w:r>
      <w:r w:rsidRPr="00726D52">
        <w:rPr>
          <w:rStyle w:val="FootnoteReference"/>
          <w:rFonts w:eastAsia="Times New Roman"/>
          <w:noProof/>
          <w:color w:val="000000" w:themeColor="text1"/>
        </w:rPr>
        <w:footnoteReference w:id="146"/>
      </w:r>
      <w:r w:rsidRPr="00726D52">
        <w:rPr>
          <w:rFonts w:eastAsia="Times New Roman"/>
          <w:noProof/>
          <w:color w:val="000000" w:themeColor="text1"/>
        </w:rPr>
        <w:t>(6);</w:t>
      </w:r>
    </w:p>
    <w:p w14:paraId="74DEDFC0" w14:textId="6D64A906"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MA</w:t>
      </w:r>
      <w:r w:rsidR="5068B22C" w:rsidRPr="00726D52">
        <w:rPr>
          <w:rFonts w:eastAsia="Times New Roman"/>
          <w:noProof/>
          <w:color w:val="000000" w:themeColor="text1"/>
        </w:rPr>
        <w:t>O</w:t>
      </w:r>
      <w:r w:rsidRPr="00726D52">
        <w:rPr>
          <w:rFonts w:eastAsia="Times New Roman"/>
          <w:noProof/>
          <w:color w:val="000000" w:themeColor="text1"/>
        </w:rPr>
        <w:t>C-N;</w:t>
      </w:r>
    </w:p>
    <w:p w14:paraId="57BB1784" w14:textId="7D520A89"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third countries</w:t>
      </w:r>
      <w:r w:rsidRPr="00726D52">
        <w:rPr>
          <w:rStyle w:val="FootnoteReference"/>
          <w:rFonts w:eastAsia="Times New Roman"/>
          <w:noProof/>
          <w:color w:val="000000" w:themeColor="text1"/>
        </w:rPr>
        <w:footnoteReference w:id="147"/>
      </w:r>
      <w:r w:rsidRPr="00726D52">
        <w:rPr>
          <w:rFonts w:eastAsia="Times New Roman"/>
          <w:noProof/>
          <w:color w:val="000000" w:themeColor="text1"/>
        </w:rPr>
        <w:t xml:space="preserve"> (</w:t>
      </w:r>
      <w:r w:rsidR="00C5030A">
        <w:rPr>
          <w:rFonts w:eastAsia="Times New Roman"/>
          <w:noProof/>
          <w:color w:val="000000" w:themeColor="text1"/>
        </w:rPr>
        <w:t>4</w:t>
      </w:r>
      <w:r w:rsidRPr="00726D52">
        <w:rPr>
          <w:rFonts w:eastAsia="Times New Roman"/>
          <w:noProof/>
          <w:color w:val="000000" w:themeColor="text1"/>
        </w:rPr>
        <w:t>)</w:t>
      </w:r>
    </w:p>
    <w:p w14:paraId="4F5DC9B8" w14:textId="70AFE5A6"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international organisations</w:t>
      </w:r>
      <w:r w:rsidRPr="00726D52">
        <w:rPr>
          <w:rStyle w:val="FootnoteReference"/>
          <w:rFonts w:eastAsia="Times New Roman"/>
          <w:noProof/>
          <w:color w:val="000000" w:themeColor="text1"/>
        </w:rPr>
        <w:footnoteReference w:id="148"/>
      </w:r>
      <w:r w:rsidRPr="00726D52">
        <w:rPr>
          <w:rFonts w:eastAsia="Times New Roman"/>
          <w:noProof/>
          <w:color w:val="000000" w:themeColor="text1"/>
        </w:rPr>
        <w:t>(1);</w:t>
      </w:r>
    </w:p>
    <w:p w14:paraId="7B34C756" w14:textId="7F03DD92"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t>the private sector</w:t>
      </w:r>
      <w:r w:rsidRPr="00726D52">
        <w:rPr>
          <w:rStyle w:val="FootnoteReference"/>
          <w:rFonts w:eastAsia="Times New Roman"/>
          <w:noProof/>
          <w:color w:val="000000" w:themeColor="text1"/>
        </w:rPr>
        <w:footnoteReference w:id="149"/>
      </w:r>
      <w:r w:rsidRPr="00726D52">
        <w:rPr>
          <w:rFonts w:eastAsia="Times New Roman"/>
          <w:noProof/>
          <w:color w:val="000000" w:themeColor="text1"/>
        </w:rPr>
        <w:t xml:space="preserve"> (2)</w:t>
      </w:r>
    </w:p>
    <w:p w14:paraId="5FC2734B" w14:textId="40170D49" w:rsidR="00181F4A" w:rsidRPr="00726D52" w:rsidRDefault="719A4F3C" w:rsidP="009502B2">
      <w:pPr>
        <w:pStyle w:val="ListParagraph"/>
        <w:widowControl w:val="0"/>
        <w:numPr>
          <w:ilvl w:val="0"/>
          <w:numId w:val="58"/>
        </w:numPr>
        <w:spacing w:after="200" w:line="276" w:lineRule="auto"/>
        <w:rPr>
          <w:rFonts w:eastAsia="Times New Roman"/>
          <w:noProof/>
          <w:color w:val="000000" w:themeColor="text1"/>
        </w:rPr>
      </w:pPr>
      <w:r w:rsidRPr="00726D52">
        <w:rPr>
          <w:rFonts w:eastAsia="Times New Roman"/>
          <w:noProof/>
          <w:color w:val="000000" w:themeColor="text1"/>
        </w:rPr>
        <w:lastRenderedPageBreak/>
        <w:t>youth organisations</w:t>
      </w:r>
      <w:r w:rsidR="00C06613" w:rsidRPr="00726D52">
        <w:rPr>
          <w:rStyle w:val="FootnoteReference"/>
          <w:rFonts w:eastAsia="Times New Roman"/>
          <w:noProof/>
          <w:color w:val="000000" w:themeColor="text1"/>
        </w:rPr>
        <w:footnoteReference w:id="150"/>
      </w:r>
      <w:r w:rsidRPr="00726D52">
        <w:rPr>
          <w:rFonts w:eastAsia="Times New Roman"/>
          <w:noProof/>
          <w:color w:val="000000" w:themeColor="text1"/>
        </w:rPr>
        <w:t xml:space="preserve"> </w:t>
      </w:r>
      <w:r w:rsidRPr="00726D52">
        <w:rPr>
          <w:rFonts w:eastAsia="Times New Roman"/>
          <w:noProof/>
        </w:rPr>
        <w:t>(1).</w:t>
      </w:r>
    </w:p>
    <w:p w14:paraId="2ED93394" w14:textId="3EBFEC97" w:rsidR="00181F4A"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The field visits took place in Europol and five Europol Member States.</w:t>
      </w:r>
      <w:r w:rsidRPr="00726D52">
        <w:rPr>
          <w:rStyle w:val="FootnoteReference"/>
          <w:rFonts w:eastAsia="Times New Roman"/>
          <w:noProof/>
          <w:color w:val="000000" w:themeColor="text1"/>
        </w:rPr>
        <w:footnoteReference w:id="151"/>
      </w:r>
    </w:p>
    <w:p w14:paraId="7D6B42F7" w14:textId="741B6710" w:rsidR="00181F4A"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The three focus group meetings were dedicated to: </w:t>
      </w:r>
    </w:p>
    <w:p w14:paraId="36D2A16D" w14:textId="26F93A2D" w:rsidR="00181F4A" w:rsidRPr="00726D52" w:rsidRDefault="719A4F3C" w:rsidP="009502B2">
      <w:pPr>
        <w:pStyle w:val="ListParagraph"/>
        <w:widowControl w:val="0"/>
        <w:numPr>
          <w:ilvl w:val="0"/>
          <w:numId w:val="57"/>
        </w:numPr>
        <w:spacing w:after="200" w:line="276" w:lineRule="auto"/>
        <w:rPr>
          <w:rFonts w:eastAsia="Times New Roman"/>
          <w:noProof/>
          <w:color w:val="000000" w:themeColor="text1"/>
        </w:rPr>
      </w:pPr>
      <w:r w:rsidRPr="00726D52">
        <w:rPr>
          <w:rFonts w:eastAsia="Times New Roman"/>
          <w:noProof/>
          <w:color w:val="000000" w:themeColor="text1"/>
        </w:rPr>
        <w:t>national authorities of the EU Member States, including Denmark;</w:t>
      </w:r>
    </w:p>
    <w:p w14:paraId="3DF3B2EB" w14:textId="1FA0D581" w:rsidR="00181F4A" w:rsidRPr="00726D52" w:rsidRDefault="719A4F3C" w:rsidP="009502B2">
      <w:pPr>
        <w:pStyle w:val="ListParagraph"/>
        <w:widowControl w:val="0"/>
        <w:numPr>
          <w:ilvl w:val="0"/>
          <w:numId w:val="57"/>
        </w:numPr>
        <w:spacing w:after="200" w:line="276" w:lineRule="auto"/>
        <w:rPr>
          <w:rFonts w:eastAsia="Times New Roman"/>
          <w:noProof/>
          <w:color w:val="000000" w:themeColor="text1"/>
        </w:rPr>
      </w:pPr>
      <w:r w:rsidRPr="00726D52">
        <w:rPr>
          <w:rFonts w:eastAsia="Times New Roman"/>
          <w:noProof/>
          <w:color w:val="000000" w:themeColor="text1"/>
        </w:rPr>
        <w:t>EU agencies and bodies for internal security, in line with ProtectEU;</w:t>
      </w:r>
    </w:p>
    <w:p w14:paraId="6209F02E" w14:textId="34A5BB33" w:rsidR="00181F4A" w:rsidRPr="00726D52" w:rsidRDefault="719A4F3C" w:rsidP="009502B2">
      <w:pPr>
        <w:pStyle w:val="ListParagraph"/>
        <w:widowControl w:val="0"/>
        <w:numPr>
          <w:ilvl w:val="0"/>
          <w:numId w:val="57"/>
        </w:numPr>
        <w:spacing w:after="200" w:line="276" w:lineRule="auto"/>
        <w:rPr>
          <w:rFonts w:eastAsia="Times New Roman"/>
          <w:noProof/>
          <w:color w:val="000000" w:themeColor="text1"/>
        </w:rPr>
      </w:pPr>
      <w:r w:rsidRPr="00726D52">
        <w:rPr>
          <w:rFonts w:eastAsia="Times New Roman"/>
          <w:noProof/>
          <w:color w:val="000000" w:themeColor="text1"/>
        </w:rPr>
        <w:t>Europol.</w:t>
      </w:r>
    </w:p>
    <w:p w14:paraId="4B05B950" w14:textId="5A194B2B" w:rsidR="00181F4A" w:rsidRPr="00726D52" w:rsidRDefault="719A4F3C" w:rsidP="00455B0C">
      <w:pPr>
        <w:widowControl w:val="0"/>
        <w:spacing w:after="200" w:line="276" w:lineRule="auto"/>
        <w:rPr>
          <w:rFonts w:eastAsia="Times New Roman"/>
          <w:noProof/>
          <w:color w:val="000000" w:themeColor="text1"/>
        </w:rPr>
      </w:pPr>
      <w:r w:rsidRPr="00726D52">
        <w:rPr>
          <w:rFonts w:eastAsia="Times New Roman"/>
          <w:noProof/>
          <w:color w:val="000000" w:themeColor="text1"/>
        </w:rPr>
        <w:t xml:space="preserve">The </w:t>
      </w:r>
      <w:r w:rsidRPr="00726D52">
        <w:rPr>
          <w:rFonts w:eastAsia="Times New Roman"/>
          <w:b/>
          <w:bCs/>
          <w:noProof/>
          <w:color w:val="000000" w:themeColor="text1"/>
        </w:rPr>
        <w:t>targeted survey for the national law enforcement authorities of the EU Member States</w:t>
      </w:r>
      <w:r w:rsidRPr="00726D52">
        <w:rPr>
          <w:rFonts w:eastAsia="Times New Roman"/>
          <w:noProof/>
          <w:color w:val="000000" w:themeColor="text1"/>
        </w:rPr>
        <w:t xml:space="preserve"> received 109 responses from 24 out of 25 Europol Member States and can thus be considered as highly representative</w:t>
      </w:r>
      <w:r w:rsidR="00020903" w:rsidRPr="00726D52">
        <w:rPr>
          <w:rStyle w:val="FootnoteReference"/>
          <w:rFonts w:eastAsia="Times New Roman"/>
          <w:noProof/>
          <w:color w:val="000000" w:themeColor="text1"/>
        </w:rPr>
        <w:footnoteReference w:id="152"/>
      </w:r>
      <w:r w:rsidR="00513F1F" w:rsidRPr="00726D52">
        <w:rPr>
          <w:rFonts w:eastAsia="Times New Roman"/>
          <w:noProof/>
          <w:color w:val="000000" w:themeColor="text1"/>
        </w:rPr>
        <w:t>.</w:t>
      </w:r>
      <w:r w:rsidRPr="00726D52">
        <w:rPr>
          <w:rFonts w:eastAsia="Times New Roman"/>
          <w:noProof/>
          <w:color w:val="000000" w:themeColor="text1"/>
        </w:rPr>
        <w:t xml:space="preserve"> Most responses were received from Germany (50), Finland (7), Belgium and Italy (6). Responses were received mostly from international police cooperation units (61%) and home affairs ministries (48%). </w:t>
      </w:r>
    </w:p>
    <w:tbl>
      <w:tblPr>
        <w:tblStyle w:val="TableGrid"/>
        <w:tblW w:w="0" w:type="auto"/>
        <w:tblLook w:val="06A0" w:firstRow="1" w:lastRow="0" w:firstColumn="1" w:lastColumn="0" w:noHBand="1" w:noVBand="1"/>
      </w:tblPr>
      <w:tblGrid>
        <w:gridCol w:w="8608"/>
      </w:tblGrid>
      <w:tr w:rsidR="35281CB8" w:rsidRPr="00726D52" w14:paraId="24805C06" w14:textId="77777777" w:rsidTr="35281CB8">
        <w:trPr>
          <w:trHeight w:val="300"/>
        </w:trPr>
        <w:tc>
          <w:tcPr>
            <w:tcW w:w="8610" w:type="dxa"/>
          </w:tcPr>
          <w:p w14:paraId="11788601" w14:textId="6EE66CE2" w:rsidR="2E4EB57A" w:rsidRPr="00726D52" w:rsidRDefault="2E4EB57A" w:rsidP="00455B0C">
            <w:pPr>
              <w:widowControl w:val="0"/>
              <w:rPr>
                <w:noProof/>
                <w:color w:val="000000" w:themeColor="text1"/>
              </w:rPr>
            </w:pPr>
            <w:r w:rsidRPr="00726D52">
              <w:rPr>
                <w:noProof/>
                <w:color w:val="000000" w:themeColor="text1"/>
              </w:rPr>
              <w:t>The main points raised by survey respondents</w:t>
            </w:r>
            <w:r w:rsidR="7FF60095" w:rsidRPr="00726D52">
              <w:rPr>
                <w:noProof/>
                <w:color w:val="000000" w:themeColor="text1"/>
              </w:rPr>
              <w:t>:</w:t>
            </w:r>
            <w:r w:rsidRPr="00726D52">
              <w:rPr>
                <w:rStyle w:val="FootnoteReference"/>
                <w:noProof/>
                <w:color w:val="000000" w:themeColor="text1"/>
              </w:rPr>
              <w:footnoteReference w:id="153"/>
            </w:r>
          </w:p>
          <w:p w14:paraId="28756FA3" w14:textId="558B29EE" w:rsidR="2E4EB57A" w:rsidRPr="00726D52" w:rsidRDefault="2E4EB57A" w:rsidP="009502B2">
            <w:pPr>
              <w:pStyle w:val="ListParagraph"/>
              <w:widowControl w:val="0"/>
              <w:numPr>
                <w:ilvl w:val="0"/>
                <w:numId w:val="56"/>
              </w:numPr>
              <w:rPr>
                <w:noProof/>
                <w:color w:val="000000" w:themeColor="text1"/>
              </w:rPr>
            </w:pPr>
            <w:r w:rsidRPr="00726D52">
              <w:rPr>
                <w:b/>
                <w:bCs/>
                <w:noProof/>
                <w:color w:val="000000" w:themeColor="text1"/>
              </w:rPr>
              <w:t>Key evaluation findings:</w:t>
            </w:r>
            <w:r w:rsidRPr="00726D52">
              <w:rPr>
                <w:noProof/>
                <w:color w:val="000000" w:themeColor="text1"/>
              </w:rPr>
              <w:t xml:space="preserve"> Europol is widely assessed as effective, relevant, and providing strong EU added value, particularly in supporting cross-border information exchange, operational coordination, and investigations, though relevance is more mixed in areas such as training, innovation, and certain emerging domains.</w:t>
            </w:r>
          </w:p>
          <w:p w14:paraId="35834D81" w14:textId="4897E273" w:rsidR="2E4EB57A" w:rsidRPr="00726D52" w:rsidRDefault="2E4EB57A" w:rsidP="009502B2">
            <w:pPr>
              <w:pStyle w:val="ListParagraph"/>
              <w:widowControl w:val="0"/>
              <w:numPr>
                <w:ilvl w:val="0"/>
                <w:numId w:val="56"/>
              </w:numPr>
              <w:rPr>
                <w:noProof/>
                <w:color w:val="000000" w:themeColor="text1"/>
              </w:rPr>
            </w:pPr>
            <w:r w:rsidRPr="00726D52">
              <w:rPr>
                <w:b/>
                <w:bCs/>
                <w:noProof/>
                <w:color w:val="000000" w:themeColor="text1"/>
              </w:rPr>
              <w:t>Implementation challenges:</w:t>
            </w:r>
            <w:r w:rsidRPr="00726D52">
              <w:rPr>
                <w:noProof/>
                <w:color w:val="000000" w:themeColor="text1"/>
              </w:rPr>
              <w:t xml:space="preserve"> Key challenges include legal and procedural constraints on information sharing, uneven data contributions and follow‑up among Member States, limited automation and interoperability between Europol systems and national databases, resource constraints, administrative and financial burdens, and variable awareness or uptake of certain Europol tools and innovation outputs.</w:t>
            </w:r>
          </w:p>
          <w:p w14:paraId="392065E8" w14:textId="0DC15058" w:rsidR="2E4EB57A" w:rsidRPr="00726D52" w:rsidRDefault="2E4EB57A" w:rsidP="009502B2">
            <w:pPr>
              <w:pStyle w:val="ListParagraph"/>
              <w:widowControl w:val="0"/>
              <w:numPr>
                <w:ilvl w:val="0"/>
                <w:numId w:val="56"/>
              </w:numPr>
              <w:rPr>
                <w:noProof/>
                <w:color w:val="000000" w:themeColor="text1"/>
              </w:rPr>
            </w:pPr>
            <w:r w:rsidRPr="00726D52">
              <w:rPr>
                <w:b/>
                <w:bCs/>
                <w:noProof/>
                <w:color w:val="000000" w:themeColor="text1"/>
              </w:rPr>
              <w:t>Pathways for revision:</w:t>
            </w:r>
            <w:r w:rsidRPr="00726D52">
              <w:rPr>
                <w:noProof/>
                <w:color w:val="000000" w:themeColor="text1"/>
              </w:rPr>
              <w:t xml:space="preserve"> Forward‑looking preferences prioritise increased resources, improved data sharing and interoperability, enhanced analytical and technical capacity, stronger training and capacity building, and clearer coordination with other EU agencies. Support for legislative changes is cautious and focusing mainly on expanded analytical and data‑processing capabilities rather than broad mandate expansion.</w:t>
            </w:r>
          </w:p>
        </w:tc>
      </w:tr>
    </w:tbl>
    <w:p w14:paraId="34A1817F" w14:textId="42042F2C" w:rsidR="00181F4A" w:rsidRPr="00726D52" w:rsidRDefault="719A4F3C" w:rsidP="240B6947">
      <w:pPr>
        <w:keepNext/>
        <w:spacing w:after="200" w:line="276" w:lineRule="auto"/>
        <w:rPr>
          <w:rFonts w:eastAsia="Times New Roman"/>
          <w:noProof/>
          <w:color w:val="000000" w:themeColor="text1"/>
        </w:rPr>
      </w:pPr>
      <w:r w:rsidRPr="00726D52">
        <w:rPr>
          <w:rFonts w:eastAsia="Times New Roman"/>
          <w:noProof/>
          <w:color w:val="000000" w:themeColor="text1"/>
        </w:rPr>
        <w:lastRenderedPageBreak/>
        <w:t xml:space="preserve">The </w:t>
      </w:r>
      <w:r w:rsidRPr="00726D52">
        <w:rPr>
          <w:rFonts w:eastAsia="Times New Roman"/>
          <w:b/>
          <w:bCs/>
          <w:noProof/>
          <w:color w:val="000000" w:themeColor="text1"/>
        </w:rPr>
        <w:t xml:space="preserve">targeted survey for EU BOAs </w:t>
      </w:r>
      <w:r w:rsidRPr="00726D52">
        <w:rPr>
          <w:rFonts w:eastAsia="Times New Roman"/>
          <w:noProof/>
          <w:color w:val="000000" w:themeColor="text1"/>
        </w:rPr>
        <w:t>received 13 responses, namely from all the EU justice and home affairs agencies concerned</w:t>
      </w:r>
      <w:r w:rsidRPr="00726D52">
        <w:rPr>
          <w:rStyle w:val="FootnoteReference"/>
          <w:rFonts w:eastAsia="Times New Roman"/>
          <w:noProof/>
          <w:color w:val="000000" w:themeColor="text1"/>
        </w:rPr>
        <w:footnoteReference w:id="154"/>
      </w:r>
      <w:r w:rsidR="00513F1F" w:rsidRPr="00726D52">
        <w:rPr>
          <w:rFonts w:eastAsia="Times New Roman"/>
          <w:noProof/>
          <w:color w:val="000000" w:themeColor="text1"/>
        </w:rPr>
        <w:t>,</w:t>
      </w:r>
      <w:r w:rsidRPr="00726D52">
        <w:rPr>
          <w:rFonts w:eastAsia="Times New Roman"/>
          <w:noProof/>
          <w:color w:val="000000" w:themeColor="text1"/>
        </w:rPr>
        <w:t xml:space="preserve"> “EU agencies and bodies for internal security” of direct relevance to the implementation of ProtectEU</w:t>
      </w:r>
      <w:r w:rsidRPr="00726D52">
        <w:rPr>
          <w:rStyle w:val="FootnoteReference"/>
          <w:rFonts w:eastAsia="Times New Roman"/>
          <w:noProof/>
          <w:color w:val="000000" w:themeColor="text1"/>
        </w:rPr>
        <w:footnoteReference w:id="155"/>
      </w:r>
      <w:r w:rsidR="00513F1F" w:rsidRPr="00726D52">
        <w:rPr>
          <w:rFonts w:eastAsia="Times New Roman"/>
          <w:noProof/>
          <w:color w:val="000000" w:themeColor="text1"/>
        </w:rPr>
        <w:t>,</w:t>
      </w:r>
      <w:r w:rsidRPr="00726D52">
        <w:rPr>
          <w:rFonts w:eastAsia="Times New Roman"/>
          <w:noProof/>
          <w:color w:val="000000" w:themeColor="text1"/>
        </w:rPr>
        <w:t xml:space="preserve"> and two more</w:t>
      </w:r>
      <w:r w:rsidRPr="00726D52">
        <w:rPr>
          <w:rStyle w:val="FootnoteReference"/>
          <w:rFonts w:eastAsia="Times New Roman"/>
          <w:noProof/>
          <w:color w:val="000000" w:themeColor="text1"/>
        </w:rPr>
        <w:footnoteReference w:id="156"/>
      </w:r>
      <w:r w:rsidR="00513F1F" w:rsidRPr="00726D52">
        <w:rPr>
          <w:rFonts w:eastAsia="Times New Roman"/>
          <w:noProof/>
          <w:color w:val="000000" w:themeColor="text1"/>
        </w:rPr>
        <w:t>.</w:t>
      </w:r>
    </w:p>
    <w:tbl>
      <w:tblPr>
        <w:tblStyle w:val="TableGrid"/>
        <w:tblW w:w="0" w:type="auto"/>
        <w:tblLook w:val="06A0" w:firstRow="1" w:lastRow="0" w:firstColumn="1" w:lastColumn="0" w:noHBand="1" w:noVBand="1"/>
      </w:tblPr>
      <w:tblGrid>
        <w:gridCol w:w="8608"/>
      </w:tblGrid>
      <w:tr w:rsidR="35281CB8" w:rsidRPr="00726D52" w14:paraId="791E57FB" w14:textId="77777777" w:rsidTr="35281CB8">
        <w:trPr>
          <w:trHeight w:val="300"/>
        </w:trPr>
        <w:tc>
          <w:tcPr>
            <w:tcW w:w="8610" w:type="dxa"/>
          </w:tcPr>
          <w:p w14:paraId="41BC12CF" w14:textId="5AFEC964" w:rsidR="0990A0F0" w:rsidRPr="00726D52" w:rsidRDefault="0990A0F0" w:rsidP="35281CB8">
            <w:pPr>
              <w:keepNext/>
              <w:rPr>
                <w:noProof/>
                <w:color w:val="000000" w:themeColor="text1"/>
              </w:rPr>
            </w:pPr>
            <w:r w:rsidRPr="00726D52">
              <w:rPr>
                <w:noProof/>
                <w:color w:val="000000" w:themeColor="text1"/>
              </w:rPr>
              <w:t>The main points raised by survey respondents:</w:t>
            </w:r>
          </w:p>
          <w:p w14:paraId="5BB663AF" w14:textId="7E7A2643" w:rsidR="0990A0F0" w:rsidRPr="00726D52" w:rsidRDefault="0990A0F0" w:rsidP="009502B2">
            <w:pPr>
              <w:pStyle w:val="ListParagraph"/>
              <w:keepNext/>
              <w:numPr>
                <w:ilvl w:val="0"/>
                <w:numId w:val="55"/>
              </w:numPr>
              <w:rPr>
                <w:noProof/>
                <w:color w:val="000000" w:themeColor="text1"/>
              </w:rPr>
            </w:pPr>
            <w:r w:rsidRPr="00726D52">
              <w:rPr>
                <w:b/>
                <w:bCs/>
                <w:noProof/>
                <w:color w:val="000000" w:themeColor="text1"/>
              </w:rPr>
              <w:t>Key evaluation findings:</w:t>
            </w:r>
            <w:r w:rsidRPr="00726D52">
              <w:rPr>
                <w:noProof/>
                <w:color w:val="000000" w:themeColor="text1"/>
              </w:rPr>
              <w:t xml:space="preserve"> Cooperation with EU Agencies is generally seen as strategically effective and aligned with EU security objectives. Europol’s activities are broadly relevant to agency mandates, particularly for EU-level coordination, but vary in operational impact depending on mandates and working arrangements. Overall, Europol provides strong EU added value as a central hub for information, analysis, and cross-border support, complementing the roles of other EU Agencies.</w:t>
            </w:r>
          </w:p>
          <w:p w14:paraId="291F3602" w14:textId="27B3AAD9" w:rsidR="0990A0F0" w:rsidRPr="00726D52" w:rsidRDefault="0990A0F0" w:rsidP="009502B2">
            <w:pPr>
              <w:pStyle w:val="ListParagraph"/>
              <w:keepNext/>
              <w:numPr>
                <w:ilvl w:val="0"/>
                <w:numId w:val="55"/>
              </w:numPr>
              <w:rPr>
                <w:noProof/>
                <w:color w:val="000000" w:themeColor="text1"/>
              </w:rPr>
            </w:pPr>
            <w:r w:rsidRPr="00726D52">
              <w:rPr>
                <w:b/>
                <w:bCs/>
                <w:noProof/>
                <w:color w:val="000000" w:themeColor="text1"/>
              </w:rPr>
              <w:t>Implementation challenges:</w:t>
            </w:r>
            <w:r w:rsidRPr="00726D52">
              <w:rPr>
                <w:noProof/>
                <w:color w:val="000000" w:themeColor="text1"/>
              </w:rPr>
              <w:t xml:space="preserve"> Key challenges include gaps in the timeliness and completeness of information sharing (notably with Eurojust).</w:t>
            </w:r>
          </w:p>
          <w:p w14:paraId="7AEBD0F0" w14:textId="4FF98803" w:rsidR="0990A0F0" w:rsidRPr="00726D52" w:rsidRDefault="0990A0F0" w:rsidP="009502B2">
            <w:pPr>
              <w:pStyle w:val="ListParagraph"/>
              <w:keepNext/>
              <w:numPr>
                <w:ilvl w:val="0"/>
                <w:numId w:val="55"/>
              </w:numPr>
              <w:rPr>
                <w:noProof/>
                <w:color w:val="000000" w:themeColor="text1"/>
              </w:rPr>
            </w:pPr>
            <w:r w:rsidRPr="00726D52">
              <w:rPr>
                <w:b/>
                <w:bCs/>
                <w:noProof/>
                <w:color w:val="000000" w:themeColor="text1"/>
              </w:rPr>
              <w:t>Pathways for revision:</w:t>
            </w:r>
            <w:r w:rsidRPr="00726D52">
              <w:rPr>
                <w:noProof/>
                <w:color w:val="000000" w:themeColor="text1"/>
              </w:rPr>
              <w:t xml:space="preserve"> Forward‑looking considerations prioritise strengthening and updating existing cooperation frameworks rather than structural overhaul, with emphasis on more systematic information sharing, enhanced analytical and operational capacity, improved resourcing, streamlined contact points, and expanded joint work, including through the EU Innovation Hub for Internal Security.</w:t>
            </w:r>
          </w:p>
        </w:tc>
      </w:tr>
    </w:tbl>
    <w:p w14:paraId="25B86718" w14:textId="283B2A5D" w:rsidR="00181F4A" w:rsidRPr="00726D52" w:rsidRDefault="719A4F3C" w:rsidP="00513F1F">
      <w:pPr>
        <w:keepNext/>
        <w:spacing w:before="120" w:after="200" w:line="276" w:lineRule="auto"/>
        <w:rPr>
          <w:rFonts w:eastAsia="Times New Roman"/>
          <w:noProof/>
          <w:color w:val="000000" w:themeColor="text1"/>
        </w:rPr>
      </w:pPr>
      <w:r w:rsidRPr="00726D52">
        <w:rPr>
          <w:rFonts w:eastAsia="Times New Roman"/>
          <w:noProof/>
          <w:color w:val="000000" w:themeColor="text1"/>
        </w:rPr>
        <w:t xml:space="preserve">The </w:t>
      </w:r>
      <w:r w:rsidRPr="00726D52">
        <w:rPr>
          <w:rFonts w:eastAsia="Times New Roman"/>
          <w:b/>
          <w:bCs/>
          <w:noProof/>
          <w:color w:val="000000" w:themeColor="text1"/>
        </w:rPr>
        <w:t xml:space="preserve">targeted survey for national law enforcement authorities of third countries </w:t>
      </w:r>
      <w:r w:rsidRPr="00726D52">
        <w:rPr>
          <w:rFonts w:eastAsia="Times New Roman"/>
          <w:noProof/>
          <w:color w:val="000000" w:themeColor="text1"/>
        </w:rPr>
        <w:t>received 22 individual responses</w:t>
      </w:r>
      <w:r w:rsidRPr="00726D52">
        <w:rPr>
          <w:rStyle w:val="FootnoteReference"/>
          <w:rFonts w:eastAsia="Times New Roman"/>
          <w:noProof/>
          <w:color w:val="000000" w:themeColor="text1"/>
        </w:rPr>
        <w:footnoteReference w:id="157"/>
      </w:r>
      <w:r w:rsidR="00513F1F" w:rsidRPr="00726D52">
        <w:rPr>
          <w:rFonts w:eastAsia="Times New Roman"/>
          <w:noProof/>
          <w:color w:val="000000" w:themeColor="text1"/>
        </w:rPr>
        <w:t>.</w:t>
      </w:r>
    </w:p>
    <w:tbl>
      <w:tblPr>
        <w:tblStyle w:val="TableGrid"/>
        <w:tblW w:w="0" w:type="auto"/>
        <w:tblLook w:val="06A0" w:firstRow="1" w:lastRow="0" w:firstColumn="1" w:lastColumn="0" w:noHBand="1" w:noVBand="1"/>
      </w:tblPr>
      <w:tblGrid>
        <w:gridCol w:w="8608"/>
      </w:tblGrid>
      <w:tr w:rsidR="240B6947" w:rsidRPr="00726D52" w14:paraId="04858C77" w14:textId="77777777" w:rsidTr="240B6947">
        <w:trPr>
          <w:trHeight w:val="300"/>
        </w:trPr>
        <w:tc>
          <w:tcPr>
            <w:tcW w:w="8610" w:type="dxa"/>
          </w:tcPr>
          <w:p w14:paraId="6833AEAE" w14:textId="08DE3931" w:rsidR="719A4F3C" w:rsidRPr="00726D52" w:rsidRDefault="719A4F3C" w:rsidP="240B6947">
            <w:pPr>
              <w:rPr>
                <w:noProof/>
                <w:color w:val="000000" w:themeColor="text1"/>
              </w:rPr>
            </w:pPr>
            <w:r w:rsidRPr="00726D52">
              <w:rPr>
                <w:noProof/>
                <w:color w:val="000000" w:themeColor="text1"/>
              </w:rPr>
              <w:t>The main points raised by survey respondents:</w:t>
            </w:r>
          </w:p>
          <w:p w14:paraId="2A202CDD" w14:textId="2846ADA4" w:rsidR="719A4F3C" w:rsidRPr="00726D52" w:rsidRDefault="719A4F3C" w:rsidP="009502B2">
            <w:pPr>
              <w:pStyle w:val="ListParagraph"/>
              <w:numPr>
                <w:ilvl w:val="0"/>
                <w:numId w:val="48"/>
              </w:numPr>
              <w:rPr>
                <w:noProof/>
                <w:color w:val="000000" w:themeColor="text1"/>
              </w:rPr>
            </w:pPr>
            <w:r w:rsidRPr="00726D52">
              <w:rPr>
                <w:b/>
                <w:bCs/>
                <w:noProof/>
                <w:color w:val="000000" w:themeColor="text1"/>
              </w:rPr>
              <w:t xml:space="preserve">Key evaluation findings: </w:t>
            </w:r>
            <w:r w:rsidRPr="00726D52">
              <w:rPr>
                <w:noProof/>
                <w:color w:val="000000" w:themeColor="text1"/>
              </w:rPr>
              <w:t>Cooperation with third-country authorities is generally seen as effective, particularly in cybercrime, drug trafficking, operational analysis, SIENA-enabled information exchange, joint operations, and training, with strong recognition of Europol’s role in addressing evolving criminal methods. Europol’s support is broadly aligned with third country needs, although relevance is weaker in terrorism-related cooperation and some innovation areas. Overall, Europol delivers clear EU added value by enabling cooperation with Member States, strengthening cross-border data exchange and analysis, and providing coordination and intelligence capabilities that would be difficult to achieve independently.</w:t>
            </w:r>
          </w:p>
          <w:p w14:paraId="4100F460" w14:textId="2B8D7184" w:rsidR="719A4F3C" w:rsidRPr="00726D52" w:rsidRDefault="719A4F3C" w:rsidP="009502B2">
            <w:pPr>
              <w:pStyle w:val="ListParagraph"/>
              <w:numPr>
                <w:ilvl w:val="0"/>
                <w:numId w:val="48"/>
              </w:numPr>
              <w:rPr>
                <w:noProof/>
                <w:color w:val="000000" w:themeColor="text1"/>
              </w:rPr>
            </w:pPr>
            <w:r w:rsidRPr="00726D52">
              <w:rPr>
                <w:b/>
                <w:bCs/>
                <w:noProof/>
                <w:color w:val="000000" w:themeColor="text1"/>
              </w:rPr>
              <w:t>Implementation challenges:</w:t>
            </w:r>
            <w:r w:rsidRPr="00726D52">
              <w:rPr>
                <w:noProof/>
                <w:color w:val="000000" w:themeColor="text1"/>
              </w:rPr>
              <w:t xml:space="preserve"> Key challenges include legal and data protection constraints on information sharing, limited or absent direct access to Europol data and systems (notably for Schengen Associated Countries), operational needs falling outside the scope of existing agreements, resource constraints, and occasional delays in feedback or request processing.</w:t>
            </w:r>
          </w:p>
          <w:p w14:paraId="61F79122" w14:textId="60D6E924" w:rsidR="719A4F3C" w:rsidRPr="00726D52" w:rsidRDefault="719A4F3C" w:rsidP="009502B2">
            <w:pPr>
              <w:pStyle w:val="ListParagraph"/>
              <w:numPr>
                <w:ilvl w:val="0"/>
                <w:numId w:val="48"/>
              </w:numPr>
              <w:rPr>
                <w:noProof/>
                <w:color w:val="000000" w:themeColor="text1"/>
              </w:rPr>
            </w:pPr>
            <w:r w:rsidRPr="00726D52">
              <w:rPr>
                <w:b/>
                <w:bCs/>
                <w:noProof/>
                <w:color w:val="000000" w:themeColor="text1"/>
              </w:rPr>
              <w:lastRenderedPageBreak/>
              <w:t>Pathways for revision:</w:t>
            </w:r>
            <w:r w:rsidRPr="00726D52">
              <w:rPr>
                <w:noProof/>
                <w:color w:val="000000" w:themeColor="text1"/>
              </w:rPr>
              <w:t xml:space="preserve"> Forward‑looking preferences prioritise more flexible and inclusive cooperation arrangements, including improved access to Europol systems and operational data, broader participation in analysis projects, JITs and OTFs, strengthened analytical and training capacities, and targeted adjustments to cooperation frameworks to address emerging threats and close operational gaps for associated and partner countries.</w:t>
            </w:r>
          </w:p>
        </w:tc>
      </w:tr>
    </w:tbl>
    <w:p w14:paraId="57C0E2A1" w14:textId="2AE7B88C" w:rsidR="00181F4A" w:rsidRPr="00726D52" w:rsidRDefault="00455B0C" w:rsidP="735902D7">
      <w:pPr>
        <w:keepNext/>
        <w:spacing w:after="200" w:line="276" w:lineRule="auto"/>
        <w:rPr>
          <w:rFonts w:eastAsia="Times New Roman"/>
          <w:noProof/>
          <w:color w:val="000000" w:themeColor="text1"/>
        </w:rPr>
      </w:pPr>
      <w:r w:rsidRPr="00726D52">
        <w:rPr>
          <w:rFonts w:eastAsia="Times New Roman"/>
          <w:noProof/>
          <w:color w:val="000000" w:themeColor="text1"/>
        </w:rPr>
        <w:lastRenderedPageBreak/>
        <w:br/>
      </w:r>
      <w:r w:rsidR="719A4F3C" w:rsidRPr="00726D52">
        <w:rPr>
          <w:rFonts w:eastAsia="Times New Roman"/>
          <w:noProof/>
          <w:color w:val="000000" w:themeColor="text1"/>
        </w:rPr>
        <w:t xml:space="preserve">The </w:t>
      </w:r>
      <w:r w:rsidR="719A4F3C" w:rsidRPr="00726D52">
        <w:rPr>
          <w:rFonts w:eastAsia="Times New Roman"/>
          <w:b/>
          <w:bCs/>
          <w:noProof/>
          <w:color w:val="000000" w:themeColor="text1"/>
        </w:rPr>
        <w:t xml:space="preserve">targeted survey for law enforcement networks </w:t>
      </w:r>
      <w:r w:rsidR="719A4F3C" w:rsidRPr="00726D52">
        <w:rPr>
          <w:rFonts w:eastAsia="Times New Roman"/>
          <w:noProof/>
          <w:color w:val="000000" w:themeColor="text1"/>
        </w:rPr>
        <w:t>received 20 individual responses.</w:t>
      </w:r>
    </w:p>
    <w:tbl>
      <w:tblPr>
        <w:tblStyle w:val="TableGrid"/>
        <w:tblW w:w="0" w:type="auto"/>
        <w:tblLook w:val="06A0" w:firstRow="1" w:lastRow="0" w:firstColumn="1" w:lastColumn="0" w:noHBand="1" w:noVBand="1"/>
      </w:tblPr>
      <w:tblGrid>
        <w:gridCol w:w="8608"/>
      </w:tblGrid>
      <w:tr w:rsidR="735902D7" w:rsidRPr="00726D52" w14:paraId="50214898" w14:textId="77777777" w:rsidTr="240B6947">
        <w:trPr>
          <w:trHeight w:val="300"/>
        </w:trPr>
        <w:tc>
          <w:tcPr>
            <w:tcW w:w="8610" w:type="dxa"/>
          </w:tcPr>
          <w:p w14:paraId="011B1A42" w14:textId="0AD8DAF7" w:rsidR="735902D7" w:rsidRPr="00726D52" w:rsidRDefault="719A4F3C" w:rsidP="240B6947">
            <w:pPr>
              <w:rPr>
                <w:noProof/>
                <w:color w:val="000000" w:themeColor="text1"/>
              </w:rPr>
            </w:pPr>
            <w:r w:rsidRPr="00726D52">
              <w:rPr>
                <w:noProof/>
                <w:color w:val="000000" w:themeColor="text1"/>
              </w:rPr>
              <w:t>The main points raised by survey respondents:</w:t>
            </w:r>
          </w:p>
          <w:p w14:paraId="00BC2095" w14:textId="793F7782" w:rsidR="735902D7" w:rsidRPr="00726D52" w:rsidRDefault="719A4F3C" w:rsidP="009502B2">
            <w:pPr>
              <w:pStyle w:val="ListParagraph"/>
              <w:numPr>
                <w:ilvl w:val="0"/>
                <w:numId w:val="49"/>
              </w:numPr>
              <w:rPr>
                <w:noProof/>
                <w:color w:val="000000" w:themeColor="text1"/>
              </w:rPr>
            </w:pPr>
            <w:r w:rsidRPr="00726D52">
              <w:rPr>
                <w:b/>
                <w:bCs/>
                <w:noProof/>
                <w:color w:val="000000" w:themeColor="text1"/>
              </w:rPr>
              <w:t>Key evaluation findings:</w:t>
            </w:r>
            <w:r w:rsidRPr="00726D52">
              <w:rPr>
                <w:noProof/>
                <w:color w:val="000000" w:themeColor="text1"/>
              </w:rPr>
              <w:t xml:space="preserve"> Cooperation with Europol is generally seen as effective, particularly in coordination and support through information sharing, analysis, and innovation tools, although some note greater operational coordination is expected. Europol’s activities are broadly relevant to European law enforcement networks, especially in analysis, coordination, and innovation, but vary depending on mandate fit and operational needs. Overall, Europol provides strong EU added value as a central hub for intelligence, secure information exchange, analytical capacity, innovation, and cross-border coordination.</w:t>
            </w:r>
          </w:p>
          <w:p w14:paraId="15DBF04C" w14:textId="25F04663" w:rsidR="735902D7" w:rsidRPr="00726D52" w:rsidRDefault="719A4F3C" w:rsidP="009502B2">
            <w:pPr>
              <w:pStyle w:val="ListParagraph"/>
              <w:numPr>
                <w:ilvl w:val="0"/>
                <w:numId w:val="49"/>
              </w:numPr>
              <w:rPr>
                <w:noProof/>
                <w:color w:val="000000" w:themeColor="text1"/>
              </w:rPr>
            </w:pPr>
            <w:r w:rsidRPr="00726D52">
              <w:rPr>
                <w:b/>
                <w:bCs/>
                <w:noProof/>
                <w:color w:val="000000" w:themeColor="text1"/>
              </w:rPr>
              <w:t>Implementation challenges:</w:t>
            </w:r>
            <w:r w:rsidRPr="00726D52">
              <w:rPr>
                <w:noProof/>
                <w:color w:val="000000" w:themeColor="text1"/>
              </w:rPr>
              <w:t xml:space="preserve"> Key challenges include legal and procedural barriers to information sharing, delays or gaps in operational data exchange, limited analytical and technical capacity, resource and funding constraints, administrative burdens.</w:t>
            </w:r>
          </w:p>
          <w:p w14:paraId="0B5E21E6" w14:textId="258056A3" w:rsidR="735902D7" w:rsidRPr="00726D52" w:rsidRDefault="719A4F3C" w:rsidP="009502B2">
            <w:pPr>
              <w:pStyle w:val="ListParagraph"/>
              <w:numPr>
                <w:ilvl w:val="0"/>
                <w:numId w:val="49"/>
              </w:numPr>
              <w:shd w:val="clear" w:color="auto" w:fill="FFFFFF" w:themeFill="background1"/>
              <w:spacing w:before="220" w:after="220"/>
              <w:rPr>
                <w:noProof/>
                <w:color w:val="000000" w:themeColor="text1"/>
              </w:rPr>
            </w:pPr>
            <w:r w:rsidRPr="00726D52">
              <w:rPr>
                <w:b/>
                <w:bCs/>
                <w:noProof/>
                <w:color w:val="000000" w:themeColor="text1"/>
              </w:rPr>
              <w:t>Pathways for revision:</w:t>
            </w:r>
            <w:r w:rsidRPr="00726D52">
              <w:rPr>
                <w:noProof/>
                <w:color w:val="000000" w:themeColor="text1"/>
              </w:rPr>
              <w:t xml:space="preserve"> Forward‑looking preferences prioritise strengthening practical support rather than wholesale redesign, including simplified administrative and funding procedures, improved information‑sharing tools, enhanced analytical and operational capacity, clearer mandate alignment with network needs, and more structured, long‑term support, with mixed views on mandate expansion balanced against preserving network autonomy.</w:t>
            </w:r>
          </w:p>
        </w:tc>
      </w:tr>
    </w:tbl>
    <w:p w14:paraId="3E51D1ED" w14:textId="169F9E64" w:rsidR="00181F4A" w:rsidRPr="00726D52" w:rsidRDefault="00455B0C" w:rsidP="735902D7">
      <w:pPr>
        <w:keepNext/>
        <w:spacing w:after="200" w:line="276" w:lineRule="auto"/>
        <w:rPr>
          <w:rFonts w:eastAsia="Times New Roman"/>
          <w:noProof/>
          <w:color w:val="000000" w:themeColor="text1"/>
        </w:rPr>
      </w:pPr>
      <w:r w:rsidRPr="00726D52">
        <w:rPr>
          <w:rFonts w:eastAsia="Times New Roman"/>
          <w:noProof/>
          <w:color w:val="000000" w:themeColor="text1"/>
        </w:rPr>
        <w:br/>
      </w:r>
      <w:r w:rsidR="719A4F3C" w:rsidRPr="00726D52">
        <w:rPr>
          <w:rFonts w:eastAsia="Times New Roman"/>
          <w:noProof/>
          <w:color w:val="000000" w:themeColor="text1"/>
        </w:rPr>
        <w:t xml:space="preserve">The </w:t>
      </w:r>
      <w:r w:rsidR="719A4F3C" w:rsidRPr="00726D52">
        <w:rPr>
          <w:rFonts w:eastAsia="Times New Roman"/>
          <w:b/>
          <w:bCs/>
          <w:noProof/>
          <w:color w:val="000000" w:themeColor="text1"/>
        </w:rPr>
        <w:t>targeted survey for private parties- companies</w:t>
      </w:r>
      <w:r w:rsidR="719A4F3C" w:rsidRPr="00726D52">
        <w:rPr>
          <w:rFonts w:eastAsia="Times New Roman"/>
          <w:noProof/>
          <w:color w:val="000000" w:themeColor="text1"/>
        </w:rPr>
        <w:t xml:space="preserve"> received 20 responses, almost entirely from companies which are known to cooperate with Europol.</w:t>
      </w:r>
    </w:p>
    <w:tbl>
      <w:tblPr>
        <w:tblStyle w:val="TableGrid"/>
        <w:tblW w:w="0" w:type="auto"/>
        <w:tblLook w:val="06A0" w:firstRow="1" w:lastRow="0" w:firstColumn="1" w:lastColumn="0" w:noHBand="1" w:noVBand="1"/>
      </w:tblPr>
      <w:tblGrid>
        <w:gridCol w:w="8608"/>
      </w:tblGrid>
      <w:tr w:rsidR="735902D7" w:rsidRPr="00726D52" w14:paraId="0769B50A" w14:textId="77777777" w:rsidTr="735902D7">
        <w:trPr>
          <w:trHeight w:val="300"/>
        </w:trPr>
        <w:tc>
          <w:tcPr>
            <w:tcW w:w="8610" w:type="dxa"/>
          </w:tcPr>
          <w:p w14:paraId="67688EF5" w14:textId="1DFF5DFB" w:rsidR="719A4F3C" w:rsidRPr="00726D52" w:rsidRDefault="719A4F3C" w:rsidP="735902D7">
            <w:pPr>
              <w:rPr>
                <w:noProof/>
                <w:color w:val="000000" w:themeColor="text1"/>
              </w:rPr>
            </w:pPr>
            <w:r w:rsidRPr="00726D52">
              <w:rPr>
                <w:noProof/>
                <w:color w:val="000000" w:themeColor="text1"/>
              </w:rPr>
              <w:t>The main points raised by survey respondents:</w:t>
            </w:r>
          </w:p>
          <w:p w14:paraId="12C05938" w14:textId="28C38753" w:rsidR="719A4F3C" w:rsidRPr="00726D52" w:rsidRDefault="719A4F3C" w:rsidP="009502B2">
            <w:pPr>
              <w:pStyle w:val="ListParagraph"/>
              <w:numPr>
                <w:ilvl w:val="0"/>
                <w:numId w:val="54"/>
              </w:numPr>
              <w:rPr>
                <w:noProof/>
                <w:color w:val="000000" w:themeColor="text1"/>
              </w:rPr>
            </w:pPr>
            <w:r w:rsidRPr="00726D52">
              <w:rPr>
                <w:b/>
                <w:bCs/>
                <w:noProof/>
                <w:color w:val="000000" w:themeColor="text1"/>
              </w:rPr>
              <w:t>Key evaluation findings:</w:t>
            </w:r>
            <w:r w:rsidRPr="00726D52">
              <w:rPr>
                <w:noProof/>
                <w:color w:val="000000" w:themeColor="text1"/>
              </w:rPr>
              <w:t xml:space="preserve"> From the private sector perspective, cooperation with Europol is generally effective, particularly in information sharing, operational collaboration, and established public–private partnerships, though effectiveness is less clear in research and innovation activities. Europol’s engagement is broadly relevant, especially in financial services and cybersecurity, but varies across sectors due to uneven awareness and involvement. Overall, Europol provides strong EU added value as a central hub for cross-border coordination, intelligence, and public–private cooperation, delivering capabilities and scale beyond national efforts.</w:t>
            </w:r>
          </w:p>
          <w:p w14:paraId="3E17CBBF" w14:textId="008C1C56" w:rsidR="719A4F3C" w:rsidRPr="00726D52" w:rsidRDefault="719A4F3C" w:rsidP="009502B2">
            <w:pPr>
              <w:pStyle w:val="ListParagraph"/>
              <w:numPr>
                <w:ilvl w:val="0"/>
                <w:numId w:val="54"/>
              </w:numPr>
              <w:rPr>
                <w:noProof/>
                <w:color w:val="000000" w:themeColor="text1"/>
              </w:rPr>
            </w:pPr>
            <w:r w:rsidRPr="00726D52">
              <w:rPr>
                <w:b/>
                <w:bCs/>
                <w:noProof/>
                <w:color w:val="000000" w:themeColor="text1"/>
              </w:rPr>
              <w:lastRenderedPageBreak/>
              <w:t>Implementation challenges:</w:t>
            </w:r>
            <w:r w:rsidRPr="00726D52">
              <w:rPr>
                <w:noProof/>
                <w:color w:val="000000" w:themeColor="text1"/>
              </w:rPr>
              <w:t xml:space="preserve"> Key challenges include legal constraints on information sharing, limited clarity on Europol’s specific intelligence needs and feedback mechanisms, fragmentation and technical limitations of information sharing platforms.</w:t>
            </w:r>
          </w:p>
          <w:p w14:paraId="2D7F9B39" w14:textId="1804B988" w:rsidR="719A4F3C" w:rsidRPr="00726D52" w:rsidRDefault="719A4F3C" w:rsidP="009502B2">
            <w:pPr>
              <w:pStyle w:val="ListParagraph"/>
              <w:numPr>
                <w:ilvl w:val="0"/>
                <w:numId w:val="54"/>
              </w:numPr>
              <w:rPr>
                <w:noProof/>
                <w:color w:val="000000" w:themeColor="text1"/>
              </w:rPr>
            </w:pPr>
            <w:r w:rsidRPr="00726D52">
              <w:rPr>
                <w:b/>
                <w:bCs/>
                <w:noProof/>
                <w:color w:val="000000" w:themeColor="text1"/>
              </w:rPr>
              <w:t>Pathways for revision:</w:t>
            </w:r>
            <w:r w:rsidRPr="00726D52">
              <w:rPr>
                <w:noProof/>
                <w:color w:val="000000" w:themeColor="text1"/>
              </w:rPr>
              <w:t xml:space="preserve"> Forward‑looking preferences focus on strengthening and scaling existing cooperation models rather than structural overhaul, with emphasis on clearer guidance and legal certainty, more specialised and secure information‑sharing platforms, enhanced operational collaboration and feedback loops, improved resourcing of successful partnerships, and governance arrangements that ensure transparency and standardisation.</w:t>
            </w:r>
          </w:p>
        </w:tc>
      </w:tr>
    </w:tbl>
    <w:p w14:paraId="7FAB9D3B" w14:textId="7F2290C6" w:rsidR="00181F4A" w:rsidRPr="00726D52" w:rsidRDefault="00455B0C" w:rsidP="735902D7">
      <w:pPr>
        <w:keepNext/>
        <w:spacing w:after="200" w:line="276" w:lineRule="auto"/>
        <w:rPr>
          <w:rFonts w:eastAsia="Times New Roman"/>
          <w:noProof/>
          <w:color w:val="000000" w:themeColor="text1"/>
        </w:rPr>
      </w:pPr>
      <w:r w:rsidRPr="00726D52">
        <w:rPr>
          <w:rFonts w:eastAsia="Times New Roman"/>
          <w:noProof/>
          <w:color w:val="000000" w:themeColor="text1"/>
        </w:rPr>
        <w:lastRenderedPageBreak/>
        <w:br/>
      </w:r>
      <w:r w:rsidR="719A4F3C" w:rsidRPr="00726D52">
        <w:rPr>
          <w:rFonts w:eastAsia="Times New Roman"/>
          <w:noProof/>
          <w:color w:val="000000" w:themeColor="text1"/>
        </w:rPr>
        <w:t xml:space="preserve">The </w:t>
      </w:r>
      <w:r w:rsidR="719A4F3C" w:rsidRPr="00726D52">
        <w:rPr>
          <w:rFonts w:eastAsia="Times New Roman"/>
          <w:b/>
          <w:bCs/>
          <w:noProof/>
          <w:color w:val="000000" w:themeColor="text1"/>
        </w:rPr>
        <w:t>targeted survey for non-governmental, civil society and research organisations</w:t>
      </w:r>
      <w:r w:rsidR="719A4F3C" w:rsidRPr="00726D52">
        <w:rPr>
          <w:rFonts w:eastAsia="Times New Roman"/>
          <w:noProof/>
          <w:color w:val="000000" w:themeColor="text1"/>
        </w:rPr>
        <w:t xml:space="preserve"> received responses from 14 organisations</w:t>
      </w:r>
      <w:r w:rsidR="719A4F3C" w:rsidRPr="00726D52">
        <w:rPr>
          <w:rStyle w:val="FootnoteReference"/>
          <w:rFonts w:eastAsia="Times New Roman"/>
          <w:noProof/>
          <w:color w:val="000000" w:themeColor="text1"/>
        </w:rPr>
        <w:footnoteReference w:id="158"/>
      </w:r>
      <w:r w:rsidR="00513F1F" w:rsidRPr="00726D52">
        <w:rPr>
          <w:rFonts w:eastAsia="Times New Roman"/>
          <w:noProof/>
          <w:color w:val="000000" w:themeColor="text1"/>
        </w:rPr>
        <w:t>.</w:t>
      </w:r>
    </w:p>
    <w:tbl>
      <w:tblPr>
        <w:tblStyle w:val="TableGrid"/>
        <w:tblW w:w="0" w:type="auto"/>
        <w:tblLook w:val="06A0" w:firstRow="1" w:lastRow="0" w:firstColumn="1" w:lastColumn="0" w:noHBand="1" w:noVBand="1"/>
      </w:tblPr>
      <w:tblGrid>
        <w:gridCol w:w="8608"/>
      </w:tblGrid>
      <w:tr w:rsidR="735902D7" w:rsidRPr="00726D52" w14:paraId="2A38675C" w14:textId="77777777" w:rsidTr="735902D7">
        <w:trPr>
          <w:trHeight w:val="300"/>
        </w:trPr>
        <w:tc>
          <w:tcPr>
            <w:tcW w:w="8610" w:type="dxa"/>
          </w:tcPr>
          <w:p w14:paraId="086FD530" w14:textId="55382EE5" w:rsidR="719A4F3C" w:rsidRPr="00726D52" w:rsidRDefault="719A4F3C" w:rsidP="735902D7">
            <w:pPr>
              <w:rPr>
                <w:noProof/>
                <w:color w:val="000000" w:themeColor="text1"/>
              </w:rPr>
            </w:pPr>
            <w:r w:rsidRPr="00726D52">
              <w:rPr>
                <w:noProof/>
                <w:color w:val="000000" w:themeColor="text1"/>
              </w:rPr>
              <w:t>The main points raised by survey respondents:</w:t>
            </w:r>
          </w:p>
          <w:p w14:paraId="01C24FE7" w14:textId="141C8F16" w:rsidR="719A4F3C" w:rsidRPr="00726D52" w:rsidRDefault="719A4F3C" w:rsidP="009502B2">
            <w:pPr>
              <w:pStyle w:val="ListParagraph"/>
              <w:numPr>
                <w:ilvl w:val="0"/>
                <w:numId w:val="53"/>
              </w:numPr>
              <w:rPr>
                <w:noProof/>
                <w:color w:val="000000" w:themeColor="text1"/>
              </w:rPr>
            </w:pPr>
            <w:r w:rsidRPr="00726D52">
              <w:rPr>
                <w:b/>
                <w:bCs/>
                <w:noProof/>
                <w:color w:val="000000" w:themeColor="text1"/>
              </w:rPr>
              <w:t xml:space="preserve">Key evaluation findings: </w:t>
            </w:r>
            <w:r w:rsidRPr="00726D52">
              <w:rPr>
                <w:noProof/>
                <w:color w:val="000000" w:themeColor="text1"/>
              </w:rPr>
              <w:t>Europol’s engagement with civil society is effective mainly in targeted, project-based and research-driven areas, while overall effectiveness is harder to assess due to limited interaction. Its activities are generally seen as relevant and coherent with civil society priorities on cross-border crime and analysis, though gaps remain in prevention, victim support, and integrating human and digital rights.</w:t>
            </w:r>
          </w:p>
          <w:p w14:paraId="25C2C7C5" w14:textId="129D3A84" w:rsidR="719A4F3C" w:rsidRPr="00726D52" w:rsidRDefault="719A4F3C" w:rsidP="009502B2">
            <w:pPr>
              <w:pStyle w:val="ListParagraph"/>
              <w:numPr>
                <w:ilvl w:val="0"/>
                <w:numId w:val="53"/>
              </w:numPr>
              <w:rPr>
                <w:noProof/>
                <w:color w:val="000000" w:themeColor="text1"/>
              </w:rPr>
            </w:pPr>
            <w:r w:rsidRPr="00726D52">
              <w:rPr>
                <w:b/>
                <w:bCs/>
                <w:noProof/>
                <w:color w:val="000000" w:themeColor="text1"/>
              </w:rPr>
              <w:t>Implementation challenges:</w:t>
            </w:r>
            <w:r w:rsidRPr="00726D52">
              <w:rPr>
                <w:noProof/>
                <w:color w:val="000000" w:themeColor="text1"/>
              </w:rPr>
              <w:t xml:space="preserve"> Key challenges identified include limited transparency and accessibility of engagement mechanisms, uneven awareness of cooperation opportunities, administrative barriers, and concerns regarding governance, accountability, and the fundamental rights implications of expanded data processing and AI‑based analysis.</w:t>
            </w:r>
          </w:p>
          <w:p w14:paraId="0EC2DB85" w14:textId="768E6BF4" w:rsidR="719A4F3C" w:rsidRPr="00726D52" w:rsidRDefault="719A4F3C" w:rsidP="009502B2">
            <w:pPr>
              <w:pStyle w:val="ListParagraph"/>
              <w:numPr>
                <w:ilvl w:val="0"/>
                <w:numId w:val="53"/>
              </w:numPr>
              <w:rPr>
                <w:noProof/>
                <w:color w:val="000000" w:themeColor="text1"/>
              </w:rPr>
            </w:pPr>
            <w:r w:rsidRPr="00726D52">
              <w:rPr>
                <w:b/>
                <w:bCs/>
                <w:noProof/>
                <w:color w:val="000000" w:themeColor="text1"/>
              </w:rPr>
              <w:t>Pathways for revision:</w:t>
            </w:r>
            <w:r w:rsidRPr="00726D52">
              <w:rPr>
                <w:noProof/>
                <w:color w:val="000000" w:themeColor="text1"/>
              </w:rPr>
              <w:t xml:space="preserve"> Forward‑looking preferences emphasise establishing structured and inclusive engagement with NGOs and civil society, clearer contact points and advisory mechanisms, strengthened transparency and oversight, and reinforced safeguards for fundamental rights.</w:t>
            </w:r>
          </w:p>
        </w:tc>
      </w:tr>
    </w:tbl>
    <w:p w14:paraId="69C7D559" w14:textId="6C18F59C" w:rsidR="00181F4A" w:rsidRPr="00726D52" w:rsidRDefault="00455B0C" w:rsidP="735902D7">
      <w:pPr>
        <w:keepNext/>
        <w:spacing w:after="200" w:line="276" w:lineRule="auto"/>
        <w:rPr>
          <w:rFonts w:eastAsia="Times New Roman"/>
          <w:noProof/>
          <w:color w:val="000000" w:themeColor="text1"/>
        </w:rPr>
      </w:pPr>
      <w:r w:rsidRPr="00726D52">
        <w:rPr>
          <w:rFonts w:eastAsia="Times New Roman"/>
          <w:b/>
          <w:bCs/>
          <w:noProof/>
          <w:color w:val="000000" w:themeColor="text1"/>
        </w:rPr>
        <w:br/>
      </w:r>
      <w:r w:rsidR="719A4F3C" w:rsidRPr="00726D52">
        <w:rPr>
          <w:rFonts w:eastAsia="Times New Roman"/>
          <w:b/>
          <w:bCs/>
          <w:noProof/>
          <w:color w:val="000000" w:themeColor="text1"/>
        </w:rPr>
        <w:t xml:space="preserve">Field visits </w:t>
      </w:r>
      <w:r w:rsidR="719A4F3C" w:rsidRPr="00726D52">
        <w:rPr>
          <w:rFonts w:eastAsia="Times New Roman"/>
          <w:noProof/>
          <w:color w:val="000000" w:themeColor="text1"/>
        </w:rPr>
        <w:t>to Member States aimed at gathering qualitative, context-specific evidence on Europol’s cooperation with Member States.</w:t>
      </w:r>
    </w:p>
    <w:tbl>
      <w:tblPr>
        <w:tblStyle w:val="TableGrid"/>
        <w:tblW w:w="0" w:type="auto"/>
        <w:tblLook w:val="06A0" w:firstRow="1" w:lastRow="0" w:firstColumn="1" w:lastColumn="0" w:noHBand="1" w:noVBand="1"/>
      </w:tblPr>
      <w:tblGrid>
        <w:gridCol w:w="8608"/>
      </w:tblGrid>
      <w:tr w:rsidR="735902D7" w:rsidRPr="00726D52" w14:paraId="4AFF6F3E" w14:textId="77777777" w:rsidTr="35281CB8">
        <w:trPr>
          <w:trHeight w:val="300"/>
        </w:trPr>
        <w:tc>
          <w:tcPr>
            <w:tcW w:w="8610" w:type="dxa"/>
          </w:tcPr>
          <w:p w14:paraId="082C91A9" w14:textId="77F8776C" w:rsidR="719A4F3C" w:rsidRPr="00726D52" w:rsidRDefault="719A4F3C" w:rsidP="735902D7">
            <w:pPr>
              <w:rPr>
                <w:noProof/>
                <w:color w:val="000000" w:themeColor="text1"/>
              </w:rPr>
            </w:pPr>
            <w:r w:rsidRPr="00726D52">
              <w:rPr>
                <w:noProof/>
                <w:color w:val="000000" w:themeColor="text1"/>
              </w:rPr>
              <w:t>The main points raised by the interviewees during the field visits to Member States:</w:t>
            </w:r>
          </w:p>
          <w:p w14:paraId="60741C42" w14:textId="72B4F2B0" w:rsidR="719A4F3C" w:rsidRPr="00726D52" w:rsidRDefault="719A4F3C" w:rsidP="009502B2">
            <w:pPr>
              <w:pStyle w:val="ListParagraph"/>
              <w:numPr>
                <w:ilvl w:val="0"/>
                <w:numId w:val="52"/>
              </w:numPr>
              <w:spacing w:before="120" w:after="120"/>
              <w:ind w:left="714" w:hanging="357"/>
              <w:rPr>
                <w:noProof/>
                <w:color w:val="000000" w:themeColor="text1"/>
              </w:rPr>
            </w:pPr>
            <w:r w:rsidRPr="00726D52">
              <w:rPr>
                <w:rStyle w:val="Strong"/>
                <w:b w:val="0"/>
                <w:bCs w:val="0"/>
                <w:noProof/>
                <w:color w:val="000000" w:themeColor="text1"/>
              </w:rPr>
              <w:t>National authorities highly value Europol’s role in facilitating cross-border information exchange, analytical support and operational coordination. However, investigative responsibility and judicial accountability must remain at national level, with Europol acting in a supportive and complementary capacity.</w:t>
            </w:r>
          </w:p>
          <w:p w14:paraId="1C585DFC" w14:textId="6F450005" w:rsidR="719A4F3C" w:rsidRPr="00726D52" w:rsidRDefault="719A4F3C" w:rsidP="009502B2">
            <w:pPr>
              <w:pStyle w:val="ListParagraph"/>
              <w:numPr>
                <w:ilvl w:val="0"/>
                <w:numId w:val="52"/>
              </w:numPr>
              <w:spacing w:before="120" w:after="120"/>
              <w:ind w:left="714" w:hanging="357"/>
              <w:rPr>
                <w:noProof/>
                <w:color w:val="000000" w:themeColor="text1"/>
              </w:rPr>
            </w:pPr>
            <w:r w:rsidRPr="00726D52">
              <w:rPr>
                <w:rStyle w:val="Strong"/>
                <w:b w:val="0"/>
                <w:bCs w:val="0"/>
                <w:noProof/>
                <w:color w:val="000000" w:themeColor="text1"/>
              </w:rPr>
              <w:t xml:space="preserve">Information exchange is functional but constrained by legal, technical and organisational barriers. Limited interoperability between national systems and </w:t>
            </w:r>
            <w:r w:rsidRPr="00726D52">
              <w:rPr>
                <w:rStyle w:val="Strong"/>
                <w:b w:val="0"/>
                <w:bCs w:val="0"/>
                <w:noProof/>
                <w:color w:val="000000" w:themeColor="text1"/>
              </w:rPr>
              <w:lastRenderedPageBreak/>
              <w:t xml:space="preserve">Europol tools, reliance on manual uploads and lack of automation create administrative burdens. </w:t>
            </w:r>
          </w:p>
          <w:p w14:paraId="6060DACD" w14:textId="093580D5" w:rsidR="719A4F3C" w:rsidRPr="00726D52" w:rsidRDefault="719A4F3C" w:rsidP="009502B2">
            <w:pPr>
              <w:pStyle w:val="ListParagraph"/>
              <w:numPr>
                <w:ilvl w:val="0"/>
                <w:numId w:val="52"/>
              </w:numPr>
              <w:spacing w:before="120" w:after="120"/>
              <w:ind w:left="714" w:hanging="357"/>
              <w:rPr>
                <w:noProof/>
                <w:color w:val="000000" w:themeColor="text1"/>
              </w:rPr>
            </w:pPr>
            <w:r w:rsidRPr="00726D52">
              <w:rPr>
                <w:rStyle w:val="Strong"/>
                <w:b w:val="0"/>
                <w:bCs w:val="0"/>
                <w:noProof/>
                <w:color w:val="000000" w:themeColor="text1"/>
              </w:rPr>
              <w:t xml:space="preserve">Strict interpretation of data protection provisions is viewed as increasingly burdensome in fast-moving operational contexts, limiting actionable criminal intelligence delivery. </w:t>
            </w:r>
          </w:p>
          <w:p w14:paraId="65831A6D" w14:textId="2A60C815" w:rsidR="719A4F3C" w:rsidRPr="00726D52" w:rsidRDefault="719A4F3C" w:rsidP="009502B2">
            <w:pPr>
              <w:pStyle w:val="ListParagraph"/>
              <w:numPr>
                <w:ilvl w:val="0"/>
                <w:numId w:val="52"/>
              </w:numPr>
              <w:spacing w:before="120" w:after="120"/>
              <w:ind w:left="714" w:hanging="357"/>
              <w:rPr>
                <w:noProof/>
                <w:color w:val="000000" w:themeColor="text1"/>
              </w:rPr>
            </w:pPr>
            <w:r w:rsidRPr="00726D52">
              <w:rPr>
                <w:noProof/>
                <w:color w:val="000000" w:themeColor="text1"/>
              </w:rPr>
              <w:t>Europol’s strength lies in filtering, contextualising and prioritising information. Proactive identification of cross-border links, emerging phenomena and structured analytical coordination across crime areas were cited as areas where Europol delivers clear EU added value.</w:t>
            </w:r>
          </w:p>
          <w:p w14:paraId="3C568C22" w14:textId="0529EC2B" w:rsidR="719A4F3C" w:rsidRPr="00726D52" w:rsidRDefault="719A4F3C" w:rsidP="009502B2">
            <w:pPr>
              <w:pStyle w:val="ListParagraph"/>
              <w:numPr>
                <w:ilvl w:val="0"/>
                <w:numId w:val="52"/>
              </w:numPr>
              <w:spacing w:before="120" w:after="120"/>
              <w:ind w:left="714" w:hanging="357"/>
              <w:rPr>
                <w:noProof/>
                <w:color w:val="000000" w:themeColor="text1"/>
              </w:rPr>
            </w:pPr>
            <w:r w:rsidRPr="00726D52">
              <w:rPr>
                <w:noProof/>
                <w:color w:val="000000" w:themeColor="text1"/>
              </w:rPr>
              <w:t>Duplication of analysis across Member States is a as source of inefficiency. There is broad support for stronger interoperability and smarter automation. At the same time, any expansion of access to sensitive data would require mechanisms to maintain trust among Member States.</w:t>
            </w:r>
          </w:p>
        </w:tc>
      </w:tr>
    </w:tbl>
    <w:p w14:paraId="08FF510B" w14:textId="77777777" w:rsidR="00455B0C" w:rsidRPr="00726D52" w:rsidRDefault="00455B0C" w:rsidP="35281CB8">
      <w:pPr>
        <w:keepNext/>
        <w:spacing w:after="200" w:line="276" w:lineRule="auto"/>
        <w:ind w:firstLine="720"/>
        <w:rPr>
          <w:rFonts w:eastAsia="Times New Roman"/>
          <w:b/>
          <w:bCs/>
          <w:noProof/>
          <w:color w:val="000000" w:themeColor="text1"/>
        </w:rPr>
      </w:pPr>
    </w:p>
    <w:p w14:paraId="719E4740" w14:textId="0EB9CD22" w:rsidR="00181F4A" w:rsidRPr="00726D52" w:rsidRDefault="719A4F3C" w:rsidP="35281CB8">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4. Main horizontal findings of the consultation</w:t>
      </w:r>
    </w:p>
    <w:p w14:paraId="76237200" w14:textId="18E1830B" w:rsidR="00181F4A" w:rsidRPr="00726D52" w:rsidRDefault="719A4F3C" w:rsidP="735902D7">
      <w:pPr>
        <w:keepNext/>
        <w:spacing w:after="200" w:line="276" w:lineRule="auto"/>
        <w:rPr>
          <w:rFonts w:eastAsia="Times New Roman"/>
          <w:noProof/>
          <w:color w:val="000000" w:themeColor="text1"/>
        </w:rPr>
      </w:pPr>
      <w:r w:rsidRPr="00726D52">
        <w:rPr>
          <w:rFonts w:eastAsia="Times New Roman"/>
          <w:b/>
          <w:bCs/>
          <w:noProof/>
          <w:color w:val="000000" w:themeColor="text1"/>
        </w:rPr>
        <w:t>4.1 Problem definition</w:t>
      </w:r>
    </w:p>
    <w:p w14:paraId="2F0582CF" w14:textId="206BA5C7" w:rsidR="00181F4A" w:rsidRPr="00726D52" w:rsidRDefault="719A4F3C" w:rsidP="735902D7">
      <w:pPr>
        <w:keepNext/>
        <w:spacing w:after="200" w:line="276" w:lineRule="auto"/>
        <w:rPr>
          <w:rFonts w:eastAsia="Times New Roman"/>
          <w:noProof/>
          <w:color w:val="000000" w:themeColor="text1"/>
        </w:rPr>
      </w:pPr>
      <w:r w:rsidRPr="00726D52">
        <w:rPr>
          <w:rFonts w:eastAsia="Times New Roman"/>
          <w:noProof/>
          <w:color w:val="000000" w:themeColor="text1"/>
        </w:rPr>
        <w:t>There was broad agreement among stakeholders that Europol and national authorities face persistent information gaps when investigating cross-border crimes and identifying threats, and that Europol’s operational support remains limited, including cooperation with EU agencies and EPPO. Information gaps reduce effectiveness in the EU-level fight against serious crime, while operational cooperation faces legal and practical constraints. The current mandate limits Europol’s ability to provide optimal support in certain areas.</w:t>
      </w:r>
    </w:p>
    <w:p w14:paraId="75B5935D" w14:textId="16F39C25" w:rsidR="00181F4A" w:rsidRPr="00726D52" w:rsidRDefault="719A4F3C" w:rsidP="735902D7">
      <w:pPr>
        <w:keepNext/>
        <w:spacing w:after="200" w:line="276" w:lineRule="auto"/>
        <w:rPr>
          <w:rFonts w:eastAsia="Times New Roman"/>
          <w:noProof/>
          <w:color w:val="000000" w:themeColor="text1"/>
        </w:rPr>
      </w:pPr>
      <w:r w:rsidRPr="00726D52">
        <w:rPr>
          <w:rFonts w:eastAsia="Times New Roman"/>
          <w:b/>
          <w:bCs/>
          <w:noProof/>
          <w:color w:val="000000" w:themeColor="text1"/>
        </w:rPr>
        <w:t>4.2 Views on strengthening Europol’s role</w:t>
      </w:r>
    </w:p>
    <w:p w14:paraId="02A21727" w14:textId="5117FE86" w:rsidR="00181F4A" w:rsidRPr="00726D52" w:rsidRDefault="719A4F3C" w:rsidP="735902D7">
      <w:pPr>
        <w:keepNext/>
        <w:rPr>
          <w:rFonts w:eastAsia="Times New Roman"/>
          <w:noProof/>
          <w:color w:val="000000" w:themeColor="text1"/>
        </w:rPr>
      </w:pPr>
      <w:r w:rsidRPr="00726D52">
        <w:rPr>
          <w:rFonts w:eastAsia="Times New Roman"/>
          <w:noProof/>
          <w:color w:val="000000" w:themeColor="text1"/>
        </w:rPr>
        <w:t xml:space="preserve">All stakeholder groups recognise Europol’s clear EU added value as a central hub for cross‑border information exchange, analysis, and coordination that cannot be replicated at national level. Across groups, there </w:t>
      </w:r>
      <w:r w:rsidR="00C70180" w:rsidRPr="00726D52">
        <w:rPr>
          <w:rFonts w:eastAsia="Times New Roman"/>
          <w:noProof/>
          <w:color w:val="000000" w:themeColor="text1"/>
        </w:rPr>
        <w:t>is</w:t>
      </w:r>
      <w:r w:rsidRPr="00726D52">
        <w:rPr>
          <w:rFonts w:eastAsia="Times New Roman"/>
          <w:noProof/>
          <w:color w:val="000000" w:themeColor="text1"/>
        </w:rPr>
        <w:t xml:space="preserve"> also convergence around the nature of Europol’s coordination role as the EU’s criminal intelligence hub and as a provider of specialised expertise and analytical support, rather than as an entity replacing national authorities. This includes support for stronger cooperation with partners. Member States are eager to enhance Europol’s capacity to support complex cross-border investigations provided that national competences remain respected, clear safeguards for trust-based cooperation are maintained (starting with the data ownership principle) and proportionality is ensured. Conversely, stakeholder views diverged on the extent and modalities of the structural changes required. </w:t>
      </w:r>
    </w:p>
    <w:p w14:paraId="317628BE" w14:textId="3424B116" w:rsidR="00181F4A" w:rsidRPr="00726D52" w:rsidRDefault="719A4F3C" w:rsidP="35281CB8">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5. How stakeholder views have been taken into account</w:t>
      </w:r>
    </w:p>
    <w:p w14:paraId="4C159064" w14:textId="2C40A828" w:rsidR="00181F4A" w:rsidRPr="00726D52" w:rsidRDefault="719A4F3C" w:rsidP="735902D7">
      <w:pPr>
        <w:keepNext/>
        <w:rPr>
          <w:rFonts w:eastAsia="Times New Roman"/>
          <w:noProof/>
          <w:color w:val="000000" w:themeColor="text1"/>
        </w:rPr>
      </w:pPr>
      <w:r w:rsidRPr="00726D52">
        <w:rPr>
          <w:rFonts w:eastAsia="Times New Roman"/>
          <w:noProof/>
          <w:color w:val="000000" w:themeColor="text1"/>
        </w:rPr>
        <w:t>Stakeholder</w:t>
      </w:r>
      <w:r w:rsidR="00C25E19" w:rsidRPr="00726D52">
        <w:rPr>
          <w:rFonts w:eastAsia="Times New Roman"/>
          <w:noProof/>
          <w:color w:val="000000" w:themeColor="text1"/>
        </w:rPr>
        <w:t>s’</w:t>
      </w:r>
      <w:r w:rsidRPr="00726D52">
        <w:rPr>
          <w:rFonts w:eastAsia="Times New Roman"/>
          <w:noProof/>
          <w:color w:val="000000" w:themeColor="text1"/>
        </w:rPr>
        <w:t xml:space="preserve"> views informed the initiative throughout the process in several ways. Most importantly, the problem definition and the objectives were refined to reflect the operational needs of the Member States. For instance, the focus group with Europol confirmed information gaps as a primary constraint for the effectiveness of investigations, with Europol’s support capacity being limited mainly by uneven and insufficient data </w:t>
      </w:r>
      <w:r w:rsidRPr="00726D52">
        <w:rPr>
          <w:rFonts w:eastAsia="Times New Roman"/>
          <w:noProof/>
          <w:color w:val="000000" w:themeColor="text1"/>
        </w:rPr>
        <w:lastRenderedPageBreak/>
        <w:t>contributions from Member States, and voluntary information sharing approaches having widely reached their limits.</w:t>
      </w:r>
    </w:p>
    <w:p w14:paraId="41AD511F" w14:textId="54D1A18A" w:rsidR="00181F4A" w:rsidRPr="00726D52" w:rsidRDefault="719A4F3C" w:rsidP="735902D7">
      <w:pPr>
        <w:keepNext/>
        <w:spacing w:after="200" w:line="276" w:lineRule="auto"/>
        <w:rPr>
          <w:rFonts w:eastAsia="Times New Roman"/>
          <w:noProof/>
          <w:color w:val="000000" w:themeColor="text1"/>
        </w:rPr>
      </w:pPr>
      <w:r w:rsidRPr="00726D52">
        <w:rPr>
          <w:rFonts w:eastAsia="Times New Roman"/>
          <w:noProof/>
          <w:color w:val="000000" w:themeColor="text1"/>
        </w:rPr>
        <w:t>The policy options “reinforcing Europol’s existing model” and “a new model for Europol” were tested with the main stakeholders, especially through the focus group meetings, proving effective to capture a wide range of desirable policy measures. Implementation considerations were reflected in the sequencing and design of policy measures. Where views diverged, the impact assessment presents a balanced analysis grounded in proportionality, feasibility and EU added value.</w:t>
      </w:r>
    </w:p>
    <w:tbl>
      <w:tblPr>
        <w:tblStyle w:val="TableGrid"/>
        <w:tblW w:w="0" w:type="auto"/>
        <w:tblLook w:val="06A0" w:firstRow="1" w:lastRow="0" w:firstColumn="1" w:lastColumn="0" w:noHBand="1" w:noVBand="1"/>
      </w:tblPr>
      <w:tblGrid>
        <w:gridCol w:w="8608"/>
      </w:tblGrid>
      <w:tr w:rsidR="735902D7" w:rsidRPr="00726D52" w14:paraId="7A4D2874" w14:textId="77777777" w:rsidTr="735902D7">
        <w:trPr>
          <w:trHeight w:val="300"/>
        </w:trPr>
        <w:tc>
          <w:tcPr>
            <w:tcW w:w="8610" w:type="dxa"/>
          </w:tcPr>
          <w:p w14:paraId="1E150F18" w14:textId="69B50619" w:rsidR="719A4F3C" w:rsidRPr="00726D52" w:rsidRDefault="719A4F3C" w:rsidP="735902D7">
            <w:pPr>
              <w:spacing w:before="240" w:after="200" w:line="276" w:lineRule="auto"/>
              <w:jc w:val="center"/>
              <w:rPr>
                <w:noProof/>
                <w:color w:val="000000" w:themeColor="text1"/>
              </w:rPr>
            </w:pPr>
            <w:r w:rsidRPr="00726D52">
              <w:rPr>
                <w:b/>
                <w:bCs/>
                <w:i/>
                <w:iCs/>
                <w:noProof/>
                <w:color w:val="000000" w:themeColor="text1"/>
                <w:u w:val="single"/>
              </w:rPr>
              <w:t xml:space="preserve">How have stakeholder views been taken into account? A prominent example </w:t>
            </w:r>
          </w:p>
          <w:p w14:paraId="2A3743AB" w14:textId="5DA4415D" w:rsidR="719A4F3C" w:rsidRPr="00726D52" w:rsidRDefault="719A4F3C" w:rsidP="735902D7">
            <w:pPr>
              <w:spacing w:before="240"/>
              <w:rPr>
                <w:noProof/>
                <w:color w:val="1E53A3"/>
              </w:rPr>
            </w:pPr>
            <w:r w:rsidRPr="00726D52">
              <w:rPr>
                <w:b/>
                <w:bCs/>
                <w:noProof/>
                <w:color w:val="1E53A3"/>
              </w:rPr>
              <w:t>Targeted survey for the EU Member States’ national law enforcement authorities</w:t>
            </w:r>
            <w:r w:rsidR="002401F9" w:rsidRPr="00726D52">
              <w:rPr>
                <w:b/>
                <w:bCs/>
                <w:noProof/>
                <w:color w:val="1E53A3"/>
              </w:rPr>
              <w:t xml:space="preserve"> – </w:t>
            </w:r>
            <w:r w:rsidRPr="00726D52">
              <w:rPr>
                <w:b/>
                <w:bCs/>
                <w:noProof/>
                <w:color w:val="1E53A3"/>
              </w:rPr>
              <w:t xml:space="preserve">Figure 10 </w:t>
            </w:r>
            <w:r w:rsidR="002401F9" w:rsidRPr="00726D52">
              <w:rPr>
                <w:b/>
                <w:bCs/>
                <w:noProof/>
                <w:color w:val="1E53A3"/>
              </w:rPr>
              <w:t>–</w:t>
            </w:r>
            <w:r w:rsidRPr="00726D52">
              <w:rPr>
                <w:b/>
                <w:bCs/>
                <w:noProof/>
                <w:color w:val="1E53A3"/>
              </w:rPr>
              <w:t xml:space="preserve"> Question 10: </w:t>
            </w:r>
            <w:r w:rsidRPr="00726D52">
              <w:rPr>
                <w:b/>
                <w:bCs/>
                <w:i/>
                <w:iCs/>
                <w:noProof/>
                <w:color w:val="1E53A3"/>
              </w:rPr>
              <w:t>Are there, in your view, any criminal or security threats or offences that should be added or removed from Europol’s mandate to better address current and emerging security challenges?</w:t>
            </w:r>
          </w:p>
          <w:p w14:paraId="6251F956" w14:textId="1F3AB185" w:rsidR="719A4F3C" w:rsidRPr="00726D52" w:rsidRDefault="719A4F3C" w:rsidP="735902D7">
            <w:pPr>
              <w:spacing w:before="240"/>
              <w:rPr>
                <w:noProof/>
                <w:color w:val="000000" w:themeColor="text1"/>
              </w:rPr>
            </w:pPr>
            <w:r w:rsidRPr="00726D52">
              <w:rPr>
                <w:noProof/>
              </w:rPr>
              <w:drawing>
                <wp:inline distT="0" distB="0" distL="0" distR="0" wp14:anchorId="623BCE42" wp14:editId="373F3827">
                  <wp:extent cx="5286375" cy="2724150"/>
                  <wp:effectExtent l="0" t="0" r="0" b="0"/>
                  <wp:docPr id="1741535566" name="drawing" title="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52942" name="Picture 529652942"/>
                          <pic:cNvPicPr/>
                        </pic:nvPicPr>
                        <pic:blipFill>
                          <a:blip r:embed="rId36">
                            <a:extLst>
                              <a:ext uri="{28A0092B-C50C-407E-A947-70E740481C1C}">
                                <a14:useLocalDpi xmlns:a14="http://schemas.microsoft.com/office/drawing/2010/main"/>
                              </a:ext>
                            </a:extLst>
                          </a:blip>
                          <a:stretch>
                            <a:fillRect/>
                          </a:stretch>
                        </pic:blipFill>
                        <pic:spPr>
                          <a:xfrm>
                            <a:off x="0" y="0"/>
                            <a:ext cx="5286375" cy="2724150"/>
                          </a:xfrm>
                          <a:prstGeom prst="rect">
                            <a:avLst/>
                          </a:prstGeom>
                        </pic:spPr>
                      </pic:pic>
                    </a:graphicData>
                  </a:graphic>
                </wp:inline>
              </w:drawing>
            </w:r>
          </w:p>
          <w:p w14:paraId="3C90F6B6" w14:textId="340470D5" w:rsidR="719A4F3C" w:rsidRPr="00726D52" w:rsidRDefault="719A4F3C" w:rsidP="735902D7">
            <w:pPr>
              <w:spacing w:before="240"/>
              <w:rPr>
                <w:noProof/>
                <w:color w:val="000000" w:themeColor="text1"/>
              </w:rPr>
            </w:pPr>
            <w:r w:rsidRPr="00726D52">
              <w:rPr>
                <w:noProof/>
                <w:color w:val="000000" w:themeColor="text1"/>
              </w:rPr>
              <w:t xml:space="preserve">16 Europol Member States opposed making Europol competent for new forms of crime, while 8 Europol Member States (7 + 1 late respondent) suggested broadening Europol’s mandate by adding new forms of crime to Annex I, especially </w:t>
            </w:r>
            <w:r w:rsidRPr="00726D52">
              <w:rPr>
                <w:b/>
                <w:bCs/>
                <w:noProof/>
                <w:color w:val="000000" w:themeColor="text1"/>
              </w:rPr>
              <w:t>hybrid threats</w:t>
            </w:r>
            <w:r w:rsidRPr="00726D52">
              <w:rPr>
                <w:noProof/>
                <w:color w:val="000000" w:themeColor="text1"/>
              </w:rPr>
              <w:t>, but also tax crime and others, or by removing the list altogether.</w:t>
            </w:r>
          </w:p>
          <w:p w14:paraId="37C25E88" w14:textId="2DA5A9AC" w:rsidR="719A4F3C" w:rsidRPr="00726D52" w:rsidRDefault="719A4F3C" w:rsidP="735902D7">
            <w:pPr>
              <w:spacing w:before="240" w:line="276" w:lineRule="auto"/>
              <w:rPr>
                <w:noProof/>
                <w:color w:val="000000" w:themeColor="text1"/>
              </w:rPr>
            </w:pPr>
            <w:r w:rsidRPr="00726D52">
              <w:rPr>
                <w:noProof/>
                <w:color w:val="000000" w:themeColor="text1"/>
              </w:rPr>
              <w:t>The Commission services took note of Member State experts’ position expressed at the thematic workshops that Europol can already provide support to counter the criminal law dimension of hybrid threats insofar as they materialise in any of the several forms of crime for which Europol is competent. Notably, Europol can support crime detection and analysis and coordinate law enforcement responses, which it must do without interfering with the competences of national intelligence agencies.</w:t>
            </w:r>
          </w:p>
          <w:p w14:paraId="2AB9DAF1" w14:textId="28462F81" w:rsidR="719A4F3C" w:rsidRPr="00726D52" w:rsidRDefault="719A4F3C" w:rsidP="735902D7">
            <w:pPr>
              <w:spacing w:before="240" w:line="276" w:lineRule="auto"/>
              <w:rPr>
                <w:noProof/>
                <w:color w:val="000000" w:themeColor="text1"/>
              </w:rPr>
            </w:pPr>
            <w:r w:rsidRPr="00726D52">
              <w:rPr>
                <w:noProof/>
                <w:color w:val="000000" w:themeColor="text1"/>
              </w:rPr>
              <w:lastRenderedPageBreak/>
              <w:t>The Commission services also took note of Member State law enforcement agencies’ position expressed over bilateral discussions that, while hybrid threats are transversal in nature, Europol’s support against hybrid threats has in practice been provided mostly through a counter-terrorism angle, without fully mobilising Europol’s capabilities across all its various operational centres. Europol could instead mobilise the capabilities of all its operational centres to respond to requests from national law enforcement authorities and fully support national investigations, exploiting all its supportive potential under the current mandate, by deploying its entire toolbox in the most relevant crime areas.</w:t>
            </w:r>
          </w:p>
          <w:p w14:paraId="75BB128B" w14:textId="1C163F9C" w:rsidR="719A4F3C" w:rsidRPr="00726D52" w:rsidRDefault="719A4F3C" w:rsidP="735902D7">
            <w:pPr>
              <w:spacing w:before="240" w:line="276" w:lineRule="auto"/>
              <w:rPr>
                <w:noProof/>
                <w:color w:val="000000" w:themeColor="text1"/>
              </w:rPr>
            </w:pPr>
            <w:r w:rsidRPr="00726D52">
              <w:rPr>
                <w:noProof/>
                <w:color w:val="000000" w:themeColor="text1"/>
              </w:rPr>
              <w:t>This does not require changes to Europol’s mandate and has thus been excluded by the impact assessment report.</w:t>
            </w:r>
          </w:p>
        </w:tc>
      </w:tr>
    </w:tbl>
    <w:p w14:paraId="11138782" w14:textId="77777777" w:rsidR="00455B0C" w:rsidRPr="00726D52" w:rsidRDefault="00455B0C" w:rsidP="35281CB8">
      <w:pPr>
        <w:keepNext/>
        <w:spacing w:after="200" w:line="276" w:lineRule="auto"/>
        <w:ind w:firstLine="720"/>
        <w:rPr>
          <w:rFonts w:eastAsia="Times New Roman"/>
          <w:b/>
          <w:bCs/>
          <w:noProof/>
          <w:color w:val="000000" w:themeColor="text1"/>
        </w:rPr>
      </w:pPr>
    </w:p>
    <w:p w14:paraId="02093692" w14:textId="45D4D59B" w:rsidR="00181F4A" w:rsidRPr="00726D52" w:rsidRDefault="719A4F3C" w:rsidP="35281CB8">
      <w:pPr>
        <w:keepNext/>
        <w:spacing w:after="200" w:line="276" w:lineRule="auto"/>
        <w:ind w:firstLine="720"/>
        <w:rPr>
          <w:rFonts w:eastAsia="Times New Roman"/>
          <w:noProof/>
          <w:color w:val="000000" w:themeColor="text1"/>
        </w:rPr>
      </w:pPr>
      <w:r w:rsidRPr="00726D52">
        <w:rPr>
          <w:rFonts w:eastAsia="Times New Roman"/>
          <w:b/>
          <w:bCs/>
          <w:noProof/>
          <w:color w:val="000000" w:themeColor="text1"/>
        </w:rPr>
        <w:t>7. Conclusion</w:t>
      </w:r>
    </w:p>
    <w:p w14:paraId="57F22D5A" w14:textId="04A02352" w:rsidR="3197B71D" w:rsidRPr="00726D52" w:rsidRDefault="719A4F3C" w:rsidP="00455B0C">
      <w:pPr>
        <w:widowControl w:val="0"/>
        <w:spacing w:after="200" w:line="276" w:lineRule="auto"/>
        <w:rPr>
          <w:noProof/>
        </w:rPr>
      </w:pPr>
      <w:r w:rsidRPr="00726D52">
        <w:rPr>
          <w:rFonts w:eastAsia="Times New Roman"/>
          <w:noProof/>
          <w:color w:val="000000" w:themeColor="text1"/>
        </w:rPr>
        <w:t>The extensive consultation process confirmed the centrality of the identified problems and the need to adapt Europol’s support to evolving security challenges. While stakeholders expressed different levels of ambition regarding structural changes, there was broad recognition of the need to strengthen Europol’s support to Member States in tackling serious and organised crime, cybercrime and terrorism. The impact assessment reflects the evidence gathered and seeks to strike a balance between ambition, operational effectiveness, legal certainty and political feasibility.</w:t>
      </w:r>
    </w:p>
    <w:p w14:paraId="20D86B8D" w14:textId="77777777" w:rsidR="00455B0C" w:rsidRPr="00726D52" w:rsidRDefault="00455B0C">
      <w:pPr>
        <w:spacing w:after="200" w:line="276" w:lineRule="auto"/>
        <w:jc w:val="left"/>
        <w:rPr>
          <w:rFonts w:eastAsia="Times New Roman"/>
          <w:b/>
          <w:smallCaps/>
          <w:noProof/>
          <w:sz w:val="32"/>
          <w:szCs w:val="20"/>
        </w:rPr>
      </w:pPr>
      <w:bookmarkStart w:id="28" w:name="_Toc224614045"/>
      <w:r w:rsidRPr="00726D52">
        <w:rPr>
          <w:noProof/>
        </w:rPr>
        <w:br w:type="page"/>
      </w:r>
    </w:p>
    <w:p w14:paraId="7348CE80" w14:textId="0E77B145" w:rsidR="00181F4A" w:rsidRPr="00726D52" w:rsidRDefault="0D9886C2" w:rsidP="00513F1F">
      <w:pPr>
        <w:pStyle w:val="AnnexTitle"/>
        <w:rPr>
          <w:noProof/>
        </w:rPr>
      </w:pPr>
      <w:r w:rsidRPr="00726D52">
        <w:rPr>
          <w:noProof/>
        </w:rPr>
        <w:lastRenderedPageBreak/>
        <w:t>Annex 3: Who is affected and how?</w:t>
      </w:r>
      <w:bookmarkEnd w:id="28"/>
    </w:p>
    <w:p w14:paraId="3233343C" w14:textId="5B49FFA7" w:rsidR="00181F4A" w:rsidRPr="00726D52" w:rsidRDefault="0D9886C2" w:rsidP="009502B2">
      <w:pPr>
        <w:pStyle w:val="Heading1"/>
        <w:numPr>
          <w:ilvl w:val="0"/>
          <w:numId w:val="66"/>
        </w:numPr>
        <w:ind w:left="720" w:hanging="360"/>
        <w:rPr>
          <w:bCs/>
          <w:noProof/>
          <w:color w:val="000000" w:themeColor="text1"/>
          <w:szCs w:val="24"/>
        </w:rPr>
      </w:pPr>
      <w:bookmarkStart w:id="29" w:name="_Toc224614046"/>
      <w:r w:rsidRPr="00726D52">
        <w:rPr>
          <w:bCs/>
          <w:noProof/>
          <w:color w:val="000000" w:themeColor="text1"/>
          <w:szCs w:val="24"/>
        </w:rPr>
        <w:t>Practical implications of the initiative</w:t>
      </w:r>
      <w:bookmarkEnd w:id="29"/>
    </w:p>
    <w:p w14:paraId="3935FF67" w14:textId="7C1211DC" w:rsidR="00181F4A" w:rsidRPr="00726D52" w:rsidRDefault="0D9886C2" w:rsidP="009502B2">
      <w:pPr>
        <w:pStyle w:val="ListParagraph"/>
        <w:numPr>
          <w:ilvl w:val="0"/>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EU citizens</w:t>
      </w:r>
    </w:p>
    <w:p w14:paraId="2A01B216" w14:textId="1F6ABC61"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All preferred options aim to improve the </w:t>
      </w:r>
      <w:r w:rsidRPr="00726D52">
        <w:rPr>
          <w:rFonts w:eastAsia="Times New Roman"/>
          <w:b/>
          <w:noProof/>
          <w:color w:val="000000" w:themeColor="text1"/>
        </w:rPr>
        <w:t>prevention, detection, investigation, and prosecution of serious and organised crime</w:t>
      </w:r>
      <w:r w:rsidRPr="00726D52">
        <w:rPr>
          <w:rFonts w:eastAsia="Times New Roman"/>
          <w:noProof/>
          <w:color w:val="000000" w:themeColor="text1"/>
        </w:rPr>
        <w:t>, directly benefiting citizens. By enhancing the availability, structure, and usability of law enforcement data, the package supports:</w:t>
      </w:r>
    </w:p>
    <w:p w14:paraId="6681D188" w14:textId="20C05F98" w:rsidR="00181F4A" w:rsidRPr="00726D52" w:rsidRDefault="0D9886C2" w:rsidP="009502B2">
      <w:pPr>
        <w:pStyle w:val="ListParagraph"/>
        <w:numPr>
          <w:ilvl w:val="0"/>
          <w:numId w:val="49"/>
        </w:numPr>
        <w:rPr>
          <w:rFonts w:eastAsia="Times New Roman"/>
          <w:noProof/>
          <w:color w:val="000000" w:themeColor="text1"/>
        </w:rPr>
      </w:pPr>
      <w:r w:rsidRPr="00726D52">
        <w:rPr>
          <w:rFonts w:eastAsia="Times New Roman"/>
          <w:noProof/>
          <w:color w:val="000000" w:themeColor="text1"/>
        </w:rPr>
        <w:t>Earlier detection of cross-border criminal networks.</w:t>
      </w:r>
    </w:p>
    <w:p w14:paraId="72084916" w14:textId="53A4E90F" w:rsidR="00181F4A" w:rsidRPr="00726D52" w:rsidRDefault="0D9886C2" w:rsidP="009502B2">
      <w:pPr>
        <w:pStyle w:val="ListParagraph"/>
        <w:numPr>
          <w:ilvl w:val="0"/>
          <w:numId w:val="49"/>
        </w:numPr>
        <w:rPr>
          <w:rFonts w:eastAsia="Times New Roman"/>
          <w:noProof/>
          <w:color w:val="000000" w:themeColor="text1"/>
        </w:rPr>
      </w:pPr>
      <w:r w:rsidRPr="00726D52">
        <w:rPr>
          <w:rFonts w:eastAsia="Times New Roman"/>
          <w:noProof/>
          <w:color w:val="000000" w:themeColor="text1"/>
        </w:rPr>
        <w:t>Faster identification of suspects and links between cases in multiple Member States.</w:t>
      </w:r>
    </w:p>
    <w:p w14:paraId="31E14D7D" w14:textId="1AA6019D" w:rsidR="00181F4A" w:rsidRPr="00726D52" w:rsidRDefault="0D9886C2" w:rsidP="009502B2">
      <w:pPr>
        <w:pStyle w:val="ListParagraph"/>
        <w:numPr>
          <w:ilvl w:val="0"/>
          <w:numId w:val="49"/>
        </w:numPr>
        <w:rPr>
          <w:rFonts w:eastAsia="Times New Roman"/>
          <w:noProof/>
          <w:color w:val="000000" w:themeColor="text1"/>
        </w:rPr>
      </w:pPr>
      <w:r w:rsidRPr="00726D52">
        <w:rPr>
          <w:rFonts w:eastAsia="Times New Roman"/>
          <w:noProof/>
          <w:color w:val="000000" w:themeColor="text1"/>
        </w:rPr>
        <w:t>Improved asset trac</w:t>
      </w:r>
      <w:r w:rsidR="0010660C" w:rsidRPr="00726D52">
        <w:rPr>
          <w:rFonts w:eastAsia="Times New Roman"/>
          <w:noProof/>
          <w:color w:val="000000" w:themeColor="text1"/>
        </w:rPr>
        <w:t>k</w:t>
      </w:r>
      <w:r w:rsidRPr="00726D52">
        <w:rPr>
          <w:rFonts w:eastAsia="Times New Roman"/>
          <w:noProof/>
          <w:color w:val="000000" w:themeColor="text1"/>
        </w:rPr>
        <w:t>ing and coordinated operational responses.</w:t>
      </w:r>
    </w:p>
    <w:p w14:paraId="606820A3" w14:textId="114DBFF1" w:rsidR="00181F4A" w:rsidRPr="00726D52" w:rsidRDefault="0D9886C2" w:rsidP="009502B2">
      <w:pPr>
        <w:pStyle w:val="ListParagraph"/>
        <w:numPr>
          <w:ilvl w:val="0"/>
          <w:numId w:val="49"/>
        </w:numPr>
        <w:rPr>
          <w:rFonts w:eastAsia="Times New Roman"/>
          <w:noProof/>
          <w:color w:val="000000" w:themeColor="text1"/>
        </w:rPr>
      </w:pPr>
      <w:r w:rsidRPr="00726D52">
        <w:rPr>
          <w:rFonts w:eastAsia="Times New Roman"/>
          <w:noProof/>
          <w:color w:val="000000" w:themeColor="text1"/>
        </w:rPr>
        <w:t>Stronger protection in both physical and digital environments.</w:t>
      </w:r>
    </w:p>
    <w:p w14:paraId="28F8BD81" w14:textId="65186B49" w:rsidR="00181F4A" w:rsidRPr="00726D52" w:rsidRDefault="0D9886C2" w:rsidP="2C37EBCE">
      <w:pPr>
        <w:rPr>
          <w:rFonts w:eastAsia="Times New Roman"/>
          <w:noProof/>
          <w:color w:val="000000" w:themeColor="text1"/>
        </w:rPr>
      </w:pPr>
      <w:r w:rsidRPr="00726D52">
        <w:rPr>
          <w:rFonts w:eastAsia="Times New Roman"/>
          <w:noProof/>
          <w:color w:val="000000" w:themeColor="text1"/>
        </w:rPr>
        <w:t>Citizens benefit from a higher level of security while safeguards on data protection and fundamental rights remain fully respected.</w:t>
      </w:r>
    </w:p>
    <w:p w14:paraId="55796EFC" w14:textId="4FFFC79C" w:rsidR="00181F4A" w:rsidRPr="00726D52" w:rsidRDefault="0D9886C2" w:rsidP="009502B2">
      <w:pPr>
        <w:pStyle w:val="ListParagraph"/>
        <w:numPr>
          <w:ilvl w:val="0"/>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National authorities</w:t>
      </w:r>
    </w:p>
    <w:p w14:paraId="60FD0EED" w14:textId="11BD3D37" w:rsidR="00181F4A" w:rsidRPr="00726D52" w:rsidRDefault="0D9886C2" w:rsidP="009502B2">
      <w:pPr>
        <w:pStyle w:val="ListParagraph"/>
        <w:numPr>
          <w:ilvl w:val="1"/>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Law enforcement officers</w:t>
      </w:r>
    </w:p>
    <w:p w14:paraId="3A5EF707" w14:textId="1F13C97A" w:rsidR="00181F4A" w:rsidRPr="00726D52" w:rsidRDefault="0D9886C2" w:rsidP="2C37EBCE">
      <w:pPr>
        <w:rPr>
          <w:rFonts w:eastAsia="Times New Roman"/>
          <w:noProof/>
          <w:color w:val="000000" w:themeColor="text1"/>
        </w:rPr>
      </w:pPr>
      <w:r w:rsidRPr="00726D52">
        <w:rPr>
          <w:rFonts w:eastAsia="Times New Roman"/>
          <w:noProof/>
          <w:color w:val="000000" w:themeColor="text1"/>
        </w:rPr>
        <w:t>The initiative equips officers with enhanced operational tools, including:</w:t>
      </w:r>
    </w:p>
    <w:p w14:paraId="54123A3E" w14:textId="1F6D79E5"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Better tools to query data stored in the Europol systems.</w:t>
      </w:r>
    </w:p>
    <w:p w14:paraId="0DEC6C5F" w14:textId="0A56BA5F"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 xml:space="preserve">Structured and semi-automated data exchange through integrated national </w:t>
      </w:r>
      <w:r w:rsidR="00850C71" w:rsidRPr="00726D52">
        <w:rPr>
          <w:rFonts w:eastAsia="Times New Roman"/>
          <w:noProof/>
          <w:color w:val="000000" w:themeColor="text1"/>
        </w:rPr>
        <w:t>case management systems</w:t>
      </w:r>
      <w:r w:rsidRPr="00726D52">
        <w:rPr>
          <w:rFonts w:eastAsia="Times New Roman"/>
          <w:noProof/>
          <w:color w:val="000000" w:themeColor="text1"/>
        </w:rPr>
        <w:t xml:space="preserve"> and the EU Police Cloud.</w:t>
      </w:r>
    </w:p>
    <w:p w14:paraId="392CDF34" w14:textId="49EA2DA7"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Europol support in data processing, analytics and operational coordination, including cross-border investigative leads.</w:t>
      </w:r>
    </w:p>
    <w:p w14:paraId="63D4F941" w14:textId="7B02605F"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Clearer and standardised procedures for inter-agency cooperation with Eurojust and the EPPO.</w:t>
      </w:r>
    </w:p>
    <w:p w14:paraId="61D81925" w14:textId="2F29A5CE" w:rsidR="00181F4A" w:rsidRPr="00726D52" w:rsidRDefault="0D9886C2" w:rsidP="2C37EBCE">
      <w:pPr>
        <w:rPr>
          <w:rFonts w:eastAsia="Times New Roman"/>
          <w:noProof/>
          <w:color w:val="000000" w:themeColor="text1"/>
        </w:rPr>
      </w:pPr>
      <w:r w:rsidRPr="00726D52">
        <w:rPr>
          <w:rFonts w:eastAsia="Times New Roman"/>
          <w:noProof/>
          <w:color w:val="000000" w:themeColor="text1"/>
        </w:rPr>
        <w:t>These improvements reduce delays, avoid duplication, and strengthen the quality and timeliness of cross-border investigations.</w:t>
      </w:r>
    </w:p>
    <w:p w14:paraId="5A9D829D" w14:textId="6459E355" w:rsidR="00181F4A" w:rsidRPr="00726D52" w:rsidRDefault="0D9886C2" w:rsidP="009502B2">
      <w:pPr>
        <w:pStyle w:val="ListParagraph"/>
        <w:numPr>
          <w:ilvl w:val="1"/>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IT organization in Member States</w:t>
      </w:r>
    </w:p>
    <w:p w14:paraId="13E73728" w14:textId="3B02FD80" w:rsidR="00181F4A" w:rsidRPr="00726D52" w:rsidRDefault="0D9886C2" w:rsidP="2C37EBCE">
      <w:pPr>
        <w:rPr>
          <w:rFonts w:eastAsia="Times New Roman"/>
          <w:noProof/>
          <w:color w:val="000000" w:themeColor="text1"/>
        </w:rPr>
      </w:pPr>
      <w:r w:rsidRPr="00726D52">
        <w:rPr>
          <w:rFonts w:eastAsia="Times New Roman"/>
          <w:noProof/>
          <w:color w:val="000000" w:themeColor="text1"/>
        </w:rPr>
        <w:t>IT teams are affected primarily during initial implementation:</w:t>
      </w:r>
    </w:p>
    <w:p w14:paraId="5E58385C" w14:textId="029D8AF0"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Initial investment to connect national CMS to Europol platforms and the EU Police Cloud.</w:t>
      </w:r>
    </w:p>
    <w:p w14:paraId="1A43B3E7" w14:textId="62D17350"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Simplified maintenance and upgrades due to centralised integration, reducing long-term operational burden.</w:t>
      </w:r>
    </w:p>
    <w:p w14:paraId="079E5866" w14:textId="66CAA14B"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Streamlined interoperability and harmonised data standards across national and EU systems.</w:t>
      </w:r>
    </w:p>
    <w:p w14:paraId="0B789806" w14:textId="77777777" w:rsidR="00727B47" w:rsidRPr="00726D52" w:rsidRDefault="00727B47" w:rsidP="00116AAD">
      <w:pPr>
        <w:ind w:left="360"/>
        <w:rPr>
          <w:rFonts w:eastAsia="Times New Roman"/>
          <w:noProof/>
          <w:color w:val="000000" w:themeColor="text1"/>
        </w:rPr>
      </w:pPr>
    </w:p>
    <w:p w14:paraId="2B59EE7A" w14:textId="29B44A42" w:rsidR="00181F4A" w:rsidRPr="00726D52" w:rsidRDefault="0D9886C2" w:rsidP="009502B2">
      <w:pPr>
        <w:pStyle w:val="ListParagraph"/>
        <w:numPr>
          <w:ilvl w:val="0"/>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lastRenderedPageBreak/>
        <w:t>EU level</w:t>
      </w:r>
    </w:p>
    <w:p w14:paraId="42DD84A1" w14:textId="6AF26780" w:rsidR="00181F4A" w:rsidRPr="00726D52" w:rsidRDefault="0D9886C2" w:rsidP="009502B2">
      <w:pPr>
        <w:pStyle w:val="ListParagraph"/>
        <w:numPr>
          <w:ilvl w:val="1"/>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Europol</w:t>
      </w:r>
    </w:p>
    <w:p w14:paraId="7180E9DC" w14:textId="36D45AA0"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Acts as the central analytical and operational hub for EU internal security, integrating national and EU-level datasets.</w:t>
      </w:r>
    </w:p>
    <w:p w14:paraId="79B42248" w14:textId="76E2E1F1"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Provides structured operational support to Member States, including intelligence analysis, cross-border link detection, advanced biometric matching and case prioritisation.</w:t>
      </w:r>
    </w:p>
    <w:p w14:paraId="06303397" w14:textId="4221027D"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Supports real-time coordination and structured exchange between Member States, EPPO and Eurojust.</w:t>
      </w:r>
    </w:p>
    <w:p w14:paraId="3B9E2521" w14:textId="55B39EEA"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Ensures that national CMS integration and the EU Police Cloud facilitate faster, automated and reliable access to actionable information.</w:t>
      </w:r>
    </w:p>
    <w:p w14:paraId="47B022B1" w14:textId="2DEAE41B"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Delivers scalable technical, digital, and forensic capacity without centralising national data or replacing national investigative powers.</w:t>
      </w:r>
    </w:p>
    <w:p w14:paraId="0BF129E7" w14:textId="766DAA87" w:rsidR="00181F4A" w:rsidRPr="00726D52" w:rsidRDefault="0D9886C2" w:rsidP="2C37EBCE">
      <w:pPr>
        <w:rPr>
          <w:rFonts w:eastAsia="Times New Roman"/>
          <w:noProof/>
          <w:color w:val="000000" w:themeColor="text1"/>
        </w:rPr>
      </w:pPr>
      <w:r w:rsidRPr="00726D52">
        <w:rPr>
          <w:rFonts w:eastAsia="Times New Roman"/>
          <w:noProof/>
          <w:color w:val="000000" w:themeColor="text1"/>
        </w:rPr>
        <w:t>Europol’s reinforced role allows for more proactive, timely and consistent support across complex investigations, increasing operational efficiency and EU-wide situational awareness.</w:t>
      </w:r>
    </w:p>
    <w:p w14:paraId="334DECCF" w14:textId="37BA9DFF" w:rsidR="00181F4A" w:rsidRPr="00726D52" w:rsidRDefault="0D9886C2" w:rsidP="009502B2">
      <w:pPr>
        <w:pStyle w:val="ListParagraph"/>
        <w:numPr>
          <w:ilvl w:val="1"/>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Eurojust</w:t>
      </w:r>
    </w:p>
    <w:p w14:paraId="48734008" w14:textId="3E7AB758"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Gains access to more structured, reliable, and timely information from Europol to support judicial cooperation and coordination of cross-border prosecutions which facilitates the work of joint investigation teams (JITs) as well as mutual legal assistance requests.</w:t>
      </w:r>
    </w:p>
    <w:p w14:paraId="5B4727AF" w14:textId="447AA44E"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Benefits from more efficient workflows with Europol information systems.</w:t>
      </w:r>
    </w:p>
    <w:p w14:paraId="7BEF088B" w14:textId="265B4ED0"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Enhanced information quality and timeliness enables more efficient coordination in serious and organised crime cases, strengthening legal certainty and effectiveness of judicial processes.</w:t>
      </w:r>
    </w:p>
    <w:p w14:paraId="0C64AA3B" w14:textId="6D7FBF24" w:rsidR="00181F4A" w:rsidRPr="00726D52" w:rsidRDefault="0D9886C2" w:rsidP="009502B2">
      <w:pPr>
        <w:pStyle w:val="ListParagraph"/>
        <w:numPr>
          <w:ilvl w:val="1"/>
          <w:numId w:val="50"/>
        </w:numPr>
        <w:spacing w:after="200" w:line="276" w:lineRule="auto"/>
        <w:jc w:val="left"/>
        <w:rPr>
          <w:rFonts w:eastAsia="Times New Roman"/>
          <w:noProof/>
          <w:color w:val="000000" w:themeColor="text1"/>
        </w:rPr>
      </w:pPr>
      <w:r w:rsidRPr="00726D52">
        <w:rPr>
          <w:rFonts w:eastAsia="Times New Roman"/>
          <w:b/>
          <w:bCs/>
          <w:noProof/>
          <w:color w:val="000000" w:themeColor="text1"/>
        </w:rPr>
        <w:t>EPPO</w:t>
      </w:r>
    </w:p>
    <w:p w14:paraId="71697568" w14:textId="0759B8E1"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Gains streamlined access to operational data and analytical outputs provided by Europol, enabling quicker decision-making in cross-border prosecutions.</w:t>
      </w:r>
    </w:p>
    <w:p w14:paraId="37542962" w14:textId="5EB84091"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Strengthened structural partnership with Europol ensures that EPPO investigative needs are systematically integrated into EU-level operational workflows.</w:t>
      </w:r>
    </w:p>
    <w:p w14:paraId="63C257A4" w14:textId="3EAF1D83"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Receives coordinated support in cross-border investigations, including prioritisation of cases, operational insights, and access to enhanced analytical products.</w:t>
      </w:r>
    </w:p>
    <w:p w14:paraId="74F6E386" w14:textId="7032DE7B" w:rsidR="00181F4A" w:rsidRPr="00726D52" w:rsidRDefault="0D9886C2" w:rsidP="009502B2">
      <w:pPr>
        <w:pStyle w:val="ListParagraph"/>
        <w:numPr>
          <w:ilvl w:val="0"/>
          <w:numId w:val="48"/>
        </w:numPr>
        <w:rPr>
          <w:rFonts w:eastAsia="Times New Roman"/>
          <w:noProof/>
          <w:color w:val="000000" w:themeColor="text1"/>
        </w:rPr>
      </w:pPr>
      <w:r w:rsidRPr="00726D52">
        <w:rPr>
          <w:rFonts w:eastAsia="Times New Roman"/>
          <w:noProof/>
          <w:color w:val="000000" w:themeColor="text1"/>
        </w:rPr>
        <w:t>The partnership improves the quality, consistency, and speed of EPPO-led prosecutions, reinforcing EU-level enforcement capacity while maintaining national procedural autonomy.</w:t>
      </w:r>
    </w:p>
    <w:p w14:paraId="2635FDA4" w14:textId="332A69DF" w:rsidR="00181F4A" w:rsidRPr="00726D52" w:rsidRDefault="0D9886C2" w:rsidP="009502B2">
      <w:pPr>
        <w:pStyle w:val="Heading1"/>
        <w:numPr>
          <w:ilvl w:val="0"/>
          <w:numId w:val="66"/>
        </w:numPr>
        <w:ind w:left="720" w:hanging="360"/>
        <w:rPr>
          <w:bCs/>
          <w:noProof/>
          <w:color w:val="000000" w:themeColor="text1"/>
          <w:szCs w:val="24"/>
        </w:rPr>
      </w:pPr>
      <w:bookmarkStart w:id="30" w:name="_Toc224614047"/>
      <w:r w:rsidRPr="00726D52">
        <w:rPr>
          <w:bCs/>
          <w:noProof/>
          <w:color w:val="000000" w:themeColor="text1"/>
          <w:szCs w:val="24"/>
        </w:rPr>
        <w:t>Summary of costs and benefits</w:t>
      </w:r>
      <w:bookmarkEnd w:id="30"/>
    </w:p>
    <w:p w14:paraId="487E1DB7" w14:textId="4C6A0144" w:rsidR="004124BE" w:rsidRPr="00726D52" w:rsidRDefault="004124BE" w:rsidP="004124BE">
      <w:pPr>
        <w:pStyle w:val="NormalWeb"/>
        <w:jc w:val="both"/>
        <w:rPr>
          <w:b/>
          <w:bCs/>
          <w:noProof/>
          <w:u w:val="single"/>
          <w:lang w:val="en-GB"/>
        </w:rPr>
      </w:pPr>
      <w:bookmarkStart w:id="31" w:name="_Hlk224063748"/>
      <w:r w:rsidRPr="00726D52">
        <w:rPr>
          <w:b/>
          <w:bCs/>
          <w:noProof/>
          <w:u w:val="single"/>
          <w:lang w:val="en-GB"/>
        </w:rPr>
        <w:t>Cost of the baseline scenario</w:t>
      </w:r>
    </w:p>
    <w:p w14:paraId="58CAF5CF" w14:textId="77777777" w:rsidR="003D6373" w:rsidRPr="00726D52" w:rsidRDefault="003D6373" w:rsidP="004124BE">
      <w:pPr>
        <w:pStyle w:val="NormalWeb"/>
        <w:jc w:val="both"/>
        <w:rPr>
          <w:noProof/>
          <w:lang w:val="en-GB"/>
        </w:rPr>
      </w:pPr>
      <w:r w:rsidRPr="00726D52">
        <w:rPr>
          <w:noProof/>
          <w:lang w:val="en-GB"/>
        </w:rPr>
        <w:t xml:space="preserve">Unless otherwise indicated, all cost estimates presented in this section are expressed in current prices (2026 EUR) and cover the period 2028–2034, corresponding to the duration of the next Multiannual Financial Framework (MFF). One-off costs refer to implementation and deployment expenditure incurred during the roll-out phase of the </w:t>
      </w:r>
      <w:r w:rsidRPr="00726D52">
        <w:rPr>
          <w:noProof/>
          <w:lang w:val="en-GB"/>
        </w:rPr>
        <w:lastRenderedPageBreak/>
        <w:t>measures, while recurrent costs refer to average annual operational expenditure over the same period. The same methodological assumptions and calculation basis are used throughout the main report and the supporting annexes.</w:t>
      </w:r>
    </w:p>
    <w:p w14:paraId="6BE2A615" w14:textId="22438C0E" w:rsidR="004124BE" w:rsidRPr="00726D52" w:rsidRDefault="004124BE" w:rsidP="004124BE">
      <w:pPr>
        <w:pStyle w:val="NormalWeb"/>
        <w:jc w:val="both"/>
        <w:rPr>
          <w:noProof/>
          <w:lang w:val="en-GB"/>
        </w:rPr>
      </w:pPr>
      <w:r w:rsidRPr="00726D52">
        <w:rPr>
          <w:noProof/>
          <w:lang w:val="en-GB"/>
        </w:rPr>
        <w:t xml:space="preserve">In financial terms, the baseline scenario assumes the continuation of Europol’s current funding trajectory without the additional investments associated with the policy options assessed in this impact assessment. </w:t>
      </w:r>
      <w:r w:rsidR="00A72341" w:rsidRPr="00726D52">
        <w:rPr>
          <w:noProof/>
          <w:lang w:val="en-GB"/>
        </w:rPr>
        <w:t>Baseline projections are based on the historical evolution of Europol’s annual adopted budget between 2017 and 2025 and extrapolated over the 2028–2034 MFF period.</w:t>
      </w:r>
      <w:r w:rsidRPr="00726D52">
        <w:rPr>
          <w:noProof/>
          <w:lang w:val="en-GB"/>
        </w:rPr>
        <w:t>.</w:t>
      </w:r>
    </w:p>
    <w:p w14:paraId="710A5A81" w14:textId="77777777" w:rsidR="004124BE" w:rsidRPr="00726D52" w:rsidRDefault="004124BE" w:rsidP="004124BE">
      <w:pPr>
        <w:pStyle w:val="NormalWeb"/>
        <w:jc w:val="both"/>
        <w:rPr>
          <w:noProof/>
          <w:lang w:val="en-GB"/>
        </w:rPr>
      </w:pPr>
      <w:r w:rsidRPr="00726D52">
        <w:rPr>
          <w:noProof/>
          <w:lang w:val="en-GB"/>
        </w:rPr>
        <w:t>Two projection approaches were considered in order to reflect possible future expenditure patterns.</w:t>
      </w:r>
    </w:p>
    <w:p w14:paraId="353EEFD7" w14:textId="23A37867" w:rsidR="004124BE" w:rsidRPr="00726D52" w:rsidRDefault="004124BE" w:rsidP="004124BE">
      <w:pPr>
        <w:pStyle w:val="NormalWeb"/>
        <w:jc w:val="both"/>
        <w:rPr>
          <w:noProof/>
          <w:lang w:val="en-GB"/>
        </w:rPr>
      </w:pPr>
      <w:r w:rsidRPr="00726D52">
        <w:rPr>
          <w:noProof/>
          <w:lang w:val="en-GB"/>
        </w:rPr>
        <w:t xml:space="preserve">First, a </w:t>
      </w:r>
      <w:r w:rsidRPr="00726D52">
        <w:rPr>
          <w:rStyle w:val="Strong"/>
          <w:noProof/>
          <w:lang w:val="en-GB"/>
        </w:rPr>
        <w:t>linear growth scenario</w:t>
      </w:r>
      <w:r w:rsidRPr="00726D52">
        <w:rPr>
          <w:noProof/>
          <w:lang w:val="en-GB"/>
        </w:rPr>
        <w:t xml:space="preserve"> assumes that Europol’s budget continues to increase by approximately </w:t>
      </w:r>
      <w:r w:rsidRPr="00726D52">
        <w:rPr>
          <w:rStyle w:val="Strong"/>
          <w:noProof/>
          <w:lang w:val="en-GB"/>
        </w:rPr>
        <w:t>EUR 15 million per year</w:t>
      </w:r>
      <w:r w:rsidRPr="00726D52">
        <w:rPr>
          <w:noProof/>
          <w:lang w:val="en-GB"/>
        </w:rPr>
        <w:t>, corresponding to the average annual increase observed between 2017 and 2025. Under this assumption, Europol’s total budget over the next Multiannual Financial Framework (</w:t>
      </w:r>
      <w:r w:rsidR="00885344" w:rsidRPr="00726D52">
        <w:rPr>
          <w:noProof/>
          <w:lang w:val="en-GB"/>
        </w:rPr>
        <w:t xml:space="preserve">MFF </w:t>
      </w:r>
      <w:r w:rsidRPr="00726D52">
        <w:rPr>
          <w:noProof/>
          <w:lang w:val="en-GB"/>
        </w:rPr>
        <w:t xml:space="preserve">2028–2034) would amount to approximately </w:t>
      </w:r>
      <w:r w:rsidRPr="00726D52">
        <w:rPr>
          <w:rStyle w:val="Strong"/>
          <w:noProof/>
          <w:lang w:val="en-GB"/>
        </w:rPr>
        <w:t>EUR 2.28 billion</w:t>
      </w:r>
      <w:r w:rsidRPr="00726D52">
        <w:rPr>
          <w:noProof/>
          <w:lang w:val="en-GB"/>
        </w:rPr>
        <w:t>.</w:t>
      </w:r>
    </w:p>
    <w:p w14:paraId="4A83D103" w14:textId="77777777" w:rsidR="004124BE" w:rsidRPr="00726D52" w:rsidRDefault="004124BE" w:rsidP="004124BE">
      <w:pPr>
        <w:pStyle w:val="NormalWeb"/>
        <w:jc w:val="both"/>
        <w:rPr>
          <w:noProof/>
          <w:lang w:val="en-GB"/>
        </w:rPr>
      </w:pPr>
      <w:r w:rsidRPr="00726D52">
        <w:rPr>
          <w:noProof/>
          <w:lang w:val="en-GB"/>
        </w:rPr>
        <w:t xml:space="preserve">Second, a </w:t>
      </w:r>
      <w:r w:rsidRPr="00726D52">
        <w:rPr>
          <w:rStyle w:val="Strong"/>
          <w:noProof/>
          <w:lang w:val="en-GB"/>
        </w:rPr>
        <w:t>constant growth rate scenario</w:t>
      </w:r>
      <w:r w:rsidRPr="00726D52">
        <w:rPr>
          <w:noProof/>
          <w:lang w:val="en-GB"/>
        </w:rPr>
        <w:t xml:space="preserve"> assumes that the historical growth rate observed between 2017 and 2025 continues over the projection period. This corresponds to an annual growth rate of approximately </w:t>
      </w:r>
      <w:r w:rsidRPr="00726D52">
        <w:rPr>
          <w:rStyle w:val="Strong"/>
          <w:noProof/>
          <w:lang w:val="en-GB"/>
        </w:rPr>
        <w:t>9.41%</w:t>
      </w:r>
      <w:r w:rsidRPr="00726D52">
        <w:rPr>
          <w:noProof/>
          <w:lang w:val="en-GB"/>
        </w:rPr>
        <w:t xml:space="preserve">, resulting in a projected budget of approximately </w:t>
      </w:r>
      <w:r w:rsidRPr="00726D52">
        <w:rPr>
          <w:rStyle w:val="Strong"/>
          <w:noProof/>
          <w:lang w:val="en-GB"/>
        </w:rPr>
        <w:t>EUR 2.87 billion</w:t>
      </w:r>
      <w:r w:rsidRPr="00726D52">
        <w:rPr>
          <w:noProof/>
          <w:lang w:val="en-GB"/>
        </w:rPr>
        <w:t xml:space="preserve"> over the same MFF period.</w:t>
      </w:r>
    </w:p>
    <w:p w14:paraId="08CC29D6" w14:textId="4510F479" w:rsidR="00340B9B" w:rsidRPr="00726D52" w:rsidRDefault="00340B9B" w:rsidP="004124BE">
      <w:pPr>
        <w:pStyle w:val="NormalWeb"/>
        <w:jc w:val="both"/>
        <w:rPr>
          <w:noProof/>
          <w:lang w:val="en-GB"/>
        </w:rPr>
      </w:pPr>
      <w:r w:rsidRPr="00726D52">
        <w:rPr>
          <w:noProof/>
          <w:lang w:val="en-GB"/>
        </w:rPr>
        <w:t xml:space="preserve">For the purposes of the impact assessment, the </w:t>
      </w:r>
      <w:r w:rsidRPr="00726D52">
        <w:rPr>
          <w:b/>
          <w:bCs/>
          <w:noProof/>
          <w:lang w:val="en-GB"/>
        </w:rPr>
        <w:t>linear growth scenario is used as the conservative baseline</w:t>
      </w:r>
      <w:r w:rsidRPr="00726D52">
        <w:rPr>
          <w:noProof/>
          <w:lang w:val="en-GB"/>
        </w:rPr>
        <w:t>, while the constant growth scenario illustrates a possible upper-bound trajectory reflecting the increasing operational demand on Europol.</w:t>
      </w:r>
    </w:p>
    <w:p w14:paraId="3DF64BFD" w14:textId="77777777" w:rsidR="004124BE" w:rsidRPr="00726D52" w:rsidRDefault="004124BE" w:rsidP="004124BE">
      <w:pPr>
        <w:pStyle w:val="NormalWeb"/>
        <w:jc w:val="both"/>
        <w:rPr>
          <w:noProof/>
          <w:lang w:val="en-GB"/>
        </w:rPr>
      </w:pPr>
      <w:r w:rsidRPr="00726D52">
        <w:rPr>
          <w:noProof/>
          <w:lang w:val="en-GB"/>
        </w:rPr>
        <w:t>These projections provide a range for the expected evolution of Europol’s budget under the baseline scenario. They reflect the continued expansion of Europol’s operational responsibilities and analytical support functions, while assuming no structural changes to its mandate, operational model, or technological infrastructure beyond incremental adaptations within the current framework.</w:t>
      </w:r>
    </w:p>
    <w:p w14:paraId="2CCDF1F7" w14:textId="7BCE9B76" w:rsidR="004124BE" w:rsidRPr="00726D52" w:rsidRDefault="004124BE" w:rsidP="004124BE">
      <w:pPr>
        <w:pStyle w:val="NormalWeb"/>
        <w:jc w:val="both"/>
        <w:rPr>
          <w:noProof/>
          <w:lang w:val="en-GB"/>
        </w:rPr>
      </w:pPr>
      <w:r w:rsidRPr="00726D52">
        <w:rPr>
          <w:noProof/>
          <w:lang w:val="en-GB"/>
        </w:rPr>
        <w:t xml:space="preserve">For the purpose of this impact assessment, the baseline therefore assumes a </w:t>
      </w:r>
      <w:r w:rsidRPr="00726D52">
        <w:rPr>
          <w:rStyle w:val="Strong"/>
          <w:noProof/>
          <w:lang w:val="en-GB"/>
        </w:rPr>
        <w:t>total Europol budget envelope in the range of EUR 2.3–2.9 billion for the period 2028–2034</w:t>
      </w:r>
      <w:r w:rsidR="002C2263" w:rsidRPr="00726D52">
        <w:rPr>
          <w:rStyle w:val="Strong"/>
          <w:noProof/>
          <w:lang w:val="en-GB"/>
        </w:rPr>
        <w:t xml:space="preserve"> (as compared to the current</w:t>
      </w:r>
      <w:r w:rsidR="008456B0" w:rsidRPr="00726D52">
        <w:rPr>
          <w:rStyle w:val="Strong"/>
          <w:noProof/>
          <w:lang w:val="en-GB"/>
        </w:rPr>
        <w:t xml:space="preserve"> EUR </w:t>
      </w:r>
      <w:r w:rsidR="00EE60EF" w:rsidRPr="00726D52">
        <w:rPr>
          <w:rStyle w:val="Strong"/>
          <w:noProof/>
          <w:lang w:val="en-GB"/>
        </w:rPr>
        <w:t>1.53</w:t>
      </w:r>
      <w:r w:rsidR="005B1E1B" w:rsidRPr="00726D52">
        <w:rPr>
          <w:rStyle w:val="Strong"/>
          <w:noProof/>
          <w:lang w:val="en-GB"/>
        </w:rPr>
        <w:t xml:space="preserve"> billion)</w:t>
      </w:r>
      <w:r w:rsidRPr="00726D52">
        <w:rPr>
          <w:noProof/>
          <w:lang w:val="en-GB"/>
        </w:rPr>
        <w:t>, reflecting the continuation of current trends without the additional investments associated with the policy options assessed in the following section.</w:t>
      </w:r>
    </w:p>
    <w:bookmarkEnd w:id="31"/>
    <w:p w14:paraId="5D4CBDBB" w14:textId="50BFAED6" w:rsidR="00C35F07" w:rsidRPr="00726D52" w:rsidRDefault="001F7D78" w:rsidP="004124BE">
      <w:pPr>
        <w:pStyle w:val="NormalWeb"/>
        <w:jc w:val="both"/>
        <w:rPr>
          <w:noProof/>
          <w:lang w:val="en-GB"/>
        </w:rPr>
      </w:pPr>
      <w:r w:rsidRPr="00726D52">
        <w:rPr>
          <w:noProof/>
          <w:lang w:val="en-GB" w:eastAsia="en-GB"/>
        </w:rPr>
        <w:lastRenderedPageBreak/>
        <w:drawing>
          <wp:inline distT="0" distB="0" distL="0" distR="0" wp14:anchorId="3F822CBB" wp14:editId="58CAA297">
            <wp:extent cx="5472430" cy="3446145"/>
            <wp:effectExtent l="0" t="0" r="0" b="0"/>
            <wp:docPr id="745956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5472430" cy="3446145"/>
                    </a:xfrm>
                    <a:prstGeom prst="rect">
                      <a:avLst/>
                    </a:prstGeom>
                    <a:noFill/>
                    <a:ln>
                      <a:noFill/>
                    </a:ln>
                  </pic:spPr>
                </pic:pic>
              </a:graphicData>
            </a:graphic>
          </wp:inline>
        </w:drawing>
      </w:r>
    </w:p>
    <w:p w14:paraId="5125F98C" w14:textId="5ADF87CF" w:rsidR="004124BE" w:rsidRPr="00726D52" w:rsidRDefault="004124BE" w:rsidP="2C37EBCE">
      <w:pPr>
        <w:rPr>
          <w:rFonts w:eastAsia="Times New Roman"/>
          <w:b/>
          <w:bCs/>
          <w:noProof/>
          <w:color w:val="000000" w:themeColor="text1"/>
          <w:u w:val="single"/>
        </w:rPr>
      </w:pPr>
      <w:r w:rsidRPr="00726D52">
        <w:rPr>
          <w:rFonts w:eastAsia="Times New Roman"/>
          <w:b/>
          <w:bCs/>
          <w:noProof/>
          <w:color w:val="000000" w:themeColor="text1"/>
          <w:u w:val="single"/>
        </w:rPr>
        <w:t>Cost of the preferred option</w:t>
      </w:r>
    </w:p>
    <w:p w14:paraId="2C343221" w14:textId="61471C13" w:rsidR="00181F4A" w:rsidRPr="00726D52" w:rsidRDefault="0D9886C2" w:rsidP="2C37EBCE">
      <w:pPr>
        <w:rPr>
          <w:rFonts w:eastAsia="Times New Roman"/>
          <w:noProof/>
          <w:color w:val="000000" w:themeColor="text1"/>
        </w:rPr>
      </w:pPr>
      <w:r w:rsidRPr="00726D52">
        <w:rPr>
          <w:rFonts w:eastAsia="Times New Roman"/>
          <w:noProof/>
          <w:color w:val="000000" w:themeColor="text1"/>
        </w:rPr>
        <w:t>The table below presents the costs associated with the preferred option (in million EUR).</w:t>
      </w:r>
      <w:r w:rsidR="00F4104D" w:rsidRPr="00726D52">
        <w:rPr>
          <w:rFonts w:eastAsia="Times New Roman"/>
          <w:noProof/>
          <w:color w:val="000000" w:themeColor="text1"/>
        </w:rPr>
        <w:t xml:space="preserve"> One-off costs are presented as cumulative implementation costs over the deployment phase of the preferred option, while recurrent costs </w:t>
      </w:r>
      <w:r w:rsidR="00FF47D8" w:rsidRPr="00726D52">
        <w:rPr>
          <w:rFonts w:eastAsia="Times New Roman"/>
          <w:noProof/>
          <w:color w:val="000000" w:themeColor="text1"/>
        </w:rPr>
        <w:t>cover the cumulated</w:t>
      </w:r>
      <w:r w:rsidR="00F4104D" w:rsidRPr="00726D52">
        <w:rPr>
          <w:rFonts w:eastAsia="Times New Roman"/>
          <w:noProof/>
          <w:color w:val="000000" w:themeColor="text1"/>
        </w:rPr>
        <w:t xml:space="preserve"> annual average costs during the 2028–2034 period.</w:t>
      </w:r>
    </w:p>
    <w:p w14:paraId="1D8F7C2A" w14:textId="6382AB26" w:rsidR="00181F4A" w:rsidRPr="00726D52" w:rsidRDefault="0D9886C2" w:rsidP="2C37EBCE">
      <w:pPr>
        <w:rPr>
          <w:rFonts w:eastAsia="Times New Roman"/>
          <w:noProof/>
          <w:color w:val="000000" w:themeColor="text1"/>
        </w:rPr>
      </w:pPr>
      <w:r w:rsidRPr="00726D52">
        <w:rPr>
          <w:rFonts w:eastAsia="Times New Roman"/>
          <w:noProof/>
          <w:color w:val="000000" w:themeColor="text1"/>
        </w:rPr>
        <w:t>No costs are identified for citizens/ consumers and businesses given the costs associated with the policy measures are directed at EU-level or national public administrations.</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69"/>
        <w:gridCol w:w="1337"/>
        <w:gridCol w:w="1390"/>
        <w:gridCol w:w="1390"/>
        <w:gridCol w:w="1376"/>
        <w:gridCol w:w="1410"/>
      </w:tblGrid>
      <w:tr w:rsidR="2C37EBCE" w:rsidRPr="00726D52" w14:paraId="78F2D441" w14:textId="77777777" w:rsidTr="2C37EBCE">
        <w:trPr>
          <w:trHeight w:val="300"/>
        </w:trPr>
        <w:tc>
          <w:tcPr>
            <w:tcW w:w="8611" w:type="dxa"/>
            <w:gridSpan w:val="6"/>
            <w:tcBorders>
              <w:top w:val="double" w:sz="6" w:space="0" w:color="auto"/>
              <w:left w:val="double" w:sz="6" w:space="0" w:color="auto"/>
              <w:bottom w:val="single" w:sz="6" w:space="0" w:color="auto"/>
              <w:right w:val="double" w:sz="6" w:space="0" w:color="auto"/>
            </w:tcBorders>
            <w:shd w:val="clear" w:color="auto" w:fill="C6D9F1" w:themeFill="text2" w:themeFillTint="33"/>
            <w:tcMar>
              <w:top w:w="45" w:type="dxa"/>
              <w:left w:w="45" w:type="dxa"/>
              <w:bottom w:w="45" w:type="dxa"/>
              <w:right w:w="45" w:type="dxa"/>
            </w:tcMar>
          </w:tcPr>
          <w:p w14:paraId="0DDD9CBE" w14:textId="2D30F53F" w:rsidR="2C37EBCE" w:rsidRPr="00726D52" w:rsidRDefault="2C37EBCE" w:rsidP="2C37EBCE">
            <w:pPr>
              <w:spacing w:after="0"/>
              <w:rPr>
                <w:noProof/>
                <w:sz w:val="20"/>
                <w:szCs w:val="20"/>
              </w:rPr>
            </w:pPr>
            <w:r w:rsidRPr="00726D52">
              <w:rPr>
                <w:b/>
                <w:bCs/>
                <w:noProof/>
                <w:sz w:val="20"/>
                <w:szCs w:val="20"/>
              </w:rPr>
              <w:t>II. Overview of costs – Preferred option</w:t>
            </w:r>
          </w:p>
        </w:tc>
      </w:tr>
      <w:tr w:rsidR="2C37EBCE" w:rsidRPr="00726D52" w14:paraId="2BE074B5" w14:textId="77777777" w:rsidTr="2C37EBCE">
        <w:trPr>
          <w:trHeight w:val="300"/>
        </w:trPr>
        <w:tc>
          <w:tcPr>
            <w:tcW w:w="2864" w:type="dxa"/>
            <w:gridSpan w:val="2"/>
            <w:vMerge w:val="restart"/>
            <w:tcBorders>
              <w:top w:val="double" w:sz="6" w:space="0" w:color="auto"/>
              <w:left w:val="double" w:sz="6" w:space="0" w:color="auto"/>
              <w:bottom w:val="single" w:sz="6" w:space="0" w:color="auto"/>
              <w:right w:val="double" w:sz="6" w:space="0" w:color="auto"/>
            </w:tcBorders>
            <w:tcMar>
              <w:top w:w="45" w:type="dxa"/>
              <w:left w:w="45" w:type="dxa"/>
              <w:bottom w:w="45" w:type="dxa"/>
              <w:right w:w="45" w:type="dxa"/>
            </w:tcMar>
          </w:tcPr>
          <w:p w14:paraId="3B83B5D6" w14:textId="5A74BF70" w:rsidR="2C37EBCE" w:rsidRPr="00726D52" w:rsidRDefault="2C37EBCE" w:rsidP="000564D7">
            <w:pPr>
              <w:spacing w:after="0"/>
              <w:jc w:val="left"/>
              <w:rPr>
                <w:noProof/>
                <w:sz w:val="20"/>
                <w:szCs w:val="20"/>
              </w:rPr>
            </w:pP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tcPr>
          <w:p w14:paraId="50541615" w14:textId="4E796EB1" w:rsidR="2C37EBCE" w:rsidRPr="00726D52" w:rsidRDefault="2C37EBCE" w:rsidP="000564D7">
            <w:pPr>
              <w:spacing w:after="0"/>
              <w:jc w:val="left"/>
              <w:rPr>
                <w:noProof/>
                <w:sz w:val="20"/>
                <w:szCs w:val="20"/>
              </w:rPr>
            </w:pPr>
            <w:r w:rsidRPr="00726D52">
              <w:rPr>
                <w:b/>
                <w:bCs/>
                <w:noProof/>
                <w:sz w:val="20"/>
                <w:szCs w:val="20"/>
              </w:rPr>
              <w:t>Citizens/ Consumers</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6D278FAB" w14:textId="495D04E2" w:rsidR="2C37EBCE" w:rsidRPr="00726D52" w:rsidRDefault="2C37EBCE" w:rsidP="000564D7">
            <w:pPr>
              <w:spacing w:after="0"/>
              <w:jc w:val="left"/>
              <w:rPr>
                <w:noProof/>
                <w:sz w:val="20"/>
                <w:szCs w:val="20"/>
              </w:rPr>
            </w:pPr>
            <w:r w:rsidRPr="00726D52">
              <w:rPr>
                <w:b/>
                <w:bCs/>
                <w:noProof/>
                <w:sz w:val="20"/>
                <w:szCs w:val="20"/>
              </w:rPr>
              <w:t>Businesses</w:t>
            </w:r>
          </w:p>
        </w:tc>
        <w:tc>
          <w:tcPr>
            <w:tcW w:w="2874" w:type="dxa"/>
            <w:gridSpan w:val="2"/>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tcPr>
          <w:p w14:paraId="01C66C6F" w14:textId="36BC2E9C" w:rsidR="2C37EBCE" w:rsidRPr="00726D52" w:rsidRDefault="2C37EBCE" w:rsidP="000564D7">
            <w:pPr>
              <w:spacing w:after="0"/>
              <w:jc w:val="left"/>
              <w:rPr>
                <w:noProof/>
                <w:sz w:val="20"/>
                <w:szCs w:val="20"/>
              </w:rPr>
            </w:pPr>
            <w:r w:rsidRPr="00726D52">
              <w:rPr>
                <w:b/>
                <w:bCs/>
                <w:noProof/>
                <w:sz w:val="20"/>
                <w:szCs w:val="20"/>
              </w:rPr>
              <w:t>Administrations</w:t>
            </w:r>
          </w:p>
        </w:tc>
      </w:tr>
      <w:tr w:rsidR="2C37EBCE" w:rsidRPr="00726D52" w14:paraId="36779709" w14:textId="77777777" w:rsidTr="2C37EBCE">
        <w:trPr>
          <w:trHeight w:val="300"/>
        </w:trPr>
        <w:tc>
          <w:tcPr>
            <w:tcW w:w="2864" w:type="dxa"/>
            <w:gridSpan w:val="2"/>
            <w:vMerge/>
            <w:tcBorders>
              <w:left w:val="double" w:sz="0" w:space="0" w:color="auto"/>
              <w:bottom w:val="single" w:sz="0" w:space="0" w:color="auto"/>
              <w:right w:val="double" w:sz="0" w:space="0" w:color="auto"/>
            </w:tcBorders>
            <w:vAlign w:val="center"/>
          </w:tcPr>
          <w:p w14:paraId="71EF4BC2" w14:textId="77777777" w:rsidR="00EA10D5" w:rsidRPr="00726D52" w:rsidRDefault="00EA10D5" w:rsidP="000564D7">
            <w:pPr>
              <w:jc w:val="left"/>
              <w:rPr>
                <w:noProof/>
              </w:rPr>
            </w:pPr>
          </w:p>
        </w:tc>
        <w:tc>
          <w:tcPr>
            <w:tcW w:w="1432" w:type="dxa"/>
            <w:tcBorders>
              <w:top w:val="single" w:sz="6" w:space="0" w:color="auto"/>
              <w:left w:val="double" w:sz="6" w:space="0" w:color="auto"/>
              <w:bottom w:val="double" w:sz="6" w:space="0" w:color="auto"/>
              <w:right w:val="single" w:sz="6" w:space="0" w:color="auto"/>
            </w:tcBorders>
            <w:tcMar>
              <w:top w:w="45" w:type="dxa"/>
              <w:left w:w="45" w:type="dxa"/>
              <w:bottom w:w="45" w:type="dxa"/>
              <w:right w:w="45" w:type="dxa"/>
            </w:tcMar>
          </w:tcPr>
          <w:p w14:paraId="59152391" w14:textId="5C1E868C" w:rsidR="2C37EBCE" w:rsidRPr="00726D52" w:rsidRDefault="2C37EBCE" w:rsidP="000564D7">
            <w:pPr>
              <w:spacing w:after="0"/>
              <w:jc w:val="left"/>
              <w:rPr>
                <w:noProof/>
                <w:sz w:val="20"/>
                <w:szCs w:val="20"/>
              </w:rPr>
            </w:pPr>
            <w:r w:rsidRPr="00726D52">
              <w:rPr>
                <w:b/>
                <w:bCs/>
                <w:noProof/>
                <w:sz w:val="20"/>
                <w:szCs w:val="20"/>
              </w:rPr>
              <w:t>One-off/</w:t>
            </w:r>
          </w:p>
          <w:p w14:paraId="5333E181" w14:textId="17AABA23" w:rsidR="2C37EBCE" w:rsidRPr="00726D52" w:rsidRDefault="2C37EBCE" w:rsidP="000564D7">
            <w:pPr>
              <w:spacing w:after="0"/>
              <w:jc w:val="left"/>
              <w:rPr>
                <w:noProof/>
                <w:sz w:val="20"/>
                <w:szCs w:val="20"/>
              </w:rPr>
            </w:pPr>
            <w:r w:rsidRPr="00726D52">
              <w:rPr>
                <w:b/>
                <w:bCs/>
                <w:noProof/>
                <w:sz w:val="20"/>
                <w:szCs w:val="20"/>
              </w:rPr>
              <w:t>Recurrent</w:t>
            </w: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3F7D4057" w14:textId="58800B0C" w:rsidR="2C37EBCE" w:rsidRPr="00726D52" w:rsidRDefault="2C37EBCE" w:rsidP="000564D7">
            <w:pPr>
              <w:spacing w:after="0"/>
              <w:jc w:val="left"/>
              <w:rPr>
                <w:noProof/>
                <w:sz w:val="20"/>
                <w:szCs w:val="20"/>
              </w:rPr>
            </w:pPr>
            <w:r w:rsidRPr="00726D52">
              <w:rPr>
                <w:b/>
                <w:bCs/>
                <w:noProof/>
                <w:sz w:val="20"/>
                <w:szCs w:val="20"/>
              </w:rPr>
              <w:t>One-off/</w:t>
            </w:r>
          </w:p>
          <w:p w14:paraId="319D82F2" w14:textId="7212F301" w:rsidR="2C37EBCE" w:rsidRPr="00726D52" w:rsidRDefault="2C37EBCE" w:rsidP="000564D7">
            <w:pPr>
              <w:spacing w:after="0"/>
              <w:jc w:val="left"/>
              <w:rPr>
                <w:noProof/>
                <w:sz w:val="20"/>
                <w:szCs w:val="20"/>
              </w:rPr>
            </w:pPr>
            <w:r w:rsidRPr="00726D52">
              <w:rPr>
                <w:b/>
                <w:bCs/>
                <w:noProof/>
                <w:sz w:val="20"/>
                <w:szCs w:val="20"/>
              </w:rPr>
              <w:t>Recurrent</w:t>
            </w: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38DF7800" w14:textId="7BB19866" w:rsidR="2C37EBCE" w:rsidRPr="00726D52" w:rsidRDefault="2C37EBCE" w:rsidP="000564D7">
            <w:pPr>
              <w:spacing w:after="0"/>
              <w:jc w:val="left"/>
              <w:rPr>
                <w:noProof/>
                <w:sz w:val="20"/>
                <w:szCs w:val="20"/>
              </w:rPr>
            </w:pPr>
            <w:r w:rsidRPr="00726D52">
              <w:rPr>
                <w:b/>
                <w:bCs/>
                <w:noProof/>
                <w:sz w:val="20"/>
                <w:szCs w:val="20"/>
              </w:rPr>
              <w:t>One-off</w:t>
            </w:r>
          </w:p>
        </w:tc>
        <w:tc>
          <w:tcPr>
            <w:tcW w:w="1433"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3224BCAA" w14:textId="1EDB89E7" w:rsidR="2C37EBCE" w:rsidRPr="00726D52" w:rsidRDefault="2C37EBCE" w:rsidP="000564D7">
            <w:pPr>
              <w:spacing w:after="0"/>
              <w:jc w:val="left"/>
              <w:rPr>
                <w:noProof/>
                <w:sz w:val="20"/>
                <w:szCs w:val="20"/>
              </w:rPr>
            </w:pPr>
            <w:r w:rsidRPr="00726D52">
              <w:rPr>
                <w:b/>
                <w:bCs/>
                <w:noProof/>
                <w:sz w:val="20"/>
                <w:szCs w:val="20"/>
              </w:rPr>
              <w:t>Recurrent</w:t>
            </w:r>
            <w:r w:rsidR="00E57CC2" w:rsidRPr="00726D52">
              <w:rPr>
                <w:b/>
                <w:bCs/>
                <w:noProof/>
                <w:sz w:val="20"/>
                <w:szCs w:val="20"/>
              </w:rPr>
              <w:t xml:space="preserve"> </w:t>
            </w:r>
          </w:p>
        </w:tc>
      </w:tr>
      <w:tr w:rsidR="2C37EBCE" w:rsidRPr="00726D52" w14:paraId="2CAFF6BC"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0E01FE97" w14:textId="28D2173D"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 xml:space="preserve">olicy option 1.1 - </w:t>
            </w:r>
          </w:p>
          <w:p w14:paraId="32C4F91C" w14:textId="64509D4A" w:rsidR="2C37EBCE" w:rsidRPr="00726D52" w:rsidRDefault="2C37EBCE" w:rsidP="000564D7">
            <w:pPr>
              <w:jc w:val="left"/>
              <w:rPr>
                <w:noProof/>
                <w:sz w:val="20"/>
                <w:szCs w:val="20"/>
              </w:rPr>
            </w:pPr>
            <w:r w:rsidRPr="00726D52">
              <w:rPr>
                <w:b/>
                <w:bCs/>
                <w:i/>
                <w:iCs/>
                <w:noProof/>
                <w:sz w:val="20"/>
                <w:szCs w:val="20"/>
              </w:rPr>
              <w:t>Data loaders</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540E2776" w14:textId="1B266DCD"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38361E6E" w14:textId="62EF07F8"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6C1B9194" w14:textId="3CA696B9"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2754325A" w14:textId="5ACB4D12" w:rsidR="2C37EBCE" w:rsidRPr="00726D52" w:rsidRDefault="002E4545" w:rsidP="000564D7">
            <w:pPr>
              <w:jc w:val="left"/>
              <w:rPr>
                <w:noProof/>
                <w:sz w:val="20"/>
                <w:szCs w:val="20"/>
              </w:rPr>
            </w:pPr>
            <w:r w:rsidRPr="00726D52">
              <w:rPr>
                <w:noProof/>
                <w:sz w:val="20"/>
                <w:szCs w:val="20"/>
              </w:rPr>
              <w:t xml:space="preserve">54 </w:t>
            </w:r>
            <w:r w:rsidR="002A23B0" w:rsidRPr="00726D52">
              <w:rPr>
                <w:noProof/>
                <w:sz w:val="20"/>
                <w:szCs w:val="20"/>
              </w:rPr>
              <w:t>(</w:t>
            </w:r>
            <w:r w:rsidRPr="00726D52">
              <w:rPr>
                <w:noProof/>
                <w:sz w:val="20"/>
                <w:szCs w:val="20"/>
              </w:rPr>
              <w:t>M</w:t>
            </w:r>
            <w:r w:rsidR="2C37EBCE" w:rsidRPr="00726D52">
              <w:rPr>
                <w:noProof/>
                <w:sz w:val="20"/>
                <w:szCs w:val="20"/>
              </w:rPr>
              <w:t>ember States)</w:t>
            </w:r>
          </w:p>
          <w:p w14:paraId="70EEB88A" w14:textId="224C3552" w:rsidR="2C37EBCE" w:rsidRPr="00726D52" w:rsidRDefault="2C37EBCE" w:rsidP="000564D7">
            <w:pPr>
              <w:jc w:val="left"/>
              <w:rPr>
                <w:noProof/>
                <w:sz w:val="20"/>
                <w:szCs w:val="20"/>
              </w:rPr>
            </w:pPr>
            <w:r w:rsidRPr="00726D52">
              <w:rPr>
                <w:noProof/>
                <w:sz w:val="20"/>
                <w:szCs w:val="20"/>
              </w:rPr>
              <w:t>5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0AC25EEA" w14:textId="6746296C" w:rsidR="2C37EBCE" w:rsidRPr="00726D52" w:rsidRDefault="00F76548" w:rsidP="000564D7">
            <w:pPr>
              <w:jc w:val="left"/>
              <w:rPr>
                <w:noProof/>
                <w:sz w:val="18"/>
                <w:szCs w:val="18"/>
              </w:rPr>
            </w:pPr>
            <w:r w:rsidRPr="00726D52">
              <w:rPr>
                <w:noProof/>
                <w:sz w:val="20"/>
                <w:szCs w:val="20"/>
              </w:rPr>
              <w:t>75.6</w:t>
            </w:r>
            <w:r w:rsidR="2C37EBCE" w:rsidRPr="00726D52">
              <w:rPr>
                <w:noProof/>
                <w:sz w:val="20"/>
                <w:szCs w:val="20"/>
              </w:rPr>
              <w:t xml:space="preserve"> (Member States)</w:t>
            </w:r>
          </w:p>
          <w:p w14:paraId="269FD398" w14:textId="09B01185" w:rsidR="2C37EBCE" w:rsidRPr="00726D52" w:rsidRDefault="00F76548" w:rsidP="000564D7">
            <w:pPr>
              <w:jc w:val="left"/>
              <w:rPr>
                <w:noProof/>
                <w:sz w:val="20"/>
                <w:szCs w:val="20"/>
              </w:rPr>
            </w:pPr>
            <w:r w:rsidRPr="00726D52">
              <w:rPr>
                <w:noProof/>
                <w:sz w:val="20"/>
                <w:szCs w:val="20"/>
              </w:rPr>
              <w:t>7</w:t>
            </w:r>
            <w:r w:rsidR="2C37EBCE" w:rsidRPr="00726D52">
              <w:rPr>
                <w:noProof/>
                <w:sz w:val="20"/>
                <w:szCs w:val="20"/>
              </w:rPr>
              <w:t xml:space="preserve"> (Europol)</w:t>
            </w:r>
          </w:p>
        </w:tc>
      </w:tr>
      <w:tr w:rsidR="2C37EBCE" w:rsidRPr="00726D52" w14:paraId="5E3F1EEF"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35A9ED91" w14:textId="65E3EA21"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 xml:space="preserve">olicy option 1.1 - </w:t>
            </w:r>
          </w:p>
          <w:p w14:paraId="3AD7063C" w14:textId="14A48C19" w:rsidR="2C37EBCE" w:rsidRPr="00726D52" w:rsidRDefault="2C37EBCE" w:rsidP="000564D7">
            <w:pPr>
              <w:jc w:val="left"/>
              <w:rPr>
                <w:noProof/>
                <w:sz w:val="20"/>
                <w:szCs w:val="20"/>
              </w:rPr>
            </w:pPr>
            <w:r w:rsidRPr="00726D52">
              <w:rPr>
                <w:b/>
                <w:bCs/>
                <w:i/>
                <w:iCs/>
                <w:noProof/>
                <w:sz w:val="20"/>
                <w:szCs w:val="20"/>
              </w:rPr>
              <w:t>Upgrade of systems and tools</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5382D854" w14:textId="67099C32"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552C6ADD" w14:textId="174B8C50"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533851F5" w14:textId="6CC2277A"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180ED20C" w14:textId="5BFB3B67" w:rsidR="2C37EBCE" w:rsidRPr="00726D52" w:rsidRDefault="2C37EBCE" w:rsidP="000564D7">
            <w:pPr>
              <w:jc w:val="left"/>
              <w:rPr>
                <w:noProof/>
                <w:sz w:val="20"/>
                <w:szCs w:val="20"/>
              </w:rPr>
            </w:pPr>
            <w:r w:rsidRPr="00726D52">
              <w:rPr>
                <w:noProof/>
                <w:sz w:val="20"/>
                <w:szCs w:val="20"/>
              </w:rPr>
              <w:t>27 (Member States)</w:t>
            </w:r>
          </w:p>
          <w:p w14:paraId="42E8EA1C" w14:textId="7A3EAF34" w:rsidR="2C37EBCE" w:rsidRPr="00726D52" w:rsidRDefault="2C37EBCE" w:rsidP="000564D7">
            <w:pPr>
              <w:jc w:val="left"/>
              <w:rPr>
                <w:noProof/>
                <w:sz w:val="20"/>
                <w:szCs w:val="20"/>
              </w:rPr>
            </w:pPr>
            <w:r w:rsidRPr="00726D52">
              <w:rPr>
                <w:noProof/>
                <w:sz w:val="20"/>
                <w:szCs w:val="20"/>
              </w:rPr>
              <w:t>56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7FAADA8B" w14:textId="429CC367" w:rsidR="2C37EBCE" w:rsidRPr="00726D52" w:rsidRDefault="00F76548" w:rsidP="000564D7">
            <w:pPr>
              <w:jc w:val="left"/>
              <w:rPr>
                <w:noProof/>
                <w:sz w:val="20"/>
                <w:szCs w:val="20"/>
              </w:rPr>
            </w:pPr>
            <w:r w:rsidRPr="00726D52">
              <w:rPr>
                <w:noProof/>
                <w:sz w:val="20"/>
                <w:szCs w:val="20"/>
              </w:rPr>
              <w:t>37.8</w:t>
            </w:r>
            <w:r w:rsidR="2C37EBCE" w:rsidRPr="00726D52">
              <w:rPr>
                <w:noProof/>
                <w:sz w:val="20"/>
                <w:szCs w:val="20"/>
              </w:rPr>
              <w:t xml:space="preserve"> (Member States)</w:t>
            </w:r>
          </w:p>
          <w:p w14:paraId="0682B9E4" w14:textId="13012714" w:rsidR="2C37EBCE" w:rsidRPr="00726D52" w:rsidRDefault="00F76548" w:rsidP="000564D7">
            <w:pPr>
              <w:jc w:val="left"/>
              <w:rPr>
                <w:noProof/>
                <w:sz w:val="20"/>
                <w:szCs w:val="20"/>
              </w:rPr>
            </w:pPr>
            <w:r w:rsidRPr="00726D52">
              <w:rPr>
                <w:noProof/>
                <w:sz w:val="20"/>
                <w:szCs w:val="20"/>
              </w:rPr>
              <w:t>78.4</w:t>
            </w:r>
            <w:r w:rsidR="2C37EBCE" w:rsidRPr="00726D52">
              <w:rPr>
                <w:noProof/>
                <w:sz w:val="20"/>
                <w:szCs w:val="20"/>
              </w:rPr>
              <w:t xml:space="preserve"> (Europol)</w:t>
            </w:r>
          </w:p>
        </w:tc>
      </w:tr>
      <w:tr w:rsidR="2C37EBCE" w:rsidRPr="00726D52" w14:paraId="6435B18A"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B6D732D" w14:textId="149C1C66" w:rsidR="2C37EBCE" w:rsidRPr="00726D52" w:rsidRDefault="00A868F6" w:rsidP="000564D7">
            <w:pPr>
              <w:jc w:val="left"/>
              <w:rPr>
                <w:noProof/>
                <w:sz w:val="20"/>
                <w:szCs w:val="20"/>
              </w:rPr>
            </w:pPr>
            <w:r w:rsidRPr="00726D52">
              <w:rPr>
                <w:noProof/>
                <w:sz w:val="20"/>
                <w:szCs w:val="20"/>
              </w:rPr>
              <w:lastRenderedPageBreak/>
              <w:t>Sub p</w:t>
            </w:r>
            <w:r w:rsidR="2C37EBCE" w:rsidRPr="00726D52">
              <w:rPr>
                <w:noProof/>
                <w:sz w:val="20"/>
                <w:szCs w:val="20"/>
              </w:rPr>
              <w:t xml:space="preserve">olicy option 1.3 - </w:t>
            </w:r>
          </w:p>
          <w:p w14:paraId="792970EA" w14:textId="7936848F" w:rsidR="2C37EBCE" w:rsidRPr="00726D52" w:rsidRDefault="2C37EBCE" w:rsidP="000564D7">
            <w:pPr>
              <w:jc w:val="left"/>
              <w:rPr>
                <w:noProof/>
                <w:color w:val="000000" w:themeColor="text1"/>
                <w:sz w:val="20"/>
                <w:szCs w:val="20"/>
              </w:rPr>
            </w:pPr>
            <w:r w:rsidRPr="00726D52">
              <w:rPr>
                <w:b/>
                <w:i/>
                <w:noProof/>
                <w:color w:val="000000" w:themeColor="text1"/>
                <w:sz w:val="20"/>
                <w:szCs w:val="20"/>
              </w:rPr>
              <w:t>Automation of the Europol-Eurojust hit/ no hit mechanism</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3271A7DC" w14:textId="078F7BDB"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1E5D6058" w14:textId="5844C1F2"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4954D5E8" w14:textId="6921A521"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651567CC" w14:textId="30841827" w:rsidR="2C37EBCE" w:rsidRPr="00726D52" w:rsidRDefault="2C37EBCE" w:rsidP="000564D7">
            <w:pPr>
              <w:jc w:val="left"/>
              <w:rPr>
                <w:noProof/>
                <w:sz w:val="20"/>
                <w:szCs w:val="20"/>
              </w:rPr>
            </w:pPr>
            <w:r w:rsidRPr="00726D52">
              <w:rPr>
                <w:noProof/>
                <w:sz w:val="20"/>
                <w:szCs w:val="20"/>
              </w:rPr>
              <w:t>0 (Member States)</w:t>
            </w:r>
          </w:p>
          <w:p w14:paraId="63B00C32" w14:textId="790D46E0" w:rsidR="2C37EBCE" w:rsidRPr="00726D52" w:rsidRDefault="2C37EBCE" w:rsidP="000564D7">
            <w:pPr>
              <w:jc w:val="left"/>
              <w:rPr>
                <w:noProof/>
                <w:sz w:val="20"/>
                <w:szCs w:val="20"/>
              </w:rPr>
            </w:pPr>
            <w:r w:rsidRPr="00726D52">
              <w:rPr>
                <w:noProof/>
                <w:sz w:val="20"/>
                <w:szCs w:val="20"/>
              </w:rPr>
              <w:t>2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32B00061" w14:textId="0C659B58" w:rsidR="2C37EBCE" w:rsidRPr="00726D52" w:rsidRDefault="2C37EBCE" w:rsidP="000564D7">
            <w:pPr>
              <w:jc w:val="left"/>
              <w:rPr>
                <w:noProof/>
                <w:sz w:val="20"/>
                <w:szCs w:val="20"/>
              </w:rPr>
            </w:pPr>
            <w:r w:rsidRPr="00726D52">
              <w:rPr>
                <w:noProof/>
                <w:sz w:val="20"/>
                <w:szCs w:val="20"/>
              </w:rPr>
              <w:t>0 (Member States)</w:t>
            </w:r>
          </w:p>
          <w:p w14:paraId="0DD0E5E0" w14:textId="2E44E9E2" w:rsidR="2C37EBCE" w:rsidRPr="00726D52" w:rsidRDefault="00F76548" w:rsidP="000564D7">
            <w:pPr>
              <w:jc w:val="left"/>
              <w:rPr>
                <w:noProof/>
                <w:sz w:val="20"/>
                <w:szCs w:val="20"/>
              </w:rPr>
            </w:pPr>
            <w:r w:rsidRPr="00726D52">
              <w:rPr>
                <w:noProof/>
                <w:sz w:val="20"/>
                <w:szCs w:val="20"/>
              </w:rPr>
              <w:t xml:space="preserve">7 </w:t>
            </w:r>
            <w:r w:rsidR="2C37EBCE" w:rsidRPr="00726D52">
              <w:rPr>
                <w:noProof/>
                <w:sz w:val="20"/>
                <w:szCs w:val="20"/>
              </w:rPr>
              <w:t>(Europol)</w:t>
            </w:r>
          </w:p>
        </w:tc>
      </w:tr>
      <w:tr w:rsidR="2C37EBCE" w:rsidRPr="00726D52" w14:paraId="6C2CE543"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01F8670" w14:textId="1F652CF1"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olicy option 1.3 -</w:t>
            </w:r>
          </w:p>
          <w:p w14:paraId="6EDEA981" w14:textId="6E2048BA" w:rsidR="2C37EBCE" w:rsidRPr="00726D52" w:rsidRDefault="2C37EBCE" w:rsidP="000564D7">
            <w:pPr>
              <w:jc w:val="left"/>
              <w:rPr>
                <w:noProof/>
                <w:color w:val="000000" w:themeColor="text1"/>
                <w:sz w:val="20"/>
                <w:szCs w:val="20"/>
              </w:rPr>
            </w:pPr>
            <w:r w:rsidRPr="00726D52">
              <w:rPr>
                <w:b/>
                <w:i/>
                <w:noProof/>
                <w:color w:val="000000" w:themeColor="text1"/>
                <w:sz w:val="20"/>
                <w:szCs w:val="20"/>
              </w:rPr>
              <w:t xml:space="preserve">Institutionalisation of SIRIUS </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11F3D897" w14:textId="069E692E"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205F319" w14:textId="4F0A5197"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527624C1" w14:textId="2AF5DCE6"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16C751C8" w14:textId="714DD1CF" w:rsidR="2C37EBCE" w:rsidRPr="00726D52" w:rsidRDefault="2C37EBCE" w:rsidP="000564D7">
            <w:pPr>
              <w:jc w:val="left"/>
              <w:rPr>
                <w:noProof/>
                <w:sz w:val="20"/>
                <w:szCs w:val="20"/>
              </w:rPr>
            </w:pPr>
            <w:r w:rsidRPr="00726D52">
              <w:rPr>
                <w:noProof/>
                <w:sz w:val="20"/>
                <w:szCs w:val="20"/>
              </w:rPr>
              <w:t>0 (Member States)</w:t>
            </w:r>
          </w:p>
          <w:p w14:paraId="06DC9672" w14:textId="7C8A1CB3" w:rsidR="2C37EBCE" w:rsidRPr="00726D52" w:rsidRDefault="2C37EBCE" w:rsidP="000564D7">
            <w:pPr>
              <w:jc w:val="left"/>
              <w:rPr>
                <w:noProof/>
                <w:sz w:val="20"/>
                <w:szCs w:val="20"/>
              </w:rPr>
            </w:pPr>
            <w:r w:rsidRPr="00726D52">
              <w:rPr>
                <w:noProof/>
                <w:sz w:val="20"/>
                <w:szCs w:val="20"/>
              </w:rPr>
              <w:t>0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7C3D67FE" w14:textId="2EBE496A" w:rsidR="2C37EBCE" w:rsidRPr="00726D52" w:rsidRDefault="2C37EBCE" w:rsidP="000564D7">
            <w:pPr>
              <w:jc w:val="left"/>
              <w:rPr>
                <w:noProof/>
                <w:sz w:val="20"/>
                <w:szCs w:val="20"/>
              </w:rPr>
            </w:pPr>
            <w:r w:rsidRPr="00726D52">
              <w:rPr>
                <w:noProof/>
                <w:sz w:val="20"/>
                <w:szCs w:val="20"/>
              </w:rPr>
              <w:t>0 (Member States)</w:t>
            </w:r>
          </w:p>
          <w:p w14:paraId="756D7206" w14:textId="5BEF681D" w:rsidR="2C37EBCE" w:rsidRPr="00726D52" w:rsidRDefault="2C37EBCE" w:rsidP="000564D7">
            <w:pPr>
              <w:jc w:val="left"/>
              <w:rPr>
                <w:noProof/>
                <w:sz w:val="20"/>
                <w:szCs w:val="20"/>
              </w:rPr>
            </w:pPr>
            <w:r w:rsidRPr="00726D52">
              <w:rPr>
                <w:noProof/>
                <w:sz w:val="20"/>
                <w:szCs w:val="20"/>
              </w:rPr>
              <w:t>1 (Europol)</w:t>
            </w:r>
          </w:p>
        </w:tc>
      </w:tr>
      <w:tr w:rsidR="2C37EBCE" w:rsidRPr="00726D52" w14:paraId="4CF26B26"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3F321A0" w14:textId="0779E3E2"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 xml:space="preserve">olicy option 1.4 - </w:t>
            </w:r>
          </w:p>
          <w:p w14:paraId="0913D211" w14:textId="038BAA15" w:rsidR="2C37EBCE" w:rsidRPr="00726D52" w:rsidRDefault="2C37EBCE" w:rsidP="000564D7">
            <w:pPr>
              <w:pStyle w:val="Heading3"/>
              <w:numPr>
                <w:ilvl w:val="0"/>
                <w:numId w:val="0"/>
              </w:numPr>
              <w:jc w:val="left"/>
              <w:rPr>
                <w:iCs/>
                <w:noProof/>
                <w:color w:val="000000" w:themeColor="text1"/>
                <w:sz w:val="20"/>
              </w:rPr>
            </w:pPr>
            <w:r w:rsidRPr="00726D52">
              <w:rPr>
                <w:b/>
                <w:bCs/>
                <w:iCs/>
                <w:noProof/>
                <w:color w:val="000000" w:themeColor="text1"/>
                <w:sz w:val="20"/>
              </w:rPr>
              <w:t>Europol digital platforms embedded in national investigations</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207E8E95" w14:textId="44B38789"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28D6B5EF" w14:textId="7A8A4DF2"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62395230" w14:textId="09E42BCC"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4EADD528" w14:textId="1F2ACBC8" w:rsidR="2C37EBCE" w:rsidRPr="00726D52" w:rsidRDefault="2C37EBCE" w:rsidP="000564D7">
            <w:pPr>
              <w:jc w:val="left"/>
              <w:rPr>
                <w:noProof/>
                <w:sz w:val="20"/>
                <w:szCs w:val="20"/>
              </w:rPr>
            </w:pPr>
            <w:r w:rsidRPr="00726D52">
              <w:rPr>
                <w:noProof/>
                <w:sz w:val="20"/>
                <w:szCs w:val="20"/>
              </w:rPr>
              <w:t>105 (Member States)</w:t>
            </w:r>
          </w:p>
          <w:p w14:paraId="2C18DE31" w14:textId="336A1534" w:rsidR="2C37EBCE" w:rsidRPr="00726D52" w:rsidRDefault="2C37EBCE" w:rsidP="000564D7">
            <w:pPr>
              <w:jc w:val="left"/>
              <w:rPr>
                <w:noProof/>
                <w:sz w:val="20"/>
                <w:szCs w:val="20"/>
              </w:rPr>
            </w:pPr>
            <w:r w:rsidRPr="00726D52">
              <w:rPr>
                <w:noProof/>
                <w:sz w:val="20"/>
                <w:szCs w:val="20"/>
              </w:rPr>
              <w:t>50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4427A89E" w14:textId="24CD3EBF" w:rsidR="2C37EBCE" w:rsidRPr="00726D52" w:rsidRDefault="00514752" w:rsidP="000564D7">
            <w:pPr>
              <w:jc w:val="left"/>
              <w:rPr>
                <w:noProof/>
                <w:sz w:val="20"/>
                <w:szCs w:val="20"/>
              </w:rPr>
            </w:pPr>
            <w:r w:rsidRPr="00726D52">
              <w:rPr>
                <w:noProof/>
                <w:sz w:val="20"/>
                <w:szCs w:val="20"/>
              </w:rPr>
              <w:t xml:space="preserve">140 </w:t>
            </w:r>
            <w:r w:rsidR="2C37EBCE" w:rsidRPr="00726D52">
              <w:rPr>
                <w:noProof/>
                <w:sz w:val="20"/>
                <w:szCs w:val="20"/>
              </w:rPr>
              <w:t>(Member States)</w:t>
            </w:r>
          </w:p>
          <w:p w14:paraId="415727A1" w14:textId="70ECEF57" w:rsidR="2C37EBCE" w:rsidRPr="00726D52" w:rsidRDefault="00514752" w:rsidP="000564D7">
            <w:pPr>
              <w:jc w:val="left"/>
              <w:rPr>
                <w:noProof/>
                <w:sz w:val="20"/>
                <w:szCs w:val="20"/>
              </w:rPr>
            </w:pPr>
            <w:r w:rsidRPr="00726D52">
              <w:rPr>
                <w:noProof/>
                <w:sz w:val="20"/>
                <w:szCs w:val="20"/>
              </w:rPr>
              <w:t xml:space="preserve">56 </w:t>
            </w:r>
            <w:r w:rsidR="2C37EBCE" w:rsidRPr="00726D52">
              <w:rPr>
                <w:noProof/>
                <w:sz w:val="20"/>
                <w:szCs w:val="20"/>
              </w:rPr>
              <w:t>(Europol)</w:t>
            </w:r>
          </w:p>
        </w:tc>
      </w:tr>
      <w:tr w:rsidR="2C37EBCE" w:rsidRPr="00726D52" w14:paraId="2A14BB9B"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639E8198" w14:textId="6A280FC5"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 xml:space="preserve">olicy option 2.1 - </w:t>
            </w:r>
          </w:p>
          <w:p w14:paraId="09A7F7FA" w14:textId="6E7A2181" w:rsidR="2C37EBCE" w:rsidRPr="00726D52" w:rsidRDefault="2C37EBCE" w:rsidP="000564D7">
            <w:pPr>
              <w:jc w:val="left"/>
              <w:rPr>
                <w:noProof/>
                <w:color w:val="000000" w:themeColor="text1"/>
                <w:sz w:val="20"/>
                <w:szCs w:val="20"/>
              </w:rPr>
            </w:pPr>
            <w:r w:rsidRPr="00726D52">
              <w:rPr>
                <w:b/>
                <w:i/>
                <w:noProof/>
                <w:color w:val="000000" w:themeColor="text1"/>
                <w:sz w:val="20"/>
                <w:szCs w:val="20"/>
              </w:rPr>
              <w:t>Access to national databases</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2191F661" w14:textId="4B85BC9C"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0E309AAA" w14:textId="1FF6F695"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2321D33A" w14:textId="7B4BFDCD"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365A1600" w14:textId="1782E142" w:rsidR="2C37EBCE" w:rsidRPr="00726D52" w:rsidRDefault="2C37EBCE" w:rsidP="000564D7">
            <w:pPr>
              <w:jc w:val="left"/>
              <w:rPr>
                <w:noProof/>
                <w:sz w:val="20"/>
                <w:szCs w:val="20"/>
              </w:rPr>
            </w:pPr>
            <w:r w:rsidRPr="00726D52">
              <w:rPr>
                <w:noProof/>
                <w:sz w:val="20"/>
                <w:szCs w:val="20"/>
              </w:rPr>
              <w:t>0 (Member States)</w:t>
            </w:r>
          </w:p>
          <w:p w14:paraId="5436573F" w14:textId="3A61EFA2" w:rsidR="2C37EBCE" w:rsidRPr="00726D52" w:rsidRDefault="2C37EBCE" w:rsidP="000564D7">
            <w:pPr>
              <w:jc w:val="left"/>
              <w:rPr>
                <w:noProof/>
                <w:sz w:val="20"/>
                <w:szCs w:val="20"/>
              </w:rPr>
            </w:pPr>
            <w:r w:rsidRPr="00726D52">
              <w:rPr>
                <w:noProof/>
                <w:sz w:val="20"/>
                <w:szCs w:val="20"/>
              </w:rPr>
              <w:t>6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32BC53B8" w14:textId="71479D19" w:rsidR="2C37EBCE" w:rsidRPr="00726D52" w:rsidRDefault="2C37EBCE" w:rsidP="000564D7">
            <w:pPr>
              <w:jc w:val="left"/>
              <w:rPr>
                <w:noProof/>
                <w:sz w:val="20"/>
                <w:szCs w:val="20"/>
              </w:rPr>
            </w:pPr>
            <w:r w:rsidRPr="00726D52">
              <w:rPr>
                <w:noProof/>
                <w:sz w:val="20"/>
                <w:szCs w:val="20"/>
              </w:rPr>
              <w:t>0 (Member States)</w:t>
            </w:r>
          </w:p>
          <w:p w14:paraId="18DE6779" w14:textId="24908708" w:rsidR="2C37EBCE" w:rsidRPr="00726D52" w:rsidRDefault="00514752" w:rsidP="000564D7">
            <w:pPr>
              <w:jc w:val="left"/>
              <w:rPr>
                <w:noProof/>
                <w:sz w:val="20"/>
                <w:szCs w:val="20"/>
              </w:rPr>
            </w:pPr>
            <w:r w:rsidRPr="00726D52">
              <w:rPr>
                <w:noProof/>
                <w:sz w:val="20"/>
                <w:szCs w:val="20"/>
              </w:rPr>
              <w:t>30.1</w:t>
            </w:r>
            <w:r w:rsidR="2C37EBCE" w:rsidRPr="00726D52">
              <w:rPr>
                <w:noProof/>
                <w:sz w:val="20"/>
                <w:szCs w:val="20"/>
              </w:rPr>
              <w:t xml:space="preserve"> (Europol)</w:t>
            </w:r>
          </w:p>
        </w:tc>
      </w:tr>
      <w:tr w:rsidR="2C37EBCE" w:rsidRPr="00726D52" w14:paraId="67D193F3"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E312D17" w14:textId="1DF1DB06"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 xml:space="preserve">olicy option 2.1 - </w:t>
            </w:r>
          </w:p>
          <w:p w14:paraId="276DB6EE" w14:textId="7A6F1E96" w:rsidR="2C37EBCE" w:rsidRPr="00726D52" w:rsidRDefault="2C37EBCE" w:rsidP="000564D7">
            <w:pPr>
              <w:jc w:val="left"/>
              <w:rPr>
                <w:noProof/>
                <w:color w:val="000000" w:themeColor="text1"/>
                <w:sz w:val="20"/>
                <w:szCs w:val="20"/>
              </w:rPr>
            </w:pPr>
            <w:r w:rsidRPr="00726D52">
              <w:rPr>
                <w:b/>
                <w:i/>
                <w:noProof/>
                <w:color w:val="000000" w:themeColor="text1"/>
                <w:sz w:val="20"/>
                <w:szCs w:val="20"/>
              </w:rPr>
              <w:t>DNA matcher</w:t>
            </w:r>
          </w:p>
          <w:p w14:paraId="7FDD791B" w14:textId="5FA986A2" w:rsidR="2C37EBCE" w:rsidRPr="00726D52" w:rsidRDefault="2C37EBCE" w:rsidP="000564D7">
            <w:pPr>
              <w:jc w:val="left"/>
              <w:rPr>
                <w:noProof/>
                <w:sz w:val="20"/>
                <w:szCs w:val="20"/>
              </w:rPr>
            </w:pP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2A9C474E" w14:textId="5F74F5A3" w:rsidR="2C37EBCE" w:rsidRPr="00726D52" w:rsidRDefault="2C37EBCE" w:rsidP="2C37EBCE">
            <w:pPr>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F48E98E" w14:textId="4BA206D9"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0FAA2154" w14:textId="08BBFE99"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3D314C43" w14:textId="23E05F49" w:rsidR="2C37EBCE" w:rsidRPr="00726D52" w:rsidRDefault="2C37EBCE" w:rsidP="000564D7">
            <w:pPr>
              <w:jc w:val="left"/>
              <w:rPr>
                <w:noProof/>
                <w:sz w:val="20"/>
                <w:szCs w:val="20"/>
              </w:rPr>
            </w:pPr>
            <w:r w:rsidRPr="00726D52">
              <w:rPr>
                <w:noProof/>
                <w:sz w:val="20"/>
                <w:szCs w:val="20"/>
              </w:rPr>
              <w:t>1.35 (Member States)</w:t>
            </w:r>
          </w:p>
          <w:p w14:paraId="5869124F" w14:textId="39CD94F8" w:rsidR="2C37EBCE" w:rsidRPr="00726D52" w:rsidRDefault="2C37EBCE" w:rsidP="000564D7">
            <w:pPr>
              <w:jc w:val="left"/>
              <w:rPr>
                <w:noProof/>
                <w:sz w:val="20"/>
                <w:szCs w:val="20"/>
              </w:rPr>
            </w:pPr>
            <w:r w:rsidRPr="00726D52">
              <w:rPr>
                <w:noProof/>
                <w:sz w:val="20"/>
                <w:szCs w:val="20"/>
              </w:rPr>
              <w:t>5 (Europol)</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0FDB118D" w14:textId="1CED75BA" w:rsidR="2C37EBCE" w:rsidRPr="00726D52" w:rsidRDefault="2C37EBCE" w:rsidP="000564D7">
            <w:pPr>
              <w:jc w:val="left"/>
              <w:rPr>
                <w:noProof/>
                <w:sz w:val="20"/>
                <w:szCs w:val="20"/>
              </w:rPr>
            </w:pPr>
          </w:p>
          <w:p w14:paraId="164FE783" w14:textId="344D12BE" w:rsidR="2C37EBCE" w:rsidRPr="00726D52" w:rsidRDefault="00514752" w:rsidP="000564D7">
            <w:pPr>
              <w:jc w:val="left"/>
              <w:rPr>
                <w:noProof/>
                <w:sz w:val="20"/>
                <w:szCs w:val="20"/>
              </w:rPr>
            </w:pPr>
            <w:r w:rsidRPr="00726D52">
              <w:rPr>
                <w:noProof/>
                <w:sz w:val="20"/>
                <w:szCs w:val="20"/>
              </w:rPr>
              <w:t>2.1</w:t>
            </w:r>
            <w:r w:rsidR="2C37EBCE" w:rsidRPr="00726D52">
              <w:rPr>
                <w:noProof/>
                <w:sz w:val="20"/>
                <w:szCs w:val="20"/>
              </w:rPr>
              <w:t xml:space="preserve"> (Member States)</w:t>
            </w:r>
          </w:p>
          <w:p w14:paraId="04D42624" w14:textId="0BD4DC7E" w:rsidR="2C37EBCE" w:rsidRPr="00726D52" w:rsidRDefault="00514752" w:rsidP="000564D7">
            <w:pPr>
              <w:jc w:val="left"/>
              <w:rPr>
                <w:noProof/>
                <w:sz w:val="20"/>
                <w:szCs w:val="20"/>
              </w:rPr>
            </w:pPr>
            <w:r w:rsidRPr="00726D52">
              <w:rPr>
                <w:noProof/>
                <w:sz w:val="20"/>
                <w:szCs w:val="20"/>
              </w:rPr>
              <w:t xml:space="preserve">14 </w:t>
            </w:r>
            <w:r w:rsidR="2C37EBCE" w:rsidRPr="00726D52">
              <w:rPr>
                <w:noProof/>
                <w:sz w:val="20"/>
                <w:szCs w:val="20"/>
              </w:rPr>
              <w:t>(Europol)</w:t>
            </w:r>
          </w:p>
          <w:p w14:paraId="196D46EB" w14:textId="6DDC0C15" w:rsidR="2C37EBCE" w:rsidRPr="00726D52" w:rsidRDefault="2C37EBCE" w:rsidP="000564D7">
            <w:pPr>
              <w:jc w:val="left"/>
              <w:rPr>
                <w:noProof/>
                <w:sz w:val="20"/>
                <w:szCs w:val="20"/>
              </w:rPr>
            </w:pPr>
          </w:p>
        </w:tc>
      </w:tr>
      <w:tr w:rsidR="2C37EBCE" w:rsidRPr="00726D52" w14:paraId="684182AD"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22F34A45" w14:textId="626C4294" w:rsidR="2C37EBCE" w:rsidRPr="00726D52" w:rsidRDefault="00A868F6" w:rsidP="000564D7">
            <w:pPr>
              <w:jc w:val="left"/>
              <w:rPr>
                <w:noProof/>
                <w:sz w:val="20"/>
                <w:szCs w:val="20"/>
              </w:rPr>
            </w:pPr>
            <w:r w:rsidRPr="00726D52">
              <w:rPr>
                <w:noProof/>
                <w:sz w:val="20"/>
                <w:szCs w:val="20"/>
              </w:rPr>
              <w:t>Sub p</w:t>
            </w:r>
            <w:r w:rsidR="2C37EBCE" w:rsidRPr="00726D52">
              <w:rPr>
                <w:noProof/>
                <w:sz w:val="20"/>
                <w:szCs w:val="20"/>
              </w:rPr>
              <w:t xml:space="preserve">olicy option 2.2 - </w:t>
            </w:r>
          </w:p>
          <w:p w14:paraId="09BB7AA7" w14:textId="660F6230" w:rsidR="2C37EBCE" w:rsidRPr="00726D52" w:rsidRDefault="2C37EBCE" w:rsidP="000564D7">
            <w:pPr>
              <w:pStyle w:val="Heading3"/>
              <w:numPr>
                <w:ilvl w:val="0"/>
                <w:numId w:val="0"/>
              </w:numPr>
              <w:jc w:val="left"/>
              <w:rPr>
                <w:iCs/>
                <w:noProof/>
                <w:color w:val="000000" w:themeColor="text1"/>
                <w:sz w:val="20"/>
              </w:rPr>
            </w:pPr>
            <w:r w:rsidRPr="00726D52">
              <w:rPr>
                <w:b/>
                <w:noProof/>
                <w:color w:val="000000" w:themeColor="text1"/>
                <w:sz w:val="20"/>
              </w:rPr>
              <w:t xml:space="preserve">Simplified rules to </w:t>
            </w:r>
            <w:r w:rsidR="00415AEB" w:rsidRPr="00726D52">
              <w:rPr>
                <w:b/>
                <w:noProof/>
                <w:color w:val="000000" w:themeColor="text1"/>
                <w:sz w:val="20"/>
              </w:rPr>
              <w:t>reduce the administrative burden</w:t>
            </w:r>
            <w:r w:rsidRPr="00726D52">
              <w:rPr>
                <w:b/>
                <w:noProof/>
                <w:color w:val="000000" w:themeColor="text1"/>
                <w:sz w:val="20"/>
              </w:rPr>
              <w:t xml:space="preserve"> of data subject categorisation</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08B8CDF2" w14:textId="2E2EBD2A"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36C779E8" w14:textId="120E4DD2"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23F77736" w14:textId="1809D3B7"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3CB44BB7" w14:textId="23F8F6D6" w:rsidR="2C37EBCE" w:rsidRPr="00726D52" w:rsidRDefault="2C37EBCE" w:rsidP="000564D7">
            <w:pPr>
              <w:jc w:val="left"/>
              <w:rPr>
                <w:noProof/>
                <w:sz w:val="20"/>
                <w:szCs w:val="20"/>
              </w:rPr>
            </w:pPr>
            <w:r w:rsidRPr="00726D52">
              <w:rPr>
                <w:noProof/>
                <w:sz w:val="20"/>
                <w:szCs w:val="20"/>
              </w:rPr>
              <w:t>0</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4D119AF7" w14:textId="708B1FA7" w:rsidR="2C37EBCE" w:rsidRPr="00726D52" w:rsidRDefault="2C37EBCE" w:rsidP="000564D7">
            <w:pPr>
              <w:jc w:val="left"/>
              <w:rPr>
                <w:noProof/>
                <w:sz w:val="20"/>
                <w:szCs w:val="20"/>
              </w:rPr>
            </w:pPr>
            <w:r w:rsidRPr="00726D52">
              <w:rPr>
                <w:noProof/>
                <w:sz w:val="20"/>
                <w:szCs w:val="20"/>
              </w:rPr>
              <w:t>0</w:t>
            </w:r>
          </w:p>
        </w:tc>
      </w:tr>
      <w:tr w:rsidR="2C37EBCE" w:rsidRPr="00726D52" w14:paraId="1EAC2045"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030FE580" w14:textId="7695CAAA" w:rsidR="2C37EBCE" w:rsidRPr="00726D52" w:rsidRDefault="00A868F6" w:rsidP="000564D7">
            <w:pPr>
              <w:spacing w:after="0"/>
              <w:jc w:val="left"/>
              <w:rPr>
                <w:noProof/>
                <w:sz w:val="20"/>
                <w:szCs w:val="20"/>
              </w:rPr>
            </w:pPr>
            <w:r w:rsidRPr="00726D52">
              <w:rPr>
                <w:noProof/>
                <w:sz w:val="20"/>
                <w:szCs w:val="20"/>
              </w:rPr>
              <w:t>Sub p</w:t>
            </w:r>
            <w:r w:rsidR="2C37EBCE" w:rsidRPr="00726D52">
              <w:rPr>
                <w:noProof/>
                <w:sz w:val="20"/>
                <w:szCs w:val="20"/>
              </w:rPr>
              <w:t xml:space="preserve">olicy option 2.3 - </w:t>
            </w:r>
          </w:p>
          <w:p w14:paraId="79F44EAE" w14:textId="4CE706FC" w:rsidR="2C37EBCE" w:rsidRPr="00726D52" w:rsidRDefault="2C37EBCE" w:rsidP="000564D7">
            <w:pPr>
              <w:spacing w:after="0"/>
              <w:jc w:val="left"/>
              <w:rPr>
                <w:noProof/>
                <w:sz w:val="20"/>
                <w:szCs w:val="20"/>
              </w:rPr>
            </w:pPr>
          </w:p>
          <w:p w14:paraId="05F2B5F2" w14:textId="5DAFAC33" w:rsidR="2C37EBCE" w:rsidRPr="00726D52" w:rsidRDefault="2C37EBCE" w:rsidP="000564D7">
            <w:pPr>
              <w:pStyle w:val="Heading3"/>
              <w:numPr>
                <w:ilvl w:val="0"/>
                <w:numId w:val="0"/>
              </w:numPr>
              <w:spacing w:after="0"/>
              <w:jc w:val="left"/>
              <w:rPr>
                <w:iCs/>
                <w:noProof/>
                <w:color w:val="000000" w:themeColor="text1"/>
                <w:sz w:val="20"/>
              </w:rPr>
            </w:pPr>
            <w:r w:rsidRPr="00726D52">
              <w:rPr>
                <w:b/>
                <w:noProof/>
                <w:color w:val="000000" w:themeColor="text1"/>
                <w:sz w:val="20"/>
              </w:rPr>
              <w:t xml:space="preserve">Europol as structural provider of information, </w:t>
            </w:r>
            <w:r w:rsidRPr="00726D52">
              <w:rPr>
                <w:b/>
                <w:noProof/>
                <w:color w:val="000000" w:themeColor="text1"/>
                <w:sz w:val="20"/>
              </w:rPr>
              <w:lastRenderedPageBreak/>
              <w:t xml:space="preserve">analytical support and capabilities to the EPPO </w:t>
            </w:r>
          </w:p>
        </w:tc>
        <w:tc>
          <w:tcPr>
            <w:tcW w:w="1432"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3DF0C400" w14:textId="35C51E78" w:rsidR="2C37EBCE" w:rsidRPr="00726D52" w:rsidRDefault="2C37EBCE" w:rsidP="2C37EBCE">
            <w:pPr>
              <w:spacing w:after="0"/>
              <w:jc w:val="left"/>
              <w:rPr>
                <w:noProof/>
                <w:sz w:val="20"/>
                <w:szCs w:val="20"/>
              </w:rPr>
            </w:pPr>
            <w:r w:rsidRPr="00726D52">
              <w:rPr>
                <w:noProof/>
                <w:sz w:val="20"/>
                <w:szCs w:val="20"/>
              </w:rPr>
              <w:lastRenderedPageBreak/>
              <w:t>Direct costs</w:t>
            </w:r>
          </w:p>
        </w:tc>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062409DD" w14:textId="0930CABB" w:rsidR="2C37EBCE" w:rsidRPr="00726D52" w:rsidRDefault="2C37EBCE" w:rsidP="000564D7">
            <w:pPr>
              <w:spacing w:after="0"/>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2FF6627B" w14:textId="496F9603" w:rsidR="2C37EBCE" w:rsidRPr="00726D52" w:rsidRDefault="2C37EBCE" w:rsidP="000564D7">
            <w:pPr>
              <w:spacing w:after="0"/>
              <w:jc w:val="left"/>
              <w:rPr>
                <w:noProof/>
                <w:sz w:val="20"/>
                <w:szCs w:val="20"/>
              </w:rPr>
            </w:pPr>
            <w:r w:rsidRPr="00726D52">
              <w:rPr>
                <w:noProof/>
                <w:sz w:val="20"/>
                <w:szCs w:val="20"/>
              </w:rPr>
              <w:t>N/A</w:t>
            </w:r>
          </w:p>
        </w:tc>
        <w:tc>
          <w:tcPr>
            <w:tcW w:w="1441"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vAlign w:val="center"/>
          </w:tcPr>
          <w:p w14:paraId="61F93301" w14:textId="131A43C0" w:rsidR="2C37EBCE" w:rsidRPr="00726D52" w:rsidRDefault="2C37EBCE" w:rsidP="000564D7">
            <w:pPr>
              <w:spacing w:after="0"/>
              <w:jc w:val="left"/>
              <w:rPr>
                <w:noProof/>
                <w:sz w:val="20"/>
                <w:szCs w:val="20"/>
              </w:rPr>
            </w:pPr>
            <w:r w:rsidRPr="00726D52">
              <w:rPr>
                <w:noProof/>
                <w:sz w:val="20"/>
                <w:szCs w:val="20"/>
              </w:rPr>
              <w:t>0</w:t>
            </w:r>
          </w:p>
        </w:tc>
        <w:tc>
          <w:tcPr>
            <w:tcW w:w="1433" w:type="dxa"/>
            <w:tcBorders>
              <w:top w:val="single" w:sz="6" w:space="0" w:color="auto"/>
              <w:left w:val="single" w:sz="6" w:space="0" w:color="auto"/>
              <w:bottom w:val="single" w:sz="6" w:space="0" w:color="auto"/>
              <w:right w:val="double" w:sz="6" w:space="0" w:color="auto"/>
            </w:tcBorders>
            <w:tcMar>
              <w:top w:w="45" w:type="dxa"/>
              <w:left w:w="45" w:type="dxa"/>
              <w:bottom w:w="45" w:type="dxa"/>
              <w:right w:w="45" w:type="dxa"/>
            </w:tcMar>
            <w:vAlign w:val="center"/>
          </w:tcPr>
          <w:p w14:paraId="0C558FAB" w14:textId="11EC5808" w:rsidR="2C37EBCE" w:rsidRPr="00726D52" w:rsidRDefault="2C37EBCE" w:rsidP="000564D7">
            <w:pPr>
              <w:spacing w:after="0"/>
              <w:jc w:val="left"/>
              <w:rPr>
                <w:noProof/>
                <w:sz w:val="20"/>
                <w:szCs w:val="20"/>
              </w:rPr>
            </w:pPr>
            <w:r w:rsidRPr="00726D52">
              <w:rPr>
                <w:noProof/>
                <w:sz w:val="20"/>
                <w:szCs w:val="20"/>
              </w:rPr>
              <w:t>0 (Member States)</w:t>
            </w:r>
          </w:p>
          <w:p w14:paraId="4A8CA367" w14:textId="2E5E3224" w:rsidR="2C37EBCE" w:rsidRPr="00726D52" w:rsidRDefault="2C37EBCE" w:rsidP="000564D7">
            <w:pPr>
              <w:spacing w:after="0"/>
              <w:jc w:val="left"/>
              <w:rPr>
                <w:noProof/>
                <w:sz w:val="20"/>
                <w:szCs w:val="20"/>
              </w:rPr>
            </w:pPr>
          </w:p>
          <w:p w14:paraId="71BD7017" w14:textId="39880DF1" w:rsidR="2C37EBCE" w:rsidRPr="00726D52" w:rsidRDefault="00A32F66" w:rsidP="000564D7">
            <w:pPr>
              <w:spacing w:after="0"/>
              <w:jc w:val="left"/>
              <w:rPr>
                <w:noProof/>
                <w:sz w:val="20"/>
                <w:szCs w:val="20"/>
              </w:rPr>
            </w:pPr>
            <w:r w:rsidRPr="00726D52">
              <w:rPr>
                <w:noProof/>
                <w:sz w:val="20"/>
                <w:szCs w:val="20"/>
              </w:rPr>
              <w:t>77.7</w:t>
            </w:r>
            <w:r w:rsidR="2C37EBCE" w:rsidRPr="00726D52">
              <w:rPr>
                <w:noProof/>
                <w:sz w:val="20"/>
                <w:szCs w:val="20"/>
              </w:rPr>
              <w:t xml:space="preserve"> (Europol)</w:t>
            </w:r>
          </w:p>
        </w:tc>
      </w:tr>
      <w:tr w:rsidR="2C37EBCE" w:rsidRPr="00726D52" w14:paraId="5C62513C"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1FD2476F" w14:textId="629B7ABC" w:rsidR="2C37EBCE" w:rsidRPr="0016503D" w:rsidRDefault="00A868F6" w:rsidP="000564D7">
            <w:pPr>
              <w:jc w:val="left"/>
              <w:rPr>
                <w:noProof/>
                <w:sz w:val="20"/>
                <w:szCs w:val="20"/>
                <w:lang w:val="fr-BE"/>
              </w:rPr>
            </w:pPr>
            <w:r w:rsidRPr="0016503D">
              <w:rPr>
                <w:noProof/>
                <w:sz w:val="20"/>
                <w:szCs w:val="20"/>
                <w:lang w:val="fr-BE"/>
              </w:rPr>
              <w:t>Sub p</w:t>
            </w:r>
            <w:r w:rsidR="2C37EBCE" w:rsidRPr="0016503D">
              <w:rPr>
                <w:noProof/>
                <w:sz w:val="20"/>
                <w:szCs w:val="20"/>
                <w:lang w:val="fr-BE"/>
              </w:rPr>
              <w:t xml:space="preserve">olicy option 2.4 - </w:t>
            </w:r>
          </w:p>
          <w:p w14:paraId="70A9702F" w14:textId="58A882B5" w:rsidR="2C37EBCE" w:rsidRPr="0016503D" w:rsidRDefault="2C37EBCE" w:rsidP="000564D7">
            <w:pPr>
              <w:pStyle w:val="Heading3"/>
              <w:numPr>
                <w:ilvl w:val="0"/>
                <w:numId w:val="0"/>
              </w:numPr>
              <w:jc w:val="left"/>
              <w:rPr>
                <w:iCs/>
                <w:noProof/>
                <w:color w:val="000000" w:themeColor="text1"/>
                <w:sz w:val="20"/>
                <w:lang w:val="fr-BE"/>
              </w:rPr>
            </w:pPr>
            <w:r w:rsidRPr="0016503D">
              <w:rPr>
                <w:b/>
                <w:noProof/>
                <w:color w:val="000000" w:themeColor="text1"/>
                <w:sz w:val="20"/>
                <w:lang w:val="fr-BE"/>
              </w:rPr>
              <w:t xml:space="preserve">EU Police Cloud </w:t>
            </w:r>
          </w:p>
        </w:tc>
        <w:tc>
          <w:tcPr>
            <w:tcW w:w="1432"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vAlign w:val="center"/>
          </w:tcPr>
          <w:p w14:paraId="5027FD4B" w14:textId="0D149274" w:rsidR="2C37EBCE" w:rsidRPr="00726D52" w:rsidRDefault="2C37EBCE" w:rsidP="2C37EBCE">
            <w:pPr>
              <w:spacing w:after="0"/>
              <w:jc w:val="left"/>
              <w:rPr>
                <w:noProof/>
                <w:sz w:val="20"/>
                <w:szCs w:val="20"/>
              </w:rPr>
            </w:pPr>
            <w:r w:rsidRPr="00726D52">
              <w:rPr>
                <w:noProof/>
                <w:sz w:val="20"/>
                <w:szCs w:val="20"/>
              </w:rPr>
              <w:t>Direct costs</w:t>
            </w:r>
          </w:p>
        </w:tc>
        <w:tc>
          <w:tcPr>
            <w:tcW w:w="1432" w:type="dxa"/>
            <w:tcBorders>
              <w:top w:val="single" w:sz="6" w:space="0" w:color="auto"/>
              <w:left w:val="double" w:sz="6" w:space="0" w:color="auto"/>
              <w:bottom w:val="double" w:sz="6" w:space="0" w:color="auto"/>
              <w:right w:val="single" w:sz="6" w:space="0" w:color="auto"/>
            </w:tcBorders>
            <w:tcMar>
              <w:top w:w="45" w:type="dxa"/>
              <w:left w:w="45" w:type="dxa"/>
              <w:bottom w:w="45" w:type="dxa"/>
              <w:right w:w="45" w:type="dxa"/>
            </w:tcMar>
            <w:vAlign w:val="center"/>
          </w:tcPr>
          <w:p w14:paraId="32C9D6FA" w14:textId="47EE145D"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vAlign w:val="center"/>
          </w:tcPr>
          <w:p w14:paraId="4BA54C65" w14:textId="3A13C317" w:rsidR="2C37EBCE" w:rsidRPr="00726D52" w:rsidRDefault="2C37EBCE" w:rsidP="000564D7">
            <w:pPr>
              <w:jc w:val="left"/>
              <w:rPr>
                <w:noProof/>
                <w:sz w:val="20"/>
                <w:szCs w:val="20"/>
              </w:rPr>
            </w:pPr>
            <w:r w:rsidRPr="00726D52">
              <w:rPr>
                <w:noProof/>
                <w:sz w:val="20"/>
                <w:szCs w:val="20"/>
              </w:rPr>
              <w:t>N/A</w:t>
            </w: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vAlign w:val="center"/>
          </w:tcPr>
          <w:p w14:paraId="104EC4FA" w14:textId="375FC5DD" w:rsidR="2C37EBCE" w:rsidRPr="00726D52" w:rsidRDefault="2C37EBCE" w:rsidP="000564D7">
            <w:pPr>
              <w:jc w:val="left"/>
              <w:rPr>
                <w:noProof/>
                <w:sz w:val="20"/>
                <w:szCs w:val="20"/>
              </w:rPr>
            </w:pPr>
            <w:r w:rsidRPr="00726D52">
              <w:rPr>
                <w:noProof/>
                <w:sz w:val="20"/>
                <w:szCs w:val="20"/>
              </w:rPr>
              <w:t>13.5 (Member States)</w:t>
            </w:r>
          </w:p>
          <w:p w14:paraId="125766B3" w14:textId="059E37F6" w:rsidR="2C37EBCE" w:rsidRPr="00726D52" w:rsidRDefault="00364670" w:rsidP="000564D7">
            <w:pPr>
              <w:jc w:val="left"/>
              <w:rPr>
                <w:noProof/>
                <w:sz w:val="20"/>
                <w:szCs w:val="20"/>
              </w:rPr>
            </w:pPr>
            <w:r w:rsidRPr="00726D52">
              <w:rPr>
                <w:noProof/>
                <w:sz w:val="20"/>
                <w:szCs w:val="20"/>
              </w:rPr>
              <w:t>143.</w:t>
            </w:r>
            <w:r w:rsidR="002A23B0" w:rsidRPr="00726D52">
              <w:rPr>
                <w:noProof/>
                <w:sz w:val="20"/>
                <w:szCs w:val="20"/>
              </w:rPr>
              <w:t xml:space="preserve">7 </w:t>
            </w:r>
            <w:r w:rsidR="2C37EBCE" w:rsidRPr="00726D52">
              <w:rPr>
                <w:noProof/>
                <w:sz w:val="20"/>
                <w:szCs w:val="20"/>
              </w:rPr>
              <w:t>(Europol)</w:t>
            </w:r>
          </w:p>
        </w:tc>
        <w:tc>
          <w:tcPr>
            <w:tcW w:w="1433"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vAlign w:val="center"/>
          </w:tcPr>
          <w:p w14:paraId="2F710CD7" w14:textId="76FD523D" w:rsidR="2C37EBCE" w:rsidRPr="00726D52" w:rsidRDefault="00A32F66" w:rsidP="000564D7">
            <w:pPr>
              <w:jc w:val="left"/>
              <w:rPr>
                <w:noProof/>
                <w:sz w:val="20"/>
                <w:szCs w:val="20"/>
              </w:rPr>
            </w:pPr>
            <w:r w:rsidRPr="00726D52">
              <w:rPr>
                <w:noProof/>
                <w:sz w:val="20"/>
                <w:szCs w:val="20"/>
              </w:rPr>
              <w:t>4.2</w:t>
            </w:r>
            <w:r w:rsidR="2C37EBCE" w:rsidRPr="00726D52">
              <w:rPr>
                <w:noProof/>
                <w:sz w:val="20"/>
                <w:szCs w:val="20"/>
              </w:rPr>
              <w:t xml:space="preserve"> (Member States)</w:t>
            </w:r>
          </w:p>
          <w:p w14:paraId="01E9B7E1" w14:textId="6F48D40F" w:rsidR="2C37EBCE" w:rsidRPr="00726D52" w:rsidRDefault="00A32F66" w:rsidP="000564D7">
            <w:pPr>
              <w:jc w:val="left"/>
              <w:rPr>
                <w:noProof/>
                <w:sz w:val="20"/>
                <w:szCs w:val="20"/>
              </w:rPr>
            </w:pPr>
            <w:r w:rsidRPr="00726D52">
              <w:rPr>
                <w:noProof/>
                <w:sz w:val="20"/>
                <w:szCs w:val="20"/>
              </w:rPr>
              <w:t>278.6</w:t>
            </w:r>
            <w:r w:rsidR="00B73F2C" w:rsidRPr="00726D52">
              <w:rPr>
                <w:noProof/>
                <w:sz w:val="20"/>
                <w:szCs w:val="20"/>
              </w:rPr>
              <w:t xml:space="preserve"> </w:t>
            </w:r>
            <w:r w:rsidR="2C37EBCE" w:rsidRPr="00726D52">
              <w:rPr>
                <w:noProof/>
                <w:sz w:val="20"/>
                <w:szCs w:val="20"/>
              </w:rPr>
              <w:t>(Europol)</w:t>
            </w:r>
          </w:p>
        </w:tc>
      </w:tr>
      <w:tr w:rsidR="2C37EBCE" w:rsidRPr="00726D52" w14:paraId="7CD98E85" w14:textId="77777777" w:rsidTr="2C37EBCE">
        <w:trPr>
          <w:trHeight w:val="300"/>
        </w:trPr>
        <w:tc>
          <w:tcPr>
            <w:tcW w:w="1432" w:type="dxa"/>
            <w:tcBorders>
              <w:top w:val="single" w:sz="6" w:space="0" w:color="auto"/>
              <w:left w:val="double" w:sz="6" w:space="0" w:color="auto"/>
              <w:bottom w:val="single" w:sz="6" w:space="0" w:color="auto"/>
              <w:right w:val="single" w:sz="6" w:space="0" w:color="auto"/>
            </w:tcBorders>
            <w:tcMar>
              <w:top w:w="45" w:type="dxa"/>
              <w:left w:w="45" w:type="dxa"/>
              <w:bottom w:w="45" w:type="dxa"/>
              <w:right w:w="45" w:type="dxa"/>
            </w:tcMar>
            <w:vAlign w:val="center"/>
          </w:tcPr>
          <w:p w14:paraId="7A8F98BB" w14:textId="5534D48F" w:rsidR="2C37EBCE" w:rsidRPr="0016503D" w:rsidRDefault="00C54812" w:rsidP="000564D7">
            <w:pPr>
              <w:jc w:val="left"/>
              <w:rPr>
                <w:noProof/>
                <w:sz w:val="20"/>
                <w:szCs w:val="20"/>
                <w:lang w:val="fr-BE"/>
              </w:rPr>
            </w:pPr>
            <w:r w:rsidRPr="0016503D">
              <w:rPr>
                <w:noProof/>
                <w:sz w:val="20"/>
                <w:szCs w:val="20"/>
                <w:lang w:val="fr-BE"/>
              </w:rPr>
              <w:t>Sub p</w:t>
            </w:r>
            <w:r w:rsidR="2C37EBCE" w:rsidRPr="0016503D">
              <w:rPr>
                <w:noProof/>
                <w:sz w:val="20"/>
                <w:szCs w:val="20"/>
                <w:lang w:val="fr-BE"/>
              </w:rPr>
              <w:t>olicy option 2.4 -</w:t>
            </w:r>
          </w:p>
          <w:p w14:paraId="2F8E028C" w14:textId="6BDECA33" w:rsidR="2C37EBCE" w:rsidRPr="0016503D" w:rsidRDefault="2C37EBCE" w:rsidP="000564D7">
            <w:pPr>
              <w:jc w:val="left"/>
              <w:rPr>
                <w:noProof/>
                <w:sz w:val="20"/>
                <w:szCs w:val="20"/>
                <w:lang w:val="fr-BE"/>
              </w:rPr>
            </w:pPr>
            <w:r w:rsidRPr="0016503D">
              <w:rPr>
                <w:b/>
                <w:i/>
                <w:noProof/>
                <w:sz w:val="20"/>
                <w:szCs w:val="20"/>
                <w:lang w:val="fr-BE"/>
              </w:rPr>
              <w:t>EU Police Digital ID</w:t>
            </w:r>
          </w:p>
        </w:tc>
        <w:tc>
          <w:tcPr>
            <w:tcW w:w="1432"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vAlign w:val="center"/>
          </w:tcPr>
          <w:p w14:paraId="5446EEA6" w14:textId="2EB4D974" w:rsidR="2C37EBCE" w:rsidRPr="00726D52" w:rsidRDefault="2C37EBCE" w:rsidP="2C37EBCE">
            <w:pPr>
              <w:spacing w:after="0"/>
              <w:jc w:val="left"/>
              <w:rPr>
                <w:noProof/>
                <w:sz w:val="20"/>
                <w:szCs w:val="20"/>
              </w:rPr>
            </w:pPr>
            <w:r w:rsidRPr="00726D52">
              <w:rPr>
                <w:noProof/>
                <w:sz w:val="20"/>
                <w:szCs w:val="20"/>
              </w:rPr>
              <w:t>Direct costs</w:t>
            </w:r>
          </w:p>
          <w:p w14:paraId="35921605" w14:textId="1BC27233" w:rsidR="2C37EBCE" w:rsidRPr="00726D52" w:rsidRDefault="2C37EBCE" w:rsidP="2C37EBCE">
            <w:pPr>
              <w:jc w:val="left"/>
              <w:rPr>
                <w:noProof/>
                <w:sz w:val="20"/>
                <w:szCs w:val="20"/>
              </w:rPr>
            </w:pPr>
          </w:p>
        </w:tc>
        <w:tc>
          <w:tcPr>
            <w:tcW w:w="1432" w:type="dxa"/>
            <w:tcBorders>
              <w:top w:val="single" w:sz="6" w:space="0" w:color="auto"/>
              <w:left w:val="double" w:sz="6" w:space="0" w:color="auto"/>
              <w:bottom w:val="double" w:sz="6" w:space="0" w:color="auto"/>
              <w:right w:val="single" w:sz="6" w:space="0" w:color="auto"/>
            </w:tcBorders>
            <w:tcMar>
              <w:top w:w="45" w:type="dxa"/>
              <w:left w:w="45" w:type="dxa"/>
              <w:bottom w:w="45" w:type="dxa"/>
              <w:right w:w="45" w:type="dxa"/>
            </w:tcMar>
            <w:vAlign w:val="center"/>
          </w:tcPr>
          <w:p w14:paraId="4311B8CE" w14:textId="20DFB4E4" w:rsidR="2C37EBCE" w:rsidRPr="00726D52" w:rsidRDefault="2C37EBCE" w:rsidP="000564D7">
            <w:pPr>
              <w:jc w:val="left"/>
              <w:rPr>
                <w:noProof/>
                <w:sz w:val="20"/>
                <w:szCs w:val="20"/>
              </w:rPr>
            </w:pPr>
            <w:r w:rsidRPr="00726D52">
              <w:rPr>
                <w:noProof/>
                <w:sz w:val="20"/>
                <w:szCs w:val="20"/>
              </w:rPr>
              <w:t>N/A</w:t>
            </w:r>
          </w:p>
          <w:p w14:paraId="58A37743" w14:textId="749CE016" w:rsidR="2C37EBCE" w:rsidRPr="00726D52" w:rsidRDefault="2C37EBCE" w:rsidP="000564D7">
            <w:pPr>
              <w:jc w:val="left"/>
              <w:rPr>
                <w:noProof/>
                <w:sz w:val="20"/>
                <w:szCs w:val="20"/>
              </w:rPr>
            </w:pP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vAlign w:val="center"/>
          </w:tcPr>
          <w:p w14:paraId="2FBA6651" w14:textId="4E556E9C" w:rsidR="2C37EBCE" w:rsidRPr="00726D52" w:rsidRDefault="2C37EBCE" w:rsidP="000564D7">
            <w:pPr>
              <w:jc w:val="left"/>
              <w:rPr>
                <w:noProof/>
                <w:sz w:val="20"/>
                <w:szCs w:val="20"/>
              </w:rPr>
            </w:pPr>
            <w:r w:rsidRPr="00726D52">
              <w:rPr>
                <w:noProof/>
                <w:sz w:val="20"/>
                <w:szCs w:val="20"/>
              </w:rPr>
              <w:t>N/A</w:t>
            </w:r>
          </w:p>
          <w:p w14:paraId="3D8DC503" w14:textId="3C44749F" w:rsidR="2C37EBCE" w:rsidRPr="00726D52" w:rsidRDefault="2C37EBCE" w:rsidP="000564D7">
            <w:pPr>
              <w:jc w:val="left"/>
              <w:rPr>
                <w:noProof/>
                <w:sz w:val="20"/>
                <w:szCs w:val="20"/>
              </w:rPr>
            </w:pP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vAlign w:val="center"/>
          </w:tcPr>
          <w:p w14:paraId="784AAE56" w14:textId="3BB7BF09" w:rsidR="2C37EBCE" w:rsidRPr="00726D52" w:rsidRDefault="2C37EBCE" w:rsidP="000564D7">
            <w:pPr>
              <w:jc w:val="left"/>
              <w:rPr>
                <w:noProof/>
                <w:sz w:val="20"/>
                <w:szCs w:val="20"/>
              </w:rPr>
            </w:pPr>
            <w:r w:rsidRPr="00726D52">
              <w:rPr>
                <w:noProof/>
                <w:sz w:val="20"/>
                <w:szCs w:val="20"/>
              </w:rPr>
              <w:t>54 (Member States)</w:t>
            </w:r>
          </w:p>
          <w:p w14:paraId="7138D7F9" w14:textId="3D5B6DD9" w:rsidR="2C37EBCE" w:rsidRPr="00726D52" w:rsidRDefault="2C37EBCE" w:rsidP="000564D7">
            <w:pPr>
              <w:jc w:val="left"/>
              <w:rPr>
                <w:noProof/>
                <w:sz w:val="20"/>
                <w:szCs w:val="20"/>
              </w:rPr>
            </w:pPr>
            <w:r w:rsidRPr="00726D52">
              <w:rPr>
                <w:noProof/>
                <w:sz w:val="20"/>
                <w:szCs w:val="20"/>
              </w:rPr>
              <w:t>2.5 (Europol)</w:t>
            </w:r>
          </w:p>
        </w:tc>
        <w:tc>
          <w:tcPr>
            <w:tcW w:w="1433"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vAlign w:val="center"/>
          </w:tcPr>
          <w:p w14:paraId="5B8D6C60" w14:textId="57990B15" w:rsidR="2C37EBCE" w:rsidRPr="00726D52" w:rsidRDefault="00A32F66" w:rsidP="000564D7">
            <w:pPr>
              <w:jc w:val="left"/>
              <w:rPr>
                <w:noProof/>
                <w:sz w:val="18"/>
                <w:szCs w:val="18"/>
              </w:rPr>
            </w:pPr>
            <w:r w:rsidRPr="00726D52">
              <w:rPr>
                <w:noProof/>
                <w:sz w:val="20"/>
                <w:szCs w:val="20"/>
              </w:rPr>
              <w:t xml:space="preserve">75.6 </w:t>
            </w:r>
            <w:r w:rsidR="2C37EBCE" w:rsidRPr="00726D52">
              <w:rPr>
                <w:noProof/>
                <w:sz w:val="18"/>
                <w:szCs w:val="18"/>
              </w:rPr>
              <w:t>(Member States)</w:t>
            </w:r>
          </w:p>
          <w:p w14:paraId="36F3D874" w14:textId="03EA2D59" w:rsidR="2C37EBCE" w:rsidRPr="00726D52" w:rsidRDefault="00A32F66" w:rsidP="000564D7">
            <w:pPr>
              <w:jc w:val="left"/>
              <w:rPr>
                <w:noProof/>
                <w:sz w:val="20"/>
                <w:szCs w:val="20"/>
              </w:rPr>
            </w:pPr>
            <w:r w:rsidRPr="00726D52">
              <w:rPr>
                <w:noProof/>
                <w:sz w:val="20"/>
                <w:szCs w:val="20"/>
              </w:rPr>
              <w:t>3.5</w:t>
            </w:r>
            <w:r w:rsidR="2C37EBCE" w:rsidRPr="00726D52">
              <w:rPr>
                <w:noProof/>
                <w:sz w:val="20"/>
                <w:szCs w:val="20"/>
              </w:rPr>
              <w:t xml:space="preserve"> (Europol)</w:t>
            </w:r>
          </w:p>
        </w:tc>
      </w:tr>
      <w:tr w:rsidR="2C37EBCE" w:rsidRPr="00726D52" w14:paraId="65B35489" w14:textId="77777777" w:rsidTr="2C37EBCE">
        <w:trPr>
          <w:trHeight w:val="300"/>
        </w:trPr>
        <w:tc>
          <w:tcPr>
            <w:tcW w:w="1432" w:type="dxa"/>
            <w:tcBorders>
              <w:top w:val="single" w:sz="6" w:space="0" w:color="auto"/>
              <w:left w:val="double" w:sz="6" w:space="0" w:color="auto"/>
              <w:bottom w:val="double" w:sz="6" w:space="0" w:color="auto"/>
              <w:right w:val="single" w:sz="6" w:space="0" w:color="auto"/>
            </w:tcBorders>
            <w:tcMar>
              <w:top w:w="45" w:type="dxa"/>
              <w:left w:w="45" w:type="dxa"/>
              <w:bottom w:w="45" w:type="dxa"/>
              <w:right w:w="45" w:type="dxa"/>
            </w:tcMar>
            <w:vAlign w:val="center"/>
          </w:tcPr>
          <w:p w14:paraId="115F1680" w14:textId="0BFC6332" w:rsidR="2C37EBCE" w:rsidRPr="00726D52" w:rsidRDefault="00C54812" w:rsidP="000564D7">
            <w:pPr>
              <w:jc w:val="left"/>
              <w:rPr>
                <w:noProof/>
                <w:sz w:val="20"/>
                <w:szCs w:val="20"/>
              </w:rPr>
            </w:pPr>
            <w:r w:rsidRPr="00726D52">
              <w:rPr>
                <w:noProof/>
                <w:sz w:val="20"/>
                <w:szCs w:val="20"/>
              </w:rPr>
              <w:t>Sub p</w:t>
            </w:r>
            <w:r w:rsidR="2C37EBCE" w:rsidRPr="00726D52">
              <w:rPr>
                <w:noProof/>
                <w:sz w:val="20"/>
                <w:szCs w:val="20"/>
              </w:rPr>
              <w:t xml:space="preserve">olicy option 2.4 - </w:t>
            </w:r>
          </w:p>
          <w:p w14:paraId="792E290F" w14:textId="1C9EFA81" w:rsidR="2C37EBCE" w:rsidRPr="00726D52" w:rsidRDefault="2C37EBCE" w:rsidP="000564D7">
            <w:pPr>
              <w:pStyle w:val="Heading3"/>
              <w:numPr>
                <w:ilvl w:val="0"/>
                <w:numId w:val="0"/>
              </w:numPr>
              <w:jc w:val="left"/>
              <w:rPr>
                <w:iCs/>
                <w:noProof/>
                <w:color w:val="000000" w:themeColor="text1"/>
                <w:sz w:val="20"/>
              </w:rPr>
            </w:pPr>
            <w:r w:rsidRPr="00726D52">
              <w:rPr>
                <w:b/>
                <w:noProof/>
                <w:color w:val="000000" w:themeColor="text1"/>
                <w:sz w:val="20"/>
              </w:rPr>
              <w:t>Europol support offices</w:t>
            </w:r>
          </w:p>
        </w:tc>
        <w:tc>
          <w:tcPr>
            <w:tcW w:w="1432"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vAlign w:val="center"/>
          </w:tcPr>
          <w:p w14:paraId="49632EAF" w14:textId="1ACC5219" w:rsidR="2C37EBCE" w:rsidRPr="00726D52" w:rsidRDefault="2C37EBCE" w:rsidP="2C37EBCE">
            <w:pPr>
              <w:spacing w:after="0"/>
              <w:jc w:val="left"/>
              <w:rPr>
                <w:noProof/>
                <w:sz w:val="20"/>
                <w:szCs w:val="20"/>
              </w:rPr>
            </w:pPr>
            <w:r w:rsidRPr="00726D52">
              <w:rPr>
                <w:noProof/>
                <w:sz w:val="20"/>
                <w:szCs w:val="20"/>
              </w:rPr>
              <w:t>Direct costs</w:t>
            </w:r>
          </w:p>
          <w:p w14:paraId="70C39F68" w14:textId="66F84749" w:rsidR="2C37EBCE" w:rsidRPr="00726D52" w:rsidRDefault="2C37EBCE" w:rsidP="2C37EBCE">
            <w:pPr>
              <w:jc w:val="left"/>
              <w:rPr>
                <w:noProof/>
                <w:sz w:val="20"/>
                <w:szCs w:val="20"/>
              </w:rPr>
            </w:pPr>
          </w:p>
        </w:tc>
        <w:tc>
          <w:tcPr>
            <w:tcW w:w="1432" w:type="dxa"/>
            <w:tcBorders>
              <w:top w:val="single" w:sz="6" w:space="0" w:color="auto"/>
              <w:left w:val="double" w:sz="6" w:space="0" w:color="auto"/>
              <w:bottom w:val="double" w:sz="6" w:space="0" w:color="auto"/>
              <w:right w:val="single" w:sz="6" w:space="0" w:color="auto"/>
            </w:tcBorders>
            <w:tcMar>
              <w:top w:w="45" w:type="dxa"/>
              <w:left w:w="45" w:type="dxa"/>
              <w:bottom w:w="45" w:type="dxa"/>
              <w:right w:w="45" w:type="dxa"/>
            </w:tcMar>
            <w:vAlign w:val="center"/>
          </w:tcPr>
          <w:p w14:paraId="605A2089" w14:textId="466DC485" w:rsidR="2C37EBCE" w:rsidRPr="00726D52" w:rsidRDefault="2C37EBCE" w:rsidP="000564D7">
            <w:pPr>
              <w:jc w:val="left"/>
              <w:rPr>
                <w:noProof/>
                <w:sz w:val="20"/>
                <w:szCs w:val="20"/>
              </w:rPr>
            </w:pPr>
            <w:r w:rsidRPr="00726D52">
              <w:rPr>
                <w:noProof/>
                <w:sz w:val="20"/>
                <w:szCs w:val="20"/>
              </w:rPr>
              <w:t>N/A</w:t>
            </w:r>
          </w:p>
          <w:p w14:paraId="671308F8" w14:textId="259EA46D" w:rsidR="2C37EBCE" w:rsidRPr="00726D52" w:rsidRDefault="2C37EBCE" w:rsidP="000564D7">
            <w:pPr>
              <w:jc w:val="left"/>
              <w:rPr>
                <w:noProof/>
                <w:sz w:val="20"/>
                <w:szCs w:val="20"/>
              </w:rPr>
            </w:pP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vAlign w:val="center"/>
          </w:tcPr>
          <w:p w14:paraId="7397999E" w14:textId="52A882E7" w:rsidR="2C37EBCE" w:rsidRPr="00726D52" w:rsidRDefault="2C37EBCE" w:rsidP="000564D7">
            <w:pPr>
              <w:jc w:val="left"/>
              <w:rPr>
                <w:noProof/>
                <w:sz w:val="20"/>
                <w:szCs w:val="20"/>
              </w:rPr>
            </w:pPr>
            <w:r w:rsidRPr="00726D52">
              <w:rPr>
                <w:noProof/>
                <w:sz w:val="20"/>
                <w:szCs w:val="20"/>
              </w:rPr>
              <w:t>N/A</w:t>
            </w:r>
          </w:p>
          <w:p w14:paraId="3E6C2DC7" w14:textId="0DCC8921" w:rsidR="2C37EBCE" w:rsidRPr="00726D52" w:rsidRDefault="2C37EBCE" w:rsidP="000564D7">
            <w:pPr>
              <w:jc w:val="left"/>
              <w:rPr>
                <w:noProof/>
                <w:sz w:val="20"/>
                <w:szCs w:val="20"/>
              </w:rPr>
            </w:pPr>
          </w:p>
        </w:tc>
        <w:tc>
          <w:tcPr>
            <w:tcW w:w="1441"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vAlign w:val="center"/>
          </w:tcPr>
          <w:p w14:paraId="122377DA" w14:textId="6DC27997" w:rsidR="2C37EBCE" w:rsidRPr="00726D52" w:rsidRDefault="2C37EBCE" w:rsidP="000564D7">
            <w:pPr>
              <w:jc w:val="left"/>
              <w:rPr>
                <w:noProof/>
                <w:sz w:val="20"/>
                <w:szCs w:val="20"/>
              </w:rPr>
            </w:pPr>
            <w:r w:rsidRPr="00726D52">
              <w:rPr>
                <w:noProof/>
                <w:sz w:val="20"/>
                <w:szCs w:val="20"/>
              </w:rPr>
              <w:t>0</w:t>
            </w:r>
          </w:p>
        </w:tc>
        <w:tc>
          <w:tcPr>
            <w:tcW w:w="1433"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vAlign w:val="center"/>
          </w:tcPr>
          <w:p w14:paraId="5C915B26" w14:textId="77777777" w:rsidR="00775896" w:rsidRPr="00726D52" w:rsidRDefault="00775896" w:rsidP="00775896">
            <w:pPr>
              <w:spacing w:after="0"/>
              <w:jc w:val="left"/>
              <w:rPr>
                <w:noProof/>
                <w:sz w:val="20"/>
                <w:szCs w:val="20"/>
              </w:rPr>
            </w:pPr>
            <w:r w:rsidRPr="00726D52">
              <w:rPr>
                <w:noProof/>
                <w:sz w:val="20"/>
                <w:szCs w:val="20"/>
              </w:rPr>
              <w:t>0 (Member States)</w:t>
            </w:r>
          </w:p>
          <w:p w14:paraId="565DEBC9" w14:textId="77777777" w:rsidR="00775896" w:rsidRPr="00726D52" w:rsidRDefault="00775896" w:rsidP="00D67E2A">
            <w:pPr>
              <w:pStyle w:val="ListParagraph"/>
              <w:ind w:left="360"/>
              <w:jc w:val="left"/>
              <w:rPr>
                <w:noProof/>
                <w:sz w:val="20"/>
                <w:szCs w:val="20"/>
              </w:rPr>
            </w:pPr>
          </w:p>
          <w:p w14:paraId="2FD18C95" w14:textId="7DDB050E" w:rsidR="2C37EBCE" w:rsidRPr="00726D52" w:rsidRDefault="00D67E2A" w:rsidP="006C2EF1">
            <w:pPr>
              <w:pStyle w:val="ListParagraph"/>
              <w:ind w:left="360"/>
              <w:jc w:val="left"/>
              <w:rPr>
                <w:noProof/>
                <w:sz w:val="20"/>
                <w:szCs w:val="20"/>
              </w:rPr>
            </w:pPr>
            <w:r w:rsidRPr="00726D52">
              <w:rPr>
                <w:noProof/>
                <w:sz w:val="20"/>
                <w:szCs w:val="20"/>
              </w:rPr>
              <w:t xml:space="preserve">45.5 </w:t>
            </w:r>
            <w:r w:rsidR="2C37EBCE" w:rsidRPr="00726D52">
              <w:rPr>
                <w:noProof/>
                <w:sz w:val="20"/>
                <w:szCs w:val="20"/>
              </w:rPr>
              <w:t>(Europol)</w:t>
            </w:r>
          </w:p>
        </w:tc>
      </w:tr>
    </w:tbl>
    <w:p w14:paraId="1B0E4E54" w14:textId="5736B38B"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All one-off and recurrent costs are implementation costs. No regulatory charges, hassle costs, </w:t>
      </w:r>
      <w:r w:rsidR="00007A81" w:rsidRPr="00726D52">
        <w:rPr>
          <w:rFonts w:eastAsia="Times New Roman"/>
          <w:noProof/>
          <w:color w:val="000000" w:themeColor="text1"/>
        </w:rPr>
        <w:t xml:space="preserve">administrative costs </w:t>
      </w:r>
      <w:r w:rsidRPr="00726D52">
        <w:rPr>
          <w:rFonts w:eastAsia="Times New Roman"/>
          <w:noProof/>
          <w:color w:val="000000" w:themeColor="text1"/>
        </w:rPr>
        <w:t>or indirect costs were identified and therefore are not quantified. These are all provisional estimates that would need to be confirmed, including how the costs are split between the different Member States. As a result</w:t>
      </w:r>
      <w:r w:rsidR="3E3B3731" w:rsidRPr="00726D52">
        <w:rPr>
          <w:rFonts w:eastAsia="Times New Roman"/>
          <w:noProof/>
          <w:color w:val="000000" w:themeColor="text1"/>
        </w:rPr>
        <w:t>,</w:t>
      </w:r>
      <w:r w:rsidRPr="00726D52">
        <w:rPr>
          <w:rFonts w:eastAsia="Times New Roman"/>
          <w:noProof/>
          <w:color w:val="000000" w:themeColor="text1"/>
        </w:rPr>
        <w:t xml:space="preserve"> the confidence margin of cost estimates cannot be better than 20-25% at this early stage in a project. What is stable is how the costs of the various measures compare with each other.</w:t>
      </w:r>
      <w:r w:rsidR="000A75CD" w:rsidRPr="00726D52">
        <w:rPr>
          <w:rFonts w:eastAsia="Times New Roman"/>
          <w:noProof/>
          <w:color w:val="000000" w:themeColor="text1"/>
        </w:rPr>
        <w:t xml:space="preserve"> Where precise operational expenditure data were not available, recurring costs were estimated using standard lifecycle costing assumptions derived from comparable EU large-scale IT systems and agency operational expenditure patterns. Unless otherwise specified, annual maintenance and support costs are estimated at approximately 20% of initial deployment costs.</w:t>
      </w:r>
    </w:p>
    <w:p w14:paraId="63070A23" w14:textId="0BD6D720" w:rsidR="00181F4A" w:rsidRPr="00726D52" w:rsidRDefault="00DF2791" w:rsidP="000564D7">
      <w:pPr>
        <w:pStyle w:val="Heading3"/>
        <w:numPr>
          <w:ilvl w:val="0"/>
          <w:numId w:val="0"/>
        </w:numPr>
        <w:rPr>
          <w:iCs/>
          <w:noProof/>
          <w:color w:val="000000" w:themeColor="text1"/>
          <w:szCs w:val="24"/>
        </w:rPr>
      </w:pPr>
      <w:r w:rsidRPr="00726D52">
        <w:rPr>
          <w:b/>
          <w:bCs/>
          <w:i w:val="0"/>
          <w:noProof/>
          <w:color w:val="000000" w:themeColor="text1"/>
          <w:szCs w:val="24"/>
          <w:u w:val="single"/>
        </w:rPr>
        <w:t>Sub p</w:t>
      </w:r>
      <w:r w:rsidR="0009208E" w:rsidRPr="00726D52">
        <w:rPr>
          <w:b/>
          <w:bCs/>
          <w:i w:val="0"/>
          <w:noProof/>
          <w:color w:val="000000" w:themeColor="text1"/>
          <w:szCs w:val="24"/>
          <w:u w:val="single"/>
        </w:rPr>
        <w:t>o</w:t>
      </w:r>
      <w:r w:rsidR="0D9886C2" w:rsidRPr="00726D52">
        <w:rPr>
          <w:b/>
          <w:bCs/>
          <w:i w:val="0"/>
          <w:noProof/>
          <w:color w:val="000000" w:themeColor="text1"/>
          <w:szCs w:val="24"/>
          <w:u w:val="single"/>
        </w:rPr>
        <w:t>licy option 1.1</w:t>
      </w:r>
      <w:r w:rsidR="0D9886C2" w:rsidRPr="00726D52">
        <w:rPr>
          <w:b/>
          <w:bCs/>
          <w:i w:val="0"/>
          <w:noProof/>
          <w:color w:val="000000" w:themeColor="text1"/>
          <w:szCs w:val="24"/>
        </w:rPr>
        <w:t>: Strengthened data availability, processing and service</w:t>
      </w:r>
    </w:p>
    <w:p w14:paraId="6AAADC29" w14:textId="5E3A211A"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This option entails upfront investment at both Member State and Europol level, primarily driven by </w:t>
      </w:r>
      <w:r w:rsidRPr="00726D52">
        <w:rPr>
          <w:rFonts w:eastAsia="Times New Roman"/>
          <w:b/>
          <w:bCs/>
          <w:noProof/>
          <w:color w:val="000000" w:themeColor="text1"/>
        </w:rPr>
        <w:t xml:space="preserve">data loaders as well as system and tools </w:t>
      </w:r>
      <w:r w:rsidRPr="00726D52">
        <w:rPr>
          <w:rFonts w:eastAsia="Times New Roman"/>
          <w:noProof/>
          <w:color w:val="000000" w:themeColor="text1"/>
        </w:rPr>
        <w:t>(including enhance use of interoperability tools).</w:t>
      </w:r>
    </w:p>
    <w:p w14:paraId="60ADACAA" w14:textId="23262B28"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For </w:t>
      </w:r>
      <w:r w:rsidRPr="00726D52">
        <w:rPr>
          <w:rFonts w:eastAsia="Times New Roman"/>
          <w:b/>
          <w:bCs/>
          <w:noProof/>
          <w:color w:val="000000" w:themeColor="text1"/>
        </w:rPr>
        <w:t>Member States</w:t>
      </w:r>
      <w:r w:rsidRPr="00726D52">
        <w:rPr>
          <w:rFonts w:eastAsia="Times New Roman"/>
          <w:noProof/>
          <w:color w:val="000000" w:themeColor="text1"/>
        </w:rPr>
        <w:t>, one-off costs (EUR 81 million aggregated, approx. EUR 3 million per Member State) relate mainly to:</w:t>
      </w:r>
    </w:p>
    <w:p w14:paraId="09EA6168" w14:textId="2DD5A6B3" w:rsidR="00181F4A" w:rsidRPr="00726D52" w:rsidRDefault="0D9886C2" w:rsidP="009502B2">
      <w:pPr>
        <w:pStyle w:val="ListParagraph"/>
        <w:numPr>
          <w:ilvl w:val="0"/>
          <w:numId w:val="47"/>
        </w:numPr>
        <w:spacing w:after="0"/>
        <w:rPr>
          <w:rFonts w:eastAsia="Times New Roman"/>
          <w:noProof/>
          <w:color w:val="000000" w:themeColor="text1"/>
        </w:rPr>
      </w:pPr>
      <w:r w:rsidRPr="00726D52">
        <w:rPr>
          <w:rFonts w:eastAsia="Times New Roman"/>
          <w:noProof/>
          <w:color w:val="000000" w:themeColor="text1"/>
        </w:rPr>
        <w:t xml:space="preserve">Deployment of </w:t>
      </w:r>
      <w:r w:rsidRPr="00726D52">
        <w:rPr>
          <w:rFonts w:eastAsia="Times New Roman"/>
          <w:b/>
          <w:bCs/>
          <w:noProof/>
          <w:color w:val="000000" w:themeColor="text1"/>
        </w:rPr>
        <w:t>automated data-loader solutions</w:t>
      </w:r>
      <w:r w:rsidRPr="00726D52">
        <w:rPr>
          <w:rFonts w:eastAsia="Times New Roman"/>
          <w:noProof/>
          <w:color w:val="000000" w:themeColor="text1"/>
        </w:rPr>
        <w:t>;</w:t>
      </w:r>
    </w:p>
    <w:p w14:paraId="2EEB706A" w14:textId="687BAC24" w:rsidR="00181F4A" w:rsidRPr="00726D52" w:rsidRDefault="0D9886C2" w:rsidP="009502B2">
      <w:pPr>
        <w:pStyle w:val="ListParagraph"/>
        <w:numPr>
          <w:ilvl w:val="0"/>
          <w:numId w:val="47"/>
        </w:numPr>
        <w:spacing w:after="0"/>
        <w:rPr>
          <w:rFonts w:eastAsia="Times New Roman"/>
          <w:noProof/>
          <w:color w:val="000000" w:themeColor="text1"/>
        </w:rPr>
      </w:pPr>
      <w:r w:rsidRPr="00726D52">
        <w:rPr>
          <w:rFonts w:eastAsia="Times New Roman"/>
          <w:noProof/>
          <w:color w:val="000000" w:themeColor="text1"/>
        </w:rPr>
        <w:t>Adaptation of national systems to interface with upgraded Europol tools;</w:t>
      </w:r>
    </w:p>
    <w:p w14:paraId="05BE4F35" w14:textId="07E3D19B" w:rsidR="00181F4A" w:rsidRPr="00726D52" w:rsidRDefault="0D9886C2" w:rsidP="009502B2">
      <w:pPr>
        <w:pStyle w:val="ListParagraph"/>
        <w:numPr>
          <w:ilvl w:val="0"/>
          <w:numId w:val="47"/>
        </w:numPr>
        <w:spacing w:after="0"/>
        <w:rPr>
          <w:rFonts w:eastAsia="Times New Roman"/>
          <w:noProof/>
          <w:color w:val="000000" w:themeColor="text1"/>
        </w:rPr>
      </w:pPr>
      <w:r w:rsidRPr="00726D52">
        <w:rPr>
          <w:rFonts w:eastAsia="Times New Roman"/>
          <w:noProof/>
          <w:color w:val="000000" w:themeColor="text1"/>
        </w:rPr>
        <w:t>Integration, testing and limited workflow adjustments;</w:t>
      </w:r>
    </w:p>
    <w:p w14:paraId="35D8B41F" w14:textId="42CBF0AF" w:rsidR="00181F4A" w:rsidRPr="00726D52" w:rsidRDefault="0D9886C2" w:rsidP="009502B2">
      <w:pPr>
        <w:pStyle w:val="ListParagraph"/>
        <w:numPr>
          <w:ilvl w:val="0"/>
          <w:numId w:val="47"/>
        </w:numPr>
        <w:rPr>
          <w:rFonts w:eastAsia="Times New Roman"/>
          <w:noProof/>
          <w:color w:val="000000" w:themeColor="text1"/>
        </w:rPr>
      </w:pPr>
      <w:r w:rsidRPr="00726D52">
        <w:rPr>
          <w:rFonts w:eastAsia="Times New Roman"/>
          <w:noProof/>
          <w:color w:val="000000" w:themeColor="text1"/>
        </w:rPr>
        <w:t>Training of end-users.</w:t>
      </w:r>
    </w:p>
    <w:p w14:paraId="51628DB6" w14:textId="4006AB17" w:rsidR="00181F4A" w:rsidRPr="00726D52" w:rsidRDefault="0D9886C2" w:rsidP="2C37EBCE">
      <w:pPr>
        <w:rPr>
          <w:rFonts w:eastAsia="Times New Roman"/>
          <w:noProof/>
          <w:color w:val="000000" w:themeColor="text1"/>
        </w:rPr>
      </w:pPr>
      <w:r w:rsidRPr="00726D52">
        <w:rPr>
          <w:rFonts w:eastAsia="Times New Roman"/>
          <w:noProof/>
          <w:color w:val="000000" w:themeColor="text1"/>
        </w:rPr>
        <w:t>The deployment of data-loaders is estimated to range between EUR 1 million and EUR 3 million per Member State depending on the size of the Member States</w:t>
      </w:r>
      <w:r w:rsidR="004A6F13" w:rsidRPr="00726D52">
        <w:rPr>
          <w:rFonts w:eastAsia="Times New Roman"/>
          <w:noProof/>
          <w:color w:val="000000" w:themeColor="text1"/>
        </w:rPr>
        <w:t>’</w:t>
      </w:r>
      <w:r w:rsidRPr="00726D52">
        <w:rPr>
          <w:rFonts w:eastAsia="Times New Roman"/>
          <w:noProof/>
          <w:color w:val="000000" w:themeColor="text1"/>
        </w:rPr>
        <w:t xml:space="preserve"> databases and their level of existing integration. An average of EUR 2 million was therefore </w:t>
      </w:r>
      <w:r w:rsidR="00E57CC2" w:rsidRPr="00726D52">
        <w:rPr>
          <w:rFonts w:eastAsia="Times New Roman"/>
          <w:noProof/>
          <w:color w:val="000000" w:themeColor="text1"/>
        </w:rPr>
        <w:t xml:space="preserve">taken </w:t>
      </w:r>
      <w:r w:rsidRPr="00726D52">
        <w:rPr>
          <w:rFonts w:eastAsia="Times New Roman"/>
          <w:noProof/>
          <w:color w:val="000000" w:themeColor="text1"/>
        </w:rPr>
        <w:t xml:space="preserve">as a basis. </w:t>
      </w:r>
      <w:r w:rsidRPr="00726D52">
        <w:rPr>
          <w:rFonts w:eastAsia="Times New Roman"/>
          <w:noProof/>
          <w:color w:val="000000" w:themeColor="text1"/>
        </w:rPr>
        <w:lastRenderedPageBreak/>
        <w:t>The remaining EUR 1 million results from the point b) to d). The basis was similar projects in the past where Member States had to integrate workflow adjustments.</w:t>
      </w:r>
    </w:p>
    <w:p w14:paraId="5083CFB4" w14:textId="6C98AA85" w:rsidR="00181F4A" w:rsidRPr="00726D52" w:rsidRDefault="0D9886C2" w:rsidP="2C37EBCE">
      <w:pPr>
        <w:rPr>
          <w:rFonts w:eastAsia="Times New Roman"/>
          <w:noProof/>
          <w:color w:val="000000" w:themeColor="text1"/>
        </w:rPr>
      </w:pPr>
      <w:r w:rsidRPr="00726D52">
        <w:rPr>
          <w:rFonts w:eastAsia="Times New Roman"/>
          <w:noProof/>
          <w:color w:val="000000" w:themeColor="text1"/>
        </w:rPr>
        <w:t>Recurring costs (EUR 16.2 million annually, approx. EUR 600 000 per Member State)</w:t>
      </w:r>
      <w:r w:rsidR="00693133" w:rsidRPr="00726D52">
        <w:rPr>
          <w:rFonts w:eastAsia="Times New Roman"/>
          <w:noProof/>
          <w:color w:val="000000" w:themeColor="text1"/>
        </w:rPr>
        <w:t>, corresponding to approximately EUR 113.4 million cumulatively over the 2028–2034 MFF period. These costs</w:t>
      </w:r>
      <w:r w:rsidRPr="00726D52">
        <w:rPr>
          <w:rFonts w:eastAsia="Times New Roman"/>
          <w:noProof/>
          <w:color w:val="000000" w:themeColor="text1"/>
        </w:rPr>
        <w:t xml:space="preserve"> reflect maintenance, system support and continued operational use. It is calculated as a standard 20% rate of the one-off costs based on similar simulations and building on past experience. Costs remain moderate as the option does </w:t>
      </w:r>
      <w:r w:rsidRPr="00726D52">
        <w:rPr>
          <w:rFonts w:eastAsia="Times New Roman"/>
          <w:b/>
          <w:bCs/>
          <w:noProof/>
          <w:color w:val="000000" w:themeColor="text1"/>
        </w:rPr>
        <w:t xml:space="preserve">not require entirely new national </w:t>
      </w:r>
      <w:bookmarkStart w:id="32" w:name="_Int_mrvQynRu"/>
      <w:r w:rsidRPr="00726D52">
        <w:rPr>
          <w:rFonts w:eastAsia="Times New Roman"/>
          <w:b/>
          <w:bCs/>
          <w:noProof/>
          <w:color w:val="000000" w:themeColor="text1"/>
        </w:rPr>
        <w:t>systems</w:t>
      </w:r>
      <w:r w:rsidRPr="00726D52">
        <w:rPr>
          <w:rFonts w:eastAsia="Times New Roman"/>
          <w:noProof/>
          <w:color w:val="000000" w:themeColor="text1"/>
        </w:rPr>
        <w:t>, but</w:t>
      </w:r>
      <w:bookmarkEnd w:id="32"/>
      <w:r w:rsidRPr="00726D52">
        <w:rPr>
          <w:rFonts w:eastAsia="Times New Roman"/>
          <w:noProof/>
          <w:color w:val="000000" w:themeColor="text1"/>
        </w:rPr>
        <w:t xml:space="preserve"> builds on existing infrastructure and voluntary uptake of EU-level services.</w:t>
      </w:r>
    </w:p>
    <w:p w14:paraId="33DC9BE6" w14:textId="0DADFCEA"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For </w:t>
      </w:r>
      <w:r w:rsidRPr="00726D52">
        <w:rPr>
          <w:rFonts w:eastAsia="Times New Roman"/>
          <w:b/>
          <w:bCs/>
          <w:noProof/>
          <w:color w:val="000000" w:themeColor="text1"/>
        </w:rPr>
        <w:t>Europol</w:t>
      </w:r>
      <w:r w:rsidRPr="00726D52">
        <w:rPr>
          <w:rFonts w:eastAsia="Times New Roman"/>
          <w:noProof/>
          <w:color w:val="000000" w:themeColor="text1"/>
        </w:rPr>
        <w:t>, one-off costs (EUR 61 million) are driven by:</w:t>
      </w:r>
    </w:p>
    <w:p w14:paraId="1D31B717" w14:textId="7A40C848" w:rsidR="00181F4A" w:rsidRPr="00726D52" w:rsidRDefault="0D9886C2" w:rsidP="009502B2">
      <w:pPr>
        <w:pStyle w:val="ListParagraph"/>
        <w:numPr>
          <w:ilvl w:val="0"/>
          <w:numId w:val="46"/>
        </w:numPr>
        <w:spacing w:after="0"/>
        <w:rPr>
          <w:rFonts w:eastAsia="Times New Roman"/>
          <w:noProof/>
          <w:color w:val="000000" w:themeColor="text1"/>
        </w:rPr>
      </w:pPr>
      <w:r w:rsidRPr="00726D52">
        <w:rPr>
          <w:rFonts w:eastAsia="Times New Roman"/>
          <w:b/>
          <w:bCs/>
          <w:noProof/>
          <w:color w:val="000000" w:themeColor="text1"/>
        </w:rPr>
        <w:t>Major upgrades of core ICT systems</w:t>
      </w:r>
      <w:r w:rsidRPr="00726D52">
        <w:rPr>
          <w:rFonts w:eastAsia="Times New Roman"/>
          <w:noProof/>
          <w:color w:val="000000" w:themeColor="text1"/>
        </w:rPr>
        <w:t xml:space="preserve"> (SIENA, EIS, EAS, QUEST+);</w:t>
      </w:r>
    </w:p>
    <w:p w14:paraId="0FC93041" w14:textId="1D07FB89" w:rsidR="00181F4A" w:rsidRPr="00726D52" w:rsidRDefault="0D9886C2" w:rsidP="009502B2">
      <w:pPr>
        <w:pStyle w:val="ListParagraph"/>
        <w:numPr>
          <w:ilvl w:val="0"/>
          <w:numId w:val="46"/>
        </w:numPr>
        <w:spacing w:after="0"/>
        <w:rPr>
          <w:rFonts w:eastAsia="Times New Roman"/>
          <w:noProof/>
          <w:color w:val="000000" w:themeColor="text1"/>
        </w:rPr>
      </w:pPr>
      <w:r w:rsidRPr="00726D52">
        <w:rPr>
          <w:rFonts w:eastAsia="Times New Roman"/>
          <w:noProof/>
          <w:color w:val="000000" w:themeColor="text1"/>
        </w:rPr>
        <w:t xml:space="preserve">Development of </w:t>
      </w:r>
      <w:r w:rsidRPr="00726D52">
        <w:rPr>
          <w:rFonts w:eastAsia="Times New Roman"/>
          <w:b/>
          <w:bCs/>
          <w:noProof/>
          <w:color w:val="000000" w:themeColor="text1"/>
        </w:rPr>
        <w:t>centralised interoperability solutions and harmonised data models (UMF)</w:t>
      </w:r>
      <w:r w:rsidRPr="00726D52">
        <w:rPr>
          <w:rFonts w:eastAsia="Times New Roman"/>
          <w:noProof/>
          <w:color w:val="000000" w:themeColor="text1"/>
        </w:rPr>
        <w:t>;</w:t>
      </w:r>
    </w:p>
    <w:p w14:paraId="414DF2AC" w14:textId="3FE7C757" w:rsidR="00181F4A" w:rsidRPr="00726D52" w:rsidRDefault="0D9886C2" w:rsidP="009502B2">
      <w:pPr>
        <w:pStyle w:val="ListParagraph"/>
        <w:numPr>
          <w:ilvl w:val="0"/>
          <w:numId w:val="46"/>
        </w:numPr>
        <w:spacing w:after="0"/>
        <w:rPr>
          <w:rFonts w:eastAsia="Times New Roman"/>
          <w:noProof/>
          <w:color w:val="000000" w:themeColor="text1"/>
        </w:rPr>
      </w:pPr>
      <w:r w:rsidRPr="00726D52">
        <w:rPr>
          <w:rFonts w:eastAsia="Times New Roman"/>
          <w:noProof/>
          <w:color w:val="000000" w:themeColor="text1"/>
        </w:rPr>
        <w:t>Design and deployment of standardised data loaders;</w:t>
      </w:r>
    </w:p>
    <w:p w14:paraId="621E4F08" w14:textId="04EB4908" w:rsidR="00181F4A" w:rsidRPr="00726D52" w:rsidRDefault="0D9886C2" w:rsidP="009502B2">
      <w:pPr>
        <w:pStyle w:val="ListParagraph"/>
        <w:numPr>
          <w:ilvl w:val="0"/>
          <w:numId w:val="46"/>
        </w:numPr>
        <w:rPr>
          <w:rFonts w:eastAsia="Times New Roman"/>
          <w:noProof/>
          <w:color w:val="000000" w:themeColor="text1"/>
        </w:rPr>
      </w:pPr>
      <w:r w:rsidRPr="00726D52">
        <w:rPr>
          <w:rFonts w:eastAsia="Times New Roman"/>
          <w:noProof/>
          <w:color w:val="000000" w:themeColor="text1"/>
        </w:rPr>
        <w:t>Joint procurement structures and specialised ICT recruitment.</w:t>
      </w:r>
    </w:p>
    <w:p w14:paraId="09775F1A" w14:textId="4F0B8215" w:rsidR="00181F4A" w:rsidRPr="00726D52" w:rsidRDefault="0D9886C2" w:rsidP="2C37EBCE">
      <w:pPr>
        <w:rPr>
          <w:rFonts w:eastAsia="Times New Roman"/>
          <w:noProof/>
          <w:color w:val="000000" w:themeColor="text1"/>
        </w:rPr>
      </w:pPr>
      <w:r w:rsidRPr="00726D52">
        <w:rPr>
          <w:rFonts w:eastAsia="Times New Roman"/>
          <w:noProof/>
          <w:color w:val="000000" w:themeColor="text1"/>
        </w:rPr>
        <w:t>The costs are inspired by similar costs incurred by EU Agencies that built similar technologies. For instance, the cost of building the shared Biometric Matching Service by eu-LISA for the Interoperability Regulations</w:t>
      </w:r>
      <w:r w:rsidR="00D141DB" w:rsidRPr="00726D52">
        <w:rPr>
          <w:rStyle w:val="FootnoteReference"/>
          <w:rFonts w:eastAsia="Times New Roman"/>
          <w:noProof/>
          <w:color w:val="000000" w:themeColor="text1"/>
        </w:rPr>
        <w:footnoteReference w:id="159"/>
      </w:r>
      <w:r w:rsidRPr="00726D52">
        <w:rPr>
          <w:rFonts w:eastAsia="Times New Roman"/>
          <w:noProof/>
          <w:color w:val="000000" w:themeColor="text1"/>
          <w:vertAlign w:val="superscript"/>
        </w:rPr>
        <w:t>20</w:t>
      </w:r>
      <w:r w:rsidRPr="00726D52">
        <w:rPr>
          <w:rFonts w:eastAsia="Times New Roman"/>
          <w:noProof/>
          <w:color w:val="000000" w:themeColor="text1"/>
        </w:rPr>
        <w:t>. The cost figure has been updated from the original 2018 estimate to account for inflation between 2018 and 2026, ensuring that the values reflect current price levels and purchasing power.</w:t>
      </w:r>
    </w:p>
    <w:p w14:paraId="6E2D99E1" w14:textId="1F2AEAB0"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Recurring costs </w:t>
      </w:r>
      <w:r w:rsidR="00C91262" w:rsidRPr="00726D52">
        <w:rPr>
          <w:rFonts w:eastAsia="Times New Roman"/>
          <w:noProof/>
          <w:color w:val="000000" w:themeColor="text1"/>
        </w:rPr>
        <w:t xml:space="preserve">are estimated at EUR 11.2 million annually, corresponding to approximately EUR 78.4 million cumulatively over the 2028–2034 MFF period. These </w:t>
      </w:r>
      <w:r w:rsidR="00726D52" w:rsidRPr="00726D52">
        <w:rPr>
          <w:rFonts w:eastAsia="Times New Roman"/>
          <w:noProof/>
          <w:color w:val="000000" w:themeColor="text1"/>
        </w:rPr>
        <w:t>costs cover</w:t>
      </w:r>
      <w:r w:rsidRPr="00726D52">
        <w:rPr>
          <w:rFonts w:eastAsia="Times New Roman"/>
          <w:noProof/>
          <w:color w:val="000000" w:themeColor="text1"/>
        </w:rPr>
        <w:t xml:space="preserve"> maintenance, cybersecurity, governance, operational support, and reinforced technical and analytical staff. It is calculated as a standard 20% rate of the one-off costs</w:t>
      </w:r>
      <w:r w:rsidR="000F1F35" w:rsidRPr="00726D52">
        <w:rPr>
          <w:rStyle w:val="FootnoteReference"/>
          <w:rFonts w:eastAsia="Times New Roman"/>
          <w:noProof/>
          <w:color w:val="000000" w:themeColor="text1"/>
        </w:rPr>
        <w:footnoteReference w:id="160"/>
      </w:r>
      <w:r w:rsidRPr="00726D52">
        <w:rPr>
          <w:rFonts w:eastAsia="Times New Roman"/>
          <w:noProof/>
          <w:color w:val="000000" w:themeColor="text1"/>
        </w:rPr>
        <w:t>.</w:t>
      </w:r>
    </w:p>
    <w:p w14:paraId="72F4C5B5" w14:textId="7817E057"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Although the option requires significant initial investment, it is expected to generate </w:t>
      </w:r>
      <w:r w:rsidRPr="00726D52">
        <w:rPr>
          <w:rStyle w:val="Strong"/>
          <w:rFonts w:eastAsia="Times New Roman"/>
          <w:noProof/>
          <w:color w:val="000000" w:themeColor="text1"/>
        </w:rPr>
        <w:t>long-term efficiencies</w:t>
      </w:r>
      <w:r w:rsidRPr="00726D52">
        <w:rPr>
          <w:rFonts w:eastAsia="Times New Roman"/>
          <w:noProof/>
          <w:color w:val="000000" w:themeColor="text1"/>
        </w:rPr>
        <w:t xml:space="preserve"> through:</w:t>
      </w:r>
    </w:p>
    <w:p w14:paraId="63653418" w14:textId="3B4692CE" w:rsidR="00181F4A" w:rsidRPr="00726D52" w:rsidRDefault="0D9886C2" w:rsidP="009502B2">
      <w:pPr>
        <w:pStyle w:val="ListParagraph"/>
        <w:numPr>
          <w:ilvl w:val="0"/>
          <w:numId w:val="45"/>
        </w:numPr>
        <w:spacing w:before="240" w:after="0"/>
        <w:rPr>
          <w:rFonts w:eastAsia="Times New Roman"/>
          <w:noProof/>
          <w:color w:val="000000" w:themeColor="text1"/>
        </w:rPr>
      </w:pPr>
      <w:r w:rsidRPr="00726D52">
        <w:rPr>
          <w:rFonts w:eastAsia="Times New Roman"/>
          <w:noProof/>
          <w:color w:val="000000" w:themeColor="text1"/>
        </w:rPr>
        <w:t>Economies of scale via joint procurement;</w:t>
      </w:r>
    </w:p>
    <w:p w14:paraId="6EF18CC9" w14:textId="46F74A67" w:rsidR="00181F4A" w:rsidRPr="00726D52" w:rsidRDefault="0D9886C2" w:rsidP="009502B2">
      <w:pPr>
        <w:pStyle w:val="ListParagraph"/>
        <w:numPr>
          <w:ilvl w:val="0"/>
          <w:numId w:val="45"/>
        </w:numPr>
        <w:spacing w:before="240" w:after="0"/>
        <w:rPr>
          <w:rFonts w:eastAsia="Times New Roman"/>
          <w:noProof/>
          <w:color w:val="000000" w:themeColor="text1"/>
        </w:rPr>
      </w:pPr>
      <w:r w:rsidRPr="00726D52">
        <w:rPr>
          <w:rFonts w:eastAsia="Times New Roman"/>
          <w:noProof/>
          <w:color w:val="000000" w:themeColor="text1"/>
        </w:rPr>
        <w:t>Reduced duplication of national developments;</w:t>
      </w:r>
    </w:p>
    <w:p w14:paraId="2552F3E0" w14:textId="1C6DA0D9" w:rsidR="00181F4A" w:rsidRPr="00726D52" w:rsidRDefault="0D9886C2" w:rsidP="009502B2">
      <w:pPr>
        <w:pStyle w:val="ListParagraph"/>
        <w:numPr>
          <w:ilvl w:val="0"/>
          <w:numId w:val="45"/>
        </w:numPr>
        <w:spacing w:before="240" w:after="0"/>
        <w:rPr>
          <w:rFonts w:eastAsia="Times New Roman"/>
          <w:noProof/>
          <w:color w:val="000000" w:themeColor="text1"/>
        </w:rPr>
      </w:pPr>
      <w:r w:rsidRPr="00726D52">
        <w:rPr>
          <w:rFonts w:eastAsia="Times New Roman"/>
          <w:noProof/>
          <w:color w:val="000000" w:themeColor="text1"/>
        </w:rPr>
        <w:t>Europol-supported optimisation and harmonisation of systems.</w:t>
      </w:r>
    </w:p>
    <w:p w14:paraId="0B8E2917" w14:textId="0B0DBCE5"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financial effort therefore reflects a </w:t>
      </w:r>
      <w:r w:rsidRPr="00726D52">
        <w:rPr>
          <w:rStyle w:val="Strong"/>
          <w:rFonts w:eastAsia="Times New Roman"/>
          <w:noProof/>
          <w:color w:val="000000" w:themeColor="text1"/>
        </w:rPr>
        <w:t>structural modernisation of the EU law enforcement information architecture</w:t>
      </w:r>
      <w:r w:rsidRPr="00726D52">
        <w:rPr>
          <w:rFonts w:eastAsia="Times New Roman"/>
          <w:noProof/>
          <w:color w:val="000000" w:themeColor="text1"/>
        </w:rPr>
        <w:t>, with medium- to long-term savings and operational gains.</w:t>
      </w:r>
    </w:p>
    <w:p w14:paraId="03B07FA5" w14:textId="3F98D6C3" w:rsidR="00181F4A" w:rsidRPr="00726D52" w:rsidRDefault="00DF2791" w:rsidP="000564D7">
      <w:pPr>
        <w:pStyle w:val="Heading3"/>
        <w:numPr>
          <w:ilvl w:val="0"/>
          <w:numId w:val="0"/>
        </w:numPr>
        <w:rPr>
          <w:b/>
          <w:noProof/>
          <w:color w:val="000000" w:themeColor="text1"/>
          <w:u w:val="single"/>
        </w:rPr>
      </w:pPr>
      <w:r w:rsidRPr="00726D52">
        <w:rPr>
          <w:b/>
          <w:i w:val="0"/>
          <w:noProof/>
          <w:color w:val="000000" w:themeColor="text1"/>
          <w:szCs w:val="24"/>
          <w:u w:val="single"/>
        </w:rPr>
        <w:t>Sub p</w:t>
      </w:r>
      <w:r w:rsidR="0D9886C2" w:rsidRPr="00726D52">
        <w:rPr>
          <w:b/>
          <w:i w:val="0"/>
          <w:noProof/>
          <w:color w:val="000000" w:themeColor="text1"/>
          <w:szCs w:val="24"/>
          <w:u w:val="single"/>
        </w:rPr>
        <w:t>olicy option 1.3</w:t>
      </w:r>
      <w:r w:rsidR="00322D9B" w:rsidRPr="00726D52">
        <w:rPr>
          <w:b/>
          <w:bCs/>
          <w:i w:val="0"/>
          <w:noProof/>
          <w:color w:val="000000" w:themeColor="text1"/>
          <w:szCs w:val="24"/>
        </w:rPr>
        <w:t xml:space="preserve">: </w:t>
      </w:r>
      <w:r w:rsidR="0D9886C2" w:rsidRPr="00726D52">
        <w:rPr>
          <w:b/>
          <w:bCs/>
          <w:i w:val="0"/>
          <w:noProof/>
          <w:color w:val="000000" w:themeColor="text1"/>
          <w:szCs w:val="24"/>
        </w:rPr>
        <w:t>Measure 1</w:t>
      </w:r>
      <w:r w:rsidR="00322D9B" w:rsidRPr="00726D52">
        <w:rPr>
          <w:b/>
          <w:bCs/>
          <w:i w:val="0"/>
          <w:noProof/>
          <w:color w:val="000000" w:themeColor="text1"/>
          <w:szCs w:val="24"/>
        </w:rPr>
        <w:t xml:space="preserve"> for a r</w:t>
      </w:r>
      <w:r w:rsidR="0D9886C2" w:rsidRPr="00726D52">
        <w:rPr>
          <w:b/>
          <w:bCs/>
          <w:i w:val="0"/>
          <w:noProof/>
          <w:color w:val="000000" w:themeColor="text1"/>
          <w:szCs w:val="24"/>
        </w:rPr>
        <w:t>einforced Europol’s support to the EPPO</w:t>
      </w:r>
    </w:p>
    <w:p w14:paraId="378CDD4F" w14:textId="0FBE90E1"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One‑off costs for Member States are expected to be negligible or very limited, as the measure concerns the creation of new Europol‑level capacities (including a dedicated support unit and time‑bound Task Forces) and does not entail structural changes to national </w:t>
      </w:r>
      <w:r w:rsidRPr="00726D52">
        <w:rPr>
          <w:rFonts w:eastAsia="Times New Roman"/>
          <w:noProof/>
          <w:color w:val="000000" w:themeColor="text1"/>
        </w:rPr>
        <w:lastRenderedPageBreak/>
        <w:t>systems, procedures or staffing. All direct operational, staffing, training and equipment costs are expected to arise at EU level (Europol and, where relevant, EPPO). Any potential impacts on Member States would be indirect and implementation‑specific, and no material national cost drivers have been identified.</w:t>
      </w:r>
    </w:p>
    <w:p w14:paraId="2EDFDC91" w14:textId="5F93BF5C" w:rsidR="00181F4A" w:rsidRPr="00726D52" w:rsidRDefault="0D9886C2" w:rsidP="2C37EBCE">
      <w:pPr>
        <w:rPr>
          <w:rFonts w:eastAsia="Times New Roman"/>
          <w:noProof/>
          <w:color w:val="000000" w:themeColor="text1"/>
        </w:rPr>
      </w:pPr>
      <w:r w:rsidRPr="00726D52">
        <w:rPr>
          <w:rFonts w:eastAsia="Times New Roman"/>
          <w:noProof/>
          <w:color w:val="000000" w:themeColor="text1"/>
        </w:rPr>
        <w:t>Recurring costs for Member States are expected to be negligible or very limited, as the measure establishes new capacities at EU level (Europol and EPPO) and does not entail new obligations for national authorities. In particular, the measure does not introduce new duties, workflows, reporting requirements or compliance obligations for Member States, nor does it require contributions of staff, procedural adaptations or the maintenance of additional processes at national level. Any potential impacts on Member States would therefore be indirect and implementation‑specific, and no material recurring cost drivers have been identified at this stage.</w:t>
      </w:r>
    </w:p>
    <w:p w14:paraId="71618567" w14:textId="5EC91730"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No separate one‑off costs are calculated for Europol, because the costing approach already captures them within the annual cost estimates. Indeed, the annual costs are based on the average resources allocated to Europol officers </w:t>
      </w:r>
      <w:r w:rsidR="007B7CAE" w:rsidRPr="00726D52">
        <w:rPr>
          <w:rFonts w:eastAsia="Times New Roman"/>
          <w:noProof/>
          <w:color w:val="000000" w:themeColor="text1"/>
        </w:rPr>
        <w:t>–</w:t>
      </w:r>
      <w:r w:rsidRPr="00726D52">
        <w:rPr>
          <w:rFonts w:eastAsia="Times New Roman"/>
          <w:noProof/>
          <w:color w:val="000000" w:themeColor="text1"/>
        </w:rPr>
        <w:t xml:space="preserve"> a benchmark that already includes salaries, onboarding, training, equipment, and other personnel‑related expenses.</w:t>
      </w:r>
    </w:p>
    <w:p w14:paraId="7D3A8683" w14:textId="6DE298EE"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recurrent costs to Europol stem from establishing a dedicated Support Team for EPPO investigations, which requires the long‑term employment of additional specialised officers. These staff carry out operational analysis, cross‑checks, and digital forensics, and their salaries and related personnel expenses form the ongoing cost driver. Based on projected staffing needs, recurrent costs are estimated to range from EUR 8.7 million in </w:t>
      </w:r>
      <w:r w:rsidR="00864935" w:rsidRPr="00726D52">
        <w:rPr>
          <w:rFonts w:eastAsia="Times New Roman"/>
          <w:noProof/>
          <w:color w:val="000000" w:themeColor="text1"/>
        </w:rPr>
        <w:t xml:space="preserve">2028 </w:t>
      </w:r>
      <w:r w:rsidRPr="00726D52">
        <w:rPr>
          <w:rFonts w:eastAsia="Times New Roman"/>
          <w:noProof/>
          <w:color w:val="000000" w:themeColor="text1"/>
        </w:rPr>
        <w:t>to EUR 11.8 million in 203</w:t>
      </w:r>
      <w:r w:rsidR="00864935" w:rsidRPr="00726D52">
        <w:rPr>
          <w:rFonts w:eastAsia="Times New Roman"/>
          <w:noProof/>
          <w:color w:val="000000" w:themeColor="text1"/>
        </w:rPr>
        <w:t>4</w:t>
      </w:r>
      <w:r w:rsidRPr="00726D52">
        <w:rPr>
          <w:rFonts w:eastAsia="Times New Roman"/>
          <w:noProof/>
          <w:color w:val="000000" w:themeColor="text1"/>
        </w:rPr>
        <w:t>, with an annual average of EUR 10</w:t>
      </w:r>
      <w:r w:rsidR="00E47C42" w:rsidRPr="00726D52">
        <w:rPr>
          <w:rFonts w:eastAsia="Times New Roman"/>
          <w:noProof/>
          <w:color w:val="000000" w:themeColor="text1"/>
        </w:rPr>
        <w:t xml:space="preserve"> </w:t>
      </w:r>
      <w:r w:rsidRPr="00726D52">
        <w:rPr>
          <w:rFonts w:eastAsia="Times New Roman"/>
          <w:noProof/>
          <w:color w:val="000000" w:themeColor="text1"/>
        </w:rPr>
        <w:t>million</w:t>
      </w:r>
      <w:r w:rsidR="00016336" w:rsidRPr="00726D52">
        <w:rPr>
          <w:rFonts w:eastAsia="Times New Roman"/>
          <w:noProof/>
          <w:color w:val="000000" w:themeColor="text1"/>
        </w:rPr>
        <w:t>,</w:t>
      </w:r>
      <w:r w:rsidR="00016336" w:rsidRPr="00726D52">
        <w:rPr>
          <w:noProof/>
        </w:rPr>
        <w:t xml:space="preserve"> </w:t>
      </w:r>
      <w:r w:rsidR="00016336" w:rsidRPr="00726D52">
        <w:rPr>
          <w:rFonts w:eastAsia="Times New Roman"/>
          <w:noProof/>
          <w:color w:val="000000" w:themeColor="text1"/>
        </w:rPr>
        <w:t>corresponding to an estimated cumulative cost of approximately EUR 70 million over the 2028–2034 MFF period</w:t>
      </w:r>
      <w:r w:rsidRPr="00726D52">
        <w:rPr>
          <w:rFonts w:eastAsia="Times New Roman"/>
          <w:noProof/>
          <w:color w:val="000000" w:themeColor="text1"/>
        </w:rPr>
        <w:t>.</w:t>
      </w:r>
    </w:p>
    <w:p w14:paraId="5DA3B9C4" w14:textId="1684463A" w:rsidR="00181F4A" w:rsidRPr="00726D52" w:rsidRDefault="00DF2791" w:rsidP="000564D7">
      <w:pPr>
        <w:pStyle w:val="Heading3"/>
        <w:numPr>
          <w:ilvl w:val="0"/>
          <w:numId w:val="0"/>
        </w:numPr>
        <w:rPr>
          <w:b/>
          <w:noProof/>
          <w:color w:val="000000" w:themeColor="text1"/>
          <w:u w:val="single"/>
        </w:rPr>
      </w:pPr>
      <w:r w:rsidRPr="00726D52">
        <w:rPr>
          <w:b/>
          <w:i w:val="0"/>
          <w:noProof/>
          <w:color w:val="000000" w:themeColor="text1"/>
          <w:szCs w:val="24"/>
          <w:u w:val="single"/>
        </w:rPr>
        <w:t>Sub p</w:t>
      </w:r>
      <w:r w:rsidR="0D9886C2" w:rsidRPr="00726D52">
        <w:rPr>
          <w:b/>
          <w:i w:val="0"/>
          <w:noProof/>
          <w:color w:val="000000" w:themeColor="text1"/>
          <w:szCs w:val="24"/>
          <w:u w:val="single"/>
        </w:rPr>
        <w:t>olicy option 1.3</w:t>
      </w:r>
      <w:r w:rsidR="00AC7D49" w:rsidRPr="00726D52">
        <w:rPr>
          <w:rFonts w:eastAsiaTheme="minorHAnsi"/>
          <w:b/>
          <w:i w:val="0"/>
          <w:noProof/>
          <w:color w:val="000000" w:themeColor="text1"/>
          <w:szCs w:val="24"/>
        </w:rPr>
        <w:t xml:space="preserve">: </w:t>
      </w:r>
      <w:r w:rsidR="0D9886C2" w:rsidRPr="00726D52">
        <w:rPr>
          <w:rFonts w:eastAsiaTheme="minorHAnsi"/>
          <w:b/>
          <w:i w:val="0"/>
          <w:noProof/>
          <w:color w:val="000000" w:themeColor="text1"/>
          <w:szCs w:val="24"/>
        </w:rPr>
        <w:t>Measures 2 and 3</w:t>
      </w:r>
      <w:r w:rsidR="0D9886C2" w:rsidRPr="00726D52">
        <w:rPr>
          <w:b/>
          <w:i w:val="0"/>
          <w:noProof/>
          <w:color w:val="000000" w:themeColor="text1"/>
          <w:szCs w:val="24"/>
        </w:rPr>
        <w:t xml:space="preserve"> for a strengthened continuum of EU-level support to law enforcement cooperation through Europol and judicial cooperation through Eurojust</w:t>
      </w:r>
    </w:p>
    <w:p w14:paraId="34E9A5C1" w14:textId="6F58029D" w:rsidR="00181F4A" w:rsidRPr="00726D52" w:rsidRDefault="0D9886C2" w:rsidP="2C37EBCE">
      <w:pPr>
        <w:rPr>
          <w:rFonts w:eastAsia="Times New Roman"/>
          <w:noProof/>
          <w:color w:val="000000" w:themeColor="text1"/>
        </w:rPr>
      </w:pPr>
      <w:r w:rsidRPr="00726D52">
        <w:rPr>
          <w:rFonts w:eastAsia="Times New Roman"/>
          <w:noProof/>
          <w:color w:val="000000" w:themeColor="text1"/>
        </w:rPr>
        <w:t>Both the one‑off costs for Member States and the recurring costs for Member States are expected to be negligible, as the measures regard cooperation between Europol and Eurojust and the support they provide to Member States in return.</w:t>
      </w:r>
    </w:p>
    <w:p w14:paraId="77ED9296" w14:textId="2ECDA433"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measures would largely build on existing technical infrastructure and operational arrangements between Europol and Eurojust. For the hit/no-hit mechanism, precise estimation of direct one-off costs is challenging, as these would depend on the level of technical ambition chosen for automation and the extent of system integration pursued. A light-touch approach focused on enhancing existing interfaces would entail minimal additional expenditure, while more advanced automation solutions could involve moderate investment in system configuration and security. For the SIRIUS Project, the institutionalisation within both the Europol and Eurojust Regulations would not require the creation of new infrastructure </w:t>
      </w:r>
      <w:r w:rsidR="007B7CAE" w:rsidRPr="00726D52">
        <w:rPr>
          <w:rFonts w:eastAsia="Times New Roman"/>
          <w:noProof/>
          <w:color w:val="000000" w:themeColor="text1"/>
        </w:rPr>
        <w:t>–</w:t>
      </w:r>
      <w:r w:rsidRPr="00726D52">
        <w:rPr>
          <w:rFonts w:eastAsia="Times New Roman"/>
          <w:noProof/>
          <w:color w:val="000000" w:themeColor="text1"/>
        </w:rPr>
        <w:t xml:space="preserve"> SIRIUS is currently operational and supported by existing systems, workflows and personnel </w:t>
      </w:r>
      <w:r w:rsidR="007B7CAE" w:rsidRPr="00726D52">
        <w:rPr>
          <w:rFonts w:eastAsia="Times New Roman"/>
          <w:noProof/>
          <w:color w:val="000000" w:themeColor="text1"/>
        </w:rPr>
        <w:t>–</w:t>
      </w:r>
      <w:r w:rsidRPr="00726D52">
        <w:rPr>
          <w:rFonts w:eastAsia="Times New Roman"/>
          <w:noProof/>
          <w:color w:val="000000" w:themeColor="text1"/>
        </w:rPr>
        <w:t xml:space="preserve"> but rather organisational adjustments, procedural alignment and limited technical refinement.</w:t>
      </w:r>
    </w:p>
    <w:p w14:paraId="452248F6" w14:textId="5890DEE5" w:rsidR="00181F4A" w:rsidRPr="00726D52" w:rsidRDefault="0D9886C2" w:rsidP="2C37EBCE">
      <w:pPr>
        <w:rPr>
          <w:rFonts w:eastAsia="Times New Roman"/>
          <w:noProof/>
          <w:color w:val="000000" w:themeColor="text1"/>
        </w:rPr>
      </w:pPr>
      <w:r w:rsidRPr="00726D52">
        <w:rPr>
          <w:rFonts w:eastAsia="Times New Roman"/>
          <w:noProof/>
          <w:color w:val="000000" w:themeColor="text1"/>
        </w:rPr>
        <w:lastRenderedPageBreak/>
        <w:t xml:space="preserve">The automation of the hit/no-hit mechanism is expected to reduce the staff-intensive manual exchanges currently required under the baseline, generating administrative efficiency gains. The recurring costs for SIRIUS are expected to broadly follow the baseline level of resources already devoted to the project, with adjustments reflecting demand and operational scope. </w:t>
      </w:r>
      <w:r w:rsidR="002B6B26" w:rsidRPr="00726D52">
        <w:rPr>
          <w:rFonts w:eastAsia="Times New Roman"/>
          <w:noProof/>
          <w:color w:val="000000" w:themeColor="text1"/>
        </w:rPr>
        <w:t>This corresponds to estimated recurrent costs of approximately EUR 1 million annually for Europol, or around EUR 7 million cumulatively over the 2028–2034 MFF period.</w:t>
      </w:r>
    </w:p>
    <w:p w14:paraId="43D23DB8" w14:textId="43B42BBB" w:rsidR="00181F4A" w:rsidRPr="00726D52" w:rsidRDefault="0D9886C2" w:rsidP="2C37EBCE">
      <w:pPr>
        <w:spacing w:line="257" w:lineRule="auto"/>
        <w:rPr>
          <w:rFonts w:eastAsia="Times New Roman"/>
          <w:noProof/>
          <w:color w:val="000000" w:themeColor="text1"/>
        </w:rPr>
      </w:pPr>
      <w:r w:rsidRPr="00726D52">
        <w:rPr>
          <w:rFonts w:eastAsia="Times New Roman"/>
          <w:noProof/>
          <w:color w:val="000000" w:themeColor="text1"/>
        </w:rPr>
        <w:t xml:space="preserve">The institutionalisation of SIRIUS and the upgrading of the Europol–Eurojust hit/no-hit mechanism are expected to generate a minimal positive impact on efficiency compared to the baseline. Under SIRIUS Phase II (2021–2025), the total project budget amounted to approximately EUR 3.49 million over four years (EUR 2.16 million for Europol; EUR 1.33 million for Eurojust), with 7 contract agents supporting its activities at Europol and 4 at Eurojust. Institutionalisation would not necessarily require a substantial increase in resources beyond this envelope but would shift funding from a contribution-agreement model to stable internal budget lines within Europol (and Eurojust), potentially requiring the conversion of contract agents into temporary agents and modest additional administrative overhead. </w:t>
      </w:r>
    </w:p>
    <w:p w14:paraId="7DC73563" w14:textId="222108DA" w:rsidR="00181F4A" w:rsidRPr="00726D52" w:rsidRDefault="0D9886C2" w:rsidP="2C37EBCE">
      <w:pPr>
        <w:spacing w:line="257" w:lineRule="auto"/>
        <w:rPr>
          <w:rFonts w:eastAsia="Times New Roman"/>
          <w:noProof/>
          <w:color w:val="000000" w:themeColor="text1"/>
        </w:rPr>
      </w:pPr>
      <w:r w:rsidRPr="00726D52">
        <w:rPr>
          <w:rFonts w:eastAsia="Times New Roman"/>
          <w:noProof/>
          <w:color w:val="000000" w:themeColor="text1"/>
        </w:rPr>
        <w:t>Regarding the hit/no-hit mechanism, the current manual and template-based model has proven highly burdensome and operationally ineffective, requiring extensive manual verification and layered authorisations for minimal operational output. Of the two possible implementation modes, the person-to-system approach is likely to be more proportionate and immediately feasible from an efficiency perspective, as it limits large-scale data transfers while reducing manual workload and preserving data ownership. The more ambitious system-to-system model could generate higher long-term analytical gains but would entail greater upfront IT development and legal alignment costs. Even if the volume of meaningful hits remains modest, a more automated and scalable mechanism would reduce transaction costs, improve timeliness and increase the likelihood of detecting genuinely relevant cross-case links at an earlier stage</w:t>
      </w:r>
      <w:r w:rsidR="00F45525" w:rsidRPr="00726D52">
        <w:rPr>
          <w:rFonts w:eastAsia="Times New Roman"/>
          <w:noProof/>
          <w:color w:val="000000" w:themeColor="text1"/>
        </w:rPr>
        <w:t>.</w:t>
      </w:r>
    </w:p>
    <w:p w14:paraId="3C8F61EA" w14:textId="691A3486" w:rsidR="00181F4A" w:rsidRPr="00726D52" w:rsidRDefault="0099332B" w:rsidP="000564D7">
      <w:pPr>
        <w:pStyle w:val="Heading3"/>
        <w:numPr>
          <w:ilvl w:val="0"/>
          <w:numId w:val="0"/>
        </w:numPr>
        <w:rPr>
          <w:b/>
          <w:noProof/>
          <w:color w:val="000000" w:themeColor="text1"/>
          <w:u w:val="single"/>
        </w:rPr>
      </w:pPr>
      <w:r w:rsidRPr="00726D52">
        <w:rPr>
          <w:b/>
          <w:i w:val="0"/>
          <w:noProof/>
          <w:color w:val="000000" w:themeColor="text1"/>
          <w:szCs w:val="24"/>
          <w:u w:val="single"/>
        </w:rPr>
        <w:t>Sub p</w:t>
      </w:r>
      <w:r w:rsidR="0D9886C2" w:rsidRPr="00726D52">
        <w:rPr>
          <w:b/>
          <w:i w:val="0"/>
          <w:noProof/>
          <w:color w:val="000000" w:themeColor="text1"/>
          <w:szCs w:val="24"/>
          <w:u w:val="single"/>
        </w:rPr>
        <w:t>olicy option 1.4</w:t>
      </w:r>
      <w:r w:rsidR="0D9886C2" w:rsidRPr="00726D52">
        <w:rPr>
          <w:b/>
          <w:i w:val="0"/>
          <w:noProof/>
          <w:color w:val="000000" w:themeColor="text1"/>
          <w:szCs w:val="24"/>
        </w:rPr>
        <w:t>: Europol</w:t>
      </w:r>
      <w:r w:rsidR="00FF7A9A" w:rsidRPr="00726D52">
        <w:rPr>
          <w:b/>
          <w:i w:val="0"/>
          <w:noProof/>
          <w:color w:val="000000" w:themeColor="text1"/>
          <w:szCs w:val="24"/>
        </w:rPr>
        <w:t>’s</w:t>
      </w:r>
      <w:r w:rsidR="0D9886C2" w:rsidRPr="00726D52">
        <w:rPr>
          <w:b/>
          <w:i w:val="0"/>
          <w:noProof/>
          <w:color w:val="000000" w:themeColor="text1"/>
          <w:szCs w:val="24"/>
        </w:rPr>
        <w:t xml:space="preserve"> digital platforms embedded in national investigations</w:t>
      </w:r>
    </w:p>
    <w:p w14:paraId="0DDC9227" w14:textId="37516361" w:rsidR="00181F4A" w:rsidRPr="00726D52" w:rsidRDefault="0D9886C2" w:rsidP="2C37EBCE">
      <w:pPr>
        <w:rPr>
          <w:rFonts w:eastAsia="Times New Roman"/>
          <w:noProof/>
          <w:color w:val="000000" w:themeColor="text1"/>
        </w:rPr>
      </w:pPr>
      <w:r w:rsidRPr="00726D52">
        <w:rPr>
          <w:rFonts w:eastAsia="Times New Roman"/>
          <w:b/>
          <w:noProof/>
          <w:color w:val="000000" w:themeColor="text1"/>
        </w:rPr>
        <w:t>Member States:</w:t>
      </w:r>
      <w:r w:rsidRPr="00726D52">
        <w:rPr>
          <w:rFonts w:eastAsia="Times New Roman"/>
          <w:noProof/>
          <w:color w:val="000000" w:themeColor="text1"/>
        </w:rPr>
        <w:t xml:space="preserve"> One-off costs are estimated at </w:t>
      </w:r>
      <w:r w:rsidRPr="00726D52">
        <w:rPr>
          <w:rFonts w:eastAsia="Times New Roman"/>
          <w:b/>
          <w:noProof/>
          <w:color w:val="000000" w:themeColor="text1"/>
        </w:rPr>
        <w:t>EUR 105 million</w:t>
      </w:r>
      <w:r w:rsidRPr="00726D52">
        <w:rPr>
          <w:rFonts w:eastAsia="Times New Roman"/>
          <w:noProof/>
          <w:color w:val="000000" w:themeColor="text1"/>
        </w:rPr>
        <w:t xml:space="preserve">, reflecting the implementation of new criminal information strategies that integrate both national and EU-level investigative lifecycles. This includes updating national systems supporting law enforcement procedures, such as CMS, Single Point of Contact CMS and corresponding police records, mapping existing data and workflows to the UMF standard. National workflows will be adapted to integrate systematic use of QUEST+ and data loaders, alongside associated </w:t>
      </w:r>
      <w:r w:rsidRPr="00726D52">
        <w:rPr>
          <w:rFonts w:eastAsia="Times New Roman"/>
          <w:b/>
          <w:noProof/>
          <w:color w:val="000000" w:themeColor="text1"/>
        </w:rPr>
        <w:t>training and change management</w:t>
      </w:r>
      <w:r w:rsidRPr="00726D52">
        <w:rPr>
          <w:rFonts w:eastAsia="Times New Roman"/>
          <w:noProof/>
          <w:color w:val="000000" w:themeColor="text1"/>
        </w:rPr>
        <w:t xml:space="preserve"> for staff to ensure proper adoption. Recurring costs are estimated at </w:t>
      </w:r>
      <w:r w:rsidRPr="00726D52">
        <w:rPr>
          <w:rFonts w:eastAsia="Times New Roman"/>
          <w:b/>
          <w:noProof/>
          <w:color w:val="000000" w:themeColor="text1"/>
        </w:rPr>
        <w:t>EUR 20 million per year</w:t>
      </w:r>
      <w:r w:rsidRPr="00726D52">
        <w:rPr>
          <w:rFonts w:eastAsia="Times New Roman"/>
          <w:noProof/>
          <w:color w:val="000000" w:themeColor="text1"/>
        </w:rPr>
        <w:t xml:space="preserve">, </w:t>
      </w:r>
      <w:r w:rsidR="0021588B" w:rsidRPr="00726D52">
        <w:rPr>
          <w:rFonts w:eastAsia="Times New Roman"/>
          <w:noProof/>
          <w:color w:val="000000" w:themeColor="text1"/>
        </w:rPr>
        <w:t xml:space="preserve">corresponding to around EUR 140 million cumulatively over the 2028–2034 MFF period, </w:t>
      </w:r>
      <w:r w:rsidRPr="00726D52">
        <w:rPr>
          <w:rFonts w:eastAsia="Times New Roman"/>
          <w:noProof/>
          <w:color w:val="000000" w:themeColor="text1"/>
        </w:rPr>
        <w:t>covering ongoing operational adjustments, refresher training and maintenance of updated national workflows and IT systems.</w:t>
      </w:r>
    </w:p>
    <w:p w14:paraId="30B1959C" w14:textId="3787B008" w:rsidR="00181F4A" w:rsidRPr="00726D52" w:rsidRDefault="0D9886C2" w:rsidP="2C37EBCE">
      <w:pPr>
        <w:rPr>
          <w:rFonts w:eastAsia="Times New Roman"/>
          <w:noProof/>
          <w:color w:val="000000" w:themeColor="text1"/>
        </w:rPr>
      </w:pPr>
      <w:r w:rsidRPr="00726D52">
        <w:rPr>
          <w:rFonts w:eastAsia="Times New Roman"/>
          <w:b/>
          <w:noProof/>
          <w:color w:val="000000" w:themeColor="text1"/>
        </w:rPr>
        <w:lastRenderedPageBreak/>
        <w:t>Europol:</w:t>
      </w:r>
      <w:r w:rsidRPr="00726D52">
        <w:rPr>
          <w:rFonts w:eastAsia="Times New Roman"/>
          <w:noProof/>
          <w:color w:val="000000" w:themeColor="text1"/>
        </w:rPr>
        <w:t xml:space="preserve"> One-off costs are estimated at </w:t>
      </w:r>
      <w:r w:rsidRPr="00726D52">
        <w:rPr>
          <w:rFonts w:eastAsia="Times New Roman"/>
          <w:b/>
          <w:noProof/>
          <w:color w:val="000000" w:themeColor="text1"/>
        </w:rPr>
        <w:t>EUR 50 million</w:t>
      </w:r>
      <w:r w:rsidRPr="00726D52">
        <w:rPr>
          <w:rFonts w:eastAsia="Times New Roman"/>
          <w:noProof/>
          <w:color w:val="000000" w:themeColor="text1"/>
        </w:rPr>
        <w:t xml:space="preserve">, covering the </w:t>
      </w:r>
      <w:r w:rsidRPr="00726D52">
        <w:rPr>
          <w:rFonts w:eastAsia="Times New Roman"/>
          <w:b/>
          <w:noProof/>
          <w:color w:val="000000" w:themeColor="text1"/>
        </w:rPr>
        <w:t>upgrade of central data ingestion components</w:t>
      </w:r>
      <w:r w:rsidRPr="00726D52">
        <w:rPr>
          <w:rFonts w:eastAsia="Times New Roman"/>
          <w:noProof/>
          <w:color w:val="000000" w:themeColor="text1"/>
        </w:rPr>
        <w:t xml:space="preserve">, including extending Europol Case Management Systems and other databases (e.g. Europol Information System) to handle EU-wide object identifiers and scaling up processing capacities. Costs also include </w:t>
      </w:r>
      <w:r w:rsidRPr="00726D52">
        <w:rPr>
          <w:rFonts w:eastAsia="Times New Roman"/>
          <w:b/>
          <w:noProof/>
          <w:color w:val="000000" w:themeColor="text1"/>
        </w:rPr>
        <w:t>reinforcement of the dedicated team</w:t>
      </w:r>
      <w:r w:rsidRPr="00726D52">
        <w:rPr>
          <w:rFonts w:eastAsia="Times New Roman"/>
          <w:noProof/>
          <w:color w:val="000000" w:themeColor="text1"/>
        </w:rPr>
        <w:t xml:space="preserve"> responsible for facilitating integration between Europol and national systems, ensuring smooth operational collaboration. Additionally, costs cover </w:t>
      </w:r>
      <w:r w:rsidRPr="00726D52">
        <w:rPr>
          <w:rFonts w:eastAsia="Times New Roman"/>
          <w:b/>
          <w:noProof/>
          <w:color w:val="000000" w:themeColor="text1"/>
        </w:rPr>
        <w:t>standardisation efforts</w:t>
      </w:r>
      <w:r w:rsidRPr="00726D52">
        <w:rPr>
          <w:rFonts w:eastAsia="Times New Roman"/>
          <w:noProof/>
          <w:color w:val="000000" w:themeColor="text1"/>
        </w:rPr>
        <w:t xml:space="preserve">, including the development of guidance documents supporting Member States’ new criminal information lifecycle strategies. Recurring costs are estimated at </w:t>
      </w:r>
      <w:r w:rsidRPr="00726D52">
        <w:rPr>
          <w:rFonts w:eastAsia="Times New Roman"/>
          <w:b/>
          <w:noProof/>
          <w:color w:val="000000" w:themeColor="text1"/>
        </w:rPr>
        <w:t>EUR 8 million per year</w:t>
      </w:r>
      <w:r w:rsidRPr="00726D52">
        <w:rPr>
          <w:rFonts w:eastAsia="Times New Roman"/>
          <w:noProof/>
          <w:color w:val="000000" w:themeColor="text1"/>
        </w:rPr>
        <w:t xml:space="preserve">, </w:t>
      </w:r>
      <w:r w:rsidR="0021588B" w:rsidRPr="00726D52">
        <w:rPr>
          <w:rFonts w:eastAsia="Times New Roman"/>
          <w:noProof/>
          <w:color w:val="000000" w:themeColor="text1"/>
        </w:rPr>
        <w:t xml:space="preserve">corresponding to around EUR 56 million cumulatively over the 2028–2034 MFF period, </w:t>
      </w:r>
      <w:r w:rsidRPr="00726D52">
        <w:rPr>
          <w:rFonts w:eastAsia="Times New Roman"/>
          <w:noProof/>
          <w:color w:val="000000" w:themeColor="text1"/>
        </w:rPr>
        <w:t>reflecting ongoing support to Member States, continued maintenance and monitoring of upgraded systems and operational assistance to ensure effective implementation of new workflows and interoperability practices.</w:t>
      </w:r>
    </w:p>
    <w:p w14:paraId="6BDFAAE8" w14:textId="109E038A" w:rsidR="00181F4A" w:rsidRPr="00726D52" w:rsidRDefault="0099332B" w:rsidP="000564D7">
      <w:pPr>
        <w:pStyle w:val="Heading3"/>
        <w:numPr>
          <w:ilvl w:val="0"/>
          <w:numId w:val="0"/>
        </w:numPr>
        <w:rPr>
          <w:b/>
          <w:noProof/>
          <w:color w:val="000000" w:themeColor="text1"/>
          <w:u w:val="single"/>
        </w:rPr>
      </w:pPr>
      <w:r w:rsidRPr="00726D52">
        <w:rPr>
          <w:b/>
          <w:i w:val="0"/>
          <w:noProof/>
          <w:color w:val="000000" w:themeColor="text1"/>
          <w:szCs w:val="24"/>
          <w:u w:val="single"/>
        </w:rPr>
        <w:t>Sub p</w:t>
      </w:r>
      <w:r w:rsidR="0D9886C2" w:rsidRPr="00726D52">
        <w:rPr>
          <w:b/>
          <w:i w:val="0"/>
          <w:noProof/>
          <w:color w:val="000000" w:themeColor="text1"/>
          <w:szCs w:val="24"/>
          <w:u w:val="single"/>
        </w:rPr>
        <w:t>olicy option 2.1</w:t>
      </w:r>
      <w:r w:rsidR="0D9886C2" w:rsidRPr="00726D52">
        <w:rPr>
          <w:b/>
          <w:i w:val="0"/>
          <w:noProof/>
          <w:color w:val="000000" w:themeColor="text1"/>
          <w:szCs w:val="24"/>
        </w:rPr>
        <w:t>:</w:t>
      </w:r>
      <w:r w:rsidR="0D9886C2" w:rsidRPr="00726D52">
        <w:rPr>
          <w:b/>
          <w:bCs/>
          <w:i w:val="0"/>
          <w:noProof/>
          <w:color w:val="000000" w:themeColor="text1"/>
          <w:szCs w:val="24"/>
        </w:rPr>
        <w:t xml:space="preserve"> </w:t>
      </w:r>
      <w:r w:rsidR="0D9886C2" w:rsidRPr="00726D52">
        <w:rPr>
          <w:b/>
          <w:i w:val="0"/>
          <w:noProof/>
          <w:color w:val="000000" w:themeColor="text1"/>
          <w:szCs w:val="24"/>
        </w:rPr>
        <w:t>Europol as an operational service provider and information</w:t>
      </w:r>
      <w:r w:rsidR="00CC3844" w:rsidRPr="00726D52">
        <w:rPr>
          <w:b/>
          <w:i w:val="0"/>
          <w:noProof/>
          <w:color w:val="000000" w:themeColor="text1"/>
          <w:szCs w:val="24"/>
        </w:rPr>
        <w:t xml:space="preserve"> hub</w:t>
      </w:r>
    </w:p>
    <w:p w14:paraId="17AA1619" w14:textId="1B906CEB"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first part of the cost assessment focuses exclusively on access via the existing Prüm framework. </w:t>
      </w:r>
      <w:r w:rsidR="00D91DB8" w:rsidRPr="00726D52">
        <w:rPr>
          <w:rFonts w:eastAsia="Times New Roman"/>
          <w:noProof/>
          <w:color w:val="000000" w:themeColor="text1"/>
        </w:rPr>
        <w:t>Under Prüm, Member States’ costs remain negligible, as the measure builds on the existing legal and technical architecture and does not require new large</w:t>
      </w:r>
      <w:r w:rsidR="00D91DB8" w:rsidRPr="00726D52">
        <w:rPr>
          <w:rFonts w:eastAsia="Times New Roman"/>
          <w:noProof/>
          <w:color w:val="000000" w:themeColor="text1"/>
        </w:rPr>
        <w:noBreakHyphen/>
        <w:t>scale IT systems for simple query</w:t>
      </w:r>
      <w:r w:rsidR="00D91DB8" w:rsidRPr="00726D52">
        <w:rPr>
          <w:rFonts w:eastAsia="Times New Roman"/>
          <w:noProof/>
          <w:color w:val="000000" w:themeColor="text1"/>
        </w:rPr>
        <w:noBreakHyphen/>
        <w:t>only access. According to the Prüm II Impact Assessment</w:t>
      </w:r>
      <w:r w:rsidR="0099332B" w:rsidRPr="00726D52">
        <w:rPr>
          <w:rStyle w:val="FootnoteReference"/>
          <w:rFonts w:eastAsia="Times New Roman"/>
          <w:noProof/>
          <w:color w:val="000000" w:themeColor="text1"/>
        </w:rPr>
        <w:footnoteReference w:id="161"/>
      </w:r>
      <w:r w:rsidR="00D91DB8" w:rsidRPr="00726D52">
        <w:rPr>
          <w:rFonts w:eastAsia="Times New Roman"/>
          <w:noProof/>
          <w:color w:val="000000" w:themeColor="text1"/>
        </w:rPr>
        <w:t>, establishing technical connectivity (e.g. for DNA matching) has been estimated at around EUR 300 000 per Member State for DNA and similar biometric exchange functionality, reflecting moderate one</w:t>
      </w:r>
      <w:r w:rsidR="00D91DB8" w:rsidRPr="00726D52">
        <w:rPr>
          <w:rFonts w:eastAsia="Times New Roman"/>
          <w:noProof/>
          <w:color w:val="000000" w:themeColor="text1"/>
        </w:rPr>
        <w:noBreakHyphen/>
        <w:t>off investments for automated integration with existing systems</w:t>
      </w:r>
      <w:r w:rsidRPr="00726D52">
        <w:rPr>
          <w:rFonts w:eastAsia="Times New Roman"/>
          <w:noProof/>
          <w:color w:val="000000" w:themeColor="text1"/>
        </w:rPr>
        <w:t>.</w:t>
      </w:r>
      <w:r w:rsidRPr="00726D52">
        <w:rPr>
          <w:rStyle w:val="FootnoteReference"/>
          <w:rFonts w:eastAsia="Times New Roman"/>
          <w:noProof/>
          <w:color w:val="000000" w:themeColor="text1"/>
        </w:rPr>
        <w:t xml:space="preserve"> </w:t>
      </w:r>
      <w:r w:rsidR="006318C6" w:rsidRPr="00726D52">
        <w:rPr>
          <w:rFonts w:eastAsia="Times New Roman"/>
          <w:noProof/>
          <w:color w:val="000000" w:themeColor="text1"/>
        </w:rPr>
        <w:t xml:space="preserve">Consequently, the incremental costs for Member States under </w:t>
      </w:r>
      <w:r w:rsidR="0099332B" w:rsidRPr="00726D52">
        <w:rPr>
          <w:rFonts w:eastAsia="Times New Roman"/>
          <w:noProof/>
          <w:color w:val="000000" w:themeColor="text1"/>
        </w:rPr>
        <w:t>Sub policy o</w:t>
      </w:r>
      <w:r w:rsidR="006318C6" w:rsidRPr="00726D52">
        <w:rPr>
          <w:rFonts w:eastAsia="Times New Roman"/>
          <w:noProof/>
          <w:color w:val="000000" w:themeColor="text1"/>
        </w:rPr>
        <w:t xml:space="preserve">ption 2.1 are considered limited, </w:t>
      </w:r>
      <w:r w:rsidR="00174A77" w:rsidRPr="00726D52">
        <w:rPr>
          <w:rFonts w:eastAsia="Times New Roman"/>
          <w:noProof/>
          <w:color w:val="000000" w:themeColor="text1"/>
        </w:rPr>
        <w:t xml:space="preserve">and estimated to </w:t>
      </w:r>
      <w:r w:rsidR="00174A77" w:rsidRPr="00726D52">
        <w:rPr>
          <w:rFonts w:eastAsia="Times New Roman"/>
          <w:b/>
          <w:noProof/>
          <w:color w:val="000000" w:themeColor="text1"/>
        </w:rPr>
        <w:t xml:space="preserve">EUR </w:t>
      </w:r>
      <w:r w:rsidR="00A230A7" w:rsidRPr="00726D52">
        <w:rPr>
          <w:rFonts w:eastAsia="Times New Roman"/>
          <w:b/>
          <w:bCs/>
          <w:noProof/>
          <w:color w:val="000000" w:themeColor="text1"/>
        </w:rPr>
        <w:t>50 000 per Member State</w:t>
      </w:r>
      <w:r w:rsidR="00A230A7" w:rsidRPr="00726D52">
        <w:rPr>
          <w:rFonts w:eastAsia="Times New Roman"/>
          <w:noProof/>
          <w:color w:val="000000" w:themeColor="text1"/>
        </w:rPr>
        <w:t xml:space="preserve"> </w:t>
      </w:r>
      <w:r w:rsidR="006318C6" w:rsidRPr="00726D52">
        <w:rPr>
          <w:rFonts w:eastAsia="Times New Roman"/>
          <w:noProof/>
          <w:color w:val="000000" w:themeColor="text1"/>
        </w:rPr>
        <w:t>as this option does not introduce additional legal access rights nor require complete redesign of national infrastructures.</w:t>
      </w:r>
    </w:p>
    <w:p w14:paraId="559F0E70" w14:textId="31453256"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For </w:t>
      </w:r>
      <w:r w:rsidRPr="00726D52">
        <w:rPr>
          <w:rFonts w:eastAsia="Times New Roman"/>
          <w:b/>
          <w:bCs/>
          <w:noProof/>
          <w:color w:val="000000" w:themeColor="text1"/>
        </w:rPr>
        <w:t>Europol</w:t>
      </w:r>
      <w:r w:rsidRPr="00726D52">
        <w:rPr>
          <w:rFonts w:eastAsia="Times New Roman"/>
          <w:noProof/>
          <w:color w:val="000000" w:themeColor="text1"/>
        </w:rPr>
        <w:t>, costs linked to access to national databases are primarily driven by:</w:t>
      </w:r>
    </w:p>
    <w:p w14:paraId="215D2A8D" w14:textId="7C41CC53" w:rsidR="00181F4A" w:rsidRPr="00726D52" w:rsidRDefault="0D9886C2" w:rsidP="009502B2">
      <w:pPr>
        <w:pStyle w:val="ListParagraph"/>
        <w:numPr>
          <w:ilvl w:val="0"/>
          <w:numId w:val="44"/>
        </w:numPr>
        <w:spacing w:beforeAutospacing="1" w:afterAutospacing="1"/>
        <w:rPr>
          <w:rFonts w:eastAsia="Times New Roman"/>
          <w:noProof/>
          <w:color w:val="000000" w:themeColor="text1"/>
        </w:rPr>
      </w:pPr>
      <w:r w:rsidRPr="00726D52">
        <w:rPr>
          <w:rFonts w:eastAsia="Times New Roman"/>
          <w:noProof/>
          <w:color w:val="000000" w:themeColor="text1"/>
        </w:rPr>
        <w:t xml:space="preserve">Additional </w:t>
      </w:r>
      <w:r w:rsidRPr="00726D52">
        <w:rPr>
          <w:rFonts w:eastAsia="Times New Roman"/>
          <w:b/>
          <w:bCs/>
          <w:noProof/>
          <w:color w:val="000000" w:themeColor="text1"/>
        </w:rPr>
        <w:t>forensic experts and operational staff</w:t>
      </w:r>
      <w:r w:rsidRPr="00726D52">
        <w:rPr>
          <w:rFonts w:eastAsia="Times New Roman"/>
          <w:noProof/>
          <w:color w:val="000000" w:themeColor="text1"/>
        </w:rPr>
        <w:t xml:space="preserve"> to follow up on matches</w:t>
      </w:r>
      <w:r w:rsidR="00AC75C1" w:rsidRPr="00726D52">
        <w:rPr>
          <w:rFonts w:eastAsia="Times New Roman"/>
          <w:noProof/>
          <w:color w:val="000000" w:themeColor="text1"/>
        </w:rPr>
        <w:t>, consistent with estimates in the legislative financial statement accompanying proposal for a Prüm II Regulation</w:t>
      </w:r>
      <w:r w:rsidR="00AC75C1" w:rsidRPr="00726D52">
        <w:rPr>
          <w:rStyle w:val="FootnoteReference"/>
          <w:rFonts w:eastAsia="Times New Roman"/>
          <w:noProof/>
          <w:color w:val="000000" w:themeColor="text1"/>
        </w:rPr>
        <w:footnoteReference w:id="162"/>
      </w:r>
      <w:r w:rsidR="00AC75C1" w:rsidRPr="00726D52">
        <w:rPr>
          <w:rFonts w:eastAsia="Times New Roman"/>
          <w:noProof/>
          <w:color w:val="000000" w:themeColor="text1"/>
        </w:rPr>
        <w:t xml:space="preserve"> which foresee staff costs for search verification by EU agencies</w:t>
      </w:r>
      <w:r w:rsidRPr="00726D52">
        <w:rPr>
          <w:rFonts w:eastAsia="Times New Roman"/>
          <w:noProof/>
          <w:color w:val="000000" w:themeColor="text1"/>
        </w:rPr>
        <w:t>;</w:t>
      </w:r>
    </w:p>
    <w:p w14:paraId="71E03476" w14:textId="4700AE57" w:rsidR="00181F4A" w:rsidRPr="00726D52" w:rsidRDefault="0D9886C2" w:rsidP="009502B2">
      <w:pPr>
        <w:pStyle w:val="ListParagraph"/>
        <w:numPr>
          <w:ilvl w:val="0"/>
          <w:numId w:val="44"/>
        </w:numPr>
        <w:spacing w:beforeAutospacing="1" w:afterAutospacing="1"/>
        <w:rPr>
          <w:rFonts w:eastAsia="Times New Roman"/>
          <w:noProof/>
          <w:color w:val="000000" w:themeColor="text1"/>
        </w:rPr>
      </w:pPr>
      <w:r w:rsidRPr="00726D52">
        <w:rPr>
          <w:rFonts w:eastAsia="Times New Roman"/>
          <w:noProof/>
          <w:color w:val="000000" w:themeColor="text1"/>
        </w:rPr>
        <w:t xml:space="preserve">Reinforcement of </w:t>
      </w:r>
      <w:r w:rsidRPr="00726D52">
        <w:rPr>
          <w:rFonts w:eastAsia="Times New Roman"/>
          <w:b/>
          <w:bCs/>
          <w:noProof/>
          <w:color w:val="000000" w:themeColor="text1"/>
        </w:rPr>
        <w:t>information management capacities</w:t>
      </w:r>
      <w:r w:rsidRPr="00726D52">
        <w:rPr>
          <w:rFonts w:eastAsia="Times New Roman"/>
          <w:noProof/>
          <w:color w:val="000000" w:themeColor="text1"/>
        </w:rPr>
        <w:t xml:space="preserve"> to ensure secure and efficient data flows;</w:t>
      </w:r>
    </w:p>
    <w:p w14:paraId="5CDFABF2" w14:textId="2D01F82E" w:rsidR="00181F4A" w:rsidRPr="00726D52" w:rsidRDefault="0D9886C2" w:rsidP="009502B2">
      <w:pPr>
        <w:pStyle w:val="ListParagraph"/>
        <w:numPr>
          <w:ilvl w:val="0"/>
          <w:numId w:val="44"/>
        </w:numPr>
        <w:rPr>
          <w:rFonts w:eastAsia="Times New Roman"/>
          <w:noProof/>
          <w:color w:val="000000" w:themeColor="text1"/>
        </w:rPr>
      </w:pPr>
      <w:r w:rsidRPr="00726D52">
        <w:rPr>
          <w:rFonts w:eastAsia="Times New Roman"/>
          <w:b/>
          <w:noProof/>
          <w:color w:val="000000" w:themeColor="text1"/>
        </w:rPr>
        <w:t>Limited system adaptations</w:t>
      </w:r>
      <w:r w:rsidRPr="00726D52">
        <w:rPr>
          <w:rFonts w:eastAsia="Times New Roman"/>
          <w:noProof/>
          <w:color w:val="000000" w:themeColor="text1"/>
        </w:rPr>
        <w:t xml:space="preserve"> to handle increased volumes.</w:t>
      </w:r>
    </w:p>
    <w:p w14:paraId="2E098B6F" w14:textId="59A6976B" w:rsidR="007C0FC3" w:rsidRPr="00726D52" w:rsidRDefault="007C0FC3" w:rsidP="00FF65F7">
      <w:pPr>
        <w:rPr>
          <w:noProof/>
        </w:rPr>
      </w:pPr>
      <w:r w:rsidRPr="00726D52">
        <w:rPr>
          <w:noProof/>
        </w:rPr>
        <w:t xml:space="preserve">The estimated costs for the EU DNA matcher are informed by operational cost estimates developed by forensic authorities in the context of preparatory work for a pilot project. In particular, a budget proposal prepared by the Netherlands Forensic Institute (NFI) for a two-year pilot project foresees a dedicated project team including forensic experts, IT developers and project management staff, supported by technical infrastructure and </w:t>
      </w:r>
      <w:r w:rsidRPr="00726D52">
        <w:rPr>
          <w:noProof/>
        </w:rPr>
        <w:lastRenderedPageBreak/>
        <w:t>operational overhead. The budget calculations rely on standard governmental salary scales and include an overhead rate of approximately 25 %, consistent with typical EU project financing structures.</w:t>
      </w:r>
      <w:r w:rsidR="00B72F14" w:rsidRPr="00726D52">
        <w:rPr>
          <w:noProof/>
        </w:rPr>
        <w:t xml:space="preserve"> </w:t>
      </w:r>
    </w:p>
    <w:p w14:paraId="3F36F2FF" w14:textId="28A8DED4" w:rsidR="007C0FC3" w:rsidRPr="00726D52" w:rsidRDefault="007C0FC3" w:rsidP="00FF65F7">
      <w:pPr>
        <w:rPr>
          <w:noProof/>
        </w:rPr>
      </w:pPr>
      <w:r w:rsidRPr="00726D52">
        <w:rPr>
          <w:noProof/>
        </w:rPr>
        <w:t>The pilot proposal assumes that most personnel would be employed directly by the participating forensic institute, although additional costs could arise if specialised IT expertise needs to be sourced through subcontracting. Such subcontracting could potentially double certain personnel costs, illustrating the importance of relying on existing institutional capacities where possible.</w:t>
      </w:r>
      <w:r w:rsidR="00ED20D7" w:rsidRPr="00726D52">
        <w:rPr>
          <w:noProof/>
        </w:rPr>
        <w:t xml:space="preserve"> Those costs would be shifted towards Europol in line with sub policy option 2.1.</w:t>
      </w:r>
      <w:r w:rsidR="00CE0A27" w:rsidRPr="00726D52">
        <w:rPr>
          <w:noProof/>
        </w:rPr>
        <w:t xml:space="preserve"> </w:t>
      </w:r>
      <w:r w:rsidR="000A5591" w:rsidRPr="00726D52">
        <w:rPr>
          <w:noProof/>
        </w:rPr>
        <w:t xml:space="preserve">The estimations consider that 75% of the recurring EUR 2 million </w:t>
      </w:r>
      <w:r w:rsidR="007510F2" w:rsidRPr="00726D52">
        <w:rPr>
          <w:noProof/>
        </w:rPr>
        <w:t xml:space="preserve">annual </w:t>
      </w:r>
      <w:r w:rsidR="004C1371" w:rsidRPr="00726D52">
        <w:rPr>
          <w:noProof/>
        </w:rPr>
        <w:t xml:space="preserve">adjustment </w:t>
      </w:r>
      <w:r w:rsidR="007510F2" w:rsidRPr="00726D52">
        <w:rPr>
          <w:noProof/>
        </w:rPr>
        <w:t xml:space="preserve">costs (corresponding to approximately EUR 14 million cumulatively over the 2028–2034 MFF period) </w:t>
      </w:r>
      <w:r w:rsidR="000A5591" w:rsidRPr="00726D52">
        <w:rPr>
          <w:noProof/>
        </w:rPr>
        <w:t xml:space="preserve">would represent HR costs. With the remaining being divided between travel, equipment and other goods and services costs. </w:t>
      </w:r>
    </w:p>
    <w:p w14:paraId="3A14FA07" w14:textId="77C3D12E" w:rsidR="007C0FC3" w:rsidRPr="00726D52" w:rsidRDefault="00ED20D7" w:rsidP="00FF65F7">
      <w:pPr>
        <w:rPr>
          <w:noProof/>
        </w:rPr>
      </w:pPr>
      <w:r w:rsidRPr="00726D52">
        <w:rPr>
          <w:noProof/>
        </w:rPr>
        <w:t>These operational estimates</w:t>
      </w:r>
      <w:r w:rsidR="007C0FC3" w:rsidRPr="00726D52">
        <w:rPr>
          <w:noProof/>
        </w:rPr>
        <w:t xml:space="preserve"> confirm that developing and testing a shared EU-level DNA matching capability requires a </w:t>
      </w:r>
      <w:r w:rsidR="007C0FC3" w:rsidRPr="00726D52">
        <w:rPr>
          <w:rStyle w:val="Strong"/>
          <w:noProof/>
        </w:rPr>
        <w:t xml:space="preserve">relatively limited </w:t>
      </w:r>
      <w:r w:rsidR="004C1371" w:rsidRPr="00726D52">
        <w:rPr>
          <w:rStyle w:val="Strong"/>
          <w:noProof/>
        </w:rPr>
        <w:t xml:space="preserve">recurring adjustment cost </w:t>
      </w:r>
      <w:r w:rsidRPr="00726D52">
        <w:rPr>
          <w:rStyle w:val="Strong"/>
          <w:noProof/>
        </w:rPr>
        <w:t>notably covering HR costs</w:t>
      </w:r>
      <w:r w:rsidR="007C0FC3" w:rsidRPr="00726D52">
        <w:rPr>
          <w:noProof/>
        </w:rPr>
        <w:t>. The cost assumptions used for Policy Option 2.1 therefore reflect a realistic implementation scenario based on existing forensic cooperation initiatives.</w:t>
      </w:r>
    </w:p>
    <w:p w14:paraId="7D200DE7" w14:textId="77777777" w:rsidR="00AF46F2" w:rsidRPr="00726D52" w:rsidRDefault="00AF46F2" w:rsidP="00FF65F7">
      <w:pPr>
        <w:spacing w:before="100" w:beforeAutospacing="1" w:after="100" w:afterAutospacing="1"/>
        <w:rPr>
          <w:rFonts w:eastAsia="Times New Roman"/>
          <w:noProof/>
        </w:rPr>
      </w:pPr>
      <w:r w:rsidRPr="00726D52">
        <w:rPr>
          <w:rFonts w:eastAsia="Times New Roman"/>
          <w:noProof/>
        </w:rPr>
        <w:t>The baseline for this assessment is not zero, as many Member States already rely on third</w:t>
      </w:r>
      <w:r w:rsidRPr="00726D52">
        <w:rPr>
          <w:rFonts w:eastAsia="Times New Roman"/>
          <w:noProof/>
        </w:rPr>
        <w:noBreakHyphen/>
        <w:t>country based matching solutions managed outside the EU framework. Over time, Union</w:t>
      </w:r>
      <w:r w:rsidRPr="00726D52">
        <w:rPr>
          <w:rFonts w:eastAsia="Times New Roman"/>
          <w:noProof/>
        </w:rPr>
        <w:noBreakHyphen/>
        <w:t>level costs under this option are expected to be offset by:</w:t>
      </w:r>
    </w:p>
    <w:p w14:paraId="5C03173E" w14:textId="2AAB427E" w:rsidR="00181F4A" w:rsidRPr="00726D52" w:rsidRDefault="0D9886C2" w:rsidP="009502B2">
      <w:pPr>
        <w:pStyle w:val="ListParagraph"/>
        <w:numPr>
          <w:ilvl w:val="0"/>
          <w:numId w:val="43"/>
        </w:numPr>
        <w:spacing w:beforeAutospacing="1" w:afterAutospacing="1"/>
        <w:rPr>
          <w:rFonts w:eastAsia="Times New Roman"/>
          <w:noProof/>
          <w:color w:val="000000" w:themeColor="text1"/>
        </w:rPr>
      </w:pPr>
      <w:r w:rsidRPr="00726D52">
        <w:rPr>
          <w:rFonts w:eastAsia="Times New Roman"/>
          <w:b/>
          <w:bCs/>
          <w:noProof/>
          <w:color w:val="000000" w:themeColor="text1"/>
        </w:rPr>
        <w:t>Reduced duplication of national efforts</w:t>
      </w:r>
      <w:r w:rsidR="00447EBD" w:rsidRPr="00726D52">
        <w:rPr>
          <w:rFonts w:eastAsia="Times New Roman"/>
          <w:b/>
          <w:bCs/>
          <w:noProof/>
          <w:color w:val="000000" w:themeColor="text1"/>
        </w:rPr>
        <w:t xml:space="preserve"> </w:t>
      </w:r>
      <w:r w:rsidR="00447EBD" w:rsidRPr="00726D52">
        <w:rPr>
          <w:rFonts w:eastAsia="Times New Roman"/>
          <w:noProof/>
          <w:color w:val="000000" w:themeColor="text1"/>
        </w:rPr>
        <w:t>in forensic matching and follow</w:t>
      </w:r>
      <w:r w:rsidR="00447EBD" w:rsidRPr="00726D52">
        <w:rPr>
          <w:rFonts w:eastAsia="Times New Roman"/>
          <w:noProof/>
          <w:color w:val="000000" w:themeColor="text1"/>
        </w:rPr>
        <w:noBreakHyphen/>
        <w:t>up work</w:t>
      </w:r>
      <w:r w:rsidRPr="00726D52">
        <w:rPr>
          <w:rFonts w:eastAsia="Times New Roman"/>
          <w:noProof/>
          <w:color w:val="000000" w:themeColor="text1"/>
        </w:rPr>
        <w:t>;</w:t>
      </w:r>
    </w:p>
    <w:p w14:paraId="6A367BF7" w14:textId="687EE1B5" w:rsidR="00181F4A" w:rsidRPr="00726D52" w:rsidRDefault="0D9886C2" w:rsidP="009502B2">
      <w:pPr>
        <w:pStyle w:val="ListParagraph"/>
        <w:numPr>
          <w:ilvl w:val="0"/>
          <w:numId w:val="43"/>
        </w:numPr>
        <w:spacing w:beforeAutospacing="1" w:afterAutospacing="1"/>
        <w:rPr>
          <w:rFonts w:eastAsia="Times New Roman"/>
          <w:noProof/>
          <w:color w:val="000000" w:themeColor="text1"/>
        </w:rPr>
      </w:pPr>
      <w:r w:rsidRPr="00726D52">
        <w:rPr>
          <w:rFonts w:eastAsia="Times New Roman"/>
          <w:b/>
          <w:bCs/>
          <w:noProof/>
          <w:color w:val="000000" w:themeColor="text1"/>
        </w:rPr>
        <w:t>Economies of scale</w:t>
      </w:r>
      <w:r w:rsidR="008362C1" w:rsidRPr="00726D52">
        <w:rPr>
          <w:rFonts w:eastAsia="Times New Roman"/>
          <w:noProof/>
          <w:color w:val="000000" w:themeColor="text1"/>
        </w:rPr>
        <w:t xml:space="preserve"> from shared EU</w:t>
      </w:r>
      <w:r w:rsidR="008362C1" w:rsidRPr="00726D52">
        <w:rPr>
          <w:rFonts w:eastAsia="Times New Roman"/>
          <w:noProof/>
          <w:color w:val="000000" w:themeColor="text1"/>
        </w:rPr>
        <w:noBreakHyphen/>
        <w:t>run services rather than multiple national or external systems</w:t>
      </w:r>
      <w:r w:rsidRPr="00726D52">
        <w:rPr>
          <w:rFonts w:eastAsia="Times New Roman"/>
          <w:noProof/>
          <w:color w:val="000000" w:themeColor="text1"/>
        </w:rPr>
        <w:t>;</w:t>
      </w:r>
    </w:p>
    <w:p w14:paraId="3021BA8D" w14:textId="0DAAEB68" w:rsidR="00181F4A" w:rsidRPr="00726D52" w:rsidRDefault="0D9886C2" w:rsidP="009502B2">
      <w:pPr>
        <w:pStyle w:val="ListParagraph"/>
        <w:numPr>
          <w:ilvl w:val="0"/>
          <w:numId w:val="43"/>
        </w:numPr>
        <w:spacing w:beforeAutospacing="1" w:afterAutospacing="1"/>
        <w:rPr>
          <w:rFonts w:eastAsia="Times New Roman"/>
          <w:noProof/>
          <w:color w:val="000000" w:themeColor="text1"/>
        </w:rPr>
      </w:pPr>
      <w:r w:rsidRPr="00726D52">
        <w:rPr>
          <w:rFonts w:eastAsia="Times New Roman"/>
          <w:b/>
          <w:noProof/>
          <w:color w:val="000000" w:themeColor="text1"/>
        </w:rPr>
        <w:t>Avoidance of third-country dependency costs</w:t>
      </w:r>
      <w:r w:rsidR="0028004B" w:rsidRPr="00726D52">
        <w:rPr>
          <w:rFonts w:eastAsia="Times New Roman"/>
          <w:noProof/>
          <w:color w:val="000000" w:themeColor="text1"/>
        </w:rPr>
        <w:t xml:space="preserve"> associated with non</w:t>
      </w:r>
      <w:r w:rsidR="0028004B" w:rsidRPr="00726D52">
        <w:rPr>
          <w:rFonts w:eastAsia="Times New Roman"/>
          <w:noProof/>
          <w:color w:val="000000" w:themeColor="text1"/>
        </w:rPr>
        <w:noBreakHyphen/>
        <w:t>EU provider solutions</w:t>
      </w:r>
      <w:r w:rsidRPr="00726D52">
        <w:rPr>
          <w:rFonts w:eastAsia="Times New Roman"/>
          <w:noProof/>
          <w:color w:val="000000" w:themeColor="text1"/>
        </w:rPr>
        <w:t>.</w:t>
      </w:r>
    </w:p>
    <w:p w14:paraId="43BAD1FD" w14:textId="2D44388C"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investment therefore represents not only operational reinforcement but also a </w:t>
      </w:r>
      <w:r w:rsidRPr="00726D52">
        <w:rPr>
          <w:rFonts w:eastAsia="Times New Roman"/>
          <w:b/>
          <w:bCs/>
          <w:noProof/>
          <w:color w:val="000000" w:themeColor="text1"/>
        </w:rPr>
        <w:t>long-term strategic consolidation of EU capabilities</w:t>
      </w:r>
      <w:r w:rsidRPr="00726D52">
        <w:rPr>
          <w:rFonts w:eastAsia="Times New Roman"/>
          <w:noProof/>
          <w:color w:val="000000" w:themeColor="text1"/>
        </w:rPr>
        <w:t>.</w:t>
      </w:r>
    </w:p>
    <w:p w14:paraId="51E103E1" w14:textId="70ABA1EA" w:rsidR="00181F4A" w:rsidRPr="00726D52" w:rsidRDefault="00AC7D49" w:rsidP="000564D7">
      <w:pPr>
        <w:pStyle w:val="Heading3"/>
        <w:numPr>
          <w:ilvl w:val="0"/>
          <w:numId w:val="0"/>
        </w:numPr>
        <w:rPr>
          <w:b/>
          <w:noProof/>
          <w:color w:val="000000" w:themeColor="text1"/>
          <w:u w:val="single"/>
        </w:rPr>
      </w:pPr>
      <w:r w:rsidRPr="00726D52">
        <w:rPr>
          <w:b/>
          <w:i w:val="0"/>
          <w:noProof/>
          <w:color w:val="000000" w:themeColor="text1"/>
          <w:szCs w:val="24"/>
          <w:u w:val="single"/>
        </w:rPr>
        <w:t>Sub p</w:t>
      </w:r>
      <w:r w:rsidR="0D9886C2" w:rsidRPr="00726D52">
        <w:rPr>
          <w:b/>
          <w:i w:val="0"/>
          <w:noProof/>
          <w:color w:val="000000" w:themeColor="text1"/>
          <w:szCs w:val="24"/>
          <w:u w:val="single"/>
        </w:rPr>
        <w:t>olicy option 2.2</w:t>
      </w:r>
      <w:r w:rsidR="0D9886C2" w:rsidRPr="00726D52">
        <w:rPr>
          <w:b/>
          <w:i w:val="0"/>
          <w:noProof/>
          <w:color w:val="000000" w:themeColor="text1"/>
          <w:szCs w:val="24"/>
        </w:rPr>
        <w:t xml:space="preserve">: Simplified rules to </w:t>
      </w:r>
      <w:r w:rsidR="00415AEB" w:rsidRPr="00726D52">
        <w:rPr>
          <w:b/>
          <w:i w:val="0"/>
          <w:noProof/>
          <w:color w:val="000000" w:themeColor="text1"/>
          <w:szCs w:val="24"/>
        </w:rPr>
        <w:t>reduce the administrative burden</w:t>
      </w:r>
      <w:r w:rsidR="0D9886C2" w:rsidRPr="00726D52">
        <w:rPr>
          <w:b/>
          <w:i w:val="0"/>
          <w:noProof/>
          <w:color w:val="000000" w:themeColor="text1"/>
          <w:szCs w:val="24"/>
        </w:rPr>
        <w:t xml:space="preserve"> of data subject categorisation</w:t>
      </w:r>
    </w:p>
    <w:p w14:paraId="7EAA1FE4" w14:textId="03EDA4D0"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Policy option 2.2 on DSC would significantly enhance </w:t>
      </w:r>
      <w:r w:rsidRPr="00726D52">
        <w:rPr>
          <w:rFonts w:eastAsia="Times New Roman"/>
          <w:b/>
          <w:noProof/>
          <w:color w:val="000000" w:themeColor="text1"/>
        </w:rPr>
        <w:t>Europol’s operational flexibility</w:t>
      </w:r>
      <w:r w:rsidRPr="00726D52">
        <w:rPr>
          <w:rFonts w:eastAsia="Times New Roman"/>
          <w:noProof/>
          <w:color w:val="000000" w:themeColor="text1"/>
        </w:rPr>
        <w:t xml:space="preserve"> and its capacity to process and analyse information in a timely manner, while </w:t>
      </w:r>
      <w:r w:rsidRPr="00726D52">
        <w:rPr>
          <w:rFonts w:eastAsia="Times New Roman"/>
          <w:b/>
          <w:noProof/>
          <w:color w:val="000000" w:themeColor="text1"/>
        </w:rPr>
        <w:t>not requiring substantial initial financial investment</w:t>
      </w:r>
      <w:r w:rsidRPr="00726D52">
        <w:rPr>
          <w:rFonts w:eastAsia="Times New Roman"/>
          <w:noProof/>
          <w:color w:val="000000" w:themeColor="text1"/>
        </w:rPr>
        <w:t xml:space="preserve">. The measure primarily entails </w:t>
      </w:r>
      <w:r w:rsidRPr="00726D52">
        <w:rPr>
          <w:rFonts w:eastAsia="Times New Roman"/>
          <w:b/>
          <w:noProof/>
          <w:color w:val="000000" w:themeColor="text1"/>
        </w:rPr>
        <w:t>legislative alignment, clarification and simplification of the existing framework</w:t>
      </w:r>
      <w:r w:rsidRPr="00726D52">
        <w:rPr>
          <w:rFonts w:eastAsia="Times New Roman"/>
          <w:noProof/>
          <w:color w:val="000000" w:themeColor="text1"/>
        </w:rPr>
        <w:t xml:space="preserve">, rather than the development of new IT systems or structural reorganisation. As such, implementation costs would be limited and largely confined to </w:t>
      </w:r>
      <w:r w:rsidRPr="00726D52">
        <w:rPr>
          <w:rFonts w:eastAsia="Times New Roman"/>
          <w:b/>
          <w:noProof/>
          <w:color w:val="000000" w:themeColor="text1"/>
        </w:rPr>
        <w:t>internal adjustments, updated guidance and targeted training</w:t>
      </w:r>
      <w:r w:rsidRPr="00726D52">
        <w:rPr>
          <w:rFonts w:eastAsia="Times New Roman"/>
          <w:noProof/>
          <w:color w:val="000000" w:themeColor="text1"/>
        </w:rPr>
        <w:t>.</w:t>
      </w:r>
    </w:p>
    <w:p w14:paraId="400FD632" w14:textId="2BB35925"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Importantly, the option would reduce or eliminate the </w:t>
      </w:r>
      <w:r w:rsidRPr="00726D52">
        <w:rPr>
          <w:rFonts w:eastAsia="Times New Roman"/>
          <w:b/>
          <w:noProof/>
          <w:color w:val="000000" w:themeColor="text1"/>
        </w:rPr>
        <w:t>resource-intensive procedures linked to data subject categorisation</w:t>
      </w:r>
      <w:r w:rsidRPr="00726D52">
        <w:rPr>
          <w:rFonts w:eastAsia="Times New Roman"/>
          <w:noProof/>
          <w:color w:val="000000" w:themeColor="text1"/>
        </w:rPr>
        <w:t xml:space="preserve"> under the current framework. Staff time currently devoted to </w:t>
      </w:r>
      <w:r w:rsidRPr="00726D52">
        <w:rPr>
          <w:rFonts w:eastAsia="Times New Roman"/>
          <w:b/>
          <w:i/>
          <w:noProof/>
          <w:color w:val="000000" w:themeColor="text1"/>
        </w:rPr>
        <w:t>ex ante</w:t>
      </w:r>
      <w:r w:rsidRPr="00726D52">
        <w:rPr>
          <w:rFonts w:eastAsia="Times New Roman"/>
          <w:b/>
          <w:noProof/>
          <w:color w:val="000000" w:themeColor="text1"/>
        </w:rPr>
        <w:t xml:space="preserve"> categorisation, verification and corrective compliance actions</w:t>
      </w:r>
      <w:r w:rsidRPr="00726D52">
        <w:rPr>
          <w:rFonts w:eastAsia="Times New Roman"/>
          <w:noProof/>
          <w:color w:val="000000" w:themeColor="text1"/>
        </w:rPr>
        <w:t xml:space="preserve"> could instead be redirected towards operational analysis and investigative support. This reallocation of resources is expected to generate </w:t>
      </w:r>
      <w:r w:rsidRPr="00726D52">
        <w:rPr>
          <w:rFonts w:eastAsia="Times New Roman"/>
          <w:b/>
          <w:noProof/>
          <w:color w:val="000000" w:themeColor="text1"/>
        </w:rPr>
        <w:t xml:space="preserve">tangible administrative savings and </w:t>
      </w:r>
      <w:r w:rsidRPr="00726D52">
        <w:rPr>
          <w:rFonts w:eastAsia="Times New Roman"/>
          <w:b/>
          <w:noProof/>
          <w:color w:val="000000" w:themeColor="text1"/>
        </w:rPr>
        <w:lastRenderedPageBreak/>
        <w:t>efficiency gains</w:t>
      </w:r>
      <w:r w:rsidRPr="00726D52">
        <w:rPr>
          <w:rFonts w:eastAsia="Times New Roman"/>
          <w:noProof/>
          <w:color w:val="000000" w:themeColor="text1"/>
        </w:rPr>
        <w:t xml:space="preserve"> over time. Overall, the combination of </w:t>
      </w:r>
      <w:r w:rsidRPr="00726D52">
        <w:rPr>
          <w:rFonts w:eastAsia="Times New Roman"/>
          <w:b/>
          <w:noProof/>
          <w:color w:val="000000" w:themeColor="text1"/>
        </w:rPr>
        <w:t>limited</w:t>
      </w:r>
      <w:r w:rsidR="005023CA" w:rsidRPr="00726D52">
        <w:rPr>
          <w:rFonts w:eastAsia="Times New Roman"/>
          <w:b/>
          <w:noProof/>
          <w:color w:val="000000" w:themeColor="text1"/>
        </w:rPr>
        <w:t xml:space="preserve"> (to no)</w:t>
      </w:r>
      <w:r w:rsidRPr="00726D52">
        <w:rPr>
          <w:rFonts w:eastAsia="Times New Roman"/>
          <w:b/>
          <w:noProof/>
          <w:color w:val="000000" w:themeColor="text1"/>
        </w:rPr>
        <w:t xml:space="preserve"> upfront investment and sustained operational efficiencies</w:t>
      </w:r>
      <w:r w:rsidRPr="00726D52">
        <w:rPr>
          <w:rFonts w:eastAsia="Times New Roman"/>
          <w:noProof/>
          <w:color w:val="000000" w:themeColor="text1"/>
        </w:rPr>
        <w:t xml:space="preserve"> justifies a </w:t>
      </w:r>
      <w:r w:rsidRPr="00726D52">
        <w:rPr>
          <w:rFonts w:eastAsia="Times New Roman"/>
          <w:b/>
          <w:noProof/>
          <w:color w:val="000000" w:themeColor="text1"/>
        </w:rPr>
        <w:t>very positive cost assessment</w:t>
      </w:r>
      <w:r w:rsidR="00F1285A" w:rsidRPr="00726D52">
        <w:rPr>
          <w:rFonts w:eastAsia="Times New Roman"/>
          <w:bCs/>
          <w:noProof/>
          <w:color w:val="000000" w:themeColor="text1"/>
        </w:rPr>
        <w:t>, although</w:t>
      </w:r>
      <w:r w:rsidR="00B63FA9" w:rsidRPr="00726D52">
        <w:rPr>
          <w:rFonts w:eastAsia="Times New Roman"/>
          <w:bCs/>
          <w:noProof/>
          <w:color w:val="000000" w:themeColor="text1"/>
        </w:rPr>
        <w:t xml:space="preserve"> </w:t>
      </w:r>
      <w:r w:rsidR="00E16341" w:rsidRPr="00726D52">
        <w:rPr>
          <w:rFonts w:eastAsia="Times New Roman"/>
          <w:bCs/>
          <w:noProof/>
          <w:color w:val="000000" w:themeColor="text1"/>
        </w:rPr>
        <w:t>precise quantification of these efficiency gains remains subject to uncertainty at this stage</w:t>
      </w:r>
      <w:r w:rsidR="00C30DF0" w:rsidRPr="00726D52">
        <w:rPr>
          <w:rFonts w:eastAsia="Times New Roman"/>
          <w:bCs/>
          <w:noProof/>
          <w:color w:val="000000" w:themeColor="text1"/>
        </w:rPr>
        <w:t xml:space="preserve"> due to limited comparable operational data</w:t>
      </w:r>
      <w:r w:rsidRPr="00726D52">
        <w:rPr>
          <w:rFonts w:eastAsia="Times New Roman"/>
          <w:noProof/>
          <w:color w:val="000000" w:themeColor="text1"/>
        </w:rPr>
        <w:t>.</w:t>
      </w:r>
    </w:p>
    <w:p w14:paraId="2DA9EFB2" w14:textId="036F8812" w:rsidR="00181F4A" w:rsidRPr="00726D52" w:rsidRDefault="00AC7D49" w:rsidP="2C37EBCE">
      <w:pPr>
        <w:rPr>
          <w:rFonts w:eastAsia="Times New Roman"/>
          <w:noProof/>
          <w:color w:val="000000" w:themeColor="text1"/>
        </w:rPr>
      </w:pPr>
      <w:r w:rsidRPr="00726D52">
        <w:rPr>
          <w:rFonts w:eastAsia="Times New Roman"/>
          <w:b/>
          <w:bCs/>
          <w:noProof/>
          <w:color w:val="000000" w:themeColor="text1"/>
          <w:u w:val="single"/>
        </w:rPr>
        <w:t>Sub p</w:t>
      </w:r>
      <w:r w:rsidR="0D9886C2" w:rsidRPr="00726D52">
        <w:rPr>
          <w:rFonts w:eastAsia="Times New Roman"/>
          <w:b/>
          <w:bCs/>
          <w:noProof/>
          <w:color w:val="000000" w:themeColor="text1"/>
          <w:u w:val="single"/>
        </w:rPr>
        <w:t>olicy option 2.3</w:t>
      </w:r>
      <w:r w:rsidR="0D9886C2" w:rsidRPr="00726D52">
        <w:rPr>
          <w:rFonts w:eastAsia="Times New Roman"/>
          <w:b/>
          <w:bCs/>
          <w:noProof/>
          <w:color w:val="000000" w:themeColor="text1"/>
        </w:rPr>
        <w:t>: Europol as structural provider of information, analytical support and capacities to the EPPO</w:t>
      </w:r>
    </w:p>
    <w:p w14:paraId="645F3620" w14:textId="369D8CCD"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one-off costs for Member States are expected to be </w:t>
      </w:r>
      <w:r w:rsidRPr="00726D52">
        <w:rPr>
          <w:rFonts w:eastAsia="Times New Roman"/>
          <w:b/>
          <w:noProof/>
          <w:color w:val="000000" w:themeColor="text1"/>
        </w:rPr>
        <w:t>negligible or very limited</w:t>
      </w:r>
      <w:r w:rsidRPr="00726D52">
        <w:rPr>
          <w:rFonts w:eastAsia="Times New Roman"/>
          <w:noProof/>
          <w:color w:val="000000" w:themeColor="text1"/>
        </w:rPr>
        <w:t xml:space="preserve">, as the measure does not require them to provide additional staff, adapt national systems, or assume operational expenditures. The initiative is designed to operate at EU level, and therefore does not generate structural investment needs at national level. Likewise, </w:t>
      </w:r>
      <w:r w:rsidRPr="00726D52">
        <w:rPr>
          <w:rFonts w:eastAsia="Times New Roman"/>
          <w:b/>
          <w:noProof/>
          <w:color w:val="000000" w:themeColor="text1"/>
        </w:rPr>
        <w:t>no significant recurring costs</w:t>
      </w:r>
      <w:r w:rsidRPr="00726D52">
        <w:rPr>
          <w:rFonts w:eastAsia="Times New Roman"/>
          <w:noProof/>
          <w:color w:val="000000" w:themeColor="text1"/>
        </w:rPr>
        <w:t xml:space="preserve"> are anticipated for Member States, as they would neither contribute personnel nor cover ongoing operational, administrative or compliance-related expenses linked to the reinforced cooperation framework.</w:t>
      </w:r>
    </w:p>
    <w:p w14:paraId="26D411C3" w14:textId="4D289C62"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For Europol, no separate fixed start-up costs are identified, since the costing methodology is based on the </w:t>
      </w:r>
      <w:r w:rsidRPr="00726D52">
        <w:rPr>
          <w:rFonts w:eastAsia="Times New Roman"/>
          <w:b/>
          <w:noProof/>
          <w:color w:val="000000" w:themeColor="text1"/>
        </w:rPr>
        <w:t>average annual cost per staff member</w:t>
      </w:r>
      <w:r w:rsidRPr="00726D52">
        <w:rPr>
          <w:rFonts w:eastAsia="Times New Roman"/>
          <w:noProof/>
          <w:color w:val="000000" w:themeColor="text1"/>
        </w:rPr>
        <w:t>, which already incorporates salaries, onboarding, training, equipment, IT access and other personnel-related overheads. As a result, initial implementation costs are embedded within the overall annual resource envelope.</w:t>
      </w:r>
    </w:p>
    <w:p w14:paraId="1BEF25A2" w14:textId="6465A53C"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recurrent costs for Europol arise primarily from the establishment of a </w:t>
      </w:r>
      <w:r w:rsidRPr="00726D52">
        <w:rPr>
          <w:rFonts w:eastAsia="Times New Roman"/>
          <w:b/>
          <w:noProof/>
          <w:color w:val="000000" w:themeColor="text1"/>
        </w:rPr>
        <w:t>dedicated Support Team for EPPO investigations</w:t>
      </w:r>
      <w:r w:rsidRPr="00726D52">
        <w:rPr>
          <w:rFonts w:eastAsia="Times New Roman"/>
          <w:noProof/>
          <w:color w:val="000000" w:themeColor="text1"/>
        </w:rPr>
        <w:t xml:space="preserve">, requiring the long-term employment of additional specialised officers. These staff members would carry out operational analysis, cross-checks, digital forensic support and structured case coordination, with an estimated annual average cost of </w:t>
      </w:r>
      <w:r w:rsidRPr="00726D52">
        <w:rPr>
          <w:rFonts w:eastAsia="Times New Roman"/>
          <w:b/>
          <w:noProof/>
          <w:color w:val="000000" w:themeColor="text1"/>
        </w:rPr>
        <w:t>EUR 10.1 million</w:t>
      </w:r>
      <w:r w:rsidR="00966B9D" w:rsidRPr="00726D52">
        <w:rPr>
          <w:rFonts w:eastAsia="Times New Roman"/>
          <w:b/>
          <w:noProof/>
          <w:color w:val="000000" w:themeColor="text1"/>
        </w:rPr>
        <w:t xml:space="preserve">, </w:t>
      </w:r>
      <w:r w:rsidR="00966B9D" w:rsidRPr="00726D52">
        <w:rPr>
          <w:rFonts w:eastAsia="Times New Roman"/>
          <w:bCs/>
          <w:noProof/>
          <w:color w:val="000000" w:themeColor="text1"/>
        </w:rPr>
        <w:t>corresponding to around EUR 70.7 million cumulatively over the 2028–2034 MFF period</w:t>
      </w:r>
      <w:r w:rsidRPr="00726D52">
        <w:rPr>
          <w:rFonts w:eastAsia="Times New Roman"/>
          <w:noProof/>
          <w:color w:val="000000" w:themeColor="text1"/>
        </w:rPr>
        <w:t xml:space="preserve">. In addition, permanent cooperation mechanisms, including reinforced coordination structures and liaison arrangements, would entail further staffing needs, with estimated additional annual costs of </w:t>
      </w:r>
      <w:r w:rsidRPr="00726D52">
        <w:rPr>
          <w:rFonts w:eastAsia="Times New Roman"/>
          <w:b/>
          <w:noProof/>
          <w:color w:val="000000" w:themeColor="text1"/>
        </w:rPr>
        <w:t>less than EUR 1 million</w:t>
      </w:r>
      <w:r w:rsidR="00FD4983" w:rsidRPr="00726D52">
        <w:rPr>
          <w:noProof/>
        </w:rPr>
        <w:t xml:space="preserve"> </w:t>
      </w:r>
      <w:r w:rsidR="00FD4983" w:rsidRPr="00726D52">
        <w:rPr>
          <w:rFonts w:eastAsia="Times New Roman"/>
          <w:bCs/>
          <w:noProof/>
          <w:color w:val="000000" w:themeColor="text1"/>
        </w:rPr>
        <w:t>(less than EUR 7 million cumulatively over the 2028–2034 MFF period)</w:t>
      </w:r>
      <w:r w:rsidRPr="00726D52">
        <w:rPr>
          <w:rFonts w:eastAsia="Times New Roman"/>
          <w:bCs/>
          <w:noProof/>
          <w:color w:val="000000" w:themeColor="text1"/>
        </w:rPr>
        <w:t>.</w:t>
      </w:r>
      <w:r w:rsidRPr="00726D52">
        <w:rPr>
          <w:rFonts w:eastAsia="Times New Roman"/>
          <w:noProof/>
          <w:color w:val="000000" w:themeColor="text1"/>
        </w:rPr>
        <w:t xml:space="preserve"> Overall, the financial impact is concentrated at EU level and reflects a structural reinforcement of analytical and prosecutorial support capacities.</w:t>
      </w:r>
    </w:p>
    <w:p w14:paraId="33D14222" w14:textId="55422B9C" w:rsidR="00181F4A" w:rsidRPr="00726D52" w:rsidRDefault="00AC7D49" w:rsidP="000564D7">
      <w:pPr>
        <w:pStyle w:val="Heading3"/>
        <w:numPr>
          <w:ilvl w:val="0"/>
          <w:numId w:val="0"/>
        </w:numPr>
        <w:rPr>
          <w:b/>
          <w:noProof/>
          <w:color w:val="000000" w:themeColor="text1"/>
          <w:u w:val="single"/>
        </w:rPr>
      </w:pPr>
      <w:r w:rsidRPr="00726D52">
        <w:rPr>
          <w:b/>
          <w:i w:val="0"/>
          <w:noProof/>
          <w:color w:val="000000" w:themeColor="text1"/>
          <w:szCs w:val="24"/>
          <w:u w:val="single"/>
        </w:rPr>
        <w:t>Sub p</w:t>
      </w:r>
      <w:r w:rsidR="0D9886C2" w:rsidRPr="00726D52">
        <w:rPr>
          <w:b/>
          <w:i w:val="0"/>
          <w:noProof/>
          <w:color w:val="000000" w:themeColor="text1"/>
          <w:szCs w:val="24"/>
          <w:u w:val="single"/>
        </w:rPr>
        <w:t>olicy option 2.4</w:t>
      </w:r>
      <w:r w:rsidR="0D9886C2" w:rsidRPr="00726D52">
        <w:rPr>
          <w:b/>
          <w:bCs/>
          <w:i w:val="0"/>
          <w:noProof/>
          <w:color w:val="000000" w:themeColor="text1"/>
          <w:szCs w:val="24"/>
        </w:rPr>
        <w:t>:</w:t>
      </w:r>
      <w:r w:rsidR="0D9886C2" w:rsidRPr="00726D52">
        <w:rPr>
          <w:b/>
          <w:i w:val="0"/>
          <w:noProof/>
          <w:color w:val="000000" w:themeColor="text1"/>
          <w:szCs w:val="24"/>
        </w:rPr>
        <w:t xml:space="preserve"> Measure 1 </w:t>
      </w:r>
      <w:r w:rsidR="00E7792B" w:rsidRPr="00726D52">
        <w:rPr>
          <w:b/>
          <w:bCs/>
          <w:i w:val="0"/>
          <w:noProof/>
          <w:color w:val="000000" w:themeColor="text1"/>
          <w:szCs w:val="24"/>
        </w:rPr>
        <w:t>on the</w:t>
      </w:r>
      <w:r w:rsidR="0D9886C2" w:rsidRPr="00726D52">
        <w:rPr>
          <w:b/>
          <w:i w:val="0"/>
          <w:noProof/>
          <w:color w:val="000000" w:themeColor="text1"/>
          <w:szCs w:val="24"/>
        </w:rPr>
        <w:t xml:space="preserve"> EU Police Cloud</w:t>
      </w:r>
    </w:p>
    <w:p w14:paraId="6877F6FF" w14:textId="77FEC6CB" w:rsidR="00181F4A" w:rsidRPr="00726D52" w:rsidRDefault="0D9886C2" w:rsidP="4EF39956">
      <w:pPr>
        <w:rPr>
          <w:rFonts w:eastAsia="Times New Roman"/>
          <w:noProof/>
          <w:color w:val="000000" w:themeColor="text1"/>
        </w:rPr>
      </w:pPr>
      <w:r w:rsidRPr="00726D52">
        <w:rPr>
          <w:rFonts w:eastAsia="Times New Roman"/>
          <w:noProof/>
          <w:color w:val="000000" w:themeColor="text1"/>
        </w:rPr>
        <w:t xml:space="preserve">The initial investment costs associated with the deployment of the </w:t>
      </w:r>
      <w:r w:rsidRPr="00726D52">
        <w:rPr>
          <w:rStyle w:val="Strong"/>
          <w:rFonts w:eastAsia="Times New Roman"/>
          <w:noProof/>
          <w:color w:val="000000" w:themeColor="text1"/>
        </w:rPr>
        <w:t>EU Digital Police Cloud and the EU Police Digital ID</w:t>
      </w:r>
      <w:r w:rsidRPr="00726D52">
        <w:rPr>
          <w:rFonts w:eastAsia="Times New Roman"/>
          <w:noProof/>
          <w:color w:val="000000" w:themeColor="text1"/>
        </w:rPr>
        <w:t xml:space="preserve"> are substantial, reflecting the scale and strategic nature of the infrastructure. </w:t>
      </w:r>
    </w:p>
    <w:p w14:paraId="1007BC90" w14:textId="49954D51" w:rsidR="00181F4A" w:rsidRPr="00726D52" w:rsidRDefault="0D9886C2" w:rsidP="4EF39956">
      <w:pPr>
        <w:rPr>
          <w:rFonts w:eastAsia="Times New Roman"/>
          <w:noProof/>
          <w:color w:val="000000" w:themeColor="text1"/>
        </w:rPr>
      </w:pPr>
      <w:r w:rsidRPr="00726D52">
        <w:rPr>
          <w:rFonts w:eastAsia="Times New Roman"/>
          <w:noProof/>
          <w:color w:val="000000" w:themeColor="text1"/>
        </w:rPr>
        <w:t xml:space="preserve">For Member States, </w:t>
      </w:r>
      <w:r w:rsidRPr="00726D52">
        <w:rPr>
          <w:rFonts w:eastAsia="Times New Roman"/>
          <w:i/>
          <w:noProof/>
          <w:color w:val="000000" w:themeColor="text1"/>
        </w:rPr>
        <w:t>one-off costs</w:t>
      </w:r>
      <w:r w:rsidRPr="00726D52">
        <w:rPr>
          <w:rFonts w:eastAsia="Times New Roman"/>
          <w:noProof/>
          <w:color w:val="000000" w:themeColor="text1"/>
        </w:rPr>
        <w:t xml:space="preserve"> are estimated at </w:t>
      </w:r>
      <w:r w:rsidRPr="00726D52">
        <w:rPr>
          <w:rStyle w:val="Strong"/>
          <w:rFonts w:eastAsia="Times New Roman"/>
          <w:noProof/>
          <w:color w:val="000000" w:themeColor="text1"/>
        </w:rPr>
        <w:t>EUR 13.5 million for the EU Police Cloud</w:t>
      </w:r>
      <w:r w:rsidR="00EE7E31" w:rsidRPr="00726D52">
        <w:rPr>
          <w:rStyle w:val="Strong"/>
          <w:rFonts w:eastAsia="Times New Roman"/>
          <w:b w:val="0"/>
          <w:bCs w:val="0"/>
          <w:noProof/>
          <w:color w:val="000000" w:themeColor="text1"/>
        </w:rPr>
        <w:t>,</w:t>
      </w:r>
      <w:r w:rsidRPr="00726D52">
        <w:rPr>
          <w:rFonts w:eastAsia="Times New Roman"/>
          <w:noProof/>
          <w:color w:val="000000" w:themeColor="text1"/>
        </w:rPr>
        <w:t xml:space="preserve"> </w:t>
      </w:r>
      <w:r w:rsidR="5FD2ECC4" w:rsidRPr="00726D52">
        <w:rPr>
          <w:rFonts w:eastAsia="Times New Roman"/>
          <w:noProof/>
          <w:color w:val="000000" w:themeColor="text1"/>
        </w:rPr>
        <w:t xml:space="preserve">EUR 0.5 million per Member State to bring national law enforcement ICT infrastructure and criminal investigators’ endpoints (laptops, tablets and smartphone) in line with a set of harmonized rules for the technical interoperability and security of applications and digital services, notably when provided on classified networks, </w:t>
      </w:r>
      <w:r w:rsidRPr="00726D52">
        <w:rPr>
          <w:rFonts w:eastAsia="Times New Roman"/>
          <w:noProof/>
          <w:color w:val="000000" w:themeColor="text1"/>
        </w:rPr>
        <w:t xml:space="preserve">and </w:t>
      </w:r>
      <w:r w:rsidRPr="00726D52">
        <w:rPr>
          <w:rStyle w:val="Strong"/>
          <w:rFonts w:eastAsia="Times New Roman"/>
          <w:noProof/>
          <w:color w:val="000000" w:themeColor="text1"/>
        </w:rPr>
        <w:t>EUR 54 million for the EU Police Digital ID</w:t>
      </w:r>
      <w:r w:rsidRPr="00726D52">
        <w:rPr>
          <w:rFonts w:eastAsia="Times New Roman"/>
          <w:noProof/>
          <w:color w:val="000000" w:themeColor="text1"/>
        </w:rPr>
        <w:t xml:space="preserve"> </w:t>
      </w:r>
      <w:r w:rsidR="00581886" w:rsidRPr="00726D52">
        <w:rPr>
          <w:rFonts w:eastAsia="Times New Roman"/>
          <w:noProof/>
          <w:color w:val="000000" w:themeColor="text1"/>
        </w:rPr>
        <w:t>(</w:t>
      </w:r>
      <w:r w:rsidR="6034E857" w:rsidRPr="00726D52">
        <w:rPr>
          <w:rFonts w:eastAsia="Times New Roman"/>
          <w:noProof/>
          <w:color w:val="000000" w:themeColor="text1"/>
        </w:rPr>
        <w:t>i.e. EUR 2 million per Member State for stepping up the national digital identity scheme for criminal investigators based on a Digital Identity wallet level high, for exhaustively issuing such credentials, and integrating the national police identity scheme within the wider EU digital police scheme</w:t>
      </w:r>
      <w:r w:rsidR="00581886" w:rsidRPr="00726D52">
        <w:rPr>
          <w:rFonts w:eastAsia="Times New Roman"/>
          <w:noProof/>
          <w:color w:val="000000" w:themeColor="text1"/>
        </w:rPr>
        <w:t>)</w:t>
      </w:r>
      <w:r w:rsidR="6034E857" w:rsidRPr="00726D52">
        <w:rPr>
          <w:rFonts w:eastAsia="Times New Roman"/>
          <w:noProof/>
          <w:color w:val="000000" w:themeColor="text1"/>
        </w:rPr>
        <w:t xml:space="preserve">. </w:t>
      </w:r>
      <w:r w:rsidR="6034E857" w:rsidRPr="00726D52">
        <w:rPr>
          <w:rFonts w:eastAsia="Times New Roman"/>
          <w:i/>
          <w:noProof/>
          <w:color w:val="000000" w:themeColor="text1"/>
        </w:rPr>
        <w:t>R</w:t>
      </w:r>
      <w:r w:rsidRPr="00726D52">
        <w:rPr>
          <w:rFonts w:eastAsia="Times New Roman"/>
          <w:i/>
          <w:noProof/>
          <w:color w:val="000000" w:themeColor="text1"/>
        </w:rPr>
        <w:t>ecurring costs</w:t>
      </w:r>
      <w:r w:rsidRPr="00726D52">
        <w:rPr>
          <w:rFonts w:eastAsia="Times New Roman"/>
          <w:noProof/>
          <w:color w:val="000000" w:themeColor="text1"/>
        </w:rPr>
        <w:t xml:space="preserve"> of </w:t>
      </w:r>
      <w:r w:rsidRPr="00726D52">
        <w:rPr>
          <w:rStyle w:val="Strong"/>
          <w:rFonts w:eastAsia="Times New Roman"/>
          <w:noProof/>
          <w:color w:val="000000" w:themeColor="text1"/>
        </w:rPr>
        <w:t xml:space="preserve">EUR </w:t>
      </w:r>
      <w:r w:rsidRPr="00726D52">
        <w:rPr>
          <w:rStyle w:val="Strong"/>
          <w:rFonts w:eastAsia="Times New Roman"/>
          <w:noProof/>
          <w:color w:val="000000" w:themeColor="text1"/>
        </w:rPr>
        <w:lastRenderedPageBreak/>
        <w:t>0.6 million per year for the Cloud</w:t>
      </w:r>
      <w:r w:rsidRPr="00726D52">
        <w:rPr>
          <w:rFonts w:eastAsia="Times New Roman"/>
          <w:noProof/>
          <w:color w:val="000000" w:themeColor="text1"/>
        </w:rPr>
        <w:t xml:space="preserve"> </w:t>
      </w:r>
      <w:r w:rsidR="00FD4983" w:rsidRPr="00726D52">
        <w:rPr>
          <w:rFonts w:eastAsia="Times New Roman"/>
          <w:noProof/>
          <w:color w:val="000000" w:themeColor="text1"/>
        </w:rPr>
        <w:t xml:space="preserve">(approximately EUR 4.2 million cumulatively over the 2028–2034 MFF period) </w:t>
      </w:r>
      <w:r w:rsidR="0C676A88" w:rsidRPr="00726D52">
        <w:rPr>
          <w:rFonts w:eastAsia="Times New Roman"/>
          <w:noProof/>
          <w:color w:val="000000" w:themeColor="text1"/>
        </w:rPr>
        <w:t xml:space="preserve">to maintain the national law enforcement ICT architecture up to the evolving common standards </w:t>
      </w:r>
      <w:r w:rsidRPr="00726D52">
        <w:rPr>
          <w:rFonts w:eastAsia="Times New Roman"/>
          <w:noProof/>
          <w:color w:val="000000" w:themeColor="text1"/>
        </w:rPr>
        <w:t xml:space="preserve">and </w:t>
      </w:r>
      <w:r w:rsidRPr="00726D52">
        <w:rPr>
          <w:rStyle w:val="Strong"/>
          <w:rFonts w:eastAsia="Times New Roman"/>
          <w:noProof/>
          <w:color w:val="000000" w:themeColor="text1"/>
        </w:rPr>
        <w:t>EUR 10.8 million per year for the Digital ID</w:t>
      </w:r>
      <w:r w:rsidR="689D177F" w:rsidRPr="00726D52">
        <w:rPr>
          <w:rStyle w:val="Strong"/>
          <w:rFonts w:eastAsia="Times New Roman"/>
          <w:noProof/>
          <w:color w:val="000000" w:themeColor="text1"/>
        </w:rPr>
        <w:t xml:space="preserve"> </w:t>
      </w:r>
      <w:r w:rsidR="00A87A91" w:rsidRPr="00726D52">
        <w:rPr>
          <w:rFonts w:eastAsia="Times New Roman"/>
          <w:noProof/>
          <w:color w:val="000000" w:themeColor="text1"/>
        </w:rPr>
        <w:t>(approximately EUR 75.6 million cumulatively over the 2028–2034 MFF period)</w:t>
      </w:r>
      <w:r w:rsidR="00A87A91" w:rsidRPr="00726D52">
        <w:rPr>
          <w:rFonts w:eastAsia="Times New Roman"/>
          <w:b/>
          <w:bCs/>
          <w:noProof/>
          <w:color w:val="000000" w:themeColor="text1"/>
        </w:rPr>
        <w:t xml:space="preserve"> </w:t>
      </w:r>
      <w:r w:rsidR="689D177F" w:rsidRPr="00726D52">
        <w:rPr>
          <w:rStyle w:val="Strong"/>
          <w:rFonts w:eastAsia="Times New Roman"/>
          <w:b w:val="0"/>
          <w:bCs w:val="0"/>
          <w:noProof/>
          <w:color w:val="000000" w:themeColor="text1"/>
        </w:rPr>
        <w:t>for the Digital ID to insure the level of authentication against the Police Cloud is maintained over time up to the latest standards and is kept available to the evolving investigators’ staff.</w:t>
      </w:r>
    </w:p>
    <w:p w14:paraId="11457109" w14:textId="63B4574B"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For Europol, </w:t>
      </w:r>
      <w:r w:rsidRPr="00726D52">
        <w:rPr>
          <w:rFonts w:eastAsia="Times New Roman"/>
          <w:i/>
          <w:noProof/>
          <w:color w:val="000000" w:themeColor="text1"/>
        </w:rPr>
        <w:t>one-off investments</w:t>
      </w:r>
      <w:r w:rsidRPr="00726D52">
        <w:rPr>
          <w:rFonts w:eastAsia="Times New Roman"/>
          <w:noProof/>
          <w:color w:val="000000" w:themeColor="text1"/>
        </w:rPr>
        <w:t xml:space="preserve"> amount to </w:t>
      </w:r>
      <w:r w:rsidRPr="00726D52">
        <w:rPr>
          <w:rStyle w:val="Strong"/>
          <w:rFonts w:eastAsia="Times New Roman"/>
          <w:noProof/>
          <w:color w:val="000000" w:themeColor="text1"/>
        </w:rPr>
        <w:t xml:space="preserve">EUR </w:t>
      </w:r>
      <w:r w:rsidR="00CF3F32" w:rsidRPr="00726D52">
        <w:rPr>
          <w:rStyle w:val="Strong"/>
          <w:rFonts w:eastAsia="Times New Roman"/>
          <w:noProof/>
          <w:color w:val="000000" w:themeColor="text1"/>
        </w:rPr>
        <w:t>143.7</w:t>
      </w:r>
      <w:r w:rsidRPr="00726D52">
        <w:rPr>
          <w:rStyle w:val="Strong"/>
          <w:rFonts w:eastAsia="Times New Roman"/>
          <w:noProof/>
          <w:color w:val="000000" w:themeColor="text1"/>
        </w:rPr>
        <w:t xml:space="preserve"> million for the EU Police Cloud</w:t>
      </w:r>
      <w:r w:rsidRPr="00726D52">
        <w:rPr>
          <w:rFonts w:eastAsia="Times New Roman"/>
          <w:noProof/>
          <w:color w:val="000000" w:themeColor="text1"/>
        </w:rPr>
        <w:t xml:space="preserve"> </w:t>
      </w:r>
      <w:r w:rsidR="44F41D97" w:rsidRPr="00726D52">
        <w:rPr>
          <w:rFonts w:eastAsia="Times New Roman"/>
          <w:noProof/>
          <w:color w:val="000000" w:themeColor="text1"/>
        </w:rPr>
        <w:t xml:space="preserve">which account for the extensive migration of operational data processing operated by Europol to a platform based </w:t>
      </w:r>
      <w:r w:rsidR="35BF2249" w:rsidRPr="00726D52">
        <w:rPr>
          <w:rFonts w:eastAsia="Times New Roman"/>
          <w:noProof/>
          <w:color w:val="000000" w:themeColor="text1"/>
        </w:rPr>
        <w:t xml:space="preserve">self-service </w:t>
      </w:r>
      <w:r w:rsidR="44F41D97" w:rsidRPr="00726D52">
        <w:rPr>
          <w:rFonts w:eastAsia="Times New Roman"/>
          <w:noProof/>
          <w:color w:val="000000" w:themeColor="text1"/>
        </w:rPr>
        <w:t xml:space="preserve">architecture, (applications such as EIS, analysis projects, biometric identification, crypto asset tracing, </w:t>
      </w:r>
      <w:r w:rsidR="00581886" w:rsidRPr="00726D52">
        <w:rPr>
          <w:rFonts w:eastAsia="Times New Roman"/>
          <w:noProof/>
          <w:color w:val="000000" w:themeColor="text1"/>
        </w:rPr>
        <w:t>OSINT</w:t>
      </w:r>
      <w:r w:rsidR="31E8C008" w:rsidRPr="00726D52">
        <w:rPr>
          <w:rFonts w:eastAsia="Times New Roman"/>
          <w:noProof/>
          <w:color w:val="000000" w:themeColor="text1"/>
        </w:rPr>
        <w:t xml:space="preserve">, digital forensics </w:t>
      </w:r>
      <w:r w:rsidR="44F41D97" w:rsidRPr="00726D52">
        <w:rPr>
          <w:rFonts w:eastAsia="Times New Roman"/>
          <w:noProof/>
          <w:color w:val="000000" w:themeColor="text1"/>
        </w:rPr>
        <w:t xml:space="preserve">and especially those limited to Europol’s analysts) for the establishment of harmonized technical rules applicable to national ICT infrastructures, and for the initial set-up costs of Cloud Services, particularly for classified information </w:t>
      </w:r>
      <w:r w:rsidRPr="00726D52">
        <w:rPr>
          <w:rFonts w:eastAsia="Times New Roman"/>
          <w:noProof/>
          <w:color w:val="000000" w:themeColor="text1"/>
        </w:rPr>
        <w:t xml:space="preserve">and </w:t>
      </w:r>
      <w:r w:rsidRPr="00726D52">
        <w:rPr>
          <w:rStyle w:val="Strong"/>
          <w:rFonts w:eastAsia="Times New Roman"/>
          <w:noProof/>
          <w:color w:val="000000" w:themeColor="text1"/>
        </w:rPr>
        <w:t>EUR 2.5 million for the EU Police Digital ID</w:t>
      </w:r>
      <w:r w:rsidR="44B2CB6E" w:rsidRPr="00726D52">
        <w:rPr>
          <w:rStyle w:val="Strong"/>
          <w:rFonts w:eastAsia="Times New Roman"/>
          <w:noProof/>
          <w:color w:val="000000" w:themeColor="text1"/>
        </w:rPr>
        <w:t xml:space="preserve"> </w:t>
      </w:r>
      <w:r w:rsidR="44B2CB6E" w:rsidRPr="00726D52">
        <w:rPr>
          <w:rStyle w:val="Strong"/>
          <w:rFonts w:eastAsia="Times New Roman"/>
          <w:b w:val="0"/>
          <w:bCs w:val="0"/>
          <w:noProof/>
          <w:color w:val="000000" w:themeColor="text1"/>
        </w:rPr>
        <w:t xml:space="preserve">for renovating Europol’s identity and access management (IAM) platform and establishing harmonized rules for national authorities issuing such IDs. </w:t>
      </w:r>
      <w:r w:rsidR="44B2CB6E" w:rsidRPr="00726D52">
        <w:rPr>
          <w:rStyle w:val="Strong"/>
          <w:rFonts w:eastAsia="Times New Roman"/>
          <w:b w:val="0"/>
          <w:i/>
          <w:noProof/>
          <w:color w:val="000000" w:themeColor="text1"/>
        </w:rPr>
        <w:t>R</w:t>
      </w:r>
      <w:r w:rsidRPr="00726D52">
        <w:rPr>
          <w:rFonts w:eastAsia="Times New Roman"/>
          <w:i/>
          <w:noProof/>
          <w:color w:val="000000" w:themeColor="text1"/>
        </w:rPr>
        <w:t xml:space="preserve">ecurring </w:t>
      </w:r>
      <w:r w:rsidRPr="00726D52">
        <w:rPr>
          <w:rFonts w:eastAsia="Times New Roman"/>
          <w:noProof/>
          <w:color w:val="000000" w:themeColor="text1"/>
        </w:rPr>
        <w:t xml:space="preserve">costs are estimated at </w:t>
      </w:r>
      <w:r w:rsidRPr="00726D52">
        <w:rPr>
          <w:rStyle w:val="Strong"/>
          <w:rFonts w:eastAsia="Times New Roman"/>
          <w:noProof/>
          <w:color w:val="000000" w:themeColor="text1"/>
        </w:rPr>
        <w:t xml:space="preserve">EUR </w:t>
      </w:r>
      <w:r w:rsidR="00CF3F32" w:rsidRPr="00726D52">
        <w:rPr>
          <w:rStyle w:val="Strong"/>
          <w:rFonts w:eastAsia="Times New Roman"/>
          <w:noProof/>
          <w:color w:val="000000" w:themeColor="text1"/>
        </w:rPr>
        <w:t>39.8</w:t>
      </w:r>
      <w:r w:rsidRPr="00726D52">
        <w:rPr>
          <w:rStyle w:val="Strong"/>
          <w:rFonts w:eastAsia="Times New Roman"/>
          <w:noProof/>
          <w:color w:val="000000" w:themeColor="text1"/>
        </w:rPr>
        <w:t xml:space="preserve"> million </w:t>
      </w:r>
      <w:r w:rsidR="00A87A91" w:rsidRPr="00726D52">
        <w:rPr>
          <w:rStyle w:val="Strong"/>
          <w:rFonts w:eastAsia="Times New Roman"/>
          <w:noProof/>
          <w:color w:val="000000" w:themeColor="text1"/>
        </w:rPr>
        <w:t>annually</w:t>
      </w:r>
      <w:r w:rsidRPr="00726D52">
        <w:rPr>
          <w:rStyle w:val="Strong"/>
          <w:rFonts w:eastAsia="Times New Roman"/>
          <w:noProof/>
          <w:color w:val="000000" w:themeColor="text1"/>
        </w:rPr>
        <w:t xml:space="preserve"> for the Cloud</w:t>
      </w:r>
      <w:r w:rsidR="00041952" w:rsidRPr="00726D52">
        <w:rPr>
          <w:rStyle w:val="Strong"/>
          <w:rFonts w:eastAsia="Times New Roman"/>
          <w:noProof/>
          <w:color w:val="000000" w:themeColor="text1"/>
        </w:rPr>
        <w:t>,</w:t>
      </w:r>
      <w:r w:rsidR="00041952" w:rsidRPr="00726D52">
        <w:rPr>
          <w:noProof/>
        </w:rPr>
        <w:t xml:space="preserve"> </w:t>
      </w:r>
      <w:r w:rsidR="00041952" w:rsidRPr="00726D52">
        <w:rPr>
          <w:rFonts w:eastAsia="Times New Roman"/>
          <w:noProof/>
          <w:color w:val="000000" w:themeColor="text1"/>
        </w:rPr>
        <w:t>corresponding to around EUR 278.6 million cumulatively over the 2028–2034 MFF period</w:t>
      </w:r>
      <w:r w:rsidR="00041952" w:rsidRPr="00726D52">
        <w:rPr>
          <w:rFonts w:eastAsia="Times New Roman"/>
          <w:b/>
          <w:bCs/>
          <w:noProof/>
          <w:color w:val="000000" w:themeColor="text1"/>
        </w:rPr>
        <w:t>,</w:t>
      </w:r>
      <w:r w:rsidRPr="00726D52">
        <w:rPr>
          <w:rFonts w:eastAsia="Times New Roman"/>
          <w:noProof/>
          <w:color w:val="000000" w:themeColor="text1"/>
        </w:rPr>
        <w:t xml:space="preserve"> </w:t>
      </w:r>
      <w:r w:rsidR="61D5B681" w:rsidRPr="00726D52">
        <w:rPr>
          <w:rFonts w:eastAsia="Times New Roman"/>
          <w:noProof/>
          <w:color w:val="000000" w:themeColor="text1"/>
        </w:rPr>
        <w:t>to maintain</w:t>
      </w:r>
      <w:r w:rsidRPr="00726D52">
        <w:rPr>
          <w:rFonts w:eastAsia="Times New Roman"/>
          <w:noProof/>
          <w:color w:val="000000" w:themeColor="text1"/>
        </w:rPr>
        <w:t xml:space="preserve"> and </w:t>
      </w:r>
      <w:r w:rsidR="61D5B681" w:rsidRPr="00726D52">
        <w:rPr>
          <w:rFonts w:eastAsia="Times New Roman"/>
          <w:noProof/>
          <w:color w:val="000000" w:themeColor="text1"/>
        </w:rPr>
        <w:t xml:space="preserve">develop the portfolio of online applications </w:t>
      </w:r>
      <w:r w:rsidR="59460F36" w:rsidRPr="00726D52">
        <w:rPr>
          <w:rFonts w:eastAsia="Times New Roman"/>
          <w:noProof/>
          <w:color w:val="000000" w:themeColor="text1"/>
        </w:rPr>
        <w:t xml:space="preserve">and most importantly </w:t>
      </w:r>
      <w:r w:rsidR="61D5B681" w:rsidRPr="00726D52">
        <w:rPr>
          <w:rFonts w:eastAsia="Times New Roman"/>
          <w:noProof/>
          <w:color w:val="000000" w:themeColor="text1"/>
        </w:rPr>
        <w:t xml:space="preserve">for </w:t>
      </w:r>
      <w:r w:rsidR="02C70366" w:rsidRPr="00726D52">
        <w:rPr>
          <w:rFonts w:eastAsia="Times New Roman"/>
          <w:noProof/>
          <w:color w:val="000000" w:themeColor="text1"/>
        </w:rPr>
        <w:t>operating</w:t>
      </w:r>
      <w:r w:rsidR="61D5B681" w:rsidRPr="00726D52">
        <w:rPr>
          <w:rFonts w:eastAsia="Times New Roman"/>
          <w:noProof/>
          <w:color w:val="000000" w:themeColor="text1"/>
        </w:rPr>
        <w:t xml:space="preserve"> the online service </w:t>
      </w:r>
      <w:r w:rsidRPr="00726D52">
        <w:rPr>
          <w:rFonts w:eastAsia="Times New Roman"/>
          <w:noProof/>
          <w:color w:val="000000" w:themeColor="text1"/>
        </w:rPr>
        <w:t xml:space="preserve">and </w:t>
      </w:r>
      <w:r w:rsidRPr="00726D52">
        <w:rPr>
          <w:rStyle w:val="Strong"/>
          <w:rFonts w:eastAsia="Times New Roman"/>
          <w:noProof/>
          <w:color w:val="000000" w:themeColor="text1"/>
        </w:rPr>
        <w:t>EUR 0.5 million per year for the Digital ID</w:t>
      </w:r>
      <w:r w:rsidR="4F0E8DBD" w:rsidRPr="00726D52">
        <w:rPr>
          <w:rStyle w:val="Strong"/>
          <w:rFonts w:eastAsia="Times New Roman"/>
          <w:noProof/>
          <w:color w:val="000000" w:themeColor="text1"/>
        </w:rPr>
        <w:t xml:space="preserve"> </w:t>
      </w:r>
      <w:r w:rsidR="00734279" w:rsidRPr="00726D52">
        <w:rPr>
          <w:rStyle w:val="Strong"/>
          <w:rFonts w:eastAsia="Times New Roman"/>
          <w:b w:val="0"/>
          <w:bCs w:val="0"/>
          <w:noProof/>
          <w:color w:val="000000" w:themeColor="text1"/>
        </w:rPr>
        <w:t>(</w:t>
      </w:r>
      <w:r w:rsidR="00734279" w:rsidRPr="00726D52">
        <w:rPr>
          <w:rFonts w:eastAsia="Times New Roman"/>
          <w:bCs/>
          <w:noProof/>
          <w:color w:val="000000" w:themeColor="text1"/>
        </w:rPr>
        <w:t>around</w:t>
      </w:r>
      <w:r w:rsidR="00734279" w:rsidRPr="00726D52">
        <w:rPr>
          <w:rFonts w:eastAsia="Times New Roman"/>
          <w:b/>
          <w:noProof/>
          <w:color w:val="000000" w:themeColor="text1"/>
        </w:rPr>
        <w:t xml:space="preserve"> </w:t>
      </w:r>
      <w:r w:rsidR="00734279" w:rsidRPr="00726D52">
        <w:rPr>
          <w:rFonts w:eastAsia="Times New Roman"/>
          <w:bCs/>
          <w:noProof/>
          <w:color w:val="000000" w:themeColor="text1"/>
        </w:rPr>
        <w:t>EUR 3.5 million cumulatively over the 2028</w:t>
      </w:r>
      <w:r w:rsidR="00B277A8">
        <w:rPr>
          <w:rFonts w:eastAsia="Times New Roman"/>
          <w:bCs/>
          <w:noProof/>
          <w:color w:val="000000" w:themeColor="text1"/>
        </w:rPr>
        <w:t>-</w:t>
      </w:r>
      <w:r w:rsidR="00734279" w:rsidRPr="00726D52">
        <w:rPr>
          <w:rFonts w:eastAsia="Times New Roman"/>
          <w:bCs/>
          <w:noProof/>
          <w:color w:val="000000" w:themeColor="text1"/>
        </w:rPr>
        <w:t>2034 MFF period)</w:t>
      </w:r>
      <w:r w:rsidR="00734279" w:rsidRPr="00726D52">
        <w:rPr>
          <w:rFonts w:eastAsia="Times New Roman"/>
          <w:b/>
          <w:noProof/>
          <w:color w:val="000000" w:themeColor="text1"/>
        </w:rPr>
        <w:t xml:space="preserve"> </w:t>
      </w:r>
      <w:r w:rsidR="4F0E8DBD" w:rsidRPr="00726D52">
        <w:rPr>
          <w:rStyle w:val="Strong"/>
          <w:rFonts w:eastAsia="Times New Roman"/>
          <w:b w:val="0"/>
          <w:bCs w:val="0"/>
          <w:noProof/>
          <w:color w:val="000000" w:themeColor="text1"/>
        </w:rPr>
        <w:t>for maintaining both the IAM platform and stirring the evolution of common standards on a Police Digital Identity at EU level</w:t>
      </w:r>
      <w:r w:rsidRPr="00726D52">
        <w:rPr>
          <w:rFonts w:eastAsia="Times New Roman"/>
          <w:noProof/>
          <w:color w:val="000000" w:themeColor="text1"/>
        </w:rPr>
        <w:t>. These costs cover infrastructure development, secure hosting environments, identity and access management solutions, system integration, data migration, cybersecurity safeguards, and ongoing technical management.</w:t>
      </w:r>
    </w:p>
    <w:p w14:paraId="543D2D10" w14:textId="46CC74B1" w:rsidR="00181F4A" w:rsidRPr="00726D52" w:rsidRDefault="0D9886C2" w:rsidP="2C37EBCE">
      <w:pPr>
        <w:rPr>
          <w:rFonts w:eastAsia="Times New Roman"/>
          <w:noProof/>
          <w:color w:val="000000" w:themeColor="text1"/>
        </w:rPr>
      </w:pPr>
      <w:r w:rsidRPr="00726D52">
        <w:rPr>
          <w:rFonts w:eastAsia="Times New Roman"/>
          <w:noProof/>
          <w:color w:val="000000" w:themeColor="text1"/>
        </w:rPr>
        <w:t>Despite the scale of the initial expenditure, these investments represent a structural modernisation of EU law enforcement digital capabilities. By consolidating processing environments, standardising secure access through a common Digital ID, and reducing fragmentation across disparate national systems, the initiative is expected to generate significant long-term efficiencies. Cost savings will stem from economies of scale, reduced duplication of infrastructure, lower maintenance overhead, and streamlined cross-border data exchange. Member States benefit from significant cost efficiencies, including reduced investments in hardware, software licenses, maintenance and IT staffing, with indicative savings estimated at 15</w:t>
      </w:r>
      <w:r w:rsidR="00B277A8">
        <w:rPr>
          <w:rFonts w:eastAsia="Times New Roman"/>
          <w:noProof/>
          <w:color w:val="000000" w:themeColor="text1"/>
        </w:rPr>
        <w:t>-</w:t>
      </w:r>
      <w:r w:rsidRPr="00726D52">
        <w:rPr>
          <w:rFonts w:eastAsia="Times New Roman"/>
          <w:noProof/>
          <w:color w:val="000000" w:themeColor="text1"/>
        </w:rPr>
        <w:t>30 % compared to independent deployments. Operationally, national authorities gain faster access to cross-border data, harmonised analytical outputs, and real-time collaboration capabilities, while reducing duplication of effort and inconsistencies between systems.</w:t>
      </w:r>
    </w:p>
    <w:p w14:paraId="18AB091A" w14:textId="758A5467" w:rsidR="00181F4A" w:rsidRPr="00726D52" w:rsidRDefault="0D9886C2" w:rsidP="2C37EBCE">
      <w:pPr>
        <w:rPr>
          <w:rFonts w:eastAsia="Times New Roman"/>
          <w:noProof/>
          <w:color w:val="000000" w:themeColor="text1"/>
        </w:rPr>
      </w:pPr>
      <w:r w:rsidRPr="00726D52">
        <w:rPr>
          <w:rFonts w:eastAsia="Times New Roman"/>
          <w:noProof/>
          <w:color w:val="000000" w:themeColor="text1"/>
        </w:rPr>
        <w:t>Over time, the enhanced processing capacity and secure digital architecture will enable faster analytics, improved operational coordination, and more automated workflows. These efficiencies allow both Europol and Member States to reallocate resources toward strategic and operational priorities, strengthening collective investigative capabilities while ensuring a scalable, secure, and future-proof digital backbone for EU internal security cooperation.</w:t>
      </w:r>
    </w:p>
    <w:p w14:paraId="1D83D685" w14:textId="66F19BF6" w:rsidR="00181F4A" w:rsidRPr="00726D52" w:rsidRDefault="00AC7D49" w:rsidP="000564D7">
      <w:pPr>
        <w:pStyle w:val="Heading3"/>
        <w:numPr>
          <w:ilvl w:val="0"/>
          <w:numId w:val="0"/>
        </w:numPr>
        <w:rPr>
          <w:b/>
          <w:noProof/>
          <w:color w:val="000000" w:themeColor="text1"/>
          <w:u w:val="single"/>
        </w:rPr>
      </w:pPr>
      <w:r w:rsidRPr="00726D52">
        <w:rPr>
          <w:b/>
          <w:i w:val="0"/>
          <w:noProof/>
          <w:color w:val="000000" w:themeColor="text1"/>
          <w:szCs w:val="24"/>
          <w:u w:val="single"/>
        </w:rPr>
        <w:lastRenderedPageBreak/>
        <w:t>Sub p</w:t>
      </w:r>
      <w:r w:rsidR="0D9886C2" w:rsidRPr="00726D52">
        <w:rPr>
          <w:b/>
          <w:i w:val="0"/>
          <w:noProof/>
          <w:color w:val="000000" w:themeColor="text1"/>
          <w:szCs w:val="24"/>
          <w:u w:val="single"/>
        </w:rPr>
        <w:t>olicy option 2.4</w:t>
      </w:r>
      <w:r w:rsidR="0D9886C2" w:rsidRPr="00726D52">
        <w:rPr>
          <w:b/>
          <w:bCs/>
          <w:i w:val="0"/>
          <w:noProof/>
          <w:color w:val="000000" w:themeColor="text1"/>
          <w:szCs w:val="24"/>
        </w:rPr>
        <w:t>:</w:t>
      </w:r>
      <w:r w:rsidR="0D9886C2" w:rsidRPr="00726D52">
        <w:rPr>
          <w:b/>
          <w:i w:val="0"/>
          <w:noProof/>
          <w:color w:val="000000" w:themeColor="text1"/>
          <w:szCs w:val="24"/>
        </w:rPr>
        <w:t xml:space="preserve"> Measure 2 </w:t>
      </w:r>
      <w:r w:rsidRPr="00726D52">
        <w:rPr>
          <w:b/>
          <w:i w:val="0"/>
          <w:noProof/>
          <w:color w:val="000000" w:themeColor="text1"/>
          <w:szCs w:val="24"/>
        </w:rPr>
        <w:t>on</w:t>
      </w:r>
      <w:r w:rsidR="00E7792B" w:rsidRPr="00726D52">
        <w:rPr>
          <w:b/>
          <w:i w:val="0"/>
          <w:noProof/>
          <w:color w:val="000000" w:themeColor="text1"/>
          <w:szCs w:val="24"/>
        </w:rPr>
        <w:t xml:space="preserve"> </w:t>
      </w:r>
      <w:r w:rsidR="0D9886C2" w:rsidRPr="00726D52">
        <w:rPr>
          <w:b/>
          <w:i w:val="0"/>
          <w:noProof/>
          <w:color w:val="000000" w:themeColor="text1"/>
          <w:szCs w:val="24"/>
        </w:rPr>
        <w:t>Europol support offices</w:t>
      </w:r>
    </w:p>
    <w:p w14:paraId="58D4C828" w14:textId="10146F62"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Taking into account </w:t>
      </w:r>
      <w:r w:rsidRPr="00726D52">
        <w:rPr>
          <w:rFonts w:eastAsia="Times New Roman"/>
          <w:b/>
          <w:noProof/>
          <w:color w:val="000000" w:themeColor="text1"/>
        </w:rPr>
        <w:t>standard EU employment costs</w:t>
      </w:r>
      <w:r w:rsidRPr="00726D52">
        <w:rPr>
          <w:rFonts w:eastAsia="Times New Roman"/>
          <w:noProof/>
          <w:color w:val="000000" w:themeColor="text1"/>
        </w:rPr>
        <w:t xml:space="preserve">, including salaries, social security contributions, expatriation and household allowances where applicable, as well as limited operational expenditure such as secure IT connectivity, encrypted communications, basic office equipment and essential coordination travel, a modest Europol support office would be expected to generate </w:t>
      </w:r>
      <w:r w:rsidRPr="00726D52">
        <w:rPr>
          <w:rFonts w:eastAsia="Times New Roman"/>
          <w:b/>
          <w:noProof/>
          <w:color w:val="000000" w:themeColor="text1"/>
        </w:rPr>
        <w:t>EU-level costs in the range of approximately EUR 400,000 to EUR 650,000 per year</w:t>
      </w:r>
      <w:r w:rsidRPr="00726D52">
        <w:rPr>
          <w:rFonts w:eastAsia="Times New Roman"/>
          <w:noProof/>
          <w:color w:val="000000" w:themeColor="text1"/>
        </w:rPr>
        <w:t>. This estimate assumes a small footprint structure, composed of a limited number of specialised staff embedded in or co-located with relevant national counterparts, without requiring significant infrastructure investment.</w:t>
      </w:r>
    </w:p>
    <w:p w14:paraId="789DE9E5" w14:textId="24917E94"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Under a </w:t>
      </w:r>
      <w:r w:rsidRPr="00726D52">
        <w:rPr>
          <w:rFonts w:eastAsia="Times New Roman"/>
          <w:b/>
          <w:noProof/>
          <w:color w:val="000000" w:themeColor="text1"/>
        </w:rPr>
        <w:t>limited rollout scenario of five to ten Europol support offices</w:t>
      </w:r>
      <w:r w:rsidRPr="00726D52">
        <w:rPr>
          <w:rFonts w:eastAsia="Times New Roman"/>
          <w:noProof/>
          <w:color w:val="000000" w:themeColor="text1"/>
        </w:rPr>
        <w:t xml:space="preserve">, annual EU-level costs would therefore likely range between approximately </w:t>
      </w:r>
      <w:r w:rsidRPr="00726D52">
        <w:rPr>
          <w:rFonts w:eastAsia="Times New Roman"/>
          <w:b/>
          <w:noProof/>
          <w:color w:val="000000" w:themeColor="text1"/>
        </w:rPr>
        <w:t>EUR 2 million and EUR 6.5 million</w:t>
      </w:r>
      <w:r w:rsidRPr="00726D52">
        <w:rPr>
          <w:rFonts w:eastAsia="Times New Roman"/>
          <w:noProof/>
          <w:color w:val="000000" w:themeColor="text1"/>
        </w:rPr>
        <w:t xml:space="preserve">, </w:t>
      </w:r>
      <w:r w:rsidR="007F7FAC" w:rsidRPr="00726D52">
        <w:rPr>
          <w:rFonts w:eastAsia="Times New Roman"/>
          <w:noProof/>
          <w:color w:val="000000" w:themeColor="text1"/>
        </w:rPr>
        <w:t xml:space="preserve">corresponding to approximately EUR 14 million to EUR 45.5 million cumulatively over the 2028–2034 MFF period, </w:t>
      </w:r>
      <w:r w:rsidRPr="00726D52">
        <w:rPr>
          <w:rFonts w:eastAsia="Times New Roman"/>
          <w:noProof/>
          <w:color w:val="000000" w:themeColor="text1"/>
        </w:rPr>
        <w:t>depending on staffing levels, host-country conditions and the intensity of operational engagement. These estimates remain proportionate, as they reflect a light and scalable deployment model focused on coordination, facilitation and analytical support rather than autonomous operational structures. Over time, such offices could generate indirect efficiency gains by improving information flows, accelerating case coordination and reducing transaction costs linked to cross-border cooperation.</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77"/>
        <w:gridCol w:w="1239"/>
        <w:gridCol w:w="81"/>
        <w:gridCol w:w="1158"/>
        <w:gridCol w:w="162"/>
        <w:gridCol w:w="1077"/>
        <w:gridCol w:w="264"/>
        <w:gridCol w:w="975"/>
        <w:gridCol w:w="132"/>
        <w:gridCol w:w="1107"/>
      </w:tblGrid>
      <w:tr w:rsidR="00020EA9" w:rsidRPr="00726D52" w14:paraId="66C5313F" w14:textId="77777777" w:rsidTr="001C31A0">
        <w:trPr>
          <w:trHeight w:val="300"/>
        </w:trPr>
        <w:tc>
          <w:tcPr>
            <w:tcW w:w="8572" w:type="dxa"/>
            <w:gridSpan w:val="10"/>
            <w:tcBorders>
              <w:top w:val="double" w:sz="6" w:space="0" w:color="auto"/>
              <w:left w:val="double" w:sz="6" w:space="0" w:color="auto"/>
              <w:bottom w:val="single" w:sz="6" w:space="0" w:color="auto"/>
              <w:right w:val="double" w:sz="6" w:space="0" w:color="auto"/>
            </w:tcBorders>
            <w:shd w:val="clear" w:color="auto" w:fill="C6D9F1" w:themeFill="text2" w:themeFillTint="33"/>
            <w:tcMar>
              <w:top w:w="45" w:type="dxa"/>
              <w:left w:w="45" w:type="dxa"/>
              <w:bottom w:w="45" w:type="dxa"/>
              <w:right w:w="45" w:type="dxa"/>
            </w:tcMar>
          </w:tcPr>
          <w:p w14:paraId="77FE02FA" w14:textId="33C269B7" w:rsidR="00020EA9" w:rsidRPr="00726D52" w:rsidRDefault="00020EA9" w:rsidP="001C31A0">
            <w:pPr>
              <w:spacing w:after="0"/>
              <w:rPr>
                <w:noProof/>
                <w:sz w:val="20"/>
                <w:szCs w:val="20"/>
              </w:rPr>
            </w:pPr>
            <w:r w:rsidRPr="00726D52">
              <w:rPr>
                <w:b/>
                <w:bCs/>
                <w:noProof/>
                <w:sz w:val="20"/>
                <w:szCs w:val="20"/>
              </w:rPr>
              <w:t>III. Contribution to the administrative burden reduction targets</w:t>
            </w:r>
          </w:p>
        </w:tc>
      </w:tr>
      <w:tr w:rsidR="00020EA9" w:rsidRPr="00726D52" w14:paraId="2C45E51C" w14:textId="77777777" w:rsidTr="00020EA9">
        <w:trPr>
          <w:trHeight w:val="735"/>
        </w:trPr>
        <w:tc>
          <w:tcPr>
            <w:tcW w:w="2377" w:type="dxa"/>
            <w:tcBorders>
              <w:top w:val="double" w:sz="6" w:space="0" w:color="auto"/>
              <w:left w:val="double" w:sz="6" w:space="0" w:color="auto"/>
              <w:bottom w:val="single" w:sz="0" w:space="0" w:color="auto"/>
              <w:right w:val="double" w:sz="6" w:space="0" w:color="auto"/>
            </w:tcBorders>
            <w:shd w:val="clear" w:color="auto" w:fill="C6D9F1" w:themeFill="text2" w:themeFillTint="33"/>
            <w:tcMar>
              <w:top w:w="45" w:type="dxa"/>
              <w:left w:w="45" w:type="dxa"/>
              <w:bottom w:w="45" w:type="dxa"/>
              <w:right w:w="45" w:type="dxa"/>
            </w:tcMar>
          </w:tcPr>
          <w:p w14:paraId="35FF249D" w14:textId="3CA9ECA6" w:rsidR="00020EA9" w:rsidRPr="00726D52" w:rsidRDefault="00020EA9" w:rsidP="001C31A0">
            <w:pPr>
              <w:spacing w:after="0"/>
              <w:jc w:val="left"/>
              <w:rPr>
                <w:b/>
                <w:bCs/>
                <w:i/>
                <w:iCs/>
                <w:noProof/>
                <w:sz w:val="20"/>
                <w:szCs w:val="20"/>
              </w:rPr>
            </w:pPr>
            <w:r w:rsidRPr="00726D52">
              <w:rPr>
                <w:b/>
                <w:bCs/>
                <w:i/>
                <w:iCs/>
                <w:noProof/>
                <w:sz w:val="20"/>
                <w:szCs w:val="20"/>
              </w:rPr>
              <w:t>Administrative costs</w:t>
            </w:r>
          </w:p>
        </w:tc>
        <w:tc>
          <w:tcPr>
            <w:tcW w:w="1320" w:type="dxa"/>
            <w:gridSpan w:val="2"/>
            <w:tcBorders>
              <w:top w:val="single" w:sz="6" w:space="0" w:color="auto"/>
              <w:left w:val="double" w:sz="6" w:space="0" w:color="auto"/>
              <w:right w:val="double" w:sz="6" w:space="0" w:color="auto"/>
            </w:tcBorders>
            <w:shd w:val="clear" w:color="auto" w:fill="C6D9F1" w:themeFill="text2" w:themeFillTint="33"/>
            <w:tcMar>
              <w:top w:w="45" w:type="dxa"/>
              <w:left w:w="45" w:type="dxa"/>
              <w:bottom w:w="45" w:type="dxa"/>
              <w:right w:w="45" w:type="dxa"/>
            </w:tcMar>
          </w:tcPr>
          <w:p w14:paraId="5DD4258D" w14:textId="3FE64D1C" w:rsidR="00020EA9" w:rsidRPr="00726D52" w:rsidRDefault="00020EA9" w:rsidP="001C31A0">
            <w:pPr>
              <w:spacing w:after="0"/>
              <w:jc w:val="left"/>
              <w:rPr>
                <w:b/>
                <w:bCs/>
                <w:i/>
                <w:iCs/>
                <w:noProof/>
                <w:sz w:val="20"/>
                <w:szCs w:val="20"/>
              </w:rPr>
            </w:pPr>
            <w:r w:rsidRPr="00726D52">
              <w:rPr>
                <w:b/>
                <w:bCs/>
                <w:i/>
                <w:iCs/>
                <w:noProof/>
                <w:sz w:val="20"/>
                <w:szCs w:val="20"/>
              </w:rPr>
              <w:t>New recurrent costs (INs)</w:t>
            </w:r>
          </w:p>
        </w:tc>
        <w:tc>
          <w:tcPr>
            <w:tcW w:w="1320" w:type="dxa"/>
            <w:gridSpan w:val="2"/>
            <w:tcBorders>
              <w:top w:val="single" w:sz="6" w:space="0" w:color="auto"/>
              <w:left w:val="double" w:sz="6" w:space="0" w:color="auto"/>
              <w:right w:val="double" w:sz="6" w:space="0" w:color="auto"/>
            </w:tcBorders>
            <w:shd w:val="clear" w:color="auto" w:fill="C6D9F1" w:themeFill="text2" w:themeFillTint="33"/>
          </w:tcPr>
          <w:p w14:paraId="748B0E50" w14:textId="7B4307DA" w:rsidR="00020EA9" w:rsidRPr="00726D52" w:rsidRDefault="00020EA9" w:rsidP="001C31A0">
            <w:pPr>
              <w:spacing w:after="0"/>
              <w:jc w:val="left"/>
              <w:rPr>
                <w:b/>
                <w:bCs/>
                <w:i/>
                <w:iCs/>
                <w:noProof/>
                <w:sz w:val="20"/>
                <w:szCs w:val="20"/>
              </w:rPr>
            </w:pPr>
            <w:r w:rsidRPr="00726D52">
              <w:rPr>
                <w:b/>
                <w:bCs/>
                <w:i/>
                <w:iCs/>
                <w:noProof/>
                <w:sz w:val="20"/>
                <w:szCs w:val="20"/>
              </w:rPr>
              <w:t>Removed recurrent costs (OUTs)</w:t>
            </w:r>
          </w:p>
        </w:tc>
        <w:tc>
          <w:tcPr>
            <w:tcW w:w="1341" w:type="dxa"/>
            <w:gridSpan w:val="2"/>
            <w:tcBorders>
              <w:top w:val="single" w:sz="6" w:space="0" w:color="auto"/>
              <w:left w:val="double" w:sz="6" w:space="0" w:color="auto"/>
              <w:right w:val="double" w:sz="6" w:space="0" w:color="auto"/>
            </w:tcBorders>
            <w:shd w:val="clear" w:color="auto" w:fill="C6D9F1" w:themeFill="text2" w:themeFillTint="33"/>
          </w:tcPr>
          <w:p w14:paraId="15B1099A" w14:textId="5B5CEFBE" w:rsidR="00020EA9" w:rsidRPr="00726D52" w:rsidRDefault="00020EA9" w:rsidP="001C31A0">
            <w:pPr>
              <w:spacing w:after="0"/>
              <w:jc w:val="left"/>
              <w:rPr>
                <w:b/>
                <w:bCs/>
                <w:i/>
                <w:iCs/>
                <w:noProof/>
                <w:sz w:val="20"/>
                <w:szCs w:val="20"/>
              </w:rPr>
            </w:pPr>
            <w:r w:rsidRPr="00726D52">
              <w:rPr>
                <w:b/>
                <w:bCs/>
                <w:i/>
                <w:iCs/>
                <w:noProof/>
                <w:sz w:val="20"/>
                <w:szCs w:val="20"/>
              </w:rPr>
              <w:t>Net cost (Ins – OUTs)</w:t>
            </w:r>
          </w:p>
        </w:tc>
        <w:tc>
          <w:tcPr>
            <w:tcW w:w="1107" w:type="dxa"/>
            <w:gridSpan w:val="2"/>
            <w:tcBorders>
              <w:top w:val="single" w:sz="6" w:space="0" w:color="auto"/>
              <w:left w:val="double" w:sz="6" w:space="0" w:color="auto"/>
              <w:right w:val="double" w:sz="6" w:space="0" w:color="auto"/>
            </w:tcBorders>
            <w:shd w:val="clear" w:color="auto" w:fill="C6D9F1" w:themeFill="text2" w:themeFillTint="33"/>
          </w:tcPr>
          <w:p w14:paraId="43CA1A35" w14:textId="798372B0" w:rsidR="00020EA9" w:rsidRPr="00726D52" w:rsidRDefault="00020EA9" w:rsidP="001C31A0">
            <w:pPr>
              <w:spacing w:after="0"/>
              <w:jc w:val="left"/>
              <w:rPr>
                <w:b/>
                <w:bCs/>
                <w:i/>
                <w:iCs/>
                <w:noProof/>
                <w:sz w:val="20"/>
                <w:szCs w:val="20"/>
              </w:rPr>
            </w:pPr>
            <w:r w:rsidRPr="00726D52">
              <w:rPr>
                <w:b/>
                <w:bCs/>
                <w:i/>
                <w:iCs/>
                <w:noProof/>
                <w:sz w:val="20"/>
                <w:szCs w:val="20"/>
              </w:rPr>
              <w:t>New one-off costs (Ins)</w:t>
            </w:r>
          </w:p>
        </w:tc>
        <w:tc>
          <w:tcPr>
            <w:tcW w:w="1107" w:type="dxa"/>
            <w:tcBorders>
              <w:top w:val="single" w:sz="6" w:space="0" w:color="auto"/>
              <w:left w:val="double" w:sz="6" w:space="0" w:color="auto"/>
              <w:right w:val="double" w:sz="6" w:space="0" w:color="auto"/>
            </w:tcBorders>
            <w:shd w:val="clear" w:color="auto" w:fill="C6D9F1" w:themeFill="text2" w:themeFillTint="33"/>
          </w:tcPr>
          <w:p w14:paraId="7CB7A51B" w14:textId="165749B1" w:rsidR="00020EA9" w:rsidRPr="00726D52" w:rsidRDefault="00020EA9" w:rsidP="001C31A0">
            <w:pPr>
              <w:spacing w:after="0"/>
              <w:jc w:val="left"/>
              <w:rPr>
                <w:b/>
                <w:bCs/>
                <w:i/>
                <w:iCs/>
                <w:noProof/>
                <w:sz w:val="20"/>
                <w:szCs w:val="20"/>
              </w:rPr>
            </w:pPr>
            <w:r w:rsidRPr="00726D52">
              <w:rPr>
                <w:b/>
                <w:bCs/>
                <w:i/>
                <w:iCs/>
                <w:noProof/>
                <w:sz w:val="20"/>
                <w:szCs w:val="20"/>
              </w:rPr>
              <w:t>Removed one-off costs (OUTs)</w:t>
            </w:r>
          </w:p>
        </w:tc>
      </w:tr>
      <w:tr w:rsidR="00020EA9" w:rsidRPr="00726D52" w14:paraId="53EEBC44" w14:textId="77777777" w:rsidTr="007643F7">
        <w:trPr>
          <w:trHeight w:val="117"/>
        </w:trPr>
        <w:tc>
          <w:tcPr>
            <w:tcW w:w="2377" w:type="dxa"/>
            <w:tcBorders>
              <w:top w:val="single" w:sz="6" w:space="0" w:color="auto"/>
              <w:left w:val="double" w:sz="6" w:space="0" w:color="auto"/>
              <w:bottom w:val="single" w:sz="6" w:space="0" w:color="auto"/>
              <w:right w:val="double" w:sz="6" w:space="0" w:color="auto"/>
            </w:tcBorders>
            <w:tcMar>
              <w:top w:w="45" w:type="dxa"/>
              <w:left w:w="45" w:type="dxa"/>
              <w:bottom w:w="45" w:type="dxa"/>
              <w:right w:w="45" w:type="dxa"/>
            </w:tcMar>
            <w:vAlign w:val="center"/>
          </w:tcPr>
          <w:p w14:paraId="10733705" w14:textId="2D3A54F7" w:rsidR="00020EA9" w:rsidRPr="00726D52" w:rsidRDefault="00020EA9" w:rsidP="00020EA9">
            <w:pPr>
              <w:spacing w:after="0"/>
              <w:jc w:val="left"/>
              <w:rPr>
                <w:noProof/>
                <w:sz w:val="20"/>
                <w:szCs w:val="20"/>
              </w:rPr>
            </w:pPr>
            <w:r w:rsidRPr="00726D52">
              <w:rPr>
                <w:noProof/>
                <w:sz w:val="20"/>
                <w:szCs w:val="20"/>
              </w:rPr>
              <w:t>All businesses</w:t>
            </w:r>
          </w:p>
        </w:tc>
        <w:tc>
          <w:tcPr>
            <w:tcW w:w="1239" w:type="dxa"/>
            <w:tcBorders>
              <w:left w:val="double" w:sz="6" w:space="0" w:color="auto"/>
              <w:right w:val="double" w:sz="6" w:space="0" w:color="auto"/>
            </w:tcBorders>
            <w:tcMar>
              <w:top w:w="45" w:type="dxa"/>
              <w:left w:w="45" w:type="dxa"/>
              <w:bottom w:w="45" w:type="dxa"/>
              <w:right w:w="45" w:type="dxa"/>
            </w:tcMar>
            <w:vAlign w:val="center"/>
          </w:tcPr>
          <w:p w14:paraId="60B17E6F" w14:textId="6EB394FB"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144C5A85" w14:textId="2DD87DFF"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50394CE6" w14:textId="197F19EB"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4147F051" w14:textId="1D035306"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439205A1" w14:textId="24177135" w:rsidR="00020EA9" w:rsidRPr="00726D52" w:rsidRDefault="00020EA9" w:rsidP="00020EA9">
            <w:pPr>
              <w:jc w:val="left"/>
              <w:rPr>
                <w:noProof/>
                <w:sz w:val="20"/>
                <w:szCs w:val="20"/>
              </w:rPr>
            </w:pPr>
            <w:r w:rsidRPr="00726D52">
              <w:rPr>
                <w:noProof/>
                <w:sz w:val="20"/>
                <w:szCs w:val="20"/>
              </w:rPr>
              <w:t>n/a</w:t>
            </w:r>
          </w:p>
        </w:tc>
      </w:tr>
      <w:tr w:rsidR="00020EA9" w:rsidRPr="00726D52" w14:paraId="4E9C20CA" w14:textId="77777777" w:rsidTr="002A5CA1">
        <w:trPr>
          <w:trHeight w:val="114"/>
        </w:trPr>
        <w:tc>
          <w:tcPr>
            <w:tcW w:w="2377" w:type="dxa"/>
            <w:tcBorders>
              <w:top w:val="single" w:sz="6" w:space="0" w:color="auto"/>
              <w:left w:val="double" w:sz="6" w:space="0" w:color="auto"/>
              <w:bottom w:val="single" w:sz="6" w:space="0" w:color="auto"/>
              <w:right w:val="double" w:sz="6" w:space="0" w:color="auto"/>
            </w:tcBorders>
            <w:tcMar>
              <w:top w:w="45" w:type="dxa"/>
              <w:left w:w="45" w:type="dxa"/>
              <w:bottom w:w="45" w:type="dxa"/>
              <w:right w:w="45" w:type="dxa"/>
            </w:tcMar>
            <w:vAlign w:val="center"/>
          </w:tcPr>
          <w:p w14:paraId="54BB6390" w14:textId="2329E9BC" w:rsidR="00020EA9" w:rsidRPr="00726D52" w:rsidRDefault="00020EA9" w:rsidP="00020EA9">
            <w:pPr>
              <w:spacing w:after="0"/>
              <w:jc w:val="right"/>
              <w:rPr>
                <w:noProof/>
                <w:sz w:val="20"/>
                <w:szCs w:val="20"/>
              </w:rPr>
            </w:pPr>
            <w:r w:rsidRPr="00726D52">
              <w:rPr>
                <w:noProof/>
                <w:sz w:val="20"/>
                <w:szCs w:val="20"/>
              </w:rPr>
              <w:t>in which SMEs</w:t>
            </w:r>
          </w:p>
        </w:tc>
        <w:tc>
          <w:tcPr>
            <w:tcW w:w="1239" w:type="dxa"/>
            <w:tcBorders>
              <w:left w:val="double" w:sz="6" w:space="0" w:color="auto"/>
              <w:right w:val="double" w:sz="6" w:space="0" w:color="auto"/>
            </w:tcBorders>
            <w:tcMar>
              <w:top w:w="45" w:type="dxa"/>
              <w:left w:w="45" w:type="dxa"/>
              <w:bottom w:w="45" w:type="dxa"/>
              <w:right w:w="45" w:type="dxa"/>
            </w:tcMar>
          </w:tcPr>
          <w:p w14:paraId="59B6494D" w14:textId="4FFE10BF"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4126ECDC" w14:textId="65666757"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0D597E41" w14:textId="3C11FA01"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3D4D3E48" w14:textId="2394DF14"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33E761B5" w14:textId="325EBFAB" w:rsidR="00020EA9" w:rsidRPr="00726D52" w:rsidRDefault="00020EA9" w:rsidP="00020EA9">
            <w:pPr>
              <w:jc w:val="left"/>
              <w:rPr>
                <w:noProof/>
                <w:sz w:val="20"/>
                <w:szCs w:val="20"/>
              </w:rPr>
            </w:pPr>
            <w:r w:rsidRPr="00726D52">
              <w:rPr>
                <w:noProof/>
                <w:sz w:val="20"/>
                <w:szCs w:val="20"/>
              </w:rPr>
              <w:t>n/a</w:t>
            </w:r>
          </w:p>
        </w:tc>
      </w:tr>
      <w:tr w:rsidR="00020EA9" w:rsidRPr="00726D52" w14:paraId="4969E190" w14:textId="77777777" w:rsidTr="002A5CA1">
        <w:trPr>
          <w:trHeight w:val="114"/>
        </w:trPr>
        <w:tc>
          <w:tcPr>
            <w:tcW w:w="2377" w:type="dxa"/>
            <w:tcBorders>
              <w:top w:val="single" w:sz="6" w:space="0" w:color="auto"/>
              <w:left w:val="double" w:sz="6" w:space="0" w:color="auto"/>
              <w:bottom w:val="single" w:sz="6" w:space="0" w:color="auto"/>
              <w:right w:val="double" w:sz="6" w:space="0" w:color="auto"/>
            </w:tcBorders>
            <w:tcMar>
              <w:top w:w="45" w:type="dxa"/>
              <w:left w:w="45" w:type="dxa"/>
              <w:bottom w:w="45" w:type="dxa"/>
              <w:right w:w="45" w:type="dxa"/>
            </w:tcMar>
            <w:vAlign w:val="center"/>
          </w:tcPr>
          <w:p w14:paraId="56A2BC86" w14:textId="351996C1" w:rsidR="00020EA9" w:rsidRPr="00726D52" w:rsidRDefault="00020EA9" w:rsidP="00020EA9">
            <w:pPr>
              <w:spacing w:after="0"/>
              <w:jc w:val="left"/>
              <w:rPr>
                <w:noProof/>
                <w:sz w:val="20"/>
                <w:szCs w:val="20"/>
              </w:rPr>
            </w:pPr>
            <w:r w:rsidRPr="00726D52">
              <w:rPr>
                <w:noProof/>
                <w:sz w:val="20"/>
                <w:szCs w:val="20"/>
              </w:rPr>
              <w:t>Public administrations</w:t>
            </w:r>
          </w:p>
        </w:tc>
        <w:tc>
          <w:tcPr>
            <w:tcW w:w="1239" w:type="dxa"/>
            <w:tcBorders>
              <w:left w:val="double" w:sz="6" w:space="0" w:color="auto"/>
              <w:right w:val="double" w:sz="6" w:space="0" w:color="auto"/>
            </w:tcBorders>
            <w:tcMar>
              <w:top w:w="45" w:type="dxa"/>
              <w:left w:w="45" w:type="dxa"/>
              <w:bottom w:w="45" w:type="dxa"/>
              <w:right w:w="45" w:type="dxa"/>
            </w:tcMar>
          </w:tcPr>
          <w:p w14:paraId="5684A307" w14:textId="60D557AF"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396F306A" w14:textId="24976E4A"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79A1296C" w14:textId="18B0C398"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36BF090C" w14:textId="213ECA33"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3C274409" w14:textId="77EBD80D" w:rsidR="00020EA9" w:rsidRPr="00726D52" w:rsidRDefault="00020EA9" w:rsidP="00020EA9">
            <w:pPr>
              <w:jc w:val="left"/>
              <w:rPr>
                <w:noProof/>
                <w:sz w:val="20"/>
                <w:szCs w:val="20"/>
              </w:rPr>
            </w:pPr>
            <w:r w:rsidRPr="00726D52">
              <w:rPr>
                <w:noProof/>
                <w:sz w:val="20"/>
                <w:szCs w:val="20"/>
              </w:rPr>
              <w:t>n/a</w:t>
            </w:r>
          </w:p>
        </w:tc>
      </w:tr>
      <w:tr w:rsidR="00020EA9" w:rsidRPr="00726D52" w14:paraId="0ED9CDDE" w14:textId="77777777" w:rsidTr="002A5CA1">
        <w:trPr>
          <w:trHeight w:val="114"/>
        </w:trPr>
        <w:tc>
          <w:tcPr>
            <w:tcW w:w="2377" w:type="dxa"/>
            <w:tcBorders>
              <w:top w:val="single" w:sz="6" w:space="0" w:color="auto"/>
              <w:left w:val="double" w:sz="6" w:space="0" w:color="auto"/>
              <w:right w:val="double" w:sz="6" w:space="0" w:color="auto"/>
            </w:tcBorders>
            <w:tcMar>
              <w:top w:w="45" w:type="dxa"/>
              <w:left w:w="45" w:type="dxa"/>
              <w:bottom w:w="45" w:type="dxa"/>
              <w:right w:w="45" w:type="dxa"/>
            </w:tcMar>
            <w:vAlign w:val="center"/>
          </w:tcPr>
          <w:p w14:paraId="72D0A4A3" w14:textId="0D5429F5" w:rsidR="00020EA9" w:rsidRPr="00726D52" w:rsidRDefault="00020EA9" w:rsidP="00020EA9">
            <w:pPr>
              <w:spacing w:after="0"/>
              <w:jc w:val="left"/>
              <w:rPr>
                <w:noProof/>
                <w:sz w:val="20"/>
                <w:szCs w:val="20"/>
              </w:rPr>
            </w:pPr>
            <w:r w:rsidRPr="00726D52">
              <w:rPr>
                <w:noProof/>
                <w:sz w:val="20"/>
                <w:szCs w:val="20"/>
              </w:rPr>
              <w:t>Citizens</w:t>
            </w:r>
          </w:p>
        </w:tc>
        <w:tc>
          <w:tcPr>
            <w:tcW w:w="1239" w:type="dxa"/>
            <w:tcBorders>
              <w:left w:val="double" w:sz="6" w:space="0" w:color="auto"/>
              <w:right w:val="double" w:sz="6" w:space="0" w:color="auto"/>
            </w:tcBorders>
            <w:tcMar>
              <w:top w:w="45" w:type="dxa"/>
              <w:left w:w="45" w:type="dxa"/>
              <w:bottom w:w="45" w:type="dxa"/>
              <w:right w:w="45" w:type="dxa"/>
            </w:tcMar>
          </w:tcPr>
          <w:p w14:paraId="7858A428" w14:textId="7391CEC8"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7B9E9D99" w14:textId="606EE61F"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0F10EC4C" w14:textId="504C5FC8"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1745E0E0" w14:textId="00DFC865" w:rsidR="00020EA9" w:rsidRPr="00726D52" w:rsidRDefault="00020EA9" w:rsidP="00020EA9">
            <w:pPr>
              <w:jc w:val="left"/>
              <w:rPr>
                <w:noProof/>
                <w:sz w:val="20"/>
                <w:szCs w:val="20"/>
              </w:rPr>
            </w:pPr>
            <w:r w:rsidRPr="00726D52">
              <w:rPr>
                <w:noProof/>
                <w:sz w:val="20"/>
                <w:szCs w:val="20"/>
              </w:rPr>
              <w:t>n/a</w:t>
            </w:r>
          </w:p>
        </w:tc>
        <w:tc>
          <w:tcPr>
            <w:tcW w:w="1239" w:type="dxa"/>
            <w:gridSpan w:val="2"/>
            <w:tcBorders>
              <w:left w:val="double" w:sz="6" w:space="0" w:color="auto"/>
              <w:right w:val="double" w:sz="6" w:space="0" w:color="auto"/>
            </w:tcBorders>
          </w:tcPr>
          <w:p w14:paraId="4948F487" w14:textId="2DCC5383" w:rsidR="00020EA9" w:rsidRPr="00726D52" w:rsidRDefault="00020EA9" w:rsidP="00020EA9">
            <w:pPr>
              <w:jc w:val="left"/>
              <w:rPr>
                <w:noProof/>
                <w:sz w:val="20"/>
                <w:szCs w:val="20"/>
              </w:rPr>
            </w:pPr>
            <w:r w:rsidRPr="00726D52">
              <w:rPr>
                <w:noProof/>
                <w:sz w:val="20"/>
                <w:szCs w:val="20"/>
              </w:rPr>
              <w:t>n/a</w:t>
            </w:r>
          </w:p>
        </w:tc>
      </w:tr>
    </w:tbl>
    <w:p w14:paraId="2E0B00B3" w14:textId="77777777" w:rsidR="00020EA9" w:rsidRPr="00726D52" w:rsidRDefault="00020EA9" w:rsidP="2C37EBCE">
      <w:pPr>
        <w:rPr>
          <w:rFonts w:eastAsia="Times New Roman"/>
          <w:noProof/>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038"/>
        <w:gridCol w:w="5534"/>
      </w:tblGrid>
      <w:tr w:rsidR="005A2D44" w:rsidRPr="00726D52" w14:paraId="0508C23C" w14:textId="77777777" w:rsidTr="005A2D44">
        <w:trPr>
          <w:trHeight w:val="300"/>
        </w:trPr>
        <w:tc>
          <w:tcPr>
            <w:tcW w:w="8572" w:type="dxa"/>
            <w:gridSpan w:val="2"/>
            <w:tcBorders>
              <w:top w:val="double" w:sz="6" w:space="0" w:color="auto"/>
              <w:left w:val="double" w:sz="6" w:space="0" w:color="auto"/>
              <w:bottom w:val="single" w:sz="6" w:space="0" w:color="auto"/>
              <w:right w:val="double" w:sz="6" w:space="0" w:color="auto"/>
            </w:tcBorders>
            <w:shd w:val="clear" w:color="auto" w:fill="C6D9F1" w:themeFill="text2" w:themeFillTint="33"/>
            <w:tcMar>
              <w:top w:w="45" w:type="dxa"/>
              <w:left w:w="45" w:type="dxa"/>
              <w:bottom w:w="45" w:type="dxa"/>
              <w:right w:w="45" w:type="dxa"/>
            </w:tcMar>
          </w:tcPr>
          <w:p w14:paraId="57A58C6B" w14:textId="1D60F315" w:rsidR="005A2D44" w:rsidRPr="00726D52" w:rsidRDefault="005A2D44" w:rsidP="001C31A0">
            <w:pPr>
              <w:spacing w:after="0"/>
              <w:rPr>
                <w:noProof/>
                <w:sz w:val="20"/>
                <w:szCs w:val="20"/>
              </w:rPr>
            </w:pPr>
            <w:r w:rsidRPr="00726D52">
              <w:rPr>
                <w:b/>
                <w:bCs/>
                <w:noProof/>
                <w:sz w:val="20"/>
                <w:szCs w:val="20"/>
              </w:rPr>
              <w:t>IV. Overview of relevant Sustainable Development Goals</w:t>
            </w:r>
          </w:p>
        </w:tc>
      </w:tr>
      <w:tr w:rsidR="005A2D44" w:rsidRPr="00726D52" w14:paraId="12FC741A" w14:textId="77777777" w:rsidTr="005A2D44">
        <w:trPr>
          <w:trHeight w:val="735"/>
        </w:trPr>
        <w:tc>
          <w:tcPr>
            <w:tcW w:w="3038" w:type="dxa"/>
            <w:tcBorders>
              <w:top w:val="double" w:sz="6" w:space="0" w:color="auto"/>
              <w:left w:val="double" w:sz="6" w:space="0" w:color="auto"/>
              <w:bottom w:val="single" w:sz="0" w:space="0" w:color="auto"/>
              <w:right w:val="double" w:sz="6" w:space="0" w:color="auto"/>
            </w:tcBorders>
            <w:shd w:val="clear" w:color="auto" w:fill="C6D9F1" w:themeFill="text2" w:themeFillTint="33"/>
            <w:tcMar>
              <w:top w:w="45" w:type="dxa"/>
              <w:left w:w="45" w:type="dxa"/>
              <w:bottom w:w="45" w:type="dxa"/>
              <w:right w:w="45" w:type="dxa"/>
            </w:tcMar>
          </w:tcPr>
          <w:p w14:paraId="3C1037B6" w14:textId="1FC0E547" w:rsidR="005A2D44" w:rsidRPr="00726D52" w:rsidRDefault="005A2D44" w:rsidP="001C31A0">
            <w:pPr>
              <w:spacing w:after="0"/>
              <w:jc w:val="left"/>
              <w:rPr>
                <w:b/>
                <w:bCs/>
                <w:i/>
                <w:iCs/>
                <w:noProof/>
                <w:sz w:val="20"/>
                <w:szCs w:val="20"/>
              </w:rPr>
            </w:pPr>
            <w:r w:rsidRPr="00726D52">
              <w:rPr>
                <w:b/>
                <w:bCs/>
                <w:i/>
                <w:iCs/>
                <w:noProof/>
                <w:sz w:val="20"/>
                <w:szCs w:val="20"/>
              </w:rPr>
              <w:t>Sustainable Development Goals</w:t>
            </w:r>
          </w:p>
        </w:tc>
        <w:tc>
          <w:tcPr>
            <w:tcW w:w="5534" w:type="dxa"/>
            <w:tcBorders>
              <w:top w:val="single" w:sz="6" w:space="0" w:color="auto"/>
              <w:left w:val="double" w:sz="6" w:space="0" w:color="auto"/>
              <w:right w:val="double" w:sz="6" w:space="0" w:color="auto"/>
            </w:tcBorders>
            <w:shd w:val="clear" w:color="auto" w:fill="C6D9F1" w:themeFill="text2" w:themeFillTint="33"/>
            <w:tcMar>
              <w:top w:w="45" w:type="dxa"/>
              <w:left w:w="45" w:type="dxa"/>
              <w:bottom w:w="45" w:type="dxa"/>
              <w:right w:w="45" w:type="dxa"/>
            </w:tcMar>
          </w:tcPr>
          <w:p w14:paraId="3E571AA1" w14:textId="77777777" w:rsidR="005A2D44" w:rsidRPr="00726D52" w:rsidRDefault="005A2D44" w:rsidP="001C31A0">
            <w:pPr>
              <w:spacing w:after="0"/>
              <w:jc w:val="left"/>
              <w:rPr>
                <w:b/>
                <w:bCs/>
                <w:i/>
                <w:iCs/>
                <w:noProof/>
                <w:sz w:val="20"/>
                <w:szCs w:val="20"/>
              </w:rPr>
            </w:pPr>
            <w:r w:rsidRPr="00726D52">
              <w:rPr>
                <w:b/>
                <w:bCs/>
                <w:i/>
                <w:iCs/>
                <w:noProof/>
                <w:sz w:val="20"/>
                <w:szCs w:val="20"/>
              </w:rPr>
              <w:t>Expected progress towards the goal</w:t>
            </w:r>
          </w:p>
          <w:p w14:paraId="3A7AC5A1" w14:textId="5F30B0D8" w:rsidR="005A2D44" w:rsidRPr="00726D52" w:rsidRDefault="005A2D44" w:rsidP="001C31A0">
            <w:pPr>
              <w:spacing w:after="0"/>
              <w:jc w:val="left"/>
              <w:rPr>
                <w:b/>
                <w:bCs/>
                <w:i/>
                <w:iCs/>
                <w:noProof/>
                <w:sz w:val="20"/>
                <w:szCs w:val="20"/>
              </w:rPr>
            </w:pPr>
          </w:p>
        </w:tc>
      </w:tr>
      <w:tr w:rsidR="005A2D44" w:rsidRPr="00726D52" w14:paraId="653E17E4" w14:textId="77777777" w:rsidTr="005A2D44">
        <w:trPr>
          <w:trHeight w:val="780"/>
        </w:trPr>
        <w:tc>
          <w:tcPr>
            <w:tcW w:w="3038" w:type="dxa"/>
            <w:tcBorders>
              <w:top w:val="single" w:sz="6" w:space="0" w:color="auto"/>
              <w:left w:val="double" w:sz="6" w:space="0" w:color="auto"/>
              <w:right w:val="double" w:sz="6" w:space="0" w:color="auto"/>
            </w:tcBorders>
            <w:tcMar>
              <w:top w:w="45" w:type="dxa"/>
              <w:left w:w="45" w:type="dxa"/>
              <w:bottom w:w="45" w:type="dxa"/>
              <w:right w:w="45" w:type="dxa"/>
            </w:tcMar>
            <w:vAlign w:val="center"/>
          </w:tcPr>
          <w:p w14:paraId="6E84DC5E" w14:textId="2BC0C960" w:rsidR="005A2D44" w:rsidRPr="00726D52" w:rsidRDefault="005A2D44" w:rsidP="001C31A0">
            <w:pPr>
              <w:spacing w:after="0"/>
              <w:jc w:val="left"/>
              <w:rPr>
                <w:noProof/>
                <w:sz w:val="20"/>
                <w:szCs w:val="20"/>
              </w:rPr>
            </w:pPr>
            <w:r w:rsidRPr="00726D52">
              <w:rPr>
                <w:noProof/>
                <w:sz w:val="20"/>
                <w:szCs w:val="20"/>
              </w:rPr>
              <w:t>No. 16: Peace, justice, and strong institutions</w:t>
            </w:r>
          </w:p>
        </w:tc>
        <w:tc>
          <w:tcPr>
            <w:tcW w:w="5534" w:type="dxa"/>
            <w:tcBorders>
              <w:left w:val="double" w:sz="6" w:space="0" w:color="auto"/>
              <w:right w:val="double" w:sz="6" w:space="0" w:color="auto"/>
            </w:tcBorders>
            <w:tcMar>
              <w:top w:w="45" w:type="dxa"/>
              <w:left w:w="45" w:type="dxa"/>
              <w:bottom w:w="45" w:type="dxa"/>
              <w:right w:w="45" w:type="dxa"/>
            </w:tcMar>
            <w:vAlign w:val="center"/>
          </w:tcPr>
          <w:p w14:paraId="565406A8" w14:textId="6334A476" w:rsidR="005A2D44" w:rsidRPr="00726D52" w:rsidRDefault="005A2D44" w:rsidP="005A2D44">
            <w:pPr>
              <w:rPr>
                <w:noProof/>
                <w:sz w:val="20"/>
                <w:szCs w:val="20"/>
              </w:rPr>
            </w:pPr>
            <w:r w:rsidRPr="00726D52">
              <w:rPr>
                <w:noProof/>
                <w:sz w:val="20"/>
                <w:szCs w:val="20"/>
              </w:rPr>
              <w:t>The initiative is expected to strengthen the rule of law and enhance security within the EU by reinforcing the operational effectiveness  of Europol.</w:t>
            </w:r>
          </w:p>
          <w:p w14:paraId="70903E9C" w14:textId="77777777" w:rsidR="005A2D44" w:rsidRPr="00726D52" w:rsidRDefault="005A2D44" w:rsidP="005A2D44">
            <w:pPr>
              <w:rPr>
                <w:noProof/>
                <w:sz w:val="20"/>
                <w:szCs w:val="20"/>
              </w:rPr>
            </w:pPr>
            <w:r w:rsidRPr="00726D52">
              <w:rPr>
                <w:noProof/>
                <w:sz w:val="20"/>
                <w:szCs w:val="20"/>
              </w:rPr>
              <w:t xml:space="preserve">Clarifying and, where appropriate, reinforcing the role of Europol in supporting Member States in the fight against cross-border and serious organised crime will enhance the Agency’s contribution to </w:t>
            </w:r>
            <w:r w:rsidRPr="00726D52">
              <w:rPr>
                <w:noProof/>
                <w:sz w:val="20"/>
                <w:szCs w:val="20"/>
              </w:rPr>
              <w:lastRenderedPageBreak/>
              <w:t>tackling transnational threats, including terrorism, cybercrime and other forms of serious crime, thereby supporting broader EU security objectives.</w:t>
            </w:r>
          </w:p>
          <w:p w14:paraId="68BECFDE" w14:textId="77777777" w:rsidR="005A2D44" w:rsidRPr="00726D52" w:rsidRDefault="005A2D44" w:rsidP="005A2D44">
            <w:pPr>
              <w:rPr>
                <w:noProof/>
                <w:sz w:val="20"/>
                <w:szCs w:val="20"/>
              </w:rPr>
            </w:pPr>
            <w:r w:rsidRPr="00726D52">
              <w:rPr>
                <w:noProof/>
                <w:sz w:val="20"/>
                <w:szCs w:val="20"/>
              </w:rPr>
              <w:t>Improved coordination, information exchange and operational cooperation among Member States, facilitated by Europol, are expected to lead to more effective law enforcement outcomes. This, in turn, may contribute to increased public trust in national authorities and EU institutions, particularly in the EU’s capacity to address complex and evolving security challenges.</w:t>
            </w:r>
          </w:p>
          <w:p w14:paraId="35785ABF" w14:textId="0D2FC826" w:rsidR="005A2D44" w:rsidRPr="00726D52" w:rsidRDefault="005A2D44" w:rsidP="001C31A0">
            <w:pPr>
              <w:jc w:val="left"/>
              <w:rPr>
                <w:noProof/>
                <w:sz w:val="20"/>
                <w:szCs w:val="20"/>
              </w:rPr>
            </w:pPr>
          </w:p>
        </w:tc>
      </w:tr>
    </w:tbl>
    <w:p w14:paraId="2DEF7D45" w14:textId="77777777" w:rsidR="005A2D44" w:rsidRPr="00726D52" w:rsidRDefault="005A2D44" w:rsidP="2C37EBCE">
      <w:pPr>
        <w:rPr>
          <w:rFonts w:eastAsia="Times New Roman"/>
          <w:noProof/>
          <w:color w:val="000000" w:themeColor="text1"/>
        </w:rPr>
      </w:pPr>
    </w:p>
    <w:p w14:paraId="2F6B69A7" w14:textId="77777777" w:rsidR="00A73A8E" w:rsidRPr="00726D52" w:rsidRDefault="004124BE" w:rsidP="00CA235C">
      <w:pPr>
        <w:rPr>
          <w:rFonts w:eastAsia="Times New Roman"/>
          <w:b/>
          <w:bCs/>
          <w:noProof/>
          <w:color w:val="000000" w:themeColor="text1"/>
          <w:u w:val="single"/>
        </w:rPr>
      </w:pPr>
      <w:r w:rsidRPr="00726D52">
        <w:rPr>
          <w:rFonts w:eastAsia="Times New Roman"/>
          <w:b/>
          <w:bCs/>
          <w:noProof/>
          <w:color w:val="000000" w:themeColor="text1"/>
          <w:u w:val="single"/>
        </w:rPr>
        <w:t>Benefits of the preferred option</w:t>
      </w:r>
    </w:p>
    <w:p w14:paraId="4B2D2B01" w14:textId="20DBE84C" w:rsidR="00CA235C" w:rsidRPr="00726D52" w:rsidRDefault="00CA235C" w:rsidP="00CA235C">
      <w:pPr>
        <w:rPr>
          <w:rFonts w:eastAsia="Times New Roman"/>
          <w:noProof/>
          <w:color w:val="000000" w:themeColor="text1"/>
        </w:rPr>
      </w:pPr>
      <w:r w:rsidRPr="00726D52">
        <w:rPr>
          <w:rFonts w:eastAsia="Times New Roman"/>
          <w:noProof/>
          <w:color w:val="000000" w:themeColor="text1"/>
        </w:rPr>
        <w:t xml:space="preserve">The table below presents the overview of benefits for the preferred option. </w:t>
      </w:r>
    </w:p>
    <w:tbl>
      <w:tblPr>
        <w:tblStyle w:val="TableGrid"/>
        <w:tblW w:w="8647" w:type="dxa"/>
        <w:tblInd w:w="-23"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168"/>
        <w:gridCol w:w="4265"/>
        <w:gridCol w:w="2214"/>
      </w:tblGrid>
      <w:tr w:rsidR="00CA235C" w:rsidRPr="00726D52" w14:paraId="5333E658" w14:textId="77777777" w:rsidTr="00A83B5F">
        <w:trPr>
          <w:trHeight w:val="300"/>
        </w:trPr>
        <w:tc>
          <w:tcPr>
            <w:tcW w:w="8647" w:type="dxa"/>
            <w:gridSpan w:val="3"/>
            <w:tcBorders>
              <w:top w:val="double" w:sz="6" w:space="0" w:color="auto"/>
              <w:left w:val="double" w:sz="6" w:space="0" w:color="auto"/>
              <w:bottom w:val="single" w:sz="6" w:space="0" w:color="auto"/>
              <w:right w:val="double" w:sz="6" w:space="0" w:color="auto"/>
            </w:tcBorders>
            <w:shd w:val="clear" w:color="auto" w:fill="C6D9F1" w:themeFill="text2" w:themeFillTint="33"/>
            <w:tcMar>
              <w:left w:w="105" w:type="dxa"/>
              <w:right w:w="105" w:type="dxa"/>
            </w:tcMar>
          </w:tcPr>
          <w:p w14:paraId="1ED7ADD1" w14:textId="77777777" w:rsidR="00CA235C" w:rsidRPr="00726D52" w:rsidRDefault="00CA235C" w:rsidP="00455B0C">
            <w:pPr>
              <w:widowControl w:val="0"/>
              <w:spacing w:after="0"/>
              <w:rPr>
                <w:noProof/>
                <w:sz w:val="20"/>
                <w:szCs w:val="20"/>
              </w:rPr>
            </w:pPr>
            <w:r w:rsidRPr="00726D52">
              <w:rPr>
                <w:b/>
                <w:bCs/>
                <w:noProof/>
                <w:sz w:val="20"/>
                <w:szCs w:val="20"/>
              </w:rPr>
              <w:t>I. Overview of Benefits (total for all provisions) – Preferred Option</w:t>
            </w:r>
          </w:p>
        </w:tc>
      </w:tr>
      <w:tr w:rsidR="0050356D" w:rsidRPr="00726D52" w14:paraId="470E3285" w14:textId="77777777" w:rsidTr="00A83B5F">
        <w:trPr>
          <w:trHeight w:val="399"/>
        </w:trPr>
        <w:tc>
          <w:tcPr>
            <w:tcW w:w="2168" w:type="dxa"/>
            <w:tcBorders>
              <w:top w:val="single" w:sz="6" w:space="0" w:color="auto"/>
              <w:left w:val="double" w:sz="6" w:space="0" w:color="auto"/>
              <w:bottom w:val="single" w:sz="6" w:space="0" w:color="auto"/>
              <w:right w:val="single" w:sz="6" w:space="0" w:color="auto"/>
            </w:tcBorders>
            <w:shd w:val="clear" w:color="auto" w:fill="C6D9F1" w:themeFill="text2" w:themeFillTint="33"/>
            <w:tcMar>
              <w:left w:w="105" w:type="dxa"/>
              <w:right w:w="105" w:type="dxa"/>
            </w:tcMar>
          </w:tcPr>
          <w:p w14:paraId="09189963" w14:textId="77777777" w:rsidR="00CA235C" w:rsidRPr="00726D52" w:rsidRDefault="00CA235C" w:rsidP="00455B0C">
            <w:pPr>
              <w:widowControl w:val="0"/>
              <w:spacing w:after="0"/>
              <w:jc w:val="center"/>
              <w:rPr>
                <w:noProof/>
                <w:sz w:val="20"/>
                <w:szCs w:val="20"/>
              </w:rPr>
            </w:pPr>
            <w:r w:rsidRPr="00726D52">
              <w:rPr>
                <w:b/>
                <w:bCs/>
                <w:i/>
                <w:iCs/>
                <w:noProof/>
                <w:sz w:val="20"/>
                <w:szCs w:val="20"/>
              </w:rPr>
              <w:t>Description</w:t>
            </w:r>
          </w:p>
        </w:tc>
        <w:tc>
          <w:tcPr>
            <w:tcW w:w="4265"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0FC10F29" w14:textId="77777777" w:rsidR="00CA235C" w:rsidRPr="00726D52" w:rsidRDefault="00CA235C" w:rsidP="00455B0C">
            <w:pPr>
              <w:widowControl w:val="0"/>
              <w:spacing w:after="0"/>
              <w:jc w:val="center"/>
              <w:rPr>
                <w:noProof/>
                <w:sz w:val="20"/>
                <w:szCs w:val="20"/>
              </w:rPr>
            </w:pPr>
            <w:r w:rsidRPr="00726D52">
              <w:rPr>
                <w:b/>
                <w:bCs/>
                <w:i/>
                <w:iCs/>
                <w:noProof/>
                <w:sz w:val="20"/>
                <w:szCs w:val="20"/>
              </w:rPr>
              <w:t>Amount</w:t>
            </w:r>
          </w:p>
        </w:tc>
        <w:tc>
          <w:tcPr>
            <w:tcW w:w="2214" w:type="dxa"/>
            <w:tcBorders>
              <w:top w:val="single" w:sz="6" w:space="0" w:color="auto"/>
              <w:left w:val="single" w:sz="6" w:space="0" w:color="auto"/>
              <w:bottom w:val="single" w:sz="6" w:space="0" w:color="auto"/>
              <w:right w:val="double" w:sz="6" w:space="0" w:color="auto"/>
            </w:tcBorders>
            <w:shd w:val="clear" w:color="auto" w:fill="C6D9F1" w:themeFill="text2" w:themeFillTint="33"/>
            <w:tcMar>
              <w:top w:w="45" w:type="dxa"/>
              <w:left w:w="45" w:type="dxa"/>
              <w:bottom w:w="45" w:type="dxa"/>
              <w:right w:w="45" w:type="dxa"/>
            </w:tcMar>
          </w:tcPr>
          <w:p w14:paraId="7C6F411A" w14:textId="77777777" w:rsidR="00CA235C" w:rsidRPr="00726D52" w:rsidRDefault="00CA235C" w:rsidP="00455B0C">
            <w:pPr>
              <w:widowControl w:val="0"/>
              <w:spacing w:after="0"/>
              <w:jc w:val="center"/>
              <w:rPr>
                <w:noProof/>
                <w:sz w:val="20"/>
                <w:szCs w:val="20"/>
              </w:rPr>
            </w:pPr>
            <w:r w:rsidRPr="00726D52">
              <w:rPr>
                <w:b/>
                <w:bCs/>
                <w:i/>
                <w:iCs/>
                <w:noProof/>
                <w:sz w:val="20"/>
                <w:szCs w:val="20"/>
              </w:rPr>
              <w:t xml:space="preserve">Comments </w:t>
            </w:r>
          </w:p>
          <w:p w14:paraId="53217EE6" w14:textId="77777777" w:rsidR="00CA235C" w:rsidRPr="00726D52" w:rsidRDefault="00CA235C" w:rsidP="00455B0C">
            <w:pPr>
              <w:widowControl w:val="0"/>
              <w:spacing w:after="0"/>
              <w:jc w:val="center"/>
              <w:rPr>
                <w:noProof/>
                <w:sz w:val="20"/>
                <w:szCs w:val="20"/>
              </w:rPr>
            </w:pPr>
            <w:r w:rsidRPr="00726D52">
              <w:rPr>
                <w:b/>
                <w:bCs/>
                <w:i/>
                <w:iCs/>
                <w:noProof/>
                <w:sz w:val="20"/>
                <w:szCs w:val="20"/>
              </w:rPr>
              <w:t>(main recipients of the benefits)</w:t>
            </w:r>
          </w:p>
        </w:tc>
      </w:tr>
      <w:tr w:rsidR="00CA235C" w:rsidRPr="00726D52" w14:paraId="64173898" w14:textId="77777777" w:rsidTr="00A83B5F">
        <w:trPr>
          <w:trHeight w:val="300"/>
        </w:trPr>
        <w:tc>
          <w:tcPr>
            <w:tcW w:w="8647" w:type="dxa"/>
            <w:gridSpan w:val="3"/>
            <w:tcBorders>
              <w:top w:val="double" w:sz="6" w:space="0" w:color="auto"/>
              <w:left w:val="double" w:sz="6" w:space="0" w:color="auto"/>
              <w:bottom w:val="single" w:sz="6" w:space="0" w:color="auto"/>
              <w:right w:val="double" w:sz="6" w:space="0" w:color="auto"/>
            </w:tcBorders>
            <w:shd w:val="clear" w:color="auto" w:fill="F2F2F2" w:themeFill="background1" w:themeFillShade="F2"/>
            <w:tcMar>
              <w:left w:w="105" w:type="dxa"/>
              <w:right w:w="105" w:type="dxa"/>
            </w:tcMar>
          </w:tcPr>
          <w:p w14:paraId="06B4E08D" w14:textId="77777777" w:rsidR="00CA235C" w:rsidRPr="00726D52" w:rsidRDefault="00CA235C" w:rsidP="00455B0C">
            <w:pPr>
              <w:widowControl w:val="0"/>
              <w:spacing w:after="0"/>
              <w:jc w:val="center"/>
              <w:rPr>
                <w:noProof/>
                <w:sz w:val="20"/>
                <w:szCs w:val="20"/>
              </w:rPr>
            </w:pPr>
            <w:r w:rsidRPr="00726D52">
              <w:rPr>
                <w:b/>
                <w:bCs/>
                <w:i/>
                <w:iCs/>
                <w:noProof/>
                <w:sz w:val="20"/>
                <w:szCs w:val="20"/>
              </w:rPr>
              <w:t>Direct benefits</w:t>
            </w:r>
          </w:p>
        </w:tc>
      </w:tr>
      <w:tr w:rsidR="00CA235C" w:rsidRPr="00726D52" w14:paraId="6B1046FB" w14:textId="77777777" w:rsidTr="00A83B5F">
        <w:trPr>
          <w:trHeight w:val="3596"/>
        </w:trPr>
        <w:tc>
          <w:tcPr>
            <w:tcW w:w="2168" w:type="dxa"/>
            <w:tcBorders>
              <w:top w:val="double" w:sz="6" w:space="0" w:color="auto"/>
              <w:left w:val="double" w:sz="6" w:space="0" w:color="auto"/>
              <w:bottom w:val="single" w:sz="6" w:space="0" w:color="auto"/>
              <w:right w:val="single" w:sz="6" w:space="0" w:color="auto"/>
            </w:tcBorders>
            <w:tcMar>
              <w:left w:w="105" w:type="dxa"/>
              <w:right w:w="105" w:type="dxa"/>
            </w:tcMar>
          </w:tcPr>
          <w:p w14:paraId="69E301F9" w14:textId="0D86BCDB"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Strengthened data availability, processing and service</w:t>
            </w:r>
            <w:r w:rsidR="008B5C1F">
              <w:rPr>
                <w:i w:val="0"/>
                <w:noProof/>
                <w:color w:val="000000" w:themeColor="text1"/>
                <w:sz w:val="20"/>
              </w:rPr>
              <w:t>.</w:t>
            </w:r>
          </w:p>
        </w:tc>
        <w:tc>
          <w:tcPr>
            <w:tcW w:w="4265" w:type="dxa"/>
            <w:tcBorders>
              <w:top w:val="double" w:sz="6" w:space="0" w:color="auto"/>
              <w:left w:val="single" w:sz="6" w:space="0" w:color="auto"/>
              <w:bottom w:val="single" w:sz="6" w:space="0" w:color="auto"/>
              <w:right w:val="single" w:sz="6" w:space="0" w:color="auto"/>
            </w:tcBorders>
            <w:tcMar>
              <w:top w:w="45" w:type="dxa"/>
              <w:left w:w="45" w:type="dxa"/>
              <w:bottom w:w="45" w:type="dxa"/>
              <w:right w:w="45" w:type="dxa"/>
            </w:tcMar>
          </w:tcPr>
          <w:p w14:paraId="44CF96BB" w14:textId="4548CF56" w:rsidR="00CA235C" w:rsidRPr="00726D52" w:rsidRDefault="00CA235C" w:rsidP="00455B0C">
            <w:pPr>
              <w:widowControl w:val="0"/>
              <w:spacing w:after="0"/>
              <w:rPr>
                <w:noProof/>
                <w:sz w:val="20"/>
                <w:szCs w:val="20"/>
              </w:rPr>
            </w:pPr>
            <w:r w:rsidRPr="00726D52">
              <w:rPr>
                <w:noProof/>
                <w:sz w:val="20"/>
                <w:szCs w:val="20"/>
              </w:rPr>
              <w:t xml:space="preserve">The implementation of this policy options </w:t>
            </w:r>
            <w:r w:rsidR="003B1CAB" w:rsidRPr="00726D52">
              <w:rPr>
                <w:noProof/>
                <w:sz w:val="20"/>
                <w:szCs w:val="20"/>
              </w:rPr>
              <w:t xml:space="preserve">will </w:t>
            </w:r>
            <w:r w:rsidRPr="00726D52">
              <w:rPr>
                <w:noProof/>
                <w:sz w:val="20"/>
                <w:szCs w:val="20"/>
              </w:rPr>
              <w:t xml:space="preserve">lead to significantly reduced ad-hoc requests for information, as Member States gain access to more complete and structured datasets. This </w:t>
            </w:r>
            <w:r w:rsidR="3D0C039C" w:rsidRPr="00726D52">
              <w:rPr>
                <w:noProof/>
                <w:sz w:val="20"/>
                <w:szCs w:val="20"/>
              </w:rPr>
              <w:t xml:space="preserve">will </w:t>
            </w:r>
            <w:r w:rsidRPr="00726D52">
              <w:rPr>
                <w:noProof/>
                <w:sz w:val="20"/>
                <w:szCs w:val="20"/>
              </w:rPr>
              <w:t>enable faster access to relevant data for investigations and provide more reliable information for operational analysis and cross-border cases, improving both the quality and timeliness of investigative outputs.</w:t>
            </w:r>
          </w:p>
          <w:p w14:paraId="6AD665A3" w14:textId="77777777" w:rsidR="00CA235C" w:rsidRPr="00726D52" w:rsidRDefault="00CA235C" w:rsidP="00455B0C">
            <w:pPr>
              <w:widowControl w:val="0"/>
              <w:spacing w:after="0"/>
              <w:rPr>
                <w:noProof/>
                <w:sz w:val="20"/>
                <w:szCs w:val="20"/>
              </w:rPr>
            </w:pPr>
          </w:p>
          <w:p w14:paraId="3E061906" w14:textId="6A1F2E7B" w:rsidR="00CA235C" w:rsidRPr="00726D52" w:rsidRDefault="00CA235C" w:rsidP="00455B0C">
            <w:pPr>
              <w:widowControl w:val="0"/>
              <w:spacing w:after="0"/>
              <w:rPr>
                <w:noProof/>
                <w:sz w:val="20"/>
                <w:szCs w:val="20"/>
              </w:rPr>
            </w:pPr>
            <w:r w:rsidRPr="00726D52">
              <w:rPr>
                <w:noProof/>
                <w:sz w:val="20"/>
                <w:szCs w:val="20"/>
              </w:rPr>
              <w:t xml:space="preserve">At EU level, these improvements </w:t>
            </w:r>
            <w:r w:rsidR="5E291A0A" w:rsidRPr="00726D52">
              <w:rPr>
                <w:noProof/>
                <w:sz w:val="20"/>
                <w:szCs w:val="20"/>
              </w:rPr>
              <w:t xml:space="preserve">will </w:t>
            </w:r>
            <w:r w:rsidRPr="00726D52">
              <w:rPr>
                <w:noProof/>
                <w:sz w:val="20"/>
                <w:szCs w:val="20"/>
              </w:rPr>
              <w:t>allow Europol to deliver better analytical outputs and more effectively support EU-wide operations, ensuring that law enforcement and judicial authorities across the Union can act on accurate, comprehensive, and actionable information.</w:t>
            </w:r>
          </w:p>
          <w:p w14:paraId="0AFAC9EF" w14:textId="77777777" w:rsidR="00CA235C" w:rsidRPr="00726D52" w:rsidRDefault="00CA235C" w:rsidP="00455B0C">
            <w:pPr>
              <w:widowControl w:val="0"/>
              <w:spacing w:after="0"/>
              <w:rPr>
                <w:noProof/>
                <w:sz w:val="20"/>
                <w:szCs w:val="20"/>
              </w:rPr>
            </w:pPr>
          </w:p>
        </w:tc>
        <w:tc>
          <w:tcPr>
            <w:tcW w:w="2214" w:type="dxa"/>
            <w:tcBorders>
              <w:top w:val="double" w:sz="6" w:space="0" w:color="auto"/>
              <w:left w:val="single" w:sz="6" w:space="0" w:color="auto"/>
              <w:bottom w:val="single" w:sz="6" w:space="0" w:color="auto"/>
              <w:right w:val="double" w:sz="6" w:space="0" w:color="auto"/>
            </w:tcBorders>
            <w:tcMar>
              <w:top w:w="45" w:type="dxa"/>
              <w:left w:w="45" w:type="dxa"/>
              <w:bottom w:w="45" w:type="dxa"/>
              <w:right w:w="45" w:type="dxa"/>
            </w:tcMar>
          </w:tcPr>
          <w:p w14:paraId="522185A1" w14:textId="0374CE30" w:rsidR="00CA235C" w:rsidRPr="00726D52" w:rsidRDefault="00CA235C" w:rsidP="00455B0C">
            <w:pPr>
              <w:widowControl w:val="0"/>
              <w:spacing w:after="0"/>
              <w:rPr>
                <w:noProof/>
                <w:sz w:val="20"/>
                <w:szCs w:val="20"/>
              </w:rPr>
            </w:pPr>
            <w:r w:rsidRPr="00726D52">
              <w:rPr>
                <w:noProof/>
                <w:sz w:val="20"/>
                <w:szCs w:val="20"/>
              </w:rPr>
              <w:t>National law enforcement authorities of the EU Member States, Europol</w:t>
            </w:r>
            <w:r w:rsidR="00066058" w:rsidRPr="00726D52">
              <w:rPr>
                <w:noProof/>
                <w:sz w:val="20"/>
                <w:szCs w:val="20"/>
              </w:rPr>
              <w:t>.</w:t>
            </w:r>
          </w:p>
        </w:tc>
      </w:tr>
      <w:tr w:rsidR="00CA235C" w:rsidRPr="00726D52" w14:paraId="0D91FA5D"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6A7FEEB0" w14:textId="669F6F89" w:rsidR="00CA235C" w:rsidRPr="00726D52" w:rsidRDefault="00CA235C" w:rsidP="00455B0C">
            <w:pPr>
              <w:pStyle w:val="Heading3"/>
              <w:keepNext w:val="0"/>
              <w:widowControl w:val="0"/>
              <w:numPr>
                <w:ilvl w:val="0"/>
                <w:numId w:val="0"/>
              </w:numPr>
              <w:rPr>
                <w:iCs/>
                <w:noProof/>
                <w:sz w:val="20"/>
              </w:rPr>
            </w:pPr>
            <w:r w:rsidRPr="00726D52">
              <w:rPr>
                <w:i w:val="0"/>
                <w:noProof/>
                <w:color w:val="000000" w:themeColor="text1"/>
                <w:sz w:val="20"/>
              </w:rPr>
              <w:t>Strengthened continuum of EU-level support to law enforcement cooperation through Europol and judicial cooperation through Eurojust</w:t>
            </w:r>
            <w:r w:rsidR="008B5C1F">
              <w:rPr>
                <w:i w:val="0"/>
                <w:noProof/>
                <w:color w:val="000000" w:themeColor="text1"/>
                <w:sz w:val="20"/>
              </w:rPr>
              <w:t>.</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48F4B82B" w14:textId="77777777" w:rsidR="00CA235C" w:rsidRPr="00726D52" w:rsidRDefault="00CA235C" w:rsidP="00455B0C">
            <w:pPr>
              <w:widowControl w:val="0"/>
              <w:spacing w:after="0"/>
              <w:rPr>
                <w:noProof/>
                <w:color w:val="000000" w:themeColor="text1"/>
                <w:sz w:val="20"/>
                <w:szCs w:val="20"/>
              </w:rPr>
            </w:pPr>
            <w:r w:rsidRPr="00726D52">
              <w:rPr>
                <w:noProof/>
                <w:color w:val="000000" w:themeColor="text1"/>
                <w:sz w:val="20"/>
                <w:szCs w:val="20"/>
              </w:rPr>
              <w:t>By effectively exchanging relevant operational information, Europol and Eurojust will be able to better support national law enforcement and judicial authorities in line with their respective mandates (for instance, thanks to earlier detection of links between cases). For Europol, this includes the ability to produce a more complete EU-level criminal intelligence picture.</w:t>
            </w:r>
          </w:p>
          <w:p w14:paraId="6F4A287A" w14:textId="77777777" w:rsidR="00CA235C" w:rsidRPr="00726D52" w:rsidRDefault="00CA235C" w:rsidP="00455B0C">
            <w:pPr>
              <w:widowControl w:val="0"/>
              <w:spacing w:after="0"/>
              <w:rPr>
                <w:noProof/>
                <w:color w:val="000000" w:themeColor="text1"/>
                <w:sz w:val="20"/>
                <w:szCs w:val="20"/>
              </w:rPr>
            </w:pPr>
          </w:p>
          <w:p w14:paraId="0AFFCEE1" w14:textId="77777777" w:rsidR="00CA235C" w:rsidRPr="00726D52" w:rsidRDefault="00CA235C" w:rsidP="00455B0C">
            <w:pPr>
              <w:widowControl w:val="0"/>
              <w:spacing w:after="0"/>
              <w:rPr>
                <w:noProof/>
                <w:color w:val="000000" w:themeColor="text1"/>
              </w:rPr>
            </w:pPr>
            <w:r w:rsidRPr="00726D52">
              <w:rPr>
                <w:noProof/>
                <w:color w:val="000000" w:themeColor="text1"/>
                <w:sz w:val="20"/>
                <w:szCs w:val="20"/>
              </w:rPr>
              <w:t xml:space="preserve">National authorities of the EU will be able to rely in a stable and foreseeable long-term manner on specialised knowledge and expertise jointly provided by Europol and Eurojust to successfully obtain critical electronic evidence for criminal </w:t>
            </w:r>
            <w:r w:rsidRPr="00726D52">
              <w:rPr>
                <w:noProof/>
                <w:color w:val="000000" w:themeColor="text1"/>
                <w:sz w:val="20"/>
                <w:szCs w:val="20"/>
              </w:rPr>
              <w:lastRenderedPageBreak/>
              <w:t>investigations and prosecutions, including in partnership with private parties</w:t>
            </w:r>
            <w:r w:rsidRPr="00726D52">
              <w:rPr>
                <w:noProof/>
                <w:color w:val="000000" w:themeColor="text1"/>
              </w:rPr>
              <w:t xml:space="preserve"> </w:t>
            </w: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12B03946" w14:textId="1B5666C4" w:rsidR="00CA235C" w:rsidRPr="00726D52" w:rsidRDefault="00CA235C" w:rsidP="00455B0C">
            <w:pPr>
              <w:widowControl w:val="0"/>
              <w:spacing w:after="0"/>
              <w:rPr>
                <w:noProof/>
                <w:sz w:val="20"/>
                <w:szCs w:val="20"/>
              </w:rPr>
            </w:pPr>
            <w:r w:rsidRPr="00726D52">
              <w:rPr>
                <w:noProof/>
                <w:sz w:val="20"/>
                <w:szCs w:val="20"/>
              </w:rPr>
              <w:lastRenderedPageBreak/>
              <w:t>National law enforcement and judicial authorities of the EU Member States, Europol, Eurojust, private parties</w:t>
            </w:r>
            <w:r w:rsidR="00066058" w:rsidRPr="00726D52">
              <w:rPr>
                <w:noProof/>
                <w:sz w:val="20"/>
                <w:szCs w:val="20"/>
              </w:rPr>
              <w:t>.</w:t>
            </w:r>
          </w:p>
        </w:tc>
      </w:tr>
      <w:tr w:rsidR="00CA235C" w:rsidRPr="00726D52" w14:paraId="7301863E"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343E83A6" w14:textId="0507C81F"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Europol digital platforms embedded in national investigations</w:t>
            </w:r>
            <w:r w:rsidR="008B5C1F">
              <w:rPr>
                <w:i w:val="0"/>
                <w:noProof/>
                <w:color w:val="000000" w:themeColor="text1"/>
                <w:sz w:val="20"/>
              </w:rPr>
              <w:t>.</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5D4D442E" w14:textId="77777777" w:rsidR="00CA235C" w:rsidRPr="00726D52" w:rsidRDefault="00CA235C" w:rsidP="00455B0C">
            <w:pPr>
              <w:widowControl w:val="0"/>
              <w:rPr>
                <w:noProof/>
                <w:sz w:val="20"/>
                <w:szCs w:val="20"/>
              </w:rPr>
            </w:pPr>
            <w:r w:rsidRPr="00726D52">
              <w:rPr>
                <w:noProof/>
                <w:sz w:val="20"/>
                <w:szCs w:val="20"/>
              </w:rPr>
              <w:t>Upgrading and integrating national and EU systems allows for more efficient queries, automated workflows, and standardised data processing. This reduces repetitive manual tasks and improves the speed and reliability of investigative outputs.</w:t>
            </w:r>
          </w:p>
          <w:p w14:paraId="783D807C" w14:textId="77777777" w:rsidR="00CA235C" w:rsidRPr="00726D52" w:rsidRDefault="00CA235C" w:rsidP="00455B0C">
            <w:pPr>
              <w:widowControl w:val="0"/>
              <w:rPr>
                <w:noProof/>
                <w:sz w:val="20"/>
                <w:szCs w:val="20"/>
              </w:rPr>
            </w:pPr>
            <w:r w:rsidRPr="00726D52">
              <w:rPr>
                <w:noProof/>
                <w:sz w:val="20"/>
                <w:szCs w:val="20"/>
              </w:rPr>
              <w:t>Member States benefit from long-term operational savings, as integrated systems facilitate more effective searches, increased detection of relevant data and leads, and stronger cross-border investigations, reinforcing both national and EU-wide law enforcement capabilities.</w:t>
            </w: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6A7704D6" w14:textId="43698DD4" w:rsidR="00CA235C" w:rsidRPr="00726D52" w:rsidRDefault="00CA235C" w:rsidP="00455B0C">
            <w:pPr>
              <w:widowControl w:val="0"/>
              <w:rPr>
                <w:noProof/>
                <w:sz w:val="20"/>
                <w:szCs w:val="20"/>
              </w:rPr>
            </w:pPr>
            <w:r w:rsidRPr="00726D52">
              <w:rPr>
                <w:noProof/>
                <w:sz w:val="20"/>
                <w:szCs w:val="20"/>
              </w:rPr>
              <w:t>National law enforcement authorities of the EU Member States, Europol</w:t>
            </w:r>
            <w:r w:rsidR="00066058" w:rsidRPr="00726D52">
              <w:rPr>
                <w:noProof/>
                <w:sz w:val="20"/>
                <w:szCs w:val="20"/>
              </w:rPr>
              <w:t>.</w:t>
            </w:r>
          </w:p>
        </w:tc>
      </w:tr>
      <w:tr w:rsidR="00CA235C" w:rsidRPr="00726D52" w14:paraId="18D05A14"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1C87E612" w14:textId="77777777"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Europol as an operational service provider and information hub</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24920999" w14:textId="77777777" w:rsidR="00CA235C" w:rsidRPr="00726D52" w:rsidRDefault="00CA235C" w:rsidP="00455B0C">
            <w:pPr>
              <w:widowControl w:val="0"/>
              <w:rPr>
                <w:noProof/>
                <w:sz w:val="20"/>
                <w:szCs w:val="20"/>
              </w:rPr>
            </w:pPr>
            <w:r w:rsidRPr="00726D52">
              <w:rPr>
                <w:noProof/>
                <w:sz w:val="20"/>
                <w:szCs w:val="20"/>
              </w:rPr>
              <w:t>This option enhances Europol’s ability to use available information effectively, providing dedicated forensic experts and operational staff to handle queries and analyse data. Member States benefit directly by reducing the need to perform time-consuming searches themselves, saving both personnel time and operational costs.</w:t>
            </w:r>
          </w:p>
          <w:p w14:paraId="1186E9E2" w14:textId="77777777" w:rsidR="00CA235C" w:rsidRPr="00726D52" w:rsidRDefault="00CA235C" w:rsidP="00455B0C">
            <w:pPr>
              <w:widowControl w:val="0"/>
              <w:rPr>
                <w:noProof/>
                <w:sz w:val="20"/>
                <w:szCs w:val="20"/>
              </w:rPr>
            </w:pPr>
            <w:r w:rsidRPr="00726D52">
              <w:rPr>
                <w:noProof/>
                <w:sz w:val="20"/>
                <w:szCs w:val="20"/>
              </w:rPr>
              <w:t>At the EU level, the improved operational capacity ensures that cross-border and EU-wide investigations are supported with more accurate, timely, and actionable intelligence, reinforcing the overall law enforcement response and delivering tangible efficiency gains across the Union.</w:t>
            </w: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7FC73886" w14:textId="452375AC" w:rsidR="00CA235C" w:rsidRPr="00726D52" w:rsidRDefault="00CA235C" w:rsidP="00455B0C">
            <w:pPr>
              <w:widowControl w:val="0"/>
              <w:rPr>
                <w:noProof/>
                <w:sz w:val="20"/>
                <w:szCs w:val="20"/>
              </w:rPr>
            </w:pPr>
            <w:r w:rsidRPr="00726D52">
              <w:rPr>
                <w:noProof/>
                <w:sz w:val="20"/>
                <w:szCs w:val="20"/>
              </w:rPr>
              <w:t>National law enforcement authorities of the EU Member States, Europol</w:t>
            </w:r>
            <w:r w:rsidR="00066058" w:rsidRPr="00726D52">
              <w:rPr>
                <w:noProof/>
                <w:sz w:val="20"/>
                <w:szCs w:val="20"/>
              </w:rPr>
              <w:t>.</w:t>
            </w:r>
          </w:p>
        </w:tc>
      </w:tr>
      <w:tr w:rsidR="00CA235C" w:rsidRPr="00726D52" w14:paraId="4D9F20B7"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0C1C6C3D" w14:textId="2850235F"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 xml:space="preserve">Simplified rules to </w:t>
            </w:r>
            <w:r w:rsidR="00415AEB" w:rsidRPr="00726D52">
              <w:rPr>
                <w:i w:val="0"/>
                <w:noProof/>
                <w:color w:val="000000" w:themeColor="text1"/>
                <w:sz w:val="20"/>
              </w:rPr>
              <w:t>reduce the administrative burden</w:t>
            </w:r>
            <w:r w:rsidRPr="00726D52">
              <w:rPr>
                <w:i w:val="0"/>
                <w:noProof/>
                <w:color w:val="000000" w:themeColor="text1"/>
                <w:sz w:val="20"/>
              </w:rPr>
              <w:t xml:space="preserve"> of data subject categorisation (DSC)</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6592D0D2" w14:textId="2C9FFC0B" w:rsidR="00246117" w:rsidRPr="00726D52" w:rsidRDefault="00246117" w:rsidP="00455B0C">
            <w:pPr>
              <w:widowControl w:val="0"/>
              <w:rPr>
                <w:noProof/>
                <w:sz w:val="20"/>
                <w:szCs w:val="20"/>
              </w:rPr>
            </w:pPr>
            <w:r w:rsidRPr="00726D52">
              <w:rPr>
                <w:noProof/>
                <w:sz w:val="20"/>
                <w:szCs w:val="20"/>
              </w:rPr>
              <w:t xml:space="preserve">This option </w:t>
            </w:r>
            <w:r w:rsidR="3130B0CB" w:rsidRPr="00726D52">
              <w:rPr>
                <w:noProof/>
                <w:sz w:val="20"/>
                <w:szCs w:val="20"/>
              </w:rPr>
              <w:t xml:space="preserve">will </w:t>
            </w:r>
            <w:r w:rsidRPr="00726D52">
              <w:rPr>
                <w:noProof/>
                <w:sz w:val="20"/>
                <w:szCs w:val="20"/>
              </w:rPr>
              <w:t xml:space="preserve">reduce the administrative burden associated with the management of DSC procedures, lowering the personnel resources required to carry out labour-intensive administrative tasks. By simplifying these processes, it </w:t>
            </w:r>
            <w:r w:rsidR="2C535B52" w:rsidRPr="00726D52">
              <w:rPr>
                <w:noProof/>
                <w:sz w:val="20"/>
                <w:szCs w:val="20"/>
              </w:rPr>
              <w:t xml:space="preserve">will </w:t>
            </w:r>
            <w:r w:rsidRPr="00726D52">
              <w:rPr>
                <w:noProof/>
                <w:sz w:val="20"/>
                <w:szCs w:val="20"/>
              </w:rPr>
              <w:t>allow both Member States and Europol to allocate staff time more efficiently to operational activities.</w:t>
            </w:r>
          </w:p>
          <w:p w14:paraId="4C6204BF" w14:textId="6E0B25C3" w:rsidR="00246117" w:rsidRPr="00726D52" w:rsidRDefault="00246117" w:rsidP="00455B0C">
            <w:pPr>
              <w:widowControl w:val="0"/>
              <w:rPr>
                <w:noProof/>
                <w:sz w:val="20"/>
                <w:szCs w:val="20"/>
              </w:rPr>
            </w:pPr>
            <w:r w:rsidRPr="00726D52">
              <w:rPr>
                <w:noProof/>
                <w:sz w:val="20"/>
                <w:szCs w:val="20"/>
              </w:rPr>
              <w:t xml:space="preserve">At the same time, Europol </w:t>
            </w:r>
            <w:r w:rsidR="078309A2" w:rsidRPr="00726D52">
              <w:rPr>
                <w:noProof/>
                <w:sz w:val="20"/>
                <w:szCs w:val="20"/>
              </w:rPr>
              <w:t xml:space="preserve">will </w:t>
            </w:r>
            <w:r w:rsidRPr="00726D52">
              <w:rPr>
                <w:noProof/>
                <w:sz w:val="20"/>
                <w:szCs w:val="20"/>
              </w:rPr>
              <w:t xml:space="preserve">benefit from greater flexibility in the use of certain categories of data that were previously subject to stricter procedural limitations. This </w:t>
            </w:r>
            <w:r w:rsidR="2BC3024F" w:rsidRPr="00726D52">
              <w:rPr>
                <w:noProof/>
                <w:sz w:val="20"/>
                <w:szCs w:val="20"/>
              </w:rPr>
              <w:t xml:space="preserve">will </w:t>
            </w:r>
            <w:r w:rsidRPr="00726D52">
              <w:rPr>
                <w:noProof/>
                <w:sz w:val="20"/>
                <w:szCs w:val="20"/>
              </w:rPr>
              <w:t>increase the volume and operational relevance of information available for analysis, thereby strengthening Europol’s analytical capabilities.</w:t>
            </w:r>
          </w:p>
          <w:p w14:paraId="675CE1E9" w14:textId="10FF96B0" w:rsidR="00246117" w:rsidRPr="00726D52" w:rsidRDefault="00246117" w:rsidP="00455B0C">
            <w:pPr>
              <w:widowControl w:val="0"/>
              <w:rPr>
                <w:noProof/>
                <w:sz w:val="20"/>
                <w:szCs w:val="20"/>
              </w:rPr>
            </w:pPr>
            <w:r w:rsidRPr="00726D52">
              <w:rPr>
                <w:noProof/>
                <w:sz w:val="20"/>
                <w:szCs w:val="20"/>
              </w:rPr>
              <w:t xml:space="preserve">Member States and Europol </w:t>
            </w:r>
            <w:r w:rsidR="67A3545F" w:rsidRPr="00726D52">
              <w:rPr>
                <w:noProof/>
                <w:sz w:val="20"/>
                <w:szCs w:val="20"/>
              </w:rPr>
              <w:t xml:space="preserve">will </w:t>
            </w:r>
            <w:r w:rsidRPr="00726D52">
              <w:rPr>
                <w:noProof/>
                <w:sz w:val="20"/>
                <w:szCs w:val="20"/>
              </w:rPr>
              <w:t>therefore realise efficiency gains through reduced staff time devoted to DSC-related administrative procedures, while maintaining a robust legal framework. Alignment with the EUDPR and the LED</w:t>
            </w:r>
            <w:r w:rsidR="22C052C7" w:rsidRPr="00726D52">
              <w:rPr>
                <w:noProof/>
                <w:sz w:val="20"/>
                <w:szCs w:val="20"/>
              </w:rPr>
              <w:t>,</w:t>
            </w:r>
            <w:r w:rsidRPr="00726D52">
              <w:rPr>
                <w:noProof/>
                <w:sz w:val="20"/>
                <w:szCs w:val="20"/>
              </w:rPr>
              <w:t xml:space="preserve"> </w:t>
            </w:r>
            <w:r w:rsidR="22C052C7" w:rsidRPr="00726D52">
              <w:rPr>
                <w:noProof/>
                <w:sz w:val="20"/>
                <w:szCs w:val="20"/>
              </w:rPr>
              <w:t>to the extent required to establish an appropriate framework for Europol,</w:t>
            </w:r>
            <w:r w:rsidRPr="00726D52">
              <w:rPr>
                <w:noProof/>
                <w:sz w:val="20"/>
                <w:szCs w:val="20"/>
              </w:rPr>
              <w:t xml:space="preserve"> </w:t>
            </w:r>
            <w:r w:rsidR="5BCBEBAC" w:rsidRPr="00726D52">
              <w:rPr>
                <w:noProof/>
                <w:sz w:val="20"/>
                <w:szCs w:val="20"/>
              </w:rPr>
              <w:t xml:space="preserve">will </w:t>
            </w:r>
            <w:r w:rsidRPr="00726D52">
              <w:rPr>
                <w:noProof/>
                <w:sz w:val="20"/>
                <w:szCs w:val="20"/>
              </w:rPr>
              <w:t>ensure legal certainty and consistency with the EU data protection acquis.</w:t>
            </w:r>
          </w:p>
          <w:p w14:paraId="71538F45" w14:textId="3A4F3A2B" w:rsidR="00246117" w:rsidRPr="00726D52" w:rsidRDefault="00246117" w:rsidP="00455B0C">
            <w:pPr>
              <w:widowControl w:val="0"/>
              <w:rPr>
                <w:noProof/>
                <w:sz w:val="20"/>
                <w:szCs w:val="20"/>
              </w:rPr>
            </w:pPr>
            <w:r w:rsidRPr="00726D52">
              <w:rPr>
                <w:noProof/>
                <w:sz w:val="20"/>
                <w:szCs w:val="20"/>
              </w:rPr>
              <w:t xml:space="preserve">Overall, the streamlined approach </w:t>
            </w:r>
            <w:r w:rsidR="28858CFA" w:rsidRPr="00726D52">
              <w:rPr>
                <w:noProof/>
                <w:sz w:val="20"/>
                <w:szCs w:val="20"/>
              </w:rPr>
              <w:t xml:space="preserve">will </w:t>
            </w:r>
            <w:r w:rsidRPr="00726D52">
              <w:rPr>
                <w:noProof/>
                <w:sz w:val="20"/>
                <w:szCs w:val="20"/>
              </w:rPr>
              <w:t xml:space="preserve">facilitate </w:t>
            </w:r>
            <w:r w:rsidRPr="00726D52">
              <w:rPr>
                <w:noProof/>
                <w:sz w:val="20"/>
                <w:szCs w:val="20"/>
              </w:rPr>
              <w:lastRenderedPageBreak/>
              <w:t>more efficient information handling and intelligence analysis, supporting cross-border investigations and enabling more effective information sharing between Member States and Europol.</w:t>
            </w:r>
          </w:p>
          <w:p w14:paraId="41C3491F" w14:textId="5A93723F" w:rsidR="00CA235C" w:rsidRPr="00726D52" w:rsidRDefault="00CA235C" w:rsidP="00455B0C">
            <w:pPr>
              <w:widowControl w:val="0"/>
              <w:rPr>
                <w:noProof/>
                <w:sz w:val="20"/>
                <w:szCs w:val="20"/>
              </w:rPr>
            </w:pP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7BD8F796" w14:textId="450879D5" w:rsidR="00CA235C" w:rsidRPr="00726D52" w:rsidRDefault="00CA235C" w:rsidP="00455B0C">
            <w:pPr>
              <w:widowControl w:val="0"/>
              <w:rPr>
                <w:noProof/>
                <w:sz w:val="20"/>
                <w:szCs w:val="20"/>
              </w:rPr>
            </w:pPr>
            <w:r w:rsidRPr="00726D52">
              <w:rPr>
                <w:noProof/>
                <w:sz w:val="20"/>
                <w:szCs w:val="20"/>
              </w:rPr>
              <w:lastRenderedPageBreak/>
              <w:t>National law enforcement authorities of the EU Member States, Europol</w:t>
            </w:r>
            <w:r w:rsidR="00066058" w:rsidRPr="00726D52">
              <w:rPr>
                <w:noProof/>
                <w:sz w:val="20"/>
                <w:szCs w:val="20"/>
              </w:rPr>
              <w:t>.</w:t>
            </w:r>
          </w:p>
        </w:tc>
      </w:tr>
      <w:tr w:rsidR="00CA235C" w:rsidRPr="00726D52" w14:paraId="109043A6"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6CB6E39F" w14:textId="77777777"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Europol as structural provider of information, analytical support and capacities to the EPPO</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3F472E1E" w14:textId="77777777" w:rsidR="00CA235C" w:rsidRPr="00726D52" w:rsidRDefault="00CA235C" w:rsidP="00455B0C">
            <w:pPr>
              <w:widowControl w:val="0"/>
              <w:rPr>
                <w:noProof/>
                <w:color w:val="000000" w:themeColor="text1"/>
                <w:sz w:val="20"/>
                <w:szCs w:val="20"/>
              </w:rPr>
            </w:pPr>
            <w:r w:rsidRPr="00726D52">
              <w:rPr>
                <w:noProof/>
                <w:sz w:val="20"/>
                <w:szCs w:val="20"/>
              </w:rPr>
              <w:t xml:space="preserve">The financial interests of the EU will be protected as the EPPO will be able to fulfil its mission effectively (thanks to Europol’s reinforced support) and efficiently (thanks to direct access to information stored by Europol and hierarchal arrangements between EPPO and Europol). </w:t>
            </w:r>
            <w:r w:rsidRPr="00726D52">
              <w:rPr>
                <w:noProof/>
                <w:color w:val="000000" w:themeColor="text1"/>
                <w:sz w:val="20"/>
                <w:szCs w:val="20"/>
              </w:rPr>
              <w:t xml:space="preserve">For Europol, structural cooperation with the EPPO will lead to the ability to produce a more complete EU-level criminal intelligence picture and thus better support national law enforcement authorities. </w:t>
            </w: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28C10958" w14:textId="190E7B35" w:rsidR="00CA235C" w:rsidRPr="00726D52" w:rsidRDefault="00CA235C" w:rsidP="00455B0C">
            <w:pPr>
              <w:widowControl w:val="0"/>
              <w:rPr>
                <w:noProof/>
                <w:sz w:val="20"/>
                <w:szCs w:val="20"/>
              </w:rPr>
            </w:pPr>
            <w:r w:rsidRPr="00726D52">
              <w:rPr>
                <w:noProof/>
                <w:sz w:val="20"/>
                <w:szCs w:val="20"/>
              </w:rPr>
              <w:t>EPPO, national law enforcement authorities of the EU Member States, Europol</w:t>
            </w:r>
            <w:r w:rsidR="00066058" w:rsidRPr="00726D52">
              <w:rPr>
                <w:noProof/>
                <w:sz w:val="20"/>
                <w:szCs w:val="20"/>
              </w:rPr>
              <w:t>.</w:t>
            </w:r>
          </w:p>
        </w:tc>
      </w:tr>
      <w:tr w:rsidR="00CA235C" w:rsidRPr="00726D52" w14:paraId="4C6A1372"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097FE025" w14:textId="77777777"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EU Digital Police Cloud</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09C69EB2" w14:textId="77777777" w:rsidR="00CA235C" w:rsidRPr="00726D52" w:rsidRDefault="00CA235C" w:rsidP="00455B0C">
            <w:pPr>
              <w:widowControl w:val="0"/>
              <w:rPr>
                <w:noProof/>
                <w:sz w:val="20"/>
                <w:szCs w:val="20"/>
              </w:rPr>
            </w:pPr>
            <w:r w:rsidRPr="00726D52">
              <w:rPr>
                <w:noProof/>
                <w:sz w:val="20"/>
                <w:szCs w:val="20"/>
              </w:rPr>
              <w:t>The EU Police Cloud provides scalable storage and processing power for law enforcement applications, generating economies of scale that prevent each Member State from investing individually in expensive digital infrastructure. This ensures faster, more secure and harmonised access to critical tools and datasets.</w:t>
            </w:r>
          </w:p>
          <w:p w14:paraId="23C2CF6F" w14:textId="77777777" w:rsidR="00CA235C" w:rsidRPr="00726D52" w:rsidRDefault="00CA235C" w:rsidP="00455B0C">
            <w:pPr>
              <w:widowControl w:val="0"/>
              <w:rPr>
                <w:noProof/>
                <w:sz w:val="20"/>
                <w:szCs w:val="20"/>
              </w:rPr>
            </w:pPr>
            <w:r w:rsidRPr="00726D52">
              <w:rPr>
                <w:noProof/>
                <w:sz w:val="20"/>
                <w:szCs w:val="20"/>
              </w:rPr>
              <w:t>Member States save resources and gain operational efficiency by leveraging shared infrastructure, while Europol benefits from centralised processing, enhanced analytical capacity, and support for EU-wide operations, delivering tangible long-term gains in both cost and effectiveness.</w:t>
            </w:r>
          </w:p>
          <w:p w14:paraId="039C94B8" w14:textId="6E3B0769" w:rsidR="00CA235C" w:rsidRPr="00726D52" w:rsidRDefault="00CA235C" w:rsidP="00455B0C">
            <w:pPr>
              <w:widowControl w:val="0"/>
              <w:rPr>
                <w:noProof/>
                <w:sz w:val="20"/>
                <w:szCs w:val="20"/>
              </w:rPr>
            </w:pP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2901FD95" w14:textId="61ED17E0" w:rsidR="00CA235C" w:rsidRPr="00726D52" w:rsidRDefault="00CA235C" w:rsidP="00455B0C">
            <w:pPr>
              <w:widowControl w:val="0"/>
              <w:rPr>
                <w:noProof/>
                <w:sz w:val="20"/>
                <w:szCs w:val="20"/>
              </w:rPr>
            </w:pPr>
            <w:r w:rsidRPr="00726D52">
              <w:rPr>
                <w:noProof/>
                <w:sz w:val="20"/>
                <w:szCs w:val="20"/>
              </w:rPr>
              <w:t>National law enforcement authorities of the EU Member States, Europol</w:t>
            </w:r>
            <w:r w:rsidR="00066058" w:rsidRPr="00726D52">
              <w:rPr>
                <w:noProof/>
                <w:sz w:val="20"/>
                <w:szCs w:val="20"/>
              </w:rPr>
              <w:t>.</w:t>
            </w:r>
          </w:p>
        </w:tc>
      </w:tr>
      <w:tr w:rsidR="00CA235C" w:rsidRPr="00726D52" w14:paraId="15A74CD4" w14:textId="77777777" w:rsidTr="00A83B5F">
        <w:trPr>
          <w:trHeight w:val="300"/>
        </w:trPr>
        <w:tc>
          <w:tcPr>
            <w:tcW w:w="2168" w:type="dxa"/>
            <w:tcBorders>
              <w:top w:val="single" w:sz="6" w:space="0" w:color="auto"/>
              <w:left w:val="double" w:sz="6" w:space="0" w:color="auto"/>
              <w:bottom w:val="double" w:sz="6" w:space="0" w:color="auto"/>
              <w:right w:val="single" w:sz="6" w:space="0" w:color="auto"/>
            </w:tcBorders>
            <w:tcMar>
              <w:left w:w="105" w:type="dxa"/>
              <w:right w:w="105" w:type="dxa"/>
            </w:tcMar>
          </w:tcPr>
          <w:p w14:paraId="1C78DFD9" w14:textId="77777777" w:rsidR="00CA235C" w:rsidRPr="00726D52" w:rsidRDefault="00CA235C" w:rsidP="00455B0C">
            <w:pPr>
              <w:pStyle w:val="Heading3"/>
              <w:keepNext w:val="0"/>
              <w:widowControl w:val="0"/>
              <w:numPr>
                <w:ilvl w:val="0"/>
                <w:numId w:val="0"/>
              </w:numPr>
              <w:rPr>
                <w:iCs/>
                <w:noProof/>
                <w:color w:val="000000" w:themeColor="text1"/>
                <w:sz w:val="20"/>
              </w:rPr>
            </w:pPr>
            <w:r w:rsidRPr="00726D52">
              <w:rPr>
                <w:i w:val="0"/>
                <w:noProof/>
                <w:color w:val="000000" w:themeColor="text1"/>
                <w:sz w:val="20"/>
              </w:rPr>
              <w:t>Europol support offices</w:t>
            </w:r>
          </w:p>
        </w:tc>
        <w:tc>
          <w:tcPr>
            <w:tcW w:w="4265"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64303CBB" w14:textId="77777777" w:rsidR="00CA235C" w:rsidRPr="00726D52" w:rsidRDefault="00CA235C" w:rsidP="00455B0C">
            <w:pPr>
              <w:widowControl w:val="0"/>
              <w:rPr>
                <w:noProof/>
                <w:color w:val="000000" w:themeColor="text1"/>
                <w:sz w:val="20"/>
                <w:szCs w:val="20"/>
              </w:rPr>
            </w:pPr>
            <w:r w:rsidRPr="00726D52">
              <w:rPr>
                <w:noProof/>
                <w:color w:val="000000" w:themeColor="text1"/>
                <w:sz w:val="20"/>
                <w:szCs w:val="20"/>
              </w:rPr>
              <w:t>By significantly improving the practical uptake of Europol’s support (analytical, operational, and strategic products) by national authorities thanks to swifter, faster and more systematic access, this measure strengthens the effectiveness and efficiency of national investigations, as well as and the quality and timeliness of the EU-wide criminal intelligence picture provided by Europol.</w:t>
            </w:r>
          </w:p>
        </w:tc>
        <w:tc>
          <w:tcPr>
            <w:tcW w:w="2214"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2996B4EA" w14:textId="5B5E2926" w:rsidR="00CA235C" w:rsidRPr="00726D52" w:rsidRDefault="00CA235C" w:rsidP="00455B0C">
            <w:pPr>
              <w:widowControl w:val="0"/>
              <w:rPr>
                <w:noProof/>
                <w:sz w:val="20"/>
                <w:szCs w:val="20"/>
              </w:rPr>
            </w:pPr>
            <w:r w:rsidRPr="00726D52">
              <w:rPr>
                <w:noProof/>
                <w:sz w:val="20"/>
                <w:szCs w:val="20"/>
              </w:rPr>
              <w:t>National law enforcement authorities of the EU Member States, Europol</w:t>
            </w:r>
            <w:r w:rsidR="00D80440" w:rsidRPr="00726D52">
              <w:rPr>
                <w:noProof/>
                <w:sz w:val="20"/>
                <w:szCs w:val="20"/>
              </w:rPr>
              <w:t>.</w:t>
            </w:r>
          </w:p>
        </w:tc>
      </w:tr>
      <w:tr w:rsidR="00CA235C" w:rsidRPr="00726D52" w14:paraId="4AE17F34" w14:textId="77777777" w:rsidTr="00A83B5F">
        <w:trPr>
          <w:trHeight w:val="300"/>
        </w:trPr>
        <w:tc>
          <w:tcPr>
            <w:tcW w:w="8647" w:type="dxa"/>
            <w:gridSpan w:val="3"/>
            <w:tcBorders>
              <w:top w:val="single" w:sz="6" w:space="0" w:color="auto"/>
              <w:left w:val="double" w:sz="6" w:space="0" w:color="auto"/>
              <w:bottom w:val="single" w:sz="6" w:space="0" w:color="auto"/>
              <w:right w:val="double" w:sz="6" w:space="0" w:color="auto"/>
            </w:tcBorders>
            <w:shd w:val="clear" w:color="auto" w:fill="F2F2F2" w:themeFill="background1" w:themeFillShade="F2"/>
            <w:tcMar>
              <w:left w:w="105" w:type="dxa"/>
              <w:right w:w="105" w:type="dxa"/>
            </w:tcMar>
          </w:tcPr>
          <w:p w14:paraId="4E3B0FFF" w14:textId="77777777" w:rsidR="00CA235C" w:rsidRPr="00726D52" w:rsidRDefault="00CA235C" w:rsidP="00455B0C">
            <w:pPr>
              <w:widowControl w:val="0"/>
              <w:spacing w:after="0"/>
              <w:jc w:val="center"/>
              <w:rPr>
                <w:noProof/>
                <w:sz w:val="20"/>
                <w:szCs w:val="20"/>
              </w:rPr>
            </w:pPr>
            <w:r w:rsidRPr="00726D52">
              <w:rPr>
                <w:b/>
                <w:bCs/>
                <w:i/>
                <w:iCs/>
                <w:noProof/>
                <w:sz w:val="20"/>
                <w:szCs w:val="20"/>
              </w:rPr>
              <w:t>Indirect benefits</w:t>
            </w:r>
          </w:p>
        </w:tc>
      </w:tr>
      <w:tr w:rsidR="00CA235C" w:rsidRPr="00726D52" w14:paraId="0B4E45E6" w14:textId="77777777" w:rsidTr="00A83B5F">
        <w:trPr>
          <w:trHeight w:val="300"/>
        </w:trPr>
        <w:tc>
          <w:tcPr>
            <w:tcW w:w="8647" w:type="dxa"/>
            <w:gridSpan w:val="3"/>
            <w:tcBorders>
              <w:top w:val="double" w:sz="6" w:space="0" w:color="auto"/>
              <w:left w:val="double" w:sz="6" w:space="0" w:color="auto"/>
              <w:bottom w:val="double" w:sz="6" w:space="0" w:color="auto"/>
              <w:right w:val="double" w:sz="6" w:space="0" w:color="auto"/>
            </w:tcBorders>
            <w:tcMar>
              <w:left w:w="105" w:type="dxa"/>
              <w:right w:w="105" w:type="dxa"/>
            </w:tcMar>
          </w:tcPr>
          <w:p w14:paraId="47D9D85D" w14:textId="77777777" w:rsidR="00CA235C" w:rsidRPr="00726D52" w:rsidRDefault="00CA235C" w:rsidP="00455B0C">
            <w:pPr>
              <w:widowControl w:val="0"/>
              <w:spacing w:after="0"/>
              <w:rPr>
                <w:noProof/>
              </w:rPr>
            </w:pPr>
            <w:r w:rsidRPr="00726D52">
              <w:rPr>
                <w:noProof/>
              </w:rPr>
              <w:t>None identified</w:t>
            </w:r>
          </w:p>
        </w:tc>
      </w:tr>
    </w:tbl>
    <w:p w14:paraId="61D4F3AA" w14:textId="77777777" w:rsidR="00AC7D49" w:rsidRPr="00726D52" w:rsidRDefault="00AC7D49" w:rsidP="00CA235C">
      <w:pPr>
        <w:rPr>
          <w:rFonts w:eastAsia="Times New Roman"/>
          <w:noProof/>
          <w:color w:val="000000" w:themeColor="text1"/>
        </w:rPr>
      </w:pPr>
    </w:p>
    <w:p w14:paraId="7560A58D" w14:textId="793ADA48" w:rsidR="00FA48B1" w:rsidRPr="00726D52" w:rsidRDefault="00FA48B1" w:rsidP="00CA235C">
      <w:pPr>
        <w:rPr>
          <w:rFonts w:eastAsia="Times New Roman"/>
          <w:noProof/>
          <w:color w:val="000000" w:themeColor="text1"/>
        </w:rPr>
      </w:pPr>
      <w:r w:rsidRPr="00726D52">
        <w:rPr>
          <w:rFonts w:eastAsia="Times New Roman"/>
          <w:noProof/>
          <w:color w:val="000000" w:themeColor="text1"/>
        </w:rPr>
        <w:t xml:space="preserve">The </w:t>
      </w:r>
      <w:r w:rsidR="00207EF9" w:rsidRPr="00726D52">
        <w:rPr>
          <w:rFonts w:eastAsia="Times New Roman"/>
          <w:noProof/>
          <w:color w:val="000000" w:themeColor="text1"/>
        </w:rPr>
        <w:t>preferred option</w:t>
      </w:r>
      <w:r w:rsidRPr="00726D52">
        <w:rPr>
          <w:rFonts w:eastAsia="Times New Roman"/>
          <w:noProof/>
          <w:color w:val="000000" w:themeColor="text1"/>
        </w:rPr>
        <w:t xml:space="preserve"> clearly identifies two areas where the direct benefits could result </w:t>
      </w:r>
      <w:r w:rsidR="00BC3D1C" w:rsidRPr="00726D52">
        <w:rPr>
          <w:rFonts w:eastAsia="Times New Roman"/>
          <w:noProof/>
          <w:color w:val="000000" w:themeColor="text1"/>
        </w:rPr>
        <w:t xml:space="preserve">in substantial figures. Those are: </w:t>
      </w:r>
    </w:p>
    <w:p w14:paraId="16023D5F" w14:textId="6E6D3316" w:rsidR="00BC3D1C" w:rsidRPr="00726D52" w:rsidRDefault="00BC3D1C" w:rsidP="009502B2">
      <w:pPr>
        <w:pStyle w:val="ListParagraph"/>
        <w:numPr>
          <w:ilvl w:val="0"/>
          <w:numId w:val="73"/>
        </w:numPr>
        <w:rPr>
          <w:rFonts w:eastAsia="Times New Roman"/>
          <w:noProof/>
          <w:color w:val="000000" w:themeColor="text1"/>
        </w:rPr>
      </w:pPr>
      <w:r w:rsidRPr="00726D52">
        <w:rPr>
          <w:rFonts w:eastAsia="Times New Roman"/>
          <w:noProof/>
          <w:color w:val="000000" w:themeColor="text1"/>
        </w:rPr>
        <w:t>Potential efficiency gains from joint procurement in EU internal security</w:t>
      </w:r>
    </w:p>
    <w:p w14:paraId="1823C39C" w14:textId="0B3B1FF2" w:rsidR="00BC3D1C" w:rsidRPr="00726D52" w:rsidRDefault="00BC3D1C" w:rsidP="009502B2">
      <w:pPr>
        <w:pStyle w:val="ListParagraph"/>
        <w:numPr>
          <w:ilvl w:val="0"/>
          <w:numId w:val="73"/>
        </w:numPr>
        <w:rPr>
          <w:rFonts w:eastAsia="Times New Roman"/>
          <w:noProof/>
          <w:color w:val="000000" w:themeColor="text1"/>
        </w:rPr>
      </w:pPr>
      <w:r w:rsidRPr="00726D52">
        <w:rPr>
          <w:rFonts w:eastAsia="Times New Roman"/>
          <w:noProof/>
          <w:color w:val="000000" w:themeColor="text1"/>
        </w:rPr>
        <w:t>Potential gains due to the EU Police Cloud</w:t>
      </w:r>
    </w:p>
    <w:p w14:paraId="54DC416D" w14:textId="18F75766" w:rsidR="00CA235C" w:rsidRPr="00726D52" w:rsidRDefault="00CA235C" w:rsidP="00CA235C">
      <w:pPr>
        <w:rPr>
          <w:rFonts w:eastAsia="Times New Roman"/>
          <w:b/>
          <w:bCs/>
          <w:noProof/>
          <w:color w:val="000000" w:themeColor="text1"/>
        </w:rPr>
      </w:pPr>
      <w:r w:rsidRPr="00726D52">
        <w:rPr>
          <w:rFonts w:eastAsia="Times New Roman"/>
          <w:b/>
          <w:bCs/>
          <w:noProof/>
          <w:color w:val="000000" w:themeColor="text1"/>
        </w:rPr>
        <w:lastRenderedPageBreak/>
        <w:t>Potential efficiency gains from joint procurement in EU internal security</w:t>
      </w:r>
    </w:p>
    <w:p w14:paraId="20C6C745"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 xml:space="preserve">According to Eurostat statistics on government expenditure by function, expenditure by EU Member States on public order and safety amounted to approximately </w:t>
      </w:r>
      <w:r w:rsidRPr="00726D52">
        <w:rPr>
          <w:rFonts w:eastAsia="Times New Roman"/>
          <w:b/>
          <w:bCs/>
          <w:noProof/>
          <w:color w:val="000000" w:themeColor="text1"/>
        </w:rPr>
        <w:t>1.7% of EU GDP in 2023</w:t>
      </w:r>
      <w:r w:rsidRPr="00726D52">
        <w:rPr>
          <w:rStyle w:val="FootnoteReference"/>
          <w:rFonts w:eastAsia="Times New Roman"/>
          <w:b/>
          <w:bCs/>
          <w:noProof/>
          <w:color w:val="000000" w:themeColor="text1"/>
        </w:rPr>
        <w:footnoteReference w:id="163"/>
      </w:r>
      <w:r w:rsidRPr="00726D52">
        <w:rPr>
          <w:rFonts w:eastAsia="Times New Roman"/>
          <w:noProof/>
          <w:color w:val="000000" w:themeColor="text1"/>
        </w:rPr>
        <w:t>. This category includes expenditure related to police services, fire protection services, law courts, prisons and related research and development.</w:t>
      </w:r>
    </w:p>
    <w:p w14:paraId="04D75F49"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 xml:space="preserve">On the basis of the current size of the EU economy, this corresponds to approximately </w:t>
      </w:r>
      <w:r w:rsidRPr="00726D52">
        <w:rPr>
          <w:rFonts w:eastAsia="Times New Roman"/>
          <w:b/>
          <w:bCs/>
          <w:noProof/>
          <w:color w:val="000000" w:themeColor="text1"/>
        </w:rPr>
        <w:t>€270–290 billion annually</w:t>
      </w:r>
      <w:r w:rsidRPr="00726D52">
        <w:rPr>
          <w:rFonts w:eastAsia="Times New Roman"/>
          <w:noProof/>
          <w:color w:val="000000" w:themeColor="text1"/>
        </w:rPr>
        <w:t xml:space="preserve"> across the Union. Within this category, </w:t>
      </w:r>
      <w:r w:rsidRPr="00726D52">
        <w:rPr>
          <w:rFonts w:eastAsia="Times New Roman"/>
          <w:b/>
          <w:bCs/>
          <w:noProof/>
          <w:color w:val="000000" w:themeColor="text1"/>
        </w:rPr>
        <w:t>police services account for around 0.9% of EU GDP</w:t>
      </w:r>
      <w:r w:rsidRPr="00726D52">
        <w:rPr>
          <w:rFonts w:eastAsia="Times New Roman"/>
          <w:noProof/>
          <w:color w:val="000000" w:themeColor="text1"/>
        </w:rPr>
        <w:t>, representing the largest component of public order and safety expenditure.</w:t>
      </w:r>
    </w:p>
    <w:p w14:paraId="556F365B"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This spending supports a wide range of operational capabilities, including personnel, infrastructure, and operational equipment used by law enforcement authorities. In recent years, the technological component of law enforcement capabilities has increased significantly, reflecting the growing role of digital evidence, cyber investigations, use of biometric technology and data-driven policing in combating organised crime and terrorism.</w:t>
      </w:r>
    </w:p>
    <w:p w14:paraId="26851BCC"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Procurement of law enforcement equipment and technologies is largely carried out at national, and in some cases regional or local, level. As a result, procurement markets for law enforcement technologies in the Union are characterised by a high degree of fragmentation.</w:t>
      </w:r>
    </w:p>
    <w:p w14:paraId="5B8839AC"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Fragmentation can lead to a number of inefficiencies, including:</w:t>
      </w:r>
    </w:p>
    <w:p w14:paraId="14197027" w14:textId="77777777" w:rsidR="00CA235C" w:rsidRPr="00726D52" w:rsidRDefault="00CA235C" w:rsidP="009502B2">
      <w:pPr>
        <w:numPr>
          <w:ilvl w:val="0"/>
          <w:numId w:val="70"/>
        </w:numPr>
        <w:spacing w:after="0"/>
        <w:rPr>
          <w:rFonts w:eastAsia="Times New Roman"/>
          <w:noProof/>
          <w:color w:val="000000" w:themeColor="text1"/>
        </w:rPr>
      </w:pPr>
      <w:r w:rsidRPr="00726D52">
        <w:rPr>
          <w:rFonts w:eastAsia="Times New Roman"/>
          <w:noProof/>
          <w:color w:val="000000" w:themeColor="text1"/>
        </w:rPr>
        <w:t>duplication of procurement procedures across Member States;</w:t>
      </w:r>
    </w:p>
    <w:p w14:paraId="2EF03487" w14:textId="77777777" w:rsidR="00CA235C" w:rsidRPr="00726D52" w:rsidRDefault="00CA235C" w:rsidP="009502B2">
      <w:pPr>
        <w:numPr>
          <w:ilvl w:val="0"/>
          <w:numId w:val="70"/>
        </w:numPr>
        <w:spacing w:after="0"/>
        <w:rPr>
          <w:rFonts w:eastAsia="Times New Roman"/>
          <w:noProof/>
          <w:color w:val="000000" w:themeColor="text1"/>
        </w:rPr>
      </w:pPr>
      <w:r w:rsidRPr="00726D52">
        <w:rPr>
          <w:rFonts w:eastAsia="Times New Roman"/>
          <w:noProof/>
          <w:color w:val="000000" w:themeColor="text1"/>
        </w:rPr>
        <w:t>reduced purchasing volumes for similar technologies;</w:t>
      </w:r>
    </w:p>
    <w:p w14:paraId="501BE6E6" w14:textId="77777777" w:rsidR="00CA235C" w:rsidRPr="00726D52" w:rsidRDefault="00CA235C" w:rsidP="009502B2">
      <w:pPr>
        <w:numPr>
          <w:ilvl w:val="0"/>
          <w:numId w:val="70"/>
        </w:numPr>
        <w:spacing w:after="0"/>
        <w:rPr>
          <w:rFonts w:eastAsia="Times New Roman"/>
          <w:noProof/>
          <w:color w:val="000000" w:themeColor="text1"/>
        </w:rPr>
      </w:pPr>
      <w:r w:rsidRPr="00726D52">
        <w:rPr>
          <w:rFonts w:eastAsia="Times New Roman"/>
          <w:noProof/>
          <w:color w:val="000000" w:themeColor="text1"/>
        </w:rPr>
        <w:t>limited interoperability between equipment and systems used by different authorities;</w:t>
      </w:r>
    </w:p>
    <w:p w14:paraId="5975E6CF" w14:textId="77777777" w:rsidR="00CA235C" w:rsidRPr="00726D52" w:rsidRDefault="00CA235C" w:rsidP="009502B2">
      <w:pPr>
        <w:numPr>
          <w:ilvl w:val="0"/>
          <w:numId w:val="70"/>
        </w:numPr>
        <w:rPr>
          <w:rFonts w:eastAsia="Times New Roman"/>
          <w:noProof/>
          <w:color w:val="000000" w:themeColor="text1"/>
        </w:rPr>
      </w:pPr>
      <w:r w:rsidRPr="00726D52">
        <w:rPr>
          <w:rFonts w:eastAsia="Times New Roman"/>
          <w:noProof/>
          <w:color w:val="000000" w:themeColor="text1"/>
        </w:rPr>
        <w:t>weaker bargaining power vis-à-vis suppliers.</w:t>
      </w:r>
    </w:p>
    <w:p w14:paraId="1B248A90"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These issues are particularly relevant in areas where technologies are widely used by law enforcement authorities across the Union, including digital investigation tools, forensic technologies and data-analysis capabilities.</w:t>
      </w:r>
    </w:p>
    <w:p w14:paraId="63E47759"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 xml:space="preserve">Similar challenges related to fragmentation of procurement markets have been identified in the defence sector. In its analysis of defence capability development, the Commission has highlighted that fragmentation of procurement across Member States may lead to higher costs and reduced efficiency. In this context, the Commission has estimated that </w:t>
      </w:r>
      <w:r w:rsidRPr="00726D52">
        <w:rPr>
          <w:rFonts w:eastAsia="Times New Roman"/>
          <w:b/>
          <w:bCs/>
          <w:noProof/>
          <w:color w:val="000000" w:themeColor="text1"/>
        </w:rPr>
        <w:t>joint procurement of defence equipment could generate savings of around 10% on the value of equipment procured jointly</w:t>
      </w:r>
      <w:r w:rsidRPr="00726D52">
        <w:rPr>
          <w:rFonts w:eastAsia="Times New Roman"/>
          <w:noProof/>
          <w:color w:val="000000" w:themeColor="text1"/>
        </w:rPr>
        <w:t>, notably through economies of scale, stronger bargaining power, and reduced duplication of procurement processes</w:t>
      </w:r>
      <w:r w:rsidRPr="00726D52">
        <w:rPr>
          <w:rStyle w:val="FootnoteReference"/>
          <w:rFonts w:eastAsia="Times New Roman"/>
          <w:noProof/>
          <w:color w:val="000000" w:themeColor="text1"/>
        </w:rPr>
        <w:footnoteReference w:id="164"/>
      </w:r>
      <w:r w:rsidRPr="00726D52">
        <w:rPr>
          <w:rFonts w:eastAsia="Times New Roman"/>
          <w:noProof/>
          <w:color w:val="000000" w:themeColor="text1"/>
        </w:rPr>
        <w:t>.</w:t>
      </w:r>
    </w:p>
    <w:p w14:paraId="4EC384A5"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lastRenderedPageBreak/>
        <w:t>This analysis suggests that the aggregation of demand across Member States can generate efficiency gains in markets characterised by multiple national buyers and relatively concentrated supplier bases.</w:t>
      </w:r>
    </w:p>
    <w:p w14:paraId="3DC49CB0"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Although the operational contexts differ, procurement markets for certain law enforcement technologies display characteristics similar to those observed in the defence sector, including:</w:t>
      </w:r>
    </w:p>
    <w:p w14:paraId="3ABBD13F" w14:textId="77777777" w:rsidR="00CA235C" w:rsidRPr="00726D52" w:rsidRDefault="00CA235C" w:rsidP="009502B2">
      <w:pPr>
        <w:numPr>
          <w:ilvl w:val="0"/>
          <w:numId w:val="71"/>
        </w:numPr>
        <w:spacing w:after="0"/>
        <w:rPr>
          <w:rFonts w:eastAsia="Times New Roman"/>
          <w:noProof/>
          <w:color w:val="000000" w:themeColor="text1"/>
        </w:rPr>
      </w:pPr>
      <w:r w:rsidRPr="00726D52">
        <w:rPr>
          <w:rFonts w:eastAsia="Times New Roman"/>
          <w:noProof/>
          <w:color w:val="000000" w:themeColor="text1"/>
        </w:rPr>
        <w:t>a large number of public buyers across the Union;</w:t>
      </w:r>
    </w:p>
    <w:p w14:paraId="52573866" w14:textId="77777777" w:rsidR="00CA235C" w:rsidRPr="00726D52" w:rsidRDefault="00CA235C" w:rsidP="009502B2">
      <w:pPr>
        <w:numPr>
          <w:ilvl w:val="0"/>
          <w:numId w:val="71"/>
        </w:numPr>
        <w:spacing w:after="0"/>
        <w:rPr>
          <w:rFonts w:eastAsia="Times New Roman"/>
          <w:noProof/>
          <w:color w:val="000000" w:themeColor="text1"/>
        </w:rPr>
      </w:pPr>
      <w:r w:rsidRPr="00726D52">
        <w:rPr>
          <w:rFonts w:eastAsia="Times New Roman"/>
          <w:noProof/>
          <w:color w:val="000000" w:themeColor="text1"/>
        </w:rPr>
        <w:t>relatively limited numbers of specialised suppliers;</w:t>
      </w:r>
    </w:p>
    <w:p w14:paraId="771B8B13" w14:textId="77777777" w:rsidR="00CA235C" w:rsidRPr="00726D52" w:rsidRDefault="00CA235C" w:rsidP="009502B2">
      <w:pPr>
        <w:numPr>
          <w:ilvl w:val="0"/>
          <w:numId w:val="71"/>
        </w:numPr>
        <w:spacing w:after="0"/>
        <w:rPr>
          <w:rFonts w:eastAsia="Times New Roman"/>
          <w:noProof/>
          <w:color w:val="000000" w:themeColor="text1"/>
        </w:rPr>
      </w:pPr>
      <w:r w:rsidRPr="00726D52">
        <w:rPr>
          <w:rFonts w:eastAsia="Times New Roman"/>
          <w:noProof/>
          <w:color w:val="000000" w:themeColor="text1"/>
        </w:rPr>
        <w:t>increasing reliance on complex technological systems;</w:t>
      </w:r>
    </w:p>
    <w:p w14:paraId="76B358ED" w14:textId="77777777" w:rsidR="00CA235C" w:rsidRPr="00726D52" w:rsidRDefault="00CA235C" w:rsidP="009502B2">
      <w:pPr>
        <w:numPr>
          <w:ilvl w:val="0"/>
          <w:numId w:val="71"/>
        </w:numPr>
        <w:rPr>
          <w:rFonts w:eastAsia="Times New Roman"/>
          <w:noProof/>
          <w:color w:val="000000" w:themeColor="text1"/>
        </w:rPr>
      </w:pPr>
      <w:r w:rsidRPr="00726D52">
        <w:rPr>
          <w:rFonts w:eastAsia="Times New Roman"/>
          <w:noProof/>
          <w:color w:val="000000" w:themeColor="text1"/>
        </w:rPr>
        <w:t>the need for interoperability between national authorities.</w:t>
      </w:r>
    </w:p>
    <w:p w14:paraId="59677435" w14:textId="010175A8" w:rsidR="00CA235C" w:rsidRPr="00726D52" w:rsidRDefault="00CA235C" w:rsidP="00CA235C">
      <w:pPr>
        <w:rPr>
          <w:rFonts w:eastAsia="Times New Roman"/>
          <w:noProof/>
          <w:color w:val="000000" w:themeColor="text1"/>
        </w:rPr>
      </w:pPr>
      <w:r w:rsidRPr="00726D52">
        <w:rPr>
          <w:rFonts w:eastAsia="Times New Roman"/>
          <w:noProof/>
          <w:color w:val="000000" w:themeColor="text1"/>
        </w:rPr>
        <w:t>These features are particularly visible in areas such as digital forensic tools, cyber-investigation technologies, biometric identification systems</w:t>
      </w:r>
      <w:r w:rsidR="0079479E" w:rsidRPr="00726D52">
        <w:rPr>
          <w:rFonts w:eastAsia="Times New Roman"/>
          <w:noProof/>
          <w:color w:val="000000" w:themeColor="text1"/>
        </w:rPr>
        <w:t>, case management systems,</w:t>
      </w:r>
      <w:r w:rsidRPr="00726D52">
        <w:rPr>
          <w:rFonts w:eastAsia="Times New Roman"/>
          <w:noProof/>
          <w:color w:val="000000" w:themeColor="text1"/>
        </w:rPr>
        <w:t xml:space="preserve"> and data-analysis platforms used in criminal investigations.</w:t>
      </w:r>
    </w:p>
    <w:p w14:paraId="70E1F5AF"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In such areas, voluntary joint procurement mechanisms at Union level via Europol could allow participating Member States to aggregate demand for commonly used technologies. This could contribute to improved purchasing conditions, facilitate interoperability of systems used by law enforcement authorities and reduce duplication of procurement efforts.</w:t>
      </w:r>
    </w:p>
    <w:p w14:paraId="279B3203"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While the magnitude of potential efficiency gains would depend on the scope and level of participation in joint procurement arrangements, experience from other sectors indicates that aggregation of demand may generate both financial and operational benefits.</w:t>
      </w:r>
    </w:p>
    <w:p w14:paraId="07DA6540"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Potential advantages include:</w:t>
      </w:r>
    </w:p>
    <w:p w14:paraId="606AF8A7" w14:textId="77777777" w:rsidR="00CA235C" w:rsidRPr="00726D52" w:rsidRDefault="00CA235C" w:rsidP="009502B2">
      <w:pPr>
        <w:numPr>
          <w:ilvl w:val="0"/>
          <w:numId w:val="72"/>
        </w:numPr>
        <w:spacing w:after="0"/>
        <w:rPr>
          <w:rFonts w:eastAsia="Times New Roman"/>
          <w:noProof/>
          <w:color w:val="000000" w:themeColor="text1"/>
        </w:rPr>
      </w:pPr>
      <w:r w:rsidRPr="00726D52">
        <w:rPr>
          <w:rFonts w:eastAsia="Times New Roman"/>
          <w:b/>
          <w:bCs/>
          <w:noProof/>
          <w:color w:val="000000" w:themeColor="text1"/>
        </w:rPr>
        <w:t>economies of scale</w:t>
      </w:r>
      <w:r w:rsidRPr="00726D52">
        <w:rPr>
          <w:rFonts w:eastAsia="Times New Roman"/>
          <w:noProof/>
          <w:color w:val="000000" w:themeColor="text1"/>
        </w:rPr>
        <w:t>, resulting from larger procurement volumes;</w:t>
      </w:r>
    </w:p>
    <w:p w14:paraId="02D2058C" w14:textId="77777777" w:rsidR="00CA235C" w:rsidRPr="00726D52" w:rsidRDefault="00CA235C" w:rsidP="009502B2">
      <w:pPr>
        <w:numPr>
          <w:ilvl w:val="0"/>
          <w:numId w:val="72"/>
        </w:numPr>
        <w:spacing w:after="0"/>
        <w:rPr>
          <w:rFonts w:eastAsia="Times New Roman"/>
          <w:noProof/>
          <w:color w:val="000000" w:themeColor="text1"/>
        </w:rPr>
      </w:pPr>
      <w:r w:rsidRPr="00726D52">
        <w:rPr>
          <w:rFonts w:eastAsia="Times New Roman"/>
          <w:b/>
          <w:bCs/>
          <w:noProof/>
          <w:color w:val="000000" w:themeColor="text1"/>
        </w:rPr>
        <w:t>improved bargaining power</w:t>
      </w:r>
      <w:r w:rsidRPr="00726D52">
        <w:rPr>
          <w:rFonts w:eastAsia="Times New Roman"/>
          <w:noProof/>
          <w:color w:val="000000" w:themeColor="text1"/>
        </w:rPr>
        <w:t xml:space="preserve"> vis-à-vis technology suppliers;</w:t>
      </w:r>
    </w:p>
    <w:p w14:paraId="4E2B8E65" w14:textId="77777777" w:rsidR="00CA235C" w:rsidRPr="00726D52" w:rsidRDefault="00CA235C" w:rsidP="009502B2">
      <w:pPr>
        <w:numPr>
          <w:ilvl w:val="0"/>
          <w:numId w:val="72"/>
        </w:numPr>
        <w:spacing w:after="0"/>
        <w:rPr>
          <w:rFonts w:eastAsia="Times New Roman"/>
          <w:noProof/>
          <w:color w:val="000000" w:themeColor="text1"/>
        </w:rPr>
      </w:pPr>
      <w:r w:rsidRPr="00726D52">
        <w:rPr>
          <w:rFonts w:eastAsia="Times New Roman"/>
          <w:b/>
          <w:bCs/>
          <w:noProof/>
          <w:color w:val="000000" w:themeColor="text1"/>
        </w:rPr>
        <w:t>reduced administrative costs</w:t>
      </w:r>
      <w:r w:rsidRPr="00726D52">
        <w:rPr>
          <w:rFonts w:eastAsia="Times New Roman"/>
          <w:noProof/>
          <w:color w:val="000000" w:themeColor="text1"/>
        </w:rPr>
        <w:t xml:space="preserve"> associated with procurement procedures;</w:t>
      </w:r>
    </w:p>
    <w:p w14:paraId="78029DEB" w14:textId="77777777" w:rsidR="00CA235C" w:rsidRPr="00726D52" w:rsidRDefault="00CA235C" w:rsidP="009502B2">
      <w:pPr>
        <w:numPr>
          <w:ilvl w:val="0"/>
          <w:numId w:val="72"/>
        </w:numPr>
        <w:spacing w:after="0"/>
        <w:rPr>
          <w:rFonts w:eastAsia="Times New Roman"/>
          <w:noProof/>
          <w:color w:val="000000" w:themeColor="text1"/>
        </w:rPr>
      </w:pPr>
      <w:r w:rsidRPr="00726D52">
        <w:rPr>
          <w:rFonts w:eastAsia="Times New Roman"/>
          <w:b/>
          <w:bCs/>
          <w:noProof/>
          <w:color w:val="000000" w:themeColor="text1"/>
        </w:rPr>
        <w:t>greater interoperability</w:t>
      </w:r>
      <w:r w:rsidRPr="00726D52">
        <w:rPr>
          <w:rFonts w:eastAsia="Times New Roman"/>
          <w:noProof/>
          <w:color w:val="000000" w:themeColor="text1"/>
        </w:rPr>
        <w:t xml:space="preserve"> of technological systems used by law enforcement authorities;</w:t>
      </w:r>
    </w:p>
    <w:p w14:paraId="1771406D" w14:textId="77777777" w:rsidR="00CA235C" w:rsidRPr="00726D52" w:rsidRDefault="00CA235C" w:rsidP="009502B2">
      <w:pPr>
        <w:numPr>
          <w:ilvl w:val="0"/>
          <w:numId w:val="72"/>
        </w:numPr>
        <w:rPr>
          <w:rFonts w:eastAsia="Times New Roman"/>
          <w:noProof/>
          <w:color w:val="000000" w:themeColor="text1"/>
        </w:rPr>
      </w:pPr>
      <w:r w:rsidRPr="00726D52">
        <w:rPr>
          <w:rFonts w:eastAsia="Times New Roman"/>
          <w:b/>
          <w:bCs/>
          <w:noProof/>
          <w:color w:val="000000" w:themeColor="text1"/>
        </w:rPr>
        <w:t>faster deployment of new capabilities</w:t>
      </w:r>
      <w:r w:rsidRPr="00726D52">
        <w:rPr>
          <w:rFonts w:eastAsia="Times New Roman"/>
          <w:noProof/>
          <w:color w:val="000000" w:themeColor="text1"/>
        </w:rPr>
        <w:t xml:space="preserve"> across Member States.</w:t>
      </w:r>
    </w:p>
    <w:p w14:paraId="6EC15968"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Such mechanisms could complement existing Union-level initiatives aimed at strengthening operational cooperation between law enforcement authorities, including those supported by Europol.</w:t>
      </w:r>
    </w:p>
    <w:p w14:paraId="17A9AE80" w14:textId="362755E1" w:rsidR="00307098" w:rsidRPr="00726D52" w:rsidRDefault="00307098" w:rsidP="00CA235C">
      <w:pPr>
        <w:rPr>
          <w:rFonts w:eastAsia="Times New Roman"/>
          <w:noProof/>
          <w:color w:val="000000" w:themeColor="text1"/>
        </w:rPr>
      </w:pPr>
      <w:r w:rsidRPr="00726D52">
        <w:rPr>
          <w:rFonts w:eastAsia="Times New Roman"/>
          <w:noProof/>
          <w:color w:val="000000" w:themeColor="text1"/>
        </w:rPr>
        <w:t xml:space="preserve">If we considered the above, by leveraging economies of scale, reducing duplicated administrative effort, and increasing bargaining power, joint procurement could achieve </w:t>
      </w:r>
      <w:r w:rsidRPr="00726D52">
        <w:rPr>
          <w:rFonts w:eastAsia="Times New Roman"/>
          <w:b/>
          <w:bCs/>
          <w:noProof/>
          <w:color w:val="000000" w:themeColor="text1"/>
        </w:rPr>
        <w:t>conservative savings of 10%</w:t>
      </w:r>
      <w:r w:rsidRPr="00726D52">
        <w:rPr>
          <w:rFonts w:eastAsia="Times New Roman"/>
          <w:noProof/>
          <w:color w:val="000000" w:themeColor="text1"/>
        </w:rPr>
        <w:t xml:space="preserve"> compared to each Member State conducting procurement individually. For example, a total estimated cost of EUR 200 million across 20 Member States could be reduced to approximately EUR 180 million under a joint procurement approach. These savings reflect both lower unit prices and reduced administrative burdens, while maintaining compliance with EU procurement rules and ensuring harmonised quality standards.</w:t>
      </w:r>
    </w:p>
    <w:p w14:paraId="0A8FD362"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lastRenderedPageBreak/>
        <w:t>Given the scale of public expenditure on public order and safety in the Union and the increasing importance of technological capabilities in law enforcement activities, the aggregation of demand through voluntary joint procurement mechanisms could contribute to improving the efficiency of public spending in this area.</w:t>
      </w:r>
    </w:p>
    <w:p w14:paraId="4AAD1FF5"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Experience in other sectors, including defence, indicates that joint procurement may generate significant efficiency gains where procurement markets are fragmented and characterised by multiple public buyers. Similar mechanisms could therefore offer potential benefits in specific areas of law enforcement technology procurement, while also supporting greater interoperability and operational cooperation between Member States.</w:t>
      </w:r>
    </w:p>
    <w:p w14:paraId="6EAFCD2C" w14:textId="63E0AA09" w:rsidR="00CA235C" w:rsidRPr="00726D52" w:rsidRDefault="00CA235C" w:rsidP="00CA235C">
      <w:pPr>
        <w:rPr>
          <w:rFonts w:eastAsia="Times New Roman"/>
          <w:b/>
          <w:bCs/>
          <w:noProof/>
          <w:color w:val="000000" w:themeColor="text1"/>
        </w:rPr>
      </w:pPr>
      <w:r w:rsidRPr="00726D52">
        <w:rPr>
          <w:rFonts w:eastAsia="Times New Roman"/>
          <w:b/>
          <w:bCs/>
          <w:noProof/>
          <w:color w:val="000000" w:themeColor="text1"/>
        </w:rPr>
        <w:t>Potential gains due to the EU Police Cloud</w:t>
      </w:r>
    </w:p>
    <w:p w14:paraId="695F02A6" w14:textId="1F0D7D37" w:rsidR="00CA235C" w:rsidRPr="00726D52" w:rsidRDefault="00291C03" w:rsidP="00CA235C">
      <w:pPr>
        <w:rPr>
          <w:rFonts w:eastAsia="Times New Roman"/>
          <w:noProof/>
          <w:color w:val="000000" w:themeColor="text1"/>
        </w:rPr>
      </w:pPr>
      <w:r w:rsidRPr="00726D52">
        <w:rPr>
          <w:rFonts w:eastAsia="Times New Roman"/>
          <w:noProof/>
          <w:color w:val="000000" w:themeColor="text1"/>
        </w:rPr>
        <w:t xml:space="preserve">In the absence of concrete figures, this section aims to explain the logic behind the potential gains due to the EU Police Cloud. </w:t>
      </w:r>
      <w:r w:rsidR="00CA235C" w:rsidRPr="00726D52">
        <w:rPr>
          <w:rFonts w:eastAsia="Times New Roman"/>
          <w:noProof/>
          <w:color w:val="000000" w:themeColor="text1"/>
        </w:rPr>
        <w:t xml:space="preserve">The </w:t>
      </w:r>
      <w:r w:rsidR="00CA235C" w:rsidRPr="00726D52">
        <w:rPr>
          <w:rFonts w:eastAsia="Times New Roman"/>
          <w:b/>
          <w:bCs/>
          <w:noProof/>
          <w:color w:val="000000" w:themeColor="text1"/>
        </w:rPr>
        <w:t>EU Police Cloud</w:t>
      </w:r>
      <w:r w:rsidR="00CA235C" w:rsidRPr="00726D52">
        <w:rPr>
          <w:rFonts w:eastAsia="Times New Roman"/>
          <w:noProof/>
          <w:color w:val="000000" w:themeColor="text1"/>
        </w:rPr>
        <w:t xml:space="preserve"> would provide scalable storage and processing capacity for law enforcement applications at Union level. By pooling digital infrastructure, it would generate </w:t>
      </w:r>
      <w:r w:rsidR="00CA235C" w:rsidRPr="00726D52">
        <w:rPr>
          <w:rFonts w:eastAsia="Times New Roman"/>
          <w:b/>
          <w:bCs/>
          <w:noProof/>
          <w:color w:val="000000" w:themeColor="text1"/>
        </w:rPr>
        <w:t>economies of scale</w:t>
      </w:r>
      <w:r w:rsidR="00CA235C" w:rsidRPr="00726D52">
        <w:rPr>
          <w:rFonts w:eastAsia="Times New Roman"/>
          <w:noProof/>
          <w:color w:val="000000" w:themeColor="text1"/>
        </w:rPr>
        <w:t xml:space="preserve"> compared to multiple independent national deployments.</w:t>
      </w:r>
    </w:p>
    <w:p w14:paraId="7CF58945"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 xml:space="preserve">The volume of </w:t>
      </w:r>
      <w:r w:rsidRPr="00726D52">
        <w:rPr>
          <w:rFonts w:eastAsia="Times New Roman"/>
          <w:b/>
          <w:bCs/>
          <w:noProof/>
          <w:color w:val="000000" w:themeColor="text1"/>
        </w:rPr>
        <w:t>digital evidence processed by law enforcement authorities is increasing rapidly</w:t>
      </w:r>
      <w:r w:rsidRPr="00726D52">
        <w:rPr>
          <w:rFonts w:eastAsia="Times New Roman"/>
          <w:noProof/>
          <w:color w:val="000000" w:themeColor="text1"/>
        </w:rPr>
        <w:t>, driven by the growing use of online communications, encrypted messaging services, digital devices and data-intensive investigations. This trend requires expanded storage capacity and advanced computing capabilities to process large datasets, including for digital forensics, cybercrime investigations and data analytics. Shared infrastructure can address these growing needs more efficiently than multiple smaller national systems, enabling law enforcement authorities to access scalable and adaptable computing resources.</w:t>
      </w:r>
    </w:p>
    <w:p w14:paraId="72A01CA4" w14:textId="23B13320" w:rsidR="00CA235C" w:rsidRPr="00726D52" w:rsidRDefault="00CA235C" w:rsidP="00CA235C">
      <w:pPr>
        <w:rPr>
          <w:rFonts w:eastAsia="Times New Roman"/>
          <w:noProof/>
          <w:color w:val="000000" w:themeColor="text1"/>
        </w:rPr>
      </w:pPr>
      <w:r w:rsidRPr="00726D52">
        <w:rPr>
          <w:rFonts w:eastAsia="Times New Roman"/>
          <w:noProof/>
          <w:color w:val="000000" w:themeColor="text1"/>
        </w:rPr>
        <w:t>In the absence of a shared platform, Member States would need to invest individually in digital infrastructure, including data-storage systems, computing capacity, cybersecurity services and software licences</w:t>
      </w:r>
      <w:r w:rsidR="00E3505F" w:rsidRPr="00726D52">
        <w:rPr>
          <w:rFonts w:eastAsia="Times New Roman"/>
          <w:noProof/>
          <w:color w:val="000000" w:themeColor="text1"/>
        </w:rPr>
        <w:t>, notably for EU classified infrastructure</w:t>
      </w:r>
      <w:r w:rsidRPr="00726D52">
        <w:rPr>
          <w:rFonts w:eastAsia="Times New Roman"/>
          <w:noProof/>
          <w:color w:val="000000" w:themeColor="text1"/>
        </w:rPr>
        <w:t xml:space="preserve">. A shared EU platform would </w:t>
      </w:r>
      <w:r w:rsidR="00E3505F" w:rsidRPr="00726D52">
        <w:rPr>
          <w:rFonts w:eastAsia="Times New Roman"/>
          <w:noProof/>
          <w:color w:val="000000" w:themeColor="text1"/>
        </w:rPr>
        <w:t xml:space="preserve">lower the minimum cost of entry to highly specialized infrastructure and shared tools, </w:t>
      </w:r>
      <w:r w:rsidRPr="00726D52">
        <w:rPr>
          <w:rFonts w:eastAsia="Times New Roman"/>
          <w:noProof/>
          <w:color w:val="000000" w:themeColor="text1"/>
        </w:rPr>
        <w:t>avoid duplication of such investments and allow participating authorities to benefit from common infrastructure and services.</w:t>
      </w:r>
    </w:p>
    <w:p w14:paraId="762344B2" w14:textId="42C75870" w:rsidR="00291C03" w:rsidRPr="00726D52" w:rsidRDefault="00291C03" w:rsidP="00291C03">
      <w:pPr>
        <w:rPr>
          <w:rFonts w:eastAsia="Times New Roman"/>
          <w:noProof/>
          <w:color w:val="000000" w:themeColor="text1"/>
        </w:rPr>
      </w:pPr>
      <w:r w:rsidRPr="00726D52">
        <w:rPr>
          <w:rFonts w:eastAsia="Times New Roman"/>
          <w:noProof/>
          <w:color w:val="000000" w:themeColor="text1"/>
        </w:rPr>
        <w:t xml:space="preserve">While the investment costs for cloud infrastructure itself are relatively limited compared with the broader operational costs of analytical capabilities, economies of scale can be achieved through several mechanisms. First, a shared platform would reduce duplication in data collection and processing, as the same datasets, including those obtained through open-source intelligence tools or specialised licences, would not need to be collected and analysed separately by multiple authorities. Second, computing resources could be allocated dynamically across participating users, allowing processing power to be distributed more efficiently depending on operational needs. This type of shared resource management can generate significant efficiency gains, with potential reductions in processing requirements estimated in the range of </w:t>
      </w:r>
      <w:r w:rsidRPr="00726D52">
        <w:rPr>
          <w:rFonts w:eastAsia="Times New Roman"/>
          <w:b/>
          <w:bCs/>
          <w:noProof/>
          <w:color w:val="000000" w:themeColor="text1"/>
        </w:rPr>
        <w:t>50–70% compared with fragmented national deployments</w:t>
      </w:r>
      <w:r w:rsidRPr="00726D52">
        <w:rPr>
          <w:rFonts w:eastAsia="Times New Roman"/>
          <w:noProof/>
          <w:color w:val="000000" w:themeColor="text1"/>
        </w:rPr>
        <w:t>.</w:t>
      </w:r>
    </w:p>
    <w:p w14:paraId="420F5C5F" w14:textId="77777777" w:rsidR="00291C03" w:rsidRPr="00726D52" w:rsidRDefault="00291C03" w:rsidP="00291C03">
      <w:pPr>
        <w:rPr>
          <w:rFonts w:eastAsia="Times New Roman"/>
          <w:noProof/>
          <w:color w:val="000000" w:themeColor="text1"/>
        </w:rPr>
      </w:pPr>
      <w:r w:rsidRPr="00726D52">
        <w:rPr>
          <w:rFonts w:eastAsia="Times New Roman"/>
          <w:noProof/>
          <w:color w:val="000000" w:themeColor="text1"/>
        </w:rPr>
        <w:t xml:space="preserve">In addition, the shared platform would significantly lower the cost of access to highly specialised capabilities, including infrastructure compliant with </w:t>
      </w:r>
      <w:r w:rsidRPr="00726D52">
        <w:rPr>
          <w:rFonts w:eastAsia="Times New Roman"/>
          <w:b/>
          <w:bCs/>
          <w:noProof/>
          <w:color w:val="000000" w:themeColor="text1"/>
        </w:rPr>
        <w:t xml:space="preserve">EU RESTRICTED </w:t>
      </w:r>
      <w:r w:rsidRPr="00726D52">
        <w:rPr>
          <w:rFonts w:eastAsia="Times New Roman"/>
          <w:b/>
          <w:bCs/>
          <w:noProof/>
          <w:color w:val="000000" w:themeColor="text1"/>
        </w:rPr>
        <w:lastRenderedPageBreak/>
        <w:t>classification requirements</w:t>
      </w:r>
      <w:r w:rsidRPr="00726D52">
        <w:rPr>
          <w:rFonts w:eastAsia="Times New Roman"/>
          <w:noProof/>
          <w:color w:val="000000" w:themeColor="text1"/>
        </w:rPr>
        <w:t xml:space="preserve"> and advanced analytical services. For many national authorities, developing such capacities individually would require substantial upfront investment and specialised expertise, which can be more efficiently provided through a common EU-level platform.</w:t>
      </w:r>
    </w:p>
    <w:p w14:paraId="0377B418" w14:textId="75C3044E" w:rsidR="00CA235C" w:rsidRPr="00726D52" w:rsidRDefault="00CA235C" w:rsidP="00CA235C">
      <w:pPr>
        <w:rPr>
          <w:rFonts w:eastAsia="Times New Roman"/>
          <w:noProof/>
          <w:color w:val="000000" w:themeColor="text1"/>
        </w:rPr>
      </w:pPr>
      <w:r w:rsidRPr="00726D52">
        <w:rPr>
          <w:rFonts w:eastAsia="Times New Roman"/>
          <w:noProof/>
          <w:color w:val="000000" w:themeColor="text1"/>
        </w:rPr>
        <w:t>Member States could therefore reduce costs related to hardware procurement, software licensing, system maintenance and IT staffing, while gaining access to more advanced analytical capabilities than might be available through smaller national deployments.</w:t>
      </w:r>
      <w:r w:rsidR="00E3505F" w:rsidRPr="00726D52">
        <w:rPr>
          <w:rFonts w:eastAsia="Times New Roman"/>
          <w:noProof/>
          <w:color w:val="000000" w:themeColor="text1"/>
        </w:rPr>
        <w:t xml:space="preserve"> The use of a common infrastructure for public</w:t>
      </w:r>
      <w:r w:rsidR="0062343B" w:rsidRPr="00726D52">
        <w:rPr>
          <w:rFonts w:eastAsia="Times New Roman"/>
          <w:noProof/>
          <w:color w:val="000000" w:themeColor="text1"/>
        </w:rPr>
        <w:t xml:space="preserve"> data, such as </w:t>
      </w:r>
      <w:r w:rsidR="00CE425B" w:rsidRPr="00726D52">
        <w:rPr>
          <w:rFonts w:eastAsia="Times New Roman"/>
          <w:noProof/>
          <w:color w:val="000000" w:themeColor="text1"/>
        </w:rPr>
        <w:t>Child Sexual Abuse (</w:t>
      </w:r>
      <w:r w:rsidR="0062343B" w:rsidRPr="00726D52">
        <w:rPr>
          <w:rFonts w:eastAsia="Times New Roman"/>
          <w:noProof/>
          <w:color w:val="000000" w:themeColor="text1"/>
        </w:rPr>
        <w:t>CSA</w:t>
      </w:r>
      <w:r w:rsidR="00CE425B" w:rsidRPr="00726D52">
        <w:rPr>
          <w:rFonts w:eastAsia="Times New Roman"/>
          <w:noProof/>
          <w:color w:val="000000" w:themeColor="text1"/>
        </w:rPr>
        <w:t>)</w:t>
      </w:r>
      <w:r w:rsidR="0062343B" w:rsidRPr="00726D52">
        <w:rPr>
          <w:rFonts w:eastAsia="Times New Roman"/>
          <w:noProof/>
          <w:color w:val="000000" w:themeColor="text1"/>
        </w:rPr>
        <w:t xml:space="preserve"> material from the Internet or the </w:t>
      </w:r>
      <w:r w:rsidR="00726D52" w:rsidRPr="00726D52">
        <w:rPr>
          <w:rFonts w:eastAsia="Times New Roman"/>
          <w:noProof/>
          <w:color w:val="000000" w:themeColor="text1"/>
        </w:rPr>
        <w:t>dark web</w:t>
      </w:r>
      <w:r w:rsidR="0062343B" w:rsidRPr="00726D52">
        <w:rPr>
          <w:rFonts w:eastAsia="Times New Roman"/>
          <w:noProof/>
          <w:color w:val="000000" w:themeColor="text1"/>
        </w:rPr>
        <w:t xml:space="preserve"> </w:t>
      </w:r>
      <w:r w:rsidR="00E3505F" w:rsidRPr="00726D52">
        <w:rPr>
          <w:rFonts w:eastAsia="Times New Roman"/>
          <w:noProof/>
          <w:color w:val="000000" w:themeColor="text1"/>
        </w:rPr>
        <w:t xml:space="preserve">and joint investigative data will </w:t>
      </w:r>
      <w:r w:rsidR="00E3505F" w:rsidRPr="00726D52">
        <w:rPr>
          <w:rFonts w:eastAsia="Times New Roman"/>
          <w:i/>
          <w:iCs/>
          <w:noProof/>
          <w:color w:val="000000" w:themeColor="text1"/>
        </w:rPr>
        <w:t>a minima</w:t>
      </w:r>
      <w:r w:rsidR="00E3505F" w:rsidRPr="00726D52">
        <w:rPr>
          <w:rFonts w:eastAsia="Times New Roman"/>
          <w:noProof/>
          <w:color w:val="000000" w:themeColor="text1"/>
        </w:rPr>
        <w:t xml:space="preserve"> halve the cost of storage and processing, as well as the cost of the collection of public data including from the dark web. </w:t>
      </w:r>
      <w:r w:rsidR="0062343B" w:rsidRPr="00726D52">
        <w:rPr>
          <w:rFonts w:eastAsia="Times New Roman"/>
          <w:noProof/>
          <w:color w:val="000000" w:themeColor="text1"/>
        </w:rPr>
        <w:t>The d</w:t>
      </w:r>
      <w:r w:rsidR="00E3505F" w:rsidRPr="00726D52">
        <w:rPr>
          <w:rFonts w:eastAsia="Times New Roman"/>
          <w:noProof/>
          <w:color w:val="000000" w:themeColor="text1"/>
        </w:rPr>
        <w:t xml:space="preserve">edicated processing capacities (GPUs) </w:t>
      </w:r>
      <w:r w:rsidR="0062343B" w:rsidRPr="00726D52">
        <w:rPr>
          <w:rFonts w:eastAsia="Times New Roman"/>
          <w:noProof/>
          <w:color w:val="000000" w:themeColor="text1"/>
        </w:rPr>
        <w:t xml:space="preserve">made available by the EU Police Cloud </w:t>
      </w:r>
      <w:r w:rsidR="00E3505F" w:rsidRPr="00726D52">
        <w:rPr>
          <w:rFonts w:eastAsia="Times New Roman"/>
          <w:noProof/>
          <w:color w:val="000000" w:themeColor="text1"/>
        </w:rPr>
        <w:t xml:space="preserve">would be allocated over </w:t>
      </w:r>
      <w:r w:rsidR="0062343B" w:rsidRPr="00726D52">
        <w:rPr>
          <w:rFonts w:eastAsia="Times New Roman"/>
          <w:noProof/>
          <w:color w:val="000000" w:themeColor="text1"/>
        </w:rPr>
        <w:t xml:space="preserve">more </w:t>
      </w:r>
      <w:r w:rsidR="00E3505F" w:rsidRPr="00726D52">
        <w:rPr>
          <w:rFonts w:eastAsia="Times New Roman"/>
          <w:noProof/>
          <w:color w:val="000000" w:themeColor="text1"/>
        </w:rPr>
        <w:t>law enforcement authorities</w:t>
      </w:r>
      <w:r w:rsidR="0062343B" w:rsidRPr="00726D52">
        <w:rPr>
          <w:rFonts w:eastAsia="Times New Roman"/>
          <w:noProof/>
          <w:color w:val="000000" w:themeColor="text1"/>
        </w:rPr>
        <w:t xml:space="preserve"> and more users, allowing a more efficient use of such capacities, by evening out over time the Member States instant peaks. </w:t>
      </w:r>
      <w:r w:rsidR="00E3505F" w:rsidRPr="00726D52">
        <w:rPr>
          <w:rFonts w:eastAsia="Times New Roman"/>
          <w:noProof/>
          <w:color w:val="000000" w:themeColor="text1"/>
        </w:rPr>
        <w:t xml:space="preserve">Note that this economy of scale </w:t>
      </w:r>
      <w:r w:rsidR="0062343B" w:rsidRPr="00726D52">
        <w:rPr>
          <w:rFonts w:eastAsia="Times New Roman"/>
          <w:noProof/>
          <w:color w:val="000000" w:themeColor="text1"/>
        </w:rPr>
        <w:t xml:space="preserve">could not </w:t>
      </w:r>
      <w:r w:rsidR="00E3505F" w:rsidRPr="00726D52">
        <w:rPr>
          <w:rFonts w:eastAsia="Times New Roman"/>
          <w:noProof/>
          <w:color w:val="000000" w:themeColor="text1"/>
        </w:rPr>
        <w:t xml:space="preserve">be reached at national level </w:t>
      </w:r>
      <w:r w:rsidR="0062343B" w:rsidRPr="00726D52">
        <w:rPr>
          <w:rFonts w:eastAsia="Times New Roman"/>
          <w:noProof/>
          <w:color w:val="000000" w:themeColor="text1"/>
        </w:rPr>
        <w:t xml:space="preserve">with other </w:t>
      </w:r>
      <w:r w:rsidR="00E3505F" w:rsidRPr="00726D52">
        <w:rPr>
          <w:rFonts w:eastAsia="Times New Roman"/>
          <w:noProof/>
          <w:color w:val="000000" w:themeColor="text1"/>
        </w:rPr>
        <w:t>governmental authorities for sensitivity and confidentiality reasons</w:t>
      </w:r>
      <w:r w:rsidR="0062343B" w:rsidRPr="00726D52">
        <w:rPr>
          <w:rFonts w:eastAsia="Times New Roman"/>
          <w:noProof/>
          <w:color w:val="000000" w:themeColor="text1"/>
        </w:rPr>
        <w:t xml:space="preserve">. </w:t>
      </w:r>
    </w:p>
    <w:p w14:paraId="2244C194"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Europol would also benefit from centralised processing capacity, facilitating the analysis of large datasets and supporting EU-wide operational activities.</w:t>
      </w:r>
    </w:p>
    <w:p w14:paraId="42C321D5" w14:textId="77777777" w:rsidR="00CA235C" w:rsidRPr="00726D52" w:rsidRDefault="00CA235C" w:rsidP="00CA235C">
      <w:pPr>
        <w:rPr>
          <w:rFonts w:eastAsia="Times New Roman"/>
          <w:noProof/>
          <w:color w:val="000000" w:themeColor="text1"/>
        </w:rPr>
      </w:pPr>
      <w:r w:rsidRPr="00726D52">
        <w:rPr>
          <w:rFonts w:eastAsia="Times New Roman"/>
          <w:noProof/>
          <w:color w:val="000000" w:themeColor="text1"/>
        </w:rPr>
        <w:t xml:space="preserve">Overall, the use of shared digital infrastructure could generate </w:t>
      </w:r>
      <w:r w:rsidRPr="00726D52">
        <w:rPr>
          <w:rFonts w:eastAsia="Times New Roman"/>
          <w:b/>
          <w:bCs/>
          <w:noProof/>
          <w:color w:val="000000" w:themeColor="text1"/>
        </w:rPr>
        <w:t>significant efficiencies over time</w:t>
      </w:r>
      <w:r w:rsidRPr="00726D52">
        <w:rPr>
          <w:rFonts w:eastAsia="Times New Roman"/>
          <w:noProof/>
          <w:color w:val="000000" w:themeColor="text1"/>
        </w:rPr>
        <w:t xml:space="preserve"> by spreading infrastructure costs across multiple users and avoiding parallel investments by individual Member States.</w:t>
      </w:r>
    </w:p>
    <w:p w14:paraId="64AF9CD0" w14:textId="6B70DD79" w:rsidR="00181F4A" w:rsidRPr="00726D52" w:rsidRDefault="0D9886C2" w:rsidP="2C37EBCE">
      <w:pPr>
        <w:pStyle w:val="Heading1"/>
        <w:rPr>
          <w:bCs/>
          <w:noProof/>
          <w:color w:val="000000" w:themeColor="text1"/>
          <w:szCs w:val="24"/>
        </w:rPr>
      </w:pPr>
      <w:bookmarkStart w:id="33" w:name="_Toc224614048"/>
      <w:r w:rsidRPr="00726D52">
        <w:rPr>
          <w:bCs/>
          <w:noProof/>
          <w:color w:val="000000" w:themeColor="text1"/>
          <w:szCs w:val="24"/>
        </w:rPr>
        <w:t>Relevant sustainable development goals</w:t>
      </w:r>
      <w:bookmarkEnd w:id="33"/>
    </w:p>
    <w:tbl>
      <w:tblPr>
        <w:tblStyle w:val="TableGrid"/>
        <w:tblW w:w="0" w:type="auto"/>
        <w:tblInd w:w="-46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009"/>
        <w:gridCol w:w="3035"/>
        <w:gridCol w:w="2993"/>
      </w:tblGrid>
      <w:tr w:rsidR="2C37EBCE" w:rsidRPr="00726D52" w14:paraId="2A828AAC" w14:textId="77777777" w:rsidTr="0009208E">
        <w:trPr>
          <w:trHeight w:val="300"/>
        </w:trPr>
        <w:tc>
          <w:tcPr>
            <w:tcW w:w="9293" w:type="dxa"/>
            <w:gridSpan w:val="3"/>
            <w:tcBorders>
              <w:top w:val="double" w:sz="6" w:space="0" w:color="auto"/>
              <w:left w:val="double" w:sz="6" w:space="0" w:color="auto"/>
              <w:bottom w:val="single" w:sz="6" w:space="0" w:color="auto"/>
              <w:right w:val="double" w:sz="6" w:space="0" w:color="auto"/>
            </w:tcBorders>
            <w:shd w:val="clear" w:color="auto" w:fill="C6D9F1" w:themeFill="text2" w:themeFillTint="33"/>
            <w:tcMar>
              <w:left w:w="105" w:type="dxa"/>
              <w:right w:w="105" w:type="dxa"/>
            </w:tcMar>
          </w:tcPr>
          <w:p w14:paraId="7721A53E" w14:textId="078D72C7" w:rsidR="2C37EBCE" w:rsidRPr="00726D52" w:rsidRDefault="2C37EBCE" w:rsidP="2C37EBCE">
            <w:pPr>
              <w:spacing w:after="0"/>
              <w:rPr>
                <w:noProof/>
                <w:sz w:val="20"/>
                <w:szCs w:val="20"/>
              </w:rPr>
            </w:pPr>
            <w:r w:rsidRPr="00726D52">
              <w:rPr>
                <w:b/>
                <w:bCs/>
                <w:noProof/>
                <w:sz w:val="20"/>
                <w:szCs w:val="20"/>
              </w:rPr>
              <w:t>IV. Overview of relevant Sustainable Development Goals – Preferred Option(s)</w:t>
            </w:r>
          </w:p>
        </w:tc>
      </w:tr>
      <w:tr w:rsidR="0050356D" w:rsidRPr="00726D52" w14:paraId="3843B924" w14:textId="77777777" w:rsidTr="0009208E">
        <w:trPr>
          <w:trHeight w:val="300"/>
        </w:trPr>
        <w:tc>
          <w:tcPr>
            <w:tcW w:w="3094" w:type="dxa"/>
            <w:tcBorders>
              <w:top w:val="single" w:sz="6" w:space="0" w:color="auto"/>
              <w:left w:val="double" w:sz="6" w:space="0" w:color="auto"/>
              <w:bottom w:val="single" w:sz="6" w:space="0" w:color="auto"/>
              <w:right w:val="single" w:sz="6" w:space="0" w:color="auto"/>
            </w:tcBorders>
            <w:shd w:val="clear" w:color="auto" w:fill="C6D9F1" w:themeFill="text2" w:themeFillTint="33"/>
            <w:tcMar>
              <w:left w:w="105" w:type="dxa"/>
              <w:right w:w="105" w:type="dxa"/>
            </w:tcMar>
          </w:tcPr>
          <w:p w14:paraId="085F3278" w14:textId="1C550075" w:rsidR="2C37EBCE" w:rsidRPr="00726D52" w:rsidRDefault="2C37EBCE" w:rsidP="2C37EBCE">
            <w:pPr>
              <w:spacing w:after="0"/>
              <w:rPr>
                <w:noProof/>
                <w:sz w:val="20"/>
                <w:szCs w:val="20"/>
              </w:rPr>
            </w:pPr>
            <w:r w:rsidRPr="00726D52">
              <w:rPr>
                <w:b/>
                <w:bCs/>
                <w:noProof/>
                <w:sz w:val="20"/>
                <w:szCs w:val="20"/>
              </w:rPr>
              <w:t>Relevant SDG</w:t>
            </w:r>
          </w:p>
        </w:tc>
        <w:tc>
          <w:tcPr>
            <w:tcW w:w="3117"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35E8CAFC" w14:textId="2F83482E" w:rsidR="2C37EBCE" w:rsidRPr="00726D52" w:rsidRDefault="2C37EBCE" w:rsidP="2C37EBCE">
            <w:pPr>
              <w:spacing w:after="0"/>
              <w:rPr>
                <w:noProof/>
                <w:sz w:val="20"/>
                <w:szCs w:val="20"/>
              </w:rPr>
            </w:pPr>
            <w:r w:rsidRPr="00726D52">
              <w:rPr>
                <w:b/>
                <w:bCs/>
                <w:noProof/>
                <w:sz w:val="20"/>
                <w:szCs w:val="20"/>
              </w:rPr>
              <w:t>Expected progress towards the Goal</w:t>
            </w:r>
          </w:p>
        </w:tc>
        <w:tc>
          <w:tcPr>
            <w:tcW w:w="3082" w:type="dxa"/>
            <w:tcBorders>
              <w:top w:val="single" w:sz="6" w:space="0" w:color="auto"/>
              <w:left w:val="single" w:sz="6" w:space="0" w:color="auto"/>
              <w:bottom w:val="single" w:sz="6" w:space="0" w:color="auto"/>
              <w:right w:val="double" w:sz="6" w:space="0" w:color="auto"/>
            </w:tcBorders>
            <w:shd w:val="clear" w:color="auto" w:fill="C6D9F1" w:themeFill="text2" w:themeFillTint="33"/>
            <w:tcMar>
              <w:top w:w="45" w:type="dxa"/>
              <w:left w:w="45" w:type="dxa"/>
              <w:bottom w:w="45" w:type="dxa"/>
              <w:right w:w="45" w:type="dxa"/>
            </w:tcMar>
          </w:tcPr>
          <w:p w14:paraId="625A1C5D" w14:textId="139C4F95" w:rsidR="2C37EBCE" w:rsidRPr="00726D52" w:rsidRDefault="2C37EBCE" w:rsidP="2C37EBCE">
            <w:pPr>
              <w:spacing w:after="0"/>
              <w:rPr>
                <w:noProof/>
                <w:sz w:val="20"/>
                <w:szCs w:val="20"/>
              </w:rPr>
            </w:pPr>
            <w:r w:rsidRPr="00726D52">
              <w:rPr>
                <w:b/>
                <w:bCs/>
                <w:noProof/>
                <w:sz w:val="20"/>
                <w:szCs w:val="20"/>
              </w:rPr>
              <w:t>Comments</w:t>
            </w:r>
          </w:p>
        </w:tc>
      </w:tr>
      <w:tr w:rsidR="2C37EBCE" w:rsidRPr="00726D52" w14:paraId="771CC94E" w14:textId="77777777" w:rsidTr="0009208E">
        <w:trPr>
          <w:trHeight w:val="300"/>
        </w:trPr>
        <w:tc>
          <w:tcPr>
            <w:tcW w:w="3094" w:type="dxa"/>
            <w:tcBorders>
              <w:top w:val="single" w:sz="6" w:space="0" w:color="auto"/>
              <w:left w:val="double" w:sz="6" w:space="0" w:color="auto"/>
              <w:bottom w:val="double" w:sz="6" w:space="0" w:color="auto"/>
              <w:right w:val="single" w:sz="6" w:space="0" w:color="auto"/>
            </w:tcBorders>
            <w:tcMar>
              <w:left w:w="105" w:type="dxa"/>
              <w:right w:w="105" w:type="dxa"/>
            </w:tcMar>
          </w:tcPr>
          <w:p w14:paraId="015086B7" w14:textId="27DDDBAD" w:rsidR="2C37EBCE" w:rsidRPr="00726D52" w:rsidRDefault="2C37EBCE" w:rsidP="2C37EBCE">
            <w:pPr>
              <w:rPr>
                <w:noProof/>
                <w:sz w:val="20"/>
                <w:szCs w:val="20"/>
              </w:rPr>
            </w:pPr>
            <w:r w:rsidRPr="00726D52">
              <w:rPr>
                <w:noProof/>
                <w:sz w:val="20"/>
                <w:szCs w:val="20"/>
              </w:rPr>
              <w:t>SDG 16 – peace, justice and strong institutions</w:t>
            </w:r>
          </w:p>
        </w:tc>
        <w:tc>
          <w:tcPr>
            <w:tcW w:w="3117" w:type="dxa"/>
            <w:tcBorders>
              <w:top w:val="single" w:sz="6" w:space="0" w:color="auto"/>
              <w:left w:val="single" w:sz="6" w:space="0" w:color="auto"/>
              <w:bottom w:val="double" w:sz="6" w:space="0" w:color="auto"/>
              <w:right w:val="single" w:sz="6" w:space="0" w:color="auto"/>
            </w:tcBorders>
            <w:tcMar>
              <w:top w:w="45" w:type="dxa"/>
              <w:left w:w="45" w:type="dxa"/>
              <w:bottom w:w="45" w:type="dxa"/>
              <w:right w:w="45" w:type="dxa"/>
            </w:tcMar>
          </w:tcPr>
          <w:p w14:paraId="673C0217" w14:textId="3F81A365" w:rsidR="2C37EBCE" w:rsidRPr="00726D52" w:rsidRDefault="2C37EBCE" w:rsidP="2C37EBCE">
            <w:pPr>
              <w:rPr>
                <w:noProof/>
                <w:sz w:val="20"/>
                <w:szCs w:val="20"/>
              </w:rPr>
            </w:pPr>
            <w:r w:rsidRPr="00726D52">
              <w:rPr>
                <w:noProof/>
                <w:sz w:val="20"/>
                <w:szCs w:val="20"/>
              </w:rPr>
              <w:t>Faster identification and joint analysis of cross‑border criminal activities enable investigations to be carried out earlier and better, empowering effective responses by national law enforcement agencies and thus strengthening effective institutions and rule of law.</w:t>
            </w:r>
          </w:p>
          <w:p w14:paraId="5CA275C0" w14:textId="55266F99" w:rsidR="2C37EBCE" w:rsidRPr="00726D52" w:rsidRDefault="2C37EBCE" w:rsidP="2C37EBCE">
            <w:pPr>
              <w:rPr>
                <w:noProof/>
                <w:sz w:val="20"/>
                <w:szCs w:val="20"/>
              </w:rPr>
            </w:pPr>
            <w:r w:rsidRPr="00726D52">
              <w:rPr>
                <w:noProof/>
                <w:sz w:val="20"/>
                <w:szCs w:val="20"/>
              </w:rPr>
              <w:t xml:space="preserve">Stronger cooperation between Europol and Eurojust as well as Europol and the EPPO will strengthen the EU-level fight against organised crime and thus the rule of law within the EU and its Member States, including better protecting the financial interest of the EU. </w:t>
            </w:r>
          </w:p>
        </w:tc>
        <w:tc>
          <w:tcPr>
            <w:tcW w:w="3082" w:type="dxa"/>
            <w:tcBorders>
              <w:top w:val="single" w:sz="6" w:space="0" w:color="auto"/>
              <w:left w:val="single" w:sz="6" w:space="0" w:color="auto"/>
              <w:bottom w:val="double" w:sz="6" w:space="0" w:color="auto"/>
              <w:right w:val="double" w:sz="6" w:space="0" w:color="auto"/>
            </w:tcBorders>
            <w:tcMar>
              <w:top w:w="45" w:type="dxa"/>
              <w:left w:w="45" w:type="dxa"/>
              <w:bottom w:w="45" w:type="dxa"/>
              <w:right w:w="45" w:type="dxa"/>
            </w:tcMar>
          </w:tcPr>
          <w:p w14:paraId="0C37AF84" w14:textId="27529C7C" w:rsidR="2C37EBCE" w:rsidRPr="00726D52" w:rsidRDefault="2C37EBCE" w:rsidP="2C37EBCE">
            <w:pPr>
              <w:rPr>
                <w:noProof/>
                <w:sz w:val="20"/>
                <w:szCs w:val="20"/>
              </w:rPr>
            </w:pPr>
          </w:p>
        </w:tc>
      </w:tr>
    </w:tbl>
    <w:p w14:paraId="58F40DC9" w14:textId="560D8CFB" w:rsidR="00181F4A" w:rsidRPr="00726D52" w:rsidRDefault="00181F4A" w:rsidP="2C37EBCE">
      <w:pPr>
        <w:rPr>
          <w:rFonts w:eastAsia="Times New Roman"/>
          <w:noProof/>
          <w:color w:val="000000" w:themeColor="text1"/>
        </w:rPr>
      </w:pPr>
    </w:p>
    <w:p w14:paraId="4AF89A16" w14:textId="1D15810F" w:rsidR="002E1AC0" w:rsidRPr="00726D52" w:rsidRDefault="002E1AC0">
      <w:pPr>
        <w:spacing w:after="200" w:line="276" w:lineRule="auto"/>
        <w:jc w:val="left"/>
        <w:rPr>
          <w:rFonts w:eastAsia="Times New Roman"/>
          <w:noProof/>
          <w:color w:val="000000" w:themeColor="text1"/>
          <w:sz w:val="32"/>
          <w:szCs w:val="32"/>
        </w:rPr>
      </w:pPr>
      <w:r w:rsidRPr="00726D52">
        <w:rPr>
          <w:rFonts w:eastAsia="Times New Roman"/>
          <w:noProof/>
          <w:color w:val="000000" w:themeColor="text1"/>
          <w:sz w:val="32"/>
          <w:szCs w:val="32"/>
        </w:rPr>
        <w:br w:type="page"/>
      </w:r>
    </w:p>
    <w:p w14:paraId="3FE3E5DB" w14:textId="30C7F354" w:rsidR="00181F4A" w:rsidRPr="00726D52" w:rsidRDefault="0D9886C2" w:rsidP="2C37EBCE">
      <w:pPr>
        <w:pStyle w:val="AnnexTitle"/>
        <w:rPr>
          <w:noProof/>
        </w:rPr>
      </w:pPr>
      <w:bookmarkStart w:id="34" w:name="_Toc224614049"/>
      <w:r w:rsidRPr="00726D52">
        <w:rPr>
          <w:noProof/>
        </w:rPr>
        <w:lastRenderedPageBreak/>
        <w:t>Annex 4: Analytical methods</w:t>
      </w:r>
      <w:bookmarkEnd w:id="34"/>
    </w:p>
    <w:p w14:paraId="424DC724" w14:textId="6B662D75" w:rsidR="00181F4A" w:rsidRPr="00726D52" w:rsidRDefault="0D9886C2" w:rsidP="009502B2">
      <w:pPr>
        <w:pStyle w:val="Heading1"/>
        <w:numPr>
          <w:ilvl w:val="3"/>
          <w:numId w:val="47"/>
        </w:numPr>
        <w:jc w:val="left"/>
        <w:rPr>
          <w:noProof/>
          <w:color w:val="000000" w:themeColor="text1"/>
        </w:rPr>
      </w:pPr>
      <w:bookmarkStart w:id="35" w:name="_Toc224614050"/>
      <w:r w:rsidRPr="00726D52">
        <w:rPr>
          <w:noProof/>
          <w:color w:val="000000" w:themeColor="text1"/>
          <w:szCs w:val="24"/>
        </w:rPr>
        <w:t>Methodological approach</w:t>
      </w:r>
      <w:bookmarkEnd w:id="35"/>
    </w:p>
    <w:p w14:paraId="04150D3D" w14:textId="3E108CB8" w:rsidR="00181F4A" w:rsidRPr="00726D52" w:rsidRDefault="0D9886C2" w:rsidP="2C37EBCE">
      <w:pPr>
        <w:spacing w:after="160" w:line="259" w:lineRule="auto"/>
        <w:rPr>
          <w:rFonts w:eastAsia="Times New Roman"/>
          <w:noProof/>
          <w:color w:val="000000" w:themeColor="text1"/>
        </w:rPr>
      </w:pPr>
      <w:r w:rsidRPr="00726D52">
        <w:rPr>
          <w:rFonts w:eastAsia="Times New Roman"/>
          <w:noProof/>
          <w:color w:val="000000" w:themeColor="text1"/>
        </w:rPr>
        <w:t xml:space="preserve">This Impact Assessment has been prepared by the Commission services in accordance with the Better Regulation Guidelines and Toolbox. The analytical framework structures the assessment of problems, objectives, policy options and impacts in a consistent and traceable manner. An external study supported the evidence base and analytical work. </w:t>
      </w:r>
    </w:p>
    <w:p w14:paraId="0E9C042D" w14:textId="30EB7E31" w:rsidR="00181F4A" w:rsidRPr="00726D52" w:rsidRDefault="0D9886C2" w:rsidP="459775E1">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The intervention logic links identified problems and their drivers to specific objectives and to the measures included under each policy option. </w:t>
      </w:r>
      <w:r w:rsidR="0E0192AC" w:rsidRPr="00726D52">
        <w:rPr>
          <w:rFonts w:eastAsia="Times New Roman"/>
          <w:noProof/>
          <w:color w:val="000000" w:themeColor="text1"/>
        </w:rPr>
        <w:t>C</w:t>
      </w:r>
      <w:r w:rsidRPr="00726D52">
        <w:rPr>
          <w:rFonts w:eastAsia="Times New Roman"/>
          <w:noProof/>
          <w:color w:val="000000" w:themeColor="text1"/>
        </w:rPr>
        <w:t xml:space="preserve">oherence </w:t>
      </w:r>
      <w:r w:rsidR="62101B8F" w:rsidRPr="00726D52">
        <w:rPr>
          <w:rFonts w:eastAsia="Times New Roman"/>
          <w:noProof/>
          <w:color w:val="000000" w:themeColor="text1"/>
        </w:rPr>
        <w:t>is ensured</w:t>
      </w:r>
      <w:r w:rsidRPr="00726D52">
        <w:rPr>
          <w:rFonts w:eastAsia="Times New Roman"/>
          <w:noProof/>
          <w:color w:val="000000" w:themeColor="text1"/>
        </w:rPr>
        <w:t xml:space="preserve"> between the evaluation findings (Annex </w:t>
      </w:r>
      <w:r w:rsidR="5E98FA9B" w:rsidRPr="00726D52">
        <w:rPr>
          <w:rFonts w:eastAsia="Times New Roman"/>
          <w:noProof/>
          <w:color w:val="000000" w:themeColor="text1"/>
        </w:rPr>
        <w:t>7</w:t>
      </w:r>
      <w:r w:rsidRPr="00726D52">
        <w:rPr>
          <w:rFonts w:eastAsia="Times New Roman"/>
          <w:noProof/>
          <w:color w:val="000000" w:themeColor="text1"/>
        </w:rPr>
        <w:t>), the problem definition in the main report, and the comparative assessment of impacts. Each option was assessed against a clearly defined baseline scenario reflecting the continuation of the current legal and operational framework.</w:t>
      </w:r>
      <w:r w:rsidR="68CE655E" w:rsidRPr="00726D52">
        <w:rPr>
          <w:rFonts w:eastAsia="Times New Roman"/>
          <w:noProof/>
          <w:color w:val="000000" w:themeColor="text1"/>
        </w:rPr>
        <w:t xml:space="preserve"> The baseline scenario reflects the continuation of the current legal mandate, governance structure and operational model, including already programmed developments. It does not assume structural mandate changes beyond the current framework. This counterfactual ensures that impacts attributed to the initiative represent incremental effects compared to the </w:t>
      </w:r>
      <w:r w:rsidR="68CE655E" w:rsidRPr="00726D52">
        <w:rPr>
          <w:rFonts w:eastAsia="Times New Roman"/>
          <w:i/>
          <w:iCs/>
          <w:noProof/>
          <w:color w:val="000000" w:themeColor="text1"/>
        </w:rPr>
        <w:t>status quo</w:t>
      </w:r>
      <w:r w:rsidR="68CE655E" w:rsidRPr="00726D52">
        <w:rPr>
          <w:rFonts w:eastAsia="Times New Roman"/>
          <w:noProof/>
          <w:color w:val="000000" w:themeColor="text1"/>
        </w:rPr>
        <w:t>.</w:t>
      </w:r>
    </w:p>
    <w:p w14:paraId="37A0ADE8" w14:textId="3F925001" w:rsidR="00181F4A" w:rsidRPr="00726D52" w:rsidRDefault="0D9886C2" w:rsidP="2C37EBCE">
      <w:pPr>
        <w:spacing w:after="220"/>
        <w:rPr>
          <w:rFonts w:eastAsia="Times New Roman"/>
          <w:noProof/>
          <w:color w:val="000000" w:themeColor="text1"/>
        </w:rPr>
      </w:pPr>
      <w:r w:rsidRPr="00726D52">
        <w:rPr>
          <w:rFonts w:eastAsia="Times New Roman"/>
          <w:noProof/>
          <w:color w:val="000000" w:themeColor="text1"/>
        </w:rPr>
        <w:t>Three core assessment criteria guided the analysis:</w:t>
      </w:r>
    </w:p>
    <w:p w14:paraId="61BDA994" w14:textId="1368E577" w:rsidR="00181F4A" w:rsidRPr="00726D52" w:rsidRDefault="0D9886C2" w:rsidP="009502B2">
      <w:pPr>
        <w:pStyle w:val="ListParagraph"/>
        <w:numPr>
          <w:ilvl w:val="0"/>
          <w:numId w:val="51"/>
        </w:numPr>
        <w:spacing w:after="220"/>
        <w:rPr>
          <w:rFonts w:eastAsia="Times New Roman"/>
          <w:noProof/>
          <w:color w:val="000000" w:themeColor="text1"/>
        </w:rPr>
      </w:pPr>
      <w:r w:rsidRPr="00726D52">
        <w:rPr>
          <w:rFonts w:eastAsia="Times New Roman"/>
          <w:b/>
          <w:bCs/>
          <w:noProof/>
          <w:color w:val="000000" w:themeColor="text1"/>
        </w:rPr>
        <w:t>Effectiveness</w:t>
      </w:r>
      <w:r w:rsidRPr="00726D52">
        <w:rPr>
          <w:rFonts w:eastAsia="Times New Roman"/>
          <w:noProof/>
          <w:color w:val="000000" w:themeColor="text1"/>
        </w:rPr>
        <w:t>: the extent to which the option is expected to achieve the initiative’s objectives.</w:t>
      </w:r>
    </w:p>
    <w:p w14:paraId="7D483492" w14:textId="67C587AF" w:rsidR="00181F4A" w:rsidRPr="00726D52" w:rsidRDefault="0D9886C2" w:rsidP="009502B2">
      <w:pPr>
        <w:pStyle w:val="ListParagraph"/>
        <w:numPr>
          <w:ilvl w:val="0"/>
          <w:numId w:val="51"/>
        </w:numPr>
        <w:spacing w:after="220"/>
        <w:rPr>
          <w:rFonts w:eastAsia="Times New Roman"/>
          <w:noProof/>
          <w:color w:val="000000" w:themeColor="text1"/>
        </w:rPr>
      </w:pPr>
      <w:r w:rsidRPr="00726D52">
        <w:rPr>
          <w:rFonts w:eastAsia="Times New Roman"/>
          <w:b/>
          <w:bCs/>
          <w:noProof/>
          <w:color w:val="000000" w:themeColor="text1"/>
        </w:rPr>
        <w:t>Efficiency</w:t>
      </w:r>
      <w:r w:rsidRPr="00726D52">
        <w:rPr>
          <w:rFonts w:eastAsia="Times New Roman"/>
          <w:noProof/>
          <w:color w:val="000000" w:themeColor="text1"/>
        </w:rPr>
        <w:t>: the relationship between the resources required and the results expected, including distributional effects.</w:t>
      </w:r>
    </w:p>
    <w:p w14:paraId="388E7071" w14:textId="749CB28E" w:rsidR="00181F4A" w:rsidRPr="00726D52" w:rsidRDefault="0D9886C2" w:rsidP="009502B2">
      <w:pPr>
        <w:pStyle w:val="ListParagraph"/>
        <w:numPr>
          <w:ilvl w:val="0"/>
          <w:numId w:val="51"/>
        </w:numPr>
        <w:spacing w:after="220"/>
        <w:rPr>
          <w:rFonts w:eastAsia="Times New Roman"/>
          <w:noProof/>
          <w:color w:val="000000" w:themeColor="text1"/>
        </w:rPr>
      </w:pPr>
      <w:r w:rsidRPr="00726D52">
        <w:rPr>
          <w:rFonts w:eastAsia="Times New Roman"/>
          <w:b/>
          <w:bCs/>
          <w:noProof/>
          <w:color w:val="000000" w:themeColor="text1"/>
        </w:rPr>
        <w:t>Coherence</w:t>
      </w:r>
      <w:r w:rsidRPr="00726D52">
        <w:rPr>
          <w:rFonts w:eastAsia="Times New Roman"/>
          <w:noProof/>
          <w:color w:val="000000" w:themeColor="text1"/>
        </w:rPr>
        <w:t>: the internal consistency of the option and its alignment with other relevant EU legislation and policy objectives.</w:t>
      </w:r>
    </w:p>
    <w:p w14:paraId="4AFC45FA" w14:textId="5949A36D" w:rsidR="00181F4A" w:rsidRPr="00726D52" w:rsidRDefault="0D9886C2" w:rsidP="2C37EBCE">
      <w:pPr>
        <w:spacing w:after="220"/>
        <w:rPr>
          <w:rFonts w:eastAsia="Times New Roman"/>
          <w:noProof/>
          <w:color w:val="000000" w:themeColor="text1"/>
        </w:rPr>
      </w:pPr>
      <w:r w:rsidRPr="00726D52">
        <w:rPr>
          <w:rFonts w:eastAsia="Times New Roman"/>
          <w:noProof/>
          <w:color w:val="000000" w:themeColor="text1"/>
        </w:rPr>
        <w:t xml:space="preserve">The analysis also considers </w:t>
      </w:r>
      <w:r w:rsidR="53CB89CF" w:rsidRPr="00726D52">
        <w:rPr>
          <w:rFonts w:eastAsia="Times New Roman"/>
          <w:b/>
          <w:bCs/>
          <w:noProof/>
          <w:color w:val="000000" w:themeColor="text1"/>
        </w:rPr>
        <w:t>proportionality</w:t>
      </w:r>
      <w:r w:rsidR="53CB89CF" w:rsidRPr="00726D52">
        <w:rPr>
          <w:rFonts w:eastAsia="Times New Roman"/>
          <w:noProof/>
          <w:color w:val="000000" w:themeColor="text1"/>
        </w:rPr>
        <w:t xml:space="preserve"> and </w:t>
      </w:r>
      <w:r w:rsidRPr="00726D52">
        <w:rPr>
          <w:rFonts w:eastAsia="Times New Roman"/>
          <w:noProof/>
          <w:color w:val="000000" w:themeColor="text1"/>
        </w:rPr>
        <w:t>EU added value</w:t>
      </w:r>
      <w:r w:rsidR="0EE7EB32" w:rsidRPr="00726D52">
        <w:rPr>
          <w:rFonts w:eastAsia="Times New Roman"/>
          <w:noProof/>
          <w:color w:val="000000" w:themeColor="text1"/>
        </w:rPr>
        <w:t>.</w:t>
      </w:r>
    </w:p>
    <w:p w14:paraId="4D018AA5" w14:textId="77777777" w:rsidR="00440C41" w:rsidRPr="00726D52" w:rsidRDefault="00440C41" w:rsidP="2C37EBCE">
      <w:pPr>
        <w:spacing w:before="120" w:after="120" w:line="260" w:lineRule="atLeast"/>
        <w:rPr>
          <w:rFonts w:eastAsia="Times New Roman"/>
          <w:noProof/>
          <w:color w:val="000000" w:themeColor="text1"/>
        </w:rPr>
      </w:pPr>
    </w:p>
    <w:p w14:paraId="0562908B" w14:textId="240F6988" w:rsidR="00181F4A" w:rsidRPr="00726D52" w:rsidRDefault="0D9886C2" w:rsidP="009502B2">
      <w:pPr>
        <w:pStyle w:val="ListParagraph"/>
        <w:numPr>
          <w:ilvl w:val="0"/>
          <w:numId w:val="78"/>
        </w:numPr>
        <w:spacing w:after="200" w:line="276" w:lineRule="auto"/>
        <w:jc w:val="left"/>
        <w:rPr>
          <w:rFonts w:eastAsia="Times New Roman"/>
          <w:b/>
          <w:bCs/>
          <w:noProof/>
          <w:color w:val="000000" w:themeColor="text1"/>
        </w:rPr>
      </w:pPr>
      <w:r w:rsidRPr="00726D52">
        <w:rPr>
          <w:rFonts w:eastAsia="Times New Roman"/>
          <w:b/>
          <w:bCs/>
          <w:noProof/>
          <w:color w:val="000000" w:themeColor="text1"/>
        </w:rPr>
        <w:t>Methodology for assessment of impacts</w:t>
      </w:r>
    </w:p>
    <w:p w14:paraId="1C5830F1" w14:textId="5C809DE2" w:rsidR="00181F4A" w:rsidRPr="00726D52" w:rsidRDefault="0D9886C2" w:rsidP="2C37EBCE">
      <w:pPr>
        <w:spacing w:after="160" w:line="259" w:lineRule="auto"/>
        <w:rPr>
          <w:rFonts w:eastAsia="Times New Roman"/>
          <w:noProof/>
          <w:color w:val="000000" w:themeColor="text1"/>
        </w:rPr>
      </w:pPr>
      <w:r w:rsidRPr="00726D52">
        <w:rPr>
          <w:rFonts w:eastAsia="Times New Roman"/>
          <w:b/>
          <w:bCs/>
          <w:noProof/>
          <w:color w:val="000000" w:themeColor="text1"/>
        </w:rPr>
        <w:t>Effectiveness</w:t>
      </w:r>
      <w:r w:rsidRPr="00726D52">
        <w:rPr>
          <w:rFonts w:eastAsia="Times New Roman"/>
          <w:noProof/>
          <w:color w:val="000000" w:themeColor="text1"/>
        </w:rPr>
        <w:t xml:space="preserve"> </w:t>
      </w:r>
    </w:p>
    <w:p w14:paraId="7E5C5B81" w14:textId="3F018349" w:rsidR="00181F4A" w:rsidRPr="00726D52" w:rsidRDefault="0D9886C2" w:rsidP="2C37EBCE">
      <w:pPr>
        <w:spacing w:after="160" w:line="259" w:lineRule="auto"/>
        <w:rPr>
          <w:rFonts w:eastAsia="Times New Roman"/>
          <w:noProof/>
          <w:color w:val="000000" w:themeColor="text1"/>
        </w:rPr>
      </w:pPr>
      <w:r w:rsidRPr="00726D52">
        <w:rPr>
          <w:rFonts w:eastAsia="Times New Roman"/>
          <w:noProof/>
          <w:color w:val="000000" w:themeColor="text1"/>
        </w:rPr>
        <w:t>Effectiveness was assessed by examining the extent to which each policy option addresses the identified problems and contributes to the initiative’s specific and general objectives. The analysis draws on evaluation findings, operational data, stakeholder feedback and expert judgement. Where available, quantitative indicators</w:t>
      </w:r>
      <w:r w:rsidR="00440C41" w:rsidRPr="00726D52">
        <w:rPr>
          <w:rFonts w:eastAsia="Times New Roman"/>
          <w:noProof/>
          <w:color w:val="000000" w:themeColor="text1"/>
        </w:rPr>
        <w:t xml:space="preserve"> </w:t>
      </w:r>
      <w:r w:rsidRPr="00726D52">
        <w:rPr>
          <w:rFonts w:eastAsia="Times New Roman"/>
          <w:noProof/>
          <w:color w:val="000000" w:themeColor="text1"/>
        </w:rPr>
        <w:t>informed the assessment. In areas where quantitative indicators were not available, structured qualitative analysis was applied.</w:t>
      </w:r>
    </w:p>
    <w:p w14:paraId="468D37D6" w14:textId="3F5C9F6C" w:rsidR="00181F4A" w:rsidRPr="00726D52" w:rsidRDefault="0D9886C2" w:rsidP="2C37EBCE">
      <w:pPr>
        <w:spacing w:after="160" w:line="259" w:lineRule="auto"/>
        <w:rPr>
          <w:rFonts w:eastAsia="Times New Roman"/>
          <w:noProof/>
          <w:color w:val="000000" w:themeColor="text1"/>
        </w:rPr>
      </w:pPr>
      <w:r w:rsidRPr="00726D52">
        <w:rPr>
          <w:rFonts w:eastAsia="Times New Roman"/>
          <w:noProof/>
          <w:color w:val="000000" w:themeColor="text1"/>
        </w:rPr>
        <w:t>The assessment considers not only formal legal changes but also implementation feasibility and operational practicality.</w:t>
      </w:r>
    </w:p>
    <w:p w14:paraId="1710C1A9" w14:textId="77777777" w:rsidR="00495928" w:rsidRPr="00726D52" w:rsidRDefault="00495928" w:rsidP="2C37EBCE">
      <w:pPr>
        <w:spacing w:after="160" w:line="259" w:lineRule="auto"/>
        <w:rPr>
          <w:rFonts w:eastAsia="Times New Roman"/>
          <w:noProof/>
          <w:color w:val="000000" w:themeColor="text1"/>
        </w:rPr>
      </w:pPr>
    </w:p>
    <w:p w14:paraId="159E1E29" w14:textId="77777777" w:rsidR="00495928" w:rsidRPr="00726D52" w:rsidRDefault="00495928" w:rsidP="2C37EBCE">
      <w:pPr>
        <w:spacing w:after="160" w:line="259" w:lineRule="auto"/>
        <w:rPr>
          <w:rFonts w:eastAsia="Times New Roman"/>
          <w:noProof/>
          <w:color w:val="000000" w:themeColor="text1"/>
        </w:rPr>
      </w:pPr>
    </w:p>
    <w:p w14:paraId="1CA9B93E" w14:textId="6D534516"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b/>
          <w:bCs/>
          <w:noProof/>
          <w:color w:val="000000" w:themeColor="text1"/>
        </w:rPr>
        <w:lastRenderedPageBreak/>
        <w:t xml:space="preserve">Efficiency </w:t>
      </w:r>
    </w:p>
    <w:p w14:paraId="5EDF58DE" w14:textId="7F1A3F59"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Efficiency was evaluated by analysing the proportionality between expected benefits and the resources required under each policy option. The analysis covers:</w:t>
      </w:r>
    </w:p>
    <w:p w14:paraId="458A2930" w14:textId="381655BF" w:rsidR="00181F4A" w:rsidRPr="00726D52" w:rsidRDefault="0D9886C2" w:rsidP="009502B2">
      <w:pPr>
        <w:numPr>
          <w:ilvl w:val="0"/>
          <w:numId w:val="71"/>
        </w:numPr>
        <w:spacing w:after="0"/>
        <w:rPr>
          <w:rFonts w:eastAsia="Times New Roman"/>
          <w:noProof/>
          <w:color w:val="000000" w:themeColor="text1"/>
        </w:rPr>
      </w:pPr>
      <w:r w:rsidRPr="00726D52">
        <w:rPr>
          <w:rFonts w:eastAsia="Times New Roman"/>
          <w:noProof/>
          <w:color w:val="000000" w:themeColor="text1"/>
        </w:rPr>
        <w:t>Financial costs at EU level</w:t>
      </w:r>
      <w:r w:rsidR="00E17B5C" w:rsidRPr="00726D52">
        <w:rPr>
          <w:rFonts w:eastAsia="Times New Roman"/>
          <w:noProof/>
          <w:color w:val="000000" w:themeColor="text1"/>
        </w:rPr>
        <w:t>;</w:t>
      </w:r>
    </w:p>
    <w:p w14:paraId="22920B4A" w14:textId="4BE44C24" w:rsidR="00181F4A" w:rsidRPr="00726D52" w:rsidRDefault="0D9886C2" w:rsidP="009502B2">
      <w:pPr>
        <w:numPr>
          <w:ilvl w:val="0"/>
          <w:numId w:val="71"/>
        </w:numPr>
        <w:spacing w:after="0"/>
        <w:rPr>
          <w:rFonts w:eastAsia="Times New Roman"/>
          <w:noProof/>
          <w:color w:val="000000" w:themeColor="text1"/>
        </w:rPr>
      </w:pPr>
      <w:r w:rsidRPr="00726D52">
        <w:rPr>
          <w:rFonts w:eastAsia="Times New Roman"/>
          <w:noProof/>
          <w:color w:val="000000" w:themeColor="text1"/>
        </w:rPr>
        <w:t>Implementation efforts at EU and national level where relevant</w:t>
      </w:r>
      <w:r w:rsidR="00E17B5C" w:rsidRPr="00726D52">
        <w:rPr>
          <w:rFonts w:eastAsia="Times New Roman"/>
          <w:noProof/>
          <w:color w:val="000000" w:themeColor="text1"/>
        </w:rPr>
        <w:t>;</w:t>
      </w:r>
    </w:p>
    <w:p w14:paraId="6E78B5D3" w14:textId="1049CD0F" w:rsidR="00181F4A" w:rsidRPr="00726D52" w:rsidRDefault="0D9886C2" w:rsidP="009502B2">
      <w:pPr>
        <w:numPr>
          <w:ilvl w:val="0"/>
          <w:numId w:val="71"/>
        </w:numPr>
        <w:spacing w:after="0"/>
        <w:rPr>
          <w:rFonts w:eastAsia="Times New Roman"/>
          <w:noProof/>
          <w:color w:val="000000" w:themeColor="text1"/>
        </w:rPr>
      </w:pPr>
      <w:r w:rsidRPr="00726D52">
        <w:rPr>
          <w:rFonts w:eastAsia="Times New Roman"/>
          <w:noProof/>
          <w:color w:val="000000" w:themeColor="text1"/>
        </w:rPr>
        <w:t>Administrative burden and compliance implications</w:t>
      </w:r>
      <w:r w:rsidR="00E17B5C" w:rsidRPr="00726D52">
        <w:rPr>
          <w:rFonts w:eastAsia="Times New Roman"/>
          <w:noProof/>
          <w:color w:val="000000" w:themeColor="text1"/>
        </w:rPr>
        <w:t>;</w:t>
      </w:r>
    </w:p>
    <w:p w14:paraId="3E63D18B" w14:textId="7A4C72F7" w:rsidR="00181F4A" w:rsidRPr="00726D52" w:rsidRDefault="0D9886C2" w:rsidP="009502B2">
      <w:pPr>
        <w:numPr>
          <w:ilvl w:val="0"/>
          <w:numId w:val="71"/>
        </w:numPr>
        <w:spacing w:after="0"/>
        <w:rPr>
          <w:rFonts w:eastAsia="Times New Roman"/>
          <w:noProof/>
          <w:color w:val="000000" w:themeColor="text1"/>
        </w:rPr>
      </w:pPr>
      <w:r w:rsidRPr="00726D52">
        <w:rPr>
          <w:rFonts w:eastAsia="Times New Roman"/>
          <w:noProof/>
          <w:color w:val="000000" w:themeColor="text1"/>
        </w:rPr>
        <w:t>Social impacts and potential effects on fundamental rights</w:t>
      </w:r>
      <w:r w:rsidR="00E17B5C" w:rsidRPr="00726D52">
        <w:rPr>
          <w:rFonts w:eastAsia="Times New Roman"/>
          <w:noProof/>
          <w:color w:val="000000" w:themeColor="text1"/>
        </w:rPr>
        <w:t>;</w:t>
      </w:r>
    </w:p>
    <w:p w14:paraId="1AA3E1E4" w14:textId="03321AF8" w:rsidR="00181F4A" w:rsidRPr="00726D52" w:rsidRDefault="0D9886C2" w:rsidP="009502B2">
      <w:pPr>
        <w:numPr>
          <w:ilvl w:val="0"/>
          <w:numId w:val="71"/>
        </w:numPr>
        <w:spacing w:after="0"/>
        <w:rPr>
          <w:rFonts w:eastAsia="Times New Roman"/>
          <w:noProof/>
          <w:color w:val="000000" w:themeColor="text1"/>
        </w:rPr>
      </w:pPr>
      <w:r w:rsidRPr="00726D52">
        <w:rPr>
          <w:rFonts w:eastAsia="Times New Roman"/>
          <w:noProof/>
          <w:color w:val="000000" w:themeColor="text1"/>
        </w:rPr>
        <w:t>Distribution of costs and benefits across stakeholders.</w:t>
      </w:r>
    </w:p>
    <w:p w14:paraId="6D7046A4" w14:textId="578DCE9E"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Costs and benefits were assessed both in quantitative and qualitative terms. Where monetisation was not feasible, impacts were characterised in terms of expected magnitude and operational significance. The analysis explicitly distinguishes between one-off implementation costs and recurring operational costs.</w:t>
      </w:r>
    </w:p>
    <w:p w14:paraId="4345E93A" w14:textId="60B898FD"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The proportionality principle guided the assessment: resource implications were evaluated against expected operational improvements, including enhanced coordination, strengthened analytical capacity, improved information exchange and reduction of fragmentation.</w:t>
      </w:r>
    </w:p>
    <w:p w14:paraId="15956CCE" w14:textId="263C3391" w:rsidR="00181F4A" w:rsidRPr="00726D52" w:rsidRDefault="0D9886C2" w:rsidP="000564D7">
      <w:pPr>
        <w:spacing w:before="120" w:after="120" w:line="260" w:lineRule="atLeast"/>
        <w:rPr>
          <w:b/>
          <w:noProof/>
          <w:color w:val="000000" w:themeColor="text1"/>
        </w:rPr>
      </w:pPr>
      <w:r w:rsidRPr="00726D52">
        <w:rPr>
          <w:rFonts w:eastAsia="Times New Roman"/>
          <w:b/>
          <w:noProof/>
          <w:color w:val="000000" w:themeColor="text1"/>
        </w:rPr>
        <w:t>Coherence</w:t>
      </w:r>
    </w:p>
    <w:p w14:paraId="4382DEBF" w14:textId="3458F24A" w:rsidR="00181F4A" w:rsidRPr="00726D52" w:rsidRDefault="0D9886C2" w:rsidP="2C37EBCE">
      <w:pPr>
        <w:pStyle w:val="NormalWeb"/>
        <w:spacing w:before="0" w:beforeAutospacing="0" w:after="0" w:afterAutospacing="0"/>
        <w:jc w:val="both"/>
        <w:rPr>
          <w:noProof/>
          <w:color w:val="000000" w:themeColor="text1"/>
          <w:lang w:val="en-GB"/>
        </w:rPr>
      </w:pPr>
      <w:r w:rsidRPr="00726D52">
        <w:rPr>
          <w:noProof/>
          <w:color w:val="000000" w:themeColor="text1"/>
          <w:lang w:val="en-GB"/>
        </w:rPr>
        <w:t xml:space="preserve">Coherence was examined by assessing the consistency of each option with related EU legislation, in particular the ProtectEU </w:t>
      </w:r>
      <w:r w:rsidR="008945A2" w:rsidRPr="00726D52">
        <w:rPr>
          <w:noProof/>
          <w:color w:val="000000" w:themeColor="text1"/>
          <w:lang w:val="en-GB"/>
        </w:rPr>
        <w:t>S</w:t>
      </w:r>
      <w:r w:rsidRPr="00726D52">
        <w:rPr>
          <w:noProof/>
          <w:color w:val="000000" w:themeColor="text1"/>
          <w:lang w:val="en-GB"/>
        </w:rPr>
        <w:t>trategy</w:t>
      </w:r>
      <w:r w:rsidR="008945A2" w:rsidRPr="00726D52">
        <w:rPr>
          <w:noProof/>
          <w:color w:val="000000" w:themeColor="text1"/>
          <w:lang w:val="en-GB"/>
        </w:rPr>
        <w:t>,</w:t>
      </w:r>
      <w:r w:rsidRPr="00726D52">
        <w:rPr>
          <w:noProof/>
          <w:color w:val="000000" w:themeColor="text1"/>
          <w:lang w:val="en-GB"/>
        </w:rPr>
        <w:t xml:space="preserve"> existing institutional mandates and broader policy objectives. The analysis identifies potential overlaps, complementarities or tensions with other instruments at EU and national level.</w:t>
      </w:r>
    </w:p>
    <w:p w14:paraId="11725902" w14:textId="35BCCE38" w:rsidR="00181F4A" w:rsidRPr="00726D52" w:rsidRDefault="0D9886C2" w:rsidP="009502B2">
      <w:pPr>
        <w:pStyle w:val="Heading1"/>
        <w:numPr>
          <w:ilvl w:val="3"/>
          <w:numId w:val="47"/>
        </w:numPr>
        <w:jc w:val="left"/>
        <w:rPr>
          <w:noProof/>
          <w:color w:val="000000" w:themeColor="text1"/>
        </w:rPr>
      </w:pPr>
      <w:bookmarkStart w:id="36" w:name="_Toc224614051"/>
      <w:r w:rsidRPr="00726D52">
        <w:rPr>
          <w:noProof/>
          <w:color w:val="000000" w:themeColor="text1"/>
          <w:szCs w:val="24"/>
        </w:rPr>
        <w:t>Costing methodologies</w:t>
      </w:r>
      <w:bookmarkEnd w:id="36"/>
    </w:p>
    <w:p w14:paraId="54FA3598" w14:textId="03D7497B"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The costing exercise provides indicative </w:t>
      </w:r>
      <w:r w:rsidRPr="00726D52">
        <w:rPr>
          <w:rFonts w:eastAsia="Times New Roman"/>
          <w:i/>
          <w:iCs/>
          <w:noProof/>
          <w:color w:val="000000" w:themeColor="text1"/>
        </w:rPr>
        <w:t>ex ante</w:t>
      </w:r>
      <w:r w:rsidRPr="00726D52">
        <w:rPr>
          <w:rFonts w:eastAsia="Times New Roman"/>
          <w:noProof/>
          <w:color w:val="000000" w:themeColor="text1"/>
        </w:rPr>
        <w:t xml:space="preserve"> estimates of the financial and operational implications of the policy options. Given the varying degree of specification of measures and differences in data availability, a mixed-method approach combining quantitative and qualitative evidence was applied.</w:t>
      </w:r>
    </w:p>
    <w:p w14:paraId="16D4D617" w14:textId="30408A0B"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Quantification was undertaken only where sufficiently reliable and granular data were available. Where implementation parameters remain dependent on future operational or technical decisions, impacts were assessed qualitatively in order to avoid artificial quantification.</w:t>
      </w:r>
    </w:p>
    <w:p w14:paraId="04C50FBB" w14:textId="1C2DAB9D" w:rsidR="00181F4A" w:rsidRPr="00726D52" w:rsidRDefault="0D9886C2" w:rsidP="009502B2">
      <w:pPr>
        <w:pStyle w:val="ListParagraph"/>
        <w:numPr>
          <w:ilvl w:val="1"/>
          <w:numId w:val="89"/>
        </w:numPr>
        <w:spacing w:before="120" w:after="120" w:line="260" w:lineRule="atLeast"/>
        <w:rPr>
          <w:rFonts w:eastAsia="Times New Roman"/>
          <w:b/>
          <w:bCs/>
          <w:noProof/>
          <w:color w:val="000000" w:themeColor="text1"/>
        </w:rPr>
      </w:pPr>
      <w:r w:rsidRPr="00726D52">
        <w:rPr>
          <w:rFonts w:eastAsia="Times New Roman"/>
          <w:b/>
          <w:bCs/>
          <w:noProof/>
          <w:color w:val="000000" w:themeColor="text1"/>
        </w:rPr>
        <w:t>Evidence</w:t>
      </w:r>
      <w:r w:rsidRPr="00726D52">
        <w:rPr>
          <w:rFonts w:eastAsia="Times New Roman"/>
          <w:b/>
          <w:noProof/>
          <w:color w:val="000000" w:themeColor="text1"/>
        </w:rPr>
        <w:t xml:space="preserve"> base for quantification </w:t>
      </w:r>
    </w:p>
    <w:p w14:paraId="1DD9AD4C" w14:textId="66DF9368"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Quantitative analysis relied primarily on Europol’s annual budget, establishment plans and Single Programming Documents. These sources enabled:</w:t>
      </w:r>
    </w:p>
    <w:p w14:paraId="6C7BD16C" w14:textId="690A27CD" w:rsidR="00181F4A" w:rsidRPr="00726D52" w:rsidRDefault="0D9886C2" w:rsidP="009502B2">
      <w:pPr>
        <w:pStyle w:val="ListParagraph"/>
        <w:numPr>
          <w:ilvl w:val="0"/>
          <w:numId w:val="42"/>
        </w:numPr>
        <w:spacing w:before="120" w:after="120" w:line="260" w:lineRule="atLeast"/>
        <w:rPr>
          <w:rFonts w:eastAsia="Times New Roman"/>
          <w:noProof/>
          <w:color w:val="000000" w:themeColor="text1"/>
        </w:rPr>
      </w:pPr>
      <w:r w:rsidRPr="00726D52">
        <w:rPr>
          <w:rFonts w:eastAsia="Times New Roman"/>
          <w:noProof/>
          <w:color w:val="000000" w:themeColor="text1"/>
        </w:rPr>
        <w:t>estimation of unit costs per full-time equivalent (FTE);</w:t>
      </w:r>
    </w:p>
    <w:p w14:paraId="23E894D2" w14:textId="2EF8DA15" w:rsidR="00181F4A" w:rsidRPr="00726D52" w:rsidRDefault="0D9886C2" w:rsidP="009502B2">
      <w:pPr>
        <w:pStyle w:val="ListParagraph"/>
        <w:numPr>
          <w:ilvl w:val="0"/>
          <w:numId w:val="42"/>
        </w:numPr>
        <w:spacing w:before="120" w:after="120" w:line="260" w:lineRule="atLeast"/>
        <w:rPr>
          <w:rFonts w:eastAsia="Times New Roman"/>
          <w:noProof/>
          <w:color w:val="000000" w:themeColor="text1"/>
        </w:rPr>
      </w:pPr>
      <w:r w:rsidRPr="00726D52">
        <w:rPr>
          <w:rFonts w:eastAsia="Times New Roman"/>
          <w:noProof/>
          <w:color w:val="000000" w:themeColor="text1"/>
        </w:rPr>
        <w:t>allocation of costs between operational and enabling functions;</w:t>
      </w:r>
    </w:p>
    <w:p w14:paraId="66ED4A1A" w14:textId="42B33D5D" w:rsidR="00181F4A" w:rsidRPr="00726D52" w:rsidRDefault="0D9886C2" w:rsidP="009502B2">
      <w:pPr>
        <w:pStyle w:val="ListParagraph"/>
        <w:numPr>
          <w:ilvl w:val="0"/>
          <w:numId w:val="42"/>
        </w:numPr>
        <w:spacing w:before="120" w:after="120" w:line="260" w:lineRule="atLeast"/>
        <w:rPr>
          <w:rFonts w:eastAsia="Times New Roman"/>
          <w:noProof/>
          <w:color w:val="000000" w:themeColor="text1"/>
        </w:rPr>
      </w:pPr>
      <w:r w:rsidRPr="00726D52">
        <w:rPr>
          <w:rFonts w:eastAsia="Times New Roman"/>
          <w:noProof/>
          <w:color w:val="000000" w:themeColor="text1"/>
        </w:rPr>
        <w:t>modelling of scaling effects for analytical, operational and compliance capacities;</w:t>
      </w:r>
    </w:p>
    <w:p w14:paraId="00A1E19A" w14:textId="30F1C789" w:rsidR="00181F4A" w:rsidRPr="00726D52" w:rsidRDefault="0D9886C2" w:rsidP="009502B2">
      <w:pPr>
        <w:pStyle w:val="ListParagraph"/>
        <w:numPr>
          <w:ilvl w:val="0"/>
          <w:numId w:val="42"/>
        </w:numPr>
        <w:spacing w:before="120" w:after="120" w:line="260" w:lineRule="atLeast"/>
        <w:rPr>
          <w:rFonts w:eastAsia="Times New Roman"/>
          <w:noProof/>
          <w:color w:val="000000" w:themeColor="text1"/>
        </w:rPr>
      </w:pPr>
      <w:r w:rsidRPr="00726D52">
        <w:rPr>
          <w:rFonts w:eastAsia="Times New Roman"/>
          <w:noProof/>
          <w:color w:val="000000" w:themeColor="text1"/>
        </w:rPr>
        <w:t>differentiation between capital expenditure and recurring expenditure.</w:t>
      </w:r>
    </w:p>
    <w:p w14:paraId="4B5AD06D" w14:textId="44F06F33"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For selected measures involving regulatory and compliance functions, quantitative inputs were drawn from Commission Staff Working Documents and administrative reporting, including cost modelling related to temporary data processing under Article 18 of the Europol Regulation and reporting to the Joint Parliamentary Scrutiny Group.</w:t>
      </w:r>
    </w:p>
    <w:p w14:paraId="476CBC16" w14:textId="77777777" w:rsidR="000564D7" w:rsidRPr="00726D52" w:rsidRDefault="0D9886C2" w:rsidP="000564D7">
      <w:pPr>
        <w:spacing w:before="120" w:after="120" w:line="260" w:lineRule="atLeast"/>
        <w:rPr>
          <w:rFonts w:eastAsia="Times New Roman"/>
          <w:noProof/>
          <w:color w:val="000000" w:themeColor="text1"/>
        </w:rPr>
      </w:pPr>
      <w:r w:rsidRPr="00726D52">
        <w:rPr>
          <w:rFonts w:eastAsia="Times New Roman"/>
          <w:noProof/>
          <w:color w:val="000000" w:themeColor="text1"/>
        </w:rPr>
        <w:lastRenderedPageBreak/>
        <w:t>Publicly available remuneration benchmarks were used, where relevant, to estimate staffing costs for potential new organisational structures.</w:t>
      </w:r>
    </w:p>
    <w:p w14:paraId="13094EC0" w14:textId="34B03A32" w:rsidR="00181F4A" w:rsidRPr="00726D52" w:rsidRDefault="000564D7" w:rsidP="000564D7">
      <w:pPr>
        <w:spacing w:before="120" w:after="120" w:line="260" w:lineRule="atLeast"/>
        <w:rPr>
          <w:rFonts w:eastAsia="Times New Roman"/>
          <w:b/>
          <w:bCs/>
          <w:noProof/>
          <w:color w:val="000000" w:themeColor="text1"/>
        </w:rPr>
      </w:pPr>
      <w:r w:rsidRPr="00726D52">
        <w:rPr>
          <w:rFonts w:eastAsia="Times New Roman"/>
          <w:b/>
          <w:bCs/>
          <w:noProof/>
          <w:color w:val="000000" w:themeColor="text1"/>
        </w:rPr>
        <w:t xml:space="preserve">2.2 </w:t>
      </w:r>
      <w:r w:rsidR="0D9886C2" w:rsidRPr="00726D52">
        <w:rPr>
          <w:rFonts w:eastAsia="Times New Roman"/>
          <w:b/>
          <w:bCs/>
          <w:noProof/>
          <w:color w:val="000000" w:themeColor="text1"/>
        </w:rPr>
        <w:t>Benchmarking and modelling</w:t>
      </w:r>
    </w:p>
    <w:p w14:paraId="1A322A91" w14:textId="6F099DFC"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Where direct measurement was not feasible, project-level financial data from comparable EU-level initiatives were used as benchmarks. These include platforms such as the SIRIUS project and the Joint Operational Analysis Case (JOAC) platform. These benchmarks provided reference points for development costs, staffing structures and operational expenditure.</w:t>
      </w:r>
    </w:p>
    <w:p w14:paraId="234F8DFC" w14:textId="41A98D06"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For infrastructure-intensive or digital measures, including the EU Digital Police Cloud, scenario-based modelling was applied over a multi-annual horizon. Financial projections incorporated known technical constraints, including projected data volume growth, system performance requirements, data-centre capacity limits, and expected system usage intensity.</w:t>
      </w:r>
    </w:p>
    <w:p w14:paraId="44431464" w14:textId="1BF97B90" w:rsidR="000564D7"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Alternative scenarios reflected varying levels of technical ambition and investment scale. Costs were systematically differentiated between one-off implementation expenditure and recurring </w:t>
      </w:r>
      <w:r w:rsidR="004C1371" w:rsidRPr="00726D52">
        <w:rPr>
          <w:rFonts w:eastAsia="Times New Roman"/>
          <w:noProof/>
          <w:color w:val="000000" w:themeColor="text1"/>
        </w:rPr>
        <w:t xml:space="preserve">adjustment </w:t>
      </w:r>
      <w:r w:rsidR="00726D52" w:rsidRPr="00726D52">
        <w:rPr>
          <w:rFonts w:eastAsia="Times New Roman"/>
          <w:noProof/>
          <w:color w:val="000000" w:themeColor="text1"/>
        </w:rPr>
        <w:t>costs related</w:t>
      </w:r>
      <w:r w:rsidRPr="00726D52">
        <w:rPr>
          <w:rFonts w:eastAsia="Times New Roman"/>
          <w:noProof/>
          <w:color w:val="000000" w:themeColor="text1"/>
        </w:rPr>
        <w:t xml:space="preserve"> to maintenance, licences, managed services and ongoing support.</w:t>
      </w:r>
    </w:p>
    <w:p w14:paraId="1123E03A" w14:textId="4976A1C7" w:rsidR="00181F4A" w:rsidRPr="00726D52" w:rsidRDefault="000564D7" w:rsidP="000564D7">
      <w:pPr>
        <w:spacing w:before="120" w:after="120" w:line="260" w:lineRule="atLeast"/>
        <w:rPr>
          <w:rFonts w:eastAsia="Times New Roman"/>
          <w:noProof/>
          <w:color w:val="000000" w:themeColor="text1"/>
        </w:rPr>
      </w:pPr>
      <w:r w:rsidRPr="00726D52">
        <w:rPr>
          <w:rFonts w:eastAsia="Times New Roman"/>
          <w:b/>
          <w:noProof/>
          <w:color w:val="000000" w:themeColor="text1"/>
        </w:rPr>
        <w:t xml:space="preserve">2.3 </w:t>
      </w:r>
      <w:r w:rsidR="0D9886C2" w:rsidRPr="00726D52">
        <w:rPr>
          <w:rFonts w:eastAsia="Times New Roman"/>
          <w:b/>
          <w:noProof/>
          <w:color w:val="000000" w:themeColor="text1"/>
        </w:rPr>
        <w:t>Human resources</w:t>
      </w:r>
    </w:p>
    <w:p w14:paraId="64B1ABA1" w14:textId="7F34B355"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Human resource impacts were explicitly quantified where measures implied structural expansion of analytical, operational or compliance functions. Quantification relied on activity-based costing, operational workload benchmarks and scenario-based scaling of staffing needs.</w:t>
      </w:r>
    </w:p>
    <w:p w14:paraId="5075D900" w14:textId="4F532966" w:rsidR="000564D7"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Where quantitative operational data were insufficient to support monetisation, staffing impacts were assessed qualitatively and characterised conservatively.</w:t>
      </w:r>
    </w:p>
    <w:p w14:paraId="19B276BD" w14:textId="2EEC8B47" w:rsidR="00181F4A" w:rsidRPr="00726D52" w:rsidRDefault="000564D7" w:rsidP="000564D7">
      <w:pPr>
        <w:spacing w:before="120" w:after="120" w:line="260" w:lineRule="atLeast"/>
        <w:rPr>
          <w:rFonts w:eastAsia="Times New Roman"/>
          <w:noProof/>
          <w:color w:val="000000" w:themeColor="text1"/>
        </w:rPr>
      </w:pPr>
      <w:r w:rsidRPr="00726D52">
        <w:rPr>
          <w:rFonts w:eastAsia="Times New Roman"/>
          <w:b/>
          <w:bCs/>
          <w:noProof/>
          <w:color w:val="000000" w:themeColor="text1"/>
        </w:rPr>
        <w:t>2.4</w:t>
      </w:r>
      <w:r w:rsidR="000664A0" w:rsidRPr="00726D52">
        <w:rPr>
          <w:rFonts w:eastAsia="Times New Roman"/>
          <w:b/>
          <w:bCs/>
          <w:noProof/>
          <w:color w:val="000000" w:themeColor="text1"/>
        </w:rPr>
        <w:t xml:space="preserve"> </w:t>
      </w:r>
      <w:r w:rsidR="0D9886C2" w:rsidRPr="00726D52">
        <w:rPr>
          <w:rFonts w:eastAsia="Times New Roman"/>
          <w:b/>
          <w:noProof/>
          <w:color w:val="000000" w:themeColor="text1"/>
        </w:rPr>
        <w:t>ICT and interoperability</w:t>
      </w:r>
    </w:p>
    <w:p w14:paraId="6C257490" w14:textId="755E6771"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ICT-related costs were identified for measures that explicitly require IT infrastructure, system development or integration, data-processing platforms, large-scale information exchange mechanisms, or a material expansion of Europol’s digital and analytical environment. For a substantial share of measures, ICT impacts were assessed as negligible or limited, on the assumption that they build on existing Europol systems, interoperability frameworks and national infrastructures without requiring major upgrades. The quantification and qualitative assessment of ICT costs followed three approaches depending on the nature of the measure and data availability: incremental adjustment of existing systems; proportional scaling of enabling ICT capacity alongside operational expansion; and scenario-based modelling for large digital platforms and collaborative environments.</w:t>
      </w:r>
    </w:p>
    <w:p w14:paraId="48F751E2" w14:textId="154CBA1A"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The latter approach was applied in particular to the EU Police Cloud. In these cases, financial projections were developed over a multi-annual period, incorporating known technical constraints such as projected data volume growth, existing data-centre capacity limits, legal restrictions affecting outsourcing, and the scale and duration of large ICT programmes. Alternative scenarios were used to reflect varying levels of investment ambition and technical capability, ranging from limited system upgrades to more advanced configurations involving cloud solutions, enhanced security features, automation and advanced analytics. ICT costs were therefore differentiated between one-off </w:t>
      </w:r>
      <w:r w:rsidRPr="00726D52">
        <w:rPr>
          <w:rFonts w:eastAsia="Times New Roman"/>
          <w:noProof/>
          <w:color w:val="000000" w:themeColor="text1"/>
        </w:rPr>
        <w:lastRenderedPageBreak/>
        <w:t xml:space="preserve">implementation costs and </w:t>
      </w:r>
      <w:r w:rsidR="004C1371" w:rsidRPr="00726D52">
        <w:rPr>
          <w:rFonts w:eastAsia="Times New Roman"/>
          <w:noProof/>
          <w:color w:val="000000" w:themeColor="text1"/>
        </w:rPr>
        <w:t xml:space="preserve">recurring adjustment </w:t>
      </w:r>
      <w:r w:rsidR="00726D52" w:rsidRPr="00726D52">
        <w:rPr>
          <w:rFonts w:eastAsia="Times New Roman"/>
          <w:noProof/>
          <w:color w:val="000000" w:themeColor="text1"/>
        </w:rPr>
        <w:t>costs related</w:t>
      </w:r>
      <w:r w:rsidRPr="00726D52">
        <w:rPr>
          <w:rFonts w:eastAsia="Times New Roman"/>
          <w:noProof/>
          <w:color w:val="000000" w:themeColor="text1"/>
        </w:rPr>
        <w:t xml:space="preserve"> to maintenance, licences, managed services and ongoing support.</w:t>
      </w:r>
    </w:p>
    <w:p w14:paraId="14A8BC73" w14:textId="0514E4D6" w:rsidR="000564D7"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For measures involving data exchange with other EU agencies, ICT costs are primarily driven by interoperability requirements and workload-dependent demand. In these cases, the analysis assumes that core systems are already in place and that additional costs mainly relate to integration, logging and auditing configurations, capacity management and maintenance. Benchmarks from comparable projects were used where relevant to approximate development and operating costs, with low and high-bound estimates applied to reflect uncertainty regarding future data volumes, query intensity and participation levels.</w:t>
      </w:r>
    </w:p>
    <w:p w14:paraId="28772D35" w14:textId="73109150" w:rsidR="00181F4A" w:rsidRPr="00726D52" w:rsidRDefault="000664A0" w:rsidP="000564D7">
      <w:pPr>
        <w:spacing w:before="120" w:after="120" w:line="260" w:lineRule="atLeast"/>
        <w:rPr>
          <w:rFonts w:eastAsia="Times New Roman"/>
          <w:noProof/>
          <w:color w:val="000000" w:themeColor="text1"/>
        </w:rPr>
      </w:pPr>
      <w:r w:rsidRPr="00726D52">
        <w:rPr>
          <w:rFonts w:eastAsia="Times New Roman"/>
          <w:b/>
          <w:bCs/>
          <w:noProof/>
          <w:color w:val="000000" w:themeColor="text1"/>
        </w:rPr>
        <w:t xml:space="preserve">2.5 </w:t>
      </w:r>
      <w:r w:rsidR="0D9886C2" w:rsidRPr="00726D52">
        <w:rPr>
          <w:rFonts w:eastAsia="Times New Roman"/>
          <w:b/>
          <w:noProof/>
          <w:color w:val="000000" w:themeColor="text1"/>
        </w:rPr>
        <w:t xml:space="preserve">Infrastructure </w:t>
      </w:r>
    </w:p>
    <w:p w14:paraId="136DF9C1" w14:textId="0E2067D5"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Infrastructure costs include premises, secure facilities, equipment and organisational support services required to accommodate operational expansion. As such costs are highly dependent on future implementation choices and location-specific factors, they could not be estimated </w:t>
      </w:r>
      <w:r w:rsidRPr="00726D52">
        <w:rPr>
          <w:rFonts w:eastAsia="Times New Roman"/>
          <w:i/>
          <w:iCs/>
          <w:noProof/>
          <w:color w:val="000000" w:themeColor="text1"/>
        </w:rPr>
        <w:t>ex ante</w:t>
      </w:r>
      <w:r w:rsidRPr="00726D52">
        <w:rPr>
          <w:rFonts w:eastAsia="Times New Roman"/>
          <w:noProof/>
          <w:color w:val="000000" w:themeColor="text1"/>
        </w:rPr>
        <w:t xml:space="preserve"> with sufficient reliability and were therefore not monetised. Their potential impact is described qualitatively.</w:t>
      </w:r>
    </w:p>
    <w:p w14:paraId="028E7849" w14:textId="229D0951" w:rsidR="00181F4A" w:rsidRPr="00726D52" w:rsidRDefault="0D9886C2" w:rsidP="009502B2">
      <w:pPr>
        <w:pStyle w:val="Heading1"/>
        <w:numPr>
          <w:ilvl w:val="3"/>
          <w:numId w:val="47"/>
        </w:numPr>
        <w:jc w:val="left"/>
        <w:rPr>
          <w:noProof/>
          <w:color w:val="000000" w:themeColor="text1"/>
        </w:rPr>
      </w:pPr>
      <w:bookmarkStart w:id="37" w:name="_Toc224614052"/>
      <w:r w:rsidRPr="00726D52">
        <w:rPr>
          <w:noProof/>
          <w:color w:val="000000" w:themeColor="text1"/>
          <w:szCs w:val="24"/>
        </w:rPr>
        <w:t>Caveats and limitations</w:t>
      </w:r>
      <w:bookmarkEnd w:id="37"/>
    </w:p>
    <w:p w14:paraId="5D1B7764" w14:textId="6894CF41" w:rsidR="00181F4A" w:rsidRPr="00726D52" w:rsidRDefault="0D9886C2" w:rsidP="2C37EBCE">
      <w:pPr>
        <w:spacing w:after="160" w:line="259" w:lineRule="auto"/>
        <w:rPr>
          <w:rFonts w:eastAsia="Times New Roman"/>
          <w:noProof/>
          <w:color w:val="000000" w:themeColor="text1"/>
        </w:rPr>
      </w:pPr>
      <w:r w:rsidRPr="00726D52">
        <w:rPr>
          <w:rFonts w:eastAsia="Times New Roman"/>
          <w:noProof/>
          <w:color w:val="000000" w:themeColor="text1"/>
        </w:rPr>
        <w:t>Uncertainty in cost projections was addressed through scenario analysis and the use of lower- and upper-bound estimates where appropriate. Key variables subject to sensitivity considerations include staffing levels, data volumes, ICT scaling requirements and participation rates.</w:t>
      </w:r>
    </w:p>
    <w:p w14:paraId="393BA0D5" w14:textId="2CCD9C28" w:rsidR="00181F4A" w:rsidRPr="00726D52" w:rsidRDefault="0D9886C2" w:rsidP="2C37EBCE">
      <w:pPr>
        <w:spacing w:after="160" w:line="259" w:lineRule="auto"/>
        <w:rPr>
          <w:rFonts w:eastAsia="Times New Roman"/>
          <w:noProof/>
          <w:color w:val="000000" w:themeColor="text1"/>
        </w:rPr>
      </w:pPr>
      <w:r w:rsidRPr="00726D52">
        <w:rPr>
          <w:rFonts w:eastAsia="Times New Roman"/>
          <w:noProof/>
          <w:color w:val="000000" w:themeColor="text1"/>
        </w:rPr>
        <w:t>Where impacts could not be reliably monetised, qualitative assessment was applied. Conservative assumptions were used in order to avoid overstating benefits or underestimating costs.</w:t>
      </w:r>
    </w:p>
    <w:p w14:paraId="08024B7E" w14:textId="7868DEBF" w:rsidR="00181F4A" w:rsidRPr="00726D52" w:rsidRDefault="0D9886C2" w:rsidP="2C37EBCE">
      <w:pPr>
        <w:spacing w:after="160" w:line="259" w:lineRule="auto"/>
        <w:rPr>
          <w:rFonts w:eastAsia="Times New Roman"/>
          <w:noProof/>
          <w:color w:val="000000" w:themeColor="text1"/>
        </w:rPr>
      </w:pPr>
      <w:r w:rsidRPr="00726D52">
        <w:rPr>
          <w:rFonts w:eastAsia="Times New Roman"/>
          <w:noProof/>
          <w:color w:val="000000" w:themeColor="text1"/>
        </w:rPr>
        <w:t xml:space="preserve">Certain limitations are inherent to </w:t>
      </w:r>
      <w:r w:rsidRPr="00726D52">
        <w:rPr>
          <w:rFonts w:eastAsia="Times New Roman"/>
          <w:i/>
          <w:iCs/>
          <w:noProof/>
          <w:color w:val="000000" w:themeColor="text1"/>
        </w:rPr>
        <w:t>ex ante</w:t>
      </w:r>
      <w:r w:rsidRPr="00726D52">
        <w:rPr>
          <w:rFonts w:eastAsia="Times New Roman"/>
          <w:noProof/>
          <w:color w:val="000000" w:themeColor="text1"/>
        </w:rPr>
        <w:t xml:space="preserve"> assessments of complex institutional reforms. Some implementation parameters depend on future operational decisions, legislative negotiations or technological developments. In such cases, impacts are presented proportionately and transparently, ensuring analytical robustness without over-precision.</w:t>
      </w:r>
    </w:p>
    <w:p w14:paraId="075F3E2B" w14:textId="75DF251B" w:rsidR="000664A0" w:rsidRPr="00726D52" w:rsidRDefault="0D9886C2">
      <w:pPr>
        <w:spacing w:after="200" w:line="276" w:lineRule="auto"/>
        <w:jc w:val="left"/>
        <w:rPr>
          <w:rFonts w:eastAsia="Times New Roman"/>
          <w:noProof/>
          <w:color w:val="000000" w:themeColor="text1"/>
          <w:sz w:val="32"/>
          <w:szCs w:val="32"/>
        </w:rPr>
      </w:pPr>
      <w:r w:rsidRPr="00726D52">
        <w:rPr>
          <w:rFonts w:eastAsia="Times New Roman"/>
          <w:noProof/>
          <w:color w:val="000000" w:themeColor="text1"/>
        </w:rPr>
        <w:t>Despite these limitations, the consistent comparative framework applied across policy options ensures that the relative differences between options are analytically sound and that conclusions are evidence-based and proportionate.</w:t>
      </w:r>
      <w:r w:rsidR="000664A0" w:rsidRPr="00726D52">
        <w:rPr>
          <w:rFonts w:eastAsia="Times New Roman"/>
          <w:noProof/>
          <w:color w:val="000000" w:themeColor="text1"/>
          <w:sz w:val="32"/>
          <w:szCs w:val="32"/>
        </w:rPr>
        <w:br w:type="page"/>
      </w:r>
    </w:p>
    <w:p w14:paraId="667FD45A" w14:textId="3705F779" w:rsidR="00181F4A" w:rsidRPr="00726D52" w:rsidRDefault="0D9886C2" w:rsidP="2C37EBCE">
      <w:pPr>
        <w:pStyle w:val="AnnexTitle"/>
        <w:rPr>
          <w:noProof/>
        </w:rPr>
      </w:pPr>
      <w:bookmarkStart w:id="38" w:name="_Toc224614053"/>
      <w:r w:rsidRPr="00726D52">
        <w:rPr>
          <w:noProof/>
        </w:rPr>
        <w:lastRenderedPageBreak/>
        <w:t>Annex 5: The preferred policy measures</w:t>
      </w:r>
      <w:bookmarkEnd w:id="38"/>
    </w:p>
    <w:p w14:paraId="1C9B8359" w14:textId="429606DF"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combined effect operates along three mutually dependent pillars: </w:t>
      </w:r>
      <w:r w:rsidRPr="00726D52">
        <w:rPr>
          <w:rStyle w:val="Strong"/>
          <w:rFonts w:eastAsia="Times New Roman"/>
          <w:noProof/>
          <w:color w:val="000000" w:themeColor="text1"/>
        </w:rPr>
        <w:t>data availability, legal usability and technical-operational capacity</w:t>
      </w:r>
      <w:r w:rsidRPr="00726D52">
        <w:rPr>
          <w:rFonts w:eastAsia="Times New Roman"/>
          <w:noProof/>
          <w:color w:val="000000" w:themeColor="text1"/>
        </w:rPr>
        <w:t>. The contribution of each measure to the operational objectives will be reported under the section on the preferred policy option.</w:t>
      </w:r>
    </w:p>
    <w:p w14:paraId="20560462" w14:textId="2859B9E2" w:rsidR="00181F4A" w:rsidRPr="00726D52" w:rsidRDefault="0D9886C2" w:rsidP="2C37EBCE">
      <w:pPr>
        <w:rPr>
          <w:rFonts w:eastAsia="Times New Roman"/>
          <w:noProof/>
          <w:color w:val="000000" w:themeColor="text1"/>
        </w:rPr>
      </w:pPr>
      <w:r w:rsidRPr="00726D52">
        <w:rPr>
          <w:rFonts w:eastAsia="Times New Roman"/>
          <w:b/>
          <w:i/>
          <w:noProof/>
          <w:color w:val="000000" w:themeColor="text1"/>
        </w:rPr>
        <w:t>Legal enabler: Data Subject Categorisation</w:t>
      </w:r>
    </w:p>
    <w:p w14:paraId="0375EB2C" w14:textId="7FB78DE6"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reform of Data Subject Categorisation (DSC) of policy option 2.2 constitutes a </w:t>
      </w:r>
      <w:r w:rsidRPr="00726D52">
        <w:rPr>
          <w:rFonts w:eastAsia="Times New Roman"/>
          <w:b/>
          <w:noProof/>
          <w:color w:val="000000" w:themeColor="text1"/>
        </w:rPr>
        <w:t>horizontal enabler</w:t>
      </w:r>
      <w:r w:rsidRPr="00726D52">
        <w:rPr>
          <w:rFonts w:eastAsia="Times New Roman"/>
          <w:noProof/>
          <w:color w:val="000000" w:themeColor="text1"/>
        </w:rPr>
        <w:t xml:space="preserve"> for the entire package. By streamlining and aligning the DSC framework, it removes structural constraints affecting the timely processing of large and complex datasets.</w:t>
      </w:r>
    </w:p>
    <w:p w14:paraId="7B8AABDE" w14:textId="5301EB25" w:rsidR="00181F4A" w:rsidRPr="00726D52" w:rsidRDefault="0D9886C2" w:rsidP="2C37EBCE">
      <w:pPr>
        <w:rPr>
          <w:rFonts w:eastAsia="Times New Roman"/>
          <w:noProof/>
          <w:color w:val="000000" w:themeColor="text1"/>
        </w:rPr>
      </w:pPr>
      <w:r w:rsidRPr="00726D52">
        <w:rPr>
          <w:rFonts w:eastAsia="Times New Roman"/>
          <w:noProof/>
          <w:color w:val="000000" w:themeColor="text1"/>
        </w:rPr>
        <w:t>This directly strengthens the effectiveness of:</w:t>
      </w:r>
    </w:p>
    <w:p w14:paraId="46FAF123" w14:textId="2422E035" w:rsidR="00181F4A" w:rsidRPr="00726D52" w:rsidRDefault="0006389C" w:rsidP="009502B2">
      <w:pPr>
        <w:pStyle w:val="ListParagraph"/>
        <w:numPr>
          <w:ilvl w:val="0"/>
          <w:numId w:val="41"/>
        </w:numPr>
        <w:spacing w:after="0"/>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1.1</w:t>
      </w:r>
      <w:r w:rsidR="0D9886C2" w:rsidRPr="00726D52">
        <w:rPr>
          <w:rFonts w:eastAsia="Times New Roman"/>
          <w:noProof/>
          <w:color w:val="000000" w:themeColor="text1"/>
        </w:rPr>
        <w:t>, by facilitating faster and more consistent data uploads;</w:t>
      </w:r>
    </w:p>
    <w:p w14:paraId="061A4B90" w14:textId="19038B5A" w:rsidR="00181F4A" w:rsidRPr="00726D52" w:rsidRDefault="0006389C" w:rsidP="009502B2">
      <w:pPr>
        <w:pStyle w:val="ListParagraph"/>
        <w:numPr>
          <w:ilvl w:val="0"/>
          <w:numId w:val="41"/>
        </w:numPr>
        <w:spacing w:after="0"/>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2.1</w:t>
      </w:r>
      <w:r w:rsidR="0D9886C2" w:rsidRPr="00726D52">
        <w:rPr>
          <w:rFonts w:eastAsia="Times New Roman"/>
          <w:noProof/>
          <w:color w:val="000000" w:themeColor="text1"/>
        </w:rPr>
        <w:t>, by enabling more efficient cross-border exploitation of shared data;</w:t>
      </w:r>
    </w:p>
    <w:p w14:paraId="61473FA9" w14:textId="1F828098" w:rsidR="00181F4A" w:rsidRPr="00726D52" w:rsidRDefault="0006389C" w:rsidP="009502B2">
      <w:pPr>
        <w:pStyle w:val="ListParagraph"/>
        <w:numPr>
          <w:ilvl w:val="0"/>
          <w:numId w:val="41"/>
        </w:numPr>
        <w:spacing w:after="0"/>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1.4</w:t>
      </w:r>
      <w:r w:rsidR="0D9886C2" w:rsidRPr="00726D52">
        <w:rPr>
          <w:rFonts w:eastAsia="Times New Roman"/>
          <w:noProof/>
          <w:color w:val="000000" w:themeColor="text1"/>
        </w:rPr>
        <w:t>, by ensuring that systematic consultation mechanisms function without procedural bottlenecks;</w:t>
      </w:r>
    </w:p>
    <w:p w14:paraId="5575F4D7" w14:textId="1DA0CAEC" w:rsidR="00181F4A" w:rsidRPr="00726D52" w:rsidRDefault="0006389C" w:rsidP="009502B2">
      <w:pPr>
        <w:pStyle w:val="ListParagraph"/>
        <w:numPr>
          <w:ilvl w:val="0"/>
          <w:numId w:val="41"/>
        </w:numPr>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2.4</w:t>
      </w:r>
      <w:r w:rsidR="0D9886C2" w:rsidRPr="00726D52">
        <w:rPr>
          <w:rFonts w:eastAsia="Times New Roman"/>
          <w:noProof/>
          <w:color w:val="000000" w:themeColor="text1"/>
        </w:rPr>
        <w:t>, by providing legal clarity for scalable cloud-based analytics.</w:t>
      </w:r>
    </w:p>
    <w:p w14:paraId="7EFBEBFA" w14:textId="1BBF1011" w:rsidR="00181F4A" w:rsidRPr="00726D52" w:rsidRDefault="0D9886C2" w:rsidP="2C37EBCE">
      <w:pPr>
        <w:rPr>
          <w:rFonts w:eastAsia="Times New Roman"/>
          <w:noProof/>
          <w:color w:val="000000" w:themeColor="text1"/>
        </w:rPr>
      </w:pPr>
      <w:r w:rsidRPr="00726D52">
        <w:rPr>
          <w:rFonts w:eastAsia="Times New Roman"/>
          <w:b/>
          <w:i/>
          <w:noProof/>
          <w:color w:val="000000" w:themeColor="text1"/>
        </w:rPr>
        <w:t>Data availability and systematic use</w:t>
      </w:r>
    </w:p>
    <w:p w14:paraId="59AC0266" w14:textId="0658ED76"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Options 1.1 and 2.1 improve the </w:t>
      </w:r>
      <w:r w:rsidRPr="00726D52">
        <w:rPr>
          <w:rFonts w:eastAsia="Times New Roman"/>
          <w:b/>
          <w:noProof/>
          <w:color w:val="000000" w:themeColor="text1"/>
        </w:rPr>
        <w:t>quantity, quality and cross-border use of data</w:t>
      </w:r>
      <w:r w:rsidRPr="00726D52">
        <w:rPr>
          <w:rFonts w:eastAsia="Times New Roman"/>
          <w:noProof/>
          <w:color w:val="000000" w:themeColor="text1"/>
        </w:rPr>
        <w:t>, within proportionate limits. Automated data loaders and structured workflows ensure more consistent contributions from Member States. Option 1.4 embeds Europol systems into national workflows and makes cross-border checks systematic.</w:t>
      </w:r>
    </w:p>
    <w:p w14:paraId="5E8D0453" w14:textId="6045EA6E" w:rsidR="00181F4A" w:rsidRPr="00726D52" w:rsidRDefault="0D9886C2" w:rsidP="2C37EBCE">
      <w:pPr>
        <w:rPr>
          <w:rFonts w:eastAsia="Times New Roman"/>
          <w:noProof/>
          <w:color w:val="000000" w:themeColor="text1"/>
        </w:rPr>
      </w:pPr>
      <w:r w:rsidRPr="00726D52">
        <w:rPr>
          <w:rFonts w:eastAsia="Times New Roman"/>
          <w:noProof/>
          <w:color w:val="000000" w:themeColor="text1"/>
        </w:rPr>
        <w:t>More information at Europol strengthens the EU intelligence picture and directly enhances cooperation with EPPO and Eurojust. Conversely, structured data inflows from EPPO, Eurojust and other EU actors increase the analytical value of Europol datasets by enabling broader cross-checks and correlation.</w:t>
      </w:r>
    </w:p>
    <w:p w14:paraId="0B45A47B" w14:textId="082D27E0" w:rsidR="00181F4A" w:rsidRPr="00726D52" w:rsidRDefault="0D9886C2" w:rsidP="2C37EBCE">
      <w:pPr>
        <w:rPr>
          <w:rFonts w:eastAsia="Times New Roman"/>
          <w:noProof/>
          <w:color w:val="000000" w:themeColor="text1"/>
        </w:rPr>
      </w:pPr>
      <w:r w:rsidRPr="00726D52">
        <w:rPr>
          <w:rFonts w:eastAsia="Times New Roman"/>
          <w:noProof/>
          <w:color w:val="000000" w:themeColor="text1"/>
        </w:rPr>
        <w:t>Together, these measures will contribute to the operational objectives of:</w:t>
      </w:r>
    </w:p>
    <w:p w14:paraId="2CFBDDEC" w14:textId="408617D9" w:rsidR="00181F4A" w:rsidRPr="00726D52" w:rsidRDefault="0D9886C2" w:rsidP="009502B2">
      <w:pPr>
        <w:pStyle w:val="ListParagraph"/>
        <w:numPr>
          <w:ilvl w:val="0"/>
          <w:numId w:val="40"/>
        </w:numPr>
        <w:spacing w:after="0"/>
        <w:rPr>
          <w:rFonts w:eastAsia="Times New Roman"/>
          <w:noProof/>
          <w:color w:val="000000" w:themeColor="text1"/>
        </w:rPr>
      </w:pPr>
      <w:r w:rsidRPr="00726D52">
        <w:rPr>
          <w:rFonts w:eastAsia="Times New Roman"/>
          <w:noProof/>
          <w:color w:val="000000" w:themeColor="text1"/>
        </w:rPr>
        <w:t>Improving information exchange by increasing the volume and reliability of operational data at EU level and reducing fragmentation and uneven participation;</w:t>
      </w:r>
    </w:p>
    <w:p w14:paraId="64F32262" w14:textId="1136E623" w:rsidR="00181F4A" w:rsidRPr="00726D52" w:rsidRDefault="0D9886C2" w:rsidP="009502B2">
      <w:pPr>
        <w:pStyle w:val="ListParagraph"/>
        <w:numPr>
          <w:ilvl w:val="0"/>
          <w:numId w:val="40"/>
        </w:numPr>
        <w:rPr>
          <w:rFonts w:eastAsia="Times New Roman"/>
          <w:noProof/>
          <w:color w:val="000000" w:themeColor="text1"/>
        </w:rPr>
      </w:pPr>
      <w:r w:rsidRPr="00726D52">
        <w:rPr>
          <w:rFonts w:eastAsia="Times New Roman"/>
          <w:noProof/>
          <w:color w:val="000000" w:themeColor="text1"/>
        </w:rPr>
        <w:t>Reducing delays and increasing actionable intelligence by ensuring that shared data is systematically queried and exploited.</w:t>
      </w:r>
    </w:p>
    <w:p w14:paraId="60B39BF9" w14:textId="688F7413" w:rsidR="00181F4A" w:rsidRPr="00726D52" w:rsidRDefault="0D9886C2" w:rsidP="2C37EBCE">
      <w:pPr>
        <w:rPr>
          <w:rFonts w:eastAsia="Times New Roman"/>
          <w:noProof/>
          <w:color w:val="000000" w:themeColor="text1"/>
        </w:rPr>
      </w:pPr>
      <w:r w:rsidRPr="00726D52">
        <w:rPr>
          <w:rFonts w:eastAsia="Times New Roman"/>
          <w:b/>
          <w:i/>
          <w:noProof/>
          <w:color w:val="000000" w:themeColor="text1"/>
        </w:rPr>
        <w:t>Structural enablers</w:t>
      </w:r>
    </w:p>
    <w:p w14:paraId="7D39BF01" w14:textId="6387D876" w:rsidR="00181F4A" w:rsidRPr="00726D52" w:rsidRDefault="0074645E" w:rsidP="2C37EBCE">
      <w:pPr>
        <w:rPr>
          <w:rFonts w:eastAsia="Times New Roman"/>
          <w:noProof/>
          <w:color w:val="000000" w:themeColor="text1"/>
        </w:rPr>
      </w:pPr>
      <w:r w:rsidRPr="00726D52">
        <w:rPr>
          <w:rFonts w:eastAsia="Times New Roman"/>
          <w:noProof/>
          <w:color w:val="000000" w:themeColor="text1"/>
        </w:rPr>
        <w:t>Sub policy o</w:t>
      </w:r>
      <w:r w:rsidR="0D9886C2" w:rsidRPr="00726D52">
        <w:rPr>
          <w:rFonts w:eastAsia="Times New Roman"/>
          <w:noProof/>
          <w:color w:val="000000" w:themeColor="text1"/>
        </w:rPr>
        <w:t>ption</w:t>
      </w:r>
      <w:r w:rsidRPr="00726D52">
        <w:rPr>
          <w:rFonts w:eastAsia="Times New Roman"/>
          <w:noProof/>
          <w:color w:val="000000" w:themeColor="text1"/>
        </w:rPr>
        <w:t>s</w:t>
      </w:r>
      <w:r w:rsidR="0D9886C2" w:rsidRPr="00726D52">
        <w:rPr>
          <w:rFonts w:eastAsia="Times New Roman"/>
          <w:noProof/>
          <w:color w:val="000000" w:themeColor="text1"/>
        </w:rPr>
        <w:t xml:space="preserve"> 1.3 and 2.3 </w:t>
      </w:r>
      <w:r w:rsidR="0D9886C2" w:rsidRPr="00726D52">
        <w:rPr>
          <w:rFonts w:eastAsia="Times New Roman"/>
          <w:b/>
          <w:noProof/>
          <w:color w:val="000000" w:themeColor="text1"/>
        </w:rPr>
        <w:t>reinforce the institutional architecture</w:t>
      </w:r>
      <w:r w:rsidR="0D9886C2" w:rsidRPr="00726D52">
        <w:rPr>
          <w:rFonts w:eastAsia="Times New Roman"/>
          <w:noProof/>
          <w:color w:val="000000" w:themeColor="text1"/>
        </w:rPr>
        <w:t xml:space="preserve"> at EU level:</w:t>
      </w:r>
    </w:p>
    <w:p w14:paraId="09B03017" w14:textId="2BDA2557" w:rsidR="00181F4A" w:rsidRPr="00726D52" w:rsidRDefault="0D9886C2" w:rsidP="009502B2">
      <w:pPr>
        <w:pStyle w:val="ListParagraph"/>
        <w:numPr>
          <w:ilvl w:val="0"/>
          <w:numId w:val="39"/>
        </w:numPr>
        <w:spacing w:after="0"/>
        <w:rPr>
          <w:rFonts w:eastAsia="Times New Roman"/>
          <w:noProof/>
          <w:color w:val="000000" w:themeColor="text1"/>
        </w:rPr>
      </w:pPr>
      <w:r w:rsidRPr="00726D52">
        <w:rPr>
          <w:rFonts w:eastAsia="Times New Roman"/>
          <w:noProof/>
          <w:color w:val="000000" w:themeColor="text1"/>
        </w:rPr>
        <w:t>Institutionalisation of SIRIUS ensures sustainable support to national authorities in accessing electronic evidence.</w:t>
      </w:r>
    </w:p>
    <w:p w14:paraId="4AEEC21A" w14:textId="2A3C8A47" w:rsidR="00181F4A" w:rsidRPr="00726D52" w:rsidRDefault="0D9886C2" w:rsidP="009502B2">
      <w:pPr>
        <w:pStyle w:val="ListParagraph"/>
        <w:numPr>
          <w:ilvl w:val="0"/>
          <w:numId w:val="39"/>
        </w:numPr>
        <w:spacing w:after="0"/>
        <w:rPr>
          <w:rFonts w:eastAsia="Times New Roman"/>
          <w:noProof/>
          <w:color w:val="000000" w:themeColor="text1"/>
        </w:rPr>
      </w:pPr>
      <w:r w:rsidRPr="00726D52">
        <w:rPr>
          <w:rFonts w:eastAsia="Times New Roman"/>
          <w:noProof/>
          <w:color w:val="000000" w:themeColor="text1"/>
        </w:rPr>
        <w:lastRenderedPageBreak/>
        <w:t>Upgrading and automating the Europol–Eurojust hit/no-hit mechanism, and extending indirect access, enhances structured inter-agency information exchange.</w:t>
      </w:r>
    </w:p>
    <w:p w14:paraId="47F3EFDA" w14:textId="2B869233" w:rsidR="00181F4A" w:rsidRPr="00726D52" w:rsidRDefault="0D9886C2" w:rsidP="009502B2">
      <w:pPr>
        <w:pStyle w:val="ListParagraph"/>
        <w:numPr>
          <w:ilvl w:val="0"/>
          <w:numId w:val="39"/>
        </w:numPr>
        <w:rPr>
          <w:rFonts w:eastAsia="Times New Roman"/>
          <w:noProof/>
          <w:color w:val="000000" w:themeColor="text1"/>
        </w:rPr>
      </w:pPr>
      <w:r w:rsidRPr="00726D52">
        <w:rPr>
          <w:rFonts w:eastAsia="Times New Roman"/>
          <w:noProof/>
          <w:color w:val="000000" w:themeColor="text1"/>
        </w:rPr>
        <w:t>A reinforced partnership with the EPPO, including a dedicated team at Europol, ensures predictable, specialised and high-quality analytical support.</w:t>
      </w:r>
    </w:p>
    <w:p w14:paraId="00E25638" w14:textId="2BE1C1A0" w:rsidR="00181F4A" w:rsidRPr="00726D52" w:rsidRDefault="0D9886C2" w:rsidP="2C37EBCE">
      <w:pPr>
        <w:rPr>
          <w:rFonts w:eastAsia="Times New Roman"/>
          <w:noProof/>
          <w:color w:val="000000" w:themeColor="text1"/>
        </w:rPr>
      </w:pPr>
      <w:r w:rsidRPr="00726D52">
        <w:rPr>
          <w:rFonts w:eastAsia="Times New Roman"/>
          <w:b/>
          <w:bCs/>
          <w:i/>
          <w:iCs/>
          <w:noProof/>
          <w:color w:val="000000" w:themeColor="text1"/>
        </w:rPr>
        <w:t>Processing capacity and scalability</w:t>
      </w:r>
    </w:p>
    <w:p w14:paraId="26F54CE8" w14:textId="088032FF" w:rsidR="00181F4A" w:rsidRPr="00726D52" w:rsidRDefault="0D9886C2" w:rsidP="2C37EBCE">
      <w:pPr>
        <w:rPr>
          <w:rFonts w:eastAsia="Times New Roman"/>
          <w:noProof/>
          <w:color w:val="000000" w:themeColor="text1"/>
        </w:rPr>
      </w:pPr>
      <w:r w:rsidRPr="00726D52">
        <w:rPr>
          <w:rFonts w:eastAsia="Times New Roman"/>
          <w:noProof/>
          <w:color w:val="000000" w:themeColor="text1"/>
        </w:rPr>
        <w:t>The EU Police Cloud (</w:t>
      </w:r>
      <w:r w:rsidR="0074645E" w:rsidRPr="00726D52">
        <w:rPr>
          <w:rFonts w:eastAsia="Times New Roman"/>
          <w:noProof/>
          <w:color w:val="000000" w:themeColor="text1"/>
        </w:rPr>
        <w:t>Sub policy o</w:t>
      </w:r>
      <w:r w:rsidRPr="00726D52">
        <w:rPr>
          <w:rFonts w:eastAsia="Times New Roman"/>
          <w:noProof/>
          <w:color w:val="000000" w:themeColor="text1"/>
        </w:rPr>
        <w:t xml:space="preserve">ption 2.4) provides the </w:t>
      </w:r>
      <w:r w:rsidRPr="00726D52">
        <w:rPr>
          <w:rStyle w:val="Strong"/>
          <w:rFonts w:eastAsia="Times New Roman"/>
          <w:noProof/>
          <w:color w:val="000000" w:themeColor="text1"/>
        </w:rPr>
        <w:t>scalable infrastructure necessary to absorb and analyse increased data flows</w:t>
      </w:r>
      <w:r w:rsidRPr="00726D52">
        <w:rPr>
          <w:rFonts w:eastAsia="Times New Roman"/>
          <w:noProof/>
          <w:color w:val="000000" w:themeColor="text1"/>
        </w:rPr>
        <w:t xml:space="preserve">. It enables secure storage, advanced analytics and structured collaboration at scale. Enhanced analytical tools (including those under </w:t>
      </w:r>
      <w:r w:rsidR="0074645E" w:rsidRPr="00726D52">
        <w:rPr>
          <w:rFonts w:eastAsia="Times New Roman"/>
          <w:noProof/>
          <w:color w:val="000000" w:themeColor="text1"/>
        </w:rPr>
        <w:t>Sub policy o</w:t>
      </w:r>
      <w:r w:rsidRPr="00726D52">
        <w:rPr>
          <w:rFonts w:eastAsia="Times New Roman"/>
          <w:noProof/>
          <w:color w:val="000000" w:themeColor="text1"/>
        </w:rPr>
        <w:t>ptions 1.1, 1.3 and 2.1) and strengthened Europol–EPPO cooperation (</w:t>
      </w:r>
      <w:r w:rsidR="0074645E" w:rsidRPr="00726D52">
        <w:rPr>
          <w:rFonts w:eastAsia="Times New Roman"/>
          <w:noProof/>
          <w:color w:val="000000" w:themeColor="text1"/>
        </w:rPr>
        <w:t>Sub policy o</w:t>
      </w:r>
      <w:r w:rsidRPr="00726D52">
        <w:rPr>
          <w:rFonts w:eastAsia="Times New Roman"/>
          <w:noProof/>
          <w:color w:val="000000" w:themeColor="text1"/>
        </w:rPr>
        <w:t>ption 2.3) ensure that increased data volumes translate into operational results rather than administrative burden.</w:t>
      </w:r>
    </w:p>
    <w:p w14:paraId="7CE3E9A9" w14:textId="690E1836" w:rsidR="00181F4A" w:rsidRPr="00726D52" w:rsidRDefault="0D9886C2" w:rsidP="2C37EBCE">
      <w:pPr>
        <w:rPr>
          <w:rFonts w:eastAsia="Times New Roman"/>
          <w:noProof/>
          <w:color w:val="000000" w:themeColor="text1"/>
        </w:rPr>
      </w:pPr>
      <w:r w:rsidRPr="00726D52">
        <w:rPr>
          <w:rFonts w:eastAsia="Times New Roman"/>
          <w:noProof/>
          <w:color w:val="000000" w:themeColor="text1"/>
        </w:rPr>
        <w:t>The combined dynamic is cumulative: More structured data → improved analytics → stronger operational insights → more effective cross-border cooperation.</w:t>
      </w:r>
    </w:p>
    <w:p w14:paraId="3F41E3D2" w14:textId="2526BA08" w:rsidR="00181F4A" w:rsidRPr="00726D52" w:rsidRDefault="0D9886C2" w:rsidP="2C37EBCE">
      <w:pPr>
        <w:rPr>
          <w:rFonts w:eastAsia="Times New Roman"/>
          <w:noProof/>
          <w:color w:val="000000" w:themeColor="text1"/>
        </w:rPr>
      </w:pPr>
      <w:r w:rsidRPr="00726D52">
        <w:rPr>
          <w:rFonts w:eastAsia="Times New Roman"/>
          <w:b/>
          <w:i/>
          <w:noProof/>
          <w:color w:val="000000" w:themeColor="text1"/>
        </w:rPr>
        <w:t>Financial coherence and cost synergies</w:t>
      </w:r>
    </w:p>
    <w:p w14:paraId="7A2CEEEE" w14:textId="22EEB996" w:rsidR="00181F4A" w:rsidRPr="00726D52" w:rsidRDefault="0D9886C2" w:rsidP="2C37EBCE">
      <w:pPr>
        <w:rPr>
          <w:rFonts w:eastAsia="Times New Roman"/>
          <w:noProof/>
          <w:color w:val="000000" w:themeColor="text1"/>
        </w:rPr>
      </w:pPr>
      <w:r w:rsidRPr="00726D52">
        <w:rPr>
          <w:rFonts w:eastAsia="Times New Roman"/>
          <w:b/>
          <w:noProof/>
          <w:color w:val="000000" w:themeColor="text1"/>
        </w:rPr>
        <w:t>Certain investments</w:t>
      </w:r>
      <w:r w:rsidRPr="00726D52">
        <w:rPr>
          <w:rFonts w:eastAsia="Times New Roman"/>
          <w:noProof/>
          <w:color w:val="000000" w:themeColor="text1"/>
        </w:rPr>
        <w:t xml:space="preserve"> under </w:t>
      </w:r>
      <w:r w:rsidR="0074645E" w:rsidRPr="00726D52">
        <w:rPr>
          <w:rFonts w:eastAsia="Times New Roman"/>
          <w:noProof/>
          <w:color w:val="000000" w:themeColor="text1"/>
        </w:rPr>
        <w:t>Sub policy o</w:t>
      </w:r>
      <w:r w:rsidRPr="00726D52">
        <w:rPr>
          <w:rFonts w:eastAsia="Times New Roman"/>
          <w:noProof/>
          <w:color w:val="000000" w:themeColor="text1"/>
        </w:rPr>
        <w:t xml:space="preserve">ptions 1.1 and 1.4 </w:t>
      </w:r>
      <w:r w:rsidRPr="00726D52">
        <w:rPr>
          <w:rFonts w:eastAsia="Times New Roman"/>
          <w:b/>
          <w:noProof/>
          <w:color w:val="000000" w:themeColor="text1"/>
        </w:rPr>
        <w:t>overlap</w:t>
      </w:r>
      <w:r w:rsidRPr="00726D52">
        <w:rPr>
          <w:rFonts w:eastAsia="Times New Roman"/>
          <w:noProof/>
          <w:color w:val="000000" w:themeColor="text1"/>
        </w:rPr>
        <w:t xml:space="preserve">, particularly in relation to system upgrades and integration components. Implemented together, these elements avoid duplication, meaning that the combined investment remains broadly aligned with the previously estimated envelope (approximately </w:t>
      </w:r>
      <w:r w:rsidRPr="00726D52">
        <w:rPr>
          <w:rFonts w:eastAsia="Times New Roman"/>
          <w:b/>
          <w:noProof/>
          <w:color w:val="000000" w:themeColor="text1"/>
        </w:rPr>
        <w:t>EUR 30 million</w:t>
      </w:r>
      <w:r w:rsidRPr="00726D52">
        <w:rPr>
          <w:rFonts w:eastAsia="Times New Roman"/>
          <w:noProof/>
          <w:color w:val="000000" w:themeColor="text1"/>
        </w:rPr>
        <w:t xml:space="preserve"> in system modernisation), rather than accumulating mechanically.</w:t>
      </w:r>
    </w:p>
    <w:p w14:paraId="27E8134E" w14:textId="5678DD22" w:rsidR="00181F4A" w:rsidRPr="00726D52" w:rsidRDefault="0D9886C2" w:rsidP="2C37EBCE">
      <w:pPr>
        <w:rPr>
          <w:rFonts w:eastAsia="Times New Roman"/>
          <w:noProof/>
          <w:color w:val="000000" w:themeColor="text1"/>
        </w:rPr>
      </w:pPr>
      <w:r w:rsidRPr="00726D52">
        <w:rPr>
          <w:rFonts w:eastAsia="Times New Roman"/>
          <w:noProof/>
          <w:color w:val="000000" w:themeColor="text1"/>
        </w:rPr>
        <w:t>Economies of scale, reduced duplication and structured EU-level coordination further enhance cost-efficiency.</w:t>
      </w:r>
    </w:p>
    <w:p w14:paraId="5A34A08C" w14:textId="36368415" w:rsidR="00181F4A" w:rsidRPr="00726D52" w:rsidRDefault="0D9886C2" w:rsidP="2C37EBCE">
      <w:pPr>
        <w:rPr>
          <w:rFonts w:eastAsia="Times New Roman"/>
          <w:noProof/>
          <w:color w:val="000000" w:themeColor="text1"/>
        </w:rPr>
      </w:pPr>
      <w:r w:rsidRPr="00726D52">
        <w:rPr>
          <w:rFonts w:eastAsia="Times New Roman"/>
          <w:b/>
          <w:i/>
          <w:noProof/>
          <w:color w:val="000000" w:themeColor="text1"/>
        </w:rPr>
        <w:t>Overall assessment</w:t>
      </w:r>
    </w:p>
    <w:p w14:paraId="56DB4D08" w14:textId="6BB45411"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Taken together, the preferred options form a </w:t>
      </w:r>
      <w:r w:rsidRPr="00726D52">
        <w:rPr>
          <w:rFonts w:eastAsia="Times New Roman"/>
          <w:b/>
          <w:noProof/>
          <w:color w:val="000000" w:themeColor="text1"/>
        </w:rPr>
        <w:t>coherent, cumulative and scalable reform package</w:t>
      </w:r>
      <w:r w:rsidRPr="00726D52">
        <w:rPr>
          <w:rFonts w:eastAsia="Times New Roman"/>
          <w:noProof/>
          <w:color w:val="000000" w:themeColor="text1"/>
        </w:rPr>
        <w:t>:</w:t>
      </w:r>
    </w:p>
    <w:p w14:paraId="1985DE30" w14:textId="6AC5FB64" w:rsidR="00181F4A" w:rsidRPr="00726D52" w:rsidRDefault="0074645E" w:rsidP="009502B2">
      <w:pPr>
        <w:pStyle w:val="ListParagraph"/>
        <w:numPr>
          <w:ilvl w:val="0"/>
          <w:numId w:val="38"/>
        </w:numPr>
        <w:spacing w:after="0"/>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2.2 removes legal bottlenecks;</w:t>
      </w:r>
    </w:p>
    <w:p w14:paraId="0E357E28" w14:textId="0F76BC9D" w:rsidR="00181F4A" w:rsidRPr="00726D52" w:rsidRDefault="0074645E" w:rsidP="009502B2">
      <w:pPr>
        <w:pStyle w:val="ListParagraph"/>
        <w:numPr>
          <w:ilvl w:val="0"/>
          <w:numId w:val="38"/>
        </w:numPr>
        <w:spacing w:after="0"/>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ptions 1.1 and 2.1 increase data availability and cross-border use;</w:t>
      </w:r>
    </w:p>
    <w:p w14:paraId="5C4C8983" w14:textId="4E87A89D" w:rsidR="00181F4A" w:rsidRPr="00726D52" w:rsidRDefault="0074645E" w:rsidP="009502B2">
      <w:pPr>
        <w:pStyle w:val="ListParagraph"/>
        <w:numPr>
          <w:ilvl w:val="0"/>
          <w:numId w:val="38"/>
        </w:numPr>
        <w:spacing w:beforeAutospacing="1" w:afterAutospacing="1"/>
        <w:jc w:val="left"/>
        <w:rPr>
          <w:noProof/>
        </w:rPr>
      </w:pPr>
      <w:r w:rsidRPr="00726D52">
        <w:rPr>
          <w:rStyle w:val="Strong"/>
          <w:rFonts w:eastAsia="Times New Roman"/>
          <w:noProof/>
          <w:color w:val="000000" w:themeColor="text1"/>
        </w:rPr>
        <w:t>Sub policy o</w:t>
      </w:r>
      <w:r w:rsidR="0D9886C2" w:rsidRPr="00726D52">
        <w:rPr>
          <w:rStyle w:val="Strong"/>
          <w:rFonts w:eastAsia="Times New Roman"/>
          <w:noProof/>
          <w:color w:val="000000" w:themeColor="text1"/>
        </w:rPr>
        <w:t>ption 1.3 strengthens inter-agency cooperation and information exchange;</w:t>
      </w:r>
    </w:p>
    <w:p w14:paraId="05D5D01F" w14:textId="66CF6026" w:rsidR="00181F4A" w:rsidRPr="00726D52" w:rsidRDefault="0074645E" w:rsidP="009502B2">
      <w:pPr>
        <w:pStyle w:val="ListParagraph"/>
        <w:numPr>
          <w:ilvl w:val="0"/>
          <w:numId w:val="38"/>
        </w:numPr>
        <w:spacing w:beforeAutospacing="1" w:afterAutospacing="1"/>
        <w:jc w:val="left"/>
        <w:rPr>
          <w:noProof/>
        </w:rPr>
      </w:pPr>
      <w:r w:rsidRPr="00726D52">
        <w:rPr>
          <w:rStyle w:val="Strong"/>
          <w:rFonts w:eastAsia="Times New Roman"/>
          <w:noProof/>
          <w:color w:val="000000" w:themeColor="text1"/>
        </w:rPr>
        <w:t>Sub policy o</w:t>
      </w:r>
      <w:r w:rsidR="0D9886C2" w:rsidRPr="00726D52">
        <w:rPr>
          <w:rStyle w:val="Strong"/>
          <w:rFonts w:eastAsia="Times New Roman"/>
          <w:noProof/>
          <w:color w:val="000000" w:themeColor="text1"/>
        </w:rPr>
        <w:t>ption 2.3 anchors Europol as a structural analytical partner of the EPPO;</w:t>
      </w:r>
    </w:p>
    <w:p w14:paraId="7002F5E6" w14:textId="6A3243F1" w:rsidR="00181F4A" w:rsidRPr="00726D52" w:rsidRDefault="0074645E" w:rsidP="009502B2">
      <w:pPr>
        <w:pStyle w:val="ListParagraph"/>
        <w:numPr>
          <w:ilvl w:val="0"/>
          <w:numId w:val="38"/>
        </w:numPr>
        <w:spacing w:after="0"/>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1.4 ensures systematic operational embedding;</w:t>
      </w:r>
    </w:p>
    <w:p w14:paraId="20F1153A" w14:textId="0FFC6300" w:rsidR="00181F4A" w:rsidRPr="00726D52" w:rsidRDefault="0074645E" w:rsidP="009502B2">
      <w:pPr>
        <w:pStyle w:val="ListParagraph"/>
        <w:numPr>
          <w:ilvl w:val="0"/>
          <w:numId w:val="38"/>
        </w:numPr>
        <w:rPr>
          <w:rFonts w:eastAsia="Times New Roman"/>
          <w:noProof/>
          <w:color w:val="000000" w:themeColor="text1"/>
        </w:rPr>
      </w:pPr>
      <w:r w:rsidRPr="00726D52">
        <w:rPr>
          <w:rFonts w:eastAsia="Times New Roman"/>
          <w:b/>
          <w:noProof/>
          <w:color w:val="000000" w:themeColor="text1"/>
        </w:rPr>
        <w:t>Sub policy o</w:t>
      </w:r>
      <w:r w:rsidR="0D9886C2" w:rsidRPr="00726D52">
        <w:rPr>
          <w:rFonts w:eastAsia="Times New Roman"/>
          <w:b/>
          <w:noProof/>
          <w:color w:val="000000" w:themeColor="text1"/>
        </w:rPr>
        <w:t>ption 2.4 provides the digital backbone and scalability.</w:t>
      </w:r>
    </w:p>
    <w:p w14:paraId="48FB9EA9" w14:textId="2EEF86B8" w:rsidR="00181F4A" w:rsidRPr="00726D52" w:rsidRDefault="0D9886C2" w:rsidP="2C37EBCE">
      <w:pPr>
        <w:rPr>
          <w:rFonts w:eastAsia="Times New Roman"/>
          <w:noProof/>
          <w:color w:val="000000" w:themeColor="text1"/>
        </w:rPr>
      </w:pPr>
      <w:r w:rsidRPr="00726D52">
        <w:rPr>
          <w:rFonts w:eastAsia="Times New Roman"/>
          <w:noProof/>
          <w:color w:val="000000" w:themeColor="text1"/>
        </w:rPr>
        <w:t>Their combined implementation directly supports the operational objectives identified in this Impact Assessment and will be subject to structured monitoring and evaluation to ensure measurable improvements in information exchange, analytical capacity and cross-border operational effectiveness.</w:t>
      </w:r>
    </w:p>
    <w:p w14:paraId="44DE521F" w14:textId="617C1937" w:rsidR="00181F4A" w:rsidRPr="00726D52" w:rsidRDefault="0D9886C2" w:rsidP="2C37EBCE">
      <w:pPr>
        <w:rPr>
          <w:rFonts w:eastAsia="Times New Roman"/>
          <w:noProof/>
          <w:color w:val="8764B8"/>
        </w:rPr>
      </w:pPr>
      <w:r w:rsidRPr="00726D52">
        <w:rPr>
          <w:rFonts w:eastAsia="Times New Roman"/>
          <w:noProof/>
          <w:color w:val="000000" w:themeColor="text1"/>
        </w:rPr>
        <w:t>The package therefore delivers a proportionate and mutually reinforcing response to the evolving digital and transnational nature of serious and organised crime.</w:t>
      </w:r>
    </w:p>
    <w:p w14:paraId="63368DBF" w14:textId="6718D8AA" w:rsidR="00181F4A" w:rsidRPr="00726D52" w:rsidRDefault="0D9886C2" w:rsidP="2C37EBCE">
      <w:pPr>
        <w:rPr>
          <w:rFonts w:eastAsia="Times New Roman"/>
          <w:noProof/>
          <w:color w:val="000000" w:themeColor="text1"/>
        </w:rPr>
      </w:pPr>
      <w:r w:rsidRPr="00726D52">
        <w:rPr>
          <w:rFonts w:eastAsia="Times New Roman"/>
          <w:noProof/>
          <w:color w:val="000000" w:themeColor="text1"/>
        </w:rPr>
        <w:lastRenderedPageBreak/>
        <w:t xml:space="preserve">The preferred package combines </w:t>
      </w:r>
      <w:r w:rsidR="0074645E" w:rsidRPr="00726D52">
        <w:rPr>
          <w:rStyle w:val="Strong"/>
          <w:rFonts w:eastAsia="Times New Roman"/>
          <w:noProof/>
          <w:color w:val="000000" w:themeColor="text1"/>
        </w:rPr>
        <w:t>Sub policy o</w:t>
      </w:r>
      <w:r w:rsidRPr="00726D52">
        <w:rPr>
          <w:rStyle w:val="Strong"/>
          <w:rFonts w:eastAsia="Times New Roman"/>
          <w:noProof/>
          <w:color w:val="000000" w:themeColor="text1"/>
        </w:rPr>
        <w:t>ptions 1.1 + 2.1 (limited to Prüm</w:t>
      </w:r>
      <w:r w:rsidR="003236E5" w:rsidRPr="00726D52">
        <w:rPr>
          <w:rStyle w:val="Strong"/>
          <w:rFonts w:eastAsia="Times New Roman"/>
          <w:noProof/>
          <w:color w:val="000000" w:themeColor="text1"/>
        </w:rPr>
        <w:t xml:space="preserve"> II</w:t>
      </w:r>
      <w:r w:rsidRPr="00726D52">
        <w:rPr>
          <w:rStyle w:val="Strong"/>
          <w:rFonts w:eastAsia="Times New Roman"/>
          <w:noProof/>
          <w:color w:val="000000" w:themeColor="text1"/>
        </w:rPr>
        <w:t xml:space="preserve"> and without broader interoperability), </w:t>
      </w:r>
      <w:r w:rsidR="003236E5" w:rsidRPr="00726D52">
        <w:rPr>
          <w:rStyle w:val="Strong"/>
          <w:rFonts w:eastAsia="Times New Roman"/>
          <w:noProof/>
          <w:color w:val="000000" w:themeColor="text1"/>
        </w:rPr>
        <w:t>Sub policy o</w:t>
      </w:r>
      <w:r w:rsidRPr="00726D52">
        <w:rPr>
          <w:rStyle w:val="Strong"/>
          <w:rFonts w:eastAsia="Times New Roman"/>
          <w:noProof/>
          <w:color w:val="000000" w:themeColor="text1"/>
        </w:rPr>
        <w:t xml:space="preserve">ption 2.2 (Data Subject Categorisation reform), </w:t>
      </w:r>
      <w:r w:rsidR="003236E5" w:rsidRPr="00726D52">
        <w:rPr>
          <w:rStyle w:val="Strong"/>
          <w:rFonts w:eastAsia="Times New Roman"/>
          <w:noProof/>
          <w:color w:val="000000" w:themeColor="text1"/>
        </w:rPr>
        <w:t>Sub policy o</w:t>
      </w:r>
      <w:r w:rsidRPr="00726D52">
        <w:rPr>
          <w:rStyle w:val="Strong"/>
          <w:rFonts w:eastAsia="Times New Roman"/>
          <w:noProof/>
          <w:color w:val="000000" w:themeColor="text1"/>
        </w:rPr>
        <w:t xml:space="preserve">ption 1.3 (enhanced EU inter-agency cooperation limited to Eurojust), </w:t>
      </w:r>
      <w:r w:rsidR="003236E5" w:rsidRPr="00726D52">
        <w:rPr>
          <w:rStyle w:val="Strong"/>
          <w:rFonts w:eastAsia="Times New Roman"/>
          <w:noProof/>
          <w:color w:val="000000" w:themeColor="text1"/>
        </w:rPr>
        <w:t>Sub policy o</w:t>
      </w:r>
      <w:r w:rsidRPr="00726D52">
        <w:rPr>
          <w:rStyle w:val="Strong"/>
          <w:rFonts w:eastAsia="Times New Roman"/>
          <w:noProof/>
          <w:color w:val="000000" w:themeColor="text1"/>
        </w:rPr>
        <w:t xml:space="preserve">ption 2.3 (structural Europol–EPPO partnership) and </w:t>
      </w:r>
      <w:r w:rsidR="003236E5" w:rsidRPr="00726D52">
        <w:rPr>
          <w:rStyle w:val="Strong"/>
          <w:rFonts w:eastAsia="Times New Roman"/>
          <w:noProof/>
          <w:color w:val="000000" w:themeColor="text1"/>
        </w:rPr>
        <w:t>Sub policy o</w:t>
      </w:r>
      <w:r w:rsidRPr="00726D52">
        <w:rPr>
          <w:rStyle w:val="Strong"/>
          <w:rFonts w:eastAsia="Times New Roman"/>
          <w:noProof/>
          <w:color w:val="000000" w:themeColor="text1"/>
        </w:rPr>
        <w:t>ptions 1.4 + 2.4 (structural integration and EU Police Cloud)</w:t>
      </w:r>
      <w:r w:rsidRPr="00726D52">
        <w:rPr>
          <w:rFonts w:eastAsia="Times New Roman"/>
          <w:noProof/>
          <w:color w:val="000000" w:themeColor="text1"/>
        </w:rPr>
        <w:t>. Together, these measures form a coherent and mutually reinforcing reform of the EU law enforcement information architecture.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437"/>
        <w:gridCol w:w="3165"/>
      </w:tblGrid>
      <w:tr w:rsidR="2C37EBCE" w:rsidRPr="00726D52" w14:paraId="6D542A1F" w14:textId="77777777" w:rsidTr="000564D7">
        <w:trPr>
          <w:trHeight w:val="360"/>
        </w:trPr>
        <w:tc>
          <w:tcPr>
            <w:tcW w:w="5588" w:type="dxa"/>
            <w:shd w:val="clear" w:color="auto" w:fill="548DD4" w:themeFill="text2" w:themeFillTint="99"/>
            <w:tcMar>
              <w:left w:w="105" w:type="dxa"/>
              <w:right w:w="105" w:type="dxa"/>
            </w:tcMar>
          </w:tcPr>
          <w:p w14:paraId="3E097252" w14:textId="1AFC960A" w:rsidR="2C37EBCE" w:rsidRPr="00726D52" w:rsidRDefault="2C37EBCE" w:rsidP="2C37EBCE">
            <w:pPr>
              <w:rPr>
                <w:noProof/>
              </w:rPr>
            </w:pPr>
          </w:p>
        </w:tc>
        <w:tc>
          <w:tcPr>
            <w:tcW w:w="3240" w:type="dxa"/>
            <w:vMerge w:val="restart"/>
            <w:shd w:val="clear" w:color="auto" w:fill="548DD4" w:themeFill="text2" w:themeFillTint="99"/>
            <w:tcMar>
              <w:left w:w="105" w:type="dxa"/>
              <w:right w:w="105" w:type="dxa"/>
            </w:tcMar>
          </w:tcPr>
          <w:p w14:paraId="5B75DB56" w14:textId="7B47618B" w:rsidR="2C37EBCE" w:rsidRPr="00726D52" w:rsidRDefault="2C37EBCE" w:rsidP="2C37EBCE">
            <w:pPr>
              <w:jc w:val="center"/>
              <w:rPr>
                <w:noProof/>
              </w:rPr>
            </w:pPr>
            <w:r w:rsidRPr="00726D52">
              <w:rPr>
                <w:b/>
                <w:bCs/>
                <w:noProof/>
              </w:rPr>
              <w:t>Preferred policy option 1.1 + 1.3 + 1.4 + 2.1+ 2.2 +2.3+ 2.4</w:t>
            </w:r>
          </w:p>
        </w:tc>
      </w:tr>
      <w:tr w:rsidR="2C37EBCE" w:rsidRPr="00726D52" w14:paraId="23EB254F" w14:textId="77777777" w:rsidTr="000564D7">
        <w:trPr>
          <w:trHeight w:val="360"/>
        </w:trPr>
        <w:tc>
          <w:tcPr>
            <w:tcW w:w="5588" w:type="dxa"/>
            <w:shd w:val="clear" w:color="auto" w:fill="8DB3E2" w:themeFill="text2" w:themeFillTint="66"/>
            <w:tcMar>
              <w:left w:w="105" w:type="dxa"/>
              <w:right w:w="105" w:type="dxa"/>
            </w:tcMar>
          </w:tcPr>
          <w:p w14:paraId="50177A0C" w14:textId="664C5247" w:rsidR="2C37EBCE" w:rsidRPr="00726D52" w:rsidRDefault="2C37EBCE" w:rsidP="2C37EBCE">
            <w:pPr>
              <w:rPr>
                <w:noProof/>
              </w:rPr>
            </w:pPr>
            <w:r w:rsidRPr="00726D52">
              <w:rPr>
                <w:i/>
                <w:iCs/>
                <w:noProof/>
              </w:rPr>
              <w:t>assessment criteria</w:t>
            </w:r>
          </w:p>
        </w:tc>
        <w:tc>
          <w:tcPr>
            <w:tcW w:w="3240" w:type="dxa"/>
            <w:vMerge/>
            <w:vAlign w:val="center"/>
          </w:tcPr>
          <w:p w14:paraId="2A2A2DB6" w14:textId="77777777" w:rsidR="00EA10D5" w:rsidRPr="00726D52" w:rsidRDefault="00EA10D5">
            <w:pPr>
              <w:rPr>
                <w:noProof/>
              </w:rPr>
            </w:pPr>
          </w:p>
        </w:tc>
      </w:tr>
      <w:tr w:rsidR="2C37EBCE" w:rsidRPr="00726D52" w14:paraId="00711D9D" w14:textId="77777777" w:rsidTr="000564D7">
        <w:trPr>
          <w:trHeight w:val="90"/>
        </w:trPr>
        <w:tc>
          <w:tcPr>
            <w:tcW w:w="5588" w:type="dxa"/>
            <w:shd w:val="clear" w:color="auto" w:fill="8DB3E2" w:themeFill="text2" w:themeFillTint="66"/>
            <w:tcMar>
              <w:left w:w="105" w:type="dxa"/>
              <w:right w:w="105" w:type="dxa"/>
            </w:tcMar>
          </w:tcPr>
          <w:p w14:paraId="6E6703C4" w14:textId="27900C7E" w:rsidR="2C37EBCE" w:rsidRPr="00726D52" w:rsidRDefault="2C37EBCE" w:rsidP="2C37EBCE">
            <w:pPr>
              <w:rPr>
                <w:noProof/>
              </w:rPr>
            </w:pPr>
            <w:r w:rsidRPr="00726D52">
              <w:rPr>
                <w:noProof/>
              </w:rPr>
              <w:t>1) Impact on citizens</w:t>
            </w:r>
          </w:p>
        </w:tc>
        <w:tc>
          <w:tcPr>
            <w:tcW w:w="3240" w:type="dxa"/>
            <w:shd w:val="clear" w:color="auto" w:fill="C6D9F1" w:themeFill="text2" w:themeFillTint="33"/>
            <w:tcMar>
              <w:left w:w="105" w:type="dxa"/>
              <w:right w:w="105" w:type="dxa"/>
            </w:tcMar>
          </w:tcPr>
          <w:p w14:paraId="474F7DF6" w14:textId="252D4176" w:rsidR="2C37EBCE" w:rsidRPr="00726D52" w:rsidRDefault="2C37EBCE" w:rsidP="2C37EBCE">
            <w:pPr>
              <w:jc w:val="center"/>
              <w:rPr>
                <w:noProof/>
              </w:rPr>
            </w:pPr>
            <w:r w:rsidRPr="00726D52">
              <w:rPr>
                <w:noProof/>
              </w:rPr>
              <w:t>++</w:t>
            </w:r>
          </w:p>
        </w:tc>
      </w:tr>
      <w:tr w:rsidR="2C37EBCE" w:rsidRPr="00726D52" w14:paraId="304EEF28" w14:textId="77777777" w:rsidTr="000564D7">
        <w:trPr>
          <w:trHeight w:val="300"/>
        </w:trPr>
        <w:tc>
          <w:tcPr>
            <w:tcW w:w="5588" w:type="dxa"/>
            <w:shd w:val="clear" w:color="auto" w:fill="8DB3E2" w:themeFill="text2" w:themeFillTint="66"/>
            <w:tcMar>
              <w:left w:w="105" w:type="dxa"/>
              <w:right w:w="105" w:type="dxa"/>
            </w:tcMar>
          </w:tcPr>
          <w:p w14:paraId="5037802E" w14:textId="6EAC0E80" w:rsidR="2C37EBCE" w:rsidRPr="00726D52" w:rsidRDefault="2C37EBCE" w:rsidP="2C37EBCE">
            <w:pPr>
              <w:rPr>
                <w:noProof/>
              </w:rPr>
            </w:pPr>
            <w:r w:rsidRPr="00726D52">
              <w:rPr>
                <w:noProof/>
              </w:rPr>
              <w:t>2) Impact on national authorities</w:t>
            </w:r>
          </w:p>
        </w:tc>
        <w:tc>
          <w:tcPr>
            <w:tcW w:w="3240" w:type="dxa"/>
            <w:shd w:val="clear" w:color="auto" w:fill="C6D9F1" w:themeFill="text2" w:themeFillTint="33"/>
            <w:tcMar>
              <w:left w:w="105" w:type="dxa"/>
              <w:right w:w="105" w:type="dxa"/>
            </w:tcMar>
          </w:tcPr>
          <w:p w14:paraId="6F57D52B" w14:textId="29996EDB" w:rsidR="2C37EBCE" w:rsidRPr="00726D52" w:rsidRDefault="2C37EBCE" w:rsidP="2C37EBCE">
            <w:pPr>
              <w:jc w:val="center"/>
              <w:rPr>
                <w:noProof/>
              </w:rPr>
            </w:pPr>
            <w:r w:rsidRPr="00726D52">
              <w:rPr>
                <w:noProof/>
              </w:rPr>
              <w:t>++</w:t>
            </w:r>
          </w:p>
        </w:tc>
      </w:tr>
      <w:tr w:rsidR="2C37EBCE" w:rsidRPr="00726D52" w14:paraId="51941984" w14:textId="77777777" w:rsidTr="000564D7">
        <w:trPr>
          <w:trHeight w:val="300"/>
        </w:trPr>
        <w:tc>
          <w:tcPr>
            <w:tcW w:w="5588" w:type="dxa"/>
            <w:shd w:val="clear" w:color="auto" w:fill="8DB3E2" w:themeFill="text2" w:themeFillTint="66"/>
            <w:tcMar>
              <w:left w:w="105" w:type="dxa"/>
              <w:right w:w="105" w:type="dxa"/>
            </w:tcMar>
          </w:tcPr>
          <w:p w14:paraId="012BAB77" w14:textId="7A4C7913" w:rsidR="2C37EBCE" w:rsidRPr="00726D52" w:rsidRDefault="2C37EBCE" w:rsidP="2C37EBCE">
            <w:pPr>
              <w:rPr>
                <w:noProof/>
              </w:rPr>
            </w:pPr>
            <w:r w:rsidRPr="00726D52">
              <w:rPr>
                <w:noProof/>
              </w:rPr>
              <w:t>3) Objective of general interest</w:t>
            </w:r>
          </w:p>
          <w:p w14:paraId="56364EDE" w14:textId="78C49FD8" w:rsidR="2C37EBCE" w:rsidRPr="00726D52" w:rsidRDefault="2C37EBCE" w:rsidP="2C37EBCE">
            <w:pPr>
              <w:rPr>
                <w:noProof/>
              </w:rPr>
            </w:pPr>
          </w:p>
        </w:tc>
        <w:tc>
          <w:tcPr>
            <w:tcW w:w="3240" w:type="dxa"/>
            <w:shd w:val="clear" w:color="auto" w:fill="C6D9F1" w:themeFill="text2" w:themeFillTint="33"/>
            <w:tcMar>
              <w:left w:w="105" w:type="dxa"/>
              <w:right w:w="105" w:type="dxa"/>
            </w:tcMar>
          </w:tcPr>
          <w:p w14:paraId="6EDB07CE" w14:textId="5E27B8FA" w:rsidR="2C37EBCE" w:rsidRPr="00726D52" w:rsidRDefault="2C37EBCE" w:rsidP="2C37EBCE">
            <w:pPr>
              <w:jc w:val="center"/>
              <w:rPr>
                <w:noProof/>
              </w:rPr>
            </w:pPr>
            <w:r w:rsidRPr="00726D52">
              <w:rPr>
                <w:noProof/>
              </w:rPr>
              <w:t>++</w:t>
            </w:r>
          </w:p>
        </w:tc>
      </w:tr>
      <w:tr w:rsidR="2C37EBCE" w:rsidRPr="00726D52" w14:paraId="299633D7" w14:textId="77777777" w:rsidTr="000564D7">
        <w:trPr>
          <w:trHeight w:val="300"/>
        </w:trPr>
        <w:tc>
          <w:tcPr>
            <w:tcW w:w="5588" w:type="dxa"/>
            <w:shd w:val="clear" w:color="auto" w:fill="8DB3E2" w:themeFill="text2" w:themeFillTint="66"/>
            <w:tcMar>
              <w:left w:w="105" w:type="dxa"/>
              <w:right w:w="105" w:type="dxa"/>
            </w:tcMar>
          </w:tcPr>
          <w:p w14:paraId="553A6905" w14:textId="0C8347D7" w:rsidR="2C37EBCE" w:rsidRPr="00726D52" w:rsidRDefault="2C37EBCE" w:rsidP="2C37EBCE">
            <w:pPr>
              <w:rPr>
                <w:noProof/>
              </w:rPr>
            </w:pPr>
            <w:r w:rsidRPr="00726D52">
              <w:rPr>
                <w:noProof/>
              </w:rPr>
              <w:t>4) Data protection</w:t>
            </w:r>
          </w:p>
        </w:tc>
        <w:tc>
          <w:tcPr>
            <w:tcW w:w="3240" w:type="dxa"/>
            <w:shd w:val="clear" w:color="auto" w:fill="C6D9F1" w:themeFill="text2" w:themeFillTint="33"/>
            <w:tcMar>
              <w:left w:w="105" w:type="dxa"/>
              <w:right w:w="105" w:type="dxa"/>
            </w:tcMar>
          </w:tcPr>
          <w:p w14:paraId="7731FE9D" w14:textId="7D53E733" w:rsidR="2C37EBCE" w:rsidRPr="00726D52" w:rsidRDefault="2C37EBCE" w:rsidP="2C37EBCE">
            <w:pPr>
              <w:jc w:val="center"/>
              <w:rPr>
                <w:noProof/>
              </w:rPr>
            </w:pPr>
            <w:r w:rsidRPr="00726D52">
              <w:rPr>
                <w:noProof/>
              </w:rPr>
              <w:t>0</w:t>
            </w:r>
          </w:p>
        </w:tc>
      </w:tr>
      <w:tr w:rsidR="2C37EBCE" w:rsidRPr="00726D52" w14:paraId="08BDE286" w14:textId="77777777" w:rsidTr="000564D7">
        <w:trPr>
          <w:trHeight w:val="300"/>
        </w:trPr>
        <w:tc>
          <w:tcPr>
            <w:tcW w:w="5588" w:type="dxa"/>
            <w:shd w:val="clear" w:color="auto" w:fill="8DB3E2" w:themeFill="text2" w:themeFillTint="66"/>
            <w:tcMar>
              <w:left w:w="105" w:type="dxa"/>
              <w:right w:w="105" w:type="dxa"/>
            </w:tcMar>
          </w:tcPr>
          <w:p w14:paraId="72BD7960" w14:textId="55D7B1E0" w:rsidR="2C37EBCE" w:rsidRPr="00726D52" w:rsidRDefault="2C37EBCE" w:rsidP="2C37EBCE">
            <w:pPr>
              <w:rPr>
                <w:noProof/>
              </w:rPr>
            </w:pPr>
            <w:r w:rsidRPr="00726D52">
              <w:rPr>
                <w:noProof/>
              </w:rPr>
              <w:t>5) Costs</w:t>
            </w:r>
          </w:p>
        </w:tc>
        <w:tc>
          <w:tcPr>
            <w:tcW w:w="3240" w:type="dxa"/>
            <w:shd w:val="clear" w:color="auto" w:fill="C6D9F1" w:themeFill="text2" w:themeFillTint="33"/>
            <w:tcMar>
              <w:left w:w="105" w:type="dxa"/>
              <w:right w:w="105" w:type="dxa"/>
            </w:tcMar>
          </w:tcPr>
          <w:p w14:paraId="4EF8AB11" w14:textId="075E9649" w:rsidR="2C37EBCE" w:rsidRPr="00726D52" w:rsidRDefault="2C37EBCE" w:rsidP="2C37EBCE">
            <w:pPr>
              <w:jc w:val="center"/>
              <w:rPr>
                <w:noProof/>
              </w:rPr>
            </w:pPr>
            <w:r w:rsidRPr="00726D52">
              <w:rPr>
                <w:noProof/>
              </w:rPr>
              <w:t>+</w:t>
            </w:r>
          </w:p>
        </w:tc>
      </w:tr>
      <w:tr w:rsidR="2C37EBCE" w:rsidRPr="00726D52" w14:paraId="2AD13898" w14:textId="77777777" w:rsidTr="000564D7">
        <w:trPr>
          <w:trHeight w:val="300"/>
        </w:trPr>
        <w:tc>
          <w:tcPr>
            <w:tcW w:w="5588" w:type="dxa"/>
            <w:shd w:val="clear" w:color="auto" w:fill="8DB3E2" w:themeFill="text2" w:themeFillTint="66"/>
            <w:tcMar>
              <w:left w:w="105" w:type="dxa"/>
              <w:right w:w="105" w:type="dxa"/>
            </w:tcMar>
          </w:tcPr>
          <w:p w14:paraId="4C6C6C21" w14:textId="5C21042A" w:rsidR="2C37EBCE" w:rsidRPr="00726D52" w:rsidRDefault="2C37EBCE" w:rsidP="2C37EBCE">
            <w:pPr>
              <w:rPr>
                <w:noProof/>
              </w:rPr>
            </w:pPr>
            <w:r w:rsidRPr="00726D52">
              <w:rPr>
                <w:noProof/>
              </w:rPr>
              <w:t>6) Feasibility</w:t>
            </w:r>
          </w:p>
        </w:tc>
        <w:tc>
          <w:tcPr>
            <w:tcW w:w="3240" w:type="dxa"/>
            <w:shd w:val="clear" w:color="auto" w:fill="C6D9F1" w:themeFill="text2" w:themeFillTint="33"/>
            <w:tcMar>
              <w:left w:w="105" w:type="dxa"/>
              <w:right w:w="105" w:type="dxa"/>
            </w:tcMar>
          </w:tcPr>
          <w:p w14:paraId="74AAADE3" w14:textId="53692D87" w:rsidR="2C37EBCE" w:rsidRPr="00726D52" w:rsidRDefault="2C37EBCE" w:rsidP="2C37EBCE">
            <w:pPr>
              <w:jc w:val="center"/>
              <w:rPr>
                <w:noProof/>
              </w:rPr>
            </w:pPr>
            <w:r w:rsidRPr="00726D52">
              <w:rPr>
                <w:noProof/>
              </w:rPr>
              <w:t>+</w:t>
            </w:r>
          </w:p>
        </w:tc>
      </w:tr>
      <w:tr w:rsidR="2C37EBCE" w:rsidRPr="00726D52" w14:paraId="7ACE33B9" w14:textId="77777777" w:rsidTr="000564D7">
        <w:trPr>
          <w:trHeight w:val="300"/>
        </w:trPr>
        <w:tc>
          <w:tcPr>
            <w:tcW w:w="5588" w:type="dxa"/>
            <w:shd w:val="clear" w:color="auto" w:fill="8DB3E2" w:themeFill="text2" w:themeFillTint="66"/>
            <w:tcMar>
              <w:left w:w="105" w:type="dxa"/>
              <w:right w:w="105" w:type="dxa"/>
            </w:tcMar>
          </w:tcPr>
          <w:p w14:paraId="1EF2B787" w14:textId="484282AB" w:rsidR="2C37EBCE" w:rsidRPr="00726D52" w:rsidRDefault="2C37EBCE" w:rsidP="2C37EBCE">
            <w:pPr>
              <w:rPr>
                <w:noProof/>
              </w:rPr>
            </w:pPr>
            <w:r w:rsidRPr="00726D52">
              <w:rPr>
                <w:noProof/>
              </w:rPr>
              <w:t>7) Impact on digitalisation</w:t>
            </w:r>
          </w:p>
        </w:tc>
        <w:tc>
          <w:tcPr>
            <w:tcW w:w="3240" w:type="dxa"/>
            <w:shd w:val="clear" w:color="auto" w:fill="C6D9F1" w:themeFill="text2" w:themeFillTint="33"/>
            <w:tcMar>
              <w:left w:w="105" w:type="dxa"/>
              <w:right w:w="105" w:type="dxa"/>
            </w:tcMar>
          </w:tcPr>
          <w:p w14:paraId="34518CDD" w14:textId="0D2F8C64" w:rsidR="2C37EBCE" w:rsidRPr="00726D52" w:rsidRDefault="2C37EBCE" w:rsidP="2C37EBCE">
            <w:pPr>
              <w:jc w:val="center"/>
              <w:rPr>
                <w:noProof/>
              </w:rPr>
            </w:pPr>
            <w:r w:rsidRPr="00726D52">
              <w:rPr>
                <w:noProof/>
              </w:rPr>
              <w:t>++</w:t>
            </w:r>
          </w:p>
        </w:tc>
      </w:tr>
    </w:tbl>
    <w:p w14:paraId="2DFFCEC8" w14:textId="77777777" w:rsidR="0082690B" w:rsidRPr="00726D52" w:rsidRDefault="0082690B" w:rsidP="0082690B">
      <w:pPr>
        <w:pStyle w:val="Heading4"/>
        <w:rPr>
          <w:b/>
          <w:bCs/>
          <w:noProof/>
          <w:color w:val="000000" w:themeColor="text1"/>
          <w:szCs w:val="24"/>
        </w:rPr>
      </w:pPr>
    </w:p>
    <w:p w14:paraId="5FB0628B" w14:textId="6F370D22" w:rsidR="00181F4A" w:rsidRPr="00726D52" w:rsidRDefault="0082690B" w:rsidP="0082690B">
      <w:pPr>
        <w:pStyle w:val="Heading4"/>
        <w:rPr>
          <w:noProof/>
          <w:color w:val="000000" w:themeColor="text1"/>
          <w:szCs w:val="24"/>
        </w:rPr>
      </w:pPr>
      <w:r w:rsidRPr="00726D52">
        <w:rPr>
          <w:b/>
          <w:bCs/>
          <w:noProof/>
          <w:color w:val="000000" w:themeColor="text1"/>
          <w:szCs w:val="24"/>
        </w:rPr>
        <w:t xml:space="preserve">a. </w:t>
      </w:r>
      <w:r w:rsidR="0D9886C2" w:rsidRPr="00726D52">
        <w:rPr>
          <w:b/>
          <w:bCs/>
          <w:noProof/>
          <w:color w:val="000000" w:themeColor="text1"/>
          <w:szCs w:val="24"/>
        </w:rPr>
        <w:t>Impact on citizens (++)</w:t>
      </w:r>
    </w:p>
    <w:p w14:paraId="68F74286" w14:textId="13C20A44"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Each of the preferred options individually contributes to strengthening EU internal security; combined, their impact is </w:t>
      </w:r>
      <w:r w:rsidRPr="00726D52">
        <w:rPr>
          <w:rStyle w:val="Strong"/>
          <w:rFonts w:eastAsia="Times New Roman"/>
          <w:noProof/>
          <w:color w:val="000000" w:themeColor="text1"/>
        </w:rPr>
        <w:t>cumulative and mutually reinforcing</w:t>
      </w:r>
      <w:r w:rsidRPr="00726D52">
        <w:rPr>
          <w:rFonts w:eastAsia="Times New Roman"/>
          <w:noProof/>
          <w:color w:val="000000" w:themeColor="text1"/>
        </w:rPr>
        <w:t>. By improving the availability, quality and usability of data (1.1, 1.4, 2.1, 2.2), enhancing structured inter-agency and prosecutorial cooperation (1.3, 2.3), and providing scalable digital and analytical capacity (2.4), the package directly addresses the three core problems identified: persistent information gaps in cross-border investigations, fragmented and uneven operational coordination, and structural resource and capability constraints at EU level.</w:t>
      </w:r>
    </w:p>
    <w:p w14:paraId="75539A08" w14:textId="35C526A2"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In practical terms, this translates into </w:t>
      </w:r>
      <w:r w:rsidRPr="00726D52">
        <w:rPr>
          <w:rStyle w:val="Strong"/>
          <w:rFonts w:eastAsia="Times New Roman"/>
          <w:noProof/>
          <w:color w:val="000000" w:themeColor="text1"/>
        </w:rPr>
        <w:t>earlier detection of criminal networks, faster identification of cross-border links, improved asset tracing, and more coordinated operational action across Member States</w:t>
      </w:r>
      <w:r w:rsidRPr="00726D52">
        <w:rPr>
          <w:rFonts w:eastAsia="Times New Roman"/>
          <w:noProof/>
          <w:color w:val="000000" w:themeColor="text1"/>
        </w:rPr>
        <w:t>. Strengthened analytical capabilities and streamlined information flows reduce delays, minimise duplication of efforts and increase the likelihood that criminal activities are detected before harm escalates. At the same time, reinforced cooperation with EU partners and prosecutorial authorities supports stronger case-building and higher-quality evidence, contributing to more effective prosecutions.</w:t>
      </w:r>
    </w:p>
    <w:p w14:paraId="17C6A6AE" w14:textId="4665B005"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Overall, the combined measures significantly enhance the capacity of Europol and national authorities to </w:t>
      </w:r>
      <w:r w:rsidRPr="00726D52">
        <w:rPr>
          <w:rStyle w:val="Strong"/>
          <w:rFonts w:eastAsia="Times New Roman"/>
          <w:noProof/>
          <w:color w:val="000000" w:themeColor="text1"/>
        </w:rPr>
        <w:t>prevent, investigate and disrupt serious and organised crime</w:t>
      </w:r>
      <w:r w:rsidRPr="00726D52">
        <w:rPr>
          <w:rFonts w:eastAsia="Times New Roman"/>
          <w:noProof/>
          <w:color w:val="000000" w:themeColor="text1"/>
        </w:rPr>
        <w:t xml:space="preserve">, including </w:t>
      </w:r>
      <w:r w:rsidRPr="00726D52">
        <w:rPr>
          <w:rFonts w:eastAsia="Times New Roman"/>
          <w:noProof/>
          <w:color w:val="000000" w:themeColor="text1"/>
        </w:rPr>
        <w:lastRenderedPageBreak/>
        <w:t xml:space="preserve">in the digital domain, thereby delivering a </w:t>
      </w:r>
      <w:r w:rsidRPr="00726D52">
        <w:rPr>
          <w:rStyle w:val="Strong"/>
          <w:rFonts w:eastAsia="Times New Roman"/>
          <w:noProof/>
          <w:color w:val="000000" w:themeColor="text1"/>
        </w:rPr>
        <w:t>substantially higher level of protection for citizens</w:t>
      </w:r>
      <w:r w:rsidRPr="00726D52">
        <w:rPr>
          <w:rFonts w:eastAsia="Times New Roman"/>
          <w:noProof/>
          <w:color w:val="000000" w:themeColor="text1"/>
        </w:rPr>
        <w:t xml:space="preserve"> in both physical and online environments, while operating within a robust framework of data protection and fundamental rights safeguards.</w:t>
      </w:r>
    </w:p>
    <w:p w14:paraId="412D06B3" w14:textId="55A5D1FD" w:rsidR="00181F4A" w:rsidRPr="00726D52" w:rsidRDefault="0082690B" w:rsidP="0082690B">
      <w:pPr>
        <w:pStyle w:val="Heading4"/>
        <w:rPr>
          <w:b/>
          <w:bCs/>
          <w:noProof/>
          <w:color w:val="000000" w:themeColor="text1"/>
          <w:szCs w:val="24"/>
        </w:rPr>
      </w:pPr>
      <w:r w:rsidRPr="00726D52">
        <w:rPr>
          <w:b/>
          <w:bCs/>
          <w:noProof/>
          <w:color w:val="000000" w:themeColor="text1"/>
          <w:szCs w:val="24"/>
        </w:rPr>
        <w:t xml:space="preserve">b. </w:t>
      </w:r>
      <w:r w:rsidR="0D9886C2" w:rsidRPr="00726D52">
        <w:rPr>
          <w:b/>
          <w:bCs/>
          <w:noProof/>
          <w:color w:val="000000" w:themeColor="text1"/>
          <w:szCs w:val="24"/>
        </w:rPr>
        <w:t>Impact on national authorities (++)</w:t>
      </w:r>
    </w:p>
    <w:p w14:paraId="79FF9316" w14:textId="68254C89"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Each of the preferred options individually strengthens national authorities’ operational capacities; taken together, their impact is </w:t>
      </w:r>
      <w:r w:rsidRPr="00726D52">
        <w:rPr>
          <w:rStyle w:val="Strong"/>
          <w:rFonts w:eastAsia="Times New Roman"/>
          <w:noProof/>
          <w:color w:val="000000" w:themeColor="text1"/>
        </w:rPr>
        <w:t>systemic and mutually reinforcing</w:t>
      </w:r>
      <w:r w:rsidRPr="00726D52">
        <w:rPr>
          <w:rFonts w:eastAsia="Times New Roman"/>
          <w:noProof/>
          <w:color w:val="000000" w:themeColor="text1"/>
        </w:rPr>
        <w:t>. By closing information gaps and improving structured data exchange (1.1, 1.4, 2.1, 2.2), reinforcing EU-level coordination and prosecutorial cooperation (1.3, 2.3), and providing scalable digital infrastructure and advanced analytical tools (2.4), the package directly tackles fragmented cross-border information flows, uneven coordination and structural constraints in resources and technical capabilities.</w:t>
      </w:r>
    </w:p>
    <w:p w14:paraId="3431A216" w14:textId="44276E8E"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In practical terms, national authorities benefit from </w:t>
      </w:r>
      <w:r w:rsidRPr="00726D52">
        <w:rPr>
          <w:rStyle w:val="Strong"/>
          <w:rFonts w:eastAsia="Times New Roman"/>
          <w:noProof/>
          <w:color w:val="000000" w:themeColor="text1"/>
        </w:rPr>
        <w:t>faster access to relevant intelligence, improved cross-border link detection, stronger analytical support and more predictable cooperation channels</w:t>
      </w:r>
      <w:r w:rsidRPr="00726D52">
        <w:rPr>
          <w:rFonts w:eastAsia="Times New Roman"/>
          <w:noProof/>
          <w:color w:val="000000" w:themeColor="text1"/>
        </w:rPr>
        <w:t xml:space="preserve">. Streamlined procedures and clearer frameworks enhance legal certainty and reduce operational friction, while shared digital tools and specialised expertise help address capacity gaps, particularly in complex areas such as cybercrime, financial investigations and large datasets. Overall, the measures reinforce Member States’ ability to </w:t>
      </w:r>
      <w:r w:rsidRPr="00726D52">
        <w:rPr>
          <w:rStyle w:val="Strong"/>
          <w:rFonts w:eastAsia="Times New Roman"/>
          <w:noProof/>
          <w:color w:val="000000" w:themeColor="text1"/>
        </w:rPr>
        <w:t>act effectively, cooperate efficiently and rely on sustained EU-level support</w:t>
      </w:r>
      <w:r w:rsidRPr="00726D52">
        <w:rPr>
          <w:rFonts w:eastAsia="Times New Roman"/>
          <w:noProof/>
          <w:color w:val="000000" w:themeColor="text1"/>
        </w:rPr>
        <w:t>, strengthening both day-to-day operational performance and long-term resilience against increasingly sophisticated and digitalised criminal threats.</w:t>
      </w:r>
    </w:p>
    <w:p w14:paraId="50507E1D" w14:textId="0E78A1E0" w:rsidR="00181F4A" w:rsidRPr="00726D52" w:rsidRDefault="0082690B" w:rsidP="0082690B">
      <w:pPr>
        <w:pStyle w:val="Heading4"/>
        <w:rPr>
          <w:noProof/>
          <w:color w:val="000000" w:themeColor="text1"/>
          <w:szCs w:val="24"/>
        </w:rPr>
      </w:pPr>
      <w:r w:rsidRPr="00726D52">
        <w:rPr>
          <w:b/>
          <w:bCs/>
          <w:noProof/>
          <w:color w:val="000000" w:themeColor="text1"/>
          <w:szCs w:val="24"/>
        </w:rPr>
        <w:t xml:space="preserve">c. </w:t>
      </w:r>
      <w:r w:rsidR="0D9886C2" w:rsidRPr="00726D52">
        <w:rPr>
          <w:b/>
          <w:bCs/>
          <w:noProof/>
          <w:color w:val="000000" w:themeColor="text1"/>
          <w:szCs w:val="24"/>
        </w:rPr>
        <w:t>Impact on fundamental rights</w:t>
      </w:r>
    </w:p>
    <w:p w14:paraId="05F75F94" w14:textId="78394078" w:rsidR="00181F4A" w:rsidRPr="00726D52" w:rsidRDefault="0D9886C2" w:rsidP="000564D7">
      <w:pPr>
        <w:pStyle w:val="Heading4"/>
        <w:ind w:left="480"/>
        <w:rPr>
          <w:noProof/>
          <w:color w:val="000000" w:themeColor="text1"/>
          <w:szCs w:val="24"/>
        </w:rPr>
      </w:pPr>
      <w:r w:rsidRPr="00726D52">
        <w:rPr>
          <w:b/>
          <w:bCs/>
          <w:noProof/>
          <w:color w:val="000000" w:themeColor="text1"/>
          <w:szCs w:val="24"/>
        </w:rPr>
        <w:t>Objective of general interest (++)</w:t>
      </w:r>
    </w:p>
    <w:p w14:paraId="737A9AA6" w14:textId="1853CEA0"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Each of the preferred options contributes individually to strengthening the Union’s </w:t>
      </w:r>
      <w:r w:rsidRPr="00726D52">
        <w:rPr>
          <w:rStyle w:val="Strong"/>
          <w:rFonts w:eastAsia="Times New Roman"/>
          <w:noProof/>
          <w:color w:val="000000" w:themeColor="text1"/>
        </w:rPr>
        <w:t>Area of Freedom, Security and Justice</w:t>
      </w:r>
      <w:r w:rsidRPr="00726D52">
        <w:rPr>
          <w:rFonts w:eastAsia="Times New Roman"/>
          <w:noProof/>
          <w:color w:val="000000" w:themeColor="text1"/>
        </w:rPr>
        <w:t xml:space="preserve">; combined, they create a </w:t>
      </w:r>
      <w:r w:rsidRPr="00726D52">
        <w:rPr>
          <w:rStyle w:val="Strong"/>
          <w:rFonts w:eastAsia="Times New Roman"/>
          <w:noProof/>
          <w:color w:val="000000" w:themeColor="text1"/>
        </w:rPr>
        <w:t>more coherent, resilient and future-proof internal security framework</w:t>
      </w:r>
      <w:r w:rsidRPr="00726D52">
        <w:rPr>
          <w:rFonts w:eastAsia="Times New Roman"/>
          <w:noProof/>
          <w:color w:val="000000" w:themeColor="text1"/>
        </w:rPr>
        <w:t>. By reinforcing structured information exchange, operational coordination and digital capabilities, the package enhances the Union’s collective capacity to prevent and combat serious and organised crime in an increasingly cross-border and digitalised threat environment.</w:t>
      </w:r>
    </w:p>
    <w:p w14:paraId="5894FB8B" w14:textId="6E56CC5F"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measures also strengthen </w:t>
      </w:r>
      <w:r w:rsidRPr="00726D52">
        <w:rPr>
          <w:rStyle w:val="Strong"/>
          <w:rFonts w:eastAsia="Times New Roman"/>
          <w:noProof/>
          <w:color w:val="000000" w:themeColor="text1"/>
        </w:rPr>
        <w:t>mutual trust and solidarity among Member States</w:t>
      </w:r>
      <w:r w:rsidRPr="00726D52">
        <w:rPr>
          <w:rFonts w:eastAsia="Times New Roman"/>
          <w:noProof/>
          <w:color w:val="000000" w:themeColor="text1"/>
        </w:rPr>
        <w:t xml:space="preserve">, ensure more effective interaction between EU bodies, notably Europol, the EPPO and Eurojust and reduce fragmentation in the EU security architecture. By investing in shared digital and analytical capacities, the Union advances its </w:t>
      </w:r>
      <w:r w:rsidRPr="00726D52">
        <w:rPr>
          <w:rStyle w:val="Strong"/>
          <w:rFonts w:eastAsia="Times New Roman"/>
          <w:noProof/>
          <w:color w:val="000000" w:themeColor="text1"/>
        </w:rPr>
        <w:t>strategic autonomy in law enforcement technologies and expertise</w:t>
      </w:r>
      <w:r w:rsidRPr="00726D52">
        <w:rPr>
          <w:rFonts w:eastAsia="Times New Roman"/>
          <w:noProof/>
          <w:color w:val="000000" w:themeColor="text1"/>
        </w:rPr>
        <w:t xml:space="preserve">, reducing reliance on external tools while maintaining high standards. Overall, the initiative supports the objective of delivering a </w:t>
      </w:r>
      <w:r w:rsidRPr="00726D52">
        <w:rPr>
          <w:rStyle w:val="Strong"/>
          <w:rFonts w:eastAsia="Times New Roman"/>
          <w:noProof/>
          <w:color w:val="000000" w:themeColor="text1"/>
        </w:rPr>
        <w:t>high level of security across the EU</w:t>
      </w:r>
      <w:r w:rsidRPr="00726D52">
        <w:rPr>
          <w:rFonts w:eastAsia="Times New Roman"/>
          <w:noProof/>
          <w:color w:val="000000" w:themeColor="text1"/>
        </w:rPr>
        <w:t>, firmly anchored in respect for fundamental rights, data protection and the rule of law.</w:t>
      </w:r>
    </w:p>
    <w:p w14:paraId="511DE832" w14:textId="31B8DD84" w:rsidR="00181F4A" w:rsidRPr="00726D52" w:rsidRDefault="0D9886C2" w:rsidP="000564D7">
      <w:pPr>
        <w:pStyle w:val="Heading4"/>
        <w:ind w:left="480"/>
        <w:rPr>
          <w:noProof/>
          <w:color w:val="000000" w:themeColor="text1"/>
          <w:szCs w:val="24"/>
        </w:rPr>
      </w:pPr>
      <w:r w:rsidRPr="00726D52">
        <w:rPr>
          <w:b/>
          <w:bCs/>
          <w:noProof/>
          <w:color w:val="000000" w:themeColor="text1"/>
          <w:szCs w:val="24"/>
        </w:rPr>
        <w:t>Impact on data protection (0)</w:t>
      </w:r>
    </w:p>
    <w:p w14:paraId="670988D6" w14:textId="3A75AE1A"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impact of the preferred package on data protection is considered overall </w:t>
      </w:r>
      <w:r w:rsidRPr="00726D52">
        <w:rPr>
          <w:rStyle w:val="Strong"/>
          <w:rFonts w:eastAsia="Times New Roman"/>
          <w:noProof/>
          <w:color w:val="000000" w:themeColor="text1"/>
        </w:rPr>
        <w:t>neutral</w:t>
      </w:r>
      <w:r w:rsidRPr="00726D52">
        <w:rPr>
          <w:rFonts w:eastAsia="Times New Roman"/>
          <w:noProof/>
          <w:color w:val="000000" w:themeColor="text1"/>
        </w:rPr>
        <w:t xml:space="preserve">, as all retained options have successfully passed both the </w:t>
      </w:r>
      <w:r w:rsidRPr="00726D52">
        <w:rPr>
          <w:rStyle w:val="Strong"/>
          <w:rFonts w:eastAsia="Times New Roman"/>
          <w:noProof/>
          <w:color w:val="000000" w:themeColor="text1"/>
        </w:rPr>
        <w:t>necessity</w:t>
      </w:r>
      <w:r w:rsidRPr="00726D52">
        <w:rPr>
          <w:rFonts w:eastAsia="Times New Roman"/>
          <w:noProof/>
          <w:color w:val="000000" w:themeColor="text1"/>
        </w:rPr>
        <w:t xml:space="preserve"> and </w:t>
      </w:r>
      <w:r w:rsidRPr="00726D52">
        <w:rPr>
          <w:rStyle w:val="Strong"/>
          <w:rFonts w:eastAsia="Times New Roman"/>
          <w:noProof/>
          <w:color w:val="000000" w:themeColor="text1"/>
        </w:rPr>
        <w:t>proportionality</w:t>
      </w:r>
      <w:r w:rsidRPr="00726D52">
        <w:rPr>
          <w:rFonts w:eastAsia="Times New Roman"/>
          <w:noProof/>
          <w:color w:val="000000" w:themeColor="text1"/>
        </w:rPr>
        <w:t xml:space="preserve"> assessments.</w:t>
      </w:r>
    </w:p>
    <w:p w14:paraId="2661F3CF" w14:textId="6F1A3479" w:rsidR="00181F4A" w:rsidRPr="00726D52" w:rsidRDefault="0D9886C2" w:rsidP="2C37EBCE">
      <w:pPr>
        <w:rPr>
          <w:rFonts w:eastAsia="Times New Roman"/>
          <w:noProof/>
          <w:color w:val="000000" w:themeColor="text1"/>
        </w:rPr>
      </w:pPr>
      <w:r w:rsidRPr="00726D52">
        <w:rPr>
          <w:rStyle w:val="Strong"/>
          <w:rFonts w:eastAsia="Times New Roman"/>
          <w:b w:val="0"/>
          <w:bCs w:val="0"/>
          <w:i/>
          <w:iCs/>
          <w:noProof/>
          <w:color w:val="000000" w:themeColor="text1"/>
        </w:rPr>
        <w:lastRenderedPageBreak/>
        <w:t>Necessity.</w:t>
      </w:r>
      <w:r w:rsidRPr="00726D52">
        <w:rPr>
          <w:rFonts w:eastAsia="Times New Roman"/>
          <w:noProof/>
          <w:color w:val="000000" w:themeColor="text1"/>
        </w:rPr>
        <w:t xml:space="preserve"> The measures respond to clearly identified structural problems, persistent information gaps, fragmented cross-border exchanges and inefficiencies in data handling, which cannot be effectively addressed by Member States acting alone. The initiative does not introduce new categories of personal data nor expand the purposes of processing. Instead, it seeks to improve the relevance, structure and operational usability of data already lawfully processed within the existing legal framework. By optimising information flows and clarifying procedural conditions, the package ensures that processing remains strictly linked to operational needs in combating serious and organised crime.</w:t>
      </w:r>
    </w:p>
    <w:p w14:paraId="07491870" w14:textId="72AEB7AF" w:rsidR="00181F4A" w:rsidRPr="00726D52" w:rsidRDefault="0D9886C2" w:rsidP="2C37EBCE">
      <w:pPr>
        <w:rPr>
          <w:rFonts w:eastAsia="Times New Roman"/>
          <w:noProof/>
          <w:color w:val="000000" w:themeColor="text1"/>
        </w:rPr>
      </w:pPr>
      <w:r w:rsidRPr="00726D52">
        <w:rPr>
          <w:rStyle w:val="Strong"/>
          <w:rFonts w:eastAsia="Times New Roman"/>
          <w:b w:val="0"/>
          <w:bCs w:val="0"/>
          <w:i/>
          <w:iCs/>
          <w:noProof/>
          <w:color w:val="000000" w:themeColor="text1"/>
        </w:rPr>
        <w:t>Proportionality.</w:t>
      </w:r>
      <w:r w:rsidRPr="00726D52">
        <w:rPr>
          <w:rFonts w:eastAsia="Times New Roman"/>
          <w:noProof/>
          <w:color w:val="000000" w:themeColor="text1"/>
        </w:rPr>
        <w:t xml:space="preserve"> The preferred options are limited to what is necessary to achieve the identified objectives and avoid excessive or unjustified data processing. They build on existing systems and legal bases, refrain from creating parallel databases or duplicative storage, and maintain decentralised responsibilities where appropriate. Safeguards relating to purpose limitation, access control, oversight and data subject rights remain fully applicable. Particular attention has been paid to ensuring that enhanced analytical capacities and improved interoperability do not alter the balance between operational effectiveness and fundamental rights protection.</w:t>
      </w:r>
    </w:p>
    <w:p w14:paraId="7D006979" w14:textId="6F3055A2"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reform of </w:t>
      </w:r>
      <w:r w:rsidRPr="00726D52">
        <w:rPr>
          <w:rStyle w:val="Strong"/>
          <w:rFonts w:eastAsia="Times New Roman"/>
          <w:noProof/>
          <w:color w:val="000000" w:themeColor="text1"/>
        </w:rPr>
        <w:t>Data Subject Categorisation (Option 2.2)</w:t>
      </w:r>
      <w:r w:rsidRPr="00726D52">
        <w:rPr>
          <w:rFonts w:eastAsia="Times New Roman"/>
          <w:noProof/>
          <w:color w:val="000000" w:themeColor="text1"/>
        </w:rPr>
        <w:t xml:space="preserve"> simplifies an existing safeguard to remove structural inefficiencies and reduce administrative burden, while maintaining the core protective logic of differentiated data handling. This adjustment strengthens legal clarity and aligns more closely with the framework of the EUDPR and the Law Enforcement Directive, without lowering the level of protection.</w:t>
      </w:r>
    </w:p>
    <w:p w14:paraId="3A63383C" w14:textId="3F9A649F"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Overall, the combined measures preserve a </w:t>
      </w:r>
      <w:r w:rsidRPr="00726D52">
        <w:rPr>
          <w:rStyle w:val="Strong"/>
          <w:rFonts w:eastAsia="Times New Roman"/>
          <w:noProof/>
          <w:color w:val="000000" w:themeColor="text1"/>
        </w:rPr>
        <w:t>high level of data protection</w:t>
      </w:r>
      <w:r w:rsidRPr="00726D52">
        <w:rPr>
          <w:rFonts w:eastAsia="Times New Roman"/>
          <w:noProof/>
          <w:color w:val="000000" w:themeColor="text1"/>
        </w:rPr>
        <w:t>, while enhancing coherence, transparency and accountability in EU law enforcement information processing.</w:t>
      </w:r>
    </w:p>
    <w:p w14:paraId="7A0C917A" w14:textId="19CDF591" w:rsidR="00181F4A" w:rsidRPr="00726D52" w:rsidRDefault="0D9886C2" w:rsidP="009502B2">
      <w:pPr>
        <w:pStyle w:val="Heading4"/>
        <w:numPr>
          <w:ilvl w:val="0"/>
          <w:numId w:val="47"/>
        </w:numPr>
        <w:ind w:left="480" w:hanging="480"/>
        <w:rPr>
          <w:noProof/>
          <w:color w:val="000000" w:themeColor="text1"/>
          <w:szCs w:val="24"/>
        </w:rPr>
      </w:pPr>
      <w:r w:rsidRPr="00726D52">
        <w:rPr>
          <w:b/>
          <w:noProof/>
          <w:color w:val="000000" w:themeColor="text1"/>
          <w:szCs w:val="24"/>
        </w:rPr>
        <w:t>Cost (+)</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53"/>
        <w:gridCol w:w="2022"/>
        <w:gridCol w:w="2027"/>
      </w:tblGrid>
      <w:tr w:rsidR="2C37EBCE" w:rsidRPr="00726D52" w14:paraId="0DCA6558" w14:textId="77777777" w:rsidTr="2C37EBCE">
        <w:trPr>
          <w:trHeight w:val="270"/>
        </w:trPr>
        <w:tc>
          <w:tcPr>
            <w:tcW w:w="4695"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90" w:type="dxa"/>
              <w:right w:w="90" w:type="dxa"/>
            </w:tcMar>
          </w:tcPr>
          <w:p w14:paraId="5BCDFA8E" w14:textId="6B26DDEB" w:rsidR="2C37EBCE" w:rsidRPr="00726D52" w:rsidRDefault="2C37EBCE" w:rsidP="2C37EBCE">
            <w:pPr>
              <w:rPr>
                <w:noProof/>
              </w:rPr>
            </w:pPr>
          </w:p>
        </w:tc>
        <w:tc>
          <w:tcPr>
            <w:tcW w:w="2055"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90" w:type="dxa"/>
              <w:right w:w="90" w:type="dxa"/>
            </w:tcMar>
          </w:tcPr>
          <w:p w14:paraId="2B815D36" w14:textId="604A9A11" w:rsidR="2C37EBCE" w:rsidRPr="00726D52" w:rsidRDefault="2C37EBCE" w:rsidP="2C37EBCE">
            <w:pPr>
              <w:jc w:val="center"/>
              <w:rPr>
                <w:noProof/>
              </w:rPr>
            </w:pPr>
            <w:r w:rsidRPr="00726D52">
              <w:rPr>
                <w:b/>
                <w:bCs/>
                <w:i/>
                <w:iCs/>
                <w:noProof/>
              </w:rPr>
              <w:t xml:space="preserve">Member States </w:t>
            </w:r>
          </w:p>
        </w:tc>
        <w:tc>
          <w:tcPr>
            <w:tcW w:w="2055"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90" w:type="dxa"/>
              <w:right w:w="90" w:type="dxa"/>
            </w:tcMar>
          </w:tcPr>
          <w:p w14:paraId="38BEF69F" w14:textId="05BA2384" w:rsidR="2C37EBCE" w:rsidRPr="00726D52" w:rsidRDefault="2C37EBCE" w:rsidP="2C37EBCE">
            <w:pPr>
              <w:jc w:val="center"/>
              <w:rPr>
                <w:noProof/>
              </w:rPr>
            </w:pPr>
            <w:r w:rsidRPr="00726D52">
              <w:rPr>
                <w:b/>
                <w:bCs/>
                <w:i/>
                <w:iCs/>
                <w:noProof/>
              </w:rPr>
              <w:t>Europol</w:t>
            </w:r>
          </w:p>
        </w:tc>
      </w:tr>
      <w:tr w:rsidR="2C37EBCE" w:rsidRPr="00726D52" w14:paraId="336CAD80" w14:textId="77777777" w:rsidTr="2C37EBCE">
        <w:trPr>
          <w:trHeight w:val="270"/>
        </w:trPr>
        <w:tc>
          <w:tcPr>
            <w:tcW w:w="469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90" w:type="dxa"/>
              <w:right w:w="90" w:type="dxa"/>
            </w:tcMar>
          </w:tcPr>
          <w:p w14:paraId="537A14EE" w14:textId="113C7FA2" w:rsidR="2C37EBCE" w:rsidRPr="00726D52" w:rsidRDefault="2C37EBCE" w:rsidP="2C37EBCE">
            <w:pPr>
              <w:rPr>
                <w:noProof/>
              </w:rPr>
            </w:pPr>
            <w:r w:rsidRPr="00726D52">
              <w:rPr>
                <w:b/>
                <w:bCs/>
                <w:i/>
                <w:iCs/>
                <w:noProof/>
              </w:rPr>
              <w:t>Direct costs</w:t>
            </w:r>
          </w:p>
        </w:tc>
        <w:tc>
          <w:tcPr>
            <w:tcW w:w="205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90" w:type="dxa"/>
              <w:right w:w="90" w:type="dxa"/>
            </w:tcMar>
          </w:tcPr>
          <w:p w14:paraId="1F008C41" w14:textId="4B94B4CB" w:rsidR="2C37EBCE" w:rsidRPr="00726D52" w:rsidRDefault="2C37EBCE" w:rsidP="2C37EBCE">
            <w:pPr>
              <w:jc w:val="center"/>
              <w:rPr>
                <w:noProof/>
              </w:rPr>
            </w:pPr>
          </w:p>
        </w:tc>
        <w:tc>
          <w:tcPr>
            <w:tcW w:w="205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90" w:type="dxa"/>
              <w:right w:w="90" w:type="dxa"/>
            </w:tcMar>
          </w:tcPr>
          <w:p w14:paraId="52564FB9" w14:textId="2DDD8040" w:rsidR="2C37EBCE" w:rsidRPr="00726D52" w:rsidRDefault="2C37EBCE" w:rsidP="2C37EBCE">
            <w:pPr>
              <w:jc w:val="center"/>
              <w:rPr>
                <w:noProof/>
              </w:rPr>
            </w:pPr>
          </w:p>
        </w:tc>
      </w:tr>
      <w:tr w:rsidR="2C37EBCE" w:rsidRPr="00726D52" w14:paraId="6FB5436C" w14:textId="77777777" w:rsidTr="2C37EBCE">
        <w:trPr>
          <w:trHeight w:val="810"/>
        </w:trPr>
        <w:tc>
          <w:tcPr>
            <w:tcW w:w="4695" w:type="dxa"/>
            <w:tcBorders>
              <w:top w:val="single" w:sz="6" w:space="0" w:color="auto"/>
              <w:left w:val="single" w:sz="6" w:space="0" w:color="auto"/>
              <w:bottom w:val="single" w:sz="6" w:space="0" w:color="auto"/>
              <w:right w:val="single" w:sz="6" w:space="0" w:color="auto"/>
            </w:tcBorders>
            <w:tcMar>
              <w:left w:w="90" w:type="dxa"/>
              <w:right w:w="90" w:type="dxa"/>
            </w:tcMar>
          </w:tcPr>
          <w:p w14:paraId="5F86199B" w14:textId="308A5159" w:rsidR="2C37EBCE" w:rsidRPr="00726D52" w:rsidRDefault="2C37EBCE" w:rsidP="2C37EBCE">
            <w:pPr>
              <w:spacing w:after="0"/>
              <w:rPr>
                <w:noProof/>
              </w:rPr>
            </w:pPr>
            <w:r w:rsidRPr="00726D52">
              <w:rPr>
                <w:noProof/>
              </w:rPr>
              <w:t>Expected one-off costs (in million EUR)</w:t>
            </w:r>
          </w:p>
          <w:p w14:paraId="06EE37F0" w14:textId="2654F341" w:rsidR="2C37EBCE" w:rsidRPr="00726D52" w:rsidRDefault="2C37EBCE" w:rsidP="009502B2">
            <w:pPr>
              <w:pStyle w:val="ListParagraph"/>
              <w:numPr>
                <w:ilvl w:val="0"/>
                <w:numId w:val="37"/>
              </w:numPr>
              <w:spacing w:after="0"/>
              <w:rPr>
                <w:noProof/>
              </w:rPr>
            </w:pPr>
            <w:r w:rsidRPr="00726D52">
              <w:rPr>
                <w:i/>
                <w:iCs/>
                <w:noProof/>
              </w:rPr>
              <w:t>Policy option 1.1</w:t>
            </w:r>
          </w:p>
          <w:p w14:paraId="5F38F047" w14:textId="47DF9329" w:rsidR="2C37EBCE" w:rsidRPr="00726D52" w:rsidRDefault="2C37EBCE" w:rsidP="009502B2">
            <w:pPr>
              <w:pStyle w:val="ListParagraph"/>
              <w:numPr>
                <w:ilvl w:val="0"/>
                <w:numId w:val="37"/>
              </w:numPr>
              <w:spacing w:after="0"/>
              <w:rPr>
                <w:noProof/>
              </w:rPr>
            </w:pPr>
            <w:r w:rsidRPr="00726D52">
              <w:rPr>
                <w:i/>
                <w:iCs/>
                <w:noProof/>
              </w:rPr>
              <w:t>Policy option 1.3</w:t>
            </w:r>
          </w:p>
          <w:p w14:paraId="695C7964" w14:textId="483D9F0D" w:rsidR="2C37EBCE" w:rsidRPr="00726D52" w:rsidRDefault="2C37EBCE" w:rsidP="009502B2">
            <w:pPr>
              <w:pStyle w:val="ListParagraph"/>
              <w:numPr>
                <w:ilvl w:val="0"/>
                <w:numId w:val="37"/>
              </w:numPr>
              <w:spacing w:after="0"/>
              <w:rPr>
                <w:noProof/>
              </w:rPr>
            </w:pPr>
            <w:r w:rsidRPr="00726D52">
              <w:rPr>
                <w:i/>
                <w:iCs/>
                <w:noProof/>
              </w:rPr>
              <w:t>Policy option 1.4</w:t>
            </w:r>
          </w:p>
          <w:p w14:paraId="1AA69E18" w14:textId="399B017D" w:rsidR="2C37EBCE" w:rsidRPr="00726D52" w:rsidRDefault="2C37EBCE" w:rsidP="009502B2">
            <w:pPr>
              <w:pStyle w:val="ListParagraph"/>
              <w:numPr>
                <w:ilvl w:val="0"/>
                <w:numId w:val="37"/>
              </w:numPr>
              <w:spacing w:after="0"/>
              <w:rPr>
                <w:noProof/>
              </w:rPr>
            </w:pPr>
            <w:r w:rsidRPr="00726D52">
              <w:rPr>
                <w:i/>
                <w:iCs/>
                <w:noProof/>
              </w:rPr>
              <w:t>Policy option 2.1</w:t>
            </w:r>
          </w:p>
          <w:p w14:paraId="4393F3E1" w14:textId="249D8145" w:rsidR="2C37EBCE" w:rsidRPr="00726D52" w:rsidRDefault="2C37EBCE" w:rsidP="009502B2">
            <w:pPr>
              <w:pStyle w:val="ListParagraph"/>
              <w:numPr>
                <w:ilvl w:val="0"/>
                <w:numId w:val="37"/>
              </w:numPr>
              <w:spacing w:after="0"/>
              <w:rPr>
                <w:noProof/>
              </w:rPr>
            </w:pPr>
            <w:r w:rsidRPr="00726D52">
              <w:rPr>
                <w:i/>
                <w:iCs/>
                <w:noProof/>
              </w:rPr>
              <w:t>Policy option 2.2</w:t>
            </w:r>
          </w:p>
          <w:p w14:paraId="48A99CE4" w14:textId="620E3F16" w:rsidR="2C37EBCE" w:rsidRPr="00726D52" w:rsidRDefault="2C37EBCE" w:rsidP="009502B2">
            <w:pPr>
              <w:pStyle w:val="ListParagraph"/>
              <w:numPr>
                <w:ilvl w:val="0"/>
                <w:numId w:val="37"/>
              </w:numPr>
              <w:spacing w:after="0"/>
              <w:rPr>
                <w:noProof/>
              </w:rPr>
            </w:pPr>
            <w:r w:rsidRPr="00726D52">
              <w:rPr>
                <w:i/>
                <w:iCs/>
                <w:noProof/>
              </w:rPr>
              <w:t>Policy option 2.3</w:t>
            </w:r>
          </w:p>
          <w:p w14:paraId="6C08C6DB" w14:textId="01C5926D" w:rsidR="2C37EBCE" w:rsidRPr="00726D52" w:rsidRDefault="2C37EBCE" w:rsidP="009502B2">
            <w:pPr>
              <w:pStyle w:val="ListParagraph"/>
              <w:numPr>
                <w:ilvl w:val="0"/>
                <w:numId w:val="37"/>
              </w:numPr>
              <w:spacing w:after="0"/>
              <w:rPr>
                <w:noProof/>
              </w:rPr>
            </w:pPr>
            <w:r w:rsidRPr="00726D52">
              <w:rPr>
                <w:i/>
                <w:iCs/>
                <w:noProof/>
              </w:rPr>
              <w:t>Policy option 2.4</w:t>
            </w:r>
          </w:p>
          <w:p w14:paraId="00CD093B" w14:textId="614CC1B3" w:rsidR="2C37EBCE" w:rsidRPr="00726D52" w:rsidRDefault="2C37EBCE" w:rsidP="2C37EBCE">
            <w:pPr>
              <w:spacing w:after="0"/>
              <w:ind w:left="720"/>
              <w:rPr>
                <w:noProof/>
              </w:rPr>
            </w:pPr>
          </w:p>
        </w:tc>
        <w:tc>
          <w:tcPr>
            <w:tcW w:w="2055" w:type="dxa"/>
            <w:tcBorders>
              <w:top w:val="single" w:sz="6" w:space="0" w:color="auto"/>
              <w:left w:val="single" w:sz="6" w:space="0" w:color="auto"/>
              <w:bottom w:val="single" w:sz="6" w:space="0" w:color="auto"/>
              <w:right w:val="single" w:sz="6" w:space="0" w:color="auto"/>
            </w:tcBorders>
            <w:tcMar>
              <w:left w:w="90" w:type="dxa"/>
              <w:right w:w="90" w:type="dxa"/>
            </w:tcMar>
          </w:tcPr>
          <w:p w14:paraId="312A5A03" w14:textId="14EAA404" w:rsidR="2C37EBCE" w:rsidRPr="00726D52" w:rsidRDefault="2C37EBCE" w:rsidP="2C37EBCE">
            <w:pPr>
              <w:spacing w:after="0"/>
              <w:jc w:val="left"/>
              <w:rPr>
                <w:noProof/>
              </w:rPr>
            </w:pPr>
            <w:r w:rsidRPr="00726D52">
              <w:rPr>
                <w:b/>
                <w:bCs/>
                <w:i/>
                <w:iCs/>
                <w:noProof/>
              </w:rPr>
              <w:t>254.85</w:t>
            </w:r>
          </w:p>
          <w:p w14:paraId="076F5F39" w14:textId="77518E10" w:rsidR="2C37EBCE" w:rsidRPr="00726D52" w:rsidRDefault="2C37EBCE" w:rsidP="009502B2">
            <w:pPr>
              <w:pStyle w:val="ListParagraph"/>
              <w:numPr>
                <w:ilvl w:val="0"/>
                <w:numId w:val="37"/>
              </w:numPr>
              <w:spacing w:after="0"/>
              <w:jc w:val="left"/>
              <w:rPr>
                <w:noProof/>
              </w:rPr>
            </w:pPr>
            <w:r w:rsidRPr="00726D52">
              <w:rPr>
                <w:i/>
                <w:iCs/>
                <w:noProof/>
              </w:rPr>
              <w:t>81</w:t>
            </w:r>
          </w:p>
          <w:p w14:paraId="676D469E" w14:textId="3FECA55F" w:rsidR="2C37EBCE" w:rsidRPr="00726D52" w:rsidRDefault="2C37EBCE" w:rsidP="009502B2">
            <w:pPr>
              <w:pStyle w:val="ListParagraph"/>
              <w:numPr>
                <w:ilvl w:val="0"/>
                <w:numId w:val="37"/>
              </w:numPr>
              <w:spacing w:after="0"/>
              <w:jc w:val="left"/>
              <w:rPr>
                <w:noProof/>
              </w:rPr>
            </w:pPr>
            <w:r w:rsidRPr="00726D52">
              <w:rPr>
                <w:i/>
                <w:iCs/>
                <w:noProof/>
              </w:rPr>
              <w:t>0</w:t>
            </w:r>
          </w:p>
          <w:p w14:paraId="4860315A" w14:textId="72E00BD1" w:rsidR="2C37EBCE" w:rsidRPr="00726D52" w:rsidRDefault="2C37EBCE" w:rsidP="009502B2">
            <w:pPr>
              <w:pStyle w:val="ListParagraph"/>
              <w:numPr>
                <w:ilvl w:val="0"/>
                <w:numId w:val="37"/>
              </w:numPr>
              <w:spacing w:after="0"/>
              <w:jc w:val="left"/>
              <w:rPr>
                <w:noProof/>
              </w:rPr>
            </w:pPr>
            <w:r w:rsidRPr="00726D52">
              <w:rPr>
                <w:i/>
                <w:iCs/>
                <w:noProof/>
              </w:rPr>
              <w:t>105</w:t>
            </w:r>
          </w:p>
          <w:p w14:paraId="73B429A5" w14:textId="49DD8DDF" w:rsidR="2C37EBCE" w:rsidRPr="00726D52" w:rsidRDefault="2C37EBCE" w:rsidP="009502B2">
            <w:pPr>
              <w:pStyle w:val="ListParagraph"/>
              <w:numPr>
                <w:ilvl w:val="0"/>
                <w:numId w:val="37"/>
              </w:numPr>
              <w:spacing w:after="0"/>
              <w:jc w:val="left"/>
              <w:rPr>
                <w:noProof/>
              </w:rPr>
            </w:pPr>
            <w:r w:rsidRPr="00726D52">
              <w:rPr>
                <w:i/>
                <w:iCs/>
                <w:noProof/>
              </w:rPr>
              <w:t>1.35</w:t>
            </w:r>
          </w:p>
          <w:p w14:paraId="24C17739" w14:textId="50DB1848" w:rsidR="2C37EBCE" w:rsidRPr="00726D52" w:rsidRDefault="2C37EBCE" w:rsidP="009502B2">
            <w:pPr>
              <w:pStyle w:val="ListParagraph"/>
              <w:numPr>
                <w:ilvl w:val="0"/>
                <w:numId w:val="37"/>
              </w:numPr>
              <w:spacing w:after="0"/>
              <w:jc w:val="left"/>
              <w:rPr>
                <w:noProof/>
              </w:rPr>
            </w:pPr>
            <w:r w:rsidRPr="00726D52">
              <w:rPr>
                <w:i/>
                <w:iCs/>
                <w:noProof/>
              </w:rPr>
              <w:t>0</w:t>
            </w:r>
          </w:p>
          <w:p w14:paraId="4BFE54EE" w14:textId="2BB8D9AB" w:rsidR="2C37EBCE" w:rsidRPr="00726D52" w:rsidRDefault="2C37EBCE" w:rsidP="009502B2">
            <w:pPr>
              <w:pStyle w:val="ListParagraph"/>
              <w:numPr>
                <w:ilvl w:val="0"/>
                <w:numId w:val="37"/>
              </w:numPr>
              <w:spacing w:after="0"/>
              <w:jc w:val="left"/>
              <w:rPr>
                <w:noProof/>
              </w:rPr>
            </w:pPr>
            <w:r w:rsidRPr="00726D52">
              <w:rPr>
                <w:i/>
                <w:iCs/>
                <w:noProof/>
              </w:rPr>
              <w:t>0</w:t>
            </w:r>
          </w:p>
          <w:p w14:paraId="02E65251" w14:textId="2ADB36FA" w:rsidR="2C37EBCE" w:rsidRPr="00726D52" w:rsidRDefault="2C37EBCE" w:rsidP="009502B2">
            <w:pPr>
              <w:pStyle w:val="ListParagraph"/>
              <w:numPr>
                <w:ilvl w:val="0"/>
                <w:numId w:val="37"/>
              </w:numPr>
              <w:spacing w:after="0"/>
              <w:jc w:val="left"/>
              <w:rPr>
                <w:noProof/>
              </w:rPr>
            </w:pPr>
            <w:r w:rsidRPr="00726D52">
              <w:rPr>
                <w:i/>
                <w:iCs/>
                <w:noProof/>
              </w:rPr>
              <w:t>67.5</w:t>
            </w:r>
          </w:p>
        </w:tc>
        <w:tc>
          <w:tcPr>
            <w:tcW w:w="2055" w:type="dxa"/>
            <w:tcBorders>
              <w:top w:val="single" w:sz="6" w:space="0" w:color="auto"/>
              <w:left w:val="single" w:sz="6" w:space="0" w:color="auto"/>
              <w:bottom w:val="single" w:sz="6" w:space="0" w:color="auto"/>
              <w:right w:val="single" w:sz="6" w:space="0" w:color="auto"/>
            </w:tcBorders>
            <w:tcMar>
              <w:left w:w="90" w:type="dxa"/>
              <w:right w:w="90" w:type="dxa"/>
            </w:tcMar>
          </w:tcPr>
          <w:p w14:paraId="5F7D9BEC" w14:textId="6F2D2355" w:rsidR="2C37EBCE" w:rsidRPr="00726D52" w:rsidRDefault="007072B3" w:rsidP="2C37EBCE">
            <w:pPr>
              <w:spacing w:after="0"/>
              <w:jc w:val="left"/>
              <w:rPr>
                <w:noProof/>
              </w:rPr>
            </w:pPr>
            <w:r w:rsidRPr="00726D52">
              <w:rPr>
                <w:b/>
                <w:bCs/>
                <w:i/>
                <w:iCs/>
                <w:noProof/>
              </w:rPr>
              <w:t>267.3</w:t>
            </w:r>
          </w:p>
          <w:p w14:paraId="58DB05A7" w14:textId="77923CBD" w:rsidR="2C37EBCE" w:rsidRPr="00726D52" w:rsidRDefault="2C37EBCE" w:rsidP="009502B2">
            <w:pPr>
              <w:pStyle w:val="ListParagraph"/>
              <w:numPr>
                <w:ilvl w:val="0"/>
                <w:numId w:val="36"/>
              </w:numPr>
              <w:spacing w:after="0"/>
              <w:jc w:val="left"/>
              <w:rPr>
                <w:noProof/>
              </w:rPr>
            </w:pPr>
            <w:r w:rsidRPr="00726D52">
              <w:rPr>
                <w:i/>
                <w:iCs/>
                <w:noProof/>
              </w:rPr>
              <w:t>61*</w:t>
            </w:r>
          </w:p>
          <w:p w14:paraId="539FA772" w14:textId="2A6D0994" w:rsidR="2C37EBCE" w:rsidRPr="00726D52" w:rsidRDefault="2C37EBCE" w:rsidP="009502B2">
            <w:pPr>
              <w:pStyle w:val="ListParagraph"/>
              <w:numPr>
                <w:ilvl w:val="0"/>
                <w:numId w:val="36"/>
              </w:numPr>
              <w:spacing w:after="0"/>
              <w:jc w:val="left"/>
              <w:rPr>
                <w:noProof/>
              </w:rPr>
            </w:pPr>
            <w:r w:rsidRPr="00726D52">
              <w:rPr>
                <w:i/>
                <w:iCs/>
                <w:noProof/>
              </w:rPr>
              <w:t>2</w:t>
            </w:r>
          </w:p>
          <w:p w14:paraId="2C1C5910" w14:textId="4AAECD8F" w:rsidR="2C37EBCE" w:rsidRPr="00726D52" w:rsidRDefault="2C37EBCE" w:rsidP="009502B2">
            <w:pPr>
              <w:pStyle w:val="ListParagraph"/>
              <w:numPr>
                <w:ilvl w:val="0"/>
                <w:numId w:val="36"/>
              </w:numPr>
              <w:spacing w:after="0"/>
              <w:jc w:val="left"/>
              <w:rPr>
                <w:noProof/>
              </w:rPr>
            </w:pPr>
            <w:r w:rsidRPr="00726D52">
              <w:rPr>
                <w:i/>
                <w:iCs/>
                <w:noProof/>
              </w:rPr>
              <w:t>50*</w:t>
            </w:r>
          </w:p>
          <w:p w14:paraId="4F25A0E2" w14:textId="64CB512A" w:rsidR="2C37EBCE" w:rsidRPr="00726D52" w:rsidRDefault="2C37EBCE" w:rsidP="009502B2">
            <w:pPr>
              <w:pStyle w:val="ListParagraph"/>
              <w:numPr>
                <w:ilvl w:val="0"/>
                <w:numId w:val="36"/>
              </w:numPr>
              <w:spacing w:after="0"/>
              <w:jc w:val="left"/>
              <w:rPr>
                <w:noProof/>
              </w:rPr>
            </w:pPr>
            <w:r w:rsidRPr="00726D52">
              <w:rPr>
                <w:i/>
                <w:iCs/>
                <w:noProof/>
              </w:rPr>
              <w:t>11</w:t>
            </w:r>
          </w:p>
          <w:p w14:paraId="70C7B001" w14:textId="58E62337" w:rsidR="2C37EBCE" w:rsidRPr="00726D52" w:rsidRDefault="2C37EBCE" w:rsidP="009502B2">
            <w:pPr>
              <w:pStyle w:val="ListParagraph"/>
              <w:numPr>
                <w:ilvl w:val="0"/>
                <w:numId w:val="36"/>
              </w:numPr>
              <w:spacing w:after="0"/>
              <w:jc w:val="left"/>
              <w:rPr>
                <w:noProof/>
              </w:rPr>
            </w:pPr>
            <w:r w:rsidRPr="00726D52">
              <w:rPr>
                <w:i/>
                <w:iCs/>
                <w:noProof/>
              </w:rPr>
              <w:t>0</w:t>
            </w:r>
          </w:p>
          <w:p w14:paraId="24EA0A3A" w14:textId="59EF1CE3" w:rsidR="2C37EBCE" w:rsidRPr="00726D52" w:rsidRDefault="2C37EBCE" w:rsidP="009502B2">
            <w:pPr>
              <w:pStyle w:val="ListParagraph"/>
              <w:numPr>
                <w:ilvl w:val="0"/>
                <w:numId w:val="36"/>
              </w:numPr>
              <w:spacing w:after="0"/>
              <w:jc w:val="left"/>
              <w:rPr>
                <w:noProof/>
              </w:rPr>
            </w:pPr>
            <w:r w:rsidRPr="00726D52">
              <w:rPr>
                <w:i/>
                <w:iCs/>
                <w:noProof/>
              </w:rPr>
              <w:t>0</w:t>
            </w:r>
          </w:p>
          <w:p w14:paraId="0EBD9A74" w14:textId="799E1453" w:rsidR="2C37EBCE" w:rsidRPr="00726D52" w:rsidRDefault="0023248E" w:rsidP="009502B2">
            <w:pPr>
              <w:pStyle w:val="ListParagraph"/>
              <w:numPr>
                <w:ilvl w:val="0"/>
                <w:numId w:val="36"/>
              </w:numPr>
              <w:spacing w:after="0"/>
              <w:jc w:val="left"/>
              <w:rPr>
                <w:noProof/>
              </w:rPr>
            </w:pPr>
            <w:r w:rsidRPr="00726D52">
              <w:rPr>
                <w:i/>
                <w:iCs/>
                <w:noProof/>
              </w:rPr>
              <w:t>143.3</w:t>
            </w:r>
          </w:p>
        </w:tc>
      </w:tr>
      <w:tr w:rsidR="2C37EBCE" w:rsidRPr="00726D52" w14:paraId="72F41552" w14:textId="77777777" w:rsidTr="2C37EBCE">
        <w:trPr>
          <w:trHeight w:val="270"/>
        </w:trPr>
        <w:tc>
          <w:tcPr>
            <w:tcW w:w="4695" w:type="dxa"/>
            <w:tcBorders>
              <w:top w:val="single" w:sz="6" w:space="0" w:color="auto"/>
              <w:left w:val="single" w:sz="6" w:space="0" w:color="auto"/>
              <w:bottom w:val="single" w:sz="6" w:space="0" w:color="auto"/>
              <w:right w:val="single" w:sz="6" w:space="0" w:color="auto"/>
            </w:tcBorders>
            <w:tcMar>
              <w:left w:w="90" w:type="dxa"/>
              <w:right w:w="90" w:type="dxa"/>
            </w:tcMar>
          </w:tcPr>
          <w:p w14:paraId="113264AD" w14:textId="3088D78E" w:rsidR="2C37EBCE" w:rsidRPr="00726D52" w:rsidRDefault="2C37EBCE" w:rsidP="2C37EBCE">
            <w:pPr>
              <w:spacing w:after="0"/>
              <w:rPr>
                <w:noProof/>
              </w:rPr>
            </w:pPr>
            <w:r w:rsidRPr="00726D52">
              <w:rPr>
                <w:noProof/>
              </w:rPr>
              <w:t>Expected yearly recurring costs</w:t>
            </w:r>
            <w:r w:rsidRPr="00726D52">
              <w:rPr>
                <w:noProof/>
              </w:rPr>
              <w:br/>
              <w:t>(in million EUR)</w:t>
            </w:r>
          </w:p>
          <w:p w14:paraId="12AB853C" w14:textId="0D5A35F3" w:rsidR="2C37EBCE" w:rsidRPr="00726D52" w:rsidRDefault="2C37EBCE" w:rsidP="009502B2">
            <w:pPr>
              <w:pStyle w:val="ListParagraph"/>
              <w:numPr>
                <w:ilvl w:val="0"/>
                <w:numId w:val="37"/>
              </w:numPr>
              <w:spacing w:after="0"/>
              <w:rPr>
                <w:noProof/>
              </w:rPr>
            </w:pPr>
            <w:r w:rsidRPr="00726D52">
              <w:rPr>
                <w:i/>
                <w:iCs/>
                <w:noProof/>
              </w:rPr>
              <w:t>Policy option 1.1</w:t>
            </w:r>
          </w:p>
          <w:p w14:paraId="107AE25A" w14:textId="365499FC" w:rsidR="2C37EBCE" w:rsidRPr="00726D52" w:rsidRDefault="2C37EBCE" w:rsidP="009502B2">
            <w:pPr>
              <w:pStyle w:val="ListParagraph"/>
              <w:numPr>
                <w:ilvl w:val="0"/>
                <w:numId w:val="37"/>
              </w:numPr>
              <w:spacing w:after="0"/>
              <w:rPr>
                <w:noProof/>
              </w:rPr>
            </w:pPr>
            <w:r w:rsidRPr="00726D52">
              <w:rPr>
                <w:i/>
                <w:iCs/>
                <w:noProof/>
              </w:rPr>
              <w:t>Policy option 1.3</w:t>
            </w:r>
          </w:p>
          <w:p w14:paraId="40C8DBC9" w14:textId="3F2231FA" w:rsidR="2C37EBCE" w:rsidRPr="00726D52" w:rsidRDefault="2C37EBCE" w:rsidP="009502B2">
            <w:pPr>
              <w:pStyle w:val="ListParagraph"/>
              <w:numPr>
                <w:ilvl w:val="0"/>
                <w:numId w:val="37"/>
              </w:numPr>
              <w:spacing w:after="0"/>
              <w:rPr>
                <w:noProof/>
              </w:rPr>
            </w:pPr>
            <w:r w:rsidRPr="00726D52">
              <w:rPr>
                <w:i/>
                <w:iCs/>
                <w:noProof/>
              </w:rPr>
              <w:t>Policy option 1.4</w:t>
            </w:r>
          </w:p>
          <w:p w14:paraId="7FAFB350" w14:textId="7C2CDE16" w:rsidR="2C37EBCE" w:rsidRPr="00726D52" w:rsidRDefault="2C37EBCE" w:rsidP="009502B2">
            <w:pPr>
              <w:pStyle w:val="ListParagraph"/>
              <w:numPr>
                <w:ilvl w:val="0"/>
                <w:numId w:val="37"/>
              </w:numPr>
              <w:spacing w:after="0"/>
              <w:rPr>
                <w:noProof/>
              </w:rPr>
            </w:pPr>
            <w:r w:rsidRPr="00726D52">
              <w:rPr>
                <w:i/>
                <w:iCs/>
                <w:noProof/>
              </w:rPr>
              <w:t>Policy option 2.1</w:t>
            </w:r>
          </w:p>
          <w:p w14:paraId="2F30908F" w14:textId="0E7906E0" w:rsidR="2C37EBCE" w:rsidRPr="00726D52" w:rsidRDefault="2C37EBCE" w:rsidP="009502B2">
            <w:pPr>
              <w:pStyle w:val="ListParagraph"/>
              <w:numPr>
                <w:ilvl w:val="0"/>
                <w:numId w:val="37"/>
              </w:numPr>
              <w:spacing w:after="0"/>
              <w:rPr>
                <w:noProof/>
              </w:rPr>
            </w:pPr>
            <w:r w:rsidRPr="00726D52">
              <w:rPr>
                <w:i/>
                <w:iCs/>
                <w:noProof/>
              </w:rPr>
              <w:lastRenderedPageBreak/>
              <w:t>Policy option 2.2</w:t>
            </w:r>
          </w:p>
          <w:p w14:paraId="12D5D0D1" w14:textId="5CD798B2" w:rsidR="2C37EBCE" w:rsidRPr="00726D52" w:rsidRDefault="2C37EBCE" w:rsidP="009502B2">
            <w:pPr>
              <w:pStyle w:val="ListParagraph"/>
              <w:numPr>
                <w:ilvl w:val="0"/>
                <w:numId w:val="37"/>
              </w:numPr>
              <w:spacing w:after="0"/>
              <w:rPr>
                <w:noProof/>
              </w:rPr>
            </w:pPr>
            <w:r w:rsidRPr="00726D52">
              <w:rPr>
                <w:i/>
                <w:iCs/>
                <w:noProof/>
              </w:rPr>
              <w:t>Policy option 2.3</w:t>
            </w:r>
          </w:p>
          <w:p w14:paraId="40F6BE41" w14:textId="08EC6553" w:rsidR="2C37EBCE" w:rsidRPr="00726D52" w:rsidRDefault="2C37EBCE" w:rsidP="009502B2">
            <w:pPr>
              <w:pStyle w:val="ListParagraph"/>
              <w:numPr>
                <w:ilvl w:val="0"/>
                <w:numId w:val="37"/>
              </w:numPr>
              <w:spacing w:after="0"/>
              <w:rPr>
                <w:noProof/>
              </w:rPr>
            </w:pPr>
            <w:r w:rsidRPr="00726D52">
              <w:rPr>
                <w:i/>
                <w:iCs/>
                <w:noProof/>
              </w:rPr>
              <w:t>Policy option 2.4</w:t>
            </w:r>
          </w:p>
          <w:p w14:paraId="262FB1C2" w14:textId="4E494F8B" w:rsidR="2C37EBCE" w:rsidRPr="00726D52" w:rsidRDefault="2C37EBCE" w:rsidP="2C37EBCE">
            <w:pPr>
              <w:spacing w:after="0"/>
              <w:ind w:left="720"/>
              <w:rPr>
                <w:noProof/>
              </w:rPr>
            </w:pPr>
          </w:p>
        </w:tc>
        <w:tc>
          <w:tcPr>
            <w:tcW w:w="2055" w:type="dxa"/>
            <w:tcBorders>
              <w:top w:val="single" w:sz="6" w:space="0" w:color="auto"/>
              <w:left w:val="single" w:sz="6" w:space="0" w:color="auto"/>
              <w:bottom w:val="single" w:sz="6" w:space="0" w:color="auto"/>
              <w:right w:val="single" w:sz="6" w:space="0" w:color="auto"/>
            </w:tcBorders>
            <w:tcMar>
              <w:left w:w="90" w:type="dxa"/>
              <w:right w:w="90" w:type="dxa"/>
            </w:tcMar>
          </w:tcPr>
          <w:p w14:paraId="1EC07BD5" w14:textId="2E3538A9" w:rsidR="2C37EBCE" w:rsidRPr="00726D52" w:rsidRDefault="2C37EBCE" w:rsidP="2C37EBCE">
            <w:pPr>
              <w:spacing w:after="0"/>
              <w:rPr>
                <w:noProof/>
              </w:rPr>
            </w:pPr>
            <w:r w:rsidRPr="00726D52">
              <w:rPr>
                <w:b/>
                <w:bCs/>
                <w:i/>
                <w:iCs/>
                <w:noProof/>
              </w:rPr>
              <w:lastRenderedPageBreak/>
              <w:t>47.9</w:t>
            </w:r>
            <w:r w:rsidRPr="00726D52">
              <w:rPr>
                <w:noProof/>
              </w:rPr>
              <w:br/>
            </w:r>
          </w:p>
          <w:p w14:paraId="12B68CA5" w14:textId="0729CF5B" w:rsidR="2C37EBCE" w:rsidRPr="00726D52" w:rsidRDefault="2C37EBCE" w:rsidP="009502B2">
            <w:pPr>
              <w:pStyle w:val="ListParagraph"/>
              <w:numPr>
                <w:ilvl w:val="0"/>
                <w:numId w:val="37"/>
              </w:numPr>
              <w:spacing w:after="0"/>
              <w:rPr>
                <w:noProof/>
              </w:rPr>
            </w:pPr>
            <w:r w:rsidRPr="00726D52">
              <w:rPr>
                <w:i/>
                <w:iCs/>
                <w:noProof/>
              </w:rPr>
              <w:t>16.2</w:t>
            </w:r>
          </w:p>
          <w:p w14:paraId="4700A719" w14:textId="628ECA12" w:rsidR="2C37EBCE" w:rsidRPr="00726D52" w:rsidRDefault="2C37EBCE" w:rsidP="009502B2">
            <w:pPr>
              <w:pStyle w:val="ListParagraph"/>
              <w:numPr>
                <w:ilvl w:val="0"/>
                <w:numId w:val="37"/>
              </w:numPr>
              <w:spacing w:after="0"/>
              <w:rPr>
                <w:noProof/>
              </w:rPr>
            </w:pPr>
            <w:r w:rsidRPr="00726D52">
              <w:rPr>
                <w:i/>
                <w:iCs/>
                <w:noProof/>
              </w:rPr>
              <w:t>0</w:t>
            </w:r>
          </w:p>
          <w:p w14:paraId="5D4AF3A5" w14:textId="6425DBC4" w:rsidR="2C37EBCE" w:rsidRPr="00726D52" w:rsidRDefault="2C37EBCE" w:rsidP="009502B2">
            <w:pPr>
              <w:pStyle w:val="ListParagraph"/>
              <w:numPr>
                <w:ilvl w:val="0"/>
                <w:numId w:val="37"/>
              </w:numPr>
              <w:spacing w:after="0"/>
              <w:rPr>
                <w:noProof/>
              </w:rPr>
            </w:pPr>
            <w:r w:rsidRPr="00726D52">
              <w:rPr>
                <w:i/>
                <w:iCs/>
                <w:noProof/>
              </w:rPr>
              <w:t>20</w:t>
            </w:r>
          </w:p>
          <w:p w14:paraId="10CF9330" w14:textId="63991F7C" w:rsidR="2C37EBCE" w:rsidRPr="00726D52" w:rsidRDefault="2C37EBCE" w:rsidP="009502B2">
            <w:pPr>
              <w:pStyle w:val="ListParagraph"/>
              <w:numPr>
                <w:ilvl w:val="0"/>
                <w:numId w:val="37"/>
              </w:numPr>
              <w:spacing w:after="0"/>
              <w:rPr>
                <w:noProof/>
              </w:rPr>
            </w:pPr>
            <w:r w:rsidRPr="00726D52">
              <w:rPr>
                <w:i/>
                <w:iCs/>
                <w:noProof/>
              </w:rPr>
              <w:t>0.3</w:t>
            </w:r>
          </w:p>
          <w:p w14:paraId="0B06A0A8" w14:textId="4E7B2916" w:rsidR="2C37EBCE" w:rsidRPr="00726D52" w:rsidRDefault="2C37EBCE" w:rsidP="009502B2">
            <w:pPr>
              <w:pStyle w:val="ListParagraph"/>
              <w:numPr>
                <w:ilvl w:val="0"/>
                <w:numId w:val="37"/>
              </w:numPr>
              <w:spacing w:after="0"/>
              <w:rPr>
                <w:noProof/>
              </w:rPr>
            </w:pPr>
            <w:r w:rsidRPr="00726D52">
              <w:rPr>
                <w:i/>
                <w:iCs/>
                <w:noProof/>
              </w:rPr>
              <w:lastRenderedPageBreak/>
              <w:t>0</w:t>
            </w:r>
          </w:p>
          <w:p w14:paraId="619C3AE8" w14:textId="6313A781" w:rsidR="2C37EBCE" w:rsidRPr="00726D52" w:rsidRDefault="2C37EBCE" w:rsidP="009502B2">
            <w:pPr>
              <w:pStyle w:val="ListParagraph"/>
              <w:numPr>
                <w:ilvl w:val="0"/>
                <w:numId w:val="37"/>
              </w:numPr>
              <w:spacing w:after="0"/>
              <w:rPr>
                <w:noProof/>
              </w:rPr>
            </w:pPr>
            <w:r w:rsidRPr="00726D52">
              <w:rPr>
                <w:i/>
                <w:iCs/>
                <w:noProof/>
              </w:rPr>
              <w:t>0</w:t>
            </w:r>
          </w:p>
          <w:p w14:paraId="310C0CD6" w14:textId="0DF86815" w:rsidR="2C37EBCE" w:rsidRPr="00726D52" w:rsidRDefault="2C37EBCE" w:rsidP="009502B2">
            <w:pPr>
              <w:pStyle w:val="ListParagraph"/>
              <w:numPr>
                <w:ilvl w:val="0"/>
                <w:numId w:val="37"/>
              </w:numPr>
              <w:spacing w:after="0"/>
              <w:rPr>
                <w:noProof/>
              </w:rPr>
            </w:pPr>
            <w:r w:rsidRPr="00726D52">
              <w:rPr>
                <w:i/>
                <w:iCs/>
                <w:noProof/>
              </w:rPr>
              <w:t>11.4</w:t>
            </w:r>
          </w:p>
        </w:tc>
        <w:tc>
          <w:tcPr>
            <w:tcW w:w="2055" w:type="dxa"/>
            <w:tcBorders>
              <w:top w:val="single" w:sz="6" w:space="0" w:color="auto"/>
              <w:left w:val="single" w:sz="6" w:space="0" w:color="auto"/>
              <w:bottom w:val="single" w:sz="6" w:space="0" w:color="auto"/>
              <w:right w:val="single" w:sz="6" w:space="0" w:color="auto"/>
            </w:tcBorders>
            <w:tcMar>
              <w:left w:w="90" w:type="dxa"/>
              <w:right w:w="90" w:type="dxa"/>
            </w:tcMar>
          </w:tcPr>
          <w:p w14:paraId="5414DB96" w14:textId="3BF042CC" w:rsidR="2C37EBCE" w:rsidRPr="00726D52" w:rsidRDefault="00672993" w:rsidP="2C37EBCE">
            <w:pPr>
              <w:spacing w:after="0"/>
              <w:rPr>
                <w:noProof/>
              </w:rPr>
            </w:pPr>
            <w:r w:rsidRPr="00726D52">
              <w:rPr>
                <w:b/>
                <w:bCs/>
                <w:i/>
                <w:iCs/>
                <w:noProof/>
              </w:rPr>
              <w:lastRenderedPageBreak/>
              <w:t>77.3</w:t>
            </w:r>
            <w:r w:rsidR="2C37EBCE" w:rsidRPr="00726D52">
              <w:rPr>
                <w:noProof/>
              </w:rPr>
              <w:br/>
            </w:r>
          </w:p>
          <w:p w14:paraId="24CB1866" w14:textId="20E362C0" w:rsidR="2C37EBCE" w:rsidRPr="00726D52" w:rsidRDefault="2C37EBCE" w:rsidP="009502B2">
            <w:pPr>
              <w:pStyle w:val="ListParagraph"/>
              <w:numPr>
                <w:ilvl w:val="0"/>
                <w:numId w:val="37"/>
              </w:numPr>
              <w:spacing w:after="0"/>
              <w:rPr>
                <w:noProof/>
              </w:rPr>
            </w:pPr>
            <w:r w:rsidRPr="00726D52">
              <w:rPr>
                <w:i/>
                <w:iCs/>
                <w:noProof/>
              </w:rPr>
              <w:t>12.2</w:t>
            </w:r>
          </w:p>
          <w:p w14:paraId="7541416C" w14:textId="7138AE4B" w:rsidR="2C37EBCE" w:rsidRPr="00726D52" w:rsidRDefault="2C37EBCE" w:rsidP="009502B2">
            <w:pPr>
              <w:pStyle w:val="ListParagraph"/>
              <w:numPr>
                <w:ilvl w:val="0"/>
                <w:numId w:val="37"/>
              </w:numPr>
              <w:spacing w:after="0"/>
              <w:rPr>
                <w:noProof/>
              </w:rPr>
            </w:pPr>
            <w:r w:rsidRPr="00726D52">
              <w:rPr>
                <w:i/>
                <w:iCs/>
                <w:noProof/>
              </w:rPr>
              <w:t>1</w:t>
            </w:r>
          </w:p>
          <w:p w14:paraId="5E231E9E" w14:textId="49681705" w:rsidR="2C37EBCE" w:rsidRPr="00726D52" w:rsidRDefault="2C37EBCE" w:rsidP="009502B2">
            <w:pPr>
              <w:pStyle w:val="ListParagraph"/>
              <w:numPr>
                <w:ilvl w:val="0"/>
                <w:numId w:val="37"/>
              </w:numPr>
              <w:spacing w:after="0"/>
              <w:rPr>
                <w:noProof/>
              </w:rPr>
            </w:pPr>
            <w:r w:rsidRPr="00726D52">
              <w:rPr>
                <w:i/>
                <w:iCs/>
                <w:noProof/>
              </w:rPr>
              <w:t>8</w:t>
            </w:r>
          </w:p>
          <w:p w14:paraId="486E2244" w14:textId="76168443" w:rsidR="2C37EBCE" w:rsidRPr="00726D52" w:rsidRDefault="2C37EBCE" w:rsidP="009502B2">
            <w:pPr>
              <w:pStyle w:val="ListParagraph"/>
              <w:numPr>
                <w:ilvl w:val="0"/>
                <w:numId w:val="37"/>
              </w:numPr>
              <w:spacing w:after="0"/>
              <w:rPr>
                <w:noProof/>
              </w:rPr>
            </w:pPr>
            <w:r w:rsidRPr="00726D52">
              <w:rPr>
                <w:i/>
                <w:iCs/>
                <w:noProof/>
              </w:rPr>
              <w:t>5.3</w:t>
            </w:r>
          </w:p>
          <w:p w14:paraId="074C66DF" w14:textId="5839FF7E" w:rsidR="2C37EBCE" w:rsidRPr="00726D52" w:rsidRDefault="2C37EBCE" w:rsidP="009502B2">
            <w:pPr>
              <w:pStyle w:val="ListParagraph"/>
              <w:numPr>
                <w:ilvl w:val="0"/>
                <w:numId w:val="37"/>
              </w:numPr>
              <w:spacing w:after="0"/>
              <w:rPr>
                <w:noProof/>
              </w:rPr>
            </w:pPr>
            <w:r w:rsidRPr="00726D52">
              <w:rPr>
                <w:i/>
                <w:iCs/>
                <w:noProof/>
              </w:rPr>
              <w:lastRenderedPageBreak/>
              <w:t>0</w:t>
            </w:r>
          </w:p>
          <w:p w14:paraId="028EE5DC" w14:textId="248B6130" w:rsidR="2C37EBCE" w:rsidRPr="00726D52" w:rsidRDefault="2C37EBCE" w:rsidP="009502B2">
            <w:pPr>
              <w:pStyle w:val="ListParagraph"/>
              <w:numPr>
                <w:ilvl w:val="0"/>
                <w:numId w:val="37"/>
              </w:numPr>
              <w:spacing w:after="0"/>
              <w:rPr>
                <w:noProof/>
              </w:rPr>
            </w:pPr>
            <w:r w:rsidRPr="00726D52">
              <w:rPr>
                <w:i/>
                <w:iCs/>
                <w:noProof/>
              </w:rPr>
              <w:t>11</w:t>
            </w:r>
          </w:p>
          <w:p w14:paraId="2C25FC62" w14:textId="77A5B20C" w:rsidR="2C37EBCE" w:rsidRPr="00726D52" w:rsidRDefault="0023248E" w:rsidP="009502B2">
            <w:pPr>
              <w:pStyle w:val="ListParagraph"/>
              <w:numPr>
                <w:ilvl w:val="0"/>
                <w:numId w:val="37"/>
              </w:numPr>
              <w:spacing w:after="0"/>
              <w:rPr>
                <w:noProof/>
              </w:rPr>
            </w:pPr>
            <w:r w:rsidRPr="00726D52">
              <w:rPr>
                <w:i/>
                <w:iCs/>
                <w:noProof/>
              </w:rPr>
              <w:t>39.8</w:t>
            </w:r>
          </w:p>
        </w:tc>
      </w:tr>
    </w:tbl>
    <w:p w14:paraId="3A364D50" w14:textId="77777777" w:rsidR="00392B9D" w:rsidRPr="00726D52" w:rsidRDefault="00392B9D" w:rsidP="2C37EBCE">
      <w:pPr>
        <w:rPr>
          <w:rFonts w:eastAsia="Times New Roman"/>
          <w:noProof/>
          <w:color w:val="000000" w:themeColor="text1"/>
        </w:rPr>
      </w:pPr>
    </w:p>
    <w:p w14:paraId="1BEB3331" w14:textId="3035B771"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combined package entails </w:t>
      </w:r>
      <w:r w:rsidRPr="00726D52">
        <w:rPr>
          <w:rFonts w:eastAsia="Times New Roman"/>
          <w:b/>
          <w:noProof/>
          <w:color w:val="000000" w:themeColor="text1"/>
        </w:rPr>
        <w:t>cumulative investments</w:t>
      </w:r>
      <w:r w:rsidRPr="00726D52">
        <w:rPr>
          <w:rFonts w:eastAsia="Times New Roman"/>
          <w:noProof/>
          <w:color w:val="000000" w:themeColor="text1"/>
        </w:rPr>
        <w:t xml:space="preserve"> at both Member State and EU level, while generating important efficiencies through synergies and rationalised implementation. In particular, overlaps between Policy Options 1.1 (strengthening information exchange) and 1.4 (CMS integration and workflow embedding) create </w:t>
      </w:r>
      <w:r w:rsidRPr="00726D52">
        <w:rPr>
          <w:rFonts w:eastAsia="Times New Roman"/>
          <w:b/>
          <w:noProof/>
          <w:color w:val="000000" w:themeColor="text1"/>
        </w:rPr>
        <w:t>economies of scale</w:t>
      </w:r>
      <w:r w:rsidRPr="00726D52">
        <w:rPr>
          <w:rFonts w:eastAsia="Times New Roman"/>
          <w:noProof/>
          <w:color w:val="000000" w:themeColor="text1"/>
        </w:rPr>
        <w:t xml:space="preserve"> estimated at approximately EUR 30 million, reducing overall expenditure compared to a purely additive approach.</w:t>
      </w:r>
    </w:p>
    <w:p w14:paraId="293FC896" w14:textId="15C77A91"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 </w:t>
      </w:r>
      <w:r w:rsidRPr="00726D52">
        <w:rPr>
          <w:rFonts w:eastAsia="Times New Roman"/>
          <w:b/>
          <w:noProof/>
          <w:color w:val="000000" w:themeColor="text1"/>
        </w:rPr>
        <w:t>one-off costs</w:t>
      </w:r>
      <w:r w:rsidRPr="00726D52">
        <w:rPr>
          <w:rFonts w:eastAsia="Times New Roman"/>
          <w:noProof/>
          <w:color w:val="000000" w:themeColor="text1"/>
        </w:rPr>
        <w:t xml:space="preserve"> reflect initial investments in system upgrades, deployment of technical infrastructure, training, and integration of digital and analytical tools. For Member States, these are estimated at EUR 254.85 million, while for Europol they amount to EUR </w:t>
      </w:r>
      <w:r w:rsidR="00D91D51" w:rsidRPr="00726D52">
        <w:rPr>
          <w:rFonts w:eastAsia="Times New Roman"/>
          <w:noProof/>
          <w:color w:val="000000" w:themeColor="text1"/>
        </w:rPr>
        <w:t>237</w:t>
      </w:r>
      <w:r w:rsidR="0071478B" w:rsidRPr="00726D52">
        <w:rPr>
          <w:rFonts w:eastAsia="Times New Roman"/>
          <w:noProof/>
          <w:color w:val="000000" w:themeColor="text1"/>
        </w:rPr>
        <w:t xml:space="preserve">.3 </w:t>
      </w:r>
      <w:r w:rsidRPr="00726D52">
        <w:rPr>
          <w:rFonts w:eastAsia="Times New Roman"/>
          <w:noProof/>
          <w:color w:val="000000" w:themeColor="text1"/>
        </w:rPr>
        <w:t xml:space="preserve">million. </w:t>
      </w:r>
      <w:r w:rsidRPr="00726D52">
        <w:rPr>
          <w:rFonts w:eastAsia="Times New Roman"/>
          <w:b/>
          <w:noProof/>
          <w:color w:val="000000" w:themeColor="text1"/>
        </w:rPr>
        <w:t>Recurring annual costs</w:t>
      </w:r>
      <w:r w:rsidRPr="00726D52">
        <w:rPr>
          <w:rFonts w:eastAsia="Times New Roman"/>
          <w:noProof/>
          <w:color w:val="000000" w:themeColor="text1"/>
        </w:rPr>
        <w:t xml:space="preserve"> cover ongoing maintenance, operational support, staffing, and continuous improvements to systems and services, amounting to EUR 47.9 million for Member States and EUR </w:t>
      </w:r>
      <w:r w:rsidR="0071478B" w:rsidRPr="00726D52">
        <w:rPr>
          <w:rFonts w:eastAsia="Times New Roman"/>
          <w:noProof/>
          <w:color w:val="000000" w:themeColor="text1"/>
        </w:rPr>
        <w:t xml:space="preserve">77.3 </w:t>
      </w:r>
      <w:r w:rsidRPr="00726D52">
        <w:rPr>
          <w:rFonts w:eastAsia="Times New Roman"/>
          <w:noProof/>
          <w:color w:val="000000" w:themeColor="text1"/>
        </w:rPr>
        <w:t>million for Europol.</w:t>
      </w:r>
    </w:p>
    <w:p w14:paraId="1D1FEC38" w14:textId="2A2F3766"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These figures represent a </w:t>
      </w:r>
      <w:r w:rsidRPr="00726D52">
        <w:rPr>
          <w:rFonts w:eastAsia="Times New Roman"/>
          <w:b/>
          <w:noProof/>
          <w:color w:val="000000" w:themeColor="text1"/>
        </w:rPr>
        <w:t>consolidated and optimised implementation</w:t>
      </w:r>
      <w:r w:rsidRPr="00726D52">
        <w:rPr>
          <w:rFonts w:eastAsia="Times New Roman"/>
          <w:noProof/>
          <w:color w:val="000000" w:themeColor="text1"/>
        </w:rPr>
        <w:t xml:space="preserve"> of the preferred options, ensuring that operational impact is maximised while financial burdens are contained. Importantly, the investments are expected to generate </w:t>
      </w:r>
      <w:r w:rsidRPr="00726D52">
        <w:rPr>
          <w:rFonts w:eastAsia="Times New Roman"/>
          <w:b/>
          <w:noProof/>
          <w:color w:val="000000" w:themeColor="text1"/>
        </w:rPr>
        <w:t>significant efficiency gains</w:t>
      </w:r>
      <w:r w:rsidRPr="00726D52">
        <w:rPr>
          <w:rFonts w:eastAsia="Times New Roman"/>
          <w:noProof/>
          <w:color w:val="000000" w:themeColor="text1"/>
        </w:rPr>
        <w:t>: improved interoperability, automation of data flows, and enhanced analytical capacity will reduce time and resources needed for cross-border investigations. Over time, these operational efficiencies are likely to offset a portion of the recurring costs, while also increasing the overall return on investment in terms of faster investigations, better intelligence, and improved EU internal security outcomes.</w:t>
      </w:r>
    </w:p>
    <w:p w14:paraId="5FFB9286" w14:textId="402A4453" w:rsidR="00181F4A" w:rsidRPr="00726D52" w:rsidRDefault="0D9886C2" w:rsidP="2C37EBCE">
      <w:pPr>
        <w:rPr>
          <w:rFonts w:eastAsia="Times New Roman"/>
          <w:noProof/>
          <w:color w:val="000000" w:themeColor="text1"/>
        </w:rPr>
      </w:pPr>
      <w:r w:rsidRPr="00726D52">
        <w:rPr>
          <w:rFonts w:eastAsia="Times New Roman"/>
          <w:noProof/>
          <w:color w:val="000000" w:themeColor="text1"/>
        </w:rPr>
        <w:t>Overall, the cost estimates demonstrate that the package is financially feasible, proportionate, and justified by the expected operational and strategic benefits for both Member States and Europol.</w:t>
      </w:r>
    </w:p>
    <w:p w14:paraId="3A240A36" w14:textId="48F59CBC" w:rsidR="00181F4A" w:rsidRPr="00726D52" w:rsidRDefault="0D9886C2" w:rsidP="009502B2">
      <w:pPr>
        <w:pStyle w:val="Heading4"/>
        <w:numPr>
          <w:ilvl w:val="0"/>
          <w:numId w:val="47"/>
        </w:numPr>
        <w:ind w:left="480" w:hanging="480"/>
        <w:rPr>
          <w:noProof/>
          <w:color w:val="000000" w:themeColor="text1"/>
          <w:szCs w:val="24"/>
        </w:rPr>
      </w:pPr>
      <w:r w:rsidRPr="00726D52">
        <w:rPr>
          <w:b/>
          <w:noProof/>
          <w:color w:val="000000" w:themeColor="text1"/>
          <w:szCs w:val="24"/>
        </w:rPr>
        <w:t>Feasibility (+)</w:t>
      </w:r>
    </w:p>
    <w:p w14:paraId="6FDC4769" w14:textId="34F46775"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All preferred options are individually </w:t>
      </w:r>
      <w:r w:rsidRPr="00726D52">
        <w:rPr>
          <w:rStyle w:val="Strong"/>
          <w:rFonts w:eastAsia="Times New Roman"/>
          <w:noProof/>
          <w:color w:val="000000" w:themeColor="text1"/>
        </w:rPr>
        <w:t>technically feasible</w:t>
      </w:r>
      <w:r w:rsidRPr="00726D52">
        <w:rPr>
          <w:rFonts w:eastAsia="Times New Roman"/>
          <w:noProof/>
          <w:color w:val="000000" w:themeColor="text1"/>
        </w:rPr>
        <w:t xml:space="preserve">, as they build on existing legal frameworks, operational practices, and IT infrastructures at both EU and national level. When combined, they form a </w:t>
      </w:r>
      <w:r w:rsidRPr="00726D52">
        <w:rPr>
          <w:rStyle w:val="Strong"/>
          <w:rFonts w:eastAsia="Times New Roman"/>
          <w:noProof/>
          <w:color w:val="000000" w:themeColor="text1"/>
        </w:rPr>
        <w:t>reinforced and coherent technical package</w:t>
      </w:r>
      <w:r w:rsidRPr="00726D52">
        <w:rPr>
          <w:rFonts w:eastAsia="Times New Roman"/>
          <w:noProof/>
          <w:color w:val="000000" w:themeColor="text1"/>
        </w:rPr>
        <w:t xml:space="preserve">: increased data availability and streamlined categorisation (1.1, 2.1, 2.2, 1.4) feed directly into strengthened inter-agency and prosecutorial cooperation (1.3, 2.3), while the EU Police Cloud (2.4) provides the </w:t>
      </w:r>
      <w:r w:rsidRPr="00726D52">
        <w:rPr>
          <w:rStyle w:val="Strong"/>
          <w:rFonts w:eastAsia="Times New Roman"/>
          <w:noProof/>
          <w:color w:val="000000" w:themeColor="text1"/>
        </w:rPr>
        <w:t>scalable digital infrastructure</w:t>
      </w:r>
      <w:r w:rsidRPr="00726D52">
        <w:rPr>
          <w:rFonts w:eastAsia="Times New Roman"/>
          <w:noProof/>
          <w:color w:val="000000" w:themeColor="text1"/>
        </w:rPr>
        <w:t xml:space="preserve"> necessary to support expanded analytical use, advanced data matching, and secure cross-border workflows. The approach relies primarily on </w:t>
      </w:r>
      <w:r w:rsidRPr="00726D52">
        <w:rPr>
          <w:rStyle w:val="Strong"/>
          <w:rFonts w:eastAsia="Times New Roman"/>
          <w:noProof/>
          <w:color w:val="000000" w:themeColor="text1"/>
        </w:rPr>
        <w:t>upgrading and integrating existing systems</w:t>
      </w:r>
      <w:r w:rsidRPr="00726D52">
        <w:rPr>
          <w:rFonts w:eastAsia="Times New Roman"/>
          <w:noProof/>
          <w:color w:val="000000" w:themeColor="text1"/>
        </w:rPr>
        <w:t xml:space="preserve">, rather than creating entirely new architectures, ensuring continuity, manageability, and reduced implementation risk. Synergies with established EU technological frameworks, including those developed by </w:t>
      </w:r>
      <w:r w:rsidRPr="00726D52">
        <w:rPr>
          <w:rStyle w:val="Strong"/>
          <w:rFonts w:eastAsia="Times New Roman"/>
          <w:noProof/>
          <w:color w:val="000000" w:themeColor="text1"/>
        </w:rPr>
        <w:t>eu-LISA</w:t>
      </w:r>
      <w:r w:rsidRPr="00726D52">
        <w:rPr>
          <w:rFonts w:eastAsia="Times New Roman"/>
          <w:noProof/>
          <w:color w:val="000000" w:themeColor="text1"/>
        </w:rPr>
        <w:t xml:space="preserve">, further enhance feasibility by leveraging proven interoperability standards, secure authentication mechanisms, and shared infrastructure components. Collectively, these measures generate </w:t>
      </w:r>
      <w:r w:rsidRPr="00726D52">
        <w:rPr>
          <w:rStyle w:val="Strong"/>
          <w:rFonts w:eastAsia="Times New Roman"/>
          <w:noProof/>
          <w:color w:val="000000" w:themeColor="text1"/>
        </w:rPr>
        <w:t>cumulative efficiencies</w:t>
      </w:r>
      <w:r w:rsidRPr="00726D52">
        <w:rPr>
          <w:rFonts w:eastAsia="Times New Roman"/>
          <w:noProof/>
          <w:color w:val="000000" w:themeColor="text1"/>
        </w:rPr>
        <w:t>, enabling the package to deliver greater operational impact than the sum of individual options.</w:t>
      </w:r>
    </w:p>
    <w:p w14:paraId="27B3B8B1" w14:textId="0CE4790A" w:rsidR="00181F4A" w:rsidRPr="00726D52" w:rsidRDefault="0D9886C2" w:rsidP="2C37EBCE">
      <w:pPr>
        <w:rPr>
          <w:rFonts w:eastAsia="Times New Roman"/>
          <w:noProof/>
          <w:color w:val="000000" w:themeColor="text1"/>
        </w:rPr>
      </w:pPr>
      <w:r w:rsidRPr="00726D52">
        <w:rPr>
          <w:rFonts w:eastAsia="Times New Roman"/>
          <w:noProof/>
          <w:color w:val="000000" w:themeColor="text1"/>
        </w:rPr>
        <w:lastRenderedPageBreak/>
        <w:t xml:space="preserve">From a </w:t>
      </w:r>
      <w:r w:rsidRPr="00726D52">
        <w:rPr>
          <w:rStyle w:val="Strong"/>
          <w:rFonts w:eastAsia="Times New Roman"/>
          <w:noProof/>
          <w:color w:val="000000" w:themeColor="text1"/>
        </w:rPr>
        <w:t>political feasibility</w:t>
      </w:r>
      <w:r w:rsidRPr="00726D52">
        <w:rPr>
          <w:rFonts w:eastAsia="Times New Roman"/>
          <w:noProof/>
          <w:color w:val="000000" w:themeColor="text1"/>
        </w:rPr>
        <w:t xml:space="preserve"> perspective, each option is achievable when considered individually, as all are anchored in existing cooperation frameworks and respect the division of competences between the Union and Member States. Certain elements, notably strengthened EU-level coordination, DSC reform and the structural reinforcement of Europol’s role vis-à-vis the EPPO, may encounter reservations from stakeholders traditionally cautious about deeper integration. However, the package remains proportionate and firmly rooted in </w:t>
      </w:r>
      <w:r w:rsidRPr="00726D52">
        <w:rPr>
          <w:rStyle w:val="Strong"/>
          <w:rFonts w:eastAsia="Times New Roman"/>
          <w:noProof/>
          <w:color w:val="000000" w:themeColor="text1"/>
        </w:rPr>
        <w:t>operational needs identified by Member States themselves</w:t>
      </w:r>
      <w:r w:rsidRPr="00726D52">
        <w:rPr>
          <w:rFonts w:eastAsia="Times New Roman"/>
          <w:noProof/>
          <w:color w:val="000000" w:themeColor="text1"/>
        </w:rPr>
        <w:t xml:space="preserve">, and its design emphasizes </w:t>
      </w:r>
      <w:r w:rsidRPr="00726D52">
        <w:rPr>
          <w:rStyle w:val="Strong"/>
          <w:rFonts w:eastAsia="Times New Roman"/>
          <w:noProof/>
          <w:color w:val="000000" w:themeColor="text1"/>
        </w:rPr>
        <w:t>support rather than substitution</w:t>
      </w:r>
      <w:r w:rsidRPr="00726D52">
        <w:rPr>
          <w:rFonts w:eastAsia="Times New Roman"/>
          <w:noProof/>
          <w:color w:val="000000" w:themeColor="text1"/>
        </w:rPr>
        <w:t xml:space="preserve"> of national responsibilities. Taken together, the measures form a </w:t>
      </w:r>
      <w:r w:rsidRPr="00726D52">
        <w:rPr>
          <w:rStyle w:val="Strong"/>
          <w:rFonts w:eastAsia="Times New Roman"/>
          <w:noProof/>
          <w:color w:val="000000" w:themeColor="text1"/>
        </w:rPr>
        <w:t>balanced and pragmatic reform</w:t>
      </w:r>
      <w:r w:rsidRPr="00726D52">
        <w:rPr>
          <w:rFonts w:eastAsia="Times New Roman"/>
          <w:noProof/>
          <w:color w:val="000000" w:themeColor="text1"/>
        </w:rPr>
        <w:t>: they enhance EU-level support, strengthen operational effectiveness and provide scalable and resilient tools while preserving Member State decision-making and oversight.</w:t>
      </w:r>
    </w:p>
    <w:p w14:paraId="0A34A5AA" w14:textId="6D70D4DE"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By improving the efficiency and coherence of cross-border investigations, enabling better use of shared intelligence, and embedding upgraded technical infrastructure, the combined package is </w:t>
      </w:r>
      <w:r w:rsidRPr="00726D52">
        <w:rPr>
          <w:rStyle w:val="Strong"/>
          <w:rFonts w:eastAsia="Times New Roman"/>
          <w:noProof/>
          <w:color w:val="000000" w:themeColor="text1"/>
        </w:rPr>
        <w:t>technically achievable, politically realistic, and institutionally well grounded</w:t>
      </w:r>
      <w:r w:rsidRPr="00726D52">
        <w:rPr>
          <w:rFonts w:eastAsia="Times New Roman"/>
          <w:noProof/>
          <w:color w:val="000000" w:themeColor="text1"/>
        </w:rPr>
        <w:t xml:space="preserve">. It ensures high data protection standards, maintains Member State control over operational decisions, and creates a sustainable foundation for </w:t>
      </w:r>
      <w:r w:rsidRPr="00726D52">
        <w:rPr>
          <w:rStyle w:val="Strong"/>
          <w:rFonts w:eastAsia="Times New Roman"/>
          <w:noProof/>
          <w:color w:val="000000" w:themeColor="text1"/>
        </w:rPr>
        <w:t>future-proof EU internal security cooperation</w:t>
      </w:r>
      <w:r w:rsidRPr="00726D52">
        <w:rPr>
          <w:rFonts w:eastAsia="Times New Roman"/>
          <w:noProof/>
          <w:color w:val="000000" w:themeColor="text1"/>
        </w:rPr>
        <w:t>.</w:t>
      </w:r>
    </w:p>
    <w:p w14:paraId="7DEBDCB5" w14:textId="702B2D3C" w:rsidR="00181F4A" w:rsidRPr="00726D52" w:rsidRDefault="0D9886C2" w:rsidP="009502B2">
      <w:pPr>
        <w:pStyle w:val="Heading4"/>
        <w:numPr>
          <w:ilvl w:val="0"/>
          <w:numId w:val="47"/>
        </w:numPr>
        <w:ind w:left="480" w:hanging="480"/>
        <w:rPr>
          <w:noProof/>
          <w:color w:val="000000" w:themeColor="text1"/>
          <w:szCs w:val="24"/>
        </w:rPr>
      </w:pPr>
      <w:r w:rsidRPr="00726D52">
        <w:rPr>
          <w:b/>
          <w:noProof/>
          <w:color w:val="000000" w:themeColor="text1"/>
          <w:szCs w:val="24"/>
        </w:rPr>
        <w:t>Impact on digitalisation</w:t>
      </w:r>
      <w:r w:rsidR="00311747" w:rsidRPr="00726D52">
        <w:rPr>
          <w:b/>
          <w:noProof/>
          <w:color w:val="000000" w:themeColor="text1"/>
          <w:szCs w:val="24"/>
        </w:rPr>
        <w:t xml:space="preserve"> </w:t>
      </w:r>
      <w:r w:rsidRPr="00726D52">
        <w:rPr>
          <w:b/>
          <w:noProof/>
          <w:color w:val="000000" w:themeColor="text1"/>
          <w:szCs w:val="24"/>
        </w:rPr>
        <w:t>(++)</w:t>
      </w:r>
    </w:p>
    <w:p w14:paraId="0986E96F" w14:textId="4F56526A" w:rsidR="00181F4A" w:rsidRPr="00726D52" w:rsidRDefault="0D9886C2" w:rsidP="2C37EBCE">
      <w:pPr>
        <w:rPr>
          <w:rFonts w:eastAsia="Times New Roman"/>
          <w:noProof/>
          <w:color w:val="000000" w:themeColor="text1"/>
        </w:rPr>
      </w:pPr>
      <w:r w:rsidRPr="00726D52">
        <w:rPr>
          <w:rFonts w:eastAsia="Times New Roman"/>
          <w:noProof/>
          <w:color w:val="000000" w:themeColor="text1"/>
        </w:rPr>
        <w:t xml:space="preserve">All preferred options with a digital dimension have a </w:t>
      </w:r>
      <w:r w:rsidRPr="00726D52">
        <w:rPr>
          <w:rFonts w:eastAsia="Times New Roman"/>
          <w:b/>
          <w:bCs/>
          <w:noProof/>
          <w:color w:val="000000" w:themeColor="text1"/>
        </w:rPr>
        <w:t>positive impact on the digital transformation of EU law enforcement cooperation</w:t>
      </w:r>
      <w:r w:rsidRPr="00726D52">
        <w:rPr>
          <w:rFonts w:eastAsia="Times New Roman"/>
          <w:noProof/>
          <w:color w:val="000000" w:themeColor="text1"/>
        </w:rPr>
        <w:t xml:space="preserve">, as they modernise data exchange, streamline digital processing frameworks, and strengthen analytical and cloud-based capacities. By improving the automation, standardisation, and interoperability of existing systems, these options reduce manual workflows, accelerate the timeliness of cross-border intelligence sharing, and enhance the reliability and usability of operational data. Combined, their effect is </w:t>
      </w:r>
      <w:r w:rsidRPr="00726D52">
        <w:rPr>
          <w:rFonts w:eastAsia="Times New Roman"/>
          <w:b/>
          <w:bCs/>
          <w:noProof/>
          <w:color w:val="000000" w:themeColor="text1"/>
        </w:rPr>
        <w:t>mutually reinforcing</w:t>
      </w:r>
      <w:r w:rsidRPr="00726D52">
        <w:rPr>
          <w:rFonts w:eastAsia="Times New Roman"/>
          <w:noProof/>
          <w:color w:val="000000" w:themeColor="text1"/>
        </w:rPr>
        <w:t xml:space="preserve">: improved data availability and harmonised rules feed directly into stronger inter-agency and prosecutorial cooperation, while the EU Police Cloud provides a </w:t>
      </w:r>
      <w:r w:rsidRPr="00726D52">
        <w:rPr>
          <w:rFonts w:eastAsia="Times New Roman"/>
          <w:b/>
          <w:bCs/>
          <w:noProof/>
          <w:color w:val="000000" w:themeColor="text1"/>
        </w:rPr>
        <w:t>scalable, secure and resilient digital backbone</w:t>
      </w:r>
      <w:r w:rsidRPr="00726D52">
        <w:rPr>
          <w:rFonts w:eastAsia="Times New Roman"/>
          <w:noProof/>
          <w:color w:val="000000" w:themeColor="text1"/>
        </w:rPr>
        <w:t xml:space="preserve"> capable of supporting advanced analytics, AI-assisted processing and structured cross-border workflows. In addition, the integration of national Case Management Systems with EU-level platforms further embeds digital tools into everyday investigative processes, ensuring that information flows efficiently and systematically without creating new access rights or duplicating datasets. Together, the package accelerates a </w:t>
      </w:r>
      <w:r w:rsidRPr="00726D52">
        <w:rPr>
          <w:rFonts w:eastAsia="Times New Roman"/>
          <w:b/>
          <w:bCs/>
          <w:noProof/>
          <w:color w:val="000000" w:themeColor="text1"/>
        </w:rPr>
        <w:t>coherent and future-proof digitalisation</w:t>
      </w:r>
      <w:r w:rsidRPr="00726D52">
        <w:rPr>
          <w:rFonts w:eastAsia="Times New Roman"/>
          <w:noProof/>
          <w:color w:val="000000" w:themeColor="text1"/>
        </w:rPr>
        <w:t xml:space="preserve"> of EU internal security, enhancing operational effectiveness, fostering standardised digital practices across Member States, and creating a sustainable foundation for next-generation law enforcement capabilities.</w:t>
      </w:r>
    </w:p>
    <w:p w14:paraId="33696CC9" w14:textId="235F51ED" w:rsidR="00181F4A" w:rsidRPr="00726D52" w:rsidRDefault="00181F4A" w:rsidP="2C37EBCE">
      <w:pPr>
        <w:rPr>
          <w:rFonts w:eastAsia="Times New Roman"/>
          <w:noProof/>
          <w:color w:val="000000" w:themeColor="text1"/>
        </w:rPr>
      </w:pPr>
    </w:p>
    <w:p w14:paraId="6D77CC47" w14:textId="6CE459EF" w:rsidR="00181F4A" w:rsidRPr="00726D52" w:rsidRDefault="00181F4A" w:rsidP="2C37EBCE">
      <w:pPr>
        <w:rPr>
          <w:rFonts w:eastAsia="Times New Roman"/>
          <w:noProof/>
          <w:color w:val="000000" w:themeColor="text1"/>
        </w:rPr>
      </w:pPr>
    </w:p>
    <w:p w14:paraId="507317E7" w14:textId="250C8926" w:rsidR="00181F4A" w:rsidRPr="00726D52" w:rsidRDefault="00181F4A" w:rsidP="2C37EBCE">
      <w:pPr>
        <w:spacing w:after="200" w:line="276" w:lineRule="auto"/>
        <w:jc w:val="left"/>
        <w:rPr>
          <w:rFonts w:eastAsia="Times New Roman"/>
          <w:noProof/>
          <w:color w:val="000000" w:themeColor="text1"/>
        </w:rPr>
      </w:pPr>
    </w:p>
    <w:p w14:paraId="6159A3A5" w14:textId="77777777" w:rsidR="001F4154" w:rsidRPr="00726D52" w:rsidRDefault="001F4154">
      <w:pPr>
        <w:spacing w:after="200" w:line="276" w:lineRule="auto"/>
        <w:jc w:val="left"/>
        <w:rPr>
          <w:rFonts w:eastAsia="Times New Roman"/>
          <w:b/>
          <w:bCs/>
          <w:smallCaps/>
          <w:noProof/>
          <w:color w:val="000000" w:themeColor="text1"/>
          <w:sz w:val="32"/>
          <w:szCs w:val="32"/>
        </w:rPr>
      </w:pPr>
      <w:r w:rsidRPr="00726D52">
        <w:rPr>
          <w:bCs/>
          <w:noProof/>
          <w:color w:val="000000" w:themeColor="text1"/>
          <w:szCs w:val="32"/>
        </w:rPr>
        <w:br w:type="page"/>
      </w:r>
    </w:p>
    <w:p w14:paraId="6B7DE058" w14:textId="044A3A8E" w:rsidR="00181F4A" w:rsidRPr="00726D52" w:rsidRDefault="0D9886C2" w:rsidP="2C37EBCE">
      <w:pPr>
        <w:pStyle w:val="AnnexTitle"/>
        <w:rPr>
          <w:noProof/>
        </w:rPr>
      </w:pPr>
      <w:bookmarkStart w:id="39" w:name="_Toc224614054"/>
      <w:r w:rsidRPr="00726D52">
        <w:rPr>
          <w:noProof/>
        </w:rPr>
        <w:lastRenderedPageBreak/>
        <w:t>Annex 6: Monitoring and Evaluation framework for the preferred policy measures</w:t>
      </w:r>
      <w:bookmarkEnd w:id="39"/>
    </w:p>
    <w:p w14:paraId="17AFE790" w14:textId="245B88C1"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Putting in place a structured framework for monitoring and evaluation will help ensure that the strengthened mandate under the preferred policy option translates into measurable operational, strategic and systemic benefits. </w:t>
      </w:r>
      <w:r w:rsidR="0057061F" w:rsidRPr="00726D52">
        <w:rPr>
          <w:rFonts w:eastAsia="Times New Roman"/>
          <w:noProof/>
          <w:color w:val="000000" w:themeColor="text1"/>
        </w:rPr>
        <w:t xml:space="preserve">The framework will establish clear links between the general and specific objectives, operational outputs, expected outcomes and broader impacts, supported by measurable indicators and, where feasible, baselines and targets. </w:t>
      </w:r>
      <w:r w:rsidRPr="00726D52">
        <w:rPr>
          <w:rFonts w:eastAsia="Times New Roman"/>
          <w:noProof/>
          <w:color w:val="000000" w:themeColor="text1"/>
        </w:rPr>
        <w:t>Monitoring arrangements will build on the mechanisms already established under Article 68 of the Europol Regulation, which foresees periodic evaluations of Europol’s impact, effectiveness and efficiency. These mechanisms will be complemented by a refined indicator framework aligned with the specific and operational objectives of the preferred option.</w:t>
      </w:r>
    </w:p>
    <w:p w14:paraId="46CC4329" w14:textId="6AB73985"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Monitoring will focus on outputs (e.g. volume and quality of information exchange, operational support delivered), results (e.g. improved cross-border linkages identified, investigative acceleration), and broader impacts (e.g. strengthened EU-level situational awareness, reduced fragmentation in operational coordination). </w:t>
      </w:r>
      <w:r w:rsidR="004667A6" w:rsidRPr="00726D52">
        <w:rPr>
          <w:rFonts w:eastAsia="Times New Roman"/>
          <w:noProof/>
          <w:color w:val="000000" w:themeColor="text1"/>
        </w:rPr>
        <w:t xml:space="preserve">The framework will distinguish more clearly between outputs (activities and services delivered), outcomes (changes in operational cooperation and investigative effectiveness) and impacts (contribution to EU internal security objectives). </w:t>
      </w:r>
      <w:r w:rsidRPr="00726D52">
        <w:rPr>
          <w:rFonts w:eastAsia="Times New Roman"/>
          <w:noProof/>
          <w:color w:val="000000" w:themeColor="text1"/>
        </w:rPr>
        <w:t>Attention will be given to monitoring data-protection compliance, proportionality and fundamental rights safeguards, especially in relation to large and complex datasets and advanced analytical tools.</w:t>
      </w:r>
    </w:p>
    <w:p w14:paraId="5C83B58C" w14:textId="0DA22B3E"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Core indicators will be drawn from a range of sources, including Europol’s existing reporting instruments, including the Consolidated Annual Activity Report (CAAR); Article 7(11) reporting on Member State information contributions; EDPS supervisory findings and data protection reporting; SIENA Annual Reports; EIS Annual Reports; and Management Board performance indicators.</w:t>
      </w:r>
      <w:r w:rsidR="002E6DDC" w:rsidRPr="00726D52">
        <w:rPr>
          <w:rFonts w:eastAsia="Times New Roman"/>
          <w:noProof/>
          <w:color w:val="000000" w:themeColor="text1"/>
        </w:rPr>
        <w:t xml:space="preserve"> Where possible, indicators will include baseline values and measurable targets to support the assessment of progress over time.</w:t>
      </w:r>
    </w:p>
    <w:p w14:paraId="42170592" w14:textId="49FFC162"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The Commission will monitor implementation through its representation on the Management Board, structured exchanges with Member States and Europol, and consultation with oversight bodies, including the EDPS. Data will also be drawn from SOCTA cycles, EMPACT performance reporting and, where appropriate, targeted stakeholder surveys.</w:t>
      </w:r>
    </w:p>
    <w:p w14:paraId="60E68234" w14:textId="50034680" w:rsidR="00181F4A"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 xml:space="preserve">Monitoring will begin from the entry into force of the revised Regulation. Indicators will be collected annually. A structured evaluation should be undertaken four years after entry into force, allowing sufficient time for operational maturation while ensuring that findings can inform any future legislative revision. </w:t>
      </w:r>
      <w:r w:rsidR="00347369" w:rsidRPr="00726D52">
        <w:rPr>
          <w:rFonts w:eastAsia="Times New Roman"/>
          <w:noProof/>
          <w:color w:val="000000" w:themeColor="text1"/>
        </w:rPr>
        <w:t xml:space="preserve">The evaluation will assess effectiveness, efficiency, coherence, relevance and EU added value, including the extent to which the initiative has achieved the specific objectives and contributed to the overall objective. </w:t>
      </w:r>
      <w:r w:rsidRPr="00726D52">
        <w:rPr>
          <w:rFonts w:eastAsia="Times New Roman"/>
          <w:noProof/>
          <w:color w:val="000000" w:themeColor="text1"/>
        </w:rPr>
        <w:t>Where relevant, interim reviews may assess implementation bottlenecks, including technical interoperability and data-protection compliance burdens, in line with REFIT principles.</w:t>
      </w:r>
    </w:p>
    <w:p w14:paraId="0514ED6E" w14:textId="0459959A" w:rsidR="006D5668" w:rsidRPr="00726D52" w:rsidRDefault="0D9886C2" w:rsidP="2C37EBCE">
      <w:pPr>
        <w:spacing w:before="120" w:after="120" w:line="260" w:lineRule="atLeast"/>
        <w:rPr>
          <w:rFonts w:eastAsia="Times New Roman"/>
          <w:noProof/>
          <w:color w:val="000000" w:themeColor="text1"/>
        </w:rPr>
      </w:pPr>
      <w:r w:rsidRPr="00726D52">
        <w:rPr>
          <w:rFonts w:eastAsia="Times New Roman"/>
          <w:noProof/>
          <w:color w:val="000000" w:themeColor="text1"/>
        </w:rPr>
        <w:t>The monitoring framework below summarises the operational objectives and associated indicators per specific objective.</w:t>
      </w:r>
      <w:r w:rsidR="00752526" w:rsidRPr="00726D52">
        <w:rPr>
          <w:rFonts w:eastAsia="Times New Roman"/>
          <w:noProof/>
          <w:color w:val="000000" w:themeColor="text1"/>
        </w:rPr>
        <w:t xml:space="preserve"> It also identifies the corresponding outputs, outcomes and expected impacts to facilitate the assessment of operational success over time.</w:t>
      </w:r>
    </w:p>
    <w:p w14:paraId="5ACF0AEE" w14:textId="7A37C9F7" w:rsidR="00302A09" w:rsidRPr="00726D52" w:rsidRDefault="00302A09" w:rsidP="006C2EF1">
      <w:pPr>
        <w:spacing w:after="200" w:line="276" w:lineRule="auto"/>
        <w:jc w:val="left"/>
        <w:rPr>
          <w:rFonts w:eastAsia="Times New Roman"/>
          <w:noProof/>
          <w:color w:val="000000" w:themeColor="text1"/>
        </w:rPr>
        <w:sectPr w:rsidR="00302A09" w:rsidRPr="00726D52" w:rsidSect="0053316B">
          <w:headerReference w:type="even" r:id="rId39"/>
          <w:headerReference w:type="default" r:id="rId40"/>
          <w:footerReference w:type="even" r:id="rId41"/>
          <w:footerReference w:type="default" r:id="rId42"/>
          <w:headerReference w:type="first" r:id="rId43"/>
          <w:footerReference w:type="first" r:id="rId44"/>
          <w:pgSz w:w="11906" w:h="16838"/>
          <w:pgMar w:top="1020" w:right="1701" w:bottom="1020" w:left="1587" w:header="601" w:footer="1077" w:gutter="0"/>
          <w:cols w:space="720"/>
          <w:titlePg/>
        </w:sectPr>
      </w:pPr>
    </w:p>
    <w:tbl>
      <w:tblPr>
        <w:tblStyle w:val="GridTable5Dark-Accent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44"/>
        <w:gridCol w:w="2844"/>
        <w:gridCol w:w="2844"/>
        <w:gridCol w:w="2844"/>
        <w:gridCol w:w="2844"/>
      </w:tblGrid>
      <w:tr w:rsidR="009D2F08" w:rsidRPr="00726D52" w14:paraId="5F6B5DAC" w14:textId="77777777" w:rsidTr="006C2E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auto"/>
              <w:left w:val="single" w:sz="12" w:space="0" w:color="auto"/>
              <w:bottom w:val="single" w:sz="12" w:space="0" w:color="auto"/>
              <w:right w:val="single" w:sz="12" w:space="0" w:color="auto"/>
            </w:tcBorders>
          </w:tcPr>
          <w:p w14:paraId="397AD65A" w14:textId="77777777" w:rsidR="00302A09" w:rsidRPr="00726D52" w:rsidRDefault="00302A09" w:rsidP="004E5AD1">
            <w:pPr>
              <w:rPr>
                <w:noProof/>
              </w:rPr>
            </w:pPr>
            <w:r w:rsidRPr="00726D52">
              <w:rPr>
                <w:noProof/>
              </w:rPr>
              <w:lastRenderedPageBreak/>
              <w:t>Specific objective</w:t>
            </w:r>
          </w:p>
        </w:tc>
        <w:tc>
          <w:tcPr>
            <w:tcW w:w="0" w:type="dxa"/>
            <w:tcBorders>
              <w:top w:val="single" w:sz="12" w:space="0" w:color="auto"/>
              <w:left w:val="single" w:sz="12" w:space="0" w:color="auto"/>
              <w:right w:val="single" w:sz="12" w:space="0" w:color="auto"/>
            </w:tcBorders>
          </w:tcPr>
          <w:p w14:paraId="387E0998" w14:textId="77777777" w:rsidR="00302A09" w:rsidRPr="00726D52" w:rsidRDefault="00302A09" w:rsidP="004E5AD1">
            <w:pPr>
              <w:cnfStyle w:val="100000000000" w:firstRow="1" w:lastRow="0" w:firstColumn="0" w:lastColumn="0" w:oddVBand="0" w:evenVBand="0" w:oddHBand="0" w:evenHBand="0" w:firstRowFirstColumn="0" w:firstRowLastColumn="0" w:lastRowFirstColumn="0" w:lastRowLastColumn="0"/>
              <w:rPr>
                <w:noProof/>
              </w:rPr>
            </w:pPr>
            <w:r w:rsidRPr="00726D52">
              <w:rPr>
                <w:noProof/>
              </w:rPr>
              <w:t>Operational objective</w:t>
            </w:r>
          </w:p>
        </w:tc>
        <w:tc>
          <w:tcPr>
            <w:tcW w:w="0" w:type="dxa"/>
            <w:tcBorders>
              <w:top w:val="single" w:sz="12" w:space="0" w:color="auto"/>
              <w:left w:val="single" w:sz="12" w:space="0" w:color="auto"/>
              <w:right w:val="single" w:sz="12" w:space="0" w:color="auto"/>
            </w:tcBorders>
          </w:tcPr>
          <w:p w14:paraId="5642F052" w14:textId="77777777" w:rsidR="00302A09" w:rsidRPr="00726D52" w:rsidRDefault="00302A09" w:rsidP="004E5AD1">
            <w:pPr>
              <w:cnfStyle w:val="100000000000" w:firstRow="1" w:lastRow="0" w:firstColumn="0" w:lastColumn="0" w:oddVBand="0" w:evenVBand="0" w:oddHBand="0" w:evenHBand="0" w:firstRowFirstColumn="0" w:firstRowLastColumn="0" w:lastRowFirstColumn="0" w:lastRowLastColumn="0"/>
              <w:rPr>
                <w:noProof/>
              </w:rPr>
            </w:pPr>
            <w:r w:rsidRPr="00726D52">
              <w:rPr>
                <w:noProof/>
              </w:rPr>
              <w:t>Indicator description</w:t>
            </w:r>
          </w:p>
        </w:tc>
        <w:tc>
          <w:tcPr>
            <w:tcW w:w="0" w:type="dxa"/>
            <w:tcBorders>
              <w:top w:val="single" w:sz="12" w:space="0" w:color="auto"/>
              <w:left w:val="single" w:sz="12" w:space="0" w:color="auto"/>
              <w:right w:val="single" w:sz="12" w:space="0" w:color="auto"/>
            </w:tcBorders>
          </w:tcPr>
          <w:p w14:paraId="610A6D67" w14:textId="77777777" w:rsidR="00302A09" w:rsidRPr="00726D52" w:rsidRDefault="00302A09" w:rsidP="004E5AD1">
            <w:pPr>
              <w:cnfStyle w:val="100000000000" w:firstRow="1" w:lastRow="0" w:firstColumn="0" w:lastColumn="0" w:oddVBand="0" w:evenVBand="0" w:oddHBand="0" w:evenHBand="0" w:firstRowFirstColumn="0" w:firstRowLastColumn="0" w:lastRowFirstColumn="0" w:lastRowLastColumn="0"/>
              <w:rPr>
                <w:noProof/>
              </w:rPr>
            </w:pPr>
            <w:r w:rsidRPr="00726D52">
              <w:rPr>
                <w:noProof/>
              </w:rPr>
              <w:t>Data source</w:t>
            </w:r>
          </w:p>
        </w:tc>
        <w:tc>
          <w:tcPr>
            <w:tcW w:w="0" w:type="dxa"/>
            <w:tcBorders>
              <w:top w:val="single" w:sz="12" w:space="0" w:color="auto"/>
              <w:left w:val="single" w:sz="12" w:space="0" w:color="auto"/>
              <w:right w:val="single" w:sz="12" w:space="0" w:color="auto"/>
            </w:tcBorders>
          </w:tcPr>
          <w:p w14:paraId="6813ECAB" w14:textId="77777777" w:rsidR="00302A09" w:rsidRPr="00726D52" w:rsidRDefault="00302A09" w:rsidP="004E5AD1">
            <w:pPr>
              <w:cnfStyle w:val="100000000000" w:firstRow="1" w:lastRow="0" w:firstColumn="0" w:lastColumn="0" w:oddVBand="0" w:evenVBand="0" w:oddHBand="0" w:evenHBand="0" w:firstRowFirstColumn="0" w:firstRowLastColumn="0" w:lastRowFirstColumn="0" w:lastRowLastColumn="0"/>
              <w:rPr>
                <w:noProof/>
              </w:rPr>
            </w:pPr>
            <w:r w:rsidRPr="00726D52">
              <w:rPr>
                <w:noProof/>
              </w:rPr>
              <w:t>Targets / frequency</w:t>
            </w:r>
          </w:p>
        </w:tc>
      </w:tr>
      <w:tr w:rsidR="009D2F08" w:rsidRPr="00726D52" w14:paraId="7AE6FF21" w14:textId="77777777" w:rsidTr="006C2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12" w:space="0" w:color="auto"/>
            </w:tcBorders>
          </w:tcPr>
          <w:p w14:paraId="34F56B7F" w14:textId="77777777" w:rsidR="00302A09" w:rsidRPr="00726D52" w:rsidRDefault="00302A09" w:rsidP="004E5AD1">
            <w:pPr>
              <w:rPr>
                <w:noProof/>
              </w:rPr>
            </w:pPr>
            <w:r w:rsidRPr="00726D52">
              <w:rPr>
                <w:noProof/>
              </w:rPr>
              <w:t>SO1: Reinforce Europol’s role as an information hub</w:t>
            </w:r>
          </w:p>
        </w:tc>
        <w:tc>
          <w:tcPr>
            <w:tcW w:w="0" w:type="dxa"/>
          </w:tcPr>
          <w:p w14:paraId="4629C313" w14:textId="77777777" w:rsidR="00302A09"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Strengthen Europol’s capacity to collect, process, analyse and exchange criminal intelligence with Member States and improve the timeliness, interoperability and usability of information exchanges</w:t>
            </w:r>
          </w:p>
        </w:tc>
        <w:tc>
          <w:tcPr>
            <w:tcW w:w="0" w:type="dxa"/>
          </w:tcPr>
          <w:p w14:paraId="4B2D84DF" w14:textId="77777777" w:rsidR="00302A09"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 % of Member States technically integrated with Europol data-ingestion tools</w:t>
            </w:r>
            <w:r w:rsidRPr="00726D52">
              <w:rPr>
                <w:noProof/>
              </w:rPr>
              <w:br/>
              <w:t>• % of operational data flows transmitted through automated channels</w:t>
            </w:r>
            <w:r w:rsidRPr="00726D52">
              <w:rPr>
                <w:noProof/>
              </w:rPr>
              <w:br/>
              <w:t>• Average time between receipt of information by Europol and dissemination of operational leads</w:t>
            </w:r>
            <w:r w:rsidRPr="00726D52">
              <w:rPr>
                <w:noProof/>
              </w:rPr>
              <w:br/>
              <w:t>• % of Europol-supported investigations relying on data from at least two Member States</w:t>
            </w:r>
            <w:r w:rsidRPr="00726D52">
              <w:rPr>
                <w:noProof/>
              </w:rPr>
              <w:br/>
              <w:t>• Number of cross-system matches generating operational follow-up</w:t>
            </w:r>
            <w:r w:rsidRPr="00726D52">
              <w:rPr>
                <w:noProof/>
              </w:rPr>
              <w:br/>
              <w:t>• Satisfaction score from Member States regarding Europol analytical support</w:t>
            </w:r>
          </w:p>
        </w:tc>
        <w:tc>
          <w:tcPr>
            <w:tcW w:w="0" w:type="dxa"/>
          </w:tcPr>
          <w:p w14:paraId="0B122593" w14:textId="77777777" w:rsidR="00BE613A"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 xml:space="preserve">SIENA and EIS transaction logs; </w:t>
            </w:r>
          </w:p>
          <w:p w14:paraId="721815D1" w14:textId="77777777" w:rsidR="00BE613A"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 xml:space="preserve">CAAR; </w:t>
            </w:r>
          </w:p>
          <w:p w14:paraId="4DA22ED4" w14:textId="77777777" w:rsidR="00BE613A"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Article 7(11) reporting;</w:t>
            </w:r>
          </w:p>
          <w:p w14:paraId="6DD44C0A" w14:textId="43C9BCA9" w:rsidR="00BE613A"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 xml:space="preserve">Europol operational workflow logs; </w:t>
            </w:r>
          </w:p>
          <w:p w14:paraId="2C4F381A" w14:textId="122DB2FA" w:rsidR="00302A09" w:rsidRPr="00726D52" w:rsidRDefault="00BE613A"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E</w:t>
            </w:r>
            <w:r w:rsidR="00302A09" w:rsidRPr="00726D52">
              <w:rPr>
                <w:noProof/>
              </w:rPr>
              <w:t>uropol user surveys</w:t>
            </w:r>
          </w:p>
        </w:tc>
        <w:tc>
          <w:tcPr>
            <w:tcW w:w="0" w:type="dxa"/>
          </w:tcPr>
          <w:p w14:paraId="76281628" w14:textId="77777777" w:rsidR="00302A09" w:rsidRPr="00726D52" w:rsidRDefault="00302A09"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Annual monitoring; target increases to be defined in Programming Documents and Management Board KPIs</w:t>
            </w:r>
          </w:p>
        </w:tc>
      </w:tr>
      <w:tr w:rsidR="00620601" w:rsidRPr="00726D52" w14:paraId="449DAD15" w14:textId="77777777" w:rsidTr="002E652A">
        <w:tc>
          <w:tcPr>
            <w:cnfStyle w:val="001000000000" w:firstRow="0" w:lastRow="0" w:firstColumn="1" w:lastColumn="0" w:oddVBand="0" w:evenVBand="0" w:oddHBand="0" w:evenHBand="0" w:firstRowFirstColumn="0" w:firstRowLastColumn="0" w:lastRowFirstColumn="0" w:lastRowLastColumn="0"/>
            <w:tcW w:w="2844" w:type="dxa"/>
            <w:vMerge w:val="restart"/>
            <w:tcBorders>
              <w:left w:val="single" w:sz="12" w:space="0" w:color="auto"/>
            </w:tcBorders>
          </w:tcPr>
          <w:p w14:paraId="0AD685E9" w14:textId="7A12A31C" w:rsidR="00620601" w:rsidRPr="00726D52" w:rsidRDefault="00620601" w:rsidP="004E5AD1">
            <w:pPr>
              <w:rPr>
                <w:noProof/>
              </w:rPr>
            </w:pPr>
            <w:r w:rsidRPr="00726D52">
              <w:rPr>
                <w:noProof/>
              </w:rPr>
              <w:t>SO2: Strengthening Europol’s capacity to support law enforcement operational action</w:t>
            </w:r>
          </w:p>
        </w:tc>
        <w:tc>
          <w:tcPr>
            <w:tcW w:w="2844" w:type="dxa"/>
          </w:tcPr>
          <w:p w14:paraId="62DBE4EE"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Optimally integrate human resources between Europol and Member States</w:t>
            </w:r>
          </w:p>
        </w:tc>
        <w:tc>
          <w:tcPr>
            <w:tcW w:w="2844" w:type="dxa"/>
          </w:tcPr>
          <w:p w14:paraId="28EA5B86"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 Number of operational deployments and embedded Europol support arrangements</w:t>
            </w:r>
            <w:r w:rsidRPr="00726D52">
              <w:rPr>
                <w:noProof/>
              </w:rPr>
              <w:br/>
              <w:t>• Average time-to-deployment following Member State request</w:t>
            </w:r>
            <w:r w:rsidRPr="00726D52">
              <w:rPr>
                <w:noProof/>
              </w:rPr>
              <w:br/>
            </w:r>
            <w:r w:rsidRPr="00726D52">
              <w:rPr>
                <w:noProof/>
              </w:rPr>
              <w:lastRenderedPageBreak/>
              <w:t>• Number of specialised experts deployed in operational cases</w:t>
            </w:r>
            <w:r w:rsidRPr="00726D52">
              <w:rPr>
                <w:noProof/>
              </w:rPr>
              <w:br/>
              <w:t>• Number of national officers trained in specialised investigative fields</w:t>
            </w:r>
            <w:r w:rsidRPr="00726D52">
              <w:rPr>
                <w:noProof/>
              </w:rPr>
              <w:br/>
              <w:t>• Share of priority cases supported by specialised expertise</w:t>
            </w:r>
          </w:p>
        </w:tc>
        <w:tc>
          <w:tcPr>
            <w:tcW w:w="2844" w:type="dxa"/>
          </w:tcPr>
          <w:p w14:paraId="20308B6D"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lastRenderedPageBreak/>
              <w:t>Europol HR and deployment records;</w:t>
            </w:r>
          </w:p>
          <w:p w14:paraId="383DA9F8" w14:textId="47C4B043"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ENU coordination records;</w:t>
            </w:r>
          </w:p>
          <w:p w14:paraId="41C5EE15" w14:textId="2C579D63"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lastRenderedPageBreak/>
              <w:t xml:space="preserve"> operational support office reporting</w:t>
            </w:r>
          </w:p>
        </w:tc>
        <w:tc>
          <w:tcPr>
            <w:tcW w:w="2844" w:type="dxa"/>
          </w:tcPr>
          <w:p w14:paraId="614B83A1"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lastRenderedPageBreak/>
              <w:t>Annual monitoring; deployment and training targets to be reviewed every two years</w:t>
            </w:r>
          </w:p>
        </w:tc>
      </w:tr>
      <w:tr w:rsidR="00620601" w:rsidRPr="00726D52" w14:paraId="7CF66295" w14:textId="77777777" w:rsidTr="002E6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4" w:type="dxa"/>
            <w:vMerge/>
            <w:tcBorders>
              <w:left w:val="single" w:sz="12" w:space="0" w:color="auto"/>
            </w:tcBorders>
          </w:tcPr>
          <w:p w14:paraId="56518D6D" w14:textId="624D5943" w:rsidR="00620601" w:rsidRPr="00726D52" w:rsidRDefault="00620601" w:rsidP="004E5AD1">
            <w:pPr>
              <w:rPr>
                <w:noProof/>
              </w:rPr>
            </w:pPr>
          </w:p>
        </w:tc>
        <w:tc>
          <w:tcPr>
            <w:tcW w:w="2844" w:type="dxa"/>
          </w:tcPr>
          <w:p w14:paraId="11AB7D45" w14:textId="77777777"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Ensure direct and proactive operational support by Europol to Member States and EPPO investigations</w:t>
            </w:r>
          </w:p>
        </w:tc>
        <w:tc>
          <w:tcPr>
            <w:tcW w:w="2844" w:type="dxa"/>
          </w:tcPr>
          <w:p w14:paraId="7AF17E67" w14:textId="77777777"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 Number and share of cross-border investigations supported operationally by Europol</w:t>
            </w:r>
            <w:r w:rsidRPr="00726D52">
              <w:rPr>
                <w:noProof/>
              </w:rPr>
              <w:br/>
              <w:t>• Number and share of EMPACT and EPPO cases receiving Europol support</w:t>
            </w:r>
            <w:r w:rsidRPr="00726D52">
              <w:rPr>
                <w:noProof/>
              </w:rPr>
              <w:br/>
              <w:t>• Number of proactive support offers initiated by Europol and accepted by Member States/EPPO</w:t>
            </w:r>
            <w:r w:rsidRPr="00726D52">
              <w:rPr>
                <w:noProof/>
              </w:rPr>
              <w:br/>
              <w:t>• Share of cases where Europol support contributed to operational outcomes</w:t>
            </w:r>
            <w:r w:rsidRPr="00726D52">
              <w:rPr>
                <w:noProof/>
              </w:rPr>
              <w:br/>
              <w:t xml:space="preserve">• Feedback score from </w:t>
            </w:r>
            <w:r w:rsidRPr="00726D52">
              <w:rPr>
                <w:noProof/>
              </w:rPr>
              <w:lastRenderedPageBreak/>
              <w:t>Member States and EPPO on operational usefulness</w:t>
            </w:r>
          </w:p>
        </w:tc>
        <w:tc>
          <w:tcPr>
            <w:tcW w:w="2844" w:type="dxa"/>
          </w:tcPr>
          <w:p w14:paraId="67AAC514" w14:textId="77777777"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lastRenderedPageBreak/>
              <w:t>CAAR;</w:t>
            </w:r>
          </w:p>
          <w:p w14:paraId="47399F36" w14:textId="0B49EBC7"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operational reporting;</w:t>
            </w:r>
          </w:p>
          <w:p w14:paraId="13FA3F1A" w14:textId="7AD7322F"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EMPACT reporting;</w:t>
            </w:r>
          </w:p>
          <w:p w14:paraId="728677C9" w14:textId="5F2654DA"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EPPO cooperation reporting;</w:t>
            </w:r>
          </w:p>
          <w:p w14:paraId="1D8B3A6B" w14:textId="41F711D1"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targeted stakeholder surveys</w:t>
            </w:r>
          </w:p>
        </w:tc>
        <w:tc>
          <w:tcPr>
            <w:tcW w:w="2844" w:type="dxa"/>
          </w:tcPr>
          <w:p w14:paraId="014CDE3C" w14:textId="77777777" w:rsidR="00620601" w:rsidRPr="00726D52" w:rsidRDefault="00620601" w:rsidP="006C2EF1">
            <w:pPr>
              <w:jc w:val="left"/>
              <w:cnfStyle w:val="000000100000" w:firstRow="0" w:lastRow="0" w:firstColumn="0" w:lastColumn="0" w:oddVBand="0" w:evenVBand="0" w:oddHBand="1" w:evenHBand="0" w:firstRowFirstColumn="0" w:firstRowLastColumn="0" w:lastRowFirstColumn="0" w:lastRowLastColumn="0"/>
              <w:rPr>
                <w:noProof/>
              </w:rPr>
            </w:pPr>
            <w:r w:rsidRPr="00726D52">
              <w:rPr>
                <w:noProof/>
              </w:rPr>
              <w:t>Annual monitoring with mid-term review after four years</w:t>
            </w:r>
          </w:p>
        </w:tc>
      </w:tr>
      <w:tr w:rsidR="00620601" w:rsidRPr="00726D52" w14:paraId="427DEC99" w14:textId="77777777" w:rsidTr="002E652A">
        <w:tc>
          <w:tcPr>
            <w:cnfStyle w:val="001000000000" w:firstRow="0" w:lastRow="0" w:firstColumn="1" w:lastColumn="0" w:oddVBand="0" w:evenVBand="0" w:oddHBand="0" w:evenHBand="0" w:firstRowFirstColumn="0" w:firstRowLastColumn="0" w:lastRowFirstColumn="0" w:lastRowLastColumn="0"/>
            <w:tcW w:w="2844" w:type="dxa"/>
            <w:vMerge/>
            <w:tcBorders>
              <w:left w:val="single" w:sz="12" w:space="0" w:color="auto"/>
            </w:tcBorders>
          </w:tcPr>
          <w:p w14:paraId="1330F694" w14:textId="5F2676F3" w:rsidR="00620601" w:rsidRPr="00726D52" w:rsidRDefault="00620601" w:rsidP="004E5AD1">
            <w:pPr>
              <w:rPr>
                <w:noProof/>
              </w:rPr>
            </w:pPr>
          </w:p>
        </w:tc>
        <w:tc>
          <w:tcPr>
            <w:tcW w:w="2844" w:type="dxa"/>
          </w:tcPr>
          <w:p w14:paraId="587041F0"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Enhance coordination and complementarity between Europol and relevant EU entities to reinforce synergies and ensure efficient resource use</w:t>
            </w:r>
          </w:p>
        </w:tc>
        <w:tc>
          <w:tcPr>
            <w:tcW w:w="2844" w:type="dxa"/>
          </w:tcPr>
          <w:p w14:paraId="659E7A8A"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 Number of joint operational activities with Eurojust, EPPO and other EU entities</w:t>
            </w:r>
            <w:r w:rsidRPr="00726D52">
              <w:rPr>
                <w:noProof/>
              </w:rPr>
              <w:br/>
              <w:t>• Number of SIRIUS requests handled and median response time</w:t>
            </w:r>
            <w:r w:rsidRPr="00726D52">
              <w:rPr>
                <w:noProof/>
              </w:rPr>
              <w:br/>
              <w:t>• Share of Europol-supported cases involving coordinated cooperation channels with Eurojust or EPPO</w:t>
            </w:r>
            <w:r w:rsidRPr="00726D52">
              <w:rPr>
                <w:noProof/>
              </w:rPr>
              <w:br/>
              <w:t>• Number of structured information exchanges through hit/no-hit systems</w:t>
            </w:r>
          </w:p>
        </w:tc>
        <w:tc>
          <w:tcPr>
            <w:tcW w:w="2844" w:type="dxa"/>
          </w:tcPr>
          <w:p w14:paraId="4250570C" w14:textId="77777777" w:rsidR="00BA772D" w:rsidRPr="00726D52" w:rsidRDefault="00620601" w:rsidP="00BE613A">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 xml:space="preserve">Joint operational activity registers; </w:t>
            </w:r>
          </w:p>
          <w:p w14:paraId="3D53549D" w14:textId="77777777" w:rsidR="00BA772D" w:rsidRPr="00726D52" w:rsidRDefault="00BA772D" w:rsidP="00BE613A">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S</w:t>
            </w:r>
            <w:r w:rsidR="00620601" w:rsidRPr="00726D52">
              <w:rPr>
                <w:noProof/>
              </w:rPr>
              <w:t xml:space="preserve">IRIUS platform metrics; </w:t>
            </w:r>
          </w:p>
          <w:p w14:paraId="01004132" w14:textId="77777777" w:rsidR="00BA772D" w:rsidRPr="00726D52" w:rsidRDefault="00620601" w:rsidP="00BE613A">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 xml:space="preserve">cooperation logs; </w:t>
            </w:r>
          </w:p>
          <w:p w14:paraId="0BCFDE9F" w14:textId="2D466793"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case-management systems</w:t>
            </w:r>
          </w:p>
        </w:tc>
        <w:tc>
          <w:tcPr>
            <w:tcW w:w="2844" w:type="dxa"/>
          </w:tcPr>
          <w:p w14:paraId="409C2F1C" w14:textId="77777777" w:rsidR="00620601" w:rsidRPr="00726D52" w:rsidRDefault="00620601" w:rsidP="006C2EF1">
            <w:pPr>
              <w:jc w:val="left"/>
              <w:cnfStyle w:val="000000000000" w:firstRow="0" w:lastRow="0" w:firstColumn="0" w:lastColumn="0" w:oddVBand="0" w:evenVBand="0" w:oddHBand="0" w:evenHBand="0" w:firstRowFirstColumn="0" w:firstRowLastColumn="0" w:lastRowFirstColumn="0" w:lastRowLastColumn="0"/>
              <w:rPr>
                <w:noProof/>
              </w:rPr>
            </w:pPr>
            <w:r w:rsidRPr="00726D52">
              <w:rPr>
                <w:noProof/>
              </w:rPr>
              <w:t>Annual monitoring; operational coordination targets to be reviewed in evaluation cycle</w:t>
            </w:r>
          </w:p>
        </w:tc>
      </w:tr>
    </w:tbl>
    <w:p w14:paraId="52619337" w14:textId="77777777" w:rsidR="006D5668" w:rsidRPr="00726D52" w:rsidRDefault="006D5668" w:rsidP="2C37EBCE">
      <w:pPr>
        <w:spacing w:before="120" w:after="120" w:line="260" w:lineRule="atLeast"/>
        <w:rPr>
          <w:rFonts w:eastAsia="Times New Roman"/>
          <w:noProof/>
          <w:color w:val="000000" w:themeColor="text1"/>
        </w:rPr>
      </w:pPr>
    </w:p>
    <w:p w14:paraId="58FBC174" w14:textId="1A2D1201" w:rsidR="009D2F08" w:rsidRPr="00726D52" w:rsidRDefault="009D2F08">
      <w:pPr>
        <w:spacing w:after="200" w:line="276" w:lineRule="auto"/>
        <w:jc w:val="left"/>
        <w:rPr>
          <w:rFonts w:eastAsia="Times New Roman"/>
          <w:noProof/>
          <w:color w:val="000000" w:themeColor="text1"/>
        </w:rPr>
        <w:sectPr w:rsidR="009D2F08" w:rsidRPr="00726D52" w:rsidSect="00302A09">
          <w:headerReference w:type="default" r:id="rId45"/>
          <w:footerReference w:type="default" r:id="rId46"/>
          <w:headerReference w:type="first" r:id="rId47"/>
          <w:footerReference w:type="first" r:id="rId48"/>
          <w:pgSz w:w="16838" w:h="11906" w:orient="landscape"/>
          <w:pgMar w:top="1587" w:right="1020" w:bottom="1701" w:left="1020" w:header="601" w:footer="1077" w:gutter="0"/>
          <w:cols w:space="720"/>
          <w:titlePg/>
          <w:docGrid w:linePitch="326"/>
        </w:sectPr>
      </w:pPr>
    </w:p>
    <w:p w14:paraId="6BB1B068" w14:textId="48FCE857" w:rsidR="001F4154" w:rsidRPr="00726D52" w:rsidRDefault="001F4154">
      <w:pPr>
        <w:spacing w:after="200" w:line="276" w:lineRule="auto"/>
        <w:jc w:val="left"/>
        <w:rPr>
          <w:rFonts w:eastAsia="Times New Roman"/>
          <w:b/>
          <w:smallCaps/>
          <w:noProof/>
          <w:sz w:val="32"/>
          <w:szCs w:val="20"/>
        </w:rPr>
      </w:pPr>
    </w:p>
    <w:p w14:paraId="11329608" w14:textId="2C24F462" w:rsidR="00D20FD1" w:rsidRPr="00726D52" w:rsidRDefault="233B0DA6" w:rsidP="001D0012">
      <w:pPr>
        <w:pStyle w:val="AnnexTitle"/>
        <w:rPr>
          <w:noProof/>
        </w:rPr>
      </w:pPr>
      <w:bookmarkStart w:id="40" w:name="_Toc224614055"/>
      <w:r w:rsidRPr="00726D52">
        <w:rPr>
          <w:noProof/>
        </w:rPr>
        <w:t>Annex 7: Evaluation of the existing policy and legislative framework</w:t>
      </w:r>
      <w:bookmarkEnd w:id="40"/>
    </w:p>
    <w:p w14:paraId="7F765BCB" w14:textId="1701A50B" w:rsidR="00D20FD1" w:rsidRPr="00726D52" w:rsidRDefault="6F41531A" w:rsidP="009502B2">
      <w:pPr>
        <w:pStyle w:val="Heading2"/>
        <w:numPr>
          <w:ilvl w:val="0"/>
          <w:numId w:val="34"/>
        </w:numPr>
        <w:rPr>
          <w:noProof/>
        </w:rPr>
      </w:pPr>
      <w:r w:rsidRPr="00726D52">
        <w:rPr>
          <w:noProof/>
        </w:rPr>
        <w:t>Introduction</w:t>
      </w:r>
    </w:p>
    <w:p w14:paraId="48E86DC6" w14:textId="22D19EF2" w:rsidR="00C77EF0" w:rsidRPr="00726D52" w:rsidRDefault="00C77EF0" w:rsidP="009502B2">
      <w:pPr>
        <w:pStyle w:val="Heading3"/>
        <w:numPr>
          <w:ilvl w:val="1"/>
          <w:numId w:val="34"/>
        </w:numPr>
        <w:tabs>
          <w:tab w:val="clear" w:pos="9007"/>
        </w:tabs>
        <w:rPr>
          <w:noProof/>
        </w:rPr>
      </w:pPr>
      <w:r w:rsidRPr="00726D52">
        <w:rPr>
          <w:noProof/>
        </w:rPr>
        <w:t>Purpose and scope</w:t>
      </w:r>
    </w:p>
    <w:p w14:paraId="411990D9" w14:textId="29751595" w:rsidR="00C77EF0" w:rsidRPr="00726D52" w:rsidRDefault="22F843F4" w:rsidP="56F82B3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This evaluation assesses the performance of Regulation (EU) 2016/794, as amended by Regulation (EU) 2022/991,</w:t>
      </w:r>
      <w:r w:rsidR="5D16D8FF" w:rsidRPr="00726D52">
        <w:rPr>
          <w:rStyle w:val="normaltextrun"/>
          <w:noProof/>
          <w:lang w:val="en-GB"/>
        </w:rPr>
        <w:t xml:space="preserve"> </w:t>
      </w:r>
      <w:r w:rsidRPr="00726D52">
        <w:rPr>
          <w:rStyle w:val="normaltextrun"/>
          <w:noProof/>
          <w:lang w:val="en-GB"/>
        </w:rPr>
        <w:t>establishing the legal framework governing the European Union Agency for Law Enforcement Cooperation (Europol).</w:t>
      </w:r>
      <w:r w:rsidRPr="00726D52">
        <w:rPr>
          <w:rStyle w:val="eop"/>
          <w:noProof/>
          <w:lang w:val="en-GB"/>
        </w:rPr>
        <w:t> </w:t>
      </w:r>
    </w:p>
    <w:p w14:paraId="0CD6AF93" w14:textId="77777777" w:rsidR="00C77EF0" w:rsidRPr="00726D52" w:rsidRDefault="00C77EF0" w:rsidP="00C77EF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evaluation is conducted in line with the </w:t>
      </w:r>
      <w:r w:rsidRPr="00726D52">
        <w:rPr>
          <w:rStyle w:val="normaltextrun"/>
          <w:b/>
          <w:bCs/>
          <w:noProof/>
          <w:lang w:val="en-GB"/>
        </w:rPr>
        <w:t>European Commission’s Better Regulation Guidelines</w:t>
      </w:r>
      <w:r w:rsidRPr="00726D52">
        <w:rPr>
          <w:rStyle w:val="normaltextrun"/>
          <w:noProof/>
          <w:lang w:val="en-GB"/>
        </w:rPr>
        <w:t> and applies the standard evaluation criteria of </w:t>
      </w:r>
      <w:r w:rsidRPr="00726D52">
        <w:rPr>
          <w:rStyle w:val="normaltextrun"/>
          <w:b/>
          <w:bCs/>
          <w:noProof/>
          <w:lang w:val="en-GB"/>
        </w:rPr>
        <w:t>effectiveness, efficiency, relevance, coherence, and EU added value</w:t>
      </w:r>
      <w:r w:rsidRPr="00726D52">
        <w:rPr>
          <w:rStyle w:val="normaltextrun"/>
          <w:noProof/>
          <w:lang w:val="en-GB"/>
        </w:rPr>
        <w:t>. In this context, the analysis examines the extent to which the intervention has achieved its intended objectives, whether it has done so in a proportionate and resource-efficient manner, and whether the underlying policy rationale remains valid in light of the evolving security landscape in the European Union.</w:t>
      </w:r>
      <w:r w:rsidRPr="00726D52">
        <w:rPr>
          <w:rStyle w:val="eop"/>
          <w:noProof/>
          <w:lang w:val="en-GB"/>
        </w:rPr>
        <w:t> </w:t>
      </w:r>
    </w:p>
    <w:p w14:paraId="231A639C" w14:textId="5FAADEF8" w:rsidR="00C77EF0" w:rsidRPr="00726D52" w:rsidRDefault="00C77EF0" w:rsidP="00C77EF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evaluation covers the period </w:t>
      </w:r>
      <w:r w:rsidRPr="00726D52">
        <w:rPr>
          <w:rStyle w:val="normaltextrun"/>
          <w:b/>
          <w:bCs/>
          <w:noProof/>
          <w:lang w:val="en-GB"/>
        </w:rPr>
        <w:t>2017-2024</w:t>
      </w:r>
      <w:r w:rsidRPr="00726D52">
        <w:rPr>
          <w:rStyle w:val="normaltextrun"/>
          <w:noProof/>
          <w:lang w:val="en-GB"/>
        </w:rPr>
        <w:t>, corresponding to the implementation of Regulation (EU) 2016/794 and the initial application of the amendments introduced by Regulation (EU) 2022/991. The analysis therefore assesses both the functioning of the original regulatory framework and the initial impacts of the 2022 legislative changes.</w:t>
      </w:r>
      <w:r w:rsidRPr="00726D52">
        <w:rPr>
          <w:rStyle w:val="eop"/>
          <w:noProof/>
          <w:lang w:val="en-GB"/>
        </w:rPr>
        <w:t> </w:t>
      </w:r>
    </w:p>
    <w:p w14:paraId="466C1CE8" w14:textId="77777777" w:rsidR="00C77EF0" w:rsidRPr="00726D52" w:rsidRDefault="00C77EF0" w:rsidP="00C77EF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scope of the evaluation focuses on Europol’s core tasks as defined in the Regulation, in particular its role in facilitating information exchange, providing criminal intelligence analysis, supporting operational coordination between Member States, developing specialised expertise through dedicated operational centres, and cooperating with EU institutions, agencies, third countries, and private actors. Particular attention is given to the extent to which the Regulation has enabled Europol to respond to the increasingly transnational, digitalised, and technologically sophisticated nature of serious crime and terrorism.</w:t>
      </w:r>
      <w:r w:rsidRPr="00726D52">
        <w:rPr>
          <w:rStyle w:val="eop"/>
          <w:noProof/>
          <w:lang w:val="en-GB"/>
        </w:rPr>
        <w:t> </w:t>
      </w:r>
    </w:p>
    <w:p w14:paraId="3C9DC3D4" w14:textId="77777777" w:rsidR="00C77EF0" w:rsidRPr="00726D52" w:rsidRDefault="00C77EF0" w:rsidP="00C77EF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In addition to assessing operational performance, the evaluation examines whether the current legal framework provides Europol with the necessary tools to address emerging challenges. These include the increasing volume and complexity of data relevant to criminal investigations, and the need for law enforcement authorities to develop advanced technological capabilities, including in the areas of digital forensics, and data analytics. The analysis therefore considers whether the Regulation remains adequate to support Europol’s evolving role within the EU’s internal security architecture.</w:t>
      </w:r>
      <w:r w:rsidRPr="00726D52">
        <w:rPr>
          <w:rStyle w:val="eop"/>
          <w:noProof/>
          <w:lang w:val="en-GB"/>
        </w:rPr>
        <w:t> </w:t>
      </w:r>
    </w:p>
    <w:p w14:paraId="0B6E63CD" w14:textId="77777777" w:rsidR="00C77EF0" w:rsidRPr="00726D52" w:rsidRDefault="00C77EF0" w:rsidP="00C77EF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evaluation also takes into account the broader policy context in which Europol operates, including the EU’s internal security strategies and operational cooperation frameworks, such as the </w:t>
      </w:r>
      <w:r w:rsidRPr="00726D52">
        <w:rPr>
          <w:rStyle w:val="normaltextrun"/>
          <w:b/>
          <w:bCs/>
          <w:noProof/>
          <w:lang w:val="en-GB"/>
        </w:rPr>
        <w:t>ProtectEU Internal Security Strategy</w:t>
      </w:r>
      <w:r w:rsidRPr="00726D52">
        <w:rPr>
          <w:rStyle w:val="normaltextrun"/>
          <w:noProof/>
          <w:lang w:val="en-GB"/>
        </w:rPr>
        <w:t>. These policy initiatives shape Europol’s operational priorities and provide an important reference point for assessing the continued relevance of the existing regulatory framework.</w:t>
      </w:r>
      <w:r w:rsidRPr="00726D52">
        <w:rPr>
          <w:rStyle w:val="eop"/>
          <w:noProof/>
          <w:lang w:val="en-GB"/>
        </w:rPr>
        <w:t> </w:t>
      </w:r>
    </w:p>
    <w:p w14:paraId="0B3632F7" w14:textId="6A83DF05" w:rsidR="00C77EF0" w:rsidRPr="00726D52" w:rsidRDefault="00C77EF0" w:rsidP="00116AAD">
      <w:pPr>
        <w:pStyle w:val="paragraph"/>
        <w:spacing w:before="0" w:beforeAutospacing="0" w:after="120" w:afterAutospacing="0"/>
        <w:jc w:val="both"/>
        <w:textAlignment w:val="baseline"/>
        <w:rPr>
          <w:noProof/>
          <w:lang w:val="en-GB"/>
        </w:rPr>
      </w:pPr>
      <w:r w:rsidRPr="00726D52">
        <w:rPr>
          <w:rStyle w:val="normaltextrun"/>
          <w:noProof/>
          <w:lang w:val="en-GB"/>
        </w:rPr>
        <w:t>The findings of the evaluation contribute to the accompanying </w:t>
      </w:r>
      <w:r w:rsidRPr="00726D52">
        <w:rPr>
          <w:rStyle w:val="normaltextrun"/>
          <w:b/>
          <w:bCs/>
          <w:noProof/>
          <w:lang w:val="en-GB"/>
        </w:rPr>
        <w:t>impact assessment</w:t>
      </w:r>
      <w:r w:rsidRPr="00726D52">
        <w:rPr>
          <w:rStyle w:val="normaltextrun"/>
          <w:noProof/>
          <w:lang w:val="en-GB"/>
        </w:rPr>
        <w:t xml:space="preserve">, which examines potential policy options for revising Europol’s mandate. The evaluation therefore provides the analytical basis for identifying possible shortcomings in the current legislative </w:t>
      </w:r>
      <w:r w:rsidRPr="00726D52">
        <w:rPr>
          <w:rStyle w:val="normaltextrun"/>
          <w:noProof/>
          <w:lang w:val="en-GB"/>
        </w:rPr>
        <w:lastRenderedPageBreak/>
        <w:t>framework and for assessing whether further policy or legislative action at EU level may be necessary.</w:t>
      </w:r>
      <w:r w:rsidRPr="00726D52">
        <w:rPr>
          <w:rStyle w:val="eop"/>
          <w:noProof/>
          <w:lang w:val="en-GB"/>
        </w:rPr>
        <w:t> </w:t>
      </w:r>
    </w:p>
    <w:p w14:paraId="68AD2B1D" w14:textId="77777777" w:rsidR="00C77EF0" w:rsidRPr="00726D52" w:rsidRDefault="00C77EF0" w:rsidP="009502B2">
      <w:pPr>
        <w:pStyle w:val="Heading3"/>
        <w:numPr>
          <w:ilvl w:val="1"/>
          <w:numId w:val="34"/>
        </w:numPr>
        <w:tabs>
          <w:tab w:val="clear" w:pos="9007"/>
        </w:tabs>
        <w:rPr>
          <w:noProof/>
        </w:rPr>
      </w:pPr>
      <w:r w:rsidRPr="00726D52">
        <w:rPr>
          <w:noProof/>
        </w:rPr>
        <w:t>Methodology</w:t>
      </w:r>
    </w:p>
    <w:p w14:paraId="4D7DEE46" w14:textId="4D88AB3F" w:rsidR="00142D63" w:rsidRPr="00726D52" w:rsidRDefault="74711DE8" w:rsidP="56F82B30">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The evaluation draws on a</w:t>
      </w:r>
      <w:r w:rsidR="5A6F37D4" w:rsidRPr="00726D52">
        <w:rPr>
          <w:rStyle w:val="normaltextrun"/>
          <w:noProof/>
          <w:lang w:val="en-GB"/>
        </w:rPr>
        <w:t xml:space="preserve"> </w:t>
      </w:r>
      <w:r w:rsidRPr="00726D52">
        <w:rPr>
          <w:rStyle w:val="normaltextrun"/>
          <w:b/>
          <w:bCs/>
          <w:noProof/>
          <w:lang w:val="en-GB"/>
        </w:rPr>
        <w:t>broad range of qualitative and quantitative evidence sources</w:t>
      </w:r>
      <w:r w:rsidRPr="00726D52">
        <w:rPr>
          <w:rStyle w:val="normaltextrun"/>
          <w:noProof/>
          <w:lang w:val="en-GB"/>
        </w:rPr>
        <w:t> in order to ensure a comprehensive assessment of the functioning of Regulation (EU) 2016/794, as amended by Regulation (EU) 2022/991.</w:t>
      </w:r>
    </w:p>
    <w:p w14:paraId="732ADDE6"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b/>
          <w:bCs/>
          <w:noProof/>
          <w:lang w:val="en-GB"/>
        </w:rPr>
        <w:t>The main evidence base for the evaluation was generated through an external study commissioned by the European Commission.</w:t>
      </w:r>
      <w:r w:rsidRPr="00726D52">
        <w:rPr>
          <w:rStyle w:val="normaltextrun"/>
          <w:noProof/>
          <w:lang w:val="en-GB"/>
        </w:rPr>
        <w:t> The study supported the analytical work underpinning the evaluation, including evidence collection, stakeholder consultations, data analysis and the development of thematic case studies.</w:t>
      </w:r>
      <w:r w:rsidRPr="00726D52">
        <w:rPr>
          <w:rStyle w:val="eop"/>
          <w:noProof/>
          <w:lang w:val="en-GB"/>
        </w:rPr>
        <w:t> </w:t>
      </w:r>
    </w:p>
    <w:p w14:paraId="4E8FC507"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The external study supporting this evaluation was carried out by ICF S.A under Framework Contract 330302019 between July 2025 and March 2026.</w:t>
      </w:r>
      <w:r w:rsidRPr="00726D52">
        <w:rPr>
          <w:rStyle w:val="eop"/>
          <w:noProof/>
          <w:lang w:val="en-GB"/>
        </w:rPr>
        <w:t> </w:t>
      </w:r>
    </w:p>
    <w:p w14:paraId="7C867CC6"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The external study included extensive stakeholder consultations, public surveys and targeted interviews with relevant stakeholders. These consultations involved law enforcement officials from Member States, Europol officers directly involved in operational activities, and representatives of relevant EU institutions and agencies. The purpose of these consultations was to gather practical insights into how the Regulation functions in practice, including operational experiences, perceived added value of Europol’s support, and potential challenges related to the implementation of the legal framework.</w:t>
      </w:r>
      <w:r w:rsidRPr="00726D52">
        <w:rPr>
          <w:rStyle w:val="eop"/>
          <w:noProof/>
          <w:lang w:val="en-GB"/>
        </w:rPr>
        <w:t> </w:t>
      </w:r>
    </w:p>
    <w:p w14:paraId="4E6DB2F6" w14:textId="51DC7E85" w:rsidR="00142D63" w:rsidRPr="00726D52" w:rsidRDefault="057AF312" w:rsidP="7A0AEE46">
      <w:pPr>
        <w:pStyle w:val="paragraph"/>
        <w:spacing w:before="120" w:beforeAutospacing="0" w:after="0" w:afterAutospacing="0"/>
        <w:jc w:val="both"/>
        <w:rPr>
          <w:rStyle w:val="normaltextrun"/>
          <w:noProof/>
          <w:lang w:val="en-GB"/>
        </w:rPr>
      </w:pPr>
      <w:r w:rsidRPr="00726D52">
        <w:rPr>
          <w:rStyle w:val="normaltextrun"/>
          <w:noProof/>
          <w:lang w:val="en-GB"/>
        </w:rPr>
        <w:t>In</w:t>
      </w:r>
      <w:r w:rsidR="5A9DBDCD" w:rsidRPr="00726D52">
        <w:rPr>
          <w:rStyle w:val="normaltextrun"/>
          <w:noProof/>
          <w:lang w:val="en-GB"/>
        </w:rPr>
        <w:t xml:space="preserve"> </w:t>
      </w:r>
      <w:r w:rsidRPr="00726D52">
        <w:rPr>
          <w:rStyle w:val="normaltextrun"/>
          <w:noProof/>
          <w:lang w:val="en-GB"/>
        </w:rPr>
        <w:t>total, 135</w:t>
      </w:r>
      <w:r w:rsidR="10A54324" w:rsidRPr="00726D52">
        <w:rPr>
          <w:rStyle w:val="normaltextrun"/>
          <w:noProof/>
          <w:lang w:val="en-GB"/>
        </w:rPr>
        <w:t xml:space="preserve"> </w:t>
      </w:r>
      <w:r w:rsidRPr="00726D52">
        <w:rPr>
          <w:rStyle w:val="normaltextrun"/>
          <w:noProof/>
          <w:lang w:val="en-GB"/>
        </w:rPr>
        <w:t>stakeholder</w:t>
      </w:r>
      <w:r w:rsidR="26FE1159" w:rsidRPr="00726D52">
        <w:rPr>
          <w:rStyle w:val="normaltextrun"/>
          <w:noProof/>
          <w:lang w:val="en-GB"/>
        </w:rPr>
        <w:t xml:space="preserve"> </w:t>
      </w:r>
      <w:r w:rsidRPr="00726D52">
        <w:rPr>
          <w:rStyle w:val="normaltextrun"/>
          <w:noProof/>
          <w:lang w:val="en-GB"/>
        </w:rPr>
        <w:t>interviews were</w:t>
      </w:r>
      <w:r w:rsidR="5FF30FEF" w:rsidRPr="00726D52">
        <w:rPr>
          <w:rStyle w:val="normaltextrun"/>
          <w:noProof/>
          <w:lang w:val="en-GB"/>
        </w:rPr>
        <w:t xml:space="preserve"> </w:t>
      </w:r>
      <w:r w:rsidRPr="00726D52">
        <w:rPr>
          <w:rStyle w:val="normaltextrun"/>
          <w:noProof/>
          <w:lang w:val="en-GB"/>
        </w:rPr>
        <w:t>held, including 12</w:t>
      </w:r>
      <w:r w:rsidR="48E6459A" w:rsidRPr="00726D52">
        <w:rPr>
          <w:rStyle w:val="normaltextrun"/>
          <w:noProof/>
          <w:lang w:val="en-GB"/>
        </w:rPr>
        <w:t xml:space="preserve"> </w:t>
      </w:r>
      <w:r w:rsidRPr="00726D52">
        <w:rPr>
          <w:rStyle w:val="normaltextrun"/>
          <w:noProof/>
          <w:lang w:val="en-GB"/>
        </w:rPr>
        <w:t>explanatory</w:t>
      </w:r>
      <w:r w:rsidR="35255AAA" w:rsidRPr="00726D52">
        <w:rPr>
          <w:rStyle w:val="normaltextrun"/>
          <w:noProof/>
          <w:lang w:val="en-GB"/>
        </w:rPr>
        <w:t xml:space="preserve"> </w:t>
      </w:r>
      <w:r w:rsidRPr="00726D52">
        <w:rPr>
          <w:rStyle w:val="normaltextrun"/>
          <w:noProof/>
          <w:lang w:val="en-GB"/>
        </w:rPr>
        <w:t>interviews</w:t>
      </w:r>
      <w:r w:rsidR="227EFF94" w:rsidRPr="00726D52">
        <w:rPr>
          <w:rStyle w:val="normaltextrun"/>
          <w:noProof/>
          <w:lang w:val="en-GB"/>
        </w:rPr>
        <w:t xml:space="preserve"> </w:t>
      </w:r>
      <w:r w:rsidRPr="00726D52">
        <w:rPr>
          <w:rStyle w:val="normaltextrun"/>
          <w:noProof/>
          <w:lang w:val="en-GB"/>
        </w:rPr>
        <w:t>followed by 123 targeted interviews. They were conducted with national authorities of the EU Member States, including Denmark (56), Europol staff managers including managers and senior managers</w:t>
      </w:r>
      <w:r w:rsidR="56C6F08C" w:rsidRPr="00726D52">
        <w:rPr>
          <w:rStyle w:val="normaltextrun"/>
          <w:noProof/>
          <w:lang w:val="en-GB"/>
        </w:rPr>
        <w:t xml:space="preserve"> </w:t>
      </w:r>
      <w:r w:rsidRPr="00726D52">
        <w:rPr>
          <w:rStyle w:val="normaltextrun"/>
          <w:noProof/>
          <w:lang w:val="en-GB"/>
        </w:rPr>
        <w:t>(35), European</w:t>
      </w:r>
      <w:r w:rsidR="7EC72DBF" w:rsidRPr="00726D52">
        <w:rPr>
          <w:rStyle w:val="normaltextrun"/>
          <w:noProof/>
          <w:lang w:val="en-GB"/>
        </w:rPr>
        <w:t xml:space="preserve"> </w:t>
      </w:r>
      <w:r w:rsidRPr="00726D52">
        <w:rPr>
          <w:rStyle w:val="normaltextrun"/>
          <w:noProof/>
          <w:lang w:val="en-GB"/>
        </w:rPr>
        <w:t>Commission services</w:t>
      </w:r>
      <w:r w:rsidR="7EC1E617" w:rsidRPr="00726D52">
        <w:rPr>
          <w:rStyle w:val="normaltextrun"/>
          <w:noProof/>
          <w:lang w:val="en-GB"/>
        </w:rPr>
        <w:t xml:space="preserve"> </w:t>
      </w:r>
      <w:r w:rsidRPr="00726D52">
        <w:rPr>
          <w:rStyle w:val="normaltextrun"/>
          <w:noProof/>
          <w:lang w:val="en-GB"/>
        </w:rPr>
        <w:t>(14), EU agencies (8), EU</w:t>
      </w:r>
      <w:r w:rsidR="546487A9" w:rsidRPr="00726D52">
        <w:rPr>
          <w:rStyle w:val="normaltextrun"/>
          <w:noProof/>
          <w:lang w:val="en-GB"/>
        </w:rPr>
        <w:t xml:space="preserve"> </w:t>
      </w:r>
      <w:r w:rsidRPr="00726D52">
        <w:rPr>
          <w:rStyle w:val="normaltextrun"/>
          <w:noProof/>
          <w:lang w:val="en-GB"/>
        </w:rPr>
        <w:t>bodies</w:t>
      </w:r>
      <w:r w:rsidR="74E9BED9" w:rsidRPr="00726D52">
        <w:rPr>
          <w:rStyle w:val="normaltextrun"/>
          <w:noProof/>
          <w:lang w:val="en-GB"/>
        </w:rPr>
        <w:t xml:space="preserve"> </w:t>
      </w:r>
      <w:r w:rsidRPr="00726D52">
        <w:rPr>
          <w:rStyle w:val="normaltextrun"/>
          <w:noProof/>
          <w:lang w:val="en-GB"/>
        </w:rPr>
        <w:t>and offices</w:t>
      </w:r>
      <w:r w:rsidR="515E9DC6" w:rsidRPr="00726D52">
        <w:rPr>
          <w:rStyle w:val="normaltextrun"/>
          <w:noProof/>
          <w:lang w:val="en-GB"/>
        </w:rPr>
        <w:t xml:space="preserve"> </w:t>
      </w:r>
      <w:r w:rsidRPr="00726D52">
        <w:rPr>
          <w:rStyle w:val="normaltextrun"/>
          <w:noProof/>
          <w:lang w:val="en-GB"/>
        </w:rPr>
        <w:t>(4), law enforcement networks (6), MAOC-N, third countries (5), international organisations (1), the private sector (2) and youth organisations (1). </w:t>
      </w:r>
    </w:p>
    <w:p w14:paraId="3D546EDB" w14:textId="4274BEC7" w:rsidR="00142D63" w:rsidRPr="00726D52" w:rsidRDefault="00142D63" w:rsidP="4DCCB685">
      <w:pPr>
        <w:pStyle w:val="paragraph"/>
        <w:spacing w:before="120" w:beforeAutospacing="0" w:after="0" w:afterAutospacing="0"/>
        <w:jc w:val="both"/>
        <w:textAlignment w:val="baseline"/>
        <w:rPr>
          <w:rStyle w:val="eop"/>
          <w:noProof/>
          <w:lang w:val="en-GB"/>
        </w:rPr>
      </w:pPr>
      <w:r w:rsidRPr="00726D52">
        <w:rPr>
          <w:rStyle w:val="normaltextrun"/>
          <w:noProof/>
          <w:lang w:val="en-GB"/>
        </w:rPr>
        <w:t>The external study also included thematic case studies illustrating Europol’s role in supporting specific operational activities and investigations. These case studies provide qualitative insight into how Europol’s analytical capabilities, coordination functions and operational support contribute to concrete law enforcement outcomes at EU level.</w:t>
      </w:r>
      <w:r w:rsidR="00E6056F" w:rsidRPr="00726D52">
        <w:rPr>
          <w:rStyle w:val="normaltextrun"/>
          <w:noProof/>
          <w:lang w:val="en-GB"/>
        </w:rPr>
        <w:t xml:space="preserve"> </w:t>
      </w:r>
      <w:r w:rsidR="342BF78A" w:rsidRPr="00726D52">
        <w:rPr>
          <w:rStyle w:val="eop"/>
          <w:noProof/>
          <w:lang w:val="en-GB"/>
        </w:rPr>
        <w:t>F</w:t>
      </w:r>
      <w:r w:rsidR="3237C4C5" w:rsidRPr="00726D52">
        <w:rPr>
          <w:rStyle w:val="eop"/>
          <w:noProof/>
          <w:lang w:val="en-GB"/>
        </w:rPr>
        <w:t>ield visit</w:t>
      </w:r>
      <w:r w:rsidR="0FE6601D" w:rsidRPr="00726D52">
        <w:rPr>
          <w:rStyle w:val="eop"/>
          <w:noProof/>
          <w:lang w:val="en-GB"/>
        </w:rPr>
        <w:t>s to Europol and five Member States</w:t>
      </w:r>
      <w:r w:rsidR="003D38F7" w:rsidRPr="00726D52">
        <w:rPr>
          <w:rStyle w:val="FootnoteReference"/>
          <w:noProof/>
          <w:lang w:val="en-GB"/>
        </w:rPr>
        <w:footnoteReference w:id="165"/>
      </w:r>
      <w:r w:rsidR="00773DD3" w:rsidRPr="00726D52">
        <w:rPr>
          <w:rStyle w:val="eop"/>
          <w:noProof/>
          <w:lang w:val="en-GB"/>
        </w:rPr>
        <w:t xml:space="preserve">, which </w:t>
      </w:r>
      <w:r w:rsidR="002B0F80" w:rsidRPr="00726D52">
        <w:rPr>
          <w:rStyle w:val="eop"/>
          <w:noProof/>
          <w:lang w:val="en-GB"/>
        </w:rPr>
        <w:t xml:space="preserve">also </w:t>
      </w:r>
      <w:r w:rsidR="00773DD3" w:rsidRPr="00726D52">
        <w:rPr>
          <w:rStyle w:val="eop"/>
          <w:noProof/>
          <w:lang w:val="en-GB"/>
        </w:rPr>
        <w:t xml:space="preserve">included </w:t>
      </w:r>
      <w:r w:rsidR="006865BF" w:rsidRPr="00726D52">
        <w:rPr>
          <w:rStyle w:val="eop"/>
          <w:noProof/>
          <w:lang w:val="en-GB"/>
        </w:rPr>
        <w:t>further interviews</w:t>
      </w:r>
      <w:r w:rsidR="002B0F80" w:rsidRPr="00726D52">
        <w:rPr>
          <w:rStyle w:val="eop"/>
          <w:noProof/>
          <w:lang w:val="en-GB"/>
        </w:rPr>
        <w:t>,</w:t>
      </w:r>
      <w:r w:rsidR="003D38F7" w:rsidRPr="00726D52">
        <w:rPr>
          <w:rStyle w:val="eop"/>
          <w:noProof/>
          <w:lang w:val="en-GB"/>
        </w:rPr>
        <w:t xml:space="preserve"> were conducted in order to </w:t>
      </w:r>
      <w:r w:rsidR="00762D90" w:rsidRPr="00726D52">
        <w:rPr>
          <w:rStyle w:val="eop"/>
          <w:noProof/>
          <w:lang w:val="en-GB"/>
        </w:rPr>
        <w:t>gather qualitative</w:t>
      </w:r>
      <w:r w:rsidR="005C7348" w:rsidRPr="00726D52">
        <w:rPr>
          <w:rStyle w:val="eop"/>
          <w:noProof/>
          <w:lang w:val="en-GB"/>
        </w:rPr>
        <w:t xml:space="preserve"> and context specific evidence on Europol’s cooperation with Member States.</w:t>
      </w:r>
    </w:p>
    <w:p w14:paraId="6B2D9A0D"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In addition to the evidence generated through the external study, </w:t>
      </w:r>
      <w:r w:rsidRPr="00726D52">
        <w:rPr>
          <w:rStyle w:val="normaltextrun"/>
          <w:b/>
          <w:bCs/>
          <w:noProof/>
          <w:lang w:val="en-GB"/>
        </w:rPr>
        <w:t>the Commission carried out complementary evidence-gathering activities</w:t>
      </w:r>
      <w:r w:rsidRPr="00726D52">
        <w:rPr>
          <w:rStyle w:val="normaltextrun"/>
          <w:noProof/>
          <w:lang w:val="en-GB"/>
        </w:rPr>
        <w:t> in order to further inform the evaluation. These included </w:t>
      </w:r>
      <w:r w:rsidRPr="00726D52">
        <w:rPr>
          <w:rStyle w:val="normaltextrun"/>
          <w:b/>
          <w:bCs/>
          <w:noProof/>
          <w:lang w:val="en-GB"/>
        </w:rPr>
        <w:t>thematic workshops with relevant stakeholders</w:t>
      </w:r>
      <w:r w:rsidRPr="00726D52">
        <w:rPr>
          <w:rStyle w:val="normaltextrun"/>
          <w:noProof/>
          <w:lang w:val="en-GB"/>
        </w:rPr>
        <w:t>, which provided an opportunity to discuss specific operational and policy issues related to Europol’s mandate and its future development.</w:t>
      </w:r>
      <w:r w:rsidRPr="00726D52">
        <w:rPr>
          <w:rStyle w:val="eop"/>
          <w:noProof/>
          <w:lang w:val="en-GB"/>
        </w:rPr>
        <w:t> </w:t>
      </w:r>
    </w:p>
    <w:p w14:paraId="4F7BE466" w14:textId="34FF1629" w:rsidR="00142D63" w:rsidRPr="00726D52" w:rsidRDefault="057AF312" w:rsidP="010B6CBE">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The first two workshops were held on 6 and 7 November 2025, focusing on</w:t>
      </w:r>
      <w:r w:rsidR="4B4B0828" w:rsidRPr="00726D52">
        <w:rPr>
          <w:rStyle w:val="normaltextrun"/>
          <w:noProof/>
          <w:lang w:val="en-GB"/>
        </w:rPr>
        <w:t xml:space="preserve"> </w:t>
      </w:r>
      <w:r w:rsidRPr="00726D52">
        <w:rPr>
          <w:rStyle w:val="normaltextrun"/>
          <w:noProof/>
          <w:lang w:val="en-GB"/>
        </w:rPr>
        <w:t>optimising</w:t>
      </w:r>
      <w:r w:rsidR="4274C758" w:rsidRPr="00726D52">
        <w:rPr>
          <w:rStyle w:val="normaltextrun"/>
          <w:noProof/>
          <w:lang w:val="en-GB"/>
        </w:rPr>
        <w:t xml:space="preserve"> </w:t>
      </w:r>
      <w:r w:rsidRPr="00726D52">
        <w:rPr>
          <w:rStyle w:val="normaltextrun"/>
          <w:noProof/>
          <w:lang w:val="en-GB"/>
        </w:rPr>
        <w:t>Europol’s data</w:t>
      </w:r>
      <w:r w:rsidR="3BCEF8AB" w:rsidRPr="00726D52">
        <w:rPr>
          <w:rStyle w:val="normaltextrun"/>
          <w:noProof/>
          <w:lang w:val="en-GB"/>
        </w:rPr>
        <w:t xml:space="preserve"> </w:t>
      </w:r>
      <w:r w:rsidRPr="00726D52">
        <w:rPr>
          <w:rStyle w:val="normaltextrun"/>
          <w:noProof/>
          <w:lang w:val="en-GB"/>
        </w:rPr>
        <w:t>ecosystem</w:t>
      </w:r>
      <w:r w:rsidR="0A468772" w:rsidRPr="00726D52">
        <w:rPr>
          <w:rStyle w:val="normaltextrun"/>
          <w:noProof/>
          <w:lang w:val="en-GB"/>
        </w:rPr>
        <w:t xml:space="preserve"> </w:t>
      </w:r>
      <w:r w:rsidRPr="00726D52">
        <w:rPr>
          <w:rStyle w:val="normaltextrun"/>
          <w:noProof/>
          <w:lang w:val="en-GB"/>
        </w:rPr>
        <w:t>and</w:t>
      </w:r>
      <w:r w:rsidR="605C9748" w:rsidRPr="00726D52">
        <w:rPr>
          <w:rStyle w:val="normaltextrun"/>
          <w:noProof/>
          <w:lang w:val="en-GB"/>
        </w:rPr>
        <w:t xml:space="preserve"> r</w:t>
      </w:r>
      <w:r w:rsidRPr="00726D52">
        <w:rPr>
          <w:rStyle w:val="normaltextrun"/>
          <w:noProof/>
          <w:lang w:val="en-GB"/>
        </w:rPr>
        <w:t>einforcing its</w:t>
      </w:r>
      <w:r w:rsidR="587240EE" w:rsidRPr="00726D52">
        <w:rPr>
          <w:rStyle w:val="normaltextrun"/>
          <w:noProof/>
          <w:lang w:val="en-GB"/>
        </w:rPr>
        <w:t xml:space="preserve"> r</w:t>
      </w:r>
      <w:r w:rsidRPr="00726D52">
        <w:rPr>
          <w:rStyle w:val="normaltextrun"/>
          <w:noProof/>
          <w:lang w:val="en-GB"/>
        </w:rPr>
        <w:t>ole as</w:t>
      </w:r>
      <w:r w:rsidR="23860B55" w:rsidRPr="00726D52">
        <w:rPr>
          <w:rStyle w:val="normaltextrun"/>
          <w:noProof/>
          <w:lang w:val="en-GB"/>
        </w:rPr>
        <w:t xml:space="preserve"> </w:t>
      </w:r>
      <w:r w:rsidRPr="00726D52">
        <w:rPr>
          <w:rStyle w:val="normaltextrun"/>
          <w:noProof/>
          <w:lang w:val="en-GB"/>
        </w:rPr>
        <w:t>the</w:t>
      </w:r>
      <w:r w:rsidR="43633084" w:rsidRPr="00726D52">
        <w:rPr>
          <w:rStyle w:val="normaltextrun"/>
          <w:noProof/>
          <w:lang w:val="en-GB"/>
        </w:rPr>
        <w:t xml:space="preserve"> </w:t>
      </w:r>
      <w:r w:rsidRPr="00726D52">
        <w:rPr>
          <w:rStyle w:val="normaltextrun"/>
          <w:noProof/>
          <w:lang w:val="en-GB"/>
        </w:rPr>
        <w:t>EU’s central</w:t>
      </w:r>
      <w:r w:rsidR="7299166D" w:rsidRPr="00726D52">
        <w:rPr>
          <w:rStyle w:val="normaltextrun"/>
          <w:noProof/>
          <w:lang w:val="en-GB"/>
        </w:rPr>
        <w:t xml:space="preserve"> </w:t>
      </w:r>
      <w:r w:rsidRPr="00726D52">
        <w:rPr>
          <w:rStyle w:val="normaltextrun"/>
          <w:noProof/>
          <w:lang w:val="en-GB"/>
        </w:rPr>
        <w:t>operational</w:t>
      </w:r>
      <w:r w:rsidR="09B8D99B" w:rsidRPr="00726D52">
        <w:rPr>
          <w:rStyle w:val="normaltextrun"/>
          <w:noProof/>
          <w:lang w:val="en-GB"/>
        </w:rPr>
        <w:t xml:space="preserve"> h</w:t>
      </w:r>
      <w:r w:rsidRPr="00726D52">
        <w:rPr>
          <w:rStyle w:val="normaltextrun"/>
          <w:noProof/>
          <w:lang w:val="en-GB"/>
        </w:rPr>
        <w:t>ub</w:t>
      </w:r>
      <w:r w:rsidR="11A7F244" w:rsidRPr="00726D52">
        <w:rPr>
          <w:rStyle w:val="normaltextrun"/>
          <w:noProof/>
          <w:lang w:val="en-GB"/>
        </w:rPr>
        <w:t xml:space="preserve"> </w:t>
      </w:r>
      <w:r w:rsidRPr="00726D52">
        <w:rPr>
          <w:rStyle w:val="normaltextrun"/>
          <w:noProof/>
          <w:lang w:val="en-GB"/>
        </w:rPr>
        <w:t>and</w:t>
      </w:r>
      <w:r w:rsidR="3AB6B1D4" w:rsidRPr="00726D52">
        <w:rPr>
          <w:rStyle w:val="normaltextrun"/>
          <w:noProof/>
          <w:lang w:val="en-GB"/>
        </w:rPr>
        <w:t xml:space="preserve"> </w:t>
      </w:r>
      <w:r w:rsidRPr="00726D52">
        <w:rPr>
          <w:rStyle w:val="normaltextrun"/>
          <w:noProof/>
          <w:lang w:val="en-GB"/>
        </w:rPr>
        <w:t>developing EU-level</w:t>
      </w:r>
      <w:r w:rsidR="3A13BF51" w:rsidRPr="00726D52">
        <w:rPr>
          <w:rStyle w:val="normaltextrun"/>
          <w:noProof/>
          <w:lang w:val="en-GB"/>
        </w:rPr>
        <w:t xml:space="preserve"> </w:t>
      </w:r>
      <w:r w:rsidRPr="00726D52">
        <w:rPr>
          <w:rStyle w:val="normaltextrun"/>
          <w:noProof/>
          <w:lang w:val="en-GB"/>
        </w:rPr>
        <w:t>specialised law enforcement</w:t>
      </w:r>
      <w:r w:rsidR="5CCCF546" w:rsidRPr="00726D52">
        <w:rPr>
          <w:rStyle w:val="normaltextrun"/>
          <w:noProof/>
          <w:lang w:val="en-GB"/>
        </w:rPr>
        <w:t xml:space="preserve"> </w:t>
      </w:r>
      <w:r w:rsidRPr="00726D52">
        <w:rPr>
          <w:rStyle w:val="normaltextrun"/>
          <w:noProof/>
          <w:lang w:val="en-GB"/>
        </w:rPr>
        <w:t>expertise</w:t>
      </w:r>
      <w:r w:rsidR="3037D05F" w:rsidRPr="00726D52">
        <w:rPr>
          <w:rStyle w:val="normaltextrun"/>
          <w:noProof/>
          <w:lang w:val="en-GB"/>
        </w:rPr>
        <w:t xml:space="preserve"> </w:t>
      </w:r>
      <w:r w:rsidRPr="00726D52">
        <w:rPr>
          <w:rStyle w:val="normaltextrun"/>
          <w:noProof/>
          <w:lang w:val="en-GB"/>
        </w:rPr>
        <w:t>and</w:t>
      </w:r>
      <w:r w:rsidR="0A400F32" w:rsidRPr="00726D52">
        <w:rPr>
          <w:rStyle w:val="normaltextrun"/>
          <w:noProof/>
          <w:lang w:val="en-GB"/>
        </w:rPr>
        <w:t xml:space="preserve"> </w:t>
      </w:r>
      <w:r w:rsidRPr="00726D52">
        <w:rPr>
          <w:rStyle w:val="normaltextrun"/>
          <w:noProof/>
          <w:lang w:val="en-GB"/>
        </w:rPr>
        <w:t>operational</w:t>
      </w:r>
      <w:r w:rsidR="0F082606" w:rsidRPr="00726D52">
        <w:rPr>
          <w:rStyle w:val="normaltextrun"/>
          <w:noProof/>
          <w:lang w:val="en-GB"/>
        </w:rPr>
        <w:t xml:space="preserve"> </w:t>
      </w:r>
      <w:r w:rsidRPr="00726D52">
        <w:rPr>
          <w:rStyle w:val="normaltextrun"/>
          <w:noProof/>
          <w:lang w:val="en-GB"/>
        </w:rPr>
        <w:t>innovation</w:t>
      </w:r>
      <w:r w:rsidR="67B36B6D" w:rsidRPr="00726D52">
        <w:rPr>
          <w:rStyle w:val="normaltextrun"/>
          <w:noProof/>
          <w:lang w:val="en-GB"/>
        </w:rPr>
        <w:t xml:space="preserve"> </w:t>
      </w:r>
      <w:r w:rsidRPr="00726D52">
        <w:rPr>
          <w:rStyle w:val="normaltextrun"/>
          <w:noProof/>
          <w:lang w:val="en-GB"/>
        </w:rPr>
        <w:lastRenderedPageBreak/>
        <w:t>within</w:t>
      </w:r>
      <w:r w:rsidR="60BF6C23" w:rsidRPr="00726D52">
        <w:rPr>
          <w:rStyle w:val="normaltextrun"/>
          <w:noProof/>
          <w:lang w:val="en-GB"/>
        </w:rPr>
        <w:t xml:space="preserve"> </w:t>
      </w:r>
      <w:r w:rsidRPr="00726D52">
        <w:rPr>
          <w:rStyle w:val="normaltextrun"/>
          <w:noProof/>
          <w:lang w:val="en-GB"/>
        </w:rPr>
        <w:t>Europol</w:t>
      </w:r>
      <w:r w:rsidR="55F5A037" w:rsidRPr="00726D52">
        <w:rPr>
          <w:rStyle w:val="normaltextrun"/>
          <w:noProof/>
          <w:lang w:val="en-GB"/>
        </w:rPr>
        <w:t xml:space="preserve"> </w:t>
      </w:r>
      <w:r w:rsidRPr="00726D52">
        <w:rPr>
          <w:rStyle w:val="normaltextrun"/>
          <w:noProof/>
          <w:lang w:val="en-GB"/>
        </w:rPr>
        <w:t>and</w:t>
      </w:r>
      <w:r w:rsidR="6F1961B4" w:rsidRPr="00726D52">
        <w:rPr>
          <w:rStyle w:val="normaltextrun"/>
          <w:noProof/>
          <w:lang w:val="en-GB"/>
        </w:rPr>
        <w:t xml:space="preserve"> </w:t>
      </w:r>
      <w:r w:rsidRPr="00726D52">
        <w:rPr>
          <w:rStyle w:val="normaltextrun"/>
          <w:noProof/>
          <w:lang w:val="en-GB"/>
        </w:rPr>
        <w:t>reinforcing</w:t>
      </w:r>
      <w:r w:rsidR="1F0B0853" w:rsidRPr="00726D52">
        <w:rPr>
          <w:rStyle w:val="normaltextrun"/>
          <w:noProof/>
          <w:lang w:val="en-GB"/>
        </w:rPr>
        <w:t xml:space="preserve"> </w:t>
      </w:r>
      <w:r w:rsidRPr="00726D52">
        <w:rPr>
          <w:rStyle w:val="normaltextrun"/>
          <w:noProof/>
          <w:lang w:val="en-GB"/>
        </w:rPr>
        <w:t>Europol’s role in</w:t>
      </w:r>
      <w:r w:rsidR="521A2A16" w:rsidRPr="00726D52">
        <w:rPr>
          <w:rStyle w:val="normaltextrun"/>
          <w:noProof/>
          <w:lang w:val="en-GB"/>
        </w:rPr>
        <w:t xml:space="preserve"> </w:t>
      </w:r>
      <w:r w:rsidRPr="00726D52">
        <w:rPr>
          <w:rStyle w:val="normaltextrun"/>
          <w:noProof/>
          <w:lang w:val="en-GB"/>
        </w:rPr>
        <w:t>tackling</w:t>
      </w:r>
      <w:r w:rsidR="09AAD8AA" w:rsidRPr="00726D52">
        <w:rPr>
          <w:rStyle w:val="normaltextrun"/>
          <w:noProof/>
          <w:lang w:val="en-GB"/>
        </w:rPr>
        <w:t xml:space="preserve"> </w:t>
      </w:r>
      <w:r w:rsidRPr="00726D52">
        <w:rPr>
          <w:rStyle w:val="normaltextrun"/>
          <w:noProof/>
          <w:lang w:val="en-GB"/>
        </w:rPr>
        <w:t>persistent and</w:t>
      </w:r>
      <w:r w:rsidR="145DB1FD" w:rsidRPr="00726D52">
        <w:rPr>
          <w:rStyle w:val="normaltextrun"/>
          <w:noProof/>
          <w:lang w:val="en-GB"/>
        </w:rPr>
        <w:t xml:space="preserve"> </w:t>
      </w:r>
      <w:r w:rsidRPr="00726D52">
        <w:rPr>
          <w:rStyle w:val="normaltextrun"/>
          <w:noProof/>
          <w:lang w:val="en-GB"/>
        </w:rPr>
        <w:t>emerging</w:t>
      </w:r>
      <w:r w:rsidR="6AA0D62F" w:rsidRPr="00726D52">
        <w:rPr>
          <w:rStyle w:val="normaltextrun"/>
          <w:noProof/>
          <w:lang w:val="en-GB"/>
        </w:rPr>
        <w:t xml:space="preserve"> </w:t>
      </w:r>
      <w:r w:rsidRPr="00726D52">
        <w:rPr>
          <w:rStyle w:val="normaltextrun"/>
          <w:noProof/>
          <w:lang w:val="en-GB"/>
        </w:rPr>
        <w:t>threats</w:t>
      </w:r>
      <w:r w:rsidR="28D2F2FD" w:rsidRPr="00726D52">
        <w:rPr>
          <w:rStyle w:val="normaltextrun"/>
          <w:noProof/>
          <w:lang w:val="en-GB"/>
        </w:rPr>
        <w:t xml:space="preserve"> </w:t>
      </w:r>
      <w:r w:rsidRPr="00726D52">
        <w:rPr>
          <w:rStyle w:val="normaltextrun"/>
          <w:noProof/>
          <w:lang w:val="en-GB"/>
        </w:rPr>
        <w:t>including</w:t>
      </w:r>
      <w:r w:rsidR="447BCD4E" w:rsidRPr="00726D52">
        <w:rPr>
          <w:rStyle w:val="normaltextrun"/>
          <w:noProof/>
          <w:lang w:val="en-GB"/>
        </w:rPr>
        <w:t xml:space="preserve"> </w:t>
      </w:r>
      <w:r w:rsidRPr="00726D52">
        <w:rPr>
          <w:rStyle w:val="normaltextrun"/>
          <w:noProof/>
          <w:lang w:val="en-GB"/>
        </w:rPr>
        <w:t>within</w:t>
      </w:r>
      <w:r w:rsidR="2ABA00F5" w:rsidRPr="00726D52">
        <w:rPr>
          <w:rStyle w:val="normaltextrun"/>
          <w:noProof/>
          <w:lang w:val="en-GB"/>
        </w:rPr>
        <w:t xml:space="preserve"> </w:t>
      </w:r>
      <w:r w:rsidRPr="00726D52">
        <w:rPr>
          <w:rStyle w:val="normaltextrun"/>
          <w:noProof/>
          <w:lang w:val="en-GB"/>
        </w:rPr>
        <w:t>the EMPACT framework</w:t>
      </w:r>
      <w:r w:rsidR="2EB841A7" w:rsidRPr="00726D52">
        <w:rPr>
          <w:rStyle w:val="normaltextrun"/>
          <w:noProof/>
          <w:lang w:val="en-GB"/>
        </w:rPr>
        <w:t xml:space="preserve"> </w:t>
      </w:r>
      <w:r w:rsidRPr="00726D52">
        <w:rPr>
          <w:rStyle w:val="normaltextrun"/>
          <w:noProof/>
          <w:lang w:val="en-GB"/>
        </w:rPr>
        <w:t>respectively. The third and fourth thematic expert</w:t>
      </w:r>
      <w:r w:rsidR="603BCC44" w:rsidRPr="00726D52">
        <w:rPr>
          <w:rStyle w:val="normaltextrun"/>
          <w:noProof/>
          <w:lang w:val="en-GB"/>
        </w:rPr>
        <w:t xml:space="preserve"> </w:t>
      </w:r>
      <w:r w:rsidRPr="00726D52">
        <w:rPr>
          <w:rStyle w:val="normaltextrun"/>
          <w:noProof/>
          <w:lang w:val="en-GB"/>
        </w:rPr>
        <w:t>workshops</w:t>
      </w:r>
      <w:r w:rsidR="015739D0" w:rsidRPr="00726D52">
        <w:rPr>
          <w:rStyle w:val="normaltextrun"/>
          <w:noProof/>
          <w:lang w:val="en-GB"/>
        </w:rPr>
        <w:t xml:space="preserve"> </w:t>
      </w:r>
      <w:r w:rsidRPr="00726D52">
        <w:rPr>
          <w:rStyle w:val="normaltextrun"/>
          <w:noProof/>
          <w:lang w:val="en-GB"/>
        </w:rPr>
        <w:t>were held</w:t>
      </w:r>
      <w:r w:rsidR="1E2B73D8" w:rsidRPr="00726D52">
        <w:rPr>
          <w:rStyle w:val="normaltextrun"/>
          <w:noProof/>
          <w:lang w:val="en-GB"/>
        </w:rPr>
        <w:t xml:space="preserve"> </w:t>
      </w:r>
      <w:r w:rsidRPr="00726D52">
        <w:rPr>
          <w:rStyle w:val="normaltextrun"/>
          <w:noProof/>
          <w:lang w:val="en-GB"/>
        </w:rPr>
        <w:t>on 18 and 19</w:t>
      </w:r>
      <w:r w:rsidR="19C6CBD5" w:rsidRPr="00726D52">
        <w:rPr>
          <w:rStyle w:val="normaltextrun"/>
          <w:noProof/>
          <w:lang w:val="en-GB"/>
        </w:rPr>
        <w:t xml:space="preserve"> </w:t>
      </w:r>
      <w:r w:rsidRPr="00726D52">
        <w:rPr>
          <w:rStyle w:val="normaltextrun"/>
          <w:noProof/>
          <w:lang w:val="en-GB"/>
        </w:rPr>
        <w:t>December 2025, with a</w:t>
      </w:r>
      <w:r w:rsidR="2906613F" w:rsidRPr="00726D52">
        <w:rPr>
          <w:rStyle w:val="normaltextrun"/>
          <w:noProof/>
          <w:lang w:val="en-GB"/>
        </w:rPr>
        <w:t xml:space="preserve"> </w:t>
      </w:r>
      <w:r w:rsidRPr="00726D52">
        <w:rPr>
          <w:rStyle w:val="normaltextrun"/>
          <w:noProof/>
          <w:lang w:val="en-GB"/>
        </w:rPr>
        <w:t>focus on</w:t>
      </w:r>
      <w:r w:rsidR="5D52B7D1" w:rsidRPr="00726D52">
        <w:rPr>
          <w:rStyle w:val="normaltextrun"/>
          <w:noProof/>
          <w:lang w:val="en-GB"/>
        </w:rPr>
        <w:t xml:space="preserve"> </w:t>
      </w:r>
      <w:r w:rsidRPr="00726D52">
        <w:rPr>
          <w:rStyle w:val="normaltextrun"/>
          <w:noProof/>
          <w:lang w:val="en-GB"/>
        </w:rPr>
        <w:t>enhancing</w:t>
      </w:r>
      <w:r w:rsidR="705AE0D6" w:rsidRPr="00726D52">
        <w:rPr>
          <w:rStyle w:val="normaltextrun"/>
          <w:noProof/>
          <w:lang w:val="en-GB"/>
        </w:rPr>
        <w:t xml:space="preserve"> </w:t>
      </w:r>
      <w:r w:rsidRPr="00726D52">
        <w:rPr>
          <w:rStyle w:val="normaltextrun"/>
          <w:noProof/>
          <w:lang w:val="en-GB"/>
        </w:rPr>
        <w:t>coordination</w:t>
      </w:r>
      <w:r w:rsidR="1E84C612" w:rsidRPr="00726D52">
        <w:rPr>
          <w:rStyle w:val="normaltextrun"/>
          <w:noProof/>
          <w:lang w:val="en-GB"/>
        </w:rPr>
        <w:t xml:space="preserve"> </w:t>
      </w:r>
      <w:r w:rsidRPr="00726D52">
        <w:rPr>
          <w:rStyle w:val="normaltextrun"/>
          <w:noProof/>
          <w:lang w:val="en-GB"/>
        </w:rPr>
        <w:t>and</w:t>
      </w:r>
      <w:r w:rsidR="36D6524F" w:rsidRPr="00726D52">
        <w:rPr>
          <w:rStyle w:val="normaltextrun"/>
          <w:noProof/>
          <w:lang w:val="en-GB"/>
        </w:rPr>
        <w:t xml:space="preserve"> </w:t>
      </w:r>
      <w:r w:rsidRPr="00726D52">
        <w:rPr>
          <w:rStyle w:val="normaltextrun"/>
          <w:noProof/>
          <w:lang w:val="en-GB"/>
        </w:rPr>
        <w:t>complementarily between</w:t>
      </w:r>
      <w:r w:rsidR="5D35386A" w:rsidRPr="00726D52">
        <w:rPr>
          <w:rStyle w:val="normaltextrun"/>
          <w:noProof/>
          <w:lang w:val="en-GB"/>
        </w:rPr>
        <w:t xml:space="preserve"> </w:t>
      </w:r>
      <w:r w:rsidRPr="00726D52">
        <w:rPr>
          <w:rStyle w:val="normaltextrun"/>
          <w:noProof/>
          <w:lang w:val="en-GB"/>
        </w:rPr>
        <w:t>Europol and relevant EU entities</w:t>
      </w:r>
      <w:r w:rsidR="589887AC" w:rsidRPr="00726D52">
        <w:rPr>
          <w:rStyle w:val="normaltextrun"/>
          <w:noProof/>
          <w:lang w:val="en-GB"/>
        </w:rPr>
        <w:t xml:space="preserve"> </w:t>
      </w:r>
      <w:r w:rsidRPr="00726D52">
        <w:rPr>
          <w:rStyle w:val="normaltextrun"/>
          <w:noProof/>
          <w:lang w:val="en-GB"/>
        </w:rPr>
        <w:t>to</w:t>
      </w:r>
      <w:r w:rsidR="3C6060F7" w:rsidRPr="00726D52">
        <w:rPr>
          <w:rStyle w:val="normaltextrun"/>
          <w:noProof/>
          <w:lang w:val="en-GB"/>
        </w:rPr>
        <w:t xml:space="preserve"> </w:t>
      </w:r>
      <w:r w:rsidRPr="00726D52">
        <w:rPr>
          <w:rStyle w:val="normaltextrun"/>
          <w:noProof/>
          <w:lang w:val="en-GB"/>
        </w:rPr>
        <w:t>reinforce synergies, ensure efficient resource use, and consolidate Europol’s central</w:t>
      </w:r>
      <w:r w:rsidR="2079C2D6" w:rsidRPr="00726D52">
        <w:rPr>
          <w:rStyle w:val="normaltextrun"/>
          <w:noProof/>
          <w:lang w:val="en-GB"/>
        </w:rPr>
        <w:t xml:space="preserve"> </w:t>
      </w:r>
      <w:r w:rsidRPr="00726D52">
        <w:rPr>
          <w:rStyle w:val="normaltextrun"/>
          <w:noProof/>
          <w:lang w:val="en-GB"/>
        </w:rPr>
        <w:t>role in the EU internal security infrastructure for</w:t>
      </w:r>
      <w:r w:rsidR="5B29A3DB" w:rsidRPr="00726D52">
        <w:rPr>
          <w:rStyle w:val="normaltextrun"/>
          <w:noProof/>
          <w:lang w:val="en-GB"/>
        </w:rPr>
        <w:t xml:space="preserve"> </w:t>
      </w:r>
      <w:r w:rsidRPr="00726D52">
        <w:rPr>
          <w:rStyle w:val="normaltextrun"/>
          <w:noProof/>
          <w:lang w:val="en-GB"/>
        </w:rPr>
        <w:t>the third</w:t>
      </w:r>
      <w:r w:rsidR="6C625164" w:rsidRPr="00726D52">
        <w:rPr>
          <w:rStyle w:val="normaltextrun"/>
          <w:noProof/>
          <w:lang w:val="en-GB"/>
        </w:rPr>
        <w:t xml:space="preserve"> </w:t>
      </w:r>
      <w:r w:rsidRPr="00726D52">
        <w:rPr>
          <w:rStyle w:val="normaltextrun"/>
          <w:noProof/>
          <w:lang w:val="en-GB"/>
        </w:rPr>
        <w:t>workshop and on strengthening the steering and oversights of Europol to ensure</w:t>
      </w:r>
      <w:r w:rsidR="0029964A" w:rsidRPr="00726D52">
        <w:rPr>
          <w:rStyle w:val="normaltextrun"/>
          <w:noProof/>
          <w:lang w:val="en-GB"/>
        </w:rPr>
        <w:t xml:space="preserve"> </w:t>
      </w:r>
      <w:r w:rsidRPr="00726D52">
        <w:rPr>
          <w:rStyle w:val="normaltextrun"/>
          <w:noProof/>
          <w:lang w:val="en-GB"/>
        </w:rPr>
        <w:t>effective</w:t>
      </w:r>
      <w:r w:rsidR="5B6798B0" w:rsidRPr="00726D52">
        <w:rPr>
          <w:rStyle w:val="normaltextrun"/>
          <w:noProof/>
          <w:lang w:val="en-GB"/>
        </w:rPr>
        <w:t xml:space="preserve"> </w:t>
      </w:r>
      <w:r w:rsidRPr="00726D52">
        <w:rPr>
          <w:rStyle w:val="normaltextrun"/>
          <w:noProof/>
          <w:lang w:val="en-GB"/>
        </w:rPr>
        <w:t>governance</w:t>
      </w:r>
      <w:r w:rsidR="53017C07" w:rsidRPr="00726D52">
        <w:rPr>
          <w:rStyle w:val="normaltextrun"/>
          <w:noProof/>
          <w:lang w:val="en-GB"/>
        </w:rPr>
        <w:t xml:space="preserve"> </w:t>
      </w:r>
      <w:r w:rsidRPr="00726D52">
        <w:rPr>
          <w:rStyle w:val="normaltextrun"/>
          <w:noProof/>
          <w:lang w:val="en-GB"/>
        </w:rPr>
        <w:t>in</w:t>
      </w:r>
      <w:r w:rsidR="37AD29EC" w:rsidRPr="00726D52">
        <w:rPr>
          <w:rStyle w:val="normaltextrun"/>
          <w:noProof/>
          <w:lang w:val="en-GB"/>
        </w:rPr>
        <w:t xml:space="preserve"> </w:t>
      </w:r>
      <w:r w:rsidRPr="00726D52">
        <w:rPr>
          <w:rStyle w:val="normaltextrun"/>
          <w:noProof/>
          <w:lang w:val="en-GB"/>
        </w:rPr>
        <w:t>line</w:t>
      </w:r>
      <w:r w:rsidR="330CD5F6" w:rsidRPr="00726D52">
        <w:rPr>
          <w:rStyle w:val="normaltextrun"/>
          <w:noProof/>
          <w:lang w:val="en-GB"/>
        </w:rPr>
        <w:t xml:space="preserve"> </w:t>
      </w:r>
      <w:r w:rsidRPr="00726D52">
        <w:rPr>
          <w:rStyle w:val="normaltextrun"/>
          <w:noProof/>
          <w:lang w:val="en-GB"/>
        </w:rPr>
        <w:t>with</w:t>
      </w:r>
      <w:r w:rsidR="41515594" w:rsidRPr="00726D52">
        <w:rPr>
          <w:rStyle w:val="normaltextrun"/>
          <w:noProof/>
          <w:lang w:val="en-GB"/>
        </w:rPr>
        <w:t xml:space="preserve"> </w:t>
      </w:r>
      <w:r w:rsidRPr="00726D52">
        <w:rPr>
          <w:rStyle w:val="normaltextrun"/>
          <w:noProof/>
          <w:lang w:val="en-GB"/>
        </w:rPr>
        <w:t>its</w:t>
      </w:r>
      <w:r w:rsidR="35A5DA68" w:rsidRPr="00726D52">
        <w:rPr>
          <w:rStyle w:val="normaltextrun"/>
          <w:noProof/>
          <w:lang w:val="en-GB"/>
        </w:rPr>
        <w:t xml:space="preserve"> </w:t>
      </w:r>
      <w:r w:rsidRPr="00726D52">
        <w:rPr>
          <w:rStyle w:val="normaltextrun"/>
          <w:noProof/>
          <w:lang w:val="en-GB"/>
        </w:rPr>
        <w:t>growing</w:t>
      </w:r>
      <w:r w:rsidR="736DA713" w:rsidRPr="00726D52">
        <w:rPr>
          <w:rStyle w:val="normaltextrun"/>
          <w:noProof/>
          <w:lang w:val="en-GB"/>
        </w:rPr>
        <w:t xml:space="preserve"> </w:t>
      </w:r>
      <w:r w:rsidRPr="00726D52">
        <w:rPr>
          <w:rStyle w:val="normaltextrun"/>
          <w:noProof/>
          <w:lang w:val="en-GB"/>
        </w:rPr>
        <w:t>operational tasks, budget and</w:t>
      </w:r>
      <w:r w:rsidR="3E80EF96" w:rsidRPr="00726D52">
        <w:rPr>
          <w:rStyle w:val="normaltextrun"/>
          <w:noProof/>
          <w:lang w:val="en-GB"/>
        </w:rPr>
        <w:t xml:space="preserve"> </w:t>
      </w:r>
      <w:r w:rsidRPr="00726D52">
        <w:rPr>
          <w:rStyle w:val="normaltextrun"/>
          <w:noProof/>
          <w:lang w:val="en-GB"/>
        </w:rPr>
        <w:t>staff,</w:t>
      </w:r>
      <w:r w:rsidR="0A0FAC51" w:rsidRPr="00726D52">
        <w:rPr>
          <w:rStyle w:val="normaltextrun"/>
          <w:noProof/>
          <w:lang w:val="en-GB"/>
        </w:rPr>
        <w:t xml:space="preserve"> w</w:t>
      </w:r>
      <w:r w:rsidRPr="00726D52">
        <w:rPr>
          <w:rStyle w:val="normaltextrun"/>
          <w:noProof/>
          <w:lang w:val="en-GB"/>
        </w:rPr>
        <w:t>hile optimally</w:t>
      </w:r>
      <w:r w:rsidR="4D03EB86" w:rsidRPr="00726D52">
        <w:rPr>
          <w:rStyle w:val="normaltextrun"/>
          <w:noProof/>
          <w:lang w:val="en-GB"/>
        </w:rPr>
        <w:t xml:space="preserve"> </w:t>
      </w:r>
      <w:r w:rsidRPr="00726D52">
        <w:rPr>
          <w:rStyle w:val="normaltextrun"/>
          <w:noProof/>
          <w:lang w:val="en-GB"/>
        </w:rPr>
        <w:t>integrating human</w:t>
      </w:r>
      <w:r w:rsidR="2A309E57" w:rsidRPr="00726D52">
        <w:rPr>
          <w:rStyle w:val="normaltextrun"/>
          <w:noProof/>
          <w:lang w:val="en-GB"/>
        </w:rPr>
        <w:t xml:space="preserve"> </w:t>
      </w:r>
      <w:r w:rsidRPr="00726D52">
        <w:rPr>
          <w:rStyle w:val="normaltextrun"/>
          <w:noProof/>
          <w:lang w:val="en-GB"/>
        </w:rPr>
        <w:t>resources</w:t>
      </w:r>
      <w:r w:rsidR="2C1E04D5" w:rsidRPr="00726D52">
        <w:rPr>
          <w:rStyle w:val="normaltextrun"/>
          <w:noProof/>
          <w:lang w:val="en-GB"/>
        </w:rPr>
        <w:t xml:space="preserve"> </w:t>
      </w:r>
      <w:r w:rsidRPr="00726D52">
        <w:rPr>
          <w:rStyle w:val="normaltextrun"/>
          <w:noProof/>
          <w:lang w:val="en-GB"/>
        </w:rPr>
        <w:t>between</w:t>
      </w:r>
      <w:r w:rsidR="37F27A7A" w:rsidRPr="00726D52">
        <w:rPr>
          <w:rStyle w:val="normaltextrun"/>
          <w:noProof/>
          <w:lang w:val="en-GB"/>
        </w:rPr>
        <w:t xml:space="preserve"> </w:t>
      </w:r>
      <w:r w:rsidRPr="00726D52">
        <w:rPr>
          <w:rStyle w:val="normaltextrun"/>
          <w:noProof/>
          <w:lang w:val="en-GB"/>
        </w:rPr>
        <w:t>Europol</w:t>
      </w:r>
      <w:r w:rsidR="544AE3FC" w:rsidRPr="00726D52">
        <w:rPr>
          <w:rStyle w:val="normaltextrun"/>
          <w:noProof/>
          <w:lang w:val="en-GB"/>
        </w:rPr>
        <w:t xml:space="preserve"> </w:t>
      </w:r>
      <w:r w:rsidRPr="00726D52">
        <w:rPr>
          <w:rStyle w:val="normaltextrun"/>
          <w:noProof/>
          <w:lang w:val="en-GB"/>
        </w:rPr>
        <w:t>and Member States for the</w:t>
      </w:r>
      <w:r w:rsidR="3CFC13BF" w:rsidRPr="00726D52">
        <w:rPr>
          <w:rStyle w:val="normaltextrun"/>
          <w:noProof/>
          <w:lang w:val="en-GB"/>
        </w:rPr>
        <w:t xml:space="preserve"> </w:t>
      </w:r>
      <w:r w:rsidRPr="00726D52">
        <w:rPr>
          <w:rStyle w:val="normaltextrun"/>
          <w:noProof/>
          <w:lang w:val="en-GB"/>
        </w:rPr>
        <w:t>fourth workshop.</w:t>
      </w:r>
      <w:r w:rsidRPr="00726D52">
        <w:rPr>
          <w:rStyle w:val="eop"/>
          <w:noProof/>
          <w:lang w:val="en-GB"/>
        </w:rPr>
        <w:t> </w:t>
      </w:r>
    </w:p>
    <w:p w14:paraId="5EF60AAC" w14:textId="6DB1C42F" w:rsidR="00142D63" w:rsidRPr="00726D52" w:rsidRDefault="00142D63" w:rsidP="289DEA4F">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Furthermore, </w:t>
      </w:r>
      <w:r w:rsidRPr="00726D52">
        <w:rPr>
          <w:rStyle w:val="normaltextrun"/>
          <w:b/>
          <w:bCs/>
          <w:noProof/>
          <w:lang w:val="en-GB"/>
        </w:rPr>
        <w:t>the Commission conducted targeted bilateral outreach to Member States’ authorities, as well as exchanges with institutional stakeholders</w:t>
      </w:r>
      <w:r w:rsidRPr="00726D52">
        <w:rPr>
          <w:rStyle w:val="normaltextrun"/>
          <w:noProof/>
          <w:lang w:val="en-GB"/>
        </w:rPr>
        <w:t>, including the Council</w:t>
      </w:r>
      <w:r w:rsidR="279DA7DD" w:rsidRPr="00726D52">
        <w:rPr>
          <w:rStyle w:val="normaltextrun"/>
          <w:noProof/>
          <w:lang w:val="en-GB"/>
        </w:rPr>
        <w:t xml:space="preserve">, in the context of COSI and the Law </w:t>
      </w:r>
      <w:r w:rsidR="7103AE31" w:rsidRPr="00726D52">
        <w:rPr>
          <w:rStyle w:val="normaltextrun"/>
          <w:noProof/>
          <w:lang w:val="en-GB"/>
        </w:rPr>
        <w:t>Enforcement</w:t>
      </w:r>
      <w:r w:rsidR="279DA7DD" w:rsidRPr="00726D52">
        <w:rPr>
          <w:rStyle w:val="normaltextrun"/>
          <w:noProof/>
          <w:lang w:val="en-GB"/>
        </w:rPr>
        <w:t xml:space="preserve"> Working Party,</w:t>
      </w:r>
      <w:r w:rsidRPr="00726D52">
        <w:rPr>
          <w:rStyle w:val="normaltextrun"/>
          <w:noProof/>
          <w:lang w:val="en-GB"/>
        </w:rPr>
        <w:t xml:space="preserve"> and the European Parliament</w:t>
      </w:r>
      <w:r w:rsidR="0FF3E518" w:rsidRPr="00726D52">
        <w:rPr>
          <w:rStyle w:val="normaltextrun"/>
          <w:noProof/>
          <w:lang w:val="en-GB"/>
        </w:rPr>
        <w:t xml:space="preserve">, </w:t>
      </w:r>
      <w:r w:rsidR="221DD538" w:rsidRPr="00726D52">
        <w:rPr>
          <w:rStyle w:val="normaltextrun"/>
          <w:noProof/>
          <w:lang w:val="en-GB"/>
        </w:rPr>
        <w:t>including</w:t>
      </w:r>
      <w:r w:rsidR="0FF3E518" w:rsidRPr="00726D52">
        <w:rPr>
          <w:rStyle w:val="normaltextrun"/>
          <w:noProof/>
          <w:lang w:val="en-GB"/>
        </w:rPr>
        <w:t xml:space="preserve"> the Joint Parliamentary Scrutiny Group</w:t>
      </w:r>
      <w:r w:rsidRPr="00726D52">
        <w:rPr>
          <w:rStyle w:val="normaltextrun"/>
          <w:noProof/>
          <w:lang w:val="en-GB"/>
        </w:rPr>
        <w:t>. These exchanges helped gather additional perspectives on the implementation of the Europol Regulation, the practical functioning of Europol’s mandate, and possible areas where the current legislative framework could be further strengthened.</w:t>
      </w:r>
      <w:r w:rsidR="004F5240" w:rsidRPr="00726D52">
        <w:rPr>
          <w:rStyle w:val="FootnoteReference"/>
          <w:noProof/>
          <w:lang w:val="en-GB"/>
        </w:rPr>
        <w:footnoteReference w:id="166"/>
      </w:r>
    </w:p>
    <w:p w14:paraId="62B2AACF" w14:textId="75F588B3" w:rsidR="00142D63" w:rsidRPr="00726D52" w:rsidRDefault="00142D63" w:rsidP="289DEA4F">
      <w:pPr>
        <w:pStyle w:val="paragraph"/>
        <w:spacing w:before="120" w:beforeAutospacing="0" w:after="0" w:afterAutospacing="0"/>
        <w:jc w:val="both"/>
        <w:textAlignment w:val="baseline"/>
        <w:rPr>
          <w:rStyle w:val="eop"/>
          <w:noProof/>
          <w:lang w:val="en-GB"/>
        </w:rPr>
      </w:pPr>
      <w:r w:rsidRPr="00726D52">
        <w:rPr>
          <w:rStyle w:val="normaltextrun"/>
          <w:noProof/>
          <w:lang w:val="en-GB"/>
        </w:rPr>
        <w:t>The evaluation also relies on </w:t>
      </w:r>
      <w:r w:rsidRPr="00726D52">
        <w:rPr>
          <w:rStyle w:val="normaltextrun"/>
          <w:b/>
          <w:bCs/>
          <w:noProof/>
          <w:lang w:val="en-GB"/>
        </w:rPr>
        <w:t>quantitative data analysis</w:t>
      </w:r>
      <w:r w:rsidRPr="00726D52">
        <w:rPr>
          <w:rStyle w:val="normaltextrun"/>
          <w:noProof/>
          <w:lang w:val="en-GB"/>
        </w:rPr>
        <w:t>, including operational statistics and performance indicators relating to Europol’s activities and the use of its information systems and operational support tools. This analysis includes trend analysis of relevant indicators over the evaluation period in order to identify developments in Europol’s operational role and the use of its services by Member States.</w:t>
      </w:r>
      <w:r w:rsidRPr="00726D52">
        <w:rPr>
          <w:rStyle w:val="eop"/>
          <w:noProof/>
          <w:lang w:val="en-GB"/>
        </w:rPr>
        <w:t> </w:t>
      </w:r>
      <w:r w:rsidR="01AB3D66" w:rsidRPr="00726D52">
        <w:rPr>
          <w:rStyle w:val="eop"/>
          <w:noProof/>
          <w:lang w:val="en-GB"/>
        </w:rPr>
        <w:t>Data sources used predominantly include Europol Annual Reports</w:t>
      </w:r>
      <w:r w:rsidR="72925CBE" w:rsidRPr="00726D52">
        <w:rPr>
          <w:rStyle w:val="eop"/>
          <w:noProof/>
          <w:lang w:val="en-GB"/>
        </w:rPr>
        <w:t xml:space="preserve">, SIENA </w:t>
      </w:r>
      <w:r w:rsidR="42BCAAB3" w:rsidRPr="00726D52">
        <w:rPr>
          <w:rStyle w:val="eop"/>
          <w:noProof/>
          <w:lang w:val="en-GB"/>
        </w:rPr>
        <w:t>statistics</w:t>
      </w:r>
      <w:r w:rsidR="72925CBE" w:rsidRPr="00726D52">
        <w:rPr>
          <w:rStyle w:val="eop"/>
          <w:noProof/>
          <w:lang w:val="en-GB"/>
        </w:rPr>
        <w:t xml:space="preserve"> and annual reports, EIS annual reports, operational support statistics</w:t>
      </w:r>
      <w:r w:rsidR="3F48BC32" w:rsidRPr="00726D52">
        <w:rPr>
          <w:rStyle w:val="eop"/>
          <w:noProof/>
          <w:lang w:val="en-GB"/>
        </w:rPr>
        <w:t>, Europol’s annual budget, establishment plans and Single Programming Documents.</w:t>
      </w:r>
    </w:p>
    <w:p w14:paraId="3A771C12"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The combination of these sources enables the triangulation of evidence, allowing findings to be validated across multiple data sources and perspectives. Quantitative operational data are therefore assessed alongside stakeholder input and qualitative operational examples in order to identify both measurable outcomes and structural challenges in the implementation of the Regulation.</w:t>
      </w:r>
      <w:r w:rsidRPr="00726D52">
        <w:rPr>
          <w:rStyle w:val="eop"/>
          <w:noProof/>
          <w:lang w:val="en-GB"/>
        </w:rPr>
        <w:t> </w:t>
      </w:r>
    </w:p>
    <w:p w14:paraId="067CB263"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Nevertheless, </w:t>
      </w:r>
      <w:r w:rsidRPr="00726D52">
        <w:rPr>
          <w:rStyle w:val="normaltextrun"/>
          <w:b/>
          <w:bCs/>
          <w:noProof/>
          <w:lang w:val="en-GB"/>
        </w:rPr>
        <w:t>certain methodological limitations</w:t>
      </w:r>
      <w:r w:rsidRPr="00726D52">
        <w:rPr>
          <w:rStyle w:val="normaltextrun"/>
          <w:noProof/>
          <w:lang w:val="en-GB"/>
        </w:rPr>
        <w:t> should be taken into account when interpreting the findings of this evaluation. First, the availability and comparability of operational data across the evaluation period may be affected by changes in reporting practices, evolving performance indicators, and the progressive development of Europol’s operational tools and systems. As a result, some trend analyses rely on partially comparable datasets or proxy indicators.</w:t>
      </w:r>
      <w:r w:rsidRPr="00726D52">
        <w:rPr>
          <w:rStyle w:val="eop"/>
          <w:noProof/>
          <w:lang w:val="en-GB"/>
        </w:rPr>
        <w:t> </w:t>
      </w:r>
    </w:p>
    <w:p w14:paraId="78D43D41" w14:textId="77777777" w:rsidR="00142D63" w:rsidRPr="00726D52" w:rsidRDefault="00142D63" w:rsidP="00142D63">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Second, evidence collected through stakeholder consultations and interviews reflects the perspectives of participating stakeholders and may therefore be subject to response bias or differences in national operational practices. While efforts were made to ensure balanced representation across Member States and stakeholder groups, the consultation results cannot be considered fully statistically representative of all users of Europol’s services.</w:t>
      </w:r>
      <w:r w:rsidRPr="00726D52">
        <w:rPr>
          <w:rStyle w:val="eop"/>
          <w:noProof/>
          <w:lang w:val="en-GB"/>
        </w:rPr>
        <w:t> </w:t>
      </w:r>
    </w:p>
    <w:p w14:paraId="013ED6C9" w14:textId="1D632F64" w:rsidR="00142D63" w:rsidRPr="00726D52" w:rsidRDefault="057AF312" w:rsidP="010B6CBE">
      <w:pPr>
        <w:pStyle w:val="paragraph"/>
        <w:spacing w:before="120" w:beforeAutospacing="0" w:after="0" w:afterAutospacing="0"/>
        <w:jc w:val="both"/>
        <w:textAlignment w:val="baseline"/>
        <w:rPr>
          <w:rFonts w:ascii="Segoe UI" w:hAnsi="Segoe UI" w:cs="Segoe UI"/>
          <w:noProof/>
          <w:sz w:val="18"/>
          <w:szCs w:val="18"/>
          <w:lang w:val="en-GB"/>
        </w:rPr>
      </w:pPr>
      <w:r w:rsidRPr="00726D52">
        <w:rPr>
          <w:rStyle w:val="normaltextrun"/>
          <w:noProof/>
          <w:lang w:val="en-GB"/>
        </w:rPr>
        <w:t>Third,</w:t>
      </w:r>
      <w:r w:rsidR="296BF290" w:rsidRPr="00726D52">
        <w:rPr>
          <w:rStyle w:val="normaltextrun"/>
          <w:noProof/>
          <w:lang w:val="en-GB"/>
        </w:rPr>
        <w:t xml:space="preserve"> g</w:t>
      </w:r>
      <w:r w:rsidRPr="00726D52">
        <w:rPr>
          <w:rStyle w:val="normaltextrun"/>
          <w:noProof/>
          <w:lang w:val="en-GB"/>
        </w:rPr>
        <w:t xml:space="preserve">iven the evolving nature of criminal threats and technological developments, it is not always possible to attribute observed outcomes solely to the intervention. Europol operates within a broader and constantly evolving security </w:t>
      </w:r>
      <w:r w:rsidRPr="00726D52">
        <w:rPr>
          <w:rStyle w:val="normaltextrun"/>
          <w:noProof/>
          <w:lang w:val="en-GB"/>
        </w:rPr>
        <w:lastRenderedPageBreak/>
        <w:t>environment shaped by multiple external factors, including developments in criminal activity, technological change, and variations in national law enforcement capacities. These external developments may influence observed outcomes, making it difficult in some cases to isolate the specific effects of the Regulation from broader contextual trends.</w:t>
      </w:r>
    </w:p>
    <w:p w14:paraId="7BCAB88C" w14:textId="06A96E05" w:rsidR="5756BB6E" w:rsidRPr="00726D52" w:rsidRDefault="057AF312" w:rsidP="2934DF34">
      <w:pPr>
        <w:pStyle w:val="paragraph"/>
        <w:spacing w:before="120" w:beforeAutospacing="0" w:after="240" w:afterAutospacing="0"/>
        <w:jc w:val="both"/>
        <w:textAlignment w:val="baseline"/>
        <w:rPr>
          <w:rFonts w:ascii="Segoe UI" w:hAnsi="Segoe UI" w:cs="Segoe UI"/>
          <w:noProof/>
          <w:sz w:val="18"/>
          <w:szCs w:val="18"/>
          <w:lang w:val="en-GB"/>
        </w:rPr>
      </w:pPr>
      <w:r w:rsidRPr="00726D52">
        <w:rPr>
          <w:rStyle w:val="normaltextrun"/>
          <w:noProof/>
          <w:lang w:val="en-GB"/>
        </w:rPr>
        <w:t xml:space="preserve">Where such limitations arise, the evaluation relies on the triangulation of multiple evidence sources in order to ensure that conclusions remain proportionate and robust. Further methodological details are provided in Annex </w:t>
      </w:r>
      <w:r w:rsidR="52F265C2" w:rsidRPr="00726D52">
        <w:rPr>
          <w:rStyle w:val="normaltextrun"/>
          <w:noProof/>
          <w:lang w:val="en-GB"/>
        </w:rPr>
        <w:t>4</w:t>
      </w:r>
      <w:r w:rsidRPr="00726D52">
        <w:rPr>
          <w:rStyle w:val="normaltextrun"/>
          <w:noProof/>
          <w:lang w:val="en-GB"/>
        </w:rPr>
        <w:t>.</w:t>
      </w:r>
      <w:r w:rsidRPr="00726D52">
        <w:rPr>
          <w:rStyle w:val="eop"/>
          <w:noProof/>
          <w:lang w:val="en-GB"/>
        </w:rPr>
        <w:t> </w:t>
      </w:r>
    </w:p>
    <w:p w14:paraId="76ED93B3" w14:textId="29221DDE" w:rsidR="00D20FD1" w:rsidRPr="00726D52" w:rsidRDefault="6F41531A" w:rsidP="009502B2">
      <w:pPr>
        <w:pStyle w:val="Heading2"/>
        <w:numPr>
          <w:ilvl w:val="0"/>
          <w:numId w:val="34"/>
        </w:numPr>
        <w:rPr>
          <w:noProof/>
        </w:rPr>
      </w:pPr>
      <w:r w:rsidRPr="00726D52">
        <w:rPr>
          <w:noProof/>
        </w:rPr>
        <w:t>What was the expected outcome of the intervention</w:t>
      </w:r>
    </w:p>
    <w:p w14:paraId="34B567C6" w14:textId="35427E2B" w:rsidR="00D20FD1" w:rsidRPr="00726D52" w:rsidRDefault="6F41531A" w:rsidP="009502B2">
      <w:pPr>
        <w:pStyle w:val="Heading3"/>
        <w:numPr>
          <w:ilvl w:val="1"/>
          <w:numId w:val="34"/>
        </w:numPr>
        <w:tabs>
          <w:tab w:val="clear" w:pos="9007"/>
        </w:tabs>
        <w:rPr>
          <w:noProof/>
        </w:rPr>
      </w:pPr>
      <w:r w:rsidRPr="00726D52">
        <w:rPr>
          <w:noProof/>
        </w:rPr>
        <w:t>Description of the intervention and its objective</w:t>
      </w:r>
    </w:p>
    <w:p w14:paraId="458401BB" w14:textId="3605D037" w:rsidR="001119D3" w:rsidRPr="00726D52" w:rsidRDefault="001119D3" w:rsidP="2934DF34">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Europol was founded under the </w:t>
      </w:r>
      <w:r w:rsidRPr="00726D52">
        <w:rPr>
          <w:rStyle w:val="normaltextrun"/>
          <w:b/>
          <w:bCs/>
          <w:noProof/>
          <w:lang w:val="en-GB"/>
        </w:rPr>
        <w:t>1995 Europol Convention</w:t>
      </w:r>
      <w:r w:rsidRPr="00726D52">
        <w:rPr>
          <w:rStyle w:val="normaltextrun"/>
          <w:noProof/>
          <w:lang w:val="en-GB"/>
        </w:rPr>
        <w:t> as a European Police Office to facilitate cooperation among national law enforcement authorities in combating serious cross-border crime.</w:t>
      </w:r>
      <w:r w:rsidR="3188508C" w:rsidRPr="00726D52">
        <w:rPr>
          <w:rStyle w:val="normaltextrun"/>
          <w:noProof/>
          <w:lang w:val="en-GB"/>
        </w:rPr>
        <w:t xml:space="preserve"> The Convention came into force 1 October 1998 and Europol became fully operational 1 July 1999.</w:t>
      </w:r>
      <w:r w:rsidRPr="00726D52">
        <w:rPr>
          <w:rStyle w:val="normaltextrun"/>
          <w:noProof/>
          <w:lang w:val="en-GB"/>
        </w:rPr>
        <w:t xml:space="preserve"> Initially, Europol focused on supporting information exchange between Member States through national contact points, analysing criminal intelligence, supporting investigations into organised criminal networks and maintaining centralised data systems. From its inception, Europol was designed to act as a hub for criminal intelligence sharing among Member States in order to address transnational crime phenomena such as terrorism, drug trafficking, trafficking in human beings, cybercrime and other forms of serious organised crime.</w:t>
      </w:r>
      <w:r w:rsidRPr="00726D52">
        <w:rPr>
          <w:rStyle w:val="eop"/>
          <w:noProof/>
          <w:lang w:val="en-GB"/>
        </w:rPr>
        <w:t> </w:t>
      </w:r>
    </w:p>
    <w:p w14:paraId="74432E15"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Agency’s legal framework evolved significantly with the Council Decision of 6 April 2009, which broadened Europol’s operational scope and clarified its objectives, competences and tasks. The Decision removed the requirement to identify organised crime groups before action could be taken and expanded Europol’s responsibilities to additional crime areas, including money laundering, trafficking in human beings, trafficking of cultural goods, racism and xenophobia and environmental crime. It also strengthened Europol’s operational role by enabling it to request the initiation of investigations, support Joint Investigation Teams (JITs) and produce strategic threat assessments.</w:t>
      </w:r>
      <w:r w:rsidRPr="00726D52">
        <w:rPr>
          <w:rStyle w:val="eop"/>
          <w:noProof/>
          <w:lang w:val="en-GB"/>
        </w:rPr>
        <w:t> </w:t>
      </w:r>
    </w:p>
    <w:p w14:paraId="504BE2F3"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Council Framework Decision of 13 June 2002 established the legal framework for Joint Investigation Teams to facilitate cross-border investigations and judicial cooperation. The 2009 Council Decision subsequently authorised Europol staff to participate in JITs, allowing the Agency to support investigations directly within its mandate.</w:t>
      </w:r>
      <w:r w:rsidRPr="00726D52">
        <w:rPr>
          <w:rStyle w:val="eop"/>
          <w:noProof/>
          <w:lang w:val="en-GB"/>
        </w:rPr>
        <w:t> </w:t>
      </w:r>
    </w:p>
    <w:p w14:paraId="0A4E5FEB"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Regulation (EU) 2016/794 replaced the 2009 Council Decision and strengthened Europol’s legal framework as the EU agency for law enforcement cooperation. The Regulation introduced enhanced governance and accountability mechanisms, including scrutiny by the European Parliament and national parliaments, as well as supervision of Europol’s data processing activities by the European Data Protection Supervisor (EDPS). It also clarified and expanded Europol’s mandate and established the legal basis for specialised centres within Europol providing targeted expertise in specific crime areas.</w:t>
      </w:r>
      <w:r w:rsidRPr="00726D52">
        <w:rPr>
          <w:rStyle w:val="eop"/>
          <w:noProof/>
          <w:lang w:val="en-GB"/>
        </w:rPr>
        <w:t> </w:t>
      </w:r>
    </w:p>
    <w:p w14:paraId="7BC27377"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overall objective of the Regulation is to strengthen cooperation between Member States’ law enforcement authorities in preventing and combating serious cross-border crime and terrorism by improving information exchange, analytical capabilities and operational coordination at EU level.</w:t>
      </w:r>
      <w:r w:rsidRPr="00726D52">
        <w:rPr>
          <w:rStyle w:val="eop"/>
          <w:noProof/>
          <w:lang w:val="en-GB"/>
        </w:rPr>
        <w:t> </w:t>
      </w:r>
    </w:p>
    <w:p w14:paraId="6DD485CD"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lastRenderedPageBreak/>
        <w:t>In </w:t>
      </w:r>
      <w:r w:rsidRPr="00726D52">
        <w:rPr>
          <w:rStyle w:val="normaltextrun"/>
          <w:b/>
          <w:bCs/>
          <w:noProof/>
          <w:lang w:val="en-GB"/>
        </w:rPr>
        <w:t>2022</w:t>
      </w:r>
      <w:r w:rsidRPr="00726D52">
        <w:rPr>
          <w:rStyle w:val="normaltextrun"/>
          <w:noProof/>
          <w:lang w:val="en-GB"/>
        </w:rPr>
        <w:t>, Regulation (EU) 2022/991 introduced further amendments aimed at addressing emerging operational and technological challenges. These amendments strengthened cooperation between law enforcement authorities and private parties, enabled Europol to process large and complex datasets for criminal analysis, and enhanced the Agency’s role in research and innovation related to security technologies. They also clarified Europol’s ability to support investigations concerning crimes affecting a Union interest, even where a clear cross-border dimension is not initially established, and empowered Europol to propose the introduction of information alerts in the Schengen Information System (SIS) regarding third-country nationals involved in terrorism and serious crime.</w:t>
      </w:r>
      <w:r w:rsidRPr="00726D52">
        <w:rPr>
          <w:rStyle w:val="eop"/>
          <w:noProof/>
          <w:lang w:val="en-GB"/>
        </w:rPr>
        <w:t> </w:t>
      </w:r>
    </w:p>
    <w:p w14:paraId="0D1E0721"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 amended framework also strengthened cooperation between Europol and the European Public Prosecutor’s Office (EPPO), operational since 2021. Europol’s activities are organised around specialised centres focusing on specific crime areas, providing targeted operational and analytical support to Member States.</w:t>
      </w:r>
      <w:r w:rsidRPr="00726D52">
        <w:rPr>
          <w:rStyle w:val="eop"/>
          <w:noProof/>
          <w:lang w:val="en-GB"/>
        </w:rPr>
        <w:t> </w:t>
      </w:r>
    </w:p>
    <w:p w14:paraId="540447FE"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These developments progressively strengthened Europol’s mandate and operational capabilities, positioning the Agency as the EU’s central hub for criminal intelligence and operational coordination in the fight against serious cross-border crime and terrorism.</w:t>
      </w:r>
      <w:r w:rsidRPr="00726D52">
        <w:rPr>
          <w:rStyle w:val="eop"/>
          <w:noProof/>
          <w:lang w:val="en-GB"/>
        </w:rPr>
        <w:t> </w:t>
      </w:r>
    </w:p>
    <w:p w14:paraId="434AAE4B"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i/>
          <w:iCs/>
          <w:noProof/>
          <w:color w:val="0E2841"/>
          <w:sz w:val="22"/>
          <w:szCs w:val="22"/>
          <w:lang w:val="en-GB"/>
        </w:rPr>
        <w:t>Figure 1: The evolution of Europol’s mandate</w:t>
      </w:r>
      <w:r w:rsidRPr="00726D52">
        <w:rPr>
          <w:rStyle w:val="eop"/>
          <w:noProof/>
          <w:color w:val="0E2841"/>
          <w:sz w:val="22"/>
          <w:szCs w:val="22"/>
          <w:lang w:val="en-GB"/>
        </w:rPr>
        <w:t> </w:t>
      </w:r>
    </w:p>
    <w:p w14:paraId="230D56FA" w14:textId="2FC9DCF1"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wacimagecontainer"/>
          <w:rFonts w:ascii="Segoe UI" w:hAnsi="Segoe UI" w:cs="Segoe UI"/>
          <w:noProof/>
          <w:sz w:val="18"/>
          <w:szCs w:val="18"/>
          <w:lang w:val="en-GB" w:eastAsia="en-GB"/>
        </w:rPr>
        <w:drawing>
          <wp:inline distT="0" distB="0" distL="0" distR="0" wp14:anchorId="099C1FFE" wp14:editId="68FC3D55">
            <wp:extent cx="5472430" cy="1257300"/>
            <wp:effectExtent l="0" t="0" r="0" b="0"/>
            <wp:docPr id="850969107" name="Picture 2" descr="A close-up of a time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timeline&#10;&#10;AI-generated content may b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72430" cy="1257300"/>
                    </a:xfrm>
                    <a:prstGeom prst="rect">
                      <a:avLst/>
                    </a:prstGeom>
                    <a:noFill/>
                    <a:ln>
                      <a:noFill/>
                    </a:ln>
                  </pic:spPr>
                </pic:pic>
              </a:graphicData>
            </a:graphic>
          </wp:inline>
        </w:drawing>
      </w:r>
      <w:r w:rsidRPr="00726D52">
        <w:rPr>
          <w:rStyle w:val="eop"/>
          <w:noProof/>
          <w:lang w:val="en-GB"/>
        </w:rPr>
        <w:t> </w:t>
      </w:r>
    </w:p>
    <w:p w14:paraId="51CE8598" w14:textId="42F41A4B" w:rsidR="001119D3" w:rsidRPr="00726D52" w:rsidRDefault="740F2C37" w:rsidP="6C1681C0">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Europol operates in a </w:t>
      </w:r>
      <w:r w:rsidRPr="00726D52">
        <w:rPr>
          <w:rStyle w:val="normaltextrun"/>
          <w:b/>
          <w:bCs/>
          <w:noProof/>
          <w:lang w:val="en-GB"/>
        </w:rPr>
        <w:t>rapidly evolving security environment</w:t>
      </w:r>
      <w:r w:rsidRPr="00726D52">
        <w:rPr>
          <w:rStyle w:val="normaltextrun"/>
          <w:noProof/>
          <w:lang w:val="en-GB"/>
        </w:rPr>
        <w:t>. Criminal networks increasingly operate across borders, exploiting differences between national legal frameworks, jurisdictional limits and gaps in information exchange between authorities. At the same time, they make extensive use of digital technologies, encrypted communications and global financial systems to facilitate and conceal their activities. These developments create significant challenges for national law enforcement authorities, which often face difficulties in obtaining timely cross-border information and coordinating investigations. In this context, Europol supports Member States in preventing and combating serious and organised crime, terrorism and other forms of cross-border criminal activity by providing analytical support, facilitating information</w:t>
      </w:r>
      <w:r w:rsidR="106C23C7" w:rsidRPr="00726D52">
        <w:rPr>
          <w:rStyle w:val="normaltextrun"/>
          <w:noProof/>
          <w:lang w:val="en-GB"/>
        </w:rPr>
        <w:t xml:space="preserve"> </w:t>
      </w:r>
      <w:r w:rsidRPr="00726D52">
        <w:rPr>
          <w:rStyle w:val="normaltextrun"/>
          <w:noProof/>
          <w:lang w:val="en-GB"/>
        </w:rPr>
        <w:t>exchange and supporting the coordination of cross-border investigations. Europol also contributes to the implementation of EU security priorities, as reflected in the ProtectEU Internal Security Strategy, including operational cooperation frameworks such as EMPACT.</w:t>
      </w:r>
      <w:r w:rsidRPr="00726D52">
        <w:rPr>
          <w:rStyle w:val="eop"/>
          <w:noProof/>
          <w:lang w:val="en-GB"/>
        </w:rPr>
        <w:t> </w:t>
      </w:r>
    </w:p>
    <w:p w14:paraId="7AE7EAB6" w14:textId="77777777" w:rsidR="001119D3" w:rsidRPr="00726D52" w:rsidRDefault="001119D3" w:rsidP="001119D3">
      <w:pPr>
        <w:pStyle w:val="paragraph"/>
        <w:spacing w:before="0" w:beforeAutospacing="0" w:after="120" w:afterAutospacing="0"/>
        <w:jc w:val="both"/>
        <w:textAlignment w:val="baseline"/>
        <w:rPr>
          <w:rFonts w:ascii="Segoe UI" w:hAnsi="Segoe UI" w:cs="Segoe UI"/>
          <w:noProof/>
          <w:sz w:val="18"/>
          <w:szCs w:val="18"/>
          <w:lang w:val="en-GB"/>
        </w:rPr>
      </w:pPr>
      <w:r w:rsidRPr="00726D52">
        <w:rPr>
          <w:rStyle w:val="normaltextrun"/>
          <w:noProof/>
          <w:lang w:val="en-GB"/>
        </w:rPr>
        <w:t xml:space="preserve">The intervention logic underlying Regulation (EU) 2016/794 and its subsequent amendment by Regulation (EU) 2022/991 is based on the recognition that serious and organised crime and terrorism increasingly operate across national borders and require coordinated responses at EU level. By strengthening Europol’s mandate, improving mechanisms for information exchange and criminal intelligence analysis, and enhancing operational coordination between national law enforcement authorities, the Regulation aims to increase the effectiveness of cross-border investigations and support Member States in addressing complex transnational crime threats. The intervention is </w:t>
      </w:r>
      <w:r w:rsidRPr="00726D52">
        <w:rPr>
          <w:rStyle w:val="normaltextrun"/>
          <w:noProof/>
          <w:lang w:val="en-GB"/>
        </w:rPr>
        <w:lastRenderedPageBreak/>
        <w:t>therefore expected to contribute to improved operational cooperation, more efficient use of law enforcement resources, and enhanced situational awareness at EU level, ultimately strengthening the Union’s capacity to prevent and combat serious crime and terrorism while ensuring respect for fundamental rights.</w:t>
      </w:r>
      <w:r w:rsidRPr="00726D52">
        <w:rPr>
          <w:rStyle w:val="eop"/>
          <w:noProof/>
          <w:lang w:val="en-GB"/>
        </w:rPr>
        <w:t> </w:t>
      </w:r>
    </w:p>
    <w:p w14:paraId="3F4D0537" w14:textId="557F1A04" w:rsidR="001119D3" w:rsidRPr="00726D52" w:rsidRDefault="001119D3" w:rsidP="001119D3">
      <w:pPr>
        <w:pStyle w:val="paragraph"/>
        <w:spacing w:before="0" w:beforeAutospacing="0" w:after="120" w:afterAutospacing="0"/>
        <w:jc w:val="both"/>
        <w:textAlignment w:val="baseline"/>
        <w:rPr>
          <w:noProof/>
          <w:lang w:val="en-GB"/>
        </w:rPr>
      </w:pPr>
      <w:r w:rsidRPr="00726D52">
        <w:rPr>
          <w:rStyle w:val="normaltextrun"/>
          <w:noProof/>
          <w:lang w:val="en-GB"/>
        </w:rPr>
        <w:t>This evaluation therefore examines the extent to which the existing legal framework has enabled Europol to fulfil these objectives, in particular by strengthening information exchange, analytical support and operational coordination between Member States in the fight against serious cross-border crime and terrorism.</w:t>
      </w:r>
      <w:r w:rsidRPr="00726D52">
        <w:rPr>
          <w:rStyle w:val="eop"/>
          <w:noProof/>
          <w:lang w:val="en-GB"/>
        </w:rPr>
        <w:t> </w:t>
      </w:r>
    </w:p>
    <w:p w14:paraId="3FD8062F" w14:textId="77777777" w:rsidR="00AF7E77" w:rsidRPr="00726D52" w:rsidRDefault="00AF7E77" w:rsidP="47D76F3C">
      <w:pPr>
        <w:pStyle w:val="paragraph"/>
        <w:spacing w:before="0" w:beforeAutospacing="0" w:after="120" w:afterAutospacing="0"/>
        <w:jc w:val="both"/>
        <w:rPr>
          <w:rStyle w:val="normaltextrun"/>
          <w:i/>
          <w:iCs/>
          <w:noProof/>
          <w:color w:val="0E2841"/>
          <w:sz w:val="20"/>
          <w:szCs w:val="20"/>
          <w:highlight w:val="yellow"/>
          <w:lang w:val="en-GB"/>
        </w:rPr>
      </w:pPr>
    </w:p>
    <w:p w14:paraId="1D221CA2" w14:textId="77777777" w:rsidR="00D3451A" w:rsidRPr="00726D52" w:rsidRDefault="00D3451A" w:rsidP="47D76F3C">
      <w:pPr>
        <w:pStyle w:val="paragraph"/>
        <w:spacing w:before="0" w:beforeAutospacing="0" w:after="120" w:afterAutospacing="0"/>
        <w:jc w:val="both"/>
        <w:rPr>
          <w:rStyle w:val="normaltextrun"/>
          <w:i/>
          <w:iCs/>
          <w:noProof/>
          <w:color w:val="0E2841"/>
          <w:sz w:val="20"/>
          <w:szCs w:val="20"/>
          <w:highlight w:val="yellow"/>
          <w:lang w:val="en-GB"/>
        </w:rPr>
        <w:sectPr w:rsidR="00D3451A" w:rsidRPr="00726D52" w:rsidSect="006C2EF1">
          <w:headerReference w:type="default" r:id="rId50"/>
          <w:footerReference w:type="default" r:id="rId51"/>
          <w:headerReference w:type="first" r:id="rId52"/>
          <w:footerReference w:type="first" r:id="rId53"/>
          <w:pgSz w:w="11906" w:h="16838"/>
          <w:pgMar w:top="1020" w:right="1701" w:bottom="1020" w:left="1587" w:header="601" w:footer="1077" w:gutter="0"/>
          <w:cols w:space="720"/>
          <w:titlePg/>
          <w:docGrid w:linePitch="326"/>
        </w:sectPr>
      </w:pPr>
    </w:p>
    <w:p w14:paraId="1FEBDBA2" w14:textId="5657DC42" w:rsidR="00F14A50" w:rsidRPr="00726D52" w:rsidRDefault="00D3451A" w:rsidP="0008184A">
      <w:pPr>
        <w:pStyle w:val="paragraph"/>
        <w:keepNext/>
        <w:spacing w:before="0" w:beforeAutospacing="0" w:after="120" w:afterAutospacing="0"/>
        <w:jc w:val="both"/>
        <w:rPr>
          <w:noProof/>
          <w:lang w:val="en-GB"/>
        </w:rPr>
      </w:pPr>
      <w:r w:rsidRPr="00726D52">
        <w:rPr>
          <w:noProof/>
          <w:lang w:val="en-GB" w:eastAsia="en-GB"/>
        </w:rPr>
        <w:lastRenderedPageBreak/>
        <w:drawing>
          <wp:inline distT="0" distB="0" distL="0" distR="0" wp14:anchorId="1B3DB557" wp14:editId="0071909D">
            <wp:extent cx="9201150" cy="5175725"/>
            <wp:effectExtent l="0" t="0" r="0" b="0"/>
            <wp:docPr id="4561793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79313"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9202967" cy="5176747"/>
                    </a:xfrm>
                    <a:prstGeom prst="rect">
                      <a:avLst/>
                    </a:prstGeom>
                  </pic:spPr>
                </pic:pic>
              </a:graphicData>
            </a:graphic>
          </wp:inline>
        </w:drawing>
      </w:r>
    </w:p>
    <w:p w14:paraId="40E3245E" w14:textId="2851F31D" w:rsidR="001119D3" w:rsidRPr="00726D52" w:rsidRDefault="00F14A50" w:rsidP="0008184A">
      <w:pPr>
        <w:pStyle w:val="Caption"/>
        <w:spacing w:after="120"/>
        <w:textAlignment w:val="baseline"/>
        <w:rPr>
          <w:rStyle w:val="eop"/>
          <w:noProof/>
          <w:color w:val="0E2841"/>
          <w:sz w:val="20"/>
          <w:szCs w:val="20"/>
        </w:rPr>
      </w:pPr>
      <w:r w:rsidRPr="00726D52">
        <w:rPr>
          <w:noProof/>
          <w:sz w:val="20"/>
          <w:szCs w:val="20"/>
        </w:rPr>
        <w:t xml:space="preserve">Figure </w:t>
      </w:r>
      <w:r w:rsidR="0082456F" w:rsidRPr="00726D52">
        <w:rPr>
          <w:noProof/>
          <w:sz w:val="20"/>
          <w:szCs w:val="20"/>
        </w:rPr>
        <w:t>2</w:t>
      </w:r>
      <w:r w:rsidRPr="00726D52">
        <w:rPr>
          <w:noProof/>
          <w:sz w:val="20"/>
          <w:szCs w:val="20"/>
        </w:rPr>
        <w:t>: Intervention logic</w:t>
      </w:r>
      <w:r w:rsidR="006C32C2" w:rsidRPr="00726D52">
        <w:rPr>
          <w:rStyle w:val="eop"/>
          <w:noProof/>
          <w:color w:val="0E2841"/>
          <w:sz w:val="20"/>
          <w:szCs w:val="20"/>
        </w:rPr>
        <w:t xml:space="preserve"> </w:t>
      </w:r>
    </w:p>
    <w:p w14:paraId="634D11EB" w14:textId="7C3408D5" w:rsidR="00AF7E77" w:rsidRPr="00726D52" w:rsidRDefault="00AF7E77" w:rsidP="32BEBD84">
      <w:pPr>
        <w:pStyle w:val="paragraph"/>
        <w:spacing w:before="0" w:beforeAutospacing="0" w:after="120" w:afterAutospacing="0"/>
        <w:jc w:val="both"/>
        <w:textAlignment w:val="baseline"/>
        <w:rPr>
          <w:rStyle w:val="eop"/>
          <w:noProof/>
          <w:color w:val="0E2841"/>
          <w:sz w:val="20"/>
          <w:szCs w:val="20"/>
          <w:lang w:val="en-GB"/>
        </w:rPr>
        <w:sectPr w:rsidR="00AF7E77" w:rsidRPr="00726D52" w:rsidSect="0082690B">
          <w:headerReference w:type="default" r:id="rId56"/>
          <w:footerReference w:type="default" r:id="rId57"/>
          <w:headerReference w:type="first" r:id="rId58"/>
          <w:footerReference w:type="first" r:id="rId59"/>
          <w:pgSz w:w="16838" w:h="11906" w:orient="landscape"/>
          <w:pgMar w:top="1587" w:right="1020" w:bottom="1701" w:left="1020" w:header="601" w:footer="1077" w:gutter="0"/>
          <w:cols w:space="720"/>
          <w:titlePg/>
          <w:docGrid w:linePitch="326"/>
        </w:sectPr>
      </w:pPr>
    </w:p>
    <w:p w14:paraId="4BA6CD65" w14:textId="16DA055E" w:rsidR="00D20FD1" w:rsidRPr="00726D52" w:rsidRDefault="6F41531A" w:rsidP="009502B2">
      <w:pPr>
        <w:pStyle w:val="Heading3"/>
        <w:numPr>
          <w:ilvl w:val="1"/>
          <w:numId w:val="34"/>
        </w:numPr>
        <w:tabs>
          <w:tab w:val="clear" w:pos="9007"/>
        </w:tabs>
        <w:spacing w:before="240"/>
        <w:rPr>
          <w:noProof/>
        </w:rPr>
      </w:pPr>
      <w:r w:rsidRPr="00726D52">
        <w:rPr>
          <w:noProof/>
        </w:rPr>
        <w:lastRenderedPageBreak/>
        <w:t>Points of comparison</w:t>
      </w:r>
    </w:p>
    <w:p w14:paraId="7766E25F" w14:textId="77777777" w:rsidR="00722AAD" w:rsidRPr="00726D52" w:rsidRDefault="00722AAD" w:rsidP="00722AAD">
      <w:pPr>
        <w:spacing w:before="120" w:after="0"/>
        <w:rPr>
          <w:rFonts w:eastAsia="Times New Roman"/>
          <w:noProof/>
        </w:rPr>
      </w:pPr>
      <w:r w:rsidRPr="00726D52">
        <w:rPr>
          <w:rFonts w:eastAsia="Times New Roman"/>
          <w:noProof/>
        </w:rPr>
        <w:t xml:space="preserve">This section explains the points of comparison used to assess the impact of Regulation (EU) 2016/794 and its amendment by Regulation (EU) 2022/991 on Europol’s functioning. The evaluation relies primarily on </w:t>
      </w:r>
      <w:r w:rsidRPr="00726D52">
        <w:rPr>
          <w:rFonts w:eastAsia="Times New Roman"/>
          <w:b/>
          <w:bCs/>
          <w:noProof/>
        </w:rPr>
        <w:t>temporal comparisons</w:t>
      </w:r>
      <w:r w:rsidRPr="00726D52">
        <w:rPr>
          <w:rFonts w:eastAsia="Times New Roman"/>
          <w:noProof/>
        </w:rPr>
        <w:t xml:space="preserve"> between the situation prior to the adoption of the Regulation and developments observed during its implementation.</w:t>
      </w:r>
    </w:p>
    <w:p w14:paraId="41074435" w14:textId="77777777" w:rsidR="00722AAD" w:rsidRPr="00726D52" w:rsidRDefault="00722AAD" w:rsidP="00722AAD">
      <w:pPr>
        <w:spacing w:before="120" w:after="0"/>
        <w:rPr>
          <w:rFonts w:eastAsia="Times New Roman"/>
          <w:noProof/>
        </w:rPr>
      </w:pPr>
      <w:r w:rsidRPr="00726D52">
        <w:rPr>
          <w:rFonts w:eastAsia="Times New Roman"/>
          <w:noProof/>
        </w:rPr>
        <w:t xml:space="preserve">The main </w:t>
      </w:r>
      <w:r w:rsidRPr="00726D52">
        <w:rPr>
          <w:rFonts w:eastAsia="Times New Roman"/>
          <w:b/>
          <w:bCs/>
          <w:noProof/>
        </w:rPr>
        <w:t>baseline</w:t>
      </w:r>
      <w:r w:rsidRPr="00726D52">
        <w:rPr>
          <w:rFonts w:eastAsia="Times New Roman"/>
          <w:noProof/>
        </w:rPr>
        <w:t xml:space="preserve"> for the evaluation is the situation before the entry into force of Regulation (EU) 2016/794, when Europol operated under the legal framework established by the 2009 Council Decision. This baseline provides a reference point for assessing how the 2016 Regulation strengthened Europol’s governance framework, operational mandate and analytical capabilities.</w:t>
      </w:r>
    </w:p>
    <w:p w14:paraId="4ED07C18" w14:textId="77777777" w:rsidR="00722AAD" w:rsidRPr="00726D52" w:rsidRDefault="00722AAD" w:rsidP="00722AAD">
      <w:pPr>
        <w:spacing w:before="120" w:after="0"/>
        <w:rPr>
          <w:rFonts w:eastAsia="Times New Roman"/>
          <w:noProof/>
        </w:rPr>
      </w:pPr>
      <w:r w:rsidRPr="00726D52">
        <w:rPr>
          <w:rFonts w:eastAsia="Times New Roman"/>
          <w:noProof/>
        </w:rPr>
        <w:t>The evaluation then examines developments during the implementation period of the Regulation, from its entry into force in 2017 to 2024. Within this period, particular attention is given to developments following the entry into force of Regulation (EU) 2022/991. This allows the evaluation to assess both the longer-term effects of the 2016 Regulation and the early impacts of the 2022 amendment.</w:t>
      </w:r>
    </w:p>
    <w:p w14:paraId="2F359291" w14:textId="77777777" w:rsidR="00722AAD" w:rsidRPr="00726D52" w:rsidRDefault="00722AAD" w:rsidP="00722AAD">
      <w:pPr>
        <w:spacing w:before="120" w:after="0"/>
        <w:rPr>
          <w:rFonts w:eastAsia="Times New Roman"/>
          <w:noProof/>
        </w:rPr>
      </w:pPr>
      <w:r w:rsidRPr="00726D52">
        <w:rPr>
          <w:rFonts w:eastAsia="Times New Roman"/>
          <w:noProof/>
        </w:rPr>
        <w:t xml:space="preserve">To structure the analysis, the evaluation examines developments across </w:t>
      </w:r>
      <w:r w:rsidRPr="00726D52">
        <w:rPr>
          <w:rFonts w:eastAsia="Times New Roman"/>
          <w:b/>
          <w:bCs/>
          <w:noProof/>
        </w:rPr>
        <w:t xml:space="preserve">six core activity areas </w:t>
      </w:r>
      <w:r w:rsidRPr="00726D52">
        <w:rPr>
          <w:rFonts w:eastAsia="Times New Roman"/>
          <w:noProof/>
        </w:rPr>
        <w:t>reflecting Europol’s main operational functions: information management, operational support, strategic analysis, specialised expertise through operational centres, cooperation with private sector entities and external cooperation with international partners. These activity areas serve as analytical benchmarks for assessing changes in Europol’s operational output, use of information systems and support to Member States over the evaluation period.</w:t>
      </w:r>
    </w:p>
    <w:p w14:paraId="35448318" w14:textId="77777777" w:rsidR="00722AAD" w:rsidRPr="00726D52" w:rsidRDefault="00722AAD" w:rsidP="00722AAD">
      <w:pPr>
        <w:spacing w:before="120" w:after="0"/>
        <w:rPr>
          <w:rFonts w:eastAsia="Times New Roman"/>
          <w:noProof/>
        </w:rPr>
      </w:pPr>
      <w:r w:rsidRPr="00726D52">
        <w:rPr>
          <w:rFonts w:eastAsia="Times New Roman"/>
          <w:noProof/>
        </w:rPr>
        <w:t xml:space="preserve">In addition to temporal comparisons, the evaluation also considers </w:t>
      </w:r>
      <w:r w:rsidRPr="00726D52">
        <w:rPr>
          <w:rFonts w:eastAsia="Times New Roman"/>
          <w:b/>
          <w:bCs/>
          <w:noProof/>
        </w:rPr>
        <w:t>contextual benchmarks</w:t>
      </w:r>
      <w:r w:rsidRPr="00726D52">
        <w:rPr>
          <w:rFonts w:eastAsia="Times New Roman"/>
          <w:noProof/>
        </w:rPr>
        <w:t xml:space="preserve"> in order to better understand Europol’s role within the broader EU security architecture. This includes comparisons with other EU bodies involved in combatting cross-border crime, such as Frontex and the European Public Prosecutor’s Office, as well as reference to international cooperation mechanisms, notably Interpol, in order to contextualise Europol’s position as an EU-level criminal intelligence hub.</w:t>
      </w:r>
    </w:p>
    <w:p w14:paraId="2065EEF6" w14:textId="77777777" w:rsidR="00722AAD" w:rsidRPr="00726D52" w:rsidRDefault="00722AAD" w:rsidP="00722AAD">
      <w:pPr>
        <w:spacing w:before="120" w:after="0"/>
        <w:rPr>
          <w:rFonts w:eastAsia="Times New Roman"/>
          <w:noProof/>
        </w:rPr>
      </w:pPr>
      <w:r w:rsidRPr="00726D52">
        <w:rPr>
          <w:rFonts w:eastAsia="Times New Roman"/>
          <w:noProof/>
        </w:rPr>
        <w:t xml:space="preserve">Finally, </w:t>
      </w:r>
      <w:r w:rsidRPr="00726D52">
        <w:rPr>
          <w:rFonts w:eastAsia="Times New Roman"/>
          <w:b/>
          <w:bCs/>
          <w:noProof/>
        </w:rPr>
        <w:t>thematic comparisons</w:t>
      </w:r>
      <w:r w:rsidRPr="00726D52">
        <w:rPr>
          <w:rFonts w:eastAsia="Times New Roman"/>
          <w:noProof/>
        </w:rPr>
        <w:t xml:space="preserve"> are used to assess how Europol’s activities have evolved in response to emerging crime threats. This includes examining developments in areas such as cybercrime, terrorism, human trafficking and financial crime, in order to determine whether the regulatory framework has enabled Europol to adapt its operational and analytical support to the evolving security environment.</w:t>
      </w:r>
    </w:p>
    <w:p w14:paraId="7F49DDDE" w14:textId="79CDDEBA" w:rsidR="70379E36" w:rsidRPr="00726D52" w:rsidRDefault="00722AAD" w:rsidP="00722AAD">
      <w:pPr>
        <w:spacing w:before="120"/>
        <w:rPr>
          <w:noProof/>
        </w:rPr>
      </w:pPr>
      <w:r w:rsidRPr="00726D52">
        <w:rPr>
          <w:rFonts w:eastAsia="Times New Roman"/>
          <w:noProof/>
        </w:rPr>
        <w:t>Taken together, these points of comparison allow the evaluation to assess whether the current legal framework has strengthened Europol’s operational effectiveness, improved information exchange and analytical support to Member States, and enhanced cooperation with relevant partners at EU and international level.</w:t>
      </w:r>
    </w:p>
    <w:p w14:paraId="75F2D706" w14:textId="77777777" w:rsidR="005A4973" w:rsidRPr="00726D52" w:rsidRDefault="005A4973" w:rsidP="009502B2">
      <w:pPr>
        <w:pStyle w:val="Heading2"/>
        <w:numPr>
          <w:ilvl w:val="0"/>
          <w:numId w:val="34"/>
        </w:numPr>
        <w:rPr>
          <w:noProof/>
        </w:rPr>
      </w:pPr>
      <w:r w:rsidRPr="00726D52">
        <w:rPr>
          <w:noProof/>
        </w:rPr>
        <w:t>What was the expected outcome of the intervention?</w:t>
      </w:r>
    </w:p>
    <w:p w14:paraId="56EDAC44" w14:textId="77777777" w:rsidR="00DB2FC6" w:rsidRPr="00726D52" w:rsidRDefault="00DB2FC6" w:rsidP="00DB2FC6">
      <w:pPr>
        <w:spacing w:before="240"/>
        <w:rPr>
          <w:noProof/>
        </w:rPr>
      </w:pPr>
      <w:r w:rsidRPr="00726D52">
        <w:rPr>
          <w:noProof/>
        </w:rPr>
        <w:t xml:space="preserve">The intervention evaluated in this report is </w:t>
      </w:r>
      <w:r w:rsidRPr="00726D52">
        <w:rPr>
          <w:b/>
          <w:bCs/>
          <w:noProof/>
        </w:rPr>
        <w:t>Regulation (EU) 2016/794</w:t>
      </w:r>
      <w:r w:rsidRPr="00726D52">
        <w:rPr>
          <w:noProof/>
        </w:rPr>
        <w:t xml:space="preserve">, which entered into force in May 2017 and established the current legal framework governing </w:t>
      </w:r>
      <w:r w:rsidRPr="00726D52">
        <w:rPr>
          <w:b/>
          <w:bCs/>
          <w:noProof/>
        </w:rPr>
        <w:t>Europol</w:t>
      </w:r>
      <w:r w:rsidRPr="00726D52">
        <w:rPr>
          <w:noProof/>
        </w:rPr>
        <w:t xml:space="preserve">. The Regulation replaced the framework established by </w:t>
      </w:r>
      <w:r w:rsidRPr="00726D52">
        <w:rPr>
          <w:b/>
          <w:bCs/>
          <w:noProof/>
        </w:rPr>
        <w:t>Council Decision 2009/371/JHA</w:t>
      </w:r>
      <w:r w:rsidRPr="00726D52">
        <w:rPr>
          <w:noProof/>
        </w:rPr>
        <w:t xml:space="preserve">, under which Europol had operated since 2010. The reform responded to the growing cross-border dimension of serious and organised crime and terrorism, which increasingly required more effective mechanisms for information exchange, criminal intelligence </w:t>
      </w:r>
      <w:r w:rsidRPr="00726D52">
        <w:rPr>
          <w:noProof/>
        </w:rPr>
        <w:lastRenderedPageBreak/>
        <w:t>analysis and operational coordination between Member States</w:t>
      </w:r>
      <w:r w:rsidRPr="00726D52">
        <w:rPr>
          <w:rStyle w:val="FootnoteReference"/>
          <w:noProof/>
        </w:rPr>
        <w:footnoteReference w:id="167"/>
      </w:r>
      <w:r w:rsidRPr="00726D52">
        <w:rPr>
          <w:noProof/>
        </w:rPr>
        <w:t>. The need for the intervention was linked to limitations identified in the previous legal framework, including restrictions on Europol’s ability to process operational data, support investigations and cooperate effectively with other EU bodies and external partners.</w:t>
      </w:r>
    </w:p>
    <w:p w14:paraId="76F694A0" w14:textId="77777777" w:rsidR="00DB2FC6" w:rsidRPr="00726D52" w:rsidRDefault="00DB2FC6" w:rsidP="00DB2FC6">
      <w:pPr>
        <w:spacing w:before="240"/>
        <w:rPr>
          <w:noProof/>
        </w:rPr>
      </w:pPr>
      <w:r w:rsidRPr="00726D52">
        <w:rPr>
          <w:noProof/>
        </w:rPr>
        <w:t>The general objective of the Regulation was to enhance cooperation between law-enforcement authorities in the Union and to strengthen support to Member States in preventing and combating serious and organised crime and terrorism affecting two or more Member States</w:t>
      </w:r>
      <w:r w:rsidRPr="00726D52">
        <w:rPr>
          <w:rStyle w:val="FootnoteReference"/>
          <w:noProof/>
        </w:rPr>
        <w:footnoteReference w:id="168"/>
      </w:r>
      <w:r w:rsidRPr="00726D52">
        <w:rPr>
          <w:noProof/>
        </w:rPr>
        <w:t>. To achieve this objective, the Regulation clarified Europol’s tasks and strengthened its mandate to provide criminal intelligence analysis, operational coordination and specialised support to investigations, as well as to manage EU-level information systems used for law-enforcement cooperation</w:t>
      </w:r>
      <w:r w:rsidRPr="00726D52">
        <w:rPr>
          <w:rStyle w:val="FootnoteReference"/>
          <w:noProof/>
        </w:rPr>
        <w:footnoteReference w:id="169"/>
      </w:r>
      <w:r w:rsidRPr="00726D52">
        <w:rPr>
          <w:noProof/>
        </w:rPr>
        <w:t>.</w:t>
      </w:r>
    </w:p>
    <w:p w14:paraId="6CB0BBDA" w14:textId="77777777" w:rsidR="00DB2FC6" w:rsidRPr="00726D52" w:rsidRDefault="00DB2FC6" w:rsidP="00DB2FC6">
      <w:pPr>
        <w:spacing w:before="240"/>
        <w:rPr>
          <w:noProof/>
        </w:rPr>
      </w:pPr>
      <w:r w:rsidRPr="00726D52">
        <w:rPr>
          <w:noProof/>
        </w:rPr>
        <w:t xml:space="preserve">The intervention logic underlying the Regulation expected that strengthening Europol’s mandate and analytical capabilities would lead to increased use of Europol’s information systems, greater analytical and operational support provided to Member States’ investigations and stronger coordination of cross-border law-enforcement actions. These outputs were expected to </w:t>
      </w:r>
      <w:r w:rsidRPr="00726D52">
        <w:rPr>
          <w:b/>
          <w:bCs/>
          <w:noProof/>
        </w:rPr>
        <w:t>improve the identification of links between criminal investigations conducted in different Member States</w:t>
      </w:r>
      <w:r w:rsidRPr="00726D52">
        <w:rPr>
          <w:noProof/>
        </w:rPr>
        <w:t xml:space="preserve"> and facilitate coordinated investigations targeting organised criminal networks operating across jurisdictions</w:t>
      </w:r>
      <w:r w:rsidRPr="00726D52">
        <w:rPr>
          <w:rStyle w:val="FootnoteReference"/>
          <w:noProof/>
        </w:rPr>
        <w:footnoteReference w:id="170"/>
      </w:r>
      <w:r w:rsidRPr="00726D52">
        <w:rPr>
          <w:noProof/>
        </w:rPr>
        <w:t>. Ultimately, the intervention was expected to contribute to strengthening the EU’s capacity to combat serious and organised crime and terrorism with a cross-border dimension and to improve the effectiveness of law-enforcement cooperation across the Union. These objectives are also consistent with broader EU policy goals on internal security</w:t>
      </w:r>
      <w:r w:rsidRPr="00726D52">
        <w:rPr>
          <w:rStyle w:val="FootnoteReference"/>
          <w:noProof/>
        </w:rPr>
        <w:footnoteReference w:id="171"/>
      </w:r>
      <w:r w:rsidRPr="00726D52">
        <w:rPr>
          <w:noProof/>
        </w:rPr>
        <w:t xml:space="preserve"> and contribute indirectly to SDG 16 (peace, justice and strong institutions), particularly targets relating to combating organised crime and strengthening institutional capacity</w:t>
      </w:r>
      <w:r w:rsidRPr="00726D52">
        <w:rPr>
          <w:rStyle w:val="FootnoteReference"/>
          <w:noProof/>
        </w:rPr>
        <w:footnoteReference w:id="172"/>
      </w:r>
      <w:r w:rsidRPr="00726D52">
        <w:rPr>
          <w:noProof/>
        </w:rPr>
        <w:t xml:space="preserve">. </w:t>
      </w:r>
    </w:p>
    <w:p w14:paraId="11EA489B" w14:textId="4B37D61C" w:rsidR="002D1429" w:rsidRPr="00726D52" w:rsidRDefault="00DB2FC6" w:rsidP="00DB2FC6">
      <w:pPr>
        <w:rPr>
          <w:noProof/>
        </w:rPr>
      </w:pPr>
      <w:r w:rsidRPr="00726D52">
        <w:rPr>
          <w:noProof/>
        </w:rPr>
        <w:t>The evaluation therefore assesses whether these expected outputs, results and impacts materialised during the evaluation period 2017-2024 compared with the baseline situation under the previous legal framework between 2014 and 2016.</w:t>
      </w:r>
    </w:p>
    <w:p w14:paraId="7297C751" w14:textId="2CC44CB3" w:rsidR="00D20FD1" w:rsidRPr="00726D52" w:rsidRDefault="6F41531A" w:rsidP="009502B2">
      <w:pPr>
        <w:pStyle w:val="Heading2"/>
        <w:numPr>
          <w:ilvl w:val="0"/>
          <w:numId w:val="34"/>
        </w:numPr>
        <w:rPr>
          <w:noProof/>
        </w:rPr>
      </w:pPr>
      <w:r w:rsidRPr="00726D52">
        <w:rPr>
          <w:noProof/>
        </w:rPr>
        <w:t>How has the situation evolved over the evaluation period?</w:t>
      </w:r>
    </w:p>
    <w:p w14:paraId="5F029211" w14:textId="1A312D45" w:rsidR="7AE193BC" w:rsidRPr="00726D52" w:rsidRDefault="6F41531A" w:rsidP="009502B2">
      <w:pPr>
        <w:pStyle w:val="Heading3"/>
        <w:numPr>
          <w:ilvl w:val="1"/>
          <w:numId w:val="34"/>
        </w:numPr>
        <w:tabs>
          <w:tab w:val="clear" w:pos="9007"/>
        </w:tabs>
        <w:rPr>
          <w:noProof/>
        </w:rPr>
      </w:pPr>
      <w:r w:rsidRPr="00726D52">
        <w:rPr>
          <w:noProof/>
        </w:rPr>
        <w:t>Current state of play</w:t>
      </w:r>
    </w:p>
    <w:p w14:paraId="41CEB238" w14:textId="77777777" w:rsidR="006A5346" w:rsidRPr="00726D52" w:rsidRDefault="006A5346" w:rsidP="006A5346">
      <w:pPr>
        <w:pStyle w:val="NormalWeb"/>
        <w:jc w:val="both"/>
        <w:rPr>
          <w:noProof/>
          <w:lang w:val="en-GB"/>
        </w:rPr>
      </w:pPr>
      <w:r w:rsidRPr="00726D52">
        <w:rPr>
          <w:noProof/>
          <w:lang w:val="en-GB"/>
        </w:rPr>
        <w:t>This section describes how Europol’s activities and operational capacity evolved during the evaluation period 2017-2024 following the entry into force of Regulation (EU) 2016/794. Developments are compared with the baseline period 2014-2016, when Europol operated under the legal framework established by the 2009 Council Decision.</w:t>
      </w:r>
    </w:p>
    <w:p w14:paraId="3197E809" w14:textId="77777777" w:rsidR="006A5346" w:rsidRPr="00726D52" w:rsidRDefault="006A5346" w:rsidP="006A5346">
      <w:pPr>
        <w:pStyle w:val="NormalWeb"/>
        <w:spacing w:before="0" w:beforeAutospacing="0" w:after="240" w:afterAutospacing="0"/>
        <w:jc w:val="both"/>
        <w:rPr>
          <w:noProof/>
          <w:lang w:val="en-GB"/>
        </w:rPr>
      </w:pPr>
      <w:r w:rsidRPr="00726D52">
        <w:rPr>
          <w:noProof/>
          <w:lang w:val="en-GB"/>
        </w:rPr>
        <w:lastRenderedPageBreak/>
        <w:t xml:space="preserve">During the evaluation period, Europol’s activities developed across </w:t>
      </w:r>
      <w:r w:rsidRPr="00726D52">
        <w:rPr>
          <w:b/>
          <w:bCs/>
          <w:noProof/>
          <w:lang w:val="en-GB"/>
        </w:rPr>
        <w:t>three main areas</w:t>
      </w:r>
      <w:r w:rsidRPr="00726D52">
        <w:rPr>
          <w:noProof/>
          <w:lang w:val="en-GB"/>
        </w:rPr>
        <w:t>: information management, operational support and analytical capabilities, and cooperation with operational partners.</w:t>
      </w:r>
    </w:p>
    <w:p w14:paraId="2BAD6502" w14:textId="77777777" w:rsidR="006A5346" w:rsidRPr="00726D52" w:rsidRDefault="006A5346" w:rsidP="006A5346">
      <w:pPr>
        <w:spacing w:before="120" w:after="0"/>
        <w:rPr>
          <w:rFonts w:eastAsia="Times New Roman"/>
          <w:noProof/>
          <w:u w:val="single"/>
        </w:rPr>
      </w:pPr>
      <w:r w:rsidRPr="00726D52">
        <w:rPr>
          <w:rFonts w:eastAsia="Times New Roman"/>
          <w:b/>
          <w:bCs/>
          <w:noProof/>
          <w:u w:val="single"/>
        </w:rPr>
        <w:t>Information management</w:t>
      </w:r>
    </w:p>
    <w:p w14:paraId="3608B8FF" w14:textId="77777777" w:rsidR="006A5346" w:rsidRPr="00726D52" w:rsidRDefault="006A5346" w:rsidP="006A5346">
      <w:pPr>
        <w:spacing w:before="120" w:after="0"/>
        <w:rPr>
          <w:rFonts w:eastAsia="Times New Roman"/>
          <w:noProof/>
        </w:rPr>
      </w:pPr>
      <w:r w:rsidRPr="00726D52">
        <w:rPr>
          <w:rFonts w:eastAsia="Times New Roman"/>
          <w:noProof/>
        </w:rPr>
        <w:t xml:space="preserve">Europol acts as a </w:t>
      </w:r>
      <w:r w:rsidRPr="00726D52">
        <w:rPr>
          <w:rFonts w:eastAsia="Times New Roman"/>
          <w:b/>
          <w:bCs/>
          <w:noProof/>
        </w:rPr>
        <w:t>hub for criminal intelligence exchange</w:t>
      </w:r>
      <w:r w:rsidRPr="00726D52">
        <w:rPr>
          <w:rFonts w:eastAsia="Times New Roman"/>
          <w:noProof/>
        </w:rPr>
        <w:t xml:space="preserve"> between EU law enforcement authorities. Secure operational communication is primarily conducted through the Secure Information Exchange Network Application (SIENA), supported by the Europol Information System (EIS) and the Querying Europol Systems (QUEST) interface. These systems enable national authorities to exchange operational messages, query data stored in Europol systems and identify links between investigations.</w:t>
      </w:r>
    </w:p>
    <w:p w14:paraId="07ADDC1E" w14:textId="77777777" w:rsidR="006A5346" w:rsidRPr="00726D52" w:rsidRDefault="006A5346" w:rsidP="006A5346">
      <w:pPr>
        <w:spacing w:before="120" w:after="120"/>
        <w:rPr>
          <w:rFonts w:eastAsia="Times New Roman"/>
          <w:noProof/>
        </w:rPr>
      </w:pPr>
      <w:r w:rsidRPr="00726D52">
        <w:rPr>
          <w:rFonts w:eastAsia="Times New Roman"/>
          <w:noProof/>
        </w:rPr>
        <w:t xml:space="preserve">During the evaluation period, the volume of operational exchanges conducted through </w:t>
      </w:r>
      <w:r w:rsidRPr="00726D52">
        <w:rPr>
          <w:rFonts w:eastAsia="Times New Roman"/>
          <w:b/>
          <w:bCs/>
          <w:noProof/>
        </w:rPr>
        <w:t>SIENA increased steadily,</w:t>
      </w:r>
      <w:r w:rsidRPr="00726D52">
        <w:rPr>
          <w:rFonts w:eastAsia="Times New Roman"/>
          <w:noProof/>
        </w:rPr>
        <w:t xml:space="preserve"> and its use also contributed to a rise in the number of operational cases. During the same period, the number of competent authorities connected to SIENA expanded to include national law enforcement authorities, customs administrations, and Police and Customs Cooperation Centres (PCCCs)</w:t>
      </w:r>
      <w:r w:rsidRPr="00726D52">
        <w:rPr>
          <w:rStyle w:val="FootnoteReference"/>
          <w:rFonts w:eastAsia="Times New Roman"/>
          <w:noProof/>
        </w:rPr>
        <w:footnoteReference w:id="173"/>
      </w:r>
      <w:r w:rsidRPr="00726D52">
        <w:rPr>
          <w:rFonts w:eastAsia="Times New Roman"/>
          <w:noProof/>
        </w:rPr>
        <w:t>.</w:t>
      </w:r>
    </w:p>
    <w:tbl>
      <w:tblPr>
        <w:tblStyle w:val="TableGrid"/>
        <w:tblW w:w="0" w:type="auto"/>
        <w:tblLook w:val="04A0" w:firstRow="1" w:lastRow="0" w:firstColumn="1" w:lastColumn="0" w:noHBand="0" w:noVBand="1"/>
      </w:tblPr>
      <w:tblGrid>
        <w:gridCol w:w="2116"/>
        <w:gridCol w:w="2466"/>
        <w:gridCol w:w="2216"/>
        <w:gridCol w:w="1809"/>
      </w:tblGrid>
      <w:tr w:rsidR="006A5346" w:rsidRPr="00726D52" w14:paraId="03A5E6B5" w14:textId="77777777" w:rsidTr="2A3DAE1F">
        <w:tc>
          <w:tcPr>
            <w:tcW w:w="8607" w:type="dxa"/>
            <w:gridSpan w:val="4"/>
            <w:shd w:val="clear" w:color="auto" w:fill="B7CFED"/>
            <w:vAlign w:val="center"/>
          </w:tcPr>
          <w:p w14:paraId="33E21755" w14:textId="77777777" w:rsidR="006A5346" w:rsidRPr="00726D52" w:rsidRDefault="006A5346" w:rsidP="00C05BFC">
            <w:pPr>
              <w:spacing w:before="120" w:after="120"/>
              <w:jc w:val="center"/>
              <w:rPr>
                <w:b/>
                <w:bCs/>
                <w:noProof/>
              </w:rPr>
            </w:pPr>
            <w:r w:rsidRPr="00726D52">
              <w:rPr>
                <w:b/>
                <w:bCs/>
                <w:noProof/>
              </w:rPr>
              <w:t>SIENA</w:t>
            </w:r>
          </w:p>
        </w:tc>
      </w:tr>
      <w:tr w:rsidR="006A5346" w:rsidRPr="00726D52" w14:paraId="0BD7711C" w14:textId="77777777" w:rsidTr="2A3DAE1F">
        <w:tc>
          <w:tcPr>
            <w:tcW w:w="2116" w:type="dxa"/>
            <w:shd w:val="clear" w:color="auto" w:fill="B7CFED"/>
            <w:vAlign w:val="center"/>
          </w:tcPr>
          <w:p w14:paraId="0E906488" w14:textId="77777777" w:rsidR="006A5346" w:rsidRPr="00726D52" w:rsidRDefault="006A5346" w:rsidP="00C05BFC">
            <w:pPr>
              <w:spacing w:before="120" w:after="120"/>
              <w:jc w:val="center"/>
              <w:rPr>
                <w:b/>
                <w:bCs/>
                <w:noProof/>
              </w:rPr>
            </w:pPr>
            <w:r w:rsidRPr="00726D52">
              <w:rPr>
                <w:b/>
                <w:bCs/>
                <w:noProof/>
              </w:rPr>
              <w:t>Year</w:t>
            </w:r>
          </w:p>
        </w:tc>
        <w:tc>
          <w:tcPr>
            <w:tcW w:w="2466" w:type="dxa"/>
            <w:shd w:val="clear" w:color="auto" w:fill="B7CFED"/>
            <w:vAlign w:val="center"/>
          </w:tcPr>
          <w:p w14:paraId="546D606A" w14:textId="77777777" w:rsidR="006A5346" w:rsidRPr="00726D52" w:rsidRDefault="006A5346" w:rsidP="00C05BFC">
            <w:pPr>
              <w:spacing w:before="120" w:after="120"/>
              <w:jc w:val="center"/>
              <w:rPr>
                <w:b/>
                <w:bCs/>
                <w:noProof/>
              </w:rPr>
            </w:pPr>
            <w:r w:rsidRPr="00726D52">
              <w:rPr>
                <w:b/>
                <w:bCs/>
                <w:noProof/>
              </w:rPr>
              <w:t>Messages exchanged</w:t>
            </w:r>
          </w:p>
        </w:tc>
        <w:tc>
          <w:tcPr>
            <w:tcW w:w="2216" w:type="dxa"/>
            <w:shd w:val="clear" w:color="auto" w:fill="B7CFED"/>
          </w:tcPr>
          <w:p w14:paraId="0318A664" w14:textId="77777777" w:rsidR="006A5346" w:rsidRPr="00726D52" w:rsidRDefault="006A5346" w:rsidP="00C05BFC">
            <w:pPr>
              <w:spacing w:before="120" w:after="120"/>
              <w:jc w:val="center"/>
              <w:rPr>
                <w:b/>
                <w:bCs/>
                <w:noProof/>
              </w:rPr>
            </w:pPr>
            <w:r w:rsidRPr="00726D52">
              <w:rPr>
                <w:b/>
                <w:bCs/>
                <w:noProof/>
              </w:rPr>
              <w:t>Creation of operational cases</w:t>
            </w:r>
          </w:p>
        </w:tc>
        <w:tc>
          <w:tcPr>
            <w:tcW w:w="1809" w:type="dxa"/>
            <w:shd w:val="clear" w:color="auto" w:fill="B7CFED"/>
          </w:tcPr>
          <w:p w14:paraId="63B402AC" w14:textId="77777777" w:rsidR="006A5346" w:rsidRPr="00726D52" w:rsidRDefault="006A5346" w:rsidP="00C05BFC">
            <w:pPr>
              <w:spacing w:before="120" w:after="120"/>
              <w:jc w:val="center"/>
              <w:rPr>
                <w:b/>
                <w:bCs/>
                <w:noProof/>
              </w:rPr>
            </w:pPr>
            <w:r w:rsidRPr="00726D52">
              <w:rPr>
                <w:b/>
                <w:bCs/>
                <w:noProof/>
              </w:rPr>
              <w:t xml:space="preserve">Connected authorities </w:t>
            </w:r>
          </w:p>
        </w:tc>
      </w:tr>
      <w:tr w:rsidR="006A5346" w:rsidRPr="00726D52" w14:paraId="5DCB41AF" w14:textId="77777777" w:rsidTr="2A3DAE1F">
        <w:tc>
          <w:tcPr>
            <w:tcW w:w="2116" w:type="dxa"/>
            <w:shd w:val="clear" w:color="auto" w:fill="E1EBF7"/>
            <w:vAlign w:val="center"/>
          </w:tcPr>
          <w:p w14:paraId="631AE383" w14:textId="77777777" w:rsidR="006A5346" w:rsidRPr="00726D52" w:rsidRDefault="006A5346" w:rsidP="00C05BFC">
            <w:pPr>
              <w:spacing w:before="120" w:after="120"/>
              <w:jc w:val="center"/>
              <w:rPr>
                <w:b/>
                <w:bCs/>
                <w:noProof/>
              </w:rPr>
            </w:pPr>
            <w:r w:rsidRPr="00726D52">
              <w:rPr>
                <w:b/>
                <w:bCs/>
                <w:noProof/>
              </w:rPr>
              <w:t>2016</w:t>
            </w:r>
          </w:p>
        </w:tc>
        <w:tc>
          <w:tcPr>
            <w:tcW w:w="2466" w:type="dxa"/>
            <w:vAlign w:val="center"/>
          </w:tcPr>
          <w:p w14:paraId="1996F61A" w14:textId="77777777" w:rsidR="006A5346" w:rsidRPr="00726D52" w:rsidRDefault="006A5346" w:rsidP="00C05BFC">
            <w:pPr>
              <w:spacing w:before="120" w:after="120"/>
              <w:jc w:val="center"/>
              <w:rPr>
                <w:noProof/>
              </w:rPr>
            </w:pPr>
            <w:r w:rsidRPr="00726D52">
              <w:rPr>
                <w:noProof/>
              </w:rPr>
              <w:t>869 858</w:t>
            </w:r>
          </w:p>
        </w:tc>
        <w:tc>
          <w:tcPr>
            <w:tcW w:w="2216" w:type="dxa"/>
          </w:tcPr>
          <w:p w14:paraId="4F6C114C" w14:textId="77777777" w:rsidR="006A5346" w:rsidRPr="00726D52" w:rsidRDefault="006A5346" w:rsidP="00C05BFC">
            <w:pPr>
              <w:spacing w:before="120" w:after="120"/>
              <w:jc w:val="center"/>
              <w:rPr>
                <w:noProof/>
              </w:rPr>
            </w:pPr>
            <w:r w:rsidRPr="00726D52">
              <w:rPr>
                <w:noProof/>
              </w:rPr>
              <w:t>46 437</w:t>
            </w:r>
          </w:p>
        </w:tc>
        <w:tc>
          <w:tcPr>
            <w:tcW w:w="1809" w:type="dxa"/>
          </w:tcPr>
          <w:p w14:paraId="7FE05FE1" w14:textId="77777777" w:rsidR="006A5346" w:rsidRPr="00726D52" w:rsidRDefault="006A5346" w:rsidP="00C05BFC">
            <w:pPr>
              <w:spacing w:before="120" w:after="120"/>
              <w:jc w:val="center"/>
              <w:rPr>
                <w:noProof/>
              </w:rPr>
            </w:pPr>
            <w:r w:rsidRPr="00726D52">
              <w:rPr>
                <w:noProof/>
              </w:rPr>
              <w:t>757</w:t>
            </w:r>
          </w:p>
        </w:tc>
      </w:tr>
      <w:tr w:rsidR="006A5346" w:rsidRPr="00726D52" w14:paraId="2D2FBEF0" w14:textId="77777777" w:rsidTr="2A3DAE1F">
        <w:tc>
          <w:tcPr>
            <w:tcW w:w="2116" w:type="dxa"/>
            <w:shd w:val="clear" w:color="auto" w:fill="E1EBF7"/>
            <w:vAlign w:val="center"/>
          </w:tcPr>
          <w:p w14:paraId="59A3B5A8" w14:textId="77777777" w:rsidR="006A5346" w:rsidRPr="00726D52" w:rsidRDefault="006A5346" w:rsidP="00C05BFC">
            <w:pPr>
              <w:spacing w:before="120" w:after="120"/>
              <w:jc w:val="center"/>
              <w:rPr>
                <w:b/>
                <w:bCs/>
                <w:noProof/>
              </w:rPr>
            </w:pPr>
            <w:r w:rsidRPr="00726D52">
              <w:rPr>
                <w:b/>
                <w:bCs/>
                <w:noProof/>
              </w:rPr>
              <w:t>2017</w:t>
            </w:r>
          </w:p>
        </w:tc>
        <w:tc>
          <w:tcPr>
            <w:tcW w:w="2466" w:type="dxa"/>
            <w:vAlign w:val="center"/>
          </w:tcPr>
          <w:p w14:paraId="787CDB20" w14:textId="4D9FFF60" w:rsidR="006A5346" w:rsidRPr="00726D52" w:rsidRDefault="36C85E4A" w:rsidP="00C05BFC">
            <w:pPr>
              <w:spacing w:before="120" w:after="120"/>
              <w:jc w:val="center"/>
              <w:rPr>
                <w:noProof/>
              </w:rPr>
            </w:pPr>
            <w:r w:rsidRPr="00726D52">
              <w:rPr>
                <w:noProof/>
              </w:rPr>
              <w:t>~1 million</w:t>
            </w:r>
          </w:p>
        </w:tc>
        <w:tc>
          <w:tcPr>
            <w:tcW w:w="2216" w:type="dxa"/>
          </w:tcPr>
          <w:p w14:paraId="68EF4672" w14:textId="320A745A" w:rsidR="006A5346" w:rsidRPr="00726D52" w:rsidRDefault="559BA670" w:rsidP="00C05BFC">
            <w:pPr>
              <w:spacing w:before="120" w:after="120"/>
              <w:jc w:val="center"/>
              <w:rPr>
                <w:noProof/>
              </w:rPr>
            </w:pPr>
            <w:r w:rsidRPr="00726D52">
              <w:rPr>
                <w:noProof/>
              </w:rPr>
              <w:t>66 113</w:t>
            </w:r>
          </w:p>
        </w:tc>
        <w:tc>
          <w:tcPr>
            <w:tcW w:w="1809" w:type="dxa"/>
          </w:tcPr>
          <w:p w14:paraId="3E6E6BF0" w14:textId="6EA25876" w:rsidR="006A5346" w:rsidRPr="00726D52" w:rsidRDefault="19AA31DF" w:rsidP="00C05BFC">
            <w:pPr>
              <w:spacing w:before="120" w:after="120"/>
              <w:jc w:val="center"/>
              <w:rPr>
                <w:noProof/>
              </w:rPr>
            </w:pPr>
            <w:r w:rsidRPr="00726D52">
              <w:rPr>
                <w:noProof/>
              </w:rPr>
              <w:t>1 100</w:t>
            </w:r>
          </w:p>
        </w:tc>
      </w:tr>
      <w:tr w:rsidR="006A5346" w:rsidRPr="00726D52" w14:paraId="6B071204" w14:textId="77777777" w:rsidTr="2A3DAE1F">
        <w:tc>
          <w:tcPr>
            <w:tcW w:w="2116" w:type="dxa"/>
            <w:shd w:val="clear" w:color="auto" w:fill="E1EBF7"/>
            <w:vAlign w:val="center"/>
          </w:tcPr>
          <w:p w14:paraId="1BBCD47B" w14:textId="77777777" w:rsidR="006A5346" w:rsidRPr="00726D52" w:rsidRDefault="006A5346" w:rsidP="00C05BFC">
            <w:pPr>
              <w:spacing w:before="120" w:after="120"/>
              <w:jc w:val="center"/>
              <w:rPr>
                <w:b/>
                <w:bCs/>
                <w:noProof/>
              </w:rPr>
            </w:pPr>
            <w:r w:rsidRPr="00726D52">
              <w:rPr>
                <w:b/>
                <w:bCs/>
                <w:noProof/>
              </w:rPr>
              <w:t>2020</w:t>
            </w:r>
          </w:p>
        </w:tc>
        <w:tc>
          <w:tcPr>
            <w:tcW w:w="2466" w:type="dxa"/>
            <w:vAlign w:val="center"/>
          </w:tcPr>
          <w:p w14:paraId="36303D9D" w14:textId="644F5A88" w:rsidR="006A5346" w:rsidRPr="00726D52" w:rsidRDefault="6971B038" w:rsidP="00C05BFC">
            <w:pPr>
              <w:spacing w:before="120" w:after="120"/>
              <w:jc w:val="center"/>
              <w:rPr>
                <w:noProof/>
              </w:rPr>
            </w:pPr>
            <w:r w:rsidRPr="00726D52">
              <w:rPr>
                <w:noProof/>
              </w:rPr>
              <w:t>~1.3 million</w:t>
            </w:r>
          </w:p>
        </w:tc>
        <w:tc>
          <w:tcPr>
            <w:tcW w:w="2216" w:type="dxa"/>
          </w:tcPr>
          <w:p w14:paraId="73B87C16" w14:textId="01D9EFC9" w:rsidR="006A5346" w:rsidRPr="00726D52" w:rsidRDefault="6971B038" w:rsidP="00C05BFC">
            <w:pPr>
              <w:spacing w:before="120" w:after="120"/>
              <w:jc w:val="center"/>
              <w:rPr>
                <w:noProof/>
              </w:rPr>
            </w:pPr>
            <w:r w:rsidRPr="00726D52">
              <w:rPr>
                <w:noProof/>
              </w:rPr>
              <w:t>88 748</w:t>
            </w:r>
          </w:p>
        </w:tc>
        <w:tc>
          <w:tcPr>
            <w:tcW w:w="1809" w:type="dxa"/>
          </w:tcPr>
          <w:p w14:paraId="077D3FD9" w14:textId="6C08B1D6" w:rsidR="006A5346" w:rsidRPr="00726D52" w:rsidRDefault="6971B038" w:rsidP="00C05BFC">
            <w:pPr>
              <w:spacing w:before="120" w:after="120"/>
              <w:jc w:val="center"/>
              <w:rPr>
                <w:noProof/>
              </w:rPr>
            </w:pPr>
            <w:r w:rsidRPr="00726D52">
              <w:rPr>
                <w:noProof/>
              </w:rPr>
              <w:t>2 239</w:t>
            </w:r>
          </w:p>
        </w:tc>
      </w:tr>
      <w:tr w:rsidR="006A5346" w:rsidRPr="00726D52" w14:paraId="3EC07926" w14:textId="77777777" w:rsidTr="2A3DAE1F">
        <w:tc>
          <w:tcPr>
            <w:tcW w:w="2116" w:type="dxa"/>
            <w:shd w:val="clear" w:color="auto" w:fill="E1EBF7"/>
            <w:vAlign w:val="center"/>
          </w:tcPr>
          <w:p w14:paraId="094B0769" w14:textId="77777777" w:rsidR="006A5346" w:rsidRPr="00726D52" w:rsidRDefault="006A5346" w:rsidP="00C05BFC">
            <w:pPr>
              <w:spacing w:before="120" w:after="120"/>
              <w:jc w:val="center"/>
              <w:rPr>
                <w:b/>
                <w:bCs/>
                <w:noProof/>
              </w:rPr>
            </w:pPr>
            <w:r w:rsidRPr="00726D52">
              <w:rPr>
                <w:b/>
                <w:bCs/>
                <w:noProof/>
              </w:rPr>
              <w:t>2023</w:t>
            </w:r>
          </w:p>
        </w:tc>
        <w:tc>
          <w:tcPr>
            <w:tcW w:w="2466" w:type="dxa"/>
            <w:vAlign w:val="center"/>
          </w:tcPr>
          <w:p w14:paraId="1E68069C" w14:textId="77777777" w:rsidR="006A5346" w:rsidRPr="00726D52" w:rsidRDefault="006A5346" w:rsidP="00C05BFC">
            <w:pPr>
              <w:spacing w:before="120" w:after="120"/>
              <w:jc w:val="center"/>
              <w:rPr>
                <w:noProof/>
              </w:rPr>
            </w:pPr>
            <w:r w:rsidRPr="00726D52">
              <w:rPr>
                <w:noProof/>
              </w:rPr>
              <w:t>~1.8 million</w:t>
            </w:r>
          </w:p>
        </w:tc>
        <w:tc>
          <w:tcPr>
            <w:tcW w:w="2216" w:type="dxa"/>
          </w:tcPr>
          <w:p w14:paraId="17D262BF" w14:textId="602D3184" w:rsidR="006A5346" w:rsidRPr="00726D52" w:rsidRDefault="006A5346" w:rsidP="00C05BFC">
            <w:pPr>
              <w:spacing w:before="120" w:after="120"/>
              <w:jc w:val="center"/>
              <w:rPr>
                <w:noProof/>
              </w:rPr>
            </w:pPr>
            <w:r w:rsidRPr="00726D52">
              <w:rPr>
                <w:noProof/>
              </w:rPr>
              <w:t>151</w:t>
            </w:r>
            <w:r w:rsidR="6086AEAE" w:rsidRPr="00726D52">
              <w:rPr>
                <w:noProof/>
              </w:rPr>
              <w:t xml:space="preserve"> </w:t>
            </w:r>
            <w:r w:rsidRPr="00726D52">
              <w:rPr>
                <w:noProof/>
              </w:rPr>
              <w:t>318</w:t>
            </w:r>
          </w:p>
        </w:tc>
        <w:tc>
          <w:tcPr>
            <w:tcW w:w="1809" w:type="dxa"/>
          </w:tcPr>
          <w:p w14:paraId="7D22E537" w14:textId="36F04798" w:rsidR="006A5346" w:rsidRPr="00726D52" w:rsidRDefault="57804444" w:rsidP="00C05BFC">
            <w:pPr>
              <w:spacing w:before="120" w:after="120"/>
              <w:jc w:val="center"/>
              <w:rPr>
                <w:noProof/>
              </w:rPr>
            </w:pPr>
            <w:r w:rsidRPr="00726D52">
              <w:rPr>
                <w:noProof/>
              </w:rPr>
              <w:t>2 950</w:t>
            </w:r>
          </w:p>
        </w:tc>
      </w:tr>
      <w:tr w:rsidR="006A5346" w:rsidRPr="00726D52" w14:paraId="41C8FE01" w14:textId="77777777" w:rsidTr="2A3DAE1F">
        <w:tc>
          <w:tcPr>
            <w:tcW w:w="2116" w:type="dxa"/>
            <w:shd w:val="clear" w:color="auto" w:fill="E1EBF7"/>
            <w:vAlign w:val="center"/>
          </w:tcPr>
          <w:p w14:paraId="78F47E8B" w14:textId="77777777" w:rsidR="006A5346" w:rsidRPr="00726D52" w:rsidRDefault="006A5346" w:rsidP="00C05BFC">
            <w:pPr>
              <w:spacing w:before="120" w:after="120"/>
              <w:jc w:val="center"/>
              <w:rPr>
                <w:b/>
                <w:bCs/>
                <w:noProof/>
              </w:rPr>
            </w:pPr>
            <w:r w:rsidRPr="00726D52">
              <w:rPr>
                <w:b/>
                <w:bCs/>
                <w:noProof/>
              </w:rPr>
              <w:t>2024</w:t>
            </w:r>
          </w:p>
        </w:tc>
        <w:tc>
          <w:tcPr>
            <w:tcW w:w="2466" w:type="dxa"/>
            <w:vAlign w:val="center"/>
          </w:tcPr>
          <w:p w14:paraId="56A78F3C" w14:textId="77777777" w:rsidR="006A5346" w:rsidRPr="00726D52" w:rsidRDefault="006A5346" w:rsidP="00C05BFC">
            <w:pPr>
              <w:spacing w:before="120" w:after="120"/>
              <w:jc w:val="center"/>
              <w:rPr>
                <w:noProof/>
              </w:rPr>
            </w:pPr>
            <w:r w:rsidRPr="00726D52">
              <w:rPr>
                <w:noProof/>
              </w:rPr>
              <w:t>~2 million</w:t>
            </w:r>
          </w:p>
        </w:tc>
        <w:tc>
          <w:tcPr>
            <w:tcW w:w="2216" w:type="dxa"/>
          </w:tcPr>
          <w:p w14:paraId="752ECAA2" w14:textId="4D7303D2" w:rsidR="006A5346" w:rsidRPr="00726D52" w:rsidRDefault="006A5346" w:rsidP="00C05BFC">
            <w:pPr>
              <w:spacing w:before="120" w:after="120"/>
              <w:jc w:val="center"/>
              <w:rPr>
                <w:noProof/>
              </w:rPr>
            </w:pPr>
            <w:r w:rsidRPr="00726D52">
              <w:rPr>
                <w:noProof/>
              </w:rPr>
              <w:t>169</w:t>
            </w:r>
            <w:r w:rsidR="0ADE68C5" w:rsidRPr="00726D52">
              <w:rPr>
                <w:noProof/>
              </w:rPr>
              <w:t xml:space="preserve"> </w:t>
            </w:r>
            <w:r w:rsidRPr="00726D52">
              <w:rPr>
                <w:noProof/>
              </w:rPr>
              <w:t>500</w:t>
            </w:r>
          </w:p>
        </w:tc>
        <w:tc>
          <w:tcPr>
            <w:tcW w:w="1809" w:type="dxa"/>
          </w:tcPr>
          <w:p w14:paraId="1F20A0E4" w14:textId="77777777" w:rsidR="006A5346" w:rsidRPr="00726D52" w:rsidRDefault="006A5346" w:rsidP="00C05BFC">
            <w:pPr>
              <w:spacing w:before="120" w:after="120"/>
              <w:jc w:val="center"/>
              <w:rPr>
                <w:noProof/>
              </w:rPr>
            </w:pPr>
            <w:r w:rsidRPr="00726D52">
              <w:rPr>
                <w:b/>
                <w:bCs/>
                <w:noProof/>
              </w:rPr>
              <w:t>3 500</w:t>
            </w:r>
          </w:p>
        </w:tc>
      </w:tr>
    </w:tbl>
    <w:p w14:paraId="56C54886" w14:textId="77777777" w:rsidR="006A5346" w:rsidRPr="00726D52" w:rsidRDefault="006A5346" w:rsidP="006A5346">
      <w:pPr>
        <w:spacing w:before="120" w:after="0"/>
        <w:jc w:val="center"/>
        <w:rPr>
          <w:rFonts w:eastAsia="Times New Roman"/>
          <w:i/>
          <w:iCs/>
          <w:noProof/>
        </w:rPr>
      </w:pPr>
      <w:r w:rsidRPr="00726D52">
        <w:rPr>
          <w:rFonts w:eastAsia="Times New Roman"/>
          <w:i/>
          <w:iCs/>
          <w:noProof/>
        </w:rPr>
        <w:t>Source: Europol operational statistics; Europol annual reports 2017-2024.</w:t>
      </w:r>
    </w:p>
    <w:p w14:paraId="697C268D" w14:textId="77777777" w:rsidR="006A5346" w:rsidRPr="00726D52" w:rsidRDefault="006A5346" w:rsidP="006A5346">
      <w:pPr>
        <w:spacing w:before="240" w:after="0"/>
        <w:rPr>
          <w:rFonts w:eastAsia="Times New Roman"/>
          <w:noProof/>
        </w:rPr>
      </w:pPr>
      <w:r w:rsidRPr="00726D52">
        <w:rPr>
          <w:rFonts w:eastAsia="Times New Roman"/>
          <w:noProof/>
        </w:rPr>
        <w:t xml:space="preserve">The expansion of SIENA connectivity took place in a </w:t>
      </w:r>
      <w:r w:rsidRPr="00726D52">
        <w:rPr>
          <w:rFonts w:eastAsia="Times New Roman"/>
          <w:b/>
          <w:bCs/>
          <w:noProof/>
        </w:rPr>
        <w:t>broader EU policy context</w:t>
      </w:r>
      <w:r w:rsidRPr="00726D52">
        <w:rPr>
          <w:rFonts w:eastAsia="Times New Roman"/>
          <w:noProof/>
        </w:rPr>
        <w:t xml:space="preserve"> aimed at strengthening law enforcement information exchange</w:t>
      </w:r>
      <w:r w:rsidRPr="00726D52">
        <w:rPr>
          <w:rStyle w:val="FootnoteReference"/>
          <w:rFonts w:eastAsia="Times New Roman"/>
          <w:noProof/>
        </w:rPr>
        <w:footnoteReference w:id="174"/>
      </w:r>
      <w:r w:rsidRPr="00726D52">
        <w:rPr>
          <w:rFonts w:eastAsia="Times New Roman"/>
          <w:noProof/>
        </w:rPr>
        <w:t xml:space="preserve">. During the evaluation period, the Union adopted new legislative measures in this area, including the Information </w:t>
      </w:r>
      <w:r w:rsidRPr="00726D52">
        <w:rPr>
          <w:rFonts w:eastAsia="Times New Roman"/>
          <w:noProof/>
        </w:rPr>
        <w:lastRenderedPageBreak/>
        <w:t>Exchange Directive</w:t>
      </w:r>
      <w:r w:rsidRPr="00726D52">
        <w:rPr>
          <w:rStyle w:val="FootnoteReference"/>
          <w:rFonts w:eastAsia="Times New Roman"/>
          <w:noProof/>
        </w:rPr>
        <w:footnoteReference w:id="175"/>
      </w:r>
      <w:r w:rsidRPr="00726D52">
        <w:rPr>
          <w:rFonts w:eastAsia="Times New Roman"/>
          <w:noProof/>
        </w:rPr>
        <w:t>, which provides for the mandatory use of SIENA by national Single Points of Contact and foresees the integration of SIENA into national police case-management systems. As the Directive was adopted towards the end of the evaluation period, its implementation had only started in several Member States by 2024 and the transitional arrangements for its application extend beyond the evaluation period. During the period covered by this evaluation, SIENA therefore remained one of several channels used by national authorities for cross-border law enforcement information exchange.</w:t>
      </w:r>
    </w:p>
    <w:p w14:paraId="5ADFE250" w14:textId="16900A53" w:rsidR="006A5346" w:rsidRPr="00726D52" w:rsidRDefault="006A5346" w:rsidP="006A5346">
      <w:pPr>
        <w:spacing w:before="240" w:after="0"/>
        <w:rPr>
          <w:rFonts w:eastAsia="Times New Roman"/>
          <w:noProof/>
        </w:rPr>
      </w:pPr>
      <w:r w:rsidRPr="00726D52">
        <w:rPr>
          <w:rFonts w:eastAsia="Times New Roman"/>
          <w:noProof/>
        </w:rPr>
        <w:t>The operation of Europol’s information-management environment during the evaluation period was also shaped by developments relating to data standardisation, large datasets and data protection. A large share of SIENA traffic continued to be transmitted in unstructured formats, including narrative text, PDFs, screenshots, scans and extracted device data, requiring manual handling before these data could be cross-checked or analysed</w:t>
      </w:r>
      <w:r w:rsidRPr="00726D52">
        <w:rPr>
          <w:rStyle w:val="FootnoteReference"/>
          <w:rFonts w:eastAsia="Times New Roman"/>
          <w:noProof/>
        </w:rPr>
        <w:footnoteReference w:id="176"/>
      </w:r>
      <w:r w:rsidRPr="00726D52">
        <w:rPr>
          <w:rFonts w:eastAsia="Times New Roman"/>
          <w:noProof/>
        </w:rPr>
        <w:t xml:space="preserve">. The </w:t>
      </w:r>
      <w:r w:rsidRPr="00726D52">
        <w:rPr>
          <w:rFonts w:eastAsia="Times New Roman"/>
          <w:b/>
          <w:bCs/>
          <w:noProof/>
        </w:rPr>
        <w:t>UMF</w:t>
      </w:r>
      <w:r w:rsidRPr="00726D52">
        <w:rPr>
          <w:rFonts w:eastAsia="Times New Roman"/>
          <w:noProof/>
        </w:rPr>
        <w:t xml:space="preserve"> initiative did not progress to full operational implementation during the evaluation period</w:t>
      </w:r>
      <w:r w:rsidRPr="00726D52">
        <w:rPr>
          <w:rStyle w:val="FootnoteReference"/>
          <w:rFonts w:eastAsia="Times New Roman"/>
          <w:noProof/>
        </w:rPr>
        <w:footnoteReference w:id="177"/>
      </w:r>
      <w:r w:rsidRPr="00726D52">
        <w:rPr>
          <w:rFonts w:eastAsia="Times New Roman"/>
          <w:noProof/>
        </w:rPr>
        <w:t>.</w:t>
      </w:r>
    </w:p>
    <w:p w14:paraId="59F9F0E6" w14:textId="77777777" w:rsidR="006A5346" w:rsidRPr="00726D52" w:rsidRDefault="006A5346" w:rsidP="006A5346">
      <w:pPr>
        <w:spacing w:before="120" w:after="0"/>
        <w:rPr>
          <w:rFonts w:eastAsia="Times New Roman"/>
          <w:noProof/>
        </w:rPr>
      </w:pPr>
      <w:r w:rsidRPr="00726D52">
        <w:rPr>
          <w:rFonts w:eastAsia="Times New Roman"/>
          <w:noProof/>
        </w:rPr>
        <w:t xml:space="preserve">In addition to secure communication through SIENA, Europol maintains centralised criminal intelligence databases accessible to national authorities through the </w:t>
      </w:r>
      <w:r w:rsidRPr="00726D52">
        <w:rPr>
          <w:rFonts w:eastAsia="Times New Roman"/>
          <w:b/>
          <w:bCs/>
          <w:noProof/>
        </w:rPr>
        <w:t>Europol Information System (EIS)</w:t>
      </w:r>
      <w:r w:rsidRPr="00726D52">
        <w:rPr>
          <w:rFonts w:eastAsia="Times New Roman"/>
          <w:noProof/>
        </w:rPr>
        <w:t xml:space="preserve"> and the </w:t>
      </w:r>
      <w:r w:rsidRPr="00726D52">
        <w:rPr>
          <w:rFonts w:eastAsia="Times New Roman"/>
          <w:b/>
          <w:bCs/>
          <w:noProof/>
        </w:rPr>
        <w:t>QUEST search interface</w:t>
      </w:r>
      <w:r w:rsidRPr="00726D52">
        <w:rPr>
          <w:rStyle w:val="FootnoteReference"/>
          <w:rFonts w:eastAsia="Times New Roman"/>
          <w:b/>
          <w:bCs/>
          <w:noProof/>
        </w:rPr>
        <w:footnoteReference w:id="178"/>
      </w:r>
      <w:r w:rsidRPr="00726D52">
        <w:rPr>
          <w:rFonts w:eastAsia="Times New Roman"/>
          <w:noProof/>
        </w:rPr>
        <w:t>, which enables searches across multiple Europol datasets. This system allows national authorities to query operational data stored at Europol and identify potential links between criminal investigations conducted in different jurisdictions.</w:t>
      </w:r>
    </w:p>
    <w:p w14:paraId="649B9F97" w14:textId="77777777" w:rsidR="006A5346" w:rsidRPr="00726D52" w:rsidRDefault="006A5346" w:rsidP="006A5346">
      <w:pPr>
        <w:spacing w:before="120"/>
        <w:rPr>
          <w:rFonts w:eastAsia="Times New Roman"/>
          <w:noProof/>
        </w:rPr>
      </w:pPr>
      <w:r w:rsidRPr="00726D52">
        <w:rPr>
          <w:rFonts w:eastAsia="Times New Roman"/>
          <w:noProof/>
        </w:rPr>
        <w:t xml:space="preserve">During the evaluation period, both the </w:t>
      </w:r>
      <w:r w:rsidRPr="00726D52">
        <w:rPr>
          <w:rFonts w:eastAsia="Times New Roman"/>
          <w:b/>
          <w:bCs/>
          <w:noProof/>
        </w:rPr>
        <w:t>volume of searches conducted in Europol systems</w:t>
      </w:r>
      <w:r w:rsidRPr="00726D52">
        <w:rPr>
          <w:rFonts w:eastAsia="Times New Roman"/>
          <w:noProof/>
        </w:rPr>
        <w:t xml:space="preserve"> and the </w:t>
      </w:r>
      <w:r w:rsidRPr="00726D52">
        <w:rPr>
          <w:rFonts w:eastAsia="Times New Roman"/>
          <w:b/>
          <w:bCs/>
          <w:noProof/>
        </w:rPr>
        <w:t>number of data objects stored in the EIS</w:t>
      </w:r>
      <w:r w:rsidRPr="00726D52">
        <w:rPr>
          <w:rFonts w:eastAsia="Times New Roman"/>
          <w:noProof/>
        </w:rPr>
        <w:t xml:space="preserve"> evolved as follows:</w:t>
      </w:r>
    </w:p>
    <w:tbl>
      <w:tblPr>
        <w:tblStyle w:val="TableGrid"/>
        <w:tblW w:w="0" w:type="auto"/>
        <w:tblLook w:val="04A0" w:firstRow="1" w:lastRow="0" w:firstColumn="1" w:lastColumn="0" w:noHBand="0" w:noVBand="1"/>
      </w:tblPr>
      <w:tblGrid>
        <w:gridCol w:w="2992"/>
        <w:gridCol w:w="2993"/>
        <w:gridCol w:w="2622"/>
      </w:tblGrid>
      <w:tr w:rsidR="006A5346" w:rsidRPr="00726D52" w14:paraId="1AAB9EDD" w14:textId="77777777" w:rsidTr="4DCCB685">
        <w:tc>
          <w:tcPr>
            <w:tcW w:w="2992" w:type="dxa"/>
            <w:shd w:val="clear" w:color="auto" w:fill="B7CFED"/>
            <w:vAlign w:val="center"/>
          </w:tcPr>
          <w:p w14:paraId="41463D3F" w14:textId="77777777" w:rsidR="006A5346" w:rsidRPr="00726D52" w:rsidRDefault="006A5346" w:rsidP="00C05BFC">
            <w:pPr>
              <w:spacing w:before="120" w:after="120"/>
              <w:jc w:val="center"/>
              <w:rPr>
                <w:b/>
                <w:bCs/>
                <w:noProof/>
              </w:rPr>
            </w:pPr>
            <w:r w:rsidRPr="00726D52">
              <w:rPr>
                <w:b/>
                <w:bCs/>
                <w:noProof/>
              </w:rPr>
              <w:t>Year</w:t>
            </w:r>
          </w:p>
        </w:tc>
        <w:tc>
          <w:tcPr>
            <w:tcW w:w="2993" w:type="dxa"/>
            <w:shd w:val="clear" w:color="auto" w:fill="B7CFED"/>
            <w:vAlign w:val="center"/>
          </w:tcPr>
          <w:p w14:paraId="3EA8681D" w14:textId="77777777" w:rsidR="006A5346" w:rsidRPr="00726D52" w:rsidRDefault="006A5346" w:rsidP="00C05BFC">
            <w:pPr>
              <w:spacing w:before="120" w:after="120"/>
              <w:jc w:val="center"/>
              <w:rPr>
                <w:b/>
                <w:bCs/>
                <w:noProof/>
              </w:rPr>
            </w:pPr>
            <w:r w:rsidRPr="00726D52">
              <w:rPr>
                <w:b/>
                <w:bCs/>
                <w:noProof/>
              </w:rPr>
              <w:t>EIS searches</w:t>
            </w:r>
          </w:p>
        </w:tc>
        <w:tc>
          <w:tcPr>
            <w:tcW w:w="2622" w:type="dxa"/>
            <w:shd w:val="clear" w:color="auto" w:fill="B7CFED"/>
          </w:tcPr>
          <w:p w14:paraId="5DAEEC49" w14:textId="77777777" w:rsidR="006A5346" w:rsidRPr="00726D52" w:rsidRDefault="006A5346" w:rsidP="00C05BFC">
            <w:pPr>
              <w:spacing w:before="120" w:after="120"/>
              <w:jc w:val="center"/>
              <w:rPr>
                <w:b/>
                <w:bCs/>
                <w:noProof/>
              </w:rPr>
            </w:pPr>
            <w:r w:rsidRPr="00726D52">
              <w:rPr>
                <w:b/>
                <w:bCs/>
                <w:noProof/>
              </w:rPr>
              <w:t>EIS objects</w:t>
            </w:r>
          </w:p>
        </w:tc>
      </w:tr>
      <w:tr w:rsidR="006A5346" w:rsidRPr="00726D52" w14:paraId="7A5F1D77" w14:textId="77777777" w:rsidTr="4DCCB685">
        <w:tc>
          <w:tcPr>
            <w:tcW w:w="2992" w:type="dxa"/>
            <w:shd w:val="clear" w:color="auto" w:fill="E1EBF7"/>
            <w:vAlign w:val="center"/>
          </w:tcPr>
          <w:p w14:paraId="44FA3ECE" w14:textId="77777777" w:rsidR="006A5346" w:rsidRPr="00726D52" w:rsidRDefault="006A5346" w:rsidP="00C05BFC">
            <w:pPr>
              <w:spacing w:before="120" w:after="120"/>
              <w:jc w:val="center"/>
              <w:rPr>
                <w:b/>
                <w:bCs/>
                <w:noProof/>
              </w:rPr>
            </w:pPr>
            <w:r w:rsidRPr="00726D52">
              <w:rPr>
                <w:b/>
                <w:bCs/>
                <w:noProof/>
              </w:rPr>
              <w:t>2015</w:t>
            </w:r>
          </w:p>
        </w:tc>
        <w:tc>
          <w:tcPr>
            <w:tcW w:w="2993" w:type="dxa"/>
            <w:vAlign w:val="center"/>
          </w:tcPr>
          <w:p w14:paraId="4F48395B" w14:textId="2B5D478A" w:rsidR="006A5346" w:rsidRPr="00726D52" w:rsidRDefault="006A5346" w:rsidP="00C05BFC">
            <w:pPr>
              <w:spacing w:before="120" w:after="120"/>
              <w:jc w:val="center"/>
              <w:rPr>
                <w:noProof/>
              </w:rPr>
            </w:pPr>
            <w:r w:rsidRPr="00726D52">
              <w:rPr>
                <w:noProof/>
              </w:rPr>
              <w:t>633</w:t>
            </w:r>
            <w:r w:rsidR="0008184A" w:rsidRPr="00726D52">
              <w:rPr>
                <w:noProof/>
              </w:rPr>
              <w:t xml:space="preserve"> </w:t>
            </w:r>
            <w:r w:rsidRPr="00726D52">
              <w:rPr>
                <w:noProof/>
              </w:rPr>
              <w:t>639</w:t>
            </w:r>
          </w:p>
        </w:tc>
        <w:tc>
          <w:tcPr>
            <w:tcW w:w="2622" w:type="dxa"/>
          </w:tcPr>
          <w:p w14:paraId="20CD2DB4" w14:textId="2FEE4881" w:rsidR="006A5346" w:rsidRPr="00726D52" w:rsidRDefault="006A5346" w:rsidP="00C05BFC">
            <w:pPr>
              <w:spacing w:before="120" w:after="120"/>
              <w:jc w:val="center"/>
              <w:rPr>
                <w:noProof/>
              </w:rPr>
            </w:pPr>
            <w:r w:rsidRPr="00726D52">
              <w:rPr>
                <w:noProof/>
              </w:rPr>
              <w:t>295</w:t>
            </w:r>
            <w:r w:rsidR="0008184A" w:rsidRPr="00726D52">
              <w:rPr>
                <w:noProof/>
              </w:rPr>
              <w:t xml:space="preserve"> </w:t>
            </w:r>
            <w:r w:rsidRPr="00726D52">
              <w:rPr>
                <w:noProof/>
              </w:rPr>
              <w:t>374</w:t>
            </w:r>
          </w:p>
        </w:tc>
      </w:tr>
      <w:tr w:rsidR="006A5346" w:rsidRPr="00726D52" w14:paraId="5433D610" w14:textId="77777777" w:rsidTr="4DCCB685">
        <w:tc>
          <w:tcPr>
            <w:tcW w:w="2992" w:type="dxa"/>
            <w:shd w:val="clear" w:color="auto" w:fill="E1EBF7"/>
            <w:vAlign w:val="center"/>
          </w:tcPr>
          <w:p w14:paraId="2DFA5E96" w14:textId="77777777" w:rsidR="006A5346" w:rsidRPr="00726D52" w:rsidRDefault="006A5346" w:rsidP="00C05BFC">
            <w:pPr>
              <w:spacing w:before="120" w:after="120"/>
              <w:jc w:val="center"/>
              <w:rPr>
                <w:b/>
                <w:bCs/>
                <w:noProof/>
              </w:rPr>
            </w:pPr>
            <w:r w:rsidRPr="00726D52">
              <w:rPr>
                <w:b/>
                <w:bCs/>
                <w:noProof/>
              </w:rPr>
              <w:t>2016</w:t>
            </w:r>
          </w:p>
        </w:tc>
        <w:tc>
          <w:tcPr>
            <w:tcW w:w="2993" w:type="dxa"/>
            <w:vAlign w:val="center"/>
          </w:tcPr>
          <w:p w14:paraId="790B59CF" w14:textId="771D58C6" w:rsidR="006A5346" w:rsidRPr="00726D52" w:rsidRDefault="006A5346" w:rsidP="00C05BFC">
            <w:pPr>
              <w:spacing w:before="120" w:after="120"/>
              <w:jc w:val="center"/>
              <w:rPr>
                <w:noProof/>
              </w:rPr>
            </w:pPr>
            <w:r w:rsidRPr="00726D52">
              <w:rPr>
                <w:noProof/>
              </w:rPr>
              <w:t>1</w:t>
            </w:r>
            <w:r w:rsidR="0008184A" w:rsidRPr="00726D52">
              <w:rPr>
                <w:noProof/>
              </w:rPr>
              <w:t xml:space="preserve"> </w:t>
            </w:r>
            <w:r w:rsidRPr="00726D52">
              <w:rPr>
                <w:noProof/>
              </w:rPr>
              <w:t>436</w:t>
            </w:r>
            <w:r w:rsidR="0008184A" w:rsidRPr="00726D52">
              <w:rPr>
                <w:noProof/>
              </w:rPr>
              <w:t xml:space="preserve"> </w:t>
            </w:r>
            <w:r w:rsidRPr="00726D52">
              <w:rPr>
                <w:noProof/>
              </w:rPr>
              <w:t xml:space="preserve">838 </w:t>
            </w:r>
          </w:p>
        </w:tc>
        <w:tc>
          <w:tcPr>
            <w:tcW w:w="2622" w:type="dxa"/>
          </w:tcPr>
          <w:p w14:paraId="438158AE" w14:textId="4B83BA1F" w:rsidR="006A5346" w:rsidRPr="00726D52" w:rsidRDefault="006A5346" w:rsidP="00C05BFC">
            <w:pPr>
              <w:spacing w:before="120" w:after="120"/>
              <w:jc w:val="center"/>
              <w:rPr>
                <w:noProof/>
              </w:rPr>
            </w:pPr>
            <w:r w:rsidRPr="00726D52">
              <w:rPr>
                <w:noProof/>
              </w:rPr>
              <w:t>395</w:t>
            </w:r>
            <w:r w:rsidR="0008184A" w:rsidRPr="00726D52">
              <w:rPr>
                <w:noProof/>
              </w:rPr>
              <w:t xml:space="preserve"> </w:t>
            </w:r>
            <w:r w:rsidRPr="00726D52">
              <w:rPr>
                <w:noProof/>
              </w:rPr>
              <w:t>357</w:t>
            </w:r>
          </w:p>
        </w:tc>
      </w:tr>
      <w:tr w:rsidR="006A5346" w:rsidRPr="00726D52" w14:paraId="72524782" w14:textId="77777777" w:rsidTr="4DCCB685">
        <w:tc>
          <w:tcPr>
            <w:tcW w:w="2992" w:type="dxa"/>
            <w:shd w:val="clear" w:color="auto" w:fill="E1EBF7"/>
            <w:vAlign w:val="center"/>
          </w:tcPr>
          <w:p w14:paraId="63A80F42" w14:textId="77777777" w:rsidR="006A5346" w:rsidRPr="00726D52" w:rsidRDefault="006A5346" w:rsidP="00C05BFC">
            <w:pPr>
              <w:spacing w:before="120" w:after="120"/>
              <w:jc w:val="center"/>
              <w:rPr>
                <w:b/>
                <w:bCs/>
                <w:noProof/>
              </w:rPr>
            </w:pPr>
            <w:r w:rsidRPr="00726D52">
              <w:rPr>
                <w:b/>
                <w:bCs/>
                <w:noProof/>
              </w:rPr>
              <w:t>2017</w:t>
            </w:r>
          </w:p>
        </w:tc>
        <w:tc>
          <w:tcPr>
            <w:tcW w:w="2993" w:type="dxa"/>
            <w:vAlign w:val="center"/>
          </w:tcPr>
          <w:p w14:paraId="415E42F3" w14:textId="4CD505CA" w:rsidR="006A5346" w:rsidRPr="00726D52" w:rsidRDefault="006A5346" w:rsidP="00C05BFC">
            <w:pPr>
              <w:spacing w:before="120" w:after="120"/>
              <w:jc w:val="center"/>
              <w:rPr>
                <w:noProof/>
              </w:rPr>
            </w:pPr>
            <w:r w:rsidRPr="00726D52">
              <w:rPr>
                <w:noProof/>
              </w:rPr>
              <w:t>2</w:t>
            </w:r>
            <w:r w:rsidR="0008184A" w:rsidRPr="00726D52">
              <w:rPr>
                <w:noProof/>
              </w:rPr>
              <w:t xml:space="preserve"> </w:t>
            </w:r>
            <w:r w:rsidRPr="00726D52">
              <w:rPr>
                <w:noProof/>
              </w:rPr>
              <w:t>478</w:t>
            </w:r>
            <w:r w:rsidR="0008184A" w:rsidRPr="00726D52">
              <w:rPr>
                <w:noProof/>
              </w:rPr>
              <w:t xml:space="preserve"> </w:t>
            </w:r>
            <w:r w:rsidRPr="00726D52">
              <w:rPr>
                <w:noProof/>
              </w:rPr>
              <w:t>825</w:t>
            </w:r>
          </w:p>
        </w:tc>
        <w:tc>
          <w:tcPr>
            <w:tcW w:w="2622" w:type="dxa"/>
          </w:tcPr>
          <w:p w14:paraId="583B344D" w14:textId="051CBC72" w:rsidR="006A5346" w:rsidRPr="00726D52" w:rsidRDefault="006A5346" w:rsidP="00C05BFC">
            <w:pPr>
              <w:spacing w:before="120" w:after="120"/>
              <w:jc w:val="center"/>
              <w:rPr>
                <w:noProof/>
              </w:rPr>
            </w:pPr>
            <w:r w:rsidRPr="00726D52">
              <w:rPr>
                <w:noProof/>
              </w:rPr>
              <w:t>1</w:t>
            </w:r>
            <w:r w:rsidR="0008184A" w:rsidRPr="00726D52">
              <w:rPr>
                <w:noProof/>
              </w:rPr>
              <w:t xml:space="preserve"> </w:t>
            </w:r>
            <w:r w:rsidRPr="00726D52">
              <w:rPr>
                <w:noProof/>
              </w:rPr>
              <w:t>062</w:t>
            </w:r>
            <w:r w:rsidR="0008184A" w:rsidRPr="00726D52">
              <w:rPr>
                <w:noProof/>
              </w:rPr>
              <w:t xml:space="preserve"> </w:t>
            </w:r>
            <w:r w:rsidRPr="00726D52">
              <w:rPr>
                <w:noProof/>
              </w:rPr>
              <w:t>236</w:t>
            </w:r>
          </w:p>
        </w:tc>
      </w:tr>
      <w:tr w:rsidR="006A5346" w:rsidRPr="00726D52" w14:paraId="346F15D1" w14:textId="77777777" w:rsidTr="4DCCB685">
        <w:tc>
          <w:tcPr>
            <w:tcW w:w="2992" w:type="dxa"/>
            <w:shd w:val="clear" w:color="auto" w:fill="E1EBF7"/>
            <w:vAlign w:val="center"/>
          </w:tcPr>
          <w:p w14:paraId="598E48C0" w14:textId="77777777" w:rsidR="006A5346" w:rsidRPr="00726D52" w:rsidRDefault="006A5346" w:rsidP="00C05BFC">
            <w:pPr>
              <w:spacing w:before="120" w:after="120"/>
              <w:jc w:val="center"/>
              <w:rPr>
                <w:b/>
                <w:bCs/>
                <w:noProof/>
              </w:rPr>
            </w:pPr>
            <w:r w:rsidRPr="00726D52">
              <w:rPr>
                <w:b/>
                <w:bCs/>
                <w:noProof/>
              </w:rPr>
              <w:t>2020</w:t>
            </w:r>
          </w:p>
        </w:tc>
        <w:tc>
          <w:tcPr>
            <w:tcW w:w="2993" w:type="dxa"/>
            <w:vAlign w:val="center"/>
          </w:tcPr>
          <w:p w14:paraId="4289D7C6" w14:textId="13D4D89D" w:rsidR="006A5346" w:rsidRPr="00726D52" w:rsidRDefault="1E8420B3" w:rsidP="00C05BFC">
            <w:pPr>
              <w:spacing w:before="120" w:after="120"/>
              <w:jc w:val="center"/>
              <w:rPr>
                <w:noProof/>
              </w:rPr>
            </w:pPr>
            <w:r w:rsidRPr="00726D52">
              <w:rPr>
                <w:noProof/>
              </w:rPr>
              <w:t>10 231 771</w:t>
            </w:r>
          </w:p>
        </w:tc>
        <w:tc>
          <w:tcPr>
            <w:tcW w:w="2622" w:type="dxa"/>
          </w:tcPr>
          <w:p w14:paraId="3D27A198" w14:textId="32D3F5CB" w:rsidR="006A5346" w:rsidRPr="00726D52" w:rsidRDefault="7435A1EA" w:rsidP="00C05BFC">
            <w:pPr>
              <w:spacing w:before="120" w:after="120"/>
              <w:jc w:val="center"/>
              <w:rPr>
                <w:noProof/>
              </w:rPr>
            </w:pPr>
            <w:r w:rsidRPr="00726D52">
              <w:rPr>
                <w:noProof/>
              </w:rPr>
              <w:t>1 337 089</w:t>
            </w:r>
          </w:p>
        </w:tc>
      </w:tr>
      <w:tr w:rsidR="006A5346" w:rsidRPr="00726D52" w14:paraId="7C67575A" w14:textId="77777777" w:rsidTr="4DCCB685">
        <w:tc>
          <w:tcPr>
            <w:tcW w:w="2992" w:type="dxa"/>
            <w:shd w:val="clear" w:color="auto" w:fill="E1EBF7"/>
            <w:vAlign w:val="center"/>
          </w:tcPr>
          <w:p w14:paraId="24A4C559" w14:textId="77777777" w:rsidR="006A5346" w:rsidRPr="00726D52" w:rsidRDefault="006A5346" w:rsidP="00C05BFC">
            <w:pPr>
              <w:spacing w:before="120" w:after="120"/>
              <w:jc w:val="center"/>
              <w:rPr>
                <w:b/>
                <w:bCs/>
                <w:noProof/>
              </w:rPr>
            </w:pPr>
            <w:r w:rsidRPr="00726D52">
              <w:rPr>
                <w:b/>
                <w:bCs/>
                <w:noProof/>
              </w:rPr>
              <w:t>2023</w:t>
            </w:r>
          </w:p>
        </w:tc>
        <w:tc>
          <w:tcPr>
            <w:tcW w:w="2993" w:type="dxa"/>
            <w:vAlign w:val="center"/>
          </w:tcPr>
          <w:p w14:paraId="6033B9AD" w14:textId="4E664F93" w:rsidR="006A5346" w:rsidRPr="00726D52" w:rsidRDefault="4FBA4019" w:rsidP="00C05BFC">
            <w:pPr>
              <w:spacing w:before="120" w:after="120"/>
              <w:jc w:val="center"/>
              <w:rPr>
                <w:noProof/>
              </w:rPr>
            </w:pPr>
            <w:r w:rsidRPr="00726D52">
              <w:rPr>
                <w:noProof/>
              </w:rPr>
              <w:t>14 238 667</w:t>
            </w:r>
          </w:p>
        </w:tc>
        <w:tc>
          <w:tcPr>
            <w:tcW w:w="2622" w:type="dxa"/>
          </w:tcPr>
          <w:p w14:paraId="3B671397" w14:textId="5431F9D3" w:rsidR="006A5346" w:rsidRPr="00726D52" w:rsidRDefault="594FFA90" w:rsidP="00C05BFC">
            <w:pPr>
              <w:spacing w:before="120" w:after="120"/>
              <w:jc w:val="center"/>
              <w:rPr>
                <w:noProof/>
              </w:rPr>
            </w:pPr>
            <w:r w:rsidRPr="00726D52">
              <w:rPr>
                <w:noProof/>
              </w:rPr>
              <w:t>1 572 837</w:t>
            </w:r>
          </w:p>
        </w:tc>
      </w:tr>
      <w:tr w:rsidR="006A5346" w:rsidRPr="00726D52" w14:paraId="75959618" w14:textId="77777777" w:rsidTr="4DCCB685">
        <w:tc>
          <w:tcPr>
            <w:tcW w:w="2992" w:type="dxa"/>
            <w:shd w:val="clear" w:color="auto" w:fill="E1EBF7"/>
            <w:vAlign w:val="center"/>
          </w:tcPr>
          <w:p w14:paraId="238F0D2F" w14:textId="77777777" w:rsidR="006A5346" w:rsidRPr="00726D52" w:rsidRDefault="006A5346" w:rsidP="00C05BFC">
            <w:pPr>
              <w:spacing w:before="120" w:after="120"/>
              <w:jc w:val="center"/>
              <w:rPr>
                <w:b/>
                <w:bCs/>
                <w:noProof/>
              </w:rPr>
            </w:pPr>
            <w:r w:rsidRPr="00726D52">
              <w:rPr>
                <w:b/>
                <w:bCs/>
                <w:noProof/>
              </w:rPr>
              <w:lastRenderedPageBreak/>
              <w:t>2024</w:t>
            </w:r>
          </w:p>
        </w:tc>
        <w:tc>
          <w:tcPr>
            <w:tcW w:w="2993" w:type="dxa"/>
            <w:vAlign w:val="center"/>
          </w:tcPr>
          <w:p w14:paraId="41F996B8" w14:textId="6295B627" w:rsidR="006A5346" w:rsidRPr="00726D52" w:rsidRDefault="2FD0B7FF" w:rsidP="00C05BFC">
            <w:pPr>
              <w:spacing w:before="120" w:after="120"/>
              <w:jc w:val="center"/>
              <w:rPr>
                <w:noProof/>
              </w:rPr>
            </w:pPr>
            <w:r w:rsidRPr="00726D52">
              <w:rPr>
                <w:noProof/>
              </w:rPr>
              <w:t>12 795 330</w:t>
            </w:r>
          </w:p>
        </w:tc>
        <w:tc>
          <w:tcPr>
            <w:tcW w:w="2622" w:type="dxa"/>
          </w:tcPr>
          <w:p w14:paraId="1F17F819" w14:textId="3C80B8BA" w:rsidR="006A5346" w:rsidRPr="00726D52" w:rsidRDefault="7903593F" w:rsidP="32BEBD84">
            <w:pPr>
              <w:spacing w:before="120" w:after="120"/>
              <w:jc w:val="center"/>
              <w:rPr>
                <w:noProof/>
              </w:rPr>
            </w:pPr>
            <w:r w:rsidRPr="00726D52">
              <w:rPr>
                <w:noProof/>
              </w:rPr>
              <w:t>1 693 143</w:t>
            </w:r>
          </w:p>
        </w:tc>
      </w:tr>
    </w:tbl>
    <w:p w14:paraId="06AC0DB5" w14:textId="77777777" w:rsidR="006A5346" w:rsidRPr="00726D52" w:rsidRDefault="006A5346" w:rsidP="006A5346">
      <w:pPr>
        <w:spacing w:after="0"/>
        <w:jc w:val="center"/>
        <w:rPr>
          <w:rFonts w:eastAsia="Times New Roman"/>
          <w:i/>
          <w:iCs/>
          <w:noProof/>
        </w:rPr>
      </w:pPr>
      <w:r w:rsidRPr="00726D52">
        <w:rPr>
          <w:rFonts w:eastAsia="Times New Roman"/>
          <w:i/>
          <w:iCs/>
          <w:noProof/>
        </w:rPr>
        <w:t>Source: Europol</w:t>
      </w:r>
    </w:p>
    <w:p w14:paraId="11969D51" w14:textId="77777777" w:rsidR="006A5346" w:rsidRPr="00726D52" w:rsidRDefault="006A5346" w:rsidP="006A5346">
      <w:pPr>
        <w:spacing w:before="240" w:after="0"/>
        <w:rPr>
          <w:rFonts w:eastAsia="Times New Roman"/>
          <w:noProof/>
        </w:rPr>
      </w:pPr>
      <w:r w:rsidRPr="00726D52">
        <w:rPr>
          <w:rFonts w:eastAsia="Times New Roman"/>
          <w:noProof/>
        </w:rPr>
        <w:t xml:space="preserve">Europol also performs automated </w:t>
      </w:r>
      <w:r w:rsidRPr="00726D52">
        <w:rPr>
          <w:rFonts w:eastAsia="Times New Roman"/>
          <w:b/>
          <w:bCs/>
          <w:noProof/>
        </w:rPr>
        <w:t>cross-matching of operational data</w:t>
      </w:r>
      <w:r w:rsidRPr="00726D52">
        <w:rPr>
          <w:rFonts w:eastAsia="Times New Roman"/>
          <w:noProof/>
        </w:rPr>
        <w:t xml:space="preserve"> received from Member States in order to identify potential links between criminal investigations conducted in different jurisdictions. This process generates crossmatch reports and SIENA hit notifications that are transmitted to the relevant national authorities when matches are detected between datasets stored in Europol systems. </w:t>
      </w:r>
    </w:p>
    <w:p w14:paraId="5A1DE79E" w14:textId="6EE29032" w:rsidR="006A5346" w:rsidRPr="00726D52" w:rsidRDefault="006A5346" w:rsidP="5893D699">
      <w:pPr>
        <w:spacing w:before="240" w:after="0"/>
        <w:rPr>
          <w:rFonts w:eastAsia="Times New Roman"/>
          <w:noProof/>
        </w:rPr>
      </w:pPr>
      <w:r w:rsidRPr="00726D52">
        <w:rPr>
          <w:rFonts w:eastAsia="Times New Roman"/>
          <w:noProof/>
        </w:rPr>
        <w:t xml:space="preserve">During the evaluation period, the number of crossmatch reports </w:t>
      </w:r>
      <w:r w:rsidR="2101D212" w:rsidRPr="00726D52">
        <w:rPr>
          <w:rFonts w:eastAsia="Times New Roman"/>
          <w:noProof/>
        </w:rPr>
        <w:t xml:space="preserve">and hit notifications </w:t>
      </w:r>
      <w:r w:rsidRPr="00726D52">
        <w:rPr>
          <w:rFonts w:eastAsia="Times New Roman"/>
          <w:noProof/>
        </w:rPr>
        <w:t xml:space="preserve">generated by Europol evolved as follows: </w:t>
      </w:r>
      <w:r w:rsidR="0EAA99E2" w:rsidRPr="00726D52">
        <w:rPr>
          <w:rFonts w:eastAsia="Times New Roman"/>
          <w:noProof/>
        </w:rPr>
        <w:t>7 372</w:t>
      </w:r>
      <w:r w:rsidRPr="00726D52">
        <w:rPr>
          <w:rFonts w:eastAsia="Times New Roman"/>
          <w:noProof/>
        </w:rPr>
        <w:t xml:space="preserve"> in 2017, </w:t>
      </w:r>
      <w:r w:rsidR="450F1FF0" w:rsidRPr="00726D52">
        <w:rPr>
          <w:rFonts w:eastAsia="Times New Roman"/>
          <w:noProof/>
        </w:rPr>
        <w:t>6 824</w:t>
      </w:r>
      <w:r w:rsidRPr="00726D52">
        <w:rPr>
          <w:rFonts w:eastAsia="Times New Roman"/>
          <w:noProof/>
        </w:rPr>
        <w:t xml:space="preserve"> in 2018, </w:t>
      </w:r>
      <w:r w:rsidR="6B3D7980" w:rsidRPr="00726D52">
        <w:rPr>
          <w:rFonts w:eastAsia="Times New Roman"/>
          <w:noProof/>
        </w:rPr>
        <w:t>7 806</w:t>
      </w:r>
      <w:r w:rsidRPr="00726D52">
        <w:rPr>
          <w:rFonts w:eastAsia="Times New Roman"/>
          <w:noProof/>
        </w:rPr>
        <w:t xml:space="preserve"> in 2019, </w:t>
      </w:r>
      <w:r w:rsidR="560B843C" w:rsidRPr="00726D52">
        <w:rPr>
          <w:rFonts w:eastAsia="Times New Roman"/>
          <w:noProof/>
        </w:rPr>
        <w:t>9 559</w:t>
      </w:r>
      <w:r w:rsidRPr="00726D52">
        <w:rPr>
          <w:rFonts w:eastAsia="Times New Roman"/>
          <w:noProof/>
        </w:rPr>
        <w:t xml:space="preserve"> in 2020, </w:t>
      </w:r>
      <w:r w:rsidR="6D0EAA77" w:rsidRPr="00726D52">
        <w:rPr>
          <w:rFonts w:eastAsia="Times New Roman"/>
          <w:noProof/>
        </w:rPr>
        <w:t xml:space="preserve">14 413 </w:t>
      </w:r>
      <w:r w:rsidRPr="00726D52">
        <w:rPr>
          <w:rFonts w:eastAsia="Times New Roman"/>
          <w:noProof/>
        </w:rPr>
        <w:t xml:space="preserve">in 2021, </w:t>
      </w:r>
      <w:r w:rsidR="0E9E5C02" w:rsidRPr="00726D52">
        <w:rPr>
          <w:rFonts w:eastAsia="Times New Roman"/>
          <w:noProof/>
        </w:rPr>
        <w:t xml:space="preserve">14 737 </w:t>
      </w:r>
      <w:r w:rsidRPr="00726D52">
        <w:rPr>
          <w:rFonts w:eastAsia="Times New Roman"/>
          <w:noProof/>
        </w:rPr>
        <w:t>in 2022, and 14 407 crossmatch reports in 2023, followed by 13 409 reports in 2024</w:t>
      </w:r>
      <w:r w:rsidRPr="00726D52">
        <w:rPr>
          <w:rStyle w:val="FootnoteReference"/>
          <w:rFonts w:eastAsia="Times New Roman"/>
          <w:noProof/>
        </w:rPr>
        <w:footnoteReference w:id="179"/>
      </w:r>
      <w:r w:rsidRPr="00726D52">
        <w:rPr>
          <w:rFonts w:eastAsia="Times New Roman"/>
          <w:noProof/>
        </w:rPr>
        <w:t xml:space="preserve">. </w:t>
      </w:r>
    </w:p>
    <w:p w14:paraId="484B8545" w14:textId="77777777" w:rsidR="006A5346" w:rsidRPr="00726D52" w:rsidRDefault="006A5346" w:rsidP="006A5346">
      <w:pPr>
        <w:spacing w:before="240" w:after="0"/>
        <w:rPr>
          <w:rFonts w:eastAsia="Times New Roman"/>
          <w:noProof/>
        </w:rPr>
      </w:pPr>
      <w:r w:rsidRPr="00726D52">
        <w:rPr>
          <w:rFonts w:eastAsia="Times New Roman"/>
          <w:noProof/>
        </w:rPr>
        <w:t xml:space="preserve">A key development affecting information management during the evaluation period concerned the handling of large and complex datasets. Regulation (EU) </w:t>
      </w:r>
      <w:r w:rsidRPr="00726D52">
        <w:rPr>
          <w:rFonts w:eastAsia="Times New Roman"/>
          <w:b/>
          <w:bCs/>
          <w:noProof/>
        </w:rPr>
        <w:t>2022/991</w:t>
      </w:r>
      <w:r w:rsidRPr="00726D52">
        <w:rPr>
          <w:rFonts w:eastAsia="Times New Roman"/>
          <w:noProof/>
        </w:rPr>
        <w:t xml:space="preserve"> clarified Europol’s legal framework for processing personal data received without data-subject categorisation for the purpose of completing categorisation and supporting ongoing investigations. Under Article 18(6a), such data may be processed for up to </w:t>
      </w:r>
      <w:r w:rsidRPr="00726D52">
        <w:rPr>
          <w:rFonts w:eastAsia="Times New Roman"/>
          <w:b/>
          <w:bCs/>
          <w:noProof/>
        </w:rPr>
        <w:t>18 months</w:t>
      </w:r>
      <w:r w:rsidRPr="00726D52">
        <w:rPr>
          <w:rFonts w:eastAsia="Times New Roman"/>
          <w:noProof/>
        </w:rPr>
        <w:t xml:space="preserve">, extendable to </w:t>
      </w:r>
      <w:r w:rsidRPr="00726D52">
        <w:rPr>
          <w:rFonts w:eastAsia="Times New Roman"/>
          <w:b/>
          <w:bCs/>
          <w:noProof/>
        </w:rPr>
        <w:t>36 months in justified cases</w:t>
      </w:r>
      <w:r w:rsidRPr="00726D52">
        <w:rPr>
          <w:rFonts w:eastAsia="Times New Roman"/>
          <w:noProof/>
        </w:rPr>
        <w:t>, solely for completing data-subject categorisation. Article 18a introduced a derogation allowing Europol to process personal data from competent authorities, the EPPO or Eurojust, where necessary to support ongoing criminal investigations, including through operational analysis and, in exceptional and duly justified cases, cross-checking. These amendments required the development of internal procedures and data-governance arrangements for the management of large and complex datasets.</w:t>
      </w:r>
    </w:p>
    <w:p w14:paraId="14447EFC" w14:textId="77777777" w:rsidR="006A5346" w:rsidRPr="00726D52" w:rsidRDefault="006A5346" w:rsidP="006A5346">
      <w:pPr>
        <w:spacing w:before="240" w:after="0"/>
        <w:rPr>
          <w:rFonts w:eastAsia="Times New Roman"/>
          <w:noProof/>
          <w:u w:val="single"/>
        </w:rPr>
      </w:pPr>
      <w:r w:rsidRPr="00726D52">
        <w:rPr>
          <w:rFonts w:eastAsia="Times New Roman"/>
          <w:b/>
          <w:bCs/>
          <w:noProof/>
          <w:u w:val="single"/>
        </w:rPr>
        <w:t xml:space="preserve">Operational support and analytical capabilities </w:t>
      </w:r>
    </w:p>
    <w:p w14:paraId="22C85800" w14:textId="20AABD20" w:rsidR="006A5346" w:rsidRPr="00726D52" w:rsidRDefault="006A5346" w:rsidP="006A5346">
      <w:pPr>
        <w:spacing w:before="120"/>
        <w:rPr>
          <w:rFonts w:eastAsia="Times New Roman"/>
          <w:noProof/>
        </w:rPr>
      </w:pPr>
      <w:r w:rsidRPr="00726D52">
        <w:rPr>
          <w:rFonts w:eastAsia="Times New Roman"/>
          <w:noProof/>
        </w:rPr>
        <w:t xml:space="preserve">Europol provides operational support to Member States in cross-border investigations and operational actions through analytical support, operational coordination and specialised technical expertise. Under Regulation (EU) 2016/794, Europol supports national authorities by providing criminal intelligence analysis, coordinating operational activities and deploying specialised capabilities during investigations. These activities include support to operational investigations, participation in Joint Investigation Teams (JITs), organisation of operational meetings, support to Operational Task Forces (OTFs), coordination of Joint Action Days </w:t>
      </w:r>
      <w:r w:rsidR="00D71791" w:rsidRPr="00726D52">
        <w:rPr>
          <w:rFonts w:eastAsia="Times New Roman"/>
          <w:noProof/>
        </w:rPr>
        <w:t xml:space="preserve">(JADs) </w:t>
      </w:r>
      <w:r w:rsidRPr="00726D52">
        <w:rPr>
          <w:rFonts w:eastAsia="Times New Roman"/>
          <w:noProof/>
        </w:rPr>
        <w:t>and the deployment of mobile offices and specialised staff during operational actions.</w:t>
      </w:r>
    </w:p>
    <w:p w14:paraId="7AE4B24A" w14:textId="2C8AD9CC" w:rsidR="006A5346" w:rsidRPr="00726D52" w:rsidRDefault="006A5346" w:rsidP="006A5346">
      <w:pPr>
        <w:spacing w:before="120"/>
        <w:rPr>
          <w:rFonts w:eastAsia="Times New Roman"/>
          <w:noProof/>
        </w:rPr>
      </w:pPr>
      <w:r w:rsidRPr="00726D52">
        <w:rPr>
          <w:rFonts w:eastAsia="Times New Roman"/>
          <w:noProof/>
        </w:rPr>
        <w:t>During the baseline period (2014</w:t>
      </w:r>
      <w:r w:rsidR="76686332" w:rsidRPr="00726D52">
        <w:rPr>
          <w:rFonts w:eastAsia="Times New Roman"/>
          <w:noProof/>
        </w:rPr>
        <w:t>-</w:t>
      </w:r>
      <w:r w:rsidRPr="00726D52">
        <w:rPr>
          <w:rFonts w:eastAsia="Times New Roman"/>
          <w:noProof/>
        </w:rPr>
        <w:t xml:space="preserve">2016), Europol already provided operational analytical support to Member States primarily through </w:t>
      </w:r>
      <w:r w:rsidRPr="00726D52">
        <w:rPr>
          <w:rFonts w:eastAsia="Times New Roman"/>
          <w:b/>
          <w:bCs/>
          <w:noProof/>
        </w:rPr>
        <w:t>Analytical Work Files (AWFs)</w:t>
      </w:r>
      <w:r w:rsidRPr="00726D52">
        <w:rPr>
          <w:rFonts w:eastAsia="Times New Roman"/>
          <w:noProof/>
        </w:rPr>
        <w:t>, operational meetings and participation in Joint Investigation Teams (JITs). AWFs were the main analytical structures used by Europol to analyse operational data and support cross-border investigations</w:t>
      </w:r>
      <w:r w:rsidRPr="00726D52">
        <w:rPr>
          <w:rStyle w:val="FootnoteReference"/>
          <w:rFonts w:eastAsia="Times New Roman"/>
          <w:noProof/>
        </w:rPr>
        <w:footnoteReference w:id="180"/>
      </w:r>
      <w:r w:rsidRPr="00726D52">
        <w:rPr>
          <w:rFonts w:eastAsia="Times New Roman"/>
          <w:noProof/>
        </w:rPr>
        <w:t xml:space="preserve">. Europol also facilitated coordination between national authorities </w:t>
      </w:r>
      <w:r w:rsidRPr="00726D52">
        <w:rPr>
          <w:rFonts w:eastAsia="Times New Roman"/>
          <w:noProof/>
        </w:rPr>
        <w:lastRenderedPageBreak/>
        <w:t>through operational meetings and analytical support to investigations</w:t>
      </w:r>
      <w:r w:rsidRPr="00726D52">
        <w:rPr>
          <w:rStyle w:val="FootnoteReference"/>
          <w:rFonts w:eastAsia="Times New Roman"/>
          <w:noProof/>
        </w:rPr>
        <w:footnoteReference w:id="181"/>
      </w:r>
      <w:r w:rsidRPr="00726D52">
        <w:rPr>
          <w:rFonts w:eastAsia="Times New Roman"/>
          <w:noProof/>
        </w:rPr>
        <w:t xml:space="preserve">. According to Europol operational statistics, the Agency produced around </w:t>
      </w:r>
      <w:r w:rsidRPr="00726D52">
        <w:rPr>
          <w:rFonts w:eastAsia="Times New Roman"/>
          <w:b/>
          <w:bCs/>
          <w:noProof/>
        </w:rPr>
        <w:t>5 300 operational reports in 2016</w:t>
      </w:r>
      <w:r w:rsidRPr="00726D52">
        <w:rPr>
          <w:rFonts w:eastAsia="Times New Roman"/>
          <w:noProof/>
        </w:rPr>
        <w:t>, reflecting the analytical support provided to national investigations during this period</w:t>
      </w:r>
      <w:r w:rsidRPr="00726D52">
        <w:rPr>
          <w:rStyle w:val="FootnoteReference"/>
          <w:rFonts w:eastAsia="Times New Roman"/>
          <w:noProof/>
        </w:rPr>
        <w:footnoteReference w:id="182"/>
      </w:r>
      <w:r w:rsidRPr="00726D52">
        <w:rPr>
          <w:rFonts w:eastAsia="Times New Roman"/>
          <w:noProof/>
        </w:rPr>
        <w:t>. Operational support during the baseline period was therefore primarily focused on providing criminal intelligence analysis and facilitating coordination between national authorities involved in cross-border investigations</w:t>
      </w:r>
      <w:r w:rsidR="0022247C" w:rsidRPr="00726D52">
        <w:rPr>
          <w:rFonts w:eastAsia="Times New Roman"/>
          <w:noProof/>
        </w:rPr>
        <w:t>.</w:t>
      </w:r>
      <w:r w:rsidRPr="00726D52">
        <w:rPr>
          <w:rStyle w:val="FootnoteReference"/>
          <w:rFonts w:eastAsia="Times New Roman"/>
          <w:noProof/>
        </w:rPr>
        <w:footnoteReference w:id="183"/>
      </w:r>
    </w:p>
    <w:p w14:paraId="3298CD3A" w14:textId="58C40640" w:rsidR="006A5346" w:rsidRPr="00726D52" w:rsidRDefault="006A5346" w:rsidP="006A5346">
      <w:pPr>
        <w:spacing w:before="120"/>
        <w:rPr>
          <w:noProof/>
        </w:rPr>
      </w:pPr>
      <w:r w:rsidRPr="00726D52">
        <w:rPr>
          <w:rFonts w:eastAsia="Times New Roman"/>
          <w:noProof/>
        </w:rPr>
        <w:t xml:space="preserve">Following the entry into force of </w:t>
      </w:r>
      <w:r w:rsidRPr="00726D52">
        <w:rPr>
          <w:rFonts w:eastAsia="Times New Roman"/>
          <w:b/>
          <w:bCs/>
          <w:noProof/>
        </w:rPr>
        <w:t>Regulation (EU) 2016/794</w:t>
      </w:r>
      <w:r w:rsidRPr="00726D52">
        <w:rPr>
          <w:rFonts w:eastAsia="Times New Roman"/>
          <w:noProof/>
        </w:rPr>
        <w:t xml:space="preserve"> in 2017, Europol’s operational support was progressively expanded and became increasingly structured around intelligence-led investigations targeting organised criminal networks operating across several Member States. This reflected the strengthened mandate of Europol to provide analytical support, operational coordination and specialised expertise to national authorities in cross-border investigation. During the evaluation period, operational coordination increasingly relied on structures such as Operational Task Forces (OTFs)</w:t>
      </w:r>
      <w:r w:rsidRPr="00726D52">
        <w:rPr>
          <w:rStyle w:val="FootnoteReference"/>
          <w:rFonts w:eastAsia="Times New Roman"/>
          <w:noProof/>
        </w:rPr>
        <w:footnoteReference w:id="184"/>
      </w:r>
      <w:r w:rsidRPr="00726D52">
        <w:rPr>
          <w:rFonts w:eastAsia="Times New Roman"/>
          <w:noProof/>
        </w:rPr>
        <w:t xml:space="preserve"> and Europol’s participation in Joint Investigation Teams (JITs)</w:t>
      </w:r>
      <w:r w:rsidRPr="00726D52">
        <w:rPr>
          <w:rStyle w:val="FootnoteReference"/>
          <w:rFonts w:eastAsia="Times New Roman"/>
          <w:noProof/>
        </w:rPr>
        <w:footnoteReference w:id="185"/>
      </w:r>
      <w:r w:rsidRPr="00726D52">
        <w:rPr>
          <w:rFonts w:eastAsia="Times New Roman"/>
          <w:noProof/>
        </w:rPr>
        <w:t xml:space="preserve">, which bring together investigators and analysts from several Member States to support intelligence-led investigations targeting priority criminal networks. Europol also supports coordinated operational actions between Member States through the organisation of </w:t>
      </w:r>
      <w:r w:rsidRPr="00726D52">
        <w:rPr>
          <w:rFonts w:eastAsia="Times New Roman"/>
          <w:b/>
          <w:bCs/>
          <w:noProof/>
        </w:rPr>
        <w:t>Joint Action Days</w:t>
      </w:r>
      <w:r w:rsidRPr="00726D52">
        <w:rPr>
          <w:rStyle w:val="FootnoteReference"/>
          <w:rFonts w:eastAsia="Times New Roman"/>
          <w:b/>
          <w:bCs/>
          <w:noProof/>
        </w:rPr>
        <w:footnoteReference w:id="186"/>
      </w:r>
      <w:r w:rsidRPr="00726D52">
        <w:rPr>
          <w:noProof/>
        </w:rPr>
        <w:t xml:space="preserve">. </w:t>
      </w:r>
      <w:r w:rsidR="00DC1DE7" w:rsidRPr="00726D52">
        <w:rPr>
          <w:noProof/>
        </w:rPr>
        <w:t>The number of J</w:t>
      </w:r>
      <w:r w:rsidR="00006660" w:rsidRPr="00726D52">
        <w:rPr>
          <w:noProof/>
        </w:rPr>
        <w:t xml:space="preserve">ADs </w:t>
      </w:r>
      <w:r w:rsidR="00FD0810" w:rsidRPr="00726D52">
        <w:rPr>
          <w:noProof/>
        </w:rPr>
        <w:t>h</w:t>
      </w:r>
      <w:r w:rsidR="00006660" w:rsidRPr="00726D52">
        <w:rPr>
          <w:noProof/>
        </w:rPr>
        <w:t xml:space="preserve">as </w:t>
      </w:r>
      <w:r w:rsidR="006879BD" w:rsidRPr="00726D52">
        <w:rPr>
          <w:noProof/>
        </w:rPr>
        <w:t xml:space="preserve">increased </w:t>
      </w:r>
      <w:r w:rsidR="00FD0810" w:rsidRPr="00726D52">
        <w:rPr>
          <w:noProof/>
        </w:rPr>
        <w:t>throughout the evaluation period</w:t>
      </w:r>
      <w:r w:rsidR="006879BD" w:rsidRPr="00726D52">
        <w:rPr>
          <w:noProof/>
        </w:rPr>
        <w:t xml:space="preserve">, with </w:t>
      </w:r>
      <w:r w:rsidR="007664EE" w:rsidRPr="00726D52">
        <w:rPr>
          <w:noProof/>
        </w:rPr>
        <w:t xml:space="preserve">a total of </w:t>
      </w:r>
      <w:r w:rsidR="00B7414D" w:rsidRPr="00726D52">
        <w:rPr>
          <w:noProof/>
        </w:rPr>
        <w:t>7</w:t>
      </w:r>
      <w:r w:rsidR="00FD0810" w:rsidRPr="00726D52">
        <w:rPr>
          <w:noProof/>
        </w:rPr>
        <w:t xml:space="preserve"> </w:t>
      </w:r>
      <w:r w:rsidR="00BB3B0D" w:rsidRPr="00726D52">
        <w:rPr>
          <w:noProof/>
        </w:rPr>
        <w:t>taking place</w:t>
      </w:r>
      <w:r w:rsidR="00FD0810" w:rsidRPr="00726D52">
        <w:rPr>
          <w:noProof/>
        </w:rPr>
        <w:t xml:space="preserve"> in 20</w:t>
      </w:r>
      <w:r w:rsidR="00B7414D" w:rsidRPr="00726D52">
        <w:rPr>
          <w:noProof/>
        </w:rPr>
        <w:t>17</w:t>
      </w:r>
      <w:r w:rsidR="00FD0810" w:rsidRPr="00726D52">
        <w:rPr>
          <w:noProof/>
        </w:rPr>
        <w:t>, 10 in 2023 and 11 in 2024.</w:t>
      </w:r>
      <w:r w:rsidR="00826B4E" w:rsidRPr="00726D52">
        <w:rPr>
          <w:rStyle w:val="FootnoteReference"/>
          <w:noProof/>
        </w:rPr>
        <w:footnoteReference w:id="187"/>
      </w:r>
    </w:p>
    <w:tbl>
      <w:tblPr>
        <w:tblStyle w:val="TableGrid"/>
        <w:tblW w:w="5000" w:type="pct"/>
        <w:tblLook w:val="04A0" w:firstRow="1" w:lastRow="0" w:firstColumn="1" w:lastColumn="0" w:noHBand="0" w:noVBand="1"/>
      </w:tblPr>
      <w:tblGrid>
        <w:gridCol w:w="2063"/>
        <w:gridCol w:w="2477"/>
        <w:gridCol w:w="2221"/>
        <w:gridCol w:w="1847"/>
      </w:tblGrid>
      <w:tr w:rsidR="006A5346" w:rsidRPr="00726D52" w14:paraId="3D959F53" w14:textId="77777777" w:rsidTr="00A57794">
        <w:tc>
          <w:tcPr>
            <w:tcW w:w="1198" w:type="pct"/>
            <w:shd w:val="clear" w:color="auto" w:fill="B7CFED"/>
            <w:vAlign w:val="center"/>
          </w:tcPr>
          <w:p w14:paraId="2B05E5CA" w14:textId="77777777" w:rsidR="006A5346" w:rsidRPr="00726D52" w:rsidRDefault="006A5346" w:rsidP="00C05BFC">
            <w:pPr>
              <w:spacing w:before="120" w:after="120"/>
              <w:jc w:val="center"/>
              <w:rPr>
                <w:b/>
                <w:bCs/>
                <w:noProof/>
              </w:rPr>
            </w:pPr>
            <w:r w:rsidRPr="00726D52">
              <w:rPr>
                <w:b/>
                <w:bCs/>
                <w:noProof/>
              </w:rPr>
              <w:t>Year</w:t>
            </w:r>
          </w:p>
        </w:tc>
        <w:tc>
          <w:tcPr>
            <w:tcW w:w="1439" w:type="pct"/>
            <w:shd w:val="clear" w:color="auto" w:fill="B7CFED"/>
            <w:vAlign w:val="center"/>
          </w:tcPr>
          <w:p w14:paraId="1C4D474F" w14:textId="77777777" w:rsidR="006A5346" w:rsidRPr="00726D52" w:rsidRDefault="006A5346" w:rsidP="00C05BFC">
            <w:pPr>
              <w:spacing w:before="120" w:after="120"/>
              <w:jc w:val="center"/>
              <w:rPr>
                <w:b/>
                <w:bCs/>
                <w:noProof/>
              </w:rPr>
            </w:pPr>
            <w:r w:rsidRPr="00726D52">
              <w:rPr>
                <w:b/>
                <w:bCs/>
                <w:noProof/>
              </w:rPr>
              <w:t>Cross-border investigations supported by Europol</w:t>
            </w:r>
          </w:p>
        </w:tc>
        <w:tc>
          <w:tcPr>
            <w:tcW w:w="1290" w:type="pct"/>
            <w:shd w:val="clear" w:color="auto" w:fill="B7CFED"/>
          </w:tcPr>
          <w:p w14:paraId="5BB55BC4" w14:textId="77777777" w:rsidR="006A5346" w:rsidRPr="00726D52" w:rsidRDefault="006A5346" w:rsidP="00C05BFC">
            <w:pPr>
              <w:spacing w:before="120" w:after="120"/>
              <w:jc w:val="center"/>
              <w:rPr>
                <w:b/>
                <w:bCs/>
                <w:noProof/>
              </w:rPr>
            </w:pPr>
            <w:r w:rsidRPr="00726D52">
              <w:rPr>
                <w:b/>
                <w:bCs/>
                <w:noProof/>
              </w:rPr>
              <w:t xml:space="preserve">Joint Investigation Teams </w:t>
            </w:r>
          </w:p>
        </w:tc>
        <w:tc>
          <w:tcPr>
            <w:tcW w:w="1073" w:type="pct"/>
            <w:shd w:val="clear" w:color="auto" w:fill="B7CFED"/>
          </w:tcPr>
          <w:p w14:paraId="578E65A3" w14:textId="77777777" w:rsidR="006A5346" w:rsidRPr="00726D52" w:rsidRDefault="006A5346" w:rsidP="00C05BFC">
            <w:pPr>
              <w:spacing w:before="120" w:after="120"/>
              <w:jc w:val="center"/>
              <w:rPr>
                <w:b/>
                <w:bCs/>
                <w:noProof/>
              </w:rPr>
            </w:pPr>
            <w:r w:rsidRPr="00726D52">
              <w:rPr>
                <w:b/>
                <w:bCs/>
                <w:noProof/>
              </w:rPr>
              <w:t xml:space="preserve">Operational Task Forces </w:t>
            </w:r>
          </w:p>
        </w:tc>
      </w:tr>
      <w:tr w:rsidR="006A5346" w:rsidRPr="00726D52" w14:paraId="0378ED90" w14:textId="77777777" w:rsidTr="00A57794">
        <w:tc>
          <w:tcPr>
            <w:tcW w:w="1198" w:type="pct"/>
            <w:shd w:val="clear" w:color="auto" w:fill="E1EBF7"/>
            <w:vAlign w:val="center"/>
          </w:tcPr>
          <w:p w14:paraId="300DFBE9" w14:textId="77777777" w:rsidR="006A5346" w:rsidRPr="00726D52" w:rsidRDefault="006A5346" w:rsidP="00C05BFC">
            <w:pPr>
              <w:spacing w:before="120" w:after="120"/>
              <w:jc w:val="center"/>
              <w:rPr>
                <w:b/>
                <w:bCs/>
                <w:noProof/>
              </w:rPr>
            </w:pPr>
            <w:r w:rsidRPr="00726D52">
              <w:rPr>
                <w:b/>
                <w:bCs/>
                <w:noProof/>
              </w:rPr>
              <w:t>2014-2016 (baseline annual average)</w:t>
            </w:r>
          </w:p>
        </w:tc>
        <w:tc>
          <w:tcPr>
            <w:tcW w:w="1439" w:type="pct"/>
            <w:vAlign w:val="center"/>
          </w:tcPr>
          <w:p w14:paraId="2385DB6F" w14:textId="32E19A63" w:rsidR="006A5346" w:rsidRPr="00726D52" w:rsidRDefault="1ADD2C96" w:rsidP="00C05BFC">
            <w:pPr>
              <w:spacing w:before="120" w:after="120"/>
              <w:jc w:val="center"/>
              <w:rPr>
                <w:noProof/>
              </w:rPr>
            </w:pPr>
            <w:r w:rsidRPr="00726D52">
              <w:rPr>
                <w:noProof/>
              </w:rPr>
              <w:t>~1 000</w:t>
            </w:r>
          </w:p>
        </w:tc>
        <w:tc>
          <w:tcPr>
            <w:tcW w:w="1290" w:type="pct"/>
            <w:vAlign w:val="center"/>
          </w:tcPr>
          <w:p w14:paraId="613FF73B" w14:textId="24DF5F0E" w:rsidR="006A5346" w:rsidRPr="00726D52" w:rsidRDefault="09E43C25" w:rsidP="00C05BFC">
            <w:pPr>
              <w:spacing w:before="120" w:after="120"/>
              <w:jc w:val="center"/>
              <w:rPr>
                <w:noProof/>
              </w:rPr>
            </w:pPr>
            <w:r w:rsidRPr="00726D52">
              <w:rPr>
                <w:noProof/>
              </w:rPr>
              <w:t>38</w:t>
            </w:r>
            <w:r w:rsidR="00226AB6" w:rsidRPr="00726D52">
              <w:rPr>
                <w:noProof/>
              </w:rPr>
              <w:t xml:space="preserve"> JITs</w:t>
            </w:r>
          </w:p>
        </w:tc>
        <w:tc>
          <w:tcPr>
            <w:tcW w:w="1073" w:type="pct"/>
            <w:vAlign w:val="center"/>
          </w:tcPr>
          <w:p w14:paraId="6DFC7E54" w14:textId="538F61EB" w:rsidR="006A5346" w:rsidRPr="00726D52" w:rsidRDefault="24364923" w:rsidP="00C05BFC">
            <w:pPr>
              <w:spacing w:before="120" w:after="120"/>
              <w:jc w:val="center"/>
              <w:rPr>
                <w:noProof/>
              </w:rPr>
            </w:pPr>
            <w:r w:rsidRPr="00726D52">
              <w:rPr>
                <w:noProof/>
              </w:rPr>
              <w:t>-</w:t>
            </w:r>
          </w:p>
        </w:tc>
      </w:tr>
      <w:tr w:rsidR="006A5346" w:rsidRPr="00726D52" w14:paraId="1E050208" w14:textId="77777777" w:rsidTr="00A57794">
        <w:tc>
          <w:tcPr>
            <w:tcW w:w="1198" w:type="pct"/>
            <w:shd w:val="clear" w:color="auto" w:fill="E1EBF7"/>
            <w:vAlign w:val="center"/>
          </w:tcPr>
          <w:p w14:paraId="513E69B4" w14:textId="77777777" w:rsidR="006A5346" w:rsidRPr="00726D52" w:rsidRDefault="006A5346" w:rsidP="00C05BFC">
            <w:pPr>
              <w:spacing w:before="120" w:after="120"/>
              <w:jc w:val="center"/>
              <w:rPr>
                <w:b/>
                <w:bCs/>
                <w:noProof/>
              </w:rPr>
            </w:pPr>
            <w:r w:rsidRPr="00726D52">
              <w:rPr>
                <w:b/>
                <w:bCs/>
                <w:noProof/>
              </w:rPr>
              <w:t>2017</w:t>
            </w:r>
          </w:p>
        </w:tc>
        <w:tc>
          <w:tcPr>
            <w:tcW w:w="1439" w:type="pct"/>
            <w:vAlign w:val="center"/>
          </w:tcPr>
          <w:p w14:paraId="626A07AA" w14:textId="63F5EABA" w:rsidR="006A5346" w:rsidRPr="00726D52" w:rsidRDefault="097BBD91" w:rsidP="00C05BFC">
            <w:pPr>
              <w:spacing w:before="120" w:after="120"/>
              <w:jc w:val="center"/>
              <w:rPr>
                <w:noProof/>
              </w:rPr>
            </w:pPr>
            <w:r w:rsidRPr="00726D52">
              <w:rPr>
                <w:noProof/>
              </w:rPr>
              <w:t>1496</w:t>
            </w:r>
          </w:p>
        </w:tc>
        <w:tc>
          <w:tcPr>
            <w:tcW w:w="1290" w:type="pct"/>
            <w:vAlign w:val="center"/>
          </w:tcPr>
          <w:p w14:paraId="18B4E678" w14:textId="370F0B58" w:rsidR="006A5346" w:rsidRPr="00726D52" w:rsidRDefault="073EE0ED" w:rsidP="00C05BFC">
            <w:pPr>
              <w:spacing w:before="120" w:after="120"/>
              <w:jc w:val="center"/>
              <w:rPr>
                <w:noProof/>
              </w:rPr>
            </w:pPr>
            <w:r w:rsidRPr="00726D52">
              <w:rPr>
                <w:noProof/>
              </w:rPr>
              <w:t>61</w:t>
            </w:r>
            <w:r w:rsidR="00226AB6" w:rsidRPr="00726D52">
              <w:rPr>
                <w:noProof/>
              </w:rPr>
              <w:t xml:space="preserve"> JITs</w:t>
            </w:r>
          </w:p>
        </w:tc>
        <w:tc>
          <w:tcPr>
            <w:tcW w:w="1073" w:type="pct"/>
            <w:vAlign w:val="center"/>
          </w:tcPr>
          <w:p w14:paraId="6EFA37AC" w14:textId="51EE9C79" w:rsidR="006A5346" w:rsidRPr="00726D52" w:rsidRDefault="330D690D" w:rsidP="00C05BFC">
            <w:pPr>
              <w:spacing w:before="120" w:after="120"/>
              <w:jc w:val="center"/>
              <w:rPr>
                <w:noProof/>
              </w:rPr>
            </w:pPr>
            <w:r w:rsidRPr="00726D52">
              <w:rPr>
                <w:noProof/>
              </w:rPr>
              <w:t>-</w:t>
            </w:r>
          </w:p>
        </w:tc>
      </w:tr>
      <w:tr w:rsidR="006A5346" w:rsidRPr="00726D52" w14:paraId="623D3B9C" w14:textId="77777777" w:rsidTr="00A57794">
        <w:tc>
          <w:tcPr>
            <w:tcW w:w="1198" w:type="pct"/>
            <w:shd w:val="clear" w:color="auto" w:fill="E1EBF7"/>
            <w:vAlign w:val="center"/>
          </w:tcPr>
          <w:p w14:paraId="412BAE18" w14:textId="77777777" w:rsidR="006A5346" w:rsidRPr="00726D52" w:rsidRDefault="006A5346" w:rsidP="00C05BFC">
            <w:pPr>
              <w:spacing w:before="120" w:after="120"/>
              <w:jc w:val="center"/>
              <w:rPr>
                <w:b/>
                <w:bCs/>
                <w:noProof/>
              </w:rPr>
            </w:pPr>
            <w:r w:rsidRPr="00726D52">
              <w:rPr>
                <w:b/>
                <w:bCs/>
                <w:noProof/>
              </w:rPr>
              <w:t>2020</w:t>
            </w:r>
          </w:p>
        </w:tc>
        <w:tc>
          <w:tcPr>
            <w:tcW w:w="1439" w:type="pct"/>
            <w:vAlign w:val="center"/>
          </w:tcPr>
          <w:p w14:paraId="43C2A99B" w14:textId="69998614" w:rsidR="006A5346" w:rsidRPr="00726D52" w:rsidRDefault="1996756D" w:rsidP="00C05BFC">
            <w:pPr>
              <w:spacing w:before="120" w:after="120"/>
              <w:jc w:val="center"/>
              <w:rPr>
                <w:noProof/>
              </w:rPr>
            </w:pPr>
            <w:r w:rsidRPr="00726D52">
              <w:rPr>
                <w:noProof/>
              </w:rPr>
              <w:t>837</w:t>
            </w:r>
          </w:p>
        </w:tc>
        <w:tc>
          <w:tcPr>
            <w:tcW w:w="1290" w:type="pct"/>
            <w:vAlign w:val="center"/>
          </w:tcPr>
          <w:p w14:paraId="1DF185D0" w14:textId="1FFBD1E8" w:rsidR="006A5346" w:rsidRPr="00726D52" w:rsidRDefault="3F7BEC59" w:rsidP="00C05BFC">
            <w:pPr>
              <w:spacing w:before="120" w:after="120"/>
              <w:jc w:val="center"/>
              <w:rPr>
                <w:noProof/>
              </w:rPr>
            </w:pPr>
            <w:r w:rsidRPr="00726D52">
              <w:rPr>
                <w:noProof/>
              </w:rPr>
              <w:t>57</w:t>
            </w:r>
            <w:r w:rsidR="00F40F28" w:rsidRPr="00726D52">
              <w:rPr>
                <w:noProof/>
              </w:rPr>
              <w:t xml:space="preserve"> </w:t>
            </w:r>
            <w:r w:rsidR="00226AB6" w:rsidRPr="00726D52">
              <w:rPr>
                <w:noProof/>
              </w:rPr>
              <w:t>JITs</w:t>
            </w:r>
            <w:r w:rsidR="00DC7EB4" w:rsidRPr="00726D52">
              <w:rPr>
                <w:noProof/>
              </w:rPr>
              <w:t xml:space="preserve"> </w:t>
            </w:r>
            <w:r w:rsidRPr="00726D52">
              <w:rPr>
                <w:noProof/>
              </w:rPr>
              <w:t xml:space="preserve">(including </w:t>
            </w:r>
            <w:r w:rsidR="2F3C1E95" w:rsidRPr="00726D52">
              <w:rPr>
                <w:noProof/>
              </w:rPr>
              <w:t>15 newly signed</w:t>
            </w:r>
            <w:r w:rsidR="334D48FC" w:rsidRPr="00726D52">
              <w:rPr>
                <w:noProof/>
              </w:rPr>
              <w:t>)</w:t>
            </w:r>
          </w:p>
        </w:tc>
        <w:tc>
          <w:tcPr>
            <w:tcW w:w="1073" w:type="pct"/>
            <w:vAlign w:val="center"/>
          </w:tcPr>
          <w:p w14:paraId="55A7429F" w14:textId="5EC5855D" w:rsidR="006A5346" w:rsidRPr="00726D52" w:rsidRDefault="12493349" w:rsidP="00C05BFC">
            <w:pPr>
              <w:spacing w:before="120" w:after="120"/>
              <w:jc w:val="center"/>
              <w:rPr>
                <w:noProof/>
              </w:rPr>
            </w:pPr>
            <w:r w:rsidRPr="00726D52">
              <w:rPr>
                <w:noProof/>
              </w:rPr>
              <w:t>11</w:t>
            </w:r>
          </w:p>
        </w:tc>
      </w:tr>
      <w:tr w:rsidR="006A5346" w:rsidRPr="00726D52" w14:paraId="60310893" w14:textId="77777777" w:rsidTr="00A57794">
        <w:tc>
          <w:tcPr>
            <w:tcW w:w="1198" w:type="pct"/>
            <w:shd w:val="clear" w:color="auto" w:fill="E1EBF7"/>
            <w:vAlign w:val="center"/>
          </w:tcPr>
          <w:p w14:paraId="6224AE14" w14:textId="77777777" w:rsidR="006A5346" w:rsidRPr="00726D52" w:rsidRDefault="006A5346" w:rsidP="00C05BFC">
            <w:pPr>
              <w:spacing w:before="120" w:after="120"/>
              <w:jc w:val="center"/>
              <w:rPr>
                <w:b/>
                <w:bCs/>
                <w:noProof/>
              </w:rPr>
            </w:pPr>
            <w:r w:rsidRPr="00726D52">
              <w:rPr>
                <w:b/>
                <w:bCs/>
                <w:noProof/>
              </w:rPr>
              <w:lastRenderedPageBreak/>
              <w:t>2023</w:t>
            </w:r>
          </w:p>
        </w:tc>
        <w:tc>
          <w:tcPr>
            <w:tcW w:w="1439" w:type="pct"/>
            <w:vAlign w:val="center"/>
          </w:tcPr>
          <w:p w14:paraId="34373060" w14:textId="103F9751" w:rsidR="006A5346" w:rsidRPr="00726D52" w:rsidRDefault="2D7A2818" w:rsidP="00C05BFC">
            <w:pPr>
              <w:spacing w:before="120" w:after="120"/>
              <w:jc w:val="center"/>
              <w:rPr>
                <w:noProof/>
              </w:rPr>
            </w:pPr>
            <w:r w:rsidRPr="00726D52">
              <w:rPr>
                <w:noProof/>
              </w:rPr>
              <w:t>3155</w:t>
            </w:r>
          </w:p>
        </w:tc>
        <w:tc>
          <w:tcPr>
            <w:tcW w:w="1290" w:type="pct"/>
            <w:vAlign w:val="center"/>
          </w:tcPr>
          <w:p w14:paraId="4447970F" w14:textId="36B0B47E" w:rsidR="006A5346" w:rsidRPr="00726D52" w:rsidRDefault="006A5346" w:rsidP="00C05BFC">
            <w:pPr>
              <w:spacing w:before="120" w:after="120"/>
              <w:jc w:val="center"/>
              <w:rPr>
                <w:noProof/>
              </w:rPr>
            </w:pPr>
            <w:r w:rsidRPr="00726D52">
              <w:rPr>
                <w:noProof/>
              </w:rPr>
              <w:t>33 JITs (including 21 newly initiated teams)</w:t>
            </w:r>
          </w:p>
        </w:tc>
        <w:tc>
          <w:tcPr>
            <w:tcW w:w="1073" w:type="pct"/>
            <w:vAlign w:val="center"/>
          </w:tcPr>
          <w:p w14:paraId="097AFF88" w14:textId="77777777" w:rsidR="006A5346" w:rsidRPr="00726D52" w:rsidRDefault="006A5346" w:rsidP="00C05BFC">
            <w:pPr>
              <w:spacing w:before="120" w:after="120"/>
              <w:jc w:val="center"/>
              <w:rPr>
                <w:noProof/>
              </w:rPr>
            </w:pPr>
            <w:r w:rsidRPr="00726D52">
              <w:rPr>
                <w:noProof/>
              </w:rPr>
              <w:t>27</w:t>
            </w:r>
          </w:p>
        </w:tc>
      </w:tr>
      <w:tr w:rsidR="006A5346" w:rsidRPr="00726D52" w14:paraId="4CA57CC9" w14:textId="77777777" w:rsidTr="00A57794">
        <w:tc>
          <w:tcPr>
            <w:tcW w:w="1198" w:type="pct"/>
            <w:shd w:val="clear" w:color="auto" w:fill="E1EBF7"/>
            <w:vAlign w:val="center"/>
          </w:tcPr>
          <w:p w14:paraId="5422CF76" w14:textId="77777777" w:rsidR="006A5346" w:rsidRPr="00726D52" w:rsidRDefault="006A5346" w:rsidP="00C05BFC">
            <w:pPr>
              <w:spacing w:before="120" w:after="120"/>
              <w:jc w:val="center"/>
              <w:rPr>
                <w:b/>
                <w:bCs/>
                <w:noProof/>
              </w:rPr>
            </w:pPr>
            <w:r w:rsidRPr="00726D52">
              <w:rPr>
                <w:b/>
                <w:bCs/>
                <w:noProof/>
              </w:rPr>
              <w:t>2024</w:t>
            </w:r>
          </w:p>
        </w:tc>
        <w:tc>
          <w:tcPr>
            <w:tcW w:w="1439" w:type="pct"/>
            <w:vAlign w:val="center"/>
          </w:tcPr>
          <w:p w14:paraId="567DB676" w14:textId="77777777" w:rsidR="006A5346" w:rsidRPr="00726D52" w:rsidRDefault="006A5346" w:rsidP="00C05BFC">
            <w:pPr>
              <w:spacing w:before="120" w:after="120"/>
              <w:jc w:val="center"/>
              <w:rPr>
                <w:noProof/>
              </w:rPr>
            </w:pPr>
            <w:r w:rsidRPr="00726D52">
              <w:rPr>
                <w:noProof/>
              </w:rPr>
              <w:t>3 324</w:t>
            </w:r>
          </w:p>
        </w:tc>
        <w:tc>
          <w:tcPr>
            <w:tcW w:w="1290" w:type="pct"/>
            <w:vAlign w:val="center"/>
          </w:tcPr>
          <w:p w14:paraId="2FCDA97B" w14:textId="77777777" w:rsidR="006A5346" w:rsidRPr="00726D52" w:rsidRDefault="006A5346" w:rsidP="00C05BFC">
            <w:pPr>
              <w:spacing w:before="120" w:after="120"/>
              <w:jc w:val="center"/>
              <w:rPr>
                <w:noProof/>
              </w:rPr>
            </w:pPr>
            <w:r w:rsidRPr="00726D52">
              <w:rPr>
                <w:noProof/>
              </w:rPr>
              <w:t>49 JITs (including 36 newly established).</w:t>
            </w:r>
          </w:p>
        </w:tc>
        <w:tc>
          <w:tcPr>
            <w:tcW w:w="1073" w:type="pct"/>
            <w:vAlign w:val="center"/>
          </w:tcPr>
          <w:p w14:paraId="7FEB9AA3" w14:textId="77777777" w:rsidR="006A5346" w:rsidRPr="00726D52" w:rsidRDefault="006A5346" w:rsidP="00C05BFC">
            <w:pPr>
              <w:spacing w:before="120" w:after="120"/>
              <w:jc w:val="center"/>
              <w:rPr>
                <w:noProof/>
              </w:rPr>
            </w:pPr>
            <w:r w:rsidRPr="00726D52">
              <w:rPr>
                <w:noProof/>
              </w:rPr>
              <w:t>65</w:t>
            </w:r>
            <w:r w:rsidRPr="00726D52">
              <w:rPr>
                <w:rStyle w:val="FootnoteReference"/>
                <w:noProof/>
              </w:rPr>
              <w:footnoteReference w:id="188"/>
            </w:r>
          </w:p>
        </w:tc>
      </w:tr>
    </w:tbl>
    <w:p w14:paraId="03B11BDE" w14:textId="77777777" w:rsidR="006A5346" w:rsidRPr="00726D52" w:rsidRDefault="006A5346" w:rsidP="006A5346">
      <w:pPr>
        <w:spacing w:after="0"/>
        <w:jc w:val="center"/>
        <w:rPr>
          <w:rFonts w:eastAsia="Times New Roman"/>
          <w:i/>
          <w:iCs/>
          <w:noProof/>
        </w:rPr>
      </w:pPr>
      <w:r w:rsidRPr="00726D52">
        <w:rPr>
          <w:rFonts w:eastAsia="Times New Roman"/>
          <w:i/>
          <w:iCs/>
          <w:noProof/>
        </w:rPr>
        <w:t>Source: Europol operational statistics</w:t>
      </w:r>
    </w:p>
    <w:p w14:paraId="3C86B5E4" w14:textId="6D382829" w:rsidR="006A5346" w:rsidRPr="00726D52" w:rsidRDefault="006A5346" w:rsidP="006A5346">
      <w:pPr>
        <w:spacing w:before="120" w:after="0"/>
        <w:rPr>
          <w:rFonts w:eastAsia="Times New Roman"/>
          <w:noProof/>
        </w:rPr>
      </w:pPr>
      <w:r w:rsidRPr="00726D52">
        <w:rPr>
          <w:rFonts w:eastAsia="Times New Roman"/>
          <w:noProof/>
        </w:rPr>
        <w:t>In parallel with the increase in investigations supported, Europol’s analytical output expanded considerably during the evaluation period</w:t>
      </w:r>
      <w:r w:rsidRPr="00726D52">
        <w:rPr>
          <w:rFonts w:eastAsia="Times New Roman"/>
          <w:b/>
          <w:bCs/>
          <w:noProof/>
        </w:rPr>
        <w:t>. Operational reports</w:t>
      </w:r>
      <w:r w:rsidRPr="00726D52">
        <w:rPr>
          <w:rFonts w:eastAsia="Times New Roman"/>
          <w:noProof/>
        </w:rPr>
        <w:t xml:space="preserve"> produced in direct support of investigations increased from 5 330 in 2016 to 23 012 in 2023 and 21 281 in 2024. Europol also continued to produce </w:t>
      </w:r>
      <w:r w:rsidRPr="00726D52">
        <w:rPr>
          <w:rFonts w:eastAsia="Times New Roman"/>
          <w:b/>
          <w:bCs/>
          <w:noProof/>
        </w:rPr>
        <w:t>strategic analysis</w:t>
      </w:r>
      <w:r w:rsidRPr="00726D52">
        <w:rPr>
          <w:rStyle w:val="FootnoteReference"/>
          <w:rFonts w:eastAsia="Times New Roman"/>
          <w:noProof/>
        </w:rPr>
        <w:footnoteReference w:id="189"/>
      </w:r>
      <w:r w:rsidRPr="00726D52">
        <w:rPr>
          <w:rFonts w:eastAsia="Times New Roman"/>
          <w:noProof/>
        </w:rPr>
        <w:t xml:space="preserve"> on emerging crime threats and supporting EU operational frameworks such as EMPACT. In 2024, Europol produced 29 strategic analysis reports and 366 operational analysis reports, compared with </w:t>
      </w:r>
      <w:r w:rsidR="554B34B5" w:rsidRPr="00726D52">
        <w:rPr>
          <w:rFonts w:eastAsia="Times New Roman"/>
          <w:noProof/>
        </w:rPr>
        <w:t>44</w:t>
      </w:r>
      <w:r w:rsidRPr="00726D52">
        <w:rPr>
          <w:rFonts w:eastAsia="Times New Roman"/>
          <w:b/>
          <w:bCs/>
          <w:noProof/>
        </w:rPr>
        <w:t xml:space="preserve"> </w:t>
      </w:r>
      <w:r w:rsidRPr="00726D52">
        <w:rPr>
          <w:rFonts w:eastAsia="Times New Roman"/>
          <w:noProof/>
        </w:rPr>
        <w:t xml:space="preserve">strategic reports and </w:t>
      </w:r>
      <w:r w:rsidR="66EC0545" w:rsidRPr="00726D52">
        <w:rPr>
          <w:rFonts w:eastAsia="Times New Roman"/>
          <w:noProof/>
        </w:rPr>
        <w:t>332</w:t>
      </w:r>
      <w:r w:rsidRPr="00726D52">
        <w:rPr>
          <w:rFonts w:eastAsia="Times New Roman"/>
          <w:noProof/>
        </w:rPr>
        <w:t xml:space="preserve"> operational reports in 2017.</w:t>
      </w:r>
    </w:p>
    <w:p w14:paraId="16FCC60B" w14:textId="77777777" w:rsidR="006A5346" w:rsidRPr="00726D52" w:rsidRDefault="006A5346" w:rsidP="006A5346">
      <w:pPr>
        <w:spacing w:before="120" w:after="0"/>
        <w:rPr>
          <w:rFonts w:eastAsia="Times New Roman"/>
          <w:noProof/>
        </w:rPr>
      </w:pPr>
      <w:r w:rsidRPr="00726D52">
        <w:rPr>
          <w:rFonts w:eastAsia="Times New Roman"/>
          <w:noProof/>
        </w:rPr>
        <w:t xml:space="preserve">At the same time, the </w:t>
      </w:r>
      <w:r w:rsidRPr="00726D52">
        <w:rPr>
          <w:rFonts w:eastAsia="Times New Roman"/>
          <w:b/>
          <w:bCs/>
          <w:noProof/>
        </w:rPr>
        <w:t>speed of operational analytical responses improved substantially</w:t>
      </w:r>
      <w:r w:rsidRPr="00726D52">
        <w:rPr>
          <w:rFonts w:eastAsia="Times New Roman"/>
          <w:noProof/>
        </w:rPr>
        <w:t xml:space="preserve"> over the evaluation period. Europol operational data indicate that the average response time to analytical requests from Member States decreased from 27.5 days in 2016 to a range of 3-4 days between 2021 and 2024. In 2024, the average turnaround time for 80% of first-line analysis requests was 3.2 days, compared with 4.2 days in 2023.</w:t>
      </w:r>
    </w:p>
    <w:p w14:paraId="7A466225" w14:textId="77777777" w:rsidR="006A5346" w:rsidRPr="00726D52" w:rsidRDefault="006A5346" w:rsidP="006A5346">
      <w:pPr>
        <w:spacing w:before="120" w:after="0"/>
        <w:rPr>
          <w:rFonts w:eastAsia="Times New Roman"/>
          <w:noProof/>
        </w:rPr>
      </w:pPr>
      <w:r w:rsidRPr="00726D52">
        <w:rPr>
          <w:rFonts w:eastAsia="Times New Roman"/>
          <w:noProof/>
        </w:rPr>
        <w:t xml:space="preserve">A further component of Europol’s operational support consists of </w:t>
      </w:r>
      <w:r w:rsidRPr="00726D52">
        <w:rPr>
          <w:rFonts w:eastAsia="Times New Roman"/>
          <w:b/>
          <w:bCs/>
          <w:noProof/>
        </w:rPr>
        <w:t>on-the-spot operational deployments</w:t>
      </w:r>
      <w:r w:rsidRPr="00726D52">
        <w:rPr>
          <w:rFonts w:eastAsia="Times New Roman"/>
          <w:noProof/>
        </w:rPr>
        <w:t>, primarily through the use of mobile offices</w:t>
      </w:r>
      <w:r w:rsidRPr="00726D52">
        <w:rPr>
          <w:rStyle w:val="FootnoteReference"/>
          <w:rFonts w:eastAsia="Times New Roman"/>
          <w:noProof/>
        </w:rPr>
        <w:footnoteReference w:id="190"/>
      </w:r>
      <w:r w:rsidRPr="00726D52">
        <w:rPr>
          <w:rFonts w:eastAsia="Times New Roman"/>
          <w:noProof/>
        </w:rPr>
        <w:t xml:space="preserve"> and the deployment of specialised operational staff. During the baseline period (2014-2016), Europol already provided such support during investigations and operational actions. In 2016, Europol recorded </w:t>
      </w:r>
      <w:r w:rsidRPr="00726D52">
        <w:rPr>
          <w:rFonts w:eastAsia="Times New Roman"/>
          <w:b/>
          <w:bCs/>
          <w:noProof/>
        </w:rPr>
        <w:t>159 short-term mobile office deployments, 56 long-term deployments and 6 permanent deployments</w:t>
      </w:r>
      <w:r w:rsidRPr="00726D52">
        <w:rPr>
          <w:rFonts w:eastAsia="Times New Roman"/>
          <w:noProof/>
        </w:rPr>
        <w:t xml:space="preserve"> supporting operational activities</w:t>
      </w:r>
      <w:r w:rsidRPr="00726D52">
        <w:rPr>
          <w:rStyle w:val="FootnoteReference"/>
          <w:rFonts w:eastAsia="Times New Roman"/>
          <w:noProof/>
        </w:rPr>
        <w:footnoteReference w:id="191"/>
      </w:r>
      <w:r w:rsidRPr="00726D52">
        <w:rPr>
          <w:rFonts w:eastAsia="Times New Roman"/>
          <w:noProof/>
        </w:rPr>
        <w:t>. Mobile offices were also deployed during major investigations, for example to support operations in Belgium and France following the 2015-2016 terrorist attacks</w:t>
      </w:r>
      <w:r w:rsidRPr="00726D52">
        <w:rPr>
          <w:rStyle w:val="FootnoteReference"/>
          <w:rFonts w:eastAsia="Times New Roman"/>
          <w:noProof/>
        </w:rPr>
        <w:footnoteReference w:id="192"/>
      </w:r>
      <w:r w:rsidRPr="00726D52">
        <w:rPr>
          <w:rFonts w:eastAsia="Times New Roman"/>
          <w:noProof/>
        </w:rPr>
        <w:t xml:space="preserve">. </w:t>
      </w:r>
    </w:p>
    <w:p w14:paraId="79301096" w14:textId="77777777" w:rsidR="006A5346" w:rsidRPr="00726D52" w:rsidRDefault="006A5346" w:rsidP="006A5346">
      <w:pPr>
        <w:spacing w:before="120" w:after="0"/>
        <w:rPr>
          <w:rFonts w:eastAsia="Times New Roman"/>
          <w:noProof/>
        </w:rPr>
      </w:pPr>
      <w:r w:rsidRPr="00726D52">
        <w:rPr>
          <w:rFonts w:eastAsia="Times New Roman"/>
          <w:noProof/>
        </w:rPr>
        <w:t>During the evaluation period, the number of deployments increased significantly, reaching 339 in 2017, 370 in 2018 and 353 in 2019</w:t>
      </w:r>
      <w:r w:rsidRPr="00726D52">
        <w:rPr>
          <w:rStyle w:val="FootnoteReference"/>
          <w:rFonts w:eastAsia="Times New Roman"/>
          <w:noProof/>
        </w:rPr>
        <w:footnoteReference w:id="193"/>
      </w:r>
      <w:r w:rsidRPr="00726D52">
        <w:rPr>
          <w:rFonts w:eastAsia="Times New Roman"/>
          <w:noProof/>
        </w:rPr>
        <w:t xml:space="preserve">. While reporting categories changed slightly over time, the figures indicate a substantial increase in the use of mobile offices to provide on-the-spot analytical support during operational actions. </w:t>
      </w:r>
    </w:p>
    <w:p w14:paraId="43F9411B" w14:textId="77777777" w:rsidR="006A5346" w:rsidRPr="00726D52" w:rsidRDefault="006A5346" w:rsidP="006A5346">
      <w:pPr>
        <w:spacing w:before="120" w:after="0"/>
        <w:rPr>
          <w:rFonts w:eastAsia="Times New Roman"/>
          <w:noProof/>
        </w:rPr>
      </w:pPr>
      <w:r w:rsidRPr="00726D52">
        <w:rPr>
          <w:rFonts w:eastAsia="Times New Roman"/>
          <w:noProof/>
        </w:rPr>
        <w:lastRenderedPageBreak/>
        <w:t xml:space="preserve">During the </w:t>
      </w:r>
      <w:r w:rsidRPr="00726D52">
        <w:rPr>
          <w:rFonts w:eastAsia="Times New Roman"/>
          <w:b/>
          <w:bCs/>
          <w:noProof/>
        </w:rPr>
        <w:t>evaluation period (2017-2024)</w:t>
      </w:r>
      <w:r w:rsidRPr="00726D52">
        <w:rPr>
          <w:rFonts w:eastAsia="Times New Roman"/>
          <w:noProof/>
        </w:rPr>
        <w:t>, Europol further expanded its specialised operational structures to address evolving crime threats</w:t>
      </w:r>
      <w:r w:rsidRPr="00726D52">
        <w:rPr>
          <w:rStyle w:val="FootnoteReference"/>
          <w:rFonts w:eastAsia="Times New Roman"/>
          <w:noProof/>
        </w:rPr>
        <w:footnoteReference w:id="194"/>
      </w:r>
      <w:r w:rsidRPr="00726D52">
        <w:rPr>
          <w:rFonts w:eastAsia="Times New Roman"/>
          <w:noProof/>
        </w:rPr>
        <w:t xml:space="preserve">. The </w:t>
      </w:r>
      <w:r w:rsidRPr="00726D52">
        <w:rPr>
          <w:rFonts w:eastAsia="Times New Roman"/>
          <w:b/>
          <w:bCs/>
          <w:noProof/>
        </w:rPr>
        <w:t>European Counter Terrorism Centre (ECTC)</w:t>
      </w:r>
      <w:r w:rsidRPr="00726D52">
        <w:rPr>
          <w:rFonts w:eastAsia="Times New Roman"/>
          <w:noProof/>
        </w:rPr>
        <w:t xml:space="preserve">, launched in </w:t>
      </w:r>
      <w:r w:rsidRPr="00726D52">
        <w:rPr>
          <w:rFonts w:eastAsia="Times New Roman"/>
          <w:b/>
          <w:bCs/>
          <w:noProof/>
        </w:rPr>
        <w:t>2016</w:t>
      </w:r>
      <w:r w:rsidRPr="00726D52">
        <w:rPr>
          <w:rFonts w:eastAsia="Times New Roman"/>
          <w:noProof/>
        </w:rPr>
        <w:t xml:space="preserve">, strengthened operational coordination and information exchange between Member States in terrorism investigations. In </w:t>
      </w:r>
      <w:r w:rsidRPr="00726D52">
        <w:rPr>
          <w:rFonts w:eastAsia="Times New Roman"/>
          <w:b/>
          <w:bCs/>
          <w:noProof/>
        </w:rPr>
        <w:t>2020</w:t>
      </w:r>
      <w:r w:rsidRPr="00726D52">
        <w:rPr>
          <w:rFonts w:eastAsia="Times New Roman"/>
          <w:noProof/>
        </w:rPr>
        <w:t xml:space="preserve">, Europol established the </w:t>
      </w:r>
      <w:r w:rsidRPr="00726D52">
        <w:rPr>
          <w:rFonts w:eastAsia="Times New Roman"/>
          <w:b/>
          <w:bCs/>
          <w:noProof/>
        </w:rPr>
        <w:t>European Financial and Economic Crime Centre (EFECC)</w:t>
      </w:r>
      <w:r w:rsidRPr="00726D52">
        <w:rPr>
          <w:rFonts w:eastAsia="Times New Roman"/>
          <w:noProof/>
        </w:rPr>
        <w:t xml:space="preserve"> to enhance support for investigations related to financial and economic crime, including fraud, corruption, money laundering and asset recovery. </w:t>
      </w:r>
    </w:p>
    <w:p w14:paraId="4C4370F7" w14:textId="77777777" w:rsidR="006A5346" w:rsidRPr="00726D52" w:rsidRDefault="006A5346" w:rsidP="006A5346">
      <w:pPr>
        <w:spacing w:before="120" w:after="0"/>
        <w:rPr>
          <w:rFonts w:eastAsia="Times New Roman"/>
          <w:noProof/>
        </w:rPr>
      </w:pPr>
      <w:r w:rsidRPr="00726D52">
        <w:rPr>
          <w:rFonts w:eastAsia="Times New Roman"/>
          <w:b/>
          <w:bCs/>
          <w:noProof/>
        </w:rPr>
        <w:t>Technological developments</w:t>
      </w:r>
      <w:r w:rsidRPr="00726D52">
        <w:rPr>
          <w:rFonts w:eastAsia="Times New Roman"/>
          <w:noProof/>
        </w:rPr>
        <w:t xml:space="preserve"> increasingly shaped Europol’s operational capabilities during the evaluation period, reflecting the growing importance of digital evidence and large datasets in criminal investigations. While Europol already used analytical tools to support investigations during the </w:t>
      </w:r>
      <w:r w:rsidRPr="00726D52">
        <w:rPr>
          <w:rFonts w:eastAsia="Times New Roman"/>
          <w:b/>
          <w:bCs/>
          <w:noProof/>
        </w:rPr>
        <w:t>baseline period</w:t>
      </w:r>
      <w:r w:rsidRPr="00726D52">
        <w:rPr>
          <w:rFonts w:eastAsia="Times New Roman"/>
          <w:noProof/>
        </w:rPr>
        <w:t>, it did not yet have dedicated innovation structures or programmes to develop new technological capabilities. The expansion of cybercrime, online fraud, encrypted communications and cryptocurrency-related crime therefore led to growing demand from Member States for advanced data-analysis tools, prompting Europol to progressively strengthen its technological capacities and establish dedicated innovation structures.</w:t>
      </w:r>
    </w:p>
    <w:p w14:paraId="52518A7F" w14:textId="77777777" w:rsidR="006A5346" w:rsidRPr="00726D52" w:rsidRDefault="006A5346" w:rsidP="006A5346">
      <w:pPr>
        <w:spacing w:before="120" w:after="0"/>
        <w:rPr>
          <w:rFonts w:eastAsia="Times New Roman"/>
          <w:noProof/>
        </w:rPr>
      </w:pPr>
      <w:r w:rsidRPr="00726D52">
        <w:rPr>
          <w:rFonts w:eastAsia="Times New Roman"/>
          <w:noProof/>
        </w:rPr>
        <w:t xml:space="preserve">In this context, Europol created the </w:t>
      </w:r>
      <w:r w:rsidRPr="00726D52">
        <w:rPr>
          <w:rFonts w:eastAsia="Times New Roman"/>
          <w:b/>
          <w:bCs/>
          <w:noProof/>
        </w:rPr>
        <w:t>Europol Innovation Lab</w:t>
      </w:r>
      <w:r w:rsidRPr="00726D52">
        <w:rPr>
          <w:rFonts w:eastAsia="Times New Roman"/>
          <w:noProof/>
        </w:rPr>
        <w:t xml:space="preserve"> in 2020 to develop and test new technologies relevant for law enforcement, including artificial intelligence, data mining and advanced analytics applied to large operational datasets</w:t>
      </w:r>
      <w:r w:rsidRPr="00726D52">
        <w:rPr>
          <w:rStyle w:val="FootnoteReference"/>
          <w:rFonts w:eastAsia="Times New Roman"/>
          <w:noProof/>
        </w:rPr>
        <w:footnoteReference w:id="195"/>
      </w:r>
      <w:r w:rsidRPr="00726D52">
        <w:rPr>
          <w:rFonts w:eastAsia="Times New Roman"/>
          <w:noProof/>
        </w:rPr>
        <w:t xml:space="preserve">. In 2024, Europol further strengthened these capabilities with the launch of the </w:t>
      </w:r>
      <w:r w:rsidRPr="00726D52">
        <w:rPr>
          <w:rFonts w:eastAsia="Times New Roman"/>
          <w:b/>
          <w:bCs/>
          <w:noProof/>
        </w:rPr>
        <w:t>Research and Innovation Sandbox</w:t>
      </w:r>
      <w:r w:rsidRPr="00726D52">
        <w:rPr>
          <w:rFonts w:eastAsia="Times New Roman"/>
          <w:noProof/>
        </w:rPr>
        <w:t xml:space="preserve">, which allows the development and testing of AI models using operational datasets under controlled conditions. These developments illustrate a broader shift during the evaluation period towards </w:t>
      </w:r>
      <w:r w:rsidRPr="00726D52">
        <w:rPr>
          <w:rFonts w:eastAsia="Times New Roman"/>
          <w:b/>
          <w:bCs/>
          <w:noProof/>
        </w:rPr>
        <w:t>data-driven investigations</w:t>
      </w:r>
      <w:r w:rsidRPr="00726D52">
        <w:rPr>
          <w:rFonts w:eastAsia="Times New Roman"/>
          <w:noProof/>
        </w:rPr>
        <w:t>, in which large volumes of digital evidence and financial data increasingly require specialised analytical tools and technological expertise to support cross-border investigations.</w:t>
      </w:r>
    </w:p>
    <w:p w14:paraId="1D3B1104" w14:textId="77777777" w:rsidR="006A5346" w:rsidRPr="00726D52" w:rsidRDefault="006A5346" w:rsidP="006A5346">
      <w:pPr>
        <w:spacing w:before="120" w:after="0"/>
        <w:rPr>
          <w:rFonts w:eastAsia="Times New Roman"/>
          <w:noProof/>
        </w:rPr>
      </w:pPr>
      <w:r w:rsidRPr="00726D52">
        <w:rPr>
          <w:rFonts w:eastAsia="Times New Roman"/>
          <w:noProof/>
        </w:rPr>
        <w:t xml:space="preserve">In addition to supporting Member States directly, Europol provides </w:t>
      </w:r>
      <w:r w:rsidRPr="00726D52">
        <w:rPr>
          <w:rFonts w:eastAsia="Times New Roman"/>
          <w:b/>
          <w:bCs/>
          <w:noProof/>
        </w:rPr>
        <w:t>operational and analytical support within the broader EU internal security architecture</w:t>
      </w:r>
      <w:r w:rsidRPr="00726D52">
        <w:rPr>
          <w:rFonts w:eastAsia="Times New Roman"/>
          <w:noProof/>
        </w:rPr>
        <w:t xml:space="preserve"> through cooperation with EU agencies and bodies involved in law-enforcement, border management and judicial cooperation.</w:t>
      </w:r>
    </w:p>
    <w:p w14:paraId="7E0888FC" w14:textId="77777777" w:rsidR="006A5346" w:rsidRPr="00726D52" w:rsidRDefault="006A5346" w:rsidP="006A5346">
      <w:pPr>
        <w:spacing w:before="120" w:after="0"/>
        <w:rPr>
          <w:rFonts w:eastAsia="Times New Roman"/>
          <w:noProof/>
        </w:rPr>
      </w:pPr>
      <w:r w:rsidRPr="00726D52">
        <w:rPr>
          <w:rFonts w:eastAsia="Times New Roman"/>
          <w:noProof/>
        </w:rPr>
        <w:t xml:space="preserve">During the </w:t>
      </w:r>
      <w:r w:rsidRPr="00726D52">
        <w:rPr>
          <w:rFonts w:eastAsia="Times New Roman"/>
          <w:b/>
          <w:bCs/>
          <w:noProof/>
        </w:rPr>
        <w:t>baseline period (2014-2016)</w:t>
      </w:r>
      <w:r w:rsidRPr="00726D52">
        <w:rPr>
          <w:rFonts w:eastAsia="Times New Roman"/>
          <w:noProof/>
        </w:rPr>
        <w:t>, operational cooperation between Europol and other EU actors already existed</w:t>
      </w:r>
      <w:r w:rsidRPr="00726D52">
        <w:rPr>
          <w:rStyle w:val="FootnoteReference"/>
          <w:rFonts w:eastAsia="Times New Roman"/>
          <w:noProof/>
        </w:rPr>
        <w:footnoteReference w:id="196"/>
      </w:r>
      <w:r w:rsidRPr="00726D52">
        <w:rPr>
          <w:rFonts w:eastAsia="Times New Roman"/>
          <w:noProof/>
        </w:rPr>
        <w:t xml:space="preserve">, particularly with </w:t>
      </w:r>
      <w:r w:rsidRPr="00726D52">
        <w:rPr>
          <w:rFonts w:eastAsia="Times New Roman"/>
          <w:b/>
          <w:bCs/>
          <w:noProof/>
        </w:rPr>
        <w:t>Eurojust</w:t>
      </w:r>
      <w:r w:rsidRPr="00726D52">
        <w:rPr>
          <w:rFonts w:eastAsia="Times New Roman"/>
          <w:noProof/>
        </w:rPr>
        <w:t xml:space="preserve"> in the context of Joint Investigation Teams (JITs). In 2016, 50 operational cases supported by Europol involved Eurojust, reflecting the complementary analytical and judicial support provided by the two agencies in cross-border criminal investigations</w:t>
      </w:r>
      <w:r w:rsidRPr="00726D52">
        <w:rPr>
          <w:rStyle w:val="FootnoteReference"/>
          <w:rFonts w:eastAsia="Times New Roman"/>
          <w:noProof/>
        </w:rPr>
        <w:footnoteReference w:id="197"/>
      </w:r>
      <w:r w:rsidRPr="00726D52">
        <w:rPr>
          <w:rFonts w:eastAsia="Times New Roman"/>
          <w:noProof/>
        </w:rPr>
        <w:t xml:space="preserve">. Cooperation also took place with </w:t>
      </w:r>
      <w:r w:rsidRPr="00726D52">
        <w:rPr>
          <w:rFonts w:eastAsia="Times New Roman"/>
          <w:b/>
          <w:bCs/>
          <w:noProof/>
        </w:rPr>
        <w:t>Frontex</w:t>
      </w:r>
      <w:r w:rsidRPr="00726D52">
        <w:rPr>
          <w:rFonts w:eastAsia="Times New Roman"/>
          <w:noProof/>
        </w:rPr>
        <w:t xml:space="preserve">, particularly in investigations related to migrant smuggling and cross-border </w:t>
      </w:r>
      <w:r w:rsidRPr="00726D52">
        <w:rPr>
          <w:rFonts w:eastAsia="Times New Roman"/>
          <w:noProof/>
        </w:rPr>
        <w:lastRenderedPageBreak/>
        <w:t>organised crime. In 2016, Europol deployed officers to migration hotspot locations in Greece and Italy to support operations coordinated by Frontex and assist Member States in identifying criminal networks involved in migrant smuggling</w:t>
      </w:r>
      <w:r w:rsidRPr="00726D52">
        <w:rPr>
          <w:rStyle w:val="FootnoteReference"/>
          <w:rFonts w:eastAsia="Times New Roman"/>
          <w:noProof/>
        </w:rPr>
        <w:footnoteReference w:id="198"/>
      </w:r>
      <w:r w:rsidRPr="00726D52">
        <w:rPr>
          <w:rFonts w:eastAsia="Times New Roman"/>
          <w:noProof/>
        </w:rPr>
        <w:t xml:space="preserve">. </w:t>
      </w:r>
    </w:p>
    <w:p w14:paraId="287C3724" w14:textId="77777777" w:rsidR="006A5346" w:rsidRPr="00726D52" w:rsidRDefault="006A5346" w:rsidP="006A5346">
      <w:pPr>
        <w:spacing w:before="120" w:after="0"/>
        <w:rPr>
          <w:rFonts w:eastAsia="Times New Roman"/>
          <w:noProof/>
        </w:rPr>
      </w:pPr>
      <w:r w:rsidRPr="00726D52">
        <w:rPr>
          <w:rFonts w:eastAsia="Times New Roman"/>
          <w:noProof/>
        </w:rPr>
        <w:t xml:space="preserve">During the </w:t>
      </w:r>
      <w:r w:rsidRPr="00726D52">
        <w:rPr>
          <w:rFonts w:eastAsia="Times New Roman"/>
          <w:b/>
          <w:bCs/>
          <w:noProof/>
        </w:rPr>
        <w:t>evaluation period (2017-2024)</w:t>
      </w:r>
      <w:r w:rsidRPr="00726D52">
        <w:rPr>
          <w:rFonts w:eastAsia="Times New Roman"/>
          <w:noProof/>
        </w:rPr>
        <w:t xml:space="preserve">, this cooperation expanded as the EU internal security architecture evolved and new actors were created. Europol increasingly contributed analytical support, operational coordination and information exchange to </w:t>
      </w:r>
      <w:r w:rsidRPr="00726D52">
        <w:rPr>
          <w:rFonts w:eastAsia="Times New Roman"/>
          <w:b/>
          <w:bCs/>
          <w:noProof/>
        </w:rPr>
        <w:t>multi-agency investigations and EU-level operational frameworks</w:t>
      </w:r>
      <w:r w:rsidRPr="00726D52">
        <w:rPr>
          <w:rFonts w:eastAsia="Times New Roman"/>
          <w:noProof/>
        </w:rPr>
        <w:t xml:space="preserve">. </w:t>
      </w:r>
    </w:p>
    <w:p w14:paraId="405C22D7" w14:textId="3CDA6C5C" w:rsidR="006A5346" w:rsidRPr="00726D52" w:rsidRDefault="60D1A00B" w:rsidP="5893D699">
      <w:pPr>
        <w:spacing w:before="120" w:after="0"/>
        <w:rPr>
          <w:rFonts w:eastAsia="Times New Roman"/>
          <w:noProof/>
        </w:rPr>
      </w:pPr>
      <w:r w:rsidRPr="00726D52">
        <w:rPr>
          <w:rFonts w:eastAsia="Times New Roman"/>
          <w:noProof/>
        </w:rPr>
        <w:t xml:space="preserve">One important development was the establishment of the </w:t>
      </w:r>
      <w:r w:rsidRPr="00726D52">
        <w:rPr>
          <w:rFonts w:eastAsia="Times New Roman"/>
          <w:b/>
          <w:bCs/>
          <w:noProof/>
        </w:rPr>
        <w:t>European Public Prosecutor’s Office (EPPO)</w:t>
      </w:r>
      <w:r w:rsidR="006A5346" w:rsidRPr="00726D52">
        <w:rPr>
          <w:rStyle w:val="FootnoteReference"/>
          <w:rFonts w:eastAsia="Times New Roman"/>
          <w:b/>
          <w:bCs/>
          <w:noProof/>
        </w:rPr>
        <w:footnoteReference w:id="199"/>
      </w:r>
      <w:r w:rsidRPr="00726D52">
        <w:rPr>
          <w:rFonts w:eastAsia="Times New Roman"/>
          <w:b/>
          <w:bCs/>
          <w:noProof/>
        </w:rPr>
        <w:t>,</w:t>
      </w:r>
      <w:r w:rsidRPr="00726D52">
        <w:rPr>
          <w:rFonts w:eastAsia="Times New Roman"/>
          <w:noProof/>
        </w:rPr>
        <w:t xml:space="preserve"> operational since </w:t>
      </w:r>
      <w:r w:rsidRPr="00726D52">
        <w:rPr>
          <w:rFonts w:eastAsia="Times New Roman"/>
          <w:b/>
          <w:bCs/>
          <w:noProof/>
        </w:rPr>
        <w:t>2021</w:t>
      </w:r>
      <w:r w:rsidRPr="00726D52">
        <w:rPr>
          <w:rFonts w:eastAsia="Times New Roman"/>
          <w:noProof/>
        </w:rPr>
        <w:t xml:space="preserve">, which investigates crimes affecting the EU’s financial interests. Europol provides analytical support and intelligence cross-checks in investigations related to fraud, corruption and other financial crimes affecting the EU budget. Europol contributes to a subset of these investigations by providing </w:t>
      </w:r>
      <w:r w:rsidRPr="00726D52">
        <w:rPr>
          <w:rFonts w:eastAsia="Times New Roman"/>
          <w:b/>
          <w:bCs/>
          <w:noProof/>
        </w:rPr>
        <w:t>analytical support, cross-matching of operational data and intelligence analysis</w:t>
      </w:r>
      <w:r w:rsidRPr="00726D52">
        <w:rPr>
          <w:rFonts w:eastAsia="Times New Roman"/>
          <w:noProof/>
        </w:rPr>
        <w:t xml:space="preserve">, particularly in complex cases involving organised fraud schemes, corruption and cross-border VAT fraud affecting the EU budget. </w:t>
      </w:r>
      <w:r w:rsidR="2B4F0A76" w:rsidRPr="00726D52">
        <w:rPr>
          <w:noProof/>
        </w:rPr>
        <w:t>Europol supported six EPPO cases in 2021, 28 cases in 2022, 47 cases in 2023 and 83 cases in 2024.</w:t>
      </w:r>
      <w:r w:rsidRPr="00726D52">
        <w:rPr>
          <w:rFonts w:eastAsia="Times New Roman"/>
          <w:noProof/>
        </w:rPr>
        <w:t xml:space="preserve"> Cooperation with EPPO increased gradually during the latter part of the evaluation period as operational arrangements between the two organisations were implemented.</w:t>
      </w:r>
    </w:p>
    <w:p w14:paraId="29B165E1" w14:textId="77777777" w:rsidR="006A5346" w:rsidRPr="00726D52" w:rsidRDefault="006A5346" w:rsidP="006A5346">
      <w:pPr>
        <w:spacing w:before="120" w:after="0"/>
        <w:rPr>
          <w:rFonts w:eastAsia="Times New Roman"/>
          <w:noProof/>
        </w:rPr>
      </w:pPr>
      <w:r w:rsidRPr="00726D52">
        <w:rPr>
          <w:rFonts w:eastAsia="Times New Roman"/>
          <w:noProof/>
        </w:rPr>
        <w:t xml:space="preserve">Europol also contributed to training and knowledge-sharing activities for law enforcement authorities. During the evaluation period, Europol cooperated with the </w:t>
      </w:r>
      <w:r w:rsidRPr="00726D52">
        <w:rPr>
          <w:rFonts w:eastAsia="Times New Roman"/>
          <w:b/>
          <w:bCs/>
          <w:noProof/>
        </w:rPr>
        <w:t>European Union Agency for Law Enforcement Training (CEPOL)</w:t>
      </w:r>
      <w:r w:rsidRPr="00726D52">
        <w:rPr>
          <w:rFonts w:eastAsia="Times New Roman"/>
          <w:noProof/>
        </w:rPr>
        <w:t xml:space="preserve"> to deliver training programmes addressing priority crime areas such as cybercrime, financial crime and counterterrorism. In </w:t>
      </w:r>
      <w:r w:rsidRPr="00726D52">
        <w:rPr>
          <w:rFonts w:eastAsia="Times New Roman"/>
          <w:b/>
          <w:bCs/>
          <w:noProof/>
        </w:rPr>
        <w:t>2024</w:t>
      </w:r>
      <w:r w:rsidRPr="00726D52">
        <w:rPr>
          <w:rFonts w:eastAsia="Times New Roman"/>
          <w:noProof/>
        </w:rPr>
        <w:t xml:space="preserve">, more than </w:t>
      </w:r>
      <w:r w:rsidRPr="00726D52">
        <w:rPr>
          <w:rFonts w:eastAsia="Times New Roman"/>
          <w:b/>
          <w:bCs/>
          <w:noProof/>
        </w:rPr>
        <w:t>800 law enforcement officers</w:t>
      </w:r>
      <w:r w:rsidRPr="00726D52">
        <w:rPr>
          <w:rFonts w:eastAsia="Times New Roman"/>
          <w:noProof/>
        </w:rPr>
        <w:t xml:space="preserve"> participated in Europol-supported training activities.</w:t>
      </w:r>
    </w:p>
    <w:p w14:paraId="159E1F10" w14:textId="77777777" w:rsidR="006A5346" w:rsidRPr="00726D52" w:rsidRDefault="006A5346" w:rsidP="006A5346">
      <w:pPr>
        <w:spacing w:before="120" w:after="0"/>
        <w:rPr>
          <w:rFonts w:eastAsia="Times New Roman"/>
          <w:b/>
          <w:bCs/>
          <w:noProof/>
        </w:rPr>
      </w:pPr>
      <w:r w:rsidRPr="00726D52">
        <w:rPr>
          <w:rFonts w:eastAsia="Times New Roman"/>
          <w:noProof/>
        </w:rPr>
        <w:t xml:space="preserve">The implementation of this support to EU agencies and EU-level frameworks developed progressively during the evaluation period and was influenced by differences in institutional mandates, data access conditions and the maturity of inter-agency working arrangements. The focus group with EU agencies and bodies noted that cooperation is often operationally close, but that data protection arrangements, mandate boundaries and data ownership principles continue to shape how information can be exchanged and used across institutional actors. These factors formed part of the operational context in which Europol’s support functions evolved over the period. </w:t>
      </w:r>
    </w:p>
    <w:p w14:paraId="6E1A76BC" w14:textId="77777777" w:rsidR="006A5346" w:rsidRPr="00726D52" w:rsidRDefault="006A5346" w:rsidP="006A5346">
      <w:pPr>
        <w:spacing w:before="120" w:after="0"/>
        <w:rPr>
          <w:rFonts w:eastAsia="Times New Roman"/>
          <w:noProof/>
        </w:rPr>
      </w:pPr>
      <w:r w:rsidRPr="00726D52">
        <w:rPr>
          <w:rFonts w:eastAsia="Times New Roman"/>
          <w:b/>
          <w:bCs/>
          <w:noProof/>
        </w:rPr>
        <w:t>External cooperation</w:t>
      </w:r>
    </w:p>
    <w:p w14:paraId="084A06E8" w14:textId="77777777" w:rsidR="006A5346" w:rsidRPr="00726D52" w:rsidRDefault="006A5346" w:rsidP="006A5346">
      <w:pPr>
        <w:spacing w:before="120" w:after="0"/>
        <w:rPr>
          <w:rFonts w:eastAsia="Times New Roman"/>
          <w:noProof/>
        </w:rPr>
      </w:pPr>
      <w:r w:rsidRPr="00726D52">
        <w:rPr>
          <w:rFonts w:eastAsia="Times New Roman"/>
          <w:noProof/>
        </w:rPr>
        <w:t xml:space="preserve">Cooperation with external partners strengthened over the evaluation period, reflecting the </w:t>
      </w:r>
      <w:r w:rsidRPr="00726D52">
        <w:rPr>
          <w:rFonts w:eastAsia="Times New Roman"/>
          <w:b/>
          <w:bCs/>
          <w:noProof/>
        </w:rPr>
        <w:t>increasing international dimension of serious and organised crime</w:t>
      </w:r>
      <w:r w:rsidRPr="00726D52">
        <w:rPr>
          <w:rFonts w:eastAsia="Times New Roman"/>
          <w:noProof/>
        </w:rPr>
        <w:t xml:space="preserve"> and the operational needs of Member States to cooperate with partners outside the EU. </w:t>
      </w:r>
    </w:p>
    <w:p w14:paraId="1AF7A875" w14:textId="5BBEB3EA" w:rsidR="006A5346" w:rsidRPr="00726D52" w:rsidRDefault="60D1A00B" w:rsidP="006A5346">
      <w:pPr>
        <w:spacing w:before="120" w:after="0"/>
        <w:rPr>
          <w:rFonts w:eastAsia="Times New Roman"/>
          <w:noProof/>
        </w:rPr>
      </w:pPr>
      <w:r w:rsidRPr="00726D52">
        <w:rPr>
          <w:rFonts w:eastAsia="Times New Roman"/>
          <w:noProof/>
        </w:rPr>
        <w:t xml:space="preserve">During the baseline period (2014-2016), Europol already maintained </w:t>
      </w:r>
      <w:r w:rsidRPr="00726D52">
        <w:rPr>
          <w:rFonts w:eastAsia="Times New Roman"/>
          <w:b/>
          <w:bCs/>
          <w:noProof/>
        </w:rPr>
        <w:t>cooperation agreements</w:t>
      </w:r>
      <w:r w:rsidRPr="00726D52">
        <w:rPr>
          <w:rFonts w:eastAsia="Times New Roman"/>
          <w:noProof/>
        </w:rPr>
        <w:t xml:space="preserve"> with around </w:t>
      </w:r>
      <w:r w:rsidR="1C233A6F" w:rsidRPr="00726D52">
        <w:rPr>
          <w:rFonts w:eastAsia="Times New Roman"/>
          <w:noProof/>
        </w:rPr>
        <w:t>25</w:t>
      </w:r>
      <w:r w:rsidRPr="00726D52">
        <w:rPr>
          <w:rFonts w:eastAsia="Times New Roman"/>
          <w:noProof/>
        </w:rPr>
        <w:t xml:space="preserve"> third countries and international organisations and hosted </w:t>
      </w:r>
      <w:r w:rsidR="1F9FD052" w:rsidRPr="00726D52">
        <w:rPr>
          <w:rFonts w:eastAsia="Times New Roman"/>
          <w:noProof/>
        </w:rPr>
        <w:t>around 200</w:t>
      </w:r>
      <w:r w:rsidRPr="00726D52">
        <w:rPr>
          <w:rFonts w:eastAsia="Times New Roman"/>
          <w:noProof/>
        </w:rPr>
        <w:t xml:space="preserve"> liaison officers at it headquarter.</w:t>
      </w:r>
    </w:p>
    <w:p w14:paraId="2A06507F" w14:textId="77777777" w:rsidR="006A5346" w:rsidRPr="00726D52" w:rsidRDefault="006A5346" w:rsidP="006A5346">
      <w:pPr>
        <w:spacing w:before="120" w:after="0"/>
        <w:rPr>
          <w:rFonts w:eastAsia="Times New Roman"/>
          <w:noProof/>
        </w:rPr>
      </w:pPr>
      <w:r w:rsidRPr="00726D52">
        <w:rPr>
          <w:rFonts w:eastAsia="Times New Roman"/>
          <w:noProof/>
        </w:rPr>
        <w:t xml:space="preserve">During the evaluation period, Europol further expanded its external cooperation network. The Agency concluded additional working arrangements with third countries and partners, </w:t>
      </w:r>
      <w:r w:rsidRPr="00726D52">
        <w:rPr>
          <w:rFonts w:eastAsia="Times New Roman"/>
          <w:noProof/>
        </w:rPr>
        <w:lastRenderedPageBreak/>
        <w:t xml:space="preserve">including </w:t>
      </w:r>
      <w:r w:rsidRPr="00726D52">
        <w:rPr>
          <w:rFonts w:eastAsia="Times New Roman"/>
          <w:b/>
          <w:bCs/>
          <w:noProof/>
        </w:rPr>
        <w:t>Singapore in 2020</w:t>
      </w:r>
      <w:r w:rsidRPr="00726D52">
        <w:rPr>
          <w:rFonts w:eastAsia="Times New Roman"/>
          <w:noProof/>
        </w:rPr>
        <w:t xml:space="preserve"> and </w:t>
      </w:r>
      <w:r w:rsidRPr="00726D52">
        <w:rPr>
          <w:rFonts w:eastAsia="Times New Roman"/>
          <w:b/>
          <w:bCs/>
          <w:noProof/>
        </w:rPr>
        <w:t>India in 2023</w:t>
      </w:r>
      <w:r w:rsidRPr="00726D52">
        <w:rPr>
          <w:rFonts w:eastAsia="Times New Roman"/>
          <w:noProof/>
        </w:rPr>
        <w:t xml:space="preserve">, and strengthened operational cooperation with international organisations such as </w:t>
      </w:r>
      <w:r w:rsidRPr="00726D52">
        <w:rPr>
          <w:rFonts w:eastAsia="Times New Roman"/>
          <w:b/>
          <w:bCs/>
          <w:noProof/>
        </w:rPr>
        <w:t>INTERPOL</w:t>
      </w:r>
      <w:r w:rsidRPr="00726D52">
        <w:rPr>
          <w:rFonts w:eastAsia="Times New Roman"/>
          <w:noProof/>
        </w:rPr>
        <w:t xml:space="preserve"> and </w:t>
      </w:r>
      <w:r w:rsidRPr="00726D52">
        <w:rPr>
          <w:rFonts w:eastAsia="Times New Roman"/>
          <w:b/>
          <w:bCs/>
          <w:noProof/>
        </w:rPr>
        <w:t>International Criminal Court</w:t>
      </w:r>
      <w:r w:rsidRPr="00726D52">
        <w:rPr>
          <w:rFonts w:eastAsia="Times New Roman"/>
          <w:noProof/>
        </w:rPr>
        <w:t xml:space="preserve">. In parallel, Europol increasingly cooperated with private-sector partners, particularly in cybercrime and online fraud investigations. By the early 2020s, Europol was working with </w:t>
      </w:r>
      <w:r w:rsidRPr="00726D52">
        <w:rPr>
          <w:rFonts w:eastAsia="Times New Roman"/>
          <w:b/>
          <w:bCs/>
          <w:noProof/>
        </w:rPr>
        <w:t>a large number of private-sector partners</w:t>
      </w:r>
      <w:r w:rsidRPr="00726D52">
        <w:rPr>
          <w:rFonts w:eastAsia="Times New Roman"/>
          <w:noProof/>
        </w:rPr>
        <w:t>, including technology companies and financial institutions, in public-private partnerships supporting investigations related to cybercrime and illicit financial flows.</w:t>
      </w:r>
    </w:p>
    <w:p w14:paraId="1B428010" w14:textId="6DF7D8E4" w:rsidR="020CA063" w:rsidRPr="00726D52" w:rsidRDefault="006A5346" w:rsidP="00495928">
      <w:pPr>
        <w:spacing w:before="240"/>
        <w:rPr>
          <w:noProof/>
        </w:rPr>
      </w:pPr>
      <w:r w:rsidRPr="00726D52">
        <w:rPr>
          <w:rFonts w:eastAsia="Times New Roman"/>
          <w:noProof/>
        </w:rPr>
        <w:t>The pace of developments in external cooperation during the evaluation period was influenced by several factors. The growing transnational nature of criminal networks created increased demand from Member States for cooperation with third countries and international partners. At the same time, the development of formal cooperation frameworks depends on the existence of an appropriate legal basis under the Europol Regulation, including international agreements between the EU and partner countries where the exchange of personal data is envisaged. The negotiation and adoption of such agreements require compliance with EU data protection standards and fundamental rights safeguards and may therefore take time. In addition, broader EU external security priorities and the strategic importance of certain partner countries also shaped the development of Europol’s external cooperation network</w:t>
      </w:r>
      <w:r w:rsidR="580935E5" w:rsidRPr="00726D52">
        <w:rPr>
          <w:rFonts w:eastAsia="Times New Roman"/>
          <w:noProof/>
        </w:rPr>
        <w:t>.</w:t>
      </w:r>
    </w:p>
    <w:p w14:paraId="5371B8E0" w14:textId="17693187" w:rsidR="00D20FD1" w:rsidRPr="00726D52" w:rsidRDefault="6F41531A" w:rsidP="009502B2">
      <w:pPr>
        <w:pStyle w:val="Heading2"/>
        <w:numPr>
          <w:ilvl w:val="0"/>
          <w:numId w:val="34"/>
        </w:numPr>
        <w:rPr>
          <w:noProof/>
        </w:rPr>
      </w:pPr>
      <w:r w:rsidRPr="00726D52">
        <w:rPr>
          <w:noProof/>
        </w:rPr>
        <w:t>Evaluation findings</w:t>
      </w:r>
    </w:p>
    <w:p w14:paraId="40401338" w14:textId="2762C365" w:rsidR="00D20FD1" w:rsidRPr="00726D52" w:rsidRDefault="6F41531A" w:rsidP="009502B2">
      <w:pPr>
        <w:pStyle w:val="Heading3"/>
        <w:numPr>
          <w:ilvl w:val="1"/>
          <w:numId w:val="34"/>
        </w:numPr>
        <w:tabs>
          <w:tab w:val="clear" w:pos="9007"/>
        </w:tabs>
        <w:rPr>
          <w:noProof/>
        </w:rPr>
      </w:pPr>
      <w:r w:rsidRPr="00726D52">
        <w:rPr>
          <w:noProof/>
        </w:rPr>
        <w:t>To what extent was the intervention successful and why?</w:t>
      </w:r>
    </w:p>
    <w:p w14:paraId="1DC17FA5"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The success of the intervention is assessed in terms of the extent to which the Regulation strengthened cooperation between Member States’ law enforcement authorities in preventing and combating serious cross-border crime and terrorism, and whether this was achieved effectively, efficiently and in a coherent manner within the EU internal security framework.</w:t>
      </w:r>
    </w:p>
    <w:p w14:paraId="234AAA45" w14:textId="77777777" w:rsidR="0061471B" w:rsidRPr="00726D52" w:rsidRDefault="0061471B" w:rsidP="0061471B">
      <w:pPr>
        <w:pStyle w:val="NormalWeb"/>
        <w:spacing w:before="120" w:beforeAutospacing="0" w:after="0" w:afterAutospacing="0"/>
        <w:jc w:val="both"/>
        <w:rPr>
          <w:b/>
          <w:bCs/>
          <w:noProof/>
          <w:u w:val="single"/>
          <w:lang w:val="en-GB"/>
        </w:rPr>
      </w:pPr>
      <w:r w:rsidRPr="00726D52">
        <w:rPr>
          <w:b/>
          <w:bCs/>
          <w:noProof/>
          <w:u w:val="single"/>
          <w:lang w:val="en-GB"/>
        </w:rPr>
        <w:t>Effectiveness</w:t>
      </w:r>
    </w:p>
    <w:p w14:paraId="0272DDEE"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Effectiveness concerns the extent to which the objectives of the Regulation have been achieved.</w:t>
      </w:r>
    </w:p>
    <w:p w14:paraId="0BB8A42B"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 xml:space="preserve">The expected outcome of the intervention was to strengthen operational cooperation between Member States through improved information exchange, enhanced analytical capabilities and stronger operational coordination at EU level. Evidence presented in Section 2 indicates that </w:t>
      </w:r>
      <w:r w:rsidRPr="00726D52">
        <w:rPr>
          <w:b/>
          <w:bCs/>
          <w:noProof/>
          <w:lang w:val="en-GB"/>
        </w:rPr>
        <w:t>these objectives have been largely achieved</w:t>
      </w:r>
      <w:r w:rsidRPr="00726D52">
        <w:rPr>
          <w:noProof/>
          <w:lang w:val="en-GB"/>
        </w:rPr>
        <w:t xml:space="preserve"> during the evaluation period.</w:t>
      </w:r>
    </w:p>
    <w:p w14:paraId="457EBBA6"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Operational data</w:t>
      </w:r>
      <w:r w:rsidRPr="00726D52">
        <w:rPr>
          <w:rStyle w:val="FootnoteReference"/>
          <w:noProof/>
          <w:lang w:val="en-GB"/>
        </w:rPr>
        <w:footnoteReference w:id="200"/>
      </w:r>
      <w:r w:rsidRPr="00726D52">
        <w:rPr>
          <w:noProof/>
          <w:lang w:val="en-GB"/>
        </w:rPr>
        <w:t xml:space="preserve"> show a substantial increase in the use of Europol’s information exchange infrastructure. The volume of operational exchanges through the Secure Information Exchange Network Application (SIENA) increased significantly during the evaluation period, reaching approximately </w:t>
      </w:r>
      <w:r w:rsidRPr="00726D52">
        <w:rPr>
          <w:b/>
          <w:bCs/>
          <w:noProof/>
          <w:lang w:val="en-GB"/>
        </w:rPr>
        <w:t>two million messages in 2024</w:t>
      </w:r>
      <w:r w:rsidRPr="00726D52">
        <w:rPr>
          <w:noProof/>
          <w:lang w:val="en-GB"/>
        </w:rPr>
        <w:t xml:space="preserve">. Similarly, the number of searches conducted in Europol’s information systems increased substantially over the same period. These developments suggest that national law enforcement authorities </w:t>
      </w:r>
      <w:r w:rsidRPr="00726D52">
        <w:rPr>
          <w:b/>
          <w:bCs/>
          <w:noProof/>
          <w:lang w:val="en-GB"/>
        </w:rPr>
        <w:t>increasingly rely on Europol’s systems</w:t>
      </w:r>
      <w:r w:rsidRPr="00726D52">
        <w:rPr>
          <w:noProof/>
          <w:lang w:val="en-GB"/>
        </w:rPr>
        <w:t xml:space="preserve"> to support cross-border investigations. </w:t>
      </w:r>
    </w:p>
    <w:p w14:paraId="29F1985A"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lastRenderedPageBreak/>
        <w:t>Evidence from stakeholder consultations supports this finding. Respondents to the Commission’s public consultation</w:t>
      </w:r>
      <w:r w:rsidRPr="00726D52">
        <w:rPr>
          <w:rStyle w:val="FootnoteReference"/>
          <w:noProof/>
          <w:lang w:val="en-GB"/>
        </w:rPr>
        <w:footnoteReference w:id="201"/>
      </w:r>
      <w:r w:rsidRPr="00726D52">
        <w:rPr>
          <w:noProof/>
          <w:lang w:val="en-GB"/>
        </w:rPr>
        <w:t xml:space="preserve"> consistently identified Europol’s role in facilitating cross-border information exchange and operational coordination as one of the Agency’s </w:t>
      </w:r>
      <w:r w:rsidRPr="00726D52">
        <w:rPr>
          <w:b/>
          <w:bCs/>
          <w:noProof/>
          <w:lang w:val="en-GB"/>
        </w:rPr>
        <w:t>most important contributions to EU law enforcement cooperation</w:t>
      </w:r>
      <w:r w:rsidRPr="00726D52">
        <w:rPr>
          <w:noProof/>
          <w:lang w:val="en-GB"/>
        </w:rPr>
        <w:t>. Focus group discussions with Member State authorities</w:t>
      </w:r>
      <w:r w:rsidRPr="00726D52">
        <w:rPr>
          <w:rStyle w:val="FootnoteReference"/>
          <w:noProof/>
          <w:lang w:val="en-GB"/>
        </w:rPr>
        <w:footnoteReference w:id="202"/>
      </w:r>
      <w:r w:rsidRPr="00726D52">
        <w:rPr>
          <w:noProof/>
          <w:lang w:val="en-GB"/>
        </w:rPr>
        <w:t xml:space="preserve"> similarly emphasised the </w:t>
      </w:r>
      <w:r w:rsidRPr="00726D52">
        <w:rPr>
          <w:b/>
          <w:bCs/>
          <w:noProof/>
          <w:lang w:val="en-GB"/>
        </w:rPr>
        <w:t>operational importance of Europol’s</w:t>
      </w:r>
      <w:r w:rsidRPr="00726D52">
        <w:rPr>
          <w:noProof/>
          <w:lang w:val="en-GB"/>
        </w:rPr>
        <w:t xml:space="preserve"> information exchange systems and analytical support. Participants indicated that Europol’s analytical capabilities frequently enable investigators to identify links between criminal cases conducted in different jurisdictions and facilitate coordinated operational actions across Member States.</w:t>
      </w:r>
    </w:p>
    <w:p w14:paraId="346E8312"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Operational support provided by Europol has also expanded significantly during the evaluation period. The number of cross-border investigations supported by Europol increased substantially, reaching approximately 3 324 investigations supported in 2024</w:t>
      </w:r>
      <w:r w:rsidRPr="00726D52">
        <w:rPr>
          <w:rStyle w:val="FootnoteReference"/>
          <w:noProof/>
          <w:lang w:val="en-GB"/>
        </w:rPr>
        <w:footnoteReference w:id="203"/>
      </w:r>
      <w:r w:rsidRPr="00726D52">
        <w:rPr>
          <w:noProof/>
          <w:lang w:val="en-GB"/>
        </w:rPr>
        <w:t>. Case studies analysed during the external evaluation</w:t>
      </w:r>
      <w:r w:rsidRPr="00726D52">
        <w:rPr>
          <w:rStyle w:val="FootnoteReference"/>
          <w:noProof/>
          <w:lang w:val="en-GB"/>
        </w:rPr>
        <w:footnoteReference w:id="204"/>
      </w:r>
      <w:r w:rsidRPr="00726D52">
        <w:rPr>
          <w:noProof/>
          <w:lang w:val="en-GB"/>
        </w:rPr>
        <w:t xml:space="preserve"> study demonstrate that Europol’s </w:t>
      </w:r>
      <w:r w:rsidRPr="00726D52">
        <w:rPr>
          <w:b/>
          <w:bCs/>
          <w:noProof/>
          <w:lang w:val="en-GB"/>
        </w:rPr>
        <w:t>analytical capabilities frequently enable investigators to identify links</w:t>
      </w:r>
      <w:r w:rsidRPr="00726D52">
        <w:rPr>
          <w:noProof/>
          <w:lang w:val="en-GB"/>
        </w:rPr>
        <w:t xml:space="preserve"> between criminal cases in different Member States and facilitate coordinated operational action against transnational criminal networks.</w:t>
      </w:r>
    </w:p>
    <w:p w14:paraId="0EA7233B"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 xml:space="preserve">The development of </w:t>
      </w:r>
      <w:r w:rsidRPr="00726D52">
        <w:rPr>
          <w:b/>
          <w:bCs/>
          <w:noProof/>
          <w:lang w:val="en-GB"/>
        </w:rPr>
        <w:t>specialised operational centres</w:t>
      </w:r>
      <w:r w:rsidRPr="00726D52">
        <w:rPr>
          <w:noProof/>
          <w:lang w:val="en-GB"/>
        </w:rPr>
        <w:t xml:space="preserve"> within Europol also contributed to strengthening operational effectiveness. Centres such as the European Cybercrime Centre (EC3), the European Counter Terrorism Centre (ECTC) and the European Financial and Economic Crime Centre (EFECC) provide specialised expertise in areas such as digital forensics, financial investigations and counter-terrorism intelligence analysis</w:t>
      </w:r>
      <w:r w:rsidRPr="00726D52">
        <w:rPr>
          <w:rStyle w:val="FootnoteReference"/>
          <w:noProof/>
          <w:lang w:val="en-GB"/>
        </w:rPr>
        <w:footnoteReference w:id="205"/>
      </w:r>
      <w:r w:rsidRPr="00726D52">
        <w:rPr>
          <w:noProof/>
          <w:lang w:val="en-GB"/>
        </w:rPr>
        <w:t>. Stakeholder consultations</w:t>
      </w:r>
      <w:r w:rsidRPr="00726D52">
        <w:rPr>
          <w:rStyle w:val="FootnoteReference"/>
          <w:noProof/>
          <w:lang w:val="en-GB"/>
        </w:rPr>
        <w:footnoteReference w:id="206"/>
      </w:r>
      <w:r w:rsidRPr="00726D52">
        <w:rPr>
          <w:noProof/>
          <w:lang w:val="en-GB"/>
        </w:rPr>
        <w:t xml:space="preserve"> indicate that these specialised capabilities are particularly valuable for Member States with more limited technical resources.</w:t>
      </w:r>
    </w:p>
    <w:p w14:paraId="3CFF522B"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Despite these positive developments, the evaluation identified several factors that may affect the full effectiveness of the intervention.</w:t>
      </w:r>
    </w:p>
    <w:p w14:paraId="2A001D41"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First, evidence collected through focus group discussions</w:t>
      </w:r>
      <w:r w:rsidRPr="00726D52">
        <w:rPr>
          <w:rStyle w:val="FootnoteReference"/>
          <w:noProof/>
          <w:lang w:val="en-GB"/>
        </w:rPr>
        <w:footnoteReference w:id="207"/>
      </w:r>
      <w:r w:rsidRPr="00726D52">
        <w:rPr>
          <w:noProof/>
          <w:lang w:val="en-GB"/>
        </w:rPr>
        <w:t xml:space="preserve"> indicates that </w:t>
      </w:r>
      <w:r w:rsidRPr="00726D52">
        <w:rPr>
          <w:b/>
          <w:bCs/>
          <w:noProof/>
          <w:lang w:val="en-GB"/>
        </w:rPr>
        <w:t>information sharing practices remain uneven</w:t>
      </w:r>
      <w:r w:rsidRPr="00726D52">
        <w:rPr>
          <w:noProof/>
          <w:lang w:val="en-GB"/>
        </w:rPr>
        <w:t xml:space="preserve"> across Member States. Some Member States contribute significantly larger volumes of operational data than others, which may affect the completeness of operational datasets available to Europol for analytical purposes.</w:t>
      </w:r>
    </w:p>
    <w:p w14:paraId="616F1416"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Second, stakeholders</w:t>
      </w:r>
      <w:r w:rsidRPr="00726D52">
        <w:rPr>
          <w:rStyle w:val="FootnoteReference"/>
          <w:noProof/>
          <w:lang w:val="en-GB"/>
        </w:rPr>
        <w:footnoteReference w:id="208"/>
      </w:r>
      <w:r w:rsidRPr="00726D52">
        <w:rPr>
          <w:noProof/>
          <w:lang w:val="en-GB"/>
        </w:rPr>
        <w:t xml:space="preserve"> highlighted </w:t>
      </w:r>
      <w:r w:rsidRPr="00726D52">
        <w:rPr>
          <w:b/>
          <w:bCs/>
          <w:noProof/>
          <w:lang w:val="en-GB"/>
        </w:rPr>
        <w:t>operational challenges related to the processing of large and complex datasets</w:t>
      </w:r>
      <w:r w:rsidRPr="00726D52">
        <w:rPr>
          <w:noProof/>
          <w:lang w:val="en-GB"/>
        </w:rPr>
        <w:t>, particularly in cases involving digital evidence and encrypted communications.</w:t>
      </w:r>
    </w:p>
    <w:p w14:paraId="7D628926"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Third, consultations identified procedural constraints related to data protection requirements and data ownership principles that may affect Europol’s ability to process certain datasets or share information across institutional boundaries (EU agencies focus group, January 2026).</w:t>
      </w:r>
    </w:p>
    <w:p w14:paraId="48346BFE"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lastRenderedPageBreak/>
        <w:t>Overall, the available evidence indicates that the Regulation has significantly strengthened operational cooperation between Member States and enhanced Europol’s role as the EU’s central criminal intelligence hub.</w:t>
      </w:r>
    </w:p>
    <w:p w14:paraId="1E1FCC69" w14:textId="77777777" w:rsidR="0061471B" w:rsidRPr="00726D52" w:rsidRDefault="0061471B" w:rsidP="0061471B">
      <w:pPr>
        <w:pStyle w:val="NormalWeb"/>
        <w:spacing w:before="120" w:beforeAutospacing="0" w:after="0" w:afterAutospacing="0"/>
        <w:jc w:val="both"/>
        <w:rPr>
          <w:b/>
          <w:bCs/>
          <w:noProof/>
          <w:u w:val="single"/>
          <w:lang w:val="en-GB"/>
        </w:rPr>
      </w:pPr>
      <w:r w:rsidRPr="00726D52">
        <w:rPr>
          <w:b/>
          <w:bCs/>
          <w:noProof/>
          <w:u w:val="single"/>
          <w:lang w:val="en-GB"/>
        </w:rPr>
        <w:t>Efficiency</w:t>
      </w:r>
    </w:p>
    <w:p w14:paraId="44F1A984"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Efficiency assesses whether the objectives of the intervention were achieved at reasonable cost and whether the available resources were used proportionately to the results obtained.</w:t>
      </w:r>
    </w:p>
    <w:p w14:paraId="060110D6"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 xml:space="preserve">Europol provides several centralised services at EU level, including secure communication systems, analytical platforms and specialised forensic capabilities. These services allow Member States to pool resources and </w:t>
      </w:r>
      <w:r w:rsidRPr="00726D52">
        <w:rPr>
          <w:b/>
          <w:bCs/>
          <w:noProof/>
          <w:lang w:val="en-GB"/>
        </w:rPr>
        <w:t xml:space="preserve">avoid duplicating </w:t>
      </w:r>
      <w:r w:rsidRPr="00726D52">
        <w:rPr>
          <w:noProof/>
          <w:lang w:val="en-GB"/>
        </w:rPr>
        <w:t>similar infrastructure at national level.</w:t>
      </w:r>
    </w:p>
    <w:p w14:paraId="71EF9A16" w14:textId="77777777" w:rsidR="0061471B" w:rsidRPr="00726D52" w:rsidRDefault="0061471B" w:rsidP="0061471B">
      <w:pPr>
        <w:pStyle w:val="NormalWeb"/>
        <w:spacing w:before="120" w:beforeAutospacing="0" w:after="240" w:afterAutospacing="0"/>
        <w:jc w:val="both"/>
        <w:rPr>
          <w:noProof/>
          <w:lang w:val="en-GB"/>
        </w:rPr>
      </w:pPr>
      <w:r w:rsidRPr="00726D52">
        <w:rPr>
          <w:noProof/>
          <w:lang w:val="en-GB"/>
        </w:rPr>
        <w:t>The expansion of Europol’s operational activities during the evaluation period occurred alongside increases in the Agency’s financial and human resources. Overall, the available evidence indicates that Europol’s operational outputs have increased broadly in line with the growth in available resources</w:t>
      </w:r>
      <w:r w:rsidRPr="00726D52">
        <w:rPr>
          <w:rStyle w:val="FootnoteReference"/>
          <w:noProof/>
          <w:lang w:val="en-GB"/>
        </w:rPr>
        <w:footnoteReference w:id="209"/>
      </w:r>
      <w:r w:rsidRPr="00726D52">
        <w:rPr>
          <w:noProof/>
          <w:lang w:val="en-GB"/>
        </w:rPr>
        <w:t>.</w:t>
      </w:r>
    </w:p>
    <w:tbl>
      <w:tblPr>
        <w:tblStyle w:val="TableGrid"/>
        <w:tblW w:w="0" w:type="auto"/>
        <w:tblInd w:w="1090" w:type="dxa"/>
        <w:tblLook w:val="04A0" w:firstRow="1" w:lastRow="0" w:firstColumn="1" w:lastColumn="0" w:noHBand="0" w:noVBand="1"/>
      </w:tblPr>
      <w:tblGrid>
        <w:gridCol w:w="2205"/>
        <w:gridCol w:w="2274"/>
        <w:gridCol w:w="2064"/>
      </w:tblGrid>
      <w:tr w:rsidR="0061471B" w:rsidRPr="00726D52" w14:paraId="2A13C24B" w14:textId="77777777" w:rsidTr="32BEBD84">
        <w:tc>
          <w:tcPr>
            <w:tcW w:w="2205" w:type="dxa"/>
            <w:shd w:val="clear" w:color="auto" w:fill="E1EBF7"/>
            <w:vAlign w:val="center"/>
          </w:tcPr>
          <w:p w14:paraId="0FF72E9D" w14:textId="77777777" w:rsidR="0061471B" w:rsidRPr="00726D52" w:rsidRDefault="0061471B" w:rsidP="00C05BFC">
            <w:pPr>
              <w:pStyle w:val="NormalWeb"/>
              <w:spacing w:before="120" w:beforeAutospacing="0" w:after="120" w:afterAutospacing="0"/>
              <w:jc w:val="center"/>
              <w:rPr>
                <w:b/>
                <w:bCs/>
                <w:noProof/>
                <w:lang w:val="en-GB"/>
              </w:rPr>
            </w:pPr>
            <w:r w:rsidRPr="00726D52">
              <w:rPr>
                <w:b/>
                <w:bCs/>
                <w:noProof/>
                <w:lang w:val="en-GB"/>
              </w:rPr>
              <w:t>Year</w:t>
            </w:r>
          </w:p>
        </w:tc>
        <w:tc>
          <w:tcPr>
            <w:tcW w:w="2274" w:type="dxa"/>
            <w:shd w:val="clear" w:color="auto" w:fill="B7CFED"/>
            <w:vAlign w:val="center"/>
          </w:tcPr>
          <w:p w14:paraId="18C3F0D0" w14:textId="77777777" w:rsidR="0061471B" w:rsidRPr="00726D52" w:rsidRDefault="0061471B" w:rsidP="00C05BFC">
            <w:pPr>
              <w:pStyle w:val="NormalWeb"/>
              <w:spacing w:before="120" w:beforeAutospacing="0" w:after="120" w:afterAutospacing="0"/>
              <w:jc w:val="center"/>
              <w:rPr>
                <w:b/>
                <w:bCs/>
                <w:noProof/>
                <w:lang w:val="en-GB"/>
              </w:rPr>
            </w:pPr>
            <w:r w:rsidRPr="00726D52">
              <w:rPr>
                <w:b/>
                <w:bCs/>
                <w:noProof/>
                <w:lang w:val="en-GB"/>
              </w:rPr>
              <w:t>Budget</w:t>
            </w:r>
          </w:p>
        </w:tc>
        <w:tc>
          <w:tcPr>
            <w:tcW w:w="2064" w:type="dxa"/>
            <w:shd w:val="clear" w:color="auto" w:fill="B7CFED"/>
            <w:vAlign w:val="center"/>
          </w:tcPr>
          <w:p w14:paraId="2FFA22BF" w14:textId="77777777" w:rsidR="0061471B" w:rsidRPr="00726D52" w:rsidRDefault="0061471B" w:rsidP="00C05BFC">
            <w:pPr>
              <w:pStyle w:val="NormalWeb"/>
              <w:spacing w:before="120" w:beforeAutospacing="0" w:after="120" w:afterAutospacing="0"/>
              <w:jc w:val="center"/>
              <w:rPr>
                <w:b/>
                <w:bCs/>
                <w:noProof/>
                <w:lang w:val="en-GB"/>
              </w:rPr>
            </w:pPr>
            <w:r w:rsidRPr="00726D52">
              <w:rPr>
                <w:b/>
                <w:bCs/>
                <w:noProof/>
                <w:lang w:val="en-GB"/>
              </w:rPr>
              <w:t>Staff</w:t>
            </w:r>
          </w:p>
        </w:tc>
      </w:tr>
      <w:tr w:rsidR="0061471B" w:rsidRPr="00726D52" w14:paraId="0EC1F5A9" w14:textId="77777777" w:rsidTr="32BEBD84">
        <w:tc>
          <w:tcPr>
            <w:tcW w:w="2205" w:type="dxa"/>
            <w:shd w:val="clear" w:color="auto" w:fill="E1EBF7"/>
            <w:vAlign w:val="center"/>
          </w:tcPr>
          <w:p w14:paraId="531186F8"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2016</w:t>
            </w:r>
          </w:p>
        </w:tc>
        <w:tc>
          <w:tcPr>
            <w:tcW w:w="2274" w:type="dxa"/>
            <w:vAlign w:val="center"/>
          </w:tcPr>
          <w:p w14:paraId="6273BC1F"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€104.9 million</w:t>
            </w:r>
          </w:p>
        </w:tc>
        <w:tc>
          <w:tcPr>
            <w:tcW w:w="2064" w:type="dxa"/>
            <w:vAlign w:val="center"/>
          </w:tcPr>
          <w:p w14:paraId="0D04DDE9"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655</w:t>
            </w:r>
          </w:p>
        </w:tc>
      </w:tr>
      <w:tr w:rsidR="0061471B" w:rsidRPr="00726D52" w14:paraId="11E2AD98" w14:textId="77777777" w:rsidTr="32BEBD84">
        <w:tc>
          <w:tcPr>
            <w:tcW w:w="2205" w:type="dxa"/>
            <w:shd w:val="clear" w:color="auto" w:fill="E1EBF7"/>
            <w:vAlign w:val="center"/>
          </w:tcPr>
          <w:p w14:paraId="41FA08D8"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2017</w:t>
            </w:r>
          </w:p>
        </w:tc>
        <w:tc>
          <w:tcPr>
            <w:tcW w:w="2274" w:type="dxa"/>
            <w:vAlign w:val="center"/>
          </w:tcPr>
          <w:p w14:paraId="30322601"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€129.9 million</w:t>
            </w:r>
          </w:p>
        </w:tc>
        <w:tc>
          <w:tcPr>
            <w:tcW w:w="2064" w:type="dxa"/>
            <w:vAlign w:val="center"/>
          </w:tcPr>
          <w:p w14:paraId="0EE8BE8C"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684</w:t>
            </w:r>
          </w:p>
        </w:tc>
      </w:tr>
      <w:tr w:rsidR="0061471B" w:rsidRPr="00726D52" w14:paraId="622C6BB3" w14:textId="77777777" w:rsidTr="32BEBD84">
        <w:tc>
          <w:tcPr>
            <w:tcW w:w="2205" w:type="dxa"/>
            <w:shd w:val="clear" w:color="auto" w:fill="E1EBF7"/>
            <w:vAlign w:val="center"/>
          </w:tcPr>
          <w:p w14:paraId="402A648E"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2018</w:t>
            </w:r>
          </w:p>
        </w:tc>
        <w:tc>
          <w:tcPr>
            <w:tcW w:w="2274" w:type="dxa"/>
            <w:vAlign w:val="center"/>
          </w:tcPr>
          <w:p w14:paraId="3560683D"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€136.1 million</w:t>
            </w:r>
          </w:p>
        </w:tc>
        <w:tc>
          <w:tcPr>
            <w:tcW w:w="2064" w:type="dxa"/>
            <w:vAlign w:val="center"/>
          </w:tcPr>
          <w:p w14:paraId="4E8BBF08"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859</w:t>
            </w:r>
          </w:p>
        </w:tc>
      </w:tr>
      <w:tr w:rsidR="0061471B" w:rsidRPr="00726D52" w14:paraId="0103F4B6" w14:textId="77777777" w:rsidTr="32BEBD84">
        <w:tc>
          <w:tcPr>
            <w:tcW w:w="2205" w:type="dxa"/>
            <w:shd w:val="clear" w:color="auto" w:fill="E1EBF7"/>
            <w:vAlign w:val="center"/>
          </w:tcPr>
          <w:p w14:paraId="5D2C8B0A"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2019</w:t>
            </w:r>
          </w:p>
        </w:tc>
        <w:tc>
          <w:tcPr>
            <w:tcW w:w="2274" w:type="dxa"/>
            <w:vAlign w:val="center"/>
          </w:tcPr>
          <w:p w14:paraId="10DEF6BF"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€138.3 million</w:t>
            </w:r>
          </w:p>
        </w:tc>
        <w:tc>
          <w:tcPr>
            <w:tcW w:w="2064" w:type="dxa"/>
            <w:vAlign w:val="center"/>
          </w:tcPr>
          <w:p w14:paraId="54ACB761"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893</w:t>
            </w:r>
          </w:p>
        </w:tc>
      </w:tr>
      <w:tr w:rsidR="0061471B" w:rsidRPr="00726D52" w14:paraId="02CDF69D" w14:textId="77777777" w:rsidTr="32BEBD84">
        <w:tc>
          <w:tcPr>
            <w:tcW w:w="2205" w:type="dxa"/>
            <w:shd w:val="clear" w:color="auto" w:fill="E1EBF7"/>
            <w:vAlign w:val="center"/>
          </w:tcPr>
          <w:p w14:paraId="0FCF8FE2"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2020</w:t>
            </w:r>
          </w:p>
        </w:tc>
        <w:tc>
          <w:tcPr>
            <w:tcW w:w="2274" w:type="dxa"/>
            <w:vAlign w:val="center"/>
          </w:tcPr>
          <w:p w14:paraId="28CF998F"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€143.6 million</w:t>
            </w:r>
          </w:p>
        </w:tc>
        <w:tc>
          <w:tcPr>
            <w:tcW w:w="2064" w:type="dxa"/>
            <w:vAlign w:val="center"/>
          </w:tcPr>
          <w:p w14:paraId="3F42DABA"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871</w:t>
            </w:r>
          </w:p>
        </w:tc>
      </w:tr>
      <w:tr w:rsidR="0061471B" w:rsidRPr="00726D52" w14:paraId="61CF247B" w14:textId="77777777" w:rsidTr="32BEBD84">
        <w:tc>
          <w:tcPr>
            <w:tcW w:w="2205" w:type="dxa"/>
            <w:shd w:val="clear" w:color="auto" w:fill="E1EBF7"/>
            <w:vAlign w:val="center"/>
          </w:tcPr>
          <w:p w14:paraId="327AA985"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2021</w:t>
            </w:r>
          </w:p>
        </w:tc>
        <w:tc>
          <w:tcPr>
            <w:tcW w:w="2274" w:type="dxa"/>
            <w:vAlign w:val="center"/>
          </w:tcPr>
          <w:p w14:paraId="26C62DE9"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€168.8 million</w:t>
            </w:r>
          </w:p>
        </w:tc>
        <w:tc>
          <w:tcPr>
            <w:tcW w:w="2064" w:type="dxa"/>
            <w:vAlign w:val="center"/>
          </w:tcPr>
          <w:p w14:paraId="1BDBFEEA"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960</w:t>
            </w:r>
          </w:p>
        </w:tc>
      </w:tr>
      <w:tr w:rsidR="0061471B" w:rsidRPr="00726D52" w14:paraId="7117AEF9" w14:textId="77777777" w:rsidTr="32BEBD84">
        <w:tc>
          <w:tcPr>
            <w:tcW w:w="2205" w:type="dxa"/>
            <w:shd w:val="clear" w:color="auto" w:fill="E1EBF7"/>
            <w:vAlign w:val="center"/>
          </w:tcPr>
          <w:p w14:paraId="62B77BD7"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2022</w:t>
            </w:r>
          </w:p>
        </w:tc>
        <w:tc>
          <w:tcPr>
            <w:tcW w:w="2274" w:type="dxa"/>
            <w:vAlign w:val="center"/>
          </w:tcPr>
          <w:p w14:paraId="3416DC4B"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€192.4 million</w:t>
            </w:r>
          </w:p>
        </w:tc>
        <w:tc>
          <w:tcPr>
            <w:tcW w:w="2064" w:type="dxa"/>
            <w:vAlign w:val="center"/>
          </w:tcPr>
          <w:p w14:paraId="6C0E0661" w14:textId="3E7714AC" w:rsidR="0061471B" w:rsidRPr="00726D52" w:rsidRDefault="06C51F04" w:rsidP="32BEBD84">
            <w:pPr>
              <w:pStyle w:val="NormalWeb"/>
              <w:spacing w:before="120" w:beforeAutospacing="0" w:after="0" w:afterAutospacing="0"/>
              <w:jc w:val="center"/>
              <w:rPr>
                <w:noProof/>
                <w:lang w:val="en-GB"/>
              </w:rPr>
            </w:pPr>
            <w:r w:rsidRPr="00726D52">
              <w:rPr>
                <w:noProof/>
                <w:lang w:val="en-GB"/>
              </w:rPr>
              <w:t>992</w:t>
            </w:r>
          </w:p>
        </w:tc>
      </w:tr>
      <w:tr w:rsidR="0061471B" w:rsidRPr="00726D52" w14:paraId="45FF828D" w14:textId="77777777" w:rsidTr="32BEBD84">
        <w:tc>
          <w:tcPr>
            <w:tcW w:w="2205" w:type="dxa"/>
            <w:shd w:val="clear" w:color="auto" w:fill="E1EBF7"/>
            <w:vAlign w:val="center"/>
          </w:tcPr>
          <w:p w14:paraId="34A06A7D"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2023</w:t>
            </w:r>
          </w:p>
        </w:tc>
        <w:tc>
          <w:tcPr>
            <w:tcW w:w="2274" w:type="dxa"/>
            <w:vAlign w:val="center"/>
          </w:tcPr>
          <w:p w14:paraId="092203C6" w14:textId="77777777" w:rsidR="0061471B" w:rsidRPr="00726D52" w:rsidRDefault="0061471B" w:rsidP="00C05BFC">
            <w:pPr>
              <w:pStyle w:val="NormalWeb"/>
              <w:spacing w:before="120" w:beforeAutospacing="0" w:after="0" w:afterAutospacing="0"/>
              <w:jc w:val="center"/>
              <w:rPr>
                <w:noProof/>
                <w:lang w:val="en-GB"/>
              </w:rPr>
            </w:pPr>
            <w:r w:rsidRPr="00726D52">
              <w:rPr>
                <w:noProof/>
                <w:lang w:val="en-GB"/>
              </w:rPr>
              <w:t>€200 million</w:t>
            </w:r>
          </w:p>
        </w:tc>
        <w:tc>
          <w:tcPr>
            <w:tcW w:w="2064" w:type="dxa"/>
            <w:vAlign w:val="center"/>
          </w:tcPr>
          <w:p w14:paraId="78F7658B" w14:textId="57ACF889" w:rsidR="0061471B" w:rsidRPr="00726D52" w:rsidRDefault="70439924" w:rsidP="32BEBD84">
            <w:pPr>
              <w:pStyle w:val="NormalWeb"/>
              <w:spacing w:before="120" w:beforeAutospacing="0" w:after="0" w:afterAutospacing="0"/>
              <w:jc w:val="center"/>
              <w:rPr>
                <w:noProof/>
                <w:lang w:val="en-GB"/>
              </w:rPr>
            </w:pPr>
            <w:r w:rsidRPr="00726D52">
              <w:rPr>
                <w:noProof/>
                <w:lang w:val="en-GB"/>
              </w:rPr>
              <w:t>911</w:t>
            </w:r>
          </w:p>
        </w:tc>
      </w:tr>
      <w:tr w:rsidR="0061471B" w:rsidRPr="00726D52" w14:paraId="5984758A" w14:textId="77777777" w:rsidTr="32BEBD84">
        <w:tc>
          <w:tcPr>
            <w:tcW w:w="2205" w:type="dxa"/>
            <w:shd w:val="clear" w:color="auto" w:fill="E1EBF7"/>
            <w:vAlign w:val="center"/>
          </w:tcPr>
          <w:p w14:paraId="76403B34" w14:textId="77777777" w:rsidR="0061471B" w:rsidRPr="00726D52" w:rsidRDefault="0061471B" w:rsidP="00C05BFC">
            <w:pPr>
              <w:pStyle w:val="NormalWeb"/>
              <w:spacing w:before="120" w:beforeAutospacing="0" w:after="0" w:afterAutospacing="0"/>
              <w:jc w:val="center"/>
              <w:rPr>
                <w:b/>
                <w:bCs/>
                <w:noProof/>
                <w:lang w:val="en-GB"/>
              </w:rPr>
            </w:pPr>
            <w:r w:rsidRPr="00726D52">
              <w:rPr>
                <w:b/>
                <w:bCs/>
                <w:noProof/>
                <w:lang w:val="en-GB"/>
              </w:rPr>
              <w:t>2024</w:t>
            </w:r>
          </w:p>
        </w:tc>
        <w:tc>
          <w:tcPr>
            <w:tcW w:w="2274" w:type="dxa"/>
            <w:vAlign w:val="center"/>
          </w:tcPr>
          <w:p w14:paraId="192C2DE2" w14:textId="27164212" w:rsidR="0061471B" w:rsidRPr="00726D52" w:rsidRDefault="423E9989" w:rsidP="32BEBD84">
            <w:pPr>
              <w:pStyle w:val="NormalWeb"/>
              <w:spacing w:before="120" w:beforeAutospacing="0" w:after="0" w:afterAutospacing="0"/>
              <w:jc w:val="center"/>
              <w:rPr>
                <w:noProof/>
                <w:lang w:val="en-GB"/>
              </w:rPr>
            </w:pPr>
            <w:r w:rsidRPr="00726D52">
              <w:rPr>
                <w:noProof/>
                <w:lang w:val="en-GB"/>
              </w:rPr>
              <w:t>€217 million</w:t>
            </w:r>
          </w:p>
        </w:tc>
        <w:tc>
          <w:tcPr>
            <w:tcW w:w="2064" w:type="dxa"/>
            <w:vAlign w:val="center"/>
          </w:tcPr>
          <w:p w14:paraId="4EE8F178" w14:textId="3DFAC68C" w:rsidR="0061471B" w:rsidRPr="00726D52" w:rsidRDefault="5284E2FE" w:rsidP="32BEBD84">
            <w:pPr>
              <w:pStyle w:val="NormalWeb"/>
              <w:spacing w:before="120" w:beforeAutospacing="0" w:after="0" w:afterAutospacing="0"/>
              <w:jc w:val="center"/>
              <w:rPr>
                <w:noProof/>
                <w:lang w:val="en-GB"/>
              </w:rPr>
            </w:pPr>
            <w:r w:rsidRPr="00726D52">
              <w:rPr>
                <w:noProof/>
                <w:lang w:val="en-GB"/>
              </w:rPr>
              <w:t>941</w:t>
            </w:r>
          </w:p>
        </w:tc>
      </w:tr>
    </w:tbl>
    <w:p w14:paraId="499E0D05" w14:textId="77777777" w:rsidR="0061471B" w:rsidRPr="00726D52" w:rsidRDefault="0061471B" w:rsidP="0061471B">
      <w:pPr>
        <w:pStyle w:val="NormalWeb"/>
        <w:spacing w:before="240" w:beforeAutospacing="0" w:after="0" w:afterAutospacing="0"/>
        <w:jc w:val="both"/>
        <w:rPr>
          <w:noProof/>
          <w:lang w:val="en-GB"/>
        </w:rPr>
      </w:pPr>
      <w:r w:rsidRPr="00726D52">
        <w:rPr>
          <w:noProof/>
          <w:lang w:val="en-GB"/>
        </w:rPr>
        <w:t>Evidence from stakeholder consultations</w:t>
      </w:r>
      <w:r w:rsidRPr="00726D52">
        <w:rPr>
          <w:rStyle w:val="FootnoteReference"/>
          <w:noProof/>
          <w:lang w:val="en-GB"/>
        </w:rPr>
        <w:footnoteReference w:id="210"/>
      </w:r>
      <w:r w:rsidRPr="00726D52">
        <w:rPr>
          <w:noProof/>
          <w:lang w:val="en-GB"/>
        </w:rPr>
        <w:t xml:space="preserve"> suggests that Europol’s centralised services generate </w:t>
      </w:r>
      <w:r w:rsidRPr="00726D52">
        <w:rPr>
          <w:b/>
          <w:bCs/>
          <w:noProof/>
          <w:lang w:val="en-GB"/>
        </w:rPr>
        <w:t>economies of scale</w:t>
      </w:r>
      <w:r w:rsidRPr="00726D52">
        <w:rPr>
          <w:noProof/>
          <w:lang w:val="en-GB"/>
        </w:rPr>
        <w:t xml:space="preserve"> by providing specialised analytical and technical capabilities that would be costly for individual Member States to develop independently.</w:t>
      </w:r>
    </w:p>
    <w:p w14:paraId="4F664325"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Focus group discussions with Member States</w:t>
      </w:r>
      <w:r w:rsidRPr="00726D52">
        <w:rPr>
          <w:rStyle w:val="FootnoteReference"/>
          <w:noProof/>
          <w:lang w:val="en-GB"/>
        </w:rPr>
        <w:footnoteReference w:id="211"/>
      </w:r>
      <w:r w:rsidRPr="00726D52">
        <w:rPr>
          <w:noProof/>
          <w:lang w:val="en-GB"/>
        </w:rPr>
        <w:t xml:space="preserve"> indicate that measures aimed at strengthening automated data exchange and systematic use of Europol systems could generate significant operational benefits while involving moderate implementation costs.</w:t>
      </w:r>
    </w:p>
    <w:p w14:paraId="212AC37A"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At the same time, consultations indicate that increasing demand for Europol’s services may place pressure on the Agency’s analytical capacity and operational resources</w:t>
      </w:r>
      <w:r w:rsidRPr="00726D52">
        <w:rPr>
          <w:rStyle w:val="FootnoteReference"/>
          <w:noProof/>
          <w:lang w:val="en-GB"/>
        </w:rPr>
        <w:footnoteReference w:id="212"/>
      </w:r>
      <w:r w:rsidRPr="00726D52">
        <w:rPr>
          <w:noProof/>
          <w:lang w:val="en-GB"/>
        </w:rPr>
        <w:t>.</w:t>
      </w:r>
    </w:p>
    <w:p w14:paraId="0099DB6B"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lastRenderedPageBreak/>
        <w:t>Stakeholders</w:t>
      </w:r>
      <w:r w:rsidRPr="00726D52">
        <w:rPr>
          <w:rStyle w:val="FootnoteReference"/>
          <w:noProof/>
          <w:lang w:val="en-GB"/>
        </w:rPr>
        <w:footnoteReference w:id="213"/>
      </w:r>
      <w:r w:rsidRPr="00726D52">
        <w:rPr>
          <w:noProof/>
          <w:lang w:val="en-GB"/>
        </w:rPr>
        <w:t xml:space="preserve"> also identified opportunities to improve efficiency by simplifying certain operational procedures, strengthening interoperability between information systems and improving digital tools supporting operational cooperation.</w:t>
      </w:r>
    </w:p>
    <w:p w14:paraId="29833EE9"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Overall, the evaluation indicates that Europol’s services contribute to more efficient use of law enforcement resources across the Union, although growing operational demand may require additional resources to maintain this level of efficiency.</w:t>
      </w:r>
    </w:p>
    <w:p w14:paraId="2B113C7A" w14:textId="77777777" w:rsidR="0061471B" w:rsidRPr="00726D52" w:rsidRDefault="0061471B" w:rsidP="0061471B">
      <w:pPr>
        <w:pStyle w:val="NormalWeb"/>
        <w:spacing w:before="120" w:beforeAutospacing="0" w:after="0" w:afterAutospacing="0"/>
        <w:jc w:val="both"/>
        <w:rPr>
          <w:b/>
          <w:bCs/>
          <w:noProof/>
          <w:lang w:val="en-GB"/>
        </w:rPr>
      </w:pPr>
      <w:r w:rsidRPr="00726D52">
        <w:rPr>
          <w:b/>
          <w:bCs/>
          <w:noProof/>
          <w:lang w:val="en-GB"/>
        </w:rPr>
        <w:t>Coherence</w:t>
      </w:r>
    </w:p>
    <w:p w14:paraId="4F49CC67"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Coherence assesses whether the intervention is consistent with other EU policies and instruments and whether it interacts effectively with the broader EU internal security framework.</w:t>
      </w:r>
    </w:p>
    <w:p w14:paraId="5D3376D4"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Europol operates within a broader EU security architecture that includes several actors involved in law enforcement cooperation and judicial coordination, including Eurojust, the European Public Prosecutor’s Office (EPPO), Frontex and CEPOL.</w:t>
      </w:r>
    </w:p>
    <w:p w14:paraId="1A627849"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Evidence collected during the evaluation</w:t>
      </w:r>
      <w:r w:rsidRPr="00726D52">
        <w:rPr>
          <w:rStyle w:val="FootnoteReference"/>
          <w:noProof/>
          <w:lang w:val="en-GB"/>
        </w:rPr>
        <w:footnoteReference w:id="214"/>
      </w:r>
      <w:r w:rsidRPr="00726D52">
        <w:rPr>
          <w:noProof/>
          <w:lang w:val="en-GB"/>
        </w:rPr>
        <w:t xml:space="preserve"> indicates that Europol’s activities </w:t>
      </w:r>
      <w:r w:rsidRPr="00726D52">
        <w:rPr>
          <w:b/>
          <w:bCs/>
          <w:noProof/>
          <w:lang w:val="en-GB"/>
        </w:rPr>
        <w:t>generally complement those of these actors</w:t>
      </w:r>
      <w:r w:rsidRPr="00726D52">
        <w:rPr>
          <w:noProof/>
          <w:lang w:val="en-GB"/>
        </w:rPr>
        <w:t>, particularly through its role in providing criminal intelligence analysis and facilitating information exchange between national authorities and other EU Agencies, bodies and offices. In particular, Europol plays an important role in supporting the European Multidisciplinary Platform Against Criminal Threats (EMPACT), which coordinates operational actions against priority crime threats at EU level.</w:t>
      </w:r>
    </w:p>
    <w:p w14:paraId="4EAD571E" w14:textId="77777777" w:rsidR="0061471B" w:rsidRPr="00726D52" w:rsidRDefault="0061471B" w:rsidP="0061471B">
      <w:pPr>
        <w:pStyle w:val="NormalWeb"/>
        <w:spacing w:before="120" w:beforeAutospacing="0" w:after="0" w:afterAutospacing="0"/>
        <w:jc w:val="both"/>
        <w:rPr>
          <w:noProof/>
          <w:lang w:val="en-GB"/>
        </w:rPr>
      </w:pPr>
      <w:r w:rsidRPr="00726D52">
        <w:rPr>
          <w:noProof/>
          <w:lang w:val="en-GB"/>
        </w:rPr>
        <w:t>At the same time, consultations with EU agencies</w:t>
      </w:r>
      <w:r w:rsidRPr="00726D52">
        <w:rPr>
          <w:rStyle w:val="FootnoteReference"/>
          <w:noProof/>
          <w:lang w:val="en-GB"/>
        </w:rPr>
        <w:footnoteReference w:id="215"/>
      </w:r>
      <w:r w:rsidRPr="00726D52">
        <w:rPr>
          <w:noProof/>
          <w:lang w:val="en-GB"/>
        </w:rPr>
        <w:t xml:space="preserve"> highlighted certain operational challenges related to the interaction between different institutional mandates and legal frameworks. In particular, stakeholders noted that differences in data protection frameworks and institutional mandates may affect the efficiency of information exchange between EU bodies.</w:t>
      </w:r>
    </w:p>
    <w:p w14:paraId="4E268BA3" w14:textId="44E2FEFF" w:rsidR="020CA063" w:rsidRPr="00726D52" w:rsidRDefault="0061471B" w:rsidP="0061471B">
      <w:pPr>
        <w:spacing w:before="240"/>
        <w:rPr>
          <w:noProof/>
        </w:rPr>
      </w:pPr>
      <w:r w:rsidRPr="00726D52">
        <w:rPr>
          <w:noProof/>
        </w:rPr>
        <w:t>Nevertheless, the evaluation did not identify major inconsistencies between the Europol Regulation and other EU legal instruments.</w:t>
      </w:r>
    </w:p>
    <w:p w14:paraId="74C0BAC7" w14:textId="68D1B4E1" w:rsidR="00D20FD1" w:rsidRPr="00726D52" w:rsidRDefault="6F41531A" w:rsidP="009502B2">
      <w:pPr>
        <w:pStyle w:val="Heading3"/>
        <w:numPr>
          <w:ilvl w:val="1"/>
          <w:numId w:val="34"/>
        </w:numPr>
        <w:tabs>
          <w:tab w:val="clear" w:pos="9007"/>
        </w:tabs>
        <w:rPr>
          <w:noProof/>
        </w:rPr>
      </w:pPr>
      <w:r w:rsidRPr="00726D52">
        <w:rPr>
          <w:noProof/>
        </w:rPr>
        <w:t>How did the EU intervention make a difference?</w:t>
      </w:r>
    </w:p>
    <w:p w14:paraId="694474B1"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 xml:space="preserve">This section assesses the </w:t>
      </w:r>
      <w:r w:rsidRPr="00726D52">
        <w:rPr>
          <w:rStyle w:val="Strong"/>
          <w:rFonts w:eastAsiaTheme="majorEastAsia"/>
          <w:noProof/>
          <w:lang w:val="en-GB"/>
        </w:rPr>
        <w:t>EU added value</w:t>
      </w:r>
      <w:r w:rsidRPr="00726D52">
        <w:rPr>
          <w:noProof/>
          <w:lang w:val="en-GB"/>
        </w:rPr>
        <w:t xml:space="preserve"> of the intervention. EU added value refers to the benefits generated by EU-level intervention that would not have been achieved, or would have been achieved less effectively, by Member States acting individually.</w:t>
      </w:r>
    </w:p>
    <w:p w14:paraId="023DAB2D"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 xml:space="preserve">The evaluation finds that Europol </w:t>
      </w:r>
      <w:r w:rsidRPr="00726D52">
        <w:rPr>
          <w:b/>
          <w:bCs/>
          <w:noProof/>
          <w:lang w:val="en-GB"/>
        </w:rPr>
        <w:t>generates substantial EU added value</w:t>
      </w:r>
      <w:r w:rsidRPr="00726D52">
        <w:rPr>
          <w:noProof/>
          <w:lang w:val="en-GB"/>
        </w:rPr>
        <w:t xml:space="preserve"> by enabling the integration of criminal intelligence and operational coordination across multiple Member States.</w:t>
      </w:r>
    </w:p>
    <w:p w14:paraId="12DC8DE7"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 xml:space="preserve">Europol’s centralised information exchange infrastructure enables national authorities to share operational information simultaneously with multiple partners, facilitating the identification of links between criminal investigations conducted in different Member </w:t>
      </w:r>
      <w:r w:rsidRPr="00726D52">
        <w:rPr>
          <w:noProof/>
          <w:lang w:val="en-GB"/>
        </w:rPr>
        <w:lastRenderedPageBreak/>
        <w:t xml:space="preserve">States </w:t>
      </w:r>
      <w:r w:rsidRPr="00726D52">
        <w:rPr>
          <w:rStyle w:val="FootnoteReference"/>
          <w:noProof/>
          <w:lang w:val="en-GB"/>
        </w:rPr>
        <w:footnoteReference w:id="216"/>
      </w:r>
      <w:r w:rsidRPr="00726D52">
        <w:rPr>
          <w:noProof/>
          <w:lang w:val="en-GB"/>
        </w:rPr>
        <w:t>. Without EU-level coordination mechanisms such as those provided by Europol, cooperation between national authorities would rely primarily on bilateral exchanges, which may be slower and less effective in addressing complex transnational criminal networks. Stakeholder consultations</w:t>
      </w:r>
      <w:r w:rsidRPr="00726D52">
        <w:rPr>
          <w:rStyle w:val="FootnoteReference"/>
          <w:noProof/>
          <w:lang w:val="en-GB"/>
        </w:rPr>
        <w:footnoteReference w:id="217"/>
      </w:r>
      <w:r w:rsidRPr="00726D52">
        <w:rPr>
          <w:noProof/>
          <w:lang w:val="en-GB"/>
        </w:rPr>
        <w:t xml:space="preserve"> indicate that Europol’s analytical and coordination capabilities significantly </w:t>
      </w:r>
      <w:r w:rsidRPr="00726D52">
        <w:rPr>
          <w:b/>
          <w:bCs/>
          <w:noProof/>
          <w:lang w:val="en-GB"/>
        </w:rPr>
        <w:t>enhance the effectiveness of cross-border investigations</w:t>
      </w:r>
      <w:r w:rsidRPr="00726D52">
        <w:rPr>
          <w:noProof/>
          <w:lang w:val="en-GB"/>
        </w:rPr>
        <w:t xml:space="preserve"> </w:t>
      </w:r>
      <w:r w:rsidRPr="00726D52">
        <w:rPr>
          <w:b/>
          <w:bCs/>
          <w:noProof/>
          <w:lang w:val="en-GB"/>
        </w:rPr>
        <w:t>compared with bilateral cooperation mechanisms</w:t>
      </w:r>
      <w:r w:rsidRPr="00726D52">
        <w:rPr>
          <w:noProof/>
          <w:lang w:val="en-GB"/>
        </w:rPr>
        <w:t>.</w:t>
      </w:r>
    </w:p>
    <w:p w14:paraId="323CA55F"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Europol also centralises specialised analytical and technical capabilities at EU level, including advanced digital forensic tools, financial intelligence analysis and cybercrime investigation support. By pooling these capabilities, Europol allows Member States to benefit from economies of scale and reduces the need for duplicative investment in specialised infrastructure</w:t>
      </w:r>
      <w:r w:rsidRPr="00726D52">
        <w:rPr>
          <w:rStyle w:val="FootnoteReference"/>
          <w:noProof/>
          <w:lang w:val="en-GB"/>
        </w:rPr>
        <w:footnoteReference w:id="218"/>
      </w:r>
      <w:r w:rsidRPr="00726D52">
        <w:rPr>
          <w:noProof/>
          <w:lang w:val="en-GB"/>
        </w:rPr>
        <w:t>.</w:t>
      </w:r>
    </w:p>
    <w:p w14:paraId="5BA0FECF"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These capabilities are particularly valuable for smaller or resource-constrained Member States</w:t>
      </w:r>
      <w:r w:rsidRPr="00726D52">
        <w:rPr>
          <w:rStyle w:val="FootnoteReference"/>
          <w:noProof/>
          <w:lang w:val="en-GB"/>
        </w:rPr>
        <w:footnoteReference w:id="219"/>
      </w:r>
      <w:r w:rsidRPr="00726D52">
        <w:rPr>
          <w:noProof/>
          <w:lang w:val="en-GB"/>
        </w:rPr>
        <w:t>.</w:t>
      </w:r>
    </w:p>
    <w:p w14:paraId="4A5C281C"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Operational case studies analysed during the evaluation</w:t>
      </w:r>
      <w:r w:rsidRPr="00726D52">
        <w:rPr>
          <w:rStyle w:val="FootnoteReference"/>
          <w:noProof/>
          <w:lang w:val="en-GB"/>
        </w:rPr>
        <w:footnoteReference w:id="220"/>
      </w:r>
      <w:r w:rsidRPr="00726D52">
        <w:rPr>
          <w:noProof/>
          <w:lang w:val="en-GB"/>
        </w:rPr>
        <w:t xml:space="preserve"> show that Europol’s analytical and coordination capabilities can play a decisive role in complex investigations targeting criminal networks operating across several jurisdictions.</w:t>
      </w:r>
    </w:p>
    <w:p w14:paraId="4C7B9D00"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Europol also facilitates cooperation between EU law enforcement authorities and international partners. Consultations with external stakeholders indicate that Europol serves as an important gateway for cooperation with the European Union, reducing the need for multiple bilateral contacts with individual Member States</w:t>
      </w:r>
      <w:r w:rsidRPr="00726D52">
        <w:rPr>
          <w:rStyle w:val="FootnoteReference"/>
          <w:noProof/>
          <w:lang w:val="en-GB"/>
        </w:rPr>
        <w:footnoteReference w:id="221"/>
      </w:r>
      <w:r w:rsidRPr="00726D52">
        <w:rPr>
          <w:noProof/>
          <w:lang w:val="en-GB"/>
        </w:rPr>
        <w:t>.</w:t>
      </w:r>
    </w:p>
    <w:p w14:paraId="3D42F93E" w14:textId="77777777" w:rsidR="002E431C" w:rsidRPr="00726D52" w:rsidRDefault="002E431C" w:rsidP="002E431C">
      <w:pPr>
        <w:pStyle w:val="NormalWeb"/>
        <w:spacing w:before="0" w:beforeAutospacing="0" w:after="120" w:afterAutospacing="0"/>
        <w:jc w:val="both"/>
        <w:rPr>
          <w:noProof/>
          <w:lang w:val="en-GB"/>
        </w:rPr>
      </w:pPr>
      <w:r w:rsidRPr="00726D52">
        <w:rPr>
          <w:noProof/>
          <w:lang w:val="en-GB"/>
        </w:rPr>
        <w:t>High-level stakeholders</w:t>
      </w:r>
      <w:r w:rsidRPr="00726D52">
        <w:rPr>
          <w:rStyle w:val="FootnoteReference"/>
          <w:noProof/>
          <w:lang w:val="en-GB"/>
        </w:rPr>
        <w:footnoteReference w:id="222"/>
      </w:r>
      <w:r w:rsidRPr="00726D52">
        <w:rPr>
          <w:noProof/>
          <w:lang w:val="en-GB"/>
        </w:rPr>
        <w:t xml:space="preserve"> also emphasised Europol’s central role in facilitating information exchange and analytical cooperation across the Union.</w:t>
      </w:r>
    </w:p>
    <w:p w14:paraId="2A6C34BB" w14:textId="6656C0BE" w:rsidR="020CA063" w:rsidRPr="00726D52" w:rsidRDefault="002E431C" w:rsidP="002E431C">
      <w:pPr>
        <w:spacing w:before="240"/>
        <w:rPr>
          <w:noProof/>
        </w:rPr>
      </w:pPr>
      <w:r w:rsidRPr="00726D52">
        <w:rPr>
          <w:noProof/>
        </w:rPr>
        <w:t>Overall, the evaluation concludes that the intervention provides clear EU added value by enabling coordinated operational responses to cross-border criminal threats that would be significantly more difficult to achieve through national or bilateral cooperation mechanisms alone.</w:t>
      </w:r>
    </w:p>
    <w:p w14:paraId="13510A32" w14:textId="4D25A5B8" w:rsidR="00D20FD1" w:rsidRPr="00726D52" w:rsidRDefault="6F41531A" w:rsidP="009502B2">
      <w:pPr>
        <w:pStyle w:val="Heading3"/>
        <w:numPr>
          <w:ilvl w:val="1"/>
          <w:numId w:val="34"/>
        </w:numPr>
        <w:tabs>
          <w:tab w:val="clear" w:pos="9007"/>
        </w:tabs>
        <w:rPr>
          <w:noProof/>
        </w:rPr>
      </w:pPr>
      <w:r w:rsidRPr="00726D52">
        <w:rPr>
          <w:noProof/>
        </w:rPr>
        <w:t>Is the intervention still relevant?</w:t>
      </w:r>
    </w:p>
    <w:p w14:paraId="40212EE5" w14:textId="77777777" w:rsidR="00EF6398" w:rsidRPr="00726D52" w:rsidRDefault="00EF6398" w:rsidP="00EF6398">
      <w:pPr>
        <w:spacing w:before="120" w:after="0"/>
        <w:rPr>
          <w:rFonts w:eastAsia="Times New Roman"/>
          <w:noProof/>
        </w:rPr>
      </w:pPr>
      <w:r w:rsidRPr="00726D52">
        <w:rPr>
          <w:rFonts w:eastAsia="Times New Roman"/>
          <w:noProof/>
        </w:rPr>
        <w:t>The relevance criterion assesses whether the objectives of the intervention remain appropriate in the context of evolving crime threats and operational needs.</w:t>
      </w:r>
    </w:p>
    <w:p w14:paraId="5410CF46" w14:textId="77777777" w:rsidR="00EF6398" w:rsidRPr="00726D52" w:rsidRDefault="00EF6398" w:rsidP="00EF6398">
      <w:pPr>
        <w:spacing w:before="120" w:after="0"/>
        <w:rPr>
          <w:rFonts w:eastAsia="Times New Roman"/>
          <w:noProof/>
        </w:rPr>
      </w:pPr>
      <w:r w:rsidRPr="00726D52">
        <w:rPr>
          <w:rFonts w:eastAsia="Times New Roman"/>
          <w:noProof/>
        </w:rPr>
        <w:t>Evidence from Europol threat assessments</w:t>
      </w:r>
      <w:r w:rsidRPr="00726D52">
        <w:rPr>
          <w:rStyle w:val="FootnoteReference"/>
          <w:rFonts w:eastAsia="Times New Roman"/>
          <w:noProof/>
        </w:rPr>
        <w:footnoteReference w:id="223"/>
      </w:r>
      <w:r w:rsidRPr="00726D52">
        <w:rPr>
          <w:rFonts w:eastAsia="Times New Roman"/>
          <w:noProof/>
        </w:rPr>
        <w:t xml:space="preserve"> indicates that organised crime groups increasingly operate across national borders and rely heavily on digital technologies, encrypted communication services and global financial systems to conduct illicit activities.</w:t>
      </w:r>
    </w:p>
    <w:p w14:paraId="23EC803B" w14:textId="77777777" w:rsidR="00EF6398" w:rsidRPr="00726D52" w:rsidRDefault="00EF6398" w:rsidP="00EF6398">
      <w:pPr>
        <w:spacing w:before="120" w:after="0"/>
        <w:rPr>
          <w:rFonts w:eastAsia="Times New Roman"/>
          <w:noProof/>
        </w:rPr>
      </w:pPr>
      <w:r w:rsidRPr="00726D52">
        <w:rPr>
          <w:rFonts w:eastAsia="Times New Roman"/>
          <w:noProof/>
        </w:rPr>
        <w:lastRenderedPageBreak/>
        <w:t>Stakeholder consultations conducted during the evaluation</w:t>
      </w:r>
      <w:r w:rsidRPr="00726D52">
        <w:rPr>
          <w:rStyle w:val="FootnoteReference"/>
          <w:rFonts w:eastAsia="Times New Roman"/>
          <w:noProof/>
        </w:rPr>
        <w:footnoteReference w:id="224"/>
      </w:r>
      <w:r w:rsidRPr="00726D52">
        <w:rPr>
          <w:rFonts w:eastAsia="Times New Roman"/>
          <w:noProof/>
        </w:rPr>
        <w:t xml:space="preserve"> indicate strong support for Europol’s role in facilitating cross-border operational cooperation and providing analytical support to Member States. In particular, respondents to the public consultation and call for evidence emphasised the growing importance of EU-level coordination mechanisms in addressing technologically sophisticated forms of criminal activity, including cybercrime and online financial fraud</w:t>
      </w:r>
      <w:r w:rsidRPr="00726D52">
        <w:rPr>
          <w:rStyle w:val="FootnoteReference"/>
          <w:rFonts w:eastAsia="Times New Roman"/>
          <w:noProof/>
        </w:rPr>
        <w:footnoteReference w:id="225"/>
      </w:r>
      <w:r w:rsidRPr="00726D52">
        <w:rPr>
          <w:rFonts w:eastAsia="Times New Roman"/>
          <w:noProof/>
        </w:rPr>
        <w:t>.</w:t>
      </w:r>
    </w:p>
    <w:p w14:paraId="43001C11" w14:textId="77777777" w:rsidR="00EF6398" w:rsidRPr="00726D52" w:rsidRDefault="00EF6398" w:rsidP="00EF6398">
      <w:pPr>
        <w:spacing w:before="120" w:after="0"/>
        <w:rPr>
          <w:rFonts w:eastAsia="Times New Roman"/>
          <w:noProof/>
        </w:rPr>
      </w:pPr>
      <w:r w:rsidRPr="00726D52">
        <w:rPr>
          <w:rFonts w:eastAsia="Times New Roman"/>
          <w:noProof/>
        </w:rPr>
        <w:t>Focus group discussions with Member States and EU agencies</w:t>
      </w:r>
      <w:r w:rsidRPr="00726D52">
        <w:rPr>
          <w:rStyle w:val="FootnoteReference"/>
          <w:rFonts w:eastAsia="Times New Roman"/>
          <w:noProof/>
        </w:rPr>
        <w:footnoteReference w:id="226"/>
      </w:r>
      <w:r w:rsidRPr="00726D52">
        <w:rPr>
          <w:rFonts w:eastAsia="Times New Roman"/>
          <w:noProof/>
        </w:rPr>
        <w:t xml:space="preserve"> highlighted the </w:t>
      </w:r>
      <w:r w:rsidRPr="00726D52">
        <w:rPr>
          <w:rFonts w:eastAsia="Times New Roman"/>
          <w:b/>
          <w:bCs/>
          <w:noProof/>
        </w:rPr>
        <w:t>increasing importance of EU-level coordination mechanisms</w:t>
      </w:r>
      <w:r w:rsidRPr="00726D52">
        <w:rPr>
          <w:rFonts w:eastAsia="Times New Roman"/>
          <w:noProof/>
        </w:rPr>
        <w:t xml:space="preserve"> in addressing technologically sophisticated forms of criminal activity, including cybercrime and online financial fraud. Focus group discussions</w:t>
      </w:r>
      <w:r w:rsidRPr="00726D52">
        <w:rPr>
          <w:rStyle w:val="FootnoteReference"/>
          <w:rFonts w:eastAsia="Times New Roman"/>
          <w:noProof/>
        </w:rPr>
        <w:footnoteReference w:id="227"/>
      </w:r>
      <w:r w:rsidRPr="00726D52">
        <w:rPr>
          <w:rFonts w:eastAsia="Times New Roman"/>
          <w:noProof/>
        </w:rPr>
        <w:t xml:space="preserve"> similarly highlighted the increasing complexity of criminal investigations involving digital evidence, large datasets and cross-border financial flows.</w:t>
      </w:r>
    </w:p>
    <w:p w14:paraId="7641A0B3" w14:textId="77777777" w:rsidR="00EF6398" w:rsidRPr="00726D52" w:rsidRDefault="00EF6398" w:rsidP="00EF6398">
      <w:pPr>
        <w:spacing w:before="120" w:after="0"/>
        <w:rPr>
          <w:rFonts w:eastAsia="Times New Roman"/>
          <w:noProof/>
        </w:rPr>
      </w:pPr>
      <w:r w:rsidRPr="00726D52">
        <w:rPr>
          <w:rFonts w:eastAsia="Times New Roman"/>
          <w:noProof/>
        </w:rPr>
        <w:t>At the same time, stakeholders identified areas where evolving operational needs may require further adaptation of the legal framework. These include:</w:t>
      </w:r>
    </w:p>
    <w:p w14:paraId="4EBEDBC7" w14:textId="77777777" w:rsidR="00EF6398" w:rsidRPr="00726D52" w:rsidRDefault="00EF6398" w:rsidP="009502B2">
      <w:pPr>
        <w:numPr>
          <w:ilvl w:val="0"/>
          <w:numId w:val="77"/>
        </w:numPr>
        <w:spacing w:before="120" w:after="0"/>
        <w:rPr>
          <w:rFonts w:eastAsia="Times New Roman"/>
          <w:noProof/>
        </w:rPr>
      </w:pPr>
      <w:r w:rsidRPr="00726D52">
        <w:rPr>
          <w:rFonts w:eastAsia="Times New Roman"/>
          <w:noProof/>
        </w:rPr>
        <w:t>the increasing volume of digital evidence in criminal investigations</w:t>
      </w:r>
    </w:p>
    <w:p w14:paraId="0B0238BD" w14:textId="77777777" w:rsidR="00EF6398" w:rsidRPr="00726D52" w:rsidRDefault="00EF6398" w:rsidP="009502B2">
      <w:pPr>
        <w:numPr>
          <w:ilvl w:val="0"/>
          <w:numId w:val="77"/>
        </w:numPr>
        <w:spacing w:before="120" w:after="0"/>
        <w:rPr>
          <w:rFonts w:eastAsia="Times New Roman"/>
          <w:noProof/>
        </w:rPr>
      </w:pPr>
      <w:r w:rsidRPr="00726D52">
        <w:rPr>
          <w:rFonts w:eastAsia="Times New Roman"/>
          <w:noProof/>
        </w:rPr>
        <w:t>the need to process large and complex datasets</w:t>
      </w:r>
    </w:p>
    <w:p w14:paraId="6F475D29" w14:textId="77777777" w:rsidR="00EF6398" w:rsidRPr="00726D52" w:rsidRDefault="00EF6398" w:rsidP="009502B2">
      <w:pPr>
        <w:numPr>
          <w:ilvl w:val="0"/>
          <w:numId w:val="77"/>
        </w:numPr>
        <w:spacing w:before="120" w:after="0"/>
        <w:rPr>
          <w:rFonts w:eastAsia="Times New Roman"/>
          <w:noProof/>
        </w:rPr>
      </w:pPr>
      <w:r w:rsidRPr="00726D52">
        <w:rPr>
          <w:rFonts w:eastAsia="Times New Roman"/>
          <w:noProof/>
        </w:rPr>
        <w:t>the growing importance of cooperation with private sector actors</w:t>
      </w:r>
    </w:p>
    <w:p w14:paraId="1FCDD812" w14:textId="77777777" w:rsidR="00EF6398" w:rsidRPr="00726D52" w:rsidRDefault="00EF6398" w:rsidP="009502B2">
      <w:pPr>
        <w:numPr>
          <w:ilvl w:val="0"/>
          <w:numId w:val="77"/>
        </w:numPr>
        <w:spacing w:before="120" w:after="0"/>
        <w:rPr>
          <w:rFonts w:eastAsia="Times New Roman"/>
          <w:noProof/>
        </w:rPr>
      </w:pPr>
      <w:r w:rsidRPr="00726D52">
        <w:rPr>
          <w:rFonts w:eastAsia="Times New Roman"/>
          <w:noProof/>
        </w:rPr>
        <w:t>the rapid technological evolution of criminal methods.</w:t>
      </w:r>
    </w:p>
    <w:p w14:paraId="780258BC" w14:textId="010EA9DF" w:rsidR="020CA063" w:rsidRPr="00726D52" w:rsidRDefault="00EF6398" w:rsidP="00EF6398">
      <w:pPr>
        <w:spacing w:before="240"/>
        <w:rPr>
          <w:noProof/>
        </w:rPr>
      </w:pPr>
      <w:r w:rsidRPr="00726D52">
        <w:rPr>
          <w:rFonts w:eastAsia="Times New Roman"/>
          <w:noProof/>
        </w:rPr>
        <w:t xml:space="preserve">Overall, the evaluation finds that </w:t>
      </w:r>
      <w:r w:rsidRPr="00726D52">
        <w:rPr>
          <w:rFonts w:eastAsia="Times New Roman"/>
          <w:b/>
          <w:bCs/>
          <w:noProof/>
        </w:rPr>
        <w:t>the objectives of Regulation (EU) 2016/794 remain highly relevant</w:t>
      </w:r>
      <w:r w:rsidRPr="00726D52">
        <w:rPr>
          <w:rFonts w:eastAsia="Times New Roman"/>
          <w:noProof/>
        </w:rPr>
        <w:t>, as the increasingly transnational and digital nature of serious crime continues to require strong EU-level mechanisms supporting operational cooperation between Member States.</w:t>
      </w:r>
    </w:p>
    <w:p w14:paraId="4FBC7F4A" w14:textId="3AC611EE" w:rsidR="00D20FD1" w:rsidRPr="00726D52" w:rsidRDefault="6F41531A" w:rsidP="009502B2">
      <w:pPr>
        <w:pStyle w:val="Heading2"/>
        <w:numPr>
          <w:ilvl w:val="0"/>
          <w:numId w:val="34"/>
        </w:numPr>
        <w:rPr>
          <w:noProof/>
        </w:rPr>
      </w:pPr>
      <w:r w:rsidRPr="00726D52">
        <w:rPr>
          <w:noProof/>
        </w:rPr>
        <w:t>What are the conclusions and lessons learned</w:t>
      </w:r>
    </w:p>
    <w:p w14:paraId="0D56667A" w14:textId="35958D16" w:rsidR="00D20FD1" w:rsidRPr="00726D52" w:rsidRDefault="6D3B2B74" w:rsidP="009502B2">
      <w:pPr>
        <w:pStyle w:val="Heading3"/>
        <w:numPr>
          <w:ilvl w:val="1"/>
          <w:numId w:val="34"/>
        </w:numPr>
        <w:tabs>
          <w:tab w:val="clear" w:pos="9007"/>
        </w:tabs>
        <w:rPr>
          <w:noProof/>
        </w:rPr>
      </w:pPr>
      <w:r w:rsidRPr="00726D52">
        <w:rPr>
          <w:noProof/>
        </w:rPr>
        <w:t>C</w:t>
      </w:r>
      <w:r w:rsidR="5ED51577" w:rsidRPr="00726D52">
        <w:rPr>
          <w:noProof/>
        </w:rPr>
        <w:t>onclusions</w:t>
      </w:r>
    </w:p>
    <w:p w14:paraId="531B4F1C" w14:textId="77777777" w:rsidR="00D07E42" w:rsidRPr="00726D52" w:rsidRDefault="00D07E42" w:rsidP="00D07E42">
      <w:pPr>
        <w:spacing w:before="120" w:after="0"/>
        <w:rPr>
          <w:rFonts w:eastAsia="Times New Roman"/>
          <w:noProof/>
        </w:rPr>
      </w:pPr>
      <w:r w:rsidRPr="00726D52">
        <w:rPr>
          <w:rFonts w:eastAsia="Times New Roman"/>
          <w:noProof/>
        </w:rPr>
        <w:t xml:space="preserve">The evaluation concludes that Regulation (EU) 2016/794 has </w:t>
      </w:r>
      <w:r w:rsidRPr="00726D52">
        <w:rPr>
          <w:rFonts w:eastAsia="Times New Roman"/>
          <w:b/>
          <w:bCs/>
          <w:noProof/>
        </w:rPr>
        <w:t>substantially strengthened</w:t>
      </w:r>
      <w:r w:rsidRPr="00726D52">
        <w:rPr>
          <w:rFonts w:eastAsia="Times New Roman"/>
          <w:noProof/>
        </w:rPr>
        <w:t xml:space="preserve"> the European Union’s capacity to prevent and combat serious and organised crime and terrorism with a cross-border dimension. Europol has consolidated its role as a central operational and analytical hub within the EU’s internal security architecture, providing clear added value to Member States’ law enforcement cooperation. </w:t>
      </w:r>
    </w:p>
    <w:p w14:paraId="59B6D56A" w14:textId="77777777" w:rsidR="00D07E42" w:rsidRPr="00726D52" w:rsidRDefault="00D07E42" w:rsidP="00D07E42">
      <w:pPr>
        <w:spacing w:before="120" w:after="0"/>
        <w:rPr>
          <w:noProof/>
        </w:rPr>
      </w:pPr>
      <w:r w:rsidRPr="00726D52">
        <w:rPr>
          <w:rFonts w:eastAsia="Times New Roman"/>
          <w:noProof/>
        </w:rPr>
        <w:t xml:space="preserve">The evidence presented in Sections 3 and 4 indicates that the intervention has </w:t>
      </w:r>
      <w:r w:rsidRPr="00726D52">
        <w:rPr>
          <w:rFonts w:eastAsia="Times New Roman"/>
          <w:b/>
          <w:bCs/>
          <w:noProof/>
        </w:rPr>
        <w:t>largely achieved its objectives</w:t>
      </w:r>
      <w:r w:rsidRPr="00726D52">
        <w:rPr>
          <w:rFonts w:eastAsia="Times New Roman"/>
          <w:noProof/>
        </w:rPr>
        <w:t xml:space="preserve">. </w:t>
      </w:r>
      <w:r w:rsidRPr="00726D52">
        <w:rPr>
          <w:noProof/>
        </w:rPr>
        <w:t>Europol has enhanced the quality, scale and intensity of cross-border information exchange and operational coordination among Member States. The growing use of Europol’s information systems, notably SIENA and the Europol Information System, illustrates the increasing reliance of national authorities on Europol as a platform for secure information exchange and analytical support. Europol’s strategic threat assessments, including SOCTA, IOCTA and TE-SAT, have become key tools for identifying EU crime priorities and informing operational planning at EU level.</w:t>
      </w:r>
    </w:p>
    <w:p w14:paraId="56262118" w14:textId="77777777" w:rsidR="00D07E42" w:rsidRPr="00726D52" w:rsidRDefault="00D07E42" w:rsidP="00D07E42">
      <w:pPr>
        <w:spacing w:before="120" w:after="0"/>
        <w:rPr>
          <w:rFonts w:eastAsia="Times New Roman"/>
          <w:noProof/>
        </w:rPr>
      </w:pPr>
      <w:r w:rsidRPr="00726D52">
        <w:rPr>
          <w:rFonts w:eastAsia="Times New Roman"/>
          <w:noProof/>
        </w:rPr>
        <w:lastRenderedPageBreak/>
        <w:t>Europol’s specialised centres, such as the European Cybercrime Centre (EC3) and the European Counter Terrorism Centre (ECTC), have strengthened the Union’s capacity to address emerging and technically complex threats by providing specialised expertise and analytical capabilities that many Member States could not sustain independently. In addition, Europol’s operational support to mechanisms such as Joint Investigation Teams (JITs), Joint Action Days (JADs) and Operational Task Forces (OTFs) has facilitated coordinated enforcement actions, accelerated evidence collection and reduced duplication of investigative efforts across jurisdictions.</w:t>
      </w:r>
    </w:p>
    <w:p w14:paraId="0FD06A8A" w14:textId="77777777" w:rsidR="00D07E42" w:rsidRPr="00726D52" w:rsidRDefault="00D07E42" w:rsidP="00D07E42">
      <w:pPr>
        <w:spacing w:before="120" w:after="0"/>
        <w:rPr>
          <w:rFonts w:eastAsia="Times New Roman"/>
          <w:noProof/>
        </w:rPr>
      </w:pPr>
      <w:r w:rsidRPr="00726D52">
        <w:rPr>
          <w:rFonts w:eastAsia="Times New Roman"/>
          <w:noProof/>
        </w:rPr>
        <w:t>The evaluation also finds that Europol operates efficiently by centralising specialised ICT systems, analytical capabilities and operational coordination at EU level, generating economies of scale that individual Member States would struggle to achieve alone. Increased resources have enabled Europol to expand its outputs, particularly in information exchange and operational support. However, the continued growth in operational demand and the increasing complexity of transnational crime create pressures on Europol’s resources and risk shifting the balance towards reactive operational support at the expense of strategic foresight.</w:t>
      </w:r>
    </w:p>
    <w:p w14:paraId="4993FB49" w14:textId="77777777" w:rsidR="00D07E42" w:rsidRPr="00726D52" w:rsidRDefault="00D07E42" w:rsidP="00D07E42">
      <w:pPr>
        <w:spacing w:before="120" w:after="0"/>
        <w:rPr>
          <w:rFonts w:eastAsia="Times New Roman"/>
          <w:noProof/>
        </w:rPr>
      </w:pPr>
      <w:r w:rsidRPr="00726D52">
        <w:rPr>
          <w:rFonts w:eastAsia="Times New Roman"/>
          <w:noProof/>
        </w:rPr>
        <w:t xml:space="preserve">The evaluation also finds that the intervention contributed to strengthening Europol’s role within the EU internal security architecture. Cooperation between Europol and other EU actors, including </w:t>
      </w:r>
      <w:r w:rsidRPr="00726D52">
        <w:rPr>
          <w:rFonts w:eastAsia="Times New Roman"/>
          <w:b/>
          <w:bCs/>
          <w:noProof/>
        </w:rPr>
        <w:t>Eurojust</w:t>
      </w:r>
      <w:r w:rsidRPr="00726D52">
        <w:rPr>
          <w:rFonts w:eastAsia="Times New Roman"/>
          <w:noProof/>
        </w:rPr>
        <w:t xml:space="preserve">, </w:t>
      </w:r>
      <w:r w:rsidRPr="00726D52">
        <w:rPr>
          <w:rFonts w:eastAsia="Times New Roman"/>
          <w:b/>
          <w:bCs/>
          <w:noProof/>
        </w:rPr>
        <w:t>Frontex</w:t>
      </w:r>
      <w:r w:rsidRPr="00726D52">
        <w:rPr>
          <w:rFonts w:eastAsia="Times New Roman"/>
          <w:noProof/>
        </w:rPr>
        <w:t xml:space="preserve">, </w:t>
      </w:r>
      <w:r w:rsidRPr="00726D52">
        <w:rPr>
          <w:rFonts w:eastAsia="Times New Roman"/>
          <w:b/>
          <w:bCs/>
          <w:noProof/>
        </w:rPr>
        <w:t>European Public Prosecutor’s Office</w:t>
      </w:r>
      <w:r w:rsidRPr="00726D52">
        <w:rPr>
          <w:rFonts w:eastAsia="Times New Roman"/>
          <w:noProof/>
        </w:rPr>
        <w:t xml:space="preserve"> and </w:t>
      </w:r>
      <w:r w:rsidRPr="00726D52">
        <w:rPr>
          <w:rFonts w:eastAsia="Times New Roman"/>
          <w:b/>
          <w:bCs/>
          <w:noProof/>
        </w:rPr>
        <w:t>CEPOL</w:t>
      </w:r>
      <w:r w:rsidRPr="00726D52">
        <w:rPr>
          <w:rFonts w:eastAsia="Times New Roman"/>
          <w:noProof/>
        </w:rPr>
        <w:t>, expanded during the evaluation period. Europol also increased its engagement with international partners and private-sector actors in areas such as cybercrime and online fraud.</w:t>
      </w:r>
    </w:p>
    <w:p w14:paraId="4D1C007A" w14:textId="77777777" w:rsidR="00D07E42" w:rsidRPr="00726D52" w:rsidRDefault="00D07E42" w:rsidP="00D07E42">
      <w:pPr>
        <w:spacing w:before="120" w:after="0"/>
        <w:rPr>
          <w:rFonts w:eastAsia="Times New Roman"/>
          <w:noProof/>
        </w:rPr>
      </w:pPr>
      <w:r w:rsidRPr="00726D52">
        <w:rPr>
          <w:rFonts w:eastAsia="Times New Roman"/>
          <w:noProof/>
        </w:rPr>
        <w:t xml:space="preserve">The Regulation remains </w:t>
      </w:r>
      <w:r w:rsidRPr="00726D52">
        <w:rPr>
          <w:rFonts w:eastAsia="Times New Roman"/>
          <w:b/>
          <w:bCs/>
          <w:noProof/>
        </w:rPr>
        <w:t>highly relevant to the evolving security landscape</w:t>
      </w:r>
      <w:r w:rsidRPr="00726D52">
        <w:rPr>
          <w:rFonts w:eastAsia="Times New Roman"/>
          <w:noProof/>
        </w:rPr>
        <w:t>. Serious and organised crime and terrorism continue to operate increasingly across borders, with digitalisation further expanding the scale and reach of criminal activities. Europol’s mandate remains broadly aligned with these challenges, although emerging threats such as large-scale cyber-enabled fraud and the use of artificial intelligence in criminal activities may require further adaptation of the legal framework.</w:t>
      </w:r>
    </w:p>
    <w:p w14:paraId="464B23CF" w14:textId="77777777" w:rsidR="00D07E42" w:rsidRPr="00726D52" w:rsidRDefault="00D07E42" w:rsidP="00D07E42">
      <w:pPr>
        <w:spacing w:before="120" w:after="0"/>
        <w:rPr>
          <w:rFonts w:eastAsia="Times New Roman"/>
          <w:noProof/>
        </w:rPr>
      </w:pPr>
      <w:r w:rsidRPr="00726D52">
        <w:rPr>
          <w:rFonts w:eastAsia="Times New Roman"/>
          <w:noProof/>
        </w:rPr>
        <w:t>The evaluation finds that the Regulation is coherent both internally and with the broader EU legal framework governing police cooperation. Europol’s mandate complements other EU instruments and agencies, contributing to a more integrated European security architecture while maintaining safeguards for fundamental rights.</w:t>
      </w:r>
    </w:p>
    <w:p w14:paraId="43362A09" w14:textId="2063144A" w:rsidR="70B8E511" w:rsidRPr="00726D52" w:rsidRDefault="00D07E42" w:rsidP="00D07E42">
      <w:pPr>
        <w:spacing w:before="120"/>
        <w:rPr>
          <w:noProof/>
        </w:rPr>
      </w:pPr>
      <w:r w:rsidRPr="00726D52">
        <w:rPr>
          <w:rFonts w:eastAsia="Times New Roman"/>
          <w:noProof/>
        </w:rPr>
        <w:t xml:space="preserve">Finally, the evaluation confirms that Europol generates </w:t>
      </w:r>
      <w:r w:rsidRPr="00726D52">
        <w:rPr>
          <w:rFonts w:eastAsia="Times New Roman"/>
          <w:b/>
          <w:bCs/>
          <w:noProof/>
        </w:rPr>
        <w:t>clear EU added value</w:t>
      </w:r>
      <w:r w:rsidRPr="00726D52">
        <w:rPr>
          <w:rFonts w:eastAsia="Times New Roman"/>
          <w:noProof/>
        </w:rPr>
        <w:t>. By providing EU-wide criminal intelligence, facilitating operational coordination and enabling cooperation with private sector partners and third countries, Europol supports a more coherent and effective European response to transnational crime. These benefits are particularly significant for smaller Member States that may lack the capacity to develop comparable capabilities at national level. At the same time, Europol’s effectiveness continues to depend on the timely and comprehensive sharing of information by Member States, highlighting the importance of sustained engagement across the EU law enforcement community.</w:t>
      </w:r>
    </w:p>
    <w:p w14:paraId="75B9A2D3" w14:textId="1A4E1848" w:rsidR="00D20FD1" w:rsidRPr="00726D52" w:rsidRDefault="1FD594E8" w:rsidP="009502B2">
      <w:pPr>
        <w:pStyle w:val="Heading3"/>
        <w:numPr>
          <w:ilvl w:val="1"/>
          <w:numId w:val="34"/>
        </w:numPr>
        <w:tabs>
          <w:tab w:val="clear" w:pos="9007"/>
        </w:tabs>
        <w:rPr>
          <w:noProof/>
        </w:rPr>
      </w:pPr>
      <w:r w:rsidRPr="00726D52">
        <w:rPr>
          <w:noProof/>
        </w:rPr>
        <w:t>L</w:t>
      </w:r>
      <w:r w:rsidR="38E3C40E" w:rsidRPr="00726D52">
        <w:rPr>
          <w:noProof/>
        </w:rPr>
        <w:t>esson</w:t>
      </w:r>
      <w:r w:rsidR="5A7B9CFB" w:rsidRPr="00726D52">
        <w:rPr>
          <w:noProof/>
        </w:rPr>
        <w:t>s</w:t>
      </w:r>
      <w:r w:rsidR="5ED51577" w:rsidRPr="00726D52">
        <w:rPr>
          <w:noProof/>
        </w:rPr>
        <w:t xml:space="preserve"> learn</w:t>
      </w:r>
      <w:r w:rsidR="688F38EE" w:rsidRPr="00726D52">
        <w:rPr>
          <w:noProof/>
        </w:rPr>
        <w:t>e</w:t>
      </w:r>
      <w:r w:rsidR="5ED51577" w:rsidRPr="00726D52">
        <w:rPr>
          <w:noProof/>
        </w:rPr>
        <w:t xml:space="preserve">d </w:t>
      </w:r>
    </w:p>
    <w:p w14:paraId="7EBE5D20" w14:textId="77777777" w:rsidR="00E13B69" w:rsidRPr="00726D52" w:rsidRDefault="00E13B69" w:rsidP="00E13B69">
      <w:pPr>
        <w:pStyle w:val="NormalWeb"/>
        <w:spacing w:before="0" w:beforeAutospacing="0" w:after="120" w:afterAutospacing="0"/>
        <w:jc w:val="both"/>
        <w:rPr>
          <w:noProof/>
          <w:lang w:val="en-GB"/>
        </w:rPr>
      </w:pPr>
      <w:r w:rsidRPr="00726D52">
        <w:rPr>
          <w:noProof/>
          <w:lang w:val="en-GB"/>
        </w:rPr>
        <w:t>Several lessons emerge from the evaluation.</w:t>
      </w:r>
    </w:p>
    <w:p w14:paraId="68078B4F" w14:textId="77777777" w:rsidR="00E13B69" w:rsidRPr="00726D52" w:rsidRDefault="00E13B69" w:rsidP="00E13B69">
      <w:pPr>
        <w:pStyle w:val="NormalWeb"/>
        <w:spacing w:before="0" w:beforeAutospacing="0" w:after="120" w:afterAutospacing="0"/>
        <w:jc w:val="both"/>
        <w:rPr>
          <w:noProof/>
          <w:lang w:val="en-GB"/>
        </w:rPr>
      </w:pPr>
      <w:r w:rsidRPr="00726D52">
        <w:rPr>
          <w:noProof/>
          <w:lang w:val="en-GB"/>
        </w:rPr>
        <w:lastRenderedPageBreak/>
        <w:t xml:space="preserve">First, the evaluation confirms the </w:t>
      </w:r>
      <w:r w:rsidRPr="00726D52">
        <w:rPr>
          <w:rStyle w:val="Strong"/>
          <w:rFonts w:eastAsiaTheme="majorEastAsia"/>
          <w:noProof/>
          <w:lang w:val="en-GB"/>
        </w:rPr>
        <w:t>continued importance of EU-level mechanisms for criminal intelligence exchange and operational coordination</w:t>
      </w:r>
      <w:r w:rsidRPr="00726D52">
        <w:rPr>
          <w:noProof/>
          <w:lang w:val="en-GB"/>
        </w:rPr>
        <w:t>. The transnational nature of serious and organised crime means that effective investigations increasingly require structured cooperation between multiple jurisdictions. Europol’s systems and analytical capabilities play a central role in enabling such cooperation.</w:t>
      </w:r>
    </w:p>
    <w:p w14:paraId="04784B1E" w14:textId="77777777" w:rsidR="00E13B69" w:rsidRPr="00726D52" w:rsidRDefault="00E13B69" w:rsidP="00E13B69">
      <w:pPr>
        <w:pStyle w:val="NormalWeb"/>
        <w:spacing w:before="0" w:beforeAutospacing="0" w:after="120" w:afterAutospacing="0"/>
        <w:jc w:val="both"/>
        <w:rPr>
          <w:noProof/>
          <w:lang w:val="en-GB"/>
        </w:rPr>
      </w:pPr>
      <w:r w:rsidRPr="00726D52">
        <w:rPr>
          <w:noProof/>
          <w:lang w:val="en-GB"/>
        </w:rPr>
        <w:t xml:space="preserve">Second, the evaluation highlights the </w:t>
      </w:r>
      <w:r w:rsidRPr="00726D52">
        <w:rPr>
          <w:rStyle w:val="Strong"/>
          <w:rFonts w:eastAsiaTheme="majorEastAsia"/>
          <w:noProof/>
          <w:lang w:val="en-GB"/>
        </w:rPr>
        <w:t>growing importance of advanced analytical capabilities and technological tools</w:t>
      </w:r>
      <w:r w:rsidRPr="00726D52">
        <w:rPr>
          <w:noProof/>
          <w:lang w:val="en-GB"/>
        </w:rPr>
        <w:t xml:space="preserve"> in criminal investigations. The increasing volume of digital evidence and the use of encrypted communications by criminal networks require specialised expertise and technological capabilities. The development of innovation-related initiatives within Europol during the evaluation period reflects the need to adapt operational support to these technological developments.</w:t>
      </w:r>
    </w:p>
    <w:p w14:paraId="15E66337" w14:textId="77777777" w:rsidR="00E13B69" w:rsidRPr="00726D52" w:rsidRDefault="00E13B69" w:rsidP="00E13B69">
      <w:pPr>
        <w:pStyle w:val="NormalWeb"/>
        <w:spacing w:before="0" w:beforeAutospacing="0" w:after="120" w:afterAutospacing="0"/>
        <w:jc w:val="both"/>
        <w:rPr>
          <w:noProof/>
          <w:lang w:val="en-GB"/>
        </w:rPr>
      </w:pPr>
      <w:r w:rsidRPr="00726D52">
        <w:rPr>
          <w:noProof/>
          <w:lang w:val="en-GB"/>
        </w:rPr>
        <w:t xml:space="preserve">Third, the evaluation underlines the importance of </w:t>
      </w:r>
      <w:r w:rsidRPr="00726D52">
        <w:rPr>
          <w:rStyle w:val="Strong"/>
          <w:rFonts w:eastAsiaTheme="majorEastAsia"/>
          <w:noProof/>
          <w:lang w:val="en-GB"/>
        </w:rPr>
        <w:t>consistent and systematic information sharing</w:t>
      </w:r>
      <w:r w:rsidRPr="00726D52">
        <w:rPr>
          <w:noProof/>
          <w:lang w:val="en-GB"/>
        </w:rPr>
        <w:t xml:space="preserve"> between Member States. Differences in data-sharing practices may reduce the completeness of operational datasets and limit the effectiveness of analytical support. Stakeholders emphasised that more systematic use of Europol systems and automated data exchange could further improve operational cooperation.</w:t>
      </w:r>
    </w:p>
    <w:p w14:paraId="4278F9FD" w14:textId="77777777" w:rsidR="00E13B69" w:rsidRPr="00726D52" w:rsidRDefault="00E13B69" w:rsidP="00E13B69">
      <w:pPr>
        <w:pStyle w:val="NormalWeb"/>
        <w:spacing w:before="0" w:beforeAutospacing="0" w:after="120" w:afterAutospacing="0"/>
        <w:jc w:val="both"/>
        <w:rPr>
          <w:noProof/>
          <w:lang w:val="en-GB"/>
        </w:rPr>
      </w:pPr>
      <w:r w:rsidRPr="00726D52">
        <w:rPr>
          <w:noProof/>
          <w:lang w:val="en-GB"/>
        </w:rPr>
        <w:t xml:space="preserve">Fourth, the evaluation highlights the importance of </w:t>
      </w:r>
      <w:r w:rsidRPr="00726D52">
        <w:rPr>
          <w:rStyle w:val="Strong"/>
          <w:rFonts w:eastAsiaTheme="majorEastAsia"/>
          <w:noProof/>
          <w:lang w:val="en-GB"/>
        </w:rPr>
        <w:t>coherence across the EU internal security framework</w:t>
      </w:r>
      <w:r w:rsidRPr="00726D52">
        <w:rPr>
          <w:noProof/>
          <w:lang w:val="en-GB"/>
        </w:rPr>
        <w:t>. Effective cooperation between Europol and other EU actors depends on clear mandates, compatible data-protection frameworks and efficient mechanisms for information exchange. While cooperation between agencies is generally effective, stakeholders noted that differences in legal frameworks may sometimes affect operational coordination.</w:t>
      </w:r>
    </w:p>
    <w:p w14:paraId="361B43EA" w14:textId="77777777" w:rsidR="00E13B69" w:rsidRPr="00726D52" w:rsidRDefault="00E13B69" w:rsidP="00E13B69">
      <w:pPr>
        <w:pStyle w:val="NormalWeb"/>
        <w:spacing w:before="0" w:beforeAutospacing="0" w:after="120" w:afterAutospacing="0"/>
        <w:jc w:val="both"/>
        <w:rPr>
          <w:noProof/>
          <w:lang w:val="en-GB"/>
        </w:rPr>
      </w:pPr>
      <w:r w:rsidRPr="00726D52">
        <w:rPr>
          <w:noProof/>
          <w:lang w:val="en-GB"/>
        </w:rPr>
        <w:t xml:space="preserve">Finally, from a REFIT perspective, the evaluation suggests that </w:t>
      </w:r>
      <w:r w:rsidRPr="00726D52">
        <w:rPr>
          <w:rStyle w:val="Strong"/>
          <w:rFonts w:eastAsiaTheme="majorEastAsia"/>
          <w:noProof/>
          <w:lang w:val="en-GB"/>
        </w:rPr>
        <w:t>simplifying operational procedures and improving interoperability between information systems</w:t>
      </w:r>
      <w:r w:rsidRPr="00726D52">
        <w:rPr>
          <w:noProof/>
          <w:lang w:val="en-GB"/>
        </w:rPr>
        <w:t xml:space="preserve"> could reduce administrative burden and increase efficiency. Stakeholders identified opportunities to streamline certain operational processes and strengthen digital tools supporting information exchange and analytical cooperation.</w:t>
      </w:r>
    </w:p>
    <w:p w14:paraId="4570FBE8" w14:textId="4F093C27" w:rsidR="00D20FD1" w:rsidRPr="00726D52" w:rsidRDefault="00E13B69" w:rsidP="00E13B69">
      <w:pPr>
        <w:spacing w:before="240"/>
        <w:rPr>
          <w:noProof/>
        </w:rPr>
      </w:pPr>
      <w:r w:rsidRPr="00726D52">
        <w:rPr>
          <w:noProof/>
        </w:rPr>
        <w:t>Overall, the evaluation indicates that the legal framework established by the Europol Regulation continues to provide a relevant basis for supporting Member States in addressing serious and organised crime and terrorism with a cross-border dimension. The lessons identified in this evaluation may inform future reflections on how EU-level mechanisms for law-enforcement cooperation can continue to adapt to evolving security threats and operational needs</w:t>
      </w:r>
      <w:r w:rsidR="39B07735" w:rsidRPr="00726D52">
        <w:rPr>
          <w:rFonts w:eastAsia="Times New Roman"/>
          <w:noProof/>
        </w:rPr>
        <w:t>.</w:t>
      </w:r>
    </w:p>
    <w:p w14:paraId="52E08200" w14:textId="77777777" w:rsidR="000803D6" w:rsidRPr="00726D52" w:rsidRDefault="000803D6" w:rsidP="00E13B69">
      <w:pPr>
        <w:spacing w:before="240"/>
        <w:rPr>
          <w:rFonts w:eastAsia="Times New Roman"/>
          <w:noProof/>
        </w:rPr>
      </w:pPr>
    </w:p>
    <w:p w14:paraId="7E21DA0A" w14:textId="77777777" w:rsidR="000803D6" w:rsidRPr="00726D52" w:rsidRDefault="000803D6" w:rsidP="00E13B69">
      <w:pPr>
        <w:spacing w:before="240"/>
        <w:rPr>
          <w:rFonts w:eastAsia="Times New Roman"/>
          <w:noProof/>
        </w:rPr>
      </w:pPr>
    </w:p>
    <w:p w14:paraId="09FA33D9" w14:textId="77777777" w:rsidR="000803D6" w:rsidRPr="00726D52" w:rsidRDefault="000803D6" w:rsidP="00E13B69">
      <w:pPr>
        <w:spacing w:before="240"/>
        <w:rPr>
          <w:rFonts w:eastAsia="Times New Roman"/>
          <w:noProof/>
        </w:rPr>
      </w:pPr>
    </w:p>
    <w:p w14:paraId="0BCFD3C5" w14:textId="3901A618" w:rsidR="000803D6" w:rsidRPr="00726D52" w:rsidRDefault="000803D6" w:rsidP="289DEA4F">
      <w:pPr>
        <w:spacing w:before="240"/>
        <w:rPr>
          <w:rFonts w:eastAsia="Times New Roman"/>
          <w:noProof/>
        </w:rPr>
        <w:sectPr w:rsidR="000803D6" w:rsidRPr="00726D52" w:rsidSect="0053316B">
          <w:headerReference w:type="default" r:id="rId60"/>
          <w:footerReference w:type="default" r:id="rId61"/>
          <w:headerReference w:type="first" r:id="rId62"/>
          <w:footerReference w:type="first" r:id="rId63"/>
          <w:pgSz w:w="11906" w:h="16838"/>
          <w:pgMar w:top="1020" w:right="1701" w:bottom="1020" w:left="1587" w:header="601" w:footer="1077" w:gutter="0"/>
          <w:cols w:space="720"/>
          <w:titlePg/>
        </w:sectPr>
      </w:pPr>
    </w:p>
    <w:p w14:paraId="6ED7A353" w14:textId="66CE1D84" w:rsidR="00B91306" w:rsidRPr="00726D52" w:rsidRDefault="00B91306" w:rsidP="00B91306">
      <w:pPr>
        <w:pStyle w:val="Caption"/>
        <w:keepNext/>
        <w:rPr>
          <w:noProof/>
          <w:sz w:val="20"/>
          <w:szCs w:val="20"/>
        </w:rPr>
      </w:pPr>
      <w:r w:rsidRPr="00726D52">
        <w:rPr>
          <w:noProof/>
          <w:sz w:val="20"/>
          <w:szCs w:val="20"/>
        </w:rPr>
        <w:lastRenderedPageBreak/>
        <w:t xml:space="preserve">Table </w:t>
      </w:r>
      <w:r w:rsidRPr="00726D52">
        <w:rPr>
          <w:noProof/>
          <w:sz w:val="20"/>
          <w:szCs w:val="20"/>
        </w:rPr>
        <w:fldChar w:fldCharType="begin"/>
      </w:r>
      <w:r w:rsidRPr="00726D52">
        <w:rPr>
          <w:noProof/>
          <w:sz w:val="20"/>
          <w:szCs w:val="20"/>
        </w:rPr>
        <w:instrText xml:space="preserve"> SEQ Table \* ARABIC </w:instrText>
      </w:r>
      <w:r w:rsidRPr="00726D52">
        <w:rPr>
          <w:noProof/>
          <w:sz w:val="20"/>
          <w:szCs w:val="20"/>
        </w:rPr>
        <w:fldChar w:fldCharType="separate"/>
      </w:r>
      <w:r w:rsidRPr="00726D52">
        <w:rPr>
          <w:noProof/>
          <w:sz w:val="20"/>
          <w:szCs w:val="20"/>
        </w:rPr>
        <w:t>1</w:t>
      </w:r>
      <w:r w:rsidRPr="00726D52">
        <w:rPr>
          <w:noProof/>
          <w:sz w:val="20"/>
          <w:szCs w:val="20"/>
        </w:rPr>
        <w:fldChar w:fldCharType="end"/>
      </w:r>
      <w:r w:rsidRPr="00726D52">
        <w:rPr>
          <w:noProof/>
          <w:sz w:val="20"/>
          <w:szCs w:val="20"/>
        </w:rPr>
        <w:t>: Evaluation Matrix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70" w:type="dxa"/>
          <w:bottom w:w="170" w:type="dxa"/>
          <w:right w:w="170" w:type="dxa"/>
        </w:tblCellMar>
        <w:tblLook w:val="04A0" w:firstRow="1" w:lastRow="0" w:firstColumn="1" w:lastColumn="0" w:noHBand="0" w:noVBand="1"/>
      </w:tblPr>
      <w:tblGrid>
        <w:gridCol w:w="669"/>
        <w:gridCol w:w="3437"/>
        <w:gridCol w:w="3304"/>
        <w:gridCol w:w="3937"/>
        <w:gridCol w:w="3439"/>
      </w:tblGrid>
      <w:tr w:rsidR="00EB3457" w:rsidRPr="00726D52" w14:paraId="0C9CBBA1" w14:textId="77777777" w:rsidTr="289DEA4F">
        <w:trPr>
          <w:trHeight w:val="300"/>
        </w:trPr>
        <w:tc>
          <w:tcPr>
            <w:tcW w:w="15217" w:type="dxa"/>
            <w:gridSpan w:val="5"/>
            <w:shd w:val="clear" w:color="auto" w:fill="B7CFED"/>
            <w:hideMark/>
          </w:tcPr>
          <w:p w14:paraId="0C7C0371" w14:textId="77777777" w:rsidR="00EB3457" w:rsidRPr="00726D52" w:rsidRDefault="00EB3457" w:rsidP="00C05BFC">
            <w:pPr>
              <w:spacing w:before="120" w:after="120"/>
              <w:jc w:val="center"/>
              <w:rPr>
                <w:rFonts w:eastAsia="Times New Roman"/>
                <w:noProof/>
                <w:lang w:eastAsia="en-IE"/>
              </w:rPr>
            </w:pPr>
            <w:r w:rsidRPr="00726D52">
              <w:rPr>
                <w:rFonts w:eastAsia="Times New Roman"/>
                <w:b/>
                <w:bCs/>
                <w:noProof/>
                <w:lang w:eastAsia="en-IE"/>
              </w:rPr>
              <w:t>Evaluation questions</w:t>
            </w:r>
          </w:p>
        </w:tc>
      </w:tr>
      <w:tr w:rsidR="00726D52" w:rsidRPr="00726D52" w14:paraId="51744832" w14:textId="77777777" w:rsidTr="289DEA4F">
        <w:trPr>
          <w:trHeight w:val="300"/>
        </w:trPr>
        <w:tc>
          <w:tcPr>
            <w:tcW w:w="669" w:type="dxa"/>
            <w:shd w:val="clear" w:color="auto" w:fill="E1EBF7"/>
            <w:hideMark/>
          </w:tcPr>
          <w:p w14:paraId="73D6D516"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A</w:t>
            </w:r>
          </w:p>
        </w:tc>
        <w:tc>
          <w:tcPr>
            <w:tcW w:w="0" w:type="auto"/>
            <w:gridSpan w:val="4"/>
            <w:shd w:val="clear" w:color="auto" w:fill="E1EBF7"/>
            <w:hideMark/>
          </w:tcPr>
          <w:p w14:paraId="13B99420"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Effectiveness: To what extent has Europol progressed positively towards achieving the objectives under its mandate?</w:t>
            </w:r>
          </w:p>
        </w:tc>
      </w:tr>
      <w:tr w:rsidR="00AB422A" w:rsidRPr="00726D52" w14:paraId="4E4A7A61" w14:textId="77777777" w:rsidTr="289DEA4F">
        <w:trPr>
          <w:trHeight w:val="300"/>
        </w:trPr>
        <w:tc>
          <w:tcPr>
            <w:tcW w:w="669" w:type="dxa"/>
            <w:hideMark/>
          </w:tcPr>
          <w:p w14:paraId="75028552" w14:textId="77777777" w:rsidR="00EB3457" w:rsidRPr="00726D52" w:rsidRDefault="00EB3457" w:rsidP="00C05BFC">
            <w:pPr>
              <w:spacing w:after="0"/>
              <w:jc w:val="left"/>
              <w:textAlignment w:val="baseline"/>
              <w:rPr>
                <w:rFonts w:eastAsia="Times New Roman"/>
                <w:noProof/>
                <w:lang w:eastAsia="en-IE"/>
              </w:rPr>
            </w:pPr>
          </w:p>
        </w:tc>
        <w:tc>
          <w:tcPr>
            <w:tcW w:w="0" w:type="auto"/>
            <w:shd w:val="clear" w:color="auto" w:fill="83909B"/>
            <w:vAlign w:val="center"/>
            <w:hideMark/>
          </w:tcPr>
          <w:p w14:paraId="7CC18ED9"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Sub-questions</w:t>
            </w:r>
          </w:p>
        </w:tc>
        <w:tc>
          <w:tcPr>
            <w:tcW w:w="0" w:type="auto"/>
            <w:shd w:val="clear" w:color="auto" w:fill="83909B"/>
            <w:vAlign w:val="center"/>
            <w:hideMark/>
          </w:tcPr>
          <w:p w14:paraId="289228F9"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lang w:eastAsia="en-IE"/>
              </w:rPr>
              <w:t>Judgment criteria</w:t>
            </w:r>
          </w:p>
        </w:tc>
        <w:tc>
          <w:tcPr>
            <w:tcW w:w="0" w:type="auto"/>
            <w:shd w:val="clear" w:color="auto" w:fill="83909B"/>
            <w:vAlign w:val="center"/>
            <w:hideMark/>
          </w:tcPr>
          <w:p w14:paraId="0A3AA1F7" w14:textId="77777777" w:rsidR="00EB3457" w:rsidRPr="00726D52" w:rsidRDefault="00EB3457" w:rsidP="00C05BFC">
            <w:pPr>
              <w:spacing w:beforeAutospacing="1" w:after="0" w:afterAutospacing="1"/>
              <w:jc w:val="left"/>
              <w:textAlignment w:val="baseline"/>
              <w:rPr>
                <w:rFonts w:eastAsia="Times New Roman"/>
                <w:noProof/>
                <w:lang w:eastAsia="en-IE"/>
              </w:rPr>
            </w:pPr>
            <w:r w:rsidRPr="00726D52">
              <w:rPr>
                <w:rFonts w:eastAsia="Times New Roman"/>
                <w:b/>
                <w:bCs/>
                <w:noProof/>
                <w:lang w:eastAsia="en-IE"/>
              </w:rPr>
              <w:t>Indicators</w:t>
            </w:r>
          </w:p>
        </w:tc>
        <w:tc>
          <w:tcPr>
            <w:tcW w:w="0" w:type="auto"/>
            <w:shd w:val="clear" w:color="auto" w:fill="83909B"/>
            <w:vAlign w:val="center"/>
            <w:hideMark/>
          </w:tcPr>
          <w:p w14:paraId="06643B7A" w14:textId="77777777" w:rsidR="00EB3457" w:rsidRPr="00726D52" w:rsidRDefault="00EB3457" w:rsidP="00C05BFC">
            <w:pPr>
              <w:spacing w:beforeAutospacing="1" w:after="0" w:afterAutospacing="1"/>
              <w:jc w:val="left"/>
              <w:textAlignment w:val="baseline"/>
              <w:rPr>
                <w:rFonts w:eastAsia="Times New Roman"/>
                <w:noProof/>
                <w:lang w:eastAsia="en-IE"/>
              </w:rPr>
            </w:pPr>
            <w:r w:rsidRPr="00726D52">
              <w:rPr>
                <w:rFonts w:eastAsia="Times New Roman"/>
                <w:b/>
                <w:bCs/>
                <w:noProof/>
                <w:lang w:eastAsia="en-IE"/>
              </w:rPr>
              <w:t>Data collection tools and methods</w:t>
            </w:r>
          </w:p>
        </w:tc>
      </w:tr>
      <w:tr w:rsidR="00AB422A" w:rsidRPr="00726D52" w14:paraId="5827CE97" w14:textId="77777777" w:rsidTr="289DEA4F">
        <w:trPr>
          <w:trHeight w:val="300"/>
        </w:trPr>
        <w:tc>
          <w:tcPr>
            <w:tcW w:w="669" w:type="dxa"/>
            <w:hideMark/>
          </w:tcPr>
          <w:p w14:paraId="1A45CAE2" w14:textId="77777777" w:rsidR="00EB3457" w:rsidRPr="00726D52" w:rsidRDefault="00EB3457" w:rsidP="00C05BFC">
            <w:pPr>
              <w:spacing w:after="0"/>
              <w:jc w:val="left"/>
              <w:textAlignment w:val="baseline"/>
              <w:rPr>
                <w:rFonts w:eastAsia="Times New Roman"/>
                <w:noProof/>
                <w:lang w:eastAsia="en-IE"/>
              </w:rPr>
            </w:pPr>
          </w:p>
        </w:tc>
        <w:tc>
          <w:tcPr>
            <w:tcW w:w="0" w:type="auto"/>
            <w:hideMark/>
          </w:tcPr>
          <w:p w14:paraId="02850C4F" w14:textId="77777777" w:rsidR="00EB3457" w:rsidRPr="00726D52" w:rsidRDefault="00EB3457" w:rsidP="00C05BFC">
            <w:pPr>
              <w:spacing w:after="0"/>
              <w:textAlignment w:val="baseline"/>
              <w:rPr>
                <w:rFonts w:eastAsia="Times New Roman"/>
                <w:noProof/>
                <w:lang w:eastAsia="en-IE"/>
              </w:rPr>
            </w:pPr>
          </w:p>
        </w:tc>
        <w:tc>
          <w:tcPr>
            <w:tcW w:w="0" w:type="auto"/>
            <w:hideMark/>
          </w:tcPr>
          <w:p w14:paraId="4535DBC3"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u w:val="single"/>
                <w:lang w:eastAsia="en-IE"/>
              </w:rPr>
              <w:t>Based on data and in the views of ‘stakeholders’</w:t>
            </w:r>
            <w:r w:rsidRPr="00726D52">
              <w:rPr>
                <w:rStyle w:val="FootnoteReference"/>
                <w:rFonts w:eastAsia="Times New Roman"/>
                <w:noProof/>
                <w:u w:val="single"/>
                <w:lang w:eastAsia="en-IE"/>
              </w:rPr>
              <w:footnoteReference w:id="228"/>
            </w:r>
          </w:p>
        </w:tc>
        <w:tc>
          <w:tcPr>
            <w:tcW w:w="0" w:type="auto"/>
            <w:hideMark/>
          </w:tcPr>
          <w:p w14:paraId="3E3C9000" w14:textId="77777777" w:rsidR="00EB3457" w:rsidRPr="00726D52" w:rsidRDefault="00EB3457" w:rsidP="00C05BFC">
            <w:pPr>
              <w:spacing w:beforeAutospacing="1" w:after="0" w:afterAutospacing="1"/>
              <w:textAlignment w:val="baseline"/>
              <w:rPr>
                <w:rFonts w:eastAsia="Times New Roman"/>
                <w:noProof/>
                <w:lang w:eastAsia="en-IE"/>
              </w:rPr>
            </w:pPr>
          </w:p>
        </w:tc>
        <w:tc>
          <w:tcPr>
            <w:tcW w:w="0" w:type="auto"/>
            <w:hideMark/>
          </w:tcPr>
          <w:p w14:paraId="346D1768" w14:textId="77777777" w:rsidR="00EB3457" w:rsidRPr="00726D52" w:rsidRDefault="00EB3457" w:rsidP="00C05BFC">
            <w:pPr>
              <w:spacing w:beforeAutospacing="1" w:after="0" w:afterAutospacing="1"/>
              <w:textAlignment w:val="baseline"/>
              <w:rPr>
                <w:rFonts w:eastAsia="Times New Roman"/>
                <w:noProof/>
                <w:lang w:eastAsia="en-IE"/>
              </w:rPr>
            </w:pPr>
          </w:p>
        </w:tc>
      </w:tr>
      <w:tr w:rsidR="00AB422A" w:rsidRPr="00726D52" w14:paraId="14079E15" w14:textId="77777777" w:rsidTr="289DEA4F">
        <w:trPr>
          <w:trHeight w:val="300"/>
        </w:trPr>
        <w:tc>
          <w:tcPr>
            <w:tcW w:w="669" w:type="dxa"/>
            <w:hideMark/>
          </w:tcPr>
          <w:p w14:paraId="0A2D6095"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t>1</w:t>
            </w:r>
          </w:p>
        </w:tc>
        <w:tc>
          <w:tcPr>
            <w:tcW w:w="0" w:type="auto"/>
            <w:hideMark/>
          </w:tcPr>
          <w:p w14:paraId="09DEF2EC"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To what extent have Europol's activities contributed to achieving the objectives under its regulatory framework to </w:t>
            </w:r>
            <w:r w:rsidRPr="00726D52">
              <w:rPr>
                <w:rFonts w:eastAsia="Times New Roman"/>
                <w:b/>
                <w:bCs/>
                <w:noProof/>
                <w:lang w:eastAsia="en-IE"/>
              </w:rPr>
              <w:t xml:space="preserve">support and strengthen action by the competent authorities of the Member States and their mutual cooperation in preventing and combating serious crime </w:t>
            </w:r>
            <w:r w:rsidRPr="00726D52">
              <w:rPr>
                <w:rFonts w:eastAsia="Times New Roman"/>
                <w:noProof/>
                <w:lang w:eastAsia="en-IE"/>
              </w:rPr>
              <w:t xml:space="preserve">affecting two or more Member States, terrorism and forms of crime which affect a common interest covered by a </w:t>
            </w:r>
            <w:r w:rsidRPr="00726D52">
              <w:rPr>
                <w:rFonts w:eastAsia="Times New Roman"/>
                <w:noProof/>
                <w:lang w:eastAsia="en-IE"/>
              </w:rPr>
              <w:lastRenderedPageBreak/>
              <w:t>Union policy and ensure security in the Area of Freedom, Security and Justice? </w:t>
            </w:r>
          </w:p>
        </w:tc>
        <w:tc>
          <w:tcPr>
            <w:tcW w:w="0" w:type="auto"/>
            <w:hideMark/>
          </w:tcPr>
          <w:p w14:paraId="491A0374" w14:textId="075BDD4A"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Europol’s contribution to ending ongoing or preventing cross-border serious and organised crime and terrorism is significant in terms of successful police interventions and operational results</w:t>
            </w:r>
            <w:r w:rsidR="00AB422A">
              <w:rPr>
                <w:rFonts w:eastAsia="Times New Roman"/>
                <w:noProof/>
                <w:lang w:eastAsia="en-IE"/>
              </w:rPr>
              <w:t>.</w:t>
            </w:r>
          </w:p>
          <w:p w14:paraId="06034A11" w14:textId="3C39E9ED"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Europol and M</w:t>
            </w:r>
            <w:r w:rsidR="00AB422A">
              <w:rPr>
                <w:rFonts w:eastAsia="Times New Roman"/>
                <w:noProof/>
                <w:lang w:eastAsia="en-IE"/>
              </w:rPr>
              <w:t xml:space="preserve">ember </w:t>
            </w:r>
            <w:r w:rsidRPr="00726D52">
              <w:rPr>
                <w:rFonts w:eastAsia="Times New Roman"/>
                <w:noProof/>
                <w:lang w:eastAsia="en-IE"/>
              </w:rPr>
              <w:t>S</w:t>
            </w:r>
            <w:r w:rsidR="00AB422A">
              <w:rPr>
                <w:rFonts w:eastAsia="Times New Roman"/>
                <w:noProof/>
                <w:lang w:eastAsia="en-IE"/>
              </w:rPr>
              <w:t>tates</w:t>
            </w:r>
            <w:r w:rsidRPr="00726D52">
              <w:rPr>
                <w:rFonts w:eastAsia="Times New Roman"/>
                <w:noProof/>
                <w:lang w:eastAsia="en-IE"/>
              </w:rPr>
              <w:t xml:space="preserve"> Law Enforcement Authorities (LEAs) cooperation is effective</w:t>
            </w:r>
          </w:p>
          <w:p w14:paraId="46F28FB6" w14:textId="6655B352" w:rsidR="00AB422A" w:rsidRDefault="00EB3457" w:rsidP="00AB422A">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Resources allocated to Europol and their employment by the Agency meets the needs of MS and allows to swiftly address all requests for support by M</w:t>
            </w:r>
            <w:r w:rsidR="00AB422A">
              <w:rPr>
                <w:rFonts w:eastAsia="Times New Roman"/>
                <w:noProof/>
                <w:lang w:eastAsia="en-IE"/>
              </w:rPr>
              <w:t xml:space="preserve">ember </w:t>
            </w:r>
            <w:r w:rsidRPr="00726D52">
              <w:rPr>
                <w:rFonts w:eastAsia="Times New Roman"/>
                <w:noProof/>
                <w:lang w:eastAsia="en-IE"/>
              </w:rPr>
              <w:t>S</w:t>
            </w:r>
            <w:r w:rsidR="00AB422A">
              <w:rPr>
                <w:rFonts w:eastAsia="Times New Roman"/>
                <w:noProof/>
                <w:lang w:eastAsia="en-IE"/>
              </w:rPr>
              <w:t>tates</w:t>
            </w:r>
            <w:r w:rsidRPr="00726D52">
              <w:rPr>
                <w:rFonts w:eastAsia="Times New Roman"/>
                <w:noProof/>
                <w:lang w:eastAsia="en-IE"/>
              </w:rPr>
              <w:t xml:space="preserve"> </w:t>
            </w:r>
            <w:r w:rsidR="00AB422A">
              <w:rPr>
                <w:rFonts w:eastAsia="Times New Roman"/>
                <w:noProof/>
                <w:lang w:eastAsia="en-IE"/>
              </w:rPr>
              <w:t>law enforcement authorities.</w:t>
            </w:r>
          </w:p>
          <w:p w14:paraId="103DC9F6" w14:textId="3FE17281" w:rsidR="00EB3457" w:rsidRPr="00726D52" w:rsidRDefault="00EB3457" w:rsidP="00AB422A">
            <w:pPr>
              <w:spacing w:beforeAutospacing="1" w:after="0" w:afterAutospacing="1"/>
              <w:textAlignment w:val="baseline"/>
              <w:rPr>
                <w:rFonts w:eastAsia="Times New Roman"/>
                <w:noProof/>
                <w:lang w:eastAsia="en-IE"/>
              </w:rPr>
            </w:pPr>
            <w:r w:rsidRPr="00726D52">
              <w:rPr>
                <w:rFonts w:eastAsia="Times New Roman"/>
                <w:noProof/>
                <w:lang w:eastAsia="en-IE"/>
              </w:rPr>
              <w:t>There is satisfaction with Europol’s support</w:t>
            </w:r>
          </w:p>
        </w:tc>
        <w:tc>
          <w:tcPr>
            <w:tcW w:w="0" w:type="auto"/>
            <w:hideMark/>
          </w:tcPr>
          <w:p w14:paraId="2D79AA60"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lastRenderedPageBreak/>
              <w:t>Qualitative:</w:t>
            </w:r>
          </w:p>
          <w:p w14:paraId="2F89EDB5" w14:textId="6A450EEF"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Alignment of Europol’s operations and activities with its policy objectives and priorities</w:t>
            </w:r>
            <w:r w:rsidR="00AB422A">
              <w:rPr>
                <w:rFonts w:eastAsia="Times New Roman"/>
                <w:noProof/>
                <w:lang w:eastAsia="en-IE"/>
              </w:rPr>
              <w:t>.</w:t>
            </w:r>
          </w:p>
          <w:p w14:paraId="59710182"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Opinion based:</w:t>
            </w:r>
          </w:p>
          <w:p w14:paraId="5F53C060" w14:textId="765AE9B9"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Stakeholders’ satisfaction level with Europol's activities and objectives</w:t>
            </w:r>
            <w:r w:rsidR="00AB422A">
              <w:rPr>
                <w:rFonts w:eastAsia="Times New Roman"/>
                <w:noProof/>
                <w:lang w:eastAsia="en-IE"/>
              </w:rPr>
              <w:t>.</w:t>
            </w:r>
          </w:p>
          <w:p w14:paraId="2B080F26" w14:textId="1C923F29"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Stakeholders’ perception of the pertinence of the EU policy objectives and related priorities</w:t>
            </w:r>
            <w:r w:rsidR="00AB422A">
              <w:rPr>
                <w:rFonts w:eastAsia="Times New Roman"/>
                <w:noProof/>
                <w:lang w:eastAsia="en-IE"/>
              </w:rPr>
              <w:t>.</w:t>
            </w:r>
          </w:p>
          <w:p w14:paraId="6F39EA56" w14:textId="642B79C2" w:rsidR="00EB3457" w:rsidRPr="00726D52" w:rsidRDefault="00AB422A" w:rsidP="00C05BFC">
            <w:pPr>
              <w:spacing w:beforeAutospacing="1" w:after="0" w:afterAutospacing="1"/>
              <w:textAlignment w:val="baseline"/>
              <w:rPr>
                <w:rFonts w:eastAsia="Times New Roman"/>
                <w:noProof/>
                <w:lang w:eastAsia="en-IE"/>
              </w:rPr>
            </w:pPr>
            <w:r w:rsidRPr="00726D52">
              <w:rPr>
                <w:rFonts w:eastAsia="Times New Roman"/>
                <w:noProof/>
                <w:lang w:eastAsia="en-IE"/>
              </w:rPr>
              <w:t>M</w:t>
            </w:r>
            <w:r>
              <w:rPr>
                <w:rFonts w:eastAsia="Times New Roman"/>
                <w:noProof/>
                <w:lang w:eastAsia="en-IE"/>
              </w:rPr>
              <w:t xml:space="preserve">ember </w:t>
            </w:r>
            <w:r w:rsidRPr="00726D52">
              <w:rPr>
                <w:rFonts w:eastAsia="Times New Roman"/>
                <w:noProof/>
                <w:lang w:eastAsia="en-IE"/>
              </w:rPr>
              <w:t>S</w:t>
            </w:r>
            <w:r>
              <w:rPr>
                <w:rFonts w:eastAsia="Times New Roman"/>
                <w:noProof/>
                <w:lang w:eastAsia="en-IE"/>
              </w:rPr>
              <w:t>tates</w:t>
            </w:r>
            <w:r w:rsidRPr="00726D52">
              <w:rPr>
                <w:rFonts w:eastAsia="Times New Roman"/>
                <w:noProof/>
                <w:lang w:eastAsia="en-IE"/>
              </w:rPr>
              <w:t xml:space="preserve"> </w:t>
            </w:r>
            <w:r>
              <w:rPr>
                <w:rFonts w:eastAsia="Times New Roman"/>
                <w:noProof/>
                <w:lang w:eastAsia="en-IE"/>
              </w:rPr>
              <w:t xml:space="preserve">law enforcement authorities’ </w:t>
            </w:r>
            <w:r w:rsidR="00EB3457" w:rsidRPr="00726D52">
              <w:rPr>
                <w:rFonts w:eastAsia="Times New Roman"/>
                <w:noProof/>
                <w:lang w:eastAsia="en-IE"/>
              </w:rPr>
              <w:t>satisfaction with responsiveness of Europol</w:t>
            </w:r>
            <w:r>
              <w:rPr>
                <w:rFonts w:eastAsia="Times New Roman"/>
                <w:noProof/>
                <w:lang w:eastAsia="en-IE"/>
              </w:rPr>
              <w:t>.</w:t>
            </w:r>
          </w:p>
          <w:p w14:paraId="1BDFD4AA"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 xml:space="preserve">Quantitative: </w:t>
            </w:r>
          </w:p>
          <w:p w14:paraId="74EE3520"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Overview of statistics on criminality in focus (Eurostat, UN survey of crime threads, JRC counter-terrorism knowledge hub, EU database of terrorist offenders etc) where available (limited information of cross-border crime), data from SIENA reports.</w:t>
            </w:r>
          </w:p>
        </w:tc>
        <w:tc>
          <w:tcPr>
            <w:tcW w:w="0" w:type="auto"/>
            <w:hideMark/>
          </w:tcPr>
          <w:p w14:paraId="717915BE" w14:textId="07E22B03" w:rsidR="00EB3457" w:rsidRPr="00726D52" w:rsidRDefault="00EB3457" w:rsidP="289DEA4F">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Data on evolution of serious and organised crime and terrorism</w:t>
            </w:r>
            <w:r w:rsidR="1EE8EC03" w:rsidRPr="00726D52">
              <w:rPr>
                <w:rFonts w:eastAsia="Times New Roman"/>
                <w:noProof/>
                <w:lang w:eastAsia="en-IE"/>
              </w:rPr>
              <w:t xml:space="preserve"> </w:t>
            </w:r>
            <w:r w:rsidRPr="00726D52">
              <w:rPr>
                <w:rFonts w:eastAsia="Times New Roman"/>
                <w:noProof/>
                <w:lang w:eastAsia="en-IE"/>
              </w:rPr>
              <w:t>and successful operations with the support of Europol, place into context crime areas in focus (Annex 1 Europol Reg).</w:t>
            </w:r>
          </w:p>
          <w:p w14:paraId="4D440372" w14:textId="14D00603"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Europol MB, M</w:t>
            </w:r>
            <w:r w:rsidR="00726D52">
              <w:rPr>
                <w:rFonts w:eastAsia="Times New Roman"/>
                <w:noProof/>
                <w:lang w:eastAsia="en-IE"/>
              </w:rPr>
              <w:t>ember States Ministry of Interior</w:t>
            </w:r>
            <w:r w:rsidRPr="00726D52">
              <w:rPr>
                <w:rFonts w:eastAsia="Times New Roman"/>
                <w:noProof/>
                <w:lang w:eastAsia="en-IE"/>
              </w:rPr>
              <w:t xml:space="preserve"> (political level); network of national parliament representatives reviewing report </w:t>
            </w:r>
            <w:r w:rsidRPr="00726D52">
              <w:rPr>
                <w:rFonts w:eastAsia="Times New Roman"/>
                <w:noProof/>
                <w:lang w:eastAsia="en-IE"/>
              </w:rPr>
              <w:lastRenderedPageBreak/>
              <w:t>from Europol (Joint Parliamentary Scrutiny Group (JPSG))</w:t>
            </w:r>
            <w:r w:rsidR="00AB422A">
              <w:rPr>
                <w:rFonts w:eastAsia="Times New Roman"/>
                <w:noProof/>
                <w:lang w:eastAsia="en-IE"/>
              </w:rPr>
              <w:t>.</w:t>
            </w:r>
          </w:p>
          <w:p w14:paraId="07551787" w14:textId="38FAC4C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00AB422A" w:rsidRPr="00726D52">
              <w:rPr>
                <w:rFonts w:eastAsia="Times New Roman"/>
                <w:noProof/>
                <w:lang w:eastAsia="en-IE"/>
              </w:rPr>
              <w:t>M</w:t>
            </w:r>
            <w:r w:rsidR="00AB422A">
              <w:rPr>
                <w:rFonts w:eastAsia="Times New Roman"/>
                <w:noProof/>
                <w:lang w:eastAsia="en-IE"/>
              </w:rPr>
              <w:t xml:space="preserve">ember </w:t>
            </w:r>
            <w:r w:rsidR="00AB422A" w:rsidRPr="00726D52">
              <w:rPr>
                <w:rFonts w:eastAsia="Times New Roman"/>
                <w:noProof/>
                <w:lang w:eastAsia="en-IE"/>
              </w:rPr>
              <w:t>S</w:t>
            </w:r>
            <w:r w:rsidR="00AB422A">
              <w:rPr>
                <w:rFonts w:eastAsia="Times New Roman"/>
                <w:noProof/>
                <w:lang w:eastAsia="en-IE"/>
              </w:rPr>
              <w:t>tates</w:t>
            </w:r>
            <w:r w:rsidR="00AB422A" w:rsidRPr="00726D52">
              <w:rPr>
                <w:rFonts w:eastAsia="Times New Roman"/>
                <w:noProof/>
                <w:lang w:eastAsia="en-IE"/>
              </w:rPr>
              <w:t xml:space="preserve"> </w:t>
            </w:r>
            <w:r w:rsidR="00AB422A">
              <w:rPr>
                <w:rFonts w:eastAsia="Times New Roman"/>
                <w:noProof/>
                <w:lang w:eastAsia="en-IE"/>
              </w:rPr>
              <w:t>law enforcement authorities</w:t>
            </w:r>
            <w:r w:rsidRPr="00726D52">
              <w:rPr>
                <w:rFonts w:eastAsia="Times New Roman"/>
                <w:noProof/>
                <w:lang w:eastAsia="en-IE"/>
              </w:rPr>
              <w:t>, General public, COM and EU agencies and bodies</w:t>
            </w:r>
          </w:p>
          <w:p w14:paraId="66743AFB" w14:textId="77777777" w:rsidR="00EB3457" w:rsidRPr="00726D52" w:rsidRDefault="00EB3457" w:rsidP="00C05BFC">
            <w:pPr>
              <w:spacing w:after="0"/>
              <w:textAlignment w:val="baseline"/>
              <w:rPr>
                <w:rFonts w:eastAsia="Times New Roman"/>
                <w:noProof/>
                <w:lang w:eastAsia="en-IE"/>
              </w:rPr>
            </w:pPr>
          </w:p>
        </w:tc>
      </w:tr>
      <w:tr w:rsidR="00AB422A" w:rsidRPr="00726D52" w14:paraId="2AA4C537" w14:textId="77777777" w:rsidTr="289DEA4F">
        <w:trPr>
          <w:trHeight w:val="300"/>
        </w:trPr>
        <w:tc>
          <w:tcPr>
            <w:tcW w:w="669" w:type="dxa"/>
            <w:hideMark/>
          </w:tcPr>
          <w:p w14:paraId="03483884"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lastRenderedPageBreak/>
              <w:t>2</w:t>
            </w:r>
          </w:p>
        </w:tc>
        <w:tc>
          <w:tcPr>
            <w:tcW w:w="0" w:type="auto"/>
            <w:hideMark/>
          </w:tcPr>
          <w:p w14:paraId="04ACCBDD"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To what extent have </w:t>
            </w:r>
            <w:r w:rsidRPr="00726D52">
              <w:rPr>
                <w:rFonts w:eastAsia="Times New Roman"/>
                <w:b/>
                <w:bCs/>
                <w:noProof/>
                <w:lang w:eastAsia="en-IE"/>
              </w:rPr>
              <w:t xml:space="preserve">Europol's activities </w:t>
            </w:r>
            <w:r w:rsidRPr="00726D52">
              <w:rPr>
                <w:rFonts w:eastAsia="Times New Roman"/>
                <w:noProof/>
                <w:lang w:eastAsia="en-IE"/>
              </w:rPr>
              <w:t xml:space="preserve">supported relevant </w:t>
            </w:r>
            <w:r w:rsidRPr="00726D52">
              <w:rPr>
                <w:rFonts w:eastAsia="Times New Roman"/>
                <w:b/>
                <w:bCs/>
                <w:noProof/>
                <w:lang w:eastAsia="en-IE"/>
              </w:rPr>
              <w:t>EU policy objectives and priorities related to the Area of Freedom, Security and Justice (specifically TFEU Art 67 (3); Art 87, 88)? (ER Art. 4.1 (j), (l); (u); (z); 4.2; 4.3; 4.4)</w:t>
            </w:r>
          </w:p>
          <w:p w14:paraId="7415A1B2" w14:textId="77777777" w:rsidR="00EB3457" w:rsidRPr="00726D52" w:rsidRDefault="00EB3457" w:rsidP="00C05BFC">
            <w:pPr>
              <w:spacing w:after="0"/>
              <w:textAlignment w:val="baseline"/>
              <w:rPr>
                <w:rFonts w:eastAsia="Times New Roman"/>
                <w:noProof/>
                <w:lang w:eastAsia="en-IE"/>
              </w:rPr>
            </w:pPr>
          </w:p>
        </w:tc>
        <w:tc>
          <w:tcPr>
            <w:tcW w:w="0" w:type="auto"/>
            <w:hideMark/>
          </w:tcPr>
          <w:p w14:paraId="7CE91446" w14:textId="7391A299"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Evolution of Europol’s strategic contributions to cross-border police cooperation, support for judicial collaboration, and combatting serious crime and terrorism</w:t>
            </w:r>
            <w:r w:rsidR="00AB422A">
              <w:rPr>
                <w:rFonts w:eastAsia="Times New Roman"/>
                <w:noProof/>
                <w:lang w:eastAsia="en-IE"/>
              </w:rPr>
              <w:t>.</w:t>
            </w:r>
          </w:p>
          <w:p w14:paraId="14BBC4A2" w14:textId="62EC02F0"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Measurement of improvements in the speed, efficiency, and success rates of joint operations, intelligence sharing, and coordination among Member States (Art</w:t>
            </w:r>
            <w:r w:rsidR="00726D52">
              <w:rPr>
                <w:rFonts w:eastAsia="Times New Roman"/>
                <w:noProof/>
                <w:lang w:eastAsia="en-IE"/>
              </w:rPr>
              <w:t>icle</w:t>
            </w:r>
            <w:r w:rsidRPr="00726D52">
              <w:rPr>
                <w:rFonts w:eastAsia="Times New Roman"/>
                <w:noProof/>
                <w:lang w:eastAsia="en-IE"/>
              </w:rPr>
              <w:t>. 4.2).</w:t>
            </w:r>
          </w:p>
          <w:p w14:paraId="0273306E" w14:textId="29DB52F1"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 xml:space="preserve">Cooperation between Europol and </w:t>
            </w:r>
            <w:r w:rsidR="00726D52" w:rsidRPr="00726D52">
              <w:rPr>
                <w:rFonts w:eastAsia="Times New Roman"/>
                <w:noProof/>
                <w:lang w:eastAsia="en-IE"/>
              </w:rPr>
              <w:t>M</w:t>
            </w:r>
            <w:r w:rsidR="00726D52">
              <w:rPr>
                <w:rFonts w:eastAsia="Times New Roman"/>
                <w:noProof/>
                <w:lang w:eastAsia="en-IE"/>
              </w:rPr>
              <w:t xml:space="preserve">ember </w:t>
            </w:r>
            <w:r w:rsidR="00726D52" w:rsidRPr="00726D52">
              <w:rPr>
                <w:rFonts w:eastAsia="Times New Roman"/>
                <w:noProof/>
                <w:lang w:eastAsia="en-IE"/>
              </w:rPr>
              <w:t>S</w:t>
            </w:r>
            <w:r w:rsidR="00726D52">
              <w:rPr>
                <w:rFonts w:eastAsia="Times New Roman"/>
                <w:noProof/>
                <w:lang w:eastAsia="en-IE"/>
              </w:rPr>
              <w:t>tate</w:t>
            </w:r>
            <w:r w:rsidR="00726D52" w:rsidRPr="00726D52">
              <w:rPr>
                <w:rFonts w:eastAsia="Times New Roman"/>
                <w:noProof/>
                <w:lang w:eastAsia="en-IE"/>
              </w:rPr>
              <w:t xml:space="preserve"> </w:t>
            </w:r>
            <w:r w:rsidR="00726D52">
              <w:rPr>
                <w:rFonts w:eastAsia="Times New Roman"/>
                <w:noProof/>
                <w:lang w:eastAsia="en-IE"/>
              </w:rPr>
              <w:t>law enforcement authoritie</w:t>
            </w:r>
            <w:r w:rsidR="00726D52" w:rsidRPr="00726D52">
              <w:rPr>
                <w:rFonts w:eastAsia="Times New Roman"/>
                <w:noProof/>
                <w:lang w:eastAsia="en-IE"/>
              </w:rPr>
              <w:t>s</w:t>
            </w:r>
            <w:r w:rsidR="00726D52">
              <w:rPr>
                <w:rFonts w:eastAsia="Times New Roman"/>
                <w:noProof/>
                <w:lang w:eastAsia="en-IE"/>
              </w:rPr>
              <w:t xml:space="preserve"> </w:t>
            </w:r>
            <w:r w:rsidRPr="00726D52">
              <w:rPr>
                <w:rFonts w:eastAsia="Times New Roman"/>
                <w:noProof/>
                <w:lang w:eastAsia="en-IE"/>
              </w:rPr>
              <w:t>is considered effective</w:t>
            </w:r>
          </w:p>
          <w:p w14:paraId="18159A92"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Evidence of concrete outcomes, such as dismantling criminal networks, successful counterterrorism initiatives, and enhanced security measures.</w:t>
            </w:r>
          </w:p>
          <w:p w14:paraId="0FD785C5" w14:textId="7953A1F8"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 xml:space="preserve">Europol successfully facilitated cooperation between law </w:t>
            </w:r>
            <w:r w:rsidR="001A039B">
              <w:rPr>
                <w:rFonts w:eastAsia="Times New Roman"/>
                <w:noProof/>
                <w:lang w:eastAsia="en-IE"/>
              </w:rPr>
              <w:t>enforcement</w:t>
            </w:r>
            <w:r w:rsidRPr="00726D52">
              <w:rPr>
                <w:rFonts w:eastAsia="Times New Roman"/>
                <w:noProof/>
                <w:lang w:eastAsia="en-IE"/>
              </w:rPr>
              <w:t xml:space="preserve"> and judicial authorities across M</w:t>
            </w:r>
            <w:r w:rsidR="001A039B">
              <w:rPr>
                <w:rFonts w:eastAsia="Times New Roman"/>
                <w:noProof/>
                <w:lang w:eastAsia="en-IE"/>
              </w:rPr>
              <w:t xml:space="preserve">ember </w:t>
            </w:r>
            <w:r w:rsidRPr="00726D52">
              <w:rPr>
                <w:rFonts w:eastAsia="Times New Roman"/>
                <w:noProof/>
                <w:lang w:eastAsia="en-IE"/>
              </w:rPr>
              <w:t>S</w:t>
            </w:r>
            <w:r w:rsidR="001A039B">
              <w:rPr>
                <w:rFonts w:eastAsia="Times New Roman"/>
                <w:noProof/>
                <w:lang w:eastAsia="en-IE"/>
              </w:rPr>
              <w:t>tates</w:t>
            </w:r>
          </w:p>
          <w:p w14:paraId="5A339FEC" w14:textId="7698F778"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Europol</w:t>
            </w:r>
            <w:r w:rsidR="001A039B">
              <w:rPr>
                <w:rFonts w:eastAsia="Times New Roman"/>
                <w:noProof/>
                <w:lang w:eastAsia="en-IE"/>
              </w:rPr>
              <w:t>’</w:t>
            </w:r>
            <w:r w:rsidRPr="00726D52">
              <w:rPr>
                <w:rFonts w:eastAsia="Times New Roman"/>
                <w:noProof/>
                <w:lang w:eastAsia="en-IE"/>
              </w:rPr>
              <w:t>s input into EU policy development through strategic analysis a, recommendation, and dissemination of good practices to M</w:t>
            </w:r>
            <w:r w:rsidR="001A039B">
              <w:rPr>
                <w:rFonts w:eastAsia="Times New Roman"/>
                <w:noProof/>
                <w:lang w:eastAsia="en-IE"/>
              </w:rPr>
              <w:t xml:space="preserve">ember </w:t>
            </w:r>
            <w:r w:rsidRPr="00726D52">
              <w:rPr>
                <w:rFonts w:eastAsia="Times New Roman"/>
                <w:noProof/>
                <w:lang w:eastAsia="en-IE"/>
              </w:rPr>
              <w:t>S</w:t>
            </w:r>
            <w:r w:rsidR="001A039B">
              <w:rPr>
                <w:rFonts w:eastAsia="Times New Roman"/>
                <w:noProof/>
                <w:lang w:eastAsia="en-IE"/>
              </w:rPr>
              <w:t>tates</w:t>
            </w:r>
            <w:r w:rsidRPr="00726D52">
              <w:rPr>
                <w:rFonts w:eastAsia="Times New Roman"/>
                <w:noProof/>
                <w:lang w:eastAsia="en-IE"/>
              </w:rPr>
              <w:t xml:space="preserve"> and EU agencies.</w:t>
            </w:r>
          </w:p>
          <w:p w14:paraId="098AF3E9" w14:textId="2D6B2D18"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There is satisfaction with Europol’s role in the EU architecture</w:t>
            </w:r>
            <w:r w:rsidR="00AB422A">
              <w:rPr>
                <w:rFonts w:eastAsia="Times New Roman"/>
                <w:noProof/>
                <w:lang w:eastAsia="en-IE"/>
              </w:rPr>
              <w:t>.</w:t>
            </w:r>
          </w:p>
        </w:tc>
        <w:tc>
          <w:tcPr>
            <w:tcW w:w="0" w:type="auto"/>
            <w:hideMark/>
          </w:tcPr>
          <w:p w14:paraId="32BBD696"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lastRenderedPageBreak/>
              <w:t>Qualitative:</w:t>
            </w:r>
          </w:p>
          <w:p w14:paraId="6B240105" w14:textId="49A900D4"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Alignment of EU operations with policy objectives and priorities</w:t>
            </w:r>
            <w:r w:rsidR="00AB422A">
              <w:rPr>
                <w:rFonts w:eastAsia="Times New Roman"/>
                <w:noProof/>
                <w:lang w:eastAsia="en-IE"/>
              </w:rPr>
              <w:t>.</w:t>
            </w:r>
          </w:p>
          <w:p w14:paraId="5F48166C"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Opinion based:</w:t>
            </w:r>
          </w:p>
          <w:p w14:paraId="6B9125F1" w14:textId="3517C2C4"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Stakeholders’ satisfaction levels with Europol's activities and objectives</w:t>
            </w:r>
            <w:r w:rsidR="00AB422A">
              <w:rPr>
                <w:rFonts w:eastAsia="Times New Roman"/>
                <w:noProof/>
                <w:lang w:eastAsia="en-IE"/>
              </w:rPr>
              <w:t>.</w:t>
            </w:r>
          </w:p>
          <w:p w14:paraId="3A69804B" w14:textId="6B97A45B"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Stakeholders’ perception of EU policy objectives and related priorities</w:t>
            </w:r>
            <w:r w:rsidR="00AB422A">
              <w:rPr>
                <w:rFonts w:eastAsia="Times New Roman"/>
                <w:noProof/>
                <w:lang w:eastAsia="en-IE"/>
              </w:rPr>
              <w:t>.</w:t>
            </w:r>
          </w:p>
          <w:p w14:paraId="7C6B8CE4" w14:textId="77777777" w:rsidR="00EB3457" w:rsidRPr="00726D52" w:rsidRDefault="00EB3457" w:rsidP="00C05BFC">
            <w:pPr>
              <w:spacing w:beforeAutospacing="1" w:after="0" w:afterAutospacing="1"/>
              <w:textAlignment w:val="baseline"/>
              <w:rPr>
                <w:rFonts w:eastAsia="Times New Roman"/>
                <w:noProof/>
                <w:lang w:eastAsia="en-IE"/>
              </w:rPr>
            </w:pPr>
          </w:p>
          <w:p w14:paraId="45090A41"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Quantitative:</w:t>
            </w:r>
          </w:p>
          <w:p w14:paraId="06DB2A2C" w14:textId="5BA5060E"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 xml:space="preserve">Statistical data to measure operational success against crime and in supporting security – using </w:t>
            </w:r>
            <w:r w:rsidR="00670E73" w:rsidRPr="00726D52">
              <w:rPr>
                <w:rFonts w:eastAsia="Times New Roman"/>
                <w:noProof/>
                <w:lang w:eastAsia="en-IE"/>
              </w:rPr>
              <w:t>EU-</w:t>
            </w:r>
            <w:r w:rsidRPr="00726D52">
              <w:rPr>
                <w:rFonts w:eastAsia="Times New Roman"/>
                <w:noProof/>
                <w:lang w:eastAsia="en-IE"/>
              </w:rPr>
              <w:t>SOCT</w:t>
            </w:r>
            <w:r w:rsidR="00670E73" w:rsidRPr="00726D52">
              <w:rPr>
                <w:rFonts w:eastAsia="Times New Roman"/>
                <w:noProof/>
                <w:lang w:eastAsia="en-IE"/>
              </w:rPr>
              <w:t>A</w:t>
            </w:r>
            <w:r w:rsidRPr="00726D52">
              <w:rPr>
                <w:rFonts w:eastAsia="Times New Roman"/>
                <w:noProof/>
                <w:lang w:eastAsia="en-IE"/>
              </w:rPr>
              <w:t>, iOCTA, TE-SAT data, EMPACT reporting and specific early warning notifications, SIENA data</w:t>
            </w:r>
          </w:p>
        </w:tc>
        <w:tc>
          <w:tcPr>
            <w:tcW w:w="0" w:type="auto"/>
            <w:hideMark/>
          </w:tcPr>
          <w:p w14:paraId="20ED8332" w14:textId="0B835D8F"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Europol strategic reports on evolution of crime, input to policy development</w:t>
            </w:r>
            <w:r w:rsidR="00AB422A">
              <w:rPr>
                <w:rFonts w:eastAsia="Times New Roman"/>
                <w:noProof/>
                <w:lang w:eastAsia="en-IE"/>
              </w:rPr>
              <w:t>.</w:t>
            </w:r>
          </w:p>
          <w:p w14:paraId="52CEEB41" w14:textId="45AB1E23"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C</w:t>
            </w:r>
            <w:r w:rsidR="00726D52">
              <w:rPr>
                <w:rFonts w:eastAsia="Times New Roman"/>
                <w:noProof/>
                <w:lang w:eastAsia="en-IE"/>
              </w:rPr>
              <w:t>ommission representatives</w:t>
            </w:r>
            <w:r w:rsidRPr="00726D52">
              <w:rPr>
                <w:rFonts w:eastAsia="Times New Roman"/>
                <w:noProof/>
                <w:lang w:eastAsia="en-IE"/>
              </w:rPr>
              <w:t xml:space="preserve"> of Europol M</w:t>
            </w:r>
            <w:r w:rsidR="00726D52">
              <w:rPr>
                <w:rFonts w:eastAsia="Times New Roman"/>
                <w:noProof/>
                <w:lang w:eastAsia="en-IE"/>
              </w:rPr>
              <w:t xml:space="preserve">anagement </w:t>
            </w:r>
            <w:r w:rsidRPr="00726D52">
              <w:rPr>
                <w:rFonts w:eastAsia="Times New Roman"/>
                <w:noProof/>
                <w:lang w:eastAsia="en-IE"/>
              </w:rPr>
              <w:t>B</w:t>
            </w:r>
            <w:r w:rsidR="00726D52">
              <w:rPr>
                <w:rFonts w:eastAsia="Times New Roman"/>
                <w:noProof/>
                <w:lang w:eastAsia="en-IE"/>
              </w:rPr>
              <w:t>oard</w:t>
            </w:r>
            <w:r w:rsidRPr="00726D52">
              <w:rPr>
                <w:rFonts w:eastAsia="Times New Roman"/>
                <w:noProof/>
                <w:lang w:eastAsia="en-IE"/>
              </w:rPr>
              <w:t>, M</w:t>
            </w:r>
            <w:r w:rsidR="00726D52">
              <w:rPr>
                <w:rFonts w:eastAsia="Times New Roman"/>
                <w:noProof/>
                <w:lang w:eastAsia="en-IE"/>
              </w:rPr>
              <w:t xml:space="preserve">ember </w:t>
            </w:r>
            <w:r w:rsidRPr="00726D52">
              <w:rPr>
                <w:rFonts w:eastAsia="Times New Roman"/>
                <w:noProof/>
                <w:lang w:eastAsia="en-IE"/>
              </w:rPr>
              <w:lastRenderedPageBreak/>
              <w:t>S</w:t>
            </w:r>
            <w:r w:rsidR="00726D52">
              <w:rPr>
                <w:rFonts w:eastAsia="Times New Roman"/>
                <w:noProof/>
                <w:lang w:eastAsia="en-IE"/>
              </w:rPr>
              <w:t>tates</w:t>
            </w:r>
            <w:r w:rsidRPr="00726D52">
              <w:rPr>
                <w:rFonts w:eastAsia="Times New Roman"/>
                <w:noProof/>
                <w:lang w:eastAsia="en-IE"/>
              </w:rPr>
              <w:t>, M</w:t>
            </w:r>
            <w:r w:rsidR="00726D52">
              <w:rPr>
                <w:rFonts w:eastAsia="Times New Roman"/>
                <w:noProof/>
                <w:lang w:eastAsia="en-IE"/>
              </w:rPr>
              <w:t xml:space="preserve">inistries </w:t>
            </w:r>
            <w:r w:rsidRPr="00726D52">
              <w:rPr>
                <w:rFonts w:eastAsia="Times New Roman"/>
                <w:noProof/>
                <w:lang w:eastAsia="en-IE"/>
              </w:rPr>
              <w:t>o</w:t>
            </w:r>
            <w:r w:rsidR="00726D52">
              <w:rPr>
                <w:rFonts w:eastAsia="Times New Roman"/>
                <w:noProof/>
                <w:lang w:eastAsia="en-IE"/>
              </w:rPr>
              <w:t xml:space="preserve">f </w:t>
            </w:r>
            <w:r w:rsidRPr="00726D52">
              <w:rPr>
                <w:rFonts w:eastAsia="Times New Roman"/>
                <w:noProof/>
                <w:lang w:eastAsia="en-IE"/>
              </w:rPr>
              <w:t>I</w:t>
            </w:r>
            <w:r w:rsidR="00726D52">
              <w:rPr>
                <w:rFonts w:eastAsia="Times New Roman"/>
                <w:noProof/>
                <w:lang w:eastAsia="en-IE"/>
              </w:rPr>
              <w:t>nterior</w:t>
            </w:r>
            <w:r w:rsidRPr="00726D52">
              <w:rPr>
                <w:rFonts w:eastAsia="Times New Roman"/>
                <w:noProof/>
                <w:lang w:eastAsia="en-IE"/>
              </w:rPr>
              <w:t xml:space="preserve"> (political level), JSPG, </w:t>
            </w:r>
            <w:r w:rsidR="00726D52">
              <w:rPr>
                <w:rFonts w:eastAsia="Times New Roman"/>
                <w:noProof/>
                <w:lang w:eastAsia="en-IE"/>
              </w:rPr>
              <w:t>Commission services, including</w:t>
            </w:r>
            <w:r w:rsidRPr="00726D52">
              <w:rPr>
                <w:rFonts w:eastAsia="Times New Roman"/>
                <w:noProof/>
                <w:lang w:eastAsia="en-IE"/>
              </w:rPr>
              <w:t xml:space="preserve"> SG</w:t>
            </w:r>
            <w:r w:rsidR="00726D52">
              <w:rPr>
                <w:rFonts w:eastAsia="Times New Roman"/>
                <w:noProof/>
                <w:lang w:eastAsia="en-IE"/>
              </w:rPr>
              <w:t xml:space="preserve">, DG </w:t>
            </w:r>
            <w:r w:rsidRPr="00726D52">
              <w:rPr>
                <w:rFonts w:eastAsia="Times New Roman"/>
                <w:noProof/>
                <w:lang w:eastAsia="en-IE"/>
              </w:rPr>
              <w:t xml:space="preserve">HOME, </w:t>
            </w:r>
            <w:r w:rsidR="00726D52">
              <w:rPr>
                <w:rFonts w:eastAsia="Times New Roman"/>
                <w:noProof/>
                <w:lang w:eastAsia="en-IE"/>
              </w:rPr>
              <w:t xml:space="preserve">DG </w:t>
            </w:r>
            <w:r w:rsidRPr="00726D52">
              <w:rPr>
                <w:rFonts w:eastAsia="Times New Roman"/>
                <w:noProof/>
                <w:lang w:eastAsia="en-IE"/>
              </w:rPr>
              <w:t>JUST coordination unit, Police Chiefs, HENU</w:t>
            </w:r>
            <w:r w:rsidR="00726D52">
              <w:rPr>
                <w:rFonts w:eastAsia="Times New Roman"/>
                <w:noProof/>
                <w:lang w:eastAsia="en-IE"/>
              </w:rPr>
              <w:t>.</w:t>
            </w:r>
          </w:p>
          <w:p w14:paraId="67241180" w14:textId="741AB993"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Pr="00726D52">
              <w:rPr>
                <w:rFonts w:eastAsia="Times New Roman"/>
                <w:noProof/>
                <w:lang w:eastAsia="en-IE"/>
              </w:rPr>
              <w:t>M</w:t>
            </w:r>
            <w:r w:rsidR="00726D52">
              <w:rPr>
                <w:rFonts w:eastAsia="Times New Roman"/>
                <w:noProof/>
                <w:lang w:eastAsia="en-IE"/>
              </w:rPr>
              <w:t xml:space="preserve">ember </w:t>
            </w:r>
            <w:r w:rsidRPr="00726D52">
              <w:rPr>
                <w:rFonts w:eastAsia="Times New Roman"/>
                <w:noProof/>
                <w:lang w:eastAsia="en-IE"/>
              </w:rPr>
              <w:t>S</w:t>
            </w:r>
            <w:r w:rsidR="00726D52">
              <w:rPr>
                <w:rFonts w:eastAsia="Times New Roman"/>
                <w:noProof/>
                <w:lang w:eastAsia="en-IE"/>
              </w:rPr>
              <w:t>tate</w:t>
            </w:r>
            <w:r w:rsidRPr="00726D52">
              <w:rPr>
                <w:rFonts w:eastAsia="Times New Roman"/>
                <w:noProof/>
                <w:lang w:eastAsia="en-IE"/>
              </w:rPr>
              <w:t xml:space="preserve"> </w:t>
            </w:r>
            <w:r w:rsidR="00726D52">
              <w:rPr>
                <w:rFonts w:eastAsia="Times New Roman"/>
                <w:noProof/>
                <w:lang w:eastAsia="en-IE"/>
              </w:rPr>
              <w:t>law enforcement authoritie</w:t>
            </w:r>
            <w:r w:rsidRPr="00726D52">
              <w:rPr>
                <w:rFonts w:eastAsia="Times New Roman"/>
                <w:noProof/>
                <w:lang w:eastAsia="en-IE"/>
              </w:rPr>
              <w:t>s, EU agencies and bodies; General public (public consultation)</w:t>
            </w:r>
            <w:r w:rsidR="00726D52">
              <w:rPr>
                <w:rFonts w:eastAsia="Times New Roman"/>
                <w:noProof/>
                <w:lang w:eastAsia="en-IE"/>
              </w:rPr>
              <w:t>.</w:t>
            </w:r>
          </w:p>
          <w:p w14:paraId="6DC04320" w14:textId="33891804"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Comparative analysis:</w:t>
            </w:r>
            <w:r w:rsidRPr="00726D52">
              <w:rPr>
                <w:rFonts w:eastAsia="Times New Roman"/>
                <w:b/>
                <w:bCs/>
                <w:noProof/>
                <w:lang w:eastAsia="en-IE"/>
              </w:rPr>
              <w:t xml:space="preserve"> </w:t>
            </w:r>
            <w:r w:rsidRPr="00726D52">
              <w:rPr>
                <w:rFonts w:eastAsia="Times New Roman"/>
                <w:noProof/>
                <w:lang w:eastAsia="en-IE"/>
              </w:rPr>
              <w:t xml:space="preserve">with the operational records of other EU agencies, </w:t>
            </w:r>
            <w:r w:rsidR="00726D52" w:rsidRPr="00726D52">
              <w:rPr>
                <w:rFonts w:eastAsia="Times New Roman"/>
                <w:noProof/>
                <w:lang w:eastAsia="en-IE"/>
              </w:rPr>
              <w:t>M</w:t>
            </w:r>
            <w:r w:rsidR="00726D52">
              <w:rPr>
                <w:rFonts w:eastAsia="Times New Roman"/>
                <w:noProof/>
                <w:lang w:eastAsia="en-IE"/>
              </w:rPr>
              <w:t xml:space="preserve">ember </w:t>
            </w:r>
            <w:r w:rsidR="00726D52" w:rsidRPr="00726D52">
              <w:rPr>
                <w:rFonts w:eastAsia="Times New Roman"/>
                <w:noProof/>
                <w:lang w:eastAsia="en-IE"/>
              </w:rPr>
              <w:t>S</w:t>
            </w:r>
            <w:r w:rsidR="00726D52">
              <w:rPr>
                <w:rFonts w:eastAsia="Times New Roman"/>
                <w:noProof/>
                <w:lang w:eastAsia="en-IE"/>
              </w:rPr>
              <w:t>tate</w:t>
            </w:r>
            <w:r w:rsidR="00726D52" w:rsidRPr="00726D52">
              <w:rPr>
                <w:rFonts w:eastAsia="Times New Roman"/>
                <w:noProof/>
                <w:lang w:eastAsia="en-IE"/>
              </w:rPr>
              <w:t xml:space="preserve"> </w:t>
            </w:r>
            <w:r w:rsidR="00726D52">
              <w:rPr>
                <w:rFonts w:eastAsia="Times New Roman"/>
                <w:noProof/>
                <w:lang w:eastAsia="en-IE"/>
              </w:rPr>
              <w:t>law enforcement authoritie</w:t>
            </w:r>
            <w:r w:rsidR="00726D52" w:rsidRPr="00726D52">
              <w:rPr>
                <w:rFonts w:eastAsia="Times New Roman"/>
                <w:noProof/>
                <w:lang w:eastAsia="en-IE"/>
              </w:rPr>
              <w:t>s</w:t>
            </w:r>
            <w:r w:rsidR="00726D52">
              <w:rPr>
                <w:rFonts w:eastAsia="Times New Roman"/>
                <w:noProof/>
                <w:lang w:eastAsia="en-IE"/>
              </w:rPr>
              <w:t xml:space="preserve"> </w:t>
            </w:r>
            <w:r w:rsidRPr="00726D52">
              <w:rPr>
                <w:rFonts w:eastAsia="Times New Roman"/>
                <w:noProof/>
                <w:lang w:eastAsia="en-IE"/>
              </w:rPr>
              <w:t>and INTERPOL</w:t>
            </w:r>
            <w:r w:rsidR="00AB422A">
              <w:rPr>
                <w:rFonts w:eastAsia="Times New Roman"/>
                <w:noProof/>
                <w:lang w:eastAsia="en-IE"/>
              </w:rPr>
              <w:t>.</w:t>
            </w:r>
          </w:p>
          <w:p w14:paraId="03DC047C" w14:textId="77777777" w:rsidR="00EB3457" w:rsidRPr="00726D52" w:rsidRDefault="00EB3457" w:rsidP="00C05BFC">
            <w:pPr>
              <w:spacing w:beforeAutospacing="1" w:after="0" w:afterAutospacing="1"/>
              <w:textAlignment w:val="baseline"/>
              <w:rPr>
                <w:rFonts w:eastAsia="Times New Roman"/>
                <w:noProof/>
                <w:lang w:eastAsia="en-IE"/>
              </w:rPr>
            </w:pPr>
          </w:p>
        </w:tc>
      </w:tr>
      <w:tr w:rsidR="00AB422A" w:rsidRPr="00726D52" w14:paraId="26D19815" w14:textId="77777777" w:rsidTr="289DEA4F">
        <w:trPr>
          <w:trHeight w:val="300"/>
        </w:trPr>
        <w:tc>
          <w:tcPr>
            <w:tcW w:w="669" w:type="dxa"/>
            <w:hideMark/>
          </w:tcPr>
          <w:p w14:paraId="0E2EA35A"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lastRenderedPageBreak/>
              <w:t>3</w:t>
            </w:r>
          </w:p>
        </w:tc>
        <w:tc>
          <w:tcPr>
            <w:tcW w:w="0" w:type="auto"/>
            <w:hideMark/>
          </w:tcPr>
          <w:p w14:paraId="2E3D7B67" w14:textId="5D0963C2"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To what extent did Europol’s </w:t>
            </w:r>
            <w:r w:rsidRPr="00726D52">
              <w:rPr>
                <w:rFonts w:eastAsia="Times New Roman"/>
                <w:b/>
                <w:bCs/>
                <w:noProof/>
                <w:lang w:eastAsia="en-IE"/>
              </w:rPr>
              <w:t xml:space="preserve">priorities </w:t>
            </w:r>
            <w:r w:rsidRPr="00726D52">
              <w:rPr>
                <w:rFonts w:eastAsia="Times New Roman"/>
                <w:noProof/>
                <w:lang w:eastAsia="en-IE"/>
              </w:rPr>
              <w:t xml:space="preserve">and objectives set respectively by the </w:t>
            </w:r>
            <w:r w:rsidRPr="00726D52">
              <w:rPr>
                <w:rFonts w:eastAsia="Times New Roman"/>
                <w:b/>
                <w:bCs/>
                <w:noProof/>
                <w:lang w:eastAsia="en-IE"/>
              </w:rPr>
              <w:t xml:space="preserve">multi-annual programming </w:t>
            </w:r>
            <w:r w:rsidRPr="00726D52">
              <w:rPr>
                <w:rFonts w:eastAsia="Times New Roman"/>
                <w:noProof/>
                <w:lang w:eastAsia="en-IE"/>
              </w:rPr>
              <w:t xml:space="preserve">and the </w:t>
            </w:r>
            <w:r w:rsidRPr="00726D52">
              <w:rPr>
                <w:rFonts w:eastAsia="Times New Roman"/>
                <w:b/>
                <w:bCs/>
                <w:noProof/>
                <w:lang w:eastAsia="en-IE"/>
              </w:rPr>
              <w:t xml:space="preserve">annual work programmes </w:t>
            </w:r>
            <w:r w:rsidRPr="00726D52">
              <w:rPr>
                <w:rFonts w:eastAsia="Times New Roman"/>
                <w:noProof/>
                <w:lang w:eastAsia="en-IE"/>
              </w:rPr>
              <w:t xml:space="preserve">adopted by Europol Management Board (MB) between 2017-2024 reflect over time the overall priorities and </w:t>
            </w:r>
            <w:r w:rsidRPr="00726D52">
              <w:rPr>
                <w:rFonts w:eastAsia="Times New Roman"/>
                <w:b/>
                <w:bCs/>
                <w:noProof/>
                <w:lang w:eastAsia="en-IE"/>
              </w:rPr>
              <w:t>objectives of the Agency under its legal mandate</w:t>
            </w:r>
            <w:r w:rsidRPr="00726D52">
              <w:rPr>
                <w:rFonts w:eastAsia="Times New Roman"/>
                <w:noProof/>
                <w:lang w:eastAsia="en-IE"/>
              </w:rPr>
              <w:t>? (Art</w:t>
            </w:r>
            <w:r w:rsidR="001A039B">
              <w:rPr>
                <w:rFonts w:eastAsia="Times New Roman"/>
                <w:noProof/>
                <w:lang w:eastAsia="en-IE"/>
              </w:rPr>
              <w:t>icle</w:t>
            </w:r>
            <w:r w:rsidRPr="00726D52">
              <w:rPr>
                <w:rFonts w:eastAsia="Times New Roman"/>
                <w:noProof/>
                <w:lang w:eastAsia="en-IE"/>
              </w:rPr>
              <w:t>. 3)</w:t>
            </w:r>
          </w:p>
        </w:tc>
        <w:tc>
          <w:tcPr>
            <w:tcW w:w="0" w:type="auto"/>
            <w:hideMark/>
          </w:tcPr>
          <w:p w14:paraId="07B3F1BE" w14:textId="183F0C1C"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Consistency between the priorities and objectives across the multi-annual programming, annual work programmes, and Europol’s legal mandate and obligations resulting from other legal acts</w:t>
            </w:r>
            <w:r w:rsidR="00AB422A">
              <w:rPr>
                <w:rFonts w:eastAsia="Times New Roman"/>
                <w:noProof/>
                <w:lang w:eastAsia="en-IE"/>
              </w:rPr>
              <w:t>.</w:t>
            </w:r>
          </w:p>
          <w:p w14:paraId="1D4DB8E7" w14:textId="45C053C8"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Alignment of the programmes’ goals with the overarching strategic goals of the Agency and the evolving political and legislative landscape</w:t>
            </w:r>
            <w:r w:rsidR="00AB422A">
              <w:rPr>
                <w:rFonts w:eastAsia="Times New Roman"/>
                <w:noProof/>
                <w:lang w:eastAsia="en-IE"/>
              </w:rPr>
              <w:t>.</w:t>
            </w:r>
          </w:p>
          <w:p w14:paraId="49BB3635" w14:textId="77777777" w:rsidR="00EB3457" w:rsidRPr="00726D52" w:rsidRDefault="00EB3457" w:rsidP="00C05BFC">
            <w:pPr>
              <w:spacing w:beforeAutospacing="1" w:after="0" w:afterAutospacing="1"/>
              <w:textAlignment w:val="baseline"/>
              <w:rPr>
                <w:rFonts w:eastAsia="Times New Roman"/>
                <w:noProof/>
                <w:lang w:eastAsia="en-IE"/>
              </w:rPr>
            </w:pPr>
          </w:p>
        </w:tc>
        <w:tc>
          <w:tcPr>
            <w:tcW w:w="0" w:type="auto"/>
            <w:hideMark/>
          </w:tcPr>
          <w:p w14:paraId="2E1B6340"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Qualitative:</w:t>
            </w:r>
          </w:p>
          <w:p w14:paraId="6BBB597A" w14:textId="6F7936FA"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Evidence of main initiatives or projects within the multi-annual and annual programmes adopted by the MB to illustrate how they contribute to the Agency’s objectives under its legal mandate</w:t>
            </w:r>
            <w:r w:rsidR="00AB422A">
              <w:rPr>
                <w:rFonts w:eastAsia="Times New Roman"/>
                <w:noProof/>
                <w:lang w:eastAsia="en-IE"/>
              </w:rPr>
              <w:t>.</w:t>
            </w:r>
          </w:p>
          <w:p w14:paraId="0D648540" w14:textId="011DCE1F"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Identified consistencies or discrepancies in the stated priorities and objectives</w:t>
            </w:r>
            <w:r w:rsidR="00AB422A">
              <w:rPr>
                <w:rFonts w:eastAsia="Times New Roman"/>
                <w:noProof/>
                <w:lang w:eastAsia="en-IE"/>
              </w:rPr>
              <w:t>.</w:t>
            </w:r>
          </w:p>
          <w:p w14:paraId="64589953"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Opinion based:</w:t>
            </w:r>
          </w:p>
          <w:p w14:paraId="35FF0462" w14:textId="03ADAAD1"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Effectiveness of the multi-annual programming and the annual work programmes adopted by Europol MB in meeting the Agency’s objectives under its legal mandate</w:t>
            </w:r>
            <w:r w:rsidR="00AB422A">
              <w:rPr>
                <w:rFonts w:eastAsia="Times New Roman"/>
                <w:noProof/>
                <w:lang w:eastAsia="en-IE"/>
              </w:rPr>
              <w:t>.</w:t>
            </w:r>
          </w:p>
          <w:p w14:paraId="1357E76A"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Quantitative:</w:t>
            </w:r>
          </w:p>
          <w:p w14:paraId="2E558FBF" w14:textId="387ED723"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Review of performance indicators and data and progress reports to measure the progress and achievements over the evaluation period (2017-2024)</w:t>
            </w:r>
            <w:r w:rsidR="00AB422A">
              <w:rPr>
                <w:rFonts w:eastAsia="Times New Roman"/>
                <w:noProof/>
                <w:lang w:eastAsia="en-IE"/>
              </w:rPr>
              <w:t>.</w:t>
            </w:r>
          </w:p>
        </w:tc>
        <w:tc>
          <w:tcPr>
            <w:tcW w:w="0" w:type="auto"/>
            <w:hideMark/>
          </w:tcPr>
          <w:p w14:paraId="23785BBE"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Review of grey literature (notably, Europol’s operational documents such as SPDs and CAARs); mapping priorities against Annex 1 listed crimes</w:t>
            </w:r>
          </w:p>
          <w:p w14:paraId="5B645B31" w14:textId="77777777" w:rsidR="00EB3457" w:rsidRPr="00726D52" w:rsidRDefault="00EB3457" w:rsidP="00C05BFC">
            <w:pPr>
              <w:spacing w:after="0"/>
              <w:textAlignment w:val="baseline"/>
              <w:rPr>
                <w:rFonts w:eastAsia="Times New Roman"/>
                <w:noProof/>
                <w:lang w:eastAsia="en-IE"/>
              </w:rPr>
            </w:pPr>
          </w:p>
          <w:p w14:paraId="340B5878" w14:textId="16950756"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M</w:t>
            </w:r>
            <w:r w:rsidR="001A039B">
              <w:rPr>
                <w:rFonts w:eastAsia="Times New Roman"/>
                <w:noProof/>
                <w:lang w:eastAsia="en-IE"/>
              </w:rPr>
              <w:t xml:space="preserve">ember </w:t>
            </w:r>
            <w:r w:rsidRPr="00726D52">
              <w:rPr>
                <w:rFonts w:eastAsia="Times New Roman"/>
                <w:noProof/>
                <w:lang w:eastAsia="en-IE"/>
              </w:rPr>
              <w:t>S</w:t>
            </w:r>
            <w:r w:rsidR="001A039B">
              <w:rPr>
                <w:rFonts w:eastAsia="Times New Roman"/>
                <w:noProof/>
                <w:lang w:eastAsia="en-IE"/>
              </w:rPr>
              <w:t>tates</w:t>
            </w:r>
            <w:r w:rsidRPr="00726D52">
              <w:rPr>
                <w:rFonts w:eastAsia="Times New Roman"/>
                <w:noProof/>
                <w:lang w:eastAsia="en-IE"/>
              </w:rPr>
              <w:t xml:space="preserve"> M</w:t>
            </w:r>
            <w:r w:rsidR="001A039B">
              <w:rPr>
                <w:rFonts w:eastAsia="Times New Roman"/>
                <w:noProof/>
                <w:lang w:eastAsia="en-IE"/>
              </w:rPr>
              <w:t xml:space="preserve">inistries </w:t>
            </w:r>
            <w:r w:rsidRPr="00726D52">
              <w:rPr>
                <w:rFonts w:eastAsia="Times New Roman"/>
                <w:noProof/>
                <w:lang w:eastAsia="en-IE"/>
              </w:rPr>
              <w:t>o</w:t>
            </w:r>
            <w:r w:rsidR="001A039B">
              <w:rPr>
                <w:rFonts w:eastAsia="Times New Roman"/>
                <w:noProof/>
                <w:lang w:eastAsia="en-IE"/>
              </w:rPr>
              <w:t xml:space="preserve">f </w:t>
            </w:r>
            <w:r w:rsidRPr="00726D52">
              <w:rPr>
                <w:rFonts w:eastAsia="Times New Roman"/>
                <w:noProof/>
                <w:lang w:eastAsia="en-IE"/>
              </w:rPr>
              <w:t>I</w:t>
            </w:r>
            <w:r w:rsidR="001A039B">
              <w:rPr>
                <w:rFonts w:eastAsia="Times New Roman"/>
                <w:noProof/>
                <w:lang w:eastAsia="en-IE"/>
              </w:rPr>
              <w:t>nterior</w:t>
            </w:r>
            <w:r w:rsidRPr="00726D52">
              <w:rPr>
                <w:rFonts w:eastAsia="Times New Roman"/>
                <w:noProof/>
                <w:lang w:eastAsia="en-IE"/>
              </w:rPr>
              <w:t>/political level, JSPG, COM strategic staff JHA policy, Europol MB</w:t>
            </w:r>
          </w:p>
          <w:p w14:paraId="324DBC20" w14:textId="77777777" w:rsidR="00EB3457" w:rsidRPr="00726D52" w:rsidRDefault="00EB3457" w:rsidP="00C05BFC">
            <w:pPr>
              <w:spacing w:after="0"/>
              <w:textAlignment w:val="baseline"/>
              <w:rPr>
                <w:rFonts w:eastAsia="Times New Roman"/>
                <w:noProof/>
                <w:lang w:eastAsia="en-IE"/>
              </w:rPr>
            </w:pPr>
          </w:p>
          <w:p w14:paraId="6B36EADE" w14:textId="03CC8A3F"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001A039B">
              <w:rPr>
                <w:rFonts w:eastAsia="Times New Roman"/>
                <w:noProof/>
                <w:lang w:eastAsia="en-IE"/>
              </w:rPr>
              <w:t xml:space="preserve">, </w:t>
            </w:r>
            <w:r w:rsidRPr="00726D52">
              <w:rPr>
                <w:rFonts w:eastAsia="Times New Roman"/>
                <w:noProof/>
                <w:lang w:eastAsia="en-IE"/>
              </w:rPr>
              <w:t>EU agencies and bodies; General public (public consultation)</w:t>
            </w:r>
          </w:p>
          <w:p w14:paraId="34DD3F49" w14:textId="77777777" w:rsidR="00EB3457" w:rsidRPr="00726D52" w:rsidRDefault="00EB3457" w:rsidP="00C05BFC">
            <w:pPr>
              <w:spacing w:beforeAutospacing="1" w:after="0" w:afterAutospacing="1"/>
              <w:textAlignment w:val="baseline"/>
              <w:rPr>
                <w:rFonts w:eastAsia="Times New Roman"/>
                <w:noProof/>
                <w:lang w:eastAsia="en-IE"/>
              </w:rPr>
            </w:pPr>
          </w:p>
        </w:tc>
      </w:tr>
      <w:tr w:rsidR="00AB422A" w:rsidRPr="00726D52" w14:paraId="15812F6A" w14:textId="77777777" w:rsidTr="289DEA4F">
        <w:trPr>
          <w:trHeight w:val="300"/>
        </w:trPr>
        <w:tc>
          <w:tcPr>
            <w:tcW w:w="669" w:type="dxa"/>
            <w:hideMark/>
          </w:tcPr>
          <w:p w14:paraId="51C418D2"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lastRenderedPageBreak/>
              <w:t>4</w:t>
            </w:r>
          </w:p>
        </w:tc>
        <w:tc>
          <w:tcPr>
            <w:tcW w:w="0" w:type="auto"/>
            <w:hideMark/>
          </w:tcPr>
          <w:p w14:paraId="6AF91D28"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To what extent and how have </w:t>
            </w:r>
            <w:r w:rsidRPr="00726D52">
              <w:rPr>
                <w:rFonts w:eastAsia="Times New Roman"/>
                <w:b/>
                <w:bCs/>
                <w:noProof/>
                <w:lang w:eastAsia="en-IE"/>
              </w:rPr>
              <w:t xml:space="preserve">external factors </w:t>
            </w:r>
            <w:r w:rsidRPr="00726D52">
              <w:rPr>
                <w:rFonts w:eastAsia="Times New Roman"/>
                <w:noProof/>
                <w:lang w:eastAsia="en-IE"/>
              </w:rPr>
              <w:t>(COVID, development of AI and other technology; global security developments) influenced the effectiveness of Europol?</w:t>
            </w:r>
          </w:p>
        </w:tc>
        <w:tc>
          <w:tcPr>
            <w:tcW w:w="0" w:type="auto"/>
            <w:hideMark/>
          </w:tcPr>
          <w:p w14:paraId="71E084CF" w14:textId="751030EE"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External factors had limited impact on Europol’s objectives and tasks</w:t>
            </w:r>
            <w:r w:rsidR="00AB422A">
              <w:rPr>
                <w:rFonts w:eastAsia="Times New Roman"/>
                <w:noProof/>
                <w:lang w:eastAsia="en-IE"/>
              </w:rPr>
              <w:t>.</w:t>
            </w:r>
          </w:p>
          <w:p w14:paraId="4D53EE03" w14:textId="093204CA"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External factors had limited impact on the effectiveness of Europol’s working methods</w:t>
            </w:r>
            <w:r w:rsidR="00AB422A">
              <w:rPr>
                <w:rFonts w:eastAsia="Times New Roman"/>
                <w:noProof/>
                <w:lang w:eastAsia="en-IE"/>
              </w:rPr>
              <w:t>.</w:t>
            </w:r>
          </w:p>
        </w:tc>
        <w:tc>
          <w:tcPr>
            <w:tcW w:w="0" w:type="auto"/>
            <w:hideMark/>
          </w:tcPr>
          <w:p w14:paraId="27DEC9D3"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Qualitative:</w:t>
            </w:r>
          </w:p>
          <w:p w14:paraId="28F16A3D" w14:textId="5EEE6344"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Identification and assessment of external factors impacting Europol’s operational effectiveness</w:t>
            </w:r>
            <w:r w:rsidR="00AB422A">
              <w:rPr>
                <w:rFonts w:eastAsia="Times New Roman"/>
                <w:noProof/>
                <w:lang w:eastAsia="en-IE"/>
              </w:rPr>
              <w:t>.</w:t>
            </w:r>
          </w:p>
          <w:p w14:paraId="50855DAE"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Opinion-based:</w:t>
            </w:r>
          </w:p>
          <w:p w14:paraId="2767CCE8" w14:textId="67DEE2F2"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 xml:space="preserve">Perceptions of Europol staff, law enforcement authorities, EU policy makers, other experts on impact of </w:t>
            </w:r>
            <w:r w:rsidRPr="00726D52">
              <w:rPr>
                <w:rFonts w:eastAsia="Times New Roman"/>
                <w:noProof/>
                <w:lang w:eastAsia="en-IE"/>
              </w:rPr>
              <w:lastRenderedPageBreak/>
              <w:t>external factors (e.g. on Europol’s effectiveness</w:t>
            </w:r>
            <w:r w:rsidR="00AB422A">
              <w:rPr>
                <w:rFonts w:eastAsia="Times New Roman"/>
                <w:noProof/>
                <w:lang w:eastAsia="en-IE"/>
              </w:rPr>
              <w:t>.</w:t>
            </w:r>
          </w:p>
          <w:p w14:paraId="542C9AF3" w14:textId="6CB5428A"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Perceptions about the development of technology for LEA purposes</w:t>
            </w:r>
            <w:r w:rsidR="00AB422A">
              <w:rPr>
                <w:rFonts w:eastAsia="Times New Roman"/>
                <w:noProof/>
                <w:lang w:eastAsia="en-IE"/>
              </w:rPr>
              <w:t>.</w:t>
            </w:r>
          </w:p>
          <w:p w14:paraId="4E413EBC" w14:textId="00C6A62B"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Perceptions about developments of use of technology for criminal purposes</w:t>
            </w:r>
            <w:r w:rsidR="00AB422A">
              <w:rPr>
                <w:rFonts w:eastAsia="Times New Roman"/>
                <w:noProof/>
                <w:lang w:eastAsia="en-IE"/>
              </w:rPr>
              <w:t>.</w:t>
            </w:r>
          </w:p>
          <w:p w14:paraId="38107FB3"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Quantitative:</w:t>
            </w:r>
          </w:p>
          <w:p w14:paraId="6BFFC1DA" w14:textId="5FE160D0"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Evolution of the number of stakeholders with which Europol is expected to cooperate and of its areas of activity</w:t>
            </w:r>
            <w:r w:rsidR="00AB422A">
              <w:rPr>
                <w:rFonts w:eastAsia="Times New Roman"/>
                <w:noProof/>
                <w:lang w:eastAsia="en-IE"/>
              </w:rPr>
              <w:t>.</w:t>
            </w:r>
          </w:p>
        </w:tc>
        <w:tc>
          <w:tcPr>
            <w:tcW w:w="0" w:type="auto"/>
            <w:hideMark/>
          </w:tcPr>
          <w:p w14:paraId="4DBCC181"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Academic papers, grey literature, Europol’s operational support documents</w:t>
            </w:r>
          </w:p>
          <w:p w14:paraId="5D584EB3" w14:textId="77777777" w:rsidR="00EB3457" w:rsidRPr="00726D52" w:rsidRDefault="00EB3457" w:rsidP="00C05BFC">
            <w:pPr>
              <w:spacing w:after="0"/>
              <w:textAlignment w:val="baseline"/>
              <w:rPr>
                <w:rFonts w:eastAsia="Times New Roman"/>
                <w:noProof/>
                <w:lang w:eastAsia="en-IE"/>
              </w:rPr>
            </w:pPr>
          </w:p>
          <w:p w14:paraId="1FD004E4" w14:textId="2F69BA56"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JSPG, M</w:t>
            </w:r>
            <w:r w:rsidR="001A039B">
              <w:rPr>
                <w:rFonts w:eastAsia="Times New Roman"/>
                <w:noProof/>
                <w:lang w:eastAsia="en-IE"/>
              </w:rPr>
              <w:t xml:space="preserve">ember </w:t>
            </w:r>
            <w:r w:rsidRPr="00726D52">
              <w:rPr>
                <w:rFonts w:eastAsia="Times New Roman"/>
                <w:noProof/>
                <w:lang w:eastAsia="en-IE"/>
              </w:rPr>
              <w:t>S</w:t>
            </w:r>
            <w:r w:rsidR="001A039B">
              <w:rPr>
                <w:rFonts w:eastAsia="Times New Roman"/>
                <w:noProof/>
                <w:lang w:eastAsia="en-IE"/>
              </w:rPr>
              <w:t>tates</w:t>
            </w:r>
            <w:r w:rsidRPr="00726D52">
              <w:rPr>
                <w:rFonts w:eastAsia="Times New Roman"/>
                <w:noProof/>
                <w:lang w:eastAsia="en-IE"/>
              </w:rPr>
              <w:t xml:space="preserve"> M</w:t>
            </w:r>
            <w:r w:rsidR="001A039B">
              <w:rPr>
                <w:rFonts w:eastAsia="Times New Roman"/>
                <w:noProof/>
                <w:lang w:eastAsia="en-IE"/>
              </w:rPr>
              <w:t>inistries of Interior</w:t>
            </w:r>
            <w:r w:rsidRPr="00726D52">
              <w:rPr>
                <w:rFonts w:eastAsia="Times New Roman"/>
                <w:noProof/>
                <w:lang w:eastAsia="en-IE"/>
              </w:rPr>
              <w:t xml:space="preserve"> (political level), COM strategic policy staff, Europol MB, Academia and other experts, NGOs</w:t>
            </w:r>
          </w:p>
          <w:p w14:paraId="0A586CD5" w14:textId="77777777" w:rsidR="00EB3457" w:rsidRPr="00726D52" w:rsidRDefault="00EB3457" w:rsidP="00C05BFC">
            <w:pPr>
              <w:spacing w:after="0"/>
              <w:textAlignment w:val="baseline"/>
              <w:rPr>
                <w:rFonts w:eastAsia="Times New Roman"/>
                <w:noProof/>
                <w:lang w:eastAsia="en-IE"/>
              </w:rPr>
            </w:pPr>
          </w:p>
          <w:p w14:paraId="7D53DE39" w14:textId="031803E0"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Survey:</w:t>
            </w:r>
            <w:r w:rsidRPr="00726D52">
              <w:rPr>
                <w:rFonts w:eastAsia="Times New Roman"/>
                <w:b/>
                <w:bCs/>
                <w:noProof/>
                <w:lang w:eastAsia="en-IE"/>
              </w:rPr>
              <w:t xml:space="preserve"> </w:t>
            </w:r>
            <w:r w:rsidRPr="00726D52">
              <w:rPr>
                <w:rFonts w:eastAsia="Times New Roman"/>
                <w:noProof/>
                <w:lang w:eastAsia="en-IE"/>
              </w:rPr>
              <w:t>M</w:t>
            </w:r>
            <w:r w:rsidR="00AB422A">
              <w:rPr>
                <w:rFonts w:eastAsia="Times New Roman"/>
                <w:noProof/>
                <w:lang w:eastAsia="en-IE"/>
              </w:rPr>
              <w:t xml:space="preserve">ember </w:t>
            </w:r>
            <w:r w:rsidRPr="00726D52">
              <w:rPr>
                <w:rFonts w:eastAsia="Times New Roman"/>
                <w:noProof/>
                <w:lang w:eastAsia="en-IE"/>
              </w:rPr>
              <w:t>S</w:t>
            </w:r>
            <w:r w:rsidR="00AB422A">
              <w:rPr>
                <w:rFonts w:eastAsia="Times New Roman"/>
                <w:noProof/>
                <w:lang w:eastAsia="en-IE"/>
              </w:rPr>
              <w:t>tates</w:t>
            </w:r>
            <w:r w:rsidRPr="00726D52">
              <w:rPr>
                <w:rFonts w:eastAsia="Times New Roman"/>
                <w:noProof/>
                <w:lang w:eastAsia="en-IE"/>
              </w:rPr>
              <w:t xml:space="preserve"> </w:t>
            </w:r>
            <w:r w:rsidR="00AB422A">
              <w:rPr>
                <w:rFonts w:eastAsia="Times New Roman"/>
                <w:noProof/>
                <w:lang w:eastAsia="en-IE"/>
              </w:rPr>
              <w:t>law enforcement authorities,</w:t>
            </w:r>
            <w:r w:rsidRPr="00726D52">
              <w:rPr>
                <w:rFonts w:eastAsia="Times New Roman"/>
                <w:noProof/>
                <w:lang w:eastAsia="en-IE"/>
              </w:rPr>
              <w:t xml:space="preserve"> EU agencies and bodies; General public (public consultation)</w:t>
            </w:r>
          </w:p>
        </w:tc>
      </w:tr>
      <w:tr w:rsidR="00AB422A" w:rsidRPr="00726D52" w14:paraId="2F5DBF6B" w14:textId="77777777" w:rsidTr="289DEA4F">
        <w:trPr>
          <w:trHeight w:val="300"/>
        </w:trPr>
        <w:tc>
          <w:tcPr>
            <w:tcW w:w="669" w:type="dxa"/>
            <w:hideMark/>
          </w:tcPr>
          <w:p w14:paraId="1804AEFB"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lastRenderedPageBreak/>
              <w:t>5</w:t>
            </w:r>
          </w:p>
        </w:tc>
        <w:tc>
          <w:tcPr>
            <w:tcW w:w="0" w:type="auto"/>
            <w:hideMark/>
          </w:tcPr>
          <w:p w14:paraId="06B992E0"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To what extent does Europol make effective and proportionate use of the different </w:t>
            </w:r>
            <w:r w:rsidRPr="00726D52">
              <w:rPr>
                <w:rFonts w:eastAsia="Times New Roman"/>
                <w:b/>
                <w:bCs/>
                <w:noProof/>
                <w:lang w:eastAsia="en-IE"/>
              </w:rPr>
              <w:t xml:space="preserve">task domains (6 core areas: information management, operational support, strategic analysis, specialised expertise (expert support centres), private sector cooperation, external </w:t>
            </w:r>
            <w:r w:rsidRPr="00726D52">
              <w:rPr>
                <w:rFonts w:eastAsia="Times New Roman"/>
                <w:b/>
                <w:bCs/>
                <w:noProof/>
                <w:lang w:eastAsia="en-IE"/>
              </w:rPr>
              <w:lastRenderedPageBreak/>
              <w:t xml:space="preserve">cooperation) - and tools (EIS, SIS, EAS, SIENA, Big data processing, system with EPPO) </w:t>
            </w:r>
            <w:r w:rsidRPr="00726D52">
              <w:rPr>
                <w:rFonts w:eastAsia="Times New Roman"/>
                <w:noProof/>
                <w:lang w:eastAsia="en-IE"/>
              </w:rPr>
              <w:t>under the current legal framework?</w:t>
            </w:r>
          </w:p>
        </w:tc>
        <w:tc>
          <w:tcPr>
            <w:tcW w:w="0" w:type="auto"/>
            <w:hideMark/>
          </w:tcPr>
          <w:p w14:paraId="18445DFD" w14:textId="0E8B2D1A"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lastRenderedPageBreak/>
              <w:t>Europol’s makes satisfactory and proportionate use of all task domains and tools entrusted to it to achieve its objectives and tasks as set out in its legal mandate</w:t>
            </w:r>
            <w:r w:rsidR="00AB422A">
              <w:rPr>
                <w:rFonts w:eastAsia="Times New Roman"/>
                <w:noProof/>
                <w:lang w:eastAsia="en-IE"/>
              </w:rPr>
              <w:t>.</w:t>
            </w:r>
          </w:p>
          <w:p w14:paraId="11D678BF" w14:textId="5CE97EAB"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 xml:space="preserve">There is clear complementarity between the use made by Europol of its task domains </w:t>
            </w:r>
            <w:r w:rsidRPr="00726D52">
              <w:rPr>
                <w:rFonts w:eastAsia="Times New Roman"/>
                <w:noProof/>
                <w:lang w:eastAsia="en-IE"/>
              </w:rPr>
              <w:lastRenderedPageBreak/>
              <w:t xml:space="preserve">and tools and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001A039B">
              <w:rPr>
                <w:rFonts w:eastAsia="Times New Roman"/>
                <w:noProof/>
                <w:lang w:eastAsia="en-IE"/>
              </w:rPr>
              <w:t xml:space="preserve">’ </w:t>
            </w:r>
            <w:r w:rsidRPr="00726D52">
              <w:rPr>
                <w:rFonts w:eastAsia="Times New Roman"/>
                <w:noProof/>
                <w:lang w:eastAsia="en-IE"/>
              </w:rPr>
              <w:t>activities</w:t>
            </w:r>
            <w:r w:rsidR="00AB422A">
              <w:rPr>
                <w:rFonts w:eastAsia="Times New Roman"/>
                <w:noProof/>
                <w:lang w:eastAsia="en-IE"/>
              </w:rPr>
              <w:t>.</w:t>
            </w:r>
          </w:p>
          <w:p w14:paraId="6BE2F5F3" w14:textId="04AD4EBA"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The mere fact that Europol disposes of certain tasks and tools has already a deterrent effect for criminals and terrorists regardless of its use</w:t>
            </w:r>
            <w:r w:rsidR="00AB422A">
              <w:rPr>
                <w:rFonts w:eastAsia="Times New Roman"/>
                <w:noProof/>
                <w:lang w:eastAsia="en-IE"/>
              </w:rPr>
              <w:t>.</w:t>
            </w:r>
            <w:r w:rsidRPr="00726D52">
              <w:rPr>
                <w:rFonts w:eastAsia="Times New Roman"/>
                <w:noProof/>
                <w:lang w:eastAsia="en-IE"/>
              </w:rPr>
              <w:t> </w:t>
            </w:r>
          </w:p>
        </w:tc>
        <w:tc>
          <w:tcPr>
            <w:tcW w:w="0" w:type="auto"/>
            <w:hideMark/>
          </w:tcPr>
          <w:p w14:paraId="7D025ED0"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lastRenderedPageBreak/>
              <w:t>Qualitative:</w:t>
            </w:r>
          </w:p>
          <w:p w14:paraId="5EFC555C" w14:textId="129E5052"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Impact of development of tools and task domains on crime and terrorism</w:t>
            </w:r>
            <w:r w:rsidR="00AB422A">
              <w:rPr>
                <w:rFonts w:eastAsia="Times New Roman"/>
                <w:noProof/>
                <w:lang w:eastAsia="en-IE"/>
              </w:rPr>
              <w:t>.</w:t>
            </w:r>
          </w:p>
          <w:p w14:paraId="116397BF" w14:textId="7777777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b/>
                <w:bCs/>
                <w:noProof/>
                <w:u w:val="single"/>
                <w:lang w:eastAsia="en-IE"/>
              </w:rPr>
              <w:t>Opinion-based:</w:t>
            </w:r>
          </w:p>
          <w:p w14:paraId="34C12E63" w14:textId="0C4DEF87"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 xml:space="preserve">Europol staff views on the use of different powers and tools as set out </w:t>
            </w:r>
            <w:r w:rsidRPr="00726D52">
              <w:rPr>
                <w:rFonts w:eastAsia="Times New Roman"/>
                <w:noProof/>
                <w:lang w:eastAsia="en-IE"/>
              </w:rPr>
              <w:lastRenderedPageBreak/>
              <w:t>in the legal mandate and likely impact on crime/ deterrent effect</w:t>
            </w:r>
            <w:r w:rsidR="00AB422A">
              <w:rPr>
                <w:rFonts w:eastAsia="Times New Roman"/>
                <w:noProof/>
                <w:lang w:eastAsia="en-IE"/>
              </w:rPr>
              <w:t>.</w:t>
            </w:r>
          </w:p>
          <w:p w14:paraId="721D680D" w14:textId="24EAC08C" w:rsidR="00EB3457" w:rsidRPr="00726D52" w:rsidRDefault="00EB3457" w:rsidP="00C05BFC">
            <w:pPr>
              <w:spacing w:beforeAutospacing="1" w:after="0" w:afterAutospacing="1"/>
              <w:textAlignment w:val="baseline"/>
              <w:rPr>
                <w:rFonts w:eastAsia="Times New Roman"/>
                <w:noProof/>
                <w:lang w:eastAsia="en-IE"/>
              </w:rPr>
            </w:pPr>
            <w:r w:rsidRPr="00726D52">
              <w:rPr>
                <w:rFonts w:eastAsia="Times New Roman"/>
                <w:noProof/>
                <w:lang w:eastAsia="en-IE"/>
              </w:rPr>
              <w:t>Public and academic experts – on use of Europol of its powers and tools and possible impact on crime / deterrent effect</w:t>
            </w:r>
            <w:r w:rsidR="00AB422A">
              <w:rPr>
                <w:rFonts w:eastAsia="Times New Roman"/>
                <w:noProof/>
                <w:lang w:eastAsia="en-IE"/>
              </w:rPr>
              <w:t>.</w:t>
            </w:r>
          </w:p>
          <w:p w14:paraId="6D2D9DA0" w14:textId="77777777" w:rsidR="00EB3457" w:rsidRPr="00726D52" w:rsidRDefault="00EB3457" w:rsidP="00C05BFC">
            <w:pPr>
              <w:spacing w:beforeAutospacing="1" w:after="0" w:afterAutospacing="1"/>
              <w:textAlignment w:val="baseline"/>
              <w:rPr>
                <w:rFonts w:eastAsia="Times New Roman"/>
                <w:b/>
                <w:bCs/>
                <w:noProof/>
                <w:u w:val="single"/>
                <w:lang w:eastAsia="en-IE"/>
              </w:rPr>
            </w:pPr>
            <w:r w:rsidRPr="00726D52">
              <w:rPr>
                <w:rFonts w:eastAsia="Times New Roman"/>
                <w:b/>
                <w:bCs/>
                <w:noProof/>
                <w:u w:val="single"/>
                <w:lang w:eastAsia="en-IE"/>
              </w:rPr>
              <w:t>Quantitative:</w:t>
            </w:r>
          </w:p>
          <w:p w14:paraId="0A04FA57" w14:textId="07B1D891"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Statistical information on the use and costs of the various tools such as EIS, SIENA, EAS, big data processing, system with EPPO</w:t>
            </w:r>
            <w:r w:rsidR="00AB422A">
              <w:rPr>
                <w:rFonts w:eastAsia="Times New Roman"/>
                <w:noProof/>
                <w:lang w:eastAsia="en-IE"/>
              </w:rPr>
              <w:t>.</w:t>
            </w:r>
          </w:p>
        </w:tc>
        <w:tc>
          <w:tcPr>
            <w:tcW w:w="0" w:type="auto"/>
            <w:hideMark/>
          </w:tcPr>
          <w:p w14:paraId="7C048EC7" w14:textId="3C65200B"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Europol’s operational documents, academic research, National information on ENUs and their impact</w:t>
            </w:r>
            <w:r w:rsidR="00AB422A">
              <w:rPr>
                <w:rFonts w:eastAsia="Times New Roman"/>
                <w:noProof/>
                <w:lang w:eastAsia="en-IE"/>
              </w:rPr>
              <w:t>.</w:t>
            </w:r>
          </w:p>
          <w:p w14:paraId="55E66AD1" w14:textId="77777777" w:rsidR="00EB3457" w:rsidRPr="00726D52" w:rsidRDefault="00EB3457" w:rsidP="00C05BFC">
            <w:pPr>
              <w:spacing w:after="0"/>
              <w:textAlignment w:val="baseline"/>
              <w:rPr>
                <w:rFonts w:eastAsia="Times New Roman"/>
                <w:noProof/>
                <w:lang w:eastAsia="en-IE"/>
              </w:rPr>
            </w:pPr>
          </w:p>
          <w:p w14:paraId="039CBDF4" w14:textId="1103635A"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 xml:space="preserve">Interviews: </w:t>
            </w:r>
            <w:r w:rsidRPr="00726D52">
              <w:rPr>
                <w:rFonts w:eastAsia="Times New Roman"/>
                <w:noProof/>
                <w:lang w:eastAsia="en-IE"/>
              </w:rPr>
              <w:t>JSPG, M</w:t>
            </w:r>
            <w:r w:rsidR="001A039B">
              <w:rPr>
                <w:rFonts w:eastAsia="Times New Roman"/>
                <w:noProof/>
                <w:lang w:eastAsia="en-IE"/>
              </w:rPr>
              <w:t>ember States Ministries of Interior</w:t>
            </w:r>
            <w:r w:rsidRPr="00726D52">
              <w:rPr>
                <w:rFonts w:eastAsia="Times New Roman"/>
                <w:noProof/>
                <w:lang w:eastAsia="en-IE"/>
              </w:rPr>
              <w:t xml:space="preserve"> (political level), COM strategic </w:t>
            </w:r>
            <w:r w:rsidRPr="00726D52">
              <w:rPr>
                <w:rFonts w:eastAsia="Times New Roman"/>
                <w:noProof/>
                <w:lang w:eastAsia="en-IE"/>
              </w:rPr>
              <w:lastRenderedPageBreak/>
              <w:t>policy staff JHA area, Europol MB</w:t>
            </w:r>
            <w:r w:rsidR="00AB422A">
              <w:rPr>
                <w:rFonts w:eastAsia="Times New Roman"/>
                <w:noProof/>
                <w:lang w:eastAsia="en-IE"/>
              </w:rPr>
              <w:t>.</w:t>
            </w:r>
          </w:p>
          <w:p w14:paraId="2F2FEDF1" w14:textId="77777777" w:rsidR="00EB3457" w:rsidRPr="00726D52" w:rsidRDefault="00EB3457" w:rsidP="00C05BFC">
            <w:pPr>
              <w:spacing w:after="0"/>
              <w:textAlignment w:val="baseline"/>
              <w:rPr>
                <w:rFonts w:eastAsia="Times New Roman"/>
                <w:noProof/>
                <w:lang w:eastAsia="en-IE"/>
              </w:rPr>
            </w:pPr>
          </w:p>
          <w:p w14:paraId="5CC80825" w14:textId="4CCDDF7C"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Pr="00726D52">
              <w:rPr>
                <w:rFonts w:eastAsia="Times New Roman"/>
                <w:noProof/>
                <w:lang w:eastAsia="en-IE"/>
              </w:rPr>
              <w:t>, General public (public consultation), EU institutions, agencies and bodies</w:t>
            </w:r>
            <w:r w:rsidR="00AB422A">
              <w:rPr>
                <w:rFonts w:eastAsia="Times New Roman"/>
                <w:noProof/>
                <w:lang w:eastAsia="en-IE"/>
              </w:rPr>
              <w:t>.</w:t>
            </w:r>
          </w:p>
          <w:p w14:paraId="00ED6C3B" w14:textId="77777777" w:rsidR="00EB3457" w:rsidRPr="00726D52" w:rsidRDefault="00EB3457" w:rsidP="00C05BFC">
            <w:pPr>
              <w:spacing w:after="0"/>
              <w:textAlignment w:val="baseline"/>
              <w:rPr>
                <w:rFonts w:eastAsia="Times New Roman"/>
                <w:noProof/>
                <w:lang w:eastAsia="en-IE"/>
              </w:rPr>
            </w:pPr>
          </w:p>
        </w:tc>
      </w:tr>
      <w:tr w:rsidR="00726D52" w:rsidRPr="00726D52" w14:paraId="1C5D0E10" w14:textId="77777777" w:rsidTr="289DEA4F">
        <w:trPr>
          <w:trHeight w:val="300"/>
        </w:trPr>
        <w:tc>
          <w:tcPr>
            <w:tcW w:w="669" w:type="dxa"/>
            <w:shd w:val="clear" w:color="auto" w:fill="E1EBF7"/>
            <w:hideMark/>
          </w:tcPr>
          <w:p w14:paraId="3A853740"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lastRenderedPageBreak/>
              <w:t>B</w:t>
            </w:r>
          </w:p>
        </w:tc>
        <w:tc>
          <w:tcPr>
            <w:tcW w:w="0" w:type="auto"/>
            <w:gridSpan w:val="4"/>
            <w:shd w:val="clear" w:color="auto" w:fill="E1EBF7"/>
            <w:hideMark/>
          </w:tcPr>
          <w:p w14:paraId="23A56D41"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 xml:space="preserve">Efficiency: </w:t>
            </w:r>
            <w:r w:rsidRPr="00726D52">
              <w:rPr>
                <w:rFonts w:eastAsia="Times New Roman"/>
                <w:noProof/>
                <w:lang w:eastAsia="en-IE"/>
              </w:rPr>
              <w:t>How well did Europol use resources relative to the changes achieved?</w:t>
            </w:r>
          </w:p>
        </w:tc>
      </w:tr>
      <w:tr w:rsidR="00AB422A" w:rsidRPr="00726D52" w14:paraId="165A7CAE" w14:textId="77777777" w:rsidTr="289DEA4F">
        <w:trPr>
          <w:trHeight w:val="585"/>
        </w:trPr>
        <w:tc>
          <w:tcPr>
            <w:tcW w:w="669" w:type="dxa"/>
            <w:hideMark/>
          </w:tcPr>
          <w:p w14:paraId="38F13F2C" w14:textId="77777777" w:rsidR="00EB3457" w:rsidRPr="00726D52" w:rsidRDefault="00EB3457" w:rsidP="00C05BFC">
            <w:pPr>
              <w:spacing w:after="0"/>
              <w:jc w:val="left"/>
              <w:textAlignment w:val="baseline"/>
              <w:rPr>
                <w:rFonts w:eastAsia="Times New Roman"/>
                <w:noProof/>
                <w:lang w:eastAsia="en-IE"/>
              </w:rPr>
            </w:pPr>
          </w:p>
        </w:tc>
        <w:tc>
          <w:tcPr>
            <w:tcW w:w="0" w:type="auto"/>
            <w:shd w:val="clear" w:color="auto" w:fill="83909B"/>
            <w:vAlign w:val="center"/>
            <w:hideMark/>
          </w:tcPr>
          <w:p w14:paraId="1A116024"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Sub-questions</w:t>
            </w:r>
          </w:p>
        </w:tc>
        <w:tc>
          <w:tcPr>
            <w:tcW w:w="0" w:type="auto"/>
            <w:shd w:val="clear" w:color="auto" w:fill="83909B"/>
            <w:vAlign w:val="center"/>
            <w:hideMark/>
          </w:tcPr>
          <w:p w14:paraId="27A200CC"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Judgment criteria</w:t>
            </w:r>
          </w:p>
        </w:tc>
        <w:tc>
          <w:tcPr>
            <w:tcW w:w="0" w:type="auto"/>
            <w:shd w:val="clear" w:color="auto" w:fill="83909B"/>
            <w:vAlign w:val="center"/>
            <w:hideMark/>
          </w:tcPr>
          <w:p w14:paraId="0D056309"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Indicators</w:t>
            </w:r>
          </w:p>
        </w:tc>
        <w:tc>
          <w:tcPr>
            <w:tcW w:w="0" w:type="auto"/>
            <w:shd w:val="clear" w:color="auto" w:fill="83909B"/>
            <w:vAlign w:val="center"/>
            <w:hideMark/>
          </w:tcPr>
          <w:p w14:paraId="22B50A57"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Data collection tools and method</w:t>
            </w:r>
          </w:p>
        </w:tc>
      </w:tr>
      <w:tr w:rsidR="00AB422A" w:rsidRPr="00726D52" w14:paraId="6D4308FA" w14:textId="77777777" w:rsidTr="289DEA4F">
        <w:trPr>
          <w:trHeight w:val="300"/>
        </w:trPr>
        <w:tc>
          <w:tcPr>
            <w:tcW w:w="669" w:type="dxa"/>
            <w:hideMark/>
          </w:tcPr>
          <w:p w14:paraId="286DE738"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6</w:t>
            </w:r>
          </w:p>
        </w:tc>
        <w:tc>
          <w:tcPr>
            <w:tcW w:w="0" w:type="auto"/>
            <w:hideMark/>
          </w:tcPr>
          <w:p w14:paraId="1B4C182D"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What are the overall direct and indirect </w:t>
            </w:r>
            <w:r w:rsidRPr="00726D52">
              <w:rPr>
                <w:rFonts w:eastAsia="Times New Roman"/>
                <w:b/>
                <w:bCs/>
                <w:noProof/>
                <w:lang w:eastAsia="en-IE"/>
              </w:rPr>
              <w:t xml:space="preserve">costs and benefits </w:t>
            </w:r>
            <w:r w:rsidRPr="00726D52">
              <w:rPr>
                <w:rFonts w:eastAsia="Times New Roman"/>
                <w:noProof/>
                <w:lang w:eastAsia="en-IE"/>
              </w:rPr>
              <w:t xml:space="preserve">of </w:t>
            </w:r>
            <w:r w:rsidRPr="00726D52">
              <w:rPr>
                <w:rFonts w:eastAsia="Times New Roman"/>
                <w:b/>
                <w:bCs/>
                <w:noProof/>
                <w:lang w:eastAsia="en-IE"/>
              </w:rPr>
              <w:t xml:space="preserve">Europol’s core task domains (six core areas: information management, operational support, strategic analysis, </w:t>
            </w:r>
            <w:r w:rsidRPr="00726D52">
              <w:rPr>
                <w:rFonts w:eastAsia="Times New Roman"/>
                <w:b/>
                <w:bCs/>
                <w:noProof/>
                <w:lang w:eastAsia="en-IE"/>
              </w:rPr>
              <w:lastRenderedPageBreak/>
              <w:t xml:space="preserve">specialised expertise (expert support centres), private sector cooperation, external cooperation) </w:t>
            </w:r>
            <w:r w:rsidRPr="00726D52">
              <w:rPr>
                <w:rFonts w:eastAsia="Times New Roman"/>
                <w:noProof/>
                <w:lang w:eastAsia="en-IE"/>
              </w:rPr>
              <w:t>and how have they evolved since 2017? Are efficiency gains expected or possible in the short or long term?</w:t>
            </w:r>
          </w:p>
        </w:tc>
        <w:tc>
          <w:tcPr>
            <w:tcW w:w="0" w:type="auto"/>
            <w:hideMark/>
          </w:tcPr>
          <w:p w14:paraId="51483F1A" w14:textId="56F36870"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lastRenderedPageBreak/>
              <w:t>The overall costs of Europol’s activities are proportionate to their impact and outweigh the benefits generated</w:t>
            </w:r>
            <w:r w:rsidR="00AB422A">
              <w:rPr>
                <w:rFonts w:eastAsia="Times New Roman"/>
                <w:noProof/>
                <w:lang w:eastAsia="en-IE"/>
              </w:rPr>
              <w:t>.</w:t>
            </w:r>
          </w:p>
          <w:p w14:paraId="5BA9B098" w14:textId="77777777" w:rsidR="00EB3457" w:rsidRPr="00726D52" w:rsidRDefault="00EB3457" w:rsidP="00C05BFC">
            <w:pPr>
              <w:spacing w:after="0"/>
              <w:textAlignment w:val="baseline"/>
              <w:rPr>
                <w:rFonts w:eastAsia="Times New Roman"/>
                <w:noProof/>
                <w:lang w:eastAsia="en-IE"/>
              </w:rPr>
            </w:pPr>
          </w:p>
          <w:p w14:paraId="17E8A37E" w14:textId="5C4967EE"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lastRenderedPageBreak/>
              <w:t xml:space="preserve">The activities of Europol do not cause significant costs for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001A039B">
              <w:rPr>
                <w:rFonts w:eastAsia="Times New Roman"/>
                <w:noProof/>
                <w:lang w:eastAsia="en-IE"/>
              </w:rPr>
              <w:t>.</w:t>
            </w:r>
          </w:p>
          <w:p w14:paraId="52D4DE4E" w14:textId="77777777" w:rsidR="00EB3457" w:rsidRPr="00726D52" w:rsidRDefault="00EB3457" w:rsidP="00C05BFC">
            <w:pPr>
              <w:spacing w:after="0"/>
              <w:textAlignment w:val="baseline"/>
              <w:rPr>
                <w:rFonts w:eastAsia="Times New Roman"/>
                <w:noProof/>
                <w:lang w:eastAsia="en-IE"/>
              </w:rPr>
            </w:pPr>
          </w:p>
          <w:p w14:paraId="4B6145C1" w14:textId="5B486FB2"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The current organization and working methods are highly efficient and there is no scope for savings or room to achieve the same results in a more efficient way</w:t>
            </w:r>
            <w:r w:rsidR="001A039B">
              <w:rPr>
                <w:rFonts w:eastAsia="Times New Roman"/>
                <w:noProof/>
                <w:lang w:eastAsia="en-IE"/>
              </w:rPr>
              <w:t>.</w:t>
            </w:r>
          </w:p>
          <w:p w14:paraId="6DBDDAC5" w14:textId="77777777" w:rsidR="00EB3457" w:rsidRPr="00726D52" w:rsidRDefault="00EB3457" w:rsidP="00C05BFC">
            <w:pPr>
              <w:spacing w:after="0"/>
              <w:textAlignment w:val="baseline"/>
              <w:rPr>
                <w:rFonts w:eastAsia="Times New Roman"/>
                <w:noProof/>
                <w:lang w:eastAsia="en-IE"/>
              </w:rPr>
            </w:pPr>
          </w:p>
          <w:p w14:paraId="277EB9B8" w14:textId="3EBF6AE9"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The activities of Europol generate (on balance) efficiencies gains for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001A039B">
              <w:rPr>
                <w:rFonts w:eastAsia="Times New Roman"/>
                <w:noProof/>
                <w:lang w:eastAsia="en-IE"/>
              </w:rPr>
              <w:t>.</w:t>
            </w:r>
          </w:p>
        </w:tc>
        <w:tc>
          <w:tcPr>
            <w:tcW w:w="0" w:type="auto"/>
            <w:hideMark/>
          </w:tcPr>
          <w:p w14:paraId="43A78EF3"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lastRenderedPageBreak/>
              <w:t>Qualitative:</w:t>
            </w:r>
          </w:p>
          <w:p w14:paraId="0E23E895" w14:textId="5E7C05B2" w:rsidR="00EB3457" w:rsidRPr="00726D52" w:rsidRDefault="00EB3457" w:rsidP="00C05BFC">
            <w:pPr>
              <w:textAlignment w:val="baseline"/>
              <w:rPr>
                <w:rFonts w:eastAsia="Times New Roman"/>
                <w:noProof/>
                <w:lang w:eastAsia="en-IE"/>
              </w:rPr>
            </w:pPr>
            <w:r w:rsidRPr="00726D52">
              <w:rPr>
                <w:rFonts w:eastAsia="Times New Roman"/>
                <w:noProof/>
                <w:lang w:eastAsia="en-IE"/>
              </w:rPr>
              <w:t>Resource allocation is proportionate to operations and support provided by Europol</w:t>
            </w:r>
            <w:r w:rsidR="00AB422A">
              <w:rPr>
                <w:rFonts w:eastAsia="Times New Roman"/>
                <w:noProof/>
                <w:lang w:eastAsia="en-IE"/>
              </w:rPr>
              <w:t>.</w:t>
            </w:r>
          </w:p>
          <w:p w14:paraId="129E499D"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lastRenderedPageBreak/>
              <w:t>Opinion-based:</w:t>
            </w:r>
          </w:p>
          <w:p w14:paraId="5D7AC953" w14:textId="1C9F39C5" w:rsidR="00EB3457" w:rsidRPr="00726D52" w:rsidRDefault="00EB3457" w:rsidP="00C05BFC">
            <w:pPr>
              <w:textAlignment w:val="baseline"/>
              <w:rPr>
                <w:rFonts w:eastAsia="Times New Roman"/>
                <w:noProof/>
                <w:lang w:eastAsia="en-IE"/>
              </w:rPr>
            </w:pPr>
            <w:r w:rsidRPr="00726D52">
              <w:rPr>
                <w:rFonts w:eastAsia="Times New Roman"/>
                <w:noProof/>
                <w:lang w:eastAsia="en-IE"/>
              </w:rPr>
              <w:t>Europol staff, EU policy makers on perceived levels of cost and benefits of Europol’s activities</w:t>
            </w:r>
            <w:r w:rsidR="001A039B">
              <w:rPr>
                <w:rFonts w:eastAsia="Times New Roman"/>
                <w:noProof/>
                <w:lang w:eastAsia="en-IE"/>
              </w:rPr>
              <w:t>.</w:t>
            </w:r>
          </w:p>
          <w:p w14:paraId="4A8A6552" w14:textId="6E82EB36" w:rsidR="00EB3457" w:rsidRPr="00726D52" w:rsidRDefault="00EB3457" w:rsidP="00C05BFC">
            <w:pPr>
              <w:textAlignment w:val="baseline"/>
              <w:rPr>
                <w:rFonts w:eastAsia="Times New Roman"/>
                <w:noProof/>
                <w:lang w:eastAsia="en-IE"/>
              </w:rPr>
            </w:pPr>
            <w:r w:rsidRPr="00726D52">
              <w:rPr>
                <w:rFonts w:eastAsia="Times New Roman"/>
                <w:noProof/>
                <w:lang w:eastAsia="en-IE"/>
              </w:rPr>
              <w:t>Perspective of strengths and gaps or cost-intensiveness</w:t>
            </w:r>
            <w:r w:rsidR="001A039B">
              <w:rPr>
                <w:rFonts w:eastAsia="Times New Roman"/>
                <w:noProof/>
                <w:lang w:eastAsia="en-IE"/>
              </w:rPr>
              <w:t>.</w:t>
            </w:r>
          </w:p>
          <w:p w14:paraId="3A5DD168"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Quantitative:</w:t>
            </w:r>
          </w:p>
          <w:p w14:paraId="3C375BB9" w14:textId="2377FCF4" w:rsidR="00EB3457" w:rsidRPr="00726D52" w:rsidRDefault="00EB3457" w:rsidP="00C05BFC">
            <w:pPr>
              <w:textAlignment w:val="baseline"/>
              <w:rPr>
                <w:rFonts w:eastAsia="Times New Roman"/>
                <w:noProof/>
                <w:lang w:eastAsia="en-IE"/>
              </w:rPr>
            </w:pPr>
            <w:r w:rsidRPr="00726D52">
              <w:rPr>
                <w:rFonts w:eastAsia="Times New Roman"/>
                <w:noProof/>
                <w:lang w:eastAsia="en-IE"/>
              </w:rPr>
              <w:t>Statistics on resources by year and their evolution and employment by the Agency</w:t>
            </w:r>
            <w:r w:rsidR="001A039B">
              <w:rPr>
                <w:rFonts w:eastAsia="Times New Roman"/>
                <w:noProof/>
                <w:lang w:eastAsia="en-IE"/>
              </w:rPr>
              <w:t>.</w:t>
            </w:r>
          </w:p>
          <w:p w14:paraId="32C692FD" w14:textId="39FC86F2" w:rsidR="00EB3457" w:rsidRPr="00726D52" w:rsidRDefault="00EB3457" w:rsidP="00C05BFC">
            <w:pPr>
              <w:textAlignment w:val="baseline"/>
              <w:rPr>
                <w:rFonts w:eastAsia="Times New Roman"/>
                <w:noProof/>
                <w:lang w:eastAsia="en-IE"/>
              </w:rPr>
            </w:pPr>
            <w:r w:rsidRPr="00726D52">
              <w:rPr>
                <w:rFonts w:eastAsia="Times New Roman"/>
                <w:noProof/>
                <w:lang w:eastAsia="en-IE"/>
              </w:rPr>
              <w:t>Allocation of resources per core areas</w:t>
            </w:r>
            <w:r w:rsidR="00AB422A">
              <w:rPr>
                <w:rFonts w:eastAsia="Times New Roman"/>
                <w:noProof/>
                <w:lang w:eastAsia="en-IE"/>
              </w:rPr>
              <w:t>.</w:t>
            </w:r>
          </w:p>
        </w:tc>
        <w:tc>
          <w:tcPr>
            <w:tcW w:w="0" w:type="auto"/>
            <w:hideMark/>
          </w:tcPr>
          <w:p w14:paraId="0701B208" w14:textId="52FA644F"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Review of grey literature and operational reports, including COM review under Article 68(3) ER, CAARs, Europol Survey on number of staff</w:t>
            </w:r>
            <w:r w:rsidR="00AB422A">
              <w:rPr>
                <w:rFonts w:eastAsia="Times New Roman"/>
                <w:noProof/>
                <w:lang w:eastAsia="en-IE"/>
              </w:rPr>
              <w:t>.</w:t>
            </w:r>
          </w:p>
          <w:p w14:paraId="67178045" w14:textId="77777777" w:rsidR="00EB3457" w:rsidRPr="00726D52" w:rsidRDefault="00EB3457" w:rsidP="00C05BFC">
            <w:pPr>
              <w:spacing w:after="0"/>
              <w:textAlignment w:val="baseline"/>
              <w:rPr>
                <w:rFonts w:eastAsia="Times New Roman"/>
                <w:noProof/>
                <w:lang w:eastAsia="en-IE"/>
              </w:rPr>
            </w:pPr>
          </w:p>
          <w:p w14:paraId="0BA0CD15" w14:textId="0907319B"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JSPG, Europol MB, M</w:t>
            </w:r>
            <w:r w:rsidR="001A039B">
              <w:rPr>
                <w:rFonts w:eastAsia="Times New Roman"/>
                <w:noProof/>
                <w:lang w:eastAsia="en-IE"/>
              </w:rPr>
              <w:t xml:space="preserve">ember </w:t>
            </w:r>
            <w:r w:rsidRPr="00726D52">
              <w:rPr>
                <w:rFonts w:eastAsia="Times New Roman"/>
                <w:noProof/>
                <w:lang w:eastAsia="en-IE"/>
              </w:rPr>
              <w:t>S</w:t>
            </w:r>
            <w:r w:rsidR="001A039B">
              <w:rPr>
                <w:rFonts w:eastAsia="Times New Roman"/>
                <w:noProof/>
                <w:lang w:eastAsia="en-IE"/>
              </w:rPr>
              <w:t>tates</w:t>
            </w:r>
            <w:r w:rsidRPr="00726D52">
              <w:rPr>
                <w:rFonts w:eastAsia="Times New Roman"/>
                <w:noProof/>
                <w:lang w:eastAsia="en-IE"/>
              </w:rPr>
              <w:t xml:space="preserve"> M</w:t>
            </w:r>
            <w:r w:rsidR="001A039B">
              <w:rPr>
                <w:rFonts w:eastAsia="Times New Roman"/>
                <w:noProof/>
                <w:lang w:eastAsia="en-IE"/>
              </w:rPr>
              <w:t xml:space="preserve">inistries </w:t>
            </w:r>
            <w:r w:rsidRPr="00726D52">
              <w:rPr>
                <w:rFonts w:eastAsia="Times New Roman"/>
                <w:noProof/>
                <w:lang w:eastAsia="en-IE"/>
              </w:rPr>
              <w:t>o</w:t>
            </w:r>
            <w:r w:rsidR="001A039B">
              <w:rPr>
                <w:rFonts w:eastAsia="Times New Roman"/>
                <w:noProof/>
                <w:lang w:eastAsia="en-IE"/>
              </w:rPr>
              <w:t xml:space="preserve">f </w:t>
            </w:r>
            <w:r w:rsidRPr="00726D52">
              <w:rPr>
                <w:rFonts w:eastAsia="Times New Roman"/>
                <w:noProof/>
                <w:lang w:eastAsia="en-IE"/>
              </w:rPr>
              <w:t>I</w:t>
            </w:r>
            <w:r w:rsidR="001A039B">
              <w:rPr>
                <w:rFonts w:eastAsia="Times New Roman"/>
                <w:noProof/>
                <w:lang w:eastAsia="en-IE"/>
              </w:rPr>
              <w:t>nterior</w:t>
            </w:r>
            <w:r w:rsidRPr="00726D52">
              <w:rPr>
                <w:rFonts w:eastAsia="Times New Roman"/>
                <w:noProof/>
                <w:lang w:eastAsia="en-IE"/>
              </w:rPr>
              <w:t xml:space="preserve"> (political level), ECA</w:t>
            </w:r>
            <w:r w:rsidR="00AB422A">
              <w:rPr>
                <w:rFonts w:eastAsia="Times New Roman"/>
                <w:noProof/>
                <w:lang w:eastAsia="en-IE"/>
              </w:rPr>
              <w:t>.</w:t>
            </w:r>
          </w:p>
          <w:p w14:paraId="32E85554" w14:textId="77777777" w:rsidR="00EB3457" w:rsidRPr="00726D52" w:rsidRDefault="00EB3457" w:rsidP="00C05BFC">
            <w:pPr>
              <w:spacing w:after="0"/>
              <w:textAlignment w:val="baseline"/>
              <w:rPr>
                <w:rFonts w:eastAsia="Times New Roman"/>
                <w:noProof/>
                <w:lang w:eastAsia="en-IE"/>
              </w:rPr>
            </w:pPr>
          </w:p>
          <w:p w14:paraId="161E41EC" w14:textId="47D67304"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001A039B">
              <w:rPr>
                <w:rFonts w:eastAsia="Times New Roman"/>
                <w:noProof/>
                <w:lang w:eastAsia="en-IE"/>
              </w:rPr>
              <w:t xml:space="preserve"> </w:t>
            </w:r>
            <w:r w:rsidRPr="00726D52">
              <w:rPr>
                <w:rFonts w:eastAsia="Times New Roman"/>
                <w:noProof/>
                <w:lang w:eastAsia="en-IE"/>
              </w:rPr>
              <w:t>and EU agencies and bodies, general public (public consultation)</w:t>
            </w:r>
            <w:r w:rsidR="00AB422A">
              <w:rPr>
                <w:rFonts w:eastAsia="Times New Roman"/>
                <w:noProof/>
                <w:lang w:eastAsia="en-IE"/>
              </w:rPr>
              <w:t>.</w:t>
            </w:r>
          </w:p>
          <w:p w14:paraId="21D3BC60" w14:textId="2792DA89"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w:t>
            </w:r>
          </w:p>
          <w:p w14:paraId="52EE66D8" w14:textId="27D1C78F"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Case studies:</w:t>
            </w:r>
            <w:r w:rsidRPr="00726D52">
              <w:rPr>
                <w:rFonts w:eastAsia="Times New Roman"/>
                <w:b/>
                <w:bCs/>
                <w:noProof/>
                <w:lang w:eastAsia="en-IE"/>
              </w:rPr>
              <w:t xml:space="preserve"> </w:t>
            </w:r>
            <w:r w:rsidRPr="00726D52">
              <w:rPr>
                <w:rFonts w:eastAsia="Times New Roman"/>
                <w:noProof/>
                <w:lang w:eastAsia="en-IE"/>
              </w:rPr>
              <w:t>Review of specific operations and their costs and benefits, collecting deep insights, drawing on good practices</w:t>
            </w:r>
            <w:r w:rsidR="00AB422A">
              <w:rPr>
                <w:rFonts w:eastAsia="Times New Roman"/>
                <w:noProof/>
                <w:lang w:eastAsia="en-IE"/>
              </w:rPr>
              <w:t>.</w:t>
            </w:r>
          </w:p>
          <w:p w14:paraId="1EEC609C"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w:t>
            </w:r>
          </w:p>
        </w:tc>
      </w:tr>
      <w:tr w:rsidR="00726D52" w:rsidRPr="00726D52" w14:paraId="5F6AC8B6" w14:textId="77777777" w:rsidTr="289DEA4F">
        <w:trPr>
          <w:trHeight w:val="300"/>
        </w:trPr>
        <w:tc>
          <w:tcPr>
            <w:tcW w:w="669" w:type="dxa"/>
            <w:shd w:val="clear" w:color="auto" w:fill="E1EBF7"/>
            <w:hideMark/>
          </w:tcPr>
          <w:p w14:paraId="3FBC4386" w14:textId="77777777" w:rsidR="00EB3457" w:rsidRPr="00726D52" w:rsidRDefault="00EB3457" w:rsidP="00C05BFC">
            <w:pPr>
              <w:spacing w:after="0"/>
              <w:jc w:val="left"/>
              <w:textAlignment w:val="baseline"/>
              <w:rPr>
                <w:rFonts w:eastAsia="Times New Roman"/>
                <w:b/>
                <w:bCs/>
                <w:noProof/>
                <w:lang w:eastAsia="en-IE"/>
              </w:rPr>
            </w:pPr>
            <w:r w:rsidRPr="00726D52">
              <w:rPr>
                <w:rFonts w:eastAsia="Times New Roman"/>
                <w:b/>
                <w:bCs/>
                <w:noProof/>
                <w:lang w:eastAsia="en-IE"/>
              </w:rPr>
              <w:lastRenderedPageBreak/>
              <w:t>C</w:t>
            </w:r>
          </w:p>
        </w:tc>
        <w:tc>
          <w:tcPr>
            <w:tcW w:w="0" w:type="auto"/>
            <w:gridSpan w:val="4"/>
            <w:shd w:val="clear" w:color="auto" w:fill="E1EBF7"/>
            <w:hideMark/>
          </w:tcPr>
          <w:p w14:paraId="34774A51"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 xml:space="preserve">Relevance: </w:t>
            </w:r>
            <w:r w:rsidRPr="00726D52">
              <w:rPr>
                <w:rFonts w:eastAsia="Times New Roman"/>
                <w:noProof/>
                <w:lang w:eastAsia="en-IE"/>
              </w:rPr>
              <w:t>To what extent do the objectives of the Regulation continue to align with current needs within the EU and among stakeholders?</w:t>
            </w:r>
          </w:p>
        </w:tc>
      </w:tr>
      <w:tr w:rsidR="00AB422A" w:rsidRPr="00726D52" w14:paraId="49982765" w14:textId="77777777" w:rsidTr="289DEA4F">
        <w:trPr>
          <w:trHeight w:val="300"/>
        </w:trPr>
        <w:tc>
          <w:tcPr>
            <w:tcW w:w="669" w:type="dxa"/>
            <w:hideMark/>
          </w:tcPr>
          <w:p w14:paraId="1EA2CC4E" w14:textId="77777777" w:rsidR="00EB3457" w:rsidRPr="00726D52" w:rsidRDefault="00EB3457" w:rsidP="00C05BFC">
            <w:pPr>
              <w:spacing w:after="0"/>
              <w:jc w:val="left"/>
              <w:textAlignment w:val="baseline"/>
              <w:rPr>
                <w:rFonts w:eastAsia="Times New Roman"/>
                <w:noProof/>
                <w:lang w:eastAsia="en-IE"/>
              </w:rPr>
            </w:pPr>
          </w:p>
        </w:tc>
        <w:tc>
          <w:tcPr>
            <w:tcW w:w="0" w:type="auto"/>
            <w:shd w:val="clear" w:color="auto" w:fill="83909B"/>
            <w:vAlign w:val="center"/>
            <w:hideMark/>
          </w:tcPr>
          <w:p w14:paraId="66848C2C"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Sub-questions</w:t>
            </w:r>
          </w:p>
        </w:tc>
        <w:tc>
          <w:tcPr>
            <w:tcW w:w="0" w:type="auto"/>
            <w:shd w:val="clear" w:color="auto" w:fill="83909B"/>
            <w:vAlign w:val="center"/>
            <w:hideMark/>
          </w:tcPr>
          <w:p w14:paraId="06026AE6"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Judgment criteria</w:t>
            </w:r>
          </w:p>
        </w:tc>
        <w:tc>
          <w:tcPr>
            <w:tcW w:w="0" w:type="auto"/>
            <w:shd w:val="clear" w:color="auto" w:fill="83909B"/>
            <w:vAlign w:val="center"/>
            <w:hideMark/>
          </w:tcPr>
          <w:p w14:paraId="25CBB726"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Indicators</w:t>
            </w:r>
          </w:p>
        </w:tc>
        <w:tc>
          <w:tcPr>
            <w:tcW w:w="0" w:type="auto"/>
            <w:shd w:val="clear" w:color="auto" w:fill="83909B"/>
            <w:vAlign w:val="center"/>
            <w:hideMark/>
          </w:tcPr>
          <w:p w14:paraId="133DEC1F"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Data collection tools and method</w:t>
            </w:r>
          </w:p>
        </w:tc>
      </w:tr>
      <w:tr w:rsidR="00AB422A" w:rsidRPr="00726D52" w14:paraId="3FB83E84" w14:textId="77777777" w:rsidTr="289DEA4F">
        <w:trPr>
          <w:trHeight w:val="300"/>
        </w:trPr>
        <w:tc>
          <w:tcPr>
            <w:tcW w:w="669" w:type="dxa"/>
            <w:hideMark/>
          </w:tcPr>
          <w:p w14:paraId="6D2C2821" w14:textId="77777777" w:rsidR="00EB3457" w:rsidRPr="00726D52" w:rsidRDefault="00EB3457" w:rsidP="00C05BFC">
            <w:pPr>
              <w:jc w:val="left"/>
              <w:textAlignment w:val="baseline"/>
              <w:rPr>
                <w:rFonts w:eastAsia="Times New Roman"/>
                <w:noProof/>
                <w:lang w:eastAsia="en-IE"/>
              </w:rPr>
            </w:pPr>
            <w:r w:rsidRPr="00726D52">
              <w:rPr>
                <w:rFonts w:eastAsia="Times New Roman"/>
                <w:b/>
                <w:bCs/>
                <w:noProof/>
                <w:shd w:val="clear" w:color="auto" w:fill="F5F5F5"/>
                <w:lang w:eastAsia="en-IE"/>
              </w:rPr>
              <w:lastRenderedPageBreak/>
              <w:t>7</w:t>
            </w:r>
          </w:p>
        </w:tc>
        <w:tc>
          <w:tcPr>
            <w:tcW w:w="0" w:type="auto"/>
            <w:hideMark/>
          </w:tcPr>
          <w:p w14:paraId="520C5D0B" w14:textId="77777777" w:rsidR="00EB3457" w:rsidRPr="00726D52" w:rsidRDefault="00EB3457" w:rsidP="00C05BFC">
            <w:pPr>
              <w:textAlignment w:val="baseline"/>
              <w:rPr>
                <w:rFonts w:eastAsia="Times New Roman"/>
                <w:noProof/>
                <w:lang w:eastAsia="en-IE"/>
              </w:rPr>
            </w:pPr>
            <w:r w:rsidRPr="00726D52">
              <w:rPr>
                <w:rFonts w:eastAsia="Times New Roman"/>
                <w:noProof/>
                <w:lang w:eastAsia="en-IE"/>
              </w:rPr>
              <w:t>To what extent do Europol’s objectives and activities (core task domains) under its legal framework correspond to the evolving needs within the EU and among affected stakeholders?</w:t>
            </w:r>
          </w:p>
        </w:tc>
        <w:tc>
          <w:tcPr>
            <w:tcW w:w="0" w:type="auto"/>
            <w:hideMark/>
          </w:tcPr>
          <w:p w14:paraId="3F5A4DEE" w14:textId="694BB51F" w:rsidR="00EB3457" w:rsidRPr="00726D52" w:rsidRDefault="00EB3457" w:rsidP="00C05BFC">
            <w:pPr>
              <w:textAlignment w:val="baseline"/>
              <w:rPr>
                <w:rFonts w:eastAsia="Times New Roman"/>
                <w:noProof/>
                <w:lang w:eastAsia="en-IE"/>
              </w:rPr>
            </w:pPr>
            <w:r w:rsidRPr="00726D52">
              <w:rPr>
                <w:rFonts w:eastAsia="Times New Roman"/>
                <w:noProof/>
                <w:lang w:eastAsia="en-IE"/>
              </w:rPr>
              <w:t>Europol’s objectives and activities are well aligned with Regulations and corresponding to needs of affected key stakeholders</w:t>
            </w:r>
            <w:r w:rsidR="001A039B">
              <w:rPr>
                <w:rFonts w:eastAsia="Times New Roman"/>
                <w:noProof/>
                <w:lang w:eastAsia="en-IE"/>
              </w:rPr>
              <w:t>.</w:t>
            </w:r>
          </w:p>
          <w:p w14:paraId="066C82A0" w14:textId="5A50F0A0" w:rsidR="00EB3457" w:rsidRPr="00726D52" w:rsidRDefault="00EB3457" w:rsidP="00C05BFC">
            <w:pPr>
              <w:textAlignment w:val="baseline"/>
              <w:rPr>
                <w:rFonts w:eastAsia="Times New Roman"/>
                <w:noProof/>
                <w:lang w:eastAsia="en-IE"/>
              </w:rPr>
            </w:pPr>
            <w:r w:rsidRPr="00726D52">
              <w:rPr>
                <w:rFonts w:eastAsia="Times New Roman"/>
                <w:noProof/>
                <w:lang w:eastAsia="en-IE"/>
              </w:rPr>
              <w:t>Europol’s activities and objectives are well aligned with the legal framework setting up Europol and M</w:t>
            </w:r>
            <w:r w:rsidR="001A039B">
              <w:rPr>
                <w:rFonts w:eastAsia="Times New Roman"/>
                <w:noProof/>
                <w:lang w:eastAsia="en-IE"/>
              </w:rPr>
              <w:t xml:space="preserve">ember </w:t>
            </w:r>
            <w:r w:rsidRPr="00726D52">
              <w:rPr>
                <w:rFonts w:eastAsia="Times New Roman"/>
                <w:noProof/>
                <w:lang w:eastAsia="en-IE"/>
              </w:rPr>
              <w:t>S</w:t>
            </w:r>
            <w:r w:rsidR="001A039B">
              <w:rPr>
                <w:rFonts w:eastAsia="Times New Roman"/>
                <w:noProof/>
                <w:lang w:eastAsia="en-IE"/>
              </w:rPr>
              <w:t>tate</w:t>
            </w:r>
            <w:r w:rsidRPr="00726D52">
              <w:rPr>
                <w:rFonts w:eastAsia="Times New Roman"/>
                <w:noProof/>
                <w:lang w:eastAsia="en-IE"/>
              </w:rPr>
              <w:t xml:space="preserve"> needs</w:t>
            </w:r>
            <w:r w:rsidR="001A039B">
              <w:rPr>
                <w:rFonts w:eastAsia="Times New Roman"/>
                <w:noProof/>
                <w:lang w:eastAsia="en-IE"/>
              </w:rPr>
              <w:t>.</w:t>
            </w:r>
          </w:p>
          <w:p w14:paraId="0BDBDB77" w14:textId="49DAD016" w:rsidR="00EB3457" w:rsidRPr="00726D52" w:rsidRDefault="00EB3457" w:rsidP="00C05BFC">
            <w:pPr>
              <w:textAlignment w:val="baseline"/>
              <w:rPr>
                <w:rFonts w:eastAsia="Times New Roman"/>
                <w:noProof/>
                <w:lang w:eastAsia="en-IE"/>
              </w:rPr>
            </w:pPr>
            <w:r w:rsidRPr="00726D52">
              <w:rPr>
                <w:rFonts w:eastAsia="Times New Roman"/>
                <w:noProof/>
                <w:lang w:eastAsia="en-IE"/>
              </w:rPr>
              <w:t>Regulatory framework is adapted to evolving needs of the Agency and its stakeholders</w:t>
            </w:r>
            <w:r w:rsidR="001A039B">
              <w:rPr>
                <w:rFonts w:eastAsia="Times New Roman"/>
                <w:noProof/>
                <w:lang w:eastAsia="en-IE"/>
              </w:rPr>
              <w:t>.</w:t>
            </w:r>
          </w:p>
        </w:tc>
        <w:tc>
          <w:tcPr>
            <w:tcW w:w="0" w:type="auto"/>
            <w:hideMark/>
          </w:tcPr>
          <w:p w14:paraId="0C7F2592"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Qualitative:</w:t>
            </w:r>
          </w:p>
          <w:p w14:paraId="04D11481" w14:textId="34C0F38A" w:rsidR="00EB3457" w:rsidRPr="00726D52" w:rsidRDefault="00EB3457" w:rsidP="00C05BFC">
            <w:pPr>
              <w:textAlignment w:val="baseline"/>
              <w:rPr>
                <w:rFonts w:eastAsia="Times New Roman"/>
                <w:noProof/>
                <w:lang w:eastAsia="en-IE"/>
              </w:rPr>
            </w:pPr>
            <w:r w:rsidRPr="00726D52">
              <w:rPr>
                <w:rFonts w:eastAsia="Times New Roman"/>
                <w:noProof/>
                <w:lang w:eastAsia="en-IE"/>
              </w:rPr>
              <w:t>Needs of Member States law enforcement authorities, Europol staff, EC, E</w:t>
            </w:r>
            <w:r w:rsidR="001A039B">
              <w:rPr>
                <w:rFonts w:eastAsia="Times New Roman"/>
                <w:noProof/>
                <w:lang w:eastAsia="en-IE"/>
              </w:rPr>
              <w:t xml:space="preserve">uropean </w:t>
            </w:r>
            <w:r w:rsidRPr="00726D52">
              <w:rPr>
                <w:rFonts w:eastAsia="Times New Roman"/>
                <w:noProof/>
                <w:lang w:eastAsia="en-IE"/>
              </w:rPr>
              <w:t>P</w:t>
            </w:r>
            <w:r w:rsidR="001A039B">
              <w:rPr>
                <w:rFonts w:eastAsia="Times New Roman"/>
                <w:noProof/>
                <w:lang w:eastAsia="en-IE"/>
              </w:rPr>
              <w:t>arliament</w:t>
            </w:r>
            <w:r w:rsidRPr="00726D52">
              <w:rPr>
                <w:rFonts w:eastAsia="Times New Roman"/>
                <w:noProof/>
                <w:lang w:eastAsia="en-IE"/>
              </w:rPr>
              <w:t>, JHA agencies</w:t>
            </w:r>
            <w:r w:rsidR="001A039B">
              <w:rPr>
                <w:rFonts w:eastAsia="Times New Roman"/>
                <w:noProof/>
                <w:lang w:eastAsia="en-IE"/>
              </w:rPr>
              <w:t>.</w:t>
            </w:r>
          </w:p>
          <w:p w14:paraId="640C50C2" w14:textId="497DD0E7" w:rsidR="00EB3457" w:rsidRPr="00726D52" w:rsidRDefault="00EB3457" w:rsidP="00C05BFC">
            <w:pPr>
              <w:textAlignment w:val="baseline"/>
              <w:rPr>
                <w:rFonts w:eastAsia="Times New Roman"/>
                <w:noProof/>
                <w:lang w:eastAsia="en-IE"/>
              </w:rPr>
            </w:pPr>
            <w:r w:rsidRPr="00726D52">
              <w:rPr>
                <w:rFonts w:eastAsia="Times New Roman"/>
                <w:noProof/>
                <w:lang w:eastAsia="en-IE"/>
              </w:rPr>
              <w:t>Coherence of Europol’s objectives and activities with Regulation 2016/794 as amended by Regulation 2022/991</w:t>
            </w:r>
            <w:r w:rsidR="001A039B">
              <w:rPr>
                <w:rFonts w:eastAsia="Times New Roman"/>
                <w:noProof/>
                <w:lang w:eastAsia="en-IE"/>
              </w:rPr>
              <w:t>.</w:t>
            </w:r>
          </w:p>
          <w:p w14:paraId="47830FA6" w14:textId="101324F7" w:rsidR="00EB3457" w:rsidRPr="00726D52" w:rsidRDefault="00EB3457" w:rsidP="00C05BFC">
            <w:pPr>
              <w:textAlignment w:val="baseline"/>
              <w:rPr>
                <w:rFonts w:eastAsia="Times New Roman"/>
                <w:noProof/>
                <w:lang w:eastAsia="en-IE"/>
              </w:rPr>
            </w:pPr>
            <w:r w:rsidRPr="00726D52">
              <w:rPr>
                <w:rFonts w:eastAsia="Times New Roman"/>
                <w:noProof/>
                <w:lang w:eastAsia="en-IE"/>
              </w:rPr>
              <w:t>Trends of crime and development of criminal activities, broader trends of technology development, needs in terms of data sharing, trends for cooperation with third countries</w:t>
            </w:r>
            <w:r w:rsidR="001A039B">
              <w:rPr>
                <w:rFonts w:eastAsia="Times New Roman"/>
                <w:noProof/>
                <w:lang w:eastAsia="en-IE"/>
              </w:rPr>
              <w:t>.</w:t>
            </w:r>
          </w:p>
          <w:p w14:paraId="09FC1FBC"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Opinion-based:</w:t>
            </w:r>
          </w:p>
          <w:p w14:paraId="285A2D44" w14:textId="6A6DC45D" w:rsidR="00EB3457" w:rsidRPr="00726D52" w:rsidRDefault="00EB3457" w:rsidP="00C05BFC">
            <w:pPr>
              <w:textAlignment w:val="baseline"/>
              <w:rPr>
                <w:rFonts w:eastAsia="Times New Roman"/>
                <w:noProof/>
                <w:lang w:eastAsia="en-IE"/>
              </w:rPr>
            </w:pPr>
            <w:r w:rsidRPr="00726D52">
              <w:rPr>
                <w:rFonts w:eastAsia="Times New Roman"/>
                <w:noProof/>
                <w:lang w:eastAsia="en-IE"/>
              </w:rPr>
              <w:t>Perspectives on alignment of Europol’s objectives and activities as stated in amended Regulation with evolving needs of affected stakeholders and Europol collaborators</w:t>
            </w:r>
            <w:r w:rsidR="001A039B">
              <w:rPr>
                <w:rFonts w:eastAsia="Times New Roman"/>
                <w:noProof/>
                <w:lang w:eastAsia="en-IE"/>
              </w:rPr>
              <w:t>.</w:t>
            </w:r>
          </w:p>
          <w:p w14:paraId="2687457F" w14:textId="77777777" w:rsidR="00EB3457" w:rsidRPr="00726D52" w:rsidRDefault="00EB3457" w:rsidP="00C05BFC">
            <w:pPr>
              <w:textAlignment w:val="baseline"/>
              <w:rPr>
                <w:rFonts w:eastAsia="Times New Roman"/>
                <w:noProof/>
                <w:lang w:eastAsia="en-IE"/>
              </w:rPr>
            </w:pPr>
            <w:r w:rsidRPr="00726D52">
              <w:rPr>
                <w:rFonts w:eastAsia="Times New Roman"/>
                <w:noProof/>
                <w:lang w:eastAsia="en-IE"/>
              </w:rPr>
              <w:lastRenderedPageBreak/>
              <w:t>Views on needs of adaptation of regulatory framework</w:t>
            </w:r>
            <w:r w:rsidRPr="00726D52">
              <w:rPr>
                <w:noProof/>
              </w:rPr>
              <w:t xml:space="preserve"> </w:t>
            </w:r>
            <w:r w:rsidRPr="00726D52">
              <w:rPr>
                <w:rFonts w:eastAsia="Times New Roman"/>
                <w:noProof/>
                <w:lang w:eastAsia="en-IE"/>
              </w:rPr>
              <w:t>applicable</w:t>
            </w:r>
            <w:r w:rsidRPr="00726D52">
              <w:rPr>
                <w:noProof/>
              </w:rPr>
              <w:t xml:space="preserve"> </w:t>
            </w:r>
            <w:r w:rsidRPr="00726D52">
              <w:rPr>
                <w:rFonts w:eastAsia="Times New Roman"/>
                <w:noProof/>
                <w:lang w:eastAsia="en-IE"/>
              </w:rPr>
              <w:t>to Europol</w:t>
            </w:r>
          </w:p>
          <w:p w14:paraId="2E81F107"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Quantitative:</w:t>
            </w:r>
          </w:p>
          <w:p w14:paraId="4A0875DB" w14:textId="77777777" w:rsidR="00EB3457" w:rsidRPr="00726D52" w:rsidRDefault="00EB3457" w:rsidP="00C05BFC">
            <w:pPr>
              <w:textAlignment w:val="baseline"/>
              <w:rPr>
                <w:rFonts w:eastAsia="Times New Roman"/>
                <w:noProof/>
                <w:lang w:eastAsia="en-IE"/>
              </w:rPr>
            </w:pPr>
            <w:r w:rsidRPr="00726D52">
              <w:rPr>
                <w:rFonts w:eastAsia="Times New Roman"/>
                <w:noProof/>
                <w:lang w:eastAsia="en-IE"/>
              </w:rPr>
              <w:t>SOCTA reports</w:t>
            </w:r>
          </w:p>
        </w:tc>
        <w:tc>
          <w:tcPr>
            <w:tcW w:w="0" w:type="auto"/>
            <w:hideMark/>
          </w:tcPr>
          <w:p w14:paraId="419E2402"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Review of grey literature and operational reports, stakeholder reports </w:t>
            </w:r>
          </w:p>
          <w:p w14:paraId="6AD82535" w14:textId="5FE7654F"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 xml:space="preserve">JSPG, COM, </w:t>
            </w:r>
            <w:r w:rsidR="001A039B">
              <w:rPr>
                <w:rFonts w:eastAsia="Times New Roman"/>
                <w:noProof/>
                <w:lang w:eastAsia="en-IE"/>
              </w:rPr>
              <w:t xml:space="preserve">Member </w:t>
            </w:r>
            <w:r w:rsidRPr="00726D52">
              <w:rPr>
                <w:rFonts w:eastAsia="Times New Roman"/>
                <w:noProof/>
                <w:lang w:eastAsia="en-IE"/>
              </w:rPr>
              <w:t>S</w:t>
            </w:r>
            <w:r w:rsidR="001A039B">
              <w:rPr>
                <w:rFonts w:eastAsia="Times New Roman"/>
                <w:noProof/>
                <w:lang w:eastAsia="en-IE"/>
              </w:rPr>
              <w:t>tates</w:t>
            </w:r>
            <w:r w:rsidRPr="00726D52">
              <w:rPr>
                <w:rFonts w:eastAsia="Times New Roman"/>
                <w:noProof/>
                <w:lang w:eastAsia="en-IE"/>
              </w:rPr>
              <w:t xml:space="preserve"> M</w:t>
            </w:r>
            <w:r w:rsidR="001A039B">
              <w:rPr>
                <w:rFonts w:eastAsia="Times New Roman"/>
                <w:noProof/>
                <w:lang w:eastAsia="en-IE"/>
              </w:rPr>
              <w:t xml:space="preserve">inistries </w:t>
            </w:r>
            <w:r w:rsidRPr="00726D52">
              <w:rPr>
                <w:rFonts w:eastAsia="Times New Roman"/>
                <w:noProof/>
                <w:lang w:eastAsia="en-IE"/>
              </w:rPr>
              <w:t>o</w:t>
            </w:r>
            <w:r w:rsidR="001A039B">
              <w:rPr>
                <w:rFonts w:eastAsia="Times New Roman"/>
                <w:noProof/>
                <w:lang w:eastAsia="en-IE"/>
              </w:rPr>
              <w:t xml:space="preserve">f </w:t>
            </w:r>
            <w:r w:rsidRPr="00726D52">
              <w:rPr>
                <w:rFonts w:eastAsia="Times New Roman"/>
                <w:noProof/>
                <w:lang w:eastAsia="en-IE"/>
              </w:rPr>
              <w:t>I</w:t>
            </w:r>
            <w:r w:rsidR="001A039B">
              <w:rPr>
                <w:rFonts w:eastAsia="Times New Roman"/>
                <w:noProof/>
                <w:lang w:eastAsia="en-IE"/>
              </w:rPr>
              <w:t>nterior</w:t>
            </w:r>
            <w:r w:rsidRPr="00726D52">
              <w:rPr>
                <w:rFonts w:eastAsia="Times New Roman"/>
                <w:noProof/>
                <w:lang w:eastAsia="en-IE"/>
              </w:rPr>
              <w:t xml:space="preserve"> (political level), strategic policy staff JHA area, Europol MB, academia, networks</w:t>
            </w:r>
            <w:r w:rsidR="001A039B">
              <w:rPr>
                <w:rFonts w:eastAsia="Times New Roman"/>
                <w:noProof/>
                <w:lang w:eastAsia="en-IE"/>
              </w:rPr>
              <w:t>.</w:t>
            </w:r>
          </w:p>
          <w:p w14:paraId="01186336" w14:textId="424095F1"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001A039B" w:rsidRPr="00726D52">
              <w:rPr>
                <w:rFonts w:eastAsia="Times New Roman"/>
                <w:noProof/>
                <w:lang w:eastAsia="en-IE"/>
              </w:rPr>
              <w:t>M</w:t>
            </w:r>
            <w:r w:rsidR="001A039B">
              <w:rPr>
                <w:rFonts w:eastAsia="Times New Roman"/>
                <w:noProof/>
                <w:lang w:eastAsia="en-IE"/>
              </w:rPr>
              <w:t xml:space="preserve">ember </w:t>
            </w:r>
            <w:r w:rsidR="001A039B" w:rsidRPr="00726D52">
              <w:rPr>
                <w:rFonts w:eastAsia="Times New Roman"/>
                <w:noProof/>
                <w:lang w:eastAsia="en-IE"/>
              </w:rPr>
              <w:t>S</w:t>
            </w:r>
            <w:r w:rsidR="001A039B">
              <w:rPr>
                <w:rFonts w:eastAsia="Times New Roman"/>
                <w:noProof/>
                <w:lang w:eastAsia="en-IE"/>
              </w:rPr>
              <w:t>tate</w:t>
            </w:r>
            <w:r w:rsidR="001A039B" w:rsidRPr="00726D52">
              <w:rPr>
                <w:rFonts w:eastAsia="Times New Roman"/>
                <w:noProof/>
                <w:lang w:eastAsia="en-IE"/>
              </w:rPr>
              <w:t xml:space="preserve"> </w:t>
            </w:r>
            <w:r w:rsidR="001A039B">
              <w:rPr>
                <w:rFonts w:eastAsia="Times New Roman"/>
                <w:noProof/>
                <w:lang w:eastAsia="en-IE"/>
              </w:rPr>
              <w:t>law enforcement authoritie</w:t>
            </w:r>
            <w:r w:rsidR="001A039B" w:rsidRPr="00726D52">
              <w:rPr>
                <w:rFonts w:eastAsia="Times New Roman"/>
                <w:noProof/>
                <w:lang w:eastAsia="en-IE"/>
              </w:rPr>
              <w:t>s</w:t>
            </w:r>
            <w:r w:rsidRPr="00726D52">
              <w:rPr>
                <w:rFonts w:eastAsia="Times New Roman"/>
                <w:noProof/>
                <w:lang w:eastAsia="en-IE"/>
              </w:rPr>
              <w:t>, COM and EU agencies and bodies staff, general public </w:t>
            </w:r>
          </w:p>
          <w:p w14:paraId="1FA2B2F6" w14:textId="77777777" w:rsidR="00EB3457" w:rsidRPr="00726D52" w:rsidRDefault="00EB3457" w:rsidP="00C05BFC">
            <w:pPr>
              <w:jc w:val="left"/>
              <w:textAlignment w:val="baseline"/>
              <w:rPr>
                <w:rFonts w:eastAsia="Times New Roman"/>
                <w:noProof/>
                <w:lang w:eastAsia="en-IE"/>
              </w:rPr>
            </w:pPr>
            <w:r w:rsidRPr="00726D52">
              <w:rPr>
                <w:rFonts w:eastAsia="Times New Roman"/>
                <w:noProof/>
                <w:lang w:eastAsia="en-IE"/>
              </w:rPr>
              <w:t> </w:t>
            </w:r>
          </w:p>
        </w:tc>
      </w:tr>
      <w:tr w:rsidR="00726D52" w:rsidRPr="00726D52" w14:paraId="139B28A2" w14:textId="77777777" w:rsidTr="289DEA4F">
        <w:trPr>
          <w:trHeight w:val="300"/>
        </w:trPr>
        <w:tc>
          <w:tcPr>
            <w:tcW w:w="669" w:type="dxa"/>
            <w:shd w:val="clear" w:color="auto" w:fill="E1EBF7"/>
            <w:hideMark/>
          </w:tcPr>
          <w:p w14:paraId="1A43274F"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D</w:t>
            </w:r>
          </w:p>
        </w:tc>
        <w:tc>
          <w:tcPr>
            <w:tcW w:w="0" w:type="auto"/>
            <w:gridSpan w:val="4"/>
            <w:shd w:val="clear" w:color="auto" w:fill="E1EBF7"/>
            <w:hideMark/>
          </w:tcPr>
          <w:p w14:paraId="1D47B94C"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Coherence:</w:t>
            </w:r>
          </w:p>
          <w:p w14:paraId="639C69E8"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internal coherence - to what extent Europol various components or interventions achieve together the overall Europol objectives?</w:t>
            </w:r>
          </w:p>
          <w:p w14:paraId="0297C632"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External coherence - how well different interventions of Europol work with other EU policy interventions, other EU agency interventions or international ones - as well as national/ regional local level interventions?</w:t>
            </w:r>
          </w:p>
        </w:tc>
      </w:tr>
      <w:tr w:rsidR="00AB422A" w:rsidRPr="00726D52" w14:paraId="647EB813" w14:textId="77777777" w:rsidTr="289DEA4F">
        <w:trPr>
          <w:trHeight w:val="300"/>
        </w:trPr>
        <w:tc>
          <w:tcPr>
            <w:tcW w:w="669" w:type="dxa"/>
            <w:hideMark/>
          </w:tcPr>
          <w:p w14:paraId="427298BC" w14:textId="77777777" w:rsidR="00EB3457" w:rsidRPr="00726D52" w:rsidRDefault="00EB3457" w:rsidP="00C05BFC">
            <w:pPr>
              <w:spacing w:after="0"/>
              <w:jc w:val="left"/>
              <w:textAlignment w:val="baseline"/>
              <w:rPr>
                <w:rFonts w:eastAsia="Times New Roman"/>
                <w:noProof/>
                <w:lang w:eastAsia="en-IE"/>
              </w:rPr>
            </w:pPr>
          </w:p>
        </w:tc>
        <w:tc>
          <w:tcPr>
            <w:tcW w:w="0" w:type="auto"/>
            <w:shd w:val="clear" w:color="auto" w:fill="83909B"/>
            <w:vAlign w:val="center"/>
            <w:hideMark/>
          </w:tcPr>
          <w:p w14:paraId="415A3286"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noProof/>
                <w:lang w:eastAsia="en-IE"/>
              </w:rPr>
              <w:t>Sub-questions</w:t>
            </w:r>
          </w:p>
        </w:tc>
        <w:tc>
          <w:tcPr>
            <w:tcW w:w="0" w:type="auto"/>
            <w:shd w:val="clear" w:color="auto" w:fill="83909B"/>
            <w:vAlign w:val="center"/>
            <w:hideMark/>
          </w:tcPr>
          <w:p w14:paraId="3C510A6F"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Judgment criteria</w:t>
            </w:r>
          </w:p>
        </w:tc>
        <w:tc>
          <w:tcPr>
            <w:tcW w:w="0" w:type="auto"/>
            <w:shd w:val="clear" w:color="auto" w:fill="83909B"/>
            <w:vAlign w:val="center"/>
            <w:hideMark/>
          </w:tcPr>
          <w:p w14:paraId="0C0A104E"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Indicators</w:t>
            </w:r>
          </w:p>
        </w:tc>
        <w:tc>
          <w:tcPr>
            <w:tcW w:w="0" w:type="auto"/>
            <w:shd w:val="clear" w:color="auto" w:fill="83909B"/>
            <w:vAlign w:val="center"/>
            <w:hideMark/>
          </w:tcPr>
          <w:p w14:paraId="79203ADA"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Data collection tools and method</w:t>
            </w:r>
          </w:p>
        </w:tc>
      </w:tr>
      <w:tr w:rsidR="00AB422A" w:rsidRPr="00726D52" w14:paraId="22702639" w14:textId="77777777" w:rsidTr="289DEA4F">
        <w:trPr>
          <w:trHeight w:val="300"/>
        </w:trPr>
        <w:tc>
          <w:tcPr>
            <w:tcW w:w="669" w:type="dxa"/>
            <w:hideMark/>
          </w:tcPr>
          <w:p w14:paraId="6C68ACE8"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t>8</w:t>
            </w:r>
          </w:p>
        </w:tc>
        <w:tc>
          <w:tcPr>
            <w:tcW w:w="0" w:type="auto"/>
            <w:hideMark/>
          </w:tcPr>
          <w:p w14:paraId="06BE31BA"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To what extent are Europol's objectives and activities (core task domains) under its legal framework coherent with other relevant EU policy developments, in the fields of law enforcement cooperation and security, including with ProtectEU, the European Internal Security Strategy?</w:t>
            </w:r>
          </w:p>
        </w:tc>
        <w:tc>
          <w:tcPr>
            <w:tcW w:w="0" w:type="auto"/>
            <w:hideMark/>
          </w:tcPr>
          <w:p w14:paraId="49866058" w14:textId="31895F29"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Europol</w:t>
            </w:r>
            <w:r w:rsidR="00372E42">
              <w:rPr>
                <w:rFonts w:eastAsia="Times New Roman"/>
                <w:noProof/>
                <w:lang w:eastAsia="en-IE"/>
              </w:rPr>
              <w:t>’</w:t>
            </w:r>
            <w:r w:rsidRPr="00726D52">
              <w:rPr>
                <w:rFonts w:eastAsia="Times New Roman"/>
                <w:noProof/>
                <w:lang w:eastAsia="en-IE"/>
              </w:rPr>
              <w:t>s objectives and activities as set out under legal framework are coherent and aligned to EU polices related to law enforcement cooperation and security</w:t>
            </w:r>
            <w:r w:rsidR="00372E42">
              <w:rPr>
                <w:rFonts w:eastAsia="Times New Roman"/>
                <w:noProof/>
                <w:lang w:eastAsia="en-IE"/>
              </w:rPr>
              <w:t>.</w:t>
            </w:r>
          </w:p>
          <w:p w14:paraId="432AFD84"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xml:space="preserve">Europol's objectives and activities as set out under its legal framework created synergies with other EU </w:t>
            </w:r>
            <w:r w:rsidRPr="00726D52">
              <w:rPr>
                <w:rFonts w:eastAsia="Times New Roman"/>
                <w:noProof/>
                <w:lang w:eastAsia="en-IE"/>
              </w:rPr>
              <w:lastRenderedPageBreak/>
              <w:t>policies in the field of law enforcement cooperation and security</w:t>
            </w:r>
          </w:p>
          <w:p w14:paraId="634C79DB" w14:textId="4C993F98"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No evidence of contradictions between Europol legal framework and other EU policies on law enforcement cooperation and security</w:t>
            </w:r>
            <w:r w:rsidR="008B5C1F">
              <w:rPr>
                <w:rFonts w:eastAsia="Times New Roman"/>
                <w:noProof/>
                <w:lang w:eastAsia="en-IE"/>
              </w:rPr>
              <w:t>.</w:t>
            </w:r>
          </w:p>
          <w:p w14:paraId="07EBBCA6" w14:textId="7DD416F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There was no evidence of overlaps between Europol's legal framework and EU policies on law enforcement cooperation and security</w:t>
            </w:r>
            <w:r w:rsidR="008B5C1F">
              <w:rPr>
                <w:rFonts w:eastAsia="Times New Roman"/>
                <w:noProof/>
                <w:lang w:eastAsia="en-IE"/>
              </w:rPr>
              <w:t>.</w:t>
            </w:r>
          </w:p>
        </w:tc>
        <w:tc>
          <w:tcPr>
            <w:tcW w:w="0" w:type="auto"/>
            <w:hideMark/>
          </w:tcPr>
          <w:p w14:paraId="79B0E9F8"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lastRenderedPageBreak/>
              <w:t>Qualitative:</w:t>
            </w:r>
          </w:p>
          <w:p w14:paraId="130CBBBE" w14:textId="1DB37B72" w:rsidR="00EB3457" w:rsidRPr="00726D52" w:rsidRDefault="00EB3457" w:rsidP="00C05BFC">
            <w:pPr>
              <w:textAlignment w:val="baseline"/>
              <w:rPr>
                <w:rFonts w:eastAsia="Times New Roman"/>
                <w:noProof/>
                <w:lang w:eastAsia="en-IE"/>
              </w:rPr>
            </w:pPr>
            <w:r w:rsidRPr="00726D52">
              <w:rPr>
                <w:rFonts w:eastAsia="Times New Roman"/>
                <w:noProof/>
                <w:lang w:eastAsia="en-IE"/>
              </w:rPr>
              <w:t>Evidence that Europol's objectives and activities worked in coherence with other EU law enforcement cooperation and security policies</w:t>
            </w:r>
            <w:r w:rsidR="00372E42">
              <w:rPr>
                <w:rFonts w:eastAsia="Times New Roman"/>
                <w:noProof/>
                <w:lang w:eastAsia="en-IE"/>
              </w:rPr>
              <w:t>.</w:t>
            </w:r>
          </w:p>
          <w:p w14:paraId="6A8B2A2F" w14:textId="1CEF26E2" w:rsidR="00EB3457" w:rsidRPr="00726D52" w:rsidRDefault="00EB3457" w:rsidP="00C05BFC">
            <w:pPr>
              <w:textAlignment w:val="baseline"/>
              <w:rPr>
                <w:rFonts w:eastAsia="Times New Roman"/>
                <w:noProof/>
                <w:lang w:eastAsia="en-IE"/>
              </w:rPr>
            </w:pPr>
            <w:r w:rsidRPr="00726D52">
              <w:rPr>
                <w:rFonts w:eastAsia="Times New Roman"/>
                <w:noProof/>
                <w:lang w:eastAsia="en-IE"/>
              </w:rPr>
              <w:t>Evidence or indications of contradictions, synergies and gaps</w:t>
            </w:r>
            <w:r w:rsidR="00372E42">
              <w:rPr>
                <w:rFonts w:eastAsia="Times New Roman"/>
                <w:noProof/>
                <w:lang w:eastAsia="en-IE"/>
              </w:rPr>
              <w:t>.</w:t>
            </w:r>
          </w:p>
          <w:p w14:paraId="77DE35D2"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lastRenderedPageBreak/>
              <w:t>Opinion-based:</w:t>
            </w:r>
          </w:p>
          <w:p w14:paraId="22C3B6F2" w14:textId="74987E3C" w:rsidR="00EB3457" w:rsidRPr="00726D52" w:rsidRDefault="00EB3457" w:rsidP="00C05BFC">
            <w:pPr>
              <w:textAlignment w:val="baseline"/>
              <w:rPr>
                <w:rFonts w:eastAsia="Times New Roman"/>
                <w:noProof/>
                <w:lang w:eastAsia="en-IE"/>
              </w:rPr>
            </w:pPr>
            <w:r w:rsidRPr="00726D52">
              <w:rPr>
                <w:rFonts w:eastAsia="Times New Roman"/>
                <w:noProof/>
                <w:lang w:eastAsia="en-IE"/>
              </w:rPr>
              <w:t>Stakeholders’ views on existence of synergies, gaps, coherence, contradictions and overlaps</w:t>
            </w:r>
            <w:r w:rsidR="00372E42">
              <w:rPr>
                <w:rFonts w:eastAsia="Times New Roman"/>
                <w:noProof/>
                <w:lang w:eastAsia="en-IE"/>
              </w:rPr>
              <w:t>.</w:t>
            </w:r>
          </w:p>
        </w:tc>
        <w:tc>
          <w:tcPr>
            <w:tcW w:w="0" w:type="auto"/>
            <w:hideMark/>
          </w:tcPr>
          <w:p w14:paraId="494E2CEB" w14:textId="3DCC17A9"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 xml:space="preserve">Review of grey literature and operational reports, including COM review under Article 68(3) </w:t>
            </w:r>
            <w:r w:rsidR="00372E42">
              <w:rPr>
                <w:rFonts w:eastAsia="Times New Roman"/>
                <w:noProof/>
                <w:lang w:eastAsia="en-IE"/>
              </w:rPr>
              <w:t>of the Europol Regulation.</w:t>
            </w:r>
          </w:p>
          <w:p w14:paraId="571E0664" w14:textId="04611F01"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JSPG, COM, COSI, strategic policy staff JHA area, M</w:t>
            </w:r>
            <w:r w:rsidR="00372E42">
              <w:rPr>
                <w:rFonts w:eastAsia="Times New Roman"/>
                <w:noProof/>
                <w:lang w:eastAsia="en-IE"/>
              </w:rPr>
              <w:t>ember States</w:t>
            </w:r>
            <w:r w:rsidRPr="00726D52">
              <w:rPr>
                <w:rFonts w:eastAsia="Times New Roman"/>
                <w:noProof/>
                <w:lang w:eastAsia="en-IE"/>
              </w:rPr>
              <w:t xml:space="preserve"> M</w:t>
            </w:r>
            <w:r w:rsidR="00372E42">
              <w:rPr>
                <w:rFonts w:eastAsia="Times New Roman"/>
                <w:noProof/>
                <w:lang w:eastAsia="en-IE"/>
              </w:rPr>
              <w:t xml:space="preserve">inistries </w:t>
            </w:r>
            <w:r w:rsidRPr="00726D52">
              <w:rPr>
                <w:rFonts w:eastAsia="Times New Roman"/>
                <w:noProof/>
                <w:lang w:eastAsia="en-IE"/>
              </w:rPr>
              <w:t>o</w:t>
            </w:r>
            <w:r w:rsidR="00372E42">
              <w:rPr>
                <w:rFonts w:eastAsia="Times New Roman"/>
                <w:noProof/>
                <w:lang w:eastAsia="en-IE"/>
              </w:rPr>
              <w:t xml:space="preserve">f </w:t>
            </w:r>
            <w:r w:rsidRPr="00726D52">
              <w:rPr>
                <w:rFonts w:eastAsia="Times New Roman"/>
                <w:noProof/>
                <w:lang w:eastAsia="en-IE"/>
              </w:rPr>
              <w:t>I</w:t>
            </w:r>
            <w:r w:rsidR="00372E42">
              <w:rPr>
                <w:rFonts w:eastAsia="Times New Roman"/>
                <w:noProof/>
                <w:lang w:eastAsia="en-IE"/>
              </w:rPr>
              <w:t>nterior</w:t>
            </w:r>
            <w:r w:rsidRPr="00726D52">
              <w:rPr>
                <w:rFonts w:eastAsia="Times New Roman"/>
                <w:noProof/>
                <w:lang w:eastAsia="en-IE"/>
              </w:rPr>
              <w:t xml:space="preserve"> (political level), Europol MB</w:t>
            </w:r>
            <w:r w:rsidR="00372E42">
              <w:rPr>
                <w:rFonts w:eastAsia="Times New Roman"/>
                <w:noProof/>
                <w:lang w:eastAsia="en-IE"/>
              </w:rPr>
              <w:t>.</w:t>
            </w:r>
          </w:p>
          <w:p w14:paraId="35E80E0F" w14:textId="425FE9C8"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Survey:</w:t>
            </w:r>
            <w:r w:rsidRPr="00726D52">
              <w:rPr>
                <w:rFonts w:eastAsia="Times New Roman"/>
                <w:b/>
                <w:bCs/>
                <w:noProof/>
                <w:lang w:eastAsia="en-IE"/>
              </w:rPr>
              <w:t xml:space="preserve"> </w:t>
            </w:r>
            <w:r w:rsidRPr="00726D52">
              <w:rPr>
                <w:rFonts w:eastAsia="Times New Roman"/>
                <w:noProof/>
                <w:lang w:eastAsia="en-IE"/>
              </w:rPr>
              <w:t>M</w:t>
            </w:r>
            <w:r w:rsidR="00372E42">
              <w:rPr>
                <w:rFonts w:eastAsia="Times New Roman"/>
                <w:noProof/>
                <w:lang w:eastAsia="en-IE"/>
              </w:rPr>
              <w:t xml:space="preserve">ember </w:t>
            </w:r>
            <w:r w:rsidRPr="00726D52">
              <w:rPr>
                <w:rFonts w:eastAsia="Times New Roman"/>
                <w:noProof/>
                <w:lang w:eastAsia="en-IE"/>
              </w:rPr>
              <w:t>S</w:t>
            </w:r>
            <w:r w:rsidR="00372E42">
              <w:rPr>
                <w:rFonts w:eastAsia="Times New Roman"/>
                <w:noProof/>
                <w:lang w:eastAsia="en-IE"/>
              </w:rPr>
              <w:t>tates</w:t>
            </w:r>
            <w:r w:rsidRPr="00726D52">
              <w:rPr>
                <w:rFonts w:eastAsia="Times New Roman"/>
                <w:noProof/>
                <w:lang w:eastAsia="en-IE"/>
              </w:rPr>
              <w:t xml:space="preserve"> </w:t>
            </w:r>
            <w:r w:rsidR="00372E42">
              <w:rPr>
                <w:rFonts w:eastAsia="Times New Roman"/>
                <w:noProof/>
                <w:lang w:eastAsia="en-IE"/>
              </w:rPr>
              <w:t>law enforcement authorities</w:t>
            </w:r>
            <w:r w:rsidRPr="00726D52">
              <w:rPr>
                <w:rFonts w:eastAsia="Times New Roman"/>
                <w:noProof/>
                <w:lang w:eastAsia="en-IE"/>
              </w:rPr>
              <w:t xml:space="preserve"> and EU agencies and bodies, general publics (public consultation)</w:t>
            </w:r>
            <w:r w:rsidR="00372E42">
              <w:rPr>
                <w:rFonts w:eastAsia="Times New Roman"/>
                <w:noProof/>
                <w:lang w:eastAsia="en-IE"/>
              </w:rPr>
              <w:t>.</w:t>
            </w:r>
          </w:p>
        </w:tc>
      </w:tr>
      <w:tr w:rsidR="00726D52" w:rsidRPr="00726D52" w14:paraId="0A3C0F84" w14:textId="77777777" w:rsidTr="289DEA4F">
        <w:trPr>
          <w:trHeight w:val="300"/>
        </w:trPr>
        <w:tc>
          <w:tcPr>
            <w:tcW w:w="669" w:type="dxa"/>
            <w:shd w:val="clear" w:color="auto" w:fill="E1EBF7"/>
            <w:hideMark/>
          </w:tcPr>
          <w:p w14:paraId="43772B34" w14:textId="77777777" w:rsidR="00EB3457" w:rsidRPr="00726D52" w:rsidRDefault="00EB3457" w:rsidP="00C05BFC">
            <w:pPr>
              <w:spacing w:after="0"/>
              <w:jc w:val="left"/>
              <w:textAlignment w:val="baseline"/>
              <w:rPr>
                <w:rFonts w:eastAsia="Times New Roman"/>
                <w:b/>
                <w:bCs/>
                <w:noProof/>
                <w:lang w:eastAsia="en-IE"/>
              </w:rPr>
            </w:pPr>
            <w:r w:rsidRPr="00726D52">
              <w:rPr>
                <w:rFonts w:eastAsia="Times New Roman"/>
                <w:b/>
                <w:bCs/>
                <w:noProof/>
                <w:lang w:eastAsia="en-IE"/>
              </w:rPr>
              <w:lastRenderedPageBreak/>
              <w:t>E</w:t>
            </w:r>
          </w:p>
        </w:tc>
        <w:tc>
          <w:tcPr>
            <w:tcW w:w="0" w:type="auto"/>
            <w:gridSpan w:val="4"/>
            <w:shd w:val="clear" w:color="auto" w:fill="E1EBF7"/>
            <w:hideMark/>
          </w:tcPr>
          <w:p w14:paraId="4DC14334" w14:textId="77777777" w:rsidR="00EB3457" w:rsidRPr="00726D52" w:rsidRDefault="00EB3457" w:rsidP="00C05BFC">
            <w:pPr>
              <w:spacing w:after="0"/>
              <w:textAlignment w:val="baseline"/>
              <w:rPr>
                <w:rFonts w:eastAsia="Times New Roman"/>
                <w:b/>
                <w:bCs/>
                <w:noProof/>
                <w:lang w:eastAsia="en-IE"/>
              </w:rPr>
            </w:pPr>
            <w:r w:rsidRPr="00726D52">
              <w:rPr>
                <w:rFonts w:eastAsia="Times New Roman"/>
                <w:b/>
                <w:bCs/>
                <w:noProof/>
                <w:lang w:eastAsia="en-IE"/>
              </w:rPr>
              <w:t>EU Added value</w:t>
            </w:r>
          </w:p>
        </w:tc>
      </w:tr>
      <w:tr w:rsidR="00AB422A" w:rsidRPr="00726D52" w14:paraId="21C3B649" w14:textId="77777777" w:rsidTr="289DEA4F">
        <w:trPr>
          <w:trHeight w:val="300"/>
        </w:trPr>
        <w:tc>
          <w:tcPr>
            <w:tcW w:w="669" w:type="dxa"/>
            <w:hideMark/>
          </w:tcPr>
          <w:p w14:paraId="3D2BE477" w14:textId="77777777" w:rsidR="00EB3457" w:rsidRPr="00726D52" w:rsidRDefault="00EB3457" w:rsidP="00C05BFC">
            <w:pPr>
              <w:spacing w:after="0"/>
              <w:jc w:val="left"/>
              <w:textAlignment w:val="baseline"/>
              <w:rPr>
                <w:rFonts w:eastAsia="Times New Roman"/>
                <w:noProof/>
                <w:lang w:eastAsia="en-IE"/>
              </w:rPr>
            </w:pPr>
          </w:p>
        </w:tc>
        <w:tc>
          <w:tcPr>
            <w:tcW w:w="0" w:type="auto"/>
            <w:shd w:val="clear" w:color="auto" w:fill="83909B"/>
            <w:vAlign w:val="center"/>
            <w:hideMark/>
          </w:tcPr>
          <w:p w14:paraId="57E874D5"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Sub-questions</w:t>
            </w:r>
            <w:r w:rsidRPr="00726D52">
              <w:rPr>
                <w:rFonts w:eastAsia="Times New Roman"/>
                <w:noProof/>
                <w:lang w:eastAsia="en-IE"/>
              </w:rPr>
              <w:t> </w:t>
            </w:r>
          </w:p>
        </w:tc>
        <w:tc>
          <w:tcPr>
            <w:tcW w:w="0" w:type="auto"/>
            <w:shd w:val="clear" w:color="auto" w:fill="83909B"/>
            <w:vAlign w:val="center"/>
            <w:hideMark/>
          </w:tcPr>
          <w:p w14:paraId="0BD6F3C9"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lang w:eastAsia="en-IE"/>
              </w:rPr>
              <w:t>Judgment criteria</w:t>
            </w:r>
            <w:r w:rsidRPr="00726D52">
              <w:rPr>
                <w:rFonts w:eastAsia="Times New Roman"/>
                <w:noProof/>
                <w:lang w:eastAsia="en-IE"/>
              </w:rPr>
              <w:t> </w:t>
            </w:r>
          </w:p>
        </w:tc>
        <w:tc>
          <w:tcPr>
            <w:tcW w:w="0" w:type="auto"/>
            <w:shd w:val="clear" w:color="auto" w:fill="83909B"/>
            <w:vAlign w:val="center"/>
            <w:hideMark/>
          </w:tcPr>
          <w:p w14:paraId="505328C8"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Indicators</w:t>
            </w:r>
            <w:r w:rsidRPr="00726D52">
              <w:rPr>
                <w:rFonts w:eastAsia="Times New Roman"/>
                <w:noProof/>
                <w:lang w:eastAsia="en-IE"/>
              </w:rPr>
              <w:t> </w:t>
            </w:r>
          </w:p>
        </w:tc>
        <w:tc>
          <w:tcPr>
            <w:tcW w:w="0" w:type="auto"/>
            <w:shd w:val="clear" w:color="auto" w:fill="83909B"/>
            <w:vAlign w:val="center"/>
            <w:hideMark/>
          </w:tcPr>
          <w:p w14:paraId="2150546E"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lang w:eastAsia="en-IE"/>
              </w:rPr>
              <w:t>Data collection tools and method</w:t>
            </w:r>
            <w:r w:rsidRPr="00726D52">
              <w:rPr>
                <w:rFonts w:eastAsia="Times New Roman"/>
                <w:noProof/>
                <w:lang w:eastAsia="en-IE"/>
              </w:rPr>
              <w:t> </w:t>
            </w:r>
          </w:p>
        </w:tc>
      </w:tr>
      <w:tr w:rsidR="00AB422A" w:rsidRPr="00726D52" w14:paraId="24E25C7F" w14:textId="77777777" w:rsidTr="289DEA4F">
        <w:trPr>
          <w:trHeight w:val="300"/>
        </w:trPr>
        <w:tc>
          <w:tcPr>
            <w:tcW w:w="669" w:type="dxa"/>
            <w:hideMark/>
          </w:tcPr>
          <w:p w14:paraId="6C34DC71" w14:textId="77777777" w:rsidR="00EB3457" w:rsidRPr="00726D52" w:rsidRDefault="00EB3457" w:rsidP="00C05BFC">
            <w:pPr>
              <w:spacing w:after="0"/>
              <w:jc w:val="left"/>
              <w:textAlignment w:val="baseline"/>
              <w:rPr>
                <w:rFonts w:eastAsia="Times New Roman"/>
                <w:noProof/>
                <w:lang w:eastAsia="en-IE"/>
              </w:rPr>
            </w:pPr>
            <w:r w:rsidRPr="00726D52">
              <w:rPr>
                <w:rFonts w:eastAsia="Times New Roman"/>
                <w:b/>
                <w:bCs/>
                <w:noProof/>
                <w:shd w:val="clear" w:color="auto" w:fill="F5F5F5"/>
                <w:lang w:eastAsia="en-IE"/>
              </w:rPr>
              <w:t>9</w:t>
            </w:r>
          </w:p>
        </w:tc>
        <w:tc>
          <w:tcPr>
            <w:tcW w:w="0" w:type="auto"/>
            <w:hideMark/>
          </w:tcPr>
          <w:p w14:paraId="42F9D7A8" w14:textId="389510A6"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Without Europol, how effectively could Member States conduct and exchange investigations and information at their current scale?</w:t>
            </w:r>
          </w:p>
        </w:tc>
        <w:tc>
          <w:tcPr>
            <w:tcW w:w="0" w:type="auto"/>
            <w:hideMark/>
          </w:tcPr>
          <w:p w14:paraId="05D32492" w14:textId="5ED61566"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Member States do not have the possibility to carry out investigations and information exchange in a comparable scale and manner without the support of Europol in the current context</w:t>
            </w:r>
            <w:r w:rsidR="008B5C1F">
              <w:rPr>
                <w:rFonts w:eastAsia="Times New Roman"/>
                <w:noProof/>
                <w:lang w:eastAsia="en-IE"/>
              </w:rPr>
              <w:t>.</w:t>
            </w:r>
          </w:p>
          <w:p w14:paraId="102EB508" w14:textId="77777777" w:rsidR="00EB3457" w:rsidRPr="00726D52" w:rsidRDefault="00EB3457" w:rsidP="00C05BFC">
            <w:pPr>
              <w:spacing w:after="0"/>
              <w:textAlignment w:val="baseline"/>
              <w:rPr>
                <w:rFonts w:eastAsia="Times New Roman"/>
                <w:noProof/>
                <w:lang w:eastAsia="en-IE"/>
              </w:rPr>
            </w:pPr>
          </w:p>
          <w:p w14:paraId="6AE3AC06" w14:textId="0040EE3D"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Member States clearly relied on Europol's activities and knowledge</w:t>
            </w:r>
            <w:r w:rsidR="008B5C1F">
              <w:rPr>
                <w:rFonts w:eastAsia="Times New Roman"/>
                <w:noProof/>
                <w:lang w:eastAsia="en-IE"/>
              </w:rPr>
              <w:t>.</w:t>
            </w:r>
          </w:p>
        </w:tc>
        <w:tc>
          <w:tcPr>
            <w:tcW w:w="0" w:type="auto"/>
            <w:hideMark/>
          </w:tcPr>
          <w:p w14:paraId="3B4B6441"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lastRenderedPageBreak/>
              <w:t>Qualitative:</w:t>
            </w:r>
          </w:p>
          <w:p w14:paraId="5651F80A" w14:textId="11486F1A" w:rsidR="00EB3457" w:rsidRPr="00726D52" w:rsidRDefault="00EB3457" w:rsidP="00C05BFC">
            <w:pPr>
              <w:textAlignment w:val="baseline"/>
              <w:rPr>
                <w:rFonts w:eastAsia="Times New Roman"/>
                <w:noProof/>
                <w:lang w:eastAsia="en-IE"/>
              </w:rPr>
            </w:pPr>
            <w:r w:rsidRPr="00726D52">
              <w:rPr>
                <w:rFonts w:eastAsia="Times New Roman"/>
                <w:noProof/>
                <w:lang w:eastAsia="en-IE"/>
              </w:rPr>
              <w:t>Baseline of current scale of exchanges</w:t>
            </w:r>
            <w:r w:rsidR="008B5C1F">
              <w:rPr>
                <w:rFonts w:eastAsia="Times New Roman"/>
                <w:noProof/>
                <w:lang w:eastAsia="en-IE"/>
              </w:rPr>
              <w:t>.</w:t>
            </w:r>
          </w:p>
          <w:p w14:paraId="21A57D17" w14:textId="55FFCAB6" w:rsidR="00EB3457" w:rsidRPr="00726D52" w:rsidRDefault="00EB3457" w:rsidP="00C05BFC">
            <w:pPr>
              <w:textAlignment w:val="baseline"/>
              <w:rPr>
                <w:rFonts w:eastAsia="Times New Roman"/>
                <w:noProof/>
                <w:lang w:eastAsia="en-IE"/>
              </w:rPr>
            </w:pPr>
            <w:r w:rsidRPr="00726D52">
              <w:rPr>
                <w:rFonts w:eastAsia="Times New Roman"/>
                <w:noProof/>
                <w:lang w:eastAsia="en-IE"/>
              </w:rPr>
              <w:t xml:space="preserve">Evidence on cases or specific requests, activities where Europol </w:t>
            </w:r>
            <w:r w:rsidRPr="00726D52">
              <w:rPr>
                <w:rFonts w:eastAsia="Times New Roman"/>
                <w:noProof/>
                <w:lang w:eastAsia="en-IE"/>
              </w:rPr>
              <w:lastRenderedPageBreak/>
              <w:t>had key role in investigation or sharing of knowledge</w:t>
            </w:r>
            <w:r w:rsidR="008B5C1F">
              <w:rPr>
                <w:rFonts w:eastAsia="Times New Roman"/>
                <w:noProof/>
                <w:lang w:eastAsia="en-IE"/>
              </w:rPr>
              <w:t>.</w:t>
            </w:r>
          </w:p>
          <w:p w14:paraId="64BC8C95" w14:textId="382005BC" w:rsidR="00EB3457" w:rsidRPr="00726D52" w:rsidRDefault="00EB3457" w:rsidP="00C05BFC">
            <w:pPr>
              <w:textAlignment w:val="baseline"/>
              <w:rPr>
                <w:rFonts w:eastAsia="Times New Roman"/>
                <w:noProof/>
                <w:lang w:eastAsia="en-IE"/>
              </w:rPr>
            </w:pPr>
            <w:r w:rsidRPr="00726D52">
              <w:rPr>
                <w:rFonts w:eastAsia="Times New Roman"/>
                <w:noProof/>
                <w:lang w:eastAsia="en-IE"/>
              </w:rPr>
              <w:t>Evidence on existing Member States practices on investigations and exchanges of information</w:t>
            </w:r>
            <w:r w:rsidR="008B5C1F">
              <w:rPr>
                <w:rFonts w:eastAsia="Times New Roman"/>
                <w:noProof/>
                <w:lang w:eastAsia="en-IE"/>
              </w:rPr>
              <w:t>.</w:t>
            </w:r>
          </w:p>
          <w:p w14:paraId="306A16EF" w14:textId="3382B329" w:rsidR="00EB3457" w:rsidRPr="00726D52" w:rsidRDefault="00EB3457" w:rsidP="00C05BFC">
            <w:pPr>
              <w:textAlignment w:val="baseline"/>
              <w:rPr>
                <w:rFonts w:eastAsia="Times New Roman"/>
                <w:noProof/>
                <w:lang w:eastAsia="en-IE"/>
              </w:rPr>
            </w:pPr>
            <w:r w:rsidRPr="00726D52">
              <w:rPr>
                <w:rFonts w:eastAsia="Times New Roman"/>
                <w:noProof/>
                <w:lang w:eastAsia="en-IE"/>
              </w:rPr>
              <w:t>Absence of indications that Member States could</w:t>
            </w:r>
            <w:r w:rsidRPr="00726D52">
              <w:rPr>
                <w:noProof/>
              </w:rPr>
              <w:t xml:space="preserve"> </w:t>
            </w:r>
            <w:r w:rsidRPr="00726D52">
              <w:rPr>
                <w:rFonts w:eastAsia="Times New Roman"/>
                <w:noProof/>
                <w:lang w:eastAsia="en-IE"/>
              </w:rPr>
              <w:t>have</w:t>
            </w:r>
            <w:r w:rsidRPr="00726D52">
              <w:rPr>
                <w:noProof/>
                <w:lang w:eastAsia="en-IE"/>
              </w:rPr>
              <w:t xml:space="preserve"> </w:t>
            </w:r>
            <w:r w:rsidRPr="00726D52">
              <w:rPr>
                <w:rFonts w:eastAsia="Times New Roman"/>
                <w:noProof/>
                <w:lang w:eastAsia="en-IE"/>
              </w:rPr>
              <w:t>achieved the same results without Europol</w:t>
            </w:r>
            <w:r w:rsidR="008B5C1F">
              <w:rPr>
                <w:rFonts w:eastAsia="Times New Roman"/>
                <w:noProof/>
                <w:lang w:eastAsia="en-IE"/>
              </w:rPr>
              <w:t>’</w:t>
            </w:r>
            <w:r w:rsidRPr="00726D52">
              <w:rPr>
                <w:rFonts w:eastAsia="Times New Roman"/>
                <w:noProof/>
                <w:lang w:eastAsia="en-IE"/>
              </w:rPr>
              <w:t>s expertise in investigations and knowledge</w:t>
            </w:r>
            <w:r w:rsidR="008B5C1F">
              <w:rPr>
                <w:rFonts w:eastAsia="Times New Roman"/>
                <w:noProof/>
                <w:lang w:eastAsia="en-IE"/>
              </w:rPr>
              <w:t>.</w:t>
            </w:r>
          </w:p>
          <w:p w14:paraId="70FE8A64"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Opinion-based:</w:t>
            </w:r>
          </w:p>
          <w:p w14:paraId="701007AD" w14:textId="3F88CEF8" w:rsidR="00EB3457" w:rsidRPr="00726D52" w:rsidRDefault="00EB3457" w:rsidP="00C05BFC">
            <w:pPr>
              <w:textAlignment w:val="baseline"/>
              <w:rPr>
                <w:rFonts w:eastAsia="Times New Roman"/>
                <w:noProof/>
                <w:lang w:eastAsia="en-IE"/>
              </w:rPr>
            </w:pPr>
            <w:r w:rsidRPr="00726D52">
              <w:rPr>
                <w:rFonts w:eastAsia="Times New Roman"/>
                <w:noProof/>
                <w:lang w:eastAsia="en-IE"/>
              </w:rPr>
              <w:t>Stakeholders’ perspectives on the ability of Member States to carry out the same investigations and exchanges of information, pointing to clear cases, instances</w:t>
            </w:r>
            <w:r w:rsidR="008B5C1F">
              <w:rPr>
                <w:rFonts w:eastAsia="Times New Roman"/>
                <w:noProof/>
                <w:lang w:eastAsia="en-IE"/>
              </w:rPr>
              <w:t>.</w:t>
            </w:r>
          </w:p>
          <w:p w14:paraId="320360AC" w14:textId="77777777" w:rsidR="00EB3457" w:rsidRPr="00726D52" w:rsidRDefault="00EB3457" w:rsidP="00C05BFC">
            <w:pPr>
              <w:textAlignment w:val="baseline"/>
              <w:rPr>
                <w:rFonts w:eastAsia="Times New Roman"/>
                <w:noProof/>
                <w:lang w:eastAsia="en-IE"/>
              </w:rPr>
            </w:pPr>
            <w:r w:rsidRPr="00726D52">
              <w:rPr>
                <w:rFonts w:eastAsia="Times New Roman"/>
                <w:b/>
                <w:bCs/>
                <w:noProof/>
                <w:u w:val="single"/>
                <w:lang w:eastAsia="en-IE"/>
              </w:rPr>
              <w:t>Quantitative:</w:t>
            </w:r>
          </w:p>
          <w:p w14:paraId="46A084D2" w14:textId="7E78D97B" w:rsidR="00EB3457" w:rsidRPr="00726D52" w:rsidRDefault="00EB3457" w:rsidP="00C05BFC">
            <w:pPr>
              <w:textAlignment w:val="baseline"/>
              <w:rPr>
                <w:rFonts w:eastAsia="Times New Roman"/>
                <w:noProof/>
                <w:lang w:eastAsia="en-IE"/>
              </w:rPr>
            </w:pPr>
            <w:r w:rsidRPr="00726D52">
              <w:rPr>
                <w:rFonts w:eastAsia="Times New Roman"/>
                <w:noProof/>
                <w:lang w:eastAsia="en-IE"/>
              </w:rPr>
              <w:t>EIS information, use of EAS and SIENA</w:t>
            </w:r>
            <w:r w:rsidR="008B5C1F">
              <w:rPr>
                <w:rFonts w:eastAsia="Times New Roman"/>
                <w:noProof/>
                <w:lang w:eastAsia="en-IE"/>
              </w:rPr>
              <w:t>.</w:t>
            </w:r>
          </w:p>
        </w:tc>
        <w:tc>
          <w:tcPr>
            <w:tcW w:w="0" w:type="auto"/>
            <w:hideMark/>
          </w:tcPr>
          <w:p w14:paraId="17143A11" w14:textId="77777777"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lastRenderedPageBreak/>
              <w:t>Desk research:</w:t>
            </w:r>
            <w:r w:rsidRPr="00726D52">
              <w:rPr>
                <w:rFonts w:eastAsia="Times New Roman"/>
                <w:b/>
                <w:bCs/>
                <w:noProof/>
                <w:lang w:eastAsia="en-IE"/>
              </w:rPr>
              <w:t xml:space="preserve"> </w:t>
            </w:r>
            <w:r w:rsidRPr="00726D52">
              <w:rPr>
                <w:rFonts w:eastAsia="Times New Roman"/>
                <w:noProof/>
                <w:lang w:eastAsia="en-IE"/>
              </w:rPr>
              <w:t>Review of grey literature and operational reports </w:t>
            </w:r>
          </w:p>
          <w:p w14:paraId="7E04667A"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w:t>
            </w:r>
          </w:p>
          <w:p w14:paraId="09DC6164" w14:textId="00F3E7A1"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Interviews:</w:t>
            </w:r>
            <w:r w:rsidRPr="00726D52">
              <w:rPr>
                <w:rFonts w:eastAsia="Times New Roman"/>
                <w:b/>
                <w:bCs/>
                <w:noProof/>
                <w:lang w:eastAsia="en-IE"/>
              </w:rPr>
              <w:t xml:space="preserve"> </w:t>
            </w:r>
            <w:r w:rsidRPr="00726D52">
              <w:rPr>
                <w:rFonts w:eastAsia="Times New Roman"/>
                <w:noProof/>
                <w:lang w:eastAsia="en-IE"/>
              </w:rPr>
              <w:t>JSPG, COM strategic policy staff JHA area, M</w:t>
            </w:r>
            <w:r w:rsidR="008B5C1F">
              <w:rPr>
                <w:rFonts w:eastAsia="Times New Roman"/>
                <w:noProof/>
                <w:lang w:eastAsia="en-IE"/>
              </w:rPr>
              <w:t xml:space="preserve">ember </w:t>
            </w:r>
            <w:r w:rsidRPr="00726D52">
              <w:rPr>
                <w:rFonts w:eastAsia="Times New Roman"/>
                <w:noProof/>
                <w:lang w:eastAsia="en-IE"/>
              </w:rPr>
              <w:t>S</w:t>
            </w:r>
            <w:r w:rsidR="008B5C1F">
              <w:rPr>
                <w:rFonts w:eastAsia="Times New Roman"/>
                <w:noProof/>
                <w:lang w:eastAsia="en-IE"/>
              </w:rPr>
              <w:t>tates</w:t>
            </w:r>
            <w:r w:rsidRPr="00726D52">
              <w:rPr>
                <w:rFonts w:eastAsia="Times New Roman"/>
                <w:noProof/>
                <w:lang w:eastAsia="en-IE"/>
              </w:rPr>
              <w:t xml:space="preserve"> M</w:t>
            </w:r>
            <w:r w:rsidR="008B5C1F">
              <w:rPr>
                <w:rFonts w:eastAsia="Times New Roman"/>
                <w:noProof/>
                <w:lang w:eastAsia="en-IE"/>
              </w:rPr>
              <w:t xml:space="preserve">inistries of </w:t>
            </w:r>
            <w:r w:rsidRPr="00726D52">
              <w:rPr>
                <w:rFonts w:eastAsia="Times New Roman"/>
                <w:noProof/>
                <w:lang w:eastAsia="en-IE"/>
              </w:rPr>
              <w:lastRenderedPageBreak/>
              <w:t>I</w:t>
            </w:r>
            <w:r w:rsidR="008B5C1F">
              <w:rPr>
                <w:rFonts w:eastAsia="Times New Roman"/>
                <w:noProof/>
                <w:lang w:eastAsia="en-IE"/>
              </w:rPr>
              <w:t>nterior</w:t>
            </w:r>
            <w:r w:rsidRPr="00726D52">
              <w:rPr>
                <w:rFonts w:eastAsia="Times New Roman"/>
                <w:noProof/>
                <w:lang w:eastAsia="en-IE"/>
              </w:rPr>
              <w:t xml:space="preserve"> (political level), Europol MB, Europol Police Chiefs</w:t>
            </w:r>
            <w:r w:rsidR="008B5C1F">
              <w:rPr>
                <w:rFonts w:eastAsia="Times New Roman"/>
                <w:noProof/>
                <w:lang w:eastAsia="en-IE"/>
              </w:rPr>
              <w:t>.</w:t>
            </w:r>
          </w:p>
          <w:p w14:paraId="6690F199" w14:textId="77777777" w:rsidR="00EB3457" w:rsidRPr="00726D52" w:rsidRDefault="00EB3457" w:rsidP="00C05BFC">
            <w:pPr>
              <w:spacing w:after="0"/>
              <w:textAlignment w:val="baseline"/>
              <w:rPr>
                <w:rFonts w:eastAsia="Times New Roman"/>
                <w:noProof/>
                <w:lang w:eastAsia="en-IE"/>
              </w:rPr>
            </w:pPr>
            <w:r w:rsidRPr="00726D52">
              <w:rPr>
                <w:rFonts w:eastAsia="Times New Roman"/>
                <w:noProof/>
                <w:lang w:eastAsia="en-IE"/>
              </w:rPr>
              <w:t> </w:t>
            </w:r>
          </w:p>
          <w:p w14:paraId="6191643B" w14:textId="2020299D"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Survey:</w:t>
            </w:r>
            <w:r w:rsidRPr="00726D52">
              <w:rPr>
                <w:rFonts w:eastAsia="Times New Roman"/>
                <w:b/>
                <w:bCs/>
                <w:noProof/>
                <w:lang w:eastAsia="en-IE"/>
              </w:rPr>
              <w:t xml:space="preserve"> </w:t>
            </w:r>
            <w:r w:rsidRPr="00726D52">
              <w:rPr>
                <w:rFonts w:eastAsia="Times New Roman"/>
                <w:noProof/>
                <w:lang w:eastAsia="en-IE"/>
              </w:rPr>
              <w:t>M</w:t>
            </w:r>
            <w:r w:rsidR="008B5C1F">
              <w:rPr>
                <w:rFonts w:eastAsia="Times New Roman"/>
                <w:noProof/>
                <w:lang w:eastAsia="en-IE"/>
              </w:rPr>
              <w:t xml:space="preserve">ember </w:t>
            </w:r>
            <w:r w:rsidRPr="00726D52">
              <w:rPr>
                <w:rFonts w:eastAsia="Times New Roman"/>
                <w:noProof/>
                <w:lang w:eastAsia="en-IE"/>
              </w:rPr>
              <w:t>S</w:t>
            </w:r>
            <w:r w:rsidR="008B5C1F">
              <w:rPr>
                <w:rFonts w:eastAsia="Times New Roman"/>
                <w:noProof/>
                <w:lang w:eastAsia="en-IE"/>
              </w:rPr>
              <w:t>tates</w:t>
            </w:r>
            <w:r w:rsidRPr="00726D52">
              <w:rPr>
                <w:rFonts w:eastAsia="Times New Roman"/>
                <w:noProof/>
                <w:lang w:eastAsia="en-IE"/>
              </w:rPr>
              <w:t xml:space="preserve"> </w:t>
            </w:r>
            <w:r w:rsidR="008B5C1F">
              <w:rPr>
                <w:rFonts w:eastAsia="Times New Roman"/>
                <w:noProof/>
                <w:lang w:eastAsia="en-IE"/>
              </w:rPr>
              <w:t>law enforcement authorities</w:t>
            </w:r>
            <w:r w:rsidRPr="00726D52">
              <w:rPr>
                <w:rFonts w:eastAsia="Times New Roman"/>
                <w:noProof/>
                <w:lang w:eastAsia="en-IE"/>
              </w:rPr>
              <w:t xml:space="preserve"> and EU agencies and bodies, general public (public consultation)</w:t>
            </w:r>
            <w:r w:rsidR="008B5C1F">
              <w:rPr>
                <w:rFonts w:eastAsia="Times New Roman"/>
                <w:noProof/>
                <w:lang w:eastAsia="en-IE"/>
              </w:rPr>
              <w:t>.</w:t>
            </w:r>
          </w:p>
          <w:p w14:paraId="21BF099F" w14:textId="77777777" w:rsidR="00EB3457" w:rsidRPr="00726D52" w:rsidRDefault="00EB3457" w:rsidP="00C05BFC">
            <w:pPr>
              <w:spacing w:after="0"/>
              <w:textAlignment w:val="baseline"/>
              <w:rPr>
                <w:rFonts w:eastAsia="Times New Roman"/>
                <w:noProof/>
                <w:lang w:eastAsia="en-IE"/>
              </w:rPr>
            </w:pPr>
          </w:p>
          <w:p w14:paraId="38E0D89A" w14:textId="7D3C3845" w:rsidR="00EB3457" w:rsidRPr="00726D52" w:rsidRDefault="00EB3457" w:rsidP="00C05BFC">
            <w:pPr>
              <w:spacing w:after="0"/>
              <w:textAlignment w:val="baseline"/>
              <w:rPr>
                <w:rFonts w:eastAsia="Times New Roman"/>
                <w:noProof/>
                <w:lang w:eastAsia="en-IE"/>
              </w:rPr>
            </w:pPr>
            <w:r w:rsidRPr="00726D52">
              <w:rPr>
                <w:rFonts w:eastAsia="Times New Roman"/>
                <w:b/>
                <w:bCs/>
                <w:noProof/>
                <w:u w:val="single"/>
                <w:lang w:eastAsia="en-IE"/>
              </w:rPr>
              <w:t>Case studies:</w:t>
            </w:r>
            <w:r w:rsidRPr="00726D52">
              <w:rPr>
                <w:rFonts w:eastAsia="Times New Roman"/>
                <w:b/>
                <w:bCs/>
                <w:noProof/>
                <w:lang w:eastAsia="en-IE"/>
              </w:rPr>
              <w:t xml:space="preserve"> </w:t>
            </w:r>
            <w:r w:rsidRPr="00726D52">
              <w:rPr>
                <w:rFonts w:eastAsia="Times New Roman"/>
                <w:noProof/>
                <w:lang w:eastAsia="en-IE"/>
              </w:rPr>
              <w:t>specific cases of cross-border investigations conducted with and without Europol’s involvement, understand effectiveness and challenges faced in both scenarios</w:t>
            </w:r>
            <w:r w:rsidR="008B5C1F">
              <w:rPr>
                <w:rFonts w:eastAsia="Times New Roman"/>
                <w:noProof/>
                <w:lang w:eastAsia="en-IE"/>
              </w:rPr>
              <w:t>.</w:t>
            </w:r>
          </w:p>
        </w:tc>
      </w:tr>
    </w:tbl>
    <w:p w14:paraId="48C7E4E2" w14:textId="418444D0" w:rsidR="001F4154" w:rsidRPr="00726D52" w:rsidRDefault="001F4154" w:rsidP="3E771F37">
      <w:pPr>
        <w:spacing w:before="240" w:after="200" w:line="276" w:lineRule="auto"/>
        <w:rPr>
          <w:rFonts w:eastAsia="Times New Roman"/>
          <w:noProof/>
        </w:rPr>
      </w:pPr>
      <w:r w:rsidRPr="00726D52">
        <w:rPr>
          <w:rFonts w:eastAsia="Times New Roman"/>
          <w:noProof/>
        </w:rPr>
        <w:lastRenderedPageBreak/>
        <w:br w:type="page"/>
      </w:r>
    </w:p>
    <w:p w14:paraId="7091E828" w14:textId="10F3E29C" w:rsidR="00EB3457" w:rsidRPr="00726D52" w:rsidRDefault="00EB3457" w:rsidP="00685F50">
      <w:pPr>
        <w:pStyle w:val="AnnexTitle"/>
        <w:rPr>
          <w:noProof/>
        </w:rPr>
        <w:sectPr w:rsidR="00EB3457" w:rsidRPr="00726D52" w:rsidSect="000803D6">
          <w:headerReference w:type="default" r:id="rId64"/>
          <w:footerReference w:type="default" r:id="rId65"/>
          <w:headerReference w:type="first" r:id="rId66"/>
          <w:footerReference w:type="first" r:id="rId67"/>
          <w:pgSz w:w="16838" w:h="11906" w:orient="landscape"/>
          <w:pgMar w:top="1588" w:right="1021" w:bottom="1701" w:left="1021" w:header="601" w:footer="1077" w:gutter="0"/>
          <w:cols w:space="720"/>
          <w:titlePg/>
        </w:sectPr>
      </w:pPr>
    </w:p>
    <w:p w14:paraId="6B83EB9F" w14:textId="66CFDB45" w:rsidR="2F73F026" w:rsidRPr="00726D52" w:rsidRDefault="008E28B8" w:rsidP="00685F50">
      <w:pPr>
        <w:pStyle w:val="AnnexTitle"/>
        <w:rPr>
          <w:noProof/>
        </w:rPr>
      </w:pPr>
      <w:bookmarkStart w:id="41" w:name="_Toc224614056"/>
      <w:r w:rsidRPr="00726D52">
        <w:rPr>
          <w:noProof/>
        </w:rPr>
        <w:lastRenderedPageBreak/>
        <w:t>Annex</w:t>
      </w:r>
      <w:r w:rsidR="001F4154" w:rsidRPr="00726D52">
        <w:rPr>
          <w:noProof/>
        </w:rPr>
        <w:t xml:space="preserve"> 8: </w:t>
      </w:r>
      <w:r w:rsidR="00EA7114" w:rsidRPr="00726D52">
        <w:rPr>
          <w:noProof/>
        </w:rPr>
        <w:t>Inventory of existing information systems and tools at Europol</w:t>
      </w:r>
      <w:bookmarkEnd w:id="41"/>
    </w:p>
    <w:p w14:paraId="6A4B9B07" w14:textId="26D8D1EE" w:rsidR="4B4AC55B" w:rsidRPr="00726D52" w:rsidRDefault="4B4AC55B" w:rsidP="6B483E09">
      <w:pPr>
        <w:tabs>
          <w:tab w:val="left" w:pos="0"/>
          <w:tab w:val="left" w:pos="480"/>
        </w:tabs>
        <w:rPr>
          <w:noProof/>
        </w:rPr>
      </w:pPr>
      <w:r w:rsidRPr="00726D52">
        <w:rPr>
          <w:noProof/>
        </w:rPr>
        <w:t xml:space="preserve">This inventory provides an overview of Europol’s main information systems and tools to support </w:t>
      </w:r>
      <w:r w:rsidR="32ED6653" w:rsidRPr="00726D52">
        <w:rPr>
          <w:noProof/>
        </w:rPr>
        <w:t>Member</w:t>
      </w:r>
      <w:r w:rsidRPr="00726D52">
        <w:rPr>
          <w:noProof/>
        </w:rPr>
        <w:t xml:space="preserve"> States in preventing and combating serious international and organised crime, cybercrime and terrorism. </w:t>
      </w:r>
    </w:p>
    <w:p w14:paraId="015A0671" w14:textId="2B15BD91" w:rsidR="6B483E09" w:rsidRPr="00726D52" w:rsidRDefault="18C43D79" w:rsidP="6B483E09">
      <w:pPr>
        <w:tabs>
          <w:tab w:val="left" w:pos="0"/>
          <w:tab w:val="left" w:pos="480"/>
        </w:tabs>
        <w:rPr>
          <w:noProof/>
        </w:rPr>
      </w:pPr>
      <w:r w:rsidRPr="00726D52">
        <w:rPr>
          <w:noProof/>
        </w:rPr>
        <w:t xml:space="preserve">It is aimed at facilitating </w:t>
      </w:r>
      <w:r w:rsidR="4B4AC55B" w:rsidRPr="00726D52">
        <w:rPr>
          <w:noProof/>
        </w:rPr>
        <w:t>na</w:t>
      </w:r>
      <w:r w:rsidR="3427BC8C" w:rsidRPr="00726D52">
        <w:rPr>
          <w:noProof/>
        </w:rPr>
        <w:t xml:space="preserve">vigation through the Agency’s operational environment by </w:t>
      </w:r>
      <w:r w:rsidR="196084CB" w:rsidRPr="00726D52">
        <w:rPr>
          <w:noProof/>
        </w:rPr>
        <w:t>presenting</w:t>
      </w:r>
      <w:r w:rsidR="3427BC8C" w:rsidRPr="00726D52">
        <w:rPr>
          <w:noProof/>
        </w:rPr>
        <w:t xml:space="preserve"> core systems, information </w:t>
      </w:r>
      <w:r w:rsidR="00CF623E" w:rsidRPr="00726D52">
        <w:rPr>
          <w:noProof/>
        </w:rPr>
        <w:t>exchange</w:t>
      </w:r>
      <w:r w:rsidR="3427BC8C" w:rsidRPr="00726D52">
        <w:rPr>
          <w:noProof/>
        </w:rPr>
        <w:t xml:space="preserve"> tools, operational support tools and coordination mechanisms. </w:t>
      </w:r>
    </w:p>
    <w:p w14:paraId="361059CE" w14:textId="51600AAA" w:rsidR="3D8CAD80" w:rsidRPr="00726D52" w:rsidRDefault="0E064022" w:rsidP="009502B2">
      <w:pPr>
        <w:pStyle w:val="ListParagraph"/>
        <w:numPr>
          <w:ilvl w:val="0"/>
          <w:numId w:val="67"/>
        </w:numPr>
        <w:tabs>
          <w:tab w:val="left" w:pos="0"/>
          <w:tab w:val="left" w:pos="480"/>
        </w:tabs>
        <w:rPr>
          <w:b/>
          <w:noProof/>
        </w:rPr>
      </w:pPr>
      <w:r w:rsidRPr="00726D52">
        <w:rPr>
          <w:b/>
          <w:noProof/>
        </w:rPr>
        <w:t>Core Operational Systems</w:t>
      </w:r>
    </w:p>
    <w:p w14:paraId="05E8BEA4" w14:textId="4FA8BA06" w:rsidR="6B483E09" w:rsidRPr="00726D52" w:rsidRDefault="0E064022" w:rsidP="6B483E09">
      <w:pPr>
        <w:tabs>
          <w:tab w:val="left" w:pos="0"/>
          <w:tab w:val="left" w:pos="480"/>
        </w:tabs>
        <w:rPr>
          <w:i/>
          <w:noProof/>
        </w:rPr>
      </w:pPr>
      <w:r w:rsidRPr="00726D52">
        <w:rPr>
          <w:i/>
          <w:iCs/>
          <w:noProof/>
        </w:rPr>
        <w:t>Store, process and analyse operational criminal data shared by Member States</w:t>
      </w:r>
    </w:p>
    <w:p w14:paraId="10D012E7" w14:textId="4AA3036F" w:rsidR="5AF10B3A" w:rsidRPr="00726D52" w:rsidRDefault="0E064022" w:rsidP="5AF10B3A">
      <w:pPr>
        <w:tabs>
          <w:tab w:val="left" w:pos="0"/>
          <w:tab w:val="left" w:pos="480"/>
        </w:tabs>
        <w:rPr>
          <w:b/>
          <w:bCs/>
          <w:noProof/>
        </w:rPr>
      </w:pPr>
      <w:r w:rsidRPr="00726D52">
        <w:rPr>
          <w:b/>
          <w:bCs/>
          <w:noProof/>
        </w:rPr>
        <w:t>Europol Information System (EIS)</w:t>
      </w:r>
    </w:p>
    <w:p w14:paraId="46358248" w14:textId="61F44B8F" w:rsidR="76F1BCEE" w:rsidRPr="00726D52" w:rsidRDefault="149412E9">
      <w:pPr>
        <w:tabs>
          <w:tab w:val="left" w:pos="0"/>
          <w:tab w:val="left" w:pos="480"/>
        </w:tabs>
        <w:rPr>
          <w:noProof/>
        </w:rPr>
      </w:pPr>
      <w:r w:rsidRPr="00726D52">
        <w:rPr>
          <w:noProof/>
        </w:rPr>
        <w:t>Europol’s central</w:t>
      </w:r>
      <w:r w:rsidRPr="00726D52">
        <w:rPr>
          <w:b/>
          <w:bCs/>
          <w:noProof/>
        </w:rPr>
        <w:t xml:space="preserve"> </w:t>
      </w:r>
      <w:r w:rsidRPr="00726D52">
        <w:rPr>
          <w:noProof/>
        </w:rPr>
        <w:t>criminal information system</w:t>
      </w:r>
      <w:r w:rsidR="03DABCA4" w:rsidRPr="00726D52">
        <w:rPr>
          <w:noProof/>
        </w:rPr>
        <w:t>. I</w:t>
      </w:r>
      <w:r w:rsidRPr="00726D52">
        <w:rPr>
          <w:noProof/>
        </w:rPr>
        <w:t>t contains inform</w:t>
      </w:r>
      <w:r w:rsidR="595FF853" w:rsidRPr="00726D52">
        <w:rPr>
          <w:noProof/>
        </w:rPr>
        <w:t>ation</w:t>
      </w:r>
      <w:r w:rsidRPr="00726D52">
        <w:rPr>
          <w:noProof/>
        </w:rPr>
        <w:t xml:space="preserve"> related to suspected and convicted </w:t>
      </w:r>
      <w:r w:rsidR="7269DD7C" w:rsidRPr="00726D52">
        <w:rPr>
          <w:noProof/>
        </w:rPr>
        <w:t>persons</w:t>
      </w:r>
      <w:r w:rsidR="49D8F5AE" w:rsidRPr="00726D52">
        <w:rPr>
          <w:noProof/>
        </w:rPr>
        <w:t>,</w:t>
      </w:r>
      <w:r w:rsidR="7269DD7C" w:rsidRPr="00726D52">
        <w:rPr>
          <w:noProof/>
        </w:rPr>
        <w:t xml:space="preserve"> criminal </w:t>
      </w:r>
      <w:r w:rsidR="5FAA1948" w:rsidRPr="00726D52">
        <w:rPr>
          <w:noProof/>
        </w:rPr>
        <w:t>networks</w:t>
      </w:r>
      <w:r w:rsidR="7269DD7C" w:rsidRPr="00726D52">
        <w:rPr>
          <w:noProof/>
        </w:rPr>
        <w:t xml:space="preserve"> and structures</w:t>
      </w:r>
      <w:r w:rsidR="2654FC5C" w:rsidRPr="00726D52">
        <w:rPr>
          <w:noProof/>
        </w:rPr>
        <w:t>,</w:t>
      </w:r>
      <w:r w:rsidR="7269DD7C" w:rsidRPr="00726D52">
        <w:rPr>
          <w:noProof/>
        </w:rPr>
        <w:t xml:space="preserve"> offences and criminal activities</w:t>
      </w:r>
      <w:r w:rsidR="5AB0A20D" w:rsidRPr="00726D52">
        <w:rPr>
          <w:noProof/>
        </w:rPr>
        <w:t>,</w:t>
      </w:r>
      <w:r w:rsidR="7269DD7C" w:rsidRPr="00726D52">
        <w:rPr>
          <w:noProof/>
        </w:rPr>
        <w:t xml:space="preserve"> </w:t>
      </w:r>
      <w:r w:rsidR="43BF2919" w:rsidRPr="00726D52">
        <w:rPr>
          <w:noProof/>
        </w:rPr>
        <w:t>o</w:t>
      </w:r>
      <w:r w:rsidR="7269DD7C" w:rsidRPr="00726D52">
        <w:rPr>
          <w:noProof/>
        </w:rPr>
        <w:t xml:space="preserve">bjects </w:t>
      </w:r>
      <w:r w:rsidR="35C5DC4A" w:rsidRPr="00726D52">
        <w:rPr>
          <w:noProof/>
        </w:rPr>
        <w:t>used to commit crimes (e.g</w:t>
      </w:r>
      <w:r w:rsidR="447587E9" w:rsidRPr="00726D52">
        <w:rPr>
          <w:noProof/>
        </w:rPr>
        <w:t>.</w:t>
      </w:r>
      <w:r w:rsidR="35C5DC4A" w:rsidRPr="00726D52">
        <w:rPr>
          <w:noProof/>
        </w:rPr>
        <w:t xml:space="preserve"> vehicles, communication devices, financial accounts). </w:t>
      </w:r>
    </w:p>
    <w:p w14:paraId="1F46D011" w14:textId="364D72EF" w:rsidR="76F1BCEE" w:rsidRPr="00726D52" w:rsidRDefault="566642AA">
      <w:pPr>
        <w:tabs>
          <w:tab w:val="left" w:pos="0"/>
          <w:tab w:val="left" w:pos="480"/>
        </w:tabs>
        <w:rPr>
          <w:noProof/>
        </w:rPr>
      </w:pPr>
      <w:r w:rsidRPr="00726D52">
        <w:rPr>
          <w:noProof/>
        </w:rPr>
        <w:t>Data can be inserted into the EIS manually through a specific Europol’s web application, or automatically through a data loader solution. Newly inserted data is automatically compared with existing information in the system to identify potential matches.</w:t>
      </w:r>
    </w:p>
    <w:p w14:paraId="2B9CCFF2" w14:textId="761F1226" w:rsidR="76F1BCEE" w:rsidRPr="00726D52" w:rsidRDefault="566642AA" w:rsidP="76F1BCEE">
      <w:pPr>
        <w:tabs>
          <w:tab w:val="left" w:pos="0"/>
          <w:tab w:val="left" w:pos="480"/>
        </w:tabs>
        <w:rPr>
          <w:noProof/>
        </w:rPr>
      </w:pPr>
      <w:r w:rsidRPr="00726D52">
        <w:rPr>
          <w:noProof/>
        </w:rPr>
        <w:t>The EIS user community includes officials in the Member State Europol National Units (ENUs), Member State liaison officers at Europol, as well as Europol officials and seconded national experts (SNEs).</w:t>
      </w:r>
    </w:p>
    <w:p w14:paraId="0F50C1BA" w14:textId="363EDFAE" w:rsidR="566642AA" w:rsidRPr="00726D52" w:rsidRDefault="7CEF564F" w:rsidP="646BE25A">
      <w:pPr>
        <w:tabs>
          <w:tab w:val="left" w:pos="0"/>
          <w:tab w:val="left" w:pos="480"/>
        </w:tabs>
        <w:rPr>
          <w:b/>
          <w:bCs/>
          <w:noProof/>
        </w:rPr>
      </w:pPr>
      <w:r w:rsidRPr="00726D52">
        <w:rPr>
          <w:b/>
          <w:bCs/>
          <w:noProof/>
        </w:rPr>
        <w:t>E</w:t>
      </w:r>
      <w:r w:rsidR="4BE0608C" w:rsidRPr="00726D52">
        <w:rPr>
          <w:b/>
          <w:bCs/>
          <w:noProof/>
        </w:rPr>
        <w:t xml:space="preserve">uropol Analysis </w:t>
      </w:r>
      <w:r w:rsidR="7CD13E01" w:rsidRPr="00726D52">
        <w:rPr>
          <w:b/>
          <w:bCs/>
          <w:noProof/>
        </w:rPr>
        <w:t>System</w:t>
      </w:r>
      <w:r w:rsidR="4BE0608C" w:rsidRPr="00726D52">
        <w:rPr>
          <w:b/>
          <w:bCs/>
          <w:noProof/>
        </w:rPr>
        <w:t xml:space="preserve"> (E</w:t>
      </w:r>
      <w:r w:rsidRPr="00726D52">
        <w:rPr>
          <w:b/>
          <w:bCs/>
          <w:noProof/>
        </w:rPr>
        <w:t>AS</w:t>
      </w:r>
      <w:r w:rsidR="14A0FE03" w:rsidRPr="00726D52">
        <w:rPr>
          <w:b/>
          <w:bCs/>
          <w:noProof/>
        </w:rPr>
        <w:t>)</w:t>
      </w:r>
    </w:p>
    <w:p w14:paraId="17C527B5" w14:textId="1F6A8B42" w:rsidR="566642AA" w:rsidRPr="00726D52" w:rsidRDefault="5C00BE83" w:rsidP="646BE25A">
      <w:pPr>
        <w:tabs>
          <w:tab w:val="left" w:pos="0"/>
          <w:tab w:val="left" w:pos="480"/>
        </w:tabs>
        <w:rPr>
          <w:noProof/>
        </w:rPr>
      </w:pPr>
      <w:r w:rsidRPr="00726D52">
        <w:rPr>
          <w:noProof/>
        </w:rPr>
        <w:t>Operational information system hosting data contributed by Member States and Third Parties. It supports</w:t>
      </w:r>
      <w:r w:rsidR="184C27D6" w:rsidRPr="00726D52">
        <w:rPr>
          <w:noProof/>
        </w:rPr>
        <w:t xml:space="preserve"> Europol </w:t>
      </w:r>
      <w:r w:rsidR="130DFA58" w:rsidRPr="00726D52">
        <w:rPr>
          <w:noProof/>
        </w:rPr>
        <w:t xml:space="preserve">analysts in their operational and strategic analysis of data provided by </w:t>
      </w:r>
      <w:r w:rsidR="5A3705B3" w:rsidRPr="00726D52">
        <w:rPr>
          <w:noProof/>
        </w:rPr>
        <w:t>Europol’s stakeholders and enables information to be managed centrally.</w:t>
      </w:r>
    </w:p>
    <w:p w14:paraId="7E8DE226" w14:textId="55A0BF8E" w:rsidR="566642AA" w:rsidRPr="00726D52" w:rsidRDefault="566642AA" w:rsidP="3B1598DE">
      <w:pPr>
        <w:tabs>
          <w:tab w:val="left" w:pos="0"/>
          <w:tab w:val="left" w:pos="480"/>
        </w:tabs>
        <w:rPr>
          <w:b/>
          <w:bCs/>
          <w:noProof/>
        </w:rPr>
      </w:pPr>
      <w:r w:rsidRPr="00726D52">
        <w:rPr>
          <w:b/>
          <w:bCs/>
          <w:noProof/>
        </w:rPr>
        <w:t>Analysis Projects (APs)</w:t>
      </w:r>
    </w:p>
    <w:p w14:paraId="47C083FC" w14:textId="6AE58C2F" w:rsidR="566642AA" w:rsidRPr="00726D52" w:rsidRDefault="003B2877" w:rsidP="4466C78C">
      <w:pPr>
        <w:tabs>
          <w:tab w:val="left" w:pos="0"/>
          <w:tab w:val="left" w:pos="480"/>
        </w:tabs>
        <w:rPr>
          <w:noProof/>
        </w:rPr>
      </w:pPr>
      <w:r w:rsidRPr="00726D52">
        <w:rPr>
          <w:noProof/>
        </w:rPr>
        <w:t xml:space="preserve">Operational data processed in the EAS is organised in </w:t>
      </w:r>
      <w:r w:rsidRPr="00726D52">
        <w:rPr>
          <w:b/>
          <w:bCs/>
          <w:noProof/>
        </w:rPr>
        <w:t>Analysis Projects</w:t>
      </w:r>
      <w:r w:rsidRPr="00726D52">
        <w:rPr>
          <w:noProof/>
        </w:rPr>
        <w:t xml:space="preserve">. </w:t>
      </w:r>
      <w:r w:rsidR="7A6ADF77" w:rsidRPr="00726D52">
        <w:rPr>
          <w:noProof/>
        </w:rPr>
        <w:t>As in</w:t>
      </w:r>
      <w:r w:rsidR="566642AA" w:rsidRPr="00726D52">
        <w:rPr>
          <w:noProof/>
        </w:rPr>
        <w:t>telligence platforms supporting criminal investigations related to specific crime areas</w:t>
      </w:r>
      <w:r w:rsidR="038AA85C" w:rsidRPr="00726D52">
        <w:rPr>
          <w:noProof/>
        </w:rPr>
        <w:t>, t</w:t>
      </w:r>
      <w:r w:rsidR="23CFCEDB" w:rsidRPr="00726D52">
        <w:rPr>
          <w:noProof/>
        </w:rPr>
        <w:t>hey</w:t>
      </w:r>
      <w:r w:rsidR="566642AA" w:rsidRPr="00726D52">
        <w:rPr>
          <w:noProof/>
        </w:rPr>
        <w:t xml:space="preserve"> enable Europol and M</w:t>
      </w:r>
      <w:r w:rsidR="1CCEFA21" w:rsidRPr="00726D52">
        <w:rPr>
          <w:noProof/>
        </w:rPr>
        <w:t>e</w:t>
      </w:r>
      <w:r w:rsidR="566642AA" w:rsidRPr="00726D52">
        <w:rPr>
          <w:noProof/>
        </w:rPr>
        <w:t>mber States to collect and analyse operational data</w:t>
      </w:r>
      <w:r w:rsidR="7567E837" w:rsidRPr="00726D52">
        <w:rPr>
          <w:noProof/>
        </w:rPr>
        <w:t>,</w:t>
      </w:r>
      <w:r w:rsidR="566642AA" w:rsidRPr="00726D52">
        <w:rPr>
          <w:noProof/>
        </w:rPr>
        <w:t xml:space="preserve"> identify criminal networks and links between investigations</w:t>
      </w:r>
      <w:r w:rsidR="6FF6D80D" w:rsidRPr="00726D52">
        <w:rPr>
          <w:noProof/>
        </w:rPr>
        <w:t>,</w:t>
      </w:r>
      <w:r w:rsidR="566642AA" w:rsidRPr="00726D52">
        <w:rPr>
          <w:noProof/>
        </w:rPr>
        <w:t xml:space="preserve"> support international inve</w:t>
      </w:r>
      <w:r w:rsidR="043E670B" w:rsidRPr="00726D52">
        <w:rPr>
          <w:noProof/>
        </w:rPr>
        <w:t xml:space="preserve">stigations through analytical products. </w:t>
      </w:r>
    </w:p>
    <w:p w14:paraId="3DE82227" w14:textId="4F4E2EE7" w:rsidR="3DCC2013" w:rsidRPr="00726D52" w:rsidRDefault="1A044FC0" w:rsidP="4466C78C">
      <w:pPr>
        <w:tabs>
          <w:tab w:val="left" w:pos="0"/>
          <w:tab w:val="left" w:pos="480"/>
        </w:tabs>
        <w:rPr>
          <w:rFonts w:eastAsia="Times New Roman"/>
          <w:noProof/>
        </w:rPr>
      </w:pPr>
      <w:r w:rsidRPr="00726D52">
        <w:rPr>
          <w:rFonts w:eastAsia="Times New Roman"/>
          <w:noProof/>
        </w:rPr>
        <w:t>They</w:t>
      </w:r>
      <w:r w:rsidR="3DCC2013" w:rsidRPr="00726D52">
        <w:rPr>
          <w:rFonts w:eastAsia="Times New Roman"/>
          <w:noProof/>
        </w:rPr>
        <w:t xml:space="preserve"> focus on certain crime areas from commodity-based, thematic or regional angles</w:t>
      </w:r>
      <w:r w:rsidR="7962A1A8" w:rsidRPr="00726D52">
        <w:rPr>
          <w:rFonts w:eastAsia="Times New Roman"/>
          <w:noProof/>
        </w:rPr>
        <w:t xml:space="preserve"> (</w:t>
      </w:r>
      <w:r w:rsidR="3DCC2013" w:rsidRPr="00726D52">
        <w:rPr>
          <w:rFonts w:eastAsia="Times New Roman"/>
          <w:noProof/>
        </w:rPr>
        <w:t>e.g.</w:t>
      </w:r>
      <w:r w:rsidR="00072E04" w:rsidRPr="00726D52">
        <w:rPr>
          <w:rFonts w:eastAsia="Times New Roman"/>
          <w:noProof/>
        </w:rPr>
        <w:t>,</w:t>
      </w:r>
      <w:r w:rsidR="3DCC2013" w:rsidRPr="00726D52">
        <w:rPr>
          <w:rFonts w:eastAsia="Times New Roman"/>
          <w:noProof/>
        </w:rPr>
        <w:t xml:space="preserve"> drugs trafficking, Islamist terrorism, Italian organised crime</w:t>
      </w:r>
      <w:r w:rsidR="511A85A3" w:rsidRPr="00726D52">
        <w:rPr>
          <w:rFonts w:eastAsia="Times New Roman"/>
          <w:noProof/>
        </w:rPr>
        <w:t>)</w:t>
      </w:r>
      <w:r w:rsidR="3DCC2013" w:rsidRPr="00726D52">
        <w:rPr>
          <w:rFonts w:eastAsia="Times New Roman"/>
          <w:noProof/>
        </w:rPr>
        <w:t>.</w:t>
      </w:r>
    </w:p>
    <w:p w14:paraId="08C2954A" w14:textId="1F379C05" w:rsidR="10B19671" w:rsidRPr="00726D52" w:rsidRDefault="32B5315F" w:rsidP="009502B2">
      <w:pPr>
        <w:pStyle w:val="ListParagraph"/>
        <w:numPr>
          <w:ilvl w:val="0"/>
          <w:numId w:val="67"/>
        </w:numPr>
        <w:tabs>
          <w:tab w:val="left" w:pos="0"/>
          <w:tab w:val="left" w:pos="480"/>
        </w:tabs>
        <w:rPr>
          <w:rFonts w:eastAsia="Times New Roman"/>
          <w:b/>
          <w:bCs/>
          <w:noProof/>
        </w:rPr>
      </w:pPr>
      <w:r w:rsidRPr="00726D52">
        <w:rPr>
          <w:rFonts w:eastAsia="Times New Roman"/>
          <w:b/>
          <w:bCs/>
          <w:noProof/>
        </w:rPr>
        <w:t>Information Access and Exchange Tools</w:t>
      </w:r>
    </w:p>
    <w:p w14:paraId="19E14D49" w14:textId="6C5680C1" w:rsidR="32B5315F" w:rsidRPr="00726D52" w:rsidRDefault="32B5315F" w:rsidP="4466C78C">
      <w:pPr>
        <w:tabs>
          <w:tab w:val="left" w:pos="0"/>
          <w:tab w:val="left" w:pos="480"/>
        </w:tabs>
        <w:rPr>
          <w:rFonts w:eastAsia="Times New Roman"/>
          <w:i/>
          <w:iCs/>
          <w:noProof/>
        </w:rPr>
      </w:pPr>
      <w:r w:rsidRPr="00726D52">
        <w:rPr>
          <w:rFonts w:eastAsia="Times New Roman"/>
          <w:i/>
          <w:iCs/>
          <w:noProof/>
        </w:rPr>
        <w:t>Exchange operational information and securely access Europol data systems</w:t>
      </w:r>
    </w:p>
    <w:p w14:paraId="52943BA2" w14:textId="32A4F035" w:rsidR="4292182C" w:rsidRPr="00726D52" w:rsidRDefault="32B5315F" w:rsidP="4466C78C">
      <w:pPr>
        <w:spacing w:after="160" w:line="276" w:lineRule="auto"/>
        <w:rPr>
          <w:rFonts w:eastAsia="Times New Roman"/>
          <w:b/>
          <w:bCs/>
          <w:noProof/>
        </w:rPr>
      </w:pPr>
      <w:r w:rsidRPr="00726D52">
        <w:rPr>
          <w:rFonts w:eastAsia="Times New Roman"/>
          <w:b/>
          <w:bCs/>
          <w:noProof/>
        </w:rPr>
        <w:t>Secure Information Exchange Network Application (SIENA)</w:t>
      </w:r>
    </w:p>
    <w:p w14:paraId="7CC49D07" w14:textId="2171FCE0" w:rsidR="4292182C" w:rsidRPr="00726D52" w:rsidRDefault="0F4F328D" w:rsidP="4466C78C">
      <w:pPr>
        <w:spacing w:after="160" w:line="276" w:lineRule="auto"/>
        <w:rPr>
          <w:rFonts w:eastAsia="Times New Roman"/>
          <w:noProof/>
        </w:rPr>
      </w:pPr>
      <w:r w:rsidRPr="00726D52">
        <w:rPr>
          <w:rFonts w:eastAsia="Times New Roman"/>
          <w:noProof/>
        </w:rPr>
        <w:lastRenderedPageBreak/>
        <w:t>T</w:t>
      </w:r>
      <w:r w:rsidR="32B5315F" w:rsidRPr="00726D52">
        <w:rPr>
          <w:rFonts w:eastAsia="Times New Roman"/>
          <w:noProof/>
        </w:rPr>
        <w:t>he Agency’s main platform for the secure exchange of operational and strategic crime-related information</w:t>
      </w:r>
      <w:r w:rsidR="72DD140E" w:rsidRPr="00726D52">
        <w:rPr>
          <w:rFonts w:eastAsia="Times New Roman"/>
          <w:noProof/>
        </w:rPr>
        <w:t xml:space="preserve">. It </w:t>
      </w:r>
      <w:r w:rsidR="00A42FFB" w:rsidRPr="00726D52">
        <w:rPr>
          <w:rFonts w:eastAsia="Times New Roman"/>
          <w:noProof/>
        </w:rPr>
        <w:t>enables</w:t>
      </w:r>
      <w:r w:rsidR="32B5315F" w:rsidRPr="00726D52">
        <w:rPr>
          <w:rFonts w:eastAsia="Times New Roman"/>
          <w:noProof/>
        </w:rPr>
        <w:t xml:space="preserve"> communication between Europol, EU Member States, EU agencies, Third Parties and international partners with cooperation agreements. </w:t>
      </w:r>
    </w:p>
    <w:p w14:paraId="3AD6C5F5" w14:textId="581F1B53" w:rsidR="4292182C" w:rsidRPr="00726D52" w:rsidRDefault="32B5315F" w:rsidP="4466C78C">
      <w:pPr>
        <w:spacing w:after="160" w:line="276" w:lineRule="auto"/>
        <w:rPr>
          <w:rFonts w:eastAsia="Times New Roman"/>
          <w:noProof/>
        </w:rPr>
      </w:pPr>
      <w:r w:rsidRPr="00726D52">
        <w:rPr>
          <w:rFonts w:eastAsia="Times New Roman"/>
          <w:noProof/>
        </w:rPr>
        <w:t xml:space="preserve">The </w:t>
      </w:r>
      <w:r w:rsidR="00606F3B" w:rsidRPr="00726D52">
        <w:rPr>
          <w:rFonts w:eastAsia="Times New Roman"/>
          <w:noProof/>
        </w:rPr>
        <w:t>application</w:t>
      </w:r>
      <w:r w:rsidRPr="00726D52">
        <w:rPr>
          <w:rFonts w:eastAsia="Times New Roman"/>
          <w:noProof/>
        </w:rPr>
        <w:t xml:space="preserve"> allows the exchange of information on three classification levels: EU Confidential (EU-C), EU Restricted (EU-R), and Basic Protection Level (BPL).</w:t>
      </w:r>
    </w:p>
    <w:p w14:paraId="3B0C45EA" w14:textId="72DEE776" w:rsidR="4292182C" w:rsidRPr="00726D52" w:rsidRDefault="32B5315F" w:rsidP="4466C78C">
      <w:pPr>
        <w:spacing w:after="160" w:line="276" w:lineRule="auto"/>
        <w:rPr>
          <w:rFonts w:eastAsia="Times New Roman"/>
          <w:noProof/>
        </w:rPr>
      </w:pPr>
      <w:r w:rsidRPr="00726D52">
        <w:rPr>
          <w:rFonts w:eastAsia="Times New Roman"/>
          <w:noProof/>
        </w:rPr>
        <w:t>SIENA can be used by liaison officers, Europol officials, ENU personnel and other designated law enforcement authorities. Third Parties with whom Europol has cooperation agreements are also connected to SIENA.</w:t>
      </w:r>
    </w:p>
    <w:p w14:paraId="7A5DA19C" w14:textId="08442111" w:rsidR="7FB3D36C" w:rsidRPr="00726D52" w:rsidRDefault="2AF2FE6A" w:rsidP="4466C78C">
      <w:pPr>
        <w:spacing w:after="160" w:line="276" w:lineRule="auto"/>
        <w:rPr>
          <w:rFonts w:eastAsia="Times New Roman"/>
          <w:b/>
          <w:bCs/>
          <w:noProof/>
        </w:rPr>
      </w:pPr>
      <w:r w:rsidRPr="00726D52">
        <w:rPr>
          <w:rFonts w:eastAsia="Times New Roman"/>
          <w:b/>
          <w:bCs/>
          <w:noProof/>
        </w:rPr>
        <w:t>Querying Europol Systems (QUEST)</w:t>
      </w:r>
    </w:p>
    <w:p w14:paraId="2313FA31" w14:textId="301CEF92" w:rsidR="7FB3D36C" w:rsidRPr="00726D52" w:rsidRDefault="1145696D" w:rsidP="4466C78C">
      <w:pPr>
        <w:spacing w:after="160" w:line="276" w:lineRule="auto"/>
        <w:rPr>
          <w:rFonts w:eastAsia="Times New Roman"/>
          <w:noProof/>
        </w:rPr>
      </w:pPr>
      <w:r w:rsidRPr="00726D52">
        <w:rPr>
          <w:rFonts w:eastAsia="Times New Roman"/>
          <w:noProof/>
        </w:rPr>
        <w:t>W</w:t>
      </w:r>
      <w:r w:rsidR="2AF2FE6A" w:rsidRPr="00726D52">
        <w:rPr>
          <w:rFonts w:eastAsia="Times New Roman"/>
          <w:noProof/>
        </w:rPr>
        <w:t>eb service integrated in national system interface(s) of Europol Member States</w:t>
      </w:r>
      <w:r w:rsidR="7EAAA1FF" w:rsidRPr="00726D52">
        <w:rPr>
          <w:rFonts w:eastAsia="Times New Roman"/>
          <w:noProof/>
        </w:rPr>
        <w:t>. I</w:t>
      </w:r>
      <w:r w:rsidR="2AF2FE6A" w:rsidRPr="00726D52">
        <w:rPr>
          <w:rFonts w:eastAsia="Times New Roman"/>
          <w:noProof/>
        </w:rPr>
        <w:t>t allows law enforcement authorities to query Europol data directly from their national interfaces.</w:t>
      </w:r>
    </w:p>
    <w:p w14:paraId="50E8DD17" w14:textId="693FCC7F" w:rsidR="7FB3D36C" w:rsidRPr="00726D52" w:rsidRDefault="2AF2FE6A" w:rsidP="4466C78C">
      <w:pPr>
        <w:spacing w:after="160" w:line="276" w:lineRule="auto"/>
        <w:rPr>
          <w:rFonts w:eastAsia="Times New Roman"/>
          <w:noProof/>
        </w:rPr>
      </w:pPr>
      <w:r w:rsidRPr="00726D52">
        <w:rPr>
          <w:rFonts w:eastAsia="Times New Roman"/>
          <w:noProof/>
        </w:rPr>
        <w:t>It enables searches in the EIS and APs and allows queries concerning persons, firearms, identity documents, means of communication, means of transportation, financial accounts and means of payment.</w:t>
      </w:r>
    </w:p>
    <w:p w14:paraId="4065784B" w14:textId="6E3F71BC" w:rsidR="7FB3D36C" w:rsidRPr="00726D52" w:rsidRDefault="14799E8B" w:rsidP="4466C78C">
      <w:pPr>
        <w:spacing w:after="160" w:line="276" w:lineRule="auto"/>
        <w:rPr>
          <w:rFonts w:eastAsia="Times New Roman"/>
          <w:b/>
          <w:bCs/>
          <w:noProof/>
        </w:rPr>
      </w:pPr>
      <w:r w:rsidRPr="00726D52">
        <w:rPr>
          <w:rFonts w:eastAsia="Times New Roman"/>
          <w:b/>
          <w:bCs/>
          <w:noProof/>
        </w:rPr>
        <w:t>Large File Exchange</w:t>
      </w:r>
    </w:p>
    <w:p w14:paraId="6DE3668F" w14:textId="7E9D7535" w:rsidR="7FB3D36C" w:rsidRPr="00726D52" w:rsidRDefault="14799E8B" w:rsidP="00AA098D">
      <w:pPr>
        <w:spacing w:after="160" w:line="276" w:lineRule="auto"/>
        <w:rPr>
          <w:rFonts w:eastAsia="Times New Roman"/>
          <w:noProof/>
        </w:rPr>
      </w:pPr>
      <w:r w:rsidRPr="00726D52">
        <w:rPr>
          <w:rFonts w:eastAsia="Times New Roman"/>
          <w:noProof/>
        </w:rPr>
        <w:t>System allowing the secure exchange of large volumes of data that exceed the size limitation of file attachment in SIENA. It is used to exchange large datasets related to criminal investigations, such as digital evidence or extensive operational datasets.</w:t>
      </w:r>
    </w:p>
    <w:p w14:paraId="0379B21B" w14:textId="2BBB95B7" w:rsidR="7FB3D36C" w:rsidRPr="00726D52" w:rsidRDefault="14799E8B" w:rsidP="00AA098D">
      <w:pPr>
        <w:spacing w:after="160" w:line="276" w:lineRule="auto"/>
        <w:rPr>
          <w:rFonts w:eastAsia="Times New Roman"/>
          <w:noProof/>
        </w:rPr>
      </w:pPr>
      <w:r w:rsidRPr="00726D52">
        <w:rPr>
          <w:rFonts w:eastAsia="Times New Roman"/>
          <w:noProof/>
        </w:rPr>
        <w:t>It can also be used for bilateral exchanges of large data volumes.</w:t>
      </w:r>
    </w:p>
    <w:p w14:paraId="4E2000CC" w14:textId="13C94320" w:rsidR="521074CE" w:rsidRPr="00726D52" w:rsidRDefault="11AB9193" w:rsidP="009502B2">
      <w:pPr>
        <w:pStyle w:val="ListParagraph"/>
        <w:numPr>
          <w:ilvl w:val="0"/>
          <w:numId w:val="67"/>
        </w:numPr>
        <w:tabs>
          <w:tab w:val="left" w:pos="0"/>
          <w:tab w:val="left" w:pos="480"/>
        </w:tabs>
        <w:rPr>
          <w:rFonts w:eastAsia="Times New Roman"/>
          <w:b/>
          <w:noProof/>
          <w:color w:val="333333"/>
        </w:rPr>
      </w:pPr>
      <w:r w:rsidRPr="00726D52">
        <w:rPr>
          <w:rFonts w:eastAsia="Times New Roman"/>
          <w:b/>
          <w:noProof/>
          <w:color w:val="333333"/>
        </w:rPr>
        <w:t>Operational Coordination Mechanisms</w:t>
      </w:r>
    </w:p>
    <w:p w14:paraId="05B25A53" w14:textId="26B90EEC" w:rsidR="6C115A4F" w:rsidRPr="00726D52" w:rsidRDefault="11AB9193" w:rsidP="00AA098D">
      <w:pPr>
        <w:tabs>
          <w:tab w:val="left" w:pos="0"/>
          <w:tab w:val="left" w:pos="480"/>
        </w:tabs>
        <w:rPr>
          <w:rFonts w:eastAsia="Times New Roman"/>
          <w:i/>
          <w:noProof/>
          <w:color w:val="333333"/>
        </w:rPr>
      </w:pPr>
      <w:r w:rsidRPr="00726D52">
        <w:rPr>
          <w:rFonts w:eastAsia="Times New Roman"/>
          <w:i/>
          <w:noProof/>
          <w:color w:val="333333"/>
        </w:rPr>
        <w:t>Support the coordination of international investigations and operational responses involving multiple Member States.</w:t>
      </w:r>
    </w:p>
    <w:p w14:paraId="02D88AA7" w14:textId="72224DC1" w:rsidR="7DA90D6D" w:rsidRPr="00726D52" w:rsidRDefault="1689D084" w:rsidP="00AA098D">
      <w:pPr>
        <w:spacing w:after="160" w:line="276" w:lineRule="auto"/>
        <w:rPr>
          <w:rFonts w:eastAsia="Times New Roman"/>
          <w:b/>
          <w:bCs/>
          <w:noProof/>
        </w:rPr>
      </w:pPr>
      <w:r w:rsidRPr="00726D52">
        <w:rPr>
          <w:rFonts w:eastAsia="Times New Roman"/>
          <w:b/>
          <w:bCs/>
          <w:noProof/>
        </w:rPr>
        <w:t>24/7 Operational Centre</w:t>
      </w:r>
    </w:p>
    <w:p w14:paraId="3F0FDE06" w14:textId="7286A5E6" w:rsidR="7DA90D6D" w:rsidRPr="00726D52" w:rsidRDefault="1689D084" w:rsidP="00AA098D">
      <w:pPr>
        <w:spacing w:after="160" w:line="276" w:lineRule="auto"/>
        <w:rPr>
          <w:rFonts w:eastAsia="Times New Roman"/>
          <w:noProof/>
        </w:rPr>
      </w:pPr>
      <w:r w:rsidRPr="00726D52">
        <w:rPr>
          <w:rFonts w:eastAsia="Times New Roman"/>
          <w:noProof/>
        </w:rPr>
        <w:t>By ensuring continuous operational support for Member States and Europol partners, it monitors operational and non-operational information exchange through SIENA, provides first-level response on a 24/7 basis to law enforcement authorities’ requests and supports urgent cross-border investigations.</w:t>
      </w:r>
    </w:p>
    <w:p w14:paraId="421A15BF" w14:textId="2B1683EB" w:rsidR="7DA90D6D" w:rsidRPr="002A1E63" w:rsidRDefault="1689D084" w:rsidP="00AA098D">
      <w:pPr>
        <w:spacing w:after="160" w:line="276" w:lineRule="auto"/>
        <w:rPr>
          <w:rFonts w:eastAsia="Times New Roman"/>
          <w:b/>
          <w:noProof/>
          <w:lang w:val="fr-BE"/>
        </w:rPr>
      </w:pPr>
      <w:r w:rsidRPr="002A1E63">
        <w:rPr>
          <w:rFonts w:eastAsia="Times New Roman"/>
          <w:b/>
          <w:noProof/>
          <w:lang w:val="fr-BE"/>
        </w:rPr>
        <w:t>Joint Cybercrime Action Taskforce (J-CAT)</w:t>
      </w:r>
    </w:p>
    <w:p w14:paraId="21CC020A" w14:textId="7CDCA628" w:rsidR="7DA90D6D" w:rsidRPr="00726D52" w:rsidRDefault="1689D084" w:rsidP="00AA098D">
      <w:pPr>
        <w:spacing w:after="160" w:line="276" w:lineRule="auto"/>
        <w:rPr>
          <w:rFonts w:eastAsia="Times New Roman"/>
          <w:noProof/>
        </w:rPr>
      </w:pPr>
      <w:r w:rsidRPr="00726D52">
        <w:rPr>
          <w:rFonts w:eastAsia="Times New Roman"/>
          <w:noProof/>
        </w:rPr>
        <w:t>24/7 permanent taskforce operating from Europol headquarters together with the European Cybercrime Centre (EC3)</w:t>
      </w:r>
      <w:r w:rsidR="1D26C049" w:rsidRPr="00726D52">
        <w:rPr>
          <w:rFonts w:eastAsia="Times New Roman"/>
          <w:noProof/>
        </w:rPr>
        <w:t>. I</w:t>
      </w:r>
      <w:r w:rsidRPr="00726D52">
        <w:rPr>
          <w:rFonts w:eastAsia="Times New Roman"/>
          <w:noProof/>
        </w:rPr>
        <w:t>t coordinates intelligence-led coordinated actions against key cybercrime threats and targets. It also facilitates between law enforcement agencies from different countries.</w:t>
      </w:r>
    </w:p>
    <w:p w14:paraId="0979818A" w14:textId="3E078A5E" w:rsidR="7DA90D6D" w:rsidRPr="00726D52" w:rsidRDefault="1689D084" w:rsidP="00AA098D">
      <w:pPr>
        <w:spacing w:after="160" w:line="276" w:lineRule="auto"/>
        <w:rPr>
          <w:rFonts w:eastAsia="Times New Roman"/>
          <w:noProof/>
        </w:rPr>
      </w:pPr>
      <w:r w:rsidRPr="00726D52">
        <w:rPr>
          <w:rFonts w:eastAsia="Times New Roman"/>
          <w:noProof/>
        </w:rPr>
        <w:t>Governed by a Board composed of at least one senior law enforcement representative per participating agency.</w:t>
      </w:r>
    </w:p>
    <w:p w14:paraId="24E3FFE2" w14:textId="12898652" w:rsidR="7DA90D6D" w:rsidRPr="00726D52" w:rsidRDefault="1689D084" w:rsidP="00AA098D">
      <w:pPr>
        <w:spacing w:after="160" w:line="276" w:lineRule="auto"/>
        <w:rPr>
          <w:rFonts w:eastAsia="Times New Roman"/>
          <w:b/>
          <w:bCs/>
          <w:noProof/>
        </w:rPr>
      </w:pPr>
      <w:r w:rsidRPr="00726D52">
        <w:rPr>
          <w:rFonts w:eastAsia="Times New Roman"/>
          <w:b/>
          <w:bCs/>
          <w:noProof/>
        </w:rPr>
        <w:lastRenderedPageBreak/>
        <w:t>Operational Task Force (OTF)</w:t>
      </w:r>
    </w:p>
    <w:p w14:paraId="72CBFA9C" w14:textId="1814F90E" w:rsidR="0B1F3414" w:rsidRPr="00726D52" w:rsidRDefault="1689D084" w:rsidP="00AA098D">
      <w:pPr>
        <w:spacing w:after="160" w:line="276" w:lineRule="auto"/>
        <w:rPr>
          <w:rFonts w:eastAsia="Times New Roman"/>
          <w:noProof/>
        </w:rPr>
      </w:pPr>
      <w:r w:rsidRPr="00726D52">
        <w:rPr>
          <w:rFonts w:eastAsia="Times New Roman"/>
          <w:noProof/>
        </w:rPr>
        <w:t>Established by EU Member States and operational partners to target a High Value Target involved in serious and organised crime or terrorism, it temporarily brings investigators and analysts from the relevant countries to enhance coordination, intelligence sharing and operational cooperation during cross-border cooperation. Europol offers analytical and operational support.</w:t>
      </w:r>
    </w:p>
    <w:p w14:paraId="058886FB" w14:textId="3D0EE2F7" w:rsidR="5F9C8BD7" w:rsidRPr="00726D52" w:rsidRDefault="5F9C8BD7" w:rsidP="5F9C8BD7">
      <w:pPr>
        <w:tabs>
          <w:tab w:val="left" w:pos="0"/>
          <w:tab w:val="left" w:pos="480"/>
        </w:tabs>
        <w:rPr>
          <w:rFonts w:eastAsia="Times New Roman"/>
          <w:noProof/>
          <w:color w:val="333333"/>
        </w:rPr>
      </w:pPr>
    </w:p>
    <w:p w14:paraId="32039ECB" w14:textId="77777777" w:rsidR="00505865" w:rsidRPr="00726D52" w:rsidRDefault="00505865">
      <w:pPr>
        <w:spacing w:after="200" w:line="276" w:lineRule="auto"/>
        <w:jc w:val="left"/>
        <w:rPr>
          <w:rFonts w:eastAsia="Times New Roman"/>
          <w:b/>
          <w:smallCaps/>
          <w:noProof/>
          <w:sz w:val="32"/>
          <w:szCs w:val="20"/>
        </w:rPr>
      </w:pPr>
      <w:r w:rsidRPr="00726D52">
        <w:rPr>
          <w:noProof/>
        </w:rPr>
        <w:br w:type="page"/>
      </w:r>
    </w:p>
    <w:p w14:paraId="28F56D94" w14:textId="4DD098AF" w:rsidR="00505865" w:rsidRPr="00726D52" w:rsidRDefault="00505865" w:rsidP="00AA098D">
      <w:pPr>
        <w:pStyle w:val="AnnexTitle"/>
        <w:rPr>
          <w:noProof/>
        </w:rPr>
      </w:pPr>
      <w:bookmarkStart w:id="42" w:name="_Toc224614057"/>
      <w:r w:rsidRPr="00726D52">
        <w:rPr>
          <w:noProof/>
        </w:rPr>
        <w:lastRenderedPageBreak/>
        <w:t>Annex 9: DNA match</w:t>
      </w:r>
      <w:r w:rsidR="007B21EB" w:rsidRPr="00726D52">
        <w:rPr>
          <w:noProof/>
        </w:rPr>
        <w:t>ing service</w:t>
      </w:r>
      <w:bookmarkEnd w:id="42"/>
    </w:p>
    <w:p w14:paraId="53D10F20" w14:textId="77777777" w:rsidR="00C756D6" w:rsidRPr="00726D52" w:rsidRDefault="00C756D6" w:rsidP="00C756D6">
      <w:pPr>
        <w:rPr>
          <w:noProof/>
        </w:rPr>
      </w:pPr>
      <w:r w:rsidRPr="00726D52">
        <w:rPr>
          <w:noProof/>
        </w:rPr>
        <w:t>DNA is currently the most widely used biometric modality in the European Union for the identification of individuals and the resolution of criminal investigations.</w:t>
      </w:r>
    </w:p>
    <w:p w14:paraId="163E1DF0" w14:textId="77777777" w:rsidR="00C756D6" w:rsidRPr="00726D52" w:rsidRDefault="00C756D6" w:rsidP="00C756D6">
      <w:pPr>
        <w:rPr>
          <w:noProof/>
        </w:rPr>
      </w:pPr>
      <w:r w:rsidRPr="00726D52">
        <w:rPr>
          <w:noProof/>
        </w:rPr>
        <w:t>Within the EU, DNA profiles are always generated by accredited national forensic laboratories. These certified laboratories analyse DNA samples, either collected from a known individual (typically through a buccal swab) or recovered as biological traces from a crime scene. The analysis involves a series of complex biological, chemical and physical processes that ultimately produce a standardised DNA profile suitable for forensic comparison.</w:t>
      </w:r>
    </w:p>
    <w:p w14:paraId="680F3576" w14:textId="77777777" w:rsidR="00C756D6" w:rsidRPr="00726D52" w:rsidRDefault="00C756D6" w:rsidP="00C756D6">
      <w:pPr>
        <w:rPr>
          <w:noProof/>
        </w:rPr>
      </w:pPr>
      <w:r w:rsidRPr="00726D52">
        <w:rPr>
          <w:noProof/>
        </w:rPr>
        <w:t>Once generated, each DNA profile is stored in a national DNA database, where it can be compared against other profiles to identify potential matches. Such matches may occur between a crime scene trace and the profile of a known individual, or between crime scene traces originating from different investigations, thereby helping to establish links between criminal cases.</w:t>
      </w:r>
    </w:p>
    <w:p w14:paraId="2A82CF54" w14:textId="11A9EC37" w:rsidR="00C756D6" w:rsidRPr="00726D52" w:rsidRDefault="00C756D6" w:rsidP="00C756D6">
      <w:pPr>
        <w:rPr>
          <w:noProof/>
        </w:rPr>
      </w:pPr>
      <w:r w:rsidRPr="00726D52">
        <w:rPr>
          <w:noProof/>
        </w:rPr>
        <w:t xml:space="preserve">Currently, 23 out of the 27 EU Member States use the </w:t>
      </w:r>
      <w:r w:rsidRPr="00726D52">
        <w:rPr>
          <w:b/>
          <w:noProof/>
        </w:rPr>
        <w:t>Combined DNA Index System (CODIS)</w:t>
      </w:r>
      <w:r w:rsidRPr="00726D52">
        <w:rPr>
          <w:noProof/>
        </w:rPr>
        <w:t xml:space="preserve"> as the software application for managing national DNA databases and performing DNA profile comparisons. CODIS is owned, developed and maintained by the </w:t>
      </w:r>
      <w:r w:rsidRPr="00726D52">
        <w:rPr>
          <w:b/>
          <w:noProof/>
        </w:rPr>
        <w:t>Federal Bureau of Investigation (FBI) of the United States</w:t>
      </w:r>
      <w:r w:rsidRPr="00726D52">
        <w:rPr>
          <w:noProof/>
        </w:rPr>
        <w:t xml:space="preserve">. Under the existing </w:t>
      </w:r>
      <w:r w:rsidRPr="00726D52">
        <w:rPr>
          <w:b/>
          <w:noProof/>
        </w:rPr>
        <w:t>Prüm framework</w:t>
      </w:r>
      <w:r w:rsidRPr="00726D52">
        <w:rPr>
          <w:noProof/>
        </w:rPr>
        <w:t>, national CODIS systems are interconnected, enabling automated cross-border DNA comparisons between Member States.</w:t>
      </w:r>
    </w:p>
    <w:p w14:paraId="4E250E67" w14:textId="77777777" w:rsidR="00505865" w:rsidRPr="00726D52" w:rsidRDefault="00505865" w:rsidP="00505865">
      <w:pPr>
        <w:rPr>
          <w:noProof/>
        </w:rPr>
      </w:pPr>
      <w:r w:rsidRPr="00726D52">
        <w:rPr>
          <w:noProof/>
          <w:lang w:eastAsia="en-GB"/>
        </w:rPr>
        <w:drawing>
          <wp:inline distT="0" distB="0" distL="0" distR="0" wp14:anchorId="4F409DD6" wp14:editId="7CF40B82">
            <wp:extent cx="5731510" cy="1485265"/>
            <wp:effectExtent l="0" t="0" r="2540" b="635"/>
            <wp:docPr id="270838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1510" cy="1485265"/>
                    </a:xfrm>
                    <a:prstGeom prst="rect">
                      <a:avLst/>
                    </a:prstGeom>
                    <a:noFill/>
                    <a:ln>
                      <a:noFill/>
                    </a:ln>
                  </pic:spPr>
                </pic:pic>
              </a:graphicData>
            </a:graphic>
          </wp:inline>
        </w:drawing>
      </w:r>
    </w:p>
    <w:p w14:paraId="2083E30B" w14:textId="29413252" w:rsidR="00622298" w:rsidRPr="00726D52" w:rsidRDefault="00622298" w:rsidP="00622298">
      <w:pPr>
        <w:rPr>
          <w:noProof/>
        </w:rPr>
      </w:pPr>
      <w:r w:rsidRPr="00726D52">
        <w:rPr>
          <w:noProof/>
        </w:rPr>
        <w:t xml:space="preserve">While the process of DNA matching itself is computationally straightforward compared to other biometric modalities, it is governed by a set of highly specific and rigorous biological rules that must be applied consistently. Unlike facial recognition or fingerprint matching systems, DNA </w:t>
      </w:r>
      <w:r w:rsidR="007C7008" w:rsidRPr="00726D52">
        <w:rPr>
          <w:noProof/>
        </w:rPr>
        <w:t xml:space="preserve">profile </w:t>
      </w:r>
      <w:r w:rsidRPr="00726D52">
        <w:rPr>
          <w:noProof/>
        </w:rPr>
        <w:t>matching does not rely on artificial intelligence or machine learning techniques, but instead on deterministic comparison algorithms based on established forensic standards.</w:t>
      </w:r>
    </w:p>
    <w:p w14:paraId="7EA9F076" w14:textId="72E17301" w:rsidR="00622298" w:rsidRPr="00726D52" w:rsidRDefault="00622298" w:rsidP="00622298">
      <w:pPr>
        <w:rPr>
          <w:noProof/>
        </w:rPr>
      </w:pPr>
      <w:r w:rsidRPr="00726D52">
        <w:rPr>
          <w:noProof/>
        </w:rPr>
        <w:t xml:space="preserve">The </w:t>
      </w:r>
      <w:r w:rsidRPr="00726D52">
        <w:rPr>
          <w:b/>
          <w:bCs/>
          <w:noProof/>
        </w:rPr>
        <w:t>Prüm II Regulation</w:t>
      </w:r>
      <w:r w:rsidRPr="00726D52">
        <w:rPr>
          <w:rStyle w:val="FootnoteReference"/>
          <w:b/>
          <w:bCs/>
          <w:noProof/>
        </w:rPr>
        <w:footnoteReference w:id="229"/>
      </w:r>
      <w:r w:rsidRPr="00726D52">
        <w:rPr>
          <w:b/>
          <w:bCs/>
          <w:noProof/>
        </w:rPr>
        <w:t xml:space="preserve"> and its implementing act</w:t>
      </w:r>
      <w:r w:rsidR="00C128AC" w:rsidRPr="00726D52">
        <w:rPr>
          <w:rStyle w:val="FootnoteReference"/>
          <w:b/>
          <w:bCs/>
          <w:noProof/>
        </w:rPr>
        <w:footnoteReference w:id="230"/>
      </w:r>
      <w:r w:rsidRPr="00726D52">
        <w:rPr>
          <w:noProof/>
        </w:rPr>
        <w:t xml:space="preserve"> introduce important changes to the DNA </w:t>
      </w:r>
      <w:r w:rsidR="007C7008" w:rsidRPr="00726D52">
        <w:rPr>
          <w:noProof/>
        </w:rPr>
        <w:t xml:space="preserve">profile </w:t>
      </w:r>
      <w:r w:rsidRPr="00726D52">
        <w:rPr>
          <w:noProof/>
        </w:rPr>
        <w:t>comparison framework. In particular, DNA</w:t>
      </w:r>
      <w:r w:rsidR="007C7008" w:rsidRPr="00726D52">
        <w:rPr>
          <w:noProof/>
        </w:rPr>
        <w:t xml:space="preserve"> profile</w:t>
      </w:r>
      <w:r w:rsidRPr="00726D52">
        <w:rPr>
          <w:noProof/>
        </w:rPr>
        <w:t xml:space="preserve"> exchanges will be </w:t>
      </w:r>
      <w:r w:rsidRPr="00726D52">
        <w:rPr>
          <w:noProof/>
        </w:rPr>
        <w:lastRenderedPageBreak/>
        <w:t xml:space="preserve">routed through a </w:t>
      </w:r>
      <w:r w:rsidRPr="00726D52">
        <w:rPr>
          <w:b/>
          <w:bCs/>
          <w:noProof/>
        </w:rPr>
        <w:t>centralised technical router operated by eu-LISA</w:t>
      </w:r>
      <w:r w:rsidRPr="00726D52">
        <w:rPr>
          <w:noProof/>
        </w:rPr>
        <w:t>, and updated matching rules will apply. Implementing these changes requires modifications to the CODIS software currently used by Member States. As CODIS is proprietary software owned and maintained by the FBI, such changes can only be carried out by the United States authorities.</w:t>
      </w:r>
    </w:p>
    <w:p w14:paraId="587AEC68" w14:textId="77777777" w:rsidR="00622298" w:rsidRPr="00726D52" w:rsidRDefault="00622298" w:rsidP="00622298">
      <w:pPr>
        <w:rPr>
          <w:noProof/>
        </w:rPr>
      </w:pPr>
      <w:r w:rsidRPr="00726D52">
        <w:rPr>
          <w:noProof/>
        </w:rPr>
        <w:t>This situation creates a structural technological dependency of the EU on a third country for a core component of its law enforcement infrastructure. In the current geopolitical context, reducing such dependencies has become an increasingly important objective for the Union, particularly in sensitive areas related to internal security and law enforcement cooperation.</w:t>
      </w:r>
    </w:p>
    <w:p w14:paraId="7ECC3043" w14:textId="39C513CF" w:rsidR="00622298" w:rsidRPr="00726D52" w:rsidRDefault="00622298" w:rsidP="00622298">
      <w:pPr>
        <w:rPr>
          <w:noProof/>
        </w:rPr>
      </w:pPr>
      <w:r w:rsidRPr="00726D52">
        <w:rPr>
          <w:noProof/>
        </w:rPr>
        <w:t xml:space="preserve">To address this dependency, the EU could develop, deploy and maintain its own </w:t>
      </w:r>
      <w:r w:rsidRPr="00726D52">
        <w:rPr>
          <w:b/>
          <w:noProof/>
        </w:rPr>
        <w:t xml:space="preserve">European DNA matching </w:t>
      </w:r>
      <w:r w:rsidR="00025E64" w:rsidRPr="00726D52">
        <w:rPr>
          <w:b/>
          <w:noProof/>
        </w:rPr>
        <w:t>service</w:t>
      </w:r>
      <w:r w:rsidR="00025E64" w:rsidRPr="00726D52">
        <w:rPr>
          <w:noProof/>
        </w:rPr>
        <w:t xml:space="preserve"> </w:t>
      </w:r>
      <w:r w:rsidRPr="00726D52">
        <w:rPr>
          <w:noProof/>
        </w:rPr>
        <w:t xml:space="preserve">capable of performing the same core functionalities currently provided by CODIS. Such an EU-developed </w:t>
      </w:r>
      <w:r w:rsidR="00F32A0A" w:rsidRPr="00726D52">
        <w:rPr>
          <w:noProof/>
        </w:rPr>
        <w:t>application</w:t>
      </w:r>
      <w:r w:rsidRPr="00726D52">
        <w:rPr>
          <w:noProof/>
        </w:rPr>
        <w:t xml:space="preserve"> would implement equivalent DNA </w:t>
      </w:r>
      <w:r w:rsidR="007C7008" w:rsidRPr="00726D52">
        <w:rPr>
          <w:noProof/>
        </w:rPr>
        <w:t xml:space="preserve">profile </w:t>
      </w:r>
      <w:r w:rsidRPr="00726D52">
        <w:rPr>
          <w:noProof/>
        </w:rPr>
        <w:t xml:space="preserve">comparison rules and database management capabilities, while being fully aligned with EU legal and operational requirements. Member States would progressively migrate their existing DNA profiles from CODIS to the new EU system, after which CODIS would no longer be required for national DNA </w:t>
      </w:r>
      <w:r w:rsidR="00C31AD7" w:rsidRPr="00726D52">
        <w:rPr>
          <w:noProof/>
        </w:rPr>
        <w:t xml:space="preserve">profile </w:t>
      </w:r>
      <w:r w:rsidRPr="00726D52">
        <w:rPr>
          <w:noProof/>
        </w:rPr>
        <w:t>database management or cross-border comparisons.</w:t>
      </w:r>
    </w:p>
    <w:p w14:paraId="7A647C6A" w14:textId="3DCA3E8D" w:rsidR="00622298" w:rsidRPr="00726D52" w:rsidRDefault="00622298" w:rsidP="00622298">
      <w:pPr>
        <w:rPr>
          <w:noProof/>
        </w:rPr>
      </w:pPr>
      <w:r w:rsidRPr="00726D52">
        <w:rPr>
          <w:noProof/>
        </w:rPr>
        <w:t xml:space="preserve">Developing an EU-controlled DNA matching </w:t>
      </w:r>
      <w:r w:rsidR="00025E64" w:rsidRPr="00726D52">
        <w:rPr>
          <w:noProof/>
        </w:rPr>
        <w:t>service</w:t>
      </w:r>
      <w:r w:rsidRPr="00726D52">
        <w:rPr>
          <w:noProof/>
        </w:rPr>
        <w:t xml:space="preserve"> would enhance the Union’s technological sovereignty in a critical area of forensic cooperation, while ensuring full operational continuity for national authorities and supporting the long-term sustainability of the Prüm </w:t>
      </w:r>
      <w:r w:rsidR="006875AB" w:rsidRPr="00726D52">
        <w:rPr>
          <w:noProof/>
        </w:rPr>
        <w:t xml:space="preserve">II </w:t>
      </w:r>
      <w:r w:rsidRPr="00726D52">
        <w:rPr>
          <w:noProof/>
        </w:rPr>
        <w:t>framework.</w:t>
      </w:r>
    </w:p>
    <w:p w14:paraId="73B05883" w14:textId="7277123A" w:rsidR="00505865" w:rsidRPr="00726D52" w:rsidRDefault="00505865" w:rsidP="00505865">
      <w:pPr>
        <w:rPr>
          <w:noProof/>
        </w:rPr>
      </w:pPr>
      <w:r w:rsidRPr="00726D52">
        <w:rPr>
          <w:noProof/>
        </w:rPr>
        <w:t xml:space="preserve"> </w:t>
      </w:r>
      <w:r w:rsidRPr="00726D52">
        <w:rPr>
          <w:noProof/>
          <w:lang w:eastAsia="en-GB"/>
        </w:rPr>
        <w:drawing>
          <wp:inline distT="0" distB="0" distL="0" distR="0" wp14:anchorId="396A623A" wp14:editId="41472968">
            <wp:extent cx="5731510" cy="1000760"/>
            <wp:effectExtent l="0" t="0" r="2540" b="8890"/>
            <wp:docPr id="1394318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31510" cy="1000760"/>
                    </a:xfrm>
                    <a:prstGeom prst="rect">
                      <a:avLst/>
                    </a:prstGeom>
                    <a:noFill/>
                    <a:ln>
                      <a:noFill/>
                    </a:ln>
                  </pic:spPr>
                </pic:pic>
              </a:graphicData>
            </a:graphic>
          </wp:inline>
        </w:drawing>
      </w:r>
    </w:p>
    <w:p w14:paraId="3FE3FF5A" w14:textId="77777777" w:rsidR="001F4154" w:rsidRPr="00726D52" w:rsidRDefault="001F4154" w:rsidP="6137F77B">
      <w:pPr>
        <w:spacing w:before="240"/>
        <w:rPr>
          <w:noProof/>
        </w:rPr>
      </w:pPr>
    </w:p>
    <w:p w14:paraId="36DBB8DF" w14:textId="77777777" w:rsidR="00E8608D" w:rsidRPr="00726D52" w:rsidRDefault="00E8608D">
      <w:pPr>
        <w:spacing w:after="200" w:line="276" w:lineRule="auto"/>
        <w:jc w:val="left"/>
        <w:rPr>
          <w:rFonts w:eastAsia="Times New Roman"/>
          <w:b/>
          <w:smallCaps/>
          <w:noProof/>
          <w:sz w:val="32"/>
          <w:szCs w:val="20"/>
        </w:rPr>
      </w:pPr>
      <w:r w:rsidRPr="00726D52">
        <w:rPr>
          <w:noProof/>
        </w:rPr>
        <w:br w:type="page"/>
      </w:r>
    </w:p>
    <w:p w14:paraId="00850F65" w14:textId="3F4AE263" w:rsidR="00E8608D" w:rsidRPr="00726D52" w:rsidRDefault="00E8608D">
      <w:pPr>
        <w:pStyle w:val="AnnexTitle"/>
        <w:rPr>
          <w:noProof/>
        </w:rPr>
      </w:pPr>
      <w:bookmarkStart w:id="43" w:name="_Toc224614058"/>
      <w:r w:rsidRPr="00726D52">
        <w:rPr>
          <w:noProof/>
        </w:rPr>
        <w:lastRenderedPageBreak/>
        <w:t>Annex 10: Impacts of Policy options</w:t>
      </w:r>
      <w:bookmarkEnd w:id="43"/>
    </w:p>
    <w:p w14:paraId="27FD5D6A" w14:textId="63498967" w:rsidR="00E8608D" w:rsidRPr="00726D52" w:rsidRDefault="00663C90" w:rsidP="00663C90">
      <w:pPr>
        <w:rPr>
          <w:noProof/>
        </w:rPr>
      </w:pPr>
      <w:r w:rsidRPr="00726D52">
        <w:rPr>
          <w:noProof/>
        </w:rPr>
        <w:t>The information presented in this annex aims to enhance transparency and provide further evidence underpinning the conclusions of the impact assessment. The annex should therefore be read in conjunction with the main impact assessment, as it provides the technical background and detailed results that support the overall evaluation of the policy options.</w:t>
      </w:r>
    </w:p>
    <w:p w14:paraId="61F400ED" w14:textId="77777777" w:rsidR="000A268D" w:rsidRPr="00726D52" w:rsidRDefault="000A268D" w:rsidP="000A268D">
      <w:pPr>
        <w:rPr>
          <w:noProof/>
        </w:rPr>
      </w:pPr>
      <w:r w:rsidRPr="00726D52">
        <w:rPr>
          <w:rStyle w:val="Strong"/>
          <w:noProof/>
        </w:rPr>
        <w:t>Environmental impact:</w:t>
      </w:r>
      <w:r w:rsidRPr="00726D52">
        <w:rPr>
          <w:noProof/>
        </w:rPr>
        <w:t xml:space="preserve"> None, as the options do not involve environmental aspects.</w:t>
      </w:r>
    </w:p>
    <w:p w14:paraId="68D4735D" w14:textId="77777777" w:rsidR="000A268D" w:rsidRPr="00726D52" w:rsidRDefault="000A268D" w:rsidP="000A268D">
      <w:pPr>
        <w:rPr>
          <w:noProof/>
        </w:rPr>
      </w:pPr>
      <w:r w:rsidRPr="00726D52">
        <w:rPr>
          <w:rStyle w:val="Strong"/>
          <w:noProof/>
        </w:rPr>
        <w:t>Economic impact:</w:t>
      </w:r>
      <w:r w:rsidRPr="00726D52">
        <w:rPr>
          <w:noProof/>
        </w:rPr>
        <w:t xml:space="preserve"> Limited to EU and Member State investment in Europol human and technical resources; no direct effects on private operators or SMEs are expected.</w:t>
      </w:r>
    </w:p>
    <w:p w14:paraId="395AACDF" w14:textId="77777777" w:rsidR="000A268D" w:rsidRPr="00726D52" w:rsidRDefault="000A268D" w:rsidP="000A268D">
      <w:pPr>
        <w:rPr>
          <w:noProof/>
        </w:rPr>
      </w:pPr>
      <w:r w:rsidRPr="00726D52">
        <w:rPr>
          <w:noProof/>
        </w:rPr>
        <w:t xml:space="preserve">As certain options involve the exchange of personal data, particular attention is given to </w:t>
      </w:r>
      <w:r w:rsidRPr="00726D52">
        <w:rPr>
          <w:rStyle w:val="Strong"/>
          <w:noProof/>
        </w:rPr>
        <w:t>fundamental rights</w:t>
      </w:r>
      <w:r w:rsidRPr="00726D52">
        <w:rPr>
          <w:noProof/>
        </w:rPr>
        <w:t xml:space="preserve">, in line with the EU Charter. Any interference must be </w:t>
      </w:r>
      <w:r w:rsidRPr="00726D52">
        <w:rPr>
          <w:rStyle w:val="Strong"/>
          <w:noProof/>
        </w:rPr>
        <w:t>necessary and proportionate</w:t>
      </w:r>
      <w:r w:rsidRPr="00726D52">
        <w:rPr>
          <w:noProof/>
        </w:rPr>
        <w:t xml:space="preserve"> (Articles 51–52), balancing security objectives with protection of personal data (Articles 7–8) and privacy. The options aim to improve law enforcement effectiveness, supporting public security and preventing serious crimes such as human trafficking (Articles 2 and 5 of the Charter).</w:t>
      </w:r>
    </w:p>
    <w:p w14:paraId="1C69A0B2" w14:textId="77777777" w:rsidR="0082690B" w:rsidRPr="00726D52" w:rsidRDefault="000A268D" w:rsidP="0082690B">
      <w:pPr>
        <w:rPr>
          <w:noProof/>
        </w:rPr>
      </w:pPr>
      <w:r w:rsidRPr="00726D52">
        <w:rPr>
          <w:noProof/>
        </w:rPr>
        <w:t xml:space="preserve">Data protection is safeguarded by the </w:t>
      </w:r>
      <w:r w:rsidRPr="00726D52">
        <w:rPr>
          <w:rStyle w:val="Strong"/>
          <w:noProof/>
        </w:rPr>
        <w:t>Europol Regulation</w:t>
      </w:r>
      <w:r w:rsidRPr="00726D52">
        <w:rPr>
          <w:noProof/>
        </w:rPr>
        <w:t xml:space="preserve">, the Law Enforcement Directive, and the EU Data Protection Regulation, ensuring legality, necessity, and proportionality of processing. Limitations on rights are targeted, strictly within existing law enforcement mandates. Each option pursues the general interest of EU internal security, and the assessment focuses on </w:t>
      </w:r>
      <w:r w:rsidRPr="00726D52">
        <w:rPr>
          <w:rStyle w:val="Strong"/>
          <w:noProof/>
        </w:rPr>
        <w:t>necessity</w:t>
      </w:r>
      <w:r w:rsidRPr="00726D52">
        <w:rPr>
          <w:noProof/>
        </w:rPr>
        <w:t xml:space="preserve"> and </w:t>
      </w:r>
      <w:r w:rsidRPr="00726D52">
        <w:rPr>
          <w:rStyle w:val="Strong"/>
          <w:noProof/>
        </w:rPr>
        <w:t>proportionality</w:t>
      </w:r>
      <w:r w:rsidRPr="00726D52">
        <w:rPr>
          <w:noProof/>
        </w:rPr>
        <w:t xml:space="preserve">. </w:t>
      </w:r>
    </w:p>
    <w:p w14:paraId="1DE3FF54" w14:textId="1C08E5EE" w:rsidR="000A268D" w:rsidRPr="00726D52" w:rsidRDefault="000A268D" w:rsidP="0082690B">
      <w:pPr>
        <w:rPr>
          <w:noProof/>
        </w:rPr>
      </w:pPr>
      <w:r w:rsidRPr="00726D52">
        <w:rPr>
          <w:noProof/>
        </w:rPr>
        <w:t>The impacts are assessed on a scale ranging from ‘very positive impact’ (++) to ‘very negative impact’ (--), with intermediate scores: ‘positive impact’ (+), ‘neutral’ (0) and ‘negative impact’ (-).</w:t>
      </w:r>
      <w:r w:rsidRPr="00726D52">
        <w:rPr>
          <w:b/>
          <w:bCs/>
          <w:noProof/>
        </w:rPr>
        <w:t>Reinforcing Europol’s existing model</w:t>
      </w:r>
    </w:p>
    <w:p w14:paraId="0A51EB70" w14:textId="02F2DB42" w:rsidR="000A268D" w:rsidRPr="00726D52" w:rsidRDefault="006875AB" w:rsidP="0082690B">
      <w:pPr>
        <w:pStyle w:val="Heading3"/>
        <w:numPr>
          <w:ilvl w:val="0"/>
          <w:numId w:val="0"/>
        </w:numPr>
        <w:tabs>
          <w:tab w:val="clear" w:pos="9007"/>
        </w:tabs>
        <w:rPr>
          <w:b/>
          <w:i w:val="0"/>
          <w:noProof/>
        </w:rPr>
      </w:pPr>
      <w:r w:rsidRPr="00726D52">
        <w:rPr>
          <w:b/>
          <w:i w:val="0"/>
          <w:iCs/>
          <w:noProof/>
        </w:rPr>
        <w:t>1.1</w:t>
      </w:r>
      <w:r w:rsidRPr="00726D52">
        <w:rPr>
          <w:b/>
          <w:noProof/>
          <w:u w:val="single"/>
        </w:rPr>
        <w:t xml:space="preserve"> Sub p</w:t>
      </w:r>
      <w:r w:rsidR="000A268D" w:rsidRPr="00726D52">
        <w:rPr>
          <w:b/>
          <w:noProof/>
          <w:u w:val="single"/>
        </w:rPr>
        <w:t>olicy option 1.1</w:t>
      </w:r>
      <w:r w:rsidR="000A268D" w:rsidRPr="00726D52">
        <w:rPr>
          <w:b/>
          <w:noProof/>
        </w:rPr>
        <w:t>: Strengthened data availability, processing and service</w:t>
      </w:r>
    </w:p>
    <w:p w14:paraId="03C1E0DD" w14:textId="77777777" w:rsidR="000A268D" w:rsidRPr="00726D52" w:rsidRDefault="000A268D" w:rsidP="009502B2">
      <w:pPr>
        <w:pStyle w:val="Heading4"/>
        <w:numPr>
          <w:ilvl w:val="0"/>
          <w:numId w:val="27"/>
        </w:numPr>
        <w:tabs>
          <w:tab w:val="num" w:pos="360"/>
        </w:tabs>
        <w:ind w:left="0" w:firstLine="0"/>
        <w:rPr>
          <w:b/>
          <w:bCs/>
          <w:noProof/>
        </w:rPr>
      </w:pPr>
      <w:r w:rsidRPr="00726D52">
        <w:rPr>
          <w:b/>
          <w:bCs/>
          <w:noProof/>
        </w:rPr>
        <w:t>Impact on citizens (+)</w:t>
      </w:r>
    </w:p>
    <w:p w14:paraId="3FDC221A" w14:textId="0FE71972" w:rsidR="000A268D" w:rsidRPr="00726D52" w:rsidRDefault="000A268D" w:rsidP="000A268D">
      <w:pPr>
        <w:rPr>
          <w:noProof/>
        </w:rPr>
      </w:pPr>
      <w:r w:rsidRPr="00726D52">
        <w:rPr>
          <w:noProof/>
        </w:rPr>
        <w:t xml:space="preserve">This option </w:t>
      </w:r>
      <w:r w:rsidRPr="00726D52">
        <w:rPr>
          <w:b/>
          <w:bCs/>
          <w:noProof/>
        </w:rPr>
        <w:t>protects EU citizens</w:t>
      </w:r>
      <w:r w:rsidRPr="00726D52">
        <w:rPr>
          <w:noProof/>
        </w:rPr>
        <w:t xml:space="preserve"> by enabling Europol to </w:t>
      </w:r>
      <w:r w:rsidRPr="00726D52">
        <w:rPr>
          <w:b/>
          <w:bCs/>
          <w:noProof/>
        </w:rPr>
        <w:t>cross-check and analyse lawfully available data</w:t>
      </w:r>
      <w:r w:rsidRPr="00726D52">
        <w:rPr>
          <w:noProof/>
        </w:rPr>
        <w:t xml:space="preserve">, allowing </w:t>
      </w:r>
      <w:r w:rsidRPr="00726D52">
        <w:rPr>
          <w:b/>
          <w:bCs/>
          <w:noProof/>
        </w:rPr>
        <w:t>earlier detection of criminal networks</w:t>
      </w:r>
      <w:r w:rsidRPr="00726D52">
        <w:rPr>
          <w:noProof/>
        </w:rPr>
        <w:t xml:space="preserve">, faster </w:t>
      </w:r>
      <w:r w:rsidRPr="00726D52">
        <w:rPr>
          <w:b/>
          <w:bCs/>
          <w:noProof/>
        </w:rPr>
        <w:t>Member State coordination</w:t>
      </w:r>
      <w:r w:rsidRPr="00726D52">
        <w:rPr>
          <w:noProof/>
        </w:rPr>
        <w:t xml:space="preserve">, and more </w:t>
      </w:r>
      <w:r w:rsidRPr="00726D52">
        <w:rPr>
          <w:b/>
          <w:bCs/>
          <w:noProof/>
        </w:rPr>
        <w:t>targeted law enforcement</w:t>
      </w:r>
      <w:r w:rsidRPr="00726D52">
        <w:rPr>
          <w:noProof/>
        </w:rPr>
        <w:t xml:space="preserve">, while focusing on </w:t>
      </w:r>
      <w:r w:rsidRPr="00726D52">
        <w:rPr>
          <w:b/>
          <w:bCs/>
          <w:noProof/>
        </w:rPr>
        <w:t>priority crimes</w:t>
      </w:r>
      <w:r w:rsidRPr="00726D52">
        <w:rPr>
          <w:noProof/>
        </w:rPr>
        <w:t xml:space="preserve"> and preserving </w:t>
      </w:r>
      <w:r w:rsidRPr="00726D52">
        <w:rPr>
          <w:b/>
          <w:bCs/>
          <w:noProof/>
        </w:rPr>
        <w:t>Member State control</w:t>
      </w:r>
      <w:r w:rsidRPr="00726D52">
        <w:rPr>
          <w:noProof/>
        </w:rPr>
        <w:t xml:space="preserve"> and </w:t>
      </w:r>
      <w:r w:rsidRPr="00726D52">
        <w:rPr>
          <w:b/>
          <w:bCs/>
          <w:noProof/>
        </w:rPr>
        <w:t>fundamental rights</w:t>
      </w:r>
      <w:r w:rsidRPr="00726D52">
        <w:rPr>
          <w:noProof/>
        </w:rPr>
        <w:t>.</w:t>
      </w:r>
    </w:p>
    <w:p w14:paraId="7B15128A" w14:textId="77777777" w:rsidR="000A268D" w:rsidRPr="00726D52" w:rsidRDefault="000A268D" w:rsidP="009502B2">
      <w:pPr>
        <w:pStyle w:val="Heading4"/>
        <w:numPr>
          <w:ilvl w:val="0"/>
          <w:numId w:val="27"/>
        </w:numPr>
        <w:tabs>
          <w:tab w:val="num" w:pos="360"/>
        </w:tabs>
        <w:ind w:left="0" w:firstLine="0"/>
        <w:rPr>
          <w:b/>
          <w:noProof/>
        </w:rPr>
      </w:pPr>
      <w:r w:rsidRPr="00726D52">
        <w:rPr>
          <w:b/>
          <w:noProof/>
        </w:rPr>
        <w:t>Impact on national authorities (++)</w:t>
      </w:r>
    </w:p>
    <w:p w14:paraId="727522D4" w14:textId="77777777" w:rsidR="000A268D" w:rsidRPr="00726D52" w:rsidRDefault="000A268D" w:rsidP="000A268D">
      <w:pPr>
        <w:rPr>
          <w:noProof/>
        </w:rPr>
      </w:pPr>
      <w:r w:rsidRPr="00726D52">
        <w:rPr>
          <w:rFonts w:eastAsia="Times New Roman"/>
          <w:noProof/>
        </w:rPr>
        <w:t>This policy option has a</w:t>
      </w:r>
      <w:r w:rsidRPr="00726D52">
        <w:rPr>
          <w:rFonts w:eastAsia="Times New Roman"/>
          <w:b/>
          <w:bCs/>
          <w:noProof/>
        </w:rPr>
        <w:t xml:space="preserve"> very positive impact </w:t>
      </w:r>
      <w:r w:rsidRPr="00726D52">
        <w:rPr>
          <w:rFonts w:eastAsia="Times New Roman"/>
          <w:noProof/>
        </w:rPr>
        <w:t xml:space="preserve">on national authorities by addressing operational, technical and resource constraints and improving the </w:t>
      </w:r>
      <w:r w:rsidRPr="00726D52">
        <w:rPr>
          <w:rFonts w:eastAsia="Times New Roman"/>
          <w:b/>
          <w:bCs/>
          <w:noProof/>
        </w:rPr>
        <w:t>returns of cooperation</w:t>
      </w:r>
      <w:r w:rsidRPr="00726D52">
        <w:rPr>
          <w:rFonts w:eastAsia="Times New Roman"/>
          <w:noProof/>
        </w:rPr>
        <w:t xml:space="preserve"> with Europol. Member States gain</w:t>
      </w:r>
      <w:r w:rsidRPr="00726D52">
        <w:rPr>
          <w:noProof/>
        </w:rPr>
        <w:t>:</w:t>
      </w:r>
    </w:p>
    <w:p w14:paraId="12C61209" w14:textId="77777777" w:rsidR="000A268D" w:rsidRPr="00726D52" w:rsidRDefault="000A268D" w:rsidP="009502B2">
      <w:pPr>
        <w:pStyle w:val="NormalWeb"/>
        <w:numPr>
          <w:ilvl w:val="0"/>
          <w:numId w:val="8"/>
        </w:numPr>
        <w:rPr>
          <w:noProof/>
          <w:lang w:val="en-GB"/>
        </w:rPr>
      </w:pPr>
      <w:r w:rsidRPr="00726D52">
        <w:rPr>
          <w:rStyle w:val="Strong"/>
          <w:noProof/>
          <w:lang w:val="en-GB"/>
        </w:rPr>
        <w:t>Automated data-loaders</w:t>
      </w:r>
      <w:r w:rsidRPr="00726D52">
        <w:rPr>
          <w:noProof/>
          <w:lang w:val="en-GB"/>
        </w:rPr>
        <w:t>, reducing manual uploads and delays;</w:t>
      </w:r>
    </w:p>
    <w:p w14:paraId="53AE8FDA" w14:textId="77777777" w:rsidR="000A268D" w:rsidRPr="00726D52" w:rsidRDefault="000A268D" w:rsidP="009502B2">
      <w:pPr>
        <w:pStyle w:val="NormalWeb"/>
        <w:numPr>
          <w:ilvl w:val="0"/>
          <w:numId w:val="8"/>
        </w:numPr>
        <w:rPr>
          <w:noProof/>
          <w:lang w:val="en-GB"/>
        </w:rPr>
      </w:pPr>
      <w:r w:rsidRPr="00726D52">
        <w:rPr>
          <w:rStyle w:val="Strong"/>
          <w:noProof/>
          <w:lang w:val="en-GB"/>
        </w:rPr>
        <w:t>Systematic cross-checks</w:t>
      </w:r>
      <w:r w:rsidRPr="00726D52">
        <w:rPr>
          <w:noProof/>
          <w:lang w:val="en-GB"/>
        </w:rPr>
        <w:t xml:space="preserve"> by Europol, enhancing intelligence quality;</w:t>
      </w:r>
    </w:p>
    <w:p w14:paraId="6AD17AF4" w14:textId="77777777" w:rsidR="000A268D" w:rsidRPr="00726D52" w:rsidRDefault="000A268D" w:rsidP="009502B2">
      <w:pPr>
        <w:pStyle w:val="NormalWeb"/>
        <w:numPr>
          <w:ilvl w:val="0"/>
          <w:numId w:val="8"/>
        </w:numPr>
        <w:rPr>
          <w:noProof/>
          <w:lang w:val="en-GB"/>
        </w:rPr>
      </w:pPr>
      <w:r w:rsidRPr="00726D52">
        <w:rPr>
          <w:rStyle w:val="Strong"/>
          <w:noProof/>
          <w:lang w:val="en-GB"/>
        </w:rPr>
        <w:lastRenderedPageBreak/>
        <w:t>Upgraded systems</w:t>
      </w:r>
      <w:r w:rsidRPr="00726D52">
        <w:rPr>
          <w:noProof/>
          <w:lang w:val="en-GB"/>
        </w:rPr>
        <w:t xml:space="preserve"> (SIENA, EIS, EAS, QUEST/QUEST+), enabling faster and more actionable analysis;</w:t>
      </w:r>
    </w:p>
    <w:p w14:paraId="0166DDE7" w14:textId="77777777" w:rsidR="000A268D" w:rsidRPr="00726D52" w:rsidRDefault="000A268D" w:rsidP="009502B2">
      <w:pPr>
        <w:pStyle w:val="NormalWeb"/>
        <w:numPr>
          <w:ilvl w:val="0"/>
          <w:numId w:val="8"/>
        </w:numPr>
        <w:rPr>
          <w:noProof/>
          <w:lang w:val="en-GB"/>
        </w:rPr>
      </w:pPr>
      <w:r w:rsidRPr="00726D52">
        <w:rPr>
          <w:rStyle w:val="Strong"/>
          <w:noProof/>
          <w:lang w:val="en-GB"/>
        </w:rPr>
        <w:t>Dedicated technical support</w:t>
      </w:r>
      <w:r w:rsidRPr="00726D52">
        <w:rPr>
          <w:noProof/>
          <w:lang w:val="en-GB"/>
        </w:rPr>
        <w:t>, including specialised teams for integration and optimisation;</w:t>
      </w:r>
    </w:p>
    <w:p w14:paraId="625B92C0" w14:textId="77777777" w:rsidR="000A268D" w:rsidRPr="00726D52" w:rsidRDefault="000A268D" w:rsidP="009502B2">
      <w:pPr>
        <w:pStyle w:val="NormalWeb"/>
        <w:numPr>
          <w:ilvl w:val="0"/>
          <w:numId w:val="8"/>
        </w:numPr>
        <w:rPr>
          <w:noProof/>
          <w:lang w:val="en-GB"/>
        </w:rPr>
      </w:pPr>
      <w:r w:rsidRPr="00726D52">
        <w:rPr>
          <w:rFonts w:hAnsi="Symbol"/>
          <w:noProof/>
          <w:lang w:val="en-GB"/>
        </w:rPr>
        <w:t>J</w:t>
      </w:r>
      <w:r w:rsidRPr="00726D52">
        <w:rPr>
          <w:rStyle w:val="Strong"/>
          <w:noProof/>
          <w:lang w:val="en-GB"/>
        </w:rPr>
        <w:t>oint procurement</w:t>
      </w:r>
      <w:r w:rsidRPr="00726D52">
        <w:rPr>
          <w:noProof/>
          <w:lang w:val="en-GB"/>
        </w:rPr>
        <w:t>, reducing costs and promoting interoperability.</w:t>
      </w:r>
    </w:p>
    <w:p w14:paraId="6E19B38E" w14:textId="77777777" w:rsidR="000A268D" w:rsidRPr="00726D52" w:rsidRDefault="000A268D" w:rsidP="000A268D">
      <w:pPr>
        <w:rPr>
          <w:rFonts w:eastAsia="Times New Roman"/>
          <w:noProof/>
        </w:rPr>
      </w:pPr>
      <w:r w:rsidRPr="00726D52">
        <w:rPr>
          <w:rFonts w:eastAsia="Times New Roman"/>
          <w:noProof/>
        </w:rPr>
        <w:t xml:space="preserve">Overall, the option improves the </w:t>
      </w:r>
      <w:r w:rsidRPr="00726D52">
        <w:rPr>
          <w:rFonts w:eastAsia="Times New Roman"/>
          <w:b/>
          <w:bCs/>
          <w:noProof/>
        </w:rPr>
        <w:t>cost–benefit of sharing data</w:t>
      </w:r>
      <w:r w:rsidRPr="00726D52">
        <w:rPr>
          <w:rFonts w:eastAsia="Times New Roman"/>
          <w:noProof/>
        </w:rPr>
        <w:t xml:space="preserve">, encourages </w:t>
      </w:r>
      <w:r w:rsidRPr="00726D52">
        <w:rPr>
          <w:rFonts w:eastAsia="Times New Roman"/>
          <w:b/>
          <w:bCs/>
          <w:noProof/>
        </w:rPr>
        <w:t>systematic engagement</w:t>
      </w:r>
      <w:r w:rsidRPr="00726D52">
        <w:rPr>
          <w:rFonts w:eastAsia="Times New Roman"/>
          <w:noProof/>
        </w:rPr>
        <w:t xml:space="preserve">, and strengthens </w:t>
      </w:r>
      <w:r w:rsidRPr="00726D52">
        <w:rPr>
          <w:rFonts w:eastAsia="Times New Roman"/>
          <w:b/>
          <w:bCs/>
          <w:noProof/>
        </w:rPr>
        <w:t>mutual trust</w:t>
      </w:r>
      <w:r w:rsidRPr="00726D52">
        <w:rPr>
          <w:rFonts w:eastAsia="Times New Roman"/>
          <w:noProof/>
        </w:rPr>
        <w:t xml:space="preserve"> and </w:t>
      </w:r>
      <w:r w:rsidRPr="00726D52">
        <w:rPr>
          <w:rFonts w:eastAsia="Times New Roman"/>
          <w:b/>
          <w:bCs/>
          <w:noProof/>
        </w:rPr>
        <w:t>EU-level law enforcement effectiveness</w:t>
      </w:r>
      <w:r w:rsidRPr="00726D52">
        <w:rPr>
          <w:rFonts w:eastAsia="Times New Roman"/>
          <w:noProof/>
        </w:rPr>
        <w:t>.</w:t>
      </w:r>
    </w:p>
    <w:p w14:paraId="6B0A31CA" w14:textId="77777777" w:rsidR="000A268D" w:rsidRPr="00726D52" w:rsidRDefault="000A268D" w:rsidP="009502B2">
      <w:pPr>
        <w:pStyle w:val="Heading4"/>
        <w:numPr>
          <w:ilvl w:val="0"/>
          <w:numId w:val="27"/>
        </w:numPr>
        <w:tabs>
          <w:tab w:val="num" w:pos="360"/>
        </w:tabs>
        <w:ind w:left="0" w:firstLine="0"/>
        <w:rPr>
          <w:b/>
          <w:noProof/>
        </w:rPr>
      </w:pPr>
      <w:r w:rsidRPr="00726D52">
        <w:rPr>
          <w:b/>
          <w:noProof/>
        </w:rPr>
        <w:t>Impact on fundamental rights</w:t>
      </w:r>
    </w:p>
    <w:p w14:paraId="0124FF1C" w14:textId="77777777" w:rsidR="000A268D" w:rsidRPr="00726D52" w:rsidRDefault="000A268D" w:rsidP="009502B2">
      <w:pPr>
        <w:pStyle w:val="Heading4"/>
        <w:numPr>
          <w:ilvl w:val="0"/>
          <w:numId w:val="26"/>
        </w:numPr>
        <w:tabs>
          <w:tab w:val="num" w:pos="360"/>
        </w:tabs>
        <w:ind w:left="0" w:firstLine="0"/>
        <w:rPr>
          <w:b/>
          <w:noProof/>
        </w:rPr>
      </w:pPr>
      <w:r w:rsidRPr="00726D52">
        <w:rPr>
          <w:b/>
          <w:noProof/>
        </w:rPr>
        <w:t>Objective of general interest (+)</w:t>
      </w:r>
    </w:p>
    <w:p w14:paraId="035B77DE" w14:textId="0B89FFCA" w:rsidR="000A268D" w:rsidRPr="00726D52" w:rsidRDefault="000A268D" w:rsidP="000A268D">
      <w:pPr>
        <w:rPr>
          <w:noProof/>
        </w:rPr>
      </w:pPr>
      <w:r w:rsidRPr="00726D52">
        <w:rPr>
          <w:noProof/>
        </w:rPr>
        <w:t xml:space="preserve">This option supports the </w:t>
      </w:r>
      <w:r w:rsidRPr="00726D52">
        <w:rPr>
          <w:b/>
          <w:bCs/>
          <w:noProof/>
        </w:rPr>
        <w:t>prevention, detection, and investigation of serious crime and terrorism</w:t>
      </w:r>
      <w:r w:rsidRPr="00726D52">
        <w:rPr>
          <w:noProof/>
        </w:rPr>
        <w:t xml:space="preserve"> by improving the </w:t>
      </w:r>
      <w:r w:rsidRPr="00726D52">
        <w:rPr>
          <w:b/>
          <w:bCs/>
          <w:noProof/>
        </w:rPr>
        <w:t>efficiency, quality, and timeliness of information exchange</w:t>
      </w:r>
      <w:r w:rsidRPr="00726D52">
        <w:rPr>
          <w:noProof/>
        </w:rPr>
        <w:t xml:space="preserve">. Automated </w:t>
      </w:r>
      <w:r w:rsidRPr="00726D52">
        <w:rPr>
          <w:b/>
          <w:bCs/>
          <w:noProof/>
        </w:rPr>
        <w:t>data-loading</w:t>
      </w:r>
      <w:r w:rsidRPr="00726D52">
        <w:rPr>
          <w:noProof/>
        </w:rPr>
        <w:t xml:space="preserve"> and </w:t>
      </w:r>
      <w:r w:rsidRPr="00726D52">
        <w:rPr>
          <w:b/>
          <w:bCs/>
          <w:noProof/>
        </w:rPr>
        <w:t>proportionate cross-checks</w:t>
      </w:r>
      <w:r w:rsidRPr="00726D52">
        <w:rPr>
          <w:noProof/>
        </w:rPr>
        <w:t xml:space="preserve"> by Europol enhance </w:t>
      </w:r>
      <w:r w:rsidRPr="00726D52">
        <w:rPr>
          <w:b/>
          <w:bCs/>
          <w:noProof/>
        </w:rPr>
        <w:t>intelligence accuracy</w:t>
      </w:r>
      <w:r w:rsidRPr="00726D52">
        <w:rPr>
          <w:noProof/>
        </w:rPr>
        <w:t xml:space="preserve"> and reduce delays and duplication. Upgraded systems (SIENA, EIS, EAS, QUEST/QUEST+) provide </w:t>
      </w:r>
      <w:r w:rsidRPr="00726D52">
        <w:rPr>
          <w:b/>
          <w:bCs/>
          <w:noProof/>
        </w:rPr>
        <w:t>faster queries, stronger analytics, and traceable processing</w:t>
      </w:r>
      <w:r w:rsidRPr="00726D52">
        <w:rPr>
          <w:noProof/>
        </w:rPr>
        <w:t xml:space="preserve">, while technical support and joint procurement promote </w:t>
      </w:r>
      <w:r w:rsidRPr="00726D52">
        <w:rPr>
          <w:b/>
          <w:bCs/>
          <w:noProof/>
        </w:rPr>
        <w:t>interoperability, data quality, and compliance</w:t>
      </w:r>
      <w:r w:rsidRPr="00726D52">
        <w:rPr>
          <w:noProof/>
        </w:rPr>
        <w:t xml:space="preserve">. Overall, it fosters a </w:t>
      </w:r>
      <w:r w:rsidRPr="00726D52">
        <w:rPr>
          <w:b/>
          <w:bCs/>
          <w:noProof/>
        </w:rPr>
        <w:t>systematic, accountable, and transparent</w:t>
      </w:r>
      <w:r w:rsidRPr="00726D52">
        <w:rPr>
          <w:noProof/>
        </w:rPr>
        <w:t xml:space="preserve"> use of shared information.</w:t>
      </w:r>
    </w:p>
    <w:p w14:paraId="671236F2" w14:textId="77777777" w:rsidR="000A268D" w:rsidRPr="00726D52" w:rsidRDefault="000A268D" w:rsidP="009502B2">
      <w:pPr>
        <w:pStyle w:val="Heading4"/>
        <w:numPr>
          <w:ilvl w:val="0"/>
          <w:numId w:val="26"/>
        </w:numPr>
        <w:tabs>
          <w:tab w:val="num" w:pos="360"/>
        </w:tabs>
        <w:ind w:left="0" w:firstLine="0"/>
        <w:rPr>
          <w:b/>
          <w:noProof/>
        </w:rPr>
      </w:pPr>
      <w:r w:rsidRPr="00726D52">
        <w:rPr>
          <w:b/>
          <w:noProof/>
        </w:rPr>
        <w:t>Impact on data protection (0)</w:t>
      </w:r>
    </w:p>
    <w:p w14:paraId="40D2C933" w14:textId="77777777" w:rsidR="000A268D" w:rsidRPr="00726D52" w:rsidRDefault="000A268D" w:rsidP="000A268D">
      <w:pPr>
        <w:rPr>
          <w:rFonts w:eastAsia="Times New Roman"/>
          <w:bCs/>
          <w:noProof/>
        </w:rPr>
      </w:pPr>
      <w:r w:rsidRPr="00726D52">
        <w:rPr>
          <w:rFonts w:eastAsia="Times New Roman"/>
          <w:bCs/>
          <w:noProof/>
        </w:rPr>
        <w:t xml:space="preserve">Overall, the policy option has a </w:t>
      </w:r>
      <w:r w:rsidRPr="00726D52">
        <w:rPr>
          <w:rFonts w:eastAsia="Times New Roman"/>
          <w:b/>
          <w:bCs/>
          <w:noProof/>
        </w:rPr>
        <w:t>neutral to slightly positive impact on data protection</w:t>
      </w:r>
      <w:r w:rsidRPr="00726D52">
        <w:rPr>
          <w:rFonts w:eastAsia="Times New Roman"/>
          <w:bCs/>
          <w:noProof/>
        </w:rPr>
        <w:t>.</w:t>
      </w:r>
    </w:p>
    <w:p w14:paraId="717D779A" w14:textId="77777777" w:rsidR="000A268D" w:rsidRPr="00726D52" w:rsidRDefault="000A268D" w:rsidP="000A268D">
      <w:pPr>
        <w:rPr>
          <w:rFonts w:eastAsia="Times New Roman"/>
          <w:i/>
          <w:iCs/>
          <w:noProof/>
        </w:rPr>
      </w:pPr>
      <w:r w:rsidRPr="00726D52">
        <w:rPr>
          <w:rFonts w:eastAsia="Times New Roman"/>
          <w:i/>
          <w:iCs/>
          <w:noProof/>
        </w:rPr>
        <w:t>Necessity</w:t>
      </w:r>
    </w:p>
    <w:p w14:paraId="7562331F" w14:textId="77777777" w:rsidR="000A268D" w:rsidRPr="00726D52" w:rsidRDefault="000A268D" w:rsidP="000A268D">
      <w:pPr>
        <w:rPr>
          <w:noProof/>
        </w:rPr>
      </w:pPr>
      <w:r w:rsidRPr="00726D52">
        <w:rPr>
          <w:noProof/>
        </w:rPr>
        <w:t xml:space="preserve">The measures tackle inefficiencies in current cooperation, such as fragmented and manual data-sharing. </w:t>
      </w:r>
      <w:r w:rsidRPr="00726D52">
        <w:rPr>
          <w:b/>
          <w:bCs/>
          <w:noProof/>
        </w:rPr>
        <w:t>Automated data-loaders</w:t>
      </w:r>
      <w:r w:rsidRPr="00726D52">
        <w:rPr>
          <w:noProof/>
        </w:rPr>
        <w:t xml:space="preserve"> ensure that lawfully shareable data are </w:t>
      </w:r>
      <w:r w:rsidRPr="00726D52">
        <w:rPr>
          <w:b/>
          <w:bCs/>
          <w:noProof/>
        </w:rPr>
        <w:t>complete, accurate, and consistently used</w:t>
      </w:r>
      <w:r w:rsidRPr="00726D52">
        <w:rPr>
          <w:noProof/>
        </w:rPr>
        <w:t xml:space="preserve">. System upgrades and technical support make existing tools </w:t>
      </w:r>
      <w:r w:rsidRPr="00726D52">
        <w:rPr>
          <w:b/>
          <w:bCs/>
          <w:noProof/>
        </w:rPr>
        <w:t>function effectively</w:t>
      </w:r>
      <w:r w:rsidRPr="00726D52">
        <w:rPr>
          <w:noProof/>
        </w:rPr>
        <w:t xml:space="preserve"> and comply with </w:t>
      </w:r>
      <w:r w:rsidRPr="00726D52">
        <w:rPr>
          <w:b/>
          <w:bCs/>
          <w:noProof/>
        </w:rPr>
        <w:t>EU data protection standards</w:t>
      </w:r>
      <w:r w:rsidRPr="00726D52">
        <w:rPr>
          <w:noProof/>
        </w:rPr>
        <w:t xml:space="preserve">, without changing retention, access rights, or processing purposes. We therefore conclude that the policy option </w:t>
      </w:r>
      <w:r w:rsidRPr="00726D52">
        <w:rPr>
          <w:b/>
          <w:bCs/>
          <w:noProof/>
        </w:rPr>
        <w:t>respects the principle of necessity</w:t>
      </w:r>
      <w:r w:rsidRPr="00726D52">
        <w:rPr>
          <w:noProof/>
        </w:rPr>
        <w:t>.</w:t>
      </w:r>
    </w:p>
    <w:p w14:paraId="535026EB" w14:textId="77777777" w:rsidR="000A268D" w:rsidRPr="00726D52" w:rsidRDefault="000A268D" w:rsidP="000A268D">
      <w:pPr>
        <w:rPr>
          <w:rFonts w:eastAsia="Times New Roman"/>
          <w:i/>
          <w:iCs/>
          <w:noProof/>
        </w:rPr>
      </w:pPr>
      <w:r w:rsidRPr="00726D52">
        <w:rPr>
          <w:rFonts w:eastAsia="Times New Roman"/>
          <w:i/>
          <w:iCs/>
          <w:noProof/>
        </w:rPr>
        <w:t>Proportionality</w:t>
      </w:r>
    </w:p>
    <w:p w14:paraId="44F1EC8C" w14:textId="77777777" w:rsidR="000A268D" w:rsidRPr="00726D52" w:rsidRDefault="000A268D" w:rsidP="000A268D">
      <w:pPr>
        <w:rPr>
          <w:noProof/>
        </w:rPr>
      </w:pPr>
      <w:r w:rsidRPr="00726D52">
        <w:rPr>
          <w:noProof/>
        </w:rPr>
        <w:t xml:space="preserve">The option preserves </w:t>
      </w:r>
      <w:r w:rsidRPr="00726D52">
        <w:rPr>
          <w:b/>
          <w:bCs/>
          <w:noProof/>
        </w:rPr>
        <w:t>full Member State control</w:t>
      </w:r>
      <w:r w:rsidRPr="00726D52">
        <w:rPr>
          <w:noProof/>
        </w:rPr>
        <w:t xml:space="preserve"> over shared data, with </w:t>
      </w:r>
      <w:r w:rsidRPr="00726D52">
        <w:rPr>
          <w:b/>
          <w:bCs/>
          <w:noProof/>
        </w:rPr>
        <w:t>purpose limits</w:t>
      </w:r>
      <w:r w:rsidRPr="00726D52">
        <w:rPr>
          <w:noProof/>
        </w:rPr>
        <w:t xml:space="preserve">. System upgrades improve </w:t>
      </w:r>
      <w:r w:rsidRPr="00726D52">
        <w:rPr>
          <w:b/>
          <w:bCs/>
          <w:noProof/>
        </w:rPr>
        <w:t>architecture, reliability, and safeguards</w:t>
      </w:r>
      <w:r w:rsidRPr="00726D52">
        <w:rPr>
          <w:noProof/>
        </w:rPr>
        <w:t xml:space="preserve"> without changing the legal balance. Overall, measures focus on </w:t>
      </w:r>
      <w:r w:rsidRPr="00726D52">
        <w:rPr>
          <w:b/>
          <w:bCs/>
          <w:noProof/>
        </w:rPr>
        <w:t>enhancing lawful processing</w:t>
      </w:r>
      <w:r w:rsidRPr="00726D52">
        <w:rPr>
          <w:noProof/>
        </w:rPr>
        <w:t xml:space="preserve"> while respecting </w:t>
      </w:r>
      <w:r w:rsidRPr="00726D52">
        <w:rPr>
          <w:b/>
          <w:bCs/>
          <w:noProof/>
        </w:rPr>
        <w:t>existing safeguards and oversight</w:t>
      </w:r>
      <w:r w:rsidRPr="00726D52">
        <w:rPr>
          <w:noProof/>
        </w:rPr>
        <w:t xml:space="preserve">. We therefore conclude that the policy option </w:t>
      </w:r>
      <w:r w:rsidRPr="00726D52">
        <w:rPr>
          <w:b/>
          <w:bCs/>
          <w:noProof/>
        </w:rPr>
        <w:t>respects the principle of proportionality</w:t>
      </w:r>
      <w:r w:rsidRPr="00726D52">
        <w:rPr>
          <w:noProof/>
        </w:rPr>
        <w:t>.</w:t>
      </w:r>
    </w:p>
    <w:p w14:paraId="100C9546" w14:textId="77777777" w:rsidR="000A268D" w:rsidRPr="00726D52" w:rsidRDefault="000A268D" w:rsidP="009502B2">
      <w:pPr>
        <w:pStyle w:val="Heading4"/>
        <w:numPr>
          <w:ilvl w:val="0"/>
          <w:numId w:val="27"/>
        </w:numPr>
        <w:tabs>
          <w:tab w:val="num" w:pos="360"/>
        </w:tabs>
        <w:ind w:left="0" w:firstLine="0"/>
        <w:rPr>
          <w:b/>
          <w:bCs/>
          <w:noProof/>
        </w:rPr>
      </w:pPr>
      <w:r w:rsidRPr="00726D52">
        <w:rPr>
          <w:b/>
          <w:bCs/>
          <w:noProof/>
        </w:rPr>
        <w:t>Costs (</w:t>
      </w:r>
      <w:r w:rsidRPr="00726D52">
        <w:rPr>
          <w:b/>
          <w:noProof/>
        </w:rPr>
        <w:t>0</w:t>
      </w:r>
      <w:r w:rsidRPr="00726D52">
        <w:rPr>
          <w:b/>
          <w:bCs/>
          <w:noProof/>
        </w:rPr>
        <w:t>)</w:t>
      </w:r>
    </w:p>
    <w:tbl>
      <w:tblPr>
        <w:tblStyle w:val="CV15"/>
        <w:tblW w:w="0" w:type="auto"/>
        <w:jc w:val="center"/>
        <w:tblLook w:val="04A0" w:firstRow="1" w:lastRow="0" w:firstColumn="1" w:lastColumn="0" w:noHBand="0" w:noVBand="1"/>
      </w:tblPr>
      <w:tblGrid>
        <w:gridCol w:w="5276"/>
        <w:gridCol w:w="1644"/>
        <w:gridCol w:w="1370"/>
      </w:tblGrid>
      <w:tr w:rsidR="000A268D" w:rsidRPr="00726D52" w14:paraId="1501C76C" w14:textId="77777777" w:rsidTr="00C05BFC">
        <w:trPr>
          <w:jc w:val="center"/>
        </w:trPr>
        <w:tc>
          <w:tcPr>
            <w:tcW w:w="52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C74CCF" w14:textId="77777777" w:rsidR="000A268D" w:rsidRPr="00726D52" w:rsidRDefault="000A268D" w:rsidP="00C05BFC">
            <w:pPr>
              <w:rPr>
                <w:rFonts w:eastAsiaTheme="minorHAnsi"/>
                <w:noProof/>
                <w:lang w:eastAsia="en-US"/>
              </w:rPr>
            </w:pPr>
          </w:p>
        </w:tc>
        <w:tc>
          <w:tcPr>
            <w:tcW w:w="164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1DA8BBF" w14:textId="77777777" w:rsidR="000A268D" w:rsidRPr="00726D52" w:rsidRDefault="000A268D" w:rsidP="00C05BFC">
            <w:pPr>
              <w:rPr>
                <w:rFonts w:eastAsiaTheme="minorHAnsi"/>
                <w:b/>
                <w:i/>
                <w:noProof/>
                <w:lang w:eastAsia="en-US"/>
              </w:rPr>
            </w:pPr>
            <w:r w:rsidRPr="00726D52">
              <w:rPr>
                <w:rFonts w:eastAsiaTheme="minorHAnsi"/>
                <w:b/>
                <w:i/>
                <w:noProof/>
              </w:rPr>
              <w:t>Member States</w:t>
            </w:r>
          </w:p>
        </w:tc>
        <w:tc>
          <w:tcPr>
            <w:tcW w:w="13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8300376" w14:textId="77777777" w:rsidR="000A268D" w:rsidRPr="00726D52" w:rsidRDefault="000A268D" w:rsidP="00C05BFC">
            <w:pPr>
              <w:rPr>
                <w:rFonts w:eastAsiaTheme="minorHAnsi"/>
                <w:b/>
                <w:i/>
                <w:noProof/>
                <w:lang w:eastAsia="en-US"/>
              </w:rPr>
            </w:pPr>
            <w:r w:rsidRPr="00726D52">
              <w:rPr>
                <w:rFonts w:eastAsiaTheme="minorHAnsi"/>
                <w:b/>
                <w:i/>
                <w:noProof/>
              </w:rPr>
              <w:t>Europol</w:t>
            </w:r>
          </w:p>
        </w:tc>
      </w:tr>
      <w:tr w:rsidR="000A268D" w:rsidRPr="00726D52" w14:paraId="132CD98E" w14:textId="77777777" w:rsidTr="00C05BFC">
        <w:trPr>
          <w:jc w:val="center"/>
        </w:trPr>
        <w:tc>
          <w:tcPr>
            <w:tcW w:w="5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4C2FE3" w14:textId="77777777" w:rsidR="000A268D" w:rsidRPr="00726D52" w:rsidRDefault="000A268D" w:rsidP="00C05BFC">
            <w:pPr>
              <w:rPr>
                <w:rFonts w:eastAsiaTheme="minorHAnsi"/>
                <w:b/>
                <w:i/>
                <w:noProof/>
                <w:lang w:eastAsia="en-US"/>
              </w:rPr>
            </w:pPr>
            <w:r w:rsidRPr="00726D52">
              <w:rPr>
                <w:rFonts w:eastAsiaTheme="minorHAnsi"/>
                <w:b/>
                <w:i/>
                <w:noProof/>
              </w:rPr>
              <w:t>Direct costs</w:t>
            </w:r>
          </w:p>
        </w:tc>
        <w:tc>
          <w:tcPr>
            <w:tcW w:w="1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A268D" w:rsidRPr="00726D52" w14:paraId="7627CD9A" w14:textId="77777777" w:rsidTr="00C05BFC">
              <w:trPr>
                <w:tblCellSpacing w:w="15" w:type="dxa"/>
              </w:trPr>
              <w:tc>
                <w:tcPr>
                  <w:tcW w:w="0" w:type="auto"/>
                  <w:vAlign w:val="center"/>
                </w:tcPr>
                <w:p w14:paraId="05D5CD0B" w14:textId="77777777" w:rsidR="000A268D" w:rsidRPr="00726D52" w:rsidRDefault="000A268D" w:rsidP="00C05BFC">
                  <w:pPr>
                    <w:spacing w:before="100" w:beforeAutospacing="1" w:after="100" w:afterAutospacing="1"/>
                    <w:jc w:val="left"/>
                    <w:rPr>
                      <w:rFonts w:eastAsia="Times New Roman"/>
                      <w:noProof/>
                    </w:rPr>
                  </w:pPr>
                </w:p>
              </w:tc>
            </w:tr>
          </w:tbl>
          <w:p w14:paraId="70077468" w14:textId="77777777" w:rsidR="000A268D" w:rsidRPr="00726D52" w:rsidRDefault="000A268D" w:rsidP="00C05BFC">
            <w:pPr>
              <w:rPr>
                <w:rFonts w:eastAsiaTheme="minorHAnsi"/>
                <w:noProof/>
                <w:lang w:eastAsia="en-US"/>
              </w:rPr>
            </w:pPr>
          </w:p>
        </w:tc>
        <w:tc>
          <w:tcPr>
            <w:tcW w:w="13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A268D" w:rsidRPr="00726D52" w14:paraId="30E0FBF5" w14:textId="77777777" w:rsidTr="00C05BFC">
              <w:trPr>
                <w:tblCellSpacing w:w="15" w:type="dxa"/>
              </w:trPr>
              <w:tc>
                <w:tcPr>
                  <w:tcW w:w="0" w:type="auto"/>
                  <w:vAlign w:val="center"/>
                </w:tcPr>
                <w:p w14:paraId="69099D35" w14:textId="77777777" w:rsidR="000A268D" w:rsidRPr="00726D52" w:rsidRDefault="000A268D" w:rsidP="00C05BFC">
                  <w:pPr>
                    <w:spacing w:before="100" w:beforeAutospacing="1" w:after="100" w:afterAutospacing="1"/>
                    <w:jc w:val="left"/>
                    <w:rPr>
                      <w:rFonts w:eastAsia="Times New Roman"/>
                      <w:noProof/>
                    </w:rPr>
                  </w:pPr>
                </w:p>
              </w:tc>
            </w:tr>
          </w:tbl>
          <w:p w14:paraId="422EA997" w14:textId="77777777" w:rsidR="000A268D" w:rsidRPr="00726D52" w:rsidRDefault="000A268D" w:rsidP="00C05BFC">
            <w:pPr>
              <w:rPr>
                <w:rFonts w:eastAsiaTheme="minorHAnsi"/>
                <w:noProof/>
                <w:lang w:eastAsia="en-US"/>
              </w:rPr>
            </w:pPr>
          </w:p>
        </w:tc>
      </w:tr>
      <w:tr w:rsidR="000A268D" w:rsidRPr="00726D52" w14:paraId="1C04C140" w14:textId="77777777" w:rsidTr="00C05BFC">
        <w:trPr>
          <w:trHeight w:val="830"/>
          <w:jc w:val="center"/>
        </w:trPr>
        <w:tc>
          <w:tcPr>
            <w:tcW w:w="5276" w:type="dxa"/>
            <w:tcBorders>
              <w:top w:val="single" w:sz="4" w:space="0" w:color="auto"/>
              <w:left w:val="single" w:sz="4" w:space="0" w:color="auto"/>
              <w:bottom w:val="single" w:sz="4" w:space="0" w:color="auto"/>
              <w:right w:val="single" w:sz="4" w:space="0" w:color="auto"/>
            </w:tcBorders>
            <w:hideMark/>
          </w:tcPr>
          <w:p w14:paraId="3AA2CBF1" w14:textId="77777777" w:rsidR="000A268D" w:rsidRPr="00726D52" w:rsidRDefault="000A268D" w:rsidP="00C05BFC">
            <w:pPr>
              <w:rPr>
                <w:rFonts w:eastAsiaTheme="minorHAnsi"/>
                <w:noProof/>
              </w:rPr>
            </w:pPr>
            <w:r w:rsidRPr="00726D52">
              <w:rPr>
                <w:rFonts w:eastAsiaTheme="minorHAnsi"/>
                <w:noProof/>
              </w:rPr>
              <w:lastRenderedPageBreak/>
              <w:t>Expected one-off costs (in million EUR)</w:t>
            </w:r>
          </w:p>
          <w:p w14:paraId="1276AE9A" w14:textId="77777777" w:rsidR="000A268D" w:rsidRPr="00726D52" w:rsidRDefault="000A268D" w:rsidP="009502B2">
            <w:pPr>
              <w:numPr>
                <w:ilvl w:val="0"/>
                <w:numId w:val="9"/>
              </w:numPr>
              <w:rPr>
                <w:noProof/>
              </w:rPr>
            </w:pPr>
            <w:r w:rsidRPr="00726D52">
              <w:rPr>
                <w:noProof/>
              </w:rPr>
              <w:t>Data loaders</w:t>
            </w:r>
          </w:p>
          <w:p w14:paraId="6E14F973" w14:textId="77777777" w:rsidR="000A268D" w:rsidRPr="00726D52" w:rsidRDefault="000A268D" w:rsidP="009502B2">
            <w:pPr>
              <w:numPr>
                <w:ilvl w:val="0"/>
                <w:numId w:val="9"/>
              </w:numPr>
              <w:rPr>
                <w:rFonts w:eastAsiaTheme="minorHAnsi"/>
                <w:noProof/>
                <w:lang w:eastAsia="en-US"/>
              </w:rPr>
            </w:pPr>
            <w:r w:rsidRPr="00726D52">
              <w:rPr>
                <w:noProof/>
              </w:rPr>
              <w:t>Upgrade of systems and tools</w:t>
            </w:r>
          </w:p>
        </w:tc>
        <w:tc>
          <w:tcPr>
            <w:tcW w:w="1644" w:type="dxa"/>
            <w:tcBorders>
              <w:top w:val="single" w:sz="4" w:space="0" w:color="auto"/>
              <w:left w:val="single" w:sz="4" w:space="0" w:color="auto"/>
              <w:bottom w:val="single" w:sz="4" w:space="0" w:color="auto"/>
              <w:right w:val="single" w:sz="4" w:space="0" w:color="auto"/>
            </w:tcBorders>
            <w:hideMark/>
          </w:tcPr>
          <w:p w14:paraId="35B290C3" w14:textId="77777777" w:rsidR="000A268D" w:rsidRPr="00726D52" w:rsidRDefault="000A268D" w:rsidP="00C05BFC">
            <w:pPr>
              <w:rPr>
                <w:rFonts w:eastAsiaTheme="minorHAnsi"/>
                <w:noProof/>
                <w:lang w:eastAsia="en-US"/>
              </w:rPr>
            </w:pPr>
            <w:r w:rsidRPr="00726D52">
              <w:rPr>
                <w:rFonts w:eastAsiaTheme="minorHAnsi"/>
                <w:noProof/>
                <w:lang w:eastAsia="en-US"/>
              </w:rPr>
              <w:t>81 (3 per MS)</w:t>
            </w:r>
          </w:p>
          <w:p w14:paraId="1E68568B" w14:textId="77777777" w:rsidR="000A268D" w:rsidRPr="00726D52" w:rsidRDefault="000A268D" w:rsidP="009502B2">
            <w:pPr>
              <w:numPr>
                <w:ilvl w:val="0"/>
                <w:numId w:val="11"/>
              </w:numPr>
              <w:rPr>
                <w:noProof/>
              </w:rPr>
            </w:pPr>
            <w:r w:rsidRPr="00726D52">
              <w:rPr>
                <w:noProof/>
              </w:rPr>
              <w:t>54</w:t>
            </w:r>
          </w:p>
          <w:p w14:paraId="23CCD3D6" w14:textId="77777777" w:rsidR="000A268D" w:rsidRPr="00726D52" w:rsidRDefault="000A268D" w:rsidP="009502B2">
            <w:pPr>
              <w:numPr>
                <w:ilvl w:val="0"/>
                <w:numId w:val="11"/>
              </w:numPr>
              <w:rPr>
                <w:rFonts w:eastAsiaTheme="minorHAnsi"/>
                <w:noProof/>
                <w:lang w:eastAsia="en-US"/>
              </w:rPr>
            </w:pPr>
            <w:r w:rsidRPr="00726D52">
              <w:rPr>
                <w:rFonts w:eastAsiaTheme="minorHAnsi"/>
                <w:noProof/>
              </w:rPr>
              <w:t>27</w:t>
            </w:r>
          </w:p>
        </w:tc>
        <w:tc>
          <w:tcPr>
            <w:tcW w:w="1370" w:type="dxa"/>
            <w:tcBorders>
              <w:top w:val="single" w:sz="4" w:space="0" w:color="auto"/>
              <w:left w:val="single" w:sz="4" w:space="0" w:color="auto"/>
              <w:bottom w:val="single" w:sz="4" w:space="0" w:color="auto"/>
              <w:right w:val="single" w:sz="4" w:space="0" w:color="auto"/>
            </w:tcBorders>
          </w:tcPr>
          <w:p w14:paraId="03E77B35" w14:textId="77777777" w:rsidR="000A268D" w:rsidRPr="00726D52" w:rsidRDefault="000A268D" w:rsidP="00C05BFC">
            <w:pPr>
              <w:rPr>
                <w:rFonts w:eastAsiaTheme="minorHAnsi"/>
                <w:noProof/>
                <w:lang w:eastAsia="en-US"/>
              </w:rPr>
            </w:pPr>
            <w:r w:rsidRPr="00726D52">
              <w:rPr>
                <w:rFonts w:eastAsiaTheme="minorHAnsi"/>
                <w:noProof/>
                <w:lang w:eastAsia="en-US"/>
              </w:rPr>
              <w:t>61</w:t>
            </w:r>
          </w:p>
          <w:p w14:paraId="626E5826" w14:textId="77777777" w:rsidR="000A268D" w:rsidRPr="00726D52" w:rsidRDefault="000A268D" w:rsidP="009502B2">
            <w:pPr>
              <w:numPr>
                <w:ilvl w:val="0"/>
                <w:numId w:val="12"/>
              </w:numPr>
              <w:rPr>
                <w:noProof/>
              </w:rPr>
            </w:pPr>
            <w:r w:rsidRPr="00726D52">
              <w:rPr>
                <w:rFonts w:eastAsiaTheme="minorHAnsi"/>
                <w:noProof/>
              </w:rPr>
              <w:t>5</w:t>
            </w:r>
          </w:p>
          <w:p w14:paraId="3E3896FA" w14:textId="77777777" w:rsidR="000A268D" w:rsidRPr="00726D52" w:rsidRDefault="000A268D" w:rsidP="009502B2">
            <w:pPr>
              <w:numPr>
                <w:ilvl w:val="0"/>
                <w:numId w:val="12"/>
              </w:numPr>
              <w:rPr>
                <w:rFonts w:eastAsiaTheme="minorHAnsi"/>
                <w:noProof/>
                <w:lang w:eastAsia="en-US"/>
              </w:rPr>
            </w:pPr>
            <w:r w:rsidRPr="00726D52">
              <w:rPr>
                <w:noProof/>
              </w:rPr>
              <w:t>56</w:t>
            </w:r>
          </w:p>
        </w:tc>
      </w:tr>
      <w:tr w:rsidR="000A268D" w:rsidRPr="00726D52" w14:paraId="1B5696FA" w14:textId="77777777" w:rsidTr="00C05BFC">
        <w:trPr>
          <w:jc w:val="center"/>
        </w:trPr>
        <w:tc>
          <w:tcPr>
            <w:tcW w:w="5276" w:type="dxa"/>
            <w:tcBorders>
              <w:top w:val="single" w:sz="4" w:space="0" w:color="auto"/>
              <w:left w:val="single" w:sz="4" w:space="0" w:color="auto"/>
              <w:bottom w:val="single" w:sz="4" w:space="0" w:color="auto"/>
              <w:right w:val="single" w:sz="4" w:space="0" w:color="auto"/>
            </w:tcBorders>
            <w:hideMark/>
          </w:tcPr>
          <w:p w14:paraId="7D767236" w14:textId="77777777" w:rsidR="000A268D" w:rsidRPr="00726D52" w:rsidRDefault="000A268D" w:rsidP="00C05BFC">
            <w:pPr>
              <w:rPr>
                <w:rFonts w:eastAsiaTheme="minorHAnsi"/>
                <w:noProof/>
              </w:rPr>
            </w:pPr>
            <w:r w:rsidRPr="00726D52">
              <w:rPr>
                <w:rFonts w:eastAsiaTheme="minorHAnsi"/>
                <w:noProof/>
              </w:rPr>
              <w:t xml:space="preserve">Expected yearly recurring costs (in million EUR </w:t>
            </w:r>
            <w:r w:rsidRPr="00726D52">
              <w:rPr>
                <w:rFonts w:eastAsiaTheme="minorHAnsi"/>
                <w:i/>
                <w:iCs/>
                <w:noProof/>
              </w:rPr>
              <w:t>per annum</w:t>
            </w:r>
            <w:r w:rsidRPr="00726D52">
              <w:rPr>
                <w:rFonts w:eastAsiaTheme="minorHAnsi"/>
                <w:noProof/>
              </w:rPr>
              <w:t>)</w:t>
            </w:r>
          </w:p>
          <w:p w14:paraId="44088A23" w14:textId="77777777" w:rsidR="000A268D" w:rsidRPr="00726D52" w:rsidRDefault="000A268D" w:rsidP="009502B2">
            <w:pPr>
              <w:numPr>
                <w:ilvl w:val="0"/>
                <w:numId w:val="10"/>
              </w:numPr>
              <w:rPr>
                <w:noProof/>
              </w:rPr>
            </w:pPr>
            <w:r w:rsidRPr="00726D52">
              <w:rPr>
                <w:noProof/>
              </w:rPr>
              <w:t>Data loaders</w:t>
            </w:r>
          </w:p>
          <w:p w14:paraId="16A838C2" w14:textId="77777777" w:rsidR="000A268D" w:rsidRPr="00726D52" w:rsidRDefault="000A268D" w:rsidP="009502B2">
            <w:pPr>
              <w:numPr>
                <w:ilvl w:val="0"/>
                <w:numId w:val="10"/>
              </w:numPr>
              <w:rPr>
                <w:rFonts w:eastAsiaTheme="minorHAnsi"/>
                <w:noProof/>
                <w:lang w:eastAsia="en-US"/>
              </w:rPr>
            </w:pPr>
            <w:r w:rsidRPr="00726D52">
              <w:rPr>
                <w:noProof/>
              </w:rPr>
              <w:t xml:space="preserve">Upgrade of systems and tools </w:t>
            </w:r>
          </w:p>
        </w:tc>
        <w:tc>
          <w:tcPr>
            <w:tcW w:w="1644" w:type="dxa"/>
            <w:tcBorders>
              <w:top w:val="single" w:sz="4" w:space="0" w:color="auto"/>
              <w:left w:val="single" w:sz="4" w:space="0" w:color="auto"/>
              <w:bottom w:val="single" w:sz="4" w:space="0" w:color="auto"/>
              <w:right w:val="single" w:sz="4" w:space="0" w:color="auto"/>
            </w:tcBorders>
          </w:tcPr>
          <w:p w14:paraId="4E962E5C" w14:textId="77777777" w:rsidR="000A268D" w:rsidRPr="00726D52" w:rsidRDefault="000A268D" w:rsidP="00C05BFC">
            <w:pPr>
              <w:rPr>
                <w:rFonts w:eastAsiaTheme="minorHAnsi"/>
                <w:noProof/>
                <w:lang w:eastAsia="en-US"/>
              </w:rPr>
            </w:pPr>
            <w:r w:rsidRPr="00726D52">
              <w:rPr>
                <w:rFonts w:eastAsiaTheme="minorHAnsi"/>
                <w:noProof/>
                <w:lang w:eastAsia="en-US"/>
              </w:rPr>
              <w:t>16.2</w:t>
            </w:r>
          </w:p>
          <w:p w14:paraId="727D6EFD" w14:textId="77777777" w:rsidR="000A268D" w:rsidRPr="00726D52" w:rsidRDefault="000A268D" w:rsidP="009502B2">
            <w:pPr>
              <w:numPr>
                <w:ilvl w:val="0"/>
                <w:numId w:val="13"/>
              </w:numPr>
              <w:rPr>
                <w:noProof/>
              </w:rPr>
            </w:pPr>
            <w:r w:rsidRPr="00726D52">
              <w:rPr>
                <w:rFonts w:eastAsiaTheme="minorHAnsi"/>
                <w:noProof/>
              </w:rPr>
              <w:t>10.8</w:t>
            </w:r>
          </w:p>
          <w:p w14:paraId="5117CB82" w14:textId="77777777" w:rsidR="000A268D" w:rsidRPr="00726D52" w:rsidRDefault="000A268D" w:rsidP="009502B2">
            <w:pPr>
              <w:numPr>
                <w:ilvl w:val="0"/>
                <w:numId w:val="13"/>
              </w:numPr>
              <w:rPr>
                <w:rFonts w:eastAsiaTheme="minorHAnsi"/>
                <w:noProof/>
                <w:lang w:eastAsia="en-US"/>
              </w:rPr>
            </w:pPr>
            <w:r w:rsidRPr="00726D52">
              <w:rPr>
                <w:noProof/>
              </w:rPr>
              <w:t>5.4</w:t>
            </w:r>
          </w:p>
        </w:tc>
        <w:tc>
          <w:tcPr>
            <w:tcW w:w="1370" w:type="dxa"/>
            <w:tcBorders>
              <w:top w:val="single" w:sz="4" w:space="0" w:color="auto"/>
              <w:left w:val="single" w:sz="4" w:space="0" w:color="auto"/>
              <w:bottom w:val="single" w:sz="4" w:space="0" w:color="auto"/>
              <w:right w:val="single" w:sz="4" w:space="0" w:color="auto"/>
            </w:tcBorders>
          </w:tcPr>
          <w:p w14:paraId="18E70DC6" w14:textId="77777777" w:rsidR="000A268D" w:rsidRPr="00726D52" w:rsidRDefault="000A268D" w:rsidP="00C05BFC">
            <w:pPr>
              <w:rPr>
                <w:rFonts w:eastAsiaTheme="minorHAnsi"/>
                <w:noProof/>
                <w:lang w:eastAsia="en-US"/>
              </w:rPr>
            </w:pPr>
            <w:r w:rsidRPr="00726D52">
              <w:rPr>
                <w:rFonts w:eastAsiaTheme="minorHAnsi"/>
                <w:noProof/>
                <w:lang w:eastAsia="en-US"/>
              </w:rPr>
              <w:t>12.2</w:t>
            </w:r>
          </w:p>
          <w:p w14:paraId="73082CB5" w14:textId="77777777" w:rsidR="000A268D" w:rsidRPr="00726D52" w:rsidRDefault="000A268D" w:rsidP="009502B2">
            <w:pPr>
              <w:numPr>
                <w:ilvl w:val="0"/>
                <w:numId w:val="14"/>
              </w:numPr>
              <w:rPr>
                <w:noProof/>
              </w:rPr>
            </w:pPr>
            <w:r w:rsidRPr="00726D52">
              <w:rPr>
                <w:rFonts w:eastAsiaTheme="minorHAnsi"/>
                <w:noProof/>
              </w:rPr>
              <w:t>1</w:t>
            </w:r>
          </w:p>
          <w:p w14:paraId="1BA81C69" w14:textId="77777777" w:rsidR="000A268D" w:rsidRPr="00726D52" w:rsidRDefault="000A268D" w:rsidP="009502B2">
            <w:pPr>
              <w:numPr>
                <w:ilvl w:val="0"/>
                <w:numId w:val="14"/>
              </w:numPr>
              <w:rPr>
                <w:rFonts w:eastAsiaTheme="minorHAnsi"/>
                <w:noProof/>
                <w:lang w:eastAsia="en-US"/>
              </w:rPr>
            </w:pPr>
            <w:r w:rsidRPr="00726D52">
              <w:rPr>
                <w:noProof/>
              </w:rPr>
              <w:t>11.2</w:t>
            </w:r>
          </w:p>
        </w:tc>
      </w:tr>
    </w:tbl>
    <w:p w14:paraId="63EABC73" w14:textId="77777777" w:rsidR="000A268D" w:rsidRPr="00726D52" w:rsidRDefault="000A268D" w:rsidP="000A268D">
      <w:pPr>
        <w:rPr>
          <w:rFonts w:eastAsia="Times New Roman"/>
          <w:noProof/>
        </w:rPr>
      </w:pPr>
    </w:p>
    <w:p w14:paraId="3F4C7A7E" w14:textId="68A7ADED" w:rsidR="000A268D" w:rsidRPr="00726D52" w:rsidRDefault="000A268D" w:rsidP="000A268D">
      <w:pPr>
        <w:rPr>
          <w:noProof/>
        </w:rPr>
      </w:pPr>
      <w:r w:rsidRPr="00726D52">
        <w:rPr>
          <w:rFonts w:eastAsia="Times New Roman"/>
          <w:noProof/>
        </w:rPr>
        <w:t xml:space="preserve">This option entails upfront investment at both Member State and Europol level, primarily driven by </w:t>
      </w:r>
      <w:r w:rsidRPr="00726D52">
        <w:rPr>
          <w:rFonts w:eastAsia="Times New Roman"/>
          <w:b/>
          <w:bCs/>
          <w:noProof/>
        </w:rPr>
        <w:t>data loaders</w:t>
      </w:r>
      <w:r w:rsidRPr="00726D52">
        <w:rPr>
          <w:rFonts w:eastAsia="Times New Roman"/>
          <w:b/>
          <w:noProof/>
        </w:rPr>
        <w:t xml:space="preserve"> as well as</w:t>
      </w:r>
      <w:r w:rsidRPr="00726D52">
        <w:rPr>
          <w:rFonts w:eastAsia="Times New Roman"/>
          <w:b/>
          <w:bCs/>
          <w:noProof/>
        </w:rPr>
        <w:t xml:space="preserve"> system and </w:t>
      </w:r>
      <w:r w:rsidRPr="00726D52">
        <w:rPr>
          <w:rFonts w:eastAsia="Times New Roman"/>
          <w:b/>
          <w:noProof/>
        </w:rPr>
        <w:t xml:space="preserve">tools </w:t>
      </w:r>
      <w:r w:rsidRPr="00726D52">
        <w:rPr>
          <w:rFonts w:eastAsia="Times New Roman"/>
          <w:bCs/>
          <w:noProof/>
        </w:rPr>
        <w:t>(including enhance use of</w:t>
      </w:r>
      <w:r w:rsidRPr="00726D52">
        <w:rPr>
          <w:rFonts w:eastAsia="Times New Roman"/>
          <w:noProof/>
        </w:rPr>
        <w:t xml:space="preserve"> interoperability</w:t>
      </w:r>
      <w:r w:rsidRPr="00726D52">
        <w:rPr>
          <w:rFonts w:eastAsia="Times New Roman"/>
          <w:bCs/>
          <w:noProof/>
        </w:rPr>
        <w:t xml:space="preserve"> tools). </w:t>
      </w:r>
      <w:r w:rsidRPr="00726D52">
        <w:rPr>
          <w:noProof/>
        </w:rPr>
        <w:t xml:space="preserve">The financial effort reflects a </w:t>
      </w:r>
      <w:r w:rsidRPr="00726D52">
        <w:rPr>
          <w:rStyle w:val="Strong"/>
          <w:noProof/>
        </w:rPr>
        <w:t>structural modernisation of the EU law enforcement information architecture</w:t>
      </w:r>
      <w:r w:rsidRPr="00726D52">
        <w:rPr>
          <w:noProof/>
        </w:rPr>
        <w:t>, with medium to long-term savings and operational gains. For more details on the costs of this policy option see Annex 3.</w:t>
      </w:r>
    </w:p>
    <w:p w14:paraId="74041122" w14:textId="77777777" w:rsidR="000A268D" w:rsidRPr="00726D52" w:rsidRDefault="000A268D" w:rsidP="009502B2">
      <w:pPr>
        <w:pStyle w:val="Heading4"/>
        <w:numPr>
          <w:ilvl w:val="0"/>
          <w:numId w:val="27"/>
        </w:numPr>
        <w:tabs>
          <w:tab w:val="num" w:pos="360"/>
        </w:tabs>
        <w:ind w:left="0" w:firstLine="0"/>
        <w:rPr>
          <w:b/>
          <w:noProof/>
        </w:rPr>
      </w:pPr>
      <w:r w:rsidRPr="00726D52">
        <w:rPr>
          <w:b/>
          <w:noProof/>
        </w:rPr>
        <w:t>Feasibility (+)</w:t>
      </w:r>
    </w:p>
    <w:p w14:paraId="5B122BA1" w14:textId="77777777" w:rsidR="000A268D" w:rsidRPr="00726D52" w:rsidRDefault="000A268D" w:rsidP="000A268D">
      <w:pPr>
        <w:rPr>
          <w:rFonts w:eastAsia="Times New Roman"/>
          <w:noProof/>
        </w:rPr>
      </w:pPr>
      <w:r w:rsidRPr="00726D52">
        <w:rPr>
          <w:noProof/>
        </w:rPr>
        <w:t>Technical feasibility</w:t>
      </w:r>
      <w:r w:rsidRPr="00726D52">
        <w:rPr>
          <w:rFonts w:eastAsia="Times New Roman"/>
          <w:noProof/>
        </w:rPr>
        <w:t xml:space="preserve"> is </w:t>
      </w:r>
      <w:r w:rsidRPr="00726D52">
        <w:rPr>
          <w:rStyle w:val="Strong"/>
          <w:noProof/>
        </w:rPr>
        <w:t>high</w:t>
      </w:r>
      <w:r w:rsidRPr="00726D52">
        <w:rPr>
          <w:rFonts w:eastAsia="Times New Roman"/>
          <w:noProof/>
        </w:rPr>
        <w:t xml:space="preserve">. </w:t>
      </w:r>
      <w:r w:rsidRPr="00726D52">
        <w:rPr>
          <w:noProof/>
        </w:rPr>
        <w:t xml:space="preserve">The main components, automated data-loaders, interoperability tools and Europol systems (SIENA, EIS, EAS, QUEST/QUEST+), are already operational. The option focuses on </w:t>
      </w:r>
      <w:r w:rsidRPr="00726D52">
        <w:rPr>
          <w:rStyle w:val="Strong"/>
          <w:noProof/>
        </w:rPr>
        <w:t>scaling and upgrading existing capabilities</w:t>
      </w:r>
      <w:r w:rsidRPr="00726D52">
        <w:rPr>
          <w:noProof/>
        </w:rPr>
        <w:t>, not creating new infrastructures. Europol’s in-house expertise and eu-LISA’s experience with large-scale EU systems further reduce implementation risks and support secure, coherent deployment. Where relevant, synergies with eu-LISA’s infrastructure, interoperability architecture and technical standards can support secure implementation, ensure consistency across EU information systems and reduce duplication of effort. This institutional ecosystem significantly mitigates implementation risks.</w:t>
      </w:r>
    </w:p>
    <w:p w14:paraId="63209714" w14:textId="7483F26D" w:rsidR="000A268D" w:rsidRPr="00726D52" w:rsidRDefault="000A268D" w:rsidP="000A268D">
      <w:pPr>
        <w:rPr>
          <w:noProof/>
        </w:rPr>
      </w:pPr>
      <w:r w:rsidRPr="00726D52">
        <w:rPr>
          <w:noProof/>
        </w:rPr>
        <w:t xml:space="preserve">Political feasibility is positive. The option </w:t>
      </w:r>
      <w:r w:rsidRPr="00726D52">
        <w:rPr>
          <w:rStyle w:val="Strong"/>
          <w:noProof/>
        </w:rPr>
        <w:t>preserves Member State control</w:t>
      </w:r>
      <w:r w:rsidRPr="00726D52">
        <w:rPr>
          <w:noProof/>
        </w:rPr>
        <w:t xml:space="preserve"> and does not expand Europol’s mandate or introduce indiscriminate data transfers. By delivering tangible operational benefits</w:t>
      </w:r>
      <w:r w:rsidR="005D0163" w:rsidRPr="00726D52">
        <w:rPr>
          <w:noProof/>
        </w:rPr>
        <w:t xml:space="preserve"> – </w:t>
      </w:r>
      <w:r w:rsidRPr="00726D52">
        <w:rPr>
          <w:noProof/>
        </w:rPr>
        <w:t>stronger analytical support and reduced administrative burden</w:t>
      </w:r>
      <w:r w:rsidR="005D0163" w:rsidRPr="00726D52">
        <w:rPr>
          <w:noProof/>
        </w:rPr>
        <w:t xml:space="preserve"> – </w:t>
      </w:r>
      <w:r w:rsidRPr="00726D52">
        <w:rPr>
          <w:noProof/>
        </w:rPr>
        <w:t>it aligns EU-level improvements with national interests.</w:t>
      </w:r>
    </w:p>
    <w:p w14:paraId="7450C110" w14:textId="77777777" w:rsidR="000A268D" w:rsidRPr="00726D52" w:rsidRDefault="000A268D" w:rsidP="000A268D">
      <w:pPr>
        <w:rPr>
          <w:noProof/>
        </w:rPr>
      </w:pPr>
      <w:r w:rsidRPr="00726D52">
        <w:rPr>
          <w:noProof/>
        </w:rPr>
        <w:t xml:space="preserve">Overall, the measure is </w:t>
      </w:r>
      <w:r w:rsidRPr="00726D52">
        <w:rPr>
          <w:rStyle w:val="Strong"/>
          <w:noProof/>
        </w:rPr>
        <w:t>feasible from a technical, operational and political perspective</w:t>
      </w:r>
      <w:r w:rsidRPr="00726D52">
        <w:rPr>
          <w:noProof/>
        </w:rPr>
        <w:t>.</w:t>
      </w:r>
    </w:p>
    <w:p w14:paraId="590B8B1B" w14:textId="77777777" w:rsidR="000A268D" w:rsidRPr="00726D52" w:rsidRDefault="000A268D" w:rsidP="009502B2">
      <w:pPr>
        <w:pStyle w:val="Heading4"/>
        <w:numPr>
          <w:ilvl w:val="0"/>
          <w:numId w:val="27"/>
        </w:numPr>
        <w:tabs>
          <w:tab w:val="num" w:pos="360"/>
        </w:tabs>
        <w:ind w:left="0" w:firstLine="0"/>
        <w:rPr>
          <w:b/>
          <w:noProof/>
        </w:rPr>
      </w:pPr>
      <w:r w:rsidRPr="00726D52">
        <w:rPr>
          <w:b/>
          <w:noProof/>
        </w:rPr>
        <w:t>Impact on digitalisation (++)</w:t>
      </w:r>
    </w:p>
    <w:p w14:paraId="2AE4743C" w14:textId="77777777" w:rsidR="000A268D" w:rsidRPr="00726D52" w:rsidRDefault="000A268D" w:rsidP="000A268D">
      <w:pPr>
        <w:rPr>
          <w:noProof/>
        </w:rPr>
      </w:pPr>
      <w:r w:rsidRPr="00726D52">
        <w:rPr>
          <w:rFonts w:eastAsia="Times New Roman"/>
          <w:noProof/>
        </w:rPr>
        <w:t>This option</w:t>
      </w:r>
      <w:r w:rsidRPr="00726D52">
        <w:rPr>
          <w:noProof/>
        </w:rPr>
        <w:t xml:space="preserve"> has a </w:t>
      </w:r>
      <w:r w:rsidRPr="00726D52">
        <w:rPr>
          <w:b/>
          <w:bCs/>
          <w:noProof/>
        </w:rPr>
        <w:t>very</w:t>
      </w:r>
      <w:r w:rsidRPr="00726D52">
        <w:rPr>
          <w:noProof/>
        </w:rPr>
        <w:t xml:space="preserve"> </w:t>
      </w:r>
      <w:r w:rsidRPr="00726D52">
        <w:rPr>
          <w:b/>
          <w:bCs/>
          <w:noProof/>
        </w:rPr>
        <w:t>positive impact</w:t>
      </w:r>
      <w:r w:rsidRPr="00726D52">
        <w:rPr>
          <w:noProof/>
        </w:rPr>
        <w:t xml:space="preserve"> because it</w:t>
      </w:r>
      <w:r w:rsidRPr="00726D52">
        <w:rPr>
          <w:rFonts w:eastAsia="Times New Roman"/>
          <w:noProof/>
        </w:rPr>
        <w:t xml:space="preserve"> advances the </w:t>
      </w:r>
      <w:r w:rsidRPr="00726D52">
        <w:rPr>
          <w:rFonts w:eastAsia="Times New Roman"/>
          <w:b/>
          <w:bCs/>
          <w:noProof/>
        </w:rPr>
        <w:t>digital transformation of EU law enforcement</w:t>
      </w:r>
      <w:r w:rsidRPr="00726D52">
        <w:rPr>
          <w:rFonts w:eastAsia="Times New Roman"/>
          <w:noProof/>
        </w:rPr>
        <w:t xml:space="preserve"> by introducing </w:t>
      </w:r>
      <w:r w:rsidRPr="00726D52">
        <w:rPr>
          <w:rFonts w:eastAsia="Times New Roman"/>
          <w:b/>
          <w:bCs/>
          <w:noProof/>
        </w:rPr>
        <w:t>automated data-loaders</w:t>
      </w:r>
      <w:r w:rsidRPr="00726D52">
        <w:rPr>
          <w:rFonts w:eastAsia="Times New Roman"/>
          <w:noProof/>
        </w:rPr>
        <w:t xml:space="preserve">, enabling </w:t>
      </w:r>
      <w:r w:rsidRPr="00726D52">
        <w:rPr>
          <w:rFonts w:eastAsia="Times New Roman"/>
          <w:b/>
          <w:bCs/>
          <w:noProof/>
        </w:rPr>
        <w:t>faster, more reliable, and systematic</w:t>
      </w:r>
      <w:r w:rsidRPr="00726D52">
        <w:rPr>
          <w:rFonts w:eastAsia="Times New Roman"/>
          <w:noProof/>
        </w:rPr>
        <w:t xml:space="preserve"> information exchange. It </w:t>
      </w:r>
      <w:r w:rsidRPr="00726D52">
        <w:rPr>
          <w:rFonts w:eastAsia="Times New Roman"/>
          <w:b/>
          <w:bCs/>
          <w:noProof/>
        </w:rPr>
        <w:t>automates existing processes</w:t>
      </w:r>
      <w:r w:rsidRPr="00726D52">
        <w:rPr>
          <w:rFonts w:eastAsia="Times New Roman"/>
          <w:noProof/>
        </w:rPr>
        <w:t xml:space="preserve">, reduces administrative burden, and supports </w:t>
      </w:r>
      <w:r w:rsidRPr="00726D52">
        <w:rPr>
          <w:rFonts w:eastAsia="Times New Roman"/>
          <w:b/>
          <w:bCs/>
          <w:noProof/>
        </w:rPr>
        <w:t>near real-time cross-border flow</w:t>
      </w:r>
      <w:r w:rsidRPr="00726D52">
        <w:rPr>
          <w:rFonts w:eastAsia="Times New Roman"/>
          <w:noProof/>
        </w:rPr>
        <w:t xml:space="preserve">. </w:t>
      </w:r>
      <w:r w:rsidRPr="00726D52">
        <w:rPr>
          <w:rFonts w:eastAsia="Times New Roman"/>
          <w:b/>
          <w:bCs/>
          <w:noProof/>
        </w:rPr>
        <w:t>Standardised data models</w:t>
      </w:r>
      <w:r w:rsidRPr="00726D52">
        <w:rPr>
          <w:rFonts w:eastAsia="Times New Roman"/>
          <w:noProof/>
        </w:rPr>
        <w:t xml:space="preserve"> and guidance foster </w:t>
      </w:r>
      <w:r w:rsidRPr="00726D52">
        <w:rPr>
          <w:rFonts w:eastAsia="Times New Roman"/>
          <w:b/>
          <w:bCs/>
          <w:noProof/>
        </w:rPr>
        <w:t>interoperability</w:t>
      </w:r>
      <w:r w:rsidRPr="00726D52">
        <w:rPr>
          <w:rFonts w:eastAsia="Times New Roman"/>
          <w:noProof/>
        </w:rPr>
        <w:t xml:space="preserve"> across Member States, while timely, structured data feeding enhances </w:t>
      </w:r>
      <w:r w:rsidRPr="00726D52">
        <w:rPr>
          <w:rFonts w:eastAsia="Times New Roman"/>
          <w:b/>
          <w:bCs/>
          <w:noProof/>
        </w:rPr>
        <w:t>analytical capabilities</w:t>
      </w:r>
      <w:r w:rsidRPr="00726D52">
        <w:rPr>
          <w:rFonts w:eastAsia="Times New Roman"/>
          <w:noProof/>
        </w:rPr>
        <w:t xml:space="preserve"> and </w:t>
      </w:r>
      <w:r w:rsidRPr="00726D52">
        <w:rPr>
          <w:rFonts w:eastAsia="Times New Roman"/>
          <w:b/>
          <w:bCs/>
          <w:noProof/>
        </w:rPr>
        <w:t>real-time intelligence services</w:t>
      </w:r>
      <w:r w:rsidRPr="00726D52">
        <w:rPr>
          <w:rFonts w:eastAsia="Times New Roman"/>
          <w:noProof/>
        </w:rPr>
        <w:t xml:space="preserve">. The infrastructure also lays the foundation for </w:t>
      </w:r>
      <w:r w:rsidRPr="00726D52">
        <w:rPr>
          <w:rFonts w:eastAsia="Times New Roman"/>
          <w:b/>
          <w:bCs/>
          <w:noProof/>
        </w:rPr>
        <w:t>future digital initiatives</w:t>
      </w:r>
      <w:r w:rsidRPr="00726D52">
        <w:rPr>
          <w:rFonts w:eastAsia="Times New Roman"/>
          <w:noProof/>
        </w:rPr>
        <w:t xml:space="preserve">, embedding the </w:t>
      </w:r>
      <w:r w:rsidRPr="00726D52">
        <w:rPr>
          <w:rFonts w:eastAsia="Times New Roman"/>
          <w:b/>
          <w:bCs/>
          <w:noProof/>
        </w:rPr>
        <w:t>‘digital by default’ principle</w:t>
      </w:r>
      <w:r w:rsidRPr="00726D52">
        <w:rPr>
          <w:rFonts w:eastAsia="Times New Roman"/>
          <w:noProof/>
        </w:rPr>
        <w:t xml:space="preserve"> without creating new legal obligations.</w:t>
      </w:r>
    </w:p>
    <w:p w14:paraId="194BEB14" w14:textId="27E4FD2E" w:rsidR="000A268D" w:rsidRPr="00726D52" w:rsidRDefault="000A268D" w:rsidP="009502B2">
      <w:pPr>
        <w:pStyle w:val="Heading3"/>
        <w:numPr>
          <w:ilvl w:val="1"/>
          <w:numId w:val="80"/>
        </w:numPr>
        <w:tabs>
          <w:tab w:val="clear" w:pos="9007"/>
        </w:tabs>
        <w:rPr>
          <w:noProof/>
        </w:rPr>
      </w:pPr>
      <w:r w:rsidRPr="00726D52">
        <w:rPr>
          <w:b/>
          <w:bCs/>
          <w:noProof/>
          <w:u w:val="single"/>
        </w:rPr>
        <w:lastRenderedPageBreak/>
        <w:t>Policy option 1.2</w:t>
      </w:r>
      <w:r w:rsidRPr="00726D52">
        <w:rPr>
          <w:b/>
          <w:bCs/>
          <w:noProof/>
        </w:rPr>
        <w:t xml:space="preserve">: </w:t>
      </w:r>
      <w:r w:rsidR="00190EC8" w:rsidRPr="00726D52">
        <w:rPr>
          <w:b/>
          <w:bCs/>
          <w:noProof/>
        </w:rPr>
        <w:t>enha</w:t>
      </w:r>
      <w:r w:rsidR="0082690B" w:rsidRPr="00726D52">
        <w:rPr>
          <w:b/>
          <w:bCs/>
          <w:noProof/>
        </w:rPr>
        <w:t>n</w:t>
      </w:r>
      <w:r w:rsidR="00190EC8" w:rsidRPr="00726D52">
        <w:rPr>
          <w:b/>
          <w:bCs/>
          <w:noProof/>
        </w:rPr>
        <w:t>ced m</w:t>
      </w:r>
      <w:r w:rsidRPr="00726D52">
        <w:rPr>
          <w:b/>
          <w:bCs/>
          <w:noProof/>
        </w:rPr>
        <w:t>itigating measures to address the obstacles of data subject categorisation</w:t>
      </w:r>
    </w:p>
    <w:p w14:paraId="10862A79" w14:textId="77777777" w:rsidR="000A268D" w:rsidRPr="00726D52" w:rsidRDefault="000A268D" w:rsidP="009502B2">
      <w:pPr>
        <w:pStyle w:val="Heading4"/>
        <w:numPr>
          <w:ilvl w:val="0"/>
          <w:numId w:val="23"/>
        </w:numPr>
        <w:tabs>
          <w:tab w:val="num" w:pos="360"/>
        </w:tabs>
        <w:ind w:left="0" w:firstLine="0"/>
        <w:rPr>
          <w:b/>
          <w:noProof/>
          <w:color w:val="000000" w:themeColor="text1"/>
        </w:rPr>
      </w:pPr>
      <w:r w:rsidRPr="00726D52">
        <w:rPr>
          <w:b/>
          <w:bCs/>
          <w:noProof/>
        </w:rPr>
        <w:t>Impact on citizens (0)</w:t>
      </w:r>
    </w:p>
    <w:p w14:paraId="06180D06" w14:textId="77777777"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This policy option has a neutral impact on citizens (0). It does not constitute any significant changes, as the obligation to carry out the categorisation of data subjects remains unchanged. Instead, the measures of this option aim at improving the situation for national authorities by facilitating the overall process.</w:t>
      </w:r>
    </w:p>
    <w:p w14:paraId="63B840F8" w14:textId="77777777" w:rsidR="000A268D" w:rsidRPr="00726D52" w:rsidRDefault="000A268D" w:rsidP="009502B2">
      <w:pPr>
        <w:pStyle w:val="Heading4"/>
        <w:numPr>
          <w:ilvl w:val="0"/>
          <w:numId w:val="23"/>
        </w:numPr>
        <w:tabs>
          <w:tab w:val="num" w:pos="360"/>
        </w:tabs>
        <w:ind w:left="0" w:firstLine="0"/>
        <w:rPr>
          <w:b/>
          <w:noProof/>
          <w:color w:val="000000" w:themeColor="text1"/>
        </w:rPr>
      </w:pPr>
      <w:r w:rsidRPr="00726D52">
        <w:rPr>
          <w:b/>
          <w:bCs/>
          <w:noProof/>
        </w:rPr>
        <w:t>Impact on national authorities (+)</w:t>
      </w:r>
    </w:p>
    <w:p w14:paraId="2EA1673A" w14:textId="77777777" w:rsidR="000A268D" w:rsidRPr="00726D52" w:rsidRDefault="000A268D" w:rsidP="000A268D">
      <w:pPr>
        <w:spacing w:after="200" w:line="276" w:lineRule="auto"/>
        <w:rPr>
          <w:rFonts w:eastAsia="Times New Roman"/>
          <w:noProof/>
          <w:color w:val="000000" w:themeColor="text1"/>
        </w:rPr>
      </w:pPr>
      <w:r w:rsidRPr="00726D52">
        <w:rPr>
          <w:rFonts w:eastAsia="Times New Roman"/>
          <w:noProof/>
          <w:color w:val="000000" w:themeColor="text1"/>
        </w:rPr>
        <w:t>The option has a positive impact on national authorities as it would result in more streamlined processing of complex and large datasets. Due to the detailed internal guidance and tools (checklists, templates, standard scenarios) that would be developed as part of this option, there would be reduced operational delays and fewer inconsistencies, resulting in the overall positive impact on national authorities. Greater legal certainty and clarity in applying DSC rules would also reduce the risk of errors and subsequent corrective actions.</w:t>
      </w:r>
    </w:p>
    <w:p w14:paraId="0101DC96" w14:textId="77777777" w:rsidR="000A268D" w:rsidRPr="00726D52" w:rsidRDefault="000A268D" w:rsidP="009502B2">
      <w:pPr>
        <w:pStyle w:val="Heading4"/>
        <w:numPr>
          <w:ilvl w:val="0"/>
          <w:numId w:val="23"/>
        </w:numPr>
        <w:tabs>
          <w:tab w:val="num" w:pos="360"/>
        </w:tabs>
        <w:ind w:left="0" w:firstLine="0"/>
        <w:rPr>
          <w:b/>
          <w:noProof/>
          <w:color w:val="000000" w:themeColor="text1"/>
        </w:rPr>
      </w:pPr>
      <w:r w:rsidRPr="00726D52">
        <w:rPr>
          <w:b/>
          <w:bCs/>
          <w:noProof/>
        </w:rPr>
        <w:t>Impact on fundamental rights (0)</w:t>
      </w:r>
    </w:p>
    <w:p w14:paraId="3F782907" w14:textId="77777777" w:rsidR="000A268D" w:rsidRPr="00726D52" w:rsidRDefault="000A268D" w:rsidP="009502B2">
      <w:pPr>
        <w:pStyle w:val="Heading4"/>
        <w:numPr>
          <w:ilvl w:val="2"/>
          <w:numId w:val="27"/>
        </w:numPr>
        <w:rPr>
          <w:b/>
          <w:noProof/>
        </w:rPr>
      </w:pPr>
      <w:r w:rsidRPr="00726D52">
        <w:rPr>
          <w:b/>
          <w:noProof/>
        </w:rPr>
        <w:t>Objective of general interest (+)</w:t>
      </w:r>
    </w:p>
    <w:p w14:paraId="7FCAD6C5" w14:textId="78B2DC56"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This option makes a positive contribution to an objective of general interest (+), as it constitutes a measure to facilitate the overall fight against serious and organised crime. Improving and harmonising the practical application of the rules governing data subject categorisation and the subsequent improvement would lead to more consistent and reliable data processing, facilitating the work of both national authorities and Europol, resulting in faster operational results and investigations.</w:t>
      </w:r>
    </w:p>
    <w:p w14:paraId="239E3815" w14:textId="77777777" w:rsidR="000A268D" w:rsidRPr="00726D52" w:rsidRDefault="000A268D" w:rsidP="009502B2">
      <w:pPr>
        <w:pStyle w:val="Heading4"/>
        <w:numPr>
          <w:ilvl w:val="2"/>
          <w:numId w:val="27"/>
        </w:numPr>
        <w:rPr>
          <w:b/>
          <w:noProof/>
        </w:rPr>
      </w:pPr>
      <w:r w:rsidRPr="00726D52">
        <w:rPr>
          <w:b/>
          <w:noProof/>
        </w:rPr>
        <w:t>Impact on data protection (0)</w:t>
      </w:r>
    </w:p>
    <w:p w14:paraId="07DA427E" w14:textId="77777777" w:rsidR="000A268D" w:rsidRPr="00726D52" w:rsidRDefault="000A268D" w:rsidP="00116AAD">
      <w:pPr>
        <w:tabs>
          <w:tab w:val="left" w:pos="2302"/>
        </w:tabs>
        <w:spacing w:after="200" w:line="276" w:lineRule="auto"/>
        <w:rPr>
          <w:rFonts w:eastAsia="Times New Roman"/>
          <w:bCs/>
          <w:i/>
          <w:noProof/>
          <w:color w:val="000000" w:themeColor="text1"/>
        </w:rPr>
      </w:pPr>
      <w:r w:rsidRPr="00726D52">
        <w:rPr>
          <w:rFonts w:eastAsia="Times New Roman"/>
          <w:bCs/>
          <w:i/>
          <w:noProof/>
          <w:color w:val="000000" w:themeColor="text1"/>
        </w:rPr>
        <w:t>Necessity</w:t>
      </w:r>
    </w:p>
    <w:p w14:paraId="5B358C7A" w14:textId="77777777"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The flaws and obstacles of the current DSC framework have been highlighted both by the national authorities of the Member States as well as by the Commission, as underlined by the report pursuant to article 68(3) of the ER</w:t>
      </w:r>
      <w:r w:rsidRPr="00726D52">
        <w:rPr>
          <w:rStyle w:val="FootnoteReference"/>
          <w:rFonts w:eastAsia="Times New Roman"/>
          <w:noProof/>
          <w:color w:val="000000" w:themeColor="text1"/>
        </w:rPr>
        <w:footnoteReference w:id="231"/>
      </w:r>
      <w:r w:rsidRPr="00726D52">
        <w:rPr>
          <w:rFonts w:eastAsia="Times New Roman"/>
          <w:noProof/>
          <w:color w:val="000000" w:themeColor="text1"/>
        </w:rPr>
        <w:t xml:space="preserve">, resulting in the necessity for a change to such rules and the operational capabilities. </w:t>
      </w:r>
    </w:p>
    <w:p w14:paraId="305B00B5" w14:textId="77777777"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 xml:space="preserve">By utilising current tools and methodologies to reduce errors and inconsistencies in data categorisation, the overall level of data protection is maintained and strengthened through improved compliance and consistency. We therefore conclude that the policy option </w:t>
      </w:r>
      <w:r w:rsidRPr="00726D52">
        <w:rPr>
          <w:rFonts w:eastAsia="Times New Roman"/>
          <w:b/>
          <w:bCs/>
          <w:noProof/>
          <w:color w:val="000000" w:themeColor="text1"/>
        </w:rPr>
        <w:t>respects the principle of necessity</w:t>
      </w:r>
      <w:r w:rsidRPr="00726D52">
        <w:rPr>
          <w:rFonts w:eastAsia="Times New Roman"/>
          <w:noProof/>
          <w:color w:val="000000" w:themeColor="text1"/>
        </w:rPr>
        <w:t>.</w:t>
      </w:r>
    </w:p>
    <w:p w14:paraId="2E36F82C" w14:textId="77777777" w:rsidR="000A268D" w:rsidRPr="00726D52" w:rsidRDefault="000A268D" w:rsidP="0082690B">
      <w:pPr>
        <w:tabs>
          <w:tab w:val="left" w:pos="2302"/>
        </w:tabs>
        <w:spacing w:after="200" w:line="276" w:lineRule="auto"/>
        <w:rPr>
          <w:rFonts w:eastAsia="Times New Roman"/>
          <w:bCs/>
          <w:i/>
          <w:noProof/>
          <w:color w:val="000000" w:themeColor="text1"/>
        </w:rPr>
      </w:pPr>
      <w:r w:rsidRPr="00726D52">
        <w:rPr>
          <w:rFonts w:eastAsia="Times New Roman"/>
          <w:bCs/>
          <w:i/>
          <w:noProof/>
          <w:color w:val="000000" w:themeColor="text1"/>
        </w:rPr>
        <w:lastRenderedPageBreak/>
        <w:t xml:space="preserve">Proportionality </w:t>
      </w:r>
    </w:p>
    <w:p w14:paraId="0DDB705A" w14:textId="77777777"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 xml:space="preserve">The policy option of addressing the obstacles of DSC by introducing mitigation measures is fully proportionate as it would aim to harmonise and streamline currently existing rules rather than introduce new ones. Standardising the process of DSC while increasing the legal certainty and simultaneously making it more efficient and less resource-intensive, demonstrates the proportionality of this option. No new categories of data, new processing purposes or expanded access rights are introduced. We therefore conclude that the policy option </w:t>
      </w:r>
      <w:r w:rsidRPr="00726D52">
        <w:rPr>
          <w:rFonts w:eastAsia="Times New Roman"/>
          <w:b/>
          <w:bCs/>
          <w:noProof/>
          <w:color w:val="000000" w:themeColor="text1"/>
        </w:rPr>
        <w:t>respects the principle of proportionality</w:t>
      </w:r>
      <w:r w:rsidRPr="00726D52">
        <w:rPr>
          <w:rFonts w:eastAsia="Times New Roman"/>
          <w:noProof/>
          <w:color w:val="000000" w:themeColor="text1"/>
        </w:rPr>
        <w:t>.</w:t>
      </w:r>
    </w:p>
    <w:p w14:paraId="3671E14C" w14:textId="77777777" w:rsidR="000A268D" w:rsidRPr="00726D52" w:rsidRDefault="000A268D" w:rsidP="009502B2">
      <w:pPr>
        <w:pStyle w:val="Heading4"/>
        <w:numPr>
          <w:ilvl w:val="0"/>
          <w:numId w:val="23"/>
        </w:numPr>
        <w:tabs>
          <w:tab w:val="num" w:pos="360"/>
        </w:tabs>
        <w:ind w:left="0" w:firstLine="0"/>
        <w:rPr>
          <w:b/>
          <w:noProof/>
          <w:color w:val="000000" w:themeColor="text1"/>
        </w:rPr>
      </w:pPr>
      <w:r w:rsidRPr="00726D52">
        <w:rPr>
          <w:b/>
          <w:bCs/>
          <w:noProof/>
        </w:rPr>
        <w:t>Cost (+)</w:t>
      </w:r>
    </w:p>
    <w:p w14:paraId="49DCE7B7" w14:textId="77777777"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The overall cost of this option is difficult to estimate. The option will require small initial investments related to the development of internal guidance, tools and training materials. In the long-term, however, the initial cost of labour needs would be offset by the overall benefit of clarifying and improving the framework on DSC, reducing inefficiencies and corrective workload.</w:t>
      </w:r>
    </w:p>
    <w:p w14:paraId="3AB23FC8" w14:textId="77777777" w:rsidR="000A268D" w:rsidRPr="00726D52" w:rsidRDefault="000A268D" w:rsidP="009502B2">
      <w:pPr>
        <w:pStyle w:val="Heading4"/>
        <w:numPr>
          <w:ilvl w:val="0"/>
          <w:numId w:val="23"/>
        </w:numPr>
        <w:tabs>
          <w:tab w:val="num" w:pos="360"/>
        </w:tabs>
        <w:ind w:left="0" w:firstLine="0"/>
        <w:rPr>
          <w:b/>
          <w:noProof/>
          <w:color w:val="000000" w:themeColor="text1"/>
        </w:rPr>
      </w:pPr>
      <w:r w:rsidRPr="00726D52">
        <w:rPr>
          <w:b/>
          <w:bCs/>
          <w:noProof/>
        </w:rPr>
        <w:t>Feasibility (++)</w:t>
      </w:r>
    </w:p>
    <w:p w14:paraId="6345AF80"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This policy option has very positive feasibility as it would be easily put into place. The </w:t>
      </w:r>
      <w:r w:rsidRPr="00726D52">
        <w:rPr>
          <w:rFonts w:eastAsia="Times New Roman"/>
          <w:i/>
          <w:iCs/>
          <w:noProof/>
          <w:color w:val="000000" w:themeColor="text1"/>
        </w:rPr>
        <w:t>technical feasibility</w:t>
      </w:r>
      <w:r w:rsidRPr="00726D52">
        <w:rPr>
          <w:rFonts w:eastAsia="Times New Roman"/>
          <w:noProof/>
          <w:color w:val="000000" w:themeColor="text1"/>
        </w:rPr>
        <w:t xml:space="preserve"> would not require developing an entirely new framework for DSC but rather improving and further developing a set of rules already in place.</w:t>
      </w:r>
    </w:p>
    <w:p w14:paraId="036AA529"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The </w:t>
      </w:r>
      <w:r w:rsidRPr="00726D52">
        <w:rPr>
          <w:rFonts w:eastAsia="Times New Roman"/>
          <w:i/>
          <w:iCs/>
          <w:noProof/>
          <w:color w:val="000000" w:themeColor="text1"/>
        </w:rPr>
        <w:t>political feasibility</w:t>
      </w:r>
      <w:r w:rsidRPr="00726D52">
        <w:rPr>
          <w:rFonts w:eastAsia="Times New Roman"/>
          <w:noProof/>
          <w:color w:val="000000" w:themeColor="text1"/>
        </w:rPr>
        <w:t xml:space="preserve"> would be equally as positive (++) as national authorities have underlined the need for further clarifications and guidelines, as well as the necessity to reform the overall process of DSC. This policy option should therefore face little to no political opposition.</w:t>
      </w:r>
    </w:p>
    <w:p w14:paraId="2D4EB956" w14:textId="77777777" w:rsidR="000A268D" w:rsidRPr="00726D52" w:rsidRDefault="000A268D" w:rsidP="009502B2">
      <w:pPr>
        <w:pStyle w:val="Heading4"/>
        <w:numPr>
          <w:ilvl w:val="0"/>
          <w:numId w:val="23"/>
        </w:numPr>
        <w:tabs>
          <w:tab w:val="num" w:pos="360"/>
        </w:tabs>
        <w:ind w:left="0" w:firstLine="0"/>
        <w:rPr>
          <w:b/>
          <w:noProof/>
          <w:color w:val="000000" w:themeColor="text1"/>
        </w:rPr>
      </w:pPr>
      <w:r w:rsidRPr="00726D52">
        <w:rPr>
          <w:b/>
          <w:bCs/>
          <w:noProof/>
        </w:rPr>
        <w:t>Impact on digitalisation (0)</w:t>
      </w:r>
    </w:p>
    <w:p w14:paraId="4028EEDC" w14:textId="77777777" w:rsidR="000A268D" w:rsidRPr="00726D52" w:rsidRDefault="000A268D" w:rsidP="000A268D">
      <w:pPr>
        <w:spacing w:before="240"/>
        <w:rPr>
          <w:rFonts w:eastAsia="Times New Roman"/>
          <w:noProof/>
          <w:color w:val="000000" w:themeColor="text1"/>
        </w:rPr>
      </w:pPr>
      <w:r w:rsidRPr="00726D52">
        <w:rPr>
          <w:rFonts w:eastAsia="Times New Roman"/>
          <w:noProof/>
          <w:color w:val="000000" w:themeColor="text1"/>
        </w:rPr>
        <w:t>The option has an overall neutral impact on digitalisation. While it relies on existing digital infrastructures, it does not fundamentally transform the digital architecture of the process of data subject categorisation. Subsequently putting in place mitigating measures to address the obstacles of DSC serves as an enabler for Europol to process and analyse data rather than being a driver of structural change. Meaning that Europol’s overall usage of data would be (further) consolidated, which has no impact on digitalisation as such.</w:t>
      </w:r>
    </w:p>
    <w:p w14:paraId="7D6046DC" w14:textId="3608C0C5" w:rsidR="000A268D" w:rsidRPr="00726D52" w:rsidRDefault="000A268D" w:rsidP="009502B2">
      <w:pPr>
        <w:pStyle w:val="Heading3"/>
        <w:numPr>
          <w:ilvl w:val="1"/>
          <w:numId w:val="80"/>
        </w:numPr>
        <w:tabs>
          <w:tab w:val="clear" w:pos="9007"/>
        </w:tabs>
        <w:rPr>
          <w:b/>
          <w:bCs/>
          <w:noProof/>
        </w:rPr>
      </w:pPr>
      <w:r w:rsidRPr="00726D52">
        <w:rPr>
          <w:b/>
          <w:bCs/>
          <w:noProof/>
          <w:u w:val="single"/>
        </w:rPr>
        <w:t>Policy option 1.3</w:t>
      </w:r>
      <w:r w:rsidRPr="00726D52">
        <w:rPr>
          <w:b/>
          <w:bCs/>
          <w:noProof/>
        </w:rPr>
        <w:t xml:space="preserve"> - Measure 1</w:t>
      </w:r>
      <w:r w:rsidR="00886F43" w:rsidRPr="00726D52">
        <w:rPr>
          <w:b/>
          <w:bCs/>
          <w:noProof/>
        </w:rPr>
        <w:t xml:space="preserve"> on r</w:t>
      </w:r>
      <w:r w:rsidRPr="00726D52">
        <w:rPr>
          <w:b/>
          <w:bCs/>
          <w:noProof/>
        </w:rPr>
        <w:t>einforced Europol’s support to the EPPO</w:t>
      </w:r>
    </w:p>
    <w:p w14:paraId="718B5710" w14:textId="00BBD9A4" w:rsidR="000A268D" w:rsidRPr="00726D52" w:rsidRDefault="000A268D" w:rsidP="000A268D">
      <w:pPr>
        <w:pStyle w:val="TableTextNoSpace"/>
        <w:rPr>
          <w:rFonts w:ascii="Times New Roman" w:eastAsia="Times New Roman" w:hAnsi="Times New Roman" w:cs="Times New Roman"/>
          <w:noProof/>
          <w:sz w:val="24"/>
          <w:szCs w:val="24"/>
        </w:rPr>
      </w:pPr>
      <w:r w:rsidRPr="00726D52">
        <w:rPr>
          <w:rFonts w:ascii="Times New Roman" w:eastAsia="Times New Roman" w:hAnsi="Times New Roman" w:cs="Times New Roman"/>
          <w:b/>
          <w:bCs/>
          <w:noProof/>
          <w:sz w:val="24"/>
          <w:szCs w:val="24"/>
        </w:rPr>
        <w:t>EPPO Support Unit</w:t>
      </w:r>
      <w:r w:rsidRPr="00726D52">
        <w:rPr>
          <w:rFonts w:ascii="Times New Roman" w:eastAsia="Times New Roman" w:hAnsi="Times New Roman" w:cs="Times New Roman"/>
          <w:noProof/>
          <w:sz w:val="24"/>
          <w:szCs w:val="24"/>
        </w:rPr>
        <w:t xml:space="preserve">: a reinforced, dedicated unit within Europol’s Financial and Economic Crime Centre (EFECC), composed of specialised staff assigned exclusively to EPPO-related cases, replacing and reinforcing the current small team handling these. The organisation of the unit would not change compared to what is currently in place with the current small team except in terms of staff, which would however grow significantly. The unit’s staff will need to be specialised in VAT fraud, customs fraud, excise fraud, and trade-based money laundering, and should have familiarity with the complex multi-criminal behaviours of modern organised crime groups (MTIC schemes). Four different </w:t>
      </w:r>
      <w:r w:rsidRPr="00726D52">
        <w:rPr>
          <w:rFonts w:ascii="Times New Roman" w:eastAsia="Times New Roman" w:hAnsi="Times New Roman" w:cs="Times New Roman"/>
          <w:noProof/>
          <w:sz w:val="24"/>
          <w:szCs w:val="24"/>
        </w:rPr>
        <w:lastRenderedPageBreak/>
        <w:t>types of support tasks would be handled by the unit: cross-checks of EPPO data against Europol database (hit/no-hit), digital forensics (in particular making information in seized devices available for operation analysis), operational analysis (making sense of data gathered in EPPO cases), and operational support (e.g. assets tracing, preparatory activities for action days, manning virtual command posts). The Europol-EPPO Working Arrangement would be updated accordingly.</w:t>
      </w:r>
    </w:p>
    <w:p w14:paraId="0997E572" w14:textId="77777777" w:rsidR="000A268D" w:rsidRPr="00726D52" w:rsidRDefault="000A268D" w:rsidP="000A268D">
      <w:pPr>
        <w:pStyle w:val="TableTextNoSpace"/>
        <w:rPr>
          <w:rFonts w:ascii="Times New Roman" w:eastAsia="Times New Roman" w:hAnsi="Times New Roman" w:cs="Times New Roman"/>
          <w:i/>
          <w:iCs/>
          <w:noProof/>
          <w:sz w:val="24"/>
          <w:szCs w:val="24"/>
        </w:rPr>
      </w:pPr>
    </w:p>
    <w:p w14:paraId="2349F7CB" w14:textId="77777777" w:rsidR="000A268D" w:rsidRPr="00726D52" w:rsidRDefault="000A268D" w:rsidP="009502B2">
      <w:pPr>
        <w:pStyle w:val="Heading4"/>
        <w:numPr>
          <w:ilvl w:val="0"/>
          <w:numId w:val="32"/>
        </w:numPr>
        <w:tabs>
          <w:tab w:val="num" w:pos="360"/>
        </w:tabs>
        <w:ind w:left="0" w:firstLine="0"/>
        <w:rPr>
          <w:b/>
          <w:bCs/>
          <w:noProof/>
        </w:rPr>
      </w:pPr>
      <w:r w:rsidRPr="00726D52">
        <w:rPr>
          <w:b/>
          <w:bCs/>
          <w:noProof/>
        </w:rPr>
        <w:t>Impact on citizens (+)</w:t>
      </w:r>
    </w:p>
    <w:p w14:paraId="67B3F51E" w14:textId="26EAB863" w:rsidR="000A268D" w:rsidRPr="00726D52" w:rsidRDefault="000A268D" w:rsidP="000A268D">
      <w:pPr>
        <w:rPr>
          <w:noProof/>
        </w:rPr>
      </w:pPr>
      <w:r w:rsidRPr="00726D52">
        <w:rPr>
          <w:noProof/>
        </w:rPr>
        <w:t>This measure would reinforce the protection of EU citizens against the crimes for which the EPPO is competent and the criminal actors involved. Therefore, this measure has a positive impact on citizens.</w:t>
      </w:r>
    </w:p>
    <w:p w14:paraId="7DCF7FF3" w14:textId="77777777" w:rsidR="000A268D" w:rsidRPr="00726D52" w:rsidRDefault="000A268D" w:rsidP="009502B2">
      <w:pPr>
        <w:pStyle w:val="Heading4"/>
        <w:numPr>
          <w:ilvl w:val="0"/>
          <w:numId w:val="32"/>
        </w:numPr>
        <w:tabs>
          <w:tab w:val="num" w:pos="360"/>
        </w:tabs>
        <w:ind w:left="0" w:firstLine="0"/>
        <w:rPr>
          <w:b/>
          <w:bCs/>
          <w:noProof/>
        </w:rPr>
      </w:pPr>
      <w:r w:rsidRPr="00726D52">
        <w:rPr>
          <w:b/>
          <w:bCs/>
          <w:noProof/>
        </w:rPr>
        <w:t>Impact on national authorities (+)</w:t>
      </w:r>
    </w:p>
    <w:p w14:paraId="1C6C7761" w14:textId="77777777" w:rsidR="000A268D" w:rsidRPr="00726D52" w:rsidRDefault="000A268D" w:rsidP="000A268D">
      <w:pPr>
        <w:rPr>
          <w:noProof/>
        </w:rPr>
      </w:pPr>
      <w:r w:rsidRPr="00726D52">
        <w:rPr>
          <w:noProof/>
        </w:rPr>
        <w:t xml:space="preserve">Europol’s reinforced support to the EPPO will help further extract criminal proceeds from criminal actors. Therefore, this measure has a </w:t>
      </w:r>
      <w:r w:rsidRPr="00726D52">
        <w:rPr>
          <w:rStyle w:val="Strong"/>
          <w:noProof/>
        </w:rPr>
        <w:t>positive impact on national authorities (+).</w:t>
      </w:r>
    </w:p>
    <w:p w14:paraId="082C7F83" w14:textId="77777777" w:rsidR="000A268D" w:rsidRPr="00726D52" w:rsidRDefault="000A268D" w:rsidP="009502B2">
      <w:pPr>
        <w:pStyle w:val="Heading4"/>
        <w:numPr>
          <w:ilvl w:val="0"/>
          <w:numId w:val="32"/>
        </w:numPr>
        <w:tabs>
          <w:tab w:val="num" w:pos="360"/>
        </w:tabs>
        <w:ind w:left="0" w:firstLine="0"/>
        <w:rPr>
          <w:b/>
          <w:bCs/>
          <w:noProof/>
        </w:rPr>
      </w:pPr>
      <w:r w:rsidRPr="00726D52">
        <w:rPr>
          <w:b/>
          <w:bCs/>
          <w:noProof/>
        </w:rPr>
        <w:t>Impact on fundamental rights (+)</w:t>
      </w:r>
    </w:p>
    <w:p w14:paraId="2E246BB4" w14:textId="2BD60F5E" w:rsidR="000A268D" w:rsidRPr="00726D52" w:rsidRDefault="000A268D" w:rsidP="000A268D">
      <w:pPr>
        <w:rPr>
          <w:noProof/>
        </w:rPr>
      </w:pPr>
      <w:r w:rsidRPr="00726D52">
        <w:rPr>
          <w:noProof/>
        </w:rPr>
        <w:t>This measure would have a positive impact on fundamental rights insofar as it would ultimately help strengthen the EU Member States’ statehood against criminal threats, prompting Member States’ concrete ability to respect, promote and fulfil human rights under international and EU law.</w:t>
      </w:r>
    </w:p>
    <w:p w14:paraId="4644AB30" w14:textId="77777777" w:rsidR="000A268D" w:rsidRPr="00726D52" w:rsidRDefault="000A268D" w:rsidP="009502B2">
      <w:pPr>
        <w:pStyle w:val="Heading4"/>
        <w:numPr>
          <w:ilvl w:val="0"/>
          <w:numId w:val="81"/>
        </w:numPr>
        <w:rPr>
          <w:b/>
          <w:noProof/>
        </w:rPr>
      </w:pPr>
      <w:r w:rsidRPr="00726D52">
        <w:rPr>
          <w:b/>
          <w:noProof/>
        </w:rPr>
        <w:t>Objective of general interest (+)</w:t>
      </w:r>
    </w:p>
    <w:p w14:paraId="53681F43" w14:textId="18F93151" w:rsidR="000A268D" w:rsidRPr="00726D52" w:rsidRDefault="000A268D" w:rsidP="000A268D">
      <w:pPr>
        <w:rPr>
          <w:noProof/>
        </w:rPr>
      </w:pPr>
      <w:r w:rsidRPr="00726D52">
        <w:rPr>
          <w:noProof/>
        </w:rPr>
        <w:t xml:space="preserve">This measure makes a </w:t>
      </w:r>
      <w:r w:rsidRPr="00726D52">
        <w:rPr>
          <w:rStyle w:val="Strong"/>
          <w:noProof/>
        </w:rPr>
        <w:t>positive contribution to an objective of general interest (+)</w:t>
      </w:r>
      <w:r w:rsidRPr="00726D52">
        <w:rPr>
          <w:noProof/>
        </w:rPr>
        <w:t>, namely the protection of the financial interests of the EU, by allowing the EPPO to effectively carry out its mission vis-a-vis sharply increasing need for support from Europol.</w:t>
      </w:r>
    </w:p>
    <w:p w14:paraId="5C842A79" w14:textId="77777777" w:rsidR="000A268D" w:rsidRPr="00726D52" w:rsidRDefault="000A268D" w:rsidP="009502B2">
      <w:pPr>
        <w:pStyle w:val="Heading4"/>
        <w:numPr>
          <w:ilvl w:val="0"/>
          <w:numId w:val="81"/>
        </w:numPr>
        <w:rPr>
          <w:b/>
          <w:noProof/>
        </w:rPr>
      </w:pPr>
      <w:r w:rsidRPr="00726D52">
        <w:rPr>
          <w:b/>
          <w:noProof/>
        </w:rPr>
        <w:t>Data protection (0)</w:t>
      </w:r>
    </w:p>
    <w:p w14:paraId="555E5BB1" w14:textId="77777777" w:rsidR="000A268D" w:rsidRPr="00726D52" w:rsidRDefault="000A268D" w:rsidP="000A268D">
      <w:pPr>
        <w:rPr>
          <w:rFonts w:eastAsia="Times New Roman"/>
          <w:i/>
          <w:iCs/>
          <w:noProof/>
        </w:rPr>
      </w:pPr>
      <w:r w:rsidRPr="00726D52">
        <w:rPr>
          <w:rFonts w:eastAsia="Times New Roman"/>
          <w:i/>
          <w:iCs/>
          <w:noProof/>
        </w:rPr>
        <w:t>Necessity and proportionality</w:t>
      </w:r>
    </w:p>
    <w:p w14:paraId="1FF0792F" w14:textId="77777777" w:rsidR="000A268D" w:rsidRPr="00726D52" w:rsidRDefault="000A268D" w:rsidP="000A268D">
      <w:pPr>
        <w:rPr>
          <w:noProof/>
          <w:highlight w:val="yellow"/>
        </w:rPr>
      </w:pPr>
      <w:r w:rsidRPr="00726D52">
        <w:rPr>
          <w:noProof/>
        </w:rPr>
        <w:t xml:space="preserve">The current Europol staff allocated to support the EPPO (8-9 officers) is not sufficient. This measure is necessary to meet the minimum level of the EPPO’s sharply increasingly needs and thus allow it to effectively protect the financial interests of the EU. It does not interfere with current data protection levels. Therefore, this policy measure </w:t>
      </w:r>
      <w:r w:rsidRPr="00726D52">
        <w:rPr>
          <w:b/>
          <w:bCs/>
          <w:noProof/>
        </w:rPr>
        <w:t>respects the principles of necessity and proportionality</w:t>
      </w:r>
      <w:r w:rsidRPr="00726D52">
        <w:rPr>
          <w:noProof/>
        </w:rPr>
        <w:t>.</w:t>
      </w:r>
    </w:p>
    <w:p w14:paraId="6765B86B" w14:textId="77777777" w:rsidR="000A268D" w:rsidRPr="00726D52" w:rsidRDefault="000A268D" w:rsidP="009502B2">
      <w:pPr>
        <w:pStyle w:val="Heading4"/>
        <w:numPr>
          <w:ilvl w:val="0"/>
          <w:numId w:val="32"/>
        </w:numPr>
        <w:tabs>
          <w:tab w:val="num" w:pos="360"/>
        </w:tabs>
        <w:ind w:left="0" w:firstLine="0"/>
        <w:rPr>
          <w:b/>
          <w:bCs/>
          <w:noProof/>
        </w:rPr>
      </w:pPr>
      <w:r w:rsidRPr="00726D52">
        <w:rPr>
          <w:b/>
          <w:bCs/>
          <w:noProof/>
        </w:rPr>
        <w:t>Costs (+)</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790"/>
        <w:gridCol w:w="2790"/>
        <w:gridCol w:w="2790"/>
      </w:tblGrid>
      <w:tr w:rsidR="000A268D" w:rsidRPr="00726D52" w14:paraId="14904ECC"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4460D17D" w14:textId="77777777" w:rsidR="000A268D" w:rsidRPr="00726D52" w:rsidRDefault="000A268D" w:rsidP="00C05BFC">
            <w:pPr>
              <w:rPr>
                <w:noProof/>
              </w:rPr>
            </w:pPr>
          </w:p>
        </w:tc>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51518279" w14:textId="77777777" w:rsidR="000A268D" w:rsidRPr="00726D52" w:rsidRDefault="000A268D" w:rsidP="00C05BFC">
            <w:pPr>
              <w:jc w:val="center"/>
              <w:rPr>
                <w:b/>
                <w:bCs/>
                <w:i/>
                <w:iCs/>
                <w:noProof/>
              </w:rPr>
            </w:pPr>
            <w:r w:rsidRPr="00726D52">
              <w:rPr>
                <w:b/>
                <w:bCs/>
                <w:i/>
                <w:iCs/>
                <w:noProof/>
              </w:rPr>
              <w:t>Member States activities</w:t>
            </w:r>
          </w:p>
        </w:tc>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3F074289" w14:textId="77777777" w:rsidR="000A268D" w:rsidRPr="00726D52" w:rsidRDefault="000A268D" w:rsidP="00C05BFC">
            <w:pPr>
              <w:jc w:val="center"/>
              <w:rPr>
                <w:b/>
                <w:bCs/>
                <w:i/>
                <w:iCs/>
                <w:noProof/>
              </w:rPr>
            </w:pPr>
            <w:r w:rsidRPr="00726D52">
              <w:rPr>
                <w:b/>
                <w:bCs/>
                <w:i/>
                <w:iCs/>
                <w:noProof/>
              </w:rPr>
              <w:t>EU activities</w:t>
            </w:r>
          </w:p>
        </w:tc>
      </w:tr>
      <w:tr w:rsidR="000A268D" w:rsidRPr="00726D52" w14:paraId="7320C0B3"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7F2BB774" w14:textId="77777777" w:rsidR="000A268D" w:rsidRPr="00726D52" w:rsidRDefault="000A268D" w:rsidP="00C05BFC">
            <w:pPr>
              <w:rPr>
                <w:b/>
                <w:bCs/>
                <w:i/>
                <w:iCs/>
                <w:noProof/>
              </w:rPr>
            </w:pPr>
            <w:r w:rsidRPr="00726D52">
              <w:rPr>
                <w:b/>
                <w:bCs/>
                <w:i/>
                <w:iCs/>
                <w:noProof/>
              </w:rPr>
              <w:t>Direct costs</w:t>
            </w: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B29EB0E" w14:textId="77777777" w:rsidR="000A268D" w:rsidRPr="00726D52" w:rsidRDefault="000A268D" w:rsidP="00C05BFC">
            <w:pPr>
              <w:jc w:val="center"/>
              <w:rPr>
                <w:noProof/>
              </w:rPr>
            </w:pP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22B5320" w14:textId="77777777" w:rsidR="000A268D" w:rsidRPr="00726D52" w:rsidRDefault="000A268D" w:rsidP="00C05BFC">
            <w:pPr>
              <w:jc w:val="center"/>
              <w:rPr>
                <w:noProof/>
              </w:rPr>
            </w:pPr>
          </w:p>
        </w:tc>
      </w:tr>
      <w:tr w:rsidR="000A268D" w:rsidRPr="00726D52" w14:paraId="206171D0" w14:textId="77777777" w:rsidTr="00C05BFC">
        <w:trPr>
          <w:trHeight w:val="825"/>
        </w:trPr>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4A8D7735" w14:textId="77777777" w:rsidR="000A268D" w:rsidRPr="00726D52" w:rsidRDefault="000A268D" w:rsidP="00C05BFC">
            <w:pPr>
              <w:rPr>
                <w:noProof/>
              </w:rPr>
            </w:pPr>
            <w:r w:rsidRPr="00726D52">
              <w:rPr>
                <w:noProof/>
              </w:rPr>
              <w:lastRenderedPageBreak/>
              <w:t>Expected one-off costs (in million EUR)</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3023008D" w14:textId="77777777" w:rsidR="000A268D" w:rsidRPr="00726D52" w:rsidRDefault="000A268D" w:rsidP="00C05BFC">
            <w:pPr>
              <w:jc w:val="center"/>
              <w:rPr>
                <w:noProof/>
              </w:rPr>
            </w:pPr>
            <w:r w:rsidRPr="00726D52">
              <w:rPr>
                <w:noProof/>
              </w:rPr>
              <w:t>0</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49D8E1F6" w14:textId="77777777" w:rsidR="000A268D" w:rsidRPr="00726D52" w:rsidRDefault="000A268D" w:rsidP="00C05BFC">
            <w:pPr>
              <w:jc w:val="center"/>
              <w:rPr>
                <w:noProof/>
              </w:rPr>
            </w:pPr>
            <w:r w:rsidRPr="00726D52">
              <w:rPr>
                <w:noProof/>
              </w:rPr>
              <w:t>0</w:t>
            </w:r>
          </w:p>
        </w:tc>
      </w:tr>
      <w:tr w:rsidR="000A268D" w:rsidRPr="00726D52" w14:paraId="0AAA952A"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5557EB10" w14:textId="77777777" w:rsidR="000A268D" w:rsidRPr="00726D52" w:rsidRDefault="000A268D" w:rsidP="00C05BFC">
            <w:pPr>
              <w:rPr>
                <w:noProof/>
              </w:rPr>
            </w:pPr>
            <w:r w:rsidRPr="00726D52">
              <w:rPr>
                <w:noProof/>
              </w:rPr>
              <w:t>Expected yearly recurring costs (in million EUR)</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28E1AEFD" w14:textId="77777777" w:rsidR="000A268D" w:rsidRPr="00726D52" w:rsidRDefault="000A268D" w:rsidP="00C05BFC">
            <w:pPr>
              <w:jc w:val="center"/>
              <w:rPr>
                <w:noProof/>
              </w:rPr>
            </w:pPr>
            <w:r w:rsidRPr="00726D52">
              <w:rPr>
                <w:noProof/>
              </w:rPr>
              <w:t>0</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7502E225" w14:textId="77777777" w:rsidR="000A268D" w:rsidRPr="00726D52" w:rsidRDefault="000A268D" w:rsidP="00C05BFC">
            <w:pPr>
              <w:jc w:val="center"/>
              <w:rPr>
                <w:noProof/>
              </w:rPr>
            </w:pPr>
            <w:r w:rsidRPr="00726D52">
              <w:rPr>
                <w:noProof/>
              </w:rPr>
              <w:t>10</w:t>
            </w:r>
          </w:p>
        </w:tc>
      </w:tr>
    </w:tbl>
    <w:p w14:paraId="4D291924"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One</w:t>
      </w:r>
      <w:r w:rsidRPr="00726D52">
        <w:rPr>
          <w:rFonts w:eastAsia="Times New Roman"/>
          <w:noProof/>
          <w:color w:val="000000" w:themeColor="text1"/>
        </w:rPr>
        <w:noBreakHyphen/>
        <w:t>off costs for Member States are negligible, as the measure focuses on establishing new Europol</w:t>
      </w:r>
      <w:r w:rsidRPr="00726D52">
        <w:rPr>
          <w:rFonts w:eastAsia="Times New Roman"/>
          <w:noProof/>
          <w:color w:val="000000" w:themeColor="text1"/>
        </w:rPr>
        <w:noBreakHyphen/>
        <w:t>level capacities, without requiring structural changes, staff contributions, or procedural adaptations at national level. Recurrent costs arise mainly at Europol, reflecting the long</w:t>
      </w:r>
      <w:r w:rsidRPr="00726D52">
        <w:rPr>
          <w:rFonts w:eastAsia="Times New Roman"/>
          <w:noProof/>
          <w:color w:val="000000" w:themeColor="text1"/>
        </w:rPr>
        <w:noBreakHyphen/>
        <w:t>term employment of specialised officers in the dedicated EPPO Support Team, responsible for operational analysis, cross</w:t>
      </w:r>
      <w:r w:rsidRPr="00726D52">
        <w:rPr>
          <w:rFonts w:eastAsia="Times New Roman"/>
          <w:noProof/>
          <w:color w:val="000000" w:themeColor="text1"/>
        </w:rPr>
        <w:noBreakHyphen/>
        <w:t>checks, and digital forensics, with an average annual cost of approximately EUR 10 million.</w:t>
      </w:r>
    </w:p>
    <w:p w14:paraId="3CB64C5A" w14:textId="77777777" w:rsidR="000A268D" w:rsidRPr="00726D52" w:rsidRDefault="000A268D" w:rsidP="009502B2">
      <w:pPr>
        <w:pStyle w:val="Heading4"/>
        <w:numPr>
          <w:ilvl w:val="0"/>
          <w:numId w:val="32"/>
        </w:numPr>
        <w:tabs>
          <w:tab w:val="num" w:pos="360"/>
        </w:tabs>
        <w:ind w:left="0" w:firstLine="0"/>
        <w:rPr>
          <w:b/>
          <w:bCs/>
          <w:noProof/>
        </w:rPr>
      </w:pPr>
      <w:r w:rsidRPr="00726D52">
        <w:rPr>
          <w:b/>
          <w:bCs/>
          <w:noProof/>
        </w:rPr>
        <w:t>Feasibility (+)</w:t>
      </w:r>
    </w:p>
    <w:p w14:paraId="389BDD1B" w14:textId="77777777" w:rsidR="000A268D" w:rsidRPr="00726D52" w:rsidRDefault="000A268D" w:rsidP="000A268D">
      <w:pPr>
        <w:rPr>
          <w:i/>
          <w:iCs/>
          <w:noProof/>
        </w:rPr>
      </w:pPr>
      <w:r w:rsidRPr="00726D52">
        <w:rPr>
          <w:i/>
          <w:iCs/>
          <w:noProof/>
        </w:rPr>
        <w:t>Technical feasibility</w:t>
      </w:r>
    </w:p>
    <w:p w14:paraId="4E7E286E" w14:textId="2AE5B4E9" w:rsidR="000A268D" w:rsidRPr="00726D52" w:rsidRDefault="000A268D" w:rsidP="000A268D">
      <w:pPr>
        <w:rPr>
          <w:rFonts w:eastAsia="Times New Roman"/>
          <w:noProof/>
        </w:rPr>
      </w:pPr>
      <w:r w:rsidRPr="00726D52">
        <w:rPr>
          <w:rFonts w:eastAsia="Times New Roman"/>
          <w:noProof/>
          <w:color w:val="000000" w:themeColor="text1"/>
        </w:rPr>
        <w:t>The measure is legally feasible. Establishing the EPPO Support Unit at Europol would not alter the respective mandates or the fundamental nature of the relationship between Europol and the EPPO. It would not require amending the Europol Regulation. Amending the Europol-EPPO Working Arrangement would suffice. From an organisational perspective, the measure would build on existing organisational and technological set-ups (e.g. EFECC, JIT model, case-handling processes), but would require enhanced operational capacity in terms of staff (e.g. capability to support investigations and run analytical tasks, expertise in defined areas [VAT fraud, customs fraud, MTIC]).</w:t>
      </w:r>
      <w:r w:rsidRPr="00726D52">
        <w:rPr>
          <w:rFonts w:eastAsia="Times New Roman"/>
          <w:noProof/>
        </w:rPr>
        <w:t xml:space="preserve"> For this reason, the option is </w:t>
      </w:r>
      <w:r w:rsidRPr="00726D52">
        <w:rPr>
          <w:rStyle w:val="Strong"/>
          <w:rFonts w:eastAsia="Times New Roman"/>
          <w:noProof/>
        </w:rPr>
        <w:t>technically feasible (++).</w:t>
      </w:r>
    </w:p>
    <w:p w14:paraId="58E1D2B6" w14:textId="77777777" w:rsidR="000A268D" w:rsidRPr="00726D52" w:rsidRDefault="000A268D" w:rsidP="000A268D">
      <w:pPr>
        <w:rPr>
          <w:rFonts w:eastAsia="Times New Roman"/>
          <w:i/>
          <w:iCs/>
          <w:noProof/>
        </w:rPr>
      </w:pPr>
      <w:r w:rsidRPr="00726D52">
        <w:rPr>
          <w:rFonts w:eastAsia="Times New Roman"/>
          <w:i/>
          <w:iCs/>
          <w:noProof/>
        </w:rPr>
        <w:t>Political feasibility</w:t>
      </w:r>
    </w:p>
    <w:p w14:paraId="6A5D6648" w14:textId="42F0681B" w:rsidR="000A268D" w:rsidRPr="00726D52" w:rsidRDefault="000A268D" w:rsidP="000A268D">
      <w:pPr>
        <w:rPr>
          <w:rStyle w:val="Strong"/>
          <w:noProof/>
        </w:rPr>
      </w:pPr>
      <w:r w:rsidRPr="00726D52">
        <w:rPr>
          <w:rFonts w:eastAsia="Times New Roman"/>
          <w:noProof/>
          <w:color w:val="000000" w:themeColor="text1"/>
        </w:rPr>
        <w:t>The consultation activities have revealed that both Europol and the EPPO would fully support this measure,</w:t>
      </w:r>
      <w:r w:rsidR="005A1351" w:rsidRPr="00726D52">
        <w:rPr>
          <w:rStyle w:val="FootnoteReference"/>
          <w:rFonts w:eastAsia="Times New Roman"/>
          <w:noProof/>
          <w:color w:val="000000" w:themeColor="text1"/>
        </w:rPr>
        <w:footnoteReference w:id="232"/>
      </w:r>
      <w:r w:rsidR="005A1351" w:rsidRPr="00726D52">
        <w:rPr>
          <w:rFonts w:eastAsia="Times New Roman"/>
          <w:noProof/>
          <w:color w:val="000000" w:themeColor="text1"/>
        </w:rPr>
        <w:t xml:space="preserve"> </w:t>
      </w:r>
      <w:r w:rsidRPr="00726D52">
        <w:rPr>
          <w:rFonts w:eastAsia="Times New Roman"/>
          <w:noProof/>
          <w:color w:val="000000" w:themeColor="text1"/>
        </w:rPr>
        <w:t>while Member States would widely support it</w:t>
      </w:r>
      <w:r w:rsidR="005A1351" w:rsidRPr="00726D52">
        <w:rPr>
          <w:rStyle w:val="FootnoteReference"/>
          <w:rFonts w:eastAsia="Times New Roman"/>
          <w:noProof/>
          <w:color w:val="000000" w:themeColor="text1"/>
        </w:rPr>
        <w:footnoteReference w:id="233"/>
      </w:r>
      <w:r w:rsidRPr="00726D52">
        <w:rPr>
          <w:rFonts w:eastAsia="Times New Roman"/>
          <w:noProof/>
          <w:color w:val="000000" w:themeColor="text1"/>
        </w:rPr>
        <w:t>.</w:t>
      </w:r>
      <w:r w:rsidRPr="00726D52">
        <w:rPr>
          <w:rFonts w:eastAsia="Times New Roman"/>
          <w:noProof/>
          <w:color w:val="000000" w:themeColor="text1"/>
          <w:vertAlign w:val="superscript"/>
        </w:rPr>
        <w:t xml:space="preserve"> </w:t>
      </w:r>
      <w:r w:rsidRPr="00726D52">
        <w:rPr>
          <w:rFonts w:eastAsia="Times New Roman"/>
          <w:noProof/>
          <w:color w:val="000000" w:themeColor="text1"/>
        </w:rPr>
        <w:t>However, several Member States have also emphasised their preference that Europol’s support remain essentially focused on the operational needs of the Member States</w:t>
      </w:r>
      <w:r w:rsidR="000F540B" w:rsidRPr="00726D52">
        <w:rPr>
          <w:rStyle w:val="FootnoteReference"/>
          <w:rFonts w:eastAsia="Times New Roman"/>
          <w:noProof/>
          <w:color w:val="000000" w:themeColor="text1"/>
        </w:rPr>
        <w:footnoteReference w:id="234"/>
      </w:r>
      <w:r w:rsidRPr="00726D52">
        <w:rPr>
          <w:rFonts w:eastAsia="Times New Roman"/>
          <w:noProof/>
          <w:color w:val="000000" w:themeColor="text1"/>
        </w:rPr>
        <w:t>.</w:t>
      </w:r>
      <w:r w:rsidR="000F540B" w:rsidRPr="00726D52">
        <w:rPr>
          <w:rFonts w:eastAsia="Times New Roman"/>
          <w:noProof/>
          <w:color w:val="000000" w:themeColor="text1"/>
          <w:vertAlign w:val="superscript"/>
        </w:rPr>
        <w:t xml:space="preserve"> </w:t>
      </w:r>
      <w:r w:rsidRPr="00726D52">
        <w:rPr>
          <w:noProof/>
        </w:rPr>
        <w:t xml:space="preserve">Overall, the measure is </w:t>
      </w:r>
      <w:r w:rsidRPr="00726D52">
        <w:rPr>
          <w:rStyle w:val="Strong"/>
          <w:noProof/>
        </w:rPr>
        <w:t>politically feasible (+).</w:t>
      </w:r>
    </w:p>
    <w:p w14:paraId="1C29D404" w14:textId="77777777" w:rsidR="000A268D" w:rsidRPr="00726D52" w:rsidRDefault="000A268D" w:rsidP="009502B2">
      <w:pPr>
        <w:pStyle w:val="Heading4"/>
        <w:numPr>
          <w:ilvl w:val="0"/>
          <w:numId w:val="32"/>
        </w:numPr>
        <w:tabs>
          <w:tab w:val="num" w:pos="360"/>
        </w:tabs>
        <w:ind w:left="0" w:firstLine="0"/>
        <w:rPr>
          <w:b/>
          <w:bCs/>
          <w:noProof/>
        </w:rPr>
      </w:pPr>
      <w:r w:rsidRPr="00726D52">
        <w:rPr>
          <w:b/>
          <w:bCs/>
          <w:noProof/>
        </w:rPr>
        <w:t>Impact on digitalisation (0)</w:t>
      </w:r>
    </w:p>
    <w:p w14:paraId="0BB75A99" w14:textId="77777777" w:rsidR="000A268D" w:rsidRPr="00726D52" w:rsidRDefault="000A268D" w:rsidP="000A268D">
      <w:pPr>
        <w:spacing w:before="240"/>
        <w:rPr>
          <w:noProof/>
        </w:rPr>
      </w:pPr>
      <w:r w:rsidRPr="00726D52">
        <w:rPr>
          <w:noProof/>
        </w:rPr>
        <w:t>This measure would have no to positive impacts on digitalisation depending on whether implementation maintains the current level or increases the digital delivery of services.</w:t>
      </w:r>
    </w:p>
    <w:p w14:paraId="789029A2" w14:textId="28473650" w:rsidR="000A268D" w:rsidRPr="00726D52" w:rsidRDefault="000A268D" w:rsidP="009502B2">
      <w:pPr>
        <w:pStyle w:val="Heading3"/>
        <w:numPr>
          <w:ilvl w:val="1"/>
          <w:numId w:val="80"/>
        </w:numPr>
        <w:tabs>
          <w:tab w:val="clear" w:pos="9007"/>
        </w:tabs>
        <w:rPr>
          <w:b/>
          <w:bCs/>
          <w:noProof/>
          <w:u w:val="single"/>
        </w:rPr>
      </w:pPr>
      <w:r w:rsidRPr="00726D52">
        <w:rPr>
          <w:b/>
          <w:bCs/>
          <w:noProof/>
          <w:u w:val="single"/>
        </w:rPr>
        <w:lastRenderedPageBreak/>
        <w:t>Policy option 1.3</w:t>
      </w:r>
      <w:r w:rsidRPr="00726D52">
        <w:rPr>
          <w:b/>
          <w:bCs/>
          <w:noProof/>
        </w:rPr>
        <w:t xml:space="preserve"> - Measures 2 and 3 for a strengthened continuum of EU-level support to law enforcement cooperation through Europol and judicial cooperation through Eurojust </w:t>
      </w:r>
    </w:p>
    <w:p w14:paraId="4D9A2A68" w14:textId="77777777" w:rsidR="000A268D" w:rsidRPr="00726D52" w:rsidRDefault="000A268D" w:rsidP="009502B2">
      <w:pPr>
        <w:pStyle w:val="Heading4"/>
        <w:numPr>
          <w:ilvl w:val="0"/>
          <w:numId w:val="31"/>
        </w:numPr>
        <w:tabs>
          <w:tab w:val="num" w:pos="360"/>
        </w:tabs>
        <w:ind w:left="0" w:firstLine="0"/>
        <w:rPr>
          <w:b/>
          <w:bCs/>
          <w:noProof/>
        </w:rPr>
      </w:pPr>
      <w:r w:rsidRPr="00726D52">
        <w:rPr>
          <w:b/>
          <w:bCs/>
          <w:noProof/>
        </w:rPr>
        <w:t>Impact on citizens (+)</w:t>
      </w:r>
    </w:p>
    <w:p w14:paraId="2E59A9AE" w14:textId="22ECAD6D" w:rsidR="000A268D" w:rsidRPr="00726D52" w:rsidRDefault="000A268D" w:rsidP="000A268D">
      <w:pPr>
        <w:rPr>
          <w:noProof/>
        </w:rPr>
      </w:pPr>
      <w:r w:rsidRPr="00726D52">
        <w:rPr>
          <w:noProof/>
        </w:rPr>
        <w:t>These measures would overall reinforce the protection of EU citizens against organised crime, albeit moderately.</w:t>
      </w:r>
    </w:p>
    <w:p w14:paraId="40CF4024" w14:textId="77777777" w:rsidR="000A268D" w:rsidRPr="00726D52" w:rsidRDefault="000A268D" w:rsidP="009502B2">
      <w:pPr>
        <w:pStyle w:val="Heading4"/>
        <w:numPr>
          <w:ilvl w:val="0"/>
          <w:numId w:val="31"/>
        </w:numPr>
        <w:tabs>
          <w:tab w:val="num" w:pos="360"/>
        </w:tabs>
        <w:ind w:left="0" w:firstLine="0"/>
        <w:rPr>
          <w:b/>
          <w:bCs/>
          <w:noProof/>
        </w:rPr>
      </w:pPr>
      <w:r w:rsidRPr="00726D52">
        <w:rPr>
          <w:b/>
          <w:bCs/>
          <w:noProof/>
        </w:rPr>
        <w:t>Impact on national authorities (+)</w:t>
      </w:r>
    </w:p>
    <w:p w14:paraId="69DC8D4D" w14:textId="77777777" w:rsidR="000A268D" w:rsidRPr="00726D52" w:rsidRDefault="000A268D" w:rsidP="000A268D">
      <w:pPr>
        <w:rPr>
          <w:rFonts w:eastAsia="Times New Roman"/>
          <w:noProof/>
          <w:color w:val="000000" w:themeColor="text1"/>
        </w:rPr>
      </w:pPr>
      <w:r w:rsidRPr="00726D52">
        <w:rPr>
          <w:noProof/>
        </w:rPr>
        <w:t xml:space="preserve">These measures would overall reinforce the information at disposal of Europol and Eurojust and thus the support they can provide to national authorities, albeit moderately. The national authorities of EU Member States would be able to continue relying on SIRIUS’ </w:t>
      </w:r>
      <w:r w:rsidRPr="00726D52">
        <w:rPr>
          <w:rFonts w:eastAsia="Times New Roman"/>
          <w:noProof/>
          <w:color w:val="000000" w:themeColor="text1"/>
        </w:rPr>
        <w:t xml:space="preserve">knowledge and expertise to successfully obtain critical electronic evidence for criminal investigations and prosecutions, namely in a permanent manner. </w:t>
      </w:r>
    </w:p>
    <w:p w14:paraId="4D25B636" w14:textId="77777777" w:rsidR="000A268D" w:rsidRPr="00726D52" w:rsidRDefault="000A268D" w:rsidP="009502B2">
      <w:pPr>
        <w:pStyle w:val="Heading4"/>
        <w:numPr>
          <w:ilvl w:val="0"/>
          <w:numId w:val="31"/>
        </w:numPr>
        <w:tabs>
          <w:tab w:val="num" w:pos="360"/>
        </w:tabs>
        <w:ind w:left="0" w:firstLine="0"/>
        <w:rPr>
          <w:b/>
          <w:bCs/>
          <w:noProof/>
        </w:rPr>
      </w:pPr>
      <w:r w:rsidRPr="00726D52">
        <w:rPr>
          <w:b/>
          <w:bCs/>
          <w:noProof/>
        </w:rPr>
        <w:t>Impact on fundamental rights (+)</w:t>
      </w:r>
    </w:p>
    <w:p w14:paraId="3ACC1D65" w14:textId="03C0080E" w:rsidR="000A268D" w:rsidRPr="00726D52" w:rsidRDefault="000A268D" w:rsidP="000A268D">
      <w:pPr>
        <w:rPr>
          <w:noProof/>
        </w:rPr>
      </w:pPr>
      <w:r w:rsidRPr="00726D52">
        <w:rPr>
          <w:noProof/>
        </w:rPr>
        <w:t>These measures would have a positive impact on fundamental rights insofar as it would ultimately help strengthen the EU Member States’ statehood against criminal threats, prompting Member States’ concrete ability to respect, promote and fulfil human rights under international and EU law.</w:t>
      </w:r>
    </w:p>
    <w:p w14:paraId="4390751F" w14:textId="77777777" w:rsidR="000A268D" w:rsidRPr="00726D52" w:rsidRDefault="000A268D" w:rsidP="009502B2">
      <w:pPr>
        <w:pStyle w:val="Heading4"/>
        <w:numPr>
          <w:ilvl w:val="0"/>
          <w:numId w:val="82"/>
        </w:numPr>
        <w:rPr>
          <w:b/>
          <w:noProof/>
        </w:rPr>
      </w:pPr>
      <w:r w:rsidRPr="00726D52">
        <w:rPr>
          <w:b/>
          <w:noProof/>
        </w:rPr>
        <w:t>Objective of general interest (+)</w:t>
      </w:r>
    </w:p>
    <w:p w14:paraId="17EA0067" w14:textId="77777777" w:rsidR="000A268D" w:rsidRPr="00726D52" w:rsidRDefault="000A268D" w:rsidP="000A268D">
      <w:pPr>
        <w:rPr>
          <w:noProof/>
        </w:rPr>
      </w:pPr>
      <w:r w:rsidRPr="00726D52">
        <w:rPr>
          <w:noProof/>
        </w:rPr>
        <w:t>These measures make a positive contribution to an objective of general interest (+), namely the EU-level fight against organised crime and cybercrime, by strengthening the continuum of EU-level support through Europol and judicial cooperation through Eurojust.</w:t>
      </w:r>
    </w:p>
    <w:p w14:paraId="071E369B" w14:textId="77777777" w:rsidR="000A268D" w:rsidRPr="00726D52" w:rsidRDefault="000A268D" w:rsidP="009502B2">
      <w:pPr>
        <w:pStyle w:val="Heading4"/>
        <w:numPr>
          <w:ilvl w:val="0"/>
          <w:numId w:val="82"/>
        </w:numPr>
        <w:rPr>
          <w:b/>
          <w:noProof/>
        </w:rPr>
      </w:pPr>
      <w:r w:rsidRPr="00726D52">
        <w:rPr>
          <w:b/>
          <w:noProof/>
        </w:rPr>
        <w:t>Data protection (0)</w:t>
      </w:r>
    </w:p>
    <w:p w14:paraId="2D217ADA" w14:textId="77777777" w:rsidR="000A268D" w:rsidRPr="00726D52" w:rsidRDefault="000A268D" w:rsidP="000A268D">
      <w:pPr>
        <w:rPr>
          <w:rFonts w:eastAsia="Times New Roman"/>
          <w:bCs/>
          <w:i/>
          <w:noProof/>
        </w:rPr>
      </w:pPr>
      <w:r w:rsidRPr="00726D52">
        <w:rPr>
          <w:rFonts w:eastAsia="Times New Roman"/>
          <w:bCs/>
          <w:i/>
          <w:noProof/>
        </w:rPr>
        <w:t>Necessity and proportionality</w:t>
      </w:r>
    </w:p>
    <w:p w14:paraId="7872CCEA" w14:textId="77777777" w:rsidR="000A268D" w:rsidRPr="00726D52" w:rsidRDefault="000A268D" w:rsidP="000A268D">
      <w:pPr>
        <w:rPr>
          <w:rFonts w:eastAsia="Times New Roman"/>
          <w:noProof/>
          <w:highlight w:val="yellow"/>
        </w:rPr>
      </w:pPr>
      <w:r w:rsidRPr="00726D52">
        <w:rPr>
          <w:rFonts w:eastAsia="Times New Roman"/>
          <w:noProof/>
        </w:rPr>
        <w:t xml:space="preserve">These measures are necessary to strengthen the continuum of EU-level support through Europol and judicial cooperation through Eurojust. Upgrading the existing hit/no-hit mechanism through the introduction of automated processes is necessary to improve indirect information exchange between Europol and Eurojust. Introducing Institutionalising the mission of the SIRIUS project within the Europol Regulation is necessary to ensure the long-term financial sustainability and permanent support for the national authorities of the EU Member States according to their needs. Therefore, these measures </w:t>
      </w:r>
      <w:r w:rsidRPr="00726D52">
        <w:rPr>
          <w:rFonts w:eastAsia="Times New Roman"/>
          <w:b/>
          <w:noProof/>
        </w:rPr>
        <w:t>respect the principles of necessity and proportionality</w:t>
      </w:r>
      <w:r w:rsidRPr="00726D52">
        <w:rPr>
          <w:rFonts w:eastAsia="Times New Roman"/>
          <w:noProof/>
        </w:rPr>
        <w:t>.</w:t>
      </w:r>
    </w:p>
    <w:p w14:paraId="672C3766" w14:textId="77777777" w:rsidR="000A268D" w:rsidRPr="00726D52" w:rsidRDefault="000A268D" w:rsidP="009502B2">
      <w:pPr>
        <w:pStyle w:val="Heading4"/>
        <w:numPr>
          <w:ilvl w:val="0"/>
          <w:numId w:val="31"/>
        </w:numPr>
        <w:tabs>
          <w:tab w:val="num" w:pos="360"/>
        </w:tabs>
        <w:ind w:left="0" w:firstLine="0"/>
        <w:rPr>
          <w:b/>
          <w:bCs/>
          <w:noProof/>
        </w:rPr>
      </w:pPr>
      <w:r w:rsidRPr="00726D52">
        <w:rPr>
          <w:b/>
          <w:bCs/>
          <w:noProof/>
        </w:rPr>
        <w:t>Costs (+)</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790"/>
        <w:gridCol w:w="2790"/>
        <w:gridCol w:w="2790"/>
      </w:tblGrid>
      <w:tr w:rsidR="000A268D" w:rsidRPr="00726D52" w14:paraId="7C14AC2B"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265630C7" w14:textId="77777777" w:rsidR="000A268D" w:rsidRPr="00726D52" w:rsidRDefault="000A268D" w:rsidP="00C05BFC">
            <w:pPr>
              <w:rPr>
                <w:noProof/>
              </w:rPr>
            </w:pPr>
          </w:p>
        </w:tc>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539A0B46" w14:textId="77777777" w:rsidR="000A268D" w:rsidRPr="00726D52" w:rsidRDefault="000A268D" w:rsidP="00C05BFC">
            <w:pPr>
              <w:jc w:val="center"/>
              <w:rPr>
                <w:b/>
                <w:bCs/>
                <w:i/>
                <w:iCs/>
                <w:noProof/>
              </w:rPr>
            </w:pPr>
            <w:r w:rsidRPr="00726D52">
              <w:rPr>
                <w:b/>
                <w:bCs/>
                <w:i/>
                <w:iCs/>
                <w:noProof/>
              </w:rPr>
              <w:t>Member States activities</w:t>
            </w:r>
          </w:p>
        </w:tc>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57AF531F" w14:textId="77777777" w:rsidR="000A268D" w:rsidRPr="00726D52" w:rsidRDefault="000A268D" w:rsidP="00C05BFC">
            <w:pPr>
              <w:jc w:val="center"/>
              <w:rPr>
                <w:b/>
                <w:bCs/>
                <w:i/>
                <w:iCs/>
                <w:noProof/>
              </w:rPr>
            </w:pPr>
            <w:r w:rsidRPr="00726D52">
              <w:rPr>
                <w:b/>
                <w:bCs/>
                <w:i/>
                <w:iCs/>
                <w:noProof/>
              </w:rPr>
              <w:t>EU activities</w:t>
            </w:r>
          </w:p>
        </w:tc>
      </w:tr>
      <w:tr w:rsidR="000A268D" w:rsidRPr="00726D52" w14:paraId="036EEEB5"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01DDAA4" w14:textId="77777777" w:rsidR="000A268D" w:rsidRPr="00726D52" w:rsidRDefault="000A268D" w:rsidP="00C05BFC">
            <w:pPr>
              <w:rPr>
                <w:b/>
                <w:bCs/>
                <w:i/>
                <w:iCs/>
                <w:noProof/>
              </w:rPr>
            </w:pPr>
            <w:r w:rsidRPr="00726D52">
              <w:rPr>
                <w:b/>
                <w:bCs/>
                <w:i/>
                <w:iCs/>
                <w:noProof/>
              </w:rPr>
              <w:t>Direct costs</w:t>
            </w: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459AA81" w14:textId="77777777" w:rsidR="000A268D" w:rsidRPr="00726D52" w:rsidRDefault="000A268D" w:rsidP="00C05BFC">
            <w:pPr>
              <w:jc w:val="center"/>
              <w:rPr>
                <w:noProof/>
              </w:rPr>
            </w:pP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0EEF0A68" w14:textId="77777777" w:rsidR="000A268D" w:rsidRPr="00726D52" w:rsidRDefault="000A268D" w:rsidP="00C05BFC">
            <w:pPr>
              <w:jc w:val="center"/>
              <w:rPr>
                <w:noProof/>
              </w:rPr>
            </w:pPr>
          </w:p>
        </w:tc>
      </w:tr>
      <w:tr w:rsidR="000A268D" w:rsidRPr="00726D52" w14:paraId="78B0A08D" w14:textId="77777777" w:rsidTr="00C05BFC">
        <w:trPr>
          <w:trHeight w:val="825"/>
        </w:trPr>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51C84EB3" w14:textId="77777777" w:rsidR="000A268D" w:rsidRPr="00726D52" w:rsidRDefault="000A268D" w:rsidP="00C05BFC">
            <w:pPr>
              <w:rPr>
                <w:noProof/>
              </w:rPr>
            </w:pPr>
            <w:r w:rsidRPr="00726D52">
              <w:rPr>
                <w:noProof/>
              </w:rPr>
              <w:lastRenderedPageBreak/>
              <w:t>Expected one-off costs (in million EUR)</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0C8004AB" w14:textId="77777777" w:rsidR="000A268D" w:rsidRPr="00726D52" w:rsidRDefault="000A268D" w:rsidP="00C05BFC">
            <w:pPr>
              <w:jc w:val="center"/>
              <w:rPr>
                <w:noProof/>
              </w:rPr>
            </w:pPr>
            <w:r w:rsidRPr="00726D52">
              <w:rPr>
                <w:noProof/>
              </w:rPr>
              <w:t>0</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263FCD38" w14:textId="77777777" w:rsidR="000A268D" w:rsidRPr="00726D52" w:rsidRDefault="000A268D" w:rsidP="00C05BFC">
            <w:pPr>
              <w:jc w:val="center"/>
              <w:rPr>
                <w:noProof/>
              </w:rPr>
            </w:pPr>
            <w:r w:rsidRPr="00726D52">
              <w:rPr>
                <w:noProof/>
              </w:rPr>
              <w:t>2</w:t>
            </w:r>
          </w:p>
        </w:tc>
      </w:tr>
      <w:tr w:rsidR="000A268D" w:rsidRPr="00726D52" w14:paraId="55EFB3A2"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2B0C3ECE" w14:textId="77777777" w:rsidR="000A268D" w:rsidRPr="00726D52" w:rsidRDefault="000A268D" w:rsidP="00C05BFC">
            <w:pPr>
              <w:rPr>
                <w:noProof/>
              </w:rPr>
            </w:pPr>
            <w:r w:rsidRPr="00726D52">
              <w:rPr>
                <w:noProof/>
              </w:rPr>
              <w:t>Expected yearly recurring costs (in million EUR)</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0FD228CD" w14:textId="77777777" w:rsidR="000A268D" w:rsidRPr="00726D52" w:rsidRDefault="000A268D" w:rsidP="00C05BFC">
            <w:pPr>
              <w:jc w:val="center"/>
              <w:rPr>
                <w:noProof/>
              </w:rPr>
            </w:pPr>
            <w:r w:rsidRPr="00726D52">
              <w:rPr>
                <w:noProof/>
              </w:rPr>
              <w:t>0</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0C73EA49" w14:textId="77777777" w:rsidR="000A268D" w:rsidRPr="00726D52" w:rsidRDefault="000A268D" w:rsidP="00C05BFC">
            <w:pPr>
              <w:jc w:val="center"/>
              <w:rPr>
                <w:noProof/>
              </w:rPr>
            </w:pPr>
            <w:r w:rsidRPr="00726D52">
              <w:rPr>
                <w:noProof/>
              </w:rPr>
              <w:t>1</w:t>
            </w:r>
          </w:p>
        </w:tc>
      </w:tr>
    </w:tbl>
    <w:p w14:paraId="51CC1E15" w14:textId="77777777" w:rsidR="00495928" w:rsidRPr="00726D52" w:rsidRDefault="00495928" w:rsidP="000A268D">
      <w:pPr>
        <w:rPr>
          <w:rFonts w:eastAsia="Times New Roman"/>
          <w:noProof/>
          <w:color w:val="000000" w:themeColor="text1"/>
        </w:rPr>
      </w:pPr>
    </w:p>
    <w:p w14:paraId="67CB21C5" w14:textId="2958E168" w:rsidR="000A268D" w:rsidRPr="00726D52" w:rsidRDefault="000A268D" w:rsidP="000A268D">
      <w:pPr>
        <w:rPr>
          <w:rFonts w:eastAsia="Times New Roman"/>
          <w:noProof/>
          <w:color w:val="000000" w:themeColor="text1"/>
        </w:rPr>
      </w:pPr>
      <w:r w:rsidRPr="00726D52">
        <w:rPr>
          <w:rFonts w:eastAsia="Times New Roman"/>
          <w:noProof/>
          <w:color w:val="000000" w:themeColor="text1"/>
        </w:rPr>
        <w:t>One</w:t>
      </w:r>
      <w:r w:rsidRPr="00726D52">
        <w:rPr>
          <w:rFonts w:eastAsia="Times New Roman"/>
          <w:noProof/>
          <w:color w:val="000000" w:themeColor="text1"/>
        </w:rPr>
        <w:noBreakHyphen/>
        <w:t>off and recurring costs for Member States are expected to be negligible, as the measures focus on Europol–Eurojust cooperation and build on existing infrastructure, workflows, and personnel. Costs at EU level reflect Europol and Eurojust staffing for the SIRIUS project and the hit/no-hit mechanism, with modest adjustments for institutionalisation and light automation, generating efficiency gains by reducing manual exchanges and improving operational timeliness.</w:t>
      </w:r>
    </w:p>
    <w:p w14:paraId="76DB6D30" w14:textId="77777777" w:rsidR="000A268D" w:rsidRPr="00726D52" w:rsidRDefault="000A268D" w:rsidP="009502B2">
      <w:pPr>
        <w:pStyle w:val="Heading4"/>
        <w:numPr>
          <w:ilvl w:val="0"/>
          <w:numId w:val="31"/>
        </w:numPr>
        <w:tabs>
          <w:tab w:val="num" w:pos="360"/>
        </w:tabs>
        <w:ind w:left="0" w:firstLine="0"/>
        <w:rPr>
          <w:b/>
          <w:bCs/>
          <w:noProof/>
        </w:rPr>
      </w:pPr>
      <w:r w:rsidRPr="00726D52">
        <w:rPr>
          <w:b/>
          <w:bCs/>
          <w:noProof/>
        </w:rPr>
        <w:t>Feasibility (+)</w:t>
      </w:r>
    </w:p>
    <w:p w14:paraId="5AF8B67C" w14:textId="77777777" w:rsidR="000A268D" w:rsidRPr="00726D52" w:rsidRDefault="000A268D" w:rsidP="000A268D">
      <w:pPr>
        <w:rPr>
          <w:i/>
          <w:iCs/>
          <w:noProof/>
        </w:rPr>
      </w:pPr>
      <w:r w:rsidRPr="00726D52">
        <w:rPr>
          <w:i/>
          <w:iCs/>
          <w:noProof/>
        </w:rPr>
        <w:t>Technical feasibility</w:t>
      </w:r>
    </w:p>
    <w:p w14:paraId="127D8A31" w14:textId="77777777" w:rsidR="000A268D" w:rsidRPr="00726D52" w:rsidRDefault="000A268D" w:rsidP="000A268D">
      <w:pPr>
        <w:spacing w:after="0"/>
        <w:ind w:left="58" w:right="58"/>
        <w:rPr>
          <w:rFonts w:eastAsia="Times New Roman"/>
          <w:noProof/>
          <w:highlight w:val="yellow"/>
        </w:rPr>
      </w:pPr>
      <w:r w:rsidRPr="00726D52">
        <w:rPr>
          <w:rFonts w:eastAsia="Times New Roman"/>
          <w:noProof/>
        </w:rPr>
        <w:t>From a legal perspective, the institutionalisation of SIRIUS would require amending the Europol and Eurojust Regulations regarding their tasks. Article 4 of the Europol Regulation already provides a broad mandate for Europol to support Member States through expertise, training, operational coordination and facilitation of cooperation with private parties. A legislative clarification explicitly mandating Europol to provide structured support on cross-border access to electronic evidence, including cooperation with Eurojust, service providers and third countries, would provide legal certainty, stable governance and budgetary predictability.</w:t>
      </w:r>
      <w:r w:rsidRPr="00726D52">
        <w:rPr>
          <w:rFonts w:eastAsia="Times New Roman"/>
          <w:noProof/>
          <w:color w:val="000000" w:themeColor="text1"/>
        </w:rPr>
        <w:t xml:space="preserve"> For the hit/no-hit automation component, both Regulations foresee indirect access to information on a hit/no-hit basis. The current limitations are related to implementation modalities. From a technical perspective, feasibility remains strong.</w:t>
      </w:r>
    </w:p>
    <w:p w14:paraId="752B36CA" w14:textId="77777777" w:rsidR="000A268D" w:rsidRPr="00726D52" w:rsidRDefault="000A268D" w:rsidP="000A268D">
      <w:pPr>
        <w:spacing w:after="0"/>
        <w:ind w:left="58" w:right="58"/>
        <w:rPr>
          <w:rFonts w:eastAsia="Times New Roman"/>
          <w:noProof/>
          <w:color w:val="000000" w:themeColor="text1"/>
        </w:rPr>
      </w:pPr>
    </w:p>
    <w:p w14:paraId="15E1DE0B" w14:textId="77777777" w:rsidR="000A268D" w:rsidRPr="00726D52" w:rsidRDefault="000A268D" w:rsidP="000A268D">
      <w:pPr>
        <w:rPr>
          <w:rFonts w:eastAsia="Times New Roman"/>
          <w:i/>
          <w:iCs/>
          <w:noProof/>
        </w:rPr>
      </w:pPr>
      <w:r w:rsidRPr="00726D52">
        <w:rPr>
          <w:rFonts w:eastAsia="Times New Roman"/>
          <w:i/>
          <w:iCs/>
          <w:noProof/>
        </w:rPr>
        <w:t>Political feasibility</w:t>
      </w:r>
    </w:p>
    <w:p w14:paraId="23C83F9C" w14:textId="1EAAFA86" w:rsidR="000A268D" w:rsidRPr="00726D52" w:rsidRDefault="000A268D" w:rsidP="00495928">
      <w:pPr>
        <w:spacing w:after="0"/>
        <w:ind w:left="58" w:right="58"/>
        <w:rPr>
          <w:rFonts w:eastAsia="Times New Roman"/>
          <w:noProof/>
        </w:rPr>
      </w:pPr>
      <w:r w:rsidRPr="00726D52">
        <w:rPr>
          <w:rFonts w:eastAsia="Times New Roman"/>
          <w:noProof/>
          <w:color w:val="000000" w:themeColor="text1"/>
        </w:rPr>
        <w:t>From a political perspective, feasibility is high. The SIRIUS EU Electronic Evidence Situation Report 2024 confirms sustained and growing operational demand for EU-level support in accessing electronic evidence.</w:t>
      </w:r>
      <w:r w:rsidRPr="00726D52">
        <w:rPr>
          <w:rFonts w:eastAsia="Times New Roman"/>
          <w:noProof/>
          <w:color w:val="000000" w:themeColor="text1"/>
          <w:vertAlign w:val="superscript"/>
        </w:rPr>
        <w:footnoteReference w:id="235"/>
      </w:r>
      <w:r w:rsidRPr="00726D52">
        <w:rPr>
          <w:rFonts w:eastAsia="Times New Roman"/>
          <w:noProof/>
          <w:color w:val="000000" w:themeColor="text1"/>
        </w:rPr>
        <w:t xml:space="preserve"> In 2023 alone, competent authorities submitted 266,855 cross-border data disclosure requests to major online service providers, representing a 22% increase compared to 2022, demonstrating the scale and structural nature of demand.</w:t>
      </w:r>
      <w:r w:rsidRPr="00726D52">
        <w:rPr>
          <w:rFonts w:eastAsia="Times New Roman"/>
          <w:noProof/>
          <w:color w:val="000000" w:themeColor="text1"/>
          <w:vertAlign w:val="superscript"/>
        </w:rPr>
        <w:footnoteReference w:id="236"/>
      </w:r>
      <w:r w:rsidRPr="00726D52">
        <w:rPr>
          <w:rFonts w:eastAsia="Times New Roman"/>
          <w:noProof/>
          <w:color w:val="000000" w:themeColor="text1"/>
        </w:rPr>
        <w:t xml:space="preserve"> </w:t>
      </w:r>
      <w:r w:rsidRPr="00726D52">
        <w:rPr>
          <w:rFonts w:eastAsia="Times New Roman"/>
          <w:noProof/>
        </w:rPr>
        <w:t>Feedback collected in the 2024 report from law enforcement, judicial authorities and service providers highlights the value of centralised expertise, Single Points of Contact (SPoCs) and structured dialogue with private companies.</w:t>
      </w:r>
      <w:r w:rsidRPr="00726D52">
        <w:rPr>
          <w:rFonts w:eastAsia="Times New Roman"/>
          <w:noProof/>
          <w:vertAlign w:val="superscript"/>
        </w:rPr>
        <w:footnoteReference w:id="237"/>
      </w:r>
      <w:r w:rsidRPr="00726D52">
        <w:rPr>
          <w:rFonts w:eastAsia="Times New Roman"/>
          <w:noProof/>
          <w:vertAlign w:val="superscript"/>
        </w:rPr>
        <w:t xml:space="preserve"> </w:t>
      </w:r>
      <w:r w:rsidRPr="00726D52">
        <w:rPr>
          <w:rFonts w:eastAsia="Times New Roman"/>
          <w:noProof/>
        </w:rPr>
        <w:t xml:space="preserve">Service providers also emphasised the importance of predictable engagement and harmonised practices, indicating that institutionalisation would enhance </w:t>
      </w:r>
      <w:r w:rsidRPr="00726D52">
        <w:rPr>
          <w:rFonts w:eastAsia="Times New Roman"/>
          <w:noProof/>
        </w:rPr>
        <w:lastRenderedPageBreak/>
        <w:t>legal certainty rather than create new burdens.</w:t>
      </w:r>
      <w:r w:rsidRPr="00726D52">
        <w:rPr>
          <w:rFonts w:eastAsia="Times New Roman"/>
          <w:noProof/>
          <w:vertAlign w:val="superscript"/>
        </w:rPr>
        <w:footnoteReference w:id="238"/>
      </w:r>
      <w:r w:rsidRPr="00726D52">
        <w:rPr>
          <w:rFonts w:eastAsia="Times New Roman"/>
          <w:noProof/>
        </w:rPr>
        <w:t xml:space="preserve"> These stakeholder views demonstrate broad operational acceptance and support across law enforcement, judiciary and private sector actors, reinforcing the political feasibility of embedding SIRIUS permanently within the Europol and Eurojust mandates. </w:t>
      </w:r>
    </w:p>
    <w:p w14:paraId="2D3E8B5F" w14:textId="77777777" w:rsidR="00495928" w:rsidRPr="00726D52" w:rsidRDefault="00495928" w:rsidP="00495928">
      <w:pPr>
        <w:spacing w:after="0"/>
        <w:ind w:left="58" w:right="58"/>
        <w:rPr>
          <w:rStyle w:val="Strong"/>
          <w:rFonts w:eastAsia="Times New Roman"/>
          <w:b w:val="0"/>
          <w:bCs w:val="0"/>
          <w:noProof/>
        </w:rPr>
      </w:pPr>
    </w:p>
    <w:p w14:paraId="543D186A" w14:textId="77777777" w:rsidR="000A268D" w:rsidRPr="00726D52" w:rsidRDefault="000A268D" w:rsidP="009502B2">
      <w:pPr>
        <w:pStyle w:val="Heading4"/>
        <w:numPr>
          <w:ilvl w:val="0"/>
          <w:numId w:val="31"/>
        </w:numPr>
        <w:tabs>
          <w:tab w:val="num" w:pos="360"/>
        </w:tabs>
        <w:ind w:left="0" w:firstLine="0"/>
        <w:rPr>
          <w:b/>
          <w:bCs/>
          <w:noProof/>
        </w:rPr>
      </w:pPr>
      <w:r w:rsidRPr="00726D52">
        <w:rPr>
          <w:b/>
          <w:bCs/>
          <w:noProof/>
        </w:rPr>
        <w:t>Impact on digitalisation (0)</w:t>
      </w:r>
    </w:p>
    <w:p w14:paraId="46DE850E" w14:textId="77777777" w:rsidR="000A268D" w:rsidRPr="00726D52" w:rsidRDefault="000A268D" w:rsidP="000A268D">
      <w:pPr>
        <w:spacing w:before="240"/>
        <w:rPr>
          <w:noProof/>
        </w:rPr>
      </w:pPr>
      <w:r w:rsidRPr="00726D52">
        <w:rPr>
          <w:noProof/>
        </w:rPr>
        <w:t>This measure would have no to positive impacts on digitalisation depending on whether implementation maintains the current level or increases the digital delivery of services.</w:t>
      </w:r>
    </w:p>
    <w:p w14:paraId="61A34F2A" w14:textId="77777777" w:rsidR="000A268D" w:rsidRPr="00726D52" w:rsidRDefault="000A268D" w:rsidP="009502B2">
      <w:pPr>
        <w:pStyle w:val="Heading3"/>
        <w:numPr>
          <w:ilvl w:val="1"/>
          <w:numId w:val="80"/>
        </w:numPr>
        <w:tabs>
          <w:tab w:val="clear" w:pos="9007"/>
        </w:tabs>
        <w:rPr>
          <w:b/>
          <w:bCs/>
          <w:noProof/>
        </w:rPr>
      </w:pPr>
      <w:r w:rsidRPr="00726D52">
        <w:rPr>
          <w:b/>
          <w:bCs/>
          <w:noProof/>
          <w:u w:val="single"/>
        </w:rPr>
        <w:t>Policy option 1.4</w:t>
      </w:r>
      <w:r w:rsidRPr="00726D52">
        <w:rPr>
          <w:b/>
          <w:bCs/>
          <w:noProof/>
        </w:rPr>
        <w:t>: Europol digital platforms embedded in national investigations</w:t>
      </w:r>
    </w:p>
    <w:p w14:paraId="5120D95F" w14:textId="77777777" w:rsidR="000A268D" w:rsidRPr="00726D52" w:rsidRDefault="000A268D" w:rsidP="009502B2">
      <w:pPr>
        <w:pStyle w:val="Heading4"/>
        <w:numPr>
          <w:ilvl w:val="0"/>
          <w:numId w:val="25"/>
        </w:numPr>
        <w:tabs>
          <w:tab w:val="num" w:pos="360"/>
        </w:tabs>
        <w:ind w:left="0" w:firstLine="0"/>
        <w:rPr>
          <w:b/>
          <w:noProof/>
        </w:rPr>
      </w:pPr>
      <w:r w:rsidRPr="00726D52">
        <w:rPr>
          <w:b/>
          <w:noProof/>
        </w:rPr>
        <w:t>Impact on citizens (++)</w:t>
      </w:r>
    </w:p>
    <w:p w14:paraId="743FE68D" w14:textId="696670CE" w:rsidR="000A268D" w:rsidRPr="00726D52" w:rsidRDefault="000A268D" w:rsidP="000A268D">
      <w:pPr>
        <w:rPr>
          <w:noProof/>
        </w:rPr>
      </w:pPr>
      <w:r w:rsidRPr="00726D52">
        <w:rPr>
          <w:noProof/>
        </w:rPr>
        <w:t xml:space="preserve">This option has a </w:t>
      </w:r>
      <w:r w:rsidRPr="00726D52">
        <w:rPr>
          <w:rStyle w:val="Strong"/>
          <w:noProof/>
        </w:rPr>
        <w:t>very positive impact on citizens</w:t>
      </w:r>
      <w:r w:rsidRPr="00726D52">
        <w:rPr>
          <w:noProof/>
        </w:rPr>
        <w:t xml:space="preserve"> by reducing the risk of </w:t>
      </w:r>
      <w:r w:rsidRPr="00726D52">
        <w:rPr>
          <w:b/>
          <w:bCs/>
          <w:noProof/>
        </w:rPr>
        <w:t>undetected cross-border criminal links</w:t>
      </w:r>
      <w:r w:rsidRPr="00726D52">
        <w:rPr>
          <w:noProof/>
        </w:rPr>
        <w:t xml:space="preserve">. Integrating national </w:t>
      </w:r>
      <w:r w:rsidRPr="00726D52">
        <w:rPr>
          <w:b/>
          <w:bCs/>
          <w:noProof/>
        </w:rPr>
        <w:t>CMS with Europol platforms</w:t>
      </w:r>
      <w:r w:rsidRPr="00726D52">
        <w:rPr>
          <w:noProof/>
        </w:rPr>
        <w:t xml:space="preserve"> and requiring targeted consultation in serious cases embeds checks into everyday workflows, enabling </w:t>
      </w:r>
      <w:r w:rsidRPr="00726D52">
        <w:rPr>
          <w:b/>
          <w:bCs/>
          <w:noProof/>
        </w:rPr>
        <w:t>earlier detection</w:t>
      </w:r>
      <w:r w:rsidRPr="00726D52">
        <w:rPr>
          <w:noProof/>
        </w:rPr>
        <w:t xml:space="preserve">, reducing blind spots, and improving </w:t>
      </w:r>
      <w:r w:rsidRPr="00726D52">
        <w:rPr>
          <w:b/>
          <w:bCs/>
          <w:noProof/>
        </w:rPr>
        <w:t>Member State coordination</w:t>
      </w:r>
      <w:r w:rsidRPr="00726D52">
        <w:rPr>
          <w:noProof/>
        </w:rPr>
        <w:t xml:space="preserve">, thereby enhancing overall </w:t>
      </w:r>
      <w:r w:rsidRPr="00726D52">
        <w:rPr>
          <w:b/>
          <w:bCs/>
          <w:noProof/>
        </w:rPr>
        <w:t>citizen security</w:t>
      </w:r>
      <w:r w:rsidRPr="00726D52">
        <w:rPr>
          <w:noProof/>
        </w:rPr>
        <w:t>.</w:t>
      </w:r>
    </w:p>
    <w:p w14:paraId="527CB5A5" w14:textId="77777777" w:rsidR="000A268D" w:rsidRPr="00726D52" w:rsidRDefault="000A268D" w:rsidP="009502B2">
      <w:pPr>
        <w:pStyle w:val="Heading4"/>
        <w:numPr>
          <w:ilvl w:val="0"/>
          <w:numId w:val="25"/>
        </w:numPr>
        <w:tabs>
          <w:tab w:val="num" w:pos="360"/>
        </w:tabs>
        <w:ind w:left="0" w:firstLine="0"/>
        <w:rPr>
          <w:b/>
          <w:noProof/>
        </w:rPr>
      </w:pPr>
      <w:r w:rsidRPr="00726D52">
        <w:rPr>
          <w:b/>
          <w:noProof/>
        </w:rPr>
        <w:t>Impact on national authorities (+)</w:t>
      </w:r>
    </w:p>
    <w:p w14:paraId="15514FB0" w14:textId="77777777" w:rsidR="000A268D" w:rsidRPr="00726D52" w:rsidRDefault="000A268D" w:rsidP="000A268D">
      <w:pPr>
        <w:rPr>
          <w:noProof/>
        </w:rPr>
      </w:pPr>
      <w:r w:rsidRPr="00726D52">
        <w:rPr>
          <w:noProof/>
        </w:rPr>
        <w:t xml:space="preserve">This option benefits </w:t>
      </w:r>
      <w:r w:rsidRPr="00726D52">
        <w:rPr>
          <w:b/>
          <w:bCs/>
          <w:noProof/>
        </w:rPr>
        <w:t>national authorities</w:t>
      </w:r>
      <w:r w:rsidRPr="00726D52">
        <w:rPr>
          <w:noProof/>
        </w:rPr>
        <w:t xml:space="preserve"> by embedding Europol support directly into </w:t>
      </w:r>
      <w:r w:rsidRPr="00726D52">
        <w:rPr>
          <w:b/>
          <w:bCs/>
          <w:noProof/>
        </w:rPr>
        <w:t>CMS workflows</w:t>
      </w:r>
      <w:r w:rsidRPr="00726D52">
        <w:rPr>
          <w:noProof/>
        </w:rPr>
        <w:t xml:space="preserve">, allowing investigators to consult platforms and receive </w:t>
      </w:r>
      <w:r w:rsidRPr="00726D52">
        <w:rPr>
          <w:b/>
          <w:bCs/>
          <w:noProof/>
        </w:rPr>
        <w:t>analytical feedback</w:t>
      </w:r>
      <w:r w:rsidRPr="00726D52">
        <w:rPr>
          <w:noProof/>
        </w:rPr>
        <w:t xml:space="preserve"> within their national environment. Targeted consultation in serious cross-border cases ensures EU-level information is systematically used, preventing missed links and supporting early de-confliction. </w:t>
      </w:r>
      <w:r w:rsidRPr="00726D52">
        <w:rPr>
          <w:b/>
          <w:bCs/>
          <w:noProof/>
        </w:rPr>
        <w:t>National authorities retain full control</w:t>
      </w:r>
      <w:r w:rsidRPr="00726D52">
        <w:rPr>
          <w:noProof/>
        </w:rPr>
        <w:t xml:space="preserve"> while gaining </w:t>
      </w:r>
      <w:r w:rsidRPr="00726D52">
        <w:rPr>
          <w:b/>
          <w:bCs/>
          <w:noProof/>
        </w:rPr>
        <w:t>enhanced situational awareness</w:t>
      </w:r>
      <w:r w:rsidRPr="00726D52">
        <w:rPr>
          <w:noProof/>
        </w:rPr>
        <w:t xml:space="preserve"> and more consistent analytical support.</w:t>
      </w:r>
    </w:p>
    <w:p w14:paraId="6B6AD71F" w14:textId="77777777" w:rsidR="000A268D" w:rsidRPr="00726D52" w:rsidRDefault="000A268D" w:rsidP="009502B2">
      <w:pPr>
        <w:pStyle w:val="Heading4"/>
        <w:numPr>
          <w:ilvl w:val="0"/>
          <w:numId w:val="25"/>
        </w:numPr>
        <w:tabs>
          <w:tab w:val="num" w:pos="360"/>
        </w:tabs>
        <w:ind w:left="0" w:firstLine="0"/>
        <w:rPr>
          <w:b/>
          <w:noProof/>
        </w:rPr>
      </w:pPr>
      <w:r w:rsidRPr="00726D52">
        <w:rPr>
          <w:b/>
          <w:noProof/>
        </w:rPr>
        <w:t xml:space="preserve">Impact on fundamental rights </w:t>
      </w:r>
    </w:p>
    <w:p w14:paraId="7CCBA556" w14:textId="77777777" w:rsidR="000A268D" w:rsidRPr="00726D52" w:rsidRDefault="000A268D" w:rsidP="009502B2">
      <w:pPr>
        <w:pStyle w:val="Heading4"/>
        <w:numPr>
          <w:ilvl w:val="0"/>
          <w:numId w:val="83"/>
        </w:numPr>
        <w:rPr>
          <w:b/>
          <w:noProof/>
        </w:rPr>
      </w:pPr>
      <w:r w:rsidRPr="00726D52">
        <w:rPr>
          <w:b/>
          <w:noProof/>
        </w:rPr>
        <w:t>Objective of general interest (++)</w:t>
      </w:r>
    </w:p>
    <w:p w14:paraId="2B92D5CB" w14:textId="30C8D9D3" w:rsidR="000A268D" w:rsidRPr="00726D52" w:rsidRDefault="000A268D" w:rsidP="000A268D">
      <w:pPr>
        <w:rPr>
          <w:noProof/>
        </w:rPr>
      </w:pPr>
      <w:r w:rsidRPr="00726D52">
        <w:rPr>
          <w:noProof/>
        </w:rPr>
        <w:t xml:space="preserve">This option makes a </w:t>
      </w:r>
      <w:r w:rsidRPr="00726D52">
        <w:rPr>
          <w:rStyle w:val="Strong"/>
          <w:noProof/>
        </w:rPr>
        <w:t>strong positive contribution to an objective of general interest, i.e.</w:t>
      </w:r>
      <w:r w:rsidRPr="00726D52">
        <w:rPr>
          <w:noProof/>
        </w:rPr>
        <w:t xml:space="preserve"> the </w:t>
      </w:r>
      <w:r w:rsidRPr="00726D52">
        <w:rPr>
          <w:rStyle w:val="Strong"/>
          <w:noProof/>
        </w:rPr>
        <w:t>prevention and combating of serious crime and terrorism,</w:t>
      </w:r>
      <w:r w:rsidRPr="00726D52">
        <w:rPr>
          <w:noProof/>
        </w:rPr>
        <w:t xml:space="preserve"> by embedding Europol platforms into national workflows and requiring targeted consultation in cross-border cases, ensuring EU-level information is systematically used, reducing fragmentation, closing information gaps, and strengthening </w:t>
      </w:r>
      <w:r w:rsidRPr="00726D52">
        <w:rPr>
          <w:rStyle w:val="Strong"/>
          <w:noProof/>
        </w:rPr>
        <w:t>early detection of criminal networks</w:t>
      </w:r>
      <w:r w:rsidRPr="00726D52">
        <w:rPr>
          <w:noProof/>
        </w:rPr>
        <w:t>.</w:t>
      </w:r>
    </w:p>
    <w:p w14:paraId="3B20A8D5" w14:textId="77777777" w:rsidR="000A268D" w:rsidRPr="00726D52" w:rsidRDefault="000A268D" w:rsidP="009502B2">
      <w:pPr>
        <w:pStyle w:val="Heading4"/>
        <w:numPr>
          <w:ilvl w:val="0"/>
          <w:numId w:val="83"/>
        </w:numPr>
        <w:rPr>
          <w:b/>
          <w:noProof/>
        </w:rPr>
      </w:pPr>
      <w:r w:rsidRPr="00726D52">
        <w:rPr>
          <w:b/>
          <w:noProof/>
        </w:rPr>
        <w:t>Data protection (0)</w:t>
      </w:r>
    </w:p>
    <w:p w14:paraId="6EF9D648" w14:textId="77777777" w:rsidR="000A268D" w:rsidRPr="00726D52" w:rsidRDefault="000A268D" w:rsidP="000A268D">
      <w:pPr>
        <w:rPr>
          <w:rFonts w:eastAsia="Times New Roman"/>
          <w:i/>
          <w:iCs/>
          <w:noProof/>
        </w:rPr>
      </w:pPr>
      <w:r w:rsidRPr="00726D52">
        <w:rPr>
          <w:rFonts w:eastAsia="Times New Roman"/>
          <w:i/>
          <w:iCs/>
          <w:noProof/>
        </w:rPr>
        <w:t>Necessity</w:t>
      </w:r>
    </w:p>
    <w:p w14:paraId="019E7F5F" w14:textId="77777777" w:rsidR="000A268D" w:rsidRPr="00726D52" w:rsidRDefault="000A268D" w:rsidP="000A268D">
      <w:pPr>
        <w:rPr>
          <w:noProof/>
        </w:rPr>
      </w:pPr>
      <w:r w:rsidRPr="00726D52">
        <w:rPr>
          <w:noProof/>
        </w:rPr>
        <w:t xml:space="preserve">The integration of national </w:t>
      </w:r>
      <w:r w:rsidRPr="00726D52">
        <w:rPr>
          <w:b/>
          <w:bCs/>
          <w:noProof/>
        </w:rPr>
        <w:t>CMS with Europol systems</w:t>
      </w:r>
      <w:r w:rsidRPr="00726D52">
        <w:rPr>
          <w:noProof/>
        </w:rPr>
        <w:t xml:space="preserve"> improves workflows and interfaces without creating new data categories, access rights, or processing purposes. A targeted obligation to systematically consult </w:t>
      </w:r>
      <w:r w:rsidRPr="00726D52">
        <w:rPr>
          <w:b/>
          <w:bCs/>
          <w:noProof/>
        </w:rPr>
        <w:t>EIS</w:t>
      </w:r>
      <w:r w:rsidRPr="00726D52">
        <w:rPr>
          <w:noProof/>
        </w:rPr>
        <w:t xml:space="preserve"> in serious cross-border cases addresses </w:t>
      </w:r>
      <w:r w:rsidRPr="00726D52">
        <w:rPr>
          <w:noProof/>
        </w:rPr>
        <w:lastRenderedPageBreak/>
        <w:t xml:space="preserve">operational gaps, ensuring lawfully available information is effectively used. By embedding consultation as a </w:t>
      </w:r>
      <w:r w:rsidRPr="00726D52">
        <w:rPr>
          <w:b/>
          <w:bCs/>
          <w:noProof/>
        </w:rPr>
        <w:t>structured, proportionate step</w:t>
      </w:r>
      <w:r w:rsidRPr="00726D52">
        <w:rPr>
          <w:noProof/>
        </w:rPr>
        <w:t xml:space="preserve">, the measure reduces blind spots, prevents information gaps, and ensures existing </w:t>
      </w:r>
      <w:r w:rsidRPr="00726D52">
        <w:rPr>
          <w:b/>
          <w:bCs/>
          <w:noProof/>
        </w:rPr>
        <w:t>data-sharing mechanisms</w:t>
      </w:r>
      <w:r w:rsidRPr="00726D52">
        <w:rPr>
          <w:noProof/>
        </w:rPr>
        <w:t xml:space="preserve"> function as intended. We therefore conclude that the policy option </w:t>
      </w:r>
      <w:r w:rsidRPr="00726D52">
        <w:rPr>
          <w:b/>
          <w:bCs/>
          <w:noProof/>
        </w:rPr>
        <w:t>respects the principle of necessity</w:t>
      </w:r>
      <w:r w:rsidRPr="00726D52">
        <w:rPr>
          <w:noProof/>
        </w:rPr>
        <w:t>.</w:t>
      </w:r>
    </w:p>
    <w:p w14:paraId="388912B0" w14:textId="77777777" w:rsidR="000A268D" w:rsidRPr="00726D52" w:rsidRDefault="000A268D" w:rsidP="000A268D">
      <w:pPr>
        <w:rPr>
          <w:rFonts w:eastAsia="Times New Roman"/>
          <w:i/>
          <w:iCs/>
          <w:noProof/>
        </w:rPr>
      </w:pPr>
      <w:r w:rsidRPr="00726D52">
        <w:rPr>
          <w:rFonts w:eastAsia="Times New Roman"/>
          <w:i/>
          <w:iCs/>
          <w:noProof/>
        </w:rPr>
        <w:t>Proportionality</w:t>
      </w:r>
    </w:p>
    <w:p w14:paraId="7D9EC619" w14:textId="77777777" w:rsidR="000A268D" w:rsidRPr="00726D52" w:rsidRDefault="000A268D" w:rsidP="000A268D">
      <w:pPr>
        <w:rPr>
          <w:noProof/>
        </w:rPr>
      </w:pPr>
      <w:r w:rsidRPr="00726D52">
        <w:rPr>
          <w:noProof/>
        </w:rPr>
        <w:t xml:space="preserve">This option does not create new data categories, databases, or purposes; it </w:t>
      </w:r>
      <w:r w:rsidRPr="00726D52">
        <w:rPr>
          <w:b/>
          <w:bCs/>
          <w:noProof/>
        </w:rPr>
        <w:t>structures existing lawful access</w:t>
      </w:r>
      <w:r w:rsidRPr="00726D52">
        <w:rPr>
          <w:noProof/>
        </w:rPr>
        <w:t xml:space="preserve"> to Europol systems, notably </w:t>
      </w:r>
      <w:r w:rsidRPr="00726D52">
        <w:rPr>
          <w:b/>
          <w:bCs/>
          <w:noProof/>
        </w:rPr>
        <w:t>EIS</w:t>
      </w:r>
      <w:r w:rsidRPr="00726D52">
        <w:rPr>
          <w:noProof/>
        </w:rPr>
        <w:t xml:space="preserve">, within national CMS. A targeted obligation to consult EIS in serious cross-border cases ensures that lawfully available data is </w:t>
      </w:r>
      <w:r w:rsidRPr="00726D52">
        <w:rPr>
          <w:b/>
          <w:bCs/>
          <w:noProof/>
        </w:rPr>
        <w:t>consistently and effectively used</w:t>
      </w:r>
      <w:r w:rsidRPr="00726D52">
        <w:rPr>
          <w:noProof/>
        </w:rPr>
        <w:t xml:space="preserve">, without expanding Europol’s mandate. Embedded consultation reduces missed links and fragmentation while preserving </w:t>
      </w:r>
      <w:r w:rsidRPr="00726D52">
        <w:rPr>
          <w:b/>
          <w:bCs/>
          <w:noProof/>
        </w:rPr>
        <w:t>national control, purpose limitation, and data ownership</w:t>
      </w:r>
      <w:r w:rsidRPr="00726D52">
        <w:rPr>
          <w:noProof/>
        </w:rPr>
        <w:t xml:space="preserve">, ensuring interference with </w:t>
      </w:r>
      <w:r w:rsidRPr="00726D52">
        <w:rPr>
          <w:b/>
          <w:bCs/>
          <w:noProof/>
        </w:rPr>
        <w:t>data protection rights</w:t>
      </w:r>
      <w:r w:rsidRPr="00726D52">
        <w:rPr>
          <w:noProof/>
        </w:rPr>
        <w:t xml:space="preserve"> is proportionate.</w:t>
      </w:r>
    </w:p>
    <w:p w14:paraId="4F22A26B" w14:textId="77777777" w:rsidR="000A268D" w:rsidRPr="00726D52" w:rsidRDefault="000A268D" w:rsidP="000A268D">
      <w:pPr>
        <w:rPr>
          <w:noProof/>
        </w:rPr>
      </w:pPr>
      <w:r w:rsidRPr="00726D52">
        <w:rPr>
          <w:noProof/>
        </w:rPr>
        <w:t xml:space="preserve">We therefore conclude that the policy option </w:t>
      </w:r>
      <w:r w:rsidRPr="00726D52">
        <w:rPr>
          <w:b/>
          <w:bCs/>
          <w:noProof/>
        </w:rPr>
        <w:t>respects the principle of proportionality</w:t>
      </w:r>
      <w:r w:rsidRPr="00726D52">
        <w:rPr>
          <w:noProof/>
        </w:rPr>
        <w:t>.</w:t>
      </w:r>
    </w:p>
    <w:p w14:paraId="7EBDCE17" w14:textId="77777777" w:rsidR="000A268D" w:rsidRPr="00726D52" w:rsidRDefault="000A268D" w:rsidP="009502B2">
      <w:pPr>
        <w:pStyle w:val="Heading4"/>
        <w:numPr>
          <w:ilvl w:val="0"/>
          <w:numId w:val="25"/>
        </w:numPr>
        <w:tabs>
          <w:tab w:val="num" w:pos="360"/>
        </w:tabs>
        <w:ind w:left="0" w:firstLine="0"/>
        <w:rPr>
          <w:b/>
          <w:noProof/>
        </w:rPr>
      </w:pPr>
      <w:r w:rsidRPr="00726D52">
        <w:rPr>
          <w:b/>
          <w:noProof/>
        </w:rPr>
        <w:t>Costs</w:t>
      </w:r>
      <w:r w:rsidRPr="00726D52">
        <w:rPr>
          <w:b/>
          <w:bCs/>
          <w:noProof/>
        </w:rPr>
        <w:t xml:space="preserve"> (0)</w:t>
      </w:r>
    </w:p>
    <w:tbl>
      <w:tblPr>
        <w:tblStyle w:val="CV15"/>
        <w:tblW w:w="0" w:type="auto"/>
        <w:jc w:val="center"/>
        <w:tblLook w:val="04A0" w:firstRow="1" w:lastRow="0" w:firstColumn="1" w:lastColumn="0" w:noHBand="0" w:noVBand="1"/>
      </w:tblPr>
      <w:tblGrid>
        <w:gridCol w:w="5276"/>
        <w:gridCol w:w="1644"/>
        <w:gridCol w:w="1370"/>
      </w:tblGrid>
      <w:tr w:rsidR="000A268D" w:rsidRPr="00726D52" w14:paraId="50389AAC" w14:textId="77777777" w:rsidTr="00C05BFC">
        <w:trPr>
          <w:jc w:val="center"/>
        </w:trPr>
        <w:tc>
          <w:tcPr>
            <w:tcW w:w="52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29845C9" w14:textId="77777777" w:rsidR="000A268D" w:rsidRPr="00726D52" w:rsidRDefault="000A268D" w:rsidP="00C05BFC">
            <w:pPr>
              <w:rPr>
                <w:rFonts w:eastAsiaTheme="minorHAnsi"/>
                <w:noProof/>
                <w:lang w:eastAsia="en-US"/>
              </w:rPr>
            </w:pPr>
          </w:p>
        </w:tc>
        <w:tc>
          <w:tcPr>
            <w:tcW w:w="164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6BA0C8F" w14:textId="77777777" w:rsidR="000A268D" w:rsidRPr="00726D52" w:rsidRDefault="000A268D" w:rsidP="00C05BFC">
            <w:pPr>
              <w:rPr>
                <w:rFonts w:eastAsiaTheme="minorHAnsi"/>
                <w:b/>
                <w:i/>
                <w:noProof/>
                <w:lang w:eastAsia="en-US"/>
              </w:rPr>
            </w:pPr>
            <w:r w:rsidRPr="00726D52">
              <w:rPr>
                <w:rFonts w:eastAsiaTheme="minorHAnsi"/>
                <w:b/>
                <w:i/>
                <w:noProof/>
              </w:rPr>
              <w:t>Member States</w:t>
            </w:r>
          </w:p>
        </w:tc>
        <w:tc>
          <w:tcPr>
            <w:tcW w:w="13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A8089F1" w14:textId="77777777" w:rsidR="000A268D" w:rsidRPr="00726D52" w:rsidRDefault="000A268D" w:rsidP="00C05BFC">
            <w:pPr>
              <w:rPr>
                <w:rFonts w:eastAsiaTheme="minorHAnsi"/>
                <w:b/>
                <w:i/>
                <w:noProof/>
                <w:lang w:eastAsia="en-US"/>
              </w:rPr>
            </w:pPr>
            <w:r w:rsidRPr="00726D52">
              <w:rPr>
                <w:rFonts w:eastAsiaTheme="minorHAnsi"/>
                <w:b/>
                <w:i/>
                <w:noProof/>
              </w:rPr>
              <w:t>Europol</w:t>
            </w:r>
          </w:p>
        </w:tc>
      </w:tr>
      <w:tr w:rsidR="000A268D" w:rsidRPr="00726D52" w14:paraId="08288E2B" w14:textId="77777777" w:rsidTr="00C05BFC">
        <w:trPr>
          <w:jc w:val="center"/>
        </w:trPr>
        <w:tc>
          <w:tcPr>
            <w:tcW w:w="5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929433" w14:textId="77777777" w:rsidR="000A268D" w:rsidRPr="00726D52" w:rsidRDefault="000A268D" w:rsidP="00C05BFC">
            <w:pPr>
              <w:rPr>
                <w:rFonts w:eastAsiaTheme="minorHAnsi"/>
                <w:b/>
                <w:i/>
                <w:noProof/>
                <w:lang w:eastAsia="en-US"/>
              </w:rPr>
            </w:pPr>
            <w:r w:rsidRPr="00726D52">
              <w:rPr>
                <w:rFonts w:eastAsiaTheme="minorHAnsi"/>
                <w:b/>
                <w:i/>
                <w:noProof/>
              </w:rPr>
              <w:t>Direct costs</w:t>
            </w:r>
          </w:p>
        </w:tc>
        <w:tc>
          <w:tcPr>
            <w:tcW w:w="1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A268D" w:rsidRPr="00726D52" w14:paraId="64BE0E4E" w14:textId="77777777" w:rsidTr="00C05BFC">
              <w:trPr>
                <w:tblCellSpacing w:w="15" w:type="dxa"/>
              </w:trPr>
              <w:tc>
                <w:tcPr>
                  <w:tcW w:w="0" w:type="auto"/>
                  <w:vAlign w:val="center"/>
                </w:tcPr>
                <w:p w14:paraId="604C2897" w14:textId="77777777" w:rsidR="000A268D" w:rsidRPr="00726D52" w:rsidRDefault="000A268D" w:rsidP="00C05BFC">
                  <w:pPr>
                    <w:spacing w:before="100" w:beforeAutospacing="1" w:after="100" w:afterAutospacing="1"/>
                    <w:jc w:val="left"/>
                    <w:rPr>
                      <w:rFonts w:eastAsia="Times New Roman"/>
                      <w:noProof/>
                    </w:rPr>
                  </w:pPr>
                </w:p>
              </w:tc>
            </w:tr>
          </w:tbl>
          <w:p w14:paraId="6A37C44A" w14:textId="77777777" w:rsidR="000A268D" w:rsidRPr="00726D52" w:rsidRDefault="000A268D" w:rsidP="00C05BFC">
            <w:pPr>
              <w:rPr>
                <w:rFonts w:eastAsiaTheme="minorHAnsi"/>
                <w:noProof/>
                <w:lang w:eastAsia="en-US"/>
              </w:rPr>
            </w:pPr>
          </w:p>
        </w:tc>
        <w:tc>
          <w:tcPr>
            <w:tcW w:w="13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A268D" w:rsidRPr="00726D52" w14:paraId="4FE8E881" w14:textId="77777777" w:rsidTr="00C05BFC">
              <w:trPr>
                <w:tblCellSpacing w:w="15" w:type="dxa"/>
              </w:trPr>
              <w:tc>
                <w:tcPr>
                  <w:tcW w:w="0" w:type="auto"/>
                  <w:vAlign w:val="center"/>
                </w:tcPr>
                <w:p w14:paraId="787231AE" w14:textId="77777777" w:rsidR="000A268D" w:rsidRPr="00726D52" w:rsidRDefault="000A268D" w:rsidP="00C05BFC">
                  <w:pPr>
                    <w:spacing w:before="100" w:beforeAutospacing="1" w:after="100" w:afterAutospacing="1"/>
                    <w:jc w:val="left"/>
                    <w:rPr>
                      <w:rFonts w:eastAsia="Times New Roman"/>
                      <w:noProof/>
                    </w:rPr>
                  </w:pPr>
                </w:p>
              </w:tc>
            </w:tr>
          </w:tbl>
          <w:p w14:paraId="352C864A" w14:textId="77777777" w:rsidR="000A268D" w:rsidRPr="00726D52" w:rsidRDefault="000A268D" w:rsidP="00C05BFC">
            <w:pPr>
              <w:rPr>
                <w:rFonts w:eastAsiaTheme="minorHAnsi"/>
                <w:noProof/>
                <w:lang w:eastAsia="en-US"/>
              </w:rPr>
            </w:pPr>
          </w:p>
        </w:tc>
      </w:tr>
      <w:tr w:rsidR="000A268D" w:rsidRPr="00726D52" w14:paraId="19FCFFF4" w14:textId="77777777" w:rsidTr="00C05BFC">
        <w:trPr>
          <w:trHeight w:val="830"/>
          <w:jc w:val="center"/>
        </w:trPr>
        <w:tc>
          <w:tcPr>
            <w:tcW w:w="5276" w:type="dxa"/>
            <w:tcBorders>
              <w:top w:val="single" w:sz="4" w:space="0" w:color="auto"/>
              <w:left w:val="single" w:sz="4" w:space="0" w:color="auto"/>
              <w:bottom w:val="single" w:sz="4" w:space="0" w:color="auto"/>
              <w:right w:val="single" w:sz="4" w:space="0" w:color="auto"/>
            </w:tcBorders>
            <w:hideMark/>
          </w:tcPr>
          <w:p w14:paraId="16E2AD76" w14:textId="77777777" w:rsidR="000A268D" w:rsidRPr="00726D52" w:rsidRDefault="000A268D" w:rsidP="00C05BFC">
            <w:pPr>
              <w:rPr>
                <w:rFonts w:eastAsiaTheme="minorHAnsi"/>
                <w:noProof/>
              </w:rPr>
            </w:pPr>
            <w:r w:rsidRPr="00726D52">
              <w:rPr>
                <w:rFonts w:eastAsiaTheme="minorHAnsi"/>
                <w:noProof/>
              </w:rPr>
              <w:t>Expected one-off costs (in million EUR)</w:t>
            </w:r>
          </w:p>
          <w:p w14:paraId="1125574B" w14:textId="77777777" w:rsidR="000A268D" w:rsidRPr="00726D52" w:rsidRDefault="000A268D" w:rsidP="00C05BFC">
            <w:pPr>
              <w:rPr>
                <w:rFonts w:eastAsiaTheme="minorHAnsi"/>
                <w:noProof/>
                <w:lang w:eastAsia="en-US"/>
              </w:rPr>
            </w:pPr>
          </w:p>
        </w:tc>
        <w:tc>
          <w:tcPr>
            <w:tcW w:w="1644" w:type="dxa"/>
            <w:tcBorders>
              <w:top w:val="single" w:sz="4" w:space="0" w:color="auto"/>
              <w:left w:val="single" w:sz="4" w:space="0" w:color="auto"/>
              <w:bottom w:val="single" w:sz="4" w:space="0" w:color="auto"/>
              <w:right w:val="single" w:sz="4" w:space="0" w:color="auto"/>
            </w:tcBorders>
          </w:tcPr>
          <w:p w14:paraId="6092A066" w14:textId="77777777" w:rsidR="000A268D" w:rsidRPr="00726D52" w:rsidRDefault="000A268D" w:rsidP="00C05BFC">
            <w:pPr>
              <w:rPr>
                <w:rFonts w:eastAsiaTheme="minorHAnsi"/>
                <w:noProof/>
                <w:lang w:eastAsia="en-US"/>
              </w:rPr>
            </w:pPr>
            <w:r w:rsidRPr="00726D52">
              <w:rPr>
                <w:rFonts w:eastAsiaTheme="minorHAnsi"/>
                <w:noProof/>
                <w:lang w:eastAsia="en-US"/>
              </w:rPr>
              <w:t>105</w:t>
            </w:r>
          </w:p>
        </w:tc>
        <w:tc>
          <w:tcPr>
            <w:tcW w:w="1370" w:type="dxa"/>
            <w:tcBorders>
              <w:top w:val="single" w:sz="4" w:space="0" w:color="auto"/>
              <w:left w:val="single" w:sz="4" w:space="0" w:color="auto"/>
              <w:bottom w:val="single" w:sz="4" w:space="0" w:color="auto"/>
              <w:right w:val="single" w:sz="4" w:space="0" w:color="auto"/>
            </w:tcBorders>
          </w:tcPr>
          <w:p w14:paraId="7420662F" w14:textId="77777777" w:rsidR="000A268D" w:rsidRPr="00726D52" w:rsidRDefault="000A268D" w:rsidP="00C05BFC">
            <w:pPr>
              <w:rPr>
                <w:rFonts w:eastAsiaTheme="minorHAnsi"/>
                <w:noProof/>
                <w:lang w:eastAsia="en-US"/>
              </w:rPr>
            </w:pPr>
            <w:r w:rsidRPr="00726D52">
              <w:rPr>
                <w:rFonts w:eastAsiaTheme="minorHAnsi"/>
                <w:noProof/>
                <w:lang w:eastAsia="en-US"/>
              </w:rPr>
              <w:t>50</w:t>
            </w:r>
          </w:p>
        </w:tc>
      </w:tr>
      <w:tr w:rsidR="000A268D" w:rsidRPr="00726D52" w14:paraId="64717825" w14:textId="77777777" w:rsidTr="00C05BFC">
        <w:trPr>
          <w:jc w:val="center"/>
        </w:trPr>
        <w:tc>
          <w:tcPr>
            <w:tcW w:w="5276" w:type="dxa"/>
            <w:tcBorders>
              <w:top w:val="single" w:sz="4" w:space="0" w:color="auto"/>
              <w:left w:val="single" w:sz="4" w:space="0" w:color="auto"/>
              <w:bottom w:val="single" w:sz="4" w:space="0" w:color="auto"/>
              <w:right w:val="single" w:sz="4" w:space="0" w:color="auto"/>
            </w:tcBorders>
            <w:hideMark/>
          </w:tcPr>
          <w:p w14:paraId="19F3F641" w14:textId="77777777" w:rsidR="000A268D" w:rsidRPr="00726D52" w:rsidRDefault="000A268D" w:rsidP="00C05BFC">
            <w:pPr>
              <w:rPr>
                <w:rFonts w:eastAsiaTheme="minorHAnsi"/>
                <w:noProof/>
              </w:rPr>
            </w:pPr>
            <w:r w:rsidRPr="00726D52">
              <w:rPr>
                <w:rFonts w:eastAsiaTheme="minorHAnsi"/>
                <w:noProof/>
              </w:rPr>
              <w:t xml:space="preserve">Expected yearly recurring costs (in million EUR </w:t>
            </w:r>
            <w:r w:rsidRPr="00726D52">
              <w:rPr>
                <w:rFonts w:eastAsiaTheme="minorHAnsi"/>
                <w:i/>
                <w:iCs/>
                <w:noProof/>
              </w:rPr>
              <w:t>per annum</w:t>
            </w:r>
            <w:r w:rsidRPr="00726D52">
              <w:rPr>
                <w:rFonts w:eastAsiaTheme="minorHAnsi"/>
                <w:noProof/>
              </w:rPr>
              <w:t>)</w:t>
            </w:r>
          </w:p>
        </w:tc>
        <w:tc>
          <w:tcPr>
            <w:tcW w:w="1644" w:type="dxa"/>
            <w:tcBorders>
              <w:top w:val="single" w:sz="4" w:space="0" w:color="auto"/>
              <w:left w:val="single" w:sz="4" w:space="0" w:color="auto"/>
              <w:bottom w:val="single" w:sz="4" w:space="0" w:color="auto"/>
              <w:right w:val="single" w:sz="4" w:space="0" w:color="auto"/>
            </w:tcBorders>
          </w:tcPr>
          <w:p w14:paraId="3F3AE172" w14:textId="77777777" w:rsidR="000A268D" w:rsidRPr="00726D52" w:rsidRDefault="000A268D" w:rsidP="00C05BFC">
            <w:pPr>
              <w:rPr>
                <w:rFonts w:eastAsiaTheme="minorHAnsi"/>
                <w:noProof/>
                <w:lang w:eastAsia="en-US"/>
              </w:rPr>
            </w:pPr>
            <w:r w:rsidRPr="00726D52">
              <w:rPr>
                <w:rFonts w:eastAsiaTheme="minorHAnsi"/>
                <w:noProof/>
                <w:lang w:eastAsia="en-US"/>
              </w:rPr>
              <w:t>20</w:t>
            </w:r>
          </w:p>
        </w:tc>
        <w:tc>
          <w:tcPr>
            <w:tcW w:w="1370" w:type="dxa"/>
            <w:tcBorders>
              <w:top w:val="single" w:sz="4" w:space="0" w:color="auto"/>
              <w:left w:val="single" w:sz="4" w:space="0" w:color="auto"/>
              <w:bottom w:val="single" w:sz="4" w:space="0" w:color="auto"/>
              <w:right w:val="single" w:sz="4" w:space="0" w:color="auto"/>
            </w:tcBorders>
          </w:tcPr>
          <w:p w14:paraId="50E7B757" w14:textId="77777777" w:rsidR="000A268D" w:rsidRPr="00726D52" w:rsidRDefault="000A268D" w:rsidP="00C05BFC">
            <w:pPr>
              <w:rPr>
                <w:rFonts w:eastAsiaTheme="minorHAnsi"/>
                <w:noProof/>
                <w:lang w:eastAsia="en-US"/>
              </w:rPr>
            </w:pPr>
            <w:r w:rsidRPr="00726D52">
              <w:rPr>
                <w:rFonts w:eastAsiaTheme="minorHAnsi"/>
                <w:noProof/>
                <w:lang w:eastAsia="en-US"/>
              </w:rPr>
              <w:t>8</w:t>
            </w:r>
          </w:p>
        </w:tc>
      </w:tr>
    </w:tbl>
    <w:p w14:paraId="78460F51" w14:textId="77777777" w:rsidR="00820C56" w:rsidRPr="00726D52" w:rsidRDefault="00820C56" w:rsidP="000A268D">
      <w:pPr>
        <w:rPr>
          <w:noProof/>
        </w:rPr>
      </w:pPr>
    </w:p>
    <w:p w14:paraId="701B00B9" w14:textId="77777777" w:rsidR="000A268D" w:rsidRPr="00726D52" w:rsidRDefault="000A268D" w:rsidP="000A268D">
      <w:pPr>
        <w:rPr>
          <w:noProof/>
        </w:rPr>
      </w:pPr>
      <w:r w:rsidRPr="00726D52">
        <w:rPr>
          <w:noProof/>
        </w:rPr>
        <w:t>One-off costs for Member States (EUR 105 million) cover new criminal information strategies, updates to case management systems, integration with UMF standards, and training, with recurring costs (EUR 20 million/year) for ongoing maintenance. Europol one-off costs (EUR 50 million) include upgrades to data ingestion, scaling of databases, and support to Member States, with recurring costs (EUR 8 million/year) for continued operational and integration support.</w:t>
      </w:r>
    </w:p>
    <w:p w14:paraId="56F7BEE1" w14:textId="77777777" w:rsidR="000A268D" w:rsidRPr="00726D52" w:rsidRDefault="000A268D" w:rsidP="000A268D">
      <w:pPr>
        <w:rPr>
          <w:i/>
          <w:iCs/>
          <w:noProof/>
        </w:rPr>
      </w:pPr>
      <w:r w:rsidRPr="00726D52">
        <w:rPr>
          <w:i/>
          <w:iCs/>
          <w:noProof/>
        </w:rPr>
        <w:t>Technical feasibility</w:t>
      </w:r>
    </w:p>
    <w:p w14:paraId="7962995F" w14:textId="77777777" w:rsidR="000A268D" w:rsidRPr="00726D52" w:rsidRDefault="000A268D" w:rsidP="000A268D">
      <w:pPr>
        <w:rPr>
          <w:noProof/>
        </w:rPr>
      </w:pPr>
      <w:r w:rsidRPr="00726D52">
        <w:rPr>
          <w:noProof/>
        </w:rPr>
        <w:t xml:space="preserve">Integrating national </w:t>
      </w:r>
      <w:r w:rsidRPr="00726D52">
        <w:rPr>
          <w:b/>
          <w:bCs/>
          <w:noProof/>
        </w:rPr>
        <w:t>CMS with Europol systems</w:t>
      </w:r>
      <w:r w:rsidRPr="00726D52">
        <w:rPr>
          <w:noProof/>
        </w:rPr>
        <w:t xml:space="preserve"> requires secure APIs, harmonised data models, workflow adjustments, and increased capacity, but builds on existing </w:t>
      </w:r>
      <w:r w:rsidRPr="00726D52">
        <w:rPr>
          <w:b/>
          <w:bCs/>
          <w:noProof/>
        </w:rPr>
        <w:t>SIENA connectivity</w:t>
      </w:r>
      <w:r w:rsidRPr="00726D52">
        <w:rPr>
          <w:noProof/>
        </w:rPr>
        <w:t xml:space="preserve"> rather than creating a new digital ecosystem. Implementation will need substantial </w:t>
      </w:r>
      <w:r w:rsidRPr="00726D52">
        <w:rPr>
          <w:b/>
          <w:bCs/>
          <w:noProof/>
        </w:rPr>
        <w:t>EU and national resources</w:t>
      </w:r>
      <w:r w:rsidRPr="00726D52">
        <w:rPr>
          <w:noProof/>
        </w:rPr>
        <w:t xml:space="preserve">, including development, testing, training, and change management, with </w:t>
      </w:r>
      <w:r w:rsidRPr="00726D52">
        <w:rPr>
          <w:b/>
          <w:bCs/>
          <w:noProof/>
        </w:rPr>
        <w:t>Europol providing central support</w:t>
      </w:r>
      <w:r w:rsidRPr="00726D52">
        <w:rPr>
          <w:noProof/>
        </w:rPr>
        <w:t xml:space="preserve"> through toolkits, reference architectures, and on-site assistance. Systematic consultation is technically feasible only if </w:t>
      </w:r>
      <w:r w:rsidRPr="00726D52">
        <w:rPr>
          <w:b/>
          <w:bCs/>
          <w:noProof/>
        </w:rPr>
        <w:lastRenderedPageBreak/>
        <w:t>Europol systems are robust, scalable, and able to handle increased queries</w:t>
      </w:r>
      <w:r w:rsidRPr="00726D52">
        <w:rPr>
          <w:noProof/>
        </w:rPr>
        <w:t xml:space="preserve"> while delivering timely responses.</w:t>
      </w:r>
    </w:p>
    <w:p w14:paraId="56A2D755" w14:textId="77777777" w:rsidR="000A268D" w:rsidRPr="00726D52" w:rsidRDefault="000A268D" w:rsidP="000A268D">
      <w:pPr>
        <w:rPr>
          <w:noProof/>
        </w:rPr>
      </w:pPr>
      <w:r w:rsidRPr="00726D52">
        <w:rPr>
          <w:noProof/>
        </w:rPr>
        <w:t xml:space="preserve">For this reason, the option is </w:t>
      </w:r>
      <w:r w:rsidRPr="00726D52">
        <w:rPr>
          <w:rStyle w:val="Strong"/>
          <w:noProof/>
        </w:rPr>
        <w:t>technically feasible (+) only in conjunction with Policy Option 1.1</w:t>
      </w:r>
      <w:r w:rsidRPr="00726D52">
        <w:rPr>
          <w:noProof/>
        </w:rPr>
        <w:t xml:space="preserve">, which upgrades Europol’s ICT infrastructure, performance and service delivery. Without Option 1.1, embedding systematic consultation into national workflows would risk system overload, latency and reduced reliability, making overall feasibility </w:t>
      </w:r>
      <w:r w:rsidRPr="00726D52">
        <w:rPr>
          <w:rStyle w:val="Strong"/>
          <w:noProof/>
        </w:rPr>
        <w:t>negative (–)</w:t>
      </w:r>
      <w:r w:rsidRPr="00726D52">
        <w:rPr>
          <w:noProof/>
        </w:rPr>
        <w:t>.</w:t>
      </w:r>
    </w:p>
    <w:p w14:paraId="402BC19A" w14:textId="77777777" w:rsidR="000A268D" w:rsidRPr="00726D52" w:rsidRDefault="000A268D" w:rsidP="000A268D">
      <w:pPr>
        <w:rPr>
          <w:rFonts w:eastAsia="Times New Roman"/>
          <w:i/>
          <w:iCs/>
          <w:noProof/>
        </w:rPr>
      </w:pPr>
      <w:r w:rsidRPr="00726D52">
        <w:rPr>
          <w:rFonts w:eastAsia="Times New Roman"/>
          <w:i/>
          <w:iCs/>
          <w:noProof/>
        </w:rPr>
        <w:t>Political feasibility</w:t>
      </w:r>
    </w:p>
    <w:p w14:paraId="69AF1619" w14:textId="77777777" w:rsidR="000A268D" w:rsidRPr="00726D52" w:rsidRDefault="000A268D" w:rsidP="000A268D">
      <w:pPr>
        <w:rPr>
          <w:noProof/>
        </w:rPr>
      </w:pPr>
      <w:r w:rsidRPr="00726D52">
        <w:rPr>
          <w:noProof/>
        </w:rPr>
        <w:t xml:space="preserve">Political feasibility is </w:t>
      </w:r>
      <w:r w:rsidRPr="00726D52">
        <w:rPr>
          <w:b/>
          <w:bCs/>
          <w:noProof/>
        </w:rPr>
        <w:t>ambitious</w:t>
      </w:r>
      <w:r w:rsidRPr="00726D52">
        <w:rPr>
          <w:noProof/>
        </w:rPr>
        <w:t xml:space="preserve">, as embedding Europol systems into national CMS and introducing systematic consultation represents a major shift for Member States. While benefits are clear, </w:t>
      </w:r>
      <w:r w:rsidRPr="00726D52">
        <w:rPr>
          <w:b/>
          <w:bCs/>
          <w:noProof/>
        </w:rPr>
        <w:t>faster detection, improved situational awareness, and better analytical support</w:t>
      </w:r>
      <w:r w:rsidRPr="00726D52">
        <w:rPr>
          <w:noProof/>
        </w:rPr>
        <w:t xml:space="preserve">, authorities may resist changing established workflows. Feasibility is higher with </w:t>
      </w:r>
      <w:r w:rsidRPr="00726D52">
        <w:rPr>
          <w:b/>
          <w:bCs/>
          <w:noProof/>
        </w:rPr>
        <w:t>phased implementation</w:t>
      </w:r>
      <w:r w:rsidRPr="00726D52">
        <w:rPr>
          <w:noProof/>
        </w:rPr>
        <w:t xml:space="preserve">, pilot projects, peer exchanges, and strong </w:t>
      </w:r>
      <w:r w:rsidRPr="00726D52">
        <w:rPr>
          <w:b/>
          <w:bCs/>
          <w:noProof/>
        </w:rPr>
        <w:t>Europol support</w:t>
      </w:r>
      <w:r w:rsidRPr="00726D52">
        <w:rPr>
          <w:noProof/>
        </w:rPr>
        <w:t xml:space="preserve"> to build trust. Rapid, large-scale deployment without engagement and resources is unlikely to succeed. Overall, the option is </w:t>
      </w:r>
      <w:r w:rsidRPr="00726D52">
        <w:rPr>
          <w:rStyle w:val="Strong"/>
          <w:noProof/>
        </w:rPr>
        <w:t>politically feasible but facing significant obstacles (-).</w:t>
      </w:r>
    </w:p>
    <w:p w14:paraId="7CEF9F29" w14:textId="77777777" w:rsidR="000A268D" w:rsidRPr="00726D52" w:rsidRDefault="000A268D" w:rsidP="009502B2">
      <w:pPr>
        <w:pStyle w:val="Heading4"/>
        <w:numPr>
          <w:ilvl w:val="0"/>
          <w:numId w:val="25"/>
        </w:numPr>
        <w:tabs>
          <w:tab w:val="num" w:pos="360"/>
        </w:tabs>
        <w:ind w:left="0" w:firstLine="0"/>
        <w:rPr>
          <w:b/>
          <w:noProof/>
        </w:rPr>
      </w:pPr>
      <w:r w:rsidRPr="00726D52">
        <w:rPr>
          <w:b/>
          <w:noProof/>
        </w:rPr>
        <w:t>Impact on digitalisation (+)</w:t>
      </w:r>
    </w:p>
    <w:p w14:paraId="0FB9DF2F" w14:textId="77777777" w:rsidR="000A268D" w:rsidRPr="00726D52" w:rsidRDefault="000A268D" w:rsidP="000A268D">
      <w:pPr>
        <w:rPr>
          <w:noProof/>
        </w:rPr>
      </w:pPr>
      <w:r w:rsidRPr="00726D52">
        <w:rPr>
          <w:noProof/>
        </w:rPr>
        <w:t xml:space="preserve">This option advances the </w:t>
      </w:r>
      <w:r w:rsidRPr="00726D52">
        <w:rPr>
          <w:b/>
          <w:bCs/>
          <w:noProof/>
        </w:rPr>
        <w:t>digitalisation of EU law enforcement</w:t>
      </w:r>
      <w:r w:rsidRPr="00726D52">
        <w:rPr>
          <w:noProof/>
        </w:rPr>
        <w:t xml:space="preserve"> by integrating national </w:t>
      </w:r>
      <w:r w:rsidRPr="00726D52">
        <w:rPr>
          <w:b/>
          <w:bCs/>
          <w:noProof/>
        </w:rPr>
        <w:t>CMS with Europol systems</w:t>
      </w:r>
      <w:r w:rsidRPr="00726D52">
        <w:rPr>
          <w:noProof/>
        </w:rPr>
        <w:t xml:space="preserve"> and enabling </w:t>
      </w:r>
      <w:r w:rsidRPr="00726D52">
        <w:rPr>
          <w:b/>
          <w:bCs/>
          <w:noProof/>
        </w:rPr>
        <w:t>systematic consultation</w:t>
      </w:r>
      <w:r w:rsidRPr="00726D52">
        <w:rPr>
          <w:noProof/>
        </w:rPr>
        <w:t xml:space="preserve"> of EIS/EAS. It replaces </w:t>
      </w:r>
      <w:r w:rsidRPr="00726D52">
        <w:rPr>
          <w:b/>
          <w:bCs/>
          <w:noProof/>
        </w:rPr>
        <w:t>manual, ad hoc processes</w:t>
      </w:r>
      <w:r w:rsidRPr="00726D52">
        <w:rPr>
          <w:noProof/>
        </w:rPr>
        <w:t xml:space="preserve"> with </w:t>
      </w:r>
      <w:r w:rsidRPr="00726D52">
        <w:rPr>
          <w:b/>
          <w:bCs/>
          <w:noProof/>
        </w:rPr>
        <w:t>automated workflow checks</w:t>
      </w:r>
      <w:r w:rsidRPr="00726D52">
        <w:rPr>
          <w:noProof/>
        </w:rPr>
        <w:t xml:space="preserve">, standardises information exchange, and delivers </w:t>
      </w:r>
      <w:r w:rsidRPr="00726D52">
        <w:rPr>
          <w:b/>
          <w:bCs/>
          <w:noProof/>
        </w:rPr>
        <w:t>timely, actionable analytical outputs</w:t>
      </w:r>
      <w:r w:rsidRPr="00726D52">
        <w:rPr>
          <w:noProof/>
        </w:rPr>
        <w:t xml:space="preserve">, improving usability, automation, and effectiveness of existing systems while reinforcing the </w:t>
      </w:r>
      <w:r w:rsidRPr="00726D52">
        <w:rPr>
          <w:b/>
          <w:bCs/>
          <w:noProof/>
        </w:rPr>
        <w:t>‘digital by default’ principle’</w:t>
      </w:r>
      <w:r w:rsidRPr="00726D52">
        <w:rPr>
          <w:noProof/>
        </w:rPr>
        <w:t>.</w:t>
      </w:r>
    </w:p>
    <w:p w14:paraId="68B3C824" w14:textId="77777777" w:rsidR="006958A5" w:rsidRPr="00726D52" w:rsidRDefault="000A268D" w:rsidP="009502B2">
      <w:pPr>
        <w:pStyle w:val="ListParagraph"/>
        <w:numPr>
          <w:ilvl w:val="0"/>
          <w:numId w:val="79"/>
        </w:numPr>
        <w:rPr>
          <w:b/>
          <w:bCs/>
          <w:noProof/>
        </w:rPr>
      </w:pPr>
      <w:r w:rsidRPr="00726D52">
        <w:rPr>
          <w:b/>
          <w:bCs/>
          <w:noProof/>
        </w:rPr>
        <w:t xml:space="preserve">Designing a new model for Europol </w:t>
      </w:r>
    </w:p>
    <w:p w14:paraId="5378C52A" w14:textId="77777777" w:rsidR="006958A5" w:rsidRPr="00726D52" w:rsidRDefault="006958A5" w:rsidP="006958A5">
      <w:pPr>
        <w:pStyle w:val="ListParagraph"/>
        <w:ind w:left="360"/>
        <w:rPr>
          <w:b/>
          <w:bCs/>
          <w:noProof/>
        </w:rPr>
      </w:pPr>
    </w:p>
    <w:p w14:paraId="54120483" w14:textId="77777777" w:rsidR="000A268D" w:rsidRPr="00726D52" w:rsidRDefault="000A268D" w:rsidP="009502B2">
      <w:pPr>
        <w:pStyle w:val="ListParagraph"/>
        <w:numPr>
          <w:ilvl w:val="1"/>
          <w:numId w:val="84"/>
        </w:numPr>
        <w:rPr>
          <w:b/>
          <w:bCs/>
          <w:i/>
          <w:noProof/>
        </w:rPr>
      </w:pPr>
      <w:r w:rsidRPr="00726D52">
        <w:rPr>
          <w:b/>
          <w:bCs/>
          <w:i/>
          <w:noProof/>
          <w:u w:val="single"/>
          <w:lang w:eastAsia="fr-BE"/>
        </w:rPr>
        <w:t xml:space="preserve">Policy </w:t>
      </w:r>
      <w:r w:rsidRPr="00726D52">
        <w:rPr>
          <w:b/>
          <w:bCs/>
          <w:i/>
          <w:noProof/>
          <w:u w:val="single"/>
        </w:rPr>
        <w:t>option</w:t>
      </w:r>
      <w:r w:rsidRPr="00726D52">
        <w:rPr>
          <w:b/>
          <w:bCs/>
          <w:i/>
          <w:noProof/>
          <w:u w:val="single"/>
          <w:lang w:eastAsia="fr-BE"/>
        </w:rPr>
        <w:t xml:space="preserve"> 2.1</w:t>
      </w:r>
      <w:r w:rsidRPr="00726D52">
        <w:rPr>
          <w:b/>
          <w:bCs/>
          <w:i/>
          <w:noProof/>
          <w:lang w:eastAsia="fr-BE"/>
        </w:rPr>
        <w:t>: Europol as an operational service provider and information hub</w:t>
      </w:r>
    </w:p>
    <w:p w14:paraId="524403F5" w14:textId="77777777" w:rsidR="000A268D" w:rsidRPr="00726D52" w:rsidRDefault="000A268D" w:rsidP="009502B2">
      <w:pPr>
        <w:pStyle w:val="Heading4"/>
        <w:numPr>
          <w:ilvl w:val="0"/>
          <w:numId w:val="28"/>
        </w:numPr>
        <w:tabs>
          <w:tab w:val="num" w:pos="360"/>
        </w:tabs>
        <w:ind w:left="0" w:firstLine="0"/>
        <w:rPr>
          <w:b/>
          <w:noProof/>
        </w:rPr>
      </w:pPr>
      <w:r w:rsidRPr="00726D52">
        <w:rPr>
          <w:b/>
          <w:noProof/>
        </w:rPr>
        <w:t>Impact on citizens (+)</w:t>
      </w:r>
    </w:p>
    <w:p w14:paraId="1658BD33" w14:textId="77777777" w:rsidR="000A268D" w:rsidRPr="00726D52" w:rsidRDefault="000A268D" w:rsidP="000A268D">
      <w:pPr>
        <w:rPr>
          <w:noProof/>
        </w:rPr>
      </w:pPr>
      <w:r w:rsidRPr="00726D52">
        <w:rPr>
          <w:noProof/>
        </w:rPr>
        <w:t xml:space="preserve">Overall, this policy option has a </w:t>
      </w:r>
      <w:r w:rsidRPr="00726D52">
        <w:rPr>
          <w:b/>
          <w:bCs/>
          <w:noProof/>
        </w:rPr>
        <w:t>positive impact on citizens (+)</w:t>
      </w:r>
      <w:r w:rsidRPr="00726D52">
        <w:rPr>
          <w:noProof/>
        </w:rPr>
        <w:t xml:space="preserve">, by enhancing the EU’s capacity to prevent and combat serious crime while preserving </w:t>
      </w:r>
      <w:r w:rsidRPr="00726D52">
        <w:rPr>
          <w:b/>
          <w:bCs/>
          <w:noProof/>
        </w:rPr>
        <w:t>Member State control</w:t>
      </w:r>
      <w:r w:rsidRPr="00726D52">
        <w:rPr>
          <w:noProof/>
        </w:rPr>
        <w:t xml:space="preserve">. Europol, when authorised, could query national databases under </w:t>
      </w:r>
      <w:r w:rsidRPr="00726D52">
        <w:rPr>
          <w:b/>
          <w:bCs/>
          <w:noProof/>
        </w:rPr>
        <w:t>Prüm II</w:t>
      </w:r>
      <w:r w:rsidRPr="00726D52">
        <w:rPr>
          <w:noProof/>
        </w:rPr>
        <w:t xml:space="preserve"> (DNA, fingerprints, facial images), police indexes, and vehicle records, acting strictly on behalf of Member States. In </w:t>
      </w:r>
      <w:r w:rsidRPr="00726D52">
        <w:rPr>
          <w:b/>
          <w:bCs/>
          <w:noProof/>
        </w:rPr>
        <w:t>time-critical or large-scale cases</w:t>
      </w:r>
      <w:r w:rsidRPr="00726D52">
        <w:rPr>
          <w:noProof/>
        </w:rPr>
        <w:t xml:space="preserve">, Europol’s technical and forensic support enables faster cross-border link detection. An </w:t>
      </w:r>
      <w:r w:rsidRPr="00726D52">
        <w:rPr>
          <w:b/>
          <w:bCs/>
          <w:noProof/>
        </w:rPr>
        <w:t>EU DNA matching service</w:t>
      </w:r>
      <w:r w:rsidRPr="00726D52">
        <w:rPr>
          <w:noProof/>
        </w:rPr>
        <w:t xml:space="preserve"> would strengthen forensic cooperation, reduce reliance on third-country tools, and improve the </w:t>
      </w:r>
      <w:r w:rsidRPr="00726D52">
        <w:rPr>
          <w:b/>
          <w:bCs/>
          <w:noProof/>
        </w:rPr>
        <w:t>speed and reliability</w:t>
      </w:r>
      <w:r w:rsidRPr="00726D52">
        <w:rPr>
          <w:noProof/>
        </w:rPr>
        <w:t xml:space="preserve"> of cross-border investigations.</w:t>
      </w:r>
    </w:p>
    <w:p w14:paraId="655F1648" w14:textId="77777777" w:rsidR="000A268D" w:rsidRPr="00726D52" w:rsidRDefault="000A268D" w:rsidP="009502B2">
      <w:pPr>
        <w:pStyle w:val="Heading4"/>
        <w:numPr>
          <w:ilvl w:val="0"/>
          <w:numId w:val="28"/>
        </w:numPr>
        <w:tabs>
          <w:tab w:val="num" w:pos="360"/>
        </w:tabs>
        <w:ind w:left="0" w:firstLine="0"/>
        <w:rPr>
          <w:b/>
          <w:noProof/>
        </w:rPr>
      </w:pPr>
      <w:r w:rsidRPr="00726D52">
        <w:rPr>
          <w:b/>
          <w:noProof/>
        </w:rPr>
        <w:t>Impact on national authorities (++)</w:t>
      </w:r>
    </w:p>
    <w:p w14:paraId="0BE6B04F" w14:textId="77777777" w:rsidR="000A268D" w:rsidRPr="00726D52" w:rsidRDefault="000A268D" w:rsidP="000A268D">
      <w:pPr>
        <w:pStyle w:val="NormalWeb"/>
        <w:jc w:val="both"/>
        <w:rPr>
          <w:noProof/>
          <w:lang w:val="en-GB"/>
        </w:rPr>
      </w:pPr>
      <w:r w:rsidRPr="00726D52">
        <w:rPr>
          <w:noProof/>
          <w:lang w:val="en-GB"/>
        </w:rPr>
        <w:t xml:space="preserve">This option strongly benefits </w:t>
      </w:r>
      <w:r w:rsidRPr="00726D52">
        <w:rPr>
          <w:rStyle w:val="Strong"/>
          <w:noProof/>
          <w:lang w:val="en-GB"/>
        </w:rPr>
        <w:t>national authorities</w:t>
      </w:r>
      <w:r w:rsidRPr="00726D52">
        <w:rPr>
          <w:noProof/>
          <w:lang w:val="en-GB"/>
        </w:rPr>
        <w:t xml:space="preserve">, especially investigators handling complex or cross-border cases, by allowing Europol, strictly </w:t>
      </w:r>
      <w:r w:rsidRPr="00726D52">
        <w:rPr>
          <w:rStyle w:val="Strong"/>
          <w:noProof/>
          <w:lang w:val="en-GB"/>
        </w:rPr>
        <w:t>on behalf of and with explicit authorization</w:t>
      </w:r>
      <w:r w:rsidRPr="00726D52">
        <w:rPr>
          <w:noProof/>
          <w:lang w:val="en-GB"/>
        </w:rPr>
        <w:t xml:space="preserve">, to query national databases under </w:t>
      </w:r>
      <w:r w:rsidRPr="00726D52">
        <w:rPr>
          <w:rStyle w:val="Strong"/>
          <w:noProof/>
          <w:lang w:val="en-GB"/>
        </w:rPr>
        <w:t>Prüm II</w:t>
      </w:r>
      <w:r w:rsidRPr="00726D52">
        <w:rPr>
          <w:noProof/>
          <w:lang w:val="en-GB"/>
        </w:rPr>
        <w:t xml:space="preserve">. Authorities gain </w:t>
      </w:r>
      <w:r w:rsidRPr="00726D52">
        <w:rPr>
          <w:rStyle w:val="Strong"/>
          <w:noProof/>
          <w:lang w:val="en-GB"/>
        </w:rPr>
        <w:t xml:space="preserve">faster </w:t>
      </w:r>
      <w:r w:rsidRPr="00726D52">
        <w:rPr>
          <w:rStyle w:val="Strong"/>
          <w:noProof/>
          <w:lang w:val="en-GB"/>
        </w:rPr>
        <w:lastRenderedPageBreak/>
        <w:t>handling of biometric and non-biometric queries</w:t>
      </w:r>
      <w:r w:rsidRPr="00726D52">
        <w:rPr>
          <w:noProof/>
          <w:lang w:val="en-GB"/>
        </w:rPr>
        <w:t xml:space="preserve">, </w:t>
      </w:r>
      <w:r w:rsidRPr="00726D52">
        <w:rPr>
          <w:rStyle w:val="Strong"/>
          <w:noProof/>
          <w:lang w:val="en-GB"/>
        </w:rPr>
        <w:t>technical and forensic support</w:t>
      </w:r>
      <w:r w:rsidRPr="00726D52">
        <w:rPr>
          <w:noProof/>
          <w:lang w:val="en-GB"/>
        </w:rPr>
        <w:t xml:space="preserve"> in high-volume cases, and </w:t>
      </w:r>
      <w:r w:rsidRPr="00726D52">
        <w:rPr>
          <w:rStyle w:val="Strong"/>
          <w:noProof/>
          <w:lang w:val="en-GB"/>
        </w:rPr>
        <w:t>improved analytical coherence</w:t>
      </w:r>
      <w:r w:rsidRPr="00726D52">
        <w:rPr>
          <w:noProof/>
          <w:lang w:val="en-GB"/>
        </w:rPr>
        <w:t xml:space="preserve"> across jurisdictions. Real-time alerts and subscription-based notifications reduce fragmentation and ensure that relevant developments are not missed, without creating automatic data transfers. Political acceptability relies on </w:t>
      </w:r>
      <w:r w:rsidRPr="00726D52">
        <w:rPr>
          <w:rStyle w:val="Strong"/>
          <w:noProof/>
          <w:lang w:val="en-GB"/>
        </w:rPr>
        <w:t>strict safeguards, authorisation, and clear governance</w:t>
      </w:r>
      <w:r w:rsidRPr="00726D52">
        <w:rPr>
          <w:noProof/>
          <w:lang w:val="en-GB"/>
        </w:rPr>
        <w:t>.</w:t>
      </w:r>
    </w:p>
    <w:p w14:paraId="2C068C9C" w14:textId="77777777" w:rsidR="000A268D" w:rsidRPr="00726D52" w:rsidRDefault="000A268D" w:rsidP="000A268D">
      <w:pPr>
        <w:pStyle w:val="NormalWeb"/>
        <w:jc w:val="both"/>
        <w:rPr>
          <w:noProof/>
          <w:lang w:val="en-GB"/>
        </w:rPr>
      </w:pPr>
      <w:r w:rsidRPr="00726D52">
        <w:rPr>
          <w:noProof/>
          <w:lang w:val="en-GB"/>
        </w:rPr>
        <w:t xml:space="preserve">The optional </w:t>
      </w:r>
      <w:r w:rsidRPr="00726D52">
        <w:rPr>
          <w:rStyle w:val="Strong"/>
          <w:noProof/>
          <w:lang w:val="en-GB"/>
        </w:rPr>
        <w:t>EU DNA matching service</w:t>
      </w:r>
      <w:r w:rsidRPr="00726D52">
        <w:rPr>
          <w:noProof/>
          <w:lang w:val="en-GB"/>
        </w:rPr>
        <w:t xml:space="preserve"> would provide shared forensic capabilities, reduce dependency on third-country tools and align with </w:t>
      </w:r>
      <w:r w:rsidRPr="00726D52">
        <w:rPr>
          <w:rStyle w:val="Strong"/>
          <w:noProof/>
          <w:lang w:val="en-GB"/>
        </w:rPr>
        <w:t>Prüm II standards</w:t>
      </w:r>
      <w:r w:rsidRPr="00726D52">
        <w:rPr>
          <w:noProof/>
          <w:lang w:val="en-GB"/>
        </w:rPr>
        <w:t xml:space="preserve">. Member States would benefit from </w:t>
      </w:r>
      <w:r w:rsidRPr="00726D52">
        <w:rPr>
          <w:rStyle w:val="Strong"/>
          <w:noProof/>
          <w:lang w:val="en-GB"/>
        </w:rPr>
        <w:t>faster adaptation to evolving requirements</w:t>
      </w:r>
      <w:r w:rsidRPr="00726D52">
        <w:rPr>
          <w:noProof/>
          <w:lang w:val="en-GB"/>
        </w:rPr>
        <w:t xml:space="preserve">, </w:t>
      </w:r>
      <w:r w:rsidRPr="00726D52">
        <w:rPr>
          <w:rStyle w:val="Strong"/>
          <w:noProof/>
          <w:lang w:val="en-GB"/>
        </w:rPr>
        <w:t>operational continuity</w:t>
      </w:r>
      <w:r w:rsidRPr="00726D52">
        <w:rPr>
          <w:noProof/>
          <w:lang w:val="en-GB"/>
        </w:rPr>
        <w:t xml:space="preserve">, and </w:t>
      </w:r>
      <w:r w:rsidRPr="00726D52">
        <w:rPr>
          <w:rStyle w:val="Strong"/>
          <w:noProof/>
          <w:lang w:val="en-GB"/>
        </w:rPr>
        <w:t>support for smaller forensic authorities</w:t>
      </w:r>
      <w:r w:rsidRPr="00726D52">
        <w:rPr>
          <w:noProof/>
          <w:lang w:val="en-GB"/>
        </w:rPr>
        <w:t xml:space="preserve">, while maintaining </w:t>
      </w:r>
      <w:r w:rsidRPr="00726D52">
        <w:rPr>
          <w:rStyle w:val="Strong"/>
          <w:noProof/>
          <w:lang w:val="en-GB"/>
        </w:rPr>
        <w:t>national ownership of data and investigative decisions</w:t>
      </w:r>
      <w:r w:rsidRPr="00726D52">
        <w:rPr>
          <w:noProof/>
          <w:lang w:val="en-GB"/>
        </w:rPr>
        <w:t xml:space="preserve">. The service strengthens </w:t>
      </w:r>
      <w:r w:rsidRPr="00726D52">
        <w:rPr>
          <w:rStyle w:val="Strong"/>
          <w:noProof/>
          <w:lang w:val="en-GB"/>
        </w:rPr>
        <w:t>strategic autonomy</w:t>
      </w:r>
      <w:r w:rsidRPr="00726D52">
        <w:rPr>
          <w:noProof/>
          <w:lang w:val="en-GB"/>
        </w:rPr>
        <w:t xml:space="preserve"> and </w:t>
      </w:r>
      <w:r w:rsidRPr="00726D52">
        <w:rPr>
          <w:rStyle w:val="Strong"/>
          <w:noProof/>
          <w:lang w:val="en-GB"/>
        </w:rPr>
        <w:t>technical resilience</w:t>
      </w:r>
      <w:r w:rsidRPr="00726D52">
        <w:rPr>
          <w:noProof/>
          <w:lang w:val="en-GB"/>
        </w:rPr>
        <w:t xml:space="preserve"> in cross-border investigations.</w:t>
      </w:r>
    </w:p>
    <w:p w14:paraId="124D0235" w14:textId="77777777" w:rsidR="000A268D" w:rsidRPr="00726D52" w:rsidRDefault="000A268D" w:rsidP="009502B2">
      <w:pPr>
        <w:pStyle w:val="Heading4"/>
        <w:numPr>
          <w:ilvl w:val="0"/>
          <w:numId w:val="28"/>
        </w:numPr>
        <w:tabs>
          <w:tab w:val="num" w:pos="360"/>
        </w:tabs>
        <w:ind w:left="0" w:firstLine="0"/>
        <w:rPr>
          <w:b/>
          <w:noProof/>
        </w:rPr>
      </w:pPr>
      <w:r w:rsidRPr="00726D52">
        <w:rPr>
          <w:b/>
          <w:noProof/>
        </w:rPr>
        <w:t>Impact on fundamental rights</w:t>
      </w:r>
    </w:p>
    <w:p w14:paraId="2F5A744F" w14:textId="77777777" w:rsidR="000A268D" w:rsidRPr="00726D52" w:rsidRDefault="000A268D" w:rsidP="009502B2">
      <w:pPr>
        <w:pStyle w:val="Heading4"/>
        <w:numPr>
          <w:ilvl w:val="0"/>
          <w:numId w:val="85"/>
        </w:numPr>
        <w:rPr>
          <w:b/>
          <w:noProof/>
        </w:rPr>
      </w:pPr>
      <w:r w:rsidRPr="00726D52">
        <w:rPr>
          <w:b/>
          <w:noProof/>
        </w:rPr>
        <w:t>Objective of general interest (+)</w:t>
      </w:r>
    </w:p>
    <w:p w14:paraId="3C2CD85C" w14:textId="77777777" w:rsidR="000A268D" w:rsidRPr="00726D52" w:rsidRDefault="000A268D" w:rsidP="000A268D">
      <w:pPr>
        <w:rPr>
          <w:noProof/>
        </w:rPr>
      </w:pPr>
      <w:r w:rsidRPr="00726D52">
        <w:rPr>
          <w:noProof/>
        </w:rPr>
        <w:t xml:space="preserve">This option makes a </w:t>
      </w:r>
      <w:r w:rsidRPr="00726D52">
        <w:rPr>
          <w:rStyle w:val="Strong"/>
          <w:noProof/>
        </w:rPr>
        <w:t>positive contribution to an objective of general interest (+)</w:t>
      </w:r>
      <w:r w:rsidRPr="00726D52">
        <w:rPr>
          <w:noProof/>
        </w:rPr>
        <w:t xml:space="preserve">, namely the prevention and combating of serious crime and terrorism. By combining </w:t>
      </w:r>
      <w:r w:rsidRPr="00726D52">
        <w:rPr>
          <w:b/>
          <w:bCs/>
          <w:noProof/>
        </w:rPr>
        <w:t>authorised Europol access</w:t>
      </w:r>
      <w:r w:rsidRPr="00726D52">
        <w:rPr>
          <w:noProof/>
        </w:rPr>
        <w:t xml:space="preserve"> to national data under </w:t>
      </w:r>
      <w:r w:rsidRPr="00726D52">
        <w:rPr>
          <w:b/>
          <w:bCs/>
          <w:noProof/>
        </w:rPr>
        <w:t>Prüm II</w:t>
      </w:r>
      <w:r w:rsidRPr="00726D52">
        <w:rPr>
          <w:noProof/>
        </w:rPr>
        <w:t xml:space="preserve">, improved system interoperability, and shared services such as a potential </w:t>
      </w:r>
      <w:r w:rsidRPr="00726D52">
        <w:rPr>
          <w:b/>
          <w:bCs/>
          <w:noProof/>
        </w:rPr>
        <w:t>EU DNA matching service</w:t>
      </w:r>
      <w:r w:rsidRPr="00726D52">
        <w:rPr>
          <w:noProof/>
        </w:rPr>
        <w:t xml:space="preserve">, this option strengthens the </w:t>
      </w:r>
      <w:r w:rsidRPr="00726D52">
        <w:rPr>
          <w:b/>
          <w:bCs/>
          <w:noProof/>
        </w:rPr>
        <w:t>speed, coherence, and reliability</w:t>
      </w:r>
      <w:r w:rsidRPr="00726D52">
        <w:rPr>
          <w:noProof/>
        </w:rPr>
        <w:t xml:space="preserve"> of cross-border investigations. It reduces fragmentation, enables </w:t>
      </w:r>
      <w:r w:rsidRPr="00726D52">
        <w:rPr>
          <w:b/>
          <w:bCs/>
          <w:noProof/>
        </w:rPr>
        <w:t>earlier detection of cross-system links</w:t>
      </w:r>
      <w:r w:rsidRPr="00726D52">
        <w:rPr>
          <w:noProof/>
        </w:rPr>
        <w:t xml:space="preserve">, and enhances </w:t>
      </w:r>
      <w:r w:rsidRPr="00726D52">
        <w:rPr>
          <w:b/>
          <w:bCs/>
          <w:noProof/>
        </w:rPr>
        <w:t>forensic cooperation</w:t>
      </w:r>
      <w:r w:rsidRPr="00726D52">
        <w:rPr>
          <w:noProof/>
        </w:rPr>
        <w:t xml:space="preserve"> in complex or time-critical cases, while Europol acts strictly within its mandate and on </w:t>
      </w:r>
      <w:r w:rsidRPr="00726D52">
        <w:rPr>
          <w:b/>
          <w:bCs/>
          <w:noProof/>
        </w:rPr>
        <w:t>Member State authorisation</w:t>
      </w:r>
      <w:r w:rsidRPr="00726D52">
        <w:rPr>
          <w:noProof/>
        </w:rPr>
        <w:t xml:space="preserve">, without centralising data. Overall, it reinforces </w:t>
      </w:r>
      <w:r w:rsidRPr="00726D52">
        <w:rPr>
          <w:b/>
          <w:bCs/>
          <w:noProof/>
        </w:rPr>
        <w:t>EU internal security</w:t>
      </w:r>
      <w:r w:rsidRPr="00726D52">
        <w:rPr>
          <w:noProof/>
        </w:rPr>
        <w:t xml:space="preserve"> and delivers clear </w:t>
      </w:r>
      <w:r w:rsidRPr="00726D52">
        <w:rPr>
          <w:b/>
          <w:bCs/>
          <w:noProof/>
        </w:rPr>
        <w:t>EU added value</w:t>
      </w:r>
      <w:r w:rsidRPr="00726D52">
        <w:rPr>
          <w:noProof/>
        </w:rPr>
        <w:t>.</w:t>
      </w:r>
    </w:p>
    <w:p w14:paraId="1F751D36" w14:textId="77777777" w:rsidR="000A268D" w:rsidRPr="00726D52" w:rsidRDefault="000A268D" w:rsidP="009502B2">
      <w:pPr>
        <w:pStyle w:val="Heading4"/>
        <w:numPr>
          <w:ilvl w:val="0"/>
          <w:numId w:val="85"/>
        </w:numPr>
        <w:rPr>
          <w:b/>
          <w:noProof/>
        </w:rPr>
      </w:pPr>
      <w:r w:rsidRPr="00726D52">
        <w:rPr>
          <w:b/>
          <w:noProof/>
        </w:rPr>
        <w:t>Impact on data protection (0)</w:t>
      </w:r>
    </w:p>
    <w:p w14:paraId="6AEE67A6" w14:textId="77777777" w:rsidR="000A268D" w:rsidRPr="00726D52" w:rsidRDefault="000A268D" w:rsidP="000A268D">
      <w:pPr>
        <w:rPr>
          <w:rFonts w:eastAsia="Times New Roman"/>
          <w:i/>
          <w:iCs/>
          <w:noProof/>
        </w:rPr>
      </w:pPr>
      <w:r w:rsidRPr="00726D52">
        <w:rPr>
          <w:rFonts w:eastAsia="Times New Roman"/>
          <w:i/>
          <w:iCs/>
          <w:noProof/>
        </w:rPr>
        <w:t>Necessity</w:t>
      </w:r>
    </w:p>
    <w:p w14:paraId="570B2CA3" w14:textId="77777777" w:rsidR="000A268D" w:rsidRPr="00726D52" w:rsidRDefault="000A268D" w:rsidP="000A268D">
      <w:pPr>
        <w:rPr>
          <w:noProof/>
        </w:rPr>
      </w:pPr>
      <w:r w:rsidRPr="00726D52">
        <w:rPr>
          <w:noProof/>
        </w:rPr>
        <w:t xml:space="preserve">Allowing Europol, with explicit </w:t>
      </w:r>
      <w:r w:rsidRPr="00726D52">
        <w:rPr>
          <w:b/>
          <w:bCs/>
          <w:noProof/>
        </w:rPr>
        <w:t>Member State authorisation</w:t>
      </w:r>
      <w:r w:rsidRPr="00726D52">
        <w:rPr>
          <w:noProof/>
        </w:rPr>
        <w:t xml:space="preserve">, to query national databases under </w:t>
      </w:r>
      <w:r w:rsidRPr="00726D52">
        <w:rPr>
          <w:b/>
          <w:bCs/>
          <w:noProof/>
        </w:rPr>
        <w:t>EU frameworks</w:t>
      </w:r>
      <w:r w:rsidRPr="00726D52">
        <w:rPr>
          <w:noProof/>
        </w:rPr>
        <w:t xml:space="preserve"> addresses operational gaps that currently cause delays and blind spots. Anchored in the </w:t>
      </w:r>
      <w:r w:rsidRPr="00726D52">
        <w:rPr>
          <w:b/>
          <w:bCs/>
          <w:noProof/>
        </w:rPr>
        <w:t>Prüm II hit/no-hit architecture</w:t>
      </w:r>
      <w:r w:rsidRPr="00726D52">
        <w:rPr>
          <w:noProof/>
        </w:rPr>
        <w:t xml:space="preserve"> and maintaining full </w:t>
      </w:r>
      <w:r w:rsidRPr="00726D52">
        <w:rPr>
          <w:b/>
          <w:bCs/>
          <w:noProof/>
        </w:rPr>
        <w:t>national control</w:t>
      </w:r>
      <w:r w:rsidRPr="00726D52">
        <w:rPr>
          <w:noProof/>
        </w:rPr>
        <w:t xml:space="preserve">, Europol acts as a </w:t>
      </w:r>
      <w:r w:rsidRPr="00726D52">
        <w:rPr>
          <w:b/>
          <w:bCs/>
          <w:noProof/>
        </w:rPr>
        <w:t>technical and analytical service provider</w:t>
      </w:r>
      <w:r w:rsidRPr="00726D52">
        <w:rPr>
          <w:noProof/>
        </w:rPr>
        <w:t xml:space="preserve"> without new data categories or autonomous access rights, ensuring more effective cross-border cooperation, particularly in </w:t>
      </w:r>
      <w:r w:rsidRPr="00726D52">
        <w:rPr>
          <w:b/>
          <w:bCs/>
          <w:noProof/>
        </w:rPr>
        <w:t>complex or time-critical cases</w:t>
      </w:r>
      <w:r w:rsidRPr="00726D52">
        <w:rPr>
          <w:noProof/>
        </w:rPr>
        <w:t>.</w:t>
      </w:r>
    </w:p>
    <w:p w14:paraId="62BC4141" w14:textId="77777777" w:rsidR="000A268D" w:rsidRPr="00726D52" w:rsidRDefault="000A268D" w:rsidP="000A268D">
      <w:pPr>
        <w:rPr>
          <w:noProof/>
        </w:rPr>
      </w:pPr>
      <w:r w:rsidRPr="00726D52">
        <w:rPr>
          <w:noProof/>
        </w:rPr>
        <w:t xml:space="preserve">A shared </w:t>
      </w:r>
      <w:r w:rsidRPr="00726D52">
        <w:rPr>
          <w:b/>
          <w:bCs/>
          <w:noProof/>
        </w:rPr>
        <w:t>EU DNA matching service</w:t>
      </w:r>
      <w:r w:rsidRPr="00726D52">
        <w:rPr>
          <w:noProof/>
        </w:rPr>
        <w:t xml:space="preserve"> enhances </w:t>
      </w:r>
      <w:r w:rsidRPr="00726D52">
        <w:rPr>
          <w:b/>
          <w:bCs/>
          <w:noProof/>
        </w:rPr>
        <w:t>operational resilience</w:t>
      </w:r>
      <w:r w:rsidRPr="00726D52">
        <w:rPr>
          <w:noProof/>
        </w:rPr>
        <w:t xml:space="preserve">, aligns with evolving </w:t>
      </w:r>
      <w:r w:rsidRPr="00726D52">
        <w:rPr>
          <w:b/>
          <w:bCs/>
          <w:noProof/>
        </w:rPr>
        <w:t>Prüm II standards</w:t>
      </w:r>
      <w:r w:rsidRPr="00726D52">
        <w:rPr>
          <w:noProof/>
        </w:rPr>
        <w:t xml:space="preserve">, and reduces reliance on third-country tools. Developed with Member States and forensic authorities, it is </w:t>
      </w:r>
      <w:r w:rsidRPr="00726D52">
        <w:rPr>
          <w:b/>
          <w:bCs/>
          <w:noProof/>
        </w:rPr>
        <w:t>optional and fully governed by Member States</w:t>
      </w:r>
      <w:r w:rsidRPr="00726D52">
        <w:rPr>
          <w:noProof/>
        </w:rPr>
        <w:t xml:space="preserve">, providing a common solution for lawfully collected data while preventing fragmentation and ensuring consistent application of </w:t>
      </w:r>
      <w:r w:rsidRPr="00726D52">
        <w:rPr>
          <w:b/>
          <w:bCs/>
          <w:noProof/>
        </w:rPr>
        <w:t>EU data protection standards</w:t>
      </w:r>
      <w:r w:rsidRPr="00726D52">
        <w:rPr>
          <w:noProof/>
        </w:rPr>
        <w:t xml:space="preserve">. Both measures are </w:t>
      </w:r>
      <w:r w:rsidRPr="00726D52">
        <w:rPr>
          <w:b/>
          <w:bCs/>
          <w:noProof/>
        </w:rPr>
        <w:t>necessary and targeted</w:t>
      </w:r>
      <w:r w:rsidRPr="00726D52">
        <w:rPr>
          <w:noProof/>
        </w:rPr>
        <w:t>, addressing identified operational gaps without expanding Europol’s mandate or data scope.</w:t>
      </w:r>
    </w:p>
    <w:p w14:paraId="6B2044DC" w14:textId="77777777" w:rsidR="000A268D" w:rsidRPr="00726D52" w:rsidRDefault="000A268D" w:rsidP="000A268D">
      <w:pPr>
        <w:rPr>
          <w:noProof/>
        </w:rPr>
      </w:pPr>
      <w:r w:rsidRPr="00726D52">
        <w:rPr>
          <w:noProof/>
        </w:rPr>
        <w:t xml:space="preserve">This policy option </w:t>
      </w:r>
      <w:r w:rsidRPr="00726D52">
        <w:rPr>
          <w:b/>
          <w:bCs/>
          <w:noProof/>
        </w:rPr>
        <w:t>passes the necessity test</w:t>
      </w:r>
      <w:r w:rsidRPr="00726D52">
        <w:rPr>
          <w:noProof/>
        </w:rPr>
        <w:t xml:space="preserve">. </w:t>
      </w:r>
    </w:p>
    <w:p w14:paraId="4FFE9B7D" w14:textId="77777777" w:rsidR="000A268D" w:rsidRPr="00726D52" w:rsidRDefault="000A268D" w:rsidP="000A268D">
      <w:pPr>
        <w:rPr>
          <w:rFonts w:eastAsia="Times New Roman"/>
          <w:i/>
          <w:iCs/>
          <w:noProof/>
        </w:rPr>
      </w:pPr>
      <w:r w:rsidRPr="00726D52">
        <w:rPr>
          <w:rFonts w:eastAsia="Times New Roman"/>
          <w:i/>
          <w:iCs/>
          <w:noProof/>
        </w:rPr>
        <w:t>Proportionality</w:t>
      </w:r>
    </w:p>
    <w:p w14:paraId="759FF614" w14:textId="77777777" w:rsidR="000A268D" w:rsidRPr="00726D52" w:rsidRDefault="000A268D" w:rsidP="000A268D">
      <w:pPr>
        <w:rPr>
          <w:rFonts w:eastAsia="Times New Roman"/>
          <w:noProof/>
        </w:rPr>
      </w:pPr>
      <w:r w:rsidRPr="00726D52">
        <w:rPr>
          <w:rFonts w:eastAsia="Times New Roman"/>
          <w:noProof/>
        </w:rPr>
        <w:lastRenderedPageBreak/>
        <w:t xml:space="preserve">Europol access strictly limited to </w:t>
      </w:r>
      <w:r w:rsidRPr="00726D52">
        <w:rPr>
          <w:rFonts w:eastAsia="Times New Roman"/>
          <w:b/>
          <w:bCs/>
          <w:noProof/>
        </w:rPr>
        <w:t>Prüm II</w:t>
      </w:r>
      <w:r w:rsidRPr="00726D52">
        <w:rPr>
          <w:rFonts w:eastAsia="Times New Roman"/>
          <w:noProof/>
        </w:rPr>
        <w:t xml:space="preserve"> and under </w:t>
      </w:r>
      <w:r w:rsidRPr="00726D52">
        <w:rPr>
          <w:rFonts w:eastAsia="Times New Roman"/>
          <w:b/>
          <w:bCs/>
          <w:noProof/>
        </w:rPr>
        <w:t>Member State authorisation</w:t>
      </w:r>
      <w:r w:rsidRPr="00726D52">
        <w:rPr>
          <w:rFonts w:eastAsia="Times New Roman"/>
          <w:noProof/>
        </w:rPr>
        <w:t xml:space="preserve"> is proportionate, preserving the </w:t>
      </w:r>
      <w:r w:rsidRPr="00726D52">
        <w:rPr>
          <w:rFonts w:eastAsia="Times New Roman"/>
          <w:b/>
          <w:bCs/>
          <w:noProof/>
        </w:rPr>
        <w:t>hit/no-hit architecture, national control, case-based use, and data ownership</w:t>
      </w:r>
      <w:r w:rsidRPr="00726D52">
        <w:rPr>
          <w:rFonts w:eastAsia="Times New Roman"/>
          <w:noProof/>
        </w:rPr>
        <w:t xml:space="preserve">, without expanding data categories or retention. This supports cross-border investigations without exceeding what is necessary, while any access beyond Prüm II is </w:t>
      </w:r>
      <w:r w:rsidRPr="00726D52">
        <w:rPr>
          <w:rFonts w:eastAsia="Times New Roman"/>
          <w:b/>
          <w:bCs/>
          <w:noProof/>
        </w:rPr>
        <w:t>not proportionate</w:t>
      </w:r>
      <w:r w:rsidRPr="00726D52">
        <w:rPr>
          <w:rFonts w:eastAsia="Times New Roman"/>
          <w:noProof/>
        </w:rPr>
        <w:t xml:space="preserve"> and excluded from option comparisons.</w:t>
      </w:r>
    </w:p>
    <w:p w14:paraId="14B05E25" w14:textId="4A26E7A1" w:rsidR="000A268D" w:rsidRPr="00726D52" w:rsidRDefault="000A268D" w:rsidP="000A268D">
      <w:pPr>
        <w:rPr>
          <w:rFonts w:eastAsia="Times New Roman"/>
          <w:noProof/>
        </w:rPr>
      </w:pPr>
      <w:r w:rsidRPr="00726D52">
        <w:rPr>
          <w:noProof/>
        </w:rPr>
        <w:t xml:space="preserve">A shared </w:t>
      </w:r>
      <w:r w:rsidRPr="00726D52">
        <w:rPr>
          <w:rStyle w:val="Strong"/>
          <w:noProof/>
        </w:rPr>
        <w:t>EU DNA matching service</w:t>
      </w:r>
      <w:r w:rsidRPr="00726D52">
        <w:rPr>
          <w:noProof/>
        </w:rPr>
        <w:t xml:space="preserve">, developed with Member States and aligned with Prüm II, is proportionate. It does </w:t>
      </w:r>
      <w:r w:rsidRPr="00726D52">
        <w:rPr>
          <w:rStyle w:val="Strong"/>
          <w:noProof/>
        </w:rPr>
        <w:t>not create new data categories</w:t>
      </w:r>
      <w:r w:rsidRPr="00726D52">
        <w:rPr>
          <w:noProof/>
        </w:rPr>
        <w:t xml:space="preserve">, remains </w:t>
      </w:r>
      <w:r w:rsidRPr="00726D52">
        <w:rPr>
          <w:rStyle w:val="Strong"/>
          <w:noProof/>
        </w:rPr>
        <w:t>optional and Member State–governed</w:t>
      </w:r>
      <w:r w:rsidRPr="00726D52">
        <w:rPr>
          <w:noProof/>
        </w:rPr>
        <w:t xml:space="preserve">, and preserves </w:t>
      </w:r>
      <w:r w:rsidRPr="00726D52">
        <w:rPr>
          <w:rStyle w:val="Strong"/>
          <w:noProof/>
        </w:rPr>
        <w:t>decentralised storage and ownership</w:t>
      </w:r>
      <w:r w:rsidRPr="00726D52">
        <w:rPr>
          <w:noProof/>
        </w:rPr>
        <w:t>, providing common infrastructure for lawfully exchanged DNA data. Its benefits</w:t>
      </w:r>
      <w:r w:rsidR="000D1236" w:rsidRPr="00726D52">
        <w:rPr>
          <w:noProof/>
        </w:rPr>
        <w:t xml:space="preserve"> – </w:t>
      </w:r>
      <w:r w:rsidRPr="00726D52">
        <w:rPr>
          <w:noProof/>
        </w:rPr>
        <w:t xml:space="preserve">enhanced effectiveness and </w:t>
      </w:r>
      <w:r w:rsidRPr="00726D52">
        <w:rPr>
          <w:rStyle w:val="Strong"/>
          <w:noProof/>
        </w:rPr>
        <w:t>EU strategic autonomy</w:t>
      </w:r>
      <w:r w:rsidR="000D1236" w:rsidRPr="00726D52">
        <w:rPr>
          <w:noProof/>
        </w:rPr>
        <w:t xml:space="preserve"> – </w:t>
      </w:r>
      <w:r w:rsidRPr="00726D52">
        <w:rPr>
          <w:noProof/>
        </w:rPr>
        <w:t>outweigh the limited, controlled impact on data processing.</w:t>
      </w:r>
      <w:r w:rsidRPr="00726D52">
        <w:rPr>
          <w:rFonts w:eastAsia="Times New Roman"/>
          <w:noProof/>
        </w:rPr>
        <w:t xml:space="preserve"> We therefore conclude that the option </w:t>
      </w:r>
      <w:r w:rsidRPr="00726D52">
        <w:rPr>
          <w:rFonts w:eastAsia="Times New Roman"/>
          <w:b/>
          <w:noProof/>
        </w:rPr>
        <w:t>respects the principle of proportionality</w:t>
      </w:r>
      <w:r w:rsidR="000D1236" w:rsidRPr="00726D52">
        <w:rPr>
          <w:rFonts w:eastAsia="Times New Roman"/>
          <w:bCs/>
          <w:noProof/>
        </w:rPr>
        <w:t>.</w:t>
      </w:r>
    </w:p>
    <w:p w14:paraId="4D18751A" w14:textId="77777777" w:rsidR="000A268D" w:rsidRPr="00726D52" w:rsidRDefault="000A268D" w:rsidP="009502B2">
      <w:pPr>
        <w:pStyle w:val="Heading4"/>
        <w:numPr>
          <w:ilvl w:val="0"/>
          <w:numId w:val="24"/>
        </w:numPr>
        <w:tabs>
          <w:tab w:val="num" w:pos="360"/>
        </w:tabs>
        <w:ind w:left="0" w:firstLine="0"/>
        <w:rPr>
          <w:b/>
          <w:noProof/>
        </w:rPr>
      </w:pPr>
      <w:r w:rsidRPr="00726D52">
        <w:rPr>
          <w:b/>
          <w:noProof/>
        </w:rPr>
        <w:t>Costs (+/--)</w:t>
      </w:r>
    </w:p>
    <w:tbl>
      <w:tblPr>
        <w:tblStyle w:val="CV15"/>
        <w:tblW w:w="0" w:type="auto"/>
        <w:jc w:val="center"/>
        <w:tblLook w:val="04A0" w:firstRow="1" w:lastRow="0" w:firstColumn="1" w:lastColumn="0" w:noHBand="0" w:noVBand="1"/>
      </w:tblPr>
      <w:tblGrid>
        <w:gridCol w:w="5215"/>
        <w:gridCol w:w="1699"/>
        <w:gridCol w:w="1693"/>
      </w:tblGrid>
      <w:tr w:rsidR="000A268D" w:rsidRPr="00726D52" w14:paraId="146EF742" w14:textId="77777777" w:rsidTr="00C05BFC">
        <w:trPr>
          <w:jc w:val="center"/>
        </w:trPr>
        <w:tc>
          <w:tcPr>
            <w:tcW w:w="538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E51411C" w14:textId="77777777" w:rsidR="000A268D" w:rsidRPr="00726D52" w:rsidRDefault="000A268D" w:rsidP="00C05BFC">
            <w:pPr>
              <w:rPr>
                <w:rFonts w:eastAsiaTheme="minorHAnsi"/>
                <w:noProof/>
                <w:lang w:eastAsia="en-US"/>
              </w:rPr>
            </w:pPr>
          </w:p>
        </w:tc>
        <w:tc>
          <w:tcPr>
            <w:tcW w:w="17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E3BA0C5" w14:textId="77777777" w:rsidR="000A268D" w:rsidRPr="00726D52" w:rsidRDefault="000A268D" w:rsidP="00C05BFC">
            <w:pPr>
              <w:rPr>
                <w:rFonts w:eastAsiaTheme="minorHAnsi"/>
                <w:b/>
                <w:i/>
                <w:noProof/>
                <w:lang w:eastAsia="en-US"/>
              </w:rPr>
            </w:pPr>
            <w:r w:rsidRPr="00726D52">
              <w:rPr>
                <w:rFonts w:eastAsiaTheme="minorHAnsi"/>
                <w:b/>
                <w:i/>
                <w:noProof/>
              </w:rPr>
              <w:t>Member States</w:t>
            </w:r>
          </w:p>
        </w:tc>
        <w:tc>
          <w:tcPr>
            <w:tcW w:w="17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09377FC" w14:textId="77777777" w:rsidR="000A268D" w:rsidRPr="00726D52" w:rsidRDefault="000A268D" w:rsidP="00C05BFC">
            <w:pPr>
              <w:rPr>
                <w:rFonts w:eastAsiaTheme="minorHAnsi"/>
                <w:b/>
                <w:i/>
                <w:noProof/>
                <w:lang w:eastAsia="en-US"/>
              </w:rPr>
            </w:pPr>
            <w:r w:rsidRPr="00726D52">
              <w:rPr>
                <w:rFonts w:eastAsiaTheme="minorHAnsi"/>
                <w:b/>
                <w:i/>
                <w:noProof/>
              </w:rPr>
              <w:t>Europol</w:t>
            </w:r>
          </w:p>
        </w:tc>
      </w:tr>
      <w:tr w:rsidR="000A268D" w:rsidRPr="00726D52" w14:paraId="12753616" w14:textId="77777777" w:rsidTr="00C05BFC">
        <w:trPr>
          <w:jc w:val="center"/>
        </w:trPr>
        <w:tc>
          <w:tcPr>
            <w:tcW w:w="5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106A5C" w14:textId="77777777" w:rsidR="000A268D" w:rsidRPr="00726D52" w:rsidRDefault="000A268D" w:rsidP="00C05BFC">
            <w:pPr>
              <w:rPr>
                <w:rFonts w:eastAsiaTheme="minorHAnsi"/>
                <w:b/>
                <w:i/>
                <w:noProof/>
                <w:lang w:eastAsia="en-US"/>
              </w:rPr>
            </w:pPr>
            <w:r w:rsidRPr="00726D52">
              <w:rPr>
                <w:rFonts w:eastAsiaTheme="minorHAnsi"/>
                <w:b/>
                <w:i/>
                <w:noProof/>
              </w:rPr>
              <w:t>Direct costs</w:t>
            </w:r>
          </w:p>
        </w:tc>
        <w:tc>
          <w:tcPr>
            <w:tcW w:w="17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A268D" w:rsidRPr="00726D52" w14:paraId="21CEE114" w14:textId="77777777" w:rsidTr="00C05BFC">
              <w:trPr>
                <w:tblCellSpacing w:w="15" w:type="dxa"/>
              </w:trPr>
              <w:tc>
                <w:tcPr>
                  <w:tcW w:w="0" w:type="auto"/>
                  <w:vAlign w:val="center"/>
                </w:tcPr>
                <w:p w14:paraId="10CCF490" w14:textId="77777777" w:rsidR="000A268D" w:rsidRPr="00726D52" w:rsidRDefault="000A268D" w:rsidP="00C05BFC">
                  <w:pPr>
                    <w:spacing w:before="100" w:beforeAutospacing="1" w:after="100" w:afterAutospacing="1"/>
                    <w:jc w:val="left"/>
                    <w:rPr>
                      <w:rFonts w:eastAsia="Times New Roman"/>
                      <w:noProof/>
                    </w:rPr>
                  </w:pPr>
                </w:p>
              </w:tc>
            </w:tr>
          </w:tbl>
          <w:p w14:paraId="189D7635" w14:textId="77777777" w:rsidR="000A268D" w:rsidRPr="00726D52" w:rsidRDefault="000A268D" w:rsidP="00C05BFC">
            <w:pPr>
              <w:rPr>
                <w:rFonts w:eastAsiaTheme="minorHAnsi"/>
                <w:noProof/>
                <w:lang w:eastAsia="en-US"/>
              </w:rPr>
            </w:pPr>
          </w:p>
        </w:tc>
        <w:tc>
          <w:tcPr>
            <w:tcW w:w="17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A268D" w:rsidRPr="00726D52" w14:paraId="20EB0428" w14:textId="77777777" w:rsidTr="00C05BFC">
              <w:trPr>
                <w:tblCellSpacing w:w="15" w:type="dxa"/>
              </w:trPr>
              <w:tc>
                <w:tcPr>
                  <w:tcW w:w="0" w:type="auto"/>
                  <w:vAlign w:val="center"/>
                </w:tcPr>
                <w:p w14:paraId="6BCC8A85" w14:textId="77777777" w:rsidR="000A268D" w:rsidRPr="00726D52" w:rsidRDefault="000A268D" w:rsidP="00C05BFC">
                  <w:pPr>
                    <w:spacing w:before="100" w:beforeAutospacing="1" w:after="100" w:afterAutospacing="1"/>
                    <w:jc w:val="left"/>
                    <w:rPr>
                      <w:rFonts w:eastAsia="Times New Roman"/>
                      <w:noProof/>
                    </w:rPr>
                  </w:pPr>
                </w:p>
              </w:tc>
            </w:tr>
          </w:tbl>
          <w:p w14:paraId="730B4579" w14:textId="77777777" w:rsidR="000A268D" w:rsidRPr="00726D52" w:rsidRDefault="000A268D" w:rsidP="00C05BFC">
            <w:pPr>
              <w:rPr>
                <w:rFonts w:eastAsiaTheme="minorHAnsi"/>
                <w:noProof/>
                <w:lang w:eastAsia="en-US"/>
              </w:rPr>
            </w:pPr>
          </w:p>
        </w:tc>
      </w:tr>
      <w:tr w:rsidR="000A268D" w:rsidRPr="00726D52" w14:paraId="3F041348" w14:textId="77777777" w:rsidTr="00C05BFC">
        <w:trPr>
          <w:trHeight w:val="830"/>
          <w:jc w:val="center"/>
        </w:trPr>
        <w:tc>
          <w:tcPr>
            <w:tcW w:w="5385" w:type="dxa"/>
            <w:tcBorders>
              <w:top w:val="single" w:sz="4" w:space="0" w:color="auto"/>
              <w:left w:val="single" w:sz="4" w:space="0" w:color="auto"/>
              <w:bottom w:val="single" w:sz="4" w:space="0" w:color="auto"/>
              <w:right w:val="single" w:sz="4" w:space="0" w:color="auto"/>
            </w:tcBorders>
            <w:hideMark/>
          </w:tcPr>
          <w:p w14:paraId="35A898AC" w14:textId="77777777" w:rsidR="000A268D" w:rsidRPr="00726D52" w:rsidRDefault="000A268D" w:rsidP="00C05BFC">
            <w:pPr>
              <w:rPr>
                <w:rFonts w:eastAsiaTheme="minorHAnsi"/>
                <w:noProof/>
              </w:rPr>
            </w:pPr>
            <w:r w:rsidRPr="00726D52">
              <w:rPr>
                <w:rFonts w:eastAsiaTheme="minorHAnsi"/>
                <w:noProof/>
              </w:rPr>
              <w:t>Expected one-off costs (in million EUR)</w:t>
            </w:r>
          </w:p>
          <w:p w14:paraId="1FF5DE8B" w14:textId="77777777" w:rsidR="000A268D" w:rsidRPr="00726D52" w:rsidRDefault="000A268D" w:rsidP="00C05BFC">
            <w:pPr>
              <w:ind w:left="720"/>
              <w:rPr>
                <w:rFonts w:eastAsiaTheme="minorHAnsi"/>
                <w:noProof/>
                <w:lang w:eastAsia="en-US"/>
              </w:rPr>
            </w:pPr>
          </w:p>
          <w:p w14:paraId="36674F17" w14:textId="77777777" w:rsidR="000A268D" w:rsidRPr="00726D52" w:rsidRDefault="000A268D" w:rsidP="009502B2">
            <w:pPr>
              <w:numPr>
                <w:ilvl w:val="0"/>
                <w:numId w:val="16"/>
              </w:numPr>
              <w:rPr>
                <w:noProof/>
              </w:rPr>
            </w:pPr>
            <w:r w:rsidRPr="00726D52">
              <w:rPr>
                <w:noProof/>
              </w:rPr>
              <w:t>Access to national databases</w:t>
            </w:r>
          </w:p>
          <w:p w14:paraId="345201F8" w14:textId="77777777" w:rsidR="000A268D" w:rsidRPr="00726D52" w:rsidRDefault="000A268D" w:rsidP="009502B2">
            <w:pPr>
              <w:numPr>
                <w:ilvl w:val="0"/>
                <w:numId w:val="16"/>
              </w:numPr>
              <w:rPr>
                <w:rFonts w:eastAsiaTheme="minorHAnsi"/>
                <w:noProof/>
                <w:lang w:eastAsia="en-US"/>
              </w:rPr>
            </w:pPr>
            <w:r w:rsidRPr="00726D52">
              <w:rPr>
                <w:noProof/>
              </w:rPr>
              <w:t>DNA matcher</w:t>
            </w:r>
          </w:p>
        </w:tc>
        <w:tc>
          <w:tcPr>
            <w:tcW w:w="1716" w:type="dxa"/>
            <w:tcBorders>
              <w:top w:val="single" w:sz="4" w:space="0" w:color="auto"/>
              <w:left w:val="single" w:sz="4" w:space="0" w:color="auto"/>
              <w:bottom w:val="single" w:sz="4" w:space="0" w:color="auto"/>
              <w:right w:val="single" w:sz="4" w:space="0" w:color="auto"/>
            </w:tcBorders>
            <w:hideMark/>
          </w:tcPr>
          <w:p w14:paraId="49224E0D" w14:textId="77777777" w:rsidR="000A268D" w:rsidRPr="00726D52" w:rsidRDefault="000A268D" w:rsidP="00C05BFC">
            <w:pPr>
              <w:rPr>
                <w:rFonts w:eastAsiaTheme="minorHAnsi"/>
                <w:noProof/>
                <w:lang w:eastAsia="en-US"/>
              </w:rPr>
            </w:pPr>
            <w:r w:rsidRPr="00726D52">
              <w:rPr>
                <w:rFonts w:eastAsiaTheme="minorHAnsi"/>
                <w:noProof/>
                <w:lang w:eastAsia="en-US"/>
              </w:rPr>
              <w:t>1.35 (0.05 per MS)</w:t>
            </w:r>
          </w:p>
          <w:p w14:paraId="44192316" w14:textId="77777777" w:rsidR="000A268D" w:rsidRPr="00726D52" w:rsidRDefault="000A268D" w:rsidP="009502B2">
            <w:pPr>
              <w:numPr>
                <w:ilvl w:val="0"/>
                <w:numId w:val="35"/>
              </w:numPr>
              <w:rPr>
                <w:noProof/>
              </w:rPr>
            </w:pPr>
            <w:r w:rsidRPr="00726D52">
              <w:rPr>
                <w:rFonts w:eastAsiaTheme="minorHAnsi"/>
                <w:noProof/>
                <w:lang w:eastAsia="en-US"/>
              </w:rPr>
              <w:t xml:space="preserve"> </w:t>
            </w:r>
            <w:r w:rsidRPr="00726D52">
              <w:rPr>
                <w:noProof/>
              </w:rPr>
              <w:t>0</w:t>
            </w:r>
          </w:p>
          <w:p w14:paraId="1363DF15" w14:textId="77777777" w:rsidR="000A268D" w:rsidRPr="00726D52" w:rsidRDefault="000A268D" w:rsidP="009502B2">
            <w:pPr>
              <w:numPr>
                <w:ilvl w:val="0"/>
                <w:numId w:val="35"/>
              </w:numPr>
              <w:rPr>
                <w:rFonts w:eastAsiaTheme="minorHAnsi"/>
                <w:noProof/>
                <w:lang w:eastAsia="en-US"/>
              </w:rPr>
            </w:pPr>
            <w:r w:rsidRPr="00726D52">
              <w:rPr>
                <w:rFonts w:eastAsiaTheme="minorHAnsi"/>
                <w:noProof/>
                <w:lang w:eastAsia="en-US"/>
              </w:rPr>
              <w:t>1.35</w:t>
            </w:r>
          </w:p>
        </w:tc>
        <w:tc>
          <w:tcPr>
            <w:tcW w:w="1716" w:type="dxa"/>
            <w:tcBorders>
              <w:top w:val="single" w:sz="4" w:space="0" w:color="auto"/>
              <w:left w:val="single" w:sz="4" w:space="0" w:color="auto"/>
              <w:bottom w:val="single" w:sz="4" w:space="0" w:color="auto"/>
              <w:right w:val="single" w:sz="4" w:space="0" w:color="auto"/>
            </w:tcBorders>
          </w:tcPr>
          <w:p w14:paraId="7971E52B" w14:textId="77777777" w:rsidR="000A268D" w:rsidRPr="00726D52" w:rsidRDefault="000A268D" w:rsidP="00C05BFC">
            <w:pPr>
              <w:rPr>
                <w:rFonts w:eastAsiaTheme="minorHAnsi"/>
                <w:noProof/>
                <w:lang w:eastAsia="en-US"/>
              </w:rPr>
            </w:pPr>
            <w:r w:rsidRPr="00726D52">
              <w:rPr>
                <w:rFonts w:eastAsiaTheme="minorHAnsi"/>
                <w:noProof/>
                <w:lang w:eastAsia="en-US"/>
              </w:rPr>
              <w:t>11</w:t>
            </w:r>
          </w:p>
          <w:p w14:paraId="217199D6" w14:textId="77777777" w:rsidR="000A268D" w:rsidRPr="00726D52" w:rsidRDefault="000A268D" w:rsidP="00C05BFC">
            <w:pPr>
              <w:rPr>
                <w:noProof/>
              </w:rPr>
            </w:pPr>
          </w:p>
          <w:p w14:paraId="1E2759EC" w14:textId="77777777" w:rsidR="000A268D" w:rsidRPr="00726D52" w:rsidRDefault="000A268D" w:rsidP="009502B2">
            <w:pPr>
              <w:numPr>
                <w:ilvl w:val="0"/>
                <w:numId w:val="17"/>
              </w:numPr>
              <w:rPr>
                <w:noProof/>
              </w:rPr>
            </w:pPr>
            <w:r w:rsidRPr="00726D52">
              <w:rPr>
                <w:noProof/>
              </w:rPr>
              <w:t>6</w:t>
            </w:r>
          </w:p>
          <w:p w14:paraId="66B16888" w14:textId="77777777" w:rsidR="000A268D" w:rsidRPr="00726D52" w:rsidRDefault="000A268D" w:rsidP="009502B2">
            <w:pPr>
              <w:numPr>
                <w:ilvl w:val="0"/>
                <w:numId w:val="17"/>
              </w:numPr>
              <w:rPr>
                <w:rFonts w:eastAsiaTheme="minorHAnsi"/>
                <w:noProof/>
                <w:lang w:eastAsia="en-US"/>
              </w:rPr>
            </w:pPr>
            <w:r w:rsidRPr="00726D52">
              <w:rPr>
                <w:rFonts w:eastAsiaTheme="minorHAnsi"/>
                <w:noProof/>
                <w:lang w:eastAsia="en-US"/>
              </w:rPr>
              <w:t>5</w:t>
            </w:r>
          </w:p>
        </w:tc>
      </w:tr>
      <w:tr w:rsidR="000A268D" w:rsidRPr="00726D52" w14:paraId="3FB1D3FE" w14:textId="77777777" w:rsidTr="00C05BFC">
        <w:trPr>
          <w:jc w:val="center"/>
        </w:trPr>
        <w:tc>
          <w:tcPr>
            <w:tcW w:w="5385" w:type="dxa"/>
            <w:tcBorders>
              <w:top w:val="single" w:sz="4" w:space="0" w:color="auto"/>
              <w:left w:val="single" w:sz="4" w:space="0" w:color="auto"/>
              <w:bottom w:val="single" w:sz="4" w:space="0" w:color="auto"/>
              <w:right w:val="single" w:sz="4" w:space="0" w:color="auto"/>
            </w:tcBorders>
            <w:hideMark/>
          </w:tcPr>
          <w:p w14:paraId="1A647DE3" w14:textId="77777777" w:rsidR="000A268D" w:rsidRPr="00726D52" w:rsidRDefault="000A268D" w:rsidP="00C05BFC">
            <w:pPr>
              <w:rPr>
                <w:rFonts w:eastAsiaTheme="minorHAnsi"/>
                <w:noProof/>
              </w:rPr>
            </w:pPr>
            <w:r w:rsidRPr="00726D52">
              <w:rPr>
                <w:rFonts w:eastAsiaTheme="minorHAnsi"/>
                <w:noProof/>
              </w:rPr>
              <w:t xml:space="preserve">Expected yearly recurring costs (in million EUR </w:t>
            </w:r>
            <w:r w:rsidRPr="00726D52">
              <w:rPr>
                <w:rFonts w:eastAsiaTheme="minorHAnsi"/>
                <w:i/>
                <w:iCs/>
                <w:noProof/>
              </w:rPr>
              <w:t>per annum</w:t>
            </w:r>
            <w:r w:rsidRPr="00726D52">
              <w:rPr>
                <w:rFonts w:eastAsiaTheme="minorHAnsi"/>
                <w:noProof/>
              </w:rPr>
              <w:t>)</w:t>
            </w:r>
          </w:p>
          <w:p w14:paraId="1C3E20F1" w14:textId="77777777" w:rsidR="000A268D" w:rsidRPr="00726D52" w:rsidRDefault="000A268D" w:rsidP="009502B2">
            <w:pPr>
              <w:numPr>
                <w:ilvl w:val="0"/>
                <w:numId w:val="15"/>
              </w:numPr>
              <w:rPr>
                <w:noProof/>
              </w:rPr>
            </w:pPr>
            <w:r w:rsidRPr="00726D52">
              <w:rPr>
                <w:noProof/>
              </w:rPr>
              <w:t>Access to national databases</w:t>
            </w:r>
          </w:p>
          <w:p w14:paraId="16828F3A" w14:textId="77777777" w:rsidR="000A268D" w:rsidRPr="00726D52" w:rsidRDefault="000A268D" w:rsidP="009502B2">
            <w:pPr>
              <w:numPr>
                <w:ilvl w:val="0"/>
                <w:numId w:val="15"/>
              </w:numPr>
              <w:rPr>
                <w:rFonts w:eastAsiaTheme="minorHAnsi"/>
                <w:noProof/>
                <w:lang w:eastAsia="en-US"/>
              </w:rPr>
            </w:pPr>
            <w:r w:rsidRPr="00726D52">
              <w:rPr>
                <w:noProof/>
              </w:rPr>
              <w:t>DNA matcher</w:t>
            </w:r>
          </w:p>
        </w:tc>
        <w:tc>
          <w:tcPr>
            <w:tcW w:w="1716" w:type="dxa"/>
            <w:tcBorders>
              <w:top w:val="single" w:sz="4" w:space="0" w:color="auto"/>
              <w:left w:val="single" w:sz="4" w:space="0" w:color="auto"/>
              <w:bottom w:val="single" w:sz="4" w:space="0" w:color="auto"/>
              <w:right w:val="single" w:sz="4" w:space="0" w:color="auto"/>
            </w:tcBorders>
          </w:tcPr>
          <w:p w14:paraId="29BD5719" w14:textId="77777777" w:rsidR="000A268D" w:rsidRPr="00726D52" w:rsidRDefault="000A268D" w:rsidP="00C05BFC">
            <w:pPr>
              <w:rPr>
                <w:rFonts w:eastAsiaTheme="minorHAnsi"/>
                <w:noProof/>
                <w:lang w:eastAsia="en-US"/>
              </w:rPr>
            </w:pPr>
            <w:r w:rsidRPr="00726D52">
              <w:rPr>
                <w:rFonts w:eastAsiaTheme="minorHAnsi"/>
                <w:noProof/>
                <w:lang w:eastAsia="en-US"/>
              </w:rPr>
              <w:t>0.3</w:t>
            </w:r>
          </w:p>
          <w:p w14:paraId="5FC3284E" w14:textId="77777777" w:rsidR="000A268D" w:rsidRPr="00726D52" w:rsidRDefault="000A268D" w:rsidP="009502B2">
            <w:pPr>
              <w:numPr>
                <w:ilvl w:val="0"/>
                <w:numId w:val="19"/>
              </w:numPr>
              <w:rPr>
                <w:noProof/>
              </w:rPr>
            </w:pPr>
            <w:r w:rsidRPr="00726D52">
              <w:rPr>
                <w:noProof/>
              </w:rPr>
              <w:t>0</w:t>
            </w:r>
          </w:p>
          <w:p w14:paraId="5CEE2A73" w14:textId="77777777" w:rsidR="000A268D" w:rsidRPr="00726D52" w:rsidRDefault="000A268D" w:rsidP="009502B2">
            <w:pPr>
              <w:numPr>
                <w:ilvl w:val="0"/>
                <w:numId w:val="19"/>
              </w:numPr>
              <w:rPr>
                <w:rFonts w:eastAsiaTheme="minorHAnsi"/>
                <w:noProof/>
                <w:lang w:eastAsia="en-US"/>
              </w:rPr>
            </w:pPr>
            <w:r w:rsidRPr="00726D52">
              <w:rPr>
                <w:rFonts w:eastAsiaTheme="minorHAnsi"/>
                <w:noProof/>
                <w:lang w:eastAsia="en-US"/>
              </w:rPr>
              <w:t>0.3</w:t>
            </w:r>
          </w:p>
        </w:tc>
        <w:tc>
          <w:tcPr>
            <w:tcW w:w="1716" w:type="dxa"/>
            <w:tcBorders>
              <w:top w:val="single" w:sz="4" w:space="0" w:color="auto"/>
              <w:left w:val="single" w:sz="4" w:space="0" w:color="auto"/>
              <w:bottom w:val="single" w:sz="4" w:space="0" w:color="auto"/>
              <w:right w:val="single" w:sz="4" w:space="0" w:color="auto"/>
            </w:tcBorders>
          </w:tcPr>
          <w:p w14:paraId="37DF701E" w14:textId="77777777" w:rsidR="000A268D" w:rsidRPr="00726D52" w:rsidRDefault="000A268D" w:rsidP="00C05BFC">
            <w:pPr>
              <w:rPr>
                <w:rFonts w:eastAsiaTheme="minorHAnsi"/>
                <w:noProof/>
                <w:lang w:eastAsia="en-US"/>
              </w:rPr>
            </w:pPr>
            <w:r w:rsidRPr="00726D52">
              <w:rPr>
                <w:rFonts w:eastAsiaTheme="minorHAnsi"/>
                <w:noProof/>
                <w:lang w:eastAsia="en-US"/>
              </w:rPr>
              <w:t>5.3*</w:t>
            </w:r>
          </w:p>
          <w:p w14:paraId="11DD0FC9" w14:textId="77777777" w:rsidR="000A268D" w:rsidRPr="00726D52" w:rsidRDefault="000A268D" w:rsidP="009502B2">
            <w:pPr>
              <w:numPr>
                <w:ilvl w:val="0"/>
                <w:numId w:val="18"/>
              </w:numPr>
              <w:rPr>
                <w:noProof/>
              </w:rPr>
            </w:pPr>
            <w:r w:rsidRPr="00726D52">
              <w:rPr>
                <w:noProof/>
              </w:rPr>
              <w:t>4.3</w:t>
            </w:r>
          </w:p>
          <w:p w14:paraId="68B3402C" w14:textId="77777777" w:rsidR="000A268D" w:rsidRPr="00726D52" w:rsidRDefault="000A268D" w:rsidP="009502B2">
            <w:pPr>
              <w:numPr>
                <w:ilvl w:val="0"/>
                <w:numId w:val="18"/>
              </w:numPr>
              <w:rPr>
                <w:rFonts w:eastAsiaTheme="minorHAnsi"/>
                <w:noProof/>
                <w:lang w:eastAsia="en-US"/>
              </w:rPr>
            </w:pPr>
            <w:r w:rsidRPr="00726D52">
              <w:rPr>
                <w:rFonts w:eastAsiaTheme="minorHAnsi"/>
                <w:noProof/>
                <w:lang w:eastAsia="en-US"/>
              </w:rPr>
              <w:t>1</w:t>
            </w:r>
          </w:p>
        </w:tc>
      </w:tr>
    </w:tbl>
    <w:p w14:paraId="241E825B" w14:textId="29E5F5CF" w:rsidR="000A268D" w:rsidRPr="00726D52" w:rsidRDefault="00495928" w:rsidP="000A268D">
      <w:pPr>
        <w:rPr>
          <w:rFonts w:eastAsia="Times New Roman"/>
          <w:noProof/>
        </w:rPr>
      </w:pPr>
      <w:r w:rsidRPr="00726D52">
        <w:rPr>
          <w:rFonts w:eastAsia="Times New Roman"/>
          <w:noProof/>
        </w:rPr>
        <w:br/>
      </w:r>
      <w:r w:rsidR="000A268D" w:rsidRPr="00726D52">
        <w:rPr>
          <w:rFonts w:eastAsia="Times New Roman"/>
          <w:noProof/>
        </w:rPr>
        <w:t>Under the Prüm-based approach, Member States’ costs remain negligible, with only limited technical adjustments and a small one-off cost (around EUR 0.05 million per Member State). Europol bears moderate initial and limited recurring costs for additional staff, reinforced data management and minor system upgrades, including the EU DNA matcher. While EU-level expenditure increases, overall Union costs are expected to decrease over time through economies of scale and reduced reliance on third-country solutions.</w:t>
      </w:r>
    </w:p>
    <w:p w14:paraId="417B90AF" w14:textId="77777777" w:rsidR="000A268D" w:rsidRPr="00726D52" w:rsidRDefault="000A268D" w:rsidP="009502B2">
      <w:pPr>
        <w:pStyle w:val="Heading4"/>
        <w:numPr>
          <w:ilvl w:val="0"/>
          <w:numId w:val="24"/>
        </w:numPr>
        <w:tabs>
          <w:tab w:val="num" w:pos="360"/>
        </w:tabs>
        <w:ind w:left="0" w:firstLine="0"/>
        <w:rPr>
          <w:b/>
          <w:noProof/>
        </w:rPr>
      </w:pPr>
      <w:r w:rsidRPr="00726D52">
        <w:rPr>
          <w:b/>
          <w:noProof/>
        </w:rPr>
        <w:t>Feasibility (+)</w:t>
      </w:r>
    </w:p>
    <w:p w14:paraId="3C6A692F" w14:textId="77777777" w:rsidR="000A268D" w:rsidRPr="00726D52" w:rsidRDefault="000A268D" w:rsidP="000A268D">
      <w:pPr>
        <w:rPr>
          <w:i/>
          <w:iCs/>
          <w:noProof/>
        </w:rPr>
      </w:pPr>
      <w:r w:rsidRPr="00726D52">
        <w:rPr>
          <w:i/>
          <w:iCs/>
          <w:noProof/>
        </w:rPr>
        <w:t>Technical feasibility</w:t>
      </w:r>
    </w:p>
    <w:p w14:paraId="59520138" w14:textId="77777777" w:rsidR="000A268D" w:rsidRPr="00726D52" w:rsidRDefault="000A268D" w:rsidP="000A268D">
      <w:pPr>
        <w:rPr>
          <w:noProof/>
        </w:rPr>
      </w:pPr>
      <w:r w:rsidRPr="00726D52">
        <w:rPr>
          <w:rStyle w:val="Strong"/>
          <w:noProof/>
        </w:rPr>
        <w:t>Technical feasibility</w:t>
      </w:r>
      <w:r w:rsidRPr="00726D52">
        <w:rPr>
          <w:noProof/>
        </w:rPr>
        <w:t xml:space="preserve"> is high for </w:t>
      </w:r>
      <w:r w:rsidRPr="00726D52">
        <w:rPr>
          <w:rStyle w:val="Strong"/>
          <w:noProof/>
        </w:rPr>
        <w:t>Prüm II–based authorised access</w:t>
      </w:r>
      <w:r w:rsidRPr="00726D52">
        <w:rPr>
          <w:noProof/>
        </w:rPr>
        <w:t xml:space="preserve">, as the necessary hit/no-hit infrastructure, secure channels, and biometric matching are already in place, </w:t>
      </w:r>
      <w:r w:rsidRPr="00726D52">
        <w:rPr>
          <w:noProof/>
        </w:rPr>
        <w:lastRenderedPageBreak/>
        <w:t xml:space="preserve">requiring mainly workflow and configuration adjustments. A shared </w:t>
      </w:r>
      <w:r w:rsidRPr="00726D52">
        <w:rPr>
          <w:rStyle w:val="Strong"/>
          <w:noProof/>
        </w:rPr>
        <w:t>EU DNA matching service</w:t>
      </w:r>
      <w:r w:rsidRPr="00726D52">
        <w:rPr>
          <w:noProof/>
        </w:rPr>
        <w:t xml:space="preserve"> is more complex but feasible, building on existing forensic standards, technologies, and Prüm frameworks, and requiring robust </w:t>
      </w:r>
      <w:r w:rsidRPr="00726D52">
        <w:rPr>
          <w:rStyle w:val="Strong"/>
          <w:noProof/>
        </w:rPr>
        <w:t>security, governance, and Member State cooperation</w:t>
      </w:r>
      <w:r w:rsidRPr="00726D52">
        <w:rPr>
          <w:noProof/>
        </w:rPr>
        <w:t xml:space="preserve">. With phased implementation, both measures are technically feasible, giving an overall </w:t>
      </w:r>
      <w:r w:rsidRPr="00726D52">
        <w:rPr>
          <w:rStyle w:val="Strong"/>
          <w:noProof/>
        </w:rPr>
        <w:t>positive feasibility assessment (+)</w:t>
      </w:r>
      <w:r w:rsidRPr="00726D52">
        <w:rPr>
          <w:noProof/>
        </w:rPr>
        <w:t>.</w:t>
      </w:r>
    </w:p>
    <w:p w14:paraId="3A05B6AF" w14:textId="77777777" w:rsidR="000A268D" w:rsidRPr="00726D52" w:rsidRDefault="000A268D" w:rsidP="000A268D">
      <w:pPr>
        <w:rPr>
          <w:rFonts w:eastAsia="Times New Roman"/>
          <w:i/>
          <w:iCs/>
          <w:noProof/>
        </w:rPr>
      </w:pPr>
      <w:r w:rsidRPr="00726D52">
        <w:rPr>
          <w:rFonts w:eastAsia="Times New Roman"/>
          <w:i/>
          <w:iCs/>
          <w:noProof/>
        </w:rPr>
        <w:t xml:space="preserve">Political feasibility </w:t>
      </w:r>
    </w:p>
    <w:p w14:paraId="083E1C4A" w14:textId="3BA52141" w:rsidR="000A268D" w:rsidRPr="00726D52" w:rsidRDefault="000A268D" w:rsidP="000A268D">
      <w:pPr>
        <w:rPr>
          <w:rFonts w:eastAsia="Times New Roman"/>
          <w:noProof/>
        </w:rPr>
      </w:pPr>
      <w:r w:rsidRPr="00726D52">
        <w:rPr>
          <w:rFonts w:eastAsia="Times New Roman"/>
          <w:b/>
          <w:bCs/>
          <w:noProof/>
        </w:rPr>
        <w:t>The policy option in politically feasible (+)</w:t>
      </w:r>
      <w:r w:rsidRPr="00726D52">
        <w:rPr>
          <w:rFonts w:eastAsia="Times New Roman"/>
          <w:noProof/>
        </w:rPr>
        <w:t xml:space="preserve">. </w:t>
      </w:r>
      <w:r w:rsidRPr="00726D52">
        <w:rPr>
          <w:rFonts w:eastAsia="Times New Roman"/>
          <w:b/>
          <w:bCs/>
          <w:noProof/>
        </w:rPr>
        <w:t>Prüm II</w:t>
      </w:r>
      <w:r w:rsidR="001854FF" w:rsidRPr="00726D52">
        <w:rPr>
          <w:rFonts w:eastAsia="Times New Roman"/>
          <w:b/>
          <w:bCs/>
          <w:noProof/>
        </w:rPr>
        <w:t>-</w:t>
      </w:r>
      <w:r w:rsidRPr="00726D52">
        <w:rPr>
          <w:rFonts w:eastAsia="Times New Roman"/>
          <w:b/>
          <w:bCs/>
          <w:noProof/>
        </w:rPr>
        <w:t>based authorised access</w:t>
      </w:r>
      <w:r w:rsidRPr="00726D52">
        <w:rPr>
          <w:rFonts w:eastAsia="Times New Roman"/>
          <w:noProof/>
        </w:rPr>
        <w:t xml:space="preserve"> is challenging, as it shifts Europol’s role to querying Member State data, but is acceptable when Europol acts </w:t>
      </w:r>
      <w:r w:rsidRPr="00726D52">
        <w:rPr>
          <w:rFonts w:eastAsia="Times New Roman"/>
          <w:b/>
          <w:bCs/>
          <w:noProof/>
        </w:rPr>
        <w:t>strictly on Member State request</w:t>
      </w:r>
      <w:r w:rsidRPr="00726D52">
        <w:rPr>
          <w:rFonts w:eastAsia="Times New Roman"/>
          <w:noProof/>
        </w:rPr>
        <w:t xml:space="preserve">. Any access beyond Prüm II would likely face strong opposition. The </w:t>
      </w:r>
      <w:r w:rsidRPr="00726D52">
        <w:rPr>
          <w:rFonts w:eastAsia="Times New Roman"/>
          <w:b/>
          <w:bCs/>
          <w:noProof/>
        </w:rPr>
        <w:t>EU DNA matching service</w:t>
      </w:r>
      <w:r w:rsidRPr="00726D52">
        <w:rPr>
          <w:rFonts w:eastAsia="Times New Roman"/>
          <w:noProof/>
        </w:rPr>
        <w:t xml:space="preserve"> is politically feasible, as it enhances </w:t>
      </w:r>
      <w:r w:rsidRPr="00726D52">
        <w:rPr>
          <w:rFonts w:eastAsia="Times New Roman"/>
          <w:b/>
          <w:bCs/>
          <w:noProof/>
        </w:rPr>
        <w:t>strategic autonomy</w:t>
      </w:r>
      <w:r w:rsidRPr="00726D52">
        <w:rPr>
          <w:rFonts w:eastAsia="Times New Roman"/>
          <w:noProof/>
        </w:rPr>
        <w:t xml:space="preserve">, reduces reliance on third-country tools, and remains </w:t>
      </w:r>
      <w:r w:rsidRPr="00726D52">
        <w:rPr>
          <w:rFonts w:eastAsia="Times New Roman"/>
          <w:b/>
          <w:bCs/>
          <w:noProof/>
        </w:rPr>
        <w:t>optional and Member State</w:t>
      </w:r>
      <w:r w:rsidR="001854FF" w:rsidRPr="00726D52">
        <w:rPr>
          <w:rFonts w:eastAsia="Times New Roman"/>
          <w:b/>
          <w:bCs/>
          <w:noProof/>
        </w:rPr>
        <w:t>-</w:t>
      </w:r>
      <w:r w:rsidRPr="00726D52">
        <w:rPr>
          <w:rFonts w:eastAsia="Times New Roman"/>
          <w:b/>
          <w:bCs/>
          <w:noProof/>
        </w:rPr>
        <w:t>governed</w:t>
      </w:r>
      <w:r w:rsidRPr="00726D52">
        <w:rPr>
          <w:rFonts w:eastAsia="Times New Roman"/>
          <w:noProof/>
        </w:rPr>
        <w:t xml:space="preserve">. </w:t>
      </w:r>
    </w:p>
    <w:p w14:paraId="51CFE5A6" w14:textId="77777777" w:rsidR="000A268D" w:rsidRPr="00726D52" w:rsidRDefault="000A268D" w:rsidP="009502B2">
      <w:pPr>
        <w:pStyle w:val="Heading4"/>
        <w:numPr>
          <w:ilvl w:val="0"/>
          <w:numId w:val="24"/>
        </w:numPr>
        <w:tabs>
          <w:tab w:val="num" w:pos="360"/>
        </w:tabs>
        <w:ind w:left="0" w:firstLine="0"/>
        <w:rPr>
          <w:b/>
          <w:noProof/>
        </w:rPr>
      </w:pPr>
      <w:r w:rsidRPr="00726D52">
        <w:rPr>
          <w:b/>
          <w:noProof/>
        </w:rPr>
        <w:t>Impact on digitalisation (0)</w:t>
      </w:r>
    </w:p>
    <w:p w14:paraId="2FA9F5EF" w14:textId="77777777" w:rsidR="000A268D" w:rsidRPr="00726D52" w:rsidRDefault="000A268D" w:rsidP="000A268D">
      <w:pPr>
        <w:rPr>
          <w:noProof/>
        </w:rPr>
      </w:pPr>
      <w:r w:rsidRPr="00726D52">
        <w:rPr>
          <w:noProof/>
        </w:rPr>
        <w:t xml:space="preserve">The option has a </w:t>
      </w:r>
      <w:r w:rsidRPr="00726D52">
        <w:rPr>
          <w:b/>
          <w:bCs/>
          <w:noProof/>
        </w:rPr>
        <w:t>neutral impact on digitalisation</w:t>
      </w:r>
      <w:r w:rsidRPr="00726D52">
        <w:rPr>
          <w:noProof/>
        </w:rPr>
        <w:t xml:space="preserve">, relying on existing infrastructures like </w:t>
      </w:r>
      <w:r w:rsidRPr="00726D52">
        <w:rPr>
          <w:b/>
          <w:bCs/>
          <w:noProof/>
        </w:rPr>
        <w:t>Prüm II</w:t>
      </w:r>
      <w:r w:rsidRPr="00726D52">
        <w:rPr>
          <w:noProof/>
        </w:rPr>
        <w:t xml:space="preserve"> and forensic technologies without fundamentally transforming EU law enforcement’s digital architecture. </w:t>
      </w:r>
      <w:r w:rsidRPr="00726D52">
        <w:rPr>
          <w:b/>
          <w:bCs/>
          <w:noProof/>
        </w:rPr>
        <w:t>Prüm II access</w:t>
      </w:r>
      <w:r w:rsidRPr="00726D52">
        <w:rPr>
          <w:noProof/>
        </w:rPr>
        <w:t xml:space="preserve"> builds on established frameworks, and the optional </w:t>
      </w:r>
      <w:r w:rsidRPr="00726D52">
        <w:rPr>
          <w:b/>
          <w:bCs/>
          <w:noProof/>
        </w:rPr>
        <w:t>EU DNA matching service</w:t>
      </w:r>
      <w:r w:rsidRPr="00726D52">
        <w:rPr>
          <w:noProof/>
        </w:rPr>
        <w:t xml:space="preserve"> consolidates existing capabilities. Digital tools primarily </w:t>
      </w:r>
      <w:r w:rsidRPr="00726D52">
        <w:rPr>
          <w:b/>
          <w:bCs/>
          <w:noProof/>
        </w:rPr>
        <w:t>enable operational support</w:t>
      </w:r>
      <w:r w:rsidRPr="00726D52">
        <w:rPr>
          <w:noProof/>
        </w:rPr>
        <w:t xml:space="preserve"> rather than driving structural digital transformation.</w:t>
      </w:r>
    </w:p>
    <w:p w14:paraId="264CA97E" w14:textId="099E81AA" w:rsidR="000A268D" w:rsidRPr="00726D52" w:rsidRDefault="000A268D" w:rsidP="009502B2">
      <w:pPr>
        <w:pStyle w:val="ListParagraph"/>
        <w:numPr>
          <w:ilvl w:val="1"/>
          <w:numId w:val="84"/>
        </w:numPr>
        <w:rPr>
          <w:noProof/>
        </w:rPr>
      </w:pPr>
      <w:r w:rsidRPr="00726D52">
        <w:rPr>
          <w:b/>
          <w:bCs/>
          <w:i/>
          <w:noProof/>
          <w:u w:val="single"/>
          <w:lang w:eastAsia="fr-BE"/>
        </w:rPr>
        <w:t>Policy option 2.2</w:t>
      </w:r>
      <w:r w:rsidRPr="00726D52">
        <w:rPr>
          <w:b/>
          <w:bCs/>
          <w:i/>
          <w:noProof/>
          <w:lang w:eastAsia="fr-BE"/>
        </w:rPr>
        <w:t xml:space="preserve">: Simplified rules to </w:t>
      </w:r>
      <w:r w:rsidR="00415AEB" w:rsidRPr="00726D52">
        <w:rPr>
          <w:b/>
          <w:bCs/>
          <w:i/>
          <w:noProof/>
          <w:lang w:eastAsia="fr-BE"/>
        </w:rPr>
        <w:t>reduce the administrative burden</w:t>
      </w:r>
      <w:r w:rsidRPr="00726D52">
        <w:rPr>
          <w:b/>
          <w:bCs/>
          <w:i/>
          <w:noProof/>
          <w:lang w:eastAsia="fr-BE"/>
        </w:rPr>
        <w:t xml:space="preserve"> of data subject categorisation</w:t>
      </w:r>
    </w:p>
    <w:p w14:paraId="660F0E2E" w14:textId="77777777" w:rsidR="000A268D" w:rsidRPr="00726D52" w:rsidRDefault="000A268D" w:rsidP="009502B2">
      <w:pPr>
        <w:pStyle w:val="Heading4"/>
        <w:numPr>
          <w:ilvl w:val="3"/>
          <w:numId w:val="22"/>
        </w:numPr>
        <w:tabs>
          <w:tab w:val="num" w:pos="360"/>
        </w:tabs>
        <w:ind w:left="0" w:firstLine="0"/>
        <w:rPr>
          <w:b/>
          <w:noProof/>
        </w:rPr>
      </w:pPr>
      <w:r w:rsidRPr="00726D52">
        <w:rPr>
          <w:b/>
          <w:noProof/>
        </w:rPr>
        <w:t>Impact on citizens (+)</w:t>
      </w:r>
    </w:p>
    <w:p w14:paraId="6A9FD885" w14:textId="77777777"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As this policy option would allow both Europol and the EU Member States to use data more effectively and consistently, there would be a direct, positive impact on Europol’s ability to fight serious and organised crime and terrorism. By reducing operational delays and increasing legal clarity, investigations could progress more efficiently, leading to a positive impact on citizens and strengthening overall security.</w:t>
      </w:r>
    </w:p>
    <w:p w14:paraId="1142500B" w14:textId="77777777" w:rsidR="000A268D" w:rsidRPr="00726D52" w:rsidRDefault="000A268D" w:rsidP="009502B2">
      <w:pPr>
        <w:pStyle w:val="Heading4"/>
        <w:numPr>
          <w:ilvl w:val="3"/>
          <w:numId w:val="22"/>
        </w:numPr>
        <w:tabs>
          <w:tab w:val="num" w:pos="360"/>
        </w:tabs>
        <w:ind w:left="0" w:firstLine="0"/>
        <w:rPr>
          <w:b/>
          <w:bCs/>
          <w:noProof/>
        </w:rPr>
      </w:pPr>
      <w:r w:rsidRPr="00726D52">
        <w:rPr>
          <w:b/>
          <w:bCs/>
          <w:noProof/>
        </w:rPr>
        <w:t>Impact on national authorities (++)</w:t>
      </w:r>
    </w:p>
    <w:p w14:paraId="380574C9" w14:textId="77777777" w:rsidR="000A268D" w:rsidRPr="00726D52" w:rsidRDefault="000A268D" w:rsidP="000A268D">
      <w:pPr>
        <w:tabs>
          <w:tab w:val="left" w:pos="2302"/>
        </w:tabs>
        <w:spacing w:after="200" w:line="276" w:lineRule="auto"/>
        <w:rPr>
          <w:noProof/>
        </w:rPr>
      </w:pPr>
      <w:r w:rsidRPr="00726D52">
        <w:rPr>
          <w:rFonts w:eastAsia="Times New Roman"/>
          <w:noProof/>
          <w:color w:val="000000" w:themeColor="text1"/>
        </w:rPr>
        <w:t>The option would significantly change and simplify the process of Member States sharing data. It would lead to harmonisation of rules applicable to Member States and Europol alike, by aligning the Europol Regulation with the Law Enforcement Directive (LED) and the EU Data Protection Regulation (EUDPR), resulting in clearer and more coherent rules for national authorities.</w:t>
      </w:r>
    </w:p>
    <w:p w14:paraId="445E251A" w14:textId="72F9D7A4" w:rsidR="000A268D" w:rsidRPr="00726D52" w:rsidRDefault="000A268D" w:rsidP="000A268D">
      <w:pPr>
        <w:tabs>
          <w:tab w:val="left" w:pos="2302"/>
        </w:tabs>
        <w:spacing w:after="200" w:line="276" w:lineRule="auto"/>
        <w:rPr>
          <w:noProof/>
        </w:rPr>
      </w:pPr>
      <w:r w:rsidRPr="00726D52">
        <w:rPr>
          <w:rFonts w:eastAsia="Times New Roman"/>
          <w:noProof/>
          <w:color w:val="000000" w:themeColor="text1"/>
        </w:rPr>
        <w:t>In addition, the overall harmonisation would lead to a decrease in bureaucracy, constituting another very positive impact on national authorities. Greater legal certainty would also reduce the risk of divergent interpretations and corrective actions</w:t>
      </w:r>
      <w:r w:rsidR="00495928" w:rsidRPr="00726D52">
        <w:rPr>
          <w:rFonts w:eastAsia="Times New Roman"/>
          <w:noProof/>
          <w:color w:val="000000" w:themeColor="text1"/>
        </w:rPr>
        <w:t>.</w:t>
      </w:r>
    </w:p>
    <w:p w14:paraId="6AC2275E" w14:textId="77777777" w:rsidR="000A268D" w:rsidRPr="00726D52" w:rsidRDefault="000A268D" w:rsidP="009502B2">
      <w:pPr>
        <w:pStyle w:val="Heading4"/>
        <w:numPr>
          <w:ilvl w:val="3"/>
          <w:numId w:val="22"/>
        </w:numPr>
        <w:tabs>
          <w:tab w:val="num" w:pos="360"/>
        </w:tabs>
        <w:ind w:left="0" w:firstLine="0"/>
        <w:rPr>
          <w:b/>
          <w:bCs/>
          <w:noProof/>
        </w:rPr>
      </w:pPr>
      <w:r w:rsidRPr="00726D52">
        <w:rPr>
          <w:b/>
          <w:bCs/>
          <w:noProof/>
        </w:rPr>
        <w:lastRenderedPageBreak/>
        <w:t>Impact on fundamental rights (+)</w:t>
      </w:r>
    </w:p>
    <w:p w14:paraId="356D2195" w14:textId="77777777" w:rsidR="000A268D" w:rsidRPr="00726D52" w:rsidRDefault="000A268D" w:rsidP="009502B2">
      <w:pPr>
        <w:pStyle w:val="Heading4"/>
        <w:numPr>
          <w:ilvl w:val="0"/>
          <w:numId w:val="86"/>
        </w:numPr>
        <w:rPr>
          <w:b/>
          <w:noProof/>
        </w:rPr>
      </w:pPr>
      <w:r w:rsidRPr="00726D52">
        <w:rPr>
          <w:b/>
          <w:noProof/>
        </w:rPr>
        <w:t>Objective of general interest (+)</w:t>
      </w:r>
    </w:p>
    <w:p w14:paraId="36AE2234" w14:textId="77777777" w:rsidR="000A268D" w:rsidRPr="00726D52" w:rsidRDefault="000A268D" w:rsidP="000A268D">
      <w:pPr>
        <w:tabs>
          <w:tab w:val="left" w:pos="2302"/>
        </w:tabs>
        <w:spacing w:after="200" w:line="276" w:lineRule="auto"/>
        <w:rPr>
          <w:noProof/>
        </w:rPr>
      </w:pPr>
      <w:r w:rsidRPr="00726D52">
        <w:rPr>
          <w:rFonts w:eastAsia="Times New Roman"/>
          <w:noProof/>
          <w:color w:val="000000" w:themeColor="text1"/>
        </w:rPr>
        <w:t>This policy option would have a clear positive impact as regards the objective of general interest. A simplified and harmonised framework for data subject categorisation would enhance Europol’s operational effectiveness positively contributes to the ability of Europol to fight against serious and organised crime and terrorism by lessening operational burden on Europol and eliminating operational delays currently faced.</w:t>
      </w:r>
    </w:p>
    <w:p w14:paraId="5162ECE5" w14:textId="12BE10A5" w:rsidR="000A268D" w:rsidRPr="00726D52" w:rsidRDefault="0082690B" w:rsidP="009502B2">
      <w:pPr>
        <w:pStyle w:val="Heading4"/>
        <w:numPr>
          <w:ilvl w:val="0"/>
          <w:numId w:val="86"/>
        </w:numPr>
        <w:rPr>
          <w:b/>
          <w:noProof/>
        </w:rPr>
      </w:pPr>
      <w:r w:rsidRPr="00726D52">
        <w:rPr>
          <w:b/>
          <w:noProof/>
        </w:rPr>
        <w:t>I</w:t>
      </w:r>
      <w:r w:rsidR="000A268D" w:rsidRPr="00726D52">
        <w:rPr>
          <w:b/>
          <w:noProof/>
        </w:rPr>
        <w:t>mpact on data protection (</w:t>
      </w:r>
      <w:r w:rsidR="002C7027" w:rsidRPr="00726D52">
        <w:rPr>
          <w:b/>
          <w:noProof/>
        </w:rPr>
        <w:t>-</w:t>
      </w:r>
      <w:r w:rsidR="000A268D" w:rsidRPr="00726D52">
        <w:rPr>
          <w:b/>
          <w:noProof/>
        </w:rPr>
        <w:t>)</w:t>
      </w:r>
    </w:p>
    <w:p w14:paraId="5B26FC62" w14:textId="77777777" w:rsidR="000A268D" w:rsidRPr="00726D52" w:rsidRDefault="000A268D" w:rsidP="000A268D">
      <w:pPr>
        <w:rPr>
          <w:bCs/>
          <w:i/>
          <w:noProof/>
          <w:color w:val="000000" w:themeColor="text1"/>
        </w:rPr>
      </w:pPr>
      <w:r w:rsidRPr="00726D52">
        <w:rPr>
          <w:bCs/>
          <w:i/>
          <w:noProof/>
        </w:rPr>
        <w:t>Necessity</w:t>
      </w:r>
    </w:p>
    <w:p w14:paraId="01AD2AB9" w14:textId="77777777" w:rsidR="000A268D" w:rsidRPr="00726D52" w:rsidRDefault="000A268D" w:rsidP="000A268D">
      <w:pPr>
        <w:rPr>
          <w:rFonts w:eastAsia="Times New Roman"/>
          <w:noProof/>
          <w:color w:val="000000" w:themeColor="text1"/>
        </w:rPr>
      </w:pPr>
      <w:r w:rsidRPr="00726D52">
        <w:rPr>
          <w:rFonts w:eastAsia="Times New Roman"/>
          <w:noProof/>
        </w:rPr>
        <w:t xml:space="preserve">This policy option proves to be of a high necessity as it would positively impact the way data would be analysed and used by Europol. Whereas currently data may remain underused due to the complex framework governing data subject categorisation, the option would allow for data to be processed and analysed more efficiently, </w:t>
      </w:r>
      <w:r w:rsidRPr="00726D52">
        <w:rPr>
          <w:rFonts w:eastAsia="Times New Roman"/>
          <w:b/>
          <w:bCs/>
          <w:noProof/>
          <w:color w:val="000000" w:themeColor="text1"/>
        </w:rPr>
        <w:t>within a clearer and legally aligned structure</w:t>
      </w:r>
      <w:r w:rsidRPr="00726D52">
        <w:rPr>
          <w:rFonts w:eastAsia="Times New Roman"/>
          <w:noProof/>
          <w:color w:val="000000" w:themeColor="text1"/>
        </w:rPr>
        <w:t xml:space="preserve">. </w:t>
      </w:r>
      <w:r w:rsidRPr="00726D52">
        <w:rPr>
          <w:rFonts w:eastAsia="Times New Roman"/>
          <w:noProof/>
        </w:rPr>
        <w:t>This ensures that data already lawfully collected can be effectively used for its intended law enforcement purpose. We therefore conclude</w:t>
      </w:r>
      <w:r w:rsidRPr="00726D52">
        <w:rPr>
          <w:rFonts w:eastAsia="Times New Roman"/>
          <w:noProof/>
          <w:color w:val="000000" w:themeColor="text1"/>
        </w:rPr>
        <w:t xml:space="preserve"> that the policy option </w:t>
      </w:r>
      <w:r w:rsidRPr="00726D52">
        <w:rPr>
          <w:rFonts w:eastAsia="Times New Roman"/>
          <w:b/>
          <w:bCs/>
          <w:noProof/>
          <w:color w:val="000000" w:themeColor="text1"/>
        </w:rPr>
        <w:t>respects the principle of necessity</w:t>
      </w:r>
      <w:r w:rsidRPr="00726D52">
        <w:rPr>
          <w:rFonts w:eastAsia="Times New Roman"/>
          <w:noProof/>
          <w:color w:val="000000" w:themeColor="text1"/>
        </w:rPr>
        <w:t>.</w:t>
      </w:r>
    </w:p>
    <w:p w14:paraId="6B4CBCFE" w14:textId="77777777" w:rsidR="000A268D" w:rsidRPr="00726D52" w:rsidRDefault="000A268D" w:rsidP="000A268D">
      <w:pPr>
        <w:rPr>
          <w:bCs/>
          <w:i/>
          <w:noProof/>
          <w:color w:val="000000" w:themeColor="text1"/>
        </w:rPr>
      </w:pPr>
      <w:r w:rsidRPr="00726D52">
        <w:rPr>
          <w:bCs/>
          <w:i/>
          <w:noProof/>
        </w:rPr>
        <w:t>Proportionality</w:t>
      </w:r>
    </w:p>
    <w:p w14:paraId="79FB488B" w14:textId="6B893300" w:rsidR="000A268D" w:rsidRPr="00726D52" w:rsidRDefault="000A268D" w:rsidP="000A268D">
      <w:pPr>
        <w:tabs>
          <w:tab w:val="left" w:pos="2302"/>
        </w:tabs>
        <w:spacing w:after="200" w:line="276" w:lineRule="auto"/>
        <w:rPr>
          <w:rFonts w:eastAsia="Times New Roman"/>
          <w:noProof/>
          <w:color w:val="000000" w:themeColor="text1"/>
        </w:rPr>
      </w:pPr>
      <w:r w:rsidRPr="00726D52">
        <w:rPr>
          <w:rFonts w:eastAsia="Times New Roman"/>
          <w:noProof/>
          <w:color w:val="000000" w:themeColor="text1"/>
        </w:rPr>
        <w:t xml:space="preserve">The option is proportionate </w:t>
      </w:r>
      <w:r w:rsidR="00337A6B" w:rsidRPr="00726D52">
        <w:rPr>
          <w:rFonts w:eastAsia="Times New Roman"/>
          <w:noProof/>
          <w:color w:val="000000" w:themeColor="text1"/>
        </w:rPr>
        <w:t>in that</w:t>
      </w:r>
      <w:r w:rsidRPr="00726D52">
        <w:rPr>
          <w:rFonts w:eastAsia="Times New Roman"/>
          <w:noProof/>
          <w:color w:val="000000" w:themeColor="text1"/>
        </w:rPr>
        <w:t xml:space="preserve"> it does not introduce new categories of data, new processing purposes</w:t>
      </w:r>
      <w:r w:rsidR="00337A6B" w:rsidRPr="00726D52">
        <w:rPr>
          <w:rFonts w:eastAsia="Times New Roman"/>
          <w:noProof/>
          <w:color w:val="000000" w:themeColor="text1"/>
        </w:rPr>
        <w:t xml:space="preserve">, or expanded access rights. However, the removal and simplification of the Data Subject Categorisation (DSC) entail a </w:t>
      </w:r>
      <w:r w:rsidR="00337A6B" w:rsidRPr="00726D52">
        <w:rPr>
          <w:rFonts w:eastAsia="Times New Roman"/>
          <w:b/>
          <w:bCs/>
          <w:noProof/>
          <w:color w:val="000000" w:themeColor="text1"/>
        </w:rPr>
        <w:t>moderate negative impact on data protection</w:t>
      </w:r>
      <w:r w:rsidR="00337A6B" w:rsidRPr="00726D52">
        <w:rPr>
          <w:rFonts w:eastAsia="Times New Roman"/>
          <w:noProof/>
          <w:color w:val="000000" w:themeColor="text1"/>
        </w:rPr>
        <w:t xml:space="preserve">, as some of the procedural safeguards that previously limited operational processing are reduced. The measure aligns existing rules with the LED and the EUDPR and reduces procedural constraints, thereby enhancing operational coherence and effectiveness. By maintaining the core safeguards and limiting the scope of processing to operationally necessary cases, the option seeks an appropriate balance between efficiency and fundamental rights. We therefore conclude that, while there is a negative impact on data protection, the </w:t>
      </w:r>
      <w:r w:rsidR="00337A6B" w:rsidRPr="00726D52">
        <w:rPr>
          <w:rFonts w:eastAsia="Times New Roman"/>
          <w:b/>
          <w:bCs/>
          <w:noProof/>
          <w:color w:val="000000" w:themeColor="text1"/>
        </w:rPr>
        <w:t>policy option remains proportionate</w:t>
      </w:r>
      <w:r w:rsidR="00337A6B" w:rsidRPr="00726D52">
        <w:rPr>
          <w:rFonts w:eastAsia="Times New Roman"/>
          <w:noProof/>
          <w:color w:val="000000" w:themeColor="text1"/>
        </w:rPr>
        <w:t xml:space="preserve"> in relation to the objectives pursued.</w:t>
      </w:r>
    </w:p>
    <w:p w14:paraId="381AFF66" w14:textId="77777777" w:rsidR="000A268D" w:rsidRPr="00726D52" w:rsidRDefault="000A268D" w:rsidP="009502B2">
      <w:pPr>
        <w:pStyle w:val="Heading4"/>
        <w:numPr>
          <w:ilvl w:val="3"/>
          <w:numId w:val="22"/>
        </w:numPr>
        <w:tabs>
          <w:tab w:val="num" w:pos="360"/>
        </w:tabs>
        <w:spacing w:after="0"/>
        <w:ind w:left="0" w:firstLine="0"/>
        <w:rPr>
          <w:b/>
          <w:bCs/>
          <w:noProof/>
        </w:rPr>
      </w:pPr>
      <w:r w:rsidRPr="00726D52">
        <w:rPr>
          <w:b/>
          <w:bCs/>
          <w:noProof/>
        </w:rPr>
        <w:t>Cost (++)</w:t>
      </w:r>
    </w:p>
    <w:p w14:paraId="7EC4AC1D"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Even though the policy option would significantly improve Europol’s operational flexibility and capacity to process information, it would not require substantial initial investment, as it primarily concerns legislative alignment and simplification. Moreover, this policy option would likely free up resources that are currently deployed to specifically engage in the burdensome procedure of data subject categorisation under the current framework. </w:t>
      </w:r>
    </w:p>
    <w:p w14:paraId="5A0BE05A" w14:textId="77777777" w:rsidR="000A268D" w:rsidRPr="00726D52" w:rsidRDefault="000A268D" w:rsidP="000A268D">
      <w:pPr>
        <w:rPr>
          <w:noProof/>
        </w:rPr>
      </w:pPr>
      <w:r w:rsidRPr="00726D52">
        <w:rPr>
          <w:rFonts w:eastAsia="Times New Roman"/>
          <w:b/>
          <w:bCs/>
          <w:noProof/>
          <w:color w:val="000000" w:themeColor="text1"/>
        </w:rPr>
        <w:t>Administrative savings and efficiency gains are therefore expected</w:t>
      </w:r>
      <w:r w:rsidRPr="00726D52">
        <w:rPr>
          <w:rFonts w:eastAsia="Times New Roman"/>
          <w:noProof/>
          <w:color w:val="000000" w:themeColor="text1"/>
        </w:rPr>
        <w:t>, justifying the very positive cost assessment.</w:t>
      </w:r>
    </w:p>
    <w:p w14:paraId="14AAB470" w14:textId="77777777" w:rsidR="000A268D" w:rsidRPr="00726D52" w:rsidRDefault="000A268D" w:rsidP="009502B2">
      <w:pPr>
        <w:pStyle w:val="Heading4"/>
        <w:numPr>
          <w:ilvl w:val="3"/>
          <w:numId w:val="22"/>
        </w:numPr>
        <w:tabs>
          <w:tab w:val="num" w:pos="360"/>
        </w:tabs>
        <w:ind w:left="0" w:firstLine="0"/>
        <w:rPr>
          <w:b/>
          <w:noProof/>
        </w:rPr>
      </w:pPr>
      <w:r w:rsidRPr="00726D52">
        <w:rPr>
          <w:b/>
          <w:noProof/>
        </w:rPr>
        <w:lastRenderedPageBreak/>
        <w:t>Feasibility (+)</w:t>
      </w:r>
    </w:p>
    <w:p w14:paraId="73D8FB0F" w14:textId="6A3989A8"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The </w:t>
      </w:r>
      <w:r w:rsidRPr="00726D52">
        <w:rPr>
          <w:rFonts w:eastAsia="Times New Roman"/>
          <w:i/>
          <w:iCs/>
          <w:noProof/>
          <w:color w:val="000000" w:themeColor="text1"/>
        </w:rPr>
        <w:t xml:space="preserve">technical feasibility </w:t>
      </w:r>
      <w:r w:rsidRPr="00726D52">
        <w:rPr>
          <w:rFonts w:eastAsia="Times New Roman"/>
          <w:noProof/>
          <w:color w:val="000000" w:themeColor="text1"/>
        </w:rPr>
        <w:t xml:space="preserve">of this option is to be assessed as very positive (++), as it would not require substantial changes to be put in place or require the development of an entirely new legal framework for DSC. Instead, the framework would be aligned to that of the LED and the EUDPR. </w:t>
      </w:r>
    </w:p>
    <w:p w14:paraId="66246E80"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The alignment with already existing legislation would constitute a positive assessment as regards </w:t>
      </w:r>
      <w:r w:rsidRPr="00726D52">
        <w:rPr>
          <w:rFonts w:eastAsia="Times New Roman"/>
          <w:i/>
          <w:iCs/>
          <w:noProof/>
          <w:color w:val="000000" w:themeColor="text1"/>
        </w:rPr>
        <w:t xml:space="preserve">political feasibility </w:t>
      </w:r>
      <w:r w:rsidRPr="00726D52">
        <w:rPr>
          <w:rFonts w:eastAsia="Times New Roman"/>
          <w:noProof/>
          <w:color w:val="000000" w:themeColor="text1"/>
        </w:rPr>
        <w:t xml:space="preserve">(+). Overall, this harmonisation would be well-received by Europol and the Member States aligned, as underlined by the recent report under article 68(3) of the ER and further consultation of Member States’ experts at technical level. However, as this option could potentially offset complexities as regards data ownership and sovereignty, the impact is assessed only as positive and not as very positive. </w:t>
      </w:r>
    </w:p>
    <w:p w14:paraId="1EB00EAD" w14:textId="77777777" w:rsidR="000A268D" w:rsidRPr="00726D52" w:rsidRDefault="000A268D" w:rsidP="009502B2">
      <w:pPr>
        <w:pStyle w:val="Heading4"/>
        <w:numPr>
          <w:ilvl w:val="3"/>
          <w:numId w:val="22"/>
        </w:numPr>
        <w:tabs>
          <w:tab w:val="num" w:pos="360"/>
        </w:tabs>
        <w:spacing w:after="0"/>
        <w:ind w:left="0" w:firstLine="0"/>
        <w:rPr>
          <w:b/>
          <w:bCs/>
          <w:noProof/>
        </w:rPr>
      </w:pPr>
      <w:r w:rsidRPr="00726D52">
        <w:rPr>
          <w:b/>
          <w:bCs/>
          <w:noProof/>
        </w:rPr>
        <w:t>Impact on digitalisation (0)</w:t>
      </w:r>
    </w:p>
    <w:p w14:paraId="632FC515" w14:textId="77777777" w:rsidR="000A268D" w:rsidRPr="00726D52" w:rsidRDefault="000A268D" w:rsidP="000A268D">
      <w:pPr>
        <w:spacing w:before="240"/>
        <w:rPr>
          <w:noProof/>
        </w:rPr>
      </w:pPr>
      <w:r w:rsidRPr="00726D52">
        <w:rPr>
          <w:rFonts w:eastAsia="Times New Roman"/>
          <w:noProof/>
          <w:color w:val="000000" w:themeColor="text1"/>
        </w:rPr>
        <w:t>The option has an overall neutral impact on digitalisation. By aligning existing legal frameworks and procedures, the digital architecture of the process of data subject categorisation is not fundamentally transformed. Subsequently address the obstacles of DSC serves as an enabler for Europol to process and analyse data rather than being a driver of structural change. Meaning that Europol’s overall usage of data would be (further) consolidated, which has no impact on digitalisation as such.</w:t>
      </w:r>
    </w:p>
    <w:p w14:paraId="3AA8A659" w14:textId="77777777" w:rsidR="000A268D" w:rsidRPr="00726D52" w:rsidRDefault="000A268D" w:rsidP="009502B2">
      <w:pPr>
        <w:pStyle w:val="ListParagraph"/>
        <w:numPr>
          <w:ilvl w:val="1"/>
          <w:numId w:val="84"/>
        </w:numPr>
        <w:rPr>
          <w:b/>
          <w:noProof/>
          <w:u w:val="single"/>
          <w:lang w:eastAsia="fr-BE"/>
        </w:rPr>
      </w:pPr>
      <w:r w:rsidRPr="00726D52">
        <w:rPr>
          <w:b/>
          <w:bCs/>
          <w:i/>
          <w:noProof/>
          <w:u w:val="single"/>
          <w:lang w:eastAsia="fr-BE"/>
        </w:rPr>
        <w:t>Policy option 2.3</w:t>
      </w:r>
      <w:r w:rsidRPr="00726D52">
        <w:rPr>
          <w:b/>
          <w:bCs/>
          <w:i/>
          <w:noProof/>
          <w:lang w:eastAsia="fr-BE"/>
        </w:rPr>
        <w:t>: Europol as structural provider of information, analytical support and capacities to the EPPO</w:t>
      </w:r>
    </w:p>
    <w:p w14:paraId="73027780" w14:textId="77777777" w:rsidR="000A268D" w:rsidRPr="00726D52" w:rsidRDefault="000A268D" w:rsidP="009502B2">
      <w:pPr>
        <w:pStyle w:val="Heading4"/>
        <w:numPr>
          <w:ilvl w:val="0"/>
          <w:numId w:val="33"/>
        </w:numPr>
        <w:tabs>
          <w:tab w:val="num" w:pos="360"/>
        </w:tabs>
        <w:ind w:left="0" w:firstLine="0"/>
        <w:rPr>
          <w:b/>
          <w:noProof/>
          <w:color w:val="000000" w:themeColor="text1"/>
        </w:rPr>
      </w:pPr>
      <w:r w:rsidRPr="00726D52">
        <w:rPr>
          <w:b/>
          <w:noProof/>
        </w:rPr>
        <w:t xml:space="preserve">Impact on citizens </w:t>
      </w:r>
      <w:r w:rsidRPr="00726D52">
        <w:rPr>
          <w:b/>
          <w:bCs/>
          <w:noProof/>
        </w:rPr>
        <w:t>(++)</w:t>
      </w:r>
    </w:p>
    <w:p w14:paraId="40AF5B2B" w14:textId="77777777" w:rsidR="000A268D" w:rsidRPr="00726D52" w:rsidRDefault="000A268D" w:rsidP="000A268D">
      <w:pPr>
        <w:pStyle w:val="TableTextNoSpace"/>
        <w:spacing w:after="200" w:line="276" w:lineRule="auto"/>
        <w:rPr>
          <w:rFonts w:ascii="Times New Roman" w:eastAsia="Times New Roman" w:hAnsi="Times New Roman" w:cs="Times New Roman"/>
          <w:noProof/>
          <w:sz w:val="24"/>
          <w:szCs w:val="24"/>
        </w:rPr>
      </w:pPr>
      <w:r w:rsidRPr="00726D52">
        <w:rPr>
          <w:rFonts w:ascii="Times New Roman" w:eastAsia="Times New Roman" w:hAnsi="Times New Roman" w:cs="Times New Roman"/>
          <w:noProof/>
          <w:sz w:val="24"/>
          <w:szCs w:val="24"/>
        </w:rPr>
        <w:t xml:space="preserve">The positive impacts on citizens mentioned for policy option 1 would increase thanks to efficiency gains deriving from the introduction of both hierarchical arrangements and direct information exchange between Europol and EPPO. Citizens would also benefit indirectly from Europol having access to further information stored by the EPPO. </w:t>
      </w:r>
    </w:p>
    <w:p w14:paraId="2249493B" w14:textId="77777777" w:rsidR="000A268D" w:rsidRPr="00726D52" w:rsidRDefault="000A268D" w:rsidP="000A268D">
      <w:pPr>
        <w:pStyle w:val="TableTextNoSpace"/>
        <w:rPr>
          <w:rFonts w:ascii="Times New Roman" w:eastAsia="Times New Roman" w:hAnsi="Times New Roman" w:cs="Times New Roman"/>
          <w:noProof/>
          <w:sz w:val="24"/>
          <w:szCs w:val="24"/>
        </w:rPr>
      </w:pPr>
    </w:p>
    <w:p w14:paraId="708B1048" w14:textId="77777777" w:rsidR="000A268D" w:rsidRPr="00726D52" w:rsidRDefault="000A268D" w:rsidP="009502B2">
      <w:pPr>
        <w:pStyle w:val="Heading4"/>
        <w:numPr>
          <w:ilvl w:val="0"/>
          <w:numId w:val="33"/>
        </w:numPr>
        <w:tabs>
          <w:tab w:val="num" w:pos="360"/>
        </w:tabs>
        <w:ind w:left="0" w:firstLine="0"/>
        <w:rPr>
          <w:b/>
          <w:noProof/>
          <w:color w:val="000000" w:themeColor="text1"/>
        </w:rPr>
      </w:pPr>
      <w:r w:rsidRPr="00726D52">
        <w:rPr>
          <w:b/>
          <w:noProof/>
        </w:rPr>
        <w:t>Impact on national authorities</w:t>
      </w:r>
      <w:r w:rsidRPr="00726D52">
        <w:rPr>
          <w:b/>
          <w:bCs/>
          <w:noProof/>
        </w:rPr>
        <w:t xml:space="preserve"> </w:t>
      </w:r>
      <w:r w:rsidRPr="00726D52">
        <w:rPr>
          <w:b/>
          <w:noProof/>
        </w:rPr>
        <w:t>(++)</w:t>
      </w:r>
    </w:p>
    <w:p w14:paraId="21FC8EAC" w14:textId="77777777" w:rsidR="000A268D" w:rsidRPr="00726D52" w:rsidRDefault="000A268D" w:rsidP="000A268D">
      <w:pPr>
        <w:pStyle w:val="TableTextNoSpace"/>
        <w:spacing w:after="200" w:line="276" w:lineRule="auto"/>
        <w:rPr>
          <w:rFonts w:ascii="Times New Roman" w:eastAsia="Times New Roman" w:hAnsi="Times New Roman" w:cs="Times New Roman"/>
          <w:noProof/>
          <w:sz w:val="24"/>
          <w:szCs w:val="24"/>
        </w:rPr>
      </w:pPr>
      <w:r w:rsidRPr="00726D52">
        <w:rPr>
          <w:rFonts w:ascii="Times New Roman" w:eastAsia="Times New Roman" w:hAnsi="Times New Roman" w:cs="Times New Roman"/>
          <w:noProof/>
          <w:sz w:val="24"/>
          <w:szCs w:val="24"/>
        </w:rPr>
        <w:t>The positive impacts on national authorities mentioned for policy option 1 would increase thanks to efficiency gains deriving from the introduction of both hierarchical arrangements and direct information exchange between Europol and EPPO. Law enforcement authorities would also benefit indirectly from Europol having access to further information stored by the EPPO, as this would strengthen Europol’s support and coordination abilities.</w:t>
      </w:r>
    </w:p>
    <w:p w14:paraId="70FA2157" w14:textId="77777777" w:rsidR="000A268D" w:rsidRPr="00726D52" w:rsidRDefault="000A268D" w:rsidP="009502B2">
      <w:pPr>
        <w:pStyle w:val="Heading4"/>
        <w:numPr>
          <w:ilvl w:val="0"/>
          <w:numId w:val="33"/>
        </w:numPr>
        <w:tabs>
          <w:tab w:val="num" w:pos="360"/>
        </w:tabs>
        <w:ind w:left="0" w:firstLine="0"/>
        <w:rPr>
          <w:b/>
          <w:noProof/>
          <w:color w:val="000000" w:themeColor="text1"/>
        </w:rPr>
      </w:pPr>
      <w:r w:rsidRPr="00726D52">
        <w:rPr>
          <w:b/>
          <w:bCs/>
          <w:noProof/>
        </w:rPr>
        <w:t>Impact on fundamental rights (++)</w:t>
      </w:r>
    </w:p>
    <w:p w14:paraId="46DE0409" w14:textId="4FDADC9B" w:rsidR="000A268D" w:rsidRPr="00726D52" w:rsidRDefault="000A268D" w:rsidP="000A268D">
      <w:pPr>
        <w:rPr>
          <w:noProof/>
        </w:rPr>
      </w:pPr>
      <w:r w:rsidRPr="00726D52">
        <w:rPr>
          <w:noProof/>
        </w:rPr>
        <w:t>This measure would have a very positive impact on fundamental rights insofar as it would ultimately help strengthen the EU Member States’ statehood against criminal threats in an efficient manner, prompting Member States’ concrete ability to respect, promote and fulfil human rights under international and EU law.</w:t>
      </w:r>
    </w:p>
    <w:p w14:paraId="4E4DA9CE" w14:textId="77777777" w:rsidR="000A268D" w:rsidRPr="00726D52" w:rsidRDefault="000A268D" w:rsidP="009502B2">
      <w:pPr>
        <w:pStyle w:val="Heading4"/>
        <w:numPr>
          <w:ilvl w:val="0"/>
          <w:numId w:val="87"/>
        </w:numPr>
        <w:rPr>
          <w:b/>
          <w:noProof/>
        </w:rPr>
      </w:pPr>
      <w:r w:rsidRPr="00726D52">
        <w:rPr>
          <w:b/>
          <w:noProof/>
        </w:rPr>
        <w:lastRenderedPageBreak/>
        <w:t>Objective of general interest (++)</w:t>
      </w:r>
    </w:p>
    <w:p w14:paraId="14782A31" w14:textId="400EE4F5" w:rsidR="000A268D" w:rsidRPr="00726D52" w:rsidRDefault="000A268D" w:rsidP="000A268D">
      <w:pPr>
        <w:tabs>
          <w:tab w:val="left" w:pos="2302"/>
        </w:tabs>
        <w:spacing w:after="200" w:line="276" w:lineRule="auto"/>
        <w:rPr>
          <w:rFonts w:eastAsia="Times New Roman"/>
          <w:noProof/>
        </w:rPr>
      </w:pPr>
      <w:r w:rsidRPr="00726D52">
        <w:rPr>
          <w:rFonts w:eastAsia="Times New Roman"/>
          <w:noProof/>
          <w:color w:val="000000" w:themeColor="text1"/>
        </w:rPr>
        <w:t>This measure makes a very positive contribution to an objective of general interest (+), namely the protection of the financial interests of the EU, by allowing the EPPO to effectively and efficiently carry out its mission. The same goes for the EU-level fight against serious and organised crime, cybercrime and terrorism, by allowing Europol to develop specialised skills and have access to a huge amount of relevant information to ultimately more effectively support the Member States.</w:t>
      </w:r>
      <w:r w:rsidRPr="00726D52">
        <w:rPr>
          <w:rFonts w:eastAsia="Times New Roman"/>
          <w:noProof/>
        </w:rPr>
        <w:t xml:space="preserve"> </w:t>
      </w:r>
    </w:p>
    <w:p w14:paraId="60F751EC" w14:textId="77777777" w:rsidR="000A268D" w:rsidRPr="00726D52" w:rsidRDefault="000A268D" w:rsidP="009502B2">
      <w:pPr>
        <w:pStyle w:val="Heading4"/>
        <w:numPr>
          <w:ilvl w:val="0"/>
          <w:numId w:val="87"/>
        </w:numPr>
        <w:rPr>
          <w:b/>
          <w:noProof/>
        </w:rPr>
      </w:pPr>
      <w:r w:rsidRPr="00726D52">
        <w:rPr>
          <w:b/>
          <w:noProof/>
        </w:rPr>
        <w:t>Impact on data protection (0)</w:t>
      </w:r>
    </w:p>
    <w:p w14:paraId="0B0EA673" w14:textId="77777777" w:rsidR="000A268D" w:rsidRPr="00726D52" w:rsidRDefault="000A268D" w:rsidP="000A268D">
      <w:pPr>
        <w:rPr>
          <w:rFonts w:eastAsia="Times New Roman"/>
          <w:noProof/>
          <w:color w:val="000000" w:themeColor="text1"/>
        </w:rPr>
      </w:pPr>
      <w:r w:rsidRPr="00726D52">
        <w:rPr>
          <w:rFonts w:eastAsia="Times New Roman"/>
          <w:i/>
          <w:iCs/>
          <w:noProof/>
          <w:color w:val="000000" w:themeColor="text1"/>
        </w:rPr>
        <w:t>Necessity and proportionality</w:t>
      </w:r>
    </w:p>
    <w:p w14:paraId="4C1449D7"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This measure is necessary to efficiently meet the EPPO’s sharply increasingly needs and allow it to maximally protect the financial interests of the EU. It does not interfere with current data protection levels. Therefore, this policy measure </w:t>
      </w:r>
      <w:r w:rsidRPr="00726D52">
        <w:rPr>
          <w:rFonts w:eastAsia="Times New Roman"/>
          <w:b/>
          <w:bCs/>
          <w:noProof/>
          <w:color w:val="000000" w:themeColor="text1"/>
        </w:rPr>
        <w:t>respects the principles of necessity and proportionality</w:t>
      </w:r>
      <w:r w:rsidRPr="00726D52">
        <w:rPr>
          <w:rFonts w:eastAsia="Times New Roman"/>
          <w:noProof/>
          <w:color w:val="000000" w:themeColor="text1"/>
        </w:rPr>
        <w:t>.</w:t>
      </w:r>
    </w:p>
    <w:p w14:paraId="4161A28F" w14:textId="77777777" w:rsidR="000A268D" w:rsidRPr="00726D52" w:rsidRDefault="000A268D" w:rsidP="009502B2">
      <w:pPr>
        <w:pStyle w:val="Heading4"/>
        <w:numPr>
          <w:ilvl w:val="0"/>
          <w:numId w:val="33"/>
        </w:numPr>
        <w:tabs>
          <w:tab w:val="num" w:pos="360"/>
        </w:tabs>
        <w:ind w:left="0" w:firstLine="0"/>
        <w:rPr>
          <w:b/>
          <w:noProof/>
          <w:color w:val="000000" w:themeColor="text1"/>
        </w:rPr>
      </w:pPr>
      <w:r w:rsidRPr="00726D52">
        <w:rPr>
          <w:b/>
          <w:bCs/>
          <w:noProof/>
        </w:rPr>
        <w:t>Costs (++)</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790"/>
        <w:gridCol w:w="2790"/>
        <w:gridCol w:w="2790"/>
      </w:tblGrid>
      <w:tr w:rsidR="000A268D" w:rsidRPr="00726D52" w14:paraId="4F5E4E76"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59A61F8A" w14:textId="77777777" w:rsidR="000A268D" w:rsidRPr="00726D52" w:rsidRDefault="000A268D" w:rsidP="00C05BFC">
            <w:pPr>
              <w:rPr>
                <w:noProof/>
              </w:rPr>
            </w:pPr>
          </w:p>
        </w:tc>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5514D7EF" w14:textId="77777777" w:rsidR="000A268D" w:rsidRPr="00726D52" w:rsidRDefault="000A268D" w:rsidP="00C05BFC">
            <w:pPr>
              <w:jc w:val="center"/>
              <w:rPr>
                <w:b/>
                <w:bCs/>
                <w:i/>
                <w:iCs/>
                <w:noProof/>
              </w:rPr>
            </w:pPr>
            <w:r w:rsidRPr="00726D52">
              <w:rPr>
                <w:b/>
                <w:bCs/>
                <w:i/>
                <w:iCs/>
                <w:noProof/>
              </w:rPr>
              <w:t>Member States activities</w:t>
            </w:r>
          </w:p>
        </w:tc>
        <w:tc>
          <w:tcPr>
            <w:tcW w:w="279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1BACCDC2" w14:textId="77777777" w:rsidR="000A268D" w:rsidRPr="00726D52" w:rsidRDefault="000A268D" w:rsidP="00C05BFC">
            <w:pPr>
              <w:jc w:val="center"/>
              <w:rPr>
                <w:b/>
                <w:bCs/>
                <w:i/>
                <w:iCs/>
                <w:noProof/>
              </w:rPr>
            </w:pPr>
            <w:r w:rsidRPr="00726D52">
              <w:rPr>
                <w:b/>
                <w:bCs/>
                <w:i/>
                <w:iCs/>
                <w:noProof/>
              </w:rPr>
              <w:t>EU activities</w:t>
            </w:r>
          </w:p>
        </w:tc>
      </w:tr>
      <w:tr w:rsidR="000A268D" w:rsidRPr="00726D52" w14:paraId="6C280548"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6FF4ED8A" w14:textId="77777777" w:rsidR="000A268D" w:rsidRPr="00726D52" w:rsidRDefault="000A268D" w:rsidP="00C05BFC">
            <w:pPr>
              <w:rPr>
                <w:b/>
                <w:bCs/>
                <w:i/>
                <w:iCs/>
                <w:noProof/>
              </w:rPr>
            </w:pPr>
            <w:r w:rsidRPr="00726D52">
              <w:rPr>
                <w:b/>
                <w:bCs/>
                <w:i/>
                <w:iCs/>
                <w:noProof/>
              </w:rPr>
              <w:t>Direct costs</w:t>
            </w: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249BDD2" w14:textId="77777777" w:rsidR="000A268D" w:rsidRPr="00726D52" w:rsidRDefault="000A268D" w:rsidP="00C05BFC">
            <w:pPr>
              <w:jc w:val="center"/>
              <w:rPr>
                <w:noProof/>
              </w:rPr>
            </w:pP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0203F058" w14:textId="77777777" w:rsidR="000A268D" w:rsidRPr="00726D52" w:rsidRDefault="000A268D" w:rsidP="00C05BFC">
            <w:pPr>
              <w:jc w:val="center"/>
              <w:rPr>
                <w:noProof/>
              </w:rPr>
            </w:pPr>
          </w:p>
        </w:tc>
      </w:tr>
      <w:tr w:rsidR="000A268D" w:rsidRPr="00726D52" w14:paraId="3DD10876" w14:textId="77777777" w:rsidTr="00C05BFC">
        <w:trPr>
          <w:trHeight w:val="825"/>
        </w:trPr>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565F8688" w14:textId="77777777" w:rsidR="000A268D" w:rsidRPr="00726D52" w:rsidRDefault="000A268D" w:rsidP="00C05BFC">
            <w:pPr>
              <w:rPr>
                <w:noProof/>
              </w:rPr>
            </w:pPr>
            <w:r w:rsidRPr="00726D52">
              <w:rPr>
                <w:noProof/>
              </w:rPr>
              <w:t>Expected one-off costs (in million EUR)</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29B8E50D" w14:textId="77777777" w:rsidR="000A268D" w:rsidRPr="00726D52" w:rsidRDefault="000A268D" w:rsidP="00C05BFC">
            <w:pPr>
              <w:jc w:val="center"/>
              <w:rPr>
                <w:noProof/>
              </w:rPr>
            </w:pPr>
            <w:r w:rsidRPr="00726D52">
              <w:rPr>
                <w:noProof/>
              </w:rPr>
              <w:t>0</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3537EECD" w14:textId="77777777" w:rsidR="000A268D" w:rsidRPr="00726D52" w:rsidRDefault="000A268D" w:rsidP="00C05BFC">
            <w:pPr>
              <w:jc w:val="center"/>
              <w:rPr>
                <w:noProof/>
              </w:rPr>
            </w:pPr>
            <w:r w:rsidRPr="00726D52">
              <w:rPr>
                <w:noProof/>
              </w:rPr>
              <w:t>0</w:t>
            </w:r>
          </w:p>
        </w:tc>
      </w:tr>
      <w:tr w:rsidR="000A268D" w:rsidRPr="00726D52" w14:paraId="7195F6BF" w14:textId="77777777" w:rsidTr="00C05BFC">
        <w:trPr>
          <w:trHeight w:val="285"/>
        </w:trPr>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173E767A" w14:textId="77777777" w:rsidR="000A268D" w:rsidRPr="00726D52" w:rsidRDefault="000A268D" w:rsidP="00C05BFC">
            <w:pPr>
              <w:rPr>
                <w:noProof/>
              </w:rPr>
            </w:pPr>
            <w:r w:rsidRPr="00726D52">
              <w:rPr>
                <w:noProof/>
              </w:rPr>
              <w:t>Expected yearly recurring costs (in million EUR)</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5253F778" w14:textId="77777777" w:rsidR="000A268D" w:rsidRPr="00726D52" w:rsidRDefault="000A268D" w:rsidP="00C05BFC">
            <w:pPr>
              <w:jc w:val="center"/>
              <w:rPr>
                <w:noProof/>
              </w:rPr>
            </w:pPr>
            <w:r w:rsidRPr="00726D52">
              <w:rPr>
                <w:noProof/>
              </w:rPr>
              <w:t>0</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tcPr>
          <w:p w14:paraId="7A498591" w14:textId="0E78CFFE" w:rsidR="000A268D" w:rsidRPr="00726D52" w:rsidRDefault="000A268D" w:rsidP="00C05BFC">
            <w:pPr>
              <w:jc w:val="center"/>
              <w:rPr>
                <w:noProof/>
              </w:rPr>
            </w:pPr>
            <w:r w:rsidRPr="00726D52">
              <w:rPr>
                <w:noProof/>
              </w:rPr>
              <w:t>11</w:t>
            </w:r>
            <w:r w:rsidR="00692777" w:rsidRPr="00726D52">
              <w:rPr>
                <w:noProof/>
              </w:rPr>
              <w:t>.1</w:t>
            </w:r>
          </w:p>
        </w:tc>
      </w:tr>
    </w:tbl>
    <w:p w14:paraId="2127ECF5" w14:textId="77777777" w:rsidR="000A268D" w:rsidRPr="00726D52" w:rsidRDefault="000A268D" w:rsidP="000A268D">
      <w:pPr>
        <w:rPr>
          <w:rFonts w:eastAsia="Times New Roman"/>
          <w:noProof/>
          <w:color w:val="000000" w:themeColor="text1"/>
        </w:rPr>
      </w:pPr>
      <w:r w:rsidRPr="00726D52">
        <w:rPr>
          <w:rFonts w:eastAsia="Times New Roman"/>
          <w:noProof/>
          <w:color w:val="000000" w:themeColor="text1"/>
        </w:rPr>
        <w:t xml:space="preserve">One-off and recurring costs for Member States are </w:t>
      </w:r>
      <w:r w:rsidRPr="00726D52">
        <w:rPr>
          <w:rFonts w:eastAsia="Times New Roman"/>
          <w:b/>
          <w:bCs/>
          <w:noProof/>
          <w:color w:val="000000" w:themeColor="text1"/>
        </w:rPr>
        <w:t>negligible</w:t>
      </w:r>
      <w:r w:rsidRPr="00726D52">
        <w:rPr>
          <w:rFonts w:eastAsia="Times New Roman"/>
          <w:noProof/>
          <w:color w:val="000000" w:themeColor="text1"/>
        </w:rPr>
        <w:t xml:space="preserve">, as the measure operates at EU level and does not require national staff contributions or operational expenditure. For Europol, no separate start-up costs are identified, since onboarding and infrastructure needs are already captured in the average annual staff cost methodology. Recurrent costs stem mainly from establishing a </w:t>
      </w:r>
      <w:r w:rsidRPr="00726D52">
        <w:rPr>
          <w:rFonts w:eastAsia="Times New Roman"/>
          <w:b/>
          <w:bCs/>
          <w:noProof/>
          <w:color w:val="000000" w:themeColor="text1"/>
        </w:rPr>
        <w:t>dedicated EPPO Support Team</w:t>
      </w:r>
      <w:r w:rsidRPr="00726D52">
        <w:rPr>
          <w:rFonts w:eastAsia="Times New Roman"/>
          <w:noProof/>
          <w:color w:val="000000" w:themeColor="text1"/>
        </w:rPr>
        <w:t xml:space="preserve"> (around </w:t>
      </w:r>
      <w:r w:rsidRPr="00726D52">
        <w:rPr>
          <w:rFonts w:eastAsia="Times New Roman"/>
          <w:b/>
          <w:bCs/>
          <w:noProof/>
          <w:color w:val="000000" w:themeColor="text1"/>
        </w:rPr>
        <w:t>EUR 10.1 million annually</w:t>
      </w:r>
      <w:r w:rsidRPr="00726D52">
        <w:rPr>
          <w:rFonts w:eastAsia="Times New Roman"/>
          <w:noProof/>
          <w:color w:val="000000" w:themeColor="text1"/>
        </w:rPr>
        <w:t xml:space="preserve">) and additional permanent cooperation mechanisms (less than </w:t>
      </w:r>
      <w:r w:rsidRPr="00726D52">
        <w:rPr>
          <w:rFonts w:eastAsia="Times New Roman"/>
          <w:b/>
          <w:bCs/>
          <w:noProof/>
          <w:color w:val="000000" w:themeColor="text1"/>
        </w:rPr>
        <w:t>EUR 1 million per year</w:t>
      </w:r>
      <w:r w:rsidRPr="00726D52">
        <w:rPr>
          <w:rFonts w:eastAsia="Times New Roman"/>
          <w:noProof/>
          <w:color w:val="000000" w:themeColor="text1"/>
        </w:rPr>
        <w:t>).</w:t>
      </w:r>
    </w:p>
    <w:p w14:paraId="13BA3851" w14:textId="77777777" w:rsidR="000A268D" w:rsidRPr="00726D52" w:rsidRDefault="000A268D" w:rsidP="009502B2">
      <w:pPr>
        <w:pStyle w:val="Heading4"/>
        <w:numPr>
          <w:ilvl w:val="0"/>
          <w:numId w:val="33"/>
        </w:numPr>
        <w:tabs>
          <w:tab w:val="num" w:pos="360"/>
        </w:tabs>
        <w:ind w:left="0" w:firstLine="0"/>
        <w:rPr>
          <w:b/>
          <w:noProof/>
          <w:color w:val="000000" w:themeColor="text1"/>
        </w:rPr>
      </w:pPr>
      <w:r w:rsidRPr="00726D52">
        <w:rPr>
          <w:b/>
          <w:bCs/>
          <w:noProof/>
        </w:rPr>
        <w:t>Feasibility (+)</w:t>
      </w:r>
    </w:p>
    <w:p w14:paraId="6A0F2F93" w14:textId="77777777" w:rsidR="000A268D" w:rsidRPr="00726D52" w:rsidRDefault="000A268D" w:rsidP="000A268D">
      <w:pPr>
        <w:rPr>
          <w:i/>
          <w:iCs/>
          <w:noProof/>
        </w:rPr>
      </w:pPr>
      <w:r w:rsidRPr="00726D52">
        <w:rPr>
          <w:i/>
          <w:iCs/>
          <w:noProof/>
        </w:rPr>
        <w:t>Technical feasibility</w:t>
      </w:r>
    </w:p>
    <w:p w14:paraId="63A1046D" w14:textId="77777777" w:rsidR="000A268D" w:rsidRPr="00726D52" w:rsidRDefault="000A268D" w:rsidP="000A268D">
      <w:pPr>
        <w:rPr>
          <w:noProof/>
        </w:rPr>
      </w:pPr>
      <w:r w:rsidRPr="00726D52">
        <w:rPr>
          <w:rFonts w:eastAsia="Times New Roman"/>
          <w:noProof/>
          <w:color w:val="000000" w:themeColor="text1"/>
        </w:rPr>
        <w:t xml:space="preserve">The measure is legally feasible. Besides establishing the EPPO Support Unit, which was analysed for policy option 1, turning </w:t>
      </w:r>
      <w:r w:rsidRPr="00726D52">
        <w:rPr>
          <w:noProof/>
        </w:rPr>
        <w:t>Europol into a structural provider of information, analytical support and capacities to the EPPO would require amending the Europol Regulation regarding Europol’s tasks. Introducing the possibility for hierarchical arrangements and direct information exchange between Europol and EPPO when information falls within the EPPO’s competence would also require amending the Europol Regulation regarding relations between Europol and EPPO.</w:t>
      </w:r>
    </w:p>
    <w:p w14:paraId="3333A443" w14:textId="77777777" w:rsidR="000A268D" w:rsidRPr="00726D52" w:rsidRDefault="000A268D" w:rsidP="000A268D">
      <w:pPr>
        <w:rPr>
          <w:rFonts w:eastAsia="Times New Roman"/>
          <w:i/>
          <w:iCs/>
          <w:noProof/>
        </w:rPr>
      </w:pPr>
      <w:r w:rsidRPr="00726D52">
        <w:rPr>
          <w:rFonts w:eastAsia="Times New Roman"/>
          <w:i/>
          <w:iCs/>
          <w:noProof/>
        </w:rPr>
        <w:lastRenderedPageBreak/>
        <w:t>Political feasibility</w:t>
      </w:r>
    </w:p>
    <w:p w14:paraId="5F316FEF" w14:textId="17FBDF2E" w:rsidR="000A268D" w:rsidRPr="00726D52" w:rsidRDefault="000A268D" w:rsidP="000A268D">
      <w:pPr>
        <w:rPr>
          <w:rStyle w:val="Strong"/>
          <w:b w:val="0"/>
          <w:bCs w:val="0"/>
          <w:noProof/>
        </w:rPr>
      </w:pPr>
      <w:r w:rsidRPr="00726D52">
        <w:rPr>
          <w:rFonts w:eastAsia="Times New Roman"/>
          <w:noProof/>
          <w:color w:val="000000" w:themeColor="text1"/>
        </w:rPr>
        <w:t>The consultation activities have revealed that the EPPO would fully support this measure,</w:t>
      </w:r>
      <w:r w:rsidRPr="00726D52">
        <w:rPr>
          <w:rFonts w:eastAsia="Times New Roman"/>
          <w:noProof/>
          <w:color w:val="000000" w:themeColor="text1"/>
          <w:vertAlign w:val="superscript"/>
        </w:rPr>
        <w:footnoteReference w:id="239"/>
      </w:r>
      <w:r w:rsidRPr="00726D52">
        <w:rPr>
          <w:rFonts w:eastAsia="Times New Roman"/>
          <w:noProof/>
          <w:color w:val="000000" w:themeColor="text1"/>
        </w:rPr>
        <w:t xml:space="preserve"> while both Europol and several Member States remain reluctant toward introducing the possibility for information exchanges in derogation from the </w:t>
      </w:r>
      <w:r w:rsidR="0059593E" w:rsidRPr="00726D52">
        <w:rPr>
          <w:rFonts w:eastAsia="Times New Roman"/>
          <w:noProof/>
          <w:color w:val="000000" w:themeColor="text1"/>
        </w:rPr>
        <w:t>“</w:t>
      </w:r>
      <w:r w:rsidRPr="00726D52">
        <w:rPr>
          <w:rFonts w:eastAsia="Times New Roman"/>
          <w:noProof/>
          <w:color w:val="000000" w:themeColor="text1"/>
        </w:rPr>
        <w:t>data ownership principle”</w:t>
      </w:r>
      <w:r w:rsidRPr="00726D52">
        <w:rPr>
          <w:rFonts w:eastAsia="Times New Roman"/>
          <w:noProof/>
          <w:color w:val="000000" w:themeColor="text1"/>
          <w:vertAlign w:val="superscript"/>
        </w:rPr>
        <w:footnoteReference w:id="240"/>
      </w:r>
      <w:r w:rsidR="00DF6361" w:rsidRPr="00726D52">
        <w:rPr>
          <w:rFonts w:eastAsia="Times New Roman"/>
          <w:noProof/>
          <w:color w:val="000000" w:themeColor="text1"/>
        </w:rPr>
        <w:t>.</w:t>
      </w:r>
      <w:r w:rsidRPr="00726D52">
        <w:rPr>
          <w:rFonts w:eastAsia="Times New Roman"/>
          <w:noProof/>
          <w:color w:val="000000" w:themeColor="text1"/>
        </w:rPr>
        <w:t xml:space="preserve"> </w:t>
      </w:r>
      <w:r w:rsidRPr="00726D52">
        <w:rPr>
          <w:noProof/>
        </w:rPr>
        <w:t xml:space="preserve">Overall, the measure remains </w:t>
      </w:r>
      <w:r w:rsidRPr="00726D52">
        <w:rPr>
          <w:rStyle w:val="Strong"/>
          <w:noProof/>
        </w:rPr>
        <w:t>politically feasible, albeit with difficulties.</w:t>
      </w:r>
    </w:p>
    <w:p w14:paraId="06A01C9D" w14:textId="77777777" w:rsidR="000A268D" w:rsidRPr="00726D52" w:rsidRDefault="000A268D" w:rsidP="009502B2">
      <w:pPr>
        <w:pStyle w:val="Heading4"/>
        <w:numPr>
          <w:ilvl w:val="0"/>
          <w:numId w:val="33"/>
        </w:numPr>
        <w:tabs>
          <w:tab w:val="num" w:pos="360"/>
        </w:tabs>
        <w:ind w:left="0" w:firstLine="0"/>
        <w:rPr>
          <w:b/>
          <w:noProof/>
          <w:color w:val="000000" w:themeColor="text1"/>
        </w:rPr>
      </w:pPr>
      <w:r w:rsidRPr="00726D52">
        <w:rPr>
          <w:b/>
          <w:bCs/>
          <w:noProof/>
        </w:rPr>
        <w:t>Impact on digitalisation (0)</w:t>
      </w:r>
    </w:p>
    <w:p w14:paraId="23280E32" w14:textId="34ADA7B3" w:rsidR="000A268D" w:rsidRPr="00726D52" w:rsidRDefault="000A268D" w:rsidP="000A268D">
      <w:pPr>
        <w:spacing w:before="240"/>
        <w:rPr>
          <w:rFonts w:eastAsia="Times New Roman"/>
          <w:noProof/>
          <w:color w:val="000000" w:themeColor="text1"/>
        </w:rPr>
      </w:pPr>
      <w:r w:rsidRPr="00726D52">
        <w:rPr>
          <w:noProof/>
        </w:rPr>
        <w:t>This measure would have no to positive impacts on digitalisation depending on whether implementation maintains the current level or increases the digital delivery of services.</w:t>
      </w:r>
    </w:p>
    <w:p w14:paraId="52B563AA" w14:textId="4664CA23" w:rsidR="000A268D" w:rsidRPr="00726D52" w:rsidRDefault="000A268D" w:rsidP="009502B2">
      <w:pPr>
        <w:pStyle w:val="ListParagraph"/>
        <w:numPr>
          <w:ilvl w:val="1"/>
          <w:numId w:val="84"/>
        </w:numPr>
        <w:rPr>
          <w:b/>
          <w:noProof/>
          <w:lang w:eastAsia="fr-BE"/>
        </w:rPr>
      </w:pPr>
      <w:r w:rsidRPr="00726D52">
        <w:rPr>
          <w:b/>
          <w:bCs/>
          <w:i/>
          <w:noProof/>
          <w:u w:val="single"/>
          <w:lang w:eastAsia="fr-BE"/>
        </w:rPr>
        <w:t>Policy option 2.4</w:t>
      </w:r>
      <w:r w:rsidRPr="00726D52">
        <w:rPr>
          <w:b/>
          <w:bCs/>
          <w:i/>
          <w:noProof/>
          <w:lang w:eastAsia="fr-BE"/>
        </w:rPr>
        <w:t>: EU Police Cloud and Europol support offices</w:t>
      </w:r>
    </w:p>
    <w:p w14:paraId="13BD3FE3" w14:textId="77777777" w:rsidR="000A268D" w:rsidRPr="00726D52" w:rsidRDefault="000A268D" w:rsidP="009502B2">
      <w:pPr>
        <w:pStyle w:val="Heading4"/>
        <w:numPr>
          <w:ilvl w:val="0"/>
          <w:numId w:val="29"/>
        </w:numPr>
        <w:tabs>
          <w:tab w:val="num" w:pos="360"/>
        </w:tabs>
        <w:ind w:left="0" w:firstLine="0"/>
        <w:rPr>
          <w:b/>
          <w:bCs/>
          <w:noProof/>
          <w:lang w:eastAsia="fr-BE"/>
        </w:rPr>
      </w:pPr>
      <w:r w:rsidRPr="00726D52">
        <w:rPr>
          <w:b/>
          <w:noProof/>
        </w:rPr>
        <w:t>Impact on citizens (+)</w:t>
      </w:r>
    </w:p>
    <w:p w14:paraId="5E4893BF" w14:textId="77777777" w:rsidR="000A268D" w:rsidRPr="00726D52" w:rsidRDefault="000A268D" w:rsidP="000A268D">
      <w:pPr>
        <w:rPr>
          <w:noProof/>
        </w:rPr>
      </w:pPr>
      <w:r w:rsidRPr="00726D52">
        <w:rPr>
          <w:noProof/>
        </w:rPr>
        <w:t xml:space="preserve">The continued rise of </w:t>
      </w:r>
      <w:r w:rsidRPr="00726D52">
        <w:rPr>
          <w:rStyle w:val="Strong"/>
          <w:noProof/>
        </w:rPr>
        <w:t>digitally enabled and AI-facilitated crime</w:t>
      </w:r>
      <w:r w:rsidRPr="00726D52">
        <w:rPr>
          <w:noProof/>
        </w:rPr>
        <w:t xml:space="preserve">, combined with increased cross-border mobility, has led to a more diverse and complex threat landscape. Criminal activities increasingly span EU internal borders and affect citizens both directly and indirectly. This trend is expected to intensify as a growing share of citizens’ daily activities takes place in </w:t>
      </w:r>
      <w:r w:rsidRPr="00726D52">
        <w:rPr>
          <w:rStyle w:val="Strong"/>
          <w:noProof/>
        </w:rPr>
        <w:t>digital environments</w:t>
      </w:r>
      <w:r w:rsidRPr="00726D52">
        <w:rPr>
          <w:noProof/>
        </w:rPr>
        <w:t>.</w:t>
      </w:r>
    </w:p>
    <w:p w14:paraId="2158EDA4" w14:textId="77777777" w:rsidR="000A268D" w:rsidRPr="00726D52" w:rsidRDefault="000A268D" w:rsidP="000A268D">
      <w:pPr>
        <w:rPr>
          <w:noProof/>
        </w:rPr>
      </w:pPr>
      <w:r w:rsidRPr="00726D52">
        <w:rPr>
          <w:noProof/>
        </w:rPr>
        <w:t xml:space="preserve">Ensuring a safer physical and online environment therefore requires </w:t>
      </w:r>
      <w:r w:rsidRPr="00726D52">
        <w:rPr>
          <w:rStyle w:val="Strong"/>
          <w:noProof/>
        </w:rPr>
        <w:t>enhanced cross-border cooperation</w:t>
      </w:r>
      <w:r w:rsidRPr="00726D52">
        <w:rPr>
          <w:noProof/>
        </w:rPr>
        <w:t xml:space="preserve">, improved information exchange among Member States, and analytical capacities capable of processing large and complex datasets. The EU Police Cloud would support the deployment of interoperable digital investigative tools and scalable processing capabilities, enabling law enforcement authorities to respond more effectively to evolving forms of criminality. Overall, the initiative is expected to </w:t>
      </w:r>
      <w:r w:rsidRPr="00726D52">
        <w:rPr>
          <w:rStyle w:val="Strong"/>
          <w:noProof/>
        </w:rPr>
        <w:t>strengthen EU internal security</w:t>
      </w:r>
      <w:r w:rsidRPr="00726D52">
        <w:rPr>
          <w:noProof/>
        </w:rPr>
        <w:t xml:space="preserve"> by supporting law enforcement adaptation to the digital transformation of crime, thereby delivering </w:t>
      </w:r>
      <w:r w:rsidRPr="00726D52">
        <w:rPr>
          <w:rStyle w:val="Strong"/>
          <w:noProof/>
        </w:rPr>
        <w:t>tangible benefits for citizens</w:t>
      </w:r>
      <w:r w:rsidRPr="00726D52">
        <w:rPr>
          <w:noProof/>
        </w:rPr>
        <w:t xml:space="preserve"> in terms of safer physical and online environments.</w:t>
      </w:r>
    </w:p>
    <w:p w14:paraId="6BA16B97" w14:textId="77777777" w:rsidR="000A268D" w:rsidRPr="00726D52" w:rsidRDefault="000A268D" w:rsidP="000A268D">
      <w:pPr>
        <w:rPr>
          <w:noProof/>
        </w:rPr>
      </w:pPr>
      <w:r w:rsidRPr="00726D52">
        <w:rPr>
          <w:noProof/>
        </w:rPr>
        <w:t xml:space="preserve">By strengthening the operational link between Europol and the Member States, through reinforced Europol National Units complemented by </w:t>
      </w:r>
      <w:r w:rsidRPr="00726D52">
        <w:rPr>
          <w:b/>
          <w:bCs/>
          <w:noProof/>
        </w:rPr>
        <w:t>Europol Support Offices</w:t>
      </w:r>
      <w:r w:rsidRPr="00726D52">
        <w:rPr>
          <w:noProof/>
        </w:rPr>
        <w:t xml:space="preserve">, this measure would establish a more integrated, efficient and operationally driven model of cross-border law-enforcement cooperation. It is expected to deliver tangible security outcomes for citizens, including more effective disruption of cross-border criminal networks, earlier detection of cross-border dimensions in criminal investigations, faster operational responses, and improved coordination of operational and investigative </w:t>
      </w:r>
      <w:r w:rsidRPr="00726D52">
        <w:rPr>
          <w:noProof/>
        </w:rPr>
        <w:lastRenderedPageBreak/>
        <w:t>activities. Over time, this enhanced effectiveness is likely to contribute to a higher level of security within the Union and to reinforce citizens’ trust in the EU’s capacity to combat serious and organised crime.</w:t>
      </w:r>
    </w:p>
    <w:p w14:paraId="2AA976D8" w14:textId="77777777" w:rsidR="000A268D" w:rsidRPr="00726D52" w:rsidRDefault="000A268D" w:rsidP="009502B2">
      <w:pPr>
        <w:pStyle w:val="Heading4"/>
        <w:numPr>
          <w:ilvl w:val="0"/>
          <w:numId w:val="29"/>
        </w:numPr>
        <w:tabs>
          <w:tab w:val="num" w:pos="360"/>
        </w:tabs>
        <w:ind w:left="0" w:firstLine="0"/>
        <w:rPr>
          <w:b/>
          <w:bCs/>
          <w:noProof/>
          <w:lang w:eastAsia="fr-BE"/>
        </w:rPr>
      </w:pPr>
      <w:r w:rsidRPr="00726D52">
        <w:rPr>
          <w:b/>
          <w:noProof/>
        </w:rPr>
        <w:t>Impact on national authorities (++)</w:t>
      </w:r>
    </w:p>
    <w:p w14:paraId="42410107" w14:textId="77777777" w:rsidR="000A268D" w:rsidRPr="00726D52" w:rsidRDefault="000A268D" w:rsidP="000A268D">
      <w:pPr>
        <w:rPr>
          <w:noProof/>
        </w:rPr>
      </w:pPr>
      <w:r w:rsidRPr="00726D52">
        <w:rPr>
          <w:noProof/>
        </w:rPr>
        <w:t xml:space="preserve">The EU Police Cloud would provide criminal investigators across the Union with </w:t>
      </w:r>
      <w:r w:rsidRPr="00726D52">
        <w:rPr>
          <w:rStyle w:val="Strong"/>
          <w:noProof/>
        </w:rPr>
        <w:t>scalable storage and on-demand computing capacity</w:t>
      </w:r>
      <w:r w:rsidRPr="00726D52">
        <w:rPr>
          <w:noProof/>
        </w:rPr>
        <w:t>, enabling them to manage expanding datasets and peak workloads more effectively. National authorities would benefit from enhanced analytical tools, including AI-supported pattern detection, network and multimedia analysis, and decryption capabilities. These functionalities would support more precise and near real-time data processing, thereby strengthening investigative and crime-prevention capacities.</w:t>
      </w:r>
    </w:p>
    <w:p w14:paraId="52D14B19" w14:textId="77777777" w:rsidR="000A268D" w:rsidRPr="00726D52" w:rsidRDefault="000A268D" w:rsidP="000A268D">
      <w:pPr>
        <w:rPr>
          <w:noProof/>
        </w:rPr>
      </w:pPr>
      <w:r w:rsidRPr="00726D52">
        <w:rPr>
          <w:noProof/>
        </w:rPr>
        <w:t xml:space="preserve">The initiative would also foster </w:t>
      </w:r>
      <w:r w:rsidRPr="00726D52">
        <w:rPr>
          <w:rStyle w:val="Strong"/>
          <w:noProof/>
        </w:rPr>
        <w:t>secure and trust-based cross-border information sharing</w:t>
      </w:r>
      <w:r w:rsidRPr="00726D52">
        <w:rPr>
          <w:noProof/>
        </w:rPr>
        <w:t>. Through harmonised authentication mechanisms and common security standards across Member States, the Police Cloud would offer a unified environment for joint analysis and cooperation. National authorities would retain control over their data throughout its lifecycle, while benefiting from reduced fragmentation and improved interoperability, thus reinforcing mutual trust and operational cooperation.</w:t>
      </w:r>
    </w:p>
    <w:p w14:paraId="423AEAF4" w14:textId="77777777" w:rsidR="000A268D" w:rsidRPr="00726D52" w:rsidRDefault="000A268D" w:rsidP="000A268D">
      <w:pPr>
        <w:rPr>
          <w:noProof/>
        </w:rPr>
      </w:pPr>
      <w:r w:rsidRPr="00726D52">
        <w:rPr>
          <w:noProof/>
        </w:rPr>
        <w:t xml:space="preserve">By enabling the processing of sensitive law enforcement data within a </w:t>
      </w:r>
      <w:r w:rsidRPr="00726D52">
        <w:rPr>
          <w:rStyle w:val="Strong"/>
          <w:noProof/>
        </w:rPr>
        <w:t>sovereign European framework</w:t>
      </w:r>
      <w:r w:rsidRPr="00726D52">
        <w:rPr>
          <w:noProof/>
        </w:rPr>
        <w:t xml:space="preserve">, the transition would contribute to resilience and strategic autonomy. Moving beyond constraints linked to traditional infrastructure would facilitate more efficient data handling and timely operational responses, in line with EU digital sovereignty objectives. Overall, the EU Police Cloud is expected to </w:t>
      </w:r>
      <w:r w:rsidRPr="00726D52">
        <w:rPr>
          <w:rStyle w:val="Strong"/>
          <w:noProof/>
        </w:rPr>
        <w:t>enhance operational effectiveness, efficiency and cooperation</w:t>
      </w:r>
      <w:r w:rsidRPr="00726D52">
        <w:rPr>
          <w:noProof/>
        </w:rPr>
        <w:t xml:space="preserve"> among national authorities, supporting strategic law enforcement objectives at Union level.</w:t>
      </w:r>
    </w:p>
    <w:p w14:paraId="6954698E" w14:textId="77777777" w:rsidR="000A268D" w:rsidRPr="00726D52" w:rsidRDefault="000A268D" w:rsidP="000A268D">
      <w:pPr>
        <w:rPr>
          <w:noProof/>
        </w:rPr>
      </w:pPr>
      <w:r w:rsidRPr="00726D52">
        <w:rPr>
          <w:b/>
          <w:bCs/>
          <w:noProof/>
        </w:rPr>
        <w:t>Europol Support Offices</w:t>
      </w:r>
      <w:r w:rsidRPr="00726D52">
        <w:rPr>
          <w:noProof/>
        </w:rPr>
        <w:t xml:space="preserve"> would have a significant operational impact on national law-enforcement authorities. They would provide more systematic and easier access to Europol’s analytical, operational, and strategic products, while reducing administrative and coordination burdens through locally embedded expertise familiar with both national procedures and Europol systems. The offices would also strengthen trust and mutual understanding between national services and Europol and support capacity-building through specialised training. Evidence shows that Europol support is often mobilised late in investigations, limiting its impact; these Europol support offices would facilitate earlier engagement, improve uptake of Europol products in national proceedings, and, in the medium term, increase operational efficiency while reducing duplication of efforts. </w:t>
      </w:r>
    </w:p>
    <w:p w14:paraId="66626166" w14:textId="2BDE5AC7" w:rsidR="000A268D" w:rsidRPr="00726D52" w:rsidRDefault="000A268D" w:rsidP="009502B2">
      <w:pPr>
        <w:pStyle w:val="Heading4"/>
        <w:numPr>
          <w:ilvl w:val="0"/>
          <w:numId w:val="29"/>
        </w:numPr>
        <w:tabs>
          <w:tab w:val="num" w:pos="360"/>
        </w:tabs>
        <w:ind w:left="0" w:firstLine="0"/>
        <w:rPr>
          <w:b/>
          <w:noProof/>
          <w:lang w:eastAsia="fr-BE"/>
        </w:rPr>
      </w:pPr>
      <w:r w:rsidRPr="00726D52">
        <w:rPr>
          <w:b/>
          <w:noProof/>
        </w:rPr>
        <w:t>Impact on fundamental rights</w:t>
      </w:r>
      <w:r w:rsidR="00A7665F" w:rsidRPr="00726D52">
        <w:rPr>
          <w:b/>
          <w:noProof/>
        </w:rPr>
        <w:t xml:space="preserve"> </w:t>
      </w:r>
      <w:r w:rsidRPr="00726D52">
        <w:rPr>
          <w:b/>
          <w:noProof/>
        </w:rPr>
        <w:t>(+)</w:t>
      </w:r>
    </w:p>
    <w:p w14:paraId="673F66B6" w14:textId="77777777" w:rsidR="000A268D" w:rsidRPr="00726D52" w:rsidRDefault="000A268D" w:rsidP="009502B2">
      <w:pPr>
        <w:pStyle w:val="Heading4"/>
        <w:numPr>
          <w:ilvl w:val="0"/>
          <w:numId w:val="88"/>
        </w:numPr>
        <w:rPr>
          <w:b/>
          <w:noProof/>
        </w:rPr>
      </w:pPr>
      <w:r w:rsidRPr="00726D52">
        <w:rPr>
          <w:b/>
          <w:noProof/>
        </w:rPr>
        <w:t>Objective of general interest (+)</w:t>
      </w:r>
    </w:p>
    <w:p w14:paraId="06543A19" w14:textId="77777777" w:rsidR="000A268D" w:rsidRPr="00726D52" w:rsidRDefault="000A268D" w:rsidP="000A268D">
      <w:pPr>
        <w:rPr>
          <w:noProof/>
        </w:rPr>
      </w:pPr>
      <w:r w:rsidRPr="00726D52">
        <w:rPr>
          <w:noProof/>
        </w:rPr>
        <w:t>The proposal aligns firmly with the EU’s overarching interest in promoting security, peace, and the well-being of citizens through a unified law enforcement framework. In supporting Europol’s capabilities, the measure seeks to uphold the collective security interests of Member States, ensuring a harmonised approach to combating serious crime.</w:t>
      </w:r>
    </w:p>
    <w:p w14:paraId="68458CB9" w14:textId="77777777" w:rsidR="000A268D" w:rsidRPr="00726D52" w:rsidRDefault="000A268D" w:rsidP="009502B2">
      <w:pPr>
        <w:pStyle w:val="Heading4"/>
        <w:numPr>
          <w:ilvl w:val="0"/>
          <w:numId w:val="88"/>
        </w:numPr>
        <w:rPr>
          <w:b/>
          <w:noProof/>
        </w:rPr>
      </w:pPr>
      <w:r w:rsidRPr="00726D52">
        <w:rPr>
          <w:b/>
          <w:noProof/>
        </w:rPr>
        <w:lastRenderedPageBreak/>
        <w:t>Impact on data protection (0)</w:t>
      </w:r>
    </w:p>
    <w:p w14:paraId="4F348586" w14:textId="77777777" w:rsidR="000A268D" w:rsidRPr="00726D52" w:rsidRDefault="000A268D" w:rsidP="000A268D">
      <w:pPr>
        <w:rPr>
          <w:b/>
          <w:i/>
          <w:noProof/>
        </w:rPr>
      </w:pPr>
      <w:r w:rsidRPr="00726D52">
        <w:rPr>
          <w:b/>
          <w:i/>
          <w:noProof/>
        </w:rPr>
        <w:t xml:space="preserve">Necessity </w:t>
      </w:r>
    </w:p>
    <w:p w14:paraId="2CF34A3C" w14:textId="77777777" w:rsidR="000A268D" w:rsidRPr="00726D52" w:rsidRDefault="000A268D" w:rsidP="000A268D">
      <w:pPr>
        <w:rPr>
          <w:noProof/>
        </w:rPr>
      </w:pPr>
      <w:r w:rsidRPr="00726D52">
        <w:rPr>
          <w:noProof/>
        </w:rPr>
        <w:t xml:space="preserve">The EU Police Cloud would provide the </w:t>
      </w:r>
      <w:r w:rsidRPr="00726D52">
        <w:rPr>
          <w:rStyle w:val="Strong"/>
          <w:noProof/>
        </w:rPr>
        <w:t>scalable storage and processing infrastructure</w:t>
      </w:r>
      <w:r w:rsidRPr="00726D52">
        <w:rPr>
          <w:noProof/>
        </w:rPr>
        <w:t xml:space="preserve"> required to support an expanding range of EU criminal information-sharing and analytical tools. It would enable seamless deployment within national environments and ensure a </w:t>
      </w:r>
      <w:r w:rsidRPr="00726D52">
        <w:rPr>
          <w:rStyle w:val="Strong"/>
          <w:noProof/>
        </w:rPr>
        <w:t>high and harmonised level of security</w:t>
      </w:r>
      <w:r w:rsidRPr="00726D52">
        <w:rPr>
          <w:noProof/>
        </w:rPr>
        <w:t>, notably through an EU Digital Police identity framework.</w:t>
      </w:r>
    </w:p>
    <w:p w14:paraId="0C73B080" w14:textId="77777777" w:rsidR="000A268D" w:rsidRPr="00726D52" w:rsidRDefault="000A268D" w:rsidP="000A268D">
      <w:pPr>
        <w:rPr>
          <w:noProof/>
        </w:rPr>
      </w:pPr>
      <w:r w:rsidRPr="00726D52">
        <w:rPr>
          <w:noProof/>
        </w:rPr>
        <w:t xml:space="preserve">The initiative would </w:t>
      </w:r>
      <w:r w:rsidRPr="00726D52">
        <w:rPr>
          <w:rStyle w:val="Strong"/>
          <w:noProof/>
        </w:rPr>
        <w:t>not introduce new personal data or new processing operations</w:t>
      </w:r>
      <w:r w:rsidRPr="00726D52">
        <w:rPr>
          <w:noProof/>
        </w:rPr>
        <w:t>, but would serve as the secure technical backbone for existing and future applications requiring significant computing capacity.</w:t>
      </w:r>
    </w:p>
    <w:p w14:paraId="4D46C3AA" w14:textId="77777777" w:rsidR="000A268D" w:rsidRPr="00726D52" w:rsidRDefault="000A268D" w:rsidP="000A268D">
      <w:pPr>
        <w:rPr>
          <w:noProof/>
        </w:rPr>
      </w:pPr>
      <w:r w:rsidRPr="00726D52">
        <w:rPr>
          <w:noProof/>
        </w:rPr>
        <w:t xml:space="preserve">Its necessity arises from the need to process </w:t>
      </w:r>
      <w:r w:rsidRPr="00726D52">
        <w:rPr>
          <w:b/>
          <w:bCs/>
          <w:noProof/>
        </w:rPr>
        <w:t>large, complex and cross-border datasets</w:t>
      </w:r>
      <w:r w:rsidRPr="00726D52">
        <w:rPr>
          <w:noProof/>
        </w:rPr>
        <w:t xml:space="preserve"> that cannot be efficiently handled through decentralised infrastructures alone. Certain joint analytical and communication-based applications inherently require centralised capacity due to volume and operational constraints. Joint cross-border analysis of information shared by Member States, including extensions of JOAC and Europol Analytical Projects, requires </w:t>
      </w:r>
      <w:r w:rsidRPr="00726D52">
        <w:rPr>
          <w:b/>
          <w:bCs/>
          <w:noProof/>
        </w:rPr>
        <w:t>centralised storage and processing</w:t>
      </w:r>
      <w:r w:rsidRPr="00726D52">
        <w:rPr>
          <w:noProof/>
        </w:rPr>
        <w:t xml:space="preserve">, as the data volumes involved exceed the practical transfer capacities between national data centres. Similarly, communication-based tools such as SIENA, the Large File Exchange (LFE) system, and multilateral operational cooperation mechanisms rely on </w:t>
      </w:r>
      <w:r w:rsidRPr="00726D52">
        <w:rPr>
          <w:b/>
          <w:bCs/>
          <w:noProof/>
        </w:rPr>
        <w:t>central processing infrastructure</w:t>
      </w:r>
      <w:r w:rsidRPr="00726D52">
        <w:rPr>
          <w:noProof/>
        </w:rPr>
        <w:t xml:space="preserve"> to function effectively.</w:t>
      </w:r>
    </w:p>
    <w:p w14:paraId="2ECD2E32" w14:textId="77777777" w:rsidR="000A268D" w:rsidRPr="00726D52" w:rsidRDefault="000A268D" w:rsidP="000A268D">
      <w:pPr>
        <w:rPr>
          <w:noProof/>
        </w:rPr>
      </w:pPr>
      <w:r w:rsidRPr="00726D52">
        <w:rPr>
          <w:noProof/>
        </w:rPr>
        <w:t xml:space="preserve">The EU Police Cloud is therefore considered </w:t>
      </w:r>
      <w:r w:rsidRPr="00726D52">
        <w:rPr>
          <w:b/>
          <w:bCs/>
          <w:noProof/>
        </w:rPr>
        <w:t>a necessary enabling measure</w:t>
      </w:r>
      <w:r w:rsidRPr="00726D52">
        <w:rPr>
          <w:noProof/>
        </w:rPr>
        <w:t xml:space="preserve"> to maintain effective and secure EU law enforcement cooperation in the digital environment.</w:t>
      </w:r>
    </w:p>
    <w:p w14:paraId="1071FB0D" w14:textId="77777777" w:rsidR="000A268D" w:rsidRPr="00726D52" w:rsidRDefault="000A268D" w:rsidP="000A268D">
      <w:pPr>
        <w:rPr>
          <w:b/>
          <w:i/>
          <w:noProof/>
        </w:rPr>
      </w:pPr>
      <w:r w:rsidRPr="00726D52">
        <w:rPr>
          <w:b/>
          <w:i/>
          <w:noProof/>
        </w:rPr>
        <w:t>Proportionality</w:t>
      </w:r>
    </w:p>
    <w:p w14:paraId="7FB8CEC0" w14:textId="7BCB4429" w:rsidR="000A268D" w:rsidRPr="00726D52" w:rsidRDefault="000A268D" w:rsidP="000A268D">
      <w:pPr>
        <w:rPr>
          <w:noProof/>
        </w:rPr>
      </w:pPr>
      <w:r w:rsidRPr="00726D52">
        <w:rPr>
          <w:noProof/>
        </w:rPr>
        <w:t xml:space="preserve">The EU Police Cloud being only a technical platform for hosting law enforcement applications does not entail </w:t>
      </w:r>
      <w:r w:rsidRPr="00726D52">
        <w:rPr>
          <w:i/>
          <w:iCs/>
          <w:noProof/>
        </w:rPr>
        <w:t>per se</w:t>
      </w:r>
      <w:r w:rsidRPr="00726D52">
        <w:rPr>
          <w:noProof/>
        </w:rPr>
        <w:t xml:space="preserve"> any possible consequence on the persons’ rights and freedom. Such hosted data processing being however susceptible by the size and the processing power to augment the risks of potential infringements, EU police cloud will accordingly provide by default build-in safeguards ensuring that </w:t>
      </w:r>
      <w:r w:rsidRPr="00726D52">
        <w:rPr>
          <w:i/>
          <w:iCs/>
          <w:noProof/>
        </w:rPr>
        <w:t xml:space="preserve">a first unconditional line of guarantees </w:t>
      </w:r>
      <w:r w:rsidRPr="00726D52">
        <w:rPr>
          <w:noProof/>
        </w:rPr>
        <w:t xml:space="preserve">will be available to limit the hosted application to essential purposes in law enforcement: along with harmonized digital police environment, will a common police digital ID scheme, based on EU Digital Identity with insurance level high be the ground stone for insuring traceability, </w:t>
      </w:r>
      <w:r w:rsidR="005A6FC2" w:rsidRPr="00726D52">
        <w:rPr>
          <w:noProof/>
        </w:rPr>
        <w:t xml:space="preserve">accountability </w:t>
      </w:r>
      <w:r w:rsidRPr="00726D52">
        <w:rPr>
          <w:noProof/>
        </w:rPr>
        <w:t xml:space="preserve">and strong role-based access to such sensitive investigative data and to the corresponding tools. </w:t>
      </w:r>
    </w:p>
    <w:p w14:paraId="6FE0A252" w14:textId="77777777" w:rsidR="000A268D" w:rsidRPr="00726D52" w:rsidRDefault="000A268D" w:rsidP="000A268D">
      <w:pPr>
        <w:rPr>
          <w:noProof/>
        </w:rPr>
      </w:pPr>
      <w:r w:rsidRPr="00726D52">
        <w:rPr>
          <w:noProof/>
        </w:rPr>
        <w:t xml:space="preserve">In that way will the EU Police Cloud </w:t>
      </w:r>
      <w:r w:rsidRPr="00726D52">
        <w:rPr>
          <w:i/>
          <w:iCs/>
          <w:noProof/>
        </w:rPr>
        <w:t xml:space="preserve">contribute to </w:t>
      </w:r>
      <w:r w:rsidRPr="00726D52">
        <w:rPr>
          <w:noProof/>
        </w:rPr>
        <w:t>safeguarding individual privacy rights for all potential storage and processing of data while maximising operational efficacy. The approach ensures a balanced application of processing power without overextending the access to or usage of personal data.</w:t>
      </w:r>
    </w:p>
    <w:p w14:paraId="166E2E87" w14:textId="77777777" w:rsidR="00495928" w:rsidRPr="00726D52" w:rsidRDefault="00495928" w:rsidP="000A268D">
      <w:pPr>
        <w:rPr>
          <w:noProof/>
        </w:rPr>
      </w:pPr>
    </w:p>
    <w:p w14:paraId="17C00653" w14:textId="77777777" w:rsidR="000A268D" w:rsidRPr="00726D52" w:rsidRDefault="000A268D" w:rsidP="009502B2">
      <w:pPr>
        <w:pStyle w:val="Heading4"/>
        <w:numPr>
          <w:ilvl w:val="0"/>
          <w:numId w:val="29"/>
        </w:numPr>
        <w:tabs>
          <w:tab w:val="num" w:pos="360"/>
        </w:tabs>
        <w:ind w:left="0" w:firstLine="0"/>
        <w:rPr>
          <w:b/>
          <w:bCs/>
          <w:noProof/>
          <w:lang w:eastAsia="fr-BE"/>
        </w:rPr>
      </w:pPr>
      <w:r w:rsidRPr="00726D52">
        <w:rPr>
          <w:b/>
          <w:noProof/>
        </w:rPr>
        <w:lastRenderedPageBreak/>
        <w:t>Cost (0)</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707"/>
        <w:gridCol w:w="2061"/>
        <w:gridCol w:w="2060"/>
      </w:tblGrid>
      <w:tr w:rsidR="000A268D" w:rsidRPr="00726D52" w14:paraId="63EC0D25" w14:textId="77777777" w:rsidTr="00C05BFC">
        <w:trPr>
          <w:trHeight w:val="285"/>
        </w:trPr>
        <w:tc>
          <w:tcPr>
            <w:tcW w:w="4707"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3CBF4C3C" w14:textId="77777777" w:rsidR="000A268D" w:rsidRPr="00726D52" w:rsidRDefault="000A268D" w:rsidP="00C05BFC">
            <w:pPr>
              <w:rPr>
                <w:noProof/>
              </w:rPr>
            </w:pPr>
          </w:p>
        </w:tc>
        <w:tc>
          <w:tcPr>
            <w:tcW w:w="2061"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11DC687A" w14:textId="77777777" w:rsidR="000A268D" w:rsidRPr="00726D52" w:rsidRDefault="000A268D" w:rsidP="00C05BFC">
            <w:pPr>
              <w:jc w:val="center"/>
              <w:rPr>
                <w:noProof/>
              </w:rPr>
            </w:pPr>
            <w:r w:rsidRPr="00726D52">
              <w:rPr>
                <w:b/>
                <w:bCs/>
                <w:i/>
                <w:iCs/>
                <w:noProof/>
              </w:rPr>
              <w:t xml:space="preserve">Member States </w:t>
            </w:r>
          </w:p>
        </w:tc>
        <w:tc>
          <w:tcPr>
            <w:tcW w:w="206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4FA0B928" w14:textId="77777777" w:rsidR="000A268D" w:rsidRPr="00726D52" w:rsidRDefault="000A268D" w:rsidP="00C05BFC">
            <w:pPr>
              <w:jc w:val="center"/>
              <w:rPr>
                <w:noProof/>
              </w:rPr>
            </w:pPr>
            <w:r w:rsidRPr="00726D52">
              <w:rPr>
                <w:b/>
                <w:bCs/>
                <w:i/>
                <w:iCs/>
                <w:noProof/>
              </w:rPr>
              <w:t>Europol</w:t>
            </w:r>
          </w:p>
        </w:tc>
      </w:tr>
      <w:tr w:rsidR="000A268D" w:rsidRPr="00726D52" w14:paraId="5CEFABE4" w14:textId="77777777" w:rsidTr="00C05BFC">
        <w:trPr>
          <w:trHeight w:val="285"/>
        </w:trPr>
        <w:tc>
          <w:tcPr>
            <w:tcW w:w="470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71C12792" w14:textId="77777777" w:rsidR="000A268D" w:rsidRPr="00726D52" w:rsidRDefault="000A268D" w:rsidP="00C05BFC">
            <w:pPr>
              <w:rPr>
                <w:noProof/>
              </w:rPr>
            </w:pPr>
            <w:r w:rsidRPr="00726D52">
              <w:rPr>
                <w:b/>
                <w:bCs/>
                <w:i/>
                <w:iCs/>
                <w:noProof/>
              </w:rPr>
              <w:t>Direct costs</w:t>
            </w:r>
          </w:p>
        </w:tc>
        <w:tc>
          <w:tcPr>
            <w:tcW w:w="206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A17F1CB" w14:textId="77777777" w:rsidR="000A268D" w:rsidRPr="00726D52" w:rsidRDefault="000A268D" w:rsidP="00C05BFC">
            <w:pPr>
              <w:jc w:val="center"/>
              <w:rPr>
                <w:noProof/>
              </w:rPr>
            </w:pPr>
          </w:p>
        </w:tc>
        <w:tc>
          <w:tcPr>
            <w:tcW w:w="206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3A3C600" w14:textId="77777777" w:rsidR="000A268D" w:rsidRPr="00726D52" w:rsidRDefault="000A268D" w:rsidP="00C05BFC">
            <w:pPr>
              <w:jc w:val="center"/>
              <w:rPr>
                <w:noProof/>
              </w:rPr>
            </w:pPr>
          </w:p>
        </w:tc>
      </w:tr>
      <w:tr w:rsidR="000A268D" w:rsidRPr="00726D52" w14:paraId="02645BFA" w14:textId="77777777" w:rsidTr="00C05BFC">
        <w:trPr>
          <w:trHeight w:val="825"/>
        </w:trPr>
        <w:tc>
          <w:tcPr>
            <w:tcW w:w="4707" w:type="dxa"/>
            <w:tcBorders>
              <w:top w:val="single" w:sz="6" w:space="0" w:color="auto"/>
              <w:left w:val="single" w:sz="6" w:space="0" w:color="auto"/>
              <w:bottom w:val="single" w:sz="6" w:space="0" w:color="auto"/>
              <w:right w:val="single" w:sz="6" w:space="0" w:color="auto"/>
            </w:tcBorders>
            <w:tcMar>
              <w:left w:w="105" w:type="dxa"/>
              <w:right w:w="105" w:type="dxa"/>
            </w:tcMar>
          </w:tcPr>
          <w:p w14:paraId="71A22503" w14:textId="77777777" w:rsidR="000A268D" w:rsidRPr="00726D52" w:rsidRDefault="000A268D" w:rsidP="00C05BFC">
            <w:pPr>
              <w:rPr>
                <w:noProof/>
              </w:rPr>
            </w:pPr>
            <w:r w:rsidRPr="00726D52">
              <w:rPr>
                <w:noProof/>
              </w:rPr>
              <w:t>Expected one-off costs (in million EUR)</w:t>
            </w:r>
          </w:p>
          <w:p w14:paraId="7472E676" w14:textId="77777777" w:rsidR="000A268D" w:rsidRPr="00726D52" w:rsidRDefault="000A268D" w:rsidP="009502B2">
            <w:pPr>
              <w:numPr>
                <w:ilvl w:val="0"/>
                <w:numId w:val="20"/>
              </w:numPr>
              <w:rPr>
                <w:i/>
                <w:noProof/>
              </w:rPr>
            </w:pPr>
            <w:r w:rsidRPr="00726D52">
              <w:rPr>
                <w:i/>
                <w:noProof/>
              </w:rPr>
              <w:t>EU Police Cloud</w:t>
            </w:r>
          </w:p>
          <w:p w14:paraId="77003F2A" w14:textId="77777777" w:rsidR="000A268D" w:rsidRPr="00726D52" w:rsidRDefault="000A268D" w:rsidP="009502B2">
            <w:pPr>
              <w:numPr>
                <w:ilvl w:val="0"/>
                <w:numId w:val="20"/>
              </w:numPr>
              <w:rPr>
                <w:i/>
                <w:noProof/>
              </w:rPr>
            </w:pPr>
            <w:r w:rsidRPr="00726D52">
              <w:rPr>
                <w:i/>
                <w:noProof/>
              </w:rPr>
              <w:t>EU Police Digital ID</w:t>
            </w:r>
          </w:p>
          <w:p w14:paraId="5F8429AA" w14:textId="77777777" w:rsidR="000A268D" w:rsidRPr="00726D52" w:rsidRDefault="000A268D" w:rsidP="009502B2">
            <w:pPr>
              <w:numPr>
                <w:ilvl w:val="0"/>
                <w:numId w:val="20"/>
              </w:numPr>
              <w:rPr>
                <w:i/>
                <w:noProof/>
              </w:rPr>
            </w:pPr>
            <w:r w:rsidRPr="00726D52">
              <w:rPr>
                <w:i/>
                <w:iCs/>
                <w:noProof/>
              </w:rPr>
              <w:t>Europol Support offices</w:t>
            </w:r>
          </w:p>
        </w:tc>
        <w:tc>
          <w:tcPr>
            <w:tcW w:w="2061" w:type="dxa"/>
            <w:tcBorders>
              <w:top w:val="single" w:sz="6" w:space="0" w:color="auto"/>
              <w:left w:val="single" w:sz="6" w:space="0" w:color="auto"/>
              <w:bottom w:val="single" w:sz="6" w:space="0" w:color="auto"/>
              <w:right w:val="single" w:sz="6" w:space="0" w:color="auto"/>
            </w:tcBorders>
            <w:tcMar>
              <w:left w:w="105" w:type="dxa"/>
              <w:right w:w="105" w:type="dxa"/>
            </w:tcMar>
          </w:tcPr>
          <w:p w14:paraId="6C3F3EE3" w14:textId="77777777" w:rsidR="000A268D" w:rsidRPr="00726D52" w:rsidRDefault="000A268D" w:rsidP="00C05BFC">
            <w:pPr>
              <w:jc w:val="left"/>
              <w:rPr>
                <w:b/>
                <w:i/>
                <w:noProof/>
              </w:rPr>
            </w:pPr>
            <w:r w:rsidRPr="00726D52">
              <w:rPr>
                <w:b/>
                <w:bCs/>
                <w:i/>
                <w:iCs/>
                <w:noProof/>
              </w:rPr>
              <w:t>67,5</w:t>
            </w:r>
          </w:p>
          <w:p w14:paraId="515C8C64" w14:textId="77777777" w:rsidR="000A268D" w:rsidRPr="00726D52" w:rsidRDefault="000A268D" w:rsidP="009502B2">
            <w:pPr>
              <w:numPr>
                <w:ilvl w:val="0"/>
                <w:numId w:val="20"/>
              </w:numPr>
              <w:jc w:val="left"/>
              <w:rPr>
                <w:i/>
                <w:noProof/>
              </w:rPr>
            </w:pPr>
            <w:r w:rsidRPr="00726D52">
              <w:rPr>
                <w:i/>
                <w:noProof/>
              </w:rPr>
              <w:t>13,5</w:t>
            </w:r>
          </w:p>
          <w:p w14:paraId="6682B0F7" w14:textId="77777777" w:rsidR="000A268D" w:rsidRPr="00726D52" w:rsidRDefault="000A268D" w:rsidP="009502B2">
            <w:pPr>
              <w:numPr>
                <w:ilvl w:val="0"/>
                <w:numId w:val="20"/>
              </w:numPr>
              <w:jc w:val="left"/>
              <w:rPr>
                <w:i/>
                <w:noProof/>
              </w:rPr>
            </w:pPr>
            <w:r w:rsidRPr="00726D52">
              <w:rPr>
                <w:i/>
                <w:noProof/>
              </w:rPr>
              <w:t>54</w:t>
            </w:r>
          </w:p>
          <w:p w14:paraId="3ECBEF5D" w14:textId="77777777" w:rsidR="000A268D" w:rsidRPr="00726D52" w:rsidRDefault="000A268D" w:rsidP="009502B2">
            <w:pPr>
              <w:numPr>
                <w:ilvl w:val="0"/>
                <w:numId w:val="20"/>
              </w:numPr>
              <w:jc w:val="left"/>
              <w:rPr>
                <w:i/>
                <w:noProof/>
              </w:rPr>
            </w:pPr>
            <w:r w:rsidRPr="00726D52">
              <w:rPr>
                <w:i/>
                <w:noProof/>
              </w:rPr>
              <w:t>0</w:t>
            </w:r>
          </w:p>
        </w:tc>
        <w:tc>
          <w:tcPr>
            <w:tcW w:w="2060" w:type="dxa"/>
            <w:tcBorders>
              <w:top w:val="single" w:sz="6" w:space="0" w:color="auto"/>
              <w:left w:val="single" w:sz="6" w:space="0" w:color="auto"/>
              <w:bottom w:val="single" w:sz="6" w:space="0" w:color="auto"/>
              <w:right w:val="single" w:sz="6" w:space="0" w:color="auto"/>
            </w:tcBorders>
            <w:tcMar>
              <w:left w:w="105" w:type="dxa"/>
              <w:right w:w="105" w:type="dxa"/>
            </w:tcMar>
          </w:tcPr>
          <w:p w14:paraId="30AA9163" w14:textId="7E079013" w:rsidR="000A268D" w:rsidRPr="00726D52" w:rsidRDefault="00F1251D" w:rsidP="00C05BFC">
            <w:pPr>
              <w:jc w:val="left"/>
              <w:rPr>
                <w:b/>
                <w:i/>
                <w:noProof/>
              </w:rPr>
            </w:pPr>
            <w:r w:rsidRPr="00726D52">
              <w:rPr>
                <w:b/>
                <w:bCs/>
                <w:i/>
                <w:iCs/>
                <w:noProof/>
              </w:rPr>
              <w:t>145.8</w:t>
            </w:r>
          </w:p>
          <w:p w14:paraId="1A984B33" w14:textId="413F6C42" w:rsidR="000A268D" w:rsidRPr="00726D52" w:rsidRDefault="001B7616" w:rsidP="009502B2">
            <w:pPr>
              <w:numPr>
                <w:ilvl w:val="0"/>
                <w:numId w:val="21"/>
              </w:numPr>
              <w:jc w:val="left"/>
              <w:rPr>
                <w:i/>
                <w:iCs/>
                <w:noProof/>
              </w:rPr>
            </w:pPr>
            <w:r w:rsidRPr="00726D52">
              <w:rPr>
                <w:i/>
                <w:noProof/>
              </w:rPr>
              <w:t>143.3</w:t>
            </w:r>
          </w:p>
          <w:p w14:paraId="5F899AE6" w14:textId="77777777" w:rsidR="000A268D" w:rsidRPr="00726D52" w:rsidRDefault="000A268D" w:rsidP="009502B2">
            <w:pPr>
              <w:numPr>
                <w:ilvl w:val="0"/>
                <w:numId w:val="21"/>
              </w:numPr>
              <w:jc w:val="left"/>
              <w:rPr>
                <w:i/>
                <w:iCs/>
                <w:noProof/>
              </w:rPr>
            </w:pPr>
            <w:r w:rsidRPr="00726D52">
              <w:rPr>
                <w:i/>
                <w:iCs/>
                <w:noProof/>
              </w:rPr>
              <w:t>2,5</w:t>
            </w:r>
          </w:p>
          <w:p w14:paraId="3D084C50" w14:textId="77777777" w:rsidR="000A268D" w:rsidRPr="00726D52" w:rsidRDefault="000A268D" w:rsidP="009502B2">
            <w:pPr>
              <w:numPr>
                <w:ilvl w:val="0"/>
                <w:numId w:val="21"/>
              </w:numPr>
              <w:jc w:val="left"/>
              <w:rPr>
                <w:i/>
                <w:noProof/>
              </w:rPr>
            </w:pPr>
            <w:r w:rsidRPr="00726D52">
              <w:rPr>
                <w:i/>
                <w:iCs/>
                <w:noProof/>
              </w:rPr>
              <w:t>0</w:t>
            </w:r>
          </w:p>
        </w:tc>
      </w:tr>
      <w:tr w:rsidR="000A268D" w:rsidRPr="00726D52" w14:paraId="06AB0A03" w14:textId="77777777" w:rsidTr="00C05BFC">
        <w:trPr>
          <w:trHeight w:val="285"/>
        </w:trPr>
        <w:tc>
          <w:tcPr>
            <w:tcW w:w="4707" w:type="dxa"/>
            <w:tcBorders>
              <w:top w:val="single" w:sz="6" w:space="0" w:color="auto"/>
              <w:left w:val="single" w:sz="6" w:space="0" w:color="auto"/>
              <w:bottom w:val="single" w:sz="6" w:space="0" w:color="auto"/>
              <w:right w:val="single" w:sz="6" w:space="0" w:color="auto"/>
            </w:tcBorders>
            <w:tcMar>
              <w:left w:w="105" w:type="dxa"/>
              <w:right w:w="105" w:type="dxa"/>
            </w:tcMar>
          </w:tcPr>
          <w:p w14:paraId="5F294129" w14:textId="77777777" w:rsidR="000A268D" w:rsidRPr="00726D52" w:rsidRDefault="000A268D" w:rsidP="00C05BFC">
            <w:pPr>
              <w:rPr>
                <w:noProof/>
              </w:rPr>
            </w:pPr>
            <w:r w:rsidRPr="00726D52">
              <w:rPr>
                <w:noProof/>
              </w:rPr>
              <w:t>Expected yearly recurring costs</w:t>
            </w:r>
            <w:r w:rsidRPr="00726D52">
              <w:rPr>
                <w:noProof/>
              </w:rPr>
              <w:br/>
              <w:t>(in million EUR)</w:t>
            </w:r>
          </w:p>
          <w:p w14:paraId="4CB5BCB4" w14:textId="77777777" w:rsidR="000A268D" w:rsidRPr="00726D52" w:rsidRDefault="000A268D" w:rsidP="009502B2">
            <w:pPr>
              <w:numPr>
                <w:ilvl w:val="0"/>
                <w:numId w:val="20"/>
              </w:numPr>
              <w:rPr>
                <w:i/>
                <w:iCs/>
                <w:noProof/>
              </w:rPr>
            </w:pPr>
            <w:r w:rsidRPr="00726D52">
              <w:rPr>
                <w:i/>
                <w:iCs/>
                <w:noProof/>
              </w:rPr>
              <w:t>EU Police Cloud</w:t>
            </w:r>
          </w:p>
          <w:p w14:paraId="73152B11" w14:textId="77777777" w:rsidR="000A268D" w:rsidRPr="00726D52" w:rsidRDefault="000A268D" w:rsidP="009502B2">
            <w:pPr>
              <w:numPr>
                <w:ilvl w:val="0"/>
                <w:numId w:val="20"/>
              </w:numPr>
              <w:rPr>
                <w:i/>
                <w:iCs/>
                <w:noProof/>
              </w:rPr>
            </w:pPr>
            <w:r w:rsidRPr="00726D52">
              <w:rPr>
                <w:i/>
                <w:iCs/>
                <w:noProof/>
              </w:rPr>
              <w:t>EU Police Digital ID</w:t>
            </w:r>
          </w:p>
          <w:p w14:paraId="0E2217AD" w14:textId="77777777" w:rsidR="000A268D" w:rsidRPr="00726D52" w:rsidRDefault="000A268D" w:rsidP="009502B2">
            <w:pPr>
              <w:numPr>
                <w:ilvl w:val="0"/>
                <w:numId w:val="20"/>
              </w:numPr>
              <w:rPr>
                <w:i/>
                <w:noProof/>
              </w:rPr>
            </w:pPr>
            <w:r w:rsidRPr="00726D52">
              <w:rPr>
                <w:i/>
                <w:iCs/>
                <w:noProof/>
              </w:rPr>
              <w:t>Europol Support offices</w:t>
            </w:r>
          </w:p>
        </w:tc>
        <w:tc>
          <w:tcPr>
            <w:tcW w:w="2061" w:type="dxa"/>
            <w:tcBorders>
              <w:top w:val="single" w:sz="6" w:space="0" w:color="auto"/>
              <w:left w:val="single" w:sz="6" w:space="0" w:color="auto"/>
              <w:bottom w:val="single" w:sz="6" w:space="0" w:color="auto"/>
              <w:right w:val="single" w:sz="6" w:space="0" w:color="auto"/>
            </w:tcBorders>
            <w:tcMar>
              <w:left w:w="105" w:type="dxa"/>
              <w:right w:w="105" w:type="dxa"/>
            </w:tcMar>
          </w:tcPr>
          <w:p w14:paraId="4CF2FBEC" w14:textId="77777777" w:rsidR="000A268D" w:rsidRPr="00726D52" w:rsidRDefault="000A268D" w:rsidP="00C05BFC">
            <w:pPr>
              <w:rPr>
                <w:b/>
                <w:i/>
                <w:noProof/>
              </w:rPr>
            </w:pPr>
            <w:r w:rsidRPr="00726D52">
              <w:rPr>
                <w:b/>
                <w:bCs/>
                <w:i/>
                <w:iCs/>
                <w:noProof/>
              </w:rPr>
              <w:t>11,4</w:t>
            </w:r>
            <w:r w:rsidRPr="00726D52">
              <w:rPr>
                <w:b/>
                <w:bCs/>
                <w:i/>
                <w:iCs/>
                <w:noProof/>
              </w:rPr>
              <w:br/>
            </w:r>
          </w:p>
          <w:p w14:paraId="20B76FCB" w14:textId="77777777" w:rsidR="000A268D" w:rsidRPr="00726D52" w:rsidRDefault="000A268D" w:rsidP="009502B2">
            <w:pPr>
              <w:numPr>
                <w:ilvl w:val="0"/>
                <w:numId w:val="20"/>
              </w:numPr>
              <w:rPr>
                <w:i/>
                <w:noProof/>
              </w:rPr>
            </w:pPr>
            <w:r w:rsidRPr="00726D52">
              <w:rPr>
                <w:i/>
                <w:noProof/>
              </w:rPr>
              <w:t>0,6</w:t>
            </w:r>
          </w:p>
          <w:p w14:paraId="3848772B" w14:textId="77777777" w:rsidR="000A268D" w:rsidRPr="00726D52" w:rsidRDefault="000A268D" w:rsidP="009502B2">
            <w:pPr>
              <w:numPr>
                <w:ilvl w:val="0"/>
                <w:numId w:val="20"/>
              </w:numPr>
              <w:rPr>
                <w:i/>
                <w:noProof/>
              </w:rPr>
            </w:pPr>
            <w:r w:rsidRPr="00726D52">
              <w:rPr>
                <w:i/>
                <w:noProof/>
              </w:rPr>
              <w:t>10,8</w:t>
            </w:r>
          </w:p>
          <w:p w14:paraId="4F107DD8" w14:textId="77777777" w:rsidR="000A268D" w:rsidRPr="00726D52" w:rsidRDefault="000A268D" w:rsidP="009502B2">
            <w:pPr>
              <w:numPr>
                <w:ilvl w:val="0"/>
                <w:numId w:val="20"/>
              </w:numPr>
              <w:rPr>
                <w:i/>
                <w:noProof/>
              </w:rPr>
            </w:pPr>
            <w:r w:rsidRPr="00726D52">
              <w:rPr>
                <w:i/>
                <w:noProof/>
              </w:rPr>
              <w:t>0</w:t>
            </w:r>
          </w:p>
        </w:tc>
        <w:tc>
          <w:tcPr>
            <w:tcW w:w="2060" w:type="dxa"/>
            <w:tcBorders>
              <w:top w:val="single" w:sz="6" w:space="0" w:color="auto"/>
              <w:left w:val="single" w:sz="6" w:space="0" w:color="auto"/>
              <w:bottom w:val="single" w:sz="6" w:space="0" w:color="auto"/>
              <w:right w:val="single" w:sz="6" w:space="0" w:color="auto"/>
            </w:tcBorders>
            <w:tcMar>
              <w:left w:w="105" w:type="dxa"/>
              <w:right w:w="105" w:type="dxa"/>
            </w:tcMar>
          </w:tcPr>
          <w:p w14:paraId="46B89D69" w14:textId="05FFB978" w:rsidR="000A268D" w:rsidRPr="00726D52" w:rsidRDefault="00467CF8" w:rsidP="00C05BFC">
            <w:pPr>
              <w:rPr>
                <w:b/>
                <w:i/>
                <w:noProof/>
              </w:rPr>
            </w:pPr>
            <w:r w:rsidRPr="00726D52">
              <w:rPr>
                <w:b/>
                <w:bCs/>
                <w:i/>
                <w:iCs/>
                <w:noProof/>
              </w:rPr>
              <w:t>46.8</w:t>
            </w:r>
            <w:r w:rsidR="000A268D" w:rsidRPr="00726D52">
              <w:rPr>
                <w:b/>
                <w:i/>
                <w:noProof/>
              </w:rPr>
              <w:br/>
            </w:r>
          </w:p>
          <w:p w14:paraId="337BAC19" w14:textId="00A09E2C" w:rsidR="000A268D" w:rsidRPr="00726D52" w:rsidRDefault="00AB1DBE" w:rsidP="009502B2">
            <w:pPr>
              <w:numPr>
                <w:ilvl w:val="0"/>
                <w:numId w:val="20"/>
              </w:numPr>
              <w:rPr>
                <w:i/>
                <w:iCs/>
                <w:noProof/>
              </w:rPr>
            </w:pPr>
            <w:r w:rsidRPr="00726D52">
              <w:rPr>
                <w:i/>
                <w:iCs/>
                <w:noProof/>
              </w:rPr>
              <w:t>39.8</w:t>
            </w:r>
          </w:p>
          <w:p w14:paraId="2A860497" w14:textId="77777777" w:rsidR="000A268D" w:rsidRPr="00726D52" w:rsidRDefault="000A268D" w:rsidP="009502B2">
            <w:pPr>
              <w:numPr>
                <w:ilvl w:val="0"/>
                <w:numId w:val="20"/>
              </w:numPr>
              <w:rPr>
                <w:i/>
                <w:iCs/>
                <w:noProof/>
              </w:rPr>
            </w:pPr>
            <w:r w:rsidRPr="00726D52">
              <w:rPr>
                <w:i/>
                <w:iCs/>
                <w:noProof/>
              </w:rPr>
              <w:t>0,5</w:t>
            </w:r>
          </w:p>
          <w:p w14:paraId="726ACF99" w14:textId="77777777" w:rsidR="000A268D" w:rsidRPr="00726D52" w:rsidRDefault="000A268D" w:rsidP="009502B2">
            <w:pPr>
              <w:numPr>
                <w:ilvl w:val="0"/>
                <w:numId w:val="20"/>
              </w:numPr>
              <w:rPr>
                <w:i/>
                <w:noProof/>
              </w:rPr>
            </w:pPr>
            <w:r w:rsidRPr="00726D52">
              <w:rPr>
                <w:i/>
                <w:iCs/>
                <w:noProof/>
              </w:rPr>
              <w:t>6,5</w:t>
            </w:r>
          </w:p>
        </w:tc>
      </w:tr>
    </w:tbl>
    <w:p w14:paraId="6AABB814" w14:textId="77777777" w:rsidR="000A268D" w:rsidRPr="00726D52" w:rsidRDefault="000A268D" w:rsidP="000A268D">
      <w:pPr>
        <w:rPr>
          <w:noProof/>
        </w:rPr>
      </w:pPr>
      <w:r w:rsidRPr="00726D52">
        <w:rPr>
          <w:noProof/>
        </w:rPr>
        <w:t xml:space="preserve">The initial investment costs associated with the deployment of the EU Digital Police Cloud are substantial, encompassing infrastructure development, data migration, and ongoing system management. Nevertheless, these investments are counterbalanced by long-term savings arising from enhanced processing efficiencies and reduced overhead linked to disparate national law enforcement systems. </w:t>
      </w:r>
    </w:p>
    <w:p w14:paraId="58C1D0CC" w14:textId="77777777" w:rsidR="000A268D" w:rsidRPr="00726D52" w:rsidRDefault="000A268D" w:rsidP="000A268D">
      <w:pPr>
        <w:rPr>
          <w:noProof/>
        </w:rPr>
      </w:pPr>
      <w:r w:rsidRPr="00726D52">
        <w:rPr>
          <w:noProof/>
        </w:rPr>
        <w:t xml:space="preserve">A modest Europol support office would generate </w:t>
      </w:r>
      <w:r w:rsidRPr="00726D52">
        <w:rPr>
          <w:b/>
          <w:bCs/>
          <w:noProof/>
        </w:rPr>
        <w:t>approximately EUR 400,000 to EUR 650,000 per year</w:t>
      </w:r>
      <w:r w:rsidRPr="00726D52">
        <w:rPr>
          <w:noProof/>
        </w:rPr>
        <w:t xml:space="preserve">, covering staff costs, secure IT connectivity, equipment and limited coordination travel. Under a rollout of five to ten antenna offices, total annual EU-level costs would range between </w:t>
      </w:r>
      <w:r w:rsidRPr="00726D52">
        <w:rPr>
          <w:b/>
          <w:bCs/>
          <w:noProof/>
        </w:rPr>
        <w:t>EUR 2 million and EUR 6.5 million</w:t>
      </w:r>
      <w:r w:rsidRPr="00726D52">
        <w:rPr>
          <w:noProof/>
        </w:rPr>
        <w:t>, reflecting a scalable and proportionate deployment model.</w:t>
      </w:r>
    </w:p>
    <w:p w14:paraId="1E7413C7" w14:textId="1B7CAFF1" w:rsidR="000A268D" w:rsidRPr="00726D52" w:rsidRDefault="000A268D" w:rsidP="009502B2">
      <w:pPr>
        <w:pStyle w:val="Heading4"/>
        <w:numPr>
          <w:ilvl w:val="0"/>
          <w:numId w:val="29"/>
        </w:numPr>
        <w:tabs>
          <w:tab w:val="num" w:pos="360"/>
        </w:tabs>
        <w:ind w:left="0" w:firstLine="0"/>
        <w:rPr>
          <w:b/>
          <w:bCs/>
          <w:noProof/>
          <w:lang w:eastAsia="fr-BE"/>
        </w:rPr>
      </w:pPr>
      <w:r w:rsidRPr="00726D52">
        <w:rPr>
          <w:b/>
          <w:noProof/>
        </w:rPr>
        <w:t>Feasibility</w:t>
      </w:r>
      <w:r w:rsidR="004D6A6E" w:rsidRPr="00726D52">
        <w:rPr>
          <w:b/>
          <w:noProof/>
        </w:rPr>
        <w:t xml:space="preserve"> </w:t>
      </w:r>
      <w:r w:rsidRPr="00726D52">
        <w:rPr>
          <w:b/>
          <w:noProof/>
        </w:rPr>
        <w:t>(+)</w:t>
      </w:r>
    </w:p>
    <w:p w14:paraId="662781D2" w14:textId="77777777" w:rsidR="000A268D" w:rsidRPr="00726D52" w:rsidRDefault="000A268D" w:rsidP="000A268D">
      <w:pPr>
        <w:rPr>
          <w:noProof/>
        </w:rPr>
      </w:pPr>
      <w:r w:rsidRPr="00726D52">
        <w:rPr>
          <w:b/>
          <w:bCs/>
          <w:noProof/>
        </w:rPr>
        <w:t>From a technical perspective</w:t>
      </w:r>
      <w:r w:rsidRPr="00726D52">
        <w:rPr>
          <w:noProof/>
        </w:rPr>
        <w:t>, the deployment of the EU Digital Police Cloud is feasible, supported by robust advancements in cloud computing and data analytics technologies, and notably via a more robust market offering including under sovereignty aspects. The initiative benefits from a solid foundation of Europol’s existing expertise in secure data processing and with IT resilience across JHA agencies, ensuring that the infrastructure meets the high demands of law enforcement applications.</w:t>
      </w:r>
    </w:p>
    <w:p w14:paraId="14AC4EE7" w14:textId="77777777" w:rsidR="000A268D" w:rsidRPr="00726D52" w:rsidRDefault="000A268D" w:rsidP="000A268D">
      <w:pPr>
        <w:rPr>
          <w:noProof/>
        </w:rPr>
      </w:pPr>
      <w:r w:rsidRPr="00726D52">
        <w:rPr>
          <w:b/>
          <w:bCs/>
          <w:noProof/>
        </w:rPr>
        <w:t>From a political perspective</w:t>
      </w:r>
      <w:r w:rsidRPr="00726D52">
        <w:rPr>
          <w:noProof/>
        </w:rPr>
        <w:t>, there is broad support for the proposal given its alignment with EU objectives relating to enhanced security, digital sovereignty, and collaborative law enforcement. While recognising the strategic importance of unified crime prevention capabilities across the Union, sovereignty, security and data ownership, will be essential criteria to be met to comfort MS readiness to cooperate in implementing shared infrastructure.</w:t>
      </w:r>
    </w:p>
    <w:p w14:paraId="315B9FD4" w14:textId="77777777" w:rsidR="000A268D" w:rsidRPr="00726D52" w:rsidRDefault="000A268D" w:rsidP="000A268D">
      <w:pPr>
        <w:rPr>
          <w:noProof/>
        </w:rPr>
      </w:pPr>
      <w:r w:rsidRPr="00726D52">
        <w:rPr>
          <w:b/>
          <w:bCs/>
          <w:noProof/>
        </w:rPr>
        <w:lastRenderedPageBreak/>
        <w:t>The Europol Support Offices are operationally feasible</w:t>
      </w:r>
      <w:r w:rsidRPr="00726D52">
        <w:rPr>
          <w:noProof/>
        </w:rPr>
        <w:t xml:space="preserve">, as they build on existing structures (Europol National Units), leverage Europol’s current practice of temporarily deploying staff to support investigations and can make use of the Agency’s secure IT and forensic environments, which could be extended to support this model. </w:t>
      </w:r>
    </w:p>
    <w:p w14:paraId="230F4C6D" w14:textId="77777777" w:rsidR="000A268D" w:rsidRPr="00726D52" w:rsidRDefault="000A268D" w:rsidP="000A268D">
      <w:pPr>
        <w:rPr>
          <w:noProof/>
        </w:rPr>
      </w:pPr>
      <w:r w:rsidRPr="00726D52">
        <w:rPr>
          <w:noProof/>
        </w:rPr>
        <w:t xml:space="preserve">From a </w:t>
      </w:r>
      <w:r w:rsidRPr="00726D52">
        <w:rPr>
          <w:b/>
          <w:bCs/>
          <w:noProof/>
        </w:rPr>
        <w:t>legal perspective</w:t>
      </w:r>
      <w:r w:rsidRPr="00726D52">
        <w:rPr>
          <w:noProof/>
        </w:rPr>
        <w:t>, the measure would require a targeted legislative amendment introducing an explicit legal basis for the establishment of Europol support offices in Member States limiting to support, coordination and technical functions, for the purpose of facilitating and strengthening operational support.</w:t>
      </w:r>
    </w:p>
    <w:p w14:paraId="1CF3C538" w14:textId="77777777" w:rsidR="000A268D" w:rsidRPr="00726D52" w:rsidRDefault="000A268D" w:rsidP="000A268D">
      <w:pPr>
        <w:rPr>
          <w:noProof/>
        </w:rPr>
      </w:pPr>
      <w:r w:rsidRPr="00726D52">
        <w:rPr>
          <w:noProof/>
        </w:rPr>
        <w:t xml:space="preserve">From a </w:t>
      </w:r>
      <w:r w:rsidRPr="00726D52">
        <w:rPr>
          <w:b/>
          <w:bCs/>
          <w:noProof/>
        </w:rPr>
        <w:t>political perspective</w:t>
      </w:r>
      <w:r w:rsidRPr="00726D52">
        <w:rPr>
          <w:noProof/>
        </w:rPr>
        <w:t>, the establishment of support offices would be demand-driven and voluntary, based on an invitation or agreement with the host Member State. The exact size, number, location and duration of Europol support offices would remain flexible and subject to periodic review.</w:t>
      </w:r>
    </w:p>
    <w:p w14:paraId="4EE1C418" w14:textId="4137C065" w:rsidR="000A268D" w:rsidRPr="00726D52" w:rsidRDefault="000A268D" w:rsidP="009502B2">
      <w:pPr>
        <w:pStyle w:val="Heading4"/>
        <w:numPr>
          <w:ilvl w:val="0"/>
          <w:numId w:val="29"/>
        </w:numPr>
        <w:tabs>
          <w:tab w:val="num" w:pos="360"/>
        </w:tabs>
        <w:ind w:left="0" w:firstLine="0"/>
        <w:rPr>
          <w:b/>
          <w:bCs/>
          <w:noProof/>
          <w:lang w:eastAsia="fr-BE"/>
        </w:rPr>
      </w:pPr>
      <w:r w:rsidRPr="00726D52">
        <w:rPr>
          <w:b/>
          <w:noProof/>
        </w:rPr>
        <w:t>Impact on digitalisation</w:t>
      </w:r>
      <w:r w:rsidR="004D6A6E" w:rsidRPr="00726D52">
        <w:rPr>
          <w:b/>
          <w:noProof/>
        </w:rPr>
        <w:t xml:space="preserve"> </w:t>
      </w:r>
      <w:r w:rsidRPr="00726D52">
        <w:rPr>
          <w:b/>
          <w:noProof/>
        </w:rPr>
        <w:t>(++)</w:t>
      </w:r>
    </w:p>
    <w:p w14:paraId="462CA2E3" w14:textId="77777777" w:rsidR="000A268D" w:rsidRPr="00726D52" w:rsidRDefault="000A268D" w:rsidP="000A268D">
      <w:pPr>
        <w:rPr>
          <w:noProof/>
        </w:rPr>
      </w:pPr>
      <w:r w:rsidRPr="00726D52">
        <w:rPr>
          <w:noProof/>
        </w:rPr>
        <w:t>Digitalisation brought about by the EU Digital Police Cloud facilitates superior analytical capabilities, enabling Europol to process increasingly complex and voluminous datasets with greater precision and speed. This transformation accelerates the timeliness and accuracy of operative activity, promoting proactive threat identification and intervention strategies.</w:t>
      </w:r>
    </w:p>
    <w:p w14:paraId="3971B3F5" w14:textId="77777777" w:rsidR="000A268D" w:rsidRPr="00726D52" w:rsidRDefault="000A268D" w:rsidP="000A268D">
      <w:pPr>
        <w:rPr>
          <w:noProof/>
        </w:rPr>
      </w:pPr>
      <w:r w:rsidRPr="00726D52">
        <w:rPr>
          <w:noProof/>
        </w:rPr>
        <w:t>The cloud's sophisticated data handling and integration capacities afford Europol and national law enforcement authorities the opportunity to harness machine learning and AI-enhanced insights, fostering innovative approaches in combating organised crime and terrorism. Through these technological advancements, Europol and national authorities are better equipped to adapt to evolving criminal modalities, ensuring resilient and forward-thinking security strategies.</w:t>
      </w:r>
    </w:p>
    <w:p w14:paraId="57FCF8E2" w14:textId="697685DE" w:rsidR="000A268D" w:rsidRPr="00726D52" w:rsidRDefault="000A268D" w:rsidP="00AA098D">
      <w:pPr>
        <w:rPr>
          <w:noProof/>
        </w:rPr>
      </w:pPr>
      <w:r w:rsidRPr="00726D52">
        <w:rPr>
          <w:noProof/>
        </w:rPr>
        <w:t>Europol Support Offices would enhance the digitalisation of law-enforcement cooperation by enabling earlier and more effective use of Europol’s platforms and tools, improving data quality and interoperability, facilitating faster digital information exchange, and supporting the deployment of mobile digital tools during operations. By embedding expertise at national level, the option bridges the gap between technical capabilities and operational use, complementing EU efforts on interoperability, secure information exchange, and digital transformation.</w:t>
      </w:r>
    </w:p>
    <w:p w14:paraId="2A35F721" w14:textId="735685ED" w:rsidR="003E1402" w:rsidRPr="00726D52" w:rsidRDefault="003E1402">
      <w:pPr>
        <w:spacing w:after="200" w:line="276" w:lineRule="auto"/>
        <w:jc w:val="left"/>
        <w:rPr>
          <w:noProof/>
        </w:rPr>
      </w:pPr>
      <w:r w:rsidRPr="00726D52">
        <w:rPr>
          <w:noProof/>
        </w:rPr>
        <w:br w:type="page"/>
      </w:r>
    </w:p>
    <w:p w14:paraId="572DF6CA" w14:textId="069B2CA2" w:rsidR="003E1402" w:rsidRPr="00726D52" w:rsidRDefault="003E1402" w:rsidP="003E1402">
      <w:pPr>
        <w:pStyle w:val="AnnexTitle"/>
        <w:rPr>
          <w:noProof/>
        </w:rPr>
      </w:pPr>
      <w:r w:rsidRPr="00726D52">
        <w:rPr>
          <w:noProof/>
        </w:rPr>
        <w:lastRenderedPageBreak/>
        <w:t>Annex 11: Competitiveness check</w:t>
      </w:r>
    </w:p>
    <w:p w14:paraId="53C225A3" w14:textId="77777777" w:rsidR="003E1402" w:rsidRPr="00726D52" w:rsidRDefault="003E1402" w:rsidP="009502B2">
      <w:pPr>
        <w:pStyle w:val="Heading210"/>
        <w:numPr>
          <w:ilvl w:val="1"/>
          <w:numId w:val="91"/>
        </w:numPr>
        <w:jc w:val="both"/>
        <w:rPr>
          <w:rFonts w:ascii="Times New Roman" w:hAnsi="Times New Roman" w:cs="Times New Roman"/>
          <w:noProof/>
          <w:lang w:eastAsia="en-IE"/>
        </w:rPr>
      </w:pPr>
      <w:bookmarkStart w:id="44" w:name="_Ref219995929"/>
      <w:bookmarkStart w:id="45" w:name="_Toc220059783"/>
      <w:r w:rsidRPr="00726D52">
        <w:rPr>
          <w:rFonts w:ascii="Times New Roman" w:hAnsi="Times New Roman" w:cs="Times New Roman"/>
          <w:noProof/>
          <w:lang w:eastAsia="en-IE"/>
        </w:rPr>
        <w:t>Overview of impacts on competitiveness</w:t>
      </w:r>
      <w:bookmarkEnd w:id="44"/>
      <w:bookmarkEnd w:id="45"/>
      <w:r w:rsidRPr="00726D52">
        <w:rPr>
          <w:rFonts w:ascii="Times New Roman" w:hAnsi="Times New Roman" w:cs="Times New Roman"/>
          <w:noProof/>
          <w:lang w:eastAsia="en-IE"/>
        </w:rPr>
        <w:t xml:space="preserve"> </w:t>
      </w:r>
    </w:p>
    <w:tbl>
      <w:tblPr>
        <w:tblStyle w:val="EYQuestionTable2"/>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639"/>
        <w:gridCol w:w="4003"/>
      </w:tblGrid>
      <w:tr w:rsidR="003E1402" w:rsidRPr="00726D52" w14:paraId="53D8A349" w14:textId="77777777" w:rsidTr="00A92025">
        <w:tc>
          <w:tcPr>
            <w:tcW w:w="3281" w:type="dxa"/>
            <w:vAlign w:val="center"/>
          </w:tcPr>
          <w:p w14:paraId="5A2AD3B3" w14:textId="77777777" w:rsidR="003E1402" w:rsidRPr="00726D52" w:rsidRDefault="003E1402" w:rsidP="003E1402">
            <w:pPr>
              <w:spacing w:before="60" w:after="60"/>
              <w:rPr>
                <w:b/>
                <w:noProof/>
                <w:lang w:eastAsia="en-GB"/>
              </w:rPr>
            </w:pPr>
            <w:r w:rsidRPr="00726D52">
              <w:rPr>
                <w:b/>
                <w:noProof/>
                <w:lang w:eastAsia="en-GB"/>
              </w:rPr>
              <w:t>Dimensions of Competitiveness</w:t>
            </w:r>
          </w:p>
        </w:tc>
        <w:tc>
          <w:tcPr>
            <w:tcW w:w="2639" w:type="dxa"/>
            <w:vAlign w:val="center"/>
          </w:tcPr>
          <w:p w14:paraId="3808730A" w14:textId="77777777" w:rsidR="003E1402" w:rsidRPr="00726D52" w:rsidRDefault="003E1402" w:rsidP="003E1402">
            <w:pPr>
              <w:spacing w:before="60" w:after="60"/>
              <w:rPr>
                <w:b/>
                <w:noProof/>
                <w:lang w:eastAsia="en-GB"/>
              </w:rPr>
            </w:pPr>
            <w:r w:rsidRPr="00726D52">
              <w:rPr>
                <w:b/>
                <w:noProof/>
                <w:lang w:eastAsia="en-GB"/>
              </w:rPr>
              <w:t>Impact of the initiative</w:t>
            </w:r>
          </w:p>
          <w:p w14:paraId="37320786" w14:textId="77777777" w:rsidR="003E1402" w:rsidRPr="00726D52" w:rsidRDefault="003E1402" w:rsidP="003E1402">
            <w:pPr>
              <w:spacing w:before="60" w:after="60"/>
              <w:rPr>
                <w:b/>
                <w:noProof/>
                <w:lang w:eastAsia="en-GB"/>
              </w:rPr>
            </w:pPr>
            <w:r w:rsidRPr="00726D52">
              <w:rPr>
                <w:b/>
                <w:noProof/>
                <w:lang w:eastAsia="en-GB"/>
              </w:rPr>
              <w:t>(++ / + / 0 / - / -- / n.a.)</w:t>
            </w:r>
          </w:p>
        </w:tc>
        <w:tc>
          <w:tcPr>
            <w:tcW w:w="4003" w:type="dxa"/>
            <w:vAlign w:val="center"/>
          </w:tcPr>
          <w:p w14:paraId="15575EB3" w14:textId="77777777" w:rsidR="003E1402" w:rsidRPr="00726D52" w:rsidRDefault="003E1402" w:rsidP="003E1402">
            <w:pPr>
              <w:spacing w:before="60" w:after="60"/>
              <w:rPr>
                <w:b/>
                <w:noProof/>
                <w:lang w:eastAsia="en-GB"/>
              </w:rPr>
            </w:pPr>
            <w:r w:rsidRPr="00726D52">
              <w:rPr>
                <w:b/>
                <w:noProof/>
                <w:lang w:eastAsia="en-GB"/>
              </w:rPr>
              <w:t>References to sub-sections of the main report or annexes</w:t>
            </w:r>
          </w:p>
        </w:tc>
      </w:tr>
      <w:tr w:rsidR="003E1402" w:rsidRPr="00726D52" w14:paraId="7AF990A0" w14:textId="77777777" w:rsidTr="00A92025">
        <w:tc>
          <w:tcPr>
            <w:tcW w:w="3281" w:type="dxa"/>
            <w:vAlign w:val="center"/>
          </w:tcPr>
          <w:p w14:paraId="38FD1271" w14:textId="77777777" w:rsidR="003E1402" w:rsidRPr="00726D52" w:rsidRDefault="003E1402" w:rsidP="003E1402">
            <w:pPr>
              <w:spacing w:before="60" w:after="60"/>
              <w:rPr>
                <w:noProof/>
                <w:lang w:eastAsia="en-GB"/>
              </w:rPr>
            </w:pPr>
            <w:r w:rsidRPr="00726D52">
              <w:rPr>
                <w:noProof/>
                <w:lang w:eastAsia="en-GB"/>
              </w:rPr>
              <w:t>Cost and price competitiveness</w:t>
            </w:r>
          </w:p>
        </w:tc>
        <w:tc>
          <w:tcPr>
            <w:tcW w:w="2639" w:type="dxa"/>
            <w:vAlign w:val="center"/>
          </w:tcPr>
          <w:p w14:paraId="5FB95A9B" w14:textId="77777777" w:rsidR="003E1402" w:rsidRPr="00726D52" w:rsidRDefault="003E1402" w:rsidP="003E1402">
            <w:pPr>
              <w:spacing w:before="60" w:after="60"/>
              <w:rPr>
                <w:noProof/>
                <w:lang w:eastAsia="en-GB"/>
              </w:rPr>
            </w:pPr>
            <w:r w:rsidRPr="00726D52">
              <w:rPr>
                <w:noProof/>
              </w:rPr>
              <w:t>n.a.</w:t>
            </w:r>
          </w:p>
        </w:tc>
        <w:tc>
          <w:tcPr>
            <w:tcW w:w="4003" w:type="dxa"/>
            <w:vAlign w:val="center"/>
          </w:tcPr>
          <w:p w14:paraId="64D5D92D" w14:textId="77777777" w:rsidR="003E1402" w:rsidRPr="00726D52" w:rsidRDefault="003E1402" w:rsidP="003E1402">
            <w:pPr>
              <w:spacing w:before="60" w:after="60"/>
              <w:rPr>
                <w:noProof/>
                <w:lang w:eastAsia="en-GB"/>
              </w:rPr>
            </w:pPr>
            <w:r w:rsidRPr="00726D52">
              <w:rPr>
                <w:noProof/>
              </w:rPr>
              <w:t>Main report – sections on economic impacts / stakeholders affected (initiative targets public authorities)</w:t>
            </w:r>
          </w:p>
        </w:tc>
      </w:tr>
      <w:tr w:rsidR="003E1402" w:rsidRPr="00726D52" w14:paraId="4C591A4F" w14:textId="77777777" w:rsidTr="00A92025">
        <w:tc>
          <w:tcPr>
            <w:tcW w:w="3281" w:type="dxa"/>
            <w:vAlign w:val="center"/>
          </w:tcPr>
          <w:p w14:paraId="532E3EF0" w14:textId="77777777" w:rsidR="003E1402" w:rsidRPr="00726D52" w:rsidRDefault="003E1402" w:rsidP="003E1402">
            <w:pPr>
              <w:spacing w:before="60" w:after="60"/>
              <w:rPr>
                <w:noProof/>
                <w:lang w:eastAsia="en-GB"/>
              </w:rPr>
            </w:pPr>
            <w:r w:rsidRPr="00726D52">
              <w:rPr>
                <w:noProof/>
                <w:lang w:eastAsia="en-GB"/>
              </w:rPr>
              <w:t xml:space="preserve">International competitiveness </w:t>
            </w:r>
          </w:p>
        </w:tc>
        <w:tc>
          <w:tcPr>
            <w:tcW w:w="2639" w:type="dxa"/>
            <w:vAlign w:val="center"/>
          </w:tcPr>
          <w:p w14:paraId="30315DEC" w14:textId="77777777" w:rsidR="003E1402" w:rsidRPr="00726D52" w:rsidRDefault="003E1402" w:rsidP="003E1402">
            <w:pPr>
              <w:spacing w:before="60" w:after="60"/>
              <w:rPr>
                <w:noProof/>
                <w:lang w:eastAsia="en-GB"/>
              </w:rPr>
            </w:pPr>
            <w:r w:rsidRPr="00726D52">
              <w:rPr>
                <w:noProof/>
              </w:rPr>
              <w:t>n.a.</w:t>
            </w:r>
          </w:p>
        </w:tc>
        <w:tc>
          <w:tcPr>
            <w:tcW w:w="4003" w:type="dxa"/>
            <w:vAlign w:val="center"/>
          </w:tcPr>
          <w:p w14:paraId="70ECED50" w14:textId="77777777" w:rsidR="003E1402" w:rsidRPr="00726D52" w:rsidRDefault="003E1402" w:rsidP="003E1402">
            <w:pPr>
              <w:spacing w:before="60" w:after="60"/>
              <w:rPr>
                <w:noProof/>
                <w:lang w:eastAsia="en-GB"/>
              </w:rPr>
            </w:pPr>
            <w:r w:rsidRPr="00726D52">
              <w:rPr>
                <w:noProof/>
              </w:rPr>
              <w:t>Main report – sections on economic impacts / stakeholders affected</w:t>
            </w:r>
          </w:p>
        </w:tc>
      </w:tr>
      <w:tr w:rsidR="003E1402" w:rsidRPr="00726D52" w14:paraId="00BE9659" w14:textId="77777777" w:rsidTr="00A92025">
        <w:tc>
          <w:tcPr>
            <w:tcW w:w="3281" w:type="dxa"/>
            <w:vAlign w:val="center"/>
          </w:tcPr>
          <w:p w14:paraId="11533978" w14:textId="77777777" w:rsidR="003E1402" w:rsidRPr="00726D52" w:rsidRDefault="003E1402" w:rsidP="003E1402">
            <w:pPr>
              <w:spacing w:before="60" w:after="60"/>
              <w:rPr>
                <w:noProof/>
                <w:lang w:eastAsia="en-GB"/>
              </w:rPr>
            </w:pPr>
            <w:r w:rsidRPr="00726D52">
              <w:rPr>
                <w:noProof/>
                <w:lang w:eastAsia="en-GB"/>
              </w:rPr>
              <w:t>Capacity to innovate</w:t>
            </w:r>
          </w:p>
        </w:tc>
        <w:tc>
          <w:tcPr>
            <w:tcW w:w="2639" w:type="dxa"/>
            <w:vAlign w:val="center"/>
          </w:tcPr>
          <w:p w14:paraId="40D0723B" w14:textId="77777777" w:rsidR="003E1402" w:rsidRPr="00726D52" w:rsidRDefault="003E1402" w:rsidP="003E1402">
            <w:pPr>
              <w:spacing w:before="60" w:after="60"/>
              <w:rPr>
                <w:noProof/>
                <w:lang w:eastAsia="en-GB"/>
              </w:rPr>
            </w:pPr>
            <w:r w:rsidRPr="00726D52">
              <w:rPr>
                <w:noProof/>
              </w:rPr>
              <w:t>n.a.</w:t>
            </w:r>
          </w:p>
        </w:tc>
        <w:tc>
          <w:tcPr>
            <w:tcW w:w="4003" w:type="dxa"/>
            <w:vAlign w:val="center"/>
          </w:tcPr>
          <w:p w14:paraId="17BB1FC5" w14:textId="77777777" w:rsidR="003E1402" w:rsidRPr="00726D52" w:rsidRDefault="003E1402" w:rsidP="003E1402">
            <w:pPr>
              <w:spacing w:before="60" w:after="60"/>
              <w:rPr>
                <w:noProof/>
                <w:lang w:eastAsia="en-GB"/>
              </w:rPr>
            </w:pPr>
            <w:r w:rsidRPr="00726D52">
              <w:rPr>
                <w:noProof/>
              </w:rPr>
              <w:t>Main report – sections on economic impacts / stakeholders affected</w:t>
            </w:r>
          </w:p>
        </w:tc>
      </w:tr>
      <w:tr w:rsidR="003E1402" w:rsidRPr="00726D52" w14:paraId="06E0875A" w14:textId="77777777" w:rsidTr="00A92025">
        <w:tc>
          <w:tcPr>
            <w:tcW w:w="3281" w:type="dxa"/>
            <w:vAlign w:val="center"/>
          </w:tcPr>
          <w:p w14:paraId="2A9A7647" w14:textId="77777777" w:rsidR="003E1402" w:rsidRPr="00726D52" w:rsidRDefault="003E1402" w:rsidP="003E1402">
            <w:pPr>
              <w:spacing w:before="60" w:after="60"/>
              <w:rPr>
                <w:noProof/>
                <w:lang w:eastAsia="en-GB"/>
              </w:rPr>
            </w:pPr>
            <w:r w:rsidRPr="00726D52">
              <w:rPr>
                <w:noProof/>
                <w:lang w:eastAsia="en-GB"/>
              </w:rPr>
              <w:t>SME competitiveness</w:t>
            </w:r>
          </w:p>
        </w:tc>
        <w:tc>
          <w:tcPr>
            <w:tcW w:w="2639" w:type="dxa"/>
            <w:vAlign w:val="center"/>
          </w:tcPr>
          <w:p w14:paraId="02B84023" w14:textId="77777777" w:rsidR="003E1402" w:rsidRPr="00726D52" w:rsidRDefault="003E1402" w:rsidP="003E1402">
            <w:pPr>
              <w:spacing w:before="60" w:after="60"/>
              <w:rPr>
                <w:noProof/>
                <w:lang w:eastAsia="en-GB"/>
              </w:rPr>
            </w:pPr>
            <w:r w:rsidRPr="00726D52">
              <w:rPr>
                <w:noProof/>
              </w:rPr>
              <w:t>n.a.</w:t>
            </w:r>
          </w:p>
        </w:tc>
        <w:tc>
          <w:tcPr>
            <w:tcW w:w="4003" w:type="dxa"/>
            <w:vAlign w:val="center"/>
          </w:tcPr>
          <w:p w14:paraId="7181427C" w14:textId="77777777" w:rsidR="003E1402" w:rsidRPr="00726D52" w:rsidRDefault="003E1402" w:rsidP="003E1402">
            <w:pPr>
              <w:spacing w:before="60" w:after="60"/>
              <w:rPr>
                <w:noProof/>
                <w:lang w:eastAsia="en-GB"/>
              </w:rPr>
            </w:pPr>
            <w:r w:rsidRPr="00726D52">
              <w:rPr>
                <w:noProof/>
              </w:rPr>
              <w:t>Main report – “Application of the ‘one in, one out’ approach” (no admin costs for private sector)</w:t>
            </w:r>
          </w:p>
        </w:tc>
      </w:tr>
    </w:tbl>
    <w:p w14:paraId="38196AC3" w14:textId="77777777" w:rsidR="003E1402" w:rsidRPr="00726D52" w:rsidRDefault="003E1402" w:rsidP="009502B2">
      <w:pPr>
        <w:pStyle w:val="Heading210"/>
        <w:numPr>
          <w:ilvl w:val="1"/>
          <w:numId w:val="91"/>
        </w:numPr>
        <w:jc w:val="both"/>
        <w:rPr>
          <w:rFonts w:ascii="Times New Roman" w:hAnsi="Times New Roman" w:cs="Times New Roman"/>
          <w:smallCaps/>
          <w:noProof/>
          <w:color w:val="auto"/>
          <w:szCs w:val="20"/>
          <w:lang w:eastAsia="en-IE"/>
        </w:rPr>
      </w:pPr>
      <w:bookmarkStart w:id="46" w:name="_Ref219995984"/>
      <w:bookmarkStart w:id="47" w:name="_Toc220059784"/>
      <w:r w:rsidRPr="00726D52">
        <w:rPr>
          <w:rFonts w:ascii="Times New Roman" w:hAnsi="Times New Roman" w:cs="Times New Roman"/>
          <w:smallCaps/>
          <w:noProof/>
          <w:color w:val="auto"/>
          <w:szCs w:val="20"/>
          <w:lang w:eastAsia="en-IE"/>
        </w:rPr>
        <w:t>Synthetic assessment</w:t>
      </w:r>
      <w:bookmarkEnd w:id="46"/>
      <w:bookmarkEnd w:id="47"/>
      <w:r w:rsidRPr="00726D52">
        <w:rPr>
          <w:rFonts w:ascii="Times New Roman" w:hAnsi="Times New Roman" w:cs="Times New Roman"/>
          <w:smallCaps/>
          <w:noProof/>
          <w:color w:val="auto"/>
          <w:szCs w:val="20"/>
          <w:lang w:eastAsia="en-IE"/>
        </w:rPr>
        <w:t xml:space="preserve"> </w:t>
      </w:r>
    </w:p>
    <w:p w14:paraId="7BA6FF27" w14:textId="77777777" w:rsidR="003E1402" w:rsidRPr="00726D52" w:rsidRDefault="003E1402" w:rsidP="003E1402">
      <w:pPr>
        <w:pStyle w:val="NormalWeb"/>
        <w:jc w:val="both"/>
        <w:rPr>
          <w:noProof/>
          <w:lang w:val="en-GB"/>
        </w:rPr>
      </w:pPr>
      <w:r w:rsidRPr="00726D52">
        <w:rPr>
          <w:noProof/>
          <w:lang w:val="en-GB"/>
        </w:rPr>
        <w:t xml:space="preserve">Overall, this initiative aims to address challenges related to the efficiency of </w:t>
      </w:r>
      <w:r w:rsidRPr="00726D52">
        <w:rPr>
          <w:rStyle w:val="whitespace-normal"/>
          <w:noProof/>
          <w:lang w:val="en-GB"/>
        </w:rPr>
        <w:t>Europol</w:t>
      </w:r>
      <w:r w:rsidRPr="00726D52">
        <w:rPr>
          <w:noProof/>
          <w:lang w:val="en-GB"/>
        </w:rPr>
        <w:t xml:space="preserve"> and to strengthen the implementation and further development of EU law enforcement cooperation. The measures under consideration primarily concern the organisation, planning, governance, operational cooperation and internal capacities of public authorities (Europol and Member States’ competent law enforcement authorities). They do not introduce regulatory obligations for economic operators, do not set product requirements, and do not alter market access conditions or the rules governing competition in the internal market.</w:t>
      </w:r>
    </w:p>
    <w:p w14:paraId="50976F15" w14:textId="23375C95" w:rsidR="003E1402" w:rsidRPr="00726D52" w:rsidRDefault="003E1402" w:rsidP="003E1402">
      <w:pPr>
        <w:pStyle w:val="NormalWeb"/>
        <w:jc w:val="both"/>
        <w:rPr>
          <w:noProof/>
          <w:lang w:val="en-GB"/>
        </w:rPr>
      </w:pPr>
      <w:r w:rsidRPr="00726D52">
        <w:rPr>
          <w:noProof/>
          <w:lang w:val="en-GB"/>
        </w:rPr>
        <w:t>Accordingly, no direct impacts on competitiveness are expected across the four dimensions (cost/price competitiveness, international competitiveness, capacity to innovate and SME competitiveness). For the purposes of the competitiveness check, the initiative is therefore assessed as not applicable.</w:t>
      </w:r>
    </w:p>
    <w:p w14:paraId="5C8D5277" w14:textId="1DE7964D" w:rsidR="003E1402" w:rsidRPr="00726D52" w:rsidRDefault="003E1402" w:rsidP="003E1402">
      <w:pPr>
        <w:pStyle w:val="NormalWeb"/>
        <w:jc w:val="both"/>
        <w:rPr>
          <w:noProof/>
          <w:lang w:val="en-GB"/>
        </w:rPr>
      </w:pPr>
      <w:r w:rsidRPr="00726D52">
        <w:rPr>
          <w:noProof/>
          <w:lang w:val="en-GB"/>
        </w:rPr>
        <w:t>While the implementation of some measures may entail public procurement by Europol or Member States (e.g. for technical equipment and related services, including IT components, data processing tools, integration, maintenance, training or other support services), this reflects how public authorities may operationalise the measures, rather than an impact stemming from new requirements on undertakings. Such procurement would be conducted under the applicable EU and national public procurement rules and would not, in itself, constitute a competitiveness effect attributable to the initiative (no new compliance burden or market constraint is created for operators, including SMEs).</w:t>
      </w:r>
    </w:p>
    <w:p w14:paraId="595CC63D" w14:textId="445F9DD9" w:rsidR="003E1402" w:rsidRPr="00726D52" w:rsidRDefault="003E1402" w:rsidP="003E1402">
      <w:pPr>
        <w:pStyle w:val="NormalWeb"/>
        <w:jc w:val="both"/>
        <w:rPr>
          <w:noProof/>
          <w:lang w:val="en-GB"/>
        </w:rPr>
      </w:pPr>
      <w:r w:rsidRPr="00726D52">
        <w:rPr>
          <w:noProof/>
          <w:lang w:val="en-GB"/>
        </w:rPr>
        <w:t>Stakeholder input from economic operators received during the Call for Evidence does not alter this conclusion, as the initiative remains focused on public-sector operational capacity, information exchange and governance in the area of law enforcement cooperation, rather than on regulating private-sector activity.</w:t>
      </w:r>
    </w:p>
    <w:sectPr w:rsidR="003E1402" w:rsidRPr="00726D52" w:rsidSect="00EB3457">
      <w:headerReference w:type="default" r:id="rId70"/>
      <w:footerReference w:type="default" r:id="rId71"/>
      <w:headerReference w:type="first" r:id="rId72"/>
      <w:footerReference w:type="first" r:id="rId73"/>
      <w:pgSz w:w="11906" w:h="16838"/>
      <w:pgMar w:top="1021" w:right="1701" w:bottom="1021" w:left="158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563D6" w14:textId="77777777" w:rsidR="000C18FB" w:rsidRDefault="000C18FB" w:rsidP="000E3086">
      <w:r>
        <w:separator/>
      </w:r>
    </w:p>
  </w:endnote>
  <w:endnote w:type="continuationSeparator" w:id="0">
    <w:p w14:paraId="4AE2B0E2" w14:textId="77777777" w:rsidR="000C18FB" w:rsidRDefault="000C18FB" w:rsidP="000E3086">
      <w:r>
        <w:continuationSeparator/>
      </w:r>
    </w:p>
  </w:endnote>
  <w:endnote w:type="continuationNotice" w:id="1">
    <w:p w14:paraId="617C2304" w14:textId="77777777" w:rsidR="000C18FB" w:rsidRDefault="000C18F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AB25" w14:textId="0E51CB5E" w:rsidR="00DE2E7A" w:rsidRPr="00DE2E7A" w:rsidRDefault="00DE2E7A" w:rsidP="00DE2E7A">
    <w:pPr>
      <w:pStyle w:val="FooterCoverPage"/>
      <w:rPr>
        <w:rFonts w:ascii="Arial" w:hAnsi="Arial" w:cs="Arial"/>
        <w:b/>
        <w:sz w:val="48"/>
      </w:rPr>
    </w:pPr>
    <w:r w:rsidRPr="00DE2E7A">
      <w:rPr>
        <w:rFonts w:ascii="Arial" w:hAnsi="Arial" w:cs="Arial"/>
        <w:b/>
        <w:sz w:val="48"/>
      </w:rPr>
      <w:t>EN</w:t>
    </w:r>
    <w:r w:rsidRPr="00DE2E7A">
      <w:rPr>
        <w:rFonts w:ascii="Arial" w:hAnsi="Arial" w:cs="Arial"/>
        <w:b/>
        <w:sz w:val="48"/>
      </w:rPr>
      <w:tab/>
    </w:r>
    <w:r w:rsidRPr="00DE2E7A">
      <w:rPr>
        <w:rFonts w:ascii="Arial" w:hAnsi="Arial" w:cs="Arial"/>
        <w:b/>
        <w:sz w:val="48"/>
      </w:rPr>
      <w:tab/>
    </w:r>
    <w:r w:rsidRPr="00DE2E7A">
      <w:tab/>
    </w:r>
    <w:r w:rsidRPr="00DE2E7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71B7" w14:textId="5B341CF6" w:rsidR="00DE2E7A" w:rsidRPr="00DE2E7A" w:rsidRDefault="00DE2E7A" w:rsidP="00DE2E7A">
    <w:pPr>
      <w:pStyle w:val="FooterCoverPage"/>
      <w:rPr>
        <w:rFonts w:ascii="Arial" w:hAnsi="Arial" w:cs="Arial"/>
        <w:b/>
        <w:sz w:val="48"/>
      </w:rPr>
    </w:pPr>
    <w:r w:rsidRPr="00DE2E7A">
      <w:rPr>
        <w:rFonts w:ascii="Arial" w:hAnsi="Arial" w:cs="Arial"/>
        <w:b/>
        <w:sz w:val="48"/>
      </w:rPr>
      <w:t>EN</w:t>
    </w:r>
    <w:r w:rsidRPr="00DE2E7A">
      <w:rPr>
        <w:rFonts w:ascii="Arial" w:hAnsi="Arial" w:cs="Arial"/>
        <w:b/>
        <w:sz w:val="48"/>
      </w:rPr>
      <w:tab/>
    </w:r>
    <w:r w:rsidRPr="00DE2E7A">
      <w:rPr>
        <w:rFonts w:ascii="Arial" w:hAnsi="Arial" w:cs="Arial"/>
        <w:b/>
        <w:sz w:val="48"/>
      </w:rPr>
      <w:tab/>
    </w:r>
    <w:r w:rsidRPr="00DE2E7A">
      <w:tab/>
    </w:r>
    <w:r w:rsidRPr="00DE2E7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D22C" w14:textId="77777777" w:rsidR="00DE2E7A" w:rsidRPr="00DE2E7A" w:rsidRDefault="00DE2E7A" w:rsidP="00DE2E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F2DDC" w14:textId="77777777" w:rsidR="00B277A8" w:rsidRPr="00B47DD4" w:rsidRDefault="00B277A8" w:rsidP="00B47DD4">
    <w:pPr>
      <w:pStyle w:val="FooterCoverPage"/>
      <w:rPr>
        <w:rFonts w:ascii="Arial" w:hAnsi="Arial" w:cs="Arial"/>
        <w:b/>
        <w:sz w:val="4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287682"/>
      <w:docPartObj>
        <w:docPartGallery w:val="Page Numbers (Bottom of Page)"/>
        <w:docPartUnique/>
      </w:docPartObj>
    </w:sdtPr>
    <w:sdtEndPr>
      <w:rPr>
        <w:noProof/>
      </w:rPr>
    </w:sdtEndPr>
    <w:sdtContent>
      <w:p w14:paraId="36BDE028" w14:textId="0873B32F" w:rsidR="00B277A8" w:rsidRDefault="00B277A8">
        <w:pPr>
          <w:pStyle w:val="Footer"/>
          <w:jc w:val="center"/>
        </w:pPr>
        <w:r>
          <w:fldChar w:fldCharType="begin"/>
        </w:r>
        <w:r>
          <w:instrText xml:space="preserve"> PAGE   \* MERGEFORMAT </w:instrText>
        </w:r>
        <w:r>
          <w:fldChar w:fldCharType="separate"/>
        </w:r>
        <w:r w:rsidR="00DE2E7A">
          <w:rPr>
            <w:noProof/>
          </w:rPr>
          <w:t>6</w:t>
        </w:r>
        <w:r>
          <w:rPr>
            <w:noProof/>
          </w:rPr>
          <w:fldChar w:fldCharType="end"/>
        </w:r>
      </w:p>
    </w:sdtContent>
  </w:sdt>
  <w:p w14:paraId="2D4D3886" w14:textId="77777777" w:rsidR="00B277A8" w:rsidRPr="00B47DD4" w:rsidRDefault="00B277A8" w:rsidP="00B47DD4">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7BF8" w14:textId="77777777" w:rsidR="00B277A8" w:rsidRPr="00B47DD4" w:rsidRDefault="00B277A8" w:rsidP="00B47DD4">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9469"/>
      <w:docPartObj>
        <w:docPartGallery w:val="Page Numbers (Bottom of Page)"/>
        <w:docPartUnique/>
      </w:docPartObj>
    </w:sdtPr>
    <w:sdtEndPr>
      <w:rPr>
        <w:noProof/>
      </w:rPr>
    </w:sdtEndPr>
    <w:sdtContent>
      <w:p w14:paraId="3E93697D"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42B707" w14:textId="77777777" w:rsidR="00B277A8" w:rsidRPr="00B47DD4" w:rsidRDefault="00B277A8" w:rsidP="00B47DD4">
    <w:pPr>
      <w:pStyle w:val="FooterCoverPage"/>
      <w:rPr>
        <w:rFonts w:ascii="Arial" w:hAnsi="Arial" w:cs="Arial"/>
        <w:b/>
        <w:sz w:val="4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AED0E" w14:textId="77777777" w:rsidR="00B277A8" w:rsidRPr="00B47DD4" w:rsidRDefault="00B277A8" w:rsidP="00B47DD4">
    <w:pPr>
      <w:pStyle w:val="FooterCover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815053"/>
      <w:docPartObj>
        <w:docPartGallery w:val="Page Numbers (Bottom of Page)"/>
        <w:docPartUnique/>
      </w:docPartObj>
    </w:sdtPr>
    <w:sdtEndPr>
      <w:rPr>
        <w:noProof/>
      </w:rPr>
    </w:sdtEndPr>
    <w:sdtContent>
      <w:p w14:paraId="2CC4380C"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A6DDAD" w14:textId="77777777" w:rsidR="00B277A8" w:rsidRPr="00B47DD4" w:rsidRDefault="00B277A8" w:rsidP="00B47DD4">
    <w:pPr>
      <w:pStyle w:val="FooterCoverPage"/>
      <w:rPr>
        <w:rFonts w:ascii="Arial" w:hAnsi="Arial" w:cs="Arial"/>
        <w:b/>
        <w:sz w:val="4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FA75" w14:textId="77777777" w:rsidR="00B277A8" w:rsidRPr="00B47DD4" w:rsidRDefault="00B277A8" w:rsidP="00B47DD4">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4CD6" w14:textId="77777777" w:rsidR="00CB14B2" w:rsidRDefault="00CB14B2"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5B24" w14:textId="77777777" w:rsidR="00CB14B2" w:rsidRDefault="00CB14B2"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230786"/>
      <w:docPartObj>
        <w:docPartGallery w:val="Page Numbers (Bottom of Page)"/>
        <w:docPartUnique/>
      </w:docPartObj>
    </w:sdtPr>
    <w:sdtEndPr>
      <w:rPr>
        <w:noProof/>
      </w:rPr>
    </w:sdtEndPr>
    <w:sdtContent>
      <w:p w14:paraId="0BF2984D"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C97C7D" w14:textId="77777777" w:rsidR="00B277A8" w:rsidRPr="00CD516A" w:rsidRDefault="00B277A8" w:rsidP="000E30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1540" w14:textId="77777777" w:rsidR="00B277A8" w:rsidRDefault="00B277A8"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873033"/>
      <w:docPartObj>
        <w:docPartGallery w:val="Page Numbers (Bottom of Page)"/>
        <w:docPartUnique/>
      </w:docPartObj>
    </w:sdtPr>
    <w:sdtEndPr>
      <w:rPr>
        <w:noProof/>
      </w:rPr>
    </w:sdtEndPr>
    <w:sdtContent>
      <w:p w14:paraId="651A475B"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30644C" w14:textId="77777777" w:rsidR="00B277A8" w:rsidRPr="00CD516A" w:rsidRDefault="00B277A8" w:rsidP="000E30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CAAC" w14:textId="77777777" w:rsidR="00B277A8" w:rsidRDefault="00B277A8"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313612"/>
      <w:docPartObj>
        <w:docPartGallery w:val="Page Numbers (Bottom of Page)"/>
        <w:docPartUnique/>
      </w:docPartObj>
    </w:sdtPr>
    <w:sdtEndPr>
      <w:rPr>
        <w:noProof/>
      </w:rPr>
    </w:sdtEndPr>
    <w:sdtContent>
      <w:p w14:paraId="4A654FE2"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B67AFA" w14:textId="77777777" w:rsidR="00B277A8" w:rsidRPr="00CD516A" w:rsidRDefault="00B277A8" w:rsidP="000E30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6B52" w14:textId="77777777" w:rsidR="00B277A8" w:rsidRDefault="00B277A8" w:rsidP="000E30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535465"/>
      <w:docPartObj>
        <w:docPartGallery w:val="Page Numbers (Bottom of Page)"/>
        <w:docPartUnique/>
      </w:docPartObj>
    </w:sdtPr>
    <w:sdtEndPr>
      <w:rPr>
        <w:noProof/>
      </w:rPr>
    </w:sdtEndPr>
    <w:sdtContent>
      <w:p w14:paraId="5678734A"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EBB8C5" w14:textId="77777777" w:rsidR="00B277A8" w:rsidRPr="00CD516A" w:rsidRDefault="00B277A8" w:rsidP="000E30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D85F" w14:textId="77777777" w:rsidR="00B277A8" w:rsidRDefault="00B277A8" w:rsidP="000E30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095925"/>
      <w:docPartObj>
        <w:docPartGallery w:val="Page Numbers (Bottom of Page)"/>
        <w:docPartUnique/>
      </w:docPartObj>
    </w:sdtPr>
    <w:sdtEndPr>
      <w:rPr>
        <w:noProof/>
      </w:rPr>
    </w:sdtEndPr>
    <w:sdtContent>
      <w:p w14:paraId="32278BA3"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24C84E" w14:textId="77777777" w:rsidR="00B277A8" w:rsidRPr="00CD516A" w:rsidRDefault="00B277A8" w:rsidP="000E308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10AA" w14:textId="77777777" w:rsidR="00B277A8" w:rsidRDefault="00B277A8" w:rsidP="000E30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373926"/>
      <w:docPartObj>
        <w:docPartGallery w:val="Page Numbers (Bottom of Page)"/>
        <w:docPartUnique/>
      </w:docPartObj>
    </w:sdtPr>
    <w:sdtEndPr>
      <w:rPr>
        <w:noProof/>
      </w:rPr>
    </w:sdtEndPr>
    <w:sdtContent>
      <w:p w14:paraId="68A4AA9E" w14:textId="77777777" w:rsidR="00B277A8" w:rsidRDefault="00B2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32621E" w14:textId="77777777" w:rsidR="00B277A8" w:rsidRPr="00CD516A" w:rsidRDefault="00B277A8" w:rsidP="000E308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9989" w14:textId="77777777" w:rsidR="00B277A8" w:rsidRDefault="00B277A8"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CECA0" w14:textId="77777777" w:rsidR="000C18FB" w:rsidRDefault="000C18FB" w:rsidP="000E3086">
      <w:r>
        <w:separator/>
      </w:r>
    </w:p>
  </w:footnote>
  <w:footnote w:type="continuationSeparator" w:id="0">
    <w:p w14:paraId="010AC10D" w14:textId="77777777" w:rsidR="000C18FB" w:rsidRDefault="000C18FB" w:rsidP="000E3086">
      <w:r>
        <w:continuationSeparator/>
      </w:r>
    </w:p>
  </w:footnote>
  <w:footnote w:type="continuationNotice" w:id="1">
    <w:p w14:paraId="5D32CA9D" w14:textId="77777777" w:rsidR="000C18FB" w:rsidRDefault="000C18FB">
      <w:pPr>
        <w:spacing w:after="0"/>
      </w:pPr>
    </w:p>
  </w:footnote>
  <w:footnote w:id="2">
    <w:p w14:paraId="08302E76" w14:textId="4F432A84" w:rsidR="003A71D0" w:rsidRPr="0082690B" w:rsidRDefault="003A71D0" w:rsidP="00E05608">
      <w:pPr>
        <w:pStyle w:val="FootnoteText"/>
        <w:rPr>
          <w:lang w:val="en-IE"/>
        </w:rPr>
      </w:pPr>
      <w:r>
        <w:rPr>
          <w:rStyle w:val="FootnoteReference"/>
        </w:rPr>
        <w:footnoteRef/>
      </w:r>
      <w:r w:rsidRPr="0082690B">
        <w:rPr>
          <w:lang w:val="es-ES"/>
        </w:rPr>
        <w:t xml:space="preserve"> </w:t>
      </w:r>
      <w:r w:rsidR="006D3295" w:rsidRPr="0082690B">
        <w:rPr>
          <w:lang w:val="es-ES"/>
        </w:rPr>
        <w:t>European Council</w:t>
      </w:r>
      <w:r w:rsidR="00F848BD" w:rsidRPr="0082690B">
        <w:rPr>
          <w:lang w:val="es-ES"/>
        </w:rPr>
        <w:t>,</w:t>
      </w:r>
      <w:r w:rsidR="006D3295" w:rsidRPr="0082690B">
        <w:rPr>
          <w:lang w:val="es-ES"/>
        </w:rPr>
        <w:t xml:space="preserve"> Conclusions, </w:t>
      </w:r>
      <w:r w:rsidR="00E12C4F" w:rsidRPr="0082690B">
        <w:rPr>
          <w:lang w:val="es-ES"/>
        </w:rPr>
        <w:t xml:space="preserve">26-27 </w:t>
      </w:r>
      <w:r w:rsidR="006D3295" w:rsidRPr="0082690B">
        <w:rPr>
          <w:lang w:val="es-ES"/>
        </w:rPr>
        <w:t>June 2025</w:t>
      </w:r>
      <w:r w:rsidR="00E12C4F" w:rsidRPr="0082690B">
        <w:rPr>
          <w:lang w:val="es-ES"/>
        </w:rPr>
        <w:t>, EUCO 12/25, para</w:t>
      </w:r>
      <w:r w:rsidR="006566C1" w:rsidRPr="0082690B">
        <w:rPr>
          <w:lang w:val="es-ES"/>
        </w:rPr>
        <w:t xml:space="preserve">. </w:t>
      </w:r>
      <w:r w:rsidR="006566C1">
        <w:t>41.</w:t>
      </w:r>
    </w:p>
  </w:footnote>
  <w:footnote w:id="3">
    <w:p w14:paraId="3F9A4CF3" w14:textId="77777777" w:rsidR="00252439" w:rsidRPr="0061109E" w:rsidRDefault="00252439" w:rsidP="00E05608">
      <w:pPr>
        <w:pStyle w:val="FootnoteText"/>
      </w:pPr>
      <w:r>
        <w:rPr>
          <w:rStyle w:val="FootnoteReference"/>
        </w:rPr>
        <w:footnoteRef/>
      </w:r>
      <w:r>
        <w:t xml:space="preserve"> </w:t>
      </w:r>
      <w:r w:rsidRPr="00E85FB9">
        <w:t>Flash Eurobarometer FL550: EU Challenges and Priorities.</w:t>
      </w:r>
    </w:p>
  </w:footnote>
  <w:footnote w:id="4">
    <w:p w14:paraId="1D86E43D" w14:textId="77777777" w:rsidR="00252439" w:rsidRPr="00C83EA8" w:rsidRDefault="00252439" w:rsidP="00E05608">
      <w:pPr>
        <w:pStyle w:val="FootnoteText"/>
      </w:pPr>
      <w:r>
        <w:rPr>
          <w:rStyle w:val="FootnoteReference"/>
        </w:rPr>
        <w:footnoteRef/>
      </w:r>
      <w:r>
        <w:t xml:space="preserve"> </w:t>
      </w:r>
      <w:r w:rsidRPr="00C83EA8">
        <w:t>Articles 67(3), 87(1), and 88(1) TFEU establish the Union’s competence to support and strengthen cooperation between Member States’ law enforcement authorities, including through Europol.</w:t>
      </w:r>
    </w:p>
  </w:footnote>
  <w:footnote w:id="5">
    <w:p w14:paraId="5AEEC975" w14:textId="5D9641D1" w:rsidR="00252439" w:rsidRPr="009E44DE" w:rsidRDefault="00252439" w:rsidP="00E05608">
      <w:pPr>
        <w:pStyle w:val="FootnoteText"/>
      </w:pPr>
      <w:r>
        <w:rPr>
          <w:rStyle w:val="FootnoteReference"/>
        </w:rPr>
        <w:footnoteRef/>
      </w:r>
      <w:r>
        <w:t xml:space="preserve"> </w:t>
      </w:r>
      <w:r w:rsidRPr="009E44DE">
        <w:t>Europol</w:t>
      </w:r>
      <w:r w:rsidR="00D06417">
        <w:t xml:space="preserve"> (2025)</w:t>
      </w:r>
      <w:r w:rsidRPr="009E44DE">
        <w:t xml:space="preserve"> European Union Serious and Organised Crime Threat Assessment</w:t>
      </w:r>
      <w:r w:rsidR="00C13EC4">
        <w:t xml:space="preserve"> (EU</w:t>
      </w:r>
      <w:r w:rsidR="002F7250">
        <w:t>-</w:t>
      </w:r>
      <w:r w:rsidR="00C13EC4">
        <w:t>SOCTA)</w:t>
      </w:r>
      <w:r w:rsidRPr="009E44DE">
        <w:t>.</w:t>
      </w:r>
      <w:r w:rsidRPr="00F46496">
        <w:rPr>
          <w:rFonts w:eastAsia="Aptos"/>
        </w:rPr>
        <w:t xml:space="preserve"> </w:t>
      </w:r>
    </w:p>
  </w:footnote>
  <w:footnote w:id="6">
    <w:p w14:paraId="15B36A6B" w14:textId="77777777" w:rsidR="00252439" w:rsidRPr="009E44DE" w:rsidRDefault="00252439" w:rsidP="00E05608">
      <w:pPr>
        <w:pStyle w:val="FootnoteText"/>
        <w:rPr>
          <w:lang w:val="en-IE"/>
        </w:rPr>
      </w:pPr>
      <w:r>
        <w:rPr>
          <w:rStyle w:val="FootnoteReference"/>
        </w:rPr>
        <w:footnoteRef/>
      </w:r>
      <w:r>
        <w:t xml:space="preserve"> Europol (2024), Decoding the EU’s most threatening criminal networks.</w:t>
      </w:r>
    </w:p>
  </w:footnote>
  <w:footnote w:id="7">
    <w:p w14:paraId="4989AA03" w14:textId="77777777" w:rsidR="00C13EC4" w:rsidRDefault="00252439" w:rsidP="00252439">
      <w:pPr>
        <w:pStyle w:val="FootnoteText"/>
      </w:pPr>
      <w:r>
        <w:rPr>
          <w:rStyle w:val="FootnoteReference"/>
        </w:rPr>
        <w:footnoteRef/>
      </w:r>
      <w:r>
        <w:t xml:space="preserve"> Europol (2024), Internet Organised Crime Threat Assessment (IOCTA) 2024.</w:t>
      </w:r>
      <w:r w:rsidR="005238BA">
        <w:t xml:space="preserve"> </w:t>
      </w:r>
    </w:p>
    <w:p w14:paraId="1F064757" w14:textId="13879C36" w:rsidR="00252439" w:rsidRPr="00E85FB9" w:rsidRDefault="005238BA" w:rsidP="0082690B">
      <w:pPr>
        <w:pStyle w:val="FootnoteText"/>
        <w:ind w:left="113"/>
      </w:pPr>
      <w:r w:rsidRPr="00D06417">
        <w:t xml:space="preserve">ENISA </w:t>
      </w:r>
      <w:r w:rsidR="00C13EC4" w:rsidRPr="00116AAD">
        <w:t>(2025), ENISA T</w:t>
      </w:r>
      <w:r w:rsidRPr="00D06417">
        <w:t xml:space="preserve">hreat </w:t>
      </w:r>
      <w:r w:rsidR="00C13EC4" w:rsidRPr="00116AAD">
        <w:t>L</w:t>
      </w:r>
      <w:r w:rsidRPr="00D06417">
        <w:t xml:space="preserve">andscape </w:t>
      </w:r>
      <w:r w:rsidR="00C13EC4" w:rsidRPr="00116AAD">
        <w:t xml:space="preserve">October </w:t>
      </w:r>
      <w:r w:rsidRPr="00D06417">
        <w:t>2025</w:t>
      </w:r>
      <w:r w:rsidR="000E78A7" w:rsidRPr="00D06417">
        <w:t>.</w:t>
      </w:r>
    </w:p>
  </w:footnote>
  <w:footnote w:id="8">
    <w:p w14:paraId="4EEB9E7C" w14:textId="77777777" w:rsidR="00252439" w:rsidRPr="00E85FB9" w:rsidRDefault="00252439" w:rsidP="00252439">
      <w:pPr>
        <w:pStyle w:val="FootnoteText"/>
      </w:pPr>
      <w:r>
        <w:rPr>
          <w:rStyle w:val="FootnoteReference"/>
        </w:rPr>
        <w:footnoteRef/>
      </w:r>
      <w:r>
        <w:t xml:space="preserve"> </w:t>
      </w:r>
      <w:r w:rsidRPr="00E85FB9">
        <w:t>Europol (2023), European Financial and Economic Crime Threat Assessment 2023</w:t>
      </w:r>
      <w:r>
        <w:t>.</w:t>
      </w:r>
    </w:p>
  </w:footnote>
  <w:footnote w:id="9">
    <w:p w14:paraId="402BD8A2" w14:textId="2E9AD615" w:rsidR="00252439" w:rsidRPr="00E85FB9" w:rsidRDefault="00252439" w:rsidP="00252439">
      <w:pPr>
        <w:pStyle w:val="FootnoteText"/>
      </w:pPr>
      <w:r>
        <w:rPr>
          <w:rStyle w:val="FootnoteReference"/>
        </w:rPr>
        <w:footnoteRef/>
      </w:r>
      <w:r>
        <w:t xml:space="preserve"> Europol</w:t>
      </w:r>
      <w:r w:rsidR="001A001B">
        <w:t xml:space="preserve"> (202</w:t>
      </w:r>
      <w:r w:rsidR="00506769">
        <w:t>5</w:t>
      </w:r>
      <w:r w:rsidR="001A001B">
        <w:t>)</w:t>
      </w:r>
      <w:r>
        <w:t xml:space="preserve">, European Union Terrorism Situation </w:t>
      </w:r>
      <w:r w:rsidR="00506769">
        <w:t xml:space="preserve">&amp; </w:t>
      </w:r>
      <w:r>
        <w:t>Trend Report.</w:t>
      </w:r>
    </w:p>
  </w:footnote>
  <w:footnote w:id="10">
    <w:p w14:paraId="6D2293AB" w14:textId="77777777" w:rsidR="00252439" w:rsidRPr="00A36EFE" w:rsidRDefault="00252439" w:rsidP="00252439">
      <w:pPr>
        <w:pStyle w:val="FootnoteText"/>
        <w:rPr>
          <w:lang w:val="en-IE"/>
        </w:rPr>
      </w:pPr>
      <w:r>
        <w:rPr>
          <w:rStyle w:val="FootnoteReference"/>
        </w:rPr>
        <w:footnoteRef/>
      </w:r>
      <w:r>
        <w:t xml:space="preserve"> For </w:t>
      </w:r>
      <w:r w:rsidRPr="003E0C2B">
        <w:t>instance, t</w:t>
      </w:r>
      <w:r w:rsidRPr="003E0C2B">
        <w:rPr>
          <w:lang w:val="en-IE"/>
        </w:rPr>
        <w:t>he Netherlands, Belgium, Germany, France, Italy, Spain, Sweden have formed the European coalition to fight Organised crime.</w:t>
      </w:r>
    </w:p>
  </w:footnote>
  <w:footnote w:id="11">
    <w:p w14:paraId="73ABA392" w14:textId="2E2E5CF2" w:rsidR="000B56B0" w:rsidRPr="000B56B0" w:rsidRDefault="000B56B0">
      <w:pPr>
        <w:pStyle w:val="FootnoteText"/>
      </w:pPr>
      <w:r>
        <w:rPr>
          <w:rStyle w:val="FootnoteReference"/>
        </w:rPr>
        <w:footnoteRef/>
      </w:r>
      <w:r>
        <w:t xml:space="preserve"> </w:t>
      </w:r>
      <w:r w:rsidR="00161025" w:rsidRPr="00161025">
        <w:t>COM</w:t>
      </w:r>
      <w:r w:rsidR="00161025">
        <w:t xml:space="preserve"> (</w:t>
      </w:r>
      <w:r w:rsidR="00161025" w:rsidRPr="00161025">
        <w:t>2025</w:t>
      </w:r>
      <w:r w:rsidR="00161025">
        <w:t xml:space="preserve">) </w:t>
      </w:r>
      <w:r w:rsidR="00161025" w:rsidRPr="00161025">
        <w:t>148 fina</w:t>
      </w:r>
      <w:r w:rsidR="00161025">
        <w:t>l.</w:t>
      </w:r>
    </w:p>
  </w:footnote>
  <w:footnote w:id="12">
    <w:p w14:paraId="2B03AB86" w14:textId="77777777" w:rsidR="42F6E630" w:rsidRDefault="42F6E630" w:rsidP="42F6E630">
      <w:pPr>
        <w:pStyle w:val="FootnoteText"/>
      </w:pPr>
      <w:r w:rsidRPr="42F6E630">
        <w:rPr>
          <w:rStyle w:val="FootnoteReference"/>
        </w:rPr>
        <w:footnoteRef/>
      </w:r>
      <w:r>
        <w:t xml:space="preserve"> In 2024 alone, Europol supported more than 3 300 operations, enabled over 2 million secure information exchanges, and provided access to its databases nearly 15 million times.</w:t>
      </w:r>
    </w:p>
  </w:footnote>
  <w:footnote w:id="13">
    <w:p w14:paraId="155A6640" w14:textId="74890715" w:rsidR="00252439" w:rsidRPr="002D38EE" w:rsidRDefault="00252439" w:rsidP="00252439">
      <w:pPr>
        <w:pStyle w:val="FootnoteText"/>
      </w:pPr>
      <w:r>
        <w:rPr>
          <w:rStyle w:val="FootnoteReference"/>
        </w:rPr>
        <w:footnoteRef/>
      </w:r>
      <w:r>
        <w:t xml:space="preserve"> </w:t>
      </w:r>
      <w:r w:rsidRPr="00F46496">
        <w:rPr>
          <w:rFonts w:eastAsia="Aptos"/>
        </w:rPr>
        <w:t xml:space="preserve">Regulation (EU) 2016/794 </w:t>
      </w:r>
      <w:r w:rsidRPr="002D38EE">
        <w:rPr>
          <w:rFonts w:eastAsia="Aptos"/>
        </w:rPr>
        <w:t>was amended in 2022 by Regulation (EU) 2022/991</w:t>
      </w:r>
      <w:r>
        <w:rPr>
          <w:rFonts w:eastAsia="Aptos"/>
        </w:rPr>
        <w:t xml:space="preserve"> </w:t>
      </w:r>
      <w:r w:rsidRPr="002D38EE">
        <w:rPr>
          <w:rFonts w:eastAsia="Aptos"/>
        </w:rPr>
        <w:t>to address new security threats and in 2025 by Regulation (EU)</w:t>
      </w:r>
      <w:r w:rsidR="00392166">
        <w:rPr>
          <w:rFonts w:eastAsia="Aptos"/>
        </w:rPr>
        <w:t xml:space="preserve"> </w:t>
      </w:r>
      <w:r w:rsidRPr="002D38EE">
        <w:rPr>
          <w:rFonts w:eastAsia="Aptos"/>
        </w:rPr>
        <w:t>2025/2611</w:t>
      </w:r>
      <w:r>
        <w:rPr>
          <w:rFonts w:eastAsia="Aptos"/>
        </w:rPr>
        <w:t xml:space="preserve"> </w:t>
      </w:r>
      <w:r w:rsidRPr="00F46496">
        <w:rPr>
          <w:rFonts w:eastAsia="Aptos"/>
        </w:rPr>
        <w:t>to effectively counter migrant smuggling</w:t>
      </w:r>
      <w:r>
        <w:rPr>
          <w:rFonts w:eastAsia="Aptos"/>
        </w:rPr>
        <w:t>.</w:t>
      </w:r>
    </w:p>
  </w:footnote>
  <w:footnote w:id="14">
    <w:p w14:paraId="48116158" w14:textId="77777777" w:rsidR="00252439" w:rsidRPr="0061109E" w:rsidRDefault="00252439" w:rsidP="00252439">
      <w:pPr>
        <w:pStyle w:val="FootnoteText"/>
      </w:pPr>
      <w:r>
        <w:rPr>
          <w:rStyle w:val="FootnoteReference"/>
        </w:rPr>
        <w:footnoteRef/>
      </w:r>
      <w:r>
        <w:t xml:space="preserve"> </w:t>
      </w:r>
      <w:r w:rsidRPr="0061109E">
        <w:t xml:space="preserve">Article 88 TFEU </w:t>
      </w:r>
      <w:r w:rsidRPr="00FE0A5A">
        <w:t>defines Europol’s mission to support and strengthen cooperation between Member States’ law enforcement authorities in preventing and combating serious cross-border crime and terrorism</w:t>
      </w:r>
      <w:r>
        <w:t>.</w:t>
      </w:r>
    </w:p>
  </w:footnote>
  <w:footnote w:id="15">
    <w:p w14:paraId="0110F5A4" w14:textId="516C4E67" w:rsidR="006237CD" w:rsidRPr="006237CD" w:rsidRDefault="006237CD">
      <w:pPr>
        <w:pStyle w:val="FootnoteText"/>
      </w:pPr>
      <w:r>
        <w:rPr>
          <w:rStyle w:val="FootnoteReference"/>
        </w:rPr>
        <w:footnoteRef/>
      </w:r>
      <w:r>
        <w:t xml:space="preserve"> R</w:t>
      </w:r>
      <w:r w:rsidRPr="006237CD">
        <w:t>egulation (EU) 2022/991 amending Regulation (EU) 2016/794</w:t>
      </w:r>
      <w:r>
        <w:t>.</w:t>
      </w:r>
    </w:p>
  </w:footnote>
  <w:footnote w:id="16">
    <w:p w14:paraId="5DD03A5E" w14:textId="738A4E85" w:rsidR="00252439" w:rsidRPr="00CE6C3E" w:rsidRDefault="00252439" w:rsidP="00252439">
      <w:pPr>
        <w:pStyle w:val="FootnoteText"/>
      </w:pPr>
      <w:r w:rsidRPr="00CE6C3E">
        <w:rPr>
          <w:rStyle w:val="FootnoteReference"/>
        </w:rPr>
        <w:footnoteRef/>
      </w:r>
      <w:r w:rsidRPr="00CE6C3E">
        <w:t xml:space="preserve"> The prominence of technology-related drivers has increased significantly in Europol threat assessments. While references to AI and digital technologies in Europol</w:t>
      </w:r>
      <w:r w:rsidR="00E17F9F">
        <w:t>’s</w:t>
      </w:r>
      <w:r w:rsidRPr="00CE6C3E">
        <w:t xml:space="preserve"> </w:t>
      </w:r>
      <w:r w:rsidR="00E17F9F">
        <w:t>EU</w:t>
      </w:r>
      <w:r w:rsidR="002F7250">
        <w:t>-</w:t>
      </w:r>
      <w:r w:rsidRPr="00CE6C3E">
        <w:t>SOCTA</w:t>
      </w:r>
      <w:r w:rsidR="002F7250">
        <w:t xml:space="preserve"> 2021</w:t>
      </w:r>
      <w:r w:rsidRPr="00CE6C3E">
        <w:t xml:space="preserve"> were largely forward-looking, Europol</w:t>
      </w:r>
      <w:r w:rsidR="000C6476">
        <w:t>’s</w:t>
      </w:r>
      <w:r w:rsidRPr="00CE6C3E">
        <w:t xml:space="preserve"> </w:t>
      </w:r>
      <w:r w:rsidR="000C6476">
        <w:t>EU</w:t>
      </w:r>
      <w:r w:rsidR="002F7250">
        <w:t>-</w:t>
      </w:r>
      <w:r w:rsidRPr="00CE6C3E">
        <w:t xml:space="preserve">SOCTA </w:t>
      </w:r>
      <w:r w:rsidR="002F7250">
        <w:t xml:space="preserve">2025 </w:t>
      </w:r>
      <w:r w:rsidRPr="00CE6C3E">
        <w:t>places these technologies at the core of its analysis across multiple threat areas.</w:t>
      </w:r>
    </w:p>
  </w:footnote>
  <w:footnote w:id="17">
    <w:p w14:paraId="2CDB4E1A" w14:textId="04916B40" w:rsidR="004C4C16" w:rsidRPr="004C4C16" w:rsidRDefault="004C4C16">
      <w:pPr>
        <w:pStyle w:val="FootnoteText"/>
        <w:rPr>
          <w:lang w:val="en-IE"/>
        </w:rPr>
      </w:pPr>
      <w:r w:rsidRPr="00CE6C3E">
        <w:rPr>
          <w:rStyle w:val="FootnoteReference"/>
        </w:rPr>
        <w:footnoteRef/>
      </w:r>
      <w:r w:rsidRPr="00CE6C3E">
        <w:t xml:space="preserve"> 2026/0059 (COD).</w:t>
      </w:r>
    </w:p>
  </w:footnote>
  <w:footnote w:id="18">
    <w:p w14:paraId="64C390BB" w14:textId="2C41CE56" w:rsidR="004C4C16" w:rsidRPr="004C4C16" w:rsidRDefault="004C4C16">
      <w:pPr>
        <w:pStyle w:val="FootnoteText"/>
        <w:rPr>
          <w:lang w:val="en-IE"/>
        </w:rPr>
      </w:pPr>
      <w:r>
        <w:rPr>
          <w:rStyle w:val="FootnoteReference"/>
        </w:rPr>
        <w:footnoteRef/>
      </w:r>
      <w:r>
        <w:t xml:space="preserve"> </w:t>
      </w:r>
      <w:r>
        <w:rPr>
          <w:lang w:val="en-IE"/>
        </w:rPr>
        <w:t>Commission work programme 2026</w:t>
      </w:r>
      <w:r w:rsidR="005242AA">
        <w:rPr>
          <w:lang w:val="en-IE"/>
        </w:rPr>
        <w:t xml:space="preserve"> – COM (2025) 870 final.</w:t>
      </w:r>
    </w:p>
  </w:footnote>
  <w:footnote w:id="19">
    <w:p w14:paraId="29FBD1A9" w14:textId="6B2C81F6" w:rsidR="00CE6C3E" w:rsidRPr="0078632F" w:rsidRDefault="00CE6C3E">
      <w:pPr>
        <w:pStyle w:val="FootnoteText"/>
        <w:rPr>
          <w:lang w:val="en-IE"/>
        </w:rPr>
      </w:pPr>
      <w:r>
        <w:rPr>
          <w:rStyle w:val="FootnoteReference"/>
        </w:rPr>
        <w:footnoteRef/>
      </w:r>
      <w:r w:rsidRPr="0078632F">
        <w:t xml:space="preserve"> </w:t>
      </w:r>
      <w:proofErr w:type="gramStart"/>
      <w:r w:rsidRPr="0078632F">
        <w:t>COM(</w:t>
      </w:r>
      <w:proofErr w:type="gramEnd"/>
      <w:r w:rsidRPr="0078632F">
        <w:t>2025) 743 final.</w:t>
      </w:r>
    </w:p>
  </w:footnote>
  <w:footnote w:id="20">
    <w:p w14:paraId="3B0FF7BA" w14:textId="31165114" w:rsidR="00D010FE" w:rsidRPr="0078632F" w:rsidRDefault="00D010FE">
      <w:pPr>
        <w:pStyle w:val="FootnoteText"/>
        <w:rPr>
          <w:lang w:val="en-IE"/>
        </w:rPr>
      </w:pPr>
      <w:r>
        <w:rPr>
          <w:rStyle w:val="FootnoteReference"/>
        </w:rPr>
        <w:footnoteRef/>
      </w:r>
      <w:r w:rsidRPr="0078632F">
        <w:t xml:space="preserve"> </w:t>
      </w:r>
      <w:r w:rsidRPr="0078632F">
        <w:rPr>
          <w:lang w:val="en-IE"/>
        </w:rPr>
        <w:t xml:space="preserve">COM (2025) </w:t>
      </w:r>
      <w:r w:rsidRPr="0078632F">
        <w:t>744 final.</w:t>
      </w:r>
    </w:p>
  </w:footnote>
  <w:footnote w:id="21">
    <w:p w14:paraId="1C1164D3" w14:textId="284100BD" w:rsidR="005C6649" w:rsidRPr="0078632F" w:rsidRDefault="005C6649">
      <w:pPr>
        <w:pStyle w:val="FootnoteText"/>
        <w:rPr>
          <w:lang w:val="en-IE"/>
        </w:rPr>
      </w:pPr>
      <w:r>
        <w:rPr>
          <w:rStyle w:val="FootnoteReference"/>
        </w:rPr>
        <w:footnoteRef/>
      </w:r>
      <w:r w:rsidRPr="0078632F">
        <w:t xml:space="preserve"> </w:t>
      </w:r>
      <w:proofErr w:type="gramStart"/>
      <w:r w:rsidRPr="0078632F">
        <w:t>COM(</w:t>
      </w:r>
      <w:proofErr w:type="gramEnd"/>
      <w:r w:rsidRPr="0078632F">
        <w:t>2026) 101 final.</w:t>
      </w:r>
    </w:p>
  </w:footnote>
  <w:footnote w:id="22">
    <w:p w14:paraId="185C1A58" w14:textId="141417D0" w:rsidR="00252439" w:rsidRPr="008D6B90" w:rsidRDefault="00252439" w:rsidP="00252439">
      <w:pPr>
        <w:pStyle w:val="FootnoteText"/>
      </w:pPr>
      <w:r>
        <w:rPr>
          <w:rStyle w:val="FootnoteReference"/>
        </w:rPr>
        <w:footnoteRef/>
      </w:r>
      <w:r>
        <w:t xml:space="preserve"> </w:t>
      </w:r>
      <w:r w:rsidR="00860A35">
        <w:t xml:space="preserve">In accordance with the </w:t>
      </w:r>
      <w:r w:rsidR="00860A35">
        <w:rPr>
          <w:lang w:val="en-IE"/>
        </w:rPr>
        <w:t>Commission work programme 2026.</w:t>
      </w:r>
    </w:p>
  </w:footnote>
  <w:footnote w:id="23">
    <w:p w14:paraId="206B4E8E" w14:textId="737CCAEB" w:rsidR="00252439" w:rsidRPr="00FE0A5A" w:rsidRDefault="00252439" w:rsidP="00252439">
      <w:pPr>
        <w:pStyle w:val="FootnoteText"/>
      </w:pPr>
      <w:r>
        <w:rPr>
          <w:rStyle w:val="FootnoteReference"/>
        </w:rPr>
        <w:footnoteRef/>
      </w:r>
      <w:r>
        <w:t xml:space="preserve"> T</w:t>
      </w:r>
      <w:r w:rsidRPr="00FE0A5A">
        <w:t xml:space="preserve">he European Border and Coast Guard Agency </w:t>
      </w:r>
      <w:r w:rsidR="009C6575">
        <w:rPr>
          <w:lang w:val="en-IE"/>
        </w:rPr>
        <w:t>(EBCGA)</w:t>
      </w:r>
      <w:r w:rsidR="000F4EAC">
        <w:rPr>
          <w:lang w:val="en-IE"/>
        </w:rPr>
        <w:t>, established by Regulation (EU) 2019/1896,</w:t>
      </w:r>
      <w:r w:rsidR="009C6575">
        <w:rPr>
          <w:lang w:val="en-IE"/>
        </w:rPr>
        <w:t xml:space="preserve"> </w:t>
      </w:r>
      <w:r w:rsidRPr="00FE0A5A">
        <w:t xml:space="preserve">is </w:t>
      </w:r>
      <w:r>
        <w:t>responsible for the</w:t>
      </w:r>
      <w:r w:rsidRPr="00FE0A5A">
        <w:t xml:space="preserve"> implementation of European Integrated Border Management at the </w:t>
      </w:r>
      <w:r>
        <w:t>EU’s</w:t>
      </w:r>
      <w:r w:rsidRPr="00FE0A5A">
        <w:t xml:space="preserve"> external borders</w:t>
      </w:r>
      <w:r>
        <w:t>.</w:t>
      </w:r>
    </w:p>
  </w:footnote>
  <w:footnote w:id="24">
    <w:p w14:paraId="4FB153FC" w14:textId="2D3E44BF" w:rsidR="00252439" w:rsidRPr="00FE0A5A" w:rsidRDefault="00252439" w:rsidP="00252439">
      <w:pPr>
        <w:pStyle w:val="FootnoteText"/>
      </w:pPr>
      <w:r>
        <w:rPr>
          <w:rStyle w:val="FootnoteReference"/>
        </w:rPr>
        <w:footnoteRef/>
      </w:r>
      <w:r>
        <w:t xml:space="preserve"> The </w:t>
      </w:r>
      <w:r w:rsidRPr="00FE0A5A">
        <w:t>EU Agency for Criminal Justice Cooperation</w:t>
      </w:r>
      <w:r w:rsidR="007A69DB">
        <w:t xml:space="preserve"> (Eurojust)</w:t>
      </w:r>
      <w:r w:rsidR="000B13A7">
        <w:t>, established by Regulation (EU)</w:t>
      </w:r>
      <w:r w:rsidR="000F4EAC">
        <w:t xml:space="preserve"> 2018/1727,</w:t>
      </w:r>
      <w:r w:rsidRPr="00FE0A5A">
        <w:t xml:space="preserve"> provid</w:t>
      </w:r>
      <w:r>
        <w:t>es</w:t>
      </w:r>
      <w:r w:rsidRPr="00FE0A5A">
        <w:t xml:space="preserve"> support to prosecutors and judges, notably by supporting Joint Investigation Teams and facilitating cases involving a European Investigation Order. </w:t>
      </w:r>
    </w:p>
  </w:footnote>
  <w:footnote w:id="25">
    <w:p w14:paraId="60EFBF70" w14:textId="67E97B3C" w:rsidR="00252439" w:rsidRPr="00FE0A5A" w:rsidRDefault="00252439" w:rsidP="00252439">
      <w:pPr>
        <w:pStyle w:val="FootnoteText"/>
      </w:pPr>
      <w:r>
        <w:rPr>
          <w:rStyle w:val="FootnoteReference"/>
        </w:rPr>
        <w:footnoteRef/>
      </w:r>
      <w:r>
        <w:t xml:space="preserve"> </w:t>
      </w:r>
      <w:r w:rsidR="007A69DB">
        <w:t xml:space="preserve">The </w:t>
      </w:r>
      <w:r w:rsidR="00411138" w:rsidRPr="00411138">
        <w:t>European Public Prosecutor’s Office (</w:t>
      </w:r>
      <w:r w:rsidR="007A69DB">
        <w:t xml:space="preserve">the </w:t>
      </w:r>
      <w:r w:rsidR="00411138" w:rsidRPr="00411138">
        <w:t>EPPO)</w:t>
      </w:r>
      <w:r w:rsidR="000B13A7">
        <w:t>,</w:t>
      </w:r>
      <w:r w:rsidR="00411138" w:rsidRPr="00411138">
        <w:t xml:space="preserve"> established by Council Regulation (EU) 2017/1939</w:t>
      </w:r>
      <w:r w:rsidR="000B13A7">
        <w:t>,</w:t>
      </w:r>
      <w:r w:rsidR="00411138">
        <w:t xml:space="preserve"> is the</w:t>
      </w:r>
      <w:r w:rsidRPr="00F46496">
        <w:t xml:space="preserve"> independent office</w:t>
      </w:r>
      <w:r>
        <w:t xml:space="preserve"> responsible for </w:t>
      </w:r>
      <w:r w:rsidRPr="00F46496">
        <w:t>investigat</w:t>
      </w:r>
      <w:r>
        <w:t xml:space="preserve">ing and prosecuting </w:t>
      </w:r>
      <w:r w:rsidRPr="00F46496">
        <w:t>crimes against the financial interests of the EU</w:t>
      </w:r>
      <w:r>
        <w:t>.</w:t>
      </w:r>
    </w:p>
  </w:footnote>
  <w:footnote w:id="26">
    <w:p w14:paraId="7DA6CE4C" w14:textId="77777777" w:rsidR="00AF4573" w:rsidRPr="003465FC" w:rsidRDefault="00AF4573" w:rsidP="00AF4573">
      <w:pPr>
        <w:pStyle w:val="FootnoteText"/>
      </w:pPr>
      <w:r>
        <w:rPr>
          <w:rStyle w:val="FootnoteReference"/>
        </w:rPr>
        <w:footnoteRef/>
      </w:r>
      <w:r>
        <w:t xml:space="preserve"> </w:t>
      </w:r>
      <w:r w:rsidRPr="003465FC">
        <w:t>The Commission work programme 2026 announced a comprehensive review of the EU's anti-fraud architecture</w:t>
      </w:r>
      <w:r>
        <w:t xml:space="preserve">, building on the July 2025 </w:t>
      </w:r>
      <w:r w:rsidRPr="003465FC">
        <w:t>Commission White Paper (</w:t>
      </w:r>
      <w:proofErr w:type="gramStart"/>
      <w:r w:rsidRPr="003465FC">
        <w:t>COM(</w:t>
      </w:r>
      <w:proofErr w:type="gramEnd"/>
      <w:r w:rsidRPr="003465FC">
        <w:t>2025) 546 final)</w:t>
      </w:r>
      <w:r>
        <w:t>.</w:t>
      </w:r>
    </w:p>
  </w:footnote>
  <w:footnote w:id="27">
    <w:p w14:paraId="10571FEC" w14:textId="1C1B930F" w:rsidR="00936D7D" w:rsidRPr="004850B6" w:rsidRDefault="00936D7D">
      <w:pPr>
        <w:pStyle w:val="FootnoteText"/>
        <w:rPr>
          <w:lang w:val="en-IE"/>
        </w:rPr>
      </w:pPr>
      <w:r>
        <w:rPr>
          <w:rStyle w:val="FootnoteReference"/>
        </w:rPr>
        <w:footnoteRef/>
      </w:r>
      <w:r w:rsidRPr="004850B6">
        <w:rPr>
          <w:lang w:val="en-IE"/>
        </w:rPr>
        <w:t xml:space="preserve"> </w:t>
      </w:r>
      <w:proofErr w:type="gramStart"/>
      <w:r w:rsidR="00FD27F8" w:rsidRPr="004850B6">
        <w:t xml:space="preserve">In particular, </w:t>
      </w:r>
      <w:r w:rsidRPr="00FD27F8">
        <w:rPr>
          <w:rFonts w:eastAsia="Aptos"/>
        </w:rPr>
        <w:t>Chapter IX</w:t>
      </w:r>
      <w:proofErr w:type="gramEnd"/>
      <w:r w:rsidRPr="00FD27F8">
        <w:rPr>
          <w:rFonts w:eastAsia="Aptos"/>
        </w:rPr>
        <w:t xml:space="preserve"> </w:t>
      </w:r>
      <w:r w:rsidR="00FD27F8" w:rsidRPr="004850B6">
        <w:rPr>
          <w:rFonts w:eastAsia="Aptos"/>
        </w:rPr>
        <w:t>of Regulation 2018/1725.</w:t>
      </w:r>
    </w:p>
  </w:footnote>
  <w:footnote w:id="28">
    <w:p w14:paraId="1BCD3353" w14:textId="167256E9" w:rsidR="004850B6" w:rsidRPr="003F1BAC" w:rsidRDefault="004850B6">
      <w:pPr>
        <w:pStyle w:val="FootnoteText"/>
      </w:pPr>
      <w:r w:rsidRPr="003F1BAC">
        <w:rPr>
          <w:rStyle w:val="FootnoteReference"/>
        </w:rPr>
        <w:footnoteRef/>
      </w:r>
      <w:r w:rsidRPr="003F1BAC">
        <w:t xml:space="preserve"> </w:t>
      </w:r>
      <w:r w:rsidRPr="003F1BAC">
        <w:rPr>
          <w:rFonts w:eastAsia="Aptos"/>
        </w:rPr>
        <w:t>The objective is to streamline procedures and clarify roles, while fully maintaining a high level of data protection in line with EU standards. In doing so, the overall reform does not merely preserve existing standards but also simplifies the data protection framework by removing fragmentation, which should ensure a unified regime across EU law enforcement and criminal justice authorities and facilitate information sharing between them.</w:t>
      </w:r>
    </w:p>
  </w:footnote>
  <w:footnote w:id="29">
    <w:p w14:paraId="07C97ECD" w14:textId="3A978902" w:rsidR="00F558E8" w:rsidRPr="00CB2C4E" w:rsidRDefault="00F558E8" w:rsidP="00F558E8">
      <w:pPr>
        <w:pStyle w:val="FootnoteText"/>
        <w:rPr>
          <w:lang w:val="en-IE"/>
        </w:rPr>
      </w:pPr>
      <w:r w:rsidRPr="08C1CBAF">
        <w:rPr>
          <w:rStyle w:val="FootnoteReference"/>
        </w:rPr>
        <w:footnoteRef/>
      </w:r>
      <w:r>
        <w:t xml:space="preserve"> </w:t>
      </w:r>
      <w:hyperlink r:id="rId1" w:history="1">
        <w:r w:rsidR="00E05608" w:rsidRPr="00E05608">
          <w:rPr>
            <w:rStyle w:val="Hyperlink"/>
          </w:rPr>
          <w:t xml:space="preserve">Future of policing </w:t>
        </w:r>
        <w:proofErr w:type="gramStart"/>
        <w:r w:rsidR="00E05608" w:rsidRPr="00E05608">
          <w:rPr>
            <w:rStyle w:val="Hyperlink"/>
          </w:rPr>
          <w:t>main focus</w:t>
        </w:r>
        <w:proofErr w:type="gramEnd"/>
        <w:r w:rsidR="00E05608" w:rsidRPr="00E05608">
          <w:rPr>
            <w:rStyle w:val="Hyperlink"/>
          </w:rPr>
          <w:t xml:space="preserve"> as police chiefs meet at Europol | Europol</w:t>
        </w:r>
      </w:hyperlink>
      <w:r w:rsidR="00E05608">
        <w:t>.</w:t>
      </w:r>
    </w:p>
  </w:footnote>
  <w:footnote w:id="30">
    <w:p w14:paraId="58124607" w14:textId="4EC36186" w:rsidR="00F558E8" w:rsidRPr="0082690B" w:rsidRDefault="00F558E8" w:rsidP="00F558E8">
      <w:pPr>
        <w:pStyle w:val="FootnoteText"/>
        <w:rPr>
          <w:lang w:val="en-IE"/>
        </w:rPr>
      </w:pPr>
      <w:r>
        <w:rPr>
          <w:rStyle w:val="FootnoteReference"/>
        </w:rPr>
        <w:footnoteRef/>
      </w:r>
      <w:r>
        <w:t xml:space="preserve"> </w:t>
      </w:r>
      <w:r w:rsidR="00D20932">
        <w:t xml:space="preserve">European Police Chiefs (20 April 2025) </w:t>
      </w:r>
      <w:r w:rsidR="00FC60CE" w:rsidRPr="0082690B">
        <w:t>Joint Statement by the European Police Chiefs on the Future Development of Europol</w:t>
      </w:r>
      <w:r w:rsidR="00B1344A">
        <w:t xml:space="preserve">, </w:t>
      </w:r>
      <w:r w:rsidR="0028756E" w:rsidRPr="31831C40">
        <w:t>Kraków</w:t>
      </w:r>
      <w:r w:rsidR="00FC60CE">
        <w:t>.</w:t>
      </w:r>
    </w:p>
  </w:footnote>
  <w:footnote w:id="31">
    <w:p w14:paraId="49756C76" w14:textId="3B7CDC32" w:rsidR="007B7865" w:rsidRPr="001863F8" w:rsidRDefault="007B7865" w:rsidP="56F82B30">
      <w:pPr>
        <w:pStyle w:val="FootnoteText"/>
        <w:rPr>
          <w:highlight w:val="yellow"/>
        </w:rPr>
      </w:pPr>
      <w:r>
        <w:rPr>
          <w:rStyle w:val="FootnoteReference"/>
        </w:rPr>
        <w:footnoteRef/>
      </w:r>
      <w:r w:rsidR="24202921">
        <w:t xml:space="preserve"> </w:t>
      </w:r>
      <w:proofErr w:type="gramStart"/>
      <w:r w:rsidR="00C33A05" w:rsidRPr="00116AAD">
        <w:t>COM(</w:t>
      </w:r>
      <w:proofErr w:type="gramEnd"/>
      <w:r w:rsidR="00C33A05" w:rsidRPr="00116AAD">
        <w:t>2025) 752 final.</w:t>
      </w:r>
    </w:p>
  </w:footnote>
  <w:footnote w:id="32">
    <w:p w14:paraId="38CEBE7D" w14:textId="3C06FD8A" w:rsidR="007B7865" w:rsidRPr="001863F8" w:rsidRDefault="007B7865" w:rsidP="007B7865">
      <w:pPr>
        <w:pStyle w:val="FootnoteText"/>
        <w:rPr>
          <w:lang w:val="en-IE"/>
        </w:rPr>
      </w:pPr>
      <w:r>
        <w:rPr>
          <w:rStyle w:val="FootnoteReference"/>
        </w:rPr>
        <w:footnoteRef/>
      </w:r>
      <w:r w:rsidR="56F82B30">
        <w:t xml:space="preserve"> </w:t>
      </w:r>
      <w:r w:rsidR="24202921" w:rsidRPr="24202921">
        <w:rPr>
          <w:rStyle w:val="normaltextrun"/>
        </w:rPr>
        <w:t xml:space="preserve">See Annex 7. </w:t>
      </w:r>
    </w:p>
  </w:footnote>
  <w:footnote w:id="33">
    <w:p w14:paraId="76B83643" w14:textId="00D7FB45" w:rsidR="00C2739A" w:rsidRPr="00C2739A" w:rsidRDefault="00C2739A">
      <w:pPr>
        <w:pStyle w:val="FootnoteText"/>
      </w:pPr>
      <w:r>
        <w:rPr>
          <w:rStyle w:val="FootnoteReference"/>
        </w:rPr>
        <w:footnoteRef/>
      </w:r>
      <w:r>
        <w:t xml:space="preserve"> Key data relating to suspects, financial flows, communication identifiers, travel movements or digital accounts may be held by different Member States without being connected at EU level.</w:t>
      </w:r>
    </w:p>
  </w:footnote>
  <w:footnote w:id="34">
    <w:p w14:paraId="191EEF0C" w14:textId="6B3BAFE9" w:rsidR="00B756DE" w:rsidRPr="00B756DE" w:rsidRDefault="00B756DE">
      <w:pPr>
        <w:pStyle w:val="FootnoteText"/>
      </w:pPr>
      <w:r>
        <w:rPr>
          <w:rStyle w:val="FootnoteReference"/>
        </w:rPr>
        <w:footnoteRef/>
      </w:r>
      <w:r>
        <w:t xml:space="preserve"> In 2025, </w:t>
      </w:r>
      <w:r w:rsidR="006A60D1">
        <w:t xml:space="preserve">the share of SIENA messages exchanged by Member States where Europol was involved varied from </w:t>
      </w:r>
      <w:r w:rsidR="00880FEF">
        <w:t>24</w:t>
      </w:r>
      <w:r w:rsidR="006A60D1">
        <w:t xml:space="preserve">% to </w:t>
      </w:r>
      <w:r w:rsidR="00880FEF">
        <w:t>56</w:t>
      </w:r>
      <w:r w:rsidR="006A60D1">
        <w:t>%</w:t>
      </w:r>
      <w:r w:rsidR="00413830">
        <w:t xml:space="preserve"> across Member States.</w:t>
      </w:r>
      <w:r w:rsidR="2AA2E8E8">
        <w:t xml:space="preserve"> For more information on SIENA, see Annex 8.</w:t>
      </w:r>
    </w:p>
  </w:footnote>
  <w:footnote w:id="35">
    <w:p w14:paraId="4D93B74E" w14:textId="73396428" w:rsidR="00B756DE" w:rsidRPr="00887AF6" w:rsidRDefault="00B756DE" w:rsidP="00B756DE">
      <w:pPr>
        <w:pStyle w:val="FootnoteText"/>
      </w:pPr>
      <w:r>
        <w:rPr>
          <w:rStyle w:val="FootnoteReference"/>
        </w:rPr>
        <w:footnoteRef/>
      </w:r>
      <w:r>
        <w:t xml:space="preserve"> </w:t>
      </w:r>
      <w:r w:rsidR="00F54FB7">
        <w:t xml:space="preserve">As of </w:t>
      </w:r>
      <w:r>
        <w:t xml:space="preserve">31 December 2025, around 90% of the objects stored in the </w:t>
      </w:r>
      <w:r w:rsidRPr="006A60D1">
        <w:t>EIS</w:t>
      </w:r>
      <w:r>
        <w:t xml:space="preserve"> </w:t>
      </w:r>
      <w:r w:rsidR="00880FEF">
        <w:t>had been</w:t>
      </w:r>
      <w:r>
        <w:t xml:space="preserve"> introduced by Member States representing around 25% of the EU population, while Member States representing more than 50% of the EU population contributed to less than 5% of the objects shared by EU Member States.</w:t>
      </w:r>
      <w:r w:rsidR="72D38C6A">
        <w:t xml:space="preserve"> </w:t>
      </w:r>
      <w:r w:rsidR="7FE143D9">
        <w:t>For more information on the EIS, see Annex 8.</w:t>
      </w:r>
    </w:p>
  </w:footnote>
  <w:footnote w:id="36">
    <w:p w14:paraId="4F88DED6" w14:textId="07BB5064" w:rsidR="00080DC0" w:rsidRPr="00F3230C" w:rsidRDefault="00080DC0">
      <w:pPr>
        <w:pStyle w:val="FootnoteText"/>
        <w:rPr>
          <w:lang w:val="en-IE"/>
        </w:rPr>
      </w:pPr>
      <w:r>
        <w:rPr>
          <w:rStyle w:val="FootnoteReference"/>
        </w:rPr>
        <w:footnoteRef/>
      </w:r>
      <w:r>
        <w:t xml:space="preserve"> </w:t>
      </w:r>
      <w:r w:rsidR="00F3230C">
        <w:t xml:space="preserve">In 2025, </w:t>
      </w:r>
      <w:r w:rsidR="006A60D1">
        <w:t>o</w:t>
      </w:r>
      <w:r w:rsidR="006A60D1" w:rsidRPr="006A60D1">
        <w:t>verall, 18% of messages received by Europol contain</w:t>
      </w:r>
      <w:r w:rsidR="006A60D1">
        <w:t>ed</w:t>
      </w:r>
      <w:r w:rsidR="006A60D1" w:rsidRPr="006A60D1">
        <w:t xml:space="preserve"> structured information</w:t>
      </w:r>
      <w:r w:rsidR="006A60D1">
        <w:t xml:space="preserve">, varying across Member States from </w:t>
      </w:r>
      <w:r w:rsidR="00880FEF">
        <w:t>0.</w:t>
      </w:r>
      <w:r w:rsidR="006A60D1">
        <w:t xml:space="preserve">1% to </w:t>
      </w:r>
      <w:r w:rsidR="00880FEF">
        <w:t>21</w:t>
      </w:r>
      <w:r w:rsidR="5337930C">
        <w:t>%. For more information on cross-checking, see Annex 8.</w:t>
      </w:r>
    </w:p>
  </w:footnote>
  <w:footnote w:id="37">
    <w:p w14:paraId="6FCBBEEC" w14:textId="1FC7B57B" w:rsidR="00747FCB" w:rsidRPr="00747FCB" w:rsidRDefault="00747FCB">
      <w:pPr>
        <w:pStyle w:val="FootnoteText"/>
      </w:pPr>
      <w:r>
        <w:rPr>
          <w:rStyle w:val="FootnoteReference"/>
        </w:rPr>
        <w:footnoteRef/>
      </w:r>
      <w:r>
        <w:t xml:space="preserve"> </w:t>
      </w:r>
      <w:r w:rsidR="00960F44" w:rsidRPr="00960F44">
        <w:t>Under Union law, both Europol and Member States must perform DSC for their own processing of personal data in criminal investigations, regardless of whether the data are subsequently transferred to Europol. However, the legal requirements applicable to Europol differ from those applied by Member States, Eurojust or the EPPO. Under the Europol Regulation, Europol must classify individuals whose personal data appear in a dataset into categories defined in Annex II</w:t>
      </w:r>
      <w:r w:rsidR="00F576BE">
        <w:t xml:space="preserve"> of that Regulation</w:t>
      </w:r>
      <w:r w:rsidR="00960F44" w:rsidRPr="00960F44">
        <w:t xml:space="preserve"> (e.g. suspects, associates, victims or witnesses) before the data can be fully processed</w:t>
      </w:r>
      <w:r w:rsidR="00960F44">
        <w:t>.</w:t>
      </w:r>
    </w:p>
  </w:footnote>
  <w:footnote w:id="38">
    <w:p w14:paraId="134BC406" w14:textId="7103CA7A" w:rsidR="001C377F" w:rsidRPr="001C377F" w:rsidRDefault="001C377F">
      <w:pPr>
        <w:pStyle w:val="FootnoteText"/>
      </w:pPr>
      <w:r>
        <w:rPr>
          <w:rStyle w:val="FootnoteReference"/>
        </w:rPr>
        <w:footnoteRef/>
      </w:r>
      <w:r>
        <w:t xml:space="preserve"> </w:t>
      </w:r>
      <w:r w:rsidR="004415B0">
        <w:t>S</w:t>
      </w:r>
      <w:r w:rsidR="0079129D" w:rsidRPr="0079129D">
        <w:t>ection (3) on criminal investigations of the Commission report evaluating the operational impact of Regulation (EU) 2022/991, adopted pursuant to Article 68(3) of Regulation (EU) 2016/794</w:t>
      </w:r>
      <w:r w:rsidR="00753421">
        <w:t xml:space="preserve"> </w:t>
      </w:r>
      <w:r w:rsidR="004415B0">
        <w:t>highlights that</w:t>
      </w:r>
      <w:r w:rsidR="0079129D" w:rsidRPr="0079129D">
        <w:t xml:space="preserve"> Europol “cannot process, nor even store, the personal data of individuals who do not fall under [the relevant] categories”. This requirement creates a significant administrative and analytical burden in practice, particularly when handling large or unstructured datasets originating from multiple sources. Such data often do not easily correspond to predefined categories, complicating the identification of relevant data subjects and potentially slowing the progress of investigations. As a result, the intake and analysis of large datasets may be delayed at critical early stages of investigations, limiting Europol’s ability to identify relevant individuals, detect connections between cases and conduct analytical work on bulk data, including at the request of Member States.</w:t>
      </w:r>
    </w:p>
  </w:footnote>
  <w:footnote w:id="39">
    <w:p w14:paraId="09C2C49C" w14:textId="07D36FB9" w:rsidR="00014ACC" w:rsidRPr="00014ACC" w:rsidRDefault="00014ACC">
      <w:pPr>
        <w:pStyle w:val="FootnoteText"/>
      </w:pPr>
      <w:r>
        <w:rPr>
          <w:rStyle w:val="FootnoteReference"/>
        </w:rPr>
        <w:footnoteRef/>
      </w:r>
      <w:r w:rsidRPr="00014ACC">
        <w:t xml:space="preserve"> </w:t>
      </w:r>
      <w:r w:rsidR="004174B7">
        <w:t>Europol (2024) Decoding the EU’s most threatening criminal networks, p. 44.</w:t>
      </w:r>
    </w:p>
  </w:footnote>
  <w:footnote w:id="40">
    <w:p w14:paraId="26A5E000" w14:textId="23EE39C2" w:rsidR="00247B35" w:rsidRPr="00CE02F8" w:rsidRDefault="00247B35" w:rsidP="00247B35">
      <w:pPr>
        <w:pStyle w:val="FootnoteText"/>
      </w:pPr>
      <w:r>
        <w:rPr>
          <w:rStyle w:val="FootnoteReference"/>
        </w:rPr>
        <w:footnoteRef/>
      </w:r>
      <w:r>
        <w:t xml:space="preserve"> </w:t>
      </w:r>
      <w:r w:rsidRPr="7BB32C2F">
        <w:t xml:space="preserve">For instance, only one of 23 Europol Member States which responded to the targeted survey for national law enforcement authorities reported having received more than five requests by Europol to initiate, conduct or coordinate a criminal investigation under Article 6 </w:t>
      </w:r>
      <w:r w:rsidR="00851F42">
        <w:t xml:space="preserve">ER. </w:t>
      </w:r>
      <w:r>
        <w:t>S</w:t>
      </w:r>
      <w:r w:rsidRPr="7BB32C2F">
        <w:t>ee Annex [No], Study supporting the evaluation and the impact assessment of the Europol Regulation.</w:t>
      </w:r>
    </w:p>
  </w:footnote>
  <w:footnote w:id="41">
    <w:p w14:paraId="281EAEB7" w14:textId="7A5AD121" w:rsidR="0033777B" w:rsidRPr="000F67DC" w:rsidRDefault="0033777B">
      <w:pPr>
        <w:pStyle w:val="FootnoteText"/>
        <w:rPr>
          <w:lang w:val="en-IE"/>
        </w:rPr>
      </w:pPr>
      <w:r w:rsidRPr="000F67DC">
        <w:rPr>
          <w:rStyle w:val="FootnoteReference"/>
        </w:rPr>
        <w:footnoteRef/>
      </w:r>
      <w:r w:rsidRPr="000F67DC">
        <w:t xml:space="preserve"> </w:t>
      </w:r>
      <w:r w:rsidR="00ED4B86" w:rsidRPr="000F67DC">
        <w:t xml:space="preserve">In 2025, more than 90% of </w:t>
      </w:r>
      <w:r w:rsidR="00880FEF" w:rsidRPr="000F67DC">
        <w:t xml:space="preserve">the </w:t>
      </w:r>
      <w:r w:rsidR="00ED4B86" w:rsidRPr="000F67DC">
        <w:t xml:space="preserve">searches </w:t>
      </w:r>
      <w:r w:rsidR="00880FEF" w:rsidRPr="000F67DC">
        <w:t xml:space="preserve">carried </w:t>
      </w:r>
      <w:r w:rsidR="00ED4B86" w:rsidRPr="000F67DC">
        <w:t>by EU Member States in Europol data had been carried out by Member States representing less than 20% of the EU population.</w:t>
      </w:r>
    </w:p>
  </w:footnote>
  <w:footnote w:id="42">
    <w:p w14:paraId="78D669EC" w14:textId="4CCBE8DE" w:rsidR="007E15EC" w:rsidRPr="000F67DC" w:rsidRDefault="007E15EC" w:rsidP="007E15EC">
      <w:pPr>
        <w:pStyle w:val="FootnoteText"/>
        <w:rPr>
          <w:rFonts w:eastAsia="Times New Roman"/>
        </w:rPr>
      </w:pPr>
      <w:r w:rsidRPr="000F67DC">
        <w:rPr>
          <w:rStyle w:val="FootnoteReference"/>
          <w:rFonts w:eastAsia="Times New Roman"/>
        </w:rPr>
        <w:footnoteRef/>
      </w:r>
      <w:r w:rsidRPr="000F67DC">
        <w:rPr>
          <w:rFonts w:eastAsia="Times New Roman"/>
        </w:rPr>
        <w:t xml:space="preserve"> </w:t>
      </w:r>
      <w:r w:rsidR="007829DF">
        <w:rPr>
          <w:rFonts w:eastAsia="Times New Roman"/>
        </w:rPr>
        <w:t>ICF (March 202</w:t>
      </w:r>
      <w:r w:rsidR="002F7D3B">
        <w:rPr>
          <w:rFonts w:eastAsia="Times New Roman"/>
        </w:rPr>
        <w:t>6</w:t>
      </w:r>
      <w:r w:rsidR="007829DF">
        <w:rPr>
          <w:rFonts w:eastAsia="Times New Roman"/>
        </w:rPr>
        <w:t xml:space="preserve">), Draft Final Report of the </w:t>
      </w:r>
      <w:r w:rsidR="001D0131" w:rsidRPr="000F67DC">
        <w:rPr>
          <w:rFonts w:eastAsia="Times New Roman"/>
        </w:rPr>
        <w:t>Study supporting the evaluation and the impact assessment of the Europol Regulation</w:t>
      </w:r>
      <w:r w:rsidR="007829DF">
        <w:rPr>
          <w:rFonts w:eastAsia="Times New Roman"/>
        </w:rPr>
        <w:t xml:space="preserve">, </w:t>
      </w:r>
      <w:r w:rsidRPr="00E6596C">
        <w:rPr>
          <w:rFonts w:eastAsia="Times New Roman"/>
        </w:rPr>
        <w:t>Figure 35</w:t>
      </w:r>
      <w:r w:rsidRPr="000F67DC">
        <w:rPr>
          <w:rFonts w:eastAsia="Times New Roman"/>
        </w:rPr>
        <w:t xml:space="preserve"> and Questions 60-69 dedicated to Europol</w:t>
      </w:r>
      <w:r w:rsidR="004415B0">
        <w:rPr>
          <w:rFonts w:eastAsia="Times New Roman"/>
        </w:rPr>
        <w:t>’</w:t>
      </w:r>
      <w:r w:rsidRPr="000F67DC">
        <w:rPr>
          <w:rFonts w:eastAsia="Times New Roman"/>
        </w:rPr>
        <w:t>s operational centres</w:t>
      </w:r>
      <w:r w:rsidR="00E05608">
        <w:rPr>
          <w:rFonts w:eastAsia="Times New Roman"/>
        </w:rPr>
        <w:t>.</w:t>
      </w:r>
    </w:p>
  </w:footnote>
  <w:footnote w:id="43">
    <w:p w14:paraId="03A4DEE4" w14:textId="2122478C" w:rsidR="00FA7A1D" w:rsidRPr="00FA7A1D" w:rsidRDefault="00FA7A1D">
      <w:pPr>
        <w:pStyle w:val="FootnoteText"/>
      </w:pPr>
      <w:r>
        <w:rPr>
          <w:rStyle w:val="FootnoteReference"/>
        </w:rPr>
        <w:footnoteRef/>
      </w:r>
      <w:r>
        <w:t xml:space="preserve"> </w:t>
      </w:r>
      <w:r w:rsidR="00135D7E">
        <w:t xml:space="preserve">ICF (March 2026) Draft Final Report of the </w:t>
      </w:r>
      <w:r w:rsidR="00926778">
        <w:t>Study supporting the e</w:t>
      </w:r>
      <w:r w:rsidR="00AD3869">
        <w:t>valuation and the impact assessment of the E</w:t>
      </w:r>
      <w:r w:rsidR="00D607D6">
        <w:t xml:space="preserve">uropol </w:t>
      </w:r>
      <w:r w:rsidR="00AD3869">
        <w:t>R</w:t>
      </w:r>
      <w:r w:rsidR="00D607D6">
        <w:t>egulation</w:t>
      </w:r>
      <w:r w:rsidR="00135D7E">
        <w:t xml:space="preserve">, interviews with national authorities and </w:t>
      </w:r>
      <w:proofErr w:type="gramStart"/>
      <w:r w:rsidR="00135D7E">
        <w:t xml:space="preserve">Europol </w:t>
      </w:r>
      <w:r w:rsidR="00677EFA">
        <w:t>.</w:t>
      </w:r>
      <w:proofErr w:type="gramEnd"/>
      <w:r w:rsidR="00677EFA">
        <w:t xml:space="preserve"> </w:t>
      </w:r>
    </w:p>
  </w:footnote>
  <w:footnote w:id="44">
    <w:p w14:paraId="56FBB586" w14:textId="77777777" w:rsidR="00FA7A1D" w:rsidRPr="00733083" w:rsidRDefault="00FA7A1D" w:rsidP="00FA7A1D">
      <w:pPr>
        <w:pStyle w:val="FootnoteText"/>
      </w:pPr>
      <w:r w:rsidRPr="000F67DC">
        <w:rPr>
          <w:rStyle w:val="FootnoteReference"/>
        </w:rPr>
        <w:footnoteRef/>
      </w:r>
      <w:r w:rsidRPr="000F67DC">
        <w:t xml:space="preserve"> For example, the number of operations supported by the Europol Innovation Lab more than doubled between 2024 and 2025.</w:t>
      </w:r>
      <w:r>
        <w:t xml:space="preserve"> </w:t>
      </w:r>
    </w:p>
  </w:footnote>
  <w:footnote w:id="45">
    <w:p w14:paraId="7A870948" w14:textId="3B1F815A" w:rsidR="00957868" w:rsidRPr="006F486C" w:rsidRDefault="00957868" w:rsidP="00957868">
      <w:pPr>
        <w:pStyle w:val="FootnoteText"/>
      </w:pPr>
      <w:r w:rsidRPr="006F486C">
        <w:rPr>
          <w:rStyle w:val="FootnoteReference"/>
        </w:rPr>
        <w:footnoteRef/>
      </w:r>
      <w:r w:rsidRPr="006F486C">
        <w:t xml:space="preserve"> Cybersecurity skills shortages further lead to enhanced cyber inequity, creating systemic exposure for law enforcement authorities and the digital infrastructures they rely on. See, for instance, </w:t>
      </w:r>
      <w:hyperlink r:id="rId2" w:history="1">
        <w:r w:rsidRPr="006F486C">
          <w:rPr>
            <w:rStyle w:val="Hyperlink"/>
          </w:rPr>
          <w:t>WEF_Global_Cybersecurity_Outlook_2026.pdf</w:t>
        </w:r>
      </w:hyperlink>
      <w:r w:rsidRPr="006F486C">
        <w:t>.</w:t>
      </w:r>
    </w:p>
  </w:footnote>
  <w:footnote w:id="46">
    <w:p w14:paraId="27BD760B" w14:textId="35D2895A" w:rsidR="00817F4E" w:rsidRDefault="00817F4E" w:rsidP="00817F4E">
      <w:pPr>
        <w:pStyle w:val="FootnoteText"/>
      </w:pPr>
      <w:r>
        <w:rPr>
          <w:rStyle w:val="FootnoteReference"/>
        </w:rPr>
        <w:footnoteRef/>
      </w:r>
      <w:r>
        <w:t xml:space="preserve"> </w:t>
      </w:r>
      <w:r w:rsidRPr="7BB32C2F">
        <w:t>87% of respondents mentioned specialised technical skills as an area where Europol should play a stronger role in training and capacity building</w:t>
      </w:r>
      <w:r>
        <w:t>.</w:t>
      </w:r>
      <w:r w:rsidRPr="7BB32C2F">
        <w:t xml:space="preserve"> See Figure 70, Study supporting the evaluation and the impact assessment of the Europol Regulation. Furthermore, 86% of respondents indicated there are areas where Europol’s training offer dedicated to specialised skills should be expanded, see Figure 71, ibid.</w:t>
      </w:r>
    </w:p>
  </w:footnote>
  <w:footnote w:id="47">
    <w:p w14:paraId="4BF19432" w14:textId="5675D700" w:rsidR="001A7F54" w:rsidRPr="00AF45E7" w:rsidRDefault="001A7F54" w:rsidP="001A7F54">
      <w:pPr>
        <w:pStyle w:val="FootnoteText"/>
      </w:pPr>
      <w:r>
        <w:rPr>
          <w:rStyle w:val="FootnoteReference"/>
        </w:rPr>
        <w:footnoteRef/>
      </w:r>
      <w:r>
        <w:t xml:space="preserve"> In accordance with the </w:t>
      </w:r>
      <w:r w:rsidRPr="009E3468">
        <w:t xml:space="preserve">Council Regulation (EU) 2017/1939 of 12 October 2017 implementing enhanced cooperation on the establishment of the </w:t>
      </w:r>
      <w:r w:rsidR="002554C8">
        <w:t>[</w:t>
      </w:r>
      <w:r w:rsidRPr="009E3468">
        <w:t>EPPO</w:t>
      </w:r>
      <w:r w:rsidR="002554C8">
        <w:t>]</w:t>
      </w:r>
      <w:r>
        <w:t xml:space="preserve">, the EPPO is responsible for </w:t>
      </w:r>
      <w:r w:rsidRPr="007E5C23">
        <w:t>investigating, prosecuting and bringing to judgment the perpetrators of, and accomplices to, criminal offences affecting the financial interests of the Union which are provided for in Directive (EU) 2017/1371</w:t>
      </w:r>
      <w:r>
        <w:t>.</w:t>
      </w:r>
    </w:p>
  </w:footnote>
  <w:footnote w:id="48">
    <w:p w14:paraId="6E095C62" w14:textId="77777777" w:rsidR="002554C8" w:rsidRPr="00A94CCF" w:rsidRDefault="002554C8" w:rsidP="002554C8">
      <w:pPr>
        <w:pStyle w:val="FootnoteText"/>
      </w:pPr>
      <w:r>
        <w:rPr>
          <w:rStyle w:val="FootnoteReference"/>
        </w:rPr>
        <w:footnoteRef/>
      </w:r>
      <w:r>
        <w:t xml:space="preserve"> </w:t>
      </w:r>
      <w:r w:rsidRPr="00A94CCF">
        <w:t>Article 20</w:t>
      </w:r>
      <w:proofErr w:type="gramStart"/>
      <w:r w:rsidRPr="00A94CCF">
        <w:t>a(</w:t>
      </w:r>
      <w:proofErr w:type="gramEnd"/>
      <w:r w:rsidRPr="00A94CCF">
        <w:t>2) of the Europol Regulation provides that “Europol shall support the investigations of the EPPO and cooperate with it, by providing information and analytical support”</w:t>
      </w:r>
      <w:r>
        <w:t>.</w:t>
      </w:r>
      <w:r w:rsidRPr="00060E02">
        <w:t xml:space="preserve"> </w:t>
      </w:r>
      <w:r w:rsidRPr="00E40062">
        <w:t>Europol supported six EPPO cases in 2021, 28 cases in 2022, 47 cases in 2023 and 83 cases in 2024.</w:t>
      </w:r>
    </w:p>
  </w:footnote>
  <w:footnote w:id="49">
    <w:p w14:paraId="0C65BDD2" w14:textId="401842CE" w:rsidR="00D728ED" w:rsidRPr="00A77219" w:rsidRDefault="00D728ED" w:rsidP="00D728ED">
      <w:pPr>
        <w:pStyle w:val="FootnoteText"/>
      </w:pPr>
      <w:r>
        <w:rPr>
          <w:rStyle w:val="FootnoteReference"/>
        </w:rPr>
        <w:footnoteRef/>
      </w:r>
      <w:r>
        <w:t xml:space="preserve"> </w:t>
      </w:r>
      <w:r w:rsidRPr="00F02285">
        <w:rPr>
          <w:rFonts w:eastAsia="Arial"/>
          <w:color w:val="000000" w:themeColor="text1"/>
        </w:rPr>
        <w:t xml:space="preserve">Europol’s European Financial and Economic Crime Centre (EFECC) provides specialised analytical </w:t>
      </w:r>
      <w:r w:rsidR="004133BF">
        <w:rPr>
          <w:rFonts w:eastAsia="Arial"/>
          <w:color w:val="000000" w:themeColor="text1"/>
        </w:rPr>
        <w:t>support</w:t>
      </w:r>
      <w:r w:rsidR="001218CD">
        <w:rPr>
          <w:rFonts w:eastAsia="Arial"/>
          <w:color w:val="000000" w:themeColor="text1"/>
        </w:rPr>
        <w:t>.</w:t>
      </w:r>
      <w:r w:rsidRPr="00F02285">
        <w:rPr>
          <w:rFonts w:eastAsia="Arial"/>
          <w:color w:val="000000" w:themeColor="text1"/>
        </w:rPr>
        <w:t xml:space="preserve"> </w:t>
      </w:r>
      <w:r w:rsidRPr="00CF155C">
        <w:t>EPPO estimates for the period 2028</w:t>
      </w:r>
      <w:r>
        <w:t>-</w:t>
      </w:r>
      <w:r w:rsidRPr="00CF155C">
        <w:t>2034 foresee substantial support needs from Europol, including data cross-checks against Europol databases (600</w:t>
      </w:r>
      <w:r>
        <w:t>-</w:t>
      </w:r>
      <w:r w:rsidRPr="00CF155C">
        <w:t>1200 cases), operational analytical support (500</w:t>
      </w:r>
      <w:r>
        <w:t>-</w:t>
      </w:r>
      <w:r w:rsidRPr="00CF155C">
        <w:t>1200 investigations), digital forensics support (80</w:t>
      </w:r>
      <w:r>
        <w:t>-</w:t>
      </w:r>
      <w:r w:rsidRPr="00CF155C">
        <w:t xml:space="preserve">150 cases), and operational deployments </w:t>
      </w:r>
      <w:r w:rsidR="00133167">
        <w:t>(</w:t>
      </w:r>
      <w:r w:rsidRPr="00CF155C">
        <w:t>100</w:t>
      </w:r>
      <w:r>
        <w:t>-</w:t>
      </w:r>
      <w:r w:rsidRPr="00CF155C">
        <w:t>250 investigations</w:t>
      </w:r>
      <w:r w:rsidR="00133167">
        <w:t>)</w:t>
      </w:r>
      <w:r w:rsidRPr="00CF155C">
        <w:t>.</w:t>
      </w:r>
    </w:p>
  </w:footnote>
  <w:footnote w:id="50">
    <w:p w14:paraId="06DD540E" w14:textId="23034918" w:rsidR="00DD49AD" w:rsidRPr="004A605A" w:rsidRDefault="00DD49AD" w:rsidP="00DD49AD">
      <w:pPr>
        <w:pStyle w:val="FootnoteText"/>
      </w:pPr>
      <w:r>
        <w:rPr>
          <w:rStyle w:val="FootnoteReference"/>
        </w:rPr>
        <w:footnoteRef/>
      </w:r>
      <w:r w:rsidR="6CB4E9CD">
        <w:t xml:space="preserve"> </w:t>
      </w:r>
      <w:r w:rsidR="6CB4E9CD" w:rsidRPr="00045C20">
        <w:t xml:space="preserve">In this context, it may be noted that the Commission proposal to amend Regulation (EU) No 904/2010 on administrative cooperation in the field of VAT envisages facilitating access for the EPPO and the European Anti-Fraud Office (OLAF) to certain VAT information for the purposes of investigating offences affecting the Union’s financial interests (Proposal for a Council Regulation, COM(2025) 685 final). </w:t>
      </w:r>
      <w:proofErr w:type="gramStart"/>
      <w:r w:rsidR="6CB4E9CD" w:rsidRPr="00045C20">
        <w:t>In light of</w:t>
      </w:r>
      <w:proofErr w:type="gramEnd"/>
      <w:r w:rsidR="6CB4E9CD" w:rsidRPr="00045C20">
        <w:t xml:space="preserve"> Europol’s strengthened role in supporting EPPO investigations, the possible extension of access to similar information for Europol could also be considered.</w:t>
      </w:r>
    </w:p>
  </w:footnote>
  <w:footnote w:id="51">
    <w:p w14:paraId="4317ADB4" w14:textId="5280B49C" w:rsidR="00734921" w:rsidRPr="00734921" w:rsidRDefault="00734921">
      <w:pPr>
        <w:pStyle w:val="FootnoteText"/>
      </w:pPr>
      <w:r>
        <w:rPr>
          <w:rStyle w:val="FootnoteReference"/>
        </w:rPr>
        <w:footnoteRef/>
      </w:r>
      <w:r>
        <w:t xml:space="preserve"> </w:t>
      </w:r>
      <w:r w:rsidRPr="00C81D7D">
        <w:t>The EPPO’s Case Management System contains rapidly increasing volumes of operational data. For example, approximately 1</w:t>
      </w:r>
      <w:r>
        <w:t> </w:t>
      </w:r>
      <w:r w:rsidRPr="00C81D7D">
        <w:t>406 terabytes of data are stored in relation to three investigations alone, illustrating the scale of data potentially relevant for operational analysis and cross-case link detection.</w:t>
      </w:r>
    </w:p>
  </w:footnote>
  <w:footnote w:id="52">
    <w:p w14:paraId="4EE900FD" w14:textId="4A843846" w:rsidR="00044105" w:rsidRPr="00DE0E30" w:rsidRDefault="00044105" w:rsidP="00044105">
      <w:pPr>
        <w:pStyle w:val="FootnoteText"/>
        <w:rPr>
          <w:lang w:val="en-IE"/>
        </w:rPr>
      </w:pPr>
      <w:r>
        <w:rPr>
          <w:rStyle w:val="FootnoteReference"/>
        </w:rPr>
        <w:footnoteRef/>
      </w:r>
      <w:r>
        <w:t xml:space="preserve"> </w:t>
      </w:r>
      <w:r w:rsidRPr="00044105">
        <w:t>Both the Europol Regulation</w:t>
      </w:r>
      <w:r w:rsidR="00866E82">
        <w:t xml:space="preserve"> (Article</w:t>
      </w:r>
      <w:r w:rsidR="005F78B1">
        <w:t xml:space="preserve"> 21</w:t>
      </w:r>
      <w:r w:rsidR="00866E82">
        <w:t>)</w:t>
      </w:r>
      <w:r w:rsidRPr="00044105">
        <w:t xml:space="preserve"> and the Eurojust Regulation </w:t>
      </w:r>
      <w:r w:rsidR="00866E82">
        <w:t xml:space="preserve">(Article 49) </w:t>
      </w:r>
      <w:r w:rsidRPr="00044105">
        <w:t xml:space="preserve">provide for indirect information exchange </w:t>
      </w:r>
      <w:r w:rsidR="007958FF">
        <w:t xml:space="preserve">between the two agencies </w:t>
      </w:r>
      <w:proofErr w:type="gramStart"/>
      <w:r w:rsidR="00E17304">
        <w:t>on the basis of</w:t>
      </w:r>
      <w:proofErr w:type="gramEnd"/>
      <w:r w:rsidR="00E17304">
        <w:t xml:space="preserve"> a</w:t>
      </w:r>
      <w:r w:rsidRPr="00044105">
        <w:t xml:space="preserve"> hit/no-hit </w:t>
      </w:r>
      <w:r w:rsidR="007958FF">
        <w:t>system</w:t>
      </w:r>
      <w:r w:rsidRPr="00044105">
        <w:t xml:space="preserve">. </w:t>
      </w:r>
      <w:r w:rsidR="00302E19" w:rsidRPr="00302E19">
        <w:t>In practice, exchanges have remained minimal. Between May 2023 and August 2025, Europol sent 108 SIENA messages to Eurojust containing 2 081 entities for link detection, resulting in eight hits at Eurojust, none of operational relevance to Europol.</w:t>
      </w:r>
    </w:p>
  </w:footnote>
  <w:footnote w:id="53">
    <w:p w14:paraId="25E1812F" w14:textId="080E8883" w:rsidR="00571333" w:rsidRPr="0082690B" w:rsidRDefault="00571333">
      <w:pPr>
        <w:pStyle w:val="FootnoteText"/>
        <w:rPr>
          <w:lang w:val="en-IE"/>
        </w:rPr>
      </w:pPr>
      <w:r>
        <w:rPr>
          <w:rStyle w:val="FootnoteReference"/>
        </w:rPr>
        <w:footnoteRef/>
      </w:r>
      <w:r>
        <w:t xml:space="preserve"> </w:t>
      </w:r>
      <w:r w:rsidR="00721A28">
        <w:t>According to the European Commission, “</w:t>
      </w:r>
      <w:r w:rsidR="00B25E48">
        <w:t>m</w:t>
      </w:r>
      <w:r w:rsidR="00B25E48" w:rsidRPr="00B25E48">
        <w:t>ore than half of all investigations today involve a cross-border request to access electronic evidence</w:t>
      </w:r>
      <w:r w:rsidR="00B25E48">
        <w:t>”</w:t>
      </w:r>
      <w:r w:rsidR="00A81E8A">
        <w:t>, i.e., “</w:t>
      </w:r>
      <w:r w:rsidR="00A36B89">
        <w:t xml:space="preserve">data in electronic form that are relevant </w:t>
      </w:r>
      <w:r w:rsidR="00694006">
        <w:t>in investigating and prosecuting criminal offences”</w:t>
      </w:r>
      <w:r w:rsidR="00032827">
        <w:t>. Notably, “e</w:t>
      </w:r>
      <w:r w:rsidRPr="00571333">
        <w:t>lectronic evidence is needed in around 85% of criminal investigations, and in two-thirds of these investigations there is a need to request evidence from online service providers based in another jurisdiction. The number of requests to the main online service providers grew by 70% in the period between 2013 and 2016</w:t>
      </w:r>
      <w:r w:rsidR="00032827">
        <w:t>”</w:t>
      </w:r>
      <w:r w:rsidR="00706123">
        <w:t xml:space="preserve">, </w:t>
      </w:r>
      <w:r w:rsidR="00882B41" w:rsidRPr="00882B41">
        <w:t>Frequently Asked Questions: New EU rules to obtain electronic evidence Brussels, 17 April 2018</w:t>
      </w:r>
      <w:r w:rsidR="00B32418">
        <w:t>.</w:t>
      </w:r>
    </w:p>
  </w:footnote>
  <w:footnote w:id="54">
    <w:p w14:paraId="16F3FE63" w14:textId="4D1CB73A" w:rsidR="00DA37CF" w:rsidRPr="004335C9" w:rsidRDefault="00DA37CF">
      <w:pPr>
        <w:pStyle w:val="FootnoteText"/>
        <w:rPr>
          <w:lang w:val="en-IE"/>
        </w:rPr>
      </w:pPr>
      <w:r>
        <w:rPr>
          <w:rStyle w:val="FootnoteReference"/>
        </w:rPr>
        <w:footnoteRef/>
      </w:r>
      <w:r w:rsidR="004335C9">
        <w:t xml:space="preserve"> </w:t>
      </w:r>
      <w:r w:rsidR="004335C9" w:rsidRPr="004335C9">
        <w:t xml:space="preserve">Since 2017, </w:t>
      </w:r>
      <w:r w:rsidRPr="00581ECD">
        <w:t xml:space="preserve">Europol and Eurojust </w:t>
      </w:r>
      <w:r w:rsidR="004335C9" w:rsidRPr="004335C9">
        <w:t>have jointly</w:t>
      </w:r>
      <w:r w:rsidRPr="00581ECD">
        <w:t xml:space="preserve"> supported EU law enforcement and judicial authorities in obtaining electronic evidence from service providers located in other jurisdictions</w:t>
      </w:r>
      <w:r w:rsidR="004335C9" w:rsidRPr="004335C9">
        <w:t xml:space="preserve"> through the SIRIUS Project. The initiative</w:t>
      </w:r>
      <w:r w:rsidRPr="00581ECD">
        <w:t xml:space="preserve"> provided operational guidance, specialised training, investigative tools and </w:t>
      </w:r>
      <w:r w:rsidR="004335C9" w:rsidRPr="004335C9">
        <w:t>a platform facilitating exchanges between authorities and service providers.</w:t>
      </w:r>
      <w:r w:rsidR="00153E09">
        <w:t xml:space="preserve"> </w:t>
      </w:r>
      <w:r w:rsidR="00153E09" w:rsidRPr="00581ECD">
        <w:t xml:space="preserve">The SIRIUS Project </w:t>
      </w:r>
      <w:r w:rsidR="00153E09">
        <w:t>has been funded by t</w:t>
      </w:r>
      <w:r w:rsidR="00153E09" w:rsidRPr="05C9FB8D">
        <w:rPr>
          <w:rFonts w:eastAsia="Times New Roman"/>
          <w:color w:val="333333"/>
        </w:rPr>
        <w:t>he European Commission’s Service for Foreign Policy Instruments (FPI)</w:t>
      </w:r>
      <w:r w:rsidR="00032AF8">
        <w:rPr>
          <w:rFonts w:eastAsia="Times New Roman"/>
          <w:color w:val="333333"/>
        </w:rPr>
        <w:t>.</w:t>
      </w:r>
    </w:p>
  </w:footnote>
  <w:footnote w:id="55">
    <w:p w14:paraId="28B61A0C" w14:textId="30335FCD" w:rsidR="001D158E" w:rsidRPr="00021E91" w:rsidRDefault="001D158E" w:rsidP="001D158E">
      <w:pPr>
        <w:pStyle w:val="FootnoteText"/>
      </w:pPr>
      <w:r>
        <w:rPr>
          <w:rStyle w:val="FootnoteReference"/>
        </w:rPr>
        <w:footnoteRef/>
      </w:r>
      <w:r>
        <w:t xml:space="preserve"> Improvements in the </w:t>
      </w:r>
      <w:r w:rsidRPr="00153CB9">
        <w:t xml:space="preserve">exchange of operational information between Europol and Frontex are addressed in the </w:t>
      </w:r>
      <w:r w:rsidR="00A230DC">
        <w:t xml:space="preserve">impact assessment </w:t>
      </w:r>
      <w:r w:rsidR="006F295E">
        <w:t>for</w:t>
      </w:r>
      <w:r w:rsidRPr="00153CB9">
        <w:t xml:space="preserve"> the </w:t>
      </w:r>
      <w:r w:rsidR="00A230DC">
        <w:t>upcoming</w:t>
      </w:r>
      <w:r w:rsidRPr="00153CB9">
        <w:t xml:space="preserve"> revision of </w:t>
      </w:r>
      <w:r w:rsidR="006F295E">
        <w:t xml:space="preserve">the </w:t>
      </w:r>
      <w:r>
        <w:t xml:space="preserve">EBCG </w:t>
      </w:r>
      <w:r w:rsidRPr="00153CB9">
        <w:t>Regulation</w:t>
      </w:r>
      <w:r>
        <w:t>.</w:t>
      </w:r>
    </w:p>
  </w:footnote>
  <w:footnote w:id="56">
    <w:p w14:paraId="24857349" w14:textId="72196D61" w:rsidR="004306C5" w:rsidRPr="004306C5" w:rsidRDefault="004306C5">
      <w:pPr>
        <w:pStyle w:val="FootnoteText"/>
      </w:pPr>
      <w:r>
        <w:rPr>
          <w:rStyle w:val="FootnoteReference"/>
        </w:rPr>
        <w:footnoteRef/>
      </w:r>
      <w:r w:rsidR="720ED4B7">
        <w:t xml:space="preserve"> Reciprocal exchange of operational </w:t>
      </w:r>
      <w:r w:rsidR="720ED4B7" w:rsidRPr="00483D1A">
        <w:t xml:space="preserve">information between AMLA and Europol is currently not </w:t>
      </w:r>
      <w:r w:rsidR="00713BDB">
        <w:t>foreseen</w:t>
      </w:r>
      <w:r w:rsidR="720ED4B7">
        <w:t>.</w:t>
      </w:r>
    </w:p>
  </w:footnote>
  <w:footnote w:id="57">
    <w:p w14:paraId="10DD781D" w14:textId="45D159D2" w:rsidR="00352105" w:rsidRPr="00352105" w:rsidRDefault="00352105">
      <w:pPr>
        <w:pStyle w:val="FootnoteText"/>
      </w:pPr>
      <w:r>
        <w:rPr>
          <w:rStyle w:val="FootnoteReference"/>
        </w:rPr>
        <w:footnoteRef/>
      </w:r>
      <w:r>
        <w:t xml:space="preserve"> E</w:t>
      </w:r>
      <w:r w:rsidRPr="00057193">
        <w:t>NISA</w:t>
      </w:r>
      <w:r>
        <w:t xml:space="preserve"> is</w:t>
      </w:r>
      <w:r w:rsidRPr="00057193">
        <w:t xml:space="preserve"> established under Regulation (EU) 2019/881 (Cybersecurity Act)</w:t>
      </w:r>
      <w:r>
        <w:t xml:space="preserve"> and</w:t>
      </w:r>
      <w:r w:rsidRPr="00057193">
        <w:t xml:space="preserve"> plays a central role in EU cybersecurity cooperation. Its mandate was further expanded by Directive (EU) 2022/2555 (NIS2</w:t>
      </w:r>
      <w:r w:rsidR="009B0CF4">
        <w:t xml:space="preserve"> Directive</w:t>
      </w:r>
      <w:r w:rsidRPr="00057193">
        <w:t>), which assigns the Agency key tasks in supporting operational cooperation and situational awareness across the Union’s cybersecurity architectur</w:t>
      </w:r>
      <w:r>
        <w:t>e.</w:t>
      </w:r>
    </w:p>
  </w:footnote>
  <w:footnote w:id="58">
    <w:p w14:paraId="34F21F9B" w14:textId="4305B1F7" w:rsidR="009827D4" w:rsidRPr="009827D4" w:rsidRDefault="009827D4">
      <w:pPr>
        <w:pStyle w:val="FootnoteText"/>
      </w:pPr>
      <w:r>
        <w:rPr>
          <w:rStyle w:val="FootnoteReference"/>
        </w:rPr>
        <w:footnoteRef/>
      </w:r>
      <w:r>
        <w:t xml:space="preserve"> </w:t>
      </w:r>
      <w:proofErr w:type="gramStart"/>
      <w:r w:rsidRPr="009827D4">
        <w:t>SWD(</w:t>
      </w:r>
      <w:proofErr w:type="gramEnd"/>
      <w:r w:rsidRPr="009827D4">
        <w:t>2026) 11 final</w:t>
      </w:r>
      <w:r>
        <w:t>.</w:t>
      </w:r>
    </w:p>
  </w:footnote>
  <w:footnote w:id="59">
    <w:p w14:paraId="258474E8" w14:textId="2F9D5B61" w:rsidR="00ED4B86" w:rsidRPr="00ED4B86" w:rsidRDefault="00ED4B86">
      <w:pPr>
        <w:pStyle w:val="FootnoteText"/>
      </w:pPr>
      <w:r>
        <w:rPr>
          <w:rStyle w:val="FootnoteReference"/>
        </w:rPr>
        <w:footnoteRef/>
      </w:r>
      <w:r>
        <w:t xml:space="preserve"> In 2025</w:t>
      </w:r>
      <w:r w:rsidRPr="00ED4B86">
        <w:t xml:space="preserve">, </w:t>
      </w:r>
      <w:r w:rsidR="00EC6ECE">
        <w:t xml:space="preserve">only 14 Member States operated </w:t>
      </w:r>
      <w:r w:rsidRPr="00ED4B86">
        <w:t>data loader</w:t>
      </w:r>
      <w:r w:rsidR="00EC6ECE">
        <w:t>s</w:t>
      </w:r>
      <w:r w:rsidR="38E944C6">
        <w:t>.</w:t>
      </w:r>
    </w:p>
  </w:footnote>
  <w:footnote w:id="60">
    <w:p w14:paraId="50D5685C" w14:textId="6D11E190" w:rsidR="00413830" w:rsidRPr="00413830" w:rsidRDefault="00413830">
      <w:pPr>
        <w:pStyle w:val="FootnoteText"/>
      </w:pPr>
      <w:r>
        <w:rPr>
          <w:rStyle w:val="FootnoteReference"/>
        </w:rPr>
        <w:footnoteRef/>
      </w:r>
      <w:r>
        <w:t xml:space="preserve"> </w:t>
      </w:r>
      <w:r w:rsidR="00906592">
        <w:t>For example, i</w:t>
      </w:r>
      <w:r>
        <w:t>n 2025,</w:t>
      </w:r>
      <w:r w:rsidR="00906592">
        <w:t xml:space="preserve"> only 15 Member States</w:t>
      </w:r>
      <w:r w:rsidR="002D0295">
        <w:t xml:space="preserve"> allowed </w:t>
      </w:r>
      <w:r w:rsidRPr="00ED4B86">
        <w:t>their users to perform</w:t>
      </w:r>
      <w:r w:rsidR="00EC6199">
        <w:t xml:space="preserve"> </w:t>
      </w:r>
      <w:r w:rsidR="00DD15BF">
        <w:t>direct</w:t>
      </w:r>
      <w:r w:rsidRPr="00ED4B86">
        <w:t xml:space="preserve"> searches</w:t>
      </w:r>
      <w:r w:rsidR="00DD15BF">
        <w:t xml:space="preserve"> in Europol data</w:t>
      </w:r>
      <w:r w:rsidRPr="00ED4B86">
        <w:t xml:space="preserve"> via</w:t>
      </w:r>
      <w:r w:rsidR="00DD15BF">
        <w:t xml:space="preserve"> a technical application called</w:t>
      </w:r>
      <w:r w:rsidRPr="00ED4B86">
        <w:t xml:space="preserve"> QUEST</w:t>
      </w:r>
      <w:r w:rsidR="09A2ABAD" w:rsidRPr="00ED4B86">
        <w:t>.</w:t>
      </w:r>
      <w:r w:rsidR="5C6CBA00" w:rsidRPr="00ED4B86">
        <w:t xml:space="preserve"> For more information on QUEST, see Annex 8.</w:t>
      </w:r>
    </w:p>
  </w:footnote>
  <w:footnote w:id="61">
    <w:p w14:paraId="2A23FD71" w14:textId="1ABB7086" w:rsidR="00096BF3" w:rsidRPr="0082690B" w:rsidRDefault="00096BF3">
      <w:pPr>
        <w:pStyle w:val="FootnoteText"/>
        <w:rPr>
          <w:lang w:val="en-US"/>
        </w:rPr>
      </w:pPr>
      <w:r>
        <w:rPr>
          <w:rStyle w:val="FootnoteReference"/>
        </w:rPr>
        <w:footnoteRef/>
      </w:r>
      <w:r>
        <w:t xml:space="preserve"> </w:t>
      </w:r>
      <w:r w:rsidRPr="00096BF3">
        <w:t>Data Subject Categorisation (DSC) refers to the requirement under the Europol Regulation to assign each personal data record processed by Europol to a specific category of data subject (such as suspects, convicted persons, potential future offenders, victims, witnesses or other contacts and associates), together with corresponding conditions governing the processing and retention of such data. This categorisation aims to ensure compliance with EU data protection rules but can limit the ability to process certain datasets where the status of individuals cannot be clearly determined at the time the data are received.</w:t>
      </w:r>
    </w:p>
  </w:footnote>
  <w:footnote w:id="62">
    <w:p w14:paraId="392FF092" w14:textId="07B1E4D7" w:rsidR="004A765C" w:rsidRPr="00C2796A" w:rsidRDefault="004A765C" w:rsidP="004A765C">
      <w:pPr>
        <w:pStyle w:val="FootnoteText"/>
        <w:rPr>
          <w:lang w:val="en-IE"/>
        </w:rPr>
      </w:pPr>
      <w:r w:rsidRPr="00C2796A">
        <w:rPr>
          <w:rStyle w:val="FootnoteReference"/>
        </w:rPr>
        <w:footnoteRef/>
      </w:r>
      <w:r w:rsidR="009870BF">
        <w:t xml:space="preserve"> The 2025 European Union serious and organised crime threat assessment, (</w:t>
      </w:r>
      <w:r w:rsidR="002901BC">
        <w:t>EU</w:t>
      </w:r>
      <w:r w:rsidR="006F42D9">
        <w:t>-</w:t>
      </w:r>
      <w:r>
        <w:t>SOCTA</w:t>
      </w:r>
      <w:r w:rsidR="006F42D9">
        <w:t xml:space="preserve"> 2025</w:t>
      </w:r>
      <w:r w:rsidR="009870BF">
        <w:t>)</w:t>
      </w:r>
      <w:r>
        <w:t>.</w:t>
      </w:r>
    </w:p>
  </w:footnote>
  <w:footnote w:id="63">
    <w:p w14:paraId="276A5E7C" w14:textId="27A0E3A0" w:rsidR="004979B5" w:rsidRPr="00D45E65" w:rsidRDefault="004979B5">
      <w:pPr>
        <w:pStyle w:val="FootnoteText"/>
        <w:rPr>
          <w:lang w:val="en-IE"/>
        </w:rPr>
      </w:pPr>
      <w:r>
        <w:rPr>
          <w:rStyle w:val="FootnoteReference"/>
        </w:rPr>
        <w:footnoteRef/>
      </w:r>
      <w:r>
        <w:t xml:space="preserve"> </w:t>
      </w:r>
      <w:r w:rsidR="007248CF">
        <w:rPr>
          <w:rFonts w:eastAsia="Times New Roman"/>
        </w:rPr>
        <w:t>ICF (March 202</w:t>
      </w:r>
      <w:r w:rsidR="007C51A5">
        <w:rPr>
          <w:rFonts w:eastAsia="Times New Roman"/>
        </w:rPr>
        <w:t>6</w:t>
      </w:r>
      <w:r w:rsidR="007248CF">
        <w:rPr>
          <w:rFonts w:eastAsia="Times New Roman"/>
        </w:rPr>
        <w:t xml:space="preserve">), Draft Final Report of the </w:t>
      </w:r>
      <w:r w:rsidR="007248CF" w:rsidRPr="000F67DC">
        <w:rPr>
          <w:rFonts w:eastAsia="Times New Roman"/>
        </w:rPr>
        <w:t>Study supporting the evaluation and the impact assessment of the Europol Regulation</w:t>
      </w:r>
      <w:r w:rsidR="00320996">
        <w:rPr>
          <w:rFonts w:eastAsia="Times New Roman"/>
        </w:rPr>
        <w:t xml:space="preserve">, Annex </w:t>
      </w:r>
      <w:r w:rsidR="009F0D54">
        <w:rPr>
          <w:rFonts w:eastAsia="Times New Roman"/>
        </w:rPr>
        <w:t>10</w:t>
      </w:r>
      <w:r w:rsidR="00B244B9">
        <w:rPr>
          <w:rFonts w:eastAsia="Times New Roman"/>
        </w:rPr>
        <w:t>.3.1</w:t>
      </w:r>
      <w:r w:rsidR="008C2A49" w:rsidRPr="008C2A49">
        <w:t>.</w:t>
      </w:r>
    </w:p>
  </w:footnote>
  <w:footnote w:id="64">
    <w:p w14:paraId="5E74322A" w14:textId="3BF81CAD" w:rsidR="007820F4" w:rsidRPr="00730429" w:rsidRDefault="007820F4" w:rsidP="007820F4">
      <w:pPr>
        <w:pStyle w:val="FootnoteText"/>
        <w:rPr>
          <w:lang w:val="en-IE"/>
        </w:rPr>
      </w:pPr>
      <w:r>
        <w:rPr>
          <w:rStyle w:val="FootnoteReference"/>
        </w:rPr>
        <w:footnoteRef/>
      </w:r>
      <w:r>
        <w:t xml:space="preserve"> </w:t>
      </w:r>
      <w:r w:rsidRPr="00730429">
        <w:t xml:space="preserve">Under </w:t>
      </w:r>
      <w:r w:rsidR="00B30F85">
        <w:t>the Europol Regulation</w:t>
      </w:r>
      <w:r w:rsidRPr="00730429">
        <w:t>, Europol may support investigations, coordinate operational actions and participate in Joint Investigation Teams, but it cannot initiate investigations or conduct operational activities without the agreement of the Member States concerned.</w:t>
      </w:r>
    </w:p>
  </w:footnote>
  <w:footnote w:id="65">
    <w:p w14:paraId="100073FF" w14:textId="68EC0068" w:rsidR="00BE273E" w:rsidRPr="00BE273E" w:rsidRDefault="00BE273E">
      <w:pPr>
        <w:pStyle w:val="FootnoteText"/>
      </w:pPr>
      <w:r>
        <w:rPr>
          <w:rStyle w:val="FootnoteReference"/>
        </w:rPr>
        <w:footnoteRef/>
      </w:r>
      <w:r>
        <w:t xml:space="preserve"> </w:t>
      </w:r>
      <w:r w:rsidR="00D43F20" w:rsidRPr="00D43F20">
        <w:t>Evaluation evidence</w:t>
      </w:r>
      <w:r w:rsidR="00A83B5F">
        <w:t>, from the s</w:t>
      </w:r>
      <w:r w:rsidR="00A83B5F" w:rsidRPr="008C2A49">
        <w:t>tudy supporting the evaluation and impact assessment of the Europol Regulation</w:t>
      </w:r>
      <w:r w:rsidR="00A83B5F">
        <w:t>,</w:t>
      </w:r>
      <w:r w:rsidR="00A83B5F" w:rsidRPr="008C2A49">
        <w:t xml:space="preserve"> </w:t>
      </w:r>
      <w:r w:rsidR="00A83B5F" w:rsidRPr="00D43F20">
        <w:t>indicates</w:t>
      </w:r>
      <w:r w:rsidR="00D43F20" w:rsidRPr="00D43F20">
        <w:t xml:space="preserve"> that </w:t>
      </w:r>
      <w:r w:rsidRPr="00BE273E">
        <w:t>Europol’s operational support is often mobilised only at a relatively advanced stage of national investigations</w:t>
      </w:r>
      <w:r w:rsidR="00A83B5F">
        <w:t>.</w:t>
      </w:r>
    </w:p>
  </w:footnote>
  <w:footnote w:id="66">
    <w:p w14:paraId="7E3F2A3A" w14:textId="080AFD21" w:rsidR="00480CA5" w:rsidRPr="00480CA5" w:rsidRDefault="00480CA5">
      <w:pPr>
        <w:pStyle w:val="FootnoteText"/>
      </w:pPr>
      <w:r>
        <w:rPr>
          <w:rStyle w:val="FootnoteReference"/>
        </w:rPr>
        <w:footnoteRef/>
      </w:r>
      <w:r>
        <w:t xml:space="preserve"> </w:t>
      </w:r>
      <w:r w:rsidR="006646A8">
        <w:t>“</w:t>
      </w:r>
      <w:r w:rsidR="006646A8" w:rsidRPr="006646A8">
        <w:t>Case study evidence on Europol’s operational centres confirms that the agency’s support often focuses on strengthening ongoing investigations rather than shaping investigative strategies from the outset</w:t>
      </w:r>
      <w:r w:rsidR="006646A8">
        <w:t>”</w:t>
      </w:r>
      <w:r w:rsidR="00F312D6">
        <w:t>, ibid.</w:t>
      </w:r>
    </w:p>
  </w:footnote>
  <w:footnote w:id="67">
    <w:p w14:paraId="5708EBF0" w14:textId="4E869ECD" w:rsidR="00727106" w:rsidRPr="006A09FA" w:rsidRDefault="00727106">
      <w:pPr>
        <w:pStyle w:val="FootnoteText"/>
        <w:rPr>
          <w:lang w:val="en-IE"/>
        </w:rPr>
      </w:pPr>
      <w:r>
        <w:rPr>
          <w:rStyle w:val="FootnoteReference"/>
        </w:rPr>
        <w:footnoteRef/>
      </w:r>
      <w:r>
        <w:t xml:space="preserve"> </w:t>
      </w:r>
      <w:r w:rsidR="00085AC1">
        <w:t xml:space="preserve">ICF (March 2026) </w:t>
      </w:r>
      <w:r w:rsidR="00085AC1" w:rsidRPr="7BB32C2F">
        <w:t>Study supporting the evaluation and the impact assessment of the Europol Regulation</w:t>
      </w:r>
      <w:r w:rsidR="00085AC1">
        <w:rPr>
          <w:lang w:val="en-IE"/>
        </w:rPr>
        <w:t xml:space="preserve"> - </w:t>
      </w:r>
      <w:r w:rsidR="00BA3F1C">
        <w:rPr>
          <w:lang w:val="en-IE"/>
        </w:rPr>
        <w:t xml:space="preserve">“Limited timeliness of replies via SIENA” is mentioned as a barrier </w:t>
      </w:r>
      <w:r w:rsidR="00B559B6">
        <w:rPr>
          <w:lang w:val="en-IE"/>
        </w:rPr>
        <w:t xml:space="preserve">by 40% of respondents, </w:t>
      </w:r>
      <w:r w:rsidR="00322DBD">
        <w:rPr>
          <w:lang w:val="en-IE"/>
        </w:rPr>
        <w:t>Figure A7.27,</w:t>
      </w:r>
      <w:r w:rsidR="00B559B6">
        <w:rPr>
          <w:lang w:val="en-IE"/>
        </w:rPr>
        <w:t xml:space="preserve"> </w:t>
      </w:r>
      <w:r w:rsidR="00B559B6" w:rsidRPr="00505009">
        <w:t xml:space="preserve">Annex </w:t>
      </w:r>
      <w:r w:rsidR="00505009" w:rsidRPr="00116AAD">
        <w:t>7</w:t>
      </w:r>
      <w:r w:rsidR="004860F2">
        <w:t>.</w:t>
      </w:r>
      <w:r w:rsidR="00B559B6">
        <w:rPr>
          <w:lang w:val="en-IE"/>
        </w:rPr>
        <w:t xml:space="preserve"> </w:t>
      </w:r>
      <w:r w:rsidR="00840547">
        <w:rPr>
          <w:lang w:val="en-IE"/>
        </w:rPr>
        <w:t>Interview</w:t>
      </w:r>
      <w:r w:rsidR="00D170EB">
        <w:rPr>
          <w:lang w:val="en-IE"/>
        </w:rPr>
        <w:t xml:space="preserve">s with national authorities </w:t>
      </w:r>
      <w:r w:rsidR="00F13498">
        <w:rPr>
          <w:lang w:val="en-IE"/>
        </w:rPr>
        <w:t>highlighted</w:t>
      </w:r>
      <w:r w:rsidR="00D170EB">
        <w:rPr>
          <w:lang w:val="en-IE"/>
        </w:rPr>
        <w:t xml:space="preserve"> </w:t>
      </w:r>
      <w:r w:rsidR="00F13498" w:rsidRPr="00F13498">
        <w:t>the time required to obtain analytical outputs from Europol can be significant in cases involving large or technically complex datasets</w:t>
      </w:r>
      <w:r w:rsidR="001A2FEC">
        <w:t>.</w:t>
      </w:r>
    </w:p>
  </w:footnote>
  <w:footnote w:id="68">
    <w:p w14:paraId="09125809" w14:textId="268C3CD5" w:rsidR="00EC4057" w:rsidRPr="00EC4057" w:rsidRDefault="00EC4057">
      <w:pPr>
        <w:pStyle w:val="FootnoteText"/>
      </w:pPr>
      <w:r>
        <w:rPr>
          <w:rStyle w:val="FootnoteReference"/>
        </w:rPr>
        <w:footnoteRef/>
      </w:r>
      <w:r>
        <w:t xml:space="preserve"> </w:t>
      </w:r>
      <w:r w:rsidR="00737EEB" w:rsidRPr="00737EEB">
        <w:t>Comparative analysis shows that scaling occurs only where an EU actor combines a clear legal mandate with an operational or coordinating role and sufficient convening power. Where such a mandate is absent, innovation remains locked at pilot level by design, regardless of technical maturity or demonstrated usefulness</w:t>
      </w:r>
      <w:r w:rsidR="00737EEB">
        <w:t xml:space="preserve">. </w:t>
      </w:r>
      <w:r w:rsidRPr="00EC4057">
        <w:t xml:space="preserve">Study on strengthening EU-funded security research and innovation – 20 years of EU-Funded Civil Security R&amp;I (DG HOME, 2025) </w:t>
      </w:r>
    </w:p>
  </w:footnote>
  <w:footnote w:id="69">
    <w:p w14:paraId="7E2C253D" w14:textId="74C8CA3B" w:rsidR="00750A3C" w:rsidRPr="00750A3C" w:rsidRDefault="00750A3C">
      <w:pPr>
        <w:pStyle w:val="FootnoteText"/>
      </w:pPr>
      <w:r>
        <w:rPr>
          <w:rStyle w:val="FootnoteReference"/>
        </w:rPr>
        <w:footnoteRef/>
      </w:r>
      <w:r>
        <w:t xml:space="preserve"> </w:t>
      </w:r>
      <w:r w:rsidR="00F953E1">
        <w:t>See Joint Statement by the European Police Chiefs on the Future Development of Europol. Moreover, t</w:t>
      </w:r>
      <w:r w:rsidR="005755CF">
        <w:t>he results of the public consultation show strong</w:t>
      </w:r>
      <w:r w:rsidRPr="00750A3C">
        <w:t xml:space="preserve"> support for enhancing Europol’s technological and innovation capabilities</w:t>
      </w:r>
      <w:r w:rsidR="00DC289B">
        <w:t xml:space="preserve">, </w:t>
      </w:r>
      <w:r w:rsidR="00154A3B">
        <w:t xml:space="preserve">see the factual summary report registered under </w:t>
      </w:r>
      <w:r w:rsidR="00154A3B" w:rsidRPr="00154A3B">
        <w:t xml:space="preserve">Ares(2026)2806442 </w:t>
      </w:r>
      <w:r w:rsidR="00154A3B">
        <w:t>and published at</w:t>
      </w:r>
      <w:r w:rsidR="00DC289B">
        <w:t xml:space="preserve"> </w:t>
      </w:r>
      <w:hyperlink r:id="rId3" w:history="1">
        <w:r w:rsidR="00E05608" w:rsidRPr="00320970">
          <w:rPr>
            <w:rStyle w:val="Hyperlink"/>
          </w:rPr>
          <w:t>https://ec.europa.eu/info/law/better-regulation/have-your-say/initiatives/14638-Law-enforcement-cooperation-new-Europol-regulation-proposal-/public-consultation_en</w:t>
        </w:r>
      </w:hyperlink>
      <w:r w:rsidR="00B51254">
        <w:t>.</w:t>
      </w:r>
    </w:p>
  </w:footnote>
  <w:footnote w:id="70">
    <w:p w14:paraId="4DDAC0D2" w14:textId="763BA881" w:rsidR="00F52863" w:rsidRPr="00BF5458" w:rsidRDefault="00F52863" w:rsidP="00F52863">
      <w:pPr>
        <w:pStyle w:val="FootnoteText"/>
      </w:pPr>
      <w:r>
        <w:rPr>
          <w:rStyle w:val="FootnoteReference"/>
        </w:rPr>
        <w:footnoteRef/>
      </w:r>
      <w:r>
        <w:t xml:space="preserve"> </w:t>
      </w:r>
      <w:r w:rsidRPr="00F46496">
        <w:rPr>
          <w:rFonts w:eastAsia="Arial"/>
          <w:color w:val="000000" w:themeColor="text1"/>
        </w:rPr>
        <w:t>For instance, Europol’s Innovation Lab and EU-funded projects run “sandboxes” to experiment with AI algorithms</w:t>
      </w:r>
      <w:r w:rsidR="00384FF0">
        <w:rPr>
          <w:rFonts w:eastAsia="Arial"/>
          <w:color w:val="000000" w:themeColor="text1"/>
        </w:rPr>
        <w:t xml:space="preserve">; </w:t>
      </w:r>
      <w:r w:rsidR="00384FF0" w:rsidRPr="00384FF0">
        <w:rPr>
          <w:rFonts w:eastAsia="Arial"/>
          <w:color w:val="000000" w:themeColor="text1"/>
        </w:rPr>
        <w:t>however, due to</w:t>
      </w:r>
      <w:r w:rsidRPr="00F46496">
        <w:rPr>
          <w:rFonts w:eastAsia="Arial"/>
          <w:color w:val="000000" w:themeColor="text1"/>
        </w:rPr>
        <w:t xml:space="preserve"> data protection </w:t>
      </w:r>
      <w:r w:rsidR="00384FF0" w:rsidRPr="00384FF0">
        <w:rPr>
          <w:rFonts w:eastAsia="Arial"/>
          <w:color w:val="000000" w:themeColor="text1"/>
        </w:rPr>
        <w:t>constraints, these activities cannot rely on real operational</w:t>
      </w:r>
      <w:r w:rsidRPr="00F46496">
        <w:rPr>
          <w:rFonts w:eastAsia="Arial"/>
          <w:color w:val="000000" w:themeColor="text1"/>
        </w:rPr>
        <w:t xml:space="preserve"> crime data.</w:t>
      </w:r>
    </w:p>
  </w:footnote>
  <w:footnote w:id="71">
    <w:p w14:paraId="51A346D4" w14:textId="6BF0E901" w:rsidR="00A3495A" w:rsidRPr="00A3495A" w:rsidRDefault="00A3495A">
      <w:pPr>
        <w:pStyle w:val="FootnoteText"/>
        <w:rPr>
          <w:lang w:val="en-IE"/>
        </w:rPr>
      </w:pPr>
      <w:r>
        <w:rPr>
          <w:rStyle w:val="FootnoteReference"/>
        </w:rPr>
        <w:footnoteRef/>
      </w:r>
      <w:r w:rsidRPr="00A3495A">
        <w:rPr>
          <w:lang w:val="en-IE"/>
        </w:rPr>
        <w:t xml:space="preserve"> </w:t>
      </w:r>
      <w:r w:rsidR="00D04A22">
        <w:rPr>
          <w:lang w:val="en-IE"/>
        </w:rPr>
        <w:t xml:space="preserve">The </w:t>
      </w:r>
      <w:r w:rsidRPr="00A3495A">
        <w:rPr>
          <w:lang w:val="en-IE"/>
        </w:rPr>
        <w:t>EPPO</w:t>
      </w:r>
      <w:r w:rsidR="002C07E1">
        <w:rPr>
          <w:lang w:val="en-IE"/>
        </w:rPr>
        <w:t xml:space="preserve"> (November 2025)</w:t>
      </w:r>
      <w:r w:rsidRPr="00A3495A">
        <w:rPr>
          <w:lang w:val="en-IE"/>
        </w:rPr>
        <w:t xml:space="preserve">, Note </w:t>
      </w:r>
      <w:r w:rsidR="00A736F2">
        <w:rPr>
          <w:lang w:val="en-IE"/>
        </w:rPr>
        <w:t>[</w:t>
      </w:r>
      <w:r w:rsidRPr="00A3495A">
        <w:rPr>
          <w:lang w:val="en-IE"/>
        </w:rPr>
        <w:t>to DG HOME</w:t>
      </w:r>
      <w:r>
        <w:rPr>
          <w:lang w:val="en-IE"/>
        </w:rPr>
        <w:t xml:space="preserve"> </w:t>
      </w:r>
      <w:r w:rsidR="008A7249">
        <w:rPr>
          <w:lang w:val="en-IE"/>
        </w:rPr>
        <w:t>of the European Commission</w:t>
      </w:r>
      <w:r w:rsidR="00A736F2">
        <w:rPr>
          <w:lang w:val="en-IE"/>
        </w:rPr>
        <w:t>]</w:t>
      </w:r>
      <w:r w:rsidR="008A7249">
        <w:rPr>
          <w:lang w:val="en-IE"/>
        </w:rPr>
        <w:t xml:space="preserve"> </w:t>
      </w:r>
      <w:r w:rsidR="00A736F2">
        <w:rPr>
          <w:lang w:val="en-IE"/>
        </w:rPr>
        <w:t>on improving the cooperation between the EPPO and Europol</w:t>
      </w:r>
      <w:r w:rsidR="008A7249">
        <w:rPr>
          <w:lang w:val="en-IE"/>
        </w:rPr>
        <w:t>.</w:t>
      </w:r>
      <w:r>
        <w:rPr>
          <w:lang w:val="en-IE"/>
        </w:rPr>
        <w:t xml:space="preserve"> </w:t>
      </w:r>
      <w:r w:rsidR="00C9589A">
        <w:rPr>
          <w:lang w:val="en-IE"/>
        </w:rPr>
        <w:t>See also</w:t>
      </w:r>
      <w:r w:rsidR="0096707E">
        <w:rPr>
          <w:lang w:val="en-IE"/>
        </w:rPr>
        <w:t xml:space="preserve"> ICF (March 2026), </w:t>
      </w:r>
      <w:r w:rsidR="009A6584">
        <w:rPr>
          <w:lang w:val="en-IE"/>
        </w:rPr>
        <w:t xml:space="preserve">Draft Final Report of the </w:t>
      </w:r>
      <w:r w:rsidR="0096707E">
        <w:rPr>
          <w:lang w:val="en-IE"/>
        </w:rPr>
        <w:t>Study supporting the evaluation and impact assessment of the Europol Regulation,</w:t>
      </w:r>
      <w:r w:rsidR="00C9589A">
        <w:rPr>
          <w:lang w:val="en-IE"/>
        </w:rPr>
        <w:t xml:space="preserve"> sub-driver 2.5.3 ‘Legal and mandate limitations hinder cooperation with EPPO’</w:t>
      </w:r>
      <w:r w:rsidR="00B51AAA">
        <w:rPr>
          <w:lang w:val="en-IE"/>
        </w:rPr>
        <w:t>.</w:t>
      </w:r>
    </w:p>
  </w:footnote>
  <w:footnote w:id="72">
    <w:p w14:paraId="5AD936D9" w14:textId="77777777" w:rsidR="00A42103" w:rsidRPr="00176256" w:rsidRDefault="00A42103" w:rsidP="00A42103">
      <w:pPr>
        <w:pStyle w:val="FootnoteText"/>
      </w:pPr>
      <w:r>
        <w:rPr>
          <w:rStyle w:val="FootnoteReference"/>
        </w:rPr>
        <w:footnoteRef/>
      </w:r>
      <w:r>
        <w:t xml:space="preserve"> ibid. </w:t>
      </w:r>
    </w:p>
  </w:footnote>
  <w:footnote w:id="73">
    <w:p w14:paraId="79EA3221" w14:textId="54325D03" w:rsidR="00C9589A" w:rsidRPr="00C9589A" w:rsidRDefault="00C9589A">
      <w:pPr>
        <w:pStyle w:val="FootnoteText"/>
      </w:pPr>
      <w:r>
        <w:rPr>
          <w:rStyle w:val="FootnoteReference"/>
        </w:rPr>
        <w:footnoteRef/>
      </w:r>
      <w:r>
        <w:t xml:space="preserve"> In accordance with the </w:t>
      </w:r>
      <w:r w:rsidRPr="00DE492D">
        <w:rPr>
          <w:rFonts w:eastAsia="Arial"/>
          <w:color w:val="000000" w:themeColor="text1"/>
        </w:rPr>
        <w:t>data ownership principle</w:t>
      </w:r>
      <w:r>
        <w:rPr>
          <w:rFonts w:eastAsia="Arial"/>
          <w:color w:val="000000" w:themeColor="text1"/>
        </w:rPr>
        <w:t xml:space="preserve"> established in </w:t>
      </w:r>
      <w:r w:rsidRPr="0082690B">
        <w:rPr>
          <w:rFonts w:eastAsia="Arial"/>
          <w:color w:val="000000" w:themeColor="text1"/>
        </w:rPr>
        <w:t xml:space="preserve">Article </w:t>
      </w:r>
      <w:r w:rsidR="00BF32F4" w:rsidRPr="0082690B">
        <w:rPr>
          <w:rFonts w:eastAsia="Arial"/>
          <w:color w:val="000000" w:themeColor="text1"/>
        </w:rPr>
        <w:t>19</w:t>
      </w:r>
      <w:r>
        <w:rPr>
          <w:rFonts w:eastAsia="Arial"/>
          <w:color w:val="000000" w:themeColor="text1"/>
        </w:rPr>
        <w:t xml:space="preserve"> </w:t>
      </w:r>
      <w:r w:rsidR="00186ABF">
        <w:rPr>
          <w:rFonts w:eastAsia="Arial"/>
          <w:color w:val="000000" w:themeColor="text1"/>
        </w:rPr>
        <w:t>ER</w:t>
      </w:r>
      <w:r>
        <w:rPr>
          <w:rFonts w:eastAsia="Arial"/>
          <w:color w:val="000000" w:themeColor="text1"/>
        </w:rPr>
        <w:t>.</w:t>
      </w:r>
    </w:p>
  </w:footnote>
  <w:footnote w:id="74">
    <w:p w14:paraId="43F3C265" w14:textId="38986E57" w:rsidR="00D85689" w:rsidRPr="00D85689" w:rsidRDefault="00D85689">
      <w:pPr>
        <w:pStyle w:val="FootnoteText"/>
      </w:pPr>
      <w:r>
        <w:rPr>
          <w:rStyle w:val="FootnoteReference"/>
        </w:rPr>
        <w:footnoteRef/>
      </w:r>
      <w:r>
        <w:t xml:space="preserve"> </w:t>
      </w:r>
      <w:r w:rsidR="00987BB0" w:rsidRPr="00987BB0">
        <w:t xml:space="preserve">Although the EPPO may obtain the same information directly from the Member State concerned under Regulation (EU) 2017/1939, this indirect route duplicates exchanges and may delay access to relevant information, in some cases by up to two months, as indicated by the EPPO </w:t>
      </w:r>
      <w:r w:rsidR="00255776">
        <w:t>at</w:t>
      </w:r>
      <w:r w:rsidR="00987BB0" w:rsidRPr="00987BB0">
        <w:t xml:space="preserve"> the </w:t>
      </w:r>
      <w:r w:rsidR="00255776">
        <w:t>t</w:t>
      </w:r>
      <w:r w:rsidR="00987BB0" w:rsidRPr="00987BB0">
        <w:t xml:space="preserve">hird </w:t>
      </w:r>
      <w:r w:rsidR="00255776">
        <w:t>t</w:t>
      </w:r>
      <w:r w:rsidR="00987BB0" w:rsidRPr="00987BB0">
        <w:t xml:space="preserve">hematic </w:t>
      </w:r>
      <w:r w:rsidR="00255776">
        <w:t>e</w:t>
      </w:r>
      <w:r w:rsidR="00987BB0" w:rsidRPr="00987BB0">
        <w:t xml:space="preserve">xpert </w:t>
      </w:r>
      <w:r w:rsidR="00255776">
        <w:t>w</w:t>
      </w:r>
      <w:r w:rsidR="00987BB0" w:rsidRPr="00987BB0">
        <w:t xml:space="preserve">orkshop on the </w:t>
      </w:r>
      <w:r w:rsidR="00255776">
        <w:t>f</w:t>
      </w:r>
      <w:r w:rsidR="00987BB0" w:rsidRPr="00987BB0">
        <w:t>uture of Europ</w:t>
      </w:r>
      <w:r w:rsidR="00987BB0">
        <w:t>ol</w:t>
      </w:r>
      <w:r w:rsidR="005E35A8">
        <w:t xml:space="preserve">, </w:t>
      </w:r>
      <w:r w:rsidR="00255776">
        <w:t>see Annex II</w:t>
      </w:r>
      <w:r w:rsidR="00987BB0">
        <w:t>.</w:t>
      </w:r>
    </w:p>
  </w:footnote>
  <w:footnote w:id="75">
    <w:p w14:paraId="2ACCB966" w14:textId="66D45DC6" w:rsidR="00E701D8" w:rsidRPr="0082690B" w:rsidRDefault="00E701D8">
      <w:pPr>
        <w:pStyle w:val="FootnoteText"/>
        <w:rPr>
          <w:lang w:val="en-IE"/>
        </w:rPr>
      </w:pPr>
      <w:r>
        <w:rPr>
          <w:rStyle w:val="FootnoteReference"/>
        </w:rPr>
        <w:footnoteRef/>
      </w:r>
      <w:r>
        <w:t xml:space="preserve"> </w:t>
      </w:r>
      <w:r w:rsidR="00246FD9">
        <w:t xml:space="preserve">Communication from the Commission to the European Parliament, the Council, The European economic and social committee and the Committee of the regions on </w:t>
      </w:r>
      <w:r>
        <w:rPr>
          <w:lang w:val="en-IE"/>
        </w:rPr>
        <w:t>ProtectEU</w:t>
      </w:r>
      <w:r w:rsidR="00246FD9">
        <w:rPr>
          <w:lang w:val="en-IE"/>
        </w:rPr>
        <w:t>: a European Internal Security</w:t>
      </w:r>
      <w:r w:rsidR="00AB7C8D">
        <w:rPr>
          <w:lang w:val="en-IE"/>
        </w:rPr>
        <w:t xml:space="preserve"> Strategy</w:t>
      </w:r>
      <w:r w:rsidR="00246FD9">
        <w:rPr>
          <w:lang w:val="en-IE"/>
        </w:rPr>
        <w:t xml:space="preserve"> </w:t>
      </w:r>
      <w:proofErr w:type="gramStart"/>
      <w:r w:rsidR="00246FD9">
        <w:rPr>
          <w:lang w:val="en-IE"/>
        </w:rPr>
        <w:t>COM(</w:t>
      </w:r>
      <w:proofErr w:type="gramEnd"/>
      <w:r w:rsidR="00246FD9">
        <w:rPr>
          <w:lang w:val="en-IE"/>
        </w:rPr>
        <w:t>2025) 148 final</w:t>
      </w:r>
      <w:r>
        <w:rPr>
          <w:lang w:val="en-IE"/>
        </w:rPr>
        <w:t>.</w:t>
      </w:r>
    </w:p>
  </w:footnote>
  <w:footnote w:id="76">
    <w:p w14:paraId="34FF1283" w14:textId="56FBC60B" w:rsidR="0070048B" w:rsidRPr="00116AAD" w:rsidRDefault="0070048B">
      <w:pPr>
        <w:pStyle w:val="FootnoteText"/>
        <w:rPr>
          <w:lang w:val="en-IE"/>
        </w:rPr>
      </w:pPr>
      <w:r>
        <w:rPr>
          <w:rStyle w:val="FootnoteReference"/>
        </w:rPr>
        <w:footnoteRef/>
      </w:r>
      <w:r>
        <w:t xml:space="preserve"> </w:t>
      </w:r>
      <w:r w:rsidR="00B35D3C">
        <w:t xml:space="preserve">The data on </w:t>
      </w:r>
      <w:r w:rsidR="00D05266">
        <w:t>the de</w:t>
      </w:r>
      <w:r w:rsidR="007A0212">
        <w:t xml:space="preserve">briefing interview reports </w:t>
      </w:r>
      <w:r w:rsidR="00B24B31">
        <w:t>sent by Frontex to Europol</w:t>
      </w:r>
      <w:r w:rsidR="007A0212">
        <w:t xml:space="preserve">, which amounted only to </w:t>
      </w:r>
      <w:r w:rsidR="00527D10">
        <w:t xml:space="preserve">40 </w:t>
      </w:r>
      <w:r w:rsidR="007A0212">
        <w:t xml:space="preserve">in 2025, exemplifies </w:t>
      </w:r>
      <w:r w:rsidR="00B24B31">
        <w:t xml:space="preserve">the overly limited </w:t>
      </w:r>
      <w:r w:rsidR="007A0212">
        <w:t xml:space="preserve">exchange of </w:t>
      </w:r>
      <w:r w:rsidR="00B24B31">
        <w:t xml:space="preserve">operational </w:t>
      </w:r>
      <w:r w:rsidR="007A0212">
        <w:t xml:space="preserve">information between the two agencies. </w:t>
      </w:r>
      <w:r w:rsidR="00C459D5">
        <w:t xml:space="preserve">The Commission </w:t>
      </w:r>
      <w:r w:rsidR="00420B89">
        <w:t xml:space="preserve">has analysed the </w:t>
      </w:r>
      <w:r w:rsidR="00FB4564">
        <w:t xml:space="preserve">problem driver </w:t>
      </w:r>
      <w:r w:rsidR="00E87463">
        <w:t xml:space="preserve">in the impact assessment </w:t>
      </w:r>
      <w:r w:rsidR="00577213">
        <w:t>for</w:t>
      </w:r>
      <w:r w:rsidR="00E87463">
        <w:t xml:space="preserve"> the revision of Frontex and </w:t>
      </w:r>
      <w:r w:rsidR="003D1A07">
        <w:t>may</w:t>
      </w:r>
      <w:r w:rsidR="00C459D5">
        <w:t xml:space="preserve"> </w:t>
      </w:r>
      <w:r w:rsidR="00E87463">
        <w:t xml:space="preserve">accordingly </w:t>
      </w:r>
      <w:r w:rsidR="00C459D5">
        <w:t xml:space="preserve">propose to address the </w:t>
      </w:r>
      <w:r w:rsidR="00577213">
        <w:t xml:space="preserve">identified </w:t>
      </w:r>
      <w:r w:rsidR="00C459D5">
        <w:t xml:space="preserve">shortcomings in </w:t>
      </w:r>
      <w:r w:rsidR="00CB0BB7">
        <w:t>Article 90</w:t>
      </w:r>
      <w:r w:rsidR="0085547F">
        <w:t xml:space="preserve"> of the</w:t>
      </w:r>
      <w:r w:rsidR="00CB0BB7">
        <w:t xml:space="preserve"> </w:t>
      </w:r>
      <w:r w:rsidR="00C459D5">
        <w:t>ECBG</w:t>
      </w:r>
      <w:r w:rsidR="0085547F">
        <w:t>A</w:t>
      </w:r>
      <w:r w:rsidR="00C459D5">
        <w:t xml:space="preserve"> </w:t>
      </w:r>
      <w:r w:rsidR="00E87463">
        <w:t xml:space="preserve">Regulation </w:t>
      </w:r>
      <w:r w:rsidR="00577213">
        <w:t>and its implementation through the upcoming legislative initiative on Frontex.</w:t>
      </w:r>
    </w:p>
  </w:footnote>
  <w:footnote w:id="77">
    <w:p w14:paraId="4ADAA7EF" w14:textId="3116FC1E" w:rsidR="002D7242" w:rsidRPr="00555968" w:rsidRDefault="002D7242" w:rsidP="002D7242">
      <w:pPr>
        <w:pStyle w:val="FootnoteText"/>
        <w:rPr>
          <w:lang w:val="en-IE"/>
        </w:rPr>
      </w:pPr>
      <w:r>
        <w:rPr>
          <w:rStyle w:val="FootnoteReference"/>
        </w:rPr>
        <w:footnoteRef/>
      </w:r>
      <w:r>
        <w:t xml:space="preserve"> </w:t>
      </w:r>
      <w:r w:rsidRPr="00454BE5">
        <w:t>The recent reform of the EU anti-money laundering framework created a new institutional architecture centred on AMLA, but Europol currently lacks a formal interface to exchange operational information with AMLA</w:t>
      </w:r>
      <w:r>
        <w:t>, which in turn contributes to the fragmentation of the EU financial intelligence landscape</w:t>
      </w:r>
      <w:r w:rsidRPr="00454BE5">
        <w:t>.</w:t>
      </w:r>
      <w:r>
        <w:t xml:space="preserve"> </w:t>
      </w:r>
      <w:r>
        <w:rPr>
          <w:lang w:val="en-IE"/>
        </w:rPr>
        <w:t>See sub-driver 2.5.4 ‘Unclear division of roles and weak operational integration between Europol and AMLA’, Study supporting the evaluation and impact assessment of the E</w:t>
      </w:r>
      <w:r w:rsidR="001F4793">
        <w:rPr>
          <w:lang w:val="en-IE"/>
        </w:rPr>
        <w:t xml:space="preserve">uropol </w:t>
      </w:r>
      <w:r>
        <w:rPr>
          <w:lang w:val="en-IE"/>
        </w:rPr>
        <w:t>R</w:t>
      </w:r>
      <w:r w:rsidR="001F4793">
        <w:rPr>
          <w:lang w:val="en-IE"/>
        </w:rPr>
        <w:t>egulation</w:t>
      </w:r>
      <w:r w:rsidR="00CA6D37">
        <w:rPr>
          <w:lang w:val="en-IE"/>
        </w:rPr>
        <w:t>,</w:t>
      </w:r>
      <w:r w:rsidR="00FF7AD1">
        <w:rPr>
          <w:lang w:val="en-IE"/>
        </w:rPr>
        <w:t xml:space="preserve"> </w:t>
      </w:r>
      <w:r>
        <w:rPr>
          <w:lang w:val="en-IE"/>
        </w:rPr>
        <w:t xml:space="preserve">interim report, </w:t>
      </w:r>
      <w:r w:rsidR="00E15164">
        <w:rPr>
          <w:lang w:val="en-IE"/>
        </w:rPr>
        <w:t>January</w:t>
      </w:r>
      <w:r>
        <w:rPr>
          <w:lang w:val="en-IE"/>
        </w:rPr>
        <w:t xml:space="preserve"> 202</w:t>
      </w:r>
      <w:r w:rsidR="00E15164">
        <w:rPr>
          <w:lang w:val="en-IE"/>
        </w:rPr>
        <w:t>6</w:t>
      </w:r>
      <w:r>
        <w:rPr>
          <w:lang w:val="en-IE"/>
        </w:rPr>
        <w:t>.</w:t>
      </w:r>
    </w:p>
  </w:footnote>
  <w:footnote w:id="78">
    <w:p w14:paraId="0E86D6F2" w14:textId="70E25F17" w:rsidR="00D623A9" w:rsidRPr="00D623A9" w:rsidRDefault="00D623A9">
      <w:pPr>
        <w:pStyle w:val="FootnoteText"/>
      </w:pPr>
      <w:r>
        <w:rPr>
          <w:rStyle w:val="FootnoteReference"/>
        </w:rPr>
        <w:footnoteRef/>
      </w:r>
      <w:r>
        <w:t xml:space="preserve"> See footnote </w:t>
      </w:r>
      <w:r w:rsidR="00D71D2E">
        <w:t>5</w:t>
      </w:r>
      <w:r w:rsidR="0016503D">
        <w:t>1</w:t>
      </w:r>
      <w:r w:rsidR="002B0A37">
        <w:t xml:space="preserve"> on the </w:t>
      </w:r>
      <w:r w:rsidR="00320D1E">
        <w:t xml:space="preserve">implementation of indirect information exchange on the basis of a </w:t>
      </w:r>
      <w:r w:rsidR="002B0A37">
        <w:t xml:space="preserve">hit/no-hit </w:t>
      </w:r>
      <w:r w:rsidR="00320D1E">
        <w:t>system;</w:t>
      </w:r>
      <w:r w:rsidR="00D71D2E">
        <w:t xml:space="preserve"> </w:t>
      </w:r>
      <w:r w:rsidR="003402E8">
        <w:t>‘I</w:t>
      </w:r>
      <w:r w:rsidR="002E4AE8">
        <w:t xml:space="preserve">mplementation </w:t>
      </w:r>
      <w:proofErr w:type="gramStart"/>
      <w:r w:rsidR="002E4AE8">
        <w:t>challenges</w:t>
      </w:r>
      <w:r w:rsidR="003402E8">
        <w:t>’</w:t>
      </w:r>
      <w:proofErr w:type="gramEnd"/>
      <w:r w:rsidR="002E4AE8">
        <w:t xml:space="preserve"> </w:t>
      </w:r>
      <w:r w:rsidR="00BD51B5">
        <w:t>and</w:t>
      </w:r>
      <w:r w:rsidR="002E4AE8">
        <w:t xml:space="preserve"> the box summarising</w:t>
      </w:r>
      <w:r w:rsidR="00320D1E">
        <w:t xml:space="preserve"> </w:t>
      </w:r>
      <w:r w:rsidR="002B0A37">
        <w:t>the results</w:t>
      </w:r>
      <w:r w:rsidR="00320D1E">
        <w:t xml:space="preserve"> of the targeted survey for EU bodies and agencies</w:t>
      </w:r>
      <w:r w:rsidR="00C61F0D">
        <w:t xml:space="preserve"> </w:t>
      </w:r>
      <w:r w:rsidR="00726D52">
        <w:t>in Annex</w:t>
      </w:r>
      <w:r w:rsidR="002E4AE8">
        <w:t xml:space="preserve"> </w:t>
      </w:r>
      <w:r w:rsidR="00A776ED">
        <w:t>2</w:t>
      </w:r>
      <w:r w:rsidR="00C61F0D">
        <w:t xml:space="preserve"> of the I</w:t>
      </w:r>
      <w:r w:rsidR="00A776ED">
        <w:t xml:space="preserve">mpact </w:t>
      </w:r>
      <w:r w:rsidR="00C61F0D">
        <w:t>A</w:t>
      </w:r>
      <w:r w:rsidR="00A776ED">
        <w:t xml:space="preserve">ssessment </w:t>
      </w:r>
      <w:r w:rsidR="00E738FE">
        <w:t>for the revision of Eurojust.</w:t>
      </w:r>
    </w:p>
  </w:footnote>
  <w:footnote w:id="79">
    <w:p w14:paraId="5AA6BF73" w14:textId="41678633" w:rsidR="003F4FBD" w:rsidRPr="00601F42" w:rsidRDefault="003F4FBD" w:rsidP="003F4FBD">
      <w:pPr>
        <w:pStyle w:val="FootnoteText"/>
        <w:rPr>
          <w:lang w:val="en-IE"/>
        </w:rPr>
      </w:pPr>
      <w:r>
        <w:rPr>
          <w:rStyle w:val="FootnoteReference"/>
        </w:rPr>
        <w:footnoteRef/>
      </w:r>
      <w:r>
        <w:t xml:space="preserve"> </w:t>
      </w:r>
      <w:r>
        <w:rPr>
          <w:lang w:val="en-IE"/>
        </w:rPr>
        <w:t>See, for instance, European Court of Auditors, Special Report 26/2025 ‘EU bodies fighting fraud’, concluding that, “</w:t>
      </w:r>
      <w:r w:rsidRPr="00E677A1">
        <w:t xml:space="preserve">while the mandates of OLAF, </w:t>
      </w:r>
      <w:r w:rsidR="00C61F0D">
        <w:t xml:space="preserve">the </w:t>
      </w:r>
      <w:r w:rsidRPr="00E677A1">
        <w:t>EPPO, Eurojust and Europol are clearly defined, weaknesses remain in terms of exchange of information</w:t>
      </w:r>
      <w:r>
        <w:t>”.</w:t>
      </w:r>
      <w:r w:rsidR="00567065">
        <w:t xml:space="preserve"> </w:t>
      </w:r>
      <w:r w:rsidR="004365A6">
        <w:t xml:space="preserve">The Commission </w:t>
      </w:r>
      <w:r w:rsidR="003653C5">
        <w:t>may</w:t>
      </w:r>
      <w:r w:rsidR="004365A6">
        <w:t xml:space="preserve"> propose to strengthen information exchange between OLAF, </w:t>
      </w:r>
      <w:r w:rsidR="00246CAF">
        <w:t xml:space="preserve">the </w:t>
      </w:r>
      <w:r w:rsidR="004365A6">
        <w:t xml:space="preserve">EPPO, Eurojust and Europol as part of </w:t>
      </w:r>
      <w:r w:rsidR="004365A6" w:rsidRPr="00C459D5">
        <w:t xml:space="preserve">the </w:t>
      </w:r>
      <w:r w:rsidR="00867E64">
        <w:t xml:space="preserve">upcoming </w:t>
      </w:r>
      <w:r w:rsidR="00975118" w:rsidRPr="00C459D5">
        <w:t>AFA review</w:t>
      </w:r>
      <w:r w:rsidR="00C459D5" w:rsidRPr="00C459D5">
        <w:t>.</w:t>
      </w:r>
    </w:p>
  </w:footnote>
  <w:footnote w:id="80">
    <w:p w14:paraId="21196158" w14:textId="3F816156" w:rsidR="00843080" w:rsidRPr="00843080" w:rsidRDefault="00843080">
      <w:pPr>
        <w:pStyle w:val="FootnoteText"/>
      </w:pPr>
      <w:r>
        <w:rPr>
          <w:rStyle w:val="FootnoteReference"/>
        </w:rPr>
        <w:footnoteRef/>
      </w:r>
      <w:r>
        <w:t xml:space="preserve"> </w:t>
      </w:r>
      <w:r w:rsidR="004756F2">
        <w:t>See also the impact assessment for the revision of Eurojust.</w:t>
      </w:r>
    </w:p>
  </w:footnote>
  <w:footnote w:id="81">
    <w:p w14:paraId="686A76F8" w14:textId="3C53C9FB" w:rsidR="00177EE7" w:rsidRPr="00D85CC6" w:rsidRDefault="00177EE7" w:rsidP="00177EE7">
      <w:pPr>
        <w:pStyle w:val="FootnoteText"/>
        <w:rPr>
          <w:lang w:val="en-IE"/>
        </w:rPr>
      </w:pPr>
      <w:r>
        <w:rPr>
          <w:rStyle w:val="FootnoteReference"/>
        </w:rPr>
        <w:footnoteRef/>
      </w:r>
      <w:r>
        <w:t xml:space="preserve"> </w:t>
      </w:r>
      <w:r w:rsidR="004365A6">
        <w:t xml:space="preserve">The Commission </w:t>
      </w:r>
      <w:r w:rsidR="006D45E4">
        <w:t xml:space="preserve">has </w:t>
      </w:r>
      <w:r w:rsidR="0030078E">
        <w:t xml:space="preserve">proposed closer cooperation between Europol and ENISA </w:t>
      </w:r>
      <w:r w:rsidR="0030078E" w:rsidRPr="31831C40">
        <w:t xml:space="preserve">to improve cybersecurity preparedness and response to ransomware incidents as part of </w:t>
      </w:r>
      <w:r w:rsidR="0046031B">
        <w:t>t</w:t>
      </w:r>
      <w:r w:rsidR="00AA1D30" w:rsidRPr="0013334E">
        <w:t>he Cybersecurity Act 2</w:t>
      </w:r>
      <w:r w:rsidR="008B7071">
        <w:t xml:space="preserve"> (</w:t>
      </w:r>
      <w:proofErr w:type="gramStart"/>
      <w:r w:rsidR="008B7071" w:rsidRPr="008B7071">
        <w:t>COM(</w:t>
      </w:r>
      <w:proofErr w:type="gramEnd"/>
      <w:r w:rsidR="008B7071" w:rsidRPr="008B7071">
        <w:t>2026) 11 final</w:t>
      </w:r>
      <w:r w:rsidR="008B7071">
        <w:t>)</w:t>
      </w:r>
      <w:r w:rsidR="00190710">
        <w:t>.</w:t>
      </w:r>
    </w:p>
  </w:footnote>
  <w:footnote w:id="82">
    <w:p w14:paraId="2B0432E9" w14:textId="75787DD1" w:rsidR="0017682A" w:rsidRPr="0082690B" w:rsidRDefault="0017682A">
      <w:pPr>
        <w:pStyle w:val="FootnoteText"/>
        <w:rPr>
          <w:lang w:val="en-IE"/>
        </w:rPr>
      </w:pPr>
      <w:r>
        <w:rPr>
          <w:rStyle w:val="FootnoteReference"/>
        </w:rPr>
        <w:footnoteRef/>
      </w:r>
      <w:r>
        <w:t xml:space="preserve"> For instance, </w:t>
      </w:r>
      <w:r w:rsidRPr="00F46496">
        <w:rPr>
          <w:rFonts w:eastAsia="Times New Roman"/>
        </w:rPr>
        <w:t>SIRIUS</w:t>
      </w:r>
      <w:r>
        <w:rPr>
          <w:rFonts w:eastAsia="Times New Roman"/>
        </w:rPr>
        <w:t xml:space="preserve"> remains</w:t>
      </w:r>
      <w:r w:rsidRPr="00F46496">
        <w:rPr>
          <w:rFonts w:eastAsia="Times New Roman"/>
        </w:rPr>
        <w:t xml:space="preserve"> a project in nature and thus its mission and sustainability are varying and uncertain as they depend on the types and timings of available EU funding</w:t>
      </w:r>
      <w:r>
        <w:rPr>
          <w:rFonts w:eastAsia="Times New Roman"/>
        </w:rPr>
        <w:t>. Notably,</w:t>
      </w:r>
      <w:r>
        <w:t xml:space="preserve"> further to a change of the funding source (</w:t>
      </w:r>
      <w:r w:rsidRPr="0013334E">
        <w:rPr>
          <w:rFonts w:eastAsia="Times New Roman"/>
        </w:rPr>
        <w:t>Contribution agreement NDICI THREATS FPI/2024/OPSYS CT NR 700002618</w:t>
      </w:r>
      <w:r>
        <w:t xml:space="preserve"> as of 1 January 2025), t</w:t>
      </w:r>
      <w:r w:rsidRPr="00F46496">
        <w:t xml:space="preserve">he beneficiaries of the </w:t>
      </w:r>
      <w:r>
        <w:t>P</w:t>
      </w:r>
      <w:r w:rsidRPr="00F46496">
        <w:t>roject are now the national law enforcement and judicial authorities of third countries</w:t>
      </w:r>
      <w:r>
        <w:t xml:space="preserve">, while </w:t>
      </w:r>
      <w:r w:rsidRPr="00F46496">
        <w:t xml:space="preserve">the </w:t>
      </w:r>
      <w:r w:rsidR="00300D18">
        <w:t xml:space="preserve">dire </w:t>
      </w:r>
      <w:r w:rsidRPr="00F46496">
        <w:t xml:space="preserve">need expressed by the national authorities of the EU </w:t>
      </w:r>
      <w:r>
        <w:t xml:space="preserve">Member States </w:t>
      </w:r>
      <w:r w:rsidRPr="00F46496">
        <w:t xml:space="preserve">to continue relying on the </w:t>
      </w:r>
      <w:r w:rsidR="00CD5009">
        <w:t>p</w:t>
      </w:r>
      <w:r w:rsidRPr="00F46496">
        <w:t xml:space="preserve">roject’s knowledge and expertise to successfully obtain critical electronic evidence for criminal investigations and prosecutions </w:t>
      </w:r>
      <w:r w:rsidR="00017934">
        <w:t xml:space="preserve">(n </w:t>
      </w:r>
      <w:r w:rsidR="008B0D4F">
        <w:t>53</w:t>
      </w:r>
      <w:r w:rsidR="00017934">
        <w:t xml:space="preserve">) </w:t>
      </w:r>
      <w:r>
        <w:t xml:space="preserve">has remained </w:t>
      </w:r>
      <w:r w:rsidRPr="00F46496">
        <w:t>unmet</w:t>
      </w:r>
      <w:r>
        <w:t>.</w:t>
      </w:r>
    </w:p>
  </w:footnote>
  <w:footnote w:id="83">
    <w:p w14:paraId="620A11DA" w14:textId="2EE2DA0F" w:rsidR="00C25711" w:rsidRPr="005635CD" w:rsidRDefault="00C25711" w:rsidP="00C25711">
      <w:pPr>
        <w:pStyle w:val="FootnoteText"/>
        <w:rPr>
          <w:lang w:val="en-IE"/>
        </w:rPr>
      </w:pPr>
      <w:r>
        <w:rPr>
          <w:rStyle w:val="FootnoteReference"/>
        </w:rPr>
        <w:footnoteRef/>
      </w:r>
      <w:r>
        <w:t xml:space="preserve"> Even today, there would be thousands more cases where Member States ask for Europol’s support if Europol had the capacity to provide that according to the </w:t>
      </w:r>
      <w:r w:rsidRPr="38FB2B61">
        <w:t>Deputy Director of Europol for Governance, Jürgen Ebner, at “The future of Europol”</w:t>
      </w:r>
      <w:r>
        <w:t xml:space="preserve">, </w:t>
      </w:r>
      <w:r w:rsidRPr="38FB2B61">
        <w:t>The Europol Podcast, 18 December 2025</w:t>
      </w:r>
      <w:r>
        <w:t xml:space="preserve">. </w:t>
      </w:r>
      <w:r w:rsidR="00E32B56">
        <w:t xml:space="preserve">Demand </w:t>
      </w:r>
      <w:r w:rsidR="00F86A02">
        <w:t xml:space="preserve">for Europol’s services exceeds Europol’s current capacity also according to the Study supporting the evaluation and the impact assessment of the Europol Regulation, </w:t>
      </w:r>
      <w:r w:rsidR="001314E5">
        <w:t xml:space="preserve">draft </w:t>
      </w:r>
      <w:r w:rsidR="00F86A02">
        <w:t>final report, March 2026.</w:t>
      </w:r>
      <w:r w:rsidR="00A6305C">
        <w:t xml:space="preserve"> </w:t>
      </w:r>
    </w:p>
  </w:footnote>
  <w:footnote w:id="84">
    <w:p w14:paraId="04B021DA" w14:textId="26E4B3D7" w:rsidR="00777053" w:rsidRPr="0082690B" w:rsidRDefault="00777053">
      <w:pPr>
        <w:pStyle w:val="FootnoteText"/>
        <w:rPr>
          <w:lang w:val="en-IE"/>
        </w:rPr>
      </w:pPr>
      <w:r>
        <w:rPr>
          <w:rStyle w:val="FootnoteReference"/>
        </w:rPr>
        <w:footnoteRef/>
      </w:r>
      <w:r>
        <w:t xml:space="preserve"> Retooling the police is a priority </w:t>
      </w:r>
      <w:r w:rsidR="0000307D">
        <w:t xml:space="preserve">for </w:t>
      </w:r>
      <w:r w:rsidR="002C033F">
        <w:t>a</w:t>
      </w:r>
      <w:r w:rsidR="0000307D">
        <w:t xml:space="preserve"> strategic response</w:t>
      </w:r>
      <w:r w:rsidR="00685F56">
        <w:t xml:space="preserve"> against the </w:t>
      </w:r>
      <w:r w:rsidR="00685F56" w:rsidRPr="0082690B">
        <w:t>future</w:t>
      </w:r>
      <w:r w:rsidR="00685F56">
        <w:t xml:space="preserve"> evolution of organised crime</w:t>
      </w:r>
      <w:r w:rsidR="00D52B8F">
        <w:t xml:space="preserve"> according to t</w:t>
      </w:r>
      <w:r>
        <w:t>he Global Initiative against Transnational Organized Crime (GI-TOC)</w:t>
      </w:r>
      <w:r w:rsidR="00D52B8F">
        <w:t xml:space="preserve">, </w:t>
      </w:r>
      <w:r w:rsidR="00685F56">
        <w:t>Intersections: Building blocks of a global strategy against organized crime, p 88.</w:t>
      </w:r>
      <w:r w:rsidR="00CE18CB">
        <w:t xml:space="preserve"> Increasing crime threats and a limited budget decisively contribute to make Europol unable to optimally fulfil its supporting role for the Member States according to the European Police Chiefs.</w:t>
      </w:r>
    </w:p>
  </w:footnote>
  <w:footnote w:id="85">
    <w:p w14:paraId="1B5E2938" w14:textId="17079FF8" w:rsidR="004135F0" w:rsidRPr="0082690B" w:rsidRDefault="004135F0">
      <w:pPr>
        <w:pStyle w:val="FootnoteText"/>
        <w:rPr>
          <w:lang w:val="en-IE"/>
        </w:rPr>
      </w:pPr>
      <w:r>
        <w:rPr>
          <w:rStyle w:val="FootnoteReference"/>
        </w:rPr>
        <w:footnoteRef/>
      </w:r>
      <w:r>
        <w:t xml:space="preserve"> </w:t>
      </w:r>
      <w:r w:rsidR="00860BAD">
        <w:t xml:space="preserve">For instance, </w:t>
      </w:r>
      <w:proofErr w:type="gramStart"/>
      <w:r w:rsidR="00860BAD">
        <w:t>in the area of</w:t>
      </w:r>
      <w:proofErr w:type="gramEnd"/>
      <w:r w:rsidR="00860BAD">
        <w:t xml:space="preserve"> financial crime, while </w:t>
      </w:r>
      <w:r w:rsidR="007938C7">
        <w:t xml:space="preserve">this impact assessment report considers the relationship between Europol and AMLA, </w:t>
      </w:r>
      <w:r w:rsidR="000A76E6">
        <w:t xml:space="preserve">GI-TOC </w:t>
      </w:r>
      <w:r w:rsidR="007938C7">
        <w:t>has</w:t>
      </w:r>
      <w:r w:rsidR="00481910">
        <w:t xml:space="preserve"> suggested </w:t>
      </w:r>
      <w:r w:rsidRPr="004135F0">
        <w:t xml:space="preserve">the creation of a </w:t>
      </w:r>
      <w:r w:rsidRPr="0082690B">
        <w:rPr>
          <w:i/>
        </w:rPr>
        <w:t>global</w:t>
      </w:r>
      <w:r w:rsidRPr="004135F0">
        <w:t xml:space="preserve"> financial crime intelligence centre</w:t>
      </w:r>
      <w:r w:rsidR="004A7946">
        <w:t xml:space="preserve"> as a priority action</w:t>
      </w:r>
      <w:r w:rsidR="007938C7" w:rsidRPr="007938C7">
        <w:t xml:space="preserve"> </w:t>
      </w:r>
      <w:r w:rsidR="007938C7">
        <w:t xml:space="preserve">to counter the </w:t>
      </w:r>
      <w:r w:rsidR="007938C7" w:rsidRPr="0082690B">
        <w:rPr>
          <w:i/>
          <w:iCs/>
        </w:rPr>
        <w:t>future</w:t>
      </w:r>
      <w:r w:rsidR="007938C7">
        <w:t xml:space="preserve"> evolution of organised crime,</w:t>
      </w:r>
      <w:r w:rsidR="00481910">
        <w:t xml:space="preserve"> </w:t>
      </w:r>
      <w:r w:rsidR="00685F56">
        <w:t>ibid</w:t>
      </w:r>
      <w:r w:rsidR="00FC20EC">
        <w:t xml:space="preserve">, </w:t>
      </w:r>
      <w:r w:rsidR="00481910">
        <w:t>pp. 80-81.</w:t>
      </w:r>
    </w:p>
  </w:footnote>
  <w:footnote w:id="86">
    <w:p w14:paraId="250820EA" w14:textId="05FA7688" w:rsidR="004C3F6B" w:rsidRPr="004C3F6B" w:rsidRDefault="004C3F6B">
      <w:pPr>
        <w:pStyle w:val="FootnoteText"/>
      </w:pPr>
      <w:r>
        <w:rPr>
          <w:rStyle w:val="FootnoteReference"/>
        </w:rPr>
        <w:footnoteRef/>
      </w:r>
      <w:r>
        <w:t xml:space="preserve"> See </w:t>
      </w:r>
      <w:r w:rsidR="00160CCA">
        <w:t>the problem definition by the</w:t>
      </w:r>
      <w:r w:rsidR="005E521B">
        <w:t xml:space="preserve"> Study supporting the evaluation and the impact assessment of the Europol Regulation, </w:t>
      </w:r>
      <w:r w:rsidR="00F97518">
        <w:t>draft final</w:t>
      </w:r>
      <w:r w:rsidR="005E521B">
        <w:t xml:space="preserve"> report, </w:t>
      </w:r>
      <w:r w:rsidR="00F97518">
        <w:t>March</w:t>
      </w:r>
      <w:r w:rsidR="005E521B">
        <w:t xml:space="preserve"> 2026</w:t>
      </w:r>
      <w:r w:rsidR="00160CCA">
        <w:t xml:space="preserve">, </w:t>
      </w:r>
      <w:r w:rsidR="006A2ED4">
        <w:t>namely</w:t>
      </w:r>
      <w:r w:rsidR="00160CCA" w:rsidRPr="00160CCA">
        <w:t xml:space="preserve"> </w:t>
      </w:r>
      <w:r w:rsidR="00160CCA">
        <w:t>driver 2.</w:t>
      </w:r>
      <w:r w:rsidR="00F97518">
        <w:t>2</w:t>
      </w:r>
      <w:r>
        <w:t>.</w:t>
      </w:r>
    </w:p>
  </w:footnote>
  <w:footnote w:id="87">
    <w:p w14:paraId="433055F7" w14:textId="2F6F1996" w:rsidR="00555968" w:rsidRPr="00555968" w:rsidRDefault="00555968">
      <w:pPr>
        <w:pStyle w:val="FootnoteText"/>
        <w:rPr>
          <w:lang w:val="en-IE"/>
        </w:rPr>
      </w:pPr>
      <w:r w:rsidRPr="0082690B">
        <w:rPr>
          <w:rStyle w:val="FootnoteReference"/>
        </w:rPr>
        <w:footnoteRef/>
      </w:r>
      <w:r w:rsidRPr="0082690B">
        <w:t xml:space="preserve"> </w:t>
      </w:r>
      <w:r w:rsidR="000C1E2B" w:rsidRPr="000C1E2B">
        <w:rPr>
          <w:lang w:val="en-IE"/>
        </w:rPr>
        <w:t>Feasibility study on law enforcement training in the EU to strengthen a common EU law enforcement culture</w:t>
      </w:r>
      <w:r w:rsidR="00A307AE">
        <w:rPr>
          <w:lang w:val="en-IE"/>
        </w:rPr>
        <w:t xml:space="preserve">, </w:t>
      </w:r>
      <w:r w:rsidR="00131F29" w:rsidRPr="00131F29">
        <w:rPr>
          <w:lang w:val="en-IE"/>
        </w:rPr>
        <w:t>interim report, January</w:t>
      </w:r>
      <w:r w:rsidR="000C1E2B" w:rsidRPr="000C1E2B">
        <w:rPr>
          <w:lang w:val="en-IE"/>
        </w:rPr>
        <w:t xml:space="preserve"> 2026</w:t>
      </w:r>
      <w:r w:rsidR="000C1E2B" w:rsidRPr="0082690B">
        <w:rPr>
          <w:lang w:val="en-IE"/>
        </w:rPr>
        <w:t>.</w:t>
      </w:r>
    </w:p>
  </w:footnote>
  <w:footnote w:id="88">
    <w:p w14:paraId="76E774A2" w14:textId="713496D6" w:rsidR="00756137" w:rsidRPr="00756137" w:rsidRDefault="00756137">
      <w:pPr>
        <w:pStyle w:val="FootnoteText"/>
      </w:pPr>
      <w:r>
        <w:rPr>
          <w:rStyle w:val="FootnoteReference"/>
        </w:rPr>
        <w:footnoteRef/>
      </w:r>
      <w:r>
        <w:t xml:space="preserve"> </w:t>
      </w:r>
      <w:r w:rsidR="009C7838">
        <w:t>See Annex 7</w:t>
      </w:r>
      <w:r w:rsidR="00A60710">
        <w:t xml:space="preserve">: Evaluation of the existing policy and </w:t>
      </w:r>
      <w:r w:rsidR="00CA0CF6">
        <w:t>legislative</w:t>
      </w:r>
      <w:r w:rsidR="00A60710">
        <w:t xml:space="preserve"> </w:t>
      </w:r>
      <w:r w:rsidR="00CA0CF6">
        <w:t xml:space="preserve">framework </w:t>
      </w:r>
      <w:r w:rsidR="007461F8">
        <w:t xml:space="preserve">pages </w:t>
      </w:r>
      <w:r w:rsidR="008747CE">
        <w:t>120, 124.</w:t>
      </w:r>
    </w:p>
  </w:footnote>
  <w:footnote w:id="89">
    <w:p w14:paraId="4B6303E1" w14:textId="77777777" w:rsidR="00A728D3" w:rsidRPr="00555968" w:rsidRDefault="00A728D3" w:rsidP="00A728D3">
      <w:pPr>
        <w:pStyle w:val="FootnoteText"/>
        <w:rPr>
          <w:lang w:val="en-IE"/>
        </w:rPr>
      </w:pPr>
      <w:r>
        <w:rPr>
          <w:rStyle w:val="FootnoteReference"/>
        </w:rPr>
        <w:footnoteRef/>
      </w:r>
      <w:r w:rsidRPr="00555968">
        <w:rPr>
          <w:lang w:val="en-IE"/>
        </w:rPr>
        <w:t xml:space="preserve"> </w:t>
      </w:r>
      <w:hyperlink r:id="rId4" w:history="1">
        <w:r w:rsidRPr="00555968">
          <w:rPr>
            <w:rStyle w:val="Hyperlink"/>
            <w:lang w:val="en-IE"/>
          </w:rPr>
          <w:t>https://www.europol.europa.eu/sites/default/files/documents/Europol_report_-_Leveraging_legitimacy_-_How_the_EU_most_threatening_crim_networks_abuse_legal_business_structures.pdf</w:t>
        </w:r>
      </w:hyperlink>
    </w:p>
  </w:footnote>
  <w:footnote w:id="90">
    <w:p w14:paraId="57E20110" w14:textId="58D74EB2" w:rsidR="006312BF" w:rsidRPr="006312BF" w:rsidRDefault="006312BF">
      <w:pPr>
        <w:pStyle w:val="FootnoteText"/>
      </w:pPr>
      <w:r>
        <w:rPr>
          <w:rStyle w:val="FootnoteReference"/>
        </w:rPr>
        <w:footnoteRef/>
      </w:r>
      <w:r>
        <w:t xml:space="preserve"> </w:t>
      </w:r>
      <w:r w:rsidR="00AB45E5" w:rsidRPr="009550C4">
        <w:t xml:space="preserve">See </w:t>
      </w:r>
      <w:r w:rsidR="00AB45E5" w:rsidRPr="0082690B">
        <w:t xml:space="preserve">Annex </w:t>
      </w:r>
      <w:r w:rsidR="0082690B">
        <w:t>7</w:t>
      </w:r>
      <w:r w:rsidR="00AB45E5" w:rsidRPr="0082690B">
        <w:t>,</w:t>
      </w:r>
      <w:r w:rsidR="00AB45E5" w:rsidRPr="009550C4">
        <w:t xml:space="preserve"> which</w:t>
      </w:r>
      <w:r w:rsidR="00AB45E5" w:rsidRPr="00AB45E5">
        <w:t xml:space="preserve"> presents the evaluation of</w:t>
      </w:r>
      <w:r w:rsidR="009550C4">
        <w:t xml:space="preserve"> the</w:t>
      </w:r>
      <w:r w:rsidR="00AB45E5" w:rsidRPr="00AB45E5">
        <w:t xml:space="preserve"> Europol</w:t>
      </w:r>
      <w:r w:rsidR="009550C4">
        <w:t xml:space="preserve"> Regulation</w:t>
      </w:r>
      <w:r w:rsidR="00AB45E5" w:rsidRPr="00AB45E5">
        <w:t xml:space="preserve"> and shows a consistent upward trend.</w:t>
      </w:r>
    </w:p>
  </w:footnote>
  <w:footnote w:id="91">
    <w:p w14:paraId="6896C7F9" w14:textId="76DA49D8" w:rsidR="001D7450" w:rsidRPr="001D7450" w:rsidRDefault="001D7450">
      <w:pPr>
        <w:pStyle w:val="FootnoteText"/>
      </w:pPr>
      <w:r>
        <w:rPr>
          <w:rStyle w:val="FootnoteReference"/>
        </w:rPr>
        <w:footnoteRef/>
      </w:r>
      <w:r>
        <w:t xml:space="preserve"> </w:t>
      </w:r>
      <w:r w:rsidR="009550C4">
        <w:t>EU-</w:t>
      </w:r>
      <w:r w:rsidRPr="001D7450">
        <w:t>SOCTA</w:t>
      </w:r>
      <w:r w:rsidR="00A83B5F">
        <w:t xml:space="preserve"> </w:t>
      </w:r>
      <w:r w:rsidRPr="001D7450">
        <w:t>and IOCTA</w:t>
      </w:r>
      <w:r w:rsidR="00A83B5F">
        <w:t xml:space="preserve"> </w:t>
      </w:r>
      <w:r w:rsidRPr="001D7450">
        <w:t>highlight that criminal networks are increasingly digitalised, technologically enabled and transnational, generating growing volumes of data and requiring stronger cross-border operational cooperation.</w:t>
      </w:r>
    </w:p>
  </w:footnote>
  <w:footnote w:id="92">
    <w:p w14:paraId="5DCC21C9" w14:textId="77777777" w:rsidR="007B7865" w:rsidRPr="004B2591" w:rsidRDefault="007B7865" w:rsidP="007B7865">
      <w:pPr>
        <w:pStyle w:val="FootnoteText"/>
      </w:pPr>
      <w:r>
        <w:rPr>
          <w:rStyle w:val="FootnoteReference"/>
        </w:rPr>
        <w:footnoteRef/>
      </w:r>
      <w:r>
        <w:t xml:space="preserve"> </w:t>
      </w:r>
      <w:r w:rsidRPr="004B2591">
        <w:t xml:space="preserve">Examples of Europol’s ongoing modernisation efforts include the Information Management and Analysis Capability (IMAC), aimed at strengthening the processing and analysis of criminal information, and the Joint Operational Analysis Capability (JOAC), which enables real-time analytical support to operational activities, including joint investigation teams, operational task forces, and coordinated cross-border investigations. </w:t>
      </w:r>
    </w:p>
  </w:footnote>
  <w:footnote w:id="93">
    <w:p w14:paraId="7B38FCAC" w14:textId="52D4853F" w:rsidR="007B7865" w:rsidRPr="0050310E" w:rsidRDefault="007B7865" w:rsidP="007B7865">
      <w:pPr>
        <w:pStyle w:val="FootnoteText"/>
      </w:pPr>
      <w:r>
        <w:rPr>
          <w:rStyle w:val="FootnoteReference"/>
        </w:rPr>
        <w:footnoteRef/>
      </w:r>
      <w:r>
        <w:t xml:space="preserve"> Considering the </w:t>
      </w:r>
      <w:r w:rsidRPr="00530ADF">
        <w:rPr>
          <w:lang w:val="en-IE"/>
        </w:rPr>
        <w:t xml:space="preserve">EU </w:t>
      </w:r>
      <w:r w:rsidR="00A83B5F">
        <w:rPr>
          <w:lang w:val="en-IE"/>
        </w:rPr>
        <w:t>JHA interoperability roadmap</w:t>
      </w:r>
      <w:r>
        <w:rPr>
          <w:lang w:val="en-IE"/>
        </w:rPr>
        <w:t xml:space="preserve"> and other developments related to </w:t>
      </w:r>
      <w:r w:rsidR="003E2FC9">
        <w:rPr>
          <w:lang w:val="en-IE"/>
        </w:rPr>
        <w:t>travel information</w:t>
      </w:r>
      <w:r>
        <w:t>.</w:t>
      </w:r>
    </w:p>
  </w:footnote>
  <w:footnote w:id="94">
    <w:p w14:paraId="452EE5F1" w14:textId="382041F6" w:rsidR="00E21BDF" w:rsidRPr="00E21BDF" w:rsidRDefault="00E21BDF" w:rsidP="000567A2">
      <w:pPr>
        <w:pStyle w:val="FootnoteText"/>
      </w:pPr>
      <w:r>
        <w:rPr>
          <w:rStyle w:val="FootnoteReference"/>
        </w:rPr>
        <w:footnoteRef/>
      </w:r>
      <w:r>
        <w:t xml:space="preserve"> For instance, t</w:t>
      </w:r>
      <w:r w:rsidRPr="00E21BDF">
        <w:t xml:space="preserve">he recommendations of the High-Level Group on access to data and the Commission’s roadmap for lawful and effective access to data for law enforcement identify Europol as a key </w:t>
      </w:r>
      <w:r w:rsidR="00C710DD">
        <w:t>actor</w:t>
      </w:r>
      <w:r w:rsidRPr="00E21BDF">
        <w:t xml:space="preserve"> in the areas of digital forensics. </w:t>
      </w:r>
      <w:r w:rsidR="00DB7415">
        <w:t xml:space="preserve">At the same time, </w:t>
      </w:r>
      <w:r w:rsidR="00111E00">
        <w:t>E</w:t>
      </w:r>
      <w:r w:rsidR="00111E00" w:rsidRPr="00111E00">
        <w:t>uropol Programming Document 2024</w:t>
      </w:r>
      <w:r w:rsidR="00111E00">
        <w:t>-</w:t>
      </w:r>
      <w:r w:rsidR="00111E00" w:rsidRPr="00111E00">
        <w:t>2026</w:t>
      </w:r>
      <w:r w:rsidR="000567A2">
        <w:t xml:space="preserve"> establishes that ‘</w:t>
      </w:r>
      <w:r w:rsidR="000567A2" w:rsidRPr="000567A2">
        <w:rPr>
          <w:i/>
          <w:iCs/>
        </w:rPr>
        <w:t>Europol seeks to be at the forefront of law enforcement innovation and research and through its Innovation Lab, it facilitates innovation in the law enforcement community and addresses the risks and opportunities of emerging technologies’</w:t>
      </w:r>
      <w:r w:rsidR="005F6D02">
        <w:rPr>
          <w:i/>
          <w:iCs/>
        </w:rPr>
        <w:t xml:space="preserve">, </w:t>
      </w:r>
      <w:r w:rsidR="005F6D02" w:rsidRPr="005F6D02">
        <w:t>which is strategic objective 5 in that document</w:t>
      </w:r>
      <w:r w:rsidR="000567A2">
        <w:t>.</w:t>
      </w:r>
    </w:p>
  </w:footnote>
  <w:footnote w:id="95">
    <w:p w14:paraId="4B74D793" w14:textId="0CFFAC21" w:rsidR="00DF607F" w:rsidRPr="00DF607F" w:rsidRDefault="00DF607F">
      <w:pPr>
        <w:pStyle w:val="FootnoteText"/>
      </w:pPr>
      <w:r>
        <w:rPr>
          <w:rStyle w:val="FootnoteReference"/>
        </w:rPr>
        <w:footnoteRef/>
      </w:r>
      <w:r>
        <w:t xml:space="preserve"> </w:t>
      </w:r>
      <w:r w:rsidRPr="00DF607F">
        <w:t>Regulation (EU) 2022/2065.</w:t>
      </w:r>
    </w:p>
  </w:footnote>
  <w:footnote w:id="96">
    <w:p w14:paraId="2FBAB1D8" w14:textId="2340F8BC" w:rsidR="00734482" w:rsidRPr="00734482" w:rsidRDefault="00734482">
      <w:pPr>
        <w:pStyle w:val="FootnoteText"/>
      </w:pPr>
      <w:r>
        <w:rPr>
          <w:rStyle w:val="FootnoteReference"/>
        </w:rPr>
        <w:footnoteRef/>
      </w:r>
      <w:r>
        <w:t xml:space="preserve"> R</w:t>
      </w:r>
      <w:r w:rsidRPr="00734482">
        <w:t>egulation (EU) 2019/881</w:t>
      </w:r>
      <w:r>
        <w:t>.</w:t>
      </w:r>
    </w:p>
  </w:footnote>
  <w:footnote w:id="97">
    <w:p w14:paraId="45D06B14" w14:textId="539E30F3" w:rsidR="00106323" w:rsidRPr="00106323" w:rsidRDefault="00106323">
      <w:pPr>
        <w:pStyle w:val="FootnoteText"/>
        <w:rPr>
          <w:lang w:val="en-IE"/>
        </w:rPr>
      </w:pPr>
      <w:r>
        <w:rPr>
          <w:rStyle w:val="FootnoteReference"/>
        </w:rPr>
        <w:footnoteRef/>
      </w:r>
      <w:r w:rsidRPr="00106323">
        <w:rPr>
          <w:lang w:val="en-IE"/>
        </w:rPr>
        <w:t xml:space="preserve"> </w:t>
      </w:r>
      <w:proofErr w:type="gramStart"/>
      <w:r w:rsidRPr="00106323">
        <w:rPr>
          <w:lang w:val="en-IE"/>
        </w:rPr>
        <w:t>In particular, Europol’s</w:t>
      </w:r>
      <w:proofErr w:type="gramEnd"/>
      <w:r w:rsidRPr="00106323">
        <w:rPr>
          <w:lang w:val="en-IE"/>
        </w:rPr>
        <w:t xml:space="preserve"> role under</w:t>
      </w:r>
      <w:r>
        <w:rPr>
          <w:lang w:val="en-IE"/>
        </w:rPr>
        <w:t xml:space="preserve"> Article 18 of </w:t>
      </w:r>
      <w:r w:rsidRPr="00DF607F">
        <w:t>Regulation (EU) 2022/2065</w:t>
      </w:r>
      <w:r>
        <w:t>.</w:t>
      </w:r>
    </w:p>
  </w:footnote>
  <w:footnote w:id="98">
    <w:p w14:paraId="2E94FBFD" w14:textId="382DD4FE" w:rsidR="003B7059" w:rsidRPr="003B7059" w:rsidRDefault="003B7059">
      <w:pPr>
        <w:pStyle w:val="FootnoteText"/>
      </w:pPr>
      <w:r>
        <w:rPr>
          <w:rStyle w:val="FootnoteReference"/>
        </w:rPr>
        <w:footnoteRef/>
      </w:r>
      <w:r>
        <w:t xml:space="preserve"> </w:t>
      </w:r>
      <w:r w:rsidR="00DC4D38" w:rsidRPr="00DC4D38">
        <w:t>Europol’s Innovation Lab</w:t>
      </w:r>
      <w:r w:rsidR="00303509">
        <w:t>, established i</w:t>
      </w:r>
      <w:r w:rsidR="00A67952">
        <w:t>n 2019,</w:t>
      </w:r>
      <w:r w:rsidR="00DC4D38" w:rsidRPr="00DC4D38">
        <w:t xml:space="preserve"> is a collaborative platform within Europol that brings together law enforcement authorities, researchers, technology experts, and industry partners to explore, develop, and test innovative tools, technologies, and methods that help law enforcement agencies across Europe anticipate, prevent, and combat emerging criminal and security threats in an increasingly digital and complex environment.</w:t>
      </w:r>
      <w:r w:rsidR="00396E45">
        <w:t xml:space="preserve"> </w:t>
      </w:r>
      <w:r w:rsidR="00396E45" w:rsidRPr="00396E45">
        <w:t>The number of supported operations by the Europol Innovation Lab more than doubled between 2024 and 2025</w:t>
      </w:r>
      <w:r w:rsidR="00396E45">
        <w:t>.</w:t>
      </w:r>
    </w:p>
  </w:footnote>
  <w:footnote w:id="99">
    <w:p w14:paraId="7242A4C7" w14:textId="59534748" w:rsidR="00A34EB8" w:rsidRPr="00A34EB8" w:rsidRDefault="00A34EB8">
      <w:pPr>
        <w:pStyle w:val="FootnoteText"/>
      </w:pPr>
      <w:r>
        <w:rPr>
          <w:rStyle w:val="FootnoteReference"/>
        </w:rPr>
        <w:footnoteRef/>
      </w:r>
      <w:r>
        <w:t xml:space="preserve"> </w:t>
      </w:r>
      <w:r w:rsidRPr="00A34EB8">
        <w:t>The European Clearing Board is a Europol-coordinated forum where EU Member States and agencies align operational needs and guide the development of innovative law-enforcement technologies</w:t>
      </w:r>
      <w:r>
        <w:t>.</w:t>
      </w:r>
    </w:p>
  </w:footnote>
  <w:footnote w:id="100">
    <w:p w14:paraId="1475EAF4" w14:textId="1B20E60D" w:rsidR="000F493A" w:rsidRPr="000F493A" w:rsidRDefault="000F493A">
      <w:pPr>
        <w:pStyle w:val="FootnoteText"/>
      </w:pPr>
      <w:r>
        <w:rPr>
          <w:rStyle w:val="FootnoteReference"/>
        </w:rPr>
        <w:footnoteRef/>
      </w:r>
      <w:r>
        <w:t xml:space="preserve"> </w:t>
      </w:r>
      <w:r w:rsidR="005659F2">
        <w:rPr>
          <w:rFonts w:eastAsia="Times New Roman"/>
        </w:rPr>
        <w:t xml:space="preserve">ICF (March 2026), Draft Final Report of the </w:t>
      </w:r>
      <w:r w:rsidR="005659F2" w:rsidRPr="000F67DC">
        <w:rPr>
          <w:rFonts w:eastAsia="Times New Roman"/>
        </w:rPr>
        <w:t>Study supporting the evaluation and the impact assessment of the Europol Regulation</w:t>
      </w:r>
      <w:r w:rsidR="005659F2">
        <w:rPr>
          <w:rFonts w:eastAsia="Times New Roman"/>
        </w:rPr>
        <w:t xml:space="preserve">, </w:t>
      </w:r>
      <w:r w:rsidR="00DF3E56">
        <w:rPr>
          <w:rFonts w:eastAsia="Times New Roman"/>
        </w:rPr>
        <w:t>p.31.</w:t>
      </w:r>
    </w:p>
  </w:footnote>
  <w:footnote w:id="101">
    <w:p w14:paraId="76EE8C84" w14:textId="034989BA" w:rsidR="00153BB7" w:rsidRPr="00153BB7" w:rsidRDefault="00153BB7">
      <w:pPr>
        <w:pStyle w:val="FootnoteText"/>
      </w:pPr>
      <w:r>
        <w:rPr>
          <w:rStyle w:val="FootnoteReference"/>
        </w:rPr>
        <w:footnoteRef/>
      </w:r>
      <w:r>
        <w:t xml:space="preserve"> See Annex 3</w:t>
      </w:r>
      <w:r w:rsidR="00E60495">
        <w:t xml:space="preserve"> </w:t>
      </w:r>
      <w:r>
        <w:t>cost of the preferred option</w:t>
      </w:r>
      <w:r w:rsidR="00E60495">
        <w:t>,</w:t>
      </w:r>
      <w:r>
        <w:t xml:space="preserve"> for more details on the calculation.</w:t>
      </w:r>
    </w:p>
  </w:footnote>
  <w:footnote w:id="102">
    <w:p w14:paraId="7E964F7E" w14:textId="41B4AC84" w:rsidR="008E6366" w:rsidRPr="008E6366" w:rsidRDefault="008E6366">
      <w:pPr>
        <w:pStyle w:val="FootnoteText"/>
      </w:pPr>
      <w:r>
        <w:rPr>
          <w:rStyle w:val="FootnoteReference"/>
        </w:rPr>
        <w:footnoteRef/>
      </w:r>
      <w:r>
        <w:t xml:space="preserve"> See </w:t>
      </w:r>
      <w:r w:rsidR="006A3C4A">
        <w:t>A</w:t>
      </w:r>
      <w:r>
        <w:t>nnex 8 for more details.</w:t>
      </w:r>
    </w:p>
  </w:footnote>
  <w:footnote w:id="103">
    <w:p w14:paraId="28D40E8B" w14:textId="70A2586D" w:rsidR="00261864" w:rsidRPr="00261864" w:rsidRDefault="00261864">
      <w:pPr>
        <w:pStyle w:val="FootnoteText"/>
        <w:rPr>
          <w:lang w:val="en-IE"/>
        </w:rPr>
      </w:pPr>
      <w:r>
        <w:rPr>
          <w:rStyle w:val="FootnoteReference"/>
        </w:rPr>
        <w:footnoteRef/>
      </w:r>
      <w:r>
        <w:t xml:space="preserve"> For instance,</w:t>
      </w:r>
      <w:r w:rsidRPr="00261864">
        <w:t xml:space="preserve"> technology used by the shared biometric matching service</w:t>
      </w:r>
      <w:r w:rsidR="00E035AE">
        <w:t xml:space="preserve"> (sBMS)</w:t>
      </w:r>
      <w:r w:rsidRPr="00261864">
        <w:t xml:space="preserve"> for upgrading Europol’s biometric capabilities</w:t>
      </w:r>
      <w:r>
        <w:t>.</w:t>
      </w:r>
    </w:p>
  </w:footnote>
  <w:footnote w:id="104">
    <w:p w14:paraId="12E24247" w14:textId="0420B2B2" w:rsidR="00423EB5" w:rsidRPr="00423EB5" w:rsidRDefault="00423EB5">
      <w:pPr>
        <w:pStyle w:val="FootnoteText"/>
        <w:rPr>
          <w:lang w:val="en-IE"/>
        </w:rPr>
      </w:pPr>
      <w:r>
        <w:rPr>
          <w:rStyle w:val="FootnoteReference"/>
        </w:rPr>
        <w:footnoteRef/>
      </w:r>
      <w:r>
        <w:t xml:space="preserve"> </w:t>
      </w:r>
      <w:r w:rsidRPr="00C6388C">
        <w:t>In 2024, Europol carried out 13</w:t>
      </w:r>
      <w:r>
        <w:t> </w:t>
      </w:r>
      <w:r w:rsidRPr="00C6388C">
        <w:t>704 manual and 194</w:t>
      </w:r>
      <w:r>
        <w:t> </w:t>
      </w:r>
      <w:r w:rsidRPr="00C6388C">
        <w:t>792 batch searches directly in EIS and generated 13</w:t>
      </w:r>
      <w:r>
        <w:t> </w:t>
      </w:r>
      <w:r w:rsidRPr="00C6388C">
        <w:t>409 Cross Match Reports and SIENA hit notifications.</w:t>
      </w:r>
      <w:r>
        <w:t xml:space="preserve"> </w:t>
      </w:r>
      <w:r w:rsidRPr="00C6388C">
        <w:t xml:space="preserve">If each case-triggered intake (manual or batch) were systematically accompanied by proportionate consultations of relevant EU </w:t>
      </w:r>
      <w:r>
        <w:t>information</w:t>
      </w:r>
      <w:r w:rsidRPr="00C6388C">
        <w:t xml:space="preserve"> systems (SIS, VIS, EURODAC, EES, ETIAS, ECRIS-TCN), this could imply in the order of </w:t>
      </w:r>
      <w:r w:rsidRPr="00587B13">
        <w:t>200</w:t>
      </w:r>
      <w:r w:rsidR="00587B13">
        <w:t> </w:t>
      </w:r>
      <w:r w:rsidRPr="00587B13">
        <w:t>000</w:t>
      </w:r>
      <w:r w:rsidRPr="00C6388C">
        <w:t> additional structured, logged queries annually at EU level</w:t>
      </w:r>
      <w:r>
        <w:t>.</w:t>
      </w:r>
    </w:p>
  </w:footnote>
  <w:footnote w:id="105">
    <w:p w14:paraId="7E443473" w14:textId="75E888A5" w:rsidR="00CB02AC" w:rsidRPr="0082690B" w:rsidRDefault="00CB02AC">
      <w:pPr>
        <w:pStyle w:val="FootnoteText"/>
        <w:rPr>
          <w:lang w:val="en-US"/>
        </w:rPr>
      </w:pPr>
      <w:r>
        <w:rPr>
          <w:rStyle w:val="FootnoteReference"/>
        </w:rPr>
        <w:footnoteRef/>
      </w:r>
      <w:r>
        <w:t xml:space="preserve"> </w:t>
      </w:r>
      <w:r w:rsidRPr="00CB02AC">
        <w:t>This would</w:t>
      </w:r>
      <w:r>
        <w:t xml:space="preserve"> entail</w:t>
      </w:r>
      <w:r w:rsidRPr="00CB02AC">
        <w:t xml:space="preserve"> scal</w:t>
      </w:r>
      <w:r>
        <w:t>ing</w:t>
      </w:r>
      <w:r w:rsidRPr="00CB02AC">
        <w:t xml:space="preserve"> up Europol’s ability to collect and analyse publicly available online information relevant to criminal investigations. It would involve specialised tools, analytical methods and dedicated staff to systematically integrate OSINT into Europol’s intelligence workflows.</w:t>
      </w:r>
    </w:p>
  </w:footnote>
  <w:footnote w:id="106">
    <w:p w14:paraId="682A6D7D" w14:textId="679EECE4" w:rsidR="00466B6E" w:rsidRPr="00466B6E" w:rsidRDefault="00466B6E">
      <w:pPr>
        <w:pStyle w:val="FootnoteText"/>
      </w:pPr>
      <w:r>
        <w:rPr>
          <w:rStyle w:val="FootnoteReference"/>
        </w:rPr>
        <w:footnoteRef/>
      </w:r>
      <w:r>
        <w:t xml:space="preserve"> </w:t>
      </w:r>
      <w:r w:rsidR="006B606D" w:rsidRPr="006B606D">
        <w:t>The Prüm II framework, established by Regulation (EU) 2024/982, is currently in the implementation phase, with the start of operations expected by 2027.</w:t>
      </w:r>
    </w:p>
  </w:footnote>
  <w:footnote w:id="107">
    <w:p w14:paraId="11D8420E" w14:textId="7C73586D" w:rsidR="000F3CE5" w:rsidRPr="000F3CE5" w:rsidRDefault="000F3CE5">
      <w:pPr>
        <w:pStyle w:val="FootnoteText"/>
      </w:pPr>
      <w:r>
        <w:rPr>
          <w:rStyle w:val="FootnoteReference"/>
        </w:rPr>
        <w:footnoteRef/>
      </w:r>
      <w:r>
        <w:t xml:space="preserve"> </w:t>
      </w:r>
      <w:r w:rsidRPr="000F3CE5">
        <w:t>Europol currently hosts roughly 17</w:t>
      </w:r>
      <w:r w:rsidR="006E040A">
        <w:t> </w:t>
      </w:r>
      <w:r w:rsidRPr="000F3CE5">
        <w:t>600 </w:t>
      </w:r>
      <w:r>
        <w:t>fingerprints sets</w:t>
      </w:r>
      <w:r w:rsidRPr="000F3CE5">
        <w:t> and 5</w:t>
      </w:r>
      <w:r w:rsidR="006E040A">
        <w:t xml:space="preserve"> </w:t>
      </w:r>
      <w:r w:rsidRPr="000F3CE5">
        <w:t>300 latent prints, around 450 DNA profiles, and about 3</w:t>
      </w:r>
      <w:r w:rsidR="006E040A">
        <w:t xml:space="preserve"> </w:t>
      </w:r>
      <w:r w:rsidRPr="000F3CE5">
        <w:t xml:space="preserve">500 facial images in </w:t>
      </w:r>
      <w:r>
        <w:t xml:space="preserve">the </w:t>
      </w:r>
      <w:r w:rsidRPr="000F3CE5">
        <w:t>EIS</w:t>
      </w:r>
      <w:r>
        <w:t xml:space="preserve">. </w:t>
      </w:r>
      <w:r w:rsidRPr="000F3CE5">
        <w:t>Extending the mandate to allow Europol to run Prüm II cross-checks not only on third-country biometrics but also on biometric data submitted by Member States would significantly enhance effectiveness. Instead of limiting queries to externally sourced datasets, Europol could systematically deconflict and </w:t>
      </w:r>
      <w:r w:rsidR="006E040A" w:rsidRPr="000F3CE5">
        <w:t>crossmatch</w:t>
      </w:r>
      <w:r w:rsidRPr="000F3CE5">
        <w:t> Member State-contributed biometric traces (e.g. latent prints from serious crime scenes) across the full Prüm network.</w:t>
      </w:r>
    </w:p>
  </w:footnote>
  <w:footnote w:id="108">
    <w:p w14:paraId="55666DAC" w14:textId="1EF0F67C" w:rsidR="00C62ACC" w:rsidRPr="00C62ACC" w:rsidRDefault="00C62ACC">
      <w:pPr>
        <w:pStyle w:val="FootnoteText"/>
      </w:pPr>
      <w:r>
        <w:rPr>
          <w:rStyle w:val="FootnoteReference"/>
        </w:rPr>
        <w:footnoteRef/>
      </w:r>
      <w:r>
        <w:t xml:space="preserve"> </w:t>
      </w:r>
      <w:r w:rsidRPr="00C62ACC">
        <w:t>This would not modify the Prüm II hit/no-hit architecture, nor grant Europol autonomous access rights</w:t>
      </w:r>
      <w:r>
        <w:t>.</w:t>
      </w:r>
    </w:p>
  </w:footnote>
  <w:footnote w:id="109">
    <w:p w14:paraId="7B6E571B" w14:textId="465C48D2" w:rsidR="004764D1" w:rsidRPr="00A84B05" w:rsidRDefault="004764D1">
      <w:pPr>
        <w:pStyle w:val="FootnoteText"/>
      </w:pPr>
      <w:r w:rsidRPr="00A84B05">
        <w:rPr>
          <w:rStyle w:val="FootnoteReference"/>
        </w:rPr>
        <w:footnoteRef/>
      </w:r>
      <w:r w:rsidRPr="00A84B05">
        <w:t xml:space="preserve"> DNA matching services are necessary tools to allow existing systems using DNA technology to work. </w:t>
      </w:r>
      <w:r w:rsidR="001B4423" w:rsidRPr="00A84B05">
        <w:t xml:space="preserve">Implementation would be progressive and evidence-based, starting with pilots and clear governance arrangements, preserving flexibility and trust. </w:t>
      </w:r>
      <w:r w:rsidRPr="00A84B05">
        <w:t>For more details on the EU DNA match</w:t>
      </w:r>
      <w:r w:rsidR="00FE2DB2">
        <w:t>ing</w:t>
      </w:r>
      <w:r w:rsidRPr="00A84B05">
        <w:t xml:space="preserve"> service, see Annex 9.</w:t>
      </w:r>
    </w:p>
  </w:footnote>
  <w:footnote w:id="110">
    <w:p w14:paraId="5FDE2F25" w14:textId="727AFB2C" w:rsidR="00F9576C" w:rsidRPr="00555968" w:rsidRDefault="00F9576C">
      <w:pPr>
        <w:pStyle w:val="FootnoteText"/>
        <w:rPr>
          <w:lang w:val="en-IE"/>
        </w:rPr>
      </w:pPr>
      <w:r>
        <w:rPr>
          <w:rStyle w:val="FootnoteReference"/>
        </w:rPr>
        <w:footnoteRef/>
      </w:r>
      <w:r>
        <w:t xml:space="preserve"> </w:t>
      </w:r>
      <w:r w:rsidR="007631CF">
        <w:t xml:space="preserve">This solution would also be expanded to other EU bodies and agencies, ensuring a semi-automated </w:t>
      </w:r>
      <w:r w:rsidR="007631CF" w:rsidRPr="00A07095">
        <w:t>and asymmetrical</w:t>
      </w:r>
      <w:r w:rsidR="007631CF">
        <w:t xml:space="preserve"> hit/no-hit system</w:t>
      </w:r>
      <w:r w:rsidR="007D6076">
        <w:rPr>
          <w:szCs w:val="24"/>
        </w:rPr>
        <w:t>.</w:t>
      </w:r>
    </w:p>
  </w:footnote>
  <w:footnote w:id="111">
    <w:p w14:paraId="15F22EEE" w14:textId="6FC4C071" w:rsidR="00404E99" w:rsidRPr="00404E99" w:rsidRDefault="00404E99" w:rsidP="00A95B8D">
      <w:pPr>
        <w:pStyle w:val="FootnoteText"/>
        <w:keepNext/>
        <w:keepLines/>
        <w:rPr>
          <w:lang w:val="en-IE"/>
        </w:rPr>
      </w:pPr>
      <w:r>
        <w:rPr>
          <w:rStyle w:val="FootnoteReference"/>
        </w:rPr>
        <w:footnoteRef/>
      </w:r>
      <w:r>
        <w:t xml:space="preserve"> </w:t>
      </w:r>
      <w:r w:rsidR="000F174B" w:rsidRPr="000F174B">
        <w:t xml:space="preserve">Policy Option 2 does not include a comparable operational support model for Eurojust, as the agency does not exercise investigative powers or conduct operational law enforcement activities. </w:t>
      </w:r>
    </w:p>
  </w:footnote>
  <w:footnote w:id="112">
    <w:p w14:paraId="2B90F9D6" w14:textId="71B1FB26" w:rsidR="00A2088C" w:rsidRPr="0082690B" w:rsidRDefault="00A2088C">
      <w:pPr>
        <w:pStyle w:val="FootnoteText"/>
        <w:rPr>
          <w:lang w:val="en-IE"/>
        </w:rPr>
      </w:pPr>
      <w:r w:rsidRPr="0082690B">
        <w:rPr>
          <w:rStyle w:val="FootnoteReference"/>
        </w:rPr>
        <w:footnoteRef/>
      </w:r>
      <w:r w:rsidR="56F82B30" w:rsidRPr="0082690B">
        <w:rPr>
          <w:lang w:val="en-IE"/>
        </w:rPr>
        <w:t xml:space="preserve"> </w:t>
      </w:r>
      <w:r w:rsidR="0034228B" w:rsidRPr="0082690B">
        <w:rPr>
          <w:rStyle w:val="Hyperlink"/>
          <w:color w:val="auto"/>
          <w:u w:val="none"/>
        </w:rPr>
        <w:t xml:space="preserve">Estimation based on the assumption that (i) 20% of law enforcement officers have criminal investigation skills, and (ii) the size of the European police workforce reported by Eurostat (2023): 1,537,588 police officers. </w:t>
      </w:r>
      <w:hyperlink r:id="rId5" w:anchor="Source_data_for_tables_and_graphs" w:history="1">
        <w:r w:rsidR="008916B2" w:rsidRPr="0082690B">
          <w:rPr>
            <w:rStyle w:val="Hyperlink"/>
            <w:color w:val="auto"/>
            <w:u w:val="none"/>
          </w:rPr>
          <w:t>Police, court and prison personnel statistics - Statistics Explained - Eurostat</w:t>
        </w:r>
      </w:hyperlink>
      <w:r w:rsidR="0082690B" w:rsidRPr="0082690B">
        <w:t>.</w:t>
      </w:r>
    </w:p>
  </w:footnote>
  <w:footnote w:id="113">
    <w:p w14:paraId="0338D756" w14:textId="3B161696" w:rsidR="009B526E" w:rsidRPr="009B526E" w:rsidRDefault="009B526E">
      <w:pPr>
        <w:pStyle w:val="FootnoteText"/>
      </w:pPr>
      <w:r>
        <w:rPr>
          <w:rStyle w:val="FootnoteReference"/>
        </w:rPr>
        <w:footnoteRef/>
      </w:r>
      <w:r>
        <w:t xml:space="preserve"> Including </w:t>
      </w:r>
      <w:r w:rsidRPr="00F46496">
        <w:t>SIENA, Videoconference for Operational Purposes (VCOP)</w:t>
      </w:r>
      <w:r>
        <w:t xml:space="preserve"> and</w:t>
      </w:r>
      <w:r w:rsidRPr="00F46496">
        <w:t xml:space="preserve"> Virtual Command Post (VCP)</w:t>
      </w:r>
      <w:r>
        <w:t>.</w:t>
      </w:r>
    </w:p>
  </w:footnote>
  <w:footnote w:id="114">
    <w:p w14:paraId="01031A0E" w14:textId="54727811" w:rsidR="004E3F54" w:rsidRPr="004E3F54" w:rsidRDefault="004E3F54">
      <w:pPr>
        <w:pStyle w:val="FootnoteText"/>
      </w:pPr>
      <w:r>
        <w:rPr>
          <w:rStyle w:val="FootnoteReference"/>
        </w:rPr>
        <w:footnoteRef/>
      </w:r>
      <w:r>
        <w:t xml:space="preserve"> </w:t>
      </w:r>
      <w:r w:rsidRPr="004E3F54">
        <w:t>API</w:t>
      </w:r>
      <w:r>
        <w:t>s</w:t>
      </w:r>
      <w:r w:rsidRPr="004E3F54">
        <w:t xml:space="preserve"> </w:t>
      </w:r>
      <w:r>
        <w:t>are</w:t>
      </w:r>
      <w:r w:rsidR="00057A74">
        <w:t xml:space="preserve"> sets</w:t>
      </w:r>
      <w:r w:rsidRPr="004E3F54">
        <w:t xml:space="preserve"> of rules and protocols that allows different software applications or systems to communicate and exchange data with each other.</w:t>
      </w:r>
    </w:p>
  </w:footnote>
  <w:footnote w:id="115">
    <w:p w14:paraId="2BE392CC" w14:textId="6615A48E" w:rsidR="007B7865" w:rsidRPr="00FD2510" w:rsidRDefault="007B7865" w:rsidP="007B7865">
      <w:pPr>
        <w:pStyle w:val="FootnoteText"/>
      </w:pPr>
      <w:r>
        <w:rPr>
          <w:rStyle w:val="FootnoteReference"/>
        </w:rPr>
        <w:footnoteRef/>
      </w:r>
      <w:r>
        <w:t xml:space="preserve"> The</w:t>
      </w:r>
      <w:r w:rsidRPr="00FD2510">
        <w:t xml:space="preserve"> Commission</w:t>
      </w:r>
      <w:r>
        <w:t>’s</w:t>
      </w:r>
      <w:r w:rsidRPr="00FD2510">
        <w:t xml:space="preserve"> report pursuant to Article 68(3) of the Europol Regulation</w:t>
      </w:r>
      <w:r w:rsidR="00F368F7">
        <w:t xml:space="preserve"> </w:t>
      </w:r>
      <w:r w:rsidR="00FF327F">
        <w:t>(</w:t>
      </w:r>
      <w:proofErr w:type="gramStart"/>
      <w:r w:rsidR="00F368F7" w:rsidRPr="00F368F7">
        <w:t>COM(</w:t>
      </w:r>
      <w:proofErr w:type="gramEnd"/>
      <w:r w:rsidR="00F368F7" w:rsidRPr="00F368F7">
        <w:t>2025) 752 final</w:t>
      </w:r>
      <w:r w:rsidR="00FF327F">
        <w:t>)</w:t>
      </w:r>
      <w:r w:rsidR="008B5C1F">
        <w:t xml:space="preserve"> </w:t>
      </w:r>
      <w:r w:rsidRPr="00FD2510">
        <w:t>illustrate</w:t>
      </w:r>
      <w:r w:rsidR="00FF327F">
        <w:t>s</w:t>
      </w:r>
      <w:r w:rsidRPr="00FD2510">
        <w:t xml:space="preserve"> that limited changes risk to </w:t>
      </w:r>
      <w:r>
        <w:t>perpetuate existing</w:t>
      </w:r>
      <w:r w:rsidRPr="00FD2510">
        <w:t xml:space="preserve"> shortcomings. </w:t>
      </w:r>
    </w:p>
  </w:footnote>
  <w:footnote w:id="116">
    <w:p w14:paraId="4E4C5AF3" w14:textId="77777777" w:rsidR="004E6765" w:rsidRPr="00A855E7" w:rsidRDefault="004E6765" w:rsidP="004E6765">
      <w:pPr>
        <w:pStyle w:val="FootnoteText"/>
      </w:pPr>
      <w:r>
        <w:rPr>
          <w:rStyle w:val="FootnoteReference"/>
        </w:rPr>
        <w:footnoteRef/>
      </w:r>
      <w:r>
        <w:t xml:space="preserve"> </w:t>
      </w:r>
      <w:r w:rsidRPr="006A326D">
        <w:t xml:space="preserve">Some </w:t>
      </w:r>
      <w:r>
        <w:t>stakeholders</w:t>
      </w:r>
      <w:r w:rsidRPr="006A326D">
        <w:t xml:space="preserve">, including the European People’s Party and Renew Europe, </w:t>
      </w:r>
      <w:r w:rsidRPr="00A855E7">
        <w:t>have called for strengthening Europol’s operational role, including proposals to grant enforcement powers</w:t>
      </w:r>
      <w:r>
        <w:t xml:space="preserve">. </w:t>
      </w:r>
      <w:hyperlink r:id="rId6" w:history="1">
        <w:r w:rsidRPr="00C31EA0">
          <w:rPr>
            <w:rStyle w:val="Hyperlink"/>
          </w:rPr>
          <w:t>https://www.epp.eu/files/uploads/2025/01/EPP-Retreat-Priorities-2025-statement.pdf</w:t>
        </w:r>
      </w:hyperlink>
    </w:p>
  </w:footnote>
  <w:footnote w:id="117">
    <w:p w14:paraId="4B491B41" w14:textId="26F487F5" w:rsidR="003B7BC4" w:rsidRPr="004B4C04" w:rsidRDefault="003B7BC4" w:rsidP="003B7BC4">
      <w:pPr>
        <w:pStyle w:val="FootnoteText"/>
      </w:pPr>
      <w:r>
        <w:rPr>
          <w:rStyle w:val="FootnoteReference"/>
        </w:rPr>
        <w:footnoteRef/>
      </w:r>
      <w:r>
        <w:t xml:space="preserve"> Detailed information is provided in Annex</w:t>
      </w:r>
      <w:r w:rsidR="00A83B5F">
        <w:t xml:space="preserve"> 3</w:t>
      </w:r>
      <w:r>
        <w:t>.</w:t>
      </w:r>
    </w:p>
  </w:footnote>
  <w:footnote w:id="118">
    <w:p w14:paraId="4EA764F4" w14:textId="6756C143" w:rsidR="003B7BC4" w:rsidRPr="004B4C04" w:rsidRDefault="003B7BC4" w:rsidP="003B7BC4">
      <w:pPr>
        <w:pStyle w:val="FootnoteText"/>
        <w:rPr>
          <w:lang w:val="en-IE"/>
        </w:rPr>
      </w:pPr>
      <w:r>
        <w:rPr>
          <w:rStyle w:val="FootnoteReference"/>
        </w:rPr>
        <w:footnoteRef/>
      </w:r>
      <w:r>
        <w:t xml:space="preserve"> </w:t>
      </w:r>
      <w:r w:rsidR="00847B3B">
        <w:t>See costs section of Annex 3</w:t>
      </w:r>
      <w:r w:rsidR="00E45072">
        <w:rPr>
          <w:lang w:val="en-IE"/>
        </w:rPr>
        <w:t>.</w:t>
      </w:r>
    </w:p>
  </w:footnote>
  <w:footnote w:id="119">
    <w:p w14:paraId="06D8C467" w14:textId="064113D7" w:rsidR="003B7BC4" w:rsidRPr="004B4C04" w:rsidRDefault="003B7BC4" w:rsidP="003B7BC4">
      <w:pPr>
        <w:pStyle w:val="FootnoteText"/>
        <w:rPr>
          <w:lang w:val="en-IE"/>
        </w:rPr>
      </w:pPr>
      <w:r>
        <w:rPr>
          <w:rStyle w:val="FootnoteReference"/>
        </w:rPr>
        <w:footnoteRef/>
      </w:r>
      <w:r>
        <w:t xml:space="preserve"> </w:t>
      </w:r>
      <w:r w:rsidR="00847B3B">
        <w:t>See costs section of Annex 3</w:t>
      </w:r>
      <w:r w:rsidR="00E45072">
        <w:rPr>
          <w:lang w:val="en-IE"/>
        </w:rPr>
        <w:t>.</w:t>
      </w:r>
    </w:p>
  </w:footnote>
  <w:footnote w:id="120">
    <w:p w14:paraId="44F35C24" w14:textId="3AAA2214" w:rsidR="003B7BC4" w:rsidRPr="00FA428C" w:rsidRDefault="003B7BC4" w:rsidP="003B7BC4">
      <w:pPr>
        <w:pStyle w:val="FootnoteText"/>
        <w:rPr>
          <w:lang w:val="en-IE"/>
        </w:rPr>
      </w:pPr>
      <w:r>
        <w:rPr>
          <w:rStyle w:val="FootnoteReference"/>
        </w:rPr>
        <w:footnoteRef/>
      </w:r>
      <w:r>
        <w:t xml:space="preserve"> </w:t>
      </w:r>
      <w:r w:rsidRPr="00FA428C">
        <w:t>These costs relate mainly to the upgrade and scaling of Europol’s core systems and the provision of technical support to Member States.</w:t>
      </w:r>
      <w:r w:rsidR="00A81343">
        <w:t xml:space="preserve"> These costs include the staff needed to provide the services.</w:t>
      </w:r>
    </w:p>
  </w:footnote>
  <w:footnote w:id="121">
    <w:p w14:paraId="472297CF" w14:textId="77777777" w:rsidR="003B7BC4" w:rsidRPr="00FA428C" w:rsidRDefault="003B7BC4" w:rsidP="003B7BC4">
      <w:pPr>
        <w:pStyle w:val="FootnoteText"/>
        <w:rPr>
          <w:lang w:val="en-IE"/>
        </w:rPr>
      </w:pPr>
      <w:r>
        <w:rPr>
          <w:rStyle w:val="FootnoteReference"/>
        </w:rPr>
        <w:footnoteRef/>
      </w:r>
      <w:r>
        <w:t xml:space="preserve"> </w:t>
      </w:r>
      <w:r>
        <w:rPr>
          <w:lang w:val="en-IE"/>
        </w:rPr>
        <w:t>C</w:t>
      </w:r>
      <w:r w:rsidRPr="00FA428C">
        <w:rPr>
          <w:lang w:val="en-IE"/>
        </w:rPr>
        <w:t>osts mainly concern the development of internal operational guidance, analytical tools and training activities aimed at improving the efficiency of data subject categorisation processes.</w:t>
      </w:r>
    </w:p>
  </w:footnote>
  <w:footnote w:id="122">
    <w:p w14:paraId="1526CC06" w14:textId="468C6EC4" w:rsidR="003B7BC4" w:rsidRPr="00FA428C" w:rsidRDefault="003B7BC4" w:rsidP="003B7BC4">
      <w:pPr>
        <w:pStyle w:val="FootnoteText"/>
        <w:rPr>
          <w:rFonts w:eastAsia="Times New Roman"/>
          <w:lang w:val="en-IE"/>
        </w:rPr>
      </w:pPr>
      <w:r w:rsidRPr="1795A579">
        <w:rPr>
          <w:rStyle w:val="FootnoteReference"/>
          <w:rFonts w:eastAsia="Times New Roman"/>
        </w:rPr>
        <w:footnoteRef/>
      </w:r>
      <w:r w:rsidRPr="1795A579">
        <w:rPr>
          <w:rFonts w:eastAsia="Times New Roman"/>
        </w:rPr>
        <w:t xml:space="preserve"> Costs relate primarily to specialised staff within a dedicated Europol support capacity responsible for operational analysis, cross-checks of operational data and digital forensic support for EPPO investigations.</w:t>
      </w:r>
      <w:r w:rsidR="3AE3990D" w:rsidRPr="1795A579">
        <w:rPr>
          <w:rFonts w:eastAsia="Times New Roman"/>
        </w:rPr>
        <w:t xml:space="preserve"> </w:t>
      </w:r>
      <w:r w:rsidR="703504C6" w:rsidRPr="1795A579">
        <w:rPr>
          <w:rFonts w:eastAsia="Times New Roman"/>
          <w:color w:val="000000" w:themeColor="text1"/>
          <w:sz w:val="19"/>
          <w:szCs w:val="19"/>
        </w:rPr>
        <w:t>52 additional officers would be required in 2026, gradually increasing to 66 officers by 2033, to meet the growing demand for support. The total annual cost of employing these additional officers is estimated to rise from €8.2 million in 2026 to €10.4 million by 2033.</w:t>
      </w:r>
    </w:p>
  </w:footnote>
  <w:footnote w:id="123">
    <w:p w14:paraId="0C6DC445" w14:textId="311244A9" w:rsidR="003B7BC4" w:rsidRPr="00FA428C" w:rsidRDefault="003B7BC4" w:rsidP="003B7BC4">
      <w:pPr>
        <w:pStyle w:val="FootnoteText"/>
        <w:rPr>
          <w:lang w:val="en-IE"/>
        </w:rPr>
      </w:pPr>
      <w:r>
        <w:rPr>
          <w:rStyle w:val="FootnoteReference"/>
        </w:rPr>
        <w:footnoteRef/>
      </w:r>
      <w:r>
        <w:t xml:space="preserve"> </w:t>
      </w:r>
      <w:r w:rsidRPr="00FA428C">
        <w:t>These costs relate to further development of the Europol</w:t>
      </w:r>
      <w:r w:rsidR="00602F00">
        <w:t>-</w:t>
      </w:r>
      <w:r w:rsidRPr="00FA428C">
        <w:t>Eurojust hit/no-hit information exchange mechanism and the consolidation of EU-level support for accessing electronic evidence.</w:t>
      </w:r>
    </w:p>
  </w:footnote>
  <w:footnote w:id="124">
    <w:p w14:paraId="6A0F467B" w14:textId="1E5F576C" w:rsidR="003B7BC4" w:rsidRPr="00FA428C" w:rsidRDefault="003B7BC4" w:rsidP="003B7BC4">
      <w:pPr>
        <w:pStyle w:val="FootnoteText"/>
        <w:rPr>
          <w:lang w:val="en-IE"/>
        </w:rPr>
      </w:pPr>
      <w:r>
        <w:rPr>
          <w:rStyle w:val="FootnoteReference"/>
        </w:rPr>
        <w:footnoteRef/>
      </w:r>
      <w:r>
        <w:t xml:space="preserve"> </w:t>
      </w:r>
      <w:r w:rsidR="00847B3B">
        <w:t>See costs</w:t>
      </w:r>
      <w:r w:rsidR="00033B82">
        <w:t xml:space="preserve"> </w:t>
      </w:r>
      <w:r w:rsidR="00847B3B">
        <w:t>section of</w:t>
      </w:r>
      <w:r w:rsidR="00033B82">
        <w:t xml:space="preserve"> Annex 3.</w:t>
      </w:r>
    </w:p>
  </w:footnote>
  <w:footnote w:id="125">
    <w:p w14:paraId="670FDE75" w14:textId="77777777" w:rsidR="003B7BC4" w:rsidRPr="00FA428C" w:rsidRDefault="003B7BC4" w:rsidP="003B7BC4">
      <w:pPr>
        <w:pStyle w:val="FootnoteText"/>
        <w:rPr>
          <w:lang w:val="en-IE"/>
        </w:rPr>
      </w:pPr>
      <w:r>
        <w:rPr>
          <w:rStyle w:val="FootnoteReference"/>
        </w:rPr>
        <w:footnoteRef/>
      </w:r>
      <w:r>
        <w:t xml:space="preserve"> </w:t>
      </w:r>
      <w:r>
        <w:rPr>
          <w:lang w:val="en-IE"/>
        </w:rPr>
        <w:t>C</w:t>
      </w:r>
      <w:r w:rsidRPr="00FA428C">
        <w:rPr>
          <w:lang w:val="en-IE"/>
        </w:rPr>
        <w:t>osts relate mainly to system adaptations enabling authorised access to national databases connected under EU frameworks, reinforced data management capacity and the development and operation of an EU DNA matching capability</w:t>
      </w:r>
      <w:r>
        <w:rPr>
          <w:lang w:val="en-IE"/>
        </w:rPr>
        <w:t>.</w:t>
      </w:r>
    </w:p>
  </w:footnote>
  <w:footnote w:id="126">
    <w:p w14:paraId="66D61F6B" w14:textId="77777777" w:rsidR="003B7BC4" w:rsidRPr="00623944" w:rsidRDefault="003B7BC4" w:rsidP="003B7BC4">
      <w:pPr>
        <w:pStyle w:val="FootnoteText"/>
      </w:pPr>
      <w:r>
        <w:rPr>
          <w:rStyle w:val="FootnoteReference"/>
        </w:rPr>
        <w:footnoteRef/>
      </w:r>
      <w:r>
        <w:t xml:space="preserve"> </w:t>
      </w:r>
      <w:r w:rsidRPr="00623944">
        <w:t>Costs relate mainly to infrastructure development, system integration, data migration and the operation of the EU Police Cloud platform, as well as the establishment of a secure EU Police Digital Identity framework for law enforcement user</w:t>
      </w:r>
      <w:r>
        <w:t>s.</w:t>
      </w:r>
    </w:p>
  </w:footnote>
  <w:footnote w:id="127">
    <w:p w14:paraId="44D0E374" w14:textId="394B5952" w:rsidR="00847B3B" w:rsidRPr="006A09FA" w:rsidRDefault="00847B3B">
      <w:pPr>
        <w:pStyle w:val="FootnoteText"/>
        <w:rPr>
          <w:lang w:val="en-US"/>
        </w:rPr>
      </w:pPr>
      <w:r>
        <w:rPr>
          <w:rStyle w:val="FootnoteReference"/>
        </w:rPr>
        <w:footnoteRef/>
      </w:r>
      <w:r>
        <w:t xml:space="preserve"> </w:t>
      </w:r>
      <w:r w:rsidRPr="006A09FA">
        <w:rPr>
          <w:lang w:val="en-US"/>
        </w:rPr>
        <w:t>See benefits s</w:t>
      </w:r>
      <w:r>
        <w:rPr>
          <w:lang w:val="en-US"/>
        </w:rPr>
        <w:t>ection of Annex 3.</w:t>
      </w:r>
    </w:p>
  </w:footnote>
  <w:footnote w:id="128">
    <w:p w14:paraId="758C3D09" w14:textId="60C7B393" w:rsidR="00685160" w:rsidRPr="00685160" w:rsidRDefault="00685160">
      <w:pPr>
        <w:pStyle w:val="FootnoteText"/>
      </w:pPr>
      <w:r>
        <w:rPr>
          <w:rStyle w:val="FootnoteReference"/>
        </w:rPr>
        <w:footnoteRef/>
      </w:r>
      <w:r w:rsidR="0015151D">
        <w:t xml:space="preserve">See </w:t>
      </w:r>
      <w:r w:rsidR="009D38A0">
        <w:t>costs section of Annex 3.</w:t>
      </w:r>
    </w:p>
  </w:footnote>
  <w:footnote w:id="129">
    <w:p w14:paraId="7A6731A8" w14:textId="14B5EC2C" w:rsidR="00C27C9D" w:rsidRPr="00C27C9D" w:rsidRDefault="00C27C9D">
      <w:pPr>
        <w:pStyle w:val="FootnoteText"/>
      </w:pPr>
      <w:r>
        <w:rPr>
          <w:rStyle w:val="FootnoteReference"/>
        </w:rPr>
        <w:footnoteRef/>
      </w:r>
      <w:r>
        <w:t xml:space="preserve"> </w:t>
      </w:r>
      <w:r w:rsidR="009D38A0">
        <w:t>See costs section of Annex 3.</w:t>
      </w:r>
    </w:p>
  </w:footnote>
  <w:footnote w:id="130">
    <w:p w14:paraId="3F8041CF" w14:textId="133B5341" w:rsidR="003B7BC4" w:rsidRPr="00E1189B" w:rsidRDefault="003B7BC4" w:rsidP="003B7BC4">
      <w:pPr>
        <w:pStyle w:val="FootnoteText"/>
      </w:pPr>
      <w:r w:rsidRPr="00E1189B">
        <w:rPr>
          <w:rStyle w:val="FootnoteReference"/>
        </w:rPr>
        <w:footnoteRef/>
      </w:r>
      <w:r w:rsidRPr="00E1189B">
        <w:t xml:space="preserve"> Costs primarily reflect the establishment of a dedicated EPPO support team within Europol responsible for operational analysis, cross-checks of operational data, digital forensic support and coordination of analytical activities supporting EPPO investigations</w:t>
      </w:r>
      <w:r w:rsidR="0082690B">
        <w:t>.</w:t>
      </w:r>
    </w:p>
  </w:footnote>
  <w:footnote w:id="131">
    <w:p w14:paraId="3669784B" w14:textId="436E91E5" w:rsidR="003B7BC4" w:rsidRPr="00E1189B" w:rsidRDefault="003B7BC4" w:rsidP="003B7BC4">
      <w:pPr>
        <w:pStyle w:val="FootnoteText"/>
      </w:pPr>
      <w:r w:rsidRPr="00E1189B">
        <w:rPr>
          <w:rStyle w:val="FootnoteReference"/>
        </w:rPr>
        <w:footnoteRef/>
      </w:r>
      <w:r w:rsidRPr="00E1189B">
        <w:t xml:space="preserve"> The necessary infrastructure and onboarding requirements are already covered.</w:t>
      </w:r>
      <w:r w:rsidR="00CD4F3F" w:rsidRPr="00E1189B">
        <w:t xml:space="preserve"> </w:t>
      </w:r>
    </w:p>
  </w:footnote>
  <w:footnote w:id="132">
    <w:p w14:paraId="72152E3B" w14:textId="08F67B86" w:rsidR="00ED251B" w:rsidRPr="00E1189B" w:rsidRDefault="00ED251B">
      <w:pPr>
        <w:pStyle w:val="FootnoteText"/>
      </w:pPr>
      <w:r w:rsidRPr="00E1189B">
        <w:rPr>
          <w:rStyle w:val="FootnoteReference"/>
        </w:rPr>
        <w:footnoteRef/>
      </w:r>
      <w:r w:rsidRPr="00E1189B">
        <w:t xml:space="preserve"> </w:t>
      </w:r>
      <w:r w:rsidRPr="00E1189B">
        <w:rPr>
          <w:lang w:val="en-US"/>
        </w:rPr>
        <w:t>See benefits section of Annex 3.</w:t>
      </w:r>
    </w:p>
  </w:footnote>
  <w:footnote w:id="133">
    <w:p w14:paraId="4FF4529A" w14:textId="1C0A8BEA" w:rsidR="00C141AE" w:rsidRPr="00C141AE" w:rsidRDefault="00C141AE">
      <w:pPr>
        <w:pStyle w:val="FootnoteText"/>
      </w:pPr>
      <w:r w:rsidRPr="00E1189B">
        <w:rPr>
          <w:rStyle w:val="FootnoteReference"/>
        </w:rPr>
        <w:footnoteRef/>
      </w:r>
      <w:r w:rsidRPr="00E1189B">
        <w:t xml:space="preserve"> See costs section of Annex 3</w:t>
      </w:r>
    </w:p>
  </w:footnote>
  <w:footnote w:id="134">
    <w:p w14:paraId="7258D988" w14:textId="065FE1FB" w:rsidR="008522FF" w:rsidRPr="00925357" w:rsidRDefault="008522FF">
      <w:pPr>
        <w:pStyle w:val="FootnoteText"/>
        <w:rPr>
          <w:lang w:val="en-US"/>
        </w:rPr>
      </w:pPr>
      <w:r>
        <w:rPr>
          <w:rStyle w:val="FootnoteReference"/>
        </w:rPr>
        <w:footnoteRef/>
      </w:r>
      <w:r>
        <w:t xml:space="preserve"> See costs section of Annex 3</w:t>
      </w:r>
    </w:p>
  </w:footnote>
  <w:footnote w:id="135">
    <w:p w14:paraId="4A95E0E7" w14:textId="0AA724BC" w:rsidR="00DA76CE" w:rsidRPr="0082690B" w:rsidRDefault="00DA76CE">
      <w:pPr>
        <w:pStyle w:val="FootnoteText"/>
        <w:rPr>
          <w:lang w:val="en-US"/>
        </w:rPr>
      </w:pPr>
      <w:r>
        <w:rPr>
          <w:rStyle w:val="FootnoteReference"/>
        </w:rPr>
        <w:footnoteRef/>
      </w:r>
      <w:r>
        <w:t xml:space="preserve"> </w:t>
      </w:r>
      <w:r w:rsidRPr="0082690B">
        <w:rPr>
          <w:lang w:val="en-US"/>
        </w:rPr>
        <w:t>F</w:t>
      </w:r>
      <w:r>
        <w:rPr>
          <w:lang w:val="en-US"/>
        </w:rPr>
        <w:t xml:space="preserve">or more details see </w:t>
      </w:r>
      <w:r w:rsidR="009330F1">
        <w:rPr>
          <w:lang w:val="en-US"/>
        </w:rPr>
        <w:t>A</w:t>
      </w:r>
      <w:r>
        <w:rPr>
          <w:lang w:val="en-US"/>
        </w:rPr>
        <w:t>nnex 3.</w:t>
      </w:r>
    </w:p>
  </w:footnote>
  <w:footnote w:id="136">
    <w:p w14:paraId="221A5CE8" w14:textId="06024C1A" w:rsidR="00A315B3" w:rsidRPr="00A315B3" w:rsidRDefault="00A315B3">
      <w:pPr>
        <w:pStyle w:val="FootnoteText"/>
      </w:pPr>
      <w:r w:rsidRPr="00D34AEF">
        <w:rPr>
          <w:rStyle w:val="FootnoteReference"/>
        </w:rPr>
        <w:footnoteRef/>
      </w:r>
      <w:r w:rsidRPr="00D34AEF">
        <w:t xml:space="preserve"> </w:t>
      </w:r>
      <w:r w:rsidR="0082690B" w:rsidRPr="00D34AEF">
        <w:t>For example, the Prüm II framework.</w:t>
      </w:r>
    </w:p>
  </w:footnote>
  <w:footnote w:id="137">
    <w:p w14:paraId="1703E931" w14:textId="2CFD3691" w:rsidR="00F2538F" w:rsidRPr="00F2538F" w:rsidRDefault="00F2538F">
      <w:pPr>
        <w:pStyle w:val="FootnoteText"/>
        <w:rPr>
          <w:lang w:val="en-IE"/>
        </w:rPr>
      </w:pPr>
      <w:r>
        <w:rPr>
          <w:rStyle w:val="FootnoteReference"/>
        </w:rPr>
        <w:footnoteRef/>
      </w:r>
      <w:r>
        <w:t xml:space="preserve"> </w:t>
      </w:r>
      <w:r>
        <w:rPr>
          <w:rFonts w:eastAsia="Times New Roman"/>
          <w:color w:val="000000" w:themeColor="text1"/>
        </w:rPr>
        <w:t>I</w:t>
      </w:r>
      <w:r w:rsidRPr="003F0DCC">
        <w:rPr>
          <w:rFonts w:eastAsia="Times New Roman"/>
          <w:color w:val="000000" w:themeColor="text1"/>
        </w:rPr>
        <w:t>ncluding the Consolidated Annual Activity Report, SIENA and EIS reporting, reporting on Member State contributions under Article 7(11)</w:t>
      </w:r>
      <w:r>
        <w:rPr>
          <w:rFonts w:eastAsia="Times New Roman"/>
          <w:color w:val="000000" w:themeColor="text1"/>
        </w:rPr>
        <w:t xml:space="preserve"> of Europol’s Regulation</w:t>
      </w:r>
      <w:r w:rsidRPr="003F0DCC">
        <w:rPr>
          <w:rFonts w:eastAsia="Times New Roman"/>
          <w:color w:val="000000" w:themeColor="text1"/>
        </w:rPr>
        <w:t>, and Management Board performance indicators</w:t>
      </w:r>
      <w:r>
        <w:rPr>
          <w:rFonts w:eastAsia="Times New Roman"/>
          <w:color w:val="000000" w:themeColor="text1"/>
        </w:rPr>
        <w:t>.</w:t>
      </w:r>
    </w:p>
  </w:footnote>
  <w:footnote w:id="138">
    <w:p w14:paraId="6E633BA5" w14:textId="5CD01767" w:rsidR="00830BAE" w:rsidRPr="0082690B" w:rsidRDefault="00830BAE">
      <w:pPr>
        <w:pStyle w:val="FootnoteText"/>
        <w:rPr>
          <w:lang w:val="en-IE"/>
        </w:rPr>
      </w:pPr>
      <w:r>
        <w:rPr>
          <w:rStyle w:val="FootnoteReference"/>
        </w:rPr>
        <w:footnoteRef/>
      </w:r>
      <w:r>
        <w:t xml:space="preserve"> </w:t>
      </w:r>
      <w:r>
        <w:rPr>
          <w:lang w:val="en-IE"/>
        </w:rPr>
        <w:t>See Annex 2.</w:t>
      </w:r>
    </w:p>
  </w:footnote>
  <w:footnote w:id="139">
    <w:p w14:paraId="1CBA7F9B" w14:textId="52D0E394" w:rsidR="00830BAE" w:rsidRPr="0082690B" w:rsidRDefault="00830BAE">
      <w:pPr>
        <w:pStyle w:val="FootnoteText"/>
        <w:rPr>
          <w:lang w:val="en-IE"/>
        </w:rPr>
      </w:pPr>
      <w:r>
        <w:rPr>
          <w:rStyle w:val="FootnoteReference"/>
        </w:rPr>
        <w:footnoteRef/>
      </w:r>
      <w:r>
        <w:t xml:space="preserve"> </w:t>
      </w:r>
      <w:r>
        <w:rPr>
          <w:lang w:val="en-IE"/>
        </w:rPr>
        <w:t>Ibid.</w:t>
      </w:r>
    </w:p>
  </w:footnote>
  <w:footnote w:id="140">
    <w:p w14:paraId="359D2CAB" w14:textId="38328A90" w:rsidR="00830BAE" w:rsidRPr="0082690B" w:rsidRDefault="00830BAE">
      <w:pPr>
        <w:pStyle w:val="FootnoteText"/>
        <w:rPr>
          <w:lang w:val="en-IE"/>
        </w:rPr>
      </w:pPr>
      <w:r>
        <w:rPr>
          <w:rStyle w:val="FootnoteReference"/>
        </w:rPr>
        <w:footnoteRef/>
      </w:r>
      <w:r>
        <w:t xml:space="preserve"> The draft final report of March 2026 </w:t>
      </w:r>
      <w:r w:rsidR="0016503D">
        <w:t>was</w:t>
      </w:r>
      <w:r>
        <w:t xml:space="preserve"> submitted to the RSB together with </w:t>
      </w:r>
      <w:r w:rsidR="0016503D">
        <w:t>the</w:t>
      </w:r>
      <w:r>
        <w:t xml:space="preserve"> draft </w:t>
      </w:r>
      <w:r w:rsidR="0016503D">
        <w:t xml:space="preserve">of this </w:t>
      </w:r>
      <w:r>
        <w:t xml:space="preserve">SWD. </w:t>
      </w:r>
    </w:p>
  </w:footnote>
  <w:footnote w:id="141">
    <w:p w14:paraId="49AE486E" w14:textId="1D0099E5" w:rsidR="10CC95A9" w:rsidRPr="006A09FA" w:rsidRDefault="10CC95A9">
      <w:pPr>
        <w:pStyle w:val="FootnoteText"/>
        <w:rPr>
          <w:lang w:val="en-IE"/>
        </w:rPr>
      </w:pPr>
      <w:r w:rsidRPr="007E0E71">
        <w:rPr>
          <w:rStyle w:val="FootnoteReference"/>
        </w:rPr>
        <w:footnoteRef/>
      </w:r>
      <w:r w:rsidRPr="007E0E71">
        <w:t xml:space="preserve"> </w:t>
      </w:r>
      <w:r w:rsidRPr="007E0E71">
        <w:rPr>
          <w:rFonts w:eastAsia="Times New Roman"/>
        </w:rPr>
        <w:t>See Political Guidelines</w:t>
      </w:r>
      <w:r w:rsidR="00967FB5" w:rsidRPr="007E0E71">
        <w:rPr>
          <w:rFonts w:eastAsia="Times New Roman"/>
        </w:rPr>
        <w:t xml:space="preserve"> for the Next European Commission 2024-2029</w:t>
      </w:r>
      <w:r w:rsidR="00D844CF" w:rsidRPr="007E0E71">
        <w:rPr>
          <w:rFonts w:eastAsia="Times New Roman"/>
        </w:rPr>
        <w:t xml:space="preserve"> &amp; ProtectEU</w:t>
      </w:r>
      <w:r w:rsidR="007E0E71" w:rsidRPr="007E0E71">
        <w:rPr>
          <w:rFonts w:eastAsia="Times New Roman"/>
        </w:rPr>
        <w:t>.</w:t>
      </w:r>
    </w:p>
  </w:footnote>
  <w:footnote w:id="142">
    <w:p w14:paraId="4B57AD47" w14:textId="75849326" w:rsidR="10CC95A9" w:rsidRPr="006A09FA" w:rsidRDefault="10CC95A9">
      <w:pPr>
        <w:pStyle w:val="FootnoteText"/>
        <w:rPr>
          <w:lang w:val="en-IE"/>
        </w:rPr>
      </w:pPr>
      <w:r>
        <w:rPr>
          <w:rStyle w:val="FootnoteReference"/>
        </w:rPr>
        <w:footnoteRef/>
      </w:r>
      <w:r>
        <w:t xml:space="preserve"> </w:t>
      </w:r>
      <w:r w:rsidR="001C2B83" w:rsidRPr="001B356E">
        <w:t xml:space="preserve">Joint Statement by the European Police Chiefs on the Future Development of </w:t>
      </w:r>
      <w:r w:rsidR="005A0F87" w:rsidRPr="001B356E">
        <w:t>Europol</w:t>
      </w:r>
      <w:r w:rsidR="00697AF0">
        <w:t>.</w:t>
      </w:r>
    </w:p>
  </w:footnote>
  <w:footnote w:id="143">
    <w:p w14:paraId="18C1194F" w14:textId="133B570B" w:rsidR="00B8714D" w:rsidRPr="0082690B" w:rsidRDefault="00B8714D">
      <w:pPr>
        <w:pStyle w:val="FootnoteText"/>
        <w:rPr>
          <w:lang w:val="en-IE"/>
        </w:rPr>
      </w:pPr>
      <w:r>
        <w:rPr>
          <w:rStyle w:val="FootnoteReference"/>
        </w:rPr>
        <w:footnoteRef/>
      </w:r>
      <w:r w:rsidRPr="0082690B">
        <w:rPr>
          <w:lang w:val="en-IE"/>
        </w:rPr>
        <w:t xml:space="preserve"> For further information, see t</w:t>
      </w:r>
      <w:r>
        <w:rPr>
          <w:lang w:val="en-IE"/>
        </w:rPr>
        <w:t xml:space="preserve">he factual summary report of </w:t>
      </w:r>
      <w:r>
        <w:t xml:space="preserve">the public consultation registered under </w:t>
      </w:r>
      <w:r w:rsidRPr="00154A3B">
        <w:t xml:space="preserve">Ares(2026)2806442 </w:t>
      </w:r>
      <w:r>
        <w:t xml:space="preserve">and published at </w:t>
      </w:r>
      <w:hyperlink r:id="rId7" w:history="1">
        <w:r w:rsidR="0082690B" w:rsidRPr="00320970">
          <w:rPr>
            <w:rStyle w:val="Hyperlink"/>
          </w:rPr>
          <w:t>https://ec.europa.eu/info/law/better-regulation/have-your-say/initiatives/14638-Law-enforcement-cooperation-new-Europol-regulation-proposal-/public-consultation_en</w:t>
        </w:r>
      </w:hyperlink>
      <w:r w:rsidR="00373F82">
        <w:t>.</w:t>
      </w:r>
    </w:p>
  </w:footnote>
  <w:footnote w:id="144">
    <w:p w14:paraId="149F96E0" w14:textId="583496E0" w:rsidR="76184D71" w:rsidRPr="0082690B" w:rsidRDefault="76184D71">
      <w:pPr>
        <w:pStyle w:val="FootnoteText"/>
        <w:rPr>
          <w:rFonts w:eastAsia="Times New Roman"/>
          <w:lang w:val="pt-BR"/>
        </w:rPr>
      </w:pPr>
      <w:r>
        <w:rPr>
          <w:rStyle w:val="FootnoteReference"/>
        </w:rPr>
        <w:footnoteRef/>
      </w:r>
      <w:r w:rsidRPr="0082690B">
        <w:rPr>
          <w:lang w:val="pt-BR"/>
        </w:rPr>
        <w:t xml:space="preserve"> </w:t>
      </w:r>
      <w:r w:rsidR="00B24530" w:rsidRPr="00116AAD">
        <w:rPr>
          <w:lang w:val="pt-BR"/>
        </w:rPr>
        <w:t>C</w:t>
      </w:r>
      <w:r w:rsidRPr="0082690B">
        <w:rPr>
          <w:rFonts w:eastAsia="Times New Roman"/>
          <w:color w:val="000000" w:themeColor="text1"/>
          <w:lang w:val="pt-BR"/>
        </w:rPr>
        <w:t xml:space="preserve">EPOL, EIGE, EUDA, </w:t>
      </w:r>
      <w:r w:rsidR="00BA0AC6" w:rsidRPr="0082690B">
        <w:rPr>
          <w:rFonts w:eastAsia="Times New Roman"/>
          <w:color w:val="000000" w:themeColor="text1"/>
          <w:lang w:val="pt-BR"/>
        </w:rPr>
        <w:t>eu</w:t>
      </w:r>
      <w:r w:rsidRPr="0082690B">
        <w:rPr>
          <w:rFonts w:eastAsia="Times New Roman"/>
          <w:color w:val="000000" w:themeColor="text1"/>
          <w:lang w:val="pt-BR"/>
        </w:rPr>
        <w:t>-</w:t>
      </w:r>
      <w:r w:rsidR="00BA0AC6" w:rsidRPr="0082690B">
        <w:rPr>
          <w:rFonts w:eastAsia="Times New Roman"/>
          <w:color w:val="000000" w:themeColor="text1"/>
          <w:lang w:val="pt-BR"/>
        </w:rPr>
        <w:t>LISA</w:t>
      </w:r>
      <w:r w:rsidRPr="0082690B">
        <w:rPr>
          <w:rFonts w:eastAsia="Times New Roman"/>
          <w:color w:val="000000" w:themeColor="text1"/>
          <w:lang w:val="pt-BR"/>
        </w:rPr>
        <w:t>, Eurojust, Frontex.</w:t>
      </w:r>
    </w:p>
  </w:footnote>
  <w:footnote w:id="145">
    <w:p w14:paraId="1C51F300" w14:textId="70E15D59" w:rsidR="59995F01" w:rsidRPr="0082690B" w:rsidRDefault="59995F01">
      <w:pPr>
        <w:pStyle w:val="FootnoteText"/>
        <w:rPr>
          <w:lang w:val="pt-BR"/>
        </w:rPr>
      </w:pPr>
      <w:r>
        <w:rPr>
          <w:rStyle w:val="FootnoteReference"/>
        </w:rPr>
        <w:footnoteRef/>
      </w:r>
      <w:r w:rsidRPr="0082690B">
        <w:rPr>
          <w:lang w:val="pt-BR"/>
        </w:rPr>
        <w:t xml:space="preserve"> </w:t>
      </w:r>
      <w:r w:rsidRPr="0082690B">
        <w:rPr>
          <w:rFonts w:eastAsia="Times New Roman"/>
          <w:color w:val="000000" w:themeColor="text1"/>
          <w:lang w:val="pt-BR"/>
        </w:rPr>
        <w:t>EEAS, EPPO, OLAF, EDPS.</w:t>
      </w:r>
    </w:p>
  </w:footnote>
  <w:footnote w:id="146">
    <w:p w14:paraId="0439DBE4" w14:textId="13BB8252" w:rsidR="743404DD" w:rsidRPr="00A61F7B" w:rsidRDefault="743404DD">
      <w:pPr>
        <w:pStyle w:val="FootnoteText"/>
        <w:rPr>
          <w:rFonts w:eastAsia="Times New Roman"/>
          <w:lang w:val="pt-BR"/>
        </w:rPr>
      </w:pPr>
      <w:r>
        <w:rPr>
          <w:rStyle w:val="FootnoteReference"/>
        </w:rPr>
        <w:footnoteRef/>
      </w:r>
      <w:r w:rsidRPr="00A61F7B">
        <w:rPr>
          <w:lang w:val="pt-BR"/>
        </w:rPr>
        <w:t xml:space="preserve"> </w:t>
      </w:r>
      <w:r w:rsidRPr="00A61F7B">
        <w:rPr>
          <w:rFonts w:eastAsia="Times New Roman"/>
          <w:color w:val="000000" w:themeColor="text1"/>
          <w:lang w:val="pt-BR"/>
        </w:rPr>
        <w:t>AIRPOL, ATLAS, EIFS, ESG, HRSN, RAILPOL.</w:t>
      </w:r>
    </w:p>
  </w:footnote>
  <w:footnote w:id="147">
    <w:p w14:paraId="4F457F1C" w14:textId="22F604E6" w:rsidR="11D85C4F" w:rsidRPr="00513F1F" w:rsidRDefault="11D85C4F">
      <w:pPr>
        <w:pStyle w:val="FootnoteText"/>
        <w:rPr>
          <w:lang w:val="en-IE"/>
        </w:rPr>
      </w:pPr>
      <w:r>
        <w:rPr>
          <w:rStyle w:val="FootnoteReference"/>
        </w:rPr>
        <w:footnoteRef/>
      </w:r>
      <w:r>
        <w:t xml:space="preserve"> </w:t>
      </w:r>
      <w:r w:rsidRPr="11D85C4F">
        <w:rPr>
          <w:rFonts w:eastAsia="Times New Roman"/>
          <w:color w:val="000000" w:themeColor="text1"/>
        </w:rPr>
        <w:t xml:space="preserve">Australia, Brazil, Switzerland, </w:t>
      </w:r>
      <w:r w:rsidR="0016503D" w:rsidRPr="0016503D">
        <w:rPr>
          <w:rFonts w:eastAsia="Times New Roman"/>
          <w:color w:val="000000" w:themeColor="text1"/>
        </w:rPr>
        <w:t>Türkiye</w:t>
      </w:r>
      <w:r w:rsidRPr="11D85C4F">
        <w:rPr>
          <w:rFonts w:eastAsia="Times New Roman"/>
          <w:color w:val="000000" w:themeColor="text1"/>
        </w:rPr>
        <w:t>.</w:t>
      </w:r>
    </w:p>
  </w:footnote>
  <w:footnote w:id="148">
    <w:p w14:paraId="5269312C" w14:textId="715AC25A" w:rsidR="1F3A287F" w:rsidRPr="00513F1F" w:rsidRDefault="1F3A287F">
      <w:pPr>
        <w:pStyle w:val="FootnoteText"/>
        <w:rPr>
          <w:lang w:val="en-IE"/>
        </w:rPr>
      </w:pPr>
      <w:r>
        <w:rPr>
          <w:rStyle w:val="FootnoteReference"/>
        </w:rPr>
        <w:footnoteRef/>
      </w:r>
      <w:r>
        <w:t xml:space="preserve"> Interpol.</w:t>
      </w:r>
    </w:p>
  </w:footnote>
  <w:footnote w:id="149">
    <w:p w14:paraId="22601E38" w14:textId="62114221" w:rsidR="02AD5356" w:rsidRPr="00513F1F" w:rsidRDefault="02AD5356">
      <w:pPr>
        <w:pStyle w:val="FootnoteText"/>
        <w:rPr>
          <w:lang w:val="en-IE"/>
        </w:rPr>
      </w:pPr>
      <w:r>
        <w:rPr>
          <w:rStyle w:val="FootnoteReference"/>
        </w:rPr>
        <w:footnoteRef/>
      </w:r>
      <w:r>
        <w:t xml:space="preserve"> </w:t>
      </w:r>
      <w:r w:rsidRPr="02AD5356">
        <w:rPr>
          <w:rFonts w:eastAsia="Times New Roman"/>
          <w:color w:val="000000" w:themeColor="text1"/>
        </w:rPr>
        <w:t>European Banking Federation; FEPORT.</w:t>
      </w:r>
    </w:p>
  </w:footnote>
  <w:footnote w:id="150">
    <w:p w14:paraId="4F65781E" w14:textId="4EF3EC3E" w:rsidR="00C06613" w:rsidRPr="00AE4E2A" w:rsidRDefault="00C06613">
      <w:pPr>
        <w:pStyle w:val="FootnoteText"/>
        <w:rPr>
          <w:lang w:val="en-IE"/>
        </w:rPr>
      </w:pPr>
      <w:r>
        <w:rPr>
          <w:rStyle w:val="FootnoteReference"/>
        </w:rPr>
        <w:footnoteRef/>
      </w:r>
      <w:r w:rsidRPr="00AE4E2A">
        <w:rPr>
          <w:lang w:val="en-IE"/>
        </w:rPr>
        <w:t xml:space="preserve"> Missing Children Europe.</w:t>
      </w:r>
    </w:p>
  </w:footnote>
  <w:footnote w:id="151">
    <w:p w14:paraId="0B1D7E19" w14:textId="15366C33" w:rsidR="02AD5356" w:rsidRPr="00830BF7" w:rsidRDefault="02AD5356">
      <w:pPr>
        <w:pStyle w:val="FootnoteText"/>
        <w:rPr>
          <w:lang w:val="en-IE"/>
        </w:rPr>
      </w:pPr>
      <w:r>
        <w:rPr>
          <w:rStyle w:val="FootnoteReference"/>
        </w:rPr>
        <w:footnoteRef/>
      </w:r>
      <w:r w:rsidRPr="00AE4E2A">
        <w:rPr>
          <w:lang w:val="en-IE"/>
        </w:rPr>
        <w:t xml:space="preserve"> </w:t>
      </w:r>
      <w:r w:rsidRPr="00AE4E2A">
        <w:rPr>
          <w:rFonts w:eastAsia="Times New Roman"/>
          <w:color w:val="000000" w:themeColor="text1"/>
          <w:lang w:val="en-IE"/>
        </w:rPr>
        <w:t>Austria, Italy, The Netherlands, Slovenia, Sweden.</w:t>
      </w:r>
    </w:p>
  </w:footnote>
  <w:footnote w:id="152">
    <w:p w14:paraId="36E26C25" w14:textId="77777777" w:rsidR="00020903" w:rsidRPr="00020903" w:rsidRDefault="00020903" w:rsidP="00020903">
      <w:pPr>
        <w:pStyle w:val="FootnoteText"/>
      </w:pPr>
      <w:r>
        <w:rPr>
          <w:rStyle w:val="FootnoteReference"/>
        </w:rPr>
        <w:footnoteRef/>
      </w:r>
      <w:r>
        <w:t xml:space="preserve"> </w:t>
      </w:r>
      <w:r w:rsidRPr="3EB6C6B7">
        <w:rPr>
          <w:rFonts w:eastAsia="Times New Roman"/>
          <w:color w:val="000000" w:themeColor="text1"/>
        </w:rPr>
        <w:t>Germany, Finland, Belgium, Italy, Hungary, Bulgaria, Czechia, Latvia, Austria, Romania, Estonia, Portugal, Slovenia, Croatia, Cyprus, France, Ireland, Lithuania, Luxembourg, Malta, Netherlands, Poland, Slovakia, Sweden, noting the 109</w:t>
      </w:r>
      <w:r w:rsidRPr="3EB6C6B7">
        <w:rPr>
          <w:rFonts w:eastAsia="Times New Roman"/>
          <w:color w:val="000000" w:themeColor="text1"/>
          <w:vertAlign w:val="superscript"/>
        </w:rPr>
        <w:t>th</w:t>
      </w:r>
      <w:r w:rsidRPr="3EB6C6B7">
        <w:rPr>
          <w:rFonts w:eastAsia="Times New Roman"/>
          <w:color w:val="000000" w:themeColor="text1"/>
        </w:rPr>
        <w:t xml:space="preserve"> response from the 24</w:t>
      </w:r>
      <w:r w:rsidRPr="3EB6C6B7">
        <w:rPr>
          <w:rFonts w:eastAsia="Times New Roman"/>
          <w:color w:val="000000" w:themeColor="text1"/>
          <w:vertAlign w:val="superscript"/>
        </w:rPr>
        <w:t>th</w:t>
      </w:r>
      <w:r w:rsidRPr="3EB6C6B7">
        <w:rPr>
          <w:rFonts w:eastAsia="Times New Roman"/>
          <w:color w:val="000000" w:themeColor="text1"/>
        </w:rPr>
        <w:t xml:space="preserve"> Europol Member State was received much later than the deadline for replies and has therefore still to be included in the report produced by the contractor. </w:t>
      </w:r>
      <w:r w:rsidRPr="3EB6C6B7">
        <w:rPr>
          <w:rFonts w:eastAsia="Times New Roman"/>
        </w:rPr>
        <w:t xml:space="preserve"> </w:t>
      </w:r>
    </w:p>
  </w:footnote>
  <w:footnote w:id="153">
    <w:p w14:paraId="54EE2C72" w14:textId="09B5E015" w:rsidR="3EB6C6B7" w:rsidRDefault="3EB6C6B7">
      <w:pPr>
        <w:pStyle w:val="FootnoteText"/>
        <w:rPr>
          <w:rFonts w:eastAsia="Times New Roman"/>
        </w:rPr>
      </w:pPr>
      <w:r>
        <w:rPr>
          <w:rStyle w:val="FootnoteReference"/>
        </w:rPr>
        <w:footnoteRef/>
      </w:r>
      <w:r>
        <w:t xml:space="preserve"> </w:t>
      </w:r>
      <w:r w:rsidRPr="3EB6C6B7">
        <w:rPr>
          <w:rFonts w:eastAsia="Times New Roman"/>
          <w:color w:val="000000" w:themeColor="text1"/>
        </w:rPr>
        <w:t>Due to the large number of responses from Germany (50) and as several other countries also provided multiple replies, the data was cleaned and collated at a country level to provide a single aggregated response per Member State. For each country, averages or sums were calculated across all the quantitative questions, and if any options in a multiple-choice question were selected this counted as a response.</w:t>
      </w:r>
    </w:p>
  </w:footnote>
  <w:footnote w:id="154">
    <w:p w14:paraId="01A56FC7" w14:textId="52A09C7A" w:rsidR="4C53E9B2" w:rsidRPr="0082690B" w:rsidRDefault="4C53E9B2">
      <w:pPr>
        <w:pStyle w:val="FootnoteText"/>
        <w:rPr>
          <w:rFonts w:eastAsia="Times New Roman"/>
          <w:lang w:val="pt-BR"/>
        </w:rPr>
      </w:pPr>
      <w:r>
        <w:rPr>
          <w:rStyle w:val="FootnoteReference"/>
        </w:rPr>
        <w:footnoteRef/>
      </w:r>
      <w:r w:rsidRPr="0082690B">
        <w:rPr>
          <w:lang w:val="pt-BR"/>
        </w:rPr>
        <w:t xml:space="preserve"> </w:t>
      </w:r>
      <w:r w:rsidRPr="4C53E9B2">
        <w:rPr>
          <w:rFonts w:eastAsia="Times New Roman"/>
          <w:color w:val="000000" w:themeColor="text1"/>
          <w:lang w:val="pt-BR"/>
        </w:rPr>
        <w:t>CEPOL, EIGE, eu-LISA, EUAA, EUDA, Eurojust, FRA, Frontex.</w:t>
      </w:r>
    </w:p>
  </w:footnote>
  <w:footnote w:id="155">
    <w:p w14:paraId="2E826F64" w14:textId="1ABB4671" w:rsidR="3EB6C6B7" w:rsidRPr="0082690B" w:rsidRDefault="3EB6C6B7">
      <w:pPr>
        <w:pStyle w:val="FootnoteText"/>
        <w:rPr>
          <w:rFonts w:eastAsia="Times New Roman"/>
          <w:lang w:val="pt-BR"/>
        </w:rPr>
      </w:pPr>
      <w:r>
        <w:rPr>
          <w:rStyle w:val="FootnoteReference"/>
        </w:rPr>
        <w:footnoteRef/>
      </w:r>
      <w:r w:rsidRPr="0082690B">
        <w:rPr>
          <w:lang w:val="pt-BR"/>
        </w:rPr>
        <w:t xml:space="preserve"> </w:t>
      </w:r>
      <w:r w:rsidRPr="0082690B">
        <w:rPr>
          <w:rFonts w:eastAsia="Times New Roman"/>
          <w:color w:val="000000" w:themeColor="text1"/>
          <w:lang w:val="pt-BR"/>
        </w:rPr>
        <w:t>ENISA, EPPO, OLAF.</w:t>
      </w:r>
    </w:p>
  </w:footnote>
  <w:footnote w:id="156">
    <w:p w14:paraId="2F06F910" w14:textId="7BA3D49E" w:rsidR="0F788045" w:rsidRPr="0082690B" w:rsidRDefault="0F788045">
      <w:pPr>
        <w:pStyle w:val="FootnoteText"/>
        <w:rPr>
          <w:rFonts w:eastAsia="Times New Roman"/>
          <w:lang w:val="pt-BR"/>
        </w:rPr>
      </w:pPr>
      <w:r>
        <w:rPr>
          <w:rStyle w:val="FootnoteReference"/>
        </w:rPr>
        <w:footnoteRef/>
      </w:r>
      <w:r w:rsidRPr="0082690B">
        <w:rPr>
          <w:lang w:val="pt-BR"/>
        </w:rPr>
        <w:t xml:space="preserve"> </w:t>
      </w:r>
      <w:r w:rsidRPr="0082690B">
        <w:rPr>
          <w:rFonts w:eastAsia="Times New Roman"/>
          <w:color w:val="000000" w:themeColor="text1"/>
          <w:lang w:val="pt-BR"/>
        </w:rPr>
        <w:t>ELA, EMSA.</w:t>
      </w:r>
    </w:p>
  </w:footnote>
  <w:footnote w:id="157">
    <w:p w14:paraId="6CCC05BF" w14:textId="582CBCF8" w:rsidR="0F788045" w:rsidRPr="0082690B" w:rsidRDefault="0F788045">
      <w:pPr>
        <w:pStyle w:val="FootnoteText"/>
        <w:rPr>
          <w:rFonts w:eastAsia="Times New Roman"/>
          <w:lang w:val="pt-BR"/>
        </w:rPr>
      </w:pPr>
      <w:r>
        <w:rPr>
          <w:rStyle w:val="FootnoteReference"/>
        </w:rPr>
        <w:footnoteRef/>
      </w:r>
      <w:r w:rsidRPr="0082690B">
        <w:rPr>
          <w:lang w:val="pt-BR"/>
        </w:rPr>
        <w:t xml:space="preserve"> </w:t>
      </w:r>
      <w:r w:rsidRPr="0082690B">
        <w:rPr>
          <w:rFonts w:eastAsia="Times New Roman"/>
          <w:color w:val="000000" w:themeColor="text1"/>
          <w:lang w:val="pt-BR"/>
        </w:rPr>
        <w:t>From Albania, Australia, Bosnia and Herzegovina, Brazil, Colombia, Ecuador, Georgia, Iceland, Japan, Kosovo, Moldova, North Macedonia, Norway, Switzerland, Türkiye, U</w:t>
      </w:r>
      <w:r w:rsidR="0016503D">
        <w:rPr>
          <w:rFonts w:eastAsia="Times New Roman"/>
          <w:color w:val="000000" w:themeColor="text1"/>
          <w:lang w:val="pt-BR"/>
        </w:rPr>
        <w:t>K</w:t>
      </w:r>
      <w:r w:rsidRPr="0082690B">
        <w:rPr>
          <w:rFonts w:eastAsia="Times New Roman"/>
          <w:color w:val="000000" w:themeColor="text1"/>
          <w:lang w:val="pt-BR"/>
        </w:rPr>
        <w:t>, Ukraine, USA.</w:t>
      </w:r>
    </w:p>
  </w:footnote>
  <w:footnote w:id="158">
    <w:p w14:paraId="321609E1" w14:textId="5F44FBDD" w:rsidR="0F788045" w:rsidRDefault="0F788045">
      <w:pPr>
        <w:pStyle w:val="FootnoteText"/>
        <w:rPr>
          <w:rFonts w:eastAsia="Times New Roman"/>
        </w:rPr>
      </w:pPr>
      <w:r>
        <w:rPr>
          <w:rStyle w:val="FootnoteReference"/>
        </w:rPr>
        <w:footnoteRef/>
      </w:r>
      <w:r>
        <w:t xml:space="preserve"> </w:t>
      </w:r>
      <w:r w:rsidRPr="0F788045">
        <w:rPr>
          <w:rFonts w:eastAsia="Times New Roman"/>
          <w:color w:val="000000" w:themeColor="text1"/>
        </w:rPr>
        <w:t>The 14</w:t>
      </w:r>
      <w:r w:rsidRPr="0F788045">
        <w:rPr>
          <w:rFonts w:eastAsia="Times New Roman"/>
          <w:color w:val="000000" w:themeColor="text1"/>
          <w:vertAlign w:val="superscript"/>
        </w:rPr>
        <w:t>th</w:t>
      </w:r>
      <w:r w:rsidRPr="0F788045">
        <w:rPr>
          <w:rFonts w:eastAsia="Times New Roman"/>
          <w:color w:val="000000" w:themeColor="text1"/>
        </w:rPr>
        <w:t xml:space="preserve"> response was received much later than the deadline for replies and has therefore still to be included in the report produced by the contractor.</w:t>
      </w:r>
    </w:p>
  </w:footnote>
  <w:footnote w:id="159">
    <w:p w14:paraId="078A4E9A" w14:textId="39EBBCB6" w:rsidR="00D141DB" w:rsidRPr="00D141DB" w:rsidRDefault="00D141DB">
      <w:pPr>
        <w:pStyle w:val="FootnoteText"/>
      </w:pPr>
      <w:r>
        <w:rPr>
          <w:rStyle w:val="FootnoteReference"/>
        </w:rPr>
        <w:footnoteRef/>
      </w:r>
      <w:r>
        <w:t xml:space="preserve"> </w:t>
      </w:r>
      <w:r w:rsidR="00DF2791">
        <w:t>Regulation (EU) 2019/817 &amp; Regulation (EU) 2019/818.</w:t>
      </w:r>
    </w:p>
  </w:footnote>
  <w:footnote w:id="160">
    <w:p w14:paraId="6EF1E461" w14:textId="0463FD3A" w:rsidR="000F1F35" w:rsidRPr="000F1F35" w:rsidRDefault="000F1F35" w:rsidP="00946F17">
      <w:pPr>
        <w:pStyle w:val="FootnoteText"/>
      </w:pPr>
      <w:r>
        <w:rPr>
          <w:rStyle w:val="FootnoteReference"/>
        </w:rPr>
        <w:footnoteRef/>
      </w:r>
      <w:r>
        <w:t xml:space="preserve"> As for instance in the </w:t>
      </w:r>
      <w:r w:rsidR="00661CF8">
        <w:t xml:space="preserve">impact assessment accompanying the </w:t>
      </w:r>
      <w:r>
        <w:t xml:space="preserve">JITs Collaboration </w:t>
      </w:r>
      <w:r w:rsidRPr="00946F17">
        <w:t>platform</w:t>
      </w:r>
      <w:r w:rsidR="00A00F8D">
        <w:t xml:space="preserve"> –</w:t>
      </w:r>
      <w:r w:rsidR="00946F17" w:rsidRPr="00946F17">
        <w:t xml:space="preserve"> </w:t>
      </w:r>
      <w:r w:rsidR="00946F17" w:rsidRPr="00946F17">
        <w:rPr>
          <w:lang w:val="en-US"/>
        </w:rPr>
        <w:t>development cost: €8.4 million</w:t>
      </w:r>
      <w:r w:rsidR="00A00F8D">
        <w:rPr>
          <w:lang w:val="en-US"/>
        </w:rPr>
        <w:t>;</w:t>
      </w:r>
      <w:r w:rsidR="00946F17" w:rsidRPr="00946F17">
        <w:rPr>
          <w:lang w:val="en-US"/>
        </w:rPr>
        <w:t xml:space="preserve"> annual maintenance and operation: €1.7 million. Ratio: 1.7/8.4≈20%</w:t>
      </w:r>
    </w:p>
  </w:footnote>
  <w:footnote w:id="161">
    <w:p w14:paraId="4CB69BAA" w14:textId="77777777" w:rsidR="0099332B" w:rsidRPr="00982147" w:rsidRDefault="0099332B" w:rsidP="0099332B">
      <w:pPr>
        <w:pStyle w:val="FootnoteText"/>
      </w:pPr>
      <w:r>
        <w:rPr>
          <w:rStyle w:val="FootnoteReference"/>
        </w:rPr>
        <w:footnoteRef/>
      </w:r>
      <w:r>
        <w:t xml:space="preserve"> </w:t>
      </w:r>
      <w:proofErr w:type="gramStart"/>
      <w:r>
        <w:t>SWD(</w:t>
      </w:r>
      <w:proofErr w:type="gramEnd"/>
      <w:r>
        <w:t>2021) 379.</w:t>
      </w:r>
    </w:p>
    <w:p w14:paraId="147E98C9" w14:textId="77777777" w:rsidR="0099332B" w:rsidRPr="001B356E" w:rsidRDefault="0099332B" w:rsidP="0099332B">
      <w:pPr>
        <w:pStyle w:val="FootnoteText"/>
        <w:rPr>
          <w:lang w:val="en-IE"/>
        </w:rPr>
      </w:pPr>
    </w:p>
  </w:footnote>
  <w:footnote w:id="162">
    <w:p w14:paraId="49056529" w14:textId="08B0205C" w:rsidR="004C3B0B" w:rsidRPr="004C3B0B" w:rsidRDefault="00AC75C1" w:rsidP="004C3B0B">
      <w:pPr>
        <w:pStyle w:val="FootnoteText"/>
        <w:rPr>
          <w:lang w:val="en-US"/>
        </w:rPr>
      </w:pPr>
      <w:r>
        <w:rPr>
          <w:rStyle w:val="FootnoteReference"/>
        </w:rPr>
        <w:footnoteRef/>
      </w:r>
      <w:r>
        <w:t xml:space="preserve"> </w:t>
      </w:r>
      <w:r w:rsidR="004C3B0B" w:rsidRPr="004C3B0B">
        <w:rPr>
          <w:lang w:val="en-US"/>
        </w:rPr>
        <w:t>COM</w:t>
      </w:r>
      <w:r w:rsidR="00FB6656">
        <w:rPr>
          <w:lang w:val="en-US"/>
        </w:rPr>
        <w:t xml:space="preserve"> (</w:t>
      </w:r>
      <w:r w:rsidR="004C3B0B" w:rsidRPr="004C3B0B">
        <w:rPr>
          <w:lang w:val="en-US"/>
        </w:rPr>
        <w:t>2021</w:t>
      </w:r>
      <w:r w:rsidR="00FB6656">
        <w:rPr>
          <w:lang w:val="en-US"/>
        </w:rPr>
        <w:t xml:space="preserve">) </w:t>
      </w:r>
      <w:r w:rsidR="004C3B0B" w:rsidRPr="004C3B0B">
        <w:rPr>
          <w:lang w:val="en-US"/>
        </w:rPr>
        <w:t>784 final</w:t>
      </w:r>
    </w:p>
    <w:p w14:paraId="034876EE" w14:textId="6F06BDAB" w:rsidR="00AC75C1" w:rsidRPr="00AC75C1" w:rsidRDefault="00AC75C1">
      <w:pPr>
        <w:pStyle w:val="FootnoteText"/>
      </w:pPr>
    </w:p>
  </w:footnote>
  <w:footnote w:id="163">
    <w:p w14:paraId="52F5C4C4" w14:textId="65AF2495" w:rsidR="00CA235C" w:rsidRPr="00DB7CBC" w:rsidRDefault="00CA235C" w:rsidP="0082690B">
      <w:pPr>
        <w:pStyle w:val="FootnoteText"/>
      </w:pPr>
      <w:r>
        <w:rPr>
          <w:rStyle w:val="FootnoteReference"/>
        </w:rPr>
        <w:footnoteRef/>
      </w:r>
      <w:r>
        <w:t xml:space="preserve"> </w:t>
      </w:r>
      <w:r w:rsidR="001F670B">
        <w:t>Eurostat</w:t>
      </w:r>
      <w:r w:rsidR="00116AAD">
        <w:t xml:space="preserve"> (March 2025)</w:t>
      </w:r>
      <w:r w:rsidR="001F670B">
        <w:t xml:space="preserve">, </w:t>
      </w:r>
      <w:r w:rsidR="001F670B" w:rsidRPr="0082690B">
        <w:rPr>
          <w:i/>
          <w:iCs/>
        </w:rPr>
        <w:t>Government expenditure on public order and safety</w:t>
      </w:r>
      <w:r w:rsidR="002E6E49">
        <w:t>, accessible at</w:t>
      </w:r>
      <w:r w:rsidR="00116AAD">
        <w:t xml:space="preserve">: </w:t>
      </w:r>
      <w:hyperlink r:id="rId8" w:history="1">
        <w:r w:rsidR="00116AAD" w:rsidRPr="00116AAD">
          <w:rPr>
            <w:rStyle w:val="Hyperlink"/>
          </w:rPr>
          <w:t>Government expenditure on public order and safety - Statistics Explained - Eurostat</w:t>
        </w:r>
      </w:hyperlink>
      <w:r w:rsidR="00116AAD" w:rsidRPr="00116AAD">
        <w:t xml:space="preserve"> </w:t>
      </w:r>
    </w:p>
  </w:footnote>
  <w:footnote w:id="164">
    <w:p w14:paraId="398A6B9F" w14:textId="218F102B" w:rsidR="00CA235C" w:rsidRPr="00982147" w:rsidRDefault="00CA235C" w:rsidP="00CA235C">
      <w:pPr>
        <w:pStyle w:val="FootnoteText"/>
      </w:pPr>
      <w:r>
        <w:rPr>
          <w:rStyle w:val="FootnoteReference"/>
        </w:rPr>
        <w:footnoteRef/>
      </w:r>
      <w:r>
        <w:t xml:space="preserve"> </w:t>
      </w:r>
      <w:r w:rsidRPr="00AB2D46">
        <w:t>SWD</w:t>
      </w:r>
      <w:r w:rsidR="00526E95">
        <w:t xml:space="preserve"> </w:t>
      </w:r>
      <w:r w:rsidRPr="00AB2D46">
        <w:t>(2025) 820 final</w:t>
      </w:r>
      <w:r w:rsidR="0082690B">
        <w:t>.</w:t>
      </w:r>
    </w:p>
  </w:footnote>
  <w:footnote w:id="165">
    <w:p w14:paraId="6D92D293" w14:textId="3E0126DE" w:rsidR="003D38F7" w:rsidRPr="003D38F7" w:rsidRDefault="003D38F7">
      <w:pPr>
        <w:pStyle w:val="FootnoteText"/>
      </w:pPr>
      <w:r>
        <w:rPr>
          <w:rStyle w:val="FootnoteReference"/>
        </w:rPr>
        <w:footnoteRef/>
      </w:r>
      <w:r>
        <w:t xml:space="preserve"> </w:t>
      </w:r>
      <w:r w:rsidRPr="003D38F7">
        <w:t>Austria, Italy, The Netherlands, Slovenia, Sweden.</w:t>
      </w:r>
    </w:p>
  </w:footnote>
  <w:footnote w:id="166">
    <w:p w14:paraId="13798C85" w14:textId="19E76AB1" w:rsidR="004F5240" w:rsidRPr="004F5240" w:rsidRDefault="004F5240">
      <w:pPr>
        <w:pStyle w:val="FootnoteText"/>
      </w:pPr>
      <w:r>
        <w:rPr>
          <w:rStyle w:val="FootnoteReference"/>
        </w:rPr>
        <w:footnoteRef/>
      </w:r>
      <w:r>
        <w:t xml:space="preserve"> More detailed information can be found in Annex 2 of the Staff Working Document.</w:t>
      </w:r>
    </w:p>
  </w:footnote>
  <w:footnote w:id="167">
    <w:p w14:paraId="16BC1A41" w14:textId="77777777" w:rsidR="00DB2FC6" w:rsidRPr="00992E4E" w:rsidRDefault="00DB2FC6" w:rsidP="00DB2FC6">
      <w:pPr>
        <w:pStyle w:val="FootnoteText"/>
      </w:pPr>
      <w:r>
        <w:rPr>
          <w:rStyle w:val="FootnoteReference"/>
        </w:rPr>
        <w:footnoteRef/>
      </w:r>
      <w:r>
        <w:t xml:space="preserve"> </w:t>
      </w:r>
      <w:r w:rsidRPr="00992E4E">
        <w:t xml:space="preserve">European Commission, </w:t>
      </w:r>
      <w:r w:rsidRPr="00992E4E">
        <w:rPr>
          <w:i/>
          <w:iCs/>
        </w:rPr>
        <w:t>Proposal for a Regulation on the European Union Agency for Law Enforcement Cooperation (Europol)</w:t>
      </w:r>
      <w:r w:rsidRPr="00992E4E">
        <w:t xml:space="preserve">, </w:t>
      </w:r>
      <w:proofErr w:type="gramStart"/>
      <w:r w:rsidRPr="00992E4E">
        <w:t>COM(</w:t>
      </w:r>
      <w:proofErr w:type="gramEnd"/>
      <w:r w:rsidRPr="00992E4E">
        <w:t xml:space="preserve">2013) 173 final, 27.3.2013, explanatory memorandum; European Commission, </w:t>
      </w:r>
      <w:r w:rsidRPr="00992E4E">
        <w:rPr>
          <w:i/>
          <w:iCs/>
        </w:rPr>
        <w:t>Impact Assessment accompanying the proposal for a Regulation on Europol</w:t>
      </w:r>
      <w:r w:rsidRPr="00992E4E">
        <w:t>, SWD(2013) 98 final, 27.3.2013; Recitals 1</w:t>
      </w:r>
      <w:r>
        <w:t>-</w:t>
      </w:r>
      <w:r w:rsidRPr="00992E4E">
        <w:t>6 of Regulation (EU) 2016/794</w:t>
      </w:r>
      <w:r>
        <w:t>.</w:t>
      </w:r>
    </w:p>
  </w:footnote>
  <w:footnote w:id="168">
    <w:p w14:paraId="4947F034" w14:textId="77777777" w:rsidR="00DB2FC6" w:rsidRPr="00CE5F71" w:rsidRDefault="00DB2FC6" w:rsidP="00DB2FC6">
      <w:pPr>
        <w:pStyle w:val="FootnoteText"/>
      </w:pPr>
      <w:r>
        <w:rPr>
          <w:rStyle w:val="FootnoteReference"/>
        </w:rPr>
        <w:footnoteRef/>
      </w:r>
      <w:r>
        <w:t xml:space="preserve"> </w:t>
      </w:r>
      <w:r w:rsidRPr="00CE5F71">
        <w:t>Article 3 of Regulation (EU) 2016/794</w:t>
      </w:r>
      <w:r>
        <w:t>.</w:t>
      </w:r>
    </w:p>
  </w:footnote>
  <w:footnote w:id="169">
    <w:p w14:paraId="67D6C465" w14:textId="77777777" w:rsidR="00DB2FC6" w:rsidRPr="00CE5F71" w:rsidRDefault="00DB2FC6" w:rsidP="00DB2FC6">
      <w:pPr>
        <w:pStyle w:val="FootnoteText"/>
      </w:pPr>
      <w:r>
        <w:rPr>
          <w:rStyle w:val="FootnoteReference"/>
        </w:rPr>
        <w:footnoteRef/>
      </w:r>
      <w:r>
        <w:t xml:space="preserve"> </w:t>
      </w:r>
      <w:r w:rsidRPr="00CE5F71">
        <w:t>Articles 4</w:t>
      </w:r>
      <w:r>
        <w:t>-</w:t>
      </w:r>
      <w:r w:rsidRPr="00CE5F71">
        <w:t>7 and Articles 17</w:t>
      </w:r>
      <w:r>
        <w:t>-</w:t>
      </w:r>
      <w:r w:rsidRPr="00CE5F71">
        <w:t>21 of Regulation (EU) 2016/794</w:t>
      </w:r>
      <w:r>
        <w:t>.</w:t>
      </w:r>
    </w:p>
  </w:footnote>
  <w:footnote w:id="170">
    <w:p w14:paraId="353937CD" w14:textId="77777777" w:rsidR="00DB2FC6" w:rsidRPr="00CE5F71" w:rsidRDefault="00DB2FC6" w:rsidP="00DB2FC6">
      <w:pPr>
        <w:pStyle w:val="FootnoteText"/>
      </w:pPr>
      <w:r>
        <w:rPr>
          <w:rStyle w:val="FootnoteReference"/>
        </w:rPr>
        <w:footnoteRef/>
      </w:r>
      <w:r>
        <w:t xml:space="preserve"> </w:t>
      </w:r>
      <w:proofErr w:type="gramStart"/>
      <w:r w:rsidRPr="00CE5F71">
        <w:t>SWD(</w:t>
      </w:r>
      <w:proofErr w:type="gramEnd"/>
      <w:r w:rsidRPr="00CE5F71">
        <w:t xml:space="preserve">2013) 98 final, </w:t>
      </w:r>
    </w:p>
  </w:footnote>
  <w:footnote w:id="171">
    <w:p w14:paraId="6F1E7688" w14:textId="77777777" w:rsidR="00DB2FC6" w:rsidRPr="00CE5F71" w:rsidRDefault="00DB2FC6" w:rsidP="00DB2FC6">
      <w:pPr>
        <w:pStyle w:val="FootnoteText"/>
      </w:pPr>
      <w:r>
        <w:rPr>
          <w:rStyle w:val="FootnoteReference"/>
        </w:rPr>
        <w:footnoteRef/>
      </w:r>
      <w:r>
        <w:t xml:space="preserve"> </w:t>
      </w:r>
      <w:r w:rsidRPr="00CE5F71">
        <w:t xml:space="preserve">European Commission, The EU Internal Security Strategy in Action, </w:t>
      </w:r>
      <w:proofErr w:type="gramStart"/>
      <w:r w:rsidRPr="00CE5F71">
        <w:t>COM(</w:t>
      </w:r>
      <w:proofErr w:type="gramEnd"/>
      <w:r w:rsidRPr="00CE5F71">
        <w:t>2010) 673 final</w:t>
      </w:r>
      <w:r>
        <w:t>.</w:t>
      </w:r>
    </w:p>
  </w:footnote>
  <w:footnote w:id="172">
    <w:p w14:paraId="7EB62F0C" w14:textId="77777777" w:rsidR="00DB2FC6" w:rsidRPr="00CE5F71" w:rsidRDefault="00DB2FC6" w:rsidP="00DB2FC6">
      <w:pPr>
        <w:pStyle w:val="FootnoteText"/>
      </w:pPr>
      <w:r>
        <w:rPr>
          <w:rStyle w:val="FootnoteReference"/>
        </w:rPr>
        <w:footnoteRef/>
      </w:r>
      <w:r>
        <w:t xml:space="preserve"> </w:t>
      </w:r>
      <w:r w:rsidRPr="00CE5F71">
        <w:t>A/RES/70/1, 2015</w:t>
      </w:r>
      <w:r>
        <w:t>.</w:t>
      </w:r>
    </w:p>
  </w:footnote>
  <w:footnote w:id="173">
    <w:p w14:paraId="04244FB1" w14:textId="77777777" w:rsidR="006A5346" w:rsidRPr="00B0326B" w:rsidRDefault="006A5346" w:rsidP="006A5346">
      <w:pPr>
        <w:pStyle w:val="FootnoteText"/>
        <w:rPr>
          <w:lang w:val="en-IE"/>
        </w:rPr>
      </w:pPr>
      <w:r>
        <w:rPr>
          <w:rStyle w:val="FootnoteReference"/>
        </w:rPr>
        <w:footnoteRef/>
      </w:r>
      <w:r>
        <w:t xml:space="preserve"> </w:t>
      </w:r>
      <w:r w:rsidRPr="00992E4E">
        <w:t>The extent and timing of this integration varied across Member States. Member States with direct connections between national case-management systems and SIENA recorded higher volumes of automated exchanges, while others continued to rely primarily on manual message entry through central contact points or Europol National Uni</w:t>
      </w:r>
      <w:r>
        <w:t>ts (</w:t>
      </w:r>
      <w:r w:rsidRPr="00B95FBC">
        <w:rPr>
          <w:rFonts w:eastAsia="Times New Roman"/>
          <w:lang w:eastAsia="fr-BE"/>
        </w:rPr>
        <w:t>External evaluation study, 2026</w:t>
      </w:r>
      <w:r>
        <w:rPr>
          <w:rFonts w:eastAsia="Times New Roman"/>
          <w:lang w:eastAsia="fr-BE"/>
        </w:rPr>
        <w:t>)</w:t>
      </w:r>
      <w:r w:rsidRPr="00B0326B">
        <w:t>.</w:t>
      </w:r>
    </w:p>
  </w:footnote>
  <w:footnote w:id="174">
    <w:p w14:paraId="0011F95E" w14:textId="77777777" w:rsidR="006A5346" w:rsidRPr="00992E4E" w:rsidRDefault="006A5346" w:rsidP="006A5346">
      <w:pPr>
        <w:pStyle w:val="FootnoteText"/>
      </w:pPr>
      <w:r>
        <w:rPr>
          <w:rStyle w:val="FootnoteReference"/>
        </w:rPr>
        <w:footnoteRef/>
      </w:r>
      <w:r>
        <w:t xml:space="preserve"> </w:t>
      </w:r>
      <w:r w:rsidRPr="00992E4E">
        <w:t xml:space="preserve">During the evaluation period, the Union adopted or developed several instruments relevant to police information exchange, including the Information Exchange Directive, Prüm II, the interoperability framework for EU information systems and the Digital Services Act, each of which created new interfaces or implementation tasks relevant to Europol’s information-management and ICT environment. </w:t>
      </w:r>
      <w:r>
        <w:t>T</w:t>
      </w:r>
      <w:r w:rsidRPr="00992E4E">
        <w:t>hese developments affected the technical and organisational environment in which SIENA, EIS and related tools operated during the period under evaluation.</w:t>
      </w:r>
    </w:p>
  </w:footnote>
  <w:footnote w:id="175">
    <w:p w14:paraId="4C984A3D" w14:textId="77777777" w:rsidR="006A5346" w:rsidRPr="0088534A" w:rsidRDefault="006A5346" w:rsidP="006A5346">
      <w:pPr>
        <w:pStyle w:val="FootnoteText"/>
        <w:rPr>
          <w:lang w:val="en-IE"/>
        </w:rPr>
      </w:pPr>
      <w:r>
        <w:rPr>
          <w:rStyle w:val="FootnoteReference"/>
        </w:rPr>
        <w:footnoteRef/>
      </w:r>
      <w:r>
        <w:t xml:space="preserve"> </w:t>
      </w:r>
      <w:r w:rsidRPr="0088534A">
        <w:t>Directive (EU) 2023/977 of the European Parliament and of the Council of 10 May 2023 on the exchange of information between law enforcement authorities of Member States and repealing Council Framework Decision 2006/960/JHA.</w:t>
      </w:r>
    </w:p>
  </w:footnote>
  <w:footnote w:id="176">
    <w:p w14:paraId="0964DDC2" w14:textId="77777777" w:rsidR="006A5346" w:rsidRPr="0088534A" w:rsidRDefault="006A5346" w:rsidP="006A5346">
      <w:pPr>
        <w:pStyle w:val="FootnoteText"/>
        <w:rPr>
          <w:lang w:val="en-IE"/>
        </w:rPr>
      </w:pPr>
      <w:r>
        <w:rPr>
          <w:rStyle w:val="FootnoteReference"/>
        </w:rPr>
        <w:footnoteRef/>
      </w:r>
      <w:r>
        <w:t xml:space="preserve"> </w:t>
      </w:r>
      <w:r>
        <w:rPr>
          <w:rFonts w:eastAsia="Times New Roman"/>
          <w:lang w:eastAsia="fr-BE"/>
        </w:rPr>
        <w:t>E</w:t>
      </w:r>
      <w:r w:rsidRPr="00E25B5D">
        <w:rPr>
          <w:rFonts w:eastAsia="Times New Roman"/>
          <w:lang w:eastAsia="fr-BE"/>
        </w:rPr>
        <w:t>xternal evaluation study supporting the evaluation and impact assessment of Regulation (EU) 2016/794</w:t>
      </w:r>
      <w:r>
        <w:rPr>
          <w:rFonts w:eastAsia="Times New Roman"/>
          <w:lang w:eastAsia="fr-BE"/>
        </w:rPr>
        <w:t>, 2026.</w:t>
      </w:r>
    </w:p>
  </w:footnote>
  <w:footnote w:id="177">
    <w:p w14:paraId="7D9C032F" w14:textId="77777777" w:rsidR="006A5346" w:rsidRPr="0088534A" w:rsidRDefault="006A5346" w:rsidP="006A5346">
      <w:pPr>
        <w:pStyle w:val="FootnoteText"/>
      </w:pPr>
      <w:r>
        <w:rPr>
          <w:rStyle w:val="FootnoteReference"/>
        </w:rPr>
        <w:footnoteRef/>
      </w:r>
      <w:r>
        <w:t xml:space="preserve"> </w:t>
      </w:r>
      <w:r>
        <w:rPr>
          <w:rFonts w:eastAsia="Times New Roman"/>
          <w:lang w:eastAsia="fr-BE"/>
        </w:rPr>
        <w:t>E</w:t>
      </w:r>
      <w:r w:rsidRPr="00E25B5D">
        <w:rPr>
          <w:rFonts w:eastAsia="Times New Roman"/>
          <w:lang w:eastAsia="fr-BE"/>
        </w:rPr>
        <w:t>xternal evaluation study supporting the evaluation and impact assessment of Regulation (EU) 2016/794</w:t>
      </w:r>
      <w:r>
        <w:rPr>
          <w:rFonts w:eastAsia="Times New Roman"/>
          <w:lang w:eastAsia="fr-BE"/>
        </w:rPr>
        <w:t>, 2026.</w:t>
      </w:r>
    </w:p>
  </w:footnote>
  <w:footnote w:id="178">
    <w:p w14:paraId="65332C9D" w14:textId="77777777" w:rsidR="006A5346" w:rsidRPr="00992E4E" w:rsidRDefault="006A5346" w:rsidP="006A5346">
      <w:pPr>
        <w:pStyle w:val="FootnoteText"/>
        <w:rPr>
          <w:lang w:val="en-IE"/>
        </w:rPr>
      </w:pPr>
      <w:r>
        <w:rPr>
          <w:rStyle w:val="FootnoteReference"/>
        </w:rPr>
        <w:footnoteRef/>
      </w:r>
      <w:r>
        <w:t xml:space="preserve"> </w:t>
      </w:r>
      <w:r w:rsidRPr="00992E4E">
        <w:rPr>
          <w:rFonts w:eastAsia="Times New Roman"/>
        </w:rPr>
        <w:t>The development and use of EIS and QUEST during the evaluation period depended on how national authorities connected their domestic systems to Europol’s tools. Many Member States continued to use SIENA to request EIS cross-checks, as QUEST or other automated loaders had not yet been implemented. Data provision to EIS also remained uneven, with structured uploads, automated ingestion, and common formats not uniformly implemented across the Union.</w:t>
      </w:r>
      <w:r>
        <w:rPr>
          <w:rFonts w:eastAsia="Times New Roman"/>
        </w:rPr>
        <w:t xml:space="preserve"> (</w:t>
      </w:r>
      <w:r w:rsidRPr="00B95FBC">
        <w:rPr>
          <w:rFonts w:eastAsia="Times New Roman"/>
          <w:lang w:eastAsia="fr-BE"/>
        </w:rPr>
        <w:t>External evaluation study, 2026</w:t>
      </w:r>
      <w:r>
        <w:rPr>
          <w:rFonts w:eastAsia="Times New Roman"/>
          <w:lang w:eastAsia="fr-BE"/>
        </w:rPr>
        <w:t>).</w:t>
      </w:r>
    </w:p>
  </w:footnote>
  <w:footnote w:id="179">
    <w:p w14:paraId="77437DB1" w14:textId="77777777" w:rsidR="006A5346" w:rsidRPr="008A5EAA" w:rsidRDefault="006A5346" w:rsidP="006A5346">
      <w:pPr>
        <w:pStyle w:val="FootnoteText"/>
        <w:rPr>
          <w:lang w:val="en-IE"/>
        </w:rPr>
      </w:pPr>
      <w:r>
        <w:rPr>
          <w:rStyle w:val="FootnoteReference"/>
        </w:rPr>
        <w:footnoteRef/>
      </w:r>
      <w:r>
        <w:t xml:space="preserve"> </w:t>
      </w:r>
      <w:r w:rsidRPr="008A5EAA">
        <w:rPr>
          <w:rFonts w:eastAsia="Times New Roman"/>
        </w:rPr>
        <w:t xml:space="preserve">Europol Consolidated </w:t>
      </w:r>
      <w:r>
        <w:rPr>
          <w:rFonts w:eastAsia="Times New Roman"/>
        </w:rPr>
        <w:t>a</w:t>
      </w:r>
      <w:r w:rsidRPr="008A5EAA">
        <w:rPr>
          <w:rFonts w:eastAsia="Times New Roman"/>
        </w:rPr>
        <w:t xml:space="preserve">nnual </w:t>
      </w:r>
      <w:r>
        <w:rPr>
          <w:rFonts w:eastAsia="Times New Roman"/>
        </w:rPr>
        <w:t>a</w:t>
      </w:r>
      <w:r w:rsidRPr="008A5EAA">
        <w:rPr>
          <w:rFonts w:eastAsia="Times New Roman"/>
        </w:rPr>
        <w:t xml:space="preserve">ctivity </w:t>
      </w:r>
      <w:r>
        <w:rPr>
          <w:rFonts w:eastAsia="Times New Roman"/>
        </w:rPr>
        <w:t>r</w:t>
      </w:r>
      <w:r w:rsidRPr="008A5EAA">
        <w:rPr>
          <w:rFonts w:eastAsia="Times New Roman"/>
        </w:rPr>
        <w:t>eports</w:t>
      </w:r>
      <w:r>
        <w:rPr>
          <w:rFonts w:eastAsia="Times New Roman"/>
        </w:rPr>
        <w:t>.</w:t>
      </w:r>
    </w:p>
  </w:footnote>
  <w:footnote w:id="180">
    <w:p w14:paraId="7339D666" w14:textId="77777777" w:rsidR="006A5346" w:rsidRPr="00107460" w:rsidRDefault="006A5346" w:rsidP="006A5346">
      <w:pPr>
        <w:pStyle w:val="FootnoteText"/>
      </w:pPr>
      <w:r>
        <w:rPr>
          <w:rStyle w:val="FootnoteReference"/>
        </w:rPr>
        <w:footnoteRef/>
      </w:r>
      <w:r>
        <w:t xml:space="preserve"> </w:t>
      </w:r>
      <w:r w:rsidRPr="00107460">
        <w:t>Council Decision 2009/371/JHA establishing the European Police Office (Europol), OJ L 121, 15.5.2009, Articles 10</w:t>
      </w:r>
      <w:r>
        <w:t>-</w:t>
      </w:r>
      <w:r w:rsidRPr="00107460">
        <w:t>14</w:t>
      </w:r>
      <w:r>
        <w:t>.</w:t>
      </w:r>
    </w:p>
  </w:footnote>
  <w:footnote w:id="181">
    <w:p w14:paraId="0CE304DD" w14:textId="77777777" w:rsidR="006A5346" w:rsidRPr="00107460" w:rsidRDefault="006A5346" w:rsidP="006A5346">
      <w:pPr>
        <w:pStyle w:val="FootnoteText"/>
      </w:pPr>
      <w:r>
        <w:rPr>
          <w:rStyle w:val="FootnoteReference"/>
        </w:rPr>
        <w:footnoteRef/>
      </w:r>
      <w:r>
        <w:t xml:space="preserve"> </w:t>
      </w:r>
      <w:r w:rsidRPr="00107460">
        <w:t>Europol, Annual General Report 2015, The Hague, 2016</w:t>
      </w:r>
      <w:r>
        <w:t>.</w:t>
      </w:r>
    </w:p>
  </w:footnote>
  <w:footnote w:id="182">
    <w:p w14:paraId="7C3E44DC" w14:textId="77777777" w:rsidR="006A5346" w:rsidRPr="00107460" w:rsidRDefault="006A5346" w:rsidP="006A5346">
      <w:pPr>
        <w:pStyle w:val="FootnoteText"/>
      </w:pPr>
      <w:r>
        <w:rPr>
          <w:rStyle w:val="FootnoteReference"/>
        </w:rPr>
        <w:footnoteRef/>
      </w:r>
      <w:r>
        <w:t xml:space="preserve"> </w:t>
      </w:r>
      <w:r w:rsidRPr="00107460">
        <w:t>Europol, Consolidated Annual Activity Report 2016, The Hague, 2017, p. 12</w:t>
      </w:r>
      <w:r>
        <w:t>.</w:t>
      </w:r>
    </w:p>
  </w:footnote>
  <w:footnote w:id="183">
    <w:p w14:paraId="7BE49D0F" w14:textId="77777777" w:rsidR="006A5346" w:rsidRPr="00107460" w:rsidRDefault="006A5346" w:rsidP="006A5346">
      <w:pPr>
        <w:pStyle w:val="FootnoteText"/>
      </w:pPr>
      <w:r>
        <w:rPr>
          <w:rStyle w:val="FootnoteReference"/>
        </w:rPr>
        <w:footnoteRef/>
      </w:r>
      <w:r>
        <w:t xml:space="preserve"> </w:t>
      </w:r>
      <w:r w:rsidRPr="00107460">
        <w:t>Europol, Consolidated Annual Activity Report 2016, pp. 11–14</w:t>
      </w:r>
      <w:r>
        <w:t>.</w:t>
      </w:r>
    </w:p>
  </w:footnote>
  <w:footnote w:id="184">
    <w:p w14:paraId="0C6A5372" w14:textId="77777777" w:rsidR="006A5346" w:rsidRPr="00194455" w:rsidRDefault="006A5346" w:rsidP="006A5346">
      <w:pPr>
        <w:pStyle w:val="FootnoteText"/>
      </w:pPr>
      <w:r>
        <w:rPr>
          <w:rStyle w:val="FootnoteReference"/>
        </w:rPr>
        <w:footnoteRef/>
      </w:r>
      <w:r>
        <w:t xml:space="preserve"> </w:t>
      </w:r>
      <w:r w:rsidRPr="00194455">
        <w:t>Operational Task Forces are operational coordination structures supported by Europol that bring together investigators and analysts from several Member States to target priority criminal networks and conduct intelligence-led investigations</w:t>
      </w:r>
      <w:r>
        <w:t>.</w:t>
      </w:r>
    </w:p>
  </w:footnote>
  <w:footnote w:id="185">
    <w:p w14:paraId="660FEDCA" w14:textId="77777777" w:rsidR="006A5346" w:rsidRPr="00194455" w:rsidRDefault="006A5346" w:rsidP="006A5346">
      <w:pPr>
        <w:pStyle w:val="FootnoteText"/>
      </w:pPr>
      <w:r>
        <w:rPr>
          <w:rStyle w:val="FootnoteReference"/>
        </w:rPr>
        <w:footnoteRef/>
      </w:r>
      <w:r>
        <w:t xml:space="preserve"> </w:t>
      </w:r>
      <w:r w:rsidRPr="00194455">
        <w:t>Joint Investigation Teams are cooperation mechanisms enabling competent authorities from two or more countries to conduct joint criminal investigations for a specific purpose and limited period. Europol supports JITs by providing analytical, operational and coordination assistance</w:t>
      </w:r>
      <w:r>
        <w:t>.</w:t>
      </w:r>
    </w:p>
  </w:footnote>
  <w:footnote w:id="186">
    <w:p w14:paraId="0C225320" w14:textId="77089D52" w:rsidR="006A5346" w:rsidRPr="00194455" w:rsidRDefault="006A5346" w:rsidP="006A5346">
      <w:pPr>
        <w:pStyle w:val="FootnoteText"/>
      </w:pPr>
      <w:r>
        <w:rPr>
          <w:rStyle w:val="FootnoteReference"/>
        </w:rPr>
        <w:footnoteRef/>
      </w:r>
      <w:r>
        <w:t xml:space="preserve"> </w:t>
      </w:r>
      <w:r w:rsidRPr="00A322E8">
        <w:t>These operations involve coordinated law enforcement activities carried out simultaneously in several Member States and supported by Europol through operational coordination, criminal intelligence analysis and mobile office deployment</w:t>
      </w:r>
      <w:r>
        <w:t>.</w:t>
      </w:r>
      <w:r w:rsidR="3C99EBF3">
        <w:t xml:space="preserve"> They take place in the framework of EMPACT</w:t>
      </w:r>
      <w:r w:rsidR="002A56C6">
        <w:t>.</w:t>
      </w:r>
    </w:p>
  </w:footnote>
  <w:footnote w:id="187">
    <w:p w14:paraId="7457A105" w14:textId="264A5DBA" w:rsidR="00826B4E" w:rsidRPr="00EC3892" w:rsidRDefault="00826B4E">
      <w:pPr>
        <w:pStyle w:val="FootnoteText"/>
        <w:rPr>
          <w:lang w:val="en-IE"/>
        </w:rPr>
      </w:pPr>
      <w:r>
        <w:rPr>
          <w:rStyle w:val="FootnoteReference"/>
        </w:rPr>
        <w:footnoteRef/>
      </w:r>
      <w:r>
        <w:t xml:space="preserve"> </w:t>
      </w:r>
      <w:r>
        <w:rPr>
          <w:lang w:val="en-IE"/>
        </w:rPr>
        <w:t>Europol, Con</w:t>
      </w:r>
      <w:r w:rsidR="0023796E">
        <w:rPr>
          <w:lang w:val="en-IE"/>
        </w:rPr>
        <w:t>solidated</w:t>
      </w:r>
      <w:r>
        <w:rPr>
          <w:lang w:val="en-IE"/>
        </w:rPr>
        <w:t xml:space="preserve"> </w:t>
      </w:r>
      <w:r w:rsidR="0023796E" w:rsidRPr="004E5DA5">
        <w:rPr>
          <w:rFonts w:eastAsia="Times New Roman"/>
        </w:rPr>
        <w:t>Annual Activity Report</w:t>
      </w:r>
      <w:r w:rsidR="0023796E">
        <w:rPr>
          <w:rFonts w:eastAsia="Times New Roman"/>
        </w:rPr>
        <w:t>s 20</w:t>
      </w:r>
      <w:r w:rsidR="00B7414D">
        <w:rPr>
          <w:rFonts w:eastAsia="Times New Roman"/>
        </w:rPr>
        <w:t>17</w:t>
      </w:r>
      <w:r w:rsidR="0023796E">
        <w:rPr>
          <w:rFonts w:eastAsia="Times New Roman"/>
        </w:rPr>
        <w:t>, 2023, 2024.</w:t>
      </w:r>
    </w:p>
  </w:footnote>
  <w:footnote w:id="188">
    <w:p w14:paraId="1BDBA5F4" w14:textId="77777777" w:rsidR="006A5346" w:rsidRPr="00194455" w:rsidRDefault="006A5346" w:rsidP="006A5346">
      <w:pPr>
        <w:pStyle w:val="FootnoteText"/>
      </w:pPr>
      <w:r>
        <w:rPr>
          <w:rStyle w:val="FootnoteReference"/>
        </w:rPr>
        <w:footnoteRef/>
      </w:r>
      <w:r>
        <w:t xml:space="preserve"> </w:t>
      </w:r>
      <w:r w:rsidRPr="00194455">
        <w:t>In 2024, Europol also introduced a new internal management and monitoring framework for OTFs (OTF.360), although the operational impact of this new framework falls largely beyond the evaluation period</w:t>
      </w:r>
      <w:r>
        <w:t>.</w:t>
      </w:r>
    </w:p>
  </w:footnote>
  <w:footnote w:id="189">
    <w:p w14:paraId="547A4560" w14:textId="77777777" w:rsidR="006A5346" w:rsidRPr="00BC7C3A" w:rsidRDefault="006A5346" w:rsidP="006A5346">
      <w:pPr>
        <w:pStyle w:val="FootnoteText"/>
        <w:rPr>
          <w:lang w:val="en-IE"/>
        </w:rPr>
      </w:pPr>
      <w:r>
        <w:rPr>
          <w:rStyle w:val="FootnoteReference"/>
        </w:rPr>
        <w:footnoteRef/>
      </w:r>
      <w:r>
        <w:t xml:space="preserve"> </w:t>
      </w:r>
      <w:r w:rsidRPr="00BC7C3A">
        <w:t>Europol’s analytical products include the Serious and Organised Crime Threat Assessment (SOCTA), the Internet Organised Crime Threat Assessment (IOCTA), the EU Terrorism Situation and Trend Report (TE-SAT) and the European Financial and Economic Crime Threat Assessment (EFECTA)</w:t>
      </w:r>
      <w:r>
        <w:t>.</w:t>
      </w:r>
    </w:p>
  </w:footnote>
  <w:footnote w:id="190">
    <w:p w14:paraId="71C45581" w14:textId="77777777" w:rsidR="006A5346" w:rsidRPr="00194455" w:rsidRDefault="006A5346" w:rsidP="006A5346">
      <w:pPr>
        <w:pStyle w:val="FootnoteText"/>
      </w:pPr>
      <w:r>
        <w:rPr>
          <w:rStyle w:val="FootnoteReference"/>
        </w:rPr>
        <w:footnoteRef/>
      </w:r>
      <w:r>
        <w:t xml:space="preserve"> </w:t>
      </w:r>
      <w:r w:rsidRPr="00246F08">
        <w:rPr>
          <w:rFonts w:eastAsia="Times New Roman"/>
        </w:rPr>
        <w:t>Mobile offices allow investigators to access Europol databases and analytical tools in real time during operational actions and enable the immediate cross-checking of operational data against information stored in Europol systems.</w:t>
      </w:r>
    </w:p>
  </w:footnote>
  <w:footnote w:id="191">
    <w:p w14:paraId="141129B5" w14:textId="77777777" w:rsidR="006A5346" w:rsidRPr="004E5DA5" w:rsidRDefault="006A5346" w:rsidP="006A5346">
      <w:pPr>
        <w:pStyle w:val="FootnoteText"/>
      </w:pPr>
      <w:r>
        <w:rPr>
          <w:rStyle w:val="FootnoteReference"/>
        </w:rPr>
        <w:footnoteRef/>
      </w:r>
      <w:r>
        <w:t xml:space="preserve"> </w:t>
      </w:r>
      <w:r w:rsidRPr="004E5DA5">
        <w:rPr>
          <w:rFonts w:eastAsia="Times New Roman"/>
        </w:rPr>
        <w:t>Europol Consolidated Annual Activity Report 2016</w:t>
      </w:r>
      <w:r>
        <w:rPr>
          <w:rFonts w:eastAsia="Times New Roman"/>
        </w:rPr>
        <w:t>.</w:t>
      </w:r>
    </w:p>
  </w:footnote>
  <w:footnote w:id="192">
    <w:p w14:paraId="7179B155" w14:textId="77777777" w:rsidR="006A5346" w:rsidRPr="004E5DA5" w:rsidRDefault="006A5346" w:rsidP="006A5346">
      <w:pPr>
        <w:pStyle w:val="FootnoteText"/>
      </w:pPr>
      <w:r>
        <w:rPr>
          <w:rStyle w:val="FootnoteReference"/>
        </w:rPr>
        <w:footnoteRef/>
      </w:r>
      <w:r>
        <w:t xml:space="preserve"> </w:t>
      </w:r>
      <w:r w:rsidRPr="004E5DA5">
        <w:t>Europol Review 201</w:t>
      </w:r>
      <w:r>
        <w:t>6-</w:t>
      </w:r>
      <w:r w:rsidRPr="004E5DA5">
        <w:t>201</w:t>
      </w:r>
      <w:r>
        <w:t>7.</w:t>
      </w:r>
    </w:p>
  </w:footnote>
  <w:footnote w:id="193">
    <w:p w14:paraId="64950D00" w14:textId="77777777" w:rsidR="006A5346" w:rsidRPr="004E5DA5" w:rsidRDefault="006A5346" w:rsidP="006A5346">
      <w:pPr>
        <w:pStyle w:val="FootnoteText"/>
        <w:rPr>
          <w:lang w:val="en-IE"/>
        </w:rPr>
      </w:pPr>
      <w:r>
        <w:rPr>
          <w:rStyle w:val="FootnoteReference"/>
        </w:rPr>
        <w:footnoteRef/>
      </w:r>
      <w:r>
        <w:t xml:space="preserve"> </w:t>
      </w:r>
      <w:r w:rsidRPr="00E422BB">
        <w:t>Europol, Consolidated Annual Activity Reports 2017–2019</w:t>
      </w:r>
      <w:r>
        <w:t xml:space="preserve">. </w:t>
      </w:r>
      <w:r w:rsidRPr="004E5DA5">
        <w:t>Mobile offices were also used to support major international security events requiring enhanced operational coordination. In 2024, for example, Europol provided operational support during UEFA EURO 2024 and the Paris 2024 Olympic and Paralympic Games, including the deployment of staff and coordination support</w:t>
      </w:r>
      <w:r>
        <w:t>.</w:t>
      </w:r>
    </w:p>
  </w:footnote>
  <w:footnote w:id="194">
    <w:p w14:paraId="4520B468" w14:textId="77777777" w:rsidR="006A5346" w:rsidRPr="00E422BB" w:rsidRDefault="006A5346" w:rsidP="006A5346">
      <w:pPr>
        <w:pStyle w:val="FootnoteText"/>
      </w:pPr>
      <w:r>
        <w:rPr>
          <w:rStyle w:val="FootnoteReference"/>
        </w:rPr>
        <w:footnoteRef/>
      </w:r>
      <w:r>
        <w:t xml:space="preserve"> </w:t>
      </w:r>
      <w:r w:rsidRPr="00E422BB">
        <w:t>Some of these structures were already operational during the baseline period (2014-2016). The European Cybercrime Centre (EC3), established in 2013, supports investigations related to cybercrime, online fraud and child sexual exploitation and provides specialised capabilities such as digital forensics, malware analysis and cryptocurrency tracing. In 2016, Europol created the European Migrant Smuggling Centre (EMSC) to strengthen support to Member States in investigations targeting migrant smuggling networks</w:t>
      </w:r>
      <w:r>
        <w:t>.</w:t>
      </w:r>
    </w:p>
  </w:footnote>
  <w:footnote w:id="195">
    <w:p w14:paraId="12B5D9D8" w14:textId="77777777" w:rsidR="006A5346" w:rsidRPr="00EE25D6" w:rsidRDefault="006A5346" w:rsidP="006A5346">
      <w:pPr>
        <w:pStyle w:val="FootnoteText"/>
        <w:rPr>
          <w:lang w:val="en-IE"/>
        </w:rPr>
      </w:pPr>
      <w:r>
        <w:rPr>
          <w:rStyle w:val="FootnoteReference"/>
        </w:rPr>
        <w:footnoteRef/>
      </w:r>
      <w:r>
        <w:t xml:space="preserve"> </w:t>
      </w:r>
      <w:r w:rsidRPr="00EE25D6">
        <w:t>By 2023, the Innovation Lab had supported dozens of innovation projects and research initiatives involving law enforcement authorities, EU agencies, research institutions and private-sector partners, and contributed to the development and testing of analytical tools made available to the European policing community through Europol’s tool repository, which hosts more than 30 investigative tools</w:t>
      </w:r>
      <w:r>
        <w:t>.</w:t>
      </w:r>
    </w:p>
  </w:footnote>
  <w:footnote w:id="196">
    <w:p w14:paraId="6572E1B3" w14:textId="77777777" w:rsidR="006A5346" w:rsidRPr="00657E49" w:rsidRDefault="006A5346" w:rsidP="006A5346">
      <w:pPr>
        <w:pStyle w:val="FootnoteText"/>
      </w:pPr>
      <w:r>
        <w:rPr>
          <w:rStyle w:val="FootnoteReference"/>
        </w:rPr>
        <w:footnoteRef/>
      </w:r>
      <w:r>
        <w:t xml:space="preserve"> </w:t>
      </w:r>
      <w:r w:rsidRPr="00E82644">
        <w:rPr>
          <w:rFonts w:eastAsia="Times New Roman"/>
          <w:lang w:val="en-IE"/>
        </w:rPr>
        <w:t>Cooperation was primarily based on operational coordination, participation in joint meetings and information exchange through Europol systems.</w:t>
      </w:r>
      <w:r w:rsidRPr="00E25B5D">
        <w:rPr>
          <w:rFonts w:eastAsia="Times New Roman"/>
        </w:rPr>
        <w:t xml:space="preserve"> </w:t>
      </w:r>
    </w:p>
  </w:footnote>
  <w:footnote w:id="197">
    <w:p w14:paraId="03496CA5" w14:textId="77777777" w:rsidR="006A5346" w:rsidRPr="00657E49" w:rsidRDefault="006A5346" w:rsidP="006A5346">
      <w:pPr>
        <w:pStyle w:val="FootnoteText"/>
        <w:rPr>
          <w:lang w:val="en-IE"/>
        </w:rPr>
      </w:pPr>
      <w:r>
        <w:rPr>
          <w:rStyle w:val="FootnoteReference"/>
        </w:rPr>
        <w:footnoteRef/>
      </w:r>
      <w:r>
        <w:t xml:space="preserve"> Europol</w:t>
      </w:r>
      <w:r w:rsidRPr="00657E49">
        <w:t>, Consolidated Annual Activity Report 2016</w:t>
      </w:r>
      <w:r>
        <w:t>.</w:t>
      </w:r>
    </w:p>
  </w:footnote>
  <w:footnote w:id="198">
    <w:p w14:paraId="32D99689" w14:textId="77777777" w:rsidR="006A5346" w:rsidRPr="00657E49" w:rsidRDefault="006A5346" w:rsidP="006A5346">
      <w:pPr>
        <w:pStyle w:val="FootnoteText"/>
        <w:rPr>
          <w:lang w:val="en-IE"/>
        </w:rPr>
      </w:pPr>
      <w:r>
        <w:rPr>
          <w:rStyle w:val="FootnoteReference"/>
        </w:rPr>
        <w:footnoteRef/>
      </w:r>
      <w:r>
        <w:t xml:space="preserve"> Europol</w:t>
      </w:r>
      <w:r w:rsidRPr="00657E49">
        <w:t>, Consolidated Annual Activity Report 2016</w:t>
      </w:r>
      <w:r>
        <w:t>.</w:t>
      </w:r>
    </w:p>
  </w:footnote>
  <w:footnote w:id="199">
    <w:p w14:paraId="6070E022" w14:textId="77777777" w:rsidR="006A5346" w:rsidRPr="00E82644" w:rsidRDefault="006A5346" w:rsidP="006A5346">
      <w:pPr>
        <w:pStyle w:val="FootnoteText"/>
        <w:rPr>
          <w:lang w:val="en-IE"/>
        </w:rPr>
      </w:pPr>
      <w:r>
        <w:rPr>
          <w:rStyle w:val="FootnoteReference"/>
        </w:rPr>
        <w:footnoteRef/>
      </w:r>
      <w:r>
        <w:t xml:space="preserve"> </w:t>
      </w:r>
      <w:r w:rsidRPr="00E82644">
        <w:t>Regulation (EU) 2017/1939</w:t>
      </w:r>
      <w:r>
        <w:t>.</w:t>
      </w:r>
    </w:p>
  </w:footnote>
  <w:footnote w:id="200">
    <w:p w14:paraId="2EF6A783" w14:textId="77777777" w:rsidR="0061471B" w:rsidRPr="004E5DA5" w:rsidRDefault="0061471B" w:rsidP="0061471B">
      <w:pPr>
        <w:pStyle w:val="FootnoteText"/>
        <w:rPr>
          <w:lang w:val="en-IE"/>
        </w:rPr>
      </w:pPr>
      <w:r>
        <w:rPr>
          <w:rStyle w:val="FootnoteReference"/>
        </w:rPr>
        <w:footnoteRef/>
      </w:r>
      <w:r w:rsidRPr="004E5DA5">
        <w:rPr>
          <w:lang w:val="en-IE"/>
        </w:rPr>
        <w:t xml:space="preserve"> Europol Annual Reports 2017-2024.</w:t>
      </w:r>
    </w:p>
  </w:footnote>
  <w:footnote w:id="201">
    <w:p w14:paraId="4785090F" w14:textId="77777777" w:rsidR="0061471B" w:rsidRPr="00495928" w:rsidRDefault="0061471B" w:rsidP="0061471B">
      <w:pPr>
        <w:pStyle w:val="FootnoteText"/>
        <w:rPr>
          <w:lang w:val="en-IE"/>
        </w:rPr>
      </w:pPr>
      <w:r w:rsidRPr="00495928">
        <w:rPr>
          <w:rStyle w:val="FootnoteReference"/>
        </w:rPr>
        <w:footnoteRef/>
      </w:r>
      <w:r w:rsidRPr="00495928">
        <w:t xml:space="preserve"> Public consultation summary report, 2026.</w:t>
      </w:r>
    </w:p>
  </w:footnote>
  <w:footnote w:id="202">
    <w:p w14:paraId="55B94E54" w14:textId="77777777" w:rsidR="0061471B" w:rsidRPr="00495928" w:rsidRDefault="0061471B" w:rsidP="0061471B">
      <w:pPr>
        <w:pStyle w:val="FootnoteText"/>
        <w:rPr>
          <w:lang w:val="en-IE"/>
        </w:rPr>
      </w:pPr>
      <w:r w:rsidRPr="00495928">
        <w:rPr>
          <w:rStyle w:val="FootnoteReference"/>
        </w:rPr>
        <w:footnoteRef/>
      </w:r>
      <w:r w:rsidRPr="00495928">
        <w:t xml:space="preserve"> Member States focus group, January 2026.</w:t>
      </w:r>
    </w:p>
  </w:footnote>
  <w:footnote w:id="203">
    <w:p w14:paraId="40FECA1A" w14:textId="77777777" w:rsidR="0061471B" w:rsidRPr="00495928" w:rsidRDefault="0061471B" w:rsidP="0061471B">
      <w:pPr>
        <w:pStyle w:val="FootnoteText"/>
        <w:rPr>
          <w:lang w:val="en-IE"/>
        </w:rPr>
      </w:pPr>
      <w:r w:rsidRPr="00495928">
        <w:rPr>
          <w:rStyle w:val="FootnoteReference"/>
        </w:rPr>
        <w:footnoteRef/>
      </w:r>
      <w:r w:rsidRPr="00495928">
        <w:t xml:space="preserve"> Europol Annual Reports 2017-2024.</w:t>
      </w:r>
    </w:p>
  </w:footnote>
  <w:footnote w:id="204">
    <w:p w14:paraId="099C1C45" w14:textId="77777777" w:rsidR="0061471B" w:rsidRPr="00495928" w:rsidRDefault="0061471B" w:rsidP="0061471B">
      <w:pPr>
        <w:pStyle w:val="FootnoteText"/>
        <w:rPr>
          <w:lang w:val="en-IE"/>
        </w:rPr>
      </w:pPr>
      <w:r w:rsidRPr="00495928">
        <w:rPr>
          <w:rStyle w:val="FootnoteReference"/>
        </w:rPr>
        <w:footnoteRef/>
      </w:r>
      <w:r w:rsidRPr="00495928">
        <w:t xml:space="preserve"> External evaluation study, 2026.</w:t>
      </w:r>
    </w:p>
  </w:footnote>
  <w:footnote w:id="205">
    <w:p w14:paraId="44F527DB" w14:textId="77777777" w:rsidR="0061471B" w:rsidRPr="00495928" w:rsidRDefault="0061471B" w:rsidP="0061471B">
      <w:pPr>
        <w:pStyle w:val="FootnoteText"/>
        <w:rPr>
          <w:lang w:val="en-IE"/>
        </w:rPr>
      </w:pPr>
      <w:r w:rsidRPr="00495928">
        <w:rPr>
          <w:rStyle w:val="FootnoteReference"/>
        </w:rPr>
        <w:footnoteRef/>
      </w:r>
      <w:r w:rsidRPr="00495928">
        <w:t xml:space="preserve"> Europol Annual Reports 2017-2024.</w:t>
      </w:r>
    </w:p>
  </w:footnote>
  <w:footnote w:id="206">
    <w:p w14:paraId="0C06DD85" w14:textId="77777777" w:rsidR="0061471B" w:rsidRPr="00495928" w:rsidRDefault="0061471B" w:rsidP="0061471B">
      <w:pPr>
        <w:pStyle w:val="FootnoteText"/>
        <w:rPr>
          <w:lang w:val="en-IE"/>
        </w:rPr>
      </w:pPr>
      <w:r w:rsidRPr="00495928">
        <w:rPr>
          <w:rStyle w:val="FootnoteReference"/>
        </w:rPr>
        <w:footnoteRef/>
      </w:r>
      <w:r w:rsidRPr="00495928">
        <w:t xml:space="preserve"> Public consultation summary report, 2026.</w:t>
      </w:r>
    </w:p>
  </w:footnote>
  <w:footnote w:id="207">
    <w:p w14:paraId="7E6CEC70" w14:textId="77777777" w:rsidR="0061471B" w:rsidRPr="00B95FBC" w:rsidRDefault="0061471B" w:rsidP="0061471B">
      <w:pPr>
        <w:pStyle w:val="FootnoteText"/>
        <w:rPr>
          <w:lang w:val="en-IE"/>
        </w:rPr>
      </w:pPr>
      <w:r w:rsidRPr="00495928">
        <w:rPr>
          <w:rStyle w:val="FootnoteReference"/>
        </w:rPr>
        <w:footnoteRef/>
      </w:r>
      <w:r w:rsidRPr="00495928">
        <w:t xml:space="preserve"> Member States focus group, January 2026.</w:t>
      </w:r>
    </w:p>
  </w:footnote>
  <w:footnote w:id="208">
    <w:p w14:paraId="33B77C93"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val="en-IE" w:eastAsia="fr-BE"/>
        </w:rPr>
        <w:t>EU agencies focus group, January 2026</w:t>
      </w:r>
      <w:r>
        <w:rPr>
          <w:rFonts w:eastAsia="Times New Roman"/>
          <w:lang w:val="en-IE" w:eastAsia="fr-BE"/>
        </w:rPr>
        <w:t>.</w:t>
      </w:r>
    </w:p>
  </w:footnote>
  <w:footnote w:id="209">
    <w:p w14:paraId="2132DEDB"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eastAsia="fr-BE"/>
        </w:rPr>
        <w:t>Europol Annual Reports 2017</w:t>
      </w:r>
      <w:r>
        <w:rPr>
          <w:rFonts w:eastAsia="Times New Roman"/>
          <w:lang w:eastAsia="fr-BE"/>
        </w:rPr>
        <w:t>-</w:t>
      </w:r>
      <w:r w:rsidRPr="00B95FBC">
        <w:rPr>
          <w:rFonts w:eastAsia="Times New Roman"/>
          <w:lang w:eastAsia="fr-BE"/>
        </w:rPr>
        <w:t>2024</w:t>
      </w:r>
      <w:r>
        <w:rPr>
          <w:rFonts w:eastAsia="Times New Roman"/>
          <w:lang w:eastAsia="fr-BE"/>
        </w:rPr>
        <w:t>.</w:t>
      </w:r>
    </w:p>
  </w:footnote>
  <w:footnote w:id="210">
    <w:p w14:paraId="379C4E07"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eastAsia="fr-BE"/>
        </w:rPr>
        <w:t>Public consultation summary report, 2026</w:t>
      </w:r>
      <w:r>
        <w:rPr>
          <w:rFonts w:eastAsia="Times New Roman"/>
          <w:lang w:eastAsia="fr-BE"/>
        </w:rPr>
        <w:t>.</w:t>
      </w:r>
    </w:p>
  </w:footnote>
  <w:footnote w:id="211">
    <w:p w14:paraId="026A2D8D"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eastAsia="fr-BE"/>
        </w:rPr>
        <w:t>Member States focus group, January 2026</w:t>
      </w:r>
      <w:r>
        <w:rPr>
          <w:rFonts w:eastAsia="Times New Roman"/>
          <w:lang w:eastAsia="fr-BE"/>
        </w:rPr>
        <w:t>.</w:t>
      </w:r>
    </w:p>
  </w:footnote>
  <w:footnote w:id="212">
    <w:p w14:paraId="3E6226E1"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eastAsia="fr-BE"/>
        </w:rPr>
        <w:t>External evaluation study, 2026</w:t>
      </w:r>
      <w:r>
        <w:rPr>
          <w:rFonts w:eastAsia="Times New Roman"/>
          <w:lang w:eastAsia="fr-BE"/>
        </w:rPr>
        <w:t>.</w:t>
      </w:r>
    </w:p>
  </w:footnote>
  <w:footnote w:id="213">
    <w:p w14:paraId="567A6978"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eastAsia="fr-BE"/>
        </w:rPr>
        <w:t>EU agencies focus group, January 2026</w:t>
      </w:r>
      <w:r>
        <w:rPr>
          <w:rFonts w:eastAsia="Times New Roman"/>
          <w:lang w:eastAsia="fr-BE"/>
        </w:rPr>
        <w:t>.</w:t>
      </w:r>
    </w:p>
  </w:footnote>
  <w:footnote w:id="214">
    <w:p w14:paraId="312D085F" w14:textId="77777777" w:rsidR="0061471B" w:rsidRPr="00342BDC" w:rsidRDefault="0061471B" w:rsidP="0061471B">
      <w:pPr>
        <w:pStyle w:val="FootnoteText"/>
      </w:pPr>
      <w:r>
        <w:rPr>
          <w:rStyle w:val="FootnoteReference"/>
        </w:rPr>
        <w:footnoteRef/>
      </w:r>
      <w:r>
        <w:t xml:space="preserve"> </w:t>
      </w:r>
      <w:r w:rsidRPr="00B95FBC">
        <w:rPr>
          <w:rFonts w:eastAsia="Times New Roman"/>
          <w:lang w:eastAsia="fr-BE"/>
        </w:rPr>
        <w:t>External evaluation study, 2026</w:t>
      </w:r>
      <w:r>
        <w:rPr>
          <w:rFonts w:eastAsia="Times New Roman"/>
          <w:lang w:eastAsia="fr-BE"/>
        </w:rPr>
        <w:t>.</w:t>
      </w:r>
    </w:p>
  </w:footnote>
  <w:footnote w:id="215">
    <w:p w14:paraId="27A6EDF1" w14:textId="77777777" w:rsidR="0061471B" w:rsidRPr="00B95FBC" w:rsidRDefault="0061471B" w:rsidP="0061471B">
      <w:pPr>
        <w:pStyle w:val="FootnoteText"/>
        <w:rPr>
          <w:lang w:val="en-IE"/>
        </w:rPr>
      </w:pPr>
      <w:r>
        <w:rPr>
          <w:rStyle w:val="FootnoteReference"/>
        </w:rPr>
        <w:footnoteRef/>
      </w:r>
      <w:r>
        <w:t xml:space="preserve"> </w:t>
      </w:r>
      <w:r w:rsidRPr="00B95FBC">
        <w:rPr>
          <w:rFonts w:eastAsia="Times New Roman"/>
          <w:lang w:val="en-IE" w:eastAsia="fr-BE"/>
        </w:rPr>
        <w:t>EU agencies focus group, January 2026</w:t>
      </w:r>
      <w:r>
        <w:rPr>
          <w:rFonts w:eastAsia="Times New Roman"/>
          <w:lang w:val="en-IE" w:eastAsia="fr-BE"/>
        </w:rPr>
        <w:t>.</w:t>
      </w:r>
    </w:p>
  </w:footnote>
  <w:footnote w:id="216">
    <w:p w14:paraId="0E780FFE" w14:textId="77777777" w:rsidR="002E431C" w:rsidRPr="00A43F8D" w:rsidRDefault="002E431C" w:rsidP="002E431C">
      <w:pPr>
        <w:pStyle w:val="FootnoteText"/>
        <w:rPr>
          <w:lang w:val="en-IE"/>
        </w:rPr>
      </w:pPr>
      <w:r>
        <w:rPr>
          <w:rStyle w:val="FootnoteReference"/>
        </w:rPr>
        <w:footnoteRef/>
      </w:r>
      <w:r>
        <w:t xml:space="preserve"> </w:t>
      </w:r>
      <w:r w:rsidRPr="00B95FBC">
        <w:rPr>
          <w:lang w:val="en-IE"/>
        </w:rPr>
        <w:t>Europol Annual Reports 2017</w:t>
      </w:r>
      <w:r>
        <w:rPr>
          <w:lang w:val="en-IE"/>
        </w:rPr>
        <w:t>-</w:t>
      </w:r>
      <w:r w:rsidRPr="00B95FBC">
        <w:rPr>
          <w:lang w:val="en-IE"/>
        </w:rPr>
        <w:t>2024</w:t>
      </w:r>
      <w:r>
        <w:rPr>
          <w:lang w:val="en-IE"/>
        </w:rPr>
        <w:t>.</w:t>
      </w:r>
    </w:p>
  </w:footnote>
  <w:footnote w:id="217">
    <w:p w14:paraId="2F0A4E6E" w14:textId="77777777" w:rsidR="002E431C" w:rsidRPr="00A43F8D" w:rsidRDefault="002E431C" w:rsidP="002E431C">
      <w:pPr>
        <w:pStyle w:val="FootnoteText"/>
        <w:rPr>
          <w:lang w:val="en-IE"/>
        </w:rPr>
      </w:pPr>
      <w:r>
        <w:rPr>
          <w:rStyle w:val="FootnoteReference"/>
        </w:rPr>
        <w:footnoteRef/>
      </w:r>
      <w:r>
        <w:t xml:space="preserve"> </w:t>
      </w:r>
      <w:r w:rsidRPr="00B95FBC">
        <w:rPr>
          <w:lang w:val="en-IE"/>
        </w:rPr>
        <w:t>Public consultation summary report, 2026</w:t>
      </w:r>
      <w:r>
        <w:rPr>
          <w:lang w:val="en-IE"/>
        </w:rPr>
        <w:t>.</w:t>
      </w:r>
    </w:p>
  </w:footnote>
  <w:footnote w:id="218">
    <w:p w14:paraId="396F8C8E" w14:textId="77777777" w:rsidR="002E431C" w:rsidRPr="00A43F8D" w:rsidRDefault="002E431C" w:rsidP="002E431C">
      <w:pPr>
        <w:pStyle w:val="FootnoteText"/>
        <w:rPr>
          <w:lang w:val="en-IE"/>
        </w:rPr>
      </w:pPr>
      <w:r>
        <w:rPr>
          <w:rStyle w:val="FootnoteReference"/>
        </w:rPr>
        <w:footnoteRef/>
      </w:r>
      <w:r>
        <w:t xml:space="preserve"> </w:t>
      </w:r>
      <w:r w:rsidRPr="00B95FBC">
        <w:rPr>
          <w:lang w:val="en-IE"/>
        </w:rPr>
        <w:t>External evaluation study, 2026</w:t>
      </w:r>
      <w:r>
        <w:rPr>
          <w:lang w:val="en-IE"/>
        </w:rPr>
        <w:t>.</w:t>
      </w:r>
    </w:p>
  </w:footnote>
  <w:footnote w:id="219">
    <w:p w14:paraId="076FFF14" w14:textId="77777777" w:rsidR="002E431C" w:rsidRPr="00A43F8D" w:rsidRDefault="002E431C" w:rsidP="002E431C">
      <w:pPr>
        <w:pStyle w:val="FootnoteText"/>
        <w:rPr>
          <w:lang w:val="en-IE"/>
        </w:rPr>
      </w:pPr>
      <w:r>
        <w:rPr>
          <w:rStyle w:val="FootnoteReference"/>
        </w:rPr>
        <w:footnoteRef/>
      </w:r>
      <w:r>
        <w:t xml:space="preserve"> </w:t>
      </w:r>
      <w:r w:rsidRPr="00B95FBC">
        <w:rPr>
          <w:lang w:val="en-IE"/>
        </w:rPr>
        <w:t>Public consultation summary report, 2026</w:t>
      </w:r>
      <w:r>
        <w:rPr>
          <w:lang w:val="en-IE"/>
        </w:rPr>
        <w:t>.</w:t>
      </w:r>
    </w:p>
  </w:footnote>
  <w:footnote w:id="220">
    <w:p w14:paraId="6E994D6C" w14:textId="77777777" w:rsidR="002E431C" w:rsidRPr="00A43F8D" w:rsidRDefault="002E431C" w:rsidP="002E431C">
      <w:pPr>
        <w:pStyle w:val="FootnoteText"/>
        <w:rPr>
          <w:lang w:val="en-IE"/>
        </w:rPr>
      </w:pPr>
      <w:r>
        <w:rPr>
          <w:rStyle w:val="FootnoteReference"/>
        </w:rPr>
        <w:footnoteRef/>
      </w:r>
      <w:r>
        <w:t xml:space="preserve"> </w:t>
      </w:r>
      <w:r w:rsidRPr="00B95FBC">
        <w:rPr>
          <w:lang w:val="en-IE"/>
        </w:rPr>
        <w:t>External evaluation study, 2026</w:t>
      </w:r>
      <w:r>
        <w:rPr>
          <w:lang w:val="en-IE"/>
        </w:rPr>
        <w:t>.</w:t>
      </w:r>
    </w:p>
  </w:footnote>
  <w:footnote w:id="221">
    <w:p w14:paraId="0A3C1A0E" w14:textId="77777777" w:rsidR="002E431C" w:rsidRPr="00A43F8D" w:rsidRDefault="002E431C" w:rsidP="002E431C">
      <w:pPr>
        <w:pStyle w:val="FootnoteText"/>
        <w:rPr>
          <w:lang w:val="en-IE"/>
        </w:rPr>
      </w:pPr>
      <w:r>
        <w:rPr>
          <w:rStyle w:val="FootnoteReference"/>
        </w:rPr>
        <w:footnoteRef/>
      </w:r>
      <w:r>
        <w:t xml:space="preserve"> </w:t>
      </w:r>
      <w:r w:rsidRPr="00B95FBC">
        <w:rPr>
          <w:lang w:val="en-IE"/>
        </w:rPr>
        <w:t>External evaluation study, 2026</w:t>
      </w:r>
      <w:r>
        <w:rPr>
          <w:lang w:val="en-IE"/>
        </w:rPr>
        <w:t>.</w:t>
      </w:r>
    </w:p>
  </w:footnote>
  <w:footnote w:id="222">
    <w:p w14:paraId="3EC03B44" w14:textId="1785024A" w:rsidR="002E431C" w:rsidRPr="00EC49EE" w:rsidRDefault="002E431C" w:rsidP="002E431C">
      <w:pPr>
        <w:pStyle w:val="FootnoteText"/>
        <w:rPr>
          <w:lang w:val="en-IE"/>
        </w:rPr>
      </w:pPr>
      <w:r>
        <w:rPr>
          <w:rStyle w:val="FootnoteReference"/>
        </w:rPr>
        <w:footnoteRef/>
      </w:r>
      <w:r>
        <w:t xml:space="preserve"> </w:t>
      </w:r>
      <w:r w:rsidR="00697AF0" w:rsidRPr="001B356E">
        <w:t>Joint Statement by the European Police Chiefs on the Future Development of Europol</w:t>
      </w:r>
      <w:r w:rsidR="00697AF0">
        <w:t>.</w:t>
      </w:r>
    </w:p>
  </w:footnote>
  <w:footnote w:id="223">
    <w:p w14:paraId="54193784" w14:textId="77777777" w:rsidR="00EF6398" w:rsidRPr="0048046F" w:rsidRDefault="00EF6398" w:rsidP="00EF6398">
      <w:pPr>
        <w:pStyle w:val="FootnoteText"/>
        <w:rPr>
          <w:lang w:val="en-IE"/>
        </w:rPr>
      </w:pPr>
      <w:r>
        <w:rPr>
          <w:rStyle w:val="FootnoteReference"/>
        </w:rPr>
        <w:footnoteRef/>
      </w:r>
      <w:r>
        <w:t xml:space="preserve"> </w:t>
      </w:r>
      <w:r>
        <w:rPr>
          <w:lang w:val="en-IE"/>
        </w:rPr>
        <w:t>SOCTA, 2025.</w:t>
      </w:r>
    </w:p>
  </w:footnote>
  <w:footnote w:id="224">
    <w:p w14:paraId="6673B85D" w14:textId="77777777" w:rsidR="00EF6398" w:rsidRPr="00EC49EE" w:rsidRDefault="00EF6398" w:rsidP="00EF6398">
      <w:pPr>
        <w:pStyle w:val="FootnoteText"/>
        <w:rPr>
          <w:lang w:val="en-IE"/>
        </w:rPr>
      </w:pPr>
      <w:r>
        <w:rPr>
          <w:rStyle w:val="FootnoteReference"/>
        </w:rPr>
        <w:footnoteRef/>
      </w:r>
      <w:r>
        <w:t xml:space="preserve"> </w:t>
      </w:r>
      <w:r w:rsidRPr="00EC49EE">
        <w:rPr>
          <w:rFonts w:eastAsia="Times New Roman"/>
          <w:lang w:val="en-IE"/>
        </w:rPr>
        <w:t>Public consultation summary report, 2026</w:t>
      </w:r>
      <w:r>
        <w:rPr>
          <w:rFonts w:eastAsia="Times New Roman"/>
          <w:lang w:val="en-IE"/>
        </w:rPr>
        <w:t>.</w:t>
      </w:r>
    </w:p>
  </w:footnote>
  <w:footnote w:id="225">
    <w:p w14:paraId="0074B9D5" w14:textId="77777777" w:rsidR="00EF6398" w:rsidRPr="00342BDC" w:rsidRDefault="00EF6398" w:rsidP="00EF6398">
      <w:pPr>
        <w:pStyle w:val="FootnoteText"/>
      </w:pPr>
      <w:r>
        <w:rPr>
          <w:rStyle w:val="FootnoteReference"/>
        </w:rPr>
        <w:footnoteRef/>
      </w:r>
      <w:r>
        <w:t xml:space="preserve"> </w:t>
      </w:r>
      <w:r w:rsidRPr="00342BDC">
        <w:rPr>
          <w:rFonts w:eastAsia="Times New Roman"/>
          <w:lang w:val="en-IE"/>
        </w:rPr>
        <w:t>Public Consultation Factual Summary Report, 2026; Call for Evidence Factual Summary Report, 2026</w:t>
      </w:r>
      <w:r>
        <w:rPr>
          <w:rFonts w:eastAsia="Times New Roman"/>
          <w:lang w:val="en-IE"/>
        </w:rPr>
        <w:t>.</w:t>
      </w:r>
    </w:p>
  </w:footnote>
  <w:footnote w:id="226">
    <w:p w14:paraId="1909BF07" w14:textId="77777777" w:rsidR="00EF6398" w:rsidRPr="00EC49EE" w:rsidRDefault="00EF6398" w:rsidP="00EF6398">
      <w:pPr>
        <w:pStyle w:val="FootnoteText"/>
        <w:rPr>
          <w:lang w:val="en-IE"/>
        </w:rPr>
      </w:pPr>
      <w:r>
        <w:rPr>
          <w:rStyle w:val="FootnoteReference"/>
        </w:rPr>
        <w:footnoteRef/>
      </w:r>
      <w:r>
        <w:t xml:space="preserve"> </w:t>
      </w:r>
      <w:r w:rsidRPr="00EC49EE">
        <w:rPr>
          <w:rFonts w:eastAsia="Times New Roman"/>
          <w:lang w:val="en-IE"/>
        </w:rPr>
        <w:t>Member States focus group, January 2026; EU agencies focus group, January 2026</w:t>
      </w:r>
      <w:r>
        <w:rPr>
          <w:rFonts w:eastAsia="Times New Roman"/>
          <w:lang w:val="en-IE"/>
        </w:rPr>
        <w:t>.</w:t>
      </w:r>
    </w:p>
  </w:footnote>
  <w:footnote w:id="227">
    <w:p w14:paraId="25F22E30" w14:textId="77777777" w:rsidR="00EF6398" w:rsidRPr="002A0FE7" w:rsidRDefault="00EF6398" w:rsidP="00EF6398">
      <w:pPr>
        <w:pStyle w:val="FootnoteText"/>
      </w:pPr>
      <w:r>
        <w:rPr>
          <w:rStyle w:val="FootnoteReference"/>
        </w:rPr>
        <w:footnoteRef/>
      </w:r>
      <w:r>
        <w:t xml:space="preserve"> </w:t>
      </w:r>
      <w:r w:rsidRPr="002A0FE7">
        <w:rPr>
          <w:rFonts w:eastAsia="Times New Roman"/>
        </w:rPr>
        <w:t>EU Agencies Focus Group Summary, February 2026</w:t>
      </w:r>
      <w:r>
        <w:rPr>
          <w:rFonts w:eastAsia="Times New Roman"/>
        </w:rPr>
        <w:t>.</w:t>
      </w:r>
    </w:p>
  </w:footnote>
  <w:footnote w:id="228">
    <w:p w14:paraId="6497923F" w14:textId="77777777" w:rsidR="00EB3457" w:rsidRPr="00A5294A" w:rsidRDefault="00EB3457" w:rsidP="00EB3457">
      <w:pPr>
        <w:pStyle w:val="FootnoteText"/>
        <w:rPr>
          <w:lang w:val="en-IE"/>
        </w:rPr>
      </w:pPr>
      <w:r>
        <w:rPr>
          <w:rStyle w:val="FootnoteReference"/>
        </w:rPr>
        <w:footnoteRef/>
      </w:r>
      <w:r>
        <w:t xml:space="preserve"> </w:t>
      </w:r>
      <w:r w:rsidRPr="00F260E4">
        <w:t>Unless otherwise specified, the term stakeholders indicate all categories consulted as indicated in the last column.</w:t>
      </w:r>
    </w:p>
  </w:footnote>
  <w:footnote w:id="229">
    <w:p w14:paraId="3A8F7555" w14:textId="1313B161" w:rsidR="00622298" w:rsidRPr="00FF2C51" w:rsidRDefault="00622298">
      <w:pPr>
        <w:pStyle w:val="FootnoteText"/>
        <w:rPr>
          <w:lang w:val="en-US"/>
        </w:rPr>
      </w:pPr>
      <w:r>
        <w:rPr>
          <w:rStyle w:val="FootnoteReference"/>
        </w:rPr>
        <w:footnoteRef/>
      </w:r>
      <w:r>
        <w:t xml:space="preserve"> </w:t>
      </w:r>
      <w:r w:rsidR="00FF2C51" w:rsidRPr="00116AAD">
        <w:rPr>
          <w:iCs/>
        </w:rPr>
        <w:t>Regulation (EU) 2024/982</w:t>
      </w:r>
    </w:p>
  </w:footnote>
  <w:footnote w:id="230">
    <w:p w14:paraId="0AFCB691" w14:textId="7C943D29" w:rsidR="00C128AC" w:rsidRPr="00C128AC" w:rsidRDefault="00C128AC">
      <w:pPr>
        <w:pStyle w:val="FootnoteText"/>
        <w:rPr>
          <w:lang w:val="en-US"/>
        </w:rPr>
      </w:pPr>
      <w:r w:rsidRPr="00495928">
        <w:rPr>
          <w:rStyle w:val="FootnoteReference"/>
        </w:rPr>
        <w:footnoteRef/>
      </w:r>
      <w:r w:rsidRPr="00495928">
        <w:t xml:space="preserve"> </w:t>
      </w:r>
      <w:r w:rsidR="00347C96" w:rsidRPr="00495928">
        <w:rPr>
          <w:lang w:val="en-US"/>
        </w:rPr>
        <w:t>[</w:t>
      </w:r>
      <w:r w:rsidR="00116AAD" w:rsidRPr="00495928">
        <w:rPr>
          <w:lang w:val="en-US"/>
        </w:rPr>
        <w:t xml:space="preserve">Note </w:t>
      </w:r>
      <w:r w:rsidR="00347C96" w:rsidRPr="00495928">
        <w:rPr>
          <w:lang w:val="en-US"/>
        </w:rPr>
        <w:t>to publication colleagues, link to be updated in June when the IA is published with the right reference]</w:t>
      </w:r>
    </w:p>
  </w:footnote>
  <w:footnote w:id="231">
    <w:p w14:paraId="3ADB7462" w14:textId="628A5C5A" w:rsidR="000A268D" w:rsidRPr="003C72E5" w:rsidRDefault="000A268D" w:rsidP="000A268D">
      <w:pPr>
        <w:pStyle w:val="FootnoteText"/>
      </w:pPr>
      <w:r>
        <w:rPr>
          <w:rStyle w:val="FootnoteReference"/>
        </w:rPr>
        <w:footnoteRef/>
      </w:r>
      <w:r>
        <w:t xml:space="preserve"> </w:t>
      </w:r>
      <w:proofErr w:type="gramStart"/>
      <w:r>
        <w:t>COM(</w:t>
      </w:r>
      <w:proofErr w:type="gramEnd"/>
      <w:r>
        <w:t>2025) 752 final</w:t>
      </w:r>
      <w:r w:rsidR="00A149B1">
        <w:t>, 11.12.2025</w:t>
      </w:r>
      <w:r>
        <w:t>.</w:t>
      </w:r>
    </w:p>
  </w:footnote>
  <w:footnote w:id="232">
    <w:p w14:paraId="342FA109" w14:textId="6167325E" w:rsidR="005A1351" w:rsidRPr="00116AAD" w:rsidRDefault="005A1351">
      <w:pPr>
        <w:pStyle w:val="FootnoteText"/>
        <w:rPr>
          <w:lang w:val="en-IE"/>
        </w:rPr>
      </w:pPr>
      <w:r>
        <w:rPr>
          <w:rStyle w:val="FootnoteReference"/>
        </w:rPr>
        <w:footnoteRef/>
      </w:r>
      <w:r>
        <w:t xml:space="preserve"> Interview, focus groups, targeted survey with agencies.</w:t>
      </w:r>
    </w:p>
  </w:footnote>
  <w:footnote w:id="233">
    <w:p w14:paraId="56FCD4FC" w14:textId="04A1B258" w:rsidR="005A1351" w:rsidRPr="005A1351" w:rsidRDefault="005A1351">
      <w:pPr>
        <w:pStyle w:val="FootnoteText"/>
      </w:pPr>
      <w:r>
        <w:rPr>
          <w:rStyle w:val="FootnoteReference"/>
        </w:rPr>
        <w:footnoteRef/>
      </w:r>
      <w:r>
        <w:t xml:space="preserve"> T</w:t>
      </w:r>
      <w:r w:rsidRPr="653B256E">
        <w:rPr>
          <w:rFonts w:eastAsia="Times New Roman"/>
          <w:color w:val="000000" w:themeColor="text1"/>
        </w:rPr>
        <w:t>he responses to the targeted survey for the EU Member States’ national law enforcement authorities show support for the update of the working arrangement</w:t>
      </w:r>
    </w:p>
  </w:footnote>
  <w:footnote w:id="234">
    <w:p w14:paraId="48879BC9" w14:textId="02F07384" w:rsidR="000F540B" w:rsidRPr="00116AAD" w:rsidRDefault="000F540B">
      <w:pPr>
        <w:pStyle w:val="FootnoteText"/>
        <w:rPr>
          <w:lang w:val="en-IE"/>
        </w:rPr>
      </w:pPr>
      <w:r>
        <w:rPr>
          <w:rStyle w:val="FootnoteReference"/>
        </w:rPr>
        <w:footnoteRef/>
      </w:r>
      <w:r>
        <w:t xml:space="preserve"> As discussed in the COSI meeting of February 2026.</w:t>
      </w:r>
    </w:p>
  </w:footnote>
  <w:footnote w:id="235">
    <w:p w14:paraId="34EDD500" w14:textId="5AE5D105" w:rsidR="000A268D" w:rsidRDefault="000A268D" w:rsidP="00116AAD">
      <w:pPr>
        <w:spacing w:after="0"/>
        <w:rPr>
          <w:rFonts w:eastAsia="Times New Roman"/>
          <w:i/>
          <w:iCs/>
          <w:color w:val="000000" w:themeColor="text1"/>
          <w:sz w:val="20"/>
          <w:szCs w:val="20"/>
        </w:rPr>
      </w:pPr>
      <w:r w:rsidRPr="00116AAD">
        <w:rPr>
          <w:vertAlign w:val="superscript"/>
        </w:rPr>
        <w:footnoteRef/>
      </w:r>
      <w:r w:rsidRPr="00116AAD">
        <w:rPr>
          <w:vertAlign w:val="superscript"/>
        </w:rPr>
        <w:t xml:space="preserve"> </w:t>
      </w:r>
      <w:r w:rsidR="001D4050">
        <w:rPr>
          <w:rFonts w:eastAsia="Times New Roman"/>
          <w:color w:val="000000" w:themeColor="text1"/>
          <w:sz w:val="20"/>
          <w:szCs w:val="20"/>
        </w:rPr>
        <w:t>Eu</w:t>
      </w:r>
      <w:r w:rsidRPr="001D4050">
        <w:rPr>
          <w:rFonts w:eastAsia="Times New Roman"/>
          <w:color w:val="000000" w:themeColor="text1"/>
          <w:sz w:val="20"/>
          <w:szCs w:val="20"/>
        </w:rPr>
        <w:t xml:space="preserve">ropol (2025) </w:t>
      </w:r>
      <w:r w:rsidRPr="00116AAD">
        <w:rPr>
          <w:rFonts w:eastAsia="Times New Roman"/>
          <w:color w:val="000000" w:themeColor="text1"/>
          <w:sz w:val="20"/>
          <w:szCs w:val="20"/>
        </w:rPr>
        <w:t>SIRIUS Electronic Evidence Situation Report 2024.</w:t>
      </w:r>
    </w:p>
  </w:footnote>
  <w:footnote w:id="236">
    <w:p w14:paraId="231142C9" w14:textId="77777777" w:rsidR="000A268D" w:rsidRDefault="000A268D" w:rsidP="00116AAD">
      <w:pPr>
        <w:spacing w:after="0"/>
        <w:rPr>
          <w:rFonts w:eastAsia="Times New Roman"/>
          <w:i/>
          <w:iCs/>
          <w:color w:val="000000" w:themeColor="text1"/>
          <w:sz w:val="20"/>
          <w:szCs w:val="20"/>
        </w:rPr>
      </w:pPr>
      <w:r w:rsidRPr="00116AAD">
        <w:rPr>
          <w:vertAlign w:val="superscript"/>
        </w:rPr>
        <w:footnoteRef/>
      </w:r>
      <w:r w:rsidRPr="00116AAD">
        <w:rPr>
          <w:vertAlign w:val="superscript"/>
        </w:rPr>
        <w:t xml:space="preserve"> </w:t>
      </w:r>
      <w:r w:rsidRPr="001D4050">
        <w:rPr>
          <w:rFonts w:eastAsia="Times New Roman"/>
          <w:color w:val="000000" w:themeColor="text1"/>
          <w:sz w:val="20"/>
          <w:szCs w:val="20"/>
        </w:rPr>
        <w:t xml:space="preserve">Europol (2025) </w:t>
      </w:r>
      <w:r w:rsidRPr="00116AAD">
        <w:rPr>
          <w:rFonts w:eastAsia="Times New Roman"/>
          <w:color w:val="000000" w:themeColor="text1"/>
          <w:sz w:val="20"/>
          <w:szCs w:val="20"/>
        </w:rPr>
        <w:t>SIRIUS EU Electronic Evidence Situation Report 2024 – Factsheets (Law Enforcement, Judicial Authorities, Service Providers).</w:t>
      </w:r>
    </w:p>
  </w:footnote>
  <w:footnote w:id="237">
    <w:p w14:paraId="683BCE11" w14:textId="77777777" w:rsidR="000A268D" w:rsidRDefault="000A268D" w:rsidP="00116AAD">
      <w:pPr>
        <w:spacing w:after="0"/>
        <w:rPr>
          <w:sz w:val="20"/>
          <w:szCs w:val="20"/>
        </w:rPr>
      </w:pPr>
      <w:r w:rsidRPr="00116AAD">
        <w:rPr>
          <w:vertAlign w:val="superscript"/>
        </w:rPr>
        <w:footnoteRef/>
      </w:r>
      <w:r w:rsidRPr="00116AAD">
        <w:rPr>
          <w:rFonts w:eastAsia="Times New Roman"/>
          <w:color w:val="000000" w:themeColor="text1"/>
          <w:sz w:val="20"/>
          <w:szCs w:val="20"/>
        </w:rPr>
        <w:t xml:space="preserve"> ibid.</w:t>
      </w:r>
    </w:p>
  </w:footnote>
  <w:footnote w:id="238">
    <w:p w14:paraId="595D5317" w14:textId="77777777" w:rsidR="000A268D" w:rsidRDefault="000A268D" w:rsidP="00116AAD">
      <w:pPr>
        <w:spacing w:after="0"/>
        <w:rPr>
          <w:rFonts w:eastAsia="Times New Roman"/>
          <w:i/>
          <w:iCs/>
          <w:color w:val="000000" w:themeColor="text1"/>
          <w:sz w:val="20"/>
          <w:szCs w:val="20"/>
        </w:rPr>
      </w:pPr>
      <w:r w:rsidRPr="00116AAD">
        <w:rPr>
          <w:vertAlign w:val="superscript"/>
        </w:rPr>
        <w:footnoteRef/>
      </w:r>
      <w:r w:rsidRPr="00116AAD">
        <w:rPr>
          <w:vertAlign w:val="superscript"/>
        </w:rPr>
        <w:t xml:space="preserve"> </w:t>
      </w:r>
      <w:r w:rsidRPr="73F3FA3D">
        <w:rPr>
          <w:rFonts w:eastAsia="Times New Roman"/>
          <w:color w:val="000000" w:themeColor="text1"/>
          <w:sz w:val="20"/>
          <w:szCs w:val="20"/>
        </w:rPr>
        <w:t xml:space="preserve">Europol (2025) </w:t>
      </w:r>
      <w:r w:rsidRPr="73F3FA3D">
        <w:rPr>
          <w:rFonts w:eastAsia="Times New Roman"/>
          <w:i/>
          <w:iCs/>
          <w:color w:val="000000" w:themeColor="text1"/>
          <w:sz w:val="20"/>
          <w:szCs w:val="20"/>
        </w:rPr>
        <w:t>SIRIUS EU Electronic Evidence Situation Report 2024 – Factsheets (Law Enforcement, Judicial Authorities, Service Providers).</w:t>
      </w:r>
    </w:p>
  </w:footnote>
  <w:footnote w:id="239">
    <w:p w14:paraId="6C498F4A" w14:textId="649DE3F2" w:rsidR="000A268D" w:rsidRDefault="000A268D" w:rsidP="00116AAD">
      <w:pPr>
        <w:spacing w:after="0"/>
      </w:pPr>
      <w:r w:rsidRPr="00116AAD">
        <w:rPr>
          <w:vertAlign w:val="superscript"/>
        </w:rPr>
        <w:footnoteRef/>
      </w:r>
      <w:r w:rsidRPr="00116AAD">
        <w:rPr>
          <w:vertAlign w:val="superscript"/>
        </w:rPr>
        <w:t xml:space="preserve"> </w:t>
      </w:r>
      <w:r w:rsidR="00224434" w:rsidRPr="00116AAD">
        <w:rPr>
          <w:rFonts w:eastAsia="Times New Roman"/>
          <w:color w:val="000000" w:themeColor="text1"/>
          <w:sz w:val="20"/>
          <w:szCs w:val="20"/>
        </w:rPr>
        <w:t>As stated by the EPPO in the i</w:t>
      </w:r>
      <w:r w:rsidRPr="00116AAD">
        <w:rPr>
          <w:rFonts w:eastAsia="Times New Roman"/>
          <w:color w:val="000000" w:themeColor="text1"/>
          <w:sz w:val="20"/>
          <w:szCs w:val="20"/>
        </w:rPr>
        <w:t>nterview</w:t>
      </w:r>
      <w:r w:rsidR="00224434" w:rsidRPr="00116AAD">
        <w:rPr>
          <w:rFonts w:eastAsia="Times New Roman"/>
          <w:color w:val="000000" w:themeColor="text1"/>
          <w:sz w:val="20"/>
          <w:szCs w:val="20"/>
        </w:rPr>
        <w:t xml:space="preserve"> carried out by ICF in the context of the study supporting the evaluation and impact assessment of the Europol Regulation, as well as during </w:t>
      </w:r>
      <w:r w:rsidR="004437D2" w:rsidRPr="00116AAD">
        <w:rPr>
          <w:rFonts w:eastAsia="Times New Roman"/>
          <w:color w:val="000000" w:themeColor="text1"/>
          <w:sz w:val="20"/>
          <w:szCs w:val="20"/>
        </w:rPr>
        <w:t>the third w</w:t>
      </w:r>
      <w:r w:rsidRPr="00116AAD">
        <w:rPr>
          <w:rFonts w:eastAsia="Times New Roman"/>
          <w:color w:val="000000" w:themeColor="text1"/>
          <w:sz w:val="20"/>
          <w:szCs w:val="20"/>
        </w:rPr>
        <w:t>orkshop</w:t>
      </w:r>
      <w:r w:rsidR="004437D2" w:rsidRPr="00116AAD">
        <w:rPr>
          <w:rFonts w:eastAsia="Times New Roman"/>
          <w:color w:val="000000" w:themeColor="text1"/>
          <w:sz w:val="20"/>
          <w:szCs w:val="20"/>
        </w:rPr>
        <w:t xml:space="preserve"> on the future of Europol and in its Note </w:t>
      </w:r>
      <w:r w:rsidR="00224434" w:rsidRPr="00116AAD">
        <w:rPr>
          <w:rFonts w:eastAsia="Times New Roman"/>
          <w:color w:val="000000" w:themeColor="text1"/>
          <w:sz w:val="20"/>
          <w:szCs w:val="20"/>
        </w:rPr>
        <w:t>to DG HOME on improving the cooperation between the EPPO and Europol.</w:t>
      </w:r>
      <w:r w:rsidR="00224434">
        <w:rPr>
          <w:lang w:val="en-IE"/>
        </w:rPr>
        <w:t xml:space="preserve"> </w:t>
      </w:r>
    </w:p>
  </w:footnote>
  <w:footnote w:id="240">
    <w:p w14:paraId="5D0B0656" w14:textId="203C3838" w:rsidR="000A268D" w:rsidRDefault="000A268D" w:rsidP="000A268D">
      <w:r w:rsidRPr="00116AAD">
        <w:rPr>
          <w:vertAlign w:val="superscript"/>
        </w:rPr>
        <w:footnoteRef/>
      </w:r>
      <w:r w:rsidRPr="00116AAD">
        <w:rPr>
          <w:vertAlign w:val="superscript"/>
        </w:rPr>
        <w:t xml:space="preserve"> </w:t>
      </w:r>
      <w:r w:rsidR="002F2DDE">
        <w:rPr>
          <w:rFonts w:eastAsia="Times New Roman"/>
          <w:color w:val="000000" w:themeColor="text1"/>
          <w:sz w:val="20"/>
          <w:szCs w:val="20"/>
        </w:rPr>
        <w:t>As stated by</w:t>
      </w:r>
      <w:r w:rsidR="002F2DDE" w:rsidRPr="00116AAD">
        <w:rPr>
          <w:rFonts w:eastAsia="Times New Roman"/>
          <w:color w:val="000000" w:themeColor="text1"/>
          <w:sz w:val="20"/>
          <w:szCs w:val="20"/>
        </w:rPr>
        <w:t xml:space="preserve"> </w:t>
      </w:r>
      <w:r w:rsidRPr="00116AAD">
        <w:rPr>
          <w:rFonts w:eastAsia="Times New Roman"/>
          <w:color w:val="000000" w:themeColor="text1"/>
          <w:sz w:val="20"/>
          <w:szCs w:val="20"/>
        </w:rPr>
        <w:t>Europol</w:t>
      </w:r>
      <w:r w:rsidR="00615CD7">
        <w:rPr>
          <w:rFonts w:eastAsia="Times New Roman"/>
          <w:color w:val="000000" w:themeColor="text1"/>
          <w:sz w:val="20"/>
          <w:szCs w:val="20"/>
        </w:rPr>
        <w:t>,</w:t>
      </w:r>
      <w:r w:rsidR="002F2DDE">
        <w:rPr>
          <w:rFonts w:eastAsia="Times New Roman"/>
          <w:color w:val="000000" w:themeColor="text1"/>
          <w:sz w:val="20"/>
          <w:szCs w:val="20"/>
        </w:rPr>
        <w:t xml:space="preserve"> during the f</w:t>
      </w:r>
      <w:r w:rsidRPr="00116AAD">
        <w:rPr>
          <w:rFonts w:eastAsia="Times New Roman"/>
          <w:color w:val="000000" w:themeColor="text1"/>
          <w:sz w:val="20"/>
          <w:szCs w:val="20"/>
        </w:rPr>
        <w:t>ocus groups</w:t>
      </w:r>
      <w:r w:rsidR="002F2DDE">
        <w:rPr>
          <w:rFonts w:eastAsia="Times New Roman"/>
          <w:color w:val="000000" w:themeColor="text1"/>
          <w:sz w:val="20"/>
          <w:szCs w:val="20"/>
        </w:rPr>
        <w:t xml:space="preserve"> carried out in the context of the study supporting the evaluation and impact assessment of the Europol Regulation</w:t>
      </w:r>
      <w:r w:rsidR="00615CD7">
        <w:rPr>
          <w:rFonts w:eastAsia="Times New Roman"/>
          <w:color w:val="000000" w:themeColor="text1"/>
          <w:sz w:val="20"/>
          <w:szCs w:val="20"/>
        </w:rPr>
        <w:t xml:space="preserve">, and by </w:t>
      </w:r>
      <w:r w:rsidRPr="00116AAD">
        <w:rPr>
          <w:rFonts w:eastAsia="Times New Roman"/>
          <w:color w:val="000000" w:themeColor="text1"/>
          <w:sz w:val="20"/>
          <w:szCs w:val="20"/>
        </w:rPr>
        <w:t>Member States</w:t>
      </w:r>
      <w:r w:rsidR="00615CD7">
        <w:rPr>
          <w:rFonts w:eastAsia="Times New Roman"/>
          <w:color w:val="000000" w:themeColor="text1"/>
          <w:sz w:val="20"/>
          <w:szCs w:val="20"/>
        </w:rPr>
        <w:t xml:space="preserve"> during </w:t>
      </w:r>
      <w:r w:rsidR="001D4050">
        <w:rPr>
          <w:rFonts w:eastAsia="Times New Roman"/>
          <w:color w:val="000000" w:themeColor="text1"/>
          <w:sz w:val="20"/>
          <w:szCs w:val="20"/>
        </w:rPr>
        <w:t xml:space="preserve">the fourth </w:t>
      </w:r>
      <w:r w:rsidRPr="00116AAD">
        <w:rPr>
          <w:rFonts w:eastAsia="Times New Roman"/>
          <w:color w:val="000000" w:themeColor="text1"/>
          <w:sz w:val="20"/>
          <w:szCs w:val="20"/>
        </w:rPr>
        <w:t>workshop</w:t>
      </w:r>
      <w:r w:rsidR="001D4050">
        <w:rPr>
          <w:rFonts w:eastAsia="Times New Roman"/>
          <w:color w:val="000000" w:themeColor="text1"/>
          <w:sz w:val="20"/>
          <w:szCs w:val="20"/>
        </w:rPr>
        <w:t xml:space="preserve"> on the future of Europol and during the</w:t>
      </w:r>
      <w:r w:rsidRPr="00116AAD">
        <w:rPr>
          <w:rFonts w:eastAsia="Times New Roman"/>
          <w:color w:val="000000" w:themeColor="text1"/>
          <w:sz w:val="20"/>
          <w:szCs w:val="20"/>
        </w:rPr>
        <w:t xml:space="preserve"> COSI </w:t>
      </w:r>
      <w:r w:rsidR="001D4050">
        <w:rPr>
          <w:rFonts w:eastAsia="Times New Roman"/>
          <w:color w:val="000000" w:themeColor="text1"/>
          <w:sz w:val="20"/>
          <w:szCs w:val="20"/>
        </w:rPr>
        <w:t xml:space="preserve">meeting of </w:t>
      </w:r>
      <w:r w:rsidRPr="00116AAD">
        <w:rPr>
          <w:rFonts w:eastAsia="Times New Roman"/>
          <w:color w:val="000000" w:themeColor="text1"/>
          <w:sz w:val="20"/>
          <w:szCs w:val="20"/>
        </w:rPr>
        <w:t>February 2026.</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C41C" w14:textId="77777777" w:rsidR="00DE2E7A" w:rsidRPr="00DE2E7A" w:rsidRDefault="00DE2E7A" w:rsidP="00DE2E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CA31" w14:textId="77777777" w:rsidR="00DE2E7A" w:rsidRPr="00DE2E7A" w:rsidRDefault="00DE2E7A" w:rsidP="00DE2E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FBE2" w14:textId="77777777" w:rsidR="00DE2E7A" w:rsidRPr="00DE2E7A" w:rsidRDefault="00DE2E7A" w:rsidP="00DE2E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ED57" w14:textId="77777777" w:rsidR="00B277A8" w:rsidRPr="00B47DD4" w:rsidRDefault="00B277A8" w:rsidP="00B47DD4">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62E37" w14:textId="77777777" w:rsidR="00B277A8" w:rsidRPr="00B47DD4" w:rsidRDefault="00B277A8" w:rsidP="00B47DD4">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D64D" w14:textId="77777777" w:rsidR="00B277A8" w:rsidRPr="00B47DD4" w:rsidRDefault="00B277A8" w:rsidP="00B47DD4">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3D99" w14:textId="77777777" w:rsidR="00B277A8" w:rsidRPr="00B47DD4" w:rsidRDefault="00B277A8" w:rsidP="00B47DD4">
    <w:pPr>
      <w:pStyle w:val="HeaderCoverPag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1262" w14:textId="77777777" w:rsidR="00B277A8" w:rsidRPr="00B47DD4" w:rsidRDefault="00B277A8" w:rsidP="00B47DD4">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FC26" w14:textId="77777777" w:rsidR="00B277A8" w:rsidRPr="00B47DD4" w:rsidRDefault="00B277A8" w:rsidP="00B47DD4">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B6649" w14:textId="77777777" w:rsidR="00B277A8" w:rsidRPr="00B47DD4" w:rsidRDefault="00B277A8" w:rsidP="00B47DD4">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650F" w14:textId="77777777" w:rsidR="00CB14B2" w:rsidRDefault="00CB14B2"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C1C3" w14:textId="77777777" w:rsidR="00CB14B2" w:rsidRDefault="00CB14B2"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8A40" w14:textId="77777777" w:rsidR="00CB14B2" w:rsidRDefault="00CB14B2"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8831" w14:textId="77777777" w:rsidR="00B277A8" w:rsidRDefault="00B277A8" w:rsidP="000E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1299" w14:textId="77777777" w:rsidR="00B277A8" w:rsidRDefault="00B277A8"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6CF33" w14:textId="77777777" w:rsidR="00B277A8" w:rsidRDefault="00B277A8"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D1FB" w14:textId="77777777" w:rsidR="00B277A8" w:rsidRDefault="00B277A8"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6840" w14:textId="77777777" w:rsidR="00B277A8" w:rsidRDefault="00B277A8" w:rsidP="000E30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0FF1" w14:textId="77777777" w:rsidR="00B277A8" w:rsidRDefault="00B277A8" w:rsidP="000E30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6322" w14:textId="77777777" w:rsidR="00B277A8" w:rsidRDefault="00B277A8" w:rsidP="000E308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7A5B2" w14:textId="77777777" w:rsidR="00B277A8" w:rsidRDefault="00B277A8" w:rsidP="000E30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CB7A" w14:textId="77777777" w:rsidR="00B277A8" w:rsidRDefault="00B277A8" w:rsidP="000E30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BD0D" w14:textId="77777777" w:rsidR="00B277A8" w:rsidRDefault="00B277A8" w:rsidP="000E308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A443E" w14:textId="77777777" w:rsidR="00B277A8" w:rsidRDefault="00B277A8" w:rsidP="000E308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6FF5" w14:textId="77777777" w:rsidR="00B277A8" w:rsidRDefault="00B277A8" w:rsidP="000E308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rvQynRu" int2:invalidationBookmarkName="" int2:hashCode="0l7vg8DIrPJo5h" int2:id="EfwSyr0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AEF"/>
    <w:multiLevelType w:val="hybridMultilevel"/>
    <w:tmpl w:val="A23418B4"/>
    <w:lvl w:ilvl="0" w:tplc="FFFFFFFF">
      <w:start w:val="1"/>
      <w:numFmt w:val="decimal"/>
      <w:lvlText w:val="1.%1"/>
      <w:lvlJc w:val="left"/>
      <w:pPr>
        <w:ind w:left="360" w:hanging="360"/>
      </w:pPr>
      <w:rPr>
        <w:b/>
        <w:b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9FD00C"/>
    <w:multiLevelType w:val="hybridMultilevel"/>
    <w:tmpl w:val="FFFFFFFF"/>
    <w:lvl w:ilvl="0" w:tplc="4328B350">
      <w:start w:val="1"/>
      <w:numFmt w:val="decimal"/>
      <w:lvlText w:val="%1."/>
      <w:lvlJc w:val="left"/>
      <w:pPr>
        <w:ind w:left="720" w:hanging="360"/>
      </w:pPr>
    </w:lvl>
    <w:lvl w:ilvl="1" w:tplc="B7FE1D96">
      <w:start w:val="1"/>
      <w:numFmt w:val="lowerLetter"/>
      <w:lvlText w:val="%2."/>
      <w:lvlJc w:val="left"/>
      <w:pPr>
        <w:ind w:left="1440" w:hanging="360"/>
      </w:pPr>
    </w:lvl>
    <w:lvl w:ilvl="2" w:tplc="88D4CF1A">
      <w:start w:val="1"/>
      <w:numFmt w:val="lowerRoman"/>
      <w:lvlText w:val="%3."/>
      <w:lvlJc w:val="right"/>
      <w:pPr>
        <w:ind w:left="2160" w:hanging="180"/>
      </w:pPr>
    </w:lvl>
    <w:lvl w:ilvl="3" w:tplc="AF862880">
      <w:start w:val="1"/>
      <w:numFmt w:val="decimal"/>
      <w:lvlText w:val="%4."/>
      <w:lvlJc w:val="left"/>
      <w:pPr>
        <w:ind w:left="2880" w:hanging="360"/>
      </w:pPr>
    </w:lvl>
    <w:lvl w:ilvl="4" w:tplc="3B660E76">
      <w:start w:val="1"/>
      <w:numFmt w:val="lowerLetter"/>
      <w:lvlText w:val="%5."/>
      <w:lvlJc w:val="left"/>
      <w:pPr>
        <w:ind w:left="3600" w:hanging="360"/>
      </w:pPr>
    </w:lvl>
    <w:lvl w:ilvl="5" w:tplc="045C7FDE">
      <w:start w:val="1"/>
      <w:numFmt w:val="lowerRoman"/>
      <w:lvlText w:val="%6."/>
      <w:lvlJc w:val="right"/>
      <w:pPr>
        <w:ind w:left="4320" w:hanging="180"/>
      </w:pPr>
    </w:lvl>
    <w:lvl w:ilvl="6" w:tplc="EF5AE232">
      <w:start w:val="1"/>
      <w:numFmt w:val="decimal"/>
      <w:lvlText w:val="%7."/>
      <w:lvlJc w:val="left"/>
      <w:pPr>
        <w:ind w:left="5040" w:hanging="360"/>
      </w:pPr>
    </w:lvl>
    <w:lvl w:ilvl="7" w:tplc="52D41E0A">
      <w:start w:val="1"/>
      <w:numFmt w:val="lowerLetter"/>
      <w:lvlText w:val="%8."/>
      <w:lvlJc w:val="left"/>
      <w:pPr>
        <w:ind w:left="5760" w:hanging="360"/>
      </w:pPr>
    </w:lvl>
    <w:lvl w:ilvl="8" w:tplc="E2A2F604">
      <w:start w:val="1"/>
      <w:numFmt w:val="lowerRoman"/>
      <w:lvlText w:val="%9."/>
      <w:lvlJc w:val="right"/>
      <w:pPr>
        <w:ind w:left="6480" w:hanging="180"/>
      </w:pPr>
    </w:lvl>
  </w:abstractNum>
  <w:abstractNum w:abstractNumId="2" w15:restartNumberingAfterBreak="0">
    <w:nsid w:val="04DA22EA"/>
    <w:multiLevelType w:val="hybridMultilevel"/>
    <w:tmpl w:val="FFFFFFFF"/>
    <w:lvl w:ilvl="0" w:tplc="98F6BB18">
      <w:start w:val="1"/>
      <w:numFmt w:val="bullet"/>
      <w:lvlText w:val=""/>
      <w:lvlJc w:val="left"/>
      <w:pPr>
        <w:ind w:left="720" w:hanging="360"/>
      </w:pPr>
      <w:rPr>
        <w:rFonts w:ascii="Wingdings" w:hAnsi="Wingdings" w:hint="default"/>
      </w:rPr>
    </w:lvl>
    <w:lvl w:ilvl="1" w:tplc="00C85214">
      <w:start w:val="1"/>
      <w:numFmt w:val="bullet"/>
      <w:lvlText w:val="o"/>
      <w:lvlJc w:val="left"/>
      <w:pPr>
        <w:ind w:left="1440" w:hanging="360"/>
      </w:pPr>
      <w:rPr>
        <w:rFonts w:ascii="Courier New" w:hAnsi="Courier New" w:hint="default"/>
      </w:rPr>
    </w:lvl>
    <w:lvl w:ilvl="2" w:tplc="3DB01446">
      <w:start w:val="1"/>
      <w:numFmt w:val="bullet"/>
      <w:lvlText w:val=""/>
      <w:lvlJc w:val="left"/>
      <w:pPr>
        <w:ind w:left="2160" w:hanging="360"/>
      </w:pPr>
      <w:rPr>
        <w:rFonts w:ascii="Wingdings" w:hAnsi="Wingdings" w:hint="default"/>
      </w:rPr>
    </w:lvl>
    <w:lvl w:ilvl="3" w:tplc="30128736">
      <w:start w:val="1"/>
      <w:numFmt w:val="bullet"/>
      <w:lvlText w:val=""/>
      <w:lvlJc w:val="left"/>
      <w:pPr>
        <w:ind w:left="2880" w:hanging="360"/>
      </w:pPr>
      <w:rPr>
        <w:rFonts w:ascii="Symbol" w:hAnsi="Symbol" w:hint="default"/>
      </w:rPr>
    </w:lvl>
    <w:lvl w:ilvl="4" w:tplc="81ECA2EA">
      <w:start w:val="1"/>
      <w:numFmt w:val="bullet"/>
      <w:lvlText w:val="o"/>
      <w:lvlJc w:val="left"/>
      <w:pPr>
        <w:ind w:left="3600" w:hanging="360"/>
      </w:pPr>
      <w:rPr>
        <w:rFonts w:ascii="Courier New" w:hAnsi="Courier New" w:hint="default"/>
      </w:rPr>
    </w:lvl>
    <w:lvl w:ilvl="5" w:tplc="87AC5830">
      <w:start w:val="1"/>
      <w:numFmt w:val="bullet"/>
      <w:lvlText w:val=""/>
      <w:lvlJc w:val="left"/>
      <w:pPr>
        <w:ind w:left="4320" w:hanging="360"/>
      </w:pPr>
      <w:rPr>
        <w:rFonts w:ascii="Wingdings" w:hAnsi="Wingdings" w:hint="default"/>
      </w:rPr>
    </w:lvl>
    <w:lvl w:ilvl="6" w:tplc="80C45A18">
      <w:start w:val="1"/>
      <w:numFmt w:val="bullet"/>
      <w:lvlText w:val=""/>
      <w:lvlJc w:val="left"/>
      <w:pPr>
        <w:ind w:left="5040" w:hanging="360"/>
      </w:pPr>
      <w:rPr>
        <w:rFonts w:ascii="Symbol" w:hAnsi="Symbol" w:hint="default"/>
      </w:rPr>
    </w:lvl>
    <w:lvl w:ilvl="7" w:tplc="B33ED1A2">
      <w:start w:val="1"/>
      <w:numFmt w:val="bullet"/>
      <w:lvlText w:val="o"/>
      <w:lvlJc w:val="left"/>
      <w:pPr>
        <w:ind w:left="5760" w:hanging="360"/>
      </w:pPr>
      <w:rPr>
        <w:rFonts w:ascii="Courier New" w:hAnsi="Courier New" w:hint="default"/>
      </w:rPr>
    </w:lvl>
    <w:lvl w:ilvl="8" w:tplc="D35E674E">
      <w:start w:val="1"/>
      <w:numFmt w:val="bullet"/>
      <w:lvlText w:val=""/>
      <w:lvlJc w:val="left"/>
      <w:pPr>
        <w:ind w:left="6480" w:hanging="360"/>
      </w:pPr>
      <w:rPr>
        <w:rFonts w:ascii="Wingdings" w:hAnsi="Wingdings" w:hint="default"/>
      </w:rPr>
    </w:lvl>
  </w:abstractNum>
  <w:abstractNum w:abstractNumId="3" w15:restartNumberingAfterBreak="0">
    <w:nsid w:val="05343F9B"/>
    <w:multiLevelType w:val="multilevel"/>
    <w:tmpl w:val="CE00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B7853"/>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5904F7"/>
    <w:multiLevelType w:val="hybridMultilevel"/>
    <w:tmpl w:val="FFFFFFFF"/>
    <w:lvl w:ilvl="0" w:tplc="1EE489AC">
      <w:start w:val="1"/>
      <w:numFmt w:val="bullet"/>
      <w:lvlText w:val="-"/>
      <w:lvlJc w:val="left"/>
      <w:pPr>
        <w:ind w:left="720" w:hanging="360"/>
      </w:pPr>
      <w:rPr>
        <w:rFonts w:ascii="Aptos" w:hAnsi="Aptos" w:hint="default"/>
      </w:rPr>
    </w:lvl>
    <w:lvl w:ilvl="1" w:tplc="ECEA731E">
      <w:start w:val="1"/>
      <w:numFmt w:val="bullet"/>
      <w:lvlText w:val="o"/>
      <w:lvlJc w:val="left"/>
      <w:pPr>
        <w:ind w:left="1440" w:hanging="360"/>
      </w:pPr>
      <w:rPr>
        <w:rFonts w:ascii="Courier New" w:hAnsi="Courier New" w:hint="default"/>
      </w:rPr>
    </w:lvl>
    <w:lvl w:ilvl="2" w:tplc="E36AFE38">
      <w:start w:val="1"/>
      <w:numFmt w:val="bullet"/>
      <w:lvlText w:val=""/>
      <w:lvlJc w:val="left"/>
      <w:pPr>
        <w:ind w:left="2160" w:hanging="360"/>
      </w:pPr>
      <w:rPr>
        <w:rFonts w:ascii="Wingdings" w:hAnsi="Wingdings" w:hint="default"/>
      </w:rPr>
    </w:lvl>
    <w:lvl w:ilvl="3" w:tplc="49E65702">
      <w:start w:val="1"/>
      <w:numFmt w:val="bullet"/>
      <w:lvlText w:val=""/>
      <w:lvlJc w:val="left"/>
      <w:pPr>
        <w:ind w:left="2880" w:hanging="360"/>
      </w:pPr>
      <w:rPr>
        <w:rFonts w:ascii="Symbol" w:hAnsi="Symbol" w:hint="default"/>
      </w:rPr>
    </w:lvl>
    <w:lvl w:ilvl="4" w:tplc="825EC33A">
      <w:start w:val="1"/>
      <w:numFmt w:val="bullet"/>
      <w:lvlText w:val="o"/>
      <w:lvlJc w:val="left"/>
      <w:pPr>
        <w:ind w:left="3600" w:hanging="360"/>
      </w:pPr>
      <w:rPr>
        <w:rFonts w:ascii="Courier New" w:hAnsi="Courier New" w:hint="default"/>
      </w:rPr>
    </w:lvl>
    <w:lvl w:ilvl="5" w:tplc="33BADBF4">
      <w:start w:val="1"/>
      <w:numFmt w:val="bullet"/>
      <w:lvlText w:val=""/>
      <w:lvlJc w:val="left"/>
      <w:pPr>
        <w:ind w:left="4320" w:hanging="360"/>
      </w:pPr>
      <w:rPr>
        <w:rFonts w:ascii="Wingdings" w:hAnsi="Wingdings" w:hint="default"/>
      </w:rPr>
    </w:lvl>
    <w:lvl w:ilvl="6" w:tplc="A36E4D08">
      <w:start w:val="1"/>
      <w:numFmt w:val="bullet"/>
      <w:lvlText w:val=""/>
      <w:lvlJc w:val="left"/>
      <w:pPr>
        <w:ind w:left="5040" w:hanging="360"/>
      </w:pPr>
      <w:rPr>
        <w:rFonts w:ascii="Symbol" w:hAnsi="Symbol" w:hint="default"/>
      </w:rPr>
    </w:lvl>
    <w:lvl w:ilvl="7" w:tplc="971A4994">
      <w:start w:val="1"/>
      <w:numFmt w:val="bullet"/>
      <w:lvlText w:val="o"/>
      <w:lvlJc w:val="left"/>
      <w:pPr>
        <w:ind w:left="5760" w:hanging="360"/>
      </w:pPr>
      <w:rPr>
        <w:rFonts w:ascii="Courier New" w:hAnsi="Courier New" w:hint="default"/>
      </w:rPr>
    </w:lvl>
    <w:lvl w:ilvl="8" w:tplc="36081A18">
      <w:start w:val="1"/>
      <w:numFmt w:val="bullet"/>
      <w:lvlText w:val=""/>
      <w:lvlJc w:val="left"/>
      <w:pPr>
        <w:ind w:left="6480" w:hanging="360"/>
      </w:pPr>
      <w:rPr>
        <w:rFonts w:ascii="Wingdings" w:hAnsi="Wingdings" w:hint="default"/>
      </w:rPr>
    </w:lvl>
  </w:abstractNum>
  <w:abstractNum w:abstractNumId="6" w15:restartNumberingAfterBreak="0">
    <w:nsid w:val="0743BF61"/>
    <w:multiLevelType w:val="hybridMultilevel"/>
    <w:tmpl w:val="FFFFFFFF"/>
    <w:lvl w:ilvl="0" w:tplc="008E9D3A">
      <w:start w:val="1"/>
      <w:numFmt w:val="bullet"/>
      <w:lvlText w:val=""/>
      <w:lvlJc w:val="left"/>
      <w:pPr>
        <w:ind w:left="720" w:hanging="360"/>
      </w:pPr>
      <w:rPr>
        <w:rFonts w:ascii="Wingdings" w:hAnsi="Wingdings" w:hint="default"/>
      </w:rPr>
    </w:lvl>
    <w:lvl w:ilvl="1" w:tplc="4BBA77F8">
      <w:start w:val="1"/>
      <w:numFmt w:val="bullet"/>
      <w:lvlText w:val="o"/>
      <w:lvlJc w:val="left"/>
      <w:pPr>
        <w:ind w:left="1440" w:hanging="360"/>
      </w:pPr>
      <w:rPr>
        <w:rFonts w:ascii="Courier New" w:hAnsi="Courier New" w:hint="default"/>
      </w:rPr>
    </w:lvl>
    <w:lvl w:ilvl="2" w:tplc="FFC0293E">
      <w:start w:val="1"/>
      <w:numFmt w:val="bullet"/>
      <w:lvlText w:val=""/>
      <w:lvlJc w:val="left"/>
      <w:pPr>
        <w:ind w:left="2160" w:hanging="360"/>
      </w:pPr>
      <w:rPr>
        <w:rFonts w:ascii="Wingdings" w:hAnsi="Wingdings" w:hint="default"/>
      </w:rPr>
    </w:lvl>
    <w:lvl w:ilvl="3" w:tplc="7FA09FB8">
      <w:start w:val="1"/>
      <w:numFmt w:val="bullet"/>
      <w:lvlText w:val=""/>
      <w:lvlJc w:val="left"/>
      <w:pPr>
        <w:ind w:left="2880" w:hanging="360"/>
      </w:pPr>
      <w:rPr>
        <w:rFonts w:ascii="Symbol" w:hAnsi="Symbol" w:hint="default"/>
      </w:rPr>
    </w:lvl>
    <w:lvl w:ilvl="4" w:tplc="014C0084">
      <w:start w:val="1"/>
      <w:numFmt w:val="bullet"/>
      <w:lvlText w:val="o"/>
      <w:lvlJc w:val="left"/>
      <w:pPr>
        <w:ind w:left="3600" w:hanging="360"/>
      </w:pPr>
      <w:rPr>
        <w:rFonts w:ascii="Courier New" w:hAnsi="Courier New" w:hint="default"/>
      </w:rPr>
    </w:lvl>
    <w:lvl w:ilvl="5" w:tplc="3508C6EC">
      <w:start w:val="1"/>
      <w:numFmt w:val="bullet"/>
      <w:lvlText w:val=""/>
      <w:lvlJc w:val="left"/>
      <w:pPr>
        <w:ind w:left="4320" w:hanging="360"/>
      </w:pPr>
      <w:rPr>
        <w:rFonts w:ascii="Wingdings" w:hAnsi="Wingdings" w:hint="default"/>
      </w:rPr>
    </w:lvl>
    <w:lvl w:ilvl="6" w:tplc="EF66B998">
      <w:start w:val="1"/>
      <w:numFmt w:val="bullet"/>
      <w:lvlText w:val=""/>
      <w:lvlJc w:val="left"/>
      <w:pPr>
        <w:ind w:left="5040" w:hanging="360"/>
      </w:pPr>
      <w:rPr>
        <w:rFonts w:ascii="Symbol" w:hAnsi="Symbol" w:hint="default"/>
      </w:rPr>
    </w:lvl>
    <w:lvl w:ilvl="7" w:tplc="8312C246">
      <w:start w:val="1"/>
      <w:numFmt w:val="bullet"/>
      <w:lvlText w:val="o"/>
      <w:lvlJc w:val="left"/>
      <w:pPr>
        <w:ind w:left="5760" w:hanging="360"/>
      </w:pPr>
      <w:rPr>
        <w:rFonts w:ascii="Courier New" w:hAnsi="Courier New" w:hint="default"/>
      </w:rPr>
    </w:lvl>
    <w:lvl w:ilvl="8" w:tplc="786C603A">
      <w:start w:val="1"/>
      <w:numFmt w:val="bullet"/>
      <w:lvlText w:val=""/>
      <w:lvlJc w:val="left"/>
      <w:pPr>
        <w:ind w:left="6480" w:hanging="360"/>
      </w:pPr>
      <w:rPr>
        <w:rFonts w:ascii="Wingdings" w:hAnsi="Wingdings" w:hint="default"/>
      </w:rPr>
    </w:lvl>
  </w:abstractNum>
  <w:abstractNum w:abstractNumId="7" w15:restartNumberingAfterBreak="0">
    <w:nsid w:val="09F40920"/>
    <w:multiLevelType w:val="multilevel"/>
    <w:tmpl w:val="69762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8A2E12"/>
    <w:multiLevelType w:val="multilevel"/>
    <w:tmpl w:val="B20C1E36"/>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2D01BC"/>
    <w:multiLevelType w:val="hybridMultilevel"/>
    <w:tmpl w:val="02DAD374"/>
    <w:lvl w:ilvl="0" w:tplc="FFFFFFFF">
      <w:start w:val="1"/>
      <w:numFmt w:val="lowerRoman"/>
      <w:lvlText w:val="%1."/>
      <w:lvlJc w:val="right"/>
      <w:pPr>
        <w:ind w:left="322"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BE138B"/>
    <w:multiLevelType w:val="hybridMultilevel"/>
    <w:tmpl w:val="02DAD374"/>
    <w:lvl w:ilvl="0" w:tplc="FFFFFFFF">
      <w:start w:val="1"/>
      <w:numFmt w:val="lowerRoman"/>
      <w:lvlText w:val="%1."/>
      <w:lvlJc w:val="right"/>
      <w:pPr>
        <w:ind w:left="322"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14056C"/>
    <w:multiLevelType w:val="hybridMultilevel"/>
    <w:tmpl w:val="97041412"/>
    <w:lvl w:ilvl="0" w:tplc="C340F4DA">
      <w:start w:val="1"/>
      <w:numFmt w:val="decimal"/>
      <w:lvlText w:val="%1."/>
      <w:lvlJc w:val="left"/>
      <w:pPr>
        <w:ind w:left="720" w:hanging="360"/>
      </w:pPr>
    </w:lvl>
    <w:lvl w:ilvl="1" w:tplc="F272825C">
      <w:start w:val="1"/>
      <w:numFmt w:val="lowerLetter"/>
      <w:lvlText w:val="%2."/>
      <w:lvlJc w:val="left"/>
      <w:pPr>
        <w:ind w:left="1440" w:hanging="360"/>
      </w:pPr>
    </w:lvl>
    <w:lvl w:ilvl="2" w:tplc="90267352">
      <w:start w:val="1"/>
      <w:numFmt w:val="lowerRoman"/>
      <w:lvlText w:val="%3."/>
      <w:lvlJc w:val="right"/>
      <w:pPr>
        <w:ind w:left="2160" w:hanging="180"/>
      </w:pPr>
    </w:lvl>
    <w:lvl w:ilvl="3" w:tplc="8F040934">
      <w:start w:val="1"/>
      <w:numFmt w:val="decimal"/>
      <w:lvlText w:val="%4."/>
      <w:lvlJc w:val="left"/>
      <w:pPr>
        <w:ind w:left="2880" w:hanging="360"/>
      </w:pPr>
    </w:lvl>
    <w:lvl w:ilvl="4" w:tplc="89DE7BFE">
      <w:start w:val="1"/>
      <w:numFmt w:val="lowerLetter"/>
      <w:lvlText w:val="%5."/>
      <w:lvlJc w:val="left"/>
      <w:pPr>
        <w:ind w:left="3600" w:hanging="360"/>
      </w:pPr>
    </w:lvl>
    <w:lvl w:ilvl="5" w:tplc="338AA020">
      <w:start w:val="1"/>
      <w:numFmt w:val="lowerRoman"/>
      <w:lvlText w:val="%6."/>
      <w:lvlJc w:val="right"/>
      <w:pPr>
        <w:ind w:left="4320" w:hanging="180"/>
      </w:pPr>
    </w:lvl>
    <w:lvl w:ilvl="6" w:tplc="473C2318">
      <w:start w:val="1"/>
      <w:numFmt w:val="decimal"/>
      <w:lvlText w:val="%7."/>
      <w:lvlJc w:val="left"/>
      <w:pPr>
        <w:ind w:left="2520" w:hanging="360"/>
      </w:pPr>
      <w:rPr>
        <w:b/>
        <w:bCs/>
      </w:rPr>
    </w:lvl>
    <w:lvl w:ilvl="7" w:tplc="2B826B7C">
      <w:start w:val="1"/>
      <w:numFmt w:val="lowerLetter"/>
      <w:lvlText w:val="%8."/>
      <w:lvlJc w:val="left"/>
      <w:pPr>
        <w:ind w:left="5760" w:hanging="360"/>
      </w:pPr>
    </w:lvl>
    <w:lvl w:ilvl="8" w:tplc="DD721C9E">
      <w:start w:val="1"/>
      <w:numFmt w:val="lowerRoman"/>
      <w:lvlText w:val="%9."/>
      <w:lvlJc w:val="right"/>
      <w:pPr>
        <w:ind w:left="6480" w:hanging="180"/>
      </w:pPr>
    </w:lvl>
  </w:abstractNum>
  <w:abstractNum w:abstractNumId="12" w15:restartNumberingAfterBreak="0">
    <w:nsid w:val="131E1710"/>
    <w:multiLevelType w:val="hybridMultilevel"/>
    <w:tmpl w:val="DBAE45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84174B"/>
    <w:multiLevelType w:val="multilevel"/>
    <w:tmpl w:val="BCF0B9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7E44416"/>
    <w:multiLevelType w:val="hybridMultilevel"/>
    <w:tmpl w:val="02DAD374"/>
    <w:lvl w:ilvl="0" w:tplc="FFFFFFFF">
      <w:start w:val="1"/>
      <w:numFmt w:val="lowerRoman"/>
      <w:lvlText w:val="%1."/>
      <w:lvlJc w:val="right"/>
      <w:pPr>
        <w:ind w:left="322"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FD3068"/>
    <w:multiLevelType w:val="multilevel"/>
    <w:tmpl w:val="9F08912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F4E36E0"/>
    <w:multiLevelType w:val="hybridMultilevel"/>
    <w:tmpl w:val="02DAD374"/>
    <w:lvl w:ilvl="0" w:tplc="FFFFFFFF">
      <w:start w:val="1"/>
      <w:numFmt w:val="lowerRoman"/>
      <w:lvlText w:val="%1."/>
      <w:lvlJc w:val="right"/>
      <w:pPr>
        <w:ind w:left="322"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734306"/>
    <w:multiLevelType w:val="multilevel"/>
    <w:tmpl w:val="0548FF20"/>
    <w:lvl w:ilvl="0">
      <w:start w:val="1"/>
      <w:numFmt w:val="decimal"/>
      <w:pStyle w:val="Heading1"/>
      <w:lvlText w:val="%1."/>
      <w:lvlJc w:val="left"/>
      <w:pPr>
        <w:tabs>
          <w:tab w:val="num" w:pos="360"/>
        </w:tabs>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360"/>
        </w:tabs>
      </w:pPr>
    </w:lvl>
    <w:lvl w:ilvl="3">
      <w:start w:val="1"/>
      <w:numFmt w:val="decimal"/>
      <w:lvlText w:val="%1.%2.%3.%4."/>
      <w:lvlJc w:val="left"/>
      <w:pPr>
        <w:ind w:left="156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8" w15:restartNumberingAfterBreak="0">
    <w:nsid w:val="1F761B10"/>
    <w:multiLevelType w:val="multilevel"/>
    <w:tmpl w:val="F06C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D9196F"/>
    <w:multiLevelType w:val="hybridMultilevel"/>
    <w:tmpl w:val="FFFFFFFF"/>
    <w:lvl w:ilvl="0" w:tplc="C436FF5A">
      <w:start w:val="1"/>
      <w:numFmt w:val="lowerLetter"/>
      <w:lvlText w:val="%1."/>
      <w:lvlJc w:val="left"/>
      <w:pPr>
        <w:ind w:left="720" w:hanging="360"/>
      </w:pPr>
    </w:lvl>
    <w:lvl w:ilvl="1" w:tplc="CA42F016">
      <w:start w:val="1"/>
      <w:numFmt w:val="lowerLetter"/>
      <w:lvlText w:val="%2."/>
      <w:lvlJc w:val="left"/>
      <w:pPr>
        <w:ind w:left="1440" w:hanging="360"/>
      </w:pPr>
    </w:lvl>
    <w:lvl w:ilvl="2" w:tplc="228E136A">
      <w:start w:val="1"/>
      <w:numFmt w:val="lowerRoman"/>
      <w:lvlText w:val="%3."/>
      <w:lvlJc w:val="right"/>
      <w:pPr>
        <w:ind w:left="322" w:hanging="180"/>
      </w:pPr>
    </w:lvl>
    <w:lvl w:ilvl="3" w:tplc="0E5C3F78">
      <w:start w:val="1"/>
      <w:numFmt w:val="decimal"/>
      <w:lvlText w:val="%4."/>
      <w:lvlJc w:val="left"/>
      <w:pPr>
        <w:ind w:left="2880" w:hanging="360"/>
      </w:pPr>
    </w:lvl>
    <w:lvl w:ilvl="4" w:tplc="6A3C07F6">
      <w:start w:val="1"/>
      <w:numFmt w:val="lowerLetter"/>
      <w:lvlText w:val="%5."/>
      <w:lvlJc w:val="left"/>
      <w:pPr>
        <w:ind w:left="3600" w:hanging="360"/>
      </w:pPr>
    </w:lvl>
    <w:lvl w:ilvl="5" w:tplc="D5A005A0">
      <w:start w:val="1"/>
      <w:numFmt w:val="lowerRoman"/>
      <w:lvlText w:val="%6."/>
      <w:lvlJc w:val="right"/>
      <w:pPr>
        <w:ind w:left="4320" w:hanging="180"/>
      </w:pPr>
    </w:lvl>
    <w:lvl w:ilvl="6" w:tplc="085295DE">
      <w:start w:val="1"/>
      <w:numFmt w:val="decimal"/>
      <w:lvlText w:val="%7."/>
      <w:lvlJc w:val="left"/>
      <w:pPr>
        <w:ind w:left="5040" w:hanging="360"/>
      </w:pPr>
    </w:lvl>
    <w:lvl w:ilvl="7" w:tplc="CBAE5654">
      <w:start w:val="1"/>
      <w:numFmt w:val="lowerLetter"/>
      <w:lvlText w:val="%8."/>
      <w:lvlJc w:val="left"/>
      <w:pPr>
        <w:ind w:left="5760" w:hanging="360"/>
      </w:pPr>
    </w:lvl>
    <w:lvl w:ilvl="8" w:tplc="623AD5C4">
      <w:start w:val="1"/>
      <w:numFmt w:val="lowerRoman"/>
      <w:lvlText w:val="%9."/>
      <w:lvlJc w:val="right"/>
      <w:pPr>
        <w:ind w:left="6480" w:hanging="180"/>
      </w:pPr>
    </w:lvl>
  </w:abstractNum>
  <w:abstractNum w:abstractNumId="20" w15:restartNumberingAfterBreak="0">
    <w:nsid w:val="2030952D"/>
    <w:multiLevelType w:val="hybridMultilevel"/>
    <w:tmpl w:val="FFFFFFFF"/>
    <w:lvl w:ilvl="0" w:tplc="211A5EE2">
      <w:start w:val="1"/>
      <w:numFmt w:val="lowerLetter"/>
      <w:lvlText w:val="%1."/>
      <w:lvlJc w:val="left"/>
      <w:pPr>
        <w:ind w:left="720" w:hanging="360"/>
      </w:pPr>
    </w:lvl>
    <w:lvl w:ilvl="1" w:tplc="6CCEBB14">
      <w:start w:val="1"/>
      <w:numFmt w:val="lowerLetter"/>
      <w:lvlText w:val="%2."/>
      <w:lvlJc w:val="left"/>
      <w:pPr>
        <w:ind w:left="1440" w:hanging="360"/>
      </w:pPr>
    </w:lvl>
    <w:lvl w:ilvl="2" w:tplc="68B8B87C">
      <w:start w:val="1"/>
      <w:numFmt w:val="lowerRoman"/>
      <w:lvlText w:val="%3."/>
      <w:lvlJc w:val="right"/>
      <w:pPr>
        <w:ind w:left="2160" w:hanging="180"/>
      </w:pPr>
    </w:lvl>
    <w:lvl w:ilvl="3" w:tplc="1F1243A4">
      <w:start w:val="1"/>
      <w:numFmt w:val="decimal"/>
      <w:lvlText w:val="%4."/>
      <w:lvlJc w:val="left"/>
      <w:pPr>
        <w:ind w:left="2880" w:hanging="360"/>
      </w:pPr>
    </w:lvl>
    <w:lvl w:ilvl="4" w:tplc="572A4CA8">
      <w:start w:val="1"/>
      <w:numFmt w:val="lowerLetter"/>
      <w:lvlText w:val="%5."/>
      <w:lvlJc w:val="left"/>
      <w:pPr>
        <w:ind w:left="3600" w:hanging="360"/>
      </w:pPr>
    </w:lvl>
    <w:lvl w:ilvl="5" w:tplc="2A184DAE">
      <w:start w:val="1"/>
      <w:numFmt w:val="lowerRoman"/>
      <w:lvlText w:val="%6."/>
      <w:lvlJc w:val="right"/>
      <w:pPr>
        <w:ind w:left="4320" w:hanging="180"/>
      </w:pPr>
    </w:lvl>
    <w:lvl w:ilvl="6" w:tplc="85184E64">
      <w:start w:val="1"/>
      <w:numFmt w:val="decimal"/>
      <w:lvlText w:val="%7."/>
      <w:lvlJc w:val="left"/>
      <w:pPr>
        <w:ind w:left="5040" w:hanging="360"/>
      </w:pPr>
    </w:lvl>
    <w:lvl w:ilvl="7" w:tplc="A5C03D08">
      <w:start w:val="1"/>
      <w:numFmt w:val="lowerLetter"/>
      <w:lvlText w:val="%8."/>
      <w:lvlJc w:val="left"/>
      <w:pPr>
        <w:ind w:left="5760" w:hanging="360"/>
      </w:pPr>
    </w:lvl>
    <w:lvl w:ilvl="8" w:tplc="BA2E1204">
      <w:start w:val="1"/>
      <w:numFmt w:val="lowerRoman"/>
      <w:lvlText w:val="%9."/>
      <w:lvlJc w:val="right"/>
      <w:pPr>
        <w:ind w:left="6480" w:hanging="180"/>
      </w:pPr>
    </w:lvl>
  </w:abstractNum>
  <w:abstractNum w:abstractNumId="21" w15:restartNumberingAfterBreak="0">
    <w:nsid w:val="20AD13B2"/>
    <w:multiLevelType w:val="hybridMultilevel"/>
    <w:tmpl w:val="FFFFFFFF"/>
    <w:lvl w:ilvl="0" w:tplc="B9683E30">
      <w:start w:val="1"/>
      <w:numFmt w:val="bullet"/>
      <w:lvlText w:val="-"/>
      <w:lvlJc w:val="left"/>
      <w:pPr>
        <w:ind w:left="720" w:hanging="360"/>
      </w:pPr>
      <w:rPr>
        <w:rFonts w:ascii="Aptos" w:hAnsi="Aptos" w:hint="default"/>
      </w:rPr>
    </w:lvl>
    <w:lvl w:ilvl="1" w:tplc="295ADB76">
      <w:start w:val="1"/>
      <w:numFmt w:val="bullet"/>
      <w:lvlText w:val="o"/>
      <w:lvlJc w:val="left"/>
      <w:pPr>
        <w:ind w:left="1440" w:hanging="360"/>
      </w:pPr>
      <w:rPr>
        <w:rFonts w:ascii="Courier New" w:hAnsi="Courier New" w:hint="default"/>
      </w:rPr>
    </w:lvl>
    <w:lvl w:ilvl="2" w:tplc="C0563D08">
      <w:start w:val="1"/>
      <w:numFmt w:val="bullet"/>
      <w:lvlText w:val=""/>
      <w:lvlJc w:val="left"/>
      <w:pPr>
        <w:ind w:left="2160" w:hanging="360"/>
      </w:pPr>
      <w:rPr>
        <w:rFonts w:ascii="Wingdings" w:hAnsi="Wingdings" w:hint="default"/>
      </w:rPr>
    </w:lvl>
    <w:lvl w:ilvl="3" w:tplc="C3307C64">
      <w:start w:val="1"/>
      <w:numFmt w:val="bullet"/>
      <w:lvlText w:val=""/>
      <w:lvlJc w:val="left"/>
      <w:pPr>
        <w:ind w:left="2880" w:hanging="360"/>
      </w:pPr>
      <w:rPr>
        <w:rFonts w:ascii="Symbol" w:hAnsi="Symbol" w:hint="default"/>
      </w:rPr>
    </w:lvl>
    <w:lvl w:ilvl="4" w:tplc="7494F650">
      <w:start w:val="1"/>
      <w:numFmt w:val="bullet"/>
      <w:lvlText w:val="o"/>
      <w:lvlJc w:val="left"/>
      <w:pPr>
        <w:ind w:left="3600" w:hanging="360"/>
      </w:pPr>
      <w:rPr>
        <w:rFonts w:ascii="Courier New" w:hAnsi="Courier New" w:hint="default"/>
      </w:rPr>
    </w:lvl>
    <w:lvl w:ilvl="5" w:tplc="0E30C2EE">
      <w:start w:val="1"/>
      <w:numFmt w:val="bullet"/>
      <w:lvlText w:val=""/>
      <w:lvlJc w:val="left"/>
      <w:pPr>
        <w:ind w:left="4320" w:hanging="360"/>
      </w:pPr>
      <w:rPr>
        <w:rFonts w:ascii="Wingdings" w:hAnsi="Wingdings" w:hint="default"/>
      </w:rPr>
    </w:lvl>
    <w:lvl w:ilvl="6" w:tplc="ACFA9992">
      <w:start w:val="1"/>
      <w:numFmt w:val="bullet"/>
      <w:lvlText w:val=""/>
      <w:lvlJc w:val="left"/>
      <w:pPr>
        <w:ind w:left="5040" w:hanging="360"/>
      </w:pPr>
      <w:rPr>
        <w:rFonts w:ascii="Symbol" w:hAnsi="Symbol" w:hint="default"/>
      </w:rPr>
    </w:lvl>
    <w:lvl w:ilvl="7" w:tplc="069A877E">
      <w:start w:val="1"/>
      <w:numFmt w:val="bullet"/>
      <w:lvlText w:val="o"/>
      <w:lvlJc w:val="left"/>
      <w:pPr>
        <w:ind w:left="5760" w:hanging="360"/>
      </w:pPr>
      <w:rPr>
        <w:rFonts w:ascii="Courier New" w:hAnsi="Courier New" w:hint="default"/>
      </w:rPr>
    </w:lvl>
    <w:lvl w:ilvl="8" w:tplc="89B6B4CE">
      <w:start w:val="1"/>
      <w:numFmt w:val="bullet"/>
      <w:lvlText w:val=""/>
      <w:lvlJc w:val="left"/>
      <w:pPr>
        <w:ind w:left="6480" w:hanging="360"/>
      </w:pPr>
      <w:rPr>
        <w:rFonts w:ascii="Wingdings" w:hAnsi="Wingdings" w:hint="default"/>
      </w:rPr>
    </w:lvl>
  </w:abstractNum>
  <w:abstractNum w:abstractNumId="22" w15:restartNumberingAfterBreak="0">
    <w:nsid w:val="2128107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2A54D9F"/>
    <w:multiLevelType w:val="hybridMultilevel"/>
    <w:tmpl w:val="FFFFFFFF"/>
    <w:lvl w:ilvl="0" w:tplc="F23C8584">
      <w:start w:val="1"/>
      <w:numFmt w:val="lowerLetter"/>
      <w:lvlText w:val="%1."/>
      <w:lvlJc w:val="left"/>
      <w:pPr>
        <w:ind w:left="720" w:hanging="360"/>
      </w:pPr>
    </w:lvl>
    <w:lvl w:ilvl="1" w:tplc="9E98BF38">
      <w:start w:val="1"/>
      <w:numFmt w:val="lowerLetter"/>
      <w:lvlText w:val="%2."/>
      <w:lvlJc w:val="left"/>
      <w:pPr>
        <w:ind w:left="1440" w:hanging="360"/>
      </w:pPr>
    </w:lvl>
    <w:lvl w:ilvl="2" w:tplc="45589C78">
      <w:start w:val="1"/>
      <w:numFmt w:val="lowerRoman"/>
      <w:lvlText w:val="%3."/>
      <w:lvlJc w:val="right"/>
      <w:pPr>
        <w:ind w:left="2160" w:hanging="180"/>
      </w:pPr>
    </w:lvl>
    <w:lvl w:ilvl="3" w:tplc="258CDDF0">
      <w:start w:val="1"/>
      <w:numFmt w:val="decimal"/>
      <w:lvlText w:val="%4."/>
      <w:lvlJc w:val="left"/>
      <w:pPr>
        <w:ind w:left="2880" w:hanging="360"/>
      </w:pPr>
    </w:lvl>
    <w:lvl w:ilvl="4" w:tplc="EC04F4EA">
      <w:start w:val="1"/>
      <w:numFmt w:val="lowerLetter"/>
      <w:lvlText w:val="%5."/>
      <w:lvlJc w:val="left"/>
      <w:pPr>
        <w:ind w:left="3600" w:hanging="360"/>
      </w:pPr>
    </w:lvl>
    <w:lvl w:ilvl="5" w:tplc="48AA36A8">
      <w:start w:val="1"/>
      <w:numFmt w:val="lowerRoman"/>
      <w:lvlText w:val="%6."/>
      <w:lvlJc w:val="right"/>
      <w:pPr>
        <w:ind w:left="4320" w:hanging="180"/>
      </w:pPr>
    </w:lvl>
    <w:lvl w:ilvl="6" w:tplc="35D0D868">
      <w:start w:val="1"/>
      <w:numFmt w:val="decimal"/>
      <w:lvlText w:val="%7."/>
      <w:lvlJc w:val="left"/>
      <w:pPr>
        <w:ind w:left="5040" w:hanging="360"/>
      </w:pPr>
    </w:lvl>
    <w:lvl w:ilvl="7" w:tplc="9B86D4D0">
      <w:start w:val="1"/>
      <w:numFmt w:val="lowerLetter"/>
      <w:lvlText w:val="%8."/>
      <w:lvlJc w:val="left"/>
      <w:pPr>
        <w:ind w:left="5760" w:hanging="360"/>
      </w:pPr>
    </w:lvl>
    <w:lvl w:ilvl="8" w:tplc="AE1C06CC">
      <w:start w:val="1"/>
      <w:numFmt w:val="lowerRoman"/>
      <w:lvlText w:val="%9."/>
      <w:lvlJc w:val="right"/>
      <w:pPr>
        <w:ind w:left="6480" w:hanging="180"/>
      </w:pPr>
    </w:lvl>
  </w:abstractNum>
  <w:abstractNum w:abstractNumId="24" w15:restartNumberingAfterBreak="0">
    <w:nsid w:val="242139B2"/>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5723C0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6664079"/>
    <w:multiLevelType w:val="hybridMultilevel"/>
    <w:tmpl w:val="02DAD374"/>
    <w:lvl w:ilvl="0" w:tplc="FFFFFFFF">
      <w:start w:val="1"/>
      <w:numFmt w:val="lowerRoman"/>
      <w:lvlText w:val="%1."/>
      <w:lvlJc w:val="right"/>
      <w:pPr>
        <w:ind w:left="322"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6861C9F"/>
    <w:multiLevelType w:val="hybridMultilevel"/>
    <w:tmpl w:val="02DAD374"/>
    <w:lvl w:ilvl="0" w:tplc="FFFFFFFF">
      <w:start w:val="1"/>
      <w:numFmt w:val="lowerRoman"/>
      <w:lvlText w:val="%1."/>
      <w:lvlJc w:val="right"/>
      <w:pPr>
        <w:ind w:left="322"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7312B21"/>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7EA7CA8"/>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8420141"/>
    <w:multiLevelType w:val="hybridMultilevel"/>
    <w:tmpl w:val="FFFFFFFF"/>
    <w:lvl w:ilvl="0" w:tplc="2DD8FF20">
      <w:start w:val="1"/>
      <w:numFmt w:val="lowerLetter"/>
      <w:lvlText w:val="%1."/>
      <w:lvlJc w:val="left"/>
      <w:pPr>
        <w:ind w:left="720" w:hanging="360"/>
      </w:pPr>
    </w:lvl>
    <w:lvl w:ilvl="1" w:tplc="056A19A8">
      <w:start w:val="1"/>
      <w:numFmt w:val="lowerLetter"/>
      <w:lvlText w:val="%2."/>
      <w:lvlJc w:val="left"/>
      <w:pPr>
        <w:ind w:left="1440" w:hanging="360"/>
      </w:pPr>
    </w:lvl>
    <w:lvl w:ilvl="2" w:tplc="B0DC8E72">
      <w:start w:val="1"/>
      <w:numFmt w:val="lowerRoman"/>
      <w:lvlText w:val="%3."/>
      <w:lvlJc w:val="right"/>
      <w:pPr>
        <w:ind w:left="2160" w:hanging="180"/>
      </w:pPr>
    </w:lvl>
    <w:lvl w:ilvl="3" w:tplc="48D234E4">
      <w:start w:val="1"/>
      <w:numFmt w:val="decimal"/>
      <w:lvlText w:val="%4."/>
      <w:lvlJc w:val="left"/>
      <w:pPr>
        <w:ind w:left="2880" w:hanging="360"/>
      </w:pPr>
    </w:lvl>
    <w:lvl w:ilvl="4" w:tplc="76DE7D32">
      <w:start w:val="1"/>
      <w:numFmt w:val="lowerLetter"/>
      <w:lvlText w:val="%5."/>
      <w:lvlJc w:val="left"/>
      <w:pPr>
        <w:ind w:left="3600" w:hanging="360"/>
      </w:pPr>
    </w:lvl>
    <w:lvl w:ilvl="5" w:tplc="6884EE78">
      <w:start w:val="1"/>
      <w:numFmt w:val="lowerRoman"/>
      <w:lvlText w:val="%6."/>
      <w:lvlJc w:val="right"/>
      <w:pPr>
        <w:ind w:left="4320" w:hanging="180"/>
      </w:pPr>
    </w:lvl>
    <w:lvl w:ilvl="6" w:tplc="146260DE">
      <w:start w:val="1"/>
      <w:numFmt w:val="decimal"/>
      <w:lvlText w:val="%7."/>
      <w:lvlJc w:val="left"/>
      <w:pPr>
        <w:ind w:left="5040" w:hanging="360"/>
      </w:pPr>
    </w:lvl>
    <w:lvl w:ilvl="7" w:tplc="86E217E6">
      <w:start w:val="1"/>
      <w:numFmt w:val="lowerLetter"/>
      <w:lvlText w:val="%8."/>
      <w:lvlJc w:val="left"/>
      <w:pPr>
        <w:ind w:left="5760" w:hanging="360"/>
      </w:pPr>
    </w:lvl>
    <w:lvl w:ilvl="8" w:tplc="4EA80D2C">
      <w:start w:val="1"/>
      <w:numFmt w:val="lowerRoman"/>
      <w:lvlText w:val="%9."/>
      <w:lvlJc w:val="right"/>
      <w:pPr>
        <w:ind w:left="6480" w:hanging="180"/>
      </w:pPr>
    </w:lvl>
  </w:abstractNum>
  <w:abstractNum w:abstractNumId="31" w15:restartNumberingAfterBreak="0">
    <w:nsid w:val="2AB4F52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C713224"/>
    <w:multiLevelType w:val="multilevel"/>
    <w:tmpl w:val="35AC52F2"/>
    <w:lvl w:ilvl="0">
      <w:start w:val="1"/>
      <w:numFmt w:val="decimal"/>
      <w:lvlText w:val="%1."/>
      <w:lvlJc w:val="left"/>
      <w:pPr>
        <w:ind w:left="360" w:hanging="360"/>
      </w:pPr>
      <w:rPr>
        <w:rFonts w:hint="default"/>
        <w:b/>
      </w:rPr>
    </w:lvl>
    <w:lvl w:ilvl="1">
      <w:start w:val="1"/>
      <w:numFmt w:val="decimal"/>
      <w:lvlText w:val="%2%1.1"/>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3" w15:restartNumberingAfterBreak="0">
    <w:nsid w:val="2CA20946"/>
    <w:multiLevelType w:val="hybridMultilevel"/>
    <w:tmpl w:val="D52EE8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D277EEE"/>
    <w:multiLevelType w:val="multilevel"/>
    <w:tmpl w:val="909E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5A64A3"/>
    <w:multiLevelType w:val="hybridMultilevel"/>
    <w:tmpl w:val="0CDEF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080F168"/>
    <w:multiLevelType w:val="hybridMultilevel"/>
    <w:tmpl w:val="FFFFFFFF"/>
    <w:lvl w:ilvl="0" w:tplc="523E7204">
      <w:start w:val="1"/>
      <w:numFmt w:val="bullet"/>
      <w:lvlText w:val=""/>
      <w:lvlJc w:val="left"/>
      <w:pPr>
        <w:ind w:left="720" w:hanging="360"/>
      </w:pPr>
      <w:rPr>
        <w:rFonts w:ascii="Wingdings" w:hAnsi="Wingdings" w:hint="default"/>
      </w:rPr>
    </w:lvl>
    <w:lvl w:ilvl="1" w:tplc="860E2744">
      <w:start w:val="1"/>
      <w:numFmt w:val="bullet"/>
      <w:lvlText w:val="o"/>
      <w:lvlJc w:val="left"/>
      <w:pPr>
        <w:ind w:left="1440" w:hanging="360"/>
      </w:pPr>
      <w:rPr>
        <w:rFonts w:ascii="Courier New" w:hAnsi="Courier New" w:hint="default"/>
      </w:rPr>
    </w:lvl>
    <w:lvl w:ilvl="2" w:tplc="DC38016C">
      <w:start w:val="1"/>
      <w:numFmt w:val="bullet"/>
      <w:lvlText w:val=""/>
      <w:lvlJc w:val="left"/>
      <w:pPr>
        <w:ind w:left="2160" w:hanging="360"/>
      </w:pPr>
      <w:rPr>
        <w:rFonts w:ascii="Wingdings" w:hAnsi="Wingdings" w:hint="default"/>
      </w:rPr>
    </w:lvl>
    <w:lvl w:ilvl="3" w:tplc="FB2E9BB2">
      <w:start w:val="1"/>
      <w:numFmt w:val="bullet"/>
      <w:lvlText w:val=""/>
      <w:lvlJc w:val="left"/>
      <w:pPr>
        <w:ind w:left="2880" w:hanging="360"/>
      </w:pPr>
      <w:rPr>
        <w:rFonts w:ascii="Symbol" w:hAnsi="Symbol" w:hint="default"/>
      </w:rPr>
    </w:lvl>
    <w:lvl w:ilvl="4" w:tplc="79065FC2">
      <w:start w:val="1"/>
      <w:numFmt w:val="bullet"/>
      <w:lvlText w:val="o"/>
      <w:lvlJc w:val="left"/>
      <w:pPr>
        <w:ind w:left="3600" w:hanging="360"/>
      </w:pPr>
      <w:rPr>
        <w:rFonts w:ascii="Courier New" w:hAnsi="Courier New" w:hint="default"/>
      </w:rPr>
    </w:lvl>
    <w:lvl w:ilvl="5" w:tplc="1BAE56AC">
      <w:start w:val="1"/>
      <w:numFmt w:val="bullet"/>
      <w:lvlText w:val=""/>
      <w:lvlJc w:val="left"/>
      <w:pPr>
        <w:ind w:left="4320" w:hanging="360"/>
      </w:pPr>
      <w:rPr>
        <w:rFonts w:ascii="Wingdings" w:hAnsi="Wingdings" w:hint="default"/>
      </w:rPr>
    </w:lvl>
    <w:lvl w:ilvl="6" w:tplc="A09E40B6">
      <w:start w:val="1"/>
      <w:numFmt w:val="bullet"/>
      <w:lvlText w:val=""/>
      <w:lvlJc w:val="left"/>
      <w:pPr>
        <w:ind w:left="5040" w:hanging="360"/>
      </w:pPr>
      <w:rPr>
        <w:rFonts w:ascii="Symbol" w:hAnsi="Symbol" w:hint="default"/>
      </w:rPr>
    </w:lvl>
    <w:lvl w:ilvl="7" w:tplc="1B1EA4F6">
      <w:start w:val="1"/>
      <w:numFmt w:val="bullet"/>
      <w:lvlText w:val="o"/>
      <w:lvlJc w:val="left"/>
      <w:pPr>
        <w:ind w:left="5760" w:hanging="360"/>
      </w:pPr>
      <w:rPr>
        <w:rFonts w:ascii="Courier New" w:hAnsi="Courier New" w:hint="default"/>
      </w:rPr>
    </w:lvl>
    <w:lvl w:ilvl="8" w:tplc="172EC292">
      <w:start w:val="1"/>
      <w:numFmt w:val="bullet"/>
      <w:lvlText w:val=""/>
      <w:lvlJc w:val="left"/>
      <w:pPr>
        <w:ind w:left="6480" w:hanging="360"/>
      </w:pPr>
      <w:rPr>
        <w:rFonts w:ascii="Wingdings" w:hAnsi="Wingdings" w:hint="default"/>
      </w:rPr>
    </w:lvl>
  </w:abstractNum>
  <w:abstractNum w:abstractNumId="37" w15:restartNumberingAfterBreak="0">
    <w:nsid w:val="34975B6E"/>
    <w:multiLevelType w:val="hybridMultilevel"/>
    <w:tmpl w:val="FFFFFFFF"/>
    <w:lvl w:ilvl="0" w:tplc="6842248E">
      <w:start w:val="1"/>
      <w:numFmt w:val="bullet"/>
      <w:lvlText w:val=""/>
      <w:lvlJc w:val="left"/>
      <w:pPr>
        <w:ind w:left="720" w:hanging="360"/>
      </w:pPr>
      <w:rPr>
        <w:rFonts w:ascii="Wingdings" w:hAnsi="Wingdings" w:hint="default"/>
      </w:rPr>
    </w:lvl>
    <w:lvl w:ilvl="1" w:tplc="E7D453E2">
      <w:start w:val="1"/>
      <w:numFmt w:val="bullet"/>
      <w:lvlText w:val="o"/>
      <w:lvlJc w:val="left"/>
      <w:pPr>
        <w:ind w:left="1440" w:hanging="360"/>
      </w:pPr>
      <w:rPr>
        <w:rFonts w:ascii="Courier New" w:hAnsi="Courier New" w:hint="default"/>
      </w:rPr>
    </w:lvl>
    <w:lvl w:ilvl="2" w:tplc="96D044C8">
      <w:start w:val="1"/>
      <w:numFmt w:val="bullet"/>
      <w:lvlText w:val=""/>
      <w:lvlJc w:val="left"/>
      <w:pPr>
        <w:ind w:left="2160" w:hanging="360"/>
      </w:pPr>
      <w:rPr>
        <w:rFonts w:ascii="Wingdings" w:hAnsi="Wingdings" w:hint="default"/>
      </w:rPr>
    </w:lvl>
    <w:lvl w:ilvl="3" w:tplc="217036E4">
      <w:start w:val="1"/>
      <w:numFmt w:val="bullet"/>
      <w:lvlText w:val=""/>
      <w:lvlJc w:val="left"/>
      <w:pPr>
        <w:ind w:left="2880" w:hanging="360"/>
      </w:pPr>
      <w:rPr>
        <w:rFonts w:ascii="Symbol" w:hAnsi="Symbol" w:hint="default"/>
      </w:rPr>
    </w:lvl>
    <w:lvl w:ilvl="4" w:tplc="41E43D5E">
      <w:start w:val="1"/>
      <w:numFmt w:val="bullet"/>
      <w:lvlText w:val="o"/>
      <w:lvlJc w:val="left"/>
      <w:pPr>
        <w:ind w:left="3600" w:hanging="360"/>
      </w:pPr>
      <w:rPr>
        <w:rFonts w:ascii="Courier New" w:hAnsi="Courier New" w:hint="default"/>
      </w:rPr>
    </w:lvl>
    <w:lvl w:ilvl="5" w:tplc="A9687C42">
      <w:start w:val="1"/>
      <w:numFmt w:val="bullet"/>
      <w:lvlText w:val=""/>
      <w:lvlJc w:val="left"/>
      <w:pPr>
        <w:ind w:left="4320" w:hanging="360"/>
      </w:pPr>
      <w:rPr>
        <w:rFonts w:ascii="Wingdings" w:hAnsi="Wingdings" w:hint="default"/>
      </w:rPr>
    </w:lvl>
    <w:lvl w:ilvl="6" w:tplc="6CD81CC2">
      <w:start w:val="1"/>
      <w:numFmt w:val="bullet"/>
      <w:lvlText w:val=""/>
      <w:lvlJc w:val="left"/>
      <w:pPr>
        <w:ind w:left="5040" w:hanging="360"/>
      </w:pPr>
      <w:rPr>
        <w:rFonts w:ascii="Symbol" w:hAnsi="Symbol" w:hint="default"/>
      </w:rPr>
    </w:lvl>
    <w:lvl w:ilvl="7" w:tplc="8E26DE46">
      <w:start w:val="1"/>
      <w:numFmt w:val="bullet"/>
      <w:lvlText w:val="o"/>
      <w:lvlJc w:val="left"/>
      <w:pPr>
        <w:ind w:left="5760" w:hanging="360"/>
      </w:pPr>
      <w:rPr>
        <w:rFonts w:ascii="Courier New" w:hAnsi="Courier New" w:hint="default"/>
      </w:rPr>
    </w:lvl>
    <w:lvl w:ilvl="8" w:tplc="CD8AE1A2">
      <w:start w:val="1"/>
      <w:numFmt w:val="bullet"/>
      <w:lvlText w:val=""/>
      <w:lvlJc w:val="left"/>
      <w:pPr>
        <w:ind w:left="6480" w:hanging="360"/>
      </w:pPr>
      <w:rPr>
        <w:rFonts w:ascii="Wingdings" w:hAnsi="Wingdings" w:hint="default"/>
      </w:rPr>
    </w:lvl>
  </w:abstractNum>
  <w:abstractNum w:abstractNumId="38" w15:restartNumberingAfterBreak="0">
    <w:nsid w:val="34BEC55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34E6C25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36B2854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6F75071"/>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307671"/>
    <w:multiLevelType w:val="hybridMultilevel"/>
    <w:tmpl w:val="5D9823CC"/>
    <w:lvl w:ilvl="0" w:tplc="786C5268">
      <w:start w:val="1"/>
      <w:numFmt w:val="bullet"/>
      <w:lvlText w:val="-"/>
      <w:lvlJc w:val="left"/>
      <w:pPr>
        <w:ind w:left="720" w:hanging="360"/>
      </w:pPr>
      <w:rPr>
        <w:rFonts w:ascii="Aptos" w:hAnsi="Aptos" w:hint="default"/>
      </w:rPr>
    </w:lvl>
    <w:lvl w:ilvl="1" w:tplc="DE609E6A" w:tentative="1">
      <w:start w:val="1"/>
      <w:numFmt w:val="bullet"/>
      <w:lvlText w:val="o"/>
      <w:lvlJc w:val="left"/>
      <w:pPr>
        <w:ind w:left="1440" w:hanging="360"/>
      </w:pPr>
      <w:rPr>
        <w:rFonts w:ascii="Courier New" w:hAnsi="Courier New" w:hint="default"/>
      </w:rPr>
    </w:lvl>
    <w:lvl w:ilvl="2" w:tplc="B4B87A90" w:tentative="1">
      <w:start w:val="1"/>
      <w:numFmt w:val="bullet"/>
      <w:lvlText w:val=""/>
      <w:lvlJc w:val="left"/>
      <w:pPr>
        <w:ind w:left="2160" w:hanging="360"/>
      </w:pPr>
      <w:rPr>
        <w:rFonts w:ascii="Wingdings" w:hAnsi="Wingdings" w:hint="default"/>
      </w:rPr>
    </w:lvl>
    <w:lvl w:ilvl="3" w:tplc="72941D58" w:tentative="1">
      <w:start w:val="1"/>
      <w:numFmt w:val="bullet"/>
      <w:lvlText w:val=""/>
      <w:lvlJc w:val="left"/>
      <w:pPr>
        <w:ind w:left="2880" w:hanging="360"/>
      </w:pPr>
      <w:rPr>
        <w:rFonts w:ascii="Symbol" w:hAnsi="Symbol" w:hint="default"/>
      </w:rPr>
    </w:lvl>
    <w:lvl w:ilvl="4" w:tplc="415AA324" w:tentative="1">
      <w:start w:val="1"/>
      <w:numFmt w:val="bullet"/>
      <w:lvlText w:val="o"/>
      <w:lvlJc w:val="left"/>
      <w:pPr>
        <w:ind w:left="3600" w:hanging="360"/>
      </w:pPr>
      <w:rPr>
        <w:rFonts w:ascii="Courier New" w:hAnsi="Courier New" w:hint="default"/>
      </w:rPr>
    </w:lvl>
    <w:lvl w:ilvl="5" w:tplc="497ECDA6" w:tentative="1">
      <w:start w:val="1"/>
      <w:numFmt w:val="bullet"/>
      <w:lvlText w:val=""/>
      <w:lvlJc w:val="left"/>
      <w:pPr>
        <w:ind w:left="4320" w:hanging="360"/>
      </w:pPr>
      <w:rPr>
        <w:rFonts w:ascii="Wingdings" w:hAnsi="Wingdings" w:hint="default"/>
      </w:rPr>
    </w:lvl>
    <w:lvl w:ilvl="6" w:tplc="D1C623E2" w:tentative="1">
      <w:start w:val="1"/>
      <w:numFmt w:val="bullet"/>
      <w:lvlText w:val=""/>
      <w:lvlJc w:val="left"/>
      <w:pPr>
        <w:ind w:left="5040" w:hanging="360"/>
      </w:pPr>
      <w:rPr>
        <w:rFonts w:ascii="Symbol" w:hAnsi="Symbol" w:hint="default"/>
      </w:rPr>
    </w:lvl>
    <w:lvl w:ilvl="7" w:tplc="0E3EA58E" w:tentative="1">
      <w:start w:val="1"/>
      <w:numFmt w:val="bullet"/>
      <w:lvlText w:val="o"/>
      <w:lvlJc w:val="left"/>
      <w:pPr>
        <w:ind w:left="5760" w:hanging="360"/>
      </w:pPr>
      <w:rPr>
        <w:rFonts w:ascii="Courier New" w:hAnsi="Courier New" w:hint="default"/>
      </w:rPr>
    </w:lvl>
    <w:lvl w:ilvl="8" w:tplc="A914D786" w:tentative="1">
      <w:start w:val="1"/>
      <w:numFmt w:val="bullet"/>
      <w:lvlText w:val=""/>
      <w:lvlJc w:val="left"/>
      <w:pPr>
        <w:ind w:left="6480" w:hanging="360"/>
      </w:pPr>
      <w:rPr>
        <w:rFonts w:ascii="Wingdings" w:hAnsi="Wingdings" w:hint="default"/>
      </w:rPr>
    </w:lvl>
  </w:abstractNum>
  <w:abstractNum w:abstractNumId="43" w15:restartNumberingAfterBreak="0">
    <w:nsid w:val="3AB08F5B"/>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C2C1EF9"/>
    <w:multiLevelType w:val="hybridMultilevel"/>
    <w:tmpl w:val="4D52D078"/>
    <w:lvl w:ilvl="0" w:tplc="FFFFFFFF">
      <w:start w:val="1"/>
      <w:numFmt w:val="bullet"/>
      <w:lvlText w:val="■"/>
      <w:lvlJc w:val="left"/>
      <w:pPr>
        <w:ind w:left="340" w:hanging="340"/>
      </w:pPr>
      <w:rPr>
        <w:rFonts w:ascii="Wingdings" w:hAnsi="Wingdings" w:hint="default"/>
      </w:rPr>
    </w:lvl>
    <w:lvl w:ilvl="1" w:tplc="7B34EA1A" w:tentative="1">
      <w:start w:val="1"/>
      <w:numFmt w:val="bullet"/>
      <w:lvlText w:val="o"/>
      <w:lvlJc w:val="left"/>
      <w:pPr>
        <w:ind w:left="1440" w:hanging="360"/>
      </w:pPr>
      <w:rPr>
        <w:rFonts w:ascii="Courier New" w:hAnsi="Courier New" w:hint="default"/>
      </w:rPr>
    </w:lvl>
    <w:lvl w:ilvl="2" w:tplc="6D4A3B96" w:tentative="1">
      <w:start w:val="1"/>
      <w:numFmt w:val="bullet"/>
      <w:lvlText w:val=""/>
      <w:lvlJc w:val="left"/>
      <w:pPr>
        <w:ind w:left="2160" w:hanging="360"/>
      </w:pPr>
      <w:rPr>
        <w:rFonts w:ascii="Wingdings" w:hAnsi="Wingdings" w:hint="default"/>
      </w:rPr>
    </w:lvl>
    <w:lvl w:ilvl="3" w:tplc="38C2B8D2" w:tentative="1">
      <w:start w:val="1"/>
      <w:numFmt w:val="bullet"/>
      <w:lvlText w:val=""/>
      <w:lvlJc w:val="left"/>
      <w:pPr>
        <w:ind w:left="2880" w:hanging="360"/>
      </w:pPr>
      <w:rPr>
        <w:rFonts w:ascii="Symbol" w:hAnsi="Symbol" w:hint="default"/>
      </w:rPr>
    </w:lvl>
    <w:lvl w:ilvl="4" w:tplc="E72AD978" w:tentative="1">
      <w:start w:val="1"/>
      <w:numFmt w:val="bullet"/>
      <w:lvlText w:val="o"/>
      <w:lvlJc w:val="left"/>
      <w:pPr>
        <w:ind w:left="3600" w:hanging="360"/>
      </w:pPr>
      <w:rPr>
        <w:rFonts w:ascii="Courier New" w:hAnsi="Courier New" w:hint="default"/>
      </w:rPr>
    </w:lvl>
    <w:lvl w:ilvl="5" w:tplc="83B07DA6" w:tentative="1">
      <w:start w:val="1"/>
      <w:numFmt w:val="bullet"/>
      <w:lvlText w:val=""/>
      <w:lvlJc w:val="left"/>
      <w:pPr>
        <w:ind w:left="4320" w:hanging="360"/>
      </w:pPr>
      <w:rPr>
        <w:rFonts w:ascii="Wingdings" w:hAnsi="Wingdings" w:hint="default"/>
      </w:rPr>
    </w:lvl>
    <w:lvl w:ilvl="6" w:tplc="AD7C048C" w:tentative="1">
      <w:start w:val="1"/>
      <w:numFmt w:val="bullet"/>
      <w:lvlText w:val=""/>
      <w:lvlJc w:val="left"/>
      <w:pPr>
        <w:ind w:left="5040" w:hanging="360"/>
      </w:pPr>
      <w:rPr>
        <w:rFonts w:ascii="Symbol" w:hAnsi="Symbol" w:hint="default"/>
      </w:rPr>
    </w:lvl>
    <w:lvl w:ilvl="7" w:tplc="D6BCA1CE" w:tentative="1">
      <w:start w:val="1"/>
      <w:numFmt w:val="bullet"/>
      <w:lvlText w:val="o"/>
      <w:lvlJc w:val="left"/>
      <w:pPr>
        <w:ind w:left="5760" w:hanging="360"/>
      </w:pPr>
      <w:rPr>
        <w:rFonts w:ascii="Courier New" w:hAnsi="Courier New" w:hint="default"/>
      </w:rPr>
    </w:lvl>
    <w:lvl w:ilvl="8" w:tplc="F2A40B34" w:tentative="1">
      <w:start w:val="1"/>
      <w:numFmt w:val="bullet"/>
      <w:lvlText w:val=""/>
      <w:lvlJc w:val="left"/>
      <w:pPr>
        <w:ind w:left="6480" w:hanging="360"/>
      </w:pPr>
      <w:rPr>
        <w:rFonts w:ascii="Wingdings" w:hAnsi="Wingdings" w:hint="default"/>
      </w:rPr>
    </w:lvl>
  </w:abstractNum>
  <w:abstractNum w:abstractNumId="45" w15:restartNumberingAfterBreak="0">
    <w:nsid w:val="3C76DE83"/>
    <w:multiLevelType w:val="hybridMultilevel"/>
    <w:tmpl w:val="FFFFFFFF"/>
    <w:lvl w:ilvl="0" w:tplc="C71C3992">
      <w:start w:val="5"/>
      <w:numFmt w:val="bullet"/>
      <w:lvlText w:val="-"/>
      <w:lvlJc w:val="left"/>
      <w:pPr>
        <w:ind w:left="720" w:hanging="360"/>
      </w:pPr>
      <w:rPr>
        <w:rFonts w:ascii="Times New Roman" w:hAnsi="Times New Roman" w:hint="default"/>
      </w:rPr>
    </w:lvl>
    <w:lvl w:ilvl="1" w:tplc="FC3AD6A2">
      <w:start w:val="1"/>
      <w:numFmt w:val="bullet"/>
      <w:lvlText w:val="o"/>
      <w:lvlJc w:val="left"/>
      <w:pPr>
        <w:ind w:left="1440" w:hanging="360"/>
      </w:pPr>
      <w:rPr>
        <w:rFonts w:ascii="Courier New" w:hAnsi="Courier New" w:hint="default"/>
      </w:rPr>
    </w:lvl>
    <w:lvl w:ilvl="2" w:tplc="B78C2200">
      <w:start w:val="1"/>
      <w:numFmt w:val="bullet"/>
      <w:lvlText w:val=""/>
      <w:lvlJc w:val="left"/>
      <w:pPr>
        <w:ind w:left="2160" w:hanging="360"/>
      </w:pPr>
      <w:rPr>
        <w:rFonts w:ascii="Wingdings" w:hAnsi="Wingdings" w:hint="default"/>
      </w:rPr>
    </w:lvl>
    <w:lvl w:ilvl="3" w:tplc="A5ECD60C">
      <w:start w:val="1"/>
      <w:numFmt w:val="bullet"/>
      <w:lvlText w:val=""/>
      <w:lvlJc w:val="left"/>
      <w:pPr>
        <w:ind w:left="2880" w:hanging="360"/>
      </w:pPr>
      <w:rPr>
        <w:rFonts w:ascii="Symbol" w:hAnsi="Symbol" w:hint="default"/>
      </w:rPr>
    </w:lvl>
    <w:lvl w:ilvl="4" w:tplc="4356A5D8">
      <w:start w:val="1"/>
      <w:numFmt w:val="bullet"/>
      <w:lvlText w:val="o"/>
      <w:lvlJc w:val="left"/>
      <w:pPr>
        <w:ind w:left="3600" w:hanging="360"/>
      </w:pPr>
      <w:rPr>
        <w:rFonts w:ascii="Courier New" w:hAnsi="Courier New" w:hint="default"/>
      </w:rPr>
    </w:lvl>
    <w:lvl w:ilvl="5" w:tplc="CB7004C4">
      <w:start w:val="1"/>
      <w:numFmt w:val="bullet"/>
      <w:lvlText w:val=""/>
      <w:lvlJc w:val="left"/>
      <w:pPr>
        <w:ind w:left="4320" w:hanging="360"/>
      </w:pPr>
      <w:rPr>
        <w:rFonts w:ascii="Wingdings" w:hAnsi="Wingdings" w:hint="default"/>
      </w:rPr>
    </w:lvl>
    <w:lvl w:ilvl="6" w:tplc="34A85806">
      <w:start w:val="1"/>
      <w:numFmt w:val="bullet"/>
      <w:lvlText w:val=""/>
      <w:lvlJc w:val="left"/>
      <w:pPr>
        <w:ind w:left="5040" w:hanging="360"/>
      </w:pPr>
      <w:rPr>
        <w:rFonts w:ascii="Symbol" w:hAnsi="Symbol" w:hint="default"/>
      </w:rPr>
    </w:lvl>
    <w:lvl w:ilvl="7" w:tplc="3F3A2138">
      <w:start w:val="1"/>
      <w:numFmt w:val="bullet"/>
      <w:lvlText w:val="o"/>
      <w:lvlJc w:val="left"/>
      <w:pPr>
        <w:ind w:left="5760" w:hanging="360"/>
      </w:pPr>
      <w:rPr>
        <w:rFonts w:ascii="Courier New" w:hAnsi="Courier New" w:hint="default"/>
      </w:rPr>
    </w:lvl>
    <w:lvl w:ilvl="8" w:tplc="EC78637A">
      <w:start w:val="1"/>
      <w:numFmt w:val="bullet"/>
      <w:lvlText w:val=""/>
      <w:lvlJc w:val="left"/>
      <w:pPr>
        <w:ind w:left="6480" w:hanging="360"/>
      </w:pPr>
      <w:rPr>
        <w:rFonts w:ascii="Wingdings" w:hAnsi="Wingdings" w:hint="default"/>
      </w:rPr>
    </w:lvl>
  </w:abstractNum>
  <w:abstractNum w:abstractNumId="46"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47" w15:restartNumberingAfterBreak="0">
    <w:nsid w:val="3FD8AE68"/>
    <w:multiLevelType w:val="hybridMultilevel"/>
    <w:tmpl w:val="FFFFFFFF"/>
    <w:lvl w:ilvl="0" w:tplc="538CAF32">
      <w:start w:val="1"/>
      <w:numFmt w:val="lowerLetter"/>
      <w:lvlText w:val="%1."/>
      <w:lvlJc w:val="left"/>
      <w:pPr>
        <w:ind w:left="720" w:hanging="360"/>
      </w:pPr>
    </w:lvl>
    <w:lvl w:ilvl="1" w:tplc="9CAABA10">
      <w:start w:val="1"/>
      <w:numFmt w:val="lowerLetter"/>
      <w:lvlText w:val="%2."/>
      <w:lvlJc w:val="left"/>
      <w:pPr>
        <w:ind w:left="1440" w:hanging="360"/>
      </w:pPr>
    </w:lvl>
    <w:lvl w:ilvl="2" w:tplc="8EDE6776">
      <w:start w:val="1"/>
      <w:numFmt w:val="lowerRoman"/>
      <w:lvlText w:val="%3."/>
      <w:lvlJc w:val="right"/>
      <w:pPr>
        <w:ind w:left="2160" w:hanging="180"/>
      </w:pPr>
    </w:lvl>
    <w:lvl w:ilvl="3" w:tplc="715E82A2">
      <w:start w:val="1"/>
      <w:numFmt w:val="decimal"/>
      <w:lvlText w:val="%4."/>
      <w:lvlJc w:val="left"/>
      <w:pPr>
        <w:ind w:left="2880" w:hanging="360"/>
      </w:pPr>
    </w:lvl>
    <w:lvl w:ilvl="4" w:tplc="113EBF9E">
      <w:start w:val="1"/>
      <w:numFmt w:val="lowerLetter"/>
      <w:lvlText w:val="%5."/>
      <w:lvlJc w:val="left"/>
      <w:pPr>
        <w:ind w:left="3600" w:hanging="360"/>
      </w:pPr>
    </w:lvl>
    <w:lvl w:ilvl="5" w:tplc="806E990C">
      <w:start w:val="1"/>
      <w:numFmt w:val="lowerRoman"/>
      <w:lvlText w:val="%6."/>
      <w:lvlJc w:val="right"/>
      <w:pPr>
        <w:ind w:left="4320" w:hanging="180"/>
      </w:pPr>
    </w:lvl>
    <w:lvl w:ilvl="6" w:tplc="CA8A9DF4">
      <w:start w:val="1"/>
      <w:numFmt w:val="decimal"/>
      <w:lvlText w:val="%7."/>
      <w:lvlJc w:val="left"/>
      <w:pPr>
        <w:ind w:left="5040" w:hanging="360"/>
      </w:pPr>
    </w:lvl>
    <w:lvl w:ilvl="7" w:tplc="3F8683EA">
      <w:start w:val="1"/>
      <w:numFmt w:val="lowerLetter"/>
      <w:lvlText w:val="%8."/>
      <w:lvlJc w:val="left"/>
      <w:pPr>
        <w:ind w:left="5760" w:hanging="360"/>
      </w:pPr>
    </w:lvl>
    <w:lvl w:ilvl="8" w:tplc="3EB62F96">
      <w:start w:val="1"/>
      <w:numFmt w:val="lowerRoman"/>
      <w:lvlText w:val="%9."/>
      <w:lvlJc w:val="right"/>
      <w:pPr>
        <w:ind w:left="6480" w:hanging="180"/>
      </w:pPr>
    </w:lvl>
  </w:abstractNum>
  <w:abstractNum w:abstractNumId="48" w15:restartNumberingAfterBreak="0">
    <w:nsid w:val="408B27D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2FE5ACB"/>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3320D9B"/>
    <w:multiLevelType w:val="hybridMultilevel"/>
    <w:tmpl w:val="3790F23C"/>
    <w:lvl w:ilvl="0" w:tplc="FFFFFFFF">
      <w:start w:val="1"/>
      <w:numFmt w:val="bullet"/>
      <w:lvlText w:val="■"/>
      <w:lvlJc w:val="left"/>
      <w:pPr>
        <w:ind w:left="720" w:hanging="360"/>
      </w:pPr>
      <w:rPr>
        <w:rFonts w:ascii="Wingdings" w:hAnsi="Wingdings"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45D37533"/>
    <w:multiLevelType w:val="hybridMultilevel"/>
    <w:tmpl w:val="E276777A"/>
    <w:lvl w:ilvl="0" w:tplc="FFFFFFFF">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4AB2410E"/>
    <w:multiLevelType w:val="hybridMultilevel"/>
    <w:tmpl w:val="FFFFFFFF"/>
    <w:lvl w:ilvl="0" w:tplc="B8AADD52">
      <w:start w:val="1"/>
      <w:numFmt w:val="lowerRoman"/>
      <w:lvlText w:val="%1."/>
      <w:lvlJc w:val="left"/>
      <w:pPr>
        <w:ind w:left="1800" w:hanging="360"/>
      </w:pPr>
    </w:lvl>
    <w:lvl w:ilvl="1" w:tplc="18921E5C">
      <w:start w:val="1"/>
      <w:numFmt w:val="lowerLetter"/>
      <w:lvlText w:val="%2."/>
      <w:lvlJc w:val="left"/>
      <w:pPr>
        <w:ind w:left="2520" w:hanging="360"/>
      </w:pPr>
    </w:lvl>
    <w:lvl w:ilvl="2" w:tplc="049416E8">
      <w:start w:val="1"/>
      <w:numFmt w:val="lowerRoman"/>
      <w:lvlText w:val="%3."/>
      <w:lvlJc w:val="right"/>
      <w:pPr>
        <w:ind w:left="3240" w:hanging="180"/>
      </w:pPr>
    </w:lvl>
    <w:lvl w:ilvl="3" w:tplc="1DD86784">
      <w:start w:val="1"/>
      <w:numFmt w:val="decimal"/>
      <w:lvlText w:val="%4."/>
      <w:lvlJc w:val="left"/>
      <w:pPr>
        <w:ind w:left="3960" w:hanging="360"/>
      </w:pPr>
    </w:lvl>
    <w:lvl w:ilvl="4" w:tplc="A3DEFF36">
      <w:start w:val="1"/>
      <w:numFmt w:val="lowerLetter"/>
      <w:lvlText w:val="%5."/>
      <w:lvlJc w:val="left"/>
      <w:pPr>
        <w:ind w:left="4680" w:hanging="360"/>
      </w:pPr>
    </w:lvl>
    <w:lvl w:ilvl="5" w:tplc="51C43BC0">
      <w:start w:val="1"/>
      <w:numFmt w:val="lowerRoman"/>
      <w:lvlText w:val="%6."/>
      <w:lvlJc w:val="right"/>
      <w:pPr>
        <w:ind w:left="5400" w:hanging="180"/>
      </w:pPr>
    </w:lvl>
    <w:lvl w:ilvl="6" w:tplc="88221352">
      <w:start w:val="1"/>
      <w:numFmt w:val="decimal"/>
      <w:lvlText w:val="%7."/>
      <w:lvlJc w:val="left"/>
      <w:pPr>
        <w:ind w:left="6120" w:hanging="360"/>
      </w:pPr>
    </w:lvl>
    <w:lvl w:ilvl="7" w:tplc="96524222">
      <w:start w:val="1"/>
      <w:numFmt w:val="lowerLetter"/>
      <w:lvlText w:val="%8."/>
      <w:lvlJc w:val="left"/>
      <w:pPr>
        <w:ind w:left="6840" w:hanging="360"/>
      </w:pPr>
    </w:lvl>
    <w:lvl w:ilvl="8" w:tplc="69D4834E">
      <w:start w:val="1"/>
      <w:numFmt w:val="lowerRoman"/>
      <w:lvlText w:val="%9."/>
      <w:lvlJc w:val="right"/>
      <w:pPr>
        <w:ind w:left="7560" w:hanging="180"/>
      </w:pPr>
    </w:lvl>
  </w:abstractNum>
  <w:abstractNum w:abstractNumId="53" w15:restartNumberingAfterBreak="0">
    <w:nsid w:val="4B47E68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DE50D11"/>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DEF3652"/>
    <w:multiLevelType w:val="hybridMultilevel"/>
    <w:tmpl w:val="FFFFFFFF"/>
    <w:lvl w:ilvl="0" w:tplc="7F0EE066">
      <w:start w:val="1"/>
      <w:numFmt w:val="lowerLetter"/>
      <w:lvlText w:val="%1."/>
      <w:lvlJc w:val="left"/>
      <w:pPr>
        <w:ind w:left="720" w:hanging="360"/>
      </w:pPr>
    </w:lvl>
    <w:lvl w:ilvl="1" w:tplc="24F651C8">
      <w:start w:val="1"/>
      <w:numFmt w:val="lowerLetter"/>
      <w:lvlText w:val="%2."/>
      <w:lvlJc w:val="left"/>
      <w:pPr>
        <w:ind w:left="1440" w:hanging="360"/>
      </w:pPr>
    </w:lvl>
    <w:lvl w:ilvl="2" w:tplc="F372FDE2">
      <w:start w:val="1"/>
      <w:numFmt w:val="lowerRoman"/>
      <w:lvlText w:val="%3."/>
      <w:lvlJc w:val="right"/>
      <w:pPr>
        <w:ind w:left="2160" w:hanging="180"/>
      </w:pPr>
    </w:lvl>
    <w:lvl w:ilvl="3" w:tplc="4A006742">
      <w:start w:val="1"/>
      <w:numFmt w:val="decimal"/>
      <w:lvlText w:val="%4."/>
      <w:lvlJc w:val="left"/>
      <w:pPr>
        <w:ind w:left="2880" w:hanging="360"/>
      </w:pPr>
    </w:lvl>
    <w:lvl w:ilvl="4" w:tplc="E8B03178">
      <w:start w:val="1"/>
      <w:numFmt w:val="lowerLetter"/>
      <w:lvlText w:val="%5."/>
      <w:lvlJc w:val="left"/>
      <w:pPr>
        <w:ind w:left="3600" w:hanging="360"/>
      </w:pPr>
    </w:lvl>
    <w:lvl w:ilvl="5" w:tplc="1EFAA4CA">
      <w:start w:val="1"/>
      <w:numFmt w:val="lowerRoman"/>
      <w:lvlText w:val="%6."/>
      <w:lvlJc w:val="right"/>
      <w:pPr>
        <w:ind w:left="4320" w:hanging="180"/>
      </w:pPr>
    </w:lvl>
    <w:lvl w:ilvl="6" w:tplc="6792B462">
      <w:start w:val="1"/>
      <w:numFmt w:val="decimal"/>
      <w:lvlText w:val="%7."/>
      <w:lvlJc w:val="left"/>
      <w:pPr>
        <w:ind w:left="5040" w:hanging="360"/>
      </w:pPr>
    </w:lvl>
    <w:lvl w:ilvl="7" w:tplc="B3FA24CA">
      <w:start w:val="1"/>
      <w:numFmt w:val="lowerLetter"/>
      <w:lvlText w:val="%8."/>
      <w:lvlJc w:val="left"/>
      <w:pPr>
        <w:ind w:left="5760" w:hanging="360"/>
      </w:pPr>
    </w:lvl>
    <w:lvl w:ilvl="8" w:tplc="BE3ED1EE">
      <w:start w:val="1"/>
      <w:numFmt w:val="lowerRoman"/>
      <w:lvlText w:val="%9."/>
      <w:lvlJc w:val="right"/>
      <w:pPr>
        <w:ind w:left="6480" w:hanging="180"/>
      </w:pPr>
    </w:lvl>
  </w:abstractNum>
  <w:abstractNum w:abstractNumId="56" w15:restartNumberingAfterBreak="0">
    <w:nsid w:val="4E9066E0"/>
    <w:multiLevelType w:val="hybridMultilevel"/>
    <w:tmpl w:val="A23418B4"/>
    <w:lvl w:ilvl="0" w:tplc="BAE68C26">
      <w:start w:val="1"/>
      <w:numFmt w:val="decimal"/>
      <w:lvlText w:val="1.%1"/>
      <w:lvlJc w:val="left"/>
      <w:pPr>
        <w:ind w:left="360" w:hanging="360"/>
      </w:pPr>
      <w:rPr>
        <w:b/>
        <w:bCs/>
      </w:rPr>
    </w:lvl>
    <w:lvl w:ilvl="1" w:tplc="24D4466E">
      <w:start w:val="1"/>
      <w:numFmt w:val="lowerLetter"/>
      <w:lvlText w:val="%2."/>
      <w:lvlJc w:val="left"/>
      <w:pPr>
        <w:ind w:left="1440" w:hanging="360"/>
      </w:pPr>
      <w:rPr>
        <w:b/>
        <w:bCs/>
      </w:rPr>
    </w:lvl>
    <w:lvl w:ilvl="2" w:tplc="E966A94C">
      <w:start w:val="1"/>
      <w:numFmt w:val="lowerRoman"/>
      <w:lvlText w:val="%3."/>
      <w:lvlJc w:val="right"/>
      <w:pPr>
        <w:ind w:left="2160" w:hanging="180"/>
      </w:pPr>
    </w:lvl>
    <w:lvl w:ilvl="3" w:tplc="40068ACC">
      <w:start w:val="1"/>
      <w:numFmt w:val="decimal"/>
      <w:lvlText w:val="%4."/>
      <w:lvlJc w:val="left"/>
      <w:pPr>
        <w:ind w:left="2880" w:hanging="360"/>
      </w:pPr>
    </w:lvl>
    <w:lvl w:ilvl="4" w:tplc="49C44198">
      <w:start w:val="1"/>
      <w:numFmt w:val="lowerLetter"/>
      <w:lvlText w:val="%5."/>
      <w:lvlJc w:val="left"/>
      <w:pPr>
        <w:ind w:left="3600" w:hanging="360"/>
      </w:pPr>
    </w:lvl>
    <w:lvl w:ilvl="5" w:tplc="DA0229CC">
      <w:start w:val="1"/>
      <w:numFmt w:val="lowerRoman"/>
      <w:lvlText w:val="%6."/>
      <w:lvlJc w:val="right"/>
      <w:pPr>
        <w:ind w:left="4320" w:hanging="180"/>
      </w:pPr>
    </w:lvl>
    <w:lvl w:ilvl="6" w:tplc="BA14085A">
      <w:start w:val="1"/>
      <w:numFmt w:val="decimal"/>
      <w:lvlText w:val="%7."/>
      <w:lvlJc w:val="left"/>
      <w:pPr>
        <w:ind w:left="5040" w:hanging="360"/>
      </w:pPr>
    </w:lvl>
    <w:lvl w:ilvl="7" w:tplc="BC4A17FA">
      <w:start w:val="1"/>
      <w:numFmt w:val="lowerLetter"/>
      <w:lvlText w:val="%8."/>
      <w:lvlJc w:val="left"/>
      <w:pPr>
        <w:ind w:left="5760" w:hanging="360"/>
      </w:pPr>
    </w:lvl>
    <w:lvl w:ilvl="8" w:tplc="148473F8">
      <w:start w:val="1"/>
      <w:numFmt w:val="lowerRoman"/>
      <w:lvlText w:val="%9."/>
      <w:lvlJc w:val="right"/>
      <w:pPr>
        <w:ind w:left="6480" w:hanging="180"/>
      </w:pPr>
    </w:lvl>
  </w:abstractNum>
  <w:abstractNum w:abstractNumId="57" w15:restartNumberingAfterBreak="0">
    <w:nsid w:val="4EAD113C"/>
    <w:multiLevelType w:val="hybridMultilevel"/>
    <w:tmpl w:val="C3226588"/>
    <w:lvl w:ilvl="0" w:tplc="B3C4DB6E">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50B56249"/>
    <w:multiLevelType w:val="hybridMultilevel"/>
    <w:tmpl w:val="FFFFFFFF"/>
    <w:lvl w:ilvl="0" w:tplc="D20A45CA">
      <w:start w:val="1"/>
      <w:numFmt w:val="decimal"/>
      <w:lvlText w:val="%1."/>
      <w:lvlJc w:val="left"/>
      <w:pPr>
        <w:ind w:left="720" w:hanging="360"/>
      </w:pPr>
    </w:lvl>
    <w:lvl w:ilvl="1" w:tplc="B76075A0">
      <w:start w:val="1"/>
      <w:numFmt w:val="lowerLetter"/>
      <w:lvlText w:val="%2."/>
      <w:lvlJc w:val="left"/>
      <w:pPr>
        <w:ind w:left="1440" w:hanging="360"/>
      </w:pPr>
    </w:lvl>
    <w:lvl w:ilvl="2" w:tplc="209C4B3C">
      <w:start w:val="1"/>
      <w:numFmt w:val="lowerRoman"/>
      <w:lvlText w:val="%3."/>
      <w:lvlJc w:val="right"/>
      <w:pPr>
        <w:ind w:left="2160" w:hanging="180"/>
      </w:pPr>
    </w:lvl>
    <w:lvl w:ilvl="3" w:tplc="CA246814">
      <w:start w:val="1"/>
      <w:numFmt w:val="decimal"/>
      <w:lvlText w:val="%4."/>
      <w:lvlJc w:val="left"/>
      <w:pPr>
        <w:ind w:left="2880" w:hanging="360"/>
      </w:pPr>
    </w:lvl>
    <w:lvl w:ilvl="4" w:tplc="5EAC4954">
      <w:start w:val="1"/>
      <w:numFmt w:val="lowerLetter"/>
      <w:lvlText w:val="%5."/>
      <w:lvlJc w:val="left"/>
      <w:pPr>
        <w:ind w:left="3600" w:hanging="360"/>
      </w:pPr>
    </w:lvl>
    <w:lvl w:ilvl="5" w:tplc="75A4A804">
      <w:start w:val="1"/>
      <w:numFmt w:val="lowerRoman"/>
      <w:lvlText w:val="%6."/>
      <w:lvlJc w:val="right"/>
      <w:pPr>
        <w:ind w:left="4320" w:hanging="180"/>
      </w:pPr>
    </w:lvl>
    <w:lvl w:ilvl="6" w:tplc="0D2A5296">
      <w:start w:val="1"/>
      <w:numFmt w:val="decimal"/>
      <w:lvlText w:val="%7."/>
      <w:lvlJc w:val="left"/>
      <w:pPr>
        <w:ind w:left="5040" w:hanging="360"/>
      </w:pPr>
    </w:lvl>
    <w:lvl w:ilvl="7" w:tplc="B70A828E">
      <w:start w:val="1"/>
      <w:numFmt w:val="lowerLetter"/>
      <w:lvlText w:val="%8."/>
      <w:lvlJc w:val="left"/>
      <w:pPr>
        <w:ind w:left="5760" w:hanging="360"/>
      </w:pPr>
    </w:lvl>
    <w:lvl w:ilvl="8" w:tplc="0422E29C">
      <w:start w:val="1"/>
      <w:numFmt w:val="lowerRoman"/>
      <w:lvlText w:val="%9."/>
      <w:lvlJc w:val="right"/>
      <w:pPr>
        <w:ind w:left="6480" w:hanging="180"/>
      </w:pPr>
    </w:lvl>
  </w:abstractNum>
  <w:abstractNum w:abstractNumId="59" w15:restartNumberingAfterBreak="0">
    <w:nsid w:val="51184831"/>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4A4BE4"/>
    <w:multiLevelType w:val="multilevel"/>
    <w:tmpl w:val="42BC7BA2"/>
    <w:lvl w:ilvl="0">
      <w:start w:val="7"/>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1" w15:restartNumberingAfterBreak="0">
    <w:nsid w:val="51B13907"/>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BA1595"/>
    <w:multiLevelType w:val="multilevel"/>
    <w:tmpl w:val="D4488120"/>
    <w:lvl w:ilvl="0">
      <w:start w:val="1"/>
      <w:numFmt w:val="decimal"/>
      <w:lvlText w:val="%1"/>
      <w:lvlJc w:val="left"/>
      <w:pPr>
        <w:ind w:left="360" w:hanging="360"/>
      </w:pPr>
      <w:rPr>
        <w:rFonts w:hint="default"/>
        <w:b/>
        <w:u w:val="single"/>
      </w:rPr>
    </w:lvl>
    <w:lvl w:ilvl="1">
      <w:start w:val="2"/>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63" w15:restartNumberingAfterBreak="0">
    <w:nsid w:val="54D41A66"/>
    <w:multiLevelType w:val="hybridMultilevel"/>
    <w:tmpl w:val="1048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61489A1"/>
    <w:multiLevelType w:val="hybridMultilevel"/>
    <w:tmpl w:val="FFFFFFFF"/>
    <w:lvl w:ilvl="0" w:tplc="E7CE7782">
      <w:start w:val="1"/>
      <w:numFmt w:val="bullet"/>
      <w:lvlText w:val=""/>
      <w:lvlJc w:val="left"/>
      <w:pPr>
        <w:ind w:left="720" w:hanging="360"/>
      </w:pPr>
      <w:rPr>
        <w:rFonts w:ascii="Wingdings" w:hAnsi="Wingdings" w:hint="default"/>
      </w:rPr>
    </w:lvl>
    <w:lvl w:ilvl="1" w:tplc="3A482F18">
      <w:start w:val="1"/>
      <w:numFmt w:val="bullet"/>
      <w:lvlText w:val="o"/>
      <w:lvlJc w:val="left"/>
      <w:pPr>
        <w:ind w:left="1440" w:hanging="360"/>
      </w:pPr>
      <w:rPr>
        <w:rFonts w:ascii="Courier New" w:hAnsi="Courier New" w:hint="default"/>
      </w:rPr>
    </w:lvl>
    <w:lvl w:ilvl="2" w:tplc="2D3837F4">
      <w:start w:val="1"/>
      <w:numFmt w:val="bullet"/>
      <w:lvlText w:val=""/>
      <w:lvlJc w:val="left"/>
      <w:pPr>
        <w:ind w:left="2160" w:hanging="360"/>
      </w:pPr>
      <w:rPr>
        <w:rFonts w:ascii="Wingdings" w:hAnsi="Wingdings" w:hint="default"/>
      </w:rPr>
    </w:lvl>
    <w:lvl w:ilvl="3" w:tplc="D43803A6">
      <w:start w:val="1"/>
      <w:numFmt w:val="bullet"/>
      <w:lvlText w:val=""/>
      <w:lvlJc w:val="left"/>
      <w:pPr>
        <w:ind w:left="2880" w:hanging="360"/>
      </w:pPr>
      <w:rPr>
        <w:rFonts w:ascii="Symbol" w:hAnsi="Symbol" w:hint="default"/>
      </w:rPr>
    </w:lvl>
    <w:lvl w:ilvl="4" w:tplc="6F2C57F0">
      <w:start w:val="1"/>
      <w:numFmt w:val="bullet"/>
      <w:lvlText w:val="o"/>
      <w:lvlJc w:val="left"/>
      <w:pPr>
        <w:ind w:left="3600" w:hanging="360"/>
      </w:pPr>
      <w:rPr>
        <w:rFonts w:ascii="Courier New" w:hAnsi="Courier New" w:hint="default"/>
      </w:rPr>
    </w:lvl>
    <w:lvl w:ilvl="5" w:tplc="2460C374">
      <w:start w:val="1"/>
      <w:numFmt w:val="bullet"/>
      <w:lvlText w:val=""/>
      <w:lvlJc w:val="left"/>
      <w:pPr>
        <w:ind w:left="4320" w:hanging="360"/>
      </w:pPr>
      <w:rPr>
        <w:rFonts w:ascii="Wingdings" w:hAnsi="Wingdings" w:hint="default"/>
      </w:rPr>
    </w:lvl>
    <w:lvl w:ilvl="6" w:tplc="DC96F9C2">
      <w:start w:val="1"/>
      <w:numFmt w:val="bullet"/>
      <w:lvlText w:val=""/>
      <w:lvlJc w:val="left"/>
      <w:pPr>
        <w:ind w:left="5040" w:hanging="360"/>
      </w:pPr>
      <w:rPr>
        <w:rFonts w:ascii="Symbol" w:hAnsi="Symbol" w:hint="default"/>
      </w:rPr>
    </w:lvl>
    <w:lvl w:ilvl="7" w:tplc="4C64ED98">
      <w:start w:val="1"/>
      <w:numFmt w:val="bullet"/>
      <w:lvlText w:val="o"/>
      <w:lvlJc w:val="left"/>
      <w:pPr>
        <w:ind w:left="5760" w:hanging="360"/>
      </w:pPr>
      <w:rPr>
        <w:rFonts w:ascii="Courier New" w:hAnsi="Courier New" w:hint="default"/>
      </w:rPr>
    </w:lvl>
    <w:lvl w:ilvl="8" w:tplc="9A16CC92">
      <w:start w:val="1"/>
      <w:numFmt w:val="bullet"/>
      <w:lvlText w:val=""/>
      <w:lvlJc w:val="left"/>
      <w:pPr>
        <w:ind w:left="6480" w:hanging="360"/>
      </w:pPr>
      <w:rPr>
        <w:rFonts w:ascii="Wingdings" w:hAnsi="Wingdings" w:hint="default"/>
      </w:rPr>
    </w:lvl>
  </w:abstractNum>
  <w:abstractNum w:abstractNumId="65" w15:restartNumberingAfterBreak="0">
    <w:nsid w:val="575645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AB06058"/>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ACDECC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5DE523DC"/>
    <w:multiLevelType w:val="hybridMultilevel"/>
    <w:tmpl w:val="FFFFFFFF"/>
    <w:lvl w:ilvl="0" w:tplc="F04E8730">
      <w:start w:val="1"/>
      <w:numFmt w:val="bullet"/>
      <w:lvlText w:val="-"/>
      <w:lvlJc w:val="left"/>
      <w:pPr>
        <w:ind w:left="720" w:hanging="360"/>
      </w:pPr>
      <w:rPr>
        <w:rFonts w:ascii="Aptos" w:hAnsi="Aptos" w:hint="default"/>
      </w:rPr>
    </w:lvl>
    <w:lvl w:ilvl="1" w:tplc="AAC016C2">
      <w:start w:val="1"/>
      <w:numFmt w:val="bullet"/>
      <w:lvlText w:val="o"/>
      <w:lvlJc w:val="left"/>
      <w:pPr>
        <w:ind w:left="1440" w:hanging="360"/>
      </w:pPr>
      <w:rPr>
        <w:rFonts w:ascii="Courier New" w:hAnsi="Courier New" w:hint="default"/>
      </w:rPr>
    </w:lvl>
    <w:lvl w:ilvl="2" w:tplc="72CEC538">
      <w:start w:val="1"/>
      <w:numFmt w:val="bullet"/>
      <w:lvlText w:val=""/>
      <w:lvlJc w:val="left"/>
      <w:pPr>
        <w:ind w:left="2160" w:hanging="360"/>
      </w:pPr>
      <w:rPr>
        <w:rFonts w:ascii="Wingdings" w:hAnsi="Wingdings" w:hint="default"/>
      </w:rPr>
    </w:lvl>
    <w:lvl w:ilvl="3" w:tplc="988E00D4">
      <w:start w:val="1"/>
      <w:numFmt w:val="bullet"/>
      <w:lvlText w:val=""/>
      <w:lvlJc w:val="left"/>
      <w:pPr>
        <w:ind w:left="2880" w:hanging="360"/>
      </w:pPr>
      <w:rPr>
        <w:rFonts w:ascii="Symbol" w:hAnsi="Symbol" w:hint="default"/>
      </w:rPr>
    </w:lvl>
    <w:lvl w:ilvl="4" w:tplc="2EAA88C8">
      <w:start w:val="1"/>
      <w:numFmt w:val="bullet"/>
      <w:lvlText w:val="o"/>
      <w:lvlJc w:val="left"/>
      <w:pPr>
        <w:ind w:left="3600" w:hanging="360"/>
      </w:pPr>
      <w:rPr>
        <w:rFonts w:ascii="Courier New" w:hAnsi="Courier New" w:hint="default"/>
      </w:rPr>
    </w:lvl>
    <w:lvl w:ilvl="5" w:tplc="06C6281C">
      <w:start w:val="1"/>
      <w:numFmt w:val="bullet"/>
      <w:lvlText w:val=""/>
      <w:lvlJc w:val="left"/>
      <w:pPr>
        <w:ind w:left="4320" w:hanging="360"/>
      </w:pPr>
      <w:rPr>
        <w:rFonts w:ascii="Wingdings" w:hAnsi="Wingdings" w:hint="default"/>
      </w:rPr>
    </w:lvl>
    <w:lvl w:ilvl="6" w:tplc="1B76ED66">
      <w:start w:val="1"/>
      <w:numFmt w:val="bullet"/>
      <w:lvlText w:val=""/>
      <w:lvlJc w:val="left"/>
      <w:pPr>
        <w:ind w:left="5040" w:hanging="360"/>
      </w:pPr>
      <w:rPr>
        <w:rFonts w:ascii="Symbol" w:hAnsi="Symbol" w:hint="default"/>
      </w:rPr>
    </w:lvl>
    <w:lvl w:ilvl="7" w:tplc="1FDA2F52">
      <w:start w:val="1"/>
      <w:numFmt w:val="bullet"/>
      <w:lvlText w:val="o"/>
      <w:lvlJc w:val="left"/>
      <w:pPr>
        <w:ind w:left="5760" w:hanging="360"/>
      </w:pPr>
      <w:rPr>
        <w:rFonts w:ascii="Courier New" w:hAnsi="Courier New" w:hint="default"/>
      </w:rPr>
    </w:lvl>
    <w:lvl w:ilvl="8" w:tplc="E3A013F4">
      <w:start w:val="1"/>
      <w:numFmt w:val="bullet"/>
      <w:lvlText w:val=""/>
      <w:lvlJc w:val="left"/>
      <w:pPr>
        <w:ind w:left="6480" w:hanging="360"/>
      </w:pPr>
      <w:rPr>
        <w:rFonts w:ascii="Wingdings" w:hAnsi="Wingdings" w:hint="default"/>
      </w:rPr>
    </w:lvl>
  </w:abstractNum>
  <w:abstractNum w:abstractNumId="69" w15:restartNumberingAfterBreak="0">
    <w:nsid w:val="5E0AD16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1" w15:restartNumberingAfterBreak="0">
    <w:nsid w:val="62BB72E2"/>
    <w:multiLevelType w:val="hybridMultilevel"/>
    <w:tmpl w:val="FFFFFFFF"/>
    <w:lvl w:ilvl="0" w:tplc="8286E1B6">
      <w:start w:val="1"/>
      <w:numFmt w:val="decimal"/>
      <w:lvlText w:val="%1."/>
      <w:lvlJc w:val="left"/>
      <w:pPr>
        <w:ind w:left="720" w:hanging="360"/>
      </w:pPr>
    </w:lvl>
    <w:lvl w:ilvl="1" w:tplc="BE58E158">
      <w:start w:val="1"/>
      <w:numFmt w:val="lowerLetter"/>
      <w:lvlText w:val="%2."/>
      <w:lvlJc w:val="left"/>
      <w:pPr>
        <w:ind w:left="1440" w:hanging="360"/>
      </w:pPr>
    </w:lvl>
    <w:lvl w:ilvl="2" w:tplc="AA749F68">
      <w:start w:val="1"/>
      <w:numFmt w:val="lowerRoman"/>
      <w:lvlText w:val="%3."/>
      <w:lvlJc w:val="right"/>
      <w:pPr>
        <w:ind w:left="2160" w:hanging="180"/>
      </w:pPr>
    </w:lvl>
    <w:lvl w:ilvl="3" w:tplc="E7CC1CC8">
      <w:start w:val="1"/>
      <w:numFmt w:val="decimal"/>
      <w:lvlText w:val="%4."/>
      <w:lvlJc w:val="left"/>
      <w:pPr>
        <w:ind w:left="2880" w:hanging="360"/>
      </w:pPr>
    </w:lvl>
    <w:lvl w:ilvl="4" w:tplc="72905728">
      <w:start w:val="1"/>
      <w:numFmt w:val="lowerLetter"/>
      <w:lvlText w:val="%5."/>
      <w:lvlJc w:val="left"/>
      <w:pPr>
        <w:ind w:left="3600" w:hanging="360"/>
      </w:pPr>
    </w:lvl>
    <w:lvl w:ilvl="5" w:tplc="1A520968">
      <w:start w:val="1"/>
      <w:numFmt w:val="lowerRoman"/>
      <w:lvlText w:val="%6."/>
      <w:lvlJc w:val="right"/>
      <w:pPr>
        <w:ind w:left="4320" w:hanging="180"/>
      </w:pPr>
    </w:lvl>
    <w:lvl w:ilvl="6" w:tplc="3C807E22">
      <w:start w:val="1"/>
      <w:numFmt w:val="decimal"/>
      <w:lvlText w:val="%7."/>
      <w:lvlJc w:val="left"/>
      <w:pPr>
        <w:ind w:left="5040" w:hanging="360"/>
      </w:pPr>
    </w:lvl>
    <w:lvl w:ilvl="7" w:tplc="7ED8993E">
      <w:start w:val="1"/>
      <w:numFmt w:val="lowerLetter"/>
      <w:lvlText w:val="%8."/>
      <w:lvlJc w:val="left"/>
      <w:pPr>
        <w:ind w:left="5760" w:hanging="360"/>
      </w:pPr>
    </w:lvl>
    <w:lvl w:ilvl="8" w:tplc="69EAB1B4">
      <w:start w:val="1"/>
      <w:numFmt w:val="lowerRoman"/>
      <w:lvlText w:val="%9."/>
      <w:lvlJc w:val="right"/>
      <w:pPr>
        <w:ind w:left="6480" w:hanging="180"/>
      </w:pPr>
    </w:lvl>
  </w:abstractNum>
  <w:abstractNum w:abstractNumId="72" w15:restartNumberingAfterBreak="0">
    <w:nsid w:val="63F32FD2"/>
    <w:multiLevelType w:val="hybridMultilevel"/>
    <w:tmpl w:val="A50090A2"/>
    <w:lvl w:ilvl="0" w:tplc="C5E804C8">
      <w:start w:val="1"/>
      <w:numFmt w:val="bullet"/>
      <w:lvlText w:val=""/>
      <w:lvlJc w:val="left"/>
      <w:pPr>
        <w:ind w:left="720" w:hanging="360"/>
      </w:pPr>
      <w:rPr>
        <w:rFonts w:ascii="Symbol" w:hAnsi="Symbol" w:hint="default"/>
      </w:rPr>
    </w:lvl>
    <w:lvl w:ilvl="1" w:tplc="BEBA7AFC">
      <w:numFmt w:val="bullet"/>
      <w:lvlText w:val="•"/>
      <w:lvlJc w:val="left"/>
      <w:pPr>
        <w:ind w:left="1440" w:hanging="360"/>
      </w:pPr>
      <w:rPr>
        <w:rFonts w:ascii="Times New Roman" w:hAnsi="Times New Roman" w:hint="default"/>
      </w:rPr>
    </w:lvl>
    <w:lvl w:ilvl="2" w:tplc="7458CEAE" w:tentative="1">
      <w:start w:val="1"/>
      <w:numFmt w:val="bullet"/>
      <w:lvlText w:val=""/>
      <w:lvlJc w:val="left"/>
      <w:pPr>
        <w:ind w:left="2160" w:hanging="360"/>
      </w:pPr>
      <w:rPr>
        <w:rFonts w:ascii="Wingdings" w:hAnsi="Wingdings" w:hint="default"/>
      </w:rPr>
    </w:lvl>
    <w:lvl w:ilvl="3" w:tplc="61461BBC" w:tentative="1">
      <w:start w:val="1"/>
      <w:numFmt w:val="bullet"/>
      <w:lvlText w:val=""/>
      <w:lvlJc w:val="left"/>
      <w:pPr>
        <w:ind w:left="2880" w:hanging="360"/>
      </w:pPr>
      <w:rPr>
        <w:rFonts w:ascii="Symbol" w:hAnsi="Symbol" w:hint="default"/>
      </w:rPr>
    </w:lvl>
    <w:lvl w:ilvl="4" w:tplc="495E2CE4" w:tentative="1">
      <w:start w:val="1"/>
      <w:numFmt w:val="bullet"/>
      <w:lvlText w:val="o"/>
      <w:lvlJc w:val="left"/>
      <w:pPr>
        <w:ind w:left="3600" w:hanging="360"/>
      </w:pPr>
      <w:rPr>
        <w:rFonts w:ascii="Courier New" w:hAnsi="Courier New" w:hint="default"/>
      </w:rPr>
    </w:lvl>
    <w:lvl w:ilvl="5" w:tplc="6C18555C" w:tentative="1">
      <w:start w:val="1"/>
      <w:numFmt w:val="bullet"/>
      <w:lvlText w:val=""/>
      <w:lvlJc w:val="left"/>
      <w:pPr>
        <w:ind w:left="4320" w:hanging="360"/>
      </w:pPr>
      <w:rPr>
        <w:rFonts w:ascii="Wingdings" w:hAnsi="Wingdings" w:hint="default"/>
      </w:rPr>
    </w:lvl>
    <w:lvl w:ilvl="6" w:tplc="091E151C" w:tentative="1">
      <w:start w:val="1"/>
      <w:numFmt w:val="bullet"/>
      <w:lvlText w:val=""/>
      <w:lvlJc w:val="left"/>
      <w:pPr>
        <w:ind w:left="5040" w:hanging="360"/>
      </w:pPr>
      <w:rPr>
        <w:rFonts w:ascii="Symbol" w:hAnsi="Symbol" w:hint="default"/>
      </w:rPr>
    </w:lvl>
    <w:lvl w:ilvl="7" w:tplc="1B06F59E" w:tentative="1">
      <w:start w:val="1"/>
      <w:numFmt w:val="bullet"/>
      <w:lvlText w:val="o"/>
      <w:lvlJc w:val="left"/>
      <w:pPr>
        <w:ind w:left="5760" w:hanging="360"/>
      </w:pPr>
      <w:rPr>
        <w:rFonts w:ascii="Courier New" w:hAnsi="Courier New" w:hint="default"/>
      </w:rPr>
    </w:lvl>
    <w:lvl w:ilvl="8" w:tplc="3E2C9F2C" w:tentative="1">
      <w:start w:val="1"/>
      <w:numFmt w:val="bullet"/>
      <w:lvlText w:val=""/>
      <w:lvlJc w:val="left"/>
      <w:pPr>
        <w:ind w:left="6480" w:hanging="360"/>
      </w:pPr>
      <w:rPr>
        <w:rFonts w:ascii="Wingdings" w:hAnsi="Wingdings" w:hint="default"/>
      </w:rPr>
    </w:lvl>
  </w:abstractNum>
  <w:abstractNum w:abstractNumId="73" w15:restartNumberingAfterBreak="0">
    <w:nsid w:val="654BB231"/>
    <w:multiLevelType w:val="hybridMultilevel"/>
    <w:tmpl w:val="FFFFFFFF"/>
    <w:lvl w:ilvl="0" w:tplc="5FF48596">
      <w:start w:val="1"/>
      <w:numFmt w:val="lowerLetter"/>
      <w:lvlText w:val="%1."/>
      <w:lvlJc w:val="left"/>
      <w:pPr>
        <w:ind w:left="720" w:hanging="360"/>
      </w:pPr>
    </w:lvl>
    <w:lvl w:ilvl="1" w:tplc="73446218">
      <w:start w:val="1"/>
      <w:numFmt w:val="lowerLetter"/>
      <w:lvlText w:val="%2."/>
      <w:lvlJc w:val="left"/>
      <w:pPr>
        <w:ind w:left="1440" w:hanging="360"/>
      </w:pPr>
    </w:lvl>
    <w:lvl w:ilvl="2" w:tplc="954ABCAC">
      <w:start w:val="1"/>
      <w:numFmt w:val="lowerRoman"/>
      <w:lvlText w:val="%3."/>
      <w:lvlJc w:val="right"/>
      <w:pPr>
        <w:ind w:left="2160" w:hanging="180"/>
      </w:pPr>
    </w:lvl>
    <w:lvl w:ilvl="3" w:tplc="C382CB48">
      <w:start w:val="1"/>
      <w:numFmt w:val="decimal"/>
      <w:lvlText w:val="%4."/>
      <w:lvlJc w:val="left"/>
      <w:pPr>
        <w:ind w:left="2880" w:hanging="360"/>
      </w:pPr>
    </w:lvl>
    <w:lvl w:ilvl="4" w:tplc="191E0842">
      <w:start w:val="1"/>
      <w:numFmt w:val="lowerLetter"/>
      <w:lvlText w:val="%5."/>
      <w:lvlJc w:val="left"/>
      <w:pPr>
        <w:ind w:left="3600" w:hanging="360"/>
      </w:pPr>
    </w:lvl>
    <w:lvl w:ilvl="5" w:tplc="23C6A464">
      <w:start w:val="1"/>
      <w:numFmt w:val="lowerRoman"/>
      <w:lvlText w:val="%6."/>
      <w:lvlJc w:val="right"/>
      <w:pPr>
        <w:ind w:left="4320" w:hanging="180"/>
      </w:pPr>
    </w:lvl>
    <w:lvl w:ilvl="6" w:tplc="3A9CEDF8">
      <w:start w:val="1"/>
      <w:numFmt w:val="decimal"/>
      <w:lvlText w:val="%7."/>
      <w:lvlJc w:val="left"/>
      <w:pPr>
        <w:ind w:left="5040" w:hanging="360"/>
      </w:pPr>
    </w:lvl>
    <w:lvl w:ilvl="7" w:tplc="0B54ECFC">
      <w:start w:val="1"/>
      <w:numFmt w:val="lowerLetter"/>
      <w:lvlText w:val="%8."/>
      <w:lvlJc w:val="left"/>
      <w:pPr>
        <w:ind w:left="5760" w:hanging="360"/>
      </w:pPr>
    </w:lvl>
    <w:lvl w:ilvl="8" w:tplc="01F8CA3A">
      <w:start w:val="1"/>
      <w:numFmt w:val="lowerRoman"/>
      <w:lvlText w:val="%9."/>
      <w:lvlJc w:val="right"/>
      <w:pPr>
        <w:ind w:left="6480" w:hanging="180"/>
      </w:pPr>
    </w:lvl>
  </w:abstractNum>
  <w:abstractNum w:abstractNumId="74" w15:restartNumberingAfterBreak="0">
    <w:nsid w:val="668662FE"/>
    <w:multiLevelType w:val="hybridMultilevel"/>
    <w:tmpl w:val="FFFFFFFF"/>
    <w:lvl w:ilvl="0" w:tplc="CD247FA0">
      <w:start w:val="1"/>
      <w:numFmt w:val="bullet"/>
      <w:lvlText w:val=""/>
      <w:lvlJc w:val="left"/>
      <w:pPr>
        <w:ind w:left="720" w:hanging="360"/>
      </w:pPr>
      <w:rPr>
        <w:rFonts w:ascii="Wingdings" w:hAnsi="Wingdings" w:hint="default"/>
      </w:rPr>
    </w:lvl>
    <w:lvl w:ilvl="1" w:tplc="C206E384">
      <w:start w:val="1"/>
      <w:numFmt w:val="bullet"/>
      <w:lvlText w:val="o"/>
      <w:lvlJc w:val="left"/>
      <w:pPr>
        <w:ind w:left="1440" w:hanging="360"/>
      </w:pPr>
      <w:rPr>
        <w:rFonts w:ascii="Courier New" w:hAnsi="Courier New" w:hint="default"/>
      </w:rPr>
    </w:lvl>
    <w:lvl w:ilvl="2" w:tplc="BCC4329E">
      <w:start w:val="1"/>
      <w:numFmt w:val="bullet"/>
      <w:lvlText w:val=""/>
      <w:lvlJc w:val="left"/>
      <w:pPr>
        <w:ind w:left="2160" w:hanging="360"/>
      </w:pPr>
      <w:rPr>
        <w:rFonts w:ascii="Wingdings" w:hAnsi="Wingdings" w:hint="default"/>
      </w:rPr>
    </w:lvl>
    <w:lvl w:ilvl="3" w:tplc="46DAA88C">
      <w:start w:val="1"/>
      <w:numFmt w:val="bullet"/>
      <w:lvlText w:val=""/>
      <w:lvlJc w:val="left"/>
      <w:pPr>
        <w:ind w:left="2880" w:hanging="360"/>
      </w:pPr>
      <w:rPr>
        <w:rFonts w:ascii="Symbol" w:hAnsi="Symbol" w:hint="default"/>
      </w:rPr>
    </w:lvl>
    <w:lvl w:ilvl="4" w:tplc="6E8A44A4">
      <w:start w:val="1"/>
      <w:numFmt w:val="bullet"/>
      <w:lvlText w:val="o"/>
      <w:lvlJc w:val="left"/>
      <w:pPr>
        <w:ind w:left="3600" w:hanging="360"/>
      </w:pPr>
      <w:rPr>
        <w:rFonts w:ascii="Courier New" w:hAnsi="Courier New" w:hint="default"/>
      </w:rPr>
    </w:lvl>
    <w:lvl w:ilvl="5" w:tplc="B4C8D170">
      <w:start w:val="1"/>
      <w:numFmt w:val="bullet"/>
      <w:lvlText w:val=""/>
      <w:lvlJc w:val="left"/>
      <w:pPr>
        <w:ind w:left="4320" w:hanging="360"/>
      </w:pPr>
      <w:rPr>
        <w:rFonts w:ascii="Wingdings" w:hAnsi="Wingdings" w:hint="default"/>
      </w:rPr>
    </w:lvl>
    <w:lvl w:ilvl="6" w:tplc="2F844522">
      <w:start w:val="1"/>
      <w:numFmt w:val="bullet"/>
      <w:lvlText w:val=""/>
      <w:lvlJc w:val="left"/>
      <w:pPr>
        <w:ind w:left="5040" w:hanging="360"/>
      </w:pPr>
      <w:rPr>
        <w:rFonts w:ascii="Symbol" w:hAnsi="Symbol" w:hint="default"/>
      </w:rPr>
    </w:lvl>
    <w:lvl w:ilvl="7" w:tplc="924E3BEE">
      <w:start w:val="1"/>
      <w:numFmt w:val="bullet"/>
      <w:lvlText w:val="o"/>
      <w:lvlJc w:val="left"/>
      <w:pPr>
        <w:ind w:left="5760" w:hanging="360"/>
      </w:pPr>
      <w:rPr>
        <w:rFonts w:ascii="Courier New" w:hAnsi="Courier New" w:hint="default"/>
      </w:rPr>
    </w:lvl>
    <w:lvl w:ilvl="8" w:tplc="9F0ADB18">
      <w:start w:val="1"/>
      <w:numFmt w:val="bullet"/>
      <w:lvlText w:val=""/>
      <w:lvlJc w:val="left"/>
      <w:pPr>
        <w:ind w:left="6480" w:hanging="360"/>
      </w:pPr>
      <w:rPr>
        <w:rFonts w:ascii="Wingdings" w:hAnsi="Wingdings" w:hint="default"/>
      </w:rPr>
    </w:lvl>
  </w:abstractNum>
  <w:abstractNum w:abstractNumId="75" w15:restartNumberingAfterBreak="0">
    <w:nsid w:val="679178AA"/>
    <w:multiLevelType w:val="hybridMultilevel"/>
    <w:tmpl w:val="40BA8486"/>
    <w:lvl w:ilvl="0" w:tplc="FFFFFFFF">
      <w:start w:val="1"/>
      <w:numFmt w:val="decimal"/>
      <w:lvlText w:val="%1."/>
      <w:lvlJc w:val="left"/>
      <w:pPr>
        <w:tabs>
          <w:tab w:val="num" w:pos="480"/>
        </w:tabs>
        <w:ind w:left="480" w:hanging="480"/>
      </w:pPr>
    </w:lvl>
    <w:lvl w:ilvl="1" w:tplc="FFFFFFFF">
      <w:start w:val="1"/>
      <w:numFmt w:val="lowerLetter"/>
      <w:lvlText w:val="%2."/>
      <w:lvlJc w:val="left"/>
      <w:pPr>
        <w:tabs>
          <w:tab w:val="num" w:pos="1200"/>
        </w:tabs>
        <w:ind w:left="1200" w:hanging="720"/>
      </w:pPr>
    </w:lvl>
    <w:lvl w:ilvl="2" w:tplc="FFFFFFFF">
      <w:numFmt w:val="decimal"/>
      <w:lvlText w:val=""/>
      <w:lvlJc w:val="left"/>
      <w:pPr>
        <w:tabs>
          <w:tab w:val="num" w:pos="360"/>
        </w:tabs>
      </w:pPr>
    </w:lvl>
    <w:lvl w:ilvl="3" w:tplc="18090019">
      <w:start w:val="1"/>
      <w:numFmt w:val="lowerLetter"/>
      <w:lvlText w:val="%4."/>
      <w:lvlJc w:val="left"/>
      <w:pPr>
        <w:ind w:left="1560" w:hanging="360"/>
      </w:pPr>
    </w:lvl>
    <w:lvl w:ilvl="4" w:tplc="FFFFFFFF">
      <w:start w:val="1"/>
      <w:numFmt w:val="lowerRoman"/>
      <w:lvlText w:val="%5."/>
      <w:lvlJc w:val="right"/>
      <w:pPr>
        <w:tabs>
          <w:tab w:val="num" w:pos="1800"/>
        </w:tabs>
        <w:ind w:left="1800" w:hanging="360"/>
      </w:pPr>
    </w:lvl>
    <w:lvl w:ilvl="5" w:tplc="FFFFFFFF">
      <w:start w:val="1"/>
      <w:numFmt w:val="lowerRoman"/>
      <w:lvlText w:val="(%6)"/>
      <w:lvlJc w:val="left"/>
      <w:pPr>
        <w:tabs>
          <w:tab w:val="num" w:pos="2160"/>
        </w:tabs>
        <w:ind w:left="2160" w:hanging="360"/>
      </w:pPr>
    </w:lvl>
    <w:lvl w:ilvl="6" w:tplc="FFFFFFFF">
      <w:start w:val="1"/>
      <w:numFmt w:val="decimal"/>
      <w:lvlText w:val="%7."/>
      <w:lvlJc w:val="left"/>
      <w:pPr>
        <w:tabs>
          <w:tab w:val="num" w:pos="2520"/>
        </w:tabs>
        <w:ind w:left="2520" w:hanging="360"/>
      </w:pPr>
    </w:lvl>
    <w:lvl w:ilvl="7" w:tplc="FFFFFFFF">
      <w:start w:val="1"/>
      <w:numFmt w:val="lowerLetter"/>
      <w:lvlText w:val="%8."/>
      <w:lvlJc w:val="left"/>
      <w:pPr>
        <w:tabs>
          <w:tab w:val="num" w:pos="2880"/>
        </w:tabs>
        <w:ind w:left="2880" w:hanging="360"/>
      </w:pPr>
    </w:lvl>
    <w:lvl w:ilvl="8" w:tplc="FFFFFFFF">
      <w:start w:val="1"/>
      <w:numFmt w:val="lowerRoman"/>
      <w:lvlText w:val="%9."/>
      <w:lvlJc w:val="left"/>
      <w:pPr>
        <w:tabs>
          <w:tab w:val="num" w:pos="3240"/>
        </w:tabs>
        <w:ind w:left="3240" w:hanging="360"/>
      </w:pPr>
    </w:lvl>
  </w:abstractNum>
  <w:abstractNum w:abstractNumId="76" w15:restartNumberingAfterBreak="0">
    <w:nsid w:val="67D80870"/>
    <w:multiLevelType w:val="hybridMultilevel"/>
    <w:tmpl w:val="C9044570"/>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77" w15:restartNumberingAfterBreak="0">
    <w:nsid w:val="682D654A"/>
    <w:multiLevelType w:val="hybridMultilevel"/>
    <w:tmpl w:val="F71203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8" w15:restartNumberingAfterBreak="0">
    <w:nsid w:val="68A96974"/>
    <w:multiLevelType w:val="hybridMultilevel"/>
    <w:tmpl w:val="E87458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9" w15:restartNumberingAfterBreak="0">
    <w:nsid w:val="6B4A51EB"/>
    <w:multiLevelType w:val="multilevel"/>
    <w:tmpl w:val="BB009FFA"/>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BA977A4"/>
    <w:multiLevelType w:val="hybridMultilevel"/>
    <w:tmpl w:val="1900636E"/>
    <w:lvl w:ilvl="0" w:tplc="0D7EE274">
      <w:start w:val="1"/>
      <w:numFmt w:val="lowerLetter"/>
      <w:lvlText w:val="%1."/>
      <w:lvlJc w:val="left"/>
      <w:pPr>
        <w:ind w:left="2160" w:hanging="360"/>
      </w:pPr>
    </w:lvl>
    <w:lvl w:ilvl="1" w:tplc="15CA305A">
      <w:start w:val="1"/>
      <w:numFmt w:val="lowerRoman"/>
      <w:lvlText w:val="%2."/>
      <w:lvlJc w:val="right"/>
      <w:pPr>
        <w:ind w:left="2880" w:hanging="360"/>
      </w:pPr>
    </w:lvl>
    <w:lvl w:ilvl="2" w:tplc="721C0208">
      <w:start w:val="1"/>
      <w:numFmt w:val="decimal"/>
      <w:lvlText w:val="%3."/>
      <w:lvlJc w:val="left"/>
      <w:pPr>
        <w:ind w:left="3600" w:hanging="180"/>
      </w:pPr>
    </w:lvl>
    <w:lvl w:ilvl="3" w:tplc="64E89134">
      <w:start w:val="1"/>
      <w:numFmt w:val="decimal"/>
      <w:lvlText w:val="%4."/>
      <w:lvlJc w:val="left"/>
      <w:pPr>
        <w:ind w:left="2880" w:hanging="360"/>
      </w:pPr>
    </w:lvl>
    <w:lvl w:ilvl="4" w:tplc="E4C62824">
      <w:start w:val="1"/>
      <w:numFmt w:val="lowerLetter"/>
      <w:lvlText w:val="%5."/>
      <w:lvlJc w:val="left"/>
      <w:pPr>
        <w:ind w:left="3600" w:hanging="360"/>
      </w:pPr>
    </w:lvl>
    <w:lvl w:ilvl="5" w:tplc="60DC6B0E">
      <w:start w:val="1"/>
      <w:numFmt w:val="lowerRoman"/>
      <w:lvlText w:val="%6."/>
      <w:lvlJc w:val="right"/>
      <w:pPr>
        <w:ind w:left="4320" w:hanging="180"/>
      </w:pPr>
    </w:lvl>
    <w:lvl w:ilvl="6" w:tplc="6A908438">
      <w:start w:val="1"/>
      <w:numFmt w:val="decimal"/>
      <w:pStyle w:val="TableLeft"/>
      <w:lvlText w:val="%7."/>
      <w:lvlJc w:val="left"/>
      <w:pPr>
        <w:ind w:left="5040" w:hanging="360"/>
      </w:pPr>
    </w:lvl>
    <w:lvl w:ilvl="7" w:tplc="BDACFD1A">
      <w:start w:val="1"/>
      <w:numFmt w:val="lowerLetter"/>
      <w:lvlText w:val="%8."/>
      <w:lvlJc w:val="left"/>
      <w:pPr>
        <w:ind w:left="5760" w:hanging="360"/>
      </w:pPr>
    </w:lvl>
    <w:lvl w:ilvl="8" w:tplc="77CE79C8">
      <w:start w:val="1"/>
      <w:numFmt w:val="lowerRoman"/>
      <w:lvlText w:val="%9."/>
      <w:lvlJc w:val="right"/>
      <w:pPr>
        <w:ind w:left="6480" w:hanging="180"/>
      </w:pPr>
    </w:lvl>
  </w:abstractNum>
  <w:abstractNum w:abstractNumId="81" w15:restartNumberingAfterBreak="0">
    <w:nsid w:val="6DB28F1F"/>
    <w:multiLevelType w:val="hybridMultilevel"/>
    <w:tmpl w:val="FFFFFFFF"/>
    <w:lvl w:ilvl="0" w:tplc="E93A05D8">
      <w:start w:val="1"/>
      <w:numFmt w:val="bullet"/>
      <w:lvlText w:val="-"/>
      <w:lvlJc w:val="left"/>
      <w:pPr>
        <w:ind w:left="720" w:hanging="360"/>
      </w:pPr>
      <w:rPr>
        <w:rFonts w:ascii="Aptos" w:hAnsi="Aptos" w:hint="default"/>
      </w:rPr>
    </w:lvl>
    <w:lvl w:ilvl="1" w:tplc="9D1E1168">
      <w:start w:val="1"/>
      <w:numFmt w:val="bullet"/>
      <w:lvlText w:val="o"/>
      <w:lvlJc w:val="left"/>
      <w:pPr>
        <w:ind w:left="1440" w:hanging="360"/>
      </w:pPr>
      <w:rPr>
        <w:rFonts w:ascii="Courier New" w:hAnsi="Courier New" w:hint="default"/>
      </w:rPr>
    </w:lvl>
    <w:lvl w:ilvl="2" w:tplc="1854A2DE">
      <w:start w:val="1"/>
      <w:numFmt w:val="bullet"/>
      <w:lvlText w:val=""/>
      <w:lvlJc w:val="left"/>
      <w:pPr>
        <w:ind w:left="2160" w:hanging="360"/>
      </w:pPr>
      <w:rPr>
        <w:rFonts w:ascii="Wingdings" w:hAnsi="Wingdings" w:hint="default"/>
      </w:rPr>
    </w:lvl>
    <w:lvl w:ilvl="3" w:tplc="889EB64C">
      <w:start w:val="1"/>
      <w:numFmt w:val="bullet"/>
      <w:lvlText w:val=""/>
      <w:lvlJc w:val="left"/>
      <w:pPr>
        <w:ind w:left="2880" w:hanging="360"/>
      </w:pPr>
      <w:rPr>
        <w:rFonts w:ascii="Symbol" w:hAnsi="Symbol" w:hint="default"/>
      </w:rPr>
    </w:lvl>
    <w:lvl w:ilvl="4" w:tplc="00C84A9C">
      <w:start w:val="1"/>
      <w:numFmt w:val="bullet"/>
      <w:lvlText w:val="o"/>
      <w:lvlJc w:val="left"/>
      <w:pPr>
        <w:ind w:left="3600" w:hanging="360"/>
      </w:pPr>
      <w:rPr>
        <w:rFonts w:ascii="Courier New" w:hAnsi="Courier New" w:hint="default"/>
      </w:rPr>
    </w:lvl>
    <w:lvl w:ilvl="5" w:tplc="CF3CB330">
      <w:start w:val="1"/>
      <w:numFmt w:val="bullet"/>
      <w:lvlText w:val=""/>
      <w:lvlJc w:val="left"/>
      <w:pPr>
        <w:ind w:left="4320" w:hanging="360"/>
      </w:pPr>
      <w:rPr>
        <w:rFonts w:ascii="Wingdings" w:hAnsi="Wingdings" w:hint="default"/>
      </w:rPr>
    </w:lvl>
    <w:lvl w:ilvl="6" w:tplc="E0AA58D6">
      <w:start w:val="1"/>
      <w:numFmt w:val="bullet"/>
      <w:lvlText w:val=""/>
      <w:lvlJc w:val="left"/>
      <w:pPr>
        <w:ind w:left="5040" w:hanging="360"/>
      </w:pPr>
      <w:rPr>
        <w:rFonts w:ascii="Symbol" w:hAnsi="Symbol" w:hint="default"/>
      </w:rPr>
    </w:lvl>
    <w:lvl w:ilvl="7" w:tplc="66B49AD4">
      <w:start w:val="1"/>
      <w:numFmt w:val="bullet"/>
      <w:lvlText w:val="o"/>
      <w:lvlJc w:val="left"/>
      <w:pPr>
        <w:ind w:left="5760" w:hanging="360"/>
      </w:pPr>
      <w:rPr>
        <w:rFonts w:ascii="Courier New" w:hAnsi="Courier New" w:hint="default"/>
      </w:rPr>
    </w:lvl>
    <w:lvl w:ilvl="8" w:tplc="331E717A">
      <w:start w:val="1"/>
      <w:numFmt w:val="bullet"/>
      <w:lvlText w:val=""/>
      <w:lvlJc w:val="left"/>
      <w:pPr>
        <w:ind w:left="6480" w:hanging="360"/>
      </w:pPr>
      <w:rPr>
        <w:rFonts w:ascii="Wingdings" w:hAnsi="Wingdings" w:hint="default"/>
      </w:rPr>
    </w:lvl>
  </w:abstractNum>
  <w:abstractNum w:abstractNumId="82" w15:restartNumberingAfterBreak="0">
    <w:nsid w:val="6DE66423"/>
    <w:multiLevelType w:val="hybridMultilevel"/>
    <w:tmpl w:val="44DAC9B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6E59285C"/>
    <w:multiLevelType w:val="hybridMultilevel"/>
    <w:tmpl w:val="F378D39A"/>
    <w:lvl w:ilvl="0" w:tplc="DD604640">
      <w:start w:val="1"/>
      <w:numFmt w:val="bullet"/>
      <w:lvlText w:val="-"/>
      <w:lvlJc w:val="left"/>
      <w:pPr>
        <w:ind w:left="720" w:hanging="360"/>
      </w:pPr>
      <w:rPr>
        <w:rFonts w:ascii="Aptos" w:hAnsi="Aptos" w:hint="default"/>
      </w:rPr>
    </w:lvl>
    <w:lvl w:ilvl="1" w:tplc="5D54CB3A" w:tentative="1">
      <w:start w:val="1"/>
      <w:numFmt w:val="bullet"/>
      <w:lvlText w:val="o"/>
      <w:lvlJc w:val="left"/>
      <w:pPr>
        <w:ind w:left="1440" w:hanging="360"/>
      </w:pPr>
      <w:rPr>
        <w:rFonts w:ascii="Courier New" w:hAnsi="Courier New" w:hint="default"/>
      </w:rPr>
    </w:lvl>
    <w:lvl w:ilvl="2" w:tplc="1D546AE8" w:tentative="1">
      <w:start w:val="1"/>
      <w:numFmt w:val="bullet"/>
      <w:lvlText w:val=""/>
      <w:lvlJc w:val="left"/>
      <w:pPr>
        <w:ind w:left="2160" w:hanging="360"/>
      </w:pPr>
      <w:rPr>
        <w:rFonts w:ascii="Wingdings" w:hAnsi="Wingdings" w:hint="default"/>
      </w:rPr>
    </w:lvl>
    <w:lvl w:ilvl="3" w:tplc="A2FE82BA" w:tentative="1">
      <w:start w:val="1"/>
      <w:numFmt w:val="bullet"/>
      <w:lvlText w:val=""/>
      <w:lvlJc w:val="left"/>
      <w:pPr>
        <w:ind w:left="2880" w:hanging="360"/>
      </w:pPr>
      <w:rPr>
        <w:rFonts w:ascii="Symbol" w:hAnsi="Symbol" w:hint="default"/>
      </w:rPr>
    </w:lvl>
    <w:lvl w:ilvl="4" w:tplc="78721E3E" w:tentative="1">
      <w:start w:val="1"/>
      <w:numFmt w:val="bullet"/>
      <w:lvlText w:val="o"/>
      <w:lvlJc w:val="left"/>
      <w:pPr>
        <w:ind w:left="3600" w:hanging="360"/>
      </w:pPr>
      <w:rPr>
        <w:rFonts w:ascii="Courier New" w:hAnsi="Courier New" w:hint="default"/>
      </w:rPr>
    </w:lvl>
    <w:lvl w:ilvl="5" w:tplc="B8E0DF34" w:tentative="1">
      <w:start w:val="1"/>
      <w:numFmt w:val="bullet"/>
      <w:lvlText w:val=""/>
      <w:lvlJc w:val="left"/>
      <w:pPr>
        <w:ind w:left="4320" w:hanging="360"/>
      </w:pPr>
      <w:rPr>
        <w:rFonts w:ascii="Wingdings" w:hAnsi="Wingdings" w:hint="default"/>
      </w:rPr>
    </w:lvl>
    <w:lvl w:ilvl="6" w:tplc="6F6E6EB6" w:tentative="1">
      <w:start w:val="1"/>
      <w:numFmt w:val="bullet"/>
      <w:lvlText w:val=""/>
      <w:lvlJc w:val="left"/>
      <w:pPr>
        <w:ind w:left="5040" w:hanging="360"/>
      </w:pPr>
      <w:rPr>
        <w:rFonts w:ascii="Symbol" w:hAnsi="Symbol" w:hint="default"/>
      </w:rPr>
    </w:lvl>
    <w:lvl w:ilvl="7" w:tplc="A02AD6A4" w:tentative="1">
      <w:start w:val="1"/>
      <w:numFmt w:val="bullet"/>
      <w:lvlText w:val="o"/>
      <w:lvlJc w:val="left"/>
      <w:pPr>
        <w:ind w:left="5760" w:hanging="360"/>
      </w:pPr>
      <w:rPr>
        <w:rFonts w:ascii="Courier New" w:hAnsi="Courier New" w:hint="default"/>
      </w:rPr>
    </w:lvl>
    <w:lvl w:ilvl="8" w:tplc="E48ED6D2" w:tentative="1">
      <w:start w:val="1"/>
      <w:numFmt w:val="bullet"/>
      <w:lvlText w:val=""/>
      <w:lvlJc w:val="left"/>
      <w:pPr>
        <w:ind w:left="6480" w:hanging="360"/>
      </w:pPr>
      <w:rPr>
        <w:rFonts w:ascii="Wingdings" w:hAnsi="Wingdings" w:hint="default"/>
      </w:rPr>
    </w:lvl>
  </w:abstractNum>
  <w:abstractNum w:abstractNumId="84" w15:restartNumberingAfterBreak="0">
    <w:nsid w:val="6F468190"/>
    <w:multiLevelType w:val="hybridMultilevel"/>
    <w:tmpl w:val="FFFFFFFF"/>
    <w:lvl w:ilvl="0" w:tplc="D108CD00">
      <w:start w:val="1"/>
      <w:numFmt w:val="bullet"/>
      <w:lvlText w:val=""/>
      <w:lvlJc w:val="left"/>
      <w:pPr>
        <w:ind w:left="720" w:hanging="360"/>
      </w:pPr>
      <w:rPr>
        <w:rFonts w:ascii="Symbol" w:hAnsi="Symbol" w:hint="default"/>
      </w:rPr>
    </w:lvl>
    <w:lvl w:ilvl="1" w:tplc="2C78602C">
      <w:start w:val="1"/>
      <w:numFmt w:val="bullet"/>
      <w:lvlText w:val="o"/>
      <w:lvlJc w:val="left"/>
      <w:pPr>
        <w:ind w:left="1440" w:hanging="360"/>
      </w:pPr>
      <w:rPr>
        <w:rFonts w:ascii="Courier New" w:hAnsi="Courier New" w:hint="default"/>
      </w:rPr>
    </w:lvl>
    <w:lvl w:ilvl="2" w:tplc="D8B2BA8C">
      <w:start w:val="1"/>
      <w:numFmt w:val="bullet"/>
      <w:lvlText w:val=""/>
      <w:lvlJc w:val="left"/>
      <w:pPr>
        <w:ind w:left="2160" w:hanging="360"/>
      </w:pPr>
      <w:rPr>
        <w:rFonts w:ascii="Wingdings" w:hAnsi="Wingdings" w:hint="default"/>
      </w:rPr>
    </w:lvl>
    <w:lvl w:ilvl="3" w:tplc="FCDAE8AA">
      <w:start w:val="1"/>
      <w:numFmt w:val="bullet"/>
      <w:lvlText w:val=""/>
      <w:lvlJc w:val="left"/>
      <w:pPr>
        <w:ind w:left="2880" w:hanging="360"/>
      </w:pPr>
      <w:rPr>
        <w:rFonts w:ascii="Symbol" w:hAnsi="Symbol" w:hint="default"/>
      </w:rPr>
    </w:lvl>
    <w:lvl w:ilvl="4" w:tplc="7B3876D0">
      <w:start w:val="1"/>
      <w:numFmt w:val="bullet"/>
      <w:lvlText w:val="o"/>
      <w:lvlJc w:val="left"/>
      <w:pPr>
        <w:ind w:left="3600" w:hanging="360"/>
      </w:pPr>
      <w:rPr>
        <w:rFonts w:ascii="Courier New" w:hAnsi="Courier New" w:hint="default"/>
      </w:rPr>
    </w:lvl>
    <w:lvl w:ilvl="5" w:tplc="75EC646C">
      <w:start w:val="1"/>
      <w:numFmt w:val="bullet"/>
      <w:lvlText w:val=""/>
      <w:lvlJc w:val="left"/>
      <w:pPr>
        <w:ind w:left="4320" w:hanging="360"/>
      </w:pPr>
      <w:rPr>
        <w:rFonts w:ascii="Wingdings" w:hAnsi="Wingdings" w:hint="default"/>
      </w:rPr>
    </w:lvl>
    <w:lvl w:ilvl="6" w:tplc="FF24B740">
      <w:start w:val="1"/>
      <w:numFmt w:val="bullet"/>
      <w:lvlText w:val=""/>
      <w:lvlJc w:val="left"/>
      <w:pPr>
        <w:ind w:left="5040" w:hanging="360"/>
      </w:pPr>
      <w:rPr>
        <w:rFonts w:ascii="Symbol" w:hAnsi="Symbol" w:hint="default"/>
      </w:rPr>
    </w:lvl>
    <w:lvl w:ilvl="7" w:tplc="94C4B11E">
      <w:start w:val="1"/>
      <w:numFmt w:val="bullet"/>
      <w:lvlText w:val="o"/>
      <w:lvlJc w:val="left"/>
      <w:pPr>
        <w:ind w:left="5760" w:hanging="360"/>
      </w:pPr>
      <w:rPr>
        <w:rFonts w:ascii="Courier New" w:hAnsi="Courier New" w:hint="default"/>
      </w:rPr>
    </w:lvl>
    <w:lvl w:ilvl="8" w:tplc="5C50C6F6">
      <w:start w:val="1"/>
      <w:numFmt w:val="bullet"/>
      <w:lvlText w:val=""/>
      <w:lvlJc w:val="left"/>
      <w:pPr>
        <w:ind w:left="6480" w:hanging="360"/>
      </w:pPr>
      <w:rPr>
        <w:rFonts w:ascii="Wingdings" w:hAnsi="Wingdings" w:hint="default"/>
      </w:rPr>
    </w:lvl>
  </w:abstractNum>
  <w:abstractNum w:abstractNumId="85" w15:restartNumberingAfterBreak="0">
    <w:nsid w:val="71E54002"/>
    <w:multiLevelType w:val="multilevel"/>
    <w:tmpl w:val="8E443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3B29F48"/>
    <w:multiLevelType w:val="hybridMultilevel"/>
    <w:tmpl w:val="FFFFFFFF"/>
    <w:lvl w:ilvl="0" w:tplc="0E505226">
      <w:start w:val="1"/>
      <w:numFmt w:val="bullet"/>
      <w:lvlText w:val="-"/>
      <w:lvlJc w:val="left"/>
      <w:pPr>
        <w:ind w:left="720" w:hanging="360"/>
      </w:pPr>
      <w:rPr>
        <w:rFonts w:ascii="Aptos" w:hAnsi="Aptos" w:hint="default"/>
      </w:rPr>
    </w:lvl>
    <w:lvl w:ilvl="1" w:tplc="06DCA388">
      <w:start w:val="1"/>
      <w:numFmt w:val="bullet"/>
      <w:lvlText w:val="o"/>
      <w:lvlJc w:val="left"/>
      <w:pPr>
        <w:ind w:left="1440" w:hanging="360"/>
      </w:pPr>
      <w:rPr>
        <w:rFonts w:ascii="Courier New" w:hAnsi="Courier New" w:hint="default"/>
      </w:rPr>
    </w:lvl>
    <w:lvl w:ilvl="2" w:tplc="0A70A8CE">
      <w:start w:val="1"/>
      <w:numFmt w:val="bullet"/>
      <w:lvlText w:val=""/>
      <w:lvlJc w:val="left"/>
      <w:pPr>
        <w:ind w:left="2160" w:hanging="360"/>
      </w:pPr>
      <w:rPr>
        <w:rFonts w:ascii="Wingdings" w:hAnsi="Wingdings" w:hint="default"/>
      </w:rPr>
    </w:lvl>
    <w:lvl w:ilvl="3" w:tplc="826272E6">
      <w:start w:val="1"/>
      <w:numFmt w:val="bullet"/>
      <w:lvlText w:val=""/>
      <w:lvlJc w:val="left"/>
      <w:pPr>
        <w:ind w:left="2880" w:hanging="360"/>
      </w:pPr>
      <w:rPr>
        <w:rFonts w:ascii="Symbol" w:hAnsi="Symbol" w:hint="default"/>
      </w:rPr>
    </w:lvl>
    <w:lvl w:ilvl="4" w:tplc="864817C0">
      <w:start w:val="1"/>
      <w:numFmt w:val="bullet"/>
      <w:lvlText w:val="o"/>
      <w:lvlJc w:val="left"/>
      <w:pPr>
        <w:ind w:left="3600" w:hanging="360"/>
      </w:pPr>
      <w:rPr>
        <w:rFonts w:ascii="Courier New" w:hAnsi="Courier New" w:hint="default"/>
      </w:rPr>
    </w:lvl>
    <w:lvl w:ilvl="5" w:tplc="8868A796">
      <w:start w:val="1"/>
      <w:numFmt w:val="bullet"/>
      <w:lvlText w:val=""/>
      <w:lvlJc w:val="left"/>
      <w:pPr>
        <w:ind w:left="4320" w:hanging="360"/>
      </w:pPr>
      <w:rPr>
        <w:rFonts w:ascii="Wingdings" w:hAnsi="Wingdings" w:hint="default"/>
      </w:rPr>
    </w:lvl>
    <w:lvl w:ilvl="6" w:tplc="BD26F4D4">
      <w:start w:val="1"/>
      <w:numFmt w:val="bullet"/>
      <w:lvlText w:val=""/>
      <w:lvlJc w:val="left"/>
      <w:pPr>
        <w:ind w:left="5040" w:hanging="360"/>
      </w:pPr>
      <w:rPr>
        <w:rFonts w:ascii="Symbol" w:hAnsi="Symbol" w:hint="default"/>
      </w:rPr>
    </w:lvl>
    <w:lvl w:ilvl="7" w:tplc="2DEC16AA">
      <w:start w:val="1"/>
      <w:numFmt w:val="bullet"/>
      <w:lvlText w:val="o"/>
      <w:lvlJc w:val="left"/>
      <w:pPr>
        <w:ind w:left="5760" w:hanging="360"/>
      </w:pPr>
      <w:rPr>
        <w:rFonts w:ascii="Courier New" w:hAnsi="Courier New" w:hint="default"/>
      </w:rPr>
    </w:lvl>
    <w:lvl w:ilvl="8" w:tplc="F7063642">
      <w:start w:val="1"/>
      <w:numFmt w:val="bullet"/>
      <w:lvlText w:val=""/>
      <w:lvlJc w:val="left"/>
      <w:pPr>
        <w:ind w:left="6480" w:hanging="360"/>
      </w:pPr>
      <w:rPr>
        <w:rFonts w:ascii="Wingdings" w:hAnsi="Wingdings" w:hint="default"/>
      </w:rPr>
    </w:lvl>
  </w:abstractNum>
  <w:abstractNum w:abstractNumId="87" w15:restartNumberingAfterBreak="0">
    <w:nsid w:val="73E57661"/>
    <w:multiLevelType w:val="hybridMultilevel"/>
    <w:tmpl w:val="DBAE4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59656A9"/>
    <w:multiLevelType w:val="multilevel"/>
    <w:tmpl w:val="10841D20"/>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9" w15:restartNumberingAfterBreak="0">
    <w:nsid w:val="79622524"/>
    <w:multiLevelType w:val="hybridMultilevel"/>
    <w:tmpl w:val="FFFFFFFF"/>
    <w:lvl w:ilvl="0" w:tplc="F1E6ADC6">
      <w:start w:val="1"/>
      <w:numFmt w:val="bullet"/>
      <w:lvlText w:val="-"/>
      <w:lvlJc w:val="left"/>
      <w:pPr>
        <w:ind w:left="720" w:hanging="360"/>
      </w:pPr>
      <w:rPr>
        <w:rFonts w:ascii="Aptos" w:hAnsi="Aptos" w:hint="default"/>
      </w:rPr>
    </w:lvl>
    <w:lvl w:ilvl="1" w:tplc="0F020D7C">
      <w:start w:val="1"/>
      <w:numFmt w:val="bullet"/>
      <w:lvlText w:val="o"/>
      <w:lvlJc w:val="left"/>
      <w:pPr>
        <w:ind w:left="1440" w:hanging="360"/>
      </w:pPr>
      <w:rPr>
        <w:rFonts w:ascii="Courier New" w:hAnsi="Courier New" w:hint="default"/>
      </w:rPr>
    </w:lvl>
    <w:lvl w:ilvl="2" w:tplc="9F88BED8">
      <w:start w:val="1"/>
      <w:numFmt w:val="bullet"/>
      <w:lvlText w:val=""/>
      <w:lvlJc w:val="left"/>
      <w:pPr>
        <w:ind w:left="2160" w:hanging="360"/>
      </w:pPr>
      <w:rPr>
        <w:rFonts w:ascii="Wingdings" w:hAnsi="Wingdings" w:hint="default"/>
      </w:rPr>
    </w:lvl>
    <w:lvl w:ilvl="3" w:tplc="0D0A91A2">
      <w:start w:val="1"/>
      <w:numFmt w:val="bullet"/>
      <w:lvlText w:val=""/>
      <w:lvlJc w:val="left"/>
      <w:pPr>
        <w:ind w:left="2880" w:hanging="360"/>
      </w:pPr>
      <w:rPr>
        <w:rFonts w:ascii="Symbol" w:hAnsi="Symbol" w:hint="default"/>
      </w:rPr>
    </w:lvl>
    <w:lvl w:ilvl="4" w:tplc="7A1280CA">
      <w:start w:val="1"/>
      <w:numFmt w:val="bullet"/>
      <w:lvlText w:val="o"/>
      <w:lvlJc w:val="left"/>
      <w:pPr>
        <w:ind w:left="3600" w:hanging="360"/>
      </w:pPr>
      <w:rPr>
        <w:rFonts w:ascii="Courier New" w:hAnsi="Courier New" w:hint="default"/>
      </w:rPr>
    </w:lvl>
    <w:lvl w:ilvl="5" w:tplc="57C2194A">
      <w:start w:val="1"/>
      <w:numFmt w:val="bullet"/>
      <w:lvlText w:val=""/>
      <w:lvlJc w:val="left"/>
      <w:pPr>
        <w:ind w:left="4320" w:hanging="360"/>
      </w:pPr>
      <w:rPr>
        <w:rFonts w:ascii="Wingdings" w:hAnsi="Wingdings" w:hint="default"/>
      </w:rPr>
    </w:lvl>
    <w:lvl w:ilvl="6" w:tplc="95AEAC10">
      <w:start w:val="1"/>
      <w:numFmt w:val="bullet"/>
      <w:lvlText w:val=""/>
      <w:lvlJc w:val="left"/>
      <w:pPr>
        <w:ind w:left="5040" w:hanging="360"/>
      </w:pPr>
      <w:rPr>
        <w:rFonts w:ascii="Symbol" w:hAnsi="Symbol" w:hint="default"/>
      </w:rPr>
    </w:lvl>
    <w:lvl w:ilvl="7" w:tplc="628897BE">
      <w:start w:val="1"/>
      <w:numFmt w:val="bullet"/>
      <w:lvlText w:val="o"/>
      <w:lvlJc w:val="left"/>
      <w:pPr>
        <w:ind w:left="5760" w:hanging="360"/>
      </w:pPr>
      <w:rPr>
        <w:rFonts w:ascii="Courier New" w:hAnsi="Courier New" w:hint="default"/>
      </w:rPr>
    </w:lvl>
    <w:lvl w:ilvl="8" w:tplc="C9EE2CBC">
      <w:start w:val="1"/>
      <w:numFmt w:val="bullet"/>
      <w:lvlText w:val=""/>
      <w:lvlJc w:val="left"/>
      <w:pPr>
        <w:ind w:left="6480" w:hanging="360"/>
      </w:pPr>
      <w:rPr>
        <w:rFonts w:ascii="Wingdings" w:hAnsi="Wingdings" w:hint="default"/>
      </w:rPr>
    </w:lvl>
  </w:abstractNum>
  <w:abstractNum w:abstractNumId="90" w15:restartNumberingAfterBreak="0">
    <w:nsid w:val="7A479058"/>
    <w:multiLevelType w:val="hybridMultilevel"/>
    <w:tmpl w:val="FFFFFFFF"/>
    <w:lvl w:ilvl="0" w:tplc="93B619D4">
      <w:start w:val="1"/>
      <w:numFmt w:val="bullet"/>
      <w:lvlText w:val="-"/>
      <w:lvlJc w:val="left"/>
      <w:pPr>
        <w:ind w:left="720" w:hanging="360"/>
      </w:pPr>
      <w:rPr>
        <w:rFonts w:ascii="Aptos" w:hAnsi="Aptos" w:hint="default"/>
      </w:rPr>
    </w:lvl>
    <w:lvl w:ilvl="1" w:tplc="301E6330">
      <w:start w:val="1"/>
      <w:numFmt w:val="bullet"/>
      <w:lvlText w:val="o"/>
      <w:lvlJc w:val="left"/>
      <w:pPr>
        <w:ind w:left="1440" w:hanging="360"/>
      </w:pPr>
      <w:rPr>
        <w:rFonts w:ascii="Courier New" w:hAnsi="Courier New" w:hint="default"/>
      </w:rPr>
    </w:lvl>
    <w:lvl w:ilvl="2" w:tplc="C1461148">
      <w:start w:val="1"/>
      <w:numFmt w:val="bullet"/>
      <w:lvlText w:val=""/>
      <w:lvlJc w:val="left"/>
      <w:pPr>
        <w:ind w:left="2160" w:hanging="360"/>
      </w:pPr>
      <w:rPr>
        <w:rFonts w:ascii="Wingdings" w:hAnsi="Wingdings" w:hint="default"/>
      </w:rPr>
    </w:lvl>
    <w:lvl w:ilvl="3" w:tplc="55B8E5A8">
      <w:start w:val="1"/>
      <w:numFmt w:val="bullet"/>
      <w:lvlText w:val=""/>
      <w:lvlJc w:val="left"/>
      <w:pPr>
        <w:ind w:left="2880" w:hanging="360"/>
      </w:pPr>
      <w:rPr>
        <w:rFonts w:ascii="Symbol" w:hAnsi="Symbol" w:hint="default"/>
      </w:rPr>
    </w:lvl>
    <w:lvl w:ilvl="4" w:tplc="0E182EA0">
      <w:start w:val="1"/>
      <w:numFmt w:val="bullet"/>
      <w:lvlText w:val="o"/>
      <w:lvlJc w:val="left"/>
      <w:pPr>
        <w:ind w:left="3600" w:hanging="360"/>
      </w:pPr>
      <w:rPr>
        <w:rFonts w:ascii="Courier New" w:hAnsi="Courier New" w:hint="default"/>
      </w:rPr>
    </w:lvl>
    <w:lvl w:ilvl="5" w:tplc="07FA7B1C">
      <w:start w:val="1"/>
      <w:numFmt w:val="bullet"/>
      <w:lvlText w:val=""/>
      <w:lvlJc w:val="left"/>
      <w:pPr>
        <w:ind w:left="4320" w:hanging="360"/>
      </w:pPr>
      <w:rPr>
        <w:rFonts w:ascii="Wingdings" w:hAnsi="Wingdings" w:hint="default"/>
      </w:rPr>
    </w:lvl>
    <w:lvl w:ilvl="6" w:tplc="5E5C5B88">
      <w:start w:val="1"/>
      <w:numFmt w:val="bullet"/>
      <w:lvlText w:val=""/>
      <w:lvlJc w:val="left"/>
      <w:pPr>
        <w:ind w:left="5040" w:hanging="360"/>
      </w:pPr>
      <w:rPr>
        <w:rFonts w:ascii="Symbol" w:hAnsi="Symbol" w:hint="default"/>
      </w:rPr>
    </w:lvl>
    <w:lvl w:ilvl="7" w:tplc="C860912A">
      <w:start w:val="1"/>
      <w:numFmt w:val="bullet"/>
      <w:lvlText w:val="o"/>
      <w:lvlJc w:val="left"/>
      <w:pPr>
        <w:ind w:left="5760" w:hanging="360"/>
      </w:pPr>
      <w:rPr>
        <w:rFonts w:ascii="Courier New" w:hAnsi="Courier New" w:hint="default"/>
      </w:rPr>
    </w:lvl>
    <w:lvl w:ilvl="8" w:tplc="8DD0C8A8">
      <w:start w:val="1"/>
      <w:numFmt w:val="bullet"/>
      <w:lvlText w:val=""/>
      <w:lvlJc w:val="left"/>
      <w:pPr>
        <w:ind w:left="6480" w:hanging="360"/>
      </w:pPr>
      <w:rPr>
        <w:rFonts w:ascii="Wingdings" w:hAnsi="Wingdings" w:hint="default"/>
      </w:rPr>
    </w:lvl>
  </w:abstractNum>
  <w:abstractNum w:abstractNumId="91" w15:restartNumberingAfterBreak="0">
    <w:nsid w:val="7AE02D88"/>
    <w:multiLevelType w:val="hybridMultilevel"/>
    <w:tmpl w:val="02DAD374"/>
    <w:lvl w:ilvl="0" w:tplc="228E136A">
      <w:start w:val="1"/>
      <w:numFmt w:val="lowerRoman"/>
      <w:lvlText w:val="%1."/>
      <w:lvlJc w:val="right"/>
      <w:pPr>
        <w:ind w:left="322" w:hanging="18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74434331">
    <w:abstractNumId w:val="46"/>
  </w:num>
  <w:num w:numId="2" w16cid:durableId="346955354">
    <w:abstractNumId w:val="70"/>
  </w:num>
  <w:num w:numId="3" w16cid:durableId="1467315977">
    <w:abstractNumId w:val="17"/>
  </w:num>
  <w:num w:numId="4" w16cid:durableId="1095202928">
    <w:abstractNumId w:val="44"/>
  </w:num>
  <w:num w:numId="5" w16cid:durableId="1640645862">
    <w:abstractNumId w:val="78"/>
  </w:num>
  <w:num w:numId="6" w16cid:durableId="755711866">
    <w:abstractNumId w:val="77"/>
  </w:num>
  <w:num w:numId="7" w16cid:durableId="546139117">
    <w:abstractNumId w:val="80"/>
  </w:num>
  <w:num w:numId="8" w16cid:durableId="291251783">
    <w:abstractNumId w:val="72"/>
  </w:num>
  <w:num w:numId="9" w16cid:durableId="1006785643">
    <w:abstractNumId w:val="12"/>
  </w:num>
  <w:num w:numId="10" w16cid:durableId="569001789">
    <w:abstractNumId w:val="66"/>
  </w:num>
  <w:num w:numId="11" w16cid:durableId="1894274777">
    <w:abstractNumId w:val="54"/>
  </w:num>
  <w:num w:numId="12" w16cid:durableId="1607228412">
    <w:abstractNumId w:val="28"/>
  </w:num>
  <w:num w:numId="13" w16cid:durableId="2055156401">
    <w:abstractNumId w:val="87"/>
  </w:num>
  <w:num w:numId="14" w16cid:durableId="1214775390">
    <w:abstractNumId w:val="4"/>
  </w:num>
  <w:num w:numId="15" w16cid:durableId="1366172938">
    <w:abstractNumId w:val="41"/>
  </w:num>
  <w:num w:numId="16" w16cid:durableId="1220483417">
    <w:abstractNumId w:val="49"/>
  </w:num>
  <w:num w:numId="17" w16cid:durableId="1654291429">
    <w:abstractNumId w:val="59"/>
  </w:num>
  <w:num w:numId="18" w16cid:durableId="953638061">
    <w:abstractNumId w:val="29"/>
  </w:num>
  <w:num w:numId="19" w16cid:durableId="555749559">
    <w:abstractNumId w:val="61"/>
  </w:num>
  <w:num w:numId="20" w16cid:durableId="605576329">
    <w:abstractNumId w:val="42"/>
  </w:num>
  <w:num w:numId="21" w16cid:durableId="69082925">
    <w:abstractNumId w:val="83"/>
  </w:num>
  <w:num w:numId="22" w16cid:durableId="893661387">
    <w:abstractNumId w:val="75"/>
  </w:num>
  <w:num w:numId="23" w16cid:durableId="1077557110">
    <w:abstractNumId w:val="82"/>
  </w:num>
  <w:num w:numId="24" w16cid:durableId="1733119016">
    <w:abstractNumId w:val="57"/>
  </w:num>
  <w:num w:numId="25" w16cid:durableId="158544423">
    <w:abstractNumId w:val="30"/>
  </w:num>
  <w:num w:numId="26" w16cid:durableId="407655382">
    <w:abstractNumId w:val="52"/>
  </w:num>
  <w:num w:numId="27" w16cid:durableId="911962431">
    <w:abstractNumId w:val="19"/>
  </w:num>
  <w:num w:numId="28" w16cid:durableId="715546214">
    <w:abstractNumId w:val="47"/>
  </w:num>
  <w:num w:numId="29" w16cid:durableId="831721012">
    <w:abstractNumId w:val="55"/>
  </w:num>
  <w:num w:numId="30" w16cid:durableId="1069960281">
    <w:abstractNumId w:val="60"/>
  </w:num>
  <w:num w:numId="31" w16cid:durableId="1008213242">
    <w:abstractNumId w:val="20"/>
  </w:num>
  <w:num w:numId="32" w16cid:durableId="1256674895">
    <w:abstractNumId w:val="23"/>
  </w:num>
  <w:num w:numId="33" w16cid:durableId="612127250">
    <w:abstractNumId w:val="73"/>
  </w:num>
  <w:num w:numId="34" w16cid:durableId="1071194748">
    <w:abstractNumId w:val="65"/>
  </w:num>
  <w:num w:numId="35" w16cid:durableId="346711287">
    <w:abstractNumId w:val="24"/>
  </w:num>
  <w:num w:numId="36" w16cid:durableId="1480732622">
    <w:abstractNumId w:val="21"/>
  </w:num>
  <w:num w:numId="37" w16cid:durableId="1907177585">
    <w:abstractNumId w:val="81"/>
  </w:num>
  <w:num w:numId="38" w16cid:durableId="617880453">
    <w:abstractNumId w:val="38"/>
  </w:num>
  <w:num w:numId="39" w16cid:durableId="1152135065">
    <w:abstractNumId w:val="69"/>
  </w:num>
  <w:num w:numId="40" w16cid:durableId="1536847258">
    <w:abstractNumId w:val="48"/>
  </w:num>
  <w:num w:numId="41" w16cid:durableId="1715614124">
    <w:abstractNumId w:val="22"/>
  </w:num>
  <w:num w:numId="42" w16cid:durableId="1077021043">
    <w:abstractNumId w:val="31"/>
  </w:num>
  <w:num w:numId="43" w16cid:durableId="1932081998">
    <w:abstractNumId w:val="25"/>
  </w:num>
  <w:num w:numId="44" w16cid:durableId="36515952">
    <w:abstractNumId w:val="67"/>
  </w:num>
  <w:num w:numId="45" w16cid:durableId="658388240">
    <w:abstractNumId w:val="84"/>
  </w:num>
  <w:num w:numId="46" w16cid:durableId="1786466430">
    <w:abstractNumId w:val="40"/>
  </w:num>
  <w:num w:numId="47" w16cid:durableId="2052145922">
    <w:abstractNumId w:val="43"/>
  </w:num>
  <w:num w:numId="48" w16cid:durableId="19162481">
    <w:abstractNumId w:val="53"/>
  </w:num>
  <w:num w:numId="49" w16cid:durableId="1894660078">
    <w:abstractNumId w:val="39"/>
  </w:num>
  <w:num w:numId="50" w16cid:durableId="2069302614">
    <w:abstractNumId w:val="56"/>
  </w:num>
  <w:num w:numId="51" w16cid:durableId="2031226068">
    <w:abstractNumId w:val="45"/>
  </w:num>
  <w:num w:numId="52" w16cid:durableId="296692484">
    <w:abstractNumId w:val="2"/>
  </w:num>
  <w:num w:numId="53" w16cid:durableId="1372336866">
    <w:abstractNumId w:val="64"/>
  </w:num>
  <w:num w:numId="54" w16cid:durableId="1559586155">
    <w:abstractNumId w:val="74"/>
  </w:num>
  <w:num w:numId="55" w16cid:durableId="585385421">
    <w:abstractNumId w:val="37"/>
  </w:num>
  <w:num w:numId="56" w16cid:durableId="354696607">
    <w:abstractNumId w:val="6"/>
  </w:num>
  <w:num w:numId="57" w16cid:durableId="526019388">
    <w:abstractNumId w:val="71"/>
  </w:num>
  <w:num w:numId="58" w16cid:durableId="522742249">
    <w:abstractNumId w:val="86"/>
  </w:num>
  <w:num w:numId="59" w16cid:durableId="249892433">
    <w:abstractNumId w:val="58"/>
  </w:num>
  <w:num w:numId="60" w16cid:durableId="966660369">
    <w:abstractNumId w:val="36"/>
  </w:num>
  <w:num w:numId="61" w16cid:durableId="1015691648">
    <w:abstractNumId w:val="89"/>
  </w:num>
  <w:num w:numId="62" w16cid:durableId="1862166343">
    <w:abstractNumId w:val="68"/>
  </w:num>
  <w:num w:numId="63" w16cid:durableId="1335455863">
    <w:abstractNumId w:val="90"/>
  </w:num>
  <w:num w:numId="64" w16cid:durableId="336033421">
    <w:abstractNumId w:val="5"/>
  </w:num>
  <w:num w:numId="65" w16cid:durableId="1706323620">
    <w:abstractNumId w:val="11"/>
  </w:num>
  <w:num w:numId="66" w16cid:durableId="12011706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68701763">
    <w:abstractNumId w:val="1"/>
  </w:num>
  <w:num w:numId="68" w16cid:durableId="1670406951">
    <w:abstractNumId w:val="8"/>
  </w:num>
  <w:num w:numId="69" w16cid:durableId="741098729">
    <w:abstractNumId w:val="79"/>
  </w:num>
  <w:num w:numId="70" w16cid:durableId="75176299">
    <w:abstractNumId w:val="85"/>
  </w:num>
  <w:num w:numId="71" w16cid:durableId="1364744207">
    <w:abstractNumId w:val="18"/>
  </w:num>
  <w:num w:numId="72" w16cid:durableId="651838929">
    <w:abstractNumId w:val="34"/>
  </w:num>
  <w:num w:numId="73" w16cid:durableId="2083797162">
    <w:abstractNumId w:val="63"/>
  </w:num>
  <w:num w:numId="74" w16cid:durableId="865826635">
    <w:abstractNumId w:val="35"/>
  </w:num>
  <w:num w:numId="75" w16cid:durableId="733505921">
    <w:abstractNumId w:val="50"/>
  </w:num>
  <w:num w:numId="76" w16cid:durableId="1444420587">
    <w:abstractNumId w:val="51"/>
  </w:num>
  <w:num w:numId="77" w16cid:durableId="911887334">
    <w:abstractNumId w:val="3"/>
  </w:num>
  <w:num w:numId="78" w16cid:durableId="1032069676">
    <w:abstractNumId w:val="0"/>
  </w:num>
  <w:num w:numId="79" w16cid:durableId="631129547">
    <w:abstractNumId w:val="32"/>
  </w:num>
  <w:num w:numId="80" w16cid:durableId="1940867288">
    <w:abstractNumId w:val="62"/>
  </w:num>
  <w:num w:numId="81" w16cid:durableId="1360739104">
    <w:abstractNumId w:val="91"/>
  </w:num>
  <w:num w:numId="82" w16cid:durableId="1151481020">
    <w:abstractNumId w:val="26"/>
  </w:num>
  <w:num w:numId="83" w16cid:durableId="513569176">
    <w:abstractNumId w:val="14"/>
  </w:num>
  <w:num w:numId="84" w16cid:durableId="495849001">
    <w:abstractNumId w:val="88"/>
  </w:num>
  <w:num w:numId="85" w16cid:durableId="231241187">
    <w:abstractNumId w:val="27"/>
  </w:num>
  <w:num w:numId="86" w16cid:durableId="843084957">
    <w:abstractNumId w:val="16"/>
  </w:num>
  <w:num w:numId="87" w16cid:durableId="2052530350">
    <w:abstractNumId w:val="10"/>
  </w:num>
  <w:num w:numId="88" w16cid:durableId="1241141379">
    <w:abstractNumId w:val="9"/>
  </w:num>
  <w:num w:numId="89" w16cid:durableId="1832792186">
    <w:abstractNumId w:val="13"/>
  </w:num>
  <w:num w:numId="90" w16cid:durableId="636036703">
    <w:abstractNumId w:val="15"/>
  </w:num>
  <w:num w:numId="91" w16cid:durableId="749545824">
    <w:abstractNumId w:val="7"/>
  </w:num>
  <w:num w:numId="92" w16cid:durableId="1889105347">
    <w:abstractNumId w:val="33"/>
  </w:num>
  <w:num w:numId="93" w16cid:durableId="2002807385">
    <w:abstractNumId w:val="7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hideGrammaticalErrors/>
  <w:proofState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55CF10F1-AEFA-430A-A3AA-6E738A86EA85"/>
    <w:docVar w:name="LW_COVERPAGE_TYPE" w:val="1"/>
    <w:docVar w:name="LW_CROSSREFERENCE" w:val="{COM(2026) 580 final} - {SEC(2026) 580 final} - {SWD(2026) 581 final} - {SWD(2026) 582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the European Union Agency for Law Enforcement Cooperation (Europol), amending Regulation (EU) 2018/1726 and Regulation (EU) 2024/982, and repealing Regulation (EU) 2016/794"/>
    <w:docVar w:name="LW_PART_NBR" w:val="1"/>
    <w:docVar w:name="LW_PART_NBR_TOTAL" w:val="1"/>
    <w:docVar w:name="LW_REF.INST.NEW" w:val="SWD"/>
    <w:docVar w:name="LW_REF.INST.NEW_ADOPTED" w:val="final"/>
    <w:docVar w:name="LW_REF.INST.NEW_TEXT" w:val="(2026) 5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_x000b__x000b_REGULATION OF THE EUROPEAN PARLIAMENT AND OF THE COUNCIL"/>
    <w:docVar w:name="LwApiVersions" w:val="LW4CoDe 1.24.5.0; LW 9.2, Build 20251112"/>
  </w:docVars>
  <w:rsids>
    <w:rsidRoot w:val="006B087E"/>
    <w:rsid w:val="00000135"/>
    <w:rsid w:val="000001B0"/>
    <w:rsid w:val="000001B2"/>
    <w:rsid w:val="000001E3"/>
    <w:rsid w:val="00000206"/>
    <w:rsid w:val="00000243"/>
    <w:rsid w:val="000002F0"/>
    <w:rsid w:val="00000302"/>
    <w:rsid w:val="00000388"/>
    <w:rsid w:val="000003BD"/>
    <w:rsid w:val="0000042C"/>
    <w:rsid w:val="00000502"/>
    <w:rsid w:val="000005BA"/>
    <w:rsid w:val="000005EF"/>
    <w:rsid w:val="0000063F"/>
    <w:rsid w:val="00000650"/>
    <w:rsid w:val="00000655"/>
    <w:rsid w:val="000006A4"/>
    <w:rsid w:val="00000760"/>
    <w:rsid w:val="00000847"/>
    <w:rsid w:val="00000924"/>
    <w:rsid w:val="00000A25"/>
    <w:rsid w:val="00000BA2"/>
    <w:rsid w:val="00000CC2"/>
    <w:rsid w:val="00000D32"/>
    <w:rsid w:val="00000D57"/>
    <w:rsid w:val="00000DF7"/>
    <w:rsid w:val="00000E36"/>
    <w:rsid w:val="00000E3F"/>
    <w:rsid w:val="00000F7B"/>
    <w:rsid w:val="00000FC8"/>
    <w:rsid w:val="00000FDB"/>
    <w:rsid w:val="00000FEA"/>
    <w:rsid w:val="00001044"/>
    <w:rsid w:val="0000104E"/>
    <w:rsid w:val="00001111"/>
    <w:rsid w:val="00001184"/>
    <w:rsid w:val="000011CC"/>
    <w:rsid w:val="000011F2"/>
    <w:rsid w:val="00001203"/>
    <w:rsid w:val="00001207"/>
    <w:rsid w:val="0000122F"/>
    <w:rsid w:val="00001289"/>
    <w:rsid w:val="000012C8"/>
    <w:rsid w:val="00001301"/>
    <w:rsid w:val="00001330"/>
    <w:rsid w:val="000013A8"/>
    <w:rsid w:val="000013B1"/>
    <w:rsid w:val="000013B4"/>
    <w:rsid w:val="0000144F"/>
    <w:rsid w:val="00001483"/>
    <w:rsid w:val="00001505"/>
    <w:rsid w:val="0000153F"/>
    <w:rsid w:val="00001631"/>
    <w:rsid w:val="0000170A"/>
    <w:rsid w:val="00001746"/>
    <w:rsid w:val="00001772"/>
    <w:rsid w:val="000018A9"/>
    <w:rsid w:val="00001949"/>
    <w:rsid w:val="00001A6E"/>
    <w:rsid w:val="00001ACD"/>
    <w:rsid w:val="00001C4B"/>
    <w:rsid w:val="00001E12"/>
    <w:rsid w:val="00001E1C"/>
    <w:rsid w:val="00001E3D"/>
    <w:rsid w:val="00001E96"/>
    <w:rsid w:val="00001EF8"/>
    <w:rsid w:val="00001F12"/>
    <w:rsid w:val="00001FC4"/>
    <w:rsid w:val="0000201C"/>
    <w:rsid w:val="0000201D"/>
    <w:rsid w:val="00002114"/>
    <w:rsid w:val="00002143"/>
    <w:rsid w:val="000021CE"/>
    <w:rsid w:val="00002251"/>
    <w:rsid w:val="00002268"/>
    <w:rsid w:val="000022AE"/>
    <w:rsid w:val="000022EF"/>
    <w:rsid w:val="000022F6"/>
    <w:rsid w:val="000023A2"/>
    <w:rsid w:val="000023CD"/>
    <w:rsid w:val="000024E4"/>
    <w:rsid w:val="000025A7"/>
    <w:rsid w:val="00002667"/>
    <w:rsid w:val="0000267D"/>
    <w:rsid w:val="0000279E"/>
    <w:rsid w:val="000027C0"/>
    <w:rsid w:val="00002841"/>
    <w:rsid w:val="000028D4"/>
    <w:rsid w:val="000029E6"/>
    <w:rsid w:val="00002A41"/>
    <w:rsid w:val="00002ACB"/>
    <w:rsid w:val="00002B45"/>
    <w:rsid w:val="00002BF8"/>
    <w:rsid w:val="00002C43"/>
    <w:rsid w:val="00002C68"/>
    <w:rsid w:val="00002CF8"/>
    <w:rsid w:val="00002DA3"/>
    <w:rsid w:val="00002DAE"/>
    <w:rsid w:val="00002DB4"/>
    <w:rsid w:val="00002DBF"/>
    <w:rsid w:val="00002E79"/>
    <w:rsid w:val="00002F70"/>
    <w:rsid w:val="00002FF7"/>
    <w:rsid w:val="0000307D"/>
    <w:rsid w:val="000030BF"/>
    <w:rsid w:val="0000317B"/>
    <w:rsid w:val="000031B0"/>
    <w:rsid w:val="000031BC"/>
    <w:rsid w:val="000031C9"/>
    <w:rsid w:val="000031E9"/>
    <w:rsid w:val="00003277"/>
    <w:rsid w:val="0000342E"/>
    <w:rsid w:val="0000348F"/>
    <w:rsid w:val="000034F0"/>
    <w:rsid w:val="00003575"/>
    <w:rsid w:val="000035E9"/>
    <w:rsid w:val="000035F3"/>
    <w:rsid w:val="00003602"/>
    <w:rsid w:val="000036B5"/>
    <w:rsid w:val="000036DB"/>
    <w:rsid w:val="000036FB"/>
    <w:rsid w:val="000036FF"/>
    <w:rsid w:val="00003733"/>
    <w:rsid w:val="0000379D"/>
    <w:rsid w:val="000037E0"/>
    <w:rsid w:val="00003876"/>
    <w:rsid w:val="00003888"/>
    <w:rsid w:val="00003894"/>
    <w:rsid w:val="000038C8"/>
    <w:rsid w:val="000038F3"/>
    <w:rsid w:val="00003A5C"/>
    <w:rsid w:val="00003A6E"/>
    <w:rsid w:val="00003A78"/>
    <w:rsid w:val="00003A92"/>
    <w:rsid w:val="00003AF5"/>
    <w:rsid w:val="00003B1A"/>
    <w:rsid w:val="00003B9C"/>
    <w:rsid w:val="00003BE2"/>
    <w:rsid w:val="00003C06"/>
    <w:rsid w:val="00003C1D"/>
    <w:rsid w:val="00003C46"/>
    <w:rsid w:val="00003C51"/>
    <w:rsid w:val="00003CB5"/>
    <w:rsid w:val="00003CC5"/>
    <w:rsid w:val="00003CD8"/>
    <w:rsid w:val="00003E47"/>
    <w:rsid w:val="00003E69"/>
    <w:rsid w:val="00003E77"/>
    <w:rsid w:val="00003E92"/>
    <w:rsid w:val="00003EE0"/>
    <w:rsid w:val="00003F3E"/>
    <w:rsid w:val="00003F81"/>
    <w:rsid w:val="00003FE0"/>
    <w:rsid w:val="0000404A"/>
    <w:rsid w:val="0000404E"/>
    <w:rsid w:val="00004051"/>
    <w:rsid w:val="00004055"/>
    <w:rsid w:val="00004061"/>
    <w:rsid w:val="000040F0"/>
    <w:rsid w:val="00004118"/>
    <w:rsid w:val="0000417C"/>
    <w:rsid w:val="0000418C"/>
    <w:rsid w:val="000041D8"/>
    <w:rsid w:val="0000423D"/>
    <w:rsid w:val="00004253"/>
    <w:rsid w:val="00004302"/>
    <w:rsid w:val="000043FA"/>
    <w:rsid w:val="0000440B"/>
    <w:rsid w:val="0000445C"/>
    <w:rsid w:val="000044A6"/>
    <w:rsid w:val="000044AD"/>
    <w:rsid w:val="00004581"/>
    <w:rsid w:val="000045D1"/>
    <w:rsid w:val="000045E3"/>
    <w:rsid w:val="000046A7"/>
    <w:rsid w:val="00004728"/>
    <w:rsid w:val="00004770"/>
    <w:rsid w:val="0000489C"/>
    <w:rsid w:val="000048C7"/>
    <w:rsid w:val="000048CF"/>
    <w:rsid w:val="0000498F"/>
    <w:rsid w:val="00004A2D"/>
    <w:rsid w:val="00004A40"/>
    <w:rsid w:val="00004A54"/>
    <w:rsid w:val="00004A6D"/>
    <w:rsid w:val="00004AA8"/>
    <w:rsid w:val="00004AB4"/>
    <w:rsid w:val="00004AE2"/>
    <w:rsid w:val="00004B11"/>
    <w:rsid w:val="00004B25"/>
    <w:rsid w:val="00004BF4"/>
    <w:rsid w:val="00004C54"/>
    <w:rsid w:val="00004CC1"/>
    <w:rsid w:val="00004CFF"/>
    <w:rsid w:val="00004D5C"/>
    <w:rsid w:val="00004E14"/>
    <w:rsid w:val="00004E2C"/>
    <w:rsid w:val="00004E3E"/>
    <w:rsid w:val="00004F2B"/>
    <w:rsid w:val="00004F3C"/>
    <w:rsid w:val="00004F54"/>
    <w:rsid w:val="00004F80"/>
    <w:rsid w:val="00005092"/>
    <w:rsid w:val="000050EE"/>
    <w:rsid w:val="00005283"/>
    <w:rsid w:val="000052D7"/>
    <w:rsid w:val="000052E5"/>
    <w:rsid w:val="000052F9"/>
    <w:rsid w:val="0000536A"/>
    <w:rsid w:val="00005387"/>
    <w:rsid w:val="00005405"/>
    <w:rsid w:val="0000547F"/>
    <w:rsid w:val="000054C4"/>
    <w:rsid w:val="00005517"/>
    <w:rsid w:val="00005664"/>
    <w:rsid w:val="0000571C"/>
    <w:rsid w:val="00005756"/>
    <w:rsid w:val="000057B0"/>
    <w:rsid w:val="000058E0"/>
    <w:rsid w:val="0000590B"/>
    <w:rsid w:val="00005916"/>
    <w:rsid w:val="0000591A"/>
    <w:rsid w:val="0000594B"/>
    <w:rsid w:val="000059D0"/>
    <w:rsid w:val="00005A0F"/>
    <w:rsid w:val="00005A1A"/>
    <w:rsid w:val="00005A72"/>
    <w:rsid w:val="00005B60"/>
    <w:rsid w:val="00005BB1"/>
    <w:rsid w:val="00005CE0"/>
    <w:rsid w:val="00005CE7"/>
    <w:rsid w:val="00005D1E"/>
    <w:rsid w:val="00005DC1"/>
    <w:rsid w:val="00005DEA"/>
    <w:rsid w:val="00005DF3"/>
    <w:rsid w:val="00005E18"/>
    <w:rsid w:val="00005E3E"/>
    <w:rsid w:val="00005ED1"/>
    <w:rsid w:val="00005F7E"/>
    <w:rsid w:val="00005FB3"/>
    <w:rsid w:val="00006009"/>
    <w:rsid w:val="00006089"/>
    <w:rsid w:val="00006228"/>
    <w:rsid w:val="00006262"/>
    <w:rsid w:val="000062E3"/>
    <w:rsid w:val="0000640A"/>
    <w:rsid w:val="00006410"/>
    <w:rsid w:val="00006550"/>
    <w:rsid w:val="00006577"/>
    <w:rsid w:val="000065FE"/>
    <w:rsid w:val="0000664B"/>
    <w:rsid w:val="00006660"/>
    <w:rsid w:val="00006663"/>
    <w:rsid w:val="000066A8"/>
    <w:rsid w:val="00006833"/>
    <w:rsid w:val="000068BA"/>
    <w:rsid w:val="000069CD"/>
    <w:rsid w:val="00006A16"/>
    <w:rsid w:val="00006AE4"/>
    <w:rsid w:val="00006B1B"/>
    <w:rsid w:val="00006C0B"/>
    <w:rsid w:val="00006C85"/>
    <w:rsid w:val="00006CD1"/>
    <w:rsid w:val="00006D10"/>
    <w:rsid w:val="00006F49"/>
    <w:rsid w:val="00006F9D"/>
    <w:rsid w:val="00006FB1"/>
    <w:rsid w:val="00007012"/>
    <w:rsid w:val="00007033"/>
    <w:rsid w:val="000071E3"/>
    <w:rsid w:val="00007206"/>
    <w:rsid w:val="00007217"/>
    <w:rsid w:val="00007268"/>
    <w:rsid w:val="00007345"/>
    <w:rsid w:val="00007377"/>
    <w:rsid w:val="000073CA"/>
    <w:rsid w:val="00007434"/>
    <w:rsid w:val="000074D1"/>
    <w:rsid w:val="000074E4"/>
    <w:rsid w:val="000074F4"/>
    <w:rsid w:val="00007535"/>
    <w:rsid w:val="0000753D"/>
    <w:rsid w:val="0000754D"/>
    <w:rsid w:val="0000766F"/>
    <w:rsid w:val="0000768D"/>
    <w:rsid w:val="00007695"/>
    <w:rsid w:val="000076F2"/>
    <w:rsid w:val="000077E8"/>
    <w:rsid w:val="000078BE"/>
    <w:rsid w:val="000078CC"/>
    <w:rsid w:val="00007A18"/>
    <w:rsid w:val="00007A48"/>
    <w:rsid w:val="00007A4C"/>
    <w:rsid w:val="00007A81"/>
    <w:rsid w:val="00007B0E"/>
    <w:rsid w:val="00007B2A"/>
    <w:rsid w:val="00007B82"/>
    <w:rsid w:val="00007B8E"/>
    <w:rsid w:val="00007D5D"/>
    <w:rsid w:val="00007D6C"/>
    <w:rsid w:val="00007DB9"/>
    <w:rsid w:val="00007E1A"/>
    <w:rsid w:val="00007E69"/>
    <w:rsid w:val="00007EF5"/>
    <w:rsid w:val="00007FAB"/>
    <w:rsid w:val="00010010"/>
    <w:rsid w:val="00010013"/>
    <w:rsid w:val="0001004D"/>
    <w:rsid w:val="00010103"/>
    <w:rsid w:val="000102DE"/>
    <w:rsid w:val="00010383"/>
    <w:rsid w:val="00010483"/>
    <w:rsid w:val="00010488"/>
    <w:rsid w:val="0001048A"/>
    <w:rsid w:val="000104BA"/>
    <w:rsid w:val="0001050B"/>
    <w:rsid w:val="00010611"/>
    <w:rsid w:val="0001063E"/>
    <w:rsid w:val="00010718"/>
    <w:rsid w:val="00010730"/>
    <w:rsid w:val="00010734"/>
    <w:rsid w:val="0001078B"/>
    <w:rsid w:val="0001085D"/>
    <w:rsid w:val="0001089F"/>
    <w:rsid w:val="0001098D"/>
    <w:rsid w:val="00010A25"/>
    <w:rsid w:val="00010A4D"/>
    <w:rsid w:val="00010A8C"/>
    <w:rsid w:val="00010A93"/>
    <w:rsid w:val="00010AA0"/>
    <w:rsid w:val="00010B47"/>
    <w:rsid w:val="00010B66"/>
    <w:rsid w:val="00010B6F"/>
    <w:rsid w:val="00010B75"/>
    <w:rsid w:val="00010B90"/>
    <w:rsid w:val="00010C09"/>
    <w:rsid w:val="00010C36"/>
    <w:rsid w:val="00010D24"/>
    <w:rsid w:val="00010D6E"/>
    <w:rsid w:val="00010D7D"/>
    <w:rsid w:val="00010E05"/>
    <w:rsid w:val="00010E31"/>
    <w:rsid w:val="00010E7C"/>
    <w:rsid w:val="00010EDE"/>
    <w:rsid w:val="00010F58"/>
    <w:rsid w:val="00010FE4"/>
    <w:rsid w:val="0001101E"/>
    <w:rsid w:val="00011029"/>
    <w:rsid w:val="00011077"/>
    <w:rsid w:val="00011085"/>
    <w:rsid w:val="00011134"/>
    <w:rsid w:val="000112EA"/>
    <w:rsid w:val="00011315"/>
    <w:rsid w:val="000113B3"/>
    <w:rsid w:val="00011404"/>
    <w:rsid w:val="00011489"/>
    <w:rsid w:val="0001151B"/>
    <w:rsid w:val="0001152E"/>
    <w:rsid w:val="00011617"/>
    <w:rsid w:val="00011705"/>
    <w:rsid w:val="00011718"/>
    <w:rsid w:val="0001172C"/>
    <w:rsid w:val="00011759"/>
    <w:rsid w:val="00011768"/>
    <w:rsid w:val="000117C6"/>
    <w:rsid w:val="000117ED"/>
    <w:rsid w:val="0001183E"/>
    <w:rsid w:val="00011856"/>
    <w:rsid w:val="000118D5"/>
    <w:rsid w:val="000118D6"/>
    <w:rsid w:val="0001192F"/>
    <w:rsid w:val="0001198C"/>
    <w:rsid w:val="0001199E"/>
    <w:rsid w:val="000119B3"/>
    <w:rsid w:val="00011A29"/>
    <w:rsid w:val="00011A3E"/>
    <w:rsid w:val="00011A67"/>
    <w:rsid w:val="00011A75"/>
    <w:rsid w:val="00011B2E"/>
    <w:rsid w:val="00011C4B"/>
    <w:rsid w:val="00011C9C"/>
    <w:rsid w:val="00011CE9"/>
    <w:rsid w:val="00011CF3"/>
    <w:rsid w:val="00011E42"/>
    <w:rsid w:val="00011E84"/>
    <w:rsid w:val="00011EFA"/>
    <w:rsid w:val="00011F1A"/>
    <w:rsid w:val="0001202A"/>
    <w:rsid w:val="0001205D"/>
    <w:rsid w:val="00012157"/>
    <w:rsid w:val="00012268"/>
    <w:rsid w:val="000122CE"/>
    <w:rsid w:val="00012305"/>
    <w:rsid w:val="00012344"/>
    <w:rsid w:val="000123C4"/>
    <w:rsid w:val="000123DD"/>
    <w:rsid w:val="000123E4"/>
    <w:rsid w:val="000123FA"/>
    <w:rsid w:val="00012518"/>
    <w:rsid w:val="00012535"/>
    <w:rsid w:val="00012558"/>
    <w:rsid w:val="0001265F"/>
    <w:rsid w:val="0001266E"/>
    <w:rsid w:val="0001267D"/>
    <w:rsid w:val="0001273A"/>
    <w:rsid w:val="00012771"/>
    <w:rsid w:val="000128E2"/>
    <w:rsid w:val="0001299E"/>
    <w:rsid w:val="000129AA"/>
    <w:rsid w:val="00012A67"/>
    <w:rsid w:val="00012AA6"/>
    <w:rsid w:val="00012C18"/>
    <w:rsid w:val="00012C7B"/>
    <w:rsid w:val="00012C93"/>
    <w:rsid w:val="00012D30"/>
    <w:rsid w:val="00012D73"/>
    <w:rsid w:val="00012D7B"/>
    <w:rsid w:val="00012DB0"/>
    <w:rsid w:val="00012E82"/>
    <w:rsid w:val="00012F3D"/>
    <w:rsid w:val="00012F47"/>
    <w:rsid w:val="00012FB6"/>
    <w:rsid w:val="0001303A"/>
    <w:rsid w:val="00013040"/>
    <w:rsid w:val="00013072"/>
    <w:rsid w:val="0001317A"/>
    <w:rsid w:val="00013188"/>
    <w:rsid w:val="00013193"/>
    <w:rsid w:val="000131F6"/>
    <w:rsid w:val="0001323C"/>
    <w:rsid w:val="00013302"/>
    <w:rsid w:val="000133D4"/>
    <w:rsid w:val="000134A1"/>
    <w:rsid w:val="000134D0"/>
    <w:rsid w:val="00013509"/>
    <w:rsid w:val="000135CE"/>
    <w:rsid w:val="00013665"/>
    <w:rsid w:val="00013694"/>
    <w:rsid w:val="000136FD"/>
    <w:rsid w:val="00013737"/>
    <w:rsid w:val="0001374F"/>
    <w:rsid w:val="000137A1"/>
    <w:rsid w:val="000137CC"/>
    <w:rsid w:val="00013839"/>
    <w:rsid w:val="0001387A"/>
    <w:rsid w:val="00013906"/>
    <w:rsid w:val="0001394C"/>
    <w:rsid w:val="00013996"/>
    <w:rsid w:val="000139C1"/>
    <w:rsid w:val="00013A00"/>
    <w:rsid w:val="00013A5D"/>
    <w:rsid w:val="00013BA6"/>
    <w:rsid w:val="00013C8B"/>
    <w:rsid w:val="00013D3F"/>
    <w:rsid w:val="00013DBB"/>
    <w:rsid w:val="00013DF6"/>
    <w:rsid w:val="00013E1A"/>
    <w:rsid w:val="00013F2C"/>
    <w:rsid w:val="00013F6A"/>
    <w:rsid w:val="00013FB1"/>
    <w:rsid w:val="00013FBD"/>
    <w:rsid w:val="00013FD0"/>
    <w:rsid w:val="00013FED"/>
    <w:rsid w:val="00014015"/>
    <w:rsid w:val="000140BD"/>
    <w:rsid w:val="000140F9"/>
    <w:rsid w:val="000141C4"/>
    <w:rsid w:val="00014279"/>
    <w:rsid w:val="0001428C"/>
    <w:rsid w:val="000142D5"/>
    <w:rsid w:val="00014396"/>
    <w:rsid w:val="0001439D"/>
    <w:rsid w:val="0001439E"/>
    <w:rsid w:val="00014483"/>
    <w:rsid w:val="00014493"/>
    <w:rsid w:val="000144F5"/>
    <w:rsid w:val="00014513"/>
    <w:rsid w:val="00014573"/>
    <w:rsid w:val="00014617"/>
    <w:rsid w:val="0001461C"/>
    <w:rsid w:val="000146CD"/>
    <w:rsid w:val="000146ED"/>
    <w:rsid w:val="0001479C"/>
    <w:rsid w:val="00014894"/>
    <w:rsid w:val="000148E0"/>
    <w:rsid w:val="00014938"/>
    <w:rsid w:val="000149DA"/>
    <w:rsid w:val="000149EA"/>
    <w:rsid w:val="00014A5F"/>
    <w:rsid w:val="00014ACC"/>
    <w:rsid w:val="00014CC2"/>
    <w:rsid w:val="00014CF1"/>
    <w:rsid w:val="00014D29"/>
    <w:rsid w:val="00014E1A"/>
    <w:rsid w:val="00014E2E"/>
    <w:rsid w:val="00014E8C"/>
    <w:rsid w:val="00014FBA"/>
    <w:rsid w:val="00014FE3"/>
    <w:rsid w:val="00015003"/>
    <w:rsid w:val="0001500A"/>
    <w:rsid w:val="0001503B"/>
    <w:rsid w:val="00015064"/>
    <w:rsid w:val="00015085"/>
    <w:rsid w:val="000150F6"/>
    <w:rsid w:val="00015175"/>
    <w:rsid w:val="000151E2"/>
    <w:rsid w:val="000151FF"/>
    <w:rsid w:val="0001535F"/>
    <w:rsid w:val="00015372"/>
    <w:rsid w:val="00015460"/>
    <w:rsid w:val="0001552A"/>
    <w:rsid w:val="00015560"/>
    <w:rsid w:val="000155E3"/>
    <w:rsid w:val="0001561E"/>
    <w:rsid w:val="000156DD"/>
    <w:rsid w:val="00015722"/>
    <w:rsid w:val="00015785"/>
    <w:rsid w:val="00015851"/>
    <w:rsid w:val="00015A36"/>
    <w:rsid w:val="00015AAE"/>
    <w:rsid w:val="00015AD6"/>
    <w:rsid w:val="00015B64"/>
    <w:rsid w:val="00015B89"/>
    <w:rsid w:val="00015BC5"/>
    <w:rsid w:val="00015BCA"/>
    <w:rsid w:val="00015BFC"/>
    <w:rsid w:val="00015C00"/>
    <w:rsid w:val="00015C74"/>
    <w:rsid w:val="00015CA0"/>
    <w:rsid w:val="00015CE3"/>
    <w:rsid w:val="00015DDB"/>
    <w:rsid w:val="00015EC1"/>
    <w:rsid w:val="00015ED4"/>
    <w:rsid w:val="00015F06"/>
    <w:rsid w:val="00016005"/>
    <w:rsid w:val="000160AB"/>
    <w:rsid w:val="000160D0"/>
    <w:rsid w:val="000160EC"/>
    <w:rsid w:val="00016109"/>
    <w:rsid w:val="00016132"/>
    <w:rsid w:val="0001617A"/>
    <w:rsid w:val="000161E0"/>
    <w:rsid w:val="0001626F"/>
    <w:rsid w:val="00016336"/>
    <w:rsid w:val="00016353"/>
    <w:rsid w:val="0001636E"/>
    <w:rsid w:val="00016370"/>
    <w:rsid w:val="00016436"/>
    <w:rsid w:val="00016462"/>
    <w:rsid w:val="00016466"/>
    <w:rsid w:val="0001647A"/>
    <w:rsid w:val="0001647D"/>
    <w:rsid w:val="00016484"/>
    <w:rsid w:val="00016512"/>
    <w:rsid w:val="00016582"/>
    <w:rsid w:val="0001660B"/>
    <w:rsid w:val="00016620"/>
    <w:rsid w:val="00016621"/>
    <w:rsid w:val="00016642"/>
    <w:rsid w:val="00016658"/>
    <w:rsid w:val="00016696"/>
    <w:rsid w:val="000166C3"/>
    <w:rsid w:val="00016830"/>
    <w:rsid w:val="00016A3E"/>
    <w:rsid w:val="00016AE3"/>
    <w:rsid w:val="00016AF1"/>
    <w:rsid w:val="00016B44"/>
    <w:rsid w:val="00016BA8"/>
    <w:rsid w:val="00016BF1"/>
    <w:rsid w:val="00016D90"/>
    <w:rsid w:val="00016DAE"/>
    <w:rsid w:val="00016E03"/>
    <w:rsid w:val="00016E54"/>
    <w:rsid w:val="00016E99"/>
    <w:rsid w:val="00016EEA"/>
    <w:rsid w:val="00016F53"/>
    <w:rsid w:val="00016FA3"/>
    <w:rsid w:val="00016FFB"/>
    <w:rsid w:val="00017007"/>
    <w:rsid w:val="000170FA"/>
    <w:rsid w:val="00017177"/>
    <w:rsid w:val="000171D6"/>
    <w:rsid w:val="0001725B"/>
    <w:rsid w:val="000172DE"/>
    <w:rsid w:val="00017357"/>
    <w:rsid w:val="0001735D"/>
    <w:rsid w:val="000173CA"/>
    <w:rsid w:val="0001742C"/>
    <w:rsid w:val="000174DD"/>
    <w:rsid w:val="000174DF"/>
    <w:rsid w:val="0001751B"/>
    <w:rsid w:val="0001752C"/>
    <w:rsid w:val="00017549"/>
    <w:rsid w:val="0001758A"/>
    <w:rsid w:val="000175EB"/>
    <w:rsid w:val="0001768F"/>
    <w:rsid w:val="000176EC"/>
    <w:rsid w:val="0001771F"/>
    <w:rsid w:val="00017772"/>
    <w:rsid w:val="00017824"/>
    <w:rsid w:val="000178A8"/>
    <w:rsid w:val="00017926"/>
    <w:rsid w:val="00017934"/>
    <w:rsid w:val="0001797F"/>
    <w:rsid w:val="0001798B"/>
    <w:rsid w:val="000179FC"/>
    <w:rsid w:val="00017A06"/>
    <w:rsid w:val="00017A26"/>
    <w:rsid w:val="00017A3C"/>
    <w:rsid w:val="00017B89"/>
    <w:rsid w:val="00017BC6"/>
    <w:rsid w:val="00017C1E"/>
    <w:rsid w:val="00017CC1"/>
    <w:rsid w:val="00017CE8"/>
    <w:rsid w:val="00017DC3"/>
    <w:rsid w:val="00017E9F"/>
    <w:rsid w:val="00017F0B"/>
    <w:rsid w:val="00017F30"/>
    <w:rsid w:val="0002005D"/>
    <w:rsid w:val="0002014A"/>
    <w:rsid w:val="00020154"/>
    <w:rsid w:val="00020160"/>
    <w:rsid w:val="000201B0"/>
    <w:rsid w:val="000201B2"/>
    <w:rsid w:val="000201B9"/>
    <w:rsid w:val="00020284"/>
    <w:rsid w:val="000202B5"/>
    <w:rsid w:val="0002033D"/>
    <w:rsid w:val="000203A2"/>
    <w:rsid w:val="00020451"/>
    <w:rsid w:val="00020535"/>
    <w:rsid w:val="00020573"/>
    <w:rsid w:val="000205FC"/>
    <w:rsid w:val="000206A4"/>
    <w:rsid w:val="00020738"/>
    <w:rsid w:val="000207B6"/>
    <w:rsid w:val="000207E9"/>
    <w:rsid w:val="0002088E"/>
    <w:rsid w:val="000208BC"/>
    <w:rsid w:val="000208F0"/>
    <w:rsid w:val="00020903"/>
    <w:rsid w:val="0002090C"/>
    <w:rsid w:val="0002091B"/>
    <w:rsid w:val="0002093C"/>
    <w:rsid w:val="00020944"/>
    <w:rsid w:val="000209A9"/>
    <w:rsid w:val="00020A27"/>
    <w:rsid w:val="00020A2A"/>
    <w:rsid w:val="00020A74"/>
    <w:rsid w:val="00020A76"/>
    <w:rsid w:val="00020A87"/>
    <w:rsid w:val="00020AD1"/>
    <w:rsid w:val="00020BBB"/>
    <w:rsid w:val="00020C3A"/>
    <w:rsid w:val="00020CD9"/>
    <w:rsid w:val="00020CFF"/>
    <w:rsid w:val="00020D78"/>
    <w:rsid w:val="00020DAA"/>
    <w:rsid w:val="00020EA9"/>
    <w:rsid w:val="00020ECF"/>
    <w:rsid w:val="00020F27"/>
    <w:rsid w:val="00020F39"/>
    <w:rsid w:val="00020F5F"/>
    <w:rsid w:val="00021052"/>
    <w:rsid w:val="000210C9"/>
    <w:rsid w:val="00021141"/>
    <w:rsid w:val="00021165"/>
    <w:rsid w:val="000211B4"/>
    <w:rsid w:val="0002128D"/>
    <w:rsid w:val="00021405"/>
    <w:rsid w:val="00021473"/>
    <w:rsid w:val="000214AF"/>
    <w:rsid w:val="000214B8"/>
    <w:rsid w:val="000214E3"/>
    <w:rsid w:val="0002156A"/>
    <w:rsid w:val="00021583"/>
    <w:rsid w:val="000215B4"/>
    <w:rsid w:val="000215C9"/>
    <w:rsid w:val="00021643"/>
    <w:rsid w:val="000216AD"/>
    <w:rsid w:val="000216FD"/>
    <w:rsid w:val="0002170D"/>
    <w:rsid w:val="00021731"/>
    <w:rsid w:val="0002173A"/>
    <w:rsid w:val="0002179C"/>
    <w:rsid w:val="0002183C"/>
    <w:rsid w:val="00021847"/>
    <w:rsid w:val="00021894"/>
    <w:rsid w:val="000218D8"/>
    <w:rsid w:val="000218E1"/>
    <w:rsid w:val="00021974"/>
    <w:rsid w:val="000219F8"/>
    <w:rsid w:val="00021A37"/>
    <w:rsid w:val="00021A63"/>
    <w:rsid w:val="00021B08"/>
    <w:rsid w:val="00021B2C"/>
    <w:rsid w:val="00021B53"/>
    <w:rsid w:val="00021C5F"/>
    <w:rsid w:val="00021CC0"/>
    <w:rsid w:val="00021D62"/>
    <w:rsid w:val="00021E03"/>
    <w:rsid w:val="00021E19"/>
    <w:rsid w:val="00021E1E"/>
    <w:rsid w:val="00021E91"/>
    <w:rsid w:val="00021F76"/>
    <w:rsid w:val="00021F9E"/>
    <w:rsid w:val="00021FDC"/>
    <w:rsid w:val="00021FE7"/>
    <w:rsid w:val="00021FF1"/>
    <w:rsid w:val="00022007"/>
    <w:rsid w:val="00022010"/>
    <w:rsid w:val="000220DC"/>
    <w:rsid w:val="00022105"/>
    <w:rsid w:val="0002215A"/>
    <w:rsid w:val="00022251"/>
    <w:rsid w:val="000222A8"/>
    <w:rsid w:val="000222B4"/>
    <w:rsid w:val="000222E1"/>
    <w:rsid w:val="00022314"/>
    <w:rsid w:val="00022413"/>
    <w:rsid w:val="00022453"/>
    <w:rsid w:val="000224AA"/>
    <w:rsid w:val="000224B7"/>
    <w:rsid w:val="000226C0"/>
    <w:rsid w:val="00022703"/>
    <w:rsid w:val="00022745"/>
    <w:rsid w:val="00022771"/>
    <w:rsid w:val="00022789"/>
    <w:rsid w:val="0002278F"/>
    <w:rsid w:val="000227EE"/>
    <w:rsid w:val="000228A3"/>
    <w:rsid w:val="000228DF"/>
    <w:rsid w:val="0002293D"/>
    <w:rsid w:val="000229A3"/>
    <w:rsid w:val="000229C1"/>
    <w:rsid w:val="00022A2A"/>
    <w:rsid w:val="00022B17"/>
    <w:rsid w:val="00022B3E"/>
    <w:rsid w:val="00022B72"/>
    <w:rsid w:val="00022B92"/>
    <w:rsid w:val="00022BC3"/>
    <w:rsid w:val="00022C1D"/>
    <w:rsid w:val="00022C25"/>
    <w:rsid w:val="00022C2C"/>
    <w:rsid w:val="00022CF5"/>
    <w:rsid w:val="00022D7C"/>
    <w:rsid w:val="00022E77"/>
    <w:rsid w:val="00022EBF"/>
    <w:rsid w:val="00023034"/>
    <w:rsid w:val="00023042"/>
    <w:rsid w:val="00023070"/>
    <w:rsid w:val="0002310B"/>
    <w:rsid w:val="000231AB"/>
    <w:rsid w:val="00023309"/>
    <w:rsid w:val="00023314"/>
    <w:rsid w:val="00023401"/>
    <w:rsid w:val="0002340D"/>
    <w:rsid w:val="000234BB"/>
    <w:rsid w:val="00023551"/>
    <w:rsid w:val="00023576"/>
    <w:rsid w:val="00023585"/>
    <w:rsid w:val="000235E0"/>
    <w:rsid w:val="000236C9"/>
    <w:rsid w:val="0002375D"/>
    <w:rsid w:val="00023761"/>
    <w:rsid w:val="000237A2"/>
    <w:rsid w:val="00023816"/>
    <w:rsid w:val="00023830"/>
    <w:rsid w:val="000238C9"/>
    <w:rsid w:val="000238F4"/>
    <w:rsid w:val="00023A2B"/>
    <w:rsid w:val="00023A4D"/>
    <w:rsid w:val="00023B87"/>
    <w:rsid w:val="00023B90"/>
    <w:rsid w:val="00023C41"/>
    <w:rsid w:val="00023C56"/>
    <w:rsid w:val="00023C76"/>
    <w:rsid w:val="00023CD9"/>
    <w:rsid w:val="00023CE6"/>
    <w:rsid w:val="00023CFF"/>
    <w:rsid w:val="00023D14"/>
    <w:rsid w:val="00023D35"/>
    <w:rsid w:val="00023D4F"/>
    <w:rsid w:val="00023DA7"/>
    <w:rsid w:val="00023E12"/>
    <w:rsid w:val="00023F08"/>
    <w:rsid w:val="00023F44"/>
    <w:rsid w:val="00023F54"/>
    <w:rsid w:val="0002401D"/>
    <w:rsid w:val="0002408E"/>
    <w:rsid w:val="000240B1"/>
    <w:rsid w:val="000240F2"/>
    <w:rsid w:val="00024130"/>
    <w:rsid w:val="000241E9"/>
    <w:rsid w:val="00024228"/>
    <w:rsid w:val="00024272"/>
    <w:rsid w:val="000242CC"/>
    <w:rsid w:val="000243EB"/>
    <w:rsid w:val="00024474"/>
    <w:rsid w:val="000245B8"/>
    <w:rsid w:val="0002466F"/>
    <w:rsid w:val="000246D3"/>
    <w:rsid w:val="00024799"/>
    <w:rsid w:val="00024849"/>
    <w:rsid w:val="000248EB"/>
    <w:rsid w:val="000249B1"/>
    <w:rsid w:val="00024A4D"/>
    <w:rsid w:val="00024B06"/>
    <w:rsid w:val="00024B81"/>
    <w:rsid w:val="00024B99"/>
    <w:rsid w:val="00024C1D"/>
    <w:rsid w:val="00024C64"/>
    <w:rsid w:val="00024CB9"/>
    <w:rsid w:val="00024CDE"/>
    <w:rsid w:val="00024CFF"/>
    <w:rsid w:val="00024D77"/>
    <w:rsid w:val="00024D92"/>
    <w:rsid w:val="00024E2C"/>
    <w:rsid w:val="00024E55"/>
    <w:rsid w:val="00024ECA"/>
    <w:rsid w:val="00024F73"/>
    <w:rsid w:val="00024F8E"/>
    <w:rsid w:val="00024F9A"/>
    <w:rsid w:val="00025048"/>
    <w:rsid w:val="00025080"/>
    <w:rsid w:val="000250FE"/>
    <w:rsid w:val="00025129"/>
    <w:rsid w:val="0002514F"/>
    <w:rsid w:val="0002521D"/>
    <w:rsid w:val="0002530F"/>
    <w:rsid w:val="0002538C"/>
    <w:rsid w:val="000253A9"/>
    <w:rsid w:val="000253AC"/>
    <w:rsid w:val="0002546D"/>
    <w:rsid w:val="000254E4"/>
    <w:rsid w:val="000254F4"/>
    <w:rsid w:val="000254F6"/>
    <w:rsid w:val="000255BC"/>
    <w:rsid w:val="00025650"/>
    <w:rsid w:val="0002573B"/>
    <w:rsid w:val="0002573C"/>
    <w:rsid w:val="000257A7"/>
    <w:rsid w:val="000257AD"/>
    <w:rsid w:val="000258A5"/>
    <w:rsid w:val="000258CB"/>
    <w:rsid w:val="00025903"/>
    <w:rsid w:val="0002599A"/>
    <w:rsid w:val="00025A14"/>
    <w:rsid w:val="00025A1C"/>
    <w:rsid w:val="00025A68"/>
    <w:rsid w:val="00025A9D"/>
    <w:rsid w:val="00025A9F"/>
    <w:rsid w:val="00025AA5"/>
    <w:rsid w:val="00025AFA"/>
    <w:rsid w:val="00025B21"/>
    <w:rsid w:val="00025BB3"/>
    <w:rsid w:val="00025BFE"/>
    <w:rsid w:val="00025C19"/>
    <w:rsid w:val="00025CAC"/>
    <w:rsid w:val="00025D2A"/>
    <w:rsid w:val="00025D4C"/>
    <w:rsid w:val="00025DB3"/>
    <w:rsid w:val="00025DCE"/>
    <w:rsid w:val="00025DCF"/>
    <w:rsid w:val="00025E08"/>
    <w:rsid w:val="00025E64"/>
    <w:rsid w:val="00025E78"/>
    <w:rsid w:val="00025E9A"/>
    <w:rsid w:val="00025FEB"/>
    <w:rsid w:val="0002602B"/>
    <w:rsid w:val="0002607A"/>
    <w:rsid w:val="0002610B"/>
    <w:rsid w:val="00026126"/>
    <w:rsid w:val="00026285"/>
    <w:rsid w:val="000262CB"/>
    <w:rsid w:val="000262E8"/>
    <w:rsid w:val="0002632E"/>
    <w:rsid w:val="00026340"/>
    <w:rsid w:val="00026354"/>
    <w:rsid w:val="0002635C"/>
    <w:rsid w:val="00026374"/>
    <w:rsid w:val="000263A3"/>
    <w:rsid w:val="00026436"/>
    <w:rsid w:val="000264D5"/>
    <w:rsid w:val="0002667D"/>
    <w:rsid w:val="000266A4"/>
    <w:rsid w:val="00026741"/>
    <w:rsid w:val="0002675D"/>
    <w:rsid w:val="0002677E"/>
    <w:rsid w:val="000267B7"/>
    <w:rsid w:val="000267CA"/>
    <w:rsid w:val="00026813"/>
    <w:rsid w:val="00026839"/>
    <w:rsid w:val="00026857"/>
    <w:rsid w:val="000268C9"/>
    <w:rsid w:val="000268CD"/>
    <w:rsid w:val="00026933"/>
    <w:rsid w:val="0002695C"/>
    <w:rsid w:val="000269A2"/>
    <w:rsid w:val="00026A12"/>
    <w:rsid w:val="00026A33"/>
    <w:rsid w:val="00026A3E"/>
    <w:rsid w:val="00026A6C"/>
    <w:rsid w:val="00026B77"/>
    <w:rsid w:val="00026B85"/>
    <w:rsid w:val="00026C18"/>
    <w:rsid w:val="00026C1F"/>
    <w:rsid w:val="00026C8C"/>
    <w:rsid w:val="00026CE5"/>
    <w:rsid w:val="00026D02"/>
    <w:rsid w:val="00026D20"/>
    <w:rsid w:val="00026D25"/>
    <w:rsid w:val="00026D2B"/>
    <w:rsid w:val="00026D9D"/>
    <w:rsid w:val="00026DAE"/>
    <w:rsid w:val="00026E85"/>
    <w:rsid w:val="00026E88"/>
    <w:rsid w:val="00026F4E"/>
    <w:rsid w:val="00026F62"/>
    <w:rsid w:val="00026FA1"/>
    <w:rsid w:val="00026FB0"/>
    <w:rsid w:val="0002700F"/>
    <w:rsid w:val="00027032"/>
    <w:rsid w:val="00027063"/>
    <w:rsid w:val="00027064"/>
    <w:rsid w:val="000270B7"/>
    <w:rsid w:val="00027177"/>
    <w:rsid w:val="000271B0"/>
    <w:rsid w:val="000271E8"/>
    <w:rsid w:val="000271F9"/>
    <w:rsid w:val="0002721E"/>
    <w:rsid w:val="00027237"/>
    <w:rsid w:val="00027249"/>
    <w:rsid w:val="000272D0"/>
    <w:rsid w:val="00027387"/>
    <w:rsid w:val="00027389"/>
    <w:rsid w:val="0002739F"/>
    <w:rsid w:val="000273F9"/>
    <w:rsid w:val="0002743E"/>
    <w:rsid w:val="000274F8"/>
    <w:rsid w:val="00027534"/>
    <w:rsid w:val="0002755F"/>
    <w:rsid w:val="00027629"/>
    <w:rsid w:val="00027724"/>
    <w:rsid w:val="00027734"/>
    <w:rsid w:val="00027739"/>
    <w:rsid w:val="00027750"/>
    <w:rsid w:val="000277A9"/>
    <w:rsid w:val="000277E5"/>
    <w:rsid w:val="00027851"/>
    <w:rsid w:val="000278B6"/>
    <w:rsid w:val="00027921"/>
    <w:rsid w:val="0002799A"/>
    <w:rsid w:val="000279F7"/>
    <w:rsid w:val="00027A3D"/>
    <w:rsid w:val="00027A50"/>
    <w:rsid w:val="00027B14"/>
    <w:rsid w:val="00027B34"/>
    <w:rsid w:val="00027BE8"/>
    <w:rsid w:val="00027C23"/>
    <w:rsid w:val="00027C70"/>
    <w:rsid w:val="00027D04"/>
    <w:rsid w:val="00027D2E"/>
    <w:rsid w:val="00027D5A"/>
    <w:rsid w:val="00027D9A"/>
    <w:rsid w:val="00027E1A"/>
    <w:rsid w:val="00027ED5"/>
    <w:rsid w:val="00027F9B"/>
    <w:rsid w:val="00027FBC"/>
    <w:rsid w:val="00027FCD"/>
    <w:rsid w:val="0003001A"/>
    <w:rsid w:val="00030035"/>
    <w:rsid w:val="0003004B"/>
    <w:rsid w:val="00030142"/>
    <w:rsid w:val="00030153"/>
    <w:rsid w:val="00030167"/>
    <w:rsid w:val="000301E9"/>
    <w:rsid w:val="000301FF"/>
    <w:rsid w:val="0003024E"/>
    <w:rsid w:val="0003027D"/>
    <w:rsid w:val="00030350"/>
    <w:rsid w:val="00030459"/>
    <w:rsid w:val="00030488"/>
    <w:rsid w:val="000304DD"/>
    <w:rsid w:val="000304E8"/>
    <w:rsid w:val="0003052C"/>
    <w:rsid w:val="0003052E"/>
    <w:rsid w:val="000305A4"/>
    <w:rsid w:val="000305B8"/>
    <w:rsid w:val="000305C1"/>
    <w:rsid w:val="000305F5"/>
    <w:rsid w:val="00030682"/>
    <w:rsid w:val="000306CD"/>
    <w:rsid w:val="00030838"/>
    <w:rsid w:val="0003089F"/>
    <w:rsid w:val="000308DF"/>
    <w:rsid w:val="000309ED"/>
    <w:rsid w:val="00030A03"/>
    <w:rsid w:val="00030A24"/>
    <w:rsid w:val="00030A25"/>
    <w:rsid w:val="00030A92"/>
    <w:rsid w:val="00030AED"/>
    <w:rsid w:val="00030BBC"/>
    <w:rsid w:val="00030C46"/>
    <w:rsid w:val="00030C5D"/>
    <w:rsid w:val="00030C95"/>
    <w:rsid w:val="00030CB4"/>
    <w:rsid w:val="00030D34"/>
    <w:rsid w:val="00030D37"/>
    <w:rsid w:val="00030D51"/>
    <w:rsid w:val="00030D5C"/>
    <w:rsid w:val="00030D90"/>
    <w:rsid w:val="00030DE0"/>
    <w:rsid w:val="00030DF9"/>
    <w:rsid w:val="00030EA9"/>
    <w:rsid w:val="00030EC2"/>
    <w:rsid w:val="00030ED7"/>
    <w:rsid w:val="00030F01"/>
    <w:rsid w:val="00030F19"/>
    <w:rsid w:val="00030F90"/>
    <w:rsid w:val="00030FA5"/>
    <w:rsid w:val="00031104"/>
    <w:rsid w:val="000311A6"/>
    <w:rsid w:val="000311E8"/>
    <w:rsid w:val="00031214"/>
    <w:rsid w:val="00031215"/>
    <w:rsid w:val="0003124A"/>
    <w:rsid w:val="000312E4"/>
    <w:rsid w:val="00031327"/>
    <w:rsid w:val="00031334"/>
    <w:rsid w:val="00031477"/>
    <w:rsid w:val="0003149E"/>
    <w:rsid w:val="000314A2"/>
    <w:rsid w:val="0003154A"/>
    <w:rsid w:val="00031572"/>
    <w:rsid w:val="00031581"/>
    <w:rsid w:val="0003159F"/>
    <w:rsid w:val="0003161A"/>
    <w:rsid w:val="000316F9"/>
    <w:rsid w:val="00031702"/>
    <w:rsid w:val="00031709"/>
    <w:rsid w:val="00031869"/>
    <w:rsid w:val="000318B0"/>
    <w:rsid w:val="0003191F"/>
    <w:rsid w:val="00031997"/>
    <w:rsid w:val="000319A7"/>
    <w:rsid w:val="00031AB0"/>
    <w:rsid w:val="00031B23"/>
    <w:rsid w:val="00031B4B"/>
    <w:rsid w:val="00031B7F"/>
    <w:rsid w:val="00031C40"/>
    <w:rsid w:val="00031C92"/>
    <w:rsid w:val="00031C9C"/>
    <w:rsid w:val="00031CE9"/>
    <w:rsid w:val="00031D04"/>
    <w:rsid w:val="00031DF2"/>
    <w:rsid w:val="00031E56"/>
    <w:rsid w:val="00031E57"/>
    <w:rsid w:val="00031E5E"/>
    <w:rsid w:val="00031E80"/>
    <w:rsid w:val="00031FDF"/>
    <w:rsid w:val="000320A1"/>
    <w:rsid w:val="000320D0"/>
    <w:rsid w:val="000320F2"/>
    <w:rsid w:val="00032141"/>
    <w:rsid w:val="000321E4"/>
    <w:rsid w:val="00032232"/>
    <w:rsid w:val="0003223D"/>
    <w:rsid w:val="0003226B"/>
    <w:rsid w:val="000322A8"/>
    <w:rsid w:val="0003241D"/>
    <w:rsid w:val="000324B6"/>
    <w:rsid w:val="000324CB"/>
    <w:rsid w:val="0003258D"/>
    <w:rsid w:val="000325D1"/>
    <w:rsid w:val="0003265D"/>
    <w:rsid w:val="0003278F"/>
    <w:rsid w:val="00032827"/>
    <w:rsid w:val="00032847"/>
    <w:rsid w:val="0003285E"/>
    <w:rsid w:val="000328E9"/>
    <w:rsid w:val="000328EB"/>
    <w:rsid w:val="00032934"/>
    <w:rsid w:val="0003297B"/>
    <w:rsid w:val="0003298F"/>
    <w:rsid w:val="000329B5"/>
    <w:rsid w:val="000329FA"/>
    <w:rsid w:val="00032A3C"/>
    <w:rsid w:val="00032ABC"/>
    <w:rsid w:val="00032ABE"/>
    <w:rsid w:val="00032AF8"/>
    <w:rsid w:val="00032B08"/>
    <w:rsid w:val="00032B92"/>
    <w:rsid w:val="00032B9F"/>
    <w:rsid w:val="00032BD7"/>
    <w:rsid w:val="00032C39"/>
    <w:rsid w:val="00032D85"/>
    <w:rsid w:val="00032DB1"/>
    <w:rsid w:val="00032E04"/>
    <w:rsid w:val="00032E11"/>
    <w:rsid w:val="00032E5F"/>
    <w:rsid w:val="00032E94"/>
    <w:rsid w:val="00032E9B"/>
    <w:rsid w:val="00032F3F"/>
    <w:rsid w:val="00033081"/>
    <w:rsid w:val="000330B6"/>
    <w:rsid w:val="000330BE"/>
    <w:rsid w:val="000330DE"/>
    <w:rsid w:val="000330F3"/>
    <w:rsid w:val="000331D2"/>
    <w:rsid w:val="0003335C"/>
    <w:rsid w:val="000333C3"/>
    <w:rsid w:val="000334B0"/>
    <w:rsid w:val="0003356C"/>
    <w:rsid w:val="00033581"/>
    <w:rsid w:val="0003358A"/>
    <w:rsid w:val="000335BA"/>
    <w:rsid w:val="000335CF"/>
    <w:rsid w:val="000336A3"/>
    <w:rsid w:val="000336F9"/>
    <w:rsid w:val="00033734"/>
    <w:rsid w:val="00033739"/>
    <w:rsid w:val="0003378A"/>
    <w:rsid w:val="000338EA"/>
    <w:rsid w:val="000338EC"/>
    <w:rsid w:val="000339AA"/>
    <w:rsid w:val="000339E7"/>
    <w:rsid w:val="000339F9"/>
    <w:rsid w:val="00033A16"/>
    <w:rsid w:val="00033B82"/>
    <w:rsid w:val="00033C27"/>
    <w:rsid w:val="00033C77"/>
    <w:rsid w:val="00033C81"/>
    <w:rsid w:val="00033D37"/>
    <w:rsid w:val="00033D49"/>
    <w:rsid w:val="00033DBB"/>
    <w:rsid w:val="00033ED7"/>
    <w:rsid w:val="00033EE7"/>
    <w:rsid w:val="00033F73"/>
    <w:rsid w:val="00034072"/>
    <w:rsid w:val="000340AA"/>
    <w:rsid w:val="000340B1"/>
    <w:rsid w:val="000340D8"/>
    <w:rsid w:val="00034116"/>
    <w:rsid w:val="0003415C"/>
    <w:rsid w:val="000341B0"/>
    <w:rsid w:val="00034236"/>
    <w:rsid w:val="0003424E"/>
    <w:rsid w:val="00034252"/>
    <w:rsid w:val="00034283"/>
    <w:rsid w:val="000342A6"/>
    <w:rsid w:val="00034371"/>
    <w:rsid w:val="0003441B"/>
    <w:rsid w:val="00034451"/>
    <w:rsid w:val="000344BD"/>
    <w:rsid w:val="00034575"/>
    <w:rsid w:val="000345EF"/>
    <w:rsid w:val="00034641"/>
    <w:rsid w:val="0003464C"/>
    <w:rsid w:val="0003465F"/>
    <w:rsid w:val="00034666"/>
    <w:rsid w:val="000346BB"/>
    <w:rsid w:val="000347EB"/>
    <w:rsid w:val="0003482A"/>
    <w:rsid w:val="000348CB"/>
    <w:rsid w:val="00034920"/>
    <w:rsid w:val="00034933"/>
    <w:rsid w:val="0003495C"/>
    <w:rsid w:val="00034B08"/>
    <w:rsid w:val="00034B45"/>
    <w:rsid w:val="00034BFE"/>
    <w:rsid w:val="00034CC8"/>
    <w:rsid w:val="00034D43"/>
    <w:rsid w:val="00034E6F"/>
    <w:rsid w:val="00034EA3"/>
    <w:rsid w:val="00034ECC"/>
    <w:rsid w:val="00034F5E"/>
    <w:rsid w:val="00034FB9"/>
    <w:rsid w:val="00034FCD"/>
    <w:rsid w:val="00034FD8"/>
    <w:rsid w:val="00035029"/>
    <w:rsid w:val="000350FF"/>
    <w:rsid w:val="00035140"/>
    <w:rsid w:val="00035151"/>
    <w:rsid w:val="000351A6"/>
    <w:rsid w:val="000352E1"/>
    <w:rsid w:val="000353F6"/>
    <w:rsid w:val="000354A9"/>
    <w:rsid w:val="00035511"/>
    <w:rsid w:val="0003560E"/>
    <w:rsid w:val="00035621"/>
    <w:rsid w:val="000356A9"/>
    <w:rsid w:val="000356BB"/>
    <w:rsid w:val="000356D3"/>
    <w:rsid w:val="000356D5"/>
    <w:rsid w:val="000356DD"/>
    <w:rsid w:val="000357C1"/>
    <w:rsid w:val="000357DA"/>
    <w:rsid w:val="00035887"/>
    <w:rsid w:val="00035891"/>
    <w:rsid w:val="000358FE"/>
    <w:rsid w:val="0003598C"/>
    <w:rsid w:val="00035A35"/>
    <w:rsid w:val="00035A43"/>
    <w:rsid w:val="00035B4D"/>
    <w:rsid w:val="00035B84"/>
    <w:rsid w:val="00035BA0"/>
    <w:rsid w:val="00035C1B"/>
    <w:rsid w:val="00035C46"/>
    <w:rsid w:val="00035C99"/>
    <w:rsid w:val="00035D12"/>
    <w:rsid w:val="00035D46"/>
    <w:rsid w:val="00035DC0"/>
    <w:rsid w:val="00035E32"/>
    <w:rsid w:val="00035ECA"/>
    <w:rsid w:val="00035EDE"/>
    <w:rsid w:val="00035F59"/>
    <w:rsid w:val="00035F83"/>
    <w:rsid w:val="00035F96"/>
    <w:rsid w:val="00035FEE"/>
    <w:rsid w:val="0003602B"/>
    <w:rsid w:val="0003609F"/>
    <w:rsid w:val="000360F0"/>
    <w:rsid w:val="000360FA"/>
    <w:rsid w:val="00036115"/>
    <w:rsid w:val="0003611D"/>
    <w:rsid w:val="0003612D"/>
    <w:rsid w:val="000361BD"/>
    <w:rsid w:val="000361F1"/>
    <w:rsid w:val="00036218"/>
    <w:rsid w:val="000362FA"/>
    <w:rsid w:val="00036307"/>
    <w:rsid w:val="0003632D"/>
    <w:rsid w:val="000363E8"/>
    <w:rsid w:val="000363FA"/>
    <w:rsid w:val="00036459"/>
    <w:rsid w:val="00036490"/>
    <w:rsid w:val="000364C3"/>
    <w:rsid w:val="000364F0"/>
    <w:rsid w:val="00036633"/>
    <w:rsid w:val="00036637"/>
    <w:rsid w:val="00036693"/>
    <w:rsid w:val="0003669B"/>
    <w:rsid w:val="000367E1"/>
    <w:rsid w:val="0003684A"/>
    <w:rsid w:val="00036889"/>
    <w:rsid w:val="0003689A"/>
    <w:rsid w:val="0003698F"/>
    <w:rsid w:val="0003699B"/>
    <w:rsid w:val="000369CC"/>
    <w:rsid w:val="000369D7"/>
    <w:rsid w:val="000369FA"/>
    <w:rsid w:val="00036AA5"/>
    <w:rsid w:val="00036B64"/>
    <w:rsid w:val="00036C5D"/>
    <w:rsid w:val="00036C66"/>
    <w:rsid w:val="00036C71"/>
    <w:rsid w:val="00036D2F"/>
    <w:rsid w:val="00036DE1"/>
    <w:rsid w:val="00036E17"/>
    <w:rsid w:val="00036ED1"/>
    <w:rsid w:val="00036F05"/>
    <w:rsid w:val="00036F37"/>
    <w:rsid w:val="00036F4A"/>
    <w:rsid w:val="00036FD5"/>
    <w:rsid w:val="00036FFF"/>
    <w:rsid w:val="0003704F"/>
    <w:rsid w:val="0003708B"/>
    <w:rsid w:val="00037100"/>
    <w:rsid w:val="00037254"/>
    <w:rsid w:val="000372AF"/>
    <w:rsid w:val="00037368"/>
    <w:rsid w:val="000373AB"/>
    <w:rsid w:val="000373B7"/>
    <w:rsid w:val="0003740E"/>
    <w:rsid w:val="00037548"/>
    <w:rsid w:val="000375CF"/>
    <w:rsid w:val="000375D3"/>
    <w:rsid w:val="0003765B"/>
    <w:rsid w:val="000376A1"/>
    <w:rsid w:val="000376F6"/>
    <w:rsid w:val="0003774A"/>
    <w:rsid w:val="0003778B"/>
    <w:rsid w:val="000377DA"/>
    <w:rsid w:val="0003781F"/>
    <w:rsid w:val="00037896"/>
    <w:rsid w:val="000378D8"/>
    <w:rsid w:val="000379DC"/>
    <w:rsid w:val="000379E6"/>
    <w:rsid w:val="000379F3"/>
    <w:rsid w:val="00037A75"/>
    <w:rsid w:val="00037AB2"/>
    <w:rsid w:val="00037AEC"/>
    <w:rsid w:val="00037B06"/>
    <w:rsid w:val="00037B7F"/>
    <w:rsid w:val="00037BF7"/>
    <w:rsid w:val="00037CA1"/>
    <w:rsid w:val="00037D06"/>
    <w:rsid w:val="00037EB9"/>
    <w:rsid w:val="00037F37"/>
    <w:rsid w:val="00037F81"/>
    <w:rsid w:val="00037FCF"/>
    <w:rsid w:val="0004000A"/>
    <w:rsid w:val="000400CC"/>
    <w:rsid w:val="00040101"/>
    <w:rsid w:val="00040155"/>
    <w:rsid w:val="00040166"/>
    <w:rsid w:val="000401A8"/>
    <w:rsid w:val="00040206"/>
    <w:rsid w:val="0004034A"/>
    <w:rsid w:val="00040378"/>
    <w:rsid w:val="000403CC"/>
    <w:rsid w:val="00040457"/>
    <w:rsid w:val="0004053F"/>
    <w:rsid w:val="000405A7"/>
    <w:rsid w:val="00040600"/>
    <w:rsid w:val="00040627"/>
    <w:rsid w:val="00040663"/>
    <w:rsid w:val="00040666"/>
    <w:rsid w:val="000406C1"/>
    <w:rsid w:val="000406E9"/>
    <w:rsid w:val="00040728"/>
    <w:rsid w:val="00040757"/>
    <w:rsid w:val="000407C5"/>
    <w:rsid w:val="000408BD"/>
    <w:rsid w:val="0004091A"/>
    <w:rsid w:val="0004096E"/>
    <w:rsid w:val="0004098D"/>
    <w:rsid w:val="000409F5"/>
    <w:rsid w:val="00040A06"/>
    <w:rsid w:val="00040A92"/>
    <w:rsid w:val="00040B13"/>
    <w:rsid w:val="00040B80"/>
    <w:rsid w:val="00040B90"/>
    <w:rsid w:val="00040B9E"/>
    <w:rsid w:val="00040BF3"/>
    <w:rsid w:val="00040BF7"/>
    <w:rsid w:val="00040CA0"/>
    <w:rsid w:val="00040D68"/>
    <w:rsid w:val="00040D80"/>
    <w:rsid w:val="00040E32"/>
    <w:rsid w:val="00040E71"/>
    <w:rsid w:val="00040E8F"/>
    <w:rsid w:val="00040ED1"/>
    <w:rsid w:val="00040EF5"/>
    <w:rsid w:val="00040EFC"/>
    <w:rsid w:val="00040F74"/>
    <w:rsid w:val="00040FDC"/>
    <w:rsid w:val="000410C0"/>
    <w:rsid w:val="00041197"/>
    <w:rsid w:val="0004122F"/>
    <w:rsid w:val="00041283"/>
    <w:rsid w:val="00041321"/>
    <w:rsid w:val="000413C8"/>
    <w:rsid w:val="000414CC"/>
    <w:rsid w:val="0004158D"/>
    <w:rsid w:val="000415AE"/>
    <w:rsid w:val="000415C5"/>
    <w:rsid w:val="0004168B"/>
    <w:rsid w:val="000416C1"/>
    <w:rsid w:val="000416C8"/>
    <w:rsid w:val="000416D2"/>
    <w:rsid w:val="000416E0"/>
    <w:rsid w:val="000416EA"/>
    <w:rsid w:val="00041745"/>
    <w:rsid w:val="00041752"/>
    <w:rsid w:val="00041808"/>
    <w:rsid w:val="000418EE"/>
    <w:rsid w:val="00041901"/>
    <w:rsid w:val="00041936"/>
    <w:rsid w:val="0004194B"/>
    <w:rsid w:val="00041952"/>
    <w:rsid w:val="00041955"/>
    <w:rsid w:val="000419A3"/>
    <w:rsid w:val="000419BB"/>
    <w:rsid w:val="00041A6E"/>
    <w:rsid w:val="00041A6F"/>
    <w:rsid w:val="00041B45"/>
    <w:rsid w:val="00041B64"/>
    <w:rsid w:val="00041B65"/>
    <w:rsid w:val="00041CD7"/>
    <w:rsid w:val="00041D87"/>
    <w:rsid w:val="00041D98"/>
    <w:rsid w:val="00041D9D"/>
    <w:rsid w:val="00041ED8"/>
    <w:rsid w:val="00041FC9"/>
    <w:rsid w:val="00042013"/>
    <w:rsid w:val="000420CC"/>
    <w:rsid w:val="00042171"/>
    <w:rsid w:val="000422C5"/>
    <w:rsid w:val="0004231C"/>
    <w:rsid w:val="0004232A"/>
    <w:rsid w:val="0004236F"/>
    <w:rsid w:val="000424B9"/>
    <w:rsid w:val="000424C3"/>
    <w:rsid w:val="0004251D"/>
    <w:rsid w:val="00042534"/>
    <w:rsid w:val="00042594"/>
    <w:rsid w:val="0004261E"/>
    <w:rsid w:val="00042665"/>
    <w:rsid w:val="00042666"/>
    <w:rsid w:val="00042688"/>
    <w:rsid w:val="000426C5"/>
    <w:rsid w:val="000426F8"/>
    <w:rsid w:val="00042773"/>
    <w:rsid w:val="000427A5"/>
    <w:rsid w:val="000427E0"/>
    <w:rsid w:val="0004281C"/>
    <w:rsid w:val="000428AF"/>
    <w:rsid w:val="000428E7"/>
    <w:rsid w:val="0004291C"/>
    <w:rsid w:val="000429AB"/>
    <w:rsid w:val="000429DC"/>
    <w:rsid w:val="00042AC7"/>
    <w:rsid w:val="00042B03"/>
    <w:rsid w:val="00042B2B"/>
    <w:rsid w:val="00042B90"/>
    <w:rsid w:val="00042BB1"/>
    <w:rsid w:val="00042BCB"/>
    <w:rsid w:val="00042C78"/>
    <w:rsid w:val="00042C7C"/>
    <w:rsid w:val="00042DB9"/>
    <w:rsid w:val="00042E30"/>
    <w:rsid w:val="00042E95"/>
    <w:rsid w:val="00042EA3"/>
    <w:rsid w:val="00042F1F"/>
    <w:rsid w:val="00042F68"/>
    <w:rsid w:val="00043079"/>
    <w:rsid w:val="000430AB"/>
    <w:rsid w:val="000430AC"/>
    <w:rsid w:val="00043135"/>
    <w:rsid w:val="0004315A"/>
    <w:rsid w:val="0004318F"/>
    <w:rsid w:val="0004319B"/>
    <w:rsid w:val="00043236"/>
    <w:rsid w:val="00043250"/>
    <w:rsid w:val="00043255"/>
    <w:rsid w:val="00043270"/>
    <w:rsid w:val="00043289"/>
    <w:rsid w:val="00043340"/>
    <w:rsid w:val="00043419"/>
    <w:rsid w:val="0004344F"/>
    <w:rsid w:val="000434A4"/>
    <w:rsid w:val="000434E4"/>
    <w:rsid w:val="00043520"/>
    <w:rsid w:val="00043576"/>
    <w:rsid w:val="0004358D"/>
    <w:rsid w:val="000435E4"/>
    <w:rsid w:val="00043614"/>
    <w:rsid w:val="00043696"/>
    <w:rsid w:val="000436A3"/>
    <w:rsid w:val="000436B6"/>
    <w:rsid w:val="00043796"/>
    <w:rsid w:val="000437FD"/>
    <w:rsid w:val="00043854"/>
    <w:rsid w:val="0004387B"/>
    <w:rsid w:val="00043882"/>
    <w:rsid w:val="000438DB"/>
    <w:rsid w:val="000438E2"/>
    <w:rsid w:val="0004397C"/>
    <w:rsid w:val="000439CD"/>
    <w:rsid w:val="000439D4"/>
    <w:rsid w:val="000439DD"/>
    <w:rsid w:val="000439EC"/>
    <w:rsid w:val="00043A1F"/>
    <w:rsid w:val="00043A33"/>
    <w:rsid w:val="00043A8C"/>
    <w:rsid w:val="00043AE9"/>
    <w:rsid w:val="00043B83"/>
    <w:rsid w:val="00043C07"/>
    <w:rsid w:val="00043CD0"/>
    <w:rsid w:val="00043CE6"/>
    <w:rsid w:val="00043CF2"/>
    <w:rsid w:val="00043D6B"/>
    <w:rsid w:val="00043DC9"/>
    <w:rsid w:val="00043E8A"/>
    <w:rsid w:val="00043E92"/>
    <w:rsid w:val="00043E97"/>
    <w:rsid w:val="00043EF3"/>
    <w:rsid w:val="00044105"/>
    <w:rsid w:val="0004410E"/>
    <w:rsid w:val="000441A5"/>
    <w:rsid w:val="000441BE"/>
    <w:rsid w:val="0004429E"/>
    <w:rsid w:val="00044348"/>
    <w:rsid w:val="00044371"/>
    <w:rsid w:val="00044429"/>
    <w:rsid w:val="0004457A"/>
    <w:rsid w:val="000445D9"/>
    <w:rsid w:val="000445E3"/>
    <w:rsid w:val="00044642"/>
    <w:rsid w:val="0004464F"/>
    <w:rsid w:val="000446A9"/>
    <w:rsid w:val="000446DF"/>
    <w:rsid w:val="0004470E"/>
    <w:rsid w:val="00044790"/>
    <w:rsid w:val="000447C9"/>
    <w:rsid w:val="000447CB"/>
    <w:rsid w:val="000447D2"/>
    <w:rsid w:val="000448A5"/>
    <w:rsid w:val="000448C5"/>
    <w:rsid w:val="000448FE"/>
    <w:rsid w:val="00044902"/>
    <w:rsid w:val="00044999"/>
    <w:rsid w:val="00044A3B"/>
    <w:rsid w:val="00044A68"/>
    <w:rsid w:val="00044A9B"/>
    <w:rsid w:val="00044B08"/>
    <w:rsid w:val="00044B34"/>
    <w:rsid w:val="00044B9B"/>
    <w:rsid w:val="00044BAD"/>
    <w:rsid w:val="00044C6A"/>
    <w:rsid w:val="00044CD6"/>
    <w:rsid w:val="00044D7E"/>
    <w:rsid w:val="00044DEF"/>
    <w:rsid w:val="00044DF3"/>
    <w:rsid w:val="00044E75"/>
    <w:rsid w:val="00044EBA"/>
    <w:rsid w:val="00044EEA"/>
    <w:rsid w:val="00044EF3"/>
    <w:rsid w:val="00044F35"/>
    <w:rsid w:val="00044F63"/>
    <w:rsid w:val="00044FB7"/>
    <w:rsid w:val="00045058"/>
    <w:rsid w:val="00045117"/>
    <w:rsid w:val="00045160"/>
    <w:rsid w:val="000451F0"/>
    <w:rsid w:val="00045241"/>
    <w:rsid w:val="0004524F"/>
    <w:rsid w:val="0004526A"/>
    <w:rsid w:val="0004533F"/>
    <w:rsid w:val="000453CF"/>
    <w:rsid w:val="0004541E"/>
    <w:rsid w:val="00045420"/>
    <w:rsid w:val="0004546D"/>
    <w:rsid w:val="0004547A"/>
    <w:rsid w:val="000454D6"/>
    <w:rsid w:val="00045513"/>
    <w:rsid w:val="0004557B"/>
    <w:rsid w:val="00045625"/>
    <w:rsid w:val="0004571F"/>
    <w:rsid w:val="00045745"/>
    <w:rsid w:val="0004577D"/>
    <w:rsid w:val="00045886"/>
    <w:rsid w:val="00045975"/>
    <w:rsid w:val="00045A09"/>
    <w:rsid w:val="00045A25"/>
    <w:rsid w:val="00045A7B"/>
    <w:rsid w:val="00045AA4"/>
    <w:rsid w:val="00045AB5"/>
    <w:rsid w:val="00045B24"/>
    <w:rsid w:val="00045B94"/>
    <w:rsid w:val="00045BA9"/>
    <w:rsid w:val="00045C20"/>
    <w:rsid w:val="00045D36"/>
    <w:rsid w:val="00045ECD"/>
    <w:rsid w:val="00046048"/>
    <w:rsid w:val="000460F0"/>
    <w:rsid w:val="000460F9"/>
    <w:rsid w:val="00046173"/>
    <w:rsid w:val="000461C1"/>
    <w:rsid w:val="00046260"/>
    <w:rsid w:val="000462FD"/>
    <w:rsid w:val="000465A1"/>
    <w:rsid w:val="00046665"/>
    <w:rsid w:val="0004671E"/>
    <w:rsid w:val="0004676F"/>
    <w:rsid w:val="000468E1"/>
    <w:rsid w:val="00046905"/>
    <w:rsid w:val="000469C0"/>
    <w:rsid w:val="00046A4A"/>
    <w:rsid w:val="00046B55"/>
    <w:rsid w:val="00046B91"/>
    <w:rsid w:val="00046BB7"/>
    <w:rsid w:val="00046C0D"/>
    <w:rsid w:val="00046D4D"/>
    <w:rsid w:val="00046D93"/>
    <w:rsid w:val="00046DD7"/>
    <w:rsid w:val="00046E2A"/>
    <w:rsid w:val="00046F0A"/>
    <w:rsid w:val="00046F8D"/>
    <w:rsid w:val="00047061"/>
    <w:rsid w:val="0004709E"/>
    <w:rsid w:val="000470FD"/>
    <w:rsid w:val="0004710A"/>
    <w:rsid w:val="00047195"/>
    <w:rsid w:val="00047242"/>
    <w:rsid w:val="00047319"/>
    <w:rsid w:val="00047375"/>
    <w:rsid w:val="000473B1"/>
    <w:rsid w:val="000473BA"/>
    <w:rsid w:val="0004746D"/>
    <w:rsid w:val="0004749C"/>
    <w:rsid w:val="00047500"/>
    <w:rsid w:val="00047513"/>
    <w:rsid w:val="00047595"/>
    <w:rsid w:val="00047610"/>
    <w:rsid w:val="00047642"/>
    <w:rsid w:val="0004764A"/>
    <w:rsid w:val="000476E3"/>
    <w:rsid w:val="00047705"/>
    <w:rsid w:val="00047808"/>
    <w:rsid w:val="00047829"/>
    <w:rsid w:val="0004784A"/>
    <w:rsid w:val="000478AC"/>
    <w:rsid w:val="000478E8"/>
    <w:rsid w:val="0004793A"/>
    <w:rsid w:val="00047997"/>
    <w:rsid w:val="000479B3"/>
    <w:rsid w:val="000479B9"/>
    <w:rsid w:val="00047AAF"/>
    <w:rsid w:val="00047ADD"/>
    <w:rsid w:val="00047B36"/>
    <w:rsid w:val="00047B59"/>
    <w:rsid w:val="00047B9F"/>
    <w:rsid w:val="00047BA9"/>
    <w:rsid w:val="00047BE5"/>
    <w:rsid w:val="00047C49"/>
    <w:rsid w:val="00047CF0"/>
    <w:rsid w:val="00047D20"/>
    <w:rsid w:val="00047DCE"/>
    <w:rsid w:val="00047E1B"/>
    <w:rsid w:val="00047E56"/>
    <w:rsid w:val="00047E81"/>
    <w:rsid w:val="00047F46"/>
    <w:rsid w:val="00047FBD"/>
    <w:rsid w:val="00047FDA"/>
    <w:rsid w:val="00047FF1"/>
    <w:rsid w:val="00050041"/>
    <w:rsid w:val="00050051"/>
    <w:rsid w:val="0005006F"/>
    <w:rsid w:val="000500AF"/>
    <w:rsid w:val="000500C2"/>
    <w:rsid w:val="0005017C"/>
    <w:rsid w:val="00050265"/>
    <w:rsid w:val="000502D4"/>
    <w:rsid w:val="0005039D"/>
    <w:rsid w:val="000503C2"/>
    <w:rsid w:val="0005042F"/>
    <w:rsid w:val="00050500"/>
    <w:rsid w:val="00050530"/>
    <w:rsid w:val="00050538"/>
    <w:rsid w:val="0005058A"/>
    <w:rsid w:val="000505E0"/>
    <w:rsid w:val="000505F3"/>
    <w:rsid w:val="00050668"/>
    <w:rsid w:val="00050683"/>
    <w:rsid w:val="00050726"/>
    <w:rsid w:val="00050729"/>
    <w:rsid w:val="0005072D"/>
    <w:rsid w:val="0005074C"/>
    <w:rsid w:val="00050786"/>
    <w:rsid w:val="000507B1"/>
    <w:rsid w:val="00050868"/>
    <w:rsid w:val="00050910"/>
    <w:rsid w:val="0005093E"/>
    <w:rsid w:val="00050953"/>
    <w:rsid w:val="00050999"/>
    <w:rsid w:val="000509D2"/>
    <w:rsid w:val="00050A22"/>
    <w:rsid w:val="00050A52"/>
    <w:rsid w:val="00050B58"/>
    <w:rsid w:val="00050B6F"/>
    <w:rsid w:val="00050BBA"/>
    <w:rsid w:val="00050C6C"/>
    <w:rsid w:val="00050E05"/>
    <w:rsid w:val="00050F3B"/>
    <w:rsid w:val="00050FAC"/>
    <w:rsid w:val="00050FAE"/>
    <w:rsid w:val="00050FBE"/>
    <w:rsid w:val="00051009"/>
    <w:rsid w:val="0005105E"/>
    <w:rsid w:val="000510F8"/>
    <w:rsid w:val="00051186"/>
    <w:rsid w:val="000511F5"/>
    <w:rsid w:val="00051226"/>
    <w:rsid w:val="00051320"/>
    <w:rsid w:val="0005137D"/>
    <w:rsid w:val="0005138A"/>
    <w:rsid w:val="000513B1"/>
    <w:rsid w:val="000513EF"/>
    <w:rsid w:val="00051406"/>
    <w:rsid w:val="00051421"/>
    <w:rsid w:val="00051466"/>
    <w:rsid w:val="00051474"/>
    <w:rsid w:val="00051561"/>
    <w:rsid w:val="00051571"/>
    <w:rsid w:val="00051659"/>
    <w:rsid w:val="000516AB"/>
    <w:rsid w:val="0005170F"/>
    <w:rsid w:val="0005172D"/>
    <w:rsid w:val="00051736"/>
    <w:rsid w:val="00051790"/>
    <w:rsid w:val="000517E9"/>
    <w:rsid w:val="000517F7"/>
    <w:rsid w:val="00051861"/>
    <w:rsid w:val="00051882"/>
    <w:rsid w:val="00051977"/>
    <w:rsid w:val="000519CF"/>
    <w:rsid w:val="000519F7"/>
    <w:rsid w:val="00051A20"/>
    <w:rsid w:val="00051BC2"/>
    <w:rsid w:val="00051BD9"/>
    <w:rsid w:val="00051BEC"/>
    <w:rsid w:val="00051C47"/>
    <w:rsid w:val="00051C86"/>
    <w:rsid w:val="00051CBE"/>
    <w:rsid w:val="00051CFE"/>
    <w:rsid w:val="00051D06"/>
    <w:rsid w:val="00051D20"/>
    <w:rsid w:val="00051D83"/>
    <w:rsid w:val="00051DE1"/>
    <w:rsid w:val="00051EDC"/>
    <w:rsid w:val="00051F55"/>
    <w:rsid w:val="00051FC6"/>
    <w:rsid w:val="00052070"/>
    <w:rsid w:val="0005208E"/>
    <w:rsid w:val="000520D8"/>
    <w:rsid w:val="000520FE"/>
    <w:rsid w:val="00052143"/>
    <w:rsid w:val="00052184"/>
    <w:rsid w:val="000521B2"/>
    <w:rsid w:val="000522E7"/>
    <w:rsid w:val="000523B8"/>
    <w:rsid w:val="00052433"/>
    <w:rsid w:val="0005244F"/>
    <w:rsid w:val="00052476"/>
    <w:rsid w:val="000524C6"/>
    <w:rsid w:val="000524D3"/>
    <w:rsid w:val="00052513"/>
    <w:rsid w:val="000525D0"/>
    <w:rsid w:val="000525E2"/>
    <w:rsid w:val="0005264B"/>
    <w:rsid w:val="00052699"/>
    <w:rsid w:val="000526C0"/>
    <w:rsid w:val="00052775"/>
    <w:rsid w:val="000527FF"/>
    <w:rsid w:val="00052804"/>
    <w:rsid w:val="0005280C"/>
    <w:rsid w:val="0005284E"/>
    <w:rsid w:val="0005298C"/>
    <w:rsid w:val="000529F7"/>
    <w:rsid w:val="00052A21"/>
    <w:rsid w:val="00052A4B"/>
    <w:rsid w:val="00052A66"/>
    <w:rsid w:val="00052A85"/>
    <w:rsid w:val="00052AA1"/>
    <w:rsid w:val="00052B40"/>
    <w:rsid w:val="00052B95"/>
    <w:rsid w:val="00052BC4"/>
    <w:rsid w:val="00052C5C"/>
    <w:rsid w:val="00052D49"/>
    <w:rsid w:val="00052D6D"/>
    <w:rsid w:val="00052D96"/>
    <w:rsid w:val="00052DEF"/>
    <w:rsid w:val="00052ED5"/>
    <w:rsid w:val="00052F5D"/>
    <w:rsid w:val="00052F5E"/>
    <w:rsid w:val="00052FCF"/>
    <w:rsid w:val="00053044"/>
    <w:rsid w:val="00053069"/>
    <w:rsid w:val="000530C2"/>
    <w:rsid w:val="000531D7"/>
    <w:rsid w:val="000531FD"/>
    <w:rsid w:val="00053221"/>
    <w:rsid w:val="00053267"/>
    <w:rsid w:val="00053290"/>
    <w:rsid w:val="000533A5"/>
    <w:rsid w:val="000533B5"/>
    <w:rsid w:val="00053406"/>
    <w:rsid w:val="000534C3"/>
    <w:rsid w:val="0005350A"/>
    <w:rsid w:val="00053559"/>
    <w:rsid w:val="0005356A"/>
    <w:rsid w:val="000535C0"/>
    <w:rsid w:val="000535E1"/>
    <w:rsid w:val="0005360F"/>
    <w:rsid w:val="00053621"/>
    <w:rsid w:val="0005366B"/>
    <w:rsid w:val="00053719"/>
    <w:rsid w:val="00053763"/>
    <w:rsid w:val="000537B6"/>
    <w:rsid w:val="00053823"/>
    <w:rsid w:val="0005382A"/>
    <w:rsid w:val="0005382E"/>
    <w:rsid w:val="00053831"/>
    <w:rsid w:val="00053842"/>
    <w:rsid w:val="000538A2"/>
    <w:rsid w:val="000538C4"/>
    <w:rsid w:val="00053972"/>
    <w:rsid w:val="000539AA"/>
    <w:rsid w:val="000539B5"/>
    <w:rsid w:val="000539B8"/>
    <w:rsid w:val="000539CD"/>
    <w:rsid w:val="00053A68"/>
    <w:rsid w:val="00053A78"/>
    <w:rsid w:val="00053AD7"/>
    <w:rsid w:val="00053B53"/>
    <w:rsid w:val="00053B60"/>
    <w:rsid w:val="00053C56"/>
    <w:rsid w:val="00053D13"/>
    <w:rsid w:val="00053D1A"/>
    <w:rsid w:val="00053DBE"/>
    <w:rsid w:val="00053E25"/>
    <w:rsid w:val="00053E6E"/>
    <w:rsid w:val="00053E7B"/>
    <w:rsid w:val="00053F9E"/>
    <w:rsid w:val="00053FCD"/>
    <w:rsid w:val="00053FE9"/>
    <w:rsid w:val="00054055"/>
    <w:rsid w:val="00054101"/>
    <w:rsid w:val="00054129"/>
    <w:rsid w:val="000541C5"/>
    <w:rsid w:val="000541E1"/>
    <w:rsid w:val="00054209"/>
    <w:rsid w:val="00054213"/>
    <w:rsid w:val="00054300"/>
    <w:rsid w:val="0005436F"/>
    <w:rsid w:val="0005459E"/>
    <w:rsid w:val="000545F0"/>
    <w:rsid w:val="00054628"/>
    <w:rsid w:val="0005465C"/>
    <w:rsid w:val="000546AD"/>
    <w:rsid w:val="000546D3"/>
    <w:rsid w:val="000546E9"/>
    <w:rsid w:val="00054760"/>
    <w:rsid w:val="000547D1"/>
    <w:rsid w:val="000547EE"/>
    <w:rsid w:val="000548AB"/>
    <w:rsid w:val="000548C8"/>
    <w:rsid w:val="00054AAE"/>
    <w:rsid w:val="00054ACD"/>
    <w:rsid w:val="00054AF6"/>
    <w:rsid w:val="00054B1E"/>
    <w:rsid w:val="00054B57"/>
    <w:rsid w:val="00054BB1"/>
    <w:rsid w:val="00054BD2"/>
    <w:rsid w:val="00054C49"/>
    <w:rsid w:val="00054C82"/>
    <w:rsid w:val="00054D8D"/>
    <w:rsid w:val="00054DB9"/>
    <w:rsid w:val="00054DC8"/>
    <w:rsid w:val="00054DCF"/>
    <w:rsid w:val="00054ED8"/>
    <w:rsid w:val="00054EEF"/>
    <w:rsid w:val="00054F45"/>
    <w:rsid w:val="00054F94"/>
    <w:rsid w:val="00054FAC"/>
    <w:rsid w:val="000550C9"/>
    <w:rsid w:val="000550CC"/>
    <w:rsid w:val="00055187"/>
    <w:rsid w:val="00055286"/>
    <w:rsid w:val="0005528F"/>
    <w:rsid w:val="00055290"/>
    <w:rsid w:val="00055365"/>
    <w:rsid w:val="000553F9"/>
    <w:rsid w:val="0005542C"/>
    <w:rsid w:val="00055430"/>
    <w:rsid w:val="0005549E"/>
    <w:rsid w:val="000554E7"/>
    <w:rsid w:val="0005552F"/>
    <w:rsid w:val="000555DE"/>
    <w:rsid w:val="0005566E"/>
    <w:rsid w:val="0005567C"/>
    <w:rsid w:val="000556C2"/>
    <w:rsid w:val="00055796"/>
    <w:rsid w:val="00055798"/>
    <w:rsid w:val="000557CE"/>
    <w:rsid w:val="000558DF"/>
    <w:rsid w:val="000558FC"/>
    <w:rsid w:val="00055909"/>
    <w:rsid w:val="0005592E"/>
    <w:rsid w:val="000559A4"/>
    <w:rsid w:val="00055A34"/>
    <w:rsid w:val="00055AEB"/>
    <w:rsid w:val="00055AF5"/>
    <w:rsid w:val="00055BDD"/>
    <w:rsid w:val="00055C2F"/>
    <w:rsid w:val="00055CAB"/>
    <w:rsid w:val="00055CE4"/>
    <w:rsid w:val="00055DE5"/>
    <w:rsid w:val="00055E7F"/>
    <w:rsid w:val="00055EB4"/>
    <w:rsid w:val="00055FDE"/>
    <w:rsid w:val="00055FF8"/>
    <w:rsid w:val="000560A1"/>
    <w:rsid w:val="000560DC"/>
    <w:rsid w:val="00056164"/>
    <w:rsid w:val="00056187"/>
    <w:rsid w:val="00056262"/>
    <w:rsid w:val="000562CB"/>
    <w:rsid w:val="00056311"/>
    <w:rsid w:val="0005639B"/>
    <w:rsid w:val="000563F3"/>
    <w:rsid w:val="00056438"/>
    <w:rsid w:val="00056444"/>
    <w:rsid w:val="000564D7"/>
    <w:rsid w:val="000564F7"/>
    <w:rsid w:val="00056502"/>
    <w:rsid w:val="00056557"/>
    <w:rsid w:val="000565D9"/>
    <w:rsid w:val="00056684"/>
    <w:rsid w:val="000566F2"/>
    <w:rsid w:val="00056729"/>
    <w:rsid w:val="000567A0"/>
    <w:rsid w:val="000567A2"/>
    <w:rsid w:val="000567AF"/>
    <w:rsid w:val="000567D6"/>
    <w:rsid w:val="000567EC"/>
    <w:rsid w:val="0005681D"/>
    <w:rsid w:val="00056836"/>
    <w:rsid w:val="00056839"/>
    <w:rsid w:val="00056861"/>
    <w:rsid w:val="000568AE"/>
    <w:rsid w:val="00056960"/>
    <w:rsid w:val="000569B8"/>
    <w:rsid w:val="00056A4C"/>
    <w:rsid w:val="00056AB3"/>
    <w:rsid w:val="00056AFB"/>
    <w:rsid w:val="00056B64"/>
    <w:rsid w:val="00056BB0"/>
    <w:rsid w:val="00056C2A"/>
    <w:rsid w:val="00056C61"/>
    <w:rsid w:val="00056CBD"/>
    <w:rsid w:val="00056E4D"/>
    <w:rsid w:val="00056E5A"/>
    <w:rsid w:val="00056E69"/>
    <w:rsid w:val="00056ED1"/>
    <w:rsid w:val="00056EE9"/>
    <w:rsid w:val="0005701B"/>
    <w:rsid w:val="0005707B"/>
    <w:rsid w:val="000570B6"/>
    <w:rsid w:val="000570D8"/>
    <w:rsid w:val="0005714D"/>
    <w:rsid w:val="0005715D"/>
    <w:rsid w:val="00057183"/>
    <w:rsid w:val="0005718C"/>
    <w:rsid w:val="00057193"/>
    <w:rsid w:val="00057213"/>
    <w:rsid w:val="0005721D"/>
    <w:rsid w:val="00057243"/>
    <w:rsid w:val="0005724B"/>
    <w:rsid w:val="000572F4"/>
    <w:rsid w:val="00057380"/>
    <w:rsid w:val="000573D2"/>
    <w:rsid w:val="0005741C"/>
    <w:rsid w:val="0005743E"/>
    <w:rsid w:val="00057461"/>
    <w:rsid w:val="00057484"/>
    <w:rsid w:val="0005749E"/>
    <w:rsid w:val="000574BF"/>
    <w:rsid w:val="000575A5"/>
    <w:rsid w:val="000575D8"/>
    <w:rsid w:val="000575E5"/>
    <w:rsid w:val="000577A0"/>
    <w:rsid w:val="000577E8"/>
    <w:rsid w:val="000578C7"/>
    <w:rsid w:val="000578E7"/>
    <w:rsid w:val="0005795F"/>
    <w:rsid w:val="000579C0"/>
    <w:rsid w:val="00057A74"/>
    <w:rsid w:val="00057A78"/>
    <w:rsid w:val="00057DE3"/>
    <w:rsid w:val="00057E6C"/>
    <w:rsid w:val="00057ECA"/>
    <w:rsid w:val="00057F05"/>
    <w:rsid w:val="00057F8D"/>
    <w:rsid w:val="00057FB9"/>
    <w:rsid w:val="00060070"/>
    <w:rsid w:val="000600C3"/>
    <w:rsid w:val="00060159"/>
    <w:rsid w:val="0006016F"/>
    <w:rsid w:val="00060218"/>
    <w:rsid w:val="00060247"/>
    <w:rsid w:val="00060325"/>
    <w:rsid w:val="0006037B"/>
    <w:rsid w:val="000603C8"/>
    <w:rsid w:val="000603EE"/>
    <w:rsid w:val="00060480"/>
    <w:rsid w:val="000604D5"/>
    <w:rsid w:val="00060522"/>
    <w:rsid w:val="0006062D"/>
    <w:rsid w:val="0006064E"/>
    <w:rsid w:val="00060696"/>
    <w:rsid w:val="0006083F"/>
    <w:rsid w:val="0006085F"/>
    <w:rsid w:val="0006090A"/>
    <w:rsid w:val="00060AD2"/>
    <w:rsid w:val="00060B5C"/>
    <w:rsid w:val="00060C20"/>
    <w:rsid w:val="00060D08"/>
    <w:rsid w:val="00060D5C"/>
    <w:rsid w:val="00060D6B"/>
    <w:rsid w:val="00060E02"/>
    <w:rsid w:val="00060E37"/>
    <w:rsid w:val="00060E77"/>
    <w:rsid w:val="00060EEC"/>
    <w:rsid w:val="00061030"/>
    <w:rsid w:val="0006115D"/>
    <w:rsid w:val="00061168"/>
    <w:rsid w:val="00061170"/>
    <w:rsid w:val="000611BE"/>
    <w:rsid w:val="000611D8"/>
    <w:rsid w:val="00061275"/>
    <w:rsid w:val="00061294"/>
    <w:rsid w:val="000612CE"/>
    <w:rsid w:val="000612F3"/>
    <w:rsid w:val="00061323"/>
    <w:rsid w:val="0006134F"/>
    <w:rsid w:val="000613FD"/>
    <w:rsid w:val="000614DA"/>
    <w:rsid w:val="000614E1"/>
    <w:rsid w:val="000615AB"/>
    <w:rsid w:val="00061667"/>
    <w:rsid w:val="000617AE"/>
    <w:rsid w:val="000617CE"/>
    <w:rsid w:val="00061880"/>
    <w:rsid w:val="0006188A"/>
    <w:rsid w:val="0006189F"/>
    <w:rsid w:val="000618B9"/>
    <w:rsid w:val="00061A02"/>
    <w:rsid w:val="00061C12"/>
    <w:rsid w:val="00061C32"/>
    <w:rsid w:val="00061C3A"/>
    <w:rsid w:val="00061C5C"/>
    <w:rsid w:val="00061C7A"/>
    <w:rsid w:val="00061CF8"/>
    <w:rsid w:val="00061D22"/>
    <w:rsid w:val="00061D64"/>
    <w:rsid w:val="00061DEB"/>
    <w:rsid w:val="00061F7C"/>
    <w:rsid w:val="00061FDF"/>
    <w:rsid w:val="00062029"/>
    <w:rsid w:val="00062039"/>
    <w:rsid w:val="0006204F"/>
    <w:rsid w:val="000620B0"/>
    <w:rsid w:val="00062101"/>
    <w:rsid w:val="00062130"/>
    <w:rsid w:val="00062182"/>
    <w:rsid w:val="000621E0"/>
    <w:rsid w:val="00062201"/>
    <w:rsid w:val="0006220A"/>
    <w:rsid w:val="0006221A"/>
    <w:rsid w:val="0006222A"/>
    <w:rsid w:val="0006222D"/>
    <w:rsid w:val="0006225D"/>
    <w:rsid w:val="000622AC"/>
    <w:rsid w:val="000622D1"/>
    <w:rsid w:val="00062312"/>
    <w:rsid w:val="0006235A"/>
    <w:rsid w:val="00062468"/>
    <w:rsid w:val="000624D1"/>
    <w:rsid w:val="00062523"/>
    <w:rsid w:val="0006253D"/>
    <w:rsid w:val="0006269C"/>
    <w:rsid w:val="0006274C"/>
    <w:rsid w:val="0006285D"/>
    <w:rsid w:val="00062870"/>
    <w:rsid w:val="00062899"/>
    <w:rsid w:val="000628DE"/>
    <w:rsid w:val="00062A5D"/>
    <w:rsid w:val="00062A67"/>
    <w:rsid w:val="00062A7C"/>
    <w:rsid w:val="00062AF0"/>
    <w:rsid w:val="00062B18"/>
    <w:rsid w:val="00062B39"/>
    <w:rsid w:val="00062B6A"/>
    <w:rsid w:val="00062B84"/>
    <w:rsid w:val="00062BCE"/>
    <w:rsid w:val="00062C16"/>
    <w:rsid w:val="00062C1C"/>
    <w:rsid w:val="00062D2F"/>
    <w:rsid w:val="00062D35"/>
    <w:rsid w:val="00062DE0"/>
    <w:rsid w:val="00062DE4"/>
    <w:rsid w:val="00062EB7"/>
    <w:rsid w:val="00062ED8"/>
    <w:rsid w:val="00062EE8"/>
    <w:rsid w:val="00062F8C"/>
    <w:rsid w:val="00063006"/>
    <w:rsid w:val="0006308D"/>
    <w:rsid w:val="0006310D"/>
    <w:rsid w:val="000631B3"/>
    <w:rsid w:val="000631E3"/>
    <w:rsid w:val="000631FE"/>
    <w:rsid w:val="000632B3"/>
    <w:rsid w:val="000632DD"/>
    <w:rsid w:val="0006339D"/>
    <w:rsid w:val="000633CE"/>
    <w:rsid w:val="000633D1"/>
    <w:rsid w:val="00063493"/>
    <w:rsid w:val="00063496"/>
    <w:rsid w:val="000634D0"/>
    <w:rsid w:val="00063503"/>
    <w:rsid w:val="000635B4"/>
    <w:rsid w:val="0006367A"/>
    <w:rsid w:val="0006368D"/>
    <w:rsid w:val="00063845"/>
    <w:rsid w:val="0006385A"/>
    <w:rsid w:val="0006389C"/>
    <w:rsid w:val="000638BB"/>
    <w:rsid w:val="0006394A"/>
    <w:rsid w:val="0006394C"/>
    <w:rsid w:val="0006394D"/>
    <w:rsid w:val="00063975"/>
    <w:rsid w:val="000639B3"/>
    <w:rsid w:val="000639DA"/>
    <w:rsid w:val="000639E3"/>
    <w:rsid w:val="00063A21"/>
    <w:rsid w:val="00063A58"/>
    <w:rsid w:val="00063A60"/>
    <w:rsid w:val="00063AA3"/>
    <w:rsid w:val="00063B04"/>
    <w:rsid w:val="00063B86"/>
    <w:rsid w:val="00063B9B"/>
    <w:rsid w:val="00063C5D"/>
    <w:rsid w:val="00063CA8"/>
    <w:rsid w:val="00063D3D"/>
    <w:rsid w:val="00063D4A"/>
    <w:rsid w:val="00063D92"/>
    <w:rsid w:val="00063E07"/>
    <w:rsid w:val="00063E5A"/>
    <w:rsid w:val="00063EDC"/>
    <w:rsid w:val="00063F7D"/>
    <w:rsid w:val="00063FC9"/>
    <w:rsid w:val="0006404D"/>
    <w:rsid w:val="000640C7"/>
    <w:rsid w:val="00064121"/>
    <w:rsid w:val="00064166"/>
    <w:rsid w:val="00064190"/>
    <w:rsid w:val="000641A4"/>
    <w:rsid w:val="0006427C"/>
    <w:rsid w:val="00064362"/>
    <w:rsid w:val="0006437F"/>
    <w:rsid w:val="0006445E"/>
    <w:rsid w:val="0006453D"/>
    <w:rsid w:val="0006455C"/>
    <w:rsid w:val="00064563"/>
    <w:rsid w:val="00064617"/>
    <w:rsid w:val="00064674"/>
    <w:rsid w:val="000647B5"/>
    <w:rsid w:val="000647FA"/>
    <w:rsid w:val="000648A3"/>
    <w:rsid w:val="000648B4"/>
    <w:rsid w:val="00064943"/>
    <w:rsid w:val="00064948"/>
    <w:rsid w:val="0006498E"/>
    <w:rsid w:val="000649A4"/>
    <w:rsid w:val="00064A11"/>
    <w:rsid w:val="00064B06"/>
    <w:rsid w:val="00064B29"/>
    <w:rsid w:val="00064B2D"/>
    <w:rsid w:val="00064B53"/>
    <w:rsid w:val="00064B7D"/>
    <w:rsid w:val="00064C09"/>
    <w:rsid w:val="00064C85"/>
    <w:rsid w:val="00064C8B"/>
    <w:rsid w:val="00064CD9"/>
    <w:rsid w:val="00064CDC"/>
    <w:rsid w:val="00064E07"/>
    <w:rsid w:val="00064F2D"/>
    <w:rsid w:val="00064F46"/>
    <w:rsid w:val="00064FD6"/>
    <w:rsid w:val="00065036"/>
    <w:rsid w:val="0006505D"/>
    <w:rsid w:val="000650BB"/>
    <w:rsid w:val="000651E8"/>
    <w:rsid w:val="000652F8"/>
    <w:rsid w:val="00065393"/>
    <w:rsid w:val="00065433"/>
    <w:rsid w:val="0006558B"/>
    <w:rsid w:val="0006560D"/>
    <w:rsid w:val="00065726"/>
    <w:rsid w:val="000657B5"/>
    <w:rsid w:val="000657E4"/>
    <w:rsid w:val="00065818"/>
    <w:rsid w:val="00065835"/>
    <w:rsid w:val="0006587E"/>
    <w:rsid w:val="000658DF"/>
    <w:rsid w:val="000659F6"/>
    <w:rsid w:val="000659FF"/>
    <w:rsid w:val="00065AA4"/>
    <w:rsid w:val="00065AC7"/>
    <w:rsid w:val="00065B09"/>
    <w:rsid w:val="00065B54"/>
    <w:rsid w:val="00065B6C"/>
    <w:rsid w:val="00065D0C"/>
    <w:rsid w:val="00065D65"/>
    <w:rsid w:val="00065DA6"/>
    <w:rsid w:val="00065DD7"/>
    <w:rsid w:val="00065DF4"/>
    <w:rsid w:val="00065ED1"/>
    <w:rsid w:val="00065F02"/>
    <w:rsid w:val="00065F82"/>
    <w:rsid w:val="00065FE2"/>
    <w:rsid w:val="00066012"/>
    <w:rsid w:val="00066023"/>
    <w:rsid w:val="00066058"/>
    <w:rsid w:val="00066089"/>
    <w:rsid w:val="000660FA"/>
    <w:rsid w:val="000660FF"/>
    <w:rsid w:val="0006611F"/>
    <w:rsid w:val="00066138"/>
    <w:rsid w:val="0006614B"/>
    <w:rsid w:val="00066158"/>
    <w:rsid w:val="00066189"/>
    <w:rsid w:val="00066216"/>
    <w:rsid w:val="00066286"/>
    <w:rsid w:val="000662C6"/>
    <w:rsid w:val="000662C7"/>
    <w:rsid w:val="000662CF"/>
    <w:rsid w:val="00066332"/>
    <w:rsid w:val="000663C5"/>
    <w:rsid w:val="000664A0"/>
    <w:rsid w:val="000665DA"/>
    <w:rsid w:val="000666B4"/>
    <w:rsid w:val="000666C6"/>
    <w:rsid w:val="000666DF"/>
    <w:rsid w:val="000667D0"/>
    <w:rsid w:val="00066870"/>
    <w:rsid w:val="000668E1"/>
    <w:rsid w:val="0006690B"/>
    <w:rsid w:val="00066917"/>
    <w:rsid w:val="00066977"/>
    <w:rsid w:val="00066A36"/>
    <w:rsid w:val="00066A52"/>
    <w:rsid w:val="00066AA6"/>
    <w:rsid w:val="00066B25"/>
    <w:rsid w:val="00066B47"/>
    <w:rsid w:val="00066B67"/>
    <w:rsid w:val="00066BE0"/>
    <w:rsid w:val="00066BE4"/>
    <w:rsid w:val="00066CC2"/>
    <w:rsid w:val="00066DBD"/>
    <w:rsid w:val="00066EC8"/>
    <w:rsid w:val="00066F38"/>
    <w:rsid w:val="00066F85"/>
    <w:rsid w:val="00066FAD"/>
    <w:rsid w:val="00067075"/>
    <w:rsid w:val="000670EF"/>
    <w:rsid w:val="000670F4"/>
    <w:rsid w:val="0006711A"/>
    <w:rsid w:val="0006718A"/>
    <w:rsid w:val="0006718D"/>
    <w:rsid w:val="0006719D"/>
    <w:rsid w:val="000671A4"/>
    <w:rsid w:val="000671B0"/>
    <w:rsid w:val="00067233"/>
    <w:rsid w:val="00067242"/>
    <w:rsid w:val="00067245"/>
    <w:rsid w:val="0006737F"/>
    <w:rsid w:val="000673A2"/>
    <w:rsid w:val="000673FD"/>
    <w:rsid w:val="000674B3"/>
    <w:rsid w:val="000675A7"/>
    <w:rsid w:val="000675B6"/>
    <w:rsid w:val="0006762E"/>
    <w:rsid w:val="0006764D"/>
    <w:rsid w:val="0006768D"/>
    <w:rsid w:val="000676A8"/>
    <w:rsid w:val="0006777C"/>
    <w:rsid w:val="000677B4"/>
    <w:rsid w:val="00067802"/>
    <w:rsid w:val="0006781F"/>
    <w:rsid w:val="0006783B"/>
    <w:rsid w:val="0006786F"/>
    <w:rsid w:val="000678CA"/>
    <w:rsid w:val="000678D0"/>
    <w:rsid w:val="000678FB"/>
    <w:rsid w:val="0006796A"/>
    <w:rsid w:val="00067989"/>
    <w:rsid w:val="0006799F"/>
    <w:rsid w:val="000679AC"/>
    <w:rsid w:val="000679CD"/>
    <w:rsid w:val="000679F4"/>
    <w:rsid w:val="00067A2E"/>
    <w:rsid w:val="00067A69"/>
    <w:rsid w:val="00067A79"/>
    <w:rsid w:val="00067A99"/>
    <w:rsid w:val="00067AB7"/>
    <w:rsid w:val="00067AEF"/>
    <w:rsid w:val="00067B2F"/>
    <w:rsid w:val="00067B83"/>
    <w:rsid w:val="00067B84"/>
    <w:rsid w:val="00067C4D"/>
    <w:rsid w:val="00067C58"/>
    <w:rsid w:val="00067C60"/>
    <w:rsid w:val="00067D5B"/>
    <w:rsid w:val="00067D8E"/>
    <w:rsid w:val="00067E07"/>
    <w:rsid w:val="00067EBA"/>
    <w:rsid w:val="00067EC8"/>
    <w:rsid w:val="00067FFD"/>
    <w:rsid w:val="00070023"/>
    <w:rsid w:val="0007009E"/>
    <w:rsid w:val="000700D0"/>
    <w:rsid w:val="000700ED"/>
    <w:rsid w:val="00070205"/>
    <w:rsid w:val="0007020D"/>
    <w:rsid w:val="00070288"/>
    <w:rsid w:val="000702EB"/>
    <w:rsid w:val="0007039C"/>
    <w:rsid w:val="0007039D"/>
    <w:rsid w:val="000703A4"/>
    <w:rsid w:val="00070452"/>
    <w:rsid w:val="0007050F"/>
    <w:rsid w:val="0007052A"/>
    <w:rsid w:val="0007054B"/>
    <w:rsid w:val="000705B5"/>
    <w:rsid w:val="000705EC"/>
    <w:rsid w:val="00070655"/>
    <w:rsid w:val="0007066F"/>
    <w:rsid w:val="000706B8"/>
    <w:rsid w:val="00070710"/>
    <w:rsid w:val="00070771"/>
    <w:rsid w:val="00070842"/>
    <w:rsid w:val="000708D3"/>
    <w:rsid w:val="00070961"/>
    <w:rsid w:val="000709B1"/>
    <w:rsid w:val="00070A22"/>
    <w:rsid w:val="00070AC9"/>
    <w:rsid w:val="00070AD6"/>
    <w:rsid w:val="00070AF3"/>
    <w:rsid w:val="00070B7F"/>
    <w:rsid w:val="00070C56"/>
    <w:rsid w:val="00070D5B"/>
    <w:rsid w:val="00070E1B"/>
    <w:rsid w:val="00070E2F"/>
    <w:rsid w:val="00070E42"/>
    <w:rsid w:val="00070E81"/>
    <w:rsid w:val="00070EB0"/>
    <w:rsid w:val="00070EE5"/>
    <w:rsid w:val="00070F10"/>
    <w:rsid w:val="00070F3A"/>
    <w:rsid w:val="00070F82"/>
    <w:rsid w:val="00070F88"/>
    <w:rsid w:val="0007108C"/>
    <w:rsid w:val="000710A1"/>
    <w:rsid w:val="000710F0"/>
    <w:rsid w:val="000710F9"/>
    <w:rsid w:val="00071135"/>
    <w:rsid w:val="00071180"/>
    <w:rsid w:val="00071198"/>
    <w:rsid w:val="00071503"/>
    <w:rsid w:val="00071518"/>
    <w:rsid w:val="000715B9"/>
    <w:rsid w:val="000715C1"/>
    <w:rsid w:val="000715D9"/>
    <w:rsid w:val="0007166E"/>
    <w:rsid w:val="000716E6"/>
    <w:rsid w:val="000716EC"/>
    <w:rsid w:val="00071737"/>
    <w:rsid w:val="000719B9"/>
    <w:rsid w:val="00071A34"/>
    <w:rsid w:val="00071A3E"/>
    <w:rsid w:val="00071A4E"/>
    <w:rsid w:val="00071A9A"/>
    <w:rsid w:val="00071AED"/>
    <w:rsid w:val="00071B19"/>
    <w:rsid w:val="00071BBA"/>
    <w:rsid w:val="00071C39"/>
    <w:rsid w:val="00071C90"/>
    <w:rsid w:val="00071D0D"/>
    <w:rsid w:val="00071EDF"/>
    <w:rsid w:val="00071EE3"/>
    <w:rsid w:val="00071F03"/>
    <w:rsid w:val="00071F18"/>
    <w:rsid w:val="00071FB2"/>
    <w:rsid w:val="00072107"/>
    <w:rsid w:val="000721BE"/>
    <w:rsid w:val="000721CB"/>
    <w:rsid w:val="00072349"/>
    <w:rsid w:val="00072355"/>
    <w:rsid w:val="00072376"/>
    <w:rsid w:val="0007245D"/>
    <w:rsid w:val="00072482"/>
    <w:rsid w:val="000724DF"/>
    <w:rsid w:val="000724E9"/>
    <w:rsid w:val="00072530"/>
    <w:rsid w:val="00072623"/>
    <w:rsid w:val="0007266A"/>
    <w:rsid w:val="00072719"/>
    <w:rsid w:val="0007276A"/>
    <w:rsid w:val="0007288B"/>
    <w:rsid w:val="000728A5"/>
    <w:rsid w:val="000728AE"/>
    <w:rsid w:val="000728C9"/>
    <w:rsid w:val="0007292F"/>
    <w:rsid w:val="000729DA"/>
    <w:rsid w:val="000729F0"/>
    <w:rsid w:val="000729F8"/>
    <w:rsid w:val="00072A07"/>
    <w:rsid w:val="00072A1A"/>
    <w:rsid w:val="00072A3C"/>
    <w:rsid w:val="00072B0E"/>
    <w:rsid w:val="00072B1D"/>
    <w:rsid w:val="00072BDE"/>
    <w:rsid w:val="00072BFE"/>
    <w:rsid w:val="00072CA1"/>
    <w:rsid w:val="00072CE9"/>
    <w:rsid w:val="00072CEE"/>
    <w:rsid w:val="00072DCE"/>
    <w:rsid w:val="00072E04"/>
    <w:rsid w:val="00072E49"/>
    <w:rsid w:val="00072E72"/>
    <w:rsid w:val="00072E88"/>
    <w:rsid w:val="00072E9C"/>
    <w:rsid w:val="00072EB2"/>
    <w:rsid w:val="00072F0A"/>
    <w:rsid w:val="00072F27"/>
    <w:rsid w:val="00072F62"/>
    <w:rsid w:val="00073046"/>
    <w:rsid w:val="0007320E"/>
    <w:rsid w:val="0007324D"/>
    <w:rsid w:val="000732BE"/>
    <w:rsid w:val="0007331A"/>
    <w:rsid w:val="0007336E"/>
    <w:rsid w:val="0007338F"/>
    <w:rsid w:val="000733DD"/>
    <w:rsid w:val="000733EC"/>
    <w:rsid w:val="00073400"/>
    <w:rsid w:val="0007343F"/>
    <w:rsid w:val="0007344B"/>
    <w:rsid w:val="000734B6"/>
    <w:rsid w:val="00073687"/>
    <w:rsid w:val="000736C9"/>
    <w:rsid w:val="00073707"/>
    <w:rsid w:val="00073753"/>
    <w:rsid w:val="00073824"/>
    <w:rsid w:val="00073890"/>
    <w:rsid w:val="00073935"/>
    <w:rsid w:val="00073A8E"/>
    <w:rsid w:val="00073B0A"/>
    <w:rsid w:val="00073B42"/>
    <w:rsid w:val="00073BBB"/>
    <w:rsid w:val="00073BCC"/>
    <w:rsid w:val="00073C05"/>
    <w:rsid w:val="00073E3B"/>
    <w:rsid w:val="00073ECC"/>
    <w:rsid w:val="00073F4B"/>
    <w:rsid w:val="00073FDE"/>
    <w:rsid w:val="00074067"/>
    <w:rsid w:val="0007408D"/>
    <w:rsid w:val="00074129"/>
    <w:rsid w:val="00074151"/>
    <w:rsid w:val="00074185"/>
    <w:rsid w:val="000741FA"/>
    <w:rsid w:val="0007429C"/>
    <w:rsid w:val="0007433F"/>
    <w:rsid w:val="0007435E"/>
    <w:rsid w:val="000743B1"/>
    <w:rsid w:val="000743E9"/>
    <w:rsid w:val="00074461"/>
    <w:rsid w:val="00074483"/>
    <w:rsid w:val="0007448F"/>
    <w:rsid w:val="00074542"/>
    <w:rsid w:val="0007455D"/>
    <w:rsid w:val="0007460E"/>
    <w:rsid w:val="0007464D"/>
    <w:rsid w:val="000746C1"/>
    <w:rsid w:val="0007470E"/>
    <w:rsid w:val="00074730"/>
    <w:rsid w:val="0007479F"/>
    <w:rsid w:val="00074808"/>
    <w:rsid w:val="00074823"/>
    <w:rsid w:val="0007488F"/>
    <w:rsid w:val="000748A6"/>
    <w:rsid w:val="000748F6"/>
    <w:rsid w:val="0007492D"/>
    <w:rsid w:val="00074974"/>
    <w:rsid w:val="000749E7"/>
    <w:rsid w:val="00074A01"/>
    <w:rsid w:val="00074ACE"/>
    <w:rsid w:val="00074ADD"/>
    <w:rsid w:val="00074AE2"/>
    <w:rsid w:val="00074B1A"/>
    <w:rsid w:val="00074B7B"/>
    <w:rsid w:val="00074BC9"/>
    <w:rsid w:val="00074C00"/>
    <w:rsid w:val="00074C7F"/>
    <w:rsid w:val="00074D0E"/>
    <w:rsid w:val="00074D37"/>
    <w:rsid w:val="00074D85"/>
    <w:rsid w:val="00074E15"/>
    <w:rsid w:val="00074E26"/>
    <w:rsid w:val="00074F3C"/>
    <w:rsid w:val="00074F57"/>
    <w:rsid w:val="00074F97"/>
    <w:rsid w:val="00075146"/>
    <w:rsid w:val="000751D2"/>
    <w:rsid w:val="0007522E"/>
    <w:rsid w:val="00075238"/>
    <w:rsid w:val="00075298"/>
    <w:rsid w:val="0007531B"/>
    <w:rsid w:val="00075355"/>
    <w:rsid w:val="00075393"/>
    <w:rsid w:val="000753B0"/>
    <w:rsid w:val="00075400"/>
    <w:rsid w:val="00075406"/>
    <w:rsid w:val="00075413"/>
    <w:rsid w:val="00075468"/>
    <w:rsid w:val="0007552A"/>
    <w:rsid w:val="0007553A"/>
    <w:rsid w:val="000755B0"/>
    <w:rsid w:val="000756A6"/>
    <w:rsid w:val="000756BE"/>
    <w:rsid w:val="000756DB"/>
    <w:rsid w:val="00075706"/>
    <w:rsid w:val="0007572B"/>
    <w:rsid w:val="00075734"/>
    <w:rsid w:val="00075763"/>
    <w:rsid w:val="0007577C"/>
    <w:rsid w:val="00075806"/>
    <w:rsid w:val="0007580A"/>
    <w:rsid w:val="0007583E"/>
    <w:rsid w:val="00075893"/>
    <w:rsid w:val="00075A0E"/>
    <w:rsid w:val="00075C40"/>
    <w:rsid w:val="00075C73"/>
    <w:rsid w:val="00075CBF"/>
    <w:rsid w:val="00075D21"/>
    <w:rsid w:val="00075D7D"/>
    <w:rsid w:val="00075D87"/>
    <w:rsid w:val="00075DBC"/>
    <w:rsid w:val="00075E62"/>
    <w:rsid w:val="00075E72"/>
    <w:rsid w:val="00075ED0"/>
    <w:rsid w:val="00075F0E"/>
    <w:rsid w:val="00075F1F"/>
    <w:rsid w:val="00075F2B"/>
    <w:rsid w:val="00075F62"/>
    <w:rsid w:val="0007600D"/>
    <w:rsid w:val="0007603B"/>
    <w:rsid w:val="000760EB"/>
    <w:rsid w:val="000762DB"/>
    <w:rsid w:val="000762F9"/>
    <w:rsid w:val="00076367"/>
    <w:rsid w:val="000763B7"/>
    <w:rsid w:val="00076482"/>
    <w:rsid w:val="00076572"/>
    <w:rsid w:val="000765C4"/>
    <w:rsid w:val="000766BD"/>
    <w:rsid w:val="000766D4"/>
    <w:rsid w:val="0007678C"/>
    <w:rsid w:val="000767D4"/>
    <w:rsid w:val="0007691A"/>
    <w:rsid w:val="00076923"/>
    <w:rsid w:val="0007694E"/>
    <w:rsid w:val="00076960"/>
    <w:rsid w:val="000769F3"/>
    <w:rsid w:val="000769F9"/>
    <w:rsid w:val="00076A45"/>
    <w:rsid w:val="00076B6E"/>
    <w:rsid w:val="00076D29"/>
    <w:rsid w:val="00076D8F"/>
    <w:rsid w:val="00076DE0"/>
    <w:rsid w:val="00076E25"/>
    <w:rsid w:val="00076ED3"/>
    <w:rsid w:val="00076EE5"/>
    <w:rsid w:val="00076F36"/>
    <w:rsid w:val="00076F60"/>
    <w:rsid w:val="0007705E"/>
    <w:rsid w:val="000770BA"/>
    <w:rsid w:val="00077141"/>
    <w:rsid w:val="00077164"/>
    <w:rsid w:val="000771DA"/>
    <w:rsid w:val="00077327"/>
    <w:rsid w:val="0007732D"/>
    <w:rsid w:val="00077342"/>
    <w:rsid w:val="000773F3"/>
    <w:rsid w:val="00077419"/>
    <w:rsid w:val="0007741B"/>
    <w:rsid w:val="0007751A"/>
    <w:rsid w:val="0007754B"/>
    <w:rsid w:val="00077608"/>
    <w:rsid w:val="00077639"/>
    <w:rsid w:val="0007767C"/>
    <w:rsid w:val="00077685"/>
    <w:rsid w:val="000776E0"/>
    <w:rsid w:val="000778F8"/>
    <w:rsid w:val="00077920"/>
    <w:rsid w:val="00077B31"/>
    <w:rsid w:val="00077B6D"/>
    <w:rsid w:val="00077BA5"/>
    <w:rsid w:val="00077BB7"/>
    <w:rsid w:val="00077BDD"/>
    <w:rsid w:val="00077E40"/>
    <w:rsid w:val="00077E4A"/>
    <w:rsid w:val="00077F2E"/>
    <w:rsid w:val="00077FF1"/>
    <w:rsid w:val="00080041"/>
    <w:rsid w:val="000800DF"/>
    <w:rsid w:val="0008010C"/>
    <w:rsid w:val="00080142"/>
    <w:rsid w:val="0008015B"/>
    <w:rsid w:val="000801CA"/>
    <w:rsid w:val="000801D8"/>
    <w:rsid w:val="0008020E"/>
    <w:rsid w:val="0008021E"/>
    <w:rsid w:val="000803AD"/>
    <w:rsid w:val="000803D6"/>
    <w:rsid w:val="0008041C"/>
    <w:rsid w:val="000804D0"/>
    <w:rsid w:val="000804DF"/>
    <w:rsid w:val="000804E7"/>
    <w:rsid w:val="000805C6"/>
    <w:rsid w:val="000806C9"/>
    <w:rsid w:val="000807B5"/>
    <w:rsid w:val="00080892"/>
    <w:rsid w:val="000808CA"/>
    <w:rsid w:val="000809AA"/>
    <w:rsid w:val="000809BC"/>
    <w:rsid w:val="000809F7"/>
    <w:rsid w:val="00080AA8"/>
    <w:rsid w:val="00080AD7"/>
    <w:rsid w:val="00080B6F"/>
    <w:rsid w:val="00080B80"/>
    <w:rsid w:val="00080C04"/>
    <w:rsid w:val="00080C19"/>
    <w:rsid w:val="00080C29"/>
    <w:rsid w:val="00080C5D"/>
    <w:rsid w:val="00080CB0"/>
    <w:rsid w:val="00080CCE"/>
    <w:rsid w:val="00080DA9"/>
    <w:rsid w:val="00080DC0"/>
    <w:rsid w:val="00080DCD"/>
    <w:rsid w:val="00080EC2"/>
    <w:rsid w:val="00080EEA"/>
    <w:rsid w:val="00080EF4"/>
    <w:rsid w:val="00080F1D"/>
    <w:rsid w:val="00080FDC"/>
    <w:rsid w:val="00081075"/>
    <w:rsid w:val="00081095"/>
    <w:rsid w:val="00081096"/>
    <w:rsid w:val="000810C9"/>
    <w:rsid w:val="000810D7"/>
    <w:rsid w:val="000810E1"/>
    <w:rsid w:val="00081148"/>
    <w:rsid w:val="000811B2"/>
    <w:rsid w:val="000812DE"/>
    <w:rsid w:val="00081353"/>
    <w:rsid w:val="0008149C"/>
    <w:rsid w:val="0008150E"/>
    <w:rsid w:val="00081589"/>
    <w:rsid w:val="00081656"/>
    <w:rsid w:val="0008165B"/>
    <w:rsid w:val="00081748"/>
    <w:rsid w:val="000817DD"/>
    <w:rsid w:val="00081837"/>
    <w:rsid w:val="0008184A"/>
    <w:rsid w:val="00081859"/>
    <w:rsid w:val="0008191E"/>
    <w:rsid w:val="0008197C"/>
    <w:rsid w:val="00081990"/>
    <w:rsid w:val="000819A9"/>
    <w:rsid w:val="00081B07"/>
    <w:rsid w:val="00081BCB"/>
    <w:rsid w:val="00081C56"/>
    <w:rsid w:val="00081CDB"/>
    <w:rsid w:val="00081CFD"/>
    <w:rsid w:val="00081DB6"/>
    <w:rsid w:val="00081DE5"/>
    <w:rsid w:val="00081E93"/>
    <w:rsid w:val="00081ECD"/>
    <w:rsid w:val="00081FEC"/>
    <w:rsid w:val="00081FF7"/>
    <w:rsid w:val="00082017"/>
    <w:rsid w:val="0008218E"/>
    <w:rsid w:val="0008222D"/>
    <w:rsid w:val="000822A3"/>
    <w:rsid w:val="000822AE"/>
    <w:rsid w:val="000822DA"/>
    <w:rsid w:val="000822E5"/>
    <w:rsid w:val="00082332"/>
    <w:rsid w:val="00082392"/>
    <w:rsid w:val="00082410"/>
    <w:rsid w:val="00082452"/>
    <w:rsid w:val="00082469"/>
    <w:rsid w:val="00082523"/>
    <w:rsid w:val="0008256E"/>
    <w:rsid w:val="000825B6"/>
    <w:rsid w:val="00082624"/>
    <w:rsid w:val="000827A9"/>
    <w:rsid w:val="000827B3"/>
    <w:rsid w:val="00082834"/>
    <w:rsid w:val="0008287B"/>
    <w:rsid w:val="0008290C"/>
    <w:rsid w:val="000829E6"/>
    <w:rsid w:val="00082A7E"/>
    <w:rsid w:val="00082A86"/>
    <w:rsid w:val="00082C02"/>
    <w:rsid w:val="00082C45"/>
    <w:rsid w:val="00082C4A"/>
    <w:rsid w:val="00082CB1"/>
    <w:rsid w:val="00082CCB"/>
    <w:rsid w:val="00082D44"/>
    <w:rsid w:val="00082D71"/>
    <w:rsid w:val="00082E11"/>
    <w:rsid w:val="00082E78"/>
    <w:rsid w:val="00082F3B"/>
    <w:rsid w:val="00082F78"/>
    <w:rsid w:val="00082FCA"/>
    <w:rsid w:val="0008306F"/>
    <w:rsid w:val="00083080"/>
    <w:rsid w:val="00083127"/>
    <w:rsid w:val="00083178"/>
    <w:rsid w:val="000831B2"/>
    <w:rsid w:val="000831C6"/>
    <w:rsid w:val="000831E4"/>
    <w:rsid w:val="000832D9"/>
    <w:rsid w:val="00083383"/>
    <w:rsid w:val="000833C4"/>
    <w:rsid w:val="00083428"/>
    <w:rsid w:val="00083443"/>
    <w:rsid w:val="00083461"/>
    <w:rsid w:val="0008347D"/>
    <w:rsid w:val="00083481"/>
    <w:rsid w:val="00083610"/>
    <w:rsid w:val="00083669"/>
    <w:rsid w:val="0008367E"/>
    <w:rsid w:val="0008369B"/>
    <w:rsid w:val="0008374E"/>
    <w:rsid w:val="000837F6"/>
    <w:rsid w:val="00083811"/>
    <w:rsid w:val="000838B0"/>
    <w:rsid w:val="000839A5"/>
    <w:rsid w:val="000839D3"/>
    <w:rsid w:val="00083A8E"/>
    <w:rsid w:val="00083B80"/>
    <w:rsid w:val="00083C4C"/>
    <w:rsid w:val="00083C7F"/>
    <w:rsid w:val="00083CAB"/>
    <w:rsid w:val="00083D33"/>
    <w:rsid w:val="00083D79"/>
    <w:rsid w:val="00083E08"/>
    <w:rsid w:val="00083E1A"/>
    <w:rsid w:val="00083E21"/>
    <w:rsid w:val="00083E91"/>
    <w:rsid w:val="00083FC3"/>
    <w:rsid w:val="00083FD7"/>
    <w:rsid w:val="0008411D"/>
    <w:rsid w:val="000841D8"/>
    <w:rsid w:val="0008425B"/>
    <w:rsid w:val="00084286"/>
    <w:rsid w:val="0008430B"/>
    <w:rsid w:val="00084361"/>
    <w:rsid w:val="00084371"/>
    <w:rsid w:val="000844C0"/>
    <w:rsid w:val="000844CA"/>
    <w:rsid w:val="000844FF"/>
    <w:rsid w:val="00084501"/>
    <w:rsid w:val="000845AD"/>
    <w:rsid w:val="00084649"/>
    <w:rsid w:val="0008469B"/>
    <w:rsid w:val="000846E6"/>
    <w:rsid w:val="0008470B"/>
    <w:rsid w:val="00084734"/>
    <w:rsid w:val="0008476C"/>
    <w:rsid w:val="00084881"/>
    <w:rsid w:val="000848BF"/>
    <w:rsid w:val="00084936"/>
    <w:rsid w:val="00084963"/>
    <w:rsid w:val="000849D0"/>
    <w:rsid w:val="00084A2F"/>
    <w:rsid w:val="00084A56"/>
    <w:rsid w:val="00084A5C"/>
    <w:rsid w:val="00084AAA"/>
    <w:rsid w:val="00084AB4"/>
    <w:rsid w:val="00084B4A"/>
    <w:rsid w:val="00084BBE"/>
    <w:rsid w:val="00084BFD"/>
    <w:rsid w:val="00084C0B"/>
    <w:rsid w:val="00084C25"/>
    <w:rsid w:val="00084C2A"/>
    <w:rsid w:val="00084C47"/>
    <w:rsid w:val="00084C85"/>
    <w:rsid w:val="00084C96"/>
    <w:rsid w:val="00084D1C"/>
    <w:rsid w:val="00084D52"/>
    <w:rsid w:val="00084DA9"/>
    <w:rsid w:val="00084DD2"/>
    <w:rsid w:val="00084DF5"/>
    <w:rsid w:val="00084E60"/>
    <w:rsid w:val="00084EB7"/>
    <w:rsid w:val="00084EE6"/>
    <w:rsid w:val="00085002"/>
    <w:rsid w:val="00085018"/>
    <w:rsid w:val="00085028"/>
    <w:rsid w:val="00085113"/>
    <w:rsid w:val="0008523E"/>
    <w:rsid w:val="00085256"/>
    <w:rsid w:val="0008526D"/>
    <w:rsid w:val="00085272"/>
    <w:rsid w:val="0008530A"/>
    <w:rsid w:val="0008532D"/>
    <w:rsid w:val="000853BE"/>
    <w:rsid w:val="000853CF"/>
    <w:rsid w:val="000853E4"/>
    <w:rsid w:val="000853F1"/>
    <w:rsid w:val="000853FC"/>
    <w:rsid w:val="00085406"/>
    <w:rsid w:val="00085409"/>
    <w:rsid w:val="00085430"/>
    <w:rsid w:val="000855FD"/>
    <w:rsid w:val="0008561D"/>
    <w:rsid w:val="00085670"/>
    <w:rsid w:val="000857A6"/>
    <w:rsid w:val="000857AD"/>
    <w:rsid w:val="00085834"/>
    <w:rsid w:val="0008583A"/>
    <w:rsid w:val="0008586B"/>
    <w:rsid w:val="000858F6"/>
    <w:rsid w:val="00085908"/>
    <w:rsid w:val="0008593D"/>
    <w:rsid w:val="00085947"/>
    <w:rsid w:val="00085977"/>
    <w:rsid w:val="00085991"/>
    <w:rsid w:val="00085A3A"/>
    <w:rsid w:val="00085A72"/>
    <w:rsid w:val="00085AC1"/>
    <w:rsid w:val="00085AF7"/>
    <w:rsid w:val="00085B23"/>
    <w:rsid w:val="00085B31"/>
    <w:rsid w:val="00085B8C"/>
    <w:rsid w:val="00085BA2"/>
    <w:rsid w:val="00085C43"/>
    <w:rsid w:val="00085C7F"/>
    <w:rsid w:val="00085CD1"/>
    <w:rsid w:val="00085CEF"/>
    <w:rsid w:val="00085D8E"/>
    <w:rsid w:val="00085DBC"/>
    <w:rsid w:val="00085F06"/>
    <w:rsid w:val="00085F3F"/>
    <w:rsid w:val="00085FF5"/>
    <w:rsid w:val="00086056"/>
    <w:rsid w:val="00086064"/>
    <w:rsid w:val="00086145"/>
    <w:rsid w:val="0008615C"/>
    <w:rsid w:val="000861B5"/>
    <w:rsid w:val="000861EA"/>
    <w:rsid w:val="00086203"/>
    <w:rsid w:val="0008624C"/>
    <w:rsid w:val="00086269"/>
    <w:rsid w:val="00086279"/>
    <w:rsid w:val="000862D7"/>
    <w:rsid w:val="0008647E"/>
    <w:rsid w:val="000864F9"/>
    <w:rsid w:val="00086528"/>
    <w:rsid w:val="0008659E"/>
    <w:rsid w:val="000865A4"/>
    <w:rsid w:val="000865B0"/>
    <w:rsid w:val="00086683"/>
    <w:rsid w:val="00086691"/>
    <w:rsid w:val="00086717"/>
    <w:rsid w:val="0008672A"/>
    <w:rsid w:val="0008673F"/>
    <w:rsid w:val="00086773"/>
    <w:rsid w:val="000867EF"/>
    <w:rsid w:val="00086823"/>
    <w:rsid w:val="00086853"/>
    <w:rsid w:val="00086999"/>
    <w:rsid w:val="000869BC"/>
    <w:rsid w:val="000869E2"/>
    <w:rsid w:val="000869EE"/>
    <w:rsid w:val="00086A19"/>
    <w:rsid w:val="00086A1C"/>
    <w:rsid w:val="00086A44"/>
    <w:rsid w:val="00086B02"/>
    <w:rsid w:val="00086B1A"/>
    <w:rsid w:val="00086B48"/>
    <w:rsid w:val="00086BF4"/>
    <w:rsid w:val="00086CC8"/>
    <w:rsid w:val="00086CDD"/>
    <w:rsid w:val="00086D2C"/>
    <w:rsid w:val="00086D60"/>
    <w:rsid w:val="00086D63"/>
    <w:rsid w:val="00086DD5"/>
    <w:rsid w:val="00086E13"/>
    <w:rsid w:val="00086E74"/>
    <w:rsid w:val="00086EB1"/>
    <w:rsid w:val="00086F03"/>
    <w:rsid w:val="00086FB7"/>
    <w:rsid w:val="00087059"/>
    <w:rsid w:val="00087106"/>
    <w:rsid w:val="00087117"/>
    <w:rsid w:val="0008717A"/>
    <w:rsid w:val="000871E5"/>
    <w:rsid w:val="00087207"/>
    <w:rsid w:val="0008721B"/>
    <w:rsid w:val="0008727A"/>
    <w:rsid w:val="0008727F"/>
    <w:rsid w:val="00087295"/>
    <w:rsid w:val="0008730F"/>
    <w:rsid w:val="000873B6"/>
    <w:rsid w:val="00087408"/>
    <w:rsid w:val="00087421"/>
    <w:rsid w:val="0008749F"/>
    <w:rsid w:val="000874F4"/>
    <w:rsid w:val="00087558"/>
    <w:rsid w:val="0008755D"/>
    <w:rsid w:val="00087657"/>
    <w:rsid w:val="00087672"/>
    <w:rsid w:val="00087686"/>
    <w:rsid w:val="000876BC"/>
    <w:rsid w:val="000876D9"/>
    <w:rsid w:val="0008781C"/>
    <w:rsid w:val="00087887"/>
    <w:rsid w:val="000878B9"/>
    <w:rsid w:val="000878D7"/>
    <w:rsid w:val="000879AD"/>
    <w:rsid w:val="000879CB"/>
    <w:rsid w:val="00087AA8"/>
    <w:rsid w:val="00087AE1"/>
    <w:rsid w:val="00087B11"/>
    <w:rsid w:val="00087B40"/>
    <w:rsid w:val="00087B96"/>
    <w:rsid w:val="00087C03"/>
    <w:rsid w:val="00087C97"/>
    <w:rsid w:val="00087D42"/>
    <w:rsid w:val="00087D4F"/>
    <w:rsid w:val="00087D52"/>
    <w:rsid w:val="00087E7C"/>
    <w:rsid w:val="00087F57"/>
    <w:rsid w:val="00087F88"/>
    <w:rsid w:val="000900D5"/>
    <w:rsid w:val="000900EF"/>
    <w:rsid w:val="00090105"/>
    <w:rsid w:val="0009013C"/>
    <w:rsid w:val="0009014F"/>
    <w:rsid w:val="00090180"/>
    <w:rsid w:val="00090228"/>
    <w:rsid w:val="00090246"/>
    <w:rsid w:val="000902D4"/>
    <w:rsid w:val="000902F0"/>
    <w:rsid w:val="00090322"/>
    <w:rsid w:val="000903A0"/>
    <w:rsid w:val="000903FD"/>
    <w:rsid w:val="00090414"/>
    <w:rsid w:val="0009046D"/>
    <w:rsid w:val="000904CA"/>
    <w:rsid w:val="00090514"/>
    <w:rsid w:val="00090542"/>
    <w:rsid w:val="00090697"/>
    <w:rsid w:val="000906C0"/>
    <w:rsid w:val="000906E1"/>
    <w:rsid w:val="000906E5"/>
    <w:rsid w:val="0009072C"/>
    <w:rsid w:val="00090783"/>
    <w:rsid w:val="00090857"/>
    <w:rsid w:val="00090870"/>
    <w:rsid w:val="0009096D"/>
    <w:rsid w:val="00090A8E"/>
    <w:rsid w:val="00090AF2"/>
    <w:rsid w:val="00090B9D"/>
    <w:rsid w:val="00090BC8"/>
    <w:rsid w:val="00090C63"/>
    <w:rsid w:val="00090CA2"/>
    <w:rsid w:val="00090CF0"/>
    <w:rsid w:val="00090D95"/>
    <w:rsid w:val="00090E15"/>
    <w:rsid w:val="00090E58"/>
    <w:rsid w:val="00090E83"/>
    <w:rsid w:val="00090E94"/>
    <w:rsid w:val="00090E97"/>
    <w:rsid w:val="00090EE3"/>
    <w:rsid w:val="00090EF8"/>
    <w:rsid w:val="00090FE6"/>
    <w:rsid w:val="00091055"/>
    <w:rsid w:val="0009105B"/>
    <w:rsid w:val="00091101"/>
    <w:rsid w:val="00091147"/>
    <w:rsid w:val="0009124C"/>
    <w:rsid w:val="000912DB"/>
    <w:rsid w:val="0009130A"/>
    <w:rsid w:val="00091393"/>
    <w:rsid w:val="00091402"/>
    <w:rsid w:val="000914F0"/>
    <w:rsid w:val="0009159D"/>
    <w:rsid w:val="0009164E"/>
    <w:rsid w:val="00091768"/>
    <w:rsid w:val="000917F3"/>
    <w:rsid w:val="00091875"/>
    <w:rsid w:val="000918E0"/>
    <w:rsid w:val="000918FC"/>
    <w:rsid w:val="00091941"/>
    <w:rsid w:val="00091970"/>
    <w:rsid w:val="00091A03"/>
    <w:rsid w:val="00091A9C"/>
    <w:rsid w:val="00091AB3"/>
    <w:rsid w:val="00091B23"/>
    <w:rsid w:val="00091B7B"/>
    <w:rsid w:val="00091C1A"/>
    <w:rsid w:val="00091C4B"/>
    <w:rsid w:val="00091CCD"/>
    <w:rsid w:val="00091D48"/>
    <w:rsid w:val="00091F1B"/>
    <w:rsid w:val="00092061"/>
    <w:rsid w:val="0009207F"/>
    <w:rsid w:val="0009208E"/>
    <w:rsid w:val="000920E7"/>
    <w:rsid w:val="000921BA"/>
    <w:rsid w:val="00092217"/>
    <w:rsid w:val="000922DB"/>
    <w:rsid w:val="000923EB"/>
    <w:rsid w:val="00092420"/>
    <w:rsid w:val="00092462"/>
    <w:rsid w:val="0009258C"/>
    <w:rsid w:val="00092600"/>
    <w:rsid w:val="00092651"/>
    <w:rsid w:val="00092658"/>
    <w:rsid w:val="00092677"/>
    <w:rsid w:val="00092692"/>
    <w:rsid w:val="00092698"/>
    <w:rsid w:val="00092707"/>
    <w:rsid w:val="00092772"/>
    <w:rsid w:val="00092809"/>
    <w:rsid w:val="00092845"/>
    <w:rsid w:val="00092850"/>
    <w:rsid w:val="000928D1"/>
    <w:rsid w:val="00092957"/>
    <w:rsid w:val="00092964"/>
    <w:rsid w:val="00092A19"/>
    <w:rsid w:val="00092A3A"/>
    <w:rsid w:val="00092A84"/>
    <w:rsid w:val="00092AA6"/>
    <w:rsid w:val="00092B13"/>
    <w:rsid w:val="00092B87"/>
    <w:rsid w:val="00092BC9"/>
    <w:rsid w:val="00092C0F"/>
    <w:rsid w:val="00092C42"/>
    <w:rsid w:val="00092CF9"/>
    <w:rsid w:val="00092D62"/>
    <w:rsid w:val="00092DF3"/>
    <w:rsid w:val="00092E0D"/>
    <w:rsid w:val="00092E4A"/>
    <w:rsid w:val="00092E95"/>
    <w:rsid w:val="00092EB5"/>
    <w:rsid w:val="00092F10"/>
    <w:rsid w:val="000930E5"/>
    <w:rsid w:val="00093172"/>
    <w:rsid w:val="000931B5"/>
    <w:rsid w:val="000931ED"/>
    <w:rsid w:val="00093201"/>
    <w:rsid w:val="00093210"/>
    <w:rsid w:val="0009328F"/>
    <w:rsid w:val="000932AE"/>
    <w:rsid w:val="000932E3"/>
    <w:rsid w:val="00093314"/>
    <w:rsid w:val="000933F3"/>
    <w:rsid w:val="0009349D"/>
    <w:rsid w:val="000934BE"/>
    <w:rsid w:val="000934C4"/>
    <w:rsid w:val="00093583"/>
    <w:rsid w:val="00093590"/>
    <w:rsid w:val="00093597"/>
    <w:rsid w:val="000935C4"/>
    <w:rsid w:val="0009362D"/>
    <w:rsid w:val="00093637"/>
    <w:rsid w:val="0009368C"/>
    <w:rsid w:val="0009368E"/>
    <w:rsid w:val="0009371A"/>
    <w:rsid w:val="00093737"/>
    <w:rsid w:val="000937C7"/>
    <w:rsid w:val="000937FE"/>
    <w:rsid w:val="00093940"/>
    <w:rsid w:val="0009399B"/>
    <w:rsid w:val="00093A13"/>
    <w:rsid w:val="00093BF2"/>
    <w:rsid w:val="00093D93"/>
    <w:rsid w:val="00093E89"/>
    <w:rsid w:val="00093EC8"/>
    <w:rsid w:val="00094034"/>
    <w:rsid w:val="00094087"/>
    <w:rsid w:val="00094160"/>
    <w:rsid w:val="0009428C"/>
    <w:rsid w:val="000942BC"/>
    <w:rsid w:val="00094489"/>
    <w:rsid w:val="00094494"/>
    <w:rsid w:val="000944A3"/>
    <w:rsid w:val="00094531"/>
    <w:rsid w:val="000945BD"/>
    <w:rsid w:val="00094604"/>
    <w:rsid w:val="0009474E"/>
    <w:rsid w:val="00094820"/>
    <w:rsid w:val="000948E6"/>
    <w:rsid w:val="00094930"/>
    <w:rsid w:val="0009493F"/>
    <w:rsid w:val="00094AB2"/>
    <w:rsid w:val="00094C0F"/>
    <w:rsid w:val="00094C21"/>
    <w:rsid w:val="00094CAF"/>
    <w:rsid w:val="00094D88"/>
    <w:rsid w:val="00094E5D"/>
    <w:rsid w:val="00094EC2"/>
    <w:rsid w:val="00094F39"/>
    <w:rsid w:val="00094F42"/>
    <w:rsid w:val="00094F7E"/>
    <w:rsid w:val="00095078"/>
    <w:rsid w:val="000951C1"/>
    <w:rsid w:val="00095209"/>
    <w:rsid w:val="00095224"/>
    <w:rsid w:val="0009526A"/>
    <w:rsid w:val="0009527D"/>
    <w:rsid w:val="000952B0"/>
    <w:rsid w:val="000952D1"/>
    <w:rsid w:val="0009536F"/>
    <w:rsid w:val="000953FB"/>
    <w:rsid w:val="000954A5"/>
    <w:rsid w:val="000954C1"/>
    <w:rsid w:val="00095683"/>
    <w:rsid w:val="0009569A"/>
    <w:rsid w:val="000956C7"/>
    <w:rsid w:val="000956C9"/>
    <w:rsid w:val="00095730"/>
    <w:rsid w:val="00095764"/>
    <w:rsid w:val="00095814"/>
    <w:rsid w:val="00095833"/>
    <w:rsid w:val="0009584C"/>
    <w:rsid w:val="000958EC"/>
    <w:rsid w:val="00095965"/>
    <w:rsid w:val="00095A38"/>
    <w:rsid w:val="00095AF4"/>
    <w:rsid w:val="00095B8C"/>
    <w:rsid w:val="00095BC7"/>
    <w:rsid w:val="00095CDD"/>
    <w:rsid w:val="00095D1C"/>
    <w:rsid w:val="00095D70"/>
    <w:rsid w:val="00095DA1"/>
    <w:rsid w:val="00095DCD"/>
    <w:rsid w:val="00095E1D"/>
    <w:rsid w:val="00095E51"/>
    <w:rsid w:val="00095E58"/>
    <w:rsid w:val="00095E86"/>
    <w:rsid w:val="00095EA0"/>
    <w:rsid w:val="00095EFD"/>
    <w:rsid w:val="00095FD4"/>
    <w:rsid w:val="00096072"/>
    <w:rsid w:val="0009607A"/>
    <w:rsid w:val="00096083"/>
    <w:rsid w:val="000960E3"/>
    <w:rsid w:val="00096216"/>
    <w:rsid w:val="0009621B"/>
    <w:rsid w:val="000962F0"/>
    <w:rsid w:val="00096367"/>
    <w:rsid w:val="00096389"/>
    <w:rsid w:val="00096402"/>
    <w:rsid w:val="0009640D"/>
    <w:rsid w:val="00096435"/>
    <w:rsid w:val="000964A8"/>
    <w:rsid w:val="0009651C"/>
    <w:rsid w:val="0009658A"/>
    <w:rsid w:val="000965BB"/>
    <w:rsid w:val="000965E0"/>
    <w:rsid w:val="00096677"/>
    <w:rsid w:val="00096691"/>
    <w:rsid w:val="000966E6"/>
    <w:rsid w:val="00096713"/>
    <w:rsid w:val="0009672B"/>
    <w:rsid w:val="000967C7"/>
    <w:rsid w:val="00096861"/>
    <w:rsid w:val="000968D4"/>
    <w:rsid w:val="000968E6"/>
    <w:rsid w:val="000969C1"/>
    <w:rsid w:val="00096A58"/>
    <w:rsid w:val="00096ACD"/>
    <w:rsid w:val="00096BF3"/>
    <w:rsid w:val="00096C13"/>
    <w:rsid w:val="00096D4F"/>
    <w:rsid w:val="00096D55"/>
    <w:rsid w:val="00096DD7"/>
    <w:rsid w:val="00096E70"/>
    <w:rsid w:val="00096EDB"/>
    <w:rsid w:val="00096F68"/>
    <w:rsid w:val="00096FDF"/>
    <w:rsid w:val="0009704F"/>
    <w:rsid w:val="00097058"/>
    <w:rsid w:val="00097125"/>
    <w:rsid w:val="000971F9"/>
    <w:rsid w:val="00097245"/>
    <w:rsid w:val="00097267"/>
    <w:rsid w:val="000972A8"/>
    <w:rsid w:val="00097345"/>
    <w:rsid w:val="0009735C"/>
    <w:rsid w:val="000973AF"/>
    <w:rsid w:val="00097508"/>
    <w:rsid w:val="00097535"/>
    <w:rsid w:val="00097626"/>
    <w:rsid w:val="00097629"/>
    <w:rsid w:val="0009767B"/>
    <w:rsid w:val="00097684"/>
    <w:rsid w:val="000976D2"/>
    <w:rsid w:val="000977AA"/>
    <w:rsid w:val="00097974"/>
    <w:rsid w:val="000979D1"/>
    <w:rsid w:val="00097A7A"/>
    <w:rsid w:val="00097AEC"/>
    <w:rsid w:val="00097B14"/>
    <w:rsid w:val="00097B29"/>
    <w:rsid w:val="00097BEA"/>
    <w:rsid w:val="00097BFD"/>
    <w:rsid w:val="00097C13"/>
    <w:rsid w:val="00097CBB"/>
    <w:rsid w:val="00097CBC"/>
    <w:rsid w:val="00097CC3"/>
    <w:rsid w:val="00097CEE"/>
    <w:rsid w:val="00097D2B"/>
    <w:rsid w:val="00097D63"/>
    <w:rsid w:val="00097E8D"/>
    <w:rsid w:val="00097EE8"/>
    <w:rsid w:val="00097F98"/>
    <w:rsid w:val="000A0019"/>
    <w:rsid w:val="000A0072"/>
    <w:rsid w:val="000A00EA"/>
    <w:rsid w:val="000A01C2"/>
    <w:rsid w:val="000A01F3"/>
    <w:rsid w:val="000A0286"/>
    <w:rsid w:val="000A028A"/>
    <w:rsid w:val="000A02C1"/>
    <w:rsid w:val="000A036E"/>
    <w:rsid w:val="000A03F3"/>
    <w:rsid w:val="000A03F8"/>
    <w:rsid w:val="000A0420"/>
    <w:rsid w:val="000A05A7"/>
    <w:rsid w:val="000A05D6"/>
    <w:rsid w:val="000A05D8"/>
    <w:rsid w:val="000A05DD"/>
    <w:rsid w:val="000A05F2"/>
    <w:rsid w:val="000A062C"/>
    <w:rsid w:val="000A067D"/>
    <w:rsid w:val="000A0733"/>
    <w:rsid w:val="000A0778"/>
    <w:rsid w:val="000A0789"/>
    <w:rsid w:val="000A0802"/>
    <w:rsid w:val="000A09C1"/>
    <w:rsid w:val="000A09F5"/>
    <w:rsid w:val="000A0A0E"/>
    <w:rsid w:val="000A0A24"/>
    <w:rsid w:val="000A0A56"/>
    <w:rsid w:val="000A0A71"/>
    <w:rsid w:val="000A0AAD"/>
    <w:rsid w:val="000A0B59"/>
    <w:rsid w:val="000A0B61"/>
    <w:rsid w:val="000A0B75"/>
    <w:rsid w:val="000A0B8C"/>
    <w:rsid w:val="000A0CB4"/>
    <w:rsid w:val="000A0D35"/>
    <w:rsid w:val="000A0D7F"/>
    <w:rsid w:val="000A0E4B"/>
    <w:rsid w:val="000A0ED5"/>
    <w:rsid w:val="000A0FF9"/>
    <w:rsid w:val="000A1023"/>
    <w:rsid w:val="000A10E8"/>
    <w:rsid w:val="000A1108"/>
    <w:rsid w:val="000A1118"/>
    <w:rsid w:val="000A1126"/>
    <w:rsid w:val="000A122F"/>
    <w:rsid w:val="000A12A9"/>
    <w:rsid w:val="000A1372"/>
    <w:rsid w:val="000A138A"/>
    <w:rsid w:val="000A13A7"/>
    <w:rsid w:val="000A1481"/>
    <w:rsid w:val="000A14CA"/>
    <w:rsid w:val="000A1545"/>
    <w:rsid w:val="000A1552"/>
    <w:rsid w:val="000A157C"/>
    <w:rsid w:val="000A15C5"/>
    <w:rsid w:val="000A15EB"/>
    <w:rsid w:val="000A1719"/>
    <w:rsid w:val="000A1740"/>
    <w:rsid w:val="000A1825"/>
    <w:rsid w:val="000A183A"/>
    <w:rsid w:val="000A1B8C"/>
    <w:rsid w:val="000A1B93"/>
    <w:rsid w:val="000A1BA1"/>
    <w:rsid w:val="000A1BC1"/>
    <w:rsid w:val="000A1C00"/>
    <w:rsid w:val="000A1C13"/>
    <w:rsid w:val="000A1C38"/>
    <w:rsid w:val="000A1C4E"/>
    <w:rsid w:val="000A1CAE"/>
    <w:rsid w:val="000A1D1E"/>
    <w:rsid w:val="000A1D4A"/>
    <w:rsid w:val="000A1D6D"/>
    <w:rsid w:val="000A1E5E"/>
    <w:rsid w:val="000A1E7E"/>
    <w:rsid w:val="000A1F7F"/>
    <w:rsid w:val="000A2088"/>
    <w:rsid w:val="000A2097"/>
    <w:rsid w:val="000A20A3"/>
    <w:rsid w:val="000A20C8"/>
    <w:rsid w:val="000A2119"/>
    <w:rsid w:val="000A2137"/>
    <w:rsid w:val="000A216B"/>
    <w:rsid w:val="000A2202"/>
    <w:rsid w:val="000A2239"/>
    <w:rsid w:val="000A22BA"/>
    <w:rsid w:val="000A22C7"/>
    <w:rsid w:val="000A23B1"/>
    <w:rsid w:val="000A23EE"/>
    <w:rsid w:val="000A242F"/>
    <w:rsid w:val="000A24A1"/>
    <w:rsid w:val="000A255F"/>
    <w:rsid w:val="000A25F7"/>
    <w:rsid w:val="000A2638"/>
    <w:rsid w:val="000A268D"/>
    <w:rsid w:val="000A269D"/>
    <w:rsid w:val="000A270C"/>
    <w:rsid w:val="000A275C"/>
    <w:rsid w:val="000A276B"/>
    <w:rsid w:val="000A2780"/>
    <w:rsid w:val="000A2878"/>
    <w:rsid w:val="000A2A5F"/>
    <w:rsid w:val="000A2AC0"/>
    <w:rsid w:val="000A2B13"/>
    <w:rsid w:val="000A2B4B"/>
    <w:rsid w:val="000A2C2B"/>
    <w:rsid w:val="000A2CC9"/>
    <w:rsid w:val="000A2D1A"/>
    <w:rsid w:val="000A2E8B"/>
    <w:rsid w:val="000A3041"/>
    <w:rsid w:val="000A304D"/>
    <w:rsid w:val="000A3060"/>
    <w:rsid w:val="000A307E"/>
    <w:rsid w:val="000A30DF"/>
    <w:rsid w:val="000A316E"/>
    <w:rsid w:val="000A3221"/>
    <w:rsid w:val="000A3231"/>
    <w:rsid w:val="000A323A"/>
    <w:rsid w:val="000A32CB"/>
    <w:rsid w:val="000A3310"/>
    <w:rsid w:val="000A3339"/>
    <w:rsid w:val="000A3372"/>
    <w:rsid w:val="000A33D3"/>
    <w:rsid w:val="000A343D"/>
    <w:rsid w:val="000A3467"/>
    <w:rsid w:val="000A3649"/>
    <w:rsid w:val="000A3673"/>
    <w:rsid w:val="000A36A5"/>
    <w:rsid w:val="000A36C7"/>
    <w:rsid w:val="000A3774"/>
    <w:rsid w:val="000A37B8"/>
    <w:rsid w:val="000A3847"/>
    <w:rsid w:val="000A386E"/>
    <w:rsid w:val="000A38F4"/>
    <w:rsid w:val="000A3B14"/>
    <w:rsid w:val="000A3B78"/>
    <w:rsid w:val="000A3B83"/>
    <w:rsid w:val="000A3BF0"/>
    <w:rsid w:val="000A3C3B"/>
    <w:rsid w:val="000A3C68"/>
    <w:rsid w:val="000A3CEB"/>
    <w:rsid w:val="000A3E0B"/>
    <w:rsid w:val="000A3EDA"/>
    <w:rsid w:val="000A3F2F"/>
    <w:rsid w:val="000A4028"/>
    <w:rsid w:val="000A40B5"/>
    <w:rsid w:val="000A40C3"/>
    <w:rsid w:val="000A40D9"/>
    <w:rsid w:val="000A4157"/>
    <w:rsid w:val="000A4204"/>
    <w:rsid w:val="000A421B"/>
    <w:rsid w:val="000A4231"/>
    <w:rsid w:val="000A429E"/>
    <w:rsid w:val="000A42DF"/>
    <w:rsid w:val="000A44FE"/>
    <w:rsid w:val="000A4534"/>
    <w:rsid w:val="000A454F"/>
    <w:rsid w:val="000A4596"/>
    <w:rsid w:val="000A4611"/>
    <w:rsid w:val="000A4629"/>
    <w:rsid w:val="000A4666"/>
    <w:rsid w:val="000A4733"/>
    <w:rsid w:val="000A4790"/>
    <w:rsid w:val="000A4809"/>
    <w:rsid w:val="000A48A5"/>
    <w:rsid w:val="000A4938"/>
    <w:rsid w:val="000A49D6"/>
    <w:rsid w:val="000A4A27"/>
    <w:rsid w:val="000A4A95"/>
    <w:rsid w:val="000A4BEC"/>
    <w:rsid w:val="000A4C2E"/>
    <w:rsid w:val="000A4C51"/>
    <w:rsid w:val="000A4CEE"/>
    <w:rsid w:val="000A4CF3"/>
    <w:rsid w:val="000A4D99"/>
    <w:rsid w:val="000A4E6F"/>
    <w:rsid w:val="000A4E86"/>
    <w:rsid w:val="000A4F2D"/>
    <w:rsid w:val="000A4F5C"/>
    <w:rsid w:val="000A4F98"/>
    <w:rsid w:val="000A4FA3"/>
    <w:rsid w:val="000A4FF1"/>
    <w:rsid w:val="000A502D"/>
    <w:rsid w:val="000A5054"/>
    <w:rsid w:val="000A5067"/>
    <w:rsid w:val="000A509D"/>
    <w:rsid w:val="000A50AE"/>
    <w:rsid w:val="000A50F2"/>
    <w:rsid w:val="000A5182"/>
    <w:rsid w:val="000A51FB"/>
    <w:rsid w:val="000A52B1"/>
    <w:rsid w:val="000A5306"/>
    <w:rsid w:val="000A53AF"/>
    <w:rsid w:val="000A54E4"/>
    <w:rsid w:val="000A552A"/>
    <w:rsid w:val="000A554C"/>
    <w:rsid w:val="000A5591"/>
    <w:rsid w:val="000A55EC"/>
    <w:rsid w:val="000A579D"/>
    <w:rsid w:val="000A581D"/>
    <w:rsid w:val="000A5842"/>
    <w:rsid w:val="000A58A5"/>
    <w:rsid w:val="000A58C1"/>
    <w:rsid w:val="000A5995"/>
    <w:rsid w:val="000A5A2F"/>
    <w:rsid w:val="000A5A4C"/>
    <w:rsid w:val="000A5A99"/>
    <w:rsid w:val="000A5B83"/>
    <w:rsid w:val="000A5C6B"/>
    <w:rsid w:val="000A5CB4"/>
    <w:rsid w:val="000A5D30"/>
    <w:rsid w:val="000A5D57"/>
    <w:rsid w:val="000A5D72"/>
    <w:rsid w:val="000A5DDD"/>
    <w:rsid w:val="000A5E00"/>
    <w:rsid w:val="000A5E81"/>
    <w:rsid w:val="000A5F1E"/>
    <w:rsid w:val="000A5F20"/>
    <w:rsid w:val="000A5FFE"/>
    <w:rsid w:val="000A6065"/>
    <w:rsid w:val="000A606E"/>
    <w:rsid w:val="000A607B"/>
    <w:rsid w:val="000A6106"/>
    <w:rsid w:val="000A61B0"/>
    <w:rsid w:val="000A61FD"/>
    <w:rsid w:val="000A6279"/>
    <w:rsid w:val="000A641A"/>
    <w:rsid w:val="000A6431"/>
    <w:rsid w:val="000A6454"/>
    <w:rsid w:val="000A657E"/>
    <w:rsid w:val="000A65BA"/>
    <w:rsid w:val="000A65F9"/>
    <w:rsid w:val="000A663F"/>
    <w:rsid w:val="000A670D"/>
    <w:rsid w:val="000A672B"/>
    <w:rsid w:val="000A677B"/>
    <w:rsid w:val="000A67A9"/>
    <w:rsid w:val="000A67D5"/>
    <w:rsid w:val="000A67FF"/>
    <w:rsid w:val="000A68F3"/>
    <w:rsid w:val="000A6A9C"/>
    <w:rsid w:val="000A6B58"/>
    <w:rsid w:val="000A6B9F"/>
    <w:rsid w:val="000A6BAF"/>
    <w:rsid w:val="000A6CA5"/>
    <w:rsid w:val="000A6D00"/>
    <w:rsid w:val="000A6D92"/>
    <w:rsid w:val="000A6D95"/>
    <w:rsid w:val="000A6E1E"/>
    <w:rsid w:val="000A6E86"/>
    <w:rsid w:val="000A6EBB"/>
    <w:rsid w:val="000A6EFA"/>
    <w:rsid w:val="000A6F55"/>
    <w:rsid w:val="000A6FA1"/>
    <w:rsid w:val="000A7030"/>
    <w:rsid w:val="000A7070"/>
    <w:rsid w:val="000A708B"/>
    <w:rsid w:val="000A70BA"/>
    <w:rsid w:val="000A711D"/>
    <w:rsid w:val="000A715D"/>
    <w:rsid w:val="000A7203"/>
    <w:rsid w:val="000A7220"/>
    <w:rsid w:val="000A7288"/>
    <w:rsid w:val="000A73AE"/>
    <w:rsid w:val="000A73DF"/>
    <w:rsid w:val="000A73FD"/>
    <w:rsid w:val="000A7481"/>
    <w:rsid w:val="000A74FC"/>
    <w:rsid w:val="000A752E"/>
    <w:rsid w:val="000A7579"/>
    <w:rsid w:val="000A7584"/>
    <w:rsid w:val="000A7598"/>
    <w:rsid w:val="000A759F"/>
    <w:rsid w:val="000A75A2"/>
    <w:rsid w:val="000A75AD"/>
    <w:rsid w:val="000A75BA"/>
    <w:rsid w:val="000A75CD"/>
    <w:rsid w:val="000A75D4"/>
    <w:rsid w:val="000A767C"/>
    <w:rsid w:val="000A76E6"/>
    <w:rsid w:val="000A7705"/>
    <w:rsid w:val="000A7737"/>
    <w:rsid w:val="000A774F"/>
    <w:rsid w:val="000A776F"/>
    <w:rsid w:val="000A7780"/>
    <w:rsid w:val="000A77D8"/>
    <w:rsid w:val="000A78D1"/>
    <w:rsid w:val="000A7A38"/>
    <w:rsid w:val="000A7A78"/>
    <w:rsid w:val="000A7A7E"/>
    <w:rsid w:val="000A7AB1"/>
    <w:rsid w:val="000A7C0E"/>
    <w:rsid w:val="000A7C1A"/>
    <w:rsid w:val="000A7C9B"/>
    <w:rsid w:val="000A7D24"/>
    <w:rsid w:val="000A7E8F"/>
    <w:rsid w:val="000A7FEB"/>
    <w:rsid w:val="000A9274"/>
    <w:rsid w:val="000B0041"/>
    <w:rsid w:val="000B0097"/>
    <w:rsid w:val="000B01E6"/>
    <w:rsid w:val="000B024B"/>
    <w:rsid w:val="000B027E"/>
    <w:rsid w:val="000B0397"/>
    <w:rsid w:val="000B03AD"/>
    <w:rsid w:val="000B03E3"/>
    <w:rsid w:val="000B04FC"/>
    <w:rsid w:val="000B0515"/>
    <w:rsid w:val="000B06D0"/>
    <w:rsid w:val="000B06FC"/>
    <w:rsid w:val="000B078A"/>
    <w:rsid w:val="000B07D7"/>
    <w:rsid w:val="000B07E7"/>
    <w:rsid w:val="000B083A"/>
    <w:rsid w:val="000B09B5"/>
    <w:rsid w:val="000B0A13"/>
    <w:rsid w:val="000B0B08"/>
    <w:rsid w:val="000B0B76"/>
    <w:rsid w:val="000B0B79"/>
    <w:rsid w:val="000B0BD2"/>
    <w:rsid w:val="000B0CD6"/>
    <w:rsid w:val="000B0DDC"/>
    <w:rsid w:val="000B0E3D"/>
    <w:rsid w:val="000B0E8E"/>
    <w:rsid w:val="000B0F72"/>
    <w:rsid w:val="000B0F7F"/>
    <w:rsid w:val="000B0FC5"/>
    <w:rsid w:val="000B1065"/>
    <w:rsid w:val="000B1068"/>
    <w:rsid w:val="000B108E"/>
    <w:rsid w:val="000B11D2"/>
    <w:rsid w:val="000B11D3"/>
    <w:rsid w:val="000B11D7"/>
    <w:rsid w:val="000B11DC"/>
    <w:rsid w:val="000B11F8"/>
    <w:rsid w:val="000B1334"/>
    <w:rsid w:val="000B134F"/>
    <w:rsid w:val="000B1394"/>
    <w:rsid w:val="000B13A7"/>
    <w:rsid w:val="000B13B5"/>
    <w:rsid w:val="000B1436"/>
    <w:rsid w:val="000B1447"/>
    <w:rsid w:val="000B1454"/>
    <w:rsid w:val="000B14B0"/>
    <w:rsid w:val="000B14EB"/>
    <w:rsid w:val="000B1566"/>
    <w:rsid w:val="000B1569"/>
    <w:rsid w:val="000B156B"/>
    <w:rsid w:val="000B1660"/>
    <w:rsid w:val="000B17B4"/>
    <w:rsid w:val="000B17EE"/>
    <w:rsid w:val="000B195D"/>
    <w:rsid w:val="000B196F"/>
    <w:rsid w:val="000B198F"/>
    <w:rsid w:val="000B1995"/>
    <w:rsid w:val="000B1A2D"/>
    <w:rsid w:val="000B1AA7"/>
    <w:rsid w:val="000B1BF8"/>
    <w:rsid w:val="000B1C2C"/>
    <w:rsid w:val="000B1D02"/>
    <w:rsid w:val="000B1EF0"/>
    <w:rsid w:val="000B1F2E"/>
    <w:rsid w:val="000B1F5F"/>
    <w:rsid w:val="000B1F83"/>
    <w:rsid w:val="000B1FAF"/>
    <w:rsid w:val="000B1FB4"/>
    <w:rsid w:val="000B204D"/>
    <w:rsid w:val="000B208A"/>
    <w:rsid w:val="000B20AC"/>
    <w:rsid w:val="000B2145"/>
    <w:rsid w:val="000B22E8"/>
    <w:rsid w:val="000B22F3"/>
    <w:rsid w:val="000B236E"/>
    <w:rsid w:val="000B23D2"/>
    <w:rsid w:val="000B2472"/>
    <w:rsid w:val="000B24BE"/>
    <w:rsid w:val="000B24DA"/>
    <w:rsid w:val="000B2552"/>
    <w:rsid w:val="000B25ED"/>
    <w:rsid w:val="000B2607"/>
    <w:rsid w:val="000B262E"/>
    <w:rsid w:val="000B2693"/>
    <w:rsid w:val="000B27B5"/>
    <w:rsid w:val="000B27CC"/>
    <w:rsid w:val="000B284B"/>
    <w:rsid w:val="000B28E3"/>
    <w:rsid w:val="000B297C"/>
    <w:rsid w:val="000B29ED"/>
    <w:rsid w:val="000B2B22"/>
    <w:rsid w:val="000B2B26"/>
    <w:rsid w:val="000B2BCD"/>
    <w:rsid w:val="000B2BD8"/>
    <w:rsid w:val="000B2BF4"/>
    <w:rsid w:val="000B2C09"/>
    <w:rsid w:val="000B2C2E"/>
    <w:rsid w:val="000B2D28"/>
    <w:rsid w:val="000B2D5F"/>
    <w:rsid w:val="000B2D65"/>
    <w:rsid w:val="000B2DF1"/>
    <w:rsid w:val="000B2E31"/>
    <w:rsid w:val="000B2EB7"/>
    <w:rsid w:val="000B2ED5"/>
    <w:rsid w:val="000B2ED9"/>
    <w:rsid w:val="000B2F8D"/>
    <w:rsid w:val="000B304C"/>
    <w:rsid w:val="000B3163"/>
    <w:rsid w:val="000B317F"/>
    <w:rsid w:val="000B31E4"/>
    <w:rsid w:val="000B346A"/>
    <w:rsid w:val="000B3476"/>
    <w:rsid w:val="000B363F"/>
    <w:rsid w:val="000B365B"/>
    <w:rsid w:val="000B36E6"/>
    <w:rsid w:val="000B37D0"/>
    <w:rsid w:val="000B37E6"/>
    <w:rsid w:val="000B37E7"/>
    <w:rsid w:val="000B383E"/>
    <w:rsid w:val="000B3853"/>
    <w:rsid w:val="000B3913"/>
    <w:rsid w:val="000B397E"/>
    <w:rsid w:val="000B39F1"/>
    <w:rsid w:val="000B3B8E"/>
    <w:rsid w:val="000B3BD7"/>
    <w:rsid w:val="000B3BFE"/>
    <w:rsid w:val="000B3CA2"/>
    <w:rsid w:val="000B3CDE"/>
    <w:rsid w:val="000B3D51"/>
    <w:rsid w:val="000B3D5E"/>
    <w:rsid w:val="000B3DD7"/>
    <w:rsid w:val="000B3DF9"/>
    <w:rsid w:val="000B3E23"/>
    <w:rsid w:val="000B3E4E"/>
    <w:rsid w:val="000B3F4B"/>
    <w:rsid w:val="000B3FDD"/>
    <w:rsid w:val="000B3FFC"/>
    <w:rsid w:val="000B401E"/>
    <w:rsid w:val="000B40C8"/>
    <w:rsid w:val="000B41B9"/>
    <w:rsid w:val="000B4272"/>
    <w:rsid w:val="000B42A3"/>
    <w:rsid w:val="000B4384"/>
    <w:rsid w:val="000B4409"/>
    <w:rsid w:val="000B4595"/>
    <w:rsid w:val="000B4652"/>
    <w:rsid w:val="000B467D"/>
    <w:rsid w:val="000B4770"/>
    <w:rsid w:val="000B479F"/>
    <w:rsid w:val="000B4827"/>
    <w:rsid w:val="000B483F"/>
    <w:rsid w:val="000B489B"/>
    <w:rsid w:val="000B48B1"/>
    <w:rsid w:val="000B494B"/>
    <w:rsid w:val="000B4A2F"/>
    <w:rsid w:val="000B4ABF"/>
    <w:rsid w:val="000B4AF1"/>
    <w:rsid w:val="000B4B2E"/>
    <w:rsid w:val="000B4BDC"/>
    <w:rsid w:val="000B4C18"/>
    <w:rsid w:val="000B4C6B"/>
    <w:rsid w:val="000B4C6E"/>
    <w:rsid w:val="000B4C98"/>
    <w:rsid w:val="000B4CA8"/>
    <w:rsid w:val="000B4CB6"/>
    <w:rsid w:val="000B4CDA"/>
    <w:rsid w:val="000B4CE4"/>
    <w:rsid w:val="000B4D70"/>
    <w:rsid w:val="000B4DBD"/>
    <w:rsid w:val="000B4DE4"/>
    <w:rsid w:val="000B4E85"/>
    <w:rsid w:val="000B4ECB"/>
    <w:rsid w:val="000B4FF4"/>
    <w:rsid w:val="000B501D"/>
    <w:rsid w:val="000B5026"/>
    <w:rsid w:val="000B5058"/>
    <w:rsid w:val="000B50C8"/>
    <w:rsid w:val="000B5169"/>
    <w:rsid w:val="000B519B"/>
    <w:rsid w:val="000B51CB"/>
    <w:rsid w:val="000B51E4"/>
    <w:rsid w:val="000B51EA"/>
    <w:rsid w:val="000B523F"/>
    <w:rsid w:val="000B53A5"/>
    <w:rsid w:val="000B5472"/>
    <w:rsid w:val="000B54CB"/>
    <w:rsid w:val="000B55DD"/>
    <w:rsid w:val="000B561E"/>
    <w:rsid w:val="000B5682"/>
    <w:rsid w:val="000B5694"/>
    <w:rsid w:val="000B56B0"/>
    <w:rsid w:val="000B571C"/>
    <w:rsid w:val="000B57D0"/>
    <w:rsid w:val="000B57D7"/>
    <w:rsid w:val="000B57F5"/>
    <w:rsid w:val="000B58D4"/>
    <w:rsid w:val="000B5947"/>
    <w:rsid w:val="000B5963"/>
    <w:rsid w:val="000B5A3A"/>
    <w:rsid w:val="000B5A7A"/>
    <w:rsid w:val="000B5C44"/>
    <w:rsid w:val="000B5CAE"/>
    <w:rsid w:val="000B5CFA"/>
    <w:rsid w:val="000B5D55"/>
    <w:rsid w:val="000B5DA1"/>
    <w:rsid w:val="000B5DB3"/>
    <w:rsid w:val="000B5DF5"/>
    <w:rsid w:val="000B5DFB"/>
    <w:rsid w:val="000B5E19"/>
    <w:rsid w:val="000B5E91"/>
    <w:rsid w:val="000B5EC4"/>
    <w:rsid w:val="000B5F03"/>
    <w:rsid w:val="000B5FAF"/>
    <w:rsid w:val="000B5FFD"/>
    <w:rsid w:val="000B6080"/>
    <w:rsid w:val="000B6088"/>
    <w:rsid w:val="000B612E"/>
    <w:rsid w:val="000B6232"/>
    <w:rsid w:val="000B6268"/>
    <w:rsid w:val="000B631E"/>
    <w:rsid w:val="000B6373"/>
    <w:rsid w:val="000B63BE"/>
    <w:rsid w:val="000B6418"/>
    <w:rsid w:val="000B6459"/>
    <w:rsid w:val="000B6505"/>
    <w:rsid w:val="000B674E"/>
    <w:rsid w:val="000B6760"/>
    <w:rsid w:val="000B689E"/>
    <w:rsid w:val="000B68AB"/>
    <w:rsid w:val="000B6A11"/>
    <w:rsid w:val="000B6A23"/>
    <w:rsid w:val="000B6A45"/>
    <w:rsid w:val="000B6A53"/>
    <w:rsid w:val="000B6A67"/>
    <w:rsid w:val="000B6AD8"/>
    <w:rsid w:val="000B6B59"/>
    <w:rsid w:val="000B6B99"/>
    <w:rsid w:val="000B6C3B"/>
    <w:rsid w:val="000B6C65"/>
    <w:rsid w:val="000B6C8C"/>
    <w:rsid w:val="000B6D9C"/>
    <w:rsid w:val="000B6DF3"/>
    <w:rsid w:val="000B6E0B"/>
    <w:rsid w:val="000B6E1E"/>
    <w:rsid w:val="000B6E3C"/>
    <w:rsid w:val="000B6E4F"/>
    <w:rsid w:val="000B6EAB"/>
    <w:rsid w:val="000B6EB2"/>
    <w:rsid w:val="000B6F19"/>
    <w:rsid w:val="000B7053"/>
    <w:rsid w:val="000B7107"/>
    <w:rsid w:val="000B7147"/>
    <w:rsid w:val="000B718D"/>
    <w:rsid w:val="000B71CD"/>
    <w:rsid w:val="000B71DF"/>
    <w:rsid w:val="000B7226"/>
    <w:rsid w:val="000B733E"/>
    <w:rsid w:val="000B7341"/>
    <w:rsid w:val="000B736E"/>
    <w:rsid w:val="000B7393"/>
    <w:rsid w:val="000B748B"/>
    <w:rsid w:val="000B7559"/>
    <w:rsid w:val="000B7579"/>
    <w:rsid w:val="000B757D"/>
    <w:rsid w:val="000B7594"/>
    <w:rsid w:val="000B75C4"/>
    <w:rsid w:val="000B7622"/>
    <w:rsid w:val="000B7682"/>
    <w:rsid w:val="000B773C"/>
    <w:rsid w:val="000B7753"/>
    <w:rsid w:val="000B77A6"/>
    <w:rsid w:val="000B78D0"/>
    <w:rsid w:val="000B78D3"/>
    <w:rsid w:val="000B78E6"/>
    <w:rsid w:val="000B790F"/>
    <w:rsid w:val="000B7A1F"/>
    <w:rsid w:val="000B7A48"/>
    <w:rsid w:val="000B7A8F"/>
    <w:rsid w:val="000B7C09"/>
    <w:rsid w:val="000B7C62"/>
    <w:rsid w:val="000B7CA1"/>
    <w:rsid w:val="000B7D0F"/>
    <w:rsid w:val="000B7F03"/>
    <w:rsid w:val="000B7F31"/>
    <w:rsid w:val="000B7F5B"/>
    <w:rsid w:val="000B7F6E"/>
    <w:rsid w:val="000B7FD5"/>
    <w:rsid w:val="000C0107"/>
    <w:rsid w:val="000C010A"/>
    <w:rsid w:val="000C0151"/>
    <w:rsid w:val="000C0178"/>
    <w:rsid w:val="000C01DB"/>
    <w:rsid w:val="000C0278"/>
    <w:rsid w:val="000C028D"/>
    <w:rsid w:val="000C02CD"/>
    <w:rsid w:val="000C03FD"/>
    <w:rsid w:val="000C0455"/>
    <w:rsid w:val="000C049E"/>
    <w:rsid w:val="000C056C"/>
    <w:rsid w:val="000C05FE"/>
    <w:rsid w:val="000C0622"/>
    <w:rsid w:val="000C062D"/>
    <w:rsid w:val="000C0638"/>
    <w:rsid w:val="000C0643"/>
    <w:rsid w:val="000C0683"/>
    <w:rsid w:val="000C0689"/>
    <w:rsid w:val="000C0717"/>
    <w:rsid w:val="000C07A2"/>
    <w:rsid w:val="000C083B"/>
    <w:rsid w:val="000C083E"/>
    <w:rsid w:val="000C08C1"/>
    <w:rsid w:val="000C08DC"/>
    <w:rsid w:val="000C0939"/>
    <w:rsid w:val="000C095D"/>
    <w:rsid w:val="000C096D"/>
    <w:rsid w:val="000C0972"/>
    <w:rsid w:val="000C0A23"/>
    <w:rsid w:val="000C0A4A"/>
    <w:rsid w:val="000C0A95"/>
    <w:rsid w:val="000C0B1D"/>
    <w:rsid w:val="000C0B2F"/>
    <w:rsid w:val="000C0B5C"/>
    <w:rsid w:val="000C0BD6"/>
    <w:rsid w:val="000C0C92"/>
    <w:rsid w:val="000C0CB1"/>
    <w:rsid w:val="000C0D23"/>
    <w:rsid w:val="000C0EFA"/>
    <w:rsid w:val="000C0F00"/>
    <w:rsid w:val="000C0F0C"/>
    <w:rsid w:val="000C0F0E"/>
    <w:rsid w:val="000C0F1F"/>
    <w:rsid w:val="000C0F40"/>
    <w:rsid w:val="000C116E"/>
    <w:rsid w:val="000C11BA"/>
    <w:rsid w:val="000C132F"/>
    <w:rsid w:val="000C1343"/>
    <w:rsid w:val="000C137C"/>
    <w:rsid w:val="000C13B2"/>
    <w:rsid w:val="000C141C"/>
    <w:rsid w:val="000C1427"/>
    <w:rsid w:val="000C1438"/>
    <w:rsid w:val="000C15A9"/>
    <w:rsid w:val="000C15F1"/>
    <w:rsid w:val="000C1661"/>
    <w:rsid w:val="000C1696"/>
    <w:rsid w:val="000C16A1"/>
    <w:rsid w:val="000C16A2"/>
    <w:rsid w:val="000C16CB"/>
    <w:rsid w:val="000C16E7"/>
    <w:rsid w:val="000C1737"/>
    <w:rsid w:val="000C174B"/>
    <w:rsid w:val="000C17F3"/>
    <w:rsid w:val="000C1891"/>
    <w:rsid w:val="000C18AB"/>
    <w:rsid w:val="000C18FB"/>
    <w:rsid w:val="000C1930"/>
    <w:rsid w:val="000C195A"/>
    <w:rsid w:val="000C1A4A"/>
    <w:rsid w:val="000C1A7D"/>
    <w:rsid w:val="000C1AB9"/>
    <w:rsid w:val="000C1B82"/>
    <w:rsid w:val="000C1BB4"/>
    <w:rsid w:val="000C1BC2"/>
    <w:rsid w:val="000C1CFE"/>
    <w:rsid w:val="000C1DB8"/>
    <w:rsid w:val="000C1DBF"/>
    <w:rsid w:val="000C1E2B"/>
    <w:rsid w:val="000C1E57"/>
    <w:rsid w:val="000C1E84"/>
    <w:rsid w:val="000C1EC8"/>
    <w:rsid w:val="000C1F1B"/>
    <w:rsid w:val="000C1FD8"/>
    <w:rsid w:val="000C200B"/>
    <w:rsid w:val="000C2062"/>
    <w:rsid w:val="000C2107"/>
    <w:rsid w:val="000C2123"/>
    <w:rsid w:val="000C2218"/>
    <w:rsid w:val="000C2235"/>
    <w:rsid w:val="000C224D"/>
    <w:rsid w:val="000C229C"/>
    <w:rsid w:val="000C22BF"/>
    <w:rsid w:val="000C22CB"/>
    <w:rsid w:val="000C236E"/>
    <w:rsid w:val="000C23AC"/>
    <w:rsid w:val="000C23E2"/>
    <w:rsid w:val="000C2404"/>
    <w:rsid w:val="000C24D1"/>
    <w:rsid w:val="000C25BE"/>
    <w:rsid w:val="000C2663"/>
    <w:rsid w:val="000C2689"/>
    <w:rsid w:val="000C269B"/>
    <w:rsid w:val="000C2814"/>
    <w:rsid w:val="000C285B"/>
    <w:rsid w:val="000C2894"/>
    <w:rsid w:val="000C28F6"/>
    <w:rsid w:val="000C29E2"/>
    <w:rsid w:val="000C2A05"/>
    <w:rsid w:val="000C2AC2"/>
    <w:rsid w:val="000C2B6D"/>
    <w:rsid w:val="000C2C3C"/>
    <w:rsid w:val="000C2CF8"/>
    <w:rsid w:val="000C2E11"/>
    <w:rsid w:val="000C2E6C"/>
    <w:rsid w:val="000C2EA7"/>
    <w:rsid w:val="000C2EBC"/>
    <w:rsid w:val="000C2EBF"/>
    <w:rsid w:val="000C2EDC"/>
    <w:rsid w:val="000C2EE7"/>
    <w:rsid w:val="000C2F3C"/>
    <w:rsid w:val="000C2F90"/>
    <w:rsid w:val="000C2FBA"/>
    <w:rsid w:val="000C304A"/>
    <w:rsid w:val="000C3069"/>
    <w:rsid w:val="000C309B"/>
    <w:rsid w:val="000C3122"/>
    <w:rsid w:val="000C31CE"/>
    <w:rsid w:val="000C3263"/>
    <w:rsid w:val="000C32C2"/>
    <w:rsid w:val="000C32DA"/>
    <w:rsid w:val="000C33CA"/>
    <w:rsid w:val="000C33ED"/>
    <w:rsid w:val="000C3435"/>
    <w:rsid w:val="000C34FA"/>
    <w:rsid w:val="000C35E7"/>
    <w:rsid w:val="000C3620"/>
    <w:rsid w:val="000C362E"/>
    <w:rsid w:val="000C3650"/>
    <w:rsid w:val="000C3771"/>
    <w:rsid w:val="000C3789"/>
    <w:rsid w:val="000C3807"/>
    <w:rsid w:val="000C38E4"/>
    <w:rsid w:val="000C392F"/>
    <w:rsid w:val="000C396A"/>
    <w:rsid w:val="000C3A1A"/>
    <w:rsid w:val="000C3A87"/>
    <w:rsid w:val="000C3B44"/>
    <w:rsid w:val="000C3C0E"/>
    <w:rsid w:val="000C3C68"/>
    <w:rsid w:val="000C3C7F"/>
    <w:rsid w:val="000C3C86"/>
    <w:rsid w:val="000C3CEA"/>
    <w:rsid w:val="000C3D22"/>
    <w:rsid w:val="000C3D79"/>
    <w:rsid w:val="000C3DB8"/>
    <w:rsid w:val="000C3DE7"/>
    <w:rsid w:val="000C3E15"/>
    <w:rsid w:val="000C3EC8"/>
    <w:rsid w:val="000C3ECA"/>
    <w:rsid w:val="000C3ECB"/>
    <w:rsid w:val="000C3EDD"/>
    <w:rsid w:val="000C3FAD"/>
    <w:rsid w:val="000C4100"/>
    <w:rsid w:val="000C4127"/>
    <w:rsid w:val="000C42BB"/>
    <w:rsid w:val="000C434E"/>
    <w:rsid w:val="000C436B"/>
    <w:rsid w:val="000C43D1"/>
    <w:rsid w:val="000C43DC"/>
    <w:rsid w:val="000C4402"/>
    <w:rsid w:val="000C4509"/>
    <w:rsid w:val="000C4521"/>
    <w:rsid w:val="000C4565"/>
    <w:rsid w:val="000C461F"/>
    <w:rsid w:val="000C474A"/>
    <w:rsid w:val="000C476C"/>
    <w:rsid w:val="000C47D4"/>
    <w:rsid w:val="000C4818"/>
    <w:rsid w:val="000C48EC"/>
    <w:rsid w:val="000C491F"/>
    <w:rsid w:val="000C4966"/>
    <w:rsid w:val="000C4990"/>
    <w:rsid w:val="000C4A31"/>
    <w:rsid w:val="000C4AA0"/>
    <w:rsid w:val="000C4B3D"/>
    <w:rsid w:val="000C4B57"/>
    <w:rsid w:val="000C4C80"/>
    <w:rsid w:val="000C4CC0"/>
    <w:rsid w:val="000C4D2C"/>
    <w:rsid w:val="000C4D35"/>
    <w:rsid w:val="000C4EE3"/>
    <w:rsid w:val="000C4F86"/>
    <w:rsid w:val="000C5136"/>
    <w:rsid w:val="000C516B"/>
    <w:rsid w:val="000C51F0"/>
    <w:rsid w:val="000C5229"/>
    <w:rsid w:val="000C5272"/>
    <w:rsid w:val="000C5273"/>
    <w:rsid w:val="000C52A8"/>
    <w:rsid w:val="000C52C7"/>
    <w:rsid w:val="000C52FD"/>
    <w:rsid w:val="000C531D"/>
    <w:rsid w:val="000C5325"/>
    <w:rsid w:val="000C5348"/>
    <w:rsid w:val="000C5351"/>
    <w:rsid w:val="000C537E"/>
    <w:rsid w:val="000C53B0"/>
    <w:rsid w:val="000C54CD"/>
    <w:rsid w:val="000C5539"/>
    <w:rsid w:val="000C562B"/>
    <w:rsid w:val="000C5632"/>
    <w:rsid w:val="000C564E"/>
    <w:rsid w:val="000C566A"/>
    <w:rsid w:val="000C5684"/>
    <w:rsid w:val="000C56A6"/>
    <w:rsid w:val="000C56D0"/>
    <w:rsid w:val="000C56D4"/>
    <w:rsid w:val="000C571D"/>
    <w:rsid w:val="000C578D"/>
    <w:rsid w:val="000C579D"/>
    <w:rsid w:val="000C57BE"/>
    <w:rsid w:val="000C57CB"/>
    <w:rsid w:val="000C57D2"/>
    <w:rsid w:val="000C5814"/>
    <w:rsid w:val="000C5825"/>
    <w:rsid w:val="000C5835"/>
    <w:rsid w:val="000C584D"/>
    <w:rsid w:val="000C5905"/>
    <w:rsid w:val="000C592F"/>
    <w:rsid w:val="000C594A"/>
    <w:rsid w:val="000C5969"/>
    <w:rsid w:val="000C5970"/>
    <w:rsid w:val="000C59C8"/>
    <w:rsid w:val="000C59CF"/>
    <w:rsid w:val="000C59E1"/>
    <w:rsid w:val="000C5AA0"/>
    <w:rsid w:val="000C5AAF"/>
    <w:rsid w:val="000C5AF4"/>
    <w:rsid w:val="000C5B0F"/>
    <w:rsid w:val="000C5B9B"/>
    <w:rsid w:val="000C5BD4"/>
    <w:rsid w:val="000C5BE9"/>
    <w:rsid w:val="000C5C94"/>
    <w:rsid w:val="000C5D36"/>
    <w:rsid w:val="000C5D8C"/>
    <w:rsid w:val="000C5D9F"/>
    <w:rsid w:val="000C5DF9"/>
    <w:rsid w:val="000C5EC4"/>
    <w:rsid w:val="000C5ED1"/>
    <w:rsid w:val="000C5F88"/>
    <w:rsid w:val="000C5FD2"/>
    <w:rsid w:val="000C60B3"/>
    <w:rsid w:val="000C60C1"/>
    <w:rsid w:val="000C60EB"/>
    <w:rsid w:val="000C621B"/>
    <w:rsid w:val="000C6405"/>
    <w:rsid w:val="000C6434"/>
    <w:rsid w:val="000C6476"/>
    <w:rsid w:val="000C647F"/>
    <w:rsid w:val="000C64D8"/>
    <w:rsid w:val="000C6504"/>
    <w:rsid w:val="000C6525"/>
    <w:rsid w:val="000C66B2"/>
    <w:rsid w:val="000C66DF"/>
    <w:rsid w:val="000C66EB"/>
    <w:rsid w:val="000C66FB"/>
    <w:rsid w:val="000C6744"/>
    <w:rsid w:val="000C6753"/>
    <w:rsid w:val="000C67AB"/>
    <w:rsid w:val="000C67C5"/>
    <w:rsid w:val="000C67CA"/>
    <w:rsid w:val="000C68FC"/>
    <w:rsid w:val="000C693E"/>
    <w:rsid w:val="000C6A42"/>
    <w:rsid w:val="000C6B9B"/>
    <w:rsid w:val="000C6C40"/>
    <w:rsid w:val="000C6CAF"/>
    <w:rsid w:val="000C6CF7"/>
    <w:rsid w:val="000C6DBB"/>
    <w:rsid w:val="000C6E17"/>
    <w:rsid w:val="000C6EA1"/>
    <w:rsid w:val="000C6EC3"/>
    <w:rsid w:val="000C6ECD"/>
    <w:rsid w:val="000C6FCD"/>
    <w:rsid w:val="000C6FEC"/>
    <w:rsid w:val="000C7058"/>
    <w:rsid w:val="000C710A"/>
    <w:rsid w:val="000C7131"/>
    <w:rsid w:val="000C7171"/>
    <w:rsid w:val="000C7205"/>
    <w:rsid w:val="000C7225"/>
    <w:rsid w:val="000C7227"/>
    <w:rsid w:val="000C72C6"/>
    <w:rsid w:val="000C72FC"/>
    <w:rsid w:val="000C730A"/>
    <w:rsid w:val="000C738F"/>
    <w:rsid w:val="000C73F0"/>
    <w:rsid w:val="000C73FB"/>
    <w:rsid w:val="000C7494"/>
    <w:rsid w:val="000C74DD"/>
    <w:rsid w:val="000C75AE"/>
    <w:rsid w:val="000C75EB"/>
    <w:rsid w:val="000C7630"/>
    <w:rsid w:val="000C7660"/>
    <w:rsid w:val="000C76AA"/>
    <w:rsid w:val="000C76FD"/>
    <w:rsid w:val="000C770F"/>
    <w:rsid w:val="000C772A"/>
    <w:rsid w:val="000C78F3"/>
    <w:rsid w:val="000C7914"/>
    <w:rsid w:val="000C79A6"/>
    <w:rsid w:val="000C79E0"/>
    <w:rsid w:val="000C79EB"/>
    <w:rsid w:val="000C7A1F"/>
    <w:rsid w:val="000C7AB3"/>
    <w:rsid w:val="000C7B47"/>
    <w:rsid w:val="000C7BE7"/>
    <w:rsid w:val="000C7C0D"/>
    <w:rsid w:val="000C7C22"/>
    <w:rsid w:val="000C7C59"/>
    <w:rsid w:val="000C7CD3"/>
    <w:rsid w:val="000C7D42"/>
    <w:rsid w:val="000C7D75"/>
    <w:rsid w:val="000C7D7A"/>
    <w:rsid w:val="000C7DED"/>
    <w:rsid w:val="000C7F89"/>
    <w:rsid w:val="000C7FD4"/>
    <w:rsid w:val="000C7FD5"/>
    <w:rsid w:val="000C7FDA"/>
    <w:rsid w:val="000D003A"/>
    <w:rsid w:val="000D00CE"/>
    <w:rsid w:val="000D0178"/>
    <w:rsid w:val="000D0192"/>
    <w:rsid w:val="000D01C4"/>
    <w:rsid w:val="000D02A7"/>
    <w:rsid w:val="000D02B3"/>
    <w:rsid w:val="000D02B4"/>
    <w:rsid w:val="000D0320"/>
    <w:rsid w:val="000D034B"/>
    <w:rsid w:val="000D0362"/>
    <w:rsid w:val="000D0375"/>
    <w:rsid w:val="000D03D2"/>
    <w:rsid w:val="000D03E6"/>
    <w:rsid w:val="000D04D6"/>
    <w:rsid w:val="000D04E3"/>
    <w:rsid w:val="000D05B5"/>
    <w:rsid w:val="000D05FD"/>
    <w:rsid w:val="000D05FE"/>
    <w:rsid w:val="000D0662"/>
    <w:rsid w:val="000D0789"/>
    <w:rsid w:val="000D07C5"/>
    <w:rsid w:val="000D07C6"/>
    <w:rsid w:val="000D08CF"/>
    <w:rsid w:val="000D0979"/>
    <w:rsid w:val="000D09C6"/>
    <w:rsid w:val="000D09FC"/>
    <w:rsid w:val="000D0ACD"/>
    <w:rsid w:val="000D0AF6"/>
    <w:rsid w:val="000D0B08"/>
    <w:rsid w:val="000D0B4A"/>
    <w:rsid w:val="000D0B55"/>
    <w:rsid w:val="000D0BED"/>
    <w:rsid w:val="000D0BFB"/>
    <w:rsid w:val="000D0C98"/>
    <w:rsid w:val="000D0C9E"/>
    <w:rsid w:val="000D0CCF"/>
    <w:rsid w:val="000D0D2E"/>
    <w:rsid w:val="000D0D61"/>
    <w:rsid w:val="000D0D6B"/>
    <w:rsid w:val="000D0D6F"/>
    <w:rsid w:val="000D0DC3"/>
    <w:rsid w:val="000D0DDB"/>
    <w:rsid w:val="000D0E54"/>
    <w:rsid w:val="000D0F0A"/>
    <w:rsid w:val="000D0F92"/>
    <w:rsid w:val="000D0FE9"/>
    <w:rsid w:val="000D113E"/>
    <w:rsid w:val="000D11AF"/>
    <w:rsid w:val="000D11CA"/>
    <w:rsid w:val="000D11D0"/>
    <w:rsid w:val="000D1236"/>
    <w:rsid w:val="000D1271"/>
    <w:rsid w:val="000D1279"/>
    <w:rsid w:val="000D1331"/>
    <w:rsid w:val="000D1399"/>
    <w:rsid w:val="000D13E1"/>
    <w:rsid w:val="000D14C7"/>
    <w:rsid w:val="000D155E"/>
    <w:rsid w:val="000D15EB"/>
    <w:rsid w:val="000D1623"/>
    <w:rsid w:val="000D166A"/>
    <w:rsid w:val="000D1803"/>
    <w:rsid w:val="000D1804"/>
    <w:rsid w:val="000D1848"/>
    <w:rsid w:val="000D185B"/>
    <w:rsid w:val="000D18A4"/>
    <w:rsid w:val="000D18B1"/>
    <w:rsid w:val="000D18FC"/>
    <w:rsid w:val="000D1939"/>
    <w:rsid w:val="000D19ED"/>
    <w:rsid w:val="000D1A51"/>
    <w:rsid w:val="000D1B44"/>
    <w:rsid w:val="000D1B89"/>
    <w:rsid w:val="000D1B97"/>
    <w:rsid w:val="000D1B98"/>
    <w:rsid w:val="000D1B9D"/>
    <w:rsid w:val="000D1BE2"/>
    <w:rsid w:val="000D1BE9"/>
    <w:rsid w:val="000D1C5D"/>
    <w:rsid w:val="000D1D21"/>
    <w:rsid w:val="000D1D73"/>
    <w:rsid w:val="000D1D97"/>
    <w:rsid w:val="000D1DBA"/>
    <w:rsid w:val="000D1E2A"/>
    <w:rsid w:val="000D1E8C"/>
    <w:rsid w:val="000D1EB4"/>
    <w:rsid w:val="000D1EF3"/>
    <w:rsid w:val="000D1F41"/>
    <w:rsid w:val="000D1F5F"/>
    <w:rsid w:val="000D1FA4"/>
    <w:rsid w:val="000D1FCE"/>
    <w:rsid w:val="000D1FE6"/>
    <w:rsid w:val="000D1FEE"/>
    <w:rsid w:val="000D2003"/>
    <w:rsid w:val="000D20BC"/>
    <w:rsid w:val="000D212E"/>
    <w:rsid w:val="000D21E6"/>
    <w:rsid w:val="000D2233"/>
    <w:rsid w:val="000D230B"/>
    <w:rsid w:val="000D2452"/>
    <w:rsid w:val="000D245A"/>
    <w:rsid w:val="000D2498"/>
    <w:rsid w:val="000D24C2"/>
    <w:rsid w:val="000D254B"/>
    <w:rsid w:val="000D2574"/>
    <w:rsid w:val="000D257C"/>
    <w:rsid w:val="000D2585"/>
    <w:rsid w:val="000D25DA"/>
    <w:rsid w:val="000D25F7"/>
    <w:rsid w:val="000D2690"/>
    <w:rsid w:val="000D269E"/>
    <w:rsid w:val="000D26B5"/>
    <w:rsid w:val="000D270F"/>
    <w:rsid w:val="000D2717"/>
    <w:rsid w:val="000D2794"/>
    <w:rsid w:val="000D279F"/>
    <w:rsid w:val="000D281A"/>
    <w:rsid w:val="000D28AD"/>
    <w:rsid w:val="000D28FD"/>
    <w:rsid w:val="000D291A"/>
    <w:rsid w:val="000D293E"/>
    <w:rsid w:val="000D2944"/>
    <w:rsid w:val="000D295A"/>
    <w:rsid w:val="000D2973"/>
    <w:rsid w:val="000D29D3"/>
    <w:rsid w:val="000D2A45"/>
    <w:rsid w:val="000D2AAD"/>
    <w:rsid w:val="000D2AD6"/>
    <w:rsid w:val="000D2B27"/>
    <w:rsid w:val="000D2B81"/>
    <w:rsid w:val="000D2BD6"/>
    <w:rsid w:val="000D2C49"/>
    <w:rsid w:val="000D2C95"/>
    <w:rsid w:val="000D2CDA"/>
    <w:rsid w:val="000D2DAA"/>
    <w:rsid w:val="000D2DEC"/>
    <w:rsid w:val="000D2EFC"/>
    <w:rsid w:val="000D2F0A"/>
    <w:rsid w:val="000D2F10"/>
    <w:rsid w:val="000D2F14"/>
    <w:rsid w:val="000D300C"/>
    <w:rsid w:val="000D3070"/>
    <w:rsid w:val="000D30C1"/>
    <w:rsid w:val="000D31F1"/>
    <w:rsid w:val="000D322E"/>
    <w:rsid w:val="000D3231"/>
    <w:rsid w:val="000D323F"/>
    <w:rsid w:val="000D32F2"/>
    <w:rsid w:val="000D3365"/>
    <w:rsid w:val="000D3379"/>
    <w:rsid w:val="000D3392"/>
    <w:rsid w:val="000D33A7"/>
    <w:rsid w:val="000D33E2"/>
    <w:rsid w:val="000D33EC"/>
    <w:rsid w:val="000D3428"/>
    <w:rsid w:val="000D3486"/>
    <w:rsid w:val="000D34D9"/>
    <w:rsid w:val="000D360F"/>
    <w:rsid w:val="000D363E"/>
    <w:rsid w:val="000D36CA"/>
    <w:rsid w:val="000D3714"/>
    <w:rsid w:val="000D3772"/>
    <w:rsid w:val="000D37DC"/>
    <w:rsid w:val="000D3860"/>
    <w:rsid w:val="000D389C"/>
    <w:rsid w:val="000D38CC"/>
    <w:rsid w:val="000D399E"/>
    <w:rsid w:val="000D3A4A"/>
    <w:rsid w:val="000D3AF6"/>
    <w:rsid w:val="000D3B08"/>
    <w:rsid w:val="000D3B19"/>
    <w:rsid w:val="000D3C04"/>
    <w:rsid w:val="000D3C08"/>
    <w:rsid w:val="000D3C96"/>
    <w:rsid w:val="000D3CAE"/>
    <w:rsid w:val="000D3D15"/>
    <w:rsid w:val="000D3D27"/>
    <w:rsid w:val="000D3D92"/>
    <w:rsid w:val="000D3D9E"/>
    <w:rsid w:val="000D3DA3"/>
    <w:rsid w:val="000D3E33"/>
    <w:rsid w:val="000D3EC3"/>
    <w:rsid w:val="000D3F28"/>
    <w:rsid w:val="000D3F2D"/>
    <w:rsid w:val="000D3FDA"/>
    <w:rsid w:val="000D40E5"/>
    <w:rsid w:val="000D419C"/>
    <w:rsid w:val="000D41C8"/>
    <w:rsid w:val="000D41D6"/>
    <w:rsid w:val="000D420A"/>
    <w:rsid w:val="000D4243"/>
    <w:rsid w:val="000D4254"/>
    <w:rsid w:val="000D4274"/>
    <w:rsid w:val="000D432F"/>
    <w:rsid w:val="000D4449"/>
    <w:rsid w:val="000D4455"/>
    <w:rsid w:val="000D4473"/>
    <w:rsid w:val="000D4496"/>
    <w:rsid w:val="000D44B0"/>
    <w:rsid w:val="000D454F"/>
    <w:rsid w:val="000D4580"/>
    <w:rsid w:val="000D46D0"/>
    <w:rsid w:val="000D46FB"/>
    <w:rsid w:val="000D4750"/>
    <w:rsid w:val="000D480D"/>
    <w:rsid w:val="000D4831"/>
    <w:rsid w:val="000D483F"/>
    <w:rsid w:val="000D48C7"/>
    <w:rsid w:val="000D48D5"/>
    <w:rsid w:val="000D48E3"/>
    <w:rsid w:val="000D4930"/>
    <w:rsid w:val="000D4985"/>
    <w:rsid w:val="000D499C"/>
    <w:rsid w:val="000D4A8B"/>
    <w:rsid w:val="000D4B88"/>
    <w:rsid w:val="000D4B96"/>
    <w:rsid w:val="000D4C88"/>
    <w:rsid w:val="000D4D47"/>
    <w:rsid w:val="000D4E9F"/>
    <w:rsid w:val="000D4EAB"/>
    <w:rsid w:val="000D4EE4"/>
    <w:rsid w:val="000D4F5E"/>
    <w:rsid w:val="000D4FED"/>
    <w:rsid w:val="000D5045"/>
    <w:rsid w:val="000D5178"/>
    <w:rsid w:val="000D51D0"/>
    <w:rsid w:val="000D5334"/>
    <w:rsid w:val="000D53D0"/>
    <w:rsid w:val="000D54C4"/>
    <w:rsid w:val="000D54DA"/>
    <w:rsid w:val="000D55F5"/>
    <w:rsid w:val="000D565A"/>
    <w:rsid w:val="000D5666"/>
    <w:rsid w:val="000D5691"/>
    <w:rsid w:val="000D5730"/>
    <w:rsid w:val="000D5854"/>
    <w:rsid w:val="000D58EB"/>
    <w:rsid w:val="000D59C4"/>
    <w:rsid w:val="000D59F7"/>
    <w:rsid w:val="000D5A65"/>
    <w:rsid w:val="000D5A73"/>
    <w:rsid w:val="000D5B15"/>
    <w:rsid w:val="000D5BF7"/>
    <w:rsid w:val="000D5C2E"/>
    <w:rsid w:val="000D5C9C"/>
    <w:rsid w:val="000D5CC8"/>
    <w:rsid w:val="000D5CE8"/>
    <w:rsid w:val="000D5DD1"/>
    <w:rsid w:val="000D5E92"/>
    <w:rsid w:val="000D5F14"/>
    <w:rsid w:val="000D5F27"/>
    <w:rsid w:val="000D5FE0"/>
    <w:rsid w:val="000D601B"/>
    <w:rsid w:val="000D6056"/>
    <w:rsid w:val="000D60CF"/>
    <w:rsid w:val="000D6103"/>
    <w:rsid w:val="000D6111"/>
    <w:rsid w:val="000D6159"/>
    <w:rsid w:val="000D615F"/>
    <w:rsid w:val="000D62A6"/>
    <w:rsid w:val="000D62BD"/>
    <w:rsid w:val="000D62C5"/>
    <w:rsid w:val="000D63C2"/>
    <w:rsid w:val="000D646E"/>
    <w:rsid w:val="000D6474"/>
    <w:rsid w:val="000D6495"/>
    <w:rsid w:val="000D649C"/>
    <w:rsid w:val="000D671F"/>
    <w:rsid w:val="000D677D"/>
    <w:rsid w:val="000D67D1"/>
    <w:rsid w:val="000D6834"/>
    <w:rsid w:val="000D68C1"/>
    <w:rsid w:val="000D698B"/>
    <w:rsid w:val="000D69A2"/>
    <w:rsid w:val="000D6A17"/>
    <w:rsid w:val="000D6A18"/>
    <w:rsid w:val="000D6A53"/>
    <w:rsid w:val="000D6A54"/>
    <w:rsid w:val="000D6AE6"/>
    <w:rsid w:val="000D6B97"/>
    <w:rsid w:val="000D6B9B"/>
    <w:rsid w:val="000D6BC5"/>
    <w:rsid w:val="000D6C2B"/>
    <w:rsid w:val="000D6C5D"/>
    <w:rsid w:val="000D6C9A"/>
    <w:rsid w:val="000D6C9D"/>
    <w:rsid w:val="000D6D09"/>
    <w:rsid w:val="000D6D18"/>
    <w:rsid w:val="000D6D64"/>
    <w:rsid w:val="000D6D7A"/>
    <w:rsid w:val="000D6E2B"/>
    <w:rsid w:val="000D6E78"/>
    <w:rsid w:val="000D7096"/>
    <w:rsid w:val="000D70B2"/>
    <w:rsid w:val="000D70C1"/>
    <w:rsid w:val="000D7180"/>
    <w:rsid w:val="000D71AB"/>
    <w:rsid w:val="000D71B0"/>
    <w:rsid w:val="000D7229"/>
    <w:rsid w:val="000D725B"/>
    <w:rsid w:val="000D7279"/>
    <w:rsid w:val="000D7453"/>
    <w:rsid w:val="000D7464"/>
    <w:rsid w:val="000D74FC"/>
    <w:rsid w:val="000D7505"/>
    <w:rsid w:val="000D7507"/>
    <w:rsid w:val="000D7510"/>
    <w:rsid w:val="000D75B3"/>
    <w:rsid w:val="000D7610"/>
    <w:rsid w:val="000D7629"/>
    <w:rsid w:val="000D7630"/>
    <w:rsid w:val="000D764F"/>
    <w:rsid w:val="000D766E"/>
    <w:rsid w:val="000D7877"/>
    <w:rsid w:val="000D7945"/>
    <w:rsid w:val="000D7988"/>
    <w:rsid w:val="000D79C3"/>
    <w:rsid w:val="000D79DD"/>
    <w:rsid w:val="000D79EE"/>
    <w:rsid w:val="000D7A0E"/>
    <w:rsid w:val="000D7ABD"/>
    <w:rsid w:val="000D7ACD"/>
    <w:rsid w:val="000D7AFD"/>
    <w:rsid w:val="000D7AFE"/>
    <w:rsid w:val="000D7B2F"/>
    <w:rsid w:val="000D7B54"/>
    <w:rsid w:val="000D7B63"/>
    <w:rsid w:val="000D7BA3"/>
    <w:rsid w:val="000D7BD6"/>
    <w:rsid w:val="000D7C2F"/>
    <w:rsid w:val="000D7C4D"/>
    <w:rsid w:val="000D7C54"/>
    <w:rsid w:val="000D7C96"/>
    <w:rsid w:val="000D7CAE"/>
    <w:rsid w:val="000D7CE5"/>
    <w:rsid w:val="000D7D38"/>
    <w:rsid w:val="000D7D3B"/>
    <w:rsid w:val="000D7DA4"/>
    <w:rsid w:val="000D7DAF"/>
    <w:rsid w:val="000D7E34"/>
    <w:rsid w:val="000D7E5A"/>
    <w:rsid w:val="000D7F9D"/>
    <w:rsid w:val="000E001E"/>
    <w:rsid w:val="000E00C6"/>
    <w:rsid w:val="000E010D"/>
    <w:rsid w:val="000E017B"/>
    <w:rsid w:val="000E0242"/>
    <w:rsid w:val="000E0289"/>
    <w:rsid w:val="000E0372"/>
    <w:rsid w:val="000E037C"/>
    <w:rsid w:val="000E0398"/>
    <w:rsid w:val="000E0425"/>
    <w:rsid w:val="000E0447"/>
    <w:rsid w:val="000E0484"/>
    <w:rsid w:val="000E04EA"/>
    <w:rsid w:val="000E0605"/>
    <w:rsid w:val="000E0759"/>
    <w:rsid w:val="000E0761"/>
    <w:rsid w:val="000E07C1"/>
    <w:rsid w:val="000E07CF"/>
    <w:rsid w:val="000E08CD"/>
    <w:rsid w:val="000E0938"/>
    <w:rsid w:val="000E09E1"/>
    <w:rsid w:val="000E0A5E"/>
    <w:rsid w:val="000E0A60"/>
    <w:rsid w:val="000E0A62"/>
    <w:rsid w:val="000E0A9E"/>
    <w:rsid w:val="000E0AA1"/>
    <w:rsid w:val="000E0B8D"/>
    <w:rsid w:val="000E0BD8"/>
    <w:rsid w:val="000E0C0A"/>
    <w:rsid w:val="000E0C63"/>
    <w:rsid w:val="000E0C6F"/>
    <w:rsid w:val="000E0DAF"/>
    <w:rsid w:val="000E0E4A"/>
    <w:rsid w:val="000E0EE6"/>
    <w:rsid w:val="000E0FDE"/>
    <w:rsid w:val="000E1061"/>
    <w:rsid w:val="000E119C"/>
    <w:rsid w:val="000E11F0"/>
    <w:rsid w:val="000E120B"/>
    <w:rsid w:val="000E124B"/>
    <w:rsid w:val="000E12BD"/>
    <w:rsid w:val="000E130D"/>
    <w:rsid w:val="000E1421"/>
    <w:rsid w:val="000E143A"/>
    <w:rsid w:val="000E1492"/>
    <w:rsid w:val="000E14AE"/>
    <w:rsid w:val="000E14DF"/>
    <w:rsid w:val="000E14F9"/>
    <w:rsid w:val="000E1509"/>
    <w:rsid w:val="000E159D"/>
    <w:rsid w:val="000E15CC"/>
    <w:rsid w:val="000E1610"/>
    <w:rsid w:val="000E1661"/>
    <w:rsid w:val="000E1692"/>
    <w:rsid w:val="000E16DE"/>
    <w:rsid w:val="000E17EC"/>
    <w:rsid w:val="000E1866"/>
    <w:rsid w:val="000E1919"/>
    <w:rsid w:val="000E1937"/>
    <w:rsid w:val="000E193C"/>
    <w:rsid w:val="000E1962"/>
    <w:rsid w:val="000E1A41"/>
    <w:rsid w:val="000E1A98"/>
    <w:rsid w:val="000E1AA9"/>
    <w:rsid w:val="000E1B4F"/>
    <w:rsid w:val="000E1BC1"/>
    <w:rsid w:val="000E1C68"/>
    <w:rsid w:val="000E1C8B"/>
    <w:rsid w:val="000E1CE9"/>
    <w:rsid w:val="000E1D20"/>
    <w:rsid w:val="000E1D37"/>
    <w:rsid w:val="000E1D5B"/>
    <w:rsid w:val="000E1D86"/>
    <w:rsid w:val="000E1D8F"/>
    <w:rsid w:val="000E1DC0"/>
    <w:rsid w:val="000E1DDB"/>
    <w:rsid w:val="000E1F2B"/>
    <w:rsid w:val="000E1F39"/>
    <w:rsid w:val="000E2028"/>
    <w:rsid w:val="000E208A"/>
    <w:rsid w:val="000E20A1"/>
    <w:rsid w:val="000E20E0"/>
    <w:rsid w:val="000E214A"/>
    <w:rsid w:val="000E2218"/>
    <w:rsid w:val="000E224D"/>
    <w:rsid w:val="000E2286"/>
    <w:rsid w:val="000E22AB"/>
    <w:rsid w:val="000E22BB"/>
    <w:rsid w:val="000E2333"/>
    <w:rsid w:val="000E2379"/>
    <w:rsid w:val="000E2381"/>
    <w:rsid w:val="000E23A5"/>
    <w:rsid w:val="000E23BC"/>
    <w:rsid w:val="000E2484"/>
    <w:rsid w:val="000E248F"/>
    <w:rsid w:val="000E24F3"/>
    <w:rsid w:val="000E2516"/>
    <w:rsid w:val="000E25D3"/>
    <w:rsid w:val="000E25E0"/>
    <w:rsid w:val="000E261C"/>
    <w:rsid w:val="000E2656"/>
    <w:rsid w:val="000E26AB"/>
    <w:rsid w:val="000E26B2"/>
    <w:rsid w:val="000E2790"/>
    <w:rsid w:val="000E285E"/>
    <w:rsid w:val="000E2934"/>
    <w:rsid w:val="000E2990"/>
    <w:rsid w:val="000E29E8"/>
    <w:rsid w:val="000E29EC"/>
    <w:rsid w:val="000E29F5"/>
    <w:rsid w:val="000E2A5E"/>
    <w:rsid w:val="000E2A64"/>
    <w:rsid w:val="000E2A72"/>
    <w:rsid w:val="000E2AEC"/>
    <w:rsid w:val="000E2B55"/>
    <w:rsid w:val="000E2B71"/>
    <w:rsid w:val="000E2B9D"/>
    <w:rsid w:val="000E2C70"/>
    <w:rsid w:val="000E2C7E"/>
    <w:rsid w:val="000E2D5D"/>
    <w:rsid w:val="000E2DFA"/>
    <w:rsid w:val="000E2ED2"/>
    <w:rsid w:val="000E2EE8"/>
    <w:rsid w:val="000E2F1D"/>
    <w:rsid w:val="000E2F80"/>
    <w:rsid w:val="000E3000"/>
    <w:rsid w:val="000E302F"/>
    <w:rsid w:val="000E303C"/>
    <w:rsid w:val="000E3050"/>
    <w:rsid w:val="000E3054"/>
    <w:rsid w:val="000E305B"/>
    <w:rsid w:val="000E3086"/>
    <w:rsid w:val="000E31BF"/>
    <w:rsid w:val="000E31E7"/>
    <w:rsid w:val="000E320C"/>
    <w:rsid w:val="000E32F5"/>
    <w:rsid w:val="000E3327"/>
    <w:rsid w:val="000E3329"/>
    <w:rsid w:val="000E3363"/>
    <w:rsid w:val="000E341B"/>
    <w:rsid w:val="000E345B"/>
    <w:rsid w:val="000E345C"/>
    <w:rsid w:val="000E349A"/>
    <w:rsid w:val="000E34B0"/>
    <w:rsid w:val="000E35DB"/>
    <w:rsid w:val="000E3659"/>
    <w:rsid w:val="000E3765"/>
    <w:rsid w:val="000E378A"/>
    <w:rsid w:val="000E379F"/>
    <w:rsid w:val="000E37E1"/>
    <w:rsid w:val="000E383B"/>
    <w:rsid w:val="000E383D"/>
    <w:rsid w:val="000E38C3"/>
    <w:rsid w:val="000E39B7"/>
    <w:rsid w:val="000E3A00"/>
    <w:rsid w:val="000E3A16"/>
    <w:rsid w:val="000E3A62"/>
    <w:rsid w:val="000E3B61"/>
    <w:rsid w:val="000E3B64"/>
    <w:rsid w:val="000E3BB8"/>
    <w:rsid w:val="000E3BDE"/>
    <w:rsid w:val="000E3C33"/>
    <w:rsid w:val="000E3C64"/>
    <w:rsid w:val="000E3CD8"/>
    <w:rsid w:val="000E3D0C"/>
    <w:rsid w:val="000E3D6A"/>
    <w:rsid w:val="000E3DCA"/>
    <w:rsid w:val="000E3ED9"/>
    <w:rsid w:val="000E3F3A"/>
    <w:rsid w:val="000E3FAB"/>
    <w:rsid w:val="000E4019"/>
    <w:rsid w:val="000E4035"/>
    <w:rsid w:val="000E40C4"/>
    <w:rsid w:val="000E419D"/>
    <w:rsid w:val="000E42D8"/>
    <w:rsid w:val="000E43A9"/>
    <w:rsid w:val="000E43D3"/>
    <w:rsid w:val="000E440C"/>
    <w:rsid w:val="000E44B3"/>
    <w:rsid w:val="000E454A"/>
    <w:rsid w:val="000E4554"/>
    <w:rsid w:val="000E45A6"/>
    <w:rsid w:val="000E45E3"/>
    <w:rsid w:val="000E4852"/>
    <w:rsid w:val="000E4926"/>
    <w:rsid w:val="000E4928"/>
    <w:rsid w:val="000E498E"/>
    <w:rsid w:val="000E499C"/>
    <w:rsid w:val="000E4A1A"/>
    <w:rsid w:val="000E4ABE"/>
    <w:rsid w:val="000E4B69"/>
    <w:rsid w:val="000E4B85"/>
    <w:rsid w:val="000E4BB2"/>
    <w:rsid w:val="000E4C65"/>
    <w:rsid w:val="000E4D4B"/>
    <w:rsid w:val="000E4E5B"/>
    <w:rsid w:val="000E4E83"/>
    <w:rsid w:val="000E5002"/>
    <w:rsid w:val="000E506B"/>
    <w:rsid w:val="000E508B"/>
    <w:rsid w:val="000E50BF"/>
    <w:rsid w:val="000E50F0"/>
    <w:rsid w:val="000E5118"/>
    <w:rsid w:val="000E5155"/>
    <w:rsid w:val="000E51E5"/>
    <w:rsid w:val="000E521F"/>
    <w:rsid w:val="000E52BF"/>
    <w:rsid w:val="000E52DC"/>
    <w:rsid w:val="000E52E6"/>
    <w:rsid w:val="000E52FA"/>
    <w:rsid w:val="000E541E"/>
    <w:rsid w:val="000E5433"/>
    <w:rsid w:val="000E544E"/>
    <w:rsid w:val="000E54E9"/>
    <w:rsid w:val="000E55F1"/>
    <w:rsid w:val="000E5681"/>
    <w:rsid w:val="000E56C6"/>
    <w:rsid w:val="000E5755"/>
    <w:rsid w:val="000E57E1"/>
    <w:rsid w:val="000E5811"/>
    <w:rsid w:val="000E5842"/>
    <w:rsid w:val="000E5857"/>
    <w:rsid w:val="000E587B"/>
    <w:rsid w:val="000E58C4"/>
    <w:rsid w:val="000E594F"/>
    <w:rsid w:val="000E596B"/>
    <w:rsid w:val="000E59B0"/>
    <w:rsid w:val="000E59EE"/>
    <w:rsid w:val="000E59F0"/>
    <w:rsid w:val="000E5A02"/>
    <w:rsid w:val="000E5A3C"/>
    <w:rsid w:val="000E5B5E"/>
    <w:rsid w:val="000E5BE4"/>
    <w:rsid w:val="000E5BF0"/>
    <w:rsid w:val="000E5C57"/>
    <w:rsid w:val="000E5C87"/>
    <w:rsid w:val="000E5C9D"/>
    <w:rsid w:val="000E5FAB"/>
    <w:rsid w:val="000E60A0"/>
    <w:rsid w:val="000E60E4"/>
    <w:rsid w:val="000E6139"/>
    <w:rsid w:val="000E61AC"/>
    <w:rsid w:val="000E6278"/>
    <w:rsid w:val="000E62A9"/>
    <w:rsid w:val="000E6323"/>
    <w:rsid w:val="000E634B"/>
    <w:rsid w:val="000E6465"/>
    <w:rsid w:val="000E64E7"/>
    <w:rsid w:val="000E653C"/>
    <w:rsid w:val="000E653F"/>
    <w:rsid w:val="000E657E"/>
    <w:rsid w:val="000E65A4"/>
    <w:rsid w:val="000E665C"/>
    <w:rsid w:val="000E6715"/>
    <w:rsid w:val="000E6758"/>
    <w:rsid w:val="000E6786"/>
    <w:rsid w:val="000E67F9"/>
    <w:rsid w:val="000E68D6"/>
    <w:rsid w:val="000E6936"/>
    <w:rsid w:val="000E6967"/>
    <w:rsid w:val="000E6980"/>
    <w:rsid w:val="000E6990"/>
    <w:rsid w:val="000E6A30"/>
    <w:rsid w:val="000E6A60"/>
    <w:rsid w:val="000E6AD4"/>
    <w:rsid w:val="000E6AE9"/>
    <w:rsid w:val="000E6BCA"/>
    <w:rsid w:val="000E6C69"/>
    <w:rsid w:val="000E6C72"/>
    <w:rsid w:val="000E6C7F"/>
    <w:rsid w:val="000E6D23"/>
    <w:rsid w:val="000E6E1B"/>
    <w:rsid w:val="000E6E98"/>
    <w:rsid w:val="000E6F7D"/>
    <w:rsid w:val="000E715B"/>
    <w:rsid w:val="000E716B"/>
    <w:rsid w:val="000E71A2"/>
    <w:rsid w:val="000E71E2"/>
    <w:rsid w:val="000E728D"/>
    <w:rsid w:val="000E72AB"/>
    <w:rsid w:val="000E72FC"/>
    <w:rsid w:val="000E731C"/>
    <w:rsid w:val="000E7320"/>
    <w:rsid w:val="000E7358"/>
    <w:rsid w:val="000E739C"/>
    <w:rsid w:val="000E73A6"/>
    <w:rsid w:val="000E746C"/>
    <w:rsid w:val="000E7473"/>
    <w:rsid w:val="000E7477"/>
    <w:rsid w:val="000E747D"/>
    <w:rsid w:val="000E7501"/>
    <w:rsid w:val="000E75BA"/>
    <w:rsid w:val="000E768C"/>
    <w:rsid w:val="000E7705"/>
    <w:rsid w:val="000E7793"/>
    <w:rsid w:val="000E77B7"/>
    <w:rsid w:val="000E78A7"/>
    <w:rsid w:val="000E78BC"/>
    <w:rsid w:val="000E78C7"/>
    <w:rsid w:val="000E7994"/>
    <w:rsid w:val="000E79B6"/>
    <w:rsid w:val="000E79DF"/>
    <w:rsid w:val="000E7A8E"/>
    <w:rsid w:val="000E7AB9"/>
    <w:rsid w:val="000E7ABB"/>
    <w:rsid w:val="000E7C2F"/>
    <w:rsid w:val="000E7CE3"/>
    <w:rsid w:val="000E7DC9"/>
    <w:rsid w:val="000E7DCB"/>
    <w:rsid w:val="000E7E3F"/>
    <w:rsid w:val="000E7E94"/>
    <w:rsid w:val="000E7EC2"/>
    <w:rsid w:val="000E7F3D"/>
    <w:rsid w:val="000E7F40"/>
    <w:rsid w:val="000E7F99"/>
    <w:rsid w:val="000F0085"/>
    <w:rsid w:val="000F00A8"/>
    <w:rsid w:val="000F00D8"/>
    <w:rsid w:val="000F012D"/>
    <w:rsid w:val="000F0133"/>
    <w:rsid w:val="000F02F6"/>
    <w:rsid w:val="000F0309"/>
    <w:rsid w:val="000F03EA"/>
    <w:rsid w:val="000F0431"/>
    <w:rsid w:val="000F044A"/>
    <w:rsid w:val="000F0484"/>
    <w:rsid w:val="000F04BE"/>
    <w:rsid w:val="000F04E9"/>
    <w:rsid w:val="000F050D"/>
    <w:rsid w:val="000F0602"/>
    <w:rsid w:val="000F0615"/>
    <w:rsid w:val="000F0629"/>
    <w:rsid w:val="000F0691"/>
    <w:rsid w:val="000F06E8"/>
    <w:rsid w:val="000F0709"/>
    <w:rsid w:val="000F073E"/>
    <w:rsid w:val="000F076C"/>
    <w:rsid w:val="000F07C7"/>
    <w:rsid w:val="000F08C9"/>
    <w:rsid w:val="000F094F"/>
    <w:rsid w:val="000F09D9"/>
    <w:rsid w:val="000F09F6"/>
    <w:rsid w:val="000F09F9"/>
    <w:rsid w:val="000F0A34"/>
    <w:rsid w:val="000F0AA3"/>
    <w:rsid w:val="000F0AB0"/>
    <w:rsid w:val="000F0B58"/>
    <w:rsid w:val="000F0B62"/>
    <w:rsid w:val="000F0B6D"/>
    <w:rsid w:val="000F0BB2"/>
    <w:rsid w:val="000F0C1B"/>
    <w:rsid w:val="000F0C3A"/>
    <w:rsid w:val="000F0C4D"/>
    <w:rsid w:val="000F0C99"/>
    <w:rsid w:val="000F0D2A"/>
    <w:rsid w:val="000F0D86"/>
    <w:rsid w:val="000F0D9C"/>
    <w:rsid w:val="000F0DC6"/>
    <w:rsid w:val="000F0DCD"/>
    <w:rsid w:val="000F0DF0"/>
    <w:rsid w:val="000F0EE7"/>
    <w:rsid w:val="000F0F08"/>
    <w:rsid w:val="000F0F43"/>
    <w:rsid w:val="000F0F6E"/>
    <w:rsid w:val="000F1035"/>
    <w:rsid w:val="000F109E"/>
    <w:rsid w:val="000F10D3"/>
    <w:rsid w:val="000F112C"/>
    <w:rsid w:val="000F117B"/>
    <w:rsid w:val="000F11B2"/>
    <w:rsid w:val="000F11C1"/>
    <w:rsid w:val="000F1234"/>
    <w:rsid w:val="000F1270"/>
    <w:rsid w:val="000F1317"/>
    <w:rsid w:val="000F1436"/>
    <w:rsid w:val="000F1491"/>
    <w:rsid w:val="000F14B3"/>
    <w:rsid w:val="000F159C"/>
    <w:rsid w:val="000F15A3"/>
    <w:rsid w:val="000F1678"/>
    <w:rsid w:val="000F16A6"/>
    <w:rsid w:val="000F16E2"/>
    <w:rsid w:val="000F16EB"/>
    <w:rsid w:val="000F174B"/>
    <w:rsid w:val="000F174C"/>
    <w:rsid w:val="000F17D4"/>
    <w:rsid w:val="000F1847"/>
    <w:rsid w:val="000F194E"/>
    <w:rsid w:val="000F1976"/>
    <w:rsid w:val="000F19F0"/>
    <w:rsid w:val="000F1A03"/>
    <w:rsid w:val="000F1A17"/>
    <w:rsid w:val="000F1A32"/>
    <w:rsid w:val="000F1B77"/>
    <w:rsid w:val="000F1B7B"/>
    <w:rsid w:val="000F1BC7"/>
    <w:rsid w:val="000F1CA8"/>
    <w:rsid w:val="000F1D75"/>
    <w:rsid w:val="000F1DFA"/>
    <w:rsid w:val="000F1DFD"/>
    <w:rsid w:val="000F1E5E"/>
    <w:rsid w:val="000F1E96"/>
    <w:rsid w:val="000F1F35"/>
    <w:rsid w:val="000F1F4F"/>
    <w:rsid w:val="000F1F8E"/>
    <w:rsid w:val="000F20D3"/>
    <w:rsid w:val="000F20FF"/>
    <w:rsid w:val="000F213C"/>
    <w:rsid w:val="000F2148"/>
    <w:rsid w:val="000F2151"/>
    <w:rsid w:val="000F21AE"/>
    <w:rsid w:val="000F222E"/>
    <w:rsid w:val="000F22BA"/>
    <w:rsid w:val="000F22C6"/>
    <w:rsid w:val="000F22CB"/>
    <w:rsid w:val="000F232A"/>
    <w:rsid w:val="000F248B"/>
    <w:rsid w:val="000F2495"/>
    <w:rsid w:val="000F249A"/>
    <w:rsid w:val="000F24E2"/>
    <w:rsid w:val="000F251F"/>
    <w:rsid w:val="000F2552"/>
    <w:rsid w:val="000F25C1"/>
    <w:rsid w:val="000F25F7"/>
    <w:rsid w:val="000F25FF"/>
    <w:rsid w:val="000F260B"/>
    <w:rsid w:val="000F267E"/>
    <w:rsid w:val="000F271A"/>
    <w:rsid w:val="000F2732"/>
    <w:rsid w:val="000F27A6"/>
    <w:rsid w:val="000F29EE"/>
    <w:rsid w:val="000F2A64"/>
    <w:rsid w:val="000F2A68"/>
    <w:rsid w:val="000F2C13"/>
    <w:rsid w:val="000F2C1D"/>
    <w:rsid w:val="000F2C68"/>
    <w:rsid w:val="000F2D52"/>
    <w:rsid w:val="000F2DBB"/>
    <w:rsid w:val="000F2E1F"/>
    <w:rsid w:val="000F2E5D"/>
    <w:rsid w:val="000F2FD4"/>
    <w:rsid w:val="000F2FF5"/>
    <w:rsid w:val="000F3033"/>
    <w:rsid w:val="000F30BF"/>
    <w:rsid w:val="000F3116"/>
    <w:rsid w:val="000F328B"/>
    <w:rsid w:val="000F3293"/>
    <w:rsid w:val="000F32F0"/>
    <w:rsid w:val="000F3353"/>
    <w:rsid w:val="000F3360"/>
    <w:rsid w:val="000F3383"/>
    <w:rsid w:val="000F3454"/>
    <w:rsid w:val="000F34EF"/>
    <w:rsid w:val="000F3502"/>
    <w:rsid w:val="000F3509"/>
    <w:rsid w:val="000F35E7"/>
    <w:rsid w:val="000F3658"/>
    <w:rsid w:val="000F3674"/>
    <w:rsid w:val="000F36D8"/>
    <w:rsid w:val="000F36D9"/>
    <w:rsid w:val="000F3719"/>
    <w:rsid w:val="000F3771"/>
    <w:rsid w:val="000F3776"/>
    <w:rsid w:val="000F37DA"/>
    <w:rsid w:val="000F382B"/>
    <w:rsid w:val="000F387B"/>
    <w:rsid w:val="000F388E"/>
    <w:rsid w:val="000F3964"/>
    <w:rsid w:val="000F398B"/>
    <w:rsid w:val="000F3992"/>
    <w:rsid w:val="000F399C"/>
    <w:rsid w:val="000F39DD"/>
    <w:rsid w:val="000F3B6F"/>
    <w:rsid w:val="000F3C06"/>
    <w:rsid w:val="000F3C1D"/>
    <w:rsid w:val="000F3C26"/>
    <w:rsid w:val="000F3C39"/>
    <w:rsid w:val="000F3C7E"/>
    <w:rsid w:val="000F3C97"/>
    <w:rsid w:val="000F3CE5"/>
    <w:rsid w:val="000F3D02"/>
    <w:rsid w:val="000F3D1A"/>
    <w:rsid w:val="000F3DB5"/>
    <w:rsid w:val="000F3E1A"/>
    <w:rsid w:val="000F3E5F"/>
    <w:rsid w:val="000F3E6B"/>
    <w:rsid w:val="000F3E9F"/>
    <w:rsid w:val="000F3EBB"/>
    <w:rsid w:val="000F3FEB"/>
    <w:rsid w:val="000F403A"/>
    <w:rsid w:val="000F4070"/>
    <w:rsid w:val="000F40D5"/>
    <w:rsid w:val="000F4138"/>
    <w:rsid w:val="000F427F"/>
    <w:rsid w:val="000F439A"/>
    <w:rsid w:val="000F43C0"/>
    <w:rsid w:val="000F43D7"/>
    <w:rsid w:val="000F44AC"/>
    <w:rsid w:val="000F44BC"/>
    <w:rsid w:val="000F4536"/>
    <w:rsid w:val="000F4575"/>
    <w:rsid w:val="000F4599"/>
    <w:rsid w:val="000F46D5"/>
    <w:rsid w:val="000F46EF"/>
    <w:rsid w:val="000F4710"/>
    <w:rsid w:val="000F474E"/>
    <w:rsid w:val="000F47F2"/>
    <w:rsid w:val="000F4873"/>
    <w:rsid w:val="000F48B6"/>
    <w:rsid w:val="000F48C9"/>
    <w:rsid w:val="000F493A"/>
    <w:rsid w:val="000F496E"/>
    <w:rsid w:val="000F4A48"/>
    <w:rsid w:val="000F4A69"/>
    <w:rsid w:val="000F4A7B"/>
    <w:rsid w:val="000F4ABE"/>
    <w:rsid w:val="000F4B0C"/>
    <w:rsid w:val="000F4B3C"/>
    <w:rsid w:val="000F4BAE"/>
    <w:rsid w:val="000F4BC5"/>
    <w:rsid w:val="000F4BF3"/>
    <w:rsid w:val="000F4C4D"/>
    <w:rsid w:val="000F4C5F"/>
    <w:rsid w:val="000F4C76"/>
    <w:rsid w:val="000F4CB4"/>
    <w:rsid w:val="000F4CC7"/>
    <w:rsid w:val="000F4CD8"/>
    <w:rsid w:val="000F4D38"/>
    <w:rsid w:val="000F4DDE"/>
    <w:rsid w:val="000F4E65"/>
    <w:rsid w:val="000F4EAC"/>
    <w:rsid w:val="000F4F17"/>
    <w:rsid w:val="000F4F64"/>
    <w:rsid w:val="000F4F69"/>
    <w:rsid w:val="000F505C"/>
    <w:rsid w:val="000F50B8"/>
    <w:rsid w:val="000F5163"/>
    <w:rsid w:val="000F5177"/>
    <w:rsid w:val="000F51B0"/>
    <w:rsid w:val="000F5284"/>
    <w:rsid w:val="000F52AD"/>
    <w:rsid w:val="000F53C8"/>
    <w:rsid w:val="000F540B"/>
    <w:rsid w:val="000F5419"/>
    <w:rsid w:val="000F5466"/>
    <w:rsid w:val="000F546C"/>
    <w:rsid w:val="000F54DD"/>
    <w:rsid w:val="000F5508"/>
    <w:rsid w:val="000F555C"/>
    <w:rsid w:val="000F55EC"/>
    <w:rsid w:val="000F55FE"/>
    <w:rsid w:val="000F5606"/>
    <w:rsid w:val="000F5624"/>
    <w:rsid w:val="000F5649"/>
    <w:rsid w:val="000F56E0"/>
    <w:rsid w:val="000F577F"/>
    <w:rsid w:val="000F57F9"/>
    <w:rsid w:val="000F587D"/>
    <w:rsid w:val="000F58D6"/>
    <w:rsid w:val="000F5903"/>
    <w:rsid w:val="000F5982"/>
    <w:rsid w:val="000F5A1E"/>
    <w:rsid w:val="000F5A4E"/>
    <w:rsid w:val="000F5B29"/>
    <w:rsid w:val="000F5BBA"/>
    <w:rsid w:val="000F5BC1"/>
    <w:rsid w:val="000F5C20"/>
    <w:rsid w:val="000F5C66"/>
    <w:rsid w:val="000F5CCF"/>
    <w:rsid w:val="000F5D96"/>
    <w:rsid w:val="000F5DAB"/>
    <w:rsid w:val="000F5DFF"/>
    <w:rsid w:val="000F5F94"/>
    <w:rsid w:val="000F5FD3"/>
    <w:rsid w:val="000F601D"/>
    <w:rsid w:val="000F60B7"/>
    <w:rsid w:val="000F60BB"/>
    <w:rsid w:val="000F60C0"/>
    <w:rsid w:val="000F61A1"/>
    <w:rsid w:val="000F61FE"/>
    <w:rsid w:val="000F6214"/>
    <w:rsid w:val="000F623B"/>
    <w:rsid w:val="000F6274"/>
    <w:rsid w:val="000F62AF"/>
    <w:rsid w:val="000F62D6"/>
    <w:rsid w:val="000F631A"/>
    <w:rsid w:val="000F636B"/>
    <w:rsid w:val="000F636D"/>
    <w:rsid w:val="000F64EE"/>
    <w:rsid w:val="000F64F4"/>
    <w:rsid w:val="000F652F"/>
    <w:rsid w:val="000F6564"/>
    <w:rsid w:val="000F6578"/>
    <w:rsid w:val="000F6614"/>
    <w:rsid w:val="000F6629"/>
    <w:rsid w:val="000F668D"/>
    <w:rsid w:val="000F66D0"/>
    <w:rsid w:val="000F66E0"/>
    <w:rsid w:val="000F6799"/>
    <w:rsid w:val="000F67B6"/>
    <w:rsid w:val="000F67CB"/>
    <w:rsid w:val="000F67DC"/>
    <w:rsid w:val="000F685C"/>
    <w:rsid w:val="000F68CE"/>
    <w:rsid w:val="000F68CF"/>
    <w:rsid w:val="000F69A7"/>
    <w:rsid w:val="000F69BA"/>
    <w:rsid w:val="000F6A08"/>
    <w:rsid w:val="000F6A15"/>
    <w:rsid w:val="000F6A39"/>
    <w:rsid w:val="000F6AAB"/>
    <w:rsid w:val="000F6AE1"/>
    <w:rsid w:val="000F6B15"/>
    <w:rsid w:val="000F6B9F"/>
    <w:rsid w:val="000F6BB5"/>
    <w:rsid w:val="000F6C0A"/>
    <w:rsid w:val="000F6C17"/>
    <w:rsid w:val="000F6C42"/>
    <w:rsid w:val="000F6C56"/>
    <w:rsid w:val="000F6D08"/>
    <w:rsid w:val="000F6D4F"/>
    <w:rsid w:val="000F6DC6"/>
    <w:rsid w:val="000F6EEB"/>
    <w:rsid w:val="000F6F13"/>
    <w:rsid w:val="000F6F76"/>
    <w:rsid w:val="000F705D"/>
    <w:rsid w:val="000F7087"/>
    <w:rsid w:val="000F7122"/>
    <w:rsid w:val="000F712A"/>
    <w:rsid w:val="000F717B"/>
    <w:rsid w:val="000F718D"/>
    <w:rsid w:val="000F71D4"/>
    <w:rsid w:val="000F71E6"/>
    <w:rsid w:val="000F7287"/>
    <w:rsid w:val="000F73F4"/>
    <w:rsid w:val="000F746A"/>
    <w:rsid w:val="000F748F"/>
    <w:rsid w:val="000F74C0"/>
    <w:rsid w:val="000F74CC"/>
    <w:rsid w:val="000F74F5"/>
    <w:rsid w:val="000F7504"/>
    <w:rsid w:val="000F7579"/>
    <w:rsid w:val="000F75A9"/>
    <w:rsid w:val="000F7659"/>
    <w:rsid w:val="000F7664"/>
    <w:rsid w:val="000F76FD"/>
    <w:rsid w:val="000F77B3"/>
    <w:rsid w:val="000F780E"/>
    <w:rsid w:val="000F7836"/>
    <w:rsid w:val="000F7857"/>
    <w:rsid w:val="000F7871"/>
    <w:rsid w:val="000F7963"/>
    <w:rsid w:val="000F79A8"/>
    <w:rsid w:val="000F79EF"/>
    <w:rsid w:val="000F7AAD"/>
    <w:rsid w:val="000F7BDA"/>
    <w:rsid w:val="000F7C02"/>
    <w:rsid w:val="000F7C23"/>
    <w:rsid w:val="000F7CA7"/>
    <w:rsid w:val="000F7CAC"/>
    <w:rsid w:val="000F7CE6"/>
    <w:rsid w:val="000F7CED"/>
    <w:rsid w:val="000F7D4C"/>
    <w:rsid w:val="000F7E0D"/>
    <w:rsid w:val="000F7E7C"/>
    <w:rsid w:val="000F7F50"/>
    <w:rsid w:val="000F7F66"/>
    <w:rsid w:val="000F7F7E"/>
    <w:rsid w:val="001000CA"/>
    <w:rsid w:val="001000DB"/>
    <w:rsid w:val="0010012A"/>
    <w:rsid w:val="00100235"/>
    <w:rsid w:val="00100351"/>
    <w:rsid w:val="0010042A"/>
    <w:rsid w:val="00100474"/>
    <w:rsid w:val="001004A3"/>
    <w:rsid w:val="001004E2"/>
    <w:rsid w:val="00100526"/>
    <w:rsid w:val="00100552"/>
    <w:rsid w:val="0010059B"/>
    <w:rsid w:val="00100618"/>
    <w:rsid w:val="00100621"/>
    <w:rsid w:val="0010073A"/>
    <w:rsid w:val="00100740"/>
    <w:rsid w:val="001007A0"/>
    <w:rsid w:val="001007BB"/>
    <w:rsid w:val="001007DF"/>
    <w:rsid w:val="0010085B"/>
    <w:rsid w:val="00100861"/>
    <w:rsid w:val="00100883"/>
    <w:rsid w:val="0010089D"/>
    <w:rsid w:val="001008A0"/>
    <w:rsid w:val="001008CD"/>
    <w:rsid w:val="001008F4"/>
    <w:rsid w:val="00100927"/>
    <w:rsid w:val="001009AB"/>
    <w:rsid w:val="001009CD"/>
    <w:rsid w:val="001009EF"/>
    <w:rsid w:val="00100B58"/>
    <w:rsid w:val="00100BC2"/>
    <w:rsid w:val="00100BFF"/>
    <w:rsid w:val="00100CBA"/>
    <w:rsid w:val="00100CE3"/>
    <w:rsid w:val="00100D10"/>
    <w:rsid w:val="00100D6C"/>
    <w:rsid w:val="00100D72"/>
    <w:rsid w:val="00100D77"/>
    <w:rsid w:val="00100E0F"/>
    <w:rsid w:val="00100E58"/>
    <w:rsid w:val="00100E7C"/>
    <w:rsid w:val="00100ECC"/>
    <w:rsid w:val="00100FD9"/>
    <w:rsid w:val="00101027"/>
    <w:rsid w:val="0010109B"/>
    <w:rsid w:val="00101109"/>
    <w:rsid w:val="0010110E"/>
    <w:rsid w:val="0010116E"/>
    <w:rsid w:val="001011A4"/>
    <w:rsid w:val="00101237"/>
    <w:rsid w:val="001012B6"/>
    <w:rsid w:val="00101313"/>
    <w:rsid w:val="00101388"/>
    <w:rsid w:val="00101389"/>
    <w:rsid w:val="0010138A"/>
    <w:rsid w:val="001013AD"/>
    <w:rsid w:val="00101430"/>
    <w:rsid w:val="001014A6"/>
    <w:rsid w:val="0010151E"/>
    <w:rsid w:val="0010157F"/>
    <w:rsid w:val="0010158E"/>
    <w:rsid w:val="001015BC"/>
    <w:rsid w:val="001015D6"/>
    <w:rsid w:val="0010161E"/>
    <w:rsid w:val="00101630"/>
    <w:rsid w:val="00101661"/>
    <w:rsid w:val="0010167D"/>
    <w:rsid w:val="00101698"/>
    <w:rsid w:val="00101725"/>
    <w:rsid w:val="00101861"/>
    <w:rsid w:val="0010198E"/>
    <w:rsid w:val="00101998"/>
    <w:rsid w:val="00101A4A"/>
    <w:rsid w:val="00101AAB"/>
    <w:rsid w:val="00101B84"/>
    <w:rsid w:val="00101BEF"/>
    <w:rsid w:val="00101C0B"/>
    <w:rsid w:val="00101C19"/>
    <w:rsid w:val="00101C3D"/>
    <w:rsid w:val="00101CBF"/>
    <w:rsid w:val="00101CEF"/>
    <w:rsid w:val="00101D8F"/>
    <w:rsid w:val="00101DAD"/>
    <w:rsid w:val="00101E3A"/>
    <w:rsid w:val="00101E7B"/>
    <w:rsid w:val="00101EFF"/>
    <w:rsid w:val="00101F4A"/>
    <w:rsid w:val="00101F9C"/>
    <w:rsid w:val="00101FD2"/>
    <w:rsid w:val="00102058"/>
    <w:rsid w:val="001020DB"/>
    <w:rsid w:val="00102225"/>
    <w:rsid w:val="001022A0"/>
    <w:rsid w:val="00102334"/>
    <w:rsid w:val="0010238A"/>
    <w:rsid w:val="00102416"/>
    <w:rsid w:val="00102444"/>
    <w:rsid w:val="00102499"/>
    <w:rsid w:val="0010253F"/>
    <w:rsid w:val="00102545"/>
    <w:rsid w:val="00102554"/>
    <w:rsid w:val="00102582"/>
    <w:rsid w:val="00102614"/>
    <w:rsid w:val="001026F4"/>
    <w:rsid w:val="00102714"/>
    <w:rsid w:val="001027DD"/>
    <w:rsid w:val="00102874"/>
    <w:rsid w:val="00102894"/>
    <w:rsid w:val="00102947"/>
    <w:rsid w:val="00102A01"/>
    <w:rsid w:val="00102AA2"/>
    <w:rsid w:val="00102AB5"/>
    <w:rsid w:val="00102BCF"/>
    <w:rsid w:val="00102BD0"/>
    <w:rsid w:val="00102BE6"/>
    <w:rsid w:val="00102EF2"/>
    <w:rsid w:val="00102FDC"/>
    <w:rsid w:val="00102FEC"/>
    <w:rsid w:val="001032F0"/>
    <w:rsid w:val="001032F1"/>
    <w:rsid w:val="00103352"/>
    <w:rsid w:val="00103369"/>
    <w:rsid w:val="0010338D"/>
    <w:rsid w:val="0010343F"/>
    <w:rsid w:val="00103455"/>
    <w:rsid w:val="0010348A"/>
    <w:rsid w:val="001034AF"/>
    <w:rsid w:val="00103571"/>
    <w:rsid w:val="0010358B"/>
    <w:rsid w:val="00103598"/>
    <w:rsid w:val="001035AB"/>
    <w:rsid w:val="0010362D"/>
    <w:rsid w:val="0010373D"/>
    <w:rsid w:val="001037FD"/>
    <w:rsid w:val="0010384D"/>
    <w:rsid w:val="00103876"/>
    <w:rsid w:val="00103878"/>
    <w:rsid w:val="00103908"/>
    <w:rsid w:val="0010394D"/>
    <w:rsid w:val="0010394F"/>
    <w:rsid w:val="00103957"/>
    <w:rsid w:val="00103A76"/>
    <w:rsid w:val="00103A9C"/>
    <w:rsid w:val="00103B1D"/>
    <w:rsid w:val="00103B1F"/>
    <w:rsid w:val="00103B7F"/>
    <w:rsid w:val="00103C54"/>
    <w:rsid w:val="00103C8F"/>
    <w:rsid w:val="00103D09"/>
    <w:rsid w:val="00103D4F"/>
    <w:rsid w:val="00103D6E"/>
    <w:rsid w:val="00103DB1"/>
    <w:rsid w:val="00103FB3"/>
    <w:rsid w:val="00103FD7"/>
    <w:rsid w:val="0010405D"/>
    <w:rsid w:val="0010411A"/>
    <w:rsid w:val="00104133"/>
    <w:rsid w:val="00104138"/>
    <w:rsid w:val="0010415A"/>
    <w:rsid w:val="00104165"/>
    <w:rsid w:val="00104175"/>
    <w:rsid w:val="00104238"/>
    <w:rsid w:val="0010445F"/>
    <w:rsid w:val="001044A1"/>
    <w:rsid w:val="001044D2"/>
    <w:rsid w:val="0010452F"/>
    <w:rsid w:val="00104532"/>
    <w:rsid w:val="001045EE"/>
    <w:rsid w:val="00104629"/>
    <w:rsid w:val="00104693"/>
    <w:rsid w:val="001046BB"/>
    <w:rsid w:val="00104725"/>
    <w:rsid w:val="0010478A"/>
    <w:rsid w:val="001047F0"/>
    <w:rsid w:val="00104877"/>
    <w:rsid w:val="001048C9"/>
    <w:rsid w:val="001048CC"/>
    <w:rsid w:val="001048E9"/>
    <w:rsid w:val="00104A61"/>
    <w:rsid w:val="00104A9B"/>
    <w:rsid w:val="00104C2A"/>
    <w:rsid w:val="00104C5B"/>
    <w:rsid w:val="00104C7B"/>
    <w:rsid w:val="00104CE0"/>
    <w:rsid w:val="00104D44"/>
    <w:rsid w:val="00104D9E"/>
    <w:rsid w:val="00104D9F"/>
    <w:rsid w:val="00104DC2"/>
    <w:rsid w:val="00104DF2"/>
    <w:rsid w:val="00104EC8"/>
    <w:rsid w:val="00104EFF"/>
    <w:rsid w:val="00104F0E"/>
    <w:rsid w:val="00104F7D"/>
    <w:rsid w:val="00104F96"/>
    <w:rsid w:val="00104F9E"/>
    <w:rsid w:val="00105019"/>
    <w:rsid w:val="00105080"/>
    <w:rsid w:val="00105172"/>
    <w:rsid w:val="001051BC"/>
    <w:rsid w:val="001051FB"/>
    <w:rsid w:val="00105280"/>
    <w:rsid w:val="001052B1"/>
    <w:rsid w:val="001052F9"/>
    <w:rsid w:val="0010535F"/>
    <w:rsid w:val="001053D7"/>
    <w:rsid w:val="0010542B"/>
    <w:rsid w:val="00105576"/>
    <w:rsid w:val="001055D0"/>
    <w:rsid w:val="001055E0"/>
    <w:rsid w:val="001056A2"/>
    <w:rsid w:val="001056CD"/>
    <w:rsid w:val="001056F5"/>
    <w:rsid w:val="00105735"/>
    <w:rsid w:val="0010574F"/>
    <w:rsid w:val="00105814"/>
    <w:rsid w:val="0010581C"/>
    <w:rsid w:val="00105836"/>
    <w:rsid w:val="00105839"/>
    <w:rsid w:val="001058D8"/>
    <w:rsid w:val="00105939"/>
    <w:rsid w:val="00105A5D"/>
    <w:rsid w:val="00105A5E"/>
    <w:rsid w:val="00105ABA"/>
    <w:rsid w:val="00105B81"/>
    <w:rsid w:val="00105B87"/>
    <w:rsid w:val="00105BD2"/>
    <w:rsid w:val="00105C25"/>
    <w:rsid w:val="00105C26"/>
    <w:rsid w:val="00105C2D"/>
    <w:rsid w:val="00105C77"/>
    <w:rsid w:val="00105C7D"/>
    <w:rsid w:val="00105CC2"/>
    <w:rsid w:val="00105CD1"/>
    <w:rsid w:val="00105D9F"/>
    <w:rsid w:val="00105DA9"/>
    <w:rsid w:val="00105E58"/>
    <w:rsid w:val="00105EE0"/>
    <w:rsid w:val="0010602A"/>
    <w:rsid w:val="001060AC"/>
    <w:rsid w:val="001060BB"/>
    <w:rsid w:val="00106146"/>
    <w:rsid w:val="00106296"/>
    <w:rsid w:val="00106314"/>
    <w:rsid w:val="00106323"/>
    <w:rsid w:val="0010635F"/>
    <w:rsid w:val="001063A1"/>
    <w:rsid w:val="001063B2"/>
    <w:rsid w:val="00106433"/>
    <w:rsid w:val="0010643C"/>
    <w:rsid w:val="00106464"/>
    <w:rsid w:val="0010648A"/>
    <w:rsid w:val="001064C9"/>
    <w:rsid w:val="00106555"/>
    <w:rsid w:val="001065FA"/>
    <w:rsid w:val="0010660C"/>
    <w:rsid w:val="001066C4"/>
    <w:rsid w:val="00106702"/>
    <w:rsid w:val="001067C4"/>
    <w:rsid w:val="001067EE"/>
    <w:rsid w:val="001067F9"/>
    <w:rsid w:val="00106832"/>
    <w:rsid w:val="00106864"/>
    <w:rsid w:val="001068A7"/>
    <w:rsid w:val="001068E2"/>
    <w:rsid w:val="001068E9"/>
    <w:rsid w:val="00106A0A"/>
    <w:rsid w:val="00106A2A"/>
    <w:rsid w:val="00106A80"/>
    <w:rsid w:val="00106C4A"/>
    <w:rsid w:val="00106E94"/>
    <w:rsid w:val="00106F37"/>
    <w:rsid w:val="00106F48"/>
    <w:rsid w:val="00106F6C"/>
    <w:rsid w:val="00106F91"/>
    <w:rsid w:val="00106F9E"/>
    <w:rsid w:val="00107058"/>
    <w:rsid w:val="0010706B"/>
    <w:rsid w:val="001070A3"/>
    <w:rsid w:val="001070F1"/>
    <w:rsid w:val="00107103"/>
    <w:rsid w:val="00107122"/>
    <w:rsid w:val="0010717B"/>
    <w:rsid w:val="00107189"/>
    <w:rsid w:val="001071A7"/>
    <w:rsid w:val="0010726B"/>
    <w:rsid w:val="00107287"/>
    <w:rsid w:val="001072C7"/>
    <w:rsid w:val="001072E2"/>
    <w:rsid w:val="001072E5"/>
    <w:rsid w:val="00107398"/>
    <w:rsid w:val="001073AC"/>
    <w:rsid w:val="001073FC"/>
    <w:rsid w:val="00107472"/>
    <w:rsid w:val="001074FA"/>
    <w:rsid w:val="001075F5"/>
    <w:rsid w:val="0010761E"/>
    <w:rsid w:val="00107667"/>
    <w:rsid w:val="001076DA"/>
    <w:rsid w:val="0010778E"/>
    <w:rsid w:val="001077E1"/>
    <w:rsid w:val="00107890"/>
    <w:rsid w:val="0010792D"/>
    <w:rsid w:val="0010797F"/>
    <w:rsid w:val="001079CE"/>
    <w:rsid w:val="00107A2E"/>
    <w:rsid w:val="00107A41"/>
    <w:rsid w:val="00107B1C"/>
    <w:rsid w:val="00107B43"/>
    <w:rsid w:val="00107B87"/>
    <w:rsid w:val="00107B8B"/>
    <w:rsid w:val="00107BC6"/>
    <w:rsid w:val="00107BE3"/>
    <w:rsid w:val="00107C8F"/>
    <w:rsid w:val="00107CBA"/>
    <w:rsid w:val="00107CF6"/>
    <w:rsid w:val="00107DB0"/>
    <w:rsid w:val="00107DFF"/>
    <w:rsid w:val="00107E5A"/>
    <w:rsid w:val="00107E8F"/>
    <w:rsid w:val="00107F2A"/>
    <w:rsid w:val="00107F74"/>
    <w:rsid w:val="00107F93"/>
    <w:rsid w:val="00110018"/>
    <w:rsid w:val="00110037"/>
    <w:rsid w:val="0011012C"/>
    <w:rsid w:val="00110139"/>
    <w:rsid w:val="00110163"/>
    <w:rsid w:val="001101AC"/>
    <w:rsid w:val="001102C3"/>
    <w:rsid w:val="00110386"/>
    <w:rsid w:val="00110433"/>
    <w:rsid w:val="00110461"/>
    <w:rsid w:val="001104B9"/>
    <w:rsid w:val="001104BA"/>
    <w:rsid w:val="001104E4"/>
    <w:rsid w:val="00110517"/>
    <w:rsid w:val="00110549"/>
    <w:rsid w:val="0011059C"/>
    <w:rsid w:val="001105FB"/>
    <w:rsid w:val="00110611"/>
    <w:rsid w:val="0011061A"/>
    <w:rsid w:val="00110636"/>
    <w:rsid w:val="00110649"/>
    <w:rsid w:val="00110682"/>
    <w:rsid w:val="00110779"/>
    <w:rsid w:val="0011079C"/>
    <w:rsid w:val="001107D7"/>
    <w:rsid w:val="00110805"/>
    <w:rsid w:val="0011087F"/>
    <w:rsid w:val="001109BD"/>
    <w:rsid w:val="001109C0"/>
    <w:rsid w:val="00110A1D"/>
    <w:rsid w:val="00110A9B"/>
    <w:rsid w:val="00110AB4"/>
    <w:rsid w:val="00110ABE"/>
    <w:rsid w:val="00110AC5"/>
    <w:rsid w:val="00110AD0"/>
    <w:rsid w:val="00110B11"/>
    <w:rsid w:val="00110C71"/>
    <w:rsid w:val="00110C8A"/>
    <w:rsid w:val="00110CD9"/>
    <w:rsid w:val="00110D2E"/>
    <w:rsid w:val="00110D6C"/>
    <w:rsid w:val="00110D83"/>
    <w:rsid w:val="00110DA9"/>
    <w:rsid w:val="00110DB5"/>
    <w:rsid w:val="00110DD2"/>
    <w:rsid w:val="00110FC1"/>
    <w:rsid w:val="0011104D"/>
    <w:rsid w:val="0011115A"/>
    <w:rsid w:val="00111192"/>
    <w:rsid w:val="0011123C"/>
    <w:rsid w:val="0011126F"/>
    <w:rsid w:val="00111287"/>
    <w:rsid w:val="001112A1"/>
    <w:rsid w:val="001112CA"/>
    <w:rsid w:val="001112F3"/>
    <w:rsid w:val="00111574"/>
    <w:rsid w:val="001115C4"/>
    <w:rsid w:val="00111672"/>
    <w:rsid w:val="00111675"/>
    <w:rsid w:val="001116B1"/>
    <w:rsid w:val="00111761"/>
    <w:rsid w:val="001118F1"/>
    <w:rsid w:val="00111995"/>
    <w:rsid w:val="001119BF"/>
    <w:rsid w:val="001119D3"/>
    <w:rsid w:val="001119DC"/>
    <w:rsid w:val="001119F3"/>
    <w:rsid w:val="00111A50"/>
    <w:rsid w:val="00111BFF"/>
    <w:rsid w:val="00111C18"/>
    <w:rsid w:val="00111C28"/>
    <w:rsid w:val="00111CBE"/>
    <w:rsid w:val="00111D4B"/>
    <w:rsid w:val="00111D69"/>
    <w:rsid w:val="00111D98"/>
    <w:rsid w:val="00111DA1"/>
    <w:rsid w:val="00111DFF"/>
    <w:rsid w:val="00111E00"/>
    <w:rsid w:val="00111EB7"/>
    <w:rsid w:val="00111FBA"/>
    <w:rsid w:val="00111FDC"/>
    <w:rsid w:val="00111FE1"/>
    <w:rsid w:val="00111FFF"/>
    <w:rsid w:val="001120A0"/>
    <w:rsid w:val="0011215D"/>
    <w:rsid w:val="00112164"/>
    <w:rsid w:val="001121C0"/>
    <w:rsid w:val="001121CB"/>
    <w:rsid w:val="001121E5"/>
    <w:rsid w:val="0011220E"/>
    <w:rsid w:val="00112246"/>
    <w:rsid w:val="001122FF"/>
    <w:rsid w:val="00112338"/>
    <w:rsid w:val="00112354"/>
    <w:rsid w:val="00112537"/>
    <w:rsid w:val="00112552"/>
    <w:rsid w:val="001125F8"/>
    <w:rsid w:val="0011263C"/>
    <w:rsid w:val="0011265A"/>
    <w:rsid w:val="001126A7"/>
    <w:rsid w:val="00112728"/>
    <w:rsid w:val="0011278A"/>
    <w:rsid w:val="00112807"/>
    <w:rsid w:val="00112899"/>
    <w:rsid w:val="0011292A"/>
    <w:rsid w:val="00112957"/>
    <w:rsid w:val="00112A36"/>
    <w:rsid w:val="00112A8A"/>
    <w:rsid w:val="00112A9D"/>
    <w:rsid w:val="00112CAA"/>
    <w:rsid w:val="00112CAB"/>
    <w:rsid w:val="00112CCA"/>
    <w:rsid w:val="00112CDE"/>
    <w:rsid w:val="00112D16"/>
    <w:rsid w:val="00112D6F"/>
    <w:rsid w:val="00112DE3"/>
    <w:rsid w:val="00112DEE"/>
    <w:rsid w:val="00112E14"/>
    <w:rsid w:val="00112F54"/>
    <w:rsid w:val="00112F6D"/>
    <w:rsid w:val="0011307C"/>
    <w:rsid w:val="00113091"/>
    <w:rsid w:val="00113137"/>
    <w:rsid w:val="00113238"/>
    <w:rsid w:val="001132A6"/>
    <w:rsid w:val="001132B1"/>
    <w:rsid w:val="001132CD"/>
    <w:rsid w:val="0011330C"/>
    <w:rsid w:val="00113349"/>
    <w:rsid w:val="0011335A"/>
    <w:rsid w:val="00113372"/>
    <w:rsid w:val="0011337F"/>
    <w:rsid w:val="00113390"/>
    <w:rsid w:val="001133E8"/>
    <w:rsid w:val="00113411"/>
    <w:rsid w:val="0011345C"/>
    <w:rsid w:val="00113480"/>
    <w:rsid w:val="001134C9"/>
    <w:rsid w:val="00113596"/>
    <w:rsid w:val="001135AF"/>
    <w:rsid w:val="00113605"/>
    <w:rsid w:val="00113610"/>
    <w:rsid w:val="0011364C"/>
    <w:rsid w:val="0011365A"/>
    <w:rsid w:val="001136F9"/>
    <w:rsid w:val="00113724"/>
    <w:rsid w:val="00113748"/>
    <w:rsid w:val="00113749"/>
    <w:rsid w:val="001137BE"/>
    <w:rsid w:val="001137F3"/>
    <w:rsid w:val="0011380F"/>
    <w:rsid w:val="001138A8"/>
    <w:rsid w:val="0011391B"/>
    <w:rsid w:val="001139CA"/>
    <w:rsid w:val="001139D5"/>
    <w:rsid w:val="00113A30"/>
    <w:rsid w:val="00113AB6"/>
    <w:rsid w:val="00113D2A"/>
    <w:rsid w:val="00113E08"/>
    <w:rsid w:val="00113E82"/>
    <w:rsid w:val="00113EA5"/>
    <w:rsid w:val="00113EAD"/>
    <w:rsid w:val="00113F0C"/>
    <w:rsid w:val="00113F58"/>
    <w:rsid w:val="00113F88"/>
    <w:rsid w:val="00113F93"/>
    <w:rsid w:val="00113FA3"/>
    <w:rsid w:val="00113FAB"/>
    <w:rsid w:val="00113FD8"/>
    <w:rsid w:val="00113FEF"/>
    <w:rsid w:val="0011401F"/>
    <w:rsid w:val="00114055"/>
    <w:rsid w:val="00114102"/>
    <w:rsid w:val="0011413A"/>
    <w:rsid w:val="0011416A"/>
    <w:rsid w:val="001141AA"/>
    <w:rsid w:val="001141DB"/>
    <w:rsid w:val="001142A4"/>
    <w:rsid w:val="00114301"/>
    <w:rsid w:val="00114357"/>
    <w:rsid w:val="001143B5"/>
    <w:rsid w:val="001143C0"/>
    <w:rsid w:val="00114417"/>
    <w:rsid w:val="00114470"/>
    <w:rsid w:val="001144D2"/>
    <w:rsid w:val="001144E7"/>
    <w:rsid w:val="001145BC"/>
    <w:rsid w:val="00114682"/>
    <w:rsid w:val="00114701"/>
    <w:rsid w:val="00114702"/>
    <w:rsid w:val="00114749"/>
    <w:rsid w:val="001147FA"/>
    <w:rsid w:val="00114823"/>
    <w:rsid w:val="00114831"/>
    <w:rsid w:val="0011486C"/>
    <w:rsid w:val="001149C7"/>
    <w:rsid w:val="00114A6D"/>
    <w:rsid w:val="00114AF4"/>
    <w:rsid w:val="00114B6D"/>
    <w:rsid w:val="00114BD9"/>
    <w:rsid w:val="00114BE1"/>
    <w:rsid w:val="00114C5C"/>
    <w:rsid w:val="00114C76"/>
    <w:rsid w:val="00114CB7"/>
    <w:rsid w:val="00114CE8"/>
    <w:rsid w:val="00114D18"/>
    <w:rsid w:val="00114D64"/>
    <w:rsid w:val="00114D9A"/>
    <w:rsid w:val="00114DF9"/>
    <w:rsid w:val="00114E5E"/>
    <w:rsid w:val="00114F10"/>
    <w:rsid w:val="0011500C"/>
    <w:rsid w:val="001150C4"/>
    <w:rsid w:val="00115215"/>
    <w:rsid w:val="0011523B"/>
    <w:rsid w:val="0011529A"/>
    <w:rsid w:val="00115332"/>
    <w:rsid w:val="001153AB"/>
    <w:rsid w:val="001153D7"/>
    <w:rsid w:val="001153F3"/>
    <w:rsid w:val="001154F8"/>
    <w:rsid w:val="0011554F"/>
    <w:rsid w:val="001155F2"/>
    <w:rsid w:val="001156D9"/>
    <w:rsid w:val="00115712"/>
    <w:rsid w:val="00115762"/>
    <w:rsid w:val="00115785"/>
    <w:rsid w:val="00115795"/>
    <w:rsid w:val="001157E4"/>
    <w:rsid w:val="00115848"/>
    <w:rsid w:val="001158BB"/>
    <w:rsid w:val="001158D3"/>
    <w:rsid w:val="00115943"/>
    <w:rsid w:val="00115952"/>
    <w:rsid w:val="00115983"/>
    <w:rsid w:val="00115A3E"/>
    <w:rsid w:val="00115A50"/>
    <w:rsid w:val="00115A78"/>
    <w:rsid w:val="00115A81"/>
    <w:rsid w:val="00115C1D"/>
    <w:rsid w:val="00115E65"/>
    <w:rsid w:val="00115E7C"/>
    <w:rsid w:val="00115EA0"/>
    <w:rsid w:val="00115EC9"/>
    <w:rsid w:val="00115F3D"/>
    <w:rsid w:val="00115FC3"/>
    <w:rsid w:val="00116152"/>
    <w:rsid w:val="00116176"/>
    <w:rsid w:val="00116256"/>
    <w:rsid w:val="001162BA"/>
    <w:rsid w:val="001162D3"/>
    <w:rsid w:val="001162FE"/>
    <w:rsid w:val="00116321"/>
    <w:rsid w:val="00116331"/>
    <w:rsid w:val="0011634C"/>
    <w:rsid w:val="001164AA"/>
    <w:rsid w:val="001164FF"/>
    <w:rsid w:val="0011655D"/>
    <w:rsid w:val="001165CB"/>
    <w:rsid w:val="001165E2"/>
    <w:rsid w:val="001165E7"/>
    <w:rsid w:val="0011669B"/>
    <w:rsid w:val="001166AD"/>
    <w:rsid w:val="00116732"/>
    <w:rsid w:val="0011683D"/>
    <w:rsid w:val="0011688B"/>
    <w:rsid w:val="0011689F"/>
    <w:rsid w:val="0011695D"/>
    <w:rsid w:val="001169BA"/>
    <w:rsid w:val="001169D0"/>
    <w:rsid w:val="001169EA"/>
    <w:rsid w:val="001169F7"/>
    <w:rsid w:val="00116A77"/>
    <w:rsid w:val="00116A78"/>
    <w:rsid w:val="00116AAD"/>
    <w:rsid w:val="00116AC1"/>
    <w:rsid w:val="00116C43"/>
    <w:rsid w:val="00116C80"/>
    <w:rsid w:val="00116DCA"/>
    <w:rsid w:val="00116E48"/>
    <w:rsid w:val="00116EB9"/>
    <w:rsid w:val="00116EC6"/>
    <w:rsid w:val="00116F74"/>
    <w:rsid w:val="00116FF3"/>
    <w:rsid w:val="00117011"/>
    <w:rsid w:val="00117035"/>
    <w:rsid w:val="0011704C"/>
    <w:rsid w:val="001170FA"/>
    <w:rsid w:val="00117137"/>
    <w:rsid w:val="0011717F"/>
    <w:rsid w:val="0011718D"/>
    <w:rsid w:val="00117199"/>
    <w:rsid w:val="001172A1"/>
    <w:rsid w:val="001172F4"/>
    <w:rsid w:val="00117302"/>
    <w:rsid w:val="001173B5"/>
    <w:rsid w:val="0011747F"/>
    <w:rsid w:val="001174BF"/>
    <w:rsid w:val="00117570"/>
    <w:rsid w:val="0011758E"/>
    <w:rsid w:val="00117596"/>
    <w:rsid w:val="001175D8"/>
    <w:rsid w:val="00117680"/>
    <w:rsid w:val="00117691"/>
    <w:rsid w:val="001176BF"/>
    <w:rsid w:val="00117732"/>
    <w:rsid w:val="001177C7"/>
    <w:rsid w:val="00117800"/>
    <w:rsid w:val="00117828"/>
    <w:rsid w:val="00117833"/>
    <w:rsid w:val="00117851"/>
    <w:rsid w:val="001178AB"/>
    <w:rsid w:val="001179B8"/>
    <w:rsid w:val="001179F4"/>
    <w:rsid w:val="00117A87"/>
    <w:rsid w:val="00117A90"/>
    <w:rsid w:val="00117AB2"/>
    <w:rsid w:val="00117B32"/>
    <w:rsid w:val="00117BA0"/>
    <w:rsid w:val="00117BEA"/>
    <w:rsid w:val="00117C71"/>
    <w:rsid w:val="00117CB8"/>
    <w:rsid w:val="00117CF1"/>
    <w:rsid w:val="00117D32"/>
    <w:rsid w:val="00117D3D"/>
    <w:rsid w:val="00117DBB"/>
    <w:rsid w:val="00117DF9"/>
    <w:rsid w:val="00117DFB"/>
    <w:rsid w:val="00117E17"/>
    <w:rsid w:val="00117E22"/>
    <w:rsid w:val="00117E6D"/>
    <w:rsid w:val="00117E7D"/>
    <w:rsid w:val="00117EF3"/>
    <w:rsid w:val="00117F10"/>
    <w:rsid w:val="00117FF5"/>
    <w:rsid w:val="00120001"/>
    <w:rsid w:val="00120002"/>
    <w:rsid w:val="0012008F"/>
    <w:rsid w:val="001200B3"/>
    <w:rsid w:val="001200C3"/>
    <w:rsid w:val="001201D2"/>
    <w:rsid w:val="001201DB"/>
    <w:rsid w:val="001201F7"/>
    <w:rsid w:val="00120217"/>
    <w:rsid w:val="001202A8"/>
    <w:rsid w:val="00120323"/>
    <w:rsid w:val="0012033A"/>
    <w:rsid w:val="001203C7"/>
    <w:rsid w:val="001203F7"/>
    <w:rsid w:val="00120421"/>
    <w:rsid w:val="0012043A"/>
    <w:rsid w:val="0012049A"/>
    <w:rsid w:val="001204B4"/>
    <w:rsid w:val="0012050F"/>
    <w:rsid w:val="00120592"/>
    <w:rsid w:val="001205D3"/>
    <w:rsid w:val="00120643"/>
    <w:rsid w:val="0012067A"/>
    <w:rsid w:val="00120783"/>
    <w:rsid w:val="00120845"/>
    <w:rsid w:val="001208ED"/>
    <w:rsid w:val="00120926"/>
    <w:rsid w:val="00120975"/>
    <w:rsid w:val="001209DF"/>
    <w:rsid w:val="00120AB0"/>
    <w:rsid w:val="00120ABE"/>
    <w:rsid w:val="00120AC9"/>
    <w:rsid w:val="00120AEA"/>
    <w:rsid w:val="00120AFA"/>
    <w:rsid w:val="00120B73"/>
    <w:rsid w:val="00120C6A"/>
    <w:rsid w:val="00120D3A"/>
    <w:rsid w:val="00120D49"/>
    <w:rsid w:val="00120D59"/>
    <w:rsid w:val="00120DCE"/>
    <w:rsid w:val="00120E2B"/>
    <w:rsid w:val="00120E41"/>
    <w:rsid w:val="00120E64"/>
    <w:rsid w:val="00120EC2"/>
    <w:rsid w:val="00120F8E"/>
    <w:rsid w:val="00121007"/>
    <w:rsid w:val="00121019"/>
    <w:rsid w:val="0012107D"/>
    <w:rsid w:val="001210C2"/>
    <w:rsid w:val="0012110A"/>
    <w:rsid w:val="0012115C"/>
    <w:rsid w:val="0012116A"/>
    <w:rsid w:val="0012125C"/>
    <w:rsid w:val="00121288"/>
    <w:rsid w:val="00121309"/>
    <w:rsid w:val="00121332"/>
    <w:rsid w:val="001213B2"/>
    <w:rsid w:val="001213C5"/>
    <w:rsid w:val="001213D7"/>
    <w:rsid w:val="00121430"/>
    <w:rsid w:val="001214B4"/>
    <w:rsid w:val="0012150D"/>
    <w:rsid w:val="0012155F"/>
    <w:rsid w:val="00121561"/>
    <w:rsid w:val="001215D5"/>
    <w:rsid w:val="00121698"/>
    <w:rsid w:val="001216F3"/>
    <w:rsid w:val="0012170C"/>
    <w:rsid w:val="0012183F"/>
    <w:rsid w:val="0012188D"/>
    <w:rsid w:val="0012189A"/>
    <w:rsid w:val="001218C8"/>
    <w:rsid w:val="001218CD"/>
    <w:rsid w:val="00121A4F"/>
    <w:rsid w:val="00121ADD"/>
    <w:rsid w:val="00121AF3"/>
    <w:rsid w:val="00121B5A"/>
    <w:rsid w:val="00121B5C"/>
    <w:rsid w:val="00121B92"/>
    <w:rsid w:val="00121BD8"/>
    <w:rsid w:val="00121CF8"/>
    <w:rsid w:val="00121DA6"/>
    <w:rsid w:val="00121DF9"/>
    <w:rsid w:val="00121EEC"/>
    <w:rsid w:val="00121F02"/>
    <w:rsid w:val="00121F12"/>
    <w:rsid w:val="00121FA6"/>
    <w:rsid w:val="00121FF4"/>
    <w:rsid w:val="00122024"/>
    <w:rsid w:val="00122065"/>
    <w:rsid w:val="001220DD"/>
    <w:rsid w:val="00122118"/>
    <w:rsid w:val="0012219B"/>
    <w:rsid w:val="001221A7"/>
    <w:rsid w:val="00122217"/>
    <w:rsid w:val="001222EC"/>
    <w:rsid w:val="00122317"/>
    <w:rsid w:val="001223FF"/>
    <w:rsid w:val="00122485"/>
    <w:rsid w:val="001224BA"/>
    <w:rsid w:val="00122505"/>
    <w:rsid w:val="0012251A"/>
    <w:rsid w:val="00122531"/>
    <w:rsid w:val="0012254C"/>
    <w:rsid w:val="0012268E"/>
    <w:rsid w:val="0012278A"/>
    <w:rsid w:val="00122852"/>
    <w:rsid w:val="001228C8"/>
    <w:rsid w:val="001229EC"/>
    <w:rsid w:val="00122A21"/>
    <w:rsid w:val="00122A89"/>
    <w:rsid w:val="00122ACE"/>
    <w:rsid w:val="00122B3A"/>
    <w:rsid w:val="00122B80"/>
    <w:rsid w:val="00122BEE"/>
    <w:rsid w:val="00122C01"/>
    <w:rsid w:val="00122C2C"/>
    <w:rsid w:val="00122C8B"/>
    <w:rsid w:val="00122C9A"/>
    <w:rsid w:val="00122CC7"/>
    <w:rsid w:val="00122CEA"/>
    <w:rsid w:val="00122D00"/>
    <w:rsid w:val="00122D34"/>
    <w:rsid w:val="00122DCF"/>
    <w:rsid w:val="00122E25"/>
    <w:rsid w:val="00122E7B"/>
    <w:rsid w:val="00122ECE"/>
    <w:rsid w:val="00122EEB"/>
    <w:rsid w:val="00122F9A"/>
    <w:rsid w:val="001230A6"/>
    <w:rsid w:val="0012314C"/>
    <w:rsid w:val="001231CE"/>
    <w:rsid w:val="001231CF"/>
    <w:rsid w:val="001232CE"/>
    <w:rsid w:val="0012330C"/>
    <w:rsid w:val="00123365"/>
    <w:rsid w:val="001233A2"/>
    <w:rsid w:val="0012341E"/>
    <w:rsid w:val="0012346A"/>
    <w:rsid w:val="0012346F"/>
    <w:rsid w:val="0012348F"/>
    <w:rsid w:val="00123524"/>
    <w:rsid w:val="001236B0"/>
    <w:rsid w:val="001236B6"/>
    <w:rsid w:val="00123745"/>
    <w:rsid w:val="00123812"/>
    <w:rsid w:val="00123874"/>
    <w:rsid w:val="00123876"/>
    <w:rsid w:val="00123952"/>
    <w:rsid w:val="00123995"/>
    <w:rsid w:val="001239CE"/>
    <w:rsid w:val="001239F5"/>
    <w:rsid w:val="00123A22"/>
    <w:rsid w:val="00123AD5"/>
    <w:rsid w:val="00123BE9"/>
    <w:rsid w:val="00123BF8"/>
    <w:rsid w:val="00123C36"/>
    <w:rsid w:val="00123C3F"/>
    <w:rsid w:val="00123CFE"/>
    <w:rsid w:val="00123E1B"/>
    <w:rsid w:val="00123E6C"/>
    <w:rsid w:val="00124000"/>
    <w:rsid w:val="00124033"/>
    <w:rsid w:val="00124092"/>
    <w:rsid w:val="001240A2"/>
    <w:rsid w:val="00124140"/>
    <w:rsid w:val="001241AE"/>
    <w:rsid w:val="001242F2"/>
    <w:rsid w:val="0012434F"/>
    <w:rsid w:val="001243F3"/>
    <w:rsid w:val="00124441"/>
    <w:rsid w:val="001244D6"/>
    <w:rsid w:val="0012457F"/>
    <w:rsid w:val="001245D9"/>
    <w:rsid w:val="00124607"/>
    <w:rsid w:val="00124617"/>
    <w:rsid w:val="00124670"/>
    <w:rsid w:val="001246E2"/>
    <w:rsid w:val="0012470D"/>
    <w:rsid w:val="00124720"/>
    <w:rsid w:val="00124766"/>
    <w:rsid w:val="00124774"/>
    <w:rsid w:val="0012483F"/>
    <w:rsid w:val="001248DE"/>
    <w:rsid w:val="0012499A"/>
    <w:rsid w:val="00124A64"/>
    <w:rsid w:val="00124AA8"/>
    <w:rsid w:val="00124B30"/>
    <w:rsid w:val="00124B69"/>
    <w:rsid w:val="00124BAC"/>
    <w:rsid w:val="00124C38"/>
    <w:rsid w:val="00124C4E"/>
    <w:rsid w:val="00124D07"/>
    <w:rsid w:val="00124DD6"/>
    <w:rsid w:val="00124E17"/>
    <w:rsid w:val="00124EE9"/>
    <w:rsid w:val="00124F85"/>
    <w:rsid w:val="00124FA0"/>
    <w:rsid w:val="00124FFD"/>
    <w:rsid w:val="00125191"/>
    <w:rsid w:val="001251D3"/>
    <w:rsid w:val="001252D2"/>
    <w:rsid w:val="001254E4"/>
    <w:rsid w:val="001255E1"/>
    <w:rsid w:val="0012560F"/>
    <w:rsid w:val="00125654"/>
    <w:rsid w:val="001256D7"/>
    <w:rsid w:val="001257C4"/>
    <w:rsid w:val="001257C6"/>
    <w:rsid w:val="001257D4"/>
    <w:rsid w:val="001257E4"/>
    <w:rsid w:val="00125837"/>
    <w:rsid w:val="00125920"/>
    <w:rsid w:val="001259BF"/>
    <w:rsid w:val="001259D0"/>
    <w:rsid w:val="00125A8B"/>
    <w:rsid w:val="00125AAB"/>
    <w:rsid w:val="00125ABE"/>
    <w:rsid w:val="00125B0D"/>
    <w:rsid w:val="00125C8A"/>
    <w:rsid w:val="00125C8B"/>
    <w:rsid w:val="00125D9F"/>
    <w:rsid w:val="00125DCD"/>
    <w:rsid w:val="00125E73"/>
    <w:rsid w:val="00126046"/>
    <w:rsid w:val="00126069"/>
    <w:rsid w:val="001260FB"/>
    <w:rsid w:val="00126140"/>
    <w:rsid w:val="0012614B"/>
    <w:rsid w:val="001261E9"/>
    <w:rsid w:val="00126326"/>
    <w:rsid w:val="00126388"/>
    <w:rsid w:val="001263B0"/>
    <w:rsid w:val="001263FF"/>
    <w:rsid w:val="0012648D"/>
    <w:rsid w:val="001264C4"/>
    <w:rsid w:val="001264F2"/>
    <w:rsid w:val="00126549"/>
    <w:rsid w:val="001265C4"/>
    <w:rsid w:val="001265D9"/>
    <w:rsid w:val="001265DB"/>
    <w:rsid w:val="0012662F"/>
    <w:rsid w:val="001266B8"/>
    <w:rsid w:val="001267EB"/>
    <w:rsid w:val="0012684A"/>
    <w:rsid w:val="0012686B"/>
    <w:rsid w:val="00126B19"/>
    <w:rsid w:val="00126B2A"/>
    <w:rsid w:val="00126B3E"/>
    <w:rsid w:val="00126BB7"/>
    <w:rsid w:val="00126BE6"/>
    <w:rsid w:val="00126BFB"/>
    <w:rsid w:val="00126C2E"/>
    <w:rsid w:val="00126C48"/>
    <w:rsid w:val="00126C4B"/>
    <w:rsid w:val="00126C6E"/>
    <w:rsid w:val="00126D48"/>
    <w:rsid w:val="00126D98"/>
    <w:rsid w:val="00126E0C"/>
    <w:rsid w:val="00126E35"/>
    <w:rsid w:val="00126E66"/>
    <w:rsid w:val="00126F19"/>
    <w:rsid w:val="00126F4A"/>
    <w:rsid w:val="00126F53"/>
    <w:rsid w:val="00126F9C"/>
    <w:rsid w:val="00127170"/>
    <w:rsid w:val="0012718A"/>
    <w:rsid w:val="00127242"/>
    <w:rsid w:val="0012726A"/>
    <w:rsid w:val="0012728D"/>
    <w:rsid w:val="0012728E"/>
    <w:rsid w:val="00127356"/>
    <w:rsid w:val="0012748E"/>
    <w:rsid w:val="001274AC"/>
    <w:rsid w:val="001275BA"/>
    <w:rsid w:val="0012767F"/>
    <w:rsid w:val="001276F4"/>
    <w:rsid w:val="001276FD"/>
    <w:rsid w:val="00127709"/>
    <w:rsid w:val="00127752"/>
    <w:rsid w:val="00127767"/>
    <w:rsid w:val="001277B7"/>
    <w:rsid w:val="00127820"/>
    <w:rsid w:val="0012782A"/>
    <w:rsid w:val="0012792D"/>
    <w:rsid w:val="00127986"/>
    <w:rsid w:val="001279CF"/>
    <w:rsid w:val="00127A28"/>
    <w:rsid w:val="00127A5F"/>
    <w:rsid w:val="00127A9C"/>
    <w:rsid w:val="00127AA7"/>
    <w:rsid w:val="00127B19"/>
    <w:rsid w:val="00127B82"/>
    <w:rsid w:val="00127B90"/>
    <w:rsid w:val="00127C2B"/>
    <w:rsid w:val="00127C98"/>
    <w:rsid w:val="00127CC7"/>
    <w:rsid w:val="00127D38"/>
    <w:rsid w:val="00127D55"/>
    <w:rsid w:val="00127D95"/>
    <w:rsid w:val="00127F54"/>
    <w:rsid w:val="00127F5F"/>
    <w:rsid w:val="001300A5"/>
    <w:rsid w:val="001300F3"/>
    <w:rsid w:val="001300F9"/>
    <w:rsid w:val="0013011F"/>
    <w:rsid w:val="00130132"/>
    <w:rsid w:val="0013015E"/>
    <w:rsid w:val="001301DF"/>
    <w:rsid w:val="00130231"/>
    <w:rsid w:val="001302F1"/>
    <w:rsid w:val="00130320"/>
    <w:rsid w:val="00130348"/>
    <w:rsid w:val="0013035E"/>
    <w:rsid w:val="0013038D"/>
    <w:rsid w:val="001304A3"/>
    <w:rsid w:val="001304F4"/>
    <w:rsid w:val="00130526"/>
    <w:rsid w:val="001305A4"/>
    <w:rsid w:val="00130603"/>
    <w:rsid w:val="00130605"/>
    <w:rsid w:val="0013068F"/>
    <w:rsid w:val="001306F2"/>
    <w:rsid w:val="0013074F"/>
    <w:rsid w:val="00130754"/>
    <w:rsid w:val="00130760"/>
    <w:rsid w:val="001307BA"/>
    <w:rsid w:val="00130889"/>
    <w:rsid w:val="0013088A"/>
    <w:rsid w:val="001308EC"/>
    <w:rsid w:val="00130915"/>
    <w:rsid w:val="00130917"/>
    <w:rsid w:val="0013097C"/>
    <w:rsid w:val="001309B2"/>
    <w:rsid w:val="001309B3"/>
    <w:rsid w:val="001309C1"/>
    <w:rsid w:val="00130A1C"/>
    <w:rsid w:val="00130A42"/>
    <w:rsid w:val="00130A65"/>
    <w:rsid w:val="00130AE4"/>
    <w:rsid w:val="00130AEF"/>
    <w:rsid w:val="00130B08"/>
    <w:rsid w:val="00130B53"/>
    <w:rsid w:val="00130B72"/>
    <w:rsid w:val="00130B94"/>
    <w:rsid w:val="00130BF5"/>
    <w:rsid w:val="00130C27"/>
    <w:rsid w:val="00130C93"/>
    <w:rsid w:val="00130CAE"/>
    <w:rsid w:val="00130CDA"/>
    <w:rsid w:val="00130D01"/>
    <w:rsid w:val="00130D33"/>
    <w:rsid w:val="00130DB9"/>
    <w:rsid w:val="00130DC0"/>
    <w:rsid w:val="00130DEB"/>
    <w:rsid w:val="00130E97"/>
    <w:rsid w:val="00130EDE"/>
    <w:rsid w:val="00131142"/>
    <w:rsid w:val="0013114D"/>
    <w:rsid w:val="001311D0"/>
    <w:rsid w:val="00131263"/>
    <w:rsid w:val="00131464"/>
    <w:rsid w:val="00131472"/>
    <w:rsid w:val="001314A5"/>
    <w:rsid w:val="001314A6"/>
    <w:rsid w:val="001314AA"/>
    <w:rsid w:val="001314E5"/>
    <w:rsid w:val="0013159E"/>
    <w:rsid w:val="0013160C"/>
    <w:rsid w:val="001316E5"/>
    <w:rsid w:val="0013171C"/>
    <w:rsid w:val="0013172C"/>
    <w:rsid w:val="00131799"/>
    <w:rsid w:val="00131827"/>
    <w:rsid w:val="0013185A"/>
    <w:rsid w:val="0013198E"/>
    <w:rsid w:val="00131A06"/>
    <w:rsid w:val="00131AB4"/>
    <w:rsid w:val="00131B33"/>
    <w:rsid w:val="00131BB9"/>
    <w:rsid w:val="00131CB8"/>
    <w:rsid w:val="00131CF7"/>
    <w:rsid w:val="00131D98"/>
    <w:rsid w:val="00131DB7"/>
    <w:rsid w:val="00131E1E"/>
    <w:rsid w:val="00131E55"/>
    <w:rsid w:val="00131ECC"/>
    <w:rsid w:val="00131F29"/>
    <w:rsid w:val="00131F9C"/>
    <w:rsid w:val="00132030"/>
    <w:rsid w:val="001320DB"/>
    <w:rsid w:val="00132128"/>
    <w:rsid w:val="001321DA"/>
    <w:rsid w:val="001322D7"/>
    <w:rsid w:val="0013232A"/>
    <w:rsid w:val="00132342"/>
    <w:rsid w:val="0013237E"/>
    <w:rsid w:val="0013238F"/>
    <w:rsid w:val="00132492"/>
    <w:rsid w:val="001324C3"/>
    <w:rsid w:val="001325F6"/>
    <w:rsid w:val="00132606"/>
    <w:rsid w:val="00132686"/>
    <w:rsid w:val="001326C1"/>
    <w:rsid w:val="001326D7"/>
    <w:rsid w:val="001326F5"/>
    <w:rsid w:val="0013270D"/>
    <w:rsid w:val="0013289B"/>
    <w:rsid w:val="001328D3"/>
    <w:rsid w:val="00132938"/>
    <w:rsid w:val="0013296E"/>
    <w:rsid w:val="001329A7"/>
    <w:rsid w:val="001329C0"/>
    <w:rsid w:val="001329E9"/>
    <w:rsid w:val="00132B1D"/>
    <w:rsid w:val="00132B7D"/>
    <w:rsid w:val="00132B92"/>
    <w:rsid w:val="00132BA9"/>
    <w:rsid w:val="00132CCC"/>
    <w:rsid w:val="00132CD8"/>
    <w:rsid w:val="00132CF8"/>
    <w:rsid w:val="00132D2F"/>
    <w:rsid w:val="00132DB6"/>
    <w:rsid w:val="00132DCD"/>
    <w:rsid w:val="00132DCE"/>
    <w:rsid w:val="00132DD5"/>
    <w:rsid w:val="00132DEE"/>
    <w:rsid w:val="00132E6A"/>
    <w:rsid w:val="00132EED"/>
    <w:rsid w:val="00132F23"/>
    <w:rsid w:val="00132F4D"/>
    <w:rsid w:val="00132FAE"/>
    <w:rsid w:val="00132FB9"/>
    <w:rsid w:val="00133082"/>
    <w:rsid w:val="001330B7"/>
    <w:rsid w:val="0013310F"/>
    <w:rsid w:val="00133167"/>
    <w:rsid w:val="001331CA"/>
    <w:rsid w:val="0013327E"/>
    <w:rsid w:val="001332C9"/>
    <w:rsid w:val="001332F9"/>
    <w:rsid w:val="0013334C"/>
    <w:rsid w:val="0013334E"/>
    <w:rsid w:val="0013337D"/>
    <w:rsid w:val="00133398"/>
    <w:rsid w:val="001333CC"/>
    <w:rsid w:val="001333F0"/>
    <w:rsid w:val="0013349C"/>
    <w:rsid w:val="001334E3"/>
    <w:rsid w:val="00133545"/>
    <w:rsid w:val="00133579"/>
    <w:rsid w:val="00133588"/>
    <w:rsid w:val="00133625"/>
    <w:rsid w:val="00133663"/>
    <w:rsid w:val="0013367B"/>
    <w:rsid w:val="00133742"/>
    <w:rsid w:val="0013374B"/>
    <w:rsid w:val="00133762"/>
    <w:rsid w:val="001337A2"/>
    <w:rsid w:val="001337C6"/>
    <w:rsid w:val="001337E0"/>
    <w:rsid w:val="001337F9"/>
    <w:rsid w:val="00133844"/>
    <w:rsid w:val="0013390A"/>
    <w:rsid w:val="00133974"/>
    <w:rsid w:val="001339DA"/>
    <w:rsid w:val="00133A10"/>
    <w:rsid w:val="00133A89"/>
    <w:rsid w:val="00133B43"/>
    <w:rsid w:val="00133B83"/>
    <w:rsid w:val="00133C39"/>
    <w:rsid w:val="00133C5E"/>
    <w:rsid w:val="00133C78"/>
    <w:rsid w:val="00133C7A"/>
    <w:rsid w:val="00133D90"/>
    <w:rsid w:val="00133DC3"/>
    <w:rsid w:val="00133DD8"/>
    <w:rsid w:val="00133E16"/>
    <w:rsid w:val="00133E1C"/>
    <w:rsid w:val="00133E20"/>
    <w:rsid w:val="00133E3F"/>
    <w:rsid w:val="00133F11"/>
    <w:rsid w:val="00133FAD"/>
    <w:rsid w:val="00134045"/>
    <w:rsid w:val="0013408C"/>
    <w:rsid w:val="0013409F"/>
    <w:rsid w:val="001340A4"/>
    <w:rsid w:val="001340E6"/>
    <w:rsid w:val="0013416E"/>
    <w:rsid w:val="00134206"/>
    <w:rsid w:val="00134259"/>
    <w:rsid w:val="00134265"/>
    <w:rsid w:val="001342CF"/>
    <w:rsid w:val="001343DE"/>
    <w:rsid w:val="001343FA"/>
    <w:rsid w:val="0013448A"/>
    <w:rsid w:val="001344EE"/>
    <w:rsid w:val="0013450A"/>
    <w:rsid w:val="00134551"/>
    <w:rsid w:val="001345FD"/>
    <w:rsid w:val="0013466C"/>
    <w:rsid w:val="0013477D"/>
    <w:rsid w:val="00134783"/>
    <w:rsid w:val="001347BC"/>
    <w:rsid w:val="001347E9"/>
    <w:rsid w:val="00134808"/>
    <w:rsid w:val="00134836"/>
    <w:rsid w:val="00134846"/>
    <w:rsid w:val="001348AF"/>
    <w:rsid w:val="001348E5"/>
    <w:rsid w:val="001349E1"/>
    <w:rsid w:val="00134A08"/>
    <w:rsid w:val="00134A11"/>
    <w:rsid w:val="00134B16"/>
    <w:rsid w:val="00134B8C"/>
    <w:rsid w:val="00134C29"/>
    <w:rsid w:val="00134C68"/>
    <w:rsid w:val="00134CB8"/>
    <w:rsid w:val="00134CCA"/>
    <w:rsid w:val="00134CF0"/>
    <w:rsid w:val="00134CF7"/>
    <w:rsid w:val="00134D53"/>
    <w:rsid w:val="00134E4F"/>
    <w:rsid w:val="00134E96"/>
    <w:rsid w:val="00134FD7"/>
    <w:rsid w:val="001350C1"/>
    <w:rsid w:val="001350FD"/>
    <w:rsid w:val="001351BE"/>
    <w:rsid w:val="001351DE"/>
    <w:rsid w:val="001351E7"/>
    <w:rsid w:val="00135221"/>
    <w:rsid w:val="0013523B"/>
    <w:rsid w:val="001352B9"/>
    <w:rsid w:val="00135329"/>
    <w:rsid w:val="00135435"/>
    <w:rsid w:val="00135459"/>
    <w:rsid w:val="00135498"/>
    <w:rsid w:val="001354AB"/>
    <w:rsid w:val="001354AF"/>
    <w:rsid w:val="001354C1"/>
    <w:rsid w:val="001354C6"/>
    <w:rsid w:val="001354C7"/>
    <w:rsid w:val="001355E7"/>
    <w:rsid w:val="0013563E"/>
    <w:rsid w:val="00135682"/>
    <w:rsid w:val="00135727"/>
    <w:rsid w:val="0013572C"/>
    <w:rsid w:val="0013573C"/>
    <w:rsid w:val="00135776"/>
    <w:rsid w:val="001357B0"/>
    <w:rsid w:val="00135827"/>
    <w:rsid w:val="001358B6"/>
    <w:rsid w:val="001358F4"/>
    <w:rsid w:val="00135924"/>
    <w:rsid w:val="00135991"/>
    <w:rsid w:val="00135A2B"/>
    <w:rsid w:val="00135A47"/>
    <w:rsid w:val="00135B49"/>
    <w:rsid w:val="00135B77"/>
    <w:rsid w:val="00135BEE"/>
    <w:rsid w:val="00135C20"/>
    <w:rsid w:val="00135C57"/>
    <w:rsid w:val="00135D2B"/>
    <w:rsid w:val="00135D6D"/>
    <w:rsid w:val="00135D7E"/>
    <w:rsid w:val="00135D97"/>
    <w:rsid w:val="00135DE1"/>
    <w:rsid w:val="00135F21"/>
    <w:rsid w:val="0013609E"/>
    <w:rsid w:val="001361C0"/>
    <w:rsid w:val="001361F3"/>
    <w:rsid w:val="00136205"/>
    <w:rsid w:val="00136206"/>
    <w:rsid w:val="00136343"/>
    <w:rsid w:val="00136346"/>
    <w:rsid w:val="001364F8"/>
    <w:rsid w:val="00136625"/>
    <w:rsid w:val="00136634"/>
    <w:rsid w:val="00136661"/>
    <w:rsid w:val="001366AE"/>
    <w:rsid w:val="001367C4"/>
    <w:rsid w:val="001367E9"/>
    <w:rsid w:val="0013680C"/>
    <w:rsid w:val="00136812"/>
    <w:rsid w:val="001368A9"/>
    <w:rsid w:val="001368AA"/>
    <w:rsid w:val="001368BB"/>
    <w:rsid w:val="00136950"/>
    <w:rsid w:val="0013699A"/>
    <w:rsid w:val="001369C2"/>
    <w:rsid w:val="001369EF"/>
    <w:rsid w:val="00136A19"/>
    <w:rsid w:val="00136A37"/>
    <w:rsid w:val="00136A50"/>
    <w:rsid w:val="00136AFA"/>
    <w:rsid w:val="00136B16"/>
    <w:rsid w:val="00136B50"/>
    <w:rsid w:val="00136B8B"/>
    <w:rsid w:val="00136BD2"/>
    <w:rsid w:val="00136BEE"/>
    <w:rsid w:val="00136CD3"/>
    <w:rsid w:val="00136FF4"/>
    <w:rsid w:val="00136FF6"/>
    <w:rsid w:val="00137060"/>
    <w:rsid w:val="0013708A"/>
    <w:rsid w:val="0013709F"/>
    <w:rsid w:val="001370D9"/>
    <w:rsid w:val="001371FE"/>
    <w:rsid w:val="0013731A"/>
    <w:rsid w:val="00137364"/>
    <w:rsid w:val="001373E4"/>
    <w:rsid w:val="0013741D"/>
    <w:rsid w:val="00137481"/>
    <w:rsid w:val="001374FD"/>
    <w:rsid w:val="00137543"/>
    <w:rsid w:val="00137662"/>
    <w:rsid w:val="0013769C"/>
    <w:rsid w:val="0013769F"/>
    <w:rsid w:val="001376AB"/>
    <w:rsid w:val="001377A6"/>
    <w:rsid w:val="001377FC"/>
    <w:rsid w:val="00137844"/>
    <w:rsid w:val="001378B8"/>
    <w:rsid w:val="00137912"/>
    <w:rsid w:val="001379E7"/>
    <w:rsid w:val="00137A34"/>
    <w:rsid w:val="00137AAF"/>
    <w:rsid w:val="00137AFC"/>
    <w:rsid w:val="00137B4E"/>
    <w:rsid w:val="00137BE6"/>
    <w:rsid w:val="00137C0A"/>
    <w:rsid w:val="00137CCB"/>
    <w:rsid w:val="00137D39"/>
    <w:rsid w:val="00137D78"/>
    <w:rsid w:val="00137D8E"/>
    <w:rsid w:val="00137D94"/>
    <w:rsid w:val="00137DB1"/>
    <w:rsid w:val="00137EA4"/>
    <w:rsid w:val="00137F1B"/>
    <w:rsid w:val="00137F77"/>
    <w:rsid w:val="00137F8D"/>
    <w:rsid w:val="00137FB4"/>
    <w:rsid w:val="00137FE8"/>
    <w:rsid w:val="00140011"/>
    <w:rsid w:val="00140149"/>
    <w:rsid w:val="00140191"/>
    <w:rsid w:val="001401B9"/>
    <w:rsid w:val="001401F3"/>
    <w:rsid w:val="00140252"/>
    <w:rsid w:val="0014026D"/>
    <w:rsid w:val="00140276"/>
    <w:rsid w:val="001402D5"/>
    <w:rsid w:val="0014031C"/>
    <w:rsid w:val="0014032B"/>
    <w:rsid w:val="00140379"/>
    <w:rsid w:val="00140483"/>
    <w:rsid w:val="0014052B"/>
    <w:rsid w:val="00140544"/>
    <w:rsid w:val="001407DE"/>
    <w:rsid w:val="00140822"/>
    <w:rsid w:val="00140880"/>
    <w:rsid w:val="00140882"/>
    <w:rsid w:val="00140958"/>
    <w:rsid w:val="00140983"/>
    <w:rsid w:val="00140986"/>
    <w:rsid w:val="001409A6"/>
    <w:rsid w:val="00140A54"/>
    <w:rsid w:val="00140AC6"/>
    <w:rsid w:val="00140B20"/>
    <w:rsid w:val="00140B2A"/>
    <w:rsid w:val="00140B55"/>
    <w:rsid w:val="00140B5F"/>
    <w:rsid w:val="00140C26"/>
    <w:rsid w:val="00140CA1"/>
    <w:rsid w:val="00140CF1"/>
    <w:rsid w:val="00140CFE"/>
    <w:rsid w:val="00140DAA"/>
    <w:rsid w:val="00140DD7"/>
    <w:rsid w:val="00140E2E"/>
    <w:rsid w:val="00140E6B"/>
    <w:rsid w:val="00140E6D"/>
    <w:rsid w:val="00140E76"/>
    <w:rsid w:val="00140F9B"/>
    <w:rsid w:val="00140FFD"/>
    <w:rsid w:val="00141008"/>
    <w:rsid w:val="001410B2"/>
    <w:rsid w:val="001410EF"/>
    <w:rsid w:val="00141128"/>
    <w:rsid w:val="0014119A"/>
    <w:rsid w:val="001411F1"/>
    <w:rsid w:val="001411F6"/>
    <w:rsid w:val="0014122C"/>
    <w:rsid w:val="001412CD"/>
    <w:rsid w:val="001412FD"/>
    <w:rsid w:val="00141333"/>
    <w:rsid w:val="00141359"/>
    <w:rsid w:val="0014135C"/>
    <w:rsid w:val="0014138E"/>
    <w:rsid w:val="001413C0"/>
    <w:rsid w:val="00141456"/>
    <w:rsid w:val="00141459"/>
    <w:rsid w:val="001414AB"/>
    <w:rsid w:val="001415D1"/>
    <w:rsid w:val="001415D6"/>
    <w:rsid w:val="001415E9"/>
    <w:rsid w:val="00141617"/>
    <w:rsid w:val="00141650"/>
    <w:rsid w:val="0014169F"/>
    <w:rsid w:val="00141749"/>
    <w:rsid w:val="0014177F"/>
    <w:rsid w:val="0014186A"/>
    <w:rsid w:val="001418A5"/>
    <w:rsid w:val="001418AA"/>
    <w:rsid w:val="001418B8"/>
    <w:rsid w:val="00141901"/>
    <w:rsid w:val="001419B9"/>
    <w:rsid w:val="001419D2"/>
    <w:rsid w:val="001419EC"/>
    <w:rsid w:val="00141A39"/>
    <w:rsid w:val="00141A7F"/>
    <w:rsid w:val="00141AED"/>
    <w:rsid w:val="00141B0A"/>
    <w:rsid w:val="00141B5D"/>
    <w:rsid w:val="00141B65"/>
    <w:rsid w:val="00141BB1"/>
    <w:rsid w:val="00141BB8"/>
    <w:rsid w:val="00141C4D"/>
    <w:rsid w:val="00141CA3"/>
    <w:rsid w:val="00141E40"/>
    <w:rsid w:val="00141E4D"/>
    <w:rsid w:val="00141E81"/>
    <w:rsid w:val="00141E8B"/>
    <w:rsid w:val="00141EA1"/>
    <w:rsid w:val="00141EF0"/>
    <w:rsid w:val="00141F3A"/>
    <w:rsid w:val="00142042"/>
    <w:rsid w:val="0014205E"/>
    <w:rsid w:val="0014207C"/>
    <w:rsid w:val="001420F2"/>
    <w:rsid w:val="0014213C"/>
    <w:rsid w:val="001421AA"/>
    <w:rsid w:val="001421EE"/>
    <w:rsid w:val="00142286"/>
    <w:rsid w:val="00142294"/>
    <w:rsid w:val="00142335"/>
    <w:rsid w:val="0014239B"/>
    <w:rsid w:val="0014244A"/>
    <w:rsid w:val="001424FF"/>
    <w:rsid w:val="00142574"/>
    <w:rsid w:val="001425A7"/>
    <w:rsid w:val="0014262D"/>
    <w:rsid w:val="00142684"/>
    <w:rsid w:val="001426A2"/>
    <w:rsid w:val="001426BE"/>
    <w:rsid w:val="001426E7"/>
    <w:rsid w:val="001426FD"/>
    <w:rsid w:val="00142746"/>
    <w:rsid w:val="001427F3"/>
    <w:rsid w:val="0014284C"/>
    <w:rsid w:val="00142869"/>
    <w:rsid w:val="0014288C"/>
    <w:rsid w:val="001428B5"/>
    <w:rsid w:val="0014291D"/>
    <w:rsid w:val="00142959"/>
    <w:rsid w:val="001429B0"/>
    <w:rsid w:val="001429D2"/>
    <w:rsid w:val="00142A30"/>
    <w:rsid w:val="00142B05"/>
    <w:rsid w:val="00142B4E"/>
    <w:rsid w:val="00142B5D"/>
    <w:rsid w:val="00142B80"/>
    <w:rsid w:val="00142BD6"/>
    <w:rsid w:val="00142C47"/>
    <w:rsid w:val="00142C60"/>
    <w:rsid w:val="00142C68"/>
    <w:rsid w:val="00142C80"/>
    <w:rsid w:val="00142C8C"/>
    <w:rsid w:val="00142CAC"/>
    <w:rsid w:val="00142CB4"/>
    <w:rsid w:val="00142D0A"/>
    <w:rsid w:val="00142D63"/>
    <w:rsid w:val="00142E30"/>
    <w:rsid w:val="00142F2F"/>
    <w:rsid w:val="00142FA7"/>
    <w:rsid w:val="001430D2"/>
    <w:rsid w:val="001431DC"/>
    <w:rsid w:val="0014323A"/>
    <w:rsid w:val="00143271"/>
    <w:rsid w:val="001432CB"/>
    <w:rsid w:val="001432F3"/>
    <w:rsid w:val="00143363"/>
    <w:rsid w:val="00143399"/>
    <w:rsid w:val="0014345C"/>
    <w:rsid w:val="001434A4"/>
    <w:rsid w:val="00143598"/>
    <w:rsid w:val="001435B4"/>
    <w:rsid w:val="001435C0"/>
    <w:rsid w:val="001435F1"/>
    <w:rsid w:val="0014365A"/>
    <w:rsid w:val="0014369E"/>
    <w:rsid w:val="0014371A"/>
    <w:rsid w:val="00143732"/>
    <w:rsid w:val="0014388A"/>
    <w:rsid w:val="0014390A"/>
    <w:rsid w:val="0014395E"/>
    <w:rsid w:val="001439E8"/>
    <w:rsid w:val="00143AE0"/>
    <w:rsid w:val="00143B00"/>
    <w:rsid w:val="00143B02"/>
    <w:rsid w:val="00143B43"/>
    <w:rsid w:val="00143B7A"/>
    <w:rsid w:val="00143C05"/>
    <w:rsid w:val="00143C97"/>
    <w:rsid w:val="00143C9D"/>
    <w:rsid w:val="00143CA9"/>
    <w:rsid w:val="00143CC7"/>
    <w:rsid w:val="00143CDF"/>
    <w:rsid w:val="00143CFC"/>
    <w:rsid w:val="00143D3B"/>
    <w:rsid w:val="00143D63"/>
    <w:rsid w:val="00143D7C"/>
    <w:rsid w:val="00143DEC"/>
    <w:rsid w:val="00143E05"/>
    <w:rsid w:val="00143EC9"/>
    <w:rsid w:val="00143F25"/>
    <w:rsid w:val="00143F52"/>
    <w:rsid w:val="00143F7D"/>
    <w:rsid w:val="00143FAC"/>
    <w:rsid w:val="00143FE2"/>
    <w:rsid w:val="0014416F"/>
    <w:rsid w:val="0014425C"/>
    <w:rsid w:val="001442A8"/>
    <w:rsid w:val="001442DA"/>
    <w:rsid w:val="00144314"/>
    <w:rsid w:val="00144333"/>
    <w:rsid w:val="001444BC"/>
    <w:rsid w:val="001444F5"/>
    <w:rsid w:val="0014452A"/>
    <w:rsid w:val="00144558"/>
    <w:rsid w:val="001445A4"/>
    <w:rsid w:val="001445CD"/>
    <w:rsid w:val="001445FD"/>
    <w:rsid w:val="00144601"/>
    <w:rsid w:val="00144680"/>
    <w:rsid w:val="00144700"/>
    <w:rsid w:val="00144712"/>
    <w:rsid w:val="0014479E"/>
    <w:rsid w:val="001447AB"/>
    <w:rsid w:val="001447AF"/>
    <w:rsid w:val="0014486C"/>
    <w:rsid w:val="0014498C"/>
    <w:rsid w:val="001449AA"/>
    <w:rsid w:val="00144A7E"/>
    <w:rsid w:val="00144B0D"/>
    <w:rsid w:val="00144B7A"/>
    <w:rsid w:val="00144B89"/>
    <w:rsid w:val="00144BD9"/>
    <w:rsid w:val="00144CEA"/>
    <w:rsid w:val="00144D11"/>
    <w:rsid w:val="00144D4F"/>
    <w:rsid w:val="00144D5A"/>
    <w:rsid w:val="00144DAE"/>
    <w:rsid w:val="00144E43"/>
    <w:rsid w:val="00144F0D"/>
    <w:rsid w:val="00144F3B"/>
    <w:rsid w:val="00144F9D"/>
    <w:rsid w:val="00144FBD"/>
    <w:rsid w:val="00145023"/>
    <w:rsid w:val="00145278"/>
    <w:rsid w:val="0014527A"/>
    <w:rsid w:val="001452E6"/>
    <w:rsid w:val="00145422"/>
    <w:rsid w:val="0014543C"/>
    <w:rsid w:val="00145452"/>
    <w:rsid w:val="0014545D"/>
    <w:rsid w:val="0014552D"/>
    <w:rsid w:val="0014555A"/>
    <w:rsid w:val="001455AD"/>
    <w:rsid w:val="001455B8"/>
    <w:rsid w:val="00145648"/>
    <w:rsid w:val="0014567F"/>
    <w:rsid w:val="001456E8"/>
    <w:rsid w:val="001456FB"/>
    <w:rsid w:val="0014570B"/>
    <w:rsid w:val="0014573F"/>
    <w:rsid w:val="0014577C"/>
    <w:rsid w:val="00145790"/>
    <w:rsid w:val="001457C2"/>
    <w:rsid w:val="001457E7"/>
    <w:rsid w:val="001458FD"/>
    <w:rsid w:val="00145929"/>
    <w:rsid w:val="0014592D"/>
    <w:rsid w:val="0014598D"/>
    <w:rsid w:val="0014599E"/>
    <w:rsid w:val="00145A08"/>
    <w:rsid w:val="00145AD4"/>
    <w:rsid w:val="00145B35"/>
    <w:rsid w:val="00145BAB"/>
    <w:rsid w:val="00145BC4"/>
    <w:rsid w:val="00145C45"/>
    <w:rsid w:val="00145C59"/>
    <w:rsid w:val="00145E1E"/>
    <w:rsid w:val="00145E9C"/>
    <w:rsid w:val="00145ECB"/>
    <w:rsid w:val="00145EDA"/>
    <w:rsid w:val="00145EFA"/>
    <w:rsid w:val="00145FAB"/>
    <w:rsid w:val="00146000"/>
    <w:rsid w:val="0014601B"/>
    <w:rsid w:val="0014608C"/>
    <w:rsid w:val="0014609A"/>
    <w:rsid w:val="001460A5"/>
    <w:rsid w:val="00146120"/>
    <w:rsid w:val="0014616C"/>
    <w:rsid w:val="0014616F"/>
    <w:rsid w:val="001461D7"/>
    <w:rsid w:val="0014620F"/>
    <w:rsid w:val="00146219"/>
    <w:rsid w:val="001463A0"/>
    <w:rsid w:val="001463E3"/>
    <w:rsid w:val="0014643C"/>
    <w:rsid w:val="001464BA"/>
    <w:rsid w:val="00146561"/>
    <w:rsid w:val="001466CB"/>
    <w:rsid w:val="001466F0"/>
    <w:rsid w:val="001467D4"/>
    <w:rsid w:val="0014681B"/>
    <w:rsid w:val="00146820"/>
    <w:rsid w:val="001468F3"/>
    <w:rsid w:val="00146900"/>
    <w:rsid w:val="00146907"/>
    <w:rsid w:val="0014691F"/>
    <w:rsid w:val="0014699B"/>
    <w:rsid w:val="001469D6"/>
    <w:rsid w:val="00146AC8"/>
    <w:rsid w:val="00146B4D"/>
    <w:rsid w:val="00146BCB"/>
    <w:rsid w:val="00146BF0"/>
    <w:rsid w:val="00146BF2"/>
    <w:rsid w:val="00146C2F"/>
    <w:rsid w:val="00146CA7"/>
    <w:rsid w:val="00146CF4"/>
    <w:rsid w:val="00146CF7"/>
    <w:rsid w:val="00146D4E"/>
    <w:rsid w:val="00146FA3"/>
    <w:rsid w:val="00146FB6"/>
    <w:rsid w:val="00147013"/>
    <w:rsid w:val="00147124"/>
    <w:rsid w:val="00147212"/>
    <w:rsid w:val="00147222"/>
    <w:rsid w:val="0014723D"/>
    <w:rsid w:val="00147270"/>
    <w:rsid w:val="00147307"/>
    <w:rsid w:val="00147338"/>
    <w:rsid w:val="00147345"/>
    <w:rsid w:val="00147375"/>
    <w:rsid w:val="00147426"/>
    <w:rsid w:val="00147438"/>
    <w:rsid w:val="001474A7"/>
    <w:rsid w:val="001474BE"/>
    <w:rsid w:val="001474CC"/>
    <w:rsid w:val="001474D4"/>
    <w:rsid w:val="0014751D"/>
    <w:rsid w:val="00147535"/>
    <w:rsid w:val="001475CC"/>
    <w:rsid w:val="001475E4"/>
    <w:rsid w:val="00147625"/>
    <w:rsid w:val="00147631"/>
    <w:rsid w:val="001476CC"/>
    <w:rsid w:val="001476E9"/>
    <w:rsid w:val="001476F4"/>
    <w:rsid w:val="00147719"/>
    <w:rsid w:val="00147821"/>
    <w:rsid w:val="0014797F"/>
    <w:rsid w:val="001479B5"/>
    <w:rsid w:val="00147A09"/>
    <w:rsid w:val="00147A6F"/>
    <w:rsid w:val="00147AEC"/>
    <w:rsid w:val="00147B4D"/>
    <w:rsid w:val="00147B6A"/>
    <w:rsid w:val="00147B80"/>
    <w:rsid w:val="00147B9C"/>
    <w:rsid w:val="00147BC8"/>
    <w:rsid w:val="00147D45"/>
    <w:rsid w:val="00147D97"/>
    <w:rsid w:val="00147E64"/>
    <w:rsid w:val="00147E87"/>
    <w:rsid w:val="00147FB1"/>
    <w:rsid w:val="00147FE1"/>
    <w:rsid w:val="001500EC"/>
    <w:rsid w:val="00150164"/>
    <w:rsid w:val="00150196"/>
    <w:rsid w:val="001501C0"/>
    <w:rsid w:val="0015026F"/>
    <w:rsid w:val="001502AF"/>
    <w:rsid w:val="001502BD"/>
    <w:rsid w:val="00150300"/>
    <w:rsid w:val="00150340"/>
    <w:rsid w:val="00150396"/>
    <w:rsid w:val="001503B6"/>
    <w:rsid w:val="00150442"/>
    <w:rsid w:val="00150483"/>
    <w:rsid w:val="001504BA"/>
    <w:rsid w:val="0015051D"/>
    <w:rsid w:val="001505D2"/>
    <w:rsid w:val="001506DA"/>
    <w:rsid w:val="001506E5"/>
    <w:rsid w:val="001506FF"/>
    <w:rsid w:val="00150721"/>
    <w:rsid w:val="0015075B"/>
    <w:rsid w:val="00150760"/>
    <w:rsid w:val="0015084F"/>
    <w:rsid w:val="0015089E"/>
    <w:rsid w:val="001508C7"/>
    <w:rsid w:val="001508F4"/>
    <w:rsid w:val="0015093A"/>
    <w:rsid w:val="0015095B"/>
    <w:rsid w:val="001509C5"/>
    <w:rsid w:val="00150ADC"/>
    <w:rsid w:val="00150B16"/>
    <w:rsid w:val="00150B54"/>
    <w:rsid w:val="00150B84"/>
    <w:rsid w:val="00150C1B"/>
    <w:rsid w:val="00150C4F"/>
    <w:rsid w:val="00150D04"/>
    <w:rsid w:val="00150D6A"/>
    <w:rsid w:val="00150D81"/>
    <w:rsid w:val="00150DE9"/>
    <w:rsid w:val="00150DED"/>
    <w:rsid w:val="00150ECB"/>
    <w:rsid w:val="00150FF8"/>
    <w:rsid w:val="00151112"/>
    <w:rsid w:val="0015113E"/>
    <w:rsid w:val="0015116A"/>
    <w:rsid w:val="001511C1"/>
    <w:rsid w:val="001511C8"/>
    <w:rsid w:val="001511E1"/>
    <w:rsid w:val="00151297"/>
    <w:rsid w:val="00151340"/>
    <w:rsid w:val="001513FA"/>
    <w:rsid w:val="00151492"/>
    <w:rsid w:val="0015151D"/>
    <w:rsid w:val="00151537"/>
    <w:rsid w:val="00151553"/>
    <w:rsid w:val="001515CA"/>
    <w:rsid w:val="00151654"/>
    <w:rsid w:val="001516B6"/>
    <w:rsid w:val="001517C0"/>
    <w:rsid w:val="001517E6"/>
    <w:rsid w:val="001518D2"/>
    <w:rsid w:val="0015190B"/>
    <w:rsid w:val="00151A4F"/>
    <w:rsid w:val="00151A71"/>
    <w:rsid w:val="00151A74"/>
    <w:rsid w:val="00151B01"/>
    <w:rsid w:val="00151B68"/>
    <w:rsid w:val="00151B6C"/>
    <w:rsid w:val="00151BA2"/>
    <w:rsid w:val="00151BA8"/>
    <w:rsid w:val="00151BC7"/>
    <w:rsid w:val="00151D1F"/>
    <w:rsid w:val="00151D32"/>
    <w:rsid w:val="00151D7B"/>
    <w:rsid w:val="00151DC6"/>
    <w:rsid w:val="00151F4B"/>
    <w:rsid w:val="00151FDF"/>
    <w:rsid w:val="00151FF5"/>
    <w:rsid w:val="0015202F"/>
    <w:rsid w:val="0015205D"/>
    <w:rsid w:val="00152096"/>
    <w:rsid w:val="00152157"/>
    <w:rsid w:val="0015218E"/>
    <w:rsid w:val="00152192"/>
    <w:rsid w:val="001521C8"/>
    <w:rsid w:val="001522E5"/>
    <w:rsid w:val="00152320"/>
    <w:rsid w:val="0015232F"/>
    <w:rsid w:val="00152404"/>
    <w:rsid w:val="00152479"/>
    <w:rsid w:val="00152496"/>
    <w:rsid w:val="001524FA"/>
    <w:rsid w:val="0015265C"/>
    <w:rsid w:val="0015270D"/>
    <w:rsid w:val="00152729"/>
    <w:rsid w:val="0015274C"/>
    <w:rsid w:val="00152758"/>
    <w:rsid w:val="001527E5"/>
    <w:rsid w:val="0015281D"/>
    <w:rsid w:val="0015281E"/>
    <w:rsid w:val="001528C3"/>
    <w:rsid w:val="00152906"/>
    <w:rsid w:val="00152931"/>
    <w:rsid w:val="0015297E"/>
    <w:rsid w:val="00152A7D"/>
    <w:rsid w:val="00152B6C"/>
    <w:rsid w:val="00152B70"/>
    <w:rsid w:val="00152BFF"/>
    <w:rsid w:val="00152C4A"/>
    <w:rsid w:val="00152C7A"/>
    <w:rsid w:val="00152C85"/>
    <w:rsid w:val="00152D02"/>
    <w:rsid w:val="00152D57"/>
    <w:rsid w:val="00152DFC"/>
    <w:rsid w:val="00152E6D"/>
    <w:rsid w:val="00152EB0"/>
    <w:rsid w:val="00152EBB"/>
    <w:rsid w:val="00152FAC"/>
    <w:rsid w:val="00153020"/>
    <w:rsid w:val="00153034"/>
    <w:rsid w:val="001530B7"/>
    <w:rsid w:val="001530C2"/>
    <w:rsid w:val="0015311F"/>
    <w:rsid w:val="001532C1"/>
    <w:rsid w:val="001532E4"/>
    <w:rsid w:val="001532F0"/>
    <w:rsid w:val="0015335E"/>
    <w:rsid w:val="001533B7"/>
    <w:rsid w:val="00153530"/>
    <w:rsid w:val="00153535"/>
    <w:rsid w:val="00153563"/>
    <w:rsid w:val="001535AF"/>
    <w:rsid w:val="001535B5"/>
    <w:rsid w:val="0015363B"/>
    <w:rsid w:val="0015363C"/>
    <w:rsid w:val="00153656"/>
    <w:rsid w:val="0015365C"/>
    <w:rsid w:val="00153682"/>
    <w:rsid w:val="001536BD"/>
    <w:rsid w:val="00153714"/>
    <w:rsid w:val="0015374D"/>
    <w:rsid w:val="00153876"/>
    <w:rsid w:val="001538DD"/>
    <w:rsid w:val="00153A54"/>
    <w:rsid w:val="00153A79"/>
    <w:rsid w:val="00153B25"/>
    <w:rsid w:val="00153B76"/>
    <w:rsid w:val="00153B8E"/>
    <w:rsid w:val="00153B9F"/>
    <w:rsid w:val="00153BA2"/>
    <w:rsid w:val="00153BB7"/>
    <w:rsid w:val="00153C61"/>
    <w:rsid w:val="00153C6F"/>
    <w:rsid w:val="00153CB9"/>
    <w:rsid w:val="00153D05"/>
    <w:rsid w:val="00153D07"/>
    <w:rsid w:val="00153D21"/>
    <w:rsid w:val="00153D55"/>
    <w:rsid w:val="00153E08"/>
    <w:rsid w:val="00153E09"/>
    <w:rsid w:val="00153E72"/>
    <w:rsid w:val="00153FAC"/>
    <w:rsid w:val="00153FFA"/>
    <w:rsid w:val="00154017"/>
    <w:rsid w:val="00154046"/>
    <w:rsid w:val="001540BF"/>
    <w:rsid w:val="001540FE"/>
    <w:rsid w:val="00154110"/>
    <w:rsid w:val="00154279"/>
    <w:rsid w:val="001542A5"/>
    <w:rsid w:val="00154399"/>
    <w:rsid w:val="001543A7"/>
    <w:rsid w:val="001543D3"/>
    <w:rsid w:val="001543F2"/>
    <w:rsid w:val="00154486"/>
    <w:rsid w:val="001544C6"/>
    <w:rsid w:val="001544E6"/>
    <w:rsid w:val="00154558"/>
    <w:rsid w:val="0015455E"/>
    <w:rsid w:val="001545A0"/>
    <w:rsid w:val="00154658"/>
    <w:rsid w:val="00154726"/>
    <w:rsid w:val="0015472A"/>
    <w:rsid w:val="0015477C"/>
    <w:rsid w:val="00154937"/>
    <w:rsid w:val="001549A6"/>
    <w:rsid w:val="001549E3"/>
    <w:rsid w:val="00154A0D"/>
    <w:rsid w:val="00154A11"/>
    <w:rsid w:val="00154A22"/>
    <w:rsid w:val="00154A3B"/>
    <w:rsid w:val="00154AB5"/>
    <w:rsid w:val="00154B0D"/>
    <w:rsid w:val="00154B25"/>
    <w:rsid w:val="00154C66"/>
    <w:rsid w:val="00154E2F"/>
    <w:rsid w:val="00154EBD"/>
    <w:rsid w:val="00154ECB"/>
    <w:rsid w:val="00154EF3"/>
    <w:rsid w:val="00154F33"/>
    <w:rsid w:val="00154F5A"/>
    <w:rsid w:val="00154F66"/>
    <w:rsid w:val="00154FC3"/>
    <w:rsid w:val="00155021"/>
    <w:rsid w:val="001550C3"/>
    <w:rsid w:val="00155105"/>
    <w:rsid w:val="00155115"/>
    <w:rsid w:val="0015511D"/>
    <w:rsid w:val="00155177"/>
    <w:rsid w:val="001551E5"/>
    <w:rsid w:val="001551E7"/>
    <w:rsid w:val="00155249"/>
    <w:rsid w:val="0015531C"/>
    <w:rsid w:val="00155345"/>
    <w:rsid w:val="00155355"/>
    <w:rsid w:val="001553CC"/>
    <w:rsid w:val="00155472"/>
    <w:rsid w:val="001554E1"/>
    <w:rsid w:val="001555A5"/>
    <w:rsid w:val="00155760"/>
    <w:rsid w:val="00155784"/>
    <w:rsid w:val="001557B0"/>
    <w:rsid w:val="00155808"/>
    <w:rsid w:val="0015598F"/>
    <w:rsid w:val="001559A2"/>
    <w:rsid w:val="001559CC"/>
    <w:rsid w:val="00155A64"/>
    <w:rsid w:val="00155A98"/>
    <w:rsid w:val="00155AE9"/>
    <w:rsid w:val="00155B0B"/>
    <w:rsid w:val="00155B41"/>
    <w:rsid w:val="00155C04"/>
    <w:rsid w:val="00155C45"/>
    <w:rsid w:val="00155C7A"/>
    <w:rsid w:val="00155CE2"/>
    <w:rsid w:val="00155D8A"/>
    <w:rsid w:val="00155DE5"/>
    <w:rsid w:val="00155E48"/>
    <w:rsid w:val="00155E5D"/>
    <w:rsid w:val="00155EB1"/>
    <w:rsid w:val="00155F5E"/>
    <w:rsid w:val="00155F98"/>
    <w:rsid w:val="00155FC1"/>
    <w:rsid w:val="00156056"/>
    <w:rsid w:val="001560A5"/>
    <w:rsid w:val="0015621A"/>
    <w:rsid w:val="001562A4"/>
    <w:rsid w:val="001562CA"/>
    <w:rsid w:val="00156343"/>
    <w:rsid w:val="00156365"/>
    <w:rsid w:val="0015638E"/>
    <w:rsid w:val="00156576"/>
    <w:rsid w:val="00156630"/>
    <w:rsid w:val="001566C2"/>
    <w:rsid w:val="0015673A"/>
    <w:rsid w:val="00156746"/>
    <w:rsid w:val="0015679E"/>
    <w:rsid w:val="001567F0"/>
    <w:rsid w:val="001568F6"/>
    <w:rsid w:val="001569BE"/>
    <w:rsid w:val="00156A31"/>
    <w:rsid w:val="00156A9C"/>
    <w:rsid w:val="00156AE4"/>
    <w:rsid w:val="00156AEC"/>
    <w:rsid w:val="00156B79"/>
    <w:rsid w:val="00156C1A"/>
    <w:rsid w:val="00156C21"/>
    <w:rsid w:val="00156C5C"/>
    <w:rsid w:val="00156CBB"/>
    <w:rsid w:val="00156D0C"/>
    <w:rsid w:val="00156D28"/>
    <w:rsid w:val="00156D2A"/>
    <w:rsid w:val="00156D4C"/>
    <w:rsid w:val="00156D96"/>
    <w:rsid w:val="00156E8D"/>
    <w:rsid w:val="00156F00"/>
    <w:rsid w:val="00156F06"/>
    <w:rsid w:val="00156F2A"/>
    <w:rsid w:val="00156F6C"/>
    <w:rsid w:val="00156FEC"/>
    <w:rsid w:val="0015707B"/>
    <w:rsid w:val="00157160"/>
    <w:rsid w:val="00157173"/>
    <w:rsid w:val="001571AA"/>
    <w:rsid w:val="001571B3"/>
    <w:rsid w:val="00157209"/>
    <w:rsid w:val="00157211"/>
    <w:rsid w:val="0015729F"/>
    <w:rsid w:val="001572AB"/>
    <w:rsid w:val="0015734A"/>
    <w:rsid w:val="00157352"/>
    <w:rsid w:val="00157383"/>
    <w:rsid w:val="00157411"/>
    <w:rsid w:val="00157425"/>
    <w:rsid w:val="00157490"/>
    <w:rsid w:val="001574B5"/>
    <w:rsid w:val="00157523"/>
    <w:rsid w:val="00157549"/>
    <w:rsid w:val="001575C2"/>
    <w:rsid w:val="001576A3"/>
    <w:rsid w:val="0015775F"/>
    <w:rsid w:val="001579AF"/>
    <w:rsid w:val="001579C2"/>
    <w:rsid w:val="00157A49"/>
    <w:rsid w:val="00157A61"/>
    <w:rsid w:val="00157AA8"/>
    <w:rsid w:val="00157AF3"/>
    <w:rsid w:val="00157B0F"/>
    <w:rsid w:val="00157B8C"/>
    <w:rsid w:val="00157C0B"/>
    <w:rsid w:val="00157C2E"/>
    <w:rsid w:val="00157CE2"/>
    <w:rsid w:val="00157D37"/>
    <w:rsid w:val="00157DE7"/>
    <w:rsid w:val="00157EEA"/>
    <w:rsid w:val="00157F00"/>
    <w:rsid w:val="00157F3D"/>
    <w:rsid w:val="00157F67"/>
    <w:rsid w:val="001600A7"/>
    <w:rsid w:val="00160153"/>
    <w:rsid w:val="001601FC"/>
    <w:rsid w:val="00160206"/>
    <w:rsid w:val="0016022A"/>
    <w:rsid w:val="00160390"/>
    <w:rsid w:val="001603A7"/>
    <w:rsid w:val="001603CD"/>
    <w:rsid w:val="00160444"/>
    <w:rsid w:val="00160446"/>
    <w:rsid w:val="00160548"/>
    <w:rsid w:val="00160566"/>
    <w:rsid w:val="001605F4"/>
    <w:rsid w:val="00160600"/>
    <w:rsid w:val="00160609"/>
    <w:rsid w:val="001606A7"/>
    <w:rsid w:val="001606AB"/>
    <w:rsid w:val="001606AE"/>
    <w:rsid w:val="00160744"/>
    <w:rsid w:val="001607A0"/>
    <w:rsid w:val="001607D1"/>
    <w:rsid w:val="001607F4"/>
    <w:rsid w:val="00160811"/>
    <w:rsid w:val="00160846"/>
    <w:rsid w:val="00160877"/>
    <w:rsid w:val="0016087E"/>
    <w:rsid w:val="001608AD"/>
    <w:rsid w:val="00160915"/>
    <w:rsid w:val="00160952"/>
    <w:rsid w:val="001609EA"/>
    <w:rsid w:val="00160A24"/>
    <w:rsid w:val="00160A2D"/>
    <w:rsid w:val="00160B5C"/>
    <w:rsid w:val="00160BAD"/>
    <w:rsid w:val="00160BE1"/>
    <w:rsid w:val="00160C0F"/>
    <w:rsid w:val="00160C24"/>
    <w:rsid w:val="00160C94"/>
    <w:rsid w:val="00160CCA"/>
    <w:rsid w:val="00160CF1"/>
    <w:rsid w:val="00160D1C"/>
    <w:rsid w:val="00160D6A"/>
    <w:rsid w:val="00160DC1"/>
    <w:rsid w:val="00160E13"/>
    <w:rsid w:val="00160E23"/>
    <w:rsid w:val="00160E5B"/>
    <w:rsid w:val="00160EA0"/>
    <w:rsid w:val="00160FAF"/>
    <w:rsid w:val="00161025"/>
    <w:rsid w:val="00161040"/>
    <w:rsid w:val="001610FF"/>
    <w:rsid w:val="00161147"/>
    <w:rsid w:val="00161156"/>
    <w:rsid w:val="0016117F"/>
    <w:rsid w:val="001611C6"/>
    <w:rsid w:val="00161217"/>
    <w:rsid w:val="00161252"/>
    <w:rsid w:val="00161287"/>
    <w:rsid w:val="001613EA"/>
    <w:rsid w:val="00161467"/>
    <w:rsid w:val="001614D8"/>
    <w:rsid w:val="00161584"/>
    <w:rsid w:val="001615C4"/>
    <w:rsid w:val="0016162E"/>
    <w:rsid w:val="0016163A"/>
    <w:rsid w:val="0016174E"/>
    <w:rsid w:val="001617DE"/>
    <w:rsid w:val="001619A8"/>
    <w:rsid w:val="00161A13"/>
    <w:rsid w:val="00161ABC"/>
    <w:rsid w:val="00161AE8"/>
    <w:rsid w:val="00161B60"/>
    <w:rsid w:val="00161C13"/>
    <w:rsid w:val="00161C7C"/>
    <w:rsid w:val="00161E5A"/>
    <w:rsid w:val="00161E5D"/>
    <w:rsid w:val="00161E67"/>
    <w:rsid w:val="00161E9F"/>
    <w:rsid w:val="00161EBC"/>
    <w:rsid w:val="00161EC7"/>
    <w:rsid w:val="00161F01"/>
    <w:rsid w:val="00161F7C"/>
    <w:rsid w:val="00161FF7"/>
    <w:rsid w:val="0016209C"/>
    <w:rsid w:val="0016209D"/>
    <w:rsid w:val="001621A6"/>
    <w:rsid w:val="001622A7"/>
    <w:rsid w:val="00162302"/>
    <w:rsid w:val="0016231B"/>
    <w:rsid w:val="0016235A"/>
    <w:rsid w:val="0016237E"/>
    <w:rsid w:val="00162425"/>
    <w:rsid w:val="0016249D"/>
    <w:rsid w:val="001625A6"/>
    <w:rsid w:val="00162613"/>
    <w:rsid w:val="001626E6"/>
    <w:rsid w:val="001626FD"/>
    <w:rsid w:val="00162792"/>
    <w:rsid w:val="001627D1"/>
    <w:rsid w:val="00162810"/>
    <w:rsid w:val="001628FF"/>
    <w:rsid w:val="00162C4E"/>
    <w:rsid w:val="00162C93"/>
    <w:rsid w:val="00162D35"/>
    <w:rsid w:val="00162E4E"/>
    <w:rsid w:val="00162F5E"/>
    <w:rsid w:val="0016301E"/>
    <w:rsid w:val="00163135"/>
    <w:rsid w:val="00163300"/>
    <w:rsid w:val="0016335A"/>
    <w:rsid w:val="001633C9"/>
    <w:rsid w:val="00163504"/>
    <w:rsid w:val="00163671"/>
    <w:rsid w:val="001636CC"/>
    <w:rsid w:val="001636CF"/>
    <w:rsid w:val="00163702"/>
    <w:rsid w:val="0016389F"/>
    <w:rsid w:val="001638F5"/>
    <w:rsid w:val="00163963"/>
    <w:rsid w:val="0016399A"/>
    <w:rsid w:val="001639A2"/>
    <w:rsid w:val="00163A9C"/>
    <w:rsid w:val="00163AC9"/>
    <w:rsid w:val="00163B70"/>
    <w:rsid w:val="00163B72"/>
    <w:rsid w:val="00163C66"/>
    <w:rsid w:val="00163C91"/>
    <w:rsid w:val="00163CC8"/>
    <w:rsid w:val="00163CEB"/>
    <w:rsid w:val="00163DB0"/>
    <w:rsid w:val="00163DD9"/>
    <w:rsid w:val="00163E0D"/>
    <w:rsid w:val="00163E10"/>
    <w:rsid w:val="00163E4F"/>
    <w:rsid w:val="00163E59"/>
    <w:rsid w:val="00163E61"/>
    <w:rsid w:val="00163EA0"/>
    <w:rsid w:val="00163F8B"/>
    <w:rsid w:val="001640AE"/>
    <w:rsid w:val="00164147"/>
    <w:rsid w:val="00164198"/>
    <w:rsid w:val="0016423C"/>
    <w:rsid w:val="001642B1"/>
    <w:rsid w:val="001642EC"/>
    <w:rsid w:val="00164306"/>
    <w:rsid w:val="00164308"/>
    <w:rsid w:val="00164362"/>
    <w:rsid w:val="001643ED"/>
    <w:rsid w:val="0016440F"/>
    <w:rsid w:val="00164428"/>
    <w:rsid w:val="00164445"/>
    <w:rsid w:val="00164489"/>
    <w:rsid w:val="00164588"/>
    <w:rsid w:val="001645EA"/>
    <w:rsid w:val="001645F4"/>
    <w:rsid w:val="00164608"/>
    <w:rsid w:val="00164643"/>
    <w:rsid w:val="001646BC"/>
    <w:rsid w:val="001646D9"/>
    <w:rsid w:val="00164787"/>
    <w:rsid w:val="001647BE"/>
    <w:rsid w:val="001647F4"/>
    <w:rsid w:val="00164891"/>
    <w:rsid w:val="001648B6"/>
    <w:rsid w:val="001648C9"/>
    <w:rsid w:val="00164952"/>
    <w:rsid w:val="00164974"/>
    <w:rsid w:val="001649A3"/>
    <w:rsid w:val="00164A07"/>
    <w:rsid w:val="00164A0B"/>
    <w:rsid w:val="00164B5C"/>
    <w:rsid w:val="00164B64"/>
    <w:rsid w:val="00164C4C"/>
    <w:rsid w:val="00164C97"/>
    <w:rsid w:val="00164D50"/>
    <w:rsid w:val="00164D97"/>
    <w:rsid w:val="00164DA2"/>
    <w:rsid w:val="00164DE3"/>
    <w:rsid w:val="00164E4C"/>
    <w:rsid w:val="00164E64"/>
    <w:rsid w:val="00164EA4"/>
    <w:rsid w:val="00164EC2"/>
    <w:rsid w:val="00164F10"/>
    <w:rsid w:val="00164F3F"/>
    <w:rsid w:val="00165014"/>
    <w:rsid w:val="00165036"/>
    <w:rsid w:val="0016503D"/>
    <w:rsid w:val="001650DD"/>
    <w:rsid w:val="001650E5"/>
    <w:rsid w:val="00165112"/>
    <w:rsid w:val="0016519D"/>
    <w:rsid w:val="001651BE"/>
    <w:rsid w:val="0016532A"/>
    <w:rsid w:val="0016537D"/>
    <w:rsid w:val="001653DB"/>
    <w:rsid w:val="001653E8"/>
    <w:rsid w:val="00165401"/>
    <w:rsid w:val="00165411"/>
    <w:rsid w:val="00165499"/>
    <w:rsid w:val="001654BC"/>
    <w:rsid w:val="0016551C"/>
    <w:rsid w:val="001656B2"/>
    <w:rsid w:val="0016579C"/>
    <w:rsid w:val="001657A7"/>
    <w:rsid w:val="001657ED"/>
    <w:rsid w:val="001658F4"/>
    <w:rsid w:val="00165945"/>
    <w:rsid w:val="00165964"/>
    <w:rsid w:val="001659B9"/>
    <w:rsid w:val="00165A0F"/>
    <w:rsid w:val="00165A30"/>
    <w:rsid w:val="00165A5B"/>
    <w:rsid w:val="00165B0F"/>
    <w:rsid w:val="00165B43"/>
    <w:rsid w:val="00165C75"/>
    <w:rsid w:val="00165CDF"/>
    <w:rsid w:val="00165DB3"/>
    <w:rsid w:val="00165EB5"/>
    <w:rsid w:val="00165F22"/>
    <w:rsid w:val="00165FD3"/>
    <w:rsid w:val="00165FF5"/>
    <w:rsid w:val="001660A0"/>
    <w:rsid w:val="001660C5"/>
    <w:rsid w:val="00166163"/>
    <w:rsid w:val="0016619C"/>
    <w:rsid w:val="001661DB"/>
    <w:rsid w:val="00166290"/>
    <w:rsid w:val="001662D3"/>
    <w:rsid w:val="00166353"/>
    <w:rsid w:val="00166399"/>
    <w:rsid w:val="00166408"/>
    <w:rsid w:val="0016644A"/>
    <w:rsid w:val="00166528"/>
    <w:rsid w:val="001665A1"/>
    <w:rsid w:val="001665AF"/>
    <w:rsid w:val="001665E6"/>
    <w:rsid w:val="00166714"/>
    <w:rsid w:val="001667CF"/>
    <w:rsid w:val="001667D7"/>
    <w:rsid w:val="001667E7"/>
    <w:rsid w:val="001667ED"/>
    <w:rsid w:val="00166804"/>
    <w:rsid w:val="0016690C"/>
    <w:rsid w:val="00166947"/>
    <w:rsid w:val="001669BA"/>
    <w:rsid w:val="001669DB"/>
    <w:rsid w:val="001669EC"/>
    <w:rsid w:val="00166C6F"/>
    <w:rsid w:val="00166C9E"/>
    <w:rsid w:val="00166CD4"/>
    <w:rsid w:val="00166CF5"/>
    <w:rsid w:val="00166DAF"/>
    <w:rsid w:val="00166DBE"/>
    <w:rsid w:val="00166E2C"/>
    <w:rsid w:val="0016708D"/>
    <w:rsid w:val="0016719E"/>
    <w:rsid w:val="001672D5"/>
    <w:rsid w:val="00167305"/>
    <w:rsid w:val="001673A8"/>
    <w:rsid w:val="001673B3"/>
    <w:rsid w:val="001673DE"/>
    <w:rsid w:val="001674A0"/>
    <w:rsid w:val="001674A1"/>
    <w:rsid w:val="001674DF"/>
    <w:rsid w:val="0016754B"/>
    <w:rsid w:val="00167556"/>
    <w:rsid w:val="00167583"/>
    <w:rsid w:val="001676DC"/>
    <w:rsid w:val="001676F7"/>
    <w:rsid w:val="00167712"/>
    <w:rsid w:val="00167782"/>
    <w:rsid w:val="001677D3"/>
    <w:rsid w:val="00167822"/>
    <w:rsid w:val="001678AA"/>
    <w:rsid w:val="00167911"/>
    <w:rsid w:val="00167991"/>
    <w:rsid w:val="001679B9"/>
    <w:rsid w:val="001679D4"/>
    <w:rsid w:val="001679E4"/>
    <w:rsid w:val="001679EE"/>
    <w:rsid w:val="00167A34"/>
    <w:rsid w:val="00167A7F"/>
    <w:rsid w:val="00167AF6"/>
    <w:rsid w:val="00167C22"/>
    <w:rsid w:val="00167C82"/>
    <w:rsid w:val="00167CB6"/>
    <w:rsid w:val="00167D21"/>
    <w:rsid w:val="00167D30"/>
    <w:rsid w:val="00167D4F"/>
    <w:rsid w:val="00167D60"/>
    <w:rsid w:val="00167D61"/>
    <w:rsid w:val="00167D93"/>
    <w:rsid w:val="00167DCB"/>
    <w:rsid w:val="00167E5C"/>
    <w:rsid w:val="00167EC6"/>
    <w:rsid w:val="00167ED4"/>
    <w:rsid w:val="00167EEB"/>
    <w:rsid w:val="00167EFC"/>
    <w:rsid w:val="00167FCD"/>
    <w:rsid w:val="00167FCE"/>
    <w:rsid w:val="0017002E"/>
    <w:rsid w:val="001700BE"/>
    <w:rsid w:val="00170113"/>
    <w:rsid w:val="00170190"/>
    <w:rsid w:val="001701D2"/>
    <w:rsid w:val="001702AA"/>
    <w:rsid w:val="001702B1"/>
    <w:rsid w:val="001702E1"/>
    <w:rsid w:val="001702EF"/>
    <w:rsid w:val="00170325"/>
    <w:rsid w:val="001703A4"/>
    <w:rsid w:val="001704AE"/>
    <w:rsid w:val="001704BC"/>
    <w:rsid w:val="001704D3"/>
    <w:rsid w:val="00170546"/>
    <w:rsid w:val="001705B3"/>
    <w:rsid w:val="001705DB"/>
    <w:rsid w:val="00170691"/>
    <w:rsid w:val="00170703"/>
    <w:rsid w:val="00170708"/>
    <w:rsid w:val="0017070C"/>
    <w:rsid w:val="00170803"/>
    <w:rsid w:val="0017081D"/>
    <w:rsid w:val="00170843"/>
    <w:rsid w:val="00170873"/>
    <w:rsid w:val="00170917"/>
    <w:rsid w:val="00170977"/>
    <w:rsid w:val="0017099E"/>
    <w:rsid w:val="001709CE"/>
    <w:rsid w:val="001709F8"/>
    <w:rsid w:val="001709FF"/>
    <w:rsid w:val="00170B66"/>
    <w:rsid w:val="00170BBE"/>
    <w:rsid w:val="00170C89"/>
    <w:rsid w:val="00170CD0"/>
    <w:rsid w:val="00170CDA"/>
    <w:rsid w:val="00170D50"/>
    <w:rsid w:val="00170D84"/>
    <w:rsid w:val="00170D86"/>
    <w:rsid w:val="00170E1C"/>
    <w:rsid w:val="00170EE1"/>
    <w:rsid w:val="00170EF9"/>
    <w:rsid w:val="00171112"/>
    <w:rsid w:val="0017112F"/>
    <w:rsid w:val="00171187"/>
    <w:rsid w:val="001711AC"/>
    <w:rsid w:val="00171210"/>
    <w:rsid w:val="00171329"/>
    <w:rsid w:val="0017139A"/>
    <w:rsid w:val="001713B0"/>
    <w:rsid w:val="001713DE"/>
    <w:rsid w:val="00171400"/>
    <w:rsid w:val="0017147E"/>
    <w:rsid w:val="001714C2"/>
    <w:rsid w:val="001714DA"/>
    <w:rsid w:val="001714E9"/>
    <w:rsid w:val="001715B6"/>
    <w:rsid w:val="001715B7"/>
    <w:rsid w:val="001715D1"/>
    <w:rsid w:val="00171601"/>
    <w:rsid w:val="00171639"/>
    <w:rsid w:val="00171669"/>
    <w:rsid w:val="00171670"/>
    <w:rsid w:val="00171714"/>
    <w:rsid w:val="0017176B"/>
    <w:rsid w:val="0017177B"/>
    <w:rsid w:val="0017183C"/>
    <w:rsid w:val="0017198C"/>
    <w:rsid w:val="001719DF"/>
    <w:rsid w:val="00171A13"/>
    <w:rsid w:val="00171A34"/>
    <w:rsid w:val="00171AA8"/>
    <w:rsid w:val="00171B8F"/>
    <w:rsid w:val="00171B93"/>
    <w:rsid w:val="00171BB3"/>
    <w:rsid w:val="00171C3B"/>
    <w:rsid w:val="00171CEB"/>
    <w:rsid w:val="00171D10"/>
    <w:rsid w:val="00171D84"/>
    <w:rsid w:val="00171DD2"/>
    <w:rsid w:val="00171DE5"/>
    <w:rsid w:val="00171DE8"/>
    <w:rsid w:val="00171E0C"/>
    <w:rsid w:val="00171E21"/>
    <w:rsid w:val="0017200A"/>
    <w:rsid w:val="0017207A"/>
    <w:rsid w:val="00172103"/>
    <w:rsid w:val="001721EA"/>
    <w:rsid w:val="0017221E"/>
    <w:rsid w:val="001722B0"/>
    <w:rsid w:val="001722BE"/>
    <w:rsid w:val="001722E4"/>
    <w:rsid w:val="001723AD"/>
    <w:rsid w:val="001723B0"/>
    <w:rsid w:val="001723E9"/>
    <w:rsid w:val="00172404"/>
    <w:rsid w:val="00172409"/>
    <w:rsid w:val="00172415"/>
    <w:rsid w:val="00172443"/>
    <w:rsid w:val="00172457"/>
    <w:rsid w:val="00172458"/>
    <w:rsid w:val="00172510"/>
    <w:rsid w:val="00172571"/>
    <w:rsid w:val="001725DD"/>
    <w:rsid w:val="0017260C"/>
    <w:rsid w:val="00172619"/>
    <w:rsid w:val="0017267A"/>
    <w:rsid w:val="00172698"/>
    <w:rsid w:val="001726A2"/>
    <w:rsid w:val="001726CC"/>
    <w:rsid w:val="00172734"/>
    <w:rsid w:val="0017276F"/>
    <w:rsid w:val="001727C2"/>
    <w:rsid w:val="001727CF"/>
    <w:rsid w:val="00172839"/>
    <w:rsid w:val="00172851"/>
    <w:rsid w:val="00172870"/>
    <w:rsid w:val="0017288B"/>
    <w:rsid w:val="001728BE"/>
    <w:rsid w:val="00172939"/>
    <w:rsid w:val="0017293A"/>
    <w:rsid w:val="001729AB"/>
    <w:rsid w:val="00172A9B"/>
    <w:rsid w:val="00172AD0"/>
    <w:rsid w:val="00172B08"/>
    <w:rsid w:val="00172BBC"/>
    <w:rsid w:val="00172C66"/>
    <w:rsid w:val="00172CE0"/>
    <w:rsid w:val="00172D07"/>
    <w:rsid w:val="00172D5B"/>
    <w:rsid w:val="00172DC5"/>
    <w:rsid w:val="00172E38"/>
    <w:rsid w:val="00172EDD"/>
    <w:rsid w:val="00172F07"/>
    <w:rsid w:val="00172F56"/>
    <w:rsid w:val="00172FA8"/>
    <w:rsid w:val="00172FC6"/>
    <w:rsid w:val="00172FF1"/>
    <w:rsid w:val="00172FF3"/>
    <w:rsid w:val="00173048"/>
    <w:rsid w:val="001730DC"/>
    <w:rsid w:val="001730F9"/>
    <w:rsid w:val="001731A5"/>
    <w:rsid w:val="001732A6"/>
    <w:rsid w:val="001732C1"/>
    <w:rsid w:val="001732C5"/>
    <w:rsid w:val="0017332C"/>
    <w:rsid w:val="00173345"/>
    <w:rsid w:val="0017340D"/>
    <w:rsid w:val="00173432"/>
    <w:rsid w:val="0017348D"/>
    <w:rsid w:val="00173781"/>
    <w:rsid w:val="001737C4"/>
    <w:rsid w:val="001737F9"/>
    <w:rsid w:val="0017385A"/>
    <w:rsid w:val="001738C7"/>
    <w:rsid w:val="001738DD"/>
    <w:rsid w:val="0017392E"/>
    <w:rsid w:val="001739EC"/>
    <w:rsid w:val="00173A48"/>
    <w:rsid w:val="00173AA0"/>
    <w:rsid w:val="00173ACD"/>
    <w:rsid w:val="00173B21"/>
    <w:rsid w:val="00173B3F"/>
    <w:rsid w:val="00173B90"/>
    <w:rsid w:val="00173BBA"/>
    <w:rsid w:val="00173BCC"/>
    <w:rsid w:val="00173CB0"/>
    <w:rsid w:val="00173D28"/>
    <w:rsid w:val="00173D34"/>
    <w:rsid w:val="00173D4D"/>
    <w:rsid w:val="00173D58"/>
    <w:rsid w:val="00173DEF"/>
    <w:rsid w:val="00173E2F"/>
    <w:rsid w:val="00173E39"/>
    <w:rsid w:val="00173E89"/>
    <w:rsid w:val="00173ED6"/>
    <w:rsid w:val="00173EEE"/>
    <w:rsid w:val="00173F4D"/>
    <w:rsid w:val="00173F9B"/>
    <w:rsid w:val="00173FAE"/>
    <w:rsid w:val="00174040"/>
    <w:rsid w:val="00174041"/>
    <w:rsid w:val="001740CC"/>
    <w:rsid w:val="00174144"/>
    <w:rsid w:val="00174181"/>
    <w:rsid w:val="001741A2"/>
    <w:rsid w:val="001741FD"/>
    <w:rsid w:val="00174237"/>
    <w:rsid w:val="0017434E"/>
    <w:rsid w:val="00174394"/>
    <w:rsid w:val="0017442B"/>
    <w:rsid w:val="00174694"/>
    <w:rsid w:val="001746A8"/>
    <w:rsid w:val="001746E8"/>
    <w:rsid w:val="0017478D"/>
    <w:rsid w:val="001747DE"/>
    <w:rsid w:val="001747F4"/>
    <w:rsid w:val="00174824"/>
    <w:rsid w:val="001748F6"/>
    <w:rsid w:val="0017496C"/>
    <w:rsid w:val="0017496F"/>
    <w:rsid w:val="001749AA"/>
    <w:rsid w:val="001749AE"/>
    <w:rsid w:val="00174A6C"/>
    <w:rsid w:val="00174A77"/>
    <w:rsid w:val="00174A78"/>
    <w:rsid w:val="00174B59"/>
    <w:rsid w:val="00174B61"/>
    <w:rsid w:val="00174B6D"/>
    <w:rsid w:val="00174B79"/>
    <w:rsid w:val="00174C9C"/>
    <w:rsid w:val="00174CDA"/>
    <w:rsid w:val="00174D2D"/>
    <w:rsid w:val="00174D63"/>
    <w:rsid w:val="00174E09"/>
    <w:rsid w:val="00174E3A"/>
    <w:rsid w:val="00174EAD"/>
    <w:rsid w:val="00174F98"/>
    <w:rsid w:val="00175056"/>
    <w:rsid w:val="0017508D"/>
    <w:rsid w:val="00175099"/>
    <w:rsid w:val="001750AA"/>
    <w:rsid w:val="00175128"/>
    <w:rsid w:val="0017514B"/>
    <w:rsid w:val="0017519B"/>
    <w:rsid w:val="00175279"/>
    <w:rsid w:val="00175286"/>
    <w:rsid w:val="001752C7"/>
    <w:rsid w:val="001752E9"/>
    <w:rsid w:val="00175397"/>
    <w:rsid w:val="001753D3"/>
    <w:rsid w:val="00175408"/>
    <w:rsid w:val="0017540B"/>
    <w:rsid w:val="00175554"/>
    <w:rsid w:val="00175651"/>
    <w:rsid w:val="00175668"/>
    <w:rsid w:val="0017569C"/>
    <w:rsid w:val="00175727"/>
    <w:rsid w:val="0017579E"/>
    <w:rsid w:val="001757BF"/>
    <w:rsid w:val="0017584F"/>
    <w:rsid w:val="00175952"/>
    <w:rsid w:val="00175960"/>
    <w:rsid w:val="00175991"/>
    <w:rsid w:val="00175B4A"/>
    <w:rsid w:val="00175B9A"/>
    <w:rsid w:val="00175BBD"/>
    <w:rsid w:val="00175BCE"/>
    <w:rsid w:val="00175BF2"/>
    <w:rsid w:val="00175C52"/>
    <w:rsid w:val="00175CE5"/>
    <w:rsid w:val="00175D57"/>
    <w:rsid w:val="00175D5B"/>
    <w:rsid w:val="00175DF3"/>
    <w:rsid w:val="00175EA0"/>
    <w:rsid w:val="00175F20"/>
    <w:rsid w:val="00175F23"/>
    <w:rsid w:val="00175F3D"/>
    <w:rsid w:val="00175F6B"/>
    <w:rsid w:val="00175F7D"/>
    <w:rsid w:val="0017601E"/>
    <w:rsid w:val="00176023"/>
    <w:rsid w:val="00176092"/>
    <w:rsid w:val="00176168"/>
    <w:rsid w:val="00176175"/>
    <w:rsid w:val="00176227"/>
    <w:rsid w:val="00176256"/>
    <w:rsid w:val="0017625D"/>
    <w:rsid w:val="0017626D"/>
    <w:rsid w:val="001762A1"/>
    <w:rsid w:val="0017635F"/>
    <w:rsid w:val="001763CF"/>
    <w:rsid w:val="001763D1"/>
    <w:rsid w:val="00176461"/>
    <w:rsid w:val="00176473"/>
    <w:rsid w:val="001764FA"/>
    <w:rsid w:val="00176508"/>
    <w:rsid w:val="0017650D"/>
    <w:rsid w:val="0017651C"/>
    <w:rsid w:val="001765D9"/>
    <w:rsid w:val="00176607"/>
    <w:rsid w:val="00176608"/>
    <w:rsid w:val="0017662C"/>
    <w:rsid w:val="00176699"/>
    <w:rsid w:val="0017675F"/>
    <w:rsid w:val="0017682A"/>
    <w:rsid w:val="00176836"/>
    <w:rsid w:val="001768CA"/>
    <w:rsid w:val="0017691E"/>
    <w:rsid w:val="0017697A"/>
    <w:rsid w:val="001769AA"/>
    <w:rsid w:val="001769FE"/>
    <w:rsid w:val="00176A1A"/>
    <w:rsid w:val="00176A26"/>
    <w:rsid w:val="00176A87"/>
    <w:rsid w:val="00176A97"/>
    <w:rsid w:val="00176AE5"/>
    <w:rsid w:val="00176B10"/>
    <w:rsid w:val="00176B93"/>
    <w:rsid w:val="00176CB5"/>
    <w:rsid w:val="00176CFA"/>
    <w:rsid w:val="00176D42"/>
    <w:rsid w:val="00176D78"/>
    <w:rsid w:val="00176D96"/>
    <w:rsid w:val="00176D97"/>
    <w:rsid w:val="00176DEE"/>
    <w:rsid w:val="00176E11"/>
    <w:rsid w:val="00176E35"/>
    <w:rsid w:val="00176EEA"/>
    <w:rsid w:val="00176F0A"/>
    <w:rsid w:val="00176F43"/>
    <w:rsid w:val="00176F8F"/>
    <w:rsid w:val="0017700B"/>
    <w:rsid w:val="001770E9"/>
    <w:rsid w:val="00177196"/>
    <w:rsid w:val="001771A8"/>
    <w:rsid w:val="001771BA"/>
    <w:rsid w:val="001771C9"/>
    <w:rsid w:val="001771F0"/>
    <w:rsid w:val="001771FE"/>
    <w:rsid w:val="00177215"/>
    <w:rsid w:val="00177312"/>
    <w:rsid w:val="0017731B"/>
    <w:rsid w:val="0017737B"/>
    <w:rsid w:val="00177395"/>
    <w:rsid w:val="001773E2"/>
    <w:rsid w:val="001773EB"/>
    <w:rsid w:val="00177410"/>
    <w:rsid w:val="00177428"/>
    <w:rsid w:val="00177462"/>
    <w:rsid w:val="0017748A"/>
    <w:rsid w:val="001774E8"/>
    <w:rsid w:val="0017755A"/>
    <w:rsid w:val="0017756A"/>
    <w:rsid w:val="001775EF"/>
    <w:rsid w:val="00177606"/>
    <w:rsid w:val="00177652"/>
    <w:rsid w:val="0017769C"/>
    <w:rsid w:val="001776CB"/>
    <w:rsid w:val="001776EB"/>
    <w:rsid w:val="0017786D"/>
    <w:rsid w:val="00177970"/>
    <w:rsid w:val="001779D6"/>
    <w:rsid w:val="00177A78"/>
    <w:rsid w:val="00177A7F"/>
    <w:rsid w:val="00177B77"/>
    <w:rsid w:val="00177B8A"/>
    <w:rsid w:val="00177BD8"/>
    <w:rsid w:val="00177BFD"/>
    <w:rsid w:val="00177C6F"/>
    <w:rsid w:val="00177C9F"/>
    <w:rsid w:val="00177CE6"/>
    <w:rsid w:val="00177D0B"/>
    <w:rsid w:val="00177DAB"/>
    <w:rsid w:val="00177DDB"/>
    <w:rsid w:val="00177E01"/>
    <w:rsid w:val="00177E10"/>
    <w:rsid w:val="00177E3D"/>
    <w:rsid w:val="00177E48"/>
    <w:rsid w:val="00177EAC"/>
    <w:rsid w:val="00177EB0"/>
    <w:rsid w:val="00177EE7"/>
    <w:rsid w:val="00177EFE"/>
    <w:rsid w:val="00177F39"/>
    <w:rsid w:val="00177F5F"/>
    <w:rsid w:val="0018005C"/>
    <w:rsid w:val="0018005E"/>
    <w:rsid w:val="00180096"/>
    <w:rsid w:val="001800E8"/>
    <w:rsid w:val="0018016D"/>
    <w:rsid w:val="001801AF"/>
    <w:rsid w:val="001801E8"/>
    <w:rsid w:val="00180208"/>
    <w:rsid w:val="00180215"/>
    <w:rsid w:val="0018026F"/>
    <w:rsid w:val="00180308"/>
    <w:rsid w:val="00180349"/>
    <w:rsid w:val="00180397"/>
    <w:rsid w:val="00180418"/>
    <w:rsid w:val="00180451"/>
    <w:rsid w:val="0018048B"/>
    <w:rsid w:val="001805C9"/>
    <w:rsid w:val="001805D6"/>
    <w:rsid w:val="00180636"/>
    <w:rsid w:val="00180665"/>
    <w:rsid w:val="001806D2"/>
    <w:rsid w:val="00180703"/>
    <w:rsid w:val="00180757"/>
    <w:rsid w:val="00180859"/>
    <w:rsid w:val="0018085C"/>
    <w:rsid w:val="001808C5"/>
    <w:rsid w:val="00180926"/>
    <w:rsid w:val="001809D6"/>
    <w:rsid w:val="00180A0E"/>
    <w:rsid w:val="00180B03"/>
    <w:rsid w:val="00180B48"/>
    <w:rsid w:val="00180BB7"/>
    <w:rsid w:val="00180C4A"/>
    <w:rsid w:val="00180C93"/>
    <w:rsid w:val="00180C9F"/>
    <w:rsid w:val="00180CB2"/>
    <w:rsid w:val="00180CD0"/>
    <w:rsid w:val="00180DA5"/>
    <w:rsid w:val="00180DD3"/>
    <w:rsid w:val="00180DEC"/>
    <w:rsid w:val="00180DFE"/>
    <w:rsid w:val="00180E25"/>
    <w:rsid w:val="00180E7F"/>
    <w:rsid w:val="00180EA0"/>
    <w:rsid w:val="00180F1B"/>
    <w:rsid w:val="00180F67"/>
    <w:rsid w:val="00181052"/>
    <w:rsid w:val="001810FF"/>
    <w:rsid w:val="0018110A"/>
    <w:rsid w:val="00181121"/>
    <w:rsid w:val="001811DF"/>
    <w:rsid w:val="0018130D"/>
    <w:rsid w:val="0018131A"/>
    <w:rsid w:val="001813B1"/>
    <w:rsid w:val="001813D7"/>
    <w:rsid w:val="001813F1"/>
    <w:rsid w:val="00181416"/>
    <w:rsid w:val="00181497"/>
    <w:rsid w:val="001814D8"/>
    <w:rsid w:val="00181553"/>
    <w:rsid w:val="001815BE"/>
    <w:rsid w:val="001816AA"/>
    <w:rsid w:val="001816FF"/>
    <w:rsid w:val="00181736"/>
    <w:rsid w:val="0018173F"/>
    <w:rsid w:val="00181868"/>
    <w:rsid w:val="001818E9"/>
    <w:rsid w:val="001818EA"/>
    <w:rsid w:val="0018191E"/>
    <w:rsid w:val="00181957"/>
    <w:rsid w:val="00181A66"/>
    <w:rsid w:val="00181AFD"/>
    <w:rsid w:val="00181AFF"/>
    <w:rsid w:val="00181B0B"/>
    <w:rsid w:val="00181C35"/>
    <w:rsid w:val="00181C39"/>
    <w:rsid w:val="00181C5D"/>
    <w:rsid w:val="00181CBD"/>
    <w:rsid w:val="00181DBC"/>
    <w:rsid w:val="00181E22"/>
    <w:rsid w:val="00181EA1"/>
    <w:rsid w:val="00181F4A"/>
    <w:rsid w:val="00181F73"/>
    <w:rsid w:val="00181FC8"/>
    <w:rsid w:val="00181FEB"/>
    <w:rsid w:val="00182010"/>
    <w:rsid w:val="00182043"/>
    <w:rsid w:val="0018206A"/>
    <w:rsid w:val="0018210B"/>
    <w:rsid w:val="00182114"/>
    <w:rsid w:val="00182154"/>
    <w:rsid w:val="001821D6"/>
    <w:rsid w:val="001821EA"/>
    <w:rsid w:val="001821FF"/>
    <w:rsid w:val="00182252"/>
    <w:rsid w:val="00182255"/>
    <w:rsid w:val="00182275"/>
    <w:rsid w:val="0018227A"/>
    <w:rsid w:val="001822DA"/>
    <w:rsid w:val="00182330"/>
    <w:rsid w:val="00182392"/>
    <w:rsid w:val="00182497"/>
    <w:rsid w:val="00182552"/>
    <w:rsid w:val="001825C6"/>
    <w:rsid w:val="001825E1"/>
    <w:rsid w:val="00182714"/>
    <w:rsid w:val="00182740"/>
    <w:rsid w:val="0018274F"/>
    <w:rsid w:val="001827FA"/>
    <w:rsid w:val="001828D1"/>
    <w:rsid w:val="00182949"/>
    <w:rsid w:val="001829D2"/>
    <w:rsid w:val="00182A42"/>
    <w:rsid w:val="00182A51"/>
    <w:rsid w:val="00182B03"/>
    <w:rsid w:val="00182B58"/>
    <w:rsid w:val="00182B8B"/>
    <w:rsid w:val="00182BEB"/>
    <w:rsid w:val="00182BEC"/>
    <w:rsid w:val="00182C9D"/>
    <w:rsid w:val="00182CAA"/>
    <w:rsid w:val="00182CEB"/>
    <w:rsid w:val="00182D1E"/>
    <w:rsid w:val="00182D37"/>
    <w:rsid w:val="00182DF1"/>
    <w:rsid w:val="00182DF4"/>
    <w:rsid w:val="00182E4C"/>
    <w:rsid w:val="00182E79"/>
    <w:rsid w:val="00182F12"/>
    <w:rsid w:val="00182F38"/>
    <w:rsid w:val="00182F8C"/>
    <w:rsid w:val="00183090"/>
    <w:rsid w:val="0018310A"/>
    <w:rsid w:val="0018310F"/>
    <w:rsid w:val="0018312D"/>
    <w:rsid w:val="00183141"/>
    <w:rsid w:val="0018320A"/>
    <w:rsid w:val="00183217"/>
    <w:rsid w:val="001832AD"/>
    <w:rsid w:val="001832B4"/>
    <w:rsid w:val="00183307"/>
    <w:rsid w:val="00183330"/>
    <w:rsid w:val="00183332"/>
    <w:rsid w:val="00183344"/>
    <w:rsid w:val="0018337C"/>
    <w:rsid w:val="001833C9"/>
    <w:rsid w:val="00183400"/>
    <w:rsid w:val="0018342B"/>
    <w:rsid w:val="00183430"/>
    <w:rsid w:val="00183466"/>
    <w:rsid w:val="00183489"/>
    <w:rsid w:val="001834AB"/>
    <w:rsid w:val="00183511"/>
    <w:rsid w:val="0018356D"/>
    <w:rsid w:val="00183574"/>
    <w:rsid w:val="001835B0"/>
    <w:rsid w:val="001835B5"/>
    <w:rsid w:val="00183677"/>
    <w:rsid w:val="001836D9"/>
    <w:rsid w:val="0018390E"/>
    <w:rsid w:val="00183953"/>
    <w:rsid w:val="00183960"/>
    <w:rsid w:val="00183A0F"/>
    <w:rsid w:val="00183A42"/>
    <w:rsid w:val="00183A6E"/>
    <w:rsid w:val="00183ACE"/>
    <w:rsid w:val="00183AD7"/>
    <w:rsid w:val="00183B3D"/>
    <w:rsid w:val="00183B6A"/>
    <w:rsid w:val="00183B9C"/>
    <w:rsid w:val="00183C2C"/>
    <w:rsid w:val="00183C38"/>
    <w:rsid w:val="00183C74"/>
    <w:rsid w:val="00183C99"/>
    <w:rsid w:val="00183CED"/>
    <w:rsid w:val="00183D48"/>
    <w:rsid w:val="00183DB5"/>
    <w:rsid w:val="00183E1C"/>
    <w:rsid w:val="00183E64"/>
    <w:rsid w:val="00183E81"/>
    <w:rsid w:val="00183ED1"/>
    <w:rsid w:val="00183EDC"/>
    <w:rsid w:val="00184093"/>
    <w:rsid w:val="001840F9"/>
    <w:rsid w:val="001841F0"/>
    <w:rsid w:val="001842BF"/>
    <w:rsid w:val="00184308"/>
    <w:rsid w:val="0018435F"/>
    <w:rsid w:val="001843B3"/>
    <w:rsid w:val="00184400"/>
    <w:rsid w:val="00184403"/>
    <w:rsid w:val="00184470"/>
    <w:rsid w:val="00184478"/>
    <w:rsid w:val="0018448C"/>
    <w:rsid w:val="001844D9"/>
    <w:rsid w:val="0018453F"/>
    <w:rsid w:val="0018459E"/>
    <w:rsid w:val="00184653"/>
    <w:rsid w:val="00184673"/>
    <w:rsid w:val="001846AF"/>
    <w:rsid w:val="0018487B"/>
    <w:rsid w:val="0018489B"/>
    <w:rsid w:val="001848ED"/>
    <w:rsid w:val="001848F5"/>
    <w:rsid w:val="001849EF"/>
    <w:rsid w:val="00184A22"/>
    <w:rsid w:val="00184A32"/>
    <w:rsid w:val="00184A48"/>
    <w:rsid w:val="00184A71"/>
    <w:rsid w:val="00184B8A"/>
    <w:rsid w:val="00184BA1"/>
    <w:rsid w:val="00184BE5"/>
    <w:rsid w:val="00184CB1"/>
    <w:rsid w:val="00184D9F"/>
    <w:rsid w:val="00184E23"/>
    <w:rsid w:val="00184E6E"/>
    <w:rsid w:val="00184E72"/>
    <w:rsid w:val="00185051"/>
    <w:rsid w:val="00185055"/>
    <w:rsid w:val="001850E8"/>
    <w:rsid w:val="00185101"/>
    <w:rsid w:val="00185150"/>
    <w:rsid w:val="001851B8"/>
    <w:rsid w:val="001851EA"/>
    <w:rsid w:val="0018537C"/>
    <w:rsid w:val="00185404"/>
    <w:rsid w:val="0018548D"/>
    <w:rsid w:val="001854EE"/>
    <w:rsid w:val="001854FF"/>
    <w:rsid w:val="0018552A"/>
    <w:rsid w:val="0018556B"/>
    <w:rsid w:val="00185719"/>
    <w:rsid w:val="0018574C"/>
    <w:rsid w:val="0018589F"/>
    <w:rsid w:val="001858BA"/>
    <w:rsid w:val="00185949"/>
    <w:rsid w:val="001859CF"/>
    <w:rsid w:val="001859D7"/>
    <w:rsid w:val="001859DE"/>
    <w:rsid w:val="001859E6"/>
    <w:rsid w:val="00185A36"/>
    <w:rsid w:val="00185A8E"/>
    <w:rsid w:val="00185B05"/>
    <w:rsid w:val="00185C83"/>
    <w:rsid w:val="00185CE1"/>
    <w:rsid w:val="00185E10"/>
    <w:rsid w:val="00185EC7"/>
    <w:rsid w:val="00185FA0"/>
    <w:rsid w:val="00186013"/>
    <w:rsid w:val="00186019"/>
    <w:rsid w:val="0018603B"/>
    <w:rsid w:val="00186052"/>
    <w:rsid w:val="00186056"/>
    <w:rsid w:val="00186111"/>
    <w:rsid w:val="00186118"/>
    <w:rsid w:val="001861E6"/>
    <w:rsid w:val="001862D3"/>
    <w:rsid w:val="001862EA"/>
    <w:rsid w:val="00186396"/>
    <w:rsid w:val="001863B4"/>
    <w:rsid w:val="00186440"/>
    <w:rsid w:val="001864DD"/>
    <w:rsid w:val="00186621"/>
    <w:rsid w:val="00186719"/>
    <w:rsid w:val="0018674D"/>
    <w:rsid w:val="0018676C"/>
    <w:rsid w:val="001867E9"/>
    <w:rsid w:val="00186835"/>
    <w:rsid w:val="00186962"/>
    <w:rsid w:val="00186973"/>
    <w:rsid w:val="0018699A"/>
    <w:rsid w:val="001869AF"/>
    <w:rsid w:val="00186A0E"/>
    <w:rsid w:val="00186ABF"/>
    <w:rsid w:val="00186ADF"/>
    <w:rsid w:val="00186AE3"/>
    <w:rsid w:val="00186B7E"/>
    <w:rsid w:val="00186D77"/>
    <w:rsid w:val="00186DA5"/>
    <w:rsid w:val="00186DB7"/>
    <w:rsid w:val="00186E88"/>
    <w:rsid w:val="00186F16"/>
    <w:rsid w:val="00186FC1"/>
    <w:rsid w:val="00186FC4"/>
    <w:rsid w:val="00186FE0"/>
    <w:rsid w:val="0018706B"/>
    <w:rsid w:val="0018714A"/>
    <w:rsid w:val="00187169"/>
    <w:rsid w:val="0018717C"/>
    <w:rsid w:val="001871C1"/>
    <w:rsid w:val="001871F5"/>
    <w:rsid w:val="001871FD"/>
    <w:rsid w:val="00187324"/>
    <w:rsid w:val="00187340"/>
    <w:rsid w:val="00187360"/>
    <w:rsid w:val="001873A4"/>
    <w:rsid w:val="001873AE"/>
    <w:rsid w:val="001873D4"/>
    <w:rsid w:val="00187525"/>
    <w:rsid w:val="001875FD"/>
    <w:rsid w:val="001877C1"/>
    <w:rsid w:val="001877E5"/>
    <w:rsid w:val="00187831"/>
    <w:rsid w:val="00187950"/>
    <w:rsid w:val="00187992"/>
    <w:rsid w:val="001879D7"/>
    <w:rsid w:val="00187A48"/>
    <w:rsid w:val="00187AB1"/>
    <w:rsid w:val="00187AB6"/>
    <w:rsid w:val="00187AB8"/>
    <w:rsid w:val="00187B73"/>
    <w:rsid w:val="00187C60"/>
    <w:rsid w:val="00187C6B"/>
    <w:rsid w:val="00187C73"/>
    <w:rsid w:val="00187C99"/>
    <w:rsid w:val="00187DE5"/>
    <w:rsid w:val="00187E1C"/>
    <w:rsid w:val="00187E33"/>
    <w:rsid w:val="00187E8B"/>
    <w:rsid w:val="00187F7A"/>
    <w:rsid w:val="00187F94"/>
    <w:rsid w:val="00190138"/>
    <w:rsid w:val="001901E2"/>
    <w:rsid w:val="001901F1"/>
    <w:rsid w:val="00190221"/>
    <w:rsid w:val="001902B5"/>
    <w:rsid w:val="001902E6"/>
    <w:rsid w:val="0019035A"/>
    <w:rsid w:val="0019039E"/>
    <w:rsid w:val="0019047E"/>
    <w:rsid w:val="00190498"/>
    <w:rsid w:val="001904C6"/>
    <w:rsid w:val="001904D3"/>
    <w:rsid w:val="001904D8"/>
    <w:rsid w:val="001904FB"/>
    <w:rsid w:val="00190518"/>
    <w:rsid w:val="00190525"/>
    <w:rsid w:val="0019052D"/>
    <w:rsid w:val="00190590"/>
    <w:rsid w:val="00190601"/>
    <w:rsid w:val="00190631"/>
    <w:rsid w:val="00190682"/>
    <w:rsid w:val="00190710"/>
    <w:rsid w:val="00190743"/>
    <w:rsid w:val="0019076E"/>
    <w:rsid w:val="001907EC"/>
    <w:rsid w:val="001907F5"/>
    <w:rsid w:val="00190846"/>
    <w:rsid w:val="0019091F"/>
    <w:rsid w:val="00190968"/>
    <w:rsid w:val="0019099A"/>
    <w:rsid w:val="00190A3E"/>
    <w:rsid w:val="00190A66"/>
    <w:rsid w:val="00190ACE"/>
    <w:rsid w:val="00190B6A"/>
    <w:rsid w:val="00190B93"/>
    <w:rsid w:val="00190C30"/>
    <w:rsid w:val="00190C3D"/>
    <w:rsid w:val="00190C74"/>
    <w:rsid w:val="00190CBF"/>
    <w:rsid w:val="00190E2F"/>
    <w:rsid w:val="00190E5B"/>
    <w:rsid w:val="00190E98"/>
    <w:rsid w:val="00190E9B"/>
    <w:rsid w:val="00190EC8"/>
    <w:rsid w:val="00190F4E"/>
    <w:rsid w:val="00190F50"/>
    <w:rsid w:val="00190FC5"/>
    <w:rsid w:val="0019100C"/>
    <w:rsid w:val="00191022"/>
    <w:rsid w:val="001910E6"/>
    <w:rsid w:val="001910EA"/>
    <w:rsid w:val="0019119F"/>
    <w:rsid w:val="001911BD"/>
    <w:rsid w:val="001911F0"/>
    <w:rsid w:val="00191218"/>
    <w:rsid w:val="0019124B"/>
    <w:rsid w:val="00191263"/>
    <w:rsid w:val="0019127F"/>
    <w:rsid w:val="001912A5"/>
    <w:rsid w:val="0019130C"/>
    <w:rsid w:val="00191378"/>
    <w:rsid w:val="0019138B"/>
    <w:rsid w:val="001913CE"/>
    <w:rsid w:val="001913F6"/>
    <w:rsid w:val="00191496"/>
    <w:rsid w:val="001914EC"/>
    <w:rsid w:val="001915E0"/>
    <w:rsid w:val="0019163D"/>
    <w:rsid w:val="00191644"/>
    <w:rsid w:val="00191659"/>
    <w:rsid w:val="00191678"/>
    <w:rsid w:val="001916A2"/>
    <w:rsid w:val="001916C4"/>
    <w:rsid w:val="001916E1"/>
    <w:rsid w:val="00191734"/>
    <w:rsid w:val="001917EF"/>
    <w:rsid w:val="00191883"/>
    <w:rsid w:val="00191999"/>
    <w:rsid w:val="001919A1"/>
    <w:rsid w:val="001919F8"/>
    <w:rsid w:val="00191A5C"/>
    <w:rsid w:val="00191A60"/>
    <w:rsid w:val="00191AA3"/>
    <w:rsid w:val="00191BEB"/>
    <w:rsid w:val="00191CF7"/>
    <w:rsid w:val="00191CFA"/>
    <w:rsid w:val="00191D18"/>
    <w:rsid w:val="00191DAE"/>
    <w:rsid w:val="00191E19"/>
    <w:rsid w:val="00191EA8"/>
    <w:rsid w:val="00191F41"/>
    <w:rsid w:val="00191FA0"/>
    <w:rsid w:val="00191FB1"/>
    <w:rsid w:val="001920B3"/>
    <w:rsid w:val="0019213B"/>
    <w:rsid w:val="0019216C"/>
    <w:rsid w:val="001921CD"/>
    <w:rsid w:val="0019227F"/>
    <w:rsid w:val="0019229A"/>
    <w:rsid w:val="00192317"/>
    <w:rsid w:val="0019236B"/>
    <w:rsid w:val="0019236C"/>
    <w:rsid w:val="0019238D"/>
    <w:rsid w:val="00192398"/>
    <w:rsid w:val="001923ED"/>
    <w:rsid w:val="00192429"/>
    <w:rsid w:val="00192480"/>
    <w:rsid w:val="001924AF"/>
    <w:rsid w:val="0019262A"/>
    <w:rsid w:val="00192689"/>
    <w:rsid w:val="001926A1"/>
    <w:rsid w:val="001926A4"/>
    <w:rsid w:val="001926DC"/>
    <w:rsid w:val="001926E3"/>
    <w:rsid w:val="0019274C"/>
    <w:rsid w:val="00192755"/>
    <w:rsid w:val="001927BD"/>
    <w:rsid w:val="001928A4"/>
    <w:rsid w:val="0019295F"/>
    <w:rsid w:val="00192971"/>
    <w:rsid w:val="0019297B"/>
    <w:rsid w:val="00192988"/>
    <w:rsid w:val="001929A3"/>
    <w:rsid w:val="00192A1C"/>
    <w:rsid w:val="00192AA5"/>
    <w:rsid w:val="00192AB8"/>
    <w:rsid w:val="00192AFF"/>
    <w:rsid w:val="00192B09"/>
    <w:rsid w:val="00192C07"/>
    <w:rsid w:val="00192C36"/>
    <w:rsid w:val="00192CAE"/>
    <w:rsid w:val="00192CC2"/>
    <w:rsid w:val="00192D26"/>
    <w:rsid w:val="00192DB7"/>
    <w:rsid w:val="00192DD1"/>
    <w:rsid w:val="00192DED"/>
    <w:rsid w:val="00192ECF"/>
    <w:rsid w:val="00192FB0"/>
    <w:rsid w:val="00192FFE"/>
    <w:rsid w:val="0019309B"/>
    <w:rsid w:val="0019314F"/>
    <w:rsid w:val="00193328"/>
    <w:rsid w:val="0019332D"/>
    <w:rsid w:val="0019336F"/>
    <w:rsid w:val="0019337D"/>
    <w:rsid w:val="00193385"/>
    <w:rsid w:val="00193436"/>
    <w:rsid w:val="00193454"/>
    <w:rsid w:val="00193489"/>
    <w:rsid w:val="00193606"/>
    <w:rsid w:val="00193690"/>
    <w:rsid w:val="001936D5"/>
    <w:rsid w:val="00193774"/>
    <w:rsid w:val="00193796"/>
    <w:rsid w:val="00193841"/>
    <w:rsid w:val="00193848"/>
    <w:rsid w:val="00193882"/>
    <w:rsid w:val="001938F9"/>
    <w:rsid w:val="00193916"/>
    <w:rsid w:val="001939EB"/>
    <w:rsid w:val="00193AC7"/>
    <w:rsid w:val="00193BB9"/>
    <w:rsid w:val="00193C25"/>
    <w:rsid w:val="00193C61"/>
    <w:rsid w:val="00193C70"/>
    <w:rsid w:val="00193DC5"/>
    <w:rsid w:val="00193DF4"/>
    <w:rsid w:val="00193EB0"/>
    <w:rsid w:val="00193ED2"/>
    <w:rsid w:val="00194001"/>
    <w:rsid w:val="00194133"/>
    <w:rsid w:val="0019418C"/>
    <w:rsid w:val="0019418F"/>
    <w:rsid w:val="0019419A"/>
    <w:rsid w:val="001941F1"/>
    <w:rsid w:val="0019431E"/>
    <w:rsid w:val="001943C3"/>
    <w:rsid w:val="001943C6"/>
    <w:rsid w:val="001943C8"/>
    <w:rsid w:val="001943FC"/>
    <w:rsid w:val="00194569"/>
    <w:rsid w:val="001945B4"/>
    <w:rsid w:val="001946B4"/>
    <w:rsid w:val="001946F3"/>
    <w:rsid w:val="00194745"/>
    <w:rsid w:val="0019474B"/>
    <w:rsid w:val="001947F6"/>
    <w:rsid w:val="0019487A"/>
    <w:rsid w:val="001948F5"/>
    <w:rsid w:val="00194940"/>
    <w:rsid w:val="00194990"/>
    <w:rsid w:val="001949A9"/>
    <w:rsid w:val="00194A2C"/>
    <w:rsid w:val="00194ABB"/>
    <w:rsid w:val="00194AE4"/>
    <w:rsid w:val="00194BDD"/>
    <w:rsid w:val="00194BE2"/>
    <w:rsid w:val="00194C3B"/>
    <w:rsid w:val="00194CB9"/>
    <w:rsid w:val="00194D21"/>
    <w:rsid w:val="00194D72"/>
    <w:rsid w:val="00194DFC"/>
    <w:rsid w:val="00194E79"/>
    <w:rsid w:val="00194E84"/>
    <w:rsid w:val="00194EF0"/>
    <w:rsid w:val="00194F00"/>
    <w:rsid w:val="00194F3C"/>
    <w:rsid w:val="00194F5E"/>
    <w:rsid w:val="00195002"/>
    <w:rsid w:val="00195052"/>
    <w:rsid w:val="001950AA"/>
    <w:rsid w:val="001950D9"/>
    <w:rsid w:val="00195164"/>
    <w:rsid w:val="00195214"/>
    <w:rsid w:val="00195251"/>
    <w:rsid w:val="00195319"/>
    <w:rsid w:val="0019531E"/>
    <w:rsid w:val="0019533B"/>
    <w:rsid w:val="00195356"/>
    <w:rsid w:val="0019535D"/>
    <w:rsid w:val="00195361"/>
    <w:rsid w:val="00195364"/>
    <w:rsid w:val="00195383"/>
    <w:rsid w:val="00195396"/>
    <w:rsid w:val="00195413"/>
    <w:rsid w:val="00195428"/>
    <w:rsid w:val="0019545E"/>
    <w:rsid w:val="00195465"/>
    <w:rsid w:val="00195501"/>
    <w:rsid w:val="00195568"/>
    <w:rsid w:val="0019558C"/>
    <w:rsid w:val="00195592"/>
    <w:rsid w:val="00195667"/>
    <w:rsid w:val="00195733"/>
    <w:rsid w:val="0019577B"/>
    <w:rsid w:val="001957A3"/>
    <w:rsid w:val="00195810"/>
    <w:rsid w:val="0019584C"/>
    <w:rsid w:val="00195862"/>
    <w:rsid w:val="00195904"/>
    <w:rsid w:val="00195940"/>
    <w:rsid w:val="00195979"/>
    <w:rsid w:val="001959A8"/>
    <w:rsid w:val="001959E6"/>
    <w:rsid w:val="00195A2F"/>
    <w:rsid w:val="00195AA2"/>
    <w:rsid w:val="00195B71"/>
    <w:rsid w:val="00195BDF"/>
    <w:rsid w:val="00195C32"/>
    <w:rsid w:val="00195C86"/>
    <w:rsid w:val="00195C93"/>
    <w:rsid w:val="00195CA8"/>
    <w:rsid w:val="00195CB2"/>
    <w:rsid w:val="00195CEB"/>
    <w:rsid w:val="00195D02"/>
    <w:rsid w:val="00195DD7"/>
    <w:rsid w:val="00195DF3"/>
    <w:rsid w:val="00195F3C"/>
    <w:rsid w:val="00195F93"/>
    <w:rsid w:val="0019603D"/>
    <w:rsid w:val="0019604D"/>
    <w:rsid w:val="0019607B"/>
    <w:rsid w:val="001961E8"/>
    <w:rsid w:val="00196265"/>
    <w:rsid w:val="00196270"/>
    <w:rsid w:val="001962BF"/>
    <w:rsid w:val="001963B6"/>
    <w:rsid w:val="0019643C"/>
    <w:rsid w:val="00196466"/>
    <w:rsid w:val="001964DC"/>
    <w:rsid w:val="001965B8"/>
    <w:rsid w:val="001965CA"/>
    <w:rsid w:val="00196665"/>
    <w:rsid w:val="001967F8"/>
    <w:rsid w:val="0019682D"/>
    <w:rsid w:val="00196876"/>
    <w:rsid w:val="001968DC"/>
    <w:rsid w:val="00196966"/>
    <w:rsid w:val="001969A0"/>
    <w:rsid w:val="001969B0"/>
    <w:rsid w:val="001969F6"/>
    <w:rsid w:val="00196BF8"/>
    <w:rsid w:val="00196C4E"/>
    <w:rsid w:val="00196C61"/>
    <w:rsid w:val="00196C8C"/>
    <w:rsid w:val="00196D97"/>
    <w:rsid w:val="00196DA3"/>
    <w:rsid w:val="00196E06"/>
    <w:rsid w:val="00196F65"/>
    <w:rsid w:val="00196FA0"/>
    <w:rsid w:val="00196FB3"/>
    <w:rsid w:val="0019703F"/>
    <w:rsid w:val="001970CF"/>
    <w:rsid w:val="001970F9"/>
    <w:rsid w:val="00197150"/>
    <w:rsid w:val="0019715F"/>
    <w:rsid w:val="00197266"/>
    <w:rsid w:val="0019733A"/>
    <w:rsid w:val="00197350"/>
    <w:rsid w:val="00197381"/>
    <w:rsid w:val="00197440"/>
    <w:rsid w:val="0019751E"/>
    <w:rsid w:val="0019751F"/>
    <w:rsid w:val="00197566"/>
    <w:rsid w:val="001975A7"/>
    <w:rsid w:val="001975AF"/>
    <w:rsid w:val="00197729"/>
    <w:rsid w:val="00197842"/>
    <w:rsid w:val="00197993"/>
    <w:rsid w:val="00197A2A"/>
    <w:rsid w:val="00197AB8"/>
    <w:rsid w:val="00197B57"/>
    <w:rsid w:val="00197B67"/>
    <w:rsid w:val="00197C9B"/>
    <w:rsid w:val="00197CCA"/>
    <w:rsid w:val="00197DC6"/>
    <w:rsid w:val="00197DFE"/>
    <w:rsid w:val="00197E60"/>
    <w:rsid w:val="00197F1D"/>
    <w:rsid w:val="00197FE4"/>
    <w:rsid w:val="001A001B"/>
    <w:rsid w:val="001A0114"/>
    <w:rsid w:val="001A013C"/>
    <w:rsid w:val="001A0198"/>
    <w:rsid w:val="001A01CC"/>
    <w:rsid w:val="001A0239"/>
    <w:rsid w:val="001A0254"/>
    <w:rsid w:val="001A02BD"/>
    <w:rsid w:val="001A02CA"/>
    <w:rsid w:val="001A039B"/>
    <w:rsid w:val="001A046B"/>
    <w:rsid w:val="001A0544"/>
    <w:rsid w:val="001A055C"/>
    <w:rsid w:val="001A0584"/>
    <w:rsid w:val="001A05EA"/>
    <w:rsid w:val="001A0766"/>
    <w:rsid w:val="001A078E"/>
    <w:rsid w:val="001A07BF"/>
    <w:rsid w:val="001A07D2"/>
    <w:rsid w:val="001A0838"/>
    <w:rsid w:val="001A089F"/>
    <w:rsid w:val="001A08DD"/>
    <w:rsid w:val="001A093D"/>
    <w:rsid w:val="001A094D"/>
    <w:rsid w:val="001A0993"/>
    <w:rsid w:val="001A0994"/>
    <w:rsid w:val="001A09F5"/>
    <w:rsid w:val="001A0A48"/>
    <w:rsid w:val="001A0A62"/>
    <w:rsid w:val="001A0B1A"/>
    <w:rsid w:val="001A0B45"/>
    <w:rsid w:val="001A0C24"/>
    <w:rsid w:val="001A0C53"/>
    <w:rsid w:val="001A0D2D"/>
    <w:rsid w:val="001A0D65"/>
    <w:rsid w:val="001A0E6C"/>
    <w:rsid w:val="001A0EE4"/>
    <w:rsid w:val="001A0EED"/>
    <w:rsid w:val="001A0F68"/>
    <w:rsid w:val="001A0F75"/>
    <w:rsid w:val="001A0FF4"/>
    <w:rsid w:val="001A100D"/>
    <w:rsid w:val="001A10AC"/>
    <w:rsid w:val="001A1180"/>
    <w:rsid w:val="001A1266"/>
    <w:rsid w:val="001A1293"/>
    <w:rsid w:val="001A1362"/>
    <w:rsid w:val="001A137A"/>
    <w:rsid w:val="001A13D2"/>
    <w:rsid w:val="001A1435"/>
    <w:rsid w:val="001A145C"/>
    <w:rsid w:val="001A14E3"/>
    <w:rsid w:val="001A1578"/>
    <w:rsid w:val="001A158D"/>
    <w:rsid w:val="001A16F1"/>
    <w:rsid w:val="001A16FE"/>
    <w:rsid w:val="001A1784"/>
    <w:rsid w:val="001A17E9"/>
    <w:rsid w:val="001A186D"/>
    <w:rsid w:val="001A1880"/>
    <w:rsid w:val="001A1A8C"/>
    <w:rsid w:val="001A1A97"/>
    <w:rsid w:val="001A1AB3"/>
    <w:rsid w:val="001A1BDB"/>
    <w:rsid w:val="001A1C69"/>
    <w:rsid w:val="001A1C93"/>
    <w:rsid w:val="001A1C96"/>
    <w:rsid w:val="001A1CD0"/>
    <w:rsid w:val="001A1EC5"/>
    <w:rsid w:val="001A1FC8"/>
    <w:rsid w:val="001A2015"/>
    <w:rsid w:val="001A2026"/>
    <w:rsid w:val="001A2042"/>
    <w:rsid w:val="001A20E7"/>
    <w:rsid w:val="001A2137"/>
    <w:rsid w:val="001A2158"/>
    <w:rsid w:val="001A21F4"/>
    <w:rsid w:val="001A2226"/>
    <w:rsid w:val="001A223A"/>
    <w:rsid w:val="001A230C"/>
    <w:rsid w:val="001A2315"/>
    <w:rsid w:val="001A2323"/>
    <w:rsid w:val="001A234D"/>
    <w:rsid w:val="001A242F"/>
    <w:rsid w:val="001A246E"/>
    <w:rsid w:val="001A2542"/>
    <w:rsid w:val="001A257E"/>
    <w:rsid w:val="001A2593"/>
    <w:rsid w:val="001A25FE"/>
    <w:rsid w:val="001A2672"/>
    <w:rsid w:val="001A267C"/>
    <w:rsid w:val="001A2681"/>
    <w:rsid w:val="001A26CC"/>
    <w:rsid w:val="001A26F1"/>
    <w:rsid w:val="001A271A"/>
    <w:rsid w:val="001A2746"/>
    <w:rsid w:val="001A27F0"/>
    <w:rsid w:val="001A2816"/>
    <w:rsid w:val="001A281A"/>
    <w:rsid w:val="001A283F"/>
    <w:rsid w:val="001A287F"/>
    <w:rsid w:val="001A28F5"/>
    <w:rsid w:val="001A2996"/>
    <w:rsid w:val="001A299C"/>
    <w:rsid w:val="001A2AB3"/>
    <w:rsid w:val="001A2AB4"/>
    <w:rsid w:val="001A2AB8"/>
    <w:rsid w:val="001A2AD8"/>
    <w:rsid w:val="001A2C2C"/>
    <w:rsid w:val="001A2CCB"/>
    <w:rsid w:val="001A2CD2"/>
    <w:rsid w:val="001A2CE1"/>
    <w:rsid w:val="001A2D04"/>
    <w:rsid w:val="001A2D63"/>
    <w:rsid w:val="001A2D6D"/>
    <w:rsid w:val="001A2DC0"/>
    <w:rsid w:val="001A2DE8"/>
    <w:rsid w:val="001A2E11"/>
    <w:rsid w:val="001A2EA7"/>
    <w:rsid w:val="001A2F13"/>
    <w:rsid w:val="001A2F5B"/>
    <w:rsid w:val="001A2FEC"/>
    <w:rsid w:val="001A300B"/>
    <w:rsid w:val="001A3090"/>
    <w:rsid w:val="001A3117"/>
    <w:rsid w:val="001A31F3"/>
    <w:rsid w:val="001A324A"/>
    <w:rsid w:val="001A3283"/>
    <w:rsid w:val="001A32E2"/>
    <w:rsid w:val="001A334A"/>
    <w:rsid w:val="001A3370"/>
    <w:rsid w:val="001A33C9"/>
    <w:rsid w:val="001A33F5"/>
    <w:rsid w:val="001A347B"/>
    <w:rsid w:val="001A3480"/>
    <w:rsid w:val="001A34B3"/>
    <w:rsid w:val="001A351F"/>
    <w:rsid w:val="001A3562"/>
    <w:rsid w:val="001A358B"/>
    <w:rsid w:val="001A362C"/>
    <w:rsid w:val="001A3667"/>
    <w:rsid w:val="001A36E0"/>
    <w:rsid w:val="001A36F3"/>
    <w:rsid w:val="001A371A"/>
    <w:rsid w:val="001A376B"/>
    <w:rsid w:val="001A3824"/>
    <w:rsid w:val="001A384A"/>
    <w:rsid w:val="001A38C0"/>
    <w:rsid w:val="001A3935"/>
    <w:rsid w:val="001A396B"/>
    <w:rsid w:val="001A39F4"/>
    <w:rsid w:val="001A3A09"/>
    <w:rsid w:val="001A3AF0"/>
    <w:rsid w:val="001A3B74"/>
    <w:rsid w:val="001A3BB7"/>
    <w:rsid w:val="001A3C1F"/>
    <w:rsid w:val="001A3C47"/>
    <w:rsid w:val="001A3C9B"/>
    <w:rsid w:val="001A3CF5"/>
    <w:rsid w:val="001A3CFF"/>
    <w:rsid w:val="001A3DDE"/>
    <w:rsid w:val="001A3E30"/>
    <w:rsid w:val="001A3E34"/>
    <w:rsid w:val="001A3E5E"/>
    <w:rsid w:val="001A3F0C"/>
    <w:rsid w:val="001A3F77"/>
    <w:rsid w:val="001A40BA"/>
    <w:rsid w:val="001A410C"/>
    <w:rsid w:val="001A411E"/>
    <w:rsid w:val="001A4147"/>
    <w:rsid w:val="001A4192"/>
    <w:rsid w:val="001A4196"/>
    <w:rsid w:val="001A4251"/>
    <w:rsid w:val="001A425A"/>
    <w:rsid w:val="001A42E8"/>
    <w:rsid w:val="001A430D"/>
    <w:rsid w:val="001A43C8"/>
    <w:rsid w:val="001A44D0"/>
    <w:rsid w:val="001A4538"/>
    <w:rsid w:val="001A4618"/>
    <w:rsid w:val="001A4619"/>
    <w:rsid w:val="001A477D"/>
    <w:rsid w:val="001A47A7"/>
    <w:rsid w:val="001A48A7"/>
    <w:rsid w:val="001A48FF"/>
    <w:rsid w:val="001A49B9"/>
    <w:rsid w:val="001A49FE"/>
    <w:rsid w:val="001A4A17"/>
    <w:rsid w:val="001A4AF0"/>
    <w:rsid w:val="001A4AFA"/>
    <w:rsid w:val="001A4B39"/>
    <w:rsid w:val="001A4B81"/>
    <w:rsid w:val="001A4BBC"/>
    <w:rsid w:val="001A4BCB"/>
    <w:rsid w:val="001A4C5E"/>
    <w:rsid w:val="001A4C81"/>
    <w:rsid w:val="001A4D16"/>
    <w:rsid w:val="001A4E05"/>
    <w:rsid w:val="001A4E87"/>
    <w:rsid w:val="001A4E8A"/>
    <w:rsid w:val="001A4F1F"/>
    <w:rsid w:val="001A4F66"/>
    <w:rsid w:val="001A4FDA"/>
    <w:rsid w:val="001A501B"/>
    <w:rsid w:val="001A501C"/>
    <w:rsid w:val="001A501D"/>
    <w:rsid w:val="001A5059"/>
    <w:rsid w:val="001A5078"/>
    <w:rsid w:val="001A5083"/>
    <w:rsid w:val="001A50C4"/>
    <w:rsid w:val="001A515A"/>
    <w:rsid w:val="001A5180"/>
    <w:rsid w:val="001A51B2"/>
    <w:rsid w:val="001A5217"/>
    <w:rsid w:val="001A5226"/>
    <w:rsid w:val="001A525E"/>
    <w:rsid w:val="001A5285"/>
    <w:rsid w:val="001A529D"/>
    <w:rsid w:val="001A53AC"/>
    <w:rsid w:val="001A53D8"/>
    <w:rsid w:val="001A5451"/>
    <w:rsid w:val="001A548F"/>
    <w:rsid w:val="001A5679"/>
    <w:rsid w:val="001A5699"/>
    <w:rsid w:val="001A56B4"/>
    <w:rsid w:val="001A56DD"/>
    <w:rsid w:val="001A5714"/>
    <w:rsid w:val="001A5732"/>
    <w:rsid w:val="001A578E"/>
    <w:rsid w:val="001A582D"/>
    <w:rsid w:val="001A583D"/>
    <w:rsid w:val="001A58CA"/>
    <w:rsid w:val="001A58E7"/>
    <w:rsid w:val="001A58FA"/>
    <w:rsid w:val="001A5A2F"/>
    <w:rsid w:val="001A5AFC"/>
    <w:rsid w:val="001A5B24"/>
    <w:rsid w:val="001A5B46"/>
    <w:rsid w:val="001A5BF5"/>
    <w:rsid w:val="001A5C58"/>
    <w:rsid w:val="001A5CDA"/>
    <w:rsid w:val="001A5CF3"/>
    <w:rsid w:val="001A5D52"/>
    <w:rsid w:val="001A5DC1"/>
    <w:rsid w:val="001A5DE1"/>
    <w:rsid w:val="001A5DE8"/>
    <w:rsid w:val="001A5EF3"/>
    <w:rsid w:val="001A5F02"/>
    <w:rsid w:val="001A5F21"/>
    <w:rsid w:val="001A5F2F"/>
    <w:rsid w:val="001A5F98"/>
    <w:rsid w:val="001A5FC2"/>
    <w:rsid w:val="001A5FF1"/>
    <w:rsid w:val="001A60CB"/>
    <w:rsid w:val="001A6166"/>
    <w:rsid w:val="001A6194"/>
    <w:rsid w:val="001A61AA"/>
    <w:rsid w:val="001A61FA"/>
    <w:rsid w:val="001A6209"/>
    <w:rsid w:val="001A62FC"/>
    <w:rsid w:val="001A6366"/>
    <w:rsid w:val="001A64A7"/>
    <w:rsid w:val="001A64E3"/>
    <w:rsid w:val="001A671B"/>
    <w:rsid w:val="001A685E"/>
    <w:rsid w:val="001A6900"/>
    <w:rsid w:val="001A6942"/>
    <w:rsid w:val="001A6985"/>
    <w:rsid w:val="001A6AE0"/>
    <w:rsid w:val="001A6BEA"/>
    <w:rsid w:val="001A6C8C"/>
    <w:rsid w:val="001A6D4A"/>
    <w:rsid w:val="001A6E9C"/>
    <w:rsid w:val="001A6EC3"/>
    <w:rsid w:val="001A6F38"/>
    <w:rsid w:val="001A6F8E"/>
    <w:rsid w:val="001A6F9A"/>
    <w:rsid w:val="001A6FBD"/>
    <w:rsid w:val="001A70D8"/>
    <w:rsid w:val="001A7221"/>
    <w:rsid w:val="001A722B"/>
    <w:rsid w:val="001A729F"/>
    <w:rsid w:val="001A72AC"/>
    <w:rsid w:val="001A7394"/>
    <w:rsid w:val="001A73D0"/>
    <w:rsid w:val="001A7522"/>
    <w:rsid w:val="001A752E"/>
    <w:rsid w:val="001A7697"/>
    <w:rsid w:val="001A7783"/>
    <w:rsid w:val="001A7810"/>
    <w:rsid w:val="001A7821"/>
    <w:rsid w:val="001A791A"/>
    <w:rsid w:val="001A796B"/>
    <w:rsid w:val="001A798D"/>
    <w:rsid w:val="001A79BE"/>
    <w:rsid w:val="001A7B3B"/>
    <w:rsid w:val="001A7B5F"/>
    <w:rsid w:val="001A7B74"/>
    <w:rsid w:val="001A7D08"/>
    <w:rsid w:val="001A7D3E"/>
    <w:rsid w:val="001A7D63"/>
    <w:rsid w:val="001A7E04"/>
    <w:rsid w:val="001A7E4D"/>
    <w:rsid w:val="001A7E6B"/>
    <w:rsid w:val="001A7E8D"/>
    <w:rsid w:val="001A7F01"/>
    <w:rsid w:val="001A7F09"/>
    <w:rsid w:val="001A7F54"/>
    <w:rsid w:val="001A7FC1"/>
    <w:rsid w:val="001B00F6"/>
    <w:rsid w:val="001B00FA"/>
    <w:rsid w:val="001B011A"/>
    <w:rsid w:val="001B0134"/>
    <w:rsid w:val="001B014D"/>
    <w:rsid w:val="001B0161"/>
    <w:rsid w:val="001B016C"/>
    <w:rsid w:val="001B0175"/>
    <w:rsid w:val="001B0177"/>
    <w:rsid w:val="001B017A"/>
    <w:rsid w:val="001B017F"/>
    <w:rsid w:val="001B027C"/>
    <w:rsid w:val="001B02CE"/>
    <w:rsid w:val="001B0380"/>
    <w:rsid w:val="001B03E8"/>
    <w:rsid w:val="001B0402"/>
    <w:rsid w:val="001B0537"/>
    <w:rsid w:val="001B0580"/>
    <w:rsid w:val="001B0628"/>
    <w:rsid w:val="001B0632"/>
    <w:rsid w:val="001B0640"/>
    <w:rsid w:val="001B0689"/>
    <w:rsid w:val="001B070C"/>
    <w:rsid w:val="001B070F"/>
    <w:rsid w:val="001B07DC"/>
    <w:rsid w:val="001B080B"/>
    <w:rsid w:val="001B082C"/>
    <w:rsid w:val="001B08D9"/>
    <w:rsid w:val="001B0937"/>
    <w:rsid w:val="001B095D"/>
    <w:rsid w:val="001B098D"/>
    <w:rsid w:val="001B0A70"/>
    <w:rsid w:val="001B0A78"/>
    <w:rsid w:val="001B0AC9"/>
    <w:rsid w:val="001B0B33"/>
    <w:rsid w:val="001B0B47"/>
    <w:rsid w:val="001B0B76"/>
    <w:rsid w:val="001B0BAF"/>
    <w:rsid w:val="001B0BBA"/>
    <w:rsid w:val="001B0BED"/>
    <w:rsid w:val="001B0BFB"/>
    <w:rsid w:val="001B0C76"/>
    <w:rsid w:val="001B0CE8"/>
    <w:rsid w:val="001B0D9D"/>
    <w:rsid w:val="001B0DBB"/>
    <w:rsid w:val="001B0E4F"/>
    <w:rsid w:val="001B0EB4"/>
    <w:rsid w:val="001B0ECF"/>
    <w:rsid w:val="001B0EFC"/>
    <w:rsid w:val="001B0F98"/>
    <w:rsid w:val="001B11FB"/>
    <w:rsid w:val="001B1297"/>
    <w:rsid w:val="001B12BB"/>
    <w:rsid w:val="001B12CB"/>
    <w:rsid w:val="001B1345"/>
    <w:rsid w:val="001B137E"/>
    <w:rsid w:val="001B1381"/>
    <w:rsid w:val="001B13F4"/>
    <w:rsid w:val="001B1568"/>
    <w:rsid w:val="001B1580"/>
    <w:rsid w:val="001B164C"/>
    <w:rsid w:val="001B1659"/>
    <w:rsid w:val="001B169B"/>
    <w:rsid w:val="001B18A1"/>
    <w:rsid w:val="001B18FB"/>
    <w:rsid w:val="001B18FF"/>
    <w:rsid w:val="001B19B7"/>
    <w:rsid w:val="001B1A60"/>
    <w:rsid w:val="001B1A77"/>
    <w:rsid w:val="001B1A7C"/>
    <w:rsid w:val="001B1A9D"/>
    <w:rsid w:val="001B1AFB"/>
    <w:rsid w:val="001B1B6B"/>
    <w:rsid w:val="001B1BFE"/>
    <w:rsid w:val="001B1C12"/>
    <w:rsid w:val="001B1C8D"/>
    <w:rsid w:val="001B1D9C"/>
    <w:rsid w:val="001B1DAB"/>
    <w:rsid w:val="001B1EB2"/>
    <w:rsid w:val="001B1FE3"/>
    <w:rsid w:val="001B2060"/>
    <w:rsid w:val="001B207E"/>
    <w:rsid w:val="001B207F"/>
    <w:rsid w:val="001B20D9"/>
    <w:rsid w:val="001B214B"/>
    <w:rsid w:val="001B228A"/>
    <w:rsid w:val="001B228E"/>
    <w:rsid w:val="001B22CE"/>
    <w:rsid w:val="001B232E"/>
    <w:rsid w:val="001B2395"/>
    <w:rsid w:val="001B2398"/>
    <w:rsid w:val="001B2490"/>
    <w:rsid w:val="001B249F"/>
    <w:rsid w:val="001B24B2"/>
    <w:rsid w:val="001B24C4"/>
    <w:rsid w:val="001B2560"/>
    <w:rsid w:val="001B25B1"/>
    <w:rsid w:val="001B26DB"/>
    <w:rsid w:val="001B2763"/>
    <w:rsid w:val="001B2785"/>
    <w:rsid w:val="001B27C8"/>
    <w:rsid w:val="001B28E8"/>
    <w:rsid w:val="001B2946"/>
    <w:rsid w:val="001B2959"/>
    <w:rsid w:val="001B29EE"/>
    <w:rsid w:val="001B29FE"/>
    <w:rsid w:val="001B2A24"/>
    <w:rsid w:val="001B2A35"/>
    <w:rsid w:val="001B2A38"/>
    <w:rsid w:val="001B2B52"/>
    <w:rsid w:val="001B2B53"/>
    <w:rsid w:val="001B2BC8"/>
    <w:rsid w:val="001B2C0B"/>
    <w:rsid w:val="001B2C0F"/>
    <w:rsid w:val="001B2C36"/>
    <w:rsid w:val="001B2CCC"/>
    <w:rsid w:val="001B2D7B"/>
    <w:rsid w:val="001B2DBC"/>
    <w:rsid w:val="001B2E3C"/>
    <w:rsid w:val="001B2E7D"/>
    <w:rsid w:val="001B2EAA"/>
    <w:rsid w:val="001B2F13"/>
    <w:rsid w:val="001B2F82"/>
    <w:rsid w:val="001B3082"/>
    <w:rsid w:val="001B30AB"/>
    <w:rsid w:val="001B325E"/>
    <w:rsid w:val="001B32B3"/>
    <w:rsid w:val="001B3337"/>
    <w:rsid w:val="001B3352"/>
    <w:rsid w:val="001B342B"/>
    <w:rsid w:val="001B3484"/>
    <w:rsid w:val="001B34C4"/>
    <w:rsid w:val="001B3504"/>
    <w:rsid w:val="001B3539"/>
    <w:rsid w:val="001B359E"/>
    <w:rsid w:val="001B35BC"/>
    <w:rsid w:val="001B35BD"/>
    <w:rsid w:val="001B3621"/>
    <w:rsid w:val="001B3634"/>
    <w:rsid w:val="001B3737"/>
    <w:rsid w:val="001B37CF"/>
    <w:rsid w:val="001B38A7"/>
    <w:rsid w:val="001B38B9"/>
    <w:rsid w:val="001B38D1"/>
    <w:rsid w:val="001B3921"/>
    <w:rsid w:val="001B396A"/>
    <w:rsid w:val="001B398F"/>
    <w:rsid w:val="001B3997"/>
    <w:rsid w:val="001B39EF"/>
    <w:rsid w:val="001B3A29"/>
    <w:rsid w:val="001B3A5F"/>
    <w:rsid w:val="001B3A64"/>
    <w:rsid w:val="001B3BA2"/>
    <w:rsid w:val="001B3BBA"/>
    <w:rsid w:val="001B3C2F"/>
    <w:rsid w:val="001B3C52"/>
    <w:rsid w:val="001B3CEC"/>
    <w:rsid w:val="001B3D3A"/>
    <w:rsid w:val="001B3D52"/>
    <w:rsid w:val="001B3DA4"/>
    <w:rsid w:val="001B3ECF"/>
    <w:rsid w:val="001B3ED4"/>
    <w:rsid w:val="001B3EF3"/>
    <w:rsid w:val="001B3F35"/>
    <w:rsid w:val="001B3F8F"/>
    <w:rsid w:val="001B3FD6"/>
    <w:rsid w:val="001B3FED"/>
    <w:rsid w:val="001B41DB"/>
    <w:rsid w:val="001B421D"/>
    <w:rsid w:val="001B4232"/>
    <w:rsid w:val="001B42E3"/>
    <w:rsid w:val="001B42F6"/>
    <w:rsid w:val="001B4302"/>
    <w:rsid w:val="001B431B"/>
    <w:rsid w:val="001B438C"/>
    <w:rsid w:val="001B4423"/>
    <w:rsid w:val="001B4466"/>
    <w:rsid w:val="001B4478"/>
    <w:rsid w:val="001B448D"/>
    <w:rsid w:val="001B4503"/>
    <w:rsid w:val="001B45B7"/>
    <w:rsid w:val="001B4640"/>
    <w:rsid w:val="001B4674"/>
    <w:rsid w:val="001B46FA"/>
    <w:rsid w:val="001B47F4"/>
    <w:rsid w:val="001B4821"/>
    <w:rsid w:val="001B484E"/>
    <w:rsid w:val="001B48A3"/>
    <w:rsid w:val="001B490C"/>
    <w:rsid w:val="001B4962"/>
    <w:rsid w:val="001B4B20"/>
    <w:rsid w:val="001B4B52"/>
    <w:rsid w:val="001B4C3D"/>
    <w:rsid w:val="001B4C84"/>
    <w:rsid w:val="001B4CE4"/>
    <w:rsid w:val="001B4CE8"/>
    <w:rsid w:val="001B4D18"/>
    <w:rsid w:val="001B4D65"/>
    <w:rsid w:val="001B4DCB"/>
    <w:rsid w:val="001B4DF0"/>
    <w:rsid w:val="001B4E28"/>
    <w:rsid w:val="001B4EBF"/>
    <w:rsid w:val="001B4F51"/>
    <w:rsid w:val="001B5026"/>
    <w:rsid w:val="001B50BA"/>
    <w:rsid w:val="001B50C6"/>
    <w:rsid w:val="001B50D9"/>
    <w:rsid w:val="001B51E1"/>
    <w:rsid w:val="001B5266"/>
    <w:rsid w:val="001B532D"/>
    <w:rsid w:val="001B5374"/>
    <w:rsid w:val="001B5477"/>
    <w:rsid w:val="001B5479"/>
    <w:rsid w:val="001B54D7"/>
    <w:rsid w:val="001B54F7"/>
    <w:rsid w:val="001B5580"/>
    <w:rsid w:val="001B55CE"/>
    <w:rsid w:val="001B562B"/>
    <w:rsid w:val="001B56D4"/>
    <w:rsid w:val="001B57BC"/>
    <w:rsid w:val="001B5859"/>
    <w:rsid w:val="001B58B7"/>
    <w:rsid w:val="001B58D7"/>
    <w:rsid w:val="001B58E5"/>
    <w:rsid w:val="001B5958"/>
    <w:rsid w:val="001B5981"/>
    <w:rsid w:val="001B5A6C"/>
    <w:rsid w:val="001B5AD7"/>
    <w:rsid w:val="001B5B07"/>
    <w:rsid w:val="001B5B23"/>
    <w:rsid w:val="001B5C19"/>
    <w:rsid w:val="001B5C2B"/>
    <w:rsid w:val="001B5D32"/>
    <w:rsid w:val="001B5D5E"/>
    <w:rsid w:val="001B5DC9"/>
    <w:rsid w:val="001B5EEC"/>
    <w:rsid w:val="001B5F04"/>
    <w:rsid w:val="001B5F3A"/>
    <w:rsid w:val="001B5F3F"/>
    <w:rsid w:val="001B5F6F"/>
    <w:rsid w:val="001B601A"/>
    <w:rsid w:val="001B6038"/>
    <w:rsid w:val="001B6071"/>
    <w:rsid w:val="001B6082"/>
    <w:rsid w:val="001B60E0"/>
    <w:rsid w:val="001B610F"/>
    <w:rsid w:val="001B622B"/>
    <w:rsid w:val="001B62D3"/>
    <w:rsid w:val="001B62EB"/>
    <w:rsid w:val="001B6328"/>
    <w:rsid w:val="001B650C"/>
    <w:rsid w:val="001B650F"/>
    <w:rsid w:val="001B65E9"/>
    <w:rsid w:val="001B664A"/>
    <w:rsid w:val="001B667E"/>
    <w:rsid w:val="001B671A"/>
    <w:rsid w:val="001B690A"/>
    <w:rsid w:val="001B6920"/>
    <w:rsid w:val="001B6938"/>
    <w:rsid w:val="001B6984"/>
    <w:rsid w:val="001B69C4"/>
    <w:rsid w:val="001B69D5"/>
    <w:rsid w:val="001B69F0"/>
    <w:rsid w:val="001B6A02"/>
    <w:rsid w:val="001B6A06"/>
    <w:rsid w:val="001B6A60"/>
    <w:rsid w:val="001B6AA4"/>
    <w:rsid w:val="001B6ABD"/>
    <w:rsid w:val="001B6B38"/>
    <w:rsid w:val="001B6B3D"/>
    <w:rsid w:val="001B6B40"/>
    <w:rsid w:val="001B6B44"/>
    <w:rsid w:val="001B6B6B"/>
    <w:rsid w:val="001B6C02"/>
    <w:rsid w:val="001B6C10"/>
    <w:rsid w:val="001B6CB2"/>
    <w:rsid w:val="001B6D4F"/>
    <w:rsid w:val="001B6D91"/>
    <w:rsid w:val="001B6E34"/>
    <w:rsid w:val="001B6F30"/>
    <w:rsid w:val="001B6FB3"/>
    <w:rsid w:val="001B7054"/>
    <w:rsid w:val="001B71F7"/>
    <w:rsid w:val="001B725B"/>
    <w:rsid w:val="001B72B5"/>
    <w:rsid w:val="001B733A"/>
    <w:rsid w:val="001B745B"/>
    <w:rsid w:val="001B7478"/>
    <w:rsid w:val="001B7554"/>
    <w:rsid w:val="001B75D6"/>
    <w:rsid w:val="001B7616"/>
    <w:rsid w:val="001B766C"/>
    <w:rsid w:val="001B7691"/>
    <w:rsid w:val="001B76FD"/>
    <w:rsid w:val="001B7729"/>
    <w:rsid w:val="001B77DF"/>
    <w:rsid w:val="001B7985"/>
    <w:rsid w:val="001B7A01"/>
    <w:rsid w:val="001B7A06"/>
    <w:rsid w:val="001B7A9C"/>
    <w:rsid w:val="001B7AEE"/>
    <w:rsid w:val="001B7C1C"/>
    <w:rsid w:val="001B7C3D"/>
    <w:rsid w:val="001B7C80"/>
    <w:rsid w:val="001B7CF6"/>
    <w:rsid w:val="001B7D89"/>
    <w:rsid w:val="001B7DCB"/>
    <w:rsid w:val="001B7E95"/>
    <w:rsid w:val="001B7EBF"/>
    <w:rsid w:val="001B7ED4"/>
    <w:rsid w:val="001B7F09"/>
    <w:rsid w:val="001B7F3E"/>
    <w:rsid w:val="001B7FF4"/>
    <w:rsid w:val="001C0038"/>
    <w:rsid w:val="001C0164"/>
    <w:rsid w:val="001C016E"/>
    <w:rsid w:val="001C020F"/>
    <w:rsid w:val="001C023B"/>
    <w:rsid w:val="001C0373"/>
    <w:rsid w:val="001C03C9"/>
    <w:rsid w:val="001C03CA"/>
    <w:rsid w:val="001C0418"/>
    <w:rsid w:val="001C044A"/>
    <w:rsid w:val="001C04FE"/>
    <w:rsid w:val="001C05DD"/>
    <w:rsid w:val="001C0699"/>
    <w:rsid w:val="001C06C4"/>
    <w:rsid w:val="001C0760"/>
    <w:rsid w:val="001C07DE"/>
    <w:rsid w:val="001C08EC"/>
    <w:rsid w:val="001C0904"/>
    <w:rsid w:val="001C0980"/>
    <w:rsid w:val="001C0ADD"/>
    <w:rsid w:val="001C0B87"/>
    <w:rsid w:val="001C0C75"/>
    <w:rsid w:val="001C0CE7"/>
    <w:rsid w:val="001C0EB3"/>
    <w:rsid w:val="001C0EF4"/>
    <w:rsid w:val="001C0FB8"/>
    <w:rsid w:val="001C1001"/>
    <w:rsid w:val="001C101C"/>
    <w:rsid w:val="001C1065"/>
    <w:rsid w:val="001C11E0"/>
    <w:rsid w:val="001C12E4"/>
    <w:rsid w:val="001C1415"/>
    <w:rsid w:val="001C149E"/>
    <w:rsid w:val="001C14C1"/>
    <w:rsid w:val="001C152F"/>
    <w:rsid w:val="001C153A"/>
    <w:rsid w:val="001C1586"/>
    <w:rsid w:val="001C15D6"/>
    <w:rsid w:val="001C1616"/>
    <w:rsid w:val="001C1622"/>
    <w:rsid w:val="001C1652"/>
    <w:rsid w:val="001C1663"/>
    <w:rsid w:val="001C16D8"/>
    <w:rsid w:val="001C178B"/>
    <w:rsid w:val="001C178E"/>
    <w:rsid w:val="001C18EB"/>
    <w:rsid w:val="001C1905"/>
    <w:rsid w:val="001C195F"/>
    <w:rsid w:val="001C1A38"/>
    <w:rsid w:val="001C1A46"/>
    <w:rsid w:val="001C1A55"/>
    <w:rsid w:val="001C1AE2"/>
    <w:rsid w:val="001C1C11"/>
    <w:rsid w:val="001C1CAD"/>
    <w:rsid w:val="001C1D1A"/>
    <w:rsid w:val="001C1DBC"/>
    <w:rsid w:val="001C1DF8"/>
    <w:rsid w:val="001C1E88"/>
    <w:rsid w:val="001C1F43"/>
    <w:rsid w:val="001C1F53"/>
    <w:rsid w:val="001C2046"/>
    <w:rsid w:val="001C2063"/>
    <w:rsid w:val="001C20A7"/>
    <w:rsid w:val="001C21C1"/>
    <w:rsid w:val="001C21F0"/>
    <w:rsid w:val="001C22CF"/>
    <w:rsid w:val="001C2338"/>
    <w:rsid w:val="001C2366"/>
    <w:rsid w:val="001C240D"/>
    <w:rsid w:val="001C249F"/>
    <w:rsid w:val="001C24A9"/>
    <w:rsid w:val="001C25C9"/>
    <w:rsid w:val="001C25E1"/>
    <w:rsid w:val="001C25F3"/>
    <w:rsid w:val="001C2612"/>
    <w:rsid w:val="001C2655"/>
    <w:rsid w:val="001C265D"/>
    <w:rsid w:val="001C268B"/>
    <w:rsid w:val="001C26CF"/>
    <w:rsid w:val="001C26F0"/>
    <w:rsid w:val="001C271E"/>
    <w:rsid w:val="001C2746"/>
    <w:rsid w:val="001C2782"/>
    <w:rsid w:val="001C2786"/>
    <w:rsid w:val="001C27DE"/>
    <w:rsid w:val="001C27EF"/>
    <w:rsid w:val="001C2836"/>
    <w:rsid w:val="001C296B"/>
    <w:rsid w:val="001C29AB"/>
    <w:rsid w:val="001C2A06"/>
    <w:rsid w:val="001C2B61"/>
    <w:rsid w:val="001C2B83"/>
    <w:rsid w:val="001C2B8E"/>
    <w:rsid w:val="001C2BF3"/>
    <w:rsid w:val="001C2C04"/>
    <w:rsid w:val="001C2C6A"/>
    <w:rsid w:val="001C2CA1"/>
    <w:rsid w:val="001C2D5B"/>
    <w:rsid w:val="001C2E28"/>
    <w:rsid w:val="001C3018"/>
    <w:rsid w:val="001C30C7"/>
    <w:rsid w:val="001C31D9"/>
    <w:rsid w:val="001C3224"/>
    <w:rsid w:val="001C3281"/>
    <w:rsid w:val="001C32FE"/>
    <w:rsid w:val="001C3308"/>
    <w:rsid w:val="001C332D"/>
    <w:rsid w:val="001C3394"/>
    <w:rsid w:val="001C33FC"/>
    <w:rsid w:val="001C341E"/>
    <w:rsid w:val="001C3495"/>
    <w:rsid w:val="001C358A"/>
    <w:rsid w:val="001C3595"/>
    <w:rsid w:val="001C3639"/>
    <w:rsid w:val="001C363C"/>
    <w:rsid w:val="001C36D2"/>
    <w:rsid w:val="001C36FF"/>
    <w:rsid w:val="001C377F"/>
    <w:rsid w:val="001C37D7"/>
    <w:rsid w:val="001C37E8"/>
    <w:rsid w:val="001C3851"/>
    <w:rsid w:val="001C38A5"/>
    <w:rsid w:val="001C38E5"/>
    <w:rsid w:val="001C38F0"/>
    <w:rsid w:val="001C3B37"/>
    <w:rsid w:val="001C3B44"/>
    <w:rsid w:val="001C3BB1"/>
    <w:rsid w:val="001C3BC1"/>
    <w:rsid w:val="001C3C20"/>
    <w:rsid w:val="001C3CD2"/>
    <w:rsid w:val="001C3D78"/>
    <w:rsid w:val="001C3D93"/>
    <w:rsid w:val="001C3E43"/>
    <w:rsid w:val="001C3EB4"/>
    <w:rsid w:val="001C3ECA"/>
    <w:rsid w:val="001C3EFC"/>
    <w:rsid w:val="001C3F9E"/>
    <w:rsid w:val="001C4047"/>
    <w:rsid w:val="001C4058"/>
    <w:rsid w:val="001C408C"/>
    <w:rsid w:val="001C4095"/>
    <w:rsid w:val="001C4097"/>
    <w:rsid w:val="001C4154"/>
    <w:rsid w:val="001C415C"/>
    <w:rsid w:val="001C416B"/>
    <w:rsid w:val="001C419E"/>
    <w:rsid w:val="001C41A1"/>
    <w:rsid w:val="001C4203"/>
    <w:rsid w:val="001C421C"/>
    <w:rsid w:val="001C4233"/>
    <w:rsid w:val="001C4286"/>
    <w:rsid w:val="001C4295"/>
    <w:rsid w:val="001C4360"/>
    <w:rsid w:val="001C4385"/>
    <w:rsid w:val="001C43D7"/>
    <w:rsid w:val="001C43F4"/>
    <w:rsid w:val="001C43F5"/>
    <w:rsid w:val="001C4419"/>
    <w:rsid w:val="001C44B4"/>
    <w:rsid w:val="001C4539"/>
    <w:rsid w:val="001C4542"/>
    <w:rsid w:val="001C45F7"/>
    <w:rsid w:val="001C4612"/>
    <w:rsid w:val="001C47C9"/>
    <w:rsid w:val="001C48DE"/>
    <w:rsid w:val="001C48F6"/>
    <w:rsid w:val="001C4A43"/>
    <w:rsid w:val="001C4A62"/>
    <w:rsid w:val="001C4AA3"/>
    <w:rsid w:val="001C4B04"/>
    <w:rsid w:val="001C4B27"/>
    <w:rsid w:val="001C4B47"/>
    <w:rsid w:val="001C4B6C"/>
    <w:rsid w:val="001C4B9D"/>
    <w:rsid w:val="001C4BCB"/>
    <w:rsid w:val="001C4C38"/>
    <w:rsid w:val="001C4D88"/>
    <w:rsid w:val="001C4E20"/>
    <w:rsid w:val="001C4E82"/>
    <w:rsid w:val="001C4EC9"/>
    <w:rsid w:val="001C4EF3"/>
    <w:rsid w:val="001C4F2D"/>
    <w:rsid w:val="001C4FF6"/>
    <w:rsid w:val="001C504E"/>
    <w:rsid w:val="001C50AC"/>
    <w:rsid w:val="001C511B"/>
    <w:rsid w:val="001C512E"/>
    <w:rsid w:val="001C513A"/>
    <w:rsid w:val="001C51AB"/>
    <w:rsid w:val="001C51D5"/>
    <w:rsid w:val="001C51FC"/>
    <w:rsid w:val="001C5228"/>
    <w:rsid w:val="001C52D3"/>
    <w:rsid w:val="001C52E1"/>
    <w:rsid w:val="001C5300"/>
    <w:rsid w:val="001C534B"/>
    <w:rsid w:val="001C5385"/>
    <w:rsid w:val="001C53E6"/>
    <w:rsid w:val="001C5467"/>
    <w:rsid w:val="001C548E"/>
    <w:rsid w:val="001C556F"/>
    <w:rsid w:val="001C5599"/>
    <w:rsid w:val="001C55EB"/>
    <w:rsid w:val="001C5656"/>
    <w:rsid w:val="001C5766"/>
    <w:rsid w:val="001C5797"/>
    <w:rsid w:val="001C580B"/>
    <w:rsid w:val="001C5836"/>
    <w:rsid w:val="001C5962"/>
    <w:rsid w:val="001C5964"/>
    <w:rsid w:val="001C5982"/>
    <w:rsid w:val="001C59B6"/>
    <w:rsid w:val="001C5A39"/>
    <w:rsid w:val="001C5AFB"/>
    <w:rsid w:val="001C5B4D"/>
    <w:rsid w:val="001C5B7E"/>
    <w:rsid w:val="001C5BAC"/>
    <w:rsid w:val="001C5BE5"/>
    <w:rsid w:val="001C5C3B"/>
    <w:rsid w:val="001C5C8A"/>
    <w:rsid w:val="001C5D69"/>
    <w:rsid w:val="001C5DB4"/>
    <w:rsid w:val="001C5E76"/>
    <w:rsid w:val="001C5E8C"/>
    <w:rsid w:val="001C5E91"/>
    <w:rsid w:val="001C5EB9"/>
    <w:rsid w:val="001C5F59"/>
    <w:rsid w:val="001C6054"/>
    <w:rsid w:val="001C606D"/>
    <w:rsid w:val="001C6072"/>
    <w:rsid w:val="001C6102"/>
    <w:rsid w:val="001C6127"/>
    <w:rsid w:val="001C6144"/>
    <w:rsid w:val="001C6166"/>
    <w:rsid w:val="001C6185"/>
    <w:rsid w:val="001C61D0"/>
    <w:rsid w:val="001C6204"/>
    <w:rsid w:val="001C6221"/>
    <w:rsid w:val="001C62A8"/>
    <w:rsid w:val="001C62AD"/>
    <w:rsid w:val="001C62BF"/>
    <w:rsid w:val="001C6304"/>
    <w:rsid w:val="001C6376"/>
    <w:rsid w:val="001C63B7"/>
    <w:rsid w:val="001C63BB"/>
    <w:rsid w:val="001C6526"/>
    <w:rsid w:val="001C657D"/>
    <w:rsid w:val="001C65B6"/>
    <w:rsid w:val="001C6606"/>
    <w:rsid w:val="001C6622"/>
    <w:rsid w:val="001C66D2"/>
    <w:rsid w:val="001C6701"/>
    <w:rsid w:val="001C6716"/>
    <w:rsid w:val="001C6802"/>
    <w:rsid w:val="001C6839"/>
    <w:rsid w:val="001C687B"/>
    <w:rsid w:val="001C6890"/>
    <w:rsid w:val="001C68BD"/>
    <w:rsid w:val="001C6903"/>
    <w:rsid w:val="001C6951"/>
    <w:rsid w:val="001C69C0"/>
    <w:rsid w:val="001C6A0C"/>
    <w:rsid w:val="001C6A2A"/>
    <w:rsid w:val="001C6A41"/>
    <w:rsid w:val="001C6B1B"/>
    <w:rsid w:val="001C6B1C"/>
    <w:rsid w:val="001C6B22"/>
    <w:rsid w:val="001C6B2A"/>
    <w:rsid w:val="001C6B60"/>
    <w:rsid w:val="001C6B6A"/>
    <w:rsid w:val="001C6BAE"/>
    <w:rsid w:val="001C6D65"/>
    <w:rsid w:val="001C6E3B"/>
    <w:rsid w:val="001C6E56"/>
    <w:rsid w:val="001C6EB7"/>
    <w:rsid w:val="001C6F3C"/>
    <w:rsid w:val="001C6FBE"/>
    <w:rsid w:val="001C7011"/>
    <w:rsid w:val="001C7055"/>
    <w:rsid w:val="001C709C"/>
    <w:rsid w:val="001C70FA"/>
    <w:rsid w:val="001C7186"/>
    <w:rsid w:val="001C719C"/>
    <w:rsid w:val="001C727A"/>
    <w:rsid w:val="001C743A"/>
    <w:rsid w:val="001C74C8"/>
    <w:rsid w:val="001C754A"/>
    <w:rsid w:val="001C7654"/>
    <w:rsid w:val="001C767B"/>
    <w:rsid w:val="001C7689"/>
    <w:rsid w:val="001C77ED"/>
    <w:rsid w:val="001C7805"/>
    <w:rsid w:val="001C790A"/>
    <w:rsid w:val="001C7AC2"/>
    <w:rsid w:val="001C7AE9"/>
    <w:rsid w:val="001C7B51"/>
    <w:rsid w:val="001C7B8A"/>
    <w:rsid w:val="001C7BA0"/>
    <w:rsid w:val="001C7BA8"/>
    <w:rsid w:val="001C7BE2"/>
    <w:rsid w:val="001C7C10"/>
    <w:rsid w:val="001C7C33"/>
    <w:rsid w:val="001C7CB7"/>
    <w:rsid w:val="001C7CD8"/>
    <w:rsid w:val="001C7E02"/>
    <w:rsid w:val="001C7E6F"/>
    <w:rsid w:val="001C7EF6"/>
    <w:rsid w:val="001C7F34"/>
    <w:rsid w:val="001C7F5E"/>
    <w:rsid w:val="001C7FA2"/>
    <w:rsid w:val="001C7FF1"/>
    <w:rsid w:val="001CAA15"/>
    <w:rsid w:val="001D0012"/>
    <w:rsid w:val="001D004D"/>
    <w:rsid w:val="001D00C4"/>
    <w:rsid w:val="001D0131"/>
    <w:rsid w:val="001D022A"/>
    <w:rsid w:val="001D0247"/>
    <w:rsid w:val="001D026B"/>
    <w:rsid w:val="001D0273"/>
    <w:rsid w:val="001D02A9"/>
    <w:rsid w:val="001D02BF"/>
    <w:rsid w:val="001D02C6"/>
    <w:rsid w:val="001D02D6"/>
    <w:rsid w:val="001D02F5"/>
    <w:rsid w:val="001D035D"/>
    <w:rsid w:val="001D03A3"/>
    <w:rsid w:val="001D03BB"/>
    <w:rsid w:val="001D03D1"/>
    <w:rsid w:val="001D0401"/>
    <w:rsid w:val="001D04DF"/>
    <w:rsid w:val="001D051B"/>
    <w:rsid w:val="001D05BE"/>
    <w:rsid w:val="001D0627"/>
    <w:rsid w:val="001D065B"/>
    <w:rsid w:val="001D06C9"/>
    <w:rsid w:val="001D06D4"/>
    <w:rsid w:val="001D06F2"/>
    <w:rsid w:val="001D08C9"/>
    <w:rsid w:val="001D093A"/>
    <w:rsid w:val="001D09BD"/>
    <w:rsid w:val="001D0A90"/>
    <w:rsid w:val="001D0BAE"/>
    <w:rsid w:val="001D0BC8"/>
    <w:rsid w:val="001D0BE8"/>
    <w:rsid w:val="001D0C1C"/>
    <w:rsid w:val="001D0C2C"/>
    <w:rsid w:val="001D0D31"/>
    <w:rsid w:val="001D0D94"/>
    <w:rsid w:val="001D0D99"/>
    <w:rsid w:val="001D0DF9"/>
    <w:rsid w:val="001D0E5C"/>
    <w:rsid w:val="001D0E77"/>
    <w:rsid w:val="001D0F92"/>
    <w:rsid w:val="001D0F95"/>
    <w:rsid w:val="001D1000"/>
    <w:rsid w:val="001D1098"/>
    <w:rsid w:val="001D10AD"/>
    <w:rsid w:val="001D10F0"/>
    <w:rsid w:val="001D1202"/>
    <w:rsid w:val="001D1270"/>
    <w:rsid w:val="001D13E1"/>
    <w:rsid w:val="001D1451"/>
    <w:rsid w:val="001D1489"/>
    <w:rsid w:val="001D149B"/>
    <w:rsid w:val="001D14CD"/>
    <w:rsid w:val="001D158E"/>
    <w:rsid w:val="001D1635"/>
    <w:rsid w:val="001D1675"/>
    <w:rsid w:val="001D1716"/>
    <w:rsid w:val="001D1784"/>
    <w:rsid w:val="001D18C1"/>
    <w:rsid w:val="001D19D2"/>
    <w:rsid w:val="001D19DC"/>
    <w:rsid w:val="001D1A31"/>
    <w:rsid w:val="001D1A64"/>
    <w:rsid w:val="001D1A9C"/>
    <w:rsid w:val="001D1ADF"/>
    <w:rsid w:val="001D1B13"/>
    <w:rsid w:val="001D1B7C"/>
    <w:rsid w:val="001D1BC6"/>
    <w:rsid w:val="001D1BE4"/>
    <w:rsid w:val="001D1C5A"/>
    <w:rsid w:val="001D1C7B"/>
    <w:rsid w:val="001D1C8F"/>
    <w:rsid w:val="001D1C9C"/>
    <w:rsid w:val="001D1CB9"/>
    <w:rsid w:val="001D1CDD"/>
    <w:rsid w:val="001D1D86"/>
    <w:rsid w:val="001D1E2F"/>
    <w:rsid w:val="001D1E46"/>
    <w:rsid w:val="001D1E75"/>
    <w:rsid w:val="001D1E7A"/>
    <w:rsid w:val="001D1F12"/>
    <w:rsid w:val="001D20A1"/>
    <w:rsid w:val="001D20D9"/>
    <w:rsid w:val="001D2141"/>
    <w:rsid w:val="001D21ED"/>
    <w:rsid w:val="001D226D"/>
    <w:rsid w:val="001D2276"/>
    <w:rsid w:val="001D22A1"/>
    <w:rsid w:val="001D2423"/>
    <w:rsid w:val="001D2430"/>
    <w:rsid w:val="001D2463"/>
    <w:rsid w:val="001D2510"/>
    <w:rsid w:val="001D2667"/>
    <w:rsid w:val="001D2697"/>
    <w:rsid w:val="001D26C5"/>
    <w:rsid w:val="001D271C"/>
    <w:rsid w:val="001D2747"/>
    <w:rsid w:val="001D27CF"/>
    <w:rsid w:val="001D2834"/>
    <w:rsid w:val="001D2881"/>
    <w:rsid w:val="001D28DC"/>
    <w:rsid w:val="001D293C"/>
    <w:rsid w:val="001D29E0"/>
    <w:rsid w:val="001D2A3D"/>
    <w:rsid w:val="001D2AA7"/>
    <w:rsid w:val="001D2BD0"/>
    <w:rsid w:val="001D2BDC"/>
    <w:rsid w:val="001D2D7F"/>
    <w:rsid w:val="001D2DB3"/>
    <w:rsid w:val="001D2DD7"/>
    <w:rsid w:val="001D2F3D"/>
    <w:rsid w:val="001D2FD0"/>
    <w:rsid w:val="001D3079"/>
    <w:rsid w:val="001D3168"/>
    <w:rsid w:val="001D317C"/>
    <w:rsid w:val="001D3232"/>
    <w:rsid w:val="001D3254"/>
    <w:rsid w:val="001D32D9"/>
    <w:rsid w:val="001D3333"/>
    <w:rsid w:val="001D33A1"/>
    <w:rsid w:val="001D341C"/>
    <w:rsid w:val="001D3433"/>
    <w:rsid w:val="001D34BD"/>
    <w:rsid w:val="001D3530"/>
    <w:rsid w:val="001D354E"/>
    <w:rsid w:val="001D3555"/>
    <w:rsid w:val="001D359B"/>
    <w:rsid w:val="001D369C"/>
    <w:rsid w:val="001D36DC"/>
    <w:rsid w:val="001D36EA"/>
    <w:rsid w:val="001D36EC"/>
    <w:rsid w:val="001D36FD"/>
    <w:rsid w:val="001D370B"/>
    <w:rsid w:val="001D3760"/>
    <w:rsid w:val="001D381A"/>
    <w:rsid w:val="001D387C"/>
    <w:rsid w:val="001D3891"/>
    <w:rsid w:val="001D39C7"/>
    <w:rsid w:val="001D3A7D"/>
    <w:rsid w:val="001D3C70"/>
    <w:rsid w:val="001D3C9E"/>
    <w:rsid w:val="001D3CAB"/>
    <w:rsid w:val="001D3CE8"/>
    <w:rsid w:val="001D3CFC"/>
    <w:rsid w:val="001D3E14"/>
    <w:rsid w:val="001D3E2D"/>
    <w:rsid w:val="001D3F7B"/>
    <w:rsid w:val="001D3F9C"/>
    <w:rsid w:val="001D4034"/>
    <w:rsid w:val="001D4043"/>
    <w:rsid w:val="001D4050"/>
    <w:rsid w:val="001D40A6"/>
    <w:rsid w:val="001D4124"/>
    <w:rsid w:val="001D416C"/>
    <w:rsid w:val="001D4210"/>
    <w:rsid w:val="001D4408"/>
    <w:rsid w:val="001D447E"/>
    <w:rsid w:val="001D4495"/>
    <w:rsid w:val="001D44BF"/>
    <w:rsid w:val="001D44EF"/>
    <w:rsid w:val="001D454D"/>
    <w:rsid w:val="001D469C"/>
    <w:rsid w:val="001D46C6"/>
    <w:rsid w:val="001D46E4"/>
    <w:rsid w:val="001D478D"/>
    <w:rsid w:val="001D47F4"/>
    <w:rsid w:val="001D4807"/>
    <w:rsid w:val="001D481C"/>
    <w:rsid w:val="001D4848"/>
    <w:rsid w:val="001D4944"/>
    <w:rsid w:val="001D4974"/>
    <w:rsid w:val="001D49E6"/>
    <w:rsid w:val="001D4A33"/>
    <w:rsid w:val="001D4A81"/>
    <w:rsid w:val="001D4ACA"/>
    <w:rsid w:val="001D4B22"/>
    <w:rsid w:val="001D4B59"/>
    <w:rsid w:val="001D4B5F"/>
    <w:rsid w:val="001D4BE9"/>
    <w:rsid w:val="001D4C21"/>
    <w:rsid w:val="001D4C2D"/>
    <w:rsid w:val="001D4CA4"/>
    <w:rsid w:val="001D4D03"/>
    <w:rsid w:val="001D4D55"/>
    <w:rsid w:val="001D4E14"/>
    <w:rsid w:val="001D4EA7"/>
    <w:rsid w:val="001D4EC8"/>
    <w:rsid w:val="001D4F0F"/>
    <w:rsid w:val="001D4FDC"/>
    <w:rsid w:val="001D4FFB"/>
    <w:rsid w:val="001D5021"/>
    <w:rsid w:val="001D515A"/>
    <w:rsid w:val="001D515D"/>
    <w:rsid w:val="001D5226"/>
    <w:rsid w:val="001D5229"/>
    <w:rsid w:val="001D5275"/>
    <w:rsid w:val="001D53A8"/>
    <w:rsid w:val="001D540D"/>
    <w:rsid w:val="001D5529"/>
    <w:rsid w:val="001D564F"/>
    <w:rsid w:val="001D56B2"/>
    <w:rsid w:val="001D57DC"/>
    <w:rsid w:val="001D587D"/>
    <w:rsid w:val="001D58C2"/>
    <w:rsid w:val="001D58FA"/>
    <w:rsid w:val="001D595E"/>
    <w:rsid w:val="001D59AC"/>
    <w:rsid w:val="001D59C9"/>
    <w:rsid w:val="001D59DE"/>
    <w:rsid w:val="001D5A11"/>
    <w:rsid w:val="001D5A47"/>
    <w:rsid w:val="001D5AB2"/>
    <w:rsid w:val="001D5AEA"/>
    <w:rsid w:val="001D5B63"/>
    <w:rsid w:val="001D5B71"/>
    <w:rsid w:val="001D5B7C"/>
    <w:rsid w:val="001D5B9A"/>
    <w:rsid w:val="001D5BC2"/>
    <w:rsid w:val="001D5BC4"/>
    <w:rsid w:val="001D5BCE"/>
    <w:rsid w:val="001D5C33"/>
    <w:rsid w:val="001D5C64"/>
    <w:rsid w:val="001D5CCF"/>
    <w:rsid w:val="001D5D1D"/>
    <w:rsid w:val="001D5D56"/>
    <w:rsid w:val="001D5D5D"/>
    <w:rsid w:val="001D5DED"/>
    <w:rsid w:val="001D5E39"/>
    <w:rsid w:val="001D5EC3"/>
    <w:rsid w:val="001D5EFD"/>
    <w:rsid w:val="001D5F7A"/>
    <w:rsid w:val="001D5FE2"/>
    <w:rsid w:val="001D5FE6"/>
    <w:rsid w:val="001D5FE7"/>
    <w:rsid w:val="001D5FF5"/>
    <w:rsid w:val="001D6046"/>
    <w:rsid w:val="001D60AD"/>
    <w:rsid w:val="001D60C0"/>
    <w:rsid w:val="001D6137"/>
    <w:rsid w:val="001D6140"/>
    <w:rsid w:val="001D614C"/>
    <w:rsid w:val="001D61BB"/>
    <w:rsid w:val="001D61CA"/>
    <w:rsid w:val="001D61CF"/>
    <w:rsid w:val="001D62D7"/>
    <w:rsid w:val="001D62FA"/>
    <w:rsid w:val="001D6349"/>
    <w:rsid w:val="001D638E"/>
    <w:rsid w:val="001D63B8"/>
    <w:rsid w:val="001D63DD"/>
    <w:rsid w:val="001D63EB"/>
    <w:rsid w:val="001D6472"/>
    <w:rsid w:val="001D64E2"/>
    <w:rsid w:val="001D6560"/>
    <w:rsid w:val="001D6564"/>
    <w:rsid w:val="001D65C6"/>
    <w:rsid w:val="001D66D7"/>
    <w:rsid w:val="001D6704"/>
    <w:rsid w:val="001D6751"/>
    <w:rsid w:val="001D6752"/>
    <w:rsid w:val="001D677C"/>
    <w:rsid w:val="001D67AF"/>
    <w:rsid w:val="001D67BA"/>
    <w:rsid w:val="001D67BE"/>
    <w:rsid w:val="001D67F3"/>
    <w:rsid w:val="001D690E"/>
    <w:rsid w:val="001D6949"/>
    <w:rsid w:val="001D699A"/>
    <w:rsid w:val="001D69A0"/>
    <w:rsid w:val="001D69C0"/>
    <w:rsid w:val="001D6A4A"/>
    <w:rsid w:val="001D6C88"/>
    <w:rsid w:val="001D6C97"/>
    <w:rsid w:val="001D6CC0"/>
    <w:rsid w:val="001D6D8F"/>
    <w:rsid w:val="001D6E64"/>
    <w:rsid w:val="001D6EBA"/>
    <w:rsid w:val="001D6FC2"/>
    <w:rsid w:val="001D7098"/>
    <w:rsid w:val="001D70DD"/>
    <w:rsid w:val="001D711F"/>
    <w:rsid w:val="001D7169"/>
    <w:rsid w:val="001D7206"/>
    <w:rsid w:val="001D7260"/>
    <w:rsid w:val="001D72E3"/>
    <w:rsid w:val="001D7312"/>
    <w:rsid w:val="001D734A"/>
    <w:rsid w:val="001D739C"/>
    <w:rsid w:val="001D73E7"/>
    <w:rsid w:val="001D7434"/>
    <w:rsid w:val="001D744A"/>
    <w:rsid w:val="001D7450"/>
    <w:rsid w:val="001D74A8"/>
    <w:rsid w:val="001D7597"/>
    <w:rsid w:val="001D75A1"/>
    <w:rsid w:val="001D75C0"/>
    <w:rsid w:val="001D766B"/>
    <w:rsid w:val="001D76E5"/>
    <w:rsid w:val="001D7739"/>
    <w:rsid w:val="001D7773"/>
    <w:rsid w:val="001D7783"/>
    <w:rsid w:val="001D7822"/>
    <w:rsid w:val="001D791A"/>
    <w:rsid w:val="001D79A6"/>
    <w:rsid w:val="001D79B6"/>
    <w:rsid w:val="001D79B7"/>
    <w:rsid w:val="001D7AA4"/>
    <w:rsid w:val="001D7AE3"/>
    <w:rsid w:val="001D7B9D"/>
    <w:rsid w:val="001D7BEA"/>
    <w:rsid w:val="001D7BED"/>
    <w:rsid w:val="001D7C5B"/>
    <w:rsid w:val="001D7CDF"/>
    <w:rsid w:val="001D7D05"/>
    <w:rsid w:val="001D7D3D"/>
    <w:rsid w:val="001D7D5E"/>
    <w:rsid w:val="001D7E60"/>
    <w:rsid w:val="001D7EFE"/>
    <w:rsid w:val="001D7F55"/>
    <w:rsid w:val="001E0078"/>
    <w:rsid w:val="001E00BA"/>
    <w:rsid w:val="001E00D7"/>
    <w:rsid w:val="001E00F6"/>
    <w:rsid w:val="001E00FB"/>
    <w:rsid w:val="001E014A"/>
    <w:rsid w:val="001E021C"/>
    <w:rsid w:val="001E02A3"/>
    <w:rsid w:val="001E0322"/>
    <w:rsid w:val="001E0388"/>
    <w:rsid w:val="001E03ED"/>
    <w:rsid w:val="001E049F"/>
    <w:rsid w:val="001E050A"/>
    <w:rsid w:val="001E050D"/>
    <w:rsid w:val="001E0565"/>
    <w:rsid w:val="001E05F8"/>
    <w:rsid w:val="001E0636"/>
    <w:rsid w:val="001E0653"/>
    <w:rsid w:val="001E06A0"/>
    <w:rsid w:val="001E06C1"/>
    <w:rsid w:val="001E06F2"/>
    <w:rsid w:val="001E0720"/>
    <w:rsid w:val="001E09D9"/>
    <w:rsid w:val="001E0A08"/>
    <w:rsid w:val="001E0A0B"/>
    <w:rsid w:val="001E0A86"/>
    <w:rsid w:val="001E0B4A"/>
    <w:rsid w:val="001E0D90"/>
    <w:rsid w:val="001E0D9F"/>
    <w:rsid w:val="001E0E36"/>
    <w:rsid w:val="001E0E44"/>
    <w:rsid w:val="001E0E7D"/>
    <w:rsid w:val="001E0E90"/>
    <w:rsid w:val="001E0EBD"/>
    <w:rsid w:val="001E0F0B"/>
    <w:rsid w:val="001E0F53"/>
    <w:rsid w:val="001E100A"/>
    <w:rsid w:val="001E1025"/>
    <w:rsid w:val="001E10BF"/>
    <w:rsid w:val="001E10D9"/>
    <w:rsid w:val="001E1114"/>
    <w:rsid w:val="001E1166"/>
    <w:rsid w:val="001E11A2"/>
    <w:rsid w:val="001E11B8"/>
    <w:rsid w:val="001E135D"/>
    <w:rsid w:val="001E13E4"/>
    <w:rsid w:val="001E13E9"/>
    <w:rsid w:val="001E14A2"/>
    <w:rsid w:val="001E150E"/>
    <w:rsid w:val="001E1513"/>
    <w:rsid w:val="001E169B"/>
    <w:rsid w:val="001E16A1"/>
    <w:rsid w:val="001E16C6"/>
    <w:rsid w:val="001E1715"/>
    <w:rsid w:val="001E1752"/>
    <w:rsid w:val="001E1761"/>
    <w:rsid w:val="001E179B"/>
    <w:rsid w:val="001E17B7"/>
    <w:rsid w:val="001E17E5"/>
    <w:rsid w:val="001E1812"/>
    <w:rsid w:val="001E19B2"/>
    <w:rsid w:val="001E19BA"/>
    <w:rsid w:val="001E1A0E"/>
    <w:rsid w:val="001E1A68"/>
    <w:rsid w:val="001E1A6D"/>
    <w:rsid w:val="001E1ACF"/>
    <w:rsid w:val="001E1B25"/>
    <w:rsid w:val="001E1B84"/>
    <w:rsid w:val="001E1BB7"/>
    <w:rsid w:val="001E1BE3"/>
    <w:rsid w:val="001E1BF3"/>
    <w:rsid w:val="001E1BFF"/>
    <w:rsid w:val="001E1C29"/>
    <w:rsid w:val="001E1C7E"/>
    <w:rsid w:val="001E1CA0"/>
    <w:rsid w:val="001E1E13"/>
    <w:rsid w:val="001E1E6F"/>
    <w:rsid w:val="001E1EC5"/>
    <w:rsid w:val="001E1F26"/>
    <w:rsid w:val="001E1F33"/>
    <w:rsid w:val="001E1F62"/>
    <w:rsid w:val="001E1F75"/>
    <w:rsid w:val="001E1FCB"/>
    <w:rsid w:val="001E2030"/>
    <w:rsid w:val="001E2096"/>
    <w:rsid w:val="001E2118"/>
    <w:rsid w:val="001E21AE"/>
    <w:rsid w:val="001E2213"/>
    <w:rsid w:val="001E2227"/>
    <w:rsid w:val="001E22D3"/>
    <w:rsid w:val="001E243F"/>
    <w:rsid w:val="001E24E8"/>
    <w:rsid w:val="001E2524"/>
    <w:rsid w:val="001E2575"/>
    <w:rsid w:val="001E25C0"/>
    <w:rsid w:val="001E263A"/>
    <w:rsid w:val="001E2640"/>
    <w:rsid w:val="001E2646"/>
    <w:rsid w:val="001E264A"/>
    <w:rsid w:val="001E2674"/>
    <w:rsid w:val="001E2686"/>
    <w:rsid w:val="001E26FF"/>
    <w:rsid w:val="001E275F"/>
    <w:rsid w:val="001E2882"/>
    <w:rsid w:val="001E296D"/>
    <w:rsid w:val="001E2A4E"/>
    <w:rsid w:val="001E2A66"/>
    <w:rsid w:val="001E2AB6"/>
    <w:rsid w:val="001E2B2E"/>
    <w:rsid w:val="001E2C29"/>
    <w:rsid w:val="001E2C4C"/>
    <w:rsid w:val="001E2C62"/>
    <w:rsid w:val="001E2D1B"/>
    <w:rsid w:val="001E2D30"/>
    <w:rsid w:val="001E2D68"/>
    <w:rsid w:val="001E2D9E"/>
    <w:rsid w:val="001E2DC6"/>
    <w:rsid w:val="001E2E31"/>
    <w:rsid w:val="001E2E74"/>
    <w:rsid w:val="001E2EF2"/>
    <w:rsid w:val="001E2EFE"/>
    <w:rsid w:val="001E2F5A"/>
    <w:rsid w:val="001E2FB7"/>
    <w:rsid w:val="001E3055"/>
    <w:rsid w:val="001E316B"/>
    <w:rsid w:val="001E324D"/>
    <w:rsid w:val="001E32C5"/>
    <w:rsid w:val="001E32EE"/>
    <w:rsid w:val="001E3333"/>
    <w:rsid w:val="001E343E"/>
    <w:rsid w:val="001E3441"/>
    <w:rsid w:val="001E3494"/>
    <w:rsid w:val="001E3499"/>
    <w:rsid w:val="001E34BB"/>
    <w:rsid w:val="001E34E7"/>
    <w:rsid w:val="001E356D"/>
    <w:rsid w:val="001E356F"/>
    <w:rsid w:val="001E3623"/>
    <w:rsid w:val="001E3648"/>
    <w:rsid w:val="001E3651"/>
    <w:rsid w:val="001E36F6"/>
    <w:rsid w:val="001E372A"/>
    <w:rsid w:val="001E3755"/>
    <w:rsid w:val="001E3861"/>
    <w:rsid w:val="001E3884"/>
    <w:rsid w:val="001E3915"/>
    <w:rsid w:val="001E393C"/>
    <w:rsid w:val="001E3970"/>
    <w:rsid w:val="001E39A4"/>
    <w:rsid w:val="001E39A9"/>
    <w:rsid w:val="001E3A04"/>
    <w:rsid w:val="001E3A0C"/>
    <w:rsid w:val="001E3A1D"/>
    <w:rsid w:val="001E3A3F"/>
    <w:rsid w:val="001E3A7B"/>
    <w:rsid w:val="001E3B07"/>
    <w:rsid w:val="001E3B7F"/>
    <w:rsid w:val="001E3B8A"/>
    <w:rsid w:val="001E3C8B"/>
    <w:rsid w:val="001E3C99"/>
    <w:rsid w:val="001E3D6A"/>
    <w:rsid w:val="001E3DE6"/>
    <w:rsid w:val="001E3F28"/>
    <w:rsid w:val="001E401B"/>
    <w:rsid w:val="001E40DD"/>
    <w:rsid w:val="001E42BA"/>
    <w:rsid w:val="001E4425"/>
    <w:rsid w:val="001E4436"/>
    <w:rsid w:val="001E4563"/>
    <w:rsid w:val="001E45BC"/>
    <w:rsid w:val="001E45C8"/>
    <w:rsid w:val="001E465C"/>
    <w:rsid w:val="001E4772"/>
    <w:rsid w:val="001E482F"/>
    <w:rsid w:val="001E4945"/>
    <w:rsid w:val="001E49C0"/>
    <w:rsid w:val="001E4A1A"/>
    <w:rsid w:val="001E4A69"/>
    <w:rsid w:val="001E4AB1"/>
    <w:rsid w:val="001E4AC7"/>
    <w:rsid w:val="001E4B73"/>
    <w:rsid w:val="001E4B93"/>
    <w:rsid w:val="001E4C05"/>
    <w:rsid w:val="001E4C6A"/>
    <w:rsid w:val="001E4C92"/>
    <w:rsid w:val="001E4CF3"/>
    <w:rsid w:val="001E4D3F"/>
    <w:rsid w:val="001E4D6A"/>
    <w:rsid w:val="001E4D7C"/>
    <w:rsid w:val="001E4DA7"/>
    <w:rsid w:val="001E4F10"/>
    <w:rsid w:val="001E4F8A"/>
    <w:rsid w:val="001E4F9E"/>
    <w:rsid w:val="001E4FBD"/>
    <w:rsid w:val="001E50E4"/>
    <w:rsid w:val="001E517D"/>
    <w:rsid w:val="001E518D"/>
    <w:rsid w:val="001E51BD"/>
    <w:rsid w:val="001E5239"/>
    <w:rsid w:val="001E52CB"/>
    <w:rsid w:val="001E52EA"/>
    <w:rsid w:val="001E5341"/>
    <w:rsid w:val="001E5415"/>
    <w:rsid w:val="001E5433"/>
    <w:rsid w:val="001E546E"/>
    <w:rsid w:val="001E553C"/>
    <w:rsid w:val="001E5597"/>
    <w:rsid w:val="001E55B8"/>
    <w:rsid w:val="001E5701"/>
    <w:rsid w:val="001E570B"/>
    <w:rsid w:val="001E575E"/>
    <w:rsid w:val="001E57A2"/>
    <w:rsid w:val="001E57B2"/>
    <w:rsid w:val="001E57E5"/>
    <w:rsid w:val="001E58A8"/>
    <w:rsid w:val="001E58BD"/>
    <w:rsid w:val="001E58BF"/>
    <w:rsid w:val="001E5944"/>
    <w:rsid w:val="001E5957"/>
    <w:rsid w:val="001E5A0B"/>
    <w:rsid w:val="001E5B12"/>
    <w:rsid w:val="001E5C83"/>
    <w:rsid w:val="001E5CB5"/>
    <w:rsid w:val="001E5CC9"/>
    <w:rsid w:val="001E5E55"/>
    <w:rsid w:val="001E5F5A"/>
    <w:rsid w:val="001E5F64"/>
    <w:rsid w:val="001E6084"/>
    <w:rsid w:val="001E60AF"/>
    <w:rsid w:val="001E6109"/>
    <w:rsid w:val="001E6179"/>
    <w:rsid w:val="001E61E3"/>
    <w:rsid w:val="001E6254"/>
    <w:rsid w:val="001E6277"/>
    <w:rsid w:val="001E627D"/>
    <w:rsid w:val="001E628C"/>
    <w:rsid w:val="001E62F3"/>
    <w:rsid w:val="001E635A"/>
    <w:rsid w:val="001E637D"/>
    <w:rsid w:val="001E6391"/>
    <w:rsid w:val="001E63C5"/>
    <w:rsid w:val="001E63CA"/>
    <w:rsid w:val="001E63FA"/>
    <w:rsid w:val="001E641A"/>
    <w:rsid w:val="001E6430"/>
    <w:rsid w:val="001E6485"/>
    <w:rsid w:val="001E64D1"/>
    <w:rsid w:val="001E64D6"/>
    <w:rsid w:val="001E654C"/>
    <w:rsid w:val="001E665D"/>
    <w:rsid w:val="001E66D9"/>
    <w:rsid w:val="001E66E2"/>
    <w:rsid w:val="001E6736"/>
    <w:rsid w:val="001E6748"/>
    <w:rsid w:val="001E6749"/>
    <w:rsid w:val="001E675A"/>
    <w:rsid w:val="001E67E0"/>
    <w:rsid w:val="001E67E1"/>
    <w:rsid w:val="001E68A4"/>
    <w:rsid w:val="001E68D9"/>
    <w:rsid w:val="001E68F2"/>
    <w:rsid w:val="001E6923"/>
    <w:rsid w:val="001E697E"/>
    <w:rsid w:val="001E6A31"/>
    <w:rsid w:val="001E6A40"/>
    <w:rsid w:val="001E6A7E"/>
    <w:rsid w:val="001E6AB1"/>
    <w:rsid w:val="001E6B5A"/>
    <w:rsid w:val="001E6B92"/>
    <w:rsid w:val="001E6BC9"/>
    <w:rsid w:val="001E6C03"/>
    <w:rsid w:val="001E6C4D"/>
    <w:rsid w:val="001E6CE9"/>
    <w:rsid w:val="001E6D8B"/>
    <w:rsid w:val="001E6D95"/>
    <w:rsid w:val="001E6D9B"/>
    <w:rsid w:val="001E6DA0"/>
    <w:rsid w:val="001E6E51"/>
    <w:rsid w:val="001E6E54"/>
    <w:rsid w:val="001E6EAD"/>
    <w:rsid w:val="001E6EE8"/>
    <w:rsid w:val="001E6F31"/>
    <w:rsid w:val="001E6F47"/>
    <w:rsid w:val="001E6F57"/>
    <w:rsid w:val="001E6FE3"/>
    <w:rsid w:val="001E70EF"/>
    <w:rsid w:val="001E7105"/>
    <w:rsid w:val="001E710A"/>
    <w:rsid w:val="001E710D"/>
    <w:rsid w:val="001E7199"/>
    <w:rsid w:val="001E728C"/>
    <w:rsid w:val="001E72FC"/>
    <w:rsid w:val="001E7337"/>
    <w:rsid w:val="001E7386"/>
    <w:rsid w:val="001E73AF"/>
    <w:rsid w:val="001E73E8"/>
    <w:rsid w:val="001E7471"/>
    <w:rsid w:val="001E748A"/>
    <w:rsid w:val="001E7544"/>
    <w:rsid w:val="001E7577"/>
    <w:rsid w:val="001E75B7"/>
    <w:rsid w:val="001E75BF"/>
    <w:rsid w:val="001E764D"/>
    <w:rsid w:val="001E7685"/>
    <w:rsid w:val="001E7689"/>
    <w:rsid w:val="001E768F"/>
    <w:rsid w:val="001E77D5"/>
    <w:rsid w:val="001E785B"/>
    <w:rsid w:val="001E7878"/>
    <w:rsid w:val="001E793A"/>
    <w:rsid w:val="001E79DC"/>
    <w:rsid w:val="001E79FD"/>
    <w:rsid w:val="001E7A26"/>
    <w:rsid w:val="001E7AA1"/>
    <w:rsid w:val="001E7AE0"/>
    <w:rsid w:val="001E7BB5"/>
    <w:rsid w:val="001E7BB8"/>
    <w:rsid w:val="001E7BE3"/>
    <w:rsid w:val="001E7BEB"/>
    <w:rsid w:val="001E7CAA"/>
    <w:rsid w:val="001E7D3E"/>
    <w:rsid w:val="001E7D58"/>
    <w:rsid w:val="001E7D76"/>
    <w:rsid w:val="001E7D7F"/>
    <w:rsid w:val="001E7DA7"/>
    <w:rsid w:val="001E7DAB"/>
    <w:rsid w:val="001E7DBE"/>
    <w:rsid w:val="001E7DD3"/>
    <w:rsid w:val="001E7E06"/>
    <w:rsid w:val="001E7E6D"/>
    <w:rsid w:val="001E7E89"/>
    <w:rsid w:val="001E7E9E"/>
    <w:rsid w:val="001E7EB3"/>
    <w:rsid w:val="001E7FAF"/>
    <w:rsid w:val="001E7FFC"/>
    <w:rsid w:val="001EB952"/>
    <w:rsid w:val="001F0049"/>
    <w:rsid w:val="001F006A"/>
    <w:rsid w:val="001F014B"/>
    <w:rsid w:val="001F0167"/>
    <w:rsid w:val="001F0180"/>
    <w:rsid w:val="001F01A0"/>
    <w:rsid w:val="001F01B5"/>
    <w:rsid w:val="001F01F0"/>
    <w:rsid w:val="001F0206"/>
    <w:rsid w:val="001F0242"/>
    <w:rsid w:val="001F02A5"/>
    <w:rsid w:val="001F02D9"/>
    <w:rsid w:val="001F02DA"/>
    <w:rsid w:val="001F02F9"/>
    <w:rsid w:val="001F0320"/>
    <w:rsid w:val="001F03A9"/>
    <w:rsid w:val="001F03AE"/>
    <w:rsid w:val="001F03B4"/>
    <w:rsid w:val="001F03EE"/>
    <w:rsid w:val="001F0446"/>
    <w:rsid w:val="001F04B6"/>
    <w:rsid w:val="001F0587"/>
    <w:rsid w:val="001F063C"/>
    <w:rsid w:val="001F0735"/>
    <w:rsid w:val="001F078E"/>
    <w:rsid w:val="001F07F1"/>
    <w:rsid w:val="001F0824"/>
    <w:rsid w:val="001F0835"/>
    <w:rsid w:val="001F0844"/>
    <w:rsid w:val="001F0901"/>
    <w:rsid w:val="001F0B21"/>
    <w:rsid w:val="001F0B5C"/>
    <w:rsid w:val="001F0C33"/>
    <w:rsid w:val="001F0C86"/>
    <w:rsid w:val="001F0CDF"/>
    <w:rsid w:val="001F0E34"/>
    <w:rsid w:val="001F0E64"/>
    <w:rsid w:val="001F0E75"/>
    <w:rsid w:val="001F0E80"/>
    <w:rsid w:val="001F0E98"/>
    <w:rsid w:val="001F0EAA"/>
    <w:rsid w:val="001F10F2"/>
    <w:rsid w:val="001F1169"/>
    <w:rsid w:val="001F116C"/>
    <w:rsid w:val="001F1259"/>
    <w:rsid w:val="001F1289"/>
    <w:rsid w:val="001F1292"/>
    <w:rsid w:val="001F12D7"/>
    <w:rsid w:val="001F1367"/>
    <w:rsid w:val="001F1419"/>
    <w:rsid w:val="001F14BC"/>
    <w:rsid w:val="001F151F"/>
    <w:rsid w:val="001F1539"/>
    <w:rsid w:val="001F1582"/>
    <w:rsid w:val="001F1671"/>
    <w:rsid w:val="001F16BB"/>
    <w:rsid w:val="001F1776"/>
    <w:rsid w:val="001F17DE"/>
    <w:rsid w:val="001F1806"/>
    <w:rsid w:val="001F180B"/>
    <w:rsid w:val="001F183F"/>
    <w:rsid w:val="001F187E"/>
    <w:rsid w:val="001F1895"/>
    <w:rsid w:val="001F189B"/>
    <w:rsid w:val="001F18A7"/>
    <w:rsid w:val="001F18D9"/>
    <w:rsid w:val="001F190E"/>
    <w:rsid w:val="001F197C"/>
    <w:rsid w:val="001F197E"/>
    <w:rsid w:val="001F1983"/>
    <w:rsid w:val="001F1A11"/>
    <w:rsid w:val="001F1ABB"/>
    <w:rsid w:val="001F1AD7"/>
    <w:rsid w:val="001F1B5A"/>
    <w:rsid w:val="001F1BDF"/>
    <w:rsid w:val="001F1BFB"/>
    <w:rsid w:val="001F1BFF"/>
    <w:rsid w:val="001F1CF3"/>
    <w:rsid w:val="001F1D50"/>
    <w:rsid w:val="001F1D96"/>
    <w:rsid w:val="001F1E35"/>
    <w:rsid w:val="001F1E8A"/>
    <w:rsid w:val="001F1EE0"/>
    <w:rsid w:val="001F1EE5"/>
    <w:rsid w:val="001F1FBF"/>
    <w:rsid w:val="001F1FDB"/>
    <w:rsid w:val="001F2043"/>
    <w:rsid w:val="001F21D5"/>
    <w:rsid w:val="001F21EA"/>
    <w:rsid w:val="001F2223"/>
    <w:rsid w:val="001F2262"/>
    <w:rsid w:val="001F22A1"/>
    <w:rsid w:val="001F22BE"/>
    <w:rsid w:val="001F242D"/>
    <w:rsid w:val="001F24EC"/>
    <w:rsid w:val="001F24FA"/>
    <w:rsid w:val="001F260D"/>
    <w:rsid w:val="001F266D"/>
    <w:rsid w:val="001F2684"/>
    <w:rsid w:val="001F2708"/>
    <w:rsid w:val="001F2713"/>
    <w:rsid w:val="001F273D"/>
    <w:rsid w:val="001F27C5"/>
    <w:rsid w:val="001F27C9"/>
    <w:rsid w:val="001F27D6"/>
    <w:rsid w:val="001F27D7"/>
    <w:rsid w:val="001F27FA"/>
    <w:rsid w:val="001F2816"/>
    <w:rsid w:val="001F2869"/>
    <w:rsid w:val="001F289E"/>
    <w:rsid w:val="001F28CF"/>
    <w:rsid w:val="001F2954"/>
    <w:rsid w:val="001F2969"/>
    <w:rsid w:val="001F2A16"/>
    <w:rsid w:val="001F2A27"/>
    <w:rsid w:val="001F2A42"/>
    <w:rsid w:val="001F2AA0"/>
    <w:rsid w:val="001F2B0F"/>
    <w:rsid w:val="001F2B1C"/>
    <w:rsid w:val="001F2B6B"/>
    <w:rsid w:val="001F2B89"/>
    <w:rsid w:val="001F2CCE"/>
    <w:rsid w:val="001F2CE8"/>
    <w:rsid w:val="001F2D08"/>
    <w:rsid w:val="001F2D38"/>
    <w:rsid w:val="001F2DED"/>
    <w:rsid w:val="001F2E01"/>
    <w:rsid w:val="001F2E03"/>
    <w:rsid w:val="001F2E25"/>
    <w:rsid w:val="001F2EA5"/>
    <w:rsid w:val="001F2FED"/>
    <w:rsid w:val="001F2FF4"/>
    <w:rsid w:val="001F2FFD"/>
    <w:rsid w:val="001F3004"/>
    <w:rsid w:val="001F3096"/>
    <w:rsid w:val="001F3105"/>
    <w:rsid w:val="001F3215"/>
    <w:rsid w:val="001F3251"/>
    <w:rsid w:val="001F3266"/>
    <w:rsid w:val="001F32C5"/>
    <w:rsid w:val="001F3425"/>
    <w:rsid w:val="001F34EC"/>
    <w:rsid w:val="001F355C"/>
    <w:rsid w:val="001F3649"/>
    <w:rsid w:val="001F3799"/>
    <w:rsid w:val="001F37A1"/>
    <w:rsid w:val="001F37AB"/>
    <w:rsid w:val="001F381C"/>
    <w:rsid w:val="001F386E"/>
    <w:rsid w:val="001F387B"/>
    <w:rsid w:val="001F38F8"/>
    <w:rsid w:val="001F38F9"/>
    <w:rsid w:val="001F3A62"/>
    <w:rsid w:val="001F3A7B"/>
    <w:rsid w:val="001F3A7E"/>
    <w:rsid w:val="001F3B39"/>
    <w:rsid w:val="001F3B56"/>
    <w:rsid w:val="001F3B83"/>
    <w:rsid w:val="001F3BF6"/>
    <w:rsid w:val="001F3C6B"/>
    <w:rsid w:val="001F3C95"/>
    <w:rsid w:val="001F3CBA"/>
    <w:rsid w:val="001F3CE0"/>
    <w:rsid w:val="001F3D3C"/>
    <w:rsid w:val="001F3D73"/>
    <w:rsid w:val="001F3DF8"/>
    <w:rsid w:val="001F3E28"/>
    <w:rsid w:val="001F3E2C"/>
    <w:rsid w:val="001F3F86"/>
    <w:rsid w:val="001F40EA"/>
    <w:rsid w:val="001F40F0"/>
    <w:rsid w:val="001F40F4"/>
    <w:rsid w:val="001F413D"/>
    <w:rsid w:val="001F4154"/>
    <w:rsid w:val="001F423E"/>
    <w:rsid w:val="001F42CF"/>
    <w:rsid w:val="001F430B"/>
    <w:rsid w:val="001F434F"/>
    <w:rsid w:val="001F445A"/>
    <w:rsid w:val="001F4480"/>
    <w:rsid w:val="001F44B6"/>
    <w:rsid w:val="001F4527"/>
    <w:rsid w:val="001F4553"/>
    <w:rsid w:val="001F4579"/>
    <w:rsid w:val="001F4730"/>
    <w:rsid w:val="001F4741"/>
    <w:rsid w:val="001F4753"/>
    <w:rsid w:val="001F4774"/>
    <w:rsid w:val="001F4793"/>
    <w:rsid w:val="001F47B4"/>
    <w:rsid w:val="001F48B7"/>
    <w:rsid w:val="001F4930"/>
    <w:rsid w:val="001F497D"/>
    <w:rsid w:val="001F4A23"/>
    <w:rsid w:val="001F4B60"/>
    <w:rsid w:val="001F4BDB"/>
    <w:rsid w:val="001F4C39"/>
    <w:rsid w:val="001F4C3E"/>
    <w:rsid w:val="001F4CFE"/>
    <w:rsid w:val="001F4D23"/>
    <w:rsid w:val="001F4D4C"/>
    <w:rsid w:val="001F4E22"/>
    <w:rsid w:val="001F4ED1"/>
    <w:rsid w:val="001F4F0D"/>
    <w:rsid w:val="001F4F48"/>
    <w:rsid w:val="001F5014"/>
    <w:rsid w:val="001F5076"/>
    <w:rsid w:val="001F508A"/>
    <w:rsid w:val="001F50C2"/>
    <w:rsid w:val="001F50E0"/>
    <w:rsid w:val="001F5157"/>
    <w:rsid w:val="001F519E"/>
    <w:rsid w:val="001F51A1"/>
    <w:rsid w:val="001F5284"/>
    <w:rsid w:val="001F533F"/>
    <w:rsid w:val="001F53A3"/>
    <w:rsid w:val="001F5549"/>
    <w:rsid w:val="001F5632"/>
    <w:rsid w:val="001F5668"/>
    <w:rsid w:val="001F5671"/>
    <w:rsid w:val="001F5740"/>
    <w:rsid w:val="001F57A1"/>
    <w:rsid w:val="001F57B5"/>
    <w:rsid w:val="001F5835"/>
    <w:rsid w:val="001F5837"/>
    <w:rsid w:val="001F5884"/>
    <w:rsid w:val="001F5892"/>
    <w:rsid w:val="001F596A"/>
    <w:rsid w:val="001F59C1"/>
    <w:rsid w:val="001F59DE"/>
    <w:rsid w:val="001F5A1C"/>
    <w:rsid w:val="001F5AEA"/>
    <w:rsid w:val="001F5B09"/>
    <w:rsid w:val="001F5BDD"/>
    <w:rsid w:val="001F5C6C"/>
    <w:rsid w:val="001F5D84"/>
    <w:rsid w:val="001F5EFF"/>
    <w:rsid w:val="001F5F22"/>
    <w:rsid w:val="001F5F29"/>
    <w:rsid w:val="001F5F58"/>
    <w:rsid w:val="001F5F7A"/>
    <w:rsid w:val="001F5FCC"/>
    <w:rsid w:val="001F5FD1"/>
    <w:rsid w:val="001F600A"/>
    <w:rsid w:val="001F6024"/>
    <w:rsid w:val="001F6080"/>
    <w:rsid w:val="001F60FB"/>
    <w:rsid w:val="001F619F"/>
    <w:rsid w:val="001F61CD"/>
    <w:rsid w:val="001F61DE"/>
    <w:rsid w:val="001F625E"/>
    <w:rsid w:val="001F6315"/>
    <w:rsid w:val="001F631E"/>
    <w:rsid w:val="001F63C4"/>
    <w:rsid w:val="001F6428"/>
    <w:rsid w:val="001F64FB"/>
    <w:rsid w:val="001F64FE"/>
    <w:rsid w:val="001F6562"/>
    <w:rsid w:val="001F658D"/>
    <w:rsid w:val="001F65A0"/>
    <w:rsid w:val="001F6700"/>
    <w:rsid w:val="001F670B"/>
    <w:rsid w:val="001F678C"/>
    <w:rsid w:val="001F67CC"/>
    <w:rsid w:val="001F6807"/>
    <w:rsid w:val="001F684D"/>
    <w:rsid w:val="001F693A"/>
    <w:rsid w:val="001F6ADF"/>
    <w:rsid w:val="001F6C27"/>
    <w:rsid w:val="001F6C4D"/>
    <w:rsid w:val="001F6D2B"/>
    <w:rsid w:val="001F6E59"/>
    <w:rsid w:val="001F6E82"/>
    <w:rsid w:val="001F6F12"/>
    <w:rsid w:val="001F6FD7"/>
    <w:rsid w:val="001F6FE3"/>
    <w:rsid w:val="001F704B"/>
    <w:rsid w:val="001F70D4"/>
    <w:rsid w:val="001F727E"/>
    <w:rsid w:val="001F7334"/>
    <w:rsid w:val="001F7390"/>
    <w:rsid w:val="001F73ED"/>
    <w:rsid w:val="001F7428"/>
    <w:rsid w:val="001F7505"/>
    <w:rsid w:val="001F755D"/>
    <w:rsid w:val="001F7563"/>
    <w:rsid w:val="001F7587"/>
    <w:rsid w:val="001F75C3"/>
    <w:rsid w:val="001F7615"/>
    <w:rsid w:val="001F7662"/>
    <w:rsid w:val="001F7666"/>
    <w:rsid w:val="001F766A"/>
    <w:rsid w:val="001F7758"/>
    <w:rsid w:val="001F782A"/>
    <w:rsid w:val="001F784A"/>
    <w:rsid w:val="001F7908"/>
    <w:rsid w:val="001F799D"/>
    <w:rsid w:val="001F79B7"/>
    <w:rsid w:val="001F7A4F"/>
    <w:rsid w:val="001F7A5B"/>
    <w:rsid w:val="001F7ACC"/>
    <w:rsid w:val="001F7B18"/>
    <w:rsid w:val="001F7B23"/>
    <w:rsid w:val="001F7BCE"/>
    <w:rsid w:val="001F7CA3"/>
    <w:rsid w:val="001F7D60"/>
    <w:rsid w:val="001F7D78"/>
    <w:rsid w:val="001F7E6F"/>
    <w:rsid w:val="001F7E78"/>
    <w:rsid w:val="001F7EC5"/>
    <w:rsid w:val="001F7EDA"/>
    <w:rsid w:val="001F7FEB"/>
    <w:rsid w:val="00200102"/>
    <w:rsid w:val="00200126"/>
    <w:rsid w:val="00200167"/>
    <w:rsid w:val="0020016F"/>
    <w:rsid w:val="00200180"/>
    <w:rsid w:val="00200197"/>
    <w:rsid w:val="002001D8"/>
    <w:rsid w:val="002001F6"/>
    <w:rsid w:val="0020025C"/>
    <w:rsid w:val="00200345"/>
    <w:rsid w:val="00200372"/>
    <w:rsid w:val="002003F6"/>
    <w:rsid w:val="002004FB"/>
    <w:rsid w:val="00200613"/>
    <w:rsid w:val="00200627"/>
    <w:rsid w:val="00200676"/>
    <w:rsid w:val="002007B5"/>
    <w:rsid w:val="002007C3"/>
    <w:rsid w:val="002008A1"/>
    <w:rsid w:val="002008A2"/>
    <w:rsid w:val="002008AB"/>
    <w:rsid w:val="002008E2"/>
    <w:rsid w:val="00200963"/>
    <w:rsid w:val="0020099E"/>
    <w:rsid w:val="00200A42"/>
    <w:rsid w:val="00200A5E"/>
    <w:rsid w:val="00200B39"/>
    <w:rsid w:val="00200B6D"/>
    <w:rsid w:val="00200C3C"/>
    <w:rsid w:val="00200C48"/>
    <w:rsid w:val="00200D3A"/>
    <w:rsid w:val="00200DB4"/>
    <w:rsid w:val="00200E61"/>
    <w:rsid w:val="00200F83"/>
    <w:rsid w:val="00200FBB"/>
    <w:rsid w:val="0020109F"/>
    <w:rsid w:val="002010A5"/>
    <w:rsid w:val="002010A9"/>
    <w:rsid w:val="002010B5"/>
    <w:rsid w:val="002011CD"/>
    <w:rsid w:val="002011F3"/>
    <w:rsid w:val="00201244"/>
    <w:rsid w:val="00201444"/>
    <w:rsid w:val="00201494"/>
    <w:rsid w:val="002014A3"/>
    <w:rsid w:val="002014E5"/>
    <w:rsid w:val="002015AE"/>
    <w:rsid w:val="0020162B"/>
    <w:rsid w:val="00201819"/>
    <w:rsid w:val="0020186A"/>
    <w:rsid w:val="002018E9"/>
    <w:rsid w:val="00201919"/>
    <w:rsid w:val="0020191D"/>
    <w:rsid w:val="00201977"/>
    <w:rsid w:val="00201996"/>
    <w:rsid w:val="00201A02"/>
    <w:rsid w:val="00201A20"/>
    <w:rsid w:val="00201B2C"/>
    <w:rsid w:val="00201C09"/>
    <w:rsid w:val="00201D59"/>
    <w:rsid w:val="00201E6B"/>
    <w:rsid w:val="00201EC1"/>
    <w:rsid w:val="00201EE7"/>
    <w:rsid w:val="00201F1A"/>
    <w:rsid w:val="00202068"/>
    <w:rsid w:val="002020A3"/>
    <w:rsid w:val="002021C8"/>
    <w:rsid w:val="0020221D"/>
    <w:rsid w:val="00202246"/>
    <w:rsid w:val="0020224D"/>
    <w:rsid w:val="00202263"/>
    <w:rsid w:val="0020230A"/>
    <w:rsid w:val="002023A6"/>
    <w:rsid w:val="002023B4"/>
    <w:rsid w:val="002024D4"/>
    <w:rsid w:val="002024EF"/>
    <w:rsid w:val="0020252B"/>
    <w:rsid w:val="00202549"/>
    <w:rsid w:val="00202553"/>
    <w:rsid w:val="002025AC"/>
    <w:rsid w:val="002025B7"/>
    <w:rsid w:val="002025D1"/>
    <w:rsid w:val="00202628"/>
    <w:rsid w:val="00202635"/>
    <w:rsid w:val="0020263A"/>
    <w:rsid w:val="00202756"/>
    <w:rsid w:val="0020276E"/>
    <w:rsid w:val="002027BD"/>
    <w:rsid w:val="002028BA"/>
    <w:rsid w:val="00202949"/>
    <w:rsid w:val="002029EC"/>
    <w:rsid w:val="00202A76"/>
    <w:rsid w:val="00202A9C"/>
    <w:rsid w:val="00202AE4"/>
    <w:rsid w:val="00202B44"/>
    <w:rsid w:val="00202B91"/>
    <w:rsid w:val="00202BB5"/>
    <w:rsid w:val="00202BD9"/>
    <w:rsid w:val="00202CA2"/>
    <w:rsid w:val="00202D28"/>
    <w:rsid w:val="00202DBF"/>
    <w:rsid w:val="00202E4C"/>
    <w:rsid w:val="00202ECF"/>
    <w:rsid w:val="00202F90"/>
    <w:rsid w:val="00203026"/>
    <w:rsid w:val="0020306B"/>
    <w:rsid w:val="002030C7"/>
    <w:rsid w:val="00203102"/>
    <w:rsid w:val="0020312E"/>
    <w:rsid w:val="00203138"/>
    <w:rsid w:val="00203151"/>
    <w:rsid w:val="00203217"/>
    <w:rsid w:val="0020323A"/>
    <w:rsid w:val="00203241"/>
    <w:rsid w:val="002032D3"/>
    <w:rsid w:val="00203324"/>
    <w:rsid w:val="0020335A"/>
    <w:rsid w:val="0020335C"/>
    <w:rsid w:val="00203411"/>
    <w:rsid w:val="00203487"/>
    <w:rsid w:val="002034BB"/>
    <w:rsid w:val="002035FB"/>
    <w:rsid w:val="0020367A"/>
    <w:rsid w:val="00203807"/>
    <w:rsid w:val="00203810"/>
    <w:rsid w:val="00203838"/>
    <w:rsid w:val="00203848"/>
    <w:rsid w:val="002038B7"/>
    <w:rsid w:val="002038D9"/>
    <w:rsid w:val="00203928"/>
    <w:rsid w:val="002039D4"/>
    <w:rsid w:val="00203ADE"/>
    <w:rsid w:val="00203B75"/>
    <w:rsid w:val="00203B96"/>
    <w:rsid w:val="00203CEF"/>
    <w:rsid w:val="00203D41"/>
    <w:rsid w:val="00203D7A"/>
    <w:rsid w:val="00203E00"/>
    <w:rsid w:val="00203E39"/>
    <w:rsid w:val="00203E94"/>
    <w:rsid w:val="00203EED"/>
    <w:rsid w:val="00203F2D"/>
    <w:rsid w:val="00203F4C"/>
    <w:rsid w:val="0020406D"/>
    <w:rsid w:val="00204079"/>
    <w:rsid w:val="00204096"/>
    <w:rsid w:val="0020415E"/>
    <w:rsid w:val="0020418B"/>
    <w:rsid w:val="0020419F"/>
    <w:rsid w:val="0020448C"/>
    <w:rsid w:val="00204493"/>
    <w:rsid w:val="0020449E"/>
    <w:rsid w:val="00204509"/>
    <w:rsid w:val="0020451C"/>
    <w:rsid w:val="00204544"/>
    <w:rsid w:val="0020456F"/>
    <w:rsid w:val="00204778"/>
    <w:rsid w:val="002047D4"/>
    <w:rsid w:val="0020486A"/>
    <w:rsid w:val="002048AF"/>
    <w:rsid w:val="00204960"/>
    <w:rsid w:val="002049C1"/>
    <w:rsid w:val="00204AE9"/>
    <w:rsid w:val="00204B19"/>
    <w:rsid w:val="00204BCD"/>
    <w:rsid w:val="00204C75"/>
    <w:rsid w:val="00204CB5"/>
    <w:rsid w:val="00204CFB"/>
    <w:rsid w:val="00204D7C"/>
    <w:rsid w:val="00204D86"/>
    <w:rsid w:val="00204E8E"/>
    <w:rsid w:val="00204FAB"/>
    <w:rsid w:val="00205033"/>
    <w:rsid w:val="002050C3"/>
    <w:rsid w:val="002050E8"/>
    <w:rsid w:val="0020517E"/>
    <w:rsid w:val="00205203"/>
    <w:rsid w:val="0020525A"/>
    <w:rsid w:val="0020528D"/>
    <w:rsid w:val="0020530E"/>
    <w:rsid w:val="00205431"/>
    <w:rsid w:val="00205492"/>
    <w:rsid w:val="002055B5"/>
    <w:rsid w:val="0020566D"/>
    <w:rsid w:val="00205681"/>
    <w:rsid w:val="002056A6"/>
    <w:rsid w:val="002056E7"/>
    <w:rsid w:val="00205732"/>
    <w:rsid w:val="002057D4"/>
    <w:rsid w:val="0020596B"/>
    <w:rsid w:val="00205A1D"/>
    <w:rsid w:val="00205ABE"/>
    <w:rsid w:val="00205B7E"/>
    <w:rsid w:val="00205B98"/>
    <w:rsid w:val="00205BFC"/>
    <w:rsid w:val="00205C92"/>
    <w:rsid w:val="00205CB6"/>
    <w:rsid w:val="00205F90"/>
    <w:rsid w:val="00205FBD"/>
    <w:rsid w:val="002060AD"/>
    <w:rsid w:val="00206298"/>
    <w:rsid w:val="002062AB"/>
    <w:rsid w:val="002062B4"/>
    <w:rsid w:val="002062C3"/>
    <w:rsid w:val="00206302"/>
    <w:rsid w:val="00206369"/>
    <w:rsid w:val="002063A3"/>
    <w:rsid w:val="002063D5"/>
    <w:rsid w:val="002063E3"/>
    <w:rsid w:val="0020643C"/>
    <w:rsid w:val="00206581"/>
    <w:rsid w:val="002065ED"/>
    <w:rsid w:val="0020666C"/>
    <w:rsid w:val="0020670C"/>
    <w:rsid w:val="0020674E"/>
    <w:rsid w:val="002067D3"/>
    <w:rsid w:val="00206834"/>
    <w:rsid w:val="00206861"/>
    <w:rsid w:val="002068BB"/>
    <w:rsid w:val="00206948"/>
    <w:rsid w:val="00206957"/>
    <w:rsid w:val="00206A7E"/>
    <w:rsid w:val="00206A90"/>
    <w:rsid w:val="00206B48"/>
    <w:rsid w:val="00206B63"/>
    <w:rsid w:val="00206B6F"/>
    <w:rsid w:val="00206C21"/>
    <w:rsid w:val="00206C2B"/>
    <w:rsid w:val="00206C6C"/>
    <w:rsid w:val="00206D22"/>
    <w:rsid w:val="00206D5D"/>
    <w:rsid w:val="00206DBA"/>
    <w:rsid w:val="00206DCE"/>
    <w:rsid w:val="00206E49"/>
    <w:rsid w:val="00206E7D"/>
    <w:rsid w:val="00206E7F"/>
    <w:rsid w:val="00206E9B"/>
    <w:rsid w:val="00206F03"/>
    <w:rsid w:val="00206F0D"/>
    <w:rsid w:val="00206F5F"/>
    <w:rsid w:val="00206FC4"/>
    <w:rsid w:val="002070CF"/>
    <w:rsid w:val="0020714C"/>
    <w:rsid w:val="00207153"/>
    <w:rsid w:val="002071A3"/>
    <w:rsid w:val="002071C9"/>
    <w:rsid w:val="0020726C"/>
    <w:rsid w:val="002072E4"/>
    <w:rsid w:val="002073C7"/>
    <w:rsid w:val="00207432"/>
    <w:rsid w:val="00207559"/>
    <w:rsid w:val="002075A6"/>
    <w:rsid w:val="002075B3"/>
    <w:rsid w:val="002075DC"/>
    <w:rsid w:val="00207628"/>
    <w:rsid w:val="00207648"/>
    <w:rsid w:val="00207698"/>
    <w:rsid w:val="0020770D"/>
    <w:rsid w:val="0020777C"/>
    <w:rsid w:val="0020778B"/>
    <w:rsid w:val="002077A3"/>
    <w:rsid w:val="00207847"/>
    <w:rsid w:val="00207882"/>
    <w:rsid w:val="0020791E"/>
    <w:rsid w:val="002079BE"/>
    <w:rsid w:val="002079CD"/>
    <w:rsid w:val="002079E1"/>
    <w:rsid w:val="00207A2E"/>
    <w:rsid w:val="00207A94"/>
    <w:rsid w:val="00207B20"/>
    <w:rsid w:val="00207B4E"/>
    <w:rsid w:val="00207BAD"/>
    <w:rsid w:val="00207C74"/>
    <w:rsid w:val="00207D2C"/>
    <w:rsid w:val="00207D3A"/>
    <w:rsid w:val="00207E47"/>
    <w:rsid w:val="00207E84"/>
    <w:rsid w:val="00207ED6"/>
    <w:rsid w:val="00207EF9"/>
    <w:rsid w:val="00207F6A"/>
    <w:rsid w:val="00210016"/>
    <w:rsid w:val="00210026"/>
    <w:rsid w:val="0021013E"/>
    <w:rsid w:val="0021028A"/>
    <w:rsid w:val="0021039C"/>
    <w:rsid w:val="0021043D"/>
    <w:rsid w:val="00210584"/>
    <w:rsid w:val="002105FD"/>
    <w:rsid w:val="00210634"/>
    <w:rsid w:val="00210725"/>
    <w:rsid w:val="0021076E"/>
    <w:rsid w:val="0021078B"/>
    <w:rsid w:val="002107C9"/>
    <w:rsid w:val="00210878"/>
    <w:rsid w:val="0021089B"/>
    <w:rsid w:val="0021089D"/>
    <w:rsid w:val="002108B6"/>
    <w:rsid w:val="00210950"/>
    <w:rsid w:val="0021095D"/>
    <w:rsid w:val="002109D0"/>
    <w:rsid w:val="00210A6D"/>
    <w:rsid w:val="00210ADA"/>
    <w:rsid w:val="00210AEC"/>
    <w:rsid w:val="00210B03"/>
    <w:rsid w:val="00210B12"/>
    <w:rsid w:val="00210BD1"/>
    <w:rsid w:val="00210BD5"/>
    <w:rsid w:val="00210C2D"/>
    <w:rsid w:val="00210D07"/>
    <w:rsid w:val="00210DB7"/>
    <w:rsid w:val="00210DEB"/>
    <w:rsid w:val="00210E50"/>
    <w:rsid w:val="00210E80"/>
    <w:rsid w:val="00210ECB"/>
    <w:rsid w:val="00210EE5"/>
    <w:rsid w:val="00211019"/>
    <w:rsid w:val="00211151"/>
    <w:rsid w:val="00211185"/>
    <w:rsid w:val="0021118C"/>
    <w:rsid w:val="0021119E"/>
    <w:rsid w:val="002111FE"/>
    <w:rsid w:val="002113F8"/>
    <w:rsid w:val="0021148D"/>
    <w:rsid w:val="002114BC"/>
    <w:rsid w:val="002114EA"/>
    <w:rsid w:val="00211508"/>
    <w:rsid w:val="00211513"/>
    <w:rsid w:val="00211571"/>
    <w:rsid w:val="00211618"/>
    <w:rsid w:val="0021162A"/>
    <w:rsid w:val="002116EE"/>
    <w:rsid w:val="0021174B"/>
    <w:rsid w:val="00211753"/>
    <w:rsid w:val="00211778"/>
    <w:rsid w:val="00211784"/>
    <w:rsid w:val="00211832"/>
    <w:rsid w:val="002118BD"/>
    <w:rsid w:val="0021194B"/>
    <w:rsid w:val="002119A7"/>
    <w:rsid w:val="00211A34"/>
    <w:rsid w:val="00211A4B"/>
    <w:rsid w:val="00211ACA"/>
    <w:rsid w:val="00211AE6"/>
    <w:rsid w:val="00211B12"/>
    <w:rsid w:val="00211BEB"/>
    <w:rsid w:val="00211C18"/>
    <w:rsid w:val="00211C29"/>
    <w:rsid w:val="00211C8A"/>
    <w:rsid w:val="00211CB6"/>
    <w:rsid w:val="00211CC6"/>
    <w:rsid w:val="00211CF7"/>
    <w:rsid w:val="00211D4E"/>
    <w:rsid w:val="00211D6D"/>
    <w:rsid w:val="00211DCB"/>
    <w:rsid w:val="00211E18"/>
    <w:rsid w:val="00212068"/>
    <w:rsid w:val="00212078"/>
    <w:rsid w:val="0021208F"/>
    <w:rsid w:val="002120FF"/>
    <w:rsid w:val="00212199"/>
    <w:rsid w:val="002121A5"/>
    <w:rsid w:val="00212276"/>
    <w:rsid w:val="00212298"/>
    <w:rsid w:val="002122AE"/>
    <w:rsid w:val="002122AF"/>
    <w:rsid w:val="00212341"/>
    <w:rsid w:val="002123A5"/>
    <w:rsid w:val="002123D1"/>
    <w:rsid w:val="002124BC"/>
    <w:rsid w:val="002124BD"/>
    <w:rsid w:val="00212500"/>
    <w:rsid w:val="0021251A"/>
    <w:rsid w:val="00212542"/>
    <w:rsid w:val="0021255E"/>
    <w:rsid w:val="00212561"/>
    <w:rsid w:val="002125CB"/>
    <w:rsid w:val="002125DB"/>
    <w:rsid w:val="00212624"/>
    <w:rsid w:val="002126D0"/>
    <w:rsid w:val="00212704"/>
    <w:rsid w:val="00212718"/>
    <w:rsid w:val="00212723"/>
    <w:rsid w:val="0021279E"/>
    <w:rsid w:val="0021289E"/>
    <w:rsid w:val="00212990"/>
    <w:rsid w:val="002129D0"/>
    <w:rsid w:val="002129D9"/>
    <w:rsid w:val="00212A7B"/>
    <w:rsid w:val="00212B1B"/>
    <w:rsid w:val="00212B27"/>
    <w:rsid w:val="00212BC6"/>
    <w:rsid w:val="00212C1B"/>
    <w:rsid w:val="00212CBF"/>
    <w:rsid w:val="00212E99"/>
    <w:rsid w:val="00212F5D"/>
    <w:rsid w:val="00212FB9"/>
    <w:rsid w:val="00212FF2"/>
    <w:rsid w:val="00213034"/>
    <w:rsid w:val="0021311C"/>
    <w:rsid w:val="00213146"/>
    <w:rsid w:val="0021314E"/>
    <w:rsid w:val="002131F8"/>
    <w:rsid w:val="002132A3"/>
    <w:rsid w:val="002132F9"/>
    <w:rsid w:val="002133A4"/>
    <w:rsid w:val="002134A9"/>
    <w:rsid w:val="00213639"/>
    <w:rsid w:val="00213644"/>
    <w:rsid w:val="0021364D"/>
    <w:rsid w:val="00213687"/>
    <w:rsid w:val="002136E5"/>
    <w:rsid w:val="002137A1"/>
    <w:rsid w:val="00213868"/>
    <w:rsid w:val="002138FF"/>
    <w:rsid w:val="0021393A"/>
    <w:rsid w:val="00213A17"/>
    <w:rsid w:val="00213A93"/>
    <w:rsid w:val="00213AC0"/>
    <w:rsid w:val="00213BFF"/>
    <w:rsid w:val="00213C4C"/>
    <w:rsid w:val="00213C7C"/>
    <w:rsid w:val="00213C8F"/>
    <w:rsid w:val="00213D0F"/>
    <w:rsid w:val="00213D4A"/>
    <w:rsid w:val="00213DCB"/>
    <w:rsid w:val="00213E00"/>
    <w:rsid w:val="00213F94"/>
    <w:rsid w:val="002140A1"/>
    <w:rsid w:val="002140CC"/>
    <w:rsid w:val="002140D9"/>
    <w:rsid w:val="00214180"/>
    <w:rsid w:val="00214238"/>
    <w:rsid w:val="00214247"/>
    <w:rsid w:val="0021432E"/>
    <w:rsid w:val="0021438D"/>
    <w:rsid w:val="002143B2"/>
    <w:rsid w:val="002143C8"/>
    <w:rsid w:val="002143DA"/>
    <w:rsid w:val="00214437"/>
    <w:rsid w:val="00214452"/>
    <w:rsid w:val="0021445F"/>
    <w:rsid w:val="002144CE"/>
    <w:rsid w:val="0021454B"/>
    <w:rsid w:val="00214558"/>
    <w:rsid w:val="002145A3"/>
    <w:rsid w:val="0021464D"/>
    <w:rsid w:val="0021469D"/>
    <w:rsid w:val="002146BE"/>
    <w:rsid w:val="002146F3"/>
    <w:rsid w:val="00214735"/>
    <w:rsid w:val="00214745"/>
    <w:rsid w:val="00214870"/>
    <w:rsid w:val="0021494D"/>
    <w:rsid w:val="00214986"/>
    <w:rsid w:val="00214ADB"/>
    <w:rsid w:val="00214B22"/>
    <w:rsid w:val="00214B41"/>
    <w:rsid w:val="00214BB3"/>
    <w:rsid w:val="00214BDF"/>
    <w:rsid w:val="00214BE9"/>
    <w:rsid w:val="00214CB5"/>
    <w:rsid w:val="00214D38"/>
    <w:rsid w:val="00214DAF"/>
    <w:rsid w:val="00214DE1"/>
    <w:rsid w:val="00214DE9"/>
    <w:rsid w:val="00214E08"/>
    <w:rsid w:val="00214EFA"/>
    <w:rsid w:val="00214F86"/>
    <w:rsid w:val="00214F9F"/>
    <w:rsid w:val="00215019"/>
    <w:rsid w:val="002150A7"/>
    <w:rsid w:val="002150DE"/>
    <w:rsid w:val="002150FB"/>
    <w:rsid w:val="0021514C"/>
    <w:rsid w:val="0021526F"/>
    <w:rsid w:val="002152EB"/>
    <w:rsid w:val="002153FD"/>
    <w:rsid w:val="002154D6"/>
    <w:rsid w:val="00215571"/>
    <w:rsid w:val="00215669"/>
    <w:rsid w:val="002156F6"/>
    <w:rsid w:val="00215724"/>
    <w:rsid w:val="002157F8"/>
    <w:rsid w:val="0021583C"/>
    <w:rsid w:val="0021588B"/>
    <w:rsid w:val="0021589A"/>
    <w:rsid w:val="00215927"/>
    <w:rsid w:val="00215961"/>
    <w:rsid w:val="002159EF"/>
    <w:rsid w:val="00215A21"/>
    <w:rsid w:val="00215A3F"/>
    <w:rsid w:val="00215C01"/>
    <w:rsid w:val="00215C08"/>
    <w:rsid w:val="00215C2C"/>
    <w:rsid w:val="00215C61"/>
    <w:rsid w:val="00215D2B"/>
    <w:rsid w:val="00215DE0"/>
    <w:rsid w:val="00215E14"/>
    <w:rsid w:val="00215E81"/>
    <w:rsid w:val="00215E88"/>
    <w:rsid w:val="00215EA1"/>
    <w:rsid w:val="00215EB1"/>
    <w:rsid w:val="00215EEE"/>
    <w:rsid w:val="00215F35"/>
    <w:rsid w:val="00215F3A"/>
    <w:rsid w:val="00215F4D"/>
    <w:rsid w:val="00215F5B"/>
    <w:rsid w:val="00215FBA"/>
    <w:rsid w:val="00215FF0"/>
    <w:rsid w:val="00216031"/>
    <w:rsid w:val="00216032"/>
    <w:rsid w:val="00216061"/>
    <w:rsid w:val="0021616B"/>
    <w:rsid w:val="00216199"/>
    <w:rsid w:val="002161C1"/>
    <w:rsid w:val="0021633A"/>
    <w:rsid w:val="00216389"/>
    <w:rsid w:val="00216462"/>
    <w:rsid w:val="00216516"/>
    <w:rsid w:val="00216521"/>
    <w:rsid w:val="002165F5"/>
    <w:rsid w:val="00216618"/>
    <w:rsid w:val="0021662E"/>
    <w:rsid w:val="00216698"/>
    <w:rsid w:val="00216788"/>
    <w:rsid w:val="002167B7"/>
    <w:rsid w:val="002167D4"/>
    <w:rsid w:val="002167FC"/>
    <w:rsid w:val="002168C5"/>
    <w:rsid w:val="002168CB"/>
    <w:rsid w:val="0021691D"/>
    <w:rsid w:val="0021693E"/>
    <w:rsid w:val="00216B55"/>
    <w:rsid w:val="00216BCA"/>
    <w:rsid w:val="00216BE9"/>
    <w:rsid w:val="00216C27"/>
    <w:rsid w:val="00216C7D"/>
    <w:rsid w:val="00216C8C"/>
    <w:rsid w:val="00216CE9"/>
    <w:rsid w:val="00216D26"/>
    <w:rsid w:val="00216D35"/>
    <w:rsid w:val="00216DC0"/>
    <w:rsid w:val="00216E56"/>
    <w:rsid w:val="00216E99"/>
    <w:rsid w:val="00216ECA"/>
    <w:rsid w:val="00216EEC"/>
    <w:rsid w:val="00216FBE"/>
    <w:rsid w:val="00216FE4"/>
    <w:rsid w:val="00217043"/>
    <w:rsid w:val="00217097"/>
    <w:rsid w:val="002170A4"/>
    <w:rsid w:val="002170CD"/>
    <w:rsid w:val="002170E5"/>
    <w:rsid w:val="00217175"/>
    <w:rsid w:val="0021731B"/>
    <w:rsid w:val="00217367"/>
    <w:rsid w:val="002173AB"/>
    <w:rsid w:val="002173D1"/>
    <w:rsid w:val="002173F5"/>
    <w:rsid w:val="00217407"/>
    <w:rsid w:val="00217424"/>
    <w:rsid w:val="00217446"/>
    <w:rsid w:val="00217521"/>
    <w:rsid w:val="002175B5"/>
    <w:rsid w:val="002175B7"/>
    <w:rsid w:val="002175C0"/>
    <w:rsid w:val="002175D5"/>
    <w:rsid w:val="00217630"/>
    <w:rsid w:val="002176CB"/>
    <w:rsid w:val="002176D4"/>
    <w:rsid w:val="002176FC"/>
    <w:rsid w:val="00217782"/>
    <w:rsid w:val="002177FA"/>
    <w:rsid w:val="002178C4"/>
    <w:rsid w:val="002178C7"/>
    <w:rsid w:val="002178CE"/>
    <w:rsid w:val="002178F9"/>
    <w:rsid w:val="00217A0E"/>
    <w:rsid w:val="00217A28"/>
    <w:rsid w:val="00217A5E"/>
    <w:rsid w:val="00217AAF"/>
    <w:rsid w:val="00217B11"/>
    <w:rsid w:val="00217B19"/>
    <w:rsid w:val="00217BCD"/>
    <w:rsid w:val="00217C4B"/>
    <w:rsid w:val="00217C64"/>
    <w:rsid w:val="00217C79"/>
    <w:rsid w:val="00217DA1"/>
    <w:rsid w:val="00217E43"/>
    <w:rsid w:val="00217EDB"/>
    <w:rsid w:val="00217F88"/>
    <w:rsid w:val="00220061"/>
    <w:rsid w:val="00220067"/>
    <w:rsid w:val="002200D1"/>
    <w:rsid w:val="002200FE"/>
    <w:rsid w:val="00220189"/>
    <w:rsid w:val="00220399"/>
    <w:rsid w:val="002203D4"/>
    <w:rsid w:val="00220497"/>
    <w:rsid w:val="002204F1"/>
    <w:rsid w:val="0022052D"/>
    <w:rsid w:val="00220553"/>
    <w:rsid w:val="00220627"/>
    <w:rsid w:val="00220747"/>
    <w:rsid w:val="00220890"/>
    <w:rsid w:val="002208DF"/>
    <w:rsid w:val="00220943"/>
    <w:rsid w:val="002209FC"/>
    <w:rsid w:val="00220A28"/>
    <w:rsid w:val="00220A93"/>
    <w:rsid w:val="00220B23"/>
    <w:rsid w:val="00220B4B"/>
    <w:rsid w:val="00220B9E"/>
    <w:rsid w:val="00220C16"/>
    <w:rsid w:val="00220C2F"/>
    <w:rsid w:val="00220D8A"/>
    <w:rsid w:val="00220DD5"/>
    <w:rsid w:val="00220DDB"/>
    <w:rsid w:val="00220E66"/>
    <w:rsid w:val="00220E83"/>
    <w:rsid w:val="00220F10"/>
    <w:rsid w:val="00220F85"/>
    <w:rsid w:val="0022107D"/>
    <w:rsid w:val="002210FE"/>
    <w:rsid w:val="0022113D"/>
    <w:rsid w:val="0022115A"/>
    <w:rsid w:val="002211DC"/>
    <w:rsid w:val="0022123C"/>
    <w:rsid w:val="0022123D"/>
    <w:rsid w:val="00221340"/>
    <w:rsid w:val="002213DB"/>
    <w:rsid w:val="00221489"/>
    <w:rsid w:val="00221612"/>
    <w:rsid w:val="00221695"/>
    <w:rsid w:val="002216AF"/>
    <w:rsid w:val="002216B6"/>
    <w:rsid w:val="00221751"/>
    <w:rsid w:val="002217C4"/>
    <w:rsid w:val="002217EA"/>
    <w:rsid w:val="00221810"/>
    <w:rsid w:val="00221821"/>
    <w:rsid w:val="0022182F"/>
    <w:rsid w:val="00221882"/>
    <w:rsid w:val="002218AD"/>
    <w:rsid w:val="00221901"/>
    <w:rsid w:val="0022195F"/>
    <w:rsid w:val="00221971"/>
    <w:rsid w:val="0022198B"/>
    <w:rsid w:val="0022199B"/>
    <w:rsid w:val="00221A4A"/>
    <w:rsid w:val="00221A90"/>
    <w:rsid w:val="00221AAE"/>
    <w:rsid w:val="00221AB0"/>
    <w:rsid w:val="00221B16"/>
    <w:rsid w:val="00221B34"/>
    <w:rsid w:val="00221B5F"/>
    <w:rsid w:val="00221BCD"/>
    <w:rsid w:val="00221C06"/>
    <w:rsid w:val="00221C5A"/>
    <w:rsid w:val="00221C63"/>
    <w:rsid w:val="00221CCE"/>
    <w:rsid w:val="00221CF9"/>
    <w:rsid w:val="00221E52"/>
    <w:rsid w:val="00221F76"/>
    <w:rsid w:val="00221F7A"/>
    <w:rsid w:val="00221F84"/>
    <w:rsid w:val="00221FB7"/>
    <w:rsid w:val="00221FF3"/>
    <w:rsid w:val="0022205E"/>
    <w:rsid w:val="002220D5"/>
    <w:rsid w:val="002221A6"/>
    <w:rsid w:val="00222349"/>
    <w:rsid w:val="0022235E"/>
    <w:rsid w:val="0022238F"/>
    <w:rsid w:val="002223E9"/>
    <w:rsid w:val="0022247C"/>
    <w:rsid w:val="002224C8"/>
    <w:rsid w:val="002225EB"/>
    <w:rsid w:val="00222609"/>
    <w:rsid w:val="00222630"/>
    <w:rsid w:val="00222657"/>
    <w:rsid w:val="00222699"/>
    <w:rsid w:val="0022269B"/>
    <w:rsid w:val="002226A8"/>
    <w:rsid w:val="002226B2"/>
    <w:rsid w:val="0022270B"/>
    <w:rsid w:val="00222763"/>
    <w:rsid w:val="002227CC"/>
    <w:rsid w:val="0022281F"/>
    <w:rsid w:val="00222827"/>
    <w:rsid w:val="00222847"/>
    <w:rsid w:val="00222898"/>
    <w:rsid w:val="002228A4"/>
    <w:rsid w:val="00222A04"/>
    <w:rsid w:val="00222A98"/>
    <w:rsid w:val="00222C0C"/>
    <w:rsid w:val="00222C19"/>
    <w:rsid w:val="00222C2C"/>
    <w:rsid w:val="00222C48"/>
    <w:rsid w:val="00222C78"/>
    <w:rsid w:val="00222CFC"/>
    <w:rsid w:val="00222DD0"/>
    <w:rsid w:val="00222E31"/>
    <w:rsid w:val="00222E42"/>
    <w:rsid w:val="00222EF4"/>
    <w:rsid w:val="00222F54"/>
    <w:rsid w:val="00222F9D"/>
    <w:rsid w:val="00222FA2"/>
    <w:rsid w:val="00222FB9"/>
    <w:rsid w:val="0022301B"/>
    <w:rsid w:val="00223031"/>
    <w:rsid w:val="0022305C"/>
    <w:rsid w:val="002230A1"/>
    <w:rsid w:val="002230D1"/>
    <w:rsid w:val="0022319A"/>
    <w:rsid w:val="002232DC"/>
    <w:rsid w:val="0022336B"/>
    <w:rsid w:val="00223396"/>
    <w:rsid w:val="0022352F"/>
    <w:rsid w:val="002235A4"/>
    <w:rsid w:val="002235B5"/>
    <w:rsid w:val="00223613"/>
    <w:rsid w:val="00223668"/>
    <w:rsid w:val="0022378C"/>
    <w:rsid w:val="002237A6"/>
    <w:rsid w:val="0022393E"/>
    <w:rsid w:val="002239B2"/>
    <w:rsid w:val="00223A40"/>
    <w:rsid w:val="00223ADF"/>
    <w:rsid w:val="00223B73"/>
    <w:rsid w:val="00223BCF"/>
    <w:rsid w:val="00223C9C"/>
    <w:rsid w:val="00223ED4"/>
    <w:rsid w:val="00223F45"/>
    <w:rsid w:val="002240B6"/>
    <w:rsid w:val="002240ED"/>
    <w:rsid w:val="002241A7"/>
    <w:rsid w:val="00224261"/>
    <w:rsid w:val="0022433C"/>
    <w:rsid w:val="002243AC"/>
    <w:rsid w:val="002243E2"/>
    <w:rsid w:val="00224434"/>
    <w:rsid w:val="00224464"/>
    <w:rsid w:val="00224578"/>
    <w:rsid w:val="002246BA"/>
    <w:rsid w:val="002246E4"/>
    <w:rsid w:val="00224806"/>
    <w:rsid w:val="0022483D"/>
    <w:rsid w:val="00224843"/>
    <w:rsid w:val="002248BD"/>
    <w:rsid w:val="0022495F"/>
    <w:rsid w:val="00224A1F"/>
    <w:rsid w:val="00224A9D"/>
    <w:rsid w:val="00224ADB"/>
    <w:rsid w:val="00224B47"/>
    <w:rsid w:val="00224B80"/>
    <w:rsid w:val="00224D75"/>
    <w:rsid w:val="00224DF6"/>
    <w:rsid w:val="00224E6D"/>
    <w:rsid w:val="00224E7C"/>
    <w:rsid w:val="00224ECC"/>
    <w:rsid w:val="00224F8A"/>
    <w:rsid w:val="00225199"/>
    <w:rsid w:val="002251B9"/>
    <w:rsid w:val="00225204"/>
    <w:rsid w:val="0022526E"/>
    <w:rsid w:val="002252CF"/>
    <w:rsid w:val="002253AC"/>
    <w:rsid w:val="002253B5"/>
    <w:rsid w:val="002253EC"/>
    <w:rsid w:val="00225406"/>
    <w:rsid w:val="0022542D"/>
    <w:rsid w:val="00225450"/>
    <w:rsid w:val="002254EA"/>
    <w:rsid w:val="0022553F"/>
    <w:rsid w:val="00225603"/>
    <w:rsid w:val="00225612"/>
    <w:rsid w:val="00225675"/>
    <w:rsid w:val="00225831"/>
    <w:rsid w:val="00225844"/>
    <w:rsid w:val="0022592F"/>
    <w:rsid w:val="00225A1D"/>
    <w:rsid w:val="00225A5A"/>
    <w:rsid w:val="00225A79"/>
    <w:rsid w:val="00225A88"/>
    <w:rsid w:val="00225B81"/>
    <w:rsid w:val="00225BB6"/>
    <w:rsid w:val="00225D45"/>
    <w:rsid w:val="00225E03"/>
    <w:rsid w:val="00225E46"/>
    <w:rsid w:val="00225E4B"/>
    <w:rsid w:val="00225E6C"/>
    <w:rsid w:val="00225FFF"/>
    <w:rsid w:val="00226004"/>
    <w:rsid w:val="00226042"/>
    <w:rsid w:val="0022607B"/>
    <w:rsid w:val="002260F2"/>
    <w:rsid w:val="0022611D"/>
    <w:rsid w:val="0022614B"/>
    <w:rsid w:val="002261A8"/>
    <w:rsid w:val="002261B0"/>
    <w:rsid w:val="002261D2"/>
    <w:rsid w:val="00226249"/>
    <w:rsid w:val="0022628B"/>
    <w:rsid w:val="002262C6"/>
    <w:rsid w:val="00226329"/>
    <w:rsid w:val="00226366"/>
    <w:rsid w:val="0022638E"/>
    <w:rsid w:val="002263DE"/>
    <w:rsid w:val="002263F7"/>
    <w:rsid w:val="002264A7"/>
    <w:rsid w:val="0022662F"/>
    <w:rsid w:val="00226678"/>
    <w:rsid w:val="00226745"/>
    <w:rsid w:val="002267F0"/>
    <w:rsid w:val="0022681C"/>
    <w:rsid w:val="0022682F"/>
    <w:rsid w:val="002268E9"/>
    <w:rsid w:val="0022695E"/>
    <w:rsid w:val="0022696F"/>
    <w:rsid w:val="002269C2"/>
    <w:rsid w:val="002269CF"/>
    <w:rsid w:val="00226A5F"/>
    <w:rsid w:val="00226A84"/>
    <w:rsid w:val="00226AB6"/>
    <w:rsid w:val="00226AB8"/>
    <w:rsid w:val="00226ABA"/>
    <w:rsid w:val="00226ACA"/>
    <w:rsid w:val="00226B2D"/>
    <w:rsid w:val="00226B4B"/>
    <w:rsid w:val="00226B4E"/>
    <w:rsid w:val="00226D0A"/>
    <w:rsid w:val="00226D0E"/>
    <w:rsid w:val="00226D33"/>
    <w:rsid w:val="00226D81"/>
    <w:rsid w:val="00226E10"/>
    <w:rsid w:val="00226E60"/>
    <w:rsid w:val="00226E72"/>
    <w:rsid w:val="00226EC4"/>
    <w:rsid w:val="00226EFE"/>
    <w:rsid w:val="00226F24"/>
    <w:rsid w:val="00226FF6"/>
    <w:rsid w:val="0022702B"/>
    <w:rsid w:val="0022708B"/>
    <w:rsid w:val="0022710B"/>
    <w:rsid w:val="0022713A"/>
    <w:rsid w:val="0022716A"/>
    <w:rsid w:val="00227217"/>
    <w:rsid w:val="00227218"/>
    <w:rsid w:val="00227234"/>
    <w:rsid w:val="0022724F"/>
    <w:rsid w:val="0022726A"/>
    <w:rsid w:val="00227363"/>
    <w:rsid w:val="00227380"/>
    <w:rsid w:val="00227399"/>
    <w:rsid w:val="0022742A"/>
    <w:rsid w:val="00227470"/>
    <w:rsid w:val="0022747D"/>
    <w:rsid w:val="002274CC"/>
    <w:rsid w:val="00227515"/>
    <w:rsid w:val="00227525"/>
    <w:rsid w:val="0022753D"/>
    <w:rsid w:val="002275D6"/>
    <w:rsid w:val="00227607"/>
    <w:rsid w:val="00227646"/>
    <w:rsid w:val="0022766E"/>
    <w:rsid w:val="002276CD"/>
    <w:rsid w:val="002276F8"/>
    <w:rsid w:val="00227860"/>
    <w:rsid w:val="002278D6"/>
    <w:rsid w:val="002278DE"/>
    <w:rsid w:val="00227907"/>
    <w:rsid w:val="00227931"/>
    <w:rsid w:val="002279E1"/>
    <w:rsid w:val="00227A99"/>
    <w:rsid w:val="00227B35"/>
    <w:rsid w:val="00227D15"/>
    <w:rsid w:val="00227D39"/>
    <w:rsid w:val="00227D81"/>
    <w:rsid w:val="00227DDF"/>
    <w:rsid w:val="00227E0F"/>
    <w:rsid w:val="00227E3D"/>
    <w:rsid w:val="00227EE0"/>
    <w:rsid w:val="00227F88"/>
    <w:rsid w:val="00227FAA"/>
    <w:rsid w:val="00230008"/>
    <w:rsid w:val="00230040"/>
    <w:rsid w:val="002300AE"/>
    <w:rsid w:val="00230110"/>
    <w:rsid w:val="002301C4"/>
    <w:rsid w:val="00230271"/>
    <w:rsid w:val="0023031D"/>
    <w:rsid w:val="00230365"/>
    <w:rsid w:val="0023040E"/>
    <w:rsid w:val="00230471"/>
    <w:rsid w:val="0023049A"/>
    <w:rsid w:val="002304EA"/>
    <w:rsid w:val="00230522"/>
    <w:rsid w:val="0023059D"/>
    <w:rsid w:val="002305D9"/>
    <w:rsid w:val="0023063F"/>
    <w:rsid w:val="0023064C"/>
    <w:rsid w:val="00230727"/>
    <w:rsid w:val="00230731"/>
    <w:rsid w:val="002307A0"/>
    <w:rsid w:val="00230829"/>
    <w:rsid w:val="002308DA"/>
    <w:rsid w:val="00230976"/>
    <w:rsid w:val="00230B85"/>
    <w:rsid w:val="00230BB2"/>
    <w:rsid w:val="00230BDB"/>
    <w:rsid w:val="00230C1E"/>
    <w:rsid w:val="00230C86"/>
    <w:rsid w:val="00230CBD"/>
    <w:rsid w:val="00230DB1"/>
    <w:rsid w:val="00230E15"/>
    <w:rsid w:val="00230E58"/>
    <w:rsid w:val="00230E93"/>
    <w:rsid w:val="00230FB6"/>
    <w:rsid w:val="00230FC0"/>
    <w:rsid w:val="00230FF6"/>
    <w:rsid w:val="00231029"/>
    <w:rsid w:val="0023103D"/>
    <w:rsid w:val="00231065"/>
    <w:rsid w:val="0023109D"/>
    <w:rsid w:val="002310C2"/>
    <w:rsid w:val="00231162"/>
    <w:rsid w:val="00231184"/>
    <w:rsid w:val="0023118F"/>
    <w:rsid w:val="002311B7"/>
    <w:rsid w:val="00231281"/>
    <w:rsid w:val="002312C7"/>
    <w:rsid w:val="00231344"/>
    <w:rsid w:val="002313AE"/>
    <w:rsid w:val="0023145A"/>
    <w:rsid w:val="0023148A"/>
    <w:rsid w:val="002314C6"/>
    <w:rsid w:val="00231502"/>
    <w:rsid w:val="0023151D"/>
    <w:rsid w:val="00231579"/>
    <w:rsid w:val="002315AB"/>
    <w:rsid w:val="002315E5"/>
    <w:rsid w:val="00231692"/>
    <w:rsid w:val="002316C3"/>
    <w:rsid w:val="002316DE"/>
    <w:rsid w:val="00231713"/>
    <w:rsid w:val="00231717"/>
    <w:rsid w:val="002317CA"/>
    <w:rsid w:val="002317D6"/>
    <w:rsid w:val="002319D4"/>
    <w:rsid w:val="002319F9"/>
    <w:rsid w:val="002319FA"/>
    <w:rsid w:val="00231ACF"/>
    <w:rsid w:val="00231B59"/>
    <w:rsid w:val="00231BC6"/>
    <w:rsid w:val="00231C0C"/>
    <w:rsid w:val="00231C1D"/>
    <w:rsid w:val="00231C36"/>
    <w:rsid w:val="00231CDD"/>
    <w:rsid w:val="00231D90"/>
    <w:rsid w:val="00231E3B"/>
    <w:rsid w:val="00231E86"/>
    <w:rsid w:val="00231FCA"/>
    <w:rsid w:val="00231FD4"/>
    <w:rsid w:val="00231FFF"/>
    <w:rsid w:val="0023201A"/>
    <w:rsid w:val="002320A3"/>
    <w:rsid w:val="00232156"/>
    <w:rsid w:val="00232174"/>
    <w:rsid w:val="00232247"/>
    <w:rsid w:val="0023228A"/>
    <w:rsid w:val="002322AE"/>
    <w:rsid w:val="002322DC"/>
    <w:rsid w:val="002322E8"/>
    <w:rsid w:val="002323E0"/>
    <w:rsid w:val="002323E1"/>
    <w:rsid w:val="002323F0"/>
    <w:rsid w:val="0023243B"/>
    <w:rsid w:val="0023248E"/>
    <w:rsid w:val="002324BC"/>
    <w:rsid w:val="0023250B"/>
    <w:rsid w:val="0023253D"/>
    <w:rsid w:val="0023262C"/>
    <w:rsid w:val="00232646"/>
    <w:rsid w:val="00232707"/>
    <w:rsid w:val="00232762"/>
    <w:rsid w:val="002327CD"/>
    <w:rsid w:val="00232823"/>
    <w:rsid w:val="00232923"/>
    <w:rsid w:val="0023297D"/>
    <w:rsid w:val="002329F1"/>
    <w:rsid w:val="00232A61"/>
    <w:rsid w:val="00232BD0"/>
    <w:rsid w:val="00232C3C"/>
    <w:rsid w:val="00232C51"/>
    <w:rsid w:val="00232C74"/>
    <w:rsid w:val="00232C7B"/>
    <w:rsid w:val="00232CC4"/>
    <w:rsid w:val="00232D71"/>
    <w:rsid w:val="00232DCE"/>
    <w:rsid w:val="00232DD6"/>
    <w:rsid w:val="00232E2D"/>
    <w:rsid w:val="00232E9A"/>
    <w:rsid w:val="00232EA3"/>
    <w:rsid w:val="00232ED4"/>
    <w:rsid w:val="00232F5D"/>
    <w:rsid w:val="00232F6A"/>
    <w:rsid w:val="00232F88"/>
    <w:rsid w:val="00232FB0"/>
    <w:rsid w:val="0023301D"/>
    <w:rsid w:val="00233034"/>
    <w:rsid w:val="00233099"/>
    <w:rsid w:val="00233278"/>
    <w:rsid w:val="00233353"/>
    <w:rsid w:val="002333C6"/>
    <w:rsid w:val="002333D7"/>
    <w:rsid w:val="002334C6"/>
    <w:rsid w:val="0023350A"/>
    <w:rsid w:val="0023350C"/>
    <w:rsid w:val="002335B9"/>
    <w:rsid w:val="002335E2"/>
    <w:rsid w:val="002337C6"/>
    <w:rsid w:val="00233821"/>
    <w:rsid w:val="00233857"/>
    <w:rsid w:val="002339A0"/>
    <w:rsid w:val="00233A11"/>
    <w:rsid w:val="00233ABB"/>
    <w:rsid w:val="00233B1A"/>
    <w:rsid w:val="00233B62"/>
    <w:rsid w:val="00233C7D"/>
    <w:rsid w:val="00233D0D"/>
    <w:rsid w:val="00233D2E"/>
    <w:rsid w:val="00233D74"/>
    <w:rsid w:val="00233DC2"/>
    <w:rsid w:val="00233E48"/>
    <w:rsid w:val="00233EB5"/>
    <w:rsid w:val="00233F6A"/>
    <w:rsid w:val="00233FE0"/>
    <w:rsid w:val="00233FED"/>
    <w:rsid w:val="00234033"/>
    <w:rsid w:val="002340DD"/>
    <w:rsid w:val="002340DE"/>
    <w:rsid w:val="00234138"/>
    <w:rsid w:val="00234189"/>
    <w:rsid w:val="0023422C"/>
    <w:rsid w:val="0023426D"/>
    <w:rsid w:val="00234337"/>
    <w:rsid w:val="0023442C"/>
    <w:rsid w:val="0023449D"/>
    <w:rsid w:val="002344A1"/>
    <w:rsid w:val="002344E2"/>
    <w:rsid w:val="0023455D"/>
    <w:rsid w:val="0023458A"/>
    <w:rsid w:val="002345E6"/>
    <w:rsid w:val="00234624"/>
    <w:rsid w:val="00234651"/>
    <w:rsid w:val="0023466F"/>
    <w:rsid w:val="002346D2"/>
    <w:rsid w:val="002346F9"/>
    <w:rsid w:val="00234755"/>
    <w:rsid w:val="002347D5"/>
    <w:rsid w:val="002347DD"/>
    <w:rsid w:val="002347EF"/>
    <w:rsid w:val="00234835"/>
    <w:rsid w:val="0023484A"/>
    <w:rsid w:val="00234850"/>
    <w:rsid w:val="00234878"/>
    <w:rsid w:val="002348EA"/>
    <w:rsid w:val="002348FF"/>
    <w:rsid w:val="00234934"/>
    <w:rsid w:val="002349FB"/>
    <w:rsid w:val="00234A13"/>
    <w:rsid w:val="00234A42"/>
    <w:rsid w:val="00234B90"/>
    <w:rsid w:val="00234BE0"/>
    <w:rsid w:val="00234BEF"/>
    <w:rsid w:val="00234BF7"/>
    <w:rsid w:val="00234C80"/>
    <w:rsid w:val="00234D77"/>
    <w:rsid w:val="00234D93"/>
    <w:rsid w:val="00234DFE"/>
    <w:rsid w:val="00234EC5"/>
    <w:rsid w:val="00234F0D"/>
    <w:rsid w:val="0023504F"/>
    <w:rsid w:val="002350EB"/>
    <w:rsid w:val="00235182"/>
    <w:rsid w:val="002353B1"/>
    <w:rsid w:val="00235420"/>
    <w:rsid w:val="002354E6"/>
    <w:rsid w:val="00235550"/>
    <w:rsid w:val="00235577"/>
    <w:rsid w:val="002355B2"/>
    <w:rsid w:val="002355C5"/>
    <w:rsid w:val="002355F5"/>
    <w:rsid w:val="002356A2"/>
    <w:rsid w:val="00235789"/>
    <w:rsid w:val="002357DA"/>
    <w:rsid w:val="002357ED"/>
    <w:rsid w:val="0023585A"/>
    <w:rsid w:val="00235883"/>
    <w:rsid w:val="0023592C"/>
    <w:rsid w:val="00235945"/>
    <w:rsid w:val="002359D3"/>
    <w:rsid w:val="00235AD6"/>
    <w:rsid w:val="00235B16"/>
    <w:rsid w:val="00235B19"/>
    <w:rsid w:val="00235B2B"/>
    <w:rsid w:val="00235C1B"/>
    <w:rsid w:val="00235C7A"/>
    <w:rsid w:val="00235CE2"/>
    <w:rsid w:val="00235D7E"/>
    <w:rsid w:val="00235DF4"/>
    <w:rsid w:val="00235E46"/>
    <w:rsid w:val="00235ECD"/>
    <w:rsid w:val="00235EEF"/>
    <w:rsid w:val="00235FC0"/>
    <w:rsid w:val="0023603A"/>
    <w:rsid w:val="0023604C"/>
    <w:rsid w:val="0023606B"/>
    <w:rsid w:val="00236073"/>
    <w:rsid w:val="0023607D"/>
    <w:rsid w:val="002360C7"/>
    <w:rsid w:val="002360C9"/>
    <w:rsid w:val="00236106"/>
    <w:rsid w:val="00236120"/>
    <w:rsid w:val="00236159"/>
    <w:rsid w:val="0023619C"/>
    <w:rsid w:val="00236227"/>
    <w:rsid w:val="00236276"/>
    <w:rsid w:val="00236281"/>
    <w:rsid w:val="00236293"/>
    <w:rsid w:val="002362AD"/>
    <w:rsid w:val="002362EA"/>
    <w:rsid w:val="002362FA"/>
    <w:rsid w:val="00236303"/>
    <w:rsid w:val="00236318"/>
    <w:rsid w:val="00236358"/>
    <w:rsid w:val="002363C1"/>
    <w:rsid w:val="002363FD"/>
    <w:rsid w:val="00236402"/>
    <w:rsid w:val="0023641C"/>
    <w:rsid w:val="00236422"/>
    <w:rsid w:val="002364D2"/>
    <w:rsid w:val="002364EC"/>
    <w:rsid w:val="002364FB"/>
    <w:rsid w:val="0023655C"/>
    <w:rsid w:val="002365A0"/>
    <w:rsid w:val="00236605"/>
    <w:rsid w:val="00236638"/>
    <w:rsid w:val="002366EF"/>
    <w:rsid w:val="0023674A"/>
    <w:rsid w:val="00236815"/>
    <w:rsid w:val="002368A8"/>
    <w:rsid w:val="00236914"/>
    <w:rsid w:val="0023691A"/>
    <w:rsid w:val="00236978"/>
    <w:rsid w:val="00236A01"/>
    <w:rsid w:val="00236AC2"/>
    <w:rsid w:val="00236AC4"/>
    <w:rsid w:val="00236B0B"/>
    <w:rsid w:val="00236B6B"/>
    <w:rsid w:val="00236B70"/>
    <w:rsid w:val="00236BC7"/>
    <w:rsid w:val="00236BF8"/>
    <w:rsid w:val="00236C01"/>
    <w:rsid w:val="00236C9C"/>
    <w:rsid w:val="00236CC3"/>
    <w:rsid w:val="00236CDF"/>
    <w:rsid w:val="00236CEE"/>
    <w:rsid w:val="00236D00"/>
    <w:rsid w:val="00236D0D"/>
    <w:rsid w:val="00236E11"/>
    <w:rsid w:val="00236EB4"/>
    <w:rsid w:val="00236EC2"/>
    <w:rsid w:val="00236F1A"/>
    <w:rsid w:val="00236F1B"/>
    <w:rsid w:val="00236F27"/>
    <w:rsid w:val="00236F81"/>
    <w:rsid w:val="00236FAE"/>
    <w:rsid w:val="00237111"/>
    <w:rsid w:val="00237114"/>
    <w:rsid w:val="00237143"/>
    <w:rsid w:val="00237167"/>
    <w:rsid w:val="0023719C"/>
    <w:rsid w:val="002371B7"/>
    <w:rsid w:val="002371B9"/>
    <w:rsid w:val="002371F0"/>
    <w:rsid w:val="0023728A"/>
    <w:rsid w:val="00237321"/>
    <w:rsid w:val="002374EF"/>
    <w:rsid w:val="002374F3"/>
    <w:rsid w:val="0023751E"/>
    <w:rsid w:val="002375DD"/>
    <w:rsid w:val="00237607"/>
    <w:rsid w:val="00237669"/>
    <w:rsid w:val="0023766D"/>
    <w:rsid w:val="002376A0"/>
    <w:rsid w:val="00237714"/>
    <w:rsid w:val="002377AE"/>
    <w:rsid w:val="002377B7"/>
    <w:rsid w:val="002377F3"/>
    <w:rsid w:val="00237877"/>
    <w:rsid w:val="0023796E"/>
    <w:rsid w:val="002379AA"/>
    <w:rsid w:val="00237A26"/>
    <w:rsid w:val="00237AB2"/>
    <w:rsid w:val="00237BF8"/>
    <w:rsid w:val="00237C15"/>
    <w:rsid w:val="00237C2C"/>
    <w:rsid w:val="00237C3D"/>
    <w:rsid w:val="00237CA8"/>
    <w:rsid w:val="00237CDD"/>
    <w:rsid w:val="00237D99"/>
    <w:rsid w:val="00237DCF"/>
    <w:rsid w:val="00237E22"/>
    <w:rsid w:val="00237ED9"/>
    <w:rsid w:val="00237FE6"/>
    <w:rsid w:val="00239E43"/>
    <w:rsid w:val="00240055"/>
    <w:rsid w:val="0024005D"/>
    <w:rsid w:val="002400ED"/>
    <w:rsid w:val="0024014F"/>
    <w:rsid w:val="0024016D"/>
    <w:rsid w:val="0024017E"/>
    <w:rsid w:val="002401DA"/>
    <w:rsid w:val="002401F9"/>
    <w:rsid w:val="002402DA"/>
    <w:rsid w:val="002402F0"/>
    <w:rsid w:val="002403C2"/>
    <w:rsid w:val="00240420"/>
    <w:rsid w:val="0024047B"/>
    <w:rsid w:val="002404F6"/>
    <w:rsid w:val="00240504"/>
    <w:rsid w:val="0024050E"/>
    <w:rsid w:val="0024052B"/>
    <w:rsid w:val="00240541"/>
    <w:rsid w:val="00240605"/>
    <w:rsid w:val="00240695"/>
    <w:rsid w:val="00240779"/>
    <w:rsid w:val="002407AD"/>
    <w:rsid w:val="002407F8"/>
    <w:rsid w:val="00240840"/>
    <w:rsid w:val="00240862"/>
    <w:rsid w:val="00240897"/>
    <w:rsid w:val="002408B9"/>
    <w:rsid w:val="002408DB"/>
    <w:rsid w:val="002409BC"/>
    <w:rsid w:val="002409F3"/>
    <w:rsid w:val="00240A36"/>
    <w:rsid w:val="00240A53"/>
    <w:rsid w:val="00240AD1"/>
    <w:rsid w:val="00240B1B"/>
    <w:rsid w:val="00240B2A"/>
    <w:rsid w:val="00240B35"/>
    <w:rsid w:val="00240B7D"/>
    <w:rsid w:val="00240C42"/>
    <w:rsid w:val="00240C8D"/>
    <w:rsid w:val="00240D13"/>
    <w:rsid w:val="00240D2E"/>
    <w:rsid w:val="00240DA8"/>
    <w:rsid w:val="00240E43"/>
    <w:rsid w:val="00240EAE"/>
    <w:rsid w:val="00240EC1"/>
    <w:rsid w:val="00240ECF"/>
    <w:rsid w:val="00240ED2"/>
    <w:rsid w:val="00240EF3"/>
    <w:rsid w:val="0024101C"/>
    <w:rsid w:val="00241077"/>
    <w:rsid w:val="00241084"/>
    <w:rsid w:val="002411F1"/>
    <w:rsid w:val="002411F5"/>
    <w:rsid w:val="00241206"/>
    <w:rsid w:val="00241208"/>
    <w:rsid w:val="0024129D"/>
    <w:rsid w:val="002412F9"/>
    <w:rsid w:val="00241304"/>
    <w:rsid w:val="00241380"/>
    <w:rsid w:val="0024139A"/>
    <w:rsid w:val="002413D6"/>
    <w:rsid w:val="002413F5"/>
    <w:rsid w:val="0024140D"/>
    <w:rsid w:val="002414A3"/>
    <w:rsid w:val="002414B0"/>
    <w:rsid w:val="002414D7"/>
    <w:rsid w:val="002414F5"/>
    <w:rsid w:val="00241500"/>
    <w:rsid w:val="00241529"/>
    <w:rsid w:val="0024154E"/>
    <w:rsid w:val="002415DB"/>
    <w:rsid w:val="00241662"/>
    <w:rsid w:val="0024167F"/>
    <w:rsid w:val="002416B1"/>
    <w:rsid w:val="0024180E"/>
    <w:rsid w:val="00241893"/>
    <w:rsid w:val="002418B4"/>
    <w:rsid w:val="0024198E"/>
    <w:rsid w:val="002419D1"/>
    <w:rsid w:val="002419E6"/>
    <w:rsid w:val="00241A4D"/>
    <w:rsid w:val="00241AE0"/>
    <w:rsid w:val="00241AF6"/>
    <w:rsid w:val="00241B62"/>
    <w:rsid w:val="00241BF7"/>
    <w:rsid w:val="00241CB8"/>
    <w:rsid w:val="00241E18"/>
    <w:rsid w:val="00241E19"/>
    <w:rsid w:val="00241ECE"/>
    <w:rsid w:val="00241F80"/>
    <w:rsid w:val="00241FF5"/>
    <w:rsid w:val="00242085"/>
    <w:rsid w:val="002420FD"/>
    <w:rsid w:val="002421AD"/>
    <w:rsid w:val="00242233"/>
    <w:rsid w:val="00242247"/>
    <w:rsid w:val="00242250"/>
    <w:rsid w:val="00242261"/>
    <w:rsid w:val="0024226E"/>
    <w:rsid w:val="002422EC"/>
    <w:rsid w:val="0024232D"/>
    <w:rsid w:val="00242344"/>
    <w:rsid w:val="00242354"/>
    <w:rsid w:val="00242382"/>
    <w:rsid w:val="002423FF"/>
    <w:rsid w:val="002424D9"/>
    <w:rsid w:val="00242509"/>
    <w:rsid w:val="00242533"/>
    <w:rsid w:val="00242564"/>
    <w:rsid w:val="00242567"/>
    <w:rsid w:val="0024257C"/>
    <w:rsid w:val="0024262F"/>
    <w:rsid w:val="00242649"/>
    <w:rsid w:val="0024265E"/>
    <w:rsid w:val="0024275B"/>
    <w:rsid w:val="0024275E"/>
    <w:rsid w:val="002427AA"/>
    <w:rsid w:val="002427E2"/>
    <w:rsid w:val="00242839"/>
    <w:rsid w:val="0024283D"/>
    <w:rsid w:val="00242883"/>
    <w:rsid w:val="0024289D"/>
    <w:rsid w:val="002428E7"/>
    <w:rsid w:val="00242982"/>
    <w:rsid w:val="00242B57"/>
    <w:rsid w:val="00242C0C"/>
    <w:rsid w:val="00242C12"/>
    <w:rsid w:val="00242CB7"/>
    <w:rsid w:val="00242D22"/>
    <w:rsid w:val="00242D24"/>
    <w:rsid w:val="00242D85"/>
    <w:rsid w:val="00242E1F"/>
    <w:rsid w:val="00242EBE"/>
    <w:rsid w:val="00242F8B"/>
    <w:rsid w:val="00242FB8"/>
    <w:rsid w:val="002430AA"/>
    <w:rsid w:val="002430E6"/>
    <w:rsid w:val="0024311F"/>
    <w:rsid w:val="002431F8"/>
    <w:rsid w:val="002431FA"/>
    <w:rsid w:val="0024321F"/>
    <w:rsid w:val="00243252"/>
    <w:rsid w:val="002432A8"/>
    <w:rsid w:val="00243305"/>
    <w:rsid w:val="0024336F"/>
    <w:rsid w:val="002433F1"/>
    <w:rsid w:val="002434FC"/>
    <w:rsid w:val="0024351D"/>
    <w:rsid w:val="0024355D"/>
    <w:rsid w:val="002435CD"/>
    <w:rsid w:val="00243634"/>
    <w:rsid w:val="002436EF"/>
    <w:rsid w:val="0024384B"/>
    <w:rsid w:val="00243867"/>
    <w:rsid w:val="002438B2"/>
    <w:rsid w:val="00243947"/>
    <w:rsid w:val="00243A23"/>
    <w:rsid w:val="00243A4A"/>
    <w:rsid w:val="00243A7D"/>
    <w:rsid w:val="00243B0B"/>
    <w:rsid w:val="00243B41"/>
    <w:rsid w:val="00243B8E"/>
    <w:rsid w:val="00243BB6"/>
    <w:rsid w:val="00243BE8"/>
    <w:rsid w:val="00243C45"/>
    <w:rsid w:val="00243C55"/>
    <w:rsid w:val="00243CE7"/>
    <w:rsid w:val="00243D03"/>
    <w:rsid w:val="00243D86"/>
    <w:rsid w:val="00243DC8"/>
    <w:rsid w:val="00243FF9"/>
    <w:rsid w:val="00244380"/>
    <w:rsid w:val="00244384"/>
    <w:rsid w:val="002443F9"/>
    <w:rsid w:val="00244404"/>
    <w:rsid w:val="00244450"/>
    <w:rsid w:val="002444DE"/>
    <w:rsid w:val="002444F0"/>
    <w:rsid w:val="00244608"/>
    <w:rsid w:val="002446A8"/>
    <w:rsid w:val="002446AD"/>
    <w:rsid w:val="0024473B"/>
    <w:rsid w:val="00244771"/>
    <w:rsid w:val="002447E2"/>
    <w:rsid w:val="00244AB5"/>
    <w:rsid w:val="00244B1C"/>
    <w:rsid w:val="00244B32"/>
    <w:rsid w:val="00244BAD"/>
    <w:rsid w:val="00244C53"/>
    <w:rsid w:val="00244C6C"/>
    <w:rsid w:val="00244C77"/>
    <w:rsid w:val="00244CE4"/>
    <w:rsid w:val="00244DD9"/>
    <w:rsid w:val="00244DF8"/>
    <w:rsid w:val="00244E1C"/>
    <w:rsid w:val="00244E37"/>
    <w:rsid w:val="00244ED7"/>
    <w:rsid w:val="00244F5D"/>
    <w:rsid w:val="00244FF0"/>
    <w:rsid w:val="0024500B"/>
    <w:rsid w:val="00245087"/>
    <w:rsid w:val="002450BF"/>
    <w:rsid w:val="0024537C"/>
    <w:rsid w:val="002453EC"/>
    <w:rsid w:val="0024549E"/>
    <w:rsid w:val="002454BB"/>
    <w:rsid w:val="002454F6"/>
    <w:rsid w:val="0024553B"/>
    <w:rsid w:val="002455E6"/>
    <w:rsid w:val="00245615"/>
    <w:rsid w:val="00245669"/>
    <w:rsid w:val="0024566A"/>
    <w:rsid w:val="002456C6"/>
    <w:rsid w:val="002456FC"/>
    <w:rsid w:val="0024571F"/>
    <w:rsid w:val="00245777"/>
    <w:rsid w:val="0024578E"/>
    <w:rsid w:val="00245857"/>
    <w:rsid w:val="00245870"/>
    <w:rsid w:val="00245885"/>
    <w:rsid w:val="00245886"/>
    <w:rsid w:val="002458CC"/>
    <w:rsid w:val="002458E1"/>
    <w:rsid w:val="00245911"/>
    <w:rsid w:val="00245917"/>
    <w:rsid w:val="0024596F"/>
    <w:rsid w:val="002459C1"/>
    <w:rsid w:val="002459E7"/>
    <w:rsid w:val="00245A01"/>
    <w:rsid w:val="00245A06"/>
    <w:rsid w:val="00245A75"/>
    <w:rsid w:val="00245AC2"/>
    <w:rsid w:val="00245B11"/>
    <w:rsid w:val="00245B4D"/>
    <w:rsid w:val="00245B56"/>
    <w:rsid w:val="00245BBB"/>
    <w:rsid w:val="00245BD6"/>
    <w:rsid w:val="00245C39"/>
    <w:rsid w:val="00245C8C"/>
    <w:rsid w:val="00245D43"/>
    <w:rsid w:val="00245D6E"/>
    <w:rsid w:val="00245F0B"/>
    <w:rsid w:val="00245F33"/>
    <w:rsid w:val="00245F77"/>
    <w:rsid w:val="00245F89"/>
    <w:rsid w:val="00245F95"/>
    <w:rsid w:val="00246061"/>
    <w:rsid w:val="0024607E"/>
    <w:rsid w:val="002460C0"/>
    <w:rsid w:val="00246117"/>
    <w:rsid w:val="00246143"/>
    <w:rsid w:val="0024618B"/>
    <w:rsid w:val="00246192"/>
    <w:rsid w:val="00246202"/>
    <w:rsid w:val="0024629D"/>
    <w:rsid w:val="002462F4"/>
    <w:rsid w:val="00246427"/>
    <w:rsid w:val="00246440"/>
    <w:rsid w:val="0024651B"/>
    <w:rsid w:val="00246550"/>
    <w:rsid w:val="00246558"/>
    <w:rsid w:val="002465C6"/>
    <w:rsid w:val="002466A7"/>
    <w:rsid w:val="002466FC"/>
    <w:rsid w:val="00246715"/>
    <w:rsid w:val="00246760"/>
    <w:rsid w:val="00246882"/>
    <w:rsid w:val="002468D5"/>
    <w:rsid w:val="002469B9"/>
    <w:rsid w:val="00246A18"/>
    <w:rsid w:val="00246A9B"/>
    <w:rsid w:val="00246B5A"/>
    <w:rsid w:val="00246CAF"/>
    <w:rsid w:val="00246CB6"/>
    <w:rsid w:val="00246CF8"/>
    <w:rsid w:val="00246DAD"/>
    <w:rsid w:val="00246DC7"/>
    <w:rsid w:val="00246DEC"/>
    <w:rsid w:val="00246F58"/>
    <w:rsid w:val="00246FD9"/>
    <w:rsid w:val="00247007"/>
    <w:rsid w:val="0024701A"/>
    <w:rsid w:val="00247074"/>
    <w:rsid w:val="002470B3"/>
    <w:rsid w:val="002470B9"/>
    <w:rsid w:val="002470D8"/>
    <w:rsid w:val="00247176"/>
    <w:rsid w:val="00247223"/>
    <w:rsid w:val="00247389"/>
    <w:rsid w:val="0024738A"/>
    <w:rsid w:val="0024739F"/>
    <w:rsid w:val="00247434"/>
    <w:rsid w:val="00247466"/>
    <w:rsid w:val="002474F4"/>
    <w:rsid w:val="002475DC"/>
    <w:rsid w:val="0024765E"/>
    <w:rsid w:val="0024770C"/>
    <w:rsid w:val="0024775D"/>
    <w:rsid w:val="00247799"/>
    <w:rsid w:val="002477F1"/>
    <w:rsid w:val="0024793C"/>
    <w:rsid w:val="00247941"/>
    <w:rsid w:val="00247958"/>
    <w:rsid w:val="0024799A"/>
    <w:rsid w:val="00247A8D"/>
    <w:rsid w:val="00247A98"/>
    <w:rsid w:val="00247AA2"/>
    <w:rsid w:val="00247B04"/>
    <w:rsid w:val="00247B06"/>
    <w:rsid w:val="00247B35"/>
    <w:rsid w:val="00247C37"/>
    <w:rsid w:val="00247C74"/>
    <w:rsid w:val="00247D2A"/>
    <w:rsid w:val="00247DC5"/>
    <w:rsid w:val="00247E1E"/>
    <w:rsid w:val="00247FAF"/>
    <w:rsid w:val="00250076"/>
    <w:rsid w:val="0025014D"/>
    <w:rsid w:val="00250187"/>
    <w:rsid w:val="00250223"/>
    <w:rsid w:val="00250232"/>
    <w:rsid w:val="00250250"/>
    <w:rsid w:val="002502BD"/>
    <w:rsid w:val="002502E1"/>
    <w:rsid w:val="00250335"/>
    <w:rsid w:val="002503F0"/>
    <w:rsid w:val="0025040B"/>
    <w:rsid w:val="00250431"/>
    <w:rsid w:val="0025048E"/>
    <w:rsid w:val="002504C1"/>
    <w:rsid w:val="00250525"/>
    <w:rsid w:val="002505C5"/>
    <w:rsid w:val="00250674"/>
    <w:rsid w:val="002506C0"/>
    <w:rsid w:val="002506C3"/>
    <w:rsid w:val="00250711"/>
    <w:rsid w:val="00250772"/>
    <w:rsid w:val="00250781"/>
    <w:rsid w:val="00250785"/>
    <w:rsid w:val="002507A6"/>
    <w:rsid w:val="002507C9"/>
    <w:rsid w:val="0025085F"/>
    <w:rsid w:val="002508DA"/>
    <w:rsid w:val="0025090E"/>
    <w:rsid w:val="00250954"/>
    <w:rsid w:val="00250A1B"/>
    <w:rsid w:val="00250A68"/>
    <w:rsid w:val="00250ABE"/>
    <w:rsid w:val="00250C09"/>
    <w:rsid w:val="00250C45"/>
    <w:rsid w:val="00250DC6"/>
    <w:rsid w:val="00250DFB"/>
    <w:rsid w:val="00250EC8"/>
    <w:rsid w:val="00250FAB"/>
    <w:rsid w:val="00250FD6"/>
    <w:rsid w:val="002510A5"/>
    <w:rsid w:val="00251120"/>
    <w:rsid w:val="00251130"/>
    <w:rsid w:val="0025119C"/>
    <w:rsid w:val="0025119D"/>
    <w:rsid w:val="002511EE"/>
    <w:rsid w:val="00251273"/>
    <w:rsid w:val="002512DA"/>
    <w:rsid w:val="00251335"/>
    <w:rsid w:val="0025137A"/>
    <w:rsid w:val="0025140F"/>
    <w:rsid w:val="00251443"/>
    <w:rsid w:val="00251447"/>
    <w:rsid w:val="00251457"/>
    <w:rsid w:val="002514E8"/>
    <w:rsid w:val="00251642"/>
    <w:rsid w:val="0025168A"/>
    <w:rsid w:val="002516F1"/>
    <w:rsid w:val="00251726"/>
    <w:rsid w:val="0025175E"/>
    <w:rsid w:val="0025179C"/>
    <w:rsid w:val="002517BD"/>
    <w:rsid w:val="00251856"/>
    <w:rsid w:val="002518EF"/>
    <w:rsid w:val="0025194A"/>
    <w:rsid w:val="0025194D"/>
    <w:rsid w:val="0025196E"/>
    <w:rsid w:val="002519DB"/>
    <w:rsid w:val="002519F3"/>
    <w:rsid w:val="00251A56"/>
    <w:rsid w:val="00251A76"/>
    <w:rsid w:val="00251B59"/>
    <w:rsid w:val="00251B89"/>
    <w:rsid w:val="00251BBC"/>
    <w:rsid w:val="00251BEE"/>
    <w:rsid w:val="00251CEA"/>
    <w:rsid w:val="00251DC8"/>
    <w:rsid w:val="00251DE0"/>
    <w:rsid w:val="00251E20"/>
    <w:rsid w:val="00251E7E"/>
    <w:rsid w:val="00251EDE"/>
    <w:rsid w:val="00251F0E"/>
    <w:rsid w:val="00251F10"/>
    <w:rsid w:val="00251F4A"/>
    <w:rsid w:val="002520EC"/>
    <w:rsid w:val="002520EE"/>
    <w:rsid w:val="00252143"/>
    <w:rsid w:val="00252153"/>
    <w:rsid w:val="002521BC"/>
    <w:rsid w:val="00252237"/>
    <w:rsid w:val="00252262"/>
    <w:rsid w:val="002522D5"/>
    <w:rsid w:val="00252377"/>
    <w:rsid w:val="0025237D"/>
    <w:rsid w:val="00252439"/>
    <w:rsid w:val="00252458"/>
    <w:rsid w:val="0025247D"/>
    <w:rsid w:val="002525E9"/>
    <w:rsid w:val="00252604"/>
    <w:rsid w:val="002526E3"/>
    <w:rsid w:val="002526E8"/>
    <w:rsid w:val="00252721"/>
    <w:rsid w:val="00252763"/>
    <w:rsid w:val="002527CF"/>
    <w:rsid w:val="00252841"/>
    <w:rsid w:val="002529BD"/>
    <w:rsid w:val="002529E6"/>
    <w:rsid w:val="00252A01"/>
    <w:rsid w:val="00252A16"/>
    <w:rsid w:val="00252A31"/>
    <w:rsid w:val="00252A35"/>
    <w:rsid w:val="00252A76"/>
    <w:rsid w:val="00252ACA"/>
    <w:rsid w:val="00252B3E"/>
    <w:rsid w:val="00252B60"/>
    <w:rsid w:val="00252C57"/>
    <w:rsid w:val="00252C5D"/>
    <w:rsid w:val="00252D19"/>
    <w:rsid w:val="00252D1F"/>
    <w:rsid w:val="00252DD0"/>
    <w:rsid w:val="00252DDF"/>
    <w:rsid w:val="00252E93"/>
    <w:rsid w:val="00252EC3"/>
    <w:rsid w:val="00252EF5"/>
    <w:rsid w:val="00252F04"/>
    <w:rsid w:val="00252F44"/>
    <w:rsid w:val="00252F54"/>
    <w:rsid w:val="00252F78"/>
    <w:rsid w:val="00253063"/>
    <w:rsid w:val="002530D2"/>
    <w:rsid w:val="002530D3"/>
    <w:rsid w:val="0025312A"/>
    <w:rsid w:val="0025315A"/>
    <w:rsid w:val="00253180"/>
    <w:rsid w:val="002531DA"/>
    <w:rsid w:val="002531E7"/>
    <w:rsid w:val="00253213"/>
    <w:rsid w:val="0025322B"/>
    <w:rsid w:val="00253251"/>
    <w:rsid w:val="0025333D"/>
    <w:rsid w:val="002533CB"/>
    <w:rsid w:val="0025341D"/>
    <w:rsid w:val="00253444"/>
    <w:rsid w:val="002534F5"/>
    <w:rsid w:val="00253558"/>
    <w:rsid w:val="00253562"/>
    <w:rsid w:val="002535C7"/>
    <w:rsid w:val="002536E6"/>
    <w:rsid w:val="0025373C"/>
    <w:rsid w:val="002537F7"/>
    <w:rsid w:val="00253867"/>
    <w:rsid w:val="0025389A"/>
    <w:rsid w:val="002538B0"/>
    <w:rsid w:val="002538C3"/>
    <w:rsid w:val="0025395B"/>
    <w:rsid w:val="00253963"/>
    <w:rsid w:val="00253A70"/>
    <w:rsid w:val="00253B32"/>
    <w:rsid w:val="00253B48"/>
    <w:rsid w:val="00253B9D"/>
    <w:rsid w:val="00253BB1"/>
    <w:rsid w:val="00253C24"/>
    <w:rsid w:val="00253C5B"/>
    <w:rsid w:val="00253CBA"/>
    <w:rsid w:val="00253CCD"/>
    <w:rsid w:val="00253D95"/>
    <w:rsid w:val="00253E23"/>
    <w:rsid w:val="00253EEF"/>
    <w:rsid w:val="00253F2B"/>
    <w:rsid w:val="00253F84"/>
    <w:rsid w:val="00253FD9"/>
    <w:rsid w:val="00253FFF"/>
    <w:rsid w:val="00254012"/>
    <w:rsid w:val="00254051"/>
    <w:rsid w:val="0025407F"/>
    <w:rsid w:val="0025414B"/>
    <w:rsid w:val="00254170"/>
    <w:rsid w:val="002541D7"/>
    <w:rsid w:val="002541E8"/>
    <w:rsid w:val="00254202"/>
    <w:rsid w:val="00254242"/>
    <w:rsid w:val="00254326"/>
    <w:rsid w:val="0025432E"/>
    <w:rsid w:val="00254335"/>
    <w:rsid w:val="0025433C"/>
    <w:rsid w:val="0025434F"/>
    <w:rsid w:val="00254388"/>
    <w:rsid w:val="002543B6"/>
    <w:rsid w:val="002544E7"/>
    <w:rsid w:val="002545D5"/>
    <w:rsid w:val="00254602"/>
    <w:rsid w:val="0025479F"/>
    <w:rsid w:val="002547AA"/>
    <w:rsid w:val="0025487A"/>
    <w:rsid w:val="002548AE"/>
    <w:rsid w:val="002548BE"/>
    <w:rsid w:val="0025492F"/>
    <w:rsid w:val="002549C2"/>
    <w:rsid w:val="002549F6"/>
    <w:rsid w:val="00254AF8"/>
    <w:rsid w:val="00254B50"/>
    <w:rsid w:val="00254BD3"/>
    <w:rsid w:val="00254BDF"/>
    <w:rsid w:val="00254C39"/>
    <w:rsid w:val="00254D04"/>
    <w:rsid w:val="00254D44"/>
    <w:rsid w:val="00254D8D"/>
    <w:rsid w:val="00254DC2"/>
    <w:rsid w:val="00254DC8"/>
    <w:rsid w:val="00254E3D"/>
    <w:rsid w:val="00254EE6"/>
    <w:rsid w:val="00254F94"/>
    <w:rsid w:val="0025502D"/>
    <w:rsid w:val="0025506D"/>
    <w:rsid w:val="00255079"/>
    <w:rsid w:val="002550D5"/>
    <w:rsid w:val="002550E5"/>
    <w:rsid w:val="002551A6"/>
    <w:rsid w:val="002551D2"/>
    <w:rsid w:val="0025525F"/>
    <w:rsid w:val="002553AC"/>
    <w:rsid w:val="002554C8"/>
    <w:rsid w:val="002554F7"/>
    <w:rsid w:val="00255506"/>
    <w:rsid w:val="002555E7"/>
    <w:rsid w:val="00255655"/>
    <w:rsid w:val="0025575B"/>
    <w:rsid w:val="00255764"/>
    <w:rsid w:val="00255776"/>
    <w:rsid w:val="0025578A"/>
    <w:rsid w:val="002557D1"/>
    <w:rsid w:val="002557EC"/>
    <w:rsid w:val="002557FD"/>
    <w:rsid w:val="00255862"/>
    <w:rsid w:val="00255888"/>
    <w:rsid w:val="002558C6"/>
    <w:rsid w:val="0025590D"/>
    <w:rsid w:val="002559A7"/>
    <w:rsid w:val="002559D0"/>
    <w:rsid w:val="002559FA"/>
    <w:rsid w:val="00255ADA"/>
    <w:rsid w:val="00255B35"/>
    <w:rsid w:val="00255B50"/>
    <w:rsid w:val="00255C20"/>
    <w:rsid w:val="00255C8F"/>
    <w:rsid w:val="00255CEA"/>
    <w:rsid w:val="00255E0B"/>
    <w:rsid w:val="00255EE5"/>
    <w:rsid w:val="00255F04"/>
    <w:rsid w:val="00255F87"/>
    <w:rsid w:val="00255FAE"/>
    <w:rsid w:val="0025609B"/>
    <w:rsid w:val="0025613B"/>
    <w:rsid w:val="00256140"/>
    <w:rsid w:val="00256143"/>
    <w:rsid w:val="0025617F"/>
    <w:rsid w:val="00256233"/>
    <w:rsid w:val="0025628A"/>
    <w:rsid w:val="002562BA"/>
    <w:rsid w:val="002562CF"/>
    <w:rsid w:val="0025637B"/>
    <w:rsid w:val="00256393"/>
    <w:rsid w:val="002563CC"/>
    <w:rsid w:val="00256453"/>
    <w:rsid w:val="002564DE"/>
    <w:rsid w:val="00256502"/>
    <w:rsid w:val="00256543"/>
    <w:rsid w:val="0025654E"/>
    <w:rsid w:val="0025656A"/>
    <w:rsid w:val="0025657F"/>
    <w:rsid w:val="002565A3"/>
    <w:rsid w:val="0025664D"/>
    <w:rsid w:val="00256657"/>
    <w:rsid w:val="00256715"/>
    <w:rsid w:val="002567F4"/>
    <w:rsid w:val="00256899"/>
    <w:rsid w:val="00256915"/>
    <w:rsid w:val="00256923"/>
    <w:rsid w:val="00256972"/>
    <w:rsid w:val="002569AD"/>
    <w:rsid w:val="002569BA"/>
    <w:rsid w:val="00256A38"/>
    <w:rsid w:val="00256A83"/>
    <w:rsid w:val="00256B28"/>
    <w:rsid w:val="00256CE9"/>
    <w:rsid w:val="00256DBF"/>
    <w:rsid w:val="00256EF4"/>
    <w:rsid w:val="00256F12"/>
    <w:rsid w:val="00256F93"/>
    <w:rsid w:val="00256FC2"/>
    <w:rsid w:val="0025714D"/>
    <w:rsid w:val="00257155"/>
    <w:rsid w:val="0025722E"/>
    <w:rsid w:val="00257252"/>
    <w:rsid w:val="0025732C"/>
    <w:rsid w:val="00257349"/>
    <w:rsid w:val="00257369"/>
    <w:rsid w:val="002573AE"/>
    <w:rsid w:val="002573CD"/>
    <w:rsid w:val="002573E5"/>
    <w:rsid w:val="002574EF"/>
    <w:rsid w:val="002574F4"/>
    <w:rsid w:val="00257525"/>
    <w:rsid w:val="00257611"/>
    <w:rsid w:val="00257649"/>
    <w:rsid w:val="002576CD"/>
    <w:rsid w:val="0025771C"/>
    <w:rsid w:val="0025778D"/>
    <w:rsid w:val="002577B0"/>
    <w:rsid w:val="0025783C"/>
    <w:rsid w:val="002578B5"/>
    <w:rsid w:val="00257902"/>
    <w:rsid w:val="00257A7C"/>
    <w:rsid w:val="00257AA0"/>
    <w:rsid w:val="00257AEC"/>
    <w:rsid w:val="00257D30"/>
    <w:rsid w:val="00257D71"/>
    <w:rsid w:val="00257D74"/>
    <w:rsid w:val="00257D8B"/>
    <w:rsid w:val="00257D9A"/>
    <w:rsid w:val="00257E85"/>
    <w:rsid w:val="00257EF4"/>
    <w:rsid w:val="00257F3F"/>
    <w:rsid w:val="00257F4B"/>
    <w:rsid w:val="00257FB7"/>
    <w:rsid w:val="00257FD2"/>
    <w:rsid w:val="00260012"/>
    <w:rsid w:val="002600E7"/>
    <w:rsid w:val="00260113"/>
    <w:rsid w:val="002602E3"/>
    <w:rsid w:val="00260335"/>
    <w:rsid w:val="00260338"/>
    <w:rsid w:val="002603AE"/>
    <w:rsid w:val="002603C3"/>
    <w:rsid w:val="00260444"/>
    <w:rsid w:val="0026051F"/>
    <w:rsid w:val="00260541"/>
    <w:rsid w:val="002605A7"/>
    <w:rsid w:val="002605AB"/>
    <w:rsid w:val="00260600"/>
    <w:rsid w:val="00260667"/>
    <w:rsid w:val="002606AC"/>
    <w:rsid w:val="002606E3"/>
    <w:rsid w:val="00260704"/>
    <w:rsid w:val="00260744"/>
    <w:rsid w:val="0026077C"/>
    <w:rsid w:val="002607A7"/>
    <w:rsid w:val="002607A9"/>
    <w:rsid w:val="0026082B"/>
    <w:rsid w:val="00260970"/>
    <w:rsid w:val="0026097D"/>
    <w:rsid w:val="0026098D"/>
    <w:rsid w:val="00260A36"/>
    <w:rsid w:val="00260A71"/>
    <w:rsid w:val="00260B7B"/>
    <w:rsid w:val="00260C06"/>
    <w:rsid w:val="00260C25"/>
    <w:rsid w:val="00260C27"/>
    <w:rsid w:val="00260CA6"/>
    <w:rsid w:val="00260D1C"/>
    <w:rsid w:val="00260DAD"/>
    <w:rsid w:val="00260E7B"/>
    <w:rsid w:val="00260E90"/>
    <w:rsid w:val="00260EAC"/>
    <w:rsid w:val="00260EDF"/>
    <w:rsid w:val="00260F62"/>
    <w:rsid w:val="00260F6B"/>
    <w:rsid w:val="00260FA7"/>
    <w:rsid w:val="00260FB7"/>
    <w:rsid w:val="00261090"/>
    <w:rsid w:val="002610A8"/>
    <w:rsid w:val="002610C9"/>
    <w:rsid w:val="00261125"/>
    <w:rsid w:val="00261151"/>
    <w:rsid w:val="0026116D"/>
    <w:rsid w:val="00261280"/>
    <w:rsid w:val="0026131B"/>
    <w:rsid w:val="00261360"/>
    <w:rsid w:val="002613CF"/>
    <w:rsid w:val="00261429"/>
    <w:rsid w:val="00261483"/>
    <w:rsid w:val="00261495"/>
    <w:rsid w:val="002614F4"/>
    <w:rsid w:val="00261515"/>
    <w:rsid w:val="00261618"/>
    <w:rsid w:val="00261660"/>
    <w:rsid w:val="002616DD"/>
    <w:rsid w:val="00261725"/>
    <w:rsid w:val="0026173C"/>
    <w:rsid w:val="002617F1"/>
    <w:rsid w:val="00261851"/>
    <w:rsid w:val="00261864"/>
    <w:rsid w:val="002618E2"/>
    <w:rsid w:val="002618E6"/>
    <w:rsid w:val="002618EE"/>
    <w:rsid w:val="0026197C"/>
    <w:rsid w:val="00261985"/>
    <w:rsid w:val="002619D9"/>
    <w:rsid w:val="002619F2"/>
    <w:rsid w:val="002619F8"/>
    <w:rsid w:val="002619FC"/>
    <w:rsid w:val="00261A47"/>
    <w:rsid w:val="00261BC4"/>
    <w:rsid w:val="00261BD1"/>
    <w:rsid w:val="00261D33"/>
    <w:rsid w:val="00261D48"/>
    <w:rsid w:val="00261DB7"/>
    <w:rsid w:val="00261DCB"/>
    <w:rsid w:val="00261DFA"/>
    <w:rsid w:val="00261E51"/>
    <w:rsid w:val="00261E8F"/>
    <w:rsid w:val="00261EC0"/>
    <w:rsid w:val="00261F1A"/>
    <w:rsid w:val="00261FA7"/>
    <w:rsid w:val="00262033"/>
    <w:rsid w:val="00262076"/>
    <w:rsid w:val="0026207C"/>
    <w:rsid w:val="00262099"/>
    <w:rsid w:val="002620F0"/>
    <w:rsid w:val="00262126"/>
    <w:rsid w:val="0026217B"/>
    <w:rsid w:val="0026218B"/>
    <w:rsid w:val="0026218E"/>
    <w:rsid w:val="002621F3"/>
    <w:rsid w:val="00262282"/>
    <w:rsid w:val="00262286"/>
    <w:rsid w:val="0026231E"/>
    <w:rsid w:val="00262323"/>
    <w:rsid w:val="00262381"/>
    <w:rsid w:val="002623CF"/>
    <w:rsid w:val="002623D3"/>
    <w:rsid w:val="002623DE"/>
    <w:rsid w:val="002623E7"/>
    <w:rsid w:val="00262429"/>
    <w:rsid w:val="0026245F"/>
    <w:rsid w:val="00262488"/>
    <w:rsid w:val="002624C9"/>
    <w:rsid w:val="002624FD"/>
    <w:rsid w:val="00262539"/>
    <w:rsid w:val="00262559"/>
    <w:rsid w:val="0026257D"/>
    <w:rsid w:val="002625D3"/>
    <w:rsid w:val="00262652"/>
    <w:rsid w:val="00262686"/>
    <w:rsid w:val="002626B2"/>
    <w:rsid w:val="002626FC"/>
    <w:rsid w:val="002627A5"/>
    <w:rsid w:val="002627B3"/>
    <w:rsid w:val="002627DF"/>
    <w:rsid w:val="002627FF"/>
    <w:rsid w:val="00262800"/>
    <w:rsid w:val="00262804"/>
    <w:rsid w:val="00262883"/>
    <w:rsid w:val="00262922"/>
    <w:rsid w:val="002629BF"/>
    <w:rsid w:val="00262A1A"/>
    <w:rsid w:val="00262A63"/>
    <w:rsid w:val="00262AEC"/>
    <w:rsid w:val="00262C38"/>
    <w:rsid w:val="00262C81"/>
    <w:rsid w:val="00262CF4"/>
    <w:rsid w:val="00262DD7"/>
    <w:rsid w:val="00262E9C"/>
    <w:rsid w:val="00262F1A"/>
    <w:rsid w:val="00262F2B"/>
    <w:rsid w:val="00263021"/>
    <w:rsid w:val="00263191"/>
    <w:rsid w:val="0026319B"/>
    <w:rsid w:val="00263268"/>
    <w:rsid w:val="002632D3"/>
    <w:rsid w:val="002632F6"/>
    <w:rsid w:val="002632FB"/>
    <w:rsid w:val="00263323"/>
    <w:rsid w:val="00263395"/>
    <w:rsid w:val="002633B4"/>
    <w:rsid w:val="002633D1"/>
    <w:rsid w:val="0026348F"/>
    <w:rsid w:val="002634F0"/>
    <w:rsid w:val="0026358B"/>
    <w:rsid w:val="002635B8"/>
    <w:rsid w:val="002635DD"/>
    <w:rsid w:val="00263611"/>
    <w:rsid w:val="0026361F"/>
    <w:rsid w:val="00263645"/>
    <w:rsid w:val="002636BC"/>
    <w:rsid w:val="002636C0"/>
    <w:rsid w:val="00263752"/>
    <w:rsid w:val="002638BB"/>
    <w:rsid w:val="002638F3"/>
    <w:rsid w:val="00263967"/>
    <w:rsid w:val="002639B1"/>
    <w:rsid w:val="00263A02"/>
    <w:rsid w:val="00263A15"/>
    <w:rsid w:val="00263A1D"/>
    <w:rsid w:val="00263ABE"/>
    <w:rsid w:val="00263B60"/>
    <w:rsid w:val="00263BB7"/>
    <w:rsid w:val="00263C06"/>
    <w:rsid w:val="00263C6E"/>
    <w:rsid w:val="00263CDE"/>
    <w:rsid w:val="00263D06"/>
    <w:rsid w:val="00263D46"/>
    <w:rsid w:val="00263E22"/>
    <w:rsid w:val="00263F68"/>
    <w:rsid w:val="00263FD2"/>
    <w:rsid w:val="00263FD6"/>
    <w:rsid w:val="00264002"/>
    <w:rsid w:val="00264018"/>
    <w:rsid w:val="00264038"/>
    <w:rsid w:val="00264161"/>
    <w:rsid w:val="0026425A"/>
    <w:rsid w:val="00264306"/>
    <w:rsid w:val="00264315"/>
    <w:rsid w:val="0026432A"/>
    <w:rsid w:val="00264486"/>
    <w:rsid w:val="002644AA"/>
    <w:rsid w:val="002644E9"/>
    <w:rsid w:val="002644F1"/>
    <w:rsid w:val="00264520"/>
    <w:rsid w:val="0026453F"/>
    <w:rsid w:val="0026455F"/>
    <w:rsid w:val="002645A2"/>
    <w:rsid w:val="002645BE"/>
    <w:rsid w:val="002645C1"/>
    <w:rsid w:val="002645F3"/>
    <w:rsid w:val="002645FF"/>
    <w:rsid w:val="00264656"/>
    <w:rsid w:val="002646ED"/>
    <w:rsid w:val="00264799"/>
    <w:rsid w:val="00264805"/>
    <w:rsid w:val="00264850"/>
    <w:rsid w:val="002648DC"/>
    <w:rsid w:val="0026498D"/>
    <w:rsid w:val="00264A2E"/>
    <w:rsid w:val="00264A7B"/>
    <w:rsid w:val="00264B86"/>
    <w:rsid w:val="00264BA9"/>
    <w:rsid w:val="00264BF7"/>
    <w:rsid w:val="00264E52"/>
    <w:rsid w:val="00264E63"/>
    <w:rsid w:val="00264F3F"/>
    <w:rsid w:val="00264F5D"/>
    <w:rsid w:val="00264FF8"/>
    <w:rsid w:val="00265215"/>
    <w:rsid w:val="00265286"/>
    <w:rsid w:val="0026529E"/>
    <w:rsid w:val="002652DC"/>
    <w:rsid w:val="002652EC"/>
    <w:rsid w:val="0026539E"/>
    <w:rsid w:val="0026543F"/>
    <w:rsid w:val="002654E9"/>
    <w:rsid w:val="002654F9"/>
    <w:rsid w:val="00265541"/>
    <w:rsid w:val="00265595"/>
    <w:rsid w:val="002655BE"/>
    <w:rsid w:val="002655D5"/>
    <w:rsid w:val="0026560C"/>
    <w:rsid w:val="00265630"/>
    <w:rsid w:val="00265656"/>
    <w:rsid w:val="00265685"/>
    <w:rsid w:val="002656FB"/>
    <w:rsid w:val="00265709"/>
    <w:rsid w:val="00265762"/>
    <w:rsid w:val="0026578E"/>
    <w:rsid w:val="002657CF"/>
    <w:rsid w:val="002658DB"/>
    <w:rsid w:val="002658E5"/>
    <w:rsid w:val="00265920"/>
    <w:rsid w:val="00265AD4"/>
    <w:rsid w:val="00265B16"/>
    <w:rsid w:val="00265BC1"/>
    <w:rsid w:val="00265C50"/>
    <w:rsid w:val="00265C78"/>
    <w:rsid w:val="00265CC3"/>
    <w:rsid w:val="00265D69"/>
    <w:rsid w:val="00265D8A"/>
    <w:rsid w:val="00265DBF"/>
    <w:rsid w:val="00265E1B"/>
    <w:rsid w:val="00265E72"/>
    <w:rsid w:val="00265E7E"/>
    <w:rsid w:val="00265EA4"/>
    <w:rsid w:val="00265F22"/>
    <w:rsid w:val="00265F96"/>
    <w:rsid w:val="00266009"/>
    <w:rsid w:val="00266055"/>
    <w:rsid w:val="002660DD"/>
    <w:rsid w:val="0026614A"/>
    <w:rsid w:val="002661CA"/>
    <w:rsid w:val="002661D4"/>
    <w:rsid w:val="002661F1"/>
    <w:rsid w:val="00266281"/>
    <w:rsid w:val="002662E3"/>
    <w:rsid w:val="002663E6"/>
    <w:rsid w:val="0026642A"/>
    <w:rsid w:val="00266472"/>
    <w:rsid w:val="002664AD"/>
    <w:rsid w:val="002664EC"/>
    <w:rsid w:val="0026652F"/>
    <w:rsid w:val="0026661B"/>
    <w:rsid w:val="002666FC"/>
    <w:rsid w:val="002667DE"/>
    <w:rsid w:val="00266827"/>
    <w:rsid w:val="00266839"/>
    <w:rsid w:val="0026684A"/>
    <w:rsid w:val="00266855"/>
    <w:rsid w:val="00266885"/>
    <w:rsid w:val="00266893"/>
    <w:rsid w:val="002668B9"/>
    <w:rsid w:val="00266901"/>
    <w:rsid w:val="0026693E"/>
    <w:rsid w:val="00266947"/>
    <w:rsid w:val="00266972"/>
    <w:rsid w:val="002669AE"/>
    <w:rsid w:val="00266BA7"/>
    <w:rsid w:val="00266BCB"/>
    <w:rsid w:val="00266C21"/>
    <w:rsid w:val="00266C97"/>
    <w:rsid w:val="00266CF2"/>
    <w:rsid w:val="00266D35"/>
    <w:rsid w:val="00266EB3"/>
    <w:rsid w:val="00266EFE"/>
    <w:rsid w:val="00266F0B"/>
    <w:rsid w:val="00266F36"/>
    <w:rsid w:val="00267278"/>
    <w:rsid w:val="0026739B"/>
    <w:rsid w:val="002673CD"/>
    <w:rsid w:val="00267431"/>
    <w:rsid w:val="0026743D"/>
    <w:rsid w:val="002674E3"/>
    <w:rsid w:val="0026755B"/>
    <w:rsid w:val="00267633"/>
    <w:rsid w:val="0026764B"/>
    <w:rsid w:val="002676C3"/>
    <w:rsid w:val="002676D9"/>
    <w:rsid w:val="00267711"/>
    <w:rsid w:val="0026775B"/>
    <w:rsid w:val="00267774"/>
    <w:rsid w:val="002677F7"/>
    <w:rsid w:val="0026780C"/>
    <w:rsid w:val="00267888"/>
    <w:rsid w:val="00267897"/>
    <w:rsid w:val="0026789E"/>
    <w:rsid w:val="00267919"/>
    <w:rsid w:val="00267953"/>
    <w:rsid w:val="00267ABC"/>
    <w:rsid w:val="00267AC8"/>
    <w:rsid w:val="00267B39"/>
    <w:rsid w:val="00267BD1"/>
    <w:rsid w:val="00267C06"/>
    <w:rsid w:val="00267C3B"/>
    <w:rsid w:val="00267CAA"/>
    <w:rsid w:val="00267CE0"/>
    <w:rsid w:val="00267CEF"/>
    <w:rsid w:val="00267D59"/>
    <w:rsid w:val="00267DA0"/>
    <w:rsid w:val="00267E3E"/>
    <w:rsid w:val="00267EE7"/>
    <w:rsid w:val="00267F58"/>
    <w:rsid w:val="00270063"/>
    <w:rsid w:val="00270157"/>
    <w:rsid w:val="0027017A"/>
    <w:rsid w:val="00270231"/>
    <w:rsid w:val="00270288"/>
    <w:rsid w:val="002702B0"/>
    <w:rsid w:val="002702BE"/>
    <w:rsid w:val="00270356"/>
    <w:rsid w:val="002703B9"/>
    <w:rsid w:val="0027043A"/>
    <w:rsid w:val="0027044D"/>
    <w:rsid w:val="00270468"/>
    <w:rsid w:val="0027049A"/>
    <w:rsid w:val="002704D4"/>
    <w:rsid w:val="002704DD"/>
    <w:rsid w:val="00270505"/>
    <w:rsid w:val="0027055C"/>
    <w:rsid w:val="0027057B"/>
    <w:rsid w:val="00270673"/>
    <w:rsid w:val="00270699"/>
    <w:rsid w:val="002707AB"/>
    <w:rsid w:val="0027088C"/>
    <w:rsid w:val="0027091C"/>
    <w:rsid w:val="00270960"/>
    <w:rsid w:val="002709AE"/>
    <w:rsid w:val="00270A74"/>
    <w:rsid w:val="00270AD6"/>
    <w:rsid w:val="00270B82"/>
    <w:rsid w:val="00270B8F"/>
    <w:rsid w:val="00270BCE"/>
    <w:rsid w:val="00270C2E"/>
    <w:rsid w:val="00270C5D"/>
    <w:rsid w:val="00270C7D"/>
    <w:rsid w:val="00270C82"/>
    <w:rsid w:val="00270D39"/>
    <w:rsid w:val="00270DA3"/>
    <w:rsid w:val="00270DA9"/>
    <w:rsid w:val="00270EC3"/>
    <w:rsid w:val="002710CA"/>
    <w:rsid w:val="002710FF"/>
    <w:rsid w:val="00271187"/>
    <w:rsid w:val="002711A0"/>
    <w:rsid w:val="0027125F"/>
    <w:rsid w:val="002712C3"/>
    <w:rsid w:val="00271312"/>
    <w:rsid w:val="00271330"/>
    <w:rsid w:val="0027133B"/>
    <w:rsid w:val="002713BF"/>
    <w:rsid w:val="00271401"/>
    <w:rsid w:val="0027150C"/>
    <w:rsid w:val="00271535"/>
    <w:rsid w:val="00271579"/>
    <w:rsid w:val="00271618"/>
    <w:rsid w:val="00271636"/>
    <w:rsid w:val="002716D4"/>
    <w:rsid w:val="002717D3"/>
    <w:rsid w:val="002718D5"/>
    <w:rsid w:val="002718EC"/>
    <w:rsid w:val="0027192D"/>
    <w:rsid w:val="002719A3"/>
    <w:rsid w:val="002719EF"/>
    <w:rsid w:val="00271A3A"/>
    <w:rsid w:val="00271A45"/>
    <w:rsid w:val="00271A7A"/>
    <w:rsid w:val="00271A97"/>
    <w:rsid w:val="00271B23"/>
    <w:rsid w:val="00271C1B"/>
    <w:rsid w:val="00271C89"/>
    <w:rsid w:val="00271CEB"/>
    <w:rsid w:val="00271CFC"/>
    <w:rsid w:val="00271D8C"/>
    <w:rsid w:val="00271DB6"/>
    <w:rsid w:val="00271EE6"/>
    <w:rsid w:val="0027202B"/>
    <w:rsid w:val="00272035"/>
    <w:rsid w:val="00272064"/>
    <w:rsid w:val="002720C5"/>
    <w:rsid w:val="00272111"/>
    <w:rsid w:val="00272112"/>
    <w:rsid w:val="0027217C"/>
    <w:rsid w:val="002721B5"/>
    <w:rsid w:val="002723CA"/>
    <w:rsid w:val="002723EA"/>
    <w:rsid w:val="00272580"/>
    <w:rsid w:val="0027262D"/>
    <w:rsid w:val="0027267A"/>
    <w:rsid w:val="00272686"/>
    <w:rsid w:val="002726F4"/>
    <w:rsid w:val="00272725"/>
    <w:rsid w:val="0027279D"/>
    <w:rsid w:val="002727DF"/>
    <w:rsid w:val="002727E9"/>
    <w:rsid w:val="002728FE"/>
    <w:rsid w:val="00272951"/>
    <w:rsid w:val="00272982"/>
    <w:rsid w:val="002729EE"/>
    <w:rsid w:val="00272B6D"/>
    <w:rsid w:val="00272B98"/>
    <w:rsid w:val="00272C21"/>
    <w:rsid w:val="00272C5E"/>
    <w:rsid w:val="00272CA1"/>
    <w:rsid w:val="00272CFB"/>
    <w:rsid w:val="00272D1C"/>
    <w:rsid w:val="00272D4D"/>
    <w:rsid w:val="00272D7C"/>
    <w:rsid w:val="00272D85"/>
    <w:rsid w:val="00272E08"/>
    <w:rsid w:val="00272E31"/>
    <w:rsid w:val="00272E9F"/>
    <w:rsid w:val="00272EFC"/>
    <w:rsid w:val="00272F04"/>
    <w:rsid w:val="00272F1E"/>
    <w:rsid w:val="00272F7C"/>
    <w:rsid w:val="0027302A"/>
    <w:rsid w:val="002730C0"/>
    <w:rsid w:val="002730F8"/>
    <w:rsid w:val="00273147"/>
    <w:rsid w:val="0027324F"/>
    <w:rsid w:val="00273282"/>
    <w:rsid w:val="0027332E"/>
    <w:rsid w:val="0027336B"/>
    <w:rsid w:val="002733FB"/>
    <w:rsid w:val="0027345B"/>
    <w:rsid w:val="00273584"/>
    <w:rsid w:val="002735C5"/>
    <w:rsid w:val="002735CE"/>
    <w:rsid w:val="00273607"/>
    <w:rsid w:val="00273619"/>
    <w:rsid w:val="0027365D"/>
    <w:rsid w:val="0027366D"/>
    <w:rsid w:val="002736B7"/>
    <w:rsid w:val="0027371B"/>
    <w:rsid w:val="002737AE"/>
    <w:rsid w:val="002737EB"/>
    <w:rsid w:val="002737F3"/>
    <w:rsid w:val="00273809"/>
    <w:rsid w:val="0027386E"/>
    <w:rsid w:val="00273887"/>
    <w:rsid w:val="002738B0"/>
    <w:rsid w:val="002738FA"/>
    <w:rsid w:val="00273906"/>
    <w:rsid w:val="00273966"/>
    <w:rsid w:val="002739BC"/>
    <w:rsid w:val="00273A61"/>
    <w:rsid w:val="00273AAC"/>
    <w:rsid w:val="00273B03"/>
    <w:rsid w:val="00273B2E"/>
    <w:rsid w:val="00273B43"/>
    <w:rsid w:val="00273C37"/>
    <w:rsid w:val="00273CC1"/>
    <w:rsid w:val="00273D8F"/>
    <w:rsid w:val="00273DDA"/>
    <w:rsid w:val="00273E0A"/>
    <w:rsid w:val="00273ECD"/>
    <w:rsid w:val="00273ED2"/>
    <w:rsid w:val="00273EFB"/>
    <w:rsid w:val="00273F3B"/>
    <w:rsid w:val="00274105"/>
    <w:rsid w:val="00274179"/>
    <w:rsid w:val="002741DB"/>
    <w:rsid w:val="0027424C"/>
    <w:rsid w:val="0027425D"/>
    <w:rsid w:val="002742B1"/>
    <w:rsid w:val="0027431E"/>
    <w:rsid w:val="00274347"/>
    <w:rsid w:val="0027434C"/>
    <w:rsid w:val="002743B2"/>
    <w:rsid w:val="002743ED"/>
    <w:rsid w:val="00274491"/>
    <w:rsid w:val="002744B5"/>
    <w:rsid w:val="0027455C"/>
    <w:rsid w:val="0027476A"/>
    <w:rsid w:val="002747F5"/>
    <w:rsid w:val="00274835"/>
    <w:rsid w:val="0027486C"/>
    <w:rsid w:val="002748E0"/>
    <w:rsid w:val="002749F6"/>
    <w:rsid w:val="00274A5D"/>
    <w:rsid w:val="00274BA4"/>
    <w:rsid w:val="00274BF4"/>
    <w:rsid w:val="00274D67"/>
    <w:rsid w:val="00274DB4"/>
    <w:rsid w:val="00274DBA"/>
    <w:rsid w:val="00274E3B"/>
    <w:rsid w:val="00274EEB"/>
    <w:rsid w:val="00274F53"/>
    <w:rsid w:val="002750A5"/>
    <w:rsid w:val="00275145"/>
    <w:rsid w:val="0027514C"/>
    <w:rsid w:val="002751C8"/>
    <w:rsid w:val="002751CB"/>
    <w:rsid w:val="002751FA"/>
    <w:rsid w:val="00275221"/>
    <w:rsid w:val="00275278"/>
    <w:rsid w:val="00275285"/>
    <w:rsid w:val="00275323"/>
    <w:rsid w:val="002753B4"/>
    <w:rsid w:val="00275454"/>
    <w:rsid w:val="002755D3"/>
    <w:rsid w:val="00275648"/>
    <w:rsid w:val="00275723"/>
    <w:rsid w:val="00275742"/>
    <w:rsid w:val="00275779"/>
    <w:rsid w:val="0027577E"/>
    <w:rsid w:val="002757A3"/>
    <w:rsid w:val="00275834"/>
    <w:rsid w:val="00275853"/>
    <w:rsid w:val="002758A1"/>
    <w:rsid w:val="002759B6"/>
    <w:rsid w:val="00275AD0"/>
    <w:rsid w:val="00275BA8"/>
    <w:rsid w:val="00275C0E"/>
    <w:rsid w:val="00275C1A"/>
    <w:rsid w:val="00275C51"/>
    <w:rsid w:val="00275D2C"/>
    <w:rsid w:val="00275D88"/>
    <w:rsid w:val="00275DAF"/>
    <w:rsid w:val="00275DB9"/>
    <w:rsid w:val="00275DC0"/>
    <w:rsid w:val="00275E3D"/>
    <w:rsid w:val="00275E46"/>
    <w:rsid w:val="00275E48"/>
    <w:rsid w:val="00275E75"/>
    <w:rsid w:val="00275ED1"/>
    <w:rsid w:val="00275EDF"/>
    <w:rsid w:val="00275EFC"/>
    <w:rsid w:val="00275F77"/>
    <w:rsid w:val="00275FCD"/>
    <w:rsid w:val="0027607D"/>
    <w:rsid w:val="002760A3"/>
    <w:rsid w:val="00276184"/>
    <w:rsid w:val="002761EA"/>
    <w:rsid w:val="0027620F"/>
    <w:rsid w:val="00276402"/>
    <w:rsid w:val="0027640B"/>
    <w:rsid w:val="0027650D"/>
    <w:rsid w:val="002765A4"/>
    <w:rsid w:val="002765E3"/>
    <w:rsid w:val="002765E5"/>
    <w:rsid w:val="00276663"/>
    <w:rsid w:val="00276712"/>
    <w:rsid w:val="00276714"/>
    <w:rsid w:val="00276777"/>
    <w:rsid w:val="0027681A"/>
    <w:rsid w:val="002769B6"/>
    <w:rsid w:val="002769FC"/>
    <w:rsid w:val="002769FE"/>
    <w:rsid w:val="00276A8E"/>
    <w:rsid w:val="00276B07"/>
    <w:rsid w:val="00276B3B"/>
    <w:rsid w:val="00276B44"/>
    <w:rsid w:val="00276B80"/>
    <w:rsid w:val="00276BC8"/>
    <w:rsid w:val="00276BF1"/>
    <w:rsid w:val="00276D43"/>
    <w:rsid w:val="00276D9E"/>
    <w:rsid w:val="00276DD5"/>
    <w:rsid w:val="00276DE6"/>
    <w:rsid w:val="00276DEB"/>
    <w:rsid w:val="00276DFB"/>
    <w:rsid w:val="00276E00"/>
    <w:rsid w:val="00276E7F"/>
    <w:rsid w:val="00276FA6"/>
    <w:rsid w:val="00276FA8"/>
    <w:rsid w:val="00277078"/>
    <w:rsid w:val="00277089"/>
    <w:rsid w:val="002770BC"/>
    <w:rsid w:val="002770CF"/>
    <w:rsid w:val="00277139"/>
    <w:rsid w:val="002771ED"/>
    <w:rsid w:val="0027720A"/>
    <w:rsid w:val="002772D5"/>
    <w:rsid w:val="00277422"/>
    <w:rsid w:val="00277453"/>
    <w:rsid w:val="002774C9"/>
    <w:rsid w:val="00277544"/>
    <w:rsid w:val="0027758F"/>
    <w:rsid w:val="002775E7"/>
    <w:rsid w:val="002775F1"/>
    <w:rsid w:val="00277607"/>
    <w:rsid w:val="00277609"/>
    <w:rsid w:val="00277630"/>
    <w:rsid w:val="0027767D"/>
    <w:rsid w:val="002777EC"/>
    <w:rsid w:val="002777EE"/>
    <w:rsid w:val="00277929"/>
    <w:rsid w:val="002779B4"/>
    <w:rsid w:val="002779D0"/>
    <w:rsid w:val="00277A65"/>
    <w:rsid w:val="00277AB8"/>
    <w:rsid w:val="00277C01"/>
    <w:rsid w:val="00277C37"/>
    <w:rsid w:val="00277D7E"/>
    <w:rsid w:val="00277DFB"/>
    <w:rsid w:val="00277E1D"/>
    <w:rsid w:val="00277E37"/>
    <w:rsid w:val="00277F07"/>
    <w:rsid w:val="00277F40"/>
    <w:rsid w:val="00277FBA"/>
    <w:rsid w:val="0028004B"/>
    <w:rsid w:val="00280103"/>
    <w:rsid w:val="00280126"/>
    <w:rsid w:val="00280133"/>
    <w:rsid w:val="0028013A"/>
    <w:rsid w:val="002801AB"/>
    <w:rsid w:val="002801D7"/>
    <w:rsid w:val="002801F9"/>
    <w:rsid w:val="0028024F"/>
    <w:rsid w:val="002802A1"/>
    <w:rsid w:val="0028037E"/>
    <w:rsid w:val="0028047F"/>
    <w:rsid w:val="00280508"/>
    <w:rsid w:val="0028056D"/>
    <w:rsid w:val="002805ED"/>
    <w:rsid w:val="0028067D"/>
    <w:rsid w:val="0028069A"/>
    <w:rsid w:val="002807F1"/>
    <w:rsid w:val="00280818"/>
    <w:rsid w:val="00280958"/>
    <w:rsid w:val="00280962"/>
    <w:rsid w:val="00280986"/>
    <w:rsid w:val="0028098A"/>
    <w:rsid w:val="00280A4E"/>
    <w:rsid w:val="00280A8D"/>
    <w:rsid w:val="00280A9A"/>
    <w:rsid w:val="00280AB4"/>
    <w:rsid w:val="00280B8F"/>
    <w:rsid w:val="00280C24"/>
    <w:rsid w:val="00280C4D"/>
    <w:rsid w:val="00280CB1"/>
    <w:rsid w:val="00280CC5"/>
    <w:rsid w:val="00280D0D"/>
    <w:rsid w:val="00280D8E"/>
    <w:rsid w:val="00280DD8"/>
    <w:rsid w:val="00280E18"/>
    <w:rsid w:val="00280E47"/>
    <w:rsid w:val="00280E73"/>
    <w:rsid w:val="00280E89"/>
    <w:rsid w:val="00280E8B"/>
    <w:rsid w:val="00280E97"/>
    <w:rsid w:val="00280FF6"/>
    <w:rsid w:val="00281086"/>
    <w:rsid w:val="002810B3"/>
    <w:rsid w:val="002811E0"/>
    <w:rsid w:val="0028123B"/>
    <w:rsid w:val="0028124C"/>
    <w:rsid w:val="00281300"/>
    <w:rsid w:val="00281337"/>
    <w:rsid w:val="002813A8"/>
    <w:rsid w:val="0028146E"/>
    <w:rsid w:val="00281482"/>
    <w:rsid w:val="002814E4"/>
    <w:rsid w:val="0028151B"/>
    <w:rsid w:val="00281573"/>
    <w:rsid w:val="002815A4"/>
    <w:rsid w:val="0028169F"/>
    <w:rsid w:val="002816F5"/>
    <w:rsid w:val="00281732"/>
    <w:rsid w:val="00281769"/>
    <w:rsid w:val="0028176A"/>
    <w:rsid w:val="00281773"/>
    <w:rsid w:val="0028180E"/>
    <w:rsid w:val="002818F6"/>
    <w:rsid w:val="002818F9"/>
    <w:rsid w:val="002818FC"/>
    <w:rsid w:val="0028197C"/>
    <w:rsid w:val="0028198F"/>
    <w:rsid w:val="00281A5B"/>
    <w:rsid w:val="00281A6B"/>
    <w:rsid w:val="00281AB5"/>
    <w:rsid w:val="00281AC8"/>
    <w:rsid w:val="00281BD5"/>
    <w:rsid w:val="00281C0E"/>
    <w:rsid w:val="00281C5A"/>
    <w:rsid w:val="00281C6B"/>
    <w:rsid w:val="00281D1D"/>
    <w:rsid w:val="00281D21"/>
    <w:rsid w:val="00281D8B"/>
    <w:rsid w:val="00281D91"/>
    <w:rsid w:val="00281DD7"/>
    <w:rsid w:val="00281DE7"/>
    <w:rsid w:val="00281E01"/>
    <w:rsid w:val="00281E25"/>
    <w:rsid w:val="00281E52"/>
    <w:rsid w:val="00281E79"/>
    <w:rsid w:val="00282023"/>
    <w:rsid w:val="00282029"/>
    <w:rsid w:val="0028205E"/>
    <w:rsid w:val="00282224"/>
    <w:rsid w:val="002822A8"/>
    <w:rsid w:val="002822D5"/>
    <w:rsid w:val="002822E7"/>
    <w:rsid w:val="00282309"/>
    <w:rsid w:val="00282344"/>
    <w:rsid w:val="00282349"/>
    <w:rsid w:val="00282378"/>
    <w:rsid w:val="00282508"/>
    <w:rsid w:val="002825B4"/>
    <w:rsid w:val="00282692"/>
    <w:rsid w:val="002826B2"/>
    <w:rsid w:val="0028272B"/>
    <w:rsid w:val="00282789"/>
    <w:rsid w:val="0028284C"/>
    <w:rsid w:val="002828C0"/>
    <w:rsid w:val="002828C8"/>
    <w:rsid w:val="00282998"/>
    <w:rsid w:val="002829B0"/>
    <w:rsid w:val="00282A1A"/>
    <w:rsid w:val="00282A3A"/>
    <w:rsid w:val="00282AE0"/>
    <w:rsid w:val="00282B32"/>
    <w:rsid w:val="00282BAC"/>
    <w:rsid w:val="00282C41"/>
    <w:rsid w:val="00282C6D"/>
    <w:rsid w:val="00282C87"/>
    <w:rsid w:val="00282C8D"/>
    <w:rsid w:val="00282D49"/>
    <w:rsid w:val="00282D6F"/>
    <w:rsid w:val="00282D85"/>
    <w:rsid w:val="00282D8B"/>
    <w:rsid w:val="00282DEC"/>
    <w:rsid w:val="00282E3C"/>
    <w:rsid w:val="00282E62"/>
    <w:rsid w:val="00282ED0"/>
    <w:rsid w:val="00282F04"/>
    <w:rsid w:val="00282F61"/>
    <w:rsid w:val="00282F73"/>
    <w:rsid w:val="00282F8F"/>
    <w:rsid w:val="00282FAF"/>
    <w:rsid w:val="00282FB6"/>
    <w:rsid w:val="00282FEF"/>
    <w:rsid w:val="00283015"/>
    <w:rsid w:val="002830C9"/>
    <w:rsid w:val="002830E4"/>
    <w:rsid w:val="00283157"/>
    <w:rsid w:val="002832B3"/>
    <w:rsid w:val="00283372"/>
    <w:rsid w:val="0028337B"/>
    <w:rsid w:val="002833DA"/>
    <w:rsid w:val="002833E1"/>
    <w:rsid w:val="00283424"/>
    <w:rsid w:val="00283455"/>
    <w:rsid w:val="00283472"/>
    <w:rsid w:val="0028350E"/>
    <w:rsid w:val="00283520"/>
    <w:rsid w:val="00283601"/>
    <w:rsid w:val="0028362F"/>
    <w:rsid w:val="00283634"/>
    <w:rsid w:val="00283754"/>
    <w:rsid w:val="0028376E"/>
    <w:rsid w:val="002837FE"/>
    <w:rsid w:val="00283845"/>
    <w:rsid w:val="00283875"/>
    <w:rsid w:val="0028399C"/>
    <w:rsid w:val="002839B4"/>
    <w:rsid w:val="002839B8"/>
    <w:rsid w:val="00283B2A"/>
    <w:rsid w:val="00283B70"/>
    <w:rsid w:val="00283B75"/>
    <w:rsid w:val="00283B7B"/>
    <w:rsid w:val="00283BEA"/>
    <w:rsid w:val="00283BF0"/>
    <w:rsid w:val="00283C37"/>
    <w:rsid w:val="00283C65"/>
    <w:rsid w:val="00283C85"/>
    <w:rsid w:val="00283CE2"/>
    <w:rsid w:val="00283D1E"/>
    <w:rsid w:val="00283D3F"/>
    <w:rsid w:val="00283D5C"/>
    <w:rsid w:val="00283D61"/>
    <w:rsid w:val="00283DA1"/>
    <w:rsid w:val="00283E53"/>
    <w:rsid w:val="00283EB6"/>
    <w:rsid w:val="00283EB8"/>
    <w:rsid w:val="00283EDF"/>
    <w:rsid w:val="00283EE4"/>
    <w:rsid w:val="00283EF3"/>
    <w:rsid w:val="00283F1D"/>
    <w:rsid w:val="00283F90"/>
    <w:rsid w:val="00283FD6"/>
    <w:rsid w:val="00283FE4"/>
    <w:rsid w:val="00284096"/>
    <w:rsid w:val="002841CE"/>
    <w:rsid w:val="00284201"/>
    <w:rsid w:val="0028436B"/>
    <w:rsid w:val="002843A9"/>
    <w:rsid w:val="002843F5"/>
    <w:rsid w:val="0028444B"/>
    <w:rsid w:val="00284456"/>
    <w:rsid w:val="00284457"/>
    <w:rsid w:val="00284575"/>
    <w:rsid w:val="002845FF"/>
    <w:rsid w:val="00284628"/>
    <w:rsid w:val="00284655"/>
    <w:rsid w:val="00284693"/>
    <w:rsid w:val="002846DE"/>
    <w:rsid w:val="00284736"/>
    <w:rsid w:val="002847B4"/>
    <w:rsid w:val="0028482D"/>
    <w:rsid w:val="00284879"/>
    <w:rsid w:val="002848A1"/>
    <w:rsid w:val="002848EC"/>
    <w:rsid w:val="002849A3"/>
    <w:rsid w:val="002849FF"/>
    <w:rsid w:val="00284A9B"/>
    <w:rsid w:val="00284B43"/>
    <w:rsid w:val="00284BC7"/>
    <w:rsid w:val="00284F25"/>
    <w:rsid w:val="00284F7D"/>
    <w:rsid w:val="00285047"/>
    <w:rsid w:val="00285355"/>
    <w:rsid w:val="002853E7"/>
    <w:rsid w:val="002853FF"/>
    <w:rsid w:val="0028547D"/>
    <w:rsid w:val="002855CD"/>
    <w:rsid w:val="002855E9"/>
    <w:rsid w:val="00285605"/>
    <w:rsid w:val="0028562A"/>
    <w:rsid w:val="00285630"/>
    <w:rsid w:val="00285636"/>
    <w:rsid w:val="002856A2"/>
    <w:rsid w:val="00285705"/>
    <w:rsid w:val="0028578B"/>
    <w:rsid w:val="00285795"/>
    <w:rsid w:val="002857C3"/>
    <w:rsid w:val="00285801"/>
    <w:rsid w:val="00285803"/>
    <w:rsid w:val="0028583A"/>
    <w:rsid w:val="00285898"/>
    <w:rsid w:val="00285947"/>
    <w:rsid w:val="00285988"/>
    <w:rsid w:val="002859DC"/>
    <w:rsid w:val="00285A1B"/>
    <w:rsid w:val="00285A4B"/>
    <w:rsid w:val="00285B85"/>
    <w:rsid w:val="00285BA8"/>
    <w:rsid w:val="00285C24"/>
    <w:rsid w:val="00285C4B"/>
    <w:rsid w:val="00285CAA"/>
    <w:rsid w:val="00285CC4"/>
    <w:rsid w:val="00285D73"/>
    <w:rsid w:val="00285DB0"/>
    <w:rsid w:val="00285F01"/>
    <w:rsid w:val="00285F77"/>
    <w:rsid w:val="0028600F"/>
    <w:rsid w:val="0028604C"/>
    <w:rsid w:val="00286203"/>
    <w:rsid w:val="0028620E"/>
    <w:rsid w:val="00286236"/>
    <w:rsid w:val="00286280"/>
    <w:rsid w:val="002862F1"/>
    <w:rsid w:val="002862F4"/>
    <w:rsid w:val="0028632D"/>
    <w:rsid w:val="002863D5"/>
    <w:rsid w:val="00286413"/>
    <w:rsid w:val="00286462"/>
    <w:rsid w:val="00286496"/>
    <w:rsid w:val="002864B4"/>
    <w:rsid w:val="002864E0"/>
    <w:rsid w:val="002864FB"/>
    <w:rsid w:val="00286541"/>
    <w:rsid w:val="00286560"/>
    <w:rsid w:val="002865E5"/>
    <w:rsid w:val="002865F6"/>
    <w:rsid w:val="00286601"/>
    <w:rsid w:val="002866B6"/>
    <w:rsid w:val="0028673E"/>
    <w:rsid w:val="00286748"/>
    <w:rsid w:val="00286773"/>
    <w:rsid w:val="00286789"/>
    <w:rsid w:val="002867AF"/>
    <w:rsid w:val="002867EC"/>
    <w:rsid w:val="00286820"/>
    <w:rsid w:val="0028687B"/>
    <w:rsid w:val="002868B5"/>
    <w:rsid w:val="002868E5"/>
    <w:rsid w:val="002868F8"/>
    <w:rsid w:val="00286904"/>
    <w:rsid w:val="0028697F"/>
    <w:rsid w:val="002869E1"/>
    <w:rsid w:val="00286A6A"/>
    <w:rsid w:val="00286A95"/>
    <w:rsid w:val="00286AC4"/>
    <w:rsid w:val="00286AEB"/>
    <w:rsid w:val="00286B28"/>
    <w:rsid w:val="00286B7C"/>
    <w:rsid w:val="00286BE2"/>
    <w:rsid w:val="00286C0F"/>
    <w:rsid w:val="00286C90"/>
    <w:rsid w:val="00286D0C"/>
    <w:rsid w:val="00286D87"/>
    <w:rsid w:val="00286DDC"/>
    <w:rsid w:val="00286E2B"/>
    <w:rsid w:val="00286E6C"/>
    <w:rsid w:val="00286E7C"/>
    <w:rsid w:val="00286EE6"/>
    <w:rsid w:val="00286F06"/>
    <w:rsid w:val="00286FDF"/>
    <w:rsid w:val="00286FFC"/>
    <w:rsid w:val="002870DF"/>
    <w:rsid w:val="00287139"/>
    <w:rsid w:val="002871F9"/>
    <w:rsid w:val="00287302"/>
    <w:rsid w:val="0028735F"/>
    <w:rsid w:val="00287374"/>
    <w:rsid w:val="00287492"/>
    <w:rsid w:val="002874CD"/>
    <w:rsid w:val="0028756E"/>
    <w:rsid w:val="002875B3"/>
    <w:rsid w:val="002875DD"/>
    <w:rsid w:val="00287622"/>
    <w:rsid w:val="0028764B"/>
    <w:rsid w:val="00287691"/>
    <w:rsid w:val="00287692"/>
    <w:rsid w:val="002876B4"/>
    <w:rsid w:val="002876C9"/>
    <w:rsid w:val="00287756"/>
    <w:rsid w:val="0028775E"/>
    <w:rsid w:val="0028776C"/>
    <w:rsid w:val="00287797"/>
    <w:rsid w:val="002877C1"/>
    <w:rsid w:val="002877C2"/>
    <w:rsid w:val="002877EA"/>
    <w:rsid w:val="0028783C"/>
    <w:rsid w:val="00287912"/>
    <w:rsid w:val="00287997"/>
    <w:rsid w:val="00287A1B"/>
    <w:rsid w:val="00287AF0"/>
    <w:rsid w:val="00287B40"/>
    <w:rsid w:val="00287B65"/>
    <w:rsid w:val="00287C4D"/>
    <w:rsid w:val="00287CFA"/>
    <w:rsid w:val="00287D23"/>
    <w:rsid w:val="00287D5A"/>
    <w:rsid w:val="00287D5E"/>
    <w:rsid w:val="00287D60"/>
    <w:rsid w:val="00287D92"/>
    <w:rsid w:val="00287E52"/>
    <w:rsid w:val="00287EFD"/>
    <w:rsid w:val="00287F4E"/>
    <w:rsid w:val="00287F55"/>
    <w:rsid w:val="00287FD4"/>
    <w:rsid w:val="0028C4DF"/>
    <w:rsid w:val="00290015"/>
    <w:rsid w:val="0029008C"/>
    <w:rsid w:val="002900D9"/>
    <w:rsid w:val="0029010D"/>
    <w:rsid w:val="0029013E"/>
    <w:rsid w:val="002901BC"/>
    <w:rsid w:val="00290209"/>
    <w:rsid w:val="0029024A"/>
    <w:rsid w:val="002902D4"/>
    <w:rsid w:val="002905A9"/>
    <w:rsid w:val="00290639"/>
    <w:rsid w:val="002906A0"/>
    <w:rsid w:val="002906B5"/>
    <w:rsid w:val="002906F7"/>
    <w:rsid w:val="00290728"/>
    <w:rsid w:val="002907CB"/>
    <w:rsid w:val="002907CD"/>
    <w:rsid w:val="00290800"/>
    <w:rsid w:val="0029086E"/>
    <w:rsid w:val="002908DE"/>
    <w:rsid w:val="00290970"/>
    <w:rsid w:val="0029097E"/>
    <w:rsid w:val="002909F7"/>
    <w:rsid w:val="00290A12"/>
    <w:rsid w:val="00290A45"/>
    <w:rsid w:val="00290A69"/>
    <w:rsid w:val="00290B0F"/>
    <w:rsid w:val="00290B25"/>
    <w:rsid w:val="00290B9E"/>
    <w:rsid w:val="00290BB0"/>
    <w:rsid w:val="00290C64"/>
    <w:rsid w:val="00290C70"/>
    <w:rsid w:val="00290CF6"/>
    <w:rsid w:val="00290D0F"/>
    <w:rsid w:val="00290D21"/>
    <w:rsid w:val="00290D5D"/>
    <w:rsid w:val="00290D75"/>
    <w:rsid w:val="00290DE4"/>
    <w:rsid w:val="00290E8F"/>
    <w:rsid w:val="00290EDC"/>
    <w:rsid w:val="00290FF9"/>
    <w:rsid w:val="00291008"/>
    <w:rsid w:val="00291194"/>
    <w:rsid w:val="002911A7"/>
    <w:rsid w:val="002912F7"/>
    <w:rsid w:val="002913FB"/>
    <w:rsid w:val="00291429"/>
    <w:rsid w:val="0029149E"/>
    <w:rsid w:val="00291501"/>
    <w:rsid w:val="00291502"/>
    <w:rsid w:val="00291524"/>
    <w:rsid w:val="0029155C"/>
    <w:rsid w:val="002916EA"/>
    <w:rsid w:val="00291759"/>
    <w:rsid w:val="0029177E"/>
    <w:rsid w:val="002917C1"/>
    <w:rsid w:val="002917D2"/>
    <w:rsid w:val="00291817"/>
    <w:rsid w:val="00291819"/>
    <w:rsid w:val="0029182C"/>
    <w:rsid w:val="0029188D"/>
    <w:rsid w:val="0029189F"/>
    <w:rsid w:val="0029191B"/>
    <w:rsid w:val="0029196C"/>
    <w:rsid w:val="002919C9"/>
    <w:rsid w:val="002919D1"/>
    <w:rsid w:val="002919FE"/>
    <w:rsid w:val="00291A22"/>
    <w:rsid w:val="00291A48"/>
    <w:rsid w:val="00291A9A"/>
    <w:rsid w:val="00291ACA"/>
    <w:rsid w:val="00291AE7"/>
    <w:rsid w:val="00291C03"/>
    <w:rsid w:val="00291C19"/>
    <w:rsid w:val="00291CC5"/>
    <w:rsid w:val="00291CCB"/>
    <w:rsid w:val="00291DED"/>
    <w:rsid w:val="00291F50"/>
    <w:rsid w:val="00291F59"/>
    <w:rsid w:val="00291F6B"/>
    <w:rsid w:val="00292025"/>
    <w:rsid w:val="00292048"/>
    <w:rsid w:val="0029204E"/>
    <w:rsid w:val="002920F1"/>
    <w:rsid w:val="0029214D"/>
    <w:rsid w:val="00292150"/>
    <w:rsid w:val="00292232"/>
    <w:rsid w:val="00292239"/>
    <w:rsid w:val="00292250"/>
    <w:rsid w:val="002922B7"/>
    <w:rsid w:val="002922EF"/>
    <w:rsid w:val="00292366"/>
    <w:rsid w:val="002923BE"/>
    <w:rsid w:val="002923DB"/>
    <w:rsid w:val="00292434"/>
    <w:rsid w:val="00292454"/>
    <w:rsid w:val="0029252B"/>
    <w:rsid w:val="00292657"/>
    <w:rsid w:val="00292697"/>
    <w:rsid w:val="00292708"/>
    <w:rsid w:val="00292717"/>
    <w:rsid w:val="0029276C"/>
    <w:rsid w:val="002927B7"/>
    <w:rsid w:val="00292819"/>
    <w:rsid w:val="00292877"/>
    <w:rsid w:val="002928D6"/>
    <w:rsid w:val="00292922"/>
    <w:rsid w:val="0029292F"/>
    <w:rsid w:val="0029293E"/>
    <w:rsid w:val="0029293F"/>
    <w:rsid w:val="00292946"/>
    <w:rsid w:val="002929A7"/>
    <w:rsid w:val="00292AB3"/>
    <w:rsid w:val="00292AD1"/>
    <w:rsid w:val="00292AFD"/>
    <w:rsid w:val="00292B26"/>
    <w:rsid w:val="00292B71"/>
    <w:rsid w:val="00292BB5"/>
    <w:rsid w:val="00292BBF"/>
    <w:rsid w:val="00292C1F"/>
    <w:rsid w:val="00292C96"/>
    <w:rsid w:val="00292C9F"/>
    <w:rsid w:val="00292D06"/>
    <w:rsid w:val="00292D9B"/>
    <w:rsid w:val="00292DD7"/>
    <w:rsid w:val="00292E4A"/>
    <w:rsid w:val="00292E84"/>
    <w:rsid w:val="00292F3F"/>
    <w:rsid w:val="00292F76"/>
    <w:rsid w:val="00292FB8"/>
    <w:rsid w:val="00293000"/>
    <w:rsid w:val="0029301D"/>
    <w:rsid w:val="0029308F"/>
    <w:rsid w:val="002930FD"/>
    <w:rsid w:val="00293140"/>
    <w:rsid w:val="0029327A"/>
    <w:rsid w:val="00293351"/>
    <w:rsid w:val="00293370"/>
    <w:rsid w:val="002933E9"/>
    <w:rsid w:val="00293424"/>
    <w:rsid w:val="00293482"/>
    <w:rsid w:val="002934AC"/>
    <w:rsid w:val="00293505"/>
    <w:rsid w:val="00293527"/>
    <w:rsid w:val="0029361C"/>
    <w:rsid w:val="0029369E"/>
    <w:rsid w:val="002936B8"/>
    <w:rsid w:val="00293718"/>
    <w:rsid w:val="00293828"/>
    <w:rsid w:val="00293903"/>
    <w:rsid w:val="0029393F"/>
    <w:rsid w:val="00293A57"/>
    <w:rsid w:val="00293A6D"/>
    <w:rsid w:val="00293AB4"/>
    <w:rsid w:val="00293ACA"/>
    <w:rsid w:val="00293AD5"/>
    <w:rsid w:val="00293ADD"/>
    <w:rsid w:val="00293AF6"/>
    <w:rsid w:val="00293BC6"/>
    <w:rsid w:val="00293C19"/>
    <w:rsid w:val="00293C47"/>
    <w:rsid w:val="00293D04"/>
    <w:rsid w:val="00293D1A"/>
    <w:rsid w:val="00293D21"/>
    <w:rsid w:val="00293D99"/>
    <w:rsid w:val="00293DDB"/>
    <w:rsid w:val="00293E45"/>
    <w:rsid w:val="00293F55"/>
    <w:rsid w:val="00293FBB"/>
    <w:rsid w:val="00293FC9"/>
    <w:rsid w:val="00293FCB"/>
    <w:rsid w:val="00293FCE"/>
    <w:rsid w:val="00293FED"/>
    <w:rsid w:val="00294003"/>
    <w:rsid w:val="0029403F"/>
    <w:rsid w:val="00294040"/>
    <w:rsid w:val="00294055"/>
    <w:rsid w:val="00294059"/>
    <w:rsid w:val="00294069"/>
    <w:rsid w:val="0029412A"/>
    <w:rsid w:val="00294150"/>
    <w:rsid w:val="0029419F"/>
    <w:rsid w:val="002941F3"/>
    <w:rsid w:val="00294204"/>
    <w:rsid w:val="00294249"/>
    <w:rsid w:val="002942A7"/>
    <w:rsid w:val="002942FB"/>
    <w:rsid w:val="002943BD"/>
    <w:rsid w:val="00294459"/>
    <w:rsid w:val="00294492"/>
    <w:rsid w:val="00294549"/>
    <w:rsid w:val="002945E3"/>
    <w:rsid w:val="002946A7"/>
    <w:rsid w:val="002946C3"/>
    <w:rsid w:val="002946ED"/>
    <w:rsid w:val="00294725"/>
    <w:rsid w:val="0029474F"/>
    <w:rsid w:val="002947BF"/>
    <w:rsid w:val="002947D1"/>
    <w:rsid w:val="002947EF"/>
    <w:rsid w:val="002948D6"/>
    <w:rsid w:val="00294961"/>
    <w:rsid w:val="00294A16"/>
    <w:rsid w:val="00294A94"/>
    <w:rsid w:val="00294B0A"/>
    <w:rsid w:val="00294B25"/>
    <w:rsid w:val="00294B3B"/>
    <w:rsid w:val="00294C33"/>
    <w:rsid w:val="00294C93"/>
    <w:rsid w:val="00294CB8"/>
    <w:rsid w:val="00294D04"/>
    <w:rsid w:val="00294D33"/>
    <w:rsid w:val="00294D35"/>
    <w:rsid w:val="00294D52"/>
    <w:rsid w:val="00294D5F"/>
    <w:rsid w:val="00294D78"/>
    <w:rsid w:val="00294DC9"/>
    <w:rsid w:val="00294E52"/>
    <w:rsid w:val="00294E68"/>
    <w:rsid w:val="00294F42"/>
    <w:rsid w:val="00294F52"/>
    <w:rsid w:val="00294FC3"/>
    <w:rsid w:val="00295082"/>
    <w:rsid w:val="00295086"/>
    <w:rsid w:val="00295091"/>
    <w:rsid w:val="00295167"/>
    <w:rsid w:val="00295188"/>
    <w:rsid w:val="0029518C"/>
    <w:rsid w:val="002951BA"/>
    <w:rsid w:val="0029523B"/>
    <w:rsid w:val="00295242"/>
    <w:rsid w:val="00295281"/>
    <w:rsid w:val="002952AB"/>
    <w:rsid w:val="002952B2"/>
    <w:rsid w:val="002952B5"/>
    <w:rsid w:val="00295313"/>
    <w:rsid w:val="00295382"/>
    <w:rsid w:val="0029538B"/>
    <w:rsid w:val="002953D7"/>
    <w:rsid w:val="00295443"/>
    <w:rsid w:val="002954A7"/>
    <w:rsid w:val="002954D8"/>
    <w:rsid w:val="002954F0"/>
    <w:rsid w:val="00295526"/>
    <w:rsid w:val="0029558B"/>
    <w:rsid w:val="002955AF"/>
    <w:rsid w:val="0029572F"/>
    <w:rsid w:val="00295770"/>
    <w:rsid w:val="00295817"/>
    <w:rsid w:val="0029588F"/>
    <w:rsid w:val="0029590E"/>
    <w:rsid w:val="00295960"/>
    <w:rsid w:val="002959CA"/>
    <w:rsid w:val="002959E3"/>
    <w:rsid w:val="00295AD4"/>
    <w:rsid w:val="00295B57"/>
    <w:rsid w:val="00295B7D"/>
    <w:rsid w:val="00295BE0"/>
    <w:rsid w:val="00295BFC"/>
    <w:rsid w:val="00295C2B"/>
    <w:rsid w:val="00295C33"/>
    <w:rsid w:val="00295C67"/>
    <w:rsid w:val="00295CD2"/>
    <w:rsid w:val="00295CE3"/>
    <w:rsid w:val="00295D6A"/>
    <w:rsid w:val="00295D7A"/>
    <w:rsid w:val="00295DED"/>
    <w:rsid w:val="00295EBC"/>
    <w:rsid w:val="00295FD5"/>
    <w:rsid w:val="00296087"/>
    <w:rsid w:val="00296137"/>
    <w:rsid w:val="0029613F"/>
    <w:rsid w:val="002961C6"/>
    <w:rsid w:val="002961DE"/>
    <w:rsid w:val="00296228"/>
    <w:rsid w:val="0029625C"/>
    <w:rsid w:val="00296290"/>
    <w:rsid w:val="00296311"/>
    <w:rsid w:val="00296339"/>
    <w:rsid w:val="00296342"/>
    <w:rsid w:val="0029637E"/>
    <w:rsid w:val="0029651B"/>
    <w:rsid w:val="0029655A"/>
    <w:rsid w:val="002965DE"/>
    <w:rsid w:val="00296638"/>
    <w:rsid w:val="00296680"/>
    <w:rsid w:val="002966A2"/>
    <w:rsid w:val="002966D9"/>
    <w:rsid w:val="002966E2"/>
    <w:rsid w:val="0029672A"/>
    <w:rsid w:val="00296762"/>
    <w:rsid w:val="00296771"/>
    <w:rsid w:val="00296781"/>
    <w:rsid w:val="002968A6"/>
    <w:rsid w:val="00296939"/>
    <w:rsid w:val="002969E6"/>
    <w:rsid w:val="002969F5"/>
    <w:rsid w:val="00296A7E"/>
    <w:rsid w:val="00296AA7"/>
    <w:rsid w:val="00296ADF"/>
    <w:rsid w:val="00296BC0"/>
    <w:rsid w:val="00296D01"/>
    <w:rsid w:val="00296D13"/>
    <w:rsid w:val="00296D33"/>
    <w:rsid w:val="00296DA5"/>
    <w:rsid w:val="00296DFC"/>
    <w:rsid w:val="00296E15"/>
    <w:rsid w:val="00296E37"/>
    <w:rsid w:val="00296E70"/>
    <w:rsid w:val="00296E75"/>
    <w:rsid w:val="00296E98"/>
    <w:rsid w:val="00296F04"/>
    <w:rsid w:val="00296F07"/>
    <w:rsid w:val="00296FAF"/>
    <w:rsid w:val="00297191"/>
    <w:rsid w:val="002971DD"/>
    <w:rsid w:val="002971F4"/>
    <w:rsid w:val="00297221"/>
    <w:rsid w:val="002972C5"/>
    <w:rsid w:val="0029749F"/>
    <w:rsid w:val="0029763F"/>
    <w:rsid w:val="00297708"/>
    <w:rsid w:val="002977D5"/>
    <w:rsid w:val="0029780E"/>
    <w:rsid w:val="00297864"/>
    <w:rsid w:val="00297872"/>
    <w:rsid w:val="0029789A"/>
    <w:rsid w:val="0029789E"/>
    <w:rsid w:val="002978E6"/>
    <w:rsid w:val="002978ED"/>
    <w:rsid w:val="00297916"/>
    <w:rsid w:val="0029793E"/>
    <w:rsid w:val="0029793F"/>
    <w:rsid w:val="00297A71"/>
    <w:rsid w:val="00297A8B"/>
    <w:rsid w:val="00297AEB"/>
    <w:rsid w:val="00297B64"/>
    <w:rsid w:val="00297B98"/>
    <w:rsid w:val="00297BA9"/>
    <w:rsid w:val="00297BD0"/>
    <w:rsid w:val="00297BF0"/>
    <w:rsid w:val="00297C22"/>
    <w:rsid w:val="00297CEA"/>
    <w:rsid w:val="00297D93"/>
    <w:rsid w:val="00297DC9"/>
    <w:rsid w:val="00297E10"/>
    <w:rsid w:val="00297EC8"/>
    <w:rsid w:val="00297EDB"/>
    <w:rsid w:val="00297EF8"/>
    <w:rsid w:val="00297F47"/>
    <w:rsid w:val="00297F8C"/>
    <w:rsid w:val="00297FCC"/>
    <w:rsid w:val="0029964A"/>
    <w:rsid w:val="002A00FA"/>
    <w:rsid w:val="002A0128"/>
    <w:rsid w:val="002A0274"/>
    <w:rsid w:val="002A02BB"/>
    <w:rsid w:val="002A02C5"/>
    <w:rsid w:val="002A02E1"/>
    <w:rsid w:val="002A02E7"/>
    <w:rsid w:val="002A03AD"/>
    <w:rsid w:val="002A03B4"/>
    <w:rsid w:val="002A03FF"/>
    <w:rsid w:val="002A040F"/>
    <w:rsid w:val="002A044D"/>
    <w:rsid w:val="002A04A5"/>
    <w:rsid w:val="002A0587"/>
    <w:rsid w:val="002A059C"/>
    <w:rsid w:val="002A05E8"/>
    <w:rsid w:val="002A061E"/>
    <w:rsid w:val="002A0669"/>
    <w:rsid w:val="002A0690"/>
    <w:rsid w:val="002A06D1"/>
    <w:rsid w:val="002A0805"/>
    <w:rsid w:val="002A0808"/>
    <w:rsid w:val="002A0837"/>
    <w:rsid w:val="002A090A"/>
    <w:rsid w:val="002A0958"/>
    <w:rsid w:val="002A09D4"/>
    <w:rsid w:val="002A0A6A"/>
    <w:rsid w:val="002A0AA5"/>
    <w:rsid w:val="002A0AE9"/>
    <w:rsid w:val="002A0B12"/>
    <w:rsid w:val="002A0B89"/>
    <w:rsid w:val="002A0BE5"/>
    <w:rsid w:val="002A0BE8"/>
    <w:rsid w:val="002A0C11"/>
    <w:rsid w:val="002A0C1C"/>
    <w:rsid w:val="002A0C21"/>
    <w:rsid w:val="002A0C5B"/>
    <w:rsid w:val="002A0D4A"/>
    <w:rsid w:val="002A0E27"/>
    <w:rsid w:val="002A0EAE"/>
    <w:rsid w:val="002A0EC7"/>
    <w:rsid w:val="002A0ED6"/>
    <w:rsid w:val="002A0EDB"/>
    <w:rsid w:val="002A0F3D"/>
    <w:rsid w:val="002A0F98"/>
    <w:rsid w:val="002A0FC4"/>
    <w:rsid w:val="002A0FF7"/>
    <w:rsid w:val="002A1024"/>
    <w:rsid w:val="002A1037"/>
    <w:rsid w:val="002A110E"/>
    <w:rsid w:val="002A1110"/>
    <w:rsid w:val="002A11A5"/>
    <w:rsid w:val="002A11C4"/>
    <w:rsid w:val="002A124B"/>
    <w:rsid w:val="002A129D"/>
    <w:rsid w:val="002A13BB"/>
    <w:rsid w:val="002A13C1"/>
    <w:rsid w:val="002A14AE"/>
    <w:rsid w:val="002A1513"/>
    <w:rsid w:val="002A163E"/>
    <w:rsid w:val="002A168C"/>
    <w:rsid w:val="002A1715"/>
    <w:rsid w:val="002A17D1"/>
    <w:rsid w:val="002A189E"/>
    <w:rsid w:val="002A1938"/>
    <w:rsid w:val="002A1A0D"/>
    <w:rsid w:val="002A1A99"/>
    <w:rsid w:val="002A1AB4"/>
    <w:rsid w:val="002A1AC8"/>
    <w:rsid w:val="002A1ADB"/>
    <w:rsid w:val="002A1B25"/>
    <w:rsid w:val="002A1B5D"/>
    <w:rsid w:val="002A1B70"/>
    <w:rsid w:val="002A1BC5"/>
    <w:rsid w:val="002A1C1C"/>
    <w:rsid w:val="002A1C59"/>
    <w:rsid w:val="002A1CB1"/>
    <w:rsid w:val="002A1D1F"/>
    <w:rsid w:val="002A1D4A"/>
    <w:rsid w:val="002A1D6C"/>
    <w:rsid w:val="002A1DA4"/>
    <w:rsid w:val="002A1DFA"/>
    <w:rsid w:val="002A1E63"/>
    <w:rsid w:val="002A1FBB"/>
    <w:rsid w:val="002A1FCE"/>
    <w:rsid w:val="002A200B"/>
    <w:rsid w:val="002A2023"/>
    <w:rsid w:val="002A2179"/>
    <w:rsid w:val="002A21C0"/>
    <w:rsid w:val="002A2202"/>
    <w:rsid w:val="002A225F"/>
    <w:rsid w:val="002A226C"/>
    <w:rsid w:val="002A22A2"/>
    <w:rsid w:val="002A22B3"/>
    <w:rsid w:val="002A2328"/>
    <w:rsid w:val="002A232B"/>
    <w:rsid w:val="002A232F"/>
    <w:rsid w:val="002A237A"/>
    <w:rsid w:val="002A23B0"/>
    <w:rsid w:val="002A23F3"/>
    <w:rsid w:val="002A23F5"/>
    <w:rsid w:val="002A2431"/>
    <w:rsid w:val="002A24AD"/>
    <w:rsid w:val="002A24EA"/>
    <w:rsid w:val="002A24F7"/>
    <w:rsid w:val="002A2521"/>
    <w:rsid w:val="002A2570"/>
    <w:rsid w:val="002A25BF"/>
    <w:rsid w:val="002A25CB"/>
    <w:rsid w:val="002A2625"/>
    <w:rsid w:val="002A2687"/>
    <w:rsid w:val="002A2698"/>
    <w:rsid w:val="002A271E"/>
    <w:rsid w:val="002A2771"/>
    <w:rsid w:val="002A281E"/>
    <w:rsid w:val="002A2828"/>
    <w:rsid w:val="002A293B"/>
    <w:rsid w:val="002A295B"/>
    <w:rsid w:val="002A2A10"/>
    <w:rsid w:val="002A2CB3"/>
    <w:rsid w:val="002A2E09"/>
    <w:rsid w:val="002A2E1A"/>
    <w:rsid w:val="002A2E1E"/>
    <w:rsid w:val="002A2E57"/>
    <w:rsid w:val="002A2EE0"/>
    <w:rsid w:val="002A2FD4"/>
    <w:rsid w:val="002A300E"/>
    <w:rsid w:val="002A3076"/>
    <w:rsid w:val="002A30D5"/>
    <w:rsid w:val="002A30E3"/>
    <w:rsid w:val="002A30ED"/>
    <w:rsid w:val="002A3100"/>
    <w:rsid w:val="002A3171"/>
    <w:rsid w:val="002A3220"/>
    <w:rsid w:val="002A337A"/>
    <w:rsid w:val="002A33A0"/>
    <w:rsid w:val="002A33A1"/>
    <w:rsid w:val="002A33FD"/>
    <w:rsid w:val="002A347F"/>
    <w:rsid w:val="002A3518"/>
    <w:rsid w:val="002A352B"/>
    <w:rsid w:val="002A3549"/>
    <w:rsid w:val="002A355A"/>
    <w:rsid w:val="002A356E"/>
    <w:rsid w:val="002A35A6"/>
    <w:rsid w:val="002A35BF"/>
    <w:rsid w:val="002A37FB"/>
    <w:rsid w:val="002A383B"/>
    <w:rsid w:val="002A3842"/>
    <w:rsid w:val="002A3866"/>
    <w:rsid w:val="002A3869"/>
    <w:rsid w:val="002A397D"/>
    <w:rsid w:val="002A39A5"/>
    <w:rsid w:val="002A3A5F"/>
    <w:rsid w:val="002A3A91"/>
    <w:rsid w:val="002A3B48"/>
    <w:rsid w:val="002A3B88"/>
    <w:rsid w:val="002A3B98"/>
    <w:rsid w:val="002A3BE1"/>
    <w:rsid w:val="002A3C27"/>
    <w:rsid w:val="002A3CBC"/>
    <w:rsid w:val="002A3D56"/>
    <w:rsid w:val="002A3DA2"/>
    <w:rsid w:val="002A3F05"/>
    <w:rsid w:val="002A3F3E"/>
    <w:rsid w:val="002A3F81"/>
    <w:rsid w:val="002A3F97"/>
    <w:rsid w:val="002A3FB2"/>
    <w:rsid w:val="002A4008"/>
    <w:rsid w:val="002A40C0"/>
    <w:rsid w:val="002A40C1"/>
    <w:rsid w:val="002A40CA"/>
    <w:rsid w:val="002A41A5"/>
    <w:rsid w:val="002A41A7"/>
    <w:rsid w:val="002A421B"/>
    <w:rsid w:val="002A43C7"/>
    <w:rsid w:val="002A43D1"/>
    <w:rsid w:val="002A43F8"/>
    <w:rsid w:val="002A4463"/>
    <w:rsid w:val="002A4483"/>
    <w:rsid w:val="002A44BA"/>
    <w:rsid w:val="002A4523"/>
    <w:rsid w:val="002A454B"/>
    <w:rsid w:val="002A4592"/>
    <w:rsid w:val="002A45F7"/>
    <w:rsid w:val="002A47A4"/>
    <w:rsid w:val="002A48BE"/>
    <w:rsid w:val="002A48FE"/>
    <w:rsid w:val="002A4955"/>
    <w:rsid w:val="002A49F0"/>
    <w:rsid w:val="002A4A1D"/>
    <w:rsid w:val="002A4A7F"/>
    <w:rsid w:val="002A4B4C"/>
    <w:rsid w:val="002A4BCB"/>
    <w:rsid w:val="002A4BEC"/>
    <w:rsid w:val="002A4C39"/>
    <w:rsid w:val="002A4CC8"/>
    <w:rsid w:val="002A4E9B"/>
    <w:rsid w:val="002A4EB3"/>
    <w:rsid w:val="002A4EC3"/>
    <w:rsid w:val="002A4F3F"/>
    <w:rsid w:val="002A4FEF"/>
    <w:rsid w:val="002A5002"/>
    <w:rsid w:val="002A5056"/>
    <w:rsid w:val="002A5170"/>
    <w:rsid w:val="002A518A"/>
    <w:rsid w:val="002A518C"/>
    <w:rsid w:val="002A518D"/>
    <w:rsid w:val="002A51D0"/>
    <w:rsid w:val="002A52EA"/>
    <w:rsid w:val="002A5319"/>
    <w:rsid w:val="002A5359"/>
    <w:rsid w:val="002A53C9"/>
    <w:rsid w:val="002A5436"/>
    <w:rsid w:val="002A5438"/>
    <w:rsid w:val="002A5537"/>
    <w:rsid w:val="002A5596"/>
    <w:rsid w:val="002A56C6"/>
    <w:rsid w:val="002A56DD"/>
    <w:rsid w:val="002A5716"/>
    <w:rsid w:val="002A57DE"/>
    <w:rsid w:val="002A5890"/>
    <w:rsid w:val="002A58DC"/>
    <w:rsid w:val="002A58ED"/>
    <w:rsid w:val="002A5A77"/>
    <w:rsid w:val="002A5B80"/>
    <w:rsid w:val="002A5B9B"/>
    <w:rsid w:val="002A5C21"/>
    <w:rsid w:val="002A5C2E"/>
    <w:rsid w:val="002A5C59"/>
    <w:rsid w:val="002A5CE2"/>
    <w:rsid w:val="002A5D0C"/>
    <w:rsid w:val="002A5D8A"/>
    <w:rsid w:val="002A5E41"/>
    <w:rsid w:val="002A5E67"/>
    <w:rsid w:val="002A5F1D"/>
    <w:rsid w:val="002A5F33"/>
    <w:rsid w:val="002A5FA9"/>
    <w:rsid w:val="002A5FC4"/>
    <w:rsid w:val="002A6039"/>
    <w:rsid w:val="002A6062"/>
    <w:rsid w:val="002A6087"/>
    <w:rsid w:val="002A615D"/>
    <w:rsid w:val="002A615F"/>
    <w:rsid w:val="002A61B7"/>
    <w:rsid w:val="002A6230"/>
    <w:rsid w:val="002A6320"/>
    <w:rsid w:val="002A6352"/>
    <w:rsid w:val="002A6397"/>
    <w:rsid w:val="002A6406"/>
    <w:rsid w:val="002A6411"/>
    <w:rsid w:val="002A649B"/>
    <w:rsid w:val="002A6526"/>
    <w:rsid w:val="002A6538"/>
    <w:rsid w:val="002A6542"/>
    <w:rsid w:val="002A65F0"/>
    <w:rsid w:val="002A66F0"/>
    <w:rsid w:val="002A677C"/>
    <w:rsid w:val="002A67EF"/>
    <w:rsid w:val="002A697B"/>
    <w:rsid w:val="002A6992"/>
    <w:rsid w:val="002A69DE"/>
    <w:rsid w:val="002A6A38"/>
    <w:rsid w:val="002A6A60"/>
    <w:rsid w:val="002A6AA8"/>
    <w:rsid w:val="002A6B8C"/>
    <w:rsid w:val="002A6B9A"/>
    <w:rsid w:val="002A6BA5"/>
    <w:rsid w:val="002A6BAB"/>
    <w:rsid w:val="002A6BCC"/>
    <w:rsid w:val="002A6BE8"/>
    <w:rsid w:val="002A6CF7"/>
    <w:rsid w:val="002A6D08"/>
    <w:rsid w:val="002A6E14"/>
    <w:rsid w:val="002A6E1A"/>
    <w:rsid w:val="002A6E4A"/>
    <w:rsid w:val="002A6F8E"/>
    <w:rsid w:val="002A6F9F"/>
    <w:rsid w:val="002A7069"/>
    <w:rsid w:val="002A70F4"/>
    <w:rsid w:val="002A71F3"/>
    <w:rsid w:val="002A72A7"/>
    <w:rsid w:val="002A72BA"/>
    <w:rsid w:val="002A72C6"/>
    <w:rsid w:val="002A7344"/>
    <w:rsid w:val="002A7386"/>
    <w:rsid w:val="002A7389"/>
    <w:rsid w:val="002A73B3"/>
    <w:rsid w:val="002A73B4"/>
    <w:rsid w:val="002A7578"/>
    <w:rsid w:val="002A760F"/>
    <w:rsid w:val="002A7620"/>
    <w:rsid w:val="002A77D2"/>
    <w:rsid w:val="002A798E"/>
    <w:rsid w:val="002A79A5"/>
    <w:rsid w:val="002A7A59"/>
    <w:rsid w:val="002A7A5D"/>
    <w:rsid w:val="002A7A5F"/>
    <w:rsid w:val="002A7A72"/>
    <w:rsid w:val="002A7B93"/>
    <w:rsid w:val="002A7B9A"/>
    <w:rsid w:val="002A7C24"/>
    <w:rsid w:val="002A7DA3"/>
    <w:rsid w:val="002A7E2D"/>
    <w:rsid w:val="002A7EB3"/>
    <w:rsid w:val="002A7ED2"/>
    <w:rsid w:val="002A7F96"/>
    <w:rsid w:val="002A7F9A"/>
    <w:rsid w:val="002A7FDF"/>
    <w:rsid w:val="002A7FEB"/>
    <w:rsid w:val="002B0044"/>
    <w:rsid w:val="002B004D"/>
    <w:rsid w:val="002B009F"/>
    <w:rsid w:val="002B0209"/>
    <w:rsid w:val="002B0234"/>
    <w:rsid w:val="002B0285"/>
    <w:rsid w:val="002B02E6"/>
    <w:rsid w:val="002B030C"/>
    <w:rsid w:val="002B0373"/>
    <w:rsid w:val="002B03CB"/>
    <w:rsid w:val="002B04B6"/>
    <w:rsid w:val="002B04C6"/>
    <w:rsid w:val="002B04EF"/>
    <w:rsid w:val="002B050A"/>
    <w:rsid w:val="002B0570"/>
    <w:rsid w:val="002B059F"/>
    <w:rsid w:val="002B05DC"/>
    <w:rsid w:val="002B05F1"/>
    <w:rsid w:val="002B0702"/>
    <w:rsid w:val="002B070C"/>
    <w:rsid w:val="002B07D5"/>
    <w:rsid w:val="002B0848"/>
    <w:rsid w:val="002B0894"/>
    <w:rsid w:val="002B08BC"/>
    <w:rsid w:val="002B0911"/>
    <w:rsid w:val="002B0934"/>
    <w:rsid w:val="002B0981"/>
    <w:rsid w:val="002B0A37"/>
    <w:rsid w:val="002B0B16"/>
    <w:rsid w:val="002B0B35"/>
    <w:rsid w:val="002B0B62"/>
    <w:rsid w:val="002B0C0F"/>
    <w:rsid w:val="002B0C65"/>
    <w:rsid w:val="002B0DBB"/>
    <w:rsid w:val="002B0DD6"/>
    <w:rsid w:val="002B0EBC"/>
    <w:rsid w:val="002B0ECB"/>
    <w:rsid w:val="002B0EDA"/>
    <w:rsid w:val="002B0F02"/>
    <w:rsid w:val="002B0F61"/>
    <w:rsid w:val="002B0F80"/>
    <w:rsid w:val="002B0F81"/>
    <w:rsid w:val="002B0FE4"/>
    <w:rsid w:val="002B1006"/>
    <w:rsid w:val="002B1017"/>
    <w:rsid w:val="002B1076"/>
    <w:rsid w:val="002B1147"/>
    <w:rsid w:val="002B114A"/>
    <w:rsid w:val="002B1176"/>
    <w:rsid w:val="002B1184"/>
    <w:rsid w:val="002B127A"/>
    <w:rsid w:val="002B1286"/>
    <w:rsid w:val="002B12B3"/>
    <w:rsid w:val="002B131F"/>
    <w:rsid w:val="002B142D"/>
    <w:rsid w:val="002B1445"/>
    <w:rsid w:val="002B1477"/>
    <w:rsid w:val="002B14B8"/>
    <w:rsid w:val="002B1566"/>
    <w:rsid w:val="002B156F"/>
    <w:rsid w:val="002B1613"/>
    <w:rsid w:val="002B16A7"/>
    <w:rsid w:val="002B16BA"/>
    <w:rsid w:val="002B17E7"/>
    <w:rsid w:val="002B1831"/>
    <w:rsid w:val="002B183E"/>
    <w:rsid w:val="002B1880"/>
    <w:rsid w:val="002B188B"/>
    <w:rsid w:val="002B18FE"/>
    <w:rsid w:val="002B19A3"/>
    <w:rsid w:val="002B19C6"/>
    <w:rsid w:val="002B1A19"/>
    <w:rsid w:val="002B1A43"/>
    <w:rsid w:val="002B1B11"/>
    <w:rsid w:val="002B1B3E"/>
    <w:rsid w:val="002B1B5D"/>
    <w:rsid w:val="002B1B62"/>
    <w:rsid w:val="002B1B74"/>
    <w:rsid w:val="002B1B9E"/>
    <w:rsid w:val="002B1BAC"/>
    <w:rsid w:val="002B1CCD"/>
    <w:rsid w:val="002B1D54"/>
    <w:rsid w:val="002B1F08"/>
    <w:rsid w:val="002B1F52"/>
    <w:rsid w:val="002B1F6D"/>
    <w:rsid w:val="002B1F96"/>
    <w:rsid w:val="002B1FA3"/>
    <w:rsid w:val="002B2022"/>
    <w:rsid w:val="002B204F"/>
    <w:rsid w:val="002B20E5"/>
    <w:rsid w:val="002B2110"/>
    <w:rsid w:val="002B2142"/>
    <w:rsid w:val="002B218A"/>
    <w:rsid w:val="002B21A3"/>
    <w:rsid w:val="002B2294"/>
    <w:rsid w:val="002B22A8"/>
    <w:rsid w:val="002B2338"/>
    <w:rsid w:val="002B236A"/>
    <w:rsid w:val="002B2374"/>
    <w:rsid w:val="002B2396"/>
    <w:rsid w:val="002B23A4"/>
    <w:rsid w:val="002B2499"/>
    <w:rsid w:val="002B24B7"/>
    <w:rsid w:val="002B24D0"/>
    <w:rsid w:val="002B2564"/>
    <w:rsid w:val="002B2580"/>
    <w:rsid w:val="002B25AE"/>
    <w:rsid w:val="002B2628"/>
    <w:rsid w:val="002B2717"/>
    <w:rsid w:val="002B272D"/>
    <w:rsid w:val="002B2739"/>
    <w:rsid w:val="002B2780"/>
    <w:rsid w:val="002B279C"/>
    <w:rsid w:val="002B27A2"/>
    <w:rsid w:val="002B2825"/>
    <w:rsid w:val="002B2878"/>
    <w:rsid w:val="002B2A69"/>
    <w:rsid w:val="002B2A86"/>
    <w:rsid w:val="002B2B26"/>
    <w:rsid w:val="002B2CA2"/>
    <w:rsid w:val="002B2CB6"/>
    <w:rsid w:val="002B2D34"/>
    <w:rsid w:val="002B2DD6"/>
    <w:rsid w:val="002B2E65"/>
    <w:rsid w:val="002B2EA7"/>
    <w:rsid w:val="002B2EE0"/>
    <w:rsid w:val="002B2F29"/>
    <w:rsid w:val="002B2F4D"/>
    <w:rsid w:val="002B2F97"/>
    <w:rsid w:val="002B302E"/>
    <w:rsid w:val="002B3208"/>
    <w:rsid w:val="002B3224"/>
    <w:rsid w:val="002B32B5"/>
    <w:rsid w:val="002B3343"/>
    <w:rsid w:val="002B3355"/>
    <w:rsid w:val="002B3407"/>
    <w:rsid w:val="002B3414"/>
    <w:rsid w:val="002B3458"/>
    <w:rsid w:val="002B3537"/>
    <w:rsid w:val="002B3569"/>
    <w:rsid w:val="002B35AA"/>
    <w:rsid w:val="002B35CC"/>
    <w:rsid w:val="002B35D1"/>
    <w:rsid w:val="002B366E"/>
    <w:rsid w:val="002B36EE"/>
    <w:rsid w:val="002B3796"/>
    <w:rsid w:val="002B37B7"/>
    <w:rsid w:val="002B3844"/>
    <w:rsid w:val="002B3913"/>
    <w:rsid w:val="002B3994"/>
    <w:rsid w:val="002B39AC"/>
    <w:rsid w:val="002B39E1"/>
    <w:rsid w:val="002B3A31"/>
    <w:rsid w:val="002B3A6F"/>
    <w:rsid w:val="002B3AA8"/>
    <w:rsid w:val="002B3AB5"/>
    <w:rsid w:val="002B3C6A"/>
    <w:rsid w:val="002B3C8C"/>
    <w:rsid w:val="002B3CE1"/>
    <w:rsid w:val="002B3DAB"/>
    <w:rsid w:val="002B3E0F"/>
    <w:rsid w:val="002B3EA1"/>
    <w:rsid w:val="002B3EC1"/>
    <w:rsid w:val="002B3F4D"/>
    <w:rsid w:val="002B4073"/>
    <w:rsid w:val="002B40B1"/>
    <w:rsid w:val="002B40BD"/>
    <w:rsid w:val="002B40F1"/>
    <w:rsid w:val="002B4110"/>
    <w:rsid w:val="002B4315"/>
    <w:rsid w:val="002B4342"/>
    <w:rsid w:val="002B43B8"/>
    <w:rsid w:val="002B43D0"/>
    <w:rsid w:val="002B4436"/>
    <w:rsid w:val="002B44A7"/>
    <w:rsid w:val="002B4534"/>
    <w:rsid w:val="002B456A"/>
    <w:rsid w:val="002B466B"/>
    <w:rsid w:val="002B469C"/>
    <w:rsid w:val="002B4715"/>
    <w:rsid w:val="002B48CD"/>
    <w:rsid w:val="002B496D"/>
    <w:rsid w:val="002B4996"/>
    <w:rsid w:val="002B49FA"/>
    <w:rsid w:val="002B4A6A"/>
    <w:rsid w:val="002B4A6C"/>
    <w:rsid w:val="002B4A8D"/>
    <w:rsid w:val="002B4A9A"/>
    <w:rsid w:val="002B4ADA"/>
    <w:rsid w:val="002B4B05"/>
    <w:rsid w:val="002B4B3B"/>
    <w:rsid w:val="002B4B66"/>
    <w:rsid w:val="002B4B76"/>
    <w:rsid w:val="002B4BD5"/>
    <w:rsid w:val="002B4C7A"/>
    <w:rsid w:val="002B4C97"/>
    <w:rsid w:val="002B4CF3"/>
    <w:rsid w:val="002B4D8A"/>
    <w:rsid w:val="002B4DBC"/>
    <w:rsid w:val="002B4E63"/>
    <w:rsid w:val="002B4F27"/>
    <w:rsid w:val="002B4FA3"/>
    <w:rsid w:val="002B4FF2"/>
    <w:rsid w:val="002B50D0"/>
    <w:rsid w:val="002B50E4"/>
    <w:rsid w:val="002B5160"/>
    <w:rsid w:val="002B51AB"/>
    <w:rsid w:val="002B5236"/>
    <w:rsid w:val="002B5258"/>
    <w:rsid w:val="002B52E1"/>
    <w:rsid w:val="002B5323"/>
    <w:rsid w:val="002B5392"/>
    <w:rsid w:val="002B544B"/>
    <w:rsid w:val="002B546C"/>
    <w:rsid w:val="002B565E"/>
    <w:rsid w:val="002B56CE"/>
    <w:rsid w:val="002B577F"/>
    <w:rsid w:val="002B57D3"/>
    <w:rsid w:val="002B57E6"/>
    <w:rsid w:val="002B593E"/>
    <w:rsid w:val="002B5996"/>
    <w:rsid w:val="002B599D"/>
    <w:rsid w:val="002B5C08"/>
    <w:rsid w:val="002B5C19"/>
    <w:rsid w:val="002B5C7C"/>
    <w:rsid w:val="002B5CD9"/>
    <w:rsid w:val="002B5CEC"/>
    <w:rsid w:val="002B5D0C"/>
    <w:rsid w:val="002B5D49"/>
    <w:rsid w:val="002B5D85"/>
    <w:rsid w:val="002B5DCE"/>
    <w:rsid w:val="002B5E44"/>
    <w:rsid w:val="002B5F00"/>
    <w:rsid w:val="002B5F24"/>
    <w:rsid w:val="002B5FF7"/>
    <w:rsid w:val="002B60E6"/>
    <w:rsid w:val="002B6135"/>
    <w:rsid w:val="002B6189"/>
    <w:rsid w:val="002B62CB"/>
    <w:rsid w:val="002B62F7"/>
    <w:rsid w:val="002B6307"/>
    <w:rsid w:val="002B631C"/>
    <w:rsid w:val="002B638E"/>
    <w:rsid w:val="002B63E4"/>
    <w:rsid w:val="002B6414"/>
    <w:rsid w:val="002B6453"/>
    <w:rsid w:val="002B645F"/>
    <w:rsid w:val="002B647E"/>
    <w:rsid w:val="002B64AD"/>
    <w:rsid w:val="002B64CF"/>
    <w:rsid w:val="002B64F8"/>
    <w:rsid w:val="002B6531"/>
    <w:rsid w:val="002B657C"/>
    <w:rsid w:val="002B659E"/>
    <w:rsid w:val="002B65DA"/>
    <w:rsid w:val="002B66EB"/>
    <w:rsid w:val="002B6752"/>
    <w:rsid w:val="002B6800"/>
    <w:rsid w:val="002B68A3"/>
    <w:rsid w:val="002B68AE"/>
    <w:rsid w:val="002B6927"/>
    <w:rsid w:val="002B6965"/>
    <w:rsid w:val="002B696F"/>
    <w:rsid w:val="002B6A4B"/>
    <w:rsid w:val="002B6B26"/>
    <w:rsid w:val="002B6B35"/>
    <w:rsid w:val="002B6BA5"/>
    <w:rsid w:val="002B6C08"/>
    <w:rsid w:val="002B6CBE"/>
    <w:rsid w:val="002B6CE0"/>
    <w:rsid w:val="002B6CF1"/>
    <w:rsid w:val="002B6E7C"/>
    <w:rsid w:val="002B6EA1"/>
    <w:rsid w:val="002B6EF7"/>
    <w:rsid w:val="002B6F71"/>
    <w:rsid w:val="002B70BA"/>
    <w:rsid w:val="002B7182"/>
    <w:rsid w:val="002B728B"/>
    <w:rsid w:val="002B733B"/>
    <w:rsid w:val="002B737C"/>
    <w:rsid w:val="002B73C1"/>
    <w:rsid w:val="002B73D4"/>
    <w:rsid w:val="002B744E"/>
    <w:rsid w:val="002B74EE"/>
    <w:rsid w:val="002B7504"/>
    <w:rsid w:val="002B7508"/>
    <w:rsid w:val="002B75DD"/>
    <w:rsid w:val="002B76D9"/>
    <w:rsid w:val="002B7716"/>
    <w:rsid w:val="002B7792"/>
    <w:rsid w:val="002B77D9"/>
    <w:rsid w:val="002B7846"/>
    <w:rsid w:val="002B787F"/>
    <w:rsid w:val="002B7891"/>
    <w:rsid w:val="002B789C"/>
    <w:rsid w:val="002B78AA"/>
    <w:rsid w:val="002B790E"/>
    <w:rsid w:val="002B7910"/>
    <w:rsid w:val="002B795C"/>
    <w:rsid w:val="002B79AC"/>
    <w:rsid w:val="002B79B9"/>
    <w:rsid w:val="002B7A34"/>
    <w:rsid w:val="002B7AA5"/>
    <w:rsid w:val="002B7AD7"/>
    <w:rsid w:val="002B7B13"/>
    <w:rsid w:val="002B7B8A"/>
    <w:rsid w:val="002B7BCF"/>
    <w:rsid w:val="002B7C1E"/>
    <w:rsid w:val="002B7C2F"/>
    <w:rsid w:val="002B7C35"/>
    <w:rsid w:val="002B7CBD"/>
    <w:rsid w:val="002B7D27"/>
    <w:rsid w:val="002B7D66"/>
    <w:rsid w:val="002B7D9A"/>
    <w:rsid w:val="002B7DAF"/>
    <w:rsid w:val="002B7ED9"/>
    <w:rsid w:val="002B7F2F"/>
    <w:rsid w:val="002B7FA6"/>
    <w:rsid w:val="002C0035"/>
    <w:rsid w:val="002C00A1"/>
    <w:rsid w:val="002C0110"/>
    <w:rsid w:val="002C0136"/>
    <w:rsid w:val="002C025F"/>
    <w:rsid w:val="002C0270"/>
    <w:rsid w:val="002C02B0"/>
    <w:rsid w:val="002C02F9"/>
    <w:rsid w:val="002C033F"/>
    <w:rsid w:val="002C0582"/>
    <w:rsid w:val="002C068F"/>
    <w:rsid w:val="002C06B4"/>
    <w:rsid w:val="002C07A5"/>
    <w:rsid w:val="002C07BB"/>
    <w:rsid w:val="002C07C3"/>
    <w:rsid w:val="002C07DA"/>
    <w:rsid w:val="002C07E1"/>
    <w:rsid w:val="002C0827"/>
    <w:rsid w:val="002C0834"/>
    <w:rsid w:val="002C088E"/>
    <w:rsid w:val="002C08C0"/>
    <w:rsid w:val="002C08CB"/>
    <w:rsid w:val="002C0908"/>
    <w:rsid w:val="002C0999"/>
    <w:rsid w:val="002C09E9"/>
    <w:rsid w:val="002C09F1"/>
    <w:rsid w:val="002C09F3"/>
    <w:rsid w:val="002C09F7"/>
    <w:rsid w:val="002C09FF"/>
    <w:rsid w:val="002C0A10"/>
    <w:rsid w:val="002C0A3D"/>
    <w:rsid w:val="002C0A54"/>
    <w:rsid w:val="002C0A9A"/>
    <w:rsid w:val="002C0ACD"/>
    <w:rsid w:val="002C0B4C"/>
    <w:rsid w:val="002C0C46"/>
    <w:rsid w:val="002C0CD1"/>
    <w:rsid w:val="002C0DA1"/>
    <w:rsid w:val="002C0DF6"/>
    <w:rsid w:val="002C0EAE"/>
    <w:rsid w:val="002C0F0C"/>
    <w:rsid w:val="002C0F95"/>
    <w:rsid w:val="002C1019"/>
    <w:rsid w:val="002C118D"/>
    <w:rsid w:val="002C12DD"/>
    <w:rsid w:val="002C12FA"/>
    <w:rsid w:val="002C1342"/>
    <w:rsid w:val="002C1378"/>
    <w:rsid w:val="002C13A2"/>
    <w:rsid w:val="002C144F"/>
    <w:rsid w:val="002C14EB"/>
    <w:rsid w:val="002C14F0"/>
    <w:rsid w:val="002C152E"/>
    <w:rsid w:val="002C158C"/>
    <w:rsid w:val="002C1614"/>
    <w:rsid w:val="002C1621"/>
    <w:rsid w:val="002C1696"/>
    <w:rsid w:val="002C16C3"/>
    <w:rsid w:val="002C1719"/>
    <w:rsid w:val="002C1785"/>
    <w:rsid w:val="002C17DF"/>
    <w:rsid w:val="002C183D"/>
    <w:rsid w:val="002C183E"/>
    <w:rsid w:val="002C18AA"/>
    <w:rsid w:val="002C1A0E"/>
    <w:rsid w:val="002C1B37"/>
    <w:rsid w:val="002C1B44"/>
    <w:rsid w:val="002C1C59"/>
    <w:rsid w:val="002C1C83"/>
    <w:rsid w:val="002C1C90"/>
    <w:rsid w:val="002C1D41"/>
    <w:rsid w:val="002C1D55"/>
    <w:rsid w:val="002C1DBB"/>
    <w:rsid w:val="002C1EA7"/>
    <w:rsid w:val="002C1EBD"/>
    <w:rsid w:val="002C1EC3"/>
    <w:rsid w:val="002C1EC6"/>
    <w:rsid w:val="002C1ECE"/>
    <w:rsid w:val="002C1F60"/>
    <w:rsid w:val="002C1FF7"/>
    <w:rsid w:val="002C2091"/>
    <w:rsid w:val="002C214E"/>
    <w:rsid w:val="002C2183"/>
    <w:rsid w:val="002C2192"/>
    <w:rsid w:val="002C21AD"/>
    <w:rsid w:val="002C21B6"/>
    <w:rsid w:val="002C21D0"/>
    <w:rsid w:val="002C21D7"/>
    <w:rsid w:val="002C21ED"/>
    <w:rsid w:val="002C2263"/>
    <w:rsid w:val="002C22CC"/>
    <w:rsid w:val="002C2341"/>
    <w:rsid w:val="002C234C"/>
    <w:rsid w:val="002C23D7"/>
    <w:rsid w:val="002C23EE"/>
    <w:rsid w:val="002C244B"/>
    <w:rsid w:val="002C246C"/>
    <w:rsid w:val="002C24E2"/>
    <w:rsid w:val="002C2562"/>
    <w:rsid w:val="002C256D"/>
    <w:rsid w:val="002C258D"/>
    <w:rsid w:val="002C2635"/>
    <w:rsid w:val="002C26C7"/>
    <w:rsid w:val="002C26DD"/>
    <w:rsid w:val="002C274F"/>
    <w:rsid w:val="002C27C8"/>
    <w:rsid w:val="002C2820"/>
    <w:rsid w:val="002C282F"/>
    <w:rsid w:val="002C28CF"/>
    <w:rsid w:val="002C2980"/>
    <w:rsid w:val="002C29F0"/>
    <w:rsid w:val="002C2B30"/>
    <w:rsid w:val="002C2B77"/>
    <w:rsid w:val="002C2BF1"/>
    <w:rsid w:val="002C2C06"/>
    <w:rsid w:val="002C2C5C"/>
    <w:rsid w:val="002C2CE1"/>
    <w:rsid w:val="002C2CFE"/>
    <w:rsid w:val="002C2D2B"/>
    <w:rsid w:val="002C2D7C"/>
    <w:rsid w:val="002C2E4E"/>
    <w:rsid w:val="002C2E62"/>
    <w:rsid w:val="002C2ED2"/>
    <w:rsid w:val="002C2FA3"/>
    <w:rsid w:val="002C2FA5"/>
    <w:rsid w:val="002C30DC"/>
    <w:rsid w:val="002C30EB"/>
    <w:rsid w:val="002C310B"/>
    <w:rsid w:val="002C3134"/>
    <w:rsid w:val="002C314F"/>
    <w:rsid w:val="002C3197"/>
    <w:rsid w:val="002C31A5"/>
    <w:rsid w:val="002C31BE"/>
    <w:rsid w:val="002C32AC"/>
    <w:rsid w:val="002C32C2"/>
    <w:rsid w:val="002C32E3"/>
    <w:rsid w:val="002C3431"/>
    <w:rsid w:val="002C3550"/>
    <w:rsid w:val="002C3554"/>
    <w:rsid w:val="002C3582"/>
    <w:rsid w:val="002C35CF"/>
    <w:rsid w:val="002C35E6"/>
    <w:rsid w:val="002C3657"/>
    <w:rsid w:val="002C36DC"/>
    <w:rsid w:val="002C371D"/>
    <w:rsid w:val="002C378A"/>
    <w:rsid w:val="002C379C"/>
    <w:rsid w:val="002C3858"/>
    <w:rsid w:val="002C3900"/>
    <w:rsid w:val="002C390B"/>
    <w:rsid w:val="002C3912"/>
    <w:rsid w:val="002C3941"/>
    <w:rsid w:val="002C3957"/>
    <w:rsid w:val="002C39B8"/>
    <w:rsid w:val="002C39FF"/>
    <w:rsid w:val="002C3A17"/>
    <w:rsid w:val="002C3A42"/>
    <w:rsid w:val="002C3ACF"/>
    <w:rsid w:val="002C3B2C"/>
    <w:rsid w:val="002C3B68"/>
    <w:rsid w:val="002C3BE1"/>
    <w:rsid w:val="002C3C05"/>
    <w:rsid w:val="002C3C1F"/>
    <w:rsid w:val="002C3C50"/>
    <w:rsid w:val="002C3CC6"/>
    <w:rsid w:val="002C3CC7"/>
    <w:rsid w:val="002C3D87"/>
    <w:rsid w:val="002C3D91"/>
    <w:rsid w:val="002C3DE5"/>
    <w:rsid w:val="002C3E66"/>
    <w:rsid w:val="002C3E9D"/>
    <w:rsid w:val="002C3EEE"/>
    <w:rsid w:val="002C3F52"/>
    <w:rsid w:val="002C3F6B"/>
    <w:rsid w:val="002C3FB3"/>
    <w:rsid w:val="002C3FEA"/>
    <w:rsid w:val="002C4084"/>
    <w:rsid w:val="002C40F6"/>
    <w:rsid w:val="002C4131"/>
    <w:rsid w:val="002C4148"/>
    <w:rsid w:val="002C425B"/>
    <w:rsid w:val="002C4300"/>
    <w:rsid w:val="002C4391"/>
    <w:rsid w:val="002C43C1"/>
    <w:rsid w:val="002C44A9"/>
    <w:rsid w:val="002C45F0"/>
    <w:rsid w:val="002C4629"/>
    <w:rsid w:val="002C46EE"/>
    <w:rsid w:val="002C4750"/>
    <w:rsid w:val="002C477C"/>
    <w:rsid w:val="002C47DF"/>
    <w:rsid w:val="002C4810"/>
    <w:rsid w:val="002C4853"/>
    <w:rsid w:val="002C4858"/>
    <w:rsid w:val="002C48A4"/>
    <w:rsid w:val="002C48C7"/>
    <w:rsid w:val="002C48D1"/>
    <w:rsid w:val="002C48DB"/>
    <w:rsid w:val="002C4948"/>
    <w:rsid w:val="002C4A74"/>
    <w:rsid w:val="002C4A87"/>
    <w:rsid w:val="002C4A9D"/>
    <w:rsid w:val="002C4B2A"/>
    <w:rsid w:val="002C4B67"/>
    <w:rsid w:val="002C4B9D"/>
    <w:rsid w:val="002C4BD9"/>
    <w:rsid w:val="002C4BF6"/>
    <w:rsid w:val="002C4C66"/>
    <w:rsid w:val="002C4CCE"/>
    <w:rsid w:val="002C4E51"/>
    <w:rsid w:val="002C4EAD"/>
    <w:rsid w:val="002C4ED0"/>
    <w:rsid w:val="002C4F36"/>
    <w:rsid w:val="002C4F73"/>
    <w:rsid w:val="002C5080"/>
    <w:rsid w:val="002C50E5"/>
    <w:rsid w:val="002C513C"/>
    <w:rsid w:val="002C5141"/>
    <w:rsid w:val="002C5192"/>
    <w:rsid w:val="002C5221"/>
    <w:rsid w:val="002C52AB"/>
    <w:rsid w:val="002C53C1"/>
    <w:rsid w:val="002C5417"/>
    <w:rsid w:val="002C543C"/>
    <w:rsid w:val="002C548C"/>
    <w:rsid w:val="002C54EE"/>
    <w:rsid w:val="002C555B"/>
    <w:rsid w:val="002C5693"/>
    <w:rsid w:val="002C56F6"/>
    <w:rsid w:val="002C5787"/>
    <w:rsid w:val="002C583B"/>
    <w:rsid w:val="002C589C"/>
    <w:rsid w:val="002C58C7"/>
    <w:rsid w:val="002C58CE"/>
    <w:rsid w:val="002C590A"/>
    <w:rsid w:val="002C5940"/>
    <w:rsid w:val="002C594D"/>
    <w:rsid w:val="002C595C"/>
    <w:rsid w:val="002C59C5"/>
    <w:rsid w:val="002C5B18"/>
    <w:rsid w:val="002C5B30"/>
    <w:rsid w:val="002C5BA2"/>
    <w:rsid w:val="002C5C4C"/>
    <w:rsid w:val="002C5C66"/>
    <w:rsid w:val="002C5C83"/>
    <w:rsid w:val="002C5CC1"/>
    <w:rsid w:val="002C5CE3"/>
    <w:rsid w:val="002C5D20"/>
    <w:rsid w:val="002C5E0A"/>
    <w:rsid w:val="002C5E43"/>
    <w:rsid w:val="002C5E61"/>
    <w:rsid w:val="002C5E6D"/>
    <w:rsid w:val="002C5EB8"/>
    <w:rsid w:val="002C5EC1"/>
    <w:rsid w:val="002C5F0E"/>
    <w:rsid w:val="002C5F49"/>
    <w:rsid w:val="002C5F90"/>
    <w:rsid w:val="002C60CD"/>
    <w:rsid w:val="002C61EF"/>
    <w:rsid w:val="002C628D"/>
    <w:rsid w:val="002C62E0"/>
    <w:rsid w:val="002C631B"/>
    <w:rsid w:val="002C631D"/>
    <w:rsid w:val="002C63C3"/>
    <w:rsid w:val="002C63CC"/>
    <w:rsid w:val="002C63D8"/>
    <w:rsid w:val="002C6494"/>
    <w:rsid w:val="002C6504"/>
    <w:rsid w:val="002C650D"/>
    <w:rsid w:val="002C6525"/>
    <w:rsid w:val="002C6664"/>
    <w:rsid w:val="002C667F"/>
    <w:rsid w:val="002C66F0"/>
    <w:rsid w:val="002C679E"/>
    <w:rsid w:val="002C67D6"/>
    <w:rsid w:val="002C684C"/>
    <w:rsid w:val="002C6886"/>
    <w:rsid w:val="002C68BB"/>
    <w:rsid w:val="002C68D4"/>
    <w:rsid w:val="002C6990"/>
    <w:rsid w:val="002C6A39"/>
    <w:rsid w:val="002C6AC5"/>
    <w:rsid w:val="002C6AD4"/>
    <w:rsid w:val="002C6ADF"/>
    <w:rsid w:val="002C6B31"/>
    <w:rsid w:val="002C6BF3"/>
    <w:rsid w:val="002C6D01"/>
    <w:rsid w:val="002C6D17"/>
    <w:rsid w:val="002C6D51"/>
    <w:rsid w:val="002C6D6E"/>
    <w:rsid w:val="002C6EF6"/>
    <w:rsid w:val="002C6EFF"/>
    <w:rsid w:val="002C6F45"/>
    <w:rsid w:val="002C6F57"/>
    <w:rsid w:val="002C6FAE"/>
    <w:rsid w:val="002C6FE1"/>
    <w:rsid w:val="002C6FEC"/>
    <w:rsid w:val="002C7027"/>
    <w:rsid w:val="002C7086"/>
    <w:rsid w:val="002C70E0"/>
    <w:rsid w:val="002C7101"/>
    <w:rsid w:val="002C7180"/>
    <w:rsid w:val="002C71EA"/>
    <w:rsid w:val="002C71ED"/>
    <w:rsid w:val="002C7284"/>
    <w:rsid w:val="002C7295"/>
    <w:rsid w:val="002C72AF"/>
    <w:rsid w:val="002C7439"/>
    <w:rsid w:val="002C74C3"/>
    <w:rsid w:val="002C74E2"/>
    <w:rsid w:val="002C750C"/>
    <w:rsid w:val="002C7632"/>
    <w:rsid w:val="002C76A1"/>
    <w:rsid w:val="002C76ED"/>
    <w:rsid w:val="002C7760"/>
    <w:rsid w:val="002C7766"/>
    <w:rsid w:val="002C777F"/>
    <w:rsid w:val="002C77E8"/>
    <w:rsid w:val="002C7822"/>
    <w:rsid w:val="002C7854"/>
    <w:rsid w:val="002C7861"/>
    <w:rsid w:val="002C7865"/>
    <w:rsid w:val="002C7873"/>
    <w:rsid w:val="002C79FE"/>
    <w:rsid w:val="002C7A30"/>
    <w:rsid w:val="002C7AFE"/>
    <w:rsid w:val="002C7B85"/>
    <w:rsid w:val="002C7C4B"/>
    <w:rsid w:val="002C7C92"/>
    <w:rsid w:val="002C7D12"/>
    <w:rsid w:val="002C7D9B"/>
    <w:rsid w:val="002C7DBD"/>
    <w:rsid w:val="002C7E2A"/>
    <w:rsid w:val="002C7E8F"/>
    <w:rsid w:val="002C7E9E"/>
    <w:rsid w:val="002C7EC3"/>
    <w:rsid w:val="002C7FC9"/>
    <w:rsid w:val="002D00CF"/>
    <w:rsid w:val="002D0101"/>
    <w:rsid w:val="002D0107"/>
    <w:rsid w:val="002D019B"/>
    <w:rsid w:val="002D0295"/>
    <w:rsid w:val="002D02AD"/>
    <w:rsid w:val="002D0445"/>
    <w:rsid w:val="002D04FE"/>
    <w:rsid w:val="002D050C"/>
    <w:rsid w:val="002D0513"/>
    <w:rsid w:val="002D0518"/>
    <w:rsid w:val="002D0569"/>
    <w:rsid w:val="002D05AB"/>
    <w:rsid w:val="002D05DF"/>
    <w:rsid w:val="002D05F4"/>
    <w:rsid w:val="002D065F"/>
    <w:rsid w:val="002D0672"/>
    <w:rsid w:val="002D067D"/>
    <w:rsid w:val="002D07CE"/>
    <w:rsid w:val="002D08E5"/>
    <w:rsid w:val="002D092E"/>
    <w:rsid w:val="002D09D0"/>
    <w:rsid w:val="002D0A37"/>
    <w:rsid w:val="002D0ABB"/>
    <w:rsid w:val="002D0AC1"/>
    <w:rsid w:val="002D0AC6"/>
    <w:rsid w:val="002D0B0A"/>
    <w:rsid w:val="002D0B2D"/>
    <w:rsid w:val="002D0C52"/>
    <w:rsid w:val="002D0C65"/>
    <w:rsid w:val="002D0CC3"/>
    <w:rsid w:val="002D0D3A"/>
    <w:rsid w:val="002D0DC3"/>
    <w:rsid w:val="002D0E27"/>
    <w:rsid w:val="002D0E2F"/>
    <w:rsid w:val="002D0E3A"/>
    <w:rsid w:val="002D0E4E"/>
    <w:rsid w:val="002D0EB8"/>
    <w:rsid w:val="002D0F0F"/>
    <w:rsid w:val="002D0F38"/>
    <w:rsid w:val="002D0F45"/>
    <w:rsid w:val="002D105A"/>
    <w:rsid w:val="002D10C0"/>
    <w:rsid w:val="002D118E"/>
    <w:rsid w:val="002D11E3"/>
    <w:rsid w:val="002D1307"/>
    <w:rsid w:val="002D1311"/>
    <w:rsid w:val="002D133F"/>
    <w:rsid w:val="002D1376"/>
    <w:rsid w:val="002D139F"/>
    <w:rsid w:val="002D13AA"/>
    <w:rsid w:val="002D13AF"/>
    <w:rsid w:val="002D1429"/>
    <w:rsid w:val="002D1494"/>
    <w:rsid w:val="002D1495"/>
    <w:rsid w:val="002D14A6"/>
    <w:rsid w:val="002D14AD"/>
    <w:rsid w:val="002D15A7"/>
    <w:rsid w:val="002D15BF"/>
    <w:rsid w:val="002D1621"/>
    <w:rsid w:val="002D16C7"/>
    <w:rsid w:val="002D16E3"/>
    <w:rsid w:val="002D1835"/>
    <w:rsid w:val="002D18B4"/>
    <w:rsid w:val="002D1962"/>
    <w:rsid w:val="002D1AD7"/>
    <w:rsid w:val="002D1B43"/>
    <w:rsid w:val="002D1D81"/>
    <w:rsid w:val="002D1DAB"/>
    <w:rsid w:val="002D1DEC"/>
    <w:rsid w:val="002D1E0E"/>
    <w:rsid w:val="002D1E61"/>
    <w:rsid w:val="002D1F8A"/>
    <w:rsid w:val="002D1FBF"/>
    <w:rsid w:val="002D1FCC"/>
    <w:rsid w:val="002D1FF0"/>
    <w:rsid w:val="002D1FFD"/>
    <w:rsid w:val="002D208E"/>
    <w:rsid w:val="002D2131"/>
    <w:rsid w:val="002D2175"/>
    <w:rsid w:val="002D21E3"/>
    <w:rsid w:val="002D21E5"/>
    <w:rsid w:val="002D223F"/>
    <w:rsid w:val="002D22CC"/>
    <w:rsid w:val="002D22D2"/>
    <w:rsid w:val="002D22D9"/>
    <w:rsid w:val="002D22E7"/>
    <w:rsid w:val="002D231E"/>
    <w:rsid w:val="002D234B"/>
    <w:rsid w:val="002D23A5"/>
    <w:rsid w:val="002D2444"/>
    <w:rsid w:val="002D24CD"/>
    <w:rsid w:val="002D2529"/>
    <w:rsid w:val="002D2535"/>
    <w:rsid w:val="002D253A"/>
    <w:rsid w:val="002D2621"/>
    <w:rsid w:val="002D264B"/>
    <w:rsid w:val="002D269C"/>
    <w:rsid w:val="002D26E6"/>
    <w:rsid w:val="002D273B"/>
    <w:rsid w:val="002D2769"/>
    <w:rsid w:val="002D2771"/>
    <w:rsid w:val="002D27B2"/>
    <w:rsid w:val="002D2842"/>
    <w:rsid w:val="002D28D6"/>
    <w:rsid w:val="002D28E8"/>
    <w:rsid w:val="002D2924"/>
    <w:rsid w:val="002D2930"/>
    <w:rsid w:val="002D2970"/>
    <w:rsid w:val="002D2987"/>
    <w:rsid w:val="002D29A6"/>
    <w:rsid w:val="002D29C1"/>
    <w:rsid w:val="002D2A1D"/>
    <w:rsid w:val="002D2A31"/>
    <w:rsid w:val="002D2A8A"/>
    <w:rsid w:val="002D2A9B"/>
    <w:rsid w:val="002D2AF4"/>
    <w:rsid w:val="002D2B13"/>
    <w:rsid w:val="002D2B25"/>
    <w:rsid w:val="002D2B2B"/>
    <w:rsid w:val="002D2B5D"/>
    <w:rsid w:val="002D2B82"/>
    <w:rsid w:val="002D2BE3"/>
    <w:rsid w:val="002D2C3F"/>
    <w:rsid w:val="002D2C75"/>
    <w:rsid w:val="002D2CE4"/>
    <w:rsid w:val="002D2D31"/>
    <w:rsid w:val="002D2D87"/>
    <w:rsid w:val="002D2DFE"/>
    <w:rsid w:val="002D2E9E"/>
    <w:rsid w:val="002D2EC3"/>
    <w:rsid w:val="002D2EF2"/>
    <w:rsid w:val="002D2F32"/>
    <w:rsid w:val="002D3007"/>
    <w:rsid w:val="002D3096"/>
    <w:rsid w:val="002D3127"/>
    <w:rsid w:val="002D3148"/>
    <w:rsid w:val="002D314A"/>
    <w:rsid w:val="002D316C"/>
    <w:rsid w:val="002D31B9"/>
    <w:rsid w:val="002D3214"/>
    <w:rsid w:val="002D3226"/>
    <w:rsid w:val="002D3265"/>
    <w:rsid w:val="002D3293"/>
    <w:rsid w:val="002D33B0"/>
    <w:rsid w:val="002D33BD"/>
    <w:rsid w:val="002D3416"/>
    <w:rsid w:val="002D344E"/>
    <w:rsid w:val="002D34C8"/>
    <w:rsid w:val="002D369E"/>
    <w:rsid w:val="002D37B9"/>
    <w:rsid w:val="002D37C3"/>
    <w:rsid w:val="002D37CF"/>
    <w:rsid w:val="002D3819"/>
    <w:rsid w:val="002D38DD"/>
    <w:rsid w:val="002D3927"/>
    <w:rsid w:val="002D3956"/>
    <w:rsid w:val="002D39B9"/>
    <w:rsid w:val="002D39BB"/>
    <w:rsid w:val="002D3A49"/>
    <w:rsid w:val="002D3B73"/>
    <w:rsid w:val="002D3BE1"/>
    <w:rsid w:val="002D3BF3"/>
    <w:rsid w:val="002D3D36"/>
    <w:rsid w:val="002D3D6C"/>
    <w:rsid w:val="002D3D9C"/>
    <w:rsid w:val="002D3D9F"/>
    <w:rsid w:val="002D3DC3"/>
    <w:rsid w:val="002D3DD0"/>
    <w:rsid w:val="002D3E35"/>
    <w:rsid w:val="002D3F65"/>
    <w:rsid w:val="002D3F9D"/>
    <w:rsid w:val="002D4082"/>
    <w:rsid w:val="002D414A"/>
    <w:rsid w:val="002D41F5"/>
    <w:rsid w:val="002D429A"/>
    <w:rsid w:val="002D42C4"/>
    <w:rsid w:val="002D42EA"/>
    <w:rsid w:val="002D4306"/>
    <w:rsid w:val="002D4324"/>
    <w:rsid w:val="002D4345"/>
    <w:rsid w:val="002D441E"/>
    <w:rsid w:val="002D4421"/>
    <w:rsid w:val="002D4501"/>
    <w:rsid w:val="002D4513"/>
    <w:rsid w:val="002D45EA"/>
    <w:rsid w:val="002D460E"/>
    <w:rsid w:val="002D462E"/>
    <w:rsid w:val="002D472B"/>
    <w:rsid w:val="002D473C"/>
    <w:rsid w:val="002D477B"/>
    <w:rsid w:val="002D479C"/>
    <w:rsid w:val="002D47C2"/>
    <w:rsid w:val="002D47E8"/>
    <w:rsid w:val="002D47EF"/>
    <w:rsid w:val="002D4881"/>
    <w:rsid w:val="002D49E7"/>
    <w:rsid w:val="002D4A2E"/>
    <w:rsid w:val="002D4A58"/>
    <w:rsid w:val="002D4C2A"/>
    <w:rsid w:val="002D4C6F"/>
    <w:rsid w:val="002D4C8D"/>
    <w:rsid w:val="002D4C97"/>
    <w:rsid w:val="002D4CB6"/>
    <w:rsid w:val="002D4CB7"/>
    <w:rsid w:val="002D4CCD"/>
    <w:rsid w:val="002D4D93"/>
    <w:rsid w:val="002D4DB1"/>
    <w:rsid w:val="002D4F2B"/>
    <w:rsid w:val="002D4F5A"/>
    <w:rsid w:val="002D4F6F"/>
    <w:rsid w:val="002D4FBF"/>
    <w:rsid w:val="002D5046"/>
    <w:rsid w:val="002D50F2"/>
    <w:rsid w:val="002D5209"/>
    <w:rsid w:val="002D526D"/>
    <w:rsid w:val="002D5273"/>
    <w:rsid w:val="002D528C"/>
    <w:rsid w:val="002D52D7"/>
    <w:rsid w:val="002D5376"/>
    <w:rsid w:val="002D549B"/>
    <w:rsid w:val="002D54B6"/>
    <w:rsid w:val="002D5565"/>
    <w:rsid w:val="002D56BE"/>
    <w:rsid w:val="002D574B"/>
    <w:rsid w:val="002D5765"/>
    <w:rsid w:val="002D57BB"/>
    <w:rsid w:val="002D586F"/>
    <w:rsid w:val="002D58FE"/>
    <w:rsid w:val="002D5A09"/>
    <w:rsid w:val="002D5A46"/>
    <w:rsid w:val="002D5AF4"/>
    <w:rsid w:val="002D5BD5"/>
    <w:rsid w:val="002D5C5B"/>
    <w:rsid w:val="002D5D32"/>
    <w:rsid w:val="002D5D6B"/>
    <w:rsid w:val="002D5D6D"/>
    <w:rsid w:val="002D5DAC"/>
    <w:rsid w:val="002D5E67"/>
    <w:rsid w:val="002D5E8D"/>
    <w:rsid w:val="002D5ECA"/>
    <w:rsid w:val="002D5FC4"/>
    <w:rsid w:val="002D602F"/>
    <w:rsid w:val="002D603F"/>
    <w:rsid w:val="002D6060"/>
    <w:rsid w:val="002D60B3"/>
    <w:rsid w:val="002D60DC"/>
    <w:rsid w:val="002D6168"/>
    <w:rsid w:val="002D6173"/>
    <w:rsid w:val="002D6193"/>
    <w:rsid w:val="002D623F"/>
    <w:rsid w:val="002D62C0"/>
    <w:rsid w:val="002D631A"/>
    <w:rsid w:val="002D632F"/>
    <w:rsid w:val="002D6512"/>
    <w:rsid w:val="002D658F"/>
    <w:rsid w:val="002D65D3"/>
    <w:rsid w:val="002D6630"/>
    <w:rsid w:val="002D66C1"/>
    <w:rsid w:val="002D66CC"/>
    <w:rsid w:val="002D6773"/>
    <w:rsid w:val="002D67A7"/>
    <w:rsid w:val="002D6828"/>
    <w:rsid w:val="002D68E3"/>
    <w:rsid w:val="002D6946"/>
    <w:rsid w:val="002D69CB"/>
    <w:rsid w:val="002D69E7"/>
    <w:rsid w:val="002D6A03"/>
    <w:rsid w:val="002D6A5F"/>
    <w:rsid w:val="002D6A8A"/>
    <w:rsid w:val="002D6B07"/>
    <w:rsid w:val="002D6BAA"/>
    <w:rsid w:val="002D6BB9"/>
    <w:rsid w:val="002D6BC5"/>
    <w:rsid w:val="002D6BE9"/>
    <w:rsid w:val="002D6C07"/>
    <w:rsid w:val="002D6D3A"/>
    <w:rsid w:val="002D6D47"/>
    <w:rsid w:val="002D6D5E"/>
    <w:rsid w:val="002D6D74"/>
    <w:rsid w:val="002D6DC9"/>
    <w:rsid w:val="002D6E0F"/>
    <w:rsid w:val="002D6ECC"/>
    <w:rsid w:val="002D6EDE"/>
    <w:rsid w:val="002D6F5F"/>
    <w:rsid w:val="002D6F65"/>
    <w:rsid w:val="002D6F70"/>
    <w:rsid w:val="002D6FAD"/>
    <w:rsid w:val="002D6FAE"/>
    <w:rsid w:val="002D704C"/>
    <w:rsid w:val="002D7070"/>
    <w:rsid w:val="002D70E0"/>
    <w:rsid w:val="002D71DB"/>
    <w:rsid w:val="002D71DD"/>
    <w:rsid w:val="002D71FD"/>
    <w:rsid w:val="002D7222"/>
    <w:rsid w:val="002D723C"/>
    <w:rsid w:val="002D7242"/>
    <w:rsid w:val="002D7333"/>
    <w:rsid w:val="002D733B"/>
    <w:rsid w:val="002D73B9"/>
    <w:rsid w:val="002D73F9"/>
    <w:rsid w:val="002D754D"/>
    <w:rsid w:val="002D75F4"/>
    <w:rsid w:val="002D7675"/>
    <w:rsid w:val="002D76C1"/>
    <w:rsid w:val="002D76F5"/>
    <w:rsid w:val="002D76FD"/>
    <w:rsid w:val="002D7762"/>
    <w:rsid w:val="002D777C"/>
    <w:rsid w:val="002D779B"/>
    <w:rsid w:val="002D782E"/>
    <w:rsid w:val="002D78B3"/>
    <w:rsid w:val="002D7983"/>
    <w:rsid w:val="002D7A61"/>
    <w:rsid w:val="002D7B03"/>
    <w:rsid w:val="002D7B08"/>
    <w:rsid w:val="002D7B39"/>
    <w:rsid w:val="002D7B5D"/>
    <w:rsid w:val="002D7B71"/>
    <w:rsid w:val="002D7CFA"/>
    <w:rsid w:val="002D7D65"/>
    <w:rsid w:val="002D7D6C"/>
    <w:rsid w:val="002D7D75"/>
    <w:rsid w:val="002D7DA5"/>
    <w:rsid w:val="002D7DBA"/>
    <w:rsid w:val="002D7E15"/>
    <w:rsid w:val="002D7F4F"/>
    <w:rsid w:val="002D7F67"/>
    <w:rsid w:val="002D7FCB"/>
    <w:rsid w:val="002D7FF0"/>
    <w:rsid w:val="002E0079"/>
    <w:rsid w:val="002E0094"/>
    <w:rsid w:val="002E00D5"/>
    <w:rsid w:val="002E00FB"/>
    <w:rsid w:val="002E0115"/>
    <w:rsid w:val="002E011D"/>
    <w:rsid w:val="002E013C"/>
    <w:rsid w:val="002E0171"/>
    <w:rsid w:val="002E01FF"/>
    <w:rsid w:val="002E0209"/>
    <w:rsid w:val="002E0247"/>
    <w:rsid w:val="002E028A"/>
    <w:rsid w:val="002E02F0"/>
    <w:rsid w:val="002E02F1"/>
    <w:rsid w:val="002E03B3"/>
    <w:rsid w:val="002E03BF"/>
    <w:rsid w:val="002E05BF"/>
    <w:rsid w:val="002E05CA"/>
    <w:rsid w:val="002E060E"/>
    <w:rsid w:val="002E06C4"/>
    <w:rsid w:val="002E06EC"/>
    <w:rsid w:val="002E075A"/>
    <w:rsid w:val="002E075E"/>
    <w:rsid w:val="002E0793"/>
    <w:rsid w:val="002E07A2"/>
    <w:rsid w:val="002E07B7"/>
    <w:rsid w:val="002E0815"/>
    <w:rsid w:val="002E085C"/>
    <w:rsid w:val="002E08A1"/>
    <w:rsid w:val="002E08FC"/>
    <w:rsid w:val="002E093D"/>
    <w:rsid w:val="002E094C"/>
    <w:rsid w:val="002E096B"/>
    <w:rsid w:val="002E09A1"/>
    <w:rsid w:val="002E0B2E"/>
    <w:rsid w:val="002E0BC2"/>
    <w:rsid w:val="002E0BE8"/>
    <w:rsid w:val="002E0C53"/>
    <w:rsid w:val="002E0C88"/>
    <w:rsid w:val="002E0C8F"/>
    <w:rsid w:val="002E0D85"/>
    <w:rsid w:val="002E0DF3"/>
    <w:rsid w:val="002E0E81"/>
    <w:rsid w:val="002E0F83"/>
    <w:rsid w:val="002E1013"/>
    <w:rsid w:val="002E104E"/>
    <w:rsid w:val="002E107D"/>
    <w:rsid w:val="002E1137"/>
    <w:rsid w:val="002E115F"/>
    <w:rsid w:val="002E12BF"/>
    <w:rsid w:val="002E12E0"/>
    <w:rsid w:val="002E132C"/>
    <w:rsid w:val="002E13D3"/>
    <w:rsid w:val="002E144A"/>
    <w:rsid w:val="002E144B"/>
    <w:rsid w:val="002E1465"/>
    <w:rsid w:val="002E149B"/>
    <w:rsid w:val="002E16A8"/>
    <w:rsid w:val="002E16B9"/>
    <w:rsid w:val="002E187C"/>
    <w:rsid w:val="002E18C6"/>
    <w:rsid w:val="002E1978"/>
    <w:rsid w:val="002E19BD"/>
    <w:rsid w:val="002E1AC0"/>
    <w:rsid w:val="002E1ACC"/>
    <w:rsid w:val="002E1AF9"/>
    <w:rsid w:val="002E1C0E"/>
    <w:rsid w:val="002E1CCD"/>
    <w:rsid w:val="002E1DD7"/>
    <w:rsid w:val="002E1E1E"/>
    <w:rsid w:val="002E1E48"/>
    <w:rsid w:val="002E1E7E"/>
    <w:rsid w:val="002E1E90"/>
    <w:rsid w:val="002E1F18"/>
    <w:rsid w:val="002E1F7A"/>
    <w:rsid w:val="002E2019"/>
    <w:rsid w:val="002E2038"/>
    <w:rsid w:val="002E20B5"/>
    <w:rsid w:val="002E20CB"/>
    <w:rsid w:val="002E2135"/>
    <w:rsid w:val="002E21DB"/>
    <w:rsid w:val="002E223A"/>
    <w:rsid w:val="002E2353"/>
    <w:rsid w:val="002E2365"/>
    <w:rsid w:val="002E23A7"/>
    <w:rsid w:val="002E23D9"/>
    <w:rsid w:val="002E2488"/>
    <w:rsid w:val="002E2504"/>
    <w:rsid w:val="002E2515"/>
    <w:rsid w:val="002E25DE"/>
    <w:rsid w:val="002E2798"/>
    <w:rsid w:val="002E27A7"/>
    <w:rsid w:val="002E27AA"/>
    <w:rsid w:val="002E2824"/>
    <w:rsid w:val="002E2883"/>
    <w:rsid w:val="002E290A"/>
    <w:rsid w:val="002E290C"/>
    <w:rsid w:val="002E2939"/>
    <w:rsid w:val="002E2958"/>
    <w:rsid w:val="002E29B4"/>
    <w:rsid w:val="002E2A67"/>
    <w:rsid w:val="002E2BE1"/>
    <w:rsid w:val="002E2C2F"/>
    <w:rsid w:val="002E2C52"/>
    <w:rsid w:val="002E2C5D"/>
    <w:rsid w:val="002E2DB4"/>
    <w:rsid w:val="002E2DB9"/>
    <w:rsid w:val="002E2E93"/>
    <w:rsid w:val="002E2EB1"/>
    <w:rsid w:val="002E2EBB"/>
    <w:rsid w:val="002E2FC5"/>
    <w:rsid w:val="002E2FEF"/>
    <w:rsid w:val="002E3034"/>
    <w:rsid w:val="002E3189"/>
    <w:rsid w:val="002E3210"/>
    <w:rsid w:val="002E327A"/>
    <w:rsid w:val="002E33A2"/>
    <w:rsid w:val="002E342B"/>
    <w:rsid w:val="002E3516"/>
    <w:rsid w:val="002E35AE"/>
    <w:rsid w:val="002E35E5"/>
    <w:rsid w:val="002E361C"/>
    <w:rsid w:val="002E3658"/>
    <w:rsid w:val="002E36BD"/>
    <w:rsid w:val="002E36FC"/>
    <w:rsid w:val="002E372B"/>
    <w:rsid w:val="002E3790"/>
    <w:rsid w:val="002E37E1"/>
    <w:rsid w:val="002E391D"/>
    <w:rsid w:val="002E39D8"/>
    <w:rsid w:val="002E39E3"/>
    <w:rsid w:val="002E3A93"/>
    <w:rsid w:val="002E3ADE"/>
    <w:rsid w:val="002E3C20"/>
    <w:rsid w:val="002E3CA8"/>
    <w:rsid w:val="002E3CEC"/>
    <w:rsid w:val="002E3D69"/>
    <w:rsid w:val="002E3D9B"/>
    <w:rsid w:val="002E3DAD"/>
    <w:rsid w:val="002E3DEB"/>
    <w:rsid w:val="002E3E57"/>
    <w:rsid w:val="002E3EE3"/>
    <w:rsid w:val="002E3F19"/>
    <w:rsid w:val="002E3F9E"/>
    <w:rsid w:val="002E3FAE"/>
    <w:rsid w:val="002E3FFD"/>
    <w:rsid w:val="002E4041"/>
    <w:rsid w:val="002E4129"/>
    <w:rsid w:val="002E412E"/>
    <w:rsid w:val="002E414F"/>
    <w:rsid w:val="002E4156"/>
    <w:rsid w:val="002E4185"/>
    <w:rsid w:val="002E4209"/>
    <w:rsid w:val="002E42A0"/>
    <w:rsid w:val="002E42CE"/>
    <w:rsid w:val="002E431C"/>
    <w:rsid w:val="002E4463"/>
    <w:rsid w:val="002E446C"/>
    <w:rsid w:val="002E446F"/>
    <w:rsid w:val="002E44B7"/>
    <w:rsid w:val="002E4545"/>
    <w:rsid w:val="002E45E4"/>
    <w:rsid w:val="002E4669"/>
    <w:rsid w:val="002E469E"/>
    <w:rsid w:val="002E46CE"/>
    <w:rsid w:val="002E4759"/>
    <w:rsid w:val="002E4774"/>
    <w:rsid w:val="002E477C"/>
    <w:rsid w:val="002E4802"/>
    <w:rsid w:val="002E48F3"/>
    <w:rsid w:val="002E491F"/>
    <w:rsid w:val="002E4AE8"/>
    <w:rsid w:val="002E4B64"/>
    <w:rsid w:val="002E4B79"/>
    <w:rsid w:val="002E4C0D"/>
    <w:rsid w:val="002E4CA0"/>
    <w:rsid w:val="002E4D4B"/>
    <w:rsid w:val="002E4D63"/>
    <w:rsid w:val="002E4E16"/>
    <w:rsid w:val="002E4E29"/>
    <w:rsid w:val="002E4E32"/>
    <w:rsid w:val="002E4E83"/>
    <w:rsid w:val="002E4E9E"/>
    <w:rsid w:val="002E4EAB"/>
    <w:rsid w:val="002E4ED6"/>
    <w:rsid w:val="002E4EF3"/>
    <w:rsid w:val="002E4F78"/>
    <w:rsid w:val="002E4FA5"/>
    <w:rsid w:val="002E4FAD"/>
    <w:rsid w:val="002E4FE8"/>
    <w:rsid w:val="002E506F"/>
    <w:rsid w:val="002E5082"/>
    <w:rsid w:val="002E509E"/>
    <w:rsid w:val="002E51D8"/>
    <w:rsid w:val="002E5239"/>
    <w:rsid w:val="002E5352"/>
    <w:rsid w:val="002E535F"/>
    <w:rsid w:val="002E537D"/>
    <w:rsid w:val="002E54B0"/>
    <w:rsid w:val="002E54B7"/>
    <w:rsid w:val="002E559C"/>
    <w:rsid w:val="002E55D2"/>
    <w:rsid w:val="002E55D8"/>
    <w:rsid w:val="002E567A"/>
    <w:rsid w:val="002E56C2"/>
    <w:rsid w:val="002E5714"/>
    <w:rsid w:val="002E573A"/>
    <w:rsid w:val="002E5786"/>
    <w:rsid w:val="002E586B"/>
    <w:rsid w:val="002E58FA"/>
    <w:rsid w:val="002E5908"/>
    <w:rsid w:val="002E5974"/>
    <w:rsid w:val="002E5A00"/>
    <w:rsid w:val="002E5AA3"/>
    <w:rsid w:val="002E5AF8"/>
    <w:rsid w:val="002E5B30"/>
    <w:rsid w:val="002E5B5E"/>
    <w:rsid w:val="002E5B92"/>
    <w:rsid w:val="002E5B9B"/>
    <w:rsid w:val="002E5BA9"/>
    <w:rsid w:val="002E5BE0"/>
    <w:rsid w:val="002E5BFD"/>
    <w:rsid w:val="002E5C41"/>
    <w:rsid w:val="002E5C79"/>
    <w:rsid w:val="002E5CB0"/>
    <w:rsid w:val="002E5CFA"/>
    <w:rsid w:val="002E5D31"/>
    <w:rsid w:val="002E5EBA"/>
    <w:rsid w:val="002E5F0C"/>
    <w:rsid w:val="002E5F62"/>
    <w:rsid w:val="002E5FAE"/>
    <w:rsid w:val="002E5FDC"/>
    <w:rsid w:val="002E601B"/>
    <w:rsid w:val="002E605F"/>
    <w:rsid w:val="002E608C"/>
    <w:rsid w:val="002E60C7"/>
    <w:rsid w:val="002E6140"/>
    <w:rsid w:val="002E6186"/>
    <w:rsid w:val="002E61E4"/>
    <w:rsid w:val="002E61EC"/>
    <w:rsid w:val="002E61FF"/>
    <w:rsid w:val="002E6206"/>
    <w:rsid w:val="002E62AB"/>
    <w:rsid w:val="002E6308"/>
    <w:rsid w:val="002E632D"/>
    <w:rsid w:val="002E636C"/>
    <w:rsid w:val="002E6372"/>
    <w:rsid w:val="002E63DA"/>
    <w:rsid w:val="002E6564"/>
    <w:rsid w:val="002E658A"/>
    <w:rsid w:val="002E6675"/>
    <w:rsid w:val="002E66B4"/>
    <w:rsid w:val="002E674D"/>
    <w:rsid w:val="002E67B7"/>
    <w:rsid w:val="002E6809"/>
    <w:rsid w:val="002E6811"/>
    <w:rsid w:val="002E6963"/>
    <w:rsid w:val="002E696C"/>
    <w:rsid w:val="002E698F"/>
    <w:rsid w:val="002E69AC"/>
    <w:rsid w:val="002E69D7"/>
    <w:rsid w:val="002E6A85"/>
    <w:rsid w:val="002E6A9F"/>
    <w:rsid w:val="002E6B02"/>
    <w:rsid w:val="002E6B14"/>
    <w:rsid w:val="002E6B4C"/>
    <w:rsid w:val="002E6B5D"/>
    <w:rsid w:val="002E6CFA"/>
    <w:rsid w:val="002E6DC9"/>
    <w:rsid w:val="002E6DDC"/>
    <w:rsid w:val="002E6E07"/>
    <w:rsid w:val="002E6E49"/>
    <w:rsid w:val="002E6EA9"/>
    <w:rsid w:val="002E6EED"/>
    <w:rsid w:val="002E6F18"/>
    <w:rsid w:val="002E703A"/>
    <w:rsid w:val="002E70AB"/>
    <w:rsid w:val="002E70D1"/>
    <w:rsid w:val="002E710D"/>
    <w:rsid w:val="002E7115"/>
    <w:rsid w:val="002E7172"/>
    <w:rsid w:val="002E71ED"/>
    <w:rsid w:val="002E7211"/>
    <w:rsid w:val="002E7243"/>
    <w:rsid w:val="002E72AC"/>
    <w:rsid w:val="002E7368"/>
    <w:rsid w:val="002E73C5"/>
    <w:rsid w:val="002E73CA"/>
    <w:rsid w:val="002E7498"/>
    <w:rsid w:val="002E74F6"/>
    <w:rsid w:val="002E7517"/>
    <w:rsid w:val="002E752A"/>
    <w:rsid w:val="002E7681"/>
    <w:rsid w:val="002E779B"/>
    <w:rsid w:val="002E782A"/>
    <w:rsid w:val="002E7836"/>
    <w:rsid w:val="002E7983"/>
    <w:rsid w:val="002E79DE"/>
    <w:rsid w:val="002E7AD0"/>
    <w:rsid w:val="002E7C23"/>
    <w:rsid w:val="002E7CF2"/>
    <w:rsid w:val="002E7D70"/>
    <w:rsid w:val="002E7D8D"/>
    <w:rsid w:val="002E7DEF"/>
    <w:rsid w:val="002E7E0D"/>
    <w:rsid w:val="002E7E9A"/>
    <w:rsid w:val="002E7F04"/>
    <w:rsid w:val="002E7F18"/>
    <w:rsid w:val="002E7F44"/>
    <w:rsid w:val="002E7FE0"/>
    <w:rsid w:val="002E7FF6"/>
    <w:rsid w:val="002F00AC"/>
    <w:rsid w:val="002F01A2"/>
    <w:rsid w:val="002F01BC"/>
    <w:rsid w:val="002F01DB"/>
    <w:rsid w:val="002F02A2"/>
    <w:rsid w:val="002F0323"/>
    <w:rsid w:val="002F032F"/>
    <w:rsid w:val="002F035E"/>
    <w:rsid w:val="002F03D6"/>
    <w:rsid w:val="002F03DF"/>
    <w:rsid w:val="002F03E9"/>
    <w:rsid w:val="002F040B"/>
    <w:rsid w:val="002F0500"/>
    <w:rsid w:val="002F0629"/>
    <w:rsid w:val="002F0631"/>
    <w:rsid w:val="002F068A"/>
    <w:rsid w:val="002F06CB"/>
    <w:rsid w:val="002F06D5"/>
    <w:rsid w:val="002F06F8"/>
    <w:rsid w:val="002F0725"/>
    <w:rsid w:val="002F090B"/>
    <w:rsid w:val="002F092E"/>
    <w:rsid w:val="002F0984"/>
    <w:rsid w:val="002F09A7"/>
    <w:rsid w:val="002F09AC"/>
    <w:rsid w:val="002F0AB4"/>
    <w:rsid w:val="002F0B29"/>
    <w:rsid w:val="002F0B8A"/>
    <w:rsid w:val="002F0B97"/>
    <w:rsid w:val="002F0BA9"/>
    <w:rsid w:val="002F0C19"/>
    <w:rsid w:val="002F0C1F"/>
    <w:rsid w:val="002F0C82"/>
    <w:rsid w:val="002F0C8C"/>
    <w:rsid w:val="002F0CBB"/>
    <w:rsid w:val="002F0D18"/>
    <w:rsid w:val="002F0DAF"/>
    <w:rsid w:val="002F0DE4"/>
    <w:rsid w:val="002F0E1E"/>
    <w:rsid w:val="002F0E30"/>
    <w:rsid w:val="002F0E39"/>
    <w:rsid w:val="002F0EF6"/>
    <w:rsid w:val="002F0F97"/>
    <w:rsid w:val="002F1078"/>
    <w:rsid w:val="002F1091"/>
    <w:rsid w:val="002F1185"/>
    <w:rsid w:val="002F118D"/>
    <w:rsid w:val="002F118E"/>
    <w:rsid w:val="002F11D8"/>
    <w:rsid w:val="002F12A9"/>
    <w:rsid w:val="002F137D"/>
    <w:rsid w:val="002F13B6"/>
    <w:rsid w:val="002F13D6"/>
    <w:rsid w:val="002F1405"/>
    <w:rsid w:val="002F14D0"/>
    <w:rsid w:val="002F14EA"/>
    <w:rsid w:val="002F1528"/>
    <w:rsid w:val="002F1587"/>
    <w:rsid w:val="002F15DD"/>
    <w:rsid w:val="002F1700"/>
    <w:rsid w:val="002F182F"/>
    <w:rsid w:val="002F1835"/>
    <w:rsid w:val="002F1880"/>
    <w:rsid w:val="002F18A7"/>
    <w:rsid w:val="002F18AA"/>
    <w:rsid w:val="002F18AC"/>
    <w:rsid w:val="002F18EE"/>
    <w:rsid w:val="002F1963"/>
    <w:rsid w:val="002F1A6E"/>
    <w:rsid w:val="002F1AA8"/>
    <w:rsid w:val="002F1ABF"/>
    <w:rsid w:val="002F1B47"/>
    <w:rsid w:val="002F1B84"/>
    <w:rsid w:val="002F1C46"/>
    <w:rsid w:val="002F1CD9"/>
    <w:rsid w:val="002F1D07"/>
    <w:rsid w:val="002F1D5E"/>
    <w:rsid w:val="002F1DA5"/>
    <w:rsid w:val="002F1DDD"/>
    <w:rsid w:val="002F1E70"/>
    <w:rsid w:val="002F1EC3"/>
    <w:rsid w:val="002F1ECD"/>
    <w:rsid w:val="002F1ED2"/>
    <w:rsid w:val="002F1FDB"/>
    <w:rsid w:val="002F2092"/>
    <w:rsid w:val="002F210A"/>
    <w:rsid w:val="002F214A"/>
    <w:rsid w:val="002F22B7"/>
    <w:rsid w:val="002F22DC"/>
    <w:rsid w:val="002F232F"/>
    <w:rsid w:val="002F23BD"/>
    <w:rsid w:val="002F23DB"/>
    <w:rsid w:val="002F23E2"/>
    <w:rsid w:val="002F23FF"/>
    <w:rsid w:val="002F24E0"/>
    <w:rsid w:val="002F250A"/>
    <w:rsid w:val="002F255D"/>
    <w:rsid w:val="002F25D0"/>
    <w:rsid w:val="002F2BCB"/>
    <w:rsid w:val="002F2BE6"/>
    <w:rsid w:val="002F2C72"/>
    <w:rsid w:val="002F2D48"/>
    <w:rsid w:val="002F2D7C"/>
    <w:rsid w:val="002F2DDE"/>
    <w:rsid w:val="002F2E95"/>
    <w:rsid w:val="002F2EE5"/>
    <w:rsid w:val="002F2F0B"/>
    <w:rsid w:val="002F2F2D"/>
    <w:rsid w:val="002F2F81"/>
    <w:rsid w:val="002F2FCE"/>
    <w:rsid w:val="002F302E"/>
    <w:rsid w:val="002F3057"/>
    <w:rsid w:val="002F306C"/>
    <w:rsid w:val="002F30D6"/>
    <w:rsid w:val="002F315A"/>
    <w:rsid w:val="002F3178"/>
    <w:rsid w:val="002F31B8"/>
    <w:rsid w:val="002F31CE"/>
    <w:rsid w:val="002F31F8"/>
    <w:rsid w:val="002F32DC"/>
    <w:rsid w:val="002F3372"/>
    <w:rsid w:val="002F3377"/>
    <w:rsid w:val="002F33A7"/>
    <w:rsid w:val="002F33E2"/>
    <w:rsid w:val="002F3419"/>
    <w:rsid w:val="002F342F"/>
    <w:rsid w:val="002F34CF"/>
    <w:rsid w:val="002F34DE"/>
    <w:rsid w:val="002F34FE"/>
    <w:rsid w:val="002F3592"/>
    <w:rsid w:val="002F359A"/>
    <w:rsid w:val="002F35A4"/>
    <w:rsid w:val="002F3659"/>
    <w:rsid w:val="002F36C3"/>
    <w:rsid w:val="002F36FB"/>
    <w:rsid w:val="002F3737"/>
    <w:rsid w:val="002F37E9"/>
    <w:rsid w:val="002F3853"/>
    <w:rsid w:val="002F38EC"/>
    <w:rsid w:val="002F3911"/>
    <w:rsid w:val="002F39A7"/>
    <w:rsid w:val="002F3A12"/>
    <w:rsid w:val="002F3A51"/>
    <w:rsid w:val="002F3ABB"/>
    <w:rsid w:val="002F3AE5"/>
    <w:rsid w:val="002F3B72"/>
    <w:rsid w:val="002F3B90"/>
    <w:rsid w:val="002F3B95"/>
    <w:rsid w:val="002F3CCD"/>
    <w:rsid w:val="002F3D84"/>
    <w:rsid w:val="002F3DA2"/>
    <w:rsid w:val="002F3DE3"/>
    <w:rsid w:val="002F3E10"/>
    <w:rsid w:val="002F3E2A"/>
    <w:rsid w:val="002F3E36"/>
    <w:rsid w:val="002F3F2C"/>
    <w:rsid w:val="002F3F53"/>
    <w:rsid w:val="002F3F60"/>
    <w:rsid w:val="002F4024"/>
    <w:rsid w:val="002F409C"/>
    <w:rsid w:val="002F40BD"/>
    <w:rsid w:val="002F40FC"/>
    <w:rsid w:val="002F4159"/>
    <w:rsid w:val="002F421A"/>
    <w:rsid w:val="002F4275"/>
    <w:rsid w:val="002F4293"/>
    <w:rsid w:val="002F42A4"/>
    <w:rsid w:val="002F436B"/>
    <w:rsid w:val="002F4384"/>
    <w:rsid w:val="002F43A4"/>
    <w:rsid w:val="002F43C6"/>
    <w:rsid w:val="002F43F0"/>
    <w:rsid w:val="002F44A2"/>
    <w:rsid w:val="002F44B6"/>
    <w:rsid w:val="002F44D1"/>
    <w:rsid w:val="002F4568"/>
    <w:rsid w:val="002F4582"/>
    <w:rsid w:val="002F463A"/>
    <w:rsid w:val="002F46F1"/>
    <w:rsid w:val="002F4727"/>
    <w:rsid w:val="002F474E"/>
    <w:rsid w:val="002F478A"/>
    <w:rsid w:val="002F4805"/>
    <w:rsid w:val="002F480E"/>
    <w:rsid w:val="002F4850"/>
    <w:rsid w:val="002F4884"/>
    <w:rsid w:val="002F4899"/>
    <w:rsid w:val="002F489A"/>
    <w:rsid w:val="002F48C6"/>
    <w:rsid w:val="002F48C7"/>
    <w:rsid w:val="002F4948"/>
    <w:rsid w:val="002F49FE"/>
    <w:rsid w:val="002F4A2F"/>
    <w:rsid w:val="002F4A3A"/>
    <w:rsid w:val="002F4B14"/>
    <w:rsid w:val="002F4B1B"/>
    <w:rsid w:val="002F4B22"/>
    <w:rsid w:val="002F4B86"/>
    <w:rsid w:val="002F4B90"/>
    <w:rsid w:val="002F4BFC"/>
    <w:rsid w:val="002F4C61"/>
    <w:rsid w:val="002F4C95"/>
    <w:rsid w:val="002F4CB4"/>
    <w:rsid w:val="002F4CCC"/>
    <w:rsid w:val="002F4D78"/>
    <w:rsid w:val="002F4DD6"/>
    <w:rsid w:val="002F4DD7"/>
    <w:rsid w:val="002F4E92"/>
    <w:rsid w:val="002F4E99"/>
    <w:rsid w:val="002F4FAD"/>
    <w:rsid w:val="002F5073"/>
    <w:rsid w:val="002F50FB"/>
    <w:rsid w:val="002F511B"/>
    <w:rsid w:val="002F5166"/>
    <w:rsid w:val="002F5189"/>
    <w:rsid w:val="002F5200"/>
    <w:rsid w:val="002F5245"/>
    <w:rsid w:val="002F5253"/>
    <w:rsid w:val="002F529B"/>
    <w:rsid w:val="002F52FD"/>
    <w:rsid w:val="002F5374"/>
    <w:rsid w:val="002F5418"/>
    <w:rsid w:val="002F5444"/>
    <w:rsid w:val="002F54F8"/>
    <w:rsid w:val="002F55E7"/>
    <w:rsid w:val="002F55FB"/>
    <w:rsid w:val="002F56AD"/>
    <w:rsid w:val="002F56FF"/>
    <w:rsid w:val="002F5762"/>
    <w:rsid w:val="002F579F"/>
    <w:rsid w:val="002F57CC"/>
    <w:rsid w:val="002F57F1"/>
    <w:rsid w:val="002F5818"/>
    <w:rsid w:val="002F590C"/>
    <w:rsid w:val="002F5928"/>
    <w:rsid w:val="002F5984"/>
    <w:rsid w:val="002F5985"/>
    <w:rsid w:val="002F5AC8"/>
    <w:rsid w:val="002F5C49"/>
    <w:rsid w:val="002F5C60"/>
    <w:rsid w:val="002F5CBF"/>
    <w:rsid w:val="002F5CFE"/>
    <w:rsid w:val="002F5D75"/>
    <w:rsid w:val="002F5D8C"/>
    <w:rsid w:val="002F5DC3"/>
    <w:rsid w:val="002F5DE1"/>
    <w:rsid w:val="002F5E20"/>
    <w:rsid w:val="002F5E29"/>
    <w:rsid w:val="002F5E3C"/>
    <w:rsid w:val="002F5E4D"/>
    <w:rsid w:val="002F5E74"/>
    <w:rsid w:val="002F5E94"/>
    <w:rsid w:val="002F5F45"/>
    <w:rsid w:val="002F6075"/>
    <w:rsid w:val="002F60C1"/>
    <w:rsid w:val="002F6168"/>
    <w:rsid w:val="002F617F"/>
    <w:rsid w:val="002F6182"/>
    <w:rsid w:val="002F61F4"/>
    <w:rsid w:val="002F61F9"/>
    <w:rsid w:val="002F62B0"/>
    <w:rsid w:val="002F6324"/>
    <w:rsid w:val="002F6409"/>
    <w:rsid w:val="002F665A"/>
    <w:rsid w:val="002F668A"/>
    <w:rsid w:val="002F66BD"/>
    <w:rsid w:val="002F6783"/>
    <w:rsid w:val="002F6800"/>
    <w:rsid w:val="002F6843"/>
    <w:rsid w:val="002F690D"/>
    <w:rsid w:val="002F6927"/>
    <w:rsid w:val="002F693C"/>
    <w:rsid w:val="002F6983"/>
    <w:rsid w:val="002F6A61"/>
    <w:rsid w:val="002F6ABD"/>
    <w:rsid w:val="002F6AF0"/>
    <w:rsid w:val="002F6B0E"/>
    <w:rsid w:val="002F6B77"/>
    <w:rsid w:val="002F6BD8"/>
    <w:rsid w:val="002F6C21"/>
    <w:rsid w:val="002F6CA1"/>
    <w:rsid w:val="002F6D3A"/>
    <w:rsid w:val="002F6D89"/>
    <w:rsid w:val="002F6D9E"/>
    <w:rsid w:val="002F6D9F"/>
    <w:rsid w:val="002F6DA4"/>
    <w:rsid w:val="002F6E05"/>
    <w:rsid w:val="002F6E10"/>
    <w:rsid w:val="002F6E9E"/>
    <w:rsid w:val="002F6EAD"/>
    <w:rsid w:val="002F6EE7"/>
    <w:rsid w:val="002F6F1E"/>
    <w:rsid w:val="002F6F3D"/>
    <w:rsid w:val="002F6F57"/>
    <w:rsid w:val="002F6F69"/>
    <w:rsid w:val="002F6FBA"/>
    <w:rsid w:val="002F6FEA"/>
    <w:rsid w:val="002F6FFB"/>
    <w:rsid w:val="002F7022"/>
    <w:rsid w:val="002F70D1"/>
    <w:rsid w:val="002F711E"/>
    <w:rsid w:val="002F712D"/>
    <w:rsid w:val="002F715F"/>
    <w:rsid w:val="002F722A"/>
    <w:rsid w:val="002F7250"/>
    <w:rsid w:val="002F725D"/>
    <w:rsid w:val="002F7358"/>
    <w:rsid w:val="002F73C6"/>
    <w:rsid w:val="002F73DD"/>
    <w:rsid w:val="002F73F2"/>
    <w:rsid w:val="002F741F"/>
    <w:rsid w:val="002F7463"/>
    <w:rsid w:val="002F7476"/>
    <w:rsid w:val="002F750A"/>
    <w:rsid w:val="002F75D6"/>
    <w:rsid w:val="002F7641"/>
    <w:rsid w:val="002F772D"/>
    <w:rsid w:val="002F7757"/>
    <w:rsid w:val="002F7768"/>
    <w:rsid w:val="002F776C"/>
    <w:rsid w:val="002F7804"/>
    <w:rsid w:val="002F783A"/>
    <w:rsid w:val="002F7911"/>
    <w:rsid w:val="002F7914"/>
    <w:rsid w:val="002F7A67"/>
    <w:rsid w:val="002F7BDD"/>
    <w:rsid w:val="002F7BEF"/>
    <w:rsid w:val="002F7BF2"/>
    <w:rsid w:val="002F7C56"/>
    <w:rsid w:val="002F7C7C"/>
    <w:rsid w:val="002F7CD6"/>
    <w:rsid w:val="002F7D3B"/>
    <w:rsid w:val="002F7D40"/>
    <w:rsid w:val="002F7D78"/>
    <w:rsid w:val="002F7D99"/>
    <w:rsid w:val="002F7DC8"/>
    <w:rsid w:val="002F7DED"/>
    <w:rsid w:val="002F7E01"/>
    <w:rsid w:val="002F7E27"/>
    <w:rsid w:val="00300145"/>
    <w:rsid w:val="003001B5"/>
    <w:rsid w:val="00300231"/>
    <w:rsid w:val="00300250"/>
    <w:rsid w:val="00300270"/>
    <w:rsid w:val="003003AA"/>
    <w:rsid w:val="003003E2"/>
    <w:rsid w:val="0030053C"/>
    <w:rsid w:val="0030054B"/>
    <w:rsid w:val="00300559"/>
    <w:rsid w:val="00300585"/>
    <w:rsid w:val="0030058F"/>
    <w:rsid w:val="003006D4"/>
    <w:rsid w:val="003006F8"/>
    <w:rsid w:val="00300712"/>
    <w:rsid w:val="0030078E"/>
    <w:rsid w:val="003008B0"/>
    <w:rsid w:val="003008BF"/>
    <w:rsid w:val="003009DD"/>
    <w:rsid w:val="00300AA8"/>
    <w:rsid w:val="00300AC4"/>
    <w:rsid w:val="00300B46"/>
    <w:rsid w:val="00300B4B"/>
    <w:rsid w:val="00300CD3"/>
    <w:rsid w:val="00300D16"/>
    <w:rsid w:val="00300D18"/>
    <w:rsid w:val="00300DD0"/>
    <w:rsid w:val="00300DFA"/>
    <w:rsid w:val="00300E42"/>
    <w:rsid w:val="00300EDE"/>
    <w:rsid w:val="00300EDF"/>
    <w:rsid w:val="00300FBD"/>
    <w:rsid w:val="0030108C"/>
    <w:rsid w:val="003010DD"/>
    <w:rsid w:val="00301142"/>
    <w:rsid w:val="0030116C"/>
    <w:rsid w:val="003011A8"/>
    <w:rsid w:val="003011DB"/>
    <w:rsid w:val="003011FF"/>
    <w:rsid w:val="003012F0"/>
    <w:rsid w:val="00301326"/>
    <w:rsid w:val="00301356"/>
    <w:rsid w:val="00301382"/>
    <w:rsid w:val="003013BE"/>
    <w:rsid w:val="003013EB"/>
    <w:rsid w:val="003014A8"/>
    <w:rsid w:val="0030150E"/>
    <w:rsid w:val="003015E1"/>
    <w:rsid w:val="00301746"/>
    <w:rsid w:val="0030179E"/>
    <w:rsid w:val="00301808"/>
    <w:rsid w:val="00301887"/>
    <w:rsid w:val="0030188F"/>
    <w:rsid w:val="00301911"/>
    <w:rsid w:val="00301918"/>
    <w:rsid w:val="00301947"/>
    <w:rsid w:val="0030194D"/>
    <w:rsid w:val="00301989"/>
    <w:rsid w:val="003019C7"/>
    <w:rsid w:val="00301AAE"/>
    <w:rsid w:val="00301B86"/>
    <w:rsid w:val="00301BED"/>
    <w:rsid w:val="00301C4E"/>
    <w:rsid w:val="00301C52"/>
    <w:rsid w:val="00301C5F"/>
    <w:rsid w:val="00301D0A"/>
    <w:rsid w:val="00301D81"/>
    <w:rsid w:val="00301DA6"/>
    <w:rsid w:val="00301DCE"/>
    <w:rsid w:val="00301E91"/>
    <w:rsid w:val="00301F65"/>
    <w:rsid w:val="00302017"/>
    <w:rsid w:val="0030204F"/>
    <w:rsid w:val="003020A5"/>
    <w:rsid w:val="003020F1"/>
    <w:rsid w:val="00302152"/>
    <w:rsid w:val="00302190"/>
    <w:rsid w:val="00302250"/>
    <w:rsid w:val="0030226A"/>
    <w:rsid w:val="00302275"/>
    <w:rsid w:val="003023CD"/>
    <w:rsid w:val="0030245D"/>
    <w:rsid w:val="003025B6"/>
    <w:rsid w:val="003025F7"/>
    <w:rsid w:val="0030268B"/>
    <w:rsid w:val="00302823"/>
    <w:rsid w:val="00302924"/>
    <w:rsid w:val="003029C9"/>
    <w:rsid w:val="00302A09"/>
    <w:rsid w:val="00302AD2"/>
    <w:rsid w:val="00302AEA"/>
    <w:rsid w:val="00302B12"/>
    <w:rsid w:val="00302B42"/>
    <w:rsid w:val="00302B46"/>
    <w:rsid w:val="00302D1E"/>
    <w:rsid w:val="00302DEB"/>
    <w:rsid w:val="00302E19"/>
    <w:rsid w:val="00302E80"/>
    <w:rsid w:val="00302F85"/>
    <w:rsid w:val="00302FBF"/>
    <w:rsid w:val="0030301F"/>
    <w:rsid w:val="00303052"/>
    <w:rsid w:val="0030315B"/>
    <w:rsid w:val="00303162"/>
    <w:rsid w:val="003031DC"/>
    <w:rsid w:val="003031F2"/>
    <w:rsid w:val="00303238"/>
    <w:rsid w:val="003032AF"/>
    <w:rsid w:val="003032F7"/>
    <w:rsid w:val="00303300"/>
    <w:rsid w:val="00303355"/>
    <w:rsid w:val="00303376"/>
    <w:rsid w:val="0030337A"/>
    <w:rsid w:val="00303381"/>
    <w:rsid w:val="00303382"/>
    <w:rsid w:val="00303405"/>
    <w:rsid w:val="003034D2"/>
    <w:rsid w:val="00303509"/>
    <w:rsid w:val="00303576"/>
    <w:rsid w:val="0030358D"/>
    <w:rsid w:val="003035DA"/>
    <w:rsid w:val="003035DE"/>
    <w:rsid w:val="00303668"/>
    <w:rsid w:val="00303741"/>
    <w:rsid w:val="003037E1"/>
    <w:rsid w:val="003038AD"/>
    <w:rsid w:val="003038B1"/>
    <w:rsid w:val="003039BF"/>
    <w:rsid w:val="003039ED"/>
    <w:rsid w:val="00303AB6"/>
    <w:rsid w:val="00303B8A"/>
    <w:rsid w:val="00303C0B"/>
    <w:rsid w:val="00303C3B"/>
    <w:rsid w:val="00303CE2"/>
    <w:rsid w:val="00303CEA"/>
    <w:rsid w:val="00303D29"/>
    <w:rsid w:val="00303E51"/>
    <w:rsid w:val="00303E55"/>
    <w:rsid w:val="00303E62"/>
    <w:rsid w:val="00303F66"/>
    <w:rsid w:val="00303F9A"/>
    <w:rsid w:val="00303FA2"/>
    <w:rsid w:val="00303FA3"/>
    <w:rsid w:val="00303FE2"/>
    <w:rsid w:val="0030400F"/>
    <w:rsid w:val="00304144"/>
    <w:rsid w:val="00304195"/>
    <w:rsid w:val="003041E4"/>
    <w:rsid w:val="00304240"/>
    <w:rsid w:val="0030426F"/>
    <w:rsid w:val="003042C7"/>
    <w:rsid w:val="003043DF"/>
    <w:rsid w:val="00304400"/>
    <w:rsid w:val="00304546"/>
    <w:rsid w:val="0030466B"/>
    <w:rsid w:val="00304736"/>
    <w:rsid w:val="00304741"/>
    <w:rsid w:val="003047CD"/>
    <w:rsid w:val="003047E7"/>
    <w:rsid w:val="003048D6"/>
    <w:rsid w:val="00304973"/>
    <w:rsid w:val="003049FC"/>
    <w:rsid w:val="00304A05"/>
    <w:rsid w:val="00304A82"/>
    <w:rsid w:val="00304A9C"/>
    <w:rsid w:val="00304C36"/>
    <w:rsid w:val="00304C82"/>
    <w:rsid w:val="00304CCD"/>
    <w:rsid w:val="00304D72"/>
    <w:rsid w:val="00304E3B"/>
    <w:rsid w:val="00304E48"/>
    <w:rsid w:val="00304F0B"/>
    <w:rsid w:val="00304F36"/>
    <w:rsid w:val="00304FCB"/>
    <w:rsid w:val="00305091"/>
    <w:rsid w:val="003050DC"/>
    <w:rsid w:val="00305118"/>
    <w:rsid w:val="003051D2"/>
    <w:rsid w:val="00305213"/>
    <w:rsid w:val="00305223"/>
    <w:rsid w:val="003052EB"/>
    <w:rsid w:val="00305593"/>
    <w:rsid w:val="003055B1"/>
    <w:rsid w:val="003055B7"/>
    <w:rsid w:val="003056B2"/>
    <w:rsid w:val="003056D7"/>
    <w:rsid w:val="0030573C"/>
    <w:rsid w:val="003057B0"/>
    <w:rsid w:val="00305864"/>
    <w:rsid w:val="00305873"/>
    <w:rsid w:val="003058B4"/>
    <w:rsid w:val="00305962"/>
    <w:rsid w:val="003059EE"/>
    <w:rsid w:val="00305B5C"/>
    <w:rsid w:val="00305B77"/>
    <w:rsid w:val="00305BD3"/>
    <w:rsid w:val="00305BD6"/>
    <w:rsid w:val="00305C12"/>
    <w:rsid w:val="00305C6E"/>
    <w:rsid w:val="00305CAB"/>
    <w:rsid w:val="00305D9F"/>
    <w:rsid w:val="00305DE1"/>
    <w:rsid w:val="00305E1B"/>
    <w:rsid w:val="00305E25"/>
    <w:rsid w:val="00305E2C"/>
    <w:rsid w:val="00305E73"/>
    <w:rsid w:val="00305F44"/>
    <w:rsid w:val="00305F6A"/>
    <w:rsid w:val="00305FAA"/>
    <w:rsid w:val="00306009"/>
    <w:rsid w:val="003060A4"/>
    <w:rsid w:val="0030616B"/>
    <w:rsid w:val="0030618C"/>
    <w:rsid w:val="003061A4"/>
    <w:rsid w:val="003061BC"/>
    <w:rsid w:val="003061D5"/>
    <w:rsid w:val="0030620C"/>
    <w:rsid w:val="003062DD"/>
    <w:rsid w:val="003062F1"/>
    <w:rsid w:val="00306392"/>
    <w:rsid w:val="003063BF"/>
    <w:rsid w:val="003063FA"/>
    <w:rsid w:val="00306494"/>
    <w:rsid w:val="00306568"/>
    <w:rsid w:val="003065E0"/>
    <w:rsid w:val="003065FA"/>
    <w:rsid w:val="003066A8"/>
    <w:rsid w:val="003066F7"/>
    <w:rsid w:val="00306744"/>
    <w:rsid w:val="00306770"/>
    <w:rsid w:val="00306771"/>
    <w:rsid w:val="003067E7"/>
    <w:rsid w:val="00306843"/>
    <w:rsid w:val="00306990"/>
    <w:rsid w:val="003069A7"/>
    <w:rsid w:val="00306A12"/>
    <w:rsid w:val="00306A74"/>
    <w:rsid w:val="00306A86"/>
    <w:rsid w:val="00306B0E"/>
    <w:rsid w:val="00306BB9"/>
    <w:rsid w:val="00306C2A"/>
    <w:rsid w:val="00306C98"/>
    <w:rsid w:val="00306CBD"/>
    <w:rsid w:val="00306CCF"/>
    <w:rsid w:val="00306CE3"/>
    <w:rsid w:val="00306D5D"/>
    <w:rsid w:val="00306DE6"/>
    <w:rsid w:val="00306DED"/>
    <w:rsid w:val="00306ECB"/>
    <w:rsid w:val="00306ED1"/>
    <w:rsid w:val="00306FAD"/>
    <w:rsid w:val="00307026"/>
    <w:rsid w:val="00307048"/>
    <w:rsid w:val="00307049"/>
    <w:rsid w:val="0030707F"/>
    <w:rsid w:val="00307084"/>
    <w:rsid w:val="00307097"/>
    <w:rsid w:val="00307098"/>
    <w:rsid w:val="00307129"/>
    <w:rsid w:val="003071E3"/>
    <w:rsid w:val="003071EF"/>
    <w:rsid w:val="0030721A"/>
    <w:rsid w:val="00307225"/>
    <w:rsid w:val="00307244"/>
    <w:rsid w:val="00307280"/>
    <w:rsid w:val="00307288"/>
    <w:rsid w:val="003072C1"/>
    <w:rsid w:val="003072F0"/>
    <w:rsid w:val="0030735D"/>
    <w:rsid w:val="0030742D"/>
    <w:rsid w:val="00307447"/>
    <w:rsid w:val="003074A7"/>
    <w:rsid w:val="0030750B"/>
    <w:rsid w:val="0030750C"/>
    <w:rsid w:val="00307557"/>
    <w:rsid w:val="0030756A"/>
    <w:rsid w:val="0030759C"/>
    <w:rsid w:val="003076B3"/>
    <w:rsid w:val="003077B0"/>
    <w:rsid w:val="003077E6"/>
    <w:rsid w:val="00307819"/>
    <w:rsid w:val="00307867"/>
    <w:rsid w:val="00307932"/>
    <w:rsid w:val="0030798C"/>
    <w:rsid w:val="003079D6"/>
    <w:rsid w:val="00307A1A"/>
    <w:rsid w:val="00307A3A"/>
    <w:rsid w:val="00307A77"/>
    <w:rsid w:val="00307A97"/>
    <w:rsid w:val="00307B08"/>
    <w:rsid w:val="00307B39"/>
    <w:rsid w:val="00307B7E"/>
    <w:rsid w:val="00307BE3"/>
    <w:rsid w:val="00307CAD"/>
    <w:rsid w:val="00307CC3"/>
    <w:rsid w:val="00307D61"/>
    <w:rsid w:val="00307DE9"/>
    <w:rsid w:val="00307DFC"/>
    <w:rsid w:val="00307E0A"/>
    <w:rsid w:val="00307E1F"/>
    <w:rsid w:val="00307E40"/>
    <w:rsid w:val="00307EA5"/>
    <w:rsid w:val="00307F2A"/>
    <w:rsid w:val="00307F6D"/>
    <w:rsid w:val="00307F80"/>
    <w:rsid w:val="00307FCD"/>
    <w:rsid w:val="003101AE"/>
    <w:rsid w:val="003101FB"/>
    <w:rsid w:val="0031023C"/>
    <w:rsid w:val="0031028B"/>
    <w:rsid w:val="003102D7"/>
    <w:rsid w:val="0031033A"/>
    <w:rsid w:val="003103AF"/>
    <w:rsid w:val="00310405"/>
    <w:rsid w:val="00310433"/>
    <w:rsid w:val="00310434"/>
    <w:rsid w:val="00310452"/>
    <w:rsid w:val="003104EA"/>
    <w:rsid w:val="00310529"/>
    <w:rsid w:val="00310565"/>
    <w:rsid w:val="00310595"/>
    <w:rsid w:val="00310608"/>
    <w:rsid w:val="003106CF"/>
    <w:rsid w:val="00310761"/>
    <w:rsid w:val="00310793"/>
    <w:rsid w:val="00310831"/>
    <w:rsid w:val="00310841"/>
    <w:rsid w:val="00310855"/>
    <w:rsid w:val="00310861"/>
    <w:rsid w:val="0031087E"/>
    <w:rsid w:val="0031094F"/>
    <w:rsid w:val="00310A89"/>
    <w:rsid w:val="00310B0B"/>
    <w:rsid w:val="00310B25"/>
    <w:rsid w:val="00310B71"/>
    <w:rsid w:val="00310C58"/>
    <w:rsid w:val="00310CB5"/>
    <w:rsid w:val="00310CEA"/>
    <w:rsid w:val="00310CFA"/>
    <w:rsid w:val="00310D6A"/>
    <w:rsid w:val="00310E0D"/>
    <w:rsid w:val="00310E39"/>
    <w:rsid w:val="00310F4B"/>
    <w:rsid w:val="00310FCC"/>
    <w:rsid w:val="0031105D"/>
    <w:rsid w:val="00311062"/>
    <w:rsid w:val="00311097"/>
    <w:rsid w:val="003110D2"/>
    <w:rsid w:val="0031114D"/>
    <w:rsid w:val="0031130E"/>
    <w:rsid w:val="003113A3"/>
    <w:rsid w:val="003113BD"/>
    <w:rsid w:val="003113FC"/>
    <w:rsid w:val="00311458"/>
    <w:rsid w:val="0031152D"/>
    <w:rsid w:val="0031163F"/>
    <w:rsid w:val="00311741"/>
    <w:rsid w:val="00311747"/>
    <w:rsid w:val="00311774"/>
    <w:rsid w:val="003117CF"/>
    <w:rsid w:val="003117D2"/>
    <w:rsid w:val="0031196F"/>
    <w:rsid w:val="003119D5"/>
    <w:rsid w:val="00311A71"/>
    <w:rsid w:val="00311A92"/>
    <w:rsid w:val="00311AD4"/>
    <w:rsid w:val="00311B51"/>
    <w:rsid w:val="00311BE2"/>
    <w:rsid w:val="00311C60"/>
    <w:rsid w:val="00311C8D"/>
    <w:rsid w:val="00311D4A"/>
    <w:rsid w:val="00311D56"/>
    <w:rsid w:val="00311DED"/>
    <w:rsid w:val="00311E8F"/>
    <w:rsid w:val="00311F4C"/>
    <w:rsid w:val="00311F82"/>
    <w:rsid w:val="0031202B"/>
    <w:rsid w:val="00312081"/>
    <w:rsid w:val="00312082"/>
    <w:rsid w:val="00312112"/>
    <w:rsid w:val="00312130"/>
    <w:rsid w:val="00312188"/>
    <w:rsid w:val="00312221"/>
    <w:rsid w:val="00312256"/>
    <w:rsid w:val="0031228B"/>
    <w:rsid w:val="003123C2"/>
    <w:rsid w:val="003123DC"/>
    <w:rsid w:val="0031246F"/>
    <w:rsid w:val="0031247B"/>
    <w:rsid w:val="0031247C"/>
    <w:rsid w:val="00312550"/>
    <w:rsid w:val="0031257E"/>
    <w:rsid w:val="003125AA"/>
    <w:rsid w:val="00312616"/>
    <w:rsid w:val="003126A9"/>
    <w:rsid w:val="003126BD"/>
    <w:rsid w:val="00312701"/>
    <w:rsid w:val="0031270D"/>
    <w:rsid w:val="0031270F"/>
    <w:rsid w:val="003127D9"/>
    <w:rsid w:val="003127F1"/>
    <w:rsid w:val="0031282F"/>
    <w:rsid w:val="0031289E"/>
    <w:rsid w:val="00312934"/>
    <w:rsid w:val="0031298B"/>
    <w:rsid w:val="00312995"/>
    <w:rsid w:val="003129D8"/>
    <w:rsid w:val="00312A1E"/>
    <w:rsid w:val="00312AD0"/>
    <w:rsid w:val="00312AE5"/>
    <w:rsid w:val="00312B43"/>
    <w:rsid w:val="00312BBB"/>
    <w:rsid w:val="00312BE6"/>
    <w:rsid w:val="00312C1A"/>
    <w:rsid w:val="00312C35"/>
    <w:rsid w:val="00312C57"/>
    <w:rsid w:val="00312CCB"/>
    <w:rsid w:val="00312D24"/>
    <w:rsid w:val="00312D45"/>
    <w:rsid w:val="00312D48"/>
    <w:rsid w:val="00312DE3"/>
    <w:rsid w:val="00312E30"/>
    <w:rsid w:val="00312E86"/>
    <w:rsid w:val="00312EEE"/>
    <w:rsid w:val="0031330C"/>
    <w:rsid w:val="00313358"/>
    <w:rsid w:val="00313368"/>
    <w:rsid w:val="0031336B"/>
    <w:rsid w:val="0031338C"/>
    <w:rsid w:val="00313422"/>
    <w:rsid w:val="00313443"/>
    <w:rsid w:val="003134BD"/>
    <w:rsid w:val="003134E6"/>
    <w:rsid w:val="0031352A"/>
    <w:rsid w:val="00313565"/>
    <w:rsid w:val="00313573"/>
    <w:rsid w:val="003135F6"/>
    <w:rsid w:val="0031360E"/>
    <w:rsid w:val="00313681"/>
    <w:rsid w:val="003136E0"/>
    <w:rsid w:val="00313723"/>
    <w:rsid w:val="0031374A"/>
    <w:rsid w:val="00313757"/>
    <w:rsid w:val="00313819"/>
    <w:rsid w:val="00313830"/>
    <w:rsid w:val="003138BA"/>
    <w:rsid w:val="00313900"/>
    <w:rsid w:val="00313918"/>
    <w:rsid w:val="0031398A"/>
    <w:rsid w:val="003139B2"/>
    <w:rsid w:val="00313A56"/>
    <w:rsid w:val="00313B56"/>
    <w:rsid w:val="00313BB6"/>
    <w:rsid w:val="00313BCE"/>
    <w:rsid w:val="00313BE5"/>
    <w:rsid w:val="00313BE7"/>
    <w:rsid w:val="00313BEB"/>
    <w:rsid w:val="00313C48"/>
    <w:rsid w:val="00313D22"/>
    <w:rsid w:val="00313DAF"/>
    <w:rsid w:val="00313E30"/>
    <w:rsid w:val="00313ED3"/>
    <w:rsid w:val="00313FA3"/>
    <w:rsid w:val="00313FFD"/>
    <w:rsid w:val="003140C5"/>
    <w:rsid w:val="00314133"/>
    <w:rsid w:val="00314176"/>
    <w:rsid w:val="00314187"/>
    <w:rsid w:val="003141CE"/>
    <w:rsid w:val="00314210"/>
    <w:rsid w:val="00314288"/>
    <w:rsid w:val="00314318"/>
    <w:rsid w:val="00314342"/>
    <w:rsid w:val="00314364"/>
    <w:rsid w:val="003143C2"/>
    <w:rsid w:val="003143DE"/>
    <w:rsid w:val="0031440D"/>
    <w:rsid w:val="00314435"/>
    <w:rsid w:val="00314465"/>
    <w:rsid w:val="00314486"/>
    <w:rsid w:val="00314509"/>
    <w:rsid w:val="0031450D"/>
    <w:rsid w:val="00314548"/>
    <w:rsid w:val="003145E7"/>
    <w:rsid w:val="0031465B"/>
    <w:rsid w:val="003146A3"/>
    <w:rsid w:val="003146C2"/>
    <w:rsid w:val="003146FD"/>
    <w:rsid w:val="0031473E"/>
    <w:rsid w:val="00314899"/>
    <w:rsid w:val="003148F3"/>
    <w:rsid w:val="0031493B"/>
    <w:rsid w:val="0031495A"/>
    <w:rsid w:val="00314981"/>
    <w:rsid w:val="00314A11"/>
    <w:rsid w:val="00314C1D"/>
    <w:rsid w:val="00314DCB"/>
    <w:rsid w:val="00314E14"/>
    <w:rsid w:val="00314E22"/>
    <w:rsid w:val="00314F69"/>
    <w:rsid w:val="00314F6A"/>
    <w:rsid w:val="00315064"/>
    <w:rsid w:val="0031509D"/>
    <w:rsid w:val="003150C0"/>
    <w:rsid w:val="003150D0"/>
    <w:rsid w:val="00315143"/>
    <w:rsid w:val="00315220"/>
    <w:rsid w:val="00315248"/>
    <w:rsid w:val="0031535F"/>
    <w:rsid w:val="00315373"/>
    <w:rsid w:val="003153A8"/>
    <w:rsid w:val="0031545D"/>
    <w:rsid w:val="003154E2"/>
    <w:rsid w:val="00315530"/>
    <w:rsid w:val="00315581"/>
    <w:rsid w:val="003155D1"/>
    <w:rsid w:val="003155F4"/>
    <w:rsid w:val="00315680"/>
    <w:rsid w:val="003158C8"/>
    <w:rsid w:val="0031592B"/>
    <w:rsid w:val="003159E4"/>
    <w:rsid w:val="00315AAE"/>
    <w:rsid w:val="00315B43"/>
    <w:rsid w:val="00315B4E"/>
    <w:rsid w:val="00315B7A"/>
    <w:rsid w:val="00315BB7"/>
    <w:rsid w:val="00315BC7"/>
    <w:rsid w:val="00315C51"/>
    <w:rsid w:val="00315C80"/>
    <w:rsid w:val="00315D4A"/>
    <w:rsid w:val="00315DBF"/>
    <w:rsid w:val="00315DC5"/>
    <w:rsid w:val="00315E04"/>
    <w:rsid w:val="00315F30"/>
    <w:rsid w:val="00315F52"/>
    <w:rsid w:val="00315FEA"/>
    <w:rsid w:val="00316085"/>
    <w:rsid w:val="00316107"/>
    <w:rsid w:val="0031622F"/>
    <w:rsid w:val="00316258"/>
    <w:rsid w:val="003162CE"/>
    <w:rsid w:val="00316469"/>
    <w:rsid w:val="0031653E"/>
    <w:rsid w:val="0031654C"/>
    <w:rsid w:val="003166AE"/>
    <w:rsid w:val="003166B0"/>
    <w:rsid w:val="0031671F"/>
    <w:rsid w:val="0031674B"/>
    <w:rsid w:val="0031676F"/>
    <w:rsid w:val="00316775"/>
    <w:rsid w:val="003168A4"/>
    <w:rsid w:val="003168E3"/>
    <w:rsid w:val="003168FA"/>
    <w:rsid w:val="0031699E"/>
    <w:rsid w:val="003169AA"/>
    <w:rsid w:val="00316A32"/>
    <w:rsid w:val="00316AD8"/>
    <w:rsid w:val="00316B4B"/>
    <w:rsid w:val="00316B77"/>
    <w:rsid w:val="00316BF2"/>
    <w:rsid w:val="00316C1F"/>
    <w:rsid w:val="00316C37"/>
    <w:rsid w:val="00316CA3"/>
    <w:rsid w:val="00316D48"/>
    <w:rsid w:val="00316D50"/>
    <w:rsid w:val="00316D83"/>
    <w:rsid w:val="00316DB9"/>
    <w:rsid w:val="00316E0C"/>
    <w:rsid w:val="00316EAA"/>
    <w:rsid w:val="00316EAF"/>
    <w:rsid w:val="00316EC3"/>
    <w:rsid w:val="00316F63"/>
    <w:rsid w:val="00316FA0"/>
    <w:rsid w:val="00316FAB"/>
    <w:rsid w:val="0031707A"/>
    <w:rsid w:val="0031716A"/>
    <w:rsid w:val="003171CA"/>
    <w:rsid w:val="003171D3"/>
    <w:rsid w:val="00317200"/>
    <w:rsid w:val="003172FA"/>
    <w:rsid w:val="003173A2"/>
    <w:rsid w:val="003173B5"/>
    <w:rsid w:val="003173BB"/>
    <w:rsid w:val="00317401"/>
    <w:rsid w:val="00317442"/>
    <w:rsid w:val="003175B3"/>
    <w:rsid w:val="003175BD"/>
    <w:rsid w:val="00317623"/>
    <w:rsid w:val="00317663"/>
    <w:rsid w:val="0031768B"/>
    <w:rsid w:val="003176C7"/>
    <w:rsid w:val="003176D1"/>
    <w:rsid w:val="003176DF"/>
    <w:rsid w:val="00317734"/>
    <w:rsid w:val="003179F0"/>
    <w:rsid w:val="00317A35"/>
    <w:rsid w:val="00317A3C"/>
    <w:rsid w:val="00317A48"/>
    <w:rsid w:val="00317A57"/>
    <w:rsid w:val="00317AB3"/>
    <w:rsid w:val="00317B43"/>
    <w:rsid w:val="00317BCE"/>
    <w:rsid w:val="00317BE8"/>
    <w:rsid w:val="00317C29"/>
    <w:rsid w:val="00317C81"/>
    <w:rsid w:val="00317D41"/>
    <w:rsid w:val="00317EF2"/>
    <w:rsid w:val="00317F38"/>
    <w:rsid w:val="00317F4B"/>
    <w:rsid w:val="00317FB2"/>
    <w:rsid w:val="00320142"/>
    <w:rsid w:val="003201A2"/>
    <w:rsid w:val="003201CC"/>
    <w:rsid w:val="003201FA"/>
    <w:rsid w:val="0032022B"/>
    <w:rsid w:val="0032025C"/>
    <w:rsid w:val="003202AB"/>
    <w:rsid w:val="003202CB"/>
    <w:rsid w:val="0032040B"/>
    <w:rsid w:val="00320418"/>
    <w:rsid w:val="00320446"/>
    <w:rsid w:val="0032054C"/>
    <w:rsid w:val="0032057F"/>
    <w:rsid w:val="0032062C"/>
    <w:rsid w:val="003206B4"/>
    <w:rsid w:val="003206E2"/>
    <w:rsid w:val="003206F5"/>
    <w:rsid w:val="0032070B"/>
    <w:rsid w:val="00320887"/>
    <w:rsid w:val="00320897"/>
    <w:rsid w:val="003208BD"/>
    <w:rsid w:val="003208F5"/>
    <w:rsid w:val="00320996"/>
    <w:rsid w:val="003209D2"/>
    <w:rsid w:val="003209E3"/>
    <w:rsid w:val="003209E5"/>
    <w:rsid w:val="003209EB"/>
    <w:rsid w:val="003209F4"/>
    <w:rsid w:val="00320A36"/>
    <w:rsid w:val="00320B08"/>
    <w:rsid w:val="00320B50"/>
    <w:rsid w:val="00320B69"/>
    <w:rsid w:val="00320B74"/>
    <w:rsid w:val="00320B90"/>
    <w:rsid w:val="00320C55"/>
    <w:rsid w:val="00320C8B"/>
    <w:rsid w:val="00320D1E"/>
    <w:rsid w:val="00320D54"/>
    <w:rsid w:val="00320D69"/>
    <w:rsid w:val="00320D88"/>
    <w:rsid w:val="00320DC9"/>
    <w:rsid w:val="00320DE2"/>
    <w:rsid w:val="00320E63"/>
    <w:rsid w:val="00320E84"/>
    <w:rsid w:val="00320E8E"/>
    <w:rsid w:val="00320F08"/>
    <w:rsid w:val="00320FEF"/>
    <w:rsid w:val="0032109A"/>
    <w:rsid w:val="003210ED"/>
    <w:rsid w:val="00321157"/>
    <w:rsid w:val="0032118C"/>
    <w:rsid w:val="0032119F"/>
    <w:rsid w:val="0032122C"/>
    <w:rsid w:val="00321338"/>
    <w:rsid w:val="00321412"/>
    <w:rsid w:val="0032149A"/>
    <w:rsid w:val="0032150A"/>
    <w:rsid w:val="003215C3"/>
    <w:rsid w:val="00321675"/>
    <w:rsid w:val="00321693"/>
    <w:rsid w:val="003216F5"/>
    <w:rsid w:val="003216FA"/>
    <w:rsid w:val="0032170E"/>
    <w:rsid w:val="0032177C"/>
    <w:rsid w:val="0032178E"/>
    <w:rsid w:val="00321807"/>
    <w:rsid w:val="0032185C"/>
    <w:rsid w:val="0032197A"/>
    <w:rsid w:val="003219BE"/>
    <w:rsid w:val="00321A23"/>
    <w:rsid w:val="00321AC8"/>
    <w:rsid w:val="00321AE6"/>
    <w:rsid w:val="00321B00"/>
    <w:rsid w:val="00321B22"/>
    <w:rsid w:val="00321B7E"/>
    <w:rsid w:val="00321B8F"/>
    <w:rsid w:val="00321BC6"/>
    <w:rsid w:val="00321C12"/>
    <w:rsid w:val="00321C56"/>
    <w:rsid w:val="00321C79"/>
    <w:rsid w:val="00321CF7"/>
    <w:rsid w:val="00321D07"/>
    <w:rsid w:val="00321D63"/>
    <w:rsid w:val="00321DBD"/>
    <w:rsid w:val="00321DD8"/>
    <w:rsid w:val="00321E0B"/>
    <w:rsid w:val="00321E80"/>
    <w:rsid w:val="00321FFE"/>
    <w:rsid w:val="003221AA"/>
    <w:rsid w:val="003221D2"/>
    <w:rsid w:val="003223B3"/>
    <w:rsid w:val="003223CD"/>
    <w:rsid w:val="003223FC"/>
    <w:rsid w:val="00322457"/>
    <w:rsid w:val="003225A7"/>
    <w:rsid w:val="003225C9"/>
    <w:rsid w:val="003225ED"/>
    <w:rsid w:val="00322629"/>
    <w:rsid w:val="003226C8"/>
    <w:rsid w:val="00322747"/>
    <w:rsid w:val="0032274B"/>
    <w:rsid w:val="003227FF"/>
    <w:rsid w:val="0032284B"/>
    <w:rsid w:val="003228D0"/>
    <w:rsid w:val="00322A40"/>
    <w:rsid w:val="00322B14"/>
    <w:rsid w:val="00322B4D"/>
    <w:rsid w:val="00322BA6"/>
    <w:rsid w:val="00322BC5"/>
    <w:rsid w:val="00322BD8"/>
    <w:rsid w:val="00322C55"/>
    <w:rsid w:val="00322D17"/>
    <w:rsid w:val="00322D22"/>
    <w:rsid w:val="00322D96"/>
    <w:rsid w:val="00322D9B"/>
    <w:rsid w:val="00322DBD"/>
    <w:rsid w:val="00322E55"/>
    <w:rsid w:val="00322EC2"/>
    <w:rsid w:val="00322EC6"/>
    <w:rsid w:val="00322F66"/>
    <w:rsid w:val="003230C9"/>
    <w:rsid w:val="00323104"/>
    <w:rsid w:val="00323159"/>
    <w:rsid w:val="00323181"/>
    <w:rsid w:val="00323301"/>
    <w:rsid w:val="003233F5"/>
    <w:rsid w:val="0032344A"/>
    <w:rsid w:val="0032344C"/>
    <w:rsid w:val="003234BE"/>
    <w:rsid w:val="003234FA"/>
    <w:rsid w:val="00323503"/>
    <w:rsid w:val="0032354C"/>
    <w:rsid w:val="003235D5"/>
    <w:rsid w:val="003235F7"/>
    <w:rsid w:val="003236AA"/>
    <w:rsid w:val="003236E5"/>
    <w:rsid w:val="003237A8"/>
    <w:rsid w:val="0032382C"/>
    <w:rsid w:val="00323868"/>
    <w:rsid w:val="003238CB"/>
    <w:rsid w:val="00323A9A"/>
    <w:rsid w:val="00323BF7"/>
    <w:rsid w:val="00323C32"/>
    <w:rsid w:val="00323C9D"/>
    <w:rsid w:val="00323CC4"/>
    <w:rsid w:val="00323CCD"/>
    <w:rsid w:val="00323D1A"/>
    <w:rsid w:val="00323D34"/>
    <w:rsid w:val="00323D54"/>
    <w:rsid w:val="00323DAB"/>
    <w:rsid w:val="00323FD9"/>
    <w:rsid w:val="0032402A"/>
    <w:rsid w:val="003240B5"/>
    <w:rsid w:val="003241A0"/>
    <w:rsid w:val="003241A3"/>
    <w:rsid w:val="003241E0"/>
    <w:rsid w:val="0032420E"/>
    <w:rsid w:val="0032432D"/>
    <w:rsid w:val="003243E6"/>
    <w:rsid w:val="00324413"/>
    <w:rsid w:val="0032441C"/>
    <w:rsid w:val="0032444C"/>
    <w:rsid w:val="003244B5"/>
    <w:rsid w:val="00324565"/>
    <w:rsid w:val="00324576"/>
    <w:rsid w:val="00324627"/>
    <w:rsid w:val="00324696"/>
    <w:rsid w:val="003246EC"/>
    <w:rsid w:val="00324714"/>
    <w:rsid w:val="0032473E"/>
    <w:rsid w:val="0032487D"/>
    <w:rsid w:val="0032488F"/>
    <w:rsid w:val="00324894"/>
    <w:rsid w:val="003248A8"/>
    <w:rsid w:val="00324911"/>
    <w:rsid w:val="00324916"/>
    <w:rsid w:val="00324919"/>
    <w:rsid w:val="00324938"/>
    <w:rsid w:val="00324974"/>
    <w:rsid w:val="00324ACA"/>
    <w:rsid w:val="00324B1A"/>
    <w:rsid w:val="00324BDD"/>
    <w:rsid w:val="00324D11"/>
    <w:rsid w:val="00324DC9"/>
    <w:rsid w:val="00324DCC"/>
    <w:rsid w:val="00324FCA"/>
    <w:rsid w:val="00325012"/>
    <w:rsid w:val="00325026"/>
    <w:rsid w:val="0032508F"/>
    <w:rsid w:val="0032511E"/>
    <w:rsid w:val="00325142"/>
    <w:rsid w:val="00325166"/>
    <w:rsid w:val="0032517C"/>
    <w:rsid w:val="003251F1"/>
    <w:rsid w:val="00325202"/>
    <w:rsid w:val="00325251"/>
    <w:rsid w:val="0032528C"/>
    <w:rsid w:val="003252AC"/>
    <w:rsid w:val="00325320"/>
    <w:rsid w:val="00325364"/>
    <w:rsid w:val="00325390"/>
    <w:rsid w:val="0032540C"/>
    <w:rsid w:val="0032545A"/>
    <w:rsid w:val="0032547C"/>
    <w:rsid w:val="00325516"/>
    <w:rsid w:val="0032554F"/>
    <w:rsid w:val="00325556"/>
    <w:rsid w:val="003255C4"/>
    <w:rsid w:val="0032566A"/>
    <w:rsid w:val="003256CF"/>
    <w:rsid w:val="0032575C"/>
    <w:rsid w:val="003257C5"/>
    <w:rsid w:val="003257CB"/>
    <w:rsid w:val="003257E0"/>
    <w:rsid w:val="00325812"/>
    <w:rsid w:val="003258C6"/>
    <w:rsid w:val="003259AE"/>
    <w:rsid w:val="003259B3"/>
    <w:rsid w:val="003259E8"/>
    <w:rsid w:val="00325A05"/>
    <w:rsid w:val="00325A79"/>
    <w:rsid w:val="00325C0C"/>
    <w:rsid w:val="00325C21"/>
    <w:rsid w:val="00325C36"/>
    <w:rsid w:val="00325D46"/>
    <w:rsid w:val="00325D4F"/>
    <w:rsid w:val="00325DCD"/>
    <w:rsid w:val="00325E95"/>
    <w:rsid w:val="00325E99"/>
    <w:rsid w:val="00325EAF"/>
    <w:rsid w:val="00325F96"/>
    <w:rsid w:val="003260B2"/>
    <w:rsid w:val="003260C5"/>
    <w:rsid w:val="0032612F"/>
    <w:rsid w:val="0032621E"/>
    <w:rsid w:val="00326224"/>
    <w:rsid w:val="00326242"/>
    <w:rsid w:val="003262BC"/>
    <w:rsid w:val="003262EF"/>
    <w:rsid w:val="00326339"/>
    <w:rsid w:val="0032634B"/>
    <w:rsid w:val="003264BB"/>
    <w:rsid w:val="00326529"/>
    <w:rsid w:val="00326590"/>
    <w:rsid w:val="003265B0"/>
    <w:rsid w:val="003265DD"/>
    <w:rsid w:val="003265E3"/>
    <w:rsid w:val="00326688"/>
    <w:rsid w:val="003266A7"/>
    <w:rsid w:val="003266B8"/>
    <w:rsid w:val="00326707"/>
    <w:rsid w:val="00326728"/>
    <w:rsid w:val="00326738"/>
    <w:rsid w:val="0032679B"/>
    <w:rsid w:val="0032679D"/>
    <w:rsid w:val="0032680C"/>
    <w:rsid w:val="00326887"/>
    <w:rsid w:val="003268A1"/>
    <w:rsid w:val="003268C6"/>
    <w:rsid w:val="0032690D"/>
    <w:rsid w:val="00326960"/>
    <w:rsid w:val="00326990"/>
    <w:rsid w:val="00326A1D"/>
    <w:rsid w:val="00326A9A"/>
    <w:rsid w:val="00326AB9"/>
    <w:rsid w:val="00326ACA"/>
    <w:rsid w:val="00326B76"/>
    <w:rsid w:val="00326BBB"/>
    <w:rsid w:val="00326CBA"/>
    <w:rsid w:val="00326DEE"/>
    <w:rsid w:val="00326E23"/>
    <w:rsid w:val="00326EBE"/>
    <w:rsid w:val="00326ECE"/>
    <w:rsid w:val="00326EE3"/>
    <w:rsid w:val="00326F3F"/>
    <w:rsid w:val="00327090"/>
    <w:rsid w:val="003270CF"/>
    <w:rsid w:val="00327117"/>
    <w:rsid w:val="0032716B"/>
    <w:rsid w:val="0032729E"/>
    <w:rsid w:val="003272D0"/>
    <w:rsid w:val="003272FB"/>
    <w:rsid w:val="0032734D"/>
    <w:rsid w:val="00327357"/>
    <w:rsid w:val="003273AF"/>
    <w:rsid w:val="003273BA"/>
    <w:rsid w:val="003273E9"/>
    <w:rsid w:val="00327416"/>
    <w:rsid w:val="00327486"/>
    <w:rsid w:val="003274D9"/>
    <w:rsid w:val="00327545"/>
    <w:rsid w:val="003275B0"/>
    <w:rsid w:val="003275ED"/>
    <w:rsid w:val="003276C8"/>
    <w:rsid w:val="00327739"/>
    <w:rsid w:val="00327744"/>
    <w:rsid w:val="0032777B"/>
    <w:rsid w:val="003277A3"/>
    <w:rsid w:val="003277BB"/>
    <w:rsid w:val="003277C2"/>
    <w:rsid w:val="003277D0"/>
    <w:rsid w:val="003278AB"/>
    <w:rsid w:val="003278CC"/>
    <w:rsid w:val="003278EE"/>
    <w:rsid w:val="0032791B"/>
    <w:rsid w:val="0032792D"/>
    <w:rsid w:val="0032799F"/>
    <w:rsid w:val="00327A3E"/>
    <w:rsid w:val="00327AC0"/>
    <w:rsid w:val="00327B54"/>
    <w:rsid w:val="00327B7A"/>
    <w:rsid w:val="00327B7F"/>
    <w:rsid w:val="00327B82"/>
    <w:rsid w:val="00327BEF"/>
    <w:rsid w:val="00327CA0"/>
    <w:rsid w:val="00327E51"/>
    <w:rsid w:val="00327E5A"/>
    <w:rsid w:val="00327E70"/>
    <w:rsid w:val="00327FAA"/>
    <w:rsid w:val="00330011"/>
    <w:rsid w:val="00330050"/>
    <w:rsid w:val="003300AE"/>
    <w:rsid w:val="0033016B"/>
    <w:rsid w:val="00330173"/>
    <w:rsid w:val="0033018A"/>
    <w:rsid w:val="00330225"/>
    <w:rsid w:val="00330250"/>
    <w:rsid w:val="00330285"/>
    <w:rsid w:val="003302F1"/>
    <w:rsid w:val="00330318"/>
    <w:rsid w:val="0033031F"/>
    <w:rsid w:val="00330348"/>
    <w:rsid w:val="00330383"/>
    <w:rsid w:val="003303CE"/>
    <w:rsid w:val="0033063D"/>
    <w:rsid w:val="00330641"/>
    <w:rsid w:val="0033064E"/>
    <w:rsid w:val="0033069B"/>
    <w:rsid w:val="00330736"/>
    <w:rsid w:val="00330766"/>
    <w:rsid w:val="00330778"/>
    <w:rsid w:val="003308DD"/>
    <w:rsid w:val="00330991"/>
    <w:rsid w:val="00330A80"/>
    <w:rsid w:val="00330BAD"/>
    <w:rsid w:val="00330BB4"/>
    <w:rsid w:val="00330BCA"/>
    <w:rsid w:val="00330C90"/>
    <w:rsid w:val="00330CAB"/>
    <w:rsid w:val="00330D11"/>
    <w:rsid w:val="00330D17"/>
    <w:rsid w:val="00330DD0"/>
    <w:rsid w:val="00330DE3"/>
    <w:rsid w:val="00330E44"/>
    <w:rsid w:val="00330EBF"/>
    <w:rsid w:val="00330F02"/>
    <w:rsid w:val="00330F12"/>
    <w:rsid w:val="00330F44"/>
    <w:rsid w:val="00330F93"/>
    <w:rsid w:val="00330FCC"/>
    <w:rsid w:val="003310B5"/>
    <w:rsid w:val="0033111D"/>
    <w:rsid w:val="00331313"/>
    <w:rsid w:val="00331369"/>
    <w:rsid w:val="003313AD"/>
    <w:rsid w:val="003313B5"/>
    <w:rsid w:val="003313CD"/>
    <w:rsid w:val="003313F5"/>
    <w:rsid w:val="003314E2"/>
    <w:rsid w:val="00331579"/>
    <w:rsid w:val="0033159D"/>
    <w:rsid w:val="003316E5"/>
    <w:rsid w:val="0033173B"/>
    <w:rsid w:val="0033177A"/>
    <w:rsid w:val="0033178E"/>
    <w:rsid w:val="0033184E"/>
    <w:rsid w:val="003318D3"/>
    <w:rsid w:val="0033193B"/>
    <w:rsid w:val="00331944"/>
    <w:rsid w:val="00331A23"/>
    <w:rsid w:val="00331A3D"/>
    <w:rsid w:val="00331AD7"/>
    <w:rsid w:val="00331AE8"/>
    <w:rsid w:val="00331BB3"/>
    <w:rsid w:val="00331BE9"/>
    <w:rsid w:val="00331C63"/>
    <w:rsid w:val="00331C7B"/>
    <w:rsid w:val="00331C9B"/>
    <w:rsid w:val="00331D06"/>
    <w:rsid w:val="00331DB7"/>
    <w:rsid w:val="00331DBA"/>
    <w:rsid w:val="00331E06"/>
    <w:rsid w:val="00331E65"/>
    <w:rsid w:val="00331E67"/>
    <w:rsid w:val="00331E8D"/>
    <w:rsid w:val="00331EF6"/>
    <w:rsid w:val="00331F38"/>
    <w:rsid w:val="00331F49"/>
    <w:rsid w:val="00331F6B"/>
    <w:rsid w:val="00331F6D"/>
    <w:rsid w:val="00331F72"/>
    <w:rsid w:val="00331F7B"/>
    <w:rsid w:val="00332023"/>
    <w:rsid w:val="00332053"/>
    <w:rsid w:val="003320F2"/>
    <w:rsid w:val="00332105"/>
    <w:rsid w:val="00332129"/>
    <w:rsid w:val="00332281"/>
    <w:rsid w:val="0033239F"/>
    <w:rsid w:val="0033244B"/>
    <w:rsid w:val="003324D1"/>
    <w:rsid w:val="003324E8"/>
    <w:rsid w:val="0033251F"/>
    <w:rsid w:val="003325CD"/>
    <w:rsid w:val="00332644"/>
    <w:rsid w:val="003327AD"/>
    <w:rsid w:val="0033293A"/>
    <w:rsid w:val="0033298B"/>
    <w:rsid w:val="003329B3"/>
    <w:rsid w:val="00332ABF"/>
    <w:rsid w:val="00332BB5"/>
    <w:rsid w:val="00332C35"/>
    <w:rsid w:val="00332C39"/>
    <w:rsid w:val="00332C41"/>
    <w:rsid w:val="00332CC4"/>
    <w:rsid w:val="00332D36"/>
    <w:rsid w:val="00332D60"/>
    <w:rsid w:val="00332D89"/>
    <w:rsid w:val="00332D91"/>
    <w:rsid w:val="00332DA3"/>
    <w:rsid w:val="00332E0A"/>
    <w:rsid w:val="00332EBA"/>
    <w:rsid w:val="00332F89"/>
    <w:rsid w:val="00332FC5"/>
    <w:rsid w:val="00333048"/>
    <w:rsid w:val="003330BE"/>
    <w:rsid w:val="003330E4"/>
    <w:rsid w:val="003330F6"/>
    <w:rsid w:val="0033317C"/>
    <w:rsid w:val="003331F8"/>
    <w:rsid w:val="00333220"/>
    <w:rsid w:val="00333226"/>
    <w:rsid w:val="00333270"/>
    <w:rsid w:val="00333276"/>
    <w:rsid w:val="0033330C"/>
    <w:rsid w:val="00333347"/>
    <w:rsid w:val="00333385"/>
    <w:rsid w:val="0033338B"/>
    <w:rsid w:val="003333E7"/>
    <w:rsid w:val="00333416"/>
    <w:rsid w:val="0033355B"/>
    <w:rsid w:val="0033357B"/>
    <w:rsid w:val="0033358C"/>
    <w:rsid w:val="003335FF"/>
    <w:rsid w:val="003336C2"/>
    <w:rsid w:val="0033373A"/>
    <w:rsid w:val="00333782"/>
    <w:rsid w:val="003337F8"/>
    <w:rsid w:val="0033389D"/>
    <w:rsid w:val="00333A65"/>
    <w:rsid w:val="00333BB7"/>
    <w:rsid w:val="00333C6B"/>
    <w:rsid w:val="00333CA2"/>
    <w:rsid w:val="00333E16"/>
    <w:rsid w:val="00333E3C"/>
    <w:rsid w:val="00333E7C"/>
    <w:rsid w:val="00333E8F"/>
    <w:rsid w:val="00333F65"/>
    <w:rsid w:val="00333FA6"/>
    <w:rsid w:val="00333FB3"/>
    <w:rsid w:val="0033404D"/>
    <w:rsid w:val="00334051"/>
    <w:rsid w:val="00334123"/>
    <w:rsid w:val="00334140"/>
    <w:rsid w:val="00334143"/>
    <w:rsid w:val="003341A3"/>
    <w:rsid w:val="0033422E"/>
    <w:rsid w:val="00334231"/>
    <w:rsid w:val="00334242"/>
    <w:rsid w:val="0033427D"/>
    <w:rsid w:val="003342F6"/>
    <w:rsid w:val="00334366"/>
    <w:rsid w:val="00334428"/>
    <w:rsid w:val="00334496"/>
    <w:rsid w:val="00334517"/>
    <w:rsid w:val="0033451A"/>
    <w:rsid w:val="00334526"/>
    <w:rsid w:val="0033452F"/>
    <w:rsid w:val="00334573"/>
    <w:rsid w:val="003345B4"/>
    <w:rsid w:val="00334611"/>
    <w:rsid w:val="003346A8"/>
    <w:rsid w:val="0033474F"/>
    <w:rsid w:val="00334765"/>
    <w:rsid w:val="00334788"/>
    <w:rsid w:val="003347A8"/>
    <w:rsid w:val="003348A1"/>
    <w:rsid w:val="003348C9"/>
    <w:rsid w:val="00334A28"/>
    <w:rsid w:val="00334A62"/>
    <w:rsid w:val="00334A88"/>
    <w:rsid w:val="00334AD9"/>
    <w:rsid w:val="00334B16"/>
    <w:rsid w:val="00334B33"/>
    <w:rsid w:val="00334B5C"/>
    <w:rsid w:val="00334B93"/>
    <w:rsid w:val="00334C0D"/>
    <w:rsid w:val="00334C40"/>
    <w:rsid w:val="00334D52"/>
    <w:rsid w:val="00334D7E"/>
    <w:rsid w:val="00334DDB"/>
    <w:rsid w:val="00334E01"/>
    <w:rsid w:val="00334E1D"/>
    <w:rsid w:val="00334E92"/>
    <w:rsid w:val="00334EB0"/>
    <w:rsid w:val="00334FCE"/>
    <w:rsid w:val="00334FCF"/>
    <w:rsid w:val="0033510D"/>
    <w:rsid w:val="00335148"/>
    <w:rsid w:val="0033519F"/>
    <w:rsid w:val="003351E5"/>
    <w:rsid w:val="00335245"/>
    <w:rsid w:val="00335252"/>
    <w:rsid w:val="003352CC"/>
    <w:rsid w:val="003353A4"/>
    <w:rsid w:val="003353CC"/>
    <w:rsid w:val="003353EC"/>
    <w:rsid w:val="0033546B"/>
    <w:rsid w:val="00335584"/>
    <w:rsid w:val="00335591"/>
    <w:rsid w:val="00335777"/>
    <w:rsid w:val="00335784"/>
    <w:rsid w:val="00335833"/>
    <w:rsid w:val="003359FB"/>
    <w:rsid w:val="00335A0B"/>
    <w:rsid w:val="00335A15"/>
    <w:rsid w:val="00335A59"/>
    <w:rsid w:val="00335AB9"/>
    <w:rsid w:val="00335BA7"/>
    <w:rsid w:val="00335BAB"/>
    <w:rsid w:val="00335BB4"/>
    <w:rsid w:val="00335BFD"/>
    <w:rsid w:val="00335C45"/>
    <w:rsid w:val="00335C8A"/>
    <w:rsid w:val="00335CB2"/>
    <w:rsid w:val="00335E34"/>
    <w:rsid w:val="00335E56"/>
    <w:rsid w:val="00335E5B"/>
    <w:rsid w:val="00335E7C"/>
    <w:rsid w:val="00335EE0"/>
    <w:rsid w:val="00335F31"/>
    <w:rsid w:val="00335F53"/>
    <w:rsid w:val="00335F5A"/>
    <w:rsid w:val="00336085"/>
    <w:rsid w:val="00336094"/>
    <w:rsid w:val="00336164"/>
    <w:rsid w:val="0033618E"/>
    <w:rsid w:val="00336220"/>
    <w:rsid w:val="00336278"/>
    <w:rsid w:val="00336301"/>
    <w:rsid w:val="00336316"/>
    <w:rsid w:val="00336366"/>
    <w:rsid w:val="003363B1"/>
    <w:rsid w:val="003363EE"/>
    <w:rsid w:val="00336573"/>
    <w:rsid w:val="003365A5"/>
    <w:rsid w:val="003365BF"/>
    <w:rsid w:val="00336609"/>
    <w:rsid w:val="0033661D"/>
    <w:rsid w:val="00336647"/>
    <w:rsid w:val="00336648"/>
    <w:rsid w:val="0033664C"/>
    <w:rsid w:val="0033669F"/>
    <w:rsid w:val="003366D3"/>
    <w:rsid w:val="00336709"/>
    <w:rsid w:val="003367A6"/>
    <w:rsid w:val="003367D2"/>
    <w:rsid w:val="003367D3"/>
    <w:rsid w:val="00336924"/>
    <w:rsid w:val="003369CF"/>
    <w:rsid w:val="00336A4B"/>
    <w:rsid w:val="00336A4D"/>
    <w:rsid w:val="00336B0C"/>
    <w:rsid w:val="00336B2F"/>
    <w:rsid w:val="00336CAB"/>
    <w:rsid w:val="00336D44"/>
    <w:rsid w:val="00336D86"/>
    <w:rsid w:val="00336E7F"/>
    <w:rsid w:val="00336EC8"/>
    <w:rsid w:val="00336F4D"/>
    <w:rsid w:val="00336F79"/>
    <w:rsid w:val="00336FF8"/>
    <w:rsid w:val="0033704F"/>
    <w:rsid w:val="00337061"/>
    <w:rsid w:val="0033707B"/>
    <w:rsid w:val="0033711A"/>
    <w:rsid w:val="003371A3"/>
    <w:rsid w:val="003371CD"/>
    <w:rsid w:val="003371FC"/>
    <w:rsid w:val="0033726C"/>
    <w:rsid w:val="003373EA"/>
    <w:rsid w:val="0033748A"/>
    <w:rsid w:val="00337537"/>
    <w:rsid w:val="003375AE"/>
    <w:rsid w:val="003376CB"/>
    <w:rsid w:val="003376F9"/>
    <w:rsid w:val="0033770D"/>
    <w:rsid w:val="0033777B"/>
    <w:rsid w:val="003377D9"/>
    <w:rsid w:val="00337813"/>
    <w:rsid w:val="003379A9"/>
    <w:rsid w:val="00337A0E"/>
    <w:rsid w:val="00337A6B"/>
    <w:rsid w:val="00337BD3"/>
    <w:rsid w:val="00337BE0"/>
    <w:rsid w:val="00337C2A"/>
    <w:rsid w:val="00337D16"/>
    <w:rsid w:val="00337DB8"/>
    <w:rsid w:val="00337F58"/>
    <w:rsid w:val="00337F7B"/>
    <w:rsid w:val="00340004"/>
    <w:rsid w:val="0034000F"/>
    <w:rsid w:val="00340017"/>
    <w:rsid w:val="00340059"/>
    <w:rsid w:val="0034009B"/>
    <w:rsid w:val="00340145"/>
    <w:rsid w:val="003401DC"/>
    <w:rsid w:val="003401ED"/>
    <w:rsid w:val="003402E8"/>
    <w:rsid w:val="0034035B"/>
    <w:rsid w:val="00340383"/>
    <w:rsid w:val="00340408"/>
    <w:rsid w:val="0034049B"/>
    <w:rsid w:val="003404B6"/>
    <w:rsid w:val="003404D7"/>
    <w:rsid w:val="0034051E"/>
    <w:rsid w:val="00340539"/>
    <w:rsid w:val="0034058B"/>
    <w:rsid w:val="00340610"/>
    <w:rsid w:val="00340622"/>
    <w:rsid w:val="00340651"/>
    <w:rsid w:val="00340686"/>
    <w:rsid w:val="00340744"/>
    <w:rsid w:val="003407C0"/>
    <w:rsid w:val="00340803"/>
    <w:rsid w:val="00340823"/>
    <w:rsid w:val="0034097C"/>
    <w:rsid w:val="003409C5"/>
    <w:rsid w:val="00340A21"/>
    <w:rsid w:val="00340A4A"/>
    <w:rsid w:val="00340A4B"/>
    <w:rsid w:val="00340A6F"/>
    <w:rsid w:val="00340A77"/>
    <w:rsid w:val="00340A97"/>
    <w:rsid w:val="00340B88"/>
    <w:rsid w:val="00340B9B"/>
    <w:rsid w:val="00340BF5"/>
    <w:rsid w:val="00340C2B"/>
    <w:rsid w:val="00340CB0"/>
    <w:rsid w:val="00340D97"/>
    <w:rsid w:val="00340D9B"/>
    <w:rsid w:val="00340DBE"/>
    <w:rsid w:val="00340DC3"/>
    <w:rsid w:val="00340DCA"/>
    <w:rsid w:val="00340EA8"/>
    <w:rsid w:val="00340FDB"/>
    <w:rsid w:val="0034104B"/>
    <w:rsid w:val="003410A8"/>
    <w:rsid w:val="003410B8"/>
    <w:rsid w:val="003410DD"/>
    <w:rsid w:val="0034116C"/>
    <w:rsid w:val="00341196"/>
    <w:rsid w:val="003411EA"/>
    <w:rsid w:val="00341207"/>
    <w:rsid w:val="00341233"/>
    <w:rsid w:val="0034124A"/>
    <w:rsid w:val="0034127C"/>
    <w:rsid w:val="003412A4"/>
    <w:rsid w:val="003412EB"/>
    <w:rsid w:val="00341336"/>
    <w:rsid w:val="00341351"/>
    <w:rsid w:val="00341363"/>
    <w:rsid w:val="00341378"/>
    <w:rsid w:val="003413C7"/>
    <w:rsid w:val="003414A8"/>
    <w:rsid w:val="00341538"/>
    <w:rsid w:val="0034158E"/>
    <w:rsid w:val="00341591"/>
    <w:rsid w:val="0034164C"/>
    <w:rsid w:val="00341655"/>
    <w:rsid w:val="0034165B"/>
    <w:rsid w:val="0034166C"/>
    <w:rsid w:val="00341673"/>
    <w:rsid w:val="0034167E"/>
    <w:rsid w:val="003416A1"/>
    <w:rsid w:val="003416A7"/>
    <w:rsid w:val="00341733"/>
    <w:rsid w:val="003417C7"/>
    <w:rsid w:val="0034185E"/>
    <w:rsid w:val="00341877"/>
    <w:rsid w:val="003418AF"/>
    <w:rsid w:val="003418D1"/>
    <w:rsid w:val="003418F5"/>
    <w:rsid w:val="00341901"/>
    <w:rsid w:val="00341963"/>
    <w:rsid w:val="00341970"/>
    <w:rsid w:val="00341987"/>
    <w:rsid w:val="00341AAB"/>
    <w:rsid w:val="00341AC7"/>
    <w:rsid w:val="00341AE9"/>
    <w:rsid w:val="00341B46"/>
    <w:rsid w:val="00341B7A"/>
    <w:rsid w:val="00341B97"/>
    <w:rsid w:val="00341BF9"/>
    <w:rsid w:val="00341C23"/>
    <w:rsid w:val="00341CFB"/>
    <w:rsid w:val="00341D83"/>
    <w:rsid w:val="00341D91"/>
    <w:rsid w:val="00341DD7"/>
    <w:rsid w:val="00341DED"/>
    <w:rsid w:val="00341ECD"/>
    <w:rsid w:val="00341EDA"/>
    <w:rsid w:val="00341FBD"/>
    <w:rsid w:val="0034210B"/>
    <w:rsid w:val="00342152"/>
    <w:rsid w:val="003421B8"/>
    <w:rsid w:val="003421EB"/>
    <w:rsid w:val="0034228B"/>
    <w:rsid w:val="0034229E"/>
    <w:rsid w:val="00342407"/>
    <w:rsid w:val="003424E3"/>
    <w:rsid w:val="003426C0"/>
    <w:rsid w:val="0034274D"/>
    <w:rsid w:val="0034279C"/>
    <w:rsid w:val="003427A3"/>
    <w:rsid w:val="00342805"/>
    <w:rsid w:val="0034280A"/>
    <w:rsid w:val="00342846"/>
    <w:rsid w:val="003428B8"/>
    <w:rsid w:val="003428E5"/>
    <w:rsid w:val="003428E9"/>
    <w:rsid w:val="00342913"/>
    <w:rsid w:val="00342968"/>
    <w:rsid w:val="00342A05"/>
    <w:rsid w:val="00342A87"/>
    <w:rsid w:val="00342AAD"/>
    <w:rsid w:val="00342B77"/>
    <w:rsid w:val="00342B99"/>
    <w:rsid w:val="00342D12"/>
    <w:rsid w:val="00342D41"/>
    <w:rsid w:val="00342D42"/>
    <w:rsid w:val="00342DA8"/>
    <w:rsid w:val="00342E27"/>
    <w:rsid w:val="00342F52"/>
    <w:rsid w:val="00342F6E"/>
    <w:rsid w:val="00342F8A"/>
    <w:rsid w:val="00343020"/>
    <w:rsid w:val="00343026"/>
    <w:rsid w:val="00343054"/>
    <w:rsid w:val="003430C8"/>
    <w:rsid w:val="00343253"/>
    <w:rsid w:val="0034325C"/>
    <w:rsid w:val="00343298"/>
    <w:rsid w:val="003432A5"/>
    <w:rsid w:val="003432C5"/>
    <w:rsid w:val="00343328"/>
    <w:rsid w:val="00343382"/>
    <w:rsid w:val="003433C4"/>
    <w:rsid w:val="0034351E"/>
    <w:rsid w:val="00343669"/>
    <w:rsid w:val="00343682"/>
    <w:rsid w:val="003436D4"/>
    <w:rsid w:val="003436EB"/>
    <w:rsid w:val="003437DE"/>
    <w:rsid w:val="00343860"/>
    <w:rsid w:val="00343894"/>
    <w:rsid w:val="003438DC"/>
    <w:rsid w:val="0034391E"/>
    <w:rsid w:val="00343957"/>
    <w:rsid w:val="003439D8"/>
    <w:rsid w:val="00343A12"/>
    <w:rsid w:val="00343A14"/>
    <w:rsid w:val="00343A1B"/>
    <w:rsid w:val="00343A47"/>
    <w:rsid w:val="00343A69"/>
    <w:rsid w:val="00343A7A"/>
    <w:rsid w:val="00343AF0"/>
    <w:rsid w:val="00343B84"/>
    <w:rsid w:val="00343BED"/>
    <w:rsid w:val="00343C67"/>
    <w:rsid w:val="00343C83"/>
    <w:rsid w:val="00343CD6"/>
    <w:rsid w:val="00343DEB"/>
    <w:rsid w:val="00343EF0"/>
    <w:rsid w:val="00343F26"/>
    <w:rsid w:val="00343F9C"/>
    <w:rsid w:val="00343FEA"/>
    <w:rsid w:val="0034404B"/>
    <w:rsid w:val="0034406B"/>
    <w:rsid w:val="00344099"/>
    <w:rsid w:val="003440DE"/>
    <w:rsid w:val="003440F1"/>
    <w:rsid w:val="0034415A"/>
    <w:rsid w:val="00344169"/>
    <w:rsid w:val="003441F3"/>
    <w:rsid w:val="003441FE"/>
    <w:rsid w:val="00344218"/>
    <w:rsid w:val="00344285"/>
    <w:rsid w:val="00344383"/>
    <w:rsid w:val="0034438B"/>
    <w:rsid w:val="003443BB"/>
    <w:rsid w:val="003443D6"/>
    <w:rsid w:val="0034449E"/>
    <w:rsid w:val="003444BB"/>
    <w:rsid w:val="0034452C"/>
    <w:rsid w:val="0034454B"/>
    <w:rsid w:val="00344587"/>
    <w:rsid w:val="0034465D"/>
    <w:rsid w:val="0034475D"/>
    <w:rsid w:val="003447EC"/>
    <w:rsid w:val="00344801"/>
    <w:rsid w:val="00344869"/>
    <w:rsid w:val="003448D2"/>
    <w:rsid w:val="003449FA"/>
    <w:rsid w:val="00344A8F"/>
    <w:rsid w:val="00344ADC"/>
    <w:rsid w:val="00344AE5"/>
    <w:rsid w:val="00344B3B"/>
    <w:rsid w:val="00344B3D"/>
    <w:rsid w:val="00344B59"/>
    <w:rsid w:val="00344CE7"/>
    <w:rsid w:val="00344D0B"/>
    <w:rsid w:val="00344DE0"/>
    <w:rsid w:val="00344E59"/>
    <w:rsid w:val="00344E7D"/>
    <w:rsid w:val="00344ED1"/>
    <w:rsid w:val="00344FD2"/>
    <w:rsid w:val="00344FD8"/>
    <w:rsid w:val="00344FF7"/>
    <w:rsid w:val="0034503C"/>
    <w:rsid w:val="00345057"/>
    <w:rsid w:val="00345073"/>
    <w:rsid w:val="003450B5"/>
    <w:rsid w:val="00345176"/>
    <w:rsid w:val="00345188"/>
    <w:rsid w:val="00345207"/>
    <w:rsid w:val="00345229"/>
    <w:rsid w:val="00345234"/>
    <w:rsid w:val="0034525D"/>
    <w:rsid w:val="0034525E"/>
    <w:rsid w:val="00345273"/>
    <w:rsid w:val="00345276"/>
    <w:rsid w:val="00345278"/>
    <w:rsid w:val="00345320"/>
    <w:rsid w:val="003453C3"/>
    <w:rsid w:val="003454A9"/>
    <w:rsid w:val="003454DA"/>
    <w:rsid w:val="0034551C"/>
    <w:rsid w:val="003455A5"/>
    <w:rsid w:val="003456AB"/>
    <w:rsid w:val="0034577D"/>
    <w:rsid w:val="003457BF"/>
    <w:rsid w:val="00345802"/>
    <w:rsid w:val="0034582A"/>
    <w:rsid w:val="00345860"/>
    <w:rsid w:val="003458C5"/>
    <w:rsid w:val="00345944"/>
    <w:rsid w:val="0034599D"/>
    <w:rsid w:val="003459E1"/>
    <w:rsid w:val="00345B18"/>
    <w:rsid w:val="00345B2C"/>
    <w:rsid w:val="00345B86"/>
    <w:rsid w:val="00345BE4"/>
    <w:rsid w:val="00345C7B"/>
    <w:rsid w:val="00345D70"/>
    <w:rsid w:val="00345D8E"/>
    <w:rsid w:val="00345D9D"/>
    <w:rsid w:val="00345DF4"/>
    <w:rsid w:val="00345E84"/>
    <w:rsid w:val="00345F58"/>
    <w:rsid w:val="00345F6E"/>
    <w:rsid w:val="00345FAB"/>
    <w:rsid w:val="00345FEB"/>
    <w:rsid w:val="00346054"/>
    <w:rsid w:val="00346080"/>
    <w:rsid w:val="0034608D"/>
    <w:rsid w:val="003460DC"/>
    <w:rsid w:val="00346192"/>
    <w:rsid w:val="003461E8"/>
    <w:rsid w:val="003461F7"/>
    <w:rsid w:val="0034628B"/>
    <w:rsid w:val="003462C7"/>
    <w:rsid w:val="00346322"/>
    <w:rsid w:val="00346349"/>
    <w:rsid w:val="0034638A"/>
    <w:rsid w:val="00346573"/>
    <w:rsid w:val="00346591"/>
    <w:rsid w:val="00346596"/>
    <w:rsid w:val="003466EF"/>
    <w:rsid w:val="00346712"/>
    <w:rsid w:val="0034673B"/>
    <w:rsid w:val="003467B0"/>
    <w:rsid w:val="0034680A"/>
    <w:rsid w:val="00346892"/>
    <w:rsid w:val="003468AD"/>
    <w:rsid w:val="003468CD"/>
    <w:rsid w:val="003469B9"/>
    <w:rsid w:val="003469E9"/>
    <w:rsid w:val="00346A73"/>
    <w:rsid w:val="00346A8A"/>
    <w:rsid w:val="00346AFD"/>
    <w:rsid w:val="00346B5B"/>
    <w:rsid w:val="00346B60"/>
    <w:rsid w:val="00346BA4"/>
    <w:rsid w:val="00346BAA"/>
    <w:rsid w:val="00346BB7"/>
    <w:rsid w:val="00346C76"/>
    <w:rsid w:val="00346CED"/>
    <w:rsid w:val="00346D29"/>
    <w:rsid w:val="00346D30"/>
    <w:rsid w:val="00346E3D"/>
    <w:rsid w:val="00346E46"/>
    <w:rsid w:val="00346E75"/>
    <w:rsid w:val="00346E78"/>
    <w:rsid w:val="00346EE0"/>
    <w:rsid w:val="00346F14"/>
    <w:rsid w:val="00346F1B"/>
    <w:rsid w:val="00346F91"/>
    <w:rsid w:val="00346FC8"/>
    <w:rsid w:val="00347021"/>
    <w:rsid w:val="00347071"/>
    <w:rsid w:val="0034710F"/>
    <w:rsid w:val="0034715D"/>
    <w:rsid w:val="00347167"/>
    <w:rsid w:val="00347180"/>
    <w:rsid w:val="00347243"/>
    <w:rsid w:val="00347369"/>
    <w:rsid w:val="0034741E"/>
    <w:rsid w:val="00347433"/>
    <w:rsid w:val="00347494"/>
    <w:rsid w:val="00347588"/>
    <w:rsid w:val="00347668"/>
    <w:rsid w:val="003476A5"/>
    <w:rsid w:val="0034774A"/>
    <w:rsid w:val="00347750"/>
    <w:rsid w:val="0034775E"/>
    <w:rsid w:val="0034777B"/>
    <w:rsid w:val="003477FF"/>
    <w:rsid w:val="00347825"/>
    <w:rsid w:val="00347878"/>
    <w:rsid w:val="003478C8"/>
    <w:rsid w:val="003478F1"/>
    <w:rsid w:val="003478FF"/>
    <w:rsid w:val="00347918"/>
    <w:rsid w:val="00347951"/>
    <w:rsid w:val="0034796A"/>
    <w:rsid w:val="003479A1"/>
    <w:rsid w:val="00347A55"/>
    <w:rsid w:val="00347A8A"/>
    <w:rsid w:val="00347B23"/>
    <w:rsid w:val="00347B81"/>
    <w:rsid w:val="00347B8C"/>
    <w:rsid w:val="00347BFA"/>
    <w:rsid w:val="00347C96"/>
    <w:rsid w:val="00347CB2"/>
    <w:rsid w:val="00347CD8"/>
    <w:rsid w:val="00347D4C"/>
    <w:rsid w:val="00347DD5"/>
    <w:rsid w:val="00347E94"/>
    <w:rsid w:val="00347F1A"/>
    <w:rsid w:val="00350039"/>
    <w:rsid w:val="00350049"/>
    <w:rsid w:val="0035027E"/>
    <w:rsid w:val="0035028A"/>
    <w:rsid w:val="003502A7"/>
    <w:rsid w:val="003502BA"/>
    <w:rsid w:val="003502D8"/>
    <w:rsid w:val="00350333"/>
    <w:rsid w:val="00350352"/>
    <w:rsid w:val="00350402"/>
    <w:rsid w:val="00350417"/>
    <w:rsid w:val="00350481"/>
    <w:rsid w:val="003504E3"/>
    <w:rsid w:val="003504EE"/>
    <w:rsid w:val="003505BF"/>
    <w:rsid w:val="0035061E"/>
    <w:rsid w:val="003506A0"/>
    <w:rsid w:val="003506E3"/>
    <w:rsid w:val="0035072A"/>
    <w:rsid w:val="003507AA"/>
    <w:rsid w:val="003507E1"/>
    <w:rsid w:val="003508A0"/>
    <w:rsid w:val="003508B2"/>
    <w:rsid w:val="00350975"/>
    <w:rsid w:val="00350A5D"/>
    <w:rsid w:val="00350AB6"/>
    <w:rsid w:val="00350AC1"/>
    <w:rsid w:val="00350B4F"/>
    <w:rsid w:val="00350B84"/>
    <w:rsid w:val="00350B91"/>
    <w:rsid w:val="00350C02"/>
    <w:rsid w:val="00350C81"/>
    <w:rsid w:val="00350DB8"/>
    <w:rsid w:val="00350DC1"/>
    <w:rsid w:val="00350E77"/>
    <w:rsid w:val="00350EC5"/>
    <w:rsid w:val="00350EEE"/>
    <w:rsid w:val="00350F38"/>
    <w:rsid w:val="00350FDB"/>
    <w:rsid w:val="00350FE4"/>
    <w:rsid w:val="0035101E"/>
    <w:rsid w:val="003510A6"/>
    <w:rsid w:val="00351108"/>
    <w:rsid w:val="00351126"/>
    <w:rsid w:val="00351136"/>
    <w:rsid w:val="00351174"/>
    <w:rsid w:val="0035135E"/>
    <w:rsid w:val="003514F3"/>
    <w:rsid w:val="003515F7"/>
    <w:rsid w:val="003516D1"/>
    <w:rsid w:val="00351725"/>
    <w:rsid w:val="00351736"/>
    <w:rsid w:val="00351745"/>
    <w:rsid w:val="003517F9"/>
    <w:rsid w:val="00351800"/>
    <w:rsid w:val="00351805"/>
    <w:rsid w:val="003518AE"/>
    <w:rsid w:val="003518D8"/>
    <w:rsid w:val="003518F0"/>
    <w:rsid w:val="0035192D"/>
    <w:rsid w:val="00351A48"/>
    <w:rsid w:val="00351A7C"/>
    <w:rsid w:val="00351A82"/>
    <w:rsid w:val="00351AB9"/>
    <w:rsid w:val="00351AC6"/>
    <w:rsid w:val="00351ADF"/>
    <w:rsid w:val="00351AFE"/>
    <w:rsid w:val="00351B52"/>
    <w:rsid w:val="00351D1E"/>
    <w:rsid w:val="00351DB6"/>
    <w:rsid w:val="00351DBD"/>
    <w:rsid w:val="00351E24"/>
    <w:rsid w:val="00351E57"/>
    <w:rsid w:val="00351E95"/>
    <w:rsid w:val="00351E98"/>
    <w:rsid w:val="00351EB8"/>
    <w:rsid w:val="00351ED6"/>
    <w:rsid w:val="00351F02"/>
    <w:rsid w:val="00351FAB"/>
    <w:rsid w:val="00351FD0"/>
    <w:rsid w:val="00351FD4"/>
    <w:rsid w:val="00351FF7"/>
    <w:rsid w:val="00352049"/>
    <w:rsid w:val="00352086"/>
    <w:rsid w:val="0035208E"/>
    <w:rsid w:val="003520FA"/>
    <w:rsid w:val="00352105"/>
    <w:rsid w:val="00352162"/>
    <w:rsid w:val="003521AB"/>
    <w:rsid w:val="003521C0"/>
    <w:rsid w:val="003521EE"/>
    <w:rsid w:val="00352228"/>
    <w:rsid w:val="003522E2"/>
    <w:rsid w:val="003522E4"/>
    <w:rsid w:val="00352438"/>
    <w:rsid w:val="0035246E"/>
    <w:rsid w:val="003524C7"/>
    <w:rsid w:val="003524FB"/>
    <w:rsid w:val="003525BC"/>
    <w:rsid w:val="003525DD"/>
    <w:rsid w:val="0035260F"/>
    <w:rsid w:val="00352780"/>
    <w:rsid w:val="003528E5"/>
    <w:rsid w:val="003528EC"/>
    <w:rsid w:val="003528F4"/>
    <w:rsid w:val="0035291D"/>
    <w:rsid w:val="00352A31"/>
    <w:rsid w:val="00352B65"/>
    <w:rsid w:val="00352B80"/>
    <w:rsid w:val="00352B81"/>
    <w:rsid w:val="00352C36"/>
    <w:rsid w:val="00352C64"/>
    <w:rsid w:val="00352CD8"/>
    <w:rsid w:val="00352D21"/>
    <w:rsid w:val="00352D69"/>
    <w:rsid w:val="00352D9F"/>
    <w:rsid w:val="00352DEE"/>
    <w:rsid w:val="00352EFA"/>
    <w:rsid w:val="00352F18"/>
    <w:rsid w:val="00352F9E"/>
    <w:rsid w:val="00352FA8"/>
    <w:rsid w:val="00353032"/>
    <w:rsid w:val="00353099"/>
    <w:rsid w:val="003530C8"/>
    <w:rsid w:val="00353169"/>
    <w:rsid w:val="0035318A"/>
    <w:rsid w:val="003531C4"/>
    <w:rsid w:val="00353359"/>
    <w:rsid w:val="0035335C"/>
    <w:rsid w:val="00353386"/>
    <w:rsid w:val="0035344F"/>
    <w:rsid w:val="0035345A"/>
    <w:rsid w:val="0035348A"/>
    <w:rsid w:val="003534FC"/>
    <w:rsid w:val="0035355E"/>
    <w:rsid w:val="0035363C"/>
    <w:rsid w:val="00353808"/>
    <w:rsid w:val="0035382D"/>
    <w:rsid w:val="00353979"/>
    <w:rsid w:val="0035397F"/>
    <w:rsid w:val="00353A0C"/>
    <w:rsid w:val="00353A3D"/>
    <w:rsid w:val="00353A5C"/>
    <w:rsid w:val="00353B61"/>
    <w:rsid w:val="00353B66"/>
    <w:rsid w:val="00353D2A"/>
    <w:rsid w:val="00354034"/>
    <w:rsid w:val="00354110"/>
    <w:rsid w:val="0035417E"/>
    <w:rsid w:val="0035422B"/>
    <w:rsid w:val="003542AA"/>
    <w:rsid w:val="003542B1"/>
    <w:rsid w:val="003542D3"/>
    <w:rsid w:val="00354379"/>
    <w:rsid w:val="003543F4"/>
    <w:rsid w:val="00354424"/>
    <w:rsid w:val="00354464"/>
    <w:rsid w:val="00354604"/>
    <w:rsid w:val="0035460F"/>
    <w:rsid w:val="003546C2"/>
    <w:rsid w:val="00354733"/>
    <w:rsid w:val="00354792"/>
    <w:rsid w:val="00354821"/>
    <w:rsid w:val="003548A8"/>
    <w:rsid w:val="003548AA"/>
    <w:rsid w:val="0035491A"/>
    <w:rsid w:val="00354962"/>
    <w:rsid w:val="00354A74"/>
    <w:rsid w:val="00354BB2"/>
    <w:rsid w:val="00354C1D"/>
    <w:rsid w:val="00354D02"/>
    <w:rsid w:val="00354E50"/>
    <w:rsid w:val="00354EA0"/>
    <w:rsid w:val="00354EDE"/>
    <w:rsid w:val="00354F2E"/>
    <w:rsid w:val="00354F39"/>
    <w:rsid w:val="00354F4A"/>
    <w:rsid w:val="00355017"/>
    <w:rsid w:val="00355019"/>
    <w:rsid w:val="003551CB"/>
    <w:rsid w:val="0035523D"/>
    <w:rsid w:val="00355336"/>
    <w:rsid w:val="00355339"/>
    <w:rsid w:val="003553A2"/>
    <w:rsid w:val="003553FA"/>
    <w:rsid w:val="00355458"/>
    <w:rsid w:val="00355479"/>
    <w:rsid w:val="00355485"/>
    <w:rsid w:val="003554B1"/>
    <w:rsid w:val="00355502"/>
    <w:rsid w:val="0035551E"/>
    <w:rsid w:val="0035558D"/>
    <w:rsid w:val="0035564A"/>
    <w:rsid w:val="003556A0"/>
    <w:rsid w:val="00355859"/>
    <w:rsid w:val="00355929"/>
    <w:rsid w:val="00355A09"/>
    <w:rsid w:val="00355B3C"/>
    <w:rsid w:val="00355B77"/>
    <w:rsid w:val="00355BDE"/>
    <w:rsid w:val="00355C7E"/>
    <w:rsid w:val="00355D0F"/>
    <w:rsid w:val="00355D4B"/>
    <w:rsid w:val="00355D58"/>
    <w:rsid w:val="00355DAA"/>
    <w:rsid w:val="00355E28"/>
    <w:rsid w:val="00355EE8"/>
    <w:rsid w:val="00355F82"/>
    <w:rsid w:val="00355F9E"/>
    <w:rsid w:val="003560A3"/>
    <w:rsid w:val="003561C1"/>
    <w:rsid w:val="003561F1"/>
    <w:rsid w:val="00356258"/>
    <w:rsid w:val="0035627E"/>
    <w:rsid w:val="00356281"/>
    <w:rsid w:val="00356282"/>
    <w:rsid w:val="00356287"/>
    <w:rsid w:val="0035628E"/>
    <w:rsid w:val="00356294"/>
    <w:rsid w:val="003562E1"/>
    <w:rsid w:val="00356323"/>
    <w:rsid w:val="00356369"/>
    <w:rsid w:val="00356383"/>
    <w:rsid w:val="00356388"/>
    <w:rsid w:val="0035644A"/>
    <w:rsid w:val="003564F7"/>
    <w:rsid w:val="0035654E"/>
    <w:rsid w:val="00356551"/>
    <w:rsid w:val="003565C1"/>
    <w:rsid w:val="003566F1"/>
    <w:rsid w:val="003567CD"/>
    <w:rsid w:val="00356862"/>
    <w:rsid w:val="003568FA"/>
    <w:rsid w:val="00356940"/>
    <w:rsid w:val="003569DF"/>
    <w:rsid w:val="00356A32"/>
    <w:rsid w:val="00356A4C"/>
    <w:rsid w:val="00356AC4"/>
    <w:rsid w:val="00356B3D"/>
    <w:rsid w:val="00356B3F"/>
    <w:rsid w:val="00356B47"/>
    <w:rsid w:val="00356BAA"/>
    <w:rsid w:val="00356C6E"/>
    <w:rsid w:val="00356CBF"/>
    <w:rsid w:val="00356CCE"/>
    <w:rsid w:val="00356D10"/>
    <w:rsid w:val="00356D99"/>
    <w:rsid w:val="00356DD3"/>
    <w:rsid w:val="00356EF9"/>
    <w:rsid w:val="00356F32"/>
    <w:rsid w:val="00356F75"/>
    <w:rsid w:val="00356FAD"/>
    <w:rsid w:val="00356FDA"/>
    <w:rsid w:val="003570A0"/>
    <w:rsid w:val="003570E7"/>
    <w:rsid w:val="0035716C"/>
    <w:rsid w:val="003571FA"/>
    <w:rsid w:val="00357276"/>
    <w:rsid w:val="0035728B"/>
    <w:rsid w:val="00357368"/>
    <w:rsid w:val="00357382"/>
    <w:rsid w:val="00357390"/>
    <w:rsid w:val="003573AB"/>
    <w:rsid w:val="003573CC"/>
    <w:rsid w:val="003573D6"/>
    <w:rsid w:val="0035747C"/>
    <w:rsid w:val="0035748E"/>
    <w:rsid w:val="003574C1"/>
    <w:rsid w:val="0035756C"/>
    <w:rsid w:val="00357597"/>
    <w:rsid w:val="003575DB"/>
    <w:rsid w:val="003575E0"/>
    <w:rsid w:val="003575ED"/>
    <w:rsid w:val="003575F6"/>
    <w:rsid w:val="0035762B"/>
    <w:rsid w:val="00357699"/>
    <w:rsid w:val="003576A5"/>
    <w:rsid w:val="003576D1"/>
    <w:rsid w:val="00357747"/>
    <w:rsid w:val="00357756"/>
    <w:rsid w:val="00357757"/>
    <w:rsid w:val="003578C8"/>
    <w:rsid w:val="0035791A"/>
    <w:rsid w:val="00357927"/>
    <w:rsid w:val="003579B6"/>
    <w:rsid w:val="00357AD9"/>
    <w:rsid w:val="00357B2E"/>
    <w:rsid w:val="00357B60"/>
    <w:rsid w:val="00357BCA"/>
    <w:rsid w:val="00357BEF"/>
    <w:rsid w:val="00357C36"/>
    <w:rsid w:val="00357C92"/>
    <w:rsid w:val="00357D24"/>
    <w:rsid w:val="00357DB2"/>
    <w:rsid w:val="00357DEF"/>
    <w:rsid w:val="00357DF5"/>
    <w:rsid w:val="00357E07"/>
    <w:rsid w:val="00357F5D"/>
    <w:rsid w:val="00360065"/>
    <w:rsid w:val="003600E5"/>
    <w:rsid w:val="0036015D"/>
    <w:rsid w:val="00360164"/>
    <w:rsid w:val="003601ED"/>
    <w:rsid w:val="003601F4"/>
    <w:rsid w:val="00360279"/>
    <w:rsid w:val="0036033C"/>
    <w:rsid w:val="0036037E"/>
    <w:rsid w:val="00360390"/>
    <w:rsid w:val="003603B1"/>
    <w:rsid w:val="003603C0"/>
    <w:rsid w:val="003603DB"/>
    <w:rsid w:val="0036045E"/>
    <w:rsid w:val="0036053C"/>
    <w:rsid w:val="003605AF"/>
    <w:rsid w:val="00360680"/>
    <w:rsid w:val="003606B8"/>
    <w:rsid w:val="003606C4"/>
    <w:rsid w:val="00360700"/>
    <w:rsid w:val="0036079A"/>
    <w:rsid w:val="003607A1"/>
    <w:rsid w:val="003607FE"/>
    <w:rsid w:val="00360910"/>
    <w:rsid w:val="00360A27"/>
    <w:rsid w:val="00360A29"/>
    <w:rsid w:val="00360A85"/>
    <w:rsid w:val="00360A96"/>
    <w:rsid w:val="00360ADC"/>
    <w:rsid w:val="00360B81"/>
    <w:rsid w:val="00360C12"/>
    <w:rsid w:val="00360CFA"/>
    <w:rsid w:val="00360E19"/>
    <w:rsid w:val="00360E6E"/>
    <w:rsid w:val="00360EEC"/>
    <w:rsid w:val="00360F82"/>
    <w:rsid w:val="00360FDA"/>
    <w:rsid w:val="00360FF5"/>
    <w:rsid w:val="00360FFF"/>
    <w:rsid w:val="00361009"/>
    <w:rsid w:val="00361148"/>
    <w:rsid w:val="003611AA"/>
    <w:rsid w:val="00361207"/>
    <w:rsid w:val="003612D6"/>
    <w:rsid w:val="003612F5"/>
    <w:rsid w:val="003612FE"/>
    <w:rsid w:val="00361301"/>
    <w:rsid w:val="00361439"/>
    <w:rsid w:val="0036155F"/>
    <w:rsid w:val="00361575"/>
    <w:rsid w:val="003615A5"/>
    <w:rsid w:val="003615CF"/>
    <w:rsid w:val="00361634"/>
    <w:rsid w:val="00361677"/>
    <w:rsid w:val="0036172E"/>
    <w:rsid w:val="00361764"/>
    <w:rsid w:val="003617A0"/>
    <w:rsid w:val="003617A5"/>
    <w:rsid w:val="003617B3"/>
    <w:rsid w:val="003618CA"/>
    <w:rsid w:val="00361955"/>
    <w:rsid w:val="00361A92"/>
    <w:rsid w:val="00361AC7"/>
    <w:rsid w:val="00361B41"/>
    <w:rsid w:val="00361C2C"/>
    <w:rsid w:val="00361C7F"/>
    <w:rsid w:val="00361D29"/>
    <w:rsid w:val="00361D65"/>
    <w:rsid w:val="00361D79"/>
    <w:rsid w:val="00361D80"/>
    <w:rsid w:val="00361D90"/>
    <w:rsid w:val="00361D9C"/>
    <w:rsid w:val="00361DBF"/>
    <w:rsid w:val="00361DEB"/>
    <w:rsid w:val="00361EC8"/>
    <w:rsid w:val="00361F21"/>
    <w:rsid w:val="0036200E"/>
    <w:rsid w:val="00362133"/>
    <w:rsid w:val="00362147"/>
    <w:rsid w:val="00362247"/>
    <w:rsid w:val="00362334"/>
    <w:rsid w:val="003623B1"/>
    <w:rsid w:val="00362470"/>
    <w:rsid w:val="0036247B"/>
    <w:rsid w:val="00362497"/>
    <w:rsid w:val="003624CF"/>
    <w:rsid w:val="0036257F"/>
    <w:rsid w:val="0036259A"/>
    <w:rsid w:val="003625A3"/>
    <w:rsid w:val="00362660"/>
    <w:rsid w:val="0036267E"/>
    <w:rsid w:val="00362690"/>
    <w:rsid w:val="00362729"/>
    <w:rsid w:val="00362741"/>
    <w:rsid w:val="0036279D"/>
    <w:rsid w:val="003627FE"/>
    <w:rsid w:val="00362850"/>
    <w:rsid w:val="00362897"/>
    <w:rsid w:val="00362932"/>
    <w:rsid w:val="00362982"/>
    <w:rsid w:val="003629C9"/>
    <w:rsid w:val="003629D8"/>
    <w:rsid w:val="00362A1F"/>
    <w:rsid w:val="00362A21"/>
    <w:rsid w:val="00362A45"/>
    <w:rsid w:val="00362B38"/>
    <w:rsid w:val="00362B94"/>
    <w:rsid w:val="00362B9A"/>
    <w:rsid w:val="00362C5D"/>
    <w:rsid w:val="00362C6B"/>
    <w:rsid w:val="00362DD6"/>
    <w:rsid w:val="00362E12"/>
    <w:rsid w:val="00362EAE"/>
    <w:rsid w:val="00362EB1"/>
    <w:rsid w:val="00362F20"/>
    <w:rsid w:val="00362F2C"/>
    <w:rsid w:val="00363092"/>
    <w:rsid w:val="003630F4"/>
    <w:rsid w:val="0036314B"/>
    <w:rsid w:val="00363154"/>
    <w:rsid w:val="00363183"/>
    <w:rsid w:val="003631E0"/>
    <w:rsid w:val="003632C1"/>
    <w:rsid w:val="00363377"/>
    <w:rsid w:val="003633A3"/>
    <w:rsid w:val="00363462"/>
    <w:rsid w:val="00363478"/>
    <w:rsid w:val="0036352D"/>
    <w:rsid w:val="00363782"/>
    <w:rsid w:val="00363820"/>
    <w:rsid w:val="0036386B"/>
    <w:rsid w:val="0036387B"/>
    <w:rsid w:val="003638FA"/>
    <w:rsid w:val="003638FF"/>
    <w:rsid w:val="00363915"/>
    <w:rsid w:val="00363946"/>
    <w:rsid w:val="00363955"/>
    <w:rsid w:val="00363996"/>
    <w:rsid w:val="00363A97"/>
    <w:rsid w:val="00363ABC"/>
    <w:rsid w:val="00363B0D"/>
    <w:rsid w:val="00363B10"/>
    <w:rsid w:val="00363B26"/>
    <w:rsid w:val="00363C1A"/>
    <w:rsid w:val="00363C47"/>
    <w:rsid w:val="00363C4F"/>
    <w:rsid w:val="00363E4D"/>
    <w:rsid w:val="00363E66"/>
    <w:rsid w:val="00363E95"/>
    <w:rsid w:val="00363F27"/>
    <w:rsid w:val="00363F8E"/>
    <w:rsid w:val="003641CD"/>
    <w:rsid w:val="003641D3"/>
    <w:rsid w:val="003641F2"/>
    <w:rsid w:val="00364222"/>
    <w:rsid w:val="00364250"/>
    <w:rsid w:val="0036429F"/>
    <w:rsid w:val="00364305"/>
    <w:rsid w:val="0036435D"/>
    <w:rsid w:val="00364382"/>
    <w:rsid w:val="003643CE"/>
    <w:rsid w:val="00364458"/>
    <w:rsid w:val="00364499"/>
    <w:rsid w:val="003644D1"/>
    <w:rsid w:val="003644DC"/>
    <w:rsid w:val="003645AA"/>
    <w:rsid w:val="003645CC"/>
    <w:rsid w:val="003645E5"/>
    <w:rsid w:val="00364670"/>
    <w:rsid w:val="00364739"/>
    <w:rsid w:val="0036478B"/>
    <w:rsid w:val="003647E0"/>
    <w:rsid w:val="003647FD"/>
    <w:rsid w:val="0036483B"/>
    <w:rsid w:val="003648A6"/>
    <w:rsid w:val="0036494A"/>
    <w:rsid w:val="0036497E"/>
    <w:rsid w:val="003649BF"/>
    <w:rsid w:val="00364A51"/>
    <w:rsid w:val="00364AB9"/>
    <w:rsid w:val="00364B51"/>
    <w:rsid w:val="00364B96"/>
    <w:rsid w:val="00364BBC"/>
    <w:rsid w:val="00364CD8"/>
    <w:rsid w:val="00364CDA"/>
    <w:rsid w:val="00364D49"/>
    <w:rsid w:val="00364E5D"/>
    <w:rsid w:val="00364EB9"/>
    <w:rsid w:val="00365019"/>
    <w:rsid w:val="00365057"/>
    <w:rsid w:val="00365082"/>
    <w:rsid w:val="003650D2"/>
    <w:rsid w:val="003650DE"/>
    <w:rsid w:val="003650E4"/>
    <w:rsid w:val="003650EC"/>
    <w:rsid w:val="00365184"/>
    <w:rsid w:val="003651C1"/>
    <w:rsid w:val="00365240"/>
    <w:rsid w:val="0036524C"/>
    <w:rsid w:val="003652ED"/>
    <w:rsid w:val="003653C5"/>
    <w:rsid w:val="0036545C"/>
    <w:rsid w:val="0036546A"/>
    <w:rsid w:val="0036547B"/>
    <w:rsid w:val="003654E3"/>
    <w:rsid w:val="003654EA"/>
    <w:rsid w:val="0036558E"/>
    <w:rsid w:val="00365634"/>
    <w:rsid w:val="0036563A"/>
    <w:rsid w:val="00365664"/>
    <w:rsid w:val="0036568D"/>
    <w:rsid w:val="003657C4"/>
    <w:rsid w:val="00365835"/>
    <w:rsid w:val="0036586A"/>
    <w:rsid w:val="0036587E"/>
    <w:rsid w:val="003658CB"/>
    <w:rsid w:val="0036595E"/>
    <w:rsid w:val="0036599C"/>
    <w:rsid w:val="003659CD"/>
    <w:rsid w:val="003659EB"/>
    <w:rsid w:val="00365A34"/>
    <w:rsid w:val="00365A8B"/>
    <w:rsid w:val="00365AC2"/>
    <w:rsid w:val="00365B19"/>
    <w:rsid w:val="00365B49"/>
    <w:rsid w:val="00365C73"/>
    <w:rsid w:val="00365CA6"/>
    <w:rsid w:val="00365D0B"/>
    <w:rsid w:val="00365E4B"/>
    <w:rsid w:val="00365E90"/>
    <w:rsid w:val="00365F3E"/>
    <w:rsid w:val="00365F6E"/>
    <w:rsid w:val="0036606F"/>
    <w:rsid w:val="003660A5"/>
    <w:rsid w:val="003660AC"/>
    <w:rsid w:val="003660D9"/>
    <w:rsid w:val="003660DE"/>
    <w:rsid w:val="003660FB"/>
    <w:rsid w:val="0036615B"/>
    <w:rsid w:val="0036619E"/>
    <w:rsid w:val="003661F1"/>
    <w:rsid w:val="003662D5"/>
    <w:rsid w:val="003662E1"/>
    <w:rsid w:val="0036632B"/>
    <w:rsid w:val="00366392"/>
    <w:rsid w:val="00366421"/>
    <w:rsid w:val="00366434"/>
    <w:rsid w:val="00366494"/>
    <w:rsid w:val="00366563"/>
    <w:rsid w:val="003665CC"/>
    <w:rsid w:val="0036660F"/>
    <w:rsid w:val="0036662B"/>
    <w:rsid w:val="00366698"/>
    <w:rsid w:val="003666AC"/>
    <w:rsid w:val="0036670E"/>
    <w:rsid w:val="0036671F"/>
    <w:rsid w:val="003667A3"/>
    <w:rsid w:val="003667F6"/>
    <w:rsid w:val="00366892"/>
    <w:rsid w:val="00366924"/>
    <w:rsid w:val="0036696D"/>
    <w:rsid w:val="0036699B"/>
    <w:rsid w:val="003669DB"/>
    <w:rsid w:val="00366A24"/>
    <w:rsid w:val="00366A2A"/>
    <w:rsid w:val="00366AA0"/>
    <w:rsid w:val="00366AB8"/>
    <w:rsid w:val="00366ACA"/>
    <w:rsid w:val="00366B05"/>
    <w:rsid w:val="00366BC9"/>
    <w:rsid w:val="00366C9C"/>
    <w:rsid w:val="00366D6C"/>
    <w:rsid w:val="00366D80"/>
    <w:rsid w:val="00366DB6"/>
    <w:rsid w:val="00366E62"/>
    <w:rsid w:val="00366EB7"/>
    <w:rsid w:val="00366EC3"/>
    <w:rsid w:val="00366ED0"/>
    <w:rsid w:val="00366ED2"/>
    <w:rsid w:val="00366F08"/>
    <w:rsid w:val="00366F65"/>
    <w:rsid w:val="003670A3"/>
    <w:rsid w:val="003670DA"/>
    <w:rsid w:val="0036717C"/>
    <w:rsid w:val="00367247"/>
    <w:rsid w:val="0036724E"/>
    <w:rsid w:val="00367257"/>
    <w:rsid w:val="003672BF"/>
    <w:rsid w:val="003672CC"/>
    <w:rsid w:val="00367348"/>
    <w:rsid w:val="00367354"/>
    <w:rsid w:val="003673C1"/>
    <w:rsid w:val="0036746F"/>
    <w:rsid w:val="00367504"/>
    <w:rsid w:val="00367599"/>
    <w:rsid w:val="0036759D"/>
    <w:rsid w:val="00367629"/>
    <w:rsid w:val="00367677"/>
    <w:rsid w:val="0036794B"/>
    <w:rsid w:val="00367983"/>
    <w:rsid w:val="003679F6"/>
    <w:rsid w:val="00367A49"/>
    <w:rsid w:val="00367A6D"/>
    <w:rsid w:val="00367BA3"/>
    <w:rsid w:val="00367BE1"/>
    <w:rsid w:val="00367BEE"/>
    <w:rsid w:val="00367BF0"/>
    <w:rsid w:val="00367C20"/>
    <w:rsid w:val="00367C93"/>
    <w:rsid w:val="00367D42"/>
    <w:rsid w:val="00367D51"/>
    <w:rsid w:val="00367D7B"/>
    <w:rsid w:val="00367E87"/>
    <w:rsid w:val="00367EE7"/>
    <w:rsid w:val="00367EF5"/>
    <w:rsid w:val="00367EF7"/>
    <w:rsid w:val="00367FF2"/>
    <w:rsid w:val="00370026"/>
    <w:rsid w:val="00370063"/>
    <w:rsid w:val="003700AB"/>
    <w:rsid w:val="00370184"/>
    <w:rsid w:val="003701DA"/>
    <w:rsid w:val="0037024F"/>
    <w:rsid w:val="003702DB"/>
    <w:rsid w:val="00370328"/>
    <w:rsid w:val="003703F4"/>
    <w:rsid w:val="00370448"/>
    <w:rsid w:val="003704AE"/>
    <w:rsid w:val="003704CC"/>
    <w:rsid w:val="00370505"/>
    <w:rsid w:val="00370524"/>
    <w:rsid w:val="0037057A"/>
    <w:rsid w:val="00370607"/>
    <w:rsid w:val="00370685"/>
    <w:rsid w:val="0037070C"/>
    <w:rsid w:val="003707F5"/>
    <w:rsid w:val="00370809"/>
    <w:rsid w:val="0037088C"/>
    <w:rsid w:val="0037090D"/>
    <w:rsid w:val="00370948"/>
    <w:rsid w:val="00370971"/>
    <w:rsid w:val="00370975"/>
    <w:rsid w:val="003709F4"/>
    <w:rsid w:val="00370A69"/>
    <w:rsid w:val="00370A8C"/>
    <w:rsid w:val="00370AE2"/>
    <w:rsid w:val="00370B2F"/>
    <w:rsid w:val="00370C65"/>
    <w:rsid w:val="00370C94"/>
    <w:rsid w:val="00370CB2"/>
    <w:rsid w:val="00370CC9"/>
    <w:rsid w:val="00370CD0"/>
    <w:rsid w:val="00370D27"/>
    <w:rsid w:val="00370D63"/>
    <w:rsid w:val="00370D94"/>
    <w:rsid w:val="00370F33"/>
    <w:rsid w:val="00370F52"/>
    <w:rsid w:val="00370FAD"/>
    <w:rsid w:val="00371019"/>
    <w:rsid w:val="0037103E"/>
    <w:rsid w:val="0037110A"/>
    <w:rsid w:val="0037116B"/>
    <w:rsid w:val="0037117B"/>
    <w:rsid w:val="003711A8"/>
    <w:rsid w:val="003711FE"/>
    <w:rsid w:val="003712AD"/>
    <w:rsid w:val="003712BF"/>
    <w:rsid w:val="003712CC"/>
    <w:rsid w:val="00371320"/>
    <w:rsid w:val="00371358"/>
    <w:rsid w:val="00371433"/>
    <w:rsid w:val="00371450"/>
    <w:rsid w:val="003714AF"/>
    <w:rsid w:val="00371508"/>
    <w:rsid w:val="00371565"/>
    <w:rsid w:val="00371595"/>
    <w:rsid w:val="003715AA"/>
    <w:rsid w:val="0037167D"/>
    <w:rsid w:val="003716C5"/>
    <w:rsid w:val="00371729"/>
    <w:rsid w:val="003717C3"/>
    <w:rsid w:val="00371858"/>
    <w:rsid w:val="00371953"/>
    <w:rsid w:val="0037197B"/>
    <w:rsid w:val="003719E1"/>
    <w:rsid w:val="00371A5D"/>
    <w:rsid w:val="00371A64"/>
    <w:rsid w:val="00371A78"/>
    <w:rsid w:val="00371AA7"/>
    <w:rsid w:val="00371AB5"/>
    <w:rsid w:val="00371ADB"/>
    <w:rsid w:val="00371B19"/>
    <w:rsid w:val="00371B35"/>
    <w:rsid w:val="00371C0C"/>
    <w:rsid w:val="00371C59"/>
    <w:rsid w:val="00371C8C"/>
    <w:rsid w:val="00371D65"/>
    <w:rsid w:val="00371D8F"/>
    <w:rsid w:val="00371E2B"/>
    <w:rsid w:val="00371E60"/>
    <w:rsid w:val="00371E71"/>
    <w:rsid w:val="00371E7E"/>
    <w:rsid w:val="00371F7F"/>
    <w:rsid w:val="0037216A"/>
    <w:rsid w:val="00372198"/>
    <w:rsid w:val="003721BE"/>
    <w:rsid w:val="003721D4"/>
    <w:rsid w:val="003722C8"/>
    <w:rsid w:val="003722FE"/>
    <w:rsid w:val="00372387"/>
    <w:rsid w:val="0037238A"/>
    <w:rsid w:val="003723EE"/>
    <w:rsid w:val="00372417"/>
    <w:rsid w:val="00372479"/>
    <w:rsid w:val="003724DD"/>
    <w:rsid w:val="0037250A"/>
    <w:rsid w:val="00372571"/>
    <w:rsid w:val="00372594"/>
    <w:rsid w:val="003725EF"/>
    <w:rsid w:val="003725F0"/>
    <w:rsid w:val="003726EC"/>
    <w:rsid w:val="0037273B"/>
    <w:rsid w:val="003727DD"/>
    <w:rsid w:val="003727EB"/>
    <w:rsid w:val="003727F0"/>
    <w:rsid w:val="003727F4"/>
    <w:rsid w:val="003728CB"/>
    <w:rsid w:val="00372941"/>
    <w:rsid w:val="0037297C"/>
    <w:rsid w:val="00372A24"/>
    <w:rsid w:val="00372A3A"/>
    <w:rsid w:val="00372A4C"/>
    <w:rsid w:val="00372AC9"/>
    <w:rsid w:val="00372B4C"/>
    <w:rsid w:val="00372B81"/>
    <w:rsid w:val="00372BF2"/>
    <w:rsid w:val="00372BFA"/>
    <w:rsid w:val="00372C76"/>
    <w:rsid w:val="00372CA9"/>
    <w:rsid w:val="00372CEE"/>
    <w:rsid w:val="00372CF9"/>
    <w:rsid w:val="00372D00"/>
    <w:rsid w:val="00372D02"/>
    <w:rsid w:val="00372D2B"/>
    <w:rsid w:val="00372D5B"/>
    <w:rsid w:val="00372D8B"/>
    <w:rsid w:val="00372DAE"/>
    <w:rsid w:val="00372DC4"/>
    <w:rsid w:val="00372E42"/>
    <w:rsid w:val="00372E46"/>
    <w:rsid w:val="00372E8A"/>
    <w:rsid w:val="00372EF7"/>
    <w:rsid w:val="00372F33"/>
    <w:rsid w:val="00372F74"/>
    <w:rsid w:val="00372F92"/>
    <w:rsid w:val="00372F9A"/>
    <w:rsid w:val="00372FAC"/>
    <w:rsid w:val="00372FBD"/>
    <w:rsid w:val="00373016"/>
    <w:rsid w:val="00373057"/>
    <w:rsid w:val="00373220"/>
    <w:rsid w:val="00373266"/>
    <w:rsid w:val="003732BB"/>
    <w:rsid w:val="0037331F"/>
    <w:rsid w:val="00373364"/>
    <w:rsid w:val="003733B6"/>
    <w:rsid w:val="003733D5"/>
    <w:rsid w:val="00373413"/>
    <w:rsid w:val="00373469"/>
    <w:rsid w:val="003734D3"/>
    <w:rsid w:val="003734E2"/>
    <w:rsid w:val="003734E4"/>
    <w:rsid w:val="003735C4"/>
    <w:rsid w:val="003736E6"/>
    <w:rsid w:val="00373745"/>
    <w:rsid w:val="0037378C"/>
    <w:rsid w:val="003737AF"/>
    <w:rsid w:val="003738A3"/>
    <w:rsid w:val="00373901"/>
    <w:rsid w:val="00373936"/>
    <w:rsid w:val="0037396D"/>
    <w:rsid w:val="00373A46"/>
    <w:rsid w:val="00373B13"/>
    <w:rsid w:val="00373B24"/>
    <w:rsid w:val="00373CF9"/>
    <w:rsid w:val="00373E0B"/>
    <w:rsid w:val="00373E74"/>
    <w:rsid w:val="00373EAE"/>
    <w:rsid w:val="00373EC4"/>
    <w:rsid w:val="00373F30"/>
    <w:rsid w:val="00373F4A"/>
    <w:rsid w:val="00373F73"/>
    <w:rsid w:val="00373F82"/>
    <w:rsid w:val="00373FBA"/>
    <w:rsid w:val="00374018"/>
    <w:rsid w:val="0037402B"/>
    <w:rsid w:val="0037403A"/>
    <w:rsid w:val="003740E1"/>
    <w:rsid w:val="00374101"/>
    <w:rsid w:val="0037419F"/>
    <w:rsid w:val="003741A2"/>
    <w:rsid w:val="00374274"/>
    <w:rsid w:val="00374324"/>
    <w:rsid w:val="0037434F"/>
    <w:rsid w:val="00374353"/>
    <w:rsid w:val="00374557"/>
    <w:rsid w:val="003745C7"/>
    <w:rsid w:val="00374663"/>
    <w:rsid w:val="00374686"/>
    <w:rsid w:val="003746C8"/>
    <w:rsid w:val="003746F5"/>
    <w:rsid w:val="0037474A"/>
    <w:rsid w:val="0037479E"/>
    <w:rsid w:val="003748E6"/>
    <w:rsid w:val="003748F5"/>
    <w:rsid w:val="0037495C"/>
    <w:rsid w:val="0037497C"/>
    <w:rsid w:val="00374A1F"/>
    <w:rsid w:val="00374AEA"/>
    <w:rsid w:val="00374B1B"/>
    <w:rsid w:val="00374B2A"/>
    <w:rsid w:val="00374C2E"/>
    <w:rsid w:val="00374C48"/>
    <w:rsid w:val="00374CD0"/>
    <w:rsid w:val="00374D3F"/>
    <w:rsid w:val="00374DB8"/>
    <w:rsid w:val="00374DE6"/>
    <w:rsid w:val="00374E2E"/>
    <w:rsid w:val="00374E86"/>
    <w:rsid w:val="00374E8D"/>
    <w:rsid w:val="0037500F"/>
    <w:rsid w:val="00375092"/>
    <w:rsid w:val="003750BD"/>
    <w:rsid w:val="003750FD"/>
    <w:rsid w:val="00375118"/>
    <w:rsid w:val="0037517B"/>
    <w:rsid w:val="00375189"/>
    <w:rsid w:val="003751CA"/>
    <w:rsid w:val="003751F0"/>
    <w:rsid w:val="00375298"/>
    <w:rsid w:val="003752D6"/>
    <w:rsid w:val="003752DE"/>
    <w:rsid w:val="003753A9"/>
    <w:rsid w:val="003753D1"/>
    <w:rsid w:val="003754BC"/>
    <w:rsid w:val="003754E1"/>
    <w:rsid w:val="00375551"/>
    <w:rsid w:val="003755DF"/>
    <w:rsid w:val="003755F9"/>
    <w:rsid w:val="0037564E"/>
    <w:rsid w:val="00375708"/>
    <w:rsid w:val="0037571A"/>
    <w:rsid w:val="00375746"/>
    <w:rsid w:val="00375763"/>
    <w:rsid w:val="00375794"/>
    <w:rsid w:val="003757DF"/>
    <w:rsid w:val="00375826"/>
    <w:rsid w:val="0037588A"/>
    <w:rsid w:val="0037592B"/>
    <w:rsid w:val="00375931"/>
    <w:rsid w:val="00375947"/>
    <w:rsid w:val="00375964"/>
    <w:rsid w:val="00375975"/>
    <w:rsid w:val="003759B0"/>
    <w:rsid w:val="003759CC"/>
    <w:rsid w:val="00375A22"/>
    <w:rsid w:val="00375A67"/>
    <w:rsid w:val="00375A96"/>
    <w:rsid w:val="00375B57"/>
    <w:rsid w:val="00375B9B"/>
    <w:rsid w:val="00375C16"/>
    <w:rsid w:val="00375C45"/>
    <w:rsid w:val="00375D15"/>
    <w:rsid w:val="00375D3E"/>
    <w:rsid w:val="00375D96"/>
    <w:rsid w:val="00375DFD"/>
    <w:rsid w:val="00375E54"/>
    <w:rsid w:val="00375EAE"/>
    <w:rsid w:val="00375ED0"/>
    <w:rsid w:val="00375F14"/>
    <w:rsid w:val="00375F15"/>
    <w:rsid w:val="00375FD6"/>
    <w:rsid w:val="0037604C"/>
    <w:rsid w:val="0037607E"/>
    <w:rsid w:val="00376081"/>
    <w:rsid w:val="0037622F"/>
    <w:rsid w:val="00376416"/>
    <w:rsid w:val="00376417"/>
    <w:rsid w:val="00376458"/>
    <w:rsid w:val="0037652B"/>
    <w:rsid w:val="0037659B"/>
    <w:rsid w:val="003766B2"/>
    <w:rsid w:val="00376708"/>
    <w:rsid w:val="00376731"/>
    <w:rsid w:val="00376735"/>
    <w:rsid w:val="003767EE"/>
    <w:rsid w:val="003767F1"/>
    <w:rsid w:val="003767F2"/>
    <w:rsid w:val="003767F5"/>
    <w:rsid w:val="0037680E"/>
    <w:rsid w:val="00376814"/>
    <w:rsid w:val="00376910"/>
    <w:rsid w:val="003769B8"/>
    <w:rsid w:val="00376A56"/>
    <w:rsid w:val="00376AAF"/>
    <w:rsid w:val="00376B3F"/>
    <w:rsid w:val="00376B5E"/>
    <w:rsid w:val="00376BCC"/>
    <w:rsid w:val="00376BF9"/>
    <w:rsid w:val="00376C14"/>
    <w:rsid w:val="00376C32"/>
    <w:rsid w:val="00376C3C"/>
    <w:rsid w:val="00376C9B"/>
    <w:rsid w:val="00376CC7"/>
    <w:rsid w:val="00376DA0"/>
    <w:rsid w:val="00376E2F"/>
    <w:rsid w:val="00376F75"/>
    <w:rsid w:val="00377087"/>
    <w:rsid w:val="00377104"/>
    <w:rsid w:val="00377157"/>
    <w:rsid w:val="003771D9"/>
    <w:rsid w:val="0037723B"/>
    <w:rsid w:val="0037723D"/>
    <w:rsid w:val="00377257"/>
    <w:rsid w:val="0037726B"/>
    <w:rsid w:val="00377274"/>
    <w:rsid w:val="003772B0"/>
    <w:rsid w:val="00377373"/>
    <w:rsid w:val="00377451"/>
    <w:rsid w:val="003774C2"/>
    <w:rsid w:val="003774FC"/>
    <w:rsid w:val="003775CB"/>
    <w:rsid w:val="003775E1"/>
    <w:rsid w:val="00377706"/>
    <w:rsid w:val="00377750"/>
    <w:rsid w:val="003777F4"/>
    <w:rsid w:val="003778AD"/>
    <w:rsid w:val="003778B4"/>
    <w:rsid w:val="003779BF"/>
    <w:rsid w:val="00377A36"/>
    <w:rsid w:val="00377A88"/>
    <w:rsid w:val="00377AE8"/>
    <w:rsid w:val="00377B9B"/>
    <w:rsid w:val="00377BDA"/>
    <w:rsid w:val="00377BDE"/>
    <w:rsid w:val="00377BE5"/>
    <w:rsid w:val="00377C0D"/>
    <w:rsid w:val="00377C5C"/>
    <w:rsid w:val="00377C7E"/>
    <w:rsid w:val="00377C8C"/>
    <w:rsid w:val="00377D86"/>
    <w:rsid w:val="00377DF0"/>
    <w:rsid w:val="00377E36"/>
    <w:rsid w:val="00377E77"/>
    <w:rsid w:val="00377EC5"/>
    <w:rsid w:val="00377F17"/>
    <w:rsid w:val="00380027"/>
    <w:rsid w:val="0038008D"/>
    <w:rsid w:val="00380095"/>
    <w:rsid w:val="00380172"/>
    <w:rsid w:val="00380236"/>
    <w:rsid w:val="00380248"/>
    <w:rsid w:val="00380252"/>
    <w:rsid w:val="0038033A"/>
    <w:rsid w:val="003803D7"/>
    <w:rsid w:val="00380438"/>
    <w:rsid w:val="00380474"/>
    <w:rsid w:val="00380523"/>
    <w:rsid w:val="003805BA"/>
    <w:rsid w:val="00380653"/>
    <w:rsid w:val="00380662"/>
    <w:rsid w:val="003806AB"/>
    <w:rsid w:val="003806AE"/>
    <w:rsid w:val="003806E2"/>
    <w:rsid w:val="00380811"/>
    <w:rsid w:val="00380838"/>
    <w:rsid w:val="00380909"/>
    <w:rsid w:val="003809A4"/>
    <w:rsid w:val="003809D1"/>
    <w:rsid w:val="003809E9"/>
    <w:rsid w:val="00380A0F"/>
    <w:rsid w:val="00380A1A"/>
    <w:rsid w:val="00380AAE"/>
    <w:rsid w:val="00380AB9"/>
    <w:rsid w:val="00380B3F"/>
    <w:rsid w:val="00380BAF"/>
    <w:rsid w:val="00380C46"/>
    <w:rsid w:val="00380C63"/>
    <w:rsid w:val="00380C97"/>
    <w:rsid w:val="00380C9B"/>
    <w:rsid w:val="00380D12"/>
    <w:rsid w:val="00380D82"/>
    <w:rsid w:val="00380E5C"/>
    <w:rsid w:val="00380E66"/>
    <w:rsid w:val="00380E80"/>
    <w:rsid w:val="00381095"/>
    <w:rsid w:val="003811A3"/>
    <w:rsid w:val="003812C3"/>
    <w:rsid w:val="0038137D"/>
    <w:rsid w:val="003813B0"/>
    <w:rsid w:val="003813D6"/>
    <w:rsid w:val="00381414"/>
    <w:rsid w:val="003814BB"/>
    <w:rsid w:val="003814D3"/>
    <w:rsid w:val="00381525"/>
    <w:rsid w:val="00381543"/>
    <w:rsid w:val="00381566"/>
    <w:rsid w:val="0038159F"/>
    <w:rsid w:val="003815B0"/>
    <w:rsid w:val="003815B5"/>
    <w:rsid w:val="00381602"/>
    <w:rsid w:val="0038164C"/>
    <w:rsid w:val="00381662"/>
    <w:rsid w:val="0038167D"/>
    <w:rsid w:val="00381680"/>
    <w:rsid w:val="0038168D"/>
    <w:rsid w:val="0038176C"/>
    <w:rsid w:val="00381832"/>
    <w:rsid w:val="00381881"/>
    <w:rsid w:val="003818BD"/>
    <w:rsid w:val="0038196F"/>
    <w:rsid w:val="003819C9"/>
    <w:rsid w:val="00381A27"/>
    <w:rsid w:val="00381B62"/>
    <w:rsid w:val="00381B66"/>
    <w:rsid w:val="00381C6F"/>
    <w:rsid w:val="00381DB2"/>
    <w:rsid w:val="00381E60"/>
    <w:rsid w:val="00381E61"/>
    <w:rsid w:val="00381EC9"/>
    <w:rsid w:val="00381F0B"/>
    <w:rsid w:val="0038203B"/>
    <w:rsid w:val="0038207D"/>
    <w:rsid w:val="003820C5"/>
    <w:rsid w:val="003820C8"/>
    <w:rsid w:val="00382124"/>
    <w:rsid w:val="003821E8"/>
    <w:rsid w:val="00382258"/>
    <w:rsid w:val="0038237E"/>
    <w:rsid w:val="003823F2"/>
    <w:rsid w:val="00382406"/>
    <w:rsid w:val="0038248C"/>
    <w:rsid w:val="003824C5"/>
    <w:rsid w:val="003824D6"/>
    <w:rsid w:val="00382556"/>
    <w:rsid w:val="00382590"/>
    <w:rsid w:val="0038275F"/>
    <w:rsid w:val="00382788"/>
    <w:rsid w:val="00382795"/>
    <w:rsid w:val="003827BF"/>
    <w:rsid w:val="00382845"/>
    <w:rsid w:val="00382865"/>
    <w:rsid w:val="003828FC"/>
    <w:rsid w:val="0038293F"/>
    <w:rsid w:val="00382A4B"/>
    <w:rsid w:val="00382AD1"/>
    <w:rsid w:val="00382B38"/>
    <w:rsid w:val="00382B80"/>
    <w:rsid w:val="00382C64"/>
    <w:rsid w:val="00382CC2"/>
    <w:rsid w:val="00382D7C"/>
    <w:rsid w:val="00382E1C"/>
    <w:rsid w:val="00382E4C"/>
    <w:rsid w:val="00382EC7"/>
    <w:rsid w:val="00382F0B"/>
    <w:rsid w:val="00382F9C"/>
    <w:rsid w:val="00382FA7"/>
    <w:rsid w:val="00382FFC"/>
    <w:rsid w:val="00383087"/>
    <w:rsid w:val="00383094"/>
    <w:rsid w:val="003830F8"/>
    <w:rsid w:val="00383112"/>
    <w:rsid w:val="0038313A"/>
    <w:rsid w:val="00383173"/>
    <w:rsid w:val="00383198"/>
    <w:rsid w:val="0038319A"/>
    <w:rsid w:val="00383292"/>
    <w:rsid w:val="003832DA"/>
    <w:rsid w:val="003832DB"/>
    <w:rsid w:val="0038331D"/>
    <w:rsid w:val="00383320"/>
    <w:rsid w:val="003833B5"/>
    <w:rsid w:val="0038341C"/>
    <w:rsid w:val="003834D5"/>
    <w:rsid w:val="00383505"/>
    <w:rsid w:val="00383525"/>
    <w:rsid w:val="00383639"/>
    <w:rsid w:val="0038366B"/>
    <w:rsid w:val="003836AD"/>
    <w:rsid w:val="003836B6"/>
    <w:rsid w:val="0038370A"/>
    <w:rsid w:val="0038370C"/>
    <w:rsid w:val="00383726"/>
    <w:rsid w:val="00383783"/>
    <w:rsid w:val="003837A1"/>
    <w:rsid w:val="003837C5"/>
    <w:rsid w:val="00383956"/>
    <w:rsid w:val="00383AD4"/>
    <w:rsid w:val="00383B4B"/>
    <w:rsid w:val="00383B6A"/>
    <w:rsid w:val="00383C1A"/>
    <w:rsid w:val="00383C46"/>
    <w:rsid w:val="00383C59"/>
    <w:rsid w:val="00383C5C"/>
    <w:rsid w:val="00383C89"/>
    <w:rsid w:val="00383C8E"/>
    <w:rsid w:val="00383D84"/>
    <w:rsid w:val="00383DB7"/>
    <w:rsid w:val="00383E33"/>
    <w:rsid w:val="00383E43"/>
    <w:rsid w:val="00383E65"/>
    <w:rsid w:val="00383E90"/>
    <w:rsid w:val="00383F19"/>
    <w:rsid w:val="00383F94"/>
    <w:rsid w:val="00383FAC"/>
    <w:rsid w:val="00383FDE"/>
    <w:rsid w:val="0038404B"/>
    <w:rsid w:val="0038407D"/>
    <w:rsid w:val="003840AA"/>
    <w:rsid w:val="0038416E"/>
    <w:rsid w:val="003841E3"/>
    <w:rsid w:val="00384216"/>
    <w:rsid w:val="0038424F"/>
    <w:rsid w:val="00384276"/>
    <w:rsid w:val="0038445E"/>
    <w:rsid w:val="00384639"/>
    <w:rsid w:val="00384652"/>
    <w:rsid w:val="003846CE"/>
    <w:rsid w:val="003846DD"/>
    <w:rsid w:val="00384799"/>
    <w:rsid w:val="0038488A"/>
    <w:rsid w:val="0038493D"/>
    <w:rsid w:val="0038494B"/>
    <w:rsid w:val="00384A25"/>
    <w:rsid w:val="00384A51"/>
    <w:rsid w:val="00384AA9"/>
    <w:rsid w:val="00384B5F"/>
    <w:rsid w:val="00384C11"/>
    <w:rsid w:val="00384C33"/>
    <w:rsid w:val="00384CA3"/>
    <w:rsid w:val="00384D3B"/>
    <w:rsid w:val="00384E03"/>
    <w:rsid w:val="00384E4D"/>
    <w:rsid w:val="00384E4E"/>
    <w:rsid w:val="00384E56"/>
    <w:rsid w:val="00384E6E"/>
    <w:rsid w:val="00384EF5"/>
    <w:rsid w:val="00384F3B"/>
    <w:rsid w:val="00384F57"/>
    <w:rsid w:val="00384F81"/>
    <w:rsid w:val="00384FBF"/>
    <w:rsid w:val="00384FF0"/>
    <w:rsid w:val="00384FF1"/>
    <w:rsid w:val="0038504C"/>
    <w:rsid w:val="0038505A"/>
    <w:rsid w:val="00385124"/>
    <w:rsid w:val="003851F9"/>
    <w:rsid w:val="00385238"/>
    <w:rsid w:val="0038523D"/>
    <w:rsid w:val="00385251"/>
    <w:rsid w:val="00385283"/>
    <w:rsid w:val="00385292"/>
    <w:rsid w:val="0038529A"/>
    <w:rsid w:val="003852CD"/>
    <w:rsid w:val="003852EA"/>
    <w:rsid w:val="00385341"/>
    <w:rsid w:val="0038534B"/>
    <w:rsid w:val="00385369"/>
    <w:rsid w:val="003853BF"/>
    <w:rsid w:val="00385418"/>
    <w:rsid w:val="00385428"/>
    <w:rsid w:val="00385475"/>
    <w:rsid w:val="0038547B"/>
    <w:rsid w:val="003854F3"/>
    <w:rsid w:val="0038554B"/>
    <w:rsid w:val="00385564"/>
    <w:rsid w:val="00385674"/>
    <w:rsid w:val="003856A0"/>
    <w:rsid w:val="003856D8"/>
    <w:rsid w:val="0038574A"/>
    <w:rsid w:val="0038574D"/>
    <w:rsid w:val="0038577A"/>
    <w:rsid w:val="0038577E"/>
    <w:rsid w:val="003857AC"/>
    <w:rsid w:val="00385928"/>
    <w:rsid w:val="00385942"/>
    <w:rsid w:val="00385A25"/>
    <w:rsid w:val="00385AAB"/>
    <w:rsid w:val="00385AF3"/>
    <w:rsid w:val="00385C84"/>
    <w:rsid w:val="00385CD2"/>
    <w:rsid w:val="00385D28"/>
    <w:rsid w:val="00385DCB"/>
    <w:rsid w:val="00385E2E"/>
    <w:rsid w:val="00385E48"/>
    <w:rsid w:val="00385ED0"/>
    <w:rsid w:val="00385F10"/>
    <w:rsid w:val="00385F27"/>
    <w:rsid w:val="00385FE0"/>
    <w:rsid w:val="003860A9"/>
    <w:rsid w:val="003860B1"/>
    <w:rsid w:val="003860E5"/>
    <w:rsid w:val="003861F2"/>
    <w:rsid w:val="00386226"/>
    <w:rsid w:val="003862D7"/>
    <w:rsid w:val="003862EF"/>
    <w:rsid w:val="0038632A"/>
    <w:rsid w:val="00386345"/>
    <w:rsid w:val="003863D3"/>
    <w:rsid w:val="003864B0"/>
    <w:rsid w:val="003864F5"/>
    <w:rsid w:val="0038656C"/>
    <w:rsid w:val="0038658C"/>
    <w:rsid w:val="00386614"/>
    <w:rsid w:val="00386649"/>
    <w:rsid w:val="0038671F"/>
    <w:rsid w:val="00386725"/>
    <w:rsid w:val="0038674A"/>
    <w:rsid w:val="00386760"/>
    <w:rsid w:val="003867C4"/>
    <w:rsid w:val="0038683B"/>
    <w:rsid w:val="00386853"/>
    <w:rsid w:val="0038685F"/>
    <w:rsid w:val="00386874"/>
    <w:rsid w:val="003869DD"/>
    <w:rsid w:val="003869DF"/>
    <w:rsid w:val="00386A3D"/>
    <w:rsid w:val="00386A4D"/>
    <w:rsid w:val="00386A78"/>
    <w:rsid w:val="00386AA9"/>
    <w:rsid w:val="00386AEA"/>
    <w:rsid w:val="00386B09"/>
    <w:rsid w:val="00386B37"/>
    <w:rsid w:val="00386B9B"/>
    <w:rsid w:val="00386C7F"/>
    <w:rsid w:val="00386C8D"/>
    <w:rsid w:val="00386CB8"/>
    <w:rsid w:val="00386CD9"/>
    <w:rsid w:val="00386CDF"/>
    <w:rsid w:val="00386D58"/>
    <w:rsid w:val="00386D5E"/>
    <w:rsid w:val="00386D7F"/>
    <w:rsid w:val="00386DF0"/>
    <w:rsid w:val="00386E83"/>
    <w:rsid w:val="00386F61"/>
    <w:rsid w:val="00386F6C"/>
    <w:rsid w:val="00386F6F"/>
    <w:rsid w:val="00386FC4"/>
    <w:rsid w:val="00387082"/>
    <w:rsid w:val="00387151"/>
    <w:rsid w:val="0038715C"/>
    <w:rsid w:val="003871C3"/>
    <w:rsid w:val="00387220"/>
    <w:rsid w:val="00387242"/>
    <w:rsid w:val="0038726A"/>
    <w:rsid w:val="003872D5"/>
    <w:rsid w:val="003872E6"/>
    <w:rsid w:val="0038734D"/>
    <w:rsid w:val="003873B5"/>
    <w:rsid w:val="003873DF"/>
    <w:rsid w:val="0038745E"/>
    <w:rsid w:val="00387475"/>
    <w:rsid w:val="003874BE"/>
    <w:rsid w:val="00387511"/>
    <w:rsid w:val="003876A9"/>
    <w:rsid w:val="003876F6"/>
    <w:rsid w:val="0038774D"/>
    <w:rsid w:val="00387800"/>
    <w:rsid w:val="00387837"/>
    <w:rsid w:val="003878D6"/>
    <w:rsid w:val="003878FF"/>
    <w:rsid w:val="00387957"/>
    <w:rsid w:val="0038795E"/>
    <w:rsid w:val="0038798B"/>
    <w:rsid w:val="00387997"/>
    <w:rsid w:val="00387A24"/>
    <w:rsid w:val="00387AEA"/>
    <w:rsid w:val="00387B91"/>
    <w:rsid w:val="00387BCD"/>
    <w:rsid w:val="00387BF8"/>
    <w:rsid w:val="00387C68"/>
    <w:rsid w:val="00387CC0"/>
    <w:rsid w:val="00387CE9"/>
    <w:rsid w:val="00387D33"/>
    <w:rsid w:val="00387D81"/>
    <w:rsid w:val="00387DA5"/>
    <w:rsid w:val="00387FBD"/>
    <w:rsid w:val="00387FDB"/>
    <w:rsid w:val="0039000C"/>
    <w:rsid w:val="00390040"/>
    <w:rsid w:val="00390098"/>
    <w:rsid w:val="00390099"/>
    <w:rsid w:val="0039009D"/>
    <w:rsid w:val="003900A6"/>
    <w:rsid w:val="003901B6"/>
    <w:rsid w:val="0039027F"/>
    <w:rsid w:val="00390282"/>
    <w:rsid w:val="00390289"/>
    <w:rsid w:val="003902A4"/>
    <w:rsid w:val="003902ED"/>
    <w:rsid w:val="003903AC"/>
    <w:rsid w:val="003903EC"/>
    <w:rsid w:val="0039046E"/>
    <w:rsid w:val="00390474"/>
    <w:rsid w:val="0039050F"/>
    <w:rsid w:val="0039067B"/>
    <w:rsid w:val="00390779"/>
    <w:rsid w:val="00390791"/>
    <w:rsid w:val="003907FC"/>
    <w:rsid w:val="003908E7"/>
    <w:rsid w:val="0039095F"/>
    <w:rsid w:val="00390998"/>
    <w:rsid w:val="0039099A"/>
    <w:rsid w:val="003909DB"/>
    <w:rsid w:val="00390A5B"/>
    <w:rsid w:val="00390B84"/>
    <w:rsid w:val="00390C4F"/>
    <w:rsid w:val="00390C5A"/>
    <w:rsid w:val="00390CBE"/>
    <w:rsid w:val="00390CCB"/>
    <w:rsid w:val="00390D17"/>
    <w:rsid w:val="00390D75"/>
    <w:rsid w:val="00390DB3"/>
    <w:rsid w:val="00390E07"/>
    <w:rsid w:val="00390EAC"/>
    <w:rsid w:val="00390EC0"/>
    <w:rsid w:val="00390EF2"/>
    <w:rsid w:val="00390F18"/>
    <w:rsid w:val="00390F2E"/>
    <w:rsid w:val="00390F4A"/>
    <w:rsid w:val="00390F51"/>
    <w:rsid w:val="00390F8B"/>
    <w:rsid w:val="00391078"/>
    <w:rsid w:val="00391147"/>
    <w:rsid w:val="0039120F"/>
    <w:rsid w:val="00391247"/>
    <w:rsid w:val="003912B5"/>
    <w:rsid w:val="003912CD"/>
    <w:rsid w:val="003912E8"/>
    <w:rsid w:val="00391472"/>
    <w:rsid w:val="003914EE"/>
    <w:rsid w:val="00391539"/>
    <w:rsid w:val="00391620"/>
    <w:rsid w:val="00391656"/>
    <w:rsid w:val="00391694"/>
    <w:rsid w:val="003916A7"/>
    <w:rsid w:val="003916C2"/>
    <w:rsid w:val="00391719"/>
    <w:rsid w:val="0039172A"/>
    <w:rsid w:val="003917A7"/>
    <w:rsid w:val="003917CD"/>
    <w:rsid w:val="003917D4"/>
    <w:rsid w:val="003917DA"/>
    <w:rsid w:val="0039188E"/>
    <w:rsid w:val="003918A2"/>
    <w:rsid w:val="003918F7"/>
    <w:rsid w:val="00391A57"/>
    <w:rsid w:val="00391B09"/>
    <w:rsid w:val="00391C67"/>
    <w:rsid w:val="00391E04"/>
    <w:rsid w:val="00391F28"/>
    <w:rsid w:val="00391F47"/>
    <w:rsid w:val="00391F4E"/>
    <w:rsid w:val="00391FEB"/>
    <w:rsid w:val="00391FF8"/>
    <w:rsid w:val="003920C0"/>
    <w:rsid w:val="00392166"/>
    <w:rsid w:val="003921AA"/>
    <w:rsid w:val="00392221"/>
    <w:rsid w:val="0039225F"/>
    <w:rsid w:val="0039227E"/>
    <w:rsid w:val="003922BE"/>
    <w:rsid w:val="003922BF"/>
    <w:rsid w:val="003922CC"/>
    <w:rsid w:val="003922D4"/>
    <w:rsid w:val="0039231E"/>
    <w:rsid w:val="003923EB"/>
    <w:rsid w:val="0039240D"/>
    <w:rsid w:val="0039241B"/>
    <w:rsid w:val="0039248B"/>
    <w:rsid w:val="003924D1"/>
    <w:rsid w:val="00392529"/>
    <w:rsid w:val="003925E4"/>
    <w:rsid w:val="0039264D"/>
    <w:rsid w:val="00392746"/>
    <w:rsid w:val="0039282B"/>
    <w:rsid w:val="00392848"/>
    <w:rsid w:val="0039285F"/>
    <w:rsid w:val="00392896"/>
    <w:rsid w:val="003928C3"/>
    <w:rsid w:val="003928E1"/>
    <w:rsid w:val="00392984"/>
    <w:rsid w:val="00392AD9"/>
    <w:rsid w:val="00392AF2"/>
    <w:rsid w:val="00392AFF"/>
    <w:rsid w:val="00392B9D"/>
    <w:rsid w:val="00392BC5"/>
    <w:rsid w:val="00392C66"/>
    <w:rsid w:val="00392CC2"/>
    <w:rsid w:val="00392D11"/>
    <w:rsid w:val="00392DC0"/>
    <w:rsid w:val="00392E8E"/>
    <w:rsid w:val="00392F17"/>
    <w:rsid w:val="00392F59"/>
    <w:rsid w:val="00392F69"/>
    <w:rsid w:val="00393077"/>
    <w:rsid w:val="0039307F"/>
    <w:rsid w:val="0039310B"/>
    <w:rsid w:val="00393119"/>
    <w:rsid w:val="0039313B"/>
    <w:rsid w:val="0039315D"/>
    <w:rsid w:val="0039317E"/>
    <w:rsid w:val="003931E0"/>
    <w:rsid w:val="003931EB"/>
    <w:rsid w:val="00393202"/>
    <w:rsid w:val="00393255"/>
    <w:rsid w:val="0039333E"/>
    <w:rsid w:val="003933B4"/>
    <w:rsid w:val="003933C4"/>
    <w:rsid w:val="003933C9"/>
    <w:rsid w:val="0039342E"/>
    <w:rsid w:val="003934A5"/>
    <w:rsid w:val="003934AA"/>
    <w:rsid w:val="003934F7"/>
    <w:rsid w:val="00393528"/>
    <w:rsid w:val="0039354E"/>
    <w:rsid w:val="0039359C"/>
    <w:rsid w:val="003935B3"/>
    <w:rsid w:val="003935F2"/>
    <w:rsid w:val="003936CB"/>
    <w:rsid w:val="00393703"/>
    <w:rsid w:val="00393745"/>
    <w:rsid w:val="00393771"/>
    <w:rsid w:val="00393781"/>
    <w:rsid w:val="003937C2"/>
    <w:rsid w:val="003937C9"/>
    <w:rsid w:val="003937E5"/>
    <w:rsid w:val="003937EE"/>
    <w:rsid w:val="0039382E"/>
    <w:rsid w:val="003938F0"/>
    <w:rsid w:val="00393905"/>
    <w:rsid w:val="00393984"/>
    <w:rsid w:val="00393A0D"/>
    <w:rsid w:val="00393A51"/>
    <w:rsid w:val="00393AB9"/>
    <w:rsid w:val="00393B00"/>
    <w:rsid w:val="00393B26"/>
    <w:rsid w:val="00393B29"/>
    <w:rsid w:val="00393BFE"/>
    <w:rsid w:val="00393C5E"/>
    <w:rsid w:val="00393C90"/>
    <w:rsid w:val="00393D19"/>
    <w:rsid w:val="00393D9E"/>
    <w:rsid w:val="00393DC3"/>
    <w:rsid w:val="00393DE1"/>
    <w:rsid w:val="00393E17"/>
    <w:rsid w:val="00393E45"/>
    <w:rsid w:val="00393F3C"/>
    <w:rsid w:val="00393F86"/>
    <w:rsid w:val="0039406C"/>
    <w:rsid w:val="00394125"/>
    <w:rsid w:val="00394155"/>
    <w:rsid w:val="0039418B"/>
    <w:rsid w:val="003941BF"/>
    <w:rsid w:val="00394262"/>
    <w:rsid w:val="003942E9"/>
    <w:rsid w:val="003942EE"/>
    <w:rsid w:val="00394300"/>
    <w:rsid w:val="0039436D"/>
    <w:rsid w:val="003943EA"/>
    <w:rsid w:val="0039441F"/>
    <w:rsid w:val="0039445E"/>
    <w:rsid w:val="00394480"/>
    <w:rsid w:val="0039457E"/>
    <w:rsid w:val="003946A8"/>
    <w:rsid w:val="003946B4"/>
    <w:rsid w:val="003946F4"/>
    <w:rsid w:val="00394788"/>
    <w:rsid w:val="003947F8"/>
    <w:rsid w:val="003948B9"/>
    <w:rsid w:val="0039492D"/>
    <w:rsid w:val="00394945"/>
    <w:rsid w:val="003949B5"/>
    <w:rsid w:val="003949FE"/>
    <w:rsid w:val="00394A25"/>
    <w:rsid w:val="00394AB0"/>
    <w:rsid w:val="00394B02"/>
    <w:rsid w:val="00394B06"/>
    <w:rsid w:val="00394B5D"/>
    <w:rsid w:val="00394BAE"/>
    <w:rsid w:val="00394CD1"/>
    <w:rsid w:val="00394CE0"/>
    <w:rsid w:val="00394D1B"/>
    <w:rsid w:val="00394D21"/>
    <w:rsid w:val="00394D2A"/>
    <w:rsid w:val="00394D62"/>
    <w:rsid w:val="00394D68"/>
    <w:rsid w:val="00394D9D"/>
    <w:rsid w:val="00394ECD"/>
    <w:rsid w:val="00395085"/>
    <w:rsid w:val="003950C2"/>
    <w:rsid w:val="003950DD"/>
    <w:rsid w:val="00395163"/>
    <w:rsid w:val="003951F2"/>
    <w:rsid w:val="00395234"/>
    <w:rsid w:val="00395305"/>
    <w:rsid w:val="0039533E"/>
    <w:rsid w:val="00395366"/>
    <w:rsid w:val="00395377"/>
    <w:rsid w:val="003953FC"/>
    <w:rsid w:val="00395403"/>
    <w:rsid w:val="00395547"/>
    <w:rsid w:val="003955A1"/>
    <w:rsid w:val="0039560F"/>
    <w:rsid w:val="0039568D"/>
    <w:rsid w:val="003956CA"/>
    <w:rsid w:val="003956F0"/>
    <w:rsid w:val="0039575F"/>
    <w:rsid w:val="003957B0"/>
    <w:rsid w:val="0039581D"/>
    <w:rsid w:val="003959CE"/>
    <w:rsid w:val="003959DB"/>
    <w:rsid w:val="003959E9"/>
    <w:rsid w:val="00395ABC"/>
    <w:rsid w:val="00395B5D"/>
    <w:rsid w:val="00395B67"/>
    <w:rsid w:val="00395B7E"/>
    <w:rsid w:val="00395BBE"/>
    <w:rsid w:val="00395C52"/>
    <w:rsid w:val="00395C73"/>
    <w:rsid w:val="00395D1F"/>
    <w:rsid w:val="00395D48"/>
    <w:rsid w:val="00395D95"/>
    <w:rsid w:val="00395DB3"/>
    <w:rsid w:val="00395DF6"/>
    <w:rsid w:val="00395EEA"/>
    <w:rsid w:val="00395F01"/>
    <w:rsid w:val="00395F1B"/>
    <w:rsid w:val="003960A7"/>
    <w:rsid w:val="003960B2"/>
    <w:rsid w:val="0039612E"/>
    <w:rsid w:val="003961B8"/>
    <w:rsid w:val="003961C6"/>
    <w:rsid w:val="003961F4"/>
    <w:rsid w:val="0039624A"/>
    <w:rsid w:val="0039627E"/>
    <w:rsid w:val="003963B6"/>
    <w:rsid w:val="003963DA"/>
    <w:rsid w:val="00396413"/>
    <w:rsid w:val="0039649C"/>
    <w:rsid w:val="003964C8"/>
    <w:rsid w:val="00396519"/>
    <w:rsid w:val="00396545"/>
    <w:rsid w:val="003965B9"/>
    <w:rsid w:val="003965DE"/>
    <w:rsid w:val="0039665C"/>
    <w:rsid w:val="003966B0"/>
    <w:rsid w:val="00396753"/>
    <w:rsid w:val="003967AE"/>
    <w:rsid w:val="003967B4"/>
    <w:rsid w:val="0039680F"/>
    <w:rsid w:val="00396890"/>
    <w:rsid w:val="00396931"/>
    <w:rsid w:val="00396ABE"/>
    <w:rsid w:val="00396AF0"/>
    <w:rsid w:val="00396B31"/>
    <w:rsid w:val="00396B8A"/>
    <w:rsid w:val="00396B96"/>
    <w:rsid w:val="00396B9C"/>
    <w:rsid w:val="00396C41"/>
    <w:rsid w:val="00396C4A"/>
    <w:rsid w:val="00396CDB"/>
    <w:rsid w:val="00396D2E"/>
    <w:rsid w:val="00396DA6"/>
    <w:rsid w:val="00396DE8"/>
    <w:rsid w:val="00396E45"/>
    <w:rsid w:val="00396E91"/>
    <w:rsid w:val="00396EF9"/>
    <w:rsid w:val="00396FE0"/>
    <w:rsid w:val="00396FFD"/>
    <w:rsid w:val="0039700F"/>
    <w:rsid w:val="00397054"/>
    <w:rsid w:val="00397091"/>
    <w:rsid w:val="0039713C"/>
    <w:rsid w:val="0039727F"/>
    <w:rsid w:val="003972B7"/>
    <w:rsid w:val="003972C0"/>
    <w:rsid w:val="003973F7"/>
    <w:rsid w:val="00397432"/>
    <w:rsid w:val="003974A9"/>
    <w:rsid w:val="003974E4"/>
    <w:rsid w:val="00397504"/>
    <w:rsid w:val="0039752A"/>
    <w:rsid w:val="00397548"/>
    <w:rsid w:val="003975CD"/>
    <w:rsid w:val="003976B3"/>
    <w:rsid w:val="003976B5"/>
    <w:rsid w:val="003976D8"/>
    <w:rsid w:val="00397757"/>
    <w:rsid w:val="00397830"/>
    <w:rsid w:val="0039788A"/>
    <w:rsid w:val="003978C5"/>
    <w:rsid w:val="0039790E"/>
    <w:rsid w:val="003979E6"/>
    <w:rsid w:val="00397AB1"/>
    <w:rsid w:val="00397B02"/>
    <w:rsid w:val="00397B1C"/>
    <w:rsid w:val="00397BC6"/>
    <w:rsid w:val="00397C52"/>
    <w:rsid w:val="00397C6D"/>
    <w:rsid w:val="00397CC6"/>
    <w:rsid w:val="00397D93"/>
    <w:rsid w:val="00397DCF"/>
    <w:rsid w:val="00397DEB"/>
    <w:rsid w:val="00397E57"/>
    <w:rsid w:val="00397E74"/>
    <w:rsid w:val="00397E81"/>
    <w:rsid w:val="00397FF9"/>
    <w:rsid w:val="003A0004"/>
    <w:rsid w:val="003A0007"/>
    <w:rsid w:val="003A0084"/>
    <w:rsid w:val="003A009A"/>
    <w:rsid w:val="003A009C"/>
    <w:rsid w:val="003A00F5"/>
    <w:rsid w:val="003A0151"/>
    <w:rsid w:val="003A03C0"/>
    <w:rsid w:val="003A0451"/>
    <w:rsid w:val="003A04B9"/>
    <w:rsid w:val="003A04F4"/>
    <w:rsid w:val="003A05E8"/>
    <w:rsid w:val="003A0601"/>
    <w:rsid w:val="003A0605"/>
    <w:rsid w:val="003A0607"/>
    <w:rsid w:val="003A060E"/>
    <w:rsid w:val="003A0707"/>
    <w:rsid w:val="003A070B"/>
    <w:rsid w:val="003A07AD"/>
    <w:rsid w:val="003A07E0"/>
    <w:rsid w:val="003A07F5"/>
    <w:rsid w:val="003A08E2"/>
    <w:rsid w:val="003A08E8"/>
    <w:rsid w:val="003A0933"/>
    <w:rsid w:val="003A094C"/>
    <w:rsid w:val="003A096A"/>
    <w:rsid w:val="003A09D5"/>
    <w:rsid w:val="003A09E2"/>
    <w:rsid w:val="003A0A2E"/>
    <w:rsid w:val="003A0A55"/>
    <w:rsid w:val="003A0BB1"/>
    <w:rsid w:val="003A0C19"/>
    <w:rsid w:val="003A0C5B"/>
    <w:rsid w:val="003A0C7E"/>
    <w:rsid w:val="003A0D8A"/>
    <w:rsid w:val="003A0DE8"/>
    <w:rsid w:val="003A0DF8"/>
    <w:rsid w:val="003A0F81"/>
    <w:rsid w:val="003A0FBF"/>
    <w:rsid w:val="003A10D9"/>
    <w:rsid w:val="003A10E7"/>
    <w:rsid w:val="003A10E9"/>
    <w:rsid w:val="003A114A"/>
    <w:rsid w:val="003A1169"/>
    <w:rsid w:val="003A118F"/>
    <w:rsid w:val="003A11CA"/>
    <w:rsid w:val="003A121B"/>
    <w:rsid w:val="003A1274"/>
    <w:rsid w:val="003A12C4"/>
    <w:rsid w:val="003A12D9"/>
    <w:rsid w:val="003A12E1"/>
    <w:rsid w:val="003A1306"/>
    <w:rsid w:val="003A1311"/>
    <w:rsid w:val="003A1378"/>
    <w:rsid w:val="003A14B8"/>
    <w:rsid w:val="003A14BF"/>
    <w:rsid w:val="003A14C9"/>
    <w:rsid w:val="003A14D9"/>
    <w:rsid w:val="003A1517"/>
    <w:rsid w:val="003A15E8"/>
    <w:rsid w:val="003A162F"/>
    <w:rsid w:val="003A1704"/>
    <w:rsid w:val="003A1841"/>
    <w:rsid w:val="003A1864"/>
    <w:rsid w:val="003A1892"/>
    <w:rsid w:val="003A189F"/>
    <w:rsid w:val="003A18DB"/>
    <w:rsid w:val="003A1901"/>
    <w:rsid w:val="003A19B2"/>
    <w:rsid w:val="003A1B53"/>
    <w:rsid w:val="003A1B71"/>
    <w:rsid w:val="003A1B81"/>
    <w:rsid w:val="003A1BDE"/>
    <w:rsid w:val="003A1D6E"/>
    <w:rsid w:val="003A1D9B"/>
    <w:rsid w:val="003A1DA6"/>
    <w:rsid w:val="003A1DF6"/>
    <w:rsid w:val="003A1DFF"/>
    <w:rsid w:val="003A1E00"/>
    <w:rsid w:val="003A1E1A"/>
    <w:rsid w:val="003A1E6A"/>
    <w:rsid w:val="003A1EF6"/>
    <w:rsid w:val="003A1F26"/>
    <w:rsid w:val="003A1F7E"/>
    <w:rsid w:val="003A1FAF"/>
    <w:rsid w:val="003A203E"/>
    <w:rsid w:val="003A2058"/>
    <w:rsid w:val="003A2071"/>
    <w:rsid w:val="003A20B7"/>
    <w:rsid w:val="003A20BB"/>
    <w:rsid w:val="003A20C9"/>
    <w:rsid w:val="003A20EA"/>
    <w:rsid w:val="003A2127"/>
    <w:rsid w:val="003A213A"/>
    <w:rsid w:val="003A21A9"/>
    <w:rsid w:val="003A21C8"/>
    <w:rsid w:val="003A2334"/>
    <w:rsid w:val="003A2345"/>
    <w:rsid w:val="003A23CC"/>
    <w:rsid w:val="003A2409"/>
    <w:rsid w:val="003A2431"/>
    <w:rsid w:val="003A250F"/>
    <w:rsid w:val="003A2555"/>
    <w:rsid w:val="003A2619"/>
    <w:rsid w:val="003A26F7"/>
    <w:rsid w:val="003A2812"/>
    <w:rsid w:val="003A2870"/>
    <w:rsid w:val="003A2935"/>
    <w:rsid w:val="003A295D"/>
    <w:rsid w:val="003A29E7"/>
    <w:rsid w:val="003A2A9C"/>
    <w:rsid w:val="003A2ACE"/>
    <w:rsid w:val="003A2BC1"/>
    <w:rsid w:val="003A2BE8"/>
    <w:rsid w:val="003A2C13"/>
    <w:rsid w:val="003A2C69"/>
    <w:rsid w:val="003A2C81"/>
    <w:rsid w:val="003A2CC5"/>
    <w:rsid w:val="003A2CC6"/>
    <w:rsid w:val="003A2CD8"/>
    <w:rsid w:val="003A2CDE"/>
    <w:rsid w:val="003A2CDF"/>
    <w:rsid w:val="003A2D12"/>
    <w:rsid w:val="003A2D3C"/>
    <w:rsid w:val="003A2E4C"/>
    <w:rsid w:val="003A2EA4"/>
    <w:rsid w:val="003A2EE6"/>
    <w:rsid w:val="003A2F32"/>
    <w:rsid w:val="003A2F6D"/>
    <w:rsid w:val="003A2F70"/>
    <w:rsid w:val="003A2F81"/>
    <w:rsid w:val="003A2FA6"/>
    <w:rsid w:val="003A3006"/>
    <w:rsid w:val="003A30D2"/>
    <w:rsid w:val="003A3172"/>
    <w:rsid w:val="003A3177"/>
    <w:rsid w:val="003A3201"/>
    <w:rsid w:val="003A320F"/>
    <w:rsid w:val="003A321A"/>
    <w:rsid w:val="003A32D7"/>
    <w:rsid w:val="003A3389"/>
    <w:rsid w:val="003A3424"/>
    <w:rsid w:val="003A342E"/>
    <w:rsid w:val="003A34C1"/>
    <w:rsid w:val="003A3529"/>
    <w:rsid w:val="003A3544"/>
    <w:rsid w:val="003A3573"/>
    <w:rsid w:val="003A3584"/>
    <w:rsid w:val="003A3658"/>
    <w:rsid w:val="003A3690"/>
    <w:rsid w:val="003A370F"/>
    <w:rsid w:val="003A3728"/>
    <w:rsid w:val="003A38DC"/>
    <w:rsid w:val="003A3AAF"/>
    <w:rsid w:val="003A3B32"/>
    <w:rsid w:val="003A3B60"/>
    <w:rsid w:val="003A3B67"/>
    <w:rsid w:val="003A3BAD"/>
    <w:rsid w:val="003A3BE0"/>
    <w:rsid w:val="003A3BEA"/>
    <w:rsid w:val="003A3BF0"/>
    <w:rsid w:val="003A3C2A"/>
    <w:rsid w:val="003A3C4B"/>
    <w:rsid w:val="003A3C71"/>
    <w:rsid w:val="003A3CC5"/>
    <w:rsid w:val="003A3D0B"/>
    <w:rsid w:val="003A3D49"/>
    <w:rsid w:val="003A3D66"/>
    <w:rsid w:val="003A3DE0"/>
    <w:rsid w:val="003A3DFB"/>
    <w:rsid w:val="003A3E75"/>
    <w:rsid w:val="003A3EB9"/>
    <w:rsid w:val="003A3FDA"/>
    <w:rsid w:val="003A405A"/>
    <w:rsid w:val="003A40CA"/>
    <w:rsid w:val="003A40F5"/>
    <w:rsid w:val="003A411E"/>
    <w:rsid w:val="003A41D2"/>
    <w:rsid w:val="003A41D7"/>
    <w:rsid w:val="003A4203"/>
    <w:rsid w:val="003A4227"/>
    <w:rsid w:val="003A42F1"/>
    <w:rsid w:val="003A435E"/>
    <w:rsid w:val="003A4377"/>
    <w:rsid w:val="003A43CC"/>
    <w:rsid w:val="003A4453"/>
    <w:rsid w:val="003A4535"/>
    <w:rsid w:val="003A4564"/>
    <w:rsid w:val="003A45B1"/>
    <w:rsid w:val="003A4610"/>
    <w:rsid w:val="003A46CA"/>
    <w:rsid w:val="003A46D6"/>
    <w:rsid w:val="003A4760"/>
    <w:rsid w:val="003A477B"/>
    <w:rsid w:val="003A47C9"/>
    <w:rsid w:val="003A47E4"/>
    <w:rsid w:val="003A480F"/>
    <w:rsid w:val="003A4850"/>
    <w:rsid w:val="003A48E7"/>
    <w:rsid w:val="003A4912"/>
    <w:rsid w:val="003A4A6B"/>
    <w:rsid w:val="003A4A8E"/>
    <w:rsid w:val="003A4A97"/>
    <w:rsid w:val="003A4AB4"/>
    <w:rsid w:val="003A4B2A"/>
    <w:rsid w:val="003A4CE0"/>
    <w:rsid w:val="003A4D26"/>
    <w:rsid w:val="003A4D3F"/>
    <w:rsid w:val="003A4DBB"/>
    <w:rsid w:val="003A4E24"/>
    <w:rsid w:val="003A4E4B"/>
    <w:rsid w:val="003A4F25"/>
    <w:rsid w:val="003A4F3A"/>
    <w:rsid w:val="003A4FE2"/>
    <w:rsid w:val="003A5058"/>
    <w:rsid w:val="003A505C"/>
    <w:rsid w:val="003A50B7"/>
    <w:rsid w:val="003A5152"/>
    <w:rsid w:val="003A5179"/>
    <w:rsid w:val="003A51D0"/>
    <w:rsid w:val="003A526D"/>
    <w:rsid w:val="003A5308"/>
    <w:rsid w:val="003A53F2"/>
    <w:rsid w:val="003A54D8"/>
    <w:rsid w:val="003A5557"/>
    <w:rsid w:val="003A5619"/>
    <w:rsid w:val="003A561B"/>
    <w:rsid w:val="003A5779"/>
    <w:rsid w:val="003A577A"/>
    <w:rsid w:val="003A57E9"/>
    <w:rsid w:val="003A5850"/>
    <w:rsid w:val="003A5872"/>
    <w:rsid w:val="003A590C"/>
    <w:rsid w:val="003A591A"/>
    <w:rsid w:val="003A591D"/>
    <w:rsid w:val="003A5A45"/>
    <w:rsid w:val="003A5AD6"/>
    <w:rsid w:val="003A5B50"/>
    <w:rsid w:val="003A5BAA"/>
    <w:rsid w:val="003A5C57"/>
    <w:rsid w:val="003A5C90"/>
    <w:rsid w:val="003A5CA6"/>
    <w:rsid w:val="003A5CB2"/>
    <w:rsid w:val="003A5CEF"/>
    <w:rsid w:val="003A5D50"/>
    <w:rsid w:val="003A5E07"/>
    <w:rsid w:val="003A5E0F"/>
    <w:rsid w:val="003A5E57"/>
    <w:rsid w:val="003A5E68"/>
    <w:rsid w:val="003A5E96"/>
    <w:rsid w:val="003A5ED9"/>
    <w:rsid w:val="003A5F0A"/>
    <w:rsid w:val="003A5F2A"/>
    <w:rsid w:val="003A5FD8"/>
    <w:rsid w:val="003A5FEB"/>
    <w:rsid w:val="003A606B"/>
    <w:rsid w:val="003A61A1"/>
    <w:rsid w:val="003A623E"/>
    <w:rsid w:val="003A62B7"/>
    <w:rsid w:val="003A62C9"/>
    <w:rsid w:val="003A62D6"/>
    <w:rsid w:val="003A640B"/>
    <w:rsid w:val="003A640D"/>
    <w:rsid w:val="003A64BE"/>
    <w:rsid w:val="003A6579"/>
    <w:rsid w:val="003A6668"/>
    <w:rsid w:val="003A66A7"/>
    <w:rsid w:val="003A66F8"/>
    <w:rsid w:val="003A6747"/>
    <w:rsid w:val="003A6810"/>
    <w:rsid w:val="003A6828"/>
    <w:rsid w:val="003A6837"/>
    <w:rsid w:val="003A68BD"/>
    <w:rsid w:val="003A691B"/>
    <w:rsid w:val="003A691E"/>
    <w:rsid w:val="003A69A0"/>
    <w:rsid w:val="003A69DA"/>
    <w:rsid w:val="003A6AA7"/>
    <w:rsid w:val="003A6AF2"/>
    <w:rsid w:val="003A6B1D"/>
    <w:rsid w:val="003A6B44"/>
    <w:rsid w:val="003A6B46"/>
    <w:rsid w:val="003A6BBD"/>
    <w:rsid w:val="003A6BC3"/>
    <w:rsid w:val="003A6C6D"/>
    <w:rsid w:val="003A6D71"/>
    <w:rsid w:val="003A6D76"/>
    <w:rsid w:val="003A6E0C"/>
    <w:rsid w:val="003A6E29"/>
    <w:rsid w:val="003A6E49"/>
    <w:rsid w:val="003A6EA9"/>
    <w:rsid w:val="003A6F28"/>
    <w:rsid w:val="003A6FA6"/>
    <w:rsid w:val="003A6FCA"/>
    <w:rsid w:val="003A6FE2"/>
    <w:rsid w:val="003A707B"/>
    <w:rsid w:val="003A7177"/>
    <w:rsid w:val="003A71D0"/>
    <w:rsid w:val="003A72E2"/>
    <w:rsid w:val="003A72FB"/>
    <w:rsid w:val="003A72FF"/>
    <w:rsid w:val="003A7406"/>
    <w:rsid w:val="003A742A"/>
    <w:rsid w:val="003A743C"/>
    <w:rsid w:val="003A750B"/>
    <w:rsid w:val="003A75C1"/>
    <w:rsid w:val="003A75D5"/>
    <w:rsid w:val="003A7680"/>
    <w:rsid w:val="003A77B6"/>
    <w:rsid w:val="003A781E"/>
    <w:rsid w:val="003A795C"/>
    <w:rsid w:val="003A79DB"/>
    <w:rsid w:val="003A7A73"/>
    <w:rsid w:val="003A7A98"/>
    <w:rsid w:val="003A7BAA"/>
    <w:rsid w:val="003A7C9A"/>
    <w:rsid w:val="003A7D6F"/>
    <w:rsid w:val="003A7E42"/>
    <w:rsid w:val="003A7E5A"/>
    <w:rsid w:val="003A7EB2"/>
    <w:rsid w:val="003A7EF5"/>
    <w:rsid w:val="003A7F26"/>
    <w:rsid w:val="003A7F7E"/>
    <w:rsid w:val="003A7FC2"/>
    <w:rsid w:val="003A7FCE"/>
    <w:rsid w:val="003A7FE4"/>
    <w:rsid w:val="003B000F"/>
    <w:rsid w:val="003B0045"/>
    <w:rsid w:val="003B0066"/>
    <w:rsid w:val="003B0080"/>
    <w:rsid w:val="003B00FC"/>
    <w:rsid w:val="003B0118"/>
    <w:rsid w:val="003B017F"/>
    <w:rsid w:val="003B0185"/>
    <w:rsid w:val="003B0339"/>
    <w:rsid w:val="003B03A3"/>
    <w:rsid w:val="003B03D1"/>
    <w:rsid w:val="003B0511"/>
    <w:rsid w:val="003B054E"/>
    <w:rsid w:val="003B0659"/>
    <w:rsid w:val="003B06DA"/>
    <w:rsid w:val="003B06E8"/>
    <w:rsid w:val="003B07E3"/>
    <w:rsid w:val="003B080B"/>
    <w:rsid w:val="003B0837"/>
    <w:rsid w:val="003B084D"/>
    <w:rsid w:val="003B084E"/>
    <w:rsid w:val="003B086B"/>
    <w:rsid w:val="003B0877"/>
    <w:rsid w:val="003B0962"/>
    <w:rsid w:val="003B096F"/>
    <w:rsid w:val="003B09B3"/>
    <w:rsid w:val="003B09D9"/>
    <w:rsid w:val="003B09E9"/>
    <w:rsid w:val="003B0AD2"/>
    <w:rsid w:val="003B0B2C"/>
    <w:rsid w:val="003B0B59"/>
    <w:rsid w:val="003B0BBF"/>
    <w:rsid w:val="003B0BE5"/>
    <w:rsid w:val="003B0BFE"/>
    <w:rsid w:val="003B0BFF"/>
    <w:rsid w:val="003B0C21"/>
    <w:rsid w:val="003B0C76"/>
    <w:rsid w:val="003B0C88"/>
    <w:rsid w:val="003B0CDA"/>
    <w:rsid w:val="003B0CF6"/>
    <w:rsid w:val="003B0D5E"/>
    <w:rsid w:val="003B0ED4"/>
    <w:rsid w:val="003B0EE8"/>
    <w:rsid w:val="003B0F28"/>
    <w:rsid w:val="003B0F83"/>
    <w:rsid w:val="003B103E"/>
    <w:rsid w:val="003B1053"/>
    <w:rsid w:val="003B10A6"/>
    <w:rsid w:val="003B10AB"/>
    <w:rsid w:val="003B1223"/>
    <w:rsid w:val="003B1258"/>
    <w:rsid w:val="003B126C"/>
    <w:rsid w:val="003B1274"/>
    <w:rsid w:val="003B127A"/>
    <w:rsid w:val="003B1289"/>
    <w:rsid w:val="003B13D5"/>
    <w:rsid w:val="003B142B"/>
    <w:rsid w:val="003B144D"/>
    <w:rsid w:val="003B145F"/>
    <w:rsid w:val="003B14FD"/>
    <w:rsid w:val="003B14FF"/>
    <w:rsid w:val="003B1503"/>
    <w:rsid w:val="003B1565"/>
    <w:rsid w:val="003B15C7"/>
    <w:rsid w:val="003B1685"/>
    <w:rsid w:val="003B16EE"/>
    <w:rsid w:val="003B173D"/>
    <w:rsid w:val="003B17B5"/>
    <w:rsid w:val="003B17ED"/>
    <w:rsid w:val="003B182C"/>
    <w:rsid w:val="003B1831"/>
    <w:rsid w:val="003B1889"/>
    <w:rsid w:val="003B188F"/>
    <w:rsid w:val="003B1946"/>
    <w:rsid w:val="003B19CF"/>
    <w:rsid w:val="003B1A2E"/>
    <w:rsid w:val="003B1A3E"/>
    <w:rsid w:val="003B1A3F"/>
    <w:rsid w:val="003B1A4B"/>
    <w:rsid w:val="003B1A89"/>
    <w:rsid w:val="003B1B0C"/>
    <w:rsid w:val="003B1B3F"/>
    <w:rsid w:val="003B1B6E"/>
    <w:rsid w:val="003B1BA1"/>
    <w:rsid w:val="003B1C2C"/>
    <w:rsid w:val="003B1C61"/>
    <w:rsid w:val="003B1CAB"/>
    <w:rsid w:val="003B1D24"/>
    <w:rsid w:val="003B1D58"/>
    <w:rsid w:val="003B1DB8"/>
    <w:rsid w:val="003B1DE0"/>
    <w:rsid w:val="003B1E12"/>
    <w:rsid w:val="003B1E1C"/>
    <w:rsid w:val="003B1E65"/>
    <w:rsid w:val="003B1E70"/>
    <w:rsid w:val="003B1EAD"/>
    <w:rsid w:val="003B1EB9"/>
    <w:rsid w:val="003B1EC4"/>
    <w:rsid w:val="003B1F2D"/>
    <w:rsid w:val="003B1FEC"/>
    <w:rsid w:val="003B200D"/>
    <w:rsid w:val="003B22D4"/>
    <w:rsid w:val="003B22EE"/>
    <w:rsid w:val="003B2320"/>
    <w:rsid w:val="003B23D7"/>
    <w:rsid w:val="003B2408"/>
    <w:rsid w:val="003B2488"/>
    <w:rsid w:val="003B24A0"/>
    <w:rsid w:val="003B2511"/>
    <w:rsid w:val="003B253C"/>
    <w:rsid w:val="003B2621"/>
    <w:rsid w:val="003B2627"/>
    <w:rsid w:val="003B2680"/>
    <w:rsid w:val="003B269E"/>
    <w:rsid w:val="003B26CD"/>
    <w:rsid w:val="003B26F6"/>
    <w:rsid w:val="003B2713"/>
    <w:rsid w:val="003B2769"/>
    <w:rsid w:val="003B27BE"/>
    <w:rsid w:val="003B27CB"/>
    <w:rsid w:val="003B2877"/>
    <w:rsid w:val="003B28F9"/>
    <w:rsid w:val="003B2934"/>
    <w:rsid w:val="003B2A89"/>
    <w:rsid w:val="003B2B17"/>
    <w:rsid w:val="003B2B9B"/>
    <w:rsid w:val="003B2C07"/>
    <w:rsid w:val="003B2C35"/>
    <w:rsid w:val="003B2C69"/>
    <w:rsid w:val="003B2C6A"/>
    <w:rsid w:val="003B2C96"/>
    <w:rsid w:val="003B2C9B"/>
    <w:rsid w:val="003B2D2B"/>
    <w:rsid w:val="003B2D48"/>
    <w:rsid w:val="003B2DA9"/>
    <w:rsid w:val="003B2DF6"/>
    <w:rsid w:val="003B2E1F"/>
    <w:rsid w:val="003B2EEB"/>
    <w:rsid w:val="003B2F5B"/>
    <w:rsid w:val="003B2F9B"/>
    <w:rsid w:val="003B2FF5"/>
    <w:rsid w:val="003B3048"/>
    <w:rsid w:val="003B308B"/>
    <w:rsid w:val="003B30AF"/>
    <w:rsid w:val="003B31D4"/>
    <w:rsid w:val="003B3353"/>
    <w:rsid w:val="003B33F3"/>
    <w:rsid w:val="003B3413"/>
    <w:rsid w:val="003B3447"/>
    <w:rsid w:val="003B34C3"/>
    <w:rsid w:val="003B34D3"/>
    <w:rsid w:val="003B34FD"/>
    <w:rsid w:val="003B3574"/>
    <w:rsid w:val="003B3593"/>
    <w:rsid w:val="003B36A9"/>
    <w:rsid w:val="003B36B0"/>
    <w:rsid w:val="003B3766"/>
    <w:rsid w:val="003B3794"/>
    <w:rsid w:val="003B388F"/>
    <w:rsid w:val="003B38A9"/>
    <w:rsid w:val="003B3925"/>
    <w:rsid w:val="003B3995"/>
    <w:rsid w:val="003B3B6B"/>
    <w:rsid w:val="003B3BFA"/>
    <w:rsid w:val="003B3CC2"/>
    <w:rsid w:val="003B3CF1"/>
    <w:rsid w:val="003B3CF2"/>
    <w:rsid w:val="003B3D11"/>
    <w:rsid w:val="003B3D1B"/>
    <w:rsid w:val="003B3D21"/>
    <w:rsid w:val="003B3DB6"/>
    <w:rsid w:val="003B3DEE"/>
    <w:rsid w:val="003B3DF0"/>
    <w:rsid w:val="003B3E2A"/>
    <w:rsid w:val="003B3E92"/>
    <w:rsid w:val="003B3EBA"/>
    <w:rsid w:val="003B3EDC"/>
    <w:rsid w:val="003B3F2B"/>
    <w:rsid w:val="003B3FF8"/>
    <w:rsid w:val="003B4009"/>
    <w:rsid w:val="003B400E"/>
    <w:rsid w:val="003B4060"/>
    <w:rsid w:val="003B409D"/>
    <w:rsid w:val="003B40EE"/>
    <w:rsid w:val="003B4118"/>
    <w:rsid w:val="003B4173"/>
    <w:rsid w:val="003B41BC"/>
    <w:rsid w:val="003B423F"/>
    <w:rsid w:val="003B4248"/>
    <w:rsid w:val="003B424D"/>
    <w:rsid w:val="003B4265"/>
    <w:rsid w:val="003B4526"/>
    <w:rsid w:val="003B4576"/>
    <w:rsid w:val="003B45D7"/>
    <w:rsid w:val="003B45E9"/>
    <w:rsid w:val="003B45F6"/>
    <w:rsid w:val="003B462C"/>
    <w:rsid w:val="003B4748"/>
    <w:rsid w:val="003B47A8"/>
    <w:rsid w:val="003B47AB"/>
    <w:rsid w:val="003B47D5"/>
    <w:rsid w:val="003B4810"/>
    <w:rsid w:val="003B493D"/>
    <w:rsid w:val="003B4996"/>
    <w:rsid w:val="003B49B2"/>
    <w:rsid w:val="003B4A2A"/>
    <w:rsid w:val="003B4AF1"/>
    <w:rsid w:val="003B4AFE"/>
    <w:rsid w:val="003B4B22"/>
    <w:rsid w:val="003B4BB9"/>
    <w:rsid w:val="003B4C59"/>
    <w:rsid w:val="003B4CF6"/>
    <w:rsid w:val="003B4D3C"/>
    <w:rsid w:val="003B4D86"/>
    <w:rsid w:val="003B4DCB"/>
    <w:rsid w:val="003B4DD4"/>
    <w:rsid w:val="003B4DF6"/>
    <w:rsid w:val="003B4E60"/>
    <w:rsid w:val="003B4E67"/>
    <w:rsid w:val="003B4F41"/>
    <w:rsid w:val="003B4FEE"/>
    <w:rsid w:val="003B50D2"/>
    <w:rsid w:val="003B50D6"/>
    <w:rsid w:val="003B50F5"/>
    <w:rsid w:val="003B5149"/>
    <w:rsid w:val="003B51B4"/>
    <w:rsid w:val="003B51B5"/>
    <w:rsid w:val="003B51E3"/>
    <w:rsid w:val="003B520D"/>
    <w:rsid w:val="003B525D"/>
    <w:rsid w:val="003B526D"/>
    <w:rsid w:val="003B52C4"/>
    <w:rsid w:val="003B53E6"/>
    <w:rsid w:val="003B5408"/>
    <w:rsid w:val="003B544E"/>
    <w:rsid w:val="003B54A2"/>
    <w:rsid w:val="003B5500"/>
    <w:rsid w:val="003B557E"/>
    <w:rsid w:val="003B55EC"/>
    <w:rsid w:val="003B5628"/>
    <w:rsid w:val="003B5632"/>
    <w:rsid w:val="003B5675"/>
    <w:rsid w:val="003B5707"/>
    <w:rsid w:val="003B5750"/>
    <w:rsid w:val="003B5772"/>
    <w:rsid w:val="003B585F"/>
    <w:rsid w:val="003B59AB"/>
    <w:rsid w:val="003B59DB"/>
    <w:rsid w:val="003B59E0"/>
    <w:rsid w:val="003B5A6B"/>
    <w:rsid w:val="003B5B42"/>
    <w:rsid w:val="003B5B9D"/>
    <w:rsid w:val="003B5BC9"/>
    <w:rsid w:val="003B5C91"/>
    <w:rsid w:val="003B5C92"/>
    <w:rsid w:val="003B5CB1"/>
    <w:rsid w:val="003B5CCA"/>
    <w:rsid w:val="003B5CDF"/>
    <w:rsid w:val="003B5D18"/>
    <w:rsid w:val="003B5E3D"/>
    <w:rsid w:val="003B5F3C"/>
    <w:rsid w:val="003B5F66"/>
    <w:rsid w:val="003B5FAC"/>
    <w:rsid w:val="003B5FAF"/>
    <w:rsid w:val="003B6037"/>
    <w:rsid w:val="003B605E"/>
    <w:rsid w:val="003B6084"/>
    <w:rsid w:val="003B60E2"/>
    <w:rsid w:val="003B613F"/>
    <w:rsid w:val="003B620B"/>
    <w:rsid w:val="003B6361"/>
    <w:rsid w:val="003B63AC"/>
    <w:rsid w:val="003B64C4"/>
    <w:rsid w:val="003B65B5"/>
    <w:rsid w:val="003B65BA"/>
    <w:rsid w:val="003B66B5"/>
    <w:rsid w:val="003B66CD"/>
    <w:rsid w:val="003B66F7"/>
    <w:rsid w:val="003B6853"/>
    <w:rsid w:val="003B687D"/>
    <w:rsid w:val="003B688E"/>
    <w:rsid w:val="003B68F0"/>
    <w:rsid w:val="003B69AB"/>
    <w:rsid w:val="003B69E0"/>
    <w:rsid w:val="003B6A35"/>
    <w:rsid w:val="003B6A5C"/>
    <w:rsid w:val="003B6B5C"/>
    <w:rsid w:val="003B6B9A"/>
    <w:rsid w:val="003B6BDD"/>
    <w:rsid w:val="003B6C0C"/>
    <w:rsid w:val="003B6C99"/>
    <w:rsid w:val="003B6CC5"/>
    <w:rsid w:val="003B6D34"/>
    <w:rsid w:val="003B6D38"/>
    <w:rsid w:val="003B6D77"/>
    <w:rsid w:val="003B6DA3"/>
    <w:rsid w:val="003B6DAE"/>
    <w:rsid w:val="003B6EB0"/>
    <w:rsid w:val="003B6FD5"/>
    <w:rsid w:val="003B7059"/>
    <w:rsid w:val="003B714F"/>
    <w:rsid w:val="003B71A4"/>
    <w:rsid w:val="003B71A6"/>
    <w:rsid w:val="003B71D8"/>
    <w:rsid w:val="003B71E0"/>
    <w:rsid w:val="003B71F8"/>
    <w:rsid w:val="003B7257"/>
    <w:rsid w:val="003B7282"/>
    <w:rsid w:val="003B72CE"/>
    <w:rsid w:val="003B72F7"/>
    <w:rsid w:val="003B7349"/>
    <w:rsid w:val="003B748F"/>
    <w:rsid w:val="003B74D3"/>
    <w:rsid w:val="003B750A"/>
    <w:rsid w:val="003B753F"/>
    <w:rsid w:val="003B762D"/>
    <w:rsid w:val="003B76BF"/>
    <w:rsid w:val="003B777B"/>
    <w:rsid w:val="003B779D"/>
    <w:rsid w:val="003B7858"/>
    <w:rsid w:val="003B7902"/>
    <w:rsid w:val="003B7910"/>
    <w:rsid w:val="003B79C4"/>
    <w:rsid w:val="003B79C9"/>
    <w:rsid w:val="003B7A6A"/>
    <w:rsid w:val="003B7B19"/>
    <w:rsid w:val="003B7B47"/>
    <w:rsid w:val="003B7B8D"/>
    <w:rsid w:val="003B7BC4"/>
    <w:rsid w:val="003B7C59"/>
    <w:rsid w:val="003B7D3A"/>
    <w:rsid w:val="003B7DB1"/>
    <w:rsid w:val="003B7E36"/>
    <w:rsid w:val="003B7E50"/>
    <w:rsid w:val="003B7E6F"/>
    <w:rsid w:val="003B7FA9"/>
    <w:rsid w:val="003C006E"/>
    <w:rsid w:val="003C00B8"/>
    <w:rsid w:val="003C0102"/>
    <w:rsid w:val="003C014C"/>
    <w:rsid w:val="003C0207"/>
    <w:rsid w:val="003C024D"/>
    <w:rsid w:val="003C0264"/>
    <w:rsid w:val="003C02FA"/>
    <w:rsid w:val="003C0311"/>
    <w:rsid w:val="003C038C"/>
    <w:rsid w:val="003C0397"/>
    <w:rsid w:val="003C03BF"/>
    <w:rsid w:val="003C0405"/>
    <w:rsid w:val="003C042C"/>
    <w:rsid w:val="003C044C"/>
    <w:rsid w:val="003C0455"/>
    <w:rsid w:val="003C0493"/>
    <w:rsid w:val="003C0496"/>
    <w:rsid w:val="003C05AF"/>
    <w:rsid w:val="003C0635"/>
    <w:rsid w:val="003C064D"/>
    <w:rsid w:val="003C06E9"/>
    <w:rsid w:val="003C0714"/>
    <w:rsid w:val="003C0728"/>
    <w:rsid w:val="003C079B"/>
    <w:rsid w:val="003C08F2"/>
    <w:rsid w:val="003C0904"/>
    <w:rsid w:val="003C0955"/>
    <w:rsid w:val="003C09F8"/>
    <w:rsid w:val="003C0A97"/>
    <w:rsid w:val="003C0B1C"/>
    <w:rsid w:val="003C0B75"/>
    <w:rsid w:val="003C0BE6"/>
    <w:rsid w:val="003C0CA1"/>
    <w:rsid w:val="003C0D12"/>
    <w:rsid w:val="003C0D56"/>
    <w:rsid w:val="003C0D57"/>
    <w:rsid w:val="003C0D75"/>
    <w:rsid w:val="003C0DF4"/>
    <w:rsid w:val="003C0E6A"/>
    <w:rsid w:val="003C0EF4"/>
    <w:rsid w:val="003C0F0C"/>
    <w:rsid w:val="003C0F3A"/>
    <w:rsid w:val="003C0F99"/>
    <w:rsid w:val="003C1027"/>
    <w:rsid w:val="003C1038"/>
    <w:rsid w:val="003C1060"/>
    <w:rsid w:val="003C1122"/>
    <w:rsid w:val="003C1123"/>
    <w:rsid w:val="003C1141"/>
    <w:rsid w:val="003C119B"/>
    <w:rsid w:val="003C11B0"/>
    <w:rsid w:val="003C11DD"/>
    <w:rsid w:val="003C1203"/>
    <w:rsid w:val="003C1214"/>
    <w:rsid w:val="003C1220"/>
    <w:rsid w:val="003C126D"/>
    <w:rsid w:val="003C129E"/>
    <w:rsid w:val="003C1535"/>
    <w:rsid w:val="003C154C"/>
    <w:rsid w:val="003C1571"/>
    <w:rsid w:val="003C158A"/>
    <w:rsid w:val="003C1617"/>
    <w:rsid w:val="003C1631"/>
    <w:rsid w:val="003C16D0"/>
    <w:rsid w:val="003C1770"/>
    <w:rsid w:val="003C17B9"/>
    <w:rsid w:val="003C1868"/>
    <w:rsid w:val="003C1883"/>
    <w:rsid w:val="003C19AB"/>
    <w:rsid w:val="003C1A63"/>
    <w:rsid w:val="003C1AF4"/>
    <w:rsid w:val="003C1B00"/>
    <w:rsid w:val="003C1B57"/>
    <w:rsid w:val="003C1B7F"/>
    <w:rsid w:val="003C1BA7"/>
    <w:rsid w:val="003C1BEB"/>
    <w:rsid w:val="003C1C10"/>
    <w:rsid w:val="003C1C5A"/>
    <w:rsid w:val="003C1C61"/>
    <w:rsid w:val="003C1CA0"/>
    <w:rsid w:val="003C1D24"/>
    <w:rsid w:val="003C1D43"/>
    <w:rsid w:val="003C1D61"/>
    <w:rsid w:val="003C1DBF"/>
    <w:rsid w:val="003C1EB1"/>
    <w:rsid w:val="003C1F35"/>
    <w:rsid w:val="003C1F6D"/>
    <w:rsid w:val="003C212E"/>
    <w:rsid w:val="003C2167"/>
    <w:rsid w:val="003C2197"/>
    <w:rsid w:val="003C21FC"/>
    <w:rsid w:val="003C2203"/>
    <w:rsid w:val="003C2262"/>
    <w:rsid w:val="003C2459"/>
    <w:rsid w:val="003C250F"/>
    <w:rsid w:val="003C2515"/>
    <w:rsid w:val="003C2519"/>
    <w:rsid w:val="003C252D"/>
    <w:rsid w:val="003C260C"/>
    <w:rsid w:val="003C2655"/>
    <w:rsid w:val="003C26A5"/>
    <w:rsid w:val="003C26DF"/>
    <w:rsid w:val="003C271D"/>
    <w:rsid w:val="003C27A0"/>
    <w:rsid w:val="003C2861"/>
    <w:rsid w:val="003C28A0"/>
    <w:rsid w:val="003C28C7"/>
    <w:rsid w:val="003C2909"/>
    <w:rsid w:val="003C29B4"/>
    <w:rsid w:val="003C29C6"/>
    <w:rsid w:val="003C2AAB"/>
    <w:rsid w:val="003C2AF9"/>
    <w:rsid w:val="003C2B25"/>
    <w:rsid w:val="003C2B28"/>
    <w:rsid w:val="003C2C1B"/>
    <w:rsid w:val="003C2C8A"/>
    <w:rsid w:val="003C2CB0"/>
    <w:rsid w:val="003C2CC4"/>
    <w:rsid w:val="003C2D00"/>
    <w:rsid w:val="003C2D09"/>
    <w:rsid w:val="003C2DB0"/>
    <w:rsid w:val="003C2E3C"/>
    <w:rsid w:val="003C2E5C"/>
    <w:rsid w:val="003C2E5D"/>
    <w:rsid w:val="003C2E8B"/>
    <w:rsid w:val="003C2EBC"/>
    <w:rsid w:val="003C2EFF"/>
    <w:rsid w:val="003C2F19"/>
    <w:rsid w:val="003C2F1A"/>
    <w:rsid w:val="003C2F3B"/>
    <w:rsid w:val="003C2F60"/>
    <w:rsid w:val="003C306A"/>
    <w:rsid w:val="003C30B0"/>
    <w:rsid w:val="003C30E8"/>
    <w:rsid w:val="003C3163"/>
    <w:rsid w:val="003C319B"/>
    <w:rsid w:val="003C31D3"/>
    <w:rsid w:val="003C32CA"/>
    <w:rsid w:val="003C3304"/>
    <w:rsid w:val="003C3383"/>
    <w:rsid w:val="003C33DE"/>
    <w:rsid w:val="003C33FC"/>
    <w:rsid w:val="003C3487"/>
    <w:rsid w:val="003C34B1"/>
    <w:rsid w:val="003C35A4"/>
    <w:rsid w:val="003C35AA"/>
    <w:rsid w:val="003C365F"/>
    <w:rsid w:val="003C368C"/>
    <w:rsid w:val="003C3694"/>
    <w:rsid w:val="003C36A4"/>
    <w:rsid w:val="003C36DF"/>
    <w:rsid w:val="003C36F9"/>
    <w:rsid w:val="003C37A9"/>
    <w:rsid w:val="003C388F"/>
    <w:rsid w:val="003C38BD"/>
    <w:rsid w:val="003C38DE"/>
    <w:rsid w:val="003C393C"/>
    <w:rsid w:val="003C39DD"/>
    <w:rsid w:val="003C39E8"/>
    <w:rsid w:val="003C3A4B"/>
    <w:rsid w:val="003C3B71"/>
    <w:rsid w:val="003C3B93"/>
    <w:rsid w:val="003C3BA5"/>
    <w:rsid w:val="003C3CA5"/>
    <w:rsid w:val="003C3CEE"/>
    <w:rsid w:val="003C3D17"/>
    <w:rsid w:val="003C3D9D"/>
    <w:rsid w:val="003C3DA7"/>
    <w:rsid w:val="003C3DB7"/>
    <w:rsid w:val="003C3DE6"/>
    <w:rsid w:val="003C3E64"/>
    <w:rsid w:val="003C3ED3"/>
    <w:rsid w:val="003C3EEC"/>
    <w:rsid w:val="003C3EF1"/>
    <w:rsid w:val="003C3F15"/>
    <w:rsid w:val="003C3F39"/>
    <w:rsid w:val="003C3F4A"/>
    <w:rsid w:val="003C3F6D"/>
    <w:rsid w:val="003C3F83"/>
    <w:rsid w:val="003C3F92"/>
    <w:rsid w:val="003C3FFF"/>
    <w:rsid w:val="003C4001"/>
    <w:rsid w:val="003C409E"/>
    <w:rsid w:val="003C410E"/>
    <w:rsid w:val="003C425B"/>
    <w:rsid w:val="003C42D6"/>
    <w:rsid w:val="003C42DC"/>
    <w:rsid w:val="003C43EE"/>
    <w:rsid w:val="003C4408"/>
    <w:rsid w:val="003C4453"/>
    <w:rsid w:val="003C44AE"/>
    <w:rsid w:val="003C44D8"/>
    <w:rsid w:val="003C44E4"/>
    <w:rsid w:val="003C4527"/>
    <w:rsid w:val="003C4665"/>
    <w:rsid w:val="003C466F"/>
    <w:rsid w:val="003C47C8"/>
    <w:rsid w:val="003C4810"/>
    <w:rsid w:val="003C486C"/>
    <w:rsid w:val="003C4926"/>
    <w:rsid w:val="003C4931"/>
    <w:rsid w:val="003C497B"/>
    <w:rsid w:val="003C4A74"/>
    <w:rsid w:val="003C4A79"/>
    <w:rsid w:val="003C4ABB"/>
    <w:rsid w:val="003C4AD9"/>
    <w:rsid w:val="003C4B20"/>
    <w:rsid w:val="003C4B24"/>
    <w:rsid w:val="003C4B26"/>
    <w:rsid w:val="003C4BDD"/>
    <w:rsid w:val="003C4C39"/>
    <w:rsid w:val="003C4C52"/>
    <w:rsid w:val="003C4CB4"/>
    <w:rsid w:val="003C4D02"/>
    <w:rsid w:val="003C4D9B"/>
    <w:rsid w:val="003C4D9C"/>
    <w:rsid w:val="003C4E1C"/>
    <w:rsid w:val="003C4E23"/>
    <w:rsid w:val="003C4E65"/>
    <w:rsid w:val="003C4E7C"/>
    <w:rsid w:val="003C4EA0"/>
    <w:rsid w:val="003C4ED9"/>
    <w:rsid w:val="003C4EE7"/>
    <w:rsid w:val="003C4EFB"/>
    <w:rsid w:val="003C4F05"/>
    <w:rsid w:val="003C4F6A"/>
    <w:rsid w:val="003C4FB6"/>
    <w:rsid w:val="003C4FED"/>
    <w:rsid w:val="003C5045"/>
    <w:rsid w:val="003C5047"/>
    <w:rsid w:val="003C5058"/>
    <w:rsid w:val="003C5070"/>
    <w:rsid w:val="003C50C9"/>
    <w:rsid w:val="003C511E"/>
    <w:rsid w:val="003C515B"/>
    <w:rsid w:val="003C5218"/>
    <w:rsid w:val="003C5225"/>
    <w:rsid w:val="003C5231"/>
    <w:rsid w:val="003C5250"/>
    <w:rsid w:val="003C527A"/>
    <w:rsid w:val="003C5283"/>
    <w:rsid w:val="003C5370"/>
    <w:rsid w:val="003C5422"/>
    <w:rsid w:val="003C542A"/>
    <w:rsid w:val="003C5484"/>
    <w:rsid w:val="003C548B"/>
    <w:rsid w:val="003C548E"/>
    <w:rsid w:val="003C54B1"/>
    <w:rsid w:val="003C5502"/>
    <w:rsid w:val="003C552E"/>
    <w:rsid w:val="003C5602"/>
    <w:rsid w:val="003C565E"/>
    <w:rsid w:val="003C5671"/>
    <w:rsid w:val="003C5725"/>
    <w:rsid w:val="003C5764"/>
    <w:rsid w:val="003C576D"/>
    <w:rsid w:val="003C582F"/>
    <w:rsid w:val="003C584F"/>
    <w:rsid w:val="003C5867"/>
    <w:rsid w:val="003C5879"/>
    <w:rsid w:val="003C589B"/>
    <w:rsid w:val="003C5918"/>
    <w:rsid w:val="003C5921"/>
    <w:rsid w:val="003C5A5B"/>
    <w:rsid w:val="003C5A95"/>
    <w:rsid w:val="003C5AA9"/>
    <w:rsid w:val="003C5B36"/>
    <w:rsid w:val="003C5B48"/>
    <w:rsid w:val="003C5B8E"/>
    <w:rsid w:val="003C5C3F"/>
    <w:rsid w:val="003C5D69"/>
    <w:rsid w:val="003C5E8A"/>
    <w:rsid w:val="003C5F0B"/>
    <w:rsid w:val="003C5F2E"/>
    <w:rsid w:val="003C5F8A"/>
    <w:rsid w:val="003C5F97"/>
    <w:rsid w:val="003C5FB7"/>
    <w:rsid w:val="003C5FBB"/>
    <w:rsid w:val="003C5FBD"/>
    <w:rsid w:val="003C6129"/>
    <w:rsid w:val="003C61E3"/>
    <w:rsid w:val="003C6295"/>
    <w:rsid w:val="003C629E"/>
    <w:rsid w:val="003C6326"/>
    <w:rsid w:val="003C634F"/>
    <w:rsid w:val="003C63D1"/>
    <w:rsid w:val="003C6451"/>
    <w:rsid w:val="003C6595"/>
    <w:rsid w:val="003C6596"/>
    <w:rsid w:val="003C659D"/>
    <w:rsid w:val="003C65BB"/>
    <w:rsid w:val="003C65BF"/>
    <w:rsid w:val="003C660E"/>
    <w:rsid w:val="003C6666"/>
    <w:rsid w:val="003C666E"/>
    <w:rsid w:val="003C675A"/>
    <w:rsid w:val="003C6765"/>
    <w:rsid w:val="003C67EA"/>
    <w:rsid w:val="003C67EF"/>
    <w:rsid w:val="003C67F2"/>
    <w:rsid w:val="003C68D5"/>
    <w:rsid w:val="003C6901"/>
    <w:rsid w:val="003C6952"/>
    <w:rsid w:val="003C695F"/>
    <w:rsid w:val="003C6965"/>
    <w:rsid w:val="003C698A"/>
    <w:rsid w:val="003C6A21"/>
    <w:rsid w:val="003C6B4D"/>
    <w:rsid w:val="003C6C61"/>
    <w:rsid w:val="003C6D0D"/>
    <w:rsid w:val="003C6D26"/>
    <w:rsid w:val="003C6D3D"/>
    <w:rsid w:val="003C6D73"/>
    <w:rsid w:val="003C6DDE"/>
    <w:rsid w:val="003C6DFD"/>
    <w:rsid w:val="003C6FF8"/>
    <w:rsid w:val="003C709F"/>
    <w:rsid w:val="003C7108"/>
    <w:rsid w:val="003C7298"/>
    <w:rsid w:val="003C72E5"/>
    <w:rsid w:val="003C7320"/>
    <w:rsid w:val="003C738F"/>
    <w:rsid w:val="003C739B"/>
    <w:rsid w:val="003C73E6"/>
    <w:rsid w:val="003C741E"/>
    <w:rsid w:val="003C74F7"/>
    <w:rsid w:val="003C7514"/>
    <w:rsid w:val="003C7522"/>
    <w:rsid w:val="003C757A"/>
    <w:rsid w:val="003C758A"/>
    <w:rsid w:val="003C75DF"/>
    <w:rsid w:val="003C75ED"/>
    <w:rsid w:val="003C7649"/>
    <w:rsid w:val="003C7804"/>
    <w:rsid w:val="003C784D"/>
    <w:rsid w:val="003C787D"/>
    <w:rsid w:val="003C7941"/>
    <w:rsid w:val="003C7987"/>
    <w:rsid w:val="003C79AB"/>
    <w:rsid w:val="003C7A02"/>
    <w:rsid w:val="003C7A33"/>
    <w:rsid w:val="003C7A7E"/>
    <w:rsid w:val="003C7C51"/>
    <w:rsid w:val="003C7CB7"/>
    <w:rsid w:val="003C7CB8"/>
    <w:rsid w:val="003C7CD9"/>
    <w:rsid w:val="003C7D00"/>
    <w:rsid w:val="003C7D76"/>
    <w:rsid w:val="003C7DF5"/>
    <w:rsid w:val="003C7DF8"/>
    <w:rsid w:val="003C7E67"/>
    <w:rsid w:val="003C7F22"/>
    <w:rsid w:val="003C7FAB"/>
    <w:rsid w:val="003D0006"/>
    <w:rsid w:val="003D00E7"/>
    <w:rsid w:val="003D010D"/>
    <w:rsid w:val="003D01AE"/>
    <w:rsid w:val="003D01BB"/>
    <w:rsid w:val="003D01D4"/>
    <w:rsid w:val="003D025C"/>
    <w:rsid w:val="003D0294"/>
    <w:rsid w:val="003D02AE"/>
    <w:rsid w:val="003D02C1"/>
    <w:rsid w:val="003D02F1"/>
    <w:rsid w:val="003D03F1"/>
    <w:rsid w:val="003D0425"/>
    <w:rsid w:val="003D0469"/>
    <w:rsid w:val="003D04E3"/>
    <w:rsid w:val="003D0515"/>
    <w:rsid w:val="003D0566"/>
    <w:rsid w:val="003D05A0"/>
    <w:rsid w:val="003D05D7"/>
    <w:rsid w:val="003D07B6"/>
    <w:rsid w:val="003D094D"/>
    <w:rsid w:val="003D098C"/>
    <w:rsid w:val="003D099F"/>
    <w:rsid w:val="003D09DA"/>
    <w:rsid w:val="003D09DB"/>
    <w:rsid w:val="003D0AD8"/>
    <w:rsid w:val="003D0ADE"/>
    <w:rsid w:val="003D0AE7"/>
    <w:rsid w:val="003D0B14"/>
    <w:rsid w:val="003D0B16"/>
    <w:rsid w:val="003D0B17"/>
    <w:rsid w:val="003D0BA7"/>
    <w:rsid w:val="003D0BEF"/>
    <w:rsid w:val="003D0C32"/>
    <w:rsid w:val="003D0D06"/>
    <w:rsid w:val="003D0E92"/>
    <w:rsid w:val="003D0EAE"/>
    <w:rsid w:val="003D0ED0"/>
    <w:rsid w:val="003D0F09"/>
    <w:rsid w:val="003D0F59"/>
    <w:rsid w:val="003D1068"/>
    <w:rsid w:val="003D106C"/>
    <w:rsid w:val="003D10F4"/>
    <w:rsid w:val="003D1103"/>
    <w:rsid w:val="003D111D"/>
    <w:rsid w:val="003D11D3"/>
    <w:rsid w:val="003D1263"/>
    <w:rsid w:val="003D132B"/>
    <w:rsid w:val="003D1392"/>
    <w:rsid w:val="003D1395"/>
    <w:rsid w:val="003D139F"/>
    <w:rsid w:val="003D13D1"/>
    <w:rsid w:val="003D13E5"/>
    <w:rsid w:val="003D13F7"/>
    <w:rsid w:val="003D142F"/>
    <w:rsid w:val="003D1489"/>
    <w:rsid w:val="003D14E6"/>
    <w:rsid w:val="003D153A"/>
    <w:rsid w:val="003D1555"/>
    <w:rsid w:val="003D15B5"/>
    <w:rsid w:val="003D165D"/>
    <w:rsid w:val="003D1682"/>
    <w:rsid w:val="003D1752"/>
    <w:rsid w:val="003D175C"/>
    <w:rsid w:val="003D1916"/>
    <w:rsid w:val="003D1948"/>
    <w:rsid w:val="003D197B"/>
    <w:rsid w:val="003D198A"/>
    <w:rsid w:val="003D1A07"/>
    <w:rsid w:val="003D1A0F"/>
    <w:rsid w:val="003D1A1D"/>
    <w:rsid w:val="003D1ACE"/>
    <w:rsid w:val="003D1B11"/>
    <w:rsid w:val="003D1B2F"/>
    <w:rsid w:val="003D1B74"/>
    <w:rsid w:val="003D1C36"/>
    <w:rsid w:val="003D1D0B"/>
    <w:rsid w:val="003D1E2E"/>
    <w:rsid w:val="003D1E35"/>
    <w:rsid w:val="003D1E9F"/>
    <w:rsid w:val="003D1EC2"/>
    <w:rsid w:val="003D1FAA"/>
    <w:rsid w:val="003D2104"/>
    <w:rsid w:val="003D2112"/>
    <w:rsid w:val="003D2128"/>
    <w:rsid w:val="003D217F"/>
    <w:rsid w:val="003D2185"/>
    <w:rsid w:val="003D21C2"/>
    <w:rsid w:val="003D2209"/>
    <w:rsid w:val="003D2351"/>
    <w:rsid w:val="003D23A9"/>
    <w:rsid w:val="003D23AB"/>
    <w:rsid w:val="003D2420"/>
    <w:rsid w:val="003D2435"/>
    <w:rsid w:val="003D24BE"/>
    <w:rsid w:val="003D25F5"/>
    <w:rsid w:val="003D2632"/>
    <w:rsid w:val="003D26EA"/>
    <w:rsid w:val="003D2717"/>
    <w:rsid w:val="003D2726"/>
    <w:rsid w:val="003D273F"/>
    <w:rsid w:val="003D2773"/>
    <w:rsid w:val="003D2798"/>
    <w:rsid w:val="003D27C2"/>
    <w:rsid w:val="003D283E"/>
    <w:rsid w:val="003D288F"/>
    <w:rsid w:val="003D28E2"/>
    <w:rsid w:val="003D290F"/>
    <w:rsid w:val="003D2931"/>
    <w:rsid w:val="003D294B"/>
    <w:rsid w:val="003D2954"/>
    <w:rsid w:val="003D29E6"/>
    <w:rsid w:val="003D29EC"/>
    <w:rsid w:val="003D2A57"/>
    <w:rsid w:val="003D2AE1"/>
    <w:rsid w:val="003D2B19"/>
    <w:rsid w:val="003D2B47"/>
    <w:rsid w:val="003D2B4A"/>
    <w:rsid w:val="003D2B69"/>
    <w:rsid w:val="003D2CAC"/>
    <w:rsid w:val="003D2CB7"/>
    <w:rsid w:val="003D2CBE"/>
    <w:rsid w:val="003D2D4C"/>
    <w:rsid w:val="003D2D78"/>
    <w:rsid w:val="003D2DED"/>
    <w:rsid w:val="003D2E47"/>
    <w:rsid w:val="003D2E8C"/>
    <w:rsid w:val="003D2EE1"/>
    <w:rsid w:val="003D2F13"/>
    <w:rsid w:val="003D2F55"/>
    <w:rsid w:val="003D2F6A"/>
    <w:rsid w:val="003D2FB7"/>
    <w:rsid w:val="003D2FFF"/>
    <w:rsid w:val="003D302B"/>
    <w:rsid w:val="003D3030"/>
    <w:rsid w:val="003D3050"/>
    <w:rsid w:val="003D30A6"/>
    <w:rsid w:val="003D3104"/>
    <w:rsid w:val="003D3154"/>
    <w:rsid w:val="003D31B9"/>
    <w:rsid w:val="003D3255"/>
    <w:rsid w:val="003D3316"/>
    <w:rsid w:val="003D33A7"/>
    <w:rsid w:val="003D33BB"/>
    <w:rsid w:val="003D34D8"/>
    <w:rsid w:val="003D3597"/>
    <w:rsid w:val="003D359A"/>
    <w:rsid w:val="003D367B"/>
    <w:rsid w:val="003D36B1"/>
    <w:rsid w:val="003D370D"/>
    <w:rsid w:val="003D3759"/>
    <w:rsid w:val="003D3765"/>
    <w:rsid w:val="003D37C2"/>
    <w:rsid w:val="003D3873"/>
    <w:rsid w:val="003D38DC"/>
    <w:rsid w:val="003D38F7"/>
    <w:rsid w:val="003D3909"/>
    <w:rsid w:val="003D3A05"/>
    <w:rsid w:val="003D3AC7"/>
    <w:rsid w:val="003D3B1E"/>
    <w:rsid w:val="003D3B5C"/>
    <w:rsid w:val="003D3B87"/>
    <w:rsid w:val="003D3B8D"/>
    <w:rsid w:val="003D3C19"/>
    <w:rsid w:val="003D3C5C"/>
    <w:rsid w:val="003D3CE8"/>
    <w:rsid w:val="003D3D94"/>
    <w:rsid w:val="003D3ED8"/>
    <w:rsid w:val="003D3EEB"/>
    <w:rsid w:val="003D3F0E"/>
    <w:rsid w:val="003D3F4C"/>
    <w:rsid w:val="003D3F4D"/>
    <w:rsid w:val="003D3F5C"/>
    <w:rsid w:val="003D3F81"/>
    <w:rsid w:val="003D3FD0"/>
    <w:rsid w:val="003D3FE2"/>
    <w:rsid w:val="003D401A"/>
    <w:rsid w:val="003D4101"/>
    <w:rsid w:val="003D4190"/>
    <w:rsid w:val="003D41C0"/>
    <w:rsid w:val="003D41E2"/>
    <w:rsid w:val="003D42B6"/>
    <w:rsid w:val="003D42C8"/>
    <w:rsid w:val="003D437D"/>
    <w:rsid w:val="003D43B3"/>
    <w:rsid w:val="003D4415"/>
    <w:rsid w:val="003D44A5"/>
    <w:rsid w:val="003D4547"/>
    <w:rsid w:val="003D45B2"/>
    <w:rsid w:val="003D460A"/>
    <w:rsid w:val="003D4623"/>
    <w:rsid w:val="003D4625"/>
    <w:rsid w:val="003D467C"/>
    <w:rsid w:val="003D4699"/>
    <w:rsid w:val="003D46E5"/>
    <w:rsid w:val="003D472A"/>
    <w:rsid w:val="003D4783"/>
    <w:rsid w:val="003D4785"/>
    <w:rsid w:val="003D47A4"/>
    <w:rsid w:val="003D47D2"/>
    <w:rsid w:val="003D4805"/>
    <w:rsid w:val="003D483B"/>
    <w:rsid w:val="003D4886"/>
    <w:rsid w:val="003D4891"/>
    <w:rsid w:val="003D4934"/>
    <w:rsid w:val="003D4996"/>
    <w:rsid w:val="003D4AAF"/>
    <w:rsid w:val="003D4AFD"/>
    <w:rsid w:val="003D4BF5"/>
    <w:rsid w:val="003D4DA1"/>
    <w:rsid w:val="003D4DC0"/>
    <w:rsid w:val="003D4E52"/>
    <w:rsid w:val="003D4E57"/>
    <w:rsid w:val="003D4E5B"/>
    <w:rsid w:val="003D4ECC"/>
    <w:rsid w:val="003D4EEB"/>
    <w:rsid w:val="003D507A"/>
    <w:rsid w:val="003D50AD"/>
    <w:rsid w:val="003D50B3"/>
    <w:rsid w:val="003D50FF"/>
    <w:rsid w:val="003D5168"/>
    <w:rsid w:val="003D5246"/>
    <w:rsid w:val="003D5326"/>
    <w:rsid w:val="003D532D"/>
    <w:rsid w:val="003D5374"/>
    <w:rsid w:val="003D5388"/>
    <w:rsid w:val="003D539B"/>
    <w:rsid w:val="003D53EF"/>
    <w:rsid w:val="003D54E7"/>
    <w:rsid w:val="003D54FA"/>
    <w:rsid w:val="003D5517"/>
    <w:rsid w:val="003D55B4"/>
    <w:rsid w:val="003D563A"/>
    <w:rsid w:val="003D5750"/>
    <w:rsid w:val="003D5862"/>
    <w:rsid w:val="003D58B8"/>
    <w:rsid w:val="003D5992"/>
    <w:rsid w:val="003D59EB"/>
    <w:rsid w:val="003D5AC4"/>
    <w:rsid w:val="003D5BD4"/>
    <w:rsid w:val="003D5C5D"/>
    <w:rsid w:val="003D5C73"/>
    <w:rsid w:val="003D5D0B"/>
    <w:rsid w:val="003D5D9B"/>
    <w:rsid w:val="003D5DA5"/>
    <w:rsid w:val="003D5DAF"/>
    <w:rsid w:val="003D5E06"/>
    <w:rsid w:val="003D5E0E"/>
    <w:rsid w:val="003D5EBA"/>
    <w:rsid w:val="003D5F15"/>
    <w:rsid w:val="003D5F87"/>
    <w:rsid w:val="003D601C"/>
    <w:rsid w:val="003D6082"/>
    <w:rsid w:val="003D6178"/>
    <w:rsid w:val="003D61C0"/>
    <w:rsid w:val="003D61C8"/>
    <w:rsid w:val="003D61ED"/>
    <w:rsid w:val="003D61FB"/>
    <w:rsid w:val="003D624D"/>
    <w:rsid w:val="003D6373"/>
    <w:rsid w:val="003D63AA"/>
    <w:rsid w:val="003D6433"/>
    <w:rsid w:val="003D6441"/>
    <w:rsid w:val="003D648B"/>
    <w:rsid w:val="003D6534"/>
    <w:rsid w:val="003D6536"/>
    <w:rsid w:val="003D65D0"/>
    <w:rsid w:val="003D65EF"/>
    <w:rsid w:val="003D6652"/>
    <w:rsid w:val="003D6667"/>
    <w:rsid w:val="003D6799"/>
    <w:rsid w:val="003D67B3"/>
    <w:rsid w:val="003D6822"/>
    <w:rsid w:val="003D696C"/>
    <w:rsid w:val="003D69A4"/>
    <w:rsid w:val="003D69D3"/>
    <w:rsid w:val="003D6A77"/>
    <w:rsid w:val="003D6A78"/>
    <w:rsid w:val="003D6A8E"/>
    <w:rsid w:val="003D6B62"/>
    <w:rsid w:val="003D6C0F"/>
    <w:rsid w:val="003D6C6F"/>
    <w:rsid w:val="003D6CA5"/>
    <w:rsid w:val="003D6CD8"/>
    <w:rsid w:val="003D6D0D"/>
    <w:rsid w:val="003D6D66"/>
    <w:rsid w:val="003D6D8C"/>
    <w:rsid w:val="003D6D9E"/>
    <w:rsid w:val="003D6DA4"/>
    <w:rsid w:val="003D6DE0"/>
    <w:rsid w:val="003D6DFB"/>
    <w:rsid w:val="003D6E5E"/>
    <w:rsid w:val="003D6E94"/>
    <w:rsid w:val="003D6F62"/>
    <w:rsid w:val="003D6F8D"/>
    <w:rsid w:val="003D7063"/>
    <w:rsid w:val="003D70A5"/>
    <w:rsid w:val="003D70C7"/>
    <w:rsid w:val="003D7133"/>
    <w:rsid w:val="003D7156"/>
    <w:rsid w:val="003D719A"/>
    <w:rsid w:val="003D71F0"/>
    <w:rsid w:val="003D71F1"/>
    <w:rsid w:val="003D7289"/>
    <w:rsid w:val="003D72B8"/>
    <w:rsid w:val="003D72E5"/>
    <w:rsid w:val="003D7397"/>
    <w:rsid w:val="003D73AC"/>
    <w:rsid w:val="003D73CB"/>
    <w:rsid w:val="003D746D"/>
    <w:rsid w:val="003D7483"/>
    <w:rsid w:val="003D74A4"/>
    <w:rsid w:val="003D75B2"/>
    <w:rsid w:val="003D7664"/>
    <w:rsid w:val="003D76B2"/>
    <w:rsid w:val="003D76B3"/>
    <w:rsid w:val="003D773F"/>
    <w:rsid w:val="003D7798"/>
    <w:rsid w:val="003D786E"/>
    <w:rsid w:val="003D787B"/>
    <w:rsid w:val="003D78DD"/>
    <w:rsid w:val="003D79A2"/>
    <w:rsid w:val="003D79A7"/>
    <w:rsid w:val="003D79CC"/>
    <w:rsid w:val="003D7A51"/>
    <w:rsid w:val="003D7AE8"/>
    <w:rsid w:val="003D7B8E"/>
    <w:rsid w:val="003D7C66"/>
    <w:rsid w:val="003D7C9A"/>
    <w:rsid w:val="003D7CCC"/>
    <w:rsid w:val="003D7DC5"/>
    <w:rsid w:val="003D7E5F"/>
    <w:rsid w:val="003D7EE9"/>
    <w:rsid w:val="003D7F1B"/>
    <w:rsid w:val="003D7F80"/>
    <w:rsid w:val="003D7FCA"/>
    <w:rsid w:val="003D7FE6"/>
    <w:rsid w:val="003E0003"/>
    <w:rsid w:val="003E0076"/>
    <w:rsid w:val="003E00D7"/>
    <w:rsid w:val="003E0138"/>
    <w:rsid w:val="003E015E"/>
    <w:rsid w:val="003E0218"/>
    <w:rsid w:val="003E0302"/>
    <w:rsid w:val="003E0364"/>
    <w:rsid w:val="003E0469"/>
    <w:rsid w:val="003E0579"/>
    <w:rsid w:val="003E05CE"/>
    <w:rsid w:val="003E06E3"/>
    <w:rsid w:val="003E0721"/>
    <w:rsid w:val="003E0741"/>
    <w:rsid w:val="003E0787"/>
    <w:rsid w:val="003E0788"/>
    <w:rsid w:val="003E0792"/>
    <w:rsid w:val="003E07B3"/>
    <w:rsid w:val="003E0891"/>
    <w:rsid w:val="003E0895"/>
    <w:rsid w:val="003E08A5"/>
    <w:rsid w:val="003E08C9"/>
    <w:rsid w:val="003E08D3"/>
    <w:rsid w:val="003E093F"/>
    <w:rsid w:val="003E09D9"/>
    <w:rsid w:val="003E0A06"/>
    <w:rsid w:val="003E0A14"/>
    <w:rsid w:val="003E0ADD"/>
    <w:rsid w:val="003E0B53"/>
    <w:rsid w:val="003E0B57"/>
    <w:rsid w:val="003E0B74"/>
    <w:rsid w:val="003E0C2B"/>
    <w:rsid w:val="003E0C72"/>
    <w:rsid w:val="003E0C81"/>
    <w:rsid w:val="003E0D08"/>
    <w:rsid w:val="003E0D6F"/>
    <w:rsid w:val="003E0E46"/>
    <w:rsid w:val="003E0E4C"/>
    <w:rsid w:val="003E0E4D"/>
    <w:rsid w:val="003E0E64"/>
    <w:rsid w:val="003E0E99"/>
    <w:rsid w:val="003E0EA9"/>
    <w:rsid w:val="003E0FCE"/>
    <w:rsid w:val="003E109B"/>
    <w:rsid w:val="003E10CA"/>
    <w:rsid w:val="003E110B"/>
    <w:rsid w:val="003E1139"/>
    <w:rsid w:val="003E1144"/>
    <w:rsid w:val="003E11B7"/>
    <w:rsid w:val="003E127D"/>
    <w:rsid w:val="003E12A9"/>
    <w:rsid w:val="003E1387"/>
    <w:rsid w:val="003E13C0"/>
    <w:rsid w:val="003E1402"/>
    <w:rsid w:val="003E1488"/>
    <w:rsid w:val="003E1538"/>
    <w:rsid w:val="003E1568"/>
    <w:rsid w:val="003E15FD"/>
    <w:rsid w:val="003E1653"/>
    <w:rsid w:val="003E167B"/>
    <w:rsid w:val="003E17E3"/>
    <w:rsid w:val="003E1899"/>
    <w:rsid w:val="003E18A3"/>
    <w:rsid w:val="003E18E0"/>
    <w:rsid w:val="003E1915"/>
    <w:rsid w:val="003E19D9"/>
    <w:rsid w:val="003E19F4"/>
    <w:rsid w:val="003E1A19"/>
    <w:rsid w:val="003E1B3D"/>
    <w:rsid w:val="003E1C4D"/>
    <w:rsid w:val="003E1C9C"/>
    <w:rsid w:val="003E1CAA"/>
    <w:rsid w:val="003E1D5F"/>
    <w:rsid w:val="003E1DCA"/>
    <w:rsid w:val="003E1E64"/>
    <w:rsid w:val="003E1E6A"/>
    <w:rsid w:val="003E1E9C"/>
    <w:rsid w:val="003E1EA5"/>
    <w:rsid w:val="003E1F2F"/>
    <w:rsid w:val="003E1F72"/>
    <w:rsid w:val="003E2179"/>
    <w:rsid w:val="003E21F6"/>
    <w:rsid w:val="003E220C"/>
    <w:rsid w:val="003E228D"/>
    <w:rsid w:val="003E22DB"/>
    <w:rsid w:val="003E23CB"/>
    <w:rsid w:val="003E2410"/>
    <w:rsid w:val="003E2469"/>
    <w:rsid w:val="003E24AE"/>
    <w:rsid w:val="003E24AF"/>
    <w:rsid w:val="003E2502"/>
    <w:rsid w:val="003E25CF"/>
    <w:rsid w:val="003E2645"/>
    <w:rsid w:val="003E266C"/>
    <w:rsid w:val="003E2696"/>
    <w:rsid w:val="003E26F7"/>
    <w:rsid w:val="003E273F"/>
    <w:rsid w:val="003E276A"/>
    <w:rsid w:val="003E27B5"/>
    <w:rsid w:val="003E27E3"/>
    <w:rsid w:val="003E285A"/>
    <w:rsid w:val="003E28A6"/>
    <w:rsid w:val="003E28FF"/>
    <w:rsid w:val="003E2927"/>
    <w:rsid w:val="003E2971"/>
    <w:rsid w:val="003E298F"/>
    <w:rsid w:val="003E29FD"/>
    <w:rsid w:val="003E2A5A"/>
    <w:rsid w:val="003E2A9F"/>
    <w:rsid w:val="003E2AB4"/>
    <w:rsid w:val="003E2B9F"/>
    <w:rsid w:val="003E2BCF"/>
    <w:rsid w:val="003E2C09"/>
    <w:rsid w:val="003E2CA3"/>
    <w:rsid w:val="003E2CDE"/>
    <w:rsid w:val="003E2D10"/>
    <w:rsid w:val="003E2DAE"/>
    <w:rsid w:val="003E2F57"/>
    <w:rsid w:val="003E2FB1"/>
    <w:rsid w:val="003E2FC9"/>
    <w:rsid w:val="003E2FEE"/>
    <w:rsid w:val="003E3087"/>
    <w:rsid w:val="003E3106"/>
    <w:rsid w:val="003E31B0"/>
    <w:rsid w:val="003E320E"/>
    <w:rsid w:val="003E3298"/>
    <w:rsid w:val="003E329A"/>
    <w:rsid w:val="003E331F"/>
    <w:rsid w:val="003E332A"/>
    <w:rsid w:val="003E33BB"/>
    <w:rsid w:val="003E341D"/>
    <w:rsid w:val="003E3447"/>
    <w:rsid w:val="003E346F"/>
    <w:rsid w:val="003E351B"/>
    <w:rsid w:val="003E3545"/>
    <w:rsid w:val="003E3644"/>
    <w:rsid w:val="003E3660"/>
    <w:rsid w:val="003E3696"/>
    <w:rsid w:val="003E36FD"/>
    <w:rsid w:val="003E3760"/>
    <w:rsid w:val="003E3798"/>
    <w:rsid w:val="003E37C3"/>
    <w:rsid w:val="003E393F"/>
    <w:rsid w:val="003E3A76"/>
    <w:rsid w:val="003E3B1F"/>
    <w:rsid w:val="003E3B37"/>
    <w:rsid w:val="003E3B43"/>
    <w:rsid w:val="003E3B47"/>
    <w:rsid w:val="003E3BA2"/>
    <w:rsid w:val="003E3C37"/>
    <w:rsid w:val="003E3C91"/>
    <w:rsid w:val="003E3C9D"/>
    <w:rsid w:val="003E3CA1"/>
    <w:rsid w:val="003E3CE9"/>
    <w:rsid w:val="003E3D6F"/>
    <w:rsid w:val="003E3DEF"/>
    <w:rsid w:val="003E3E0E"/>
    <w:rsid w:val="003E3E5D"/>
    <w:rsid w:val="003E3F28"/>
    <w:rsid w:val="003E3F2C"/>
    <w:rsid w:val="003E3FF5"/>
    <w:rsid w:val="003E4011"/>
    <w:rsid w:val="003E4063"/>
    <w:rsid w:val="003E40E7"/>
    <w:rsid w:val="003E412B"/>
    <w:rsid w:val="003E414C"/>
    <w:rsid w:val="003E42C9"/>
    <w:rsid w:val="003E431E"/>
    <w:rsid w:val="003E43D1"/>
    <w:rsid w:val="003E4400"/>
    <w:rsid w:val="003E4429"/>
    <w:rsid w:val="003E4463"/>
    <w:rsid w:val="003E446F"/>
    <w:rsid w:val="003E44D2"/>
    <w:rsid w:val="003E4529"/>
    <w:rsid w:val="003E4552"/>
    <w:rsid w:val="003E4579"/>
    <w:rsid w:val="003E45CD"/>
    <w:rsid w:val="003E45F8"/>
    <w:rsid w:val="003E46B5"/>
    <w:rsid w:val="003E46C7"/>
    <w:rsid w:val="003E46D0"/>
    <w:rsid w:val="003E4723"/>
    <w:rsid w:val="003E477E"/>
    <w:rsid w:val="003E47E5"/>
    <w:rsid w:val="003E4856"/>
    <w:rsid w:val="003E48C4"/>
    <w:rsid w:val="003E48D4"/>
    <w:rsid w:val="003E4932"/>
    <w:rsid w:val="003E49F4"/>
    <w:rsid w:val="003E4A34"/>
    <w:rsid w:val="003E4A6E"/>
    <w:rsid w:val="003E4B5A"/>
    <w:rsid w:val="003E4C31"/>
    <w:rsid w:val="003E4C92"/>
    <w:rsid w:val="003E4DF1"/>
    <w:rsid w:val="003E4DF6"/>
    <w:rsid w:val="003E4E2A"/>
    <w:rsid w:val="003E4E57"/>
    <w:rsid w:val="003E4E7C"/>
    <w:rsid w:val="003E4EB0"/>
    <w:rsid w:val="003E5014"/>
    <w:rsid w:val="003E506C"/>
    <w:rsid w:val="003E514B"/>
    <w:rsid w:val="003E51C3"/>
    <w:rsid w:val="003E5217"/>
    <w:rsid w:val="003E5218"/>
    <w:rsid w:val="003E527D"/>
    <w:rsid w:val="003E52B0"/>
    <w:rsid w:val="003E5387"/>
    <w:rsid w:val="003E5473"/>
    <w:rsid w:val="003E54D2"/>
    <w:rsid w:val="003E55AA"/>
    <w:rsid w:val="003E5652"/>
    <w:rsid w:val="003E5665"/>
    <w:rsid w:val="003E5696"/>
    <w:rsid w:val="003E5732"/>
    <w:rsid w:val="003E5806"/>
    <w:rsid w:val="003E5821"/>
    <w:rsid w:val="003E5868"/>
    <w:rsid w:val="003E58E7"/>
    <w:rsid w:val="003E5910"/>
    <w:rsid w:val="003E5938"/>
    <w:rsid w:val="003E596B"/>
    <w:rsid w:val="003E596F"/>
    <w:rsid w:val="003E5A46"/>
    <w:rsid w:val="003E5AB0"/>
    <w:rsid w:val="003E5AD0"/>
    <w:rsid w:val="003E5B09"/>
    <w:rsid w:val="003E5B3B"/>
    <w:rsid w:val="003E5B81"/>
    <w:rsid w:val="003E5D8C"/>
    <w:rsid w:val="003E5DF4"/>
    <w:rsid w:val="003E5E07"/>
    <w:rsid w:val="003E5E20"/>
    <w:rsid w:val="003E5E26"/>
    <w:rsid w:val="003E5E27"/>
    <w:rsid w:val="003E5FC8"/>
    <w:rsid w:val="003E5FE8"/>
    <w:rsid w:val="003E5FED"/>
    <w:rsid w:val="003E6067"/>
    <w:rsid w:val="003E6198"/>
    <w:rsid w:val="003E62A4"/>
    <w:rsid w:val="003E6377"/>
    <w:rsid w:val="003E637F"/>
    <w:rsid w:val="003E63F3"/>
    <w:rsid w:val="003E6465"/>
    <w:rsid w:val="003E64C5"/>
    <w:rsid w:val="003E6572"/>
    <w:rsid w:val="003E6585"/>
    <w:rsid w:val="003E65A3"/>
    <w:rsid w:val="003E65AB"/>
    <w:rsid w:val="003E66A7"/>
    <w:rsid w:val="003E66E9"/>
    <w:rsid w:val="003E678A"/>
    <w:rsid w:val="003E6810"/>
    <w:rsid w:val="003E68A9"/>
    <w:rsid w:val="003E6905"/>
    <w:rsid w:val="003E69C0"/>
    <w:rsid w:val="003E6A2B"/>
    <w:rsid w:val="003E6A7B"/>
    <w:rsid w:val="003E6AE6"/>
    <w:rsid w:val="003E6B30"/>
    <w:rsid w:val="003E6C4F"/>
    <w:rsid w:val="003E6C65"/>
    <w:rsid w:val="003E6C72"/>
    <w:rsid w:val="003E6C8A"/>
    <w:rsid w:val="003E6CBA"/>
    <w:rsid w:val="003E6D2A"/>
    <w:rsid w:val="003E6DA8"/>
    <w:rsid w:val="003E6DD5"/>
    <w:rsid w:val="003E6E53"/>
    <w:rsid w:val="003E6EFA"/>
    <w:rsid w:val="003E6F53"/>
    <w:rsid w:val="003E6F80"/>
    <w:rsid w:val="003E704F"/>
    <w:rsid w:val="003E7093"/>
    <w:rsid w:val="003E70D4"/>
    <w:rsid w:val="003E7113"/>
    <w:rsid w:val="003E7169"/>
    <w:rsid w:val="003E7198"/>
    <w:rsid w:val="003E71B5"/>
    <w:rsid w:val="003E71F4"/>
    <w:rsid w:val="003E72BB"/>
    <w:rsid w:val="003E72FF"/>
    <w:rsid w:val="003E73BB"/>
    <w:rsid w:val="003E73C0"/>
    <w:rsid w:val="003E73D0"/>
    <w:rsid w:val="003E73E4"/>
    <w:rsid w:val="003E748A"/>
    <w:rsid w:val="003E74AB"/>
    <w:rsid w:val="003E7530"/>
    <w:rsid w:val="003E75EC"/>
    <w:rsid w:val="003E7625"/>
    <w:rsid w:val="003E7629"/>
    <w:rsid w:val="003E7635"/>
    <w:rsid w:val="003E7661"/>
    <w:rsid w:val="003E7687"/>
    <w:rsid w:val="003E76EB"/>
    <w:rsid w:val="003E775B"/>
    <w:rsid w:val="003E7851"/>
    <w:rsid w:val="003E78C4"/>
    <w:rsid w:val="003E795F"/>
    <w:rsid w:val="003E797C"/>
    <w:rsid w:val="003E7984"/>
    <w:rsid w:val="003E7995"/>
    <w:rsid w:val="003E79B7"/>
    <w:rsid w:val="003E79C1"/>
    <w:rsid w:val="003E7A1E"/>
    <w:rsid w:val="003E7A2F"/>
    <w:rsid w:val="003E7A37"/>
    <w:rsid w:val="003E7A84"/>
    <w:rsid w:val="003E7AB8"/>
    <w:rsid w:val="003E7AB9"/>
    <w:rsid w:val="003E7AC0"/>
    <w:rsid w:val="003E7BF7"/>
    <w:rsid w:val="003E7C42"/>
    <w:rsid w:val="003E7CDE"/>
    <w:rsid w:val="003E7D52"/>
    <w:rsid w:val="003E7E72"/>
    <w:rsid w:val="003E7EEB"/>
    <w:rsid w:val="003E7F4E"/>
    <w:rsid w:val="003E7F7D"/>
    <w:rsid w:val="003F0032"/>
    <w:rsid w:val="003F004B"/>
    <w:rsid w:val="003F00D2"/>
    <w:rsid w:val="003F00F0"/>
    <w:rsid w:val="003F0196"/>
    <w:rsid w:val="003F01FA"/>
    <w:rsid w:val="003F024B"/>
    <w:rsid w:val="003F025B"/>
    <w:rsid w:val="003F0286"/>
    <w:rsid w:val="003F0301"/>
    <w:rsid w:val="003F035D"/>
    <w:rsid w:val="003F0384"/>
    <w:rsid w:val="003F03AD"/>
    <w:rsid w:val="003F03CC"/>
    <w:rsid w:val="003F042A"/>
    <w:rsid w:val="003F0458"/>
    <w:rsid w:val="003F0511"/>
    <w:rsid w:val="003F057F"/>
    <w:rsid w:val="003F0664"/>
    <w:rsid w:val="003F066A"/>
    <w:rsid w:val="003F06CD"/>
    <w:rsid w:val="003F06D6"/>
    <w:rsid w:val="003F0774"/>
    <w:rsid w:val="003F07E5"/>
    <w:rsid w:val="003F08CD"/>
    <w:rsid w:val="003F08D6"/>
    <w:rsid w:val="003F0906"/>
    <w:rsid w:val="003F0964"/>
    <w:rsid w:val="003F098D"/>
    <w:rsid w:val="003F09B9"/>
    <w:rsid w:val="003F09BF"/>
    <w:rsid w:val="003F0A6A"/>
    <w:rsid w:val="003F0A7A"/>
    <w:rsid w:val="003F0AA3"/>
    <w:rsid w:val="003F0B3C"/>
    <w:rsid w:val="003F0B47"/>
    <w:rsid w:val="003F0B60"/>
    <w:rsid w:val="003F0B94"/>
    <w:rsid w:val="003F0BC5"/>
    <w:rsid w:val="003F0BCC"/>
    <w:rsid w:val="003F0BED"/>
    <w:rsid w:val="003F0C64"/>
    <w:rsid w:val="003F0CA0"/>
    <w:rsid w:val="003F0D06"/>
    <w:rsid w:val="003F0D0D"/>
    <w:rsid w:val="003F0D1F"/>
    <w:rsid w:val="003F0D26"/>
    <w:rsid w:val="003F0DCC"/>
    <w:rsid w:val="003F0DDE"/>
    <w:rsid w:val="003F0E00"/>
    <w:rsid w:val="003F0E20"/>
    <w:rsid w:val="003F0E6F"/>
    <w:rsid w:val="003F0E7B"/>
    <w:rsid w:val="003F0E82"/>
    <w:rsid w:val="003F0EF4"/>
    <w:rsid w:val="003F1059"/>
    <w:rsid w:val="003F10F2"/>
    <w:rsid w:val="003F11BE"/>
    <w:rsid w:val="003F11D5"/>
    <w:rsid w:val="003F1285"/>
    <w:rsid w:val="003F135E"/>
    <w:rsid w:val="003F1372"/>
    <w:rsid w:val="003F13A6"/>
    <w:rsid w:val="003F1479"/>
    <w:rsid w:val="003F1573"/>
    <w:rsid w:val="003F1585"/>
    <w:rsid w:val="003F15A0"/>
    <w:rsid w:val="003F15B4"/>
    <w:rsid w:val="003F1647"/>
    <w:rsid w:val="003F169F"/>
    <w:rsid w:val="003F170D"/>
    <w:rsid w:val="003F1733"/>
    <w:rsid w:val="003F17A6"/>
    <w:rsid w:val="003F17A9"/>
    <w:rsid w:val="003F17AB"/>
    <w:rsid w:val="003F17F0"/>
    <w:rsid w:val="003F1809"/>
    <w:rsid w:val="003F1814"/>
    <w:rsid w:val="003F183A"/>
    <w:rsid w:val="003F1856"/>
    <w:rsid w:val="003F18B5"/>
    <w:rsid w:val="003F18F2"/>
    <w:rsid w:val="003F18F8"/>
    <w:rsid w:val="003F1A0E"/>
    <w:rsid w:val="003F1AB1"/>
    <w:rsid w:val="003F1B44"/>
    <w:rsid w:val="003F1B79"/>
    <w:rsid w:val="003F1B8D"/>
    <w:rsid w:val="003F1BAC"/>
    <w:rsid w:val="003F1BB0"/>
    <w:rsid w:val="003F1BE0"/>
    <w:rsid w:val="003F1C7A"/>
    <w:rsid w:val="003F1C8B"/>
    <w:rsid w:val="003F1CCA"/>
    <w:rsid w:val="003F1DA6"/>
    <w:rsid w:val="003F1DE5"/>
    <w:rsid w:val="003F1E45"/>
    <w:rsid w:val="003F1E63"/>
    <w:rsid w:val="003F1E70"/>
    <w:rsid w:val="003F1F04"/>
    <w:rsid w:val="003F1F09"/>
    <w:rsid w:val="003F1F60"/>
    <w:rsid w:val="003F1FB0"/>
    <w:rsid w:val="003F1FBB"/>
    <w:rsid w:val="003F20E3"/>
    <w:rsid w:val="003F215B"/>
    <w:rsid w:val="003F2270"/>
    <w:rsid w:val="003F2278"/>
    <w:rsid w:val="003F23DE"/>
    <w:rsid w:val="003F2475"/>
    <w:rsid w:val="003F24C6"/>
    <w:rsid w:val="003F24D1"/>
    <w:rsid w:val="003F255C"/>
    <w:rsid w:val="003F2568"/>
    <w:rsid w:val="003F2627"/>
    <w:rsid w:val="003F26EA"/>
    <w:rsid w:val="003F2714"/>
    <w:rsid w:val="003F272C"/>
    <w:rsid w:val="003F27EC"/>
    <w:rsid w:val="003F2844"/>
    <w:rsid w:val="003F28A8"/>
    <w:rsid w:val="003F28FA"/>
    <w:rsid w:val="003F2939"/>
    <w:rsid w:val="003F2945"/>
    <w:rsid w:val="003F2A08"/>
    <w:rsid w:val="003F2A17"/>
    <w:rsid w:val="003F2A4D"/>
    <w:rsid w:val="003F2BBE"/>
    <w:rsid w:val="003F2C7F"/>
    <w:rsid w:val="003F2CE2"/>
    <w:rsid w:val="003F2E7F"/>
    <w:rsid w:val="003F2EEC"/>
    <w:rsid w:val="003F2F19"/>
    <w:rsid w:val="003F3073"/>
    <w:rsid w:val="003F30B7"/>
    <w:rsid w:val="003F3101"/>
    <w:rsid w:val="003F318B"/>
    <w:rsid w:val="003F3193"/>
    <w:rsid w:val="003F31B0"/>
    <w:rsid w:val="003F31E3"/>
    <w:rsid w:val="003F32AF"/>
    <w:rsid w:val="003F32D2"/>
    <w:rsid w:val="003F33B4"/>
    <w:rsid w:val="003F33B5"/>
    <w:rsid w:val="003F3411"/>
    <w:rsid w:val="003F34C5"/>
    <w:rsid w:val="003F34E3"/>
    <w:rsid w:val="003F34F3"/>
    <w:rsid w:val="003F3529"/>
    <w:rsid w:val="003F353E"/>
    <w:rsid w:val="003F35B1"/>
    <w:rsid w:val="003F35D9"/>
    <w:rsid w:val="003F3645"/>
    <w:rsid w:val="003F36BA"/>
    <w:rsid w:val="003F371D"/>
    <w:rsid w:val="003F3823"/>
    <w:rsid w:val="003F3836"/>
    <w:rsid w:val="003F3951"/>
    <w:rsid w:val="003F3987"/>
    <w:rsid w:val="003F3A53"/>
    <w:rsid w:val="003F3B0B"/>
    <w:rsid w:val="003F3BAE"/>
    <w:rsid w:val="003F3BC2"/>
    <w:rsid w:val="003F3BC5"/>
    <w:rsid w:val="003F3BD5"/>
    <w:rsid w:val="003F3D87"/>
    <w:rsid w:val="003F3DAA"/>
    <w:rsid w:val="003F3DF4"/>
    <w:rsid w:val="003F3EA7"/>
    <w:rsid w:val="003F3F2D"/>
    <w:rsid w:val="003F3F43"/>
    <w:rsid w:val="003F4066"/>
    <w:rsid w:val="003F41B1"/>
    <w:rsid w:val="003F4220"/>
    <w:rsid w:val="003F42E0"/>
    <w:rsid w:val="003F4415"/>
    <w:rsid w:val="003F4443"/>
    <w:rsid w:val="003F450A"/>
    <w:rsid w:val="003F457D"/>
    <w:rsid w:val="003F45A8"/>
    <w:rsid w:val="003F460E"/>
    <w:rsid w:val="003F4611"/>
    <w:rsid w:val="003F46DA"/>
    <w:rsid w:val="003F4778"/>
    <w:rsid w:val="003F479A"/>
    <w:rsid w:val="003F47DF"/>
    <w:rsid w:val="003F4819"/>
    <w:rsid w:val="003F4841"/>
    <w:rsid w:val="003F490B"/>
    <w:rsid w:val="003F4961"/>
    <w:rsid w:val="003F4963"/>
    <w:rsid w:val="003F497A"/>
    <w:rsid w:val="003F4A55"/>
    <w:rsid w:val="003F4A68"/>
    <w:rsid w:val="003F4AEF"/>
    <w:rsid w:val="003F4BAE"/>
    <w:rsid w:val="003F4BBC"/>
    <w:rsid w:val="003F4C54"/>
    <w:rsid w:val="003F4C92"/>
    <w:rsid w:val="003F4CD1"/>
    <w:rsid w:val="003F4CFF"/>
    <w:rsid w:val="003F4DB0"/>
    <w:rsid w:val="003F4DC1"/>
    <w:rsid w:val="003F4DE6"/>
    <w:rsid w:val="003F4E8A"/>
    <w:rsid w:val="003F4EF8"/>
    <w:rsid w:val="003F4F94"/>
    <w:rsid w:val="003F4FAB"/>
    <w:rsid w:val="003F4FBD"/>
    <w:rsid w:val="003F4FC9"/>
    <w:rsid w:val="003F5057"/>
    <w:rsid w:val="003F50D7"/>
    <w:rsid w:val="003F50F1"/>
    <w:rsid w:val="003F519B"/>
    <w:rsid w:val="003F52DB"/>
    <w:rsid w:val="003F52DC"/>
    <w:rsid w:val="003F532D"/>
    <w:rsid w:val="003F5339"/>
    <w:rsid w:val="003F540C"/>
    <w:rsid w:val="003F5446"/>
    <w:rsid w:val="003F5449"/>
    <w:rsid w:val="003F5560"/>
    <w:rsid w:val="003F5591"/>
    <w:rsid w:val="003F55AD"/>
    <w:rsid w:val="003F5621"/>
    <w:rsid w:val="003F56AC"/>
    <w:rsid w:val="003F56C8"/>
    <w:rsid w:val="003F56CC"/>
    <w:rsid w:val="003F56E0"/>
    <w:rsid w:val="003F56E9"/>
    <w:rsid w:val="003F56FE"/>
    <w:rsid w:val="003F573C"/>
    <w:rsid w:val="003F5746"/>
    <w:rsid w:val="003F5898"/>
    <w:rsid w:val="003F5925"/>
    <w:rsid w:val="003F5972"/>
    <w:rsid w:val="003F59C6"/>
    <w:rsid w:val="003F5A5B"/>
    <w:rsid w:val="003F5B02"/>
    <w:rsid w:val="003F5B8C"/>
    <w:rsid w:val="003F5BA3"/>
    <w:rsid w:val="003F5C72"/>
    <w:rsid w:val="003F5D65"/>
    <w:rsid w:val="003F5D7F"/>
    <w:rsid w:val="003F5DDB"/>
    <w:rsid w:val="003F5EC0"/>
    <w:rsid w:val="003F5F78"/>
    <w:rsid w:val="003F5FF4"/>
    <w:rsid w:val="003F60DA"/>
    <w:rsid w:val="003F610B"/>
    <w:rsid w:val="003F6157"/>
    <w:rsid w:val="003F617F"/>
    <w:rsid w:val="003F61C4"/>
    <w:rsid w:val="003F62B1"/>
    <w:rsid w:val="003F635E"/>
    <w:rsid w:val="003F6375"/>
    <w:rsid w:val="003F6378"/>
    <w:rsid w:val="003F6388"/>
    <w:rsid w:val="003F6447"/>
    <w:rsid w:val="003F6468"/>
    <w:rsid w:val="003F6494"/>
    <w:rsid w:val="003F64BA"/>
    <w:rsid w:val="003F64C3"/>
    <w:rsid w:val="003F6601"/>
    <w:rsid w:val="003F6613"/>
    <w:rsid w:val="003F664F"/>
    <w:rsid w:val="003F669F"/>
    <w:rsid w:val="003F66B3"/>
    <w:rsid w:val="003F6712"/>
    <w:rsid w:val="003F67DD"/>
    <w:rsid w:val="003F67E9"/>
    <w:rsid w:val="003F6812"/>
    <w:rsid w:val="003F6813"/>
    <w:rsid w:val="003F688F"/>
    <w:rsid w:val="003F68AB"/>
    <w:rsid w:val="003F69B7"/>
    <w:rsid w:val="003F69DD"/>
    <w:rsid w:val="003F69E3"/>
    <w:rsid w:val="003F69EA"/>
    <w:rsid w:val="003F6A09"/>
    <w:rsid w:val="003F6A2E"/>
    <w:rsid w:val="003F6A50"/>
    <w:rsid w:val="003F6A6C"/>
    <w:rsid w:val="003F6AB9"/>
    <w:rsid w:val="003F6B33"/>
    <w:rsid w:val="003F6BB9"/>
    <w:rsid w:val="003F6BE1"/>
    <w:rsid w:val="003F6CCB"/>
    <w:rsid w:val="003F6D3A"/>
    <w:rsid w:val="003F6D9C"/>
    <w:rsid w:val="003F6D9D"/>
    <w:rsid w:val="003F6E40"/>
    <w:rsid w:val="003F6E78"/>
    <w:rsid w:val="003F6EEB"/>
    <w:rsid w:val="003F6F3E"/>
    <w:rsid w:val="003F6F7E"/>
    <w:rsid w:val="003F6FC4"/>
    <w:rsid w:val="003F7045"/>
    <w:rsid w:val="003F70A1"/>
    <w:rsid w:val="003F70B0"/>
    <w:rsid w:val="003F7160"/>
    <w:rsid w:val="003F71D1"/>
    <w:rsid w:val="003F71F2"/>
    <w:rsid w:val="003F71FC"/>
    <w:rsid w:val="003F7323"/>
    <w:rsid w:val="003F7333"/>
    <w:rsid w:val="003F7375"/>
    <w:rsid w:val="003F74D7"/>
    <w:rsid w:val="003F7516"/>
    <w:rsid w:val="003F754D"/>
    <w:rsid w:val="003F7621"/>
    <w:rsid w:val="003F76D9"/>
    <w:rsid w:val="003F77EB"/>
    <w:rsid w:val="003F7853"/>
    <w:rsid w:val="003F788D"/>
    <w:rsid w:val="003F7921"/>
    <w:rsid w:val="003F7A28"/>
    <w:rsid w:val="003F7A4B"/>
    <w:rsid w:val="003F7A88"/>
    <w:rsid w:val="003F7AC9"/>
    <w:rsid w:val="003F7AF1"/>
    <w:rsid w:val="003F7B36"/>
    <w:rsid w:val="003F7BDA"/>
    <w:rsid w:val="003F7BF0"/>
    <w:rsid w:val="003F7C77"/>
    <w:rsid w:val="003F7CEC"/>
    <w:rsid w:val="003F7D06"/>
    <w:rsid w:val="003F7D12"/>
    <w:rsid w:val="003F7D48"/>
    <w:rsid w:val="003F7DA3"/>
    <w:rsid w:val="003F7DD6"/>
    <w:rsid w:val="003F7DE4"/>
    <w:rsid w:val="003F7E1A"/>
    <w:rsid w:val="003F7EB5"/>
    <w:rsid w:val="003F7FDC"/>
    <w:rsid w:val="00400029"/>
    <w:rsid w:val="004000CF"/>
    <w:rsid w:val="004000FF"/>
    <w:rsid w:val="00400197"/>
    <w:rsid w:val="00400328"/>
    <w:rsid w:val="00400359"/>
    <w:rsid w:val="004003AD"/>
    <w:rsid w:val="004003AE"/>
    <w:rsid w:val="004003BC"/>
    <w:rsid w:val="00400544"/>
    <w:rsid w:val="00400628"/>
    <w:rsid w:val="0040065A"/>
    <w:rsid w:val="004006BE"/>
    <w:rsid w:val="00400700"/>
    <w:rsid w:val="00400703"/>
    <w:rsid w:val="0040075B"/>
    <w:rsid w:val="0040076D"/>
    <w:rsid w:val="0040084F"/>
    <w:rsid w:val="0040087A"/>
    <w:rsid w:val="004008AC"/>
    <w:rsid w:val="004008C9"/>
    <w:rsid w:val="0040090E"/>
    <w:rsid w:val="00400949"/>
    <w:rsid w:val="0040094C"/>
    <w:rsid w:val="004009D4"/>
    <w:rsid w:val="00400A52"/>
    <w:rsid w:val="00400CFA"/>
    <w:rsid w:val="00400DB4"/>
    <w:rsid w:val="00400EDE"/>
    <w:rsid w:val="00400F7B"/>
    <w:rsid w:val="0040106D"/>
    <w:rsid w:val="00401082"/>
    <w:rsid w:val="00401096"/>
    <w:rsid w:val="004010A5"/>
    <w:rsid w:val="004010CE"/>
    <w:rsid w:val="004011A6"/>
    <w:rsid w:val="004011BF"/>
    <w:rsid w:val="004011E0"/>
    <w:rsid w:val="00401229"/>
    <w:rsid w:val="00401261"/>
    <w:rsid w:val="00401315"/>
    <w:rsid w:val="0040137E"/>
    <w:rsid w:val="00401399"/>
    <w:rsid w:val="004013D4"/>
    <w:rsid w:val="004013D5"/>
    <w:rsid w:val="0040146D"/>
    <w:rsid w:val="0040155E"/>
    <w:rsid w:val="004015F3"/>
    <w:rsid w:val="004016F8"/>
    <w:rsid w:val="004017A9"/>
    <w:rsid w:val="0040182E"/>
    <w:rsid w:val="00401839"/>
    <w:rsid w:val="00401869"/>
    <w:rsid w:val="00401871"/>
    <w:rsid w:val="00401893"/>
    <w:rsid w:val="0040191E"/>
    <w:rsid w:val="004019F8"/>
    <w:rsid w:val="00401A3E"/>
    <w:rsid w:val="00401A40"/>
    <w:rsid w:val="00401B10"/>
    <w:rsid w:val="00401B36"/>
    <w:rsid w:val="00401B3A"/>
    <w:rsid w:val="00401B43"/>
    <w:rsid w:val="00401CCC"/>
    <w:rsid w:val="00401D6A"/>
    <w:rsid w:val="00401D9C"/>
    <w:rsid w:val="00401E00"/>
    <w:rsid w:val="00401E1E"/>
    <w:rsid w:val="00401E42"/>
    <w:rsid w:val="00401EB3"/>
    <w:rsid w:val="00401EF1"/>
    <w:rsid w:val="00401F9F"/>
    <w:rsid w:val="00401FB9"/>
    <w:rsid w:val="00401FCE"/>
    <w:rsid w:val="0040200A"/>
    <w:rsid w:val="00402032"/>
    <w:rsid w:val="00402039"/>
    <w:rsid w:val="00402139"/>
    <w:rsid w:val="00402147"/>
    <w:rsid w:val="00402149"/>
    <w:rsid w:val="00402161"/>
    <w:rsid w:val="0040224B"/>
    <w:rsid w:val="004022DA"/>
    <w:rsid w:val="004022E5"/>
    <w:rsid w:val="004023E3"/>
    <w:rsid w:val="004023FA"/>
    <w:rsid w:val="00402470"/>
    <w:rsid w:val="004024D4"/>
    <w:rsid w:val="004024E9"/>
    <w:rsid w:val="004024FF"/>
    <w:rsid w:val="00402536"/>
    <w:rsid w:val="004025A7"/>
    <w:rsid w:val="00402617"/>
    <w:rsid w:val="00402622"/>
    <w:rsid w:val="0040264D"/>
    <w:rsid w:val="004026A7"/>
    <w:rsid w:val="004026CC"/>
    <w:rsid w:val="0040270D"/>
    <w:rsid w:val="0040273C"/>
    <w:rsid w:val="00402764"/>
    <w:rsid w:val="00402895"/>
    <w:rsid w:val="00402920"/>
    <w:rsid w:val="004029D3"/>
    <w:rsid w:val="004029E0"/>
    <w:rsid w:val="00402A35"/>
    <w:rsid w:val="00402A56"/>
    <w:rsid w:val="00402B5B"/>
    <w:rsid w:val="00402B67"/>
    <w:rsid w:val="00402B7D"/>
    <w:rsid w:val="00402C48"/>
    <w:rsid w:val="00402CFE"/>
    <w:rsid w:val="00402DD5"/>
    <w:rsid w:val="00402E18"/>
    <w:rsid w:val="00402E1C"/>
    <w:rsid w:val="00402E26"/>
    <w:rsid w:val="00402E7D"/>
    <w:rsid w:val="00402EED"/>
    <w:rsid w:val="00402F22"/>
    <w:rsid w:val="00402F84"/>
    <w:rsid w:val="00402FC5"/>
    <w:rsid w:val="00403016"/>
    <w:rsid w:val="00403033"/>
    <w:rsid w:val="00403076"/>
    <w:rsid w:val="004030F1"/>
    <w:rsid w:val="00403136"/>
    <w:rsid w:val="004031C6"/>
    <w:rsid w:val="00403249"/>
    <w:rsid w:val="0040331B"/>
    <w:rsid w:val="00403348"/>
    <w:rsid w:val="004033E7"/>
    <w:rsid w:val="0040344F"/>
    <w:rsid w:val="004035AE"/>
    <w:rsid w:val="004035C7"/>
    <w:rsid w:val="0040369F"/>
    <w:rsid w:val="004036FE"/>
    <w:rsid w:val="0040377E"/>
    <w:rsid w:val="00403795"/>
    <w:rsid w:val="004037BE"/>
    <w:rsid w:val="00403812"/>
    <w:rsid w:val="0040388E"/>
    <w:rsid w:val="004038F9"/>
    <w:rsid w:val="00403905"/>
    <w:rsid w:val="004039DC"/>
    <w:rsid w:val="00403A83"/>
    <w:rsid w:val="00403BF4"/>
    <w:rsid w:val="00403CC8"/>
    <w:rsid w:val="00403D12"/>
    <w:rsid w:val="00403DE2"/>
    <w:rsid w:val="00403EAD"/>
    <w:rsid w:val="00403EED"/>
    <w:rsid w:val="00403EFD"/>
    <w:rsid w:val="00403FDE"/>
    <w:rsid w:val="00403FF1"/>
    <w:rsid w:val="00404021"/>
    <w:rsid w:val="004040F6"/>
    <w:rsid w:val="0040415A"/>
    <w:rsid w:val="00404193"/>
    <w:rsid w:val="00404242"/>
    <w:rsid w:val="004042BA"/>
    <w:rsid w:val="004042FE"/>
    <w:rsid w:val="00404382"/>
    <w:rsid w:val="00404387"/>
    <w:rsid w:val="004043DE"/>
    <w:rsid w:val="004043E6"/>
    <w:rsid w:val="004043F2"/>
    <w:rsid w:val="0040444B"/>
    <w:rsid w:val="004044EE"/>
    <w:rsid w:val="00404597"/>
    <w:rsid w:val="004045C3"/>
    <w:rsid w:val="00404624"/>
    <w:rsid w:val="00404636"/>
    <w:rsid w:val="00404655"/>
    <w:rsid w:val="00404665"/>
    <w:rsid w:val="00404676"/>
    <w:rsid w:val="00404765"/>
    <w:rsid w:val="004047D0"/>
    <w:rsid w:val="0040485B"/>
    <w:rsid w:val="00404864"/>
    <w:rsid w:val="004048D4"/>
    <w:rsid w:val="0040497C"/>
    <w:rsid w:val="0040497F"/>
    <w:rsid w:val="00404A06"/>
    <w:rsid w:val="00404A54"/>
    <w:rsid w:val="00404A55"/>
    <w:rsid w:val="00404A6D"/>
    <w:rsid w:val="00404A71"/>
    <w:rsid w:val="00404B12"/>
    <w:rsid w:val="00404B47"/>
    <w:rsid w:val="00404BD3"/>
    <w:rsid w:val="00404C4B"/>
    <w:rsid w:val="00404C67"/>
    <w:rsid w:val="00404CAD"/>
    <w:rsid w:val="00404D29"/>
    <w:rsid w:val="00404D7F"/>
    <w:rsid w:val="00404D8F"/>
    <w:rsid w:val="00404DFD"/>
    <w:rsid w:val="00404E64"/>
    <w:rsid w:val="00404E99"/>
    <w:rsid w:val="00404F53"/>
    <w:rsid w:val="00404FAE"/>
    <w:rsid w:val="00404FD8"/>
    <w:rsid w:val="00405043"/>
    <w:rsid w:val="004050E7"/>
    <w:rsid w:val="0040511F"/>
    <w:rsid w:val="0040517C"/>
    <w:rsid w:val="00405188"/>
    <w:rsid w:val="00405200"/>
    <w:rsid w:val="004053C5"/>
    <w:rsid w:val="00405473"/>
    <w:rsid w:val="00405481"/>
    <w:rsid w:val="004054B5"/>
    <w:rsid w:val="004054EF"/>
    <w:rsid w:val="00405578"/>
    <w:rsid w:val="00405599"/>
    <w:rsid w:val="004055DF"/>
    <w:rsid w:val="004055EB"/>
    <w:rsid w:val="00405713"/>
    <w:rsid w:val="00405792"/>
    <w:rsid w:val="004057B6"/>
    <w:rsid w:val="004058AB"/>
    <w:rsid w:val="004058DE"/>
    <w:rsid w:val="0040594E"/>
    <w:rsid w:val="00405955"/>
    <w:rsid w:val="00405995"/>
    <w:rsid w:val="00405A7C"/>
    <w:rsid w:val="00405AFC"/>
    <w:rsid w:val="00405B09"/>
    <w:rsid w:val="00405B21"/>
    <w:rsid w:val="00405B62"/>
    <w:rsid w:val="00405BC2"/>
    <w:rsid w:val="00405C66"/>
    <w:rsid w:val="00405C76"/>
    <w:rsid w:val="00405CD4"/>
    <w:rsid w:val="00405DFA"/>
    <w:rsid w:val="00405E1A"/>
    <w:rsid w:val="00405E93"/>
    <w:rsid w:val="00405F06"/>
    <w:rsid w:val="00405F4D"/>
    <w:rsid w:val="00406008"/>
    <w:rsid w:val="00406053"/>
    <w:rsid w:val="004060E1"/>
    <w:rsid w:val="004060F7"/>
    <w:rsid w:val="00406120"/>
    <w:rsid w:val="00406176"/>
    <w:rsid w:val="00406324"/>
    <w:rsid w:val="0040633F"/>
    <w:rsid w:val="00406396"/>
    <w:rsid w:val="004063A6"/>
    <w:rsid w:val="004063D2"/>
    <w:rsid w:val="00406475"/>
    <w:rsid w:val="0040648B"/>
    <w:rsid w:val="004064E7"/>
    <w:rsid w:val="004065C9"/>
    <w:rsid w:val="004065EF"/>
    <w:rsid w:val="00406699"/>
    <w:rsid w:val="004066A4"/>
    <w:rsid w:val="0040684E"/>
    <w:rsid w:val="00406985"/>
    <w:rsid w:val="004069D3"/>
    <w:rsid w:val="00406AC1"/>
    <w:rsid w:val="00406ACC"/>
    <w:rsid w:val="00406B13"/>
    <w:rsid w:val="00406B64"/>
    <w:rsid w:val="00406BC4"/>
    <w:rsid w:val="00406BF8"/>
    <w:rsid w:val="00406C0D"/>
    <w:rsid w:val="00406DAD"/>
    <w:rsid w:val="00406E52"/>
    <w:rsid w:val="00406F1E"/>
    <w:rsid w:val="00406FF0"/>
    <w:rsid w:val="00407108"/>
    <w:rsid w:val="0040717A"/>
    <w:rsid w:val="00407190"/>
    <w:rsid w:val="004071E8"/>
    <w:rsid w:val="0040729B"/>
    <w:rsid w:val="004072C2"/>
    <w:rsid w:val="0040731E"/>
    <w:rsid w:val="00407357"/>
    <w:rsid w:val="00407388"/>
    <w:rsid w:val="004073E5"/>
    <w:rsid w:val="00407432"/>
    <w:rsid w:val="004075E8"/>
    <w:rsid w:val="0040763B"/>
    <w:rsid w:val="004076CA"/>
    <w:rsid w:val="004077CB"/>
    <w:rsid w:val="004077DD"/>
    <w:rsid w:val="0040789D"/>
    <w:rsid w:val="004078C3"/>
    <w:rsid w:val="004078F2"/>
    <w:rsid w:val="00407913"/>
    <w:rsid w:val="00407989"/>
    <w:rsid w:val="004079C6"/>
    <w:rsid w:val="00407A58"/>
    <w:rsid w:val="00407A60"/>
    <w:rsid w:val="00407AF4"/>
    <w:rsid w:val="00407B28"/>
    <w:rsid w:val="00407B7F"/>
    <w:rsid w:val="00407C2F"/>
    <w:rsid w:val="00407CBA"/>
    <w:rsid w:val="00407D49"/>
    <w:rsid w:val="00407DA3"/>
    <w:rsid w:val="00407E10"/>
    <w:rsid w:val="00407EAD"/>
    <w:rsid w:val="00407F44"/>
    <w:rsid w:val="0041006E"/>
    <w:rsid w:val="004100D7"/>
    <w:rsid w:val="004100DF"/>
    <w:rsid w:val="00410179"/>
    <w:rsid w:val="004101C1"/>
    <w:rsid w:val="00410207"/>
    <w:rsid w:val="00410231"/>
    <w:rsid w:val="0041026C"/>
    <w:rsid w:val="0041035A"/>
    <w:rsid w:val="0041042C"/>
    <w:rsid w:val="0041044B"/>
    <w:rsid w:val="00410494"/>
    <w:rsid w:val="004104D5"/>
    <w:rsid w:val="004104EC"/>
    <w:rsid w:val="00410666"/>
    <w:rsid w:val="00410675"/>
    <w:rsid w:val="00410688"/>
    <w:rsid w:val="004106D0"/>
    <w:rsid w:val="004106F9"/>
    <w:rsid w:val="00410784"/>
    <w:rsid w:val="004108D5"/>
    <w:rsid w:val="004108E3"/>
    <w:rsid w:val="00410930"/>
    <w:rsid w:val="0041095E"/>
    <w:rsid w:val="00410A57"/>
    <w:rsid w:val="00410AD4"/>
    <w:rsid w:val="00410AE3"/>
    <w:rsid w:val="00410B0B"/>
    <w:rsid w:val="00410BB6"/>
    <w:rsid w:val="00410BF3"/>
    <w:rsid w:val="00410CD7"/>
    <w:rsid w:val="00410CEE"/>
    <w:rsid w:val="00410DC7"/>
    <w:rsid w:val="00410DDC"/>
    <w:rsid w:val="00410ECE"/>
    <w:rsid w:val="00410ED1"/>
    <w:rsid w:val="00410F73"/>
    <w:rsid w:val="00410FAB"/>
    <w:rsid w:val="00411015"/>
    <w:rsid w:val="00411033"/>
    <w:rsid w:val="00411060"/>
    <w:rsid w:val="00411075"/>
    <w:rsid w:val="00411078"/>
    <w:rsid w:val="00411084"/>
    <w:rsid w:val="004110A8"/>
    <w:rsid w:val="004110C6"/>
    <w:rsid w:val="00411131"/>
    <w:rsid w:val="00411138"/>
    <w:rsid w:val="004111D6"/>
    <w:rsid w:val="004112B1"/>
    <w:rsid w:val="004112B6"/>
    <w:rsid w:val="004112BC"/>
    <w:rsid w:val="004113C4"/>
    <w:rsid w:val="004113EE"/>
    <w:rsid w:val="00411445"/>
    <w:rsid w:val="004114B3"/>
    <w:rsid w:val="00411508"/>
    <w:rsid w:val="00411554"/>
    <w:rsid w:val="004115EC"/>
    <w:rsid w:val="0041162D"/>
    <w:rsid w:val="004116A7"/>
    <w:rsid w:val="00411710"/>
    <w:rsid w:val="004117BE"/>
    <w:rsid w:val="00411832"/>
    <w:rsid w:val="00411845"/>
    <w:rsid w:val="004118C4"/>
    <w:rsid w:val="004118CD"/>
    <w:rsid w:val="004118FD"/>
    <w:rsid w:val="00411943"/>
    <w:rsid w:val="004119EB"/>
    <w:rsid w:val="00411A44"/>
    <w:rsid w:val="00411ABD"/>
    <w:rsid w:val="00411B5B"/>
    <w:rsid w:val="00411B97"/>
    <w:rsid w:val="00411BD4"/>
    <w:rsid w:val="00411C3E"/>
    <w:rsid w:val="00411CAC"/>
    <w:rsid w:val="00411CF9"/>
    <w:rsid w:val="00411D6C"/>
    <w:rsid w:val="00411E68"/>
    <w:rsid w:val="00411E97"/>
    <w:rsid w:val="00411FAA"/>
    <w:rsid w:val="00412007"/>
    <w:rsid w:val="004120BB"/>
    <w:rsid w:val="0041211C"/>
    <w:rsid w:val="004121F9"/>
    <w:rsid w:val="0041220F"/>
    <w:rsid w:val="0041229D"/>
    <w:rsid w:val="0041249E"/>
    <w:rsid w:val="004124BE"/>
    <w:rsid w:val="004124EB"/>
    <w:rsid w:val="0041250E"/>
    <w:rsid w:val="00412551"/>
    <w:rsid w:val="00412553"/>
    <w:rsid w:val="00412598"/>
    <w:rsid w:val="004125A2"/>
    <w:rsid w:val="00412695"/>
    <w:rsid w:val="004126A5"/>
    <w:rsid w:val="004126D5"/>
    <w:rsid w:val="00412729"/>
    <w:rsid w:val="004127B1"/>
    <w:rsid w:val="004127E0"/>
    <w:rsid w:val="00412885"/>
    <w:rsid w:val="004128A2"/>
    <w:rsid w:val="004128A3"/>
    <w:rsid w:val="00412903"/>
    <w:rsid w:val="004129A3"/>
    <w:rsid w:val="004129BF"/>
    <w:rsid w:val="00412A70"/>
    <w:rsid w:val="00412B3D"/>
    <w:rsid w:val="00412B61"/>
    <w:rsid w:val="00412C0D"/>
    <w:rsid w:val="00412C3D"/>
    <w:rsid w:val="00412CA3"/>
    <w:rsid w:val="00412CD9"/>
    <w:rsid w:val="00412D9C"/>
    <w:rsid w:val="00412E36"/>
    <w:rsid w:val="00412E72"/>
    <w:rsid w:val="00412F58"/>
    <w:rsid w:val="00412F85"/>
    <w:rsid w:val="00412FB0"/>
    <w:rsid w:val="00412FDD"/>
    <w:rsid w:val="0041322A"/>
    <w:rsid w:val="00413297"/>
    <w:rsid w:val="004132E4"/>
    <w:rsid w:val="0041331E"/>
    <w:rsid w:val="00413326"/>
    <w:rsid w:val="00413334"/>
    <w:rsid w:val="00413348"/>
    <w:rsid w:val="0041335E"/>
    <w:rsid w:val="00413376"/>
    <w:rsid w:val="004133BF"/>
    <w:rsid w:val="004134BA"/>
    <w:rsid w:val="00413556"/>
    <w:rsid w:val="00413571"/>
    <w:rsid w:val="004135B2"/>
    <w:rsid w:val="004135C0"/>
    <w:rsid w:val="004135F0"/>
    <w:rsid w:val="00413636"/>
    <w:rsid w:val="0041367A"/>
    <w:rsid w:val="004136B9"/>
    <w:rsid w:val="004136E2"/>
    <w:rsid w:val="004136F9"/>
    <w:rsid w:val="00413830"/>
    <w:rsid w:val="004138AB"/>
    <w:rsid w:val="004138D5"/>
    <w:rsid w:val="00413908"/>
    <w:rsid w:val="00413945"/>
    <w:rsid w:val="00413956"/>
    <w:rsid w:val="0041395D"/>
    <w:rsid w:val="00413972"/>
    <w:rsid w:val="00413A05"/>
    <w:rsid w:val="00413AC8"/>
    <w:rsid w:val="00413B1E"/>
    <w:rsid w:val="00413B2A"/>
    <w:rsid w:val="00413B54"/>
    <w:rsid w:val="00413B74"/>
    <w:rsid w:val="00413B83"/>
    <w:rsid w:val="00413C94"/>
    <w:rsid w:val="00413CA0"/>
    <w:rsid w:val="00413CDC"/>
    <w:rsid w:val="00413CE9"/>
    <w:rsid w:val="00413D06"/>
    <w:rsid w:val="00413EAB"/>
    <w:rsid w:val="0041406C"/>
    <w:rsid w:val="00414072"/>
    <w:rsid w:val="0041408E"/>
    <w:rsid w:val="004140B3"/>
    <w:rsid w:val="004141D7"/>
    <w:rsid w:val="004141F1"/>
    <w:rsid w:val="004142DD"/>
    <w:rsid w:val="00414305"/>
    <w:rsid w:val="00414356"/>
    <w:rsid w:val="00414374"/>
    <w:rsid w:val="00414383"/>
    <w:rsid w:val="004143DE"/>
    <w:rsid w:val="00414416"/>
    <w:rsid w:val="00414455"/>
    <w:rsid w:val="004145C4"/>
    <w:rsid w:val="00414612"/>
    <w:rsid w:val="00414651"/>
    <w:rsid w:val="00414696"/>
    <w:rsid w:val="004148E3"/>
    <w:rsid w:val="0041495A"/>
    <w:rsid w:val="0041495D"/>
    <w:rsid w:val="00414A16"/>
    <w:rsid w:val="00414A95"/>
    <w:rsid w:val="00414A9F"/>
    <w:rsid w:val="00414AE5"/>
    <w:rsid w:val="00414B4E"/>
    <w:rsid w:val="00414B5F"/>
    <w:rsid w:val="00414BA4"/>
    <w:rsid w:val="00414C65"/>
    <w:rsid w:val="00414CEB"/>
    <w:rsid w:val="00414D22"/>
    <w:rsid w:val="00414D69"/>
    <w:rsid w:val="00414D6C"/>
    <w:rsid w:val="00414DC3"/>
    <w:rsid w:val="00414E11"/>
    <w:rsid w:val="00414E22"/>
    <w:rsid w:val="00414F09"/>
    <w:rsid w:val="00414F81"/>
    <w:rsid w:val="00414F83"/>
    <w:rsid w:val="00414FD5"/>
    <w:rsid w:val="00414FDF"/>
    <w:rsid w:val="0041509C"/>
    <w:rsid w:val="0041510E"/>
    <w:rsid w:val="004151C5"/>
    <w:rsid w:val="0041532A"/>
    <w:rsid w:val="0041537F"/>
    <w:rsid w:val="004153B8"/>
    <w:rsid w:val="004153FA"/>
    <w:rsid w:val="004153FD"/>
    <w:rsid w:val="0041547E"/>
    <w:rsid w:val="004154A9"/>
    <w:rsid w:val="004154D1"/>
    <w:rsid w:val="004155AA"/>
    <w:rsid w:val="004155B7"/>
    <w:rsid w:val="00415617"/>
    <w:rsid w:val="00415618"/>
    <w:rsid w:val="00415708"/>
    <w:rsid w:val="0041570F"/>
    <w:rsid w:val="0041577A"/>
    <w:rsid w:val="004157A6"/>
    <w:rsid w:val="004157FC"/>
    <w:rsid w:val="004158CC"/>
    <w:rsid w:val="00415911"/>
    <w:rsid w:val="00415944"/>
    <w:rsid w:val="0041599D"/>
    <w:rsid w:val="004159FD"/>
    <w:rsid w:val="00415A1D"/>
    <w:rsid w:val="00415A5E"/>
    <w:rsid w:val="00415AC0"/>
    <w:rsid w:val="00415AEB"/>
    <w:rsid w:val="00415B49"/>
    <w:rsid w:val="00415B4A"/>
    <w:rsid w:val="00415BAD"/>
    <w:rsid w:val="00415BB1"/>
    <w:rsid w:val="00415C0B"/>
    <w:rsid w:val="00415C18"/>
    <w:rsid w:val="00415C5F"/>
    <w:rsid w:val="00415CD5"/>
    <w:rsid w:val="00415CE0"/>
    <w:rsid w:val="00415D0F"/>
    <w:rsid w:val="00415D28"/>
    <w:rsid w:val="00415D3B"/>
    <w:rsid w:val="00415D9A"/>
    <w:rsid w:val="00415DFD"/>
    <w:rsid w:val="00415E23"/>
    <w:rsid w:val="00415ED3"/>
    <w:rsid w:val="00415ED4"/>
    <w:rsid w:val="00415EDD"/>
    <w:rsid w:val="00415F2E"/>
    <w:rsid w:val="00415F4F"/>
    <w:rsid w:val="00416024"/>
    <w:rsid w:val="0041607C"/>
    <w:rsid w:val="004160F7"/>
    <w:rsid w:val="00416164"/>
    <w:rsid w:val="0041618A"/>
    <w:rsid w:val="004161A7"/>
    <w:rsid w:val="00416200"/>
    <w:rsid w:val="00416230"/>
    <w:rsid w:val="0041626F"/>
    <w:rsid w:val="0041629D"/>
    <w:rsid w:val="00416302"/>
    <w:rsid w:val="00416438"/>
    <w:rsid w:val="0041646D"/>
    <w:rsid w:val="004164A2"/>
    <w:rsid w:val="004164E2"/>
    <w:rsid w:val="004164F0"/>
    <w:rsid w:val="0041665B"/>
    <w:rsid w:val="00416725"/>
    <w:rsid w:val="00416743"/>
    <w:rsid w:val="00416763"/>
    <w:rsid w:val="004167A7"/>
    <w:rsid w:val="004167E0"/>
    <w:rsid w:val="004168C3"/>
    <w:rsid w:val="00416902"/>
    <w:rsid w:val="00416964"/>
    <w:rsid w:val="00416983"/>
    <w:rsid w:val="00416993"/>
    <w:rsid w:val="004169D6"/>
    <w:rsid w:val="00416A21"/>
    <w:rsid w:val="00416A54"/>
    <w:rsid w:val="00416A84"/>
    <w:rsid w:val="00416B3D"/>
    <w:rsid w:val="00416C0F"/>
    <w:rsid w:val="00416C73"/>
    <w:rsid w:val="00416E45"/>
    <w:rsid w:val="00416EB2"/>
    <w:rsid w:val="00416EB3"/>
    <w:rsid w:val="00416F08"/>
    <w:rsid w:val="00416F67"/>
    <w:rsid w:val="00416FB7"/>
    <w:rsid w:val="00416FD3"/>
    <w:rsid w:val="00417022"/>
    <w:rsid w:val="004170AC"/>
    <w:rsid w:val="0041716B"/>
    <w:rsid w:val="004172BA"/>
    <w:rsid w:val="004172D1"/>
    <w:rsid w:val="004172F8"/>
    <w:rsid w:val="004173A0"/>
    <w:rsid w:val="004173D9"/>
    <w:rsid w:val="004173F1"/>
    <w:rsid w:val="00417442"/>
    <w:rsid w:val="004174B7"/>
    <w:rsid w:val="004175C7"/>
    <w:rsid w:val="004175EE"/>
    <w:rsid w:val="00417636"/>
    <w:rsid w:val="00417677"/>
    <w:rsid w:val="004176CD"/>
    <w:rsid w:val="00417705"/>
    <w:rsid w:val="0041773C"/>
    <w:rsid w:val="0041787B"/>
    <w:rsid w:val="00417897"/>
    <w:rsid w:val="00417996"/>
    <w:rsid w:val="004179F6"/>
    <w:rsid w:val="00417A97"/>
    <w:rsid w:val="00417AC1"/>
    <w:rsid w:val="00417AFD"/>
    <w:rsid w:val="00417B98"/>
    <w:rsid w:val="00417BAF"/>
    <w:rsid w:val="00417BBA"/>
    <w:rsid w:val="00417BE6"/>
    <w:rsid w:val="00417C2A"/>
    <w:rsid w:val="00417CF6"/>
    <w:rsid w:val="00417D05"/>
    <w:rsid w:val="00417D24"/>
    <w:rsid w:val="00417D53"/>
    <w:rsid w:val="00417DE2"/>
    <w:rsid w:val="00417F2C"/>
    <w:rsid w:val="00417F9E"/>
    <w:rsid w:val="00417FB5"/>
    <w:rsid w:val="00420030"/>
    <w:rsid w:val="0042008B"/>
    <w:rsid w:val="004200A1"/>
    <w:rsid w:val="004200B2"/>
    <w:rsid w:val="004200EC"/>
    <w:rsid w:val="0042013B"/>
    <w:rsid w:val="00420152"/>
    <w:rsid w:val="00420159"/>
    <w:rsid w:val="0042016E"/>
    <w:rsid w:val="00420242"/>
    <w:rsid w:val="00420296"/>
    <w:rsid w:val="00420322"/>
    <w:rsid w:val="0042034B"/>
    <w:rsid w:val="00420460"/>
    <w:rsid w:val="004205AC"/>
    <w:rsid w:val="004205AE"/>
    <w:rsid w:val="0042061E"/>
    <w:rsid w:val="00420698"/>
    <w:rsid w:val="004206C5"/>
    <w:rsid w:val="0042073F"/>
    <w:rsid w:val="00420752"/>
    <w:rsid w:val="004207A9"/>
    <w:rsid w:val="004207F5"/>
    <w:rsid w:val="004207F9"/>
    <w:rsid w:val="00420912"/>
    <w:rsid w:val="00420929"/>
    <w:rsid w:val="0042093B"/>
    <w:rsid w:val="00420968"/>
    <w:rsid w:val="0042099A"/>
    <w:rsid w:val="004209B4"/>
    <w:rsid w:val="00420ACA"/>
    <w:rsid w:val="00420B60"/>
    <w:rsid w:val="00420B65"/>
    <w:rsid w:val="00420B89"/>
    <w:rsid w:val="00420C6B"/>
    <w:rsid w:val="00420C89"/>
    <w:rsid w:val="00420CD3"/>
    <w:rsid w:val="00420D71"/>
    <w:rsid w:val="00420DA3"/>
    <w:rsid w:val="00420DCA"/>
    <w:rsid w:val="00420DF8"/>
    <w:rsid w:val="00420E5D"/>
    <w:rsid w:val="00420EBC"/>
    <w:rsid w:val="00420EF3"/>
    <w:rsid w:val="004210FA"/>
    <w:rsid w:val="00421154"/>
    <w:rsid w:val="00421200"/>
    <w:rsid w:val="00421269"/>
    <w:rsid w:val="004212D4"/>
    <w:rsid w:val="00421340"/>
    <w:rsid w:val="00421375"/>
    <w:rsid w:val="00421417"/>
    <w:rsid w:val="0042141F"/>
    <w:rsid w:val="0042142C"/>
    <w:rsid w:val="0042145E"/>
    <w:rsid w:val="00421463"/>
    <w:rsid w:val="00421484"/>
    <w:rsid w:val="00421512"/>
    <w:rsid w:val="00421514"/>
    <w:rsid w:val="0042151A"/>
    <w:rsid w:val="00421578"/>
    <w:rsid w:val="004215D6"/>
    <w:rsid w:val="004215FC"/>
    <w:rsid w:val="00421659"/>
    <w:rsid w:val="004216A6"/>
    <w:rsid w:val="004216AA"/>
    <w:rsid w:val="004216D7"/>
    <w:rsid w:val="00421701"/>
    <w:rsid w:val="004217C4"/>
    <w:rsid w:val="0042182A"/>
    <w:rsid w:val="004218C5"/>
    <w:rsid w:val="00421926"/>
    <w:rsid w:val="00421945"/>
    <w:rsid w:val="004219EE"/>
    <w:rsid w:val="004219F0"/>
    <w:rsid w:val="004219F4"/>
    <w:rsid w:val="004219FE"/>
    <w:rsid w:val="00421A1E"/>
    <w:rsid w:val="00421A4B"/>
    <w:rsid w:val="00421AAE"/>
    <w:rsid w:val="00421B77"/>
    <w:rsid w:val="00421B81"/>
    <w:rsid w:val="00421B8A"/>
    <w:rsid w:val="00421CD9"/>
    <w:rsid w:val="00421E29"/>
    <w:rsid w:val="00421E4A"/>
    <w:rsid w:val="00421ED0"/>
    <w:rsid w:val="00421F49"/>
    <w:rsid w:val="00421FF8"/>
    <w:rsid w:val="00422015"/>
    <w:rsid w:val="00422040"/>
    <w:rsid w:val="0042204C"/>
    <w:rsid w:val="004220F3"/>
    <w:rsid w:val="0042215A"/>
    <w:rsid w:val="004221C8"/>
    <w:rsid w:val="00422202"/>
    <w:rsid w:val="0042222D"/>
    <w:rsid w:val="0042226A"/>
    <w:rsid w:val="00422293"/>
    <w:rsid w:val="004222C0"/>
    <w:rsid w:val="00422317"/>
    <w:rsid w:val="0042231E"/>
    <w:rsid w:val="00422324"/>
    <w:rsid w:val="004223AD"/>
    <w:rsid w:val="004223D4"/>
    <w:rsid w:val="004224F1"/>
    <w:rsid w:val="00422546"/>
    <w:rsid w:val="00422612"/>
    <w:rsid w:val="0042264D"/>
    <w:rsid w:val="00422654"/>
    <w:rsid w:val="004226CD"/>
    <w:rsid w:val="004227D3"/>
    <w:rsid w:val="004227F9"/>
    <w:rsid w:val="00422808"/>
    <w:rsid w:val="0042285E"/>
    <w:rsid w:val="004228C5"/>
    <w:rsid w:val="004229E4"/>
    <w:rsid w:val="004229FD"/>
    <w:rsid w:val="00422A1C"/>
    <w:rsid w:val="00422A72"/>
    <w:rsid w:val="00422BA7"/>
    <w:rsid w:val="00422C8F"/>
    <w:rsid w:val="00422D2D"/>
    <w:rsid w:val="00422D5A"/>
    <w:rsid w:val="00422E2F"/>
    <w:rsid w:val="00422EBD"/>
    <w:rsid w:val="00422F28"/>
    <w:rsid w:val="004230BB"/>
    <w:rsid w:val="004230C3"/>
    <w:rsid w:val="00423165"/>
    <w:rsid w:val="004232AD"/>
    <w:rsid w:val="0042332F"/>
    <w:rsid w:val="0042334E"/>
    <w:rsid w:val="00423383"/>
    <w:rsid w:val="00423399"/>
    <w:rsid w:val="004233D3"/>
    <w:rsid w:val="004233DD"/>
    <w:rsid w:val="004233F9"/>
    <w:rsid w:val="00423455"/>
    <w:rsid w:val="00423472"/>
    <w:rsid w:val="004234A0"/>
    <w:rsid w:val="004234CD"/>
    <w:rsid w:val="00423582"/>
    <w:rsid w:val="0042362E"/>
    <w:rsid w:val="0042364E"/>
    <w:rsid w:val="0042366D"/>
    <w:rsid w:val="0042368F"/>
    <w:rsid w:val="004236CA"/>
    <w:rsid w:val="004236CE"/>
    <w:rsid w:val="00423734"/>
    <w:rsid w:val="004237E8"/>
    <w:rsid w:val="0042381F"/>
    <w:rsid w:val="0042389B"/>
    <w:rsid w:val="00423940"/>
    <w:rsid w:val="004239D2"/>
    <w:rsid w:val="004239F4"/>
    <w:rsid w:val="00423A39"/>
    <w:rsid w:val="00423AA2"/>
    <w:rsid w:val="00423AD2"/>
    <w:rsid w:val="00423AEE"/>
    <w:rsid w:val="00423BF2"/>
    <w:rsid w:val="00423BFE"/>
    <w:rsid w:val="00423C79"/>
    <w:rsid w:val="00423C83"/>
    <w:rsid w:val="00423CAE"/>
    <w:rsid w:val="00423DF8"/>
    <w:rsid w:val="00423EB5"/>
    <w:rsid w:val="00423F05"/>
    <w:rsid w:val="00423F93"/>
    <w:rsid w:val="0042405B"/>
    <w:rsid w:val="00424128"/>
    <w:rsid w:val="00424251"/>
    <w:rsid w:val="004242E9"/>
    <w:rsid w:val="0042434C"/>
    <w:rsid w:val="00424382"/>
    <w:rsid w:val="004243A5"/>
    <w:rsid w:val="004243B5"/>
    <w:rsid w:val="0042441E"/>
    <w:rsid w:val="0042445D"/>
    <w:rsid w:val="00424462"/>
    <w:rsid w:val="0042449F"/>
    <w:rsid w:val="00424631"/>
    <w:rsid w:val="0042475D"/>
    <w:rsid w:val="00424768"/>
    <w:rsid w:val="004247D6"/>
    <w:rsid w:val="004247F2"/>
    <w:rsid w:val="0042487B"/>
    <w:rsid w:val="004248B3"/>
    <w:rsid w:val="00424971"/>
    <w:rsid w:val="00424A6B"/>
    <w:rsid w:val="00424A93"/>
    <w:rsid w:val="00424B48"/>
    <w:rsid w:val="00424BCF"/>
    <w:rsid w:val="00424C6A"/>
    <w:rsid w:val="00424CD5"/>
    <w:rsid w:val="00424CD7"/>
    <w:rsid w:val="00424E08"/>
    <w:rsid w:val="00424E7F"/>
    <w:rsid w:val="00424F11"/>
    <w:rsid w:val="00424F17"/>
    <w:rsid w:val="00424F20"/>
    <w:rsid w:val="00424FC5"/>
    <w:rsid w:val="0042505D"/>
    <w:rsid w:val="0042506B"/>
    <w:rsid w:val="004250D8"/>
    <w:rsid w:val="00425149"/>
    <w:rsid w:val="0042517D"/>
    <w:rsid w:val="004251C4"/>
    <w:rsid w:val="00425233"/>
    <w:rsid w:val="004252A4"/>
    <w:rsid w:val="004252A5"/>
    <w:rsid w:val="004252FD"/>
    <w:rsid w:val="00425313"/>
    <w:rsid w:val="004253FA"/>
    <w:rsid w:val="00425406"/>
    <w:rsid w:val="0042541B"/>
    <w:rsid w:val="00425439"/>
    <w:rsid w:val="00425457"/>
    <w:rsid w:val="0042545A"/>
    <w:rsid w:val="00425484"/>
    <w:rsid w:val="004254E2"/>
    <w:rsid w:val="0042550B"/>
    <w:rsid w:val="00425512"/>
    <w:rsid w:val="00425588"/>
    <w:rsid w:val="004255DE"/>
    <w:rsid w:val="0042567A"/>
    <w:rsid w:val="004256F5"/>
    <w:rsid w:val="0042575F"/>
    <w:rsid w:val="0042588D"/>
    <w:rsid w:val="0042599E"/>
    <w:rsid w:val="004259BE"/>
    <w:rsid w:val="00425A01"/>
    <w:rsid w:val="00425A2A"/>
    <w:rsid w:val="00425AB1"/>
    <w:rsid w:val="00425AFE"/>
    <w:rsid w:val="00425C4B"/>
    <w:rsid w:val="00425C9B"/>
    <w:rsid w:val="00425D13"/>
    <w:rsid w:val="00425D2C"/>
    <w:rsid w:val="00425D52"/>
    <w:rsid w:val="00425D89"/>
    <w:rsid w:val="00425E8C"/>
    <w:rsid w:val="00425EBD"/>
    <w:rsid w:val="00425ED3"/>
    <w:rsid w:val="00425EF4"/>
    <w:rsid w:val="00425F1F"/>
    <w:rsid w:val="00425F7F"/>
    <w:rsid w:val="0042602E"/>
    <w:rsid w:val="004260E2"/>
    <w:rsid w:val="004260ED"/>
    <w:rsid w:val="00426124"/>
    <w:rsid w:val="0042626E"/>
    <w:rsid w:val="00426274"/>
    <w:rsid w:val="004263CA"/>
    <w:rsid w:val="0042642D"/>
    <w:rsid w:val="0042643B"/>
    <w:rsid w:val="004264B0"/>
    <w:rsid w:val="004264E9"/>
    <w:rsid w:val="00426589"/>
    <w:rsid w:val="0042658C"/>
    <w:rsid w:val="00426759"/>
    <w:rsid w:val="00426761"/>
    <w:rsid w:val="00426823"/>
    <w:rsid w:val="004268E2"/>
    <w:rsid w:val="004268F0"/>
    <w:rsid w:val="00426941"/>
    <w:rsid w:val="00426991"/>
    <w:rsid w:val="004269B3"/>
    <w:rsid w:val="00426A08"/>
    <w:rsid w:val="00426AB0"/>
    <w:rsid w:val="00426AE2"/>
    <w:rsid w:val="00426B23"/>
    <w:rsid w:val="00426B85"/>
    <w:rsid w:val="00426C07"/>
    <w:rsid w:val="00426C60"/>
    <w:rsid w:val="00426C73"/>
    <w:rsid w:val="00426C7E"/>
    <w:rsid w:val="00426D1C"/>
    <w:rsid w:val="00426D62"/>
    <w:rsid w:val="00426D7D"/>
    <w:rsid w:val="00426E0C"/>
    <w:rsid w:val="00426E6D"/>
    <w:rsid w:val="00426EA5"/>
    <w:rsid w:val="00426EE4"/>
    <w:rsid w:val="00426F33"/>
    <w:rsid w:val="00426F85"/>
    <w:rsid w:val="00426F8C"/>
    <w:rsid w:val="00426FEF"/>
    <w:rsid w:val="004270C1"/>
    <w:rsid w:val="00427106"/>
    <w:rsid w:val="00427171"/>
    <w:rsid w:val="0042718B"/>
    <w:rsid w:val="004271B7"/>
    <w:rsid w:val="004272A2"/>
    <w:rsid w:val="00427300"/>
    <w:rsid w:val="00427364"/>
    <w:rsid w:val="004273A1"/>
    <w:rsid w:val="004273EA"/>
    <w:rsid w:val="0042740A"/>
    <w:rsid w:val="004274F0"/>
    <w:rsid w:val="0042756F"/>
    <w:rsid w:val="0042772A"/>
    <w:rsid w:val="004278DA"/>
    <w:rsid w:val="0042792A"/>
    <w:rsid w:val="00427B07"/>
    <w:rsid w:val="00427C27"/>
    <w:rsid w:val="00427C33"/>
    <w:rsid w:val="00427C63"/>
    <w:rsid w:val="00427DF7"/>
    <w:rsid w:val="00427E29"/>
    <w:rsid w:val="00427E3E"/>
    <w:rsid w:val="00427E7B"/>
    <w:rsid w:val="00427F30"/>
    <w:rsid w:val="00427FB8"/>
    <w:rsid w:val="00430061"/>
    <w:rsid w:val="004300BE"/>
    <w:rsid w:val="004300E1"/>
    <w:rsid w:val="004300E5"/>
    <w:rsid w:val="00430129"/>
    <w:rsid w:val="004301A3"/>
    <w:rsid w:val="0043023C"/>
    <w:rsid w:val="004302B6"/>
    <w:rsid w:val="004302F9"/>
    <w:rsid w:val="0043034D"/>
    <w:rsid w:val="00430350"/>
    <w:rsid w:val="004303A6"/>
    <w:rsid w:val="004303CF"/>
    <w:rsid w:val="004303FB"/>
    <w:rsid w:val="00430449"/>
    <w:rsid w:val="0043054A"/>
    <w:rsid w:val="004305A3"/>
    <w:rsid w:val="004305CF"/>
    <w:rsid w:val="004305E8"/>
    <w:rsid w:val="0043060F"/>
    <w:rsid w:val="0043062D"/>
    <w:rsid w:val="00430633"/>
    <w:rsid w:val="0043063C"/>
    <w:rsid w:val="00430645"/>
    <w:rsid w:val="00430695"/>
    <w:rsid w:val="004306C5"/>
    <w:rsid w:val="004306E4"/>
    <w:rsid w:val="0043070C"/>
    <w:rsid w:val="0043075C"/>
    <w:rsid w:val="0043077D"/>
    <w:rsid w:val="0043078D"/>
    <w:rsid w:val="004307BD"/>
    <w:rsid w:val="004307BE"/>
    <w:rsid w:val="00430863"/>
    <w:rsid w:val="00430869"/>
    <w:rsid w:val="004308AD"/>
    <w:rsid w:val="004308B0"/>
    <w:rsid w:val="004308EB"/>
    <w:rsid w:val="00430A9B"/>
    <w:rsid w:val="00430B6C"/>
    <w:rsid w:val="00430BA8"/>
    <w:rsid w:val="00430BB9"/>
    <w:rsid w:val="00430C89"/>
    <w:rsid w:val="00430C9E"/>
    <w:rsid w:val="00430CA7"/>
    <w:rsid w:val="00430CC0"/>
    <w:rsid w:val="00430D20"/>
    <w:rsid w:val="00430D34"/>
    <w:rsid w:val="00430D75"/>
    <w:rsid w:val="00430E47"/>
    <w:rsid w:val="00430E75"/>
    <w:rsid w:val="00430F42"/>
    <w:rsid w:val="00430FC0"/>
    <w:rsid w:val="00430FF7"/>
    <w:rsid w:val="004311B9"/>
    <w:rsid w:val="004311FF"/>
    <w:rsid w:val="004312C1"/>
    <w:rsid w:val="00431393"/>
    <w:rsid w:val="0043141C"/>
    <w:rsid w:val="004314D4"/>
    <w:rsid w:val="00431501"/>
    <w:rsid w:val="00431532"/>
    <w:rsid w:val="00431534"/>
    <w:rsid w:val="00431536"/>
    <w:rsid w:val="00431595"/>
    <w:rsid w:val="0043179C"/>
    <w:rsid w:val="00431895"/>
    <w:rsid w:val="00431914"/>
    <w:rsid w:val="0043191A"/>
    <w:rsid w:val="00431A2D"/>
    <w:rsid w:val="00431AC7"/>
    <w:rsid w:val="00431B11"/>
    <w:rsid w:val="00431B78"/>
    <w:rsid w:val="00431BCC"/>
    <w:rsid w:val="00431D9E"/>
    <w:rsid w:val="00431DB7"/>
    <w:rsid w:val="00431DC0"/>
    <w:rsid w:val="00431E0E"/>
    <w:rsid w:val="00431E21"/>
    <w:rsid w:val="00431E33"/>
    <w:rsid w:val="00431E5D"/>
    <w:rsid w:val="00431E69"/>
    <w:rsid w:val="00431E99"/>
    <w:rsid w:val="00431EED"/>
    <w:rsid w:val="00431F07"/>
    <w:rsid w:val="00431FCC"/>
    <w:rsid w:val="004320AA"/>
    <w:rsid w:val="00432109"/>
    <w:rsid w:val="0043219A"/>
    <w:rsid w:val="0043231B"/>
    <w:rsid w:val="0043233D"/>
    <w:rsid w:val="00432410"/>
    <w:rsid w:val="004324AD"/>
    <w:rsid w:val="004324DB"/>
    <w:rsid w:val="0043252A"/>
    <w:rsid w:val="00432543"/>
    <w:rsid w:val="00432555"/>
    <w:rsid w:val="00432736"/>
    <w:rsid w:val="0043276B"/>
    <w:rsid w:val="00432841"/>
    <w:rsid w:val="00432875"/>
    <w:rsid w:val="004328BB"/>
    <w:rsid w:val="004329F3"/>
    <w:rsid w:val="00432B14"/>
    <w:rsid w:val="00432B18"/>
    <w:rsid w:val="00432BEE"/>
    <w:rsid w:val="00432C9B"/>
    <w:rsid w:val="00432D15"/>
    <w:rsid w:val="00432DC2"/>
    <w:rsid w:val="00432E30"/>
    <w:rsid w:val="00432E56"/>
    <w:rsid w:val="00432EFA"/>
    <w:rsid w:val="00432F1C"/>
    <w:rsid w:val="00432F26"/>
    <w:rsid w:val="00432FDD"/>
    <w:rsid w:val="00432FDE"/>
    <w:rsid w:val="00433063"/>
    <w:rsid w:val="00433095"/>
    <w:rsid w:val="004330E0"/>
    <w:rsid w:val="004331A9"/>
    <w:rsid w:val="004331C7"/>
    <w:rsid w:val="004332B7"/>
    <w:rsid w:val="004332D4"/>
    <w:rsid w:val="004333D0"/>
    <w:rsid w:val="004333D9"/>
    <w:rsid w:val="00433471"/>
    <w:rsid w:val="004334A8"/>
    <w:rsid w:val="00433518"/>
    <w:rsid w:val="004335C9"/>
    <w:rsid w:val="0043366D"/>
    <w:rsid w:val="004336EB"/>
    <w:rsid w:val="0043383B"/>
    <w:rsid w:val="00433866"/>
    <w:rsid w:val="0043388C"/>
    <w:rsid w:val="004339A2"/>
    <w:rsid w:val="004339AF"/>
    <w:rsid w:val="00433B05"/>
    <w:rsid w:val="00433B6D"/>
    <w:rsid w:val="00433B7F"/>
    <w:rsid w:val="00433BA7"/>
    <w:rsid w:val="00433BDE"/>
    <w:rsid w:val="00433C23"/>
    <w:rsid w:val="00433C29"/>
    <w:rsid w:val="00433C2E"/>
    <w:rsid w:val="00433C38"/>
    <w:rsid w:val="00433DE0"/>
    <w:rsid w:val="00433E37"/>
    <w:rsid w:val="00433EA4"/>
    <w:rsid w:val="00433F3B"/>
    <w:rsid w:val="00433F5C"/>
    <w:rsid w:val="00433F82"/>
    <w:rsid w:val="00433FAC"/>
    <w:rsid w:val="00434044"/>
    <w:rsid w:val="0043405F"/>
    <w:rsid w:val="0043409B"/>
    <w:rsid w:val="00434109"/>
    <w:rsid w:val="00434179"/>
    <w:rsid w:val="004341C3"/>
    <w:rsid w:val="004341CB"/>
    <w:rsid w:val="00434207"/>
    <w:rsid w:val="0043420A"/>
    <w:rsid w:val="004342EE"/>
    <w:rsid w:val="00434313"/>
    <w:rsid w:val="00434385"/>
    <w:rsid w:val="004343FC"/>
    <w:rsid w:val="004345F8"/>
    <w:rsid w:val="004346B5"/>
    <w:rsid w:val="004346B8"/>
    <w:rsid w:val="0043471B"/>
    <w:rsid w:val="00434738"/>
    <w:rsid w:val="004347C7"/>
    <w:rsid w:val="0043481F"/>
    <w:rsid w:val="00434831"/>
    <w:rsid w:val="00434842"/>
    <w:rsid w:val="004349AC"/>
    <w:rsid w:val="004349D0"/>
    <w:rsid w:val="00434A1B"/>
    <w:rsid w:val="00434A47"/>
    <w:rsid w:val="00434A5E"/>
    <w:rsid w:val="00434AAD"/>
    <w:rsid w:val="00434B6A"/>
    <w:rsid w:val="00434D19"/>
    <w:rsid w:val="00434D7B"/>
    <w:rsid w:val="00434D7F"/>
    <w:rsid w:val="00434EDA"/>
    <w:rsid w:val="00435012"/>
    <w:rsid w:val="0043503A"/>
    <w:rsid w:val="004350BA"/>
    <w:rsid w:val="004350E5"/>
    <w:rsid w:val="004350E9"/>
    <w:rsid w:val="004350FE"/>
    <w:rsid w:val="00435107"/>
    <w:rsid w:val="0043518C"/>
    <w:rsid w:val="00435234"/>
    <w:rsid w:val="004352BC"/>
    <w:rsid w:val="00435345"/>
    <w:rsid w:val="00435377"/>
    <w:rsid w:val="004353B3"/>
    <w:rsid w:val="0043541D"/>
    <w:rsid w:val="0043542D"/>
    <w:rsid w:val="00435534"/>
    <w:rsid w:val="0043554F"/>
    <w:rsid w:val="004355D7"/>
    <w:rsid w:val="00435633"/>
    <w:rsid w:val="004356BF"/>
    <w:rsid w:val="00435740"/>
    <w:rsid w:val="00435969"/>
    <w:rsid w:val="00435995"/>
    <w:rsid w:val="00435999"/>
    <w:rsid w:val="00435A69"/>
    <w:rsid w:val="00435ABD"/>
    <w:rsid w:val="00435AD5"/>
    <w:rsid w:val="00435AE0"/>
    <w:rsid w:val="00435BAE"/>
    <w:rsid w:val="00435BCC"/>
    <w:rsid w:val="00435C2C"/>
    <w:rsid w:val="00435C32"/>
    <w:rsid w:val="00435CC1"/>
    <w:rsid w:val="00435CDA"/>
    <w:rsid w:val="00435D56"/>
    <w:rsid w:val="00435DC5"/>
    <w:rsid w:val="00435E31"/>
    <w:rsid w:val="00435E75"/>
    <w:rsid w:val="00435FE0"/>
    <w:rsid w:val="00436037"/>
    <w:rsid w:val="004360D3"/>
    <w:rsid w:val="00436108"/>
    <w:rsid w:val="0043617A"/>
    <w:rsid w:val="0043621F"/>
    <w:rsid w:val="00436292"/>
    <w:rsid w:val="004362B0"/>
    <w:rsid w:val="004362EB"/>
    <w:rsid w:val="00436348"/>
    <w:rsid w:val="0043636E"/>
    <w:rsid w:val="0043640D"/>
    <w:rsid w:val="0043643D"/>
    <w:rsid w:val="00436579"/>
    <w:rsid w:val="004365A6"/>
    <w:rsid w:val="004365AC"/>
    <w:rsid w:val="004365B4"/>
    <w:rsid w:val="004365D6"/>
    <w:rsid w:val="00436656"/>
    <w:rsid w:val="004366F5"/>
    <w:rsid w:val="0043670E"/>
    <w:rsid w:val="00436798"/>
    <w:rsid w:val="004367CB"/>
    <w:rsid w:val="004367FF"/>
    <w:rsid w:val="004368F3"/>
    <w:rsid w:val="004369C4"/>
    <w:rsid w:val="004369F0"/>
    <w:rsid w:val="00436A0B"/>
    <w:rsid w:val="00436A56"/>
    <w:rsid w:val="00436B77"/>
    <w:rsid w:val="00436BB3"/>
    <w:rsid w:val="00436BE6"/>
    <w:rsid w:val="00436CA4"/>
    <w:rsid w:val="00436CCC"/>
    <w:rsid w:val="00436D36"/>
    <w:rsid w:val="00436D49"/>
    <w:rsid w:val="00436D6C"/>
    <w:rsid w:val="00436E11"/>
    <w:rsid w:val="00436EDA"/>
    <w:rsid w:val="00436EF8"/>
    <w:rsid w:val="00436F0F"/>
    <w:rsid w:val="00436F51"/>
    <w:rsid w:val="00436F92"/>
    <w:rsid w:val="00436FB2"/>
    <w:rsid w:val="00437036"/>
    <w:rsid w:val="004370F9"/>
    <w:rsid w:val="004371CA"/>
    <w:rsid w:val="0043725A"/>
    <w:rsid w:val="0043728B"/>
    <w:rsid w:val="004372AA"/>
    <w:rsid w:val="004372C3"/>
    <w:rsid w:val="004372C8"/>
    <w:rsid w:val="004372CF"/>
    <w:rsid w:val="004372E3"/>
    <w:rsid w:val="00437337"/>
    <w:rsid w:val="0043738F"/>
    <w:rsid w:val="0043745D"/>
    <w:rsid w:val="00437479"/>
    <w:rsid w:val="0043748A"/>
    <w:rsid w:val="00437512"/>
    <w:rsid w:val="0043759A"/>
    <w:rsid w:val="00437620"/>
    <w:rsid w:val="004376B6"/>
    <w:rsid w:val="0043773E"/>
    <w:rsid w:val="004377D1"/>
    <w:rsid w:val="00437813"/>
    <w:rsid w:val="0043790C"/>
    <w:rsid w:val="00437944"/>
    <w:rsid w:val="00437A3B"/>
    <w:rsid w:val="00437A4F"/>
    <w:rsid w:val="00437A6C"/>
    <w:rsid w:val="00437A88"/>
    <w:rsid w:val="00437AFD"/>
    <w:rsid w:val="00437B1A"/>
    <w:rsid w:val="00437B26"/>
    <w:rsid w:val="00437CF3"/>
    <w:rsid w:val="00437DA3"/>
    <w:rsid w:val="00437EDC"/>
    <w:rsid w:val="00437F40"/>
    <w:rsid w:val="00437F8A"/>
    <w:rsid w:val="00437FAF"/>
    <w:rsid w:val="0044001F"/>
    <w:rsid w:val="00440045"/>
    <w:rsid w:val="00440088"/>
    <w:rsid w:val="00440160"/>
    <w:rsid w:val="004401AD"/>
    <w:rsid w:val="004401B3"/>
    <w:rsid w:val="00440277"/>
    <w:rsid w:val="004402A4"/>
    <w:rsid w:val="00440349"/>
    <w:rsid w:val="00440502"/>
    <w:rsid w:val="00440529"/>
    <w:rsid w:val="00440586"/>
    <w:rsid w:val="0044065E"/>
    <w:rsid w:val="00440667"/>
    <w:rsid w:val="00440774"/>
    <w:rsid w:val="004407C4"/>
    <w:rsid w:val="00440813"/>
    <w:rsid w:val="00440819"/>
    <w:rsid w:val="0044081B"/>
    <w:rsid w:val="004408BA"/>
    <w:rsid w:val="00440910"/>
    <w:rsid w:val="0044095E"/>
    <w:rsid w:val="00440971"/>
    <w:rsid w:val="00440972"/>
    <w:rsid w:val="00440987"/>
    <w:rsid w:val="004409E2"/>
    <w:rsid w:val="00440A20"/>
    <w:rsid w:val="00440A51"/>
    <w:rsid w:val="00440A7A"/>
    <w:rsid w:val="00440B78"/>
    <w:rsid w:val="00440BDF"/>
    <w:rsid w:val="00440C13"/>
    <w:rsid w:val="00440C41"/>
    <w:rsid w:val="00440D3A"/>
    <w:rsid w:val="00440D63"/>
    <w:rsid w:val="00440E7A"/>
    <w:rsid w:val="00440F66"/>
    <w:rsid w:val="00440FF5"/>
    <w:rsid w:val="00441033"/>
    <w:rsid w:val="00441090"/>
    <w:rsid w:val="00441152"/>
    <w:rsid w:val="00441190"/>
    <w:rsid w:val="004411D4"/>
    <w:rsid w:val="00441200"/>
    <w:rsid w:val="0044131A"/>
    <w:rsid w:val="00441404"/>
    <w:rsid w:val="00441412"/>
    <w:rsid w:val="0044141E"/>
    <w:rsid w:val="0044144B"/>
    <w:rsid w:val="00441468"/>
    <w:rsid w:val="0044146E"/>
    <w:rsid w:val="004414A6"/>
    <w:rsid w:val="004414B2"/>
    <w:rsid w:val="004414B9"/>
    <w:rsid w:val="00441513"/>
    <w:rsid w:val="0044153E"/>
    <w:rsid w:val="004415A4"/>
    <w:rsid w:val="004415B0"/>
    <w:rsid w:val="004415F2"/>
    <w:rsid w:val="00441664"/>
    <w:rsid w:val="004416D5"/>
    <w:rsid w:val="004417E5"/>
    <w:rsid w:val="004418DD"/>
    <w:rsid w:val="00441947"/>
    <w:rsid w:val="004419DC"/>
    <w:rsid w:val="00441AB6"/>
    <w:rsid w:val="00441B6E"/>
    <w:rsid w:val="00441C30"/>
    <w:rsid w:val="00441CA5"/>
    <w:rsid w:val="00441CAF"/>
    <w:rsid w:val="00441CBE"/>
    <w:rsid w:val="00441D47"/>
    <w:rsid w:val="00441D6F"/>
    <w:rsid w:val="00441D79"/>
    <w:rsid w:val="00441DD8"/>
    <w:rsid w:val="00441DEF"/>
    <w:rsid w:val="00441E1D"/>
    <w:rsid w:val="00441E62"/>
    <w:rsid w:val="00441F02"/>
    <w:rsid w:val="00441F0D"/>
    <w:rsid w:val="00441F80"/>
    <w:rsid w:val="00441FA1"/>
    <w:rsid w:val="00441FC4"/>
    <w:rsid w:val="00441FFF"/>
    <w:rsid w:val="004420FF"/>
    <w:rsid w:val="00442156"/>
    <w:rsid w:val="004421D1"/>
    <w:rsid w:val="004421E2"/>
    <w:rsid w:val="0044226E"/>
    <w:rsid w:val="00442355"/>
    <w:rsid w:val="004423A2"/>
    <w:rsid w:val="004423AF"/>
    <w:rsid w:val="0044249B"/>
    <w:rsid w:val="0044255F"/>
    <w:rsid w:val="0044257A"/>
    <w:rsid w:val="004425BE"/>
    <w:rsid w:val="0044262F"/>
    <w:rsid w:val="0044265B"/>
    <w:rsid w:val="0044266D"/>
    <w:rsid w:val="004426CF"/>
    <w:rsid w:val="0044272B"/>
    <w:rsid w:val="004427E2"/>
    <w:rsid w:val="0044287F"/>
    <w:rsid w:val="00442914"/>
    <w:rsid w:val="00442AEB"/>
    <w:rsid w:val="00442B06"/>
    <w:rsid w:val="00442B18"/>
    <w:rsid w:val="00442B3B"/>
    <w:rsid w:val="00442B56"/>
    <w:rsid w:val="00442BD5"/>
    <w:rsid w:val="00442BE9"/>
    <w:rsid w:val="00442C3D"/>
    <w:rsid w:val="00442C4A"/>
    <w:rsid w:val="00442C87"/>
    <w:rsid w:val="00442CE0"/>
    <w:rsid w:val="00442D90"/>
    <w:rsid w:val="00442DA2"/>
    <w:rsid w:val="00442DB2"/>
    <w:rsid w:val="00442E1E"/>
    <w:rsid w:val="00442E69"/>
    <w:rsid w:val="00442E96"/>
    <w:rsid w:val="00442EFA"/>
    <w:rsid w:val="00442F1B"/>
    <w:rsid w:val="00442FC3"/>
    <w:rsid w:val="00442FCE"/>
    <w:rsid w:val="004430C4"/>
    <w:rsid w:val="0044310F"/>
    <w:rsid w:val="00443163"/>
    <w:rsid w:val="0044318D"/>
    <w:rsid w:val="0044320C"/>
    <w:rsid w:val="00443238"/>
    <w:rsid w:val="00443356"/>
    <w:rsid w:val="0044338B"/>
    <w:rsid w:val="0044338C"/>
    <w:rsid w:val="004433F2"/>
    <w:rsid w:val="0044340E"/>
    <w:rsid w:val="00443460"/>
    <w:rsid w:val="004434AE"/>
    <w:rsid w:val="0044354A"/>
    <w:rsid w:val="00443566"/>
    <w:rsid w:val="004435A4"/>
    <w:rsid w:val="00443638"/>
    <w:rsid w:val="00443651"/>
    <w:rsid w:val="0044373A"/>
    <w:rsid w:val="00443752"/>
    <w:rsid w:val="00443759"/>
    <w:rsid w:val="004437C2"/>
    <w:rsid w:val="004437D2"/>
    <w:rsid w:val="00443839"/>
    <w:rsid w:val="00443872"/>
    <w:rsid w:val="004438B9"/>
    <w:rsid w:val="004439AC"/>
    <w:rsid w:val="004439B0"/>
    <w:rsid w:val="004439D4"/>
    <w:rsid w:val="00443A87"/>
    <w:rsid w:val="00443ABF"/>
    <w:rsid w:val="00443AC6"/>
    <w:rsid w:val="00443ACA"/>
    <w:rsid w:val="00443B4D"/>
    <w:rsid w:val="00443C04"/>
    <w:rsid w:val="00443C10"/>
    <w:rsid w:val="00443C15"/>
    <w:rsid w:val="00443C99"/>
    <w:rsid w:val="00443CE2"/>
    <w:rsid w:val="00443CF6"/>
    <w:rsid w:val="00443D3B"/>
    <w:rsid w:val="00443D46"/>
    <w:rsid w:val="00443E72"/>
    <w:rsid w:val="00443EC7"/>
    <w:rsid w:val="00443F29"/>
    <w:rsid w:val="00443F34"/>
    <w:rsid w:val="00443FF4"/>
    <w:rsid w:val="00443FFC"/>
    <w:rsid w:val="00444004"/>
    <w:rsid w:val="004440EE"/>
    <w:rsid w:val="0044410D"/>
    <w:rsid w:val="0044412B"/>
    <w:rsid w:val="0044415C"/>
    <w:rsid w:val="004441BC"/>
    <w:rsid w:val="004441C9"/>
    <w:rsid w:val="00444275"/>
    <w:rsid w:val="004442B6"/>
    <w:rsid w:val="00444334"/>
    <w:rsid w:val="00444361"/>
    <w:rsid w:val="004443C0"/>
    <w:rsid w:val="004443DA"/>
    <w:rsid w:val="00444462"/>
    <w:rsid w:val="0044447B"/>
    <w:rsid w:val="00444507"/>
    <w:rsid w:val="00444531"/>
    <w:rsid w:val="0044456A"/>
    <w:rsid w:val="0044457B"/>
    <w:rsid w:val="00444593"/>
    <w:rsid w:val="00444605"/>
    <w:rsid w:val="0044461B"/>
    <w:rsid w:val="004446B8"/>
    <w:rsid w:val="00444778"/>
    <w:rsid w:val="004447EB"/>
    <w:rsid w:val="0044498D"/>
    <w:rsid w:val="004449BD"/>
    <w:rsid w:val="00444A22"/>
    <w:rsid w:val="00444AF5"/>
    <w:rsid w:val="00444BB3"/>
    <w:rsid w:val="00444BC5"/>
    <w:rsid w:val="00444BF8"/>
    <w:rsid w:val="00444C33"/>
    <w:rsid w:val="00444C5A"/>
    <w:rsid w:val="00444C90"/>
    <w:rsid w:val="00444CCE"/>
    <w:rsid w:val="00444D8D"/>
    <w:rsid w:val="00444F37"/>
    <w:rsid w:val="00444F47"/>
    <w:rsid w:val="00444FAF"/>
    <w:rsid w:val="00444FF4"/>
    <w:rsid w:val="00445002"/>
    <w:rsid w:val="00445020"/>
    <w:rsid w:val="0044502A"/>
    <w:rsid w:val="004450AC"/>
    <w:rsid w:val="00445146"/>
    <w:rsid w:val="00445197"/>
    <w:rsid w:val="00445251"/>
    <w:rsid w:val="004452AE"/>
    <w:rsid w:val="004452DF"/>
    <w:rsid w:val="00445340"/>
    <w:rsid w:val="00445349"/>
    <w:rsid w:val="004453E7"/>
    <w:rsid w:val="00445418"/>
    <w:rsid w:val="004454A9"/>
    <w:rsid w:val="0044555B"/>
    <w:rsid w:val="004455E4"/>
    <w:rsid w:val="00445624"/>
    <w:rsid w:val="00445652"/>
    <w:rsid w:val="004456E3"/>
    <w:rsid w:val="0044576A"/>
    <w:rsid w:val="00445778"/>
    <w:rsid w:val="004457B2"/>
    <w:rsid w:val="004458B2"/>
    <w:rsid w:val="00445941"/>
    <w:rsid w:val="00445952"/>
    <w:rsid w:val="00445990"/>
    <w:rsid w:val="004459AF"/>
    <w:rsid w:val="00445A7C"/>
    <w:rsid w:val="00445B4B"/>
    <w:rsid w:val="00445B4C"/>
    <w:rsid w:val="00445BAE"/>
    <w:rsid w:val="00445BB5"/>
    <w:rsid w:val="00445BCE"/>
    <w:rsid w:val="00445BEC"/>
    <w:rsid w:val="00445C23"/>
    <w:rsid w:val="00445C78"/>
    <w:rsid w:val="00445C92"/>
    <w:rsid w:val="00445C95"/>
    <w:rsid w:val="00445D03"/>
    <w:rsid w:val="00445D21"/>
    <w:rsid w:val="00445D81"/>
    <w:rsid w:val="00445DBE"/>
    <w:rsid w:val="00445DCB"/>
    <w:rsid w:val="00445DE8"/>
    <w:rsid w:val="00445E47"/>
    <w:rsid w:val="00445F25"/>
    <w:rsid w:val="00445FEA"/>
    <w:rsid w:val="0044607E"/>
    <w:rsid w:val="004460E2"/>
    <w:rsid w:val="00446138"/>
    <w:rsid w:val="004461A4"/>
    <w:rsid w:val="004461EF"/>
    <w:rsid w:val="004461FB"/>
    <w:rsid w:val="00446215"/>
    <w:rsid w:val="004462E2"/>
    <w:rsid w:val="00446337"/>
    <w:rsid w:val="004463C4"/>
    <w:rsid w:val="0044646E"/>
    <w:rsid w:val="00446559"/>
    <w:rsid w:val="00446708"/>
    <w:rsid w:val="0044672C"/>
    <w:rsid w:val="0044687A"/>
    <w:rsid w:val="004468A4"/>
    <w:rsid w:val="00446978"/>
    <w:rsid w:val="00446A81"/>
    <w:rsid w:val="00446A86"/>
    <w:rsid w:val="00446AB3"/>
    <w:rsid w:val="00446B63"/>
    <w:rsid w:val="00446B92"/>
    <w:rsid w:val="00446C18"/>
    <w:rsid w:val="00446E5B"/>
    <w:rsid w:val="00446E64"/>
    <w:rsid w:val="00446F56"/>
    <w:rsid w:val="00446F6B"/>
    <w:rsid w:val="00446FCD"/>
    <w:rsid w:val="004470C9"/>
    <w:rsid w:val="0044714B"/>
    <w:rsid w:val="004472A5"/>
    <w:rsid w:val="0044735D"/>
    <w:rsid w:val="0044742A"/>
    <w:rsid w:val="00447496"/>
    <w:rsid w:val="004474A7"/>
    <w:rsid w:val="004476A3"/>
    <w:rsid w:val="004476AA"/>
    <w:rsid w:val="00447739"/>
    <w:rsid w:val="0044777E"/>
    <w:rsid w:val="00447784"/>
    <w:rsid w:val="004477FA"/>
    <w:rsid w:val="00447856"/>
    <w:rsid w:val="0044785A"/>
    <w:rsid w:val="00447861"/>
    <w:rsid w:val="0044792B"/>
    <w:rsid w:val="0044794B"/>
    <w:rsid w:val="00447B4A"/>
    <w:rsid w:val="00447C37"/>
    <w:rsid w:val="00447CA1"/>
    <w:rsid w:val="00447CE5"/>
    <w:rsid w:val="00447D3C"/>
    <w:rsid w:val="00447D3F"/>
    <w:rsid w:val="00447D6C"/>
    <w:rsid w:val="00447D7C"/>
    <w:rsid w:val="00447D8B"/>
    <w:rsid w:val="00447DC7"/>
    <w:rsid w:val="00447E98"/>
    <w:rsid w:val="00447EBD"/>
    <w:rsid w:val="00447ECE"/>
    <w:rsid w:val="00447F5A"/>
    <w:rsid w:val="00447F9D"/>
    <w:rsid w:val="00450011"/>
    <w:rsid w:val="00450094"/>
    <w:rsid w:val="004500B1"/>
    <w:rsid w:val="004500DF"/>
    <w:rsid w:val="004500FD"/>
    <w:rsid w:val="00450103"/>
    <w:rsid w:val="00450121"/>
    <w:rsid w:val="00450201"/>
    <w:rsid w:val="0045027B"/>
    <w:rsid w:val="0045036A"/>
    <w:rsid w:val="004503C2"/>
    <w:rsid w:val="004504A3"/>
    <w:rsid w:val="00450513"/>
    <w:rsid w:val="00450525"/>
    <w:rsid w:val="00450554"/>
    <w:rsid w:val="004505B7"/>
    <w:rsid w:val="00450610"/>
    <w:rsid w:val="0045063A"/>
    <w:rsid w:val="00450691"/>
    <w:rsid w:val="004506D1"/>
    <w:rsid w:val="0045071A"/>
    <w:rsid w:val="00450781"/>
    <w:rsid w:val="00450788"/>
    <w:rsid w:val="0045079E"/>
    <w:rsid w:val="00450895"/>
    <w:rsid w:val="00450896"/>
    <w:rsid w:val="004508B1"/>
    <w:rsid w:val="004508E3"/>
    <w:rsid w:val="004509B0"/>
    <w:rsid w:val="00450A78"/>
    <w:rsid w:val="00450AD3"/>
    <w:rsid w:val="00450B44"/>
    <w:rsid w:val="00450B67"/>
    <w:rsid w:val="00450BCF"/>
    <w:rsid w:val="00450BE5"/>
    <w:rsid w:val="00450C12"/>
    <w:rsid w:val="00450C4B"/>
    <w:rsid w:val="00450C67"/>
    <w:rsid w:val="00450C8E"/>
    <w:rsid w:val="00450CF2"/>
    <w:rsid w:val="00450D8A"/>
    <w:rsid w:val="00450DAA"/>
    <w:rsid w:val="00450DC2"/>
    <w:rsid w:val="00450E60"/>
    <w:rsid w:val="00450ED3"/>
    <w:rsid w:val="00450EDD"/>
    <w:rsid w:val="00450F00"/>
    <w:rsid w:val="00450F18"/>
    <w:rsid w:val="00450FFD"/>
    <w:rsid w:val="00451019"/>
    <w:rsid w:val="00451065"/>
    <w:rsid w:val="004510C5"/>
    <w:rsid w:val="0045119A"/>
    <w:rsid w:val="004511CF"/>
    <w:rsid w:val="0045125B"/>
    <w:rsid w:val="0045130F"/>
    <w:rsid w:val="00451351"/>
    <w:rsid w:val="0045136A"/>
    <w:rsid w:val="0045139A"/>
    <w:rsid w:val="004513E1"/>
    <w:rsid w:val="00451504"/>
    <w:rsid w:val="004515AF"/>
    <w:rsid w:val="004516F3"/>
    <w:rsid w:val="004516FD"/>
    <w:rsid w:val="0045176F"/>
    <w:rsid w:val="0045178D"/>
    <w:rsid w:val="004517A9"/>
    <w:rsid w:val="004517C1"/>
    <w:rsid w:val="00451861"/>
    <w:rsid w:val="004518BE"/>
    <w:rsid w:val="00451914"/>
    <w:rsid w:val="00451994"/>
    <w:rsid w:val="004519D4"/>
    <w:rsid w:val="00451A08"/>
    <w:rsid w:val="00451A10"/>
    <w:rsid w:val="00451AA3"/>
    <w:rsid w:val="00451AA9"/>
    <w:rsid w:val="00451C1D"/>
    <w:rsid w:val="00451C95"/>
    <w:rsid w:val="00451CCB"/>
    <w:rsid w:val="00451D02"/>
    <w:rsid w:val="00451D0B"/>
    <w:rsid w:val="00451D38"/>
    <w:rsid w:val="00451DEE"/>
    <w:rsid w:val="00451E6A"/>
    <w:rsid w:val="00451EC6"/>
    <w:rsid w:val="00451F2C"/>
    <w:rsid w:val="00451F40"/>
    <w:rsid w:val="00451F8B"/>
    <w:rsid w:val="00451FB8"/>
    <w:rsid w:val="00451FF1"/>
    <w:rsid w:val="00452047"/>
    <w:rsid w:val="004520EA"/>
    <w:rsid w:val="00452201"/>
    <w:rsid w:val="00452202"/>
    <w:rsid w:val="00452226"/>
    <w:rsid w:val="0045227E"/>
    <w:rsid w:val="004522BF"/>
    <w:rsid w:val="00452333"/>
    <w:rsid w:val="00452340"/>
    <w:rsid w:val="004523DC"/>
    <w:rsid w:val="004523FE"/>
    <w:rsid w:val="00452580"/>
    <w:rsid w:val="00452585"/>
    <w:rsid w:val="004525AA"/>
    <w:rsid w:val="004525D3"/>
    <w:rsid w:val="004526AE"/>
    <w:rsid w:val="004527D0"/>
    <w:rsid w:val="00452847"/>
    <w:rsid w:val="004528DE"/>
    <w:rsid w:val="004528E6"/>
    <w:rsid w:val="00452951"/>
    <w:rsid w:val="004529AC"/>
    <w:rsid w:val="004529AD"/>
    <w:rsid w:val="004529D6"/>
    <w:rsid w:val="00452A5F"/>
    <w:rsid w:val="00452AD1"/>
    <w:rsid w:val="00452AEF"/>
    <w:rsid w:val="00452BF9"/>
    <w:rsid w:val="00452C8D"/>
    <w:rsid w:val="00452C90"/>
    <w:rsid w:val="00452CDA"/>
    <w:rsid w:val="00452E00"/>
    <w:rsid w:val="00452E0B"/>
    <w:rsid w:val="00452E45"/>
    <w:rsid w:val="00452ECA"/>
    <w:rsid w:val="00452EEA"/>
    <w:rsid w:val="00452FE1"/>
    <w:rsid w:val="0045305E"/>
    <w:rsid w:val="004530F6"/>
    <w:rsid w:val="00453144"/>
    <w:rsid w:val="00453179"/>
    <w:rsid w:val="004531FE"/>
    <w:rsid w:val="00453267"/>
    <w:rsid w:val="0045327A"/>
    <w:rsid w:val="004532EA"/>
    <w:rsid w:val="00453318"/>
    <w:rsid w:val="00453403"/>
    <w:rsid w:val="00453446"/>
    <w:rsid w:val="0045355E"/>
    <w:rsid w:val="00453588"/>
    <w:rsid w:val="0045361C"/>
    <w:rsid w:val="0045363B"/>
    <w:rsid w:val="00453648"/>
    <w:rsid w:val="004536ED"/>
    <w:rsid w:val="004536F4"/>
    <w:rsid w:val="00453744"/>
    <w:rsid w:val="0045375D"/>
    <w:rsid w:val="0045376E"/>
    <w:rsid w:val="004537A2"/>
    <w:rsid w:val="004537DB"/>
    <w:rsid w:val="004537E4"/>
    <w:rsid w:val="00453972"/>
    <w:rsid w:val="00453A22"/>
    <w:rsid w:val="00453A56"/>
    <w:rsid w:val="00453A5D"/>
    <w:rsid w:val="00453AE6"/>
    <w:rsid w:val="00453C5A"/>
    <w:rsid w:val="00453CD0"/>
    <w:rsid w:val="00453CEA"/>
    <w:rsid w:val="00453CF1"/>
    <w:rsid w:val="00453D13"/>
    <w:rsid w:val="00453D15"/>
    <w:rsid w:val="00453D5E"/>
    <w:rsid w:val="00453DD6"/>
    <w:rsid w:val="00453E34"/>
    <w:rsid w:val="0045400D"/>
    <w:rsid w:val="0045400F"/>
    <w:rsid w:val="00454098"/>
    <w:rsid w:val="004540B2"/>
    <w:rsid w:val="004540C1"/>
    <w:rsid w:val="00454150"/>
    <w:rsid w:val="0045426C"/>
    <w:rsid w:val="00454295"/>
    <w:rsid w:val="004542F7"/>
    <w:rsid w:val="00454331"/>
    <w:rsid w:val="0045433D"/>
    <w:rsid w:val="00454355"/>
    <w:rsid w:val="0045437C"/>
    <w:rsid w:val="004543C1"/>
    <w:rsid w:val="0045440C"/>
    <w:rsid w:val="00454433"/>
    <w:rsid w:val="00454599"/>
    <w:rsid w:val="00454668"/>
    <w:rsid w:val="004546AA"/>
    <w:rsid w:val="00454720"/>
    <w:rsid w:val="00454776"/>
    <w:rsid w:val="004547B9"/>
    <w:rsid w:val="004547E0"/>
    <w:rsid w:val="004547F4"/>
    <w:rsid w:val="00454889"/>
    <w:rsid w:val="00454896"/>
    <w:rsid w:val="0045489D"/>
    <w:rsid w:val="004548DF"/>
    <w:rsid w:val="0045494E"/>
    <w:rsid w:val="00454A42"/>
    <w:rsid w:val="00454AAD"/>
    <w:rsid w:val="00454B0B"/>
    <w:rsid w:val="00454BA8"/>
    <w:rsid w:val="00454BB4"/>
    <w:rsid w:val="00454BE5"/>
    <w:rsid w:val="00454C02"/>
    <w:rsid w:val="00454C60"/>
    <w:rsid w:val="00454E0B"/>
    <w:rsid w:val="00454E22"/>
    <w:rsid w:val="00454E70"/>
    <w:rsid w:val="00454EB0"/>
    <w:rsid w:val="00454F63"/>
    <w:rsid w:val="00454F7F"/>
    <w:rsid w:val="00454F9A"/>
    <w:rsid w:val="0045504D"/>
    <w:rsid w:val="00455094"/>
    <w:rsid w:val="0045514E"/>
    <w:rsid w:val="00455162"/>
    <w:rsid w:val="004551C2"/>
    <w:rsid w:val="00455201"/>
    <w:rsid w:val="0045526B"/>
    <w:rsid w:val="004552D9"/>
    <w:rsid w:val="00455317"/>
    <w:rsid w:val="00455330"/>
    <w:rsid w:val="00455379"/>
    <w:rsid w:val="0045538C"/>
    <w:rsid w:val="0045539D"/>
    <w:rsid w:val="004553AF"/>
    <w:rsid w:val="004553D9"/>
    <w:rsid w:val="004554EE"/>
    <w:rsid w:val="00455527"/>
    <w:rsid w:val="00455540"/>
    <w:rsid w:val="00455544"/>
    <w:rsid w:val="0045556D"/>
    <w:rsid w:val="0045558D"/>
    <w:rsid w:val="004555A2"/>
    <w:rsid w:val="004555EC"/>
    <w:rsid w:val="00455621"/>
    <w:rsid w:val="004556C8"/>
    <w:rsid w:val="00455715"/>
    <w:rsid w:val="00455765"/>
    <w:rsid w:val="00455835"/>
    <w:rsid w:val="00455881"/>
    <w:rsid w:val="004558DE"/>
    <w:rsid w:val="004558E8"/>
    <w:rsid w:val="004558EA"/>
    <w:rsid w:val="0045595F"/>
    <w:rsid w:val="004559DA"/>
    <w:rsid w:val="00455A03"/>
    <w:rsid w:val="00455A9C"/>
    <w:rsid w:val="00455B0C"/>
    <w:rsid w:val="00455B29"/>
    <w:rsid w:val="00455B9E"/>
    <w:rsid w:val="00455BE5"/>
    <w:rsid w:val="00455BEA"/>
    <w:rsid w:val="00455C15"/>
    <w:rsid w:val="00455D93"/>
    <w:rsid w:val="00455DA1"/>
    <w:rsid w:val="00455ED3"/>
    <w:rsid w:val="00455F0A"/>
    <w:rsid w:val="00455F2C"/>
    <w:rsid w:val="00455F48"/>
    <w:rsid w:val="00455F7D"/>
    <w:rsid w:val="00456015"/>
    <w:rsid w:val="0045602E"/>
    <w:rsid w:val="00456094"/>
    <w:rsid w:val="004560F7"/>
    <w:rsid w:val="00456131"/>
    <w:rsid w:val="004561DA"/>
    <w:rsid w:val="0045625D"/>
    <w:rsid w:val="004562C3"/>
    <w:rsid w:val="00456311"/>
    <w:rsid w:val="004563F7"/>
    <w:rsid w:val="0045640C"/>
    <w:rsid w:val="0045641C"/>
    <w:rsid w:val="00456442"/>
    <w:rsid w:val="00456451"/>
    <w:rsid w:val="00456559"/>
    <w:rsid w:val="00456568"/>
    <w:rsid w:val="004565B8"/>
    <w:rsid w:val="00456617"/>
    <w:rsid w:val="00456675"/>
    <w:rsid w:val="00456819"/>
    <w:rsid w:val="0045681A"/>
    <w:rsid w:val="00456825"/>
    <w:rsid w:val="00456871"/>
    <w:rsid w:val="00456877"/>
    <w:rsid w:val="004568C2"/>
    <w:rsid w:val="004568C9"/>
    <w:rsid w:val="00456941"/>
    <w:rsid w:val="0045696F"/>
    <w:rsid w:val="00456980"/>
    <w:rsid w:val="00456996"/>
    <w:rsid w:val="004569B0"/>
    <w:rsid w:val="004569B5"/>
    <w:rsid w:val="00456A18"/>
    <w:rsid w:val="00456A3F"/>
    <w:rsid w:val="00456B93"/>
    <w:rsid w:val="00456BB4"/>
    <w:rsid w:val="00456C66"/>
    <w:rsid w:val="00456C72"/>
    <w:rsid w:val="00456CC1"/>
    <w:rsid w:val="00456D4A"/>
    <w:rsid w:val="00456D93"/>
    <w:rsid w:val="00456DDA"/>
    <w:rsid w:val="00456E4F"/>
    <w:rsid w:val="00456EE5"/>
    <w:rsid w:val="00456F09"/>
    <w:rsid w:val="00456F0B"/>
    <w:rsid w:val="00456F38"/>
    <w:rsid w:val="00456FEE"/>
    <w:rsid w:val="00457045"/>
    <w:rsid w:val="00457144"/>
    <w:rsid w:val="004571E0"/>
    <w:rsid w:val="004571E4"/>
    <w:rsid w:val="00457213"/>
    <w:rsid w:val="00457240"/>
    <w:rsid w:val="00457254"/>
    <w:rsid w:val="0045725C"/>
    <w:rsid w:val="004572B2"/>
    <w:rsid w:val="00457314"/>
    <w:rsid w:val="0045733F"/>
    <w:rsid w:val="00457351"/>
    <w:rsid w:val="0045738B"/>
    <w:rsid w:val="004573BD"/>
    <w:rsid w:val="004573C0"/>
    <w:rsid w:val="00457407"/>
    <w:rsid w:val="0045760E"/>
    <w:rsid w:val="0045763D"/>
    <w:rsid w:val="00457705"/>
    <w:rsid w:val="004578A1"/>
    <w:rsid w:val="004579E9"/>
    <w:rsid w:val="00457A3B"/>
    <w:rsid w:val="00457ACB"/>
    <w:rsid w:val="00457B1C"/>
    <w:rsid w:val="00457B5B"/>
    <w:rsid w:val="00457B77"/>
    <w:rsid w:val="00457B94"/>
    <w:rsid w:val="00457B95"/>
    <w:rsid w:val="00457BB0"/>
    <w:rsid w:val="00457BFB"/>
    <w:rsid w:val="00457C21"/>
    <w:rsid w:val="00457C4B"/>
    <w:rsid w:val="00457C7D"/>
    <w:rsid w:val="00457CB0"/>
    <w:rsid w:val="00457DE0"/>
    <w:rsid w:val="00457DEC"/>
    <w:rsid w:val="00457E17"/>
    <w:rsid w:val="00457E3A"/>
    <w:rsid w:val="00457E9C"/>
    <w:rsid w:val="00457F7A"/>
    <w:rsid w:val="00457F87"/>
    <w:rsid w:val="00457F9F"/>
    <w:rsid w:val="00457FC3"/>
    <w:rsid w:val="004600C4"/>
    <w:rsid w:val="00460153"/>
    <w:rsid w:val="004601C0"/>
    <w:rsid w:val="00460259"/>
    <w:rsid w:val="004602F3"/>
    <w:rsid w:val="004602FE"/>
    <w:rsid w:val="0046031B"/>
    <w:rsid w:val="00460325"/>
    <w:rsid w:val="00460360"/>
    <w:rsid w:val="00460398"/>
    <w:rsid w:val="00460415"/>
    <w:rsid w:val="0046044E"/>
    <w:rsid w:val="00460471"/>
    <w:rsid w:val="004604AF"/>
    <w:rsid w:val="004604B0"/>
    <w:rsid w:val="004604B3"/>
    <w:rsid w:val="004604DD"/>
    <w:rsid w:val="004605BA"/>
    <w:rsid w:val="004606A0"/>
    <w:rsid w:val="004606C2"/>
    <w:rsid w:val="00460735"/>
    <w:rsid w:val="00460873"/>
    <w:rsid w:val="00460909"/>
    <w:rsid w:val="004609D2"/>
    <w:rsid w:val="004609F2"/>
    <w:rsid w:val="00460A16"/>
    <w:rsid w:val="00460A5D"/>
    <w:rsid w:val="00460B38"/>
    <w:rsid w:val="00460B9F"/>
    <w:rsid w:val="00460CC3"/>
    <w:rsid w:val="00460CD4"/>
    <w:rsid w:val="00460CEE"/>
    <w:rsid w:val="00460E0B"/>
    <w:rsid w:val="00460E79"/>
    <w:rsid w:val="00460EBE"/>
    <w:rsid w:val="00461008"/>
    <w:rsid w:val="00461022"/>
    <w:rsid w:val="0046102C"/>
    <w:rsid w:val="00461063"/>
    <w:rsid w:val="00461068"/>
    <w:rsid w:val="004610C1"/>
    <w:rsid w:val="004610E1"/>
    <w:rsid w:val="0046115A"/>
    <w:rsid w:val="00461179"/>
    <w:rsid w:val="0046122B"/>
    <w:rsid w:val="0046122D"/>
    <w:rsid w:val="00461338"/>
    <w:rsid w:val="00461391"/>
    <w:rsid w:val="00461394"/>
    <w:rsid w:val="004613DA"/>
    <w:rsid w:val="0046142B"/>
    <w:rsid w:val="0046144C"/>
    <w:rsid w:val="00461492"/>
    <w:rsid w:val="004614C4"/>
    <w:rsid w:val="0046156F"/>
    <w:rsid w:val="004615BD"/>
    <w:rsid w:val="004615C9"/>
    <w:rsid w:val="004616DF"/>
    <w:rsid w:val="00461798"/>
    <w:rsid w:val="00461856"/>
    <w:rsid w:val="004618FB"/>
    <w:rsid w:val="00461939"/>
    <w:rsid w:val="004619F8"/>
    <w:rsid w:val="00461A14"/>
    <w:rsid w:val="00461A22"/>
    <w:rsid w:val="00461A63"/>
    <w:rsid w:val="00461B37"/>
    <w:rsid w:val="00461BFE"/>
    <w:rsid w:val="00461D28"/>
    <w:rsid w:val="00461D7A"/>
    <w:rsid w:val="00461E27"/>
    <w:rsid w:val="00461E2B"/>
    <w:rsid w:val="00461EBB"/>
    <w:rsid w:val="00461F0F"/>
    <w:rsid w:val="00461F1B"/>
    <w:rsid w:val="00461F43"/>
    <w:rsid w:val="00461F64"/>
    <w:rsid w:val="00462114"/>
    <w:rsid w:val="004621AE"/>
    <w:rsid w:val="004621B7"/>
    <w:rsid w:val="004621CF"/>
    <w:rsid w:val="00462236"/>
    <w:rsid w:val="0046224A"/>
    <w:rsid w:val="0046234C"/>
    <w:rsid w:val="0046236F"/>
    <w:rsid w:val="004623D0"/>
    <w:rsid w:val="00462415"/>
    <w:rsid w:val="0046246E"/>
    <w:rsid w:val="004624C8"/>
    <w:rsid w:val="00462527"/>
    <w:rsid w:val="00462598"/>
    <w:rsid w:val="004625C7"/>
    <w:rsid w:val="004626B7"/>
    <w:rsid w:val="004626BA"/>
    <w:rsid w:val="004626C5"/>
    <w:rsid w:val="0046278A"/>
    <w:rsid w:val="00462809"/>
    <w:rsid w:val="00462841"/>
    <w:rsid w:val="00462845"/>
    <w:rsid w:val="00462866"/>
    <w:rsid w:val="004628BC"/>
    <w:rsid w:val="004629A8"/>
    <w:rsid w:val="004629B0"/>
    <w:rsid w:val="004629C6"/>
    <w:rsid w:val="00462A48"/>
    <w:rsid w:val="00462B96"/>
    <w:rsid w:val="00462BED"/>
    <w:rsid w:val="00462BFE"/>
    <w:rsid w:val="00462D02"/>
    <w:rsid w:val="00462D2E"/>
    <w:rsid w:val="00462DE6"/>
    <w:rsid w:val="00462E81"/>
    <w:rsid w:val="00462F08"/>
    <w:rsid w:val="00462F71"/>
    <w:rsid w:val="00462F88"/>
    <w:rsid w:val="00462FEF"/>
    <w:rsid w:val="00463015"/>
    <w:rsid w:val="004630F8"/>
    <w:rsid w:val="0046311E"/>
    <w:rsid w:val="00463164"/>
    <w:rsid w:val="00463258"/>
    <w:rsid w:val="0046330B"/>
    <w:rsid w:val="00463446"/>
    <w:rsid w:val="004634C8"/>
    <w:rsid w:val="00463582"/>
    <w:rsid w:val="004635BF"/>
    <w:rsid w:val="004635E4"/>
    <w:rsid w:val="0046361E"/>
    <w:rsid w:val="0046362F"/>
    <w:rsid w:val="004636C3"/>
    <w:rsid w:val="00463874"/>
    <w:rsid w:val="004638B5"/>
    <w:rsid w:val="004639A4"/>
    <w:rsid w:val="004639D5"/>
    <w:rsid w:val="00463A3E"/>
    <w:rsid w:val="00463A76"/>
    <w:rsid w:val="00463AB0"/>
    <w:rsid w:val="00463AD7"/>
    <w:rsid w:val="00463ADA"/>
    <w:rsid w:val="00463B1A"/>
    <w:rsid w:val="00463B54"/>
    <w:rsid w:val="00463B97"/>
    <w:rsid w:val="00463C1F"/>
    <w:rsid w:val="00463C62"/>
    <w:rsid w:val="00463CA2"/>
    <w:rsid w:val="00463CD8"/>
    <w:rsid w:val="00463D15"/>
    <w:rsid w:val="00463DA3"/>
    <w:rsid w:val="00463E08"/>
    <w:rsid w:val="00463E18"/>
    <w:rsid w:val="00463E4F"/>
    <w:rsid w:val="00463EC4"/>
    <w:rsid w:val="00463EFF"/>
    <w:rsid w:val="00463F3E"/>
    <w:rsid w:val="00463FA0"/>
    <w:rsid w:val="00463FCC"/>
    <w:rsid w:val="0046400D"/>
    <w:rsid w:val="0046400E"/>
    <w:rsid w:val="00464032"/>
    <w:rsid w:val="004640B0"/>
    <w:rsid w:val="00464141"/>
    <w:rsid w:val="00464157"/>
    <w:rsid w:val="0046417C"/>
    <w:rsid w:val="00464316"/>
    <w:rsid w:val="004643BA"/>
    <w:rsid w:val="00464463"/>
    <w:rsid w:val="0046447C"/>
    <w:rsid w:val="004645AB"/>
    <w:rsid w:val="00464611"/>
    <w:rsid w:val="004646A7"/>
    <w:rsid w:val="0046472C"/>
    <w:rsid w:val="0046475F"/>
    <w:rsid w:val="0046480B"/>
    <w:rsid w:val="00464849"/>
    <w:rsid w:val="00464897"/>
    <w:rsid w:val="004648F8"/>
    <w:rsid w:val="00464A0B"/>
    <w:rsid w:val="00464A24"/>
    <w:rsid w:val="00464A27"/>
    <w:rsid w:val="00464B21"/>
    <w:rsid w:val="00464B80"/>
    <w:rsid w:val="00464BD5"/>
    <w:rsid w:val="00464C74"/>
    <w:rsid w:val="00464D0A"/>
    <w:rsid w:val="00464D1C"/>
    <w:rsid w:val="00464EF3"/>
    <w:rsid w:val="00464F03"/>
    <w:rsid w:val="00464F06"/>
    <w:rsid w:val="00464F87"/>
    <w:rsid w:val="00464FBA"/>
    <w:rsid w:val="00464FDE"/>
    <w:rsid w:val="00465051"/>
    <w:rsid w:val="0046505A"/>
    <w:rsid w:val="0046508D"/>
    <w:rsid w:val="004650D1"/>
    <w:rsid w:val="004650F3"/>
    <w:rsid w:val="0046514B"/>
    <w:rsid w:val="004651BC"/>
    <w:rsid w:val="004651C6"/>
    <w:rsid w:val="004651FA"/>
    <w:rsid w:val="0046526E"/>
    <w:rsid w:val="004652F0"/>
    <w:rsid w:val="004652F6"/>
    <w:rsid w:val="0046534F"/>
    <w:rsid w:val="00465398"/>
    <w:rsid w:val="004653B7"/>
    <w:rsid w:val="004653F9"/>
    <w:rsid w:val="00465468"/>
    <w:rsid w:val="0046546D"/>
    <w:rsid w:val="00465526"/>
    <w:rsid w:val="00465536"/>
    <w:rsid w:val="004655BD"/>
    <w:rsid w:val="004655DB"/>
    <w:rsid w:val="00465641"/>
    <w:rsid w:val="00465728"/>
    <w:rsid w:val="00465769"/>
    <w:rsid w:val="0046582C"/>
    <w:rsid w:val="00465855"/>
    <w:rsid w:val="0046591D"/>
    <w:rsid w:val="00465920"/>
    <w:rsid w:val="00465979"/>
    <w:rsid w:val="00465987"/>
    <w:rsid w:val="00465A38"/>
    <w:rsid w:val="00465A4E"/>
    <w:rsid w:val="00465A8E"/>
    <w:rsid w:val="00465B1D"/>
    <w:rsid w:val="00465B40"/>
    <w:rsid w:val="00465B54"/>
    <w:rsid w:val="00465B63"/>
    <w:rsid w:val="00465B7D"/>
    <w:rsid w:val="00465BA7"/>
    <w:rsid w:val="00465BBC"/>
    <w:rsid w:val="00465BFF"/>
    <w:rsid w:val="00465CB8"/>
    <w:rsid w:val="00465E28"/>
    <w:rsid w:val="00465FAB"/>
    <w:rsid w:val="004660B4"/>
    <w:rsid w:val="0046613F"/>
    <w:rsid w:val="004661AB"/>
    <w:rsid w:val="00466249"/>
    <w:rsid w:val="0046633D"/>
    <w:rsid w:val="004663CA"/>
    <w:rsid w:val="004663E5"/>
    <w:rsid w:val="00466458"/>
    <w:rsid w:val="004664C6"/>
    <w:rsid w:val="004664EF"/>
    <w:rsid w:val="00466514"/>
    <w:rsid w:val="00466599"/>
    <w:rsid w:val="0046666B"/>
    <w:rsid w:val="00466690"/>
    <w:rsid w:val="004666D4"/>
    <w:rsid w:val="004666EC"/>
    <w:rsid w:val="00466726"/>
    <w:rsid w:val="0046672F"/>
    <w:rsid w:val="004667A6"/>
    <w:rsid w:val="004667AD"/>
    <w:rsid w:val="004667CE"/>
    <w:rsid w:val="00466853"/>
    <w:rsid w:val="00466914"/>
    <w:rsid w:val="0046691D"/>
    <w:rsid w:val="00466B1A"/>
    <w:rsid w:val="00466B6E"/>
    <w:rsid w:val="00466BE4"/>
    <w:rsid w:val="00466BE6"/>
    <w:rsid w:val="00466C3B"/>
    <w:rsid w:val="00466C40"/>
    <w:rsid w:val="00466CB3"/>
    <w:rsid w:val="00466CF1"/>
    <w:rsid w:val="00466D30"/>
    <w:rsid w:val="00466DDE"/>
    <w:rsid w:val="00466EA5"/>
    <w:rsid w:val="00466EA6"/>
    <w:rsid w:val="00466F52"/>
    <w:rsid w:val="00466FDB"/>
    <w:rsid w:val="00466FF5"/>
    <w:rsid w:val="00467042"/>
    <w:rsid w:val="004670C4"/>
    <w:rsid w:val="0046710B"/>
    <w:rsid w:val="0046717D"/>
    <w:rsid w:val="00467209"/>
    <w:rsid w:val="00467233"/>
    <w:rsid w:val="0046727E"/>
    <w:rsid w:val="004672DD"/>
    <w:rsid w:val="00467300"/>
    <w:rsid w:val="00467311"/>
    <w:rsid w:val="004673C0"/>
    <w:rsid w:val="00467424"/>
    <w:rsid w:val="0046748D"/>
    <w:rsid w:val="00467498"/>
    <w:rsid w:val="004674BF"/>
    <w:rsid w:val="00467569"/>
    <w:rsid w:val="004675AA"/>
    <w:rsid w:val="0046762F"/>
    <w:rsid w:val="00467652"/>
    <w:rsid w:val="004676AC"/>
    <w:rsid w:val="004676BC"/>
    <w:rsid w:val="004676D4"/>
    <w:rsid w:val="004677E1"/>
    <w:rsid w:val="004677E3"/>
    <w:rsid w:val="0046783A"/>
    <w:rsid w:val="004678C5"/>
    <w:rsid w:val="004678DB"/>
    <w:rsid w:val="004679C1"/>
    <w:rsid w:val="00467ABB"/>
    <w:rsid w:val="00467B34"/>
    <w:rsid w:val="00467B55"/>
    <w:rsid w:val="00467B6B"/>
    <w:rsid w:val="00467C40"/>
    <w:rsid w:val="00467C6D"/>
    <w:rsid w:val="00467CB2"/>
    <w:rsid w:val="00467CD9"/>
    <w:rsid w:val="00467CF8"/>
    <w:rsid w:val="00467CFC"/>
    <w:rsid w:val="00467D32"/>
    <w:rsid w:val="00467FDE"/>
    <w:rsid w:val="00470003"/>
    <w:rsid w:val="00470059"/>
    <w:rsid w:val="00470121"/>
    <w:rsid w:val="00470122"/>
    <w:rsid w:val="0047013C"/>
    <w:rsid w:val="00470140"/>
    <w:rsid w:val="0047017F"/>
    <w:rsid w:val="004701DD"/>
    <w:rsid w:val="004701E5"/>
    <w:rsid w:val="0047024F"/>
    <w:rsid w:val="00470272"/>
    <w:rsid w:val="004702AF"/>
    <w:rsid w:val="0047031B"/>
    <w:rsid w:val="0047036E"/>
    <w:rsid w:val="004703A4"/>
    <w:rsid w:val="004703DB"/>
    <w:rsid w:val="0047049F"/>
    <w:rsid w:val="004704F3"/>
    <w:rsid w:val="00470596"/>
    <w:rsid w:val="004705FD"/>
    <w:rsid w:val="00470611"/>
    <w:rsid w:val="00470821"/>
    <w:rsid w:val="00470A06"/>
    <w:rsid w:val="00470A14"/>
    <w:rsid w:val="00470A32"/>
    <w:rsid w:val="00470A69"/>
    <w:rsid w:val="00470A6F"/>
    <w:rsid w:val="00470A97"/>
    <w:rsid w:val="00470AC6"/>
    <w:rsid w:val="00470AEE"/>
    <w:rsid w:val="00470BBC"/>
    <w:rsid w:val="00470BD1"/>
    <w:rsid w:val="00470C04"/>
    <w:rsid w:val="00470CAD"/>
    <w:rsid w:val="00470CD7"/>
    <w:rsid w:val="00470CE1"/>
    <w:rsid w:val="00470DC9"/>
    <w:rsid w:val="00470DFA"/>
    <w:rsid w:val="00470E0C"/>
    <w:rsid w:val="00470EA1"/>
    <w:rsid w:val="00470F57"/>
    <w:rsid w:val="00470FC2"/>
    <w:rsid w:val="00471047"/>
    <w:rsid w:val="00471065"/>
    <w:rsid w:val="00471096"/>
    <w:rsid w:val="004710E8"/>
    <w:rsid w:val="00471114"/>
    <w:rsid w:val="00471149"/>
    <w:rsid w:val="00471199"/>
    <w:rsid w:val="004711BD"/>
    <w:rsid w:val="0047125A"/>
    <w:rsid w:val="004712AE"/>
    <w:rsid w:val="0047138D"/>
    <w:rsid w:val="004714E9"/>
    <w:rsid w:val="00471534"/>
    <w:rsid w:val="00471538"/>
    <w:rsid w:val="00471556"/>
    <w:rsid w:val="004715A5"/>
    <w:rsid w:val="004715EB"/>
    <w:rsid w:val="00471611"/>
    <w:rsid w:val="00471679"/>
    <w:rsid w:val="0047168E"/>
    <w:rsid w:val="00471697"/>
    <w:rsid w:val="004716C8"/>
    <w:rsid w:val="004716DA"/>
    <w:rsid w:val="00471736"/>
    <w:rsid w:val="00471749"/>
    <w:rsid w:val="0047174D"/>
    <w:rsid w:val="004717D6"/>
    <w:rsid w:val="004717E5"/>
    <w:rsid w:val="00471821"/>
    <w:rsid w:val="00471834"/>
    <w:rsid w:val="00471868"/>
    <w:rsid w:val="0047194F"/>
    <w:rsid w:val="00471A0D"/>
    <w:rsid w:val="00471A6F"/>
    <w:rsid w:val="00471A82"/>
    <w:rsid w:val="00471A88"/>
    <w:rsid w:val="00471ABD"/>
    <w:rsid w:val="00471C5F"/>
    <w:rsid w:val="00471DCB"/>
    <w:rsid w:val="00471E37"/>
    <w:rsid w:val="00471E38"/>
    <w:rsid w:val="00471E77"/>
    <w:rsid w:val="00471F3F"/>
    <w:rsid w:val="00471F42"/>
    <w:rsid w:val="00471F9F"/>
    <w:rsid w:val="00471FEE"/>
    <w:rsid w:val="00472047"/>
    <w:rsid w:val="00472058"/>
    <w:rsid w:val="00472162"/>
    <w:rsid w:val="004721CF"/>
    <w:rsid w:val="0047221B"/>
    <w:rsid w:val="0047223D"/>
    <w:rsid w:val="00472282"/>
    <w:rsid w:val="004722A4"/>
    <w:rsid w:val="004722CA"/>
    <w:rsid w:val="00472328"/>
    <w:rsid w:val="0047233C"/>
    <w:rsid w:val="004723A0"/>
    <w:rsid w:val="00472401"/>
    <w:rsid w:val="00472470"/>
    <w:rsid w:val="00472471"/>
    <w:rsid w:val="004724C1"/>
    <w:rsid w:val="004724DC"/>
    <w:rsid w:val="0047253A"/>
    <w:rsid w:val="004725A4"/>
    <w:rsid w:val="004726A4"/>
    <w:rsid w:val="0047277E"/>
    <w:rsid w:val="004727D8"/>
    <w:rsid w:val="0047287E"/>
    <w:rsid w:val="00472904"/>
    <w:rsid w:val="00472942"/>
    <w:rsid w:val="0047294A"/>
    <w:rsid w:val="004729BE"/>
    <w:rsid w:val="00472A4D"/>
    <w:rsid w:val="00472A9D"/>
    <w:rsid w:val="00472AB5"/>
    <w:rsid w:val="00472AB9"/>
    <w:rsid w:val="00472B5A"/>
    <w:rsid w:val="00472B74"/>
    <w:rsid w:val="00472B9A"/>
    <w:rsid w:val="00472BC9"/>
    <w:rsid w:val="00472C0A"/>
    <w:rsid w:val="00472CA5"/>
    <w:rsid w:val="00472D55"/>
    <w:rsid w:val="00472D82"/>
    <w:rsid w:val="00472DBC"/>
    <w:rsid w:val="00472E04"/>
    <w:rsid w:val="00472F9E"/>
    <w:rsid w:val="00472FAC"/>
    <w:rsid w:val="00472FB1"/>
    <w:rsid w:val="00472FD4"/>
    <w:rsid w:val="0047301E"/>
    <w:rsid w:val="0047304C"/>
    <w:rsid w:val="00473077"/>
    <w:rsid w:val="004730ED"/>
    <w:rsid w:val="00473183"/>
    <w:rsid w:val="00473187"/>
    <w:rsid w:val="004731A3"/>
    <w:rsid w:val="004731D6"/>
    <w:rsid w:val="00473284"/>
    <w:rsid w:val="00473432"/>
    <w:rsid w:val="00473523"/>
    <w:rsid w:val="004735CE"/>
    <w:rsid w:val="004735FE"/>
    <w:rsid w:val="00473607"/>
    <w:rsid w:val="004736C8"/>
    <w:rsid w:val="0047370D"/>
    <w:rsid w:val="004737C8"/>
    <w:rsid w:val="004738C3"/>
    <w:rsid w:val="004738C7"/>
    <w:rsid w:val="00473982"/>
    <w:rsid w:val="00473A29"/>
    <w:rsid w:val="00473AD3"/>
    <w:rsid w:val="00473AF7"/>
    <w:rsid w:val="00473B12"/>
    <w:rsid w:val="00473B6B"/>
    <w:rsid w:val="00473BDE"/>
    <w:rsid w:val="00473C10"/>
    <w:rsid w:val="00473C33"/>
    <w:rsid w:val="00473D51"/>
    <w:rsid w:val="00473D52"/>
    <w:rsid w:val="00473D8E"/>
    <w:rsid w:val="00473E8F"/>
    <w:rsid w:val="00473F13"/>
    <w:rsid w:val="00473F28"/>
    <w:rsid w:val="00473F3B"/>
    <w:rsid w:val="00473F3C"/>
    <w:rsid w:val="00474018"/>
    <w:rsid w:val="00474021"/>
    <w:rsid w:val="004740A2"/>
    <w:rsid w:val="00474143"/>
    <w:rsid w:val="0047414E"/>
    <w:rsid w:val="004741E8"/>
    <w:rsid w:val="00474288"/>
    <w:rsid w:val="00474334"/>
    <w:rsid w:val="00474352"/>
    <w:rsid w:val="004743CB"/>
    <w:rsid w:val="00474429"/>
    <w:rsid w:val="004744A7"/>
    <w:rsid w:val="0047468E"/>
    <w:rsid w:val="0047469F"/>
    <w:rsid w:val="00474709"/>
    <w:rsid w:val="00474725"/>
    <w:rsid w:val="00474733"/>
    <w:rsid w:val="0047477B"/>
    <w:rsid w:val="00474837"/>
    <w:rsid w:val="0047485D"/>
    <w:rsid w:val="004748C8"/>
    <w:rsid w:val="00474934"/>
    <w:rsid w:val="00474B1B"/>
    <w:rsid w:val="00474C79"/>
    <w:rsid w:val="00474CA9"/>
    <w:rsid w:val="00474CFC"/>
    <w:rsid w:val="00474E49"/>
    <w:rsid w:val="00474EF7"/>
    <w:rsid w:val="00474FDF"/>
    <w:rsid w:val="0047500A"/>
    <w:rsid w:val="0047503B"/>
    <w:rsid w:val="00475082"/>
    <w:rsid w:val="004750D6"/>
    <w:rsid w:val="0047517A"/>
    <w:rsid w:val="00475207"/>
    <w:rsid w:val="00475299"/>
    <w:rsid w:val="004752E9"/>
    <w:rsid w:val="00475319"/>
    <w:rsid w:val="004753CA"/>
    <w:rsid w:val="0047540F"/>
    <w:rsid w:val="00475431"/>
    <w:rsid w:val="004754FA"/>
    <w:rsid w:val="00475568"/>
    <w:rsid w:val="00475570"/>
    <w:rsid w:val="004755D5"/>
    <w:rsid w:val="00475645"/>
    <w:rsid w:val="004756F2"/>
    <w:rsid w:val="004756F8"/>
    <w:rsid w:val="00475717"/>
    <w:rsid w:val="00475740"/>
    <w:rsid w:val="00475783"/>
    <w:rsid w:val="004757D8"/>
    <w:rsid w:val="00475807"/>
    <w:rsid w:val="0047584C"/>
    <w:rsid w:val="00475888"/>
    <w:rsid w:val="00475921"/>
    <w:rsid w:val="00475962"/>
    <w:rsid w:val="0047596E"/>
    <w:rsid w:val="0047597F"/>
    <w:rsid w:val="004759C1"/>
    <w:rsid w:val="004759FC"/>
    <w:rsid w:val="00475A12"/>
    <w:rsid w:val="00475A6E"/>
    <w:rsid w:val="00475AB7"/>
    <w:rsid w:val="00475AC4"/>
    <w:rsid w:val="00475B13"/>
    <w:rsid w:val="00475BA6"/>
    <w:rsid w:val="00475C0E"/>
    <w:rsid w:val="00475C4B"/>
    <w:rsid w:val="00475C99"/>
    <w:rsid w:val="00475CA6"/>
    <w:rsid w:val="00475D9E"/>
    <w:rsid w:val="00475E29"/>
    <w:rsid w:val="00475E62"/>
    <w:rsid w:val="00475E9E"/>
    <w:rsid w:val="00475EA1"/>
    <w:rsid w:val="00475EAF"/>
    <w:rsid w:val="004760E5"/>
    <w:rsid w:val="00476138"/>
    <w:rsid w:val="00476167"/>
    <w:rsid w:val="00476180"/>
    <w:rsid w:val="0047618B"/>
    <w:rsid w:val="004761C6"/>
    <w:rsid w:val="004761DD"/>
    <w:rsid w:val="0047627B"/>
    <w:rsid w:val="00476283"/>
    <w:rsid w:val="004762E7"/>
    <w:rsid w:val="004762F9"/>
    <w:rsid w:val="004763DC"/>
    <w:rsid w:val="0047645A"/>
    <w:rsid w:val="0047649F"/>
    <w:rsid w:val="004764A0"/>
    <w:rsid w:val="004764D1"/>
    <w:rsid w:val="004764D6"/>
    <w:rsid w:val="0047654D"/>
    <w:rsid w:val="00476594"/>
    <w:rsid w:val="004765A5"/>
    <w:rsid w:val="004765B0"/>
    <w:rsid w:val="004765CC"/>
    <w:rsid w:val="00476601"/>
    <w:rsid w:val="0047666A"/>
    <w:rsid w:val="0047667C"/>
    <w:rsid w:val="0047668A"/>
    <w:rsid w:val="004766E1"/>
    <w:rsid w:val="00476796"/>
    <w:rsid w:val="0047679D"/>
    <w:rsid w:val="0047680A"/>
    <w:rsid w:val="00476822"/>
    <w:rsid w:val="00476841"/>
    <w:rsid w:val="00476856"/>
    <w:rsid w:val="00476871"/>
    <w:rsid w:val="0047691B"/>
    <w:rsid w:val="0047693D"/>
    <w:rsid w:val="00476990"/>
    <w:rsid w:val="00476AEE"/>
    <w:rsid w:val="00476B5F"/>
    <w:rsid w:val="00476BDC"/>
    <w:rsid w:val="00476C13"/>
    <w:rsid w:val="00476C54"/>
    <w:rsid w:val="00476D83"/>
    <w:rsid w:val="00476D91"/>
    <w:rsid w:val="00476E04"/>
    <w:rsid w:val="00476E6E"/>
    <w:rsid w:val="00476EB2"/>
    <w:rsid w:val="00476F54"/>
    <w:rsid w:val="00476F5A"/>
    <w:rsid w:val="00476FCD"/>
    <w:rsid w:val="00477098"/>
    <w:rsid w:val="004770C4"/>
    <w:rsid w:val="00477144"/>
    <w:rsid w:val="004771B0"/>
    <w:rsid w:val="004771D9"/>
    <w:rsid w:val="004771E6"/>
    <w:rsid w:val="00477215"/>
    <w:rsid w:val="0047727D"/>
    <w:rsid w:val="00477316"/>
    <w:rsid w:val="0047735C"/>
    <w:rsid w:val="004773A5"/>
    <w:rsid w:val="004773BE"/>
    <w:rsid w:val="004773C1"/>
    <w:rsid w:val="00477404"/>
    <w:rsid w:val="00477406"/>
    <w:rsid w:val="0047744C"/>
    <w:rsid w:val="00477456"/>
    <w:rsid w:val="00477460"/>
    <w:rsid w:val="00477468"/>
    <w:rsid w:val="0047746A"/>
    <w:rsid w:val="00477477"/>
    <w:rsid w:val="00477491"/>
    <w:rsid w:val="004774D1"/>
    <w:rsid w:val="004775C9"/>
    <w:rsid w:val="004775D2"/>
    <w:rsid w:val="00477629"/>
    <w:rsid w:val="0047768C"/>
    <w:rsid w:val="0047770F"/>
    <w:rsid w:val="004777A2"/>
    <w:rsid w:val="004777AD"/>
    <w:rsid w:val="004777CD"/>
    <w:rsid w:val="004778A3"/>
    <w:rsid w:val="004779EC"/>
    <w:rsid w:val="00477A08"/>
    <w:rsid w:val="00477A55"/>
    <w:rsid w:val="00477B8A"/>
    <w:rsid w:val="00477BAC"/>
    <w:rsid w:val="00477C13"/>
    <w:rsid w:val="00477CA6"/>
    <w:rsid w:val="00477CB4"/>
    <w:rsid w:val="00477CB5"/>
    <w:rsid w:val="00477CF5"/>
    <w:rsid w:val="00477DF7"/>
    <w:rsid w:val="00477E4C"/>
    <w:rsid w:val="00477E73"/>
    <w:rsid w:val="00477EAA"/>
    <w:rsid w:val="00477F29"/>
    <w:rsid w:val="00477F2C"/>
    <w:rsid w:val="00477F6D"/>
    <w:rsid w:val="00477FF5"/>
    <w:rsid w:val="00480004"/>
    <w:rsid w:val="004800A9"/>
    <w:rsid w:val="004800EE"/>
    <w:rsid w:val="004800F1"/>
    <w:rsid w:val="00480166"/>
    <w:rsid w:val="004801C1"/>
    <w:rsid w:val="00480228"/>
    <w:rsid w:val="0048027A"/>
    <w:rsid w:val="0048029D"/>
    <w:rsid w:val="004802F8"/>
    <w:rsid w:val="00480350"/>
    <w:rsid w:val="0048039B"/>
    <w:rsid w:val="004803DC"/>
    <w:rsid w:val="00480448"/>
    <w:rsid w:val="00480692"/>
    <w:rsid w:val="004806B5"/>
    <w:rsid w:val="00480727"/>
    <w:rsid w:val="00480964"/>
    <w:rsid w:val="00480965"/>
    <w:rsid w:val="00480968"/>
    <w:rsid w:val="0048096F"/>
    <w:rsid w:val="004809F5"/>
    <w:rsid w:val="00480A71"/>
    <w:rsid w:val="00480AF9"/>
    <w:rsid w:val="00480B65"/>
    <w:rsid w:val="00480BBA"/>
    <w:rsid w:val="00480C7A"/>
    <w:rsid w:val="00480CA5"/>
    <w:rsid w:val="00480D97"/>
    <w:rsid w:val="00480E6C"/>
    <w:rsid w:val="00480EA7"/>
    <w:rsid w:val="00480EF7"/>
    <w:rsid w:val="00480F4D"/>
    <w:rsid w:val="004810A4"/>
    <w:rsid w:val="004810DD"/>
    <w:rsid w:val="004810EC"/>
    <w:rsid w:val="004811D7"/>
    <w:rsid w:val="0048124E"/>
    <w:rsid w:val="00481298"/>
    <w:rsid w:val="0048130A"/>
    <w:rsid w:val="00481331"/>
    <w:rsid w:val="0048135A"/>
    <w:rsid w:val="004813C4"/>
    <w:rsid w:val="004813DD"/>
    <w:rsid w:val="0048143C"/>
    <w:rsid w:val="00481505"/>
    <w:rsid w:val="0048151C"/>
    <w:rsid w:val="0048158D"/>
    <w:rsid w:val="00481604"/>
    <w:rsid w:val="00481731"/>
    <w:rsid w:val="0048175C"/>
    <w:rsid w:val="00481782"/>
    <w:rsid w:val="004817D5"/>
    <w:rsid w:val="00481832"/>
    <w:rsid w:val="004818A4"/>
    <w:rsid w:val="004818B7"/>
    <w:rsid w:val="004818FB"/>
    <w:rsid w:val="00481910"/>
    <w:rsid w:val="0048192B"/>
    <w:rsid w:val="00481945"/>
    <w:rsid w:val="004819DA"/>
    <w:rsid w:val="00481B06"/>
    <w:rsid w:val="00481B0D"/>
    <w:rsid w:val="00481B60"/>
    <w:rsid w:val="00481B8B"/>
    <w:rsid w:val="00481BAA"/>
    <w:rsid w:val="00481DA0"/>
    <w:rsid w:val="00481DCB"/>
    <w:rsid w:val="00481DCD"/>
    <w:rsid w:val="00481E45"/>
    <w:rsid w:val="00481EE2"/>
    <w:rsid w:val="00481FC2"/>
    <w:rsid w:val="00481FFE"/>
    <w:rsid w:val="0048203C"/>
    <w:rsid w:val="00482068"/>
    <w:rsid w:val="00482093"/>
    <w:rsid w:val="004820D2"/>
    <w:rsid w:val="004820FB"/>
    <w:rsid w:val="0048214D"/>
    <w:rsid w:val="0048218A"/>
    <w:rsid w:val="004821AD"/>
    <w:rsid w:val="004821B7"/>
    <w:rsid w:val="004821D5"/>
    <w:rsid w:val="00482203"/>
    <w:rsid w:val="00482219"/>
    <w:rsid w:val="00482231"/>
    <w:rsid w:val="004822CA"/>
    <w:rsid w:val="00482334"/>
    <w:rsid w:val="00482357"/>
    <w:rsid w:val="0048236D"/>
    <w:rsid w:val="00482373"/>
    <w:rsid w:val="004823B2"/>
    <w:rsid w:val="0048245A"/>
    <w:rsid w:val="004824A3"/>
    <w:rsid w:val="004824EB"/>
    <w:rsid w:val="004825F9"/>
    <w:rsid w:val="0048266C"/>
    <w:rsid w:val="004826E4"/>
    <w:rsid w:val="0048271B"/>
    <w:rsid w:val="00482747"/>
    <w:rsid w:val="00482772"/>
    <w:rsid w:val="00482871"/>
    <w:rsid w:val="0048287F"/>
    <w:rsid w:val="00482893"/>
    <w:rsid w:val="004828E2"/>
    <w:rsid w:val="00482994"/>
    <w:rsid w:val="00482A46"/>
    <w:rsid w:val="00482A9B"/>
    <w:rsid w:val="00482B92"/>
    <w:rsid w:val="00482BF5"/>
    <w:rsid w:val="00482C1B"/>
    <w:rsid w:val="00482CA3"/>
    <w:rsid w:val="00482D17"/>
    <w:rsid w:val="00482D47"/>
    <w:rsid w:val="00482D4D"/>
    <w:rsid w:val="00482D99"/>
    <w:rsid w:val="00482DC9"/>
    <w:rsid w:val="00482E3C"/>
    <w:rsid w:val="00482E74"/>
    <w:rsid w:val="004830E7"/>
    <w:rsid w:val="004831FB"/>
    <w:rsid w:val="00483289"/>
    <w:rsid w:val="004832EC"/>
    <w:rsid w:val="0048330A"/>
    <w:rsid w:val="00483389"/>
    <w:rsid w:val="004833F3"/>
    <w:rsid w:val="0048349E"/>
    <w:rsid w:val="004834CF"/>
    <w:rsid w:val="00483767"/>
    <w:rsid w:val="0048376D"/>
    <w:rsid w:val="00483777"/>
    <w:rsid w:val="0048377C"/>
    <w:rsid w:val="004837B0"/>
    <w:rsid w:val="004837CF"/>
    <w:rsid w:val="004838D5"/>
    <w:rsid w:val="00483941"/>
    <w:rsid w:val="00483973"/>
    <w:rsid w:val="004839F5"/>
    <w:rsid w:val="004839FF"/>
    <w:rsid w:val="00483A18"/>
    <w:rsid w:val="00483A39"/>
    <w:rsid w:val="00483A42"/>
    <w:rsid w:val="00483A81"/>
    <w:rsid w:val="00483B34"/>
    <w:rsid w:val="00483B59"/>
    <w:rsid w:val="00483C8D"/>
    <w:rsid w:val="00483C92"/>
    <w:rsid w:val="00483CA1"/>
    <w:rsid w:val="00483CD2"/>
    <w:rsid w:val="00483CD7"/>
    <w:rsid w:val="00483CE1"/>
    <w:rsid w:val="00483D1A"/>
    <w:rsid w:val="00483E2B"/>
    <w:rsid w:val="00483E42"/>
    <w:rsid w:val="00483E4E"/>
    <w:rsid w:val="00483EC7"/>
    <w:rsid w:val="00483EC9"/>
    <w:rsid w:val="00483ED4"/>
    <w:rsid w:val="00483EF2"/>
    <w:rsid w:val="00484039"/>
    <w:rsid w:val="004840C1"/>
    <w:rsid w:val="00484275"/>
    <w:rsid w:val="00484291"/>
    <w:rsid w:val="004842A2"/>
    <w:rsid w:val="004842B5"/>
    <w:rsid w:val="004842C6"/>
    <w:rsid w:val="004842E8"/>
    <w:rsid w:val="00484356"/>
    <w:rsid w:val="0048437B"/>
    <w:rsid w:val="00484586"/>
    <w:rsid w:val="00484590"/>
    <w:rsid w:val="004845CB"/>
    <w:rsid w:val="00484778"/>
    <w:rsid w:val="0048486E"/>
    <w:rsid w:val="00484871"/>
    <w:rsid w:val="0048487C"/>
    <w:rsid w:val="0048487D"/>
    <w:rsid w:val="00484896"/>
    <w:rsid w:val="00484899"/>
    <w:rsid w:val="00484990"/>
    <w:rsid w:val="00484A3C"/>
    <w:rsid w:val="00484C32"/>
    <w:rsid w:val="00484CE3"/>
    <w:rsid w:val="00484CE8"/>
    <w:rsid w:val="00484D05"/>
    <w:rsid w:val="00484DFA"/>
    <w:rsid w:val="00484E30"/>
    <w:rsid w:val="00484F02"/>
    <w:rsid w:val="00484F7A"/>
    <w:rsid w:val="00484F87"/>
    <w:rsid w:val="00484F88"/>
    <w:rsid w:val="0048501A"/>
    <w:rsid w:val="00485090"/>
    <w:rsid w:val="004850B6"/>
    <w:rsid w:val="00485105"/>
    <w:rsid w:val="0048511D"/>
    <w:rsid w:val="00485132"/>
    <w:rsid w:val="00485201"/>
    <w:rsid w:val="0048524E"/>
    <w:rsid w:val="00485253"/>
    <w:rsid w:val="00485262"/>
    <w:rsid w:val="004852A9"/>
    <w:rsid w:val="004852CD"/>
    <w:rsid w:val="004852DA"/>
    <w:rsid w:val="004852F7"/>
    <w:rsid w:val="004852F8"/>
    <w:rsid w:val="004853DC"/>
    <w:rsid w:val="00485490"/>
    <w:rsid w:val="004854D7"/>
    <w:rsid w:val="004854DF"/>
    <w:rsid w:val="0048551B"/>
    <w:rsid w:val="00485569"/>
    <w:rsid w:val="0048557A"/>
    <w:rsid w:val="004855DA"/>
    <w:rsid w:val="004855F9"/>
    <w:rsid w:val="00485626"/>
    <w:rsid w:val="00485629"/>
    <w:rsid w:val="0048569E"/>
    <w:rsid w:val="004856EE"/>
    <w:rsid w:val="00485740"/>
    <w:rsid w:val="004857C2"/>
    <w:rsid w:val="00485809"/>
    <w:rsid w:val="00485857"/>
    <w:rsid w:val="00485972"/>
    <w:rsid w:val="00485984"/>
    <w:rsid w:val="0048598F"/>
    <w:rsid w:val="004859ED"/>
    <w:rsid w:val="00485A21"/>
    <w:rsid w:val="00485A54"/>
    <w:rsid w:val="00485AD3"/>
    <w:rsid w:val="00485B62"/>
    <w:rsid w:val="00485B81"/>
    <w:rsid w:val="00485C31"/>
    <w:rsid w:val="00485CAD"/>
    <w:rsid w:val="00485CF7"/>
    <w:rsid w:val="00485D2E"/>
    <w:rsid w:val="00485D59"/>
    <w:rsid w:val="00485DB7"/>
    <w:rsid w:val="00485E26"/>
    <w:rsid w:val="00485F77"/>
    <w:rsid w:val="00485F9B"/>
    <w:rsid w:val="00486053"/>
    <w:rsid w:val="004860A6"/>
    <w:rsid w:val="004860F2"/>
    <w:rsid w:val="0048614B"/>
    <w:rsid w:val="0048615E"/>
    <w:rsid w:val="00486235"/>
    <w:rsid w:val="004862C1"/>
    <w:rsid w:val="004862CB"/>
    <w:rsid w:val="004863AB"/>
    <w:rsid w:val="004863E9"/>
    <w:rsid w:val="0048643D"/>
    <w:rsid w:val="004864A4"/>
    <w:rsid w:val="004864D2"/>
    <w:rsid w:val="00486533"/>
    <w:rsid w:val="00486595"/>
    <w:rsid w:val="004865C7"/>
    <w:rsid w:val="0048664A"/>
    <w:rsid w:val="004866F9"/>
    <w:rsid w:val="00486719"/>
    <w:rsid w:val="00486807"/>
    <w:rsid w:val="0048682F"/>
    <w:rsid w:val="0048695E"/>
    <w:rsid w:val="0048699A"/>
    <w:rsid w:val="004869DD"/>
    <w:rsid w:val="004869E1"/>
    <w:rsid w:val="004869EC"/>
    <w:rsid w:val="00486A24"/>
    <w:rsid w:val="00486AB0"/>
    <w:rsid w:val="00486AC0"/>
    <w:rsid w:val="00486AD1"/>
    <w:rsid w:val="00486B29"/>
    <w:rsid w:val="00486CC8"/>
    <w:rsid w:val="00486D89"/>
    <w:rsid w:val="00486D97"/>
    <w:rsid w:val="00486E0D"/>
    <w:rsid w:val="00486EEF"/>
    <w:rsid w:val="00486F33"/>
    <w:rsid w:val="00486FC4"/>
    <w:rsid w:val="0048703D"/>
    <w:rsid w:val="00487155"/>
    <w:rsid w:val="004871C6"/>
    <w:rsid w:val="004872AF"/>
    <w:rsid w:val="0048732A"/>
    <w:rsid w:val="004873DA"/>
    <w:rsid w:val="0048744B"/>
    <w:rsid w:val="004874E6"/>
    <w:rsid w:val="0048753D"/>
    <w:rsid w:val="0048764D"/>
    <w:rsid w:val="00487695"/>
    <w:rsid w:val="004876FC"/>
    <w:rsid w:val="00487700"/>
    <w:rsid w:val="00487710"/>
    <w:rsid w:val="00487784"/>
    <w:rsid w:val="004877A3"/>
    <w:rsid w:val="004877B2"/>
    <w:rsid w:val="004877C9"/>
    <w:rsid w:val="00487818"/>
    <w:rsid w:val="0048783C"/>
    <w:rsid w:val="00487844"/>
    <w:rsid w:val="00487871"/>
    <w:rsid w:val="00487944"/>
    <w:rsid w:val="0048797E"/>
    <w:rsid w:val="004879B1"/>
    <w:rsid w:val="00487A7B"/>
    <w:rsid w:val="00487A97"/>
    <w:rsid w:val="00487B74"/>
    <w:rsid w:val="00487BD0"/>
    <w:rsid w:val="00487BEC"/>
    <w:rsid w:val="00487C77"/>
    <w:rsid w:val="00487CC6"/>
    <w:rsid w:val="00487D34"/>
    <w:rsid w:val="00487DB3"/>
    <w:rsid w:val="00487DF4"/>
    <w:rsid w:val="00487E42"/>
    <w:rsid w:val="00487E5F"/>
    <w:rsid w:val="00487ED7"/>
    <w:rsid w:val="0049008E"/>
    <w:rsid w:val="0049014B"/>
    <w:rsid w:val="004902F4"/>
    <w:rsid w:val="004902F5"/>
    <w:rsid w:val="0049034B"/>
    <w:rsid w:val="0049035F"/>
    <w:rsid w:val="00490366"/>
    <w:rsid w:val="004903B8"/>
    <w:rsid w:val="004903D0"/>
    <w:rsid w:val="0049045A"/>
    <w:rsid w:val="004904CE"/>
    <w:rsid w:val="0049051F"/>
    <w:rsid w:val="00490580"/>
    <w:rsid w:val="00490710"/>
    <w:rsid w:val="0049078A"/>
    <w:rsid w:val="004908B0"/>
    <w:rsid w:val="00490978"/>
    <w:rsid w:val="00490999"/>
    <w:rsid w:val="004909AE"/>
    <w:rsid w:val="00490A43"/>
    <w:rsid w:val="00490A76"/>
    <w:rsid w:val="00490AEE"/>
    <w:rsid w:val="00490B83"/>
    <w:rsid w:val="00490BBD"/>
    <w:rsid w:val="00490C66"/>
    <w:rsid w:val="00490C67"/>
    <w:rsid w:val="00490C8B"/>
    <w:rsid w:val="00490C95"/>
    <w:rsid w:val="00490CFF"/>
    <w:rsid w:val="00490D0C"/>
    <w:rsid w:val="00490D69"/>
    <w:rsid w:val="00490E79"/>
    <w:rsid w:val="00490E7B"/>
    <w:rsid w:val="00490ECC"/>
    <w:rsid w:val="00490ECE"/>
    <w:rsid w:val="00490EFC"/>
    <w:rsid w:val="00490F4F"/>
    <w:rsid w:val="00490F5B"/>
    <w:rsid w:val="00490F9E"/>
    <w:rsid w:val="00490FD9"/>
    <w:rsid w:val="0049103F"/>
    <w:rsid w:val="00491077"/>
    <w:rsid w:val="0049109A"/>
    <w:rsid w:val="004910FF"/>
    <w:rsid w:val="0049111F"/>
    <w:rsid w:val="0049113C"/>
    <w:rsid w:val="0049117E"/>
    <w:rsid w:val="00491185"/>
    <w:rsid w:val="00491218"/>
    <w:rsid w:val="0049121B"/>
    <w:rsid w:val="0049125F"/>
    <w:rsid w:val="00491289"/>
    <w:rsid w:val="004912A0"/>
    <w:rsid w:val="004912EF"/>
    <w:rsid w:val="004912FD"/>
    <w:rsid w:val="0049132C"/>
    <w:rsid w:val="00491396"/>
    <w:rsid w:val="004913EA"/>
    <w:rsid w:val="00491423"/>
    <w:rsid w:val="0049148C"/>
    <w:rsid w:val="004914AD"/>
    <w:rsid w:val="0049150D"/>
    <w:rsid w:val="0049152A"/>
    <w:rsid w:val="004915EB"/>
    <w:rsid w:val="004915F6"/>
    <w:rsid w:val="00491747"/>
    <w:rsid w:val="004917A8"/>
    <w:rsid w:val="004917B5"/>
    <w:rsid w:val="0049191F"/>
    <w:rsid w:val="00491ACA"/>
    <w:rsid w:val="00491B12"/>
    <w:rsid w:val="00491B3E"/>
    <w:rsid w:val="00491B66"/>
    <w:rsid w:val="00491C5B"/>
    <w:rsid w:val="00491C6C"/>
    <w:rsid w:val="00491D38"/>
    <w:rsid w:val="00491D52"/>
    <w:rsid w:val="00491D98"/>
    <w:rsid w:val="00491E9B"/>
    <w:rsid w:val="00491EB4"/>
    <w:rsid w:val="00491ED1"/>
    <w:rsid w:val="00491F5E"/>
    <w:rsid w:val="0049200F"/>
    <w:rsid w:val="00492019"/>
    <w:rsid w:val="00492096"/>
    <w:rsid w:val="004920B0"/>
    <w:rsid w:val="004920D1"/>
    <w:rsid w:val="004920F6"/>
    <w:rsid w:val="0049212B"/>
    <w:rsid w:val="00492183"/>
    <w:rsid w:val="0049222C"/>
    <w:rsid w:val="0049233D"/>
    <w:rsid w:val="00492345"/>
    <w:rsid w:val="004923CF"/>
    <w:rsid w:val="004925A1"/>
    <w:rsid w:val="004925A5"/>
    <w:rsid w:val="00492615"/>
    <w:rsid w:val="004927DF"/>
    <w:rsid w:val="0049285F"/>
    <w:rsid w:val="004928D5"/>
    <w:rsid w:val="0049294C"/>
    <w:rsid w:val="0049294F"/>
    <w:rsid w:val="0049295E"/>
    <w:rsid w:val="0049299D"/>
    <w:rsid w:val="004929D4"/>
    <w:rsid w:val="00492ABF"/>
    <w:rsid w:val="00492BD7"/>
    <w:rsid w:val="00492C72"/>
    <w:rsid w:val="00492DD5"/>
    <w:rsid w:val="00492E47"/>
    <w:rsid w:val="00492ED2"/>
    <w:rsid w:val="00492EF9"/>
    <w:rsid w:val="00492F21"/>
    <w:rsid w:val="00492F72"/>
    <w:rsid w:val="00492FD6"/>
    <w:rsid w:val="00493063"/>
    <w:rsid w:val="00493077"/>
    <w:rsid w:val="00493089"/>
    <w:rsid w:val="004930CC"/>
    <w:rsid w:val="004931BB"/>
    <w:rsid w:val="004931E5"/>
    <w:rsid w:val="00493208"/>
    <w:rsid w:val="0049321C"/>
    <w:rsid w:val="0049328B"/>
    <w:rsid w:val="00493325"/>
    <w:rsid w:val="00493403"/>
    <w:rsid w:val="004934A0"/>
    <w:rsid w:val="004934D7"/>
    <w:rsid w:val="0049351D"/>
    <w:rsid w:val="00493536"/>
    <w:rsid w:val="004935C3"/>
    <w:rsid w:val="0049360F"/>
    <w:rsid w:val="004937B1"/>
    <w:rsid w:val="004937B6"/>
    <w:rsid w:val="004939AC"/>
    <w:rsid w:val="00493A7E"/>
    <w:rsid w:val="00493AA3"/>
    <w:rsid w:val="00493B00"/>
    <w:rsid w:val="00493B6F"/>
    <w:rsid w:val="00493BCB"/>
    <w:rsid w:val="00493C0A"/>
    <w:rsid w:val="00493C83"/>
    <w:rsid w:val="00493D18"/>
    <w:rsid w:val="00493D8E"/>
    <w:rsid w:val="00493D9B"/>
    <w:rsid w:val="00493DF0"/>
    <w:rsid w:val="00493E19"/>
    <w:rsid w:val="00493E42"/>
    <w:rsid w:val="00493E80"/>
    <w:rsid w:val="00493EA7"/>
    <w:rsid w:val="00493F80"/>
    <w:rsid w:val="00493F89"/>
    <w:rsid w:val="00493FBA"/>
    <w:rsid w:val="004940F8"/>
    <w:rsid w:val="004942B4"/>
    <w:rsid w:val="004942CF"/>
    <w:rsid w:val="00494336"/>
    <w:rsid w:val="00494366"/>
    <w:rsid w:val="00494422"/>
    <w:rsid w:val="00494442"/>
    <w:rsid w:val="0049447E"/>
    <w:rsid w:val="00494587"/>
    <w:rsid w:val="004945B2"/>
    <w:rsid w:val="0049462E"/>
    <w:rsid w:val="00494725"/>
    <w:rsid w:val="0049473F"/>
    <w:rsid w:val="004947AE"/>
    <w:rsid w:val="004947B9"/>
    <w:rsid w:val="00494821"/>
    <w:rsid w:val="0049485A"/>
    <w:rsid w:val="00494934"/>
    <w:rsid w:val="0049496F"/>
    <w:rsid w:val="00494AF5"/>
    <w:rsid w:val="00494B1F"/>
    <w:rsid w:val="00494C05"/>
    <w:rsid w:val="00494C52"/>
    <w:rsid w:val="00494C90"/>
    <w:rsid w:val="00494D5F"/>
    <w:rsid w:val="00494DAA"/>
    <w:rsid w:val="00494DBE"/>
    <w:rsid w:val="00494EE0"/>
    <w:rsid w:val="00494F10"/>
    <w:rsid w:val="00494F46"/>
    <w:rsid w:val="00494F72"/>
    <w:rsid w:val="00494FA0"/>
    <w:rsid w:val="00494FF7"/>
    <w:rsid w:val="00495019"/>
    <w:rsid w:val="0049502A"/>
    <w:rsid w:val="0049504F"/>
    <w:rsid w:val="004950E6"/>
    <w:rsid w:val="0049516B"/>
    <w:rsid w:val="004951B5"/>
    <w:rsid w:val="0049533C"/>
    <w:rsid w:val="004953E3"/>
    <w:rsid w:val="0049540D"/>
    <w:rsid w:val="0049542B"/>
    <w:rsid w:val="00495469"/>
    <w:rsid w:val="0049546C"/>
    <w:rsid w:val="00495472"/>
    <w:rsid w:val="00495486"/>
    <w:rsid w:val="004955BE"/>
    <w:rsid w:val="00495630"/>
    <w:rsid w:val="00495666"/>
    <w:rsid w:val="00495697"/>
    <w:rsid w:val="004956DF"/>
    <w:rsid w:val="00495704"/>
    <w:rsid w:val="00495740"/>
    <w:rsid w:val="00495750"/>
    <w:rsid w:val="00495793"/>
    <w:rsid w:val="00495796"/>
    <w:rsid w:val="0049588A"/>
    <w:rsid w:val="004958E9"/>
    <w:rsid w:val="00495928"/>
    <w:rsid w:val="004959A9"/>
    <w:rsid w:val="00495B04"/>
    <w:rsid w:val="00495B20"/>
    <w:rsid w:val="00495B7B"/>
    <w:rsid w:val="00495BCE"/>
    <w:rsid w:val="00495BD8"/>
    <w:rsid w:val="00495C9A"/>
    <w:rsid w:val="00495CC4"/>
    <w:rsid w:val="00495D17"/>
    <w:rsid w:val="00495DBD"/>
    <w:rsid w:val="00495DE2"/>
    <w:rsid w:val="00495E61"/>
    <w:rsid w:val="00495ED5"/>
    <w:rsid w:val="00495F03"/>
    <w:rsid w:val="00496018"/>
    <w:rsid w:val="00496036"/>
    <w:rsid w:val="00496106"/>
    <w:rsid w:val="00496149"/>
    <w:rsid w:val="0049617D"/>
    <w:rsid w:val="004962C8"/>
    <w:rsid w:val="004962E3"/>
    <w:rsid w:val="00496371"/>
    <w:rsid w:val="00496474"/>
    <w:rsid w:val="00496518"/>
    <w:rsid w:val="004965A3"/>
    <w:rsid w:val="00496604"/>
    <w:rsid w:val="00496622"/>
    <w:rsid w:val="00496633"/>
    <w:rsid w:val="00496669"/>
    <w:rsid w:val="0049677F"/>
    <w:rsid w:val="004967C2"/>
    <w:rsid w:val="004967D9"/>
    <w:rsid w:val="004967FF"/>
    <w:rsid w:val="0049681D"/>
    <w:rsid w:val="00496827"/>
    <w:rsid w:val="00496889"/>
    <w:rsid w:val="00496905"/>
    <w:rsid w:val="00496927"/>
    <w:rsid w:val="004969B9"/>
    <w:rsid w:val="004969C4"/>
    <w:rsid w:val="004969CE"/>
    <w:rsid w:val="00496A0C"/>
    <w:rsid w:val="00496A11"/>
    <w:rsid w:val="00496A12"/>
    <w:rsid w:val="00496AB1"/>
    <w:rsid w:val="00496C1E"/>
    <w:rsid w:val="00496C78"/>
    <w:rsid w:val="00496C82"/>
    <w:rsid w:val="00496CA2"/>
    <w:rsid w:val="00496CB4"/>
    <w:rsid w:val="00496DBD"/>
    <w:rsid w:val="00496DCF"/>
    <w:rsid w:val="00496DD9"/>
    <w:rsid w:val="00496FD1"/>
    <w:rsid w:val="00497027"/>
    <w:rsid w:val="0049705B"/>
    <w:rsid w:val="00497086"/>
    <w:rsid w:val="004970E9"/>
    <w:rsid w:val="00497106"/>
    <w:rsid w:val="00497153"/>
    <w:rsid w:val="00497242"/>
    <w:rsid w:val="00497245"/>
    <w:rsid w:val="004972D1"/>
    <w:rsid w:val="0049732D"/>
    <w:rsid w:val="0049752C"/>
    <w:rsid w:val="0049755B"/>
    <w:rsid w:val="004975F0"/>
    <w:rsid w:val="00497663"/>
    <w:rsid w:val="00497712"/>
    <w:rsid w:val="0049777C"/>
    <w:rsid w:val="0049778E"/>
    <w:rsid w:val="004977CE"/>
    <w:rsid w:val="00497833"/>
    <w:rsid w:val="00497860"/>
    <w:rsid w:val="00497864"/>
    <w:rsid w:val="00497932"/>
    <w:rsid w:val="00497938"/>
    <w:rsid w:val="0049796B"/>
    <w:rsid w:val="0049798B"/>
    <w:rsid w:val="004979B5"/>
    <w:rsid w:val="004979EB"/>
    <w:rsid w:val="00497AB9"/>
    <w:rsid w:val="00497B31"/>
    <w:rsid w:val="00497B4F"/>
    <w:rsid w:val="00497C7B"/>
    <w:rsid w:val="00497D2B"/>
    <w:rsid w:val="00497D40"/>
    <w:rsid w:val="00497D41"/>
    <w:rsid w:val="00497D5D"/>
    <w:rsid w:val="00497DCD"/>
    <w:rsid w:val="00497E1A"/>
    <w:rsid w:val="00497F1F"/>
    <w:rsid w:val="00497F2A"/>
    <w:rsid w:val="00497F69"/>
    <w:rsid w:val="00497FA7"/>
    <w:rsid w:val="00497FA8"/>
    <w:rsid w:val="00497FDB"/>
    <w:rsid w:val="004A00BB"/>
    <w:rsid w:val="004A011F"/>
    <w:rsid w:val="004A0128"/>
    <w:rsid w:val="004A0187"/>
    <w:rsid w:val="004A019D"/>
    <w:rsid w:val="004A01DA"/>
    <w:rsid w:val="004A01FB"/>
    <w:rsid w:val="004A022A"/>
    <w:rsid w:val="004A029E"/>
    <w:rsid w:val="004A0327"/>
    <w:rsid w:val="004A0373"/>
    <w:rsid w:val="004A0463"/>
    <w:rsid w:val="004A046B"/>
    <w:rsid w:val="004A0495"/>
    <w:rsid w:val="004A04AE"/>
    <w:rsid w:val="004A04DB"/>
    <w:rsid w:val="004A04E4"/>
    <w:rsid w:val="004A0526"/>
    <w:rsid w:val="004A0564"/>
    <w:rsid w:val="004A0594"/>
    <w:rsid w:val="004A05B3"/>
    <w:rsid w:val="004A065C"/>
    <w:rsid w:val="004A06AE"/>
    <w:rsid w:val="004A06E8"/>
    <w:rsid w:val="004A06FB"/>
    <w:rsid w:val="004A07A9"/>
    <w:rsid w:val="004A07DB"/>
    <w:rsid w:val="004A088F"/>
    <w:rsid w:val="004A0891"/>
    <w:rsid w:val="004A096C"/>
    <w:rsid w:val="004A09DA"/>
    <w:rsid w:val="004A0A1A"/>
    <w:rsid w:val="004A0A79"/>
    <w:rsid w:val="004A0A8C"/>
    <w:rsid w:val="004A0AC0"/>
    <w:rsid w:val="004A0AEE"/>
    <w:rsid w:val="004A0B53"/>
    <w:rsid w:val="004A0B94"/>
    <w:rsid w:val="004A0BB3"/>
    <w:rsid w:val="004A0BCD"/>
    <w:rsid w:val="004A0C72"/>
    <w:rsid w:val="004A0D77"/>
    <w:rsid w:val="004A0D8B"/>
    <w:rsid w:val="004A0E59"/>
    <w:rsid w:val="004A0E71"/>
    <w:rsid w:val="004A0EB4"/>
    <w:rsid w:val="004A0F0C"/>
    <w:rsid w:val="004A0F6F"/>
    <w:rsid w:val="004A1001"/>
    <w:rsid w:val="004A101D"/>
    <w:rsid w:val="004A1076"/>
    <w:rsid w:val="004A1107"/>
    <w:rsid w:val="004A1122"/>
    <w:rsid w:val="004A1147"/>
    <w:rsid w:val="004A11B8"/>
    <w:rsid w:val="004A1255"/>
    <w:rsid w:val="004A14A6"/>
    <w:rsid w:val="004A1542"/>
    <w:rsid w:val="004A1622"/>
    <w:rsid w:val="004A16FC"/>
    <w:rsid w:val="004A173F"/>
    <w:rsid w:val="004A178C"/>
    <w:rsid w:val="004A17CA"/>
    <w:rsid w:val="004A17EC"/>
    <w:rsid w:val="004A189C"/>
    <w:rsid w:val="004A18AA"/>
    <w:rsid w:val="004A195E"/>
    <w:rsid w:val="004A1A39"/>
    <w:rsid w:val="004A1A3F"/>
    <w:rsid w:val="004A1B1F"/>
    <w:rsid w:val="004A1B99"/>
    <w:rsid w:val="004A1BA4"/>
    <w:rsid w:val="004A1BBE"/>
    <w:rsid w:val="004A1CBE"/>
    <w:rsid w:val="004A1DF1"/>
    <w:rsid w:val="004A1E99"/>
    <w:rsid w:val="004A1EB3"/>
    <w:rsid w:val="004A1EB4"/>
    <w:rsid w:val="004A1F11"/>
    <w:rsid w:val="004A1F2F"/>
    <w:rsid w:val="004A1F48"/>
    <w:rsid w:val="004A1F90"/>
    <w:rsid w:val="004A2020"/>
    <w:rsid w:val="004A2076"/>
    <w:rsid w:val="004A2138"/>
    <w:rsid w:val="004A2166"/>
    <w:rsid w:val="004A21A6"/>
    <w:rsid w:val="004A21E2"/>
    <w:rsid w:val="004A2214"/>
    <w:rsid w:val="004A2221"/>
    <w:rsid w:val="004A2263"/>
    <w:rsid w:val="004A22D7"/>
    <w:rsid w:val="004A2338"/>
    <w:rsid w:val="004A233F"/>
    <w:rsid w:val="004A2344"/>
    <w:rsid w:val="004A23D0"/>
    <w:rsid w:val="004A23D1"/>
    <w:rsid w:val="004A247E"/>
    <w:rsid w:val="004A24A1"/>
    <w:rsid w:val="004A24A7"/>
    <w:rsid w:val="004A2588"/>
    <w:rsid w:val="004A25BD"/>
    <w:rsid w:val="004A2676"/>
    <w:rsid w:val="004A26B7"/>
    <w:rsid w:val="004A26BB"/>
    <w:rsid w:val="004A275C"/>
    <w:rsid w:val="004A27FE"/>
    <w:rsid w:val="004A2895"/>
    <w:rsid w:val="004A28AF"/>
    <w:rsid w:val="004A294A"/>
    <w:rsid w:val="004A2957"/>
    <w:rsid w:val="004A2A0F"/>
    <w:rsid w:val="004A2A71"/>
    <w:rsid w:val="004A2AA9"/>
    <w:rsid w:val="004A2B1F"/>
    <w:rsid w:val="004A2B8A"/>
    <w:rsid w:val="004A2C11"/>
    <w:rsid w:val="004A2C43"/>
    <w:rsid w:val="004A2CB1"/>
    <w:rsid w:val="004A2D64"/>
    <w:rsid w:val="004A2E1F"/>
    <w:rsid w:val="004A2E74"/>
    <w:rsid w:val="004A2EA1"/>
    <w:rsid w:val="004A2EF1"/>
    <w:rsid w:val="004A3027"/>
    <w:rsid w:val="004A305F"/>
    <w:rsid w:val="004A30B2"/>
    <w:rsid w:val="004A310B"/>
    <w:rsid w:val="004A3115"/>
    <w:rsid w:val="004A311F"/>
    <w:rsid w:val="004A315A"/>
    <w:rsid w:val="004A335D"/>
    <w:rsid w:val="004A33AE"/>
    <w:rsid w:val="004A33B1"/>
    <w:rsid w:val="004A3491"/>
    <w:rsid w:val="004A350D"/>
    <w:rsid w:val="004A3613"/>
    <w:rsid w:val="004A3632"/>
    <w:rsid w:val="004A366E"/>
    <w:rsid w:val="004A36CC"/>
    <w:rsid w:val="004A3793"/>
    <w:rsid w:val="004A3797"/>
    <w:rsid w:val="004A37A2"/>
    <w:rsid w:val="004A37E1"/>
    <w:rsid w:val="004A3809"/>
    <w:rsid w:val="004A3810"/>
    <w:rsid w:val="004A38ED"/>
    <w:rsid w:val="004A39B6"/>
    <w:rsid w:val="004A39BC"/>
    <w:rsid w:val="004A3A86"/>
    <w:rsid w:val="004A3AA2"/>
    <w:rsid w:val="004A3B6E"/>
    <w:rsid w:val="004A3B72"/>
    <w:rsid w:val="004A3C13"/>
    <w:rsid w:val="004A3C46"/>
    <w:rsid w:val="004A3C93"/>
    <w:rsid w:val="004A3CD0"/>
    <w:rsid w:val="004A3CEC"/>
    <w:rsid w:val="004A3D7A"/>
    <w:rsid w:val="004A3DF6"/>
    <w:rsid w:val="004A3E1D"/>
    <w:rsid w:val="004A3E6E"/>
    <w:rsid w:val="004A3F12"/>
    <w:rsid w:val="004A3FB4"/>
    <w:rsid w:val="004A3FDE"/>
    <w:rsid w:val="004A3FE2"/>
    <w:rsid w:val="004A4053"/>
    <w:rsid w:val="004A4107"/>
    <w:rsid w:val="004A4141"/>
    <w:rsid w:val="004A4151"/>
    <w:rsid w:val="004A416B"/>
    <w:rsid w:val="004A4170"/>
    <w:rsid w:val="004A41F2"/>
    <w:rsid w:val="004A42FF"/>
    <w:rsid w:val="004A4445"/>
    <w:rsid w:val="004A448C"/>
    <w:rsid w:val="004A449A"/>
    <w:rsid w:val="004A4502"/>
    <w:rsid w:val="004A4565"/>
    <w:rsid w:val="004A45FC"/>
    <w:rsid w:val="004A4653"/>
    <w:rsid w:val="004A4679"/>
    <w:rsid w:val="004A46AD"/>
    <w:rsid w:val="004A46EA"/>
    <w:rsid w:val="004A47A3"/>
    <w:rsid w:val="004A47C0"/>
    <w:rsid w:val="004A47C6"/>
    <w:rsid w:val="004A481C"/>
    <w:rsid w:val="004A4876"/>
    <w:rsid w:val="004A4879"/>
    <w:rsid w:val="004A488A"/>
    <w:rsid w:val="004A4893"/>
    <w:rsid w:val="004A4897"/>
    <w:rsid w:val="004A48E6"/>
    <w:rsid w:val="004A4911"/>
    <w:rsid w:val="004A49B6"/>
    <w:rsid w:val="004A4A2A"/>
    <w:rsid w:val="004A4A82"/>
    <w:rsid w:val="004A4B05"/>
    <w:rsid w:val="004A4C16"/>
    <w:rsid w:val="004A4C34"/>
    <w:rsid w:val="004A4D2A"/>
    <w:rsid w:val="004A4D4A"/>
    <w:rsid w:val="004A4D5B"/>
    <w:rsid w:val="004A4D79"/>
    <w:rsid w:val="004A4DA6"/>
    <w:rsid w:val="004A4DB2"/>
    <w:rsid w:val="004A4EAC"/>
    <w:rsid w:val="004A4EB9"/>
    <w:rsid w:val="004A4F50"/>
    <w:rsid w:val="004A4F95"/>
    <w:rsid w:val="004A50B6"/>
    <w:rsid w:val="004A50D1"/>
    <w:rsid w:val="004A50F1"/>
    <w:rsid w:val="004A517A"/>
    <w:rsid w:val="004A51BA"/>
    <w:rsid w:val="004A520E"/>
    <w:rsid w:val="004A522A"/>
    <w:rsid w:val="004A52DC"/>
    <w:rsid w:val="004A531A"/>
    <w:rsid w:val="004A53AE"/>
    <w:rsid w:val="004A53B3"/>
    <w:rsid w:val="004A53E8"/>
    <w:rsid w:val="004A541D"/>
    <w:rsid w:val="004A5436"/>
    <w:rsid w:val="004A5474"/>
    <w:rsid w:val="004A548F"/>
    <w:rsid w:val="004A54AD"/>
    <w:rsid w:val="004A54C1"/>
    <w:rsid w:val="004A5561"/>
    <w:rsid w:val="004A55AA"/>
    <w:rsid w:val="004A55DA"/>
    <w:rsid w:val="004A5665"/>
    <w:rsid w:val="004A5680"/>
    <w:rsid w:val="004A56E5"/>
    <w:rsid w:val="004A574E"/>
    <w:rsid w:val="004A57AB"/>
    <w:rsid w:val="004A57CF"/>
    <w:rsid w:val="004A58E1"/>
    <w:rsid w:val="004A5909"/>
    <w:rsid w:val="004A593F"/>
    <w:rsid w:val="004A5A11"/>
    <w:rsid w:val="004A5A15"/>
    <w:rsid w:val="004A5A51"/>
    <w:rsid w:val="004A5AFD"/>
    <w:rsid w:val="004A5B10"/>
    <w:rsid w:val="004A5C2B"/>
    <w:rsid w:val="004A5C34"/>
    <w:rsid w:val="004A5C4B"/>
    <w:rsid w:val="004A5C5C"/>
    <w:rsid w:val="004A5CA8"/>
    <w:rsid w:val="004A5CA9"/>
    <w:rsid w:val="004A5D26"/>
    <w:rsid w:val="004A5D82"/>
    <w:rsid w:val="004A5DBC"/>
    <w:rsid w:val="004A5DF7"/>
    <w:rsid w:val="004A5E5A"/>
    <w:rsid w:val="004A5E6C"/>
    <w:rsid w:val="004A5EA5"/>
    <w:rsid w:val="004A5EB6"/>
    <w:rsid w:val="004A5F1A"/>
    <w:rsid w:val="004A5FAA"/>
    <w:rsid w:val="004A5FB3"/>
    <w:rsid w:val="004A605A"/>
    <w:rsid w:val="004A61AF"/>
    <w:rsid w:val="004A624A"/>
    <w:rsid w:val="004A626C"/>
    <w:rsid w:val="004A639B"/>
    <w:rsid w:val="004A63EF"/>
    <w:rsid w:val="004A63FA"/>
    <w:rsid w:val="004A64BE"/>
    <w:rsid w:val="004A64C6"/>
    <w:rsid w:val="004A651C"/>
    <w:rsid w:val="004A6526"/>
    <w:rsid w:val="004A654D"/>
    <w:rsid w:val="004A65D7"/>
    <w:rsid w:val="004A65E6"/>
    <w:rsid w:val="004A65EF"/>
    <w:rsid w:val="004A67B5"/>
    <w:rsid w:val="004A68F1"/>
    <w:rsid w:val="004A6904"/>
    <w:rsid w:val="004A6A31"/>
    <w:rsid w:val="004A6A5C"/>
    <w:rsid w:val="004A6B3D"/>
    <w:rsid w:val="004A6C71"/>
    <w:rsid w:val="004A6CBD"/>
    <w:rsid w:val="004A6CE0"/>
    <w:rsid w:val="004A6DF1"/>
    <w:rsid w:val="004A6E58"/>
    <w:rsid w:val="004A6E5B"/>
    <w:rsid w:val="004A6E91"/>
    <w:rsid w:val="004A6EB1"/>
    <w:rsid w:val="004A6EF1"/>
    <w:rsid w:val="004A6F13"/>
    <w:rsid w:val="004A7034"/>
    <w:rsid w:val="004A7113"/>
    <w:rsid w:val="004A7156"/>
    <w:rsid w:val="004A7199"/>
    <w:rsid w:val="004A71FA"/>
    <w:rsid w:val="004A7224"/>
    <w:rsid w:val="004A7268"/>
    <w:rsid w:val="004A7278"/>
    <w:rsid w:val="004A72AB"/>
    <w:rsid w:val="004A72CC"/>
    <w:rsid w:val="004A7318"/>
    <w:rsid w:val="004A73F5"/>
    <w:rsid w:val="004A7453"/>
    <w:rsid w:val="004A745B"/>
    <w:rsid w:val="004A7475"/>
    <w:rsid w:val="004A75A5"/>
    <w:rsid w:val="004A765C"/>
    <w:rsid w:val="004A7811"/>
    <w:rsid w:val="004A7853"/>
    <w:rsid w:val="004A7895"/>
    <w:rsid w:val="004A78E0"/>
    <w:rsid w:val="004A7921"/>
    <w:rsid w:val="004A7946"/>
    <w:rsid w:val="004A79D5"/>
    <w:rsid w:val="004A7A07"/>
    <w:rsid w:val="004A7A1F"/>
    <w:rsid w:val="004A7A23"/>
    <w:rsid w:val="004A7A77"/>
    <w:rsid w:val="004A7B23"/>
    <w:rsid w:val="004A7BB1"/>
    <w:rsid w:val="004A7BFE"/>
    <w:rsid w:val="004A7CE3"/>
    <w:rsid w:val="004A7D9E"/>
    <w:rsid w:val="004A7E1A"/>
    <w:rsid w:val="004A7FEE"/>
    <w:rsid w:val="004B0069"/>
    <w:rsid w:val="004B010F"/>
    <w:rsid w:val="004B0178"/>
    <w:rsid w:val="004B01DC"/>
    <w:rsid w:val="004B028A"/>
    <w:rsid w:val="004B02D8"/>
    <w:rsid w:val="004B02FF"/>
    <w:rsid w:val="004B04AE"/>
    <w:rsid w:val="004B04D1"/>
    <w:rsid w:val="004B05B3"/>
    <w:rsid w:val="004B061B"/>
    <w:rsid w:val="004B0729"/>
    <w:rsid w:val="004B074B"/>
    <w:rsid w:val="004B08B2"/>
    <w:rsid w:val="004B08E1"/>
    <w:rsid w:val="004B0925"/>
    <w:rsid w:val="004B0929"/>
    <w:rsid w:val="004B0953"/>
    <w:rsid w:val="004B0A35"/>
    <w:rsid w:val="004B0A75"/>
    <w:rsid w:val="004B0AB6"/>
    <w:rsid w:val="004B0B8D"/>
    <w:rsid w:val="004B0BE0"/>
    <w:rsid w:val="004B0BE5"/>
    <w:rsid w:val="004B0BE6"/>
    <w:rsid w:val="004B0BEB"/>
    <w:rsid w:val="004B0D09"/>
    <w:rsid w:val="004B0D0A"/>
    <w:rsid w:val="004B0D20"/>
    <w:rsid w:val="004B0D8D"/>
    <w:rsid w:val="004B0DC9"/>
    <w:rsid w:val="004B0DD0"/>
    <w:rsid w:val="004B0E0F"/>
    <w:rsid w:val="004B0E39"/>
    <w:rsid w:val="004B0E51"/>
    <w:rsid w:val="004B0E8E"/>
    <w:rsid w:val="004B0EB7"/>
    <w:rsid w:val="004B0EDC"/>
    <w:rsid w:val="004B0F04"/>
    <w:rsid w:val="004B0F80"/>
    <w:rsid w:val="004B0FA2"/>
    <w:rsid w:val="004B102D"/>
    <w:rsid w:val="004B1093"/>
    <w:rsid w:val="004B1187"/>
    <w:rsid w:val="004B11A2"/>
    <w:rsid w:val="004B1208"/>
    <w:rsid w:val="004B123A"/>
    <w:rsid w:val="004B1258"/>
    <w:rsid w:val="004B1282"/>
    <w:rsid w:val="004B1296"/>
    <w:rsid w:val="004B12D6"/>
    <w:rsid w:val="004B13BB"/>
    <w:rsid w:val="004B143C"/>
    <w:rsid w:val="004B1457"/>
    <w:rsid w:val="004B14BE"/>
    <w:rsid w:val="004B15D6"/>
    <w:rsid w:val="004B1675"/>
    <w:rsid w:val="004B175F"/>
    <w:rsid w:val="004B179A"/>
    <w:rsid w:val="004B189E"/>
    <w:rsid w:val="004B19B3"/>
    <w:rsid w:val="004B1A20"/>
    <w:rsid w:val="004B1A9D"/>
    <w:rsid w:val="004B1B11"/>
    <w:rsid w:val="004B1B54"/>
    <w:rsid w:val="004B1C11"/>
    <w:rsid w:val="004B1C4D"/>
    <w:rsid w:val="004B1C96"/>
    <w:rsid w:val="004B1D26"/>
    <w:rsid w:val="004B1DCF"/>
    <w:rsid w:val="004B1DD0"/>
    <w:rsid w:val="004B1DD6"/>
    <w:rsid w:val="004B1DF7"/>
    <w:rsid w:val="004B1E70"/>
    <w:rsid w:val="004B1EE5"/>
    <w:rsid w:val="004B1EF5"/>
    <w:rsid w:val="004B1F14"/>
    <w:rsid w:val="004B1F75"/>
    <w:rsid w:val="004B20E7"/>
    <w:rsid w:val="004B2181"/>
    <w:rsid w:val="004B224E"/>
    <w:rsid w:val="004B227A"/>
    <w:rsid w:val="004B22F6"/>
    <w:rsid w:val="004B2323"/>
    <w:rsid w:val="004B236B"/>
    <w:rsid w:val="004B2377"/>
    <w:rsid w:val="004B246E"/>
    <w:rsid w:val="004B24AC"/>
    <w:rsid w:val="004B24AE"/>
    <w:rsid w:val="004B2632"/>
    <w:rsid w:val="004B2683"/>
    <w:rsid w:val="004B271E"/>
    <w:rsid w:val="004B274C"/>
    <w:rsid w:val="004B2781"/>
    <w:rsid w:val="004B2793"/>
    <w:rsid w:val="004B27AC"/>
    <w:rsid w:val="004B27FB"/>
    <w:rsid w:val="004B288F"/>
    <w:rsid w:val="004B28C6"/>
    <w:rsid w:val="004B2984"/>
    <w:rsid w:val="004B29BF"/>
    <w:rsid w:val="004B2A10"/>
    <w:rsid w:val="004B2A11"/>
    <w:rsid w:val="004B2A79"/>
    <w:rsid w:val="004B2ADC"/>
    <w:rsid w:val="004B2B55"/>
    <w:rsid w:val="004B2C0F"/>
    <w:rsid w:val="004B2DB2"/>
    <w:rsid w:val="004B2DCF"/>
    <w:rsid w:val="004B2E26"/>
    <w:rsid w:val="004B2F4F"/>
    <w:rsid w:val="004B2FFF"/>
    <w:rsid w:val="004B3049"/>
    <w:rsid w:val="004B304F"/>
    <w:rsid w:val="004B3064"/>
    <w:rsid w:val="004B30AD"/>
    <w:rsid w:val="004B311A"/>
    <w:rsid w:val="004B317E"/>
    <w:rsid w:val="004B3201"/>
    <w:rsid w:val="004B32DF"/>
    <w:rsid w:val="004B3301"/>
    <w:rsid w:val="004B3323"/>
    <w:rsid w:val="004B332A"/>
    <w:rsid w:val="004B3330"/>
    <w:rsid w:val="004B3591"/>
    <w:rsid w:val="004B35F1"/>
    <w:rsid w:val="004B3660"/>
    <w:rsid w:val="004B36AA"/>
    <w:rsid w:val="004B36C2"/>
    <w:rsid w:val="004B36DA"/>
    <w:rsid w:val="004B37A8"/>
    <w:rsid w:val="004B383A"/>
    <w:rsid w:val="004B384B"/>
    <w:rsid w:val="004B38A3"/>
    <w:rsid w:val="004B38CE"/>
    <w:rsid w:val="004B38EA"/>
    <w:rsid w:val="004B3A0A"/>
    <w:rsid w:val="004B3A82"/>
    <w:rsid w:val="004B3B0D"/>
    <w:rsid w:val="004B3B32"/>
    <w:rsid w:val="004B3CA1"/>
    <w:rsid w:val="004B3D1D"/>
    <w:rsid w:val="004B3D76"/>
    <w:rsid w:val="004B3E50"/>
    <w:rsid w:val="004B3E58"/>
    <w:rsid w:val="004B3E92"/>
    <w:rsid w:val="004B3ED0"/>
    <w:rsid w:val="004B3F55"/>
    <w:rsid w:val="004B3FA1"/>
    <w:rsid w:val="004B401F"/>
    <w:rsid w:val="004B4146"/>
    <w:rsid w:val="004B4184"/>
    <w:rsid w:val="004B41F9"/>
    <w:rsid w:val="004B41FD"/>
    <w:rsid w:val="004B4244"/>
    <w:rsid w:val="004B42A7"/>
    <w:rsid w:val="004B42CC"/>
    <w:rsid w:val="004B42DB"/>
    <w:rsid w:val="004B42E2"/>
    <w:rsid w:val="004B436C"/>
    <w:rsid w:val="004B439D"/>
    <w:rsid w:val="004B4434"/>
    <w:rsid w:val="004B443B"/>
    <w:rsid w:val="004B4443"/>
    <w:rsid w:val="004B4471"/>
    <w:rsid w:val="004B453D"/>
    <w:rsid w:val="004B45BE"/>
    <w:rsid w:val="004B45F8"/>
    <w:rsid w:val="004B4603"/>
    <w:rsid w:val="004B4621"/>
    <w:rsid w:val="004B4638"/>
    <w:rsid w:val="004B4738"/>
    <w:rsid w:val="004B4751"/>
    <w:rsid w:val="004B47B2"/>
    <w:rsid w:val="004B47CA"/>
    <w:rsid w:val="004B4841"/>
    <w:rsid w:val="004B4905"/>
    <w:rsid w:val="004B4940"/>
    <w:rsid w:val="004B4947"/>
    <w:rsid w:val="004B499E"/>
    <w:rsid w:val="004B4A0E"/>
    <w:rsid w:val="004B4AE4"/>
    <w:rsid w:val="004B4AF8"/>
    <w:rsid w:val="004B4B0C"/>
    <w:rsid w:val="004B4BA3"/>
    <w:rsid w:val="004B4BD3"/>
    <w:rsid w:val="004B4BEB"/>
    <w:rsid w:val="004B4C5C"/>
    <w:rsid w:val="004B4C9A"/>
    <w:rsid w:val="004B4CE3"/>
    <w:rsid w:val="004B4D70"/>
    <w:rsid w:val="004B4DCA"/>
    <w:rsid w:val="004B4DFF"/>
    <w:rsid w:val="004B4F11"/>
    <w:rsid w:val="004B4F2D"/>
    <w:rsid w:val="004B4F2E"/>
    <w:rsid w:val="004B4F94"/>
    <w:rsid w:val="004B4FBB"/>
    <w:rsid w:val="004B5027"/>
    <w:rsid w:val="004B502C"/>
    <w:rsid w:val="004B5069"/>
    <w:rsid w:val="004B50DA"/>
    <w:rsid w:val="004B5145"/>
    <w:rsid w:val="004B51B4"/>
    <w:rsid w:val="004B51B6"/>
    <w:rsid w:val="004B51D1"/>
    <w:rsid w:val="004B52AB"/>
    <w:rsid w:val="004B530A"/>
    <w:rsid w:val="004B535B"/>
    <w:rsid w:val="004B536E"/>
    <w:rsid w:val="004B537D"/>
    <w:rsid w:val="004B551E"/>
    <w:rsid w:val="004B55A9"/>
    <w:rsid w:val="004B563B"/>
    <w:rsid w:val="004B5693"/>
    <w:rsid w:val="004B5699"/>
    <w:rsid w:val="004B5786"/>
    <w:rsid w:val="004B5836"/>
    <w:rsid w:val="004B585E"/>
    <w:rsid w:val="004B588B"/>
    <w:rsid w:val="004B5893"/>
    <w:rsid w:val="004B5896"/>
    <w:rsid w:val="004B5939"/>
    <w:rsid w:val="004B5983"/>
    <w:rsid w:val="004B5986"/>
    <w:rsid w:val="004B59C9"/>
    <w:rsid w:val="004B59E0"/>
    <w:rsid w:val="004B5A08"/>
    <w:rsid w:val="004B5A19"/>
    <w:rsid w:val="004B5A72"/>
    <w:rsid w:val="004B5A73"/>
    <w:rsid w:val="004B5B17"/>
    <w:rsid w:val="004B5B2F"/>
    <w:rsid w:val="004B5B8E"/>
    <w:rsid w:val="004B5C75"/>
    <w:rsid w:val="004B5DC3"/>
    <w:rsid w:val="004B5E40"/>
    <w:rsid w:val="004B5ED1"/>
    <w:rsid w:val="004B5ED3"/>
    <w:rsid w:val="004B5F1E"/>
    <w:rsid w:val="004B5FAF"/>
    <w:rsid w:val="004B5FF2"/>
    <w:rsid w:val="004B6013"/>
    <w:rsid w:val="004B6036"/>
    <w:rsid w:val="004B60F2"/>
    <w:rsid w:val="004B61AA"/>
    <w:rsid w:val="004B6205"/>
    <w:rsid w:val="004B6227"/>
    <w:rsid w:val="004B6271"/>
    <w:rsid w:val="004B636E"/>
    <w:rsid w:val="004B6419"/>
    <w:rsid w:val="004B64E4"/>
    <w:rsid w:val="004B6543"/>
    <w:rsid w:val="004B6592"/>
    <w:rsid w:val="004B660F"/>
    <w:rsid w:val="004B6648"/>
    <w:rsid w:val="004B6687"/>
    <w:rsid w:val="004B66BC"/>
    <w:rsid w:val="004B680B"/>
    <w:rsid w:val="004B684D"/>
    <w:rsid w:val="004B68FD"/>
    <w:rsid w:val="004B6984"/>
    <w:rsid w:val="004B69A7"/>
    <w:rsid w:val="004B69A8"/>
    <w:rsid w:val="004B6A1C"/>
    <w:rsid w:val="004B6B4F"/>
    <w:rsid w:val="004B6BA8"/>
    <w:rsid w:val="004B6C7C"/>
    <w:rsid w:val="004B6C84"/>
    <w:rsid w:val="004B6CCA"/>
    <w:rsid w:val="004B6D42"/>
    <w:rsid w:val="004B6D4C"/>
    <w:rsid w:val="004B6EA5"/>
    <w:rsid w:val="004B6EB8"/>
    <w:rsid w:val="004B6EC3"/>
    <w:rsid w:val="004B6F01"/>
    <w:rsid w:val="004B6F28"/>
    <w:rsid w:val="004B6F92"/>
    <w:rsid w:val="004B6FA9"/>
    <w:rsid w:val="004B7020"/>
    <w:rsid w:val="004B7050"/>
    <w:rsid w:val="004B70B6"/>
    <w:rsid w:val="004B7152"/>
    <w:rsid w:val="004B7189"/>
    <w:rsid w:val="004B71C9"/>
    <w:rsid w:val="004B727E"/>
    <w:rsid w:val="004B728F"/>
    <w:rsid w:val="004B7310"/>
    <w:rsid w:val="004B73AD"/>
    <w:rsid w:val="004B741B"/>
    <w:rsid w:val="004B7422"/>
    <w:rsid w:val="004B745F"/>
    <w:rsid w:val="004B74E6"/>
    <w:rsid w:val="004B74FF"/>
    <w:rsid w:val="004B75FD"/>
    <w:rsid w:val="004B7622"/>
    <w:rsid w:val="004B7709"/>
    <w:rsid w:val="004B7714"/>
    <w:rsid w:val="004B778F"/>
    <w:rsid w:val="004B7796"/>
    <w:rsid w:val="004B77A9"/>
    <w:rsid w:val="004B77E0"/>
    <w:rsid w:val="004B7847"/>
    <w:rsid w:val="004B7853"/>
    <w:rsid w:val="004B78AA"/>
    <w:rsid w:val="004B7993"/>
    <w:rsid w:val="004B79DC"/>
    <w:rsid w:val="004B79F9"/>
    <w:rsid w:val="004B7A02"/>
    <w:rsid w:val="004B7A07"/>
    <w:rsid w:val="004B7A4F"/>
    <w:rsid w:val="004B7A52"/>
    <w:rsid w:val="004B7ADB"/>
    <w:rsid w:val="004B7C56"/>
    <w:rsid w:val="004B7C5A"/>
    <w:rsid w:val="004B7CDA"/>
    <w:rsid w:val="004B7D58"/>
    <w:rsid w:val="004B7D62"/>
    <w:rsid w:val="004B7DCF"/>
    <w:rsid w:val="004B7DFC"/>
    <w:rsid w:val="004B7E48"/>
    <w:rsid w:val="004B7ECA"/>
    <w:rsid w:val="004B7F13"/>
    <w:rsid w:val="004B7FEC"/>
    <w:rsid w:val="004C0035"/>
    <w:rsid w:val="004C0039"/>
    <w:rsid w:val="004C0056"/>
    <w:rsid w:val="004C0070"/>
    <w:rsid w:val="004C00B9"/>
    <w:rsid w:val="004C00BF"/>
    <w:rsid w:val="004C0110"/>
    <w:rsid w:val="004C0112"/>
    <w:rsid w:val="004C0143"/>
    <w:rsid w:val="004C0274"/>
    <w:rsid w:val="004C0288"/>
    <w:rsid w:val="004C0292"/>
    <w:rsid w:val="004C0389"/>
    <w:rsid w:val="004C03C9"/>
    <w:rsid w:val="004C049A"/>
    <w:rsid w:val="004C04A1"/>
    <w:rsid w:val="004C04CA"/>
    <w:rsid w:val="004C04D3"/>
    <w:rsid w:val="004C0528"/>
    <w:rsid w:val="004C057E"/>
    <w:rsid w:val="004C0690"/>
    <w:rsid w:val="004C06BE"/>
    <w:rsid w:val="004C0726"/>
    <w:rsid w:val="004C074A"/>
    <w:rsid w:val="004C07EB"/>
    <w:rsid w:val="004C0876"/>
    <w:rsid w:val="004C0AEF"/>
    <w:rsid w:val="004C0B03"/>
    <w:rsid w:val="004C0B3D"/>
    <w:rsid w:val="004C0B44"/>
    <w:rsid w:val="004C0B6F"/>
    <w:rsid w:val="004C0B73"/>
    <w:rsid w:val="004C0BA9"/>
    <w:rsid w:val="004C0BB6"/>
    <w:rsid w:val="004C0BDC"/>
    <w:rsid w:val="004C0BFA"/>
    <w:rsid w:val="004C0C06"/>
    <w:rsid w:val="004C0C19"/>
    <w:rsid w:val="004C0D55"/>
    <w:rsid w:val="004C0D63"/>
    <w:rsid w:val="004C0D9A"/>
    <w:rsid w:val="004C0DE2"/>
    <w:rsid w:val="004C0DF5"/>
    <w:rsid w:val="004C0E36"/>
    <w:rsid w:val="004C0F23"/>
    <w:rsid w:val="004C1020"/>
    <w:rsid w:val="004C102D"/>
    <w:rsid w:val="004C10A7"/>
    <w:rsid w:val="004C10D3"/>
    <w:rsid w:val="004C111A"/>
    <w:rsid w:val="004C11DD"/>
    <w:rsid w:val="004C11FD"/>
    <w:rsid w:val="004C1204"/>
    <w:rsid w:val="004C121D"/>
    <w:rsid w:val="004C12F1"/>
    <w:rsid w:val="004C1348"/>
    <w:rsid w:val="004C1371"/>
    <w:rsid w:val="004C13AE"/>
    <w:rsid w:val="004C13C6"/>
    <w:rsid w:val="004C1401"/>
    <w:rsid w:val="004C1715"/>
    <w:rsid w:val="004C1770"/>
    <w:rsid w:val="004C177C"/>
    <w:rsid w:val="004C17B6"/>
    <w:rsid w:val="004C17F4"/>
    <w:rsid w:val="004C17FA"/>
    <w:rsid w:val="004C1830"/>
    <w:rsid w:val="004C18D0"/>
    <w:rsid w:val="004C18ED"/>
    <w:rsid w:val="004C1910"/>
    <w:rsid w:val="004C1986"/>
    <w:rsid w:val="004C19C1"/>
    <w:rsid w:val="004C19FC"/>
    <w:rsid w:val="004C1A61"/>
    <w:rsid w:val="004C1AC0"/>
    <w:rsid w:val="004C1BAA"/>
    <w:rsid w:val="004C1D42"/>
    <w:rsid w:val="004C1E05"/>
    <w:rsid w:val="004C1E5B"/>
    <w:rsid w:val="004C1E83"/>
    <w:rsid w:val="004C1FCD"/>
    <w:rsid w:val="004C204B"/>
    <w:rsid w:val="004C2076"/>
    <w:rsid w:val="004C2092"/>
    <w:rsid w:val="004C21D0"/>
    <w:rsid w:val="004C2228"/>
    <w:rsid w:val="004C226A"/>
    <w:rsid w:val="004C22F1"/>
    <w:rsid w:val="004C2342"/>
    <w:rsid w:val="004C2558"/>
    <w:rsid w:val="004C257C"/>
    <w:rsid w:val="004C2599"/>
    <w:rsid w:val="004C259B"/>
    <w:rsid w:val="004C2676"/>
    <w:rsid w:val="004C2686"/>
    <w:rsid w:val="004C2694"/>
    <w:rsid w:val="004C2825"/>
    <w:rsid w:val="004C28A8"/>
    <w:rsid w:val="004C28EF"/>
    <w:rsid w:val="004C2906"/>
    <w:rsid w:val="004C2931"/>
    <w:rsid w:val="004C297A"/>
    <w:rsid w:val="004C2A1A"/>
    <w:rsid w:val="004C2A49"/>
    <w:rsid w:val="004C2A61"/>
    <w:rsid w:val="004C2AF1"/>
    <w:rsid w:val="004C2C01"/>
    <w:rsid w:val="004C2CB1"/>
    <w:rsid w:val="004C2CB9"/>
    <w:rsid w:val="004C2CBA"/>
    <w:rsid w:val="004C2CE4"/>
    <w:rsid w:val="004C2D39"/>
    <w:rsid w:val="004C2DF3"/>
    <w:rsid w:val="004C2E38"/>
    <w:rsid w:val="004C2E94"/>
    <w:rsid w:val="004C2F33"/>
    <w:rsid w:val="004C2F80"/>
    <w:rsid w:val="004C2FC7"/>
    <w:rsid w:val="004C301C"/>
    <w:rsid w:val="004C3021"/>
    <w:rsid w:val="004C3051"/>
    <w:rsid w:val="004C3135"/>
    <w:rsid w:val="004C3143"/>
    <w:rsid w:val="004C3148"/>
    <w:rsid w:val="004C3167"/>
    <w:rsid w:val="004C32B7"/>
    <w:rsid w:val="004C32FD"/>
    <w:rsid w:val="004C330F"/>
    <w:rsid w:val="004C3371"/>
    <w:rsid w:val="004C33AB"/>
    <w:rsid w:val="004C3401"/>
    <w:rsid w:val="004C3417"/>
    <w:rsid w:val="004C3517"/>
    <w:rsid w:val="004C3548"/>
    <w:rsid w:val="004C35C6"/>
    <w:rsid w:val="004C363A"/>
    <w:rsid w:val="004C377F"/>
    <w:rsid w:val="004C37A3"/>
    <w:rsid w:val="004C38AA"/>
    <w:rsid w:val="004C397B"/>
    <w:rsid w:val="004C3986"/>
    <w:rsid w:val="004C39DB"/>
    <w:rsid w:val="004C3A09"/>
    <w:rsid w:val="004C3ADA"/>
    <w:rsid w:val="004C3B0B"/>
    <w:rsid w:val="004C3B26"/>
    <w:rsid w:val="004C3B98"/>
    <w:rsid w:val="004C3BB7"/>
    <w:rsid w:val="004C3BBB"/>
    <w:rsid w:val="004C3C3A"/>
    <w:rsid w:val="004C3C7B"/>
    <w:rsid w:val="004C3CFA"/>
    <w:rsid w:val="004C3DA2"/>
    <w:rsid w:val="004C3DB5"/>
    <w:rsid w:val="004C3E11"/>
    <w:rsid w:val="004C3E58"/>
    <w:rsid w:val="004C3EA9"/>
    <w:rsid w:val="004C3F6B"/>
    <w:rsid w:val="004C3FF0"/>
    <w:rsid w:val="004C4005"/>
    <w:rsid w:val="004C40EC"/>
    <w:rsid w:val="004C410E"/>
    <w:rsid w:val="004C4172"/>
    <w:rsid w:val="004C41D8"/>
    <w:rsid w:val="004C41DE"/>
    <w:rsid w:val="004C4225"/>
    <w:rsid w:val="004C4270"/>
    <w:rsid w:val="004C42A0"/>
    <w:rsid w:val="004C42B5"/>
    <w:rsid w:val="004C42C4"/>
    <w:rsid w:val="004C42F4"/>
    <w:rsid w:val="004C4316"/>
    <w:rsid w:val="004C439B"/>
    <w:rsid w:val="004C43EA"/>
    <w:rsid w:val="004C4459"/>
    <w:rsid w:val="004C451F"/>
    <w:rsid w:val="004C45BE"/>
    <w:rsid w:val="004C45EF"/>
    <w:rsid w:val="004C4609"/>
    <w:rsid w:val="004C4652"/>
    <w:rsid w:val="004C4702"/>
    <w:rsid w:val="004C4712"/>
    <w:rsid w:val="004C4715"/>
    <w:rsid w:val="004C479A"/>
    <w:rsid w:val="004C47AA"/>
    <w:rsid w:val="004C487A"/>
    <w:rsid w:val="004C4883"/>
    <w:rsid w:val="004C4898"/>
    <w:rsid w:val="004C4903"/>
    <w:rsid w:val="004C4965"/>
    <w:rsid w:val="004C4998"/>
    <w:rsid w:val="004C49AA"/>
    <w:rsid w:val="004C4AAC"/>
    <w:rsid w:val="004C4C16"/>
    <w:rsid w:val="004C4C51"/>
    <w:rsid w:val="004C4C6E"/>
    <w:rsid w:val="004C4CC1"/>
    <w:rsid w:val="004C4CFE"/>
    <w:rsid w:val="004C4D5C"/>
    <w:rsid w:val="004C4E21"/>
    <w:rsid w:val="004C4EB9"/>
    <w:rsid w:val="004C5011"/>
    <w:rsid w:val="004C5018"/>
    <w:rsid w:val="004C5055"/>
    <w:rsid w:val="004C5081"/>
    <w:rsid w:val="004C50DC"/>
    <w:rsid w:val="004C51EE"/>
    <w:rsid w:val="004C5232"/>
    <w:rsid w:val="004C525D"/>
    <w:rsid w:val="004C52AE"/>
    <w:rsid w:val="004C52C9"/>
    <w:rsid w:val="004C54B8"/>
    <w:rsid w:val="004C54CE"/>
    <w:rsid w:val="004C556B"/>
    <w:rsid w:val="004C560D"/>
    <w:rsid w:val="004C562C"/>
    <w:rsid w:val="004C56A3"/>
    <w:rsid w:val="004C56A9"/>
    <w:rsid w:val="004C5755"/>
    <w:rsid w:val="004C585B"/>
    <w:rsid w:val="004C5864"/>
    <w:rsid w:val="004C5884"/>
    <w:rsid w:val="004C590C"/>
    <w:rsid w:val="004C5912"/>
    <w:rsid w:val="004C5AFD"/>
    <w:rsid w:val="004C5B5E"/>
    <w:rsid w:val="004C5B94"/>
    <w:rsid w:val="004C5BCC"/>
    <w:rsid w:val="004C5BF4"/>
    <w:rsid w:val="004C5C79"/>
    <w:rsid w:val="004C5C81"/>
    <w:rsid w:val="004C5DE4"/>
    <w:rsid w:val="004C5E54"/>
    <w:rsid w:val="004C5EEA"/>
    <w:rsid w:val="004C5EF7"/>
    <w:rsid w:val="004C5F86"/>
    <w:rsid w:val="004C5F8E"/>
    <w:rsid w:val="004C6075"/>
    <w:rsid w:val="004C6184"/>
    <w:rsid w:val="004C61B7"/>
    <w:rsid w:val="004C6261"/>
    <w:rsid w:val="004C6304"/>
    <w:rsid w:val="004C6366"/>
    <w:rsid w:val="004C6404"/>
    <w:rsid w:val="004C6475"/>
    <w:rsid w:val="004C6480"/>
    <w:rsid w:val="004C64C4"/>
    <w:rsid w:val="004C64DF"/>
    <w:rsid w:val="004C64F0"/>
    <w:rsid w:val="004C6523"/>
    <w:rsid w:val="004C652F"/>
    <w:rsid w:val="004C666B"/>
    <w:rsid w:val="004C6681"/>
    <w:rsid w:val="004C668F"/>
    <w:rsid w:val="004C66F9"/>
    <w:rsid w:val="004C672F"/>
    <w:rsid w:val="004C67DC"/>
    <w:rsid w:val="004C6808"/>
    <w:rsid w:val="004C6875"/>
    <w:rsid w:val="004C68ED"/>
    <w:rsid w:val="004C696C"/>
    <w:rsid w:val="004C69C9"/>
    <w:rsid w:val="004C6B21"/>
    <w:rsid w:val="004C6B50"/>
    <w:rsid w:val="004C6B87"/>
    <w:rsid w:val="004C6BAC"/>
    <w:rsid w:val="004C6BD2"/>
    <w:rsid w:val="004C6BD7"/>
    <w:rsid w:val="004C6BE6"/>
    <w:rsid w:val="004C6C9D"/>
    <w:rsid w:val="004C6CFB"/>
    <w:rsid w:val="004C6D19"/>
    <w:rsid w:val="004C6D30"/>
    <w:rsid w:val="004C6D96"/>
    <w:rsid w:val="004C6DD5"/>
    <w:rsid w:val="004C6E55"/>
    <w:rsid w:val="004C6E87"/>
    <w:rsid w:val="004C6EA9"/>
    <w:rsid w:val="004C6EAF"/>
    <w:rsid w:val="004C6F21"/>
    <w:rsid w:val="004C6F35"/>
    <w:rsid w:val="004C702D"/>
    <w:rsid w:val="004C7038"/>
    <w:rsid w:val="004C70BA"/>
    <w:rsid w:val="004C70E4"/>
    <w:rsid w:val="004C7160"/>
    <w:rsid w:val="004C7173"/>
    <w:rsid w:val="004C72C1"/>
    <w:rsid w:val="004C72E1"/>
    <w:rsid w:val="004C73E1"/>
    <w:rsid w:val="004C7427"/>
    <w:rsid w:val="004C746F"/>
    <w:rsid w:val="004C758A"/>
    <w:rsid w:val="004C761F"/>
    <w:rsid w:val="004C76FF"/>
    <w:rsid w:val="004C771F"/>
    <w:rsid w:val="004C7734"/>
    <w:rsid w:val="004C773E"/>
    <w:rsid w:val="004C775B"/>
    <w:rsid w:val="004C775E"/>
    <w:rsid w:val="004C7760"/>
    <w:rsid w:val="004C777A"/>
    <w:rsid w:val="004C77AD"/>
    <w:rsid w:val="004C7809"/>
    <w:rsid w:val="004C780A"/>
    <w:rsid w:val="004C791B"/>
    <w:rsid w:val="004C793F"/>
    <w:rsid w:val="004C7977"/>
    <w:rsid w:val="004C79EF"/>
    <w:rsid w:val="004C7AA5"/>
    <w:rsid w:val="004C7AA9"/>
    <w:rsid w:val="004C7B17"/>
    <w:rsid w:val="004C7B8C"/>
    <w:rsid w:val="004C7C4D"/>
    <w:rsid w:val="004C7CA2"/>
    <w:rsid w:val="004C7CD8"/>
    <w:rsid w:val="004C7D07"/>
    <w:rsid w:val="004C7D6E"/>
    <w:rsid w:val="004C7D88"/>
    <w:rsid w:val="004C7E25"/>
    <w:rsid w:val="004C7E3C"/>
    <w:rsid w:val="004C7F5A"/>
    <w:rsid w:val="004CA1EA"/>
    <w:rsid w:val="004D0057"/>
    <w:rsid w:val="004D00D5"/>
    <w:rsid w:val="004D00F8"/>
    <w:rsid w:val="004D01BD"/>
    <w:rsid w:val="004D01DF"/>
    <w:rsid w:val="004D01E6"/>
    <w:rsid w:val="004D024B"/>
    <w:rsid w:val="004D02AB"/>
    <w:rsid w:val="004D02CB"/>
    <w:rsid w:val="004D039B"/>
    <w:rsid w:val="004D03FE"/>
    <w:rsid w:val="004D046A"/>
    <w:rsid w:val="004D046C"/>
    <w:rsid w:val="004D050D"/>
    <w:rsid w:val="004D05AC"/>
    <w:rsid w:val="004D05D1"/>
    <w:rsid w:val="004D05FE"/>
    <w:rsid w:val="004D06DA"/>
    <w:rsid w:val="004D0805"/>
    <w:rsid w:val="004D0814"/>
    <w:rsid w:val="004D081D"/>
    <w:rsid w:val="004D0824"/>
    <w:rsid w:val="004D086B"/>
    <w:rsid w:val="004D0893"/>
    <w:rsid w:val="004D08E0"/>
    <w:rsid w:val="004D0906"/>
    <w:rsid w:val="004D0A61"/>
    <w:rsid w:val="004D0A96"/>
    <w:rsid w:val="004D0ACF"/>
    <w:rsid w:val="004D0B4D"/>
    <w:rsid w:val="004D0B4E"/>
    <w:rsid w:val="004D0B9C"/>
    <w:rsid w:val="004D0BFD"/>
    <w:rsid w:val="004D0C0C"/>
    <w:rsid w:val="004D0C73"/>
    <w:rsid w:val="004D0E27"/>
    <w:rsid w:val="004D0E2E"/>
    <w:rsid w:val="004D0E84"/>
    <w:rsid w:val="004D0EB4"/>
    <w:rsid w:val="004D0EFD"/>
    <w:rsid w:val="004D0F9C"/>
    <w:rsid w:val="004D1071"/>
    <w:rsid w:val="004D108E"/>
    <w:rsid w:val="004D1185"/>
    <w:rsid w:val="004D1205"/>
    <w:rsid w:val="004D1219"/>
    <w:rsid w:val="004D1248"/>
    <w:rsid w:val="004D12B9"/>
    <w:rsid w:val="004D12C3"/>
    <w:rsid w:val="004D1316"/>
    <w:rsid w:val="004D131B"/>
    <w:rsid w:val="004D1357"/>
    <w:rsid w:val="004D138F"/>
    <w:rsid w:val="004D13CD"/>
    <w:rsid w:val="004D1430"/>
    <w:rsid w:val="004D1434"/>
    <w:rsid w:val="004D14C1"/>
    <w:rsid w:val="004D14F2"/>
    <w:rsid w:val="004D156B"/>
    <w:rsid w:val="004D1583"/>
    <w:rsid w:val="004D1652"/>
    <w:rsid w:val="004D1670"/>
    <w:rsid w:val="004D1685"/>
    <w:rsid w:val="004D1771"/>
    <w:rsid w:val="004D1795"/>
    <w:rsid w:val="004D179B"/>
    <w:rsid w:val="004D17E3"/>
    <w:rsid w:val="004D17F3"/>
    <w:rsid w:val="004D1813"/>
    <w:rsid w:val="004D18DD"/>
    <w:rsid w:val="004D1923"/>
    <w:rsid w:val="004D1947"/>
    <w:rsid w:val="004D19E2"/>
    <w:rsid w:val="004D1A03"/>
    <w:rsid w:val="004D1B3F"/>
    <w:rsid w:val="004D1B48"/>
    <w:rsid w:val="004D1BCE"/>
    <w:rsid w:val="004D1BD8"/>
    <w:rsid w:val="004D1BDC"/>
    <w:rsid w:val="004D1E37"/>
    <w:rsid w:val="004D1F11"/>
    <w:rsid w:val="004D1F26"/>
    <w:rsid w:val="004D2118"/>
    <w:rsid w:val="004D211D"/>
    <w:rsid w:val="004D2131"/>
    <w:rsid w:val="004D21C1"/>
    <w:rsid w:val="004D21EA"/>
    <w:rsid w:val="004D232A"/>
    <w:rsid w:val="004D232F"/>
    <w:rsid w:val="004D2390"/>
    <w:rsid w:val="004D247F"/>
    <w:rsid w:val="004D2527"/>
    <w:rsid w:val="004D25EA"/>
    <w:rsid w:val="004D2600"/>
    <w:rsid w:val="004D261A"/>
    <w:rsid w:val="004D261B"/>
    <w:rsid w:val="004D261E"/>
    <w:rsid w:val="004D26A8"/>
    <w:rsid w:val="004D26C4"/>
    <w:rsid w:val="004D28FE"/>
    <w:rsid w:val="004D297C"/>
    <w:rsid w:val="004D298C"/>
    <w:rsid w:val="004D2A05"/>
    <w:rsid w:val="004D2B02"/>
    <w:rsid w:val="004D2B79"/>
    <w:rsid w:val="004D2C39"/>
    <w:rsid w:val="004D2CAB"/>
    <w:rsid w:val="004D2D60"/>
    <w:rsid w:val="004D2D6A"/>
    <w:rsid w:val="004D2DA9"/>
    <w:rsid w:val="004D2E00"/>
    <w:rsid w:val="004D2E55"/>
    <w:rsid w:val="004D2EAF"/>
    <w:rsid w:val="004D2FDC"/>
    <w:rsid w:val="004D3002"/>
    <w:rsid w:val="004D3009"/>
    <w:rsid w:val="004D3074"/>
    <w:rsid w:val="004D3173"/>
    <w:rsid w:val="004D31F3"/>
    <w:rsid w:val="004D31F9"/>
    <w:rsid w:val="004D3202"/>
    <w:rsid w:val="004D32C3"/>
    <w:rsid w:val="004D32F7"/>
    <w:rsid w:val="004D336E"/>
    <w:rsid w:val="004D33A6"/>
    <w:rsid w:val="004D33B3"/>
    <w:rsid w:val="004D3472"/>
    <w:rsid w:val="004D3535"/>
    <w:rsid w:val="004D356C"/>
    <w:rsid w:val="004D358B"/>
    <w:rsid w:val="004D36D2"/>
    <w:rsid w:val="004D38A1"/>
    <w:rsid w:val="004D390F"/>
    <w:rsid w:val="004D3931"/>
    <w:rsid w:val="004D3A7E"/>
    <w:rsid w:val="004D3A84"/>
    <w:rsid w:val="004D3AFC"/>
    <w:rsid w:val="004D3B2C"/>
    <w:rsid w:val="004D3B5E"/>
    <w:rsid w:val="004D3BDE"/>
    <w:rsid w:val="004D3BE7"/>
    <w:rsid w:val="004D3BED"/>
    <w:rsid w:val="004D3C2F"/>
    <w:rsid w:val="004D3C53"/>
    <w:rsid w:val="004D3C5D"/>
    <w:rsid w:val="004D3D9E"/>
    <w:rsid w:val="004D3DEF"/>
    <w:rsid w:val="004D3E1C"/>
    <w:rsid w:val="004D3F10"/>
    <w:rsid w:val="004D3F40"/>
    <w:rsid w:val="004D3F55"/>
    <w:rsid w:val="004D3F56"/>
    <w:rsid w:val="004D3F8C"/>
    <w:rsid w:val="004D3FCB"/>
    <w:rsid w:val="004D3FDC"/>
    <w:rsid w:val="004D40A7"/>
    <w:rsid w:val="004D411F"/>
    <w:rsid w:val="004D4190"/>
    <w:rsid w:val="004D41F2"/>
    <w:rsid w:val="004D4288"/>
    <w:rsid w:val="004D4336"/>
    <w:rsid w:val="004D4389"/>
    <w:rsid w:val="004D43CA"/>
    <w:rsid w:val="004D43F6"/>
    <w:rsid w:val="004D4413"/>
    <w:rsid w:val="004D44BC"/>
    <w:rsid w:val="004D452A"/>
    <w:rsid w:val="004D452C"/>
    <w:rsid w:val="004D453A"/>
    <w:rsid w:val="004D4548"/>
    <w:rsid w:val="004D4589"/>
    <w:rsid w:val="004D45AD"/>
    <w:rsid w:val="004D45C2"/>
    <w:rsid w:val="004D4684"/>
    <w:rsid w:val="004D471C"/>
    <w:rsid w:val="004D471E"/>
    <w:rsid w:val="004D47A2"/>
    <w:rsid w:val="004D484C"/>
    <w:rsid w:val="004D48F8"/>
    <w:rsid w:val="004D4974"/>
    <w:rsid w:val="004D49E8"/>
    <w:rsid w:val="004D4A6C"/>
    <w:rsid w:val="004D4AA2"/>
    <w:rsid w:val="004D4AD7"/>
    <w:rsid w:val="004D4B08"/>
    <w:rsid w:val="004D4B57"/>
    <w:rsid w:val="004D4BF9"/>
    <w:rsid w:val="004D4C7A"/>
    <w:rsid w:val="004D4CA9"/>
    <w:rsid w:val="004D4E92"/>
    <w:rsid w:val="004D4ECC"/>
    <w:rsid w:val="004D4FE4"/>
    <w:rsid w:val="004D4FFD"/>
    <w:rsid w:val="004D508E"/>
    <w:rsid w:val="004D51DF"/>
    <w:rsid w:val="004D5323"/>
    <w:rsid w:val="004D534D"/>
    <w:rsid w:val="004D5367"/>
    <w:rsid w:val="004D5379"/>
    <w:rsid w:val="004D53DD"/>
    <w:rsid w:val="004D53E0"/>
    <w:rsid w:val="004D5444"/>
    <w:rsid w:val="004D5450"/>
    <w:rsid w:val="004D5462"/>
    <w:rsid w:val="004D54F9"/>
    <w:rsid w:val="004D553B"/>
    <w:rsid w:val="004D558F"/>
    <w:rsid w:val="004D55F9"/>
    <w:rsid w:val="004D562C"/>
    <w:rsid w:val="004D5669"/>
    <w:rsid w:val="004D567A"/>
    <w:rsid w:val="004D56B1"/>
    <w:rsid w:val="004D575B"/>
    <w:rsid w:val="004D5765"/>
    <w:rsid w:val="004D57A4"/>
    <w:rsid w:val="004D5805"/>
    <w:rsid w:val="004D58C3"/>
    <w:rsid w:val="004D59FD"/>
    <w:rsid w:val="004D5A73"/>
    <w:rsid w:val="004D5B7F"/>
    <w:rsid w:val="004D5BA9"/>
    <w:rsid w:val="004D5CDD"/>
    <w:rsid w:val="004D5D54"/>
    <w:rsid w:val="004D5DD8"/>
    <w:rsid w:val="004D5E5A"/>
    <w:rsid w:val="004D5F3E"/>
    <w:rsid w:val="004D606B"/>
    <w:rsid w:val="004D6179"/>
    <w:rsid w:val="004D617E"/>
    <w:rsid w:val="004D61A0"/>
    <w:rsid w:val="004D61B4"/>
    <w:rsid w:val="004D61FE"/>
    <w:rsid w:val="004D622B"/>
    <w:rsid w:val="004D623E"/>
    <w:rsid w:val="004D6271"/>
    <w:rsid w:val="004D6297"/>
    <w:rsid w:val="004D6308"/>
    <w:rsid w:val="004D6317"/>
    <w:rsid w:val="004D6383"/>
    <w:rsid w:val="004D63B4"/>
    <w:rsid w:val="004D63C5"/>
    <w:rsid w:val="004D640B"/>
    <w:rsid w:val="004D64D8"/>
    <w:rsid w:val="004D64FC"/>
    <w:rsid w:val="004D650E"/>
    <w:rsid w:val="004D655B"/>
    <w:rsid w:val="004D6574"/>
    <w:rsid w:val="004D6580"/>
    <w:rsid w:val="004D65F1"/>
    <w:rsid w:val="004D6607"/>
    <w:rsid w:val="004D660F"/>
    <w:rsid w:val="004D6678"/>
    <w:rsid w:val="004D6688"/>
    <w:rsid w:val="004D67C8"/>
    <w:rsid w:val="004D67FA"/>
    <w:rsid w:val="004D681E"/>
    <w:rsid w:val="004D6838"/>
    <w:rsid w:val="004D6857"/>
    <w:rsid w:val="004D68D2"/>
    <w:rsid w:val="004D699B"/>
    <w:rsid w:val="004D6A6E"/>
    <w:rsid w:val="004D6AB3"/>
    <w:rsid w:val="004D6B85"/>
    <w:rsid w:val="004D6BD3"/>
    <w:rsid w:val="004D6D1B"/>
    <w:rsid w:val="004D6D67"/>
    <w:rsid w:val="004D6DDE"/>
    <w:rsid w:val="004D6E93"/>
    <w:rsid w:val="004D6EC5"/>
    <w:rsid w:val="004D6F16"/>
    <w:rsid w:val="004D6F35"/>
    <w:rsid w:val="004D6F44"/>
    <w:rsid w:val="004D6F8F"/>
    <w:rsid w:val="004D7033"/>
    <w:rsid w:val="004D7080"/>
    <w:rsid w:val="004D70AC"/>
    <w:rsid w:val="004D70AE"/>
    <w:rsid w:val="004D70BB"/>
    <w:rsid w:val="004D70F3"/>
    <w:rsid w:val="004D71AC"/>
    <w:rsid w:val="004D71C6"/>
    <w:rsid w:val="004D72EA"/>
    <w:rsid w:val="004D731D"/>
    <w:rsid w:val="004D7418"/>
    <w:rsid w:val="004D7452"/>
    <w:rsid w:val="004D7505"/>
    <w:rsid w:val="004D751D"/>
    <w:rsid w:val="004D758E"/>
    <w:rsid w:val="004D75BF"/>
    <w:rsid w:val="004D75F8"/>
    <w:rsid w:val="004D75FE"/>
    <w:rsid w:val="004D7602"/>
    <w:rsid w:val="004D76A0"/>
    <w:rsid w:val="004D7764"/>
    <w:rsid w:val="004D7821"/>
    <w:rsid w:val="004D7842"/>
    <w:rsid w:val="004D7866"/>
    <w:rsid w:val="004D78EA"/>
    <w:rsid w:val="004D7951"/>
    <w:rsid w:val="004D795C"/>
    <w:rsid w:val="004D796C"/>
    <w:rsid w:val="004D797A"/>
    <w:rsid w:val="004D7A2D"/>
    <w:rsid w:val="004D7A33"/>
    <w:rsid w:val="004D7A94"/>
    <w:rsid w:val="004D7B18"/>
    <w:rsid w:val="004D7B67"/>
    <w:rsid w:val="004D7BE5"/>
    <w:rsid w:val="004D7C62"/>
    <w:rsid w:val="004D7CCE"/>
    <w:rsid w:val="004D7D10"/>
    <w:rsid w:val="004D7DFB"/>
    <w:rsid w:val="004D7EAB"/>
    <w:rsid w:val="004D7EAE"/>
    <w:rsid w:val="004D7F0C"/>
    <w:rsid w:val="004D7FBB"/>
    <w:rsid w:val="004D7FC5"/>
    <w:rsid w:val="004E0135"/>
    <w:rsid w:val="004E0152"/>
    <w:rsid w:val="004E0259"/>
    <w:rsid w:val="004E0276"/>
    <w:rsid w:val="004E02FD"/>
    <w:rsid w:val="004E03CA"/>
    <w:rsid w:val="004E03D7"/>
    <w:rsid w:val="004E03D9"/>
    <w:rsid w:val="004E0408"/>
    <w:rsid w:val="004E041E"/>
    <w:rsid w:val="004E042F"/>
    <w:rsid w:val="004E045E"/>
    <w:rsid w:val="004E04A6"/>
    <w:rsid w:val="004E04E3"/>
    <w:rsid w:val="004E04F0"/>
    <w:rsid w:val="004E061C"/>
    <w:rsid w:val="004E0736"/>
    <w:rsid w:val="004E075C"/>
    <w:rsid w:val="004E07BF"/>
    <w:rsid w:val="004E07C6"/>
    <w:rsid w:val="004E07D4"/>
    <w:rsid w:val="004E090F"/>
    <w:rsid w:val="004E093A"/>
    <w:rsid w:val="004E099B"/>
    <w:rsid w:val="004E0A67"/>
    <w:rsid w:val="004E0AAC"/>
    <w:rsid w:val="004E0AB2"/>
    <w:rsid w:val="004E0B60"/>
    <w:rsid w:val="004E0B68"/>
    <w:rsid w:val="004E0BA7"/>
    <w:rsid w:val="004E0C86"/>
    <w:rsid w:val="004E0C9F"/>
    <w:rsid w:val="004E0D5C"/>
    <w:rsid w:val="004E0DB4"/>
    <w:rsid w:val="004E0DBF"/>
    <w:rsid w:val="004E0DF5"/>
    <w:rsid w:val="004E0E48"/>
    <w:rsid w:val="004E0E7B"/>
    <w:rsid w:val="004E0EE0"/>
    <w:rsid w:val="004E0EFE"/>
    <w:rsid w:val="004E0F09"/>
    <w:rsid w:val="004E0F0B"/>
    <w:rsid w:val="004E0F27"/>
    <w:rsid w:val="004E0F5F"/>
    <w:rsid w:val="004E0F8A"/>
    <w:rsid w:val="004E104F"/>
    <w:rsid w:val="004E1060"/>
    <w:rsid w:val="004E10A7"/>
    <w:rsid w:val="004E10EA"/>
    <w:rsid w:val="004E111B"/>
    <w:rsid w:val="004E1198"/>
    <w:rsid w:val="004E11C3"/>
    <w:rsid w:val="004E1267"/>
    <w:rsid w:val="004E13F9"/>
    <w:rsid w:val="004E145B"/>
    <w:rsid w:val="004E14C9"/>
    <w:rsid w:val="004E157E"/>
    <w:rsid w:val="004E15D3"/>
    <w:rsid w:val="004E161A"/>
    <w:rsid w:val="004E174F"/>
    <w:rsid w:val="004E17D3"/>
    <w:rsid w:val="004E1880"/>
    <w:rsid w:val="004E1888"/>
    <w:rsid w:val="004E18C3"/>
    <w:rsid w:val="004E1900"/>
    <w:rsid w:val="004E1963"/>
    <w:rsid w:val="004E1975"/>
    <w:rsid w:val="004E19CA"/>
    <w:rsid w:val="004E1A10"/>
    <w:rsid w:val="004E1A84"/>
    <w:rsid w:val="004E1A8E"/>
    <w:rsid w:val="004E1B58"/>
    <w:rsid w:val="004E1BC1"/>
    <w:rsid w:val="004E1BF5"/>
    <w:rsid w:val="004E1C25"/>
    <w:rsid w:val="004E1C44"/>
    <w:rsid w:val="004E1CD9"/>
    <w:rsid w:val="004E1D13"/>
    <w:rsid w:val="004E1D68"/>
    <w:rsid w:val="004E1D6B"/>
    <w:rsid w:val="004E1E04"/>
    <w:rsid w:val="004E1F0C"/>
    <w:rsid w:val="004E1FE8"/>
    <w:rsid w:val="004E20B1"/>
    <w:rsid w:val="004E20C7"/>
    <w:rsid w:val="004E20CD"/>
    <w:rsid w:val="004E2175"/>
    <w:rsid w:val="004E2326"/>
    <w:rsid w:val="004E236C"/>
    <w:rsid w:val="004E23C4"/>
    <w:rsid w:val="004E23E5"/>
    <w:rsid w:val="004E2418"/>
    <w:rsid w:val="004E2486"/>
    <w:rsid w:val="004E2563"/>
    <w:rsid w:val="004E2569"/>
    <w:rsid w:val="004E25D9"/>
    <w:rsid w:val="004E2877"/>
    <w:rsid w:val="004E28CA"/>
    <w:rsid w:val="004E28D6"/>
    <w:rsid w:val="004E28F0"/>
    <w:rsid w:val="004E2931"/>
    <w:rsid w:val="004E293D"/>
    <w:rsid w:val="004E2A48"/>
    <w:rsid w:val="004E2A61"/>
    <w:rsid w:val="004E2BC3"/>
    <w:rsid w:val="004E2D32"/>
    <w:rsid w:val="004E2D50"/>
    <w:rsid w:val="004E2D85"/>
    <w:rsid w:val="004E2E34"/>
    <w:rsid w:val="004E2E4F"/>
    <w:rsid w:val="004E2E73"/>
    <w:rsid w:val="004E2F17"/>
    <w:rsid w:val="004E2F34"/>
    <w:rsid w:val="004E2F58"/>
    <w:rsid w:val="004E3046"/>
    <w:rsid w:val="004E307E"/>
    <w:rsid w:val="004E30C7"/>
    <w:rsid w:val="004E30F5"/>
    <w:rsid w:val="004E30FC"/>
    <w:rsid w:val="004E3137"/>
    <w:rsid w:val="004E31A6"/>
    <w:rsid w:val="004E31BB"/>
    <w:rsid w:val="004E3299"/>
    <w:rsid w:val="004E3316"/>
    <w:rsid w:val="004E33E5"/>
    <w:rsid w:val="004E33F9"/>
    <w:rsid w:val="004E341B"/>
    <w:rsid w:val="004E342E"/>
    <w:rsid w:val="004E350E"/>
    <w:rsid w:val="004E3525"/>
    <w:rsid w:val="004E3540"/>
    <w:rsid w:val="004E3580"/>
    <w:rsid w:val="004E35B9"/>
    <w:rsid w:val="004E3680"/>
    <w:rsid w:val="004E36A9"/>
    <w:rsid w:val="004E3730"/>
    <w:rsid w:val="004E376E"/>
    <w:rsid w:val="004E3781"/>
    <w:rsid w:val="004E382D"/>
    <w:rsid w:val="004E3855"/>
    <w:rsid w:val="004E38A4"/>
    <w:rsid w:val="004E38BD"/>
    <w:rsid w:val="004E38DA"/>
    <w:rsid w:val="004E392A"/>
    <w:rsid w:val="004E3934"/>
    <w:rsid w:val="004E39FA"/>
    <w:rsid w:val="004E3A11"/>
    <w:rsid w:val="004E3A1B"/>
    <w:rsid w:val="004E3B1E"/>
    <w:rsid w:val="004E3B22"/>
    <w:rsid w:val="004E3BCB"/>
    <w:rsid w:val="004E3C01"/>
    <w:rsid w:val="004E3C11"/>
    <w:rsid w:val="004E3C2F"/>
    <w:rsid w:val="004E3C38"/>
    <w:rsid w:val="004E3C3A"/>
    <w:rsid w:val="004E3D0A"/>
    <w:rsid w:val="004E3DF4"/>
    <w:rsid w:val="004E3DFD"/>
    <w:rsid w:val="004E3E53"/>
    <w:rsid w:val="004E3F04"/>
    <w:rsid w:val="004E3F28"/>
    <w:rsid w:val="004E3F37"/>
    <w:rsid w:val="004E3F54"/>
    <w:rsid w:val="004E3FA2"/>
    <w:rsid w:val="004E3FF7"/>
    <w:rsid w:val="004E4084"/>
    <w:rsid w:val="004E40D6"/>
    <w:rsid w:val="004E40DA"/>
    <w:rsid w:val="004E40E9"/>
    <w:rsid w:val="004E419C"/>
    <w:rsid w:val="004E421A"/>
    <w:rsid w:val="004E422C"/>
    <w:rsid w:val="004E4290"/>
    <w:rsid w:val="004E42AB"/>
    <w:rsid w:val="004E4329"/>
    <w:rsid w:val="004E4335"/>
    <w:rsid w:val="004E446B"/>
    <w:rsid w:val="004E4525"/>
    <w:rsid w:val="004E4526"/>
    <w:rsid w:val="004E45D3"/>
    <w:rsid w:val="004E4613"/>
    <w:rsid w:val="004E469C"/>
    <w:rsid w:val="004E474C"/>
    <w:rsid w:val="004E477A"/>
    <w:rsid w:val="004E479C"/>
    <w:rsid w:val="004E47B4"/>
    <w:rsid w:val="004E47DB"/>
    <w:rsid w:val="004E4957"/>
    <w:rsid w:val="004E4999"/>
    <w:rsid w:val="004E4A50"/>
    <w:rsid w:val="004E4A92"/>
    <w:rsid w:val="004E4A9F"/>
    <w:rsid w:val="004E4B3C"/>
    <w:rsid w:val="004E4B44"/>
    <w:rsid w:val="004E4BA3"/>
    <w:rsid w:val="004E4BDD"/>
    <w:rsid w:val="004E4D2A"/>
    <w:rsid w:val="004E4DA9"/>
    <w:rsid w:val="004E4DE4"/>
    <w:rsid w:val="004E4DE5"/>
    <w:rsid w:val="004E4DF6"/>
    <w:rsid w:val="004E4E14"/>
    <w:rsid w:val="004E4E3B"/>
    <w:rsid w:val="004E4EC9"/>
    <w:rsid w:val="004E4F8D"/>
    <w:rsid w:val="004E4FBE"/>
    <w:rsid w:val="004E4FE8"/>
    <w:rsid w:val="004E5098"/>
    <w:rsid w:val="004E5115"/>
    <w:rsid w:val="004E511C"/>
    <w:rsid w:val="004E519E"/>
    <w:rsid w:val="004E51B5"/>
    <w:rsid w:val="004E51C2"/>
    <w:rsid w:val="004E51CD"/>
    <w:rsid w:val="004E51D4"/>
    <w:rsid w:val="004E5239"/>
    <w:rsid w:val="004E5298"/>
    <w:rsid w:val="004E52B0"/>
    <w:rsid w:val="004E538B"/>
    <w:rsid w:val="004E53A4"/>
    <w:rsid w:val="004E53B4"/>
    <w:rsid w:val="004E541F"/>
    <w:rsid w:val="004E5434"/>
    <w:rsid w:val="004E5486"/>
    <w:rsid w:val="004E54C9"/>
    <w:rsid w:val="004E55A9"/>
    <w:rsid w:val="004E5616"/>
    <w:rsid w:val="004E56E7"/>
    <w:rsid w:val="004E5756"/>
    <w:rsid w:val="004E5871"/>
    <w:rsid w:val="004E58A2"/>
    <w:rsid w:val="004E5932"/>
    <w:rsid w:val="004E59D9"/>
    <w:rsid w:val="004E5A3F"/>
    <w:rsid w:val="004E5A68"/>
    <w:rsid w:val="004E5AA3"/>
    <w:rsid w:val="004E5B03"/>
    <w:rsid w:val="004E5B31"/>
    <w:rsid w:val="004E5B53"/>
    <w:rsid w:val="004E5C66"/>
    <w:rsid w:val="004E5C87"/>
    <w:rsid w:val="004E5CDB"/>
    <w:rsid w:val="004E5D11"/>
    <w:rsid w:val="004E5D29"/>
    <w:rsid w:val="004E5D76"/>
    <w:rsid w:val="004E5E0D"/>
    <w:rsid w:val="004E5E67"/>
    <w:rsid w:val="004E5E6E"/>
    <w:rsid w:val="004E5E86"/>
    <w:rsid w:val="004E5F02"/>
    <w:rsid w:val="004E5F71"/>
    <w:rsid w:val="004E5FA2"/>
    <w:rsid w:val="004E6033"/>
    <w:rsid w:val="004E60AF"/>
    <w:rsid w:val="004E6159"/>
    <w:rsid w:val="004E616D"/>
    <w:rsid w:val="004E61C4"/>
    <w:rsid w:val="004E61E9"/>
    <w:rsid w:val="004E620E"/>
    <w:rsid w:val="004E62BD"/>
    <w:rsid w:val="004E62F8"/>
    <w:rsid w:val="004E633B"/>
    <w:rsid w:val="004E6387"/>
    <w:rsid w:val="004E640D"/>
    <w:rsid w:val="004E6415"/>
    <w:rsid w:val="004E6455"/>
    <w:rsid w:val="004E645C"/>
    <w:rsid w:val="004E65F8"/>
    <w:rsid w:val="004E65F9"/>
    <w:rsid w:val="004E660F"/>
    <w:rsid w:val="004E661F"/>
    <w:rsid w:val="004E6624"/>
    <w:rsid w:val="004E6657"/>
    <w:rsid w:val="004E6703"/>
    <w:rsid w:val="004E6765"/>
    <w:rsid w:val="004E678A"/>
    <w:rsid w:val="004E67C4"/>
    <w:rsid w:val="004E68A8"/>
    <w:rsid w:val="004E692B"/>
    <w:rsid w:val="004E6980"/>
    <w:rsid w:val="004E698A"/>
    <w:rsid w:val="004E6A43"/>
    <w:rsid w:val="004E6A7B"/>
    <w:rsid w:val="004E6B76"/>
    <w:rsid w:val="004E6BA2"/>
    <w:rsid w:val="004E6CDA"/>
    <w:rsid w:val="004E6D78"/>
    <w:rsid w:val="004E6DB0"/>
    <w:rsid w:val="004E6DC8"/>
    <w:rsid w:val="004E6E9C"/>
    <w:rsid w:val="004E6ECA"/>
    <w:rsid w:val="004E6EDE"/>
    <w:rsid w:val="004E6FA5"/>
    <w:rsid w:val="004E6FD0"/>
    <w:rsid w:val="004E7097"/>
    <w:rsid w:val="004E709D"/>
    <w:rsid w:val="004E70A3"/>
    <w:rsid w:val="004E7106"/>
    <w:rsid w:val="004E71A0"/>
    <w:rsid w:val="004E71C9"/>
    <w:rsid w:val="004E7213"/>
    <w:rsid w:val="004E72CC"/>
    <w:rsid w:val="004E7340"/>
    <w:rsid w:val="004E73A9"/>
    <w:rsid w:val="004E73BF"/>
    <w:rsid w:val="004E73E8"/>
    <w:rsid w:val="004E7407"/>
    <w:rsid w:val="004E7445"/>
    <w:rsid w:val="004E756E"/>
    <w:rsid w:val="004E758E"/>
    <w:rsid w:val="004E767E"/>
    <w:rsid w:val="004E76B2"/>
    <w:rsid w:val="004E7753"/>
    <w:rsid w:val="004E77E4"/>
    <w:rsid w:val="004E7815"/>
    <w:rsid w:val="004E7836"/>
    <w:rsid w:val="004E78E9"/>
    <w:rsid w:val="004E78F1"/>
    <w:rsid w:val="004E79C6"/>
    <w:rsid w:val="004E7A9B"/>
    <w:rsid w:val="004E7AA6"/>
    <w:rsid w:val="004E7B59"/>
    <w:rsid w:val="004E7C16"/>
    <w:rsid w:val="004E7CD9"/>
    <w:rsid w:val="004E7CE7"/>
    <w:rsid w:val="004E7D11"/>
    <w:rsid w:val="004E7D39"/>
    <w:rsid w:val="004E7DF1"/>
    <w:rsid w:val="004E7F2D"/>
    <w:rsid w:val="004E7F4C"/>
    <w:rsid w:val="004E7F4F"/>
    <w:rsid w:val="004E7F5D"/>
    <w:rsid w:val="004E7F99"/>
    <w:rsid w:val="004F00BC"/>
    <w:rsid w:val="004F00CA"/>
    <w:rsid w:val="004F0116"/>
    <w:rsid w:val="004F0186"/>
    <w:rsid w:val="004F01CE"/>
    <w:rsid w:val="004F01D8"/>
    <w:rsid w:val="004F022E"/>
    <w:rsid w:val="004F0281"/>
    <w:rsid w:val="004F02EB"/>
    <w:rsid w:val="004F0325"/>
    <w:rsid w:val="004F035A"/>
    <w:rsid w:val="004F038C"/>
    <w:rsid w:val="004F03E0"/>
    <w:rsid w:val="004F04AD"/>
    <w:rsid w:val="004F04C6"/>
    <w:rsid w:val="004F04F6"/>
    <w:rsid w:val="004F04FA"/>
    <w:rsid w:val="004F05EF"/>
    <w:rsid w:val="004F06B2"/>
    <w:rsid w:val="004F06C1"/>
    <w:rsid w:val="004F06F5"/>
    <w:rsid w:val="004F0740"/>
    <w:rsid w:val="004F0756"/>
    <w:rsid w:val="004F095D"/>
    <w:rsid w:val="004F09A3"/>
    <w:rsid w:val="004F0A1A"/>
    <w:rsid w:val="004F0A23"/>
    <w:rsid w:val="004F0A28"/>
    <w:rsid w:val="004F0A32"/>
    <w:rsid w:val="004F0A65"/>
    <w:rsid w:val="004F0AA6"/>
    <w:rsid w:val="004F0B38"/>
    <w:rsid w:val="004F0C7F"/>
    <w:rsid w:val="004F0C9A"/>
    <w:rsid w:val="004F0CA0"/>
    <w:rsid w:val="004F0CA2"/>
    <w:rsid w:val="004F0D39"/>
    <w:rsid w:val="004F0D73"/>
    <w:rsid w:val="004F0D8A"/>
    <w:rsid w:val="004F0DDE"/>
    <w:rsid w:val="004F0DE6"/>
    <w:rsid w:val="004F0EA9"/>
    <w:rsid w:val="004F0F12"/>
    <w:rsid w:val="004F0F43"/>
    <w:rsid w:val="004F0F7F"/>
    <w:rsid w:val="004F0FAA"/>
    <w:rsid w:val="004F100C"/>
    <w:rsid w:val="004F1042"/>
    <w:rsid w:val="004F1081"/>
    <w:rsid w:val="004F10A6"/>
    <w:rsid w:val="004F10BA"/>
    <w:rsid w:val="004F1218"/>
    <w:rsid w:val="004F12F7"/>
    <w:rsid w:val="004F1355"/>
    <w:rsid w:val="004F13C2"/>
    <w:rsid w:val="004F141C"/>
    <w:rsid w:val="004F14A6"/>
    <w:rsid w:val="004F14B0"/>
    <w:rsid w:val="004F14B4"/>
    <w:rsid w:val="004F14FD"/>
    <w:rsid w:val="004F1505"/>
    <w:rsid w:val="004F1508"/>
    <w:rsid w:val="004F1648"/>
    <w:rsid w:val="004F1729"/>
    <w:rsid w:val="004F1749"/>
    <w:rsid w:val="004F17DB"/>
    <w:rsid w:val="004F17E5"/>
    <w:rsid w:val="004F1819"/>
    <w:rsid w:val="004F1846"/>
    <w:rsid w:val="004F1867"/>
    <w:rsid w:val="004F18A3"/>
    <w:rsid w:val="004F18D7"/>
    <w:rsid w:val="004F18FB"/>
    <w:rsid w:val="004F1904"/>
    <w:rsid w:val="004F1952"/>
    <w:rsid w:val="004F1A61"/>
    <w:rsid w:val="004F1A90"/>
    <w:rsid w:val="004F1AD6"/>
    <w:rsid w:val="004F1B2C"/>
    <w:rsid w:val="004F1BA3"/>
    <w:rsid w:val="004F1BB4"/>
    <w:rsid w:val="004F1C0C"/>
    <w:rsid w:val="004F1C1E"/>
    <w:rsid w:val="004F1C3A"/>
    <w:rsid w:val="004F1C60"/>
    <w:rsid w:val="004F1CB5"/>
    <w:rsid w:val="004F1CD9"/>
    <w:rsid w:val="004F1D73"/>
    <w:rsid w:val="004F1DB7"/>
    <w:rsid w:val="004F1E7C"/>
    <w:rsid w:val="004F1F2F"/>
    <w:rsid w:val="004F1F3F"/>
    <w:rsid w:val="004F1F63"/>
    <w:rsid w:val="004F1FD4"/>
    <w:rsid w:val="004F1FDD"/>
    <w:rsid w:val="004F1FEE"/>
    <w:rsid w:val="004F20CA"/>
    <w:rsid w:val="004F2167"/>
    <w:rsid w:val="004F2184"/>
    <w:rsid w:val="004F2185"/>
    <w:rsid w:val="004F2346"/>
    <w:rsid w:val="004F2448"/>
    <w:rsid w:val="004F2481"/>
    <w:rsid w:val="004F2495"/>
    <w:rsid w:val="004F24F7"/>
    <w:rsid w:val="004F2558"/>
    <w:rsid w:val="004F25C1"/>
    <w:rsid w:val="004F262F"/>
    <w:rsid w:val="004F2650"/>
    <w:rsid w:val="004F2656"/>
    <w:rsid w:val="004F2667"/>
    <w:rsid w:val="004F266D"/>
    <w:rsid w:val="004F279C"/>
    <w:rsid w:val="004F27A9"/>
    <w:rsid w:val="004F27BD"/>
    <w:rsid w:val="004F2980"/>
    <w:rsid w:val="004F2996"/>
    <w:rsid w:val="004F29EF"/>
    <w:rsid w:val="004F2AB1"/>
    <w:rsid w:val="004F2B02"/>
    <w:rsid w:val="004F2B8E"/>
    <w:rsid w:val="004F2BA5"/>
    <w:rsid w:val="004F2BC2"/>
    <w:rsid w:val="004F2BC9"/>
    <w:rsid w:val="004F2CDF"/>
    <w:rsid w:val="004F2D2F"/>
    <w:rsid w:val="004F2DEB"/>
    <w:rsid w:val="004F2DF7"/>
    <w:rsid w:val="004F2E81"/>
    <w:rsid w:val="004F2F5D"/>
    <w:rsid w:val="004F2F8D"/>
    <w:rsid w:val="004F3007"/>
    <w:rsid w:val="004F30A4"/>
    <w:rsid w:val="004F3172"/>
    <w:rsid w:val="004F3204"/>
    <w:rsid w:val="004F324E"/>
    <w:rsid w:val="004F32CF"/>
    <w:rsid w:val="004F32D4"/>
    <w:rsid w:val="004F32DF"/>
    <w:rsid w:val="004F33A4"/>
    <w:rsid w:val="004F33DE"/>
    <w:rsid w:val="004F33F9"/>
    <w:rsid w:val="004F3439"/>
    <w:rsid w:val="004F343A"/>
    <w:rsid w:val="004F352B"/>
    <w:rsid w:val="004F35B4"/>
    <w:rsid w:val="004F3681"/>
    <w:rsid w:val="004F3753"/>
    <w:rsid w:val="004F3765"/>
    <w:rsid w:val="004F3799"/>
    <w:rsid w:val="004F37B7"/>
    <w:rsid w:val="004F383D"/>
    <w:rsid w:val="004F38A5"/>
    <w:rsid w:val="004F3994"/>
    <w:rsid w:val="004F39EC"/>
    <w:rsid w:val="004F3A55"/>
    <w:rsid w:val="004F3A8A"/>
    <w:rsid w:val="004F3B2E"/>
    <w:rsid w:val="004F3B54"/>
    <w:rsid w:val="004F3BFF"/>
    <w:rsid w:val="004F3C03"/>
    <w:rsid w:val="004F3C15"/>
    <w:rsid w:val="004F3C20"/>
    <w:rsid w:val="004F3C24"/>
    <w:rsid w:val="004F3CE1"/>
    <w:rsid w:val="004F3D51"/>
    <w:rsid w:val="004F3DEC"/>
    <w:rsid w:val="004F3E77"/>
    <w:rsid w:val="004F3FF6"/>
    <w:rsid w:val="004F416D"/>
    <w:rsid w:val="004F4201"/>
    <w:rsid w:val="004F4273"/>
    <w:rsid w:val="004F42D4"/>
    <w:rsid w:val="004F4301"/>
    <w:rsid w:val="004F459A"/>
    <w:rsid w:val="004F45CF"/>
    <w:rsid w:val="004F45DF"/>
    <w:rsid w:val="004F4600"/>
    <w:rsid w:val="004F461D"/>
    <w:rsid w:val="004F464E"/>
    <w:rsid w:val="004F46CB"/>
    <w:rsid w:val="004F477B"/>
    <w:rsid w:val="004F4780"/>
    <w:rsid w:val="004F484E"/>
    <w:rsid w:val="004F493D"/>
    <w:rsid w:val="004F49D6"/>
    <w:rsid w:val="004F4AC3"/>
    <w:rsid w:val="004F4ACF"/>
    <w:rsid w:val="004F4B2A"/>
    <w:rsid w:val="004F4CF8"/>
    <w:rsid w:val="004F4E0F"/>
    <w:rsid w:val="004F4E2F"/>
    <w:rsid w:val="004F4E91"/>
    <w:rsid w:val="004F4EAD"/>
    <w:rsid w:val="004F4EEB"/>
    <w:rsid w:val="004F4F50"/>
    <w:rsid w:val="004F4F7F"/>
    <w:rsid w:val="004F4FDA"/>
    <w:rsid w:val="004F4FDE"/>
    <w:rsid w:val="004F500D"/>
    <w:rsid w:val="004F50DB"/>
    <w:rsid w:val="004F5108"/>
    <w:rsid w:val="004F513F"/>
    <w:rsid w:val="004F51FD"/>
    <w:rsid w:val="004F5213"/>
    <w:rsid w:val="004F5240"/>
    <w:rsid w:val="004F532F"/>
    <w:rsid w:val="004F54CF"/>
    <w:rsid w:val="004F5507"/>
    <w:rsid w:val="004F5549"/>
    <w:rsid w:val="004F5601"/>
    <w:rsid w:val="004F56CC"/>
    <w:rsid w:val="004F56D9"/>
    <w:rsid w:val="004F5881"/>
    <w:rsid w:val="004F596F"/>
    <w:rsid w:val="004F59E7"/>
    <w:rsid w:val="004F59EC"/>
    <w:rsid w:val="004F59F0"/>
    <w:rsid w:val="004F5A23"/>
    <w:rsid w:val="004F5A33"/>
    <w:rsid w:val="004F5A8B"/>
    <w:rsid w:val="004F5B09"/>
    <w:rsid w:val="004F5BAF"/>
    <w:rsid w:val="004F5BDD"/>
    <w:rsid w:val="004F5C16"/>
    <w:rsid w:val="004F5C22"/>
    <w:rsid w:val="004F5CCC"/>
    <w:rsid w:val="004F5CFC"/>
    <w:rsid w:val="004F5D4F"/>
    <w:rsid w:val="004F5DA0"/>
    <w:rsid w:val="004F5DE3"/>
    <w:rsid w:val="004F5E29"/>
    <w:rsid w:val="004F5F82"/>
    <w:rsid w:val="004F5F9C"/>
    <w:rsid w:val="004F604E"/>
    <w:rsid w:val="004F60EA"/>
    <w:rsid w:val="004F60F3"/>
    <w:rsid w:val="004F616B"/>
    <w:rsid w:val="004F61C6"/>
    <w:rsid w:val="004F623C"/>
    <w:rsid w:val="004F6245"/>
    <w:rsid w:val="004F6287"/>
    <w:rsid w:val="004F628F"/>
    <w:rsid w:val="004F62FE"/>
    <w:rsid w:val="004F631F"/>
    <w:rsid w:val="004F6345"/>
    <w:rsid w:val="004F63CD"/>
    <w:rsid w:val="004F6437"/>
    <w:rsid w:val="004F64A4"/>
    <w:rsid w:val="004F6506"/>
    <w:rsid w:val="004F6593"/>
    <w:rsid w:val="004F65A3"/>
    <w:rsid w:val="004F65AD"/>
    <w:rsid w:val="004F6663"/>
    <w:rsid w:val="004F6684"/>
    <w:rsid w:val="004F66DB"/>
    <w:rsid w:val="004F670F"/>
    <w:rsid w:val="004F6712"/>
    <w:rsid w:val="004F6714"/>
    <w:rsid w:val="004F671D"/>
    <w:rsid w:val="004F6745"/>
    <w:rsid w:val="004F676A"/>
    <w:rsid w:val="004F67D6"/>
    <w:rsid w:val="004F684C"/>
    <w:rsid w:val="004F68BE"/>
    <w:rsid w:val="004F6902"/>
    <w:rsid w:val="004F6A0F"/>
    <w:rsid w:val="004F6A42"/>
    <w:rsid w:val="004F6A68"/>
    <w:rsid w:val="004F6A6D"/>
    <w:rsid w:val="004F6ABF"/>
    <w:rsid w:val="004F6BD8"/>
    <w:rsid w:val="004F6BF5"/>
    <w:rsid w:val="004F6BFC"/>
    <w:rsid w:val="004F6C1A"/>
    <w:rsid w:val="004F6D33"/>
    <w:rsid w:val="004F6DBC"/>
    <w:rsid w:val="004F6E07"/>
    <w:rsid w:val="004F6E18"/>
    <w:rsid w:val="004F6ED0"/>
    <w:rsid w:val="004F6ED6"/>
    <w:rsid w:val="004F6F8A"/>
    <w:rsid w:val="004F6F99"/>
    <w:rsid w:val="004F6FF7"/>
    <w:rsid w:val="004F6FFA"/>
    <w:rsid w:val="004F7025"/>
    <w:rsid w:val="004F70A9"/>
    <w:rsid w:val="004F7115"/>
    <w:rsid w:val="004F725B"/>
    <w:rsid w:val="004F73A3"/>
    <w:rsid w:val="004F74DD"/>
    <w:rsid w:val="004F74F9"/>
    <w:rsid w:val="004F754F"/>
    <w:rsid w:val="004F75B6"/>
    <w:rsid w:val="004F7710"/>
    <w:rsid w:val="004F771D"/>
    <w:rsid w:val="004F772B"/>
    <w:rsid w:val="004F77BA"/>
    <w:rsid w:val="004F77E3"/>
    <w:rsid w:val="004F77FB"/>
    <w:rsid w:val="004F7851"/>
    <w:rsid w:val="004F7853"/>
    <w:rsid w:val="004F78C9"/>
    <w:rsid w:val="004F791D"/>
    <w:rsid w:val="004F792F"/>
    <w:rsid w:val="004F7962"/>
    <w:rsid w:val="004F79F9"/>
    <w:rsid w:val="004F7AC6"/>
    <w:rsid w:val="004F7BEA"/>
    <w:rsid w:val="004F7C18"/>
    <w:rsid w:val="004F7C25"/>
    <w:rsid w:val="004F7D55"/>
    <w:rsid w:val="004F7D7B"/>
    <w:rsid w:val="004F7EE5"/>
    <w:rsid w:val="004F7EFF"/>
    <w:rsid w:val="004F7F86"/>
    <w:rsid w:val="004F7F8F"/>
    <w:rsid w:val="004FFAE9"/>
    <w:rsid w:val="0050004A"/>
    <w:rsid w:val="00500110"/>
    <w:rsid w:val="005001C5"/>
    <w:rsid w:val="005001D3"/>
    <w:rsid w:val="005001F4"/>
    <w:rsid w:val="00500298"/>
    <w:rsid w:val="005003D7"/>
    <w:rsid w:val="005004A6"/>
    <w:rsid w:val="005004A7"/>
    <w:rsid w:val="0050050F"/>
    <w:rsid w:val="00500572"/>
    <w:rsid w:val="0050072F"/>
    <w:rsid w:val="00500761"/>
    <w:rsid w:val="00500788"/>
    <w:rsid w:val="00500802"/>
    <w:rsid w:val="0050089B"/>
    <w:rsid w:val="0050089D"/>
    <w:rsid w:val="005008B1"/>
    <w:rsid w:val="005008C8"/>
    <w:rsid w:val="00500916"/>
    <w:rsid w:val="00500A68"/>
    <w:rsid w:val="00500AB2"/>
    <w:rsid w:val="00500ACE"/>
    <w:rsid w:val="00500B5C"/>
    <w:rsid w:val="00500B7C"/>
    <w:rsid w:val="00500BE1"/>
    <w:rsid w:val="00500C03"/>
    <w:rsid w:val="00500C0A"/>
    <w:rsid w:val="00500C5D"/>
    <w:rsid w:val="00500CF0"/>
    <w:rsid w:val="00500D96"/>
    <w:rsid w:val="00500DCC"/>
    <w:rsid w:val="00500E8E"/>
    <w:rsid w:val="00500E95"/>
    <w:rsid w:val="00500EE7"/>
    <w:rsid w:val="00500F8D"/>
    <w:rsid w:val="00500FAA"/>
    <w:rsid w:val="00501003"/>
    <w:rsid w:val="0050101B"/>
    <w:rsid w:val="00501021"/>
    <w:rsid w:val="0050102C"/>
    <w:rsid w:val="00501074"/>
    <w:rsid w:val="005010E7"/>
    <w:rsid w:val="00501190"/>
    <w:rsid w:val="005011AF"/>
    <w:rsid w:val="00501221"/>
    <w:rsid w:val="0050124E"/>
    <w:rsid w:val="00501250"/>
    <w:rsid w:val="0050125B"/>
    <w:rsid w:val="0050129A"/>
    <w:rsid w:val="005012F5"/>
    <w:rsid w:val="0050130B"/>
    <w:rsid w:val="00501322"/>
    <w:rsid w:val="00501338"/>
    <w:rsid w:val="00501369"/>
    <w:rsid w:val="00501488"/>
    <w:rsid w:val="00501562"/>
    <w:rsid w:val="00501585"/>
    <w:rsid w:val="00501600"/>
    <w:rsid w:val="0050161D"/>
    <w:rsid w:val="00501637"/>
    <w:rsid w:val="0050164C"/>
    <w:rsid w:val="005016DE"/>
    <w:rsid w:val="005017A1"/>
    <w:rsid w:val="005017E2"/>
    <w:rsid w:val="0050180C"/>
    <w:rsid w:val="00501842"/>
    <w:rsid w:val="0050186F"/>
    <w:rsid w:val="00501889"/>
    <w:rsid w:val="0050188F"/>
    <w:rsid w:val="005018E1"/>
    <w:rsid w:val="0050190F"/>
    <w:rsid w:val="0050192C"/>
    <w:rsid w:val="00501980"/>
    <w:rsid w:val="00501A1B"/>
    <w:rsid w:val="00501AC8"/>
    <w:rsid w:val="00501ACC"/>
    <w:rsid w:val="00501AF6"/>
    <w:rsid w:val="00501B3D"/>
    <w:rsid w:val="00501B61"/>
    <w:rsid w:val="00501C3F"/>
    <w:rsid w:val="00501C8B"/>
    <w:rsid w:val="00501CA8"/>
    <w:rsid w:val="00501D3C"/>
    <w:rsid w:val="00501DAC"/>
    <w:rsid w:val="00501ECD"/>
    <w:rsid w:val="00501F0E"/>
    <w:rsid w:val="00501FF5"/>
    <w:rsid w:val="00502062"/>
    <w:rsid w:val="005020EC"/>
    <w:rsid w:val="0050214A"/>
    <w:rsid w:val="00502154"/>
    <w:rsid w:val="0050217E"/>
    <w:rsid w:val="005021B1"/>
    <w:rsid w:val="005022D1"/>
    <w:rsid w:val="005022D3"/>
    <w:rsid w:val="0050231A"/>
    <w:rsid w:val="00502326"/>
    <w:rsid w:val="00502353"/>
    <w:rsid w:val="005023CA"/>
    <w:rsid w:val="00502411"/>
    <w:rsid w:val="0050241A"/>
    <w:rsid w:val="00502422"/>
    <w:rsid w:val="00502435"/>
    <w:rsid w:val="00502462"/>
    <w:rsid w:val="0050249C"/>
    <w:rsid w:val="005024BA"/>
    <w:rsid w:val="00502560"/>
    <w:rsid w:val="00502679"/>
    <w:rsid w:val="005026DD"/>
    <w:rsid w:val="00502751"/>
    <w:rsid w:val="0050275D"/>
    <w:rsid w:val="005027E8"/>
    <w:rsid w:val="0050283B"/>
    <w:rsid w:val="00502887"/>
    <w:rsid w:val="005028AA"/>
    <w:rsid w:val="005028FF"/>
    <w:rsid w:val="00502920"/>
    <w:rsid w:val="00502933"/>
    <w:rsid w:val="00502943"/>
    <w:rsid w:val="0050297B"/>
    <w:rsid w:val="00502984"/>
    <w:rsid w:val="00502A6C"/>
    <w:rsid w:val="00502A83"/>
    <w:rsid w:val="00502AC5"/>
    <w:rsid w:val="00502B7A"/>
    <w:rsid w:val="00502B7C"/>
    <w:rsid w:val="00502BA9"/>
    <w:rsid w:val="00502BC4"/>
    <w:rsid w:val="00502C68"/>
    <w:rsid w:val="00502CC1"/>
    <w:rsid w:val="00502CD0"/>
    <w:rsid w:val="00502D48"/>
    <w:rsid w:val="00502D75"/>
    <w:rsid w:val="00502EC6"/>
    <w:rsid w:val="00502F15"/>
    <w:rsid w:val="00502F44"/>
    <w:rsid w:val="00502FCF"/>
    <w:rsid w:val="00502FFA"/>
    <w:rsid w:val="0050301E"/>
    <w:rsid w:val="0050302D"/>
    <w:rsid w:val="0050302E"/>
    <w:rsid w:val="0050308F"/>
    <w:rsid w:val="005030F2"/>
    <w:rsid w:val="005030F4"/>
    <w:rsid w:val="0050317F"/>
    <w:rsid w:val="00503181"/>
    <w:rsid w:val="005031B4"/>
    <w:rsid w:val="0050327B"/>
    <w:rsid w:val="005032B0"/>
    <w:rsid w:val="00503363"/>
    <w:rsid w:val="005033BF"/>
    <w:rsid w:val="00503422"/>
    <w:rsid w:val="0050356D"/>
    <w:rsid w:val="00503664"/>
    <w:rsid w:val="0050366A"/>
    <w:rsid w:val="00503690"/>
    <w:rsid w:val="005036EE"/>
    <w:rsid w:val="00503883"/>
    <w:rsid w:val="0050392C"/>
    <w:rsid w:val="005039C2"/>
    <w:rsid w:val="00503A33"/>
    <w:rsid w:val="00503A5B"/>
    <w:rsid w:val="00503A65"/>
    <w:rsid w:val="00503AB2"/>
    <w:rsid w:val="00503B1F"/>
    <w:rsid w:val="00503C6D"/>
    <w:rsid w:val="00503CCC"/>
    <w:rsid w:val="00503CD2"/>
    <w:rsid w:val="00503D15"/>
    <w:rsid w:val="00503D2C"/>
    <w:rsid w:val="00503DAC"/>
    <w:rsid w:val="00503DCC"/>
    <w:rsid w:val="00503E1C"/>
    <w:rsid w:val="00503E1E"/>
    <w:rsid w:val="00503E4E"/>
    <w:rsid w:val="00503E51"/>
    <w:rsid w:val="00503E73"/>
    <w:rsid w:val="00503FA3"/>
    <w:rsid w:val="00503FF2"/>
    <w:rsid w:val="0050400A"/>
    <w:rsid w:val="00504066"/>
    <w:rsid w:val="0050415D"/>
    <w:rsid w:val="00504289"/>
    <w:rsid w:val="005042FE"/>
    <w:rsid w:val="00504342"/>
    <w:rsid w:val="00504348"/>
    <w:rsid w:val="005043C5"/>
    <w:rsid w:val="00504405"/>
    <w:rsid w:val="00504414"/>
    <w:rsid w:val="00504440"/>
    <w:rsid w:val="00504490"/>
    <w:rsid w:val="00504496"/>
    <w:rsid w:val="005044B0"/>
    <w:rsid w:val="005044FD"/>
    <w:rsid w:val="005046A3"/>
    <w:rsid w:val="005046D3"/>
    <w:rsid w:val="00504706"/>
    <w:rsid w:val="0050470A"/>
    <w:rsid w:val="0050473C"/>
    <w:rsid w:val="0050475E"/>
    <w:rsid w:val="005047FE"/>
    <w:rsid w:val="00504805"/>
    <w:rsid w:val="00504915"/>
    <w:rsid w:val="005049CF"/>
    <w:rsid w:val="00504A1B"/>
    <w:rsid w:val="00504A5B"/>
    <w:rsid w:val="00504AF1"/>
    <w:rsid w:val="00504BE0"/>
    <w:rsid w:val="00504BF0"/>
    <w:rsid w:val="00504C84"/>
    <w:rsid w:val="00504D0C"/>
    <w:rsid w:val="00504D1D"/>
    <w:rsid w:val="00504D61"/>
    <w:rsid w:val="00504DAD"/>
    <w:rsid w:val="00504DE6"/>
    <w:rsid w:val="00504E06"/>
    <w:rsid w:val="00504E36"/>
    <w:rsid w:val="00504F67"/>
    <w:rsid w:val="00505009"/>
    <w:rsid w:val="00505051"/>
    <w:rsid w:val="00505065"/>
    <w:rsid w:val="00505189"/>
    <w:rsid w:val="005051C5"/>
    <w:rsid w:val="0050520C"/>
    <w:rsid w:val="00505245"/>
    <w:rsid w:val="0050533B"/>
    <w:rsid w:val="0050538D"/>
    <w:rsid w:val="00505396"/>
    <w:rsid w:val="0050546B"/>
    <w:rsid w:val="005054B3"/>
    <w:rsid w:val="005054EE"/>
    <w:rsid w:val="0050554F"/>
    <w:rsid w:val="0050558B"/>
    <w:rsid w:val="005055D9"/>
    <w:rsid w:val="00505680"/>
    <w:rsid w:val="0050570E"/>
    <w:rsid w:val="0050572E"/>
    <w:rsid w:val="00505779"/>
    <w:rsid w:val="005057CB"/>
    <w:rsid w:val="005057D0"/>
    <w:rsid w:val="005057FB"/>
    <w:rsid w:val="00505865"/>
    <w:rsid w:val="0050588F"/>
    <w:rsid w:val="005058BD"/>
    <w:rsid w:val="005058E0"/>
    <w:rsid w:val="005058E1"/>
    <w:rsid w:val="00505905"/>
    <w:rsid w:val="0050590D"/>
    <w:rsid w:val="0050598A"/>
    <w:rsid w:val="005059E4"/>
    <w:rsid w:val="005059EE"/>
    <w:rsid w:val="00505A6D"/>
    <w:rsid w:val="00505A9C"/>
    <w:rsid w:val="00505AEB"/>
    <w:rsid w:val="00505BE7"/>
    <w:rsid w:val="00505C3E"/>
    <w:rsid w:val="00505C4D"/>
    <w:rsid w:val="00505C68"/>
    <w:rsid w:val="00505CC4"/>
    <w:rsid w:val="00505D7D"/>
    <w:rsid w:val="00505D87"/>
    <w:rsid w:val="00505E25"/>
    <w:rsid w:val="00505E6D"/>
    <w:rsid w:val="00505EB1"/>
    <w:rsid w:val="00505EE1"/>
    <w:rsid w:val="00505FC0"/>
    <w:rsid w:val="00506047"/>
    <w:rsid w:val="00506091"/>
    <w:rsid w:val="005060C0"/>
    <w:rsid w:val="00506118"/>
    <w:rsid w:val="00506268"/>
    <w:rsid w:val="005062B0"/>
    <w:rsid w:val="00506321"/>
    <w:rsid w:val="0050632A"/>
    <w:rsid w:val="0050645F"/>
    <w:rsid w:val="00506493"/>
    <w:rsid w:val="005064C7"/>
    <w:rsid w:val="005064D6"/>
    <w:rsid w:val="005066E5"/>
    <w:rsid w:val="0050674E"/>
    <w:rsid w:val="00506769"/>
    <w:rsid w:val="005067AB"/>
    <w:rsid w:val="005067EA"/>
    <w:rsid w:val="0050683A"/>
    <w:rsid w:val="00506854"/>
    <w:rsid w:val="00506857"/>
    <w:rsid w:val="0050689E"/>
    <w:rsid w:val="005068F0"/>
    <w:rsid w:val="0050694F"/>
    <w:rsid w:val="005069B8"/>
    <w:rsid w:val="00506A2F"/>
    <w:rsid w:val="00506AC7"/>
    <w:rsid w:val="00506BDE"/>
    <w:rsid w:val="00506C2C"/>
    <w:rsid w:val="00506C97"/>
    <w:rsid w:val="00506C9F"/>
    <w:rsid w:val="00506D58"/>
    <w:rsid w:val="00506DA4"/>
    <w:rsid w:val="00506DBB"/>
    <w:rsid w:val="00506E1E"/>
    <w:rsid w:val="00506EAD"/>
    <w:rsid w:val="00506F27"/>
    <w:rsid w:val="00506F52"/>
    <w:rsid w:val="00506F65"/>
    <w:rsid w:val="00506FA9"/>
    <w:rsid w:val="00506FD6"/>
    <w:rsid w:val="0050701A"/>
    <w:rsid w:val="00507065"/>
    <w:rsid w:val="00507098"/>
    <w:rsid w:val="005070DE"/>
    <w:rsid w:val="0050712B"/>
    <w:rsid w:val="00507265"/>
    <w:rsid w:val="00507351"/>
    <w:rsid w:val="00507362"/>
    <w:rsid w:val="005073F6"/>
    <w:rsid w:val="005073FD"/>
    <w:rsid w:val="0050754D"/>
    <w:rsid w:val="005075A1"/>
    <w:rsid w:val="005075E7"/>
    <w:rsid w:val="005076B0"/>
    <w:rsid w:val="005077CB"/>
    <w:rsid w:val="005077D6"/>
    <w:rsid w:val="00507842"/>
    <w:rsid w:val="0050785C"/>
    <w:rsid w:val="00507975"/>
    <w:rsid w:val="005079A5"/>
    <w:rsid w:val="005079E0"/>
    <w:rsid w:val="00507A6C"/>
    <w:rsid w:val="00507B45"/>
    <w:rsid w:val="00507B5C"/>
    <w:rsid w:val="00507C12"/>
    <w:rsid w:val="00507CFA"/>
    <w:rsid w:val="00507DDD"/>
    <w:rsid w:val="00507E05"/>
    <w:rsid w:val="00507E6A"/>
    <w:rsid w:val="00507E95"/>
    <w:rsid w:val="00507F87"/>
    <w:rsid w:val="00510005"/>
    <w:rsid w:val="00510031"/>
    <w:rsid w:val="00510037"/>
    <w:rsid w:val="0051009B"/>
    <w:rsid w:val="005100F0"/>
    <w:rsid w:val="00510207"/>
    <w:rsid w:val="0051026E"/>
    <w:rsid w:val="005102B1"/>
    <w:rsid w:val="005102D0"/>
    <w:rsid w:val="005102D6"/>
    <w:rsid w:val="00510347"/>
    <w:rsid w:val="00510381"/>
    <w:rsid w:val="00510391"/>
    <w:rsid w:val="0051040E"/>
    <w:rsid w:val="00510413"/>
    <w:rsid w:val="0051041B"/>
    <w:rsid w:val="00510515"/>
    <w:rsid w:val="00510519"/>
    <w:rsid w:val="00510532"/>
    <w:rsid w:val="00510541"/>
    <w:rsid w:val="00510592"/>
    <w:rsid w:val="005105FF"/>
    <w:rsid w:val="0051062D"/>
    <w:rsid w:val="0051069B"/>
    <w:rsid w:val="005107BD"/>
    <w:rsid w:val="005107C1"/>
    <w:rsid w:val="005107CD"/>
    <w:rsid w:val="0051083F"/>
    <w:rsid w:val="00510938"/>
    <w:rsid w:val="00510A69"/>
    <w:rsid w:val="00510AE4"/>
    <w:rsid w:val="00510AFC"/>
    <w:rsid w:val="00510B0C"/>
    <w:rsid w:val="00510C19"/>
    <w:rsid w:val="00510C31"/>
    <w:rsid w:val="00510C86"/>
    <w:rsid w:val="00510C8A"/>
    <w:rsid w:val="00510DAD"/>
    <w:rsid w:val="00510DC0"/>
    <w:rsid w:val="00510E91"/>
    <w:rsid w:val="00510F04"/>
    <w:rsid w:val="0051104B"/>
    <w:rsid w:val="005110F7"/>
    <w:rsid w:val="00511100"/>
    <w:rsid w:val="0051111B"/>
    <w:rsid w:val="0051126F"/>
    <w:rsid w:val="00511319"/>
    <w:rsid w:val="0051131D"/>
    <w:rsid w:val="00511346"/>
    <w:rsid w:val="0051137D"/>
    <w:rsid w:val="005113BE"/>
    <w:rsid w:val="005113C6"/>
    <w:rsid w:val="00511419"/>
    <w:rsid w:val="005114E4"/>
    <w:rsid w:val="005115B5"/>
    <w:rsid w:val="005115B6"/>
    <w:rsid w:val="00511659"/>
    <w:rsid w:val="0051165B"/>
    <w:rsid w:val="005116B5"/>
    <w:rsid w:val="005116F9"/>
    <w:rsid w:val="00511780"/>
    <w:rsid w:val="005117C9"/>
    <w:rsid w:val="00511809"/>
    <w:rsid w:val="00511840"/>
    <w:rsid w:val="005118A5"/>
    <w:rsid w:val="005119E5"/>
    <w:rsid w:val="005119E7"/>
    <w:rsid w:val="005119E8"/>
    <w:rsid w:val="005119FE"/>
    <w:rsid w:val="00511A48"/>
    <w:rsid w:val="00511A54"/>
    <w:rsid w:val="00511A7F"/>
    <w:rsid w:val="00511AD3"/>
    <w:rsid w:val="00511C63"/>
    <w:rsid w:val="00511CD6"/>
    <w:rsid w:val="00511CFD"/>
    <w:rsid w:val="00511D42"/>
    <w:rsid w:val="00511DDB"/>
    <w:rsid w:val="00511E57"/>
    <w:rsid w:val="00511F63"/>
    <w:rsid w:val="00511FA4"/>
    <w:rsid w:val="0051203A"/>
    <w:rsid w:val="0051203B"/>
    <w:rsid w:val="0051204E"/>
    <w:rsid w:val="005120F3"/>
    <w:rsid w:val="0051212F"/>
    <w:rsid w:val="00512164"/>
    <w:rsid w:val="00512173"/>
    <w:rsid w:val="00512247"/>
    <w:rsid w:val="005122EB"/>
    <w:rsid w:val="00512316"/>
    <w:rsid w:val="005123F9"/>
    <w:rsid w:val="005123FD"/>
    <w:rsid w:val="00512408"/>
    <w:rsid w:val="00512533"/>
    <w:rsid w:val="005125CB"/>
    <w:rsid w:val="005125DD"/>
    <w:rsid w:val="0051261E"/>
    <w:rsid w:val="005126BC"/>
    <w:rsid w:val="0051271F"/>
    <w:rsid w:val="005127BA"/>
    <w:rsid w:val="00512826"/>
    <w:rsid w:val="00512839"/>
    <w:rsid w:val="005128B3"/>
    <w:rsid w:val="005129E5"/>
    <w:rsid w:val="00512A3F"/>
    <w:rsid w:val="00512ADB"/>
    <w:rsid w:val="00512B41"/>
    <w:rsid w:val="00512BA7"/>
    <w:rsid w:val="00512C30"/>
    <w:rsid w:val="00512C81"/>
    <w:rsid w:val="00512C91"/>
    <w:rsid w:val="00512CCF"/>
    <w:rsid w:val="00512D0C"/>
    <w:rsid w:val="00512D2B"/>
    <w:rsid w:val="00512E12"/>
    <w:rsid w:val="00512E6A"/>
    <w:rsid w:val="00512ECA"/>
    <w:rsid w:val="00512F0D"/>
    <w:rsid w:val="00512FB2"/>
    <w:rsid w:val="005130B7"/>
    <w:rsid w:val="00513135"/>
    <w:rsid w:val="005131F1"/>
    <w:rsid w:val="00513203"/>
    <w:rsid w:val="00513213"/>
    <w:rsid w:val="00513220"/>
    <w:rsid w:val="00513222"/>
    <w:rsid w:val="00513253"/>
    <w:rsid w:val="0051327F"/>
    <w:rsid w:val="005132A3"/>
    <w:rsid w:val="005132AE"/>
    <w:rsid w:val="005132DE"/>
    <w:rsid w:val="005132E4"/>
    <w:rsid w:val="00513332"/>
    <w:rsid w:val="00513384"/>
    <w:rsid w:val="005133C4"/>
    <w:rsid w:val="005134A3"/>
    <w:rsid w:val="00513551"/>
    <w:rsid w:val="0051355B"/>
    <w:rsid w:val="005135FB"/>
    <w:rsid w:val="0051364D"/>
    <w:rsid w:val="005136B7"/>
    <w:rsid w:val="00513727"/>
    <w:rsid w:val="005138C6"/>
    <w:rsid w:val="00513978"/>
    <w:rsid w:val="005139E5"/>
    <w:rsid w:val="00513B26"/>
    <w:rsid w:val="00513B60"/>
    <w:rsid w:val="00513B74"/>
    <w:rsid w:val="00513BD5"/>
    <w:rsid w:val="00513BF5"/>
    <w:rsid w:val="00513BF8"/>
    <w:rsid w:val="00513C42"/>
    <w:rsid w:val="00513C4F"/>
    <w:rsid w:val="00513D32"/>
    <w:rsid w:val="00513D3F"/>
    <w:rsid w:val="00513D75"/>
    <w:rsid w:val="00513DA6"/>
    <w:rsid w:val="00513DCE"/>
    <w:rsid w:val="00513E23"/>
    <w:rsid w:val="00513E33"/>
    <w:rsid w:val="00513E45"/>
    <w:rsid w:val="00513E58"/>
    <w:rsid w:val="00513E7F"/>
    <w:rsid w:val="00513F1F"/>
    <w:rsid w:val="00513F2C"/>
    <w:rsid w:val="00513F31"/>
    <w:rsid w:val="00513F35"/>
    <w:rsid w:val="00513F41"/>
    <w:rsid w:val="00513F85"/>
    <w:rsid w:val="00513FB1"/>
    <w:rsid w:val="00513FFA"/>
    <w:rsid w:val="005140C2"/>
    <w:rsid w:val="005140D6"/>
    <w:rsid w:val="0051417C"/>
    <w:rsid w:val="00514190"/>
    <w:rsid w:val="005141EA"/>
    <w:rsid w:val="0051422F"/>
    <w:rsid w:val="0051427F"/>
    <w:rsid w:val="0051428A"/>
    <w:rsid w:val="005142C1"/>
    <w:rsid w:val="005142CB"/>
    <w:rsid w:val="0051431E"/>
    <w:rsid w:val="00514364"/>
    <w:rsid w:val="0051436D"/>
    <w:rsid w:val="00514375"/>
    <w:rsid w:val="0051438E"/>
    <w:rsid w:val="00514396"/>
    <w:rsid w:val="0051445F"/>
    <w:rsid w:val="00514462"/>
    <w:rsid w:val="005144E0"/>
    <w:rsid w:val="005145C3"/>
    <w:rsid w:val="00514635"/>
    <w:rsid w:val="0051465A"/>
    <w:rsid w:val="0051465E"/>
    <w:rsid w:val="00514752"/>
    <w:rsid w:val="0051475F"/>
    <w:rsid w:val="0051476C"/>
    <w:rsid w:val="0051478C"/>
    <w:rsid w:val="005148CC"/>
    <w:rsid w:val="005148EE"/>
    <w:rsid w:val="00514A2F"/>
    <w:rsid w:val="00514BE3"/>
    <w:rsid w:val="00514C8C"/>
    <w:rsid w:val="00514CDF"/>
    <w:rsid w:val="00514E22"/>
    <w:rsid w:val="00514EF6"/>
    <w:rsid w:val="00514EFC"/>
    <w:rsid w:val="00514F82"/>
    <w:rsid w:val="00515090"/>
    <w:rsid w:val="0051509F"/>
    <w:rsid w:val="0051514D"/>
    <w:rsid w:val="005151BE"/>
    <w:rsid w:val="005151C9"/>
    <w:rsid w:val="005151E9"/>
    <w:rsid w:val="00515209"/>
    <w:rsid w:val="0051520D"/>
    <w:rsid w:val="0051524A"/>
    <w:rsid w:val="005152C5"/>
    <w:rsid w:val="005152DA"/>
    <w:rsid w:val="005152E2"/>
    <w:rsid w:val="00515351"/>
    <w:rsid w:val="00515360"/>
    <w:rsid w:val="0051540F"/>
    <w:rsid w:val="005154F7"/>
    <w:rsid w:val="0051572A"/>
    <w:rsid w:val="0051573F"/>
    <w:rsid w:val="00515749"/>
    <w:rsid w:val="0051582E"/>
    <w:rsid w:val="00515836"/>
    <w:rsid w:val="00515876"/>
    <w:rsid w:val="00515886"/>
    <w:rsid w:val="00515891"/>
    <w:rsid w:val="005158CD"/>
    <w:rsid w:val="00515985"/>
    <w:rsid w:val="00515996"/>
    <w:rsid w:val="005159D3"/>
    <w:rsid w:val="00515AB9"/>
    <w:rsid w:val="00515ABA"/>
    <w:rsid w:val="00515B87"/>
    <w:rsid w:val="00515BDF"/>
    <w:rsid w:val="00515C3E"/>
    <w:rsid w:val="00515C46"/>
    <w:rsid w:val="00515C82"/>
    <w:rsid w:val="00515C84"/>
    <w:rsid w:val="00515C99"/>
    <w:rsid w:val="00515D4E"/>
    <w:rsid w:val="00515D72"/>
    <w:rsid w:val="00515DB2"/>
    <w:rsid w:val="00515E5D"/>
    <w:rsid w:val="00515F82"/>
    <w:rsid w:val="0051603E"/>
    <w:rsid w:val="00516073"/>
    <w:rsid w:val="005160C4"/>
    <w:rsid w:val="0051611E"/>
    <w:rsid w:val="00516138"/>
    <w:rsid w:val="00516178"/>
    <w:rsid w:val="0051619F"/>
    <w:rsid w:val="0051621A"/>
    <w:rsid w:val="00516256"/>
    <w:rsid w:val="005162C7"/>
    <w:rsid w:val="00516354"/>
    <w:rsid w:val="00516380"/>
    <w:rsid w:val="00516384"/>
    <w:rsid w:val="0051639D"/>
    <w:rsid w:val="005163A5"/>
    <w:rsid w:val="005163AA"/>
    <w:rsid w:val="005163BB"/>
    <w:rsid w:val="005163D3"/>
    <w:rsid w:val="005163E0"/>
    <w:rsid w:val="005164C6"/>
    <w:rsid w:val="0051652A"/>
    <w:rsid w:val="00516749"/>
    <w:rsid w:val="00516758"/>
    <w:rsid w:val="00516767"/>
    <w:rsid w:val="00516788"/>
    <w:rsid w:val="005167CB"/>
    <w:rsid w:val="005167ED"/>
    <w:rsid w:val="00516800"/>
    <w:rsid w:val="0051681A"/>
    <w:rsid w:val="0051683D"/>
    <w:rsid w:val="005168A2"/>
    <w:rsid w:val="005168D1"/>
    <w:rsid w:val="00516925"/>
    <w:rsid w:val="0051699C"/>
    <w:rsid w:val="005169F0"/>
    <w:rsid w:val="00516C30"/>
    <w:rsid w:val="00516CA4"/>
    <w:rsid w:val="00516CCE"/>
    <w:rsid w:val="00516D8F"/>
    <w:rsid w:val="00516D90"/>
    <w:rsid w:val="00516DE3"/>
    <w:rsid w:val="00516E6B"/>
    <w:rsid w:val="00516EB4"/>
    <w:rsid w:val="00516F7D"/>
    <w:rsid w:val="00517050"/>
    <w:rsid w:val="005170BF"/>
    <w:rsid w:val="005170CA"/>
    <w:rsid w:val="00517175"/>
    <w:rsid w:val="005171C1"/>
    <w:rsid w:val="005171F1"/>
    <w:rsid w:val="0051725F"/>
    <w:rsid w:val="005172E3"/>
    <w:rsid w:val="00517380"/>
    <w:rsid w:val="0051739A"/>
    <w:rsid w:val="005174C9"/>
    <w:rsid w:val="00517593"/>
    <w:rsid w:val="005175BB"/>
    <w:rsid w:val="005175C5"/>
    <w:rsid w:val="0051761D"/>
    <w:rsid w:val="00517683"/>
    <w:rsid w:val="005176C2"/>
    <w:rsid w:val="0051778A"/>
    <w:rsid w:val="005177FC"/>
    <w:rsid w:val="0051781F"/>
    <w:rsid w:val="005178B8"/>
    <w:rsid w:val="00517970"/>
    <w:rsid w:val="00517977"/>
    <w:rsid w:val="00517A17"/>
    <w:rsid w:val="00517A50"/>
    <w:rsid w:val="00517A6C"/>
    <w:rsid w:val="00517B41"/>
    <w:rsid w:val="00517B76"/>
    <w:rsid w:val="00517BCD"/>
    <w:rsid w:val="00517C3E"/>
    <w:rsid w:val="00517CBF"/>
    <w:rsid w:val="00517CDA"/>
    <w:rsid w:val="00517DE1"/>
    <w:rsid w:val="00517E69"/>
    <w:rsid w:val="00517E84"/>
    <w:rsid w:val="00517F3D"/>
    <w:rsid w:val="0052003B"/>
    <w:rsid w:val="0052005B"/>
    <w:rsid w:val="005200B8"/>
    <w:rsid w:val="005200D3"/>
    <w:rsid w:val="00520197"/>
    <w:rsid w:val="005201B8"/>
    <w:rsid w:val="0052020C"/>
    <w:rsid w:val="0052030A"/>
    <w:rsid w:val="0052032F"/>
    <w:rsid w:val="005203EC"/>
    <w:rsid w:val="00520415"/>
    <w:rsid w:val="00520482"/>
    <w:rsid w:val="005204C0"/>
    <w:rsid w:val="005205F2"/>
    <w:rsid w:val="0052063A"/>
    <w:rsid w:val="005206A8"/>
    <w:rsid w:val="00520832"/>
    <w:rsid w:val="00520841"/>
    <w:rsid w:val="00520859"/>
    <w:rsid w:val="005208F9"/>
    <w:rsid w:val="0052090E"/>
    <w:rsid w:val="00520934"/>
    <w:rsid w:val="0052095B"/>
    <w:rsid w:val="00520A41"/>
    <w:rsid w:val="00520A95"/>
    <w:rsid w:val="00520AFB"/>
    <w:rsid w:val="00520C2E"/>
    <w:rsid w:val="00520D00"/>
    <w:rsid w:val="00520D4B"/>
    <w:rsid w:val="00520D52"/>
    <w:rsid w:val="00520DC4"/>
    <w:rsid w:val="00520ED3"/>
    <w:rsid w:val="00520F0B"/>
    <w:rsid w:val="00520FF4"/>
    <w:rsid w:val="005211B6"/>
    <w:rsid w:val="00521209"/>
    <w:rsid w:val="0052121E"/>
    <w:rsid w:val="005212A5"/>
    <w:rsid w:val="00521370"/>
    <w:rsid w:val="00521380"/>
    <w:rsid w:val="00521384"/>
    <w:rsid w:val="00521492"/>
    <w:rsid w:val="00521499"/>
    <w:rsid w:val="0052149D"/>
    <w:rsid w:val="005214C9"/>
    <w:rsid w:val="00521555"/>
    <w:rsid w:val="0052156F"/>
    <w:rsid w:val="0052160C"/>
    <w:rsid w:val="00521636"/>
    <w:rsid w:val="005216C3"/>
    <w:rsid w:val="00521764"/>
    <w:rsid w:val="00521771"/>
    <w:rsid w:val="0052180A"/>
    <w:rsid w:val="00521819"/>
    <w:rsid w:val="0052181B"/>
    <w:rsid w:val="0052197F"/>
    <w:rsid w:val="005219C7"/>
    <w:rsid w:val="00521A83"/>
    <w:rsid w:val="00521AE5"/>
    <w:rsid w:val="00521B6C"/>
    <w:rsid w:val="00521BC5"/>
    <w:rsid w:val="00521BC8"/>
    <w:rsid w:val="00521BDA"/>
    <w:rsid w:val="00521CDD"/>
    <w:rsid w:val="00521CF6"/>
    <w:rsid w:val="00521D79"/>
    <w:rsid w:val="00521EAC"/>
    <w:rsid w:val="00521F03"/>
    <w:rsid w:val="00521F99"/>
    <w:rsid w:val="00522003"/>
    <w:rsid w:val="00522010"/>
    <w:rsid w:val="005220F1"/>
    <w:rsid w:val="0052213D"/>
    <w:rsid w:val="005221B5"/>
    <w:rsid w:val="00522271"/>
    <w:rsid w:val="005222A2"/>
    <w:rsid w:val="0052232B"/>
    <w:rsid w:val="0052233F"/>
    <w:rsid w:val="0052234D"/>
    <w:rsid w:val="0052239D"/>
    <w:rsid w:val="005223A0"/>
    <w:rsid w:val="005223FF"/>
    <w:rsid w:val="00522400"/>
    <w:rsid w:val="00522472"/>
    <w:rsid w:val="00522515"/>
    <w:rsid w:val="00522539"/>
    <w:rsid w:val="00522550"/>
    <w:rsid w:val="005225A5"/>
    <w:rsid w:val="00522756"/>
    <w:rsid w:val="00522762"/>
    <w:rsid w:val="0052294F"/>
    <w:rsid w:val="00522968"/>
    <w:rsid w:val="0052298F"/>
    <w:rsid w:val="0052299F"/>
    <w:rsid w:val="005229A7"/>
    <w:rsid w:val="005229C0"/>
    <w:rsid w:val="005229F7"/>
    <w:rsid w:val="00522A7C"/>
    <w:rsid w:val="00522AD8"/>
    <w:rsid w:val="00522B44"/>
    <w:rsid w:val="00522B50"/>
    <w:rsid w:val="00522BA9"/>
    <w:rsid w:val="00522BEF"/>
    <w:rsid w:val="00522C29"/>
    <w:rsid w:val="00522C3E"/>
    <w:rsid w:val="00522D3B"/>
    <w:rsid w:val="00522D92"/>
    <w:rsid w:val="00522E6E"/>
    <w:rsid w:val="00522ECF"/>
    <w:rsid w:val="00522ED0"/>
    <w:rsid w:val="00522FE5"/>
    <w:rsid w:val="0052300D"/>
    <w:rsid w:val="0052310F"/>
    <w:rsid w:val="00523187"/>
    <w:rsid w:val="005231C4"/>
    <w:rsid w:val="005231D9"/>
    <w:rsid w:val="005231E5"/>
    <w:rsid w:val="005232DF"/>
    <w:rsid w:val="00523308"/>
    <w:rsid w:val="00523348"/>
    <w:rsid w:val="005233C5"/>
    <w:rsid w:val="005233E8"/>
    <w:rsid w:val="0052348D"/>
    <w:rsid w:val="0052349B"/>
    <w:rsid w:val="00523535"/>
    <w:rsid w:val="005235A1"/>
    <w:rsid w:val="005235BE"/>
    <w:rsid w:val="0052364B"/>
    <w:rsid w:val="00523688"/>
    <w:rsid w:val="00523763"/>
    <w:rsid w:val="0052388C"/>
    <w:rsid w:val="005238AD"/>
    <w:rsid w:val="005238BA"/>
    <w:rsid w:val="005238CC"/>
    <w:rsid w:val="00523A67"/>
    <w:rsid w:val="00523AE0"/>
    <w:rsid w:val="00523BA8"/>
    <w:rsid w:val="00523C06"/>
    <w:rsid w:val="00523CD0"/>
    <w:rsid w:val="00523CD6"/>
    <w:rsid w:val="00523D2B"/>
    <w:rsid w:val="00523D7C"/>
    <w:rsid w:val="00523E85"/>
    <w:rsid w:val="00523EC0"/>
    <w:rsid w:val="00523F56"/>
    <w:rsid w:val="00523F75"/>
    <w:rsid w:val="00523F89"/>
    <w:rsid w:val="00523FB5"/>
    <w:rsid w:val="00524016"/>
    <w:rsid w:val="00524038"/>
    <w:rsid w:val="005240AA"/>
    <w:rsid w:val="00524110"/>
    <w:rsid w:val="00524170"/>
    <w:rsid w:val="005241AE"/>
    <w:rsid w:val="0052426A"/>
    <w:rsid w:val="0052427F"/>
    <w:rsid w:val="0052429A"/>
    <w:rsid w:val="005242AA"/>
    <w:rsid w:val="005242CD"/>
    <w:rsid w:val="00524328"/>
    <w:rsid w:val="005243E3"/>
    <w:rsid w:val="0052444E"/>
    <w:rsid w:val="00524517"/>
    <w:rsid w:val="00524528"/>
    <w:rsid w:val="00524549"/>
    <w:rsid w:val="0052461A"/>
    <w:rsid w:val="00524634"/>
    <w:rsid w:val="005247BC"/>
    <w:rsid w:val="00524869"/>
    <w:rsid w:val="00524872"/>
    <w:rsid w:val="005248AF"/>
    <w:rsid w:val="00524A2C"/>
    <w:rsid w:val="00524A81"/>
    <w:rsid w:val="00524A98"/>
    <w:rsid w:val="00524AA8"/>
    <w:rsid w:val="00524B80"/>
    <w:rsid w:val="00524C30"/>
    <w:rsid w:val="00524C49"/>
    <w:rsid w:val="00524C61"/>
    <w:rsid w:val="00524C67"/>
    <w:rsid w:val="00524CC4"/>
    <w:rsid w:val="00524D87"/>
    <w:rsid w:val="00524D91"/>
    <w:rsid w:val="00524DA0"/>
    <w:rsid w:val="00524E00"/>
    <w:rsid w:val="00524E08"/>
    <w:rsid w:val="00524E1C"/>
    <w:rsid w:val="00524E60"/>
    <w:rsid w:val="00524E6A"/>
    <w:rsid w:val="00524ED7"/>
    <w:rsid w:val="00524F2F"/>
    <w:rsid w:val="0052508D"/>
    <w:rsid w:val="005250DC"/>
    <w:rsid w:val="005250E3"/>
    <w:rsid w:val="0052512D"/>
    <w:rsid w:val="0052513E"/>
    <w:rsid w:val="00525144"/>
    <w:rsid w:val="00525208"/>
    <w:rsid w:val="00525231"/>
    <w:rsid w:val="00525254"/>
    <w:rsid w:val="005252AD"/>
    <w:rsid w:val="00525350"/>
    <w:rsid w:val="005253C9"/>
    <w:rsid w:val="0052540B"/>
    <w:rsid w:val="00525488"/>
    <w:rsid w:val="00525496"/>
    <w:rsid w:val="005254FC"/>
    <w:rsid w:val="00525554"/>
    <w:rsid w:val="00525557"/>
    <w:rsid w:val="00525567"/>
    <w:rsid w:val="00525633"/>
    <w:rsid w:val="00525692"/>
    <w:rsid w:val="005256E8"/>
    <w:rsid w:val="005256FF"/>
    <w:rsid w:val="0052575B"/>
    <w:rsid w:val="005257AA"/>
    <w:rsid w:val="005257B4"/>
    <w:rsid w:val="0052588D"/>
    <w:rsid w:val="0052589C"/>
    <w:rsid w:val="005258FE"/>
    <w:rsid w:val="00525948"/>
    <w:rsid w:val="00525A39"/>
    <w:rsid w:val="00525A64"/>
    <w:rsid w:val="00525A69"/>
    <w:rsid w:val="00525A7B"/>
    <w:rsid w:val="00525AAB"/>
    <w:rsid w:val="00525AB1"/>
    <w:rsid w:val="00525B19"/>
    <w:rsid w:val="00525B35"/>
    <w:rsid w:val="00525B47"/>
    <w:rsid w:val="00525B4C"/>
    <w:rsid w:val="00525BAC"/>
    <w:rsid w:val="00525C23"/>
    <w:rsid w:val="00525C62"/>
    <w:rsid w:val="00525CA4"/>
    <w:rsid w:val="00525DA0"/>
    <w:rsid w:val="00525DAB"/>
    <w:rsid w:val="00525DAE"/>
    <w:rsid w:val="00525DB0"/>
    <w:rsid w:val="00525E9B"/>
    <w:rsid w:val="00525EF2"/>
    <w:rsid w:val="0052601F"/>
    <w:rsid w:val="00526086"/>
    <w:rsid w:val="005260AF"/>
    <w:rsid w:val="00526153"/>
    <w:rsid w:val="0052615D"/>
    <w:rsid w:val="0052619B"/>
    <w:rsid w:val="005261E8"/>
    <w:rsid w:val="00526238"/>
    <w:rsid w:val="005262B3"/>
    <w:rsid w:val="0052633E"/>
    <w:rsid w:val="00526345"/>
    <w:rsid w:val="00526383"/>
    <w:rsid w:val="00526430"/>
    <w:rsid w:val="0052644A"/>
    <w:rsid w:val="0052645C"/>
    <w:rsid w:val="00526484"/>
    <w:rsid w:val="005264CF"/>
    <w:rsid w:val="0052651E"/>
    <w:rsid w:val="00526560"/>
    <w:rsid w:val="0052661F"/>
    <w:rsid w:val="005266C1"/>
    <w:rsid w:val="005266F5"/>
    <w:rsid w:val="00526713"/>
    <w:rsid w:val="005267D2"/>
    <w:rsid w:val="005267DE"/>
    <w:rsid w:val="005267EF"/>
    <w:rsid w:val="005268B1"/>
    <w:rsid w:val="00526918"/>
    <w:rsid w:val="00526995"/>
    <w:rsid w:val="00526A28"/>
    <w:rsid w:val="00526A7C"/>
    <w:rsid w:val="00526BC2"/>
    <w:rsid w:val="00526C8C"/>
    <w:rsid w:val="00526C9B"/>
    <w:rsid w:val="00526CAF"/>
    <w:rsid w:val="00526CB4"/>
    <w:rsid w:val="00526DD5"/>
    <w:rsid w:val="00526E71"/>
    <w:rsid w:val="00526E95"/>
    <w:rsid w:val="00526ECB"/>
    <w:rsid w:val="00526ED7"/>
    <w:rsid w:val="00526F76"/>
    <w:rsid w:val="00526FFA"/>
    <w:rsid w:val="00527085"/>
    <w:rsid w:val="005270B4"/>
    <w:rsid w:val="005270BE"/>
    <w:rsid w:val="00527101"/>
    <w:rsid w:val="00527147"/>
    <w:rsid w:val="00527192"/>
    <w:rsid w:val="005271AD"/>
    <w:rsid w:val="005271D9"/>
    <w:rsid w:val="0052727A"/>
    <w:rsid w:val="00527296"/>
    <w:rsid w:val="00527475"/>
    <w:rsid w:val="0052749C"/>
    <w:rsid w:val="005275BB"/>
    <w:rsid w:val="005275DA"/>
    <w:rsid w:val="00527600"/>
    <w:rsid w:val="00527688"/>
    <w:rsid w:val="00527694"/>
    <w:rsid w:val="005276E8"/>
    <w:rsid w:val="0052770B"/>
    <w:rsid w:val="00527746"/>
    <w:rsid w:val="005277A2"/>
    <w:rsid w:val="005277AB"/>
    <w:rsid w:val="0052781E"/>
    <w:rsid w:val="005279A3"/>
    <w:rsid w:val="005279EE"/>
    <w:rsid w:val="005279F6"/>
    <w:rsid w:val="005279FE"/>
    <w:rsid w:val="00527A48"/>
    <w:rsid w:val="00527A75"/>
    <w:rsid w:val="00527AE7"/>
    <w:rsid w:val="00527B73"/>
    <w:rsid w:val="00527C38"/>
    <w:rsid w:val="00527CE0"/>
    <w:rsid w:val="00527CEB"/>
    <w:rsid w:val="00527D10"/>
    <w:rsid w:val="00527D11"/>
    <w:rsid w:val="00527DC0"/>
    <w:rsid w:val="00527DE3"/>
    <w:rsid w:val="00527DEE"/>
    <w:rsid w:val="00527ED9"/>
    <w:rsid w:val="00530012"/>
    <w:rsid w:val="0053005E"/>
    <w:rsid w:val="00530091"/>
    <w:rsid w:val="005300DB"/>
    <w:rsid w:val="0053010B"/>
    <w:rsid w:val="00530226"/>
    <w:rsid w:val="00530255"/>
    <w:rsid w:val="00530270"/>
    <w:rsid w:val="0053035C"/>
    <w:rsid w:val="005303BA"/>
    <w:rsid w:val="0053048F"/>
    <w:rsid w:val="00530513"/>
    <w:rsid w:val="0053064C"/>
    <w:rsid w:val="0053066E"/>
    <w:rsid w:val="00530695"/>
    <w:rsid w:val="0053070D"/>
    <w:rsid w:val="0053072E"/>
    <w:rsid w:val="005307A8"/>
    <w:rsid w:val="005307C9"/>
    <w:rsid w:val="00530938"/>
    <w:rsid w:val="005309A0"/>
    <w:rsid w:val="005309CC"/>
    <w:rsid w:val="00530A21"/>
    <w:rsid w:val="00530A43"/>
    <w:rsid w:val="00530ACF"/>
    <w:rsid w:val="00530D0F"/>
    <w:rsid w:val="00530D45"/>
    <w:rsid w:val="00530D86"/>
    <w:rsid w:val="00530E36"/>
    <w:rsid w:val="00530ECA"/>
    <w:rsid w:val="00530F5C"/>
    <w:rsid w:val="00530F82"/>
    <w:rsid w:val="005310FD"/>
    <w:rsid w:val="0053125A"/>
    <w:rsid w:val="0053129B"/>
    <w:rsid w:val="005313DA"/>
    <w:rsid w:val="00531438"/>
    <w:rsid w:val="0053145C"/>
    <w:rsid w:val="0053148B"/>
    <w:rsid w:val="005314E6"/>
    <w:rsid w:val="0053150E"/>
    <w:rsid w:val="005315B0"/>
    <w:rsid w:val="005316D3"/>
    <w:rsid w:val="0053171D"/>
    <w:rsid w:val="005317A5"/>
    <w:rsid w:val="005317DA"/>
    <w:rsid w:val="0053180B"/>
    <w:rsid w:val="0053184D"/>
    <w:rsid w:val="00531908"/>
    <w:rsid w:val="00531993"/>
    <w:rsid w:val="005319DD"/>
    <w:rsid w:val="005319EE"/>
    <w:rsid w:val="00531AAC"/>
    <w:rsid w:val="00531BE0"/>
    <w:rsid w:val="00531BE3"/>
    <w:rsid w:val="00531C3E"/>
    <w:rsid w:val="00531C59"/>
    <w:rsid w:val="00531CC8"/>
    <w:rsid w:val="00531D34"/>
    <w:rsid w:val="00531F05"/>
    <w:rsid w:val="00531F7F"/>
    <w:rsid w:val="00531F81"/>
    <w:rsid w:val="00532072"/>
    <w:rsid w:val="00532073"/>
    <w:rsid w:val="00532084"/>
    <w:rsid w:val="00532195"/>
    <w:rsid w:val="005321BA"/>
    <w:rsid w:val="00532205"/>
    <w:rsid w:val="0053234D"/>
    <w:rsid w:val="00532364"/>
    <w:rsid w:val="00532412"/>
    <w:rsid w:val="0053246F"/>
    <w:rsid w:val="005324C7"/>
    <w:rsid w:val="005325B6"/>
    <w:rsid w:val="005325EA"/>
    <w:rsid w:val="00532624"/>
    <w:rsid w:val="0053262A"/>
    <w:rsid w:val="0053267C"/>
    <w:rsid w:val="005326DB"/>
    <w:rsid w:val="005326DE"/>
    <w:rsid w:val="00532724"/>
    <w:rsid w:val="00532815"/>
    <w:rsid w:val="00532848"/>
    <w:rsid w:val="00532881"/>
    <w:rsid w:val="005328C7"/>
    <w:rsid w:val="00532964"/>
    <w:rsid w:val="005329B5"/>
    <w:rsid w:val="00532A51"/>
    <w:rsid w:val="00532AB0"/>
    <w:rsid w:val="00532BE0"/>
    <w:rsid w:val="00532C28"/>
    <w:rsid w:val="00532C33"/>
    <w:rsid w:val="00532C87"/>
    <w:rsid w:val="00532CAC"/>
    <w:rsid w:val="00532D1D"/>
    <w:rsid w:val="00532E15"/>
    <w:rsid w:val="00532E32"/>
    <w:rsid w:val="00532E4D"/>
    <w:rsid w:val="00532EE5"/>
    <w:rsid w:val="00532F0A"/>
    <w:rsid w:val="00532F4D"/>
    <w:rsid w:val="00532FA0"/>
    <w:rsid w:val="00532FAA"/>
    <w:rsid w:val="005330B9"/>
    <w:rsid w:val="00533129"/>
    <w:rsid w:val="0053316B"/>
    <w:rsid w:val="00533182"/>
    <w:rsid w:val="00533225"/>
    <w:rsid w:val="00533256"/>
    <w:rsid w:val="005332E6"/>
    <w:rsid w:val="00533316"/>
    <w:rsid w:val="0053331C"/>
    <w:rsid w:val="00533345"/>
    <w:rsid w:val="005333E3"/>
    <w:rsid w:val="0053346E"/>
    <w:rsid w:val="00533541"/>
    <w:rsid w:val="005336CA"/>
    <w:rsid w:val="005336CB"/>
    <w:rsid w:val="005336FE"/>
    <w:rsid w:val="005337B1"/>
    <w:rsid w:val="005337D5"/>
    <w:rsid w:val="005337E9"/>
    <w:rsid w:val="00533805"/>
    <w:rsid w:val="005338A2"/>
    <w:rsid w:val="005338AC"/>
    <w:rsid w:val="00533910"/>
    <w:rsid w:val="00533988"/>
    <w:rsid w:val="00533A2C"/>
    <w:rsid w:val="00533A9C"/>
    <w:rsid w:val="00533AAA"/>
    <w:rsid w:val="00533B0F"/>
    <w:rsid w:val="00533B53"/>
    <w:rsid w:val="00533B79"/>
    <w:rsid w:val="00533BE9"/>
    <w:rsid w:val="00533C70"/>
    <w:rsid w:val="00533D1B"/>
    <w:rsid w:val="00533D35"/>
    <w:rsid w:val="00533E66"/>
    <w:rsid w:val="00534037"/>
    <w:rsid w:val="00534056"/>
    <w:rsid w:val="0053406F"/>
    <w:rsid w:val="00534126"/>
    <w:rsid w:val="005342BC"/>
    <w:rsid w:val="00534340"/>
    <w:rsid w:val="005343AB"/>
    <w:rsid w:val="005343DE"/>
    <w:rsid w:val="005343E7"/>
    <w:rsid w:val="00534464"/>
    <w:rsid w:val="00534639"/>
    <w:rsid w:val="0053464A"/>
    <w:rsid w:val="0053467F"/>
    <w:rsid w:val="0053469F"/>
    <w:rsid w:val="00534747"/>
    <w:rsid w:val="00534777"/>
    <w:rsid w:val="00534802"/>
    <w:rsid w:val="0053491E"/>
    <w:rsid w:val="00534994"/>
    <w:rsid w:val="005349D9"/>
    <w:rsid w:val="00534A55"/>
    <w:rsid w:val="00534AB6"/>
    <w:rsid w:val="00534AE1"/>
    <w:rsid w:val="00534AEE"/>
    <w:rsid w:val="00534B59"/>
    <w:rsid w:val="00534B75"/>
    <w:rsid w:val="00534C4E"/>
    <w:rsid w:val="00534DA0"/>
    <w:rsid w:val="00534E70"/>
    <w:rsid w:val="00534F82"/>
    <w:rsid w:val="00534F84"/>
    <w:rsid w:val="00534F90"/>
    <w:rsid w:val="00535080"/>
    <w:rsid w:val="005350AA"/>
    <w:rsid w:val="005350D7"/>
    <w:rsid w:val="00535133"/>
    <w:rsid w:val="0053514D"/>
    <w:rsid w:val="0053520C"/>
    <w:rsid w:val="00535218"/>
    <w:rsid w:val="0053527D"/>
    <w:rsid w:val="0053527E"/>
    <w:rsid w:val="005352A1"/>
    <w:rsid w:val="005352CD"/>
    <w:rsid w:val="005352D7"/>
    <w:rsid w:val="0053534F"/>
    <w:rsid w:val="005353C9"/>
    <w:rsid w:val="005354AB"/>
    <w:rsid w:val="005355CA"/>
    <w:rsid w:val="00535607"/>
    <w:rsid w:val="005356FB"/>
    <w:rsid w:val="00535718"/>
    <w:rsid w:val="0053574C"/>
    <w:rsid w:val="00535761"/>
    <w:rsid w:val="00535843"/>
    <w:rsid w:val="0053585C"/>
    <w:rsid w:val="00535889"/>
    <w:rsid w:val="005358B9"/>
    <w:rsid w:val="00535939"/>
    <w:rsid w:val="005359A1"/>
    <w:rsid w:val="005359AB"/>
    <w:rsid w:val="005359FD"/>
    <w:rsid w:val="00535A5B"/>
    <w:rsid w:val="00535B21"/>
    <w:rsid w:val="00535B3A"/>
    <w:rsid w:val="00535BA3"/>
    <w:rsid w:val="00535BBD"/>
    <w:rsid w:val="00535C4A"/>
    <w:rsid w:val="00535C60"/>
    <w:rsid w:val="00535C7E"/>
    <w:rsid w:val="00535CBD"/>
    <w:rsid w:val="00535CDD"/>
    <w:rsid w:val="00535D18"/>
    <w:rsid w:val="00535D1A"/>
    <w:rsid w:val="00535E25"/>
    <w:rsid w:val="00535E28"/>
    <w:rsid w:val="00535EE4"/>
    <w:rsid w:val="00535EFE"/>
    <w:rsid w:val="00535F57"/>
    <w:rsid w:val="00535FA2"/>
    <w:rsid w:val="00535FAF"/>
    <w:rsid w:val="00535FD4"/>
    <w:rsid w:val="00536038"/>
    <w:rsid w:val="00536040"/>
    <w:rsid w:val="005360F5"/>
    <w:rsid w:val="005360F7"/>
    <w:rsid w:val="0053613F"/>
    <w:rsid w:val="0053616A"/>
    <w:rsid w:val="0053628E"/>
    <w:rsid w:val="005362DE"/>
    <w:rsid w:val="00536348"/>
    <w:rsid w:val="0053638F"/>
    <w:rsid w:val="00536574"/>
    <w:rsid w:val="0053662D"/>
    <w:rsid w:val="0053665D"/>
    <w:rsid w:val="00536696"/>
    <w:rsid w:val="0053671E"/>
    <w:rsid w:val="0053672C"/>
    <w:rsid w:val="0053683F"/>
    <w:rsid w:val="00536917"/>
    <w:rsid w:val="00536A04"/>
    <w:rsid w:val="00536BFA"/>
    <w:rsid w:val="00536C9D"/>
    <w:rsid w:val="00536CA8"/>
    <w:rsid w:val="00536D3D"/>
    <w:rsid w:val="00536D57"/>
    <w:rsid w:val="00536DA1"/>
    <w:rsid w:val="00536E02"/>
    <w:rsid w:val="00536F06"/>
    <w:rsid w:val="00536F9F"/>
    <w:rsid w:val="00536FC1"/>
    <w:rsid w:val="00537032"/>
    <w:rsid w:val="00537099"/>
    <w:rsid w:val="005370BC"/>
    <w:rsid w:val="00537124"/>
    <w:rsid w:val="00537146"/>
    <w:rsid w:val="00537194"/>
    <w:rsid w:val="005371D6"/>
    <w:rsid w:val="00537222"/>
    <w:rsid w:val="00537380"/>
    <w:rsid w:val="005373FD"/>
    <w:rsid w:val="00537404"/>
    <w:rsid w:val="00537417"/>
    <w:rsid w:val="0053749E"/>
    <w:rsid w:val="005374C0"/>
    <w:rsid w:val="005374DA"/>
    <w:rsid w:val="00537637"/>
    <w:rsid w:val="00537730"/>
    <w:rsid w:val="0053775F"/>
    <w:rsid w:val="005377A2"/>
    <w:rsid w:val="005377B6"/>
    <w:rsid w:val="005377EE"/>
    <w:rsid w:val="0053784F"/>
    <w:rsid w:val="00537880"/>
    <w:rsid w:val="005378B6"/>
    <w:rsid w:val="005378B8"/>
    <w:rsid w:val="00537B00"/>
    <w:rsid w:val="00537B16"/>
    <w:rsid w:val="00537BC8"/>
    <w:rsid w:val="00537C1A"/>
    <w:rsid w:val="00537C5B"/>
    <w:rsid w:val="00537C87"/>
    <w:rsid w:val="00537C9B"/>
    <w:rsid w:val="00537C9E"/>
    <w:rsid w:val="00537D05"/>
    <w:rsid w:val="00537D20"/>
    <w:rsid w:val="00537D6A"/>
    <w:rsid w:val="00537D84"/>
    <w:rsid w:val="00537E0A"/>
    <w:rsid w:val="00537E44"/>
    <w:rsid w:val="00537E5B"/>
    <w:rsid w:val="00537E7D"/>
    <w:rsid w:val="00537F40"/>
    <w:rsid w:val="00537F68"/>
    <w:rsid w:val="00537F74"/>
    <w:rsid w:val="00537FF7"/>
    <w:rsid w:val="005400FD"/>
    <w:rsid w:val="00540182"/>
    <w:rsid w:val="0054023D"/>
    <w:rsid w:val="00540285"/>
    <w:rsid w:val="00540333"/>
    <w:rsid w:val="00540375"/>
    <w:rsid w:val="0054037A"/>
    <w:rsid w:val="0054039C"/>
    <w:rsid w:val="005403D2"/>
    <w:rsid w:val="0054040D"/>
    <w:rsid w:val="0054053F"/>
    <w:rsid w:val="005406A3"/>
    <w:rsid w:val="005406C5"/>
    <w:rsid w:val="005406D9"/>
    <w:rsid w:val="005407B8"/>
    <w:rsid w:val="005408A5"/>
    <w:rsid w:val="005409C8"/>
    <w:rsid w:val="005409F9"/>
    <w:rsid w:val="00540A62"/>
    <w:rsid w:val="00540A78"/>
    <w:rsid w:val="00540AC7"/>
    <w:rsid w:val="00540B2A"/>
    <w:rsid w:val="00540B7B"/>
    <w:rsid w:val="00540D1D"/>
    <w:rsid w:val="00540DD2"/>
    <w:rsid w:val="00540E59"/>
    <w:rsid w:val="00540F0C"/>
    <w:rsid w:val="00540F44"/>
    <w:rsid w:val="00540F47"/>
    <w:rsid w:val="00540F86"/>
    <w:rsid w:val="00540FE0"/>
    <w:rsid w:val="00541067"/>
    <w:rsid w:val="005411F8"/>
    <w:rsid w:val="00541209"/>
    <w:rsid w:val="00541211"/>
    <w:rsid w:val="00541247"/>
    <w:rsid w:val="00541292"/>
    <w:rsid w:val="005412CC"/>
    <w:rsid w:val="005412D9"/>
    <w:rsid w:val="0054130C"/>
    <w:rsid w:val="0054131A"/>
    <w:rsid w:val="00541341"/>
    <w:rsid w:val="005413A3"/>
    <w:rsid w:val="005413E2"/>
    <w:rsid w:val="00541459"/>
    <w:rsid w:val="0054153E"/>
    <w:rsid w:val="00541589"/>
    <w:rsid w:val="005415CB"/>
    <w:rsid w:val="005415D1"/>
    <w:rsid w:val="005415F1"/>
    <w:rsid w:val="00541641"/>
    <w:rsid w:val="005416D7"/>
    <w:rsid w:val="0054178B"/>
    <w:rsid w:val="005417B1"/>
    <w:rsid w:val="005417E6"/>
    <w:rsid w:val="00541820"/>
    <w:rsid w:val="00541878"/>
    <w:rsid w:val="005418E5"/>
    <w:rsid w:val="005418EF"/>
    <w:rsid w:val="00541904"/>
    <w:rsid w:val="00541969"/>
    <w:rsid w:val="00541AAB"/>
    <w:rsid w:val="00541B1B"/>
    <w:rsid w:val="00541B20"/>
    <w:rsid w:val="00541B6D"/>
    <w:rsid w:val="00541B91"/>
    <w:rsid w:val="00541C4A"/>
    <w:rsid w:val="00541CB2"/>
    <w:rsid w:val="00541D11"/>
    <w:rsid w:val="00541D3E"/>
    <w:rsid w:val="00541D5A"/>
    <w:rsid w:val="00541DD3"/>
    <w:rsid w:val="00541DF5"/>
    <w:rsid w:val="00541E69"/>
    <w:rsid w:val="00541EC6"/>
    <w:rsid w:val="00541F2C"/>
    <w:rsid w:val="00541F4D"/>
    <w:rsid w:val="00541F81"/>
    <w:rsid w:val="00542039"/>
    <w:rsid w:val="00542074"/>
    <w:rsid w:val="005421C8"/>
    <w:rsid w:val="005421E7"/>
    <w:rsid w:val="00542275"/>
    <w:rsid w:val="00542291"/>
    <w:rsid w:val="005422C2"/>
    <w:rsid w:val="005422F0"/>
    <w:rsid w:val="00542345"/>
    <w:rsid w:val="005424FB"/>
    <w:rsid w:val="00542593"/>
    <w:rsid w:val="005425C0"/>
    <w:rsid w:val="005425D0"/>
    <w:rsid w:val="005425D2"/>
    <w:rsid w:val="00542761"/>
    <w:rsid w:val="00542777"/>
    <w:rsid w:val="005427B8"/>
    <w:rsid w:val="00542836"/>
    <w:rsid w:val="00542887"/>
    <w:rsid w:val="005428C0"/>
    <w:rsid w:val="00542973"/>
    <w:rsid w:val="005429CC"/>
    <w:rsid w:val="005429E0"/>
    <w:rsid w:val="005429FC"/>
    <w:rsid w:val="00542C7A"/>
    <w:rsid w:val="00542D0E"/>
    <w:rsid w:val="00542D16"/>
    <w:rsid w:val="00542D41"/>
    <w:rsid w:val="00542D63"/>
    <w:rsid w:val="00542D73"/>
    <w:rsid w:val="00542DB3"/>
    <w:rsid w:val="00542DF0"/>
    <w:rsid w:val="00542E2D"/>
    <w:rsid w:val="00542E80"/>
    <w:rsid w:val="00542ECA"/>
    <w:rsid w:val="00542EE3"/>
    <w:rsid w:val="00542F23"/>
    <w:rsid w:val="00542F54"/>
    <w:rsid w:val="00542F91"/>
    <w:rsid w:val="00542FED"/>
    <w:rsid w:val="00543019"/>
    <w:rsid w:val="0054303A"/>
    <w:rsid w:val="0054306D"/>
    <w:rsid w:val="005430BD"/>
    <w:rsid w:val="005430C9"/>
    <w:rsid w:val="005432B9"/>
    <w:rsid w:val="005432D1"/>
    <w:rsid w:val="00543307"/>
    <w:rsid w:val="0054331F"/>
    <w:rsid w:val="00543392"/>
    <w:rsid w:val="00543393"/>
    <w:rsid w:val="005433FF"/>
    <w:rsid w:val="00543407"/>
    <w:rsid w:val="00543455"/>
    <w:rsid w:val="0054346C"/>
    <w:rsid w:val="005434CF"/>
    <w:rsid w:val="0054355A"/>
    <w:rsid w:val="0054368E"/>
    <w:rsid w:val="00543739"/>
    <w:rsid w:val="00543768"/>
    <w:rsid w:val="0054378D"/>
    <w:rsid w:val="0054385F"/>
    <w:rsid w:val="00543912"/>
    <w:rsid w:val="00543A48"/>
    <w:rsid w:val="00543B00"/>
    <w:rsid w:val="00543B06"/>
    <w:rsid w:val="00543B75"/>
    <w:rsid w:val="00543C90"/>
    <w:rsid w:val="00543CC8"/>
    <w:rsid w:val="00543D35"/>
    <w:rsid w:val="00543D3A"/>
    <w:rsid w:val="00543D5B"/>
    <w:rsid w:val="00543E1F"/>
    <w:rsid w:val="00543E84"/>
    <w:rsid w:val="00543E8F"/>
    <w:rsid w:val="00543EF5"/>
    <w:rsid w:val="00543F3B"/>
    <w:rsid w:val="00543F60"/>
    <w:rsid w:val="00544173"/>
    <w:rsid w:val="005441EB"/>
    <w:rsid w:val="0054427B"/>
    <w:rsid w:val="00544367"/>
    <w:rsid w:val="00544384"/>
    <w:rsid w:val="005443BC"/>
    <w:rsid w:val="005444D5"/>
    <w:rsid w:val="005445D1"/>
    <w:rsid w:val="00544619"/>
    <w:rsid w:val="00544624"/>
    <w:rsid w:val="00544658"/>
    <w:rsid w:val="0054470B"/>
    <w:rsid w:val="005447D0"/>
    <w:rsid w:val="00544832"/>
    <w:rsid w:val="00544860"/>
    <w:rsid w:val="0054487A"/>
    <w:rsid w:val="00544880"/>
    <w:rsid w:val="005448F6"/>
    <w:rsid w:val="005448FE"/>
    <w:rsid w:val="00544958"/>
    <w:rsid w:val="005449A6"/>
    <w:rsid w:val="00544B89"/>
    <w:rsid w:val="00544C64"/>
    <w:rsid w:val="00544CD7"/>
    <w:rsid w:val="00544CDA"/>
    <w:rsid w:val="00544D3E"/>
    <w:rsid w:val="00544DD6"/>
    <w:rsid w:val="00544E2F"/>
    <w:rsid w:val="00544E75"/>
    <w:rsid w:val="00544EA8"/>
    <w:rsid w:val="00544F17"/>
    <w:rsid w:val="00544F36"/>
    <w:rsid w:val="00544F4A"/>
    <w:rsid w:val="00544F9D"/>
    <w:rsid w:val="005450CD"/>
    <w:rsid w:val="00545281"/>
    <w:rsid w:val="005452A1"/>
    <w:rsid w:val="00545362"/>
    <w:rsid w:val="005454C2"/>
    <w:rsid w:val="005454D3"/>
    <w:rsid w:val="0054564F"/>
    <w:rsid w:val="00545692"/>
    <w:rsid w:val="00545765"/>
    <w:rsid w:val="00545796"/>
    <w:rsid w:val="00545800"/>
    <w:rsid w:val="00545827"/>
    <w:rsid w:val="0054583D"/>
    <w:rsid w:val="00545869"/>
    <w:rsid w:val="005458C5"/>
    <w:rsid w:val="00545902"/>
    <w:rsid w:val="0054593A"/>
    <w:rsid w:val="0054596F"/>
    <w:rsid w:val="005459A8"/>
    <w:rsid w:val="00545A64"/>
    <w:rsid w:val="00545A89"/>
    <w:rsid w:val="00545B07"/>
    <w:rsid w:val="00545B1A"/>
    <w:rsid w:val="00545C13"/>
    <w:rsid w:val="00545C19"/>
    <w:rsid w:val="00545C95"/>
    <w:rsid w:val="00545D86"/>
    <w:rsid w:val="00545E5B"/>
    <w:rsid w:val="00545E98"/>
    <w:rsid w:val="00545EEE"/>
    <w:rsid w:val="00546055"/>
    <w:rsid w:val="00546067"/>
    <w:rsid w:val="0054609A"/>
    <w:rsid w:val="005460E2"/>
    <w:rsid w:val="005460FE"/>
    <w:rsid w:val="00546146"/>
    <w:rsid w:val="005461E4"/>
    <w:rsid w:val="005461FC"/>
    <w:rsid w:val="00546292"/>
    <w:rsid w:val="00546298"/>
    <w:rsid w:val="005462F2"/>
    <w:rsid w:val="00546300"/>
    <w:rsid w:val="00546366"/>
    <w:rsid w:val="005465F3"/>
    <w:rsid w:val="005465FB"/>
    <w:rsid w:val="00546641"/>
    <w:rsid w:val="00546717"/>
    <w:rsid w:val="0054677F"/>
    <w:rsid w:val="005467A3"/>
    <w:rsid w:val="005467D2"/>
    <w:rsid w:val="00546973"/>
    <w:rsid w:val="005469AD"/>
    <w:rsid w:val="005469CB"/>
    <w:rsid w:val="005469D3"/>
    <w:rsid w:val="00546B45"/>
    <w:rsid w:val="00546B53"/>
    <w:rsid w:val="00546BA2"/>
    <w:rsid w:val="00546BE4"/>
    <w:rsid w:val="00546BFA"/>
    <w:rsid w:val="00546C49"/>
    <w:rsid w:val="00546C89"/>
    <w:rsid w:val="00546C94"/>
    <w:rsid w:val="00546CFE"/>
    <w:rsid w:val="00546D18"/>
    <w:rsid w:val="00546D63"/>
    <w:rsid w:val="00546DF6"/>
    <w:rsid w:val="00546E3D"/>
    <w:rsid w:val="00546EFE"/>
    <w:rsid w:val="00546F14"/>
    <w:rsid w:val="00546F47"/>
    <w:rsid w:val="00546F7A"/>
    <w:rsid w:val="00546FCB"/>
    <w:rsid w:val="00546FDC"/>
    <w:rsid w:val="00546FFF"/>
    <w:rsid w:val="00547016"/>
    <w:rsid w:val="0054707C"/>
    <w:rsid w:val="00547083"/>
    <w:rsid w:val="005470F9"/>
    <w:rsid w:val="00547173"/>
    <w:rsid w:val="00547186"/>
    <w:rsid w:val="00547299"/>
    <w:rsid w:val="00547331"/>
    <w:rsid w:val="0054741A"/>
    <w:rsid w:val="00547461"/>
    <w:rsid w:val="005475A6"/>
    <w:rsid w:val="00547618"/>
    <w:rsid w:val="0054763B"/>
    <w:rsid w:val="00547643"/>
    <w:rsid w:val="005476A6"/>
    <w:rsid w:val="005476EB"/>
    <w:rsid w:val="00547733"/>
    <w:rsid w:val="00547830"/>
    <w:rsid w:val="0054795F"/>
    <w:rsid w:val="00547979"/>
    <w:rsid w:val="005479F5"/>
    <w:rsid w:val="00547AC4"/>
    <w:rsid w:val="00547AF4"/>
    <w:rsid w:val="00547B03"/>
    <w:rsid w:val="00547B21"/>
    <w:rsid w:val="00547B46"/>
    <w:rsid w:val="00547B4C"/>
    <w:rsid w:val="00547C35"/>
    <w:rsid w:val="00547CB2"/>
    <w:rsid w:val="00547CED"/>
    <w:rsid w:val="00547DFE"/>
    <w:rsid w:val="00547E35"/>
    <w:rsid w:val="00547E42"/>
    <w:rsid w:val="00547E4A"/>
    <w:rsid w:val="00547E5E"/>
    <w:rsid w:val="00547EF9"/>
    <w:rsid w:val="00547F9C"/>
    <w:rsid w:val="00550003"/>
    <w:rsid w:val="0055004A"/>
    <w:rsid w:val="0055004C"/>
    <w:rsid w:val="00550062"/>
    <w:rsid w:val="005500A2"/>
    <w:rsid w:val="005500AD"/>
    <w:rsid w:val="00550140"/>
    <w:rsid w:val="00550160"/>
    <w:rsid w:val="00550166"/>
    <w:rsid w:val="00550248"/>
    <w:rsid w:val="0055026C"/>
    <w:rsid w:val="005502A0"/>
    <w:rsid w:val="005502B3"/>
    <w:rsid w:val="005502B4"/>
    <w:rsid w:val="0055031C"/>
    <w:rsid w:val="0055041E"/>
    <w:rsid w:val="005504B8"/>
    <w:rsid w:val="00550619"/>
    <w:rsid w:val="0055063F"/>
    <w:rsid w:val="0055079D"/>
    <w:rsid w:val="005507B5"/>
    <w:rsid w:val="005508BF"/>
    <w:rsid w:val="005508D1"/>
    <w:rsid w:val="00550909"/>
    <w:rsid w:val="00550940"/>
    <w:rsid w:val="00550976"/>
    <w:rsid w:val="00550A1E"/>
    <w:rsid w:val="00550A55"/>
    <w:rsid w:val="00550AF2"/>
    <w:rsid w:val="00550B60"/>
    <w:rsid w:val="00550C31"/>
    <w:rsid w:val="00550CA1"/>
    <w:rsid w:val="00550CE0"/>
    <w:rsid w:val="00550D3F"/>
    <w:rsid w:val="00550D54"/>
    <w:rsid w:val="00550DE9"/>
    <w:rsid w:val="00550DF1"/>
    <w:rsid w:val="00550E0B"/>
    <w:rsid w:val="00550EE4"/>
    <w:rsid w:val="00550F90"/>
    <w:rsid w:val="005510D4"/>
    <w:rsid w:val="005511FA"/>
    <w:rsid w:val="0055121C"/>
    <w:rsid w:val="00551238"/>
    <w:rsid w:val="00551244"/>
    <w:rsid w:val="0055126B"/>
    <w:rsid w:val="005512F6"/>
    <w:rsid w:val="00551361"/>
    <w:rsid w:val="005514B4"/>
    <w:rsid w:val="0055150C"/>
    <w:rsid w:val="0055153F"/>
    <w:rsid w:val="005515F2"/>
    <w:rsid w:val="0055172C"/>
    <w:rsid w:val="00551888"/>
    <w:rsid w:val="005519BC"/>
    <w:rsid w:val="00551A60"/>
    <w:rsid w:val="00551A85"/>
    <w:rsid w:val="00551A88"/>
    <w:rsid w:val="00551A9E"/>
    <w:rsid w:val="00551BBD"/>
    <w:rsid w:val="00551BEE"/>
    <w:rsid w:val="00551C34"/>
    <w:rsid w:val="00551C5E"/>
    <w:rsid w:val="00551D22"/>
    <w:rsid w:val="00551D84"/>
    <w:rsid w:val="00551D96"/>
    <w:rsid w:val="00551E3C"/>
    <w:rsid w:val="00551EB5"/>
    <w:rsid w:val="00551EEC"/>
    <w:rsid w:val="00551FCA"/>
    <w:rsid w:val="00552061"/>
    <w:rsid w:val="0055212B"/>
    <w:rsid w:val="005521CD"/>
    <w:rsid w:val="00552255"/>
    <w:rsid w:val="0055225C"/>
    <w:rsid w:val="00552272"/>
    <w:rsid w:val="00552297"/>
    <w:rsid w:val="005522F5"/>
    <w:rsid w:val="00552308"/>
    <w:rsid w:val="005523DE"/>
    <w:rsid w:val="00552448"/>
    <w:rsid w:val="005524B9"/>
    <w:rsid w:val="005524BF"/>
    <w:rsid w:val="005524CF"/>
    <w:rsid w:val="005524DA"/>
    <w:rsid w:val="005524DB"/>
    <w:rsid w:val="005524FA"/>
    <w:rsid w:val="00552510"/>
    <w:rsid w:val="0055254D"/>
    <w:rsid w:val="00552558"/>
    <w:rsid w:val="0055259F"/>
    <w:rsid w:val="005525E6"/>
    <w:rsid w:val="00552606"/>
    <w:rsid w:val="005526B7"/>
    <w:rsid w:val="005526C9"/>
    <w:rsid w:val="00552746"/>
    <w:rsid w:val="00552887"/>
    <w:rsid w:val="00552935"/>
    <w:rsid w:val="00552978"/>
    <w:rsid w:val="0055297B"/>
    <w:rsid w:val="005529B1"/>
    <w:rsid w:val="005529C2"/>
    <w:rsid w:val="00552A05"/>
    <w:rsid w:val="00552A33"/>
    <w:rsid w:val="00552A3B"/>
    <w:rsid w:val="00552A5A"/>
    <w:rsid w:val="00552A7B"/>
    <w:rsid w:val="00552AB8"/>
    <w:rsid w:val="00552ABB"/>
    <w:rsid w:val="00552B42"/>
    <w:rsid w:val="00552B8C"/>
    <w:rsid w:val="00552C14"/>
    <w:rsid w:val="00552C22"/>
    <w:rsid w:val="00552C4D"/>
    <w:rsid w:val="00552C58"/>
    <w:rsid w:val="00552CAC"/>
    <w:rsid w:val="00552D36"/>
    <w:rsid w:val="00552D7A"/>
    <w:rsid w:val="00552D82"/>
    <w:rsid w:val="00552DC0"/>
    <w:rsid w:val="00552DCB"/>
    <w:rsid w:val="00552E33"/>
    <w:rsid w:val="00552EB6"/>
    <w:rsid w:val="00552F8E"/>
    <w:rsid w:val="00552F91"/>
    <w:rsid w:val="00552F9D"/>
    <w:rsid w:val="00553065"/>
    <w:rsid w:val="0055308F"/>
    <w:rsid w:val="00553120"/>
    <w:rsid w:val="00553123"/>
    <w:rsid w:val="00553135"/>
    <w:rsid w:val="00553165"/>
    <w:rsid w:val="0055317B"/>
    <w:rsid w:val="00553189"/>
    <w:rsid w:val="005531C8"/>
    <w:rsid w:val="00553268"/>
    <w:rsid w:val="005532A9"/>
    <w:rsid w:val="005532C1"/>
    <w:rsid w:val="005532FA"/>
    <w:rsid w:val="00553374"/>
    <w:rsid w:val="005533A3"/>
    <w:rsid w:val="0055349C"/>
    <w:rsid w:val="005534D6"/>
    <w:rsid w:val="005534DD"/>
    <w:rsid w:val="0055353B"/>
    <w:rsid w:val="00553630"/>
    <w:rsid w:val="005536A7"/>
    <w:rsid w:val="0055375F"/>
    <w:rsid w:val="0055377D"/>
    <w:rsid w:val="0055377E"/>
    <w:rsid w:val="0055379C"/>
    <w:rsid w:val="005537EA"/>
    <w:rsid w:val="0055380E"/>
    <w:rsid w:val="00553813"/>
    <w:rsid w:val="00553849"/>
    <w:rsid w:val="00553861"/>
    <w:rsid w:val="005538B1"/>
    <w:rsid w:val="005538C4"/>
    <w:rsid w:val="00553986"/>
    <w:rsid w:val="005539FE"/>
    <w:rsid w:val="00553A31"/>
    <w:rsid w:val="00553AA9"/>
    <w:rsid w:val="00553B52"/>
    <w:rsid w:val="00553B5A"/>
    <w:rsid w:val="00553B63"/>
    <w:rsid w:val="00553BAB"/>
    <w:rsid w:val="00553BFB"/>
    <w:rsid w:val="00553C38"/>
    <w:rsid w:val="00553C3A"/>
    <w:rsid w:val="00553CD9"/>
    <w:rsid w:val="00553CEC"/>
    <w:rsid w:val="00553D12"/>
    <w:rsid w:val="00553D2E"/>
    <w:rsid w:val="00553D8D"/>
    <w:rsid w:val="00553DA8"/>
    <w:rsid w:val="00553DE0"/>
    <w:rsid w:val="00553DE4"/>
    <w:rsid w:val="00553E82"/>
    <w:rsid w:val="00553F13"/>
    <w:rsid w:val="00553F82"/>
    <w:rsid w:val="00553FE6"/>
    <w:rsid w:val="00553FEE"/>
    <w:rsid w:val="00554069"/>
    <w:rsid w:val="0055406D"/>
    <w:rsid w:val="00554099"/>
    <w:rsid w:val="00554183"/>
    <w:rsid w:val="0055421E"/>
    <w:rsid w:val="0055429A"/>
    <w:rsid w:val="0055442A"/>
    <w:rsid w:val="005544E6"/>
    <w:rsid w:val="00554603"/>
    <w:rsid w:val="0055461F"/>
    <w:rsid w:val="005546A1"/>
    <w:rsid w:val="005546A5"/>
    <w:rsid w:val="00554743"/>
    <w:rsid w:val="00554780"/>
    <w:rsid w:val="005547DD"/>
    <w:rsid w:val="00554818"/>
    <w:rsid w:val="00554A41"/>
    <w:rsid w:val="00554A6F"/>
    <w:rsid w:val="00554A8B"/>
    <w:rsid w:val="00554B71"/>
    <w:rsid w:val="00554BC7"/>
    <w:rsid w:val="00554BD2"/>
    <w:rsid w:val="00554BE1"/>
    <w:rsid w:val="00554D18"/>
    <w:rsid w:val="00554D3A"/>
    <w:rsid w:val="00554D99"/>
    <w:rsid w:val="00554DA4"/>
    <w:rsid w:val="00554E1A"/>
    <w:rsid w:val="00554E3C"/>
    <w:rsid w:val="00554E8C"/>
    <w:rsid w:val="00554E94"/>
    <w:rsid w:val="00554F10"/>
    <w:rsid w:val="00554FF7"/>
    <w:rsid w:val="005550A4"/>
    <w:rsid w:val="0055517E"/>
    <w:rsid w:val="005551BF"/>
    <w:rsid w:val="005551DD"/>
    <w:rsid w:val="0055520A"/>
    <w:rsid w:val="0055527A"/>
    <w:rsid w:val="005552CD"/>
    <w:rsid w:val="005553D5"/>
    <w:rsid w:val="005553F1"/>
    <w:rsid w:val="00555424"/>
    <w:rsid w:val="005554B3"/>
    <w:rsid w:val="0055550A"/>
    <w:rsid w:val="005555DA"/>
    <w:rsid w:val="005555E7"/>
    <w:rsid w:val="00555620"/>
    <w:rsid w:val="0055563D"/>
    <w:rsid w:val="005556A5"/>
    <w:rsid w:val="005556AE"/>
    <w:rsid w:val="005556B3"/>
    <w:rsid w:val="005556DD"/>
    <w:rsid w:val="00555767"/>
    <w:rsid w:val="005557D6"/>
    <w:rsid w:val="00555870"/>
    <w:rsid w:val="0055589D"/>
    <w:rsid w:val="005558A1"/>
    <w:rsid w:val="00555968"/>
    <w:rsid w:val="00555969"/>
    <w:rsid w:val="00555A83"/>
    <w:rsid w:val="00555ADA"/>
    <w:rsid w:val="00555B49"/>
    <w:rsid w:val="00555B4B"/>
    <w:rsid w:val="00555C80"/>
    <w:rsid w:val="00555C87"/>
    <w:rsid w:val="00555CAF"/>
    <w:rsid w:val="00555DF4"/>
    <w:rsid w:val="00555E00"/>
    <w:rsid w:val="00555E12"/>
    <w:rsid w:val="00555E63"/>
    <w:rsid w:val="00555E7A"/>
    <w:rsid w:val="00555ED0"/>
    <w:rsid w:val="00555F13"/>
    <w:rsid w:val="00555F1D"/>
    <w:rsid w:val="00555F23"/>
    <w:rsid w:val="00555F52"/>
    <w:rsid w:val="00555F7A"/>
    <w:rsid w:val="00555FC8"/>
    <w:rsid w:val="0055604C"/>
    <w:rsid w:val="00556067"/>
    <w:rsid w:val="0055609C"/>
    <w:rsid w:val="00556119"/>
    <w:rsid w:val="0055614C"/>
    <w:rsid w:val="005561C1"/>
    <w:rsid w:val="00556244"/>
    <w:rsid w:val="00556252"/>
    <w:rsid w:val="0055630E"/>
    <w:rsid w:val="0055632A"/>
    <w:rsid w:val="0055636E"/>
    <w:rsid w:val="00556379"/>
    <w:rsid w:val="005563DC"/>
    <w:rsid w:val="00556442"/>
    <w:rsid w:val="005564CA"/>
    <w:rsid w:val="0055653C"/>
    <w:rsid w:val="005565C7"/>
    <w:rsid w:val="005565DA"/>
    <w:rsid w:val="005565EA"/>
    <w:rsid w:val="00556646"/>
    <w:rsid w:val="00556758"/>
    <w:rsid w:val="0055676F"/>
    <w:rsid w:val="005567F5"/>
    <w:rsid w:val="00556966"/>
    <w:rsid w:val="00556973"/>
    <w:rsid w:val="00556A38"/>
    <w:rsid w:val="00556B20"/>
    <w:rsid w:val="00556B91"/>
    <w:rsid w:val="00556C34"/>
    <w:rsid w:val="00556C94"/>
    <w:rsid w:val="00556CA7"/>
    <w:rsid w:val="00556CEC"/>
    <w:rsid w:val="00556D9C"/>
    <w:rsid w:val="00556F3B"/>
    <w:rsid w:val="00556F77"/>
    <w:rsid w:val="00556F83"/>
    <w:rsid w:val="00556FBB"/>
    <w:rsid w:val="00556FDE"/>
    <w:rsid w:val="00557001"/>
    <w:rsid w:val="005570A7"/>
    <w:rsid w:val="00557120"/>
    <w:rsid w:val="0055712C"/>
    <w:rsid w:val="005571D6"/>
    <w:rsid w:val="00557270"/>
    <w:rsid w:val="005572E0"/>
    <w:rsid w:val="005573C8"/>
    <w:rsid w:val="005573DA"/>
    <w:rsid w:val="0055741A"/>
    <w:rsid w:val="00557539"/>
    <w:rsid w:val="005575DA"/>
    <w:rsid w:val="00557635"/>
    <w:rsid w:val="0055767E"/>
    <w:rsid w:val="005576E5"/>
    <w:rsid w:val="00557720"/>
    <w:rsid w:val="005577A8"/>
    <w:rsid w:val="00557827"/>
    <w:rsid w:val="00557867"/>
    <w:rsid w:val="0055787A"/>
    <w:rsid w:val="005578EA"/>
    <w:rsid w:val="00557A20"/>
    <w:rsid w:val="00557A79"/>
    <w:rsid w:val="00557AC4"/>
    <w:rsid w:val="00557BE4"/>
    <w:rsid w:val="00557C22"/>
    <w:rsid w:val="00557CC5"/>
    <w:rsid w:val="00557D51"/>
    <w:rsid w:val="00557D9B"/>
    <w:rsid w:val="00557DAE"/>
    <w:rsid w:val="00557E7F"/>
    <w:rsid w:val="00557E82"/>
    <w:rsid w:val="00557EC7"/>
    <w:rsid w:val="00557F07"/>
    <w:rsid w:val="00557FCD"/>
    <w:rsid w:val="00557FED"/>
    <w:rsid w:val="0056005E"/>
    <w:rsid w:val="005601FE"/>
    <w:rsid w:val="00560219"/>
    <w:rsid w:val="00560249"/>
    <w:rsid w:val="0056024F"/>
    <w:rsid w:val="005602DC"/>
    <w:rsid w:val="005602F4"/>
    <w:rsid w:val="005602F5"/>
    <w:rsid w:val="0056039F"/>
    <w:rsid w:val="005603E8"/>
    <w:rsid w:val="00560416"/>
    <w:rsid w:val="0056044F"/>
    <w:rsid w:val="00560487"/>
    <w:rsid w:val="005604E2"/>
    <w:rsid w:val="005604F4"/>
    <w:rsid w:val="005605B3"/>
    <w:rsid w:val="005605BD"/>
    <w:rsid w:val="005606CB"/>
    <w:rsid w:val="005606EC"/>
    <w:rsid w:val="00560752"/>
    <w:rsid w:val="005607A2"/>
    <w:rsid w:val="005607D9"/>
    <w:rsid w:val="005607FD"/>
    <w:rsid w:val="005608CC"/>
    <w:rsid w:val="005608E2"/>
    <w:rsid w:val="005608F8"/>
    <w:rsid w:val="0056095A"/>
    <w:rsid w:val="005609BE"/>
    <w:rsid w:val="005609F4"/>
    <w:rsid w:val="00560B24"/>
    <w:rsid w:val="00560BCB"/>
    <w:rsid w:val="00560BE0"/>
    <w:rsid w:val="00560C09"/>
    <w:rsid w:val="00560CC9"/>
    <w:rsid w:val="00560E75"/>
    <w:rsid w:val="00560EAE"/>
    <w:rsid w:val="00560EC2"/>
    <w:rsid w:val="00560F4D"/>
    <w:rsid w:val="00560F64"/>
    <w:rsid w:val="005610B8"/>
    <w:rsid w:val="005610CB"/>
    <w:rsid w:val="005610D3"/>
    <w:rsid w:val="00561166"/>
    <w:rsid w:val="0056117A"/>
    <w:rsid w:val="005611BE"/>
    <w:rsid w:val="00561329"/>
    <w:rsid w:val="0056134D"/>
    <w:rsid w:val="005613C4"/>
    <w:rsid w:val="005613F9"/>
    <w:rsid w:val="00561412"/>
    <w:rsid w:val="00561419"/>
    <w:rsid w:val="0056144D"/>
    <w:rsid w:val="0056145D"/>
    <w:rsid w:val="0056149E"/>
    <w:rsid w:val="005614AD"/>
    <w:rsid w:val="005614DF"/>
    <w:rsid w:val="005614E6"/>
    <w:rsid w:val="0056156B"/>
    <w:rsid w:val="005615BE"/>
    <w:rsid w:val="005616AB"/>
    <w:rsid w:val="0056171A"/>
    <w:rsid w:val="005617A6"/>
    <w:rsid w:val="005617B3"/>
    <w:rsid w:val="005618CC"/>
    <w:rsid w:val="005618DF"/>
    <w:rsid w:val="00561966"/>
    <w:rsid w:val="00561A76"/>
    <w:rsid w:val="00561A7C"/>
    <w:rsid w:val="00561AD2"/>
    <w:rsid w:val="00561B2F"/>
    <w:rsid w:val="00561BB4"/>
    <w:rsid w:val="00561C28"/>
    <w:rsid w:val="00561D09"/>
    <w:rsid w:val="00561D0C"/>
    <w:rsid w:val="00561D6A"/>
    <w:rsid w:val="00561D91"/>
    <w:rsid w:val="00561D99"/>
    <w:rsid w:val="00561E4D"/>
    <w:rsid w:val="00561E7C"/>
    <w:rsid w:val="00561EC7"/>
    <w:rsid w:val="00561EF7"/>
    <w:rsid w:val="00561F87"/>
    <w:rsid w:val="00561FCC"/>
    <w:rsid w:val="00561FFE"/>
    <w:rsid w:val="00562083"/>
    <w:rsid w:val="0056213E"/>
    <w:rsid w:val="005621A8"/>
    <w:rsid w:val="00562202"/>
    <w:rsid w:val="005622DF"/>
    <w:rsid w:val="00562331"/>
    <w:rsid w:val="0056238B"/>
    <w:rsid w:val="005624C7"/>
    <w:rsid w:val="005625BD"/>
    <w:rsid w:val="005625C3"/>
    <w:rsid w:val="005625EB"/>
    <w:rsid w:val="00562623"/>
    <w:rsid w:val="0056262F"/>
    <w:rsid w:val="00562699"/>
    <w:rsid w:val="005626AC"/>
    <w:rsid w:val="005626B7"/>
    <w:rsid w:val="005626C2"/>
    <w:rsid w:val="005626F4"/>
    <w:rsid w:val="0056271E"/>
    <w:rsid w:val="00562746"/>
    <w:rsid w:val="00562769"/>
    <w:rsid w:val="0056284B"/>
    <w:rsid w:val="00562889"/>
    <w:rsid w:val="0056289C"/>
    <w:rsid w:val="00562969"/>
    <w:rsid w:val="00562A01"/>
    <w:rsid w:val="00562A0A"/>
    <w:rsid w:val="00562A4A"/>
    <w:rsid w:val="00562A98"/>
    <w:rsid w:val="00562AEB"/>
    <w:rsid w:val="00562C56"/>
    <w:rsid w:val="00562C63"/>
    <w:rsid w:val="00562D24"/>
    <w:rsid w:val="00562E38"/>
    <w:rsid w:val="00562EEF"/>
    <w:rsid w:val="00562FBD"/>
    <w:rsid w:val="00562FDD"/>
    <w:rsid w:val="00563033"/>
    <w:rsid w:val="00563049"/>
    <w:rsid w:val="005632AE"/>
    <w:rsid w:val="005632CB"/>
    <w:rsid w:val="005632E1"/>
    <w:rsid w:val="0056330E"/>
    <w:rsid w:val="005633E2"/>
    <w:rsid w:val="00563415"/>
    <w:rsid w:val="00563472"/>
    <w:rsid w:val="00563489"/>
    <w:rsid w:val="00563496"/>
    <w:rsid w:val="00563560"/>
    <w:rsid w:val="005635CF"/>
    <w:rsid w:val="0056361A"/>
    <w:rsid w:val="0056368D"/>
    <w:rsid w:val="00563695"/>
    <w:rsid w:val="0056371B"/>
    <w:rsid w:val="0056392A"/>
    <w:rsid w:val="00563939"/>
    <w:rsid w:val="00563A37"/>
    <w:rsid w:val="00563A94"/>
    <w:rsid w:val="00563B17"/>
    <w:rsid w:val="00563B63"/>
    <w:rsid w:val="00563BBC"/>
    <w:rsid w:val="00563BDF"/>
    <w:rsid w:val="00563BFF"/>
    <w:rsid w:val="00563C58"/>
    <w:rsid w:val="00563CC8"/>
    <w:rsid w:val="00563EF8"/>
    <w:rsid w:val="00563F5D"/>
    <w:rsid w:val="00563FE4"/>
    <w:rsid w:val="005640F4"/>
    <w:rsid w:val="005640FC"/>
    <w:rsid w:val="0056416B"/>
    <w:rsid w:val="0056417C"/>
    <w:rsid w:val="00564452"/>
    <w:rsid w:val="005645D3"/>
    <w:rsid w:val="00564609"/>
    <w:rsid w:val="0056460B"/>
    <w:rsid w:val="00564614"/>
    <w:rsid w:val="005646F8"/>
    <w:rsid w:val="00564739"/>
    <w:rsid w:val="0056474E"/>
    <w:rsid w:val="0056474F"/>
    <w:rsid w:val="005647BA"/>
    <w:rsid w:val="005647C7"/>
    <w:rsid w:val="00564816"/>
    <w:rsid w:val="00564836"/>
    <w:rsid w:val="0056483B"/>
    <w:rsid w:val="005649D2"/>
    <w:rsid w:val="00564A13"/>
    <w:rsid w:val="00564A79"/>
    <w:rsid w:val="00564B48"/>
    <w:rsid w:val="00564B4C"/>
    <w:rsid w:val="00564B6A"/>
    <w:rsid w:val="00564D7A"/>
    <w:rsid w:val="00564DCC"/>
    <w:rsid w:val="00564DEF"/>
    <w:rsid w:val="00564E56"/>
    <w:rsid w:val="00564F26"/>
    <w:rsid w:val="00564F47"/>
    <w:rsid w:val="00564F5B"/>
    <w:rsid w:val="00564F65"/>
    <w:rsid w:val="00565018"/>
    <w:rsid w:val="0056502A"/>
    <w:rsid w:val="00565063"/>
    <w:rsid w:val="005650FC"/>
    <w:rsid w:val="00565108"/>
    <w:rsid w:val="0056512E"/>
    <w:rsid w:val="00565158"/>
    <w:rsid w:val="0056517E"/>
    <w:rsid w:val="005651EC"/>
    <w:rsid w:val="0056537A"/>
    <w:rsid w:val="0056544A"/>
    <w:rsid w:val="00565586"/>
    <w:rsid w:val="005655A9"/>
    <w:rsid w:val="00565613"/>
    <w:rsid w:val="0056561A"/>
    <w:rsid w:val="00565677"/>
    <w:rsid w:val="00565698"/>
    <w:rsid w:val="005657B7"/>
    <w:rsid w:val="005657DC"/>
    <w:rsid w:val="005657F9"/>
    <w:rsid w:val="00565824"/>
    <w:rsid w:val="0056586D"/>
    <w:rsid w:val="0056587A"/>
    <w:rsid w:val="00565960"/>
    <w:rsid w:val="005659F2"/>
    <w:rsid w:val="00565B18"/>
    <w:rsid w:val="00565B64"/>
    <w:rsid w:val="00565B7A"/>
    <w:rsid w:val="00565BFA"/>
    <w:rsid w:val="00565C1B"/>
    <w:rsid w:val="00565CF3"/>
    <w:rsid w:val="00565D45"/>
    <w:rsid w:val="00565DFC"/>
    <w:rsid w:val="00565E53"/>
    <w:rsid w:val="00565E70"/>
    <w:rsid w:val="00565EF1"/>
    <w:rsid w:val="00565F08"/>
    <w:rsid w:val="00566049"/>
    <w:rsid w:val="00566153"/>
    <w:rsid w:val="0056616E"/>
    <w:rsid w:val="00566246"/>
    <w:rsid w:val="005662D6"/>
    <w:rsid w:val="00566339"/>
    <w:rsid w:val="005663BF"/>
    <w:rsid w:val="005663C3"/>
    <w:rsid w:val="0056641C"/>
    <w:rsid w:val="0056656B"/>
    <w:rsid w:val="00566584"/>
    <w:rsid w:val="00566661"/>
    <w:rsid w:val="005666B6"/>
    <w:rsid w:val="005667FB"/>
    <w:rsid w:val="005668F1"/>
    <w:rsid w:val="005669E7"/>
    <w:rsid w:val="00566A3E"/>
    <w:rsid w:val="00566A5A"/>
    <w:rsid w:val="00566A68"/>
    <w:rsid w:val="00566A7B"/>
    <w:rsid w:val="00566B25"/>
    <w:rsid w:val="00566B7A"/>
    <w:rsid w:val="00566B90"/>
    <w:rsid w:val="00566BE5"/>
    <w:rsid w:val="00566C17"/>
    <w:rsid w:val="00566C31"/>
    <w:rsid w:val="00566C5D"/>
    <w:rsid w:val="00566CB5"/>
    <w:rsid w:val="00566CC7"/>
    <w:rsid w:val="00566DBB"/>
    <w:rsid w:val="00566EEA"/>
    <w:rsid w:val="00566F1D"/>
    <w:rsid w:val="00566F42"/>
    <w:rsid w:val="0056705E"/>
    <w:rsid w:val="00567065"/>
    <w:rsid w:val="0056710D"/>
    <w:rsid w:val="005671CF"/>
    <w:rsid w:val="005671D6"/>
    <w:rsid w:val="00567276"/>
    <w:rsid w:val="005673F3"/>
    <w:rsid w:val="00567484"/>
    <w:rsid w:val="0056749B"/>
    <w:rsid w:val="005674AF"/>
    <w:rsid w:val="005675B6"/>
    <w:rsid w:val="00567628"/>
    <w:rsid w:val="00567708"/>
    <w:rsid w:val="00567725"/>
    <w:rsid w:val="00567748"/>
    <w:rsid w:val="00567749"/>
    <w:rsid w:val="005678A3"/>
    <w:rsid w:val="005678BA"/>
    <w:rsid w:val="00567923"/>
    <w:rsid w:val="00567932"/>
    <w:rsid w:val="005679AC"/>
    <w:rsid w:val="005679CF"/>
    <w:rsid w:val="00567A2D"/>
    <w:rsid w:val="00567A64"/>
    <w:rsid w:val="00567B0C"/>
    <w:rsid w:val="00567BB9"/>
    <w:rsid w:val="00567C01"/>
    <w:rsid w:val="00567C4F"/>
    <w:rsid w:val="00567C69"/>
    <w:rsid w:val="00567CC8"/>
    <w:rsid w:val="00567CCC"/>
    <w:rsid w:val="00567CFD"/>
    <w:rsid w:val="00567DBC"/>
    <w:rsid w:val="00567DD5"/>
    <w:rsid w:val="00567DE8"/>
    <w:rsid w:val="00567E41"/>
    <w:rsid w:val="00567EB9"/>
    <w:rsid w:val="00567ED2"/>
    <w:rsid w:val="00567EDA"/>
    <w:rsid w:val="00567F07"/>
    <w:rsid w:val="00567FC1"/>
    <w:rsid w:val="00567FCE"/>
    <w:rsid w:val="00567FD4"/>
    <w:rsid w:val="0057009B"/>
    <w:rsid w:val="00570136"/>
    <w:rsid w:val="005701DD"/>
    <w:rsid w:val="005701EB"/>
    <w:rsid w:val="0057021D"/>
    <w:rsid w:val="0057022A"/>
    <w:rsid w:val="00570244"/>
    <w:rsid w:val="0057033D"/>
    <w:rsid w:val="0057035A"/>
    <w:rsid w:val="00570390"/>
    <w:rsid w:val="005703AF"/>
    <w:rsid w:val="005703CD"/>
    <w:rsid w:val="00570446"/>
    <w:rsid w:val="0057046D"/>
    <w:rsid w:val="005704D8"/>
    <w:rsid w:val="00570579"/>
    <w:rsid w:val="005705B5"/>
    <w:rsid w:val="005705C9"/>
    <w:rsid w:val="0057061D"/>
    <w:rsid w:val="0057061F"/>
    <w:rsid w:val="005706AF"/>
    <w:rsid w:val="00570704"/>
    <w:rsid w:val="0057073C"/>
    <w:rsid w:val="00570801"/>
    <w:rsid w:val="00570824"/>
    <w:rsid w:val="00570951"/>
    <w:rsid w:val="005709FA"/>
    <w:rsid w:val="00570B2E"/>
    <w:rsid w:val="00570B6F"/>
    <w:rsid w:val="00570C3D"/>
    <w:rsid w:val="00570D20"/>
    <w:rsid w:val="00570DFF"/>
    <w:rsid w:val="00570F0E"/>
    <w:rsid w:val="00570F72"/>
    <w:rsid w:val="00570F7C"/>
    <w:rsid w:val="00570FCA"/>
    <w:rsid w:val="00570FDD"/>
    <w:rsid w:val="00571041"/>
    <w:rsid w:val="00571093"/>
    <w:rsid w:val="00571163"/>
    <w:rsid w:val="0057117E"/>
    <w:rsid w:val="0057124E"/>
    <w:rsid w:val="00571259"/>
    <w:rsid w:val="0057125E"/>
    <w:rsid w:val="0057130C"/>
    <w:rsid w:val="00571310"/>
    <w:rsid w:val="00571333"/>
    <w:rsid w:val="00571344"/>
    <w:rsid w:val="0057139E"/>
    <w:rsid w:val="0057149F"/>
    <w:rsid w:val="00571554"/>
    <w:rsid w:val="005715C6"/>
    <w:rsid w:val="005716A2"/>
    <w:rsid w:val="005716ED"/>
    <w:rsid w:val="005717B8"/>
    <w:rsid w:val="00571857"/>
    <w:rsid w:val="00571880"/>
    <w:rsid w:val="00571885"/>
    <w:rsid w:val="005718C3"/>
    <w:rsid w:val="005718C8"/>
    <w:rsid w:val="005718CA"/>
    <w:rsid w:val="005719B4"/>
    <w:rsid w:val="00571A11"/>
    <w:rsid w:val="00571BA6"/>
    <w:rsid w:val="00571D06"/>
    <w:rsid w:val="00571D0C"/>
    <w:rsid w:val="00571D1B"/>
    <w:rsid w:val="00571DBB"/>
    <w:rsid w:val="00571DC9"/>
    <w:rsid w:val="00571DDF"/>
    <w:rsid w:val="00571E84"/>
    <w:rsid w:val="00571EC9"/>
    <w:rsid w:val="00571EF9"/>
    <w:rsid w:val="00571F26"/>
    <w:rsid w:val="00572073"/>
    <w:rsid w:val="00572080"/>
    <w:rsid w:val="0057215E"/>
    <w:rsid w:val="00572179"/>
    <w:rsid w:val="0057223A"/>
    <w:rsid w:val="005722D1"/>
    <w:rsid w:val="005722FF"/>
    <w:rsid w:val="0057231A"/>
    <w:rsid w:val="0057235F"/>
    <w:rsid w:val="00572379"/>
    <w:rsid w:val="0057237C"/>
    <w:rsid w:val="00572478"/>
    <w:rsid w:val="005724BA"/>
    <w:rsid w:val="005724F5"/>
    <w:rsid w:val="00572543"/>
    <w:rsid w:val="005725F5"/>
    <w:rsid w:val="00572622"/>
    <w:rsid w:val="0057262D"/>
    <w:rsid w:val="00572666"/>
    <w:rsid w:val="005726B3"/>
    <w:rsid w:val="005726EA"/>
    <w:rsid w:val="005726EF"/>
    <w:rsid w:val="0057271A"/>
    <w:rsid w:val="0057273D"/>
    <w:rsid w:val="00572765"/>
    <w:rsid w:val="005727AE"/>
    <w:rsid w:val="00572803"/>
    <w:rsid w:val="00572808"/>
    <w:rsid w:val="0057280E"/>
    <w:rsid w:val="00572814"/>
    <w:rsid w:val="0057286C"/>
    <w:rsid w:val="00572932"/>
    <w:rsid w:val="00572949"/>
    <w:rsid w:val="005729EC"/>
    <w:rsid w:val="00572A19"/>
    <w:rsid w:val="00572A9B"/>
    <w:rsid w:val="00572AB6"/>
    <w:rsid w:val="00572AFC"/>
    <w:rsid w:val="00572B1B"/>
    <w:rsid w:val="00572B3C"/>
    <w:rsid w:val="00572CB1"/>
    <w:rsid w:val="00572D58"/>
    <w:rsid w:val="00572E05"/>
    <w:rsid w:val="00572E0D"/>
    <w:rsid w:val="00572E91"/>
    <w:rsid w:val="00572EAF"/>
    <w:rsid w:val="00572EF0"/>
    <w:rsid w:val="00572F00"/>
    <w:rsid w:val="00572F0D"/>
    <w:rsid w:val="00572FD1"/>
    <w:rsid w:val="00573038"/>
    <w:rsid w:val="00573130"/>
    <w:rsid w:val="005731CF"/>
    <w:rsid w:val="005732BC"/>
    <w:rsid w:val="00573321"/>
    <w:rsid w:val="00573333"/>
    <w:rsid w:val="00573344"/>
    <w:rsid w:val="00573356"/>
    <w:rsid w:val="00573365"/>
    <w:rsid w:val="005733E8"/>
    <w:rsid w:val="00573405"/>
    <w:rsid w:val="00573442"/>
    <w:rsid w:val="00573446"/>
    <w:rsid w:val="0057344F"/>
    <w:rsid w:val="0057345B"/>
    <w:rsid w:val="00573468"/>
    <w:rsid w:val="00573503"/>
    <w:rsid w:val="0057360E"/>
    <w:rsid w:val="00573654"/>
    <w:rsid w:val="00573655"/>
    <w:rsid w:val="005736B1"/>
    <w:rsid w:val="005736B5"/>
    <w:rsid w:val="00573743"/>
    <w:rsid w:val="00573796"/>
    <w:rsid w:val="0057379C"/>
    <w:rsid w:val="005737BE"/>
    <w:rsid w:val="005738CB"/>
    <w:rsid w:val="005738CE"/>
    <w:rsid w:val="005738F9"/>
    <w:rsid w:val="005739AC"/>
    <w:rsid w:val="00573A06"/>
    <w:rsid w:val="00573A5A"/>
    <w:rsid w:val="00573A7C"/>
    <w:rsid w:val="00573A97"/>
    <w:rsid w:val="00573B18"/>
    <w:rsid w:val="00573B30"/>
    <w:rsid w:val="00573B37"/>
    <w:rsid w:val="00573BE7"/>
    <w:rsid w:val="00573C17"/>
    <w:rsid w:val="00573C44"/>
    <w:rsid w:val="00573CDF"/>
    <w:rsid w:val="00573D4D"/>
    <w:rsid w:val="00573D93"/>
    <w:rsid w:val="00573DA7"/>
    <w:rsid w:val="00573E1C"/>
    <w:rsid w:val="00573E57"/>
    <w:rsid w:val="00573EE7"/>
    <w:rsid w:val="00573FA2"/>
    <w:rsid w:val="00573FC2"/>
    <w:rsid w:val="0057404D"/>
    <w:rsid w:val="005740AF"/>
    <w:rsid w:val="005740BF"/>
    <w:rsid w:val="005740D2"/>
    <w:rsid w:val="005740D4"/>
    <w:rsid w:val="00574146"/>
    <w:rsid w:val="00574151"/>
    <w:rsid w:val="00574209"/>
    <w:rsid w:val="0057420A"/>
    <w:rsid w:val="0057430B"/>
    <w:rsid w:val="00574409"/>
    <w:rsid w:val="0057444E"/>
    <w:rsid w:val="0057456A"/>
    <w:rsid w:val="0057458E"/>
    <w:rsid w:val="00574636"/>
    <w:rsid w:val="00574656"/>
    <w:rsid w:val="0057470B"/>
    <w:rsid w:val="005747CC"/>
    <w:rsid w:val="005748B9"/>
    <w:rsid w:val="005748DB"/>
    <w:rsid w:val="005748E3"/>
    <w:rsid w:val="0057490D"/>
    <w:rsid w:val="00574931"/>
    <w:rsid w:val="0057496A"/>
    <w:rsid w:val="005749CE"/>
    <w:rsid w:val="00574A81"/>
    <w:rsid w:val="00574ACA"/>
    <w:rsid w:val="00574B63"/>
    <w:rsid w:val="00574B74"/>
    <w:rsid w:val="00574BBB"/>
    <w:rsid w:val="00574C19"/>
    <w:rsid w:val="00574C56"/>
    <w:rsid w:val="00574C58"/>
    <w:rsid w:val="00574CF2"/>
    <w:rsid w:val="00574D2D"/>
    <w:rsid w:val="00574D6D"/>
    <w:rsid w:val="00574D75"/>
    <w:rsid w:val="00574D96"/>
    <w:rsid w:val="00574E35"/>
    <w:rsid w:val="00574F13"/>
    <w:rsid w:val="00574F33"/>
    <w:rsid w:val="00574F75"/>
    <w:rsid w:val="00574FE2"/>
    <w:rsid w:val="0057509A"/>
    <w:rsid w:val="00575110"/>
    <w:rsid w:val="00575117"/>
    <w:rsid w:val="0057511B"/>
    <w:rsid w:val="00575173"/>
    <w:rsid w:val="005751ED"/>
    <w:rsid w:val="00575231"/>
    <w:rsid w:val="005752EB"/>
    <w:rsid w:val="005752FC"/>
    <w:rsid w:val="00575308"/>
    <w:rsid w:val="00575389"/>
    <w:rsid w:val="005753A9"/>
    <w:rsid w:val="00575488"/>
    <w:rsid w:val="005755C8"/>
    <w:rsid w:val="005755CF"/>
    <w:rsid w:val="005755D3"/>
    <w:rsid w:val="00575679"/>
    <w:rsid w:val="005756F7"/>
    <w:rsid w:val="005757EB"/>
    <w:rsid w:val="005758C6"/>
    <w:rsid w:val="0057590E"/>
    <w:rsid w:val="00575998"/>
    <w:rsid w:val="005759A5"/>
    <w:rsid w:val="00575A28"/>
    <w:rsid w:val="00575A7D"/>
    <w:rsid w:val="00575B3E"/>
    <w:rsid w:val="00575B9D"/>
    <w:rsid w:val="00575BD4"/>
    <w:rsid w:val="00575BEB"/>
    <w:rsid w:val="00575C38"/>
    <w:rsid w:val="00575C80"/>
    <w:rsid w:val="00575CA9"/>
    <w:rsid w:val="00576093"/>
    <w:rsid w:val="005761B4"/>
    <w:rsid w:val="005761BC"/>
    <w:rsid w:val="005761BF"/>
    <w:rsid w:val="00576231"/>
    <w:rsid w:val="0057627D"/>
    <w:rsid w:val="00576397"/>
    <w:rsid w:val="005763A4"/>
    <w:rsid w:val="0057642A"/>
    <w:rsid w:val="0057645B"/>
    <w:rsid w:val="0057645E"/>
    <w:rsid w:val="00576507"/>
    <w:rsid w:val="00576573"/>
    <w:rsid w:val="00576635"/>
    <w:rsid w:val="005766BC"/>
    <w:rsid w:val="005767FD"/>
    <w:rsid w:val="0057689F"/>
    <w:rsid w:val="005768C9"/>
    <w:rsid w:val="0057693B"/>
    <w:rsid w:val="00576958"/>
    <w:rsid w:val="005769C9"/>
    <w:rsid w:val="005769F4"/>
    <w:rsid w:val="005769F9"/>
    <w:rsid w:val="00576A8B"/>
    <w:rsid w:val="00576AD6"/>
    <w:rsid w:val="00576AEA"/>
    <w:rsid w:val="00576BAD"/>
    <w:rsid w:val="00576BCA"/>
    <w:rsid w:val="00576BF8"/>
    <w:rsid w:val="00576C03"/>
    <w:rsid w:val="00576D13"/>
    <w:rsid w:val="00576D21"/>
    <w:rsid w:val="00576D8E"/>
    <w:rsid w:val="00576D9E"/>
    <w:rsid w:val="00576E02"/>
    <w:rsid w:val="00576EA1"/>
    <w:rsid w:val="00576ED9"/>
    <w:rsid w:val="00576FAE"/>
    <w:rsid w:val="00576FD2"/>
    <w:rsid w:val="00576FE8"/>
    <w:rsid w:val="005770E5"/>
    <w:rsid w:val="00577171"/>
    <w:rsid w:val="005771BD"/>
    <w:rsid w:val="00577213"/>
    <w:rsid w:val="0057728D"/>
    <w:rsid w:val="00577302"/>
    <w:rsid w:val="00577306"/>
    <w:rsid w:val="00577333"/>
    <w:rsid w:val="005773D0"/>
    <w:rsid w:val="005773F7"/>
    <w:rsid w:val="0057740A"/>
    <w:rsid w:val="00577464"/>
    <w:rsid w:val="005774C8"/>
    <w:rsid w:val="0057752C"/>
    <w:rsid w:val="00577658"/>
    <w:rsid w:val="0057773C"/>
    <w:rsid w:val="0057774C"/>
    <w:rsid w:val="0057779D"/>
    <w:rsid w:val="00577856"/>
    <w:rsid w:val="00577909"/>
    <w:rsid w:val="0057797D"/>
    <w:rsid w:val="00577989"/>
    <w:rsid w:val="0057799D"/>
    <w:rsid w:val="00577B03"/>
    <w:rsid w:val="00577B3E"/>
    <w:rsid w:val="00577B4E"/>
    <w:rsid w:val="00577BCB"/>
    <w:rsid w:val="00577C0D"/>
    <w:rsid w:val="00577D1C"/>
    <w:rsid w:val="00577D45"/>
    <w:rsid w:val="00577D90"/>
    <w:rsid w:val="00577DC4"/>
    <w:rsid w:val="00577E72"/>
    <w:rsid w:val="00577E82"/>
    <w:rsid w:val="00577E84"/>
    <w:rsid w:val="00577EC2"/>
    <w:rsid w:val="00577ED0"/>
    <w:rsid w:val="00577FCE"/>
    <w:rsid w:val="00580089"/>
    <w:rsid w:val="005800AE"/>
    <w:rsid w:val="005800E8"/>
    <w:rsid w:val="005801DF"/>
    <w:rsid w:val="00580202"/>
    <w:rsid w:val="00580217"/>
    <w:rsid w:val="005802F0"/>
    <w:rsid w:val="005802F6"/>
    <w:rsid w:val="00580301"/>
    <w:rsid w:val="0058031B"/>
    <w:rsid w:val="005803F9"/>
    <w:rsid w:val="005804D4"/>
    <w:rsid w:val="0058053D"/>
    <w:rsid w:val="005805B1"/>
    <w:rsid w:val="0058061E"/>
    <w:rsid w:val="00580661"/>
    <w:rsid w:val="0058070B"/>
    <w:rsid w:val="0058070C"/>
    <w:rsid w:val="00580820"/>
    <w:rsid w:val="0058084A"/>
    <w:rsid w:val="005808E8"/>
    <w:rsid w:val="0058090C"/>
    <w:rsid w:val="00580A2A"/>
    <w:rsid w:val="00580A40"/>
    <w:rsid w:val="00580AB3"/>
    <w:rsid w:val="00580ACC"/>
    <w:rsid w:val="00580AD9"/>
    <w:rsid w:val="00580B62"/>
    <w:rsid w:val="00580CB7"/>
    <w:rsid w:val="00580CD8"/>
    <w:rsid w:val="00580D5D"/>
    <w:rsid w:val="00580D8C"/>
    <w:rsid w:val="00580E0A"/>
    <w:rsid w:val="00580F16"/>
    <w:rsid w:val="00581023"/>
    <w:rsid w:val="005810F5"/>
    <w:rsid w:val="005810F6"/>
    <w:rsid w:val="00581140"/>
    <w:rsid w:val="00581191"/>
    <w:rsid w:val="005811C4"/>
    <w:rsid w:val="00581201"/>
    <w:rsid w:val="005812A0"/>
    <w:rsid w:val="005813E2"/>
    <w:rsid w:val="005813EB"/>
    <w:rsid w:val="00581471"/>
    <w:rsid w:val="005814F2"/>
    <w:rsid w:val="00581547"/>
    <w:rsid w:val="005815A9"/>
    <w:rsid w:val="005815EF"/>
    <w:rsid w:val="00581608"/>
    <w:rsid w:val="00581660"/>
    <w:rsid w:val="0058169C"/>
    <w:rsid w:val="005816E0"/>
    <w:rsid w:val="00581718"/>
    <w:rsid w:val="0058177E"/>
    <w:rsid w:val="0058182E"/>
    <w:rsid w:val="00581841"/>
    <w:rsid w:val="0058184D"/>
    <w:rsid w:val="00581886"/>
    <w:rsid w:val="005818C0"/>
    <w:rsid w:val="0058190D"/>
    <w:rsid w:val="005819CD"/>
    <w:rsid w:val="005819DC"/>
    <w:rsid w:val="00581A09"/>
    <w:rsid w:val="00581A10"/>
    <w:rsid w:val="00581A6F"/>
    <w:rsid w:val="00581AF6"/>
    <w:rsid w:val="00581B53"/>
    <w:rsid w:val="00581B55"/>
    <w:rsid w:val="00581C05"/>
    <w:rsid w:val="00581C35"/>
    <w:rsid w:val="00581C6C"/>
    <w:rsid w:val="00581D8A"/>
    <w:rsid w:val="00581DAD"/>
    <w:rsid w:val="00581E17"/>
    <w:rsid w:val="00581E1E"/>
    <w:rsid w:val="00581E69"/>
    <w:rsid w:val="00581E89"/>
    <w:rsid w:val="00581EA2"/>
    <w:rsid w:val="00581ECD"/>
    <w:rsid w:val="00581F92"/>
    <w:rsid w:val="00582043"/>
    <w:rsid w:val="0058209D"/>
    <w:rsid w:val="005820B7"/>
    <w:rsid w:val="00582233"/>
    <w:rsid w:val="005822A5"/>
    <w:rsid w:val="00582334"/>
    <w:rsid w:val="00582367"/>
    <w:rsid w:val="00582377"/>
    <w:rsid w:val="0058240D"/>
    <w:rsid w:val="00582413"/>
    <w:rsid w:val="005824E5"/>
    <w:rsid w:val="005824F2"/>
    <w:rsid w:val="00582502"/>
    <w:rsid w:val="005825C3"/>
    <w:rsid w:val="0058263B"/>
    <w:rsid w:val="00582658"/>
    <w:rsid w:val="0058275B"/>
    <w:rsid w:val="00582781"/>
    <w:rsid w:val="00582838"/>
    <w:rsid w:val="00582839"/>
    <w:rsid w:val="0058283C"/>
    <w:rsid w:val="00582868"/>
    <w:rsid w:val="00582922"/>
    <w:rsid w:val="0058298D"/>
    <w:rsid w:val="0058299E"/>
    <w:rsid w:val="005829BC"/>
    <w:rsid w:val="00582A25"/>
    <w:rsid w:val="00582A70"/>
    <w:rsid w:val="00582AE2"/>
    <w:rsid w:val="00582AEF"/>
    <w:rsid w:val="00582AFD"/>
    <w:rsid w:val="00582BD3"/>
    <w:rsid w:val="00582C00"/>
    <w:rsid w:val="00582C1A"/>
    <w:rsid w:val="00582C6D"/>
    <w:rsid w:val="00582D5F"/>
    <w:rsid w:val="00582DAB"/>
    <w:rsid w:val="00582DCA"/>
    <w:rsid w:val="00582E1E"/>
    <w:rsid w:val="00582E4D"/>
    <w:rsid w:val="00582EAA"/>
    <w:rsid w:val="00582F2D"/>
    <w:rsid w:val="00582F8B"/>
    <w:rsid w:val="00582FC2"/>
    <w:rsid w:val="00582FCF"/>
    <w:rsid w:val="00582FE6"/>
    <w:rsid w:val="00583092"/>
    <w:rsid w:val="005830A8"/>
    <w:rsid w:val="005830BB"/>
    <w:rsid w:val="005830BE"/>
    <w:rsid w:val="005830D2"/>
    <w:rsid w:val="005830ED"/>
    <w:rsid w:val="005831A8"/>
    <w:rsid w:val="005831FD"/>
    <w:rsid w:val="00583244"/>
    <w:rsid w:val="00583309"/>
    <w:rsid w:val="00583355"/>
    <w:rsid w:val="005833D5"/>
    <w:rsid w:val="005834DF"/>
    <w:rsid w:val="0058356E"/>
    <w:rsid w:val="005835B0"/>
    <w:rsid w:val="0058366B"/>
    <w:rsid w:val="00583675"/>
    <w:rsid w:val="0058368C"/>
    <w:rsid w:val="0058369F"/>
    <w:rsid w:val="005836D3"/>
    <w:rsid w:val="00583715"/>
    <w:rsid w:val="00583735"/>
    <w:rsid w:val="0058378B"/>
    <w:rsid w:val="005837D3"/>
    <w:rsid w:val="005837DC"/>
    <w:rsid w:val="005837F5"/>
    <w:rsid w:val="00583851"/>
    <w:rsid w:val="005838BB"/>
    <w:rsid w:val="005839F0"/>
    <w:rsid w:val="00583A87"/>
    <w:rsid w:val="00583AF8"/>
    <w:rsid w:val="00583C32"/>
    <w:rsid w:val="00583C81"/>
    <w:rsid w:val="00583C85"/>
    <w:rsid w:val="00583C8A"/>
    <w:rsid w:val="00583DB9"/>
    <w:rsid w:val="00583DC9"/>
    <w:rsid w:val="00583DD8"/>
    <w:rsid w:val="00583E12"/>
    <w:rsid w:val="00583EB7"/>
    <w:rsid w:val="00583F15"/>
    <w:rsid w:val="00584010"/>
    <w:rsid w:val="005840A1"/>
    <w:rsid w:val="005840EA"/>
    <w:rsid w:val="0058416B"/>
    <w:rsid w:val="005841A0"/>
    <w:rsid w:val="0058421A"/>
    <w:rsid w:val="00584245"/>
    <w:rsid w:val="005842A2"/>
    <w:rsid w:val="005842C5"/>
    <w:rsid w:val="005842DA"/>
    <w:rsid w:val="00584313"/>
    <w:rsid w:val="0058439F"/>
    <w:rsid w:val="005843AB"/>
    <w:rsid w:val="005843B7"/>
    <w:rsid w:val="005843D9"/>
    <w:rsid w:val="00584455"/>
    <w:rsid w:val="005845DA"/>
    <w:rsid w:val="005845F1"/>
    <w:rsid w:val="0058464F"/>
    <w:rsid w:val="00584696"/>
    <w:rsid w:val="005846A0"/>
    <w:rsid w:val="005846BF"/>
    <w:rsid w:val="0058472F"/>
    <w:rsid w:val="005847BE"/>
    <w:rsid w:val="005847C2"/>
    <w:rsid w:val="005847D7"/>
    <w:rsid w:val="0058482E"/>
    <w:rsid w:val="00584865"/>
    <w:rsid w:val="00584A27"/>
    <w:rsid w:val="00584A43"/>
    <w:rsid w:val="00584ADD"/>
    <w:rsid w:val="00584B3B"/>
    <w:rsid w:val="00584B52"/>
    <w:rsid w:val="00584BF3"/>
    <w:rsid w:val="00584C09"/>
    <w:rsid w:val="00584CA2"/>
    <w:rsid w:val="00584CD0"/>
    <w:rsid w:val="00584D90"/>
    <w:rsid w:val="00584E87"/>
    <w:rsid w:val="00584E9D"/>
    <w:rsid w:val="00584EC6"/>
    <w:rsid w:val="00584EDB"/>
    <w:rsid w:val="00584F52"/>
    <w:rsid w:val="00584FA6"/>
    <w:rsid w:val="00584FBC"/>
    <w:rsid w:val="00584FC7"/>
    <w:rsid w:val="0058503E"/>
    <w:rsid w:val="0058504A"/>
    <w:rsid w:val="0058506D"/>
    <w:rsid w:val="0058510C"/>
    <w:rsid w:val="0058516C"/>
    <w:rsid w:val="00585172"/>
    <w:rsid w:val="00585191"/>
    <w:rsid w:val="005851F3"/>
    <w:rsid w:val="005851F7"/>
    <w:rsid w:val="005851FF"/>
    <w:rsid w:val="00585206"/>
    <w:rsid w:val="00585223"/>
    <w:rsid w:val="005852B4"/>
    <w:rsid w:val="0058535A"/>
    <w:rsid w:val="005853E8"/>
    <w:rsid w:val="00585405"/>
    <w:rsid w:val="0058542D"/>
    <w:rsid w:val="0058546B"/>
    <w:rsid w:val="00585520"/>
    <w:rsid w:val="0058558A"/>
    <w:rsid w:val="0058558F"/>
    <w:rsid w:val="00585668"/>
    <w:rsid w:val="0058567D"/>
    <w:rsid w:val="00585722"/>
    <w:rsid w:val="00585854"/>
    <w:rsid w:val="00585898"/>
    <w:rsid w:val="00585956"/>
    <w:rsid w:val="00585971"/>
    <w:rsid w:val="005859CA"/>
    <w:rsid w:val="00585A35"/>
    <w:rsid w:val="00585A58"/>
    <w:rsid w:val="00585AB3"/>
    <w:rsid w:val="00585AE9"/>
    <w:rsid w:val="00585AFF"/>
    <w:rsid w:val="00585B00"/>
    <w:rsid w:val="00585B13"/>
    <w:rsid w:val="00585B85"/>
    <w:rsid w:val="00585C8A"/>
    <w:rsid w:val="00585CEF"/>
    <w:rsid w:val="00585D39"/>
    <w:rsid w:val="00585E94"/>
    <w:rsid w:val="00585EB1"/>
    <w:rsid w:val="00585F2A"/>
    <w:rsid w:val="00585F40"/>
    <w:rsid w:val="00585F54"/>
    <w:rsid w:val="00586037"/>
    <w:rsid w:val="005860A3"/>
    <w:rsid w:val="00586167"/>
    <w:rsid w:val="00586238"/>
    <w:rsid w:val="005862F8"/>
    <w:rsid w:val="0058646B"/>
    <w:rsid w:val="005864B7"/>
    <w:rsid w:val="0058652E"/>
    <w:rsid w:val="00586563"/>
    <w:rsid w:val="0058658E"/>
    <w:rsid w:val="005865F9"/>
    <w:rsid w:val="00586639"/>
    <w:rsid w:val="0058663E"/>
    <w:rsid w:val="005866B0"/>
    <w:rsid w:val="005866F2"/>
    <w:rsid w:val="0058678F"/>
    <w:rsid w:val="00586823"/>
    <w:rsid w:val="0058682F"/>
    <w:rsid w:val="00586872"/>
    <w:rsid w:val="0058688D"/>
    <w:rsid w:val="0058691F"/>
    <w:rsid w:val="00586929"/>
    <w:rsid w:val="00586946"/>
    <w:rsid w:val="00586997"/>
    <w:rsid w:val="005869F4"/>
    <w:rsid w:val="005869F8"/>
    <w:rsid w:val="00586B00"/>
    <w:rsid w:val="00586C23"/>
    <w:rsid w:val="00586C46"/>
    <w:rsid w:val="00586C86"/>
    <w:rsid w:val="00586D6C"/>
    <w:rsid w:val="00586DC4"/>
    <w:rsid w:val="00586E32"/>
    <w:rsid w:val="00586E35"/>
    <w:rsid w:val="00586E4B"/>
    <w:rsid w:val="00586E83"/>
    <w:rsid w:val="00586EBF"/>
    <w:rsid w:val="00586F07"/>
    <w:rsid w:val="00587033"/>
    <w:rsid w:val="005870DF"/>
    <w:rsid w:val="00587130"/>
    <w:rsid w:val="0058713C"/>
    <w:rsid w:val="0058714B"/>
    <w:rsid w:val="005871C8"/>
    <w:rsid w:val="005871F7"/>
    <w:rsid w:val="00587201"/>
    <w:rsid w:val="0058724B"/>
    <w:rsid w:val="005872B6"/>
    <w:rsid w:val="005872FC"/>
    <w:rsid w:val="00587307"/>
    <w:rsid w:val="005873DA"/>
    <w:rsid w:val="005873FA"/>
    <w:rsid w:val="00587416"/>
    <w:rsid w:val="0058741F"/>
    <w:rsid w:val="00587503"/>
    <w:rsid w:val="00587511"/>
    <w:rsid w:val="005875A0"/>
    <w:rsid w:val="005875E3"/>
    <w:rsid w:val="00587671"/>
    <w:rsid w:val="005877E4"/>
    <w:rsid w:val="00587818"/>
    <w:rsid w:val="0058782A"/>
    <w:rsid w:val="0058784E"/>
    <w:rsid w:val="005878CA"/>
    <w:rsid w:val="005878F4"/>
    <w:rsid w:val="005879A0"/>
    <w:rsid w:val="005879D4"/>
    <w:rsid w:val="00587A35"/>
    <w:rsid w:val="00587A5B"/>
    <w:rsid w:val="00587AAE"/>
    <w:rsid w:val="00587AB0"/>
    <w:rsid w:val="00587AC0"/>
    <w:rsid w:val="00587ADE"/>
    <w:rsid w:val="00587B13"/>
    <w:rsid w:val="00587B55"/>
    <w:rsid w:val="00587B56"/>
    <w:rsid w:val="00587C62"/>
    <w:rsid w:val="00587CB7"/>
    <w:rsid w:val="00587CE8"/>
    <w:rsid w:val="00587CF9"/>
    <w:rsid w:val="00587D2C"/>
    <w:rsid w:val="00587D55"/>
    <w:rsid w:val="00587F5A"/>
    <w:rsid w:val="00587FB3"/>
    <w:rsid w:val="00590083"/>
    <w:rsid w:val="00590097"/>
    <w:rsid w:val="005900E2"/>
    <w:rsid w:val="005901BA"/>
    <w:rsid w:val="0059024B"/>
    <w:rsid w:val="0059027D"/>
    <w:rsid w:val="005902E2"/>
    <w:rsid w:val="005902F5"/>
    <w:rsid w:val="00590418"/>
    <w:rsid w:val="0059048E"/>
    <w:rsid w:val="0059054C"/>
    <w:rsid w:val="005905B7"/>
    <w:rsid w:val="00590688"/>
    <w:rsid w:val="00590705"/>
    <w:rsid w:val="00590711"/>
    <w:rsid w:val="00590920"/>
    <w:rsid w:val="00590951"/>
    <w:rsid w:val="00590965"/>
    <w:rsid w:val="005909A4"/>
    <w:rsid w:val="005909B6"/>
    <w:rsid w:val="005909F9"/>
    <w:rsid w:val="00590A58"/>
    <w:rsid w:val="00590A91"/>
    <w:rsid w:val="00590AD5"/>
    <w:rsid w:val="00590B0D"/>
    <w:rsid w:val="00590B39"/>
    <w:rsid w:val="00590B4C"/>
    <w:rsid w:val="00590C4C"/>
    <w:rsid w:val="00590D74"/>
    <w:rsid w:val="00590D80"/>
    <w:rsid w:val="00590F1A"/>
    <w:rsid w:val="00590FA0"/>
    <w:rsid w:val="00590FA3"/>
    <w:rsid w:val="00590FB8"/>
    <w:rsid w:val="0059103F"/>
    <w:rsid w:val="0059104A"/>
    <w:rsid w:val="005910C3"/>
    <w:rsid w:val="005910D3"/>
    <w:rsid w:val="00591360"/>
    <w:rsid w:val="00591416"/>
    <w:rsid w:val="00591488"/>
    <w:rsid w:val="005914E0"/>
    <w:rsid w:val="005914E4"/>
    <w:rsid w:val="00591632"/>
    <w:rsid w:val="00591667"/>
    <w:rsid w:val="005916B1"/>
    <w:rsid w:val="00591951"/>
    <w:rsid w:val="00591993"/>
    <w:rsid w:val="00591997"/>
    <w:rsid w:val="005919A1"/>
    <w:rsid w:val="005919D2"/>
    <w:rsid w:val="005919EC"/>
    <w:rsid w:val="00591ADB"/>
    <w:rsid w:val="00591B52"/>
    <w:rsid w:val="00591B5E"/>
    <w:rsid w:val="00591C4E"/>
    <w:rsid w:val="00591C6F"/>
    <w:rsid w:val="00591CAF"/>
    <w:rsid w:val="00591CC9"/>
    <w:rsid w:val="00591D1A"/>
    <w:rsid w:val="00591D6A"/>
    <w:rsid w:val="00591DC1"/>
    <w:rsid w:val="00591DE4"/>
    <w:rsid w:val="00591E48"/>
    <w:rsid w:val="00591F40"/>
    <w:rsid w:val="00591F52"/>
    <w:rsid w:val="00591FBC"/>
    <w:rsid w:val="0059200D"/>
    <w:rsid w:val="00592020"/>
    <w:rsid w:val="0059213C"/>
    <w:rsid w:val="00592171"/>
    <w:rsid w:val="0059223A"/>
    <w:rsid w:val="0059224F"/>
    <w:rsid w:val="00592260"/>
    <w:rsid w:val="005922C2"/>
    <w:rsid w:val="005922D6"/>
    <w:rsid w:val="005922E8"/>
    <w:rsid w:val="0059232F"/>
    <w:rsid w:val="00592346"/>
    <w:rsid w:val="0059235A"/>
    <w:rsid w:val="0059238A"/>
    <w:rsid w:val="005923B4"/>
    <w:rsid w:val="005924A9"/>
    <w:rsid w:val="0059251A"/>
    <w:rsid w:val="00592521"/>
    <w:rsid w:val="0059253D"/>
    <w:rsid w:val="00592551"/>
    <w:rsid w:val="00592588"/>
    <w:rsid w:val="005925F1"/>
    <w:rsid w:val="00592656"/>
    <w:rsid w:val="00592689"/>
    <w:rsid w:val="005926B5"/>
    <w:rsid w:val="00592715"/>
    <w:rsid w:val="005927E9"/>
    <w:rsid w:val="00592849"/>
    <w:rsid w:val="0059289B"/>
    <w:rsid w:val="0059292C"/>
    <w:rsid w:val="00592A8E"/>
    <w:rsid w:val="00592A95"/>
    <w:rsid w:val="00592B8D"/>
    <w:rsid w:val="00592B9D"/>
    <w:rsid w:val="00592C1D"/>
    <w:rsid w:val="00592C32"/>
    <w:rsid w:val="00592C48"/>
    <w:rsid w:val="00592CB5"/>
    <w:rsid w:val="00592CD5"/>
    <w:rsid w:val="00592E42"/>
    <w:rsid w:val="00592E44"/>
    <w:rsid w:val="00592E9F"/>
    <w:rsid w:val="00592EDB"/>
    <w:rsid w:val="00592EE2"/>
    <w:rsid w:val="00592EEE"/>
    <w:rsid w:val="00592F9F"/>
    <w:rsid w:val="00592FCB"/>
    <w:rsid w:val="00592FF9"/>
    <w:rsid w:val="0059312F"/>
    <w:rsid w:val="00593172"/>
    <w:rsid w:val="00593177"/>
    <w:rsid w:val="0059319C"/>
    <w:rsid w:val="005931AB"/>
    <w:rsid w:val="005931EA"/>
    <w:rsid w:val="00593267"/>
    <w:rsid w:val="005932F5"/>
    <w:rsid w:val="00593318"/>
    <w:rsid w:val="00593343"/>
    <w:rsid w:val="00593380"/>
    <w:rsid w:val="00593439"/>
    <w:rsid w:val="0059349D"/>
    <w:rsid w:val="005934CF"/>
    <w:rsid w:val="00593522"/>
    <w:rsid w:val="00593612"/>
    <w:rsid w:val="00593694"/>
    <w:rsid w:val="00593757"/>
    <w:rsid w:val="0059375E"/>
    <w:rsid w:val="005937D9"/>
    <w:rsid w:val="0059383B"/>
    <w:rsid w:val="0059391B"/>
    <w:rsid w:val="0059394C"/>
    <w:rsid w:val="0059397B"/>
    <w:rsid w:val="00593A6F"/>
    <w:rsid w:val="00593AC9"/>
    <w:rsid w:val="00593B72"/>
    <w:rsid w:val="00593B94"/>
    <w:rsid w:val="00593BD0"/>
    <w:rsid w:val="00593BEC"/>
    <w:rsid w:val="00593D4E"/>
    <w:rsid w:val="00593E64"/>
    <w:rsid w:val="00593E69"/>
    <w:rsid w:val="00594004"/>
    <w:rsid w:val="005940BC"/>
    <w:rsid w:val="005940F4"/>
    <w:rsid w:val="00594100"/>
    <w:rsid w:val="00594115"/>
    <w:rsid w:val="005941E0"/>
    <w:rsid w:val="00594210"/>
    <w:rsid w:val="0059424E"/>
    <w:rsid w:val="00594267"/>
    <w:rsid w:val="0059426F"/>
    <w:rsid w:val="005942FD"/>
    <w:rsid w:val="00594546"/>
    <w:rsid w:val="005945BA"/>
    <w:rsid w:val="005945F1"/>
    <w:rsid w:val="00594667"/>
    <w:rsid w:val="0059474B"/>
    <w:rsid w:val="005947E2"/>
    <w:rsid w:val="0059486C"/>
    <w:rsid w:val="00594879"/>
    <w:rsid w:val="0059487A"/>
    <w:rsid w:val="00594882"/>
    <w:rsid w:val="0059488E"/>
    <w:rsid w:val="00594979"/>
    <w:rsid w:val="005949D0"/>
    <w:rsid w:val="00594A51"/>
    <w:rsid w:val="00594AC0"/>
    <w:rsid w:val="00594BC4"/>
    <w:rsid w:val="00594C36"/>
    <w:rsid w:val="00594C5A"/>
    <w:rsid w:val="00594C63"/>
    <w:rsid w:val="00594C67"/>
    <w:rsid w:val="00594C6E"/>
    <w:rsid w:val="00594C8C"/>
    <w:rsid w:val="00594CD4"/>
    <w:rsid w:val="00594CFA"/>
    <w:rsid w:val="00594DD1"/>
    <w:rsid w:val="00594E69"/>
    <w:rsid w:val="00594EB2"/>
    <w:rsid w:val="00594F13"/>
    <w:rsid w:val="00594F4A"/>
    <w:rsid w:val="00594F55"/>
    <w:rsid w:val="00594F79"/>
    <w:rsid w:val="00594F8D"/>
    <w:rsid w:val="00595042"/>
    <w:rsid w:val="0059505D"/>
    <w:rsid w:val="00595060"/>
    <w:rsid w:val="00595082"/>
    <w:rsid w:val="005950A8"/>
    <w:rsid w:val="00595105"/>
    <w:rsid w:val="00595251"/>
    <w:rsid w:val="005952B3"/>
    <w:rsid w:val="0059531F"/>
    <w:rsid w:val="00595378"/>
    <w:rsid w:val="00595382"/>
    <w:rsid w:val="005953B2"/>
    <w:rsid w:val="0059544B"/>
    <w:rsid w:val="0059545D"/>
    <w:rsid w:val="005954AD"/>
    <w:rsid w:val="00595524"/>
    <w:rsid w:val="0059557C"/>
    <w:rsid w:val="005956F6"/>
    <w:rsid w:val="00595764"/>
    <w:rsid w:val="005957D1"/>
    <w:rsid w:val="0059582A"/>
    <w:rsid w:val="00595857"/>
    <w:rsid w:val="00595859"/>
    <w:rsid w:val="0059593E"/>
    <w:rsid w:val="005959B7"/>
    <w:rsid w:val="00595AA3"/>
    <w:rsid w:val="00595ABE"/>
    <w:rsid w:val="00595B4E"/>
    <w:rsid w:val="00595B66"/>
    <w:rsid w:val="00595BB5"/>
    <w:rsid w:val="00595C0F"/>
    <w:rsid w:val="00595CDC"/>
    <w:rsid w:val="00595D3C"/>
    <w:rsid w:val="00595D7F"/>
    <w:rsid w:val="00595D9A"/>
    <w:rsid w:val="00595DC9"/>
    <w:rsid w:val="00595E79"/>
    <w:rsid w:val="00595EA0"/>
    <w:rsid w:val="00595EA1"/>
    <w:rsid w:val="00595F1A"/>
    <w:rsid w:val="00595F20"/>
    <w:rsid w:val="00595F6E"/>
    <w:rsid w:val="00595F8F"/>
    <w:rsid w:val="00595FC6"/>
    <w:rsid w:val="00595FD5"/>
    <w:rsid w:val="0059603B"/>
    <w:rsid w:val="0059606F"/>
    <w:rsid w:val="00596086"/>
    <w:rsid w:val="0059608D"/>
    <w:rsid w:val="005960D7"/>
    <w:rsid w:val="005960F2"/>
    <w:rsid w:val="0059612A"/>
    <w:rsid w:val="00596167"/>
    <w:rsid w:val="005961CD"/>
    <w:rsid w:val="005961D6"/>
    <w:rsid w:val="00596222"/>
    <w:rsid w:val="005962AD"/>
    <w:rsid w:val="0059637F"/>
    <w:rsid w:val="005963A8"/>
    <w:rsid w:val="00596401"/>
    <w:rsid w:val="00596508"/>
    <w:rsid w:val="00596509"/>
    <w:rsid w:val="00596516"/>
    <w:rsid w:val="00596587"/>
    <w:rsid w:val="005965CA"/>
    <w:rsid w:val="005966B7"/>
    <w:rsid w:val="005966CB"/>
    <w:rsid w:val="00596780"/>
    <w:rsid w:val="0059687E"/>
    <w:rsid w:val="005968CE"/>
    <w:rsid w:val="0059691F"/>
    <w:rsid w:val="00596935"/>
    <w:rsid w:val="005969D3"/>
    <w:rsid w:val="00596A15"/>
    <w:rsid w:val="00596AF4"/>
    <w:rsid w:val="00596BA2"/>
    <w:rsid w:val="00596D20"/>
    <w:rsid w:val="00596DEA"/>
    <w:rsid w:val="00596F20"/>
    <w:rsid w:val="00596F74"/>
    <w:rsid w:val="00596F80"/>
    <w:rsid w:val="00596FCD"/>
    <w:rsid w:val="00596FF5"/>
    <w:rsid w:val="00597067"/>
    <w:rsid w:val="00597130"/>
    <w:rsid w:val="00597154"/>
    <w:rsid w:val="00597159"/>
    <w:rsid w:val="00597165"/>
    <w:rsid w:val="005971BC"/>
    <w:rsid w:val="0059725B"/>
    <w:rsid w:val="0059726B"/>
    <w:rsid w:val="00597296"/>
    <w:rsid w:val="005972C4"/>
    <w:rsid w:val="00597348"/>
    <w:rsid w:val="0059736C"/>
    <w:rsid w:val="00597392"/>
    <w:rsid w:val="0059739B"/>
    <w:rsid w:val="005973B7"/>
    <w:rsid w:val="005973FD"/>
    <w:rsid w:val="00597441"/>
    <w:rsid w:val="00597469"/>
    <w:rsid w:val="0059746D"/>
    <w:rsid w:val="005974CE"/>
    <w:rsid w:val="005974E0"/>
    <w:rsid w:val="005974F2"/>
    <w:rsid w:val="0059750E"/>
    <w:rsid w:val="00597536"/>
    <w:rsid w:val="00597626"/>
    <w:rsid w:val="00597663"/>
    <w:rsid w:val="00597741"/>
    <w:rsid w:val="00597755"/>
    <w:rsid w:val="005977A3"/>
    <w:rsid w:val="005978B5"/>
    <w:rsid w:val="0059791F"/>
    <w:rsid w:val="0059792E"/>
    <w:rsid w:val="00597931"/>
    <w:rsid w:val="00597975"/>
    <w:rsid w:val="00597B72"/>
    <w:rsid w:val="00597BD4"/>
    <w:rsid w:val="00597D1F"/>
    <w:rsid w:val="00597D4F"/>
    <w:rsid w:val="00597D56"/>
    <w:rsid w:val="00597D71"/>
    <w:rsid w:val="00597DC8"/>
    <w:rsid w:val="00597E92"/>
    <w:rsid w:val="005A0108"/>
    <w:rsid w:val="005A0118"/>
    <w:rsid w:val="005A011F"/>
    <w:rsid w:val="005A0124"/>
    <w:rsid w:val="005A0130"/>
    <w:rsid w:val="005A0247"/>
    <w:rsid w:val="005A0342"/>
    <w:rsid w:val="005A0382"/>
    <w:rsid w:val="005A0463"/>
    <w:rsid w:val="005A07B2"/>
    <w:rsid w:val="005A07B7"/>
    <w:rsid w:val="005A0804"/>
    <w:rsid w:val="005A0816"/>
    <w:rsid w:val="005A0820"/>
    <w:rsid w:val="005A090D"/>
    <w:rsid w:val="005A0948"/>
    <w:rsid w:val="005A0A10"/>
    <w:rsid w:val="005A0AE5"/>
    <w:rsid w:val="005A0B3A"/>
    <w:rsid w:val="005A0B3B"/>
    <w:rsid w:val="005A0B52"/>
    <w:rsid w:val="005A0BA3"/>
    <w:rsid w:val="005A0C97"/>
    <w:rsid w:val="005A0CEE"/>
    <w:rsid w:val="005A0D13"/>
    <w:rsid w:val="005A0D22"/>
    <w:rsid w:val="005A0E5E"/>
    <w:rsid w:val="005A0EC4"/>
    <w:rsid w:val="005A0F87"/>
    <w:rsid w:val="005A0FCC"/>
    <w:rsid w:val="005A1032"/>
    <w:rsid w:val="005A1108"/>
    <w:rsid w:val="005A112A"/>
    <w:rsid w:val="005A12D7"/>
    <w:rsid w:val="005A1337"/>
    <w:rsid w:val="005A1343"/>
    <w:rsid w:val="005A1351"/>
    <w:rsid w:val="005A1355"/>
    <w:rsid w:val="005A1371"/>
    <w:rsid w:val="005A13D5"/>
    <w:rsid w:val="005A13DC"/>
    <w:rsid w:val="005A145E"/>
    <w:rsid w:val="005A14D1"/>
    <w:rsid w:val="005A151C"/>
    <w:rsid w:val="005A15A0"/>
    <w:rsid w:val="005A1613"/>
    <w:rsid w:val="005A167A"/>
    <w:rsid w:val="005A16B9"/>
    <w:rsid w:val="005A16FC"/>
    <w:rsid w:val="005A1851"/>
    <w:rsid w:val="005A1855"/>
    <w:rsid w:val="005A18BD"/>
    <w:rsid w:val="005A18C1"/>
    <w:rsid w:val="005A18CC"/>
    <w:rsid w:val="005A18DF"/>
    <w:rsid w:val="005A18FF"/>
    <w:rsid w:val="005A1907"/>
    <w:rsid w:val="005A1944"/>
    <w:rsid w:val="005A1A9D"/>
    <w:rsid w:val="005A1B3C"/>
    <w:rsid w:val="005A1BCF"/>
    <w:rsid w:val="005A1C39"/>
    <w:rsid w:val="005A1D0F"/>
    <w:rsid w:val="005A1D17"/>
    <w:rsid w:val="005A1D1D"/>
    <w:rsid w:val="005A1D78"/>
    <w:rsid w:val="005A1DBD"/>
    <w:rsid w:val="005A1DF9"/>
    <w:rsid w:val="005A1E7A"/>
    <w:rsid w:val="005A1EC4"/>
    <w:rsid w:val="005A1ECB"/>
    <w:rsid w:val="005A1F2A"/>
    <w:rsid w:val="005A1F41"/>
    <w:rsid w:val="005A1F52"/>
    <w:rsid w:val="005A1F93"/>
    <w:rsid w:val="005A200B"/>
    <w:rsid w:val="005A202F"/>
    <w:rsid w:val="005A2081"/>
    <w:rsid w:val="005A20E3"/>
    <w:rsid w:val="005A213F"/>
    <w:rsid w:val="005A221B"/>
    <w:rsid w:val="005A2222"/>
    <w:rsid w:val="005A2235"/>
    <w:rsid w:val="005A2386"/>
    <w:rsid w:val="005A23A1"/>
    <w:rsid w:val="005A2408"/>
    <w:rsid w:val="005A24C1"/>
    <w:rsid w:val="005A2534"/>
    <w:rsid w:val="005A25B5"/>
    <w:rsid w:val="005A25D5"/>
    <w:rsid w:val="005A269B"/>
    <w:rsid w:val="005A2702"/>
    <w:rsid w:val="005A2713"/>
    <w:rsid w:val="005A27AC"/>
    <w:rsid w:val="005A280E"/>
    <w:rsid w:val="005A2835"/>
    <w:rsid w:val="005A2867"/>
    <w:rsid w:val="005A28E2"/>
    <w:rsid w:val="005A28E6"/>
    <w:rsid w:val="005A2997"/>
    <w:rsid w:val="005A29B2"/>
    <w:rsid w:val="005A29F3"/>
    <w:rsid w:val="005A2AC6"/>
    <w:rsid w:val="005A2AF1"/>
    <w:rsid w:val="005A2AF4"/>
    <w:rsid w:val="005A2B8E"/>
    <w:rsid w:val="005A2C3A"/>
    <w:rsid w:val="005A2CB1"/>
    <w:rsid w:val="005A2CF2"/>
    <w:rsid w:val="005A2D0E"/>
    <w:rsid w:val="005A2D2D"/>
    <w:rsid w:val="005A2D44"/>
    <w:rsid w:val="005A2DD5"/>
    <w:rsid w:val="005A2F0A"/>
    <w:rsid w:val="005A2F5A"/>
    <w:rsid w:val="005A2F74"/>
    <w:rsid w:val="005A2FAF"/>
    <w:rsid w:val="005A2FDA"/>
    <w:rsid w:val="005A3046"/>
    <w:rsid w:val="005A307F"/>
    <w:rsid w:val="005A308F"/>
    <w:rsid w:val="005A30C4"/>
    <w:rsid w:val="005A30E5"/>
    <w:rsid w:val="005A30F5"/>
    <w:rsid w:val="005A3120"/>
    <w:rsid w:val="005A3140"/>
    <w:rsid w:val="005A3145"/>
    <w:rsid w:val="005A324C"/>
    <w:rsid w:val="005A3288"/>
    <w:rsid w:val="005A32A2"/>
    <w:rsid w:val="005A32CF"/>
    <w:rsid w:val="005A3358"/>
    <w:rsid w:val="005A3533"/>
    <w:rsid w:val="005A3577"/>
    <w:rsid w:val="005A35A4"/>
    <w:rsid w:val="005A35C7"/>
    <w:rsid w:val="005A35EB"/>
    <w:rsid w:val="005A3610"/>
    <w:rsid w:val="005A3674"/>
    <w:rsid w:val="005A36F8"/>
    <w:rsid w:val="005A372C"/>
    <w:rsid w:val="005A3763"/>
    <w:rsid w:val="005A3778"/>
    <w:rsid w:val="005A37B7"/>
    <w:rsid w:val="005A3802"/>
    <w:rsid w:val="005A3939"/>
    <w:rsid w:val="005A395A"/>
    <w:rsid w:val="005A3A58"/>
    <w:rsid w:val="005A3A87"/>
    <w:rsid w:val="005A3AEF"/>
    <w:rsid w:val="005A3BF7"/>
    <w:rsid w:val="005A3BF9"/>
    <w:rsid w:val="005A3BFB"/>
    <w:rsid w:val="005A3C1F"/>
    <w:rsid w:val="005A3CBD"/>
    <w:rsid w:val="005A3D6C"/>
    <w:rsid w:val="005A3D79"/>
    <w:rsid w:val="005A3DF4"/>
    <w:rsid w:val="005A3E30"/>
    <w:rsid w:val="005A3E73"/>
    <w:rsid w:val="005A3EB6"/>
    <w:rsid w:val="005A3F46"/>
    <w:rsid w:val="005A3F63"/>
    <w:rsid w:val="005A3F90"/>
    <w:rsid w:val="005A3FDA"/>
    <w:rsid w:val="005A4030"/>
    <w:rsid w:val="005A406C"/>
    <w:rsid w:val="005A4072"/>
    <w:rsid w:val="005A40A3"/>
    <w:rsid w:val="005A4149"/>
    <w:rsid w:val="005A4297"/>
    <w:rsid w:val="005A42DF"/>
    <w:rsid w:val="005A4343"/>
    <w:rsid w:val="005A438A"/>
    <w:rsid w:val="005A43F1"/>
    <w:rsid w:val="005A442C"/>
    <w:rsid w:val="005A4590"/>
    <w:rsid w:val="005A467D"/>
    <w:rsid w:val="005A4681"/>
    <w:rsid w:val="005A46DC"/>
    <w:rsid w:val="005A4721"/>
    <w:rsid w:val="005A476D"/>
    <w:rsid w:val="005A4785"/>
    <w:rsid w:val="005A47D3"/>
    <w:rsid w:val="005A4902"/>
    <w:rsid w:val="005A4925"/>
    <w:rsid w:val="005A4931"/>
    <w:rsid w:val="005A4973"/>
    <w:rsid w:val="005A4996"/>
    <w:rsid w:val="005A49AA"/>
    <w:rsid w:val="005A4A03"/>
    <w:rsid w:val="005A4A08"/>
    <w:rsid w:val="005A4A17"/>
    <w:rsid w:val="005A4A33"/>
    <w:rsid w:val="005A4B1E"/>
    <w:rsid w:val="005A4B28"/>
    <w:rsid w:val="005A4BC4"/>
    <w:rsid w:val="005A4BD4"/>
    <w:rsid w:val="005A4C7F"/>
    <w:rsid w:val="005A4CC2"/>
    <w:rsid w:val="005A4CCE"/>
    <w:rsid w:val="005A4CF9"/>
    <w:rsid w:val="005A4D41"/>
    <w:rsid w:val="005A4D92"/>
    <w:rsid w:val="005A4DA9"/>
    <w:rsid w:val="005A4E77"/>
    <w:rsid w:val="005A4EF2"/>
    <w:rsid w:val="005A507B"/>
    <w:rsid w:val="005A50A5"/>
    <w:rsid w:val="005A50F0"/>
    <w:rsid w:val="005A50FE"/>
    <w:rsid w:val="005A5157"/>
    <w:rsid w:val="005A51AE"/>
    <w:rsid w:val="005A51B2"/>
    <w:rsid w:val="005A537A"/>
    <w:rsid w:val="005A53AB"/>
    <w:rsid w:val="005A53C9"/>
    <w:rsid w:val="005A550B"/>
    <w:rsid w:val="005A55AA"/>
    <w:rsid w:val="005A55FD"/>
    <w:rsid w:val="005A5608"/>
    <w:rsid w:val="005A5677"/>
    <w:rsid w:val="005A56F0"/>
    <w:rsid w:val="005A5739"/>
    <w:rsid w:val="005A585F"/>
    <w:rsid w:val="005A5869"/>
    <w:rsid w:val="005A5884"/>
    <w:rsid w:val="005A5889"/>
    <w:rsid w:val="005A5896"/>
    <w:rsid w:val="005A5922"/>
    <w:rsid w:val="005A592B"/>
    <w:rsid w:val="005A593A"/>
    <w:rsid w:val="005A5978"/>
    <w:rsid w:val="005A5984"/>
    <w:rsid w:val="005A5A29"/>
    <w:rsid w:val="005A5A46"/>
    <w:rsid w:val="005A5A8F"/>
    <w:rsid w:val="005A5AD6"/>
    <w:rsid w:val="005A5B90"/>
    <w:rsid w:val="005A5C7E"/>
    <w:rsid w:val="005A5CC3"/>
    <w:rsid w:val="005A5D04"/>
    <w:rsid w:val="005A5D3B"/>
    <w:rsid w:val="005A5DEF"/>
    <w:rsid w:val="005A5E6F"/>
    <w:rsid w:val="005A5E97"/>
    <w:rsid w:val="005A5F08"/>
    <w:rsid w:val="005A5F17"/>
    <w:rsid w:val="005A5F98"/>
    <w:rsid w:val="005A5FE3"/>
    <w:rsid w:val="005A5FEF"/>
    <w:rsid w:val="005A60A8"/>
    <w:rsid w:val="005A619D"/>
    <w:rsid w:val="005A623C"/>
    <w:rsid w:val="005A62AE"/>
    <w:rsid w:val="005A62BB"/>
    <w:rsid w:val="005A63EB"/>
    <w:rsid w:val="005A645D"/>
    <w:rsid w:val="005A64CF"/>
    <w:rsid w:val="005A655C"/>
    <w:rsid w:val="005A658B"/>
    <w:rsid w:val="005A6623"/>
    <w:rsid w:val="005A671D"/>
    <w:rsid w:val="005A6853"/>
    <w:rsid w:val="005A68C4"/>
    <w:rsid w:val="005A6941"/>
    <w:rsid w:val="005A69CD"/>
    <w:rsid w:val="005A6A20"/>
    <w:rsid w:val="005A6A59"/>
    <w:rsid w:val="005A6AE8"/>
    <w:rsid w:val="005A6B0B"/>
    <w:rsid w:val="005A6B75"/>
    <w:rsid w:val="005A6BAF"/>
    <w:rsid w:val="005A6BD9"/>
    <w:rsid w:val="005A6BE0"/>
    <w:rsid w:val="005A6BE9"/>
    <w:rsid w:val="005A6C4C"/>
    <w:rsid w:val="005A6CFD"/>
    <w:rsid w:val="005A6D02"/>
    <w:rsid w:val="005A6D22"/>
    <w:rsid w:val="005A6D4C"/>
    <w:rsid w:val="005A6E08"/>
    <w:rsid w:val="005A6E15"/>
    <w:rsid w:val="005A6E19"/>
    <w:rsid w:val="005A6E5C"/>
    <w:rsid w:val="005A6EE7"/>
    <w:rsid w:val="005A6F2E"/>
    <w:rsid w:val="005A6F30"/>
    <w:rsid w:val="005A6F39"/>
    <w:rsid w:val="005A6F4C"/>
    <w:rsid w:val="005A6F8A"/>
    <w:rsid w:val="005A6F95"/>
    <w:rsid w:val="005A6FBD"/>
    <w:rsid w:val="005A6FC2"/>
    <w:rsid w:val="005A704A"/>
    <w:rsid w:val="005A7059"/>
    <w:rsid w:val="005A70C0"/>
    <w:rsid w:val="005A70D5"/>
    <w:rsid w:val="005A7196"/>
    <w:rsid w:val="005A71A4"/>
    <w:rsid w:val="005A72C9"/>
    <w:rsid w:val="005A72D3"/>
    <w:rsid w:val="005A7322"/>
    <w:rsid w:val="005A73A8"/>
    <w:rsid w:val="005A73C9"/>
    <w:rsid w:val="005A742D"/>
    <w:rsid w:val="005A7461"/>
    <w:rsid w:val="005A746E"/>
    <w:rsid w:val="005A74A7"/>
    <w:rsid w:val="005A74AE"/>
    <w:rsid w:val="005A7615"/>
    <w:rsid w:val="005A7656"/>
    <w:rsid w:val="005A76D7"/>
    <w:rsid w:val="005A773E"/>
    <w:rsid w:val="005A7755"/>
    <w:rsid w:val="005A779A"/>
    <w:rsid w:val="005A77F7"/>
    <w:rsid w:val="005A7865"/>
    <w:rsid w:val="005A7872"/>
    <w:rsid w:val="005A79B1"/>
    <w:rsid w:val="005A7A17"/>
    <w:rsid w:val="005A7A1E"/>
    <w:rsid w:val="005A7AB3"/>
    <w:rsid w:val="005A7B19"/>
    <w:rsid w:val="005A7B1B"/>
    <w:rsid w:val="005A7B38"/>
    <w:rsid w:val="005A7B3A"/>
    <w:rsid w:val="005A7B8C"/>
    <w:rsid w:val="005A7C04"/>
    <w:rsid w:val="005A7C4D"/>
    <w:rsid w:val="005A7CD0"/>
    <w:rsid w:val="005A7D13"/>
    <w:rsid w:val="005A7D51"/>
    <w:rsid w:val="005A7E3B"/>
    <w:rsid w:val="005A7E81"/>
    <w:rsid w:val="005A7EA2"/>
    <w:rsid w:val="005A7EB9"/>
    <w:rsid w:val="005A7ED7"/>
    <w:rsid w:val="005A7EF6"/>
    <w:rsid w:val="005A7F2A"/>
    <w:rsid w:val="005A7F5A"/>
    <w:rsid w:val="005A7FCD"/>
    <w:rsid w:val="005B004F"/>
    <w:rsid w:val="005B00D4"/>
    <w:rsid w:val="005B022E"/>
    <w:rsid w:val="005B02EA"/>
    <w:rsid w:val="005B02F5"/>
    <w:rsid w:val="005B032A"/>
    <w:rsid w:val="005B0345"/>
    <w:rsid w:val="005B0426"/>
    <w:rsid w:val="005B043F"/>
    <w:rsid w:val="005B0481"/>
    <w:rsid w:val="005B050E"/>
    <w:rsid w:val="005B053C"/>
    <w:rsid w:val="005B0588"/>
    <w:rsid w:val="005B058E"/>
    <w:rsid w:val="005B066B"/>
    <w:rsid w:val="005B074A"/>
    <w:rsid w:val="005B0775"/>
    <w:rsid w:val="005B0786"/>
    <w:rsid w:val="005B078D"/>
    <w:rsid w:val="005B07C8"/>
    <w:rsid w:val="005B080B"/>
    <w:rsid w:val="005B0894"/>
    <w:rsid w:val="005B08F6"/>
    <w:rsid w:val="005B0948"/>
    <w:rsid w:val="005B0965"/>
    <w:rsid w:val="005B0970"/>
    <w:rsid w:val="005B09B5"/>
    <w:rsid w:val="005B0AE7"/>
    <w:rsid w:val="005B0B47"/>
    <w:rsid w:val="005B0C02"/>
    <w:rsid w:val="005B0C07"/>
    <w:rsid w:val="005B0D3A"/>
    <w:rsid w:val="005B0DB0"/>
    <w:rsid w:val="005B0DEE"/>
    <w:rsid w:val="005B0DF5"/>
    <w:rsid w:val="005B0EBB"/>
    <w:rsid w:val="005B0F10"/>
    <w:rsid w:val="005B0F3A"/>
    <w:rsid w:val="005B0FE4"/>
    <w:rsid w:val="005B1010"/>
    <w:rsid w:val="005B104F"/>
    <w:rsid w:val="005B1095"/>
    <w:rsid w:val="005B10CA"/>
    <w:rsid w:val="005B1103"/>
    <w:rsid w:val="005B1147"/>
    <w:rsid w:val="005B11D4"/>
    <w:rsid w:val="005B12C8"/>
    <w:rsid w:val="005B1308"/>
    <w:rsid w:val="005B1330"/>
    <w:rsid w:val="005B1388"/>
    <w:rsid w:val="005B138F"/>
    <w:rsid w:val="005B142A"/>
    <w:rsid w:val="005B14C8"/>
    <w:rsid w:val="005B1512"/>
    <w:rsid w:val="005B1596"/>
    <w:rsid w:val="005B15C4"/>
    <w:rsid w:val="005B15EB"/>
    <w:rsid w:val="005B164A"/>
    <w:rsid w:val="005B16B0"/>
    <w:rsid w:val="005B1726"/>
    <w:rsid w:val="005B1736"/>
    <w:rsid w:val="005B17EB"/>
    <w:rsid w:val="005B1860"/>
    <w:rsid w:val="005B188E"/>
    <w:rsid w:val="005B1894"/>
    <w:rsid w:val="005B18A3"/>
    <w:rsid w:val="005B1922"/>
    <w:rsid w:val="005B1937"/>
    <w:rsid w:val="005B19F2"/>
    <w:rsid w:val="005B19FE"/>
    <w:rsid w:val="005B1A23"/>
    <w:rsid w:val="005B1A69"/>
    <w:rsid w:val="005B1B00"/>
    <w:rsid w:val="005B1B1E"/>
    <w:rsid w:val="005B1B92"/>
    <w:rsid w:val="005B1BC7"/>
    <w:rsid w:val="005B1BDC"/>
    <w:rsid w:val="005B1C25"/>
    <w:rsid w:val="005B1C3A"/>
    <w:rsid w:val="005B1C54"/>
    <w:rsid w:val="005B1CDC"/>
    <w:rsid w:val="005B1D5F"/>
    <w:rsid w:val="005B1DC2"/>
    <w:rsid w:val="005B1E1B"/>
    <w:rsid w:val="005B1E59"/>
    <w:rsid w:val="005B1EE7"/>
    <w:rsid w:val="005B1F64"/>
    <w:rsid w:val="005B1F81"/>
    <w:rsid w:val="005B1FCA"/>
    <w:rsid w:val="005B200C"/>
    <w:rsid w:val="005B209B"/>
    <w:rsid w:val="005B20A8"/>
    <w:rsid w:val="005B20A9"/>
    <w:rsid w:val="005B20AC"/>
    <w:rsid w:val="005B20F3"/>
    <w:rsid w:val="005B20FC"/>
    <w:rsid w:val="005B2130"/>
    <w:rsid w:val="005B2238"/>
    <w:rsid w:val="005B2252"/>
    <w:rsid w:val="005B2266"/>
    <w:rsid w:val="005B23A8"/>
    <w:rsid w:val="005B23B0"/>
    <w:rsid w:val="005B24E6"/>
    <w:rsid w:val="005B25B8"/>
    <w:rsid w:val="005B25FA"/>
    <w:rsid w:val="005B2679"/>
    <w:rsid w:val="005B2691"/>
    <w:rsid w:val="005B2750"/>
    <w:rsid w:val="005B276E"/>
    <w:rsid w:val="005B2876"/>
    <w:rsid w:val="005B2879"/>
    <w:rsid w:val="005B2887"/>
    <w:rsid w:val="005B28BB"/>
    <w:rsid w:val="005B2913"/>
    <w:rsid w:val="005B2956"/>
    <w:rsid w:val="005B299D"/>
    <w:rsid w:val="005B29F7"/>
    <w:rsid w:val="005B2A36"/>
    <w:rsid w:val="005B2A78"/>
    <w:rsid w:val="005B2BA8"/>
    <w:rsid w:val="005B2CA6"/>
    <w:rsid w:val="005B2CBA"/>
    <w:rsid w:val="005B2D12"/>
    <w:rsid w:val="005B2D71"/>
    <w:rsid w:val="005B2DCC"/>
    <w:rsid w:val="005B2DF2"/>
    <w:rsid w:val="005B2E10"/>
    <w:rsid w:val="005B2E61"/>
    <w:rsid w:val="005B2E74"/>
    <w:rsid w:val="005B2EA4"/>
    <w:rsid w:val="005B2EAA"/>
    <w:rsid w:val="005B2F4B"/>
    <w:rsid w:val="005B2F4D"/>
    <w:rsid w:val="005B2F54"/>
    <w:rsid w:val="005B2FF3"/>
    <w:rsid w:val="005B3012"/>
    <w:rsid w:val="005B3101"/>
    <w:rsid w:val="005B3208"/>
    <w:rsid w:val="005B33CD"/>
    <w:rsid w:val="005B33DF"/>
    <w:rsid w:val="005B3415"/>
    <w:rsid w:val="005B3467"/>
    <w:rsid w:val="005B3516"/>
    <w:rsid w:val="005B3517"/>
    <w:rsid w:val="005B3622"/>
    <w:rsid w:val="005B3675"/>
    <w:rsid w:val="005B367F"/>
    <w:rsid w:val="005B36C2"/>
    <w:rsid w:val="005B36E1"/>
    <w:rsid w:val="005B3856"/>
    <w:rsid w:val="005B3AA4"/>
    <w:rsid w:val="005B3B2F"/>
    <w:rsid w:val="005B3B43"/>
    <w:rsid w:val="005B3B49"/>
    <w:rsid w:val="005B3B5F"/>
    <w:rsid w:val="005B3B80"/>
    <w:rsid w:val="005B3C05"/>
    <w:rsid w:val="005B3C18"/>
    <w:rsid w:val="005B3C78"/>
    <w:rsid w:val="005B3D28"/>
    <w:rsid w:val="005B3D54"/>
    <w:rsid w:val="005B3E54"/>
    <w:rsid w:val="005B3E78"/>
    <w:rsid w:val="005B3F0F"/>
    <w:rsid w:val="005B3F25"/>
    <w:rsid w:val="005B3F68"/>
    <w:rsid w:val="005B3FD3"/>
    <w:rsid w:val="005B40A5"/>
    <w:rsid w:val="005B40CF"/>
    <w:rsid w:val="005B40ED"/>
    <w:rsid w:val="005B412C"/>
    <w:rsid w:val="005B413D"/>
    <w:rsid w:val="005B41A4"/>
    <w:rsid w:val="005B41CF"/>
    <w:rsid w:val="005B41D2"/>
    <w:rsid w:val="005B42CF"/>
    <w:rsid w:val="005B4365"/>
    <w:rsid w:val="005B4405"/>
    <w:rsid w:val="005B446E"/>
    <w:rsid w:val="005B447B"/>
    <w:rsid w:val="005B454F"/>
    <w:rsid w:val="005B46FA"/>
    <w:rsid w:val="005B49C6"/>
    <w:rsid w:val="005B49D4"/>
    <w:rsid w:val="005B49D7"/>
    <w:rsid w:val="005B4B04"/>
    <w:rsid w:val="005B4BAA"/>
    <w:rsid w:val="005B4BC3"/>
    <w:rsid w:val="005B4BDF"/>
    <w:rsid w:val="005B4C55"/>
    <w:rsid w:val="005B4C64"/>
    <w:rsid w:val="005B4C8F"/>
    <w:rsid w:val="005B4CD8"/>
    <w:rsid w:val="005B4CE6"/>
    <w:rsid w:val="005B4D00"/>
    <w:rsid w:val="005B4D18"/>
    <w:rsid w:val="005B4D38"/>
    <w:rsid w:val="005B4D53"/>
    <w:rsid w:val="005B4D66"/>
    <w:rsid w:val="005B4D69"/>
    <w:rsid w:val="005B4DBA"/>
    <w:rsid w:val="005B4DD8"/>
    <w:rsid w:val="005B4DEC"/>
    <w:rsid w:val="005B4E7B"/>
    <w:rsid w:val="005B4EDA"/>
    <w:rsid w:val="005B4F03"/>
    <w:rsid w:val="005B4FA1"/>
    <w:rsid w:val="005B4FAC"/>
    <w:rsid w:val="005B505C"/>
    <w:rsid w:val="005B5091"/>
    <w:rsid w:val="005B50AA"/>
    <w:rsid w:val="005B50F2"/>
    <w:rsid w:val="005B5172"/>
    <w:rsid w:val="005B51C9"/>
    <w:rsid w:val="005B5204"/>
    <w:rsid w:val="005B5234"/>
    <w:rsid w:val="005B530B"/>
    <w:rsid w:val="005B53BD"/>
    <w:rsid w:val="005B53CC"/>
    <w:rsid w:val="005B5440"/>
    <w:rsid w:val="005B5470"/>
    <w:rsid w:val="005B54AD"/>
    <w:rsid w:val="005B54C4"/>
    <w:rsid w:val="005B55AD"/>
    <w:rsid w:val="005B5650"/>
    <w:rsid w:val="005B565A"/>
    <w:rsid w:val="005B5668"/>
    <w:rsid w:val="005B5679"/>
    <w:rsid w:val="005B5725"/>
    <w:rsid w:val="005B572F"/>
    <w:rsid w:val="005B5742"/>
    <w:rsid w:val="005B574B"/>
    <w:rsid w:val="005B5765"/>
    <w:rsid w:val="005B59AD"/>
    <w:rsid w:val="005B5A61"/>
    <w:rsid w:val="005B5A69"/>
    <w:rsid w:val="005B5A7A"/>
    <w:rsid w:val="005B5AA3"/>
    <w:rsid w:val="005B5AE1"/>
    <w:rsid w:val="005B5B13"/>
    <w:rsid w:val="005B5B2E"/>
    <w:rsid w:val="005B5C7D"/>
    <w:rsid w:val="005B5CEF"/>
    <w:rsid w:val="005B5D8E"/>
    <w:rsid w:val="005B5EB5"/>
    <w:rsid w:val="005B5F21"/>
    <w:rsid w:val="005B5F4B"/>
    <w:rsid w:val="005B6016"/>
    <w:rsid w:val="005B602B"/>
    <w:rsid w:val="005B60E3"/>
    <w:rsid w:val="005B611B"/>
    <w:rsid w:val="005B6213"/>
    <w:rsid w:val="005B6287"/>
    <w:rsid w:val="005B633E"/>
    <w:rsid w:val="005B636E"/>
    <w:rsid w:val="005B6476"/>
    <w:rsid w:val="005B65B6"/>
    <w:rsid w:val="005B65C1"/>
    <w:rsid w:val="005B668E"/>
    <w:rsid w:val="005B66C0"/>
    <w:rsid w:val="005B673C"/>
    <w:rsid w:val="005B675B"/>
    <w:rsid w:val="005B6776"/>
    <w:rsid w:val="005B6796"/>
    <w:rsid w:val="005B67CF"/>
    <w:rsid w:val="005B6947"/>
    <w:rsid w:val="005B69F2"/>
    <w:rsid w:val="005B6A91"/>
    <w:rsid w:val="005B6A9A"/>
    <w:rsid w:val="005B6AE6"/>
    <w:rsid w:val="005B6B7E"/>
    <w:rsid w:val="005B6BBE"/>
    <w:rsid w:val="005B6C7F"/>
    <w:rsid w:val="005B6CB0"/>
    <w:rsid w:val="005B6CBA"/>
    <w:rsid w:val="005B6D52"/>
    <w:rsid w:val="005B6D5F"/>
    <w:rsid w:val="005B6DB8"/>
    <w:rsid w:val="005B6DF5"/>
    <w:rsid w:val="005B6ED5"/>
    <w:rsid w:val="005B6F77"/>
    <w:rsid w:val="005B6F8A"/>
    <w:rsid w:val="005B6FB6"/>
    <w:rsid w:val="005B701D"/>
    <w:rsid w:val="005B7039"/>
    <w:rsid w:val="005B70BC"/>
    <w:rsid w:val="005B70E4"/>
    <w:rsid w:val="005B70F5"/>
    <w:rsid w:val="005B7248"/>
    <w:rsid w:val="005B72D1"/>
    <w:rsid w:val="005B72F4"/>
    <w:rsid w:val="005B7387"/>
    <w:rsid w:val="005B746B"/>
    <w:rsid w:val="005B74A6"/>
    <w:rsid w:val="005B74DE"/>
    <w:rsid w:val="005B7510"/>
    <w:rsid w:val="005B7515"/>
    <w:rsid w:val="005B75BB"/>
    <w:rsid w:val="005B7624"/>
    <w:rsid w:val="005B7655"/>
    <w:rsid w:val="005B76E0"/>
    <w:rsid w:val="005B76F1"/>
    <w:rsid w:val="005B7753"/>
    <w:rsid w:val="005B78F2"/>
    <w:rsid w:val="005B7922"/>
    <w:rsid w:val="005B7998"/>
    <w:rsid w:val="005B7A9A"/>
    <w:rsid w:val="005B7AE7"/>
    <w:rsid w:val="005B7B00"/>
    <w:rsid w:val="005B7B01"/>
    <w:rsid w:val="005B7B04"/>
    <w:rsid w:val="005B7B72"/>
    <w:rsid w:val="005B7C6C"/>
    <w:rsid w:val="005B7C83"/>
    <w:rsid w:val="005B7CC7"/>
    <w:rsid w:val="005B7CED"/>
    <w:rsid w:val="005B7D01"/>
    <w:rsid w:val="005B7D1C"/>
    <w:rsid w:val="005B7DC8"/>
    <w:rsid w:val="005B7E4B"/>
    <w:rsid w:val="005B7EA9"/>
    <w:rsid w:val="005B7EE3"/>
    <w:rsid w:val="005B7EF2"/>
    <w:rsid w:val="005B7F55"/>
    <w:rsid w:val="005C002E"/>
    <w:rsid w:val="005C0046"/>
    <w:rsid w:val="005C0079"/>
    <w:rsid w:val="005C02F7"/>
    <w:rsid w:val="005C034B"/>
    <w:rsid w:val="005C036C"/>
    <w:rsid w:val="005C0475"/>
    <w:rsid w:val="005C047C"/>
    <w:rsid w:val="005C0492"/>
    <w:rsid w:val="005C04A5"/>
    <w:rsid w:val="005C0557"/>
    <w:rsid w:val="005C055D"/>
    <w:rsid w:val="005C05D8"/>
    <w:rsid w:val="005C0616"/>
    <w:rsid w:val="005C0619"/>
    <w:rsid w:val="005C06AE"/>
    <w:rsid w:val="005C072D"/>
    <w:rsid w:val="005C072E"/>
    <w:rsid w:val="005C0759"/>
    <w:rsid w:val="005C07C1"/>
    <w:rsid w:val="005C07F3"/>
    <w:rsid w:val="005C087E"/>
    <w:rsid w:val="005C08AC"/>
    <w:rsid w:val="005C092A"/>
    <w:rsid w:val="005C0ACD"/>
    <w:rsid w:val="005C0AF0"/>
    <w:rsid w:val="005C0B32"/>
    <w:rsid w:val="005C0B93"/>
    <w:rsid w:val="005C0BDF"/>
    <w:rsid w:val="005C0BFE"/>
    <w:rsid w:val="005C0BFF"/>
    <w:rsid w:val="005C0C61"/>
    <w:rsid w:val="005C0D6F"/>
    <w:rsid w:val="005C0D83"/>
    <w:rsid w:val="005C0F3C"/>
    <w:rsid w:val="005C0F6E"/>
    <w:rsid w:val="005C0FA7"/>
    <w:rsid w:val="005C0FB3"/>
    <w:rsid w:val="005C0FE0"/>
    <w:rsid w:val="005C100C"/>
    <w:rsid w:val="005C10E5"/>
    <w:rsid w:val="005C1144"/>
    <w:rsid w:val="005C1148"/>
    <w:rsid w:val="005C116E"/>
    <w:rsid w:val="005C11C2"/>
    <w:rsid w:val="005C120F"/>
    <w:rsid w:val="005C1324"/>
    <w:rsid w:val="005C13EE"/>
    <w:rsid w:val="005C148E"/>
    <w:rsid w:val="005C14DA"/>
    <w:rsid w:val="005C15FB"/>
    <w:rsid w:val="005C15FC"/>
    <w:rsid w:val="005C1613"/>
    <w:rsid w:val="005C1621"/>
    <w:rsid w:val="005C16C6"/>
    <w:rsid w:val="005C16EC"/>
    <w:rsid w:val="005C16F3"/>
    <w:rsid w:val="005C16FD"/>
    <w:rsid w:val="005C170B"/>
    <w:rsid w:val="005C1719"/>
    <w:rsid w:val="005C181A"/>
    <w:rsid w:val="005C1877"/>
    <w:rsid w:val="005C18B7"/>
    <w:rsid w:val="005C19C4"/>
    <w:rsid w:val="005C1A14"/>
    <w:rsid w:val="005C1AAF"/>
    <w:rsid w:val="005C1B9C"/>
    <w:rsid w:val="005C1C1D"/>
    <w:rsid w:val="005C1C89"/>
    <w:rsid w:val="005C1CEC"/>
    <w:rsid w:val="005C1D7D"/>
    <w:rsid w:val="005C1DDE"/>
    <w:rsid w:val="005C1E21"/>
    <w:rsid w:val="005C1E50"/>
    <w:rsid w:val="005C1E7F"/>
    <w:rsid w:val="005C1E9E"/>
    <w:rsid w:val="005C1EBF"/>
    <w:rsid w:val="005C1EDF"/>
    <w:rsid w:val="005C2118"/>
    <w:rsid w:val="005C2145"/>
    <w:rsid w:val="005C221B"/>
    <w:rsid w:val="005C2226"/>
    <w:rsid w:val="005C228C"/>
    <w:rsid w:val="005C2377"/>
    <w:rsid w:val="005C237A"/>
    <w:rsid w:val="005C23D9"/>
    <w:rsid w:val="005C248C"/>
    <w:rsid w:val="005C24E3"/>
    <w:rsid w:val="005C25A1"/>
    <w:rsid w:val="005C25F4"/>
    <w:rsid w:val="005C2649"/>
    <w:rsid w:val="005C2683"/>
    <w:rsid w:val="005C26B6"/>
    <w:rsid w:val="005C2749"/>
    <w:rsid w:val="005C278E"/>
    <w:rsid w:val="005C27EE"/>
    <w:rsid w:val="005C288E"/>
    <w:rsid w:val="005C28D3"/>
    <w:rsid w:val="005C291E"/>
    <w:rsid w:val="005C2A3B"/>
    <w:rsid w:val="005C2A59"/>
    <w:rsid w:val="005C2A96"/>
    <w:rsid w:val="005C2B31"/>
    <w:rsid w:val="005C2B99"/>
    <w:rsid w:val="005C2D3F"/>
    <w:rsid w:val="005C2E62"/>
    <w:rsid w:val="005C2E99"/>
    <w:rsid w:val="005C2EB9"/>
    <w:rsid w:val="005C2EBF"/>
    <w:rsid w:val="005C2F2A"/>
    <w:rsid w:val="005C2FF1"/>
    <w:rsid w:val="005C3075"/>
    <w:rsid w:val="005C30C3"/>
    <w:rsid w:val="005C30C6"/>
    <w:rsid w:val="005C3111"/>
    <w:rsid w:val="005C3249"/>
    <w:rsid w:val="005C3273"/>
    <w:rsid w:val="005C32BE"/>
    <w:rsid w:val="005C336D"/>
    <w:rsid w:val="005C3443"/>
    <w:rsid w:val="005C34B2"/>
    <w:rsid w:val="005C34D2"/>
    <w:rsid w:val="005C3531"/>
    <w:rsid w:val="005C3565"/>
    <w:rsid w:val="005C3585"/>
    <w:rsid w:val="005C35E9"/>
    <w:rsid w:val="005C3604"/>
    <w:rsid w:val="005C3638"/>
    <w:rsid w:val="005C36B0"/>
    <w:rsid w:val="005C375F"/>
    <w:rsid w:val="005C37B9"/>
    <w:rsid w:val="005C37DF"/>
    <w:rsid w:val="005C3811"/>
    <w:rsid w:val="005C393B"/>
    <w:rsid w:val="005C3A87"/>
    <w:rsid w:val="005C3B60"/>
    <w:rsid w:val="005C3B8B"/>
    <w:rsid w:val="005C3D3E"/>
    <w:rsid w:val="005C3EB4"/>
    <w:rsid w:val="005C3EBF"/>
    <w:rsid w:val="005C3FA2"/>
    <w:rsid w:val="005C3FEB"/>
    <w:rsid w:val="005C4041"/>
    <w:rsid w:val="005C40E6"/>
    <w:rsid w:val="005C41E9"/>
    <w:rsid w:val="005C41ED"/>
    <w:rsid w:val="005C4250"/>
    <w:rsid w:val="005C42FD"/>
    <w:rsid w:val="005C431E"/>
    <w:rsid w:val="005C4363"/>
    <w:rsid w:val="005C4374"/>
    <w:rsid w:val="005C445D"/>
    <w:rsid w:val="005C4486"/>
    <w:rsid w:val="005C44B6"/>
    <w:rsid w:val="005C44D2"/>
    <w:rsid w:val="005C44EC"/>
    <w:rsid w:val="005C4504"/>
    <w:rsid w:val="005C4533"/>
    <w:rsid w:val="005C4541"/>
    <w:rsid w:val="005C458B"/>
    <w:rsid w:val="005C4660"/>
    <w:rsid w:val="005C46CD"/>
    <w:rsid w:val="005C47E5"/>
    <w:rsid w:val="005C48AB"/>
    <w:rsid w:val="005C4902"/>
    <w:rsid w:val="005C497F"/>
    <w:rsid w:val="005C4A5E"/>
    <w:rsid w:val="005C4ACC"/>
    <w:rsid w:val="005C4AF3"/>
    <w:rsid w:val="005C4B23"/>
    <w:rsid w:val="005C4B2D"/>
    <w:rsid w:val="005C4B52"/>
    <w:rsid w:val="005C4C85"/>
    <w:rsid w:val="005C4D44"/>
    <w:rsid w:val="005C4DCC"/>
    <w:rsid w:val="005C4E17"/>
    <w:rsid w:val="005C4EF7"/>
    <w:rsid w:val="005C4F31"/>
    <w:rsid w:val="005C4FD7"/>
    <w:rsid w:val="005C5016"/>
    <w:rsid w:val="005C505B"/>
    <w:rsid w:val="005C50E6"/>
    <w:rsid w:val="005C5126"/>
    <w:rsid w:val="005C5148"/>
    <w:rsid w:val="005C5152"/>
    <w:rsid w:val="005C5183"/>
    <w:rsid w:val="005C518F"/>
    <w:rsid w:val="005C5246"/>
    <w:rsid w:val="005C52E2"/>
    <w:rsid w:val="005C5323"/>
    <w:rsid w:val="005C5378"/>
    <w:rsid w:val="005C537E"/>
    <w:rsid w:val="005C53AC"/>
    <w:rsid w:val="005C5402"/>
    <w:rsid w:val="005C540A"/>
    <w:rsid w:val="005C550C"/>
    <w:rsid w:val="005C555D"/>
    <w:rsid w:val="005C5560"/>
    <w:rsid w:val="005C557A"/>
    <w:rsid w:val="005C568A"/>
    <w:rsid w:val="005C56C5"/>
    <w:rsid w:val="005C5716"/>
    <w:rsid w:val="005C5778"/>
    <w:rsid w:val="005C580D"/>
    <w:rsid w:val="005C58A2"/>
    <w:rsid w:val="005C58B8"/>
    <w:rsid w:val="005C5906"/>
    <w:rsid w:val="005C59B8"/>
    <w:rsid w:val="005C5A83"/>
    <w:rsid w:val="005C5ABD"/>
    <w:rsid w:val="005C5AFC"/>
    <w:rsid w:val="005C5B22"/>
    <w:rsid w:val="005C5BDD"/>
    <w:rsid w:val="005C5C2F"/>
    <w:rsid w:val="005C5CCB"/>
    <w:rsid w:val="005C5CF7"/>
    <w:rsid w:val="005C5D5F"/>
    <w:rsid w:val="005C5D87"/>
    <w:rsid w:val="005C5DBC"/>
    <w:rsid w:val="005C5E1B"/>
    <w:rsid w:val="005C5E55"/>
    <w:rsid w:val="005C5EA8"/>
    <w:rsid w:val="005C5F18"/>
    <w:rsid w:val="005C5F84"/>
    <w:rsid w:val="005C5F86"/>
    <w:rsid w:val="005C5F8F"/>
    <w:rsid w:val="005C6094"/>
    <w:rsid w:val="005C6159"/>
    <w:rsid w:val="005C6208"/>
    <w:rsid w:val="005C6251"/>
    <w:rsid w:val="005C6259"/>
    <w:rsid w:val="005C631C"/>
    <w:rsid w:val="005C6335"/>
    <w:rsid w:val="005C6390"/>
    <w:rsid w:val="005C6393"/>
    <w:rsid w:val="005C6403"/>
    <w:rsid w:val="005C641C"/>
    <w:rsid w:val="005C643D"/>
    <w:rsid w:val="005C6464"/>
    <w:rsid w:val="005C64C1"/>
    <w:rsid w:val="005C6553"/>
    <w:rsid w:val="005C65E1"/>
    <w:rsid w:val="005C65EB"/>
    <w:rsid w:val="005C6624"/>
    <w:rsid w:val="005C662A"/>
    <w:rsid w:val="005C662C"/>
    <w:rsid w:val="005C6649"/>
    <w:rsid w:val="005C6681"/>
    <w:rsid w:val="005C669E"/>
    <w:rsid w:val="005C6718"/>
    <w:rsid w:val="005C6729"/>
    <w:rsid w:val="005C672B"/>
    <w:rsid w:val="005C6752"/>
    <w:rsid w:val="005C678B"/>
    <w:rsid w:val="005C6825"/>
    <w:rsid w:val="005C6844"/>
    <w:rsid w:val="005C692F"/>
    <w:rsid w:val="005C696E"/>
    <w:rsid w:val="005C69E0"/>
    <w:rsid w:val="005C69F0"/>
    <w:rsid w:val="005C69FB"/>
    <w:rsid w:val="005C6ACB"/>
    <w:rsid w:val="005C6D6A"/>
    <w:rsid w:val="005C6E4C"/>
    <w:rsid w:val="005C6EBC"/>
    <w:rsid w:val="005C6EBD"/>
    <w:rsid w:val="005C6ECC"/>
    <w:rsid w:val="005C6EE8"/>
    <w:rsid w:val="005C6F15"/>
    <w:rsid w:val="005C6F17"/>
    <w:rsid w:val="005C701B"/>
    <w:rsid w:val="005C703C"/>
    <w:rsid w:val="005C7099"/>
    <w:rsid w:val="005C71A0"/>
    <w:rsid w:val="005C724F"/>
    <w:rsid w:val="005C728E"/>
    <w:rsid w:val="005C72C8"/>
    <w:rsid w:val="005C7306"/>
    <w:rsid w:val="005C7348"/>
    <w:rsid w:val="005C73A2"/>
    <w:rsid w:val="005C73C8"/>
    <w:rsid w:val="005C7421"/>
    <w:rsid w:val="005C7424"/>
    <w:rsid w:val="005C7446"/>
    <w:rsid w:val="005C7454"/>
    <w:rsid w:val="005C7468"/>
    <w:rsid w:val="005C746F"/>
    <w:rsid w:val="005C74A0"/>
    <w:rsid w:val="005C74CB"/>
    <w:rsid w:val="005C7512"/>
    <w:rsid w:val="005C7564"/>
    <w:rsid w:val="005C756E"/>
    <w:rsid w:val="005C7699"/>
    <w:rsid w:val="005C7707"/>
    <w:rsid w:val="005C7715"/>
    <w:rsid w:val="005C7748"/>
    <w:rsid w:val="005C7781"/>
    <w:rsid w:val="005C77F8"/>
    <w:rsid w:val="005C7873"/>
    <w:rsid w:val="005C792E"/>
    <w:rsid w:val="005C794D"/>
    <w:rsid w:val="005C79DB"/>
    <w:rsid w:val="005C79FB"/>
    <w:rsid w:val="005C7A0C"/>
    <w:rsid w:val="005C7A4B"/>
    <w:rsid w:val="005C7B64"/>
    <w:rsid w:val="005C7B93"/>
    <w:rsid w:val="005C7BBD"/>
    <w:rsid w:val="005C7C58"/>
    <w:rsid w:val="005C7EE4"/>
    <w:rsid w:val="005C7FAE"/>
    <w:rsid w:val="005C7FE2"/>
    <w:rsid w:val="005D000A"/>
    <w:rsid w:val="005D000E"/>
    <w:rsid w:val="005D0050"/>
    <w:rsid w:val="005D0163"/>
    <w:rsid w:val="005D01DB"/>
    <w:rsid w:val="005D01FA"/>
    <w:rsid w:val="005D0206"/>
    <w:rsid w:val="005D0222"/>
    <w:rsid w:val="005D0432"/>
    <w:rsid w:val="005D0442"/>
    <w:rsid w:val="005D050C"/>
    <w:rsid w:val="005D077A"/>
    <w:rsid w:val="005D07EE"/>
    <w:rsid w:val="005D0853"/>
    <w:rsid w:val="005D09E4"/>
    <w:rsid w:val="005D0A05"/>
    <w:rsid w:val="005D0A92"/>
    <w:rsid w:val="005D0AB5"/>
    <w:rsid w:val="005D0B28"/>
    <w:rsid w:val="005D0B61"/>
    <w:rsid w:val="005D0B9D"/>
    <w:rsid w:val="005D0BA1"/>
    <w:rsid w:val="005D0C1C"/>
    <w:rsid w:val="005D0CF5"/>
    <w:rsid w:val="005D0D7A"/>
    <w:rsid w:val="005D0D99"/>
    <w:rsid w:val="005D0DB2"/>
    <w:rsid w:val="005D0DD0"/>
    <w:rsid w:val="005D0E23"/>
    <w:rsid w:val="005D0EDE"/>
    <w:rsid w:val="005D0EE7"/>
    <w:rsid w:val="005D0EF8"/>
    <w:rsid w:val="005D1053"/>
    <w:rsid w:val="005D105B"/>
    <w:rsid w:val="005D10F4"/>
    <w:rsid w:val="005D11A3"/>
    <w:rsid w:val="005D11C5"/>
    <w:rsid w:val="005D1240"/>
    <w:rsid w:val="005D1257"/>
    <w:rsid w:val="005D12CA"/>
    <w:rsid w:val="005D12FD"/>
    <w:rsid w:val="005D1328"/>
    <w:rsid w:val="005D1397"/>
    <w:rsid w:val="005D13A2"/>
    <w:rsid w:val="005D13AC"/>
    <w:rsid w:val="005D1464"/>
    <w:rsid w:val="005D1635"/>
    <w:rsid w:val="005D1639"/>
    <w:rsid w:val="005D169B"/>
    <w:rsid w:val="005D18C0"/>
    <w:rsid w:val="005D18F9"/>
    <w:rsid w:val="005D195D"/>
    <w:rsid w:val="005D1999"/>
    <w:rsid w:val="005D19D4"/>
    <w:rsid w:val="005D19FB"/>
    <w:rsid w:val="005D19FC"/>
    <w:rsid w:val="005D1A22"/>
    <w:rsid w:val="005D1A32"/>
    <w:rsid w:val="005D1B97"/>
    <w:rsid w:val="005D1B9C"/>
    <w:rsid w:val="005D1BC2"/>
    <w:rsid w:val="005D1C1B"/>
    <w:rsid w:val="005D1C58"/>
    <w:rsid w:val="005D1C7A"/>
    <w:rsid w:val="005D1D26"/>
    <w:rsid w:val="005D1D35"/>
    <w:rsid w:val="005D1D46"/>
    <w:rsid w:val="005D1E44"/>
    <w:rsid w:val="005D1E53"/>
    <w:rsid w:val="005D1F20"/>
    <w:rsid w:val="005D1F67"/>
    <w:rsid w:val="005D1FBF"/>
    <w:rsid w:val="005D1FC6"/>
    <w:rsid w:val="005D2027"/>
    <w:rsid w:val="005D20AE"/>
    <w:rsid w:val="005D20C3"/>
    <w:rsid w:val="005D2171"/>
    <w:rsid w:val="005D21D2"/>
    <w:rsid w:val="005D21E1"/>
    <w:rsid w:val="005D2205"/>
    <w:rsid w:val="005D222F"/>
    <w:rsid w:val="005D232A"/>
    <w:rsid w:val="005D236B"/>
    <w:rsid w:val="005D23A5"/>
    <w:rsid w:val="005D23B3"/>
    <w:rsid w:val="005D2449"/>
    <w:rsid w:val="005D2535"/>
    <w:rsid w:val="005D25CB"/>
    <w:rsid w:val="005D2632"/>
    <w:rsid w:val="005D2699"/>
    <w:rsid w:val="005D26C1"/>
    <w:rsid w:val="005D272C"/>
    <w:rsid w:val="005D2764"/>
    <w:rsid w:val="005D276B"/>
    <w:rsid w:val="005D27A0"/>
    <w:rsid w:val="005D286E"/>
    <w:rsid w:val="005D2888"/>
    <w:rsid w:val="005D292D"/>
    <w:rsid w:val="005D2930"/>
    <w:rsid w:val="005D2957"/>
    <w:rsid w:val="005D2B12"/>
    <w:rsid w:val="005D2BFC"/>
    <w:rsid w:val="005D2C05"/>
    <w:rsid w:val="005D2C3C"/>
    <w:rsid w:val="005D2C6B"/>
    <w:rsid w:val="005D2CA2"/>
    <w:rsid w:val="005D2CEF"/>
    <w:rsid w:val="005D2E13"/>
    <w:rsid w:val="005D2EB1"/>
    <w:rsid w:val="005D2EEF"/>
    <w:rsid w:val="005D2F89"/>
    <w:rsid w:val="005D2FB1"/>
    <w:rsid w:val="005D2FB2"/>
    <w:rsid w:val="005D2FBD"/>
    <w:rsid w:val="005D304A"/>
    <w:rsid w:val="005D30A4"/>
    <w:rsid w:val="005D311B"/>
    <w:rsid w:val="005D311C"/>
    <w:rsid w:val="005D3128"/>
    <w:rsid w:val="005D323D"/>
    <w:rsid w:val="005D3258"/>
    <w:rsid w:val="005D3267"/>
    <w:rsid w:val="005D3338"/>
    <w:rsid w:val="005D337F"/>
    <w:rsid w:val="005D340F"/>
    <w:rsid w:val="005D3416"/>
    <w:rsid w:val="005D3423"/>
    <w:rsid w:val="005D34F8"/>
    <w:rsid w:val="005D3548"/>
    <w:rsid w:val="005D35A9"/>
    <w:rsid w:val="005D35DA"/>
    <w:rsid w:val="005D35E8"/>
    <w:rsid w:val="005D362F"/>
    <w:rsid w:val="005D3634"/>
    <w:rsid w:val="005D3663"/>
    <w:rsid w:val="005D36C9"/>
    <w:rsid w:val="005D36E1"/>
    <w:rsid w:val="005D36E9"/>
    <w:rsid w:val="005D374E"/>
    <w:rsid w:val="005D37A5"/>
    <w:rsid w:val="005D3875"/>
    <w:rsid w:val="005D3882"/>
    <w:rsid w:val="005D38A1"/>
    <w:rsid w:val="005D38D9"/>
    <w:rsid w:val="005D38E5"/>
    <w:rsid w:val="005D395F"/>
    <w:rsid w:val="005D3AAA"/>
    <w:rsid w:val="005D3AE1"/>
    <w:rsid w:val="005D3B43"/>
    <w:rsid w:val="005D3D02"/>
    <w:rsid w:val="005D3D43"/>
    <w:rsid w:val="005D3D5F"/>
    <w:rsid w:val="005D3DC1"/>
    <w:rsid w:val="005D3DD7"/>
    <w:rsid w:val="005D3E1E"/>
    <w:rsid w:val="005D3E5D"/>
    <w:rsid w:val="005D3FBE"/>
    <w:rsid w:val="005D3FCF"/>
    <w:rsid w:val="005D4013"/>
    <w:rsid w:val="005D404D"/>
    <w:rsid w:val="005D4101"/>
    <w:rsid w:val="005D4121"/>
    <w:rsid w:val="005D4140"/>
    <w:rsid w:val="005D4147"/>
    <w:rsid w:val="005D41BD"/>
    <w:rsid w:val="005D434B"/>
    <w:rsid w:val="005D43A1"/>
    <w:rsid w:val="005D4416"/>
    <w:rsid w:val="005D4468"/>
    <w:rsid w:val="005D4473"/>
    <w:rsid w:val="005D44AB"/>
    <w:rsid w:val="005D44D3"/>
    <w:rsid w:val="005D4551"/>
    <w:rsid w:val="005D4625"/>
    <w:rsid w:val="005D463B"/>
    <w:rsid w:val="005D47AB"/>
    <w:rsid w:val="005D4845"/>
    <w:rsid w:val="005D486A"/>
    <w:rsid w:val="005D4995"/>
    <w:rsid w:val="005D4997"/>
    <w:rsid w:val="005D49F2"/>
    <w:rsid w:val="005D4B42"/>
    <w:rsid w:val="005D4B54"/>
    <w:rsid w:val="005D4BCD"/>
    <w:rsid w:val="005D4C02"/>
    <w:rsid w:val="005D4C06"/>
    <w:rsid w:val="005D4C0D"/>
    <w:rsid w:val="005D4C37"/>
    <w:rsid w:val="005D4C4B"/>
    <w:rsid w:val="005D4DEE"/>
    <w:rsid w:val="005D4F76"/>
    <w:rsid w:val="005D4F8D"/>
    <w:rsid w:val="005D5092"/>
    <w:rsid w:val="005D50C5"/>
    <w:rsid w:val="005D50D5"/>
    <w:rsid w:val="005D5142"/>
    <w:rsid w:val="005D514B"/>
    <w:rsid w:val="005D5170"/>
    <w:rsid w:val="005D520F"/>
    <w:rsid w:val="005D5211"/>
    <w:rsid w:val="005D5271"/>
    <w:rsid w:val="005D52D7"/>
    <w:rsid w:val="005D52F1"/>
    <w:rsid w:val="005D5301"/>
    <w:rsid w:val="005D5313"/>
    <w:rsid w:val="005D5433"/>
    <w:rsid w:val="005D5459"/>
    <w:rsid w:val="005D545F"/>
    <w:rsid w:val="005D554E"/>
    <w:rsid w:val="005D55E7"/>
    <w:rsid w:val="005D5657"/>
    <w:rsid w:val="005D56B7"/>
    <w:rsid w:val="005D57B6"/>
    <w:rsid w:val="005D5837"/>
    <w:rsid w:val="005D588C"/>
    <w:rsid w:val="005D5891"/>
    <w:rsid w:val="005D5895"/>
    <w:rsid w:val="005D58C2"/>
    <w:rsid w:val="005D5952"/>
    <w:rsid w:val="005D597D"/>
    <w:rsid w:val="005D598A"/>
    <w:rsid w:val="005D5A1F"/>
    <w:rsid w:val="005D5A24"/>
    <w:rsid w:val="005D5A2E"/>
    <w:rsid w:val="005D5A63"/>
    <w:rsid w:val="005D5ADC"/>
    <w:rsid w:val="005D5AF8"/>
    <w:rsid w:val="005D5B74"/>
    <w:rsid w:val="005D5C05"/>
    <w:rsid w:val="005D5DDB"/>
    <w:rsid w:val="005D5DFA"/>
    <w:rsid w:val="005D5E21"/>
    <w:rsid w:val="005D5E34"/>
    <w:rsid w:val="005D5E63"/>
    <w:rsid w:val="005D5EC5"/>
    <w:rsid w:val="005D5EC6"/>
    <w:rsid w:val="005D5F04"/>
    <w:rsid w:val="005D5FE1"/>
    <w:rsid w:val="005D60C9"/>
    <w:rsid w:val="005D6101"/>
    <w:rsid w:val="005D630F"/>
    <w:rsid w:val="005D63D6"/>
    <w:rsid w:val="005D6412"/>
    <w:rsid w:val="005D6469"/>
    <w:rsid w:val="005D6587"/>
    <w:rsid w:val="005D65EC"/>
    <w:rsid w:val="005D667E"/>
    <w:rsid w:val="005D67B6"/>
    <w:rsid w:val="005D67D9"/>
    <w:rsid w:val="005D67EE"/>
    <w:rsid w:val="005D69B3"/>
    <w:rsid w:val="005D6A90"/>
    <w:rsid w:val="005D6AEB"/>
    <w:rsid w:val="005D6B41"/>
    <w:rsid w:val="005D6B95"/>
    <w:rsid w:val="005D6C29"/>
    <w:rsid w:val="005D6C5B"/>
    <w:rsid w:val="005D6CCC"/>
    <w:rsid w:val="005D6CCD"/>
    <w:rsid w:val="005D6D09"/>
    <w:rsid w:val="005D6D5F"/>
    <w:rsid w:val="005D6DEC"/>
    <w:rsid w:val="005D6EE6"/>
    <w:rsid w:val="005D6EF9"/>
    <w:rsid w:val="005D6F2E"/>
    <w:rsid w:val="005D6FA0"/>
    <w:rsid w:val="005D7000"/>
    <w:rsid w:val="005D7006"/>
    <w:rsid w:val="005D70DA"/>
    <w:rsid w:val="005D7103"/>
    <w:rsid w:val="005D710D"/>
    <w:rsid w:val="005D7243"/>
    <w:rsid w:val="005D7254"/>
    <w:rsid w:val="005D7271"/>
    <w:rsid w:val="005D72D2"/>
    <w:rsid w:val="005D72EB"/>
    <w:rsid w:val="005D733E"/>
    <w:rsid w:val="005D73DD"/>
    <w:rsid w:val="005D741A"/>
    <w:rsid w:val="005D74C5"/>
    <w:rsid w:val="005D74EE"/>
    <w:rsid w:val="005D754A"/>
    <w:rsid w:val="005D75B9"/>
    <w:rsid w:val="005D77DE"/>
    <w:rsid w:val="005D785C"/>
    <w:rsid w:val="005D79AE"/>
    <w:rsid w:val="005D7A09"/>
    <w:rsid w:val="005D7A12"/>
    <w:rsid w:val="005D7AAD"/>
    <w:rsid w:val="005D7B63"/>
    <w:rsid w:val="005D7B72"/>
    <w:rsid w:val="005D7B77"/>
    <w:rsid w:val="005D7C27"/>
    <w:rsid w:val="005D7C31"/>
    <w:rsid w:val="005D7C73"/>
    <w:rsid w:val="005D7D29"/>
    <w:rsid w:val="005D7D53"/>
    <w:rsid w:val="005D7D6B"/>
    <w:rsid w:val="005D7DCD"/>
    <w:rsid w:val="005D7DEE"/>
    <w:rsid w:val="005D7E19"/>
    <w:rsid w:val="005D7E40"/>
    <w:rsid w:val="005D7E89"/>
    <w:rsid w:val="005D7F14"/>
    <w:rsid w:val="005D7FC7"/>
    <w:rsid w:val="005D7FFA"/>
    <w:rsid w:val="005E0022"/>
    <w:rsid w:val="005E0074"/>
    <w:rsid w:val="005E00C9"/>
    <w:rsid w:val="005E00E4"/>
    <w:rsid w:val="005E011B"/>
    <w:rsid w:val="005E014D"/>
    <w:rsid w:val="005E016C"/>
    <w:rsid w:val="005E01A5"/>
    <w:rsid w:val="005E0255"/>
    <w:rsid w:val="005E02F5"/>
    <w:rsid w:val="005E042F"/>
    <w:rsid w:val="005E045A"/>
    <w:rsid w:val="005E047F"/>
    <w:rsid w:val="005E04B4"/>
    <w:rsid w:val="005E05E1"/>
    <w:rsid w:val="005E0619"/>
    <w:rsid w:val="005E0688"/>
    <w:rsid w:val="005E06EB"/>
    <w:rsid w:val="005E0705"/>
    <w:rsid w:val="005E0749"/>
    <w:rsid w:val="005E076D"/>
    <w:rsid w:val="005E076F"/>
    <w:rsid w:val="005E0771"/>
    <w:rsid w:val="005E07B6"/>
    <w:rsid w:val="005E07D9"/>
    <w:rsid w:val="005E0802"/>
    <w:rsid w:val="005E0808"/>
    <w:rsid w:val="005E080C"/>
    <w:rsid w:val="005E083C"/>
    <w:rsid w:val="005E08D5"/>
    <w:rsid w:val="005E08FC"/>
    <w:rsid w:val="005E090C"/>
    <w:rsid w:val="005E0910"/>
    <w:rsid w:val="005E0951"/>
    <w:rsid w:val="005E0A9E"/>
    <w:rsid w:val="005E0B19"/>
    <w:rsid w:val="005E0B39"/>
    <w:rsid w:val="005E0B56"/>
    <w:rsid w:val="005E0C3F"/>
    <w:rsid w:val="005E0C52"/>
    <w:rsid w:val="005E0C54"/>
    <w:rsid w:val="005E0D80"/>
    <w:rsid w:val="005E0D83"/>
    <w:rsid w:val="005E0DDA"/>
    <w:rsid w:val="005E0DF2"/>
    <w:rsid w:val="005E0E12"/>
    <w:rsid w:val="005E0EB5"/>
    <w:rsid w:val="005E0F3D"/>
    <w:rsid w:val="005E0F82"/>
    <w:rsid w:val="005E0FB4"/>
    <w:rsid w:val="005E0FDF"/>
    <w:rsid w:val="005E1077"/>
    <w:rsid w:val="005E10B7"/>
    <w:rsid w:val="005E1131"/>
    <w:rsid w:val="005E1149"/>
    <w:rsid w:val="005E119F"/>
    <w:rsid w:val="005E11B8"/>
    <w:rsid w:val="005E11BA"/>
    <w:rsid w:val="005E11C8"/>
    <w:rsid w:val="005E11F3"/>
    <w:rsid w:val="005E122B"/>
    <w:rsid w:val="005E12AE"/>
    <w:rsid w:val="005E13AA"/>
    <w:rsid w:val="005E13E8"/>
    <w:rsid w:val="005E1489"/>
    <w:rsid w:val="005E149C"/>
    <w:rsid w:val="005E14F1"/>
    <w:rsid w:val="005E1527"/>
    <w:rsid w:val="005E1535"/>
    <w:rsid w:val="005E15A2"/>
    <w:rsid w:val="005E15B6"/>
    <w:rsid w:val="005E15E9"/>
    <w:rsid w:val="005E15F8"/>
    <w:rsid w:val="005E160E"/>
    <w:rsid w:val="005E1635"/>
    <w:rsid w:val="005E1647"/>
    <w:rsid w:val="005E16E8"/>
    <w:rsid w:val="005E1766"/>
    <w:rsid w:val="005E17E3"/>
    <w:rsid w:val="005E183A"/>
    <w:rsid w:val="005E1AB1"/>
    <w:rsid w:val="005E1B19"/>
    <w:rsid w:val="005E1BAE"/>
    <w:rsid w:val="005E1C7E"/>
    <w:rsid w:val="005E1CFC"/>
    <w:rsid w:val="005E1D01"/>
    <w:rsid w:val="005E1D8A"/>
    <w:rsid w:val="005E1DA0"/>
    <w:rsid w:val="005E1E6A"/>
    <w:rsid w:val="005E1E80"/>
    <w:rsid w:val="005E1ECD"/>
    <w:rsid w:val="005E1F43"/>
    <w:rsid w:val="005E2055"/>
    <w:rsid w:val="005E20FA"/>
    <w:rsid w:val="005E21F2"/>
    <w:rsid w:val="005E220F"/>
    <w:rsid w:val="005E222F"/>
    <w:rsid w:val="005E2231"/>
    <w:rsid w:val="005E2279"/>
    <w:rsid w:val="005E22CF"/>
    <w:rsid w:val="005E22E1"/>
    <w:rsid w:val="005E22FF"/>
    <w:rsid w:val="005E239B"/>
    <w:rsid w:val="005E23B5"/>
    <w:rsid w:val="005E23BA"/>
    <w:rsid w:val="005E23CD"/>
    <w:rsid w:val="005E2430"/>
    <w:rsid w:val="005E2456"/>
    <w:rsid w:val="005E24D7"/>
    <w:rsid w:val="005E2615"/>
    <w:rsid w:val="005E2672"/>
    <w:rsid w:val="005E26BA"/>
    <w:rsid w:val="005E270C"/>
    <w:rsid w:val="005E27AF"/>
    <w:rsid w:val="005E2843"/>
    <w:rsid w:val="005E284A"/>
    <w:rsid w:val="005E2869"/>
    <w:rsid w:val="005E28D5"/>
    <w:rsid w:val="005E28DF"/>
    <w:rsid w:val="005E28E4"/>
    <w:rsid w:val="005E2975"/>
    <w:rsid w:val="005E29F4"/>
    <w:rsid w:val="005E2B14"/>
    <w:rsid w:val="005E2B70"/>
    <w:rsid w:val="005E2B91"/>
    <w:rsid w:val="005E2C24"/>
    <w:rsid w:val="005E2C56"/>
    <w:rsid w:val="005E2CDB"/>
    <w:rsid w:val="005E2D2A"/>
    <w:rsid w:val="005E2D37"/>
    <w:rsid w:val="005E2DF2"/>
    <w:rsid w:val="005E2E07"/>
    <w:rsid w:val="005E2EC4"/>
    <w:rsid w:val="005E2F68"/>
    <w:rsid w:val="005E2FED"/>
    <w:rsid w:val="005E2FF4"/>
    <w:rsid w:val="005E306A"/>
    <w:rsid w:val="005E3086"/>
    <w:rsid w:val="005E30C1"/>
    <w:rsid w:val="005E31C3"/>
    <w:rsid w:val="005E31F3"/>
    <w:rsid w:val="005E3341"/>
    <w:rsid w:val="005E33CD"/>
    <w:rsid w:val="005E3422"/>
    <w:rsid w:val="005E34CE"/>
    <w:rsid w:val="005E34D6"/>
    <w:rsid w:val="005E34EE"/>
    <w:rsid w:val="005E3511"/>
    <w:rsid w:val="005E35A8"/>
    <w:rsid w:val="005E35F9"/>
    <w:rsid w:val="005E3605"/>
    <w:rsid w:val="005E3728"/>
    <w:rsid w:val="005E372E"/>
    <w:rsid w:val="005E382B"/>
    <w:rsid w:val="005E385D"/>
    <w:rsid w:val="005E38AF"/>
    <w:rsid w:val="005E38DA"/>
    <w:rsid w:val="005E3962"/>
    <w:rsid w:val="005E39B3"/>
    <w:rsid w:val="005E39F5"/>
    <w:rsid w:val="005E3A48"/>
    <w:rsid w:val="005E3AB2"/>
    <w:rsid w:val="005E3C89"/>
    <w:rsid w:val="005E3D2D"/>
    <w:rsid w:val="005E3D84"/>
    <w:rsid w:val="005E3DE9"/>
    <w:rsid w:val="005E3E65"/>
    <w:rsid w:val="005E3F72"/>
    <w:rsid w:val="005E402E"/>
    <w:rsid w:val="005E4081"/>
    <w:rsid w:val="005E4145"/>
    <w:rsid w:val="005E416C"/>
    <w:rsid w:val="005E4190"/>
    <w:rsid w:val="005E422D"/>
    <w:rsid w:val="005E42E6"/>
    <w:rsid w:val="005E4314"/>
    <w:rsid w:val="005E43F9"/>
    <w:rsid w:val="005E4439"/>
    <w:rsid w:val="005E444C"/>
    <w:rsid w:val="005E44A0"/>
    <w:rsid w:val="005E44A9"/>
    <w:rsid w:val="005E44B1"/>
    <w:rsid w:val="005E456A"/>
    <w:rsid w:val="005E45E3"/>
    <w:rsid w:val="005E4608"/>
    <w:rsid w:val="005E4644"/>
    <w:rsid w:val="005E4649"/>
    <w:rsid w:val="005E465D"/>
    <w:rsid w:val="005E4699"/>
    <w:rsid w:val="005E4700"/>
    <w:rsid w:val="005E4757"/>
    <w:rsid w:val="005E4769"/>
    <w:rsid w:val="005E4851"/>
    <w:rsid w:val="005E48ED"/>
    <w:rsid w:val="005E4A8A"/>
    <w:rsid w:val="005E4AF8"/>
    <w:rsid w:val="005E4B4A"/>
    <w:rsid w:val="005E4C51"/>
    <w:rsid w:val="005E4C59"/>
    <w:rsid w:val="005E4C5A"/>
    <w:rsid w:val="005E4D2A"/>
    <w:rsid w:val="005E4D7C"/>
    <w:rsid w:val="005E4D85"/>
    <w:rsid w:val="005E4E08"/>
    <w:rsid w:val="005E4E31"/>
    <w:rsid w:val="005E4E52"/>
    <w:rsid w:val="005E4F7B"/>
    <w:rsid w:val="005E501C"/>
    <w:rsid w:val="005E504A"/>
    <w:rsid w:val="005E5130"/>
    <w:rsid w:val="005E51E4"/>
    <w:rsid w:val="005E521B"/>
    <w:rsid w:val="005E530C"/>
    <w:rsid w:val="005E5368"/>
    <w:rsid w:val="005E53A0"/>
    <w:rsid w:val="005E53F3"/>
    <w:rsid w:val="005E5405"/>
    <w:rsid w:val="005E5423"/>
    <w:rsid w:val="005E546C"/>
    <w:rsid w:val="005E5573"/>
    <w:rsid w:val="005E5827"/>
    <w:rsid w:val="005E5940"/>
    <w:rsid w:val="005E5947"/>
    <w:rsid w:val="005E5956"/>
    <w:rsid w:val="005E596C"/>
    <w:rsid w:val="005E5A3E"/>
    <w:rsid w:val="005E5A6B"/>
    <w:rsid w:val="005E5A80"/>
    <w:rsid w:val="005E5A93"/>
    <w:rsid w:val="005E5B4E"/>
    <w:rsid w:val="005E5B59"/>
    <w:rsid w:val="005E5BBD"/>
    <w:rsid w:val="005E5BFD"/>
    <w:rsid w:val="005E5C28"/>
    <w:rsid w:val="005E5C77"/>
    <w:rsid w:val="005E5CB9"/>
    <w:rsid w:val="005E5D49"/>
    <w:rsid w:val="005E5DA1"/>
    <w:rsid w:val="005E5F6A"/>
    <w:rsid w:val="005E5F7C"/>
    <w:rsid w:val="005E5FE4"/>
    <w:rsid w:val="005E5FF7"/>
    <w:rsid w:val="005E601B"/>
    <w:rsid w:val="005E6132"/>
    <w:rsid w:val="005E616A"/>
    <w:rsid w:val="005E61D8"/>
    <w:rsid w:val="005E61E4"/>
    <w:rsid w:val="005E6222"/>
    <w:rsid w:val="005E6280"/>
    <w:rsid w:val="005E62EB"/>
    <w:rsid w:val="005E62FC"/>
    <w:rsid w:val="005E6347"/>
    <w:rsid w:val="005E642E"/>
    <w:rsid w:val="005E6502"/>
    <w:rsid w:val="005E6564"/>
    <w:rsid w:val="005E65CF"/>
    <w:rsid w:val="005E65FC"/>
    <w:rsid w:val="005E6600"/>
    <w:rsid w:val="005E6704"/>
    <w:rsid w:val="005E6714"/>
    <w:rsid w:val="005E6719"/>
    <w:rsid w:val="005E6727"/>
    <w:rsid w:val="005E6741"/>
    <w:rsid w:val="005E6791"/>
    <w:rsid w:val="005E67CB"/>
    <w:rsid w:val="005E67ED"/>
    <w:rsid w:val="005E683E"/>
    <w:rsid w:val="005E68AC"/>
    <w:rsid w:val="005E68B2"/>
    <w:rsid w:val="005E68D9"/>
    <w:rsid w:val="005E68DB"/>
    <w:rsid w:val="005E695A"/>
    <w:rsid w:val="005E69C2"/>
    <w:rsid w:val="005E69E2"/>
    <w:rsid w:val="005E6A11"/>
    <w:rsid w:val="005E6A3E"/>
    <w:rsid w:val="005E6A60"/>
    <w:rsid w:val="005E6C11"/>
    <w:rsid w:val="005E6C4E"/>
    <w:rsid w:val="005E6C60"/>
    <w:rsid w:val="005E6C74"/>
    <w:rsid w:val="005E6D0F"/>
    <w:rsid w:val="005E6D3D"/>
    <w:rsid w:val="005E6D5B"/>
    <w:rsid w:val="005E6DE1"/>
    <w:rsid w:val="005E6E56"/>
    <w:rsid w:val="005E6F74"/>
    <w:rsid w:val="005E6FF8"/>
    <w:rsid w:val="005E7005"/>
    <w:rsid w:val="005E706E"/>
    <w:rsid w:val="005E71A4"/>
    <w:rsid w:val="005E71A7"/>
    <w:rsid w:val="005E71DB"/>
    <w:rsid w:val="005E7275"/>
    <w:rsid w:val="005E72EE"/>
    <w:rsid w:val="005E735E"/>
    <w:rsid w:val="005E7394"/>
    <w:rsid w:val="005E743D"/>
    <w:rsid w:val="005E7453"/>
    <w:rsid w:val="005E7484"/>
    <w:rsid w:val="005E74D7"/>
    <w:rsid w:val="005E74E9"/>
    <w:rsid w:val="005E75F6"/>
    <w:rsid w:val="005E767D"/>
    <w:rsid w:val="005E7765"/>
    <w:rsid w:val="005E778B"/>
    <w:rsid w:val="005E7873"/>
    <w:rsid w:val="005E78A1"/>
    <w:rsid w:val="005E78DD"/>
    <w:rsid w:val="005E7911"/>
    <w:rsid w:val="005E7AB2"/>
    <w:rsid w:val="005E7AC2"/>
    <w:rsid w:val="005E7B5A"/>
    <w:rsid w:val="005E7B66"/>
    <w:rsid w:val="005E7C47"/>
    <w:rsid w:val="005E7C77"/>
    <w:rsid w:val="005E7D25"/>
    <w:rsid w:val="005E7D7C"/>
    <w:rsid w:val="005E7DD0"/>
    <w:rsid w:val="005E7EFC"/>
    <w:rsid w:val="005E7F86"/>
    <w:rsid w:val="005E7FA6"/>
    <w:rsid w:val="005F0039"/>
    <w:rsid w:val="005F0067"/>
    <w:rsid w:val="005F014D"/>
    <w:rsid w:val="005F01FB"/>
    <w:rsid w:val="005F043C"/>
    <w:rsid w:val="005F0446"/>
    <w:rsid w:val="005F0516"/>
    <w:rsid w:val="005F0582"/>
    <w:rsid w:val="005F05E5"/>
    <w:rsid w:val="005F06AF"/>
    <w:rsid w:val="005F06E4"/>
    <w:rsid w:val="005F0758"/>
    <w:rsid w:val="005F076B"/>
    <w:rsid w:val="005F081E"/>
    <w:rsid w:val="005F081F"/>
    <w:rsid w:val="005F0821"/>
    <w:rsid w:val="005F0904"/>
    <w:rsid w:val="005F0A9C"/>
    <w:rsid w:val="005F0AC8"/>
    <w:rsid w:val="005F0BCB"/>
    <w:rsid w:val="005F0CCA"/>
    <w:rsid w:val="005F0D59"/>
    <w:rsid w:val="005F0D84"/>
    <w:rsid w:val="005F0DA3"/>
    <w:rsid w:val="005F0DE0"/>
    <w:rsid w:val="005F0DF1"/>
    <w:rsid w:val="005F0E01"/>
    <w:rsid w:val="005F0E77"/>
    <w:rsid w:val="005F0EEB"/>
    <w:rsid w:val="005F0FFA"/>
    <w:rsid w:val="005F104D"/>
    <w:rsid w:val="005F1093"/>
    <w:rsid w:val="005F10CA"/>
    <w:rsid w:val="005F10E9"/>
    <w:rsid w:val="005F1116"/>
    <w:rsid w:val="005F1157"/>
    <w:rsid w:val="005F11DF"/>
    <w:rsid w:val="005F11EC"/>
    <w:rsid w:val="005F1216"/>
    <w:rsid w:val="005F1283"/>
    <w:rsid w:val="005F1301"/>
    <w:rsid w:val="005F143D"/>
    <w:rsid w:val="005F1489"/>
    <w:rsid w:val="005F14D0"/>
    <w:rsid w:val="005F14EC"/>
    <w:rsid w:val="005F155F"/>
    <w:rsid w:val="005F156D"/>
    <w:rsid w:val="005F165D"/>
    <w:rsid w:val="005F180F"/>
    <w:rsid w:val="005F1812"/>
    <w:rsid w:val="005F18EE"/>
    <w:rsid w:val="005F1926"/>
    <w:rsid w:val="005F1A70"/>
    <w:rsid w:val="005F1ABB"/>
    <w:rsid w:val="005F1AF8"/>
    <w:rsid w:val="005F1B1C"/>
    <w:rsid w:val="005F1B2D"/>
    <w:rsid w:val="005F1B39"/>
    <w:rsid w:val="005F1B4B"/>
    <w:rsid w:val="005F1C03"/>
    <w:rsid w:val="005F1C44"/>
    <w:rsid w:val="005F1C9B"/>
    <w:rsid w:val="005F1CFF"/>
    <w:rsid w:val="005F1D01"/>
    <w:rsid w:val="005F1D3F"/>
    <w:rsid w:val="005F1D43"/>
    <w:rsid w:val="005F1DD0"/>
    <w:rsid w:val="005F1F3E"/>
    <w:rsid w:val="005F1FA8"/>
    <w:rsid w:val="005F2050"/>
    <w:rsid w:val="005F2051"/>
    <w:rsid w:val="005F20B0"/>
    <w:rsid w:val="005F22E7"/>
    <w:rsid w:val="005F231B"/>
    <w:rsid w:val="005F236A"/>
    <w:rsid w:val="005F2559"/>
    <w:rsid w:val="005F25BC"/>
    <w:rsid w:val="005F25EE"/>
    <w:rsid w:val="005F26E0"/>
    <w:rsid w:val="005F26EC"/>
    <w:rsid w:val="005F26F3"/>
    <w:rsid w:val="005F2743"/>
    <w:rsid w:val="005F2775"/>
    <w:rsid w:val="005F2791"/>
    <w:rsid w:val="005F27C5"/>
    <w:rsid w:val="005F2838"/>
    <w:rsid w:val="005F2844"/>
    <w:rsid w:val="005F2881"/>
    <w:rsid w:val="005F288A"/>
    <w:rsid w:val="005F297B"/>
    <w:rsid w:val="005F2A20"/>
    <w:rsid w:val="005F2A39"/>
    <w:rsid w:val="005F2A91"/>
    <w:rsid w:val="005F2AB0"/>
    <w:rsid w:val="005F2ABC"/>
    <w:rsid w:val="005F2AF4"/>
    <w:rsid w:val="005F2B06"/>
    <w:rsid w:val="005F2BB7"/>
    <w:rsid w:val="005F2BC1"/>
    <w:rsid w:val="005F2BE0"/>
    <w:rsid w:val="005F2CC4"/>
    <w:rsid w:val="005F2D79"/>
    <w:rsid w:val="005F2DAF"/>
    <w:rsid w:val="005F2EAE"/>
    <w:rsid w:val="005F2EFB"/>
    <w:rsid w:val="005F2F91"/>
    <w:rsid w:val="005F2FE5"/>
    <w:rsid w:val="005F3031"/>
    <w:rsid w:val="005F305A"/>
    <w:rsid w:val="005F3075"/>
    <w:rsid w:val="005F3158"/>
    <w:rsid w:val="005F3194"/>
    <w:rsid w:val="005F31F6"/>
    <w:rsid w:val="005F32C4"/>
    <w:rsid w:val="005F34DE"/>
    <w:rsid w:val="005F359E"/>
    <w:rsid w:val="005F35A0"/>
    <w:rsid w:val="005F3604"/>
    <w:rsid w:val="005F3642"/>
    <w:rsid w:val="005F3683"/>
    <w:rsid w:val="005F3844"/>
    <w:rsid w:val="005F38C2"/>
    <w:rsid w:val="005F38D8"/>
    <w:rsid w:val="005F3922"/>
    <w:rsid w:val="005F3A36"/>
    <w:rsid w:val="005F3AB1"/>
    <w:rsid w:val="005F3ACA"/>
    <w:rsid w:val="005F3ACF"/>
    <w:rsid w:val="005F3B06"/>
    <w:rsid w:val="005F3B2F"/>
    <w:rsid w:val="005F3B79"/>
    <w:rsid w:val="005F3C10"/>
    <w:rsid w:val="005F3E8A"/>
    <w:rsid w:val="005F3ED5"/>
    <w:rsid w:val="005F3F3E"/>
    <w:rsid w:val="005F3FAA"/>
    <w:rsid w:val="005F3FB0"/>
    <w:rsid w:val="005F406A"/>
    <w:rsid w:val="005F40A2"/>
    <w:rsid w:val="005F4126"/>
    <w:rsid w:val="005F4155"/>
    <w:rsid w:val="005F4297"/>
    <w:rsid w:val="005F42BD"/>
    <w:rsid w:val="005F42EC"/>
    <w:rsid w:val="005F4305"/>
    <w:rsid w:val="005F4306"/>
    <w:rsid w:val="005F438C"/>
    <w:rsid w:val="005F4391"/>
    <w:rsid w:val="005F44E5"/>
    <w:rsid w:val="005F46C5"/>
    <w:rsid w:val="005F46F2"/>
    <w:rsid w:val="005F4770"/>
    <w:rsid w:val="005F478D"/>
    <w:rsid w:val="005F47A6"/>
    <w:rsid w:val="005F47AC"/>
    <w:rsid w:val="005F47B2"/>
    <w:rsid w:val="005F47E9"/>
    <w:rsid w:val="005F4872"/>
    <w:rsid w:val="005F49C5"/>
    <w:rsid w:val="005F4A04"/>
    <w:rsid w:val="005F4B3A"/>
    <w:rsid w:val="005F4B72"/>
    <w:rsid w:val="005F4B74"/>
    <w:rsid w:val="005F4B9A"/>
    <w:rsid w:val="005F4BA5"/>
    <w:rsid w:val="005F4BFC"/>
    <w:rsid w:val="005F4C3D"/>
    <w:rsid w:val="005F4C41"/>
    <w:rsid w:val="005F4C83"/>
    <w:rsid w:val="005F4D06"/>
    <w:rsid w:val="005F4D80"/>
    <w:rsid w:val="005F4DF3"/>
    <w:rsid w:val="005F4E27"/>
    <w:rsid w:val="005F4EDA"/>
    <w:rsid w:val="005F4F9F"/>
    <w:rsid w:val="005F507F"/>
    <w:rsid w:val="005F50A6"/>
    <w:rsid w:val="005F5192"/>
    <w:rsid w:val="005F51D8"/>
    <w:rsid w:val="005F51E8"/>
    <w:rsid w:val="005F5237"/>
    <w:rsid w:val="005F5300"/>
    <w:rsid w:val="005F5393"/>
    <w:rsid w:val="005F544F"/>
    <w:rsid w:val="005F55E3"/>
    <w:rsid w:val="005F56AC"/>
    <w:rsid w:val="005F56D3"/>
    <w:rsid w:val="005F56DC"/>
    <w:rsid w:val="005F570D"/>
    <w:rsid w:val="005F5808"/>
    <w:rsid w:val="005F58C2"/>
    <w:rsid w:val="005F59FC"/>
    <w:rsid w:val="005F5B81"/>
    <w:rsid w:val="005F5B9E"/>
    <w:rsid w:val="005F5BD2"/>
    <w:rsid w:val="005F5C7E"/>
    <w:rsid w:val="005F5CA1"/>
    <w:rsid w:val="005F5D06"/>
    <w:rsid w:val="005F5D38"/>
    <w:rsid w:val="005F5D9E"/>
    <w:rsid w:val="005F5DB9"/>
    <w:rsid w:val="005F5DCC"/>
    <w:rsid w:val="005F5EC5"/>
    <w:rsid w:val="005F5ECC"/>
    <w:rsid w:val="005F5FD7"/>
    <w:rsid w:val="005F60C2"/>
    <w:rsid w:val="005F6102"/>
    <w:rsid w:val="005F610B"/>
    <w:rsid w:val="005F6145"/>
    <w:rsid w:val="005F61B9"/>
    <w:rsid w:val="005F61D9"/>
    <w:rsid w:val="005F61F8"/>
    <w:rsid w:val="005F6249"/>
    <w:rsid w:val="005F6265"/>
    <w:rsid w:val="005F6277"/>
    <w:rsid w:val="005F6303"/>
    <w:rsid w:val="005F63E2"/>
    <w:rsid w:val="005F63F2"/>
    <w:rsid w:val="005F64B8"/>
    <w:rsid w:val="005F64B9"/>
    <w:rsid w:val="005F64C8"/>
    <w:rsid w:val="005F64CC"/>
    <w:rsid w:val="005F6502"/>
    <w:rsid w:val="005F65C8"/>
    <w:rsid w:val="005F6665"/>
    <w:rsid w:val="005F66C5"/>
    <w:rsid w:val="005F66D4"/>
    <w:rsid w:val="005F6710"/>
    <w:rsid w:val="005F6738"/>
    <w:rsid w:val="005F6762"/>
    <w:rsid w:val="005F6780"/>
    <w:rsid w:val="005F6785"/>
    <w:rsid w:val="005F682B"/>
    <w:rsid w:val="005F68D4"/>
    <w:rsid w:val="005F6915"/>
    <w:rsid w:val="005F6927"/>
    <w:rsid w:val="005F6A4B"/>
    <w:rsid w:val="005F6A4E"/>
    <w:rsid w:val="005F6A76"/>
    <w:rsid w:val="005F6AE4"/>
    <w:rsid w:val="005F6B62"/>
    <w:rsid w:val="005F6B73"/>
    <w:rsid w:val="005F6D02"/>
    <w:rsid w:val="005F6D41"/>
    <w:rsid w:val="005F6DA1"/>
    <w:rsid w:val="005F6E0B"/>
    <w:rsid w:val="005F6E90"/>
    <w:rsid w:val="005F6EE3"/>
    <w:rsid w:val="005F6F42"/>
    <w:rsid w:val="005F6F90"/>
    <w:rsid w:val="005F71BA"/>
    <w:rsid w:val="005F7262"/>
    <w:rsid w:val="005F7263"/>
    <w:rsid w:val="005F7481"/>
    <w:rsid w:val="005F74A9"/>
    <w:rsid w:val="005F75A5"/>
    <w:rsid w:val="005F761A"/>
    <w:rsid w:val="005F7684"/>
    <w:rsid w:val="005F769F"/>
    <w:rsid w:val="005F774E"/>
    <w:rsid w:val="005F779E"/>
    <w:rsid w:val="005F7800"/>
    <w:rsid w:val="005F78A8"/>
    <w:rsid w:val="005F78B1"/>
    <w:rsid w:val="005F78FB"/>
    <w:rsid w:val="005F792B"/>
    <w:rsid w:val="005F79DC"/>
    <w:rsid w:val="005F79E3"/>
    <w:rsid w:val="005F7A43"/>
    <w:rsid w:val="005F7A69"/>
    <w:rsid w:val="005F7AB0"/>
    <w:rsid w:val="005F7B09"/>
    <w:rsid w:val="005F7B15"/>
    <w:rsid w:val="005F7B46"/>
    <w:rsid w:val="005F7B7D"/>
    <w:rsid w:val="005F7BB8"/>
    <w:rsid w:val="005F7C8A"/>
    <w:rsid w:val="005F7D37"/>
    <w:rsid w:val="005F7DCD"/>
    <w:rsid w:val="005F7E28"/>
    <w:rsid w:val="005F7EC4"/>
    <w:rsid w:val="005F7F4B"/>
    <w:rsid w:val="005F7FF3"/>
    <w:rsid w:val="006000A0"/>
    <w:rsid w:val="006000F6"/>
    <w:rsid w:val="00600119"/>
    <w:rsid w:val="0060011F"/>
    <w:rsid w:val="00600153"/>
    <w:rsid w:val="0060019D"/>
    <w:rsid w:val="006001EB"/>
    <w:rsid w:val="0060023F"/>
    <w:rsid w:val="0060024D"/>
    <w:rsid w:val="0060033C"/>
    <w:rsid w:val="00600397"/>
    <w:rsid w:val="006003A8"/>
    <w:rsid w:val="006004A1"/>
    <w:rsid w:val="006004EA"/>
    <w:rsid w:val="00600542"/>
    <w:rsid w:val="00600566"/>
    <w:rsid w:val="006005A2"/>
    <w:rsid w:val="00600667"/>
    <w:rsid w:val="0060083E"/>
    <w:rsid w:val="006009BB"/>
    <w:rsid w:val="006009CD"/>
    <w:rsid w:val="00600AFF"/>
    <w:rsid w:val="00600B08"/>
    <w:rsid w:val="00600B0C"/>
    <w:rsid w:val="00600B24"/>
    <w:rsid w:val="00600B66"/>
    <w:rsid w:val="00600BA5"/>
    <w:rsid w:val="00600BAD"/>
    <w:rsid w:val="00600C5B"/>
    <w:rsid w:val="00600CB3"/>
    <w:rsid w:val="00600D4B"/>
    <w:rsid w:val="00600D52"/>
    <w:rsid w:val="00600D84"/>
    <w:rsid w:val="00600DD9"/>
    <w:rsid w:val="00600DE3"/>
    <w:rsid w:val="00600E1F"/>
    <w:rsid w:val="00600E9C"/>
    <w:rsid w:val="00600EC4"/>
    <w:rsid w:val="00600EC5"/>
    <w:rsid w:val="00600EF6"/>
    <w:rsid w:val="00600F15"/>
    <w:rsid w:val="00600F8F"/>
    <w:rsid w:val="00600FAA"/>
    <w:rsid w:val="006010BB"/>
    <w:rsid w:val="006010D1"/>
    <w:rsid w:val="0060111E"/>
    <w:rsid w:val="006011DE"/>
    <w:rsid w:val="00601216"/>
    <w:rsid w:val="00601241"/>
    <w:rsid w:val="00601248"/>
    <w:rsid w:val="006013A5"/>
    <w:rsid w:val="006013F5"/>
    <w:rsid w:val="00601460"/>
    <w:rsid w:val="006014C9"/>
    <w:rsid w:val="0060153F"/>
    <w:rsid w:val="00601589"/>
    <w:rsid w:val="006015C8"/>
    <w:rsid w:val="0060161A"/>
    <w:rsid w:val="006016D9"/>
    <w:rsid w:val="00601701"/>
    <w:rsid w:val="00601717"/>
    <w:rsid w:val="00601761"/>
    <w:rsid w:val="00601800"/>
    <w:rsid w:val="0060184E"/>
    <w:rsid w:val="00601927"/>
    <w:rsid w:val="00601930"/>
    <w:rsid w:val="00601997"/>
    <w:rsid w:val="00601A6D"/>
    <w:rsid w:val="00601AFC"/>
    <w:rsid w:val="00601B7D"/>
    <w:rsid w:val="00601BC6"/>
    <w:rsid w:val="00601DFB"/>
    <w:rsid w:val="00601E52"/>
    <w:rsid w:val="00601E87"/>
    <w:rsid w:val="00601E9F"/>
    <w:rsid w:val="00601EAF"/>
    <w:rsid w:val="00601EF7"/>
    <w:rsid w:val="00601F3D"/>
    <w:rsid w:val="00601F42"/>
    <w:rsid w:val="00601FA2"/>
    <w:rsid w:val="00601FC3"/>
    <w:rsid w:val="00602022"/>
    <w:rsid w:val="00602076"/>
    <w:rsid w:val="006020C1"/>
    <w:rsid w:val="006020C2"/>
    <w:rsid w:val="00602121"/>
    <w:rsid w:val="0060216F"/>
    <w:rsid w:val="006021AB"/>
    <w:rsid w:val="006021F8"/>
    <w:rsid w:val="006021FF"/>
    <w:rsid w:val="00602236"/>
    <w:rsid w:val="006022F3"/>
    <w:rsid w:val="00602365"/>
    <w:rsid w:val="00602412"/>
    <w:rsid w:val="00602433"/>
    <w:rsid w:val="00602444"/>
    <w:rsid w:val="006024DA"/>
    <w:rsid w:val="0060253E"/>
    <w:rsid w:val="00602584"/>
    <w:rsid w:val="0060259C"/>
    <w:rsid w:val="00602655"/>
    <w:rsid w:val="006027C4"/>
    <w:rsid w:val="00602876"/>
    <w:rsid w:val="006028F1"/>
    <w:rsid w:val="006029CB"/>
    <w:rsid w:val="006029E9"/>
    <w:rsid w:val="006029F0"/>
    <w:rsid w:val="00602A7A"/>
    <w:rsid w:val="00602A88"/>
    <w:rsid w:val="00602AB7"/>
    <w:rsid w:val="00602B19"/>
    <w:rsid w:val="00602B23"/>
    <w:rsid w:val="00602B88"/>
    <w:rsid w:val="00602B98"/>
    <w:rsid w:val="00602BFF"/>
    <w:rsid w:val="00602C4F"/>
    <w:rsid w:val="00602C55"/>
    <w:rsid w:val="00602CA3"/>
    <w:rsid w:val="00602D04"/>
    <w:rsid w:val="00602D4A"/>
    <w:rsid w:val="00602D5C"/>
    <w:rsid w:val="00602D6A"/>
    <w:rsid w:val="00602D81"/>
    <w:rsid w:val="00602DC1"/>
    <w:rsid w:val="00602DD8"/>
    <w:rsid w:val="00602DDD"/>
    <w:rsid w:val="00602E1D"/>
    <w:rsid w:val="00602E30"/>
    <w:rsid w:val="00602EB6"/>
    <w:rsid w:val="00602EFA"/>
    <w:rsid w:val="00602F00"/>
    <w:rsid w:val="00602F0E"/>
    <w:rsid w:val="00602F68"/>
    <w:rsid w:val="00603050"/>
    <w:rsid w:val="006030F8"/>
    <w:rsid w:val="006032CA"/>
    <w:rsid w:val="006032D5"/>
    <w:rsid w:val="0060331F"/>
    <w:rsid w:val="00603337"/>
    <w:rsid w:val="0060345A"/>
    <w:rsid w:val="0060347B"/>
    <w:rsid w:val="0060355D"/>
    <w:rsid w:val="00603582"/>
    <w:rsid w:val="006035C3"/>
    <w:rsid w:val="0060361B"/>
    <w:rsid w:val="00603672"/>
    <w:rsid w:val="006036AA"/>
    <w:rsid w:val="0060377E"/>
    <w:rsid w:val="006037DC"/>
    <w:rsid w:val="006038BA"/>
    <w:rsid w:val="006039A3"/>
    <w:rsid w:val="006039BB"/>
    <w:rsid w:val="006039CE"/>
    <w:rsid w:val="00603A9C"/>
    <w:rsid w:val="00603AED"/>
    <w:rsid w:val="00603B48"/>
    <w:rsid w:val="00603B5A"/>
    <w:rsid w:val="00603B66"/>
    <w:rsid w:val="00603B91"/>
    <w:rsid w:val="00603BDE"/>
    <w:rsid w:val="00603C88"/>
    <w:rsid w:val="00603CDF"/>
    <w:rsid w:val="00603F15"/>
    <w:rsid w:val="00603F1A"/>
    <w:rsid w:val="00603F92"/>
    <w:rsid w:val="00603FD4"/>
    <w:rsid w:val="00604001"/>
    <w:rsid w:val="00604040"/>
    <w:rsid w:val="00604058"/>
    <w:rsid w:val="006040F4"/>
    <w:rsid w:val="0060413D"/>
    <w:rsid w:val="006041BB"/>
    <w:rsid w:val="0060434D"/>
    <w:rsid w:val="00604405"/>
    <w:rsid w:val="0060445C"/>
    <w:rsid w:val="00604476"/>
    <w:rsid w:val="006044F0"/>
    <w:rsid w:val="00604536"/>
    <w:rsid w:val="0060457A"/>
    <w:rsid w:val="00604594"/>
    <w:rsid w:val="00604689"/>
    <w:rsid w:val="0060471C"/>
    <w:rsid w:val="00604722"/>
    <w:rsid w:val="00604727"/>
    <w:rsid w:val="006047F2"/>
    <w:rsid w:val="006047FB"/>
    <w:rsid w:val="00604819"/>
    <w:rsid w:val="0060487D"/>
    <w:rsid w:val="00604894"/>
    <w:rsid w:val="006048AE"/>
    <w:rsid w:val="006048C6"/>
    <w:rsid w:val="00604907"/>
    <w:rsid w:val="00604953"/>
    <w:rsid w:val="006049F4"/>
    <w:rsid w:val="00604AA5"/>
    <w:rsid w:val="00604AF5"/>
    <w:rsid w:val="00604AF9"/>
    <w:rsid w:val="00604BDA"/>
    <w:rsid w:val="00604C17"/>
    <w:rsid w:val="00604C71"/>
    <w:rsid w:val="00604D4D"/>
    <w:rsid w:val="00604D95"/>
    <w:rsid w:val="00604DDB"/>
    <w:rsid w:val="00604DFF"/>
    <w:rsid w:val="00604E19"/>
    <w:rsid w:val="00604E33"/>
    <w:rsid w:val="00604E6E"/>
    <w:rsid w:val="00604EB5"/>
    <w:rsid w:val="00604F11"/>
    <w:rsid w:val="00604F97"/>
    <w:rsid w:val="00604FA0"/>
    <w:rsid w:val="00604FA2"/>
    <w:rsid w:val="00604FD1"/>
    <w:rsid w:val="00604FF6"/>
    <w:rsid w:val="00605053"/>
    <w:rsid w:val="006050E7"/>
    <w:rsid w:val="0060510F"/>
    <w:rsid w:val="0060511B"/>
    <w:rsid w:val="0060518B"/>
    <w:rsid w:val="0060518D"/>
    <w:rsid w:val="006051E7"/>
    <w:rsid w:val="00605224"/>
    <w:rsid w:val="00605286"/>
    <w:rsid w:val="006053E5"/>
    <w:rsid w:val="00605565"/>
    <w:rsid w:val="006055D7"/>
    <w:rsid w:val="00605610"/>
    <w:rsid w:val="006056AE"/>
    <w:rsid w:val="00605752"/>
    <w:rsid w:val="0060581D"/>
    <w:rsid w:val="006058E2"/>
    <w:rsid w:val="00605947"/>
    <w:rsid w:val="00605994"/>
    <w:rsid w:val="006059F8"/>
    <w:rsid w:val="00605A48"/>
    <w:rsid w:val="00605A98"/>
    <w:rsid w:val="00605AA1"/>
    <w:rsid w:val="00605ABD"/>
    <w:rsid w:val="00605AFA"/>
    <w:rsid w:val="00605AFF"/>
    <w:rsid w:val="00605BB6"/>
    <w:rsid w:val="00605BE5"/>
    <w:rsid w:val="00605C24"/>
    <w:rsid w:val="00605C27"/>
    <w:rsid w:val="00605C30"/>
    <w:rsid w:val="00605C51"/>
    <w:rsid w:val="00605D02"/>
    <w:rsid w:val="00605DD7"/>
    <w:rsid w:val="00605E61"/>
    <w:rsid w:val="00605E7A"/>
    <w:rsid w:val="00605E9D"/>
    <w:rsid w:val="00605EBA"/>
    <w:rsid w:val="00605ECF"/>
    <w:rsid w:val="00605F43"/>
    <w:rsid w:val="00605FA9"/>
    <w:rsid w:val="006060A4"/>
    <w:rsid w:val="00606112"/>
    <w:rsid w:val="0060615D"/>
    <w:rsid w:val="006061FB"/>
    <w:rsid w:val="0060625D"/>
    <w:rsid w:val="0060632B"/>
    <w:rsid w:val="00606387"/>
    <w:rsid w:val="0060641C"/>
    <w:rsid w:val="006064AC"/>
    <w:rsid w:val="006064BC"/>
    <w:rsid w:val="006064C7"/>
    <w:rsid w:val="0060653C"/>
    <w:rsid w:val="0060657C"/>
    <w:rsid w:val="0060658C"/>
    <w:rsid w:val="0060669E"/>
    <w:rsid w:val="0060670E"/>
    <w:rsid w:val="00606723"/>
    <w:rsid w:val="0060672E"/>
    <w:rsid w:val="006067C7"/>
    <w:rsid w:val="00606819"/>
    <w:rsid w:val="00606887"/>
    <w:rsid w:val="006068CE"/>
    <w:rsid w:val="00606918"/>
    <w:rsid w:val="00606939"/>
    <w:rsid w:val="006069A6"/>
    <w:rsid w:val="006069FF"/>
    <w:rsid w:val="00606A32"/>
    <w:rsid w:val="00606A69"/>
    <w:rsid w:val="00606B45"/>
    <w:rsid w:val="00606B70"/>
    <w:rsid w:val="00606BD3"/>
    <w:rsid w:val="00606C35"/>
    <w:rsid w:val="00606CBA"/>
    <w:rsid w:val="00606CBB"/>
    <w:rsid w:val="00606CDD"/>
    <w:rsid w:val="00606D06"/>
    <w:rsid w:val="00606DB4"/>
    <w:rsid w:val="00606EDC"/>
    <w:rsid w:val="00606F02"/>
    <w:rsid w:val="00606F3B"/>
    <w:rsid w:val="00606F98"/>
    <w:rsid w:val="00606FD5"/>
    <w:rsid w:val="0060711B"/>
    <w:rsid w:val="0060714B"/>
    <w:rsid w:val="006072E3"/>
    <w:rsid w:val="00607385"/>
    <w:rsid w:val="006073C7"/>
    <w:rsid w:val="006073D1"/>
    <w:rsid w:val="006073EC"/>
    <w:rsid w:val="006074C3"/>
    <w:rsid w:val="0060756B"/>
    <w:rsid w:val="0060757E"/>
    <w:rsid w:val="006075BB"/>
    <w:rsid w:val="00607642"/>
    <w:rsid w:val="0060767E"/>
    <w:rsid w:val="00607692"/>
    <w:rsid w:val="0060776B"/>
    <w:rsid w:val="006077B4"/>
    <w:rsid w:val="006077EE"/>
    <w:rsid w:val="00607840"/>
    <w:rsid w:val="006079A9"/>
    <w:rsid w:val="00607A57"/>
    <w:rsid w:val="00607A6F"/>
    <w:rsid w:val="00607A80"/>
    <w:rsid w:val="00607AA2"/>
    <w:rsid w:val="00607B3C"/>
    <w:rsid w:val="00607B45"/>
    <w:rsid w:val="00607B68"/>
    <w:rsid w:val="00607C0F"/>
    <w:rsid w:val="00607C44"/>
    <w:rsid w:val="00607CAF"/>
    <w:rsid w:val="00607D79"/>
    <w:rsid w:val="00607F88"/>
    <w:rsid w:val="00610073"/>
    <w:rsid w:val="00610088"/>
    <w:rsid w:val="006100BE"/>
    <w:rsid w:val="006100CB"/>
    <w:rsid w:val="006100D1"/>
    <w:rsid w:val="00610123"/>
    <w:rsid w:val="0061016D"/>
    <w:rsid w:val="00610173"/>
    <w:rsid w:val="006101FA"/>
    <w:rsid w:val="00610206"/>
    <w:rsid w:val="0061028F"/>
    <w:rsid w:val="0061031E"/>
    <w:rsid w:val="0061038C"/>
    <w:rsid w:val="006103B6"/>
    <w:rsid w:val="006103C2"/>
    <w:rsid w:val="006103F5"/>
    <w:rsid w:val="0061047C"/>
    <w:rsid w:val="006104E5"/>
    <w:rsid w:val="0061052A"/>
    <w:rsid w:val="0061057D"/>
    <w:rsid w:val="0061058F"/>
    <w:rsid w:val="006105AC"/>
    <w:rsid w:val="00610602"/>
    <w:rsid w:val="0061061E"/>
    <w:rsid w:val="006106AF"/>
    <w:rsid w:val="00610736"/>
    <w:rsid w:val="006107AA"/>
    <w:rsid w:val="00610809"/>
    <w:rsid w:val="0061080D"/>
    <w:rsid w:val="0061084F"/>
    <w:rsid w:val="00610854"/>
    <w:rsid w:val="00610908"/>
    <w:rsid w:val="00610A32"/>
    <w:rsid w:val="00610AA6"/>
    <w:rsid w:val="00610B39"/>
    <w:rsid w:val="00610BB7"/>
    <w:rsid w:val="00610BF0"/>
    <w:rsid w:val="00610C0B"/>
    <w:rsid w:val="00610D61"/>
    <w:rsid w:val="00610D9D"/>
    <w:rsid w:val="00610E24"/>
    <w:rsid w:val="00610E48"/>
    <w:rsid w:val="00610FB3"/>
    <w:rsid w:val="0061104A"/>
    <w:rsid w:val="00611099"/>
    <w:rsid w:val="006110FC"/>
    <w:rsid w:val="00611102"/>
    <w:rsid w:val="00611126"/>
    <w:rsid w:val="0061112C"/>
    <w:rsid w:val="0061113E"/>
    <w:rsid w:val="0061114A"/>
    <w:rsid w:val="00611156"/>
    <w:rsid w:val="00611157"/>
    <w:rsid w:val="00611174"/>
    <w:rsid w:val="00611209"/>
    <w:rsid w:val="00611220"/>
    <w:rsid w:val="0061122C"/>
    <w:rsid w:val="00611230"/>
    <w:rsid w:val="00611360"/>
    <w:rsid w:val="0061137D"/>
    <w:rsid w:val="006113B9"/>
    <w:rsid w:val="006113C4"/>
    <w:rsid w:val="006114BC"/>
    <w:rsid w:val="006114BF"/>
    <w:rsid w:val="006114FD"/>
    <w:rsid w:val="006114FF"/>
    <w:rsid w:val="0061150C"/>
    <w:rsid w:val="00611555"/>
    <w:rsid w:val="00611582"/>
    <w:rsid w:val="006115A2"/>
    <w:rsid w:val="006115E3"/>
    <w:rsid w:val="00611627"/>
    <w:rsid w:val="006116D5"/>
    <w:rsid w:val="006116ED"/>
    <w:rsid w:val="006116F7"/>
    <w:rsid w:val="00611739"/>
    <w:rsid w:val="00611750"/>
    <w:rsid w:val="006117BA"/>
    <w:rsid w:val="0061182D"/>
    <w:rsid w:val="006118E5"/>
    <w:rsid w:val="00611A65"/>
    <w:rsid w:val="00611A73"/>
    <w:rsid w:val="00611A7D"/>
    <w:rsid w:val="00611B9F"/>
    <w:rsid w:val="00611C78"/>
    <w:rsid w:val="00611CBD"/>
    <w:rsid w:val="00611CC3"/>
    <w:rsid w:val="00611D35"/>
    <w:rsid w:val="00611E4B"/>
    <w:rsid w:val="00611E67"/>
    <w:rsid w:val="00611E8D"/>
    <w:rsid w:val="00611EAA"/>
    <w:rsid w:val="00611EAE"/>
    <w:rsid w:val="00611F31"/>
    <w:rsid w:val="00611FB5"/>
    <w:rsid w:val="00611FEE"/>
    <w:rsid w:val="0061212D"/>
    <w:rsid w:val="006121DD"/>
    <w:rsid w:val="006121F9"/>
    <w:rsid w:val="006124BE"/>
    <w:rsid w:val="006124F4"/>
    <w:rsid w:val="00612588"/>
    <w:rsid w:val="006125C2"/>
    <w:rsid w:val="0061268C"/>
    <w:rsid w:val="006126A9"/>
    <w:rsid w:val="0061270B"/>
    <w:rsid w:val="00612770"/>
    <w:rsid w:val="00612836"/>
    <w:rsid w:val="00612886"/>
    <w:rsid w:val="0061295C"/>
    <w:rsid w:val="006129AB"/>
    <w:rsid w:val="00612A01"/>
    <w:rsid w:val="00612AFD"/>
    <w:rsid w:val="00612B33"/>
    <w:rsid w:val="00612EC6"/>
    <w:rsid w:val="00612F1A"/>
    <w:rsid w:val="00612F7F"/>
    <w:rsid w:val="00612FA6"/>
    <w:rsid w:val="00613045"/>
    <w:rsid w:val="006130A4"/>
    <w:rsid w:val="006130C0"/>
    <w:rsid w:val="006130D3"/>
    <w:rsid w:val="006130F2"/>
    <w:rsid w:val="00613178"/>
    <w:rsid w:val="00613281"/>
    <w:rsid w:val="006132CE"/>
    <w:rsid w:val="006132D0"/>
    <w:rsid w:val="006132E0"/>
    <w:rsid w:val="006133C0"/>
    <w:rsid w:val="00613415"/>
    <w:rsid w:val="00613452"/>
    <w:rsid w:val="006134F6"/>
    <w:rsid w:val="006134FC"/>
    <w:rsid w:val="0061351F"/>
    <w:rsid w:val="0061353D"/>
    <w:rsid w:val="0061355D"/>
    <w:rsid w:val="006135FA"/>
    <w:rsid w:val="006137E1"/>
    <w:rsid w:val="00613832"/>
    <w:rsid w:val="00613878"/>
    <w:rsid w:val="0061387C"/>
    <w:rsid w:val="006138C6"/>
    <w:rsid w:val="006138E0"/>
    <w:rsid w:val="0061392F"/>
    <w:rsid w:val="00613A29"/>
    <w:rsid w:val="00613A43"/>
    <w:rsid w:val="00613A98"/>
    <w:rsid w:val="00613AC9"/>
    <w:rsid w:val="00613AD9"/>
    <w:rsid w:val="00613BB5"/>
    <w:rsid w:val="00613C02"/>
    <w:rsid w:val="00613CAD"/>
    <w:rsid w:val="00613CB6"/>
    <w:rsid w:val="00613CEF"/>
    <w:rsid w:val="00613CF1"/>
    <w:rsid w:val="00613CFB"/>
    <w:rsid w:val="00613D23"/>
    <w:rsid w:val="00613D32"/>
    <w:rsid w:val="00613DB3"/>
    <w:rsid w:val="00613DEF"/>
    <w:rsid w:val="00613E13"/>
    <w:rsid w:val="00613EBA"/>
    <w:rsid w:val="00613EDC"/>
    <w:rsid w:val="00613EFB"/>
    <w:rsid w:val="00613F0C"/>
    <w:rsid w:val="0061405B"/>
    <w:rsid w:val="006140DD"/>
    <w:rsid w:val="006140E2"/>
    <w:rsid w:val="006141DC"/>
    <w:rsid w:val="00614294"/>
    <w:rsid w:val="006142C0"/>
    <w:rsid w:val="00614321"/>
    <w:rsid w:val="00614348"/>
    <w:rsid w:val="006145F7"/>
    <w:rsid w:val="006145FC"/>
    <w:rsid w:val="00614632"/>
    <w:rsid w:val="00614658"/>
    <w:rsid w:val="00614685"/>
    <w:rsid w:val="006146C5"/>
    <w:rsid w:val="006146D1"/>
    <w:rsid w:val="0061471B"/>
    <w:rsid w:val="006147EC"/>
    <w:rsid w:val="006147FE"/>
    <w:rsid w:val="006148BB"/>
    <w:rsid w:val="00614911"/>
    <w:rsid w:val="00614999"/>
    <w:rsid w:val="00614A07"/>
    <w:rsid w:val="00614A09"/>
    <w:rsid w:val="00614A77"/>
    <w:rsid w:val="00614A86"/>
    <w:rsid w:val="00614AC6"/>
    <w:rsid w:val="00614B81"/>
    <w:rsid w:val="00614BF7"/>
    <w:rsid w:val="00614C25"/>
    <w:rsid w:val="00614C4A"/>
    <w:rsid w:val="00614D09"/>
    <w:rsid w:val="00614D12"/>
    <w:rsid w:val="00614E54"/>
    <w:rsid w:val="00614E68"/>
    <w:rsid w:val="00614E79"/>
    <w:rsid w:val="00614ED3"/>
    <w:rsid w:val="00614FE1"/>
    <w:rsid w:val="0061500B"/>
    <w:rsid w:val="00615076"/>
    <w:rsid w:val="00615139"/>
    <w:rsid w:val="00615184"/>
    <w:rsid w:val="0061534E"/>
    <w:rsid w:val="00615357"/>
    <w:rsid w:val="00615409"/>
    <w:rsid w:val="0061545A"/>
    <w:rsid w:val="006154C0"/>
    <w:rsid w:val="006154E6"/>
    <w:rsid w:val="0061551A"/>
    <w:rsid w:val="00615531"/>
    <w:rsid w:val="00615619"/>
    <w:rsid w:val="00615649"/>
    <w:rsid w:val="00615680"/>
    <w:rsid w:val="00615684"/>
    <w:rsid w:val="006156C7"/>
    <w:rsid w:val="00615740"/>
    <w:rsid w:val="006157BA"/>
    <w:rsid w:val="00615873"/>
    <w:rsid w:val="00615874"/>
    <w:rsid w:val="00615876"/>
    <w:rsid w:val="0061587E"/>
    <w:rsid w:val="006158BD"/>
    <w:rsid w:val="006159B4"/>
    <w:rsid w:val="006159C9"/>
    <w:rsid w:val="00615A1F"/>
    <w:rsid w:val="00615A9F"/>
    <w:rsid w:val="00615AFE"/>
    <w:rsid w:val="00615BCC"/>
    <w:rsid w:val="00615C0F"/>
    <w:rsid w:val="00615C11"/>
    <w:rsid w:val="00615C4F"/>
    <w:rsid w:val="00615CC2"/>
    <w:rsid w:val="00615CD7"/>
    <w:rsid w:val="00615D07"/>
    <w:rsid w:val="00615D8D"/>
    <w:rsid w:val="00615DE1"/>
    <w:rsid w:val="00615E25"/>
    <w:rsid w:val="00615E45"/>
    <w:rsid w:val="00615E5B"/>
    <w:rsid w:val="00615F05"/>
    <w:rsid w:val="00615F1C"/>
    <w:rsid w:val="00615F45"/>
    <w:rsid w:val="00615F4E"/>
    <w:rsid w:val="00615F85"/>
    <w:rsid w:val="00615F8C"/>
    <w:rsid w:val="00615FC8"/>
    <w:rsid w:val="006160A9"/>
    <w:rsid w:val="00616146"/>
    <w:rsid w:val="00616172"/>
    <w:rsid w:val="0061619B"/>
    <w:rsid w:val="006162F7"/>
    <w:rsid w:val="0061631F"/>
    <w:rsid w:val="00616344"/>
    <w:rsid w:val="00616380"/>
    <w:rsid w:val="00616399"/>
    <w:rsid w:val="006163C7"/>
    <w:rsid w:val="00616484"/>
    <w:rsid w:val="006164B2"/>
    <w:rsid w:val="006164D8"/>
    <w:rsid w:val="0061650F"/>
    <w:rsid w:val="00616541"/>
    <w:rsid w:val="006165C6"/>
    <w:rsid w:val="0061663A"/>
    <w:rsid w:val="0061664F"/>
    <w:rsid w:val="006166BF"/>
    <w:rsid w:val="006166FB"/>
    <w:rsid w:val="006167D3"/>
    <w:rsid w:val="006167FD"/>
    <w:rsid w:val="0061682A"/>
    <w:rsid w:val="006168B7"/>
    <w:rsid w:val="006169A6"/>
    <w:rsid w:val="00616A68"/>
    <w:rsid w:val="00616A8A"/>
    <w:rsid w:val="00616AA2"/>
    <w:rsid w:val="00616AF1"/>
    <w:rsid w:val="00616B0E"/>
    <w:rsid w:val="00616BFE"/>
    <w:rsid w:val="00616C09"/>
    <w:rsid w:val="00616C13"/>
    <w:rsid w:val="00616CCF"/>
    <w:rsid w:val="00616D10"/>
    <w:rsid w:val="00616E39"/>
    <w:rsid w:val="00616E5A"/>
    <w:rsid w:val="00616E67"/>
    <w:rsid w:val="00616F09"/>
    <w:rsid w:val="00616F76"/>
    <w:rsid w:val="00617037"/>
    <w:rsid w:val="0061703C"/>
    <w:rsid w:val="00617095"/>
    <w:rsid w:val="00617186"/>
    <w:rsid w:val="006171B6"/>
    <w:rsid w:val="00617218"/>
    <w:rsid w:val="00617294"/>
    <w:rsid w:val="0061738E"/>
    <w:rsid w:val="006173C9"/>
    <w:rsid w:val="006173F2"/>
    <w:rsid w:val="0061744A"/>
    <w:rsid w:val="0061744C"/>
    <w:rsid w:val="0061749A"/>
    <w:rsid w:val="006174D7"/>
    <w:rsid w:val="00617559"/>
    <w:rsid w:val="00617576"/>
    <w:rsid w:val="006175AE"/>
    <w:rsid w:val="00617656"/>
    <w:rsid w:val="006176F1"/>
    <w:rsid w:val="0061771A"/>
    <w:rsid w:val="006177CF"/>
    <w:rsid w:val="006179B1"/>
    <w:rsid w:val="00617A31"/>
    <w:rsid w:val="00617AC3"/>
    <w:rsid w:val="00617BB3"/>
    <w:rsid w:val="00617C54"/>
    <w:rsid w:val="00617C76"/>
    <w:rsid w:val="00617CC7"/>
    <w:rsid w:val="00617E7C"/>
    <w:rsid w:val="00617FD4"/>
    <w:rsid w:val="00620053"/>
    <w:rsid w:val="006200E6"/>
    <w:rsid w:val="006200E7"/>
    <w:rsid w:val="0062019F"/>
    <w:rsid w:val="0062022E"/>
    <w:rsid w:val="0062023D"/>
    <w:rsid w:val="00620280"/>
    <w:rsid w:val="00620307"/>
    <w:rsid w:val="00620380"/>
    <w:rsid w:val="0062038E"/>
    <w:rsid w:val="006203A0"/>
    <w:rsid w:val="0062041F"/>
    <w:rsid w:val="0062049A"/>
    <w:rsid w:val="006204BF"/>
    <w:rsid w:val="006204CF"/>
    <w:rsid w:val="006204F0"/>
    <w:rsid w:val="0062054B"/>
    <w:rsid w:val="006205A1"/>
    <w:rsid w:val="006205E2"/>
    <w:rsid w:val="006205FA"/>
    <w:rsid w:val="00620601"/>
    <w:rsid w:val="00620609"/>
    <w:rsid w:val="00620726"/>
    <w:rsid w:val="0062079F"/>
    <w:rsid w:val="00620830"/>
    <w:rsid w:val="006208CF"/>
    <w:rsid w:val="006208EA"/>
    <w:rsid w:val="0062098A"/>
    <w:rsid w:val="0062099C"/>
    <w:rsid w:val="00620A15"/>
    <w:rsid w:val="00620A48"/>
    <w:rsid w:val="00620A6F"/>
    <w:rsid w:val="00620AC1"/>
    <w:rsid w:val="00620B54"/>
    <w:rsid w:val="00620B5C"/>
    <w:rsid w:val="00620CEC"/>
    <w:rsid w:val="00620D6A"/>
    <w:rsid w:val="00620F59"/>
    <w:rsid w:val="00620F7C"/>
    <w:rsid w:val="00620FFC"/>
    <w:rsid w:val="00621021"/>
    <w:rsid w:val="00621032"/>
    <w:rsid w:val="00621037"/>
    <w:rsid w:val="00621064"/>
    <w:rsid w:val="006210F0"/>
    <w:rsid w:val="00621116"/>
    <w:rsid w:val="0062115A"/>
    <w:rsid w:val="006211A1"/>
    <w:rsid w:val="006211F6"/>
    <w:rsid w:val="00621244"/>
    <w:rsid w:val="006213D4"/>
    <w:rsid w:val="006213E2"/>
    <w:rsid w:val="0062140A"/>
    <w:rsid w:val="00621416"/>
    <w:rsid w:val="00621418"/>
    <w:rsid w:val="006214B1"/>
    <w:rsid w:val="006214EC"/>
    <w:rsid w:val="0062155C"/>
    <w:rsid w:val="00621582"/>
    <w:rsid w:val="00621583"/>
    <w:rsid w:val="0062158A"/>
    <w:rsid w:val="006215A0"/>
    <w:rsid w:val="0062166C"/>
    <w:rsid w:val="006216A4"/>
    <w:rsid w:val="006216AD"/>
    <w:rsid w:val="006217A4"/>
    <w:rsid w:val="006217F0"/>
    <w:rsid w:val="006217FA"/>
    <w:rsid w:val="006218BF"/>
    <w:rsid w:val="0062194B"/>
    <w:rsid w:val="006219AE"/>
    <w:rsid w:val="006219B1"/>
    <w:rsid w:val="006219BA"/>
    <w:rsid w:val="006219F8"/>
    <w:rsid w:val="00621A14"/>
    <w:rsid w:val="00621A50"/>
    <w:rsid w:val="00621A9E"/>
    <w:rsid w:val="00621AE8"/>
    <w:rsid w:val="00621AF9"/>
    <w:rsid w:val="00621B28"/>
    <w:rsid w:val="00621B33"/>
    <w:rsid w:val="00621BF9"/>
    <w:rsid w:val="00621C9A"/>
    <w:rsid w:val="00621F12"/>
    <w:rsid w:val="0062201F"/>
    <w:rsid w:val="00622055"/>
    <w:rsid w:val="006220CA"/>
    <w:rsid w:val="006220F3"/>
    <w:rsid w:val="006220F6"/>
    <w:rsid w:val="0062210E"/>
    <w:rsid w:val="0062216D"/>
    <w:rsid w:val="00622173"/>
    <w:rsid w:val="00622186"/>
    <w:rsid w:val="00622218"/>
    <w:rsid w:val="00622221"/>
    <w:rsid w:val="0062228B"/>
    <w:rsid w:val="00622298"/>
    <w:rsid w:val="006222C6"/>
    <w:rsid w:val="006222FD"/>
    <w:rsid w:val="00622325"/>
    <w:rsid w:val="0062233D"/>
    <w:rsid w:val="006223D8"/>
    <w:rsid w:val="00622467"/>
    <w:rsid w:val="0062246D"/>
    <w:rsid w:val="006224AC"/>
    <w:rsid w:val="006224DA"/>
    <w:rsid w:val="00622551"/>
    <w:rsid w:val="00622579"/>
    <w:rsid w:val="006225BB"/>
    <w:rsid w:val="00622611"/>
    <w:rsid w:val="006226E4"/>
    <w:rsid w:val="00622762"/>
    <w:rsid w:val="006227D1"/>
    <w:rsid w:val="0062283D"/>
    <w:rsid w:val="00622883"/>
    <w:rsid w:val="0062288B"/>
    <w:rsid w:val="006228BD"/>
    <w:rsid w:val="006228D9"/>
    <w:rsid w:val="00622927"/>
    <w:rsid w:val="0062293F"/>
    <w:rsid w:val="00622983"/>
    <w:rsid w:val="0062299D"/>
    <w:rsid w:val="00622A84"/>
    <w:rsid w:val="00622AD0"/>
    <w:rsid w:val="00622B18"/>
    <w:rsid w:val="00622BF1"/>
    <w:rsid w:val="00622DA2"/>
    <w:rsid w:val="00622DC7"/>
    <w:rsid w:val="00622EA1"/>
    <w:rsid w:val="00622F7C"/>
    <w:rsid w:val="00622FD7"/>
    <w:rsid w:val="00623052"/>
    <w:rsid w:val="0062305C"/>
    <w:rsid w:val="00623065"/>
    <w:rsid w:val="00623126"/>
    <w:rsid w:val="00623197"/>
    <w:rsid w:val="00623202"/>
    <w:rsid w:val="00623219"/>
    <w:rsid w:val="006232C5"/>
    <w:rsid w:val="006233A2"/>
    <w:rsid w:val="006233F8"/>
    <w:rsid w:val="0062343B"/>
    <w:rsid w:val="006234C4"/>
    <w:rsid w:val="0062350B"/>
    <w:rsid w:val="00623535"/>
    <w:rsid w:val="00623563"/>
    <w:rsid w:val="00623641"/>
    <w:rsid w:val="00623663"/>
    <w:rsid w:val="006236B8"/>
    <w:rsid w:val="006236C2"/>
    <w:rsid w:val="00623704"/>
    <w:rsid w:val="00623724"/>
    <w:rsid w:val="00623795"/>
    <w:rsid w:val="006237C2"/>
    <w:rsid w:val="006237CD"/>
    <w:rsid w:val="00623932"/>
    <w:rsid w:val="0062394A"/>
    <w:rsid w:val="006239B1"/>
    <w:rsid w:val="00623A6F"/>
    <w:rsid w:val="00623A7C"/>
    <w:rsid w:val="00623B16"/>
    <w:rsid w:val="00623B2F"/>
    <w:rsid w:val="00623B38"/>
    <w:rsid w:val="00623B73"/>
    <w:rsid w:val="00623B80"/>
    <w:rsid w:val="00623B9D"/>
    <w:rsid w:val="00623BE8"/>
    <w:rsid w:val="00623C7E"/>
    <w:rsid w:val="00623EAC"/>
    <w:rsid w:val="00623EBB"/>
    <w:rsid w:val="00623ED8"/>
    <w:rsid w:val="00623F1E"/>
    <w:rsid w:val="00623F37"/>
    <w:rsid w:val="00623F7B"/>
    <w:rsid w:val="00623F7D"/>
    <w:rsid w:val="00623FCD"/>
    <w:rsid w:val="00623FEB"/>
    <w:rsid w:val="00624003"/>
    <w:rsid w:val="0062409B"/>
    <w:rsid w:val="006240F1"/>
    <w:rsid w:val="006241CC"/>
    <w:rsid w:val="00624213"/>
    <w:rsid w:val="006242F8"/>
    <w:rsid w:val="0062430E"/>
    <w:rsid w:val="006243A5"/>
    <w:rsid w:val="006244E6"/>
    <w:rsid w:val="006244EA"/>
    <w:rsid w:val="0062456A"/>
    <w:rsid w:val="006245C5"/>
    <w:rsid w:val="006245CD"/>
    <w:rsid w:val="00624645"/>
    <w:rsid w:val="00624748"/>
    <w:rsid w:val="0062477B"/>
    <w:rsid w:val="00624793"/>
    <w:rsid w:val="006247B2"/>
    <w:rsid w:val="0062481D"/>
    <w:rsid w:val="0062484B"/>
    <w:rsid w:val="00624977"/>
    <w:rsid w:val="00624982"/>
    <w:rsid w:val="00624999"/>
    <w:rsid w:val="006249AE"/>
    <w:rsid w:val="006249D5"/>
    <w:rsid w:val="00624A46"/>
    <w:rsid w:val="00624A7F"/>
    <w:rsid w:val="00624AA1"/>
    <w:rsid w:val="00624ADC"/>
    <w:rsid w:val="00624BA4"/>
    <w:rsid w:val="00624C01"/>
    <w:rsid w:val="00624C0C"/>
    <w:rsid w:val="00624C8F"/>
    <w:rsid w:val="00624CB2"/>
    <w:rsid w:val="00624CCA"/>
    <w:rsid w:val="00624D2E"/>
    <w:rsid w:val="00624D48"/>
    <w:rsid w:val="00624D6D"/>
    <w:rsid w:val="00624DA1"/>
    <w:rsid w:val="00624E07"/>
    <w:rsid w:val="00624E23"/>
    <w:rsid w:val="00624EFB"/>
    <w:rsid w:val="00624F07"/>
    <w:rsid w:val="00624F2A"/>
    <w:rsid w:val="00624F65"/>
    <w:rsid w:val="00624F91"/>
    <w:rsid w:val="00625042"/>
    <w:rsid w:val="006250B4"/>
    <w:rsid w:val="00625266"/>
    <w:rsid w:val="006252E4"/>
    <w:rsid w:val="0062538E"/>
    <w:rsid w:val="0062559C"/>
    <w:rsid w:val="006255B2"/>
    <w:rsid w:val="006255DC"/>
    <w:rsid w:val="00625646"/>
    <w:rsid w:val="00625659"/>
    <w:rsid w:val="006256B7"/>
    <w:rsid w:val="006256E0"/>
    <w:rsid w:val="00625812"/>
    <w:rsid w:val="006258D0"/>
    <w:rsid w:val="006258F2"/>
    <w:rsid w:val="00625996"/>
    <w:rsid w:val="006259B8"/>
    <w:rsid w:val="006259C3"/>
    <w:rsid w:val="006259EF"/>
    <w:rsid w:val="00625A34"/>
    <w:rsid w:val="00625AAC"/>
    <w:rsid w:val="00625B06"/>
    <w:rsid w:val="00625C92"/>
    <w:rsid w:val="00625DB8"/>
    <w:rsid w:val="00625E68"/>
    <w:rsid w:val="00625EC5"/>
    <w:rsid w:val="00625F1E"/>
    <w:rsid w:val="00625F23"/>
    <w:rsid w:val="00626072"/>
    <w:rsid w:val="0062609E"/>
    <w:rsid w:val="006260FE"/>
    <w:rsid w:val="00626165"/>
    <w:rsid w:val="006261CE"/>
    <w:rsid w:val="0062628C"/>
    <w:rsid w:val="0062635D"/>
    <w:rsid w:val="00626366"/>
    <w:rsid w:val="006263C3"/>
    <w:rsid w:val="006264E2"/>
    <w:rsid w:val="0062652C"/>
    <w:rsid w:val="0062656C"/>
    <w:rsid w:val="006265DC"/>
    <w:rsid w:val="006266BD"/>
    <w:rsid w:val="006266DB"/>
    <w:rsid w:val="00626712"/>
    <w:rsid w:val="00626729"/>
    <w:rsid w:val="00626748"/>
    <w:rsid w:val="00626884"/>
    <w:rsid w:val="00626949"/>
    <w:rsid w:val="0062696F"/>
    <w:rsid w:val="00626971"/>
    <w:rsid w:val="006269B0"/>
    <w:rsid w:val="00626A14"/>
    <w:rsid w:val="00626A4A"/>
    <w:rsid w:val="00626AAD"/>
    <w:rsid w:val="00626AE1"/>
    <w:rsid w:val="00626AF8"/>
    <w:rsid w:val="00626B34"/>
    <w:rsid w:val="00626B44"/>
    <w:rsid w:val="00626B96"/>
    <w:rsid w:val="00626BA5"/>
    <w:rsid w:val="00626C0F"/>
    <w:rsid w:val="00626C1E"/>
    <w:rsid w:val="00626C99"/>
    <w:rsid w:val="00626DA2"/>
    <w:rsid w:val="00626DF3"/>
    <w:rsid w:val="00626E8F"/>
    <w:rsid w:val="00626F5D"/>
    <w:rsid w:val="00626FA1"/>
    <w:rsid w:val="0062702F"/>
    <w:rsid w:val="00627058"/>
    <w:rsid w:val="0062710E"/>
    <w:rsid w:val="00627187"/>
    <w:rsid w:val="006271C5"/>
    <w:rsid w:val="006271E4"/>
    <w:rsid w:val="0062727C"/>
    <w:rsid w:val="006272B4"/>
    <w:rsid w:val="006272D8"/>
    <w:rsid w:val="0062731E"/>
    <w:rsid w:val="006275AF"/>
    <w:rsid w:val="006275B5"/>
    <w:rsid w:val="0062771A"/>
    <w:rsid w:val="006277AE"/>
    <w:rsid w:val="006277DA"/>
    <w:rsid w:val="006278AF"/>
    <w:rsid w:val="006278BA"/>
    <w:rsid w:val="006278CE"/>
    <w:rsid w:val="0062796E"/>
    <w:rsid w:val="006279F6"/>
    <w:rsid w:val="00627A23"/>
    <w:rsid w:val="00627A35"/>
    <w:rsid w:val="00627A58"/>
    <w:rsid w:val="00627AA0"/>
    <w:rsid w:val="00627B05"/>
    <w:rsid w:val="00627B47"/>
    <w:rsid w:val="00627B6C"/>
    <w:rsid w:val="00627B99"/>
    <w:rsid w:val="00627BC4"/>
    <w:rsid w:val="00627C0C"/>
    <w:rsid w:val="00627C1E"/>
    <w:rsid w:val="00627C4A"/>
    <w:rsid w:val="00627D03"/>
    <w:rsid w:val="00627D2F"/>
    <w:rsid w:val="00627E74"/>
    <w:rsid w:val="00627E9D"/>
    <w:rsid w:val="00627F19"/>
    <w:rsid w:val="006301DA"/>
    <w:rsid w:val="006302E6"/>
    <w:rsid w:val="0063038E"/>
    <w:rsid w:val="006303DE"/>
    <w:rsid w:val="0063043C"/>
    <w:rsid w:val="00630568"/>
    <w:rsid w:val="00630583"/>
    <w:rsid w:val="006305E4"/>
    <w:rsid w:val="00630647"/>
    <w:rsid w:val="0063069F"/>
    <w:rsid w:val="006307C6"/>
    <w:rsid w:val="00630988"/>
    <w:rsid w:val="0063099C"/>
    <w:rsid w:val="00630A79"/>
    <w:rsid w:val="00630AAF"/>
    <w:rsid w:val="00630AEB"/>
    <w:rsid w:val="00630AF6"/>
    <w:rsid w:val="00630B32"/>
    <w:rsid w:val="00630B56"/>
    <w:rsid w:val="00630C01"/>
    <w:rsid w:val="00630C99"/>
    <w:rsid w:val="00630CA6"/>
    <w:rsid w:val="00630DB4"/>
    <w:rsid w:val="00630E35"/>
    <w:rsid w:val="00630E4F"/>
    <w:rsid w:val="00630F0E"/>
    <w:rsid w:val="00630F1D"/>
    <w:rsid w:val="00630F3C"/>
    <w:rsid w:val="00630F6F"/>
    <w:rsid w:val="00630F78"/>
    <w:rsid w:val="00631015"/>
    <w:rsid w:val="006310F4"/>
    <w:rsid w:val="006312B5"/>
    <w:rsid w:val="006312BF"/>
    <w:rsid w:val="006312E4"/>
    <w:rsid w:val="00631404"/>
    <w:rsid w:val="0063148F"/>
    <w:rsid w:val="006314A5"/>
    <w:rsid w:val="006314BF"/>
    <w:rsid w:val="00631513"/>
    <w:rsid w:val="0063158D"/>
    <w:rsid w:val="0063168A"/>
    <w:rsid w:val="00631699"/>
    <w:rsid w:val="006316C3"/>
    <w:rsid w:val="006316DD"/>
    <w:rsid w:val="00631843"/>
    <w:rsid w:val="00631887"/>
    <w:rsid w:val="006318C6"/>
    <w:rsid w:val="006319C9"/>
    <w:rsid w:val="00631A9B"/>
    <w:rsid w:val="00631C73"/>
    <w:rsid w:val="00631CBA"/>
    <w:rsid w:val="00631DB6"/>
    <w:rsid w:val="00631DCD"/>
    <w:rsid w:val="00631F71"/>
    <w:rsid w:val="00632076"/>
    <w:rsid w:val="006320C5"/>
    <w:rsid w:val="006320CB"/>
    <w:rsid w:val="00632174"/>
    <w:rsid w:val="0063221C"/>
    <w:rsid w:val="0063228F"/>
    <w:rsid w:val="006322D3"/>
    <w:rsid w:val="006322F6"/>
    <w:rsid w:val="006322FC"/>
    <w:rsid w:val="00632388"/>
    <w:rsid w:val="006323B1"/>
    <w:rsid w:val="006324E9"/>
    <w:rsid w:val="006325D4"/>
    <w:rsid w:val="00632620"/>
    <w:rsid w:val="006326B4"/>
    <w:rsid w:val="00632772"/>
    <w:rsid w:val="006327A1"/>
    <w:rsid w:val="006327CF"/>
    <w:rsid w:val="00632842"/>
    <w:rsid w:val="006328A7"/>
    <w:rsid w:val="006328BE"/>
    <w:rsid w:val="00632954"/>
    <w:rsid w:val="00632A9D"/>
    <w:rsid w:val="00632AF4"/>
    <w:rsid w:val="00632B19"/>
    <w:rsid w:val="00632BF1"/>
    <w:rsid w:val="00632C71"/>
    <w:rsid w:val="00632CB4"/>
    <w:rsid w:val="00632DFD"/>
    <w:rsid w:val="00632E44"/>
    <w:rsid w:val="00632E84"/>
    <w:rsid w:val="00632E8D"/>
    <w:rsid w:val="00632E8E"/>
    <w:rsid w:val="00632EED"/>
    <w:rsid w:val="00632EFC"/>
    <w:rsid w:val="00632FD3"/>
    <w:rsid w:val="00632FD9"/>
    <w:rsid w:val="006330B2"/>
    <w:rsid w:val="00633285"/>
    <w:rsid w:val="006332AD"/>
    <w:rsid w:val="006332E1"/>
    <w:rsid w:val="0063331B"/>
    <w:rsid w:val="00633350"/>
    <w:rsid w:val="006333D0"/>
    <w:rsid w:val="006334AE"/>
    <w:rsid w:val="0063357C"/>
    <w:rsid w:val="006336AA"/>
    <w:rsid w:val="0063370E"/>
    <w:rsid w:val="00633720"/>
    <w:rsid w:val="00633799"/>
    <w:rsid w:val="006337CA"/>
    <w:rsid w:val="0063391E"/>
    <w:rsid w:val="00633924"/>
    <w:rsid w:val="0063392C"/>
    <w:rsid w:val="00633935"/>
    <w:rsid w:val="00633953"/>
    <w:rsid w:val="00633A62"/>
    <w:rsid w:val="00633A6B"/>
    <w:rsid w:val="00633AA7"/>
    <w:rsid w:val="00633B86"/>
    <w:rsid w:val="00633BFC"/>
    <w:rsid w:val="00633CBE"/>
    <w:rsid w:val="00633CCE"/>
    <w:rsid w:val="00633D0B"/>
    <w:rsid w:val="00633D2C"/>
    <w:rsid w:val="00633D76"/>
    <w:rsid w:val="00633D80"/>
    <w:rsid w:val="00633E32"/>
    <w:rsid w:val="00633E55"/>
    <w:rsid w:val="00633E7B"/>
    <w:rsid w:val="00633EF9"/>
    <w:rsid w:val="00633F04"/>
    <w:rsid w:val="00633F54"/>
    <w:rsid w:val="00633FF2"/>
    <w:rsid w:val="006340DD"/>
    <w:rsid w:val="006340F8"/>
    <w:rsid w:val="00634183"/>
    <w:rsid w:val="00634277"/>
    <w:rsid w:val="00634394"/>
    <w:rsid w:val="00634417"/>
    <w:rsid w:val="006344F5"/>
    <w:rsid w:val="0063450A"/>
    <w:rsid w:val="00634575"/>
    <w:rsid w:val="006345EF"/>
    <w:rsid w:val="00634605"/>
    <w:rsid w:val="006346C8"/>
    <w:rsid w:val="0063471A"/>
    <w:rsid w:val="00634735"/>
    <w:rsid w:val="0063479C"/>
    <w:rsid w:val="006348A2"/>
    <w:rsid w:val="006348F3"/>
    <w:rsid w:val="00634927"/>
    <w:rsid w:val="00634985"/>
    <w:rsid w:val="006349F3"/>
    <w:rsid w:val="00634A2B"/>
    <w:rsid w:val="00634A55"/>
    <w:rsid w:val="00634A66"/>
    <w:rsid w:val="00634A77"/>
    <w:rsid w:val="00634B2A"/>
    <w:rsid w:val="00634B48"/>
    <w:rsid w:val="00634C5D"/>
    <w:rsid w:val="00634D70"/>
    <w:rsid w:val="00634DA9"/>
    <w:rsid w:val="00634E0A"/>
    <w:rsid w:val="00634ED6"/>
    <w:rsid w:val="00635041"/>
    <w:rsid w:val="0063504A"/>
    <w:rsid w:val="006350B6"/>
    <w:rsid w:val="006350C6"/>
    <w:rsid w:val="006350DE"/>
    <w:rsid w:val="0063513F"/>
    <w:rsid w:val="006352D4"/>
    <w:rsid w:val="00635304"/>
    <w:rsid w:val="0063538E"/>
    <w:rsid w:val="006353A8"/>
    <w:rsid w:val="00635427"/>
    <w:rsid w:val="00635516"/>
    <w:rsid w:val="0063559A"/>
    <w:rsid w:val="006355A9"/>
    <w:rsid w:val="006355D1"/>
    <w:rsid w:val="006355E5"/>
    <w:rsid w:val="0063560C"/>
    <w:rsid w:val="00635627"/>
    <w:rsid w:val="006356F4"/>
    <w:rsid w:val="00635748"/>
    <w:rsid w:val="00635778"/>
    <w:rsid w:val="00635812"/>
    <w:rsid w:val="0063581A"/>
    <w:rsid w:val="006358FB"/>
    <w:rsid w:val="0063595C"/>
    <w:rsid w:val="00635A74"/>
    <w:rsid w:val="00635AC0"/>
    <w:rsid w:val="00635B09"/>
    <w:rsid w:val="00635B7F"/>
    <w:rsid w:val="00635B92"/>
    <w:rsid w:val="00635C36"/>
    <w:rsid w:val="00635D08"/>
    <w:rsid w:val="00635D14"/>
    <w:rsid w:val="00635D1F"/>
    <w:rsid w:val="00635EDF"/>
    <w:rsid w:val="00635F18"/>
    <w:rsid w:val="00635F41"/>
    <w:rsid w:val="00635F54"/>
    <w:rsid w:val="00635FA7"/>
    <w:rsid w:val="0063600B"/>
    <w:rsid w:val="0063611B"/>
    <w:rsid w:val="00636140"/>
    <w:rsid w:val="0063614B"/>
    <w:rsid w:val="00636314"/>
    <w:rsid w:val="00636339"/>
    <w:rsid w:val="00636357"/>
    <w:rsid w:val="006363FC"/>
    <w:rsid w:val="00636588"/>
    <w:rsid w:val="006365F8"/>
    <w:rsid w:val="00636622"/>
    <w:rsid w:val="00636718"/>
    <w:rsid w:val="0063677E"/>
    <w:rsid w:val="0063678A"/>
    <w:rsid w:val="006367BB"/>
    <w:rsid w:val="006367C1"/>
    <w:rsid w:val="006367C5"/>
    <w:rsid w:val="0063683E"/>
    <w:rsid w:val="00636846"/>
    <w:rsid w:val="00636863"/>
    <w:rsid w:val="00636890"/>
    <w:rsid w:val="0063692A"/>
    <w:rsid w:val="00636966"/>
    <w:rsid w:val="00636A09"/>
    <w:rsid w:val="00636A40"/>
    <w:rsid w:val="00636A6A"/>
    <w:rsid w:val="00636B3A"/>
    <w:rsid w:val="00636C91"/>
    <w:rsid w:val="00636C95"/>
    <w:rsid w:val="00636C96"/>
    <w:rsid w:val="00636D6B"/>
    <w:rsid w:val="00636DF2"/>
    <w:rsid w:val="00636EA9"/>
    <w:rsid w:val="00637014"/>
    <w:rsid w:val="00637080"/>
    <w:rsid w:val="006370E3"/>
    <w:rsid w:val="00637109"/>
    <w:rsid w:val="0063710D"/>
    <w:rsid w:val="00637139"/>
    <w:rsid w:val="00637147"/>
    <w:rsid w:val="0063714C"/>
    <w:rsid w:val="00637197"/>
    <w:rsid w:val="006371E4"/>
    <w:rsid w:val="0063722C"/>
    <w:rsid w:val="00637234"/>
    <w:rsid w:val="0063727A"/>
    <w:rsid w:val="006372DF"/>
    <w:rsid w:val="00637344"/>
    <w:rsid w:val="00637354"/>
    <w:rsid w:val="0063737E"/>
    <w:rsid w:val="006373F8"/>
    <w:rsid w:val="0063746F"/>
    <w:rsid w:val="00637493"/>
    <w:rsid w:val="006374E0"/>
    <w:rsid w:val="00637552"/>
    <w:rsid w:val="00637594"/>
    <w:rsid w:val="006375BB"/>
    <w:rsid w:val="006375FD"/>
    <w:rsid w:val="0063765F"/>
    <w:rsid w:val="006376A0"/>
    <w:rsid w:val="006376A6"/>
    <w:rsid w:val="0063770E"/>
    <w:rsid w:val="00637748"/>
    <w:rsid w:val="0063777C"/>
    <w:rsid w:val="0063792F"/>
    <w:rsid w:val="00637A5E"/>
    <w:rsid w:val="00637AEA"/>
    <w:rsid w:val="00637B51"/>
    <w:rsid w:val="00637B86"/>
    <w:rsid w:val="00637BB3"/>
    <w:rsid w:val="00637BDC"/>
    <w:rsid w:val="00637C0F"/>
    <w:rsid w:val="00637C6D"/>
    <w:rsid w:val="00637C84"/>
    <w:rsid w:val="00637C9B"/>
    <w:rsid w:val="00637D7C"/>
    <w:rsid w:val="00637E3E"/>
    <w:rsid w:val="00637E4B"/>
    <w:rsid w:val="00637E91"/>
    <w:rsid w:val="00637E93"/>
    <w:rsid w:val="00637F81"/>
    <w:rsid w:val="00637F8B"/>
    <w:rsid w:val="00637F96"/>
    <w:rsid w:val="00637FBE"/>
    <w:rsid w:val="00637FDF"/>
    <w:rsid w:val="0064019C"/>
    <w:rsid w:val="006402CB"/>
    <w:rsid w:val="00640367"/>
    <w:rsid w:val="00640383"/>
    <w:rsid w:val="00640389"/>
    <w:rsid w:val="00640394"/>
    <w:rsid w:val="006403CA"/>
    <w:rsid w:val="006404A9"/>
    <w:rsid w:val="00640574"/>
    <w:rsid w:val="0064067F"/>
    <w:rsid w:val="006406AF"/>
    <w:rsid w:val="006406DF"/>
    <w:rsid w:val="00640702"/>
    <w:rsid w:val="0064071E"/>
    <w:rsid w:val="0064077C"/>
    <w:rsid w:val="006407CA"/>
    <w:rsid w:val="00640822"/>
    <w:rsid w:val="00640888"/>
    <w:rsid w:val="0064088C"/>
    <w:rsid w:val="006408FF"/>
    <w:rsid w:val="00640A8A"/>
    <w:rsid w:val="00640AC5"/>
    <w:rsid w:val="00640AFC"/>
    <w:rsid w:val="00640B06"/>
    <w:rsid w:val="00640B8E"/>
    <w:rsid w:val="00640C3D"/>
    <w:rsid w:val="00640C59"/>
    <w:rsid w:val="00640C60"/>
    <w:rsid w:val="00640D60"/>
    <w:rsid w:val="00640D6B"/>
    <w:rsid w:val="00640D95"/>
    <w:rsid w:val="00640DBC"/>
    <w:rsid w:val="00640DC3"/>
    <w:rsid w:val="00640DEA"/>
    <w:rsid w:val="00640E04"/>
    <w:rsid w:val="00640E15"/>
    <w:rsid w:val="00640E2B"/>
    <w:rsid w:val="00640E30"/>
    <w:rsid w:val="0064103E"/>
    <w:rsid w:val="00641087"/>
    <w:rsid w:val="006410D6"/>
    <w:rsid w:val="006410F4"/>
    <w:rsid w:val="00641187"/>
    <w:rsid w:val="006411CC"/>
    <w:rsid w:val="006411F2"/>
    <w:rsid w:val="006412B2"/>
    <w:rsid w:val="006412C7"/>
    <w:rsid w:val="006412D1"/>
    <w:rsid w:val="0064134B"/>
    <w:rsid w:val="006413F9"/>
    <w:rsid w:val="006413FB"/>
    <w:rsid w:val="00641491"/>
    <w:rsid w:val="006414B8"/>
    <w:rsid w:val="006414BD"/>
    <w:rsid w:val="006414EB"/>
    <w:rsid w:val="00641507"/>
    <w:rsid w:val="00641527"/>
    <w:rsid w:val="00641585"/>
    <w:rsid w:val="006415C7"/>
    <w:rsid w:val="006415E3"/>
    <w:rsid w:val="0064184F"/>
    <w:rsid w:val="0064189E"/>
    <w:rsid w:val="006418C0"/>
    <w:rsid w:val="006418F3"/>
    <w:rsid w:val="00641951"/>
    <w:rsid w:val="00641980"/>
    <w:rsid w:val="006419C2"/>
    <w:rsid w:val="00641A34"/>
    <w:rsid w:val="00641A65"/>
    <w:rsid w:val="00641A7C"/>
    <w:rsid w:val="00641AA2"/>
    <w:rsid w:val="00641BA5"/>
    <w:rsid w:val="00641BC9"/>
    <w:rsid w:val="00641C65"/>
    <w:rsid w:val="00641C66"/>
    <w:rsid w:val="00641DC4"/>
    <w:rsid w:val="00641F0C"/>
    <w:rsid w:val="00641F7D"/>
    <w:rsid w:val="0064206A"/>
    <w:rsid w:val="00642165"/>
    <w:rsid w:val="006421B5"/>
    <w:rsid w:val="00642217"/>
    <w:rsid w:val="0064221B"/>
    <w:rsid w:val="00642236"/>
    <w:rsid w:val="0064225D"/>
    <w:rsid w:val="006422E3"/>
    <w:rsid w:val="006422F9"/>
    <w:rsid w:val="006423F9"/>
    <w:rsid w:val="0064248E"/>
    <w:rsid w:val="006424EC"/>
    <w:rsid w:val="0064251E"/>
    <w:rsid w:val="00642583"/>
    <w:rsid w:val="006426AA"/>
    <w:rsid w:val="006426AE"/>
    <w:rsid w:val="006426C5"/>
    <w:rsid w:val="006426EC"/>
    <w:rsid w:val="00642715"/>
    <w:rsid w:val="006427DD"/>
    <w:rsid w:val="006427EB"/>
    <w:rsid w:val="0064280C"/>
    <w:rsid w:val="0064280D"/>
    <w:rsid w:val="00642815"/>
    <w:rsid w:val="00642837"/>
    <w:rsid w:val="0064289F"/>
    <w:rsid w:val="0064290C"/>
    <w:rsid w:val="00642950"/>
    <w:rsid w:val="006429AE"/>
    <w:rsid w:val="00642A99"/>
    <w:rsid w:val="00642B02"/>
    <w:rsid w:val="00642B0E"/>
    <w:rsid w:val="00642BC7"/>
    <w:rsid w:val="00642C8C"/>
    <w:rsid w:val="00642D9A"/>
    <w:rsid w:val="00642DF7"/>
    <w:rsid w:val="00642DFC"/>
    <w:rsid w:val="00642F76"/>
    <w:rsid w:val="0064303D"/>
    <w:rsid w:val="0064303E"/>
    <w:rsid w:val="00643082"/>
    <w:rsid w:val="00643111"/>
    <w:rsid w:val="00643132"/>
    <w:rsid w:val="0064319E"/>
    <w:rsid w:val="00643306"/>
    <w:rsid w:val="0064331F"/>
    <w:rsid w:val="00643339"/>
    <w:rsid w:val="006433A9"/>
    <w:rsid w:val="00643472"/>
    <w:rsid w:val="006435B3"/>
    <w:rsid w:val="006435BE"/>
    <w:rsid w:val="006435DC"/>
    <w:rsid w:val="006435E9"/>
    <w:rsid w:val="006436A1"/>
    <w:rsid w:val="0064370D"/>
    <w:rsid w:val="0064377F"/>
    <w:rsid w:val="006437DE"/>
    <w:rsid w:val="006438CE"/>
    <w:rsid w:val="0064392E"/>
    <w:rsid w:val="006439FD"/>
    <w:rsid w:val="00643A0A"/>
    <w:rsid w:val="00643ADA"/>
    <w:rsid w:val="00643B10"/>
    <w:rsid w:val="00643B5E"/>
    <w:rsid w:val="00643BB7"/>
    <w:rsid w:val="00643C05"/>
    <w:rsid w:val="00643C2E"/>
    <w:rsid w:val="00643C99"/>
    <w:rsid w:val="00643CDE"/>
    <w:rsid w:val="00643CF4"/>
    <w:rsid w:val="00643D2D"/>
    <w:rsid w:val="00643D6C"/>
    <w:rsid w:val="00643D89"/>
    <w:rsid w:val="00643DD6"/>
    <w:rsid w:val="00643DEB"/>
    <w:rsid w:val="00643E38"/>
    <w:rsid w:val="00643E5B"/>
    <w:rsid w:val="00643E79"/>
    <w:rsid w:val="00643F1D"/>
    <w:rsid w:val="00643F9A"/>
    <w:rsid w:val="00644026"/>
    <w:rsid w:val="0064403D"/>
    <w:rsid w:val="00644063"/>
    <w:rsid w:val="00644070"/>
    <w:rsid w:val="00644106"/>
    <w:rsid w:val="00644117"/>
    <w:rsid w:val="00644162"/>
    <w:rsid w:val="006441BE"/>
    <w:rsid w:val="00644238"/>
    <w:rsid w:val="0064436F"/>
    <w:rsid w:val="00644373"/>
    <w:rsid w:val="006443D0"/>
    <w:rsid w:val="006444D6"/>
    <w:rsid w:val="006444E3"/>
    <w:rsid w:val="0064453F"/>
    <w:rsid w:val="0064457C"/>
    <w:rsid w:val="0064458B"/>
    <w:rsid w:val="006445CD"/>
    <w:rsid w:val="0064467F"/>
    <w:rsid w:val="0064468F"/>
    <w:rsid w:val="006446F2"/>
    <w:rsid w:val="00644716"/>
    <w:rsid w:val="006447A4"/>
    <w:rsid w:val="006447A8"/>
    <w:rsid w:val="006447CB"/>
    <w:rsid w:val="0064482A"/>
    <w:rsid w:val="0064485B"/>
    <w:rsid w:val="0064485D"/>
    <w:rsid w:val="0064487E"/>
    <w:rsid w:val="00644889"/>
    <w:rsid w:val="00644910"/>
    <w:rsid w:val="0064498A"/>
    <w:rsid w:val="00644991"/>
    <w:rsid w:val="006449B6"/>
    <w:rsid w:val="006449F7"/>
    <w:rsid w:val="00644A98"/>
    <w:rsid w:val="00644ABF"/>
    <w:rsid w:val="00644C4A"/>
    <w:rsid w:val="00644C5A"/>
    <w:rsid w:val="00644C5D"/>
    <w:rsid w:val="00644C68"/>
    <w:rsid w:val="00644CA2"/>
    <w:rsid w:val="00644CD2"/>
    <w:rsid w:val="00644D02"/>
    <w:rsid w:val="00644D3D"/>
    <w:rsid w:val="00644D48"/>
    <w:rsid w:val="00644D91"/>
    <w:rsid w:val="00644E0B"/>
    <w:rsid w:val="00644FA1"/>
    <w:rsid w:val="006451D2"/>
    <w:rsid w:val="0064521A"/>
    <w:rsid w:val="0064522B"/>
    <w:rsid w:val="00645242"/>
    <w:rsid w:val="006452FA"/>
    <w:rsid w:val="00645307"/>
    <w:rsid w:val="0064538F"/>
    <w:rsid w:val="006453A8"/>
    <w:rsid w:val="00645502"/>
    <w:rsid w:val="00645514"/>
    <w:rsid w:val="00645518"/>
    <w:rsid w:val="00645542"/>
    <w:rsid w:val="006455E3"/>
    <w:rsid w:val="00645620"/>
    <w:rsid w:val="00645640"/>
    <w:rsid w:val="00645641"/>
    <w:rsid w:val="00645674"/>
    <w:rsid w:val="0064568E"/>
    <w:rsid w:val="0064569D"/>
    <w:rsid w:val="00645727"/>
    <w:rsid w:val="00645772"/>
    <w:rsid w:val="00645863"/>
    <w:rsid w:val="00645901"/>
    <w:rsid w:val="00645933"/>
    <w:rsid w:val="006459A3"/>
    <w:rsid w:val="00645A51"/>
    <w:rsid w:val="00645A7D"/>
    <w:rsid w:val="00645AE7"/>
    <w:rsid w:val="00645B14"/>
    <w:rsid w:val="00645C16"/>
    <w:rsid w:val="00645C7C"/>
    <w:rsid w:val="00645C8B"/>
    <w:rsid w:val="00645CBD"/>
    <w:rsid w:val="00645CCF"/>
    <w:rsid w:val="00645CD2"/>
    <w:rsid w:val="00645CFC"/>
    <w:rsid w:val="00645DB1"/>
    <w:rsid w:val="00645DE8"/>
    <w:rsid w:val="00645E1B"/>
    <w:rsid w:val="00645E2D"/>
    <w:rsid w:val="00645E8D"/>
    <w:rsid w:val="00645EE1"/>
    <w:rsid w:val="00645FA8"/>
    <w:rsid w:val="00646027"/>
    <w:rsid w:val="006460A6"/>
    <w:rsid w:val="006460B5"/>
    <w:rsid w:val="006460F0"/>
    <w:rsid w:val="00646113"/>
    <w:rsid w:val="00646117"/>
    <w:rsid w:val="00646122"/>
    <w:rsid w:val="006461B6"/>
    <w:rsid w:val="006461D6"/>
    <w:rsid w:val="00646202"/>
    <w:rsid w:val="0064623F"/>
    <w:rsid w:val="00646249"/>
    <w:rsid w:val="00646258"/>
    <w:rsid w:val="006462F3"/>
    <w:rsid w:val="00646334"/>
    <w:rsid w:val="0064634A"/>
    <w:rsid w:val="006463A9"/>
    <w:rsid w:val="006463E2"/>
    <w:rsid w:val="0064641E"/>
    <w:rsid w:val="00646484"/>
    <w:rsid w:val="00646524"/>
    <w:rsid w:val="0064653C"/>
    <w:rsid w:val="006465AD"/>
    <w:rsid w:val="0064660F"/>
    <w:rsid w:val="00646769"/>
    <w:rsid w:val="00646780"/>
    <w:rsid w:val="006467B8"/>
    <w:rsid w:val="006467C3"/>
    <w:rsid w:val="006467D2"/>
    <w:rsid w:val="006467F9"/>
    <w:rsid w:val="00646845"/>
    <w:rsid w:val="006468EB"/>
    <w:rsid w:val="006469A1"/>
    <w:rsid w:val="006469AF"/>
    <w:rsid w:val="006469CA"/>
    <w:rsid w:val="00646A1C"/>
    <w:rsid w:val="00646AD0"/>
    <w:rsid w:val="00646AF4"/>
    <w:rsid w:val="00646C9B"/>
    <w:rsid w:val="00646CE8"/>
    <w:rsid w:val="00646D30"/>
    <w:rsid w:val="00646D33"/>
    <w:rsid w:val="00646D82"/>
    <w:rsid w:val="00646D90"/>
    <w:rsid w:val="00646E60"/>
    <w:rsid w:val="00646E85"/>
    <w:rsid w:val="00646F04"/>
    <w:rsid w:val="00646F3B"/>
    <w:rsid w:val="00646F89"/>
    <w:rsid w:val="00646F96"/>
    <w:rsid w:val="00646FBC"/>
    <w:rsid w:val="0064700D"/>
    <w:rsid w:val="006470BB"/>
    <w:rsid w:val="00647165"/>
    <w:rsid w:val="0064718F"/>
    <w:rsid w:val="006471CA"/>
    <w:rsid w:val="006471DD"/>
    <w:rsid w:val="006471DE"/>
    <w:rsid w:val="006472A7"/>
    <w:rsid w:val="00647351"/>
    <w:rsid w:val="00647409"/>
    <w:rsid w:val="0064740B"/>
    <w:rsid w:val="00647466"/>
    <w:rsid w:val="00647540"/>
    <w:rsid w:val="006475A6"/>
    <w:rsid w:val="006475DB"/>
    <w:rsid w:val="0064763B"/>
    <w:rsid w:val="006476A5"/>
    <w:rsid w:val="00647722"/>
    <w:rsid w:val="00647889"/>
    <w:rsid w:val="0064791B"/>
    <w:rsid w:val="006479A4"/>
    <w:rsid w:val="006479A7"/>
    <w:rsid w:val="00647A2B"/>
    <w:rsid w:val="00647A39"/>
    <w:rsid w:val="00647A3A"/>
    <w:rsid w:val="00647AE8"/>
    <w:rsid w:val="00647B07"/>
    <w:rsid w:val="00647B8D"/>
    <w:rsid w:val="00647B93"/>
    <w:rsid w:val="00647BEB"/>
    <w:rsid w:val="00647C27"/>
    <w:rsid w:val="00647C43"/>
    <w:rsid w:val="00647C7B"/>
    <w:rsid w:val="00647CDA"/>
    <w:rsid w:val="00647DCC"/>
    <w:rsid w:val="00647E0E"/>
    <w:rsid w:val="00647E66"/>
    <w:rsid w:val="00647E88"/>
    <w:rsid w:val="00647EC0"/>
    <w:rsid w:val="00647EE4"/>
    <w:rsid w:val="00647EE5"/>
    <w:rsid w:val="00647EFF"/>
    <w:rsid w:val="00647F50"/>
    <w:rsid w:val="00647F5B"/>
    <w:rsid w:val="00647F78"/>
    <w:rsid w:val="00647F83"/>
    <w:rsid w:val="00647FA7"/>
    <w:rsid w:val="0064BB3A"/>
    <w:rsid w:val="00650078"/>
    <w:rsid w:val="0065007B"/>
    <w:rsid w:val="006501AA"/>
    <w:rsid w:val="006503B6"/>
    <w:rsid w:val="006503C7"/>
    <w:rsid w:val="00650417"/>
    <w:rsid w:val="0065047B"/>
    <w:rsid w:val="00650482"/>
    <w:rsid w:val="006504B4"/>
    <w:rsid w:val="006504BF"/>
    <w:rsid w:val="006504D2"/>
    <w:rsid w:val="006504D9"/>
    <w:rsid w:val="00650536"/>
    <w:rsid w:val="00650541"/>
    <w:rsid w:val="006505B9"/>
    <w:rsid w:val="006505C0"/>
    <w:rsid w:val="006505E5"/>
    <w:rsid w:val="0065064E"/>
    <w:rsid w:val="00650715"/>
    <w:rsid w:val="0065076B"/>
    <w:rsid w:val="006507C3"/>
    <w:rsid w:val="00650817"/>
    <w:rsid w:val="0065085D"/>
    <w:rsid w:val="0065088B"/>
    <w:rsid w:val="006508B1"/>
    <w:rsid w:val="006508B8"/>
    <w:rsid w:val="00650946"/>
    <w:rsid w:val="0065096B"/>
    <w:rsid w:val="00650979"/>
    <w:rsid w:val="006509E4"/>
    <w:rsid w:val="006509E9"/>
    <w:rsid w:val="00650A05"/>
    <w:rsid w:val="00650A8E"/>
    <w:rsid w:val="00650A9D"/>
    <w:rsid w:val="00650AAC"/>
    <w:rsid w:val="00650B1D"/>
    <w:rsid w:val="00650B41"/>
    <w:rsid w:val="00650B4E"/>
    <w:rsid w:val="00650B97"/>
    <w:rsid w:val="00650BAE"/>
    <w:rsid w:val="00650BAF"/>
    <w:rsid w:val="00650BCC"/>
    <w:rsid w:val="00650CB2"/>
    <w:rsid w:val="00650D23"/>
    <w:rsid w:val="00650D81"/>
    <w:rsid w:val="00650D93"/>
    <w:rsid w:val="00650DAD"/>
    <w:rsid w:val="00650E59"/>
    <w:rsid w:val="00650E5A"/>
    <w:rsid w:val="00650ED4"/>
    <w:rsid w:val="00650F6F"/>
    <w:rsid w:val="00650F8A"/>
    <w:rsid w:val="00650FE9"/>
    <w:rsid w:val="00650FEC"/>
    <w:rsid w:val="00651030"/>
    <w:rsid w:val="00651040"/>
    <w:rsid w:val="0065107E"/>
    <w:rsid w:val="006511A0"/>
    <w:rsid w:val="006511F7"/>
    <w:rsid w:val="0065120B"/>
    <w:rsid w:val="00651241"/>
    <w:rsid w:val="0065128C"/>
    <w:rsid w:val="006512A9"/>
    <w:rsid w:val="006513C6"/>
    <w:rsid w:val="00651429"/>
    <w:rsid w:val="006514B0"/>
    <w:rsid w:val="006514D4"/>
    <w:rsid w:val="0065151C"/>
    <w:rsid w:val="0065163C"/>
    <w:rsid w:val="00651665"/>
    <w:rsid w:val="006516BB"/>
    <w:rsid w:val="006516E1"/>
    <w:rsid w:val="0065173A"/>
    <w:rsid w:val="0065176D"/>
    <w:rsid w:val="006517D1"/>
    <w:rsid w:val="006517DA"/>
    <w:rsid w:val="006517DF"/>
    <w:rsid w:val="006517EA"/>
    <w:rsid w:val="00651836"/>
    <w:rsid w:val="006518E5"/>
    <w:rsid w:val="00651900"/>
    <w:rsid w:val="0065198C"/>
    <w:rsid w:val="006519C1"/>
    <w:rsid w:val="00651A61"/>
    <w:rsid w:val="00651A77"/>
    <w:rsid w:val="00651A80"/>
    <w:rsid w:val="00651AE3"/>
    <w:rsid w:val="00651AFA"/>
    <w:rsid w:val="00651B82"/>
    <w:rsid w:val="00651DB1"/>
    <w:rsid w:val="00651E32"/>
    <w:rsid w:val="00651E98"/>
    <w:rsid w:val="00651E9A"/>
    <w:rsid w:val="00651EBE"/>
    <w:rsid w:val="00651F6A"/>
    <w:rsid w:val="0065206E"/>
    <w:rsid w:val="006520A5"/>
    <w:rsid w:val="0065218A"/>
    <w:rsid w:val="006521D7"/>
    <w:rsid w:val="0065220D"/>
    <w:rsid w:val="00652228"/>
    <w:rsid w:val="0065223A"/>
    <w:rsid w:val="0065223D"/>
    <w:rsid w:val="006522E6"/>
    <w:rsid w:val="00652322"/>
    <w:rsid w:val="00652342"/>
    <w:rsid w:val="006523AA"/>
    <w:rsid w:val="006523B9"/>
    <w:rsid w:val="006523CD"/>
    <w:rsid w:val="0065245F"/>
    <w:rsid w:val="00652471"/>
    <w:rsid w:val="00652473"/>
    <w:rsid w:val="00652483"/>
    <w:rsid w:val="006524BE"/>
    <w:rsid w:val="00652532"/>
    <w:rsid w:val="0065253B"/>
    <w:rsid w:val="0065256A"/>
    <w:rsid w:val="006525AB"/>
    <w:rsid w:val="006525CF"/>
    <w:rsid w:val="00652685"/>
    <w:rsid w:val="006526B5"/>
    <w:rsid w:val="00652718"/>
    <w:rsid w:val="0065273A"/>
    <w:rsid w:val="006527EE"/>
    <w:rsid w:val="006528BE"/>
    <w:rsid w:val="0065297D"/>
    <w:rsid w:val="00652A0B"/>
    <w:rsid w:val="00652BD8"/>
    <w:rsid w:val="00652C0B"/>
    <w:rsid w:val="00652C9F"/>
    <w:rsid w:val="00652CF1"/>
    <w:rsid w:val="00652EB8"/>
    <w:rsid w:val="00652EB9"/>
    <w:rsid w:val="00652F5F"/>
    <w:rsid w:val="006530DD"/>
    <w:rsid w:val="006531B6"/>
    <w:rsid w:val="006531D3"/>
    <w:rsid w:val="00653229"/>
    <w:rsid w:val="0065327D"/>
    <w:rsid w:val="00653328"/>
    <w:rsid w:val="0065333F"/>
    <w:rsid w:val="00653350"/>
    <w:rsid w:val="006533B5"/>
    <w:rsid w:val="006533DF"/>
    <w:rsid w:val="00653485"/>
    <w:rsid w:val="00653489"/>
    <w:rsid w:val="006534A7"/>
    <w:rsid w:val="006534A8"/>
    <w:rsid w:val="006534AA"/>
    <w:rsid w:val="006534EC"/>
    <w:rsid w:val="00653500"/>
    <w:rsid w:val="00653507"/>
    <w:rsid w:val="00653510"/>
    <w:rsid w:val="00653591"/>
    <w:rsid w:val="006536BE"/>
    <w:rsid w:val="006536D1"/>
    <w:rsid w:val="006536E7"/>
    <w:rsid w:val="006536F8"/>
    <w:rsid w:val="006536FE"/>
    <w:rsid w:val="006537DF"/>
    <w:rsid w:val="006538D9"/>
    <w:rsid w:val="006538EE"/>
    <w:rsid w:val="00653905"/>
    <w:rsid w:val="0065391F"/>
    <w:rsid w:val="00653924"/>
    <w:rsid w:val="0065392F"/>
    <w:rsid w:val="00653935"/>
    <w:rsid w:val="00653947"/>
    <w:rsid w:val="00653981"/>
    <w:rsid w:val="006539CF"/>
    <w:rsid w:val="006539DA"/>
    <w:rsid w:val="006539F3"/>
    <w:rsid w:val="00653A05"/>
    <w:rsid w:val="00653A6E"/>
    <w:rsid w:val="00653B7A"/>
    <w:rsid w:val="00653B9B"/>
    <w:rsid w:val="00653C20"/>
    <w:rsid w:val="00653CC0"/>
    <w:rsid w:val="00653D51"/>
    <w:rsid w:val="00653D9F"/>
    <w:rsid w:val="00653F59"/>
    <w:rsid w:val="00654106"/>
    <w:rsid w:val="00654179"/>
    <w:rsid w:val="00654197"/>
    <w:rsid w:val="00654218"/>
    <w:rsid w:val="00654352"/>
    <w:rsid w:val="006543FF"/>
    <w:rsid w:val="00654400"/>
    <w:rsid w:val="0065456C"/>
    <w:rsid w:val="006545D9"/>
    <w:rsid w:val="006545E5"/>
    <w:rsid w:val="00654659"/>
    <w:rsid w:val="006546FB"/>
    <w:rsid w:val="0065479A"/>
    <w:rsid w:val="006547A7"/>
    <w:rsid w:val="00654849"/>
    <w:rsid w:val="0065487D"/>
    <w:rsid w:val="006548F0"/>
    <w:rsid w:val="0065496D"/>
    <w:rsid w:val="006549C5"/>
    <w:rsid w:val="006549E2"/>
    <w:rsid w:val="00654A20"/>
    <w:rsid w:val="00654B80"/>
    <w:rsid w:val="00654C03"/>
    <w:rsid w:val="00654C8D"/>
    <w:rsid w:val="00654DC6"/>
    <w:rsid w:val="00654DF2"/>
    <w:rsid w:val="00654E5A"/>
    <w:rsid w:val="00655036"/>
    <w:rsid w:val="0065505B"/>
    <w:rsid w:val="00655095"/>
    <w:rsid w:val="006550DB"/>
    <w:rsid w:val="00655132"/>
    <w:rsid w:val="00655135"/>
    <w:rsid w:val="00655144"/>
    <w:rsid w:val="00655167"/>
    <w:rsid w:val="00655178"/>
    <w:rsid w:val="00655194"/>
    <w:rsid w:val="0065520C"/>
    <w:rsid w:val="006552BF"/>
    <w:rsid w:val="006552E7"/>
    <w:rsid w:val="00655314"/>
    <w:rsid w:val="0065535C"/>
    <w:rsid w:val="006553B1"/>
    <w:rsid w:val="006553EE"/>
    <w:rsid w:val="0065540F"/>
    <w:rsid w:val="00655426"/>
    <w:rsid w:val="006554A4"/>
    <w:rsid w:val="006554C2"/>
    <w:rsid w:val="006554F4"/>
    <w:rsid w:val="0065552A"/>
    <w:rsid w:val="0065558A"/>
    <w:rsid w:val="006555B4"/>
    <w:rsid w:val="00655636"/>
    <w:rsid w:val="00655651"/>
    <w:rsid w:val="00655664"/>
    <w:rsid w:val="00655756"/>
    <w:rsid w:val="00655819"/>
    <w:rsid w:val="006558AF"/>
    <w:rsid w:val="0065597D"/>
    <w:rsid w:val="0065599B"/>
    <w:rsid w:val="006559AE"/>
    <w:rsid w:val="00655AE8"/>
    <w:rsid w:val="00655B03"/>
    <w:rsid w:val="00655B62"/>
    <w:rsid w:val="00655C53"/>
    <w:rsid w:val="00655C9C"/>
    <w:rsid w:val="00655CDE"/>
    <w:rsid w:val="00655D6A"/>
    <w:rsid w:val="00655D73"/>
    <w:rsid w:val="00655EE2"/>
    <w:rsid w:val="00655F1F"/>
    <w:rsid w:val="00655FF4"/>
    <w:rsid w:val="006560BA"/>
    <w:rsid w:val="006560C2"/>
    <w:rsid w:val="0065612D"/>
    <w:rsid w:val="0065621B"/>
    <w:rsid w:val="0065627F"/>
    <w:rsid w:val="006562A3"/>
    <w:rsid w:val="006562AC"/>
    <w:rsid w:val="00656376"/>
    <w:rsid w:val="00656383"/>
    <w:rsid w:val="00656450"/>
    <w:rsid w:val="00656467"/>
    <w:rsid w:val="0065650D"/>
    <w:rsid w:val="00656520"/>
    <w:rsid w:val="00656528"/>
    <w:rsid w:val="00656555"/>
    <w:rsid w:val="006565C8"/>
    <w:rsid w:val="00656606"/>
    <w:rsid w:val="0065664F"/>
    <w:rsid w:val="00656678"/>
    <w:rsid w:val="0065668A"/>
    <w:rsid w:val="006566A5"/>
    <w:rsid w:val="006566C1"/>
    <w:rsid w:val="006567C3"/>
    <w:rsid w:val="00656841"/>
    <w:rsid w:val="00656853"/>
    <w:rsid w:val="00656870"/>
    <w:rsid w:val="006568D2"/>
    <w:rsid w:val="0065699C"/>
    <w:rsid w:val="00656A2F"/>
    <w:rsid w:val="00656A36"/>
    <w:rsid w:val="00656A5A"/>
    <w:rsid w:val="00656B53"/>
    <w:rsid w:val="00656B7C"/>
    <w:rsid w:val="00656BD8"/>
    <w:rsid w:val="00656C0B"/>
    <w:rsid w:val="00656C73"/>
    <w:rsid w:val="00656C8B"/>
    <w:rsid w:val="00656D45"/>
    <w:rsid w:val="00656D5B"/>
    <w:rsid w:val="00656DA8"/>
    <w:rsid w:val="00656DC2"/>
    <w:rsid w:val="00656F00"/>
    <w:rsid w:val="00656F42"/>
    <w:rsid w:val="00656F9E"/>
    <w:rsid w:val="00656FA1"/>
    <w:rsid w:val="00656FE5"/>
    <w:rsid w:val="0065706B"/>
    <w:rsid w:val="00657120"/>
    <w:rsid w:val="00657146"/>
    <w:rsid w:val="00657298"/>
    <w:rsid w:val="006572B7"/>
    <w:rsid w:val="006572C6"/>
    <w:rsid w:val="00657370"/>
    <w:rsid w:val="006573E2"/>
    <w:rsid w:val="00657406"/>
    <w:rsid w:val="0065741C"/>
    <w:rsid w:val="00657420"/>
    <w:rsid w:val="006574F0"/>
    <w:rsid w:val="00657565"/>
    <w:rsid w:val="006576EC"/>
    <w:rsid w:val="0065777D"/>
    <w:rsid w:val="0065778C"/>
    <w:rsid w:val="00657807"/>
    <w:rsid w:val="006579F3"/>
    <w:rsid w:val="00657A7B"/>
    <w:rsid w:val="00657A93"/>
    <w:rsid w:val="00657A9B"/>
    <w:rsid w:val="00657AFC"/>
    <w:rsid w:val="00657B2F"/>
    <w:rsid w:val="00657D48"/>
    <w:rsid w:val="00657D79"/>
    <w:rsid w:val="00657DD0"/>
    <w:rsid w:val="00657E0B"/>
    <w:rsid w:val="00657E1B"/>
    <w:rsid w:val="00657E2E"/>
    <w:rsid w:val="00657E31"/>
    <w:rsid w:val="00657E9D"/>
    <w:rsid w:val="00657EDA"/>
    <w:rsid w:val="00657F4B"/>
    <w:rsid w:val="0066000F"/>
    <w:rsid w:val="00660043"/>
    <w:rsid w:val="00660064"/>
    <w:rsid w:val="0066009D"/>
    <w:rsid w:val="006600E5"/>
    <w:rsid w:val="00660127"/>
    <w:rsid w:val="00660181"/>
    <w:rsid w:val="006601CE"/>
    <w:rsid w:val="0066025E"/>
    <w:rsid w:val="0066038A"/>
    <w:rsid w:val="00660394"/>
    <w:rsid w:val="00660397"/>
    <w:rsid w:val="006603AB"/>
    <w:rsid w:val="00660412"/>
    <w:rsid w:val="0066047F"/>
    <w:rsid w:val="006604C1"/>
    <w:rsid w:val="006604C3"/>
    <w:rsid w:val="006604CD"/>
    <w:rsid w:val="00660553"/>
    <w:rsid w:val="00660563"/>
    <w:rsid w:val="0066056F"/>
    <w:rsid w:val="006605B5"/>
    <w:rsid w:val="0066076E"/>
    <w:rsid w:val="006607CD"/>
    <w:rsid w:val="00660863"/>
    <w:rsid w:val="00660898"/>
    <w:rsid w:val="006609CB"/>
    <w:rsid w:val="006609F7"/>
    <w:rsid w:val="00660AE9"/>
    <w:rsid w:val="00660B16"/>
    <w:rsid w:val="00660B62"/>
    <w:rsid w:val="00660B6F"/>
    <w:rsid w:val="00660C0E"/>
    <w:rsid w:val="00660C2B"/>
    <w:rsid w:val="00660D1F"/>
    <w:rsid w:val="00660D24"/>
    <w:rsid w:val="00660D66"/>
    <w:rsid w:val="00660D8A"/>
    <w:rsid w:val="00660DFC"/>
    <w:rsid w:val="00660DFD"/>
    <w:rsid w:val="00660E8A"/>
    <w:rsid w:val="00660E9C"/>
    <w:rsid w:val="00660EA6"/>
    <w:rsid w:val="00660EC6"/>
    <w:rsid w:val="00660FA0"/>
    <w:rsid w:val="00660FAF"/>
    <w:rsid w:val="00661032"/>
    <w:rsid w:val="00661090"/>
    <w:rsid w:val="0066111B"/>
    <w:rsid w:val="006611AC"/>
    <w:rsid w:val="006611EA"/>
    <w:rsid w:val="006611F1"/>
    <w:rsid w:val="006612A3"/>
    <w:rsid w:val="006612F3"/>
    <w:rsid w:val="006612FC"/>
    <w:rsid w:val="00661333"/>
    <w:rsid w:val="006613C2"/>
    <w:rsid w:val="00661442"/>
    <w:rsid w:val="00661587"/>
    <w:rsid w:val="006615AF"/>
    <w:rsid w:val="006615BA"/>
    <w:rsid w:val="006615CE"/>
    <w:rsid w:val="00661609"/>
    <w:rsid w:val="0066162F"/>
    <w:rsid w:val="006616B8"/>
    <w:rsid w:val="006616C2"/>
    <w:rsid w:val="006617C5"/>
    <w:rsid w:val="0066183E"/>
    <w:rsid w:val="00661879"/>
    <w:rsid w:val="006619B9"/>
    <w:rsid w:val="006619C0"/>
    <w:rsid w:val="00661A0D"/>
    <w:rsid w:val="00661B2E"/>
    <w:rsid w:val="00661BEF"/>
    <w:rsid w:val="00661C7B"/>
    <w:rsid w:val="00661CE6"/>
    <w:rsid w:val="00661CF8"/>
    <w:rsid w:val="00661D74"/>
    <w:rsid w:val="00661D77"/>
    <w:rsid w:val="00661D85"/>
    <w:rsid w:val="00661E36"/>
    <w:rsid w:val="00661E37"/>
    <w:rsid w:val="00661E46"/>
    <w:rsid w:val="00661EEE"/>
    <w:rsid w:val="00661F02"/>
    <w:rsid w:val="00661F4D"/>
    <w:rsid w:val="00661F58"/>
    <w:rsid w:val="00661F64"/>
    <w:rsid w:val="00661F9F"/>
    <w:rsid w:val="006620BC"/>
    <w:rsid w:val="00662157"/>
    <w:rsid w:val="006621EF"/>
    <w:rsid w:val="00662253"/>
    <w:rsid w:val="00662367"/>
    <w:rsid w:val="00662382"/>
    <w:rsid w:val="00662414"/>
    <w:rsid w:val="006624CE"/>
    <w:rsid w:val="0066253C"/>
    <w:rsid w:val="0066255A"/>
    <w:rsid w:val="006625BC"/>
    <w:rsid w:val="006625C8"/>
    <w:rsid w:val="006625C9"/>
    <w:rsid w:val="0066261D"/>
    <w:rsid w:val="006626A4"/>
    <w:rsid w:val="0066275F"/>
    <w:rsid w:val="006627D5"/>
    <w:rsid w:val="006627E5"/>
    <w:rsid w:val="0066286E"/>
    <w:rsid w:val="00662895"/>
    <w:rsid w:val="006628BC"/>
    <w:rsid w:val="00662A77"/>
    <w:rsid w:val="00662AB4"/>
    <w:rsid w:val="00662B3F"/>
    <w:rsid w:val="00662B55"/>
    <w:rsid w:val="00662BE9"/>
    <w:rsid w:val="00662C4F"/>
    <w:rsid w:val="00662C71"/>
    <w:rsid w:val="00662C9B"/>
    <w:rsid w:val="00662CD8"/>
    <w:rsid w:val="00662D1E"/>
    <w:rsid w:val="00662D25"/>
    <w:rsid w:val="00662D52"/>
    <w:rsid w:val="00662D59"/>
    <w:rsid w:val="00662DD6"/>
    <w:rsid w:val="00662E48"/>
    <w:rsid w:val="00662EE2"/>
    <w:rsid w:val="00662FA4"/>
    <w:rsid w:val="00662FDE"/>
    <w:rsid w:val="006630D5"/>
    <w:rsid w:val="00663139"/>
    <w:rsid w:val="0066314A"/>
    <w:rsid w:val="00663184"/>
    <w:rsid w:val="00663246"/>
    <w:rsid w:val="006632D1"/>
    <w:rsid w:val="0066332F"/>
    <w:rsid w:val="0066349E"/>
    <w:rsid w:val="006634C8"/>
    <w:rsid w:val="006635A2"/>
    <w:rsid w:val="006635C4"/>
    <w:rsid w:val="006635FE"/>
    <w:rsid w:val="00663601"/>
    <w:rsid w:val="006636A6"/>
    <w:rsid w:val="006636B8"/>
    <w:rsid w:val="006636CF"/>
    <w:rsid w:val="0066375E"/>
    <w:rsid w:val="00663780"/>
    <w:rsid w:val="006637AB"/>
    <w:rsid w:val="006637C7"/>
    <w:rsid w:val="00663800"/>
    <w:rsid w:val="00663847"/>
    <w:rsid w:val="006638A3"/>
    <w:rsid w:val="0066395C"/>
    <w:rsid w:val="00663984"/>
    <w:rsid w:val="00663A11"/>
    <w:rsid w:val="00663A3C"/>
    <w:rsid w:val="00663AA8"/>
    <w:rsid w:val="00663AD5"/>
    <w:rsid w:val="00663B57"/>
    <w:rsid w:val="00663BEB"/>
    <w:rsid w:val="00663C90"/>
    <w:rsid w:val="00663D13"/>
    <w:rsid w:val="00663D1E"/>
    <w:rsid w:val="00663D2B"/>
    <w:rsid w:val="00663D33"/>
    <w:rsid w:val="00663D8D"/>
    <w:rsid w:val="00663E19"/>
    <w:rsid w:val="00663EA6"/>
    <w:rsid w:val="00663F3C"/>
    <w:rsid w:val="00663F41"/>
    <w:rsid w:val="00663FD1"/>
    <w:rsid w:val="0066401C"/>
    <w:rsid w:val="0066410D"/>
    <w:rsid w:val="006641DF"/>
    <w:rsid w:val="006642EE"/>
    <w:rsid w:val="006642F0"/>
    <w:rsid w:val="00664458"/>
    <w:rsid w:val="006644B9"/>
    <w:rsid w:val="0066450B"/>
    <w:rsid w:val="0066451B"/>
    <w:rsid w:val="00664562"/>
    <w:rsid w:val="006645C0"/>
    <w:rsid w:val="00664617"/>
    <w:rsid w:val="006646A8"/>
    <w:rsid w:val="006646EE"/>
    <w:rsid w:val="00664750"/>
    <w:rsid w:val="0066475B"/>
    <w:rsid w:val="006647AC"/>
    <w:rsid w:val="006647E7"/>
    <w:rsid w:val="00664875"/>
    <w:rsid w:val="006648A4"/>
    <w:rsid w:val="006649A3"/>
    <w:rsid w:val="00664B2E"/>
    <w:rsid w:val="00664B6B"/>
    <w:rsid w:val="00664B83"/>
    <w:rsid w:val="00664BC4"/>
    <w:rsid w:val="00664C35"/>
    <w:rsid w:val="00664C79"/>
    <w:rsid w:val="00664CC6"/>
    <w:rsid w:val="00664EB2"/>
    <w:rsid w:val="00664ED0"/>
    <w:rsid w:val="006650F4"/>
    <w:rsid w:val="006650F8"/>
    <w:rsid w:val="006651CC"/>
    <w:rsid w:val="0066522D"/>
    <w:rsid w:val="0066537C"/>
    <w:rsid w:val="00665441"/>
    <w:rsid w:val="00665458"/>
    <w:rsid w:val="0066548F"/>
    <w:rsid w:val="006654D9"/>
    <w:rsid w:val="0066552B"/>
    <w:rsid w:val="0066583D"/>
    <w:rsid w:val="00665874"/>
    <w:rsid w:val="006658A7"/>
    <w:rsid w:val="006658D3"/>
    <w:rsid w:val="00665948"/>
    <w:rsid w:val="00665952"/>
    <w:rsid w:val="00665960"/>
    <w:rsid w:val="006659CE"/>
    <w:rsid w:val="00665AC9"/>
    <w:rsid w:val="00665AF2"/>
    <w:rsid w:val="00665B19"/>
    <w:rsid w:val="00665C79"/>
    <w:rsid w:val="00665C80"/>
    <w:rsid w:val="00665CEE"/>
    <w:rsid w:val="00665CF7"/>
    <w:rsid w:val="00665D57"/>
    <w:rsid w:val="00665DDC"/>
    <w:rsid w:val="00665E69"/>
    <w:rsid w:val="00665F1F"/>
    <w:rsid w:val="00665F23"/>
    <w:rsid w:val="00665FE0"/>
    <w:rsid w:val="00666018"/>
    <w:rsid w:val="006660BD"/>
    <w:rsid w:val="00666199"/>
    <w:rsid w:val="00666270"/>
    <w:rsid w:val="006662BC"/>
    <w:rsid w:val="006662EF"/>
    <w:rsid w:val="00666325"/>
    <w:rsid w:val="00666357"/>
    <w:rsid w:val="00666359"/>
    <w:rsid w:val="006663E5"/>
    <w:rsid w:val="006664E7"/>
    <w:rsid w:val="00666517"/>
    <w:rsid w:val="0066654B"/>
    <w:rsid w:val="0066659B"/>
    <w:rsid w:val="006665C9"/>
    <w:rsid w:val="006665ED"/>
    <w:rsid w:val="006665FD"/>
    <w:rsid w:val="00666644"/>
    <w:rsid w:val="006666F5"/>
    <w:rsid w:val="0066671E"/>
    <w:rsid w:val="00666807"/>
    <w:rsid w:val="0066680C"/>
    <w:rsid w:val="00666851"/>
    <w:rsid w:val="006668A6"/>
    <w:rsid w:val="006668F0"/>
    <w:rsid w:val="0066698F"/>
    <w:rsid w:val="006669CC"/>
    <w:rsid w:val="00666BA0"/>
    <w:rsid w:val="00666C07"/>
    <w:rsid w:val="00666D2E"/>
    <w:rsid w:val="00666D33"/>
    <w:rsid w:val="00666DFF"/>
    <w:rsid w:val="00666E5D"/>
    <w:rsid w:val="00666EB9"/>
    <w:rsid w:val="00666EC5"/>
    <w:rsid w:val="00666F8E"/>
    <w:rsid w:val="0066705E"/>
    <w:rsid w:val="00667115"/>
    <w:rsid w:val="00667177"/>
    <w:rsid w:val="006671FB"/>
    <w:rsid w:val="006672AF"/>
    <w:rsid w:val="006672C1"/>
    <w:rsid w:val="0066742D"/>
    <w:rsid w:val="0066760B"/>
    <w:rsid w:val="0066765F"/>
    <w:rsid w:val="00667665"/>
    <w:rsid w:val="00667699"/>
    <w:rsid w:val="006676F1"/>
    <w:rsid w:val="00667759"/>
    <w:rsid w:val="00667784"/>
    <w:rsid w:val="00667917"/>
    <w:rsid w:val="00667949"/>
    <w:rsid w:val="006679CB"/>
    <w:rsid w:val="00667A39"/>
    <w:rsid w:val="00667BC1"/>
    <w:rsid w:val="00667CB4"/>
    <w:rsid w:val="00667D14"/>
    <w:rsid w:val="00667D71"/>
    <w:rsid w:val="00667DEA"/>
    <w:rsid w:val="00667DFA"/>
    <w:rsid w:val="00667E5C"/>
    <w:rsid w:val="00667ECA"/>
    <w:rsid w:val="00667EDC"/>
    <w:rsid w:val="00667FC6"/>
    <w:rsid w:val="0066E57E"/>
    <w:rsid w:val="00670179"/>
    <w:rsid w:val="006701BD"/>
    <w:rsid w:val="00670235"/>
    <w:rsid w:val="0067031B"/>
    <w:rsid w:val="00670438"/>
    <w:rsid w:val="00670450"/>
    <w:rsid w:val="00670519"/>
    <w:rsid w:val="00670529"/>
    <w:rsid w:val="006705C3"/>
    <w:rsid w:val="0067062D"/>
    <w:rsid w:val="00670654"/>
    <w:rsid w:val="00670681"/>
    <w:rsid w:val="00670696"/>
    <w:rsid w:val="00670722"/>
    <w:rsid w:val="00670727"/>
    <w:rsid w:val="006707A3"/>
    <w:rsid w:val="00670800"/>
    <w:rsid w:val="00670885"/>
    <w:rsid w:val="006708A0"/>
    <w:rsid w:val="006708B1"/>
    <w:rsid w:val="006708FD"/>
    <w:rsid w:val="00670931"/>
    <w:rsid w:val="00670937"/>
    <w:rsid w:val="00670967"/>
    <w:rsid w:val="00670A1D"/>
    <w:rsid w:val="00670A91"/>
    <w:rsid w:val="00670AD7"/>
    <w:rsid w:val="00670B0E"/>
    <w:rsid w:val="00670B7E"/>
    <w:rsid w:val="00670C4E"/>
    <w:rsid w:val="00670D3B"/>
    <w:rsid w:val="00670D7C"/>
    <w:rsid w:val="00670DBA"/>
    <w:rsid w:val="00670DE3"/>
    <w:rsid w:val="00670E73"/>
    <w:rsid w:val="00670EE7"/>
    <w:rsid w:val="00670F69"/>
    <w:rsid w:val="00671055"/>
    <w:rsid w:val="0067105F"/>
    <w:rsid w:val="00671183"/>
    <w:rsid w:val="006711AC"/>
    <w:rsid w:val="006711B8"/>
    <w:rsid w:val="00671302"/>
    <w:rsid w:val="00671396"/>
    <w:rsid w:val="006713B0"/>
    <w:rsid w:val="0067142B"/>
    <w:rsid w:val="00671550"/>
    <w:rsid w:val="00671577"/>
    <w:rsid w:val="006715AF"/>
    <w:rsid w:val="006715C3"/>
    <w:rsid w:val="006715D7"/>
    <w:rsid w:val="006715EB"/>
    <w:rsid w:val="006716A9"/>
    <w:rsid w:val="006716D6"/>
    <w:rsid w:val="006717F9"/>
    <w:rsid w:val="0067181D"/>
    <w:rsid w:val="006718AE"/>
    <w:rsid w:val="0067198D"/>
    <w:rsid w:val="00671AD9"/>
    <w:rsid w:val="00671BD7"/>
    <w:rsid w:val="00671FD0"/>
    <w:rsid w:val="00671FE1"/>
    <w:rsid w:val="0067201D"/>
    <w:rsid w:val="0067204B"/>
    <w:rsid w:val="006720F7"/>
    <w:rsid w:val="00672127"/>
    <w:rsid w:val="0067214C"/>
    <w:rsid w:val="00672163"/>
    <w:rsid w:val="0067221E"/>
    <w:rsid w:val="006722B5"/>
    <w:rsid w:val="006722BC"/>
    <w:rsid w:val="006722D1"/>
    <w:rsid w:val="00672339"/>
    <w:rsid w:val="00672356"/>
    <w:rsid w:val="00672359"/>
    <w:rsid w:val="0067236B"/>
    <w:rsid w:val="006723AA"/>
    <w:rsid w:val="006723AC"/>
    <w:rsid w:val="006723FD"/>
    <w:rsid w:val="00672434"/>
    <w:rsid w:val="0067249B"/>
    <w:rsid w:val="0067257B"/>
    <w:rsid w:val="006725A7"/>
    <w:rsid w:val="00672605"/>
    <w:rsid w:val="00672632"/>
    <w:rsid w:val="00672671"/>
    <w:rsid w:val="00672696"/>
    <w:rsid w:val="006728FF"/>
    <w:rsid w:val="0067294D"/>
    <w:rsid w:val="00672989"/>
    <w:rsid w:val="00672993"/>
    <w:rsid w:val="006729A0"/>
    <w:rsid w:val="00672A89"/>
    <w:rsid w:val="00672B07"/>
    <w:rsid w:val="00672B5D"/>
    <w:rsid w:val="00672BEE"/>
    <w:rsid w:val="00672C25"/>
    <w:rsid w:val="00672C56"/>
    <w:rsid w:val="00672C75"/>
    <w:rsid w:val="00672CD1"/>
    <w:rsid w:val="00672CDE"/>
    <w:rsid w:val="00672D33"/>
    <w:rsid w:val="00672D8D"/>
    <w:rsid w:val="00672DB0"/>
    <w:rsid w:val="00672DB9"/>
    <w:rsid w:val="00672DE0"/>
    <w:rsid w:val="00672DF8"/>
    <w:rsid w:val="00672EB2"/>
    <w:rsid w:val="00672F2B"/>
    <w:rsid w:val="00672F7F"/>
    <w:rsid w:val="00672FA6"/>
    <w:rsid w:val="0067312B"/>
    <w:rsid w:val="0067323C"/>
    <w:rsid w:val="0067331B"/>
    <w:rsid w:val="006734DF"/>
    <w:rsid w:val="006735AA"/>
    <w:rsid w:val="006735D1"/>
    <w:rsid w:val="0067361B"/>
    <w:rsid w:val="0067367A"/>
    <w:rsid w:val="00673720"/>
    <w:rsid w:val="006737B5"/>
    <w:rsid w:val="006737C6"/>
    <w:rsid w:val="0067385E"/>
    <w:rsid w:val="006738C7"/>
    <w:rsid w:val="006738F1"/>
    <w:rsid w:val="006738FC"/>
    <w:rsid w:val="00673959"/>
    <w:rsid w:val="00673968"/>
    <w:rsid w:val="00673974"/>
    <w:rsid w:val="0067397D"/>
    <w:rsid w:val="006739B8"/>
    <w:rsid w:val="006739CB"/>
    <w:rsid w:val="00673A4C"/>
    <w:rsid w:val="00673B51"/>
    <w:rsid w:val="00673B6B"/>
    <w:rsid w:val="00673BD8"/>
    <w:rsid w:val="00673C04"/>
    <w:rsid w:val="00673C3E"/>
    <w:rsid w:val="00673C5B"/>
    <w:rsid w:val="00673CA6"/>
    <w:rsid w:val="00673CBE"/>
    <w:rsid w:val="00673CF8"/>
    <w:rsid w:val="00673D1F"/>
    <w:rsid w:val="00673DDE"/>
    <w:rsid w:val="00673E92"/>
    <w:rsid w:val="00673EAA"/>
    <w:rsid w:val="00673EFF"/>
    <w:rsid w:val="00673F81"/>
    <w:rsid w:val="00673FA5"/>
    <w:rsid w:val="00673FC2"/>
    <w:rsid w:val="00673FD9"/>
    <w:rsid w:val="00674015"/>
    <w:rsid w:val="006740D1"/>
    <w:rsid w:val="00674116"/>
    <w:rsid w:val="00674262"/>
    <w:rsid w:val="006742F0"/>
    <w:rsid w:val="0067431B"/>
    <w:rsid w:val="00674399"/>
    <w:rsid w:val="006743A0"/>
    <w:rsid w:val="006743B8"/>
    <w:rsid w:val="00674419"/>
    <w:rsid w:val="00674452"/>
    <w:rsid w:val="0067454F"/>
    <w:rsid w:val="00674575"/>
    <w:rsid w:val="0067470D"/>
    <w:rsid w:val="00674762"/>
    <w:rsid w:val="006747D8"/>
    <w:rsid w:val="00674940"/>
    <w:rsid w:val="00674A50"/>
    <w:rsid w:val="00674B3C"/>
    <w:rsid w:val="00674B4B"/>
    <w:rsid w:val="00674C13"/>
    <w:rsid w:val="00674C24"/>
    <w:rsid w:val="00674C5D"/>
    <w:rsid w:val="00674C8E"/>
    <w:rsid w:val="00674C96"/>
    <w:rsid w:val="00674DC9"/>
    <w:rsid w:val="00674EA0"/>
    <w:rsid w:val="00674EAE"/>
    <w:rsid w:val="00674ECD"/>
    <w:rsid w:val="00674ED0"/>
    <w:rsid w:val="00674F49"/>
    <w:rsid w:val="00674F8B"/>
    <w:rsid w:val="00674FF1"/>
    <w:rsid w:val="00675000"/>
    <w:rsid w:val="00675092"/>
    <w:rsid w:val="00675096"/>
    <w:rsid w:val="0067511D"/>
    <w:rsid w:val="0067517C"/>
    <w:rsid w:val="00675213"/>
    <w:rsid w:val="006752BF"/>
    <w:rsid w:val="006752D7"/>
    <w:rsid w:val="00675330"/>
    <w:rsid w:val="0067535D"/>
    <w:rsid w:val="00675405"/>
    <w:rsid w:val="00675422"/>
    <w:rsid w:val="0067550B"/>
    <w:rsid w:val="006755E5"/>
    <w:rsid w:val="00675695"/>
    <w:rsid w:val="006756C8"/>
    <w:rsid w:val="006756E8"/>
    <w:rsid w:val="0067574B"/>
    <w:rsid w:val="0067582F"/>
    <w:rsid w:val="0067590F"/>
    <w:rsid w:val="0067596E"/>
    <w:rsid w:val="00675A2D"/>
    <w:rsid w:val="00675A56"/>
    <w:rsid w:val="00675AA7"/>
    <w:rsid w:val="00675AEE"/>
    <w:rsid w:val="00675D0F"/>
    <w:rsid w:val="00675DC9"/>
    <w:rsid w:val="00675E4A"/>
    <w:rsid w:val="00675F2B"/>
    <w:rsid w:val="00675F61"/>
    <w:rsid w:val="00675F7C"/>
    <w:rsid w:val="00675FB7"/>
    <w:rsid w:val="00675FDD"/>
    <w:rsid w:val="006760A0"/>
    <w:rsid w:val="006760C0"/>
    <w:rsid w:val="006760F4"/>
    <w:rsid w:val="00676134"/>
    <w:rsid w:val="0067616E"/>
    <w:rsid w:val="00676179"/>
    <w:rsid w:val="006761DE"/>
    <w:rsid w:val="00676255"/>
    <w:rsid w:val="0067625D"/>
    <w:rsid w:val="00676276"/>
    <w:rsid w:val="006762A9"/>
    <w:rsid w:val="006762D4"/>
    <w:rsid w:val="006762E9"/>
    <w:rsid w:val="006762EE"/>
    <w:rsid w:val="00676358"/>
    <w:rsid w:val="006764D6"/>
    <w:rsid w:val="006764DE"/>
    <w:rsid w:val="00676532"/>
    <w:rsid w:val="006765C7"/>
    <w:rsid w:val="006765CC"/>
    <w:rsid w:val="00676638"/>
    <w:rsid w:val="00676640"/>
    <w:rsid w:val="006766C0"/>
    <w:rsid w:val="006766C3"/>
    <w:rsid w:val="0067673F"/>
    <w:rsid w:val="00676778"/>
    <w:rsid w:val="00676790"/>
    <w:rsid w:val="006767D6"/>
    <w:rsid w:val="006767E5"/>
    <w:rsid w:val="006767E7"/>
    <w:rsid w:val="0067689A"/>
    <w:rsid w:val="00676947"/>
    <w:rsid w:val="0067696E"/>
    <w:rsid w:val="006769D1"/>
    <w:rsid w:val="006769E0"/>
    <w:rsid w:val="00676A06"/>
    <w:rsid w:val="00676A40"/>
    <w:rsid w:val="00676A5C"/>
    <w:rsid w:val="00676AE7"/>
    <w:rsid w:val="00676CB8"/>
    <w:rsid w:val="00676D3A"/>
    <w:rsid w:val="00676D45"/>
    <w:rsid w:val="00676D7D"/>
    <w:rsid w:val="00676DE0"/>
    <w:rsid w:val="00676DEE"/>
    <w:rsid w:val="00676E9C"/>
    <w:rsid w:val="00676EFF"/>
    <w:rsid w:val="00676F3B"/>
    <w:rsid w:val="00676F88"/>
    <w:rsid w:val="00677062"/>
    <w:rsid w:val="00677070"/>
    <w:rsid w:val="0067709C"/>
    <w:rsid w:val="00677110"/>
    <w:rsid w:val="0067730C"/>
    <w:rsid w:val="00677406"/>
    <w:rsid w:val="0067740B"/>
    <w:rsid w:val="0067740D"/>
    <w:rsid w:val="0067747A"/>
    <w:rsid w:val="006774AF"/>
    <w:rsid w:val="006775C9"/>
    <w:rsid w:val="00677682"/>
    <w:rsid w:val="00677724"/>
    <w:rsid w:val="006777C5"/>
    <w:rsid w:val="006777DB"/>
    <w:rsid w:val="00677851"/>
    <w:rsid w:val="006778C2"/>
    <w:rsid w:val="006778FB"/>
    <w:rsid w:val="00677934"/>
    <w:rsid w:val="00677979"/>
    <w:rsid w:val="006779E8"/>
    <w:rsid w:val="00677A4D"/>
    <w:rsid w:val="00677CA6"/>
    <w:rsid w:val="00677CBD"/>
    <w:rsid w:val="00677CD2"/>
    <w:rsid w:val="00677D27"/>
    <w:rsid w:val="00677DA3"/>
    <w:rsid w:val="00677DEA"/>
    <w:rsid w:val="00677E78"/>
    <w:rsid w:val="00677EC0"/>
    <w:rsid w:val="00677EFA"/>
    <w:rsid w:val="00677F0C"/>
    <w:rsid w:val="00677F28"/>
    <w:rsid w:val="00680002"/>
    <w:rsid w:val="00680047"/>
    <w:rsid w:val="00680080"/>
    <w:rsid w:val="006800CC"/>
    <w:rsid w:val="00680105"/>
    <w:rsid w:val="0068010A"/>
    <w:rsid w:val="0068012D"/>
    <w:rsid w:val="0068016A"/>
    <w:rsid w:val="006801DE"/>
    <w:rsid w:val="006801E3"/>
    <w:rsid w:val="00680213"/>
    <w:rsid w:val="00680234"/>
    <w:rsid w:val="0068026C"/>
    <w:rsid w:val="006802F1"/>
    <w:rsid w:val="00680397"/>
    <w:rsid w:val="00680421"/>
    <w:rsid w:val="0068042B"/>
    <w:rsid w:val="0068048D"/>
    <w:rsid w:val="006805BD"/>
    <w:rsid w:val="006805F5"/>
    <w:rsid w:val="0068065B"/>
    <w:rsid w:val="00680665"/>
    <w:rsid w:val="00680724"/>
    <w:rsid w:val="00680786"/>
    <w:rsid w:val="00680818"/>
    <w:rsid w:val="0068084C"/>
    <w:rsid w:val="0068087A"/>
    <w:rsid w:val="00680897"/>
    <w:rsid w:val="006808B3"/>
    <w:rsid w:val="006808E4"/>
    <w:rsid w:val="0068094B"/>
    <w:rsid w:val="00680966"/>
    <w:rsid w:val="0068099C"/>
    <w:rsid w:val="006809A2"/>
    <w:rsid w:val="006809CE"/>
    <w:rsid w:val="00680A70"/>
    <w:rsid w:val="00680A86"/>
    <w:rsid w:val="00680B62"/>
    <w:rsid w:val="00680C17"/>
    <w:rsid w:val="00680C4E"/>
    <w:rsid w:val="00680CE6"/>
    <w:rsid w:val="00680D07"/>
    <w:rsid w:val="00680D0D"/>
    <w:rsid w:val="00680D43"/>
    <w:rsid w:val="00680D9B"/>
    <w:rsid w:val="00680DC8"/>
    <w:rsid w:val="00680E80"/>
    <w:rsid w:val="00680EC0"/>
    <w:rsid w:val="00680ED0"/>
    <w:rsid w:val="00680EE4"/>
    <w:rsid w:val="00680EF2"/>
    <w:rsid w:val="00680F57"/>
    <w:rsid w:val="00680FDB"/>
    <w:rsid w:val="00681010"/>
    <w:rsid w:val="0068101C"/>
    <w:rsid w:val="006810CA"/>
    <w:rsid w:val="006810D3"/>
    <w:rsid w:val="00681160"/>
    <w:rsid w:val="006811A4"/>
    <w:rsid w:val="006811DC"/>
    <w:rsid w:val="00681277"/>
    <w:rsid w:val="006812DB"/>
    <w:rsid w:val="00681412"/>
    <w:rsid w:val="0068146E"/>
    <w:rsid w:val="006814A6"/>
    <w:rsid w:val="006814A7"/>
    <w:rsid w:val="006814CD"/>
    <w:rsid w:val="0068152B"/>
    <w:rsid w:val="0068154B"/>
    <w:rsid w:val="00681582"/>
    <w:rsid w:val="006815EB"/>
    <w:rsid w:val="00681625"/>
    <w:rsid w:val="0068164E"/>
    <w:rsid w:val="00681665"/>
    <w:rsid w:val="00681742"/>
    <w:rsid w:val="00681767"/>
    <w:rsid w:val="006817C2"/>
    <w:rsid w:val="006818BB"/>
    <w:rsid w:val="00681925"/>
    <w:rsid w:val="00681936"/>
    <w:rsid w:val="006819B5"/>
    <w:rsid w:val="006819EA"/>
    <w:rsid w:val="00681A17"/>
    <w:rsid w:val="00681A42"/>
    <w:rsid w:val="00681AA1"/>
    <w:rsid w:val="00681B2C"/>
    <w:rsid w:val="00681B6C"/>
    <w:rsid w:val="00681C2E"/>
    <w:rsid w:val="00681C9B"/>
    <w:rsid w:val="00681D04"/>
    <w:rsid w:val="00681D3A"/>
    <w:rsid w:val="00681D84"/>
    <w:rsid w:val="00681F07"/>
    <w:rsid w:val="00681F24"/>
    <w:rsid w:val="00681F49"/>
    <w:rsid w:val="00681F75"/>
    <w:rsid w:val="00681FAD"/>
    <w:rsid w:val="00681FEC"/>
    <w:rsid w:val="00682052"/>
    <w:rsid w:val="0068212D"/>
    <w:rsid w:val="006821FE"/>
    <w:rsid w:val="0068229D"/>
    <w:rsid w:val="006822AB"/>
    <w:rsid w:val="006822F0"/>
    <w:rsid w:val="00682376"/>
    <w:rsid w:val="006823F6"/>
    <w:rsid w:val="0068248C"/>
    <w:rsid w:val="0068256A"/>
    <w:rsid w:val="006825A0"/>
    <w:rsid w:val="006825BC"/>
    <w:rsid w:val="006825E2"/>
    <w:rsid w:val="0068261C"/>
    <w:rsid w:val="00682688"/>
    <w:rsid w:val="00682779"/>
    <w:rsid w:val="0068279A"/>
    <w:rsid w:val="006827A4"/>
    <w:rsid w:val="006827B5"/>
    <w:rsid w:val="006827DD"/>
    <w:rsid w:val="00682845"/>
    <w:rsid w:val="00682858"/>
    <w:rsid w:val="006828D2"/>
    <w:rsid w:val="006828ED"/>
    <w:rsid w:val="00682911"/>
    <w:rsid w:val="00682916"/>
    <w:rsid w:val="0068295E"/>
    <w:rsid w:val="006829C6"/>
    <w:rsid w:val="006829E9"/>
    <w:rsid w:val="00682AB8"/>
    <w:rsid w:val="00682B28"/>
    <w:rsid w:val="00682B5D"/>
    <w:rsid w:val="00682B6E"/>
    <w:rsid w:val="00682B7A"/>
    <w:rsid w:val="00682B7D"/>
    <w:rsid w:val="00682BAD"/>
    <w:rsid w:val="00682BD5"/>
    <w:rsid w:val="00682C20"/>
    <w:rsid w:val="00682C36"/>
    <w:rsid w:val="00682D55"/>
    <w:rsid w:val="00682E76"/>
    <w:rsid w:val="00682E85"/>
    <w:rsid w:val="00682EB3"/>
    <w:rsid w:val="00682EC1"/>
    <w:rsid w:val="00682EE6"/>
    <w:rsid w:val="00682F22"/>
    <w:rsid w:val="00682FAF"/>
    <w:rsid w:val="00683017"/>
    <w:rsid w:val="00683061"/>
    <w:rsid w:val="00683077"/>
    <w:rsid w:val="006830AE"/>
    <w:rsid w:val="00683147"/>
    <w:rsid w:val="006831FC"/>
    <w:rsid w:val="00683273"/>
    <w:rsid w:val="006832EF"/>
    <w:rsid w:val="00683344"/>
    <w:rsid w:val="00683347"/>
    <w:rsid w:val="006833A7"/>
    <w:rsid w:val="00683430"/>
    <w:rsid w:val="006834C9"/>
    <w:rsid w:val="0068350B"/>
    <w:rsid w:val="0068351B"/>
    <w:rsid w:val="00683611"/>
    <w:rsid w:val="006836CE"/>
    <w:rsid w:val="006836E1"/>
    <w:rsid w:val="0068371A"/>
    <w:rsid w:val="00683721"/>
    <w:rsid w:val="006837D8"/>
    <w:rsid w:val="006838F2"/>
    <w:rsid w:val="00683903"/>
    <w:rsid w:val="00683904"/>
    <w:rsid w:val="00683928"/>
    <w:rsid w:val="0068398B"/>
    <w:rsid w:val="006839E8"/>
    <w:rsid w:val="006839F8"/>
    <w:rsid w:val="00683A75"/>
    <w:rsid w:val="00683ADE"/>
    <w:rsid w:val="00683B9A"/>
    <w:rsid w:val="00683BA6"/>
    <w:rsid w:val="00683BAF"/>
    <w:rsid w:val="00683BF6"/>
    <w:rsid w:val="00683C15"/>
    <w:rsid w:val="00683C8B"/>
    <w:rsid w:val="00683CD0"/>
    <w:rsid w:val="00683D13"/>
    <w:rsid w:val="00683D25"/>
    <w:rsid w:val="00683D36"/>
    <w:rsid w:val="00683D38"/>
    <w:rsid w:val="00683E03"/>
    <w:rsid w:val="00683EFA"/>
    <w:rsid w:val="00683FCB"/>
    <w:rsid w:val="0068404E"/>
    <w:rsid w:val="00684191"/>
    <w:rsid w:val="006841BC"/>
    <w:rsid w:val="006841BD"/>
    <w:rsid w:val="00684474"/>
    <w:rsid w:val="006844B5"/>
    <w:rsid w:val="00684517"/>
    <w:rsid w:val="00684556"/>
    <w:rsid w:val="006845B0"/>
    <w:rsid w:val="006845CA"/>
    <w:rsid w:val="00684620"/>
    <w:rsid w:val="00684677"/>
    <w:rsid w:val="00684725"/>
    <w:rsid w:val="00684729"/>
    <w:rsid w:val="006847F9"/>
    <w:rsid w:val="0068487F"/>
    <w:rsid w:val="0068497E"/>
    <w:rsid w:val="006849C1"/>
    <w:rsid w:val="00684A2E"/>
    <w:rsid w:val="00684A99"/>
    <w:rsid w:val="00684ACD"/>
    <w:rsid w:val="00684B45"/>
    <w:rsid w:val="00684BC8"/>
    <w:rsid w:val="00684C81"/>
    <w:rsid w:val="00684CD5"/>
    <w:rsid w:val="00684D16"/>
    <w:rsid w:val="00684DA7"/>
    <w:rsid w:val="00684DD2"/>
    <w:rsid w:val="00684DF2"/>
    <w:rsid w:val="00684E7D"/>
    <w:rsid w:val="00684F0E"/>
    <w:rsid w:val="0068501D"/>
    <w:rsid w:val="006850B2"/>
    <w:rsid w:val="006850C2"/>
    <w:rsid w:val="00685132"/>
    <w:rsid w:val="00685160"/>
    <w:rsid w:val="0068518C"/>
    <w:rsid w:val="0068520E"/>
    <w:rsid w:val="00685232"/>
    <w:rsid w:val="0068525E"/>
    <w:rsid w:val="00685305"/>
    <w:rsid w:val="006853A7"/>
    <w:rsid w:val="0068548F"/>
    <w:rsid w:val="006854A0"/>
    <w:rsid w:val="006854E0"/>
    <w:rsid w:val="006854FB"/>
    <w:rsid w:val="00685507"/>
    <w:rsid w:val="00685640"/>
    <w:rsid w:val="0068572C"/>
    <w:rsid w:val="0068578F"/>
    <w:rsid w:val="006857AD"/>
    <w:rsid w:val="006857AE"/>
    <w:rsid w:val="00685916"/>
    <w:rsid w:val="006859BA"/>
    <w:rsid w:val="006859BB"/>
    <w:rsid w:val="006859C2"/>
    <w:rsid w:val="00685A06"/>
    <w:rsid w:val="00685A15"/>
    <w:rsid w:val="00685A22"/>
    <w:rsid w:val="00685A73"/>
    <w:rsid w:val="00685A74"/>
    <w:rsid w:val="00685B1B"/>
    <w:rsid w:val="00685B83"/>
    <w:rsid w:val="00685BFE"/>
    <w:rsid w:val="00685C10"/>
    <w:rsid w:val="00685C67"/>
    <w:rsid w:val="00685CB1"/>
    <w:rsid w:val="00685D4F"/>
    <w:rsid w:val="00685DD4"/>
    <w:rsid w:val="00685F50"/>
    <w:rsid w:val="00685F56"/>
    <w:rsid w:val="00685F99"/>
    <w:rsid w:val="0068602F"/>
    <w:rsid w:val="00686080"/>
    <w:rsid w:val="0068610D"/>
    <w:rsid w:val="00686110"/>
    <w:rsid w:val="0068620B"/>
    <w:rsid w:val="00686229"/>
    <w:rsid w:val="0068624E"/>
    <w:rsid w:val="0068637D"/>
    <w:rsid w:val="00686453"/>
    <w:rsid w:val="00686457"/>
    <w:rsid w:val="006864D2"/>
    <w:rsid w:val="006864F0"/>
    <w:rsid w:val="0068652E"/>
    <w:rsid w:val="006865BF"/>
    <w:rsid w:val="006865EF"/>
    <w:rsid w:val="00686627"/>
    <w:rsid w:val="0068668E"/>
    <w:rsid w:val="0068671F"/>
    <w:rsid w:val="006867EE"/>
    <w:rsid w:val="00686841"/>
    <w:rsid w:val="0068684B"/>
    <w:rsid w:val="00686A6F"/>
    <w:rsid w:val="00686A88"/>
    <w:rsid w:val="00686CA1"/>
    <w:rsid w:val="00686CA5"/>
    <w:rsid w:val="00686CB6"/>
    <w:rsid w:val="00686D8D"/>
    <w:rsid w:val="00686E1D"/>
    <w:rsid w:val="00686F67"/>
    <w:rsid w:val="00686F9D"/>
    <w:rsid w:val="00686FA3"/>
    <w:rsid w:val="00687016"/>
    <w:rsid w:val="0068701D"/>
    <w:rsid w:val="0068708C"/>
    <w:rsid w:val="006870D8"/>
    <w:rsid w:val="006872F2"/>
    <w:rsid w:val="006872FA"/>
    <w:rsid w:val="00687314"/>
    <w:rsid w:val="00687323"/>
    <w:rsid w:val="0068744B"/>
    <w:rsid w:val="00687549"/>
    <w:rsid w:val="006875A8"/>
    <w:rsid w:val="006875AB"/>
    <w:rsid w:val="00687677"/>
    <w:rsid w:val="0068769F"/>
    <w:rsid w:val="006876A8"/>
    <w:rsid w:val="0068786E"/>
    <w:rsid w:val="00687870"/>
    <w:rsid w:val="00687887"/>
    <w:rsid w:val="00687899"/>
    <w:rsid w:val="0068790D"/>
    <w:rsid w:val="006879AB"/>
    <w:rsid w:val="006879B8"/>
    <w:rsid w:val="006879BD"/>
    <w:rsid w:val="006879D6"/>
    <w:rsid w:val="00687A18"/>
    <w:rsid w:val="00687A51"/>
    <w:rsid w:val="00687ABA"/>
    <w:rsid w:val="00687BB8"/>
    <w:rsid w:val="00687C49"/>
    <w:rsid w:val="00687C5A"/>
    <w:rsid w:val="00687C63"/>
    <w:rsid w:val="00687C6C"/>
    <w:rsid w:val="00687C7B"/>
    <w:rsid w:val="00687D4A"/>
    <w:rsid w:val="00687DB4"/>
    <w:rsid w:val="00687DCC"/>
    <w:rsid w:val="00687DF2"/>
    <w:rsid w:val="00687E0A"/>
    <w:rsid w:val="00687E63"/>
    <w:rsid w:val="00687E8E"/>
    <w:rsid w:val="00687EA9"/>
    <w:rsid w:val="00687EB4"/>
    <w:rsid w:val="00687F4B"/>
    <w:rsid w:val="00687F62"/>
    <w:rsid w:val="00687FE3"/>
    <w:rsid w:val="0069004C"/>
    <w:rsid w:val="00690118"/>
    <w:rsid w:val="0069014D"/>
    <w:rsid w:val="006901CB"/>
    <w:rsid w:val="0069022A"/>
    <w:rsid w:val="006902A4"/>
    <w:rsid w:val="00690335"/>
    <w:rsid w:val="00690448"/>
    <w:rsid w:val="00690472"/>
    <w:rsid w:val="006904BE"/>
    <w:rsid w:val="006906B2"/>
    <w:rsid w:val="00690702"/>
    <w:rsid w:val="0069071C"/>
    <w:rsid w:val="00690808"/>
    <w:rsid w:val="0069080E"/>
    <w:rsid w:val="00690820"/>
    <w:rsid w:val="0069084D"/>
    <w:rsid w:val="0069087D"/>
    <w:rsid w:val="006908BA"/>
    <w:rsid w:val="006908C2"/>
    <w:rsid w:val="0069097C"/>
    <w:rsid w:val="006909C3"/>
    <w:rsid w:val="006909D2"/>
    <w:rsid w:val="00690A10"/>
    <w:rsid w:val="00690A51"/>
    <w:rsid w:val="00690AA4"/>
    <w:rsid w:val="00690B2A"/>
    <w:rsid w:val="00690B6A"/>
    <w:rsid w:val="00690B81"/>
    <w:rsid w:val="00690CC2"/>
    <w:rsid w:val="00690D14"/>
    <w:rsid w:val="00690D1C"/>
    <w:rsid w:val="00690DBA"/>
    <w:rsid w:val="00690E22"/>
    <w:rsid w:val="00690E61"/>
    <w:rsid w:val="00690ED2"/>
    <w:rsid w:val="00690EDB"/>
    <w:rsid w:val="00690F18"/>
    <w:rsid w:val="00690F1D"/>
    <w:rsid w:val="0069102A"/>
    <w:rsid w:val="0069103E"/>
    <w:rsid w:val="0069105A"/>
    <w:rsid w:val="00691090"/>
    <w:rsid w:val="006910BC"/>
    <w:rsid w:val="006910E5"/>
    <w:rsid w:val="006910FF"/>
    <w:rsid w:val="0069110C"/>
    <w:rsid w:val="006911EC"/>
    <w:rsid w:val="00691212"/>
    <w:rsid w:val="00691251"/>
    <w:rsid w:val="00691294"/>
    <w:rsid w:val="0069131C"/>
    <w:rsid w:val="006913E9"/>
    <w:rsid w:val="00691413"/>
    <w:rsid w:val="00691420"/>
    <w:rsid w:val="00691426"/>
    <w:rsid w:val="00691430"/>
    <w:rsid w:val="0069144A"/>
    <w:rsid w:val="00691466"/>
    <w:rsid w:val="00691488"/>
    <w:rsid w:val="006914BD"/>
    <w:rsid w:val="00691589"/>
    <w:rsid w:val="00691665"/>
    <w:rsid w:val="006916F6"/>
    <w:rsid w:val="00691755"/>
    <w:rsid w:val="006917C3"/>
    <w:rsid w:val="00691975"/>
    <w:rsid w:val="0069198A"/>
    <w:rsid w:val="006919EA"/>
    <w:rsid w:val="00691A2A"/>
    <w:rsid w:val="00691AC7"/>
    <w:rsid w:val="00691BFF"/>
    <w:rsid w:val="00691C09"/>
    <w:rsid w:val="00691D55"/>
    <w:rsid w:val="00691D72"/>
    <w:rsid w:val="00691E11"/>
    <w:rsid w:val="00691EF2"/>
    <w:rsid w:val="00691F2A"/>
    <w:rsid w:val="00691F3A"/>
    <w:rsid w:val="00691F95"/>
    <w:rsid w:val="00691FC3"/>
    <w:rsid w:val="006920CF"/>
    <w:rsid w:val="00692173"/>
    <w:rsid w:val="00692182"/>
    <w:rsid w:val="006921A2"/>
    <w:rsid w:val="006921DB"/>
    <w:rsid w:val="00692255"/>
    <w:rsid w:val="0069229A"/>
    <w:rsid w:val="0069229C"/>
    <w:rsid w:val="006922A5"/>
    <w:rsid w:val="00692375"/>
    <w:rsid w:val="00692386"/>
    <w:rsid w:val="006923A3"/>
    <w:rsid w:val="006923C7"/>
    <w:rsid w:val="0069240B"/>
    <w:rsid w:val="00692431"/>
    <w:rsid w:val="0069245E"/>
    <w:rsid w:val="0069253B"/>
    <w:rsid w:val="0069255B"/>
    <w:rsid w:val="00692615"/>
    <w:rsid w:val="00692619"/>
    <w:rsid w:val="006926EC"/>
    <w:rsid w:val="0069271F"/>
    <w:rsid w:val="00692726"/>
    <w:rsid w:val="00692777"/>
    <w:rsid w:val="00692821"/>
    <w:rsid w:val="0069284E"/>
    <w:rsid w:val="006928CE"/>
    <w:rsid w:val="006928E6"/>
    <w:rsid w:val="006928F1"/>
    <w:rsid w:val="00692988"/>
    <w:rsid w:val="006929CD"/>
    <w:rsid w:val="006929DD"/>
    <w:rsid w:val="00692AF5"/>
    <w:rsid w:val="00692B2F"/>
    <w:rsid w:val="00692B33"/>
    <w:rsid w:val="00692B7B"/>
    <w:rsid w:val="00692C1B"/>
    <w:rsid w:val="00692C8F"/>
    <w:rsid w:val="00692CB7"/>
    <w:rsid w:val="00692CC3"/>
    <w:rsid w:val="00692D86"/>
    <w:rsid w:val="00692D8D"/>
    <w:rsid w:val="00692DC2"/>
    <w:rsid w:val="00692E25"/>
    <w:rsid w:val="00692EA6"/>
    <w:rsid w:val="00692F63"/>
    <w:rsid w:val="00692F93"/>
    <w:rsid w:val="00693088"/>
    <w:rsid w:val="0069309A"/>
    <w:rsid w:val="006930DC"/>
    <w:rsid w:val="00693133"/>
    <w:rsid w:val="00693181"/>
    <w:rsid w:val="006931C4"/>
    <w:rsid w:val="006931CB"/>
    <w:rsid w:val="00693209"/>
    <w:rsid w:val="006932AC"/>
    <w:rsid w:val="0069332F"/>
    <w:rsid w:val="006933D1"/>
    <w:rsid w:val="00693417"/>
    <w:rsid w:val="0069343A"/>
    <w:rsid w:val="00693445"/>
    <w:rsid w:val="006934C6"/>
    <w:rsid w:val="006935D3"/>
    <w:rsid w:val="006935DF"/>
    <w:rsid w:val="006935EA"/>
    <w:rsid w:val="006935F7"/>
    <w:rsid w:val="00693611"/>
    <w:rsid w:val="00693617"/>
    <w:rsid w:val="0069368A"/>
    <w:rsid w:val="006936C4"/>
    <w:rsid w:val="0069374A"/>
    <w:rsid w:val="006937C0"/>
    <w:rsid w:val="006938FF"/>
    <w:rsid w:val="00693977"/>
    <w:rsid w:val="00693A1D"/>
    <w:rsid w:val="00693A6D"/>
    <w:rsid w:val="00693AB3"/>
    <w:rsid w:val="00693AF1"/>
    <w:rsid w:val="00693AFE"/>
    <w:rsid w:val="00693B81"/>
    <w:rsid w:val="00693BF6"/>
    <w:rsid w:val="00693D25"/>
    <w:rsid w:val="00693D6D"/>
    <w:rsid w:val="00693E31"/>
    <w:rsid w:val="00693E79"/>
    <w:rsid w:val="00693E95"/>
    <w:rsid w:val="00693EC2"/>
    <w:rsid w:val="00693EFB"/>
    <w:rsid w:val="00693F4B"/>
    <w:rsid w:val="00693F70"/>
    <w:rsid w:val="00693FE1"/>
    <w:rsid w:val="00694006"/>
    <w:rsid w:val="006940AA"/>
    <w:rsid w:val="0069410A"/>
    <w:rsid w:val="00694139"/>
    <w:rsid w:val="0069418B"/>
    <w:rsid w:val="0069421C"/>
    <w:rsid w:val="00694237"/>
    <w:rsid w:val="00694275"/>
    <w:rsid w:val="006943B0"/>
    <w:rsid w:val="006943E7"/>
    <w:rsid w:val="0069442B"/>
    <w:rsid w:val="0069448E"/>
    <w:rsid w:val="00694575"/>
    <w:rsid w:val="00694636"/>
    <w:rsid w:val="00694640"/>
    <w:rsid w:val="0069465D"/>
    <w:rsid w:val="0069466F"/>
    <w:rsid w:val="00694676"/>
    <w:rsid w:val="0069468E"/>
    <w:rsid w:val="006946B0"/>
    <w:rsid w:val="00694700"/>
    <w:rsid w:val="00694721"/>
    <w:rsid w:val="0069473C"/>
    <w:rsid w:val="006947E8"/>
    <w:rsid w:val="0069490F"/>
    <w:rsid w:val="00694935"/>
    <w:rsid w:val="0069497E"/>
    <w:rsid w:val="006949BA"/>
    <w:rsid w:val="00694A74"/>
    <w:rsid w:val="00694A96"/>
    <w:rsid w:val="00694B37"/>
    <w:rsid w:val="00694B84"/>
    <w:rsid w:val="00694B9B"/>
    <w:rsid w:val="00694C2E"/>
    <w:rsid w:val="00694C4D"/>
    <w:rsid w:val="00694CA8"/>
    <w:rsid w:val="00694D26"/>
    <w:rsid w:val="00694D31"/>
    <w:rsid w:val="00694D73"/>
    <w:rsid w:val="00694DAE"/>
    <w:rsid w:val="00694E9F"/>
    <w:rsid w:val="00694EB3"/>
    <w:rsid w:val="00694EFF"/>
    <w:rsid w:val="00694F10"/>
    <w:rsid w:val="00694F73"/>
    <w:rsid w:val="00694FF8"/>
    <w:rsid w:val="00695011"/>
    <w:rsid w:val="00695136"/>
    <w:rsid w:val="0069513A"/>
    <w:rsid w:val="0069514D"/>
    <w:rsid w:val="006951B5"/>
    <w:rsid w:val="006951F5"/>
    <w:rsid w:val="00695277"/>
    <w:rsid w:val="006952C4"/>
    <w:rsid w:val="006952FD"/>
    <w:rsid w:val="0069532B"/>
    <w:rsid w:val="00695362"/>
    <w:rsid w:val="0069536D"/>
    <w:rsid w:val="0069538B"/>
    <w:rsid w:val="00695399"/>
    <w:rsid w:val="006953A9"/>
    <w:rsid w:val="006953C3"/>
    <w:rsid w:val="006953F3"/>
    <w:rsid w:val="00695435"/>
    <w:rsid w:val="00695471"/>
    <w:rsid w:val="0069549E"/>
    <w:rsid w:val="00695564"/>
    <w:rsid w:val="006955E3"/>
    <w:rsid w:val="006956B7"/>
    <w:rsid w:val="006956F1"/>
    <w:rsid w:val="00695701"/>
    <w:rsid w:val="00695774"/>
    <w:rsid w:val="0069578F"/>
    <w:rsid w:val="006957E1"/>
    <w:rsid w:val="0069581B"/>
    <w:rsid w:val="00695848"/>
    <w:rsid w:val="006958A5"/>
    <w:rsid w:val="006958C3"/>
    <w:rsid w:val="006958F5"/>
    <w:rsid w:val="006959E9"/>
    <w:rsid w:val="00695A02"/>
    <w:rsid w:val="00695A34"/>
    <w:rsid w:val="00695B01"/>
    <w:rsid w:val="00695B37"/>
    <w:rsid w:val="00695B4A"/>
    <w:rsid w:val="00695B6A"/>
    <w:rsid w:val="00695BC9"/>
    <w:rsid w:val="00695C14"/>
    <w:rsid w:val="00695C21"/>
    <w:rsid w:val="00695C66"/>
    <w:rsid w:val="00695CF4"/>
    <w:rsid w:val="00695D39"/>
    <w:rsid w:val="00695D41"/>
    <w:rsid w:val="00695D59"/>
    <w:rsid w:val="00695F69"/>
    <w:rsid w:val="00695F6B"/>
    <w:rsid w:val="00695FB5"/>
    <w:rsid w:val="00696017"/>
    <w:rsid w:val="006960E0"/>
    <w:rsid w:val="00696172"/>
    <w:rsid w:val="00696196"/>
    <w:rsid w:val="0069619A"/>
    <w:rsid w:val="00696245"/>
    <w:rsid w:val="00696268"/>
    <w:rsid w:val="0069632D"/>
    <w:rsid w:val="00696374"/>
    <w:rsid w:val="00696393"/>
    <w:rsid w:val="00696433"/>
    <w:rsid w:val="0069660A"/>
    <w:rsid w:val="00696798"/>
    <w:rsid w:val="0069694A"/>
    <w:rsid w:val="00696956"/>
    <w:rsid w:val="00696AEE"/>
    <w:rsid w:val="00696B34"/>
    <w:rsid w:val="00696C3D"/>
    <w:rsid w:val="00696C4C"/>
    <w:rsid w:val="00696D85"/>
    <w:rsid w:val="00696DBC"/>
    <w:rsid w:val="00696E58"/>
    <w:rsid w:val="00696E84"/>
    <w:rsid w:val="00696EA3"/>
    <w:rsid w:val="00696EA7"/>
    <w:rsid w:val="00696EBA"/>
    <w:rsid w:val="00696F54"/>
    <w:rsid w:val="00696F7B"/>
    <w:rsid w:val="00696FAD"/>
    <w:rsid w:val="006970C2"/>
    <w:rsid w:val="0069716D"/>
    <w:rsid w:val="006971CC"/>
    <w:rsid w:val="00697223"/>
    <w:rsid w:val="00697249"/>
    <w:rsid w:val="00697271"/>
    <w:rsid w:val="006972B0"/>
    <w:rsid w:val="0069731F"/>
    <w:rsid w:val="006973A0"/>
    <w:rsid w:val="00697428"/>
    <w:rsid w:val="006974A0"/>
    <w:rsid w:val="0069754C"/>
    <w:rsid w:val="00697551"/>
    <w:rsid w:val="00697575"/>
    <w:rsid w:val="006975E2"/>
    <w:rsid w:val="00697683"/>
    <w:rsid w:val="006976ED"/>
    <w:rsid w:val="006976F0"/>
    <w:rsid w:val="0069772E"/>
    <w:rsid w:val="006978D7"/>
    <w:rsid w:val="00697997"/>
    <w:rsid w:val="00697A5C"/>
    <w:rsid w:val="00697A69"/>
    <w:rsid w:val="00697A8D"/>
    <w:rsid w:val="00697ACD"/>
    <w:rsid w:val="00697AD1"/>
    <w:rsid w:val="00697AF0"/>
    <w:rsid w:val="00697B25"/>
    <w:rsid w:val="00697B42"/>
    <w:rsid w:val="00697BA6"/>
    <w:rsid w:val="00697C2B"/>
    <w:rsid w:val="00697C71"/>
    <w:rsid w:val="00697D68"/>
    <w:rsid w:val="00697D6F"/>
    <w:rsid w:val="00697E24"/>
    <w:rsid w:val="00697E25"/>
    <w:rsid w:val="00697E8E"/>
    <w:rsid w:val="00697EB0"/>
    <w:rsid w:val="00697F47"/>
    <w:rsid w:val="00697F8D"/>
    <w:rsid w:val="00697FA2"/>
    <w:rsid w:val="006A0003"/>
    <w:rsid w:val="006A006E"/>
    <w:rsid w:val="006A00F7"/>
    <w:rsid w:val="006A010A"/>
    <w:rsid w:val="006A0145"/>
    <w:rsid w:val="006A01F9"/>
    <w:rsid w:val="006A01FB"/>
    <w:rsid w:val="006A0200"/>
    <w:rsid w:val="006A0245"/>
    <w:rsid w:val="006A0313"/>
    <w:rsid w:val="006A0364"/>
    <w:rsid w:val="006A0406"/>
    <w:rsid w:val="006A051E"/>
    <w:rsid w:val="006A052C"/>
    <w:rsid w:val="006A0591"/>
    <w:rsid w:val="006A0621"/>
    <w:rsid w:val="006A06BD"/>
    <w:rsid w:val="006A06EB"/>
    <w:rsid w:val="006A076B"/>
    <w:rsid w:val="006A0782"/>
    <w:rsid w:val="006A0811"/>
    <w:rsid w:val="006A0826"/>
    <w:rsid w:val="006A0846"/>
    <w:rsid w:val="006A08BB"/>
    <w:rsid w:val="006A0926"/>
    <w:rsid w:val="006A093D"/>
    <w:rsid w:val="006A09AB"/>
    <w:rsid w:val="006A09BC"/>
    <w:rsid w:val="006A09C2"/>
    <w:rsid w:val="006A09FA"/>
    <w:rsid w:val="006A0A35"/>
    <w:rsid w:val="006A0AA8"/>
    <w:rsid w:val="006A0B7D"/>
    <w:rsid w:val="006A0B9B"/>
    <w:rsid w:val="006A0C16"/>
    <w:rsid w:val="006A0C3C"/>
    <w:rsid w:val="006A0CB8"/>
    <w:rsid w:val="006A0CC6"/>
    <w:rsid w:val="006A0CCB"/>
    <w:rsid w:val="006A0D15"/>
    <w:rsid w:val="006A0DAC"/>
    <w:rsid w:val="006A0E8F"/>
    <w:rsid w:val="006A0F30"/>
    <w:rsid w:val="006A0FA4"/>
    <w:rsid w:val="006A0FB0"/>
    <w:rsid w:val="006A1004"/>
    <w:rsid w:val="006A107B"/>
    <w:rsid w:val="006A111E"/>
    <w:rsid w:val="006A1131"/>
    <w:rsid w:val="006A1351"/>
    <w:rsid w:val="006A13A4"/>
    <w:rsid w:val="006A13D1"/>
    <w:rsid w:val="006A13DF"/>
    <w:rsid w:val="006A1454"/>
    <w:rsid w:val="006A145E"/>
    <w:rsid w:val="006A147A"/>
    <w:rsid w:val="006A1485"/>
    <w:rsid w:val="006A15B6"/>
    <w:rsid w:val="006A1698"/>
    <w:rsid w:val="006A1729"/>
    <w:rsid w:val="006A175F"/>
    <w:rsid w:val="006A176B"/>
    <w:rsid w:val="006A180C"/>
    <w:rsid w:val="006A180E"/>
    <w:rsid w:val="006A185C"/>
    <w:rsid w:val="006A18DC"/>
    <w:rsid w:val="006A19D7"/>
    <w:rsid w:val="006A19F7"/>
    <w:rsid w:val="006A1A6A"/>
    <w:rsid w:val="006A1B4C"/>
    <w:rsid w:val="006A1B84"/>
    <w:rsid w:val="006A1BB6"/>
    <w:rsid w:val="006A1C24"/>
    <w:rsid w:val="006A1D14"/>
    <w:rsid w:val="006A1E50"/>
    <w:rsid w:val="006A1ED8"/>
    <w:rsid w:val="006A1EF3"/>
    <w:rsid w:val="006A1F60"/>
    <w:rsid w:val="006A1F7C"/>
    <w:rsid w:val="006A1F8D"/>
    <w:rsid w:val="006A1FC0"/>
    <w:rsid w:val="006A20BE"/>
    <w:rsid w:val="006A2270"/>
    <w:rsid w:val="006A231A"/>
    <w:rsid w:val="006A2349"/>
    <w:rsid w:val="006A2372"/>
    <w:rsid w:val="006A2445"/>
    <w:rsid w:val="006A24EC"/>
    <w:rsid w:val="006A24FC"/>
    <w:rsid w:val="006A2599"/>
    <w:rsid w:val="006A2629"/>
    <w:rsid w:val="006A269E"/>
    <w:rsid w:val="006A26D3"/>
    <w:rsid w:val="006A26EA"/>
    <w:rsid w:val="006A2783"/>
    <w:rsid w:val="006A2924"/>
    <w:rsid w:val="006A29CD"/>
    <w:rsid w:val="006A29EE"/>
    <w:rsid w:val="006A2C5A"/>
    <w:rsid w:val="006A2CA9"/>
    <w:rsid w:val="006A2CB7"/>
    <w:rsid w:val="006A2D19"/>
    <w:rsid w:val="006A2DBC"/>
    <w:rsid w:val="006A2DF6"/>
    <w:rsid w:val="006A2E1B"/>
    <w:rsid w:val="006A2E33"/>
    <w:rsid w:val="006A2E9B"/>
    <w:rsid w:val="006A2EC0"/>
    <w:rsid w:val="006A2ED4"/>
    <w:rsid w:val="006A2ED6"/>
    <w:rsid w:val="006A2F90"/>
    <w:rsid w:val="006A3015"/>
    <w:rsid w:val="006A30C6"/>
    <w:rsid w:val="006A30F5"/>
    <w:rsid w:val="006A3102"/>
    <w:rsid w:val="006A3119"/>
    <w:rsid w:val="006A3132"/>
    <w:rsid w:val="006A3166"/>
    <w:rsid w:val="006A3246"/>
    <w:rsid w:val="006A32B3"/>
    <w:rsid w:val="006A3356"/>
    <w:rsid w:val="006A33F4"/>
    <w:rsid w:val="006A3408"/>
    <w:rsid w:val="006A3412"/>
    <w:rsid w:val="006A34A8"/>
    <w:rsid w:val="006A34B1"/>
    <w:rsid w:val="006A34BB"/>
    <w:rsid w:val="006A355B"/>
    <w:rsid w:val="006A3692"/>
    <w:rsid w:val="006A36B1"/>
    <w:rsid w:val="006A36FE"/>
    <w:rsid w:val="006A371A"/>
    <w:rsid w:val="006A3755"/>
    <w:rsid w:val="006A3760"/>
    <w:rsid w:val="006A3783"/>
    <w:rsid w:val="006A38AA"/>
    <w:rsid w:val="006A38D1"/>
    <w:rsid w:val="006A398D"/>
    <w:rsid w:val="006A39B8"/>
    <w:rsid w:val="006A3A1F"/>
    <w:rsid w:val="006A3A29"/>
    <w:rsid w:val="006A3B30"/>
    <w:rsid w:val="006A3B92"/>
    <w:rsid w:val="006A3BA7"/>
    <w:rsid w:val="006A3C2A"/>
    <w:rsid w:val="006A3C4A"/>
    <w:rsid w:val="006A3C5B"/>
    <w:rsid w:val="006A3D08"/>
    <w:rsid w:val="006A3DA5"/>
    <w:rsid w:val="006A3DC5"/>
    <w:rsid w:val="006A3E63"/>
    <w:rsid w:val="006A3E64"/>
    <w:rsid w:val="006A3EA4"/>
    <w:rsid w:val="006A3F60"/>
    <w:rsid w:val="006A3FB0"/>
    <w:rsid w:val="006A3FBD"/>
    <w:rsid w:val="006A4070"/>
    <w:rsid w:val="006A40F4"/>
    <w:rsid w:val="006A4128"/>
    <w:rsid w:val="006A4135"/>
    <w:rsid w:val="006A41C4"/>
    <w:rsid w:val="006A41DE"/>
    <w:rsid w:val="006A42F2"/>
    <w:rsid w:val="006A4327"/>
    <w:rsid w:val="006A4450"/>
    <w:rsid w:val="006A44DB"/>
    <w:rsid w:val="006A4564"/>
    <w:rsid w:val="006A4574"/>
    <w:rsid w:val="006A4611"/>
    <w:rsid w:val="006A461B"/>
    <w:rsid w:val="006A4633"/>
    <w:rsid w:val="006A4813"/>
    <w:rsid w:val="006A4901"/>
    <w:rsid w:val="006A492A"/>
    <w:rsid w:val="006A4963"/>
    <w:rsid w:val="006A4965"/>
    <w:rsid w:val="006A4A92"/>
    <w:rsid w:val="006A4BDE"/>
    <w:rsid w:val="006A4C73"/>
    <w:rsid w:val="006A4CF3"/>
    <w:rsid w:val="006A4D1C"/>
    <w:rsid w:val="006A4D3E"/>
    <w:rsid w:val="006A4F26"/>
    <w:rsid w:val="006A4F47"/>
    <w:rsid w:val="006A5004"/>
    <w:rsid w:val="006A5065"/>
    <w:rsid w:val="006A5099"/>
    <w:rsid w:val="006A50A2"/>
    <w:rsid w:val="006A50E9"/>
    <w:rsid w:val="006A51DB"/>
    <w:rsid w:val="006A5335"/>
    <w:rsid w:val="006A5346"/>
    <w:rsid w:val="006A539E"/>
    <w:rsid w:val="006A53AB"/>
    <w:rsid w:val="006A5448"/>
    <w:rsid w:val="006A5512"/>
    <w:rsid w:val="006A5698"/>
    <w:rsid w:val="006A56A3"/>
    <w:rsid w:val="006A5861"/>
    <w:rsid w:val="006A58DA"/>
    <w:rsid w:val="006A58F0"/>
    <w:rsid w:val="006A58F1"/>
    <w:rsid w:val="006A591C"/>
    <w:rsid w:val="006A59D5"/>
    <w:rsid w:val="006A5A05"/>
    <w:rsid w:val="006A5A36"/>
    <w:rsid w:val="006A5A56"/>
    <w:rsid w:val="006A5A85"/>
    <w:rsid w:val="006A5A8D"/>
    <w:rsid w:val="006A5AFF"/>
    <w:rsid w:val="006A5B12"/>
    <w:rsid w:val="006A5B27"/>
    <w:rsid w:val="006A5B2B"/>
    <w:rsid w:val="006A5B50"/>
    <w:rsid w:val="006A5BA4"/>
    <w:rsid w:val="006A5BC2"/>
    <w:rsid w:val="006A5BEB"/>
    <w:rsid w:val="006A5C2B"/>
    <w:rsid w:val="006A5C60"/>
    <w:rsid w:val="006A5CE5"/>
    <w:rsid w:val="006A5D00"/>
    <w:rsid w:val="006A5D0C"/>
    <w:rsid w:val="006A5E3E"/>
    <w:rsid w:val="006A5E40"/>
    <w:rsid w:val="006A5E97"/>
    <w:rsid w:val="006A5F64"/>
    <w:rsid w:val="006A5F78"/>
    <w:rsid w:val="006A5FB8"/>
    <w:rsid w:val="006A6002"/>
    <w:rsid w:val="006A6057"/>
    <w:rsid w:val="006A6067"/>
    <w:rsid w:val="006A6097"/>
    <w:rsid w:val="006A6098"/>
    <w:rsid w:val="006A60A2"/>
    <w:rsid w:val="006A60A3"/>
    <w:rsid w:val="006A60B9"/>
    <w:rsid w:val="006A60C7"/>
    <w:rsid w:val="006A60D1"/>
    <w:rsid w:val="006A6131"/>
    <w:rsid w:val="006A61F8"/>
    <w:rsid w:val="006A625E"/>
    <w:rsid w:val="006A6337"/>
    <w:rsid w:val="006A6397"/>
    <w:rsid w:val="006A63B8"/>
    <w:rsid w:val="006A63ED"/>
    <w:rsid w:val="006A63FB"/>
    <w:rsid w:val="006A6425"/>
    <w:rsid w:val="006A645B"/>
    <w:rsid w:val="006A645F"/>
    <w:rsid w:val="006A6461"/>
    <w:rsid w:val="006A64EA"/>
    <w:rsid w:val="006A659F"/>
    <w:rsid w:val="006A65AE"/>
    <w:rsid w:val="006A65CB"/>
    <w:rsid w:val="006A66A1"/>
    <w:rsid w:val="006A66AE"/>
    <w:rsid w:val="006A66CD"/>
    <w:rsid w:val="006A6863"/>
    <w:rsid w:val="006A687E"/>
    <w:rsid w:val="006A69B4"/>
    <w:rsid w:val="006A6AB4"/>
    <w:rsid w:val="006A6B36"/>
    <w:rsid w:val="006A6B73"/>
    <w:rsid w:val="006A6B74"/>
    <w:rsid w:val="006A6BB0"/>
    <w:rsid w:val="006A6BF4"/>
    <w:rsid w:val="006A6C7A"/>
    <w:rsid w:val="006A6CA7"/>
    <w:rsid w:val="006A6CB1"/>
    <w:rsid w:val="006A6CCF"/>
    <w:rsid w:val="006A6D80"/>
    <w:rsid w:val="006A6DD3"/>
    <w:rsid w:val="006A6DE1"/>
    <w:rsid w:val="006A6E2E"/>
    <w:rsid w:val="006A6E50"/>
    <w:rsid w:val="006A6E64"/>
    <w:rsid w:val="006A6F02"/>
    <w:rsid w:val="006A6F04"/>
    <w:rsid w:val="006A6F58"/>
    <w:rsid w:val="006A6FEB"/>
    <w:rsid w:val="006A7019"/>
    <w:rsid w:val="006A703D"/>
    <w:rsid w:val="006A708D"/>
    <w:rsid w:val="006A709D"/>
    <w:rsid w:val="006A7161"/>
    <w:rsid w:val="006A72B7"/>
    <w:rsid w:val="006A72D8"/>
    <w:rsid w:val="006A7319"/>
    <w:rsid w:val="006A7328"/>
    <w:rsid w:val="006A73A4"/>
    <w:rsid w:val="006A7480"/>
    <w:rsid w:val="006A7494"/>
    <w:rsid w:val="006A7577"/>
    <w:rsid w:val="006A757B"/>
    <w:rsid w:val="006A75AE"/>
    <w:rsid w:val="006A75C2"/>
    <w:rsid w:val="006A7753"/>
    <w:rsid w:val="006A7757"/>
    <w:rsid w:val="006A77DC"/>
    <w:rsid w:val="006A77F3"/>
    <w:rsid w:val="006A782B"/>
    <w:rsid w:val="006A7847"/>
    <w:rsid w:val="006A78BE"/>
    <w:rsid w:val="006A78CA"/>
    <w:rsid w:val="006A7999"/>
    <w:rsid w:val="006A79B9"/>
    <w:rsid w:val="006A7A14"/>
    <w:rsid w:val="006A7B09"/>
    <w:rsid w:val="006A7B0B"/>
    <w:rsid w:val="006A7B9F"/>
    <w:rsid w:val="006A7CF7"/>
    <w:rsid w:val="006A7D4E"/>
    <w:rsid w:val="006A7D63"/>
    <w:rsid w:val="006A7D6E"/>
    <w:rsid w:val="006A7ED4"/>
    <w:rsid w:val="006A7EE6"/>
    <w:rsid w:val="006A7FE3"/>
    <w:rsid w:val="006A95E3"/>
    <w:rsid w:val="006B000A"/>
    <w:rsid w:val="006B002D"/>
    <w:rsid w:val="006B0042"/>
    <w:rsid w:val="006B0079"/>
    <w:rsid w:val="006B00AD"/>
    <w:rsid w:val="006B00BD"/>
    <w:rsid w:val="006B01A6"/>
    <w:rsid w:val="006B01BC"/>
    <w:rsid w:val="006B01BE"/>
    <w:rsid w:val="006B01C7"/>
    <w:rsid w:val="006B01DC"/>
    <w:rsid w:val="006B01E4"/>
    <w:rsid w:val="006B021D"/>
    <w:rsid w:val="006B03DA"/>
    <w:rsid w:val="006B0433"/>
    <w:rsid w:val="006B050B"/>
    <w:rsid w:val="006B058D"/>
    <w:rsid w:val="006B0601"/>
    <w:rsid w:val="006B062A"/>
    <w:rsid w:val="006B0660"/>
    <w:rsid w:val="006B06C3"/>
    <w:rsid w:val="006B087E"/>
    <w:rsid w:val="006B08D5"/>
    <w:rsid w:val="006B0916"/>
    <w:rsid w:val="006B0A5A"/>
    <w:rsid w:val="006B0AD2"/>
    <w:rsid w:val="006B0B1C"/>
    <w:rsid w:val="006B0B38"/>
    <w:rsid w:val="006B0B61"/>
    <w:rsid w:val="006B0C20"/>
    <w:rsid w:val="006B0C32"/>
    <w:rsid w:val="006B0D2C"/>
    <w:rsid w:val="006B0EC1"/>
    <w:rsid w:val="006B0F3E"/>
    <w:rsid w:val="006B1027"/>
    <w:rsid w:val="006B1062"/>
    <w:rsid w:val="006B106C"/>
    <w:rsid w:val="006B119E"/>
    <w:rsid w:val="006B11FD"/>
    <w:rsid w:val="006B1392"/>
    <w:rsid w:val="006B13AA"/>
    <w:rsid w:val="006B13AE"/>
    <w:rsid w:val="006B13FB"/>
    <w:rsid w:val="006B1486"/>
    <w:rsid w:val="006B1489"/>
    <w:rsid w:val="006B1516"/>
    <w:rsid w:val="006B155B"/>
    <w:rsid w:val="006B1605"/>
    <w:rsid w:val="006B1661"/>
    <w:rsid w:val="006B168D"/>
    <w:rsid w:val="006B1735"/>
    <w:rsid w:val="006B18DA"/>
    <w:rsid w:val="006B1A7F"/>
    <w:rsid w:val="006B1ABE"/>
    <w:rsid w:val="006B1AF2"/>
    <w:rsid w:val="006B1B36"/>
    <w:rsid w:val="006B1B9B"/>
    <w:rsid w:val="006B1BB7"/>
    <w:rsid w:val="006B1C17"/>
    <w:rsid w:val="006B1CBD"/>
    <w:rsid w:val="006B1D74"/>
    <w:rsid w:val="006B1DA5"/>
    <w:rsid w:val="006B1E98"/>
    <w:rsid w:val="006B1EB7"/>
    <w:rsid w:val="006B1ED0"/>
    <w:rsid w:val="006B1F08"/>
    <w:rsid w:val="006B1F7C"/>
    <w:rsid w:val="006B1FA1"/>
    <w:rsid w:val="006B1FBF"/>
    <w:rsid w:val="006B2027"/>
    <w:rsid w:val="006B20E7"/>
    <w:rsid w:val="006B211D"/>
    <w:rsid w:val="006B2274"/>
    <w:rsid w:val="006B22C5"/>
    <w:rsid w:val="006B22EC"/>
    <w:rsid w:val="006B22F6"/>
    <w:rsid w:val="006B2305"/>
    <w:rsid w:val="006B2391"/>
    <w:rsid w:val="006B23F9"/>
    <w:rsid w:val="006B2413"/>
    <w:rsid w:val="006B242E"/>
    <w:rsid w:val="006B244E"/>
    <w:rsid w:val="006B247E"/>
    <w:rsid w:val="006B2491"/>
    <w:rsid w:val="006B2521"/>
    <w:rsid w:val="006B25A9"/>
    <w:rsid w:val="006B2707"/>
    <w:rsid w:val="006B2717"/>
    <w:rsid w:val="006B278E"/>
    <w:rsid w:val="006B27C9"/>
    <w:rsid w:val="006B28F3"/>
    <w:rsid w:val="006B294E"/>
    <w:rsid w:val="006B29D0"/>
    <w:rsid w:val="006B29E5"/>
    <w:rsid w:val="006B2A07"/>
    <w:rsid w:val="006B2A34"/>
    <w:rsid w:val="006B2B90"/>
    <w:rsid w:val="006B2BD6"/>
    <w:rsid w:val="006B2C9E"/>
    <w:rsid w:val="006B2DA9"/>
    <w:rsid w:val="006B2EC4"/>
    <w:rsid w:val="006B2FCD"/>
    <w:rsid w:val="006B3034"/>
    <w:rsid w:val="006B303C"/>
    <w:rsid w:val="006B31B1"/>
    <w:rsid w:val="006B3292"/>
    <w:rsid w:val="006B32A7"/>
    <w:rsid w:val="006B32D2"/>
    <w:rsid w:val="006B33A1"/>
    <w:rsid w:val="006B3469"/>
    <w:rsid w:val="006B34CC"/>
    <w:rsid w:val="006B3581"/>
    <w:rsid w:val="006B35D1"/>
    <w:rsid w:val="006B361C"/>
    <w:rsid w:val="006B3633"/>
    <w:rsid w:val="006B36F5"/>
    <w:rsid w:val="006B375F"/>
    <w:rsid w:val="006B37C3"/>
    <w:rsid w:val="006B386E"/>
    <w:rsid w:val="006B3967"/>
    <w:rsid w:val="006B39EF"/>
    <w:rsid w:val="006B3AB3"/>
    <w:rsid w:val="006B3B4F"/>
    <w:rsid w:val="006B3B9C"/>
    <w:rsid w:val="006B3BA5"/>
    <w:rsid w:val="006B3C67"/>
    <w:rsid w:val="006B3DC1"/>
    <w:rsid w:val="006B3EA9"/>
    <w:rsid w:val="006B3EAA"/>
    <w:rsid w:val="006B3EF7"/>
    <w:rsid w:val="006B3F51"/>
    <w:rsid w:val="006B3F8E"/>
    <w:rsid w:val="006B3FF2"/>
    <w:rsid w:val="006B4055"/>
    <w:rsid w:val="006B4114"/>
    <w:rsid w:val="006B4175"/>
    <w:rsid w:val="006B418C"/>
    <w:rsid w:val="006B41BB"/>
    <w:rsid w:val="006B41C0"/>
    <w:rsid w:val="006B41C1"/>
    <w:rsid w:val="006B425F"/>
    <w:rsid w:val="006B4351"/>
    <w:rsid w:val="006B4385"/>
    <w:rsid w:val="006B4438"/>
    <w:rsid w:val="006B4543"/>
    <w:rsid w:val="006B467D"/>
    <w:rsid w:val="006B468F"/>
    <w:rsid w:val="006B46CA"/>
    <w:rsid w:val="006B4713"/>
    <w:rsid w:val="006B4723"/>
    <w:rsid w:val="006B4834"/>
    <w:rsid w:val="006B48B5"/>
    <w:rsid w:val="006B48F1"/>
    <w:rsid w:val="006B4A0C"/>
    <w:rsid w:val="006B4A4E"/>
    <w:rsid w:val="006B4A91"/>
    <w:rsid w:val="006B4AF8"/>
    <w:rsid w:val="006B4B07"/>
    <w:rsid w:val="006B4B22"/>
    <w:rsid w:val="006B4B96"/>
    <w:rsid w:val="006B4B9B"/>
    <w:rsid w:val="006B4D5E"/>
    <w:rsid w:val="006B4DAB"/>
    <w:rsid w:val="006B4E2B"/>
    <w:rsid w:val="006B4F1A"/>
    <w:rsid w:val="006B4F6F"/>
    <w:rsid w:val="006B4F8A"/>
    <w:rsid w:val="006B5019"/>
    <w:rsid w:val="006B5026"/>
    <w:rsid w:val="006B51E4"/>
    <w:rsid w:val="006B52F3"/>
    <w:rsid w:val="006B532D"/>
    <w:rsid w:val="006B53AD"/>
    <w:rsid w:val="006B53F1"/>
    <w:rsid w:val="006B544C"/>
    <w:rsid w:val="006B54D5"/>
    <w:rsid w:val="006B54F5"/>
    <w:rsid w:val="006B5630"/>
    <w:rsid w:val="006B56F3"/>
    <w:rsid w:val="006B5786"/>
    <w:rsid w:val="006B57DB"/>
    <w:rsid w:val="006B5848"/>
    <w:rsid w:val="006B5898"/>
    <w:rsid w:val="006B5916"/>
    <w:rsid w:val="006B593A"/>
    <w:rsid w:val="006B59DF"/>
    <w:rsid w:val="006B5A03"/>
    <w:rsid w:val="006B5AEF"/>
    <w:rsid w:val="006B5B53"/>
    <w:rsid w:val="006B5B95"/>
    <w:rsid w:val="006B5BA8"/>
    <w:rsid w:val="006B5CA2"/>
    <w:rsid w:val="006B5D04"/>
    <w:rsid w:val="006B5E8D"/>
    <w:rsid w:val="006B5F28"/>
    <w:rsid w:val="006B5F67"/>
    <w:rsid w:val="006B5F68"/>
    <w:rsid w:val="006B5F7D"/>
    <w:rsid w:val="006B5FB6"/>
    <w:rsid w:val="006B5FFE"/>
    <w:rsid w:val="006B606D"/>
    <w:rsid w:val="006B6079"/>
    <w:rsid w:val="006B615C"/>
    <w:rsid w:val="006B6166"/>
    <w:rsid w:val="006B6193"/>
    <w:rsid w:val="006B62BA"/>
    <w:rsid w:val="006B6305"/>
    <w:rsid w:val="006B64FC"/>
    <w:rsid w:val="006B6538"/>
    <w:rsid w:val="006B655B"/>
    <w:rsid w:val="006B6564"/>
    <w:rsid w:val="006B6577"/>
    <w:rsid w:val="006B6618"/>
    <w:rsid w:val="006B66A1"/>
    <w:rsid w:val="006B6840"/>
    <w:rsid w:val="006B685C"/>
    <w:rsid w:val="006B68A7"/>
    <w:rsid w:val="006B68E5"/>
    <w:rsid w:val="006B6924"/>
    <w:rsid w:val="006B6967"/>
    <w:rsid w:val="006B6980"/>
    <w:rsid w:val="006B6993"/>
    <w:rsid w:val="006B6A54"/>
    <w:rsid w:val="006B6AAE"/>
    <w:rsid w:val="006B6B0D"/>
    <w:rsid w:val="006B6B17"/>
    <w:rsid w:val="006B6B8A"/>
    <w:rsid w:val="006B6BBD"/>
    <w:rsid w:val="006B6C12"/>
    <w:rsid w:val="006B6C42"/>
    <w:rsid w:val="006B6DB0"/>
    <w:rsid w:val="006B6E88"/>
    <w:rsid w:val="006B6EA8"/>
    <w:rsid w:val="006B6F37"/>
    <w:rsid w:val="006B6F96"/>
    <w:rsid w:val="006B6FFF"/>
    <w:rsid w:val="006B7018"/>
    <w:rsid w:val="006B70DC"/>
    <w:rsid w:val="006B71B9"/>
    <w:rsid w:val="006B7215"/>
    <w:rsid w:val="006B7247"/>
    <w:rsid w:val="006B7262"/>
    <w:rsid w:val="006B7333"/>
    <w:rsid w:val="006B7335"/>
    <w:rsid w:val="006B7342"/>
    <w:rsid w:val="006B7349"/>
    <w:rsid w:val="006B7480"/>
    <w:rsid w:val="006B748E"/>
    <w:rsid w:val="006B74D0"/>
    <w:rsid w:val="006B74DF"/>
    <w:rsid w:val="006B7604"/>
    <w:rsid w:val="006B7619"/>
    <w:rsid w:val="006B76DC"/>
    <w:rsid w:val="006B7783"/>
    <w:rsid w:val="006B77B3"/>
    <w:rsid w:val="006B77CB"/>
    <w:rsid w:val="006B77F3"/>
    <w:rsid w:val="006B7800"/>
    <w:rsid w:val="006B787B"/>
    <w:rsid w:val="006B7970"/>
    <w:rsid w:val="006B79DB"/>
    <w:rsid w:val="006B7A32"/>
    <w:rsid w:val="006B7AAB"/>
    <w:rsid w:val="006B7AB2"/>
    <w:rsid w:val="006B7ABF"/>
    <w:rsid w:val="006B7AD0"/>
    <w:rsid w:val="006B7AEA"/>
    <w:rsid w:val="006B7AFF"/>
    <w:rsid w:val="006B7B4B"/>
    <w:rsid w:val="006B7BBD"/>
    <w:rsid w:val="006B7C08"/>
    <w:rsid w:val="006B7C28"/>
    <w:rsid w:val="006B7C73"/>
    <w:rsid w:val="006B7CA6"/>
    <w:rsid w:val="006B7CAB"/>
    <w:rsid w:val="006B7D2F"/>
    <w:rsid w:val="006B7D40"/>
    <w:rsid w:val="006B7D76"/>
    <w:rsid w:val="006B7DA8"/>
    <w:rsid w:val="006B7E03"/>
    <w:rsid w:val="006B7E19"/>
    <w:rsid w:val="006B7EB9"/>
    <w:rsid w:val="006B7EBD"/>
    <w:rsid w:val="006B7EC8"/>
    <w:rsid w:val="006B7ED9"/>
    <w:rsid w:val="006B7F68"/>
    <w:rsid w:val="006B7F8C"/>
    <w:rsid w:val="006C00C6"/>
    <w:rsid w:val="006C01F0"/>
    <w:rsid w:val="006C0209"/>
    <w:rsid w:val="006C0276"/>
    <w:rsid w:val="006C038A"/>
    <w:rsid w:val="006C041C"/>
    <w:rsid w:val="006C0500"/>
    <w:rsid w:val="006C05AD"/>
    <w:rsid w:val="006C063A"/>
    <w:rsid w:val="006C064C"/>
    <w:rsid w:val="006C0725"/>
    <w:rsid w:val="006C07D1"/>
    <w:rsid w:val="006C0868"/>
    <w:rsid w:val="006C088D"/>
    <w:rsid w:val="006C0924"/>
    <w:rsid w:val="006C0932"/>
    <w:rsid w:val="006C09C4"/>
    <w:rsid w:val="006C0A48"/>
    <w:rsid w:val="006C0A6C"/>
    <w:rsid w:val="006C0A78"/>
    <w:rsid w:val="006C0A7E"/>
    <w:rsid w:val="006C0B01"/>
    <w:rsid w:val="006C0C67"/>
    <w:rsid w:val="006C0CB3"/>
    <w:rsid w:val="006C0CBE"/>
    <w:rsid w:val="006C0D53"/>
    <w:rsid w:val="006C0D61"/>
    <w:rsid w:val="006C0D9E"/>
    <w:rsid w:val="006C0EED"/>
    <w:rsid w:val="006C0F30"/>
    <w:rsid w:val="006C0F38"/>
    <w:rsid w:val="006C0FA8"/>
    <w:rsid w:val="006C0FB5"/>
    <w:rsid w:val="006C103D"/>
    <w:rsid w:val="006C1125"/>
    <w:rsid w:val="006C11A9"/>
    <w:rsid w:val="006C11E9"/>
    <w:rsid w:val="006C11F6"/>
    <w:rsid w:val="006C121F"/>
    <w:rsid w:val="006C123C"/>
    <w:rsid w:val="006C128B"/>
    <w:rsid w:val="006C1348"/>
    <w:rsid w:val="006C1382"/>
    <w:rsid w:val="006C13D6"/>
    <w:rsid w:val="006C13EA"/>
    <w:rsid w:val="006C14D1"/>
    <w:rsid w:val="006C14FC"/>
    <w:rsid w:val="006C15AD"/>
    <w:rsid w:val="006C15DB"/>
    <w:rsid w:val="006C1695"/>
    <w:rsid w:val="006C16BA"/>
    <w:rsid w:val="006C1702"/>
    <w:rsid w:val="006C188D"/>
    <w:rsid w:val="006C1910"/>
    <w:rsid w:val="006C193C"/>
    <w:rsid w:val="006C1944"/>
    <w:rsid w:val="006C1993"/>
    <w:rsid w:val="006C19A1"/>
    <w:rsid w:val="006C19D3"/>
    <w:rsid w:val="006C19E6"/>
    <w:rsid w:val="006C1A68"/>
    <w:rsid w:val="006C1A90"/>
    <w:rsid w:val="006C1BA3"/>
    <w:rsid w:val="006C1C57"/>
    <w:rsid w:val="006C1C6E"/>
    <w:rsid w:val="006C1CBC"/>
    <w:rsid w:val="006C1D1C"/>
    <w:rsid w:val="006C1D6D"/>
    <w:rsid w:val="006C1DAB"/>
    <w:rsid w:val="006C1EA4"/>
    <w:rsid w:val="006C1EBE"/>
    <w:rsid w:val="006C1F02"/>
    <w:rsid w:val="006C1F0F"/>
    <w:rsid w:val="006C1F5E"/>
    <w:rsid w:val="006C2042"/>
    <w:rsid w:val="006C20E1"/>
    <w:rsid w:val="006C20F6"/>
    <w:rsid w:val="006C2101"/>
    <w:rsid w:val="006C2111"/>
    <w:rsid w:val="006C216F"/>
    <w:rsid w:val="006C217D"/>
    <w:rsid w:val="006C2186"/>
    <w:rsid w:val="006C2191"/>
    <w:rsid w:val="006C2225"/>
    <w:rsid w:val="006C223E"/>
    <w:rsid w:val="006C229F"/>
    <w:rsid w:val="006C22B1"/>
    <w:rsid w:val="006C233E"/>
    <w:rsid w:val="006C236E"/>
    <w:rsid w:val="006C23DB"/>
    <w:rsid w:val="006C2408"/>
    <w:rsid w:val="006C24C9"/>
    <w:rsid w:val="006C24E4"/>
    <w:rsid w:val="006C2557"/>
    <w:rsid w:val="006C2568"/>
    <w:rsid w:val="006C25C5"/>
    <w:rsid w:val="006C25F6"/>
    <w:rsid w:val="006C2651"/>
    <w:rsid w:val="006C270F"/>
    <w:rsid w:val="006C2724"/>
    <w:rsid w:val="006C2739"/>
    <w:rsid w:val="006C273C"/>
    <w:rsid w:val="006C2791"/>
    <w:rsid w:val="006C27CC"/>
    <w:rsid w:val="006C27E4"/>
    <w:rsid w:val="006C289D"/>
    <w:rsid w:val="006C2948"/>
    <w:rsid w:val="006C2A77"/>
    <w:rsid w:val="006C2A9E"/>
    <w:rsid w:val="006C2AAD"/>
    <w:rsid w:val="006C2AF4"/>
    <w:rsid w:val="006C2B6A"/>
    <w:rsid w:val="006C2BFC"/>
    <w:rsid w:val="006C2CD8"/>
    <w:rsid w:val="006C2D3F"/>
    <w:rsid w:val="006C2D7E"/>
    <w:rsid w:val="006C2E3D"/>
    <w:rsid w:val="006C2E7A"/>
    <w:rsid w:val="006C2EB3"/>
    <w:rsid w:val="006C2ED8"/>
    <w:rsid w:val="006C2EDE"/>
    <w:rsid w:val="006C2EF1"/>
    <w:rsid w:val="006C2F3A"/>
    <w:rsid w:val="006C2F4D"/>
    <w:rsid w:val="006C2FD1"/>
    <w:rsid w:val="006C3002"/>
    <w:rsid w:val="006C3109"/>
    <w:rsid w:val="006C310B"/>
    <w:rsid w:val="006C31EC"/>
    <w:rsid w:val="006C3268"/>
    <w:rsid w:val="006C32C2"/>
    <w:rsid w:val="006C32E0"/>
    <w:rsid w:val="006C3310"/>
    <w:rsid w:val="006C334A"/>
    <w:rsid w:val="006C3351"/>
    <w:rsid w:val="006C3359"/>
    <w:rsid w:val="006C336D"/>
    <w:rsid w:val="006C33E5"/>
    <w:rsid w:val="006C341F"/>
    <w:rsid w:val="006C343D"/>
    <w:rsid w:val="006C34B0"/>
    <w:rsid w:val="006C34D2"/>
    <w:rsid w:val="006C3546"/>
    <w:rsid w:val="006C359F"/>
    <w:rsid w:val="006C35EA"/>
    <w:rsid w:val="006C371B"/>
    <w:rsid w:val="006C37AE"/>
    <w:rsid w:val="006C3802"/>
    <w:rsid w:val="006C38EB"/>
    <w:rsid w:val="006C39FD"/>
    <w:rsid w:val="006C3A43"/>
    <w:rsid w:val="006C3C56"/>
    <w:rsid w:val="006C3C8E"/>
    <w:rsid w:val="006C3CE4"/>
    <w:rsid w:val="006C3CEF"/>
    <w:rsid w:val="006C3D5D"/>
    <w:rsid w:val="006C3D5E"/>
    <w:rsid w:val="006C3E02"/>
    <w:rsid w:val="006C3E6F"/>
    <w:rsid w:val="006C3F09"/>
    <w:rsid w:val="006C3F31"/>
    <w:rsid w:val="006C3F7F"/>
    <w:rsid w:val="006C3FD0"/>
    <w:rsid w:val="006C403C"/>
    <w:rsid w:val="006C404F"/>
    <w:rsid w:val="006C40C2"/>
    <w:rsid w:val="006C40DC"/>
    <w:rsid w:val="006C4128"/>
    <w:rsid w:val="006C41B3"/>
    <w:rsid w:val="006C41E1"/>
    <w:rsid w:val="006C425F"/>
    <w:rsid w:val="006C4297"/>
    <w:rsid w:val="006C431E"/>
    <w:rsid w:val="006C437F"/>
    <w:rsid w:val="006C4387"/>
    <w:rsid w:val="006C43FD"/>
    <w:rsid w:val="006C4407"/>
    <w:rsid w:val="006C443C"/>
    <w:rsid w:val="006C4468"/>
    <w:rsid w:val="006C4488"/>
    <w:rsid w:val="006C44B7"/>
    <w:rsid w:val="006C44DC"/>
    <w:rsid w:val="006C450D"/>
    <w:rsid w:val="006C45B5"/>
    <w:rsid w:val="006C45E5"/>
    <w:rsid w:val="006C4666"/>
    <w:rsid w:val="006C470E"/>
    <w:rsid w:val="006C47D9"/>
    <w:rsid w:val="006C4821"/>
    <w:rsid w:val="006C494E"/>
    <w:rsid w:val="006C4A5F"/>
    <w:rsid w:val="006C4AA7"/>
    <w:rsid w:val="006C4AC1"/>
    <w:rsid w:val="006C4B24"/>
    <w:rsid w:val="006C4B62"/>
    <w:rsid w:val="006C4B7D"/>
    <w:rsid w:val="006C4BD1"/>
    <w:rsid w:val="006C4C11"/>
    <w:rsid w:val="006C4C6A"/>
    <w:rsid w:val="006C4C84"/>
    <w:rsid w:val="006C4C99"/>
    <w:rsid w:val="006C4D77"/>
    <w:rsid w:val="006C4DAC"/>
    <w:rsid w:val="006C4DC6"/>
    <w:rsid w:val="006C4E1A"/>
    <w:rsid w:val="006C4E3F"/>
    <w:rsid w:val="006C4E69"/>
    <w:rsid w:val="006C4FE9"/>
    <w:rsid w:val="006C5003"/>
    <w:rsid w:val="006C504E"/>
    <w:rsid w:val="006C5078"/>
    <w:rsid w:val="006C507B"/>
    <w:rsid w:val="006C5174"/>
    <w:rsid w:val="006C51CE"/>
    <w:rsid w:val="006C51F6"/>
    <w:rsid w:val="006C5204"/>
    <w:rsid w:val="006C521D"/>
    <w:rsid w:val="006C5364"/>
    <w:rsid w:val="006C545E"/>
    <w:rsid w:val="006C5478"/>
    <w:rsid w:val="006C5479"/>
    <w:rsid w:val="006C5483"/>
    <w:rsid w:val="006C548B"/>
    <w:rsid w:val="006C54D8"/>
    <w:rsid w:val="006C552F"/>
    <w:rsid w:val="006C56AC"/>
    <w:rsid w:val="006C5775"/>
    <w:rsid w:val="006C5788"/>
    <w:rsid w:val="006C5801"/>
    <w:rsid w:val="006C5876"/>
    <w:rsid w:val="006C587F"/>
    <w:rsid w:val="006C5894"/>
    <w:rsid w:val="006C5897"/>
    <w:rsid w:val="006C58A6"/>
    <w:rsid w:val="006C58B5"/>
    <w:rsid w:val="006C5931"/>
    <w:rsid w:val="006C5995"/>
    <w:rsid w:val="006C5A18"/>
    <w:rsid w:val="006C5C12"/>
    <w:rsid w:val="006C5C20"/>
    <w:rsid w:val="006C5C36"/>
    <w:rsid w:val="006C5CB3"/>
    <w:rsid w:val="006C5CB9"/>
    <w:rsid w:val="006C5D7C"/>
    <w:rsid w:val="006C5FE5"/>
    <w:rsid w:val="006C600A"/>
    <w:rsid w:val="006C605C"/>
    <w:rsid w:val="006C609D"/>
    <w:rsid w:val="006C60C0"/>
    <w:rsid w:val="006C61CF"/>
    <w:rsid w:val="006C621C"/>
    <w:rsid w:val="006C624C"/>
    <w:rsid w:val="006C624F"/>
    <w:rsid w:val="006C6256"/>
    <w:rsid w:val="006C62D6"/>
    <w:rsid w:val="006C6308"/>
    <w:rsid w:val="006C6448"/>
    <w:rsid w:val="006C64B8"/>
    <w:rsid w:val="006C65E0"/>
    <w:rsid w:val="006C6671"/>
    <w:rsid w:val="006C66B7"/>
    <w:rsid w:val="006C66E8"/>
    <w:rsid w:val="006C674B"/>
    <w:rsid w:val="006C67AF"/>
    <w:rsid w:val="006C67DB"/>
    <w:rsid w:val="006C680E"/>
    <w:rsid w:val="006C6815"/>
    <w:rsid w:val="006C68B1"/>
    <w:rsid w:val="006C68C4"/>
    <w:rsid w:val="006C6911"/>
    <w:rsid w:val="006C6957"/>
    <w:rsid w:val="006C69DB"/>
    <w:rsid w:val="006C69ED"/>
    <w:rsid w:val="006C69FD"/>
    <w:rsid w:val="006C6A87"/>
    <w:rsid w:val="006C6A95"/>
    <w:rsid w:val="006C6AF6"/>
    <w:rsid w:val="006C6AF9"/>
    <w:rsid w:val="006C6B54"/>
    <w:rsid w:val="006C6B9C"/>
    <w:rsid w:val="006C6BB3"/>
    <w:rsid w:val="006C6BBF"/>
    <w:rsid w:val="006C6BE1"/>
    <w:rsid w:val="006C6BE9"/>
    <w:rsid w:val="006C6C78"/>
    <w:rsid w:val="006C6CA7"/>
    <w:rsid w:val="006C6CF9"/>
    <w:rsid w:val="006C6DE6"/>
    <w:rsid w:val="006C6E3A"/>
    <w:rsid w:val="006C6E5C"/>
    <w:rsid w:val="006C6E97"/>
    <w:rsid w:val="006C6ECC"/>
    <w:rsid w:val="006C6F5C"/>
    <w:rsid w:val="006C6FF3"/>
    <w:rsid w:val="006C7032"/>
    <w:rsid w:val="006C70DC"/>
    <w:rsid w:val="006C70F6"/>
    <w:rsid w:val="006C727E"/>
    <w:rsid w:val="006C7348"/>
    <w:rsid w:val="006C73E2"/>
    <w:rsid w:val="006C7488"/>
    <w:rsid w:val="006C74FC"/>
    <w:rsid w:val="006C753B"/>
    <w:rsid w:val="006C755C"/>
    <w:rsid w:val="006C7570"/>
    <w:rsid w:val="006C76A1"/>
    <w:rsid w:val="006C7728"/>
    <w:rsid w:val="006C77EB"/>
    <w:rsid w:val="006C77ED"/>
    <w:rsid w:val="006C7817"/>
    <w:rsid w:val="006C788C"/>
    <w:rsid w:val="006C78D2"/>
    <w:rsid w:val="006C78E1"/>
    <w:rsid w:val="006C78EA"/>
    <w:rsid w:val="006C79ED"/>
    <w:rsid w:val="006C7A1E"/>
    <w:rsid w:val="006C7A35"/>
    <w:rsid w:val="006C7A3C"/>
    <w:rsid w:val="006C7B49"/>
    <w:rsid w:val="006C7B73"/>
    <w:rsid w:val="006C7BAC"/>
    <w:rsid w:val="006C7BEB"/>
    <w:rsid w:val="006C7CA1"/>
    <w:rsid w:val="006C7CC4"/>
    <w:rsid w:val="006C7D1E"/>
    <w:rsid w:val="006C7D39"/>
    <w:rsid w:val="006C7D58"/>
    <w:rsid w:val="006C7D73"/>
    <w:rsid w:val="006C7E23"/>
    <w:rsid w:val="006C7E7F"/>
    <w:rsid w:val="006C7EF5"/>
    <w:rsid w:val="006C7F23"/>
    <w:rsid w:val="006C7F6A"/>
    <w:rsid w:val="006C7F76"/>
    <w:rsid w:val="006C7FDD"/>
    <w:rsid w:val="006C7FED"/>
    <w:rsid w:val="006C9E83"/>
    <w:rsid w:val="006D0018"/>
    <w:rsid w:val="006D0027"/>
    <w:rsid w:val="006D0055"/>
    <w:rsid w:val="006D00F7"/>
    <w:rsid w:val="006D0140"/>
    <w:rsid w:val="006D0147"/>
    <w:rsid w:val="006D01DB"/>
    <w:rsid w:val="006D01E1"/>
    <w:rsid w:val="006D01FB"/>
    <w:rsid w:val="006D0219"/>
    <w:rsid w:val="006D0259"/>
    <w:rsid w:val="006D0294"/>
    <w:rsid w:val="006D02DD"/>
    <w:rsid w:val="006D02FC"/>
    <w:rsid w:val="006D036E"/>
    <w:rsid w:val="006D03C2"/>
    <w:rsid w:val="006D04FF"/>
    <w:rsid w:val="006D0543"/>
    <w:rsid w:val="006D0546"/>
    <w:rsid w:val="006D055F"/>
    <w:rsid w:val="006D05FE"/>
    <w:rsid w:val="006D0696"/>
    <w:rsid w:val="006D07C5"/>
    <w:rsid w:val="006D07DC"/>
    <w:rsid w:val="006D07E7"/>
    <w:rsid w:val="006D0894"/>
    <w:rsid w:val="006D0990"/>
    <w:rsid w:val="006D09B0"/>
    <w:rsid w:val="006D0A1C"/>
    <w:rsid w:val="006D0A33"/>
    <w:rsid w:val="006D0A41"/>
    <w:rsid w:val="006D0AE1"/>
    <w:rsid w:val="006D0B17"/>
    <w:rsid w:val="006D0B35"/>
    <w:rsid w:val="006D0BE1"/>
    <w:rsid w:val="006D0C0A"/>
    <w:rsid w:val="006D0C9A"/>
    <w:rsid w:val="006D0D28"/>
    <w:rsid w:val="006D0D74"/>
    <w:rsid w:val="006D0D91"/>
    <w:rsid w:val="006D0DB3"/>
    <w:rsid w:val="006D0DBE"/>
    <w:rsid w:val="006D0EA0"/>
    <w:rsid w:val="006D0F18"/>
    <w:rsid w:val="006D0FB3"/>
    <w:rsid w:val="006D0FDE"/>
    <w:rsid w:val="006D0FF6"/>
    <w:rsid w:val="006D10D8"/>
    <w:rsid w:val="006D113D"/>
    <w:rsid w:val="006D1168"/>
    <w:rsid w:val="006D1175"/>
    <w:rsid w:val="006D127C"/>
    <w:rsid w:val="006D12A2"/>
    <w:rsid w:val="006D12CD"/>
    <w:rsid w:val="006D12CE"/>
    <w:rsid w:val="006D12D3"/>
    <w:rsid w:val="006D13FB"/>
    <w:rsid w:val="006D1458"/>
    <w:rsid w:val="006D1489"/>
    <w:rsid w:val="006D1521"/>
    <w:rsid w:val="006D15EE"/>
    <w:rsid w:val="006D160C"/>
    <w:rsid w:val="006D1618"/>
    <w:rsid w:val="006D1678"/>
    <w:rsid w:val="006D16A4"/>
    <w:rsid w:val="006D1707"/>
    <w:rsid w:val="006D173C"/>
    <w:rsid w:val="006D1784"/>
    <w:rsid w:val="006D178D"/>
    <w:rsid w:val="006D187A"/>
    <w:rsid w:val="006D18C5"/>
    <w:rsid w:val="006D18CF"/>
    <w:rsid w:val="006D191B"/>
    <w:rsid w:val="006D191D"/>
    <w:rsid w:val="006D19DC"/>
    <w:rsid w:val="006D1A0E"/>
    <w:rsid w:val="006D1A77"/>
    <w:rsid w:val="006D1ACB"/>
    <w:rsid w:val="006D1AE6"/>
    <w:rsid w:val="006D1B04"/>
    <w:rsid w:val="006D1B09"/>
    <w:rsid w:val="006D1B31"/>
    <w:rsid w:val="006D1B4B"/>
    <w:rsid w:val="006D1B52"/>
    <w:rsid w:val="006D1B72"/>
    <w:rsid w:val="006D1C21"/>
    <w:rsid w:val="006D1C6D"/>
    <w:rsid w:val="006D1CA4"/>
    <w:rsid w:val="006D1CB3"/>
    <w:rsid w:val="006D1CFF"/>
    <w:rsid w:val="006D1D07"/>
    <w:rsid w:val="006D1D76"/>
    <w:rsid w:val="006D1D9A"/>
    <w:rsid w:val="006D1DBB"/>
    <w:rsid w:val="006D1DD5"/>
    <w:rsid w:val="006D1E56"/>
    <w:rsid w:val="006D1E96"/>
    <w:rsid w:val="006D1EA5"/>
    <w:rsid w:val="006D2004"/>
    <w:rsid w:val="006D2061"/>
    <w:rsid w:val="006D2095"/>
    <w:rsid w:val="006D20C7"/>
    <w:rsid w:val="006D2143"/>
    <w:rsid w:val="006D2236"/>
    <w:rsid w:val="006D2249"/>
    <w:rsid w:val="006D226E"/>
    <w:rsid w:val="006D2286"/>
    <w:rsid w:val="006D22B1"/>
    <w:rsid w:val="006D22DE"/>
    <w:rsid w:val="006D22F1"/>
    <w:rsid w:val="006D239A"/>
    <w:rsid w:val="006D23B1"/>
    <w:rsid w:val="006D23BC"/>
    <w:rsid w:val="006D243B"/>
    <w:rsid w:val="006D246C"/>
    <w:rsid w:val="006D2534"/>
    <w:rsid w:val="006D2539"/>
    <w:rsid w:val="006D2566"/>
    <w:rsid w:val="006D2578"/>
    <w:rsid w:val="006D257F"/>
    <w:rsid w:val="006D25BB"/>
    <w:rsid w:val="006D25DF"/>
    <w:rsid w:val="006D25E7"/>
    <w:rsid w:val="006D2609"/>
    <w:rsid w:val="006D2668"/>
    <w:rsid w:val="006D26B8"/>
    <w:rsid w:val="006D2725"/>
    <w:rsid w:val="006D27E9"/>
    <w:rsid w:val="006D2804"/>
    <w:rsid w:val="006D2874"/>
    <w:rsid w:val="006D2883"/>
    <w:rsid w:val="006D28A5"/>
    <w:rsid w:val="006D2931"/>
    <w:rsid w:val="006D2939"/>
    <w:rsid w:val="006D29DB"/>
    <w:rsid w:val="006D29FA"/>
    <w:rsid w:val="006D2A12"/>
    <w:rsid w:val="006D2A7D"/>
    <w:rsid w:val="006D2C4B"/>
    <w:rsid w:val="006D2CCB"/>
    <w:rsid w:val="006D2D3A"/>
    <w:rsid w:val="006D2E2C"/>
    <w:rsid w:val="006D2E62"/>
    <w:rsid w:val="006D2F2A"/>
    <w:rsid w:val="006D3043"/>
    <w:rsid w:val="006D304B"/>
    <w:rsid w:val="006D3072"/>
    <w:rsid w:val="006D3133"/>
    <w:rsid w:val="006D314A"/>
    <w:rsid w:val="006D316F"/>
    <w:rsid w:val="006D319B"/>
    <w:rsid w:val="006D31CC"/>
    <w:rsid w:val="006D31D3"/>
    <w:rsid w:val="006D31EA"/>
    <w:rsid w:val="006D3267"/>
    <w:rsid w:val="006D3272"/>
    <w:rsid w:val="006D3295"/>
    <w:rsid w:val="006D3301"/>
    <w:rsid w:val="006D3367"/>
    <w:rsid w:val="006D33D7"/>
    <w:rsid w:val="006D33D8"/>
    <w:rsid w:val="006D3413"/>
    <w:rsid w:val="006D3460"/>
    <w:rsid w:val="006D34A0"/>
    <w:rsid w:val="006D3566"/>
    <w:rsid w:val="006D35BC"/>
    <w:rsid w:val="006D35E5"/>
    <w:rsid w:val="006D35FB"/>
    <w:rsid w:val="006D360B"/>
    <w:rsid w:val="006D3635"/>
    <w:rsid w:val="006D3683"/>
    <w:rsid w:val="006D3685"/>
    <w:rsid w:val="006D37DF"/>
    <w:rsid w:val="006D3845"/>
    <w:rsid w:val="006D38D2"/>
    <w:rsid w:val="006D38E9"/>
    <w:rsid w:val="006D394B"/>
    <w:rsid w:val="006D39AA"/>
    <w:rsid w:val="006D39E9"/>
    <w:rsid w:val="006D39F7"/>
    <w:rsid w:val="006D3A29"/>
    <w:rsid w:val="006D3A3A"/>
    <w:rsid w:val="006D3A79"/>
    <w:rsid w:val="006D3B26"/>
    <w:rsid w:val="006D3B6F"/>
    <w:rsid w:val="006D3B73"/>
    <w:rsid w:val="006D3B97"/>
    <w:rsid w:val="006D3C02"/>
    <w:rsid w:val="006D3C22"/>
    <w:rsid w:val="006D3C44"/>
    <w:rsid w:val="006D3C84"/>
    <w:rsid w:val="006D3CB3"/>
    <w:rsid w:val="006D3D0B"/>
    <w:rsid w:val="006D3D86"/>
    <w:rsid w:val="006D3D93"/>
    <w:rsid w:val="006D3DCE"/>
    <w:rsid w:val="006D3E1C"/>
    <w:rsid w:val="006D3E6E"/>
    <w:rsid w:val="006D3EA9"/>
    <w:rsid w:val="006D3EBD"/>
    <w:rsid w:val="006D3F38"/>
    <w:rsid w:val="006D3FAB"/>
    <w:rsid w:val="006D3FDA"/>
    <w:rsid w:val="006D4028"/>
    <w:rsid w:val="006D402F"/>
    <w:rsid w:val="006D4060"/>
    <w:rsid w:val="006D4063"/>
    <w:rsid w:val="006D415F"/>
    <w:rsid w:val="006D417B"/>
    <w:rsid w:val="006D4240"/>
    <w:rsid w:val="006D4252"/>
    <w:rsid w:val="006D4293"/>
    <w:rsid w:val="006D42BB"/>
    <w:rsid w:val="006D4321"/>
    <w:rsid w:val="006D43B1"/>
    <w:rsid w:val="006D440F"/>
    <w:rsid w:val="006D441E"/>
    <w:rsid w:val="006D4433"/>
    <w:rsid w:val="006D443A"/>
    <w:rsid w:val="006D4483"/>
    <w:rsid w:val="006D45E4"/>
    <w:rsid w:val="006D46E2"/>
    <w:rsid w:val="006D4738"/>
    <w:rsid w:val="006D47BC"/>
    <w:rsid w:val="006D4825"/>
    <w:rsid w:val="006D48DF"/>
    <w:rsid w:val="006D498F"/>
    <w:rsid w:val="006D4A23"/>
    <w:rsid w:val="006D4AA0"/>
    <w:rsid w:val="006D4AAE"/>
    <w:rsid w:val="006D4AE9"/>
    <w:rsid w:val="006D4B0C"/>
    <w:rsid w:val="006D4B7E"/>
    <w:rsid w:val="006D4B89"/>
    <w:rsid w:val="006D4BE8"/>
    <w:rsid w:val="006D4BFE"/>
    <w:rsid w:val="006D4C3E"/>
    <w:rsid w:val="006D4C49"/>
    <w:rsid w:val="006D4C8D"/>
    <w:rsid w:val="006D4D21"/>
    <w:rsid w:val="006D4D8A"/>
    <w:rsid w:val="006D4DEA"/>
    <w:rsid w:val="006D4E33"/>
    <w:rsid w:val="006D4E3C"/>
    <w:rsid w:val="006D4E4F"/>
    <w:rsid w:val="006D4EC0"/>
    <w:rsid w:val="006D4EFC"/>
    <w:rsid w:val="006D4F50"/>
    <w:rsid w:val="006D4FE6"/>
    <w:rsid w:val="006D5036"/>
    <w:rsid w:val="006D5062"/>
    <w:rsid w:val="006D51A7"/>
    <w:rsid w:val="006D5234"/>
    <w:rsid w:val="006D528A"/>
    <w:rsid w:val="006D5343"/>
    <w:rsid w:val="006D5367"/>
    <w:rsid w:val="006D53C6"/>
    <w:rsid w:val="006D5444"/>
    <w:rsid w:val="006D5477"/>
    <w:rsid w:val="006D549E"/>
    <w:rsid w:val="006D5513"/>
    <w:rsid w:val="006D5574"/>
    <w:rsid w:val="006D558B"/>
    <w:rsid w:val="006D558E"/>
    <w:rsid w:val="006D5624"/>
    <w:rsid w:val="006D5668"/>
    <w:rsid w:val="006D56BE"/>
    <w:rsid w:val="006D56E6"/>
    <w:rsid w:val="006D5702"/>
    <w:rsid w:val="006D5731"/>
    <w:rsid w:val="006D57A0"/>
    <w:rsid w:val="006D57DF"/>
    <w:rsid w:val="006D585D"/>
    <w:rsid w:val="006D589E"/>
    <w:rsid w:val="006D58B7"/>
    <w:rsid w:val="006D5921"/>
    <w:rsid w:val="006D5941"/>
    <w:rsid w:val="006D595E"/>
    <w:rsid w:val="006D59B6"/>
    <w:rsid w:val="006D5A10"/>
    <w:rsid w:val="006D5AE1"/>
    <w:rsid w:val="006D5B3B"/>
    <w:rsid w:val="006D5BD4"/>
    <w:rsid w:val="006D5CDB"/>
    <w:rsid w:val="006D5D16"/>
    <w:rsid w:val="006D5D9D"/>
    <w:rsid w:val="006D5D9E"/>
    <w:rsid w:val="006D5E14"/>
    <w:rsid w:val="006D5E16"/>
    <w:rsid w:val="006D5EA7"/>
    <w:rsid w:val="006D5EF2"/>
    <w:rsid w:val="006D5F4F"/>
    <w:rsid w:val="006D5F75"/>
    <w:rsid w:val="006D603C"/>
    <w:rsid w:val="006D603F"/>
    <w:rsid w:val="006D619A"/>
    <w:rsid w:val="006D61B2"/>
    <w:rsid w:val="006D61E3"/>
    <w:rsid w:val="006D62BF"/>
    <w:rsid w:val="006D6310"/>
    <w:rsid w:val="006D6386"/>
    <w:rsid w:val="006D640D"/>
    <w:rsid w:val="006D641F"/>
    <w:rsid w:val="006D6472"/>
    <w:rsid w:val="006D6540"/>
    <w:rsid w:val="006D65A4"/>
    <w:rsid w:val="006D6657"/>
    <w:rsid w:val="006D6772"/>
    <w:rsid w:val="006D678D"/>
    <w:rsid w:val="006D6826"/>
    <w:rsid w:val="006D685A"/>
    <w:rsid w:val="006D6861"/>
    <w:rsid w:val="006D6884"/>
    <w:rsid w:val="006D6888"/>
    <w:rsid w:val="006D68CA"/>
    <w:rsid w:val="006D68E7"/>
    <w:rsid w:val="006D6954"/>
    <w:rsid w:val="006D6970"/>
    <w:rsid w:val="006D69E5"/>
    <w:rsid w:val="006D6A97"/>
    <w:rsid w:val="006D6B26"/>
    <w:rsid w:val="006D6B7F"/>
    <w:rsid w:val="006D6BCB"/>
    <w:rsid w:val="006D6BCE"/>
    <w:rsid w:val="006D6C8C"/>
    <w:rsid w:val="006D6CCB"/>
    <w:rsid w:val="006D6CE5"/>
    <w:rsid w:val="006D6D0F"/>
    <w:rsid w:val="006D6D11"/>
    <w:rsid w:val="006D6D79"/>
    <w:rsid w:val="006D6DD7"/>
    <w:rsid w:val="006D6E5C"/>
    <w:rsid w:val="006D6F41"/>
    <w:rsid w:val="006D6F92"/>
    <w:rsid w:val="006D701B"/>
    <w:rsid w:val="006D7063"/>
    <w:rsid w:val="006D7091"/>
    <w:rsid w:val="006D70A6"/>
    <w:rsid w:val="006D70C4"/>
    <w:rsid w:val="006D70F8"/>
    <w:rsid w:val="006D7111"/>
    <w:rsid w:val="006D7158"/>
    <w:rsid w:val="006D715E"/>
    <w:rsid w:val="006D717D"/>
    <w:rsid w:val="006D71F4"/>
    <w:rsid w:val="006D71F7"/>
    <w:rsid w:val="006D729F"/>
    <w:rsid w:val="006D72C6"/>
    <w:rsid w:val="006D730A"/>
    <w:rsid w:val="006D7437"/>
    <w:rsid w:val="006D7494"/>
    <w:rsid w:val="006D74FD"/>
    <w:rsid w:val="006D754B"/>
    <w:rsid w:val="006D7597"/>
    <w:rsid w:val="006D75CE"/>
    <w:rsid w:val="006D7611"/>
    <w:rsid w:val="006D76A3"/>
    <w:rsid w:val="006D76B1"/>
    <w:rsid w:val="006D776B"/>
    <w:rsid w:val="006D7860"/>
    <w:rsid w:val="006D7962"/>
    <w:rsid w:val="006D79E5"/>
    <w:rsid w:val="006D7A4B"/>
    <w:rsid w:val="006D7A7A"/>
    <w:rsid w:val="006D7B6F"/>
    <w:rsid w:val="006D7BE4"/>
    <w:rsid w:val="006D7C53"/>
    <w:rsid w:val="006D7CF0"/>
    <w:rsid w:val="006D7DBB"/>
    <w:rsid w:val="006D7E11"/>
    <w:rsid w:val="006D7E3F"/>
    <w:rsid w:val="006D7EF0"/>
    <w:rsid w:val="006D7F9F"/>
    <w:rsid w:val="006D7FFC"/>
    <w:rsid w:val="006E0003"/>
    <w:rsid w:val="006E00DA"/>
    <w:rsid w:val="006E00DE"/>
    <w:rsid w:val="006E0149"/>
    <w:rsid w:val="006E015A"/>
    <w:rsid w:val="006E019F"/>
    <w:rsid w:val="006E01ED"/>
    <w:rsid w:val="006E0206"/>
    <w:rsid w:val="006E0269"/>
    <w:rsid w:val="006E0315"/>
    <w:rsid w:val="006E0336"/>
    <w:rsid w:val="006E0345"/>
    <w:rsid w:val="006E03B9"/>
    <w:rsid w:val="006E03C9"/>
    <w:rsid w:val="006E040A"/>
    <w:rsid w:val="006E048E"/>
    <w:rsid w:val="006E04A2"/>
    <w:rsid w:val="006E04AF"/>
    <w:rsid w:val="006E0551"/>
    <w:rsid w:val="006E0571"/>
    <w:rsid w:val="006E0577"/>
    <w:rsid w:val="006E0617"/>
    <w:rsid w:val="006E0647"/>
    <w:rsid w:val="006E0681"/>
    <w:rsid w:val="006E06B0"/>
    <w:rsid w:val="006E06DB"/>
    <w:rsid w:val="006E073A"/>
    <w:rsid w:val="006E0831"/>
    <w:rsid w:val="006E0882"/>
    <w:rsid w:val="006E08DC"/>
    <w:rsid w:val="006E094E"/>
    <w:rsid w:val="006E09CC"/>
    <w:rsid w:val="006E0A17"/>
    <w:rsid w:val="006E0A4C"/>
    <w:rsid w:val="006E0A9B"/>
    <w:rsid w:val="006E0AC5"/>
    <w:rsid w:val="006E0AD8"/>
    <w:rsid w:val="006E0B2F"/>
    <w:rsid w:val="006E0C87"/>
    <w:rsid w:val="006E0CCD"/>
    <w:rsid w:val="006E0D33"/>
    <w:rsid w:val="006E0D77"/>
    <w:rsid w:val="006E0DCA"/>
    <w:rsid w:val="006E0DE0"/>
    <w:rsid w:val="006E0DEA"/>
    <w:rsid w:val="006E0E0C"/>
    <w:rsid w:val="006E0E4B"/>
    <w:rsid w:val="006E0E89"/>
    <w:rsid w:val="006E0E9F"/>
    <w:rsid w:val="006E0EC6"/>
    <w:rsid w:val="006E0EDE"/>
    <w:rsid w:val="006E0EEC"/>
    <w:rsid w:val="006E0EFA"/>
    <w:rsid w:val="006E0FB6"/>
    <w:rsid w:val="006E0FEB"/>
    <w:rsid w:val="006E102B"/>
    <w:rsid w:val="006E107C"/>
    <w:rsid w:val="006E10A8"/>
    <w:rsid w:val="006E1149"/>
    <w:rsid w:val="006E116E"/>
    <w:rsid w:val="006E1184"/>
    <w:rsid w:val="006E119B"/>
    <w:rsid w:val="006E11E1"/>
    <w:rsid w:val="006E120F"/>
    <w:rsid w:val="006E1218"/>
    <w:rsid w:val="006E1240"/>
    <w:rsid w:val="006E12AC"/>
    <w:rsid w:val="006E12CF"/>
    <w:rsid w:val="006E13A3"/>
    <w:rsid w:val="006E13D0"/>
    <w:rsid w:val="006E15F5"/>
    <w:rsid w:val="006E16AF"/>
    <w:rsid w:val="006E16B2"/>
    <w:rsid w:val="006E1834"/>
    <w:rsid w:val="006E1870"/>
    <w:rsid w:val="006E18D3"/>
    <w:rsid w:val="006E18DA"/>
    <w:rsid w:val="006E18EA"/>
    <w:rsid w:val="006E19A7"/>
    <w:rsid w:val="006E19F2"/>
    <w:rsid w:val="006E1A45"/>
    <w:rsid w:val="006E1A53"/>
    <w:rsid w:val="006E1ABB"/>
    <w:rsid w:val="006E1B2C"/>
    <w:rsid w:val="006E1B5E"/>
    <w:rsid w:val="006E1B87"/>
    <w:rsid w:val="006E1B91"/>
    <w:rsid w:val="006E1BCA"/>
    <w:rsid w:val="006E1BE5"/>
    <w:rsid w:val="006E1BEF"/>
    <w:rsid w:val="006E1C15"/>
    <w:rsid w:val="006E1CBE"/>
    <w:rsid w:val="006E1CBF"/>
    <w:rsid w:val="006E1D74"/>
    <w:rsid w:val="006E1D88"/>
    <w:rsid w:val="006E1DA1"/>
    <w:rsid w:val="006E1E2A"/>
    <w:rsid w:val="006E1E3D"/>
    <w:rsid w:val="006E1EEF"/>
    <w:rsid w:val="006E1EFE"/>
    <w:rsid w:val="006E1F98"/>
    <w:rsid w:val="006E200E"/>
    <w:rsid w:val="006E2023"/>
    <w:rsid w:val="006E2030"/>
    <w:rsid w:val="006E20AD"/>
    <w:rsid w:val="006E20FE"/>
    <w:rsid w:val="006E21AF"/>
    <w:rsid w:val="006E2268"/>
    <w:rsid w:val="006E2273"/>
    <w:rsid w:val="006E227B"/>
    <w:rsid w:val="006E22A0"/>
    <w:rsid w:val="006E22D0"/>
    <w:rsid w:val="006E23C7"/>
    <w:rsid w:val="006E23E7"/>
    <w:rsid w:val="006E2425"/>
    <w:rsid w:val="006E246E"/>
    <w:rsid w:val="006E24BC"/>
    <w:rsid w:val="006E255B"/>
    <w:rsid w:val="006E255D"/>
    <w:rsid w:val="006E25F0"/>
    <w:rsid w:val="006E26AC"/>
    <w:rsid w:val="006E26E7"/>
    <w:rsid w:val="006E2719"/>
    <w:rsid w:val="006E2722"/>
    <w:rsid w:val="006E276E"/>
    <w:rsid w:val="006E2780"/>
    <w:rsid w:val="006E27B2"/>
    <w:rsid w:val="006E2841"/>
    <w:rsid w:val="006E2865"/>
    <w:rsid w:val="006E2872"/>
    <w:rsid w:val="006E2874"/>
    <w:rsid w:val="006E2980"/>
    <w:rsid w:val="006E298C"/>
    <w:rsid w:val="006E29F9"/>
    <w:rsid w:val="006E2A13"/>
    <w:rsid w:val="006E2A38"/>
    <w:rsid w:val="006E2A4B"/>
    <w:rsid w:val="006E2B6E"/>
    <w:rsid w:val="006E2BB6"/>
    <w:rsid w:val="006E2D26"/>
    <w:rsid w:val="006E2DF4"/>
    <w:rsid w:val="006E2E24"/>
    <w:rsid w:val="006E2ECA"/>
    <w:rsid w:val="006E2EE9"/>
    <w:rsid w:val="006E2F1E"/>
    <w:rsid w:val="006E2FB8"/>
    <w:rsid w:val="006E3062"/>
    <w:rsid w:val="006E3090"/>
    <w:rsid w:val="006E30F0"/>
    <w:rsid w:val="006E3115"/>
    <w:rsid w:val="006E3138"/>
    <w:rsid w:val="006E313E"/>
    <w:rsid w:val="006E3239"/>
    <w:rsid w:val="006E32CE"/>
    <w:rsid w:val="006E330A"/>
    <w:rsid w:val="006E331A"/>
    <w:rsid w:val="006E3416"/>
    <w:rsid w:val="006E3427"/>
    <w:rsid w:val="006E3487"/>
    <w:rsid w:val="006E34A2"/>
    <w:rsid w:val="006E34CB"/>
    <w:rsid w:val="006E34E2"/>
    <w:rsid w:val="006E3626"/>
    <w:rsid w:val="006E369F"/>
    <w:rsid w:val="006E36F0"/>
    <w:rsid w:val="006E3751"/>
    <w:rsid w:val="006E3763"/>
    <w:rsid w:val="006E376F"/>
    <w:rsid w:val="006E37F1"/>
    <w:rsid w:val="006E381B"/>
    <w:rsid w:val="006E3895"/>
    <w:rsid w:val="006E38C9"/>
    <w:rsid w:val="006E39FE"/>
    <w:rsid w:val="006E3A22"/>
    <w:rsid w:val="006E3A4D"/>
    <w:rsid w:val="006E3A59"/>
    <w:rsid w:val="006E3AE1"/>
    <w:rsid w:val="006E3B02"/>
    <w:rsid w:val="006E3B23"/>
    <w:rsid w:val="006E3C04"/>
    <w:rsid w:val="006E3C3E"/>
    <w:rsid w:val="006E3C87"/>
    <w:rsid w:val="006E3CAD"/>
    <w:rsid w:val="006E3CFD"/>
    <w:rsid w:val="006E3D2C"/>
    <w:rsid w:val="006E3D3E"/>
    <w:rsid w:val="006E3D50"/>
    <w:rsid w:val="006E3E7B"/>
    <w:rsid w:val="006E3FF3"/>
    <w:rsid w:val="006E403F"/>
    <w:rsid w:val="006E4069"/>
    <w:rsid w:val="006E407B"/>
    <w:rsid w:val="006E4107"/>
    <w:rsid w:val="006E411C"/>
    <w:rsid w:val="006E415F"/>
    <w:rsid w:val="006E417B"/>
    <w:rsid w:val="006E41CA"/>
    <w:rsid w:val="006E421F"/>
    <w:rsid w:val="006E4220"/>
    <w:rsid w:val="006E4235"/>
    <w:rsid w:val="006E42BC"/>
    <w:rsid w:val="006E43E4"/>
    <w:rsid w:val="006E4416"/>
    <w:rsid w:val="006E4430"/>
    <w:rsid w:val="006E446F"/>
    <w:rsid w:val="006E4500"/>
    <w:rsid w:val="006E4502"/>
    <w:rsid w:val="006E4562"/>
    <w:rsid w:val="006E4565"/>
    <w:rsid w:val="006E468E"/>
    <w:rsid w:val="006E46C7"/>
    <w:rsid w:val="006E46E6"/>
    <w:rsid w:val="006E4804"/>
    <w:rsid w:val="006E4873"/>
    <w:rsid w:val="006E4962"/>
    <w:rsid w:val="006E4A3D"/>
    <w:rsid w:val="006E4A8C"/>
    <w:rsid w:val="006E4A8F"/>
    <w:rsid w:val="006E4BAE"/>
    <w:rsid w:val="006E4C4D"/>
    <w:rsid w:val="006E4CB1"/>
    <w:rsid w:val="006E4D74"/>
    <w:rsid w:val="006E4D92"/>
    <w:rsid w:val="006E4DCC"/>
    <w:rsid w:val="006E4DD2"/>
    <w:rsid w:val="006E4FA2"/>
    <w:rsid w:val="006E4FCC"/>
    <w:rsid w:val="006E50B0"/>
    <w:rsid w:val="006E51B4"/>
    <w:rsid w:val="006E51C6"/>
    <w:rsid w:val="006E523C"/>
    <w:rsid w:val="006E523F"/>
    <w:rsid w:val="006E524F"/>
    <w:rsid w:val="006E52BC"/>
    <w:rsid w:val="006E52FF"/>
    <w:rsid w:val="006E5391"/>
    <w:rsid w:val="006E539A"/>
    <w:rsid w:val="006E53C9"/>
    <w:rsid w:val="006E540F"/>
    <w:rsid w:val="006E54C1"/>
    <w:rsid w:val="006E5538"/>
    <w:rsid w:val="006E55F5"/>
    <w:rsid w:val="006E5698"/>
    <w:rsid w:val="006E5783"/>
    <w:rsid w:val="006E57A3"/>
    <w:rsid w:val="006E57E1"/>
    <w:rsid w:val="006E58A4"/>
    <w:rsid w:val="006E58F7"/>
    <w:rsid w:val="006E5923"/>
    <w:rsid w:val="006E5B1A"/>
    <w:rsid w:val="006E5BFD"/>
    <w:rsid w:val="006E5CB0"/>
    <w:rsid w:val="006E5D53"/>
    <w:rsid w:val="006E5F4E"/>
    <w:rsid w:val="006E5F75"/>
    <w:rsid w:val="006E6005"/>
    <w:rsid w:val="006E602F"/>
    <w:rsid w:val="006E6043"/>
    <w:rsid w:val="006E6097"/>
    <w:rsid w:val="006E60CB"/>
    <w:rsid w:val="006E6130"/>
    <w:rsid w:val="006E6168"/>
    <w:rsid w:val="006E6172"/>
    <w:rsid w:val="006E61D6"/>
    <w:rsid w:val="006E625B"/>
    <w:rsid w:val="006E6298"/>
    <w:rsid w:val="006E62C8"/>
    <w:rsid w:val="006E6339"/>
    <w:rsid w:val="006E63F0"/>
    <w:rsid w:val="006E6459"/>
    <w:rsid w:val="006E6470"/>
    <w:rsid w:val="006E6557"/>
    <w:rsid w:val="006E65C9"/>
    <w:rsid w:val="006E6688"/>
    <w:rsid w:val="006E66C9"/>
    <w:rsid w:val="006E66F9"/>
    <w:rsid w:val="006E6753"/>
    <w:rsid w:val="006E6863"/>
    <w:rsid w:val="006E68C1"/>
    <w:rsid w:val="006E692D"/>
    <w:rsid w:val="006E6964"/>
    <w:rsid w:val="006E6973"/>
    <w:rsid w:val="006E69C0"/>
    <w:rsid w:val="006E6A5F"/>
    <w:rsid w:val="006E6AA3"/>
    <w:rsid w:val="006E6AE1"/>
    <w:rsid w:val="006E6AEA"/>
    <w:rsid w:val="006E6B1B"/>
    <w:rsid w:val="006E6C23"/>
    <w:rsid w:val="006E6C68"/>
    <w:rsid w:val="006E6C77"/>
    <w:rsid w:val="006E6D30"/>
    <w:rsid w:val="006E6D79"/>
    <w:rsid w:val="006E6DC1"/>
    <w:rsid w:val="006E6E3C"/>
    <w:rsid w:val="006E6E5F"/>
    <w:rsid w:val="006E6E9F"/>
    <w:rsid w:val="006E6F2D"/>
    <w:rsid w:val="006E6F34"/>
    <w:rsid w:val="006E6FDF"/>
    <w:rsid w:val="006E70B5"/>
    <w:rsid w:val="006E70BD"/>
    <w:rsid w:val="006E70D3"/>
    <w:rsid w:val="006E71AD"/>
    <w:rsid w:val="006E730C"/>
    <w:rsid w:val="006E7470"/>
    <w:rsid w:val="006E747E"/>
    <w:rsid w:val="006E74D7"/>
    <w:rsid w:val="006E7592"/>
    <w:rsid w:val="006E75A7"/>
    <w:rsid w:val="006E75D3"/>
    <w:rsid w:val="006E7639"/>
    <w:rsid w:val="006E764B"/>
    <w:rsid w:val="006E76BF"/>
    <w:rsid w:val="006E76E8"/>
    <w:rsid w:val="006E7801"/>
    <w:rsid w:val="006E782E"/>
    <w:rsid w:val="006E7844"/>
    <w:rsid w:val="006E7851"/>
    <w:rsid w:val="006E787D"/>
    <w:rsid w:val="006E78B2"/>
    <w:rsid w:val="006E797D"/>
    <w:rsid w:val="006E7A63"/>
    <w:rsid w:val="006E7A79"/>
    <w:rsid w:val="006E7A82"/>
    <w:rsid w:val="006E7ABB"/>
    <w:rsid w:val="006E7B02"/>
    <w:rsid w:val="006E7B48"/>
    <w:rsid w:val="006E7B68"/>
    <w:rsid w:val="006E7BBD"/>
    <w:rsid w:val="006E7BEE"/>
    <w:rsid w:val="006E7C15"/>
    <w:rsid w:val="006E7CBE"/>
    <w:rsid w:val="006E7E16"/>
    <w:rsid w:val="006E7E73"/>
    <w:rsid w:val="006E7EB5"/>
    <w:rsid w:val="006F0029"/>
    <w:rsid w:val="006F003F"/>
    <w:rsid w:val="006F00A4"/>
    <w:rsid w:val="006F0148"/>
    <w:rsid w:val="006F017A"/>
    <w:rsid w:val="006F01DA"/>
    <w:rsid w:val="006F021D"/>
    <w:rsid w:val="006F0257"/>
    <w:rsid w:val="006F02AA"/>
    <w:rsid w:val="006F0387"/>
    <w:rsid w:val="006F0390"/>
    <w:rsid w:val="006F044D"/>
    <w:rsid w:val="006F049C"/>
    <w:rsid w:val="006F04AB"/>
    <w:rsid w:val="006F04AE"/>
    <w:rsid w:val="006F050A"/>
    <w:rsid w:val="006F0579"/>
    <w:rsid w:val="006F05DA"/>
    <w:rsid w:val="006F064E"/>
    <w:rsid w:val="006F0702"/>
    <w:rsid w:val="006F0745"/>
    <w:rsid w:val="006F077E"/>
    <w:rsid w:val="006F0865"/>
    <w:rsid w:val="006F08F4"/>
    <w:rsid w:val="006F0977"/>
    <w:rsid w:val="006F0989"/>
    <w:rsid w:val="006F0B1E"/>
    <w:rsid w:val="006F0BD6"/>
    <w:rsid w:val="006F0C10"/>
    <w:rsid w:val="006F0C77"/>
    <w:rsid w:val="006F0CB1"/>
    <w:rsid w:val="006F0CD8"/>
    <w:rsid w:val="006F0DC5"/>
    <w:rsid w:val="006F0DE6"/>
    <w:rsid w:val="006F0E0E"/>
    <w:rsid w:val="006F0E48"/>
    <w:rsid w:val="006F0E5F"/>
    <w:rsid w:val="006F0F61"/>
    <w:rsid w:val="006F0F64"/>
    <w:rsid w:val="006F0F99"/>
    <w:rsid w:val="006F0FAA"/>
    <w:rsid w:val="006F0FEE"/>
    <w:rsid w:val="006F1028"/>
    <w:rsid w:val="006F1056"/>
    <w:rsid w:val="006F106D"/>
    <w:rsid w:val="006F11AE"/>
    <w:rsid w:val="006F12EC"/>
    <w:rsid w:val="006F12FC"/>
    <w:rsid w:val="006F13FF"/>
    <w:rsid w:val="006F1431"/>
    <w:rsid w:val="006F14DB"/>
    <w:rsid w:val="006F1582"/>
    <w:rsid w:val="006F15BF"/>
    <w:rsid w:val="006F161F"/>
    <w:rsid w:val="006F1625"/>
    <w:rsid w:val="006F163A"/>
    <w:rsid w:val="006F168B"/>
    <w:rsid w:val="006F16D3"/>
    <w:rsid w:val="006F16E7"/>
    <w:rsid w:val="006F17BF"/>
    <w:rsid w:val="006F1800"/>
    <w:rsid w:val="006F1822"/>
    <w:rsid w:val="006F1824"/>
    <w:rsid w:val="006F1834"/>
    <w:rsid w:val="006F1874"/>
    <w:rsid w:val="006F1917"/>
    <w:rsid w:val="006F194C"/>
    <w:rsid w:val="006F1A52"/>
    <w:rsid w:val="006F1A75"/>
    <w:rsid w:val="006F1A9E"/>
    <w:rsid w:val="006F1AC1"/>
    <w:rsid w:val="006F1ACA"/>
    <w:rsid w:val="006F1AF2"/>
    <w:rsid w:val="006F1B64"/>
    <w:rsid w:val="006F1B71"/>
    <w:rsid w:val="006F1BAA"/>
    <w:rsid w:val="006F1BB0"/>
    <w:rsid w:val="006F1BDB"/>
    <w:rsid w:val="006F1BED"/>
    <w:rsid w:val="006F1C45"/>
    <w:rsid w:val="006F1C4F"/>
    <w:rsid w:val="006F1C6E"/>
    <w:rsid w:val="006F1C8F"/>
    <w:rsid w:val="006F1EE0"/>
    <w:rsid w:val="006F1F3D"/>
    <w:rsid w:val="006F1F49"/>
    <w:rsid w:val="006F204F"/>
    <w:rsid w:val="006F2076"/>
    <w:rsid w:val="006F207E"/>
    <w:rsid w:val="006F2100"/>
    <w:rsid w:val="006F213E"/>
    <w:rsid w:val="006F21B3"/>
    <w:rsid w:val="006F2266"/>
    <w:rsid w:val="006F22C9"/>
    <w:rsid w:val="006F233C"/>
    <w:rsid w:val="006F236D"/>
    <w:rsid w:val="006F249B"/>
    <w:rsid w:val="006F249C"/>
    <w:rsid w:val="006F24A4"/>
    <w:rsid w:val="006F24A5"/>
    <w:rsid w:val="006F24A9"/>
    <w:rsid w:val="006F24B2"/>
    <w:rsid w:val="006F2553"/>
    <w:rsid w:val="006F2578"/>
    <w:rsid w:val="006F25A1"/>
    <w:rsid w:val="006F25AE"/>
    <w:rsid w:val="006F267B"/>
    <w:rsid w:val="006F2694"/>
    <w:rsid w:val="006F27DB"/>
    <w:rsid w:val="006F2876"/>
    <w:rsid w:val="006F28CC"/>
    <w:rsid w:val="006F28FD"/>
    <w:rsid w:val="006F2945"/>
    <w:rsid w:val="006F295E"/>
    <w:rsid w:val="006F298A"/>
    <w:rsid w:val="006F2997"/>
    <w:rsid w:val="006F299C"/>
    <w:rsid w:val="006F29C5"/>
    <w:rsid w:val="006F29FC"/>
    <w:rsid w:val="006F2A1D"/>
    <w:rsid w:val="006F2A8F"/>
    <w:rsid w:val="006F2AFA"/>
    <w:rsid w:val="006F2B54"/>
    <w:rsid w:val="006F2C47"/>
    <w:rsid w:val="006F2C4F"/>
    <w:rsid w:val="006F2C97"/>
    <w:rsid w:val="006F2CA9"/>
    <w:rsid w:val="006F2CD2"/>
    <w:rsid w:val="006F2D7A"/>
    <w:rsid w:val="006F2DA4"/>
    <w:rsid w:val="006F2DC3"/>
    <w:rsid w:val="006F2DE6"/>
    <w:rsid w:val="006F2E44"/>
    <w:rsid w:val="006F2F24"/>
    <w:rsid w:val="006F2F28"/>
    <w:rsid w:val="006F2F37"/>
    <w:rsid w:val="006F2F4B"/>
    <w:rsid w:val="006F2FF1"/>
    <w:rsid w:val="006F3052"/>
    <w:rsid w:val="006F3082"/>
    <w:rsid w:val="006F30F1"/>
    <w:rsid w:val="006F311E"/>
    <w:rsid w:val="006F3366"/>
    <w:rsid w:val="006F341A"/>
    <w:rsid w:val="006F341D"/>
    <w:rsid w:val="006F3432"/>
    <w:rsid w:val="006F3502"/>
    <w:rsid w:val="006F350E"/>
    <w:rsid w:val="006F3597"/>
    <w:rsid w:val="006F359A"/>
    <w:rsid w:val="006F35E5"/>
    <w:rsid w:val="006F3649"/>
    <w:rsid w:val="006F364E"/>
    <w:rsid w:val="006F364F"/>
    <w:rsid w:val="006F367D"/>
    <w:rsid w:val="006F369B"/>
    <w:rsid w:val="006F36BF"/>
    <w:rsid w:val="006F37BA"/>
    <w:rsid w:val="006F37BF"/>
    <w:rsid w:val="006F380F"/>
    <w:rsid w:val="006F3821"/>
    <w:rsid w:val="006F389D"/>
    <w:rsid w:val="006F3A1C"/>
    <w:rsid w:val="006F3A35"/>
    <w:rsid w:val="006F3A39"/>
    <w:rsid w:val="006F3C3C"/>
    <w:rsid w:val="006F3C50"/>
    <w:rsid w:val="006F3C9B"/>
    <w:rsid w:val="006F3CA6"/>
    <w:rsid w:val="006F3D92"/>
    <w:rsid w:val="006F3DCC"/>
    <w:rsid w:val="006F3E3A"/>
    <w:rsid w:val="006F3E75"/>
    <w:rsid w:val="006F3EDA"/>
    <w:rsid w:val="006F3F73"/>
    <w:rsid w:val="006F402C"/>
    <w:rsid w:val="006F4067"/>
    <w:rsid w:val="006F407A"/>
    <w:rsid w:val="006F40CD"/>
    <w:rsid w:val="006F413F"/>
    <w:rsid w:val="006F41A8"/>
    <w:rsid w:val="006F4255"/>
    <w:rsid w:val="006F42D9"/>
    <w:rsid w:val="006F437E"/>
    <w:rsid w:val="006F43EA"/>
    <w:rsid w:val="006F43EE"/>
    <w:rsid w:val="006F446F"/>
    <w:rsid w:val="006F44C3"/>
    <w:rsid w:val="006F44CA"/>
    <w:rsid w:val="006F44FB"/>
    <w:rsid w:val="006F4506"/>
    <w:rsid w:val="006F4564"/>
    <w:rsid w:val="006F456A"/>
    <w:rsid w:val="006F4578"/>
    <w:rsid w:val="006F4579"/>
    <w:rsid w:val="006F458E"/>
    <w:rsid w:val="006F45D4"/>
    <w:rsid w:val="006F4670"/>
    <w:rsid w:val="006F4751"/>
    <w:rsid w:val="006F475C"/>
    <w:rsid w:val="006F484B"/>
    <w:rsid w:val="006F486C"/>
    <w:rsid w:val="006F48C7"/>
    <w:rsid w:val="006F48D1"/>
    <w:rsid w:val="006F4928"/>
    <w:rsid w:val="006F492A"/>
    <w:rsid w:val="006F4A55"/>
    <w:rsid w:val="006F4B02"/>
    <w:rsid w:val="006F4B27"/>
    <w:rsid w:val="006F4BB2"/>
    <w:rsid w:val="006F4C41"/>
    <w:rsid w:val="006F4C74"/>
    <w:rsid w:val="006F4D5C"/>
    <w:rsid w:val="006F4DD3"/>
    <w:rsid w:val="006F4F0A"/>
    <w:rsid w:val="006F4F7E"/>
    <w:rsid w:val="006F4F7F"/>
    <w:rsid w:val="006F505D"/>
    <w:rsid w:val="006F508F"/>
    <w:rsid w:val="006F509C"/>
    <w:rsid w:val="006F50CA"/>
    <w:rsid w:val="006F5117"/>
    <w:rsid w:val="006F515C"/>
    <w:rsid w:val="006F516B"/>
    <w:rsid w:val="006F516E"/>
    <w:rsid w:val="006F519C"/>
    <w:rsid w:val="006F520E"/>
    <w:rsid w:val="006F53E9"/>
    <w:rsid w:val="006F53F5"/>
    <w:rsid w:val="006F544E"/>
    <w:rsid w:val="006F54B6"/>
    <w:rsid w:val="006F5643"/>
    <w:rsid w:val="006F56AB"/>
    <w:rsid w:val="006F5731"/>
    <w:rsid w:val="006F5784"/>
    <w:rsid w:val="006F584E"/>
    <w:rsid w:val="006F5888"/>
    <w:rsid w:val="006F58B2"/>
    <w:rsid w:val="006F58EE"/>
    <w:rsid w:val="006F5986"/>
    <w:rsid w:val="006F5A1C"/>
    <w:rsid w:val="006F5AC9"/>
    <w:rsid w:val="006F5ACE"/>
    <w:rsid w:val="006F5B30"/>
    <w:rsid w:val="006F5B47"/>
    <w:rsid w:val="006F5B71"/>
    <w:rsid w:val="006F5B81"/>
    <w:rsid w:val="006F5BDA"/>
    <w:rsid w:val="006F5C06"/>
    <w:rsid w:val="006F5C48"/>
    <w:rsid w:val="006F5CD8"/>
    <w:rsid w:val="006F5D33"/>
    <w:rsid w:val="006F5D37"/>
    <w:rsid w:val="006F5DA7"/>
    <w:rsid w:val="006F5DB3"/>
    <w:rsid w:val="006F5DDD"/>
    <w:rsid w:val="006F5E33"/>
    <w:rsid w:val="006F5E37"/>
    <w:rsid w:val="006F5E88"/>
    <w:rsid w:val="006F5F63"/>
    <w:rsid w:val="006F5FEC"/>
    <w:rsid w:val="006F610B"/>
    <w:rsid w:val="006F6203"/>
    <w:rsid w:val="006F6234"/>
    <w:rsid w:val="006F6237"/>
    <w:rsid w:val="006F627B"/>
    <w:rsid w:val="006F62AC"/>
    <w:rsid w:val="006F6337"/>
    <w:rsid w:val="006F6356"/>
    <w:rsid w:val="006F63C3"/>
    <w:rsid w:val="006F63EA"/>
    <w:rsid w:val="006F641A"/>
    <w:rsid w:val="006F644F"/>
    <w:rsid w:val="006F6482"/>
    <w:rsid w:val="006F6591"/>
    <w:rsid w:val="006F65D1"/>
    <w:rsid w:val="006F660F"/>
    <w:rsid w:val="006F6636"/>
    <w:rsid w:val="006F6716"/>
    <w:rsid w:val="006F672F"/>
    <w:rsid w:val="006F683C"/>
    <w:rsid w:val="006F6868"/>
    <w:rsid w:val="006F6883"/>
    <w:rsid w:val="006F68DE"/>
    <w:rsid w:val="006F6AE5"/>
    <w:rsid w:val="006F6B01"/>
    <w:rsid w:val="006F6B08"/>
    <w:rsid w:val="006F6BD6"/>
    <w:rsid w:val="006F6C63"/>
    <w:rsid w:val="006F6C8F"/>
    <w:rsid w:val="006F6D45"/>
    <w:rsid w:val="006F6EFF"/>
    <w:rsid w:val="006F6F0E"/>
    <w:rsid w:val="006F6F29"/>
    <w:rsid w:val="006F6F77"/>
    <w:rsid w:val="006F6F7D"/>
    <w:rsid w:val="006F707E"/>
    <w:rsid w:val="006F7137"/>
    <w:rsid w:val="006F715B"/>
    <w:rsid w:val="006F71F3"/>
    <w:rsid w:val="006F725F"/>
    <w:rsid w:val="006F72F7"/>
    <w:rsid w:val="006F7350"/>
    <w:rsid w:val="006F7377"/>
    <w:rsid w:val="006F73F2"/>
    <w:rsid w:val="006F74FA"/>
    <w:rsid w:val="006F7540"/>
    <w:rsid w:val="006F7545"/>
    <w:rsid w:val="006F7582"/>
    <w:rsid w:val="006F758F"/>
    <w:rsid w:val="006F7595"/>
    <w:rsid w:val="006F7599"/>
    <w:rsid w:val="006F75D8"/>
    <w:rsid w:val="006F7658"/>
    <w:rsid w:val="006F7692"/>
    <w:rsid w:val="006F770D"/>
    <w:rsid w:val="006F778C"/>
    <w:rsid w:val="006F77B0"/>
    <w:rsid w:val="006F77DF"/>
    <w:rsid w:val="006F7838"/>
    <w:rsid w:val="006F788E"/>
    <w:rsid w:val="006F78C0"/>
    <w:rsid w:val="006F7950"/>
    <w:rsid w:val="006F799C"/>
    <w:rsid w:val="006F7A12"/>
    <w:rsid w:val="006F7A6A"/>
    <w:rsid w:val="006F7B84"/>
    <w:rsid w:val="006F7C38"/>
    <w:rsid w:val="006F7D76"/>
    <w:rsid w:val="006F7EEC"/>
    <w:rsid w:val="006F7EF7"/>
    <w:rsid w:val="006F7FC3"/>
    <w:rsid w:val="006F7FEC"/>
    <w:rsid w:val="007000AE"/>
    <w:rsid w:val="007000C9"/>
    <w:rsid w:val="007000EC"/>
    <w:rsid w:val="00700120"/>
    <w:rsid w:val="00700248"/>
    <w:rsid w:val="00700270"/>
    <w:rsid w:val="00700360"/>
    <w:rsid w:val="0070044F"/>
    <w:rsid w:val="0070046D"/>
    <w:rsid w:val="0070048B"/>
    <w:rsid w:val="007004B2"/>
    <w:rsid w:val="00700591"/>
    <w:rsid w:val="00700641"/>
    <w:rsid w:val="007006EB"/>
    <w:rsid w:val="00700715"/>
    <w:rsid w:val="007007C1"/>
    <w:rsid w:val="0070082A"/>
    <w:rsid w:val="0070090C"/>
    <w:rsid w:val="00700917"/>
    <w:rsid w:val="00700973"/>
    <w:rsid w:val="00700A28"/>
    <w:rsid w:val="00700AA2"/>
    <w:rsid w:val="00700AA9"/>
    <w:rsid w:val="00700B53"/>
    <w:rsid w:val="00700B60"/>
    <w:rsid w:val="00700B62"/>
    <w:rsid w:val="00700B7E"/>
    <w:rsid w:val="00700C62"/>
    <w:rsid w:val="00700CC4"/>
    <w:rsid w:val="00700D0A"/>
    <w:rsid w:val="00700D0B"/>
    <w:rsid w:val="00700EB3"/>
    <w:rsid w:val="00700F25"/>
    <w:rsid w:val="00700F79"/>
    <w:rsid w:val="00700FE7"/>
    <w:rsid w:val="00701063"/>
    <w:rsid w:val="007010A1"/>
    <w:rsid w:val="007010E7"/>
    <w:rsid w:val="0070113C"/>
    <w:rsid w:val="007011AD"/>
    <w:rsid w:val="007011D5"/>
    <w:rsid w:val="007011F5"/>
    <w:rsid w:val="00701229"/>
    <w:rsid w:val="00701286"/>
    <w:rsid w:val="0070129E"/>
    <w:rsid w:val="00701372"/>
    <w:rsid w:val="00701390"/>
    <w:rsid w:val="0070149D"/>
    <w:rsid w:val="007014AF"/>
    <w:rsid w:val="00701507"/>
    <w:rsid w:val="0070151D"/>
    <w:rsid w:val="0070152A"/>
    <w:rsid w:val="007015EE"/>
    <w:rsid w:val="00701616"/>
    <w:rsid w:val="00701692"/>
    <w:rsid w:val="0070178F"/>
    <w:rsid w:val="007017EA"/>
    <w:rsid w:val="007017EE"/>
    <w:rsid w:val="0070187A"/>
    <w:rsid w:val="00701913"/>
    <w:rsid w:val="00701936"/>
    <w:rsid w:val="007019EF"/>
    <w:rsid w:val="00701B5F"/>
    <w:rsid w:val="00701B88"/>
    <w:rsid w:val="00701BE3"/>
    <w:rsid w:val="00701C5C"/>
    <w:rsid w:val="00701CC3"/>
    <w:rsid w:val="00701D26"/>
    <w:rsid w:val="00701D2F"/>
    <w:rsid w:val="00701D57"/>
    <w:rsid w:val="00701DEE"/>
    <w:rsid w:val="00701E23"/>
    <w:rsid w:val="00701E2D"/>
    <w:rsid w:val="00701E52"/>
    <w:rsid w:val="00701EB8"/>
    <w:rsid w:val="00701ED4"/>
    <w:rsid w:val="00701F3A"/>
    <w:rsid w:val="00701FBD"/>
    <w:rsid w:val="00702070"/>
    <w:rsid w:val="007020EC"/>
    <w:rsid w:val="007020FC"/>
    <w:rsid w:val="00702176"/>
    <w:rsid w:val="007021DE"/>
    <w:rsid w:val="007021E9"/>
    <w:rsid w:val="007022B6"/>
    <w:rsid w:val="007022BF"/>
    <w:rsid w:val="00702350"/>
    <w:rsid w:val="0070236C"/>
    <w:rsid w:val="00702378"/>
    <w:rsid w:val="0070239D"/>
    <w:rsid w:val="00702456"/>
    <w:rsid w:val="00702546"/>
    <w:rsid w:val="00702583"/>
    <w:rsid w:val="0070258E"/>
    <w:rsid w:val="0070259A"/>
    <w:rsid w:val="007025EA"/>
    <w:rsid w:val="0070261A"/>
    <w:rsid w:val="00702699"/>
    <w:rsid w:val="00702819"/>
    <w:rsid w:val="00702851"/>
    <w:rsid w:val="0070289B"/>
    <w:rsid w:val="007028B3"/>
    <w:rsid w:val="007028C1"/>
    <w:rsid w:val="00702944"/>
    <w:rsid w:val="0070297D"/>
    <w:rsid w:val="007029CA"/>
    <w:rsid w:val="007029D4"/>
    <w:rsid w:val="00702A13"/>
    <w:rsid w:val="00702AD3"/>
    <w:rsid w:val="00702ADB"/>
    <w:rsid w:val="00702B10"/>
    <w:rsid w:val="00702B85"/>
    <w:rsid w:val="00702BD1"/>
    <w:rsid w:val="00702C08"/>
    <w:rsid w:val="00702C7D"/>
    <w:rsid w:val="00702C81"/>
    <w:rsid w:val="00702C87"/>
    <w:rsid w:val="00702D65"/>
    <w:rsid w:val="00702D80"/>
    <w:rsid w:val="00702E1C"/>
    <w:rsid w:val="00702E67"/>
    <w:rsid w:val="00702F32"/>
    <w:rsid w:val="0070305B"/>
    <w:rsid w:val="00703301"/>
    <w:rsid w:val="0070331D"/>
    <w:rsid w:val="00703326"/>
    <w:rsid w:val="00703380"/>
    <w:rsid w:val="0070339B"/>
    <w:rsid w:val="007033A7"/>
    <w:rsid w:val="007033E3"/>
    <w:rsid w:val="0070342E"/>
    <w:rsid w:val="00703472"/>
    <w:rsid w:val="00703475"/>
    <w:rsid w:val="0070349C"/>
    <w:rsid w:val="007034A6"/>
    <w:rsid w:val="007034A9"/>
    <w:rsid w:val="007034AE"/>
    <w:rsid w:val="007034EC"/>
    <w:rsid w:val="00703539"/>
    <w:rsid w:val="00703595"/>
    <w:rsid w:val="007035D2"/>
    <w:rsid w:val="0070363E"/>
    <w:rsid w:val="0070371B"/>
    <w:rsid w:val="00703791"/>
    <w:rsid w:val="007038DC"/>
    <w:rsid w:val="00703975"/>
    <w:rsid w:val="00703A1D"/>
    <w:rsid w:val="00703A37"/>
    <w:rsid w:val="00703A95"/>
    <w:rsid w:val="00703AA1"/>
    <w:rsid w:val="00703AC0"/>
    <w:rsid w:val="00703AF7"/>
    <w:rsid w:val="00703B8A"/>
    <w:rsid w:val="00703C13"/>
    <w:rsid w:val="00703C67"/>
    <w:rsid w:val="00703C74"/>
    <w:rsid w:val="00703CCC"/>
    <w:rsid w:val="00703CE7"/>
    <w:rsid w:val="00703DC8"/>
    <w:rsid w:val="00703E01"/>
    <w:rsid w:val="00703EFD"/>
    <w:rsid w:val="00703F13"/>
    <w:rsid w:val="00703F1D"/>
    <w:rsid w:val="00703F3E"/>
    <w:rsid w:val="00704059"/>
    <w:rsid w:val="00704068"/>
    <w:rsid w:val="007041CB"/>
    <w:rsid w:val="00704238"/>
    <w:rsid w:val="00704243"/>
    <w:rsid w:val="007042BA"/>
    <w:rsid w:val="007042EC"/>
    <w:rsid w:val="00704432"/>
    <w:rsid w:val="007044AC"/>
    <w:rsid w:val="007044CC"/>
    <w:rsid w:val="007044EF"/>
    <w:rsid w:val="00704600"/>
    <w:rsid w:val="00704631"/>
    <w:rsid w:val="00704826"/>
    <w:rsid w:val="0070483C"/>
    <w:rsid w:val="0070488C"/>
    <w:rsid w:val="007048C6"/>
    <w:rsid w:val="007048C8"/>
    <w:rsid w:val="007048E0"/>
    <w:rsid w:val="007048E5"/>
    <w:rsid w:val="0070496D"/>
    <w:rsid w:val="0070497C"/>
    <w:rsid w:val="007049D7"/>
    <w:rsid w:val="00704AB3"/>
    <w:rsid w:val="00704C00"/>
    <w:rsid w:val="00704C04"/>
    <w:rsid w:val="00704C0F"/>
    <w:rsid w:val="00704C1C"/>
    <w:rsid w:val="00704CCB"/>
    <w:rsid w:val="00704D4D"/>
    <w:rsid w:val="00704D8F"/>
    <w:rsid w:val="00704DBB"/>
    <w:rsid w:val="00704DCF"/>
    <w:rsid w:val="00704E03"/>
    <w:rsid w:val="00704E12"/>
    <w:rsid w:val="00704E15"/>
    <w:rsid w:val="00704E3D"/>
    <w:rsid w:val="00704E65"/>
    <w:rsid w:val="00704EC2"/>
    <w:rsid w:val="00704F7C"/>
    <w:rsid w:val="0070509E"/>
    <w:rsid w:val="007050A1"/>
    <w:rsid w:val="00705129"/>
    <w:rsid w:val="007052CE"/>
    <w:rsid w:val="00705323"/>
    <w:rsid w:val="0070535E"/>
    <w:rsid w:val="007053D2"/>
    <w:rsid w:val="00705447"/>
    <w:rsid w:val="00705503"/>
    <w:rsid w:val="00705531"/>
    <w:rsid w:val="007055CE"/>
    <w:rsid w:val="007055D0"/>
    <w:rsid w:val="0070560F"/>
    <w:rsid w:val="00705619"/>
    <w:rsid w:val="0070565F"/>
    <w:rsid w:val="00705677"/>
    <w:rsid w:val="007056C1"/>
    <w:rsid w:val="0070577D"/>
    <w:rsid w:val="0070578F"/>
    <w:rsid w:val="007057EB"/>
    <w:rsid w:val="00705828"/>
    <w:rsid w:val="0070587F"/>
    <w:rsid w:val="007058B2"/>
    <w:rsid w:val="007058FA"/>
    <w:rsid w:val="0070593C"/>
    <w:rsid w:val="00705970"/>
    <w:rsid w:val="007059C4"/>
    <w:rsid w:val="00705ABA"/>
    <w:rsid w:val="00705AEE"/>
    <w:rsid w:val="00705B07"/>
    <w:rsid w:val="00705B65"/>
    <w:rsid w:val="00705B6E"/>
    <w:rsid w:val="00705B8F"/>
    <w:rsid w:val="00705BA6"/>
    <w:rsid w:val="00705BA8"/>
    <w:rsid w:val="00705C02"/>
    <w:rsid w:val="00705C8B"/>
    <w:rsid w:val="00705CDD"/>
    <w:rsid w:val="00705CF4"/>
    <w:rsid w:val="00705DA3"/>
    <w:rsid w:val="00705E38"/>
    <w:rsid w:val="00705E4E"/>
    <w:rsid w:val="00705E68"/>
    <w:rsid w:val="00705E6F"/>
    <w:rsid w:val="00705E78"/>
    <w:rsid w:val="00705E8C"/>
    <w:rsid w:val="00705ED7"/>
    <w:rsid w:val="00705EF6"/>
    <w:rsid w:val="00706123"/>
    <w:rsid w:val="00706152"/>
    <w:rsid w:val="00706158"/>
    <w:rsid w:val="00706169"/>
    <w:rsid w:val="0070633C"/>
    <w:rsid w:val="0070637D"/>
    <w:rsid w:val="007063D8"/>
    <w:rsid w:val="00706427"/>
    <w:rsid w:val="0070648E"/>
    <w:rsid w:val="007064B9"/>
    <w:rsid w:val="00706547"/>
    <w:rsid w:val="007065F9"/>
    <w:rsid w:val="007066DC"/>
    <w:rsid w:val="00706831"/>
    <w:rsid w:val="00706960"/>
    <w:rsid w:val="00706979"/>
    <w:rsid w:val="0070698C"/>
    <w:rsid w:val="0070698F"/>
    <w:rsid w:val="00706997"/>
    <w:rsid w:val="00706A03"/>
    <w:rsid w:val="00706A5C"/>
    <w:rsid w:val="00706B2D"/>
    <w:rsid w:val="00706B6D"/>
    <w:rsid w:val="00706BDB"/>
    <w:rsid w:val="00706C21"/>
    <w:rsid w:val="00706CD3"/>
    <w:rsid w:val="00706CF5"/>
    <w:rsid w:val="00706D61"/>
    <w:rsid w:val="00706D70"/>
    <w:rsid w:val="00706D90"/>
    <w:rsid w:val="00706DDE"/>
    <w:rsid w:val="00706E29"/>
    <w:rsid w:val="00706E34"/>
    <w:rsid w:val="00706E5A"/>
    <w:rsid w:val="00706E97"/>
    <w:rsid w:val="00706EEF"/>
    <w:rsid w:val="00706F9F"/>
    <w:rsid w:val="00706FB9"/>
    <w:rsid w:val="00706FFA"/>
    <w:rsid w:val="00707035"/>
    <w:rsid w:val="00707147"/>
    <w:rsid w:val="007071B5"/>
    <w:rsid w:val="007072B3"/>
    <w:rsid w:val="007072D2"/>
    <w:rsid w:val="007072E8"/>
    <w:rsid w:val="00707321"/>
    <w:rsid w:val="007073A3"/>
    <w:rsid w:val="007073C1"/>
    <w:rsid w:val="0070740E"/>
    <w:rsid w:val="0070741A"/>
    <w:rsid w:val="007074F0"/>
    <w:rsid w:val="0070751A"/>
    <w:rsid w:val="0070751F"/>
    <w:rsid w:val="0070752C"/>
    <w:rsid w:val="00707545"/>
    <w:rsid w:val="0070755B"/>
    <w:rsid w:val="00707630"/>
    <w:rsid w:val="007076A0"/>
    <w:rsid w:val="007076BB"/>
    <w:rsid w:val="007077B1"/>
    <w:rsid w:val="007077D0"/>
    <w:rsid w:val="00707827"/>
    <w:rsid w:val="00707840"/>
    <w:rsid w:val="00707862"/>
    <w:rsid w:val="0070788C"/>
    <w:rsid w:val="007078E0"/>
    <w:rsid w:val="007078FD"/>
    <w:rsid w:val="0070793D"/>
    <w:rsid w:val="00707982"/>
    <w:rsid w:val="0070798B"/>
    <w:rsid w:val="00707A0C"/>
    <w:rsid w:val="00707A18"/>
    <w:rsid w:val="00707A27"/>
    <w:rsid w:val="00707AF7"/>
    <w:rsid w:val="00707B1A"/>
    <w:rsid w:val="00707B47"/>
    <w:rsid w:val="00707BA0"/>
    <w:rsid w:val="00707C09"/>
    <w:rsid w:val="00707C17"/>
    <w:rsid w:val="00707CF2"/>
    <w:rsid w:val="00707D7F"/>
    <w:rsid w:val="00707D8E"/>
    <w:rsid w:val="00707DAE"/>
    <w:rsid w:val="00707E36"/>
    <w:rsid w:val="00707E7B"/>
    <w:rsid w:val="00707EA6"/>
    <w:rsid w:val="00707EC8"/>
    <w:rsid w:val="00707F0C"/>
    <w:rsid w:val="00707F8A"/>
    <w:rsid w:val="00710005"/>
    <w:rsid w:val="0071003E"/>
    <w:rsid w:val="0071018E"/>
    <w:rsid w:val="00710190"/>
    <w:rsid w:val="00710198"/>
    <w:rsid w:val="007101A0"/>
    <w:rsid w:val="007101A5"/>
    <w:rsid w:val="007101C9"/>
    <w:rsid w:val="007101FB"/>
    <w:rsid w:val="00710221"/>
    <w:rsid w:val="00710281"/>
    <w:rsid w:val="00710423"/>
    <w:rsid w:val="0071044F"/>
    <w:rsid w:val="007104E5"/>
    <w:rsid w:val="007104FB"/>
    <w:rsid w:val="0071051D"/>
    <w:rsid w:val="00710817"/>
    <w:rsid w:val="00710823"/>
    <w:rsid w:val="00710855"/>
    <w:rsid w:val="007108D3"/>
    <w:rsid w:val="0071095E"/>
    <w:rsid w:val="00710A08"/>
    <w:rsid w:val="00710A22"/>
    <w:rsid w:val="00710A9C"/>
    <w:rsid w:val="00710ABA"/>
    <w:rsid w:val="00710B99"/>
    <w:rsid w:val="00710CF7"/>
    <w:rsid w:val="00710CFB"/>
    <w:rsid w:val="00710D22"/>
    <w:rsid w:val="00710DBF"/>
    <w:rsid w:val="00710DD1"/>
    <w:rsid w:val="00710F4A"/>
    <w:rsid w:val="00710F90"/>
    <w:rsid w:val="007110B1"/>
    <w:rsid w:val="007110DD"/>
    <w:rsid w:val="0071114E"/>
    <w:rsid w:val="007111BD"/>
    <w:rsid w:val="007111BF"/>
    <w:rsid w:val="007111C6"/>
    <w:rsid w:val="007111F1"/>
    <w:rsid w:val="007112DA"/>
    <w:rsid w:val="007112DF"/>
    <w:rsid w:val="0071131E"/>
    <w:rsid w:val="00711369"/>
    <w:rsid w:val="0071136B"/>
    <w:rsid w:val="00711379"/>
    <w:rsid w:val="00711487"/>
    <w:rsid w:val="00711490"/>
    <w:rsid w:val="007114A9"/>
    <w:rsid w:val="007114AB"/>
    <w:rsid w:val="007114DE"/>
    <w:rsid w:val="007114E4"/>
    <w:rsid w:val="00711611"/>
    <w:rsid w:val="00711614"/>
    <w:rsid w:val="00711627"/>
    <w:rsid w:val="007116C5"/>
    <w:rsid w:val="007116CE"/>
    <w:rsid w:val="00711726"/>
    <w:rsid w:val="00711776"/>
    <w:rsid w:val="00711785"/>
    <w:rsid w:val="007117E7"/>
    <w:rsid w:val="00711808"/>
    <w:rsid w:val="0071183D"/>
    <w:rsid w:val="00711848"/>
    <w:rsid w:val="0071186D"/>
    <w:rsid w:val="007118D7"/>
    <w:rsid w:val="007118F8"/>
    <w:rsid w:val="0071192F"/>
    <w:rsid w:val="00711953"/>
    <w:rsid w:val="00711A4E"/>
    <w:rsid w:val="00711A83"/>
    <w:rsid w:val="00711AC3"/>
    <w:rsid w:val="00711AD7"/>
    <w:rsid w:val="00711B34"/>
    <w:rsid w:val="00711B78"/>
    <w:rsid w:val="00711C06"/>
    <w:rsid w:val="00711C38"/>
    <w:rsid w:val="00711C51"/>
    <w:rsid w:val="00711C66"/>
    <w:rsid w:val="00711C6C"/>
    <w:rsid w:val="00711CB5"/>
    <w:rsid w:val="00711D04"/>
    <w:rsid w:val="00711D36"/>
    <w:rsid w:val="00711DD0"/>
    <w:rsid w:val="00711DFB"/>
    <w:rsid w:val="00711E26"/>
    <w:rsid w:val="00711E5B"/>
    <w:rsid w:val="00711EBB"/>
    <w:rsid w:val="00711F6A"/>
    <w:rsid w:val="00711FDF"/>
    <w:rsid w:val="00712048"/>
    <w:rsid w:val="0071208C"/>
    <w:rsid w:val="007120A2"/>
    <w:rsid w:val="007120D7"/>
    <w:rsid w:val="00712161"/>
    <w:rsid w:val="007121E2"/>
    <w:rsid w:val="00712220"/>
    <w:rsid w:val="00712249"/>
    <w:rsid w:val="0071226C"/>
    <w:rsid w:val="007122C2"/>
    <w:rsid w:val="007122E3"/>
    <w:rsid w:val="007123A9"/>
    <w:rsid w:val="007123DF"/>
    <w:rsid w:val="00712485"/>
    <w:rsid w:val="00712535"/>
    <w:rsid w:val="007125B7"/>
    <w:rsid w:val="007125C5"/>
    <w:rsid w:val="00712602"/>
    <w:rsid w:val="0071264D"/>
    <w:rsid w:val="00712657"/>
    <w:rsid w:val="00712665"/>
    <w:rsid w:val="00712737"/>
    <w:rsid w:val="00712776"/>
    <w:rsid w:val="0071278F"/>
    <w:rsid w:val="00712810"/>
    <w:rsid w:val="0071284B"/>
    <w:rsid w:val="00712855"/>
    <w:rsid w:val="007128D6"/>
    <w:rsid w:val="007128E4"/>
    <w:rsid w:val="0071295D"/>
    <w:rsid w:val="00712AD1"/>
    <w:rsid w:val="00712BCB"/>
    <w:rsid w:val="00712C1F"/>
    <w:rsid w:val="00712C7A"/>
    <w:rsid w:val="00712C8B"/>
    <w:rsid w:val="00712CAA"/>
    <w:rsid w:val="00712CF4"/>
    <w:rsid w:val="00712D0A"/>
    <w:rsid w:val="00712D31"/>
    <w:rsid w:val="00712D45"/>
    <w:rsid w:val="00712D92"/>
    <w:rsid w:val="00712DC3"/>
    <w:rsid w:val="00712E01"/>
    <w:rsid w:val="00712E02"/>
    <w:rsid w:val="00712E2A"/>
    <w:rsid w:val="00712E62"/>
    <w:rsid w:val="00712E6F"/>
    <w:rsid w:val="00712E8D"/>
    <w:rsid w:val="00712EA0"/>
    <w:rsid w:val="00712FA9"/>
    <w:rsid w:val="00712FE0"/>
    <w:rsid w:val="00712FF9"/>
    <w:rsid w:val="00713057"/>
    <w:rsid w:val="0071305A"/>
    <w:rsid w:val="007130C5"/>
    <w:rsid w:val="007131AC"/>
    <w:rsid w:val="0071325D"/>
    <w:rsid w:val="00713292"/>
    <w:rsid w:val="007133FC"/>
    <w:rsid w:val="00713412"/>
    <w:rsid w:val="00713468"/>
    <w:rsid w:val="0071347B"/>
    <w:rsid w:val="007134BC"/>
    <w:rsid w:val="00713590"/>
    <w:rsid w:val="00713692"/>
    <w:rsid w:val="007136D1"/>
    <w:rsid w:val="00713724"/>
    <w:rsid w:val="007137BB"/>
    <w:rsid w:val="007137C8"/>
    <w:rsid w:val="00713814"/>
    <w:rsid w:val="00713821"/>
    <w:rsid w:val="00713831"/>
    <w:rsid w:val="0071383E"/>
    <w:rsid w:val="0071398C"/>
    <w:rsid w:val="007139EA"/>
    <w:rsid w:val="00713A27"/>
    <w:rsid w:val="00713A2A"/>
    <w:rsid w:val="00713A8D"/>
    <w:rsid w:val="00713BA3"/>
    <w:rsid w:val="00713BDB"/>
    <w:rsid w:val="00713BFB"/>
    <w:rsid w:val="00713C18"/>
    <w:rsid w:val="00713C52"/>
    <w:rsid w:val="00713DE6"/>
    <w:rsid w:val="00713E05"/>
    <w:rsid w:val="00713E5E"/>
    <w:rsid w:val="00713EA2"/>
    <w:rsid w:val="00713F22"/>
    <w:rsid w:val="00713F72"/>
    <w:rsid w:val="00713FFA"/>
    <w:rsid w:val="00713FFC"/>
    <w:rsid w:val="00714012"/>
    <w:rsid w:val="00714093"/>
    <w:rsid w:val="0071418E"/>
    <w:rsid w:val="007141D8"/>
    <w:rsid w:val="00714229"/>
    <w:rsid w:val="007142B9"/>
    <w:rsid w:val="007142BA"/>
    <w:rsid w:val="007142CF"/>
    <w:rsid w:val="007142E5"/>
    <w:rsid w:val="007143A2"/>
    <w:rsid w:val="007143CE"/>
    <w:rsid w:val="0071446C"/>
    <w:rsid w:val="00714497"/>
    <w:rsid w:val="00714511"/>
    <w:rsid w:val="0071452E"/>
    <w:rsid w:val="007145A3"/>
    <w:rsid w:val="007145E1"/>
    <w:rsid w:val="00714622"/>
    <w:rsid w:val="00714688"/>
    <w:rsid w:val="007146AF"/>
    <w:rsid w:val="0071478B"/>
    <w:rsid w:val="007147B6"/>
    <w:rsid w:val="007147D9"/>
    <w:rsid w:val="007147E9"/>
    <w:rsid w:val="0071483F"/>
    <w:rsid w:val="00714877"/>
    <w:rsid w:val="0071488F"/>
    <w:rsid w:val="007148DD"/>
    <w:rsid w:val="00714945"/>
    <w:rsid w:val="00714963"/>
    <w:rsid w:val="00714A70"/>
    <w:rsid w:val="00714A84"/>
    <w:rsid w:val="00714B2C"/>
    <w:rsid w:val="00714F1C"/>
    <w:rsid w:val="00715063"/>
    <w:rsid w:val="00715163"/>
    <w:rsid w:val="00715201"/>
    <w:rsid w:val="0071520A"/>
    <w:rsid w:val="00715270"/>
    <w:rsid w:val="007152B4"/>
    <w:rsid w:val="00715364"/>
    <w:rsid w:val="007153E8"/>
    <w:rsid w:val="007153F8"/>
    <w:rsid w:val="007154FE"/>
    <w:rsid w:val="00715503"/>
    <w:rsid w:val="00715570"/>
    <w:rsid w:val="00715571"/>
    <w:rsid w:val="0071557D"/>
    <w:rsid w:val="007155E9"/>
    <w:rsid w:val="007155FB"/>
    <w:rsid w:val="00715630"/>
    <w:rsid w:val="00715668"/>
    <w:rsid w:val="007156BA"/>
    <w:rsid w:val="007156F7"/>
    <w:rsid w:val="007157B2"/>
    <w:rsid w:val="00715870"/>
    <w:rsid w:val="0071597F"/>
    <w:rsid w:val="007159C1"/>
    <w:rsid w:val="007159E8"/>
    <w:rsid w:val="00715A35"/>
    <w:rsid w:val="00715A3C"/>
    <w:rsid w:val="00715AD8"/>
    <w:rsid w:val="00715B28"/>
    <w:rsid w:val="00715BAC"/>
    <w:rsid w:val="00715BEE"/>
    <w:rsid w:val="00715C72"/>
    <w:rsid w:val="00715D02"/>
    <w:rsid w:val="00715D22"/>
    <w:rsid w:val="00715D75"/>
    <w:rsid w:val="00715DE0"/>
    <w:rsid w:val="00715E65"/>
    <w:rsid w:val="00715E74"/>
    <w:rsid w:val="00715F87"/>
    <w:rsid w:val="00715FAB"/>
    <w:rsid w:val="00716035"/>
    <w:rsid w:val="00716059"/>
    <w:rsid w:val="00716112"/>
    <w:rsid w:val="00716159"/>
    <w:rsid w:val="007161C2"/>
    <w:rsid w:val="0071622A"/>
    <w:rsid w:val="0071628C"/>
    <w:rsid w:val="0071635C"/>
    <w:rsid w:val="00716362"/>
    <w:rsid w:val="00716387"/>
    <w:rsid w:val="007163C5"/>
    <w:rsid w:val="00716511"/>
    <w:rsid w:val="00716531"/>
    <w:rsid w:val="00716571"/>
    <w:rsid w:val="007165B5"/>
    <w:rsid w:val="0071667E"/>
    <w:rsid w:val="007166A3"/>
    <w:rsid w:val="0071675A"/>
    <w:rsid w:val="00716791"/>
    <w:rsid w:val="0071679E"/>
    <w:rsid w:val="007167E7"/>
    <w:rsid w:val="00716816"/>
    <w:rsid w:val="00716836"/>
    <w:rsid w:val="00716840"/>
    <w:rsid w:val="0071684C"/>
    <w:rsid w:val="00716868"/>
    <w:rsid w:val="0071696E"/>
    <w:rsid w:val="007169AC"/>
    <w:rsid w:val="007169C3"/>
    <w:rsid w:val="00716A53"/>
    <w:rsid w:val="00716A80"/>
    <w:rsid w:val="00716AF8"/>
    <w:rsid w:val="00716C41"/>
    <w:rsid w:val="00716C71"/>
    <w:rsid w:val="00716CB6"/>
    <w:rsid w:val="00716DCD"/>
    <w:rsid w:val="00716DF8"/>
    <w:rsid w:val="00716E09"/>
    <w:rsid w:val="00716E79"/>
    <w:rsid w:val="00716EE8"/>
    <w:rsid w:val="00716EEF"/>
    <w:rsid w:val="00716F1B"/>
    <w:rsid w:val="00716F6D"/>
    <w:rsid w:val="00716FA4"/>
    <w:rsid w:val="00717067"/>
    <w:rsid w:val="0071710A"/>
    <w:rsid w:val="00717114"/>
    <w:rsid w:val="00717132"/>
    <w:rsid w:val="0071726A"/>
    <w:rsid w:val="00717357"/>
    <w:rsid w:val="00717381"/>
    <w:rsid w:val="007173FB"/>
    <w:rsid w:val="00717410"/>
    <w:rsid w:val="007174A7"/>
    <w:rsid w:val="0071750A"/>
    <w:rsid w:val="00717537"/>
    <w:rsid w:val="007175AC"/>
    <w:rsid w:val="007175B9"/>
    <w:rsid w:val="0071763F"/>
    <w:rsid w:val="00717644"/>
    <w:rsid w:val="0071766A"/>
    <w:rsid w:val="0071772E"/>
    <w:rsid w:val="00717778"/>
    <w:rsid w:val="00717789"/>
    <w:rsid w:val="00717799"/>
    <w:rsid w:val="007177CE"/>
    <w:rsid w:val="00717837"/>
    <w:rsid w:val="00717932"/>
    <w:rsid w:val="0071793D"/>
    <w:rsid w:val="0071796A"/>
    <w:rsid w:val="00717972"/>
    <w:rsid w:val="007179D6"/>
    <w:rsid w:val="007179FA"/>
    <w:rsid w:val="00717A0F"/>
    <w:rsid w:val="00717A7A"/>
    <w:rsid w:val="00717B6C"/>
    <w:rsid w:val="00717BB4"/>
    <w:rsid w:val="00717BD8"/>
    <w:rsid w:val="00717C3C"/>
    <w:rsid w:val="00717C3D"/>
    <w:rsid w:val="00717CF4"/>
    <w:rsid w:val="00717CFA"/>
    <w:rsid w:val="00717D1A"/>
    <w:rsid w:val="00717D6F"/>
    <w:rsid w:val="00717D72"/>
    <w:rsid w:val="00717DDD"/>
    <w:rsid w:val="00717EE8"/>
    <w:rsid w:val="00717EFA"/>
    <w:rsid w:val="00717F62"/>
    <w:rsid w:val="0072013E"/>
    <w:rsid w:val="007202B8"/>
    <w:rsid w:val="007202EA"/>
    <w:rsid w:val="0072035B"/>
    <w:rsid w:val="00720372"/>
    <w:rsid w:val="007203E4"/>
    <w:rsid w:val="007203F5"/>
    <w:rsid w:val="007203F6"/>
    <w:rsid w:val="00720505"/>
    <w:rsid w:val="00720549"/>
    <w:rsid w:val="0072056E"/>
    <w:rsid w:val="00720649"/>
    <w:rsid w:val="007206DC"/>
    <w:rsid w:val="007206F2"/>
    <w:rsid w:val="007206FE"/>
    <w:rsid w:val="0072073E"/>
    <w:rsid w:val="0072086D"/>
    <w:rsid w:val="0072090E"/>
    <w:rsid w:val="00720998"/>
    <w:rsid w:val="007209DA"/>
    <w:rsid w:val="00720A88"/>
    <w:rsid w:val="00720B61"/>
    <w:rsid w:val="00720DAD"/>
    <w:rsid w:val="00720DDC"/>
    <w:rsid w:val="00720E0F"/>
    <w:rsid w:val="00720E29"/>
    <w:rsid w:val="00720E4E"/>
    <w:rsid w:val="00720E52"/>
    <w:rsid w:val="00720E59"/>
    <w:rsid w:val="00720F35"/>
    <w:rsid w:val="00720F45"/>
    <w:rsid w:val="00720F86"/>
    <w:rsid w:val="00721069"/>
    <w:rsid w:val="007210B1"/>
    <w:rsid w:val="007210F4"/>
    <w:rsid w:val="007211DD"/>
    <w:rsid w:val="00721211"/>
    <w:rsid w:val="0072121A"/>
    <w:rsid w:val="00721277"/>
    <w:rsid w:val="00721332"/>
    <w:rsid w:val="0072142B"/>
    <w:rsid w:val="007214BB"/>
    <w:rsid w:val="00721548"/>
    <w:rsid w:val="0072156B"/>
    <w:rsid w:val="007215CE"/>
    <w:rsid w:val="007216CD"/>
    <w:rsid w:val="007217D9"/>
    <w:rsid w:val="00721820"/>
    <w:rsid w:val="00721869"/>
    <w:rsid w:val="00721877"/>
    <w:rsid w:val="007218B4"/>
    <w:rsid w:val="007219CE"/>
    <w:rsid w:val="00721A28"/>
    <w:rsid w:val="00721A6B"/>
    <w:rsid w:val="00721C03"/>
    <w:rsid w:val="00721D35"/>
    <w:rsid w:val="00721D44"/>
    <w:rsid w:val="00721DB6"/>
    <w:rsid w:val="00721DCA"/>
    <w:rsid w:val="00721F8B"/>
    <w:rsid w:val="00721F90"/>
    <w:rsid w:val="007220A4"/>
    <w:rsid w:val="00722173"/>
    <w:rsid w:val="00722175"/>
    <w:rsid w:val="00722212"/>
    <w:rsid w:val="00722228"/>
    <w:rsid w:val="007222C7"/>
    <w:rsid w:val="007223A1"/>
    <w:rsid w:val="007223AE"/>
    <w:rsid w:val="00722447"/>
    <w:rsid w:val="00722469"/>
    <w:rsid w:val="0072248F"/>
    <w:rsid w:val="007224A9"/>
    <w:rsid w:val="007224BA"/>
    <w:rsid w:val="00722591"/>
    <w:rsid w:val="007225D7"/>
    <w:rsid w:val="00722634"/>
    <w:rsid w:val="007226AA"/>
    <w:rsid w:val="007226E5"/>
    <w:rsid w:val="007227EC"/>
    <w:rsid w:val="00722903"/>
    <w:rsid w:val="00722907"/>
    <w:rsid w:val="007229C4"/>
    <w:rsid w:val="00722A36"/>
    <w:rsid w:val="00722AAD"/>
    <w:rsid w:val="00722B14"/>
    <w:rsid w:val="00722B4E"/>
    <w:rsid w:val="00722BA2"/>
    <w:rsid w:val="00722BB5"/>
    <w:rsid w:val="00722BE7"/>
    <w:rsid w:val="00722C06"/>
    <w:rsid w:val="00722C82"/>
    <w:rsid w:val="00722CBF"/>
    <w:rsid w:val="00722D50"/>
    <w:rsid w:val="00722DC1"/>
    <w:rsid w:val="00722DDE"/>
    <w:rsid w:val="00722E0F"/>
    <w:rsid w:val="00722E1E"/>
    <w:rsid w:val="00722EB4"/>
    <w:rsid w:val="00722EFE"/>
    <w:rsid w:val="00722FC2"/>
    <w:rsid w:val="00722FF1"/>
    <w:rsid w:val="007230A4"/>
    <w:rsid w:val="007230CE"/>
    <w:rsid w:val="007230D6"/>
    <w:rsid w:val="0072317C"/>
    <w:rsid w:val="00723316"/>
    <w:rsid w:val="0072335E"/>
    <w:rsid w:val="00723381"/>
    <w:rsid w:val="007233A7"/>
    <w:rsid w:val="00723409"/>
    <w:rsid w:val="00723475"/>
    <w:rsid w:val="007235D7"/>
    <w:rsid w:val="007235EE"/>
    <w:rsid w:val="0072360B"/>
    <w:rsid w:val="0072374D"/>
    <w:rsid w:val="0072377D"/>
    <w:rsid w:val="0072382D"/>
    <w:rsid w:val="0072386E"/>
    <w:rsid w:val="00723896"/>
    <w:rsid w:val="00723999"/>
    <w:rsid w:val="00723AE1"/>
    <w:rsid w:val="00723B27"/>
    <w:rsid w:val="00723B9B"/>
    <w:rsid w:val="00723BC9"/>
    <w:rsid w:val="00723C8F"/>
    <w:rsid w:val="00723CA9"/>
    <w:rsid w:val="00723CE5"/>
    <w:rsid w:val="00723CF9"/>
    <w:rsid w:val="00723D00"/>
    <w:rsid w:val="00723D24"/>
    <w:rsid w:val="00723D7A"/>
    <w:rsid w:val="00723D91"/>
    <w:rsid w:val="00723E48"/>
    <w:rsid w:val="00723EB9"/>
    <w:rsid w:val="00723F17"/>
    <w:rsid w:val="00723F1B"/>
    <w:rsid w:val="00723F48"/>
    <w:rsid w:val="00724009"/>
    <w:rsid w:val="0072401B"/>
    <w:rsid w:val="007240A7"/>
    <w:rsid w:val="007240B5"/>
    <w:rsid w:val="007240ED"/>
    <w:rsid w:val="00724187"/>
    <w:rsid w:val="0072426F"/>
    <w:rsid w:val="007242CD"/>
    <w:rsid w:val="007242CE"/>
    <w:rsid w:val="007242EA"/>
    <w:rsid w:val="007242FC"/>
    <w:rsid w:val="00724334"/>
    <w:rsid w:val="0072433E"/>
    <w:rsid w:val="00724365"/>
    <w:rsid w:val="007243C4"/>
    <w:rsid w:val="0072440F"/>
    <w:rsid w:val="0072445D"/>
    <w:rsid w:val="00724464"/>
    <w:rsid w:val="0072448D"/>
    <w:rsid w:val="007244D1"/>
    <w:rsid w:val="0072456C"/>
    <w:rsid w:val="00724587"/>
    <w:rsid w:val="0072459E"/>
    <w:rsid w:val="00724627"/>
    <w:rsid w:val="00724651"/>
    <w:rsid w:val="007246B6"/>
    <w:rsid w:val="007246C5"/>
    <w:rsid w:val="007246E3"/>
    <w:rsid w:val="007246F2"/>
    <w:rsid w:val="00724707"/>
    <w:rsid w:val="0072476F"/>
    <w:rsid w:val="007247C7"/>
    <w:rsid w:val="0072482F"/>
    <w:rsid w:val="007248CF"/>
    <w:rsid w:val="007249BB"/>
    <w:rsid w:val="00724A02"/>
    <w:rsid w:val="00724A92"/>
    <w:rsid w:val="00724AE1"/>
    <w:rsid w:val="00724BFF"/>
    <w:rsid w:val="00724D30"/>
    <w:rsid w:val="00724DBF"/>
    <w:rsid w:val="00724DE8"/>
    <w:rsid w:val="00724DFA"/>
    <w:rsid w:val="00724EBF"/>
    <w:rsid w:val="00724EF0"/>
    <w:rsid w:val="00724F36"/>
    <w:rsid w:val="00724F5A"/>
    <w:rsid w:val="00724F68"/>
    <w:rsid w:val="00724F72"/>
    <w:rsid w:val="00724F82"/>
    <w:rsid w:val="0072500A"/>
    <w:rsid w:val="00725117"/>
    <w:rsid w:val="007251DE"/>
    <w:rsid w:val="00725241"/>
    <w:rsid w:val="007252C6"/>
    <w:rsid w:val="00725360"/>
    <w:rsid w:val="007253C9"/>
    <w:rsid w:val="00725485"/>
    <w:rsid w:val="00725496"/>
    <w:rsid w:val="007254E3"/>
    <w:rsid w:val="00725564"/>
    <w:rsid w:val="0072557C"/>
    <w:rsid w:val="00725591"/>
    <w:rsid w:val="007255D0"/>
    <w:rsid w:val="007255E8"/>
    <w:rsid w:val="007255F3"/>
    <w:rsid w:val="00725624"/>
    <w:rsid w:val="00725737"/>
    <w:rsid w:val="00725750"/>
    <w:rsid w:val="007257C7"/>
    <w:rsid w:val="007257E4"/>
    <w:rsid w:val="007257EA"/>
    <w:rsid w:val="00725822"/>
    <w:rsid w:val="00725834"/>
    <w:rsid w:val="00725876"/>
    <w:rsid w:val="00725912"/>
    <w:rsid w:val="00725967"/>
    <w:rsid w:val="007259BA"/>
    <w:rsid w:val="007259F5"/>
    <w:rsid w:val="00725A53"/>
    <w:rsid w:val="00725B8B"/>
    <w:rsid w:val="00725C21"/>
    <w:rsid w:val="00725D04"/>
    <w:rsid w:val="00725D2B"/>
    <w:rsid w:val="00725D2C"/>
    <w:rsid w:val="00725DA0"/>
    <w:rsid w:val="00725E00"/>
    <w:rsid w:val="00725EBB"/>
    <w:rsid w:val="00725ED5"/>
    <w:rsid w:val="00725EEF"/>
    <w:rsid w:val="00725FAE"/>
    <w:rsid w:val="00726006"/>
    <w:rsid w:val="00726091"/>
    <w:rsid w:val="007261A3"/>
    <w:rsid w:val="007261BF"/>
    <w:rsid w:val="007261CB"/>
    <w:rsid w:val="007261DE"/>
    <w:rsid w:val="00726259"/>
    <w:rsid w:val="00726270"/>
    <w:rsid w:val="007262AF"/>
    <w:rsid w:val="007263CF"/>
    <w:rsid w:val="007263E2"/>
    <w:rsid w:val="00726407"/>
    <w:rsid w:val="00726456"/>
    <w:rsid w:val="007264E8"/>
    <w:rsid w:val="00726530"/>
    <w:rsid w:val="0072659B"/>
    <w:rsid w:val="007265AE"/>
    <w:rsid w:val="0072665D"/>
    <w:rsid w:val="00726674"/>
    <w:rsid w:val="007266E0"/>
    <w:rsid w:val="00726701"/>
    <w:rsid w:val="00726731"/>
    <w:rsid w:val="00726780"/>
    <w:rsid w:val="00726799"/>
    <w:rsid w:val="007267C9"/>
    <w:rsid w:val="00726869"/>
    <w:rsid w:val="0072686B"/>
    <w:rsid w:val="0072696C"/>
    <w:rsid w:val="007269A0"/>
    <w:rsid w:val="007269C8"/>
    <w:rsid w:val="007269D0"/>
    <w:rsid w:val="007269DD"/>
    <w:rsid w:val="007269F6"/>
    <w:rsid w:val="007269FB"/>
    <w:rsid w:val="00726A4F"/>
    <w:rsid w:val="00726A5F"/>
    <w:rsid w:val="00726A60"/>
    <w:rsid w:val="00726AB2"/>
    <w:rsid w:val="00726B02"/>
    <w:rsid w:val="00726B43"/>
    <w:rsid w:val="00726BF5"/>
    <w:rsid w:val="00726C08"/>
    <w:rsid w:val="00726D17"/>
    <w:rsid w:val="00726D52"/>
    <w:rsid w:val="00726DAE"/>
    <w:rsid w:val="00726DC2"/>
    <w:rsid w:val="00726E11"/>
    <w:rsid w:val="00726E67"/>
    <w:rsid w:val="00726F74"/>
    <w:rsid w:val="00726FBA"/>
    <w:rsid w:val="0072708E"/>
    <w:rsid w:val="007270F3"/>
    <w:rsid w:val="00727106"/>
    <w:rsid w:val="00727125"/>
    <w:rsid w:val="00727150"/>
    <w:rsid w:val="0072726D"/>
    <w:rsid w:val="007272E2"/>
    <w:rsid w:val="007272E9"/>
    <w:rsid w:val="007272F6"/>
    <w:rsid w:val="007272FC"/>
    <w:rsid w:val="0072731D"/>
    <w:rsid w:val="00727488"/>
    <w:rsid w:val="0072757A"/>
    <w:rsid w:val="00727603"/>
    <w:rsid w:val="00727616"/>
    <w:rsid w:val="007276B9"/>
    <w:rsid w:val="00727713"/>
    <w:rsid w:val="0072775E"/>
    <w:rsid w:val="007277B1"/>
    <w:rsid w:val="00727846"/>
    <w:rsid w:val="00727851"/>
    <w:rsid w:val="00727899"/>
    <w:rsid w:val="00727922"/>
    <w:rsid w:val="00727B47"/>
    <w:rsid w:val="00727B89"/>
    <w:rsid w:val="00727C84"/>
    <w:rsid w:val="00727CC9"/>
    <w:rsid w:val="00727D59"/>
    <w:rsid w:val="00727EAE"/>
    <w:rsid w:val="00727F25"/>
    <w:rsid w:val="00727FAE"/>
    <w:rsid w:val="00727FB4"/>
    <w:rsid w:val="00730039"/>
    <w:rsid w:val="007300E2"/>
    <w:rsid w:val="007300F7"/>
    <w:rsid w:val="0073016A"/>
    <w:rsid w:val="00730253"/>
    <w:rsid w:val="007302D2"/>
    <w:rsid w:val="007302FA"/>
    <w:rsid w:val="007302FD"/>
    <w:rsid w:val="00730429"/>
    <w:rsid w:val="00730438"/>
    <w:rsid w:val="00730456"/>
    <w:rsid w:val="00730461"/>
    <w:rsid w:val="0073047A"/>
    <w:rsid w:val="0073049B"/>
    <w:rsid w:val="007304E3"/>
    <w:rsid w:val="007304F9"/>
    <w:rsid w:val="0073061D"/>
    <w:rsid w:val="00730634"/>
    <w:rsid w:val="0073064E"/>
    <w:rsid w:val="00730682"/>
    <w:rsid w:val="007306AD"/>
    <w:rsid w:val="007306B6"/>
    <w:rsid w:val="00730782"/>
    <w:rsid w:val="007307BB"/>
    <w:rsid w:val="0073090E"/>
    <w:rsid w:val="0073095A"/>
    <w:rsid w:val="00730A10"/>
    <w:rsid w:val="00730A9F"/>
    <w:rsid w:val="00730ACA"/>
    <w:rsid w:val="00730B0A"/>
    <w:rsid w:val="00730C64"/>
    <w:rsid w:val="00730C76"/>
    <w:rsid w:val="00730D49"/>
    <w:rsid w:val="00730D4A"/>
    <w:rsid w:val="00730E25"/>
    <w:rsid w:val="00730E62"/>
    <w:rsid w:val="00730F3B"/>
    <w:rsid w:val="00730F85"/>
    <w:rsid w:val="00730FC0"/>
    <w:rsid w:val="00730FF1"/>
    <w:rsid w:val="0073101F"/>
    <w:rsid w:val="00731135"/>
    <w:rsid w:val="00731201"/>
    <w:rsid w:val="00731210"/>
    <w:rsid w:val="00731278"/>
    <w:rsid w:val="0073131C"/>
    <w:rsid w:val="007313DE"/>
    <w:rsid w:val="00731445"/>
    <w:rsid w:val="00731472"/>
    <w:rsid w:val="00731543"/>
    <w:rsid w:val="007315BE"/>
    <w:rsid w:val="0073163E"/>
    <w:rsid w:val="00731643"/>
    <w:rsid w:val="00731666"/>
    <w:rsid w:val="00731684"/>
    <w:rsid w:val="0073168B"/>
    <w:rsid w:val="007316C9"/>
    <w:rsid w:val="00731716"/>
    <w:rsid w:val="0073171C"/>
    <w:rsid w:val="0073172A"/>
    <w:rsid w:val="00731749"/>
    <w:rsid w:val="0073176E"/>
    <w:rsid w:val="007317CA"/>
    <w:rsid w:val="007317D4"/>
    <w:rsid w:val="00731810"/>
    <w:rsid w:val="00731824"/>
    <w:rsid w:val="007318A0"/>
    <w:rsid w:val="007318DD"/>
    <w:rsid w:val="0073199B"/>
    <w:rsid w:val="007319FB"/>
    <w:rsid w:val="00731A2F"/>
    <w:rsid w:val="00731A7C"/>
    <w:rsid w:val="00731AF8"/>
    <w:rsid w:val="00731BBD"/>
    <w:rsid w:val="00731C72"/>
    <w:rsid w:val="00731C8F"/>
    <w:rsid w:val="00731CA2"/>
    <w:rsid w:val="00731D19"/>
    <w:rsid w:val="00731E38"/>
    <w:rsid w:val="00731E9B"/>
    <w:rsid w:val="00731EA4"/>
    <w:rsid w:val="00731F21"/>
    <w:rsid w:val="00731F2A"/>
    <w:rsid w:val="00731F2D"/>
    <w:rsid w:val="00732027"/>
    <w:rsid w:val="0073204D"/>
    <w:rsid w:val="0073205E"/>
    <w:rsid w:val="007320AD"/>
    <w:rsid w:val="0073213D"/>
    <w:rsid w:val="00732159"/>
    <w:rsid w:val="00732166"/>
    <w:rsid w:val="007321C1"/>
    <w:rsid w:val="007322A4"/>
    <w:rsid w:val="007323DE"/>
    <w:rsid w:val="007323F4"/>
    <w:rsid w:val="0073244B"/>
    <w:rsid w:val="007324E6"/>
    <w:rsid w:val="0073258C"/>
    <w:rsid w:val="007325F8"/>
    <w:rsid w:val="00732626"/>
    <w:rsid w:val="007327B8"/>
    <w:rsid w:val="00732812"/>
    <w:rsid w:val="00732869"/>
    <w:rsid w:val="007328A2"/>
    <w:rsid w:val="007328D9"/>
    <w:rsid w:val="00732A4C"/>
    <w:rsid w:val="00732AA4"/>
    <w:rsid w:val="00732AC0"/>
    <w:rsid w:val="00732AE5"/>
    <w:rsid w:val="00732BAD"/>
    <w:rsid w:val="00732BD7"/>
    <w:rsid w:val="00732BF1"/>
    <w:rsid w:val="00732C8B"/>
    <w:rsid w:val="00732CC7"/>
    <w:rsid w:val="00732DDF"/>
    <w:rsid w:val="00732E30"/>
    <w:rsid w:val="00732EF2"/>
    <w:rsid w:val="00732F52"/>
    <w:rsid w:val="00732F9B"/>
    <w:rsid w:val="00732FB3"/>
    <w:rsid w:val="00733033"/>
    <w:rsid w:val="0073303D"/>
    <w:rsid w:val="00733083"/>
    <w:rsid w:val="00733107"/>
    <w:rsid w:val="0073320A"/>
    <w:rsid w:val="007332B1"/>
    <w:rsid w:val="007332BB"/>
    <w:rsid w:val="007332E1"/>
    <w:rsid w:val="007332E2"/>
    <w:rsid w:val="007332EE"/>
    <w:rsid w:val="00733350"/>
    <w:rsid w:val="00733375"/>
    <w:rsid w:val="007333A9"/>
    <w:rsid w:val="007334BB"/>
    <w:rsid w:val="0073354B"/>
    <w:rsid w:val="00733583"/>
    <w:rsid w:val="007335E9"/>
    <w:rsid w:val="0073364E"/>
    <w:rsid w:val="0073368B"/>
    <w:rsid w:val="007336D0"/>
    <w:rsid w:val="007337B2"/>
    <w:rsid w:val="00733807"/>
    <w:rsid w:val="00733831"/>
    <w:rsid w:val="00733853"/>
    <w:rsid w:val="007338A9"/>
    <w:rsid w:val="00733955"/>
    <w:rsid w:val="0073395B"/>
    <w:rsid w:val="00733961"/>
    <w:rsid w:val="007339BF"/>
    <w:rsid w:val="007339EC"/>
    <w:rsid w:val="00733A1C"/>
    <w:rsid w:val="00733B90"/>
    <w:rsid w:val="00733BCF"/>
    <w:rsid w:val="00733BF0"/>
    <w:rsid w:val="00733C2E"/>
    <w:rsid w:val="00733C6C"/>
    <w:rsid w:val="00733D38"/>
    <w:rsid w:val="00733D89"/>
    <w:rsid w:val="00733DE9"/>
    <w:rsid w:val="00733EC0"/>
    <w:rsid w:val="00733EC1"/>
    <w:rsid w:val="0073400E"/>
    <w:rsid w:val="0073406E"/>
    <w:rsid w:val="00734222"/>
    <w:rsid w:val="00734264"/>
    <w:rsid w:val="00734279"/>
    <w:rsid w:val="007342BB"/>
    <w:rsid w:val="00734302"/>
    <w:rsid w:val="007343C9"/>
    <w:rsid w:val="007343FC"/>
    <w:rsid w:val="0073446A"/>
    <w:rsid w:val="00734482"/>
    <w:rsid w:val="00734505"/>
    <w:rsid w:val="00734518"/>
    <w:rsid w:val="00734546"/>
    <w:rsid w:val="0073454E"/>
    <w:rsid w:val="007345F3"/>
    <w:rsid w:val="007346C0"/>
    <w:rsid w:val="007346DC"/>
    <w:rsid w:val="007346F9"/>
    <w:rsid w:val="00734703"/>
    <w:rsid w:val="00734803"/>
    <w:rsid w:val="00734836"/>
    <w:rsid w:val="00734903"/>
    <w:rsid w:val="00734921"/>
    <w:rsid w:val="00734923"/>
    <w:rsid w:val="00734933"/>
    <w:rsid w:val="00734941"/>
    <w:rsid w:val="00734999"/>
    <w:rsid w:val="0073499C"/>
    <w:rsid w:val="007349D3"/>
    <w:rsid w:val="00734A18"/>
    <w:rsid w:val="00734A85"/>
    <w:rsid w:val="00734BBC"/>
    <w:rsid w:val="00734BFC"/>
    <w:rsid w:val="00734C58"/>
    <w:rsid w:val="00734C75"/>
    <w:rsid w:val="00734CF1"/>
    <w:rsid w:val="00734D10"/>
    <w:rsid w:val="00734D4A"/>
    <w:rsid w:val="00734DA1"/>
    <w:rsid w:val="00734DB5"/>
    <w:rsid w:val="00734E3B"/>
    <w:rsid w:val="00734EE1"/>
    <w:rsid w:val="00734F3F"/>
    <w:rsid w:val="00734F4D"/>
    <w:rsid w:val="00734F68"/>
    <w:rsid w:val="00734FA2"/>
    <w:rsid w:val="0073503F"/>
    <w:rsid w:val="0073505B"/>
    <w:rsid w:val="0073509A"/>
    <w:rsid w:val="007350BC"/>
    <w:rsid w:val="00735128"/>
    <w:rsid w:val="00735148"/>
    <w:rsid w:val="007351B8"/>
    <w:rsid w:val="007351D4"/>
    <w:rsid w:val="0073521B"/>
    <w:rsid w:val="00735238"/>
    <w:rsid w:val="007352FC"/>
    <w:rsid w:val="00735372"/>
    <w:rsid w:val="007353A0"/>
    <w:rsid w:val="00735470"/>
    <w:rsid w:val="007354BC"/>
    <w:rsid w:val="007355CD"/>
    <w:rsid w:val="007355EA"/>
    <w:rsid w:val="00735702"/>
    <w:rsid w:val="00735836"/>
    <w:rsid w:val="007358AF"/>
    <w:rsid w:val="007358BA"/>
    <w:rsid w:val="007358C1"/>
    <w:rsid w:val="007358C7"/>
    <w:rsid w:val="0073596C"/>
    <w:rsid w:val="00735986"/>
    <w:rsid w:val="0073598F"/>
    <w:rsid w:val="00735A88"/>
    <w:rsid w:val="00735AA0"/>
    <w:rsid w:val="00735B20"/>
    <w:rsid w:val="00735B5F"/>
    <w:rsid w:val="00735B64"/>
    <w:rsid w:val="00735B66"/>
    <w:rsid w:val="00735B9B"/>
    <w:rsid w:val="00735BE2"/>
    <w:rsid w:val="00735C2D"/>
    <w:rsid w:val="00735CF9"/>
    <w:rsid w:val="00735D8B"/>
    <w:rsid w:val="00735E0F"/>
    <w:rsid w:val="00735F05"/>
    <w:rsid w:val="00735F32"/>
    <w:rsid w:val="00735F4E"/>
    <w:rsid w:val="00735F9D"/>
    <w:rsid w:val="00735FAA"/>
    <w:rsid w:val="00735FE4"/>
    <w:rsid w:val="00736070"/>
    <w:rsid w:val="00736083"/>
    <w:rsid w:val="0073608F"/>
    <w:rsid w:val="007360CB"/>
    <w:rsid w:val="007360DA"/>
    <w:rsid w:val="007360FE"/>
    <w:rsid w:val="007360FF"/>
    <w:rsid w:val="0073618F"/>
    <w:rsid w:val="0073629C"/>
    <w:rsid w:val="007362BC"/>
    <w:rsid w:val="00736324"/>
    <w:rsid w:val="00736358"/>
    <w:rsid w:val="00736396"/>
    <w:rsid w:val="007363D8"/>
    <w:rsid w:val="0073640F"/>
    <w:rsid w:val="00736469"/>
    <w:rsid w:val="00736567"/>
    <w:rsid w:val="007365C2"/>
    <w:rsid w:val="007365D7"/>
    <w:rsid w:val="007366ED"/>
    <w:rsid w:val="00736700"/>
    <w:rsid w:val="00736717"/>
    <w:rsid w:val="0073673B"/>
    <w:rsid w:val="007367B7"/>
    <w:rsid w:val="00736808"/>
    <w:rsid w:val="0073685B"/>
    <w:rsid w:val="00736875"/>
    <w:rsid w:val="007368C1"/>
    <w:rsid w:val="00736A2C"/>
    <w:rsid w:val="00736A44"/>
    <w:rsid w:val="00736AED"/>
    <w:rsid w:val="00736AF4"/>
    <w:rsid w:val="00736C00"/>
    <w:rsid w:val="00736C04"/>
    <w:rsid w:val="00736C42"/>
    <w:rsid w:val="00736C6B"/>
    <w:rsid w:val="00736CAE"/>
    <w:rsid w:val="00736CB4"/>
    <w:rsid w:val="00736E03"/>
    <w:rsid w:val="00736E1C"/>
    <w:rsid w:val="00736E88"/>
    <w:rsid w:val="00736E8D"/>
    <w:rsid w:val="00736F3E"/>
    <w:rsid w:val="0073700B"/>
    <w:rsid w:val="00737100"/>
    <w:rsid w:val="007371D2"/>
    <w:rsid w:val="007371F0"/>
    <w:rsid w:val="00737236"/>
    <w:rsid w:val="00737274"/>
    <w:rsid w:val="00737282"/>
    <w:rsid w:val="00737387"/>
    <w:rsid w:val="007373A1"/>
    <w:rsid w:val="007373AD"/>
    <w:rsid w:val="00737407"/>
    <w:rsid w:val="00737444"/>
    <w:rsid w:val="007374B4"/>
    <w:rsid w:val="007374C6"/>
    <w:rsid w:val="0073756D"/>
    <w:rsid w:val="007375BF"/>
    <w:rsid w:val="0073764E"/>
    <w:rsid w:val="0073770C"/>
    <w:rsid w:val="00737788"/>
    <w:rsid w:val="0073793A"/>
    <w:rsid w:val="00737953"/>
    <w:rsid w:val="007379DB"/>
    <w:rsid w:val="00737A06"/>
    <w:rsid w:val="00737A15"/>
    <w:rsid w:val="00737A25"/>
    <w:rsid w:val="00737A5C"/>
    <w:rsid w:val="00737B30"/>
    <w:rsid w:val="00737BE2"/>
    <w:rsid w:val="00737C39"/>
    <w:rsid w:val="00737C42"/>
    <w:rsid w:val="00737C69"/>
    <w:rsid w:val="00737C98"/>
    <w:rsid w:val="00737D1C"/>
    <w:rsid w:val="00737D71"/>
    <w:rsid w:val="00737DA3"/>
    <w:rsid w:val="00737DE8"/>
    <w:rsid w:val="00737E3B"/>
    <w:rsid w:val="00737E85"/>
    <w:rsid w:val="00737EE8"/>
    <w:rsid w:val="00737EEB"/>
    <w:rsid w:val="00737EF2"/>
    <w:rsid w:val="00737F49"/>
    <w:rsid w:val="00737FDD"/>
    <w:rsid w:val="007400B8"/>
    <w:rsid w:val="007400BB"/>
    <w:rsid w:val="00740110"/>
    <w:rsid w:val="0074011B"/>
    <w:rsid w:val="00740129"/>
    <w:rsid w:val="0074014A"/>
    <w:rsid w:val="00740232"/>
    <w:rsid w:val="0074023E"/>
    <w:rsid w:val="007402AB"/>
    <w:rsid w:val="007402BC"/>
    <w:rsid w:val="007402DE"/>
    <w:rsid w:val="00740316"/>
    <w:rsid w:val="00740320"/>
    <w:rsid w:val="0074032B"/>
    <w:rsid w:val="00740462"/>
    <w:rsid w:val="0074047F"/>
    <w:rsid w:val="00740480"/>
    <w:rsid w:val="0074052F"/>
    <w:rsid w:val="00740539"/>
    <w:rsid w:val="0074065F"/>
    <w:rsid w:val="007407EA"/>
    <w:rsid w:val="00740826"/>
    <w:rsid w:val="00740835"/>
    <w:rsid w:val="00740850"/>
    <w:rsid w:val="00740898"/>
    <w:rsid w:val="007408B6"/>
    <w:rsid w:val="007408DE"/>
    <w:rsid w:val="007408ED"/>
    <w:rsid w:val="007409D8"/>
    <w:rsid w:val="007409EF"/>
    <w:rsid w:val="00740A5E"/>
    <w:rsid w:val="00740A6F"/>
    <w:rsid w:val="00740B16"/>
    <w:rsid w:val="00740B93"/>
    <w:rsid w:val="00740CCD"/>
    <w:rsid w:val="00740CEE"/>
    <w:rsid w:val="00740D0F"/>
    <w:rsid w:val="00740D53"/>
    <w:rsid w:val="00740D92"/>
    <w:rsid w:val="00740DA4"/>
    <w:rsid w:val="00740DFA"/>
    <w:rsid w:val="00740E4C"/>
    <w:rsid w:val="00740E4E"/>
    <w:rsid w:val="00740E8D"/>
    <w:rsid w:val="00740EB7"/>
    <w:rsid w:val="00740EFB"/>
    <w:rsid w:val="00740F0E"/>
    <w:rsid w:val="00741014"/>
    <w:rsid w:val="007410BE"/>
    <w:rsid w:val="007410F7"/>
    <w:rsid w:val="00741212"/>
    <w:rsid w:val="00741213"/>
    <w:rsid w:val="0074121C"/>
    <w:rsid w:val="00741222"/>
    <w:rsid w:val="007412CF"/>
    <w:rsid w:val="007412F0"/>
    <w:rsid w:val="00741361"/>
    <w:rsid w:val="007414F1"/>
    <w:rsid w:val="00741515"/>
    <w:rsid w:val="00741545"/>
    <w:rsid w:val="007415AD"/>
    <w:rsid w:val="007415FC"/>
    <w:rsid w:val="0074166B"/>
    <w:rsid w:val="007416B5"/>
    <w:rsid w:val="007416CA"/>
    <w:rsid w:val="00741711"/>
    <w:rsid w:val="0074174D"/>
    <w:rsid w:val="0074176D"/>
    <w:rsid w:val="007417E6"/>
    <w:rsid w:val="0074183A"/>
    <w:rsid w:val="00741877"/>
    <w:rsid w:val="0074192F"/>
    <w:rsid w:val="0074193C"/>
    <w:rsid w:val="00741A7E"/>
    <w:rsid w:val="00741B70"/>
    <w:rsid w:val="00741B8F"/>
    <w:rsid w:val="00741BD7"/>
    <w:rsid w:val="00741C82"/>
    <w:rsid w:val="00741CD7"/>
    <w:rsid w:val="00741D24"/>
    <w:rsid w:val="00741E79"/>
    <w:rsid w:val="00741E88"/>
    <w:rsid w:val="00741E8C"/>
    <w:rsid w:val="00741F74"/>
    <w:rsid w:val="00741F93"/>
    <w:rsid w:val="0074206B"/>
    <w:rsid w:val="0074209A"/>
    <w:rsid w:val="00742113"/>
    <w:rsid w:val="0074215C"/>
    <w:rsid w:val="007421D7"/>
    <w:rsid w:val="0074229F"/>
    <w:rsid w:val="0074239E"/>
    <w:rsid w:val="007423D7"/>
    <w:rsid w:val="007424A1"/>
    <w:rsid w:val="007424AB"/>
    <w:rsid w:val="007424E9"/>
    <w:rsid w:val="00742514"/>
    <w:rsid w:val="0074251C"/>
    <w:rsid w:val="007425FE"/>
    <w:rsid w:val="00742619"/>
    <w:rsid w:val="00742702"/>
    <w:rsid w:val="0074272E"/>
    <w:rsid w:val="007427FB"/>
    <w:rsid w:val="00742991"/>
    <w:rsid w:val="00742A17"/>
    <w:rsid w:val="00742A4D"/>
    <w:rsid w:val="00742A4F"/>
    <w:rsid w:val="00742A98"/>
    <w:rsid w:val="00742AD3"/>
    <w:rsid w:val="00742AD9"/>
    <w:rsid w:val="00742B15"/>
    <w:rsid w:val="00742BDF"/>
    <w:rsid w:val="00742BE8"/>
    <w:rsid w:val="00742C43"/>
    <w:rsid w:val="00742CD2"/>
    <w:rsid w:val="00742CDA"/>
    <w:rsid w:val="00742D38"/>
    <w:rsid w:val="00742D4E"/>
    <w:rsid w:val="00742E37"/>
    <w:rsid w:val="00742EC6"/>
    <w:rsid w:val="00742EEA"/>
    <w:rsid w:val="00742EF7"/>
    <w:rsid w:val="00742F25"/>
    <w:rsid w:val="007430E0"/>
    <w:rsid w:val="00743107"/>
    <w:rsid w:val="0074311C"/>
    <w:rsid w:val="0074311F"/>
    <w:rsid w:val="00743120"/>
    <w:rsid w:val="007431D1"/>
    <w:rsid w:val="007431FF"/>
    <w:rsid w:val="007432CE"/>
    <w:rsid w:val="007432D0"/>
    <w:rsid w:val="007432D1"/>
    <w:rsid w:val="00743393"/>
    <w:rsid w:val="007433FA"/>
    <w:rsid w:val="007434CD"/>
    <w:rsid w:val="0074365E"/>
    <w:rsid w:val="007436BC"/>
    <w:rsid w:val="00743707"/>
    <w:rsid w:val="00743819"/>
    <w:rsid w:val="0074386C"/>
    <w:rsid w:val="0074389E"/>
    <w:rsid w:val="00743922"/>
    <w:rsid w:val="0074393B"/>
    <w:rsid w:val="007439A6"/>
    <w:rsid w:val="007439B9"/>
    <w:rsid w:val="007439D3"/>
    <w:rsid w:val="007439DA"/>
    <w:rsid w:val="007439F8"/>
    <w:rsid w:val="00743A31"/>
    <w:rsid w:val="00743A51"/>
    <w:rsid w:val="00743AA1"/>
    <w:rsid w:val="00743AA7"/>
    <w:rsid w:val="00743AAF"/>
    <w:rsid w:val="00743B35"/>
    <w:rsid w:val="00743B76"/>
    <w:rsid w:val="00743BD9"/>
    <w:rsid w:val="00743C30"/>
    <w:rsid w:val="00743CD7"/>
    <w:rsid w:val="00743D12"/>
    <w:rsid w:val="00743D62"/>
    <w:rsid w:val="00743D73"/>
    <w:rsid w:val="00743DD9"/>
    <w:rsid w:val="00743EA0"/>
    <w:rsid w:val="00743FF2"/>
    <w:rsid w:val="00743FF8"/>
    <w:rsid w:val="00744106"/>
    <w:rsid w:val="00744129"/>
    <w:rsid w:val="00744157"/>
    <w:rsid w:val="0074419B"/>
    <w:rsid w:val="007441C7"/>
    <w:rsid w:val="007441DB"/>
    <w:rsid w:val="007441E4"/>
    <w:rsid w:val="007441ED"/>
    <w:rsid w:val="007442F6"/>
    <w:rsid w:val="0074430A"/>
    <w:rsid w:val="00744343"/>
    <w:rsid w:val="00744379"/>
    <w:rsid w:val="00744449"/>
    <w:rsid w:val="0074446A"/>
    <w:rsid w:val="00744499"/>
    <w:rsid w:val="0074452C"/>
    <w:rsid w:val="0074457F"/>
    <w:rsid w:val="007445E5"/>
    <w:rsid w:val="007445FC"/>
    <w:rsid w:val="0074460A"/>
    <w:rsid w:val="007447B6"/>
    <w:rsid w:val="00744815"/>
    <w:rsid w:val="00744864"/>
    <w:rsid w:val="007448A8"/>
    <w:rsid w:val="007448C3"/>
    <w:rsid w:val="007449BB"/>
    <w:rsid w:val="007449DE"/>
    <w:rsid w:val="00744A0D"/>
    <w:rsid w:val="00744A4C"/>
    <w:rsid w:val="00744B15"/>
    <w:rsid w:val="00744B78"/>
    <w:rsid w:val="00744B96"/>
    <w:rsid w:val="00744BE5"/>
    <w:rsid w:val="00744BF5"/>
    <w:rsid w:val="00744C2F"/>
    <w:rsid w:val="00744C3D"/>
    <w:rsid w:val="00744CC8"/>
    <w:rsid w:val="00744CFF"/>
    <w:rsid w:val="00744D49"/>
    <w:rsid w:val="00744DEB"/>
    <w:rsid w:val="00744E82"/>
    <w:rsid w:val="00744EAA"/>
    <w:rsid w:val="00744EC5"/>
    <w:rsid w:val="00744ECE"/>
    <w:rsid w:val="00744F8C"/>
    <w:rsid w:val="00744FD4"/>
    <w:rsid w:val="0074505C"/>
    <w:rsid w:val="007450D4"/>
    <w:rsid w:val="00745183"/>
    <w:rsid w:val="007451F1"/>
    <w:rsid w:val="007451FD"/>
    <w:rsid w:val="00745375"/>
    <w:rsid w:val="00745581"/>
    <w:rsid w:val="007455B7"/>
    <w:rsid w:val="0074561E"/>
    <w:rsid w:val="00745630"/>
    <w:rsid w:val="00745646"/>
    <w:rsid w:val="00745697"/>
    <w:rsid w:val="00745734"/>
    <w:rsid w:val="00745740"/>
    <w:rsid w:val="00745839"/>
    <w:rsid w:val="0074584F"/>
    <w:rsid w:val="00745855"/>
    <w:rsid w:val="0074589C"/>
    <w:rsid w:val="007458D9"/>
    <w:rsid w:val="00745948"/>
    <w:rsid w:val="00745976"/>
    <w:rsid w:val="007459C0"/>
    <w:rsid w:val="00745A5C"/>
    <w:rsid w:val="00745A6F"/>
    <w:rsid w:val="00745A72"/>
    <w:rsid w:val="00745AE5"/>
    <w:rsid w:val="00745BA2"/>
    <w:rsid w:val="00745CC7"/>
    <w:rsid w:val="00745CEF"/>
    <w:rsid w:val="00745DB3"/>
    <w:rsid w:val="00745DB8"/>
    <w:rsid w:val="00745F1E"/>
    <w:rsid w:val="00745F7F"/>
    <w:rsid w:val="00745FB2"/>
    <w:rsid w:val="00746052"/>
    <w:rsid w:val="007460F6"/>
    <w:rsid w:val="00746104"/>
    <w:rsid w:val="007461F8"/>
    <w:rsid w:val="00746252"/>
    <w:rsid w:val="00746438"/>
    <w:rsid w:val="0074645E"/>
    <w:rsid w:val="0074646B"/>
    <w:rsid w:val="00746527"/>
    <w:rsid w:val="00746557"/>
    <w:rsid w:val="0074659C"/>
    <w:rsid w:val="00746626"/>
    <w:rsid w:val="007466F1"/>
    <w:rsid w:val="0074674A"/>
    <w:rsid w:val="007467E0"/>
    <w:rsid w:val="0074686A"/>
    <w:rsid w:val="00746904"/>
    <w:rsid w:val="00746928"/>
    <w:rsid w:val="007469E3"/>
    <w:rsid w:val="00746A4C"/>
    <w:rsid w:val="00746B2D"/>
    <w:rsid w:val="00746B84"/>
    <w:rsid w:val="00746BC6"/>
    <w:rsid w:val="00746BE0"/>
    <w:rsid w:val="00746BFB"/>
    <w:rsid w:val="00746C22"/>
    <w:rsid w:val="00746C62"/>
    <w:rsid w:val="00746C77"/>
    <w:rsid w:val="00746CA8"/>
    <w:rsid w:val="00746D08"/>
    <w:rsid w:val="00746DB9"/>
    <w:rsid w:val="00746E37"/>
    <w:rsid w:val="00746E5D"/>
    <w:rsid w:val="00746E7B"/>
    <w:rsid w:val="0074707D"/>
    <w:rsid w:val="00747128"/>
    <w:rsid w:val="00747132"/>
    <w:rsid w:val="007471BC"/>
    <w:rsid w:val="007471CD"/>
    <w:rsid w:val="007471DE"/>
    <w:rsid w:val="0074727C"/>
    <w:rsid w:val="0074742A"/>
    <w:rsid w:val="00747539"/>
    <w:rsid w:val="00747585"/>
    <w:rsid w:val="00747599"/>
    <w:rsid w:val="007475B9"/>
    <w:rsid w:val="007475EB"/>
    <w:rsid w:val="00747666"/>
    <w:rsid w:val="007476A1"/>
    <w:rsid w:val="007476AA"/>
    <w:rsid w:val="00747722"/>
    <w:rsid w:val="0074773F"/>
    <w:rsid w:val="007477FF"/>
    <w:rsid w:val="00747948"/>
    <w:rsid w:val="00747952"/>
    <w:rsid w:val="0074795A"/>
    <w:rsid w:val="007479D1"/>
    <w:rsid w:val="007479E5"/>
    <w:rsid w:val="00747A3B"/>
    <w:rsid w:val="00747A71"/>
    <w:rsid w:val="00747AAD"/>
    <w:rsid w:val="00747B44"/>
    <w:rsid w:val="00747B9F"/>
    <w:rsid w:val="00747C4F"/>
    <w:rsid w:val="00747C61"/>
    <w:rsid w:val="00747CA4"/>
    <w:rsid w:val="00747CA9"/>
    <w:rsid w:val="00747D06"/>
    <w:rsid w:val="00747DBA"/>
    <w:rsid w:val="00747EA0"/>
    <w:rsid w:val="00747F16"/>
    <w:rsid w:val="00747F94"/>
    <w:rsid w:val="00747FA7"/>
    <w:rsid w:val="00747FCB"/>
    <w:rsid w:val="00750052"/>
    <w:rsid w:val="007500AB"/>
    <w:rsid w:val="00750128"/>
    <w:rsid w:val="007501E1"/>
    <w:rsid w:val="00750258"/>
    <w:rsid w:val="0075031E"/>
    <w:rsid w:val="0075033A"/>
    <w:rsid w:val="00750348"/>
    <w:rsid w:val="00750388"/>
    <w:rsid w:val="007504A2"/>
    <w:rsid w:val="007504A3"/>
    <w:rsid w:val="007504BA"/>
    <w:rsid w:val="007504E8"/>
    <w:rsid w:val="007505A5"/>
    <w:rsid w:val="007505C9"/>
    <w:rsid w:val="00750677"/>
    <w:rsid w:val="007506D7"/>
    <w:rsid w:val="00750724"/>
    <w:rsid w:val="00750730"/>
    <w:rsid w:val="0075084C"/>
    <w:rsid w:val="007508B2"/>
    <w:rsid w:val="007508B4"/>
    <w:rsid w:val="007508EA"/>
    <w:rsid w:val="00750916"/>
    <w:rsid w:val="00750969"/>
    <w:rsid w:val="007509D4"/>
    <w:rsid w:val="007509EC"/>
    <w:rsid w:val="007509F1"/>
    <w:rsid w:val="00750A3C"/>
    <w:rsid w:val="00750A60"/>
    <w:rsid w:val="00750A6E"/>
    <w:rsid w:val="00750B21"/>
    <w:rsid w:val="00750B61"/>
    <w:rsid w:val="00750B6B"/>
    <w:rsid w:val="00750B96"/>
    <w:rsid w:val="00750BFC"/>
    <w:rsid w:val="00750D30"/>
    <w:rsid w:val="00750D55"/>
    <w:rsid w:val="00750D80"/>
    <w:rsid w:val="00750DAA"/>
    <w:rsid w:val="00750E3B"/>
    <w:rsid w:val="00750E9B"/>
    <w:rsid w:val="00750F12"/>
    <w:rsid w:val="00750F2E"/>
    <w:rsid w:val="00750F97"/>
    <w:rsid w:val="00750FB6"/>
    <w:rsid w:val="00751071"/>
    <w:rsid w:val="00751089"/>
    <w:rsid w:val="00751098"/>
    <w:rsid w:val="007510CA"/>
    <w:rsid w:val="007510F2"/>
    <w:rsid w:val="00751130"/>
    <w:rsid w:val="00751145"/>
    <w:rsid w:val="0075115D"/>
    <w:rsid w:val="00751197"/>
    <w:rsid w:val="007511D7"/>
    <w:rsid w:val="00751225"/>
    <w:rsid w:val="0075122F"/>
    <w:rsid w:val="0075124C"/>
    <w:rsid w:val="007512EE"/>
    <w:rsid w:val="00751312"/>
    <w:rsid w:val="0075136C"/>
    <w:rsid w:val="007513E0"/>
    <w:rsid w:val="007513F1"/>
    <w:rsid w:val="007514BE"/>
    <w:rsid w:val="0075155D"/>
    <w:rsid w:val="00751606"/>
    <w:rsid w:val="00751637"/>
    <w:rsid w:val="00751640"/>
    <w:rsid w:val="00751650"/>
    <w:rsid w:val="0075170E"/>
    <w:rsid w:val="00751781"/>
    <w:rsid w:val="0075181D"/>
    <w:rsid w:val="007518A2"/>
    <w:rsid w:val="0075198C"/>
    <w:rsid w:val="00751997"/>
    <w:rsid w:val="00751A83"/>
    <w:rsid w:val="00751AAC"/>
    <w:rsid w:val="00751AAF"/>
    <w:rsid w:val="00751B1C"/>
    <w:rsid w:val="00751B6B"/>
    <w:rsid w:val="00751D18"/>
    <w:rsid w:val="00751D59"/>
    <w:rsid w:val="00751D5B"/>
    <w:rsid w:val="00751DA0"/>
    <w:rsid w:val="00751DB1"/>
    <w:rsid w:val="00751E27"/>
    <w:rsid w:val="00751E8E"/>
    <w:rsid w:val="00751ECA"/>
    <w:rsid w:val="00751ECB"/>
    <w:rsid w:val="00751FFE"/>
    <w:rsid w:val="00752060"/>
    <w:rsid w:val="007520A0"/>
    <w:rsid w:val="007520AE"/>
    <w:rsid w:val="0075217F"/>
    <w:rsid w:val="007521DB"/>
    <w:rsid w:val="0075222B"/>
    <w:rsid w:val="007522B0"/>
    <w:rsid w:val="00752350"/>
    <w:rsid w:val="00752419"/>
    <w:rsid w:val="00752426"/>
    <w:rsid w:val="00752460"/>
    <w:rsid w:val="007524BE"/>
    <w:rsid w:val="007524EE"/>
    <w:rsid w:val="00752526"/>
    <w:rsid w:val="0075253F"/>
    <w:rsid w:val="00752611"/>
    <w:rsid w:val="0075261F"/>
    <w:rsid w:val="007526A5"/>
    <w:rsid w:val="0075275A"/>
    <w:rsid w:val="00752866"/>
    <w:rsid w:val="0075291D"/>
    <w:rsid w:val="007529C7"/>
    <w:rsid w:val="00752A0C"/>
    <w:rsid w:val="00752A84"/>
    <w:rsid w:val="00752A9A"/>
    <w:rsid w:val="00752B25"/>
    <w:rsid w:val="00752B6C"/>
    <w:rsid w:val="00752B89"/>
    <w:rsid w:val="00752C24"/>
    <w:rsid w:val="00752C59"/>
    <w:rsid w:val="00752C73"/>
    <w:rsid w:val="00752CD6"/>
    <w:rsid w:val="00752D01"/>
    <w:rsid w:val="00752DD1"/>
    <w:rsid w:val="00752E33"/>
    <w:rsid w:val="00752F21"/>
    <w:rsid w:val="00752F22"/>
    <w:rsid w:val="00752FC0"/>
    <w:rsid w:val="00753078"/>
    <w:rsid w:val="00753187"/>
    <w:rsid w:val="007531B8"/>
    <w:rsid w:val="007531BB"/>
    <w:rsid w:val="007531EF"/>
    <w:rsid w:val="0075326F"/>
    <w:rsid w:val="007532A2"/>
    <w:rsid w:val="007532DA"/>
    <w:rsid w:val="007532FE"/>
    <w:rsid w:val="00753314"/>
    <w:rsid w:val="00753421"/>
    <w:rsid w:val="007534BF"/>
    <w:rsid w:val="00753518"/>
    <w:rsid w:val="00753585"/>
    <w:rsid w:val="0075359A"/>
    <w:rsid w:val="00753667"/>
    <w:rsid w:val="0075367D"/>
    <w:rsid w:val="00753715"/>
    <w:rsid w:val="00753775"/>
    <w:rsid w:val="0075378D"/>
    <w:rsid w:val="00753807"/>
    <w:rsid w:val="0075386A"/>
    <w:rsid w:val="0075390A"/>
    <w:rsid w:val="0075391A"/>
    <w:rsid w:val="007539F5"/>
    <w:rsid w:val="00753A49"/>
    <w:rsid w:val="00753A4F"/>
    <w:rsid w:val="00753AD0"/>
    <w:rsid w:val="00753B07"/>
    <w:rsid w:val="00753B2A"/>
    <w:rsid w:val="00753BAE"/>
    <w:rsid w:val="00753BD4"/>
    <w:rsid w:val="00753CCB"/>
    <w:rsid w:val="00753CD7"/>
    <w:rsid w:val="00753CF1"/>
    <w:rsid w:val="00753D9F"/>
    <w:rsid w:val="00753DB4"/>
    <w:rsid w:val="00753E09"/>
    <w:rsid w:val="00753EF2"/>
    <w:rsid w:val="00753F01"/>
    <w:rsid w:val="00753FB0"/>
    <w:rsid w:val="00753FEF"/>
    <w:rsid w:val="007540AC"/>
    <w:rsid w:val="007540F9"/>
    <w:rsid w:val="00754146"/>
    <w:rsid w:val="0075417B"/>
    <w:rsid w:val="007541D2"/>
    <w:rsid w:val="00754210"/>
    <w:rsid w:val="0075421B"/>
    <w:rsid w:val="0075425D"/>
    <w:rsid w:val="007542A6"/>
    <w:rsid w:val="007542BF"/>
    <w:rsid w:val="00754311"/>
    <w:rsid w:val="0075433B"/>
    <w:rsid w:val="0075439D"/>
    <w:rsid w:val="0075440E"/>
    <w:rsid w:val="00754460"/>
    <w:rsid w:val="007544A8"/>
    <w:rsid w:val="00754581"/>
    <w:rsid w:val="0075466C"/>
    <w:rsid w:val="0075467F"/>
    <w:rsid w:val="00754689"/>
    <w:rsid w:val="0075469D"/>
    <w:rsid w:val="00754702"/>
    <w:rsid w:val="0075476F"/>
    <w:rsid w:val="00754787"/>
    <w:rsid w:val="007547BD"/>
    <w:rsid w:val="00754801"/>
    <w:rsid w:val="00754822"/>
    <w:rsid w:val="0075482B"/>
    <w:rsid w:val="00754833"/>
    <w:rsid w:val="00754878"/>
    <w:rsid w:val="0075487D"/>
    <w:rsid w:val="007548E4"/>
    <w:rsid w:val="00754989"/>
    <w:rsid w:val="007549B1"/>
    <w:rsid w:val="007549D4"/>
    <w:rsid w:val="00754A8A"/>
    <w:rsid w:val="00754B66"/>
    <w:rsid w:val="00754BF9"/>
    <w:rsid w:val="00754C63"/>
    <w:rsid w:val="00754D45"/>
    <w:rsid w:val="00754DC8"/>
    <w:rsid w:val="00754E0F"/>
    <w:rsid w:val="00754E93"/>
    <w:rsid w:val="00754F09"/>
    <w:rsid w:val="00754F19"/>
    <w:rsid w:val="00754F1B"/>
    <w:rsid w:val="00754F30"/>
    <w:rsid w:val="00754F5E"/>
    <w:rsid w:val="00755062"/>
    <w:rsid w:val="0075509F"/>
    <w:rsid w:val="007550EA"/>
    <w:rsid w:val="0075510F"/>
    <w:rsid w:val="00755142"/>
    <w:rsid w:val="007551A8"/>
    <w:rsid w:val="007551E9"/>
    <w:rsid w:val="007552A2"/>
    <w:rsid w:val="007553F2"/>
    <w:rsid w:val="00755492"/>
    <w:rsid w:val="007555F1"/>
    <w:rsid w:val="00755604"/>
    <w:rsid w:val="00755623"/>
    <w:rsid w:val="0075566C"/>
    <w:rsid w:val="007556D9"/>
    <w:rsid w:val="007556E0"/>
    <w:rsid w:val="007557C3"/>
    <w:rsid w:val="0075588E"/>
    <w:rsid w:val="007558B0"/>
    <w:rsid w:val="0075595C"/>
    <w:rsid w:val="00755A56"/>
    <w:rsid w:val="00755C36"/>
    <w:rsid w:val="00755C68"/>
    <w:rsid w:val="00755CA5"/>
    <w:rsid w:val="00755CBE"/>
    <w:rsid w:val="00755CC6"/>
    <w:rsid w:val="00755D84"/>
    <w:rsid w:val="00755E55"/>
    <w:rsid w:val="00755E5D"/>
    <w:rsid w:val="00755E63"/>
    <w:rsid w:val="00755EA2"/>
    <w:rsid w:val="00755EC5"/>
    <w:rsid w:val="00755F25"/>
    <w:rsid w:val="00755F51"/>
    <w:rsid w:val="00755F52"/>
    <w:rsid w:val="00755F7D"/>
    <w:rsid w:val="00755F9F"/>
    <w:rsid w:val="00755FA2"/>
    <w:rsid w:val="00755FDE"/>
    <w:rsid w:val="00756060"/>
    <w:rsid w:val="007560A1"/>
    <w:rsid w:val="00756137"/>
    <w:rsid w:val="0075615D"/>
    <w:rsid w:val="007561DF"/>
    <w:rsid w:val="007562E9"/>
    <w:rsid w:val="0075632B"/>
    <w:rsid w:val="00756408"/>
    <w:rsid w:val="0075642D"/>
    <w:rsid w:val="00756460"/>
    <w:rsid w:val="007564C5"/>
    <w:rsid w:val="007564E5"/>
    <w:rsid w:val="00756522"/>
    <w:rsid w:val="00756532"/>
    <w:rsid w:val="007565FF"/>
    <w:rsid w:val="007566B0"/>
    <w:rsid w:val="007566E9"/>
    <w:rsid w:val="0075676E"/>
    <w:rsid w:val="007567BD"/>
    <w:rsid w:val="00756836"/>
    <w:rsid w:val="00756875"/>
    <w:rsid w:val="007568B8"/>
    <w:rsid w:val="00756A2C"/>
    <w:rsid w:val="00756AB4"/>
    <w:rsid w:val="00756AF5"/>
    <w:rsid w:val="00756B5C"/>
    <w:rsid w:val="00756B97"/>
    <w:rsid w:val="00756BCD"/>
    <w:rsid w:val="00756BCE"/>
    <w:rsid w:val="00756C13"/>
    <w:rsid w:val="00756C1F"/>
    <w:rsid w:val="00756C42"/>
    <w:rsid w:val="00756CA9"/>
    <w:rsid w:val="00756CED"/>
    <w:rsid w:val="00756CFD"/>
    <w:rsid w:val="00756D83"/>
    <w:rsid w:val="00756EA7"/>
    <w:rsid w:val="00756EDC"/>
    <w:rsid w:val="00756F3A"/>
    <w:rsid w:val="00756F4F"/>
    <w:rsid w:val="00756F69"/>
    <w:rsid w:val="00756F77"/>
    <w:rsid w:val="00756FA2"/>
    <w:rsid w:val="00756FB7"/>
    <w:rsid w:val="0075709C"/>
    <w:rsid w:val="007571BE"/>
    <w:rsid w:val="00757233"/>
    <w:rsid w:val="007574B2"/>
    <w:rsid w:val="007574D7"/>
    <w:rsid w:val="00757535"/>
    <w:rsid w:val="0075757D"/>
    <w:rsid w:val="00757661"/>
    <w:rsid w:val="007577B3"/>
    <w:rsid w:val="007578DE"/>
    <w:rsid w:val="00757916"/>
    <w:rsid w:val="00757927"/>
    <w:rsid w:val="0075794A"/>
    <w:rsid w:val="00757A62"/>
    <w:rsid w:val="00757AAD"/>
    <w:rsid w:val="00757AE7"/>
    <w:rsid w:val="00757AF5"/>
    <w:rsid w:val="00757B41"/>
    <w:rsid w:val="00757C06"/>
    <w:rsid w:val="00757D22"/>
    <w:rsid w:val="00757D3E"/>
    <w:rsid w:val="00757D83"/>
    <w:rsid w:val="0076000D"/>
    <w:rsid w:val="0076009A"/>
    <w:rsid w:val="007600FA"/>
    <w:rsid w:val="007600FD"/>
    <w:rsid w:val="007601C7"/>
    <w:rsid w:val="00760228"/>
    <w:rsid w:val="00760238"/>
    <w:rsid w:val="007602F3"/>
    <w:rsid w:val="007603AF"/>
    <w:rsid w:val="007603F1"/>
    <w:rsid w:val="00760442"/>
    <w:rsid w:val="00760451"/>
    <w:rsid w:val="0076046B"/>
    <w:rsid w:val="007604F5"/>
    <w:rsid w:val="0076058A"/>
    <w:rsid w:val="007605D4"/>
    <w:rsid w:val="00760669"/>
    <w:rsid w:val="0076067F"/>
    <w:rsid w:val="0076071A"/>
    <w:rsid w:val="007607B4"/>
    <w:rsid w:val="0076081E"/>
    <w:rsid w:val="0076090A"/>
    <w:rsid w:val="00760A43"/>
    <w:rsid w:val="00760A5D"/>
    <w:rsid w:val="00760A67"/>
    <w:rsid w:val="00760A78"/>
    <w:rsid w:val="00760A89"/>
    <w:rsid w:val="00760ABB"/>
    <w:rsid w:val="00760BB1"/>
    <w:rsid w:val="00760C0E"/>
    <w:rsid w:val="00760C4B"/>
    <w:rsid w:val="00760CBB"/>
    <w:rsid w:val="00760CC9"/>
    <w:rsid w:val="00760D10"/>
    <w:rsid w:val="00760DC0"/>
    <w:rsid w:val="00760E5D"/>
    <w:rsid w:val="0076105C"/>
    <w:rsid w:val="0076113C"/>
    <w:rsid w:val="007611E3"/>
    <w:rsid w:val="00761296"/>
    <w:rsid w:val="0076135C"/>
    <w:rsid w:val="0076137A"/>
    <w:rsid w:val="00761387"/>
    <w:rsid w:val="007613A0"/>
    <w:rsid w:val="007613C0"/>
    <w:rsid w:val="007613D4"/>
    <w:rsid w:val="007614F5"/>
    <w:rsid w:val="00761505"/>
    <w:rsid w:val="007615BA"/>
    <w:rsid w:val="007615BF"/>
    <w:rsid w:val="007616F5"/>
    <w:rsid w:val="0076173B"/>
    <w:rsid w:val="00761754"/>
    <w:rsid w:val="0076178A"/>
    <w:rsid w:val="007617C6"/>
    <w:rsid w:val="007618D1"/>
    <w:rsid w:val="00761915"/>
    <w:rsid w:val="00761974"/>
    <w:rsid w:val="007619A5"/>
    <w:rsid w:val="00761A87"/>
    <w:rsid w:val="00761AFE"/>
    <w:rsid w:val="00761B08"/>
    <w:rsid w:val="00761B0D"/>
    <w:rsid w:val="00761B27"/>
    <w:rsid w:val="00761C83"/>
    <w:rsid w:val="00761CC2"/>
    <w:rsid w:val="00761D20"/>
    <w:rsid w:val="00761E15"/>
    <w:rsid w:val="00761E64"/>
    <w:rsid w:val="00761EC0"/>
    <w:rsid w:val="00761ED5"/>
    <w:rsid w:val="00761F0A"/>
    <w:rsid w:val="00761FDD"/>
    <w:rsid w:val="00762054"/>
    <w:rsid w:val="0076205A"/>
    <w:rsid w:val="00762082"/>
    <w:rsid w:val="0076215E"/>
    <w:rsid w:val="00762177"/>
    <w:rsid w:val="007621EB"/>
    <w:rsid w:val="00762228"/>
    <w:rsid w:val="00762302"/>
    <w:rsid w:val="00762368"/>
    <w:rsid w:val="007624FF"/>
    <w:rsid w:val="00762503"/>
    <w:rsid w:val="00762576"/>
    <w:rsid w:val="00762716"/>
    <w:rsid w:val="007627F5"/>
    <w:rsid w:val="007628EB"/>
    <w:rsid w:val="00762972"/>
    <w:rsid w:val="00762A46"/>
    <w:rsid w:val="00762A62"/>
    <w:rsid w:val="00762A6B"/>
    <w:rsid w:val="00762A9E"/>
    <w:rsid w:val="00762AA4"/>
    <w:rsid w:val="00762AFE"/>
    <w:rsid w:val="00762B23"/>
    <w:rsid w:val="00762BD4"/>
    <w:rsid w:val="00762C4F"/>
    <w:rsid w:val="00762CA6"/>
    <w:rsid w:val="00762D72"/>
    <w:rsid w:val="00762D90"/>
    <w:rsid w:val="00762DA4"/>
    <w:rsid w:val="00762DF4"/>
    <w:rsid w:val="00762E3C"/>
    <w:rsid w:val="00762F3C"/>
    <w:rsid w:val="00762F40"/>
    <w:rsid w:val="00762F84"/>
    <w:rsid w:val="00762FA3"/>
    <w:rsid w:val="00762FAB"/>
    <w:rsid w:val="00762FAE"/>
    <w:rsid w:val="00762FD5"/>
    <w:rsid w:val="0076300D"/>
    <w:rsid w:val="0076309C"/>
    <w:rsid w:val="007630F1"/>
    <w:rsid w:val="00763163"/>
    <w:rsid w:val="007631AB"/>
    <w:rsid w:val="007631CF"/>
    <w:rsid w:val="0076329D"/>
    <w:rsid w:val="0076329F"/>
    <w:rsid w:val="0076330C"/>
    <w:rsid w:val="0076332F"/>
    <w:rsid w:val="0076336A"/>
    <w:rsid w:val="00763372"/>
    <w:rsid w:val="00763377"/>
    <w:rsid w:val="007633EE"/>
    <w:rsid w:val="00763427"/>
    <w:rsid w:val="00763480"/>
    <w:rsid w:val="00763484"/>
    <w:rsid w:val="00763487"/>
    <w:rsid w:val="007634E4"/>
    <w:rsid w:val="0076351F"/>
    <w:rsid w:val="00763541"/>
    <w:rsid w:val="00763555"/>
    <w:rsid w:val="007635CB"/>
    <w:rsid w:val="0076363B"/>
    <w:rsid w:val="00763653"/>
    <w:rsid w:val="007636DA"/>
    <w:rsid w:val="00763719"/>
    <w:rsid w:val="007637F8"/>
    <w:rsid w:val="00763991"/>
    <w:rsid w:val="00763B60"/>
    <w:rsid w:val="00763BE3"/>
    <w:rsid w:val="00763C12"/>
    <w:rsid w:val="00763C2C"/>
    <w:rsid w:val="00763C73"/>
    <w:rsid w:val="00763D54"/>
    <w:rsid w:val="00763DC8"/>
    <w:rsid w:val="00763DD8"/>
    <w:rsid w:val="00763DE6"/>
    <w:rsid w:val="00763EB6"/>
    <w:rsid w:val="00763ED9"/>
    <w:rsid w:val="00763F1D"/>
    <w:rsid w:val="00763F2B"/>
    <w:rsid w:val="00763FF0"/>
    <w:rsid w:val="00764056"/>
    <w:rsid w:val="0076416F"/>
    <w:rsid w:val="0076418B"/>
    <w:rsid w:val="007641A3"/>
    <w:rsid w:val="007641E8"/>
    <w:rsid w:val="007642CD"/>
    <w:rsid w:val="00764334"/>
    <w:rsid w:val="00764457"/>
    <w:rsid w:val="00764466"/>
    <w:rsid w:val="00764544"/>
    <w:rsid w:val="00764546"/>
    <w:rsid w:val="007645EF"/>
    <w:rsid w:val="00764603"/>
    <w:rsid w:val="007646CF"/>
    <w:rsid w:val="00764707"/>
    <w:rsid w:val="007647A0"/>
    <w:rsid w:val="007647E7"/>
    <w:rsid w:val="0076481D"/>
    <w:rsid w:val="007648E9"/>
    <w:rsid w:val="00764968"/>
    <w:rsid w:val="0076496A"/>
    <w:rsid w:val="0076499B"/>
    <w:rsid w:val="00764A5D"/>
    <w:rsid w:val="00764A9B"/>
    <w:rsid w:val="00764AF3"/>
    <w:rsid w:val="00764B98"/>
    <w:rsid w:val="00764C21"/>
    <w:rsid w:val="00764C77"/>
    <w:rsid w:val="00764D09"/>
    <w:rsid w:val="00764D74"/>
    <w:rsid w:val="00764E4F"/>
    <w:rsid w:val="00764E6D"/>
    <w:rsid w:val="00764EAB"/>
    <w:rsid w:val="00764ECA"/>
    <w:rsid w:val="00764F27"/>
    <w:rsid w:val="00764F3D"/>
    <w:rsid w:val="00764F66"/>
    <w:rsid w:val="00764F7B"/>
    <w:rsid w:val="0076502E"/>
    <w:rsid w:val="00765087"/>
    <w:rsid w:val="0076516E"/>
    <w:rsid w:val="0076518D"/>
    <w:rsid w:val="0076518F"/>
    <w:rsid w:val="00765207"/>
    <w:rsid w:val="00765314"/>
    <w:rsid w:val="00765395"/>
    <w:rsid w:val="007653BD"/>
    <w:rsid w:val="00765479"/>
    <w:rsid w:val="0076559A"/>
    <w:rsid w:val="00765622"/>
    <w:rsid w:val="00765851"/>
    <w:rsid w:val="007658B8"/>
    <w:rsid w:val="007658F2"/>
    <w:rsid w:val="00765964"/>
    <w:rsid w:val="007659CA"/>
    <w:rsid w:val="00765A61"/>
    <w:rsid w:val="00765AE8"/>
    <w:rsid w:val="00765B15"/>
    <w:rsid w:val="00765B22"/>
    <w:rsid w:val="00765B52"/>
    <w:rsid w:val="00765B57"/>
    <w:rsid w:val="00765C0A"/>
    <w:rsid w:val="00765C80"/>
    <w:rsid w:val="00765D3B"/>
    <w:rsid w:val="00765E28"/>
    <w:rsid w:val="00765E30"/>
    <w:rsid w:val="00765E3D"/>
    <w:rsid w:val="00765E66"/>
    <w:rsid w:val="00765EF3"/>
    <w:rsid w:val="00765F2D"/>
    <w:rsid w:val="00765F86"/>
    <w:rsid w:val="00765FB7"/>
    <w:rsid w:val="007660CC"/>
    <w:rsid w:val="00766159"/>
    <w:rsid w:val="00766196"/>
    <w:rsid w:val="007661A2"/>
    <w:rsid w:val="007661AF"/>
    <w:rsid w:val="00766225"/>
    <w:rsid w:val="00766248"/>
    <w:rsid w:val="007662C9"/>
    <w:rsid w:val="0076635C"/>
    <w:rsid w:val="007663BF"/>
    <w:rsid w:val="007663C2"/>
    <w:rsid w:val="007663CA"/>
    <w:rsid w:val="007663D4"/>
    <w:rsid w:val="007664EE"/>
    <w:rsid w:val="00766514"/>
    <w:rsid w:val="007665DE"/>
    <w:rsid w:val="0076661F"/>
    <w:rsid w:val="007666DC"/>
    <w:rsid w:val="007667B2"/>
    <w:rsid w:val="00766801"/>
    <w:rsid w:val="00766907"/>
    <w:rsid w:val="00766955"/>
    <w:rsid w:val="007669D8"/>
    <w:rsid w:val="00766A71"/>
    <w:rsid w:val="00766B01"/>
    <w:rsid w:val="00766B08"/>
    <w:rsid w:val="00766BAA"/>
    <w:rsid w:val="00766BEB"/>
    <w:rsid w:val="00766C59"/>
    <w:rsid w:val="00766CA3"/>
    <w:rsid w:val="00766CC7"/>
    <w:rsid w:val="00766CF8"/>
    <w:rsid w:val="00766DA5"/>
    <w:rsid w:val="00766E85"/>
    <w:rsid w:val="00766E98"/>
    <w:rsid w:val="00766ED2"/>
    <w:rsid w:val="00766F32"/>
    <w:rsid w:val="00766F3F"/>
    <w:rsid w:val="00766FC8"/>
    <w:rsid w:val="00766FEB"/>
    <w:rsid w:val="00766FEE"/>
    <w:rsid w:val="007670DE"/>
    <w:rsid w:val="00767113"/>
    <w:rsid w:val="00767193"/>
    <w:rsid w:val="007671EA"/>
    <w:rsid w:val="007672A6"/>
    <w:rsid w:val="007672AE"/>
    <w:rsid w:val="007674BB"/>
    <w:rsid w:val="00767667"/>
    <w:rsid w:val="007676A1"/>
    <w:rsid w:val="007676F0"/>
    <w:rsid w:val="007677CA"/>
    <w:rsid w:val="007678EB"/>
    <w:rsid w:val="00767919"/>
    <w:rsid w:val="00767952"/>
    <w:rsid w:val="007679F4"/>
    <w:rsid w:val="00767A0B"/>
    <w:rsid w:val="00767A1E"/>
    <w:rsid w:val="00767A45"/>
    <w:rsid w:val="00767A69"/>
    <w:rsid w:val="00767B07"/>
    <w:rsid w:val="00767B1D"/>
    <w:rsid w:val="00767B9C"/>
    <w:rsid w:val="00767C50"/>
    <w:rsid w:val="00767C6A"/>
    <w:rsid w:val="00767CC4"/>
    <w:rsid w:val="00767D2D"/>
    <w:rsid w:val="00767D93"/>
    <w:rsid w:val="00767DFD"/>
    <w:rsid w:val="00767EC2"/>
    <w:rsid w:val="00767EE1"/>
    <w:rsid w:val="00767EF1"/>
    <w:rsid w:val="00770086"/>
    <w:rsid w:val="0077009D"/>
    <w:rsid w:val="007701E3"/>
    <w:rsid w:val="007702AE"/>
    <w:rsid w:val="007702B4"/>
    <w:rsid w:val="007702F3"/>
    <w:rsid w:val="007702FF"/>
    <w:rsid w:val="00770335"/>
    <w:rsid w:val="0077035A"/>
    <w:rsid w:val="007703A6"/>
    <w:rsid w:val="007703D6"/>
    <w:rsid w:val="0077048A"/>
    <w:rsid w:val="0077054A"/>
    <w:rsid w:val="0077060F"/>
    <w:rsid w:val="00770649"/>
    <w:rsid w:val="00770747"/>
    <w:rsid w:val="00770762"/>
    <w:rsid w:val="0077076E"/>
    <w:rsid w:val="00770771"/>
    <w:rsid w:val="00770794"/>
    <w:rsid w:val="007707DF"/>
    <w:rsid w:val="007707F9"/>
    <w:rsid w:val="00770811"/>
    <w:rsid w:val="00770812"/>
    <w:rsid w:val="00770829"/>
    <w:rsid w:val="00770830"/>
    <w:rsid w:val="00770864"/>
    <w:rsid w:val="007708CC"/>
    <w:rsid w:val="007708D6"/>
    <w:rsid w:val="007708D7"/>
    <w:rsid w:val="007708F6"/>
    <w:rsid w:val="007709A2"/>
    <w:rsid w:val="007709A4"/>
    <w:rsid w:val="00770AF4"/>
    <w:rsid w:val="00770B9F"/>
    <w:rsid w:val="00770BAB"/>
    <w:rsid w:val="00770BF7"/>
    <w:rsid w:val="00770C79"/>
    <w:rsid w:val="00770D7D"/>
    <w:rsid w:val="00770D97"/>
    <w:rsid w:val="00770DE9"/>
    <w:rsid w:val="00770F2F"/>
    <w:rsid w:val="00770FE0"/>
    <w:rsid w:val="0077100C"/>
    <w:rsid w:val="0077100D"/>
    <w:rsid w:val="007710D3"/>
    <w:rsid w:val="0077116B"/>
    <w:rsid w:val="00771174"/>
    <w:rsid w:val="007711AF"/>
    <w:rsid w:val="007712AF"/>
    <w:rsid w:val="007712E0"/>
    <w:rsid w:val="00771310"/>
    <w:rsid w:val="0077149D"/>
    <w:rsid w:val="0077152C"/>
    <w:rsid w:val="0077153D"/>
    <w:rsid w:val="007715C1"/>
    <w:rsid w:val="0077162C"/>
    <w:rsid w:val="0077164D"/>
    <w:rsid w:val="00771667"/>
    <w:rsid w:val="0077166C"/>
    <w:rsid w:val="00771680"/>
    <w:rsid w:val="0077168E"/>
    <w:rsid w:val="007716B1"/>
    <w:rsid w:val="0077185F"/>
    <w:rsid w:val="00771862"/>
    <w:rsid w:val="0077188B"/>
    <w:rsid w:val="007718C4"/>
    <w:rsid w:val="00771973"/>
    <w:rsid w:val="00771A8A"/>
    <w:rsid w:val="00771AB1"/>
    <w:rsid w:val="00771AEA"/>
    <w:rsid w:val="00771B6B"/>
    <w:rsid w:val="00771B6F"/>
    <w:rsid w:val="00771C23"/>
    <w:rsid w:val="00771C2C"/>
    <w:rsid w:val="00771C2D"/>
    <w:rsid w:val="00771C57"/>
    <w:rsid w:val="00771D5E"/>
    <w:rsid w:val="00771D7E"/>
    <w:rsid w:val="00771F24"/>
    <w:rsid w:val="00772038"/>
    <w:rsid w:val="007721EB"/>
    <w:rsid w:val="007721EE"/>
    <w:rsid w:val="00772282"/>
    <w:rsid w:val="0077231A"/>
    <w:rsid w:val="0077233A"/>
    <w:rsid w:val="00772468"/>
    <w:rsid w:val="00772484"/>
    <w:rsid w:val="007724F2"/>
    <w:rsid w:val="007725AA"/>
    <w:rsid w:val="007725E2"/>
    <w:rsid w:val="007726F8"/>
    <w:rsid w:val="0077271E"/>
    <w:rsid w:val="00772746"/>
    <w:rsid w:val="00772754"/>
    <w:rsid w:val="007727B9"/>
    <w:rsid w:val="007728A8"/>
    <w:rsid w:val="007728E2"/>
    <w:rsid w:val="0077293B"/>
    <w:rsid w:val="0077293E"/>
    <w:rsid w:val="00772947"/>
    <w:rsid w:val="0077297A"/>
    <w:rsid w:val="0077298E"/>
    <w:rsid w:val="007729B0"/>
    <w:rsid w:val="00772A4D"/>
    <w:rsid w:val="00772A7F"/>
    <w:rsid w:val="00772B66"/>
    <w:rsid w:val="00772B6E"/>
    <w:rsid w:val="00772B8D"/>
    <w:rsid w:val="00772BCF"/>
    <w:rsid w:val="00772C9C"/>
    <w:rsid w:val="00772CD8"/>
    <w:rsid w:val="00772D2A"/>
    <w:rsid w:val="00772D3E"/>
    <w:rsid w:val="00772DD4"/>
    <w:rsid w:val="00772DF1"/>
    <w:rsid w:val="00772E29"/>
    <w:rsid w:val="00772E42"/>
    <w:rsid w:val="00772E81"/>
    <w:rsid w:val="00772E9D"/>
    <w:rsid w:val="00772EA4"/>
    <w:rsid w:val="00772EE5"/>
    <w:rsid w:val="00772EEF"/>
    <w:rsid w:val="0077312E"/>
    <w:rsid w:val="00773151"/>
    <w:rsid w:val="007731E1"/>
    <w:rsid w:val="007731EE"/>
    <w:rsid w:val="007731FB"/>
    <w:rsid w:val="0077335D"/>
    <w:rsid w:val="00773370"/>
    <w:rsid w:val="00773393"/>
    <w:rsid w:val="007733CF"/>
    <w:rsid w:val="007733FD"/>
    <w:rsid w:val="00773485"/>
    <w:rsid w:val="00773486"/>
    <w:rsid w:val="007734E8"/>
    <w:rsid w:val="007734FD"/>
    <w:rsid w:val="00773635"/>
    <w:rsid w:val="0077366F"/>
    <w:rsid w:val="007736CF"/>
    <w:rsid w:val="007736F4"/>
    <w:rsid w:val="00773759"/>
    <w:rsid w:val="0077377A"/>
    <w:rsid w:val="0077377D"/>
    <w:rsid w:val="00773801"/>
    <w:rsid w:val="0077384B"/>
    <w:rsid w:val="00773869"/>
    <w:rsid w:val="0077389D"/>
    <w:rsid w:val="00773928"/>
    <w:rsid w:val="00773956"/>
    <w:rsid w:val="00773972"/>
    <w:rsid w:val="0077399C"/>
    <w:rsid w:val="00773B8D"/>
    <w:rsid w:val="00773C5E"/>
    <w:rsid w:val="00773C62"/>
    <w:rsid w:val="00773CD5"/>
    <w:rsid w:val="00773D1D"/>
    <w:rsid w:val="00773D46"/>
    <w:rsid w:val="00773D48"/>
    <w:rsid w:val="00773D69"/>
    <w:rsid w:val="00773D87"/>
    <w:rsid w:val="00773DD3"/>
    <w:rsid w:val="00773E67"/>
    <w:rsid w:val="00773E69"/>
    <w:rsid w:val="00773E95"/>
    <w:rsid w:val="00773EFA"/>
    <w:rsid w:val="00773F15"/>
    <w:rsid w:val="00773F1C"/>
    <w:rsid w:val="00773F83"/>
    <w:rsid w:val="007740B6"/>
    <w:rsid w:val="00774234"/>
    <w:rsid w:val="0077424C"/>
    <w:rsid w:val="0077429F"/>
    <w:rsid w:val="007743EB"/>
    <w:rsid w:val="00774403"/>
    <w:rsid w:val="007744C6"/>
    <w:rsid w:val="00774573"/>
    <w:rsid w:val="00774603"/>
    <w:rsid w:val="0077460E"/>
    <w:rsid w:val="00774670"/>
    <w:rsid w:val="007746F4"/>
    <w:rsid w:val="00774773"/>
    <w:rsid w:val="0077478A"/>
    <w:rsid w:val="00774800"/>
    <w:rsid w:val="00774831"/>
    <w:rsid w:val="00774880"/>
    <w:rsid w:val="00774A23"/>
    <w:rsid w:val="00774AAF"/>
    <w:rsid w:val="00774AD2"/>
    <w:rsid w:val="00774B5E"/>
    <w:rsid w:val="00774BE4"/>
    <w:rsid w:val="00774C12"/>
    <w:rsid w:val="00774C1E"/>
    <w:rsid w:val="00774C55"/>
    <w:rsid w:val="00774CB5"/>
    <w:rsid w:val="00774D9C"/>
    <w:rsid w:val="00774DA6"/>
    <w:rsid w:val="00774F28"/>
    <w:rsid w:val="00774F2E"/>
    <w:rsid w:val="00774FFA"/>
    <w:rsid w:val="00775015"/>
    <w:rsid w:val="00775049"/>
    <w:rsid w:val="0077504C"/>
    <w:rsid w:val="0077518C"/>
    <w:rsid w:val="00775204"/>
    <w:rsid w:val="0077529B"/>
    <w:rsid w:val="007752B9"/>
    <w:rsid w:val="00775449"/>
    <w:rsid w:val="007754CD"/>
    <w:rsid w:val="007754D2"/>
    <w:rsid w:val="00775631"/>
    <w:rsid w:val="00775651"/>
    <w:rsid w:val="00775829"/>
    <w:rsid w:val="0077583A"/>
    <w:rsid w:val="0077584B"/>
    <w:rsid w:val="0077586E"/>
    <w:rsid w:val="00775896"/>
    <w:rsid w:val="00775949"/>
    <w:rsid w:val="00775951"/>
    <w:rsid w:val="00775A4D"/>
    <w:rsid w:val="00775ACC"/>
    <w:rsid w:val="00775AE3"/>
    <w:rsid w:val="00775AF7"/>
    <w:rsid w:val="00775B83"/>
    <w:rsid w:val="00775C5E"/>
    <w:rsid w:val="00775DA0"/>
    <w:rsid w:val="00775DB3"/>
    <w:rsid w:val="00775E11"/>
    <w:rsid w:val="00775E67"/>
    <w:rsid w:val="00775EFB"/>
    <w:rsid w:val="00775F49"/>
    <w:rsid w:val="00775F64"/>
    <w:rsid w:val="00775F6E"/>
    <w:rsid w:val="00776053"/>
    <w:rsid w:val="0077607E"/>
    <w:rsid w:val="007760AF"/>
    <w:rsid w:val="0077611E"/>
    <w:rsid w:val="00776154"/>
    <w:rsid w:val="007761C5"/>
    <w:rsid w:val="00776250"/>
    <w:rsid w:val="0077632A"/>
    <w:rsid w:val="0077634A"/>
    <w:rsid w:val="007763CF"/>
    <w:rsid w:val="0077665D"/>
    <w:rsid w:val="00776682"/>
    <w:rsid w:val="00776693"/>
    <w:rsid w:val="007766BE"/>
    <w:rsid w:val="00776702"/>
    <w:rsid w:val="00776711"/>
    <w:rsid w:val="00776814"/>
    <w:rsid w:val="00776883"/>
    <w:rsid w:val="007768C1"/>
    <w:rsid w:val="007768F2"/>
    <w:rsid w:val="0077692A"/>
    <w:rsid w:val="0077692F"/>
    <w:rsid w:val="00776A1D"/>
    <w:rsid w:val="00776B7B"/>
    <w:rsid w:val="00776C37"/>
    <w:rsid w:val="00776CFF"/>
    <w:rsid w:val="00776D89"/>
    <w:rsid w:val="00776DBC"/>
    <w:rsid w:val="00776E70"/>
    <w:rsid w:val="00776E88"/>
    <w:rsid w:val="00776EF8"/>
    <w:rsid w:val="00776F9E"/>
    <w:rsid w:val="00777053"/>
    <w:rsid w:val="0077706F"/>
    <w:rsid w:val="00777071"/>
    <w:rsid w:val="00777080"/>
    <w:rsid w:val="00777084"/>
    <w:rsid w:val="007770BE"/>
    <w:rsid w:val="007771E9"/>
    <w:rsid w:val="0077724F"/>
    <w:rsid w:val="007772CE"/>
    <w:rsid w:val="007772E9"/>
    <w:rsid w:val="0077731E"/>
    <w:rsid w:val="007773CA"/>
    <w:rsid w:val="007774B1"/>
    <w:rsid w:val="00777515"/>
    <w:rsid w:val="0077767B"/>
    <w:rsid w:val="00777685"/>
    <w:rsid w:val="007776A2"/>
    <w:rsid w:val="007776B6"/>
    <w:rsid w:val="007776E0"/>
    <w:rsid w:val="0077778C"/>
    <w:rsid w:val="007777BB"/>
    <w:rsid w:val="007777D7"/>
    <w:rsid w:val="0077788B"/>
    <w:rsid w:val="00777892"/>
    <w:rsid w:val="0077789F"/>
    <w:rsid w:val="00777901"/>
    <w:rsid w:val="0077799B"/>
    <w:rsid w:val="007779D2"/>
    <w:rsid w:val="007779F9"/>
    <w:rsid w:val="00777AAD"/>
    <w:rsid w:val="00777B5A"/>
    <w:rsid w:val="00777C17"/>
    <w:rsid w:val="00777C2F"/>
    <w:rsid w:val="00777C3D"/>
    <w:rsid w:val="00777C4C"/>
    <w:rsid w:val="00777D1A"/>
    <w:rsid w:val="00777D2E"/>
    <w:rsid w:val="00777D75"/>
    <w:rsid w:val="00777E77"/>
    <w:rsid w:val="00777EBF"/>
    <w:rsid w:val="00777F55"/>
    <w:rsid w:val="00777F65"/>
    <w:rsid w:val="00777F85"/>
    <w:rsid w:val="00777FDC"/>
    <w:rsid w:val="0078001F"/>
    <w:rsid w:val="00780035"/>
    <w:rsid w:val="00780085"/>
    <w:rsid w:val="007801FD"/>
    <w:rsid w:val="00780210"/>
    <w:rsid w:val="00780255"/>
    <w:rsid w:val="00780285"/>
    <w:rsid w:val="0078040A"/>
    <w:rsid w:val="00780549"/>
    <w:rsid w:val="007805AE"/>
    <w:rsid w:val="007805C5"/>
    <w:rsid w:val="0078060A"/>
    <w:rsid w:val="0078076D"/>
    <w:rsid w:val="00780784"/>
    <w:rsid w:val="00780850"/>
    <w:rsid w:val="007808AC"/>
    <w:rsid w:val="007808DD"/>
    <w:rsid w:val="00780909"/>
    <w:rsid w:val="0078095B"/>
    <w:rsid w:val="007809F4"/>
    <w:rsid w:val="00780A22"/>
    <w:rsid w:val="00780A61"/>
    <w:rsid w:val="00780ADB"/>
    <w:rsid w:val="00780B9C"/>
    <w:rsid w:val="00780C23"/>
    <w:rsid w:val="00780C40"/>
    <w:rsid w:val="00780C5B"/>
    <w:rsid w:val="00780CFD"/>
    <w:rsid w:val="00780D13"/>
    <w:rsid w:val="00780D4D"/>
    <w:rsid w:val="00780DE1"/>
    <w:rsid w:val="00780E26"/>
    <w:rsid w:val="00780E46"/>
    <w:rsid w:val="00780ECD"/>
    <w:rsid w:val="00780F70"/>
    <w:rsid w:val="00780F79"/>
    <w:rsid w:val="00780FFD"/>
    <w:rsid w:val="007810DE"/>
    <w:rsid w:val="007810E3"/>
    <w:rsid w:val="0078113C"/>
    <w:rsid w:val="0078124B"/>
    <w:rsid w:val="00781290"/>
    <w:rsid w:val="007812DD"/>
    <w:rsid w:val="007812EB"/>
    <w:rsid w:val="0078138F"/>
    <w:rsid w:val="00781421"/>
    <w:rsid w:val="00781441"/>
    <w:rsid w:val="00781455"/>
    <w:rsid w:val="00781472"/>
    <w:rsid w:val="0078148F"/>
    <w:rsid w:val="0078149C"/>
    <w:rsid w:val="007814EC"/>
    <w:rsid w:val="0078152F"/>
    <w:rsid w:val="00781571"/>
    <w:rsid w:val="00781678"/>
    <w:rsid w:val="00781711"/>
    <w:rsid w:val="0078177F"/>
    <w:rsid w:val="00781839"/>
    <w:rsid w:val="007818A8"/>
    <w:rsid w:val="00781902"/>
    <w:rsid w:val="007819C2"/>
    <w:rsid w:val="007819F4"/>
    <w:rsid w:val="00781BE8"/>
    <w:rsid w:val="00781C41"/>
    <w:rsid w:val="00781C59"/>
    <w:rsid w:val="00781C6C"/>
    <w:rsid w:val="00781DFA"/>
    <w:rsid w:val="00781E54"/>
    <w:rsid w:val="00781FCF"/>
    <w:rsid w:val="0078202E"/>
    <w:rsid w:val="00782033"/>
    <w:rsid w:val="00782067"/>
    <w:rsid w:val="007820A5"/>
    <w:rsid w:val="007820F4"/>
    <w:rsid w:val="0078215C"/>
    <w:rsid w:val="007821D2"/>
    <w:rsid w:val="00782211"/>
    <w:rsid w:val="00782261"/>
    <w:rsid w:val="00782355"/>
    <w:rsid w:val="00782372"/>
    <w:rsid w:val="0078245B"/>
    <w:rsid w:val="00782476"/>
    <w:rsid w:val="007824DD"/>
    <w:rsid w:val="00782558"/>
    <w:rsid w:val="00782564"/>
    <w:rsid w:val="0078261E"/>
    <w:rsid w:val="00782675"/>
    <w:rsid w:val="00782695"/>
    <w:rsid w:val="007826C7"/>
    <w:rsid w:val="00782783"/>
    <w:rsid w:val="00782813"/>
    <w:rsid w:val="00782820"/>
    <w:rsid w:val="007828BD"/>
    <w:rsid w:val="007829C8"/>
    <w:rsid w:val="007829CF"/>
    <w:rsid w:val="007829DF"/>
    <w:rsid w:val="00782A09"/>
    <w:rsid w:val="00782AB1"/>
    <w:rsid w:val="00782AD8"/>
    <w:rsid w:val="00782B17"/>
    <w:rsid w:val="00782B3E"/>
    <w:rsid w:val="00782CE2"/>
    <w:rsid w:val="00782D39"/>
    <w:rsid w:val="00782E09"/>
    <w:rsid w:val="00782E18"/>
    <w:rsid w:val="00782E41"/>
    <w:rsid w:val="00782E70"/>
    <w:rsid w:val="00782E96"/>
    <w:rsid w:val="00782F91"/>
    <w:rsid w:val="00783031"/>
    <w:rsid w:val="00783067"/>
    <w:rsid w:val="0078306A"/>
    <w:rsid w:val="0078306D"/>
    <w:rsid w:val="007830CE"/>
    <w:rsid w:val="007830EB"/>
    <w:rsid w:val="00783137"/>
    <w:rsid w:val="00783176"/>
    <w:rsid w:val="0078317C"/>
    <w:rsid w:val="0078317F"/>
    <w:rsid w:val="007831B2"/>
    <w:rsid w:val="007831D8"/>
    <w:rsid w:val="0078327E"/>
    <w:rsid w:val="00783299"/>
    <w:rsid w:val="007832D4"/>
    <w:rsid w:val="00783306"/>
    <w:rsid w:val="00783333"/>
    <w:rsid w:val="00783358"/>
    <w:rsid w:val="00783378"/>
    <w:rsid w:val="00783436"/>
    <w:rsid w:val="0078345D"/>
    <w:rsid w:val="0078358B"/>
    <w:rsid w:val="007835B9"/>
    <w:rsid w:val="00783654"/>
    <w:rsid w:val="00783672"/>
    <w:rsid w:val="00783692"/>
    <w:rsid w:val="007836AD"/>
    <w:rsid w:val="00783809"/>
    <w:rsid w:val="007838B4"/>
    <w:rsid w:val="007839BC"/>
    <w:rsid w:val="007839CD"/>
    <w:rsid w:val="00783A36"/>
    <w:rsid w:val="00783AAD"/>
    <w:rsid w:val="00783B7F"/>
    <w:rsid w:val="00783B83"/>
    <w:rsid w:val="00783BA6"/>
    <w:rsid w:val="00783C04"/>
    <w:rsid w:val="00783C2E"/>
    <w:rsid w:val="00783C80"/>
    <w:rsid w:val="00783E0F"/>
    <w:rsid w:val="00783E19"/>
    <w:rsid w:val="00783E2A"/>
    <w:rsid w:val="00783E82"/>
    <w:rsid w:val="00783E86"/>
    <w:rsid w:val="00783F7C"/>
    <w:rsid w:val="00783FA2"/>
    <w:rsid w:val="00784041"/>
    <w:rsid w:val="00784068"/>
    <w:rsid w:val="007840B6"/>
    <w:rsid w:val="007840EE"/>
    <w:rsid w:val="007840F3"/>
    <w:rsid w:val="007841CD"/>
    <w:rsid w:val="0078427D"/>
    <w:rsid w:val="007842C2"/>
    <w:rsid w:val="00784317"/>
    <w:rsid w:val="00784387"/>
    <w:rsid w:val="007843E7"/>
    <w:rsid w:val="0078444A"/>
    <w:rsid w:val="007844D9"/>
    <w:rsid w:val="00784536"/>
    <w:rsid w:val="0078455C"/>
    <w:rsid w:val="00784577"/>
    <w:rsid w:val="007845AF"/>
    <w:rsid w:val="00784646"/>
    <w:rsid w:val="007846A2"/>
    <w:rsid w:val="007846FE"/>
    <w:rsid w:val="0078474A"/>
    <w:rsid w:val="007847B1"/>
    <w:rsid w:val="0078482A"/>
    <w:rsid w:val="0078485B"/>
    <w:rsid w:val="007848C4"/>
    <w:rsid w:val="0078491A"/>
    <w:rsid w:val="007849CD"/>
    <w:rsid w:val="00784A1E"/>
    <w:rsid w:val="00784A33"/>
    <w:rsid w:val="00784A44"/>
    <w:rsid w:val="00784AD2"/>
    <w:rsid w:val="00784BB1"/>
    <w:rsid w:val="00784DD8"/>
    <w:rsid w:val="00784E94"/>
    <w:rsid w:val="00784EB0"/>
    <w:rsid w:val="00784F19"/>
    <w:rsid w:val="00784F1F"/>
    <w:rsid w:val="00784F4B"/>
    <w:rsid w:val="00784F7E"/>
    <w:rsid w:val="00784FBC"/>
    <w:rsid w:val="007850A8"/>
    <w:rsid w:val="007851EB"/>
    <w:rsid w:val="0078522C"/>
    <w:rsid w:val="0078523D"/>
    <w:rsid w:val="00785258"/>
    <w:rsid w:val="007852B3"/>
    <w:rsid w:val="0078531E"/>
    <w:rsid w:val="00785394"/>
    <w:rsid w:val="00785412"/>
    <w:rsid w:val="0078541C"/>
    <w:rsid w:val="0078542A"/>
    <w:rsid w:val="00785514"/>
    <w:rsid w:val="007855A5"/>
    <w:rsid w:val="007855AD"/>
    <w:rsid w:val="0078562D"/>
    <w:rsid w:val="00785650"/>
    <w:rsid w:val="0078569A"/>
    <w:rsid w:val="007856CC"/>
    <w:rsid w:val="00785787"/>
    <w:rsid w:val="007857A9"/>
    <w:rsid w:val="00785839"/>
    <w:rsid w:val="0078586E"/>
    <w:rsid w:val="00785879"/>
    <w:rsid w:val="00785973"/>
    <w:rsid w:val="007859C4"/>
    <w:rsid w:val="007859D9"/>
    <w:rsid w:val="00785A74"/>
    <w:rsid w:val="00785ACC"/>
    <w:rsid w:val="00785BBD"/>
    <w:rsid w:val="00785C78"/>
    <w:rsid w:val="00785CC7"/>
    <w:rsid w:val="00785D0F"/>
    <w:rsid w:val="00785DDC"/>
    <w:rsid w:val="00785E37"/>
    <w:rsid w:val="00785E3A"/>
    <w:rsid w:val="00785E46"/>
    <w:rsid w:val="00785EC9"/>
    <w:rsid w:val="00785EF6"/>
    <w:rsid w:val="00785F57"/>
    <w:rsid w:val="00785F72"/>
    <w:rsid w:val="00785FA6"/>
    <w:rsid w:val="00786080"/>
    <w:rsid w:val="0078610A"/>
    <w:rsid w:val="007862DC"/>
    <w:rsid w:val="0078632F"/>
    <w:rsid w:val="00786357"/>
    <w:rsid w:val="007863A1"/>
    <w:rsid w:val="007863D1"/>
    <w:rsid w:val="007863E3"/>
    <w:rsid w:val="0078644E"/>
    <w:rsid w:val="00786615"/>
    <w:rsid w:val="0078663C"/>
    <w:rsid w:val="00786733"/>
    <w:rsid w:val="007867B8"/>
    <w:rsid w:val="007867ED"/>
    <w:rsid w:val="00786857"/>
    <w:rsid w:val="00786862"/>
    <w:rsid w:val="0078688F"/>
    <w:rsid w:val="00786913"/>
    <w:rsid w:val="00786920"/>
    <w:rsid w:val="0078697C"/>
    <w:rsid w:val="00786992"/>
    <w:rsid w:val="0078699B"/>
    <w:rsid w:val="0078699E"/>
    <w:rsid w:val="00786A08"/>
    <w:rsid w:val="00786A48"/>
    <w:rsid w:val="00786AAB"/>
    <w:rsid w:val="00786AD5"/>
    <w:rsid w:val="00786B80"/>
    <w:rsid w:val="00786BFA"/>
    <w:rsid w:val="00786C83"/>
    <w:rsid w:val="00786CFC"/>
    <w:rsid w:val="00786D18"/>
    <w:rsid w:val="00786D65"/>
    <w:rsid w:val="00786EBA"/>
    <w:rsid w:val="00786F51"/>
    <w:rsid w:val="00786FCB"/>
    <w:rsid w:val="0078700E"/>
    <w:rsid w:val="007870D0"/>
    <w:rsid w:val="0078710F"/>
    <w:rsid w:val="0078714F"/>
    <w:rsid w:val="00787151"/>
    <w:rsid w:val="007871A3"/>
    <w:rsid w:val="00787200"/>
    <w:rsid w:val="007872DA"/>
    <w:rsid w:val="007872F8"/>
    <w:rsid w:val="007873B6"/>
    <w:rsid w:val="007873C6"/>
    <w:rsid w:val="0078740E"/>
    <w:rsid w:val="00787410"/>
    <w:rsid w:val="007874B4"/>
    <w:rsid w:val="00787576"/>
    <w:rsid w:val="0078763B"/>
    <w:rsid w:val="00787736"/>
    <w:rsid w:val="00787820"/>
    <w:rsid w:val="00787836"/>
    <w:rsid w:val="0078788F"/>
    <w:rsid w:val="007878B3"/>
    <w:rsid w:val="00787920"/>
    <w:rsid w:val="007879A8"/>
    <w:rsid w:val="00787AC7"/>
    <w:rsid w:val="00787AFF"/>
    <w:rsid w:val="00787B00"/>
    <w:rsid w:val="00787B4F"/>
    <w:rsid w:val="00787C56"/>
    <w:rsid w:val="00787D06"/>
    <w:rsid w:val="00787D48"/>
    <w:rsid w:val="00787D85"/>
    <w:rsid w:val="00787DFA"/>
    <w:rsid w:val="00787E82"/>
    <w:rsid w:val="00787EF9"/>
    <w:rsid w:val="00787F73"/>
    <w:rsid w:val="00787F74"/>
    <w:rsid w:val="007900BC"/>
    <w:rsid w:val="00790140"/>
    <w:rsid w:val="00790198"/>
    <w:rsid w:val="007901CD"/>
    <w:rsid w:val="00790259"/>
    <w:rsid w:val="007902DF"/>
    <w:rsid w:val="0079031E"/>
    <w:rsid w:val="00790372"/>
    <w:rsid w:val="00790391"/>
    <w:rsid w:val="00790474"/>
    <w:rsid w:val="00790482"/>
    <w:rsid w:val="00790523"/>
    <w:rsid w:val="007905CC"/>
    <w:rsid w:val="0079061B"/>
    <w:rsid w:val="00790637"/>
    <w:rsid w:val="0079067A"/>
    <w:rsid w:val="00790683"/>
    <w:rsid w:val="0079068E"/>
    <w:rsid w:val="0079078A"/>
    <w:rsid w:val="007907DB"/>
    <w:rsid w:val="00790828"/>
    <w:rsid w:val="0079082F"/>
    <w:rsid w:val="0079084C"/>
    <w:rsid w:val="007908C3"/>
    <w:rsid w:val="007908C7"/>
    <w:rsid w:val="007908DB"/>
    <w:rsid w:val="00790915"/>
    <w:rsid w:val="0079091C"/>
    <w:rsid w:val="0079098E"/>
    <w:rsid w:val="00790A57"/>
    <w:rsid w:val="00790AA2"/>
    <w:rsid w:val="00790AD1"/>
    <w:rsid w:val="00790AE3"/>
    <w:rsid w:val="00790BFD"/>
    <w:rsid w:val="00790C5B"/>
    <w:rsid w:val="00790D46"/>
    <w:rsid w:val="00790E15"/>
    <w:rsid w:val="00790E19"/>
    <w:rsid w:val="00790EE8"/>
    <w:rsid w:val="00790F77"/>
    <w:rsid w:val="00790FEA"/>
    <w:rsid w:val="00790FF3"/>
    <w:rsid w:val="00791007"/>
    <w:rsid w:val="0079103C"/>
    <w:rsid w:val="007910E0"/>
    <w:rsid w:val="007910F7"/>
    <w:rsid w:val="007911D6"/>
    <w:rsid w:val="00791244"/>
    <w:rsid w:val="00791254"/>
    <w:rsid w:val="0079129D"/>
    <w:rsid w:val="007912B5"/>
    <w:rsid w:val="0079135E"/>
    <w:rsid w:val="00791399"/>
    <w:rsid w:val="007913AC"/>
    <w:rsid w:val="0079149C"/>
    <w:rsid w:val="007914DF"/>
    <w:rsid w:val="00791510"/>
    <w:rsid w:val="00791589"/>
    <w:rsid w:val="00791593"/>
    <w:rsid w:val="007915C6"/>
    <w:rsid w:val="00791604"/>
    <w:rsid w:val="0079161A"/>
    <w:rsid w:val="00791634"/>
    <w:rsid w:val="00791654"/>
    <w:rsid w:val="007916A3"/>
    <w:rsid w:val="007916A9"/>
    <w:rsid w:val="007916BB"/>
    <w:rsid w:val="00791787"/>
    <w:rsid w:val="00791882"/>
    <w:rsid w:val="007918CC"/>
    <w:rsid w:val="00791934"/>
    <w:rsid w:val="00791A01"/>
    <w:rsid w:val="00791ABA"/>
    <w:rsid w:val="00791B72"/>
    <w:rsid w:val="00791B80"/>
    <w:rsid w:val="00791BDE"/>
    <w:rsid w:val="00791C30"/>
    <w:rsid w:val="00791D14"/>
    <w:rsid w:val="00791DB3"/>
    <w:rsid w:val="00791DF8"/>
    <w:rsid w:val="00791E20"/>
    <w:rsid w:val="00791EAB"/>
    <w:rsid w:val="00791F2B"/>
    <w:rsid w:val="00791F82"/>
    <w:rsid w:val="00792006"/>
    <w:rsid w:val="00792044"/>
    <w:rsid w:val="00792079"/>
    <w:rsid w:val="007920E4"/>
    <w:rsid w:val="00792104"/>
    <w:rsid w:val="00792106"/>
    <w:rsid w:val="00792137"/>
    <w:rsid w:val="00792173"/>
    <w:rsid w:val="0079218C"/>
    <w:rsid w:val="00792243"/>
    <w:rsid w:val="0079225F"/>
    <w:rsid w:val="0079227B"/>
    <w:rsid w:val="007922B5"/>
    <w:rsid w:val="007922C7"/>
    <w:rsid w:val="007922DC"/>
    <w:rsid w:val="00792309"/>
    <w:rsid w:val="007923C0"/>
    <w:rsid w:val="007923F0"/>
    <w:rsid w:val="00792461"/>
    <w:rsid w:val="0079247C"/>
    <w:rsid w:val="0079249B"/>
    <w:rsid w:val="007924A0"/>
    <w:rsid w:val="0079253B"/>
    <w:rsid w:val="0079260A"/>
    <w:rsid w:val="007926CF"/>
    <w:rsid w:val="007926E4"/>
    <w:rsid w:val="007926F6"/>
    <w:rsid w:val="0079276B"/>
    <w:rsid w:val="007927B5"/>
    <w:rsid w:val="0079281A"/>
    <w:rsid w:val="0079288A"/>
    <w:rsid w:val="007928EC"/>
    <w:rsid w:val="007928F9"/>
    <w:rsid w:val="00792961"/>
    <w:rsid w:val="00792A48"/>
    <w:rsid w:val="00792A94"/>
    <w:rsid w:val="00792B0D"/>
    <w:rsid w:val="00792BBE"/>
    <w:rsid w:val="00792BDD"/>
    <w:rsid w:val="00792C25"/>
    <w:rsid w:val="00792C72"/>
    <w:rsid w:val="00792D49"/>
    <w:rsid w:val="00792DA7"/>
    <w:rsid w:val="00792DD7"/>
    <w:rsid w:val="00792E15"/>
    <w:rsid w:val="00792E2A"/>
    <w:rsid w:val="00792F12"/>
    <w:rsid w:val="00792F25"/>
    <w:rsid w:val="00792F71"/>
    <w:rsid w:val="00792FD1"/>
    <w:rsid w:val="00792FD5"/>
    <w:rsid w:val="00792FDB"/>
    <w:rsid w:val="00793116"/>
    <w:rsid w:val="00793184"/>
    <w:rsid w:val="007931CD"/>
    <w:rsid w:val="0079325C"/>
    <w:rsid w:val="00793269"/>
    <w:rsid w:val="007932A1"/>
    <w:rsid w:val="00793300"/>
    <w:rsid w:val="00793338"/>
    <w:rsid w:val="007933D2"/>
    <w:rsid w:val="007934A5"/>
    <w:rsid w:val="007935C1"/>
    <w:rsid w:val="00793681"/>
    <w:rsid w:val="007936A2"/>
    <w:rsid w:val="00793710"/>
    <w:rsid w:val="0079374B"/>
    <w:rsid w:val="00793807"/>
    <w:rsid w:val="0079385B"/>
    <w:rsid w:val="00793864"/>
    <w:rsid w:val="0079386C"/>
    <w:rsid w:val="0079388D"/>
    <w:rsid w:val="007938C7"/>
    <w:rsid w:val="00793935"/>
    <w:rsid w:val="0079393C"/>
    <w:rsid w:val="00793952"/>
    <w:rsid w:val="0079395A"/>
    <w:rsid w:val="007939D6"/>
    <w:rsid w:val="00793A23"/>
    <w:rsid w:val="00793BB0"/>
    <w:rsid w:val="00793BFA"/>
    <w:rsid w:val="00793C71"/>
    <w:rsid w:val="00793CD9"/>
    <w:rsid w:val="00793D0A"/>
    <w:rsid w:val="00793D2A"/>
    <w:rsid w:val="00793DCF"/>
    <w:rsid w:val="00793E42"/>
    <w:rsid w:val="00793F17"/>
    <w:rsid w:val="00793F50"/>
    <w:rsid w:val="00793FAC"/>
    <w:rsid w:val="00793FBA"/>
    <w:rsid w:val="00794003"/>
    <w:rsid w:val="00794090"/>
    <w:rsid w:val="00794100"/>
    <w:rsid w:val="00794112"/>
    <w:rsid w:val="007941D2"/>
    <w:rsid w:val="0079422E"/>
    <w:rsid w:val="0079424C"/>
    <w:rsid w:val="0079425E"/>
    <w:rsid w:val="007943B2"/>
    <w:rsid w:val="00794405"/>
    <w:rsid w:val="007944DA"/>
    <w:rsid w:val="007944F1"/>
    <w:rsid w:val="0079453B"/>
    <w:rsid w:val="00794561"/>
    <w:rsid w:val="007945D7"/>
    <w:rsid w:val="007945EE"/>
    <w:rsid w:val="00794658"/>
    <w:rsid w:val="00794716"/>
    <w:rsid w:val="0079479E"/>
    <w:rsid w:val="007947F0"/>
    <w:rsid w:val="00794839"/>
    <w:rsid w:val="007948F0"/>
    <w:rsid w:val="0079490D"/>
    <w:rsid w:val="0079490F"/>
    <w:rsid w:val="007949DC"/>
    <w:rsid w:val="007949E5"/>
    <w:rsid w:val="00794A58"/>
    <w:rsid w:val="00794AF0"/>
    <w:rsid w:val="00794C47"/>
    <w:rsid w:val="00794CB5"/>
    <w:rsid w:val="00794D84"/>
    <w:rsid w:val="00794E41"/>
    <w:rsid w:val="00794EF3"/>
    <w:rsid w:val="00794F28"/>
    <w:rsid w:val="00794F67"/>
    <w:rsid w:val="00794FA6"/>
    <w:rsid w:val="0079502B"/>
    <w:rsid w:val="0079503F"/>
    <w:rsid w:val="00795076"/>
    <w:rsid w:val="007950FF"/>
    <w:rsid w:val="00795217"/>
    <w:rsid w:val="00795296"/>
    <w:rsid w:val="00795299"/>
    <w:rsid w:val="00795381"/>
    <w:rsid w:val="007953C0"/>
    <w:rsid w:val="0079547B"/>
    <w:rsid w:val="007954FF"/>
    <w:rsid w:val="00795547"/>
    <w:rsid w:val="007955AD"/>
    <w:rsid w:val="007955BB"/>
    <w:rsid w:val="007955C0"/>
    <w:rsid w:val="0079560A"/>
    <w:rsid w:val="00795613"/>
    <w:rsid w:val="00795673"/>
    <w:rsid w:val="00795688"/>
    <w:rsid w:val="007956B7"/>
    <w:rsid w:val="007957B3"/>
    <w:rsid w:val="007957B6"/>
    <w:rsid w:val="007958B6"/>
    <w:rsid w:val="007958FF"/>
    <w:rsid w:val="00795939"/>
    <w:rsid w:val="0079595B"/>
    <w:rsid w:val="0079595C"/>
    <w:rsid w:val="007959DB"/>
    <w:rsid w:val="00795A0F"/>
    <w:rsid w:val="00795A60"/>
    <w:rsid w:val="00795A98"/>
    <w:rsid w:val="00795A9C"/>
    <w:rsid w:val="00795AB8"/>
    <w:rsid w:val="00795AD7"/>
    <w:rsid w:val="00795AE7"/>
    <w:rsid w:val="00795BE2"/>
    <w:rsid w:val="00795BF6"/>
    <w:rsid w:val="00795BFF"/>
    <w:rsid w:val="00795D27"/>
    <w:rsid w:val="00795DD1"/>
    <w:rsid w:val="00795DEC"/>
    <w:rsid w:val="00795F29"/>
    <w:rsid w:val="00795F77"/>
    <w:rsid w:val="00796051"/>
    <w:rsid w:val="00796105"/>
    <w:rsid w:val="0079615F"/>
    <w:rsid w:val="00796160"/>
    <w:rsid w:val="00796212"/>
    <w:rsid w:val="00796307"/>
    <w:rsid w:val="007963DC"/>
    <w:rsid w:val="0079653D"/>
    <w:rsid w:val="0079656B"/>
    <w:rsid w:val="00796595"/>
    <w:rsid w:val="007965BB"/>
    <w:rsid w:val="00796607"/>
    <w:rsid w:val="00796770"/>
    <w:rsid w:val="0079678C"/>
    <w:rsid w:val="007967DD"/>
    <w:rsid w:val="007967DF"/>
    <w:rsid w:val="00796872"/>
    <w:rsid w:val="0079687F"/>
    <w:rsid w:val="007968D4"/>
    <w:rsid w:val="007968DD"/>
    <w:rsid w:val="00796998"/>
    <w:rsid w:val="007969D3"/>
    <w:rsid w:val="00796A0A"/>
    <w:rsid w:val="00796A97"/>
    <w:rsid w:val="00796AD0"/>
    <w:rsid w:val="00796BD7"/>
    <w:rsid w:val="00796BF6"/>
    <w:rsid w:val="00796C1B"/>
    <w:rsid w:val="00796C6A"/>
    <w:rsid w:val="00796CBC"/>
    <w:rsid w:val="00796E1D"/>
    <w:rsid w:val="00796E4E"/>
    <w:rsid w:val="00796E92"/>
    <w:rsid w:val="0079707A"/>
    <w:rsid w:val="0079710B"/>
    <w:rsid w:val="00797134"/>
    <w:rsid w:val="0079714F"/>
    <w:rsid w:val="007971E5"/>
    <w:rsid w:val="0079726C"/>
    <w:rsid w:val="007972BF"/>
    <w:rsid w:val="00797329"/>
    <w:rsid w:val="007973C9"/>
    <w:rsid w:val="00797456"/>
    <w:rsid w:val="007974AA"/>
    <w:rsid w:val="007975E7"/>
    <w:rsid w:val="00797641"/>
    <w:rsid w:val="00797649"/>
    <w:rsid w:val="00797651"/>
    <w:rsid w:val="0079772F"/>
    <w:rsid w:val="007977ED"/>
    <w:rsid w:val="007978EB"/>
    <w:rsid w:val="007978EF"/>
    <w:rsid w:val="007979E5"/>
    <w:rsid w:val="00797A53"/>
    <w:rsid w:val="00797B80"/>
    <w:rsid w:val="00797BA4"/>
    <w:rsid w:val="00797C67"/>
    <w:rsid w:val="00797D23"/>
    <w:rsid w:val="00797D33"/>
    <w:rsid w:val="00797D3E"/>
    <w:rsid w:val="00797E2D"/>
    <w:rsid w:val="00797FB7"/>
    <w:rsid w:val="007A0068"/>
    <w:rsid w:val="007A007C"/>
    <w:rsid w:val="007A0106"/>
    <w:rsid w:val="007A01CA"/>
    <w:rsid w:val="007A0206"/>
    <w:rsid w:val="007A020F"/>
    <w:rsid w:val="007A0212"/>
    <w:rsid w:val="007A0219"/>
    <w:rsid w:val="007A0256"/>
    <w:rsid w:val="007A0333"/>
    <w:rsid w:val="007A0344"/>
    <w:rsid w:val="007A0366"/>
    <w:rsid w:val="007A03B2"/>
    <w:rsid w:val="007A03EF"/>
    <w:rsid w:val="007A0426"/>
    <w:rsid w:val="007A04A5"/>
    <w:rsid w:val="007A04F7"/>
    <w:rsid w:val="007A0584"/>
    <w:rsid w:val="007A05AC"/>
    <w:rsid w:val="007A05CB"/>
    <w:rsid w:val="007A05F5"/>
    <w:rsid w:val="007A061D"/>
    <w:rsid w:val="007A0706"/>
    <w:rsid w:val="007A0711"/>
    <w:rsid w:val="007A0731"/>
    <w:rsid w:val="007A0735"/>
    <w:rsid w:val="007A080D"/>
    <w:rsid w:val="007A0818"/>
    <w:rsid w:val="007A087C"/>
    <w:rsid w:val="007A087E"/>
    <w:rsid w:val="007A089E"/>
    <w:rsid w:val="007A097C"/>
    <w:rsid w:val="007A09D8"/>
    <w:rsid w:val="007A0A0C"/>
    <w:rsid w:val="007A0A23"/>
    <w:rsid w:val="007A0A2D"/>
    <w:rsid w:val="007A0B76"/>
    <w:rsid w:val="007A0C6C"/>
    <w:rsid w:val="007A0C7C"/>
    <w:rsid w:val="007A0CE2"/>
    <w:rsid w:val="007A0E27"/>
    <w:rsid w:val="007A0E46"/>
    <w:rsid w:val="007A0EDD"/>
    <w:rsid w:val="007A0F16"/>
    <w:rsid w:val="007A0F32"/>
    <w:rsid w:val="007A0F61"/>
    <w:rsid w:val="007A1094"/>
    <w:rsid w:val="007A10CE"/>
    <w:rsid w:val="007A1157"/>
    <w:rsid w:val="007A1188"/>
    <w:rsid w:val="007A12C3"/>
    <w:rsid w:val="007A13B0"/>
    <w:rsid w:val="007A1491"/>
    <w:rsid w:val="007A14C0"/>
    <w:rsid w:val="007A1537"/>
    <w:rsid w:val="007A15AC"/>
    <w:rsid w:val="007A164E"/>
    <w:rsid w:val="007A169D"/>
    <w:rsid w:val="007A16E7"/>
    <w:rsid w:val="007A1747"/>
    <w:rsid w:val="007A1809"/>
    <w:rsid w:val="007A180E"/>
    <w:rsid w:val="007A1889"/>
    <w:rsid w:val="007A1985"/>
    <w:rsid w:val="007A19C5"/>
    <w:rsid w:val="007A1A02"/>
    <w:rsid w:val="007A1A6A"/>
    <w:rsid w:val="007A1AAA"/>
    <w:rsid w:val="007A1B02"/>
    <w:rsid w:val="007A1B0A"/>
    <w:rsid w:val="007A1B12"/>
    <w:rsid w:val="007A1B1F"/>
    <w:rsid w:val="007A1B55"/>
    <w:rsid w:val="007A1B5B"/>
    <w:rsid w:val="007A1BF2"/>
    <w:rsid w:val="007A1C82"/>
    <w:rsid w:val="007A1DD6"/>
    <w:rsid w:val="007A1E5B"/>
    <w:rsid w:val="007A1F1E"/>
    <w:rsid w:val="007A1F49"/>
    <w:rsid w:val="007A201A"/>
    <w:rsid w:val="007A2094"/>
    <w:rsid w:val="007A2125"/>
    <w:rsid w:val="007A213A"/>
    <w:rsid w:val="007A2259"/>
    <w:rsid w:val="007A22E6"/>
    <w:rsid w:val="007A22F1"/>
    <w:rsid w:val="007A22FF"/>
    <w:rsid w:val="007A232D"/>
    <w:rsid w:val="007A234D"/>
    <w:rsid w:val="007A23A3"/>
    <w:rsid w:val="007A24D9"/>
    <w:rsid w:val="007A24F7"/>
    <w:rsid w:val="007A251D"/>
    <w:rsid w:val="007A254C"/>
    <w:rsid w:val="007A25B9"/>
    <w:rsid w:val="007A25C8"/>
    <w:rsid w:val="007A272A"/>
    <w:rsid w:val="007A275F"/>
    <w:rsid w:val="007A27CD"/>
    <w:rsid w:val="007A27D4"/>
    <w:rsid w:val="007A27E4"/>
    <w:rsid w:val="007A280E"/>
    <w:rsid w:val="007A2824"/>
    <w:rsid w:val="007A287C"/>
    <w:rsid w:val="007A290E"/>
    <w:rsid w:val="007A2954"/>
    <w:rsid w:val="007A29AF"/>
    <w:rsid w:val="007A2A0C"/>
    <w:rsid w:val="007A2A53"/>
    <w:rsid w:val="007A2AB1"/>
    <w:rsid w:val="007A2ABC"/>
    <w:rsid w:val="007A2AD0"/>
    <w:rsid w:val="007A2B37"/>
    <w:rsid w:val="007A2B6E"/>
    <w:rsid w:val="007A2B88"/>
    <w:rsid w:val="007A2BA9"/>
    <w:rsid w:val="007A2C07"/>
    <w:rsid w:val="007A2C81"/>
    <w:rsid w:val="007A2C82"/>
    <w:rsid w:val="007A2C99"/>
    <w:rsid w:val="007A2DA9"/>
    <w:rsid w:val="007A2DB8"/>
    <w:rsid w:val="007A2DBD"/>
    <w:rsid w:val="007A2E0F"/>
    <w:rsid w:val="007A2E51"/>
    <w:rsid w:val="007A2EC6"/>
    <w:rsid w:val="007A2ED8"/>
    <w:rsid w:val="007A2EE0"/>
    <w:rsid w:val="007A2EE8"/>
    <w:rsid w:val="007A2FD9"/>
    <w:rsid w:val="007A2FE3"/>
    <w:rsid w:val="007A302C"/>
    <w:rsid w:val="007A3033"/>
    <w:rsid w:val="007A306B"/>
    <w:rsid w:val="007A3234"/>
    <w:rsid w:val="007A337B"/>
    <w:rsid w:val="007A33B2"/>
    <w:rsid w:val="007A347E"/>
    <w:rsid w:val="007A349A"/>
    <w:rsid w:val="007A34ED"/>
    <w:rsid w:val="007A34EE"/>
    <w:rsid w:val="007A354F"/>
    <w:rsid w:val="007A3581"/>
    <w:rsid w:val="007A3670"/>
    <w:rsid w:val="007A36ED"/>
    <w:rsid w:val="007A3759"/>
    <w:rsid w:val="007A3769"/>
    <w:rsid w:val="007A37DF"/>
    <w:rsid w:val="007A382E"/>
    <w:rsid w:val="007A38E0"/>
    <w:rsid w:val="007A39F6"/>
    <w:rsid w:val="007A3A19"/>
    <w:rsid w:val="007A3A20"/>
    <w:rsid w:val="007A3A90"/>
    <w:rsid w:val="007A3AF3"/>
    <w:rsid w:val="007A3B9F"/>
    <w:rsid w:val="007A3BBA"/>
    <w:rsid w:val="007A3C61"/>
    <w:rsid w:val="007A3D99"/>
    <w:rsid w:val="007A3E2F"/>
    <w:rsid w:val="007A3E7D"/>
    <w:rsid w:val="007A3E9B"/>
    <w:rsid w:val="007A3EA7"/>
    <w:rsid w:val="007A3F24"/>
    <w:rsid w:val="007A3F70"/>
    <w:rsid w:val="007A3F75"/>
    <w:rsid w:val="007A3FB5"/>
    <w:rsid w:val="007A3FC3"/>
    <w:rsid w:val="007A401A"/>
    <w:rsid w:val="007A402E"/>
    <w:rsid w:val="007A4143"/>
    <w:rsid w:val="007A4185"/>
    <w:rsid w:val="007A419C"/>
    <w:rsid w:val="007A41A5"/>
    <w:rsid w:val="007A41D0"/>
    <w:rsid w:val="007A4217"/>
    <w:rsid w:val="007A4332"/>
    <w:rsid w:val="007A4412"/>
    <w:rsid w:val="007A4465"/>
    <w:rsid w:val="007A44A7"/>
    <w:rsid w:val="007A44F4"/>
    <w:rsid w:val="007A4519"/>
    <w:rsid w:val="007A45D9"/>
    <w:rsid w:val="007A4600"/>
    <w:rsid w:val="007A463C"/>
    <w:rsid w:val="007A4662"/>
    <w:rsid w:val="007A46B2"/>
    <w:rsid w:val="007A46D5"/>
    <w:rsid w:val="007A491C"/>
    <w:rsid w:val="007A4A01"/>
    <w:rsid w:val="007A4A13"/>
    <w:rsid w:val="007A4A58"/>
    <w:rsid w:val="007A4A72"/>
    <w:rsid w:val="007A4A86"/>
    <w:rsid w:val="007A4A96"/>
    <w:rsid w:val="007A4ACA"/>
    <w:rsid w:val="007A4AE9"/>
    <w:rsid w:val="007A4BA6"/>
    <w:rsid w:val="007A4CE7"/>
    <w:rsid w:val="007A4CF2"/>
    <w:rsid w:val="007A4DA5"/>
    <w:rsid w:val="007A4E00"/>
    <w:rsid w:val="007A4E23"/>
    <w:rsid w:val="007A4E2B"/>
    <w:rsid w:val="007A4E39"/>
    <w:rsid w:val="007A4E61"/>
    <w:rsid w:val="007A4F7C"/>
    <w:rsid w:val="007A4FBD"/>
    <w:rsid w:val="007A5031"/>
    <w:rsid w:val="007A50F6"/>
    <w:rsid w:val="007A514E"/>
    <w:rsid w:val="007A51ED"/>
    <w:rsid w:val="007A52C5"/>
    <w:rsid w:val="007A52D3"/>
    <w:rsid w:val="007A5304"/>
    <w:rsid w:val="007A5307"/>
    <w:rsid w:val="007A5326"/>
    <w:rsid w:val="007A532C"/>
    <w:rsid w:val="007A5411"/>
    <w:rsid w:val="007A5416"/>
    <w:rsid w:val="007A5418"/>
    <w:rsid w:val="007A5447"/>
    <w:rsid w:val="007A54A1"/>
    <w:rsid w:val="007A54D0"/>
    <w:rsid w:val="007A54E9"/>
    <w:rsid w:val="007A5557"/>
    <w:rsid w:val="007A55D0"/>
    <w:rsid w:val="007A55F3"/>
    <w:rsid w:val="007A567E"/>
    <w:rsid w:val="007A56F4"/>
    <w:rsid w:val="007A572E"/>
    <w:rsid w:val="007A573E"/>
    <w:rsid w:val="007A5766"/>
    <w:rsid w:val="007A57C9"/>
    <w:rsid w:val="007A587D"/>
    <w:rsid w:val="007A5885"/>
    <w:rsid w:val="007A588D"/>
    <w:rsid w:val="007A58AD"/>
    <w:rsid w:val="007A58DB"/>
    <w:rsid w:val="007A595C"/>
    <w:rsid w:val="007A596B"/>
    <w:rsid w:val="007A5980"/>
    <w:rsid w:val="007A59B7"/>
    <w:rsid w:val="007A59CD"/>
    <w:rsid w:val="007A5A80"/>
    <w:rsid w:val="007A5ADB"/>
    <w:rsid w:val="007A5B6C"/>
    <w:rsid w:val="007A5B9F"/>
    <w:rsid w:val="007A5BC5"/>
    <w:rsid w:val="007A5C65"/>
    <w:rsid w:val="007A5CA9"/>
    <w:rsid w:val="007A5D03"/>
    <w:rsid w:val="007A5D5D"/>
    <w:rsid w:val="007A5D89"/>
    <w:rsid w:val="007A5E2F"/>
    <w:rsid w:val="007A5EB9"/>
    <w:rsid w:val="007A5F32"/>
    <w:rsid w:val="007A5FF6"/>
    <w:rsid w:val="007A6011"/>
    <w:rsid w:val="007A604E"/>
    <w:rsid w:val="007A6073"/>
    <w:rsid w:val="007A6089"/>
    <w:rsid w:val="007A609E"/>
    <w:rsid w:val="007A6132"/>
    <w:rsid w:val="007A6172"/>
    <w:rsid w:val="007A6256"/>
    <w:rsid w:val="007A63D3"/>
    <w:rsid w:val="007A640C"/>
    <w:rsid w:val="007A6485"/>
    <w:rsid w:val="007A6529"/>
    <w:rsid w:val="007A6530"/>
    <w:rsid w:val="007A6590"/>
    <w:rsid w:val="007A6601"/>
    <w:rsid w:val="007A663C"/>
    <w:rsid w:val="007A6647"/>
    <w:rsid w:val="007A670B"/>
    <w:rsid w:val="007A6718"/>
    <w:rsid w:val="007A67F0"/>
    <w:rsid w:val="007A6828"/>
    <w:rsid w:val="007A68DE"/>
    <w:rsid w:val="007A698D"/>
    <w:rsid w:val="007A699C"/>
    <w:rsid w:val="007A69D7"/>
    <w:rsid w:val="007A69DB"/>
    <w:rsid w:val="007A6A3A"/>
    <w:rsid w:val="007A6A47"/>
    <w:rsid w:val="007A6ADF"/>
    <w:rsid w:val="007A6B27"/>
    <w:rsid w:val="007A6B79"/>
    <w:rsid w:val="007A6CA6"/>
    <w:rsid w:val="007A6CB6"/>
    <w:rsid w:val="007A6D7A"/>
    <w:rsid w:val="007A6DBE"/>
    <w:rsid w:val="007A6E2F"/>
    <w:rsid w:val="007A6F0B"/>
    <w:rsid w:val="007A6F11"/>
    <w:rsid w:val="007A6F1C"/>
    <w:rsid w:val="007A6F3D"/>
    <w:rsid w:val="007A6FC7"/>
    <w:rsid w:val="007A707C"/>
    <w:rsid w:val="007A70EC"/>
    <w:rsid w:val="007A7139"/>
    <w:rsid w:val="007A71A6"/>
    <w:rsid w:val="007A71B7"/>
    <w:rsid w:val="007A728D"/>
    <w:rsid w:val="007A737B"/>
    <w:rsid w:val="007A742B"/>
    <w:rsid w:val="007A745E"/>
    <w:rsid w:val="007A7463"/>
    <w:rsid w:val="007A74A0"/>
    <w:rsid w:val="007A7506"/>
    <w:rsid w:val="007A752A"/>
    <w:rsid w:val="007A753C"/>
    <w:rsid w:val="007A75A4"/>
    <w:rsid w:val="007A760C"/>
    <w:rsid w:val="007A765B"/>
    <w:rsid w:val="007A7682"/>
    <w:rsid w:val="007A7735"/>
    <w:rsid w:val="007A7739"/>
    <w:rsid w:val="007A77B5"/>
    <w:rsid w:val="007A77B7"/>
    <w:rsid w:val="007A77C9"/>
    <w:rsid w:val="007A7858"/>
    <w:rsid w:val="007A7890"/>
    <w:rsid w:val="007A78E8"/>
    <w:rsid w:val="007A7956"/>
    <w:rsid w:val="007A795B"/>
    <w:rsid w:val="007A7A15"/>
    <w:rsid w:val="007A7A73"/>
    <w:rsid w:val="007A7A84"/>
    <w:rsid w:val="007A7A8A"/>
    <w:rsid w:val="007A7AFC"/>
    <w:rsid w:val="007A7B32"/>
    <w:rsid w:val="007A7BCD"/>
    <w:rsid w:val="007A7C0E"/>
    <w:rsid w:val="007A7C3A"/>
    <w:rsid w:val="007A7C9D"/>
    <w:rsid w:val="007A7CE8"/>
    <w:rsid w:val="007A7D03"/>
    <w:rsid w:val="007A7D2F"/>
    <w:rsid w:val="007A7D59"/>
    <w:rsid w:val="007A7D9B"/>
    <w:rsid w:val="007A7DDE"/>
    <w:rsid w:val="007A7E1C"/>
    <w:rsid w:val="007A7EBF"/>
    <w:rsid w:val="007B0052"/>
    <w:rsid w:val="007B0088"/>
    <w:rsid w:val="007B0091"/>
    <w:rsid w:val="007B01BC"/>
    <w:rsid w:val="007B01F7"/>
    <w:rsid w:val="007B0256"/>
    <w:rsid w:val="007B0260"/>
    <w:rsid w:val="007B0274"/>
    <w:rsid w:val="007B0285"/>
    <w:rsid w:val="007B036B"/>
    <w:rsid w:val="007B036D"/>
    <w:rsid w:val="007B057D"/>
    <w:rsid w:val="007B0626"/>
    <w:rsid w:val="007B0640"/>
    <w:rsid w:val="007B0653"/>
    <w:rsid w:val="007B076D"/>
    <w:rsid w:val="007B07D0"/>
    <w:rsid w:val="007B0884"/>
    <w:rsid w:val="007B091B"/>
    <w:rsid w:val="007B09E2"/>
    <w:rsid w:val="007B09E8"/>
    <w:rsid w:val="007B09F0"/>
    <w:rsid w:val="007B0A49"/>
    <w:rsid w:val="007B0AA6"/>
    <w:rsid w:val="007B0B28"/>
    <w:rsid w:val="007B0BD9"/>
    <w:rsid w:val="007B0C63"/>
    <w:rsid w:val="007B0C92"/>
    <w:rsid w:val="007B0D4F"/>
    <w:rsid w:val="007B0DA6"/>
    <w:rsid w:val="007B0DC7"/>
    <w:rsid w:val="007B0DFC"/>
    <w:rsid w:val="007B0E93"/>
    <w:rsid w:val="007B0EA0"/>
    <w:rsid w:val="007B0F21"/>
    <w:rsid w:val="007B0F4F"/>
    <w:rsid w:val="007B105D"/>
    <w:rsid w:val="007B1074"/>
    <w:rsid w:val="007B109B"/>
    <w:rsid w:val="007B1181"/>
    <w:rsid w:val="007B11CA"/>
    <w:rsid w:val="007B1330"/>
    <w:rsid w:val="007B13E6"/>
    <w:rsid w:val="007B13F1"/>
    <w:rsid w:val="007B147C"/>
    <w:rsid w:val="007B14B1"/>
    <w:rsid w:val="007B1536"/>
    <w:rsid w:val="007B159D"/>
    <w:rsid w:val="007B163C"/>
    <w:rsid w:val="007B164A"/>
    <w:rsid w:val="007B1768"/>
    <w:rsid w:val="007B17F7"/>
    <w:rsid w:val="007B187B"/>
    <w:rsid w:val="007B18FA"/>
    <w:rsid w:val="007B1979"/>
    <w:rsid w:val="007B19B2"/>
    <w:rsid w:val="007B19C9"/>
    <w:rsid w:val="007B1A0E"/>
    <w:rsid w:val="007B1A43"/>
    <w:rsid w:val="007B1A4B"/>
    <w:rsid w:val="007B1A85"/>
    <w:rsid w:val="007B1ABA"/>
    <w:rsid w:val="007B1AC7"/>
    <w:rsid w:val="007B1B50"/>
    <w:rsid w:val="007B1B97"/>
    <w:rsid w:val="007B1BD6"/>
    <w:rsid w:val="007B1CC2"/>
    <w:rsid w:val="007B1CE7"/>
    <w:rsid w:val="007B1D08"/>
    <w:rsid w:val="007B1D38"/>
    <w:rsid w:val="007B1EAF"/>
    <w:rsid w:val="007B1F32"/>
    <w:rsid w:val="007B1F4D"/>
    <w:rsid w:val="007B2039"/>
    <w:rsid w:val="007B206C"/>
    <w:rsid w:val="007B21EB"/>
    <w:rsid w:val="007B21F0"/>
    <w:rsid w:val="007B227B"/>
    <w:rsid w:val="007B23C6"/>
    <w:rsid w:val="007B24E6"/>
    <w:rsid w:val="007B251C"/>
    <w:rsid w:val="007B2535"/>
    <w:rsid w:val="007B2571"/>
    <w:rsid w:val="007B2576"/>
    <w:rsid w:val="007B262A"/>
    <w:rsid w:val="007B26E3"/>
    <w:rsid w:val="007B277F"/>
    <w:rsid w:val="007B27AD"/>
    <w:rsid w:val="007B27D5"/>
    <w:rsid w:val="007B27DA"/>
    <w:rsid w:val="007B27FF"/>
    <w:rsid w:val="007B2807"/>
    <w:rsid w:val="007B289F"/>
    <w:rsid w:val="007B28C6"/>
    <w:rsid w:val="007B294A"/>
    <w:rsid w:val="007B2976"/>
    <w:rsid w:val="007B2992"/>
    <w:rsid w:val="007B2C7C"/>
    <w:rsid w:val="007B2DBD"/>
    <w:rsid w:val="007B2E97"/>
    <w:rsid w:val="007B2ED7"/>
    <w:rsid w:val="007B2EE9"/>
    <w:rsid w:val="007B2F32"/>
    <w:rsid w:val="007B2FAA"/>
    <w:rsid w:val="007B3069"/>
    <w:rsid w:val="007B30D6"/>
    <w:rsid w:val="007B312E"/>
    <w:rsid w:val="007B3174"/>
    <w:rsid w:val="007B31D9"/>
    <w:rsid w:val="007B324A"/>
    <w:rsid w:val="007B3253"/>
    <w:rsid w:val="007B331B"/>
    <w:rsid w:val="007B3374"/>
    <w:rsid w:val="007B33B7"/>
    <w:rsid w:val="007B3415"/>
    <w:rsid w:val="007B342D"/>
    <w:rsid w:val="007B3506"/>
    <w:rsid w:val="007B3542"/>
    <w:rsid w:val="007B35D8"/>
    <w:rsid w:val="007B3630"/>
    <w:rsid w:val="007B36AC"/>
    <w:rsid w:val="007B36EC"/>
    <w:rsid w:val="007B375E"/>
    <w:rsid w:val="007B37B4"/>
    <w:rsid w:val="007B37BD"/>
    <w:rsid w:val="007B380D"/>
    <w:rsid w:val="007B381D"/>
    <w:rsid w:val="007B3851"/>
    <w:rsid w:val="007B3878"/>
    <w:rsid w:val="007B38A9"/>
    <w:rsid w:val="007B38AB"/>
    <w:rsid w:val="007B38CB"/>
    <w:rsid w:val="007B38DF"/>
    <w:rsid w:val="007B3932"/>
    <w:rsid w:val="007B39DF"/>
    <w:rsid w:val="007B3C18"/>
    <w:rsid w:val="007B3C9E"/>
    <w:rsid w:val="007B3CB7"/>
    <w:rsid w:val="007B3D23"/>
    <w:rsid w:val="007B3D99"/>
    <w:rsid w:val="007B3E57"/>
    <w:rsid w:val="007B3E5F"/>
    <w:rsid w:val="007B3EC6"/>
    <w:rsid w:val="007B3ECA"/>
    <w:rsid w:val="007B3EDC"/>
    <w:rsid w:val="007B3F54"/>
    <w:rsid w:val="007B3F7F"/>
    <w:rsid w:val="007B3FC9"/>
    <w:rsid w:val="007B407B"/>
    <w:rsid w:val="007B413A"/>
    <w:rsid w:val="007B4181"/>
    <w:rsid w:val="007B41E1"/>
    <w:rsid w:val="007B4221"/>
    <w:rsid w:val="007B4336"/>
    <w:rsid w:val="007B43DC"/>
    <w:rsid w:val="007B4414"/>
    <w:rsid w:val="007B442D"/>
    <w:rsid w:val="007B4479"/>
    <w:rsid w:val="007B449A"/>
    <w:rsid w:val="007B44B0"/>
    <w:rsid w:val="007B44BD"/>
    <w:rsid w:val="007B4516"/>
    <w:rsid w:val="007B4581"/>
    <w:rsid w:val="007B47E5"/>
    <w:rsid w:val="007B47F7"/>
    <w:rsid w:val="007B4830"/>
    <w:rsid w:val="007B48FD"/>
    <w:rsid w:val="007B4923"/>
    <w:rsid w:val="007B4973"/>
    <w:rsid w:val="007B4ABA"/>
    <w:rsid w:val="007B4AE2"/>
    <w:rsid w:val="007B4AF9"/>
    <w:rsid w:val="007B4B24"/>
    <w:rsid w:val="007B4B88"/>
    <w:rsid w:val="007B4B90"/>
    <w:rsid w:val="007B4C70"/>
    <w:rsid w:val="007B4D17"/>
    <w:rsid w:val="007B4E14"/>
    <w:rsid w:val="007B4E4F"/>
    <w:rsid w:val="007B4E8F"/>
    <w:rsid w:val="007B4E97"/>
    <w:rsid w:val="007B4EA1"/>
    <w:rsid w:val="007B4F12"/>
    <w:rsid w:val="007B4F4C"/>
    <w:rsid w:val="007B4F60"/>
    <w:rsid w:val="007B507C"/>
    <w:rsid w:val="007B50FB"/>
    <w:rsid w:val="007B5100"/>
    <w:rsid w:val="007B5125"/>
    <w:rsid w:val="007B525D"/>
    <w:rsid w:val="007B530F"/>
    <w:rsid w:val="007B531F"/>
    <w:rsid w:val="007B5357"/>
    <w:rsid w:val="007B536C"/>
    <w:rsid w:val="007B5370"/>
    <w:rsid w:val="007B5391"/>
    <w:rsid w:val="007B53BA"/>
    <w:rsid w:val="007B541D"/>
    <w:rsid w:val="007B548D"/>
    <w:rsid w:val="007B54FA"/>
    <w:rsid w:val="007B5556"/>
    <w:rsid w:val="007B55DF"/>
    <w:rsid w:val="007B55F8"/>
    <w:rsid w:val="007B5795"/>
    <w:rsid w:val="007B57A0"/>
    <w:rsid w:val="007B584F"/>
    <w:rsid w:val="007B585B"/>
    <w:rsid w:val="007B588F"/>
    <w:rsid w:val="007B5992"/>
    <w:rsid w:val="007B59AE"/>
    <w:rsid w:val="007B5B1F"/>
    <w:rsid w:val="007B5B38"/>
    <w:rsid w:val="007B5B9A"/>
    <w:rsid w:val="007B5BCA"/>
    <w:rsid w:val="007B5BE9"/>
    <w:rsid w:val="007B5C97"/>
    <w:rsid w:val="007B5CDF"/>
    <w:rsid w:val="007B5D18"/>
    <w:rsid w:val="007B5D6E"/>
    <w:rsid w:val="007B5DE9"/>
    <w:rsid w:val="007B5E1B"/>
    <w:rsid w:val="007B5E6B"/>
    <w:rsid w:val="007B5E8C"/>
    <w:rsid w:val="007B5F1F"/>
    <w:rsid w:val="007B5F21"/>
    <w:rsid w:val="007B5F35"/>
    <w:rsid w:val="007B60EB"/>
    <w:rsid w:val="007B60FF"/>
    <w:rsid w:val="007B6293"/>
    <w:rsid w:val="007B6325"/>
    <w:rsid w:val="007B6490"/>
    <w:rsid w:val="007B6521"/>
    <w:rsid w:val="007B67D3"/>
    <w:rsid w:val="007B6814"/>
    <w:rsid w:val="007B681E"/>
    <w:rsid w:val="007B68B4"/>
    <w:rsid w:val="007B68B8"/>
    <w:rsid w:val="007B68E0"/>
    <w:rsid w:val="007B6941"/>
    <w:rsid w:val="007B6999"/>
    <w:rsid w:val="007B69DC"/>
    <w:rsid w:val="007B6A1D"/>
    <w:rsid w:val="007B6A71"/>
    <w:rsid w:val="007B6A96"/>
    <w:rsid w:val="007B6ADA"/>
    <w:rsid w:val="007B6C2A"/>
    <w:rsid w:val="007B6D0C"/>
    <w:rsid w:val="007B6D1E"/>
    <w:rsid w:val="007B6D53"/>
    <w:rsid w:val="007B6DFB"/>
    <w:rsid w:val="007B6E2F"/>
    <w:rsid w:val="007B6E3E"/>
    <w:rsid w:val="007B6ED3"/>
    <w:rsid w:val="007B6EFC"/>
    <w:rsid w:val="007B6F20"/>
    <w:rsid w:val="007B6FE2"/>
    <w:rsid w:val="007B6FFD"/>
    <w:rsid w:val="007B7008"/>
    <w:rsid w:val="007B702A"/>
    <w:rsid w:val="007B7097"/>
    <w:rsid w:val="007B714D"/>
    <w:rsid w:val="007B71B2"/>
    <w:rsid w:val="007B7217"/>
    <w:rsid w:val="007B7221"/>
    <w:rsid w:val="007B7345"/>
    <w:rsid w:val="007B7373"/>
    <w:rsid w:val="007B7382"/>
    <w:rsid w:val="007B739B"/>
    <w:rsid w:val="007B741C"/>
    <w:rsid w:val="007B74B7"/>
    <w:rsid w:val="007B74BF"/>
    <w:rsid w:val="007B7573"/>
    <w:rsid w:val="007B75B6"/>
    <w:rsid w:val="007B7608"/>
    <w:rsid w:val="007B7649"/>
    <w:rsid w:val="007B7683"/>
    <w:rsid w:val="007B7692"/>
    <w:rsid w:val="007B7696"/>
    <w:rsid w:val="007B76DB"/>
    <w:rsid w:val="007B770C"/>
    <w:rsid w:val="007B7745"/>
    <w:rsid w:val="007B7852"/>
    <w:rsid w:val="007B7865"/>
    <w:rsid w:val="007B7897"/>
    <w:rsid w:val="007B791A"/>
    <w:rsid w:val="007B792A"/>
    <w:rsid w:val="007B7934"/>
    <w:rsid w:val="007B7938"/>
    <w:rsid w:val="007B7951"/>
    <w:rsid w:val="007B79AE"/>
    <w:rsid w:val="007B79C3"/>
    <w:rsid w:val="007B7A38"/>
    <w:rsid w:val="007B7AFE"/>
    <w:rsid w:val="007B7BC7"/>
    <w:rsid w:val="007B7BD5"/>
    <w:rsid w:val="007B7C73"/>
    <w:rsid w:val="007B7CAE"/>
    <w:rsid w:val="007B7D8B"/>
    <w:rsid w:val="007B7DAD"/>
    <w:rsid w:val="007B7DF2"/>
    <w:rsid w:val="007B7E32"/>
    <w:rsid w:val="007B7E3E"/>
    <w:rsid w:val="007B7EA0"/>
    <w:rsid w:val="007B7FF1"/>
    <w:rsid w:val="007C0017"/>
    <w:rsid w:val="007C0087"/>
    <w:rsid w:val="007C00F5"/>
    <w:rsid w:val="007C01AE"/>
    <w:rsid w:val="007C01BF"/>
    <w:rsid w:val="007C01D5"/>
    <w:rsid w:val="007C01F8"/>
    <w:rsid w:val="007C02E5"/>
    <w:rsid w:val="007C0368"/>
    <w:rsid w:val="007C03A5"/>
    <w:rsid w:val="007C0422"/>
    <w:rsid w:val="007C043B"/>
    <w:rsid w:val="007C047F"/>
    <w:rsid w:val="007C0507"/>
    <w:rsid w:val="007C05C6"/>
    <w:rsid w:val="007C07AD"/>
    <w:rsid w:val="007C07F1"/>
    <w:rsid w:val="007C0857"/>
    <w:rsid w:val="007C0926"/>
    <w:rsid w:val="007C093D"/>
    <w:rsid w:val="007C0943"/>
    <w:rsid w:val="007C0952"/>
    <w:rsid w:val="007C095F"/>
    <w:rsid w:val="007C098A"/>
    <w:rsid w:val="007C09E9"/>
    <w:rsid w:val="007C0A32"/>
    <w:rsid w:val="007C0A5F"/>
    <w:rsid w:val="007C0A80"/>
    <w:rsid w:val="007C0AAC"/>
    <w:rsid w:val="007C0B6E"/>
    <w:rsid w:val="007C0CA9"/>
    <w:rsid w:val="007C0CE2"/>
    <w:rsid w:val="007C0CF1"/>
    <w:rsid w:val="007C0D13"/>
    <w:rsid w:val="007C0E17"/>
    <w:rsid w:val="007C0E1B"/>
    <w:rsid w:val="007C0E3A"/>
    <w:rsid w:val="007C0E80"/>
    <w:rsid w:val="007C0EFE"/>
    <w:rsid w:val="007C0F2C"/>
    <w:rsid w:val="007C0FC3"/>
    <w:rsid w:val="007C1059"/>
    <w:rsid w:val="007C1060"/>
    <w:rsid w:val="007C1076"/>
    <w:rsid w:val="007C10F0"/>
    <w:rsid w:val="007C115F"/>
    <w:rsid w:val="007C11FC"/>
    <w:rsid w:val="007C127D"/>
    <w:rsid w:val="007C1342"/>
    <w:rsid w:val="007C13A2"/>
    <w:rsid w:val="007C13A8"/>
    <w:rsid w:val="007C13CC"/>
    <w:rsid w:val="007C13D4"/>
    <w:rsid w:val="007C141E"/>
    <w:rsid w:val="007C1430"/>
    <w:rsid w:val="007C145D"/>
    <w:rsid w:val="007C1552"/>
    <w:rsid w:val="007C15FD"/>
    <w:rsid w:val="007C160D"/>
    <w:rsid w:val="007C1761"/>
    <w:rsid w:val="007C17D3"/>
    <w:rsid w:val="007C180E"/>
    <w:rsid w:val="007C186F"/>
    <w:rsid w:val="007C18E8"/>
    <w:rsid w:val="007C1979"/>
    <w:rsid w:val="007C1B20"/>
    <w:rsid w:val="007C1CA5"/>
    <w:rsid w:val="007C1CA8"/>
    <w:rsid w:val="007C1D00"/>
    <w:rsid w:val="007C1D0B"/>
    <w:rsid w:val="007C1D67"/>
    <w:rsid w:val="007C1D80"/>
    <w:rsid w:val="007C1E32"/>
    <w:rsid w:val="007C1E49"/>
    <w:rsid w:val="007C1E79"/>
    <w:rsid w:val="007C1EDF"/>
    <w:rsid w:val="007C1F24"/>
    <w:rsid w:val="007C1F66"/>
    <w:rsid w:val="007C1FF3"/>
    <w:rsid w:val="007C208D"/>
    <w:rsid w:val="007C20D6"/>
    <w:rsid w:val="007C2131"/>
    <w:rsid w:val="007C2168"/>
    <w:rsid w:val="007C22F9"/>
    <w:rsid w:val="007C2320"/>
    <w:rsid w:val="007C236F"/>
    <w:rsid w:val="007C242D"/>
    <w:rsid w:val="007C244E"/>
    <w:rsid w:val="007C248D"/>
    <w:rsid w:val="007C24A5"/>
    <w:rsid w:val="007C250E"/>
    <w:rsid w:val="007C2641"/>
    <w:rsid w:val="007C26B2"/>
    <w:rsid w:val="007C26D3"/>
    <w:rsid w:val="007C26FD"/>
    <w:rsid w:val="007C2746"/>
    <w:rsid w:val="007C275C"/>
    <w:rsid w:val="007C27C8"/>
    <w:rsid w:val="007C287B"/>
    <w:rsid w:val="007C28F9"/>
    <w:rsid w:val="007C290E"/>
    <w:rsid w:val="007C29FB"/>
    <w:rsid w:val="007C2A4D"/>
    <w:rsid w:val="007C2AB6"/>
    <w:rsid w:val="007C2B34"/>
    <w:rsid w:val="007C2B81"/>
    <w:rsid w:val="007C2BAE"/>
    <w:rsid w:val="007C2BEA"/>
    <w:rsid w:val="007C2CE0"/>
    <w:rsid w:val="007C2CEC"/>
    <w:rsid w:val="007C2D4B"/>
    <w:rsid w:val="007C2D64"/>
    <w:rsid w:val="007C2D7A"/>
    <w:rsid w:val="007C2DD5"/>
    <w:rsid w:val="007C2E06"/>
    <w:rsid w:val="007C2EB5"/>
    <w:rsid w:val="007C2EBF"/>
    <w:rsid w:val="007C3071"/>
    <w:rsid w:val="007C3089"/>
    <w:rsid w:val="007C30DE"/>
    <w:rsid w:val="007C30E8"/>
    <w:rsid w:val="007C3193"/>
    <w:rsid w:val="007C31BC"/>
    <w:rsid w:val="007C31D6"/>
    <w:rsid w:val="007C3272"/>
    <w:rsid w:val="007C330E"/>
    <w:rsid w:val="007C3363"/>
    <w:rsid w:val="007C3459"/>
    <w:rsid w:val="007C3489"/>
    <w:rsid w:val="007C35E2"/>
    <w:rsid w:val="007C35E8"/>
    <w:rsid w:val="007C3600"/>
    <w:rsid w:val="007C361E"/>
    <w:rsid w:val="007C365B"/>
    <w:rsid w:val="007C366F"/>
    <w:rsid w:val="007C36C9"/>
    <w:rsid w:val="007C36F2"/>
    <w:rsid w:val="007C3734"/>
    <w:rsid w:val="007C3743"/>
    <w:rsid w:val="007C374D"/>
    <w:rsid w:val="007C3752"/>
    <w:rsid w:val="007C3792"/>
    <w:rsid w:val="007C3836"/>
    <w:rsid w:val="007C39F8"/>
    <w:rsid w:val="007C3A43"/>
    <w:rsid w:val="007C3A61"/>
    <w:rsid w:val="007C3A62"/>
    <w:rsid w:val="007C3AC0"/>
    <w:rsid w:val="007C3AD1"/>
    <w:rsid w:val="007C3B3A"/>
    <w:rsid w:val="007C3D0C"/>
    <w:rsid w:val="007C3E2F"/>
    <w:rsid w:val="007C3EC3"/>
    <w:rsid w:val="007C3ED7"/>
    <w:rsid w:val="007C3EDC"/>
    <w:rsid w:val="007C3EF3"/>
    <w:rsid w:val="007C3F48"/>
    <w:rsid w:val="007C3F4B"/>
    <w:rsid w:val="007C3F66"/>
    <w:rsid w:val="007C3F70"/>
    <w:rsid w:val="007C3F72"/>
    <w:rsid w:val="007C3FE0"/>
    <w:rsid w:val="007C3FF4"/>
    <w:rsid w:val="007C41C6"/>
    <w:rsid w:val="007C41EF"/>
    <w:rsid w:val="007C423C"/>
    <w:rsid w:val="007C4277"/>
    <w:rsid w:val="007C4285"/>
    <w:rsid w:val="007C42ED"/>
    <w:rsid w:val="007C43B2"/>
    <w:rsid w:val="007C43B8"/>
    <w:rsid w:val="007C43D5"/>
    <w:rsid w:val="007C440F"/>
    <w:rsid w:val="007C443D"/>
    <w:rsid w:val="007C44A3"/>
    <w:rsid w:val="007C44BA"/>
    <w:rsid w:val="007C44F1"/>
    <w:rsid w:val="007C459D"/>
    <w:rsid w:val="007C4612"/>
    <w:rsid w:val="007C461C"/>
    <w:rsid w:val="007C462F"/>
    <w:rsid w:val="007C4660"/>
    <w:rsid w:val="007C4684"/>
    <w:rsid w:val="007C46D0"/>
    <w:rsid w:val="007C46D2"/>
    <w:rsid w:val="007C471B"/>
    <w:rsid w:val="007C47BF"/>
    <w:rsid w:val="007C48F9"/>
    <w:rsid w:val="007C48FE"/>
    <w:rsid w:val="007C4933"/>
    <w:rsid w:val="007C4962"/>
    <w:rsid w:val="007C4977"/>
    <w:rsid w:val="007C497D"/>
    <w:rsid w:val="007C49C2"/>
    <w:rsid w:val="007C4A0D"/>
    <w:rsid w:val="007C4A55"/>
    <w:rsid w:val="007C4A6C"/>
    <w:rsid w:val="007C4B86"/>
    <w:rsid w:val="007C4BA5"/>
    <w:rsid w:val="007C4C03"/>
    <w:rsid w:val="007C4CC2"/>
    <w:rsid w:val="007C4CE0"/>
    <w:rsid w:val="007C4D1A"/>
    <w:rsid w:val="007C4D64"/>
    <w:rsid w:val="007C4F5B"/>
    <w:rsid w:val="007C4F8D"/>
    <w:rsid w:val="007C5108"/>
    <w:rsid w:val="007C51A5"/>
    <w:rsid w:val="007C526C"/>
    <w:rsid w:val="007C5328"/>
    <w:rsid w:val="007C53DC"/>
    <w:rsid w:val="007C53E5"/>
    <w:rsid w:val="007C54D0"/>
    <w:rsid w:val="007C55BB"/>
    <w:rsid w:val="007C5826"/>
    <w:rsid w:val="007C5888"/>
    <w:rsid w:val="007C58F8"/>
    <w:rsid w:val="007C5947"/>
    <w:rsid w:val="007C599E"/>
    <w:rsid w:val="007C599F"/>
    <w:rsid w:val="007C59C0"/>
    <w:rsid w:val="007C59CC"/>
    <w:rsid w:val="007C59EB"/>
    <w:rsid w:val="007C5A4E"/>
    <w:rsid w:val="007C5A68"/>
    <w:rsid w:val="007C5A76"/>
    <w:rsid w:val="007C5A97"/>
    <w:rsid w:val="007C5ABD"/>
    <w:rsid w:val="007C5AFB"/>
    <w:rsid w:val="007C5BA8"/>
    <w:rsid w:val="007C5C93"/>
    <w:rsid w:val="007C5CF8"/>
    <w:rsid w:val="007C5D2E"/>
    <w:rsid w:val="007C5DE0"/>
    <w:rsid w:val="007C5E90"/>
    <w:rsid w:val="007C5ECA"/>
    <w:rsid w:val="007C5EDB"/>
    <w:rsid w:val="007C5EF3"/>
    <w:rsid w:val="007C5F4E"/>
    <w:rsid w:val="007C5F64"/>
    <w:rsid w:val="007C5FCF"/>
    <w:rsid w:val="007C600F"/>
    <w:rsid w:val="007C602F"/>
    <w:rsid w:val="007C6104"/>
    <w:rsid w:val="007C617A"/>
    <w:rsid w:val="007C61CC"/>
    <w:rsid w:val="007C61F7"/>
    <w:rsid w:val="007C6432"/>
    <w:rsid w:val="007C6523"/>
    <w:rsid w:val="007C652A"/>
    <w:rsid w:val="007C6575"/>
    <w:rsid w:val="007C6578"/>
    <w:rsid w:val="007C6657"/>
    <w:rsid w:val="007C6699"/>
    <w:rsid w:val="007C6701"/>
    <w:rsid w:val="007C671E"/>
    <w:rsid w:val="007C67F9"/>
    <w:rsid w:val="007C6884"/>
    <w:rsid w:val="007C69DB"/>
    <w:rsid w:val="007C6A0E"/>
    <w:rsid w:val="007C6A29"/>
    <w:rsid w:val="007C6B1C"/>
    <w:rsid w:val="007C6B3B"/>
    <w:rsid w:val="007C6C02"/>
    <w:rsid w:val="007C6C08"/>
    <w:rsid w:val="007C6C67"/>
    <w:rsid w:val="007C6CC6"/>
    <w:rsid w:val="007C6E47"/>
    <w:rsid w:val="007C6E8A"/>
    <w:rsid w:val="007C7008"/>
    <w:rsid w:val="007C7015"/>
    <w:rsid w:val="007C704F"/>
    <w:rsid w:val="007C70FD"/>
    <w:rsid w:val="007C7195"/>
    <w:rsid w:val="007C71D7"/>
    <w:rsid w:val="007C7219"/>
    <w:rsid w:val="007C7238"/>
    <w:rsid w:val="007C7266"/>
    <w:rsid w:val="007C7346"/>
    <w:rsid w:val="007C7445"/>
    <w:rsid w:val="007C74B3"/>
    <w:rsid w:val="007C74D2"/>
    <w:rsid w:val="007C756C"/>
    <w:rsid w:val="007C75FB"/>
    <w:rsid w:val="007C75FE"/>
    <w:rsid w:val="007C7686"/>
    <w:rsid w:val="007C76A9"/>
    <w:rsid w:val="007C76C7"/>
    <w:rsid w:val="007C7768"/>
    <w:rsid w:val="007C77B7"/>
    <w:rsid w:val="007C7803"/>
    <w:rsid w:val="007C7837"/>
    <w:rsid w:val="007C795A"/>
    <w:rsid w:val="007C7994"/>
    <w:rsid w:val="007C79B8"/>
    <w:rsid w:val="007C7A0D"/>
    <w:rsid w:val="007C7A1A"/>
    <w:rsid w:val="007C7B56"/>
    <w:rsid w:val="007C7B8C"/>
    <w:rsid w:val="007C7BD8"/>
    <w:rsid w:val="007C7C09"/>
    <w:rsid w:val="007C7C0A"/>
    <w:rsid w:val="007C7C1E"/>
    <w:rsid w:val="007C7CBD"/>
    <w:rsid w:val="007C7E67"/>
    <w:rsid w:val="007C7ECC"/>
    <w:rsid w:val="007C7FE1"/>
    <w:rsid w:val="007C7FE8"/>
    <w:rsid w:val="007C7FF3"/>
    <w:rsid w:val="007D017D"/>
    <w:rsid w:val="007D01AD"/>
    <w:rsid w:val="007D01CB"/>
    <w:rsid w:val="007D0256"/>
    <w:rsid w:val="007D0316"/>
    <w:rsid w:val="007D0331"/>
    <w:rsid w:val="007D0357"/>
    <w:rsid w:val="007D0391"/>
    <w:rsid w:val="007D03C6"/>
    <w:rsid w:val="007D043B"/>
    <w:rsid w:val="007D04A9"/>
    <w:rsid w:val="007D04AC"/>
    <w:rsid w:val="007D04B8"/>
    <w:rsid w:val="007D0579"/>
    <w:rsid w:val="007D05C1"/>
    <w:rsid w:val="007D05FE"/>
    <w:rsid w:val="007D07E7"/>
    <w:rsid w:val="007D087D"/>
    <w:rsid w:val="007D08CE"/>
    <w:rsid w:val="007D094F"/>
    <w:rsid w:val="007D09E4"/>
    <w:rsid w:val="007D0A50"/>
    <w:rsid w:val="007D0B4E"/>
    <w:rsid w:val="007D0B86"/>
    <w:rsid w:val="007D0B8D"/>
    <w:rsid w:val="007D0BEE"/>
    <w:rsid w:val="007D0C21"/>
    <w:rsid w:val="007D0C2E"/>
    <w:rsid w:val="007D0C34"/>
    <w:rsid w:val="007D0C92"/>
    <w:rsid w:val="007D0D46"/>
    <w:rsid w:val="007D0D88"/>
    <w:rsid w:val="007D0D8C"/>
    <w:rsid w:val="007D0E2E"/>
    <w:rsid w:val="007D0ED1"/>
    <w:rsid w:val="007D1162"/>
    <w:rsid w:val="007D119B"/>
    <w:rsid w:val="007D119F"/>
    <w:rsid w:val="007D121C"/>
    <w:rsid w:val="007D1329"/>
    <w:rsid w:val="007D1382"/>
    <w:rsid w:val="007D1384"/>
    <w:rsid w:val="007D138A"/>
    <w:rsid w:val="007D141B"/>
    <w:rsid w:val="007D1461"/>
    <w:rsid w:val="007D146E"/>
    <w:rsid w:val="007D148D"/>
    <w:rsid w:val="007D1525"/>
    <w:rsid w:val="007D1561"/>
    <w:rsid w:val="007D15BE"/>
    <w:rsid w:val="007D15C7"/>
    <w:rsid w:val="007D16B0"/>
    <w:rsid w:val="007D16BD"/>
    <w:rsid w:val="007D16C2"/>
    <w:rsid w:val="007D173D"/>
    <w:rsid w:val="007D1778"/>
    <w:rsid w:val="007D188B"/>
    <w:rsid w:val="007D18F3"/>
    <w:rsid w:val="007D193B"/>
    <w:rsid w:val="007D19C4"/>
    <w:rsid w:val="007D19F6"/>
    <w:rsid w:val="007D1A10"/>
    <w:rsid w:val="007D1A23"/>
    <w:rsid w:val="007D1A3A"/>
    <w:rsid w:val="007D1A7A"/>
    <w:rsid w:val="007D1B1C"/>
    <w:rsid w:val="007D1B56"/>
    <w:rsid w:val="007D1BE6"/>
    <w:rsid w:val="007D1C3A"/>
    <w:rsid w:val="007D1CB9"/>
    <w:rsid w:val="007D1D76"/>
    <w:rsid w:val="007D1DC9"/>
    <w:rsid w:val="007D1F34"/>
    <w:rsid w:val="007D1F7E"/>
    <w:rsid w:val="007D2002"/>
    <w:rsid w:val="007D20D4"/>
    <w:rsid w:val="007D2167"/>
    <w:rsid w:val="007D21F6"/>
    <w:rsid w:val="007D2202"/>
    <w:rsid w:val="007D2372"/>
    <w:rsid w:val="007D237E"/>
    <w:rsid w:val="007D23C9"/>
    <w:rsid w:val="007D2401"/>
    <w:rsid w:val="007D2489"/>
    <w:rsid w:val="007D25CD"/>
    <w:rsid w:val="007D25FB"/>
    <w:rsid w:val="007D26AA"/>
    <w:rsid w:val="007D276E"/>
    <w:rsid w:val="007D2786"/>
    <w:rsid w:val="007D2867"/>
    <w:rsid w:val="007D28C9"/>
    <w:rsid w:val="007D2969"/>
    <w:rsid w:val="007D29B8"/>
    <w:rsid w:val="007D2A69"/>
    <w:rsid w:val="007D2B1D"/>
    <w:rsid w:val="007D2B6B"/>
    <w:rsid w:val="007D2C46"/>
    <w:rsid w:val="007D2CFF"/>
    <w:rsid w:val="007D2D0D"/>
    <w:rsid w:val="007D2D1A"/>
    <w:rsid w:val="007D2EE4"/>
    <w:rsid w:val="007D2F2F"/>
    <w:rsid w:val="007D2F40"/>
    <w:rsid w:val="007D2F78"/>
    <w:rsid w:val="007D2FD8"/>
    <w:rsid w:val="007D3048"/>
    <w:rsid w:val="007D3081"/>
    <w:rsid w:val="007D30A9"/>
    <w:rsid w:val="007D30E6"/>
    <w:rsid w:val="007D3120"/>
    <w:rsid w:val="007D3198"/>
    <w:rsid w:val="007D31EE"/>
    <w:rsid w:val="007D31F1"/>
    <w:rsid w:val="007D3201"/>
    <w:rsid w:val="007D322C"/>
    <w:rsid w:val="007D3233"/>
    <w:rsid w:val="007D3297"/>
    <w:rsid w:val="007D32DE"/>
    <w:rsid w:val="007D3357"/>
    <w:rsid w:val="007D335B"/>
    <w:rsid w:val="007D3378"/>
    <w:rsid w:val="007D33EA"/>
    <w:rsid w:val="007D33FF"/>
    <w:rsid w:val="007D3428"/>
    <w:rsid w:val="007D34CB"/>
    <w:rsid w:val="007D350E"/>
    <w:rsid w:val="007D35F4"/>
    <w:rsid w:val="007D3619"/>
    <w:rsid w:val="007D36A9"/>
    <w:rsid w:val="007D36AE"/>
    <w:rsid w:val="007D36B1"/>
    <w:rsid w:val="007D36F1"/>
    <w:rsid w:val="007D370E"/>
    <w:rsid w:val="007D372E"/>
    <w:rsid w:val="007D37E0"/>
    <w:rsid w:val="007D37FD"/>
    <w:rsid w:val="007D3868"/>
    <w:rsid w:val="007D38CE"/>
    <w:rsid w:val="007D3906"/>
    <w:rsid w:val="007D3958"/>
    <w:rsid w:val="007D3971"/>
    <w:rsid w:val="007D39A7"/>
    <w:rsid w:val="007D39EA"/>
    <w:rsid w:val="007D3B13"/>
    <w:rsid w:val="007D3B7D"/>
    <w:rsid w:val="007D3B92"/>
    <w:rsid w:val="007D3BA9"/>
    <w:rsid w:val="007D3BD9"/>
    <w:rsid w:val="007D3CEA"/>
    <w:rsid w:val="007D3CF1"/>
    <w:rsid w:val="007D3D90"/>
    <w:rsid w:val="007D3DAA"/>
    <w:rsid w:val="007D3DF8"/>
    <w:rsid w:val="007D3EE7"/>
    <w:rsid w:val="007D3F7E"/>
    <w:rsid w:val="007D3FC8"/>
    <w:rsid w:val="007D3FE8"/>
    <w:rsid w:val="007D4088"/>
    <w:rsid w:val="007D409C"/>
    <w:rsid w:val="007D4146"/>
    <w:rsid w:val="007D41DB"/>
    <w:rsid w:val="007D421A"/>
    <w:rsid w:val="007D42A0"/>
    <w:rsid w:val="007D4300"/>
    <w:rsid w:val="007D43F0"/>
    <w:rsid w:val="007D447D"/>
    <w:rsid w:val="007D44C9"/>
    <w:rsid w:val="007D44D5"/>
    <w:rsid w:val="007D44DD"/>
    <w:rsid w:val="007D4531"/>
    <w:rsid w:val="007D458F"/>
    <w:rsid w:val="007D4621"/>
    <w:rsid w:val="007D4685"/>
    <w:rsid w:val="007D479E"/>
    <w:rsid w:val="007D47BF"/>
    <w:rsid w:val="007D480B"/>
    <w:rsid w:val="007D48F1"/>
    <w:rsid w:val="007D4902"/>
    <w:rsid w:val="007D4938"/>
    <w:rsid w:val="007D49A0"/>
    <w:rsid w:val="007D49D8"/>
    <w:rsid w:val="007D4A6C"/>
    <w:rsid w:val="007D4A8D"/>
    <w:rsid w:val="007D4C41"/>
    <w:rsid w:val="007D4CA2"/>
    <w:rsid w:val="007D4D96"/>
    <w:rsid w:val="007D4E57"/>
    <w:rsid w:val="007D4E98"/>
    <w:rsid w:val="007D4EEB"/>
    <w:rsid w:val="007D4F1B"/>
    <w:rsid w:val="007D4F5A"/>
    <w:rsid w:val="007D4F76"/>
    <w:rsid w:val="007D4FE8"/>
    <w:rsid w:val="007D5063"/>
    <w:rsid w:val="007D50D2"/>
    <w:rsid w:val="007D50E8"/>
    <w:rsid w:val="007D50ED"/>
    <w:rsid w:val="007D511F"/>
    <w:rsid w:val="007D518C"/>
    <w:rsid w:val="007D5198"/>
    <w:rsid w:val="007D51B0"/>
    <w:rsid w:val="007D526A"/>
    <w:rsid w:val="007D52D6"/>
    <w:rsid w:val="007D52F3"/>
    <w:rsid w:val="007D53A6"/>
    <w:rsid w:val="007D53C9"/>
    <w:rsid w:val="007D53DA"/>
    <w:rsid w:val="007D54BE"/>
    <w:rsid w:val="007D5580"/>
    <w:rsid w:val="007D563A"/>
    <w:rsid w:val="007D56E3"/>
    <w:rsid w:val="007D5713"/>
    <w:rsid w:val="007D5725"/>
    <w:rsid w:val="007D5764"/>
    <w:rsid w:val="007D5772"/>
    <w:rsid w:val="007D582B"/>
    <w:rsid w:val="007D5837"/>
    <w:rsid w:val="007D5883"/>
    <w:rsid w:val="007D58BB"/>
    <w:rsid w:val="007D5915"/>
    <w:rsid w:val="007D5950"/>
    <w:rsid w:val="007D596E"/>
    <w:rsid w:val="007D5A11"/>
    <w:rsid w:val="007D5C63"/>
    <w:rsid w:val="007D5CC8"/>
    <w:rsid w:val="007D5D9B"/>
    <w:rsid w:val="007D5E18"/>
    <w:rsid w:val="007D5E49"/>
    <w:rsid w:val="007D5ED1"/>
    <w:rsid w:val="007D5FAC"/>
    <w:rsid w:val="007D6012"/>
    <w:rsid w:val="007D6014"/>
    <w:rsid w:val="007D6017"/>
    <w:rsid w:val="007D6076"/>
    <w:rsid w:val="007D6135"/>
    <w:rsid w:val="007D61BC"/>
    <w:rsid w:val="007D62E1"/>
    <w:rsid w:val="007D62EC"/>
    <w:rsid w:val="007D6354"/>
    <w:rsid w:val="007D6363"/>
    <w:rsid w:val="007D6447"/>
    <w:rsid w:val="007D6482"/>
    <w:rsid w:val="007D64F4"/>
    <w:rsid w:val="007D6587"/>
    <w:rsid w:val="007D65DB"/>
    <w:rsid w:val="007D65E4"/>
    <w:rsid w:val="007D6645"/>
    <w:rsid w:val="007D6681"/>
    <w:rsid w:val="007D66D1"/>
    <w:rsid w:val="007D67BC"/>
    <w:rsid w:val="007D67C5"/>
    <w:rsid w:val="007D682E"/>
    <w:rsid w:val="007D6846"/>
    <w:rsid w:val="007D6866"/>
    <w:rsid w:val="007D6872"/>
    <w:rsid w:val="007D6993"/>
    <w:rsid w:val="007D69C8"/>
    <w:rsid w:val="007D6AEB"/>
    <w:rsid w:val="007D6B1A"/>
    <w:rsid w:val="007D6B35"/>
    <w:rsid w:val="007D6BB4"/>
    <w:rsid w:val="007D6BCF"/>
    <w:rsid w:val="007D6BD3"/>
    <w:rsid w:val="007D6C2D"/>
    <w:rsid w:val="007D6C3C"/>
    <w:rsid w:val="007D6C49"/>
    <w:rsid w:val="007D6CD9"/>
    <w:rsid w:val="007D6D40"/>
    <w:rsid w:val="007D6D9A"/>
    <w:rsid w:val="007D6D9D"/>
    <w:rsid w:val="007D6D9E"/>
    <w:rsid w:val="007D6E99"/>
    <w:rsid w:val="007D6E9A"/>
    <w:rsid w:val="007D6EC3"/>
    <w:rsid w:val="007D6EE0"/>
    <w:rsid w:val="007D6F1C"/>
    <w:rsid w:val="007D6F64"/>
    <w:rsid w:val="007D6F6F"/>
    <w:rsid w:val="007D6FB4"/>
    <w:rsid w:val="007D700F"/>
    <w:rsid w:val="007D711E"/>
    <w:rsid w:val="007D7148"/>
    <w:rsid w:val="007D7168"/>
    <w:rsid w:val="007D71CD"/>
    <w:rsid w:val="007D71DB"/>
    <w:rsid w:val="007D7210"/>
    <w:rsid w:val="007D7311"/>
    <w:rsid w:val="007D7333"/>
    <w:rsid w:val="007D7390"/>
    <w:rsid w:val="007D73C2"/>
    <w:rsid w:val="007D754D"/>
    <w:rsid w:val="007D7559"/>
    <w:rsid w:val="007D756E"/>
    <w:rsid w:val="007D7604"/>
    <w:rsid w:val="007D7645"/>
    <w:rsid w:val="007D765D"/>
    <w:rsid w:val="007D7673"/>
    <w:rsid w:val="007D76E4"/>
    <w:rsid w:val="007D78A4"/>
    <w:rsid w:val="007D78B0"/>
    <w:rsid w:val="007D796C"/>
    <w:rsid w:val="007D7A24"/>
    <w:rsid w:val="007D7A4A"/>
    <w:rsid w:val="007D7A62"/>
    <w:rsid w:val="007D7A85"/>
    <w:rsid w:val="007D7AA1"/>
    <w:rsid w:val="007D7AD1"/>
    <w:rsid w:val="007D7B02"/>
    <w:rsid w:val="007D7B2F"/>
    <w:rsid w:val="007D7BB3"/>
    <w:rsid w:val="007D7BD7"/>
    <w:rsid w:val="007D7C3E"/>
    <w:rsid w:val="007D7C69"/>
    <w:rsid w:val="007D7C9B"/>
    <w:rsid w:val="007D7D02"/>
    <w:rsid w:val="007D7D6B"/>
    <w:rsid w:val="007D7DC4"/>
    <w:rsid w:val="007D7E16"/>
    <w:rsid w:val="007D7F61"/>
    <w:rsid w:val="007E0004"/>
    <w:rsid w:val="007E000C"/>
    <w:rsid w:val="007E0105"/>
    <w:rsid w:val="007E0110"/>
    <w:rsid w:val="007E01C5"/>
    <w:rsid w:val="007E01E1"/>
    <w:rsid w:val="007E030A"/>
    <w:rsid w:val="007E03B6"/>
    <w:rsid w:val="007E03D5"/>
    <w:rsid w:val="007E04CC"/>
    <w:rsid w:val="007E04F3"/>
    <w:rsid w:val="007E05CA"/>
    <w:rsid w:val="007E0669"/>
    <w:rsid w:val="007E0699"/>
    <w:rsid w:val="007E071F"/>
    <w:rsid w:val="007E078F"/>
    <w:rsid w:val="007E0857"/>
    <w:rsid w:val="007E0906"/>
    <w:rsid w:val="007E0984"/>
    <w:rsid w:val="007E09DA"/>
    <w:rsid w:val="007E0B5F"/>
    <w:rsid w:val="007E0C04"/>
    <w:rsid w:val="007E0C84"/>
    <w:rsid w:val="007E0D18"/>
    <w:rsid w:val="007E0E71"/>
    <w:rsid w:val="007E0E88"/>
    <w:rsid w:val="007E0EE9"/>
    <w:rsid w:val="007E0F63"/>
    <w:rsid w:val="007E0FE3"/>
    <w:rsid w:val="007E102A"/>
    <w:rsid w:val="007E112B"/>
    <w:rsid w:val="007E115D"/>
    <w:rsid w:val="007E11C2"/>
    <w:rsid w:val="007E12CC"/>
    <w:rsid w:val="007E12DD"/>
    <w:rsid w:val="007E12FF"/>
    <w:rsid w:val="007E1352"/>
    <w:rsid w:val="007E13BF"/>
    <w:rsid w:val="007E14C4"/>
    <w:rsid w:val="007E156F"/>
    <w:rsid w:val="007E1582"/>
    <w:rsid w:val="007E15A7"/>
    <w:rsid w:val="007E15EC"/>
    <w:rsid w:val="007E1684"/>
    <w:rsid w:val="007E172E"/>
    <w:rsid w:val="007E1788"/>
    <w:rsid w:val="007E17AA"/>
    <w:rsid w:val="007E17C9"/>
    <w:rsid w:val="007E17DD"/>
    <w:rsid w:val="007E17E0"/>
    <w:rsid w:val="007E17EE"/>
    <w:rsid w:val="007E19A3"/>
    <w:rsid w:val="007E19AF"/>
    <w:rsid w:val="007E1AED"/>
    <w:rsid w:val="007E1B24"/>
    <w:rsid w:val="007E1BCF"/>
    <w:rsid w:val="007E1C02"/>
    <w:rsid w:val="007E1C46"/>
    <w:rsid w:val="007E1CD1"/>
    <w:rsid w:val="007E1CD9"/>
    <w:rsid w:val="007E1D93"/>
    <w:rsid w:val="007E1E0F"/>
    <w:rsid w:val="007E1E42"/>
    <w:rsid w:val="007E1EA4"/>
    <w:rsid w:val="007E1EF8"/>
    <w:rsid w:val="007E1F49"/>
    <w:rsid w:val="007E2009"/>
    <w:rsid w:val="007E202C"/>
    <w:rsid w:val="007E206D"/>
    <w:rsid w:val="007E2112"/>
    <w:rsid w:val="007E2131"/>
    <w:rsid w:val="007E216F"/>
    <w:rsid w:val="007E2175"/>
    <w:rsid w:val="007E22C1"/>
    <w:rsid w:val="007E230D"/>
    <w:rsid w:val="007E23E7"/>
    <w:rsid w:val="007E24C2"/>
    <w:rsid w:val="007E24D7"/>
    <w:rsid w:val="007E24E2"/>
    <w:rsid w:val="007E2505"/>
    <w:rsid w:val="007E2562"/>
    <w:rsid w:val="007E2655"/>
    <w:rsid w:val="007E26A0"/>
    <w:rsid w:val="007E2822"/>
    <w:rsid w:val="007E2850"/>
    <w:rsid w:val="007E2927"/>
    <w:rsid w:val="007E29CC"/>
    <w:rsid w:val="007E2A15"/>
    <w:rsid w:val="007E2A27"/>
    <w:rsid w:val="007E2A4A"/>
    <w:rsid w:val="007E2A4E"/>
    <w:rsid w:val="007E2B4B"/>
    <w:rsid w:val="007E2C2D"/>
    <w:rsid w:val="007E2CA4"/>
    <w:rsid w:val="007E2D0F"/>
    <w:rsid w:val="007E2DCC"/>
    <w:rsid w:val="007E2E66"/>
    <w:rsid w:val="007E2F41"/>
    <w:rsid w:val="007E2F7B"/>
    <w:rsid w:val="007E2FC0"/>
    <w:rsid w:val="007E2FF9"/>
    <w:rsid w:val="007E3036"/>
    <w:rsid w:val="007E308B"/>
    <w:rsid w:val="007E30B9"/>
    <w:rsid w:val="007E30F0"/>
    <w:rsid w:val="007E31B7"/>
    <w:rsid w:val="007E31EB"/>
    <w:rsid w:val="007E3245"/>
    <w:rsid w:val="007E324E"/>
    <w:rsid w:val="007E33F5"/>
    <w:rsid w:val="007E34DD"/>
    <w:rsid w:val="007E350C"/>
    <w:rsid w:val="007E355A"/>
    <w:rsid w:val="007E356F"/>
    <w:rsid w:val="007E35FC"/>
    <w:rsid w:val="007E3620"/>
    <w:rsid w:val="007E376C"/>
    <w:rsid w:val="007E37AC"/>
    <w:rsid w:val="007E37FA"/>
    <w:rsid w:val="007E381B"/>
    <w:rsid w:val="007E384F"/>
    <w:rsid w:val="007E38E9"/>
    <w:rsid w:val="007E3928"/>
    <w:rsid w:val="007E3970"/>
    <w:rsid w:val="007E39E7"/>
    <w:rsid w:val="007E3A20"/>
    <w:rsid w:val="007E3A46"/>
    <w:rsid w:val="007E3B09"/>
    <w:rsid w:val="007E3B0F"/>
    <w:rsid w:val="007E3B17"/>
    <w:rsid w:val="007E3BEA"/>
    <w:rsid w:val="007E3C60"/>
    <w:rsid w:val="007E3CB6"/>
    <w:rsid w:val="007E3D3F"/>
    <w:rsid w:val="007E3D5A"/>
    <w:rsid w:val="007E3DF7"/>
    <w:rsid w:val="007E3E08"/>
    <w:rsid w:val="007E3E12"/>
    <w:rsid w:val="007E3EA9"/>
    <w:rsid w:val="007E3EDB"/>
    <w:rsid w:val="007E3F23"/>
    <w:rsid w:val="007E3FA6"/>
    <w:rsid w:val="007E3FFF"/>
    <w:rsid w:val="007E401E"/>
    <w:rsid w:val="007E4036"/>
    <w:rsid w:val="007E404D"/>
    <w:rsid w:val="007E4073"/>
    <w:rsid w:val="007E40D6"/>
    <w:rsid w:val="007E414E"/>
    <w:rsid w:val="007E427B"/>
    <w:rsid w:val="007E4309"/>
    <w:rsid w:val="007E4343"/>
    <w:rsid w:val="007E438D"/>
    <w:rsid w:val="007E4439"/>
    <w:rsid w:val="007E444B"/>
    <w:rsid w:val="007E44A2"/>
    <w:rsid w:val="007E44A8"/>
    <w:rsid w:val="007E44B3"/>
    <w:rsid w:val="007E453D"/>
    <w:rsid w:val="007E4563"/>
    <w:rsid w:val="007E457F"/>
    <w:rsid w:val="007E460F"/>
    <w:rsid w:val="007E464E"/>
    <w:rsid w:val="007E4650"/>
    <w:rsid w:val="007E46B3"/>
    <w:rsid w:val="007E46C3"/>
    <w:rsid w:val="007E47BF"/>
    <w:rsid w:val="007E480D"/>
    <w:rsid w:val="007E4836"/>
    <w:rsid w:val="007E4869"/>
    <w:rsid w:val="007E490C"/>
    <w:rsid w:val="007E4920"/>
    <w:rsid w:val="007E493B"/>
    <w:rsid w:val="007E49A1"/>
    <w:rsid w:val="007E49F2"/>
    <w:rsid w:val="007E49F5"/>
    <w:rsid w:val="007E4B1D"/>
    <w:rsid w:val="007E4B42"/>
    <w:rsid w:val="007E4C29"/>
    <w:rsid w:val="007E4C79"/>
    <w:rsid w:val="007E4CA4"/>
    <w:rsid w:val="007E4CD0"/>
    <w:rsid w:val="007E4D17"/>
    <w:rsid w:val="007E4DB4"/>
    <w:rsid w:val="007E4DFC"/>
    <w:rsid w:val="007E4E1C"/>
    <w:rsid w:val="007E4EC6"/>
    <w:rsid w:val="007E4F9B"/>
    <w:rsid w:val="007E5066"/>
    <w:rsid w:val="007E5096"/>
    <w:rsid w:val="007E50EC"/>
    <w:rsid w:val="007E51A0"/>
    <w:rsid w:val="007E51DA"/>
    <w:rsid w:val="007E51F4"/>
    <w:rsid w:val="007E52AD"/>
    <w:rsid w:val="007E52BB"/>
    <w:rsid w:val="007E5324"/>
    <w:rsid w:val="007E5388"/>
    <w:rsid w:val="007E53C7"/>
    <w:rsid w:val="007E53FC"/>
    <w:rsid w:val="007E547E"/>
    <w:rsid w:val="007E5542"/>
    <w:rsid w:val="007E55D8"/>
    <w:rsid w:val="007E5636"/>
    <w:rsid w:val="007E5657"/>
    <w:rsid w:val="007E56D1"/>
    <w:rsid w:val="007E56ED"/>
    <w:rsid w:val="007E578E"/>
    <w:rsid w:val="007E57CC"/>
    <w:rsid w:val="007E5806"/>
    <w:rsid w:val="007E5835"/>
    <w:rsid w:val="007E590A"/>
    <w:rsid w:val="007E595F"/>
    <w:rsid w:val="007E598B"/>
    <w:rsid w:val="007E598F"/>
    <w:rsid w:val="007E5A96"/>
    <w:rsid w:val="007E5BC4"/>
    <w:rsid w:val="007E5BE7"/>
    <w:rsid w:val="007E5C23"/>
    <w:rsid w:val="007E5D4A"/>
    <w:rsid w:val="007E5D5B"/>
    <w:rsid w:val="007E5D87"/>
    <w:rsid w:val="007E5E50"/>
    <w:rsid w:val="007E5E5A"/>
    <w:rsid w:val="007E5F22"/>
    <w:rsid w:val="007E5F88"/>
    <w:rsid w:val="007E5FE5"/>
    <w:rsid w:val="007E5FE8"/>
    <w:rsid w:val="007E604A"/>
    <w:rsid w:val="007E60CD"/>
    <w:rsid w:val="007E638F"/>
    <w:rsid w:val="007E63FF"/>
    <w:rsid w:val="007E6435"/>
    <w:rsid w:val="007E64D0"/>
    <w:rsid w:val="007E651E"/>
    <w:rsid w:val="007E6543"/>
    <w:rsid w:val="007E674F"/>
    <w:rsid w:val="007E67F0"/>
    <w:rsid w:val="007E6866"/>
    <w:rsid w:val="007E690E"/>
    <w:rsid w:val="007E6949"/>
    <w:rsid w:val="007E69C3"/>
    <w:rsid w:val="007E6A1C"/>
    <w:rsid w:val="007E6B03"/>
    <w:rsid w:val="007E6BBC"/>
    <w:rsid w:val="007E6C59"/>
    <w:rsid w:val="007E6DC2"/>
    <w:rsid w:val="007E6E0A"/>
    <w:rsid w:val="007E6E1A"/>
    <w:rsid w:val="007E6EB5"/>
    <w:rsid w:val="007E6EB7"/>
    <w:rsid w:val="007E6F1D"/>
    <w:rsid w:val="007E6F66"/>
    <w:rsid w:val="007E6FE6"/>
    <w:rsid w:val="007E6FE9"/>
    <w:rsid w:val="007E70A4"/>
    <w:rsid w:val="007E70F2"/>
    <w:rsid w:val="007E71A8"/>
    <w:rsid w:val="007E7207"/>
    <w:rsid w:val="007E736C"/>
    <w:rsid w:val="007E7406"/>
    <w:rsid w:val="007E74A3"/>
    <w:rsid w:val="007E74E0"/>
    <w:rsid w:val="007E75A3"/>
    <w:rsid w:val="007E7614"/>
    <w:rsid w:val="007E76C3"/>
    <w:rsid w:val="007E76FA"/>
    <w:rsid w:val="007E798E"/>
    <w:rsid w:val="007E79B5"/>
    <w:rsid w:val="007E7A1D"/>
    <w:rsid w:val="007E7A24"/>
    <w:rsid w:val="007E7A2B"/>
    <w:rsid w:val="007E7A81"/>
    <w:rsid w:val="007E7A87"/>
    <w:rsid w:val="007E7ABC"/>
    <w:rsid w:val="007E7B7D"/>
    <w:rsid w:val="007E7BBB"/>
    <w:rsid w:val="007E7BC9"/>
    <w:rsid w:val="007E7BD2"/>
    <w:rsid w:val="007E7D07"/>
    <w:rsid w:val="007E7DF7"/>
    <w:rsid w:val="007E7E59"/>
    <w:rsid w:val="007E7ECC"/>
    <w:rsid w:val="007E7F04"/>
    <w:rsid w:val="007E7F2E"/>
    <w:rsid w:val="007E7FAB"/>
    <w:rsid w:val="007F014F"/>
    <w:rsid w:val="007F019E"/>
    <w:rsid w:val="007F0215"/>
    <w:rsid w:val="007F02BA"/>
    <w:rsid w:val="007F03F9"/>
    <w:rsid w:val="007F041C"/>
    <w:rsid w:val="007F0489"/>
    <w:rsid w:val="007F0555"/>
    <w:rsid w:val="007F0614"/>
    <w:rsid w:val="007F075C"/>
    <w:rsid w:val="007F07AD"/>
    <w:rsid w:val="007F07BA"/>
    <w:rsid w:val="007F07C0"/>
    <w:rsid w:val="007F07E9"/>
    <w:rsid w:val="007F0885"/>
    <w:rsid w:val="007F08A6"/>
    <w:rsid w:val="007F08E1"/>
    <w:rsid w:val="007F08E8"/>
    <w:rsid w:val="007F0908"/>
    <w:rsid w:val="007F094C"/>
    <w:rsid w:val="007F09C7"/>
    <w:rsid w:val="007F09CD"/>
    <w:rsid w:val="007F0A30"/>
    <w:rsid w:val="007F0A44"/>
    <w:rsid w:val="007F0A7B"/>
    <w:rsid w:val="007F0AFC"/>
    <w:rsid w:val="007F0B08"/>
    <w:rsid w:val="007F0B16"/>
    <w:rsid w:val="007F0BA7"/>
    <w:rsid w:val="007F0BB0"/>
    <w:rsid w:val="007F0C38"/>
    <w:rsid w:val="007F0DC3"/>
    <w:rsid w:val="007F0E88"/>
    <w:rsid w:val="007F0F5A"/>
    <w:rsid w:val="007F0FC5"/>
    <w:rsid w:val="007F101B"/>
    <w:rsid w:val="007F1060"/>
    <w:rsid w:val="007F1065"/>
    <w:rsid w:val="007F107C"/>
    <w:rsid w:val="007F117F"/>
    <w:rsid w:val="007F11B5"/>
    <w:rsid w:val="007F12CC"/>
    <w:rsid w:val="007F12CF"/>
    <w:rsid w:val="007F1375"/>
    <w:rsid w:val="007F137C"/>
    <w:rsid w:val="007F13A6"/>
    <w:rsid w:val="007F142B"/>
    <w:rsid w:val="007F1494"/>
    <w:rsid w:val="007F14B8"/>
    <w:rsid w:val="007F1505"/>
    <w:rsid w:val="007F155C"/>
    <w:rsid w:val="007F15A8"/>
    <w:rsid w:val="007F15D0"/>
    <w:rsid w:val="007F1602"/>
    <w:rsid w:val="007F1650"/>
    <w:rsid w:val="007F168E"/>
    <w:rsid w:val="007F16B7"/>
    <w:rsid w:val="007F16BF"/>
    <w:rsid w:val="007F16F3"/>
    <w:rsid w:val="007F17A8"/>
    <w:rsid w:val="007F185C"/>
    <w:rsid w:val="007F1898"/>
    <w:rsid w:val="007F18A1"/>
    <w:rsid w:val="007F1915"/>
    <w:rsid w:val="007F1926"/>
    <w:rsid w:val="007F1A14"/>
    <w:rsid w:val="007F1A20"/>
    <w:rsid w:val="007F1A5D"/>
    <w:rsid w:val="007F1AB5"/>
    <w:rsid w:val="007F1BA3"/>
    <w:rsid w:val="007F1C22"/>
    <w:rsid w:val="007F1C6D"/>
    <w:rsid w:val="007F1C99"/>
    <w:rsid w:val="007F1C9B"/>
    <w:rsid w:val="007F1D25"/>
    <w:rsid w:val="007F1D7F"/>
    <w:rsid w:val="007F1DDB"/>
    <w:rsid w:val="007F1E22"/>
    <w:rsid w:val="007F1EAA"/>
    <w:rsid w:val="007F1F16"/>
    <w:rsid w:val="007F1F4B"/>
    <w:rsid w:val="007F1F7C"/>
    <w:rsid w:val="007F20BE"/>
    <w:rsid w:val="007F21A7"/>
    <w:rsid w:val="007F2228"/>
    <w:rsid w:val="007F2278"/>
    <w:rsid w:val="007F229D"/>
    <w:rsid w:val="007F229F"/>
    <w:rsid w:val="007F22AC"/>
    <w:rsid w:val="007F254F"/>
    <w:rsid w:val="007F25CA"/>
    <w:rsid w:val="007F25DF"/>
    <w:rsid w:val="007F25EF"/>
    <w:rsid w:val="007F2662"/>
    <w:rsid w:val="007F2692"/>
    <w:rsid w:val="007F2705"/>
    <w:rsid w:val="007F278A"/>
    <w:rsid w:val="007F27BB"/>
    <w:rsid w:val="007F2854"/>
    <w:rsid w:val="007F287F"/>
    <w:rsid w:val="007F28B6"/>
    <w:rsid w:val="007F28BB"/>
    <w:rsid w:val="007F28C1"/>
    <w:rsid w:val="007F28D9"/>
    <w:rsid w:val="007F2929"/>
    <w:rsid w:val="007F29F2"/>
    <w:rsid w:val="007F29FB"/>
    <w:rsid w:val="007F2A37"/>
    <w:rsid w:val="007F2A85"/>
    <w:rsid w:val="007F2A88"/>
    <w:rsid w:val="007F2ABE"/>
    <w:rsid w:val="007F2AD7"/>
    <w:rsid w:val="007F2ADC"/>
    <w:rsid w:val="007F2B42"/>
    <w:rsid w:val="007F2B55"/>
    <w:rsid w:val="007F2BF8"/>
    <w:rsid w:val="007F2CCA"/>
    <w:rsid w:val="007F2D7E"/>
    <w:rsid w:val="007F2DA2"/>
    <w:rsid w:val="007F2EEE"/>
    <w:rsid w:val="007F2EF5"/>
    <w:rsid w:val="007F2F06"/>
    <w:rsid w:val="007F2F30"/>
    <w:rsid w:val="007F2F7C"/>
    <w:rsid w:val="007F318F"/>
    <w:rsid w:val="007F326F"/>
    <w:rsid w:val="007F3278"/>
    <w:rsid w:val="007F329F"/>
    <w:rsid w:val="007F32A2"/>
    <w:rsid w:val="007F32E3"/>
    <w:rsid w:val="007F3322"/>
    <w:rsid w:val="007F335D"/>
    <w:rsid w:val="007F3381"/>
    <w:rsid w:val="007F34AF"/>
    <w:rsid w:val="007F34BD"/>
    <w:rsid w:val="007F34C5"/>
    <w:rsid w:val="007F3518"/>
    <w:rsid w:val="007F352D"/>
    <w:rsid w:val="007F353C"/>
    <w:rsid w:val="007F3555"/>
    <w:rsid w:val="007F355E"/>
    <w:rsid w:val="007F35A0"/>
    <w:rsid w:val="007F35E3"/>
    <w:rsid w:val="007F3615"/>
    <w:rsid w:val="007F3640"/>
    <w:rsid w:val="007F36FF"/>
    <w:rsid w:val="007F3738"/>
    <w:rsid w:val="007F3753"/>
    <w:rsid w:val="007F37E5"/>
    <w:rsid w:val="007F3805"/>
    <w:rsid w:val="007F381D"/>
    <w:rsid w:val="007F3882"/>
    <w:rsid w:val="007F38A1"/>
    <w:rsid w:val="007F38E3"/>
    <w:rsid w:val="007F3919"/>
    <w:rsid w:val="007F3997"/>
    <w:rsid w:val="007F39B6"/>
    <w:rsid w:val="007F3A52"/>
    <w:rsid w:val="007F3AA2"/>
    <w:rsid w:val="007F3B2B"/>
    <w:rsid w:val="007F3B4C"/>
    <w:rsid w:val="007F3B86"/>
    <w:rsid w:val="007F3BFA"/>
    <w:rsid w:val="007F3C50"/>
    <w:rsid w:val="007F3C64"/>
    <w:rsid w:val="007F3CFE"/>
    <w:rsid w:val="007F3D56"/>
    <w:rsid w:val="007F3E8A"/>
    <w:rsid w:val="007F3FD7"/>
    <w:rsid w:val="007F4106"/>
    <w:rsid w:val="007F4108"/>
    <w:rsid w:val="007F4186"/>
    <w:rsid w:val="007F41CA"/>
    <w:rsid w:val="007F41E5"/>
    <w:rsid w:val="007F420B"/>
    <w:rsid w:val="007F4247"/>
    <w:rsid w:val="007F427A"/>
    <w:rsid w:val="007F428C"/>
    <w:rsid w:val="007F4295"/>
    <w:rsid w:val="007F429A"/>
    <w:rsid w:val="007F42EA"/>
    <w:rsid w:val="007F430C"/>
    <w:rsid w:val="007F430F"/>
    <w:rsid w:val="007F433B"/>
    <w:rsid w:val="007F435B"/>
    <w:rsid w:val="007F4368"/>
    <w:rsid w:val="007F4401"/>
    <w:rsid w:val="007F441C"/>
    <w:rsid w:val="007F444F"/>
    <w:rsid w:val="007F4456"/>
    <w:rsid w:val="007F4470"/>
    <w:rsid w:val="007F454B"/>
    <w:rsid w:val="007F45B2"/>
    <w:rsid w:val="007F45BC"/>
    <w:rsid w:val="007F463C"/>
    <w:rsid w:val="007F464B"/>
    <w:rsid w:val="007F465B"/>
    <w:rsid w:val="007F475F"/>
    <w:rsid w:val="007F4841"/>
    <w:rsid w:val="007F4843"/>
    <w:rsid w:val="007F4872"/>
    <w:rsid w:val="007F48FF"/>
    <w:rsid w:val="007F4A03"/>
    <w:rsid w:val="007F4AFD"/>
    <w:rsid w:val="007F4C2C"/>
    <w:rsid w:val="007F4C84"/>
    <w:rsid w:val="007F4C99"/>
    <w:rsid w:val="007F4D7F"/>
    <w:rsid w:val="007F4D8F"/>
    <w:rsid w:val="007F4DCF"/>
    <w:rsid w:val="007F4E60"/>
    <w:rsid w:val="007F4E63"/>
    <w:rsid w:val="007F5092"/>
    <w:rsid w:val="007F510F"/>
    <w:rsid w:val="007F5260"/>
    <w:rsid w:val="007F526F"/>
    <w:rsid w:val="007F5293"/>
    <w:rsid w:val="007F545B"/>
    <w:rsid w:val="007F54CE"/>
    <w:rsid w:val="007F5552"/>
    <w:rsid w:val="007F5577"/>
    <w:rsid w:val="007F557F"/>
    <w:rsid w:val="007F5582"/>
    <w:rsid w:val="007F5610"/>
    <w:rsid w:val="007F563D"/>
    <w:rsid w:val="007F5768"/>
    <w:rsid w:val="007F57D1"/>
    <w:rsid w:val="007F580C"/>
    <w:rsid w:val="007F59B0"/>
    <w:rsid w:val="007F59B3"/>
    <w:rsid w:val="007F5AFB"/>
    <w:rsid w:val="007F5BF6"/>
    <w:rsid w:val="007F5C07"/>
    <w:rsid w:val="007F5C45"/>
    <w:rsid w:val="007F5C67"/>
    <w:rsid w:val="007F5C9C"/>
    <w:rsid w:val="007F5CAA"/>
    <w:rsid w:val="007F5D3E"/>
    <w:rsid w:val="007F5D51"/>
    <w:rsid w:val="007F5DEB"/>
    <w:rsid w:val="007F5E10"/>
    <w:rsid w:val="007F5E3C"/>
    <w:rsid w:val="007F5E50"/>
    <w:rsid w:val="007F5ECF"/>
    <w:rsid w:val="007F5EE0"/>
    <w:rsid w:val="007F5F77"/>
    <w:rsid w:val="007F5F8F"/>
    <w:rsid w:val="007F5FD7"/>
    <w:rsid w:val="007F612C"/>
    <w:rsid w:val="007F61EA"/>
    <w:rsid w:val="007F62EB"/>
    <w:rsid w:val="007F6327"/>
    <w:rsid w:val="007F635F"/>
    <w:rsid w:val="007F6378"/>
    <w:rsid w:val="007F642C"/>
    <w:rsid w:val="007F6499"/>
    <w:rsid w:val="007F6598"/>
    <w:rsid w:val="007F6599"/>
    <w:rsid w:val="007F65D8"/>
    <w:rsid w:val="007F669C"/>
    <w:rsid w:val="007F66BD"/>
    <w:rsid w:val="007F66E4"/>
    <w:rsid w:val="007F66F0"/>
    <w:rsid w:val="007F6739"/>
    <w:rsid w:val="007F6776"/>
    <w:rsid w:val="007F6786"/>
    <w:rsid w:val="007F678A"/>
    <w:rsid w:val="007F6875"/>
    <w:rsid w:val="007F68E4"/>
    <w:rsid w:val="007F68EA"/>
    <w:rsid w:val="007F693F"/>
    <w:rsid w:val="007F69CF"/>
    <w:rsid w:val="007F69DB"/>
    <w:rsid w:val="007F6A43"/>
    <w:rsid w:val="007F6B2C"/>
    <w:rsid w:val="007F6B3B"/>
    <w:rsid w:val="007F6BED"/>
    <w:rsid w:val="007F6C63"/>
    <w:rsid w:val="007F6C75"/>
    <w:rsid w:val="007F6C7D"/>
    <w:rsid w:val="007F6C99"/>
    <w:rsid w:val="007F6CAE"/>
    <w:rsid w:val="007F6D8E"/>
    <w:rsid w:val="007F6DAD"/>
    <w:rsid w:val="007F6E6A"/>
    <w:rsid w:val="007F6E8A"/>
    <w:rsid w:val="007F6E94"/>
    <w:rsid w:val="007F6F52"/>
    <w:rsid w:val="007F6F71"/>
    <w:rsid w:val="007F6F90"/>
    <w:rsid w:val="007F7027"/>
    <w:rsid w:val="007F7034"/>
    <w:rsid w:val="007F7094"/>
    <w:rsid w:val="007F7138"/>
    <w:rsid w:val="007F7141"/>
    <w:rsid w:val="007F7163"/>
    <w:rsid w:val="007F71A2"/>
    <w:rsid w:val="007F71AB"/>
    <w:rsid w:val="007F7219"/>
    <w:rsid w:val="007F724E"/>
    <w:rsid w:val="007F72E1"/>
    <w:rsid w:val="007F7386"/>
    <w:rsid w:val="007F73DF"/>
    <w:rsid w:val="007F749A"/>
    <w:rsid w:val="007F749C"/>
    <w:rsid w:val="007F74BA"/>
    <w:rsid w:val="007F757B"/>
    <w:rsid w:val="007F7597"/>
    <w:rsid w:val="007F759C"/>
    <w:rsid w:val="007F7677"/>
    <w:rsid w:val="007F76FD"/>
    <w:rsid w:val="007F770C"/>
    <w:rsid w:val="007F7774"/>
    <w:rsid w:val="007F77AC"/>
    <w:rsid w:val="007F7837"/>
    <w:rsid w:val="007F7973"/>
    <w:rsid w:val="007F7AA8"/>
    <w:rsid w:val="007F7B21"/>
    <w:rsid w:val="007F7B6C"/>
    <w:rsid w:val="007F7BF4"/>
    <w:rsid w:val="007F7CA1"/>
    <w:rsid w:val="007F7CB5"/>
    <w:rsid w:val="007F7D5C"/>
    <w:rsid w:val="007F7E2D"/>
    <w:rsid w:val="007F7EE2"/>
    <w:rsid w:val="007F7F1F"/>
    <w:rsid w:val="007F7F78"/>
    <w:rsid w:val="007F7FAC"/>
    <w:rsid w:val="007F7FF8"/>
    <w:rsid w:val="008000C1"/>
    <w:rsid w:val="008000CE"/>
    <w:rsid w:val="008000F0"/>
    <w:rsid w:val="00800139"/>
    <w:rsid w:val="00800145"/>
    <w:rsid w:val="0080014C"/>
    <w:rsid w:val="00800173"/>
    <w:rsid w:val="0080022C"/>
    <w:rsid w:val="00800334"/>
    <w:rsid w:val="0080039E"/>
    <w:rsid w:val="008003A2"/>
    <w:rsid w:val="008003A5"/>
    <w:rsid w:val="008003F1"/>
    <w:rsid w:val="00800641"/>
    <w:rsid w:val="0080072D"/>
    <w:rsid w:val="008007F2"/>
    <w:rsid w:val="008008BB"/>
    <w:rsid w:val="00800981"/>
    <w:rsid w:val="00800983"/>
    <w:rsid w:val="00800A5B"/>
    <w:rsid w:val="00800A6F"/>
    <w:rsid w:val="00800A76"/>
    <w:rsid w:val="00800AA0"/>
    <w:rsid w:val="00800AB9"/>
    <w:rsid w:val="00800B6A"/>
    <w:rsid w:val="00800B86"/>
    <w:rsid w:val="00800BA8"/>
    <w:rsid w:val="00800BBB"/>
    <w:rsid w:val="00800C7D"/>
    <w:rsid w:val="00800D0C"/>
    <w:rsid w:val="00800D70"/>
    <w:rsid w:val="00800DE5"/>
    <w:rsid w:val="00800F07"/>
    <w:rsid w:val="00800F75"/>
    <w:rsid w:val="00800FBF"/>
    <w:rsid w:val="00801091"/>
    <w:rsid w:val="008010C8"/>
    <w:rsid w:val="008010DB"/>
    <w:rsid w:val="00801110"/>
    <w:rsid w:val="00801168"/>
    <w:rsid w:val="0080118F"/>
    <w:rsid w:val="008011A0"/>
    <w:rsid w:val="008011F1"/>
    <w:rsid w:val="00801264"/>
    <w:rsid w:val="00801268"/>
    <w:rsid w:val="008012A9"/>
    <w:rsid w:val="008012F9"/>
    <w:rsid w:val="00801325"/>
    <w:rsid w:val="00801365"/>
    <w:rsid w:val="00801368"/>
    <w:rsid w:val="00801378"/>
    <w:rsid w:val="00801417"/>
    <w:rsid w:val="0080161A"/>
    <w:rsid w:val="008017B2"/>
    <w:rsid w:val="008017B3"/>
    <w:rsid w:val="0080185F"/>
    <w:rsid w:val="0080189D"/>
    <w:rsid w:val="00801C5D"/>
    <w:rsid w:val="00801C6B"/>
    <w:rsid w:val="00801E25"/>
    <w:rsid w:val="00801F54"/>
    <w:rsid w:val="00801F8B"/>
    <w:rsid w:val="00801FA4"/>
    <w:rsid w:val="0080201D"/>
    <w:rsid w:val="008020CE"/>
    <w:rsid w:val="008020D9"/>
    <w:rsid w:val="00802183"/>
    <w:rsid w:val="008021CA"/>
    <w:rsid w:val="008021D4"/>
    <w:rsid w:val="00802269"/>
    <w:rsid w:val="00802276"/>
    <w:rsid w:val="00802364"/>
    <w:rsid w:val="008023A5"/>
    <w:rsid w:val="00802403"/>
    <w:rsid w:val="00802447"/>
    <w:rsid w:val="0080244F"/>
    <w:rsid w:val="0080248E"/>
    <w:rsid w:val="008024DB"/>
    <w:rsid w:val="008025DC"/>
    <w:rsid w:val="008025F2"/>
    <w:rsid w:val="00802618"/>
    <w:rsid w:val="0080264F"/>
    <w:rsid w:val="00802690"/>
    <w:rsid w:val="008026AB"/>
    <w:rsid w:val="00802703"/>
    <w:rsid w:val="00802717"/>
    <w:rsid w:val="00802733"/>
    <w:rsid w:val="0080282F"/>
    <w:rsid w:val="00802832"/>
    <w:rsid w:val="008028DE"/>
    <w:rsid w:val="008029CD"/>
    <w:rsid w:val="00802A05"/>
    <w:rsid w:val="00802AB5"/>
    <w:rsid w:val="00802B00"/>
    <w:rsid w:val="00802B04"/>
    <w:rsid w:val="00802B66"/>
    <w:rsid w:val="00802B91"/>
    <w:rsid w:val="00802C1D"/>
    <w:rsid w:val="00802C49"/>
    <w:rsid w:val="00802C73"/>
    <w:rsid w:val="00802CCB"/>
    <w:rsid w:val="00802D86"/>
    <w:rsid w:val="00802D94"/>
    <w:rsid w:val="00802DAD"/>
    <w:rsid w:val="00802DF0"/>
    <w:rsid w:val="00802DF9"/>
    <w:rsid w:val="00802E30"/>
    <w:rsid w:val="00802EC3"/>
    <w:rsid w:val="00802EE4"/>
    <w:rsid w:val="0080305F"/>
    <w:rsid w:val="00803118"/>
    <w:rsid w:val="008031F1"/>
    <w:rsid w:val="00803261"/>
    <w:rsid w:val="0080330A"/>
    <w:rsid w:val="00803353"/>
    <w:rsid w:val="008033DC"/>
    <w:rsid w:val="008034A2"/>
    <w:rsid w:val="00803551"/>
    <w:rsid w:val="008035AD"/>
    <w:rsid w:val="008035C2"/>
    <w:rsid w:val="0080375A"/>
    <w:rsid w:val="008037E3"/>
    <w:rsid w:val="0080382E"/>
    <w:rsid w:val="00803877"/>
    <w:rsid w:val="008038CA"/>
    <w:rsid w:val="008038F9"/>
    <w:rsid w:val="00803A2E"/>
    <w:rsid w:val="00803A46"/>
    <w:rsid w:val="00803AFE"/>
    <w:rsid w:val="00803C0E"/>
    <w:rsid w:val="00803C16"/>
    <w:rsid w:val="00803D1A"/>
    <w:rsid w:val="00803E1C"/>
    <w:rsid w:val="00803E4E"/>
    <w:rsid w:val="00803E9A"/>
    <w:rsid w:val="00803F50"/>
    <w:rsid w:val="00803F75"/>
    <w:rsid w:val="00803FB8"/>
    <w:rsid w:val="00804022"/>
    <w:rsid w:val="0080403F"/>
    <w:rsid w:val="0080405F"/>
    <w:rsid w:val="008040AC"/>
    <w:rsid w:val="00804130"/>
    <w:rsid w:val="0080428A"/>
    <w:rsid w:val="008042D4"/>
    <w:rsid w:val="00804332"/>
    <w:rsid w:val="0080433A"/>
    <w:rsid w:val="008043EB"/>
    <w:rsid w:val="00804450"/>
    <w:rsid w:val="00804477"/>
    <w:rsid w:val="0080458B"/>
    <w:rsid w:val="008045AC"/>
    <w:rsid w:val="008045D6"/>
    <w:rsid w:val="008045ED"/>
    <w:rsid w:val="0080465E"/>
    <w:rsid w:val="008046FB"/>
    <w:rsid w:val="00804887"/>
    <w:rsid w:val="0080496E"/>
    <w:rsid w:val="00804996"/>
    <w:rsid w:val="00804A74"/>
    <w:rsid w:val="00804A81"/>
    <w:rsid w:val="00804AD5"/>
    <w:rsid w:val="00804B31"/>
    <w:rsid w:val="00804B3E"/>
    <w:rsid w:val="00804BC9"/>
    <w:rsid w:val="00804BF7"/>
    <w:rsid w:val="00804BFA"/>
    <w:rsid w:val="00804D25"/>
    <w:rsid w:val="00804D32"/>
    <w:rsid w:val="00804D7F"/>
    <w:rsid w:val="00804D9E"/>
    <w:rsid w:val="00804DA4"/>
    <w:rsid w:val="00804DA6"/>
    <w:rsid w:val="00804E13"/>
    <w:rsid w:val="00804E28"/>
    <w:rsid w:val="00804E96"/>
    <w:rsid w:val="00804FE5"/>
    <w:rsid w:val="00805183"/>
    <w:rsid w:val="0080525B"/>
    <w:rsid w:val="008052ED"/>
    <w:rsid w:val="00805376"/>
    <w:rsid w:val="008053A6"/>
    <w:rsid w:val="008054D0"/>
    <w:rsid w:val="00805564"/>
    <w:rsid w:val="0080556E"/>
    <w:rsid w:val="008055A8"/>
    <w:rsid w:val="0080562E"/>
    <w:rsid w:val="008056AE"/>
    <w:rsid w:val="008056D2"/>
    <w:rsid w:val="008056E4"/>
    <w:rsid w:val="008056FC"/>
    <w:rsid w:val="0080573A"/>
    <w:rsid w:val="008057D8"/>
    <w:rsid w:val="008057F4"/>
    <w:rsid w:val="00805872"/>
    <w:rsid w:val="008058D4"/>
    <w:rsid w:val="0080591D"/>
    <w:rsid w:val="00805970"/>
    <w:rsid w:val="00805992"/>
    <w:rsid w:val="008059A1"/>
    <w:rsid w:val="008059D3"/>
    <w:rsid w:val="008059EE"/>
    <w:rsid w:val="008059FE"/>
    <w:rsid w:val="00805A1B"/>
    <w:rsid w:val="00805A49"/>
    <w:rsid w:val="00805A4F"/>
    <w:rsid w:val="00805A6A"/>
    <w:rsid w:val="00805A8E"/>
    <w:rsid w:val="00805ABE"/>
    <w:rsid w:val="00805B52"/>
    <w:rsid w:val="00805B55"/>
    <w:rsid w:val="00805B68"/>
    <w:rsid w:val="00805B84"/>
    <w:rsid w:val="00805B9B"/>
    <w:rsid w:val="00805BCF"/>
    <w:rsid w:val="00805BD9"/>
    <w:rsid w:val="00805C78"/>
    <w:rsid w:val="00805C96"/>
    <w:rsid w:val="00805CD5"/>
    <w:rsid w:val="00805D09"/>
    <w:rsid w:val="00805D68"/>
    <w:rsid w:val="00805E43"/>
    <w:rsid w:val="00805EAB"/>
    <w:rsid w:val="00805F20"/>
    <w:rsid w:val="00805FBD"/>
    <w:rsid w:val="00805FC1"/>
    <w:rsid w:val="00806072"/>
    <w:rsid w:val="0080611D"/>
    <w:rsid w:val="008061A5"/>
    <w:rsid w:val="008061C1"/>
    <w:rsid w:val="008061E7"/>
    <w:rsid w:val="00806245"/>
    <w:rsid w:val="0080626B"/>
    <w:rsid w:val="0080626D"/>
    <w:rsid w:val="008062BA"/>
    <w:rsid w:val="0080635B"/>
    <w:rsid w:val="008063D4"/>
    <w:rsid w:val="00806415"/>
    <w:rsid w:val="00806453"/>
    <w:rsid w:val="0080645B"/>
    <w:rsid w:val="00806463"/>
    <w:rsid w:val="008064B6"/>
    <w:rsid w:val="008064E1"/>
    <w:rsid w:val="0080655C"/>
    <w:rsid w:val="00806593"/>
    <w:rsid w:val="008065A9"/>
    <w:rsid w:val="008065D2"/>
    <w:rsid w:val="008065F7"/>
    <w:rsid w:val="0080671B"/>
    <w:rsid w:val="008067E4"/>
    <w:rsid w:val="008067EB"/>
    <w:rsid w:val="00806847"/>
    <w:rsid w:val="008068F2"/>
    <w:rsid w:val="0080692A"/>
    <w:rsid w:val="00806B36"/>
    <w:rsid w:val="00806C30"/>
    <w:rsid w:val="00806C50"/>
    <w:rsid w:val="00806C56"/>
    <w:rsid w:val="00806CAD"/>
    <w:rsid w:val="00806D36"/>
    <w:rsid w:val="00806D43"/>
    <w:rsid w:val="00806D95"/>
    <w:rsid w:val="00806E46"/>
    <w:rsid w:val="00806EBC"/>
    <w:rsid w:val="00806FF6"/>
    <w:rsid w:val="00807038"/>
    <w:rsid w:val="0080706C"/>
    <w:rsid w:val="008072B9"/>
    <w:rsid w:val="008072CC"/>
    <w:rsid w:val="008072DC"/>
    <w:rsid w:val="008073B4"/>
    <w:rsid w:val="00807429"/>
    <w:rsid w:val="008074E6"/>
    <w:rsid w:val="00807520"/>
    <w:rsid w:val="008075C7"/>
    <w:rsid w:val="008076E3"/>
    <w:rsid w:val="008076EB"/>
    <w:rsid w:val="0080770E"/>
    <w:rsid w:val="00807796"/>
    <w:rsid w:val="00807798"/>
    <w:rsid w:val="0080786A"/>
    <w:rsid w:val="00807888"/>
    <w:rsid w:val="008078F1"/>
    <w:rsid w:val="0080792E"/>
    <w:rsid w:val="0080794F"/>
    <w:rsid w:val="00807A83"/>
    <w:rsid w:val="00807B47"/>
    <w:rsid w:val="00807B5F"/>
    <w:rsid w:val="00807BD9"/>
    <w:rsid w:val="00807C3E"/>
    <w:rsid w:val="00807C5A"/>
    <w:rsid w:val="00807D9D"/>
    <w:rsid w:val="00807E12"/>
    <w:rsid w:val="00807E3D"/>
    <w:rsid w:val="00807E66"/>
    <w:rsid w:val="00807E7C"/>
    <w:rsid w:val="00807F0E"/>
    <w:rsid w:val="00807F38"/>
    <w:rsid w:val="00807F3B"/>
    <w:rsid w:val="00807F4B"/>
    <w:rsid w:val="00807FBD"/>
    <w:rsid w:val="00807FED"/>
    <w:rsid w:val="0081001C"/>
    <w:rsid w:val="00810164"/>
    <w:rsid w:val="008102F1"/>
    <w:rsid w:val="0081031E"/>
    <w:rsid w:val="0081036F"/>
    <w:rsid w:val="008104A3"/>
    <w:rsid w:val="00810551"/>
    <w:rsid w:val="00810599"/>
    <w:rsid w:val="008105E0"/>
    <w:rsid w:val="0081061D"/>
    <w:rsid w:val="0081069E"/>
    <w:rsid w:val="008106DA"/>
    <w:rsid w:val="008106FF"/>
    <w:rsid w:val="0081075A"/>
    <w:rsid w:val="00810773"/>
    <w:rsid w:val="00810776"/>
    <w:rsid w:val="008107C2"/>
    <w:rsid w:val="008107DB"/>
    <w:rsid w:val="0081080A"/>
    <w:rsid w:val="00810909"/>
    <w:rsid w:val="0081090D"/>
    <w:rsid w:val="00810953"/>
    <w:rsid w:val="00810971"/>
    <w:rsid w:val="00810AA3"/>
    <w:rsid w:val="00810B68"/>
    <w:rsid w:val="00810BAC"/>
    <w:rsid w:val="00810C02"/>
    <w:rsid w:val="00810C2B"/>
    <w:rsid w:val="00810C43"/>
    <w:rsid w:val="00810CAD"/>
    <w:rsid w:val="00810CC2"/>
    <w:rsid w:val="00810CF1"/>
    <w:rsid w:val="00810DF0"/>
    <w:rsid w:val="00810E45"/>
    <w:rsid w:val="00810E71"/>
    <w:rsid w:val="00810E7E"/>
    <w:rsid w:val="00810ED6"/>
    <w:rsid w:val="00810EFF"/>
    <w:rsid w:val="00810F2A"/>
    <w:rsid w:val="00810F50"/>
    <w:rsid w:val="00810F75"/>
    <w:rsid w:val="00810FBC"/>
    <w:rsid w:val="00810FE0"/>
    <w:rsid w:val="00811037"/>
    <w:rsid w:val="00811042"/>
    <w:rsid w:val="0081107B"/>
    <w:rsid w:val="00811090"/>
    <w:rsid w:val="008110F4"/>
    <w:rsid w:val="008111C1"/>
    <w:rsid w:val="008111EB"/>
    <w:rsid w:val="00811235"/>
    <w:rsid w:val="008112A9"/>
    <w:rsid w:val="008112DE"/>
    <w:rsid w:val="0081136A"/>
    <w:rsid w:val="00811395"/>
    <w:rsid w:val="008113E0"/>
    <w:rsid w:val="00811439"/>
    <w:rsid w:val="0081149D"/>
    <w:rsid w:val="008114E9"/>
    <w:rsid w:val="00811505"/>
    <w:rsid w:val="0081150D"/>
    <w:rsid w:val="0081159F"/>
    <w:rsid w:val="008115B1"/>
    <w:rsid w:val="00811613"/>
    <w:rsid w:val="0081161F"/>
    <w:rsid w:val="0081172E"/>
    <w:rsid w:val="00811833"/>
    <w:rsid w:val="0081185F"/>
    <w:rsid w:val="008118A1"/>
    <w:rsid w:val="008118AA"/>
    <w:rsid w:val="008118FA"/>
    <w:rsid w:val="00811930"/>
    <w:rsid w:val="008119C1"/>
    <w:rsid w:val="00811A03"/>
    <w:rsid w:val="00811A42"/>
    <w:rsid w:val="00811A7C"/>
    <w:rsid w:val="00811AB9"/>
    <w:rsid w:val="00811B01"/>
    <w:rsid w:val="00811B0E"/>
    <w:rsid w:val="00811B15"/>
    <w:rsid w:val="00811C9E"/>
    <w:rsid w:val="00811CCD"/>
    <w:rsid w:val="00811DA8"/>
    <w:rsid w:val="00811DDE"/>
    <w:rsid w:val="00811DE2"/>
    <w:rsid w:val="00811E72"/>
    <w:rsid w:val="00811ED6"/>
    <w:rsid w:val="00811F5D"/>
    <w:rsid w:val="0081208A"/>
    <w:rsid w:val="00812188"/>
    <w:rsid w:val="00812277"/>
    <w:rsid w:val="00812313"/>
    <w:rsid w:val="0081236F"/>
    <w:rsid w:val="008123E6"/>
    <w:rsid w:val="008123F5"/>
    <w:rsid w:val="008123FC"/>
    <w:rsid w:val="0081240B"/>
    <w:rsid w:val="0081246D"/>
    <w:rsid w:val="0081249F"/>
    <w:rsid w:val="0081255E"/>
    <w:rsid w:val="00812607"/>
    <w:rsid w:val="00812670"/>
    <w:rsid w:val="00812677"/>
    <w:rsid w:val="00812695"/>
    <w:rsid w:val="0081270E"/>
    <w:rsid w:val="00812761"/>
    <w:rsid w:val="008127FB"/>
    <w:rsid w:val="0081288C"/>
    <w:rsid w:val="00812943"/>
    <w:rsid w:val="0081294B"/>
    <w:rsid w:val="0081296F"/>
    <w:rsid w:val="008129F0"/>
    <w:rsid w:val="00812A01"/>
    <w:rsid w:val="00812A51"/>
    <w:rsid w:val="00812A7A"/>
    <w:rsid w:val="00812AC5"/>
    <w:rsid w:val="00812C1D"/>
    <w:rsid w:val="00812CB0"/>
    <w:rsid w:val="00812D45"/>
    <w:rsid w:val="00812E42"/>
    <w:rsid w:val="00812E49"/>
    <w:rsid w:val="00812E54"/>
    <w:rsid w:val="00812EB6"/>
    <w:rsid w:val="00812EFD"/>
    <w:rsid w:val="00812F28"/>
    <w:rsid w:val="00813013"/>
    <w:rsid w:val="00813064"/>
    <w:rsid w:val="00813133"/>
    <w:rsid w:val="0081318B"/>
    <w:rsid w:val="0081324C"/>
    <w:rsid w:val="0081326A"/>
    <w:rsid w:val="00813277"/>
    <w:rsid w:val="008132C7"/>
    <w:rsid w:val="00813403"/>
    <w:rsid w:val="0081357D"/>
    <w:rsid w:val="00813580"/>
    <w:rsid w:val="0081358D"/>
    <w:rsid w:val="00813592"/>
    <w:rsid w:val="008135DE"/>
    <w:rsid w:val="00813626"/>
    <w:rsid w:val="0081369E"/>
    <w:rsid w:val="008136BF"/>
    <w:rsid w:val="008136C9"/>
    <w:rsid w:val="008136EA"/>
    <w:rsid w:val="0081374D"/>
    <w:rsid w:val="00813765"/>
    <w:rsid w:val="00813826"/>
    <w:rsid w:val="008138B4"/>
    <w:rsid w:val="00813973"/>
    <w:rsid w:val="00813A23"/>
    <w:rsid w:val="00813A2F"/>
    <w:rsid w:val="00813B5D"/>
    <w:rsid w:val="00813BA6"/>
    <w:rsid w:val="00813BE9"/>
    <w:rsid w:val="00813C02"/>
    <w:rsid w:val="00813C95"/>
    <w:rsid w:val="00813C9E"/>
    <w:rsid w:val="00813CCC"/>
    <w:rsid w:val="00813D93"/>
    <w:rsid w:val="00813DA6"/>
    <w:rsid w:val="00813E3D"/>
    <w:rsid w:val="00813F15"/>
    <w:rsid w:val="00813F1F"/>
    <w:rsid w:val="00813F2C"/>
    <w:rsid w:val="00813F60"/>
    <w:rsid w:val="00813F63"/>
    <w:rsid w:val="00813F67"/>
    <w:rsid w:val="00814072"/>
    <w:rsid w:val="0081408D"/>
    <w:rsid w:val="00814100"/>
    <w:rsid w:val="0081416A"/>
    <w:rsid w:val="008141A5"/>
    <w:rsid w:val="00814206"/>
    <w:rsid w:val="00814273"/>
    <w:rsid w:val="008142A3"/>
    <w:rsid w:val="008142DD"/>
    <w:rsid w:val="008143F5"/>
    <w:rsid w:val="00814468"/>
    <w:rsid w:val="008144EB"/>
    <w:rsid w:val="0081454F"/>
    <w:rsid w:val="00814570"/>
    <w:rsid w:val="008145E1"/>
    <w:rsid w:val="00814603"/>
    <w:rsid w:val="0081460B"/>
    <w:rsid w:val="00814615"/>
    <w:rsid w:val="00814664"/>
    <w:rsid w:val="008146FE"/>
    <w:rsid w:val="0081475D"/>
    <w:rsid w:val="00814767"/>
    <w:rsid w:val="00814857"/>
    <w:rsid w:val="00814882"/>
    <w:rsid w:val="008148B1"/>
    <w:rsid w:val="0081491F"/>
    <w:rsid w:val="0081493E"/>
    <w:rsid w:val="008149BF"/>
    <w:rsid w:val="008149CD"/>
    <w:rsid w:val="008149D0"/>
    <w:rsid w:val="008149E4"/>
    <w:rsid w:val="008149F2"/>
    <w:rsid w:val="008149FC"/>
    <w:rsid w:val="00814A35"/>
    <w:rsid w:val="00814A72"/>
    <w:rsid w:val="00814A93"/>
    <w:rsid w:val="00814ADD"/>
    <w:rsid w:val="00814BEC"/>
    <w:rsid w:val="00814C1E"/>
    <w:rsid w:val="00814D8C"/>
    <w:rsid w:val="00814DA6"/>
    <w:rsid w:val="00814E71"/>
    <w:rsid w:val="00814E74"/>
    <w:rsid w:val="00814F65"/>
    <w:rsid w:val="00815008"/>
    <w:rsid w:val="0081513B"/>
    <w:rsid w:val="00815194"/>
    <w:rsid w:val="0081523B"/>
    <w:rsid w:val="00815251"/>
    <w:rsid w:val="00815278"/>
    <w:rsid w:val="0081528E"/>
    <w:rsid w:val="008152D6"/>
    <w:rsid w:val="0081531C"/>
    <w:rsid w:val="00815386"/>
    <w:rsid w:val="008153E4"/>
    <w:rsid w:val="00815450"/>
    <w:rsid w:val="00815464"/>
    <w:rsid w:val="00815473"/>
    <w:rsid w:val="008154A4"/>
    <w:rsid w:val="008154E7"/>
    <w:rsid w:val="00815502"/>
    <w:rsid w:val="0081551F"/>
    <w:rsid w:val="00815697"/>
    <w:rsid w:val="0081572B"/>
    <w:rsid w:val="00815789"/>
    <w:rsid w:val="0081581B"/>
    <w:rsid w:val="00815826"/>
    <w:rsid w:val="00815882"/>
    <w:rsid w:val="008158B3"/>
    <w:rsid w:val="00815956"/>
    <w:rsid w:val="00815960"/>
    <w:rsid w:val="00815969"/>
    <w:rsid w:val="00815993"/>
    <w:rsid w:val="008159B2"/>
    <w:rsid w:val="008159CC"/>
    <w:rsid w:val="00815A5D"/>
    <w:rsid w:val="00815ADE"/>
    <w:rsid w:val="00815B19"/>
    <w:rsid w:val="00815B1E"/>
    <w:rsid w:val="00815C17"/>
    <w:rsid w:val="00815C71"/>
    <w:rsid w:val="00815CC5"/>
    <w:rsid w:val="00815D2D"/>
    <w:rsid w:val="00815D44"/>
    <w:rsid w:val="00815D51"/>
    <w:rsid w:val="00815E6A"/>
    <w:rsid w:val="00815E94"/>
    <w:rsid w:val="00815F22"/>
    <w:rsid w:val="00815F83"/>
    <w:rsid w:val="00816060"/>
    <w:rsid w:val="00816087"/>
    <w:rsid w:val="0081608E"/>
    <w:rsid w:val="008160C9"/>
    <w:rsid w:val="008160E6"/>
    <w:rsid w:val="00816182"/>
    <w:rsid w:val="008162B4"/>
    <w:rsid w:val="00816345"/>
    <w:rsid w:val="0081653D"/>
    <w:rsid w:val="0081654B"/>
    <w:rsid w:val="008165E4"/>
    <w:rsid w:val="008165F5"/>
    <w:rsid w:val="0081669F"/>
    <w:rsid w:val="008166AF"/>
    <w:rsid w:val="0081672D"/>
    <w:rsid w:val="008167F7"/>
    <w:rsid w:val="0081680A"/>
    <w:rsid w:val="00816847"/>
    <w:rsid w:val="0081692A"/>
    <w:rsid w:val="008169BA"/>
    <w:rsid w:val="008169CD"/>
    <w:rsid w:val="00816A37"/>
    <w:rsid w:val="00816AB6"/>
    <w:rsid w:val="00816B1B"/>
    <w:rsid w:val="00816B83"/>
    <w:rsid w:val="00816B9D"/>
    <w:rsid w:val="00816BC7"/>
    <w:rsid w:val="00816BDE"/>
    <w:rsid w:val="00816C38"/>
    <w:rsid w:val="00816C62"/>
    <w:rsid w:val="00816D27"/>
    <w:rsid w:val="00816DDB"/>
    <w:rsid w:val="00816E23"/>
    <w:rsid w:val="00816F2B"/>
    <w:rsid w:val="00816F94"/>
    <w:rsid w:val="0081701C"/>
    <w:rsid w:val="00817062"/>
    <w:rsid w:val="00817082"/>
    <w:rsid w:val="00817163"/>
    <w:rsid w:val="0081727A"/>
    <w:rsid w:val="008172D7"/>
    <w:rsid w:val="008173CB"/>
    <w:rsid w:val="00817430"/>
    <w:rsid w:val="00817450"/>
    <w:rsid w:val="0081749D"/>
    <w:rsid w:val="008174CD"/>
    <w:rsid w:val="0081754C"/>
    <w:rsid w:val="008175CE"/>
    <w:rsid w:val="008175E4"/>
    <w:rsid w:val="00817601"/>
    <w:rsid w:val="0081760F"/>
    <w:rsid w:val="00817638"/>
    <w:rsid w:val="008176C6"/>
    <w:rsid w:val="0081773C"/>
    <w:rsid w:val="008177A8"/>
    <w:rsid w:val="008177CE"/>
    <w:rsid w:val="008177F6"/>
    <w:rsid w:val="0081783E"/>
    <w:rsid w:val="0081785F"/>
    <w:rsid w:val="0081787F"/>
    <w:rsid w:val="00817927"/>
    <w:rsid w:val="00817945"/>
    <w:rsid w:val="00817977"/>
    <w:rsid w:val="008179A4"/>
    <w:rsid w:val="008179AB"/>
    <w:rsid w:val="00817A0F"/>
    <w:rsid w:val="00817A74"/>
    <w:rsid w:val="00817AEC"/>
    <w:rsid w:val="00817B12"/>
    <w:rsid w:val="00817B58"/>
    <w:rsid w:val="00817B92"/>
    <w:rsid w:val="00817C3E"/>
    <w:rsid w:val="00817C65"/>
    <w:rsid w:val="00817D2C"/>
    <w:rsid w:val="00817D5B"/>
    <w:rsid w:val="00817D6C"/>
    <w:rsid w:val="00817E3B"/>
    <w:rsid w:val="00817EDA"/>
    <w:rsid w:val="00817EE9"/>
    <w:rsid w:val="00817F4E"/>
    <w:rsid w:val="00817F50"/>
    <w:rsid w:val="00817F6D"/>
    <w:rsid w:val="00817F96"/>
    <w:rsid w:val="00817F9A"/>
    <w:rsid w:val="0082015D"/>
    <w:rsid w:val="00820251"/>
    <w:rsid w:val="00820256"/>
    <w:rsid w:val="00820274"/>
    <w:rsid w:val="008203F5"/>
    <w:rsid w:val="00820445"/>
    <w:rsid w:val="00820479"/>
    <w:rsid w:val="008204AD"/>
    <w:rsid w:val="00820545"/>
    <w:rsid w:val="00820566"/>
    <w:rsid w:val="00820694"/>
    <w:rsid w:val="00820699"/>
    <w:rsid w:val="00820784"/>
    <w:rsid w:val="00820817"/>
    <w:rsid w:val="00820828"/>
    <w:rsid w:val="00820836"/>
    <w:rsid w:val="00820849"/>
    <w:rsid w:val="00820859"/>
    <w:rsid w:val="008208F7"/>
    <w:rsid w:val="00820997"/>
    <w:rsid w:val="008209FB"/>
    <w:rsid w:val="00820A32"/>
    <w:rsid w:val="00820AEB"/>
    <w:rsid w:val="00820B65"/>
    <w:rsid w:val="00820C31"/>
    <w:rsid w:val="00820C56"/>
    <w:rsid w:val="00820C7E"/>
    <w:rsid w:val="00820D32"/>
    <w:rsid w:val="00820DA8"/>
    <w:rsid w:val="00820DDE"/>
    <w:rsid w:val="00820DEF"/>
    <w:rsid w:val="00820E02"/>
    <w:rsid w:val="00820E13"/>
    <w:rsid w:val="00820EB9"/>
    <w:rsid w:val="00820EDD"/>
    <w:rsid w:val="00821017"/>
    <w:rsid w:val="00821045"/>
    <w:rsid w:val="0082108C"/>
    <w:rsid w:val="00821106"/>
    <w:rsid w:val="0082126F"/>
    <w:rsid w:val="008212A8"/>
    <w:rsid w:val="008212B5"/>
    <w:rsid w:val="008213EB"/>
    <w:rsid w:val="00821422"/>
    <w:rsid w:val="0082143E"/>
    <w:rsid w:val="00821490"/>
    <w:rsid w:val="0082155C"/>
    <w:rsid w:val="008215F4"/>
    <w:rsid w:val="008215FB"/>
    <w:rsid w:val="00821608"/>
    <w:rsid w:val="00821609"/>
    <w:rsid w:val="008216DA"/>
    <w:rsid w:val="00821722"/>
    <w:rsid w:val="00821780"/>
    <w:rsid w:val="0082179A"/>
    <w:rsid w:val="008217CA"/>
    <w:rsid w:val="008217F8"/>
    <w:rsid w:val="00821802"/>
    <w:rsid w:val="00821869"/>
    <w:rsid w:val="00821875"/>
    <w:rsid w:val="008218F3"/>
    <w:rsid w:val="0082191D"/>
    <w:rsid w:val="00821951"/>
    <w:rsid w:val="00821980"/>
    <w:rsid w:val="008219B7"/>
    <w:rsid w:val="008219EE"/>
    <w:rsid w:val="00821B78"/>
    <w:rsid w:val="00821BCB"/>
    <w:rsid w:val="00821C93"/>
    <w:rsid w:val="00821CDB"/>
    <w:rsid w:val="00821D5F"/>
    <w:rsid w:val="00821E20"/>
    <w:rsid w:val="00821E48"/>
    <w:rsid w:val="00821ED5"/>
    <w:rsid w:val="00821F38"/>
    <w:rsid w:val="00821F71"/>
    <w:rsid w:val="00821FF6"/>
    <w:rsid w:val="00822141"/>
    <w:rsid w:val="0082215A"/>
    <w:rsid w:val="0082217B"/>
    <w:rsid w:val="0082218B"/>
    <w:rsid w:val="00822195"/>
    <w:rsid w:val="008221BF"/>
    <w:rsid w:val="008221CF"/>
    <w:rsid w:val="008221F3"/>
    <w:rsid w:val="008222F7"/>
    <w:rsid w:val="0082230F"/>
    <w:rsid w:val="008223AD"/>
    <w:rsid w:val="008223C0"/>
    <w:rsid w:val="00822472"/>
    <w:rsid w:val="00822486"/>
    <w:rsid w:val="0082254E"/>
    <w:rsid w:val="008225AF"/>
    <w:rsid w:val="00822624"/>
    <w:rsid w:val="0082264E"/>
    <w:rsid w:val="00822724"/>
    <w:rsid w:val="008227B5"/>
    <w:rsid w:val="00822862"/>
    <w:rsid w:val="008228FD"/>
    <w:rsid w:val="00822944"/>
    <w:rsid w:val="00822A5A"/>
    <w:rsid w:val="00822A97"/>
    <w:rsid w:val="00822AA5"/>
    <w:rsid w:val="00822AD6"/>
    <w:rsid w:val="00822AE8"/>
    <w:rsid w:val="00822B7D"/>
    <w:rsid w:val="00822BCF"/>
    <w:rsid w:val="00822C56"/>
    <w:rsid w:val="00822D4A"/>
    <w:rsid w:val="00822D5A"/>
    <w:rsid w:val="00822D9F"/>
    <w:rsid w:val="00822E45"/>
    <w:rsid w:val="00822F32"/>
    <w:rsid w:val="00822F39"/>
    <w:rsid w:val="00822F61"/>
    <w:rsid w:val="00822FAC"/>
    <w:rsid w:val="00822FB5"/>
    <w:rsid w:val="00822FD5"/>
    <w:rsid w:val="008231DB"/>
    <w:rsid w:val="0082328A"/>
    <w:rsid w:val="008232D7"/>
    <w:rsid w:val="00823360"/>
    <w:rsid w:val="008233C1"/>
    <w:rsid w:val="00823427"/>
    <w:rsid w:val="008234AD"/>
    <w:rsid w:val="00823536"/>
    <w:rsid w:val="0082353E"/>
    <w:rsid w:val="0082356A"/>
    <w:rsid w:val="0082367A"/>
    <w:rsid w:val="008236D5"/>
    <w:rsid w:val="008236EF"/>
    <w:rsid w:val="00823727"/>
    <w:rsid w:val="0082378C"/>
    <w:rsid w:val="008237DD"/>
    <w:rsid w:val="00823821"/>
    <w:rsid w:val="0082384E"/>
    <w:rsid w:val="0082385A"/>
    <w:rsid w:val="00823894"/>
    <w:rsid w:val="00823914"/>
    <w:rsid w:val="00823978"/>
    <w:rsid w:val="008239A3"/>
    <w:rsid w:val="00823A00"/>
    <w:rsid w:val="00823A0E"/>
    <w:rsid w:val="00823A62"/>
    <w:rsid w:val="00823A6D"/>
    <w:rsid w:val="00823B0B"/>
    <w:rsid w:val="00823B14"/>
    <w:rsid w:val="00823C5B"/>
    <w:rsid w:val="00823C65"/>
    <w:rsid w:val="00823CD0"/>
    <w:rsid w:val="00823D1D"/>
    <w:rsid w:val="00823DCB"/>
    <w:rsid w:val="00823DF1"/>
    <w:rsid w:val="00823DF8"/>
    <w:rsid w:val="00823E1C"/>
    <w:rsid w:val="00823F54"/>
    <w:rsid w:val="00823F9F"/>
    <w:rsid w:val="00823FA5"/>
    <w:rsid w:val="00823FA9"/>
    <w:rsid w:val="00823FFA"/>
    <w:rsid w:val="00824019"/>
    <w:rsid w:val="008240B6"/>
    <w:rsid w:val="008240E4"/>
    <w:rsid w:val="008240F0"/>
    <w:rsid w:val="008241CC"/>
    <w:rsid w:val="0082431A"/>
    <w:rsid w:val="008243A2"/>
    <w:rsid w:val="00824410"/>
    <w:rsid w:val="008244F1"/>
    <w:rsid w:val="0082456F"/>
    <w:rsid w:val="00824603"/>
    <w:rsid w:val="008246AD"/>
    <w:rsid w:val="008246DA"/>
    <w:rsid w:val="00824729"/>
    <w:rsid w:val="008247D9"/>
    <w:rsid w:val="00824879"/>
    <w:rsid w:val="008248A2"/>
    <w:rsid w:val="008248E4"/>
    <w:rsid w:val="008249C3"/>
    <w:rsid w:val="008249CF"/>
    <w:rsid w:val="008249EA"/>
    <w:rsid w:val="00824A4B"/>
    <w:rsid w:val="00824A8B"/>
    <w:rsid w:val="00824B18"/>
    <w:rsid w:val="00824C70"/>
    <w:rsid w:val="00824C73"/>
    <w:rsid w:val="00824D60"/>
    <w:rsid w:val="00824D6A"/>
    <w:rsid w:val="00824D7C"/>
    <w:rsid w:val="00824DD2"/>
    <w:rsid w:val="00824DFA"/>
    <w:rsid w:val="00824E19"/>
    <w:rsid w:val="00824E5A"/>
    <w:rsid w:val="00824E6F"/>
    <w:rsid w:val="00824F7F"/>
    <w:rsid w:val="008250B7"/>
    <w:rsid w:val="0082514D"/>
    <w:rsid w:val="00825359"/>
    <w:rsid w:val="0082536D"/>
    <w:rsid w:val="0082536E"/>
    <w:rsid w:val="00825377"/>
    <w:rsid w:val="00825390"/>
    <w:rsid w:val="0082539A"/>
    <w:rsid w:val="008254A9"/>
    <w:rsid w:val="008254EF"/>
    <w:rsid w:val="008256C6"/>
    <w:rsid w:val="008256D0"/>
    <w:rsid w:val="00825728"/>
    <w:rsid w:val="00825754"/>
    <w:rsid w:val="008257D6"/>
    <w:rsid w:val="008258D6"/>
    <w:rsid w:val="00825966"/>
    <w:rsid w:val="008259EE"/>
    <w:rsid w:val="008259FC"/>
    <w:rsid w:val="00825ACA"/>
    <w:rsid w:val="00825B87"/>
    <w:rsid w:val="00825BF5"/>
    <w:rsid w:val="00825CE1"/>
    <w:rsid w:val="00825DBD"/>
    <w:rsid w:val="00825DDE"/>
    <w:rsid w:val="00825E02"/>
    <w:rsid w:val="00825E3E"/>
    <w:rsid w:val="00825E73"/>
    <w:rsid w:val="00825E77"/>
    <w:rsid w:val="00825EEA"/>
    <w:rsid w:val="00825F5C"/>
    <w:rsid w:val="0082607D"/>
    <w:rsid w:val="00826114"/>
    <w:rsid w:val="00826117"/>
    <w:rsid w:val="00826123"/>
    <w:rsid w:val="0082623A"/>
    <w:rsid w:val="0082630B"/>
    <w:rsid w:val="0082630E"/>
    <w:rsid w:val="008263B5"/>
    <w:rsid w:val="00826408"/>
    <w:rsid w:val="008264AC"/>
    <w:rsid w:val="008264C9"/>
    <w:rsid w:val="008264E1"/>
    <w:rsid w:val="00826547"/>
    <w:rsid w:val="00826587"/>
    <w:rsid w:val="008265E9"/>
    <w:rsid w:val="0082660E"/>
    <w:rsid w:val="00826611"/>
    <w:rsid w:val="00826628"/>
    <w:rsid w:val="008266AF"/>
    <w:rsid w:val="0082672D"/>
    <w:rsid w:val="0082673D"/>
    <w:rsid w:val="0082675E"/>
    <w:rsid w:val="0082677C"/>
    <w:rsid w:val="008267AD"/>
    <w:rsid w:val="008267C2"/>
    <w:rsid w:val="00826811"/>
    <w:rsid w:val="008268CF"/>
    <w:rsid w:val="00826904"/>
    <w:rsid w:val="0082690B"/>
    <w:rsid w:val="0082691E"/>
    <w:rsid w:val="0082696E"/>
    <w:rsid w:val="008269D6"/>
    <w:rsid w:val="00826A18"/>
    <w:rsid w:val="00826A4B"/>
    <w:rsid w:val="00826AAD"/>
    <w:rsid w:val="00826AB1"/>
    <w:rsid w:val="00826AE8"/>
    <w:rsid w:val="00826B4E"/>
    <w:rsid w:val="00826C29"/>
    <w:rsid w:val="00826C37"/>
    <w:rsid w:val="00826C7F"/>
    <w:rsid w:val="00826C90"/>
    <w:rsid w:val="00826D2C"/>
    <w:rsid w:val="00826D51"/>
    <w:rsid w:val="00826D5A"/>
    <w:rsid w:val="00826D97"/>
    <w:rsid w:val="00826DC0"/>
    <w:rsid w:val="00826DF6"/>
    <w:rsid w:val="00826E85"/>
    <w:rsid w:val="00826E89"/>
    <w:rsid w:val="00826EFD"/>
    <w:rsid w:val="00826F14"/>
    <w:rsid w:val="00826F72"/>
    <w:rsid w:val="00827044"/>
    <w:rsid w:val="00827078"/>
    <w:rsid w:val="0082711D"/>
    <w:rsid w:val="00827135"/>
    <w:rsid w:val="0082713F"/>
    <w:rsid w:val="0082727E"/>
    <w:rsid w:val="008272A7"/>
    <w:rsid w:val="008272B0"/>
    <w:rsid w:val="008272DF"/>
    <w:rsid w:val="00827397"/>
    <w:rsid w:val="0082739F"/>
    <w:rsid w:val="008273B1"/>
    <w:rsid w:val="008273D3"/>
    <w:rsid w:val="008273DB"/>
    <w:rsid w:val="008273FD"/>
    <w:rsid w:val="0082742B"/>
    <w:rsid w:val="00827608"/>
    <w:rsid w:val="00827705"/>
    <w:rsid w:val="00827712"/>
    <w:rsid w:val="00827728"/>
    <w:rsid w:val="0082792A"/>
    <w:rsid w:val="00827959"/>
    <w:rsid w:val="00827B4B"/>
    <w:rsid w:val="00827B94"/>
    <w:rsid w:val="00827BC7"/>
    <w:rsid w:val="00827CDC"/>
    <w:rsid w:val="00827D21"/>
    <w:rsid w:val="00827D40"/>
    <w:rsid w:val="00827DAA"/>
    <w:rsid w:val="00827DD3"/>
    <w:rsid w:val="00827E55"/>
    <w:rsid w:val="00827EAB"/>
    <w:rsid w:val="00827EF3"/>
    <w:rsid w:val="00827EF4"/>
    <w:rsid w:val="00827F09"/>
    <w:rsid w:val="00827F27"/>
    <w:rsid w:val="00827FAA"/>
    <w:rsid w:val="008292EC"/>
    <w:rsid w:val="00830048"/>
    <w:rsid w:val="0083035E"/>
    <w:rsid w:val="00830366"/>
    <w:rsid w:val="0083047D"/>
    <w:rsid w:val="008304C9"/>
    <w:rsid w:val="008304CA"/>
    <w:rsid w:val="008305CF"/>
    <w:rsid w:val="00830629"/>
    <w:rsid w:val="0083062B"/>
    <w:rsid w:val="00830645"/>
    <w:rsid w:val="00830789"/>
    <w:rsid w:val="008307A1"/>
    <w:rsid w:val="008307C9"/>
    <w:rsid w:val="00830843"/>
    <w:rsid w:val="00830870"/>
    <w:rsid w:val="00830958"/>
    <w:rsid w:val="00830A16"/>
    <w:rsid w:val="00830A73"/>
    <w:rsid w:val="00830ABE"/>
    <w:rsid w:val="00830AD0"/>
    <w:rsid w:val="00830AEC"/>
    <w:rsid w:val="00830B25"/>
    <w:rsid w:val="00830B42"/>
    <w:rsid w:val="00830B55"/>
    <w:rsid w:val="00830B91"/>
    <w:rsid w:val="00830BAE"/>
    <w:rsid w:val="00830BF7"/>
    <w:rsid w:val="00830C08"/>
    <w:rsid w:val="00830C12"/>
    <w:rsid w:val="00830C21"/>
    <w:rsid w:val="00830C30"/>
    <w:rsid w:val="00830C5F"/>
    <w:rsid w:val="00830CB5"/>
    <w:rsid w:val="00830D26"/>
    <w:rsid w:val="00830D7C"/>
    <w:rsid w:val="00830E6C"/>
    <w:rsid w:val="00830F0E"/>
    <w:rsid w:val="00830F11"/>
    <w:rsid w:val="00830FA6"/>
    <w:rsid w:val="00830FCE"/>
    <w:rsid w:val="00831022"/>
    <w:rsid w:val="0083104F"/>
    <w:rsid w:val="0083106C"/>
    <w:rsid w:val="008310EB"/>
    <w:rsid w:val="008311D1"/>
    <w:rsid w:val="00831231"/>
    <w:rsid w:val="0083124D"/>
    <w:rsid w:val="0083128C"/>
    <w:rsid w:val="008312AD"/>
    <w:rsid w:val="00831347"/>
    <w:rsid w:val="0083134D"/>
    <w:rsid w:val="008313EA"/>
    <w:rsid w:val="008313F8"/>
    <w:rsid w:val="0083142B"/>
    <w:rsid w:val="00831438"/>
    <w:rsid w:val="0083143F"/>
    <w:rsid w:val="008314F0"/>
    <w:rsid w:val="008315D8"/>
    <w:rsid w:val="008315E5"/>
    <w:rsid w:val="00831635"/>
    <w:rsid w:val="008316E5"/>
    <w:rsid w:val="0083171E"/>
    <w:rsid w:val="00831723"/>
    <w:rsid w:val="00831782"/>
    <w:rsid w:val="008317EF"/>
    <w:rsid w:val="00831870"/>
    <w:rsid w:val="00831878"/>
    <w:rsid w:val="00831A13"/>
    <w:rsid w:val="00831A32"/>
    <w:rsid w:val="00831A54"/>
    <w:rsid w:val="00831A5F"/>
    <w:rsid w:val="00831AE0"/>
    <w:rsid w:val="00831B57"/>
    <w:rsid w:val="00831BEC"/>
    <w:rsid w:val="00831C30"/>
    <w:rsid w:val="00831C8B"/>
    <w:rsid w:val="00831C9F"/>
    <w:rsid w:val="00831CC2"/>
    <w:rsid w:val="00831CF9"/>
    <w:rsid w:val="00831D25"/>
    <w:rsid w:val="00831DC3"/>
    <w:rsid w:val="00831DE6"/>
    <w:rsid w:val="00831DF6"/>
    <w:rsid w:val="00831E80"/>
    <w:rsid w:val="00831F8E"/>
    <w:rsid w:val="00832002"/>
    <w:rsid w:val="0083201E"/>
    <w:rsid w:val="008320AF"/>
    <w:rsid w:val="008320FA"/>
    <w:rsid w:val="008320FC"/>
    <w:rsid w:val="0083212F"/>
    <w:rsid w:val="008322DF"/>
    <w:rsid w:val="00832332"/>
    <w:rsid w:val="0083233E"/>
    <w:rsid w:val="008323BE"/>
    <w:rsid w:val="00832423"/>
    <w:rsid w:val="0083245D"/>
    <w:rsid w:val="00832482"/>
    <w:rsid w:val="008324CD"/>
    <w:rsid w:val="008324DD"/>
    <w:rsid w:val="008324FF"/>
    <w:rsid w:val="00832561"/>
    <w:rsid w:val="008325D6"/>
    <w:rsid w:val="008325E4"/>
    <w:rsid w:val="00832634"/>
    <w:rsid w:val="0083263B"/>
    <w:rsid w:val="0083265E"/>
    <w:rsid w:val="00832697"/>
    <w:rsid w:val="0083270F"/>
    <w:rsid w:val="008327B7"/>
    <w:rsid w:val="008327B9"/>
    <w:rsid w:val="008327F2"/>
    <w:rsid w:val="00832843"/>
    <w:rsid w:val="00832889"/>
    <w:rsid w:val="00832905"/>
    <w:rsid w:val="0083290A"/>
    <w:rsid w:val="0083292C"/>
    <w:rsid w:val="00832979"/>
    <w:rsid w:val="00832B07"/>
    <w:rsid w:val="00832B1C"/>
    <w:rsid w:val="00832B2D"/>
    <w:rsid w:val="00832B94"/>
    <w:rsid w:val="00832D4F"/>
    <w:rsid w:val="00832D55"/>
    <w:rsid w:val="00832DB4"/>
    <w:rsid w:val="00832E50"/>
    <w:rsid w:val="00832E6B"/>
    <w:rsid w:val="00832EA5"/>
    <w:rsid w:val="00832EB7"/>
    <w:rsid w:val="00832F5D"/>
    <w:rsid w:val="00832FE3"/>
    <w:rsid w:val="0083305D"/>
    <w:rsid w:val="0083306B"/>
    <w:rsid w:val="0083306C"/>
    <w:rsid w:val="00833084"/>
    <w:rsid w:val="00833135"/>
    <w:rsid w:val="00833247"/>
    <w:rsid w:val="00833285"/>
    <w:rsid w:val="0083335A"/>
    <w:rsid w:val="00833368"/>
    <w:rsid w:val="008333FC"/>
    <w:rsid w:val="00833417"/>
    <w:rsid w:val="00833592"/>
    <w:rsid w:val="00833628"/>
    <w:rsid w:val="0083369F"/>
    <w:rsid w:val="008336A3"/>
    <w:rsid w:val="008336D7"/>
    <w:rsid w:val="008336DF"/>
    <w:rsid w:val="00833700"/>
    <w:rsid w:val="00833738"/>
    <w:rsid w:val="00833760"/>
    <w:rsid w:val="0083376A"/>
    <w:rsid w:val="0083377A"/>
    <w:rsid w:val="00833924"/>
    <w:rsid w:val="00833960"/>
    <w:rsid w:val="008339AC"/>
    <w:rsid w:val="008339AD"/>
    <w:rsid w:val="00833A03"/>
    <w:rsid w:val="00833A85"/>
    <w:rsid w:val="00833B01"/>
    <w:rsid w:val="00833B04"/>
    <w:rsid w:val="00833C90"/>
    <w:rsid w:val="00833CB9"/>
    <w:rsid w:val="00833CCE"/>
    <w:rsid w:val="00833D74"/>
    <w:rsid w:val="00833DAD"/>
    <w:rsid w:val="00833DF1"/>
    <w:rsid w:val="00833FA8"/>
    <w:rsid w:val="00833FD2"/>
    <w:rsid w:val="00833FDC"/>
    <w:rsid w:val="00833FDE"/>
    <w:rsid w:val="0083406B"/>
    <w:rsid w:val="00834076"/>
    <w:rsid w:val="00834082"/>
    <w:rsid w:val="008340FE"/>
    <w:rsid w:val="008341BB"/>
    <w:rsid w:val="008341DD"/>
    <w:rsid w:val="00834214"/>
    <w:rsid w:val="0083422E"/>
    <w:rsid w:val="00834246"/>
    <w:rsid w:val="008342C4"/>
    <w:rsid w:val="008342ED"/>
    <w:rsid w:val="00834302"/>
    <w:rsid w:val="0083430C"/>
    <w:rsid w:val="00834365"/>
    <w:rsid w:val="0083441C"/>
    <w:rsid w:val="00834441"/>
    <w:rsid w:val="00834451"/>
    <w:rsid w:val="00834459"/>
    <w:rsid w:val="008344DB"/>
    <w:rsid w:val="0083458A"/>
    <w:rsid w:val="008345D6"/>
    <w:rsid w:val="008346D5"/>
    <w:rsid w:val="0083475C"/>
    <w:rsid w:val="0083478F"/>
    <w:rsid w:val="00834796"/>
    <w:rsid w:val="008347DA"/>
    <w:rsid w:val="008347DF"/>
    <w:rsid w:val="00834888"/>
    <w:rsid w:val="00834958"/>
    <w:rsid w:val="008349ED"/>
    <w:rsid w:val="00834A07"/>
    <w:rsid w:val="00834A6B"/>
    <w:rsid w:val="00834A98"/>
    <w:rsid w:val="00834AB7"/>
    <w:rsid w:val="00834B21"/>
    <w:rsid w:val="00834BE5"/>
    <w:rsid w:val="00834BF7"/>
    <w:rsid w:val="00834C44"/>
    <w:rsid w:val="00834CD9"/>
    <w:rsid w:val="00834D14"/>
    <w:rsid w:val="00834D28"/>
    <w:rsid w:val="00834D82"/>
    <w:rsid w:val="00834D99"/>
    <w:rsid w:val="00834F03"/>
    <w:rsid w:val="00834F04"/>
    <w:rsid w:val="00834F0B"/>
    <w:rsid w:val="00834F64"/>
    <w:rsid w:val="00834FE8"/>
    <w:rsid w:val="00834FEF"/>
    <w:rsid w:val="008350EC"/>
    <w:rsid w:val="00835134"/>
    <w:rsid w:val="00835267"/>
    <w:rsid w:val="00835294"/>
    <w:rsid w:val="008352B6"/>
    <w:rsid w:val="00835351"/>
    <w:rsid w:val="008353FE"/>
    <w:rsid w:val="00835428"/>
    <w:rsid w:val="00835444"/>
    <w:rsid w:val="0083545F"/>
    <w:rsid w:val="0083548C"/>
    <w:rsid w:val="008354C7"/>
    <w:rsid w:val="008354D6"/>
    <w:rsid w:val="0083553E"/>
    <w:rsid w:val="00835563"/>
    <w:rsid w:val="008355C5"/>
    <w:rsid w:val="00835812"/>
    <w:rsid w:val="00835861"/>
    <w:rsid w:val="00835882"/>
    <w:rsid w:val="008358AE"/>
    <w:rsid w:val="008358F7"/>
    <w:rsid w:val="00835969"/>
    <w:rsid w:val="0083598F"/>
    <w:rsid w:val="008359AF"/>
    <w:rsid w:val="00835B0C"/>
    <w:rsid w:val="00835BE5"/>
    <w:rsid w:val="00835C2D"/>
    <w:rsid w:val="00835C6C"/>
    <w:rsid w:val="00835CE7"/>
    <w:rsid w:val="00835D11"/>
    <w:rsid w:val="00835D48"/>
    <w:rsid w:val="00835DA2"/>
    <w:rsid w:val="00835EAB"/>
    <w:rsid w:val="00835F33"/>
    <w:rsid w:val="00835F36"/>
    <w:rsid w:val="00835F3C"/>
    <w:rsid w:val="00835F9D"/>
    <w:rsid w:val="00835F9E"/>
    <w:rsid w:val="00835FE5"/>
    <w:rsid w:val="00835FF5"/>
    <w:rsid w:val="00836022"/>
    <w:rsid w:val="00836029"/>
    <w:rsid w:val="0083604B"/>
    <w:rsid w:val="0083608A"/>
    <w:rsid w:val="00836090"/>
    <w:rsid w:val="008360B5"/>
    <w:rsid w:val="008360D3"/>
    <w:rsid w:val="008360E9"/>
    <w:rsid w:val="0083617A"/>
    <w:rsid w:val="00836195"/>
    <w:rsid w:val="008361A7"/>
    <w:rsid w:val="00836224"/>
    <w:rsid w:val="008362C1"/>
    <w:rsid w:val="00836315"/>
    <w:rsid w:val="00836364"/>
    <w:rsid w:val="008365BE"/>
    <w:rsid w:val="008365DE"/>
    <w:rsid w:val="0083661D"/>
    <w:rsid w:val="0083672D"/>
    <w:rsid w:val="008367FA"/>
    <w:rsid w:val="0083680D"/>
    <w:rsid w:val="00836895"/>
    <w:rsid w:val="008368A1"/>
    <w:rsid w:val="00836924"/>
    <w:rsid w:val="00836940"/>
    <w:rsid w:val="00836980"/>
    <w:rsid w:val="00836982"/>
    <w:rsid w:val="00836989"/>
    <w:rsid w:val="00836A35"/>
    <w:rsid w:val="00836A78"/>
    <w:rsid w:val="00836ABF"/>
    <w:rsid w:val="00836B52"/>
    <w:rsid w:val="00836B8D"/>
    <w:rsid w:val="00836C01"/>
    <w:rsid w:val="00836C1E"/>
    <w:rsid w:val="00836CB6"/>
    <w:rsid w:val="00836CD2"/>
    <w:rsid w:val="00836D68"/>
    <w:rsid w:val="00836DCD"/>
    <w:rsid w:val="00836DE2"/>
    <w:rsid w:val="00836E2B"/>
    <w:rsid w:val="00836E95"/>
    <w:rsid w:val="00836EE1"/>
    <w:rsid w:val="00836F4C"/>
    <w:rsid w:val="00836F8A"/>
    <w:rsid w:val="00836F8E"/>
    <w:rsid w:val="0083704B"/>
    <w:rsid w:val="0083709F"/>
    <w:rsid w:val="0083714F"/>
    <w:rsid w:val="00837168"/>
    <w:rsid w:val="00837185"/>
    <w:rsid w:val="008371BF"/>
    <w:rsid w:val="0083728A"/>
    <w:rsid w:val="0083732C"/>
    <w:rsid w:val="008373B9"/>
    <w:rsid w:val="00837421"/>
    <w:rsid w:val="0083745B"/>
    <w:rsid w:val="00837461"/>
    <w:rsid w:val="00837470"/>
    <w:rsid w:val="008374AB"/>
    <w:rsid w:val="008374BE"/>
    <w:rsid w:val="00837647"/>
    <w:rsid w:val="00837730"/>
    <w:rsid w:val="00837811"/>
    <w:rsid w:val="0083784E"/>
    <w:rsid w:val="0083788C"/>
    <w:rsid w:val="00837975"/>
    <w:rsid w:val="00837A75"/>
    <w:rsid w:val="00837A9F"/>
    <w:rsid w:val="00837AA3"/>
    <w:rsid w:val="00837B3B"/>
    <w:rsid w:val="00837B73"/>
    <w:rsid w:val="00837B74"/>
    <w:rsid w:val="00837BC0"/>
    <w:rsid w:val="00837C58"/>
    <w:rsid w:val="00837D08"/>
    <w:rsid w:val="00837D0F"/>
    <w:rsid w:val="00837D73"/>
    <w:rsid w:val="00837D7E"/>
    <w:rsid w:val="00837E5F"/>
    <w:rsid w:val="00837E66"/>
    <w:rsid w:val="00837ED5"/>
    <w:rsid w:val="00837F16"/>
    <w:rsid w:val="00837F43"/>
    <w:rsid w:val="00837F46"/>
    <w:rsid w:val="00837F74"/>
    <w:rsid w:val="00837FC0"/>
    <w:rsid w:val="00840064"/>
    <w:rsid w:val="00840068"/>
    <w:rsid w:val="008400FE"/>
    <w:rsid w:val="00840242"/>
    <w:rsid w:val="00840252"/>
    <w:rsid w:val="00840377"/>
    <w:rsid w:val="0084038D"/>
    <w:rsid w:val="008404B6"/>
    <w:rsid w:val="00840547"/>
    <w:rsid w:val="00840560"/>
    <w:rsid w:val="0084059B"/>
    <w:rsid w:val="008405B2"/>
    <w:rsid w:val="008405B9"/>
    <w:rsid w:val="0084064B"/>
    <w:rsid w:val="00840694"/>
    <w:rsid w:val="008406EF"/>
    <w:rsid w:val="00840710"/>
    <w:rsid w:val="0084073F"/>
    <w:rsid w:val="00840758"/>
    <w:rsid w:val="0084078B"/>
    <w:rsid w:val="008407DB"/>
    <w:rsid w:val="00840865"/>
    <w:rsid w:val="0084088D"/>
    <w:rsid w:val="008408C9"/>
    <w:rsid w:val="008408DE"/>
    <w:rsid w:val="008408EC"/>
    <w:rsid w:val="00840923"/>
    <w:rsid w:val="00840953"/>
    <w:rsid w:val="00840B5E"/>
    <w:rsid w:val="00840B60"/>
    <w:rsid w:val="00840B69"/>
    <w:rsid w:val="00840CED"/>
    <w:rsid w:val="00840E2D"/>
    <w:rsid w:val="00840F84"/>
    <w:rsid w:val="0084105E"/>
    <w:rsid w:val="008410AC"/>
    <w:rsid w:val="008411CA"/>
    <w:rsid w:val="00841211"/>
    <w:rsid w:val="00841282"/>
    <w:rsid w:val="008412AB"/>
    <w:rsid w:val="00841435"/>
    <w:rsid w:val="0084143E"/>
    <w:rsid w:val="00841447"/>
    <w:rsid w:val="00841499"/>
    <w:rsid w:val="00841585"/>
    <w:rsid w:val="00841612"/>
    <w:rsid w:val="0084164B"/>
    <w:rsid w:val="00841669"/>
    <w:rsid w:val="0084167E"/>
    <w:rsid w:val="008416C1"/>
    <w:rsid w:val="00841726"/>
    <w:rsid w:val="00841792"/>
    <w:rsid w:val="008417F2"/>
    <w:rsid w:val="0084180D"/>
    <w:rsid w:val="00841825"/>
    <w:rsid w:val="00841869"/>
    <w:rsid w:val="00841887"/>
    <w:rsid w:val="00841A73"/>
    <w:rsid w:val="00841AF0"/>
    <w:rsid w:val="00841B4A"/>
    <w:rsid w:val="00841B99"/>
    <w:rsid w:val="00841BAF"/>
    <w:rsid w:val="00841C33"/>
    <w:rsid w:val="00841C50"/>
    <w:rsid w:val="00841C56"/>
    <w:rsid w:val="00841C5C"/>
    <w:rsid w:val="00841C71"/>
    <w:rsid w:val="00841C8E"/>
    <w:rsid w:val="00841D21"/>
    <w:rsid w:val="00841D29"/>
    <w:rsid w:val="00841D40"/>
    <w:rsid w:val="00841D74"/>
    <w:rsid w:val="00841E49"/>
    <w:rsid w:val="00841EEF"/>
    <w:rsid w:val="00841FE8"/>
    <w:rsid w:val="00842014"/>
    <w:rsid w:val="00842163"/>
    <w:rsid w:val="00842166"/>
    <w:rsid w:val="00842197"/>
    <w:rsid w:val="008421D7"/>
    <w:rsid w:val="00842230"/>
    <w:rsid w:val="00842247"/>
    <w:rsid w:val="0084227C"/>
    <w:rsid w:val="00842338"/>
    <w:rsid w:val="00842361"/>
    <w:rsid w:val="0084239D"/>
    <w:rsid w:val="00842409"/>
    <w:rsid w:val="0084244C"/>
    <w:rsid w:val="008424B7"/>
    <w:rsid w:val="0084250D"/>
    <w:rsid w:val="008425AE"/>
    <w:rsid w:val="008425B8"/>
    <w:rsid w:val="008425F3"/>
    <w:rsid w:val="00842664"/>
    <w:rsid w:val="00842666"/>
    <w:rsid w:val="00842723"/>
    <w:rsid w:val="008427B5"/>
    <w:rsid w:val="0084282E"/>
    <w:rsid w:val="00842855"/>
    <w:rsid w:val="00842897"/>
    <w:rsid w:val="0084289F"/>
    <w:rsid w:val="008428E0"/>
    <w:rsid w:val="008429A1"/>
    <w:rsid w:val="008429B0"/>
    <w:rsid w:val="00842A3B"/>
    <w:rsid w:val="00842AC1"/>
    <w:rsid w:val="00842AEA"/>
    <w:rsid w:val="00842AFA"/>
    <w:rsid w:val="00842B2A"/>
    <w:rsid w:val="00842B7B"/>
    <w:rsid w:val="00842BEA"/>
    <w:rsid w:val="00842C27"/>
    <w:rsid w:val="00842CE7"/>
    <w:rsid w:val="00842CF2"/>
    <w:rsid w:val="00842D21"/>
    <w:rsid w:val="00842D33"/>
    <w:rsid w:val="00842D6C"/>
    <w:rsid w:val="00842DBF"/>
    <w:rsid w:val="00842DEA"/>
    <w:rsid w:val="00842E20"/>
    <w:rsid w:val="00842EE7"/>
    <w:rsid w:val="00842EF1"/>
    <w:rsid w:val="00843010"/>
    <w:rsid w:val="00843014"/>
    <w:rsid w:val="00843074"/>
    <w:rsid w:val="00843080"/>
    <w:rsid w:val="008430B1"/>
    <w:rsid w:val="008430C2"/>
    <w:rsid w:val="008430D8"/>
    <w:rsid w:val="008430F1"/>
    <w:rsid w:val="008430FB"/>
    <w:rsid w:val="00843203"/>
    <w:rsid w:val="00843218"/>
    <w:rsid w:val="00843273"/>
    <w:rsid w:val="00843283"/>
    <w:rsid w:val="00843451"/>
    <w:rsid w:val="00843454"/>
    <w:rsid w:val="00843527"/>
    <w:rsid w:val="0084359F"/>
    <w:rsid w:val="008435A3"/>
    <w:rsid w:val="00843667"/>
    <w:rsid w:val="00843736"/>
    <w:rsid w:val="00843747"/>
    <w:rsid w:val="008437B1"/>
    <w:rsid w:val="008437C2"/>
    <w:rsid w:val="008438C3"/>
    <w:rsid w:val="008438D9"/>
    <w:rsid w:val="00843933"/>
    <w:rsid w:val="008439CA"/>
    <w:rsid w:val="00843A20"/>
    <w:rsid w:val="00843ABE"/>
    <w:rsid w:val="00843B6D"/>
    <w:rsid w:val="00843B83"/>
    <w:rsid w:val="00843BCE"/>
    <w:rsid w:val="00843C4E"/>
    <w:rsid w:val="00843D02"/>
    <w:rsid w:val="00843D40"/>
    <w:rsid w:val="00843D4F"/>
    <w:rsid w:val="00843D79"/>
    <w:rsid w:val="00843EBC"/>
    <w:rsid w:val="00843F11"/>
    <w:rsid w:val="00844109"/>
    <w:rsid w:val="00844144"/>
    <w:rsid w:val="00844167"/>
    <w:rsid w:val="0084416B"/>
    <w:rsid w:val="0084429D"/>
    <w:rsid w:val="008442E5"/>
    <w:rsid w:val="008443BB"/>
    <w:rsid w:val="0084441A"/>
    <w:rsid w:val="0084446D"/>
    <w:rsid w:val="008444D4"/>
    <w:rsid w:val="00844549"/>
    <w:rsid w:val="00844581"/>
    <w:rsid w:val="00844623"/>
    <w:rsid w:val="00844646"/>
    <w:rsid w:val="00844822"/>
    <w:rsid w:val="0084488A"/>
    <w:rsid w:val="008448B6"/>
    <w:rsid w:val="00844910"/>
    <w:rsid w:val="00844912"/>
    <w:rsid w:val="00844944"/>
    <w:rsid w:val="00844951"/>
    <w:rsid w:val="00844991"/>
    <w:rsid w:val="008449C9"/>
    <w:rsid w:val="00844B2B"/>
    <w:rsid w:val="00844B90"/>
    <w:rsid w:val="00844C2B"/>
    <w:rsid w:val="00844D0A"/>
    <w:rsid w:val="00844E61"/>
    <w:rsid w:val="00844E81"/>
    <w:rsid w:val="00844E9E"/>
    <w:rsid w:val="00844F2D"/>
    <w:rsid w:val="00844F37"/>
    <w:rsid w:val="008451E7"/>
    <w:rsid w:val="008451F4"/>
    <w:rsid w:val="00845324"/>
    <w:rsid w:val="00845388"/>
    <w:rsid w:val="00845576"/>
    <w:rsid w:val="0084559D"/>
    <w:rsid w:val="008455B2"/>
    <w:rsid w:val="00845667"/>
    <w:rsid w:val="0084568E"/>
    <w:rsid w:val="0084568F"/>
    <w:rsid w:val="00845692"/>
    <w:rsid w:val="008456B0"/>
    <w:rsid w:val="00845710"/>
    <w:rsid w:val="00845747"/>
    <w:rsid w:val="00845820"/>
    <w:rsid w:val="00845958"/>
    <w:rsid w:val="00845985"/>
    <w:rsid w:val="00845988"/>
    <w:rsid w:val="008459AB"/>
    <w:rsid w:val="008459D4"/>
    <w:rsid w:val="00845AE1"/>
    <w:rsid w:val="00845AF0"/>
    <w:rsid w:val="00845B17"/>
    <w:rsid w:val="00845B99"/>
    <w:rsid w:val="00845BBF"/>
    <w:rsid w:val="00845C17"/>
    <w:rsid w:val="00845CB5"/>
    <w:rsid w:val="00845D1F"/>
    <w:rsid w:val="00845D48"/>
    <w:rsid w:val="00845D49"/>
    <w:rsid w:val="00845D77"/>
    <w:rsid w:val="00845D87"/>
    <w:rsid w:val="00845DD2"/>
    <w:rsid w:val="00845E10"/>
    <w:rsid w:val="00845E8D"/>
    <w:rsid w:val="00845F09"/>
    <w:rsid w:val="00845FB5"/>
    <w:rsid w:val="00846067"/>
    <w:rsid w:val="008460D7"/>
    <w:rsid w:val="008461CB"/>
    <w:rsid w:val="00846255"/>
    <w:rsid w:val="0084627A"/>
    <w:rsid w:val="0084629C"/>
    <w:rsid w:val="008462CC"/>
    <w:rsid w:val="00846418"/>
    <w:rsid w:val="0084647E"/>
    <w:rsid w:val="00846573"/>
    <w:rsid w:val="0084661B"/>
    <w:rsid w:val="00846680"/>
    <w:rsid w:val="00846690"/>
    <w:rsid w:val="008467A3"/>
    <w:rsid w:val="00846825"/>
    <w:rsid w:val="00846896"/>
    <w:rsid w:val="00846912"/>
    <w:rsid w:val="00846946"/>
    <w:rsid w:val="00846947"/>
    <w:rsid w:val="008469E8"/>
    <w:rsid w:val="00846A03"/>
    <w:rsid w:val="00846A4A"/>
    <w:rsid w:val="00846AAA"/>
    <w:rsid w:val="00846B3C"/>
    <w:rsid w:val="00846C17"/>
    <w:rsid w:val="00846C87"/>
    <w:rsid w:val="00846C8E"/>
    <w:rsid w:val="00846CB5"/>
    <w:rsid w:val="00846CC0"/>
    <w:rsid w:val="00846D13"/>
    <w:rsid w:val="00846D51"/>
    <w:rsid w:val="00846D66"/>
    <w:rsid w:val="00846D89"/>
    <w:rsid w:val="00846DD1"/>
    <w:rsid w:val="00846DE7"/>
    <w:rsid w:val="00846E3F"/>
    <w:rsid w:val="00846E7C"/>
    <w:rsid w:val="00846EB3"/>
    <w:rsid w:val="00846F62"/>
    <w:rsid w:val="00846FC1"/>
    <w:rsid w:val="0084714C"/>
    <w:rsid w:val="008471D1"/>
    <w:rsid w:val="008471F3"/>
    <w:rsid w:val="0084737D"/>
    <w:rsid w:val="008473AA"/>
    <w:rsid w:val="008473E4"/>
    <w:rsid w:val="00847450"/>
    <w:rsid w:val="0084752E"/>
    <w:rsid w:val="00847530"/>
    <w:rsid w:val="0084755C"/>
    <w:rsid w:val="0084764E"/>
    <w:rsid w:val="00847653"/>
    <w:rsid w:val="00847678"/>
    <w:rsid w:val="008476FD"/>
    <w:rsid w:val="008477E4"/>
    <w:rsid w:val="008477F3"/>
    <w:rsid w:val="00847860"/>
    <w:rsid w:val="0084787F"/>
    <w:rsid w:val="00847952"/>
    <w:rsid w:val="00847980"/>
    <w:rsid w:val="008479C9"/>
    <w:rsid w:val="00847AAE"/>
    <w:rsid w:val="00847AC4"/>
    <w:rsid w:val="00847B14"/>
    <w:rsid w:val="00847B31"/>
    <w:rsid w:val="00847B3B"/>
    <w:rsid w:val="00847BB9"/>
    <w:rsid w:val="00847BF1"/>
    <w:rsid w:val="00847BFB"/>
    <w:rsid w:val="00847C10"/>
    <w:rsid w:val="00847C7B"/>
    <w:rsid w:val="00847C8A"/>
    <w:rsid w:val="00847C8C"/>
    <w:rsid w:val="00847C9D"/>
    <w:rsid w:val="00847CB8"/>
    <w:rsid w:val="00847D7A"/>
    <w:rsid w:val="00847DFC"/>
    <w:rsid w:val="00847E06"/>
    <w:rsid w:val="00847E58"/>
    <w:rsid w:val="00847E62"/>
    <w:rsid w:val="00847F33"/>
    <w:rsid w:val="00847FA0"/>
    <w:rsid w:val="00847FCA"/>
    <w:rsid w:val="00847FDE"/>
    <w:rsid w:val="00847FE4"/>
    <w:rsid w:val="0085005A"/>
    <w:rsid w:val="008500A7"/>
    <w:rsid w:val="0085018E"/>
    <w:rsid w:val="008501C4"/>
    <w:rsid w:val="008501F9"/>
    <w:rsid w:val="00850236"/>
    <w:rsid w:val="0085038F"/>
    <w:rsid w:val="0085039E"/>
    <w:rsid w:val="008503BF"/>
    <w:rsid w:val="008503C8"/>
    <w:rsid w:val="008503CA"/>
    <w:rsid w:val="00850428"/>
    <w:rsid w:val="008505CD"/>
    <w:rsid w:val="0085063E"/>
    <w:rsid w:val="00850650"/>
    <w:rsid w:val="00850661"/>
    <w:rsid w:val="00850663"/>
    <w:rsid w:val="008506BC"/>
    <w:rsid w:val="00850709"/>
    <w:rsid w:val="0085071D"/>
    <w:rsid w:val="0085072F"/>
    <w:rsid w:val="00850734"/>
    <w:rsid w:val="00850766"/>
    <w:rsid w:val="00850813"/>
    <w:rsid w:val="008508C4"/>
    <w:rsid w:val="008509B3"/>
    <w:rsid w:val="008509FD"/>
    <w:rsid w:val="00850A98"/>
    <w:rsid w:val="00850C0B"/>
    <w:rsid w:val="00850C71"/>
    <w:rsid w:val="00850CDC"/>
    <w:rsid w:val="00850CDF"/>
    <w:rsid w:val="00850CF9"/>
    <w:rsid w:val="00850D7E"/>
    <w:rsid w:val="00850E0F"/>
    <w:rsid w:val="00850E58"/>
    <w:rsid w:val="00850EBF"/>
    <w:rsid w:val="00850EDF"/>
    <w:rsid w:val="00850F67"/>
    <w:rsid w:val="0085100F"/>
    <w:rsid w:val="00851028"/>
    <w:rsid w:val="0085111B"/>
    <w:rsid w:val="00851193"/>
    <w:rsid w:val="00851196"/>
    <w:rsid w:val="008511C6"/>
    <w:rsid w:val="00851202"/>
    <w:rsid w:val="0085129A"/>
    <w:rsid w:val="00851317"/>
    <w:rsid w:val="008513BD"/>
    <w:rsid w:val="008514C2"/>
    <w:rsid w:val="0085155F"/>
    <w:rsid w:val="00851757"/>
    <w:rsid w:val="00851777"/>
    <w:rsid w:val="008517C3"/>
    <w:rsid w:val="008517EC"/>
    <w:rsid w:val="00851805"/>
    <w:rsid w:val="00851827"/>
    <w:rsid w:val="0085188F"/>
    <w:rsid w:val="008518AF"/>
    <w:rsid w:val="008518ED"/>
    <w:rsid w:val="0085194A"/>
    <w:rsid w:val="00851976"/>
    <w:rsid w:val="008519BB"/>
    <w:rsid w:val="008519DC"/>
    <w:rsid w:val="00851A03"/>
    <w:rsid w:val="00851A10"/>
    <w:rsid w:val="00851A52"/>
    <w:rsid w:val="00851B0E"/>
    <w:rsid w:val="00851B11"/>
    <w:rsid w:val="00851B8B"/>
    <w:rsid w:val="00851BEC"/>
    <w:rsid w:val="00851C0A"/>
    <w:rsid w:val="00851C99"/>
    <w:rsid w:val="00851CA9"/>
    <w:rsid w:val="00851CC4"/>
    <w:rsid w:val="00851DBD"/>
    <w:rsid w:val="00851E07"/>
    <w:rsid w:val="00851EEF"/>
    <w:rsid w:val="00851EF6"/>
    <w:rsid w:val="00851F0F"/>
    <w:rsid w:val="00851F42"/>
    <w:rsid w:val="00851F81"/>
    <w:rsid w:val="00851FFA"/>
    <w:rsid w:val="008521B2"/>
    <w:rsid w:val="008522A3"/>
    <w:rsid w:val="008522B9"/>
    <w:rsid w:val="008522FF"/>
    <w:rsid w:val="0085236A"/>
    <w:rsid w:val="00852384"/>
    <w:rsid w:val="0085240F"/>
    <w:rsid w:val="00852471"/>
    <w:rsid w:val="008524BB"/>
    <w:rsid w:val="008524DA"/>
    <w:rsid w:val="00852571"/>
    <w:rsid w:val="00852584"/>
    <w:rsid w:val="00852651"/>
    <w:rsid w:val="008526C2"/>
    <w:rsid w:val="008526EE"/>
    <w:rsid w:val="00852727"/>
    <w:rsid w:val="00852735"/>
    <w:rsid w:val="00852757"/>
    <w:rsid w:val="00852767"/>
    <w:rsid w:val="00852775"/>
    <w:rsid w:val="008527F8"/>
    <w:rsid w:val="0085288A"/>
    <w:rsid w:val="00852898"/>
    <w:rsid w:val="00852930"/>
    <w:rsid w:val="00852966"/>
    <w:rsid w:val="00852995"/>
    <w:rsid w:val="00852A8C"/>
    <w:rsid w:val="00852AD7"/>
    <w:rsid w:val="00852B17"/>
    <w:rsid w:val="00852B57"/>
    <w:rsid w:val="00852BE0"/>
    <w:rsid w:val="00852C39"/>
    <w:rsid w:val="00852CC6"/>
    <w:rsid w:val="00852D50"/>
    <w:rsid w:val="00852DC7"/>
    <w:rsid w:val="00852DD8"/>
    <w:rsid w:val="00852DEB"/>
    <w:rsid w:val="00852E1A"/>
    <w:rsid w:val="00852E20"/>
    <w:rsid w:val="00852E9C"/>
    <w:rsid w:val="00852ED8"/>
    <w:rsid w:val="00852F07"/>
    <w:rsid w:val="00852F62"/>
    <w:rsid w:val="00852FD4"/>
    <w:rsid w:val="00852FD5"/>
    <w:rsid w:val="00852FFB"/>
    <w:rsid w:val="0085301B"/>
    <w:rsid w:val="00853025"/>
    <w:rsid w:val="00853075"/>
    <w:rsid w:val="0085308C"/>
    <w:rsid w:val="00853182"/>
    <w:rsid w:val="00853210"/>
    <w:rsid w:val="00853221"/>
    <w:rsid w:val="00853241"/>
    <w:rsid w:val="0085324D"/>
    <w:rsid w:val="00853289"/>
    <w:rsid w:val="00853291"/>
    <w:rsid w:val="0085334E"/>
    <w:rsid w:val="0085338E"/>
    <w:rsid w:val="0085338F"/>
    <w:rsid w:val="008533F5"/>
    <w:rsid w:val="00853464"/>
    <w:rsid w:val="008535B1"/>
    <w:rsid w:val="008535D8"/>
    <w:rsid w:val="00853687"/>
    <w:rsid w:val="008536EB"/>
    <w:rsid w:val="00853719"/>
    <w:rsid w:val="0085371F"/>
    <w:rsid w:val="00853770"/>
    <w:rsid w:val="0085383E"/>
    <w:rsid w:val="0085384B"/>
    <w:rsid w:val="008538B3"/>
    <w:rsid w:val="0085397E"/>
    <w:rsid w:val="00853A17"/>
    <w:rsid w:val="00853A24"/>
    <w:rsid w:val="00853A4D"/>
    <w:rsid w:val="00853BD7"/>
    <w:rsid w:val="00853C83"/>
    <w:rsid w:val="00853D1C"/>
    <w:rsid w:val="00853D75"/>
    <w:rsid w:val="00853DC8"/>
    <w:rsid w:val="00853DC9"/>
    <w:rsid w:val="00853EA1"/>
    <w:rsid w:val="00853EE1"/>
    <w:rsid w:val="00853EF3"/>
    <w:rsid w:val="00853F2D"/>
    <w:rsid w:val="00853FBB"/>
    <w:rsid w:val="00853FFE"/>
    <w:rsid w:val="00854095"/>
    <w:rsid w:val="00854151"/>
    <w:rsid w:val="0085415C"/>
    <w:rsid w:val="0085416F"/>
    <w:rsid w:val="00854217"/>
    <w:rsid w:val="0085421D"/>
    <w:rsid w:val="00854351"/>
    <w:rsid w:val="0085436D"/>
    <w:rsid w:val="008543B9"/>
    <w:rsid w:val="008543DD"/>
    <w:rsid w:val="008543F4"/>
    <w:rsid w:val="008543FA"/>
    <w:rsid w:val="00854404"/>
    <w:rsid w:val="00854406"/>
    <w:rsid w:val="00854456"/>
    <w:rsid w:val="00854580"/>
    <w:rsid w:val="008545CF"/>
    <w:rsid w:val="00854611"/>
    <w:rsid w:val="00854653"/>
    <w:rsid w:val="00854699"/>
    <w:rsid w:val="0085471E"/>
    <w:rsid w:val="00854730"/>
    <w:rsid w:val="00854780"/>
    <w:rsid w:val="00854973"/>
    <w:rsid w:val="00854B63"/>
    <w:rsid w:val="00854B9A"/>
    <w:rsid w:val="00854C2B"/>
    <w:rsid w:val="00854D00"/>
    <w:rsid w:val="00854D08"/>
    <w:rsid w:val="00854D79"/>
    <w:rsid w:val="00854DBB"/>
    <w:rsid w:val="00854DD2"/>
    <w:rsid w:val="00854DEE"/>
    <w:rsid w:val="00854E1B"/>
    <w:rsid w:val="00854E97"/>
    <w:rsid w:val="00854E9C"/>
    <w:rsid w:val="00854EF9"/>
    <w:rsid w:val="00854F0D"/>
    <w:rsid w:val="00854FC9"/>
    <w:rsid w:val="00855046"/>
    <w:rsid w:val="0085509F"/>
    <w:rsid w:val="00855121"/>
    <w:rsid w:val="008551F2"/>
    <w:rsid w:val="00855233"/>
    <w:rsid w:val="0085524D"/>
    <w:rsid w:val="0085525A"/>
    <w:rsid w:val="00855457"/>
    <w:rsid w:val="00855477"/>
    <w:rsid w:val="0085547F"/>
    <w:rsid w:val="00855488"/>
    <w:rsid w:val="008554B9"/>
    <w:rsid w:val="008554FA"/>
    <w:rsid w:val="00855557"/>
    <w:rsid w:val="008555BE"/>
    <w:rsid w:val="008555CB"/>
    <w:rsid w:val="0085563F"/>
    <w:rsid w:val="00855708"/>
    <w:rsid w:val="0085570C"/>
    <w:rsid w:val="0085579B"/>
    <w:rsid w:val="008557B0"/>
    <w:rsid w:val="008557BF"/>
    <w:rsid w:val="008557F0"/>
    <w:rsid w:val="00855838"/>
    <w:rsid w:val="008558DB"/>
    <w:rsid w:val="008558DE"/>
    <w:rsid w:val="00855929"/>
    <w:rsid w:val="0085595F"/>
    <w:rsid w:val="008559CC"/>
    <w:rsid w:val="00855A6A"/>
    <w:rsid w:val="00855A7B"/>
    <w:rsid w:val="00855B54"/>
    <w:rsid w:val="00855B70"/>
    <w:rsid w:val="00855B97"/>
    <w:rsid w:val="00855BB2"/>
    <w:rsid w:val="00855CAA"/>
    <w:rsid w:val="00855D71"/>
    <w:rsid w:val="00855DA3"/>
    <w:rsid w:val="00855DB2"/>
    <w:rsid w:val="00855DFE"/>
    <w:rsid w:val="00855E17"/>
    <w:rsid w:val="00855EA8"/>
    <w:rsid w:val="00855EBA"/>
    <w:rsid w:val="00855F19"/>
    <w:rsid w:val="00856002"/>
    <w:rsid w:val="00856095"/>
    <w:rsid w:val="008560A2"/>
    <w:rsid w:val="0085611C"/>
    <w:rsid w:val="00856240"/>
    <w:rsid w:val="008562FB"/>
    <w:rsid w:val="00856364"/>
    <w:rsid w:val="008563A9"/>
    <w:rsid w:val="008563C2"/>
    <w:rsid w:val="008563EC"/>
    <w:rsid w:val="00856496"/>
    <w:rsid w:val="0085649F"/>
    <w:rsid w:val="008564B2"/>
    <w:rsid w:val="008565C6"/>
    <w:rsid w:val="0085662B"/>
    <w:rsid w:val="00856653"/>
    <w:rsid w:val="00856686"/>
    <w:rsid w:val="00856721"/>
    <w:rsid w:val="008567D5"/>
    <w:rsid w:val="00856885"/>
    <w:rsid w:val="008568F5"/>
    <w:rsid w:val="00856996"/>
    <w:rsid w:val="008569A0"/>
    <w:rsid w:val="00856A15"/>
    <w:rsid w:val="00856A4E"/>
    <w:rsid w:val="00856A72"/>
    <w:rsid w:val="00856A93"/>
    <w:rsid w:val="00856ADE"/>
    <w:rsid w:val="00856B83"/>
    <w:rsid w:val="00856B85"/>
    <w:rsid w:val="00856C2F"/>
    <w:rsid w:val="00856C6B"/>
    <w:rsid w:val="00856CA6"/>
    <w:rsid w:val="00856D12"/>
    <w:rsid w:val="00856D16"/>
    <w:rsid w:val="00856D2E"/>
    <w:rsid w:val="00856D3D"/>
    <w:rsid w:val="00856D4F"/>
    <w:rsid w:val="00856DA7"/>
    <w:rsid w:val="00856DEF"/>
    <w:rsid w:val="00856E1D"/>
    <w:rsid w:val="00856E32"/>
    <w:rsid w:val="00856F27"/>
    <w:rsid w:val="00856F38"/>
    <w:rsid w:val="00856F65"/>
    <w:rsid w:val="00856F69"/>
    <w:rsid w:val="00856FC2"/>
    <w:rsid w:val="00857048"/>
    <w:rsid w:val="00857133"/>
    <w:rsid w:val="0085727C"/>
    <w:rsid w:val="00857314"/>
    <w:rsid w:val="0085734C"/>
    <w:rsid w:val="00857384"/>
    <w:rsid w:val="00857387"/>
    <w:rsid w:val="0085744D"/>
    <w:rsid w:val="00857496"/>
    <w:rsid w:val="008574DC"/>
    <w:rsid w:val="00857509"/>
    <w:rsid w:val="008575D9"/>
    <w:rsid w:val="008576BE"/>
    <w:rsid w:val="008576FC"/>
    <w:rsid w:val="00857770"/>
    <w:rsid w:val="008577AB"/>
    <w:rsid w:val="008577BF"/>
    <w:rsid w:val="008577EA"/>
    <w:rsid w:val="008577F5"/>
    <w:rsid w:val="008577FC"/>
    <w:rsid w:val="00857838"/>
    <w:rsid w:val="00857858"/>
    <w:rsid w:val="00857879"/>
    <w:rsid w:val="0085788E"/>
    <w:rsid w:val="008578BD"/>
    <w:rsid w:val="008578E4"/>
    <w:rsid w:val="00857900"/>
    <w:rsid w:val="00857915"/>
    <w:rsid w:val="00857A46"/>
    <w:rsid w:val="00857BBE"/>
    <w:rsid w:val="00857C14"/>
    <w:rsid w:val="00857C52"/>
    <w:rsid w:val="00857CC7"/>
    <w:rsid w:val="00857D1C"/>
    <w:rsid w:val="00857E42"/>
    <w:rsid w:val="00857E91"/>
    <w:rsid w:val="00857E92"/>
    <w:rsid w:val="00857EB2"/>
    <w:rsid w:val="00857ED9"/>
    <w:rsid w:val="00857F95"/>
    <w:rsid w:val="0086015F"/>
    <w:rsid w:val="008601D9"/>
    <w:rsid w:val="0086021C"/>
    <w:rsid w:val="0086022C"/>
    <w:rsid w:val="00860242"/>
    <w:rsid w:val="00860262"/>
    <w:rsid w:val="00860289"/>
    <w:rsid w:val="008602A2"/>
    <w:rsid w:val="008602C1"/>
    <w:rsid w:val="00860324"/>
    <w:rsid w:val="00860401"/>
    <w:rsid w:val="0086042D"/>
    <w:rsid w:val="00860446"/>
    <w:rsid w:val="00860497"/>
    <w:rsid w:val="00860545"/>
    <w:rsid w:val="00860598"/>
    <w:rsid w:val="0086059A"/>
    <w:rsid w:val="0086063C"/>
    <w:rsid w:val="00860642"/>
    <w:rsid w:val="008606BA"/>
    <w:rsid w:val="00860761"/>
    <w:rsid w:val="00860772"/>
    <w:rsid w:val="0086079B"/>
    <w:rsid w:val="0086089D"/>
    <w:rsid w:val="008608DD"/>
    <w:rsid w:val="0086090D"/>
    <w:rsid w:val="00860995"/>
    <w:rsid w:val="00860A23"/>
    <w:rsid w:val="00860A35"/>
    <w:rsid w:val="00860AFA"/>
    <w:rsid w:val="00860B04"/>
    <w:rsid w:val="00860B33"/>
    <w:rsid w:val="00860B35"/>
    <w:rsid w:val="00860BAD"/>
    <w:rsid w:val="00860C4F"/>
    <w:rsid w:val="00860CA5"/>
    <w:rsid w:val="00860CBE"/>
    <w:rsid w:val="00860CFC"/>
    <w:rsid w:val="00860E38"/>
    <w:rsid w:val="00860E57"/>
    <w:rsid w:val="00860E95"/>
    <w:rsid w:val="00860F20"/>
    <w:rsid w:val="00860F30"/>
    <w:rsid w:val="00860F49"/>
    <w:rsid w:val="00860F54"/>
    <w:rsid w:val="00860F6E"/>
    <w:rsid w:val="00860FAC"/>
    <w:rsid w:val="00861005"/>
    <w:rsid w:val="0086105C"/>
    <w:rsid w:val="0086106E"/>
    <w:rsid w:val="008610A7"/>
    <w:rsid w:val="008611CD"/>
    <w:rsid w:val="00861294"/>
    <w:rsid w:val="008612BA"/>
    <w:rsid w:val="0086130F"/>
    <w:rsid w:val="0086132C"/>
    <w:rsid w:val="008613BF"/>
    <w:rsid w:val="008613DE"/>
    <w:rsid w:val="0086140B"/>
    <w:rsid w:val="008614AE"/>
    <w:rsid w:val="008614C9"/>
    <w:rsid w:val="008614FC"/>
    <w:rsid w:val="008615B8"/>
    <w:rsid w:val="00861646"/>
    <w:rsid w:val="008616CA"/>
    <w:rsid w:val="008616F6"/>
    <w:rsid w:val="00861718"/>
    <w:rsid w:val="00861751"/>
    <w:rsid w:val="008617D4"/>
    <w:rsid w:val="008617DE"/>
    <w:rsid w:val="008617EF"/>
    <w:rsid w:val="00861909"/>
    <w:rsid w:val="00861940"/>
    <w:rsid w:val="00861950"/>
    <w:rsid w:val="0086199E"/>
    <w:rsid w:val="008619BC"/>
    <w:rsid w:val="008619E2"/>
    <w:rsid w:val="00861A33"/>
    <w:rsid w:val="00861AEB"/>
    <w:rsid w:val="00861B0B"/>
    <w:rsid w:val="00861B0C"/>
    <w:rsid w:val="00861B23"/>
    <w:rsid w:val="00861B33"/>
    <w:rsid w:val="00861B3B"/>
    <w:rsid w:val="00861B52"/>
    <w:rsid w:val="00861B86"/>
    <w:rsid w:val="00861C06"/>
    <w:rsid w:val="00861C34"/>
    <w:rsid w:val="00861CC3"/>
    <w:rsid w:val="00861CFB"/>
    <w:rsid w:val="00861D43"/>
    <w:rsid w:val="00861D4C"/>
    <w:rsid w:val="00861E01"/>
    <w:rsid w:val="00861EB1"/>
    <w:rsid w:val="00861EC1"/>
    <w:rsid w:val="00861F39"/>
    <w:rsid w:val="00861F82"/>
    <w:rsid w:val="0086203E"/>
    <w:rsid w:val="00862157"/>
    <w:rsid w:val="008621CB"/>
    <w:rsid w:val="00862281"/>
    <w:rsid w:val="00862284"/>
    <w:rsid w:val="008622E0"/>
    <w:rsid w:val="008622F6"/>
    <w:rsid w:val="00862319"/>
    <w:rsid w:val="00862361"/>
    <w:rsid w:val="008623B2"/>
    <w:rsid w:val="008623B5"/>
    <w:rsid w:val="00862473"/>
    <w:rsid w:val="00862483"/>
    <w:rsid w:val="008624BD"/>
    <w:rsid w:val="008624F2"/>
    <w:rsid w:val="008624F6"/>
    <w:rsid w:val="00862662"/>
    <w:rsid w:val="0086269A"/>
    <w:rsid w:val="008626A0"/>
    <w:rsid w:val="008626DF"/>
    <w:rsid w:val="0086270A"/>
    <w:rsid w:val="0086274E"/>
    <w:rsid w:val="00862785"/>
    <w:rsid w:val="00862787"/>
    <w:rsid w:val="00862788"/>
    <w:rsid w:val="008628C7"/>
    <w:rsid w:val="00862905"/>
    <w:rsid w:val="00862935"/>
    <w:rsid w:val="00862938"/>
    <w:rsid w:val="008629E0"/>
    <w:rsid w:val="00862A21"/>
    <w:rsid w:val="00862A45"/>
    <w:rsid w:val="00862A4C"/>
    <w:rsid w:val="00862B3E"/>
    <w:rsid w:val="00862C19"/>
    <w:rsid w:val="00862D22"/>
    <w:rsid w:val="00862EBE"/>
    <w:rsid w:val="00862F81"/>
    <w:rsid w:val="0086308D"/>
    <w:rsid w:val="008630A8"/>
    <w:rsid w:val="008630EC"/>
    <w:rsid w:val="00863115"/>
    <w:rsid w:val="0086320A"/>
    <w:rsid w:val="00863245"/>
    <w:rsid w:val="00863270"/>
    <w:rsid w:val="00863351"/>
    <w:rsid w:val="0086335F"/>
    <w:rsid w:val="008633BF"/>
    <w:rsid w:val="0086340F"/>
    <w:rsid w:val="00863433"/>
    <w:rsid w:val="0086343E"/>
    <w:rsid w:val="008634F7"/>
    <w:rsid w:val="00863574"/>
    <w:rsid w:val="008636C2"/>
    <w:rsid w:val="0086372E"/>
    <w:rsid w:val="008638DA"/>
    <w:rsid w:val="0086393D"/>
    <w:rsid w:val="0086397F"/>
    <w:rsid w:val="00863A2A"/>
    <w:rsid w:val="00863A64"/>
    <w:rsid w:val="00863B4F"/>
    <w:rsid w:val="00863C31"/>
    <w:rsid w:val="00863C37"/>
    <w:rsid w:val="00863D0D"/>
    <w:rsid w:val="00863D9E"/>
    <w:rsid w:val="00863DA0"/>
    <w:rsid w:val="00863E2D"/>
    <w:rsid w:val="00863E69"/>
    <w:rsid w:val="00863E7F"/>
    <w:rsid w:val="00863ED6"/>
    <w:rsid w:val="00863EE5"/>
    <w:rsid w:val="00863F23"/>
    <w:rsid w:val="00863F8B"/>
    <w:rsid w:val="00863FE0"/>
    <w:rsid w:val="0086402B"/>
    <w:rsid w:val="008640D3"/>
    <w:rsid w:val="00864158"/>
    <w:rsid w:val="0086424C"/>
    <w:rsid w:val="00864277"/>
    <w:rsid w:val="00864290"/>
    <w:rsid w:val="008642A6"/>
    <w:rsid w:val="008642AA"/>
    <w:rsid w:val="008642AD"/>
    <w:rsid w:val="008642EC"/>
    <w:rsid w:val="00864536"/>
    <w:rsid w:val="0086455D"/>
    <w:rsid w:val="00864564"/>
    <w:rsid w:val="0086458E"/>
    <w:rsid w:val="008645F2"/>
    <w:rsid w:val="00864614"/>
    <w:rsid w:val="00864619"/>
    <w:rsid w:val="0086462B"/>
    <w:rsid w:val="00864656"/>
    <w:rsid w:val="008646D1"/>
    <w:rsid w:val="00864725"/>
    <w:rsid w:val="008647BC"/>
    <w:rsid w:val="008647D6"/>
    <w:rsid w:val="00864865"/>
    <w:rsid w:val="008648CA"/>
    <w:rsid w:val="008648FF"/>
    <w:rsid w:val="00864906"/>
    <w:rsid w:val="00864935"/>
    <w:rsid w:val="0086495A"/>
    <w:rsid w:val="00864966"/>
    <w:rsid w:val="0086499E"/>
    <w:rsid w:val="008649DF"/>
    <w:rsid w:val="00864AC9"/>
    <w:rsid w:val="00864C08"/>
    <w:rsid w:val="00864C35"/>
    <w:rsid w:val="00864D3B"/>
    <w:rsid w:val="00864E9F"/>
    <w:rsid w:val="00864EAF"/>
    <w:rsid w:val="00864ECE"/>
    <w:rsid w:val="00864EF6"/>
    <w:rsid w:val="00864EF7"/>
    <w:rsid w:val="00864F18"/>
    <w:rsid w:val="00864F81"/>
    <w:rsid w:val="00864F9A"/>
    <w:rsid w:val="00864FC7"/>
    <w:rsid w:val="0086502A"/>
    <w:rsid w:val="008650F0"/>
    <w:rsid w:val="00865100"/>
    <w:rsid w:val="008651A0"/>
    <w:rsid w:val="00865219"/>
    <w:rsid w:val="0086522B"/>
    <w:rsid w:val="00865254"/>
    <w:rsid w:val="008652C3"/>
    <w:rsid w:val="008652F0"/>
    <w:rsid w:val="00865316"/>
    <w:rsid w:val="00865360"/>
    <w:rsid w:val="0086536F"/>
    <w:rsid w:val="008653D3"/>
    <w:rsid w:val="0086545F"/>
    <w:rsid w:val="00865498"/>
    <w:rsid w:val="0086559A"/>
    <w:rsid w:val="00865621"/>
    <w:rsid w:val="008656D6"/>
    <w:rsid w:val="00865793"/>
    <w:rsid w:val="008657AD"/>
    <w:rsid w:val="00865837"/>
    <w:rsid w:val="00865864"/>
    <w:rsid w:val="0086586F"/>
    <w:rsid w:val="008658B6"/>
    <w:rsid w:val="008658B9"/>
    <w:rsid w:val="00865934"/>
    <w:rsid w:val="0086593E"/>
    <w:rsid w:val="00865958"/>
    <w:rsid w:val="00865995"/>
    <w:rsid w:val="008659B9"/>
    <w:rsid w:val="008659E2"/>
    <w:rsid w:val="00865A01"/>
    <w:rsid w:val="00865AD3"/>
    <w:rsid w:val="00865ADA"/>
    <w:rsid w:val="00865AFD"/>
    <w:rsid w:val="00865B87"/>
    <w:rsid w:val="00865BD6"/>
    <w:rsid w:val="00865C2F"/>
    <w:rsid w:val="00865C9A"/>
    <w:rsid w:val="00865CE1"/>
    <w:rsid w:val="00865D22"/>
    <w:rsid w:val="00865D5D"/>
    <w:rsid w:val="00865D71"/>
    <w:rsid w:val="00865EE7"/>
    <w:rsid w:val="00865F4F"/>
    <w:rsid w:val="00865F64"/>
    <w:rsid w:val="00865F96"/>
    <w:rsid w:val="00865FC0"/>
    <w:rsid w:val="00865FF7"/>
    <w:rsid w:val="0086609B"/>
    <w:rsid w:val="008660EF"/>
    <w:rsid w:val="00866254"/>
    <w:rsid w:val="0086627A"/>
    <w:rsid w:val="00866297"/>
    <w:rsid w:val="008662C1"/>
    <w:rsid w:val="008662D4"/>
    <w:rsid w:val="008662D7"/>
    <w:rsid w:val="008662E2"/>
    <w:rsid w:val="008663A9"/>
    <w:rsid w:val="00866424"/>
    <w:rsid w:val="00866485"/>
    <w:rsid w:val="00866504"/>
    <w:rsid w:val="0086650A"/>
    <w:rsid w:val="00866568"/>
    <w:rsid w:val="008665E1"/>
    <w:rsid w:val="008665FA"/>
    <w:rsid w:val="008665FB"/>
    <w:rsid w:val="00866737"/>
    <w:rsid w:val="00866791"/>
    <w:rsid w:val="008667A9"/>
    <w:rsid w:val="00866862"/>
    <w:rsid w:val="008668C0"/>
    <w:rsid w:val="008668F2"/>
    <w:rsid w:val="0086694A"/>
    <w:rsid w:val="00866B9C"/>
    <w:rsid w:val="00866BB0"/>
    <w:rsid w:val="00866C2C"/>
    <w:rsid w:val="00866C52"/>
    <w:rsid w:val="00866C83"/>
    <w:rsid w:val="00866CDC"/>
    <w:rsid w:val="00866D16"/>
    <w:rsid w:val="00866D41"/>
    <w:rsid w:val="00866D44"/>
    <w:rsid w:val="00866D54"/>
    <w:rsid w:val="00866D72"/>
    <w:rsid w:val="00866E71"/>
    <w:rsid w:val="00866E82"/>
    <w:rsid w:val="00866EC1"/>
    <w:rsid w:val="00866FBB"/>
    <w:rsid w:val="00866FDC"/>
    <w:rsid w:val="00867068"/>
    <w:rsid w:val="00867075"/>
    <w:rsid w:val="00867091"/>
    <w:rsid w:val="008670D7"/>
    <w:rsid w:val="0086711C"/>
    <w:rsid w:val="008671AF"/>
    <w:rsid w:val="008671CA"/>
    <w:rsid w:val="008671EC"/>
    <w:rsid w:val="00867208"/>
    <w:rsid w:val="008672E8"/>
    <w:rsid w:val="008672F3"/>
    <w:rsid w:val="0086735A"/>
    <w:rsid w:val="00867398"/>
    <w:rsid w:val="008673EE"/>
    <w:rsid w:val="00867406"/>
    <w:rsid w:val="00867432"/>
    <w:rsid w:val="00867451"/>
    <w:rsid w:val="008674EB"/>
    <w:rsid w:val="00867503"/>
    <w:rsid w:val="00867516"/>
    <w:rsid w:val="0086755D"/>
    <w:rsid w:val="008675AA"/>
    <w:rsid w:val="008675B0"/>
    <w:rsid w:val="00867739"/>
    <w:rsid w:val="00867752"/>
    <w:rsid w:val="00867839"/>
    <w:rsid w:val="00867846"/>
    <w:rsid w:val="00867976"/>
    <w:rsid w:val="008679D6"/>
    <w:rsid w:val="00867A20"/>
    <w:rsid w:val="00867A80"/>
    <w:rsid w:val="00867B39"/>
    <w:rsid w:val="00867B80"/>
    <w:rsid w:val="00867BE6"/>
    <w:rsid w:val="00867C9C"/>
    <w:rsid w:val="00867D24"/>
    <w:rsid w:val="00867E59"/>
    <w:rsid w:val="00867E64"/>
    <w:rsid w:val="00867EB7"/>
    <w:rsid w:val="00867ED8"/>
    <w:rsid w:val="00867F1F"/>
    <w:rsid w:val="00867F72"/>
    <w:rsid w:val="00867FFC"/>
    <w:rsid w:val="0087016C"/>
    <w:rsid w:val="008701D2"/>
    <w:rsid w:val="00870289"/>
    <w:rsid w:val="00870349"/>
    <w:rsid w:val="00870395"/>
    <w:rsid w:val="008703C8"/>
    <w:rsid w:val="008703F5"/>
    <w:rsid w:val="0087044F"/>
    <w:rsid w:val="0087064E"/>
    <w:rsid w:val="00870675"/>
    <w:rsid w:val="008706C5"/>
    <w:rsid w:val="008706FD"/>
    <w:rsid w:val="0087074E"/>
    <w:rsid w:val="0087083B"/>
    <w:rsid w:val="00870889"/>
    <w:rsid w:val="0087090F"/>
    <w:rsid w:val="00870A19"/>
    <w:rsid w:val="00870A5B"/>
    <w:rsid w:val="00870ABB"/>
    <w:rsid w:val="00870B3E"/>
    <w:rsid w:val="00870BDD"/>
    <w:rsid w:val="00870C2F"/>
    <w:rsid w:val="00870C57"/>
    <w:rsid w:val="00870C97"/>
    <w:rsid w:val="00870D36"/>
    <w:rsid w:val="00870DBF"/>
    <w:rsid w:val="00870E02"/>
    <w:rsid w:val="00870E14"/>
    <w:rsid w:val="00870E35"/>
    <w:rsid w:val="00870E38"/>
    <w:rsid w:val="00870E4F"/>
    <w:rsid w:val="00870F2E"/>
    <w:rsid w:val="00870F3E"/>
    <w:rsid w:val="00870F69"/>
    <w:rsid w:val="00870FEC"/>
    <w:rsid w:val="008710CB"/>
    <w:rsid w:val="0087110C"/>
    <w:rsid w:val="00871157"/>
    <w:rsid w:val="0087116D"/>
    <w:rsid w:val="00871181"/>
    <w:rsid w:val="008711A2"/>
    <w:rsid w:val="00871225"/>
    <w:rsid w:val="0087128F"/>
    <w:rsid w:val="008712F9"/>
    <w:rsid w:val="00871376"/>
    <w:rsid w:val="008713D4"/>
    <w:rsid w:val="00871441"/>
    <w:rsid w:val="008714AF"/>
    <w:rsid w:val="008714CD"/>
    <w:rsid w:val="00871515"/>
    <w:rsid w:val="00871527"/>
    <w:rsid w:val="00871528"/>
    <w:rsid w:val="00871543"/>
    <w:rsid w:val="00871597"/>
    <w:rsid w:val="008715FC"/>
    <w:rsid w:val="00871774"/>
    <w:rsid w:val="00871857"/>
    <w:rsid w:val="008718D5"/>
    <w:rsid w:val="00871A18"/>
    <w:rsid w:val="00871A31"/>
    <w:rsid w:val="00871AEC"/>
    <w:rsid w:val="00871B1B"/>
    <w:rsid w:val="00871B47"/>
    <w:rsid w:val="00871BAD"/>
    <w:rsid w:val="00871BCA"/>
    <w:rsid w:val="00871BDF"/>
    <w:rsid w:val="00871C33"/>
    <w:rsid w:val="00871D1E"/>
    <w:rsid w:val="00871D69"/>
    <w:rsid w:val="00871DC4"/>
    <w:rsid w:val="00871E9C"/>
    <w:rsid w:val="00871F0C"/>
    <w:rsid w:val="00872059"/>
    <w:rsid w:val="00872109"/>
    <w:rsid w:val="008721EB"/>
    <w:rsid w:val="00872259"/>
    <w:rsid w:val="00872274"/>
    <w:rsid w:val="00872301"/>
    <w:rsid w:val="00872318"/>
    <w:rsid w:val="008723EB"/>
    <w:rsid w:val="00872493"/>
    <w:rsid w:val="008724AE"/>
    <w:rsid w:val="0087256C"/>
    <w:rsid w:val="008725EC"/>
    <w:rsid w:val="00872639"/>
    <w:rsid w:val="00872646"/>
    <w:rsid w:val="00872743"/>
    <w:rsid w:val="0087276B"/>
    <w:rsid w:val="008727AD"/>
    <w:rsid w:val="00872806"/>
    <w:rsid w:val="0087283A"/>
    <w:rsid w:val="008728F0"/>
    <w:rsid w:val="00872903"/>
    <w:rsid w:val="00872960"/>
    <w:rsid w:val="0087299B"/>
    <w:rsid w:val="0087299D"/>
    <w:rsid w:val="008729DE"/>
    <w:rsid w:val="00872A2E"/>
    <w:rsid w:val="00872A3A"/>
    <w:rsid w:val="00872A98"/>
    <w:rsid w:val="00872ABE"/>
    <w:rsid w:val="00872B15"/>
    <w:rsid w:val="00872BAE"/>
    <w:rsid w:val="00872BB4"/>
    <w:rsid w:val="00872C3D"/>
    <w:rsid w:val="00872C55"/>
    <w:rsid w:val="00872C5E"/>
    <w:rsid w:val="00872CE7"/>
    <w:rsid w:val="00872D1C"/>
    <w:rsid w:val="00872D2B"/>
    <w:rsid w:val="00872D65"/>
    <w:rsid w:val="00872D89"/>
    <w:rsid w:val="00872DF3"/>
    <w:rsid w:val="00872E76"/>
    <w:rsid w:val="00872E79"/>
    <w:rsid w:val="00872FBC"/>
    <w:rsid w:val="00873021"/>
    <w:rsid w:val="00873087"/>
    <w:rsid w:val="00873099"/>
    <w:rsid w:val="00873125"/>
    <w:rsid w:val="0087314B"/>
    <w:rsid w:val="00873155"/>
    <w:rsid w:val="00873159"/>
    <w:rsid w:val="00873163"/>
    <w:rsid w:val="00873169"/>
    <w:rsid w:val="00873258"/>
    <w:rsid w:val="00873279"/>
    <w:rsid w:val="008733D5"/>
    <w:rsid w:val="00873436"/>
    <w:rsid w:val="00873484"/>
    <w:rsid w:val="008734C4"/>
    <w:rsid w:val="0087352A"/>
    <w:rsid w:val="00873593"/>
    <w:rsid w:val="00873663"/>
    <w:rsid w:val="008737B4"/>
    <w:rsid w:val="008737F9"/>
    <w:rsid w:val="0087384C"/>
    <w:rsid w:val="0087387D"/>
    <w:rsid w:val="00873892"/>
    <w:rsid w:val="008738EC"/>
    <w:rsid w:val="008738F5"/>
    <w:rsid w:val="00873917"/>
    <w:rsid w:val="008739C3"/>
    <w:rsid w:val="00873A17"/>
    <w:rsid w:val="00873A1B"/>
    <w:rsid w:val="00873A6B"/>
    <w:rsid w:val="00873A7C"/>
    <w:rsid w:val="00873AFC"/>
    <w:rsid w:val="00873BB7"/>
    <w:rsid w:val="00873C2F"/>
    <w:rsid w:val="00873C50"/>
    <w:rsid w:val="00873C7C"/>
    <w:rsid w:val="00873D9E"/>
    <w:rsid w:val="00873DF7"/>
    <w:rsid w:val="00873E2E"/>
    <w:rsid w:val="00873E7A"/>
    <w:rsid w:val="00873E82"/>
    <w:rsid w:val="00873E98"/>
    <w:rsid w:val="00873EDB"/>
    <w:rsid w:val="00873EFB"/>
    <w:rsid w:val="00873F5D"/>
    <w:rsid w:val="00873F63"/>
    <w:rsid w:val="00873FAB"/>
    <w:rsid w:val="00873FDE"/>
    <w:rsid w:val="0087404C"/>
    <w:rsid w:val="008740F6"/>
    <w:rsid w:val="0087416D"/>
    <w:rsid w:val="00874187"/>
    <w:rsid w:val="00874189"/>
    <w:rsid w:val="0087418A"/>
    <w:rsid w:val="00874314"/>
    <w:rsid w:val="0087438B"/>
    <w:rsid w:val="00874431"/>
    <w:rsid w:val="00874574"/>
    <w:rsid w:val="008745B1"/>
    <w:rsid w:val="008745B3"/>
    <w:rsid w:val="008745B8"/>
    <w:rsid w:val="008745F0"/>
    <w:rsid w:val="00874600"/>
    <w:rsid w:val="008746CC"/>
    <w:rsid w:val="00874704"/>
    <w:rsid w:val="00874759"/>
    <w:rsid w:val="00874763"/>
    <w:rsid w:val="008747CE"/>
    <w:rsid w:val="008747EA"/>
    <w:rsid w:val="00874822"/>
    <w:rsid w:val="0087486D"/>
    <w:rsid w:val="00874874"/>
    <w:rsid w:val="008748A9"/>
    <w:rsid w:val="008748B5"/>
    <w:rsid w:val="008748E6"/>
    <w:rsid w:val="00874964"/>
    <w:rsid w:val="00874971"/>
    <w:rsid w:val="008749CE"/>
    <w:rsid w:val="00874A31"/>
    <w:rsid w:val="00874A70"/>
    <w:rsid w:val="00874AD5"/>
    <w:rsid w:val="00874B26"/>
    <w:rsid w:val="00874B63"/>
    <w:rsid w:val="00874D50"/>
    <w:rsid w:val="00874D7F"/>
    <w:rsid w:val="00874DC9"/>
    <w:rsid w:val="00874DE8"/>
    <w:rsid w:val="00874E4E"/>
    <w:rsid w:val="00874E5A"/>
    <w:rsid w:val="00874E9E"/>
    <w:rsid w:val="00874EF8"/>
    <w:rsid w:val="00874F08"/>
    <w:rsid w:val="00875037"/>
    <w:rsid w:val="008750E4"/>
    <w:rsid w:val="0087511F"/>
    <w:rsid w:val="00875132"/>
    <w:rsid w:val="0087515F"/>
    <w:rsid w:val="0087529E"/>
    <w:rsid w:val="008752D2"/>
    <w:rsid w:val="008752ED"/>
    <w:rsid w:val="008752F8"/>
    <w:rsid w:val="00875318"/>
    <w:rsid w:val="00875364"/>
    <w:rsid w:val="0087542F"/>
    <w:rsid w:val="008754A9"/>
    <w:rsid w:val="00875558"/>
    <w:rsid w:val="00875566"/>
    <w:rsid w:val="00875577"/>
    <w:rsid w:val="008755B2"/>
    <w:rsid w:val="008755E6"/>
    <w:rsid w:val="008755F5"/>
    <w:rsid w:val="0087560E"/>
    <w:rsid w:val="0087564E"/>
    <w:rsid w:val="0087578C"/>
    <w:rsid w:val="008757CA"/>
    <w:rsid w:val="00875813"/>
    <w:rsid w:val="00875838"/>
    <w:rsid w:val="008758EC"/>
    <w:rsid w:val="00875944"/>
    <w:rsid w:val="0087597A"/>
    <w:rsid w:val="00875AB0"/>
    <w:rsid w:val="00875AB1"/>
    <w:rsid w:val="00875BBA"/>
    <w:rsid w:val="00875CE5"/>
    <w:rsid w:val="00875D51"/>
    <w:rsid w:val="00875D9D"/>
    <w:rsid w:val="00875E2A"/>
    <w:rsid w:val="00875F7C"/>
    <w:rsid w:val="00875FB1"/>
    <w:rsid w:val="00875FED"/>
    <w:rsid w:val="0087604B"/>
    <w:rsid w:val="00876068"/>
    <w:rsid w:val="00876078"/>
    <w:rsid w:val="008760A9"/>
    <w:rsid w:val="00876114"/>
    <w:rsid w:val="00876118"/>
    <w:rsid w:val="00876235"/>
    <w:rsid w:val="008762AE"/>
    <w:rsid w:val="008762CF"/>
    <w:rsid w:val="008762F0"/>
    <w:rsid w:val="0087636F"/>
    <w:rsid w:val="00876421"/>
    <w:rsid w:val="0087642B"/>
    <w:rsid w:val="008764A1"/>
    <w:rsid w:val="008764BA"/>
    <w:rsid w:val="008764F5"/>
    <w:rsid w:val="00876572"/>
    <w:rsid w:val="0087657F"/>
    <w:rsid w:val="0087659A"/>
    <w:rsid w:val="008765CB"/>
    <w:rsid w:val="008765D3"/>
    <w:rsid w:val="008765F3"/>
    <w:rsid w:val="00876609"/>
    <w:rsid w:val="0087662B"/>
    <w:rsid w:val="00876637"/>
    <w:rsid w:val="0087665A"/>
    <w:rsid w:val="0087674A"/>
    <w:rsid w:val="00876777"/>
    <w:rsid w:val="0087678A"/>
    <w:rsid w:val="008767C4"/>
    <w:rsid w:val="00876801"/>
    <w:rsid w:val="008768D2"/>
    <w:rsid w:val="008768D4"/>
    <w:rsid w:val="00876A8B"/>
    <w:rsid w:val="00876B2A"/>
    <w:rsid w:val="00876BB9"/>
    <w:rsid w:val="00876BC1"/>
    <w:rsid w:val="00876C6D"/>
    <w:rsid w:val="00876C7C"/>
    <w:rsid w:val="00876C90"/>
    <w:rsid w:val="00876CB0"/>
    <w:rsid w:val="00876DA0"/>
    <w:rsid w:val="00876DBE"/>
    <w:rsid w:val="00876E4E"/>
    <w:rsid w:val="00876E8A"/>
    <w:rsid w:val="00876EBC"/>
    <w:rsid w:val="00876ECD"/>
    <w:rsid w:val="00876ECE"/>
    <w:rsid w:val="00876F1B"/>
    <w:rsid w:val="00876F1C"/>
    <w:rsid w:val="00876FE3"/>
    <w:rsid w:val="0087702F"/>
    <w:rsid w:val="00877098"/>
    <w:rsid w:val="008770DD"/>
    <w:rsid w:val="008770F2"/>
    <w:rsid w:val="00877163"/>
    <w:rsid w:val="00877369"/>
    <w:rsid w:val="008773F6"/>
    <w:rsid w:val="00877401"/>
    <w:rsid w:val="0087744B"/>
    <w:rsid w:val="00877472"/>
    <w:rsid w:val="008774B9"/>
    <w:rsid w:val="00877522"/>
    <w:rsid w:val="00877559"/>
    <w:rsid w:val="00877575"/>
    <w:rsid w:val="00877595"/>
    <w:rsid w:val="0087763E"/>
    <w:rsid w:val="0087774D"/>
    <w:rsid w:val="0087777F"/>
    <w:rsid w:val="008778A6"/>
    <w:rsid w:val="008778B8"/>
    <w:rsid w:val="0087793E"/>
    <w:rsid w:val="00877973"/>
    <w:rsid w:val="00877981"/>
    <w:rsid w:val="00877A88"/>
    <w:rsid w:val="00877AAE"/>
    <w:rsid w:val="00877AB5"/>
    <w:rsid w:val="00877AE4"/>
    <w:rsid w:val="00877B1A"/>
    <w:rsid w:val="00877B37"/>
    <w:rsid w:val="00877B72"/>
    <w:rsid w:val="00877D7F"/>
    <w:rsid w:val="00877D83"/>
    <w:rsid w:val="00877DD7"/>
    <w:rsid w:val="00877E18"/>
    <w:rsid w:val="00877E1B"/>
    <w:rsid w:val="00877E78"/>
    <w:rsid w:val="00877EF4"/>
    <w:rsid w:val="00877F4E"/>
    <w:rsid w:val="00877F81"/>
    <w:rsid w:val="00880006"/>
    <w:rsid w:val="008800EC"/>
    <w:rsid w:val="00880106"/>
    <w:rsid w:val="0088014C"/>
    <w:rsid w:val="00880270"/>
    <w:rsid w:val="008802E9"/>
    <w:rsid w:val="00880335"/>
    <w:rsid w:val="00880337"/>
    <w:rsid w:val="00880363"/>
    <w:rsid w:val="008803EE"/>
    <w:rsid w:val="0088043B"/>
    <w:rsid w:val="00880452"/>
    <w:rsid w:val="0088047F"/>
    <w:rsid w:val="008804D1"/>
    <w:rsid w:val="00880599"/>
    <w:rsid w:val="008805C1"/>
    <w:rsid w:val="0088063E"/>
    <w:rsid w:val="00880648"/>
    <w:rsid w:val="0088067D"/>
    <w:rsid w:val="00880746"/>
    <w:rsid w:val="008807BF"/>
    <w:rsid w:val="008808B5"/>
    <w:rsid w:val="008808BC"/>
    <w:rsid w:val="00880993"/>
    <w:rsid w:val="008809D9"/>
    <w:rsid w:val="00880A9F"/>
    <w:rsid w:val="00880ADC"/>
    <w:rsid w:val="00880AFB"/>
    <w:rsid w:val="00880B85"/>
    <w:rsid w:val="00880B9E"/>
    <w:rsid w:val="00880BED"/>
    <w:rsid w:val="00880C2C"/>
    <w:rsid w:val="00880CAF"/>
    <w:rsid w:val="00880CE1"/>
    <w:rsid w:val="00880D02"/>
    <w:rsid w:val="00880D23"/>
    <w:rsid w:val="00880D4C"/>
    <w:rsid w:val="00880D5C"/>
    <w:rsid w:val="00880D63"/>
    <w:rsid w:val="00880D9E"/>
    <w:rsid w:val="00880E36"/>
    <w:rsid w:val="00880E68"/>
    <w:rsid w:val="00880EAE"/>
    <w:rsid w:val="00880ED0"/>
    <w:rsid w:val="00880F0D"/>
    <w:rsid w:val="00880F4C"/>
    <w:rsid w:val="00880FAF"/>
    <w:rsid w:val="00880FEF"/>
    <w:rsid w:val="008810C1"/>
    <w:rsid w:val="008810E0"/>
    <w:rsid w:val="008811F9"/>
    <w:rsid w:val="0088129B"/>
    <w:rsid w:val="008812B9"/>
    <w:rsid w:val="008812CD"/>
    <w:rsid w:val="008812DE"/>
    <w:rsid w:val="008812ED"/>
    <w:rsid w:val="0088138F"/>
    <w:rsid w:val="00881399"/>
    <w:rsid w:val="008813CC"/>
    <w:rsid w:val="00881436"/>
    <w:rsid w:val="0088143D"/>
    <w:rsid w:val="00881463"/>
    <w:rsid w:val="00881470"/>
    <w:rsid w:val="008814D9"/>
    <w:rsid w:val="0088160B"/>
    <w:rsid w:val="00881635"/>
    <w:rsid w:val="00881688"/>
    <w:rsid w:val="0088169B"/>
    <w:rsid w:val="008816A8"/>
    <w:rsid w:val="008817F1"/>
    <w:rsid w:val="00881807"/>
    <w:rsid w:val="008818A3"/>
    <w:rsid w:val="008818B8"/>
    <w:rsid w:val="008818E7"/>
    <w:rsid w:val="0088199A"/>
    <w:rsid w:val="008819E7"/>
    <w:rsid w:val="00881A17"/>
    <w:rsid w:val="00881A65"/>
    <w:rsid w:val="00881A7B"/>
    <w:rsid w:val="00881AFC"/>
    <w:rsid w:val="00881B2C"/>
    <w:rsid w:val="00881B37"/>
    <w:rsid w:val="00881B5C"/>
    <w:rsid w:val="00881B90"/>
    <w:rsid w:val="00881B9A"/>
    <w:rsid w:val="00881BE4"/>
    <w:rsid w:val="00881C10"/>
    <w:rsid w:val="00881DDE"/>
    <w:rsid w:val="00881E29"/>
    <w:rsid w:val="00881E5E"/>
    <w:rsid w:val="00881EDB"/>
    <w:rsid w:val="00881F86"/>
    <w:rsid w:val="00881FD6"/>
    <w:rsid w:val="00881FE2"/>
    <w:rsid w:val="00882023"/>
    <w:rsid w:val="008820CE"/>
    <w:rsid w:val="00882107"/>
    <w:rsid w:val="008821B4"/>
    <w:rsid w:val="008823DD"/>
    <w:rsid w:val="008823F8"/>
    <w:rsid w:val="00882413"/>
    <w:rsid w:val="0088249A"/>
    <w:rsid w:val="008824A9"/>
    <w:rsid w:val="008824AD"/>
    <w:rsid w:val="008824D9"/>
    <w:rsid w:val="0088253E"/>
    <w:rsid w:val="008825D5"/>
    <w:rsid w:val="00882624"/>
    <w:rsid w:val="00882649"/>
    <w:rsid w:val="0088274F"/>
    <w:rsid w:val="00882783"/>
    <w:rsid w:val="008827B3"/>
    <w:rsid w:val="0088280A"/>
    <w:rsid w:val="00882839"/>
    <w:rsid w:val="008828AC"/>
    <w:rsid w:val="00882996"/>
    <w:rsid w:val="008829FF"/>
    <w:rsid w:val="00882A1D"/>
    <w:rsid w:val="00882A8B"/>
    <w:rsid w:val="00882AAA"/>
    <w:rsid w:val="00882AB1"/>
    <w:rsid w:val="00882B20"/>
    <w:rsid w:val="00882B41"/>
    <w:rsid w:val="00882BCF"/>
    <w:rsid w:val="00882C41"/>
    <w:rsid w:val="00882C94"/>
    <w:rsid w:val="00882CD2"/>
    <w:rsid w:val="00882D05"/>
    <w:rsid w:val="00882D33"/>
    <w:rsid w:val="00882E00"/>
    <w:rsid w:val="00882E3C"/>
    <w:rsid w:val="00882E9D"/>
    <w:rsid w:val="00882EBE"/>
    <w:rsid w:val="00882FB4"/>
    <w:rsid w:val="00882FD2"/>
    <w:rsid w:val="00882FF1"/>
    <w:rsid w:val="00883052"/>
    <w:rsid w:val="008830B0"/>
    <w:rsid w:val="00883119"/>
    <w:rsid w:val="00883138"/>
    <w:rsid w:val="00883193"/>
    <w:rsid w:val="008832B9"/>
    <w:rsid w:val="008832C7"/>
    <w:rsid w:val="00883312"/>
    <w:rsid w:val="00883332"/>
    <w:rsid w:val="008833B1"/>
    <w:rsid w:val="008833B2"/>
    <w:rsid w:val="0088346C"/>
    <w:rsid w:val="008834DD"/>
    <w:rsid w:val="008835AE"/>
    <w:rsid w:val="0088362B"/>
    <w:rsid w:val="0088365C"/>
    <w:rsid w:val="00883661"/>
    <w:rsid w:val="008836C9"/>
    <w:rsid w:val="0088377C"/>
    <w:rsid w:val="008837D4"/>
    <w:rsid w:val="0088380F"/>
    <w:rsid w:val="0088384B"/>
    <w:rsid w:val="0088389E"/>
    <w:rsid w:val="0088390F"/>
    <w:rsid w:val="008839F2"/>
    <w:rsid w:val="00883A27"/>
    <w:rsid w:val="00883A41"/>
    <w:rsid w:val="00883B48"/>
    <w:rsid w:val="00883B66"/>
    <w:rsid w:val="00883B95"/>
    <w:rsid w:val="00883C1B"/>
    <w:rsid w:val="00883C4D"/>
    <w:rsid w:val="00883CCA"/>
    <w:rsid w:val="00883DBA"/>
    <w:rsid w:val="00883E87"/>
    <w:rsid w:val="00883EC2"/>
    <w:rsid w:val="00883F54"/>
    <w:rsid w:val="00883F9C"/>
    <w:rsid w:val="00883FD4"/>
    <w:rsid w:val="008840A6"/>
    <w:rsid w:val="008840FC"/>
    <w:rsid w:val="0088412E"/>
    <w:rsid w:val="00884297"/>
    <w:rsid w:val="0088431B"/>
    <w:rsid w:val="00884328"/>
    <w:rsid w:val="0088440D"/>
    <w:rsid w:val="00884493"/>
    <w:rsid w:val="008844A4"/>
    <w:rsid w:val="008844B6"/>
    <w:rsid w:val="008844ED"/>
    <w:rsid w:val="0088459E"/>
    <w:rsid w:val="00884621"/>
    <w:rsid w:val="00884635"/>
    <w:rsid w:val="008846B6"/>
    <w:rsid w:val="008846D1"/>
    <w:rsid w:val="008847BD"/>
    <w:rsid w:val="008847E0"/>
    <w:rsid w:val="00884825"/>
    <w:rsid w:val="0088490F"/>
    <w:rsid w:val="00884931"/>
    <w:rsid w:val="00884950"/>
    <w:rsid w:val="00884968"/>
    <w:rsid w:val="00884A74"/>
    <w:rsid w:val="00884AD9"/>
    <w:rsid w:val="00884B3B"/>
    <w:rsid w:val="00884B71"/>
    <w:rsid w:val="00884BB2"/>
    <w:rsid w:val="00884BF6"/>
    <w:rsid w:val="00884C41"/>
    <w:rsid w:val="00884C62"/>
    <w:rsid w:val="00884D5C"/>
    <w:rsid w:val="00884D61"/>
    <w:rsid w:val="00884D64"/>
    <w:rsid w:val="00884DFC"/>
    <w:rsid w:val="00884E7E"/>
    <w:rsid w:val="00884E97"/>
    <w:rsid w:val="00884EA3"/>
    <w:rsid w:val="00884EC1"/>
    <w:rsid w:val="00884EDA"/>
    <w:rsid w:val="0088504D"/>
    <w:rsid w:val="0088504F"/>
    <w:rsid w:val="0088509C"/>
    <w:rsid w:val="00885234"/>
    <w:rsid w:val="008852A1"/>
    <w:rsid w:val="0088530A"/>
    <w:rsid w:val="00885344"/>
    <w:rsid w:val="00885345"/>
    <w:rsid w:val="008853CB"/>
    <w:rsid w:val="0088540A"/>
    <w:rsid w:val="0088540B"/>
    <w:rsid w:val="0088547D"/>
    <w:rsid w:val="00885578"/>
    <w:rsid w:val="008855C6"/>
    <w:rsid w:val="008855DE"/>
    <w:rsid w:val="00885608"/>
    <w:rsid w:val="008856B8"/>
    <w:rsid w:val="008857E1"/>
    <w:rsid w:val="0088581E"/>
    <w:rsid w:val="00885839"/>
    <w:rsid w:val="008858E9"/>
    <w:rsid w:val="0088591D"/>
    <w:rsid w:val="00885950"/>
    <w:rsid w:val="00885969"/>
    <w:rsid w:val="008859C0"/>
    <w:rsid w:val="00885A19"/>
    <w:rsid w:val="00885A3B"/>
    <w:rsid w:val="00885A52"/>
    <w:rsid w:val="00885B45"/>
    <w:rsid w:val="00885C3A"/>
    <w:rsid w:val="00885C4B"/>
    <w:rsid w:val="00885C91"/>
    <w:rsid w:val="00885C92"/>
    <w:rsid w:val="00885D63"/>
    <w:rsid w:val="00885DE1"/>
    <w:rsid w:val="00885E89"/>
    <w:rsid w:val="00885F62"/>
    <w:rsid w:val="00885FE6"/>
    <w:rsid w:val="00885FF7"/>
    <w:rsid w:val="008860AB"/>
    <w:rsid w:val="008860B8"/>
    <w:rsid w:val="008860F6"/>
    <w:rsid w:val="00886158"/>
    <w:rsid w:val="0088627B"/>
    <w:rsid w:val="008862A2"/>
    <w:rsid w:val="008863C3"/>
    <w:rsid w:val="008863E0"/>
    <w:rsid w:val="00886438"/>
    <w:rsid w:val="008864BC"/>
    <w:rsid w:val="00886580"/>
    <w:rsid w:val="00886590"/>
    <w:rsid w:val="008865C9"/>
    <w:rsid w:val="0088669C"/>
    <w:rsid w:val="0088669E"/>
    <w:rsid w:val="008866F6"/>
    <w:rsid w:val="00886761"/>
    <w:rsid w:val="008867A9"/>
    <w:rsid w:val="00886812"/>
    <w:rsid w:val="0088683C"/>
    <w:rsid w:val="00886841"/>
    <w:rsid w:val="00886891"/>
    <w:rsid w:val="008869A8"/>
    <w:rsid w:val="00886A1D"/>
    <w:rsid w:val="00886A43"/>
    <w:rsid w:val="00886A84"/>
    <w:rsid w:val="00886AAA"/>
    <w:rsid w:val="00886ADA"/>
    <w:rsid w:val="00886AF4"/>
    <w:rsid w:val="00886B07"/>
    <w:rsid w:val="00886B8A"/>
    <w:rsid w:val="00886C04"/>
    <w:rsid w:val="00886C34"/>
    <w:rsid w:val="00886D6F"/>
    <w:rsid w:val="00886D70"/>
    <w:rsid w:val="00886E8B"/>
    <w:rsid w:val="00886F43"/>
    <w:rsid w:val="00886F80"/>
    <w:rsid w:val="00886FD2"/>
    <w:rsid w:val="00887001"/>
    <w:rsid w:val="0088707A"/>
    <w:rsid w:val="008870F9"/>
    <w:rsid w:val="00887167"/>
    <w:rsid w:val="0088717C"/>
    <w:rsid w:val="00887243"/>
    <w:rsid w:val="008872DA"/>
    <w:rsid w:val="0088735F"/>
    <w:rsid w:val="00887418"/>
    <w:rsid w:val="00887423"/>
    <w:rsid w:val="008874CC"/>
    <w:rsid w:val="00887512"/>
    <w:rsid w:val="00887582"/>
    <w:rsid w:val="008875C7"/>
    <w:rsid w:val="00887623"/>
    <w:rsid w:val="008876AE"/>
    <w:rsid w:val="008876FD"/>
    <w:rsid w:val="008877D1"/>
    <w:rsid w:val="00887816"/>
    <w:rsid w:val="00887850"/>
    <w:rsid w:val="008878D8"/>
    <w:rsid w:val="00887932"/>
    <w:rsid w:val="00887A2A"/>
    <w:rsid w:val="00887AF6"/>
    <w:rsid w:val="00887B03"/>
    <w:rsid w:val="00887B7D"/>
    <w:rsid w:val="00887BAA"/>
    <w:rsid w:val="00887E62"/>
    <w:rsid w:val="00887E78"/>
    <w:rsid w:val="00887E85"/>
    <w:rsid w:val="00887ECC"/>
    <w:rsid w:val="00887FE9"/>
    <w:rsid w:val="00890063"/>
    <w:rsid w:val="008900B2"/>
    <w:rsid w:val="008900F2"/>
    <w:rsid w:val="00890211"/>
    <w:rsid w:val="0089022B"/>
    <w:rsid w:val="00890286"/>
    <w:rsid w:val="00890326"/>
    <w:rsid w:val="00890327"/>
    <w:rsid w:val="0089036A"/>
    <w:rsid w:val="008903AC"/>
    <w:rsid w:val="00890491"/>
    <w:rsid w:val="0089049A"/>
    <w:rsid w:val="0089051A"/>
    <w:rsid w:val="008905AD"/>
    <w:rsid w:val="008905B0"/>
    <w:rsid w:val="008905B7"/>
    <w:rsid w:val="008905E8"/>
    <w:rsid w:val="008905FC"/>
    <w:rsid w:val="0089064A"/>
    <w:rsid w:val="008906D6"/>
    <w:rsid w:val="008906E4"/>
    <w:rsid w:val="00890828"/>
    <w:rsid w:val="00890850"/>
    <w:rsid w:val="00890889"/>
    <w:rsid w:val="008909CA"/>
    <w:rsid w:val="008909FD"/>
    <w:rsid w:val="00890A16"/>
    <w:rsid w:val="00890B50"/>
    <w:rsid w:val="00890C6E"/>
    <w:rsid w:val="00890C9C"/>
    <w:rsid w:val="00890CEA"/>
    <w:rsid w:val="00890D0A"/>
    <w:rsid w:val="00890D42"/>
    <w:rsid w:val="00890D51"/>
    <w:rsid w:val="00890D71"/>
    <w:rsid w:val="00890DB1"/>
    <w:rsid w:val="00890E4D"/>
    <w:rsid w:val="00890E81"/>
    <w:rsid w:val="00890E91"/>
    <w:rsid w:val="00890FA7"/>
    <w:rsid w:val="00890FBB"/>
    <w:rsid w:val="00891080"/>
    <w:rsid w:val="008910AC"/>
    <w:rsid w:val="00891133"/>
    <w:rsid w:val="00891195"/>
    <w:rsid w:val="008911B5"/>
    <w:rsid w:val="008913EB"/>
    <w:rsid w:val="0089146C"/>
    <w:rsid w:val="008914EF"/>
    <w:rsid w:val="00891581"/>
    <w:rsid w:val="008915B1"/>
    <w:rsid w:val="0089165A"/>
    <w:rsid w:val="0089166A"/>
    <w:rsid w:val="008916B2"/>
    <w:rsid w:val="008917A3"/>
    <w:rsid w:val="00891904"/>
    <w:rsid w:val="00891938"/>
    <w:rsid w:val="008919BA"/>
    <w:rsid w:val="00891B5B"/>
    <w:rsid w:val="00891B6F"/>
    <w:rsid w:val="00891B79"/>
    <w:rsid w:val="00891BBA"/>
    <w:rsid w:val="00891C27"/>
    <w:rsid w:val="00891D63"/>
    <w:rsid w:val="00891DA7"/>
    <w:rsid w:val="00891DE9"/>
    <w:rsid w:val="00891E3D"/>
    <w:rsid w:val="00891F5E"/>
    <w:rsid w:val="008920CB"/>
    <w:rsid w:val="00892187"/>
    <w:rsid w:val="00892196"/>
    <w:rsid w:val="008921B3"/>
    <w:rsid w:val="008922F5"/>
    <w:rsid w:val="00892300"/>
    <w:rsid w:val="00892353"/>
    <w:rsid w:val="0089236D"/>
    <w:rsid w:val="00892389"/>
    <w:rsid w:val="008923F1"/>
    <w:rsid w:val="00892468"/>
    <w:rsid w:val="008925BB"/>
    <w:rsid w:val="008925F3"/>
    <w:rsid w:val="00892655"/>
    <w:rsid w:val="00892698"/>
    <w:rsid w:val="0089273F"/>
    <w:rsid w:val="00892756"/>
    <w:rsid w:val="008927C9"/>
    <w:rsid w:val="008928C4"/>
    <w:rsid w:val="00892916"/>
    <w:rsid w:val="00892943"/>
    <w:rsid w:val="008929BD"/>
    <w:rsid w:val="008929DB"/>
    <w:rsid w:val="008929F7"/>
    <w:rsid w:val="00892B57"/>
    <w:rsid w:val="00892BE0"/>
    <w:rsid w:val="00892C1C"/>
    <w:rsid w:val="00892C3C"/>
    <w:rsid w:val="00892C7F"/>
    <w:rsid w:val="00892CAE"/>
    <w:rsid w:val="00892CBA"/>
    <w:rsid w:val="00892CC2"/>
    <w:rsid w:val="00892D27"/>
    <w:rsid w:val="00892D4B"/>
    <w:rsid w:val="00892DDD"/>
    <w:rsid w:val="00892F4A"/>
    <w:rsid w:val="00892F55"/>
    <w:rsid w:val="00892FC9"/>
    <w:rsid w:val="0089300A"/>
    <w:rsid w:val="0089311E"/>
    <w:rsid w:val="0089311F"/>
    <w:rsid w:val="00893128"/>
    <w:rsid w:val="00893183"/>
    <w:rsid w:val="0089322E"/>
    <w:rsid w:val="00893255"/>
    <w:rsid w:val="008932A2"/>
    <w:rsid w:val="008932FA"/>
    <w:rsid w:val="00893394"/>
    <w:rsid w:val="0089341E"/>
    <w:rsid w:val="00893429"/>
    <w:rsid w:val="00893576"/>
    <w:rsid w:val="008935BC"/>
    <w:rsid w:val="00893610"/>
    <w:rsid w:val="00893636"/>
    <w:rsid w:val="0089363A"/>
    <w:rsid w:val="0089374F"/>
    <w:rsid w:val="008937F3"/>
    <w:rsid w:val="00893834"/>
    <w:rsid w:val="0089383D"/>
    <w:rsid w:val="00893853"/>
    <w:rsid w:val="008938A7"/>
    <w:rsid w:val="008938D0"/>
    <w:rsid w:val="00893A09"/>
    <w:rsid w:val="00893A0A"/>
    <w:rsid w:val="00893A87"/>
    <w:rsid w:val="00893A93"/>
    <w:rsid w:val="00893AF7"/>
    <w:rsid w:val="00893CF8"/>
    <w:rsid w:val="00893EEB"/>
    <w:rsid w:val="008940C0"/>
    <w:rsid w:val="0089410C"/>
    <w:rsid w:val="00894165"/>
    <w:rsid w:val="0089416B"/>
    <w:rsid w:val="008941EB"/>
    <w:rsid w:val="008941EE"/>
    <w:rsid w:val="008942F9"/>
    <w:rsid w:val="008944F4"/>
    <w:rsid w:val="00894571"/>
    <w:rsid w:val="008945A2"/>
    <w:rsid w:val="008945D8"/>
    <w:rsid w:val="00894667"/>
    <w:rsid w:val="00894672"/>
    <w:rsid w:val="008946AC"/>
    <w:rsid w:val="008946DC"/>
    <w:rsid w:val="0089478A"/>
    <w:rsid w:val="008948D5"/>
    <w:rsid w:val="008948DE"/>
    <w:rsid w:val="0089493A"/>
    <w:rsid w:val="008949FE"/>
    <w:rsid w:val="00894AB9"/>
    <w:rsid w:val="00894ABA"/>
    <w:rsid w:val="00894AD1"/>
    <w:rsid w:val="00894B62"/>
    <w:rsid w:val="00894B91"/>
    <w:rsid w:val="00894BEA"/>
    <w:rsid w:val="00894C5F"/>
    <w:rsid w:val="00894C75"/>
    <w:rsid w:val="00894C79"/>
    <w:rsid w:val="00894D2D"/>
    <w:rsid w:val="00894D3A"/>
    <w:rsid w:val="00894D91"/>
    <w:rsid w:val="00894E10"/>
    <w:rsid w:val="00894EC9"/>
    <w:rsid w:val="00894ED3"/>
    <w:rsid w:val="00895039"/>
    <w:rsid w:val="008950A7"/>
    <w:rsid w:val="0089516F"/>
    <w:rsid w:val="008951AE"/>
    <w:rsid w:val="00895227"/>
    <w:rsid w:val="0089523C"/>
    <w:rsid w:val="00895262"/>
    <w:rsid w:val="008952AB"/>
    <w:rsid w:val="008952E5"/>
    <w:rsid w:val="008952ED"/>
    <w:rsid w:val="00895347"/>
    <w:rsid w:val="00895353"/>
    <w:rsid w:val="008954FD"/>
    <w:rsid w:val="0089551D"/>
    <w:rsid w:val="0089553F"/>
    <w:rsid w:val="008955C9"/>
    <w:rsid w:val="0089562E"/>
    <w:rsid w:val="0089564C"/>
    <w:rsid w:val="00895785"/>
    <w:rsid w:val="00895793"/>
    <w:rsid w:val="008957E4"/>
    <w:rsid w:val="008957EE"/>
    <w:rsid w:val="0089588E"/>
    <w:rsid w:val="008958A4"/>
    <w:rsid w:val="008958E3"/>
    <w:rsid w:val="00895912"/>
    <w:rsid w:val="0089597F"/>
    <w:rsid w:val="008959A4"/>
    <w:rsid w:val="008959A6"/>
    <w:rsid w:val="00895A3D"/>
    <w:rsid w:val="00895B46"/>
    <w:rsid w:val="00895B57"/>
    <w:rsid w:val="00895B7D"/>
    <w:rsid w:val="00895BA0"/>
    <w:rsid w:val="00895BB3"/>
    <w:rsid w:val="00895C7E"/>
    <w:rsid w:val="00895C8C"/>
    <w:rsid w:val="00895C9E"/>
    <w:rsid w:val="00895CCE"/>
    <w:rsid w:val="00895CF3"/>
    <w:rsid w:val="00895D49"/>
    <w:rsid w:val="00895D7D"/>
    <w:rsid w:val="00895E7A"/>
    <w:rsid w:val="00895E97"/>
    <w:rsid w:val="00895E99"/>
    <w:rsid w:val="00895EDD"/>
    <w:rsid w:val="00895EDF"/>
    <w:rsid w:val="00895FC7"/>
    <w:rsid w:val="00895FFE"/>
    <w:rsid w:val="00896022"/>
    <w:rsid w:val="0089604B"/>
    <w:rsid w:val="0089606A"/>
    <w:rsid w:val="0089609A"/>
    <w:rsid w:val="008960D5"/>
    <w:rsid w:val="00896112"/>
    <w:rsid w:val="00896134"/>
    <w:rsid w:val="00896135"/>
    <w:rsid w:val="00896196"/>
    <w:rsid w:val="008961D5"/>
    <w:rsid w:val="008961E5"/>
    <w:rsid w:val="008962FC"/>
    <w:rsid w:val="0089634B"/>
    <w:rsid w:val="00896387"/>
    <w:rsid w:val="008963A3"/>
    <w:rsid w:val="008963AB"/>
    <w:rsid w:val="0089643B"/>
    <w:rsid w:val="00896519"/>
    <w:rsid w:val="0089658C"/>
    <w:rsid w:val="008965DD"/>
    <w:rsid w:val="0089668C"/>
    <w:rsid w:val="008966CD"/>
    <w:rsid w:val="0089672E"/>
    <w:rsid w:val="008967A3"/>
    <w:rsid w:val="00896813"/>
    <w:rsid w:val="00896824"/>
    <w:rsid w:val="0089683C"/>
    <w:rsid w:val="008968D5"/>
    <w:rsid w:val="00896992"/>
    <w:rsid w:val="008969A0"/>
    <w:rsid w:val="00896A15"/>
    <w:rsid w:val="00896A74"/>
    <w:rsid w:val="00896A94"/>
    <w:rsid w:val="00896AB1"/>
    <w:rsid w:val="00896B00"/>
    <w:rsid w:val="00896B0C"/>
    <w:rsid w:val="00896C90"/>
    <w:rsid w:val="00896D51"/>
    <w:rsid w:val="00896D8A"/>
    <w:rsid w:val="00896E40"/>
    <w:rsid w:val="00896E4A"/>
    <w:rsid w:val="00896EDB"/>
    <w:rsid w:val="00896F39"/>
    <w:rsid w:val="0089702B"/>
    <w:rsid w:val="0089702F"/>
    <w:rsid w:val="0089704C"/>
    <w:rsid w:val="00897067"/>
    <w:rsid w:val="00897090"/>
    <w:rsid w:val="008970F1"/>
    <w:rsid w:val="0089716A"/>
    <w:rsid w:val="00897186"/>
    <w:rsid w:val="00897312"/>
    <w:rsid w:val="00897324"/>
    <w:rsid w:val="0089736C"/>
    <w:rsid w:val="008973D1"/>
    <w:rsid w:val="0089741E"/>
    <w:rsid w:val="0089747F"/>
    <w:rsid w:val="008974A0"/>
    <w:rsid w:val="008974B4"/>
    <w:rsid w:val="008974B7"/>
    <w:rsid w:val="008975CB"/>
    <w:rsid w:val="008975D4"/>
    <w:rsid w:val="00897615"/>
    <w:rsid w:val="00897654"/>
    <w:rsid w:val="0089766C"/>
    <w:rsid w:val="0089779B"/>
    <w:rsid w:val="008977EE"/>
    <w:rsid w:val="0089781D"/>
    <w:rsid w:val="00897881"/>
    <w:rsid w:val="008978E8"/>
    <w:rsid w:val="00897928"/>
    <w:rsid w:val="008979F8"/>
    <w:rsid w:val="00897AE8"/>
    <w:rsid w:val="00897BC2"/>
    <w:rsid w:val="00897C1B"/>
    <w:rsid w:val="00897C48"/>
    <w:rsid w:val="00897CB8"/>
    <w:rsid w:val="00897CCB"/>
    <w:rsid w:val="00897D25"/>
    <w:rsid w:val="00897D60"/>
    <w:rsid w:val="00897DAB"/>
    <w:rsid w:val="00897DEE"/>
    <w:rsid w:val="00897E22"/>
    <w:rsid w:val="00897E50"/>
    <w:rsid w:val="00897E51"/>
    <w:rsid w:val="00897E95"/>
    <w:rsid w:val="00897E97"/>
    <w:rsid w:val="00897FA3"/>
    <w:rsid w:val="00897FB4"/>
    <w:rsid w:val="00897FFD"/>
    <w:rsid w:val="008A002E"/>
    <w:rsid w:val="008A00D7"/>
    <w:rsid w:val="008A0113"/>
    <w:rsid w:val="008A0216"/>
    <w:rsid w:val="008A0287"/>
    <w:rsid w:val="008A0375"/>
    <w:rsid w:val="008A037D"/>
    <w:rsid w:val="008A03F4"/>
    <w:rsid w:val="008A0497"/>
    <w:rsid w:val="008A04BF"/>
    <w:rsid w:val="008A0513"/>
    <w:rsid w:val="008A0623"/>
    <w:rsid w:val="008A0675"/>
    <w:rsid w:val="008A068C"/>
    <w:rsid w:val="008A06BB"/>
    <w:rsid w:val="008A073F"/>
    <w:rsid w:val="008A0752"/>
    <w:rsid w:val="008A077C"/>
    <w:rsid w:val="008A0819"/>
    <w:rsid w:val="008A084B"/>
    <w:rsid w:val="008A087E"/>
    <w:rsid w:val="008A08AF"/>
    <w:rsid w:val="008A0939"/>
    <w:rsid w:val="008A0980"/>
    <w:rsid w:val="008A09BE"/>
    <w:rsid w:val="008A09D0"/>
    <w:rsid w:val="008A09F4"/>
    <w:rsid w:val="008A0AB4"/>
    <w:rsid w:val="008A0AE9"/>
    <w:rsid w:val="008A0B24"/>
    <w:rsid w:val="008A0B91"/>
    <w:rsid w:val="008A0BB6"/>
    <w:rsid w:val="008A0BC1"/>
    <w:rsid w:val="008A0C20"/>
    <w:rsid w:val="008A0D0E"/>
    <w:rsid w:val="008A0D44"/>
    <w:rsid w:val="008A0D82"/>
    <w:rsid w:val="008A0EA7"/>
    <w:rsid w:val="008A0F0C"/>
    <w:rsid w:val="008A0F32"/>
    <w:rsid w:val="008A1042"/>
    <w:rsid w:val="008A10BB"/>
    <w:rsid w:val="008A10C2"/>
    <w:rsid w:val="008A10C8"/>
    <w:rsid w:val="008A10CE"/>
    <w:rsid w:val="008A115C"/>
    <w:rsid w:val="008A1203"/>
    <w:rsid w:val="008A1255"/>
    <w:rsid w:val="008A1288"/>
    <w:rsid w:val="008A1289"/>
    <w:rsid w:val="008A12A3"/>
    <w:rsid w:val="008A130C"/>
    <w:rsid w:val="008A1358"/>
    <w:rsid w:val="008A135B"/>
    <w:rsid w:val="008A1380"/>
    <w:rsid w:val="008A1397"/>
    <w:rsid w:val="008A13CC"/>
    <w:rsid w:val="008A143C"/>
    <w:rsid w:val="008A1470"/>
    <w:rsid w:val="008A14D1"/>
    <w:rsid w:val="008A14F1"/>
    <w:rsid w:val="008A153D"/>
    <w:rsid w:val="008A1546"/>
    <w:rsid w:val="008A1549"/>
    <w:rsid w:val="008A16BB"/>
    <w:rsid w:val="008A1766"/>
    <w:rsid w:val="008A17D6"/>
    <w:rsid w:val="008A1819"/>
    <w:rsid w:val="008A1919"/>
    <w:rsid w:val="008A19A3"/>
    <w:rsid w:val="008A1A51"/>
    <w:rsid w:val="008A1A60"/>
    <w:rsid w:val="008A1AAA"/>
    <w:rsid w:val="008A1C17"/>
    <w:rsid w:val="008A1C4B"/>
    <w:rsid w:val="008A1CAC"/>
    <w:rsid w:val="008A1CC6"/>
    <w:rsid w:val="008A1D61"/>
    <w:rsid w:val="008A1DDD"/>
    <w:rsid w:val="008A1E3B"/>
    <w:rsid w:val="008A1EE8"/>
    <w:rsid w:val="008A1F08"/>
    <w:rsid w:val="008A1F83"/>
    <w:rsid w:val="008A1FA7"/>
    <w:rsid w:val="008A207B"/>
    <w:rsid w:val="008A20D0"/>
    <w:rsid w:val="008A2108"/>
    <w:rsid w:val="008A2120"/>
    <w:rsid w:val="008A212A"/>
    <w:rsid w:val="008A213E"/>
    <w:rsid w:val="008A2178"/>
    <w:rsid w:val="008A21AF"/>
    <w:rsid w:val="008A21B1"/>
    <w:rsid w:val="008A22AD"/>
    <w:rsid w:val="008A22BA"/>
    <w:rsid w:val="008A22EB"/>
    <w:rsid w:val="008A233E"/>
    <w:rsid w:val="008A23E9"/>
    <w:rsid w:val="008A2408"/>
    <w:rsid w:val="008A2449"/>
    <w:rsid w:val="008A249E"/>
    <w:rsid w:val="008A259F"/>
    <w:rsid w:val="008A25D2"/>
    <w:rsid w:val="008A25EC"/>
    <w:rsid w:val="008A264D"/>
    <w:rsid w:val="008A26A6"/>
    <w:rsid w:val="008A2748"/>
    <w:rsid w:val="008A2888"/>
    <w:rsid w:val="008A2906"/>
    <w:rsid w:val="008A2947"/>
    <w:rsid w:val="008A294A"/>
    <w:rsid w:val="008A2B03"/>
    <w:rsid w:val="008A2B34"/>
    <w:rsid w:val="008A2B37"/>
    <w:rsid w:val="008A2B8C"/>
    <w:rsid w:val="008A2C69"/>
    <w:rsid w:val="008A2CA5"/>
    <w:rsid w:val="008A2CDD"/>
    <w:rsid w:val="008A2D28"/>
    <w:rsid w:val="008A2DDC"/>
    <w:rsid w:val="008A2DFE"/>
    <w:rsid w:val="008A2E78"/>
    <w:rsid w:val="008A2E98"/>
    <w:rsid w:val="008A2F39"/>
    <w:rsid w:val="008A2FAA"/>
    <w:rsid w:val="008A30C4"/>
    <w:rsid w:val="008A328E"/>
    <w:rsid w:val="008A32BE"/>
    <w:rsid w:val="008A332F"/>
    <w:rsid w:val="008A34C4"/>
    <w:rsid w:val="008A355A"/>
    <w:rsid w:val="008A35AD"/>
    <w:rsid w:val="008A369A"/>
    <w:rsid w:val="008A370C"/>
    <w:rsid w:val="008A370E"/>
    <w:rsid w:val="008A3739"/>
    <w:rsid w:val="008A380A"/>
    <w:rsid w:val="008A3872"/>
    <w:rsid w:val="008A38BD"/>
    <w:rsid w:val="008A3925"/>
    <w:rsid w:val="008A3938"/>
    <w:rsid w:val="008A3A06"/>
    <w:rsid w:val="008A3A6D"/>
    <w:rsid w:val="008A3AB4"/>
    <w:rsid w:val="008A3B24"/>
    <w:rsid w:val="008A3B26"/>
    <w:rsid w:val="008A3B55"/>
    <w:rsid w:val="008A3C52"/>
    <w:rsid w:val="008A3D0A"/>
    <w:rsid w:val="008A3D11"/>
    <w:rsid w:val="008A3D31"/>
    <w:rsid w:val="008A3D7E"/>
    <w:rsid w:val="008A3D81"/>
    <w:rsid w:val="008A3E32"/>
    <w:rsid w:val="008A3E36"/>
    <w:rsid w:val="008A3F82"/>
    <w:rsid w:val="008A3FE2"/>
    <w:rsid w:val="008A4004"/>
    <w:rsid w:val="008A411B"/>
    <w:rsid w:val="008A41E0"/>
    <w:rsid w:val="008A4234"/>
    <w:rsid w:val="008A4248"/>
    <w:rsid w:val="008A4256"/>
    <w:rsid w:val="008A4260"/>
    <w:rsid w:val="008A4399"/>
    <w:rsid w:val="008A43E3"/>
    <w:rsid w:val="008A44B1"/>
    <w:rsid w:val="008A44C4"/>
    <w:rsid w:val="008A44F1"/>
    <w:rsid w:val="008A4577"/>
    <w:rsid w:val="008A45F5"/>
    <w:rsid w:val="008A468F"/>
    <w:rsid w:val="008A46DF"/>
    <w:rsid w:val="008A4718"/>
    <w:rsid w:val="008A4747"/>
    <w:rsid w:val="008A47B5"/>
    <w:rsid w:val="008A47BE"/>
    <w:rsid w:val="008A4885"/>
    <w:rsid w:val="008A48A2"/>
    <w:rsid w:val="008A48BD"/>
    <w:rsid w:val="008A4901"/>
    <w:rsid w:val="008A4940"/>
    <w:rsid w:val="008A4943"/>
    <w:rsid w:val="008A4997"/>
    <w:rsid w:val="008A49AE"/>
    <w:rsid w:val="008A4A13"/>
    <w:rsid w:val="008A4A50"/>
    <w:rsid w:val="008A4A87"/>
    <w:rsid w:val="008A4B33"/>
    <w:rsid w:val="008A4BFA"/>
    <w:rsid w:val="008A4C77"/>
    <w:rsid w:val="008A4D10"/>
    <w:rsid w:val="008A4D56"/>
    <w:rsid w:val="008A4DE1"/>
    <w:rsid w:val="008A4E2F"/>
    <w:rsid w:val="008A4E75"/>
    <w:rsid w:val="008A4EC9"/>
    <w:rsid w:val="008A4EEC"/>
    <w:rsid w:val="008A4F92"/>
    <w:rsid w:val="008A4FB7"/>
    <w:rsid w:val="008A5069"/>
    <w:rsid w:val="008A50E6"/>
    <w:rsid w:val="008A50F9"/>
    <w:rsid w:val="008A50FE"/>
    <w:rsid w:val="008A510B"/>
    <w:rsid w:val="008A5154"/>
    <w:rsid w:val="008A515E"/>
    <w:rsid w:val="008A5164"/>
    <w:rsid w:val="008A5188"/>
    <w:rsid w:val="008A51E5"/>
    <w:rsid w:val="008A5223"/>
    <w:rsid w:val="008A52D5"/>
    <w:rsid w:val="008A52FA"/>
    <w:rsid w:val="008A53F6"/>
    <w:rsid w:val="008A5409"/>
    <w:rsid w:val="008A542B"/>
    <w:rsid w:val="008A546C"/>
    <w:rsid w:val="008A54A1"/>
    <w:rsid w:val="008A5633"/>
    <w:rsid w:val="008A565C"/>
    <w:rsid w:val="008A5679"/>
    <w:rsid w:val="008A57B5"/>
    <w:rsid w:val="008A57DD"/>
    <w:rsid w:val="008A57E9"/>
    <w:rsid w:val="008A58A2"/>
    <w:rsid w:val="008A58BD"/>
    <w:rsid w:val="008A58CC"/>
    <w:rsid w:val="008A5A3E"/>
    <w:rsid w:val="008A5A8B"/>
    <w:rsid w:val="008A5B0B"/>
    <w:rsid w:val="008A5B37"/>
    <w:rsid w:val="008A5B3A"/>
    <w:rsid w:val="008A5B60"/>
    <w:rsid w:val="008A5BB9"/>
    <w:rsid w:val="008A5BCA"/>
    <w:rsid w:val="008A5C4C"/>
    <w:rsid w:val="008A5C4E"/>
    <w:rsid w:val="008A5C50"/>
    <w:rsid w:val="008A5C60"/>
    <w:rsid w:val="008A5CD3"/>
    <w:rsid w:val="008A5ED4"/>
    <w:rsid w:val="008A5EF7"/>
    <w:rsid w:val="008A5F34"/>
    <w:rsid w:val="008A5F48"/>
    <w:rsid w:val="008A6037"/>
    <w:rsid w:val="008A607D"/>
    <w:rsid w:val="008A608C"/>
    <w:rsid w:val="008A609F"/>
    <w:rsid w:val="008A614A"/>
    <w:rsid w:val="008A6183"/>
    <w:rsid w:val="008A6235"/>
    <w:rsid w:val="008A6242"/>
    <w:rsid w:val="008A6290"/>
    <w:rsid w:val="008A62A8"/>
    <w:rsid w:val="008A62EE"/>
    <w:rsid w:val="008A6309"/>
    <w:rsid w:val="008A6488"/>
    <w:rsid w:val="008A6496"/>
    <w:rsid w:val="008A6537"/>
    <w:rsid w:val="008A660C"/>
    <w:rsid w:val="008A66A0"/>
    <w:rsid w:val="008A6723"/>
    <w:rsid w:val="008A6739"/>
    <w:rsid w:val="008A6753"/>
    <w:rsid w:val="008A6834"/>
    <w:rsid w:val="008A68B8"/>
    <w:rsid w:val="008A68E9"/>
    <w:rsid w:val="008A68FC"/>
    <w:rsid w:val="008A6924"/>
    <w:rsid w:val="008A6964"/>
    <w:rsid w:val="008A6999"/>
    <w:rsid w:val="008A6A20"/>
    <w:rsid w:val="008A6A2F"/>
    <w:rsid w:val="008A6A84"/>
    <w:rsid w:val="008A6BAD"/>
    <w:rsid w:val="008A6BC0"/>
    <w:rsid w:val="008A6BC6"/>
    <w:rsid w:val="008A6BD7"/>
    <w:rsid w:val="008A6BDA"/>
    <w:rsid w:val="008A6BEF"/>
    <w:rsid w:val="008A6C4F"/>
    <w:rsid w:val="008A6D9F"/>
    <w:rsid w:val="008A6DCD"/>
    <w:rsid w:val="008A6E2B"/>
    <w:rsid w:val="008A6E61"/>
    <w:rsid w:val="008A6EEC"/>
    <w:rsid w:val="008A6FB7"/>
    <w:rsid w:val="008A6FF3"/>
    <w:rsid w:val="008A705B"/>
    <w:rsid w:val="008A7070"/>
    <w:rsid w:val="008A70E3"/>
    <w:rsid w:val="008A70FA"/>
    <w:rsid w:val="008A712F"/>
    <w:rsid w:val="008A7173"/>
    <w:rsid w:val="008A7249"/>
    <w:rsid w:val="008A728D"/>
    <w:rsid w:val="008A74E7"/>
    <w:rsid w:val="008A751D"/>
    <w:rsid w:val="008A7535"/>
    <w:rsid w:val="008A7581"/>
    <w:rsid w:val="008A75B0"/>
    <w:rsid w:val="008A7623"/>
    <w:rsid w:val="008A7638"/>
    <w:rsid w:val="008A764B"/>
    <w:rsid w:val="008A7675"/>
    <w:rsid w:val="008A76D4"/>
    <w:rsid w:val="008A78C4"/>
    <w:rsid w:val="008A7956"/>
    <w:rsid w:val="008A7975"/>
    <w:rsid w:val="008A79D0"/>
    <w:rsid w:val="008A7A31"/>
    <w:rsid w:val="008A7A74"/>
    <w:rsid w:val="008A7B2E"/>
    <w:rsid w:val="008A7BBC"/>
    <w:rsid w:val="008A7BEC"/>
    <w:rsid w:val="008A7C9D"/>
    <w:rsid w:val="008A7CE7"/>
    <w:rsid w:val="008A7D04"/>
    <w:rsid w:val="008A7D58"/>
    <w:rsid w:val="008A7D96"/>
    <w:rsid w:val="008A7DAB"/>
    <w:rsid w:val="008A7DAE"/>
    <w:rsid w:val="008A7DD6"/>
    <w:rsid w:val="008A7E38"/>
    <w:rsid w:val="008A7EC6"/>
    <w:rsid w:val="008A7F68"/>
    <w:rsid w:val="008B020B"/>
    <w:rsid w:val="008B0299"/>
    <w:rsid w:val="008B0358"/>
    <w:rsid w:val="008B0361"/>
    <w:rsid w:val="008B03FA"/>
    <w:rsid w:val="008B0565"/>
    <w:rsid w:val="008B0625"/>
    <w:rsid w:val="008B066F"/>
    <w:rsid w:val="008B068B"/>
    <w:rsid w:val="008B06E1"/>
    <w:rsid w:val="008B0714"/>
    <w:rsid w:val="008B0735"/>
    <w:rsid w:val="008B07AB"/>
    <w:rsid w:val="008B07BA"/>
    <w:rsid w:val="008B07CB"/>
    <w:rsid w:val="008B09E3"/>
    <w:rsid w:val="008B0A2F"/>
    <w:rsid w:val="008B0A3A"/>
    <w:rsid w:val="008B0A46"/>
    <w:rsid w:val="008B0AF0"/>
    <w:rsid w:val="008B0B51"/>
    <w:rsid w:val="008B0BC7"/>
    <w:rsid w:val="008B0D24"/>
    <w:rsid w:val="008B0D28"/>
    <w:rsid w:val="008B0D4F"/>
    <w:rsid w:val="008B0D9D"/>
    <w:rsid w:val="008B0DC4"/>
    <w:rsid w:val="008B0E84"/>
    <w:rsid w:val="008B0E88"/>
    <w:rsid w:val="008B0E9D"/>
    <w:rsid w:val="008B0FB9"/>
    <w:rsid w:val="008B0FE3"/>
    <w:rsid w:val="008B1032"/>
    <w:rsid w:val="008B115F"/>
    <w:rsid w:val="008B11F8"/>
    <w:rsid w:val="008B1203"/>
    <w:rsid w:val="008B1287"/>
    <w:rsid w:val="008B12C5"/>
    <w:rsid w:val="008B12E7"/>
    <w:rsid w:val="008B12E8"/>
    <w:rsid w:val="008B1370"/>
    <w:rsid w:val="008B1395"/>
    <w:rsid w:val="008B13BF"/>
    <w:rsid w:val="008B13DF"/>
    <w:rsid w:val="008B1406"/>
    <w:rsid w:val="008B14C0"/>
    <w:rsid w:val="008B1558"/>
    <w:rsid w:val="008B155E"/>
    <w:rsid w:val="008B1565"/>
    <w:rsid w:val="008B1569"/>
    <w:rsid w:val="008B15D2"/>
    <w:rsid w:val="008B162B"/>
    <w:rsid w:val="008B1692"/>
    <w:rsid w:val="008B16C6"/>
    <w:rsid w:val="008B178C"/>
    <w:rsid w:val="008B17A4"/>
    <w:rsid w:val="008B17A6"/>
    <w:rsid w:val="008B17AB"/>
    <w:rsid w:val="008B1856"/>
    <w:rsid w:val="008B1892"/>
    <w:rsid w:val="008B18AD"/>
    <w:rsid w:val="008B1929"/>
    <w:rsid w:val="008B1A7B"/>
    <w:rsid w:val="008B1B27"/>
    <w:rsid w:val="008B1B33"/>
    <w:rsid w:val="008B1B6F"/>
    <w:rsid w:val="008B1CEA"/>
    <w:rsid w:val="008B1D68"/>
    <w:rsid w:val="008B1DFE"/>
    <w:rsid w:val="008B1E64"/>
    <w:rsid w:val="008B1EA9"/>
    <w:rsid w:val="008B1EDF"/>
    <w:rsid w:val="008B1EE8"/>
    <w:rsid w:val="008B1EF1"/>
    <w:rsid w:val="008B1F4A"/>
    <w:rsid w:val="008B2083"/>
    <w:rsid w:val="008B20E1"/>
    <w:rsid w:val="008B2126"/>
    <w:rsid w:val="008B2173"/>
    <w:rsid w:val="008B219A"/>
    <w:rsid w:val="008B21FA"/>
    <w:rsid w:val="008B2204"/>
    <w:rsid w:val="008B226D"/>
    <w:rsid w:val="008B227F"/>
    <w:rsid w:val="008B229A"/>
    <w:rsid w:val="008B23A6"/>
    <w:rsid w:val="008B23C6"/>
    <w:rsid w:val="008B2408"/>
    <w:rsid w:val="008B245E"/>
    <w:rsid w:val="008B2579"/>
    <w:rsid w:val="008B25A6"/>
    <w:rsid w:val="008B2604"/>
    <w:rsid w:val="008B26F5"/>
    <w:rsid w:val="008B2746"/>
    <w:rsid w:val="008B2752"/>
    <w:rsid w:val="008B28CE"/>
    <w:rsid w:val="008B28D7"/>
    <w:rsid w:val="008B28FE"/>
    <w:rsid w:val="008B29D4"/>
    <w:rsid w:val="008B29F7"/>
    <w:rsid w:val="008B2A2E"/>
    <w:rsid w:val="008B2A92"/>
    <w:rsid w:val="008B2B77"/>
    <w:rsid w:val="008B2BE1"/>
    <w:rsid w:val="008B2C82"/>
    <w:rsid w:val="008B2CC9"/>
    <w:rsid w:val="008B2CDA"/>
    <w:rsid w:val="008B2D4C"/>
    <w:rsid w:val="008B2E1F"/>
    <w:rsid w:val="008B2E9B"/>
    <w:rsid w:val="008B2EE3"/>
    <w:rsid w:val="008B2EED"/>
    <w:rsid w:val="008B2F3E"/>
    <w:rsid w:val="008B2FB4"/>
    <w:rsid w:val="008B309D"/>
    <w:rsid w:val="008B3117"/>
    <w:rsid w:val="008B314A"/>
    <w:rsid w:val="008B31D3"/>
    <w:rsid w:val="008B3242"/>
    <w:rsid w:val="008B327C"/>
    <w:rsid w:val="008B3427"/>
    <w:rsid w:val="008B342C"/>
    <w:rsid w:val="008B348C"/>
    <w:rsid w:val="008B357B"/>
    <w:rsid w:val="008B35C2"/>
    <w:rsid w:val="008B360F"/>
    <w:rsid w:val="008B3642"/>
    <w:rsid w:val="008B366F"/>
    <w:rsid w:val="008B3680"/>
    <w:rsid w:val="008B368F"/>
    <w:rsid w:val="008B36B9"/>
    <w:rsid w:val="008B374D"/>
    <w:rsid w:val="008B37F3"/>
    <w:rsid w:val="008B3885"/>
    <w:rsid w:val="008B38D1"/>
    <w:rsid w:val="008B38EB"/>
    <w:rsid w:val="008B394C"/>
    <w:rsid w:val="008B3957"/>
    <w:rsid w:val="008B3981"/>
    <w:rsid w:val="008B39A8"/>
    <w:rsid w:val="008B39E5"/>
    <w:rsid w:val="008B3ADC"/>
    <w:rsid w:val="008B3B6B"/>
    <w:rsid w:val="008B3E34"/>
    <w:rsid w:val="008B3E4C"/>
    <w:rsid w:val="008B3EF9"/>
    <w:rsid w:val="008B3F87"/>
    <w:rsid w:val="008B3FE5"/>
    <w:rsid w:val="008B3FEC"/>
    <w:rsid w:val="008B4099"/>
    <w:rsid w:val="008B409D"/>
    <w:rsid w:val="008B4121"/>
    <w:rsid w:val="008B4148"/>
    <w:rsid w:val="008B425C"/>
    <w:rsid w:val="008B4274"/>
    <w:rsid w:val="008B428D"/>
    <w:rsid w:val="008B4294"/>
    <w:rsid w:val="008B42E2"/>
    <w:rsid w:val="008B436D"/>
    <w:rsid w:val="008B4376"/>
    <w:rsid w:val="008B439F"/>
    <w:rsid w:val="008B4435"/>
    <w:rsid w:val="008B44FF"/>
    <w:rsid w:val="008B46BC"/>
    <w:rsid w:val="008B487E"/>
    <w:rsid w:val="008B489A"/>
    <w:rsid w:val="008B48D9"/>
    <w:rsid w:val="008B4943"/>
    <w:rsid w:val="008B4A80"/>
    <w:rsid w:val="008B4A9A"/>
    <w:rsid w:val="008B4BEC"/>
    <w:rsid w:val="008B4C12"/>
    <w:rsid w:val="008B4C57"/>
    <w:rsid w:val="008B4CFE"/>
    <w:rsid w:val="008B4D01"/>
    <w:rsid w:val="008B4D38"/>
    <w:rsid w:val="008B4D46"/>
    <w:rsid w:val="008B4E0E"/>
    <w:rsid w:val="008B4E6E"/>
    <w:rsid w:val="008B4EA4"/>
    <w:rsid w:val="008B4F43"/>
    <w:rsid w:val="008B4F53"/>
    <w:rsid w:val="008B4F5B"/>
    <w:rsid w:val="008B4F9C"/>
    <w:rsid w:val="008B4FA5"/>
    <w:rsid w:val="008B50B4"/>
    <w:rsid w:val="008B50EE"/>
    <w:rsid w:val="008B5136"/>
    <w:rsid w:val="008B5209"/>
    <w:rsid w:val="008B5249"/>
    <w:rsid w:val="008B524B"/>
    <w:rsid w:val="008B5318"/>
    <w:rsid w:val="008B53D1"/>
    <w:rsid w:val="008B53D8"/>
    <w:rsid w:val="008B53E2"/>
    <w:rsid w:val="008B5404"/>
    <w:rsid w:val="008B5470"/>
    <w:rsid w:val="008B5524"/>
    <w:rsid w:val="008B5529"/>
    <w:rsid w:val="008B553D"/>
    <w:rsid w:val="008B5552"/>
    <w:rsid w:val="008B55CC"/>
    <w:rsid w:val="008B5662"/>
    <w:rsid w:val="008B5696"/>
    <w:rsid w:val="008B573C"/>
    <w:rsid w:val="008B5746"/>
    <w:rsid w:val="008B5785"/>
    <w:rsid w:val="008B57C6"/>
    <w:rsid w:val="008B57F9"/>
    <w:rsid w:val="008B582B"/>
    <w:rsid w:val="008B5874"/>
    <w:rsid w:val="008B5895"/>
    <w:rsid w:val="008B58BB"/>
    <w:rsid w:val="008B58D0"/>
    <w:rsid w:val="008B590C"/>
    <w:rsid w:val="008B5928"/>
    <w:rsid w:val="008B594D"/>
    <w:rsid w:val="008B5959"/>
    <w:rsid w:val="008B599A"/>
    <w:rsid w:val="008B5B20"/>
    <w:rsid w:val="008B5B50"/>
    <w:rsid w:val="008B5BBE"/>
    <w:rsid w:val="008B5C1F"/>
    <w:rsid w:val="008B5C48"/>
    <w:rsid w:val="008B5CA3"/>
    <w:rsid w:val="008B5D9C"/>
    <w:rsid w:val="008B5DCE"/>
    <w:rsid w:val="008B5E60"/>
    <w:rsid w:val="008B5E7B"/>
    <w:rsid w:val="008B5F16"/>
    <w:rsid w:val="008B5F1E"/>
    <w:rsid w:val="008B5F21"/>
    <w:rsid w:val="008B5FDB"/>
    <w:rsid w:val="008B6111"/>
    <w:rsid w:val="008B6112"/>
    <w:rsid w:val="008B6191"/>
    <w:rsid w:val="008B61DB"/>
    <w:rsid w:val="008B6230"/>
    <w:rsid w:val="008B6267"/>
    <w:rsid w:val="008B62BA"/>
    <w:rsid w:val="008B62E9"/>
    <w:rsid w:val="008B6309"/>
    <w:rsid w:val="008B6336"/>
    <w:rsid w:val="008B6341"/>
    <w:rsid w:val="008B648E"/>
    <w:rsid w:val="008B6499"/>
    <w:rsid w:val="008B65D0"/>
    <w:rsid w:val="008B6615"/>
    <w:rsid w:val="008B662C"/>
    <w:rsid w:val="008B66E4"/>
    <w:rsid w:val="008B670C"/>
    <w:rsid w:val="008B6778"/>
    <w:rsid w:val="008B684C"/>
    <w:rsid w:val="008B68AB"/>
    <w:rsid w:val="008B68F2"/>
    <w:rsid w:val="008B69F2"/>
    <w:rsid w:val="008B6A0C"/>
    <w:rsid w:val="008B6AA8"/>
    <w:rsid w:val="008B6AB5"/>
    <w:rsid w:val="008B6AB6"/>
    <w:rsid w:val="008B6B23"/>
    <w:rsid w:val="008B6BC1"/>
    <w:rsid w:val="008B6C25"/>
    <w:rsid w:val="008B6C33"/>
    <w:rsid w:val="008B6C52"/>
    <w:rsid w:val="008B6C8E"/>
    <w:rsid w:val="008B6CB4"/>
    <w:rsid w:val="008B6CB7"/>
    <w:rsid w:val="008B6D17"/>
    <w:rsid w:val="008B6D3E"/>
    <w:rsid w:val="008B6E68"/>
    <w:rsid w:val="008B6E89"/>
    <w:rsid w:val="008B6F13"/>
    <w:rsid w:val="008B6FCC"/>
    <w:rsid w:val="008B6FF8"/>
    <w:rsid w:val="008B7027"/>
    <w:rsid w:val="008B7071"/>
    <w:rsid w:val="008B70D9"/>
    <w:rsid w:val="008B70E6"/>
    <w:rsid w:val="008B7120"/>
    <w:rsid w:val="008B7126"/>
    <w:rsid w:val="008B7189"/>
    <w:rsid w:val="008B71E1"/>
    <w:rsid w:val="008B720D"/>
    <w:rsid w:val="008B7304"/>
    <w:rsid w:val="008B731F"/>
    <w:rsid w:val="008B7354"/>
    <w:rsid w:val="008B73AD"/>
    <w:rsid w:val="008B7472"/>
    <w:rsid w:val="008B751D"/>
    <w:rsid w:val="008B752A"/>
    <w:rsid w:val="008B7559"/>
    <w:rsid w:val="008B7572"/>
    <w:rsid w:val="008B759C"/>
    <w:rsid w:val="008B77F7"/>
    <w:rsid w:val="008B7801"/>
    <w:rsid w:val="008B7825"/>
    <w:rsid w:val="008B7830"/>
    <w:rsid w:val="008B785E"/>
    <w:rsid w:val="008B78FA"/>
    <w:rsid w:val="008B795F"/>
    <w:rsid w:val="008B79A9"/>
    <w:rsid w:val="008B79F5"/>
    <w:rsid w:val="008B7A02"/>
    <w:rsid w:val="008B7A78"/>
    <w:rsid w:val="008B7AA5"/>
    <w:rsid w:val="008B7AE3"/>
    <w:rsid w:val="008B7B03"/>
    <w:rsid w:val="008B7B1B"/>
    <w:rsid w:val="008B7B42"/>
    <w:rsid w:val="008B7B72"/>
    <w:rsid w:val="008B7C07"/>
    <w:rsid w:val="008B7D9B"/>
    <w:rsid w:val="008B7DAC"/>
    <w:rsid w:val="008B7DC2"/>
    <w:rsid w:val="008B7E2A"/>
    <w:rsid w:val="008B7E3C"/>
    <w:rsid w:val="008B7EB6"/>
    <w:rsid w:val="008B7EEA"/>
    <w:rsid w:val="008B7EED"/>
    <w:rsid w:val="008B7F29"/>
    <w:rsid w:val="008B7F5B"/>
    <w:rsid w:val="008C0011"/>
    <w:rsid w:val="008C0021"/>
    <w:rsid w:val="008C0081"/>
    <w:rsid w:val="008C00F3"/>
    <w:rsid w:val="008C02F6"/>
    <w:rsid w:val="008C0315"/>
    <w:rsid w:val="008C0338"/>
    <w:rsid w:val="008C06ED"/>
    <w:rsid w:val="008C0780"/>
    <w:rsid w:val="008C07BC"/>
    <w:rsid w:val="008C080A"/>
    <w:rsid w:val="008C084A"/>
    <w:rsid w:val="008C0868"/>
    <w:rsid w:val="008C08B0"/>
    <w:rsid w:val="008C08BB"/>
    <w:rsid w:val="008C08C1"/>
    <w:rsid w:val="008C0946"/>
    <w:rsid w:val="008C0A58"/>
    <w:rsid w:val="008C0AC1"/>
    <w:rsid w:val="008C0ADF"/>
    <w:rsid w:val="008C0B23"/>
    <w:rsid w:val="008C0BA1"/>
    <w:rsid w:val="008C0CED"/>
    <w:rsid w:val="008C0D90"/>
    <w:rsid w:val="008C0DBC"/>
    <w:rsid w:val="008C0E01"/>
    <w:rsid w:val="008C0E08"/>
    <w:rsid w:val="008C0E24"/>
    <w:rsid w:val="008C0EA4"/>
    <w:rsid w:val="008C0F3C"/>
    <w:rsid w:val="008C0F55"/>
    <w:rsid w:val="008C0F6D"/>
    <w:rsid w:val="008C0F8E"/>
    <w:rsid w:val="008C0FFB"/>
    <w:rsid w:val="008C0FFD"/>
    <w:rsid w:val="008C100F"/>
    <w:rsid w:val="008C101A"/>
    <w:rsid w:val="008C107B"/>
    <w:rsid w:val="008C108A"/>
    <w:rsid w:val="008C109F"/>
    <w:rsid w:val="008C10D9"/>
    <w:rsid w:val="008C10F6"/>
    <w:rsid w:val="008C110B"/>
    <w:rsid w:val="008C1216"/>
    <w:rsid w:val="008C1219"/>
    <w:rsid w:val="008C12C7"/>
    <w:rsid w:val="008C131C"/>
    <w:rsid w:val="008C1461"/>
    <w:rsid w:val="008C14C8"/>
    <w:rsid w:val="008C14D9"/>
    <w:rsid w:val="008C1518"/>
    <w:rsid w:val="008C15C2"/>
    <w:rsid w:val="008C1636"/>
    <w:rsid w:val="008C175E"/>
    <w:rsid w:val="008C177A"/>
    <w:rsid w:val="008C1782"/>
    <w:rsid w:val="008C17ED"/>
    <w:rsid w:val="008C180B"/>
    <w:rsid w:val="008C187D"/>
    <w:rsid w:val="008C19B8"/>
    <w:rsid w:val="008C1A50"/>
    <w:rsid w:val="008C1A53"/>
    <w:rsid w:val="008C1AB4"/>
    <w:rsid w:val="008C1ABB"/>
    <w:rsid w:val="008C1AE7"/>
    <w:rsid w:val="008C1C8A"/>
    <w:rsid w:val="008C1DFF"/>
    <w:rsid w:val="008C1E29"/>
    <w:rsid w:val="008C1E54"/>
    <w:rsid w:val="008C1EC9"/>
    <w:rsid w:val="008C1F35"/>
    <w:rsid w:val="008C1FDD"/>
    <w:rsid w:val="008C2002"/>
    <w:rsid w:val="008C2023"/>
    <w:rsid w:val="008C2040"/>
    <w:rsid w:val="008C207D"/>
    <w:rsid w:val="008C2240"/>
    <w:rsid w:val="008C227B"/>
    <w:rsid w:val="008C2290"/>
    <w:rsid w:val="008C235E"/>
    <w:rsid w:val="008C23E6"/>
    <w:rsid w:val="008C240E"/>
    <w:rsid w:val="008C241F"/>
    <w:rsid w:val="008C2421"/>
    <w:rsid w:val="008C24AF"/>
    <w:rsid w:val="008C24C3"/>
    <w:rsid w:val="008C2550"/>
    <w:rsid w:val="008C25C0"/>
    <w:rsid w:val="008C25D2"/>
    <w:rsid w:val="008C268B"/>
    <w:rsid w:val="008C26FA"/>
    <w:rsid w:val="008C277D"/>
    <w:rsid w:val="008C27C3"/>
    <w:rsid w:val="008C2802"/>
    <w:rsid w:val="008C2921"/>
    <w:rsid w:val="008C29BA"/>
    <w:rsid w:val="008C29BF"/>
    <w:rsid w:val="008C29C9"/>
    <w:rsid w:val="008C2A29"/>
    <w:rsid w:val="008C2A49"/>
    <w:rsid w:val="008C2AFC"/>
    <w:rsid w:val="008C2B26"/>
    <w:rsid w:val="008C2B73"/>
    <w:rsid w:val="008C2B76"/>
    <w:rsid w:val="008C2C5D"/>
    <w:rsid w:val="008C2C83"/>
    <w:rsid w:val="008C2CA1"/>
    <w:rsid w:val="008C2CE8"/>
    <w:rsid w:val="008C2CEE"/>
    <w:rsid w:val="008C2D10"/>
    <w:rsid w:val="008C2DCB"/>
    <w:rsid w:val="008C2EBE"/>
    <w:rsid w:val="008C2EE6"/>
    <w:rsid w:val="008C2F5C"/>
    <w:rsid w:val="008C2F67"/>
    <w:rsid w:val="008C2F83"/>
    <w:rsid w:val="008C2F9C"/>
    <w:rsid w:val="008C30A5"/>
    <w:rsid w:val="008C30AA"/>
    <w:rsid w:val="008C3109"/>
    <w:rsid w:val="008C3185"/>
    <w:rsid w:val="008C3189"/>
    <w:rsid w:val="008C31B0"/>
    <w:rsid w:val="008C3205"/>
    <w:rsid w:val="008C3286"/>
    <w:rsid w:val="008C32E6"/>
    <w:rsid w:val="008C32FC"/>
    <w:rsid w:val="008C3355"/>
    <w:rsid w:val="008C3373"/>
    <w:rsid w:val="008C35AD"/>
    <w:rsid w:val="008C36CD"/>
    <w:rsid w:val="008C3739"/>
    <w:rsid w:val="008C37D4"/>
    <w:rsid w:val="008C3825"/>
    <w:rsid w:val="008C3834"/>
    <w:rsid w:val="008C3892"/>
    <w:rsid w:val="008C38E6"/>
    <w:rsid w:val="008C39CB"/>
    <w:rsid w:val="008C39E3"/>
    <w:rsid w:val="008C3A07"/>
    <w:rsid w:val="008C3AC6"/>
    <w:rsid w:val="008C3C4A"/>
    <w:rsid w:val="008C3C7A"/>
    <w:rsid w:val="008C3CE3"/>
    <w:rsid w:val="008C3DC6"/>
    <w:rsid w:val="008C3E66"/>
    <w:rsid w:val="008C3E97"/>
    <w:rsid w:val="008C3EB8"/>
    <w:rsid w:val="008C3EE7"/>
    <w:rsid w:val="008C3F94"/>
    <w:rsid w:val="008C4009"/>
    <w:rsid w:val="008C401E"/>
    <w:rsid w:val="008C40F8"/>
    <w:rsid w:val="008C4130"/>
    <w:rsid w:val="008C425E"/>
    <w:rsid w:val="008C4274"/>
    <w:rsid w:val="008C430E"/>
    <w:rsid w:val="008C4424"/>
    <w:rsid w:val="008C4433"/>
    <w:rsid w:val="008C4479"/>
    <w:rsid w:val="008C44C6"/>
    <w:rsid w:val="008C4504"/>
    <w:rsid w:val="008C46A7"/>
    <w:rsid w:val="008C4756"/>
    <w:rsid w:val="008C47DE"/>
    <w:rsid w:val="008C481E"/>
    <w:rsid w:val="008C487C"/>
    <w:rsid w:val="008C48AD"/>
    <w:rsid w:val="008C4917"/>
    <w:rsid w:val="008C494A"/>
    <w:rsid w:val="008C49C2"/>
    <w:rsid w:val="008C49CE"/>
    <w:rsid w:val="008C4A20"/>
    <w:rsid w:val="008C4A4A"/>
    <w:rsid w:val="008C4A77"/>
    <w:rsid w:val="008C4AD6"/>
    <w:rsid w:val="008C4AED"/>
    <w:rsid w:val="008C4B21"/>
    <w:rsid w:val="008C4BB2"/>
    <w:rsid w:val="008C4BC3"/>
    <w:rsid w:val="008C4C42"/>
    <w:rsid w:val="008C4C43"/>
    <w:rsid w:val="008C4CC3"/>
    <w:rsid w:val="008C4D2E"/>
    <w:rsid w:val="008C4D6A"/>
    <w:rsid w:val="008C4DB8"/>
    <w:rsid w:val="008C4DBD"/>
    <w:rsid w:val="008C4DDD"/>
    <w:rsid w:val="008C4EEC"/>
    <w:rsid w:val="008C4F3D"/>
    <w:rsid w:val="008C506A"/>
    <w:rsid w:val="008C50C8"/>
    <w:rsid w:val="008C51E6"/>
    <w:rsid w:val="008C5289"/>
    <w:rsid w:val="008C528C"/>
    <w:rsid w:val="008C5290"/>
    <w:rsid w:val="008C52B6"/>
    <w:rsid w:val="008C5322"/>
    <w:rsid w:val="008C5387"/>
    <w:rsid w:val="008C53C4"/>
    <w:rsid w:val="008C5448"/>
    <w:rsid w:val="008C544F"/>
    <w:rsid w:val="008C546E"/>
    <w:rsid w:val="008C5510"/>
    <w:rsid w:val="008C5629"/>
    <w:rsid w:val="008C5672"/>
    <w:rsid w:val="008C568F"/>
    <w:rsid w:val="008C5692"/>
    <w:rsid w:val="008C576E"/>
    <w:rsid w:val="008C5790"/>
    <w:rsid w:val="008C57B5"/>
    <w:rsid w:val="008C588B"/>
    <w:rsid w:val="008C5899"/>
    <w:rsid w:val="008C59BE"/>
    <w:rsid w:val="008C59C9"/>
    <w:rsid w:val="008C5A04"/>
    <w:rsid w:val="008C5A81"/>
    <w:rsid w:val="008C5AC8"/>
    <w:rsid w:val="008C5AF7"/>
    <w:rsid w:val="008C5BA4"/>
    <w:rsid w:val="008C5BE2"/>
    <w:rsid w:val="008C5CB2"/>
    <w:rsid w:val="008C5CC1"/>
    <w:rsid w:val="008C5DC8"/>
    <w:rsid w:val="008C5E13"/>
    <w:rsid w:val="008C5E16"/>
    <w:rsid w:val="008C5E73"/>
    <w:rsid w:val="008C5F95"/>
    <w:rsid w:val="008C6092"/>
    <w:rsid w:val="008C6117"/>
    <w:rsid w:val="008C6156"/>
    <w:rsid w:val="008C616F"/>
    <w:rsid w:val="008C61C7"/>
    <w:rsid w:val="008C61EA"/>
    <w:rsid w:val="008C61FB"/>
    <w:rsid w:val="008C63DE"/>
    <w:rsid w:val="008C649F"/>
    <w:rsid w:val="008C651C"/>
    <w:rsid w:val="008C6552"/>
    <w:rsid w:val="008C6575"/>
    <w:rsid w:val="008C6649"/>
    <w:rsid w:val="008C6652"/>
    <w:rsid w:val="008C66C2"/>
    <w:rsid w:val="008C677A"/>
    <w:rsid w:val="008C67CD"/>
    <w:rsid w:val="008C68BF"/>
    <w:rsid w:val="008C68F0"/>
    <w:rsid w:val="008C6902"/>
    <w:rsid w:val="008C6950"/>
    <w:rsid w:val="008C69A6"/>
    <w:rsid w:val="008C69E5"/>
    <w:rsid w:val="008C69FF"/>
    <w:rsid w:val="008C6A23"/>
    <w:rsid w:val="008C6A52"/>
    <w:rsid w:val="008C6AC3"/>
    <w:rsid w:val="008C6B01"/>
    <w:rsid w:val="008C6B20"/>
    <w:rsid w:val="008C6B3B"/>
    <w:rsid w:val="008C6BA4"/>
    <w:rsid w:val="008C6C16"/>
    <w:rsid w:val="008C6C20"/>
    <w:rsid w:val="008C6C69"/>
    <w:rsid w:val="008C6D4A"/>
    <w:rsid w:val="008C6D52"/>
    <w:rsid w:val="008C6DF0"/>
    <w:rsid w:val="008C6E4C"/>
    <w:rsid w:val="008C6ECB"/>
    <w:rsid w:val="008C6EE2"/>
    <w:rsid w:val="008C7018"/>
    <w:rsid w:val="008C7045"/>
    <w:rsid w:val="008C7071"/>
    <w:rsid w:val="008C71CA"/>
    <w:rsid w:val="008C71F7"/>
    <w:rsid w:val="008C72BC"/>
    <w:rsid w:val="008C7312"/>
    <w:rsid w:val="008C7371"/>
    <w:rsid w:val="008C73A0"/>
    <w:rsid w:val="008C74C1"/>
    <w:rsid w:val="008C74C3"/>
    <w:rsid w:val="008C7506"/>
    <w:rsid w:val="008C7523"/>
    <w:rsid w:val="008C753D"/>
    <w:rsid w:val="008C7593"/>
    <w:rsid w:val="008C75D2"/>
    <w:rsid w:val="008C7740"/>
    <w:rsid w:val="008C7769"/>
    <w:rsid w:val="008C77AA"/>
    <w:rsid w:val="008C7844"/>
    <w:rsid w:val="008C7974"/>
    <w:rsid w:val="008C79B9"/>
    <w:rsid w:val="008C7AC5"/>
    <w:rsid w:val="008C7B1A"/>
    <w:rsid w:val="008C7B3A"/>
    <w:rsid w:val="008C7B6B"/>
    <w:rsid w:val="008C7B90"/>
    <w:rsid w:val="008C7C5F"/>
    <w:rsid w:val="008C7C70"/>
    <w:rsid w:val="008C7C8F"/>
    <w:rsid w:val="008C7CA9"/>
    <w:rsid w:val="008C7CF6"/>
    <w:rsid w:val="008C7D24"/>
    <w:rsid w:val="008C7D49"/>
    <w:rsid w:val="008C7D85"/>
    <w:rsid w:val="008C7DCA"/>
    <w:rsid w:val="008C7EE3"/>
    <w:rsid w:val="008D00E7"/>
    <w:rsid w:val="008D020E"/>
    <w:rsid w:val="008D02AF"/>
    <w:rsid w:val="008D02B9"/>
    <w:rsid w:val="008D02D1"/>
    <w:rsid w:val="008D0308"/>
    <w:rsid w:val="008D032A"/>
    <w:rsid w:val="008D0378"/>
    <w:rsid w:val="008D03D2"/>
    <w:rsid w:val="008D03FC"/>
    <w:rsid w:val="008D044D"/>
    <w:rsid w:val="008D0483"/>
    <w:rsid w:val="008D04F8"/>
    <w:rsid w:val="008D052D"/>
    <w:rsid w:val="008D0584"/>
    <w:rsid w:val="008D06C6"/>
    <w:rsid w:val="008D07E8"/>
    <w:rsid w:val="008D084E"/>
    <w:rsid w:val="008D08AD"/>
    <w:rsid w:val="008D08BB"/>
    <w:rsid w:val="008D08D3"/>
    <w:rsid w:val="008D0A0D"/>
    <w:rsid w:val="008D0A51"/>
    <w:rsid w:val="008D0AD0"/>
    <w:rsid w:val="008D0B74"/>
    <w:rsid w:val="008D0BAA"/>
    <w:rsid w:val="008D0BEB"/>
    <w:rsid w:val="008D0CF2"/>
    <w:rsid w:val="008D0D9C"/>
    <w:rsid w:val="008D0DBF"/>
    <w:rsid w:val="008D0E05"/>
    <w:rsid w:val="008D0EBB"/>
    <w:rsid w:val="008D0F3A"/>
    <w:rsid w:val="008D0F68"/>
    <w:rsid w:val="008D0F9C"/>
    <w:rsid w:val="008D10C8"/>
    <w:rsid w:val="008D10CC"/>
    <w:rsid w:val="008D1120"/>
    <w:rsid w:val="008D1177"/>
    <w:rsid w:val="008D11D9"/>
    <w:rsid w:val="008D11F0"/>
    <w:rsid w:val="008D1275"/>
    <w:rsid w:val="008D1299"/>
    <w:rsid w:val="008D12A0"/>
    <w:rsid w:val="008D12D6"/>
    <w:rsid w:val="008D12EC"/>
    <w:rsid w:val="008D13E6"/>
    <w:rsid w:val="008D1514"/>
    <w:rsid w:val="008D159B"/>
    <w:rsid w:val="008D15A9"/>
    <w:rsid w:val="008D16C1"/>
    <w:rsid w:val="008D172E"/>
    <w:rsid w:val="008D1813"/>
    <w:rsid w:val="008D189C"/>
    <w:rsid w:val="008D18DD"/>
    <w:rsid w:val="008D1978"/>
    <w:rsid w:val="008D19EE"/>
    <w:rsid w:val="008D1A49"/>
    <w:rsid w:val="008D1B43"/>
    <w:rsid w:val="008D1B51"/>
    <w:rsid w:val="008D1B9D"/>
    <w:rsid w:val="008D1BBF"/>
    <w:rsid w:val="008D1C06"/>
    <w:rsid w:val="008D1D52"/>
    <w:rsid w:val="008D1D6F"/>
    <w:rsid w:val="008D1D91"/>
    <w:rsid w:val="008D1E0F"/>
    <w:rsid w:val="008D1E1E"/>
    <w:rsid w:val="008D1E93"/>
    <w:rsid w:val="008D1EA0"/>
    <w:rsid w:val="008D1ED2"/>
    <w:rsid w:val="008D1EDE"/>
    <w:rsid w:val="008D1F1F"/>
    <w:rsid w:val="008D1F50"/>
    <w:rsid w:val="008D1F91"/>
    <w:rsid w:val="008D2032"/>
    <w:rsid w:val="008D204B"/>
    <w:rsid w:val="008D2057"/>
    <w:rsid w:val="008D20B5"/>
    <w:rsid w:val="008D20C6"/>
    <w:rsid w:val="008D20FB"/>
    <w:rsid w:val="008D213B"/>
    <w:rsid w:val="008D216D"/>
    <w:rsid w:val="008D21AF"/>
    <w:rsid w:val="008D21EC"/>
    <w:rsid w:val="008D221D"/>
    <w:rsid w:val="008D22A2"/>
    <w:rsid w:val="008D2309"/>
    <w:rsid w:val="008D2314"/>
    <w:rsid w:val="008D2330"/>
    <w:rsid w:val="008D2342"/>
    <w:rsid w:val="008D23B3"/>
    <w:rsid w:val="008D23EA"/>
    <w:rsid w:val="008D2407"/>
    <w:rsid w:val="008D2441"/>
    <w:rsid w:val="008D24A2"/>
    <w:rsid w:val="008D24EF"/>
    <w:rsid w:val="008D2557"/>
    <w:rsid w:val="008D25D1"/>
    <w:rsid w:val="008D260A"/>
    <w:rsid w:val="008D267E"/>
    <w:rsid w:val="008D26F0"/>
    <w:rsid w:val="008D2723"/>
    <w:rsid w:val="008D2746"/>
    <w:rsid w:val="008D2763"/>
    <w:rsid w:val="008D27C5"/>
    <w:rsid w:val="008D281D"/>
    <w:rsid w:val="008D28C2"/>
    <w:rsid w:val="008D2A4F"/>
    <w:rsid w:val="008D2A5A"/>
    <w:rsid w:val="008D2ABB"/>
    <w:rsid w:val="008D2AD4"/>
    <w:rsid w:val="008D2C36"/>
    <w:rsid w:val="008D2C3F"/>
    <w:rsid w:val="008D2C95"/>
    <w:rsid w:val="008D2C9E"/>
    <w:rsid w:val="008D2D02"/>
    <w:rsid w:val="008D2D9E"/>
    <w:rsid w:val="008D2E1C"/>
    <w:rsid w:val="008D2E4C"/>
    <w:rsid w:val="008D2E84"/>
    <w:rsid w:val="008D2ECA"/>
    <w:rsid w:val="008D2ED1"/>
    <w:rsid w:val="008D2EE5"/>
    <w:rsid w:val="008D3007"/>
    <w:rsid w:val="008D303B"/>
    <w:rsid w:val="008D30EA"/>
    <w:rsid w:val="008D3202"/>
    <w:rsid w:val="008D3305"/>
    <w:rsid w:val="008D330E"/>
    <w:rsid w:val="008D334F"/>
    <w:rsid w:val="008D33BC"/>
    <w:rsid w:val="008D33BE"/>
    <w:rsid w:val="008D33FE"/>
    <w:rsid w:val="008D34DE"/>
    <w:rsid w:val="008D3575"/>
    <w:rsid w:val="008D375D"/>
    <w:rsid w:val="008D3778"/>
    <w:rsid w:val="008D37EC"/>
    <w:rsid w:val="008D3842"/>
    <w:rsid w:val="008D38FC"/>
    <w:rsid w:val="008D394D"/>
    <w:rsid w:val="008D397D"/>
    <w:rsid w:val="008D3A19"/>
    <w:rsid w:val="008D3C01"/>
    <w:rsid w:val="008D3D31"/>
    <w:rsid w:val="008D3D3A"/>
    <w:rsid w:val="008D3DDD"/>
    <w:rsid w:val="008D3EB6"/>
    <w:rsid w:val="008D3EFE"/>
    <w:rsid w:val="008D3F2D"/>
    <w:rsid w:val="008D3FD6"/>
    <w:rsid w:val="008D403A"/>
    <w:rsid w:val="008D40CC"/>
    <w:rsid w:val="008D4162"/>
    <w:rsid w:val="008D4175"/>
    <w:rsid w:val="008D417A"/>
    <w:rsid w:val="008D41EF"/>
    <w:rsid w:val="008D420F"/>
    <w:rsid w:val="008D423B"/>
    <w:rsid w:val="008D426E"/>
    <w:rsid w:val="008D4271"/>
    <w:rsid w:val="008D4282"/>
    <w:rsid w:val="008D4286"/>
    <w:rsid w:val="008D42A6"/>
    <w:rsid w:val="008D42D1"/>
    <w:rsid w:val="008D4305"/>
    <w:rsid w:val="008D43AE"/>
    <w:rsid w:val="008D43B5"/>
    <w:rsid w:val="008D4406"/>
    <w:rsid w:val="008D4430"/>
    <w:rsid w:val="008D4457"/>
    <w:rsid w:val="008D4490"/>
    <w:rsid w:val="008D457A"/>
    <w:rsid w:val="008D4664"/>
    <w:rsid w:val="008D4787"/>
    <w:rsid w:val="008D479D"/>
    <w:rsid w:val="008D47DC"/>
    <w:rsid w:val="008D480D"/>
    <w:rsid w:val="008D4823"/>
    <w:rsid w:val="008D4872"/>
    <w:rsid w:val="008D4923"/>
    <w:rsid w:val="008D492E"/>
    <w:rsid w:val="008D498B"/>
    <w:rsid w:val="008D4B3A"/>
    <w:rsid w:val="008D4BCE"/>
    <w:rsid w:val="008D4C81"/>
    <w:rsid w:val="008D4D8C"/>
    <w:rsid w:val="008D4DFE"/>
    <w:rsid w:val="008D4E80"/>
    <w:rsid w:val="008D4EBC"/>
    <w:rsid w:val="008D5096"/>
    <w:rsid w:val="008D50AF"/>
    <w:rsid w:val="008D5167"/>
    <w:rsid w:val="008D5170"/>
    <w:rsid w:val="008D52D4"/>
    <w:rsid w:val="008D5320"/>
    <w:rsid w:val="008D5331"/>
    <w:rsid w:val="008D53B6"/>
    <w:rsid w:val="008D5445"/>
    <w:rsid w:val="008D5463"/>
    <w:rsid w:val="008D5515"/>
    <w:rsid w:val="008D5580"/>
    <w:rsid w:val="008D55CC"/>
    <w:rsid w:val="008D55D3"/>
    <w:rsid w:val="008D5671"/>
    <w:rsid w:val="008D56A9"/>
    <w:rsid w:val="008D56D5"/>
    <w:rsid w:val="008D570D"/>
    <w:rsid w:val="008D5743"/>
    <w:rsid w:val="008D574A"/>
    <w:rsid w:val="008D57C4"/>
    <w:rsid w:val="008D5899"/>
    <w:rsid w:val="008D58C4"/>
    <w:rsid w:val="008D59DB"/>
    <w:rsid w:val="008D5A66"/>
    <w:rsid w:val="008D5AFB"/>
    <w:rsid w:val="008D5B6A"/>
    <w:rsid w:val="008D5BCA"/>
    <w:rsid w:val="008D5C73"/>
    <w:rsid w:val="008D5CB0"/>
    <w:rsid w:val="008D5CC1"/>
    <w:rsid w:val="008D5D02"/>
    <w:rsid w:val="008D5D9C"/>
    <w:rsid w:val="008D5E24"/>
    <w:rsid w:val="008D5EFD"/>
    <w:rsid w:val="008D5F6A"/>
    <w:rsid w:val="008D5FEF"/>
    <w:rsid w:val="008D6096"/>
    <w:rsid w:val="008D60B8"/>
    <w:rsid w:val="008D629C"/>
    <w:rsid w:val="008D62A7"/>
    <w:rsid w:val="008D6335"/>
    <w:rsid w:val="008D639C"/>
    <w:rsid w:val="008D6440"/>
    <w:rsid w:val="008D64AE"/>
    <w:rsid w:val="008D660C"/>
    <w:rsid w:val="008D668E"/>
    <w:rsid w:val="008D6802"/>
    <w:rsid w:val="008D6806"/>
    <w:rsid w:val="008D687E"/>
    <w:rsid w:val="008D6896"/>
    <w:rsid w:val="008D695E"/>
    <w:rsid w:val="008D6984"/>
    <w:rsid w:val="008D69B8"/>
    <w:rsid w:val="008D6A98"/>
    <w:rsid w:val="008D6B69"/>
    <w:rsid w:val="008D6C26"/>
    <w:rsid w:val="008D6C7D"/>
    <w:rsid w:val="008D6CBC"/>
    <w:rsid w:val="008D6D59"/>
    <w:rsid w:val="008D6D8E"/>
    <w:rsid w:val="008D6DA5"/>
    <w:rsid w:val="008D6DB7"/>
    <w:rsid w:val="008D6E79"/>
    <w:rsid w:val="008D6ECC"/>
    <w:rsid w:val="008D6F59"/>
    <w:rsid w:val="008D6F92"/>
    <w:rsid w:val="008D7082"/>
    <w:rsid w:val="008D70B2"/>
    <w:rsid w:val="008D70FB"/>
    <w:rsid w:val="008D7138"/>
    <w:rsid w:val="008D715B"/>
    <w:rsid w:val="008D716B"/>
    <w:rsid w:val="008D722A"/>
    <w:rsid w:val="008D72ED"/>
    <w:rsid w:val="008D7329"/>
    <w:rsid w:val="008D7372"/>
    <w:rsid w:val="008D7414"/>
    <w:rsid w:val="008D7419"/>
    <w:rsid w:val="008D742B"/>
    <w:rsid w:val="008D7453"/>
    <w:rsid w:val="008D7473"/>
    <w:rsid w:val="008D74A7"/>
    <w:rsid w:val="008D74F9"/>
    <w:rsid w:val="008D7656"/>
    <w:rsid w:val="008D765C"/>
    <w:rsid w:val="008D7690"/>
    <w:rsid w:val="008D7763"/>
    <w:rsid w:val="008D7785"/>
    <w:rsid w:val="008D781F"/>
    <w:rsid w:val="008D7899"/>
    <w:rsid w:val="008D78D7"/>
    <w:rsid w:val="008D797C"/>
    <w:rsid w:val="008D7982"/>
    <w:rsid w:val="008D7986"/>
    <w:rsid w:val="008D7A00"/>
    <w:rsid w:val="008D7A25"/>
    <w:rsid w:val="008D7A3D"/>
    <w:rsid w:val="008D7A51"/>
    <w:rsid w:val="008D7AE5"/>
    <w:rsid w:val="008D7B1D"/>
    <w:rsid w:val="008D7B45"/>
    <w:rsid w:val="008D7B84"/>
    <w:rsid w:val="008D7BAB"/>
    <w:rsid w:val="008D7BFA"/>
    <w:rsid w:val="008D7D33"/>
    <w:rsid w:val="008D7D43"/>
    <w:rsid w:val="008D7D51"/>
    <w:rsid w:val="008D7E4E"/>
    <w:rsid w:val="008E00A7"/>
    <w:rsid w:val="008E015A"/>
    <w:rsid w:val="008E01D0"/>
    <w:rsid w:val="008E024D"/>
    <w:rsid w:val="008E0290"/>
    <w:rsid w:val="008E0317"/>
    <w:rsid w:val="008E0371"/>
    <w:rsid w:val="008E0423"/>
    <w:rsid w:val="008E0500"/>
    <w:rsid w:val="008E0502"/>
    <w:rsid w:val="008E0528"/>
    <w:rsid w:val="008E062A"/>
    <w:rsid w:val="008E062D"/>
    <w:rsid w:val="008E0674"/>
    <w:rsid w:val="008E06C4"/>
    <w:rsid w:val="008E0709"/>
    <w:rsid w:val="008E070A"/>
    <w:rsid w:val="008E085B"/>
    <w:rsid w:val="008E08D7"/>
    <w:rsid w:val="008E093D"/>
    <w:rsid w:val="008E0A07"/>
    <w:rsid w:val="008E0AF2"/>
    <w:rsid w:val="008E0B93"/>
    <w:rsid w:val="008E0BE0"/>
    <w:rsid w:val="008E0C09"/>
    <w:rsid w:val="008E0C42"/>
    <w:rsid w:val="008E0C51"/>
    <w:rsid w:val="008E0C98"/>
    <w:rsid w:val="008E0CA1"/>
    <w:rsid w:val="008E0CEE"/>
    <w:rsid w:val="008E0D54"/>
    <w:rsid w:val="008E0DC1"/>
    <w:rsid w:val="008E0DE8"/>
    <w:rsid w:val="008E0E0B"/>
    <w:rsid w:val="008E0E98"/>
    <w:rsid w:val="008E0F98"/>
    <w:rsid w:val="008E100D"/>
    <w:rsid w:val="008E1050"/>
    <w:rsid w:val="008E1152"/>
    <w:rsid w:val="008E117F"/>
    <w:rsid w:val="008E11A0"/>
    <w:rsid w:val="008E11C2"/>
    <w:rsid w:val="008E11E5"/>
    <w:rsid w:val="008E1292"/>
    <w:rsid w:val="008E1330"/>
    <w:rsid w:val="008E1334"/>
    <w:rsid w:val="008E13B7"/>
    <w:rsid w:val="008E13D0"/>
    <w:rsid w:val="008E1412"/>
    <w:rsid w:val="008E1486"/>
    <w:rsid w:val="008E14C0"/>
    <w:rsid w:val="008E14D0"/>
    <w:rsid w:val="008E14EF"/>
    <w:rsid w:val="008E1611"/>
    <w:rsid w:val="008E1621"/>
    <w:rsid w:val="008E167C"/>
    <w:rsid w:val="008E1692"/>
    <w:rsid w:val="008E1736"/>
    <w:rsid w:val="008E1738"/>
    <w:rsid w:val="008E1747"/>
    <w:rsid w:val="008E1782"/>
    <w:rsid w:val="008E17D0"/>
    <w:rsid w:val="008E17F5"/>
    <w:rsid w:val="008E1837"/>
    <w:rsid w:val="008E18CD"/>
    <w:rsid w:val="008E190C"/>
    <w:rsid w:val="008E198D"/>
    <w:rsid w:val="008E1A00"/>
    <w:rsid w:val="008E1A2D"/>
    <w:rsid w:val="008E1A33"/>
    <w:rsid w:val="008E1A53"/>
    <w:rsid w:val="008E1A69"/>
    <w:rsid w:val="008E1B81"/>
    <w:rsid w:val="008E1B82"/>
    <w:rsid w:val="008E1C0F"/>
    <w:rsid w:val="008E1C8E"/>
    <w:rsid w:val="008E1CB1"/>
    <w:rsid w:val="008E1D2B"/>
    <w:rsid w:val="008E1D50"/>
    <w:rsid w:val="008E1D52"/>
    <w:rsid w:val="008E1D90"/>
    <w:rsid w:val="008E1DA1"/>
    <w:rsid w:val="008E1F28"/>
    <w:rsid w:val="008E1F74"/>
    <w:rsid w:val="008E2013"/>
    <w:rsid w:val="008E2025"/>
    <w:rsid w:val="008E206B"/>
    <w:rsid w:val="008E2072"/>
    <w:rsid w:val="008E212F"/>
    <w:rsid w:val="008E2170"/>
    <w:rsid w:val="008E217E"/>
    <w:rsid w:val="008E218D"/>
    <w:rsid w:val="008E22FB"/>
    <w:rsid w:val="008E22FC"/>
    <w:rsid w:val="008E22FF"/>
    <w:rsid w:val="008E238C"/>
    <w:rsid w:val="008E2421"/>
    <w:rsid w:val="008E2484"/>
    <w:rsid w:val="008E2498"/>
    <w:rsid w:val="008E24C6"/>
    <w:rsid w:val="008E24C9"/>
    <w:rsid w:val="008E24D6"/>
    <w:rsid w:val="008E24F8"/>
    <w:rsid w:val="008E2504"/>
    <w:rsid w:val="008E2587"/>
    <w:rsid w:val="008E26C8"/>
    <w:rsid w:val="008E27AA"/>
    <w:rsid w:val="008E27F4"/>
    <w:rsid w:val="008E286B"/>
    <w:rsid w:val="008E288F"/>
    <w:rsid w:val="008E2896"/>
    <w:rsid w:val="008E28B8"/>
    <w:rsid w:val="008E2910"/>
    <w:rsid w:val="008E293B"/>
    <w:rsid w:val="008E2959"/>
    <w:rsid w:val="008E2990"/>
    <w:rsid w:val="008E29A1"/>
    <w:rsid w:val="008E29EB"/>
    <w:rsid w:val="008E2A87"/>
    <w:rsid w:val="008E2AC8"/>
    <w:rsid w:val="008E2AF0"/>
    <w:rsid w:val="008E2B2F"/>
    <w:rsid w:val="008E2B93"/>
    <w:rsid w:val="008E2BAD"/>
    <w:rsid w:val="008E2BBE"/>
    <w:rsid w:val="008E2CEE"/>
    <w:rsid w:val="008E2CF7"/>
    <w:rsid w:val="008E2D22"/>
    <w:rsid w:val="008E2D6B"/>
    <w:rsid w:val="008E2D74"/>
    <w:rsid w:val="008E2D9B"/>
    <w:rsid w:val="008E2EF0"/>
    <w:rsid w:val="008E3014"/>
    <w:rsid w:val="008E30B6"/>
    <w:rsid w:val="008E30D8"/>
    <w:rsid w:val="008E30DE"/>
    <w:rsid w:val="008E3185"/>
    <w:rsid w:val="008E319E"/>
    <w:rsid w:val="008E31C0"/>
    <w:rsid w:val="008E31F9"/>
    <w:rsid w:val="008E322C"/>
    <w:rsid w:val="008E3320"/>
    <w:rsid w:val="008E3346"/>
    <w:rsid w:val="008E3352"/>
    <w:rsid w:val="008E3362"/>
    <w:rsid w:val="008E337B"/>
    <w:rsid w:val="008E3443"/>
    <w:rsid w:val="008E349F"/>
    <w:rsid w:val="008E353D"/>
    <w:rsid w:val="008E3677"/>
    <w:rsid w:val="008E36A8"/>
    <w:rsid w:val="008E374C"/>
    <w:rsid w:val="008E3752"/>
    <w:rsid w:val="008E3758"/>
    <w:rsid w:val="008E3787"/>
    <w:rsid w:val="008E37C1"/>
    <w:rsid w:val="008E37F5"/>
    <w:rsid w:val="008E3836"/>
    <w:rsid w:val="008E3864"/>
    <w:rsid w:val="008E38A3"/>
    <w:rsid w:val="008E38E4"/>
    <w:rsid w:val="008E38F6"/>
    <w:rsid w:val="008E3957"/>
    <w:rsid w:val="008E39C8"/>
    <w:rsid w:val="008E39E1"/>
    <w:rsid w:val="008E39EB"/>
    <w:rsid w:val="008E3A54"/>
    <w:rsid w:val="008E3A57"/>
    <w:rsid w:val="008E3AA2"/>
    <w:rsid w:val="008E3B65"/>
    <w:rsid w:val="008E3BE4"/>
    <w:rsid w:val="008E3C83"/>
    <w:rsid w:val="008E3CE7"/>
    <w:rsid w:val="008E3D35"/>
    <w:rsid w:val="008E3D6F"/>
    <w:rsid w:val="008E3E32"/>
    <w:rsid w:val="008E3E71"/>
    <w:rsid w:val="008E3ECA"/>
    <w:rsid w:val="008E3EED"/>
    <w:rsid w:val="008E4006"/>
    <w:rsid w:val="008E41F0"/>
    <w:rsid w:val="008E4202"/>
    <w:rsid w:val="008E4218"/>
    <w:rsid w:val="008E4285"/>
    <w:rsid w:val="008E4328"/>
    <w:rsid w:val="008E4335"/>
    <w:rsid w:val="008E43E2"/>
    <w:rsid w:val="008E4400"/>
    <w:rsid w:val="008E4410"/>
    <w:rsid w:val="008E4421"/>
    <w:rsid w:val="008E454F"/>
    <w:rsid w:val="008E4576"/>
    <w:rsid w:val="008E45DC"/>
    <w:rsid w:val="008E45E9"/>
    <w:rsid w:val="008E4727"/>
    <w:rsid w:val="008E472A"/>
    <w:rsid w:val="008E473B"/>
    <w:rsid w:val="008E477E"/>
    <w:rsid w:val="008E479E"/>
    <w:rsid w:val="008E4888"/>
    <w:rsid w:val="008E48F2"/>
    <w:rsid w:val="008E4917"/>
    <w:rsid w:val="008E49F3"/>
    <w:rsid w:val="008E4A20"/>
    <w:rsid w:val="008E4A26"/>
    <w:rsid w:val="008E4A28"/>
    <w:rsid w:val="008E4A75"/>
    <w:rsid w:val="008E4A8A"/>
    <w:rsid w:val="008E4AEC"/>
    <w:rsid w:val="008E4B2C"/>
    <w:rsid w:val="008E4B5D"/>
    <w:rsid w:val="008E4B83"/>
    <w:rsid w:val="008E4D6A"/>
    <w:rsid w:val="008E4E19"/>
    <w:rsid w:val="008E4F3D"/>
    <w:rsid w:val="008E4FE5"/>
    <w:rsid w:val="008E5060"/>
    <w:rsid w:val="008E506A"/>
    <w:rsid w:val="008E5092"/>
    <w:rsid w:val="008E51B2"/>
    <w:rsid w:val="008E5213"/>
    <w:rsid w:val="008E5227"/>
    <w:rsid w:val="008E5231"/>
    <w:rsid w:val="008E53FD"/>
    <w:rsid w:val="008E542C"/>
    <w:rsid w:val="008E5604"/>
    <w:rsid w:val="008E5612"/>
    <w:rsid w:val="008E5614"/>
    <w:rsid w:val="008E572C"/>
    <w:rsid w:val="008E57BA"/>
    <w:rsid w:val="008E57F1"/>
    <w:rsid w:val="008E58C6"/>
    <w:rsid w:val="008E58CE"/>
    <w:rsid w:val="008E59FB"/>
    <w:rsid w:val="008E5AE9"/>
    <w:rsid w:val="008E5AED"/>
    <w:rsid w:val="008E5B24"/>
    <w:rsid w:val="008E5C10"/>
    <w:rsid w:val="008E5C65"/>
    <w:rsid w:val="008E5D02"/>
    <w:rsid w:val="008E5D10"/>
    <w:rsid w:val="008E5D1D"/>
    <w:rsid w:val="008E5DAA"/>
    <w:rsid w:val="008E5DC0"/>
    <w:rsid w:val="008E5DF6"/>
    <w:rsid w:val="008E5DFE"/>
    <w:rsid w:val="008E5E2E"/>
    <w:rsid w:val="008E5E7E"/>
    <w:rsid w:val="008E5E87"/>
    <w:rsid w:val="008E5E9A"/>
    <w:rsid w:val="008E5EA7"/>
    <w:rsid w:val="008E5EA9"/>
    <w:rsid w:val="008E6046"/>
    <w:rsid w:val="008E605F"/>
    <w:rsid w:val="008E60CF"/>
    <w:rsid w:val="008E60D0"/>
    <w:rsid w:val="008E615F"/>
    <w:rsid w:val="008E617C"/>
    <w:rsid w:val="008E61DE"/>
    <w:rsid w:val="008E626D"/>
    <w:rsid w:val="008E6296"/>
    <w:rsid w:val="008E631A"/>
    <w:rsid w:val="008E6323"/>
    <w:rsid w:val="008E6366"/>
    <w:rsid w:val="008E63B4"/>
    <w:rsid w:val="008E63B5"/>
    <w:rsid w:val="008E640A"/>
    <w:rsid w:val="008E646A"/>
    <w:rsid w:val="008E6514"/>
    <w:rsid w:val="008E6559"/>
    <w:rsid w:val="008E657B"/>
    <w:rsid w:val="008E65B4"/>
    <w:rsid w:val="008E6641"/>
    <w:rsid w:val="008E6646"/>
    <w:rsid w:val="008E66E7"/>
    <w:rsid w:val="008E66FB"/>
    <w:rsid w:val="008E6770"/>
    <w:rsid w:val="008E678C"/>
    <w:rsid w:val="008E67FF"/>
    <w:rsid w:val="008E6800"/>
    <w:rsid w:val="008E6833"/>
    <w:rsid w:val="008E6A28"/>
    <w:rsid w:val="008E6A37"/>
    <w:rsid w:val="008E6ADD"/>
    <w:rsid w:val="008E6AE3"/>
    <w:rsid w:val="008E6B0E"/>
    <w:rsid w:val="008E6B11"/>
    <w:rsid w:val="008E6BAD"/>
    <w:rsid w:val="008E6C41"/>
    <w:rsid w:val="008E6CD1"/>
    <w:rsid w:val="008E6CF8"/>
    <w:rsid w:val="008E6D04"/>
    <w:rsid w:val="008E6D4D"/>
    <w:rsid w:val="008E6DFA"/>
    <w:rsid w:val="008E6E2C"/>
    <w:rsid w:val="008E6E73"/>
    <w:rsid w:val="008E6E7A"/>
    <w:rsid w:val="008E6E8F"/>
    <w:rsid w:val="008E70D3"/>
    <w:rsid w:val="008E71B3"/>
    <w:rsid w:val="008E7268"/>
    <w:rsid w:val="008E72E1"/>
    <w:rsid w:val="008E73A0"/>
    <w:rsid w:val="008E748D"/>
    <w:rsid w:val="008E74B3"/>
    <w:rsid w:val="008E74BA"/>
    <w:rsid w:val="008E74C8"/>
    <w:rsid w:val="008E74F8"/>
    <w:rsid w:val="008E753E"/>
    <w:rsid w:val="008E75AA"/>
    <w:rsid w:val="008E75F6"/>
    <w:rsid w:val="008E7627"/>
    <w:rsid w:val="008E76D3"/>
    <w:rsid w:val="008E76DD"/>
    <w:rsid w:val="008E773C"/>
    <w:rsid w:val="008E7768"/>
    <w:rsid w:val="008E7775"/>
    <w:rsid w:val="008E7845"/>
    <w:rsid w:val="008E784A"/>
    <w:rsid w:val="008E78D6"/>
    <w:rsid w:val="008E78FF"/>
    <w:rsid w:val="008E7936"/>
    <w:rsid w:val="008E7972"/>
    <w:rsid w:val="008E799D"/>
    <w:rsid w:val="008E79E1"/>
    <w:rsid w:val="008E7A21"/>
    <w:rsid w:val="008E7A57"/>
    <w:rsid w:val="008E7A5A"/>
    <w:rsid w:val="008E7B4F"/>
    <w:rsid w:val="008E7B67"/>
    <w:rsid w:val="008E7B91"/>
    <w:rsid w:val="008E7B9F"/>
    <w:rsid w:val="008E7BE8"/>
    <w:rsid w:val="008E7BEF"/>
    <w:rsid w:val="008E7C20"/>
    <w:rsid w:val="008E7C87"/>
    <w:rsid w:val="008E7CE4"/>
    <w:rsid w:val="008E7CEE"/>
    <w:rsid w:val="008E7D0F"/>
    <w:rsid w:val="008E7D10"/>
    <w:rsid w:val="008E7D4E"/>
    <w:rsid w:val="008E7D79"/>
    <w:rsid w:val="008E7D97"/>
    <w:rsid w:val="008E7DC1"/>
    <w:rsid w:val="008E7DFD"/>
    <w:rsid w:val="008E7F04"/>
    <w:rsid w:val="008E7FB2"/>
    <w:rsid w:val="008E7FBC"/>
    <w:rsid w:val="008EE665"/>
    <w:rsid w:val="008F0018"/>
    <w:rsid w:val="008F0081"/>
    <w:rsid w:val="008F0094"/>
    <w:rsid w:val="008F011E"/>
    <w:rsid w:val="008F012A"/>
    <w:rsid w:val="008F013D"/>
    <w:rsid w:val="008F01C7"/>
    <w:rsid w:val="008F021B"/>
    <w:rsid w:val="008F0222"/>
    <w:rsid w:val="008F02C9"/>
    <w:rsid w:val="008F02DD"/>
    <w:rsid w:val="008F03BA"/>
    <w:rsid w:val="008F04B1"/>
    <w:rsid w:val="008F04D3"/>
    <w:rsid w:val="008F05F0"/>
    <w:rsid w:val="008F05F9"/>
    <w:rsid w:val="008F0637"/>
    <w:rsid w:val="008F0664"/>
    <w:rsid w:val="008F070B"/>
    <w:rsid w:val="008F0730"/>
    <w:rsid w:val="008F075C"/>
    <w:rsid w:val="008F078D"/>
    <w:rsid w:val="008F07DE"/>
    <w:rsid w:val="008F0857"/>
    <w:rsid w:val="008F087B"/>
    <w:rsid w:val="008F0A14"/>
    <w:rsid w:val="008F0AAB"/>
    <w:rsid w:val="008F0B2E"/>
    <w:rsid w:val="008F0B8B"/>
    <w:rsid w:val="008F0C21"/>
    <w:rsid w:val="008F0C57"/>
    <w:rsid w:val="008F0C6B"/>
    <w:rsid w:val="008F0CE0"/>
    <w:rsid w:val="008F0D6B"/>
    <w:rsid w:val="008F0DE2"/>
    <w:rsid w:val="008F0E32"/>
    <w:rsid w:val="008F0E5A"/>
    <w:rsid w:val="008F0ED1"/>
    <w:rsid w:val="008F0EDE"/>
    <w:rsid w:val="008F0FD5"/>
    <w:rsid w:val="008F106C"/>
    <w:rsid w:val="008F10F6"/>
    <w:rsid w:val="008F10FD"/>
    <w:rsid w:val="008F1102"/>
    <w:rsid w:val="008F1135"/>
    <w:rsid w:val="008F1176"/>
    <w:rsid w:val="008F11B8"/>
    <w:rsid w:val="008F11CB"/>
    <w:rsid w:val="008F12A7"/>
    <w:rsid w:val="008F12AF"/>
    <w:rsid w:val="008F12E5"/>
    <w:rsid w:val="008F12EE"/>
    <w:rsid w:val="008F12F0"/>
    <w:rsid w:val="008F13BF"/>
    <w:rsid w:val="008F14F4"/>
    <w:rsid w:val="008F14FA"/>
    <w:rsid w:val="008F15E7"/>
    <w:rsid w:val="008F168D"/>
    <w:rsid w:val="008F1786"/>
    <w:rsid w:val="008F1791"/>
    <w:rsid w:val="008F17DC"/>
    <w:rsid w:val="008F1805"/>
    <w:rsid w:val="008F1885"/>
    <w:rsid w:val="008F18DE"/>
    <w:rsid w:val="008F19B2"/>
    <w:rsid w:val="008F1A05"/>
    <w:rsid w:val="008F1AFB"/>
    <w:rsid w:val="008F1B59"/>
    <w:rsid w:val="008F1B8F"/>
    <w:rsid w:val="008F1C43"/>
    <w:rsid w:val="008F1C54"/>
    <w:rsid w:val="008F1D7B"/>
    <w:rsid w:val="008F1E05"/>
    <w:rsid w:val="008F1E9A"/>
    <w:rsid w:val="008F2041"/>
    <w:rsid w:val="008F2068"/>
    <w:rsid w:val="008F2072"/>
    <w:rsid w:val="008F2185"/>
    <w:rsid w:val="008F2211"/>
    <w:rsid w:val="008F2311"/>
    <w:rsid w:val="008F23BC"/>
    <w:rsid w:val="008F2571"/>
    <w:rsid w:val="008F2605"/>
    <w:rsid w:val="008F261D"/>
    <w:rsid w:val="008F26A2"/>
    <w:rsid w:val="008F27DC"/>
    <w:rsid w:val="008F2895"/>
    <w:rsid w:val="008F290F"/>
    <w:rsid w:val="008F2A0B"/>
    <w:rsid w:val="008F2A75"/>
    <w:rsid w:val="008F2A77"/>
    <w:rsid w:val="008F2C29"/>
    <w:rsid w:val="008F2C80"/>
    <w:rsid w:val="008F2CFD"/>
    <w:rsid w:val="008F2D43"/>
    <w:rsid w:val="008F2E0D"/>
    <w:rsid w:val="008F2F23"/>
    <w:rsid w:val="008F2F60"/>
    <w:rsid w:val="008F2F85"/>
    <w:rsid w:val="008F2F88"/>
    <w:rsid w:val="008F2FA0"/>
    <w:rsid w:val="008F3085"/>
    <w:rsid w:val="008F30E1"/>
    <w:rsid w:val="008F30FF"/>
    <w:rsid w:val="008F3161"/>
    <w:rsid w:val="008F3234"/>
    <w:rsid w:val="008F3243"/>
    <w:rsid w:val="008F3283"/>
    <w:rsid w:val="008F32C1"/>
    <w:rsid w:val="008F3333"/>
    <w:rsid w:val="008F3343"/>
    <w:rsid w:val="008F338E"/>
    <w:rsid w:val="008F33EF"/>
    <w:rsid w:val="008F3429"/>
    <w:rsid w:val="008F342D"/>
    <w:rsid w:val="008F3482"/>
    <w:rsid w:val="008F350C"/>
    <w:rsid w:val="008F3526"/>
    <w:rsid w:val="008F35A0"/>
    <w:rsid w:val="008F35FD"/>
    <w:rsid w:val="008F36E3"/>
    <w:rsid w:val="008F36EF"/>
    <w:rsid w:val="008F3706"/>
    <w:rsid w:val="008F3728"/>
    <w:rsid w:val="008F3763"/>
    <w:rsid w:val="008F37F3"/>
    <w:rsid w:val="008F388A"/>
    <w:rsid w:val="008F3897"/>
    <w:rsid w:val="008F38A7"/>
    <w:rsid w:val="008F38B4"/>
    <w:rsid w:val="008F38BA"/>
    <w:rsid w:val="008F3954"/>
    <w:rsid w:val="008F3A40"/>
    <w:rsid w:val="008F3AA4"/>
    <w:rsid w:val="008F3AA6"/>
    <w:rsid w:val="008F3B01"/>
    <w:rsid w:val="008F3B36"/>
    <w:rsid w:val="008F3BAC"/>
    <w:rsid w:val="008F3CBC"/>
    <w:rsid w:val="008F3CD7"/>
    <w:rsid w:val="008F3CED"/>
    <w:rsid w:val="008F3D41"/>
    <w:rsid w:val="008F3ED2"/>
    <w:rsid w:val="008F401D"/>
    <w:rsid w:val="008F403D"/>
    <w:rsid w:val="008F414D"/>
    <w:rsid w:val="008F4151"/>
    <w:rsid w:val="008F4199"/>
    <w:rsid w:val="008F41AB"/>
    <w:rsid w:val="008F424A"/>
    <w:rsid w:val="008F42B1"/>
    <w:rsid w:val="008F42FA"/>
    <w:rsid w:val="008F430B"/>
    <w:rsid w:val="008F455B"/>
    <w:rsid w:val="008F45AC"/>
    <w:rsid w:val="008F4609"/>
    <w:rsid w:val="008F4625"/>
    <w:rsid w:val="008F4651"/>
    <w:rsid w:val="008F47F6"/>
    <w:rsid w:val="008F480B"/>
    <w:rsid w:val="008F4899"/>
    <w:rsid w:val="008F497D"/>
    <w:rsid w:val="008F498E"/>
    <w:rsid w:val="008F4994"/>
    <w:rsid w:val="008F49F0"/>
    <w:rsid w:val="008F4A8F"/>
    <w:rsid w:val="008F4AD3"/>
    <w:rsid w:val="008F4BB9"/>
    <w:rsid w:val="008F4BDB"/>
    <w:rsid w:val="008F4BF9"/>
    <w:rsid w:val="008F4CA8"/>
    <w:rsid w:val="008F4CF2"/>
    <w:rsid w:val="008F4DEB"/>
    <w:rsid w:val="008F4E70"/>
    <w:rsid w:val="008F4EB8"/>
    <w:rsid w:val="008F4EBE"/>
    <w:rsid w:val="008F4EC0"/>
    <w:rsid w:val="008F4EFF"/>
    <w:rsid w:val="008F4F3A"/>
    <w:rsid w:val="008F4FAB"/>
    <w:rsid w:val="008F4FFD"/>
    <w:rsid w:val="008F5048"/>
    <w:rsid w:val="008F5084"/>
    <w:rsid w:val="008F50DB"/>
    <w:rsid w:val="008F51FE"/>
    <w:rsid w:val="008F52B4"/>
    <w:rsid w:val="008F531A"/>
    <w:rsid w:val="008F533D"/>
    <w:rsid w:val="008F53FA"/>
    <w:rsid w:val="008F54CD"/>
    <w:rsid w:val="008F5558"/>
    <w:rsid w:val="008F558C"/>
    <w:rsid w:val="008F55FD"/>
    <w:rsid w:val="008F5664"/>
    <w:rsid w:val="008F56E9"/>
    <w:rsid w:val="008F585C"/>
    <w:rsid w:val="008F589C"/>
    <w:rsid w:val="008F58B0"/>
    <w:rsid w:val="008F58D1"/>
    <w:rsid w:val="008F592B"/>
    <w:rsid w:val="008F59FE"/>
    <w:rsid w:val="008F5B84"/>
    <w:rsid w:val="008F5C1D"/>
    <w:rsid w:val="008F5C81"/>
    <w:rsid w:val="008F5D85"/>
    <w:rsid w:val="008F5E00"/>
    <w:rsid w:val="008F5EAF"/>
    <w:rsid w:val="008F5F40"/>
    <w:rsid w:val="008F6015"/>
    <w:rsid w:val="008F62F9"/>
    <w:rsid w:val="008F6342"/>
    <w:rsid w:val="008F63A7"/>
    <w:rsid w:val="008F63F1"/>
    <w:rsid w:val="008F64D7"/>
    <w:rsid w:val="008F6533"/>
    <w:rsid w:val="008F660B"/>
    <w:rsid w:val="008F6692"/>
    <w:rsid w:val="008F66F8"/>
    <w:rsid w:val="008F67BB"/>
    <w:rsid w:val="008F67E3"/>
    <w:rsid w:val="008F6911"/>
    <w:rsid w:val="008F692D"/>
    <w:rsid w:val="008F69B5"/>
    <w:rsid w:val="008F69DE"/>
    <w:rsid w:val="008F6B03"/>
    <w:rsid w:val="008F6B26"/>
    <w:rsid w:val="008F6C04"/>
    <w:rsid w:val="008F6C42"/>
    <w:rsid w:val="008F6C5B"/>
    <w:rsid w:val="008F6CCC"/>
    <w:rsid w:val="008F6D39"/>
    <w:rsid w:val="008F6E3C"/>
    <w:rsid w:val="008F6F6B"/>
    <w:rsid w:val="008F6F8C"/>
    <w:rsid w:val="008F7061"/>
    <w:rsid w:val="008F709C"/>
    <w:rsid w:val="008F712C"/>
    <w:rsid w:val="008F7156"/>
    <w:rsid w:val="008F719A"/>
    <w:rsid w:val="008F7215"/>
    <w:rsid w:val="008F721D"/>
    <w:rsid w:val="008F728F"/>
    <w:rsid w:val="008F729F"/>
    <w:rsid w:val="008F72B1"/>
    <w:rsid w:val="008F73D7"/>
    <w:rsid w:val="008F7409"/>
    <w:rsid w:val="008F744F"/>
    <w:rsid w:val="008F74BF"/>
    <w:rsid w:val="008F7504"/>
    <w:rsid w:val="008F757E"/>
    <w:rsid w:val="008F75CB"/>
    <w:rsid w:val="008F7611"/>
    <w:rsid w:val="008F7650"/>
    <w:rsid w:val="008F76CF"/>
    <w:rsid w:val="008F76FA"/>
    <w:rsid w:val="008F77E8"/>
    <w:rsid w:val="008F781E"/>
    <w:rsid w:val="008F7895"/>
    <w:rsid w:val="008F7988"/>
    <w:rsid w:val="008F799C"/>
    <w:rsid w:val="008F799D"/>
    <w:rsid w:val="008F7A17"/>
    <w:rsid w:val="008F7A95"/>
    <w:rsid w:val="008F7ACF"/>
    <w:rsid w:val="008F7B45"/>
    <w:rsid w:val="008F7B94"/>
    <w:rsid w:val="008F7CB6"/>
    <w:rsid w:val="008F7CE4"/>
    <w:rsid w:val="008F7D05"/>
    <w:rsid w:val="008F7D26"/>
    <w:rsid w:val="008F7D8E"/>
    <w:rsid w:val="008F7E5E"/>
    <w:rsid w:val="008F7E6B"/>
    <w:rsid w:val="008F7F2D"/>
    <w:rsid w:val="008F7F6D"/>
    <w:rsid w:val="00900017"/>
    <w:rsid w:val="00900033"/>
    <w:rsid w:val="0090003A"/>
    <w:rsid w:val="0090017F"/>
    <w:rsid w:val="009001D9"/>
    <w:rsid w:val="0090029D"/>
    <w:rsid w:val="00900363"/>
    <w:rsid w:val="00900369"/>
    <w:rsid w:val="00900377"/>
    <w:rsid w:val="0090044A"/>
    <w:rsid w:val="00900485"/>
    <w:rsid w:val="0090052A"/>
    <w:rsid w:val="00900614"/>
    <w:rsid w:val="0090065B"/>
    <w:rsid w:val="00900678"/>
    <w:rsid w:val="00900684"/>
    <w:rsid w:val="00900700"/>
    <w:rsid w:val="0090074D"/>
    <w:rsid w:val="00900765"/>
    <w:rsid w:val="0090079A"/>
    <w:rsid w:val="0090083C"/>
    <w:rsid w:val="00900840"/>
    <w:rsid w:val="0090086A"/>
    <w:rsid w:val="0090088C"/>
    <w:rsid w:val="009008D9"/>
    <w:rsid w:val="0090092C"/>
    <w:rsid w:val="009009EF"/>
    <w:rsid w:val="00900A3E"/>
    <w:rsid w:val="00900AF2"/>
    <w:rsid w:val="00900BCC"/>
    <w:rsid w:val="00900C1E"/>
    <w:rsid w:val="00900C33"/>
    <w:rsid w:val="00900D52"/>
    <w:rsid w:val="00900E26"/>
    <w:rsid w:val="00900E38"/>
    <w:rsid w:val="00900F12"/>
    <w:rsid w:val="00900F74"/>
    <w:rsid w:val="00901097"/>
    <w:rsid w:val="009010DA"/>
    <w:rsid w:val="009010EF"/>
    <w:rsid w:val="0090119D"/>
    <w:rsid w:val="009011CF"/>
    <w:rsid w:val="00901200"/>
    <w:rsid w:val="00901201"/>
    <w:rsid w:val="0090121D"/>
    <w:rsid w:val="0090124E"/>
    <w:rsid w:val="00901277"/>
    <w:rsid w:val="00901301"/>
    <w:rsid w:val="00901369"/>
    <w:rsid w:val="009013FE"/>
    <w:rsid w:val="00901402"/>
    <w:rsid w:val="00901476"/>
    <w:rsid w:val="009014AC"/>
    <w:rsid w:val="00901506"/>
    <w:rsid w:val="0090150D"/>
    <w:rsid w:val="00901521"/>
    <w:rsid w:val="0090184A"/>
    <w:rsid w:val="0090189E"/>
    <w:rsid w:val="009018D8"/>
    <w:rsid w:val="00901929"/>
    <w:rsid w:val="0090198E"/>
    <w:rsid w:val="009019AE"/>
    <w:rsid w:val="009019EE"/>
    <w:rsid w:val="00901A2E"/>
    <w:rsid w:val="00901AAD"/>
    <w:rsid w:val="00901AC6"/>
    <w:rsid w:val="00901B17"/>
    <w:rsid w:val="00901B74"/>
    <w:rsid w:val="00901BFB"/>
    <w:rsid w:val="00901C6D"/>
    <w:rsid w:val="00901CFA"/>
    <w:rsid w:val="00901D3D"/>
    <w:rsid w:val="00901D5E"/>
    <w:rsid w:val="00901DCB"/>
    <w:rsid w:val="00901E03"/>
    <w:rsid w:val="00901E4E"/>
    <w:rsid w:val="00901E86"/>
    <w:rsid w:val="00901E9D"/>
    <w:rsid w:val="00901ED0"/>
    <w:rsid w:val="00901F4C"/>
    <w:rsid w:val="00901F56"/>
    <w:rsid w:val="00901F79"/>
    <w:rsid w:val="00901F9F"/>
    <w:rsid w:val="00901FB6"/>
    <w:rsid w:val="00901FE4"/>
    <w:rsid w:val="00902061"/>
    <w:rsid w:val="00902132"/>
    <w:rsid w:val="00902180"/>
    <w:rsid w:val="009021E5"/>
    <w:rsid w:val="009021F4"/>
    <w:rsid w:val="00902258"/>
    <w:rsid w:val="009022B6"/>
    <w:rsid w:val="009023A7"/>
    <w:rsid w:val="0090250E"/>
    <w:rsid w:val="00902566"/>
    <w:rsid w:val="00902590"/>
    <w:rsid w:val="009025D8"/>
    <w:rsid w:val="009025ED"/>
    <w:rsid w:val="0090268B"/>
    <w:rsid w:val="0090268D"/>
    <w:rsid w:val="00902743"/>
    <w:rsid w:val="009027BF"/>
    <w:rsid w:val="00902836"/>
    <w:rsid w:val="0090290C"/>
    <w:rsid w:val="009029AB"/>
    <w:rsid w:val="00902A11"/>
    <w:rsid w:val="00902A44"/>
    <w:rsid w:val="00902AF6"/>
    <w:rsid w:val="00902B0F"/>
    <w:rsid w:val="00902B45"/>
    <w:rsid w:val="00902BE5"/>
    <w:rsid w:val="00902C24"/>
    <w:rsid w:val="00902C6B"/>
    <w:rsid w:val="00902D52"/>
    <w:rsid w:val="00902E42"/>
    <w:rsid w:val="00902F8D"/>
    <w:rsid w:val="00902FF8"/>
    <w:rsid w:val="0090300F"/>
    <w:rsid w:val="00903054"/>
    <w:rsid w:val="00903123"/>
    <w:rsid w:val="00903166"/>
    <w:rsid w:val="0090317E"/>
    <w:rsid w:val="00903212"/>
    <w:rsid w:val="00903227"/>
    <w:rsid w:val="009032EE"/>
    <w:rsid w:val="00903330"/>
    <w:rsid w:val="00903331"/>
    <w:rsid w:val="0090338C"/>
    <w:rsid w:val="0090346C"/>
    <w:rsid w:val="009034D2"/>
    <w:rsid w:val="00903514"/>
    <w:rsid w:val="0090358F"/>
    <w:rsid w:val="009035BA"/>
    <w:rsid w:val="009035CA"/>
    <w:rsid w:val="009035DD"/>
    <w:rsid w:val="009035EC"/>
    <w:rsid w:val="00903653"/>
    <w:rsid w:val="009036AD"/>
    <w:rsid w:val="009036CD"/>
    <w:rsid w:val="009036F8"/>
    <w:rsid w:val="009037B6"/>
    <w:rsid w:val="009037CD"/>
    <w:rsid w:val="009037E9"/>
    <w:rsid w:val="00903860"/>
    <w:rsid w:val="0090393C"/>
    <w:rsid w:val="00903972"/>
    <w:rsid w:val="0090398C"/>
    <w:rsid w:val="00903A95"/>
    <w:rsid w:val="00903A96"/>
    <w:rsid w:val="00903BE2"/>
    <w:rsid w:val="00903C04"/>
    <w:rsid w:val="00903C08"/>
    <w:rsid w:val="00903C21"/>
    <w:rsid w:val="00903C23"/>
    <w:rsid w:val="00903C79"/>
    <w:rsid w:val="00903D06"/>
    <w:rsid w:val="00903D75"/>
    <w:rsid w:val="00903DF2"/>
    <w:rsid w:val="00903DF8"/>
    <w:rsid w:val="00903E32"/>
    <w:rsid w:val="00903F0D"/>
    <w:rsid w:val="00903F30"/>
    <w:rsid w:val="00903F4A"/>
    <w:rsid w:val="00903FC9"/>
    <w:rsid w:val="00904012"/>
    <w:rsid w:val="009040B4"/>
    <w:rsid w:val="00904117"/>
    <w:rsid w:val="0090419C"/>
    <w:rsid w:val="009041A5"/>
    <w:rsid w:val="009041E0"/>
    <w:rsid w:val="00904209"/>
    <w:rsid w:val="0090429A"/>
    <w:rsid w:val="009042A4"/>
    <w:rsid w:val="009042C0"/>
    <w:rsid w:val="009042CE"/>
    <w:rsid w:val="0090432E"/>
    <w:rsid w:val="00904334"/>
    <w:rsid w:val="0090435B"/>
    <w:rsid w:val="0090435E"/>
    <w:rsid w:val="009044B3"/>
    <w:rsid w:val="009044D1"/>
    <w:rsid w:val="009044E2"/>
    <w:rsid w:val="00904524"/>
    <w:rsid w:val="00904576"/>
    <w:rsid w:val="009045AF"/>
    <w:rsid w:val="009045B9"/>
    <w:rsid w:val="009045E8"/>
    <w:rsid w:val="009045ED"/>
    <w:rsid w:val="009045FE"/>
    <w:rsid w:val="00904634"/>
    <w:rsid w:val="00904722"/>
    <w:rsid w:val="00904770"/>
    <w:rsid w:val="00904787"/>
    <w:rsid w:val="00904790"/>
    <w:rsid w:val="009047AC"/>
    <w:rsid w:val="00904860"/>
    <w:rsid w:val="009048EC"/>
    <w:rsid w:val="00904910"/>
    <w:rsid w:val="00904A6B"/>
    <w:rsid w:val="00904ACF"/>
    <w:rsid w:val="00904B59"/>
    <w:rsid w:val="00904B68"/>
    <w:rsid w:val="00904BCF"/>
    <w:rsid w:val="00904BE7"/>
    <w:rsid w:val="00904C7A"/>
    <w:rsid w:val="00904D21"/>
    <w:rsid w:val="00904D6B"/>
    <w:rsid w:val="00904D88"/>
    <w:rsid w:val="00904DA2"/>
    <w:rsid w:val="00904E0F"/>
    <w:rsid w:val="00904E3E"/>
    <w:rsid w:val="00904EFA"/>
    <w:rsid w:val="00904F42"/>
    <w:rsid w:val="00904F9C"/>
    <w:rsid w:val="00904FD6"/>
    <w:rsid w:val="00904FEB"/>
    <w:rsid w:val="00905012"/>
    <w:rsid w:val="00905060"/>
    <w:rsid w:val="00905092"/>
    <w:rsid w:val="009050BB"/>
    <w:rsid w:val="00905168"/>
    <w:rsid w:val="00905236"/>
    <w:rsid w:val="0090523F"/>
    <w:rsid w:val="00905296"/>
    <w:rsid w:val="0090540E"/>
    <w:rsid w:val="009054C0"/>
    <w:rsid w:val="0090556C"/>
    <w:rsid w:val="009055AD"/>
    <w:rsid w:val="009055E1"/>
    <w:rsid w:val="00905647"/>
    <w:rsid w:val="0090564F"/>
    <w:rsid w:val="00905695"/>
    <w:rsid w:val="009056B5"/>
    <w:rsid w:val="0090578A"/>
    <w:rsid w:val="00905814"/>
    <w:rsid w:val="00905823"/>
    <w:rsid w:val="00905869"/>
    <w:rsid w:val="0090586E"/>
    <w:rsid w:val="00905870"/>
    <w:rsid w:val="009058F3"/>
    <w:rsid w:val="00905945"/>
    <w:rsid w:val="0090597F"/>
    <w:rsid w:val="009059A0"/>
    <w:rsid w:val="00905A0F"/>
    <w:rsid w:val="00905A53"/>
    <w:rsid w:val="00905A71"/>
    <w:rsid w:val="00905B6A"/>
    <w:rsid w:val="00905CF3"/>
    <w:rsid w:val="00905D61"/>
    <w:rsid w:val="00905D90"/>
    <w:rsid w:val="00905E95"/>
    <w:rsid w:val="00905EDE"/>
    <w:rsid w:val="00905EE8"/>
    <w:rsid w:val="00905F6E"/>
    <w:rsid w:val="00906018"/>
    <w:rsid w:val="00906064"/>
    <w:rsid w:val="00906087"/>
    <w:rsid w:val="0090613B"/>
    <w:rsid w:val="00906278"/>
    <w:rsid w:val="009063CC"/>
    <w:rsid w:val="00906436"/>
    <w:rsid w:val="00906477"/>
    <w:rsid w:val="00906488"/>
    <w:rsid w:val="009064F6"/>
    <w:rsid w:val="00906592"/>
    <w:rsid w:val="009065D7"/>
    <w:rsid w:val="009065DA"/>
    <w:rsid w:val="00906645"/>
    <w:rsid w:val="009067F4"/>
    <w:rsid w:val="009068B6"/>
    <w:rsid w:val="0090694F"/>
    <w:rsid w:val="00906964"/>
    <w:rsid w:val="009069A8"/>
    <w:rsid w:val="009069B1"/>
    <w:rsid w:val="009069FF"/>
    <w:rsid w:val="00906BF7"/>
    <w:rsid w:val="00906CA4"/>
    <w:rsid w:val="00906CB4"/>
    <w:rsid w:val="00906CD3"/>
    <w:rsid w:val="00906DB4"/>
    <w:rsid w:val="00906DDB"/>
    <w:rsid w:val="00906DF7"/>
    <w:rsid w:val="00906E5A"/>
    <w:rsid w:val="00906EDB"/>
    <w:rsid w:val="00906F47"/>
    <w:rsid w:val="00906FFE"/>
    <w:rsid w:val="0090710D"/>
    <w:rsid w:val="009071A9"/>
    <w:rsid w:val="009071BF"/>
    <w:rsid w:val="009071CB"/>
    <w:rsid w:val="0090730D"/>
    <w:rsid w:val="00907470"/>
    <w:rsid w:val="0090749E"/>
    <w:rsid w:val="009074ED"/>
    <w:rsid w:val="00907631"/>
    <w:rsid w:val="0090769E"/>
    <w:rsid w:val="00907732"/>
    <w:rsid w:val="0090776A"/>
    <w:rsid w:val="00907813"/>
    <w:rsid w:val="00907918"/>
    <w:rsid w:val="009079CF"/>
    <w:rsid w:val="009079D0"/>
    <w:rsid w:val="009079DA"/>
    <w:rsid w:val="00907A0D"/>
    <w:rsid w:val="00907A2D"/>
    <w:rsid w:val="00907A54"/>
    <w:rsid w:val="00907A5C"/>
    <w:rsid w:val="00907A6E"/>
    <w:rsid w:val="00907A70"/>
    <w:rsid w:val="00907AF0"/>
    <w:rsid w:val="00907B3D"/>
    <w:rsid w:val="00907C34"/>
    <w:rsid w:val="00907C38"/>
    <w:rsid w:val="00907C47"/>
    <w:rsid w:val="00907D7C"/>
    <w:rsid w:val="00907D97"/>
    <w:rsid w:val="00907E22"/>
    <w:rsid w:val="00907E4C"/>
    <w:rsid w:val="00907E5F"/>
    <w:rsid w:val="00907F56"/>
    <w:rsid w:val="00907F6C"/>
    <w:rsid w:val="00907F8E"/>
    <w:rsid w:val="00907FB5"/>
    <w:rsid w:val="009100EF"/>
    <w:rsid w:val="0091015A"/>
    <w:rsid w:val="009101F6"/>
    <w:rsid w:val="00910273"/>
    <w:rsid w:val="0091027D"/>
    <w:rsid w:val="009102ED"/>
    <w:rsid w:val="009102F0"/>
    <w:rsid w:val="009104D6"/>
    <w:rsid w:val="009104E6"/>
    <w:rsid w:val="0091052F"/>
    <w:rsid w:val="0091053A"/>
    <w:rsid w:val="009105A5"/>
    <w:rsid w:val="00910687"/>
    <w:rsid w:val="00910690"/>
    <w:rsid w:val="009107D8"/>
    <w:rsid w:val="0091083E"/>
    <w:rsid w:val="00910890"/>
    <w:rsid w:val="00910949"/>
    <w:rsid w:val="0091099B"/>
    <w:rsid w:val="009109FA"/>
    <w:rsid w:val="00910A34"/>
    <w:rsid w:val="00910B6E"/>
    <w:rsid w:val="00910B7D"/>
    <w:rsid w:val="00910BA7"/>
    <w:rsid w:val="00910BD6"/>
    <w:rsid w:val="00910CC0"/>
    <w:rsid w:val="00910D48"/>
    <w:rsid w:val="00910D9E"/>
    <w:rsid w:val="00910DE2"/>
    <w:rsid w:val="00910EC7"/>
    <w:rsid w:val="00910F4F"/>
    <w:rsid w:val="00910FBF"/>
    <w:rsid w:val="00910FD7"/>
    <w:rsid w:val="00910FE0"/>
    <w:rsid w:val="0091103F"/>
    <w:rsid w:val="0091109D"/>
    <w:rsid w:val="009110BF"/>
    <w:rsid w:val="00911139"/>
    <w:rsid w:val="00911149"/>
    <w:rsid w:val="0091120D"/>
    <w:rsid w:val="0091122F"/>
    <w:rsid w:val="009112D5"/>
    <w:rsid w:val="009113BF"/>
    <w:rsid w:val="009113F9"/>
    <w:rsid w:val="00911420"/>
    <w:rsid w:val="00911443"/>
    <w:rsid w:val="00911467"/>
    <w:rsid w:val="009114BC"/>
    <w:rsid w:val="00911506"/>
    <w:rsid w:val="00911589"/>
    <w:rsid w:val="0091164D"/>
    <w:rsid w:val="00911677"/>
    <w:rsid w:val="009116F2"/>
    <w:rsid w:val="00911715"/>
    <w:rsid w:val="0091177B"/>
    <w:rsid w:val="00911829"/>
    <w:rsid w:val="00911976"/>
    <w:rsid w:val="00911A78"/>
    <w:rsid w:val="00911AAB"/>
    <w:rsid w:val="00911AD8"/>
    <w:rsid w:val="00911BA0"/>
    <w:rsid w:val="00911BE4"/>
    <w:rsid w:val="00911BF2"/>
    <w:rsid w:val="00911C2E"/>
    <w:rsid w:val="00911C35"/>
    <w:rsid w:val="00911C70"/>
    <w:rsid w:val="00911CAE"/>
    <w:rsid w:val="00911CE1"/>
    <w:rsid w:val="00911D92"/>
    <w:rsid w:val="00911E49"/>
    <w:rsid w:val="00911F80"/>
    <w:rsid w:val="00911FA3"/>
    <w:rsid w:val="00911FB9"/>
    <w:rsid w:val="0091201F"/>
    <w:rsid w:val="0091207D"/>
    <w:rsid w:val="009120DB"/>
    <w:rsid w:val="00912140"/>
    <w:rsid w:val="00912245"/>
    <w:rsid w:val="009122B0"/>
    <w:rsid w:val="009123C4"/>
    <w:rsid w:val="00912436"/>
    <w:rsid w:val="0091245B"/>
    <w:rsid w:val="00912571"/>
    <w:rsid w:val="009125C1"/>
    <w:rsid w:val="009125F3"/>
    <w:rsid w:val="00912646"/>
    <w:rsid w:val="009126F7"/>
    <w:rsid w:val="0091272C"/>
    <w:rsid w:val="0091292B"/>
    <w:rsid w:val="0091294B"/>
    <w:rsid w:val="00912953"/>
    <w:rsid w:val="00912AA3"/>
    <w:rsid w:val="00912AF9"/>
    <w:rsid w:val="00912B91"/>
    <w:rsid w:val="00912BA1"/>
    <w:rsid w:val="00912BD1"/>
    <w:rsid w:val="00912C7E"/>
    <w:rsid w:val="00912D2D"/>
    <w:rsid w:val="00912D63"/>
    <w:rsid w:val="00912D91"/>
    <w:rsid w:val="00912E21"/>
    <w:rsid w:val="00912E5F"/>
    <w:rsid w:val="00912F06"/>
    <w:rsid w:val="00912F27"/>
    <w:rsid w:val="00912F91"/>
    <w:rsid w:val="0091302D"/>
    <w:rsid w:val="009130A6"/>
    <w:rsid w:val="009130BC"/>
    <w:rsid w:val="009130E6"/>
    <w:rsid w:val="009130EC"/>
    <w:rsid w:val="009130EE"/>
    <w:rsid w:val="00913276"/>
    <w:rsid w:val="0091331F"/>
    <w:rsid w:val="009133D4"/>
    <w:rsid w:val="0091345B"/>
    <w:rsid w:val="009134B7"/>
    <w:rsid w:val="00913557"/>
    <w:rsid w:val="0091357E"/>
    <w:rsid w:val="00913606"/>
    <w:rsid w:val="00913662"/>
    <w:rsid w:val="009136D0"/>
    <w:rsid w:val="00913745"/>
    <w:rsid w:val="00913749"/>
    <w:rsid w:val="009137AC"/>
    <w:rsid w:val="009138E3"/>
    <w:rsid w:val="00913914"/>
    <w:rsid w:val="00913A81"/>
    <w:rsid w:val="00913AB3"/>
    <w:rsid w:val="00913B51"/>
    <w:rsid w:val="00913B6E"/>
    <w:rsid w:val="00913B78"/>
    <w:rsid w:val="00913BAC"/>
    <w:rsid w:val="00913C77"/>
    <w:rsid w:val="00913C8A"/>
    <w:rsid w:val="00913CD9"/>
    <w:rsid w:val="00913D34"/>
    <w:rsid w:val="00913D67"/>
    <w:rsid w:val="00913E25"/>
    <w:rsid w:val="00913E2D"/>
    <w:rsid w:val="00913E78"/>
    <w:rsid w:val="00913FD9"/>
    <w:rsid w:val="00914013"/>
    <w:rsid w:val="00914054"/>
    <w:rsid w:val="009141F3"/>
    <w:rsid w:val="00914254"/>
    <w:rsid w:val="00914261"/>
    <w:rsid w:val="009142E1"/>
    <w:rsid w:val="009142E2"/>
    <w:rsid w:val="00914314"/>
    <w:rsid w:val="009143B5"/>
    <w:rsid w:val="00914435"/>
    <w:rsid w:val="00914541"/>
    <w:rsid w:val="009145E3"/>
    <w:rsid w:val="00914847"/>
    <w:rsid w:val="009148D3"/>
    <w:rsid w:val="009149AD"/>
    <w:rsid w:val="00914A4F"/>
    <w:rsid w:val="00914A53"/>
    <w:rsid w:val="00914AA5"/>
    <w:rsid w:val="00914AA8"/>
    <w:rsid w:val="00914B37"/>
    <w:rsid w:val="00914B45"/>
    <w:rsid w:val="00914B6B"/>
    <w:rsid w:val="00914C04"/>
    <w:rsid w:val="00914C2C"/>
    <w:rsid w:val="00914C30"/>
    <w:rsid w:val="00914C4D"/>
    <w:rsid w:val="00914C76"/>
    <w:rsid w:val="00914D91"/>
    <w:rsid w:val="00914DBC"/>
    <w:rsid w:val="00914E85"/>
    <w:rsid w:val="00914F25"/>
    <w:rsid w:val="00914FE6"/>
    <w:rsid w:val="009150B1"/>
    <w:rsid w:val="0091518E"/>
    <w:rsid w:val="0091522E"/>
    <w:rsid w:val="00915245"/>
    <w:rsid w:val="0091529E"/>
    <w:rsid w:val="0091542D"/>
    <w:rsid w:val="00915432"/>
    <w:rsid w:val="00915481"/>
    <w:rsid w:val="009154E7"/>
    <w:rsid w:val="00915588"/>
    <w:rsid w:val="009155E6"/>
    <w:rsid w:val="0091564C"/>
    <w:rsid w:val="0091567D"/>
    <w:rsid w:val="00915692"/>
    <w:rsid w:val="0091569B"/>
    <w:rsid w:val="00915744"/>
    <w:rsid w:val="00915863"/>
    <w:rsid w:val="009158BF"/>
    <w:rsid w:val="009158FF"/>
    <w:rsid w:val="00915981"/>
    <w:rsid w:val="009159AA"/>
    <w:rsid w:val="00915B87"/>
    <w:rsid w:val="00915BAE"/>
    <w:rsid w:val="00915BAF"/>
    <w:rsid w:val="00915C0A"/>
    <w:rsid w:val="00915C28"/>
    <w:rsid w:val="00915C2C"/>
    <w:rsid w:val="00915C2F"/>
    <w:rsid w:val="00915C5F"/>
    <w:rsid w:val="00915D00"/>
    <w:rsid w:val="00915D11"/>
    <w:rsid w:val="00915D7C"/>
    <w:rsid w:val="00915DFA"/>
    <w:rsid w:val="00915ECE"/>
    <w:rsid w:val="00915EDB"/>
    <w:rsid w:val="00915F5E"/>
    <w:rsid w:val="00915F6E"/>
    <w:rsid w:val="00915F99"/>
    <w:rsid w:val="00916022"/>
    <w:rsid w:val="00916096"/>
    <w:rsid w:val="0091615B"/>
    <w:rsid w:val="00916329"/>
    <w:rsid w:val="00916335"/>
    <w:rsid w:val="0091639B"/>
    <w:rsid w:val="009163B9"/>
    <w:rsid w:val="009163F1"/>
    <w:rsid w:val="00916452"/>
    <w:rsid w:val="0091648D"/>
    <w:rsid w:val="009164A5"/>
    <w:rsid w:val="00916507"/>
    <w:rsid w:val="00916555"/>
    <w:rsid w:val="0091658C"/>
    <w:rsid w:val="009165FC"/>
    <w:rsid w:val="0091665E"/>
    <w:rsid w:val="00916685"/>
    <w:rsid w:val="009167DD"/>
    <w:rsid w:val="0091680A"/>
    <w:rsid w:val="0091687C"/>
    <w:rsid w:val="00916887"/>
    <w:rsid w:val="009168C0"/>
    <w:rsid w:val="00916908"/>
    <w:rsid w:val="00916914"/>
    <w:rsid w:val="00916925"/>
    <w:rsid w:val="00916B34"/>
    <w:rsid w:val="00916B4B"/>
    <w:rsid w:val="00916BBA"/>
    <w:rsid w:val="00916C0B"/>
    <w:rsid w:val="00916C29"/>
    <w:rsid w:val="00916E5A"/>
    <w:rsid w:val="00916F41"/>
    <w:rsid w:val="00916FC6"/>
    <w:rsid w:val="00916FCD"/>
    <w:rsid w:val="009170F8"/>
    <w:rsid w:val="00917144"/>
    <w:rsid w:val="0091725A"/>
    <w:rsid w:val="00917298"/>
    <w:rsid w:val="009172AA"/>
    <w:rsid w:val="00917352"/>
    <w:rsid w:val="00917376"/>
    <w:rsid w:val="0091752F"/>
    <w:rsid w:val="009176C5"/>
    <w:rsid w:val="009176DC"/>
    <w:rsid w:val="0091770F"/>
    <w:rsid w:val="009177F7"/>
    <w:rsid w:val="00917856"/>
    <w:rsid w:val="009178C3"/>
    <w:rsid w:val="0091794D"/>
    <w:rsid w:val="00917A2D"/>
    <w:rsid w:val="00917A5E"/>
    <w:rsid w:val="00917AAD"/>
    <w:rsid w:val="00917AC5"/>
    <w:rsid w:val="00917BB4"/>
    <w:rsid w:val="00917C44"/>
    <w:rsid w:val="00917C47"/>
    <w:rsid w:val="00917CBB"/>
    <w:rsid w:val="00917D70"/>
    <w:rsid w:val="00917DC5"/>
    <w:rsid w:val="00917E07"/>
    <w:rsid w:val="00917E65"/>
    <w:rsid w:val="00917ED9"/>
    <w:rsid w:val="00917EE8"/>
    <w:rsid w:val="00917F7A"/>
    <w:rsid w:val="00917F94"/>
    <w:rsid w:val="0092001D"/>
    <w:rsid w:val="00920056"/>
    <w:rsid w:val="0092009B"/>
    <w:rsid w:val="009200A5"/>
    <w:rsid w:val="009200EC"/>
    <w:rsid w:val="009200F2"/>
    <w:rsid w:val="0092013D"/>
    <w:rsid w:val="00920153"/>
    <w:rsid w:val="0092018B"/>
    <w:rsid w:val="009201DC"/>
    <w:rsid w:val="009201DE"/>
    <w:rsid w:val="0092024F"/>
    <w:rsid w:val="009202F0"/>
    <w:rsid w:val="0092031E"/>
    <w:rsid w:val="0092036C"/>
    <w:rsid w:val="009203E8"/>
    <w:rsid w:val="00920423"/>
    <w:rsid w:val="0092049D"/>
    <w:rsid w:val="009204C5"/>
    <w:rsid w:val="009204F7"/>
    <w:rsid w:val="00920522"/>
    <w:rsid w:val="0092053D"/>
    <w:rsid w:val="009205AF"/>
    <w:rsid w:val="009205E3"/>
    <w:rsid w:val="00920685"/>
    <w:rsid w:val="00920750"/>
    <w:rsid w:val="00920769"/>
    <w:rsid w:val="0092076C"/>
    <w:rsid w:val="00920830"/>
    <w:rsid w:val="0092097D"/>
    <w:rsid w:val="009209FB"/>
    <w:rsid w:val="00920A85"/>
    <w:rsid w:val="00920AD7"/>
    <w:rsid w:val="00920B4C"/>
    <w:rsid w:val="00920BC3"/>
    <w:rsid w:val="00920CC4"/>
    <w:rsid w:val="00920CCB"/>
    <w:rsid w:val="00920D15"/>
    <w:rsid w:val="00920D53"/>
    <w:rsid w:val="00920E3F"/>
    <w:rsid w:val="00920E6D"/>
    <w:rsid w:val="00920E8E"/>
    <w:rsid w:val="00920FCA"/>
    <w:rsid w:val="00921091"/>
    <w:rsid w:val="00921124"/>
    <w:rsid w:val="00921177"/>
    <w:rsid w:val="009211BE"/>
    <w:rsid w:val="00921228"/>
    <w:rsid w:val="009212D7"/>
    <w:rsid w:val="00921370"/>
    <w:rsid w:val="00921380"/>
    <w:rsid w:val="0092138E"/>
    <w:rsid w:val="009213C1"/>
    <w:rsid w:val="009213E4"/>
    <w:rsid w:val="009213FA"/>
    <w:rsid w:val="00921453"/>
    <w:rsid w:val="0092145A"/>
    <w:rsid w:val="009214AA"/>
    <w:rsid w:val="00921522"/>
    <w:rsid w:val="0092156F"/>
    <w:rsid w:val="009215C4"/>
    <w:rsid w:val="00921637"/>
    <w:rsid w:val="009216FB"/>
    <w:rsid w:val="00921720"/>
    <w:rsid w:val="00921728"/>
    <w:rsid w:val="0092173E"/>
    <w:rsid w:val="00921760"/>
    <w:rsid w:val="009218B5"/>
    <w:rsid w:val="009218C5"/>
    <w:rsid w:val="0092195B"/>
    <w:rsid w:val="00921993"/>
    <w:rsid w:val="00921996"/>
    <w:rsid w:val="009219AE"/>
    <w:rsid w:val="00921A1B"/>
    <w:rsid w:val="00921A84"/>
    <w:rsid w:val="00921A9F"/>
    <w:rsid w:val="00921AE7"/>
    <w:rsid w:val="00921AFE"/>
    <w:rsid w:val="00921B24"/>
    <w:rsid w:val="00921B6A"/>
    <w:rsid w:val="00921BE2"/>
    <w:rsid w:val="00921C73"/>
    <w:rsid w:val="00921D4C"/>
    <w:rsid w:val="00921E2B"/>
    <w:rsid w:val="00921E45"/>
    <w:rsid w:val="00921E70"/>
    <w:rsid w:val="00921E94"/>
    <w:rsid w:val="00922027"/>
    <w:rsid w:val="009220A1"/>
    <w:rsid w:val="00922139"/>
    <w:rsid w:val="00922243"/>
    <w:rsid w:val="00922270"/>
    <w:rsid w:val="0092228D"/>
    <w:rsid w:val="009222C0"/>
    <w:rsid w:val="0092230E"/>
    <w:rsid w:val="0092235C"/>
    <w:rsid w:val="009223CE"/>
    <w:rsid w:val="009223FC"/>
    <w:rsid w:val="0092241C"/>
    <w:rsid w:val="009224BB"/>
    <w:rsid w:val="009224F0"/>
    <w:rsid w:val="0092252C"/>
    <w:rsid w:val="00922581"/>
    <w:rsid w:val="00922613"/>
    <w:rsid w:val="00922690"/>
    <w:rsid w:val="009226DA"/>
    <w:rsid w:val="009226EF"/>
    <w:rsid w:val="009226FE"/>
    <w:rsid w:val="0092272C"/>
    <w:rsid w:val="009227B2"/>
    <w:rsid w:val="00922825"/>
    <w:rsid w:val="00922867"/>
    <w:rsid w:val="00922956"/>
    <w:rsid w:val="00922965"/>
    <w:rsid w:val="0092297C"/>
    <w:rsid w:val="00922997"/>
    <w:rsid w:val="009229A4"/>
    <w:rsid w:val="00922A0C"/>
    <w:rsid w:val="00922A2C"/>
    <w:rsid w:val="00922BB7"/>
    <w:rsid w:val="00922BEB"/>
    <w:rsid w:val="00922D36"/>
    <w:rsid w:val="00922D4E"/>
    <w:rsid w:val="00922D99"/>
    <w:rsid w:val="00922DC1"/>
    <w:rsid w:val="00922DE6"/>
    <w:rsid w:val="00922DF1"/>
    <w:rsid w:val="00922E26"/>
    <w:rsid w:val="00922E4B"/>
    <w:rsid w:val="00922EF2"/>
    <w:rsid w:val="00922F0E"/>
    <w:rsid w:val="00922F10"/>
    <w:rsid w:val="00922F31"/>
    <w:rsid w:val="00922F4F"/>
    <w:rsid w:val="00922F58"/>
    <w:rsid w:val="00922FBD"/>
    <w:rsid w:val="00922FE3"/>
    <w:rsid w:val="0092309F"/>
    <w:rsid w:val="00923150"/>
    <w:rsid w:val="00923182"/>
    <w:rsid w:val="009231CC"/>
    <w:rsid w:val="00923201"/>
    <w:rsid w:val="00923242"/>
    <w:rsid w:val="009232CA"/>
    <w:rsid w:val="0092334A"/>
    <w:rsid w:val="00923392"/>
    <w:rsid w:val="00923401"/>
    <w:rsid w:val="00923414"/>
    <w:rsid w:val="0092341A"/>
    <w:rsid w:val="00923424"/>
    <w:rsid w:val="009235BA"/>
    <w:rsid w:val="0092367B"/>
    <w:rsid w:val="00923741"/>
    <w:rsid w:val="00923744"/>
    <w:rsid w:val="00923752"/>
    <w:rsid w:val="0092375B"/>
    <w:rsid w:val="00923809"/>
    <w:rsid w:val="00923853"/>
    <w:rsid w:val="009238A7"/>
    <w:rsid w:val="009238AF"/>
    <w:rsid w:val="009238B7"/>
    <w:rsid w:val="009238C8"/>
    <w:rsid w:val="0092391E"/>
    <w:rsid w:val="009239C5"/>
    <w:rsid w:val="009239F7"/>
    <w:rsid w:val="00923A08"/>
    <w:rsid w:val="00923A3C"/>
    <w:rsid w:val="00923A4D"/>
    <w:rsid w:val="00923AF1"/>
    <w:rsid w:val="00923B03"/>
    <w:rsid w:val="00923B16"/>
    <w:rsid w:val="00923B1A"/>
    <w:rsid w:val="00923B7C"/>
    <w:rsid w:val="00923B8B"/>
    <w:rsid w:val="00923B96"/>
    <w:rsid w:val="00923C9B"/>
    <w:rsid w:val="00923E00"/>
    <w:rsid w:val="00923EB2"/>
    <w:rsid w:val="00923EE5"/>
    <w:rsid w:val="00923F1E"/>
    <w:rsid w:val="00923F20"/>
    <w:rsid w:val="00923F58"/>
    <w:rsid w:val="00923F79"/>
    <w:rsid w:val="00923F7C"/>
    <w:rsid w:val="00923F88"/>
    <w:rsid w:val="00923FF0"/>
    <w:rsid w:val="00924013"/>
    <w:rsid w:val="00924052"/>
    <w:rsid w:val="00924101"/>
    <w:rsid w:val="0092415E"/>
    <w:rsid w:val="0092418A"/>
    <w:rsid w:val="0092419D"/>
    <w:rsid w:val="00924234"/>
    <w:rsid w:val="009242A3"/>
    <w:rsid w:val="00924341"/>
    <w:rsid w:val="00924384"/>
    <w:rsid w:val="009243BE"/>
    <w:rsid w:val="009244DC"/>
    <w:rsid w:val="009244FC"/>
    <w:rsid w:val="009244FD"/>
    <w:rsid w:val="0092453F"/>
    <w:rsid w:val="00924549"/>
    <w:rsid w:val="00924581"/>
    <w:rsid w:val="009245B7"/>
    <w:rsid w:val="009245E8"/>
    <w:rsid w:val="009245E9"/>
    <w:rsid w:val="009245EA"/>
    <w:rsid w:val="0092469A"/>
    <w:rsid w:val="009246A5"/>
    <w:rsid w:val="009246C5"/>
    <w:rsid w:val="00924796"/>
    <w:rsid w:val="00924823"/>
    <w:rsid w:val="0092485A"/>
    <w:rsid w:val="00924868"/>
    <w:rsid w:val="009248B5"/>
    <w:rsid w:val="009248B7"/>
    <w:rsid w:val="009248FA"/>
    <w:rsid w:val="00924907"/>
    <w:rsid w:val="009249A7"/>
    <w:rsid w:val="00924A20"/>
    <w:rsid w:val="00924A80"/>
    <w:rsid w:val="00924B5D"/>
    <w:rsid w:val="00924B7C"/>
    <w:rsid w:val="00924B86"/>
    <w:rsid w:val="00924BD7"/>
    <w:rsid w:val="00924C8D"/>
    <w:rsid w:val="00924CA2"/>
    <w:rsid w:val="00924D66"/>
    <w:rsid w:val="00924D9A"/>
    <w:rsid w:val="00924E62"/>
    <w:rsid w:val="00924F15"/>
    <w:rsid w:val="00924F25"/>
    <w:rsid w:val="00924F9C"/>
    <w:rsid w:val="0092501F"/>
    <w:rsid w:val="0092504B"/>
    <w:rsid w:val="00925065"/>
    <w:rsid w:val="00925167"/>
    <w:rsid w:val="00925168"/>
    <w:rsid w:val="0092517C"/>
    <w:rsid w:val="0092519B"/>
    <w:rsid w:val="009251DD"/>
    <w:rsid w:val="0092521F"/>
    <w:rsid w:val="009252C4"/>
    <w:rsid w:val="00925357"/>
    <w:rsid w:val="0092536D"/>
    <w:rsid w:val="009253C1"/>
    <w:rsid w:val="00925428"/>
    <w:rsid w:val="009254B1"/>
    <w:rsid w:val="0092550B"/>
    <w:rsid w:val="00925536"/>
    <w:rsid w:val="00925689"/>
    <w:rsid w:val="009256CF"/>
    <w:rsid w:val="009256E7"/>
    <w:rsid w:val="009257CE"/>
    <w:rsid w:val="00925800"/>
    <w:rsid w:val="00925850"/>
    <w:rsid w:val="009258B2"/>
    <w:rsid w:val="009259B7"/>
    <w:rsid w:val="009259F0"/>
    <w:rsid w:val="00925A0D"/>
    <w:rsid w:val="00925B10"/>
    <w:rsid w:val="00925BC7"/>
    <w:rsid w:val="00925C6A"/>
    <w:rsid w:val="00925C8E"/>
    <w:rsid w:val="00925D86"/>
    <w:rsid w:val="00925DDF"/>
    <w:rsid w:val="00925E0F"/>
    <w:rsid w:val="00925EC8"/>
    <w:rsid w:val="00925EE2"/>
    <w:rsid w:val="00925F2F"/>
    <w:rsid w:val="00925F97"/>
    <w:rsid w:val="00925FA8"/>
    <w:rsid w:val="00925FDB"/>
    <w:rsid w:val="00925FEB"/>
    <w:rsid w:val="00926085"/>
    <w:rsid w:val="00926202"/>
    <w:rsid w:val="00926218"/>
    <w:rsid w:val="00926270"/>
    <w:rsid w:val="00926279"/>
    <w:rsid w:val="009262CD"/>
    <w:rsid w:val="009262DA"/>
    <w:rsid w:val="00926325"/>
    <w:rsid w:val="00926329"/>
    <w:rsid w:val="00926399"/>
    <w:rsid w:val="0092654C"/>
    <w:rsid w:val="009265CE"/>
    <w:rsid w:val="009265F7"/>
    <w:rsid w:val="00926633"/>
    <w:rsid w:val="00926658"/>
    <w:rsid w:val="00926661"/>
    <w:rsid w:val="009266F4"/>
    <w:rsid w:val="00926706"/>
    <w:rsid w:val="00926778"/>
    <w:rsid w:val="00926788"/>
    <w:rsid w:val="00926837"/>
    <w:rsid w:val="00926855"/>
    <w:rsid w:val="0092686D"/>
    <w:rsid w:val="009268CA"/>
    <w:rsid w:val="00926908"/>
    <w:rsid w:val="00926950"/>
    <w:rsid w:val="009269B9"/>
    <w:rsid w:val="009269F7"/>
    <w:rsid w:val="00926A6B"/>
    <w:rsid w:val="00926A71"/>
    <w:rsid w:val="00926ACF"/>
    <w:rsid w:val="00926BBC"/>
    <w:rsid w:val="00926C4D"/>
    <w:rsid w:val="00926C4F"/>
    <w:rsid w:val="00926C90"/>
    <w:rsid w:val="00926D7E"/>
    <w:rsid w:val="00926E6F"/>
    <w:rsid w:val="00926EC5"/>
    <w:rsid w:val="00926F93"/>
    <w:rsid w:val="00927057"/>
    <w:rsid w:val="009270C0"/>
    <w:rsid w:val="009270ED"/>
    <w:rsid w:val="009270F0"/>
    <w:rsid w:val="00927112"/>
    <w:rsid w:val="0092714D"/>
    <w:rsid w:val="00927172"/>
    <w:rsid w:val="009271A6"/>
    <w:rsid w:val="009271D3"/>
    <w:rsid w:val="0092721F"/>
    <w:rsid w:val="0092722F"/>
    <w:rsid w:val="00927304"/>
    <w:rsid w:val="0092737C"/>
    <w:rsid w:val="009273C4"/>
    <w:rsid w:val="009273C6"/>
    <w:rsid w:val="00927444"/>
    <w:rsid w:val="0092748C"/>
    <w:rsid w:val="0092750C"/>
    <w:rsid w:val="00927741"/>
    <w:rsid w:val="00927744"/>
    <w:rsid w:val="009278F0"/>
    <w:rsid w:val="00927905"/>
    <w:rsid w:val="00927AF5"/>
    <w:rsid w:val="00927B18"/>
    <w:rsid w:val="00927B7C"/>
    <w:rsid w:val="00927B93"/>
    <w:rsid w:val="00927B97"/>
    <w:rsid w:val="00927BD5"/>
    <w:rsid w:val="00927BF9"/>
    <w:rsid w:val="00927C83"/>
    <w:rsid w:val="00927CF6"/>
    <w:rsid w:val="00927D96"/>
    <w:rsid w:val="00927DA3"/>
    <w:rsid w:val="00927E12"/>
    <w:rsid w:val="00927E26"/>
    <w:rsid w:val="00927E7E"/>
    <w:rsid w:val="00927EB2"/>
    <w:rsid w:val="00927F3D"/>
    <w:rsid w:val="009300A5"/>
    <w:rsid w:val="009300FC"/>
    <w:rsid w:val="00930136"/>
    <w:rsid w:val="0093013D"/>
    <w:rsid w:val="009301D3"/>
    <w:rsid w:val="00930242"/>
    <w:rsid w:val="0093025F"/>
    <w:rsid w:val="009302AD"/>
    <w:rsid w:val="00930317"/>
    <w:rsid w:val="00930327"/>
    <w:rsid w:val="0093037E"/>
    <w:rsid w:val="009303E8"/>
    <w:rsid w:val="009303EE"/>
    <w:rsid w:val="00930441"/>
    <w:rsid w:val="00930454"/>
    <w:rsid w:val="0093045C"/>
    <w:rsid w:val="009304AB"/>
    <w:rsid w:val="009304B2"/>
    <w:rsid w:val="009304F7"/>
    <w:rsid w:val="00930531"/>
    <w:rsid w:val="0093054E"/>
    <w:rsid w:val="00930708"/>
    <w:rsid w:val="00930718"/>
    <w:rsid w:val="00930744"/>
    <w:rsid w:val="0093079F"/>
    <w:rsid w:val="00930803"/>
    <w:rsid w:val="009308F4"/>
    <w:rsid w:val="009309BE"/>
    <w:rsid w:val="009309C5"/>
    <w:rsid w:val="009309EF"/>
    <w:rsid w:val="00930A53"/>
    <w:rsid w:val="00930A5E"/>
    <w:rsid w:val="00930A6C"/>
    <w:rsid w:val="00930AB1"/>
    <w:rsid w:val="00930AB6"/>
    <w:rsid w:val="00930B10"/>
    <w:rsid w:val="00930B67"/>
    <w:rsid w:val="00930B6E"/>
    <w:rsid w:val="00930B89"/>
    <w:rsid w:val="00930BCE"/>
    <w:rsid w:val="00930C17"/>
    <w:rsid w:val="00930C7B"/>
    <w:rsid w:val="00930CF4"/>
    <w:rsid w:val="00930D44"/>
    <w:rsid w:val="00930D73"/>
    <w:rsid w:val="00930DB3"/>
    <w:rsid w:val="00930DBD"/>
    <w:rsid w:val="00930DCB"/>
    <w:rsid w:val="00930E94"/>
    <w:rsid w:val="00930F8C"/>
    <w:rsid w:val="00930FC5"/>
    <w:rsid w:val="00930FCC"/>
    <w:rsid w:val="00931040"/>
    <w:rsid w:val="00931102"/>
    <w:rsid w:val="00931171"/>
    <w:rsid w:val="009312A8"/>
    <w:rsid w:val="00931312"/>
    <w:rsid w:val="00931351"/>
    <w:rsid w:val="00931365"/>
    <w:rsid w:val="00931466"/>
    <w:rsid w:val="009314CF"/>
    <w:rsid w:val="009314D3"/>
    <w:rsid w:val="009314EA"/>
    <w:rsid w:val="00931550"/>
    <w:rsid w:val="009316EB"/>
    <w:rsid w:val="00931734"/>
    <w:rsid w:val="00931773"/>
    <w:rsid w:val="0093178C"/>
    <w:rsid w:val="0093183D"/>
    <w:rsid w:val="0093187D"/>
    <w:rsid w:val="009318F0"/>
    <w:rsid w:val="0093190C"/>
    <w:rsid w:val="009319B3"/>
    <w:rsid w:val="009319D9"/>
    <w:rsid w:val="00931A4A"/>
    <w:rsid w:val="00931A95"/>
    <w:rsid w:val="00931B3E"/>
    <w:rsid w:val="00931B56"/>
    <w:rsid w:val="00931C82"/>
    <w:rsid w:val="00931D1C"/>
    <w:rsid w:val="00931EEB"/>
    <w:rsid w:val="00931F2A"/>
    <w:rsid w:val="00931F2D"/>
    <w:rsid w:val="00931F35"/>
    <w:rsid w:val="00931FA0"/>
    <w:rsid w:val="009320F4"/>
    <w:rsid w:val="009320F5"/>
    <w:rsid w:val="0093216E"/>
    <w:rsid w:val="009321B5"/>
    <w:rsid w:val="009321CA"/>
    <w:rsid w:val="0093222B"/>
    <w:rsid w:val="00932237"/>
    <w:rsid w:val="009322F5"/>
    <w:rsid w:val="00932309"/>
    <w:rsid w:val="0093233A"/>
    <w:rsid w:val="00932340"/>
    <w:rsid w:val="0093238D"/>
    <w:rsid w:val="009323E7"/>
    <w:rsid w:val="00932484"/>
    <w:rsid w:val="009324D0"/>
    <w:rsid w:val="00932519"/>
    <w:rsid w:val="00932543"/>
    <w:rsid w:val="00932595"/>
    <w:rsid w:val="009325EC"/>
    <w:rsid w:val="0093261A"/>
    <w:rsid w:val="00932635"/>
    <w:rsid w:val="0093265A"/>
    <w:rsid w:val="009327CA"/>
    <w:rsid w:val="009327D4"/>
    <w:rsid w:val="009328A1"/>
    <w:rsid w:val="009328C8"/>
    <w:rsid w:val="0093291D"/>
    <w:rsid w:val="0093294B"/>
    <w:rsid w:val="00932984"/>
    <w:rsid w:val="009329BF"/>
    <w:rsid w:val="009329C3"/>
    <w:rsid w:val="00932ABE"/>
    <w:rsid w:val="00932BCD"/>
    <w:rsid w:val="00932BD3"/>
    <w:rsid w:val="00932BE1"/>
    <w:rsid w:val="00932C0A"/>
    <w:rsid w:val="00932C18"/>
    <w:rsid w:val="00932C7F"/>
    <w:rsid w:val="00932D5B"/>
    <w:rsid w:val="00932D7E"/>
    <w:rsid w:val="00932D8C"/>
    <w:rsid w:val="00932DBD"/>
    <w:rsid w:val="00932DE6"/>
    <w:rsid w:val="00932E91"/>
    <w:rsid w:val="00932FBD"/>
    <w:rsid w:val="00932FCB"/>
    <w:rsid w:val="00932FD5"/>
    <w:rsid w:val="009330B7"/>
    <w:rsid w:val="009330F1"/>
    <w:rsid w:val="009330FA"/>
    <w:rsid w:val="00933100"/>
    <w:rsid w:val="00933168"/>
    <w:rsid w:val="00933195"/>
    <w:rsid w:val="009331D0"/>
    <w:rsid w:val="0093333E"/>
    <w:rsid w:val="00933357"/>
    <w:rsid w:val="00933419"/>
    <w:rsid w:val="00933448"/>
    <w:rsid w:val="0093345C"/>
    <w:rsid w:val="0093347B"/>
    <w:rsid w:val="00933489"/>
    <w:rsid w:val="0093350C"/>
    <w:rsid w:val="009335C4"/>
    <w:rsid w:val="00933648"/>
    <w:rsid w:val="0093367D"/>
    <w:rsid w:val="009336FB"/>
    <w:rsid w:val="00933706"/>
    <w:rsid w:val="0093377B"/>
    <w:rsid w:val="009337BA"/>
    <w:rsid w:val="009337C5"/>
    <w:rsid w:val="009337C9"/>
    <w:rsid w:val="00933970"/>
    <w:rsid w:val="00933AA9"/>
    <w:rsid w:val="00933AFF"/>
    <w:rsid w:val="00933B32"/>
    <w:rsid w:val="00933B36"/>
    <w:rsid w:val="00933B94"/>
    <w:rsid w:val="00933BCC"/>
    <w:rsid w:val="00933BE4"/>
    <w:rsid w:val="00933C57"/>
    <w:rsid w:val="00933C91"/>
    <w:rsid w:val="00933D7F"/>
    <w:rsid w:val="00933D8B"/>
    <w:rsid w:val="00933E11"/>
    <w:rsid w:val="00933E48"/>
    <w:rsid w:val="00933F27"/>
    <w:rsid w:val="00933FA2"/>
    <w:rsid w:val="00933FB1"/>
    <w:rsid w:val="00934087"/>
    <w:rsid w:val="009340E2"/>
    <w:rsid w:val="0093410D"/>
    <w:rsid w:val="0093419D"/>
    <w:rsid w:val="009341AA"/>
    <w:rsid w:val="009341B5"/>
    <w:rsid w:val="009341BA"/>
    <w:rsid w:val="00934222"/>
    <w:rsid w:val="0093422A"/>
    <w:rsid w:val="00934242"/>
    <w:rsid w:val="00934268"/>
    <w:rsid w:val="00934319"/>
    <w:rsid w:val="00934433"/>
    <w:rsid w:val="0093446B"/>
    <w:rsid w:val="009344F0"/>
    <w:rsid w:val="00934501"/>
    <w:rsid w:val="00934509"/>
    <w:rsid w:val="009345DC"/>
    <w:rsid w:val="00934641"/>
    <w:rsid w:val="009346E4"/>
    <w:rsid w:val="0093479D"/>
    <w:rsid w:val="009347B0"/>
    <w:rsid w:val="00934846"/>
    <w:rsid w:val="0093488D"/>
    <w:rsid w:val="009348A1"/>
    <w:rsid w:val="0093490E"/>
    <w:rsid w:val="0093496C"/>
    <w:rsid w:val="009349B5"/>
    <w:rsid w:val="00934A25"/>
    <w:rsid w:val="00934A47"/>
    <w:rsid w:val="00934A5C"/>
    <w:rsid w:val="00934AB4"/>
    <w:rsid w:val="00934AE6"/>
    <w:rsid w:val="00934B43"/>
    <w:rsid w:val="00934C01"/>
    <w:rsid w:val="00934C05"/>
    <w:rsid w:val="00934C83"/>
    <w:rsid w:val="00934C8B"/>
    <w:rsid w:val="00934DE2"/>
    <w:rsid w:val="00934DEE"/>
    <w:rsid w:val="00934E98"/>
    <w:rsid w:val="00934F30"/>
    <w:rsid w:val="00934F41"/>
    <w:rsid w:val="00934FA6"/>
    <w:rsid w:val="00934FAC"/>
    <w:rsid w:val="00934FB0"/>
    <w:rsid w:val="00935062"/>
    <w:rsid w:val="0093506E"/>
    <w:rsid w:val="0093512C"/>
    <w:rsid w:val="00935137"/>
    <w:rsid w:val="00935225"/>
    <w:rsid w:val="00935236"/>
    <w:rsid w:val="00935329"/>
    <w:rsid w:val="0093534C"/>
    <w:rsid w:val="0093535E"/>
    <w:rsid w:val="00935434"/>
    <w:rsid w:val="0093543C"/>
    <w:rsid w:val="009354AF"/>
    <w:rsid w:val="009354CD"/>
    <w:rsid w:val="009354D2"/>
    <w:rsid w:val="00935564"/>
    <w:rsid w:val="0093559D"/>
    <w:rsid w:val="0093561F"/>
    <w:rsid w:val="0093562F"/>
    <w:rsid w:val="00935631"/>
    <w:rsid w:val="0093565B"/>
    <w:rsid w:val="009356BC"/>
    <w:rsid w:val="0093593D"/>
    <w:rsid w:val="00935992"/>
    <w:rsid w:val="009359F2"/>
    <w:rsid w:val="00935A09"/>
    <w:rsid w:val="00935A0F"/>
    <w:rsid w:val="00935A4D"/>
    <w:rsid w:val="00935B36"/>
    <w:rsid w:val="00935BB4"/>
    <w:rsid w:val="00935BCA"/>
    <w:rsid w:val="00935C3C"/>
    <w:rsid w:val="00935C74"/>
    <w:rsid w:val="00935CC3"/>
    <w:rsid w:val="00935CF2"/>
    <w:rsid w:val="00935E91"/>
    <w:rsid w:val="00935E93"/>
    <w:rsid w:val="00935EE6"/>
    <w:rsid w:val="00935EF8"/>
    <w:rsid w:val="00935FFB"/>
    <w:rsid w:val="009360D9"/>
    <w:rsid w:val="0093611C"/>
    <w:rsid w:val="00936165"/>
    <w:rsid w:val="0093617A"/>
    <w:rsid w:val="00936256"/>
    <w:rsid w:val="00936286"/>
    <w:rsid w:val="009362D3"/>
    <w:rsid w:val="009362E5"/>
    <w:rsid w:val="009362FA"/>
    <w:rsid w:val="00936358"/>
    <w:rsid w:val="0093637E"/>
    <w:rsid w:val="009363F2"/>
    <w:rsid w:val="00936408"/>
    <w:rsid w:val="0093643A"/>
    <w:rsid w:val="00936440"/>
    <w:rsid w:val="009364FC"/>
    <w:rsid w:val="00936518"/>
    <w:rsid w:val="00936584"/>
    <w:rsid w:val="009365A1"/>
    <w:rsid w:val="00936663"/>
    <w:rsid w:val="0093666E"/>
    <w:rsid w:val="00936686"/>
    <w:rsid w:val="009367A8"/>
    <w:rsid w:val="009367B6"/>
    <w:rsid w:val="00936853"/>
    <w:rsid w:val="0093689B"/>
    <w:rsid w:val="009368A8"/>
    <w:rsid w:val="009369A7"/>
    <w:rsid w:val="00936A2C"/>
    <w:rsid w:val="00936A55"/>
    <w:rsid w:val="00936A5E"/>
    <w:rsid w:val="00936A84"/>
    <w:rsid w:val="00936A99"/>
    <w:rsid w:val="00936B21"/>
    <w:rsid w:val="00936C02"/>
    <w:rsid w:val="00936C34"/>
    <w:rsid w:val="00936C59"/>
    <w:rsid w:val="00936C78"/>
    <w:rsid w:val="00936CB4"/>
    <w:rsid w:val="00936D7D"/>
    <w:rsid w:val="00936E03"/>
    <w:rsid w:val="00936E14"/>
    <w:rsid w:val="00936E30"/>
    <w:rsid w:val="00936E45"/>
    <w:rsid w:val="00936F19"/>
    <w:rsid w:val="00936F5B"/>
    <w:rsid w:val="00937096"/>
    <w:rsid w:val="009370C3"/>
    <w:rsid w:val="009370F5"/>
    <w:rsid w:val="00937173"/>
    <w:rsid w:val="0093720F"/>
    <w:rsid w:val="00937215"/>
    <w:rsid w:val="0093728D"/>
    <w:rsid w:val="009372DC"/>
    <w:rsid w:val="00937355"/>
    <w:rsid w:val="00937362"/>
    <w:rsid w:val="00937378"/>
    <w:rsid w:val="009373CB"/>
    <w:rsid w:val="009374D6"/>
    <w:rsid w:val="009374EC"/>
    <w:rsid w:val="00937523"/>
    <w:rsid w:val="00937555"/>
    <w:rsid w:val="009376B9"/>
    <w:rsid w:val="009377BB"/>
    <w:rsid w:val="0093782A"/>
    <w:rsid w:val="00937843"/>
    <w:rsid w:val="009378B5"/>
    <w:rsid w:val="009378F1"/>
    <w:rsid w:val="0093790F"/>
    <w:rsid w:val="00937915"/>
    <w:rsid w:val="00937958"/>
    <w:rsid w:val="009379EA"/>
    <w:rsid w:val="009379EB"/>
    <w:rsid w:val="00937A7C"/>
    <w:rsid w:val="00937C33"/>
    <w:rsid w:val="00937CB1"/>
    <w:rsid w:val="00937CC2"/>
    <w:rsid w:val="00937D2F"/>
    <w:rsid w:val="00937D6B"/>
    <w:rsid w:val="00937D92"/>
    <w:rsid w:val="00937DA6"/>
    <w:rsid w:val="00937DF8"/>
    <w:rsid w:val="00937E23"/>
    <w:rsid w:val="00937EFB"/>
    <w:rsid w:val="00937F45"/>
    <w:rsid w:val="00937F57"/>
    <w:rsid w:val="0094005C"/>
    <w:rsid w:val="0094007D"/>
    <w:rsid w:val="009400F4"/>
    <w:rsid w:val="00940115"/>
    <w:rsid w:val="00940199"/>
    <w:rsid w:val="00940256"/>
    <w:rsid w:val="00940315"/>
    <w:rsid w:val="009403B5"/>
    <w:rsid w:val="009403EF"/>
    <w:rsid w:val="009404BC"/>
    <w:rsid w:val="0094050C"/>
    <w:rsid w:val="0094069F"/>
    <w:rsid w:val="0094081D"/>
    <w:rsid w:val="0094094A"/>
    <w:rsid w:val="009409F1"/>
    <w:rsid w:val="00940A7C"/>
    <w:rsid w:val="00940B08"/>
    <w:rsid w:val="00940C27"/>
    <w:rsid w:val="00940C77"/>
    <w:rsid w:val="00940C7B"/>
    <w:rsid w:val="00940CAC"/>
    <w:rsid w:val="00940D4E"/>
    <w:rsid w:val="00940D67"/>
    <w:rsid w:val="00940E93"/>
    <w:rsid w:val="00940F88"/>
    <w:rsid w:val="00941064"/>
    <w:rsid w:val="0094107B"/>
    <w:rsid w:val="009410DC"/>
    <w:rsid w:val="0094111C"/>
    <w:rsid w:val="00941202"/>
    <w:rsid w:val="009412F4"/>
    <w:rsid w:val="00941332"/>
    <w:rsid w:val="009413C0"/>
    <w:rsid w:val="00941426"/>
    <w:rsid w:val="0094146A"/>
    <w:rsid w:val="009414AA"/>
    <w:rsid w:val="009414CC"/>
    <w:rsid w:val="00941513"/>
    <w:rsid w:val="0094164D"/>
    <w:rsid w:val="0094169A"/>
    <w:rsid w:val="009416B4"/>
    <w:rsid w:val="009416FC"/>
    <w:rsid w:val="0094177B"/>
    <w:rsid w:val="009417E7"/>
    <w:rsid w:val="0094188B"/>
    <w:rsid w:val="0094191F"/>
    <w:rsid w:val="009419A9"/>
    <w:rsid w:val="009419CF"/>
    <w:rsid w:val="00941AD1"/>
    <w:rsid w:val="00941B0A"/>
    <w:rsid w:val="00941B13"/>
    <w:rsid w:val="00941B34"/>
    <w:rsid w:val="00941B72"/>
    <w:rsid w:val="00941C5F"/>
    <w:rsid w:val="00941D62"/>
    <w:rsid w:val="00941EB3"/>
    <w:rsid w:val="00941EEA"/>
    <w:rsid w:val="00941EF8"/>
    <w:rsid w:val="00941FC3"/>
    <w:rsid w:val="00942006"/>
    <w:rsid w:val="00942026"/>
    <w:rsid w:val="009421F0"/>
    <w:rsid w:val="00942213"/>
    <w:rsid w:val="00942241"/>
    <w:rsid w:val="00942288"/>
    <w:rsid w:val="00942385"/>
    <w:rsid w:val="0094243A"/>
    <w:rsid w:val="009424B9"/>
    <w:rsid w:val="00942502"/>
    <w:rsid w:val="00942532"/>
    <w:rsid w:val="009425BC"/>
    <w:rsid w:val="009425FA"/>
    <w:rsid w:val="0094265F"/>
    <w:rsid w:val="00942662"/>
    <w:rsid w:val="00942671"/>
    <w:rsid w:val="0094269A"/>
    <w:rsid w:val="009426F9"/>
    <w:rsid w:val="0094271B"/>
    <w:rsid w:val="00942784"/>
    <w:rsid w:val="009427A7"/>
    <w:rsid w:val="0094285B"/>
    <w:rsid w:val="009428DB"/>
    <w:rsid w:val="009428DE"/>
    <w:rsid w:val="009428F3"/>
    <w:rsid w:val="009428F7"/>
    <w:rsid w:val="0094290C"/>
    <w:rsid w:val="00942A91"/>
    <w:rsid w:val="00942B4D"/>
    <w:rsid w:val="00942B97"/>
    <w:rsid w:val="00942B98"/>
    <w:rsid w:val="00942C30"/>
    <w:rsid w:val="00942C3B"/>
    <w:rsid w:val="00942CE2"/>
    <w:rsid w:val="00942CEB"/>
    <w:rsid w:val="00942DBC"/>
    <w:rsid w:val="00942E27"/>
    <w:rsid w:val="00942FDF"/>
    <w:rsid w:val="00943025"/>
    <w:rsid w:val="0094302C"/>
    <w:rsid w:val="00943079"/>
    <w:rsid w:val="009430C3"/>
    <w:rsid w:val="0094310D"/>
    <w:rsid w:val="009431BC"/>
    <w:rsid w:val="0094320B"/>
    <w:rsid w:val="0094322A"/>
    <w:rsid w:val="0094324A"/>
    <w:rsid w:val="009432A1"/>
    <w:rsid w:val="009432C5"/>
    <w:rsid w:val="009432CA"/>
    <w:rsid w:val="00943387"/>
    <w:rsid w:val="009433A1"/>
    <w:rsid w:val="009433D3"/>
    <w:rsid w:val="0094350C"/>
    <w:rsid w:val="00943510"/>
    <w:rsid w:val="0094357C"/>
    <w:rsid w:val="00943592"/>
    <w:rsid w:val="00943598"/>
    <w:rsid w:val="009435AC"/>
    <w:rsid w:val="00943699"/>
    <w:rsid w:val="009436BD"/>
    <w:rsid w:val="00943715"/>
    <w:rsid w:val="00943720"/>
    <w:rsid w:val="00943786"/>
    <w:rsid w:val="009437AF"/>
    <w:rsid w:val="00943865"/>
    <w:rsid w:val="009438B5"/>
    <w:rsid w:val="009438E0"/>
    <w:rsid w:val="00943924"/>
    <w:rsid w:val="00943A31"/>
    <w:rsid w:val="00943A32"/>
    <w:rsid w:val="00943B1A"/>
    <w:rsid w:val="00943B6B"/>
    <w:rsid w:val="00943B6E"/>
    <w:rsid w:val="00943B82"/>
    <w:rsid w:val="00943D57"/>
    <w:rsid w:val="00943F38"/>
    <w:rsid w:val="00943F98"/>
    <w:rsid w:val="00944017"/>
    <w:rsid w:val="00944103"/>
    <w:rsid w:val="00944122"/>
    <w:rsid w:val="009441A3"/>
    <w:rsid w:val="00944273"/>
    <w:rsid w:val="00944288"/>
    <w:rsid w:val="009442E9"/>
    <w:rsid w:val="00944363"/>
    <w:rsid w:val="0094462A"/>
    <w:rsid w:val="00944736"/>
    <w:rsid w:val="0094474A"/>
    <w:rsid w:val="009447ED"/>
    <w:rsid w:val="0094481F"/>
    <w:rsid w:val="00944825"/>
    <w:rsid w:val="00944827"/>
    <w:rsid w:val="009448AD"/>
    <w:rsid w:val="0094497C"/>
    <w:rsid w:val="0094499C"/>
    <w:rsid w:val="009449D4"/>
    <w:rsid w:val="00944A39"/>
    <w:rsid w:val="00944A3E"/>
    <w:rsid w:val="00944A6C"/>
    <w:rsid w:val="00944A87"/>
    <w:rsid w:val="00944AA8"/>
    <w:rsid w:val="00944ADC"/>
    <w:rsid w:val="00944AE2"/>
    <w:rsid w:val="00944B1D"/>
    <w:rsid w:val="00944B6A"/>
    <w:rsid w:val="00944BB2"/>
    <w:rsid w:val="00944C27"/>
    <w:rsid w:val="00944D1A"/>
    <w:rsid w:val="00944EA3"/>
    <w:rsid w:val="00944EB2"/>
    <w:rsid w:val="00944FF1"/>
    <w:rsid w:val="009450C7"/>
    <w:rsid w:val="009450DA"/>
    <w:rsid w:val="00945128"/>
    <w:rsid w:val="0094512B"/>
    <w:rsid w:val="00945195"/>
    <w:rsid w:val="009451A8"/>
    <w:rsid w:val="00945207"/>
    <w:rsid w:val="00945221"/>
    <w:rsid w:val="0094526F"/>
    <w:rsid w:val="009452A6"/>
    <w:rsid w:val="009452EE"/>
    <w:rsid w:val="009452F7"/>
    <w:rsid w:val="009452F9"/>
    <w:rsid w:val="009453BD"/>
    <w:rsid w:val="009453C8"/>
    <w:rsid w:val="00945554"/>
    <w:rsid w:val="00945578"/>
    <w:rsid w:val="009455E6"/>
    <w:rsid w:val="009456FA"/>
    <w:rsid w:val="0094572D"/>
    <w:rsid w:val="00945804"/>
    <w:rsid w:val="00945811"/>
    <w:rsid w:val="00945827"/>
    <w:rsid w:val="00945866"/>
    <w:rsid w:val="009458BB"/>
    <w:rsid w:val="00945967"/>
    <w:rsid w:val="009459A9"/>
    <w:rsid w:val="009459BC"/>
    <w:rsid w:val="00945A4A"/>
    <w:rsid w:val="00945AA1"/>
    <w:rsid w:val="00945AEE"/>
    <w:rsid w:val="00945B0A"/>
    <w:rsid w:val="00945B0B"/>
    <w:rsid w:val="00945BA7"/>
    <w:rsid w:val="00945D6F"/>
    <w:rsid w:val="00945D7E"/>
    <w:rsid w:val="00945DA5"/>
    <w:rsid w:val="00945DEE"/>
    <w:rsid w:val="00945DEF"/>
    <w:rsid w:val="00945E78"/>
    <w:rsid w:val="00945F13"/>
    <w:rsid w:val="00946068"/>
    <w:rsid w:val="00946121"/>
    <w:rsid w:val="0094615C"/>
    <w:rsid w:val="009462AF"/>
    <w:rsid w:val="009462CD"/>
    <w:rsid w:val="009462D5"/>
    <w:rsid w:val="0094633D"/>
    <w:rsid w:val="009463EB"/>
    <w:rsid w:val="009463F2"/>
    <w:rsid w:val="00946462"/>
    <w:rsid w:val="00946491"/>
    <w:rsid w:val="009464C2"/>
    <w:rsid w:val="00946527"/>
    <w:rsid w:val="00946540"/>
    <w:rsid w:val="00946588"/>
    <w:rsid w:val="009465BB"/>
    <w:rsid w:val="00946760"/>
    <w:rsid w:val="0094677E"/>
    <w:rsid w:val="00946810"/>
    <w:rsid w:val="00946884"/>
    <w:rsid w:val="009468CE"/>
    <w:rsid w:val="009468E1"/>
    <w:rsid w:val="0094690B"/>
    <w:rsid w:val="009469ED"/>
    <w:rsid w:val="00946A65"/>
    <w:rsid w:val="00946A77"/>
    <w:rsid w:val="00946ACE"/>
    <w:rsid w:val="00946AD8"/>
    <w:rsid w:val="00946B85"/>
    <w:rsid w:val="00946BCB"/>
    <w:rsid w:val="00946C0B"/>
    <w:rsid w:val="00946CA8"/>
    <w:rsid w:val="00946CAD"/>
    <w:rsid w:val="00946D95"/>
    <w:rsid w:val="00946DA3"/>
    <w:rsid w:val="00946DB5"/>
    <w:rsid w:val="00946F17"/>
    <w:rsid w:val="00946F6D"/>
    <w:rsid w:val="00946F72"/>
    <w:rsid w:val="00946FE7"/>
    <w:rsid w:val="00946FFD"/>
    <w:rsid w:val="00947019"/>
    <w:rsid w:val="00947056"/>
    <w:rsid w:val="00947094"/>
    <w:rsid w:val="009471DC"/>
    <w:rsid w:val="0094721B"/>
    <w:rsid w:val="00947224"/>
    <w:rsid w:val="009472BF"/>
    <w:rsid w:val="009472C2"/>
    <w:rsid w:val="0094732F"/>
    <w:rsid w:val="009473B0"/>
    <w:rsid w:val="00947412"/>
    <w:rsid w:val="009474E0"/>
    <w:rsid w:val="009474E1"/>
    <w:rsid w:val="00947548"/>
    <w:rsid w:val="00947582"/>
    <w:rsid w:val="009475DA"/>
    <w:rsid w:val="0094760D"/>
    <w:rsid w:val="009476AD"/>
    <w:rsid w:val="009476D2"/>
    <w:rsid w:val="009476ED"/>
    <w:rsid w:val="009476F8"/>
    <w:rsid w:val="0094771D"/>
    <w:rsid w:val="00947741"/>
    <w:rsid w:val="0094780F"/>
    <w:rsid w:val="0094783A"/>
    <w:rsid w:val="00947876"/>
    <w:rsid w:val="0094794D"/>
    <w:rsid w:val="009479BD"/>
    <w:rsid w:val="009479CF"/>
    <w:rsid w:val="009479D2"/>
    <w:rsid w:val="00947AF7"/>
    <w:rsid w:val="00947B35"/>
    <w:rsid w:val="00947B3A"/>
    <w:rsid w:val="00947B5A"/>
    <w:rsid w:val="00947B5C"/>
    <w:rsid w:val="00947B6E"/>
    <w:rsid w:val="00947BF0"/>
    <w:rsid w:val="00947BFA"/>
    <w:rsid w:val="00947BFB"/>
    <w:rsid w:val="00947C1A"/>
    <w:rsid w:val="00947C4A"/>
    <w:rsid w:val="00947CEC"/>
    <w:rsid w:val="00947E4A"/>
    <w:rsid w:val="00947E5E"/>
    <w:rsid w:val="00947E6F"/>
    <w:rsid w:val="00947EF3"/>
    <w:rsid w:val="00947F8A"/>
    <w:rsid w:val="00947FBD"/>
    <w:rsid w:val="00947FE5"/>
    <w:rsid w:val="00950096"/>
    <w:rsid w:val="0095009D"/>
    <w:rsid w:val="009500C0"/>
    <w:rsid w:val="00950294"/>
    <w:rsid w:val="009502B2"/>
    <w:rsid w:val="00950360"/>
    <w:rsid w:val="00950531"/>
    <w:rsid w:val="009505AE"/>
    <w:rsid w:val="00950644"/>
    <w:rsid w:val="00950655"/>
    <w:rsid w:val="009506A5"/>
    <w:rsid w:val="009506A6"/>
    <w:rsid w:val="0095070D"/>
    <w:rsid w:val="00950778"/>
    <w:rsid w:val="009508F9"/>
    <w:rsid w:val="0095093E"/>
    <w:rsid w:val="009509DF"/>
    <w:rsid w:val="00950A0D"/>
    <w:rsid w:val="00950A4E"/>
    <w:rsid w:val="00950A69"/>
    <w:rsid w:val="00950AE2"/>
    <w:rsid w:val="00950B29"/>
    <w:rsid w:val="00950B5D"/>
    <w:rsid w:val="00950C14"/>
    <w:rsid w:val="00950C3D"/>
    <w:rsid w:val="00950C90"/>
    <w:rsid w:val="00950C95"/>
    <w:rsid w:val="00950CBA"/>
    <w:rsid w:val="00950D1E"/>
    <w:rsid w:val="00950D60"/>
    <w:rsid w:val="00950D71"/>
    <w:rsid w:val="00950F0B"/>
    <w:rsid w:val="00950F74"/>
    <w:rsid w:val="00950FFF"/>
    <w:rsid w:val="00951093"/>
    <w:rsid w:val="009510ED"/>
    <w:rsid w:val="00951174"/>
    <w:rsid w:val="009511A0"/>
    <w:rsid w:val="0095128C"/>
    <w:rsid w:val="009512F4"/>
    <w:rsid w:val="00951325"/>
    <w:rsid w:val="009513E0"/>
    <w:rsid w:val="009514B2"/>
    <w:rsid w:val="009514C7"/>
    <w:rsid w:val="00951532"/>
    <w:rsid w:val="00951533"/>
    <w:rsid w:val="00951549"/>
    <w:rsid w:val="009515E5"/>
    <w:rsid w:val="00951663"/>
    <w:rsid w:val="009516D9"/>
    <w:rsid w:val="00951789"/>
    <w:rsid w:val="009517F3"/>
    <w:rsid w:val="00951891"/>
    <w:rsid w:val="00951A4F"/>
    <w:rsid w:val="00951B69"/>
    <w:rsid w:val="00951BD4"/>
    <w:rsid w:val="00951C78"/>
    <w:rsid w:val="00951C95"/>
    <w:rsid w:val="00951CCA"/>
    <w:rsid w:val="00951D03"/>
    <w:rsid w:val="00951D32"/>
    <w:rsid w:val="00951D34"/>
    <w:rsid w:val="00951D9B"/>
    <w:rsid w:val="00951E04"/>
    <w:rsid w:val="00951E59"/>
    <w:rsid w:val="00951F58"/>
    <w:rsid w:val="00951FD0"/>
    <w:rsid w:val="00951FEA"/>
    <w:rsid w:val="009521ED"/>
    <w:rsid w:val="00952269"/>
    <w:rsid w:val="009522F2"/>
    <w:rsid w:val="00952343"/>
    <w:rsid w:val="0095242E"/>
    <w:rsid w:val="0095245C"/>
    <w:rsid w:val="00952503"/>
    <w:rsid w:val="00952589"/>
    <w:rsid w:val="0095269A"/>
    <w:rsid w:val="0095273D"/>
    <w:rsid w:val="0095279F"/>
    <w:rsid w:val="009527FC"/>
    <w:rsid w:val="0095284B"/>
    <w:rsid w:val="00952B04"/>
    <w:rsid w:val="00952B34"/>
    <w:rsid w:val="00952BA1"/>
    <w:rsid w:val="00952D69"/>
    <w:rsid w:val="00952D97"/>
    <w:rsid w:val="00952E18"/>
    <w:rsid w:val="00952E8E"/>
    <w:rsid w:val="00952F2F"/>
    <w:rsid w:val="00952F71"/>
    <w:rsid w:val="00952F9C"/>
    <w:rsid w:val="009530E6"/>
    <w:rsid w:val="00953146"/>
    <w:rsid w:val="00953174"/>
    <w:rsid w:val="009532E3"/>
    <w:rsid w:val="009532F3"/>
    <w:rsid w:val="0095330C"/>
    <w:rsid w:val="00953325"/>
    <w:rsid w:val="0095333F"/>
    <w:rsid w:val="009533A2"/>
    <w:rsid w:val="00953429"/>
    <w:rsid w:val="00953457"/>
    <w:rsid w:val="009534D3"/>
    <w:rsid w:val="009534FC"/>
    <w:rsid w:val="00953500"/>
    <w:rsid w:val="00953538"/>
    <w:rsid w:val="00953556"/>
    <w:rsid w:val="009535D5"/>
    <w:rsid w:val="009536E5"/>
    <w:rsid w:val="00953717"/>
    <w:rsid w:val="00953755"/>
    <w:rsid w:val="0095383C"/>
    <w:rsid w:val="00953997"/>
    <w:rsid w:val="009539A0"/>
    <w:rsid w:val="009539CC"/>
    <w:rsid w:val="009539DE"/>
    <w:rsid w:val="00953A82"/>
    <w:rsid w:val="00953A9B"/>
    <w:rsid w:val="00953B39"/>
    <w:rsid w:val="00953BF3"/>
    <w:rsid w:val="00953C40"/>
    <w:rsid w:val="00953C77"/>
    <w:rsid w:val="00953CA3"/>
    <w:rsid w:val="00953CD4"/>
    <w:rsid w:val="00953E05"/>
    <w:rsid w:val="00953E6C"/>
    <w:rsid w:val="00953E9E"/>
    <w:rsid w:val="00953E9F"/>
    <w:rsid w:val="00953ECB"/>
    <w:rsid w:val="00953FAB"/>
    <w:rsid w:val="00953FF4"/>
    <w:rsid w:val="0095403B"/>
    <w:rsid w:val="0095405A"/>
    <w:rsid w:val="009540BC"/>
    <w:rsid w:val="009540D2"/>
    <w:rsid w:val="009540F3"/>
    <w:rsid w:val="009540FC"/>
    <w:rsid w:val="00954165"/>
    <w:rsid w:val="00954214"/>
    <w:rsid w:val="009542EA"/>
    <w:rsid w:val="0095433B"/>
    <w:rsid w:val="00954368"/>
    <w:rsid w:val="009543A1"/>
    <w:rsid w:val="009544C1"/>
    <w:rsid w:val="0095452B"/>
    <w:rsid w:val="00954639"/>
    <w:rsid w:val="00954758"/>
    <w:rsid w:val="0095479A"/>
    <w:rsid w:val="009547D1"/>
    <w:rsid w:val="0095482E"/>
    <w:rsid w:val="00954833"/>
    <w:rsid w:val="00954892"/>
    <w:rsid w:val="00954898"/>
    <w:rsid w:val="009548E6"/>
    <w:rsid w:val="00954A4A"/>
    <w:rsid w:val="00954A54"/>
    <w:rsid w:val="00954A68"/>
    <w:rsid w:val="00954A6C"/>
    <w:rsid w:val="00954A9E"/>
    <w:rsid w:val="00954B7C"/>
    <w:rsid w:val="00954BA8"/>
    <w:rsid w:val="00954BDE"/>
    <w:rsid w:val="00954C28"/>
    <w:rsid w:val="00954C62"/>
    <w:rsid w:val="00954D74"/>
    <w:rsid w:val="00954E17"/>
    <w:rsid w:val="00954EC2"/>
    <w:rsid w:val="00954F66"/>
    <w:rsid w:val="00954FD1"/>
    <w:rsid w:val="0095504F"/>
    <w:rsid w:val="0095506F"/>
    <w:rsid w:val="009550C4"/>
    <w:rsid w:val="00955131"/>
    <w:rsid w:val="00955175"/>
    <w:rsid w:val="0095521B"/>
    <w:rsid w:val="00955265"/>
    <w:rsid w:val="00955276"/>
    <w:rsid w:val="00955293"/>
    <w:rsid w:val="009552B0"/>
    <w:rsid w:val="009552F0"/>
    <w:rsid w:val="00955331"/>
    <w:rsid w:val="00955340"/>
    <w:rsid w:val="009553CF"/>
    <w:rsid w:val="0095544C"/>
    <w:rsid w:val="00955583"/>
    <w:rsid w:val="0095558E"/>
    <w:rsid w:val="009555A4"/>
    <w:rsid w:val="00955644"/>
    <w:rsid w:val="009557C9"/>
    <w:rsid w:val="00955825"/>
    <w:rsid w:val="00955879"/>
    <w:rsid w:val="009559ED"/>
    <w:rsid w:val="00955B74"/>
    <w:rsid w:val="00955B88"/>
    <w:rsid w:val="00955BE2"/>
    <w:rsid w:val="00955C25"/>
    <w:rsid w:val="00955CAF"/>
    <w:rsid w:val="00955D29"/>
    <w:rsid w:val="00955D3E"/>
    <w:rsid w:val="00955D9C"/>
    <w:rsid w:val="00955DCA"/>
    <w:rsid w:val="00955E09"/>
    <w:rsid w:val="00955E88"/>
    <w:rsid w:val="00955EC0"/>
    <w:rsid w:val="00955F1C"/>
    <w:rsid w:val="00955F56"/>
    <w:rsid w:val="00955FD1"/>
    <w:rsid w:val="00956065"/>
    <w:rsid w:val="00956077"/>
    <w:rsid w:val="009560A4"/>
    <w:rsid w:val="009560CC"/>
    <w:rsid w:val="009560F9"/>
    <w:rsid w:val="00956123"/>
    <w:rsid w:val="00956192"/>
    <w:rsid w:val="00956255"/>
    <w:rsid w:val="00956261"/>
    <w:rsid w:val="00956392"/>
    <w:rsid w:val="009563F0"/>
    <w:rsid w:val="009564BB"/>
    <w:rsid w:val="00956543"/>
    <w:rsid w:val="00956580"/>
    <w:rsid w:val="0095661D"/>
    <w:rsid w:val="00956732"/>
    <w:rsid w:val="00956748"/>
    <w:rsid w:val="009567B0"/>
    <w:rsid w:val="009567FA"/>
    <w:rsid w:val="00956877"/>
    <w:rsid w:val="0095687C"/>
    <w:rsid w:val="00956899"/>
    <w:rsid w:val="009568A2"/>
    <w:rsid w:val="009568F3"/>
    <w:rsid w:val="009569B8"/>
    <w:rsid w:val="009569E3"/>
    <w:rsid w:val="009569ED"/>
    <w:rsid w:val="00956AB7"/>
    <w:rsid w:val="00956C30"/>
    <w:rsid w:val="00956C4C"/>
    <w:rsid w:val="00956E4E"/>
    <w:rsid w:val="00956EAF"/>
    <w:rsid w:val="00956ED2"/>
    <w:rsid w:val="00956F6D"/>
    <w:rsid w:val="009570FB"/>
    <w:rsid w:val="00957134"/>
    <w:rsid w:val="0095714E"/>
    <w:rsid w:val="00957269"/>
    <w:rsid w:val="009573A3"/>
    <w:rsid w:val="009573A7"/>
    <w:rsid w:val="00957447"/>
    <w:rsid w:val="009574E2"/>
    <w:rsid w:val="009574FA"/>
    <w:rsid w:val="0095755D"/>
    <w:rsid w:val="009575EF"/>
    <w:rsid w:val="00957655"/>
    <w:rsid w:val="009576C3"/>
    <w:rsid w:val="009576C7"/>
    <w:rsid w:val="009576CE"/>
    <w:rsid w:val="009576FD"/>
    <w:rsid w:val="0095774D"/>
    <w:rsid w:val="0095776E"/>
    <w:rsid w:val="00957794"/>
    <w:rsid w:val="009577F4"/>
    <w:rsid w:val="00957868"/>
    <w:rsid w:val="00957884"/>
    <w:rsid w:val="00957888"/>
    <w:rsid w:val="0095789C"/>
    <w:rsid w:val="009578A1"/>
    <w:rsid w:val="009578B0"/>
    <w:rsid w:val="009578DD"/>
    <w:rsid w:val="00957983"/>
    <w:rsid w:val="00957A0B"/>
    <w:rsid w:val="00957A11"/>
    <w:rsid w:val="00957A34"/>
    <w:rsid w:val="00957ACA"/>
    <w:rsid w:val="00957B74"/>
    <w:rsid w:val="00957BAD"/>
    <w:rsid w:val="00957BF7"/>
    <w:rsid w:val="00957CB9"/>
    <w:rsid w:val="00957CBA"/>
    <w:rsid w:val="00957D1E"/>
    <w:rsid w:val="00957D9F"/>
    <w:rsid w:val="00957DD0"/>
    <w:rsid w:val="00957E9F"/>
    <w:rsid w:val="00957F49"/>
    <w:rsid w:val="0096006B"/>
    <w:rsid w:val="009600C8"/>
    <w:rsid w:val="0096014F"/>
    <w:rsid w:val="009601A2"/>
    <w:rsid w:val="009601A6"/>
    <w:rsid w:val="009601A9"/>
    <w:rsid w:val="009601DE"/>
    <w:rsid w:val="0096023F"/>
    <w:rsid w:val="0096026B"/>
    <w:rsid w:val="0096028C"/>
    <w:rsid w:val="0096029C"/>
    <w:rsid w:val="0096030F"/>
    <w:rsid w:val="00960327"/>
    <w:rsid w:val="00960461"/>
    <w:rsid w:val="00960476"/>
    <w:rsid w:val="0096049E"/>
    <w:rsid w:val="0096057E"/>
    <w:rsid w:val="009605E6"/>
    <w:rsid w:val="00960661"/>
    <w:rsid w:val="009606AB"/>
    <w:rsid w:val="0096071C"/>
    <w:rsid w:val="00960730"/>
    <w:rsid w:val="009607A9"/>
    <w:rsid w:val="009608B4"/>
    <w:rsid w:val="009608F8"/>
    <w:rsid w:val="0096090D"/>
    <w:rsid w:val="009609F0"/>
    <w:rsid w:val="00960A8C"/>
    <w:rsid w:val="00960ACE"/>
    <w:rsid w:val="00960AEB"/>
    <w:rsid w:val="00960B41"/>
    <w:rsid w:val="00960B4A"/>
    <w:rsid w:val="00960C16"/>
    <w:rsid w:val="00960C21"/>
    <w:rsid w:val="00960C46"/>
    <w:rsid w:val="00960C64"/>
    <w:rsid w:val="00960D2B"/>
    <w:rsid w:val="00960E96"/>
    <w:rsid w:val="00960EEB"/>
    <w:rsid w:val="00960F44"/>
    <w:rsid w:val="00960F88"/>
    <w:rsid w:val="00961026"/>
    <w:rsid w:val="0096107E"/>
    <w:rsid w:val="00961087"/>
    <w:rsid w:val="00961091"/>
    <w:rsid w:val="0096113B"/>
    <w:rsid w:val="00961227"/>
    <w:rsid w:val="0096123F"/>
    <w:rsid w:val="009612E1"/>
    <w:rsid w:val="009613B5"/>
    <w:rsid w:val="009613D3"/>
    <w:rsid w:val="009613EE"/>
    <w:rsid w:val="00961414"/>
    <w:rsid w:val="009614AC"/>
    <w:rsid w:val="00961519"/>
    <w:rsid w:val="00961575"/>
    <w:rsid w:val="00961587"/>
    <w:rsid w:val="00961690"/>
    <w:rsid w:val="00961717"/>
    <w:rsid w:val="00961766"/>
    <w:rsid w:val="009617AB"/>
    <w:rsid w:val="00961842"/>
    <w:rsid w:val="00961877"/>
    <w:rsid w:val="0096189C"/>
    <w:rsid w:val="009618AF"/>
    <w:rsid w:val="009618EB"/>
    <w:rsid w:val="0096190E"/>
    <w:rsid w:val="0096191C"/>
    <w:rsid w:val="00961941"/>
    <w:rsid w:val="00961951"/>
    <w:rsid w:val="00961A84"/>
    <w:rsid w:val="00961B11"/>
    <w:rsid w:val="00961B3B"/>
    <w:rsid w:val="00961B9A"/>
    <w:rsid w:val="00961BD6"/>
    <w:rsid w:val="00961C0B"/>
    <w:rsid w:val="00961C95"/>
    <w:rsid w:val="00961CC4"/>
    <w:rsid w:val="00961E06"/>
    <w:rsid w:val="00961EBC"/>
    <w:rsid w:val="00961F3C"/>
    <w:rsid w:val="00961F7B"/>
    <w:rsid w:val="00961FA1"/>
    <w:rsid w:val="00961FA6"/>
    <w:rsid w:val="00962043"/>
    <w:rsid w:val="00962143"/>
    <w:rsid w:val="00962192"/>
    <w:rsid w:val="009621C6"/>
    <w:rsid w:val="009621E5"/>
    <w:rsid w:val="00962291"/>
    <w:rsid w:val="0096229F"/>
    <w:rsid w:val="00962301"/>
    <w:rsid w:val="00962486"/>
    <w:rsid w:val="009624A1"/>
    <w:rsid w:val="009624A7"/>
    <w:rsid w:val="009624DC"/>
    <w:rsid w:val="00962549"/>
    <w:rsid w:val="009625C4"/>
    <w:rsid w:val="00962606"/>
    <w:rsid w:val="0096263E"/>
    <w:rsid w:val="0096264B"/>
    <w:rsid w:val="0096267E"/>
    <w:rsid w:val="009626B0"/>
    <w:rsid w:val="009626CE"/>
    <w:rsid w:val="00962740"/>
    <w:rsid w:val="00962826"/>
    <w:rsid w:val="00962860"/>
    <w:rsid w:val="009628CA"/>
    <w:rsid w:val="009628FB"/>
    <w:rsid w:val="009629AD"/>
    <w:rsid w:val="009629F3"/>
    <w:rsid w:val="00962A93"/>
    <w:rsid w:val="00962A9B"/>
    <w:rsid w:val="00962AE9"/>
    <w:rsid w:val="00962BDE"/>
    <w:rsid w:val="00962C55"/>
    <w:rsid w:val="00962D6A"/>
    <w:rsid w:val="00962DD2"/>
    <w:rsid w:val="00962DDC"/>
    <w:rsid w:val="00962E15"/>
    <w:rsid w:val="00962E52"/>
    <w:rsid w:val="00962F0A"/>
    <w:rsid w:val="00962F75"/>
    <w:rsid w:val="0096304C"/>
    <w:rsid w:val="00963057"/>
    <w:rsid w:val="009631CD"/>
    <w:rsid w:val="00963310"/>
    <w:rsid w:val="009633A0"/>
    <w:rsid w:val="00963457"/>
    <w:rsid w:val="009634AA"/>
    <w:rsid w:val="00963579"/>
    <w:rsid w:val="009635BE"/>
    <w:rsid w:val="009636BA"/>
    <w:rsid w:val="009636D7"/>
    <w:rsid w:val="0096377C"/>
    <w:rsid w:val="0096379A"/>
    <w:rsid w:val="0096392D"/>
    <w:rsid w:val="00963971"/>
    <w:rsid w:val="009639B2"/>
    <w:rsid w:val="00963A72"/>
    <w:rsid w:val="00963A97"/>
    <w:rsid w:val="00963A9C"/>
    <w:rsid w:val="00963AE5"/>
    <w:rsid w:val="00963AF1"/>
    <w:rsid w:val="00963B0A"/>
    <w:rsid w:val="00963B27"/>
    <w:rsid w:val="00963B68"/>
    <w:rsid w:val="00963B76"/>
    <w:rsid w:val="00963B80"/>
    <w:rsid w:val="00963BB0"/>
    <w:rsid w:val="00963C66"/>
    <w:rsid w:val="00963CCB"/>
    <w:rsid w:val="00963D91"/>
    <w:rsid w:val="00963DC9"/>
    <w:rsid w:val="00963DCA"/>
    <w:rsid w:val="00963E10"/>
    <w:rsid w:val="00963E20"/>
    <w:rsid w:val="00963ED4"/>
    <w:rsid w:val="00963F4C"/>
    <w:rsid w:val="00963FB9"/>
    <w:rsid w:val="0096403D"/>
    <w:rsid w:val="0096405B"/>
    <w:rsid w:val="009640B6"/>
    <w:rsid w:val="0096420C"/>
    <w:rsid w:val="009642DD"/>
    <w:rsid w:val="00964308"/>
    <w:rsid w:val="00964368"/>
    <w:rsid w:val="009643FF"/>
    <w:rsid w:val="0096441D"/>
    <w:rsid w:val="00964478"/>
    <w:rsid w:val="00964602"/>
    <w:rsid w:val="00964608"/>
    <w:rsid w:val="00964645"/>
    <w:rsid w:val="009646CE"/>
    <w:rsid w:val="009646D3"/>
    <w:rsid w:val="009646DC"/>
    <w:rsid w:val="009646EB"/>
    <w:rsid w:val="00964797"/>
    <w:rsid w:val="009647AE"/>
    <w:rsid w:val="00964827"/>
    <w:rsid w:val="00964911"/>
    <w:rsid w:val="00964960"/>
    <w:rsid w:val="00964A28"/>
    <w:rsid w:val="00964AA2"/>
    <w:rsid w:val="00964ABB"/>
    <w:rsid w:val="00964B86"/>
    <w:rsid w:val="00964C0F"/>
    <w:rsid w:val="00964C22"/>
    <w:rsid w:val="00964C54"/>
    <w:rsid w:val="00964CEB"/>
    <w:rsid w:val="00964DB0"/>
    <w:rsid w:val="00964DFA"/>
    <w:rsid w:val="00964EB3"/>
    <w:rsid w:val="00964F6E"/>
    <w:rsid w:val="00964FB7"/>
    <w:rsid w:val="0096506C"/>
    <w:rsid w:val="009650C7"/>
    <w:rsid w:val="009650DB"/>
    <w:rsid w:val="00965122"/>
    <w:rsid w:val="0096513B"/>
    <w:rsid w:val="00965151"/>
    <w:rsid w:val="009651D1"/>
    <w:rsid w:val="0096520D"/>
    <w:rsid w:val="00965225"/>
    <w:rsid w:val="009652BF"/>
    <w:rsid w:val="009655B2"/>
    <w:rsid w:val="009657FB"/>
    <w:rsid w:val="0096582A"/>
    <w:rsid w:val="009659B4"/>
    <w:rsid w:val="009659DB"/>
    <w:rsid w:val="00965A74"/>
    <w:rsid w:val="00965ABF"/>
    <w:rsid w:val="00965B36"/>
    <w:rsid w:val="00965B94"/>
    <w:rsid w:val="00965BE3"/>
    <w:rsid w:val="00965BFF"/>
    <w:rsid w:val="00965C0D"/>
    <w:rsid w:val="00965C73"/>
    <w:rsid w:val="00965D79"/>
    <w:rsid w:val="00965D82"/>
    <w:rsid w:val="00965D8D"/>
    <w:rsid w:val="00965E2C"/>
    <w:rsid w:val="00966063"/>
    <w:rsid w:val="00966097"/>
    <w:rsid w:val="00966122"/>
    <w:rsid w:val="0096617D"/>
    <w:rsid w:val="0096623C"/>
    <w:rsid w:val="00966276"/>
    <w:rsid w:val="00966283"/>
    <w:rsid w:val="009662D6"/>
    <w:rsid w:val="009663B3"/>
    <w:rsid w:val="00966437"/>
    <w:rsid w:val="009664A1"/>
    <w:rsid w:val="00966503"/>
    <w:rsid w:val="00966536"/>
    <w:rsid w:val="00966547"/>
    <w:rsid w:val="00966562"/>
    <w:rsid w:val="0096657B"/>
    <w:rsid w:val="009665B6"/>
    <w:rsid w:val="00966610"/>
    <w:rsid w:val="009666AB"/>
    <w:rsid w:val="009666B2"/>
    <w:rsid w:val="009666C2"/>
    <w:rsid w:val="00966808"/>
    <w:rsid w:val="00966819"/>
    <w:rsid w:val="00966849"/>
    <w:rsid w:val="00966862"/>
    <w:rsid w:val="009668D3"/>
    <w:rsid w:val="009668ED"/>
    <w:rsid w:val="00966919"/>
    <w:rsid w:val="00966963"/>
    <w:rsid w:val="009669A1"/>
    <w:rsid w:val="00966A09"/>
    <w:rsid w:val="00966A10"/>
    <w:rsid w:val="00966A4A"/>
    <w:rsid w:val="00966A94"/>
    <w:rsid w:val="00966AC1"/>
    <w:rsid w:val="00966B1D"/>
    <w:rsid w:val="00966B27"/>
    <w:rsid w:val="00966B3A"/>
    <w:rsid w:val="00966B9D"/>
    <w:rsid w:val="00966BFC"/>
    <w:rsid w:val="00966C31"/>
    <w:rsid w:val="00966C7D"/>
    <w:rsid w:val="00966CA8"/>
    <w:rsid w:val="00966D2C"/>
    <w:rsid w:val="00966D2F"/>
    <w:rsid w:val="00966D40"/>
    <w:rsid w:val="00966D41"/>
    <w:rsid w:val="00966D82"/>
    <w:rsid w:val="00966DD7"/>
    <w:rsid w:val="00966E97"/>
    <w:rsid w:val="00966F03"/>
    <w:rsid w:val="00966F06"/>
    <w:rsid w:val="00966F4B"/>
    <w:rsid w:val="00966F84"/>
    <w:rsid w:val="00966FDB"/>
    <w:rsid w:val="0096705C"/>
    <w:rsid w:val="0096707E"/>
    <w:rsid w:val="00967096"/>
    <w:rsid w:val="009670C0"/>
    <w:rsid w:val="0096713E"/>
    <w:rsid w:val="00967199"/>
    <w:rsid w:val="009671BF"/>
    <w:rsid w:val="009673E7"/>
    <w:rsid w:val="0096741D"/>
    <w:rsid w:val="0096743E"/>
    <w:rsid w:val="00967481"/>
    <w:rsid w:val="00967517"/>
    <w:rsid w:val="00967528"/>
    <w:rsid w:val="009675FB"/>
    <w:rsid w:val="009677A8"/>
    <w:rsid w:val="009677E8"/>
    <w:rsid w:val="00967855"/>
    <w:rsid w:val="0096791A"/>
    <w:rsid w:val="00967A13"/>
    <w:rsid w:val="00967A36"/>
    <w:rsid w:val="00967B25"/>
    <w:rsid w:val="00967B3A"/>
    <w:rsid w:val="00967BC2"/>
    <w:rsid w:val="00967BCE"/>
    <w:rsid w:val="00967BFC"/>
    <w:rsid w:val="00967C34"/>
    <w:rsid w:val="00967C3F"/>
    <w:rsid w:val="00967C87"/>
    <w:rsid w:val="00967D46"/>
    <w:rsid w:val="00967D90"/>
    <w:rsid w:val="00967DAA"/>
    <w:rsid w:val="00967DEA"/>
    <w:rsid w:val="00967F0B"/>
    <w:rsid w:val="00967F90"/>
    <w:rsid w:val="00967FB5"/>
    <w:rsid w:val="00967FBA"/>
    <w:rsid w:val="00967FD6"/>
    <w:rsid w:val="00967FD7"/>
    <w:rsid w:val="009700A8"/>
    <w:rsid w:val="009700BE"/>
    <w:rsid w:val="0097017F"/>
    <w:rsid w:val="0097023C"/>
    <w:rsid w:val="00970245"/>
    <w:rsid w:val="009702D3"/>
    <w:rsid w:val="0097033E"/>
    <w:rsid w:val="00970394"/>
    <w:rsid w:val="009703DD"/>
    <w:rsid w:val="00970498"/>
    <w:rsid w:val="00970537"/>
    <w:rsid w:val="009705F7"/>
    <w:rsid w:val="0097066A"/>
    <w:rsid w:val="00970694"/>
    <w:rsid w:val="00970699"/>
    <w:rsid w:val="0097070F"/>
    <w:rsid w:val="00970820"/>
    <w:rsid w:val="0097084A"/>
    <w:rsid w:val="00970899"/>
    <w:rsid w:val="009708A7"/>
    <w:rsid w:val="009708BF"/>
    <w:rsid w:val="0097092A"/>
    <w:rsid w:val="00970952"/>
    <w:rsid w:val="00970982"/>
    <w:rsid w:val="009709AD"/>
    <w:rsid w:val="009709B8"/>
    <w:rsid w:val="00970AC9"/>
    <w:rsid w:val="00970AFD"/>
    <w:rsid w:val="00970C25"/>
    <w:rsid w:val="00970C3E"/>
    <w:rsid w:val="00970C44"/>
    <w:rsid w:val="00970CC0"/>
    <w:rsid w:val="00970CF9"/>
    <w:rsid w:val="00970D34"/>
    <w:rsid w:val="00970D51"/>
    <w:rsid w:val="00970DF0"/>
    <w:rsid w:val="00970E01"/>
    <w:rsid w:val="00970E2F"/>
    <w:rsid w:val="009710D0"/>
    <w:rsid w:val="0097115F"/>
    <w:rsid w:val="009711B6"/>
    <w:rsid w:val="009711E2"/>
    <w:rsid w:val="009711EE"/>
    <w:rsid w:val="00971209"/>
    <w:rsid w:val="009712B5"/>
    <w:rsid w:val="00971387"/>
    <w:rsid w:val="0097138B"/>
    <w:rsid w:val="009713D9"/>
    <w:rsid w:val="00971482"/>
    <w:rsid w:val="00971492"/>
    <w:rsid w:val="00971496"/>
    <w:rsid w:val="009714FB"/>
    <w:rsid w:val="00971501"/>
    <w:rsid w:val="0097156F"/>
    <w:rsid w:val="009715FF"/>
    <w:rsid w:val="00971604"/>
    <w:rsid w:val="009716E1"/>
    <w:rsid w:val="0097170F"/>
    <w:rsid w:val="00971758"/>
    <w:rsid w:val="0097175C"/>
    <w:rsid w:val="0097176A"/>
    <w:rsid w:val="0097180D"/>
    <w:rsid w:val="00971816"/>
    <w:rsid w:val="0097185E"/>
    <w:rsid w:val="00971879"/>
    <w:rsid w:val="009718A0"/>
    <w:rsid w:val="009718B6"/>
    <w:rsid w:val="009718CA"/>
    <w:rsid w:val="00971904"/>
    <w:rsid w:val="009719B8"/>
    <w:rsid w:val="009719CF"/>
    <w:rsid w:val="00971A08"/>
    <w:rsid w:val="00971A29"/>
    <w:rsid w:val="00971A6C"/>
    <w:rsid w:val="00971AE2"/>
    <w:rsid w:val="00971B04"/>
    <w:rsid w:val="00971B30"/>
    <w:rsid w:val="00971BBB"/>
    <w:rsid w:val="00971C86"/>
    <w:rsid w:val="00971D02"/>
    <w:rsid w:val="00971DDB"/>
    <w:rsid w:val="00971E2F"/>
    <w:rsid w:val="00971E37"/>
    <w:rsid w:val="00971E8B"/>
    <w:rsid w:val="00971EBA"/>
    <w:rsid w:val="00971EBD"/>
    <w:rsid w:val="00971F3D"/>
    <w:rsid w:val="00971F88"/>
    <w:rsid w:val="00972107"/>
    <w:rsid w:val="00972118"/>
    <w:rsid w:val="0097211B"/>
    <w:rsid w:val="0097213F"/>
    <w:rsid w:val="00972161"/>
    <w:rsid w:val="0097220B"/>
    <w:rsid w:val="00972264"/>
    <w:rsid w:val="0097227E"/>
    <w:rsid w:val="009722A2"/>
    <w:rsid w:val="00972337"/>
    <w:rsid w:val="009723B3"/>
    <w:rsid w:val="0097240D"/>
    <w:rsid w:val="009724B7"/>
    <w:rsid w:val="00972528"/>
    <w:rsid w:val="0097253E"/>
    <w:rsid w:val="00972548"/>
    <w:rsid w:val="0097258D"/>
    <w:rsid w:val="009725CD"/>
    <w:rsid w:val="0097261C"/>
    <w:rsid w:val="00972656"/>
    <w:rsid w:val="00972728"/>
    <w:rsid w:val="00972730"/>
    <w:rsid w:val="009727E9"/>
    <w:rsid w:val="00972830"/>
    <w:rsid w:val="00972854"/>
    <w:rsid w:val="00972A2B"/>
    <w:rsid w:val="00972A59"/>
    <w:rsid w:val="00972A5A"/>
    <w:rsid w:val="00972A88"/>
    <w:rsid w:val="00972AC5"/>
    <w:rsid w:val="00972B56"/>
    <w:rsid w:val="00972C1A"/>
    <w:rsid w:val="00972CDC"/>
    <w:rsid w:val="00972CE0"/>
    <w:rsid w:val="00972D49"/>
    <w:rsid w:val="00972DAD"/>
    <w:rsid w:val="00972E69"/>
    <w:rsid w:val="00972EC0"/>
    <w:rsid w:val="00972EDF"/>
    <w:rsid w:val="00972F3D"/>
    <w:rsid w:val="00972F81"/>
    <w:rsid w:val="00972FBE"/>
    <w:rsid w:val="00973078"/>
    <w:rsid w:val="00973087"/>
    <w:rsid w:val="00973094"/>
    <w:rsid w:val="0097318C"/>
    <w:rsid w:val="009731F1"/>
    <w:rsid w:val="009731F6"/>
    <w:rsid w:val="00973205"/>
    <w:rsid w:val="00973218"/>
    <w:rsid w:val="00973270"/>
    <w:rsid w:val="009732AA"/>
    <w:rsid w:val="009732D7"/>
    <w:rsid w:val="0097337C"/>
    <w:rsid w:val="00973413"/>
    <w:rsid w:val="00973421"/>
    <w:rsid w:val="009734D2"/>
    <w:rsid w:val="00973571"/>
    <w:rsid w:val="009735D9"/>
    <w:rsid w:val="00973601"/>
    <w:rsid w:val="00973695"/>
    <w:rsid w:val="009736F9"/>
    <w:rsid w:val="00973745"/>
    <w:rsid w:val="00973769"/>
    <w:rsid w:val="009737C3"/>
    <w:rsid w:val="00973899"/>
    <w:rsid w:val="009738F8"/>
    <w:rsid w:val="0097391C"/>
    <w:rsid w:val="0097395E"/>
    <w:rsid w:val="00973A70"/>
    <w:rsid w:val="00973BE0"/>
    <w:rsid w:val="00973BE8"/>
    <w:rsid w:val="00973C15"/>
    <w:rsid w:val="00973CB5"/>
    <w:rsid w:val="00973CFC"/>
    <w:rsid w:val="00973D4B"/>
    <w:rsid w:val="00973DF5"/>
    <w:rsid w:val="00973E62"/>
    <w:rsid w:val="00973E8D"/>
    <w:rsid w:val="00974029"/>
    <w:rsid w:val="00974049"/>
    <w:rsid w:val="0097405F"/>
    <w:rsid w:val="0097409F"/>
    <w:rsid w:val="009740C9"/>
    <w:rsid w:val="009740D2"/>
    <w:rsid w:val="00974119"/>
    <w:rsid w:val="00974149"/>
    <w:rsid w:val="00974180"/>
    <w:rsid w:val="00974185"/>
    <w:rsid w:val="009742FB"/>
    <w:rsid w:val="009743C8"/>
    <w:rsid w:val="00974404"/>
    <w:rsid w:val="00974414"/>
    <w:rsid w:val="00974474"/>
    <w:rsid w:val="009744F1"/>
    <w:rsid w:val="009745A0"/>
    <w:rsid w:val="009745B4"/>
    <w:rsid w:val="009745B5"/>
    <w:rsid w:val="0097473D"/>
    <w:rsid w:val="00974786"/>
    <w:rsid w:val="00974799"/>
    <w:rsid w:val="009747B2"/>
    <w:rsid w:val="009747EE"/>
    <w:rsid w:val="009748E8"/>
    <w:rsid w:val="00974955"/>
    <w:rsid w:val="00974A6A"/>
    <w:rsid w:val="00974B77"/>
    <w:rsid w:val="00974B9F"/>
    <w:rsid w:val="00974BE2"/>
    <w:rsid w:val="00974DEA"/>
    <w:rsid w:val="00974EB4"/>
    <w:rsid w:val="00974F3B"/>
    <w:rsid w:val="00974F4E"/>
    <w:rsid w:val="00974FFC"/>
    <w:rsid w:val="00975007"/>
    <w:rsid w:val="00975063"/>
    <w:rsid w:val="009750A8"/>
    <w:rsid w:val="009750C5"/>
    <w:rsid w:val="00975118"/>
    <w:rsid w:val="00975227"/>
    <w:rsid w:val="00975287"/>
    <w:rsid w:val="009752AE"/>
    <w:rsid w:val="009752FE"/>
    <w:rsid w:val="00975327"/>
    <w:rsid w:val="00975343"/>
    <w:rsid w:val="0097535F"/>
    <w:rsid w:val="00975370"/>
    <w:rsid w:val="009753D8"/>
    <w:rsid w:val="00975413"/>
    <w:rsid w:val="00975488"/>
    <w:rsid w:val="009754DA"/>
    <w:rsid w:val="009754DD"/>
    <w:rsid w:val="0097551A"/>
    <w:rsid w:val="00975538"/>
    <w:rsid w:val="00975558"/>
    <w:rsid w:val="0097570C"/>
    <w:rsid w:val="00975772"/>
    <w:rsid w:val="009757CF"/>
    <w:rsid w:val="009757FD"/>
    <w:rsid w:val="0097582E"/>
    <w:rsid w:val="00975968"/>
    <w:rsid w:val="00975993"/>
    <w:rsid w:val="00975AC7"/>
    <w:rsid w:val="00975AED"/>
    <w:rsid w:val="00975B06"/>
    <w:rsid w:val="00975B9A"/>
    <w:rsid w:val="00975D1B"/>
    <w:rsid w:val="00975D91"/>
    <w:rsid w:val="00975E47"/>
    <w:rsid w:val="00975E5C"/>
    <w:rsid w:val="00975EB0"/>
    <w:rsid w:val="00975EB9"/>
    <w:rsid w:val="00975ED3"/>
    <w:rsid w:val="00975FCC"/>
    <w:rsid w:val="00976018"/>
    <w:rsid w:val="00976036"/>
    <w:rsid w:val="009760D4"/>
    <w:rsid w:val="00976161"/>
    <w:rsid w:val="0097616D"/>
    <w:rsid w:val="009761FF"/>
    <w:rsid w:val="00976262"/>
    <w:rsid w:val="00976321"/>
    <w:rsid w:val="0097633B"/>
    <w:rsid w:val="009763D4"/>
    <w:rsid w:val="0097648A"/>
    <w:rsid w:val="009764DE"/>
    <w:rsid w:val="00976571"/>
    <w:rsid w:val="009765C1"/>
    <w:rsid w:val="009765DB"/>
    <w:rsid w:val="009765FF"/>
    <w:rsid w:val="00976640"/>
    <w:rsid w:val="0097666E"/>
    <w:rsid w:val="0097673D"/>
    <w:rsid w:val="0097677C"/>
    <w:rsid w:val="009767C9"/>
    <w:rsid w:val="009767F8"/>
    <w:rsid w:val="00976829"/>
    <w:rsid w:val="00976A5B"/>
    <w:rsid w:val="00976A5D"/>
    <w:rsid w:val="00976A64"/>
    <w:rsid w:val="00976C2C"/>
    <w:rsid w:val="00976C6F"/>
    <w:rsid w:val="00976CB2"/>
    <w:rsid w:val="00976DC5"/>
    <w:rsid w:val="00976DCB"/>
    <w:rsid w:val="00976E8E"/>
    <w:rsid w:val="00976F11"/>
    <w:rsid w:val="00976F35"/>
    <w:rsid w:val="00976F95"/>
    <w:rsid w:val="00976FCA"/>
    <w:rsid w:val="00977109"/>
    <w:rsid w:val="0097716D"/>
    <w:rsid w:val="009771A7"/>
    <w:rsid w:val="00977261"/>
    <w:rsid w:val="009772A2"/>
    <w:rsid w:val="00977329"/>
    <w:rsid w:val="0097732C"/>
    <w:rsid w:val="00977366"/>
    <w:rsid w:val="00977407"/>
    <w:rsid w:val="00977494"/>
    <w:rsid w:val="009774D9"/>
    <w:rsid w:val="00977594"/>
    <w:rsid w:val="00977596"/>
    <w:rsid w:val="0097760D"/>
    <w:rsid w:val="00977611"/>
    <w:rsid w:val="00977633"/>
    <w:rsid w:val="0097769F"/>
    <w:rsid w:val="009776A9"/>
    <w:rsid w:val="009776D8"/>
    <w:rsid w:val="009776FA"/>
    <w:rsid w:val="0097773C"/>
    <w:rsid w:val="009777DD"/>
    <w:rsid w:val="00977839"/>
    <w:rsid w:val="0097791F"/>
    <w:rsid w:val="0097793A"/>
    <w:rsid w:val="009779F2"/>
    <w:rsid w:val="00977A0F"/>
    <w:rsid w:val="00977A3B"/>
    <w:rsid w:val="00977A49"/>
    <w:rsid w:val="00977A4A"/>
    <w:rsid w:val="00977ABD"/>
    <w:rsid w:val="00977AFF"/>
    <w:rsid w:val="00977B15"/>
    <w:rsid w:val="00977B34"/>
    <w:rsid w:val="00977B49"/>
    <w:rsid w:val="00977B82"/>
    <w:rsid w:val="00977BE1"/>
    <w:rsid w:val="00977C95"/>
    <w:rsid w:val="00977DFC"/>
    <w:rsid w:val="00977E3C"/>
    <w:rsid w:val="00977EB8"/>
    <w:rsid w:val="00977EDA"/>
    <w:rsid w:val="00977F52"/>
    <w:rsid w:val="00977F8D"/>
    <w:rsid w:val="00980041"/>
    <w:rsid w:val="00980155"/>
    <w:rsid w:val="00980170"/>
    <w:rsid w:val="009801C7"/>
    <w:rsid w:val="00980262"/>
    <w:rsid w:val="009802A9"/>
    <w:rsid w:val="0098034F"/>
    <w:rsid w:val="009804C0"/>
    <w:rsid w:val="009804D7"/>
    <w:rsid w:val="00980577"/>
    <w:rsid w:val="0098061C"/>
    <w:rsid w:val="009806E7"/>
    <w:rsid w:val="009806F2"/>
    <w:rsid w:val="00980736"/>
    <w:rsid w:val="00980816"/>
    <w:rsid w:val="00980850"/>
    <w:rsid w:val="00980863"/>
    <w:rsid w:val="00980946"/>
    <w:rsid w:val="009809F7"/>
    <w:rsid w:val="00980A86"/>
    <w:rsid w:val="00980B43"/>
    <w:rsid w:val="00980B88"/>
    <w:rsid w:val="00980C5E"/>
    <w:rsid w:val="00980CEA"/>
    <w:rsid w:val="00980D24"/>
    <w:rsid w:val="00980D63"/>
    <w:rsid w:val="00980D88"/>
    <w:rsid w:val="00980D8B"/>
    <w:rsid w:val="00980DE1"/>
    <w:rsid w:val="00980FF4"/>
    <w:rsid w:val="00981045"/>
    <w:rsid w:val="00981197"/>
    <w:rsid w:val="00981254"/>
    <w:rsid w:val="00981394"/>
    <w:rsid w:val="0098143E"/>
    <w:rsid w:val="009814D6"/>
    <w:rsid w:val="009814D8"/>
    <w:rsid w:val="0098150A"/>
    <w:rsid w:val="00981555"/>
    <w:rsid w:val="009815F9"/>
    <w:rsid w:val="009816CC"/>
    <w:rsid w:val="009816DF"/>
    <w:rsid w:val="009816E3"/>
    <w:rsid w:val="009817B0"/>
    <w:rsid w:val="009817EA"/>
    <w:rsid w:val="009817F0"/>
    <w:rsid w:val="0098185A"/>
    <w:rsid w:val="0098189C"/>
    <w:rsid w:val="009818C4"/>
    <w:rsid w:val="00981923"/>
    <w:rsid w:val="0098198D"/>
    <w:rsid w:val="00981A10"/>
    <w:rsid w:val="00981AA1"/>
    <w:rsid w:val="00981B09"/>
    <w:rsid w:val="00981B38"/>
    <w:rsid w:val="00981B41"/>
    <w:rsid w:val="00981C3A"/>
    <w:rsid w:val="00981C7B"/>
    <w:rsid w:val="00981CB6"/>
    <w:rsid w:val="00981CFA"/>
    <w:rsid w:val="00981D90"/>
    <w:rsid w:val="00981DB9"/>
    <w:rsid w:val="00981DDC"/>
    <w:rsid w:val="00981E56"/>
    <w:rsid w:val="00981E5A"/>
    <w:rsid w:val="00981EA4"/>
    <w:rsid w:val="00981F33"/>
    <w:rsid w:val="00981F4D"/>
    <w:rsid w:val="00981F98"/>
    <w:rsid w:val="00981FBB"/>
    <w:rsid w:val="00981FBC"/>
    <w:rsid w:val="00982074"/>
    <w:rsid w:val="0098208E"/>
    <w:rsid w:val="009820BB"/>
    <w:rsid w:val="009820BD"/>
    <w:rsid w:val="009820EF"/>
    <w:rsid w:val="009820FE"/>
    <w:rsid w:val="00982139"/>
    <w:rsid w:val="00982147"/>
    <w:rsid w:val="0098216A"/>
    <w:rsid w:val="00982194"/>
    <w:rsid w:val="009821F8"/>
    <w:rsid w:val="00982205"/>
    <w:rsid w:val="00982241"/>
    <w:rsid w:val="0098228A"/>
    <w:rsid w:val="009822A3"/>
    <w:rsid w:val="00982320"/>
    <w:rsid w:val="00982396"/>
    <w:rsid w:val="009823F1"/>
    <w:rsid w:val="0098243A"/>
    <w:rsid w:val="009824BC"/>
    <w:rsid w:val="009825D9"/>
    <w:rsid w:val="009825FF"/>
    <w:rsid w:val="00982603"/>
    <w:rsid w:val="00982620"/>
    <w:rsid w:val="0098266B"/>
    <w:rsid w:val="009826C0"/>
    <w:rsid w:val="00982705"/>
    <w:rsid w:val="009827D4"/>
    <w:rsid w:val="009827D5"/>
    <w:rsid w:val="009827D6"/>
    <w:rsid w:val="009827E9"/>
    <w:rsid w:val="009827EB"/>
    <w:rsid w:val="00982890"/>
    <w:rsid w:val="009828B1"/>
    <w:rsid w:val="00982939"/>
    <w:rsid w:val="00982949"/>
    <w:rsid w:val="00982AAF"/>
    <w:rsid w:val="00982B54"/>
    <w:rsid w:val="00982B6C"/>
    <w:rsid w:val="00982BBD"/>
    <w:rsid w:val="00982DA3"/>
    <w:rsid w:val="00982E0A"/>
    <w:rsid w:val="00982E4E"/>
    <w:rsid w:val="00982F4D"/>
    <w:rsid w:val="00983025"/>
    <w:rsid w:val="00983047"/>
    <w:rsid w:val="00983062"/>
    <w:rsid w:val="00983085"/>
    <w:rsid w:val="0098308B"/>
    <w:rsid w:val="009830C4"/>
    <w:rsid w:val="00983212"/>
    <w:rsid w:val="00983242"/>
    <w:rsid w:val="0098325F"/>
    <w:rsid w:val="00983279"/>
    <w:rsid w:val="009832C2"/>
    <w:rsid w:val="009832DF"/>
    <w:rsid w:val="009832E1"/>
    <w:rsid w:val="0098338B"/>
    <w:rsid w:val="00983416"/>
    <w:rsid w:val="00983443"/>
    <w:rsid w:val="009834FC"/>
    <w:rsid w:val="00983536"/>
    <w:rsid w:val="0098356F"/>
    <w:rsid w:val="0098359B"/>
    <w:rsid w:val="00983657"/>
    <w:rsid w:val="0098366F"/>
    <w:rsid w:val="00983772"/>
    <w:rsid w:val="00983787"/>
    <w:rsid w:val="009837D6"/>
    <w:rsid w:val="009837DA"/>
    <w:rsid w:val="009837DE"/>
    <w:rsid w:val="0098380F"/>
    <w:rsid w:val="00983811"/>
    <w:rsid w:val="009838F6"/>
    <w:rsid w:val="0098391A"/>
    <w:rsid w:val="00983939"/>
    <w:rsid w:val="009839BD"/>
    <w:rsid w:val="009839CD"/>
    <w:rsid w:val="009839D2"/>
    <w:rsid w:val="00983A1C"/>
    <w:rsid w:val="00983A45"/>
    <w:rsid w:val="00983AFD"/>
    <w:rsid w:val="00983B13"/>
    <w:rsid w:val="00983B3A"/>
    <w:rsid w:val="00983B69"/>
    <w:rsid w:val="00983BB1"/>
    <w:rsid w:val="00983CBB"/>
    <w:rsid w:val="00983CF6"/>
    <w:rsid w:val="00983D6D"/>
    <w:rsid w:val="00983D89"/>
    <w:rsid w:val="00983E21"/>
    <w:rsid w:val="00983E60"/>
    <w:rsid w:val="00983F5E"/>
    <w:rsid w:val="0098400D"/>
    <w:rsid w:val="00984058"/>
    <w:rsid w:val="009840EF"/>
    <w:rsid w:val="00984105"/>
    <w:rsid w:val="00984122"/>
    <w:rsid w:val="0098415A"/>
    <w:rsid w:val="009843A2"/>
    <w:rsid w:val="00984431"/>
    <w:rsid w:val="00984439"/>
    <w:rsid w:val="00984476"/>
    <w:rsid w:val="009844DC"/>
    <w:rsid w:val="009845A2"/>
    <w:rsid w:val="009845CD"/>
    <w:rsid w:val="00984627"/>
    <w:rsid w:val="0098462A"/>
    <w:rsid w:val="00984665"/>
    <w:rsid w:val="00984686"/>
    <w:rsid w:val="00984690"/>
    <w:rsid w:val="009846C3"/>
    <w:rsid w:val="0098488D"/>
    <w:rsid w:val="009848BC"/>
    <w:rsid w:val="009848C6"/>
    <w:rsid w:val="00984995"/>
    <w:rsid w:val="00984A5E"/>
    <w:rsid w:val="00984ABC"/>
    <w:rsid w:val="00984B75"/>
    <w:rsid w:val="00984CCE"/>
    <w:rsid w:val="00984CDB"/>
    <w:rsid w:val="00984D2A"/>
    <w:rsid w:val="00984D36"/>
    <w:rsid w:val="00984D51"/>
    <w:rsid w:val="00984DC0"/>
    <w:rsid w:val="00984DD2"/>
    <w:rsid w:val="00984E8D"/>
    <w:rsid w:val="00984EE6"/>
    <w:rsid w:val="00984F38"/>
    <w:rsid w:val="00984F6A"/>
    <w:rsid w:val="00984FC0"/>
    <w:rsid w:val="00984FCB"/>
    <w:rsid w:val="00984FF4"/>
    <w:rsid w:val="00985000"/>
    <w:rsid w:val="0098502E"/>
    <w:rsid w:val="00985257"/>
    <w:rsid w:val="00985335"/>
    <w:rsid w:val="00985337"/>
    <w:rsid w:val="00985398"/>
    <w:rsid w:val="009853AF"/>
    <w:rsid w:val="00985471"/>
    <w:rsid w:val="0098549C"/>
    <w:rsid w:val="009854B0"/>
    <w:rsid w:val="009854C4"/>
    <w:rsid w:val="00985502"/>
    <w:rsid w:val="00985511"/>
    <w:rsid w:val="0098559A"/>
    <w:rsid w:val="0098559F"/>
    <w:rsid w:val="009855BD"/>
    <w:rsid w:val="009855F5"/>
    <w:rsid w:val="00985606"/>
    <w:rsid w:val="009856ED"/>
    <w:rsid w:val="0098571F"/>
    <w:rsid w:val="00985723"/>
    <w:rsid w:val="009857C7"/>
    <w:rsid w:val="00985861"/>
    <w:rsid w:val="009858B9"/>
    <w:rsid w:val="009859FA"/>
    <w:rsid w:val="00985A33"/>
    <w:rsid w:val="00985ACE"/>
    <w:rsid w:val="00985AF8"/>
    <w:rsid w:val="00985BB5"/>
    <w:rsid w:val="00985BD5"/>
    <w:rsid w:val="00985C73"/>
    <w:rsid w:val="00985D22"/>
    <w:rsid w:val="00985D4C"/>
    <w:rsid w:val="00985DDC"/>
    <w:rsid w:val="00985E17"/>
    <w:rsid w:val="00985FB6"/>
    <w:rsid w:val="00986051"/>
    <w:rsid w:val="009860AB"/>
    <w:rsid w:val="009860CD"/>
    <w:rsid w:val="00986164"/>
    <w:rsid w:val="0098619F"/>
    <w:rsid w:val="009861B3"/>
    <w:rsid w:val="009861DF"/>
    <w:rsid w:val="00986222"/>
    <w:rsid w:val="00986269"/>
    <w:rsid w:val="009862E0"/>
    <w:rsid w:val="0098634F"/>
    <w:rsid w:val="00986389"/>
    <w:rsid w:val="009863F3"/>
    <w:rsid w:val="0098649A"/>
    <w:rsid w:val="0098650D"/>
    <w:rsid w:val="0098655D"/>
    <w:rsid w:val="00986610"/>
    <w:rsid w:val="00986638"/>
    <w:rsid w:val="0098668D"/>
    <w:rsid w:val="009866D5"/>
    <w:rsid w:val="00986726"/>
    <w:rsid w:val="0098672C"/>
    <w:rsid w:val="00986739"/>
    <w:rsid w:val="0098684B"/>
    <w:rsid w:val="0098695B"/>
    <w:rsid w:val="0098695C"/>
    <w:rsid w:val="00986A12"/>
    <w:rsid w:val="00986A18"/>
    <w:rsid w:val="00986A72"/>
    <w:rsid w:val="00986ADB"/>
    <w:rsid w:val="00986B05"/>
    <w:rsid w:val="00986B39"/>
    <w:rsid w:val="00986B43"/>
    <w:rsid w:val="00986B7B"/>
    <w:rsid w:val="00986B87"/>
    <w:rsid w:val="00986BB9"/>
    <w:rsid w:val="00986C17"/>
    <w:rsid w:val="00986CA2"/>
    <w:rsid w:val="00986D6B"/>
    <w:rsid w:val="00986EA0"/>
    <w:rsid w:val="00986EDC"/>
    <w:rsid w:val="00986F0E"/>
    <w:rsid w:val="00986F39"/>
    <w:rsid w:val="00986F5E"/>
    <w:rsid w:val="00986FC5"/>
    <w:rsid w:val="0098705C"/>
    <w:rsid w:val="0098706F"/>
    <w:rsid w:val="00987072"/>
    <w:rsid w:val="0098707E"/>
    <w:rsid w:val="009870BF"/>
    <w:rsid w:val="00987152"/>
    <w:rsid w:val="009871EB"/>
    <w:rsid w:val="0098720C"/>
    <w:rsid w:val="009872B9"/>
    <w:rsid w:val="009872F4"/>
    <w:rsid w:val="00987320"/>
    <w:rsid w:val="00987411"/>
    <w:rsid w:val="0098747F"/>
    <w:rsid w:val="009874AD"/>
    <w:rsid w:val="009874B1"/>
    <w:rsid w:val="009874DA"/>
    <w:rsid w:val="00987539"/>
    <w:rsid w:val="009875DB"/>
    <w:rsid w:val="0098763E"/>
    <w:rsid w:val="00987661"/>
    <w:rsid w:val="00987693"/>
    <w:rsid w:val="009876B7"/>
    <w:rsid w:val="009876FE"/>
    <w:rsid w:val="00987732"/>
    <w:rsid w:val="00987740"/>
    <w:rsid w:val="00987746"/>
    <w:rsid w:val="00987759"/>
    <w:rsid w:val="00987877"/>
    <w:rsid w:val="00987880"/>
    <w:rsid w:val="00987897"/>
    <w:rsid w:val="00987936"/>
    <w:rsid w:val="00987988"/>
    <w:rsid w:val="009879C9"/>
    <w:rsid w:val="00987A4E"/>
    <w:rsid w:val="00987A61"/>
    <w:rsid w:val="00987A99"/>
    <w:rsid w:val="00987AB4"/>
    <w:rsid w:val="00987AEA"/>
    <w:rsid w:val="00987B9B"/>
    <w:rsid w:val="00987BB0"/>
    <w:rsid w:val="00987C53"/>
    <w:rsid w:val="00987C6F"/>
    <w:rsid w:val="00987D0E"/>
    <w:rsid w:val="00987E20"/>
    <w:rsid w:val="00987E56"/>
    <w:rsid w:val="00987E79"/>
    <w:rsid w:val="00987F0D"/>
    <w:rsid w:val="00987FB4"/>
    <w:rsid w:val="00987FCA"/>
    <w:rsid w:val="00990056"/>
    <w:rsid w:val="0099006F"/>
    <w:rsid w:val="0099007F"/>
    <w:rsid w:val="009900E2"/>
    <w:rsid w:val="00990163"/>
    <w:rsid w:val="0099016E"/>
    <w:rsid w:val="00990217"/>
    <w:rsid w:val="00990286"/>
    <w:rsid w:val="009903CF"/>
    <w:rsid w:val="0099040F"/>
    <w:rsid w:val="009904B1"/>
    <w:rsid w:val="00990502"/>
    <w:rsid w:val="009905B7"/>
    <w:rsid w:val="009905D7"/>
    <w:rsid w:val="0099063D"/>
    <w:rsid w:val="00990654"/>
    <w:rsid w:val="0099073C"/>
    <w:rsid w:val="0099074C"/>
    <w:rsid w:val="0099077D"/>
    <w:rsid w:val="009907A0"/>
    <w:rsid w:val="009907E4"/>
    <w:rsid w:val="009908F4"/>
    <w:rsid w:val="00990904"/>
    <w:rsid w:val="00990973"/>
    <w:rsid w:val="009909ED"/>
    <w:rsid w:val="009909F3"/>
    <w:rsid w:val="00990A8C"/>
    <w:rsid w:val="00990AC8"/>
    <w:rsid w:val="00990AEB"/>
    <w:rsid w:val="00990B50"/>
    <w:rsid w:val="00990B76"/>
    <w:rsid w:val="00990B9A"/>
    <w:rsid w:val="00990BA7"/>
    <w:rsid w:val="00990BE0"/>
    <w:rsid w:val="00990C3E"/>
    <w:rsid w:val="00990CE6"/>
    <w:rsid w:val="00990D05"/>
    <w:rsid w:val="00990D66"/>
    <w:rsid w:val="00990D8D"/>
    <w:rsid w:val="00990DB3"/>
    <w:rsid w:val="00990DE9"/>
    <w:rsid w:val="00990E2D"/>
    <w:rsid w:val="00990E71"/>
    <w:rsid w:val="00990F64"/>
    <w:rsid w:val="00990F7F"/>
    <w:rsid w:val="00990FD0"/>
    <w:rsid w:val="00991037"/>
    <w:rsid w:val="009910FA"/>
    <w:rsid w:val="0099115B"/>
    <w:rsid w:val="00991179"/>
    <w:rsid w:val="0099117B"/>
    <w:rsid w:val="0099123A"/>
    <w:rsid w:val="009912DC"/>
    <w:rsid w:val="009913FB"/>
    <w:rsid w:val="00991447"/>
    <w:rsid w:val="00991451"/>
    <w:rsid w:val="009914A3"/>
    <w:rsid w:val="009914A6"/>
    <w:rsid w:val="0099152B"/>
    <w:rsid w:val="0099168B"/>
    <w:rsid w:val="00991798"/>
    <w:rsid w:val="009918F1"/>
    <w:rsid w:val="00991A1D"/>
    <w:rsid w:val="00991A4B"/>
    <w:rsid w:val="00991AB5"/>
    <w:rsid w:val="00991AEE"/>
    <w:rsid w:val="00991B31"/>
    <w:rsid w:val="00991B4F"/>
    <w:rsid w:val="00991B58"/>
    <w:rsid w:val="00991B77"/>
    <w:rsid w:val="00991BAB"/>
    <w:rsid w:val="00991BCE"/>
    <w:rsid w:val="00991C4F"/>
    <w:rsid w:val="00991CC1"/>
    <w:rsid w:val="00991CFC"/>
    <w:rsid w:val="00991D37"/>
    <w:rsid w:val="00991D6D"/>
    <w:rsid w:val="00991D73"/>
    <w:rsid w:val="00991D82"/>
    <w:rsid w:val="00991DBF"/>
    <w:rsid w:val="00991DD6"/>
    <w:rsid w:val="00991E77"/>
    <w:rsid w:val="00992046"/>
    <w:rsid w:val="0099217B"/>
    <w:rsid w:val="00992297"/>
    <w:rsid w:val="009922A2"/>
    <w:rsid w:val="009922B7"/>
    <w:rsid w:val="009922FF"/>
    <w:rsid w:val="0099231B"/>
    <w:rsid w:val="00992409"/>
    <w:rsid w:val="0099241B"/>
    <w:rsid w:val="0099241D"/>
    <w:rsid w:val="00992431"/>
    <w:rsid w:val="00992435"/>
    <w:rsid w:val="00992436"/>
    <w:rsid w:val="009924E1"/>
    <w:rsid w:val="00992867"/>
    <w:rsid w:val="00992889"/>
    <w:rsid w:val="009928A3"/>
    <w:rsid w:val="009928C4"/>
    <w:rsid w:val="00992937"/>
    <w:rsid w:val="00992942"/>
    <w:rsid w:val="00992977"/>
    <w:rsid w:val="009929CC"/>
    <w:rsid w:val="009929FD"/>
    <w:rsid w:val="00992A75"/>
    <w:rsid w:val="00992AB4"/>
    <w:rsid w:val="00992CC4"/>
    <w:rsid w:val="00992D0D"/>
    <w:rsid w:val="00992D63"/>
    <w:rsid w:val="00992D64"/>
    <w:rsid w:val="00992D89"/>
    <w:rsid w:val="00992DDA"/>
    <w:rsid w:val="00992E1C"/>
    <w:rsid w:val="00992E53"/>
    <w:rsid w:val="00992EC8"/>
    <w:rsid w:val="00992EE9"/>
    <w:rsid w:val="00992F54"/>
    <w:rsid w:val="00992F9C"/>
    <w:rsid w:val="00993040"/>
    <w:rsid w:val="00993095"/>
    <w:rsid w:val="009930A0"/>
    <w:rsid w:val="009930DB"/>
    <w:rsid w:val="009930FD"/>
    <w:rsid w:val="009931C9"/>
    <w:rsid w:val="009931F2"/>
    <w:rsid w:val="0099332B"/>
    <w:rsid w:val="00993388"/>
    <w:rsid w:val="009933A4"/>
    <w:rsid w:val="00993420"/>
    <w:rsid w:val="00993480"/>
    <w:rsid w:val="009934DB"/>
    <w:rsid w:val="00993549"/>
    <w:rsid w:val="009935B6"/>
    <w:rsid w:val="00993613"/>
    <w:rsid w:val="00993645"/>
    <w:rsid w:val="00993657"/>
    <w:rsid w:val="00993707"/>
    <w:rsid w:val="00993715"/>
    <w:rsid w:val="00993726"/>
    <w:rsid w:val="00993794"/>
    <w:rsid w:val="009937A6"/>
    <w:rsid w:val="009937C1"/>
    <w:rsid w:val="009937FF"/>
    <w:rsid w:val="00993874"/>
    <w:rsid w:val="00993879"/>
    <w:rsid w:val="009938F4"/>
    <w:rsid w:val="0099390F"/>
    <w:rsid w:val="00993948"/>
    <w:rsid w:val="00993A3A"/>
    <w:rsid w:val="00993AA3"/>
    <w:rsid w:val="00993ABA"/>
    <w:rsid w:val="00993B92"/>
    <w:rsid w:val="00993C09"/>
    <w:rsid w:val="00993C0B"/>
    <w:rsid w:val="00993CBF"/>
    <w:rsid w:val="00993D8E"/>
    <w:rsid w:val="00993E0D"/>
    <w:rsid w:val="00993E17"/>
    <w:rsid w:val="00993E2A"/>
    <w:rsid w:val="00993F15"/>
    <w:rsid w:val="00993F75"/>
    <w:rsid w:val="0099407A"/>
    <w:rsid w:val="0099411A"/>
    <w:rsid w:val="0099412A"/>
    <w:rsid w:val="009942CF"/>
    <w:rsid w:val="009942D6"/>
    <w:rsid w:val="0099434E"/>
    <w:rsid w:val="00994372"/>
    <w:rsid w:val="00994469"/>
    <w:rsid w:val="0099446B"/>
    <w:rsid w:val="009944B4"/>
    <w:rsid w:val="0099454F"/>
    <w:rsid w:val="00994571"/>
    <w:rsid w:val="009946CA"/>
    <w:rsid w:val="0099476F"/>
    <w:rsid w:val="00994772"/>
    <w:rsid w:val="0099477A"/>
    <w:rsid w:val="0099477E"/>
    <w:rsid w:val="0099478D"/>
    <w:rsid w:val="009947CF"/>
    <w:rsid w:val="009948BC"/>
    <w:rsid w:val="00994904"/>
    <w:rsid w:val="009949C9"/>
    <w:rsid w:val="00994AA7"/>
    <w:rsid w:val="00994AE4"/>
    <w:rsid w:val="00994B09"/>
    <w:rsid w:val="00994B9B"/>
    <w:rsid w:val="00994BE3"/>
    <w:rsid w:val="00994C6A"/>
    <w:rsid w:val="00994C77"/>
    <w:rsid w:val="00994CE1"/>
    <w:rsid w:val="00994CE6"/>
    <w:rsid w:val="00994CEF"/>
    <w:rsid w:val="00994D59"/>
    <w:rsid w:val="00994D71"/>
    <w:rsid w:val="00994ED7"/>
    <w:rsid w:val="00994F35"/>
    <w:rsid w:val="00994F4F"/>
    <w:rsid w:val="0099501A"/>
    <w:rsid w:val="00995082"/>
    <w:rsid w:val="00995084"/>
    <w:rsid w:val="009950A7"/>
    <w:rsid w:val="00995122"/>
    <w:rsid w:val="009951F4"/>
    <w:rsid w:val="00995260"/>
    <w:rsid w:val="0099527D"/>
    <w:rsid w:val="0099531E"/>
    <w:rsid w:val="00995321"/>
    <w:rsid w:val="00995327"/>
    <w:rsid w:val="00995366"/>
    <w:rsid w:val="00995370"/>
    <w:rsid w:val="009953C2"/>
    <w:rsid w:val="009953CF"/>
    <w:rsid w:val="00995479"/>
    <w:rsid w:val="009954AA"/>
    <w:rsid w:val="00995546"/>
    <w:rsid w:val="00995577"/>
    <w:rsid w:val="009956D9"/>
    <w:rsid w:val="0099573F"/>
    <w:rsid w:val="009957F1"/>
    <w:rsid w:val="00995812"/>
    <w:rsid w:val="009959F3"/>
    <w:rsid w:val="00995A6B"/>
    <w:rsid w:val="00995A86"/>
    <w:rsid w:val="00995ADF"/>
    <w:rsid w:val="00995AE3"/>
    <w:rsid w:val="00995B0B"/>
    <w:rsid w:val="00995BF4"/>
    <w:rsid w:val="00995C4A"/>
    <w:rsid w:val="00995C6A"/>
    <w:rsid w:val="00995CE5"/>
    <w:rsid w:val="00995D37"/>
    <w:rsid w:val="00995D4B"/>
    <w:rsid w:val="00995D80"/>
    <w:rsid w:val="00995E6C"/>
    <w:rsid w:val="00995F32"/>
    <w:rsid w:val="00995F74"/>
    <w:rsid w:val="00996040"/>
    <w:rsid w:val="009960A4"/>
    <w:rsid w:val="00996120"/>
    <w:rsid w:val="00996182"/>
    <w:rsid w:val="009962D5"/>
    <w:rsid w:val="009962E6"/>
    <w:rsid w:val="009962F0"/>
    <w:rsid w:val="00996303"/>
    <w:rsid w:val="0099630E"/>
    <w:rsid w:val="00996322"/>
    <w:rsid w:val="0099632A"/>
    <w:rsid w:val="0099638E"/>
    <w:rsid w:val="009963C1"/>
    <w:rsid w:val="00996425"/>
    <w:rsid w:val="00996548"/>
    <w:rsid w:val="0099663C"/>
    <w:rsid w:val="00996644"/>
    <w:rsid w:val="0099672E"/>
    <w:rsid w:val="0099674C"/>
    <w:rsid w:val="009967F1"/>
    <w:rsid w:val="009968F6"/>
    <w:rsid w:val="00996A2F"/>
    <w:rsid w:val="00996C2F"/>
    <w:rsid w:val="00996C7E"/>
    <w:rsid w:val="00996CBC"/>
    <w:rsid w:val="00996DD1"/>
    <w:rsid w:val="00996DE4"/>
    <w:rsid w:val="00996E46"/>
    <w:rsid w:val="00996F22"/>
    <w:rsid w:val="00997144"/>
    <w:rsid w:val="00997152"/>
    <w:rsid w:val="009971B1"/>
    <w:rsid w:val="009971B2"/>
    <w:rsid w:val="00997268"/>
    <w:rsid w:val="0099733B"/>
    <w:rsid w:val="009973D2"/>
    <w:rsid w:val="009973E4"/>
    <w:rsid w:val="009973F1"/>
    <w:rsid w:val="0099745B"/>
    <w:rsid w:val="009974F4"/>
    <w:rsid w:val="00997574"/>
    <w:rsid w:val="00997576"/>
    <w:rsid w:val="009975CB"/>
    <w:rsid w:val="00997618"/>
    <w:rsid w:val="00997633"/>
    <w:rsid w:val="0099763D"/>
    <w:rsid w:val="009976B0"/>
    <w:rsid w:val="009976F3"/>
    <w:rsid w:val="00997732"/>
    <w:rsid w:val="00997759"/>
    <w:rsid w:val="009977B5"/>
    <w:rsid w:val="009977BE"/>
    <w:rsid w:val="009977DE"/>
    <w:rsid w:val="009977EF"/>
    <w:rsid w:val="009977F9"/>
    <w:rsid w:val="009977FA"/>
    <w:rsid w:val="00997924"/>
    <w:rsid w:val="00997969"/>
    <w:rsid w:val="00997991"/>
    <w:rsid w:val="009979E1"/>
    <w:rsid w:val="00997B29"/>
    <w:rsid w:val="00997B75"/>
    <w:rsid w:val="00997C37"/>
    <w:rsid w:val="00997CB9"/>
    <w:rsid w:val="00997CBD"/>
    <w:rsid w:val="00997CDA"/>
    <w:rsid w:val="00997CE3"/>
    <w:rsid w:val="00997CFD"/>
    <w:rsid w:val="00997D2B"/>
    <w:rsid w:val="00997D9E"/>
    <w:rsid w:val="00997DD1"/>
    <w:rsid w:val="00997E00"/>
    <w:rsid w:val="00997EA8"/>
    <w:rsid w:val="00997EF1"/>
    <w:rsid w:val="00997F22"/>
    <w:rsid w:val="00997FAC"/>
    <w:rsid w:val="00997FED"/>
    <w:rsid w:val="009A0139"/>
    <w:rsid w:val="009A01A0"/>
    <w:rsid w:val="009A020B"/>
    <w:rsid w:val="009A0250"/>
    <w:rsid w:val="009A0277"/>
    <w:rsid w:val="009A02B2"/>
    <w:rsid w:val="009A0408"/>
    <w:rsid w:val="009A044B"/>
    <w:rsid w:val="009A04AE"/>
    <w:rsid w:val="009A04BF"/>
    <w:rsid w:val="009A04E7"/>
    <w:rsid w:val="009A04FF"/>
    <w:rsid w:val="009A0542"/>
    <w:rsid w:val="009A05DD"/>
    <w:rsid w:val="009A0704"/>
    <w:rsid w:val="009A0748"/>
    <w:rsid w:val="009A07AA"/>
    <w:rsid w:val="009A07BB"/>
    <w:rsid w:val="009A0851"/>
    <w:rsid w:val="009A08AE"/>
    <w:rsid w:val="009A08C9"/>
    <w:rsid w:val="009A09A5"/>
    <w:rsid w:val="009A09C6"/>
    <w:rsid w:val="009A09D8"/>
    <w:rsid w:val="009A09EB"/>
    <w:rsid w:val="009A0A6F"/>
    <w:rsid w:val="009A0ACB"/>
    <w:rsid w:val="009A0AD3"/>
    <w:rsid w:val="009A0B27"/>
    <w:rsid w:val="009A0B8D"/>
    <w:rsid w:val="009A0BA2"/>
    <w:rsid w:val="009A0BA7"/>
    <w:rsid w:val="009A0BBF"/>
    <w:rsid w:val="009A0C55"/>
    <w:rsid w:val="009A0C9A"/>
    <w:rsid w:val="009A0E0E"/>
    <w:rsid w:val="009A0E15"/>
    <w:rsid w:val="009A0E91"/>
    <w:rsid w:val="009A0EB1"/>
    <w:rsid w:val="009A0ED9"/>
    <w:rsid w:val="009A0F16"/>
    <w:rsid w:val="009A0F8F"/>
    <w:rsid w:val="009A0FB7"/>
    <w:rsid w:val="009A10B1"/>
    <w:rsid w:val="009A10C7"/>
    <w:rsid w:val="009A119C"/>
    <w:rsid w:val="009A11DC"/>
    <w:rsid w:val="009A1259"/>
    <w:rsid w:val="009A12CD"/>
    <w:rsid w:val="009A12F5"/>
    <w:rsid w:val="009A1324"/>
    <w:rsid w:val="009A1330"/>
    <w:rsid w:val="009A144E"/>
    <w:rsid w:val="009A149C"/>
    <w:rsid w:val="009A14BD"/>
    <w:rsid w:val="009A1507"/>
    <w:rsid w:val="009A1566"/>
    <w:rsid w:val="009A1575"/>
    <w:rsid w:val="009A1764"/>
    <w:rsid w:val="009A1889"/>
    <w:rsid w:val="009A1987"/>
    <w:rsid w:val="009A19AA"/>
    <w:rsid w:val="009A1A41"/>
    <w:rsid w:val="009A1AD0"/>
    <w:rsid w:val="009A1CBA"/>
    <w:rsid w:val="009A1CBB"/>
    <w:rsid w:val="009A1CCB"/>
    <w:rsid w:val="009A1D18"/>
    <w:rsid w:val="009A1D2B"/>
    <w:rsid w:val="009A1E77"/>
    <w:rsid w:val="009A1EEA"/>
    <w:rsid w:val="009A1F00"/>
    <w:rsid w:val="009A1F0F"/>
    <w:rsid w:val="009A1F8A"/>
    <w:rsid w:val="009A1FB6"/>
    <w:rsid w:val="009A1FE5"/>
    <w:rsid w:val="009A2186"/>
    <w:rsid w:val="009A21DF"/>
    <w:rsid w:val="009A22B6"/>
    <w:rsid w:val="009A2352"/>
    <w:rsid w:val="009A2377"/>
    <w:rsid w:val="009A2488"/>
    <w:rsid w:val="009A24A9"/>
    <w:rsid w:val="009A24BF"/>
    <w:rsid w:val="009A24C1"/>
    <w:rsid w:val="009A2574"/>
    <w:rsid w:val="009A25A1"/>
    <w:rsid w:val="009A266A"/>
    <w:rsid w:val="009A26AE"/>
    <w:rsid w:val="009A26FA"/>
    <w:rsid w:val="009A273E"/>
    <w:rsid w:val="009A28D7"/>
    <w:rsid w:val="009A28EA"/>
    <w:rsid w:val="009A2901"/>
    <w:rsid w:val="009A29AD"/>
    <w:rsid w:val="009A2A2D"/>
    <w:rsid w:val="009A2A98"/>
    <w:rsid w:val="009A2ADF"/>
    <w:rsid w:val="009A2B1B"/>
    <w:rsid w:val="009A2CA1"/>
    <w:rsid w:val="009A2CAF"/>
    <w:rsid w:val="009A2D23"/>
    <w:rsid w:val="009A2E0F"/>
    <w:rsid w:val="009A2E70"/>
    <w:rsid w:val="009A2EDC"/>
    <w:rsid w:val="009A2F87"/>
    <w:rsid w:val="009A2FAA"/>
    <w:rsid w:val="009A2FEA"/>
    <w:rsid w:val="009A2FF7"/>
    <w:rsid w:val="009A30E4"/>
    <w:rsid w:val="009A30F9"/>
    <w:rsid w:val="009A3109"/>
    <w:rsid w:val="009A32C1"/>
    <w:rsid w:val="009A3312"/>
    <w:rsid w:val="009A338E"/>
    <w:rsid w:val="009A36A7"/>
    <w:rsid w:val="009A37BF"/>
    <w:rsid w:val="009A37CE"/>
    <w:rsid w:val="009A37D2"/>
    <w:rsid w:val="009A37DC"/>
    <w:rsid w:val="009A3828"/>
    <w:rsid w:val="009A384A"/>
    <w:rsid w:val="009A3851"/>
    <w:rsid w:val="009A3893"/>
    <w:rsid w:val="009A38F0"/>
    <w:rsid w:val="009A39E7"/>
    <w:rsid w:val="009A3A5F"/>
    <w:rsid w:val="009A3AD4"/>
    <w:rsid w:val="009A3BA5"/>
    <w:rsid w:val="009A3D0F"/>
    <w:rsid w:val="009A3DC0"/>
    <w:rsid w:val="009A3EB7"/>
    <w:rsid w:val="009A403A"/>
    <w:rsid w:val="009A408C"/>
    <w:rsid w:val="009A411E"/>
    <w:rsid w:val="009A4131"/>
    <w:rsid w:val="009A414B"/>
    <w:rsid w:val="009A430E"/>
    <w:rsid w:val="009A43D5"/>
    <w:rsid w:val="009A4409"/>
    <w:rsid w:val="009A4469"/>
    <w:rsid w:val="009A44F6"/>
    <w:rsid w:val="009A459E"/>
    <w:rsid w:val="009A4683"/>
    <w:rsid w:val="009A475D"/>
    <w:rsid w:val="009A4787"/>
    <w:rsid w:val="009A47B7"/>
    <w:rsid w:val="009A47F2"/>
    <w:rsid w:val="009A47F4"/>
    <w:rsid w:val="009A484E"/>
    <w:rsid w:val="009A48E1"/>
    <w:rsid w:val="009A490E"/>
    <w:rsid w:val="009A4937"/>
    <w:rsid w:val="009A499E"/>
    <w:rsid w:val="009A49A4"/>
    <w:rsid w:val="009A49C2"/>
    <w:rsid w:val="009A4A4F"/>
    <w:rsid w:val="009A4A67"/>
    <w:rsid w:val="009A4B62"/>
    <w:rsid w:val="009A4B86"/>
    <w:rsid w:val="009A4C1B"/>
    <w:rsid w:val="009A4C86"/>
    <w:rsid w:val="009A4D12"/>
    <w:rsid w:val="009A4D30"/>
    <w:rsid w:val="009A4D6A"/>
    <w:rsid w:val="009A4D90"/>
    <w:rsid w:val="009A4EEC"/>
    <w:rsid w:val="009A4F4C"/>
    <w:rsid w:val="009A4F59"/>
    <w:rsid w:val="009A4FB2"/>
    <w:rsid w:val="009A5001"/>
    <w:rsid w:val="009A50BF"/>
    <w:rsid w:val="009A50E8"/>
    <w:rsid w:val="009A5107"/>
    <w:rsid w:val="009A514A"/>
    <w:rsid w:val="009A5299"/>
    <w:rsid w:val="009A52A5"/>
    <w:rsid w:val="009A52FD"/>
    <w:rsid w:val="009A53B0"/>
    <w:rsid w:val="009A53C2"/>
    <w:rsid w:val="009A5436"/>
    <w:rsid w:val="009A5561"/>
    <w:rsid w:val="009A55E7"/>
    <w:rsid w:val="009A56F1"/>
    <w:rsid w:val="009A5727"/>
    <w:rsid w:val="009A5740"/>
    <w:rsid w:val="009A5743"/>
    <w:rsid w:val="009A5761"/>
    <w:rsid w:val="009A579D"/>
    <w:rsid w:val="009A587B"/>
    <w:rsid w:val="009A59D8"/>
    <w:rsid w:val="009A5A29"/>
    <w:rsid w:val="009A5A6E"/>
    <w:rsid w:val="009A5A91"/>
    <w:rsid w:val="009A5B2A"/>
    <w:rsid w:val="009A5BCE"/>
    <w:rsid w:val="009A5C7B"/>
    <w:rsid w:val="009A5D03"/>
    <w:rsid w:val="009A5D7E"/>
    <w:rsid w:val="009A5D97"/>
    <w:rsid w:val="009A5DEA"/>
    <w:rsid w:val="009A5E22"/>
    <w:rsid w:val="009A5E84"/>
    <w:rsid w:val="009A5E9A"/>
    <w:rsid w:val="009A5EB5"/>
    <w:rsid w:val="009A5EEE"/>
    <w:rsid w:val="009A5F05"/>
    <w:rsid w:val="009A5F2E"/>
    <w:rsid w:val="009A5F5F"/>
    <w:rsid w:val="009A608F"/>
    <w:rsid w:val="009A60BF"/>
    <w:rsid w:val="009A61D3"/>
    <w:rsid w:val="009A6208"/>
    <w:rsid w:val="009A6283"/>
    <w:rsid w:val="009A6300"/>
    <w:rsid w:val="009A635C"/>
    <w:rsid w:val="009A63B2"/>
    <w:rsid w:val="009A63C8"/>
    <w:rsid w:val="009A63CE"/>
    <w:rsid w:val="009A6414"/>
    <w:rsid w:val="009A644A"/>
    <w:rsid w:val="009A6450"/>
    <w:rsid w:val="009A64E5"/>
    <w:rsid w:val="009A6584"/>
    <w:rsid w:val="009A669A"/>
    <w:rsid w:val="009A66E6"/>
    <w:rsid w:val="009A6754"/>
    <w:rsid w:val="009A67A8"/>
    <w:rsid w:val="009A6848"/>
    <w:rsid w:val="009A6879"/>
    <w:rsid w:val="009A6925"/>
    <w:rsid w:val="009A69B7"/>
    <w:rsid w:val="009A6B0F"/>
    <w:rsid w:val="009A6B1E"/>
    <w:rsid w:val="009A6B5E"/>
    <w:rsid w:val="009A6C80"/>
    <w:rsid w:val="009A6C86"/>
    <w:rsid w:val="009A6CD8"/>
    <w:rsid w:val="009A6CF8"/>
    <w:rsid w:val="009A6F74"/>
    <w:rsid w:val="009A6FF4"/>
    <w:rsid w:val="009A7047"/>
    <w:rsid w:val="009A7061"/>
    <w:rsid w:val="009A7065"/>
    <w:rsid w:val="009A70C2"/>
    <w:rsid w:val="009A70EC"/>
    <w:rsid w:val="009A70F2"/>
    <w:rsid w:val="009A71EE"/>
    <w:rsid w:val="009A7285"/>
    <w:rsid w:val="009A7352"/>
    <w:rsid w:val="009A742F"/>
    <w:rsid w:val="009A743D"/>
    <w:rsid w:val="009A7510"/>
    <w:rsid w:val="009A7523"/>
    <w:rsid w:val="009A75E1"/>
    <w:rsid w:val="009A7714"/>
    <w:rsid w:val="009A7798"/>
    <w:rsid w:val="009A77FF"/>
    <w:rsid w:val="009A7844"/>
    <w:rsid w:val="009A78DD"/>
    <w:rsid w:val="009A78DF"/>
    <w:rsid w:val="009A7936"/>
    <w:rsid w:val="009A7957"/>
    <w:rsid w:val="009A797E"/>
    <w:rsid w:val="009A7A20"/>
    <w:rsid w:val="009A7A46"/>
    <w:rsid w:val="009A7A75"/>
    <w:rsid w:val="009A7A79"/>
    <w:rsid w:val="009A7A7C"/>
    <w:rsid w:val="009A7A80"/>
    <w:rsid w:val="009A7AA0"/>
    <w:rsid w:val="009A7B60"/>
    <w:rsid w:val="009A7B6D"/>
    <w:rsid w:val="009A7BFF"/>
    <w:rsid w:val="009A7C2D"/>
    <w:rsid w:val="009A7C42"/>
    <w:rsid w:val="009A7C4E"/>
    <w:rsid w:val="009A7C88"/>
    <w:rsid w:val="009A7C9C"/>
    <w:rsid w:val="009A7D8A"/>
    <w:rsid w:val="009A7DE7"/>
    <w:rsid w:val="009A7E6D"/>
    <w:rsid w:val="009A7EAD"/>
    <w:rsid w:val="009A7ED5"/>
    <w:rsid w:val="009A7F23"/>
    <w:rsid w:val="009A7F4E"/>
    <w:rsid w:val="009A7F75"/>
    <w:rsid w:val="009B005C"/>
    <w:rsid w:val="009B0097"/>
    <w:rsid w:val="009B0110"/>
    <w:rsid w:val="009B0192"/>
    <w:rsid w:val="009B019B"/>
    <w:rsid w:val="009B0223"/>
    <w:rsid w:val="009B028D"/>
    <w:rsid w:val="009B0306"/>
    <w:rsid w:val="009B0312"/>
    <w:rsid w:val="009B043C"/>
    <w:rsid w:val="009B0510"/>
    <w:rsid w:val="009B060C"/>
    <w:rsid w:val="009B065E"/>
    <w:rsid w:val="009B0672"/>
    <w:rsid w:val="009B06B5"/>
    <w:rsid w:val="009B06C6"/>
    <w:rsid w:val="009B06D5"/>
    <w:rsid w:val="009B06FE"/>
    <w:rsid w:val="009B0735"/>
    <w:rsid w:val="009B0809"/>
    <w:rsid w:val="009B0855"/>
    <w:rsid w:val="009B0878"/>
    <w:rsid w:val="009B0886"/>
    <w:rsid w:val="009B0967"/>
    <w:rsid w:val="009B0976"/>
    <w:rsid w:val="009B09A3"/>
    <w:rsid w:val="009B09FE"/>
    <w:rsid w:val="009B0A48"/>
    <w:rsid w:val="009B0A8A"/>
    <w:rsid w:val="009B0A8C"/>
    <w:rsid w:val="009B0AD2"/>
    <w:rsid w:val="009B0B41"/>
    <w:rsid w:val="009B0BDD"/>
    <w:rsid w:val="009B0C51"/>
    <w:rsid w:val="009B0CF4"/>
    <w:rsid w:val="009B0D7E"/>
    <w:rsid w:val="009B0D7F"/>
    <w:rsid w:val="009B0DCB"/>
    <w:rsid w:val="009B0DE0"/>
    <w:rsid w:val="009B0E4D"/>
    <w:rsid w:val="009B0F6B"/>
    <w:rsid w:val="009B0F71"/>
    <w:rsid w:val="009B100C"/>
    <w:rsid w:val="009B101A"/>
    <w:rsid w:val="009B10A3"/>
    <w:rsid w:val="009B1264"/>
    <w:rsid w:val="009B1293"/>
    <w:rsid w:val="009B12FB"/>
    <w:rsid w:val="009B1374"/>
    <w:rsid w:val="009B13C4"/>
    <w:rsid w:val="009B147F"/>
    <w:rsid w:val="009B149E"/>
    <w:rsid w:val="009B160B"/>
    <w:rsid w:val="009B16BC"/>
    <w:rsid w:val="009B16DA"/>
    <w:rsid w:val="009B1706"/>
    <w:rsid w:val="009B19DE"/>
    <w:rsid w:val="009B1A64"/>
    <w:rsid w:val="009B1A83"/>
    <w:rsid w:val="009B1AB4"/>
    <w:rsid w:val="009B1AFD"/>
    <w:rsid w:val="009B1B4A"/>
    <w:rsid w:val="009B1B89"/>
    <w:rsid w:val="009B1BF7"/>
    <w:rsid w:val="009B1C00"/>
    <w:rsid w:val="009B1D57"/>
    <w:rsid w:val="009B1E74"/>
    <w:rsid w:val="009B1ECA"/>
    <w:rsid w:val="009B1EF4"/>
    <w:rsid w:val="009B1EFC"/>
    <w:rsid w:val="009B2070"/>
    <w:rsid w:val="009B2084"/>
    <w:rsid w:val="009B20E0"/>
    <w:rsid w:val="009B20FB"/>
    <w:rsid w:val="009B2169"/>
    <w:rsid w:val="009B21EE"/>
    <w:rsid w:val="009B226F"/>
    <w:rsid w:val="009B2271"/>
    <w:rsid w:val="009B22E1"/>
    <w:rsid w:val="009B22F3"/>
    <w:rsid w:val="009B22F7"/>
    <w:rsid w:val="009B2330"/>
    <w:rsid w:val="009B237E"/>
    <w:rsid w:val="009B23CA"/>
    <w:rsid w:val="009B2413"/>
    <w:rsid w:val="009B242B"/>
    <w:rsid w:val="009B25B4"/>
    <w:rsid w:val="009B25B8"/>
    <w:rsid w:val="009B25EE"/>
    <w:rsid w:val="009B269D"/>
    <w:rsid w:val="009B26E9"/>
    <w:rsid w:val="009B2768"/>
    <w:rsid w:val="009B28A6"/>
    <w:rsid w:val="009B28F1"/>
    <w:rsid w:val="009B2910"/>
    <w:rsid w:val="009B2912"/>
    <w:rsid w:val="009B292B"/>
    <w:rsid w:val="009B2978"/>
    <w:rsid w:val="009B29BB"/>
    <w:rsid w:val="009B2A0E"/>
    <w:rsid w:val="009B2A2B"/>
    <w:rsid w:val="009B2AEB"/>
    <w:rsid w:val="009B2BC3"/>
    <w:rsid w:val="009B2BFF"/>
    <w:rsid w:val="009B2C02"/>
    <w:rsid w:val="009B2C33"/>
    <w:rsid w:val="009B2C35"/>
    <w:rsid w:val="009B2CA6"/>
    <w:rsid w:val="009B2CD8"/>
    <w:rsid w:val="009B2D18"/>
    <w:rsid w:val="009B2D1B"/>
    <w:rsid w:val="009B2D62"/>
    <w:rsid w:val="009B2D97"/>
    <w:rsid w:val="009B2DD8"/>
    <w:rsid w:val="009B2EB6"/>
    <w:rsid w:val="009B2FC0"/>
    <w:rsid w:val="009B3007"/>
    <w:rsid w:val="009B305D"/>
    <w:rsid w:val="009B3067"/>
    <w:rsid w:val="009B310F"/>
    <w:rsid w:val="009B312B"/>
    <w:rsid w:val="009B3219"/>
    <w:rsid w:val="009B3250"/>
    <w:rsid w:val="009B3290"/>
    <w:rsid w:val="009B3292"/>
    <w:rsid w:val="009B32F3"/>
    <w:rsid w:val="009B3302"/>
    <w:rsid w:val="009B3306"/>
    <w:rsid w:val="009B3375"/>
    <w:rsid w:val="009B3381"/>
    <w:rsid w:val="009B33D4"/>
    <w:rsid w:val="009B342E"/>
    <w:rsid w:val="009B35D9"/>
    <w:rsid w:val="009B35DA"/>
    <w:rsid w:val="009B35EC"/>
    <w:rsid w:val="009B35FF"/>
    <w:rsid w:val="009B36A3"/>
    <w:rsid w:val="009B377E"/>
    <w:rsid w:val="009B37D8"/>
    <w:rsid w:val="009B38D6"/>
    <w:rsid w:val="009B3914"/>
    <w:rsid w:val="009B3982"/>
    <w:rsid w:val="009B3A49"/>
    <w:rsid w:val="009B3A4E"/>
    <w:rsid w:val="009B3CE9"/>
    <w:rsid w:val="009B3E36"/>
    <w:rsid w:val="009B3EE3"/>
    <w:rsid w:val="009B3EFF"/>
    <w:rsid w:val="009B40F3"/>
    <w:rsid w:val="009B420B"/>
    <w:rsid w:val="009B423E"/>
    <w:rsid w:val="009B424B"/>
    <w:rsid w:val="009B4284"/>
    <w:rsid w:val="009B43D0"/>
    <w:rsid w:val="009B43D9"/>
    <w:rsid w:val="009B43DE"/>
    <w:rsid w:val="009B4410"/>
    <w:rsid w:val="009B4448"/>
    <w:rsid w:val="009B4481"/>
    <w:rsid w:val="009B4597"/>
    <w:rsid w:val="009B45C2"/>
    <w:rsid w:val="009B4719"/>
    <w:rsid w:val="009B4890"/>
    <w:rsid w:val="009B49EA"/>
    <w:rsid w:val="009B4A9D"/>
    <w:rsid w:val="009B4A9F"/>
    <w:rsid w:val="009B4AE1"/>
    <w:rsid w:val="009B4B37"/>
    <w:rsid w:val="009B4B63"/>
    <w:rsid w:val="009B4B67"/>
    <w:rsid w:val="009B4B71"/>
    <w:rsid w:val="009B4BA9"/>
    <w:rsid w:val="009B4C0E"/>
    <w:rsid w:val="009B4C1F"/>
    <w:rsid w:val="009B4CE4"/>
    <w:rsid w:val="009B4DA9"/>
    <w:rsid w:val="009B4DB3"/>
    <w:rsid w:val="009B4DB7"/>
    <w:rsid w:val="009B4DF9"/>
    <w:rsid w:val="009B4E08"/>
    <w:rsid w:val="009B4E57"/>
    <w:rsid w:val="009B4E63"/>
    <w:rsid w:val="009B4E96"/>
    <w:rsid w:val="009B4EC5"/>
    <w:rsid w:val="009B4F7E"/>
    <w:rsid w:val="009B4F9A"/>
    <w:rsid w:val="009B5043"/>
    <w:rsid w:val="009B50C8"/>
    <w:rsid w:val="009B5114"/>
    <w:rsid w:val="009B51CC"/>
    <w:rsid w:val="009B523F"/>
    <w:rsid w:val="009B526E"/>
    <w:rsid w:val="009B5293"/>
    <w:rsid w:val="009B52D7"/>
    <w:rsid w:val="009B5300"/>
    <w:rsid w:val="009B530B"/>
    <w:rsid w:val="009B5345"/>
    <w:rsid w:val="009B5400"/>
    <w:rsid w:val="009B5476"/>
    <w:rsid w:val="009B54C8"/>
    <w:rsid w:val="009B553D"/>
    <w:rsid w:val="009B555F"/>
    <w:rsid w:val="009B55F9"/>
    <w:rsid w:val="009B562F"/>
    <w:rsid w:val="009B563B"/>
    <w:rsid w:val="009B5796"/>
    <w:rsid w:val="009B57CA"/>
    <w:rsid w:val="009B5846"/>
    <w:rsid w:val="009B58D4"/>
    <w:rsid w:val="009B5938"/>
    <w:rsid w:val="009B5967"/>
    <w:rsid w:val="009B5993"/>
    <w:rsid w:val="009B59AF"/>
    <w:rsid w:val="009B5A6A"/>
    <w:rsid w:val="009B5B6F"/>
    <w:rsid w:val="009B5BB4"/>
    <w:rsid w:val="009B5C0A"/>
    <w:rsid w:val="009B5C20"/>
    <w:rsid w:val="009B5D0B"/>
    <w:rsid w:val="009B5DB0"/>
    <w:rsid w:val="009B5E42"/>
    <w:rsid w:val="009B5E74"/>
    <w:rsid w:val="009B5F20"/>
    <w:rsid w:val="009B5F6D"/>
    <w:rsid w:val="009B5FA2"/>
    <w:rsid w:val="009B5FF1"/>
    <w:rsid w:val="009B5FF9"/>
    <w:rsid w:val="009B6045"/>
    <w:rsid w:val="009B607C"/>
    <w:rsid w:val="009B60BA"/>
    <w:rsid w:val="009B60E4"/>
    <w:rsid w:val="009B60E5"/>
    <w:rsid w:val="009B6141"/>
    <w:rsid w:val="009B619B"/>
    <w:rsid w:val="009B61CF"/>
    <w:rsid w:val="009B61E4"/>
    <w:rsid w:val="009B62AB"/>
    <w:rsid w:val="009B62CD"/>
    <w:rsid w:val="009B62DF"/>
    <w:rsid w:val="009B6311"/>
    <w:rsid w:val="009B6467"/>
    <w:rsid w:val="009B64A1"/>
    <w:rsid w:val="009B6583"/>
    <w:rsid w:val="009B65E6"/>
    <w:rsid w:val="009B6677"/>
    <w:rsid w:val="009B6763"/>
    <w:rsid w:val="009B6778"/>
    <w:rsid w:val="009B680C"/>
    <w:rsid w:val="009B6830"/>
    <w:rsid w:val="009B6831"/>
    <w:rsid w:val="009B683C"/>
    <w:rsid w:val="009B685C"/>
    <w:rsid w:val="009B6860"/>
    <w:rsid w:val="009B68DD"/>
    <w:rsid w:val="009B693D"/>
    <w:rsid w:val="009B6957"/>
    <w:rsid w:val="009B69A3"/>
    <w:rsid w:val="009B69AB"/>
    <w:rsid w:val="009B6A6E"/>
    <w:rsid w:val="009B6A73"/>
    <w:rsid w:val="009B6AA7"/>
    <w:rsid w:val="009B6ABA"/>
    <w:rsid w:val="009B6B07"/>
    <w:rsid w:val="009B6B30"/>
    <w:rsid w:val="009B6BD3"/>
    <w:rsid w:val="009B6C1F"/>
    <w:rsid w:val="009B6C21"/>
    <w:rsid w:val="009B6C44"/>
    <w:rsid w:val="009B6C7A"/>
    <w:rsid w:val="009B6CB5"/>
    <w:rsid w:val="009B6D07"/>
    <w:rsid w:val="009B6D7F"/>
    <w:rsid w:val="009B6D9A"/>
    <w:rsid w:val="009B6DAD"/>
    <w:rsid w:val="009B6E01"/>
    <w:rsid w:val="009B6E40"/>
    <w:rsid w:val="009B6E66"/>
    <w:rsid w:val="009B7095"/>
    <w:rsid w:val="009B70B5"/>
    <w:rsid w:val="009B70BE"/>
    <w:rsid w:val="009B720E"/>
    <w:rsid w:val="009B7210"/>
    <w:rsid w:val="009B72E2"/>
    <w:rsid w:val="009B7357"/>
    <w:rsid w:val="009B73C5"/>
    <w:rsid w:val="009B7574"/>
    <w:rsid w:val="009B7585"/>
    <w:rsid w:val="009B759D"/>
    <w:rsid w:val="009B75EA"/>
    <w:rsid w:val="009B7691"/>
    <w:rsid w:val="009B7694"/>
    <w:rsid w:val="009B76EB"/>
    <w:rsid w:val="009B76FC"/>
    <w:rsid w:val="009B7714"/>
    <w:rsid w:val="009B781D"/>
    <w:rsid w:val="009B78B2"/>
    <w:rsid w:val="009B78C8"/>
    <w:rsid w:val="009B78DF"/>
    <w:rsid w:val="009B795A"/>
    <w:rsid w:val="009B7A0C"/>
    <w:rsid w:val="009B7A11"/>
    <w:rsid w:val="009B7A76"/>
    <w:rsid w:val="009B7AC7"/>
    <w:rsid w:val="009B7B34"/>
    <w:rsid w:val="009B7BA0"/>
    <w:rsid w:val="009B7C08"/>
    <w:rsid w:val="009B7C7A"/>
    <w:rsid w:val="009B7C98"/>
    <w:rsid w:val="009B7D9E"/>
    <w:rsid w:val="009B7E22"/>
    <w:rsid w:val="009B7F17"/>
    <w:rsid w:val="009B7F19"/>
    <w:rsid w:val="009B7FFD"/>
    <w:rsid w:val="009C0039"/>
    <w:rsid w:val="009C0056"/>
    <w:rsid w:val="009C00E7"/>
    <w:rsid w:val="009C011D"/>
    <w:rsid w:val="009C0155"/>
    <w:rsid w:val="009C0193"/>
    <w:rsid w:val="009C020F"/>
    <w:rsid w:val="009C02AE"/>
    <w:rsid w:val="009C02ED"/>
    <w:rsid w:val="009C02FA"/>
    <w:rsid w:val="009C0334"/>
    <w:rsid w:val="009C038D"/>
    <w:rsid w:val="009C03A8"/>
    <w:rsid w:val="009C03AA"/>
    <w:rsid w:val="009C03C1"/>
    <w:rsid w:val="009C0400"/>
    <w:rsid w:val="009C04AB"/>
    <w:rsid w:val="009C0509"/>
    <w:rsid w:val="009C053A"/>
    <w:rsid w:val="009C064E"/>
    <w:rsid w:val="009C06C0"/>
    <w:rsid w:val="009C06E3"/>
    <w:rsid w:val="009C0720"/>
    <w:rsid w:val="009C079A"/>
    <w:rsid w:val="009C07E3"/>
    <w:rsid w:val="009C093F"/>
    <w:rsid w:val="009C0946"/>
    <w:rsid w:val="009C09F2"/>
    <w:rsid w:val="009C0A47"/>
    <w:rsid w:val="009C0AC7"/>
    <w:rsid w:val="009C0B5E"/>
    <w:rsid w:val="009C0B95"/>
    <w:rsid w:val="009C0BEC"/>
    <w:rsid w:val="009C0C4A"/>
    <w:rsid w:val="009C0C8E"/>
    <w:rsid w:val="009C0CE6"/>
    <w:rsid w:val="009C0CEA"/>
    <w:rsid w:val="009C0CEE"/>
    <w:rsid w:val="009C0D7B"/>
    <w:rsid w:val="009C0DF6"/>
    <w:rsid w:val="009C0E62"/>
    <w:rsid w:val="009C0E8F"/>
    <w:rsid w:val="009C0FF3"/>
    <w:rsid w:val="009C100B"/>
    <w:rsid w:val="009C101B"/>
    <w:rsid w:val="009C10B3"/>
    <w:rsid w:val="009C1199"/>
    <w:rsid w:val="009C11FC"/>
    <w:rsid w:val="009C1267"/>
    <w:rsid w:val="009C12D5"/>
    <w:rsid w:val="009C1304"/>
    <w:rsid w:val="009C132E"/>
    <w:rsid w:val="009C1432"/>
    <w:rsid w:val="009C1453"/>
    <w:rsid w:val="009C14DD"/>
    <w:rsid w:val="009C14E9"/>
    <w:rsid w:val="009C1565"/>
    <w:rsid w:val="009C15C0"/>
    <w:rsid w:val="009C160D"/>
    <w:rsid w:val="009C1643"/>
    <w:rsid w:val="009C1681"/>
    <w:rsid w:val="009C1691"/>
    <w:rsid w:val="009C16E0"/>
    <w:rsid w:val="009C16FC"/>
    <w:rsid w:val="009C1701"/>
    <w:rsid w:val="009C1702"/>
    <w:rsid w:val="009C177D"/>
    <w:rsid w:val="009C17DA"/>
    <w:rsid w:val="009C1877"/>
    <w:rsid w:val="009C1950"/>
    <w:rsid w:val="009C1A8B"/>
    <w:rsid w:val="009C1B65"/>
    <w:rsid w:val="009C1BC9"/>
    <w:rsid w:val="009C1C0D"/>
    <w:rsid w:val="009C1C39"/>
    <w:rsid w:val="009C1CF1"/>
    <w:rsid w:val="009C1D1C"/>
    <w:rsid w:val="009C1D58"/>
    <w:rsid w:val="009C1D74"/>
    <w:rsid w:val="009C1E49"/>
    <w:rsid w:val="009C1F06"/>
    <w:rsid w:val="009C1F74"/>
    <w:rsid w:val="009C1F85"/>
    <w:rsid w:val="009C1F9B"/>
    <w:rsid w:val="009C2087"/>
    <w:rsid w:val="009C209A"/>
    <w:rsid w:val="009C20CE"/>
    <w:rsid w:val="009C212A"/>
    <w:rsid w:val="009C213E"/>
    <w:rsid w:val="009C21F5"/>
    <w:rsid w:val="009C221A"/>
    <w:rsid w:val="009C2227"/>
    <w:rsid w:val="009C22F0"/>
    <w:rsid w:val="009C238C"/>
    <w:rsid w:val="009C24B4"/>
    <w:rsid w:val="009C24D8"/>
    <w:rsid w:val="009C253B"/>
    <w:rsid w:val="009C255C"/>
    <w:rsid w:val="009C2663"/>
    <w:rsid w:val="009C2668"/>
    <w:rsid w:val="009C2685"/>
    <w:rsid w:val="009C27A1"/>
    <w:rsid w:val="009C27A2"/>
    <w:rsid w:val="009C2828"/>
    <w:rsid w:val="009C28B6"/>
    <w:rsid w:val="009C2957"/>
    <w:rsid w:val="009C29D6"/>
    <w:rsid w:val="009C2A7D"/>
    <w:rsid w:val="009C2A96"/>
    <w:rsid w:val="009C2AF9"/>
    <w:rsid w:val="009C2B12"/>
    <w:rsid w:val="009C2B92"/>
    <w:rsid w:val="009C2BBE"/>
    <w:rsid w:val="009C2CB5"/>
    <w:rsid w:val="009C2D61"/>
    <w:rsid w:val="009C2E4A"/>
    <w:rsid w:val="009C2E53"/>
    <w:rsid w:val="009C2E75"/>
    <w:rsid w:val="009C2E94"/>
    <w:rsid w:val="009C2F12"/>
    <w:rsid w:val="009C2FB4"/>
    <w:rsid w:val="009C3006"/>
    <w:rsid w:val="009C303A"/>
    <w:rsid w:val="009C3053"/>
    <w:rsid w:val="009C3058"/>
    <w:rsid w:val="009C3069"/>
    <w:rsid w:val="009C306C"/>
    <w:rsid w:val="009C307B"/>
    <w:rsid w:val="009C317B"/>
    <w:rsid w:val="009C3182"/>
    <w:rsid w:val="009C323A"/>
    <w:rsid w:val="009C3250"/>
    <w:rsid w:val="009C3252"/>
    <w:rsid w:val="009C3316"/>
    <w:rsid w:val="009C331D"/>
    <w:rsid w:val="009C33A6"/>
    <w:rsid w:val="009C33C6"/>
    <w:rsid w:val="009C33DC"/>
    <w:rsid w:val="009C341A"/>
    <w:rsid w:val="009C3477"/>
    <w:rsid w:val="009C34C0"/>
    <w:rsid w:val="009C350D"/>
    <w:rsid w:val="009C35CD"/>
    <w:rsid w:val="009C3660"/>
    <w:rsid w:val="009C3686"/>
    <w:rsid w:val="009C36C1"/>
    <w:rsid w:val="009C3738"/>
    <w:rsid w:val="009C3771"/>
    <w:rsid w:val="009C37D5"/>
    <w:rsid w:val="009C3877"/>
    <w:rsid w:val="009C38B0"/>
    <w:rsid w:val="009C38C1"/>
    <w:rsid w:val="009C38D3"/>
    <w:rsid w:val="009C39C1"/>
    <w:rsid w:val="009C39E1"/>
    <w:rsid w:val="009C3B3D"/>
    <w:rsid w:val="009C3B51"/>
    <w:rsid w:val="009C3B6A"/>
    <w:rsid w:val="009C3B6D"/>
    <w:rsid w:val="009C3BB3"/>
    <w:rsid w:val="009C3C05"/>
    <w:rsid w:val="009C3C5A"/>
    <w:rsid w:val="009C3CBC"/>
    <w:rsid w:val="009C3D0D"/>
    <w:rsid w:val="009C3D13"/>
    <w:rsid w:val="009C3D4F"/>
    <w:rsid w:val="009C3D75"/>
    <w:rsid w:val="009C3DBE"/>
    <w:rsid w:val="009C3E09"/>
    <w:rsid w:val="009C3E35"/>
    <w:rsid w:val="009C3E8A"/>
    <w:rsid w:val="009C3E8B"/>
    <w:rsid w:val="009C3EE5"/>
    <w:rsid w:val="009C3EE6"/>
    <w:rsid w:val="009C3F0F"/>
    <w:rsid w:val="009C3FA8"/>
    <w:rsid w:val="009C3FF5"/>
    <w:rsid w:val="009C4088"/>
    <w:rsid w:val="009C4224"/>
    <w:rsid w:val="009C43A0"/>
    <w:rsid w:val="009C43D6"/>
    <w:rsid w:val="009C440D"/>
    <w:rsid w:val="009C44C9"/>
    <w:rsid w:val="009C4659"/>
    <w:rsid w:val="009C4662"/>
    <w:rsid w:val="009C46DF"/>
    <w:rsid w:val="009C46F6"/>
    <w:rsid w:val="009C4730"/>
    <w:rsid w:val="009C4741"/>
    <w:rsid w:val="009C475E"/>
    <w:rsid w:val="009C477B"/>
    <w:rsid w:val="009C4790"/>
    <w:rsid w:val="009C47D0"/>
    <w:rsid w:val="009C4825"/>
    <w:rsid w:val="009C4831"/>
    <w:rsid w:val="009C4895"/>
    <w:rsid w:val="009C4947"/>
    <w:rsid w:val="009C4959"/>
    <w:rsid w:val="009C49A2"/>
    <w:rsid w:val="009C49CA"/>
    <w:rsid w:val="009C49F1"/>
    <w:rsid w:val="009C49F7"/>
    <w:rsid w:val="009C4A30"/>
    <w:rsid w:val="009C4AD1"/>
    <w:rsid w:val="009C4AEB"/>
    <w:rsid w:val="009C4AF5"/>
    <w:rsid w:val="009C4B0E"/>
    <w:rsid w:val="009C4B52"/>
    <w:rsid w:val="009C4B5F"/>
    <w:rsid w:val="009C4B6F"/>
    <w:rsid w:val="009C4B81"/>
    <w:rsid w:val="009C4B9D"/>
    <w:rsid w:val="009C4BDD"/>
    <w:rsid w:val="009C4C1F"/>
    <w:rsid w:val="009C4C42"/>
    <w:rsid w:val="009C4C5B"/>
    <w:rsid w:val="009C4C7B"/>
    <w:rsid w:val="009C4CD7"/>
    <w:rsid w:val="009C4D2D"/>
    <w:rsid w:val="009C4D66"/>
    <w:rsid w:val="009C4D8C"/>
    <w:rsid w:val="009C4E24"/>
    <w:rsid w:val="009C4E5A"/>
    <w:rsid w:val="009C4E9B"/>
    <w:rsid w:val="009C4EAE"/>
    <w:rsid w:val="009C4F93"/>
    <w:rsid w:val="009C4FCF"/>
    <w:rsid w:val="009C4FDC"/>
    <w:rsid w:val="009C50CC"/>
    <w:rsid w:val="009C5138"/>
    <w:rsid w:val="009C51AA"/>
    <w:rsid w:val="009C51FB"/>
    <w:rsid w:val="009C52AE"/>
    <w:rsid w:val="009C5306"/>
    <w:rsid w:val="009C5348"/>
    <w:rsid w:val="009C534B"/>
    <w:rsid w:val="009C5393"/>
    <w:rsid w:val="009C540C"/>
    <w:rsid w:val="009C543B"/>
    <w:rsid w:val="009C5558"/>
    <w:rsid w:val="009C5563"/>
    <w:rsid w:val="009C55B6"/>
    <w:rsid w:val="009C55F0"/>
    <w:rsid w:val="009C568A"/>
    <w:rsid w:val="009C574F"/>
    <w:rsid w:val="009C57BF"/>
    <w:rsid w:val="009C581F"/>
    <w:rsid w:val="009C58E2"/>
    <w:rsid w:val="009C59E5"/>
    <w:rsid w:val="009C59F3"/>
    <w:rsid w:val="009C5A44"/>
    <w:rsid w:val="009C5A79"/>
    <w:rsid w:val="009C5AB6"/>
    <w:rsid w:val="009C5B11"/>
    <w:rsid w:val="009C5BD8"/>
    <w:rsid w:val="009C5CA3"/>
    <w:rsid w:val="009C5CC6"/>
    <w:rsid w:val="009C5DEB"/>
    <w:rsid w:val="009C5DF9"/>
    <w:rsid w:val="009C5E01"/>
    <w:rsid w:val="009C5E5C"/>
    <w:rsid w:val="009C5E66"/>
    <w:rsid w:val="009C5EAC"/>
    <w:rsid w:val="009C5EBE"/>
    <w:rsid w:val="009C5EFD"/>
    <w:rsid w:val="009C5F14"/>
    <w:rsid w:val="009C5FDF"/>
    <w:rsid w:val="009C600A"/>
    <w:rsid w:val="009C60F5"/>
    <w:rsid w:val="009C61E5"/>
    <w:rsid w:val="009C62CF"/>
    <w:rsid w:val="009C62DC"/>
    <w:rsid w:val="009C6372"/>
    <w:rsid w:val="009C637B"/>
    <w:rsid w:val="009C6385"/>
    <w:rsid w:val="009C6421"/>
    <w:rsid w:val="009C64AB"/>
    <w:rsid w:val="009C64C6"/>
    <w:rsid w:val="009C6575"/>
    <w:rsid w:val="009C65AA"/>
    <w:rsid w:val="009C65DB"/>
    <w:rsid w:val="009C663D"/>
    <w:rsid w:val="009C6656"/>
    <w:rsid w:val="009C66BB"/>
    <w:rsid w:val="009C671D"/>
    <w:rsid w:val="009C67B2"/>
    <w:rsid w:val="009C67ED"/>
    <w:rsid w:val="009C68EA"/>
    <w:rsid w:val="009C690D"/>
    <w:rsid w:val="009C6A5C"/>
    <w:rsid w:val="009C6AA0"/>
    <w:rsid w:val="009C6AE3"/>
    <w:rsid w:val="009C6B5F"/>
    <w:rsid w:val="009C6B60"/>
    <w:rsid w:val="009C6B73"/>
    <w:rsid w:val="009C6B8E"/>
    <w:rsid w:val="009C6BC4"/>
    <w:rsid w:val="009C6BC6"/>
    <w:rsid w:val="009C6C34"/>
    <w:rsid w:val="009C6C61"/>
    <w:rsid w:val="009C6CD4"/>
    <w:rsid w:val="009C6DBB"/>
    <w:rsid w:val="009C6EED"/>
    <w:rsid w:val="009C6F27"/>
    <w:rsid w:val="009C6FA0"/>
    <w:rsid w:val="009C6FFF"/>
    <w:rsid w:val="009C706C"/>
    <w:rsid w:val="009C70FD"/>
    <w:rsid w:val="009C71DB"/>
    <w:rsid w:val="009C71E8"/>
    <w:rsid w:val="009C7213"/>
    <w:rsid w:val="009C7233"/>
    <w:rsid w:val="009C72AC"/>
    <w:rsid w:val="009C72DC"/>
    <w:rsid w:val="009C72E5"/>
    <w:rsid w:val="009C7320"/>
    <w:rsid w:val="009C736C"/>
    <w:rsid w:val="009C73EB"/>
    <w:rsid w:val="009C7481"/>
    <w:rsid w:val="009C748A"/>
    <w:rsid w:val="009C748F"/>
    <w:rsid w:val="009C74B2"/>
    <w:rsid w:val="009C751B"/>
    <w:rsid w:val="009C76A7"/>
    <w:rsid w:val="009C76EB"/>
    <w:rsid w:val="009C7716"/>
    <w:rsid w:val="009C775A"/>
    <w:rsid w:val="009C7794"/>
    <w:rsid w:val="009C7838"/>
    <w:rsid w:val="009C7868"/>
    <w:rsid w:val="009C78AF"/>
    <w:rsid w:val="009C78B7"/>
    <w:rsid w:val="009C78E2"/>
    <w:rsid w:val="009C79EB"/>
    <w:rsid w:val="009C7A02"/>
    <w:rsid w:val="009C7A04"/>
    <w:rsid w:val="009C7A06"/>
    <w:rsid w:val="009C7A82"/>
    <w:rsid w:val="009C7A93"/>
    <w:rsid w:val="009C7B7A"/>
    <w:rsid w:val="009C7BB5"/>
    <w:rsid w:val="009C7BE3"/>
    <w:rsid w:val="009C7CF0"/>
    <w:rsid w:val="009C7D6F"/>
    <w:rsid w:val="009C7DB4"/>
    <w:rsid w:val="009C7E0F"/>
    <w:rsid w:val="009C7F63"/>
    <w:rsid w:val="009C7FC4"/>
    <w:rsid w:val="009C7FEB"/>
    <w:rsid w:val="009C7FED"/>
    <w:rsid w:val="009C9E35"/>
    <w:rsid w:val="009D000B"/>
    <w:rsid w:val="009D0033"/>
    <w:rsid w:val="009D00AD"/>
    <w:rsid w:val="009D0122"/>
    <w:rsid w:val="009D024B"/>
    <w:rsid w:val="009D03BA"/>
    <w:rsid w:val="009D03F0"/>
    <w:rsid w:val="009D0464"/>
    <w:rsid w:val="009D05F3"/>
    <w:rsid w:val="009D077A"/>
    <w:rsid w:val="009D0780"/>
    <w:rsid w:val="009D07D4"/>
    <w:rsid w:val="009D087B"/>
    <w:rsid w:val="009D0915"/>
    <w:rsid w:val="009D099B"/>
    <w:rsid w:val="009D09E2"/>
    <w:rsid w:val="009D0A1B"/>
    <w:rsid w:val="009D0A31"/>
    <w:rsid w:val="009D0ACE"/>
    <w:rsid w:val="009D0BA1"/>
    <w:rsid w:val="009D0BA7"/>
    <w:rsid w:val="009D0BED"/>
    <w:rsid w:val="009D0C6F"/>
    <w:rsid w:val="009D0C97"/>
    <w:rsid w:val="009D0D27"/>
    <w:rsid w:val="009D0D4A"/>
    <w:rsid w:val="009D0D88"/>
    <w:rsid w:val="009D0DF9"/>
    <w:rsid w:val="009D0DFE"/>
    <w:rsid w:val="009D0E42"/>
    <w:rsid w:val="009D0EF7"/>
    <w:rsid w:val="009D0F3E"/>
    <w:rsid w:val="009D1029"/>
    <w:rsid w:val="009D10E5"/>
    <w:rsid w:val="009D113B"/>
    <w:rsid w:val="009D115C"/>
    <w:rsid w:val="009D11AD"/>
    <w:rsid w:val="009D12E6"/>
    <w:rsid w:val="009D132A"/>
    <w:rsid w:val="009D1350"/>
    <w:rsid w:val="009D13C4"/>
    <w:rsid w:val="009D1414"/>
    <w:rsid w:val="009D1478"/>
    <w:rsid w:val="009D1511"/>
    <w:rsid w:val="009D15C8"/>
    <w:rsid w:val="009D162D"/>
    <w:rsid w:val="009D163F"/>
    <w:rsid w:val="009D16A6"/>
    <w:rsid w:val="009D17AC"/>
    <w:rsid w:val="009D17CB"/>
    <w:rsid w:val="009D17E5"/>
    <w:rsid w:val="009D1830"/>
    <w:rsid w:val="009D1951"/>
    <w:rsid w:val="009D19AC"/>
    <w:rsid w:val="009D1A72"/>
    <w:rsid w:val="009D1A8B"/>
    <w:rsid w:val="009D1A97"/>
    <w:rsid w:val="009D1B0B"/>
    <w:rsid w:val="009D1B23"/>
    <w:rsid w:val="009D1BB5"/>
    <w:rsid w:val="009D1BE6"/>
    <w:rsid w:val="009D1C26"/>
    <w:rsid w:val="009D1C34"/>
    <w:rsid w:val="009D1D6B"/>
    <w:rsid w:val="009D1EBE"/>
    <w:rsid w:val="009D1EC3"/>
    <w:rsid w:val="009D1F3A"/>
    <w:rsid w:val="009D1FE4"/>
    <w:rsid w:val="009D20ED"/>
    <w:rsid w:val="009D213C"/>
    <w:rsid w:val="009D2180"/>
    <w:rsid w:val="009D2235"/>
    <w:rsid w:val="009D2277"/>
    <w:rsid w:val="009D22EE"/>
    <w:rsid w:val="009D2356"/>
    <w:rsid w:val="009D23AE"/>
    <w:rsid w:val="009D23BB"/>
    <w:rsid w:val="009D23BD"/>
    <w:rsid w:val="009D2405"/>
    <w:rsid w:val="009D2434"/>
    <w:rsid w:val="009D2450"/>
    <w:rsid w:val="009D247C"/>
    <w:rsid w:val="009D2548"/>
    <w:rsid w:val="009D254D"/>
    <w:rsid w:val="009D2636"/>
    <w:rsid w:val="009D2656"/>
    <w:rsid w:val="009D26CE"/>
    <w:rsid w:val="009D271A"/>
    <w:rsid w:val="009D27A7"/>
    <w:rsid w:val="009D27B2"/>
    <w:rsid w:val="009D282A"/>
    <w:rsid w:val="009D288A"/>
    <w:rsid w:val="009D28CB"/>
    <w:rsid w:val="009D28FE"/>
    <w:rsid w:val="009D295F"/>
    <w:rsid w:val="009D2964"/>
    <w:rsid w:val="009D29D4"/>
    <w:rsid w:val="009D2B19"/>
    <w:rsid w:val="009D2B9B"/>
    <w:rsid w:val="009D2C17"/>
    <w:rsid w:val="009D2C4C"/>
    <w:rsid w:val="009D2C74"/>
    <w:rsid w:val="009D2C8E"/>
    <w:rsid w:val="009D2D00"/>
    <w:rsid w:val="009D2EC2"/>
    <w:rsid w:val="009D2F08"/>
    <w:rsid w:val="009D2F51"/>
    <w:rsid w:val="009D2F84"/>
    <w:rsid w:val="009D3014"/>
    <w:rsid w:val="009D3042"/>
    <w:rsid w:val="009D3104"/>
    <w:rsid w:val="009D3110"/>
    <w:rsid w:val="009D3149"/>
    <w:rsid w:val="009D315F"/>
    <w:rsid w:val="009D31C5"/>
    <w:rsid w:val="009D32CE"/>
    <w:rsid w:val="009D335D"/>
    <w:rsid w:val="009D337F"/>
    <w:rsid w:val="009D33D2"/>
    <w:rsid w:val="009D33E1"/>
    <w:rsid w:val="009D3417"/>
    <w:rsid w:val="009D3442"/>
    <w:rsid w:val="009D3478"/>
    <w:rsid w:val="009D34A5"/>
    <w:rsid w:val="009D34B4"/>
    <w:rsid w:val="009D3505"/>
    <w:rsid w:val="009D35B2"/>
    <w:rsid w:val="009D35F8"/>
    <w:rsid w:val="009D372B"/>
    <w:rsid w:val="009D37AB"/>
    <w:rsid w:val="009D3835"/>
    <w:rsid w:val="009D38A0"/>
    <w:rsid w:val="009D38F5"/>
    <w:rsid w:val="009D3995"/>
    <w:rsid w:val="009D39E1"/>
    <w:rsid w:val="009D3A94"/>
    <w:rsid w:val="009D3B52"/>
    <w:rsid w:val="009D3B60"/>
    <w:rsid w:val="009D3B7A"/>
    <w:rsid w:val="009D3B89"/>
    <w:rsid w:val="009D3C53"/>
    <w:rsid w:val="009D3C80"/>
    <w:rsid w:val="009D3CD5"/>
    <w:rsid w:val="009D3D3C"/>
    <w:rsid w:val="009D3D40"/>
    <w:rsid w:val="009D3D67"/>
    <w:rsid w:val="009D3D93"/>
    <w:rsid w:val="009D3DA6"/>
    <w:rsid w:val="009D3DB9"/>
    <w:rsid w:val="009D3E3F"/>
    <w:rsid w:val="009D3E7B"/>
    <w:rsid w:val="009D3EA5"/>
    <w:rsid w:val="009D3EB7"/>
    <w:rsid w:val="009D3EFF"/>
    <w:rsid w:val="009D3F3C"/>
    <w:rsid w:val="009D3F53"/>
    <w:rsid w:val="009D3FCF"/>
    <w:rsid w:val="009D4009"/>
    <w:rsid w:val="009D4014"/>
    <w:rsid w:val="009D4043"/>
    <w:rsid w:val="009D408F"/>
    <w:rsid w:val="009D410E"/>
    <w:rsid w:val="009D4120"/>
    <w:rsid w:val="009D413B"/>
    <w:rsid w:val="009D4266"/>
    <w:rsid w:val="009D42E0"/>
    <w:rsid w:val="009D43A9"/>
    <w:rsid w:val="009D43E5"/>
    <w:rsid w:val="009D4404"/>
    <w:rsid w:val="009D4495"/>
    <w:rsid w:val="009D4515"/>
    <w:rsid w:val="009D454B"/>
    <w:rsid w:val="009D45B0"/>
    <w:rsid w:val="009D4624"/>
    <w:rsid w:val="009D4698"/>
    <w:rsid w:val="009D46C3"/>
    <w:rsid w:val="009D4770"/>
    <w:rsid w:val="009D4813"/>
    <w:rsid w:val="009D484C"/>
    <w:rsid w:val="009D4859"/>
    <w:rsid w:val="009D486B"/>
    <w:rsid w:val="009D48C4"/>
    <w:rsid w:val="009D48EA"/>
    <w:rsid w:val="009D48EE"/>
    <w:rsid w:val="009D494F"/>
    <w:rsid w:val="009D4953"/>
    <w:rsid w:val="009D49E3"/>
    <w:rsid w:val="009D4A94"/>
    <w:rsid w:val="009D4AB2"/>
    <w:rsid w:val="009D4AC7"/>
    <w:rsid w:val="009D4B9C"/>
    <w:rsid w:val="009D4BBE"/>
    <w:rsid w:val="009D4BCB"/>
    <w:rsid w:val="009D4BE5"/>
    <w:rsid w:val="009D4C15"/>
    <w:rsid w:val="009D4C57"/>
    <w:rsid w:val="009D4C74"/>
    <w:rsid w:val="009D4C90"/>
    <w:rsid w:val="009D4CE7"/>
    <w:rsid w:val="009D4D39"/>
    <w:rsid w:val="009D4D45"/>
    <w:rsid w:val="009D4E22"/>
    <w:rsid w:val="009D4E2D"/>
    <w:rsid w:val="009D4E48"/>
    <w:rsid w:val="009D4EE3"/>
    <w:rsid w:val="009D4F58"/>
    <w:rsid w:val="009D4F85"/>
    <w:rsid w:val="009D4FA1"/>
    <w:rsid w:val="009D5036"/>
    <w:rsid w:val="009D50B6"/>
    <w:rsid w:val="009D51CA"/>
    <w:rsid w:val="009D51E6"/>
    <w:rsid w:val="009D527A"/>
    <w:rsid w:val="009D52AE"/>
    <w:rsid w:val="009D538E"/>
    <w:rsid w:val="009D54CF"/>
    <w:rsid w:val="009D54FD"/>
    <w:rsid w:val="009D5549"/>
    <w:rsid w:val="009D5586"/>
    <w:rsid w:val="009D55B3"/>
    <w:rsid w:val="009D55E7"/>
    <w:rsid w:val="009D5623"/>
    <w:rsid w:val="009D5624"/>
    <w:rsid w:val="009D575B"/>
    <w:rsid w:val="009D57D5"/>
    <w:rsid w:val="009D57E3"/>
    <w:rsid w:val="009D584F"/>
    <w:rsid w:val="009D589D"/>
    <w:rsid w:val="009D59CE"/>
    <w:rsid w:val="009D59F1"/>
    <w:rsid w:val="009D5AE6"/>
    <w:rsid w:val="009D5B6D"/>
    <w:rsid w:val="009D5B7B"/>
    <w:rsid w:val="009D5C13"/>
    <w:rsid w:val="009D5C1F"/>
    <w:rsid w:val="009D5C72"/>
    <w:rsid w:val="009D5CA4"/>
    <w:rsid w:val="009D5D5B"/>
    <w:rsid w:val="009D5D77"/>
    <w:rsid w:val="009D5EA5"/>
    <w:rsid w:val="009D5ECD"/>
    <w:rsid w:val="009D5F99"/>
    <w:rsid w:val="009D5FB1"/>
    <w:rsid w:val="009D5FB7"/>
    <w:rsid w:val="009D600B"/>
    <w:rsid w:val="009D6022"/>
    <w:rsid w:val="009D6039"/>
    <w:rsid w:val="009D608F"/>
    <w:rsid w:val="009D60E3"/>
    <w:rsid w:val="009D61FD"/>
    <w:rsid w:val="009D625C"/>
    <w:rsid w:val="009D6291"/>
    <w:rsid w:val="009D632B"/>
    <w:rsid w:val="009D641A"/>
    <w:rsid w:val="009D6465"/>
    <w:rsid w:val="009D64D8"/>
    <w:rsid w:val="009D654F"/>
    <w:rsid w:val="009D6572"/>
    <w:rsid w:val="009D65E3"/>
    <w:rsid w:val="009D6653"/>
    <w:rsid w:val="009D66BB"/>
    <w:rsid w:val="009D6734"/>
    <w:rsid w:val="009D6783"/>
    <w:rsid w:val="009D67E7"/>
    <w:rsid w:val="009D685B"/>
    <w:rsid w:val="009D687B"/>
    <w:rsid w:val="009D6902"/>
    <w:rsid w:val="009D6989"/>
    <w:rsid w:val="009D69CE"/>
    <w:rsid w:val="009D69D7"/>
    <w:rsid w:val="009D69E2"/>
    <w:rsid w:val="009D6A15"/>
    <w:rsid w:val="009D6A99"/>
    <w:rsid w:val="009D6AA6"/>
    <w:rsid w:val="009D6B0B"/>
    <w:rsid w:val="009D6B34"/>
    <w:rsid w:val="009D6B51"/>
    <w:rsid w:val="009D6B8F"/>
    <w:rsid w:val="009D6C29"/>
    <w:rsid w:val="009D6C30"/>
    <w:rsid w:val="009D6C66"/>
    <w:rsid w:val="009D6C68"/>
    <w:rsid w:val="009D6CE7"/>
    <w:rsid w:val="009D6D1E"/>
    <w:rsid w:val="009D6D49"/>
    <w:rsid w:val="009D6DE7"/>
    <w:rsid w:val="009D6E92"/>
    <w:rsid w:val="009D703F"/>
    <w:rsid w:val="009D70A0"/>
    <w:rsid w:val="009D70EA"/>
    <w:rsid w:val="009D7122"/>
    <w:rsid w:val="009D7129"/>
    <w:rsid w:val="009D717D"/>
    <w:rsid w:val="009D71C8"/>
    <w:rsid w:val="009D71DF"/>
    <w:rsid w:val="009D7237"/>
    <w:rsid w:val="009D7248"/>
    <w:rsid w:val="009D7263"/>
    <w:rsid w:val="009D7320"/>
    <w:rsid w:val="009D7324"/>
    <w:rsid w:val="009D7369"/>
    <w:rsid w:val="009D73B4"/>
    <w:rsid w:val="009D7431"/>
    <w:rsid w:val="009D75AA"/>
    <w:rsid w:val="009D7600"/>
    <w:rsid w:val="009D760B"/>
    <w:rsid w:val="009D7628"/>
    <w:rsid w:val="009D7643"/>
    <w:rsid w:val="009D7651"/>
    <w:rsid w:val="009D76E7"/>
    <w:rsid w:val="009D7780"/>
    <w:rsid w:val="009D77F2"/>
    <w:rsid w:val="009D78BC"/>
    <w:rsid w:val="009D7917"/>
    <w:rsid w:val="009D7944"/>
    <w:rsid w:val="009D7967"/>
    <w:rsid w:val="009D7969"/>
    <w:rsid w:val="009D79ED"/>
    <w:rsid w:val="009D7A0C"/>
    <w:rsid w:val="009D7A25"/>
    <w:rsid w:val="009D7A84"/>
    <w:rsid w:val="009D7A90"/>
    <w:rsid w:val="009D7AAE"/>
    <w:rsid w:val="009D7AAF"/>
    <w:rsid w:val="009D7ADC"/>
    <w:rsid w:val="009D7B3D"/>
    <w:rsid w:val="009D7BED"/>
    <w:rsid w:val="009D7C9C"/>
    <w:rsid w:val="009D7D11"/>
    <w:rsid w:val="009D7D78"/>
    <w:rsid w:val="009D7D85"/>
    <w:rsid w:val="009D7DC7"/>
    <w:rsid w:val="009D7E6F"/>
    <w:rsid w:val="009D7F31"/>
    <w:rsid w:val="009E00A2"/>
    <w:rsid w:val="009E00DA"/>
    <w:rsid w:val="009E0167"/>
    <w:rsid w:val="009E01A8"/>
    <w:rsid w:val="009E01F8"/>
    <w:rsid w:val="009E01FE"/>
    <w:rsid w:val="009E01FF"/>
    <w:rsid w:val="009E02EF"/>
    <w:rsid w:val="009E0345"/>
    <w:rsid w:val="009E041D"/>
    <w:rsid w:val="009E04CE"/>
    <w:rsid w:val="009E0610"/>
    <w:rsid w:val="009E0617"/>
    <w:rsid w:val="009E068B"/>
    <w:rsid w:val="009E0796"/>
    <w:rsid w:val="009E0951"/>
    <w:rsid w:val="009E0985"/>
    <w:rsid w:val="009E0AC7"/>
    <w:rsid w:val="009E0AEA"/>
    <w:rsid w:val="009E0B1C"/>
    <w:rsid w:val="009E0B5D"/>
    <w:rsid w:val="009E0BFA"/>
    <w:rsid w:val="009E0C60"/>
    <w:rsid w:val="009E0D14"/>
    <w:rsid w:val="009E0D60"/>
    <w:rsid w:val="009E0DD9"/>
    <w:rsid w:val="009E0E27"/>
    <w:rsid w:val="009E0E62"/>
    <w:rsid w:val="009E0E6F"/>
    <w:rsid w:val="009E0EEC"/>
    <w:rsid w:val="009E0F77"/>
    <w:rsid w:val="009E1011"/>
    <w:rsid w:val="009E1051"/>
    <w:rsid w:val="009E1167"/>
    <w:rsid w:val="009E11D2"/>
    <w:rsid w:val="009E123A"/>
    <w:rsid w:val="009E1268"/>
    <w:rsid w:val="009E12CE"/>
    <w:rsid w:val="009E136A"/>
    <w:rsid w:val="009E13A6"/>
    <w:rsid w:val="009E14C1"/>
    <w:rsid w:val="009E14C3"/>
    <w:rsid w:val="009E1622"/>
    <w:rsid w:val="009E169B"/>
    <w:rsid w:val="009E171D"/>
    <w:rsid w:val="009E1722"/>
    <w:rsid w:val="009E17DB"/>
    <w:rsid w:val="009E1801"/>
    <w:rsid w:val="009E182F"/>
    <w:rsid w:val="009E185C"/>
    <w:rsid w:val="009E197F"/>
    <w:rsid w:val="009E19B4"/>
    <w:rsid w:val="009E19B8"/>
    <w:rsid w:val="009E19CB"/>
    <w:rsid w:val="009E1A4D"/>
    <w:rsid w:val="009E1A66"/>
    <w:rsid w:val="009E1AE2"/>
    <w:rsid w:val="009E1B22"/>
    <w:rsid w:val="009E1C24"/>
    <w:rsid w:val="009E1C3D"/>
    <w:rsid w:val="009E1C4B"/>
    <w:rsid w:val="009E1CBF"/>
    <w:rsid w:val="009E1D42"/>
    <w:rsid w:val="009E1D86"/>
    <w:rsid w:val="009E1D8A"/>
    <w:rsid w:val="009E1DD3"/>
    <w:rsid w:val="009E1EC0"/>
    <w:rsid w:val="009E1EDA"/>
    <w:rsid w:val="009E1F3E"/>
    <w:rsid w:val="009E1FDF"/>
    <w:rsid w:val="009E2134"/>
    <w:rsid w:val="009E2142"/>
    <w:rsid w:val="009E2195"/>
    <w:rsid w:val="009E21E0"/>
    <w:rsid w:val="009E2202"/>
    <w:rsid w:val="009E2264"/>
    <w:rsid w:val="009E228F"/>
    <w:rsid w:val="009E2299"/>
    <w:rsid w:val="009E22B3"/>
    <w:rsid w:val="009E22D0"/>
    <w:rsid w:val="009E2325"/>
    <w:rsid w:val="009E2436"/>
    <w:rsid w:val="009E2445"/>
    <w:rsid w:val="009E257A"/>
    <w:rsid w:val="009E2599"/>
    <w:rsid w:val="009E269D"/>
    <w:rsid w:val="009E26B8"/>
    <w:rsid w:val="009E26D7"/>
    <w:rsid w:val="009E26F3"/>
    <w:rsid w:val="009E2755"/>
    <w:rsid w:val="009E2775"/>
    <w:rsid w:val="009E2790"/>
    <w:rsid w:val="009E27C6"/>
    <w:rsid w:val="009E27F5"/>
    <w:rsid w:val="009E2853"/>
    <w:rsid w:val="009E28D1"/>
    <w:rsid w:val="009E2913"/>
    <w:rsid w:val="009E2963"/>
    <w:rsid w:val="009E29D6"/>
    <w:rsid w:val="009E2A4E"/>
    <w:rsid w:val="009E2AAE"/>
    <w:rsid w:val="009E2ACC"/>
    <w:rsid w:val="009E2B65"/>
    <w:rsid w:val="009E2B77"/>
    <w:rsid w:val="009E2B81"/>
    <w:rsid w:val="009E2B9E"/>
    <w:rsid w:val="009E2BA3"/>
    <w:rsid w:val="009E2BAB"/>
    <w:rsid w:val="009E2C5A"/>
    <w:rsid w:val="009E2D48"/>
    <w:rsid w:val="009E2D4C"/>
    <w:rsid w:val="009E2D51"/>
    <w:rsid w:val="009E2D9A"/>
    <w:rsid w:val="009E2DE3"/>
    <w:rsid w:val="009E2E1B"/>
    <w:rsid w:val="009E2E83"/>
    <w:rsid w:val="009E2E84"/>
    <w:rsid w:val="009E2E94"/>
    <w:rsid w:val="009E2EBB"/>
    <w:rsid w:val="009E2F90"/>
    <w:rsid w:val="009E312B"/>
    <w:rsid w:val="009E316F"/>
    <w:rsid w:val="009E3183"/>
    <w:rsid w:val="009E31BF"/>
    <w:rsid w:val="009E3292"/>
    <w:rsid w:val="009E32BA"/>
    <w:rsid w:val="009E32E0"/>
    <w:rsid w:val="009E32EC"/>
    <w:rsid w:val="009E3367"/>
    <w:rsid w:val="009E345D"/>
    <w:rsid w:val="009E3468"/>
    <w:rsid w:val="009E346E"/>
    <w:rsid w:val="009E34F4"/>
    <w:rsid w:val="009E355F"/>
    <w:rsid w:val="009E3625"/>
    <w:rsid w:val="009E363C"/>
    <w:rsid w:val="009E36A9"/>
    <w:rsid w:val="009E37CD"/>
    <w:rsid w:val="009E37D8"/>
    <w:rsid w:val="009E382B"/>
    <w:rsid w:val="009E383C"/>
    <w:rsid w:val="009E39B9"/>
    <w:rsid w:val="009E39DF"/>
    <w:rsid w:val="009E39FE"/>
    <w:rsid w:val="009E3A05"/>
    <w:rsid w:val="009E3B34"/>
    <w:rsid w:val="009E3B4F"/>
    <w:rsid w:val="009E3C05"/>
    <w:rsid w:val="009E3C07"/>
    <w:rsid w:val="009E3C96"/>
    <w:rsid w:val="009E3D26"/>
    <w:rsid w:val="009E3D42"/>
    <w:rsid w:val="009E3D4E"/>
    <w:rsid w:val="009E3D59"/>
    <w:rsid w:val="009E3E13"/>
    <w:rsid w:val="009E3E78"/>
    <w:rsid w:val="009E3E83"/>
    <w:rsid w:val="009E3FF7"/>
    <w:rsid w:val="009E40B2"/>
    <w:rsid w:val="009E40D0"/>
    <w:rsid w:val="009E40F2"/>
    <w:rsid w:val="009E4104"/>
    <w:rsid w:val="009E416A"/>
    <w:rsid w:val="009E433B"/>
    <w:rsid w:val="009E438C"/>
    <w:rsid w:val="009E43F6"/>
    <w:rsid w:val="009E4428"/>
    <w:rsid w:val="009E442C"/>
    <w:rsid w:val="009E4455"/>
    <w:rsid w:val="009E454F"/>
    <w:rsid w:val="009E4565"/>
    <w:rsid w:val="009E459B"/>
    <w:rsid w:val="009E45BD"/>
    <w:rsid w:val="009E4612"/>
    <w:rsid w:val="009E4673"/>
    <w:rsid w:val="009E46B6"/>
    <w:rsid w:val="009E4738"/>
    <w:rsid w:val="009E4793"/>
    <w:rsid w:val="009E47B2"/>
    <w:rsid w:val="009E482C"/>
    <w:rsid w:val="009E483D"/>
    <w:rsid w:val="009E48F4"/>
    <w:rsid w:val="009E48F8"/>
    <w:rsid w:val="009E4909"/>
    <w:rsid w:val="009E496C"/>
    <w:rsid w:val="009E49B9"/>
    <w:rsid w:val="009E4AC9"/>
    <w:rsid w:val="009E4B96"/>
    <w:rsid w:val="009E4D68"/>
    <w:rsid w:val="009E4D74"/>
    <w:rsid w:val="009E4D7E"/>
    <w:rsid w:val="009E4DC4"/>
    <w:rsid w:val="009E4DF6"/>
    <w:rsid w:val="009E4E65"/>
    <w:rsid w:val="009E4EE4"/>
    <w:rsid w:val="009E4EFF"/>
    <w:rsid w:val="009E4F4E"/>
    <w:rsid w:val="009E4FE5"/>
    <w:rsid w:val="009E504B"/>
    <w:rsid w:val="009E507D"/>
    <w:rsid w:val="009E50A5"/>
    <w:rsid w:val="009E50A8"/>
    <w:rsid w:val="009E5105"/>
    <w:rsid w:val="009E5106"/>
    <w:rsid w:val="009E5120"/>
    <w:rsid w:val="009E5134"/>
    <w:rsid w:val="009E5186"/>
    <w:rsid w:val="009E5192"/>
    <w:rsid w:val="009E51C3"/>
    <w:rsid w:val="009E51D1"/>
    <w:rsid w:val="009E51FB"/>
    <w:rsid w:val="009E52B2"/>
    <w:rsid w:val="009E52F6"/>
    <w:rsid w:val="009E5314"/>
    <w:rsid w:val="009E5424"/>
    <w:rsid w:val="009E5453"/>
    <w:rsid w:val="009E54B7"/>
    <w:rsid w:val="009E54D9"/>
    <w:rsid w:val="009E550E"/>
    <w:rsid w:val="009E5522"/>
    <w:rsid w:val="009E5591"/>
    <w:rsid w:val="009E5660"/>
    <w:rsid w:val="009E56C2"/>
    <w:rsid w:val="009E57A3"/>
    <w:rsid w:val="009E57BA"/>
    <w:rsid w:val="009E584B"/>
    <w:rsid w:val="009E5960"/>
    <w:rsid w:val="009E5A1F"/>
    <w:rsid w:val="009E5B3A"/>
    <w:rsid w:val="009E5BC5"/>
    <w:rsid w:val="009E5CC5"/>
    <w:rsid w:val="009E5CFF"/>
    <w:rsid w:val="009E5D45"/>
    <w:rsid w:val="009E5DF5"/>
    <w:rsid w:val="009E5ECA"/>
    <w:rsid w:val="009E5FA0"/>
    <w:rsid w:val="009E5FF7"/>
    <w:rsid w:val="009E600B"/>
    <w:rsid w:val="009E6014"/>
    <w:rsid w:val="009E60C5"/>
    <w:rsid w:val="009E60FD"/>
    <w:rsid w:val="009E6121"/>
    <w:rsid w:val="009E6229"/>
    <w:rsid w:val="009E624C"/>
    <w:rsid w:val="009E62CC"/>
    <w:rsid w:val="009E62EB"/>
    <w:rsid w:val="009E6301"/>
    <w:rsid w:val="009E634A"/>
    <w:rsid w:val="009E635A"/>
    <w:rsid w:val="009E63E3"/>
    <w:rsid w:val="009E6415"/>
    <w:rsid w:val="009E6468"/>
    <w:rsid w:val="009E6526"/>
    <w:rsid w:val="009E66BF"/>
    <w:rsid w:val="009E675B"/>
    <w:rsid w:val="009E676F"/>
    <w:rsid w:val="009E67BD"/>
    <w:rsid w:val="009E6837"/>
    <w:rsid w:val="009E6869"/>
    <w:rsid w:val="009E6875"/>
    <w:rsid w:val="009E6883"/>
    <w:rsid w:val="009E6904"/>
    <w:rsid w:val="009E6A0C"/>
    <w:rsid w:val="009E6ABD"/>
    <w:rsid w:val="009E6B41"/>
    <w:rsid w:val="009E6C23"/>
    <w:rsid w:val="009E6C39"/>
    <w:rsid w:val="009E6D1C"/>
    <w:rsid w:val="009E6D88"/>
    <w:rsid w:val="009E6E35"/>
    <w:rsid w:val="009E6E71"/>
    <w:rsid w:val="009E6F44"/>
    <w:rsid w:val="009E6FED"/>
    <w:rsid w:val="009E7000"/>
    <w:rsid w:val="009E710A"/>
    <w:rsid w:val="009E71D9"/>
    <w:rsid w:val="009E728F"/>
    <w:rsid w:val="009E72BC"/>
    <w:rsid w:val="009E73E3"/>
    <w:rsid w:val="009E7413"/>
    <w:rsid w:val="009E749C"/>
    <w:rsid w:val="009E74AF"/>
    <w:rsid w:val="009E754F"/>
    <w:rsid w:val="009E75E7"/>
    <w:rsid w:val="009E7662"/>
    <w:rsid w:val="009E766D"/>
    <w:rsid w:val="009E7791"/>
    <w:rsid w:val="009E77AE"/>
    <w:rsid w:val="009E77B0"/>
    <w:rsid w:val="009E77B6"/>
    <w:rsid w:val="009E78AD"/>
    <w:rsid w:val="009E78E1"/>
    <w:rsid w:val="009E79AA"/>
    <w:rsid w:val="009E7A30"/>
    <w:rsid w:val="009E7A5A"/>
    <w:rsid w:val="009E7A71"/>
    <w:rsid w:val="009E7B1D"/>
    <w:rsid w:val="009E7C0C"/>
    <w:rsid w:val="009E7C3B"/>
    <w:rsid w:val="009E7C71"/>
    <w:rsid w:val="009E7C9C"/>
    <w:rsid w:val="009E7CA7"/>
    <w:rsid w:val="009E7CF4"/>
    <w:rsid w:val="009E7E6A"/>
    <w:rsid w:val="009E7E94"/>
    <w:rsid w:val="009E7F3F"/>
    <w:rsid w:val="009EA4E6"/>
    <w:rsid w:val="009F001B"/>
    <w:rsid w:val="009F0083"/>
    <w:rsid w:val="009F00B8"/>
    <w:rsid w:val="009F02A9"/>
    <w:rsid w:val="009F03F9"/>
    <w:rsid w:val="009F0424"/>
    <w:rsid w:val="009F04A7"/>
    <w:rsid w:val="009F05E6"/>
    <w:rsid w:val="009F0697"/>
    <w:rsid w:val="009F071F"/>
    <w:rsid w:val="009F0738"/>
    <w:rsid w:val="009F0800"/>
    <w:rsid w:val="009F0855"/>
    <w:rsid w:val="009F0877"/>
    <w:rsid w:val="009F08F1"/>
    <w:rsid w:val="009F0941"/>
    <w:rsid w:val="009F0947"/>
    <w:rsid w:val="009F09E6"/>
    <w:rsid w:val="009F0A38"/>
    <w:rsid w:val="009F0A3C"/>
    <w:rsid w:val="009F0A46"/>
    <w:rsid w:val="009F0A7F"/>
    <w:rsid w:val="009F0A82"/>
    <w:rsid w:val="009F0AF4"/>
    <w:rsid w:val="009F0B15"/>
    <w:rsid w:val="009F0BD4"/>
    <w:rsid w:val="009F0C15"/>
    <w:rsid w:val="009F0CDF"/>
    <w:rsid w:val="009F0D08"/>
    <w:rsid w:val="009F0D46"/>
    <w:rsid w:val="009F0D54"/>
    <w:rsid w:val="009F0D5B"/>
    <w:rsid w:val="009F0E9E"/>
    <w:rsid w:val="009F1095"/>
    <w:rsid w:val="009F10D8"/>
    <w:rsid w:val="009F10E3"/>
    <w:rsid w:val="009F10EC"/>
    <w:rsid w:val="009F1134"/>
    <w:rsid w:val="009F119F"/>
    <w:rsid w:val="009F121C"/>
    <w:rsid w:val="009F1247"/>
    <w:rsid w:val="009F129E"/>
    <w:rsid w:val="009F12AF"/>
    <w:rsid w:val="009F12C8"/>
    <w:rsid w:val="009F12F0"/>
    <w:rsid w:val="009F1314"/>
    <w:rsid w:val="009F1316"/>
    <w:rsid w:val="009F134A"/>
    <w:rsid w:val="009F1417"/>
    <w:rsid w:val="009F1426"/>
    <w:rsid w:val="009F1463"/>
    <w:rsid w:val="009F14CF"/>
    <w:rsid w:val="009F151C"/>
    <w:rsid w:val="009F1588"/>
    <w:rsid w:val="009F1662"/>
    <w:rsid w:val="009F1690"/>
    <w:rsid w:val="009F16BA"/>
    <w:rsid w:val="009F16F4"/>
    <w:rsid w:val="009F1847"/>
    <w:rsid w:val="009F1910"/>
    <w:rsid w:val="009F19B1"/>
    <w:rsid w:val="009F1A95"/>
    <w:rsid w:val="009F1B1C"/>
    <w:rsid w:val="009F1C43"/>
    <w:rsid w:val="009F1D92"/>
    <w:rsid w:val="009F1DB6"/>
    <w:rsid w:val="009F1F08"/>
    <w:rsid w:val="009F1F80"/>
    <w:rsid w:val="009F2059"/>
    <w:rsid w:val="009F2073"/>
    <w:rsid w:val="009F20AE"/>
    <w:rsid w:val="009F20BE"/>
    <w:rsid w:val="009F2184"/>
    <w:rsid w:val="009F21F9"/>
    <w:rsid w:val="009F22C1"/>
    <w:rsid w:val="009F2316"/>
    <w:rsid w:val="009F241D"/>
    <w:rsid w:val="009F24BA"/>
    <w:rsid w:val="009F2598"/>
    <w:rsid w:val="009F260D"/>
    <w:rsid w:val="009F271C"/>
    <w:rsid w:val="009F276E"/>
    <w:rsid w:val="009F27DC"/>
    <w:rsid w:val="009F2868"/>
    <w:rsid w:val="009F287A"/>
    <w:rsid w:val="009F2905"/>
    <w:rsid w:val="009F2987"/>
    <w:rsid w:val="009F2A3E"/>
    <w:rsid w:val="009F2A50"/>
    <w:rsid w:val="009F2A70"/>
    <w:rsid w:val="009F2A9C"/>
    <w:rsid w:val="009F2B05"/>
    <w:rsid w:val="009F2B67"/>
    <w:rsid w:val="009F2D26"/>
    <w:rsid w:val="009F2D58"/>
    <w:rsid w:val="009F2DEF"/>
    <w:rsid w:val="009F2DF3"/>
    <w:rsid w:val="009F2E27"/>
    <w:rsid w:val="009F2E28"/>
    <w:rsid w:val="009F2E3F"/>
    <w:rsid w:val="009F2E74"/>
    <w:rsid w:val="009F2F62"/>
    <w:rsid w:val="009F2F6D"/>
    <w:rsid w:val="009F2FB6"/>
    <w:rsid w:val="009F3206"/>
    <w:rsid w:val="009F324A"/>
    <w:rsid w:val="009F32B4"/>
    <w:rsid w:val="009F32E1"/>
    <w:rsid w:val="009F32FF"/>
    <w:rsid w:val="009F3311"/>
    <w:rsid w:val="009F3371"/>
    <w:rsid w:val="009F3487"/>
    <w:rsid w:val="009F3549"/>
    <w:rsid w:val="009F35DE"/>
    <w:rsid w:val="009F3660"/>
    <w:rsid w:val="009F377E"/>
    <w:rsid w:val="009F37B7"/>
    <w:rsid w:val="009F383A"/>
    <w:rsid w:val="009F3896"/>
    <w:rsid w:val="009F3908"/>
    <w:rsid w:val="009F39AE"/>
    <w:rsid w:val="009F39B2"/>
    <w:rsid w:val="009F39F3"/>
    <w:rsid w:val="009F3A1B"/>
    <w:rsid w:val="009F3A20"/>
    <w:rsid w:val="009F3A41"/>
    <w:rsid w:val="009F3A6B"/>
    <w:rsid w:val="009F3AA5"/>
    <w:rsid w:val="009F3AD3"/>
    <w:rsid w:val="009F3B2A"/>
    <w:rsid w:val="009F3B4A"/>
    <w:rsid w:val="009F3B5C"/>
    <w:rsid w:val="009F3BB3"/>
    <w:rsid w:val="009F3BC9"/>
    <w:rsid w:val="009F3C00"/>
    <w:rsid w:val="009F3C87"/>
    <w:rsid w:val="009F3DE5"/>
    <w:rsid w:val="009F3FCF"/>
    <w:rsid w:val="009F3FF2"/>
    <w:rsid w:val="009F405F"/>
    <w:rsid w:val="009F406C"/>
    <w:rsid w:val="009F4084"/>
    <w:rsid w:val="009F41A2"/>
    <w:rsid w:val="009F41E4"/>
    <w:rsid w:val="009F4214"/>
    <w:rsid w:val="009F4322"/>
    <w:rsid w:val="009F4342"/>
    <w:rsid w:val="009F4363"/>
    <w:rsid w:val="009F436D"/>
    <w:rsid w:val="009F43BA"/>
    <w:rsid w:val="009F4408"/>
    <w:rsid w:val="009F442D"/>
    <w:rsid w:val="009F4439"/>
    <w:rsid w:val="009F4443"/>
    <w:rsid w:val="009F4553"/>
    <w:rsid w:val="009F47BE"/>
    <w:rsid w:val="009F47E5"/>
    <w:rsid w:val="009F47EC"/>
    <w:rsid w:val="009F4856"/>
    <w:rsid w:val="009F4892"/>
    <w:rsid w:val="009F4902"/>
    <w:rsid w:val="009F4980"/>
    <w:rsid w:val="009F49A7"/>
    <w:rsid w:val="009F49B4"/>
    <w:rsid w:val="009F4A47"/>
    <w:rsid w:val="009F4AED"/>
    <w:rsid w:val="009F4B88"/>
    <w:rsid w:val="009F4B98"/>
    <w:rsid w:val="009F4C36"/>
    <w:rsid w:val="009F4CBD"/>
    <w:rsid w:val="009F4D04"/>
    <w:rsid w:val="009F4D58"/>
    <w:rsid w:val="009F4E1E"/>
    <w:rsid w:val="009F527D"/>
    <w:rsid w:val="009F528E"/>
    <w:rsid w:val="009F52B6"/>
    <w:rsid w:val="009F52B8"/>
    <w:rsid w:val="009F536A"/>
    <w:rsid w:val="009F538A"/>
    <w:rsid w:val="009F53D0"/>
    <w:rsid w:val="009F53FA"/>
    <w:rsid w:val="009F5454"/>
    <w:rsid w:val="009F54A3"/>
    <w:rsid w:val="009F5531"/>
    <w:rsid w:val="009F555F"/>
    <w:rsid w:val="009F5670"/>
    <w:rsid w:val="009F56E4"/>
    <w:rsid w:val="009F56FE"/>
    <w:rsid w:val="009F57B3"/>
    <w:rsid w:val="009F5858"/>
    <w:rsid w:val="009F58D2"/>
    <w:rsid w:val="009F591F"/>
    <w:rsid w:val="009F5963"/>
    <w:rsid w:val="009F5973"/>
    <w:rsid w:val="009F5A7A"/>
    <w:rsid w:val="009F5B1B"/>
    <w:rsid w:val="009F5B58"/>
    <w:rsid w:val="009F5BB3"/>
    <w:rsid w:val="009F5BC6"/>
    <w:rsid w:val="009F5BF9"/>
    <w:rsid w:val="009F5C55"/>
    <w:rsid w:val="009F5C5D"/>
    <w:rsid w:val="009F5C9B"/>
    <w:rsid w:val="009F5CED"/>
    <w:rsid w:val="009F5CF8"/>
    <w:rsid w:val="009F5D57"/>
    <w:rsid w:val="009F5D5A"/>
    <w:rsid w:val="009F5D6D"/>
    <w:rsid w:val="009F5D84"/>
    <w:rsid w:val="009F5DFE"/>
    <w:rsid w:val="009F5E2C"/>
    <w:rsid w:val="009F5E51"/>
    <w:rsid w:val="009F5E68"/>
    <w:rsid w:val="009F5F83"/>
    <w:rsid w:val="009F5FF2"/>
    <w:rsid w:val="009F5FF3"/>
    <w:rsid w:val="009F6135"/>
    <w:rsid w:val="009F6159"/>
    <w:rsid w:val="009F616F"/>
    <w:rsid w:val="009F6188"/>
    <w:rsid w:val="009F6203"/>
    <w:rsid w:val="009F6211"/>
    <w:rsid w:val="009F62ED"/>
    <w:rsid w:val="009F62FE"/>
    <w:rsid w:val="009F6317"/>
    <w:rsid w:val="009F6363"/>
    <w:rsid w:val="009F646B"/>
    <w:rsid w:val="009F658E"/>
    <w:rsid w:val="009F65AA"/>
    <w:rsid w:val="009F65B1"/>
    <w:rsid w:val="009F663B"/>
    <w:rsid w:val="009F668D"/>
    <w:rsid w:val="009F66B0"/>
    <w:rsid w:val="009F6713"/>
    <w:rsid w:val="009F675F"/>
    <w:rsid w:val="009F6788"/>
    <w:rsid w:val="009F6790"/>
    <w:rsid w:val="009F679D"/>
    <w:rsid w:val="009F67C5"/>
    <w:rsid w:val="009F680B"/>
    <w:rsid w:val="009F687A"/>
    <w:rsid w:val="009F688F"/>
    <w:rsid w:val="009F69E0"/>
    <w:rsid w:val="009F6A0C"/>
    <w:rsid w:val="009F6A10"/>
    <w:rsid w:val="009F6A1F"/>
    <w:rsid w:val="009F6A60"/>
    <w:rsid w:val="009F6A78"/>
    <w:rsid w:val="009F6AA2"/>
    <w:rsid w:val="009F6B5F"/>
    <w:rsid w:val="009F6C97"/>
    <w:rsid w:val="009F6CEC"/>
    <w:rsid w:val="009F6D10"/>
    <w:rsid w:val="009F6E10"/>
    <w:rsid w:val="009F6E4B"/>
    <w:rsid w:val="009F6EA0"/>
    <w:rsid w:val="009F6EB7"/>
    <w:rsid w:val="009F6ECA"/>
    <w:rsid w:val="009F6F03"/>
    <w:rsid w:val="009F6F51"/>
    <w:rsid w:val="009F6F55"/>
    <w:rsid w:val="009F6F63"/>
    <w:rsid w:val="009F6F8E"/>
    <w:rsid w:val="009F6FBA"/>
    <w:rsid w:val="009F7093"/>
    <w:rsid w:val="009F70E2"/>
    <w:rsid w:val="009F70E4"/>
    <w:rsid w:val="009F712E"/>
    <w:rsid w:val="009F7157"/>
    <w:rsid w:val="009F7170"/>
    <w:rsid w:val="009F7172"/>
    <w:rsid w:val="009F7181"/>
    <w:rsid w:val="009F722E"/>
    <w:rsid w:val="009F730A"/>
    <w:rsid w:val="009F732B"/>
    <w:rsid w:val="009F7331"/>
    <w:rsid w:val="009F736D"/>
    <w:rsid w:val="009F7385"/>
    <w:rsid w:val="009F7473"/>
    <w:rsid w:val="009F747C"/>
    <w:rsid w:val="009F7497"/>
    <w:rsid w:val="009F74BF"/>
    <w:rsid w:val="009F754B"/>
    <w:rsid w:val="009F7594"/>
    <w:rsid w:val="009F7676"/>
    <w:rsid w:val="009F7681"/>
    <w:rsid w:val="009F7708"/>
    <w:rsid w:val="009F7742"/>
    <w:rsid w:val="009F7769"/>
    <w:rsid w:val="009F778A"/>
    <w:rsid w:val="009F7794"/>
    <w:rsid w:val="009F7810"/>
    <w:rsid w:val="009F7843"/>
    <w:rsid w:val="009F7938"/>
    <w:rsid w:val="009F7984"/>
    <w:rsid w:val="009F798B"/>
    <w:rsid w:val="009F79B4"/>
    <w:rsid w:val="009F79F1"/>
    <w:rsid w:val="009F7A19"/>
    <w:rsid w:val="009F7A3F"/>
    <w:rsid w:val="009F7A47"/>
    <w:rsid w:val="009F7ACC"/>
    <w:rsid w:val="009F7AFF"/>
    <w:rsid w:val="009F7B0E"/>
    <w:rsid w:val="009F7BCB"/>
    <w:rsid w:val="009F7C3E"/>
    <w:rsid w:val="009F7D69"/>
    <w:rsid w:val="009F7DBB"/>
    <w:rsid w:val="009F7E23"/>
    <w:rsid w:val="009F7E54"/>
    <w:rsid w:val="009F7E8D"/>
    <w:rsid w:val="009F7ED1"/>
    <w:rsid w:val="009F7EF8"/>
    <w:rsid w:val="009F7F55"/>
    <w:rsid w:val="009F7FBB"/>
    <w:rsid w:val="00A00059"/>
    <w:rsid w:val="00A001B5"/>
    <w:rsid w:val="00A001D0"/>
    <w:rsid w:val="00A002DC"/>
    <w:rsid w:val="00A00349"/>
    <w:rsid w:val="00A003AE"/>
    <w:rsid w:val="00A00421"/>
    <w:rsid w:val="00A0042B"/>
    <w:rsid w:val="00A0047D"/>
    <w:rsid w:val="00A004AA"/>
    <w:rsid w:val="00A00588"/>
    <w:rsid w:val="00A0059D"/>
    <w:rsid w:val="00A00634"/>
    <w:rsid w:val="00A006D4"/>
    <w:rsid w:val="00A00700"/>
    <w:rsid w:val="00A00713"/>
    <w:rsid w:val="00A00839"/>
    <w:rsid w:val="00A0086D"/>
    <w:rsid w:val="00A00878"/>
    <w:rsid w:val="00A00879"/>
    <w:rsid w:val="00A0087D"/>
    <w:rsid w:val="00A00937"/>
    <w:rsid w:val="00A00947"/>
    <w:rsid w:val="00A0098C"/>
    <w:rsid w:val="00A0099B"/>
    <w:rsid w:val="00A00A00"/>
    <w:rsid w:val="00A00A3A"/>
    <w:rsid w:val="00A00A6C"/>
    <w:rsid w:val="00A00A9A"/>
    <w:rsid w:val="00A00AC7"/>
    <w:rsid w:val="00A00B05"/>
    <w:rsid w:val="00A00BD4"/>
    <w:rsid w:val="00A00C0F"/>
    <w:rsid w:val="00A00C3D"/>
    <w:rsid w:val="00A00C3E"/>
    <w:rsid w:val="00A00CAC"/>
    <w:rsid w:val="00A00D69"/>
    <w:rsid w:val="00A00D8E"/>
    <w:rsid w:val="00A00E10"/>
    <w:rsid w:val="00A00E15"/>
    <w:rsid w:val="00A00E26"/>
    <w:rsid w:val="00A00EEF"/>
    <w:rsid w:val="00A00F37"/>
    <w:rsid w:val="00A00F8D"/>
    <w:rsid w:val="00A00FA9"/>
    <w:rsid w:val="00A00FAC"/>
    <w:rsid w:val="00A01014"/>
    <w:rsid w:val="00A0106B"/>
    <w:rsid w:val="00A0107D"/>
    <w:rsid w:val="00A01102"/>
    <w:rsid w:val="00A0115E"/>
    <w:rsid w:val="00A0116F"/>
    <w:rsid w:val="00A011AC"/>
    <w:rsid w:val="00A011B6"/>
    <w:rsid w:val="00A011E3"/>
    <w:rsid w:val="00A0127A"/>
    <w:rsid w:val="00A0128A"/>
    <w:rsid w:val="00A0128E"/>
    <w:rsid w:val="00A012CA"/>
    <w:rsid w:val="00A01302"/>
    <w:rsid w:val="00A01374"/>
    <w:rsid w:val="00A013E0"/>
    <w:rsid w:val="00A01406"/>
    <w:rsid w:val="00A0143C"/>
    <w:rsid w:val="00A014E2"/>
    <w:rsid w:val="00A016D8"/>
    <w:rsid w:val="00A0180C"/>
    <w:rsid w:val="00A0184E"/>
    <w:rsid w:val="00A0186C"/>
    <w:rsid w:val="00A018A4"/>
    <w:rsid w:val="00A018D5"/>
    <w:rsid w:val="00A01975"/>
    <w:rsid w:val="00A0197C"/>
    <w:rsid w:val="00A01A03"/>
    <w:rsid w:val="00A01A26"/>
    <w:rsid w:val="00A01A39"/>
    <w:rsid w:val="00A01B33"/>
    <w:rsid w:val="00A01B5F"/>
    <w:rsid w:val="00A01B94"/>
    <w:rsid w:val="00A01C15"/>
    <w:rsid w:val="00A01C76"/>
    <w:rsid w:val="00A01CB9"/>
    <w:rsid w:val="00A01D13"/>
    <w:rsid w:val="00A01D3A"/>
    <w:rsid w:val="00A01DE7"/>
    <w:rsid w:val="00A01DF0"/>
    <w:rsid w:val="00A01E0D"/>
    <w:rsid w:val="00A01E21"/>
    <w:rsid w:val="00A01E3F"/>
    <w:rsid w:val="00A01EAB"/>
    <w:rsid w:val="00A01FC3"/>
    <w:rsid w:val="00A0201C"/>
    <w:rsid w:val="00A02133"/>
    <w:rsid w:val="00A021CE"/>
    <w:rsid w:val="00A021DD"/>
    <w:rsid w:val="00A021EA"/>
    <w:rsid w:val="00A02246"/>
    <w:rsid w:val="00A02299"/>
    <w:rsid w:val="00A0231D"/>
    <w:rsid w:val="00A02346"/>
    <w:rsid w:val="00A023B6"/>
    <w:rsid w:val="00A023F3"/>
    <w:rsid w:val="00A0243E"/>
    <w:rsid w:val="00A024A8"/>
    <w:rsid w:val="00A027E2"/>
    <w:rsid w:val="00A02848"/>
    <w:rsid w:val="00A028E6"/>
    <w:rsid w:val="00A02982"/>
    <w:rsid w:val="00A02A36"/>
    <w:rsid w:val="00A02A39"/>
    <w:rsid w:val="00A02A5A"/>
    <w:rsid w:val="00A02A6D"/>
    <w:rsid w:val="00A02A7C"/>
    <w:rsid w:val="00A02A7D"/>
    <w:rsid w:val="00A02AA3"/>
    <w:rsid w:val="00A02AEE"/>
    <w:rsid w:val="00A02AF4"/>
    <w:rsid w:val="00A02B2C"/>
    <w:rsid w:val="00A02B7D"/>
    <w:rsid w:val="00A02B88"/>
    <w:rsid w:val="00A02C10"/>
    <w:rsid w:val="00A02D14"/>
    <w:rsid w:val="00A02D89"/>
    <w:rsid w:val="00A02DA8"/>
    <w:rsid w:val="00A02EB1"/>
    <w:rsid w:val="00A02F02"/>
    <w:rsid w:val="00A02F5C"/>
    <w:rsid w:val="00A02FC6"/>
    <w:rsid w:val="00A03029"/>
    <w:rsid w:val="00A03066"/>
    <w:rsid w:val="00A030C5"/>
    <w:rsid w:val="00A030F7"/>
    <w:rsid w:val="00A03156"/>
    <w:rsid w:val="00A03158"/>
    <w:rsid w:val="00A0317E"/>
    <w:rsid w:val="00A03191"/>
    <w:rsid w:val="00A031D2"/>
    <w:rsid w:val="00A031F8"/>
    <w:rsid w:val="00A03208"/>
    <w:rsid w:val="00A03275"/>
    <w:rsid w:val="00A0330E"/>
    <w:rsid w:val="00A03348"/>
    <w:rsid w:val="00A03571"/>
    <w:rsid w:val="00A03698"/>
    <w:rsid w:val="00A0372B"/>
    <w:rsid w:val="00A03765"/>
    <w:rsid w:val="00A038C1"/>
    <w:rsid w:val="00A03A0E"/>
    <w:rsid w:val="00A03A1E"/>
    <w:rsid w:val="00A03A6C"/>
    <w:rsid w:val="00A03AA5"/>
    <w:rsid w:val="00A03AC7"/>
    <w:rsid w:val="00A03AFB"/>
    <w:rsid w:val="00A03FE4"/>
    <w:rsid w:val="00A03FF7"/>
    <w:rsid w:val="00A04010"/>
    <w:rsid w:val="00A04033"/>
    <w:rsid w:val="00A040DD"/>
    <w:rsid w:val="00A040F3"/>
    <w:rsid w:val="00A0410D"/>
    <w:rsid w:val="00A04160"/>
    <w:rsid w:val="00A04295"/>
    <w:rsid w:val="00A04341"/>
    <w:rsid w:val="00A04362"/>
    <w:rsid w:val="00A044D1"/>
    <w:rsid w:val="00A0452D"/>
    <w:rsid w:val="00A04561"/>
    <w:rsid w:val="00A045AC"/>
    <w:rsid w:val="00A045F6"/>
    <w:rsid w:val="00A04619"/>
    <w:rsid w:val="00A0467D"/>
    <w:rsid w:val="00A04707"/>
    <w:rsid w:val="00A0475D"/>
    <w:rsid w:val="00A0476F"/>
    <w:rsid w:val="00A047A3"/>
    <w:rsid w:val="00A0486F"/>
    <w:rsid w:val="00A048A7"/>
    <w:rsid w:val="00A048C1"/>
    <w:rsid w:val="00A04A15"/>
    <w:rsid w:val="00A04A26"/>
    <w:rsid w:val="00A04A4A"/>
    <w:rsid w:val="00A04A59"/>
    <w:rsid w:val="00A04BAC"/>
    <w:rsid w:val="00A04BAF"/>
    <w:rsid w:val="00A04D92"/>
    <w:rsid w:val="00A04DB4"/>
    <w:rsid w:val="00A04E2A"/>
    <w:rsid w:val="00A04E39"/>
    <w:rsid w:val="00A04E61"/>
    <w:rsid w:val="00A04F53"/>
    <w:rsid w:val="00A04F82"/>
    <w:rsid w:val="00A04FCF"/>
    <w:rsid w:val="00A04FD0"/>
    <w:rsid w:val="00A04FEF"/>
    <w:rsid w:val="00A05055"/>
    <w:rsid w:val="00A05113"/>
    <w:rsid w:val="00A05155"/>
    <w:rsid w:val="00A051E8"/>
    <w:rsid w:val="00A05237"/>
    <w:rsid w:val="00A052E1"/>
    <w:rsid w:val="00A052E4"/>
    <w:rsid w:val="00A052F7"/>
    <w:rsid w:val="00A05331"/>
    <w:rsid w:val="00A05371"/>
    <w:rsid w:val="00A053BC"/>
    <w:rsid w:val="00A05416"/>
    <w:rsid w:val="00A05461"/>
    <w:rsid w:val="00A054B4"/>
    <w:rsid w:val="00A054CC"/>
    <w:rsid w:val="00A05530"/>
    <w:rsid w:val="00A05587"/>
    <w:rsid w:val="00A05664"/>
    <w:rsid w:val="00A05738"/>
    <w:rsid w:val="00A05899"/>
    <w:rsid w:val="00A058C2"/>
    <w:rsid w:val="00A058D8"/>
    <w:rsid w:val="00A05950"/>
    <w:rsid w:val="00A059DF"/>
    <w:rsid w:val="00A05A1D"/>
    <w:rsid w:val="00A05B53"/>
    <w:rsid w:val="00A05BAC"/>
    <w:rsid w:val="00A05CB2"/>
    <w:rsid w:val="00A05CD3"/>
    <w:rsid w:val="00A05DBE"/>
    <w:rsid w:val="00A05E1D"/>
    <w:rsid w:val="00A05E32"/>
    <w:rsid w:val="00A05E40"/>
    <w:rsid w:val="00A05E4C"/>
    <w:rsid w:val="00A05E50"/>
    <w:rsid w:val="00A05E6B"/>
    <w:rsid w:val="00A05E9E"/>
    <w:rsid w:val="00A05F62"/>
    <w:rsid w:val="00A05F6D"/>
    <w:rsid w:val="00A05FE4"/>
    <w:rsid w:val="00A0602B"/>
    <w:rsid w:val="00A060A1"/>
    <w:rsid w:val="00A06119"/>
    <w:rsid w:val="00A06122"/>
    <w:rsid w:val="00A06157"/>
    <w:rsid w:val="00A0624D"/>
    <w:rsid w:val="00A062E4"/>
    <w:rsid w:val="00A06300"/>
    <w:rsid w:val="00A06385"/>
    <w:rsid w:val="00A0646E"/>
    <w:rsid w:val="00A0647B"/>
    <w:rsid w:val="00A064C3"/>
    <w:rsid w:val="00A065C2"/>
    <w:rsid w:val="00A065F0"/>
    <w:rsid w:val="00A0675F"/>
    <w:rsid w:val="00A06768"/>
    <w:rsid w:val="00A067D9"/>
    <w:rsid w:val="00A06807"/>
    <w:rsid w:val="00A068CD"/>
    <w:rsid w:val="00A068D3"/>
    <w:rsid w:val="00A0691B"/>
    <w:rsid w:val="00A06A47"/>
    <w:rsid w:val="00A06B2A"/>
    <w:rsid w:val="00A06B4B"/>
    <w:rsid w:val="00A06B70"/>
    <w:rsid w:val="00A06CA5"/>
    <w:rsid w:val="00A06D7A"/>
    <w:rsid w:val="00A06E64"/>
    <w:rsid w:val="00A06E7C"/>
    <w:rsid w:val="00A06EB5"/>
    <w:rsid w:val="00A06FB5"/>
    <w:rsid w:val="00A0701D"/>
    <w:rsid w:val="00A0707E"/>
    <w:rsid w:val="00A070B2"/>
    <w:rsid w:val="00A070B3"/>
    <w:rsid w:val="00A070BA"/>
    <w:rsid w:val="00A0716E"/>
    <w:rsid w:val="00A07170"/>
    <w:rsid w:val="00A07264"/>
    <w:rsid w:val="00A0726C"/>
    <w:rsid w:val="00A0733F"/>
    <w:rsid w:val="00A073A0"/>
    <w:rsid w:val="00A073A1"/>
    <w:rsid w:val="00A07434"/>
    <w:rsid w:val="00A07438"/>
    <w:rsid w:val="00A074CF"/>
    <w:rsid w:val="00A075A6"/>
    <w:rsid w:val="00A075C3"/>
    <w:rsid w:val="00A075D5"/>
    <w:rsid w:val="00A07613"/>
    <w:rsid w:val="00A07778"/>
    <w:rsid w:val="00A077A1"/>
    <w:rsid w:val="00A0785E"/>
    <w:rsid w:val="00A07917"/>
    <w:rsid w:val="00A07919"/>
    <w:rsid w:val="00A07955"/>
    <w:rsid w:val="00A079A5"/>
    <w:rsid w:val="00A07B26"/>
    <w:rsid w:val="00A07C5A"/>
    <w:rsid w:val="00A07C8B"/>
    <w:rsid w:val="00A07CAF"/>
    <w:rsid w:val="00A07DF7"/>
    <w:rsid w:val="00A07E46"/>
    <w:rsid w:val="00A07EB9"/>
    <w:rsid w:val="00A07F56"/>
    <w:rsid w:val="00A07FFD"/>
    <w:rsid w:val="00A10045"/>
    <w:rsid w:val="00A10073"/>
    <w:rsid w:val="00A1009C"/>
    <w:rsid w:val="00A100AA"/>
    <w:rsid w:val="00A10132"/>
    <w:rsid w:val="00A101AD"/>
    <w:rsid w:val="00A101CA"/>
    <w:rsid w:val="00A101D7"/>
    <w:rsid w:val="00A101EC"/>
    <w:rsid w:val="00A10219"/>
    <w:rsid w:val="00A1029C"/>
    <w:rsid w:val="00A102B9"/>
    <w:rsid w:val="00A102BE"/>
    <w:rsid w:val="00A10363"/>
    <w:rsid w:val="00A103E0"/>
    <w:rsid w:val="00A10421"/>
    <w:rsid w:val="00A104A9"/>
    <w:rsid w:val="00A10521"/>
    <w:rsid w:val="00A105E9"/>
    <w:rsid w:val="00A106C5"/>
    <w:rsid w:val="00A107FF"/>
    <w:rsid w:val="00A108F7"/>
    <w:rsid w:val="00A10920"/>
    <w:rsid w:val="00A10941"/>
    <w:rsid w:val="00A1097F"/>
    <w:rsid w:val="00A10A3F"/>
    <w:rsid w:val="00A10AAB"/>
    <w:rsid w:val="00A10B85"/>
    <w:rsid w:val="00A10B92"/>
    <w:rsid w:val="00A10B9E"/>
    <w:rsid w:val="00A10C63"/>
    <w:rsid w:val="00A10C8C"/>
    <w:rsid w:val="00A10D4F"/>
    <w:rsid w:val="00A10D5D"/>
    <w:rsid w:val="00A10D77"/>
    <w:rsid w:val="00A10D9C"/>
    <w:rsid w:val="00A10DD3"/>
    <w:rsid w:val="00A10E59"/>
    <w:rsid w:val="00A10EF0"/>
    <w:rsid w:val="00A10EF1"/>
    <w:rsid w:val="00A10F04"/>
    <w:rsid w:val="00A10FF3"/>
    <w:rsid w:val="00A11041"/>
    <w:rsid w:val="00A11069"/>
    <w:rsid w:val="00A1110F"/>
    <w:rsid w:val="00A111B5"/>
    <w:rsid w:val="00A1123D"/>
    <w:rsid w:val="00A11257"/>
    <w:rsid w:val="00A11266"/>
    <w:rsid w:val="00A112F5"/>
    <w:rsid w:val="00A11385"/>
    <w:rsid w:val="00A113BB"/>
    <w:rsid w:val="00A113E8"/>
    <w:rsid w:val="00A1143B"/>
    <w:rsid w:val="00A11485"/>
    <w:rsid w:val="00A1148B"/>
    <w:rsid w:val="00A115C3"/>
    <w:rsid w:val="00A115FF"/>
    <w:rsid w:val="00A11645"/>
    <w:rsid w:val="00A1169A"/>
    <w:rsid w:val="00A11713"/>
    <w:rsid w:val="00A11777"/>
    <w:rsid w:val="00A1188B"/>
    <w:rsid w:val="00A118C7"/>
    <w:rsid w:val="00A118DB"/>
    <w:rsid w:val="00A11994"/>
    <w:rsid w:val="00A119A5"/>
    <w:rsid w:val="00A11A33"/>
    <w:rsid w:val="00A11A91"/>
    <w:rsid w:val="00A11AFB"/>
    <w:rsid w:val="00A11B91"/>
    <w:rsid w:val="00A11C2D"/>
    <w:rsid w:val="00A11C9C"/>
    <w:rsid w:val="00A11DD3"/>
    <w:rsid w:val="00A11DFE"/>
    <w:rsid w:val="00A11E97"/>
    <w:rsid w:val="00A11EFA"/>
    <w:rsid w:val="00A11F2B"/>
    <w:rsid w:val="00A1207F"/>
    <w:rsid w:val="00A12148"/>
    <w:rsid w:val="00A121BB"/>
    <w:rsid w:val="00A12222"/>
    <w:rsid w:val="00A122F1"/>
    <w:rsid w:val="00A123A7"/>
    <w:rsid w:val="00A124AA"/>
    <w:rsid w:val="00A124B7"/>
    <w:rsid w:val="00A124BC"/>
    <w:rsid w:val="00A124DB"/>
    <w:rsid w:val="00A12590"/>
    <w:rsid w:val="00A12618"/>
    <w:rsid w:val="00A1262A"/>
    <w:rsid w:val="00A126A9"/>
    <w:rsid w:val="00A126ED"/>
    <w:rsid w:val="00A127C5"/>
    <w:rsid w:val="00A1289B"/>
    <w:rsid w:val="00A128B7"/>
    <w:rsid w:val="00A12924"/>
    <w:rsid w:val="00A1295C"/>
    <w:rsid w:val="00A12A1D"/>
    <w:rsid w:val="00A12A32"/>
    <w:rsid w:val="00A12A9E"/>
    <w:rsid w:val="00A12ACE"/>
    <w:rsid w:val="00A12B7E"/>
    <w:rsid w:val="00A12C67"/>
    <w:rsid w:val="00A12D27"/>
    <w:rsid w:val="00A12DB9"/>
    <w:rsid w:val="00A12E08"/>
    <w:rsid w:val="00A12E0E"/>
    <w:rsid w:val="00A12E7C"/>
    <w:rsid w:val="00A12ED2"/>
    <w:rsid w:val="00A12F96"/>
    <w:rsid w:val="00A130FB"/>
    <w:rsid w:val="00A130FC"/>
    <w:rsid w:val="00A1313D"/>
    <w:rsid w:val="00A131B9"/>
    <w:rsid w:val="00A131C9"/>
    <w:rsid w:val="00A13200"/>
    <w:rsid w:val="00A1320A"/>
    <w:rsid w:val="00A13382"/>
    <w:rsid w:val="00A1339D"/>
    <w:rsid w:val="00A13402"/>
    <w:rsid w:val="00A1345E"/>
    <w:rsid w:val="00A1347D"/>
    <w:rsid w:val="00A13486"/>
    <w:rsid w:val="00A1349B"/>
    <w:rsid w:val="00A134B6"/>
    <w:rsid w:val="00A13591"/>
    <w:rsid w:val="00A135EE"/>
    <w:rsid w:val="00A1361C"/>
    <w:rsid w:val="00A1361D"/>
    <w:rsid w:val="00A13680"/>
    <w:rsid w:val="00A136EE"/>
    <w:rsid w:val="00A13724"/>
    <w:rsid w:val="00A13759"/>
    <w:rsid w:val="00A13804"/>
    <w:rsid w:val="00A13836"/>
    <w:rsid w:val="00A138C4"/>
    <w:rsid w:val="00A1399E"/>
    <w:rsid w:val="00A139DE"/>
    <w:rsid w:val="00A13A8F"/>
    <w:rsid w:val="00A13D89"/>
    <w:rsid w:val="00A13D95"/>
    <w:rsid w:val="00A13E49"/>
    <w:rsid w:val="00A13E66"/>
    <w:rsid w:val="00A13EC6"/>
    <w:rsid w:val="00A13ED0"/>
    <w:rsid w:val="00A13EE6"/>
    <w:rsid w:val="00A13F67"/>
    <w:rsid w:val="00A13F79"/>
    <w:rsid w:val="00A13FD2"/>
    <w:rsid w:val="00A14092"/>
    <w:rsid w:val="00A14094"/>
    <w:rsid w:val="00A14107"/>
    <w:rsid w:val="00A141E8"/>
    <w:rsid w:val="00A14201"/>
    <w:rsid w:val="00A142BC"/>
    <w:rsid w:val="00A14337"/>
    <w:rsid w:val="00A14399"/>
    <w:rsid w:val="00A1439C"/>
    <w:rsid w:val="00A143A8"/>
    <w:rsid w:val="00A14422"/>
    <w:rsid w:val="00A144A3"/>
    <w:rsid w:val="00A144B9"/>
    <w:rsid w:val="00A145C2"/>
    <w:rsid w:val="00A145C4"/>
    <w:rsid w:val="00A1463C"/>
    <w:rsid w:val="00A146BF"/>
    <w:rsid w:val="00A14712"/>
    <w:rsid w:val="00A14734"/>
    <w:rsid w:val="00A1474A"/>
    <w:rsid w:val="00A1486B"/>
    <w:rsid w:val="00A148A9"/>
    <w:rsid w:val="00A148BD"/>
    <w:rsid w:val="00A149B1"/>
    <w:rsid w:val="00A14AA3"/>
    <w:rsid w:val="00A14AB5"/>
    <w:rsid w:val="00A14AB8"/>
    <w:rsid w:val="00A14BA8"/>
    <w:rsid w:val="00A14C1D"/>
    <w:rsid w:val="00A14C37"/>
    <w:rsid w:val="00A14C39"/>
    <w:rsid w:val="00A14C6D"/>
    <w:rsid w:val="00A14C9F"/>
    <w:rsid w:val="00A14D04"/>
    <w:rsid w:val="00A14DCE"/>
    <w:rsid w:val="00A14E98"/>
    <w:rsid w:val="00A14EC8"/>
    <w:rsid w:val="00A14F02"/>
    <w:rsid w:val="00A14F5F"/>
    <w:rsid w:val="00A14F79"/>
    <w:rsid w:val="00A15060"/>
    <w:rsid w:val="00A1507B"/>
    <w:rsid w:val="00A150B7"/>
    <w:rsid w:val="00A1510F"/>
    <w:rsid w:val="00A1518D"/>
    <w:rsid w:val="00A151AD"/>
    <w:rsid w:val="00A151E0"/>
    <w:rsid w:val="00A15210"/>
    <w:rsid w:val="00A15291"/>
    <w:rsid w:val="00A152A4"/>
    <w:rsid w:val="00A152D8"/>
    <w:rsid w:val="00A152FE"/>
    <w:rsid w:val="00A1536F"/>
    <w:rsid w:val="00A153B4"/>
    <w:rsid w:val="00A15405"/>
    <w:rsid w:val="00A1542C"/>
    <w:rsid w:val="00A1543B"/>
    <w:rsid w:val="00A15547"/>
    <w:rsid w:val="00A15549"/>
    <w:rsid w:val="00A15573"/>
    <w:rsid w:val="00A155B2"/>
    <w:rsid w:val="00A155CE"/>
    <w:rsid w:val="00A1570F"/>
    <w:rsid w:val="00A1577A"/>
    <w:rsid w:val="00A159A4"/>
    <w:rsid w:val="00A15A39"/>
    <w:rsid w:val="00A15A88"/>
    <w:rsid w:val="00A15B3F"/>
    <w:rsid w:val="00A15B72"/>
    <w:rsid w:val="00A15B78"/>
    <w:rsid w:val="00A15BDC"/>
    <w:rsid w:val="00A15BF1"/>
    <w:rsid w:val="00A15C19"/>
    <w:rsid w:val="00A15CD9"/>
    <w:rsid w:val="00A15E85"/>
    <w:rsid w:val="00A15F0A"/>
    <w:rsid w:val="00A15FDD"/>
    <w:rsid w:val="00A1600A"/>
    <w:rsid w:val="00A1607D"/>
    <w:rsid w:val="00A16142"/>
    <w:rsid w:val="00A1618D"/>
    <w:rsid w:val="00A1620A"/>
    <w:rsid w:val="00A1623C"/>
    <w:rsid w:val="00A1638C"/>
    <w:rsid w:val="00A16475"/>
    <w:rsid w:val="00A16497"/>
    <w:rsid w:val="00A164B0"/>
    <w:rsid w:val="00A164BA"/>
    <w:rsid w:val="00A1650F"/>
    <w:rsid w:val="00A16512"/>
    <w:rsid w:val="00A165C1"/>
    <w:rsid w:val="00A165E2"/>
    <w:rsid w:val="00A16678"/>
    <w:rsid w:val="00A1668B"/>
    <w:rsid w:val="00A1669E"/>
    <w:rsid w:val="00A16863"/>
    <w:rsid w:val="00A16880"/>
    <w:rsid w:val="00A16961"/>
    <w:rsid w:val="00A16AF5"/>
    <w:rsid w:val="00A16B69"/>
    <w:rsid w:val="00A16C00"/>
    <w:rsid w:val="00A16C2F"/>
    <w:rsid w:val="00A16C51"/>
    <w:rsid w:val="00A16C59"/>
    <w:rsid w:val="00A16C79"/>
    <w:rsid w:val="00A16D74"/>
    <w:rsid w:val="00A16DD1"/>
    <w:rsid w:val="00A16DDD"/>
    <w:rsid w:val="00A16EA2"/>
    <w:rsid w:val="00A16F44"/>
    <w:rsid w:val="00A16F67"/>
    <w:rsid w:val="00A16F83"/>
    <w:rsid w:val="00A16FA1"/>
    <w:rsid w:val="00A17020"/>
    <w:rsid w:val="00A1705C"/>
    <w:rsid w:val="00A1710F"/>
    <w:rsid w:val="00A17131"/>
    <w:rsid w:val="00A1716F"/>
    <w:rsid w:val="00A17174"/>
    <w:rsid w:val="00A17179"/>
    <w:rsid w:val="00A171B5"/>
    <w:rsid w:val="00A17232"/>
    <w:rsid w:val="00A1725D"/>
    <w:rsid w:val="00A172EC"/>
    <w:rsid w:val="00A172F5"/>
    <w:rsid w:val="00A17379"/>
    <w:rsid w:val="00A1737B"/>
    <w:rsid w:val="00A17394"/>
    <w:rsid w:val="00A1739E"/>
    <w:rsid w:val="00A173AA"/>
    <w:rsid w:val="00A173B0"/>
    <w:rsid w:val="00A173D2"/>
    <w:rsid w:val="00A17453"/>
    <w:rsid w:val="00A174A5"/>
    <w:rsid w:val="00A174C6"/>
    <w:rsid w:val="00A174C7"/>
    <w:rsid w:val="00A1758E"/>
    <w:rsid w:val="00A17630"/>
    <w:rsid w:val="00A1767F"/>
    <w:rsid w:val="00A17688"/>
    <w:rsid w:val="00A17695"/>
    <w:rsid w:val="00A17720"/>
    <w:rsid w:val="00A17729"/>
    <w:rsid w:val="00A1785F"/>
    <w:rsid w:val="00A1790D"/>
    <w:rsid w:val="00A17963"/>
    <w:rsid w:val="00A17998"/>
    <w:rsid w:val="00A179BB"/>
    <w:rsid w:val="00A179D0"/>
    <w:rsid w:val="00A179D2"/>
    <w:rsid w:val="00A179DB"/>
    <w:rsid w:val="00A17ADD"/>
    <w:rsid w:val="00A17B9C"/>
    <w:rsid w:val="00A17C23"/>
    <w:rsid w:val="00A17CE5"/>
    <w:rsid w:val="00A17D08"/>
    <w:rsid w:val="00A17D84"/>
    <w:rsid w:val="00A17E31"/>
    <w:rsid w:val="00A17E40"/>
    <w:rsid w:val="00A17EF1"/>
    <w:rsid w:val="00A17F00"/>
    <w:rsid w:val="00A200AD"/>
    <w:rsid w:val="00A2013B"/>
    <w:rsid w:val="00A201F6"/>
    <w:rsid w:val="00A2021A"/>
    <w:rsid w:val="00A20258"/>
    <w:rsid w:val="00A20279"/>
    <w:rsid w:val="00A202AA"/>
    <w:rsid w:val="00A2041C"/>
    <w:rsid w:val="00A20458"/>
    <w:rsid w:val="00A20465"/>
    <w:rsid w:val="00A2047F"/>
    <w:rsid w:val="00A20549"/>
    <w:rsid w:val="00A20626"/>
    <w:rsid w:val="00A2062A"/>
    <w:rsid w:val="00A20664"/>
    <w:rsid w:val="00A20799"/>
    <w:rsid w:val="00A2088C"/>
    <w:rsid w:val="00A20930"/>
    <w:rsid w:val="00A2095D"/>
    <w:rsid w:val="00A20A7D"/>
    <w:rsid w:val="00A20A86"/>
    <w:rsid w:val="00A20A8D"/>
    <w:rsid w:val="00A20AA8"/>
    <w:rsid w:val="00A20AA9"/>
    <w:rsid w:val="00A20B12"/>
    <w:rsid w:val="00A20BD6"/>
    <w:rsid w:val="00A20BD9"/>
    <w:rsid w:val="00A20C9B"/>
    <w:rsid w:val="00A20CC3"/>
    <w:rsid w:val="00A20D7A"/>
    <w:rsid w:val="00A20E66"/>
    <w:rsid w:val="00A20E86"/>
    <w:rsid w:val="00A21028"/>
    <w:rsid w:val="00A21068"/>
    <w:rsid w:val="00A210BB"/>
    <w:rsid w:val="00A21152"/>
    <w:rsid w:val="00A21191"/>
    <w:rsid w:val="00A211EE"/>
    <w:rsid w:val="00A2124F"/>
    <w:rsid w:val="00A2135F"/>
    <w:rsid w:val="00A213B3"/>
    <w:rsid w:val="00A2147A"/>
    <w:rsid w:val="00A21690"/>
    <w:rsid w:val="00A216D9"/>
    <w:rsid w:val="00A216DA"/>
    <w:rsid w:val="00A21749"/>
    <w:rsid w:val="00A21755"/>
    <w:rsid w:val="00A2177A"/>
    <w:rsid w:val="00A217C2"/>
    <w:rsid w:val="00A218F1"/>
    <w:rsid w:val="00A218F7"/>
    <w:rsid w:val="00A218FF"/>
    <w:rsid w:val="00A2195C"/>
    <w:rsid w:val="00A21969"/>
    <w:rsid w:val="00A21A03"/>
    <w:rsid w:val="00A21A07"/>
    <w:rsid w:val="00A21C70"/>
    <w:rsid w:val="00A21C93"/>
    <w:rsid w:val="00A21C96"/>
    <w:rsid w:val="00A21D0D"/>
    <w:rsid w:val="00A21D5D"/>
    <w:rsid w:val="00A21DD9"/>
    <w:rsid w:val="00A21F34"/>
    <w:rsid w:val="00A21F4A"/>
    <w:rsid w:val="00A21F84"/>
    <w:rsid w:val="00A22081"/>
    <w:rsid w:val="00A2213D"/>
    <w:rsid w:val="00A221E1"/>
    <w:rsid w:val="00A22292"/>
    <w:rsid w:val="00A22306"/>
    <w:rsid w:val="00A22312"/>
    <w:rsid w:val="00A2247F"/>
    <w:rsid w:val="00A224EB"/>
    <w:rsid w:val="00A22585"/>
    <w:rsid w:val="00A225B0"/>
    <w:rsid w:val="00A2260D"/>
    <w:rsid w:val="00A2263A"/>
    <w:rsid w:val="00A22663"/>
    <w:rsid w:val="00A2269C"/>
    <w:rsid w:val="00A22718"/>
    <w:rsid w:val="00A22939"/>
    <w:rsid w:val="00A2294A"/>
    <w:rsid w:val="00A2299E"/>
    <w:rsid w:val="00A229DC"/>
    <w:rsid w:val="00A229E0"/>
    <w:rsid w:val="00A229EF"/>
    <w:rsid w:val="00A22A77"/>
    <w:rsid w:val="00A22A84"/>
    <w:rsid w:val="00A22AC4"/>
    <w:rsid w:val="00A22B70"/>
    <w:rsid w:val="00A22BFF"/>
    <w:rsid w:val="00A22C22"/>
    <w:rsid w:val="00A22C2F"/>
    <w:rsid w:val="00A22C6C"/>
    <w:rsid w:val="00A22D5B"/>
    <w:rsid w:val="00A22D99"/>
    <w:rsid w:val="00A22E94"/>
    <w:rsid w:val="00A22E99"/>
    <w:rsid w:val="00A22EDA"/>
    <w:rsid w:val="00A22F88"/>
    <w:rsid w:val="00A23060"/>
    <w:rsid w:val="00A230A7"/>
    <w:rsid w:val="00A230DC"/>
    <w:rsid w:val="00A230DF"/>
    <w:rsid w:val="00A230E7"/>
    <w:rsid w:val="00A230F3"/>
    <w:rsid w:val="00A230F7"/>
    <w:rsid w:val="00A23143"/>
    <w:rsid w:val="00A2322C"/>
    <w:rsid w:val="00A232C1"/>
    <w:rsid w:val="00A232ED"/>
    <w:rsid w:val="00A23360"/>
    <w:rsid w:val="00A233EE"/>
    <w:rsid w:val="00A23453"/>
    <w:rsid w:val="00A234A8"/>
    <w:rsid w:val="00A234FF"/>
    <w:rsid w:val="00A2353F"/>
    <w:rsid w:val="00A235A2"/>
    <w:rsid w:val="00A235DA"/>
    <w:rsid w:val="00A2360F"/>
    <w:rsid w:val="00A2366E"/>
    <w:rsid w:val="00A236E5"/>
    <w:rsid w:val="00A236F3"/>
    <w:rsid w:val="00A2374E"/>
    <w:rsid w:val="00A23784"/>
    <w:rsid w:val="00A237B6"/>
    <w:rsid w:val="00A238A8"/>
    <w:rsid w:val="00A238C7"/>
    <w:rsid w:val="00A2397D"/>
    <w:rsid w:val="00A23994"/>
    <w:rsid w:val="00A2399C"/>
    <w:rsid w:val="00A2399F"/>
    <w:rsid w:val="00A239A9"/>
    <w:rsid w:val="00A239BF"/>
    <w:rsid w:val="00A23B17"/>
    <w:rsid w:val="00A23B4E"/>
    <w:rsid w:val="00A23B5D"/>
    <w:rsid w:val="00A23B63"/>
    <w:rsid w:val="00A23C4C"/>
    <w:rsid w:val="00A23C7F"/>
    <w:rsid w:val="00A23CC3"/>
    <w:rsid w:val="00A23D75"/>
    <w:rsid w:val="00A23DAC"/>
    <w:rsid w:val="00A23E11"/>
    <w:rsid w:val="00A23F50"/>
    <w:rsid w:val="00A23F88"/>
    <w:rsid w:val="00A2406B"/>
    <w:rsid w:val="00A240C8"/>
    <w:rsid w:val="00A24217"/>
    <w:rsid w:val="00A24225"/>
    <w:rsid w:val="00A2422C"/>
    <w:rsid w:val="00A24376"/>
    <w:rsid w:val="00A24388"/>
    <w:rsid w:val="00A243B6"/>
    <w:rsid w:val="00A243C5"/>
    <w:rsid w:val="00A243F3"/>
    <w:rsid w:val="00A244AF"/>
    <w:rsid w:val="00A24501"/>
    <w:rsid w:val="00A24581"/>
    <w:rsid w:val="00A24586"/>
    <w:rsid w:val="00A24591"/>
    <w:rsid w:val="00A24595"/>
    <w:rsid w:val="00A245F9"/>
    <w:rsid w:val="00A24636"/>
    <w:rsid w:val="00A24678"/>
    <w:rsid w:val="00A24726"/>
    <w:rsid w:val="00A24751"/>
    <w:rsid w:val="00A2489B"/>
    <w:rsid w:val="00A248B1"/>
    <w:rsid w:val="00A248C1"/>
    <w:rsid w:val="00A24956"/>
    <w:rsid w:val="00A24AAF"/>
    <w:rsid w:val="00A24AF6"/>
    <w:rsid w:val="00A24B35"/>
    <w:rsid w:val="00A24B36"/>
    <w:rsid w:val="00A24B38"/>
    <w:rsid w:val="00A24B4A"/>
    <w:rsid w:val="00A24BC4"/>
    <w:rsid w:val="00A24C2C"/>
    <w:rsid w:val="00A24C62"/>
    <w:rsid w:val="00A24C8B"/>
    <w:rsid w:val="00A24CBF"/>
    <w:rsid w:val="00A24CE2"/>
    <w:rsid w:val="00A24D61"/>
    <w:rsid w:val="00A24E77"/>
    <w:rsid w:val="00A24E9A"/>
    <w:rsid w:val="00A24EAD"/>
    <w:rsid w:val="00A24EDC"/>
    <w:rsid w:val="00A24F5C"/>
    <w:rsid w:val="00A24FAA"/>
    <w:rsid w:val="00A24FC4"/>
    <w:rsid w:val="00A251EE"/>
    <w:rsid w:val="00A25239"/>
    <w:rsid w:val="00A252B5"/>
    <w:rsid w:val="00A25406"/>
    <w:rsid w:val="00A25444"/>
    <w:rsid w:val="00A25453"/>
    <w:rsid w:val="00A25479"/>
    <w:rsid w:val="00A25523"/>
    <w:rsid w:val="00A2553C"/>
    <w:rsid w:val="00A25590"/>
    <w:rsid w:val="00A255AF"/>
    <w:rsid w:val="00A255D3"/>
    <w:rsid w:val="00A255D6"/>
    <w:rsid w:val="00A2569D"/>
    <w:rsid w:val="00A25813"/>
    <w:rsid w:val="00A2581F"/>
    <w:rsid w:val="00A2583B"/>
    <w:rsid w:val="00A25906"/>
    <w:rsid w:val="00A25959"/>
    <w:rsid w:val="00A25992"/>
    <w:rsid w:val="00A259BF"/>
    <w:rsid w:val="00A25A42"/>
    <w:rsid w:val="00A25B82"/>
    <w:rsid w:val="00A25C0D"/>
    <w:rsid w:val="00A25C10"/>
    <w:rsid w:val="00A25C30"/>
    <w:rsid w:val="00A25C95"/>
    <w:rsid w:val="00A25CBB"/>
    <w:rsid w:val="00A25D42"/>
    <w:rsid w:val="00A25D5D"/>
    <w:rsid w:val="00A25D77"/>
    <w:rsid w:val="00A25D7F"/>
    <w:rsid w:val="00A25E1B"/>
    <w:rsid w:val="00A25E47"/>
    <w:rsid w:val="00A25EAA"/>
    <w:rsid w:val="00A25F40"/>
    <w:rsid w:val="00A25F4E"/>
    <w:rsid w:val="00A26004"/>
    <w:rsid w:val="00A26024"/>
    <w:rsid w:val="00A260FC"/>
    <w:rsid w:val="00A26115"/>
    <w:rsid w:val="00A2614D"/>
    <w:rsid w:val="00A2615B"/>
    <w:rsid w:val="00A26191"/>
    <w:rsid w:val="00A261DA"/>
    <w:rsid w:val="00A26221"/>
    <w:rsid w:val="00A26393"/>
    <w:rsid w:val="00A26407"/>
    <w:rsid w:val="00A26421"/>
    <w:rsid w:val="00A26458"/>
    <w:rsid w:val="00A26465"/>
    <w:rsid w:val="00A2646A"/>
    <w:rsid w:val="00A264A3"/>
    <w:rsid w:val="00A26501"/>
    <w:rsid w:val="00A2652B"/>
    <w:rsid w:val="00A26567"/>
    <w:rsid w:val="00A26691"/>
    <w:rsid w:val="00A267FF"/>
    <w:rsid w:val="00A268B3"/>
    <w:rsid w:val="00A26A4B"/>
    <w:rsid w:val="00A26A72"/>
    <w:rsid w:val="00A26AD2"/>
    <w:rsid w:val="00A26B12"/>
    <w:rsid w:val="00A26BE6"/>
    <w:rsid w:val="00A26C90"/>
    <w:rsid w:val="00A26D04"/>
    <w:rsid w:val="00A26D5D"/>
    <w:rsid w:val="00A26D69"/>
    <w:rsid w:val="00A26E51"/>
    <w:rsid w:val="00A26E74"/>
    <w:rsid w:val="00A26FA2"/>
    <w:rsid w:val="00A2704D"/>
    <w:rsid w:val="00A27065"/>
    <w:rsid w:val="00A2706B"/>
    <w:rsid w:val="00A2710C"/>
    <w:rsid w:val="00A27205"/>
    <w:rsid w:val="00A2724E"/>
    <w:rsid w:val="00A27362"/>
    <w:rsid w:val="00A27374"/>
    <w:rsid w:val="00A274BC"/>
    <w:rsid w:val="00A274DC"/>
    <w:rsid w:val="00A27523"/>
    <w:rsid w:val="00A2756F"/>
    <w:rsid w:val="00A27590"/>
    <w:rsid w:val="00A275C9"/>
    <w:rsid w:val="00A2760E"/>
    <w:rsid w:val="00A27633"/>
    <w:rsid w:val="00A27672"/>
    <w:rsid w:val="00A276DB"/>
    <w:rsid w:val="00A276F6"/>
    <w:rsid w:val="00A27743"/>
    <w:rsid w:val="00A27833"/>
    <w:rsid w:val="00A2786B"/>
    <w:rsid w:val="00A2792F"/>
    <w:rsid w:val="00A279E2"/>
    <w:rsid w:val="00A279E4"/>
    <w:rsid w:val="00A27A46"/>
    <w:rsid w:val="00A27A71"/>
    <w:rsid w:val="00A27ACE"/>
    <w:rsid w:val="00A27ADA"/>
    <w:rsid w:val="00A27C7F"/>
    <w:rsid w:val="00A27D7A"/>
    <w:rsid w:val="00A27D8F"/>
    <w:rsid w:val="00A27DF4"/>
    <w:rsid w:val="00A27E33"/>
    <w:rsid w:val="00A27E64"/>
    <w:rsid w:val="00A27EFA"/>
    <w:rsid w:val="00A27FB3"/>
    <w:rsid w:val="00A3008F"/>
    <w:rsid w:val="00A301F7"/>
    <w:rsid w:val="00A30266"/>
    <w:rsid w:val="00A30354"/>
    <w:rsid w:val="00A30362"/>
    <w:rsid w:val="00A30406"/>
    <w:rsid w:val="00A3043B"/>
    <w:rsid w:val="00A304AD"/>
    <w:rsid w:val="00A30528"/>
    <w:rsid w:val="00A305DF"/>
    <w:rsid w:val="00A3061A"/>
    <w:rsid w:val="00A3064E"/>
    <w:rsid w:val="00A306ED"/>
    <w:rsid w:val="00A30724"/>
    <w:rsid w:val="00A30741"/>
    <w:rsid w:val="00A3074E"/>
    <w:rsid w:val="00A307AE"/>
    <w:rsid w:val="00A3086F"/>
    <w:rsid w:val="00A30A0D"/>
    <w:rsid w:val="00A30A0E"/>
    <w:rsid w:val="00A30A32"/>
    <w:rsid w:val="00A30A39"/>
    <w:rsid w:val="00A30B63"/>
    <w:rsid w:val="00A30B8D"/>
    <w:rsid w:val="00A30C07"/>
    <w:rsid w:val="00A30C15"/>
    <w:rsid w:val="00A30D99"/>
    <w:rsid w:val="00A30DF5"/>
    <w:rsid w:val="00A30E43"/>
    <w:rsid w:val="00A30E57"/>
    <w:rsid w:val="00A30E7B"/>
    <w:rsid w:val="00A30E8D"/>
    <w:rsid w:val="00A30EB5"/>
    <w:rsid w:val="00A30F1E"/>
    <w:rsid w:val="00A30F4B"/>
    <w:rsid w:val="00A30F61"/>
    <w:rsid w:val="00A31008"/>
    <w:rsid w:val="00A31073"/>
    <w:rsid w:val="00A31135"/>
    <w:rsid w:val="00A31137"/>
    <w:rsid w:val="00A31180"/>
    <w:rsid w:val="00A312B7"/>
    <w:rsid w:val="00A31300"/>
    <w:rsid w:val="00A3134A"/>
    <w:rsid w:val="00A3137C"/>
    <w:rsid w:val="00A31434"/>
    <w:rsid w:val="00A31510"/>
    <w:rsid w:val="00A315B3"/>
    <w:rsid w:val="00A31635"/>
    <w:rsid w:val="00A31666"/>
    <w:rsid w:val="00A3166E"/>
    <w:rsid w:val="00A3167D"/>
    <w:rsid w:val="00A31708"/>
    <w:rsid w:val="00A31721"/>
    <w:rsid w:val="00A31733"/>
    <w:rsid w:val="00A31767"/>
    <w:rsid w:val="00A31807"/>
    <w:rsid w:val="00A31897"/>
    <w:rsid w:val="00A3191D"/>
    <w:rsid w:val="00A3193C"/>
    <w:rsid w:val="00A31968"/>
    <w:rsid w:val="00A3198E"/>
    <w:rsid w:val="00A31996"/>
    <w:rsid w:val="00A319F1"/>
    <w:rsid w:val="00A31A5C"/>
    <w:rsid w:val="00A31AE4"/>
    <w:rsid w:val="00A31B70"/>
    <w:rsid w:val="00A31DB9"/>
    <w:rsid w:val="00A31DEE"/>
    <w:rsid w:val="00A31EA6"/>
    <w:rsid w:val="00A31FC9"/>
    <w:rsid w:val="00A3207A"/>
    <w:rsid w:val="00A32086"/>
    <w:rsid w:val="00A320C3"/>
    <w:rsid w:val="00A3219C"/>
    <w:rsid w:val="00A321BE"/>
    <w:rsid w:val="00A321C1"/>
    <w:rsid w:val="00A321CC"/>
    <w:rsid w:val="00A321E3"/>
    <w:rsid w:val="00A3222B"/>
    <w:rsid w:val="00A3235A"/>
    <w:rsid w:val="00A3235F"/>
    <w:rsid w:val="00A32384"/>
    <w:rsid w:val="00A323F9"/>
    <w:rsid w:val="00A32517"/>
    <w:rsid w:val="00A3257F"/>
    <w:rsid w:val="00A325A9"/>
    <w:rsid w:val="00A325CD"/>
    <w:rsid w:val="00A325D0"/>
    <w:rsid w:val="00A32649"/>
    <w:rsid w:val="00A3270D"/>
    <w:rsid w:val="00A32732"/>
    <w:rsid w:val="00A327E0"/>
    <w:rsid w:val="00A327E7"/>
    <w:rsid w:val="00A327F1"/>
    <w:rsid w:val="00A3280B"/>
    <w:rsid w:val="00A3281B"/>
    <w:rsid w:val="00A3282F"/>
    <w:rsid w:val="00A32861"/>
    <w:rsid w:val="00A328C0"/>
    <w:rsid w:val="00A32ADF"/>
    <w:rsid w:val="00A32B25"/>
    <w:rsid w:val="00A32B6A"/>
    <w:rsid w:val="00A32B8C"/>
    <w:rsid w:val="00A32BE9"/>
    <w:rsid w:val="00A32C37"/>
    <w:rsid w:val="00A32C88"/>
    <w:rsid w:val="00A32C8C"/>
    <w:rsid w:val="00A32C94"/>
    <w:rsid w:val="00A32DAF"/>
    <w:rsid w:val="00A32DBE"/>
    <w:rsid w:val="00A32DC0"/>
    <w:rsid w:val="00A32E7D"/>
    <w:rsid w:val="00A32EF3"/>
    <w:rsid w:val="00A32F18"/>
    <w:rsid w:val="00A32F46"/>
    <w:rsid w:val="00A32F66"/>
    <w:rsid w:val="00A330B1"/>
    <w:rsid w:val="00A330B3"/>
    <w:rsid w:val="00A3314F"/>
    <w:rsid w:val="00A33156"/>
    <w:rsid w:val="00A3317D"/>
    <w:rsid w:val="00A331E0"/>
    <w:rsid w:val="00A331EB"/>
    <w:rsid w:val="00A33200"/>
    <w:rsid w:val="00A33209"/>
    <w:rsid w:val="00A332F7"/>
    <w:rsid w:val="00A3335A"/>
    <w:rsid w:val="00A3339E"/>
    <w:rsid w:val="00A333B3"/>
    <w:rsid w:val="00A334BF"/>
    <w:rsid w:val="00A334F4"/>
    <w:rsid w:val="00A3367C"/>
    <w:rsid w:val="00A336C6"/>
    <w:rsid w:val="00A336F1"/>
    <w:rsid w:val="00A33709"/>
    <w:rsid w:val="00A33744"/>
    <w:rsid w:val="00A3386F"/>
    <w:rsid w:val="00A3389D"/>
    <w:rsid w:val="00A338E6"/>
    <w:rsid w:val="00A3393C"/>
    <w:rsid w:val="00A339AC"/>
    <w:rsid w:val="00A33A38"/>
    <w:rsid w:val="00A33A86"/>
    <w:rsid w:val="00A33BC0"/>
    <w:rsid w:val="00A33C8D"/>
    <w:rsid w:val="00A33C9A"/>
    <w:rsid w:val="00A33CFB"/>
    <w:rsid w:val="00A33D1D"/>
    <w:rsid w:val="00A33D9F"/>
    <w:rsid w:val="00A33DF7"/>
    <w:rsid w:val="00A33E07"/>
    <w:rsid w:val="00A33E2D"/>
    <w:rsid w:val="00A33E6C"/>
    <w:rsid w:val="00A33EE9"/>
    <w:rsid w:val="00A33F66"/>
    <w:rsid w:val="00A33F8B"/>
    <w:rsid w:val="00A34018"/>
    <w:rsid w:val="00A34063"/>
    <w:rsid w:val="00A340D0"/>
    <w:rsid w:val="00A340FA"/>
    <w:rsid w:val="00A3414E"/>
    <w:rsid w:val="00A3425E"/>
    <w:rsid w:val="00A34282"/>
    <w:rsid w:val="00A34324"/>
    <w:rsid w:val="00A34393"/>
    <w:rsid w:val="00A343A8"/>
    <w:rsid w:val="00A343CD"/>
    <w:rsid w:val="00A343EA"/>
    <w:rsid w:val="00A344D6"/>
    <w:rsid w:val="00A344F4"/>
    <w:rsid w:val="00A345D6"/>
    <w:rsid w:val="00A34679"/>
    <w:rsid w:val="00A346D3"/>
    <w:rsid w:val="00A346F2"/>
    <w:rsid w:val="00A34789"/>
    <w:rsid w:val="00A348D8"/>
    <w:rsid w:val="00A3495A"/>
    <w:rsid w:val="00A34A05"/>
    <w:rsid w:val="00A34A13"/>
    <w:rsid w:val="00A34A36"/>
    <w:rsid w:val="00A34A45"/>
    <w:rsid w:val="00A34A4B"/>
    <w:rsid w:val="00A34A59"/>
    <w:rsid w:val="00A34B4B"/>
    <w:rsid w:val="00A34C10"/>
    <w:rsid w:val="00A34C49"/>
    <w:rsid w:val="00A34C6F"/>
    <w:rsid w:val="00A34C7C"/>
    <w:rsid w:val="00A34D6C"/>
    <w:rsid w:val="00A34DBF"/>
    <w:rsid w:val="00A34DC1"/>
    <w:rsid w:val="00A34DF1"/>
    <w:rsid w:val="00A34E23"/>
    <w:rsid w:val="00A34EB8"/>
    <w:rsid w:val="00A34F0E"/>
    <w:rsid w:val="00A34F45"/>
    <w:rsid w:val="00A34F72"/>
    <w:rsid w:val="00A3502B"/>
    <w:rsid w:val="00A35036"/>
    <w:rsid w:val="00A35045"/>
    <w:rsid w:val="00A35048"/>
    <w:rsid w:val="00A35053"/>
    <w:rsid w:val="00A350A8"/>
    <w:rsid w:val="00A350B6"/>
    <w:rsid w:val="00A35127"/>
    <w:rsid w:val="00A351BA"/>
    <w:rsid w:val="00A35218"/>
    <w:rsid w:val="00A3523C"/>
    <w:rsid w:val="00A352C5"/>
    <w:rsid w:val="00A35378"/>
    <w:rsid w:val="00A35382"/>
    <w:rsid w:val="00A353C1"/>
    <w:rsid w:val="00A353D1"/>
    <w:rsid w:val="00A3542E"/>
    <w:rsid w:val="00A3544B"/>
    <w:rsid w:val="00A3545E"/>
    <w:rsid w:val="00A354E3"/>
    <w:rsid w:val="00A355A3"/>
    <w:rsid w:val="00A3562E"/>
    <w:rsid w:val="00A35644"/>
    <w:rsid w:val="00A35707"/>
    <w:rsid w:val="00A35736"/>
    <w:rsid w:val="00A3576B"/>
    <w:rsid w:val="00A357E5"/>
    <w:rsid w:val="00A357EA"/>
    <w:rsid w:val="00A35837"/>
    <w:rsid w:val="00A358B2"/>
    <w:rsid w:val="00A35904"/>
    <w:rsid w:val="00A359A6"/>
    <w:rsid w:val="00A359A7"/>
    <w:rsid w:val="00A359C8"/>
    <w:rsid w:val="00A35A24"/>
    <w:rsid w:val="00A35A3A"/>
    <w:rsid w:val="00A35A84"/>
    <w:rsid w:val="00A35B69"/>
    <w:rsid w:val="00A35B83"/>
    <w:rsid w:val="00A35BDD"/>
    <w:rsid w:val="00A35C56"/>
    <w:rsid w:val="00A35CC2"/>
    <w:rsid w:val="00A35CE2"/>
    <w:rsid w:val="00A35DD1"/>
    <w:rsid w:val="00A35E4E"/>
    <w:rsid w:val="00A35E58"/>
    <w:rsid w:val="00A35E62"/>
    <w:rsid w:val="00A35F66"/>
    <w:rsid w:val="00A35F6C"/>
    <w:rsid w:val="00A35FFE"/>
    <w:rsid w:val="00A36130"/>
    <w:rsid w:val="00A3625B"/>
    <w:rsid w:val="00A36298"/>
    <w:rsid w:val="00A362F5"/>
    <w:rsid w:val="00A3630D"/>
    <w:rsid w:val="00A3631C"/>
    <w:rsid w:val="00A36408"/>
    <w:rsid w:val="00A3642F"/>
    <w:rsid w:val="00A36451"/>
    <w:rsid w:val="00A36539"/>
    <w:rsid w:val="00A36568"/>
    <w:rsid w:val="00A3657C"/>
    <w:rsid w:val="00A365C5"/>
    <w:rsid w:val="00A365D3"/>
    <w:rsid w:val="00A36619"/>
    <w:rsid w:val="00A36689"/>
    <w:rsid w:val="00A367C1"/>
    <w:rsid w:val="00A367EF"/>
    <w:rsid w:val="00A367F3"/>
    <w:rsid w:val="00A36811"/>
    <w:rsid w:val="00A369B6"/>
    <w:rsid w:val="00A369D8"/>
    <w:rsid w:val="00A36A0B"/>
    <w:rsid w:val="00A36A20"/>
    <w:rsid w:val="00A36A92"/>
    <w:rsid w:val="00A36AC5"/>
    <w:rsid w:val="00A36AF7"/>
    <w:rsid w:val="00A36B20"/>
    <w:rsid w:val="00A36B66"/>
    <w:rsid w:val="00A36B89"/>
    <w:rsid w:val="00A36BB2"/>
    <w:rsid w:val="00A36BE1"/>
    <w:rsid w:val="00A36C0E"/>
    <w:rsid w:val="00A36C82"/>
    <w:rsid w:val="00A36D34"/>
    <w:rsid w:val="00A36DD4"/>
    <w:rsid w:val="00A36DF6"/>
    <w:rsid w:val="00A36DFF"/>
    <w:rsid w:val="00A36E22"/>
    <w:rsid w:val="00A36E28"/>
    <w:rsid w:val="00A36E74"/>
    <w:rsid w:val="00A36E8D"/>
    <w:rsid w:val="00A36EFD"/>
    <w:rsid w:val="00A36EFE"/>
    <w:rsid w:val="00A36F9E"/>
    <w:rsid w:val="00A36FDC"/>
    <w:rsid w:val="00A37092"/>
    <w:rsid w:val="00A370B6"/>
    <w:rsid w:val="00A370E1"/>
    <w:rsid w:val="00A370F1"/>
    <w:rsid w:val="00A3719F"/>
    <w:rsid w:val="00A371C5"/>
    <w:rsid w:val="00A37222"/>
    <w:rsid w:val="00A37251"/>
    <w:rsid w:val="00A3727F"/>
    <w:rsid w:val="00A372F1"/>
    <w:rsid w:val="00A372F7"/>
    <w:rsid w:val="00A373A9"/>
    <w:rsid w:val="00A37444"/>
    <w:rsid w:val="00A374FD"/>
    <w:rsid w:val="00A37511"/>
    <w:rsid w:val="00A3755C"/>
    <w:rsid w:val="00A37581"/>
    <w:rsid w:val="00A375EF"/>
    <w:rsid w:val="00A37635"/>
    <w:rsid w:val="00A37667"/>
    <w:rsid w:val="00A37671"/>
    <w:rsid w:val="00A37687"/>
    <w:rsid w:val="00A37697"/>
    <w:rsid w:val="00A37748"/>
    <w:rsid w:val="00A37789"/>
    <w:rsid w:val="00A3780C"/>
    <w:rsid w:val="00A37853"/>
    <w:rsid w:val="00A37894"/>
    <w:rsid w:val="00A37A2B"/>
    <w:rsid w:val="00A37A4A"/>
    <w:rsid w:val="00A37AB6"/>
    <w:rsid w:val="00A37B45"/>
    <w:rsid w:val="00A37B62"/>
    <w:rsid w:val="00A37B64"/>
    <w:rsid w:val="00A37BA0"/>
    <w:rsid w:val="00A37C24"/>
    <w:rsid w:val="00A37C2F"/>
    <w:rsid w:val="00A37C42"/>
    <w:rsid w:val="00A37C8A"/>
    <w:rsid w:val="00A37CDD"/>
    <w:rsid w:val="00A37DA8"/>
    <w:rsid w:val="00A37E17"/>
    <w:rsid w:val="00A37E21"/>
    <w:rsid w:val="00A37E92"/>
    <w:rsid w:val="00A37FA8"/>
    <w:rsid w:val="00A37FCF"/>
    <w:rsid w:val="00A400E0"/>
    <w:rsid w:val="00A40158"/>
    <w:rsid w:val="00A401AF"/>
    <w:rsid w:val="00A401BB"/>
    <w:rsid w:val="00A401DE"/>
    <w:rsid w:val="00A401F1"/>
    <w:rsid w:val="00A4027E"/>
    <w:rsid w:val="00A40280"/>
    <w:rsid w:val="00A40286"/>
    <w:rsid w:val="00A403A6"/>
    <w:rsid w:val="00A40421"/>
    <w:rsid w:val="00A404D5"/>
    <w:rsid w:val="00A404EE"/>
    <w:rsid w:val="00A40509"/>
    <w:rsid w:val="00A4053A"/>
    <w:rsid w:val="00A4055D"/>
    <w:rsid w:val="00A4056B"/>
    <w:rsid w:val="00A405A9"/>
    <w:rsid w:val="00A405F9"/>
    <w:rsid w:val="00A40616"/>
    <w:rsid w:val="00A40662"/>
    <w:rsid w:val="00A406BF"/>
    <w:rsid w:val="00A4077A"/>
    <w:rsid w:val="00A408E3"/>
    <w:rsid w:val="00A408EB"/>
    <w:rsid w:val="00A40971"/>
    <w:rsid w:val="00A409E3"/>
    <w:rsid w:val="00A409F9"/>
    <w:rsid w:val="00A40A42"/>
    <w:rsid w:val="00A40A46"/>
    <w:rsid w:val="00A40A8D"/>
    <w:rsid w:val="00A40A94"/>
    <w:rsid w:val="00A40AC2"/>
    <w:rsid w:val="00A40AD0"/>
    <w:rsid w:val="00A40B01"/>
    <w:rsid w:val="00A40B6C"/>
    <w:rsid w:val="00A40B6E"/>
    <w:rsid w:val="00A40C2B"/>
    <w:rsid w:val="00A40CDC"/>
    <w:rsid w:val="00A40DB3"/>
    <w:rsid w:val="00A40E1D"/>
    <w:rsid w:val="00A40E2A"/>
    <w:rsid w:val="00A40EAF"/>
    <w:rsid w:val="00A40EFF"/>
    <w:rsid w:val="00A40F23"/>
    <w:rsid w:val="00A40F7E"/>
    <w:rsid w:val="00A40FA9"/>
    <w:rsid w:val="00A40FDC"/>
    <w:rsid w:val="00A41005"/>
    <w:rsid w:val="00A41023"/>
    <w:rsid w:val="00A4108A"/>
    <w:rsid w:val="00A410BB"/>
    <w:rsid w:val="00A41103"/>
    <w:rsid w:val="00A41108"/>
    <w:rsid w:val="00A41286"/>
    <w:rsid w:val="00A41299"/>
    <w:rsid w:val="00A41358"/>
    <w:rsid w:val="00A413F3"/>
    <w:rsid w:val="00A4156B"/>
    <w:rsid w:val="00A415B7"/>
    <w:rsid w:val="00A415D5"/>
    <w:rsid w:val="00A41626"/>
    <w:rsid w:val="00A41833"/>
    <w:rsid w:val="00A41856"/>
    <w:rsid w:val="00A418BC"/>
    <w:rsid w:val="00A41993"/>
    <w:rsid w:val="00A41A11"/>
    <w:rsid w:val="00A41A20"/>
    <w:rsid w:val="00A41A91"/>
    <w:rsid w:val="00A41B27"/>
    <w:rsid w:val="00A41B28"/>
    <w:rsid w:val="00A41C00"/>
    <w:rsid w:val="00A41C5E"/>
    <w:rsid w:val="00A41CD8"/>
    <w:rsid w:val="00A41D3C"/>
    <w:rsid w:val="00A41E2D"/>
    <w:rsid w:val="00A41F64"/>
    <w:rsid w:val="00A41F91"/>
    <w:rsid w:val="00A41FB6"/>
    <w:rsid w:val="00A41FD2"/>
    <w:rsid w:val="00A42005"/>
    <w:rsid w:val="00A42028"/>
    <w:rsid w:val="00A420C3"/>
    <w:rsid w:val="00A420F2"/>
    <w:rsid w:val="00A42103"/>
    <w:rsid w:val="00A4218F"/>
    <w:rsid w:val="00A421D9"/>
    <w:rsid w:val="00A421E2"/>
    <w:rsid w:val="00A422A9"/>
    <w:rsid w:val="00A422E8"/>
    <w:rsid w:val="00A42309"/>
    <w:rsid w:val="00A423B3"/>
    <w:rsid w:val="00A423CB"/>
    <w:rsid w:val="00A42404"/>
    <w:rsid w:val="00A4243C"/>
    <w:rsid w:val="00A42440"/>
    <w:rsid w:val="00A42460"/>
    <w:rsid w:val="00A42503"/>
    <w:rsid w:val="00A42526"/>
    <w:rsid w:val="00A42549"/>
    <w:rsid w:val="00A42578"/>
    <w:rsid w:val="00A42594"/>
    <w:rsid w:val="00A425DB"/>
    <w:rsid w:val="00A42629"/>
    <w:rsid w:val="00A426D9"/>
    <w:rsid w:val="00A4272F"/>
    <w:rsid w:val="00A427E9"/>
    <w:rsid w:val="00A42949"/>
    <w:rsid w:val="00A42A80"/>
    <w:rsid w:val="00A42AA8"/>
    <w:rsid w:val="00A42B3D"/>
    <w:rsid w:val="00A42B51"/>
    <w:rsid w:val="00A42BA4"/>
    <w:rsid w:val="00A42C7E"/>
    <w:rsid w:val="00A42C83"/>
    <w:rsid w:val="00A42D19"/>
    <w:rsid w:val="00A42D2C"/>
    <w:rsid w:val="00A42E8C"/>
    <w:rsid w:val="00A42EBF"/>
    <w:rsid w:val="00A42F5E"/>
    <w:rsid w:val="00A42F74"/>
    <w:rsid w:val="00A42F95"/>
    <w:rsid w:val="00A42FFB"/>
    <w:rsid w:val="00A4304D"/>
    <w:rsid w:val="00A4305C"/>
    <w:rsid w:val="00A43082"/>
    <w:rsid w:val="00A43095"/>
    <w:rsid w:val="00A430AC"/>
    <w:rsid w:val="00A43111"/>
    <w:rsid w:val="00A4313E"/>
    <w:rsid w:val="00A431B2"/>
    <w:rsid w:val="00A4327B"/>
    <w:rsid w:val="00A432CD"/>
    <w:rsid w:val="00A432D4"/>
    <w:rsid w:val="00A432E1"/>
    <w:rsid w:val="00A43330"/>
    <w:rsid w:val="00A4333F"/>
    <w:rsid w:val="00A433A3"/>
    <w:rsid w:val="00A43452"/>
    <w:rsid w:val="00A434B7"/>
    <w:rsid w:val="00A434FC"/>
    <w:rsid w:val="00A4353B"/>
    <w:rsid w:val="00A43544"/>
    <w:rsid w:val="00A4358C"/>
    <w:rsid w:val="00A4359D"/>
    <w:rsid w:val="00A435D6"/>
    <w:rsid w:val="00A43618"/>
    <w:rsid w:val="00A4367C"/>
    <w:rsid w:val="00A43692"/>
    <w:rsid w:val="00A43718"/>
    <w:rsid w:val="00A43784"/>
    <w:rsid w:val="00A4378E"/>
    <w:rsid w:val="00A43843"/>
    <w:rsid w:val="00A43953"/>
    <w:rsid w:val="00A439C4"/>
    <w:rsid w:val="00A43A7F"/>
    <w:rsid w:val="00A43AA1"/>
    <w:rsid w:val="00A43AC3"/>
    <w:rsid w:val="00A43AF4"/>
    <w:rsid w:val="00A43B50"/>
    <w:rsid w:val="00A43B7B"/>
    <w:rsid w:val="00A43BC1"/>
    <w:rsid w:val="00A43C2E"/>
    <w:rsid w:val="00A43CB4"/>
    <w:rsid w:val="00A43D2A"/>
    <w:rsid w:val="00A43D68"/>
    <w:rsid w:val="00A43D81"/>
    <w:rsid w:val="00A43E48"/>
    <w:rsid w:val="00A43F1D"/>
    <w:rsid w:val="00A43F80"/>
    <w:rsid w:val="00A4408C"/>
    <w:rsid w:val="00A440C6"/>
    <w:rsid w:val="00A44113"/>
    <w:rsid w:val="00A44143"/>
    <w:rsid w:val="00A4423B"/>
    <w:rsid w:val="00A442B5"/>
    <w:rsid w:val="00A442F9"/>
    <w:rsid w:val="00A4430D"/>
    <w:rsid w:val="00A44342"/>
    <w:rsid w:val="00A443A3"/>
    <w:rsid w:val="00A443CF"/>
    <w:rsid w:val="00A443FD"/>
    <w:rsid w:val="00A44424"/>
    <w:rsid w:val="00A444A3"/>
    <w:rsid w:val="00A44582"/>
    <w:rsid w:val="00A445DC"/>
    <w:rsid w:val="00A44630"/>
    <w:rsid w:val="00A44686"/>
    <w:rsid w:val="00A4468B"/>
    <w:rsid w:val="00A446DA"/>
    <w:rsid w:val="00A44752"/>
    <w:rsid w:val="00A44862"/>
    <w:rsid w:val="00A448C3"/>
    <w:rsid w:val="00A448CF"/>
    <w:rsid w:val="00A44923"/>
    <w:rsid w:val="00A44945"/>
    <w:rsid w:val="00A44947"/>
    <w:rsid w:val="00A44A5F"/>
    <w:rsid w:val="00A44A7F"/>
    <w:rsid w:val="00A44AA9"/>
    <w:rsid w:val="00A44AE4"/>
    <w:rsid w:val="00A44C27"/>
    <w:rsid w:val="00A44C87"/>
    <w:rsid w:val="00A44C8B"/>
    <w:rsid w:val="00A44CF0"/>
    <w:rsid w:val="00A44DA0"/>
    <w:rsid w:val="00A44E83"/>
    <w:rsid w:val="00A44E9C"/>
    <w:rsid w:val="00A44ECA"/>
    <w:rsid w:val="00A44F5C"/>
    <w:rsid w:val="00A44FF8"/>
    <w:rsid w:val="00A45075"/>
    <w:rsid w:val="00A450A0"/>
    <w:rsid w:val="00A4524F"/>
    <w:rsid w:val="00A452B3"/>
    <w:rsid w:val="00A45327"/>
    <w:rsid w:val="00A45368"/>
    <w:rsid w:val="00A453B7"/>
    <w:rsid w:val="00A453CA"/>
    <w:rsid w:val="00A45400"/>
    <w:rsid w:val="00A4545F"/>
    <w:rsid w:val="00A45484"/>
    <w:rsid w:val="00A454B2"/>
    <w:rsid w:val="00A455BF"/>
    <w:rsid w:val="00A45668"/>
    <w:rsid w:val="00A4566A"/>
    <w:rsid w:val="00A4567A"/>
    <w:rsid w:val="00A456FE"/>
    <w:rsid w:val="00A4573B"/>
    <w:rsid w:val="00A4575B"/>
    <w:rsid w:val="00A4576B"/>
    <w:rsid w:val="00A457A0"/>
    <w:rsid w:val="00A45843"/>
    <w:rsid w:val="00A4585F"/>
    <w:rsid w:val="00A45861"/>
    <w:rsid w:val="00A458AC"/>
    <w:rsid w:val="00A458C7"/>
    <w:rsid w:val="00A45907"/>
    <w:rsid w:val="00A45922"/>
    <w:rsid w:val="00A4595B"/>
    <w:rsid w:val="00A459A2"/>
    <w:rsid w:val="00A459B4"/>
    <w:rsid w:val="00A459F2"/>
    <w:rsid w:val="00A45A77"/>
    <w:rsid w:val="00A45AD0"/>
    <w:rsid w:val="00A45B72"/>
    <w:rsid w:val="00A45BEC"/>
    <w:rsid w:val="00A45CBA"/>
    <w:rsid w:val="00A45D58"/>
    <w:rsid w:val="00A45D62"/>
    <w:rsid w:val="00A45E65"/>
    <w:rsid w:val="00A45FB3"/>
    <w:rsid w:val="00A45FB8"/>
    <w:rsid w:val="00A45FFF"/>
    <w:rsid w:val="00A46054"/>
    <w:rsid w:val="00A4613B"/>
    <w:rsid w:val="00A462FC"/>
    <w:rsid w:val="00A46322"/>
    <w:rsid w:val="00A46330"/>
    <w:rsid w:val="00A4642C"/>
    <w:rsid w:val="00A46476"/>
    <w:rsid w:val="00A46574"/>
    <w:rsid w:val="00A46582"/>
    <w:rsid w:val="00A46598"/>
    <w:rsid w:val="00A4659A"/>
    <w:rsid w:val="00A465BD"/>
    <w:rsid w:val="00A46610"/>
    <w:rsid w:val="00A46627"/>
    <w:rsid w:val="00A46677"/>
    <w:rsid w:val="00A4668A"/>
    <w:rsid w:val="00A466A3"/>
    <w:rsid w:val="00A466C1"/>
    <w:rsid w:val="00A4670A"/>
    <w:rsid w:val="00A4674C"/>
    <w:rsid w:val="00A46785"/>
    <w:rsid w:val="00A467A6"/>
    <w:rsid w:val="00A467E6"/>
    <w:rsid w:val="00A46847"/>
    <w:rsid w:val="00A46851"/>
    <w:rsid w:val="00A468A5"/>
    <w:rsid w:val="00A469A1"/>
    <w:rsid w:val="00A469AD"/>
    <w:rsid w:val="00A469ED"/>
    <w:rsid w:val="00A46B10"/>
    <w:rsid w:val="00A46BAD"/>
    <w:rsid w:val="00A46C91"/>
    <w:rsid w:val="00A46CD1"/>
    <w:rsid w:val="00A46D04"/>
    <w:rsid w:val="00A46D19"/>
    <w:rsid w:val="00A46E6B"/>
    <w:rsid w:val="00A46F49"/>
    <w:rsid w:val="00A46F9E"/>
    <w:rsid w:val="00A4707C"/>
    <w:rsid w:val="00A470C3"/>
    <w:rsid w:val="00A47159"/>
    <w:rsid w:val="00A471A9"/>
    <w:rsid w:val="00A47270"/>
    <w:rsid w:val="00A47295"/>
    <w:rsid w:val="00A472CB"/>
    <w:rsid w:val="00A47348"/>
    <w:rsid w:val="00A4736D"/>
    <w:rsid w:val="00A473A9"/>
    <w:rsid w:val="00A4749B"/>
    <w:rsid w:val="00A474C9"/>
    <w:rsid w:val="00A47549"/>
    <w:rsid w:val="00A47688"/>
    <w:rsid w:val="00A476C7"/>
    <w:rsid w:val="00A47836"/>
    <w:rsid w:val="00A4784D"/>
    <w:rsid w:val="00A47932"/>
    <w:rsid w:val="00A479C3"/>
    <w:rsid w:val="00A479D2"/>
    <w:rsid w:val="00A479DE"/>
    <w:rsid w:val="00A47A44"/>
    <w:rsid w:val="00A47A60"/>
    <w:rsid w:val="00A47B25"/>
    <w:rsid w:val="00A47B51"/>
    <w:rsid w:val="00A47B8C"/>
    <w:rsid w:val="00A47C09"/>
    <w:rsid w:val="00A47C0E"/>
    <w:rsid w:val="00A47C2D"/>
    <w:rsid w:val="00A47C54"/>
    <w:rsid w:val="00A47C8B"/>
    <w:rsid w:val="00A47DB2"/>
    <w:rsid w:val="00A47E20"/>
    <w:rsid w:val="00A47EA6"/>
    <w:rsid w:val="00A50006"/>
    <w:rsid w:val="00A500FD"/>
    <w:rsid w:val="00A50101"/>
    <w:rsid w:val="00A501AB"/>
    <w:rsid w:val="00A50232"/>
    <w:rsid w:val="00A502ED"/>
    <w:rsid w:val="00A5031C"/>
    <w:rsid w:val="00A503FA"/>
    <w:rsid w:val="00A50418"/>
    <w:rsid w:val="00A50428"/>
    <w:rsid w:val="00A5044E"/>
    <w:rsid w:val="00A50466"/>
    <w:rsid w:val="00A5049E"/>
    <w:rsid w:val="00A5050C"/>
    <w:rsid w:val="00A5054C"/>
    <w:rsid w:val="00A5061C"/>
    <w:rsid w:val="00A506A4"/>
    <w:rsid w:val="00A5072E"/>
    <w:rsid w:val="00A50791"/>
    <w:rsid w:val="00A507D0"/>
    <w:rsid w:val="00A5082E"/>
    <w:rsid w:val="00A50842"/>
    <w:rsid w:val="00A508C3"/>
    <w:rsid w:val="00A508CB"/>
    <w:rsid w:val="00A509CC"/>
    <w:rsid w:val="00A50A83"/>
    <w:rsid w:val="00A50AF6"/>
    <w:rsid w:val="00A50B19"/>
    <w:rsid w:val="00A50B58"/>
    <w:rsid w:val="00A50B6C"/>
    <w:rsid w:val="00A50B79"/>
    <w:rsid w:val="00A50B99"/>
    <w:rsid w:val="00A50BBC"/>
    <w:rsid w:val="00A50BD2"/>
    <w:rsid w:val="00A50C41"/>
    <w:rsid w:val="00A50CD7"/>
    <w:rsid w:val="00A50DE2"/>
    <w:rsid w:val="00A50E39"/>
    <w:rsid w:val="00A50E44"/>
    <w:rsid w:val="00A50E87"/>
    <w:rsid w:val="00A50EA6"/>
    <w:rsid w:val="00A50EE2"/>
    <w:rsid w:val="00A50F35"/>
    <w:rsid w:val="00A50F7F"/>
    <w:rsid w:val="00A50F81"/>
    <w:rsid w:val="00A50F9A"/>
    <w:rsid w:val="00A5100B"/>
    <w:rsid w:val="00A5116D"/>
    <w:rsid w:val="00A51193"/>
    <w:rsid w:val="00A51195"/>
    <w:rsid w:val="00A511EB"/>
    <w:rsid w:val="00A512A4"/>
    <w:rsid w:val="00A51303"/>
    <w:rsid w:val="00A51380"/>
    <w:rsid w:val="00A51384"/>
    <w:rsid w:val="00A5139B"/>
    <w:rsid w:val="00A513A2"/>
    <w:rsid w:val="00A513DB"/>
    <w:rsid w:val="00A514B0"/>
    <w:rsid w:val="00A51508"/>
    <w:rsid w:val="00A5152A"/>
    <w:rsid w:val="00A5152F"/>
    <w:rsid w:val="00A5156E"/>
    <w:rsid w:val="00A515B2"/>
    <w:rsid w:val="00A515D1"/>
    <w:rsid w:val="00A516EF"/>
    <w:rsid w:val="00A517FB"/>
    <w:rsid w:val="00A5187B"/>
    <w:rsid w:val="00A518E9"/>
    <w:rsid w:val="00A51947"/>
    <w:rsid w:val="00A51B27"/>
    <w:rsid w:val="00A51B79"/>
    <w:rsid w:val="00A51C44"/>
    <w:rsid w:val="00A51CF6"/>
    <w:rsid w:val="00A51D03"/>
    <w:rsid w:val="00A51D0D"/>
    <w:rsid w:val="00A51DD8"/>
    <w:rsid w:val="00A51DD9"/>
    <w:rsid w:val="00A51DDE"/>
    <w:rsid w:val="00A51DEE"/>
    <w:rsid w:val="00A51F67"/>
    <w:rsid w:val="00A52029"/>
    <w:rsid w:val="00A52146"/>
    <w:rsid w:val="00A5217C"/>
    <w:rsid w:val="00A52187"/>
    <w:rsid w:val="00A521E2"/>
    <w:rsid w:val="00A52262"/>
    <w:rsid w:val="00A522F7"/>
    <w:rsid w:val="00A523A3"/>
    <w:rsid w:val="00A524CB"/>
    <w:rsid w:val="00A5257C"/>
    <w:rsid w:val="00A5263D"/>
    <w:rsid w:val="00A52659"/>
    <w:rsid w:val="00A526F1"/>
    <w:rsid w:val="00A52736"/>
    <w:rsid w:val="00A52799"/>
    <w:rsid w:val="00A528BD"/>
    <w:rsid w:val="00A52951"/>
    <w:rsid w:val="00A529E6"/>
    <w:rsid w:val="00A52A60"/>
    <w:rsid w:val="00A52B74"/>
    <w:rsid w:val="00A52B95"/>
    <w:rsid w:val="00A52B9B"/>
    <w:rsid w:val="00A52BA8"/>
    <w:rsid w:val="00A52BC4"/>
    <w:rsid w:val="00A52BC8"/>
    <w:rsid w:val="00A52D4F"/>
    <w:rsid w:val="00A52D7B"/>
    <w:rsid w:val="00A52DA4"/>
    <w:rsid w:val="00A52E39"/>
    <w:rsid w:val="00A52E81"/>
    <w:rsid w:val="00A52E9B"/>
    <w:rsid w:val="00A52F1B"/>
    <w:rsid w:val="00A52F25"/>
    <w:rsid w:val="00A52F7D"/>
    <w:rsid w:val="00A52FC9"/>
    <w:rsid w:val="00A52FE4"/>
    <w:rsid w:val="00A53028"/>
    <w:rsid w:val="00A53075"/>
    <w:rsid w:val="00A530CB"/>
    <w:rsid w:val="00A530D6"/>
    <w:rsid w:val="00A530EB"/>
    <w:rsid w:val="00A53108"/>
    <w:rsid w:val="00A531A1"/>
    <w:rsid w:val="00A531CF"/>
    <w:rsid w:val="00A5324E"/>
    <w:rsid w:val="00A532DA"/>
    <w:rsid w:val="00A532ED"/>
    <w:rsid w:val="00A53356"/>
    <w:rsid w:val="00A533E3"/>
    <w:rsid w:val="00A5349D"/>
    <w:rsid w:val="00A53538"/>
    <w:rsid w:val="00A5358A"/>
    <w:rsid w:val="00A53622"/>
    <w:rsid w:val="00A53725"/>
    <w:rsid w:val="00A53739"/>
    <w:rsid w:val="00A53744"/>
    <w:rsid w:val="00A5376A"/>
    <w:rsid w:val="00A537B8"/>
    <w:rsid w:val="00A537C9"/>
    <w:rsid w:val="00A537D9"/>
    <w:rsid w:val="00A53884"/>
    <w:rsid w:val="00A538AC"/>
    <w:rsid w:val="00A538BC"/>
    <w:rsid w:val="00A538CA"/>
    <w:rsid w:val="00A538EE"/>
    <w:rsid w:val="00A53950"/>
    <w:rsid w:val="00A5397C"/>
    <w:rsid w:val="00A539B2"/>
    <w:rsid w:val="00A53A33"/>
    <w:rsid w:val="00A53ACC"/>
    <w:rsid w:val="00A53B81"/>
    <w:rsid w:val="00A53C67"/>
    <w:rsid w:val="00A53C77"/>
    <w:rsid w:val="00A53CA0"/>
    <w:rsid w:val="00A53CB5"/>
    <w:rsid w:val="00A53D18"/>
    <w:rsid w:val="00A53D1F"/>
    <w:rsid w:val="00A53D6C"/>
    <w:rsid w:val="00A53D90"/>
    <w:rsid w:val="00A53DB6"/>
    <w:rsid w:val="00A53DF4"/>
    <w:rsid w:val="00A53EB7"/>
    <w:rsid w:val="00A53EBC"/>
    <w:rsid w:val="00A53EDE"/>
    <w:rsid w:val="00A53EE5"/>
    <w:rsid w:val="00A53F7C"/>
    <w:rsid w:val="00A53FA8"/>
    <w:rsid w:val="00A5403C"/>
    <w:rsid w:val="00A5403F"/>
    <w:rsid w:val="00A54056"/>
    <w:rsid w:val="00A54073"/>
    <w:rsid w:val="00A54187"/>
    <w:rsid w:val="00A5422D"/>
    <w:rsid w:val="00A54273"/>
    <w:rsid w:val="00A542C7"/>
    <w:rsid w:val="00A542E0"/>
    <w:rsid w:val="00A5436E"/>
    <w:rsid w:val="00A54470"/>
    <w:rsid w:val="00A54498"/>
    <w:rsid w:val="00A544D8"/>
    <w:rsid w:val="00A54518"/>
    <w:rsid w:val="00A54598"/>
    <w:rsid w:val="00A545E1"/>
    <w:rsid w:val="00A545EC"/>
    <w:rsid w:val="00A54625"/>
    <w:rsid w:val="00A5463D"/>
    <w:rsid w:val="00A546B3"/>
    <w:rsid w:val="00A546B9"/>
    <w:rsid w:val="00A547AB"/>
    <w:rsid w:val="00A549CD"/>
    <w:rsid w:val="00A549F9"/>
    <w:rsid w:val="00A54A3B"/>
    <w:rsid w:val="00A54AEB"/>
    <w:rsid w:val="00A54B73"/>
    <w:rsid w:val="00A54B8F"/>
    <w:rsid w:val="00A54BE8"/>
    <w:rsid w:val="00A54C3C"/>
    <w:rsid w:val="00A54C54"/>
    <w:rsid w:val="00A54CB2"/>
    <w:rsid w:val="00A54D58"/>
    <w:rsid w:val="00A54DAC"/>
    <w:rsid w:val="00A54E5A"/>
    <w:rsid w:val="00A54E8C"/>
    <w:rsid w:val="00A54FBB"/>
    <w:rsid w:val="00A5505E"/>
    <w:rsid w:val="00A55125"/>
    <w:rsid w:val="00A55133"/>
    <w:rsid w:val="00A5513E"/>
    <w:rsid w:val="00A55164"/>
    <w:rsid w:val="00A552F6"/>
    <w:rsid w:val="00A55343"/>
    <w:rsid w:val="00A55414"/>
    <w:rsid w:val="00A5552C"/>
    <w:rsid w:val="00A55537"/>
    <w:rsid w:val="00A5553D"/>
    <w:rsid w:val="00A55597"/>
    <w:rsid w:val="00A555D9"/>
    <w:rsid w:val="00A55667"/>
    <w:rsid w:val="00A55682"/>
    <w:rsid w:val="00A5571E"/>
    <w:rsid w:val="00A55797"/>
    <w:rsid w:val="00A557E7"/>
    <w:rsid w:val="00A55849"/>
    <w:rsid w:val="00A558D1"/>
    <w:rsid w:val="00A55A39"/>
    <w:rsid w:val="00A55A42"/>
    <w:rsid w:val="00A55A44"/>
    <w:rsid w:val="00A55AAD"/>
    <w:rsid w:val="00A55B0C"/>
    <w:rsid w:val="00A55BBA"/>
    <w:rsid w:val="00A55C0E"/>
    <w:rsid w:val="00A55C62"/>
    <w:rsid w:val="00A55CBC"/>
    <w:rsid w:val="00A55E4E"/>
    <w:rsid w:val="00A55E6C"/>
    <w:rsid w:val="00A55F78"/>
    <w:rsid w:val="00A55FCE"/>
    <w:rsid w:val="00A55FD6"/>
    <w:rsid w:val="00A56075"/>
    <w:rsid w:val="00A560C7"/>
    <w:rsid w:val="00A56153"/>
    <w:rsid w:val="00A5620E"/>
    <w:rsid w:val="00A56261"/>
    <w:rsid w:val="00A5634A"/>
    <w:rsid w:val="00A56356"/>
    <w:rsid w:val="00A56367"/>
    <w:rsid w:val="00A5638B"/>
    <w:rsid w:val="00A5642B"/>
    <w:rsid w:val="00A56435"/>
    <w:rsid w:val="00A564C9"/>
    <w:rsid w:val="00A5656D"/>
    <w:rsid w:val="00A56660"/>
    <w:rsid w:val="00A56791"/>
    <w:rsid w:val="00A567C8"/>
    <w:rsid w:val="00A567FF"/>
    <w:rsid w:val="00A56834"/>
    <w:rsid w:val="00A568FD"/>
    <w:rsid w:val="00A5691E"/>
    <w:rsid w:val="00A5698E"/>
    <w:rsid w:val="00A569AB"/>
    <w:rsid w:val="00A569BC"/>
    <w:rsid w:val="00A56A23"/>
    <w:rsid w:val="00A56A38"/>
    <w:rsid w:val="00A56A76"/>
    <w:rsid w:val="00A56B7B"/>
    <w:rsid w:val="00A56C60"/>
    <w:rsid w:val="00A56CA8"/>
    <w:rsid w:val="00A56CC0"/>
    <w:rsid w:val="00A56E66"/>
    <w:rsid w:val="00A56EF1"/>
    <w:rsid w:val="00A56F4D"/>
    <w:rsid w:val="00A56F57"/>
    <w:rsid w:val="00A56FA8"/>
    <w:rsid w:val="00A56FB7"/>
    <w:rsid w:val="00A57035"/>
    <w:rsid w:val="00A57098"/>
    <w:rsid w:val="00A571B9"/>
    <w:rsid w:val="00A5729C"/>
    <w:rsid w:val="00A572D2"/>
    <w:rsid w:val="00A57393"/>
    <w:rsid w:val="00A573FA"/>
    <w:rsid w:val="00A57440"/>
    <w:rsid w:val="00A5750C"/>
    <w:rsid w:val="00A5762B"/>
    <w:rsid w:val="00A5771E"/>
    <w:rsid w:val="00A57732"/>
    <w:rsid w:val="00A57794"/>
    <w:rsid w:val="00A577AA"/>
    <w:rsid w:val="00A577CC"/>
    <w:rsid w:val="00A577EE"/>
    <w:rsid w:val="00A5787B"/>
    <w:rsid w:val="00A578BB"/>
    <w:rsid w:val="00A578CC"/>
    <w:rsid w:val="00A578E6"/>
    <w:rsid w:val="00A57956"/>
    <w:rsid w:val="00A5797C"/>
    <w:rsid w:val="00A579E1"/>
    <w:rsid w:val="00A57AAE"/>
    <w:rsid w:val="00A57B49"/>
    <w:rsid w:val="00A57B52"/>
    <w:rsid w:val="00A57B7A"/>
    <w:rsid w:val="00A57B91"/>
    <w:rsid w:val="00A57C27"/>
    <w:rsid w:val="00A57C41"/>
    <w:rsid w:val="00A57C4A"/>
    <w:rsid w:val="00A57CD2"/>
    <w:rsid w:val="00A57CF8"/>
    <w:rsid w:val="00A57D5D"/>
    <w:rsid w:val="00A57D72"/>
    <w:rsid w:val="00A57D76"/>
    <w:rsid w:val="00A57E22"/>
    <w:rsid w:val="00A57E4E"/>
    <w:rsid w:val="00A57E8A"/>
    <w:rsid w:val="00A57EE8"/>
    <w:rsid w:val="00A57F51"/>
    <w:rsid w:val="00A57FA6"/>
    <w:rsid w:val="00A57FD0"/>
    <w:rsid w:val="00A587E4"/>
    <w:rsid w:val="00A5BF4F"/>
    <w:rsid w:val="00A6009C"/>
    <w:rsid w:val="00A600A5"/>
    <w:rsid w:val="00A6012F"/>
    <w:rsid w:val="00A60140"/>
    <w:rsid w:val="00A60160"/>
    <w:rsid w:val="00A60184"/>
    <w:rsid w:val="00A601DB"/>
    <w:rsid w:val="00A60365"/>
    <w:rsid w:val="00A6038A"/>
    <w:rsid w:val="00A603A4"/>
    <w:rsid w:val="00A6044A"/>
    <w:rsid w:val="00A604A8"/>
    <w:rsid w:val="00A604CB"/>
    <w:rsid w:val="00A60520"/>
    <w:rsid w:val="00A60543"/>
    <w:rsid w:val="00A60655"/>
    <w:rsid w:val="00A606C0"/>
    <w:rsid w:val="00A606DE"/>
    <w:rsid w:val="00A60710"/>
    <w:rsid w:val="00A60810"/>
    <w:rsid w:val="00A6084A"/>
    <w:rsid w:val="00A60851"/>
    <w:rsid w:val="00A60917"/>
    <w:rsid w:val="00A60924"/>
    <w:rsid w:val="00A60959"/>
    <w:rsid w:val="00A60967"/>
    <w:rsid w:val="00A60970"/>
    <w:rsid w:val="00A6097A"/>
    <w:rsid w:val="00A60993"/>
    <w:rsid w:val="00A60A7D"/>
    <w:rsid w:val="00A60BB3"/>
    <w:rsid w:val="00A60C0D"/>
    <w:rsid w:val="00A60C69"/>
    <w:rsid w:val="00A60C6A"/>
    <w:rsid w:val="00A60CC6"/>
    <w:rsid w:val="00A60D19"/>
    <w:rsid w:val="00A60D27"/>
    <w:rsid w:val="00A60D7A"/>
    <w:rsid w:val="00A60D8D"/>
    <w:rsid w:val="00A60DCA"/>
    <w:rsid w:val="00A60E21"/>
    <w:rsid w:val="00A60E77"/>
    <w:rsid w:val="00A60EC6"/>
    <w:rsid w:val="00A60F85"/>
    <w:rsid w:val="00A61025"/>
    <w:rsid w:val="00A61042"/>
    <w:rsid w:val="00A61096"/>
    <w:rsid w:val="00A61181"/>
    <w:rsid w:val="00A611F2"/>
    <w:rsid w:val="00A61293"/>
    <w:rsid w:val="00A612E5"/>
    <w:rsid w:val="00A61310"/>
    <w:rsid w:val="00A61351"/>
    <w:rsid w:val="00A613AE"/>
    <w:rsid w:val="00A613E3"/>
    <w:rsid w:val="00A6144D"/>
    <w:rsid w:val="00A6145D"/>
    <w:rsid w:val="00A6147D"/>
    <w:rsid w:val="00A61580"/>
    <w:rsid w:val="00A615D5"/>
    <w:rsid w:val="00A6164D"/>
    <w:rsid w:val="00A61749"/>
    <w:rsid w:val="00A6174C"/>
    <w:rsid w:val="00A61779"/>
    <w:rsid w:val="00A617D5"/>
    <w:rsid w:val="00A61809"/>
    <w:rsid w:val="00A619F0"/>
    <w:rsid w:val="00A619FB"/>
    <w:rsid w:val="00A61A83"/>
    <w:rsid w:val="00A61A8C"/>
    <w:rsid w:val="00A61AF5"/>
    <w:rsid w:val="00A61B49"/>
    <w:rsid w:val="00A61B66"/>
    <w:rsid w:val="00A61B79"/>
    <w:rsid w:val="00A61BA9"/>
    <w:rsid w:val="00A61C51"/>
    <w:rsid w:val="00A61CCB"/>
    <w:rsid w:val="00A61D05"/>
    <w:rsid w:val="00A61D1B"/>
    <w:rsid w:val="00A61DA8"/>
    <w:rsid w:val="00A61EB2"/>
    <w:rsid w:val="00A61ED4"/>
    <w:rsid w:val="00A61F7B"/>
    <w:rsid w:val="00A61FA6"/>
    <w:rsid w:val="00A61FF8"/>
    <w:rsid w:val="00A62030"/>
    <w:rsid w:val="00A62031"/>
    <w:rsid w:val="00A620B5"/>
    <w:rsid w:val="00A620CC"/>
    <w:rsid w:val="00A62195"/>
    <w:rsid w:val="00A621C8"/>
    <w:rsid w:val="00A62296"/>
    <w:rsid w:val="00A62326"/>
    <w:rsid w:val="00A623AA"/>
    <w:rsid w:val="00A6244E"/>
    <w:rsid w:val="00A6245A"/>
    <w:rsid w:val="00A62487"/>
    <w:rsid w:val="00A62500"/>
    <w:rsid w:val="00A62524"/>
    <w:rsid w:val="00A625E0"/>
    <w:rsid w:val="00A62694"/>
    <w:rsid w:val="00A62759"/>
    <w:rsid w:val="00A627D2"/>
    <w:rsid w:val="00A627E0"/>
    <w:rsid w:val="00A62809"/>
    <w:rsid w:val="00A6285C"/>
    <w:rsid w:val="00A62869"/>
    <w:rsid w:val="00A6287A"/>
    <w:rsid w:val="00A62884"/>
    <w:rsid w:val="00A6290B"/>
    <w:rsid w:val="00A62A64"/>
    <w:rsid w:val="00A62BEE"/>
    <w:rsid w:val="00A62D33"/>
    <w:rsid w:val="00A62D4D"/>
    <w:rsid w:val="00A62D96"/>
    <w:rsid w:val="00A62E09"/>
    <w:rsid w:val="00A62F1D"/>
    <w:rsid w:val="00A62F7F"/>
    <w:rsid w:val="00A62F8E"/>
    <w:rsid w:val="00A62FC0"/>
    <w:rsid w:val="00A62FD6"/>
    <w:rsid w:val="00A6301C"/>
    <w:rsid w:val="00A63029"/>
    <w:rsid w:val="00A6305C"/>
    <w:rsid w:val="00A63172"/>
    <w:rsid w:val="00A631FF"/>
    <w:rsid w:val="00A6333B"/>
    <w:rsid w:val="00A634F3"/>
    <w:rsid w:val="00A63599"/>
    <w:rsid w:val="00A635A5"/>
    <w:rsid w:val="00A635C8"/>
    <w:rsid w:val="00A635D3"/>
    <w:rsid w:val="00A63610"/>
    <w:rsid w:val="00A6370D"/>
    <w:rsid w:val="00A63742"/>
    <w:rsid w:val="00A63813"/>
    <w:rsid w:val="00A6381A"/>
    <w:rsid w:val="00A63838"/>
    <w:rsid w:val="00A63A04"/>
    <w:rsid w:val="00A63A55"/>
    <w:rsid w:val="00A63A89"/>
    <w:rsid w:val="00A63AAD"/>
    <w:rsid w:val="00A63B5B"/>
    <w:rsid w:val="00A63C0C"/>
    <w:rsid w:val="00A63C15"/>
    <w:rsid w:val="00A63CCE"/>
    <w:rsid w:val="00A63CF8"/>
    <w:rsid w:val="00A63DD0"/>
    <w:rsid w:val="00A63E05"/>
    <w:rsid w:val="00A63E11"/>
    <w:rsid w:val="00A63E62"/>
    <w:rsid w:val="00A63E7B"/>
    <w:rsid w:val="00A63F55"/>
    <w:rsid w:val="00A63F9A"/>
    <w:rsid w:val="00A63FD8"/>
    <w:rsid w:val="00A64007"/>
    <w:rsid w:val="00A6406F"/>
    <w:rsid w:val="00A64158"/>
    <w:rsid w:val="00A641C0"/>
    <w:rsid w:val="00A64281"/>
    <w:rsid w:val="00A643F1"/>
    <w:rsid w:val="00A6443D"/>
    <w:rsid w:val="00A64464"/>
    <w:rsid w:val="00A644C8"/>
    <w:rsid w:val="00A644CF"/>
    <w:rsid w:val="00A6451E"/>
    <w:rsid w:val="00A645EF"/>
    <w:rsid w:val="00A64641"/>
    <w:rsid w:val="00A6467B"/>
    <w:rsid w:val="00A646BF"/>
    <w:rsid w:val="00A646DA"/>
    <w:rsid w:val="00A646F9"/>
    <w:rsid w:val="00A647A3"/>
    <w:rsid w:val="00A647EB"/>
    <w:rsid w:val="00A648E3"/>
    <w:rsid w:val="00A649A1"/>
    <w:rsid w:val="00A649BA"/>
    <w:rsid w:val="00A64A01"/>
    <w:rsid w:val="00A64A56"/>
    <w:rsid w:val="00A64AB1"/>
    <w:rsid w:val="00A64AD4"/>
    <w:rsid w:val="00A64B88"/>
    <w:rsid w:val="00A64C47"/>
    <w:rsid w:val="00A64C5F"/>
    <w:rsid w:val="00A64CBC"/>
    <w:rsid w:val="00A64D14"/>
    <w:rsid w:val="00A64DB5"/>
    <w:rsid w:val="00A64DC9"/>
    <w:rsid w:val="00A64EBB"/>
    <w:rsid w:val="00A64EE5"/>
    <w:rsid w:val="00A64F4E"/>
    <w:rsid w:val="00A64FA7"/>
    <w:rsid w:val="00A64FCC"/>
    <w:rsid w:val="00A65063"/>
    <w:rsid w:val="00A65097"/>
    <w:rsid w:val="00A6509A"/>
    <w:rsid w:val="00A65109"/>
    <w:rsid w:val="00A65170"/>
    <w:rsid w:val="00A65181"/>
    <w:rsid w:val="00A65186"/>
    <w:rsid w:val="00A6533A"/>
    <w:rsid w:val="00A6534A"/>
    <w:rsid w:val="00A65368"/>
    <w:rsid w:val="00A6546F"/>
    <w:rsid w:val="00A6548B"/>
    <w:rsid w:val="00A654A0"/>
    <w:rsid w:val="00A654FC"/>
    <w:rsid w:val="00A65531"/>
    <w:rsid w:val="00A65588"/>
    <w:rsid w:val="00A656E2"/>
    <w:rsid w:val="00A65707"/>
    <w:rsid w:val="00A65819"/>
    <w:rsid w:val="00A6587E"/>
    <w:rsid w:val="00A658B9"/>
    <w:rsid w:val="00A65918"/>
    <w:rsid w:val="00A65942"/>
    <w:rsid w:val="00A65971"/>
    <w:rsid w:val="00A65986"/>
    <w:rsid w:val="00A6599D"/>
    <w:rsid w:val="00A659CD"/>
    <w:rsid w:val="00A65A33"/>
    <w:rsid w:val="00A65A73"/>
    <w:rsid w:val="00A65AEB"/>
    <w:rsid w:val="00A65B22"/>
    <w:rsid w:val="00A65C39"/>
    <w:rsid w:val="00A65C97"/>
    <w:rsid w:val="00A65CE9"/>
    <w:rsid w:val="00A65CFB"/>
    <w:rsid w:val="00A65D16"/>
    <w:rsid w:val="00A65D96"/>
    <w:rsid w:val="00A6632D"/>
    <w:rsid w:val="00A66352"/>
    <w:rsid w:val="00A663FA"/>
    <w:rsid w:val="00A66567"/>
    <w:rsid w:val="00A6658A"/>
    <w:rsid w:val="00A665B9"/>
    <w:rsid w:val="00A665BC"/>
    <w:rsid w:val="00A66627"/>
    <w:rsid w:val="00A6666F"/>
    <w:rsid w:val="00A666B3"/>
    <w:rsid w:val="00A666D3"/>
    <w:rsid w:val="00A667C9"/>
    <w:rsid w:val="00A6686E"/>
    <w:rsid w:val="00A66875"/>
    <w:rsid w:val="00A6688C"/>
    <w:rsid w:val="00A6689A"/>
    <w:rsid w:val="00A668E3"/>
    <w:rsid w:val="00A66964"/>
    <w:rsid w:val="00A669B2"/>
    <w:rsid w:val="00A66A0A"/>
    <w:rsid w:val="00A66A55"/>
    <w:rsid w:val="00A66A83"/>
    <w:rsid w:val="00A66AB0"/>
    <w:rsid w:val="00A66AE1"/>
    <w:rsid w:val="00A66BB4"/>
    <w:rsid w:val="00A66BE1"/>
    <w:rsid w:val="00A66CD2"/>
    <w:rsid w:val="00A66CDD"/>
    <w:rsid w:val="00A66ED0"/>
    <w:rsid w:val="00A66F30"/>
    <w:rsid w:val="00A66F5C"/>
    <w:rsid w:val="00A6708B"/>
    <w:rsid w:val="00A670A6"/>
    <w:rsid w:val="00A670CE"/>
    <w:rsid w:val="00A6713E"/>
    <w:rsid w:val="00A671FF"/>
    <w:rsid w:val="00A67222"/>
    <w:rsid w:val="00A67251"/>
    <w:rsid w:val="00A67443"/>
    <w:rsid w:val="00A674AB"/>
    <w:rsid w:val="00A67596"/>
    <w:rsid w:val="00A675D3"/>
    <w:rsid w:val="00A67627"/>
    <w:rsid w:val="00A676BD"/>
    <w:rsid w:val="00A677A0"/>
    <w:rsid w:val="00A677A2"/>
    <w:rsid w:val="00A677B6"/>
    <w:rsid w:val="00A677CB"/>
    <w:rsid w:val="00A677F3"/>
    <w:rsid w:val="00A67863"/>
    <w:rsid w:val="00A67875"/>
    <w:rsid w:val="00A678AC"/>
    <w:rsid w:val="00A678B4"/>
    <w:rsid w:val="00A678C7"/>
    <w:rsid w:val="00A67952"/>
    <w:rsid w:val="00A679B0"/>
    <w:rsid w:val="00A679B2"/>
    <w:rsid w:val="00A679E4"/>
    <w:rsid w:val="00A679E6"/>
    <w:rsid w:val="00A679F3"/>
    <w:rsid w:val="00A67A3C"/>
    <w:rsid w:val="00A67A5E"/>
    <w:rsid w:val="00A67AD7"/>
    <w:rsid w:val="00A67B29"/>
    <w:rsid w:val="00A67BF5"/>
    <w:rsid w:val="00A67C86"/>
    <w:rsid w:val="00A67C90"/>
    <w:rsid w:val="00A67D62"/>
    <w:rsid w:val="00A67E34"/>
    <w:rsid w:val="00A67E38"/>
    <w:rsid w:val="00A67E42"/>
    <w:rsid w:val="00A67E98"/>
    <w:rsid w:val="00A67E9B"/>
    <w:rsid w:val="00A67F08"/>
    <w:rsid w:val="00A67F3C"/>
    <w:rsid w:val="00A67F89"/>
    <w:rsid w:val="00A67FDF"/>
    <w:rsid w:val="00A67FF8"/>
    <w:rsid w:val="00A67FF9"/>
    <w:rsid w:val="00A7001C"/>
    <w:rsid w:val="00A70062"/>
    <w:rsid w:val="00A700DF"/>
    <w:rsid w:val="00A70109"/>
    <w:rsid w:val="00A70174"/>
    <w:rsid w:val="00A7019B"/>
    <w:rsid w:val="00A70204"/>
    <w:rsid w:val="00A7020E"/>
    <w:rsid w:val="00A70268"/>
    <w:rsid w:val="00A70275"/>
    <w:rsid w:val="00A703E9"/>
    <w:rsid w:val="00A703FB"/>
    <w:rsid w:val="00A704DD"/>
    <w:rsid w:val="00A70539"/>
    <w:rsid w:val="00A70585"/>
    <w:rsid w:val="00A7067C"/>
    <w:rsid w:val="00A706F0"/>
    <w:rsid w:val="00A7071E"/>
    <w:rsid w:val="00A70826"/>
    <w:rsid w:val="00A70858"/>
    <w:rsid w:val="00A70865"/>
    <w:rsid w:val="00A70915"/>
    <w:rsid w:val="00A7095E"/>
    <w:rsid w:val="00A70A6F"/>
    <w:rsid w:val="00A70A70"/>
    <w:rsid w:val="00A70B47"/>
    <w:rsid w:val="00A70B57"/>
    <w:rsid w:val="00A70B68"/>
    <w:rsid w:val="00A70B71"/>
    <w:rsid w:val="00A70BDE"/>
    <w:rsid w:val="00A70C9D"/>
    <w:rsid w:val="00A70CA0"/>
    <w:rsid w:val="00A70D28"/>
    <w:rsid w:val="00A70D9D"/>
    <w:rsid w:val="00A70E0D"/>
    <w:rsid w:val="00A70E32"/>
    <w:rsid w:val="00A70E47"/>
    <w:rsid w:val="00A70F5D"/>
    <w:rsid w:val="00A70FEA"/>
    <w:rsid w:val="00A7103B"/>
    <w:rsid w:val="00A710CB"/>
    <w:rsid w:val="00A710F3"/>
    <w:rsid w:val="00A711A5"/>
    <w:rsid w:val="00A711A6"/>
    <w:rsid w:val="00A71201"/>
    <w:rsid w:val="00A71231"/>
    <w:rsid w:val="00A71235"/>
    <w:rsid w:val="00A71250"/>
    <w:rsid w:val="00A71252"/>
    <w:rsid w:val="00A713C3"/>
    <w:rsid w:val="00A7140C"/>
    <w:rsid w:val="00A7145F"/>
    <w:rsid w:val="00A7148D"/>
    <w:rsid w:val="00A71498"/>
    <w:rsid w:val="00A714DC"/>
    <w:rsid w:val="00A71552"/>
    <w:rsid w:val="00A71591"/>
    <w:rsid w:val="00A715AA"/>
    <w:rsid w:val="00A716C1"/>
    <w:rsid w:val="00A71733"/>
    <w:rsid w:val="00A71745"/>
    <w:rsid w:val="00A71860"/>
    <w:rsid w:val="00A7189E"/>
    <w:rsid w:val="00A718B0"/>
    <w:rsid w:val="00A718CC"/>
    <w:rsid w:val="00A71908"/>
    <w:rsid w:val="00A71926"/>
    <w:rsid w:val="00A71A46"/>
    <w:rsid w:val="00A71AC0"/>
    <w:rsid w:val="00A71B1F"/>
    <w:rsid w:val="00A71B26"/>
    <w:rsid w:val="00A71BE6"/>
    <w:rsid w:val="00A71C24"/>
    <w:rsid w:val="00A71D83"/>
    <w:rsid w:val="00A71D8A"/>
    <w:rsid w:val="00A71DAF"/>
    <w:rsid w:val="00A71E2D"/>
    <w:rsid w:val="00A71E9C"/>
    <w:rsid w:val="00A71EB9"/>
    <w:rsid w:val="00A71EBE"/>
    <w:rsid w:val="00A71ECB"/>
    <w:rsid w:val="00A71F04"/>
    <w:rsid w:val="00A71F0E"/>
    <w:rsid w:val="00A71F3C"/>
    <w:rsid w:val="00A7208B"/>
    <w:rsid w:val="00A72106"/>
    <w:rsid w:val="00A72191"/>
    <w:rsid w:val="00A721A5"/>
    <w:rsid w:val="00A721BD"/>
    <w:rsid w:val="00A721D5"/>
    <w:rsid w:val="00A72202"/>
    <w:rsid w:val="00A7228B"/>
    <w:rsid w:val="00A7229E"/>
    <w:rsid w:val="00A72341"/>
    <w:rsid w:val="00A723E6"/>
    <w:rsid w:val="00A72419"/>
    <w:rsid w:val="00A7253A"/>
    <w:rsid w:val="00A7256B"/>
    <w:rsid w:val="00A72576"/>
    <w:rsid w:val="00A7257F"/>
    <w:rsid w:val="00A725BA"/>
    <w:rsid w:val="00A725C5"/>
    <w:rsid w:val="00A7262A"/>
    <w:rsid w:val="00A726A1"/>
    <w:rsid w:val="00A726FD"/>
    <w:rsid w:val="00A72763"/>
    <w:rsid w:val="00A72819"/>
    <w:rsid w:val="00A7284B"/>
    <w:rsid w:val="00A728B6"/>
    <w:rsid w:val="00A728BD"/>
    <w:rsid w:val="00A728D3"/>
    <w:rsid w:val="00A728E7"/>
    <w:rsid w:val="00A7294B"/>
    <w:rsid w:val="00A7295B"/>
    <w:rsid w:val="00A72976"/>
    <w:rsid w:val="00A729DB"/>
    <w:rsid w:val="00A72A00"/>
    <w:rsid w:val="00A72A6C"/>
    <w:rsid w:val="00A72A8A"/>
    <w:rsid w:val="00A72B32"/>
    <w:rsid w:val="00A72B9C"/>
    <w:rsid w:val="00A72C50"/>
    <w:rsid w:val="00A72D8B"/>
    <w:rsid w:val="00A72E40"/>
    <w:rsid w:val="00A72E88"/>
    <w:rsid w:val="00A72EB1"/>
    <w:rsid w:val="00A730EC"/>
    <w:rsid w:val="00A730FA"/>
    <w:rsid w:val="00A73133"/>
    <w:rsid w:val="00A73150"/>
    <w:rsid w:val="00A731B0"/>
    <w:rsid w:val="00A7326C"/>
    <w:rsid w:val="00A73274"/>
    <w:rsid w:val="00A7332E"/>
    <w:rsid w:val="00A73345"/>
    <w:rsid w:val="00A7335F"/>
    <w:rsid w:val="00A733E0"/>
    <w:rsid w:val="00A7348D"/>
    <w:rsid w:val="00A734C8"/>
    <w:rsid w:val="00A734D5"/>
    <w:rsid w:val="00A73584"/>
    <w:rsid w:val="00A735BE"/>
    <w:rsid w:val="00A73611"/>
    <w:rsid w:val="00A73654"/>
    <w:rsid w:val="00A73664"/>
    <w:rsid w:val="00A736F2"/>
    <w:rsid w:val="00A73743"/>
    <w:rsid w:val="00A737DB"/>
    <w:rsid w:val="00A7380C"/>
    <w:rsid w:val="00A7383C"/>
    <w:rsid w:val="00A73851"/>
    <w:rsid w:val="00A73887"/>
    <w:rsid w:val="00A73909"/>
    <w:rsid w:val="00A7395F"/>
    <w:rsid w:val="00A7396A"/>
    <w:rsid w:val="00A73995"/>
    <w:rsid w:val="00A739F4"/>
    <w:rsid w:val="00A73A17"/>
    <w:rsid w:val="00A73A8E"/>
    <w:rsid w:val="00A73AA6"/>
    <w:rsid w:val="00A73AA8"/>
    <w:rsid w:val="00A73ACA"/>
    <w:rsid w:val="00A73AE9"/>
    <w:rsid w:val="00A73BDD"/>
    <w:rsid w:val="00A73C75"/>
    <w:rsid w:val="00A73DD2"/>
    <w:rsid w:val="00A73DF6"/>
    <w:rsid w:val="00A73E18"/>
    <w:rsid w:val="00A73E47"/>
    <w:rsid w:val="00A73EDB"/>
    <w:rsid w:val="00A73FCF"/>
    <w:rsid w:val="00A74003"/>
    <w:rsid w:val="00A7408A"/>
    <w:rsid w:val="00A74105"/>
    <w:rsid w:val="00A7415A"/>
    <w:rsid w:val="00A742C9"/>
    <w:rsid w:val="00A742D6"/>
    <w:rsid w:val="00A74328"/>
    <w:rsid w:val="00A743B1"/>
    <w:rsid w:val="00A743FD"/>
    <w:rsid w:val="00A74424"/>
    <w:rsid w:val="00A74444"/>
    <w:rsid w:val="00A74469"/>
    <w:rsid w:val="00A74528"/>
    <w:rsid w:val="00A74555"/>
    <w:rsid w:val="00A745AC"/>
    <w:rsid w:val="00A745B7"/>
    <w:rsid w:val="00A745CE"/>
    <w:rsid w:val="00A7469D"/>
    <w:rsid w:val="00A746F6"/>
    <w:rsid w:val="00A74754"/>
    <w:rsid w:val="00A74855"/>
    <w:rsid w:val="00A74890"/>
    <w:rsid w:val="00A749E1"/>
    <w:rsid w:val="00A74A18"/>
    <w:rsid w:val="00A74A35"/>
    <w:rsid w:val="00A74A4F"/>
    <w:rsid w:val="00A74A8F"/>
    <w:rsid w:val="00A74A93"/>
    <w:rsid w:val="00A74AA9"/>
    <w:rsid w:val="00A74AF3"/>
    <w:rsid w:val="00A74BF7"/>
    <w:rsid w:val="00A74D49"/>
    <w:rsid w:val="00A74D65"/>
    <w:rsid w:val="00A74DFC"/>
    <w:rsid w:val="00A74E21"/>
    <w:rsid w:val="00A74ED3"/>
    <w:rsid w:val="00A74F16"/>
    <w:rsid w:val="00A74F1F"/>
    <w:rsid w:val="00A74F26"/>
    <w:rsid w:val="00A74F34"/>
    <w:rsid w:val="00A7500B"/>
    <w:rsid w:val="00A75044"/>
    <w:rsid w:val="00A750E9"/>
    <w:rsid w:val="00A7512D"/>
    <w:rsid w:val="00A75149"/>
    <w:rsid w:val="00A751C3"/>
    <w:rsid w:val="00A75252"/>
    <w:rsid w:val="00A752E7"/>
    <w:rsid w:val="00A75361"/>
    <w:rsid w:val="00A7536C"/>
    <w:rsid w:val="00A75374"/>
    <w:rsid w:val="00A753CD"/>
    <w:rsid w:val="00A75425"/>
    <w:rsid w:val="00A7544C"/>
    <w:rsid w:val="00A75452"/>
    <w:rsid w:val="00A75466"/>
    <w:rsid w:val="00A754AF"/>
    <w:rsid w:val="00A75545"/>
    <w:rsid w:val="00A75546"/>
    <w:rsid w:val="00A75597"/>
    <w:rsid w:val="00A75607"/>
    <w:rsid w:val="00A75609"/>
    <w:rsid w:val="00A75614"/>
    <w:rsid w:val="00A75619"/>
    <w:rsid w:val="00A7575F"/>
    <w:rsid w:val="00A757A2"/>
    <w:rsid w:val="00A757FF"/>
    <w:rsid w:val="00A7582F"/>
    <w:rsid w:val="00A75870"/>
    <w:rsid w:val="00A758F4"/>
    <w:rsid w:val="00A7592B"/>
    <w:rsid w:val="00A75957"/>
    <w:rsid w:val="00A759E5"/>
    <w:rsid w:val="00A75A1E"/>
    <w:rsid w:val="00A75A60"/>
    <w:rsid w:val="00A75A81"/>
    <w:rsid w:val="00A75A87"/>
    <w:rsid w:val="00A75B1A"/>
    <w:rsid w:val="00A75BA1"/>
    <w:rsid w:val="00A75C27"/>
    <w:rsid w:val="00A75C29"/>
    <w:rsid w:val="00A75CF1"/>
    <w:rsid w:val="00A75D12"/>
    <w:rsid w:val="00A75DE3"/>
    <w:rsid w:val="00A75E5E"/>
    <w:rsid w:val="00A75EAB"/>
    <w:rsid w:val="00A76131"/>
    <w:rsid w:val="00A761D9"/>
    <w:rsid w:val="00A7630D"/>
    <w:rsid w:val="00A76310"/>
    <w:rsid w:val="00A76344"/>
    <w:rsid w:val="00A7638A"/>
    <w:rsid w:val="00A76394"/>
    <w:rsid w:val="00A763D9"/>
    <w:rsid w:val="00A76408"/>
    <w:rsid w:val="00A764D3"/>
    <w:rsid w:val="00A764E9"/>
    <w:rsid w:val="00A7653C"/>
    <w:rsid w:val="00A765AA"/>
    <w:rsid w:val="00A76609"/>
    <w:rsid w:val="00A76636"/>
    <w:rsid w:val="00A7665F"/>
    <w:rsid w:val="00A76703"/>
    <w:rsid w:val="00A76719"/>
    <w:rsid w:val="00A7672B"/>
    <w:rsid w:val="00A7675E"/>
    <w:rsid w:val="00A76775"/>
    <w:rsid w:val="00A767CD"/>
    <w:rsid w:val="00A76820"/>
    <w:rsid w:val="00A7685E"/>
    <w:rsid w:val="00A76866"/>
    <w:rsid w:val="00A76A6F"/>
    <w:rsid w:val="00A76B03"/>
    <w:rsid w:val="00A76B2D"/>
    <w:rsid w:val="00A76BD0"/>
    <w:rsid w:val="00A76C83"/>
    <w:rsid w:val="00A76D16"/>
    <w:rsid w:val="00A76D46"/>
    <w:rsid w:val="00A76DBF"/>
    <w:rsid w:val="00A76DE2"/>
    <w:rsid w:val="00A76DF2"/>
    <w:rsid w:val="00A76E3A"/>
    <w:rsid w:val="00A76E6B"/>
    <w:rsid w:val="00A76EED"/>
    <w:rsid w:val="00A76F0C"/>
    <w:rsid w:val="00A77017"/>
    <w:rsid w:val="00A77038"/>
    <w:rsid w:val="00A770C7"/>
    <w:rsid w:val="00A770D3"/>
    <w:rsid w:val="00A770F9"/>
    <w:rsid w:val="00A771A0"/>
    <w:rsid w:val="00A77219"/>
    <w:rsid w:val="00A773BA"/>
    <w:rsid w:val="00A7742A"/>
    <w:rsid w:val="00A77433"/>
    <w:rsid w:val="00A774BC"/>
    <w:rsid w:val="00A774E4"/>
    <w:rsid w:val="00A7758E"/>
    <w:rsid w:val="00A77596"/>
    <w:rsid w:val="00A77597"/>
    <w:rsid w:val="00A776E9"/>
    <w:rsid w:val="00A776ED"/>
    <w:rsid w:val="00A77714"/>
    <w:rsid w:val="00A7771C"/>
    <w:rsid w:val="00A7778F"/>
    <w:rsid w:val="00A777AC"/>
    <w:rsid w:val="00A777FF"/>
    <w:rsid w:val="00A7783F"/>
    <w:rsid w:val="00A77846"/>
    <w:rsid w:val="00A77896"/>
    <w:rsid w:val="00A778E9"/>
    <w:rsid w:val="00A77927"/>
    <w:rsid w:val="00A77987"/>
    <w:rsid w:val="00A779BF"/>
    <w:rsid w:val="00A779DA"/>
    <w:rsid w:val="00A779E5"/>
    <w:rsid w:val="00A779EA"/>
    <w:rsid w:val="00A77A0B"/>
    <w:rsid w:val="00A77A86"/>
    <w:rsid w:val="00A77AB9"/>
    <w:rsid w:val="00A77AD7"/>
    <w:rsid w:val="00A77ADD"/>
    <w:rsid w:val="00A77BF6"/>
    <w:rsid w:val="00A77C96"/>
    <w:rsid w:val="00A77D22"/>
    <w:rsid w:val="00A77DA9"/>
    <w:rsid w:val="00A77DF0"/>
    <w:rsid w:val="00A77DF9"/>
    <w:rsid w:val="00A77E4D"/>
    <w:rsid w:val="00A77EF1"/>
    <w:rsid w:val="00A80036"/>
    <w:rsid w:val="00A800F1"/>
    <w:rsid w:val="00A801E0"/>
    <w:rsid w:val="00A80223"/>
    <w:rsid w:val="00A80263"/>
    <w:rsid w:val="00A80282"/>
    <w:rsid w:val="00A80331"/>
    <w:rsid w:val="00A803A7"/>
    <w:rsid w:val="00A803B7"/>
    <w:rsid w:val="00A80478"/>
    <w:rsid w:val="00A8051D"/>
    <w:rsid w:val="00A80538"/>
    <w:rsid w:val="00A805CB"/>
    <w:rsid w:val="00A805EF"/>
    <w:rsid w:val="00A806C8"/>
    <w:rsid w:val="00A806D0"/>
    <w:rsid w:val="00A80704"/>
    <w:rsid w:val="00A80736"/>
    <w:rsid w:val="00A807D8"/>
    <w:rsid w:val="00A80818"/>
    <w:rsid w:val="00A8085D"/>
    <w:rsid w:val="00A80904"/>
    <w:rsid w:val="00A809B5"/>
    <w:rsid w:val="00A80A2B"/>
    <w:rsid w:val="00A80A6E"/>
    <w:rsid w:val="00A80A79"/>
    <w:rsid w:val="00A80B4C"/>
    <w:rsid w:val="00A80BBF"/>
    <w:rsid w:val="00A80BF9"/>
    <w:rsid w:val="00A80CF7"/>
    <w:rsid w:val="00A80D05"/>
    <w:rsid w:val="00A80DDB"/>
    <w:rsid w:val="00A80E0B"/>
    <w:rsid w:val="00A80ED6"/>
    <w:rsid w:val="00A80F23"/>
    <w:rsid w:val="00A80FA3"/>
    <w:rsid w:val="00A80FFB"/>
    <w:rsid w:val="00A81002"/>
    <w:rsid w:val="00A81039"/>
    <w:rsid w:val="00A81073"/>
    <w:rsid w:val="00A8114B"/>
    <w:rsid w:val="00A81239"/>
    <w:rsid w:val="00A81265"/>
    <w:rsid w:val="00A812C1"/>
    <w:rsid w:val="00A812FB"/>
    <w:rsid w:val="00A81343"/>
    <w:rsid w:val="00A8135A"/>
    <w:rsid w:val="00A8136E"/>
    <w:rsid w:val="00A81391"/>
    <w:rsid w:val="00A813BF"/>
    <w:rsid w:val="00A81460"/>
    <w:rsid w:val="00A814C3"/>
    <w:rsid w:val="00A814C8"/>
    <w:rsid w:val="00A81532"/>
    <w:rsid w:val="00A815BD"/>
    <w:rsid w:val="00A81675"/>
    <w:rsid w:val="00A8169A"/>
    <w:rsid w:val="00A816C9"/>
    <w:rsid w:val="00A816D4"/>
    <w:rsid w:val="00A8170F"/>
    <w:rsid w:val="00A81826"/>
    <w:rsid w:val="00A818AA"/>
    <w:rsid w:val="00A818CD"/>
    <w:rsid w:val="00A81916"/>
    <w:rsid w:val="00A819CB"/>
    <w:rsid w:val="00A819D0"/>
    <w:rsid w:val="00A819D4"/>
    <w:rsid w:val="00A81A57"/>
    <w:rsid w:val="00A81A68"/>
    <w:rsid w:val="00A81D21"/>
    <w:rsid w:val="00A81D37"/>
    <w:rsid w:val="00A81DC3"/>
    <w:rsid w:val="00A81E03"/>
    <w:rsid w:val="00A81E1B"/>
    <w:rsid w:val="00A81E31"/>
    <w:rsid w:val="00A81E38"/>
    <w:rsid w:val="00A81E8A"/>
    <w:rsid w:val="00A81EBE"/>
    <w:rsid w:val="00A81F2A"/>
    <w:rsid w:val="00A81F45"/>
    <w:rsid w:val="00A81F4C"/>
    <w:rsid w:val="00A81F57"/>
    <w:rsid w:val="00A81FF0"/>
    <w:rsid w:val="00A820B9"/>
    <w:rsid w:val="00A82128"/>
    <w:rsid w:val="00A82195"/>
    <w:rsid w:val="00A821AC"/>
    <w:rsid w:val="00A821F3"/>
    <w:rsid w:val="00A8228C"/>
    <w:rsid w:val="00A822AD"/>
    <w:rsid w:val="00A822CF"/>
    <w:rsid w:val="00A823B5"/>
    <w:rsid w:val="00A823E7"/>
    <w:rsid w:val="00A823EB"/>
    <w:rsid w:val="00A82498"/>
    <w:rsid w:val="00A824A0"/>
    <w:rsid w:val="00A82531"/>
    <w:rsid w:val="00A8259C"/>
    <w:rsid w:val="00A8264A"/>
    <w:rsid w:val="00A8274D"/>
    <w:rsid w:val="00A827A4"/>
    <w:rsid w:val="00A827F1"/>
    <w:rsid w:val="00A8287E"/>
    <w:rsid w:val="00A828AE"/>
    <w:rsid w:val="00A82921"/>
    <w:rsid w:val="00A82985"/>
    <w:rsid w:val="00A829A9"/>
    <w:rsid w:val="00A82A2B"/>
    <w:rsid w:val="00A82A82"/>
    <w:rsid w:val="00A82AC4"/>
    <w:rsid w:val="00A82BFA"/>
    <w:rsid w:val="00A82C94"/>
    <w:rsid w:val="00A82CB0"/>
    <w:rsid w:val="00A82CF3"/>
    <w:rsid w:val="00A82DC8"/>
    <w:rsid w:val="00A82E11"/>
    <w:rsid w:val="00A82E74"/>
    <w:rsid w:val="00A82F19"/>
    <w:rsid w:val="00A83003"/>
    <w:rsid w:val="00A83081"/>
    <w:rsid w:val="00A830D6"/>
    <w:rsid w:val="00A830E0"/>
    <w:rsid w:val="00A8315E"/>
    <w:rsid w:val="00A8318F"/>
    <w:rsid w:val="00A831CF"/>
    <w:rsid w:val="00A831F3"/>
    <w:rsid w:val="00A83301"/>
    <w:rsid w:val="00A83303"/>
    <w:rsid w:val="00A83328"/>
    <w:rsid w:val="00A833FF"/>
    <w:rsid w:val="00A83422"/>
    <w:rsid w:val="00A8342E"/>
    <w:rsid w:val="00A83578"/>
    <w:rsid w:val="00A83619"/>
    <w:rsid w:val="00A8364A"/>
    <w:rsid w:val="00A83652"/>
    <w:rsid w:val="00A836B4"/>
    <w:rsid w:val="00A837A0"/>
    <w:rsid w:val="00A837B0"/>
    <w:rsid w:val="00A8383A"/>
    <w:rsid w:val="00A8387D"/>
    <w:rsid w:val="00A83882"/>
    <w:rsid w:val="00A83883"/>
    <w:rsid w:val="00A83889"/>
    <w:rsid w:val="00A838B2"/>
    <w:rsid w:val="00A838DF"/>
    <w:rsid w:val="00A83908"/>
    <w:rsid w:val="00A83910"/>
    <w:rsid w:val="00A8398A"/>
    <w:rsid w:val="00A839EF"/>
    <w:rsid w:val="00A83A75"/>
    <w:rsid w:val="00A83AC8"/>
    <w:rsid w:val="00A83AD5"/>
    <w:rsid w:val="00A83B2F"/>
    <w:rsid w:val="00A83B5F"/>
    <w:rsid w:val="00A83BBF"/>
    <w:rsid w:val="00A83BEE"/>
    <w:rsid w:val="00A83D1C"/>
    <w:rsid w:val="00A83DF2"/>
    <w:rsid w:val="00A83E8E"/>
    <w:rsid w:val="00A83EC4"/>
    <w:rsid w:val="00A83EC9"/>
    <w:rsid w:val="00A83F1D"/>
    <w:rsid w:val="00A84058"/>
    <w:rsid w:val="00A8408C"/>
    <w:rsid w:val="00A8409D"/>
    <w:rsid w:val="00A840D3"/>
    <w:rsid w:val="00A840D8"/>
    <w:rsid w:val="00A84143"/>
    <w:rsid w:val="00A84178"/>
    <w:rsid w:val="00A842E8"/>
    <w:rsid w:val="00A8438F"/>
    <w:rsid w:val="00A843A5"/>
    <w:rsid w:val="00A843BE"/>
    <w:rsid w:val="00A84481"/>
    <w:rsid w:val="00A844DD"/>
    <w:rsid w:val="00A84574"/>
    <w:rsid w:val="00A845C2"/>
    <w:rsid w:val="00A845D1"/>
    <w:rsid w:val="00A8469C"/>
    <w:rsid w:val="00A846B0"/>
    <w:rsid w:val="00A848BB"/>
    <w:rsid w:val="00A8496C"/>
    <w:rsid w:val="00A84A46"/>
    <w:rsid w:val="00A84A61"/>
    <w:rsid w:val="00A84AEA"/>
    <w:rsid w:val="00A84B05"/>
    <w:rsid w:val="00A84BA4"/>
    <w:rsid w:val="00A84C0C"/>
    <w:rsid w:val="00A84C82"/>
    <w:rsid w:val="00A84C90"/>
    <w:rsid w:val="00A84CA9"/>
    <w:rsid w:val="00A84CDF"/>
    <w:rsid w:val="00A84DE9"/>
    <w:rsid w:val="00A84E2E"/>
    <w:rsid w:val="00A84E99"/>
    <w:rsid w:val="00A84EE1"/>
    <w:rsid w:val="00A84EFD"/>
    <w:rsid w:val="00A84F16"/>
    <w:rsid w:val="00A84F65"/>
    <w:rsid w:val="00A84F6B"/>
    <w:rsid w:val="00A84FB3"/>
    <w:rsid w:val="00A8501F"/>
    <w:rsid w:val="00A850A1"/>
    <w:rsid w:val="00A850B0"/>
    <w:rsid w:val="00A850B1"/>
    <w:rsid w:val="00A850B3"/>
    <w:rsid w:val="00A850B7"/>
    <w:rsid w:val="00A85102"/>
    <w:rsid w:val="00A851B2"/>
    <w:rsid w:val="00A85202"/>
    <w:rsid w:val="00A85210"/>
    <w:rsid w:val="00A85256"/>
    <w:rsid w:val="00A852AC"/>
    <w:rsid w:val="00A852E0"/>
    <w:rsid w:val="00A85408"/>
    <w:rsid w:val="00A8544D"/>
    <w:rsid w:val="00A8545F"/>
    <w:rsid w:val="00A85468"/>
    <w:rsid w:val="00A8549B"/>
    <w:rsid w:val="00A854C4"/>
    <w:rsid w:val="00A8550D"/>
    <w:rsid w:val="00A85582"/>
    <w:rsid w:val="00A8569D"/>
    <w:rsid w:val="00A85709"/>
    <w:rsid w:val="00A85751"/>
    <w:rsid w:val="00A85780"/>
    <w:rsid w:val="00A857D9"/>
    <w:rsid w:val="00A85855"/>
    <w:rsid w:val="00A858DC"/>
    <w:rsid w:val="00A858E3"/>
    <w:rsid w:val="00A85970"/>
    <w:rsid w:val="00A8598D"/>
    <w:rsid w:val="00A859A6"/>
    <w:rsid w:val="00A859AB"/>
    <w:rsid w:val="00A85A28"/>
    <w:rsid w:val="00A85AB1"/>
    <w:rsid w:val="00A85AC2"/>
    <w:rsid w:val="00A85AF5"/>
    <w:rsid w:val="00A85BC8"/>
    <w:rsid w:val="00A85BE4"/>
    <w:rsid w:val="00A85C0E"/>
    <w:rsid w:val="00A85C82"/>
    <w:rsid w:val="00A85D7F"/>
    <w:rsid w:val="00A85DBD"/>
    <w:rsid w:val="00A85E3B"/>
    <w:rsid w:val="00A85F27"/>
    <w:rsid w:val="00A85F85"/>
    <w:rsid w:val="00A85FDC"/>
    <w:rsid w:val="00A86012"/>
    <w:rsid w:val="00A860D4"/>
    <w:rsid w:val="00A860DD"/>
    <w:rsid w:val="00A860EF"/>
    <w:rsid w:val="00A86328"/>
    <w:rsid w:val="00A86371"/>
    <w:rsid w:val="00A863CD"/>
    <w:rsid w:val="00A86440"/>
    <w:rsid w:val="00A864A4"/>
    <w:rsid w:val="00A86506"/>
    <w:rsid w:val="00A86539"/>
    <w:rsid w:val="00A8666F"/>
    <w:rsid w:val="00A86678"/>
    <w:rsid w:val="00A86767"/>
    <w:rsid w:val="00A867E7"/>
    <w:rsid w:val="00A86815"/>
    <w:rsid w:val="00A86831"/>
    <w:rsid w:val="00A868D7"/>
    <w:rsid w:val="00A868DE"/>
    <w:rsid w:val="00A868F6"/>
    <w:rsid w:val="00A8697C"/>
    <w:rsid w:val="00A86984"/>
    <w:rsid w:val="00A8699F"/>
    <w:rsid w:val="00A86A39"/>
    <w:rsid w:val="00A86A57"/>
    <w:rsid w:val="00A86A8F"/>
    <w:rsid w:val="00A86A92"/>
    <w:rsid w:val="00A86AB9"/>
    <w:rsid w:val="00A86ABB"/>
    <w:rsid w:val="00A86AC4"/>
    <w:rsid w:val="00A86AF3"/>
    <w:rsid w:val="00A86B51"/>
    <w:rsid w:val="00A86B75"/>
    <w:rsid w:val="00A86BB5"/>
    <w:rsid w:val="00A86BEA"/>
    <w:rsid w:val="00A86BF0"/>
    <w:rsid w:val="00A86C6E"/>
    <w:rsid w:val="00A86DE5"/>
    <w:rsid w:val="00A86DE9"/>
    <w:rsid w:val="00A86E07"/>
    <w:rsid w:val="00A86E1E"/>
    <w:rsid w:val="00A86E33"/>
    <w:rsid w:val="00A86EA3"/>
    <w:rsid w:val="00A86F23"/>
    <w:rsid w:val="00A86F2A"/>
    <w:rsid w:val="00A87051"/>
    <w:rsid w:val="00A87096"/>
    <w:rsid w:val="00A87103"/>
    <w:rsid w:val="00A87132"/>
    <w:rsid w:val="00A871DC"/>
    <w:rsid w:val="00A87201"/>
    <w:rsid w:val="00A87211"/>
    <w:rsid w:val="00A87235"/>
    <w:rsid w:val="00A87239"/>
    <w:rsid w:val="00A87325"/>
    <w:rsid w:val="00A8732E"/>
    <w:rsid w:val="00A8734A"/>
    <w:rsid w:val="00A8735D"/>
    <w:rsid w:val="00A87424"/>
    <w:rsid w:val="00A87427"/>
    <w:rsid w:val="00A8743B"/>
    <w:rsid w:val="00A8744B"/>
    <w:rsid w:val="00A87497"/>
    <w:rsid w:val="00A87594"/>
    <w:rsid w:val="00A875E2"/>
    <w:rsid w:val="00A87600"/>
    <w:rsid w:val="00A8778B"/>
    <w:rsid w:val="00A8779E"/>
    <w:rsid w:val="00A877C3"/>
    <w:rsid w:val="00A877D1"/>
    <w:rsid w:val="00A87817"/>
    <w:rsid w:val="00A87848"/>
    <w:rsid w:val="00A878BB"/>
    <w:rsid w:val="00A878F8"/>
    <w:rsid w:val="00A87922"/>
    <w:rsid w:val="00A8794B"/>
    <w:rsid w:val="00A8795F"/>
    <w:rsid w:val="00A879CE"/>
    <w:rsid w:val="00A87A15"/>
    <w:rsid w:val="00A87A1D"/>
    <w:rsid w:val="00A87A71"/>
    <w:rsid w:val="00A87A91"/>
    <w:rsid w:val="00A87AA7"/>
    <w:rsid w:val="00A87B70"/>
    <w:rsid w:val="00A87C12"/>
    <w:rsid w:val="00A87CE9"/>
    <w:rsid w:val="00A87D01"/>
    <w:rsid w:val="00A87D16"/>
    <w:rsid w:val="00A87D66"/>
    <w:rsid w:val="00A87D91"/>
    <w:rsid w:val="00A87E18"/>
    <w:rsid w:val="00A87ED9"/>
    <w:rsid w:val="00A87EE5"/>
    <w:rsid w:val="00A87F61"/>
    <w:rsid w:val="00A87FE3"/>
    <w:rsid w:val="00A90042"/>
    <w:rsid w:val="00A90057"/>
    <w:rsid w:val="00A90098"/>
    <w:rsid w:val="00A9013E"/>
    <w:rsid w:val="00A9013F"/>
    <w:rsid w:val="00A9027E"/>
    <w:rsid w:val="00A90312"/>
    <w:rsid w:val="00A90313"/>
    <w:rsid w:val="00A90378"/>
    <w:rsid w:val="00A9041F"/>
    <w:rsid w:val="00A90483"/>
    <w:rsid w:val="00A904B1"/>
    <w:rsid w:val="00A904EA"/>
    <w:rsid w:val="00A90526"/>
    <w:rsid w:val="00A905F3"/>
    <w:rsid w:val="00A90702"/>
    <w:rsid w:val="00A90704"/>
    <w:rsid w:val="00A90793"/>
    <w:rsid w:val="00A9079F"/>
    <w:rsid w:val="00A90853"/>
    <w:rsid w:val="00A90865"/>
    <w:rsid w:val="00A9088C"/>
    <w:rsid w:val="00A90958"/>
    <w:rsid w:val="00A9096A"/>
    <w:rsid w:val="00A90A5B"/>
    <w:rsid w:val="00A90ACB"/>
    <w:rsid w:val="00A90AED"/>
    <w:rsid w:val="00A90AFF"/>
    <w:rsid w:val="00A90B10"/>
    <w:rsid w:val="00A90B2B"/>
    <w:rsid w:val="00A90C49"/>
    <w:rsid w:val="00A90C4C"/>
    <w:rsid w:val="00A90C8C"/>
    <w:rsid w:val="00A90CCF"/>
    <w:rsid w:val="00A90D14"/>
    <w:rsid w:val="00A90DDC"/>
    <w:rsid w:val="00A90E3B"/>
    <w:rsid w:val="00A90F42"/>
    <w:rsid w:val="00A90FBB"/>
    <w:rsid w:val="00A90FFD"/>
    <w:rsid w:val="00A91009"/>
    <w:rsid w:val="00A91025"/>
    <w:rsid w:val="00A91033"/>
    <w:rsid w:val="00A911F8"/>
    <w:rsid w:val="00A913C5"/>
    <w:rsid w:val="00A913F8"/>
    <w:rsid w:val="00A91445"/>
    <w:rsid w:val="00A91498"/>
    <w:rsid w:val="00A915E9"/>
    <w:rsid w:val="00A915F8"/>
    <w:rsid w:val="00A91607"/>
    <w:rsid w:val="00A9161E"/>
    <w:rsid w:val="00A91635"/>
    <w:rsid w:val="00A91662"/>
    <w:rsid w:val="00A916F5"/>
    <w:rsid w:val="00A9173E"/>
    <w:rsid w:val="00A91748"/>
    <w:rsid w:val="00A91792"/>
    <w:rsid w:val="00A91866"/>
    <w:rsid w:val="00A9186A"/>
    <w:rsid w:val="00A918B1"/>
    <w:rsid w:val="00A918EB"/>
    <w:rsid w:val="00A9192A"/>
    <w:rsid w:val="00A91953"/>
    <w:rsid w:val="00A91975"/>
    <w:rsid w:val="00A919B5"/>
    <w:rsid w:val="00A919EC"/>
    <w:rsid w:val="00A919FE"/>
    <w:rsid w:val="00A91B6A"/>
    <w:rsid w:val="00A91C6E"/>
    <w:rsid w:val="00A91D6E"/>
    <w:rsid w:val="00A91DC6"/>
    <w:rsid w:val="00A91E1E"/>
    <w:rsid w:val="00A91E40"/>
    <w:rsid w:val="00A91E5D"/>
    <w:rsid w:val="00A91E76"/>
    <w:rsid w:val="00A91EB2"/>
    <w:rsid w:val="00A91EE9"/>
    <w:rsid w:val="00A91F02"/>
    <w:rsid w:val="00A91F08"/>
    <w:rsid w:val="00A91F30"/>
    <w:rsid w:val="00A91FBF"/>
    <w:rsid w:val="00A92025"/>
    <w:rsid w:val="00A92092"/>
    <w:rsid w:val="00A920E7"/>
    <w:rsid w:val="00A921B4"/>
    <w:rsid w:val="00A921C4"/>
    <w:rsid w:val="00A921F1"/>
    <w:rsid w:val="00A92268"/>
    <w:rsid w:val="00A92299"/>
    <w:rsid w:val="00A92371"/>
    <w:rsid w:val="00A92372"/>
    <w:rsid w:val="00A92382"/>
    <w:rsid w:val="00A923C7"/>
    <w:rsid w:val="00A92421"/>
    <w:rsid w:val="00A9245E"/>
    <w:rsid w:val="00A924A5"/>
    <w:rsid w:val="00A9252C"/>
    <w:rsid w:val="00A9253D"/>
    <w:rsid w:val="00A92548"/>
    <w:rsid w:val="00A925F1"/>
    <w:rsid w:val="00A92644"/>
    <w:rsid w:val="00A92646"/>
    <w:rsid w:val="00A926AA"/>
    <w:rsid w:val="00A92861"/>
    <w:rsid w:val="00A92900"/>
    <w:rsid w:val="00A9296A"/>
    <w:rsid w:val="00A929C3"/>
    <w:rsid w:val="00A929D3"/>
    <w:rsid w:val="00A92A14"/>
    <w:rsid w:val="00A92A46"/>
    <w:rsid w:val="00A92A63"/>
    <w:rsid w:val="00A92AEB"/>
    <w:rsid w:val="00A92B2A"/>
    <w:rsid w:val="00A92C03"/>
    <w:rsid w:val="00A92CFE"/>
    <w:rsid w:val="00A92D42"/>
    <w:rsid w:val="00A92D49"/>
    <w:rsid w:val="00A92DB0"/>
    <w:rsid w:val="00A92E6C"/>
    <w:rsid w:val="00A92EFE"/>
    <w:rsid w:val="00A92F66"/>
    <w:rsid w:val="00A92FAF"/>
    <w:rsid w:val="00A92FF9"/>
    <w:rsid w:val="00A930DF"/>
    <w:rsid w:val="00A93114"/>
    <w:rsid w:val="00A9334C"/>
    <w:rsid w:val="00A93404"/>
    <w:rsid w:val="00A9343D"/>
    <w:rsid w:val="00A934C2"/>
    <w:rsid w:val="00A934E5"/>
    <w:rsid w:val="00A934F6"/>
    <w:rsid w:val="00A93547"/>
    <w:rsid w:val="00A9358D"/>
    <w:rsid w:val="00A935EA"/>
    <w:rsid w:val="00A935F2"/>
    <w:rsid w:val="00A935F3"/>
    <w:rsid w:val="00A93639"/>
    <w:rsid w:val="00A9371D"/>
    <w:rsid w:val="00A93786"/>
    <w:rsid w:val="00A937CC"/>
    <w:rsid w:val="00A93959"/>
    <w:rsid w:val="00A93987"/>
    <w:rsid w:val="00A9399A"/>
    <w:rsid w:val="00A939EA"/>
    <w:rsid w:val="00A93A84"/>
    <w:rsid w:val="00A93B2E"/>
    <w:rsid w:val="00A93C20"/>
    <w:rsid w:val="00A93C84"/>
    <w:rsid w:val="00A93CC3"/>
    <w:rsid w:val="00A93DF2"/>
    <w:rsid w:val="00A93DF4"/>
    <w:rsid w:val="00A93E49"/>
    <w:rsid w:val="00A93E9B"/>
    <w:rsid w:val="00A93FDF"/>
    <w:rsid w:val="00A940B8"/>
    <w:rsid w:val="00A940FA"/>
    <w:rsid w:val="00A9411C"/>
    <w:rsid w:val="00A94169"/>
    <w:rsid w:val="00A94192"/>
    <w:rsid w:val="00A941E7"/>
    <w:rsid w:val="00A94212"/>
    <w:rsid w:val="00A94263"/>
    <w:rsid w:val="00A94320"/>
    <w:rsid w:val="00A943D2"/>
    <w:rsid w:val="00A9441A"/>
    <w:rsid w:val="00A94477"/>
    <w:rsid w:val="00A9448F"/>
    <w:rsid w:val="00A944B5"/>
    <w:rsid w:val="00A94557"/>
    <w:rsid w:val="00A94560"/>
    <w:rsid w:val="00A94593"/>
    <w:rsid w:val="00A9476B"/>
    <w:rsid w:val="00A94798"/>
    <w:rsid w:val="00A947AC"/>
    <w:rsid w:val="00A947DE"/>
    <w:rsid w:val="00A947E2"/>
    <w:rsid w:val="00A948C1"/>
    <w:rsid w:val="00A948F8"/>
    <w:rsid w:val="00A949E2"/>
    <w:rsid w:val="00A94A5F"/>
    <w:rsid w:val="00A94A77"/>
    <w:rsid w:val="00A94AE7"/>
    <w:rsid w:val="00A94BD7"/>
    <w:rsid w:val="00A94BD9"/>
    <w:rsid w:val="00A94CBF"/>
    <w:rsid w:val="00A94CCF"/>
    <w:rsid w:val="00A94D20"/>
    <w:rsid w:val="00A94D50"/>
    <w:rsid w:val="00A94DD9"/>
    <w:rsid w:val="00A94DDE"/>
    <w:rsid w:val="00A94F47"/>
    <w:rsid w:val="00A94F73"/>
    <w:rsid w:val="00A94F7A"/>
    <w:rsid w:val="00A94FF8"/>
    <w:rsid w:val="00A95018"/>
    <w:rsid w:val="00A95048"/>
    <w:rsid w:val="00A950FA"/>
    <w:rsid w:val="00A95112"/>
    <w:rsid w:val="00A95114"/>
    <w:rsid w:val="00A95135"/>
    <w:rsid w:val="00A9513F"/>
    <w:rsid w:val="00A9519B"/>
    <w:rsid w:val="00A951CD"/>
    <w:rsid w:val="00A95310"/>
    <w:rsid w:val="00A9531A"/>
    <w:rsid w:val="00A953B9"/>
    <w:rsid w:val="00A953DD"/>
    <w:rsid w:val="00A95424"/>
    <w:rsid w:val="00A95488"/>
    <w:rsid w:val="00A95562"/>
    <w:rsid w:val="00A95566"/>
    <w:rsid w:val="00A95571"/>
    <w:rsid w:val="00A9557F"/>
    <w:rsid w:val="00A955DA"/>
    <w:rsid w:val="00A9568C"/>
    <w:rsid w:val="00A9569C"/>
    <w:rsid w:val="00A957EA"/>
    <w:rsid w:val="00A958D3"/>
    <w:rsid w:val="00A95907"/>
    <w:rsid w:val="00A9594B"/>
    <w:rsid w:val="00A9595C"/>
    <w:rsid w:val="00A959BA"/>
    <w:rsid w:val="00A959EE"/>
    <w:rsid w:val="00A959FC"/>
    <w:rsid w:val="00A95A80"/>
    <w:rsid w:val="00A95B85"/>
    <w:rsid w:val="00A95B8D"/>
    <w:rsid w:val="00A95C07"/>
    <w:rsid w:val="00A95C0D"/>
    <w:rsid w:val="00A95CD7"/>
    <w:rsid w:val="00A95CEB"/>
    <w:rsid w:val="00A95E4F"/>
    <w:rsid w:val="00A95EB1"/>
    <w:rsid w:val="00A95EDE"/>
    <w:rsid w:val="00A95F03"/>
    <w:rsid w:val="00A95FBC"/>
    <w:rsid w:val="00A9606E"/>
    <w:rsid w:val="00A96115"/>
    <w:rsid w:val="00A96157"/>
    <w:rsid w:val="00A961E4"/>
    <w:rsid w:val="00A961F6"/>
    <w:rsid w:val="00A96260"/>
    <w:rsid w:val="00A9628C"/>
    <w:rsid w:val="00A962AD"/>
    <w:rsid w:val="00A962DD"/>
    <w:rsid w:val="00A96306"/>
    <w:rsid w:val="00A9630B"/>
    <w:rsid w:val="00A96320"/>
    <w:rsid w:val="00A963BF"/>
    <w:rsid w:val="00A964AA"/>
    <w:rsid w:val="00A964D8"/>
    <w:rsid w:val="00A96560"/>
    <w:rsid w:val="00A96566"/>
    <w:rsid w:val="00A9685E"/>
    <w:rsid w:val="00A968B1"/>
    <w:rsid w:val="00A968EC"/>
    <w:rsid w:val="00A96912"/>
    <w:rsid w:val="00A9691F"/>
    <w:rsid w:val="00A96958"/>
    <w:rsid w:val="00A96977"/>
    <w:rsid w:val="00A969B3"/>
    <w:rsid w:val="00A96A18"/>
    <w:rsid w:val="00A96A1D"/>
    <w:rsid w:val="00A96A2E"/>
    <w:rsid w:val="00A96A64"/>
    <w:rsid w:val="00A96A65"/>
    <w:rsid w:val="00A96B31"/>
    <w:rsid w:val="00A96BD7"/>
    <w:rsid w:val="00A96C0D"/>
    <w:rsid w:val="00A96C28"/>
    <w:rsid w:val="00A96C37"/>
    <w:rsid w:val="00A96C9F"/>
    <w:rsid w:val="00A96D27"/>
    <w:rsid w:val="00A96D8C"/>
    <w:rsid w:val="00A96DC6"/>
    <w:rsid w:val="00A96E0C"/>
    <w:rsid w:val="00A96E42"/>
    <w:rsid w:val="00A96E8A"/>
    <w:rsid w:val="00A96EDC"/>
    <w:rsid w:val="00A96F18"/>
    <w:rsid w:val="00A96F7C"/>
    <w:rsid w:val="00A96FA1"/>
    <w:rsid w:val="00A970B6"/>
    <w:rsid w:val="00A970CA"/>
    <w:rsid w:val="00A97134"/>
    <w:rsid w:val="00A97180"/>
    <w:rsid w:val="00A9737E"/>
    <w:rsid w:val="00A97395"/>
    <w:rsid w:val="00A973BB"/>
    <w:rsid w:val="00A97563"/>
    <w:rsid w:val="00A975A4"/>
    <w:rsid w:val="00A975C0"/>
    <w:rsid w:val="00A975D5"/>
    <w:rsid w:val="00A9761A"/>
    <w:rsid w:val="00A97625"/>
    <w:rsid w:val="00A9765C"/>
    <w:rsid w:val="00A97676"/>
    <w:rsid w:val="00A976DF"/>
    <w:rsid w:val="00A977B3"/>
    <w:rsid w:val="00A9783D"/>
    <w:rsid w:val="00A978E5"/>
    <w:rsid w:val="00A9791B"/>
    <w:rsid w:val="00A97931"/>
    <w:rsid w:val="00A9794B"/>
    <w:rsid w:val="00A97A0A"/>
    <w:rsid w:val="00A97A92"/>
    <w:rsid w:val="00A97B15"/>
    <w:rsid w:val="00A97B32"/>
    <w:rsid w:val="00A97BE9"/>
    <w:rsid w:val="00A97C1C"/>
    <w:rsid w:val="00A97C5C"/>
    <w:rsid w:val="00A97D17"/>
    <w:rsid w:val="00A97E10"/>
    <w:rsid w:val="00A97E9D"/>
    <w:rsid w:val="00A97F0D"/>
    <w:rsid w:val="00A97F22"/>
    <w:rsid w:val="00A97FF4"/>
    <w:rsid w:val="00AA008B"/>
    <w:rsid w:val="00AA00BB"/>
    <w:rsid w:val="00AA00D0"/>
    <w:rsid w:val="00AA01B9"/>
    <w:rsid w:val="00AA0206"/>
    <w:rsid w:val="00AA022A"/>
    <w:rsid w:val="00AA022B"/>
    <w:rsid w:val="00AA023B"/>
    <w:rsid w:val="00AA03F7"/>
    <w:rsid w:val="00AA04AE"/>
    <w:rsid w:val="00AA0515"/>
    <w:rsid w:val="00AA0537"/>
    <w:rsid w:val="00AA05AC"/>
    <w:rsid w:val="00AA061F"/>
    <w:rsid w:val="00AA0623"/>
    <w:rsid w:val="00AA06C4"/>
    <w:rsid w:val="00AA0782"/>
    <w:rsid w:val="00AA07CD"/>
    <w:rsid w:val="00AA081C"/>
    <w:rsid w:val="00AA0849"/>
    <w:rsid w:val="00AA0983"/>
    <w:rsid w:val="00AA098D"/>
    <w:rsid w:val="00AA09D6"/>
    <w:rsid w:val="00AA0A01"/>
    <w:rsid w:val="00AA0A82"/>
    <w:rsid w:val="00AA0B35"/>
    <w:rsid w:val="00AA0B53"/>
    <w:rsid w:val="00AA0B61"/>
    <w:rsid w:val="00AA0B7E"/>
    <w:rsid w:val="00AA0B97"/>
    <w:rsid w:val="00AA0D6C"/>
    <w:rsid w:val="00AA0E9B"/>
    <w:rsid w:val="00AA0F07"/>
    <w:rsid w:val="00AA0F36"/>
    <w:rsid w:val="00AA10BA"/>
    <w:rsid w:val="00AA112C"/>
    <w:rsid w:val="00AA114C"/>
    <w:rsid w:val="00AA1167"/>
    <w:rsid w:val="00AA116C"/>
    <w:rsid w:val="00AA1192"/>
    <w:rsid w:val="00AA11DF"/>
    <w:rsid w:val="00AA1220"/>
    <w:rsid w:val="00AA1240"/>
    <w:rsid w:val="00AA124B"/>
    <w:rsid w:val="00AA12A3"/>
    <w:rsid w:val="00AA1302"/>
    <w:rsid w:val="00AA1364"/>
    <w:rsid w:val="00AA13AD"/>
    <w:rsid w:val="00AA144F"/>
    <w:rsid w:val="00AA1531"/>
    <w:rsid w:val="00AA1549"/>
    <w:rsid w:val="00AA154B"/>
    <w:rsid w:val="00AA1577"/>
    <w:rsid w:val="00AA15DA"/>
    <w:rsid w:val="00AA1606"/>
    <w:rsid w:val="00AA1659"/>
    <w:rsid w:val="00AA1692"/>
    <w:rsid w:val="00AA169E"/>
    <w:rsid w:val="00AA16F6"/>
    <w:rsid w:val="00AA1714"/>
    <w:rsid w:val="00AA172B"/>
    <w:rsid w:val="00AA178F"/>
    <w:rsid w:val="00AA1864"/>
    <w:rsid w:val="00AA1994"/>
    <w:rsid w:val="00AA1A02"/>
    <w:rsid w:val="00AA1A4A"/>
    <w:rsid w:val="00AA1AC6"/>
    <w:rsid w:val="00AA1AD7"/>
    <w:rsid w:val="00AA1CA4"/>
    <w:rsid w:val="00AA1CD2"/>
    <w:rsid w:val="00AA1D30"/>
    <w:rsid w:val="00AA1DD8"/>
    <w:rsid w:val="00AA1DF5"/>
    <w:rsid w:val="00AA1DF8"/>
    <w:rsid w:val="00AA1E16"/>
    <w:rsid w:val="00AA1EA7"/>
    <w:rsid w:val="00AA1EED"/>
    <w:rsid w:val="00AA1F45"/>
    <w:rsid w:val="00AA1FAA"/>
    <w:rsid w:val="00AA1FD1"/>
    <w:rsid w:val="00AA201B"/>
    <w:rsid w:val="00AA203C"/>
    <w:rsid w:val="00AA20D6"/>
    <w:rsid w:val="00AA2131"/>
    <w:rsid w:val="00AA2185"/>
    <w:rsid w:val="00AA22A0"/>
    <w:rsid w:val="00AA22E9"/>
    <w:rsid w:val="00AA231D"/>
    <w:rsid w:val="00AA2375"/>
    <w:rsid w:val="00AA2386"/>
    <w:rsid w:val="00AA23E6"/>
    <w:rsid w:val="00AA241B"/>
    <w:rsid w:val="00AA2465"/>
    <w:rsid w:val="00AA24B1"/>
    <w:rsid w:val="00AA24F8"/>
    <w:rsid w:val="00AA25ED"/>
    <w:rsid w:val="00AA2684"/>
    <w:rsid w:val="00AA26D9"/>
    <w:rsid w:val="00AA27A8"/>
    <w:rsid w:val="00AA27D3"/>
    <w:rsid w:val="00AA27D5"/>
    <w:rsid w:val="00AA28A2"/>
    <w:rsid w:val="00AA29C9"/>
    <w:rsid w:val="00AA2A4B"/>
    <w:rsid w:val="00AA2AF4"/>
    <w:rsid w:val="00AA2B12"/>
    <w:rsid w:val="00AA2B56"/>
    <w:rsid w:val="00AA2BF9"/>
    <w:rsid w:val="00AA2BFA"/>
    <w:rsid w:val="00AA2BFF"/>
    <w:rsid w:val="00AA2C11"/>
    <w:rsid w:val="00AA2C30"/>
    <w:rsid w:val="00AA2DD8"/>
    <w:rsid w:val="00AA2EEB"/>
    <w:rsid w:val="00AA2F50"/>
    <w:rsid w:val="00AA2F53"/>
    <w:rsid w:val="00AA2F6F"/>
    <w:rsid w:val="00AA2F93"/>
    <w:rsid w:val="00AA2FF2"/>
    <w:rsid w:val="00AA3047"/>
    <w:rsid w:val="00AA30BF"/>
    <w:rsid w:val="00AA30DF"/>
    <w:rsid w:val="00AA323A"/>
    <w:rsid w:val="00AA3263"/>
    <w:rsid w:val="00AA326D"/>
    <w:rsid w:val="00AA32B9"/>
    <w:rsid w:val="00AA32D2"/>
    <w:rsid w:val="00AA33E8"/>
    <w:rsid w:val="00AA34B7"/>
    <w:rsid w:val="00AA34D1"/>
    <w:rsid w:val="00AA35A2"/>
    <w:rsid w:val="00AA35CA"/>
    <w:rsid w:val="00AA35E7"/>
    <w:rsid w:val="00AA35F5"/>
    <w:rsid w:val="00AA3634"/>
    <w:rsid w:val="00AA36F3"/>
    <w:rsid w:val="00AA371B"/>
    <w:rsid w:val="00AA3728"/>
    <w:rsid w:val="00AA3751"/>
    <w:rsid w:val="00AA37F2"/>
    <w:rsid w:val="00AA382C"/>
    <w:rsid w:val="00AA382E"/>
    <w:rsid w:val="00AA383F"/>
    <w:rsid w:val="00AA384D"/>
    <w:rsid w:val="00AA386C"/>
    <w:rsid w:val="00AA38BE"/>
    <w:rsid w:val="00AA3955"/>
    <w:rsid w:val="00AA3A8B"/>
    <w:rsid w:val="00AA3B21"/>
    <w:rsid w:val="00AA3C00"/>
    <w:rsid w:val="00AA3C1C"/>
    <w:rsid w:val="00AA3C1E"/>
    <w:rsid w:val="00AA3C36"/>
    <w:rsid w:val="00AA3CDC"/>
    <w:rsid w:val="00AA3D53"/>
    <w:rsid w:val="00AA3D78"/>
    <w:rsid w:val="00AA3D87"/>
    <w:rsid w:val="00AA3D94"/>
    <w:rsid w:val="00AA3D97"/>
    <w:rsid w:val="00AA3DE2"/>
    <w:rsid w:val="00AA3E0E"/>
    <w:rsid w:val="00AA3E5C"/>
    <w:rsid w:val="00AA3EB4"/>
    <w:rsid w:val="00AA3EBF"/>
    <w:rsid w:val="00AA3EC1"/>
    <w:rsid w:val="00AA3EE8"/>
    <w:rsid w:val="00AA3F18"/>
    <w:rsid w:val="00AA3F21"/>
    <w:rsid w:val="00AA3F43"/>
    <w:rsid w:val="00AA3F8D"/>
    <w:rsid w:val="00AA4052"/>
    <w:rsid w:val="00AA4134"/>
    <w:rsid w:val="00AA41DF"/>
    <w:rsid w:val="00AA4230"/>
    <w:rsid w:val="00AA4331"/>
    <w:rsid w:val="00AA4378"/>
    <w:rsid w:val="00AA4424"/>
    <w:rsid w:val="00AA445A"/>
    <w:rsid w:val="00AA44CE"/>
    <w:rsid w:val="00AA44F6"/>
    <w:rsid w:val="00AA457B"/>
    <w:rsid w:val="00AA4594"/>
    <w:rsid w:val="00AA45C2"/>
    <w:rsid w:val="00AA45FE"/>
    <w:rsid w:val="00AA464D"/>
    <w:rsid w:val="00AA47B6"/>
    <w:rsid w:val="00AA47D9"/>
    <w:rsid w:val="00AA47F7"/>
    <w:rsid w:val="00AA48FB"/>
    <w:rsid w:val="00AA4A12"/>
    <w:rsid w:val="00AA4A20"/>
    <w:rsid w:val="00AA4A37"/>
    <w:rsid w:val="00AA4A38"/>
    <w:rsid w:val="00AA4A6A"/>
    <w:rsid w:val="00AA4AA1"/>
    <w:rsid w:val="00AA4B12"/>
    <w:rsid w:val="00AA4B3D"/>
    <w:rsid w:val="00AA4B7E"/>
    <w:rsid w:val="00AA4DE0"/>
    <w:rsid w:val="00AA4E02"/>
    <w:rsid w:val="00AA4E4C"/>
    <w:rsid w:val="00AA4E72"/>
    <w:rsid w:val="00AA4EE0"/>
    <w:rsid w:val="00AA4F50"/>
    <w:rsid w:val="00AA4FA2"/>
    <w:rsid w:val="00AA5057"/>
    <w:rsid w:val="00AA50A6"/>
    <w:rsid w:val="00AA50AC"/>
    <w:rsid w:val="00AA5151"/>
    <w:rsid w:val="00AA5168"/>
    <w:rsid w:val="00AA5193"/>
    <w:rsid w:val="00AA5216"/>
    <w:rsid w:val="00AA5232"/>
    <w:rsid w:val="00AA52D9"/>
    <w:rsid w:val="00AA52E9"/>
    <w:rsid w:val="00AA5311"/>
    <w:rsid w:val="00AA53CA"/>
    <w:rsid w:val="00AA53E8"/>
    <w:rsid w:val="00AA53FC"/>
    <w:rsid w:val="00AA5436"/>
    <w:rsid w:val="00AA5458"/>
    <w:rsid w:val="00AA5498"/>
    <w:rsid w:val="00AA54E9"/>
    <w:rsid w:val="00AA5629"/>
    <w:rsid w:val="00AA562E"/>
    <w:rsid w:val="00AA5639"/>
    <w:rsid w:val="00AA563F"/>
    <w:rsid w:val="00AA5670"/>
    <w:rsid w:val="00AA56F5"/>
    <w:rsid w:val="00AA5777"/>
    <w:rsid w:val="00AA57C3"/>
    <w:rsid w:val="00AA594B"/>
    <w:rsid w:val="00AA59DC"/>
    <w:rsid w:val="00AA59E1"/>
    <w:rsid w:val="00AA5A7C"/>
    <w:rsid w:val="00AA5AED"/>
    <w:rsid w:val="00AA5B3B"/>
    <w:rsid w:val="00AA5C4C"/>
    <w:rsid w:val="00AA5C89"/>
    <w:rsid w:val="00AA5CA2"/>
    <w:rsid w:val="00AA5CDC"/>
    <w:rsid w:val="00AA5D92"/>
    <w:rsid w:val="00AA5DBD"/>
    <w:rsid w:val="00AA5EFD"/>
    <w:rsid w:val="00AA5F24"/>
    <w:rsid w:val="00AA5F56"/>
    <w:rsid w:val="00AA5F6B"/>
    <w:rsid w:val="00AA5F80"/>
    <w:rsid w:val="00AA5FEE"/>
    <w:rsid w:val="00AA6102"/>
    <w:rsid w:val="00AA613E"/>
    <w:rsid w:val="00AA6172"/>
    <w:rsid w:val="00AA61C4"/>
    <w:rsid w:val="00AA61FD"/>
    <w:rsid w:val="00AA637A"/>
    <w:rsid w:val="00AA64D4"/>
    <w:rsid w:val="00AA64F4"/>
    <w:rsid w:val="00AA6515"/>
    <w:rsid w:val="00AA6530"/>
    <w:rsid w:val="00AA655B"/>
    <w:rsid w:val="00AA65CB"/>
    <w:rsid w:val="00AA65EA"/>
    <w:rsid w:val="00AA65F3"/>
    <w:rsid w:val="00AA6623"/>
    <w:rsid w:val="00AA6676"/>
    <w:rsid w:val="00AA66ED"/>
    <w:rsid w:val="00AA67AB"/>
    <w:rsid w:val="00AA682A"/>
    <w:rsid w:val="00AA683B"/>
    <w:rsid w:val="00AA68AF"/>
    <w:rsid w:val="00AA68C6"/>
    <w:rsid w:val="00AA6930"/>
    <w:rsid w:val="00AA69B9"/>
    <w:rsid w:val="00AA69C1"/>
    <w:rsid w:val="00AA6AE0"/>
    <w:rsid w:val="00AA6BF4"/>
    <w:rsid w:val="00AA6C8C"/>
    <w:rsid w:val="00AA6D36"/>
    <w:rsid w:val="00AA6D7A"/>
    <w:rsid w:val="00AA6DDB"/>
    <w:rsid w:val="00AA6E40"/>
    <w:rsid w:val="00AA6E59"/>
    <w:rsid w:val="00AA6EB4"/>
    <w:rsid w:val="00AA6F26"/>
    <w:rsid w:val="00AA6F2D"/>
    <w:rsid w:val="00AA6F31"/>
    <w:rsid w:val="00AA6F3D"/>
    <w:rsid w:val="00AA6F4E"/>
    <w:rsid w:val="00AA705A"/>
    <w:rsid w:val="00AA705E"/>
    <w:rsid w:val="00AA7062"/>
    <w:rsid w:val="00AA71E8"/>
    <w:rsid w:val="00AA725A"/>
    <w:rsid w:val="00AA726E"/>
    <w:rsid w:val="00AA7523"/>
    <w:rsid w:val="00AA7526"/>
    <w:rsid w:val="00AA756E"/>
    <w:rsid w:val="00AA75C4"/>
    <w:rsid w:val="00AA7604"/>
    <w:rsid w:val="00AA7641"/>
    <w:rsid w:val="00AA76A8"/>
    <w:rsid w:val="00AA76B6"/>
    <w:rsid w:val="00AA77B3"/>
    <w:rsid w:val="00AA786A"/>
    <w:rsid w:val="00AA7872"/>
    <w:rsid w:val="00AA7928"/>
    <w:rsid w:val="00AA7961"/>
    <w:rsid w:val="00AA79AE"/>
    <w:rsid w:val="00AA79B7"/>
    <w:rsid w:val="00AA79E0"/>
    <w:rsid w:val="00AA79EE"/>
    <w:rsid w:val="00AA7A1E"/>
    <w:rsid w:val="00AA7B64"/>
    <w:rsid w:val="00AA7B7A"/>
    <w:rsid w:val="00AA7C88"/>
    <w:rsid w:val="00AA7CA4"/>
    <w:rsid w:val="00AA7D2D"/>
    <w:rsid w:val="00AA7D42"/>
    <w:rsid w:val="00AA7DD4"/>
    <w:rsid w:val="00AA7DFA"/>
    <w:rsid w:val="00AA7E1F"/>
    <w:rsid w:val="00AA7E2A"/>
    <w:rsid w:val="00AA7E62"/>
    <w:rsid w:val="00AA7E63"/>
    <w:rsid w:val="00AA7E76"/>
    <w:rsid w:val="00AA7E78"/>
    <w:rsid w:val="00AA7EB9"/>
    <w:rsid w:val="00AA7F42"/>
    <w:rsid w:val="00AA7F88"/>
    <w:rsid w:val="00AA7F8B"/>
    <w:rsid w:val="00AA7FD4"/>
    <w:rsid w:val="00AB0068"/>
    <w:rsid w:val="00AB0116"/>
    <w:rsid w:val="00AB016C"/>
    <w:rsid w:val="00AB019A"/>
    <w:rsid w:val="00AB01C0"/>
    <w:rsid w:val="00AB01E3"/>
    <w:rsid w:val="00AB0220"/>
    <w:rsid w:val="00AB02F7"/>
    <w:rsid w:val="00AB0357"/>
    <w:rsid w:val="00AB0380"/>
    <w:rsid w:val="00AB03C8"/>
    <w:rsid w:val="00AB0454"/>
    <w:rsid w:val="00AB04A4"/>
    <w:rsid w:val="00AB04D9"/>
    <w:rsid w:val="00AB04FF"/>
    <w:rsid w:val="00AB0515"/>
    <w:rsid w:val="00AB0582"/>
    <w:rsid w:val="00AB058E"/>
    <w:rsid w:val="00AB05D5"/>
    <w:rsid w:val="00AB065E"/>
    <w:rsid w:val="00AB066E"/>
    <w:rsid w:val="00AB0681"/>
    <w:rsid w:val="00AB06AD"/>
    <w:rsid w:val="00AB06D8"/>
    <w:rsid w:val="00AB06EC"/>
    <w:rsid w:val="00AB070A"/>
    <w:rsid w:val="00AB080A"/>
    <w:rsid w:val="00AB098C"/>
    <w:rsid w:val="00AB0A01"/>
    <w:rsid w:val="00AB0AD6"/>
    <w:rsid w:val="00AB0B0B"/>
    <w:rsid w:val="00AB0B1F"/>
    <w:rsid w:val="00AB0BF0"/>
    <w:rsid w:val="00AB0C3A"/>
    <w:rsid w:val="00AB0D60"/>
    <w:rsid w:val="00AB0E08"/>
    <w:rsid w:val="00AB0E1B"/>
    <w:rsid w:val="00AB0E32"/>
    <w:rsid w:val="00AB0E58"/>
    <w:rsid w:val="00AB0F68"/>
    <w:rsid w:val="00AB0F8D"/>
    <w:rsid w:val="00AB0FA3"/>
    <w:rsid w:val="00AB11EA"/>
    <w:rsid w:val="00AB1216"/>
    <w:rsid w:val="00AB1272"/>
    <w:rsid w:val="00AB1288"/>
    <w:rsid w:val="00AB1338"/>
    <w:rsid w:val="00AB136C"/>
    <w:rsid w:val="00AB13CB"/>
    <w:rsid w:val="00AB148B"/>
    <w:rsid w:val="00AB14AF"/>
    <w:rsid w:val="00AB14FA"/>
    <w:rsid w:val="00AB151C"/>
    <w:rsid w:val="00AB1530"/>
    <w:rsid w:val="00AB15B2"/>
    <w:rsid w:val="00AB15E5"/>
    <w:rsid w:val="00AB15EA"/>
    <w:rsid w:val="00AB15F5"/>
    <w:rsid w:val="00AB15FF"/>
    <w:rsid w:val="00AB163B"/>
    <w:rsid w:val="00AB1652"/>
    <w:rsid w:val="00AB16CF"/>
    <w:rsid w:val="00AB16F6"/>
    <w:rsid w:val="00AB17B5"/>
    <w:rsid w:val="00AB1877"/>
    <w:rsid w:val="00AB18B3"/>
    <w:rsid w:val="00AB1908"/>
    <w:rsid w:val="00AB1936"/>
    <w:rsid w:val="00AB1992"/>
    <w:rsid w:val="00AB199C"/>
    <w:rsid w:val="00AB1A09"/>
    <w:rsid w:val="00AB1A6B"/>
    <w:rsid w:val="00AB1A94"/>
    <w:rsid w:val="00AB1B2B"/>
    <w:rsid w:val="00AB1B73"/>
    <w:rsid w:val="00AB1B77"/>
    <w:rsid w:val="00AB1BC3"/>
    <w:rsid w:val="00AB1C18"/>
    <w:rsid w:val="00AB1C1A"/>
    <w:rsid w:val="00AB1DBE"/>
    <w:rsid w:val="00AB1DC8"/>
    <w:rsid w:val="00AB1DE7"/>
    <w:rsid w:val="00AB1E62"/>
    <w:rsid w:val="00AB1E8C"/>
    <w:rsid w:val="00AB1EE5"/>
    <w:rsid w:val="00AB1EE9"/>
    <w:rsid w:val="00AB1EFB"/>
    <w:rsid w:val="00AB1F27"/>
    <w:rsid w:val="00AB1F45"/>
    <w:rsid w:val="00AB1F69"/>
    <w:rsid w:val="00AB200B"/>
    <w:rsid w:val="00AB2060"/>
    <w:rsid w:val="00AB20E9"/>
    <w:rsid w:val="00AB210C"/>
    <w:rsid w:val="00AB2295"/>
    <w:rsid w:val="00AB2383"/>
    <w:rsid w:val="00AB23A7"/>
    <w:rsid w:val="00AB23D5"/>
    <w:rsid w:val="00AB23FB"/>
    <w:rsid w:val="00AB23FD"/>
    <w:rsid w:val="00AB24C2"/>
    <w:rsid w:val="00AB25A9"/>
    <w:rsid w:val="00AB2613"/>
    <w:rsid w:val="00AB2631"/>
    <w:rsid w:val="00AB2639"/>
    <w:rsid w:val="00AB2791"/>
    <w:rsid w:val="00AB27C4"/>
    <w:rsid w:val="00AB27E0"/>
    <w:rsid w:val="00AB2841"/>
    <w:rsid w:val="00AB28C3"/>
    <w:rsid w:val="00AB28EC"/>
    <w:rsid w:val="00AB290A"/>
    <w:rsid w:val="00AB29F5"/>
    <w:rsid w:val="00AB2A39"/>
    <w:rsid w:val="00AB2A43"/>
    <w:rsid w:val="00AB2A6D"/>
    <w:rsid w:val="00AB2A71"/>
    <w:rsid w:val="00AB2B84"/>
    <w:rsid w:val="00AB2BA3"/>
    <w:rsid w:val="00AB2BBA"/>
    <w:rsid w:val="00AB2BCF"/>
    <w:rsid w:val="00AB2C01"/>
    <w:rsid w:val="00AB2C68"/>
    <w:rsid w:val="00AB2C6F"/>
    <w:rsid w:val="00AB2CE1"/>
    <w:rsid w:val="00AB2CE8"/>
    <w:rsid w:val="00AB2D28"/>
    <w:rsid w:val="00AB2D44"/>
    <w:rsid w:val="00AB2D46"/>
    <w:rsid w:val="00AB2E61"/>
    <w:rsid w:val="00AB2F78"/>
    <w:rsid w:val="00AB30FA"/>
    <w:rsid w:val="00AB310F"/>
    <w:rsid w:val="00AB320E"/>
    <w:rsid w:val="00AB3220"/>
    <w:rsid w:val="00AB322E"/>
    <w:rsid w:val="00AB329E"/>
    <w:rsid w:val="00AB3345"/>
    <w:rsid w:val="00AB3373"/>
    <w:rsid w:val="00AB34C9"/>
    <w:rsid w:val="00AB34E1"/>
    <w:rsid w:val="00AB3560"/>
    <w:rsid w:val="00AB35E5"/>
    <w:rsid w:val="00AB3666"/>
    <w:rsid w:val="00AB36AE"/>
    <w:rsid w:val="00AB36D0"/>
    <w:rsid w:val="00AB36D2"/>
    <w:rsid w:val="00AB3711"/>
    <w:rsid w:val="00AB3756"/>
    <w:rsid w:val="00AB37E2"/>
    <w:rsid w:val="00AB3854"/>
    <w:rsid w:val="00AB387D"/>
    <w:rsid w:val="00AB39A4"/>
    <w:rsid w:val="00AB3B9C"/>
    <w:rsid w:val="00AB3BDA"/>
    <w:rsid w:val="00AB3D18"/>
    <w:rsid w:val="00AB3D21"/>
    <w:rsid w:val="00AB3EEA"/>
    <w:rsid w:val="00AB3F78"/>
    <w:rsid w:val="00AB3FD2"/>
    <w:rsid w:val="00AB3FE0"/>
    <w:rsid w:val="00AB3FF3"/>
    <w:rsid w:val="00AB403B"/>
    <w:rsid w:val="00AB40DC"/>
    <w:rsid w:val="00AB40EE"/>
    <w:rsid w:val="00AB412C"/>
    <w:rsid w:val="00AB422A"/>
    <w:rsid w:val="00AB42DE"/>
    <w:rsid w:val="00AB43FB"/>
    <w:rsid w:val="00AB4462"/>
    <w:rsid w:val="00AB448A"/>
    <w:rsid w:val="00AB44CF"/>
    <w:rsid w:val="00AB4523"/>
    <w:rsid w:val="00AB4541"/>
    <w:rsid w:val="00AB456C"/>
    <w:rsid w:val="00AB45BE"/>
    <w:rsid w:val="00AB45E5"/>
    <w:rsid w:val="00AB4766"/>
    <w:rsid w:val="00AB478E"/>
    <w:rsid w:val="00AB4846"/>
    <w:rsid w:val="00AB48EE"/>
    <w:rsid w:val="00AB4993"/>
    <w:rsid w:val="00AB4A60"/>
    <w:rsid w:val="00AB4A87"/>
    <w:rsid w:val="00AB4A8E"/>
    <w:rsid w:val="00AB4ACF"/>
    <w:rsid w:val="00AB4B04"/>
    <w:rsid w:val="00AB4BC0"/>
    <w:rsid w:val="00AB4C1B"/>
    <w:rsid w:val="00AB4C1D"/>
    <w:rsid w:val="00AB4C35"/>
    <w:rsid w:val="00AB4C53"/>
    <w:rsid w:val="00AB4D6C"/>
    <w:rsid w:val="00AB4D82"/>
    <w:rsid w:val="00AB4DB0"/>
    <w:rsid w:val="00AB4DE3"/>
    <w:rsid w:val="00AB4E10"/>
    <w:rsid w:val="00AB4E34"/>
    <w:rsid w:val="00AB4E55"/>
    <w:rsid w:val="00AB4EA0"/>
    <w:rsid w:val="00AB4ED6"/>
    <w:rsid w:val="00AB4F28"/>
    <w:rsid w:val="00AB4F48"/>
    <w:rsid w:val="00AB4F4B"/>
    <w:rsid w:val="00AB4F7D"/>
    <w:rsid w:val="00AB4F82"/>
    <w:rsid w:val="00AB4FCC"/>
    <w:rsid w:val="00AB4FFB"/>
    <w:rsid w:val="00AB5021"/>
    <w:rsid w:val="00AB5056"/>
    <w:rsid w:val="00AB5068"/>
    <w:rsid w:val="00AB5075"/>
    <w:rsid w:val="00AB51D6"/>
    <w:rsid w:val="00AB5213"/>
    <w:rsid w:val="00AB52DB"/>
    <w:rsid w:val="00AB533D"/>
    <w:rsid w:val="00AB5341"/>
    <w:rsid w:val="00AB5348"/>
    <w:rsid w:val="00AB5391"/>
    <w:rsid w:val="00AB53A8"/>
    <w:rsid w:val="00AB544F"/>
    <w:rsid w:val="00AB549D"/>
    <w:rsid w:val="00AB5673"/>
    <w:rsid w:val="00AB5686"/>
    <w:rsid w:val="00AB5688"/>
    <w:rsid w:val="00AB579E"/>
    <w:rsid w:val="00AB5820"/>
    <w:rsid w:val="00AB584E"/>
    <w:rsid w:val="00AB59B2"/>
    <w:rsid w:val="00AB59C6"/>
    <w:rsid w:val="00AB5A1A"/>
    <w:rsid w:val="00AB5A1E"/>
    <w:rsid w:val="00AB5A5C"/>
    <w:rsid w:val="00AB5CE4"/>
    <w:rsid w:val="00AB5D32"/>
    <w:rsid w:val="00AB5D6C"/>
    <w:rsid w:val="00AB5DD7"/>
    <w:rsid w:val="00AB5DFF"/>
    <w:rsid w:val="00AB5F45"/>
    <w:rsid w:val="00AB5F9A"/>
    <w:rsid w:val="00AB5F9F"/>
    <w:rsid w:val="00AB5FD2"/>
    <w:rsid w:val="00AB5FDB"/>
    <w:rsid w:val="00AB60DA"/>
    <w:rsid w:val="00AB611E"/>
    <w:rsid w:val="00AB6298"/>
    <w:rsid w:val="00AB6319"/>
    <w:rsid w:val="00AB631B"/>
    <w:rsid w:val="00AB6396"/>
    <w:rsid w:val="00AB6401"/>
    <w:rsid w:val="00AB6406"/>
    <w:rsid w:val="00AB649C"/>
    <w:rsid w:val="00AB64AB"/>
    <w:rsid w:val="00AB64C9"/>
    <w:rsid w:val="00AB6508"/>
    <w:rsid w:val="00AB651C"/>
    <w:rsid w:val="00AB66AF"/>
    <w:rsid w:val="00AB66D0"/>
    <w:rsid w:val="00AB6757"/>
    <w:rsid w:val="00AB675B"/>
    <w:rsid w:val="00AB6790"/>
    <w:rsid w:val="00AB68B4"/>
    <w:rsid w:val="00AB6C24"/>
    <w:rsid w:val="00AB6C3B"/>
    <w:rsid w:val="00AB6C4D"/>
    <w:rsid w:val="00AB6CD1"/>
    <w:rsid w:val="00AB6D1C"/>
    <w:rsid w:val="00AB6D3A"/>
    <w:rsid w:val="00AB6D59"/>
    <w:rsid w:val="00AB6DB9"/>
    <w:rsid w:val="00AB6DC6"/>
    <w:rsid w:val="00AB700B"/>
    <w:rsid w:val="00AB70C7"/>
    <w:rsid w:val="00AB7111"/>
    <w:rsid w:val="00AB7168"/>
    <w:rsid w:val="00AB71E1"/>
    <w:rsid w:val="00AB7286"/>
    <w:rsid w:val="00AB7299"/>
    <w:rsid w:val="00AB739A"/>
    <w:rsid w:val="00AB73AC"/>
    <w:rsid w:val="00AB7416"/>
    <w:rsid w:val="00AB7458"/>
    <w:rsid w:val="00AB745E"/>
    <w:rsid w:val="00AB756A"/>
    <w:rsid w:val="00AB75D9"/>
    <w:rsid w:val="00AB7639"/>
    <w:rsid w:val="00AB779E"/>
    <w:rsid w:val="00AB782B"/>
    <w:rsid w:val="00AB7864"/>
    <w:rsid w:val="00AB787B"/>
    <w:rsid w:val="00AB78E9"/>
    <w:rsid w:val="00AB7908"/>
    <w:rsid w:val="00AB79D9"/>
    <w:rsid w:val="00AB79E5"/>
    <w:rsid w:val="00AB7A08"/>
    <w:rsid w:val="00AB7AC7"/>
    <w:rsid w:val="00AB7B01"/>
    <w:rsid w:val="00AB7C8D"/>
    <w:rsid w:val="00AB7C92"/>
    <w:rsid w:val="00AB7D9F"/>
    <w:rsid w:val="00AB7E10"/>
    <w:rsid w:val="00AB7EDB"/>
    <w:rsid w:val="00AB7F12"/>
    <w:rsid w:val="00AB7F56"/>
    <w:rsid w:val="00AB7F9A"/>
    <w:rsid w:val="00AC0059"/>
    <w:rsid w:val="00AC00DE"/>
    <w:rsid w:val="00AC0159"/>
    <w:rsid w:val="00AC017B"/>
    <w:rsid w:val="00AC0188"/>
    <w:rsid w:val="00AC0190"/>
    <w:rsid w:val="00AC01D5"/>
    <w:rsid w:val="00AC022A"/>
    <w:rsid w:val="00AC0284"/>
    <w:rsid w:val="00AC0355"/>
    <w:rsid w:val="00AC0370"/>
    <w:rsid w:val="00AC03F7"/>
    <w:rsid w:val="00AC04A4"/>
    <w:rsid w:val="00AC0518"/>
    <w:rsid w:val="00AC061C"/>
    <w:rsid w:val="00AC0664"/>
    <w:rsid w:val="00AC06F4"/>
    <w:rsid w:val="00AC0744"/>
    <w:rsid w:val="00AC0749"/>
    <w:rsid w:val="00AC0A26"/>
    <w:rsid w:val="00AC0A40"/>
    <w:rsid w:val="00AC0AA4"/>
    <w:rsid w:val="00AC0B05"/>
    <w:rsid w:val="00AC0B42"/>
    <w:rsid w:val="00AC0C7A"/>
    <w:rsid w:val="00AC0C8F"/>
    <w:rsid w:val="00AC0CBF"/>
    <w:rsid w:val="00AC0CE7"/>
    <w:rsid w:val="00AC0CFA"/>
    <w:rsid w:val="00AC0D42"/>
    <w:rsid w:val="00AC0D7A"/>
    <w:rsid w:val="00AC0DED"/>
    <w:rsid w:val="00AC0E85"/>
    <w:rsid w:val="00AC0F0B"/>
    <w:rsid w:val="00AC0FA5"/>
    <w:rsid w:val="00AC0FE9"/>
    <w:rsid w:val="00AC10FE"/>
    <w:rsid w:val="00AC110E"/>
    <w:rsid w:val="00AC11B7"/>
    <w:rsid w:val="00AC11C5"/>
    <w:rsid w:val="00AC11E3"/>
    <w:rsid w:val="00AC126F"/>
    <w:rsid w:val="00AC1353"/>
    <w:rsid w:val="00AC1388"/>
    <w:rsid w:val="00AC13D3"/>
    <w:rsid w:val="00AC13DC"/>
    <w:rsid w:val="00AC13E6"/>
    <w:rsid w:val="00AC14C8"/>
    <w:rsid w:val="00AC14F5"/>
    <w:rsid w:val="00AC151F"/>
    <w:rsid w:val="00AC1595"/>
    <w:rsid w:val="00AC164B"/>
    <w:rsid w:val="00AC166C"/>
    <w:rsid w:val="00AC166F"/>
    <w:rsid w:val="00AC1778"/>
    <w:rsid w:val="00AC178D"/>
    <w:rsid w:val="00AC179B"/>
    <w:rsid w:val="00AC18ED"/>
    <w:rsid w:val="00AC1977"/>
    <w:rsid w:val="00AC1978"/>
    <w:rsid w:val="00AC19DA"/>
    <w:rsid w:val="00AC19EC"/>
    <w:rsid w:val="00AC1A5B"/>
    <w:rsid w:val="00AC1AF0"/>
    <w:rsid w:val="00AC1B09"/>
    <w:rsid w:val="00AC1B94"/>
    <w:rsid w:val="00AC1D11"/>
    <w:rsid w:val="00AC1DB5"/>
    <w:rsid w:val="00AC1E3C"/>
    <w:rsid w:val="00AC1E3E"/>
    <w:rsid w:val="00AC1E53"/>
    <w:rsid w:val="00AC1ED3"/>
    <w:rsid w:val="00AC1F13"/>
    <w:rsid w:val="00AC1F14"/>
    <w:rsid w:val="00AC2007"/>
    <w:rsid w:val="00AC2033"/>
    <w:rsid w:val="00AC203B"/>
    <w:rsid w:val="00AC204C"/>
    <w:rsid w:val="00AC2052"/>
    <w:rsid w:val="00AC2072"/>
    <w:rsid w:val="00AC207B"/>
    <w:rsid w:val="00AC20DC"/>
    <w:rsid w:val="00AC210E"/>
    <w:rsid w:val="00AC214F"/>
    <w:rsid w:val="00AC2176"/>
    <w:rsid w:val="00AC21BD"/>
    <w:rsid w:val="00AC21E3"/>
    <w:rsid w:val="00AC21E8"/>
    <w:rsid w:val="00AC21F4"/>
    <w:rsid w:val="00AC2228"/>
    <w:rsid w:val="00AC23A6"/>
    <w:rsid w:val="00AC23BF"/>
    <w:rsid w:val="00AC2472"/>
    <w:rsid w:val="00AC257B"/>
    <w:rsid w:val="00AC25DB"/>
    <w:rsid w:val="00AC265B"/>
    <w:rsid w:val="00AC267E"/>
    <w:rsid w:val="00AC26B7"/>
    <w:rsid w:val="00AC27BB"/>
    <w:rsid w:val="00AC281F"/>
    <w:rsid w:val="00AC2888"/>
    <w:rsid w:val="00AC28A5"/>
    <w:rsid w:val="00AC29B9"/>
    <w:rsid w:val="00AC2A2A"/>
    <w:rsid w:val="00AC2B8F"/>
    <w:rsid w:val="00AC2D96"/>
    <w:rsid w:val="00AC2E0A"/>
    <w:rsid w:val="00AC2E4A"/>
    <w:rsid w:val="00AC2F75"/>
    <w:rsid w:val="00AC2F9C"/>
    <w:rsid w:val="00AC3097"/>
    <w:rsid w:val="00AC310E"/>
    <w:rsid w:val="00AC318E"/>
    <w:rsid w:val="00AC3232"/>
    <w:rsid w:val="00AC330A"/>
    <w:rsid w:val="00AC330E"/>
    <w:rsid w:val="00AC3331"/>
    <w:rsid w:val="00AC335A"/>
    <w:rsid w:val="00AC343D"/>
    <w:rsid w:val="00AC3512"/>
    <w:rsid w:val="00AC3578"/>
    <w:rsid w:val="00AC3593"/>
    <w:rsid w:val="00AC362C"/>
    <w:rsid w:val="00AC365D"/>
    <w:rsid w:val="00AC3667"/>
    <w:rsid w:val="00AC3729"/>
    <w:rsid w:val="00AC377B"/>
    <w:rsid w:val="00AC379F"/>
    <w:rsid w:val="00AC3815"/>
    <w:rsid w:val="00AC3821"/>
    <w:rsid w:val="00AC38CC"/>
    <w:rsid w:val="00AC38CE"/>
    <w:rsid w:val="00AC3923"/>
    <w:rsid w:val="00AC3981"/>
    <w:rsid w:val="00AC39C1"/>
    <w:rsid w:val="00AC3A21"/>
    <w:rsid w:val="00AC3B5A"/>
    <w:rsid w:val="00AC3B91"/>
    <w:rsid w:val="00AC3BBA"/>
    <w:rsid w:val="00AC3BC9"/>
    <w:rsid w:val="00AC3BE8"/>
    <w:rsid w:val="00AC3C04"/>
    <w:rsid w:val="00AC3C0B"/>
    <w:rsid w:val="00AC3C4F"/>
    <w:rsid w:val="00AC3CB1"/>
    <w:rsid w:val="00AC3D74"/>
    <w:rsid w:val="00AC3DA8"/>
    <w:rsid w:val="00AC3E9F"/>
    <w:rsid w:val="00AC3EF2"/>
    <w:rsid w:val="00AC3F14"/>
    <w:rsid w:val="00AC3FBA"/>
    <w:rsid w:val="00AC403A"/>
    <w:rsid w:val="00AC406B"/>
    <w:rsid w:val="00AC4077"/>
    <w:rsid w:val="00AC4079"/>
    <w:rsid w:val="00AC40E1"/>
    <w:rsid w:val="00AC416E"/>
    <w:rsid w:val="00AC439E"/>
    <w:rsid w:val="00AC447C"/>
    <w:rsid w:val="00AC4581"/>
    <w:rsid w:val="00AC472D"/>
    <w:rsid w:val="00AC47AF"/>
    <w:rsid w:val="00AC47BC"/>
    <w:rsid w:val="00AC4810"/>
    <w:rsid w:val="00AC4811"/>
    <w:rsid w:val="00AC48D0"/>
    <w:rsid w:val="00AC4A62"/>
    <w:rsid w:val="00AC4ABB"/>
    <w:rsid w:val="00AC4BA0"/>
    <w:rsid w:val="00AC4C0D"/>
    <w:rsid w:val="00AC4D87"/>
    <w:rsid w:val="00AC4DED"/>
    <w:rsid w:val="00AC4DFD"/>
    <w:rsid w:val="00AC4E33"/>
    <w:rsid w:val="00AC4E6A"/>
    <w:rsid w:val="00AC4F19"/>
    <w:rsid w:val="00AC4F35"/>
    <w:rsid w:val="00AC4F7F"/>
    <w:rsid w:val="00AC4FCA"/>
    <w:rsid w:val="00AC506E"/>
    <w:rsid w:val="00AC5070"/>
    <w:rsid w:val="00AC50ED"/>
    <w:rsid w:val="00AC51A1"/>
    <w:rsid w:val="00AC51D4"/>
    <w:rsid w:val="00AC51F7"/>
    <w:rsid w:val="00AC529B"/>
    <w:rsid w:val="00AC532B"/>
    <w:rsid w:val="00AC532C"/>
    <w:rsid w:val="00AC53FA"/>
    <w:rsid w:val="00AC545E"/>
    <w:rsid w:val="00AC5479"/>
    <w:rsid w:val="00AC54B3"/>
    <w:rsid w:val="00AC54D0"/>
    <w:rsid w:val="00AC54EA"/>
    <w:rsid w:val="00AC55CF"/>
    <w:rsid w:val="00AC55DE"/>
    <w:rsid w:val="00AC56DD"/>
    <w:rsid w:val="00AC5701"/>
    <w:rsid w:val="00AC575B"/>
    <w:rsid w:val="00AC57F2"/>
    <w:rsid w:val="00AC5805"/>
    <w:rsid w:val="00AC58DF"/>
    <w:rsid w:val="00AC5931"/>
    <w:rsid w:val="00AC5939"/>
    <w:rsid w:val="00AC59E6"/>
    <w:rsid w:val="00AC5A2F"/>
    <w:rsid w:val="00AC5A97"/>
    <w:rsid w:val="00AC5AAE"/>
    <w:rsid w:val="00AC5B5E"/>
    <w:rsid w:val="00AC5BD5"/>
    <w:rsid w:val="00AC5CA3"/>
    <w:rsid w:val="00AC5D2B"/>
    <w:rsid w:val="00AC5D64"/>
    <w:rsid w:val="00AC5E08"/>
    <w:rsid w:val="00AC5E8A"/>
    <w:rsid w:val="00AC5EAA"/>
    <w:rsid w:val="00AC5F6D"/>
    <w:rsid w:val="00AC5F79"/>
    <w:rsid w:val="00AC6009"/>
    <w:rsid w:val="00AC6013"/>
    <w:rsid w:val="00AC6036"/>
    <w:rsid w:val="00AC607D"/>
    <w:rsid w:val="00AC6084"/>
    <w:rsid w:val="00AC608E"/>
    <w:rsid w:val="00AC6126"/>
    <w:rsid w:val="00AC6169"/>
    <w:rsid w:val="00AC61D3"/>
    <w:rsid w:val="00AC62DA"/>
    <w:rsid w:val="00AC62FC"/>
    <w:rsid w:val="00AC630D"/>
    <w:rsid w:val="00AC63FF"/>
    <w:rsid w:val="00AC6418"/>
    <w:rsid w:val="00AC652F"/>
    <w:rsid w:val="00AC65DB"/>
    <w:rsid w:val="00AC665C"/>
    <w:rsid w:val="00AC6700"/>
    <w:rsid w:val="00AC677B"/>
    <w:rsid w:val="00AC677E"/>
    <w:rsid w:val="00AC6876"/>
    <w:rsid w:val="00AC687D"/>
    <w:rsid w:val="00AC68F6"/>
    <w:rsid w:val="00AC6953"/>
    <w:rsid w:val="00AC69C6"/>
    <w:rsid w:val="00AC6A35"/>
    <w:rsid w:val="00AC6A5F"/>
    <w:rsid w:val="00AC6ABE"/>
    <w:rsid w:val="00AC6AE0"/>
    <w:rsid w:val="00AC6AE2"/>
    <w:rsid w:val="00AC6B41"/>
    <w:rsid w:val="00AC6BF6"/>
    <w:rsid w:val="00AC6C27"/>
    <w:rsid w:val="00AC6C39"/>
    <w:rsid w:val="00AC6C89"/>
    <w:rsid w:val="00AC6C8C"/>
    <w:rsid w:val="00AC6CE6"/>
    <w:rsid w:val="00AC6D12"/>
    <w:rsid w:val="00AC6D5A"/>
    <w:rsid w:val="00AC6DF3"/>
    <w:rsid w:val="00AC6E00"/>
    <w:rsid w:val="00AC6E1E"/>
    <w:rsid w:val="00AC6E78"/>
    <w:rsid w:val="00AC6EBD"/>
    <w:rsid w:val="00AC6ECE"/>
    <w:rsid w:val="00AC6F18"/>
    <w:rsid w:val="00AC6F76"/>
    <w:rsid w:val="00AC6FBD"/>
    <w:rsid w:val="00AC6FFB"/>
    <w:rsid w:val="00AC70AE"/>
    <w:rsid w:val="00AC7161"/>
    <w:rsid w:val="00AC719C"/>
    <w:rsid w:val="00AC71DA"/>
    <w:rsid w:val="00AC724A"/>
    <w:rsid w:val="00AC7327"/>
    <w:rsid w:val="00AC73C1"/>
    <w:rsid w:val="00AC7433"/>
    <w:rsid w:val="00AC7488"/>
    <w:rsid w:val="00AC7572"/>
    <w:rsid w:val="00AC75C1"/>
    <w:rsid w:val="00AC75F7"/>
    <w:rsid w:val="00AC7641"/>
    <w:rsid w:val="00AC766D"/>
    <w:rsid w:val="00AC76F1"/>
    <w:rsid w:val="00AC773F"/>
    <w:rsid w:val="00AC77D8"/>
    <w:rsid w:val="00AC781E"/>
    <w:rsid w:val="00AC786F"/>
    <w:rsid w:val="00AC78AD"/>
    <w:rsid w:val="00AC78E2"/>
    <w:rsid w:val="00AC78E8"/>
    <w:rsid w:val="00AC793C"/>
    <w:rsid w:val="00AC79C0"/>
    <w:rsid w:val="00AC7B27"/>
    <w:rsid w:val="00AC7B3B"/>
    <w:rsid w:val="00AC7B91"/>
    <w:rsid w:val="00AC7BE9"/>
    <w:rsid w:val="00AC7BF4"/>
    <w:rsid w:val="00AC7BFA"/>
    <w:rsid w:val="00AC7C10"/>
    <w:rsid w:val="00AC7D09"/>
    <w:rsid w:val="00AC7D45"/>
    <w:rsid w:val="00AC7D49"/>
    <w:rsid w:val="00AC7D6C"/>
    <w:rsid w:val="00AC7D9B"/>
    <w:rsid w:val="00AC7DD0"/>
    <w:rsid w:val="00AC7DDD"/>
    <w:rsid w:val="00AC7E51"/>
    <w:rsid w:val="00AC7E67"/>
    <w:rsid w:val="00AC7E98"/>
    <w:rsid w:val="00AC7F2F"/>
    <w:rsid w:val="00AC7F49"/>
    <w:rsid w:val="00AC7FCA"/>
    <w:rsid w:val="00ACC47E"/>
    <w:rsid w:val="00AD0037"/>
    <w:rsid w:val="00AD00DF"/>
    <w:rsid w:val="00AD00F1"/>
    <w:rsid w:val="00AD011C"/>
    <w:rsid w:val="00AD0159"/>
    <w:rsid w:val="00AD01B8"/>
    <w:rsid w:val="00AD0200"/>
    <w:rsid w:val="00AD037D"/>
    <w:rsid w:val="00AD0404"/>
    <w:rsid w:val="00AD04D2"/>
    <w:rsid w:val="00AD0536"/>
    <w:rsid w:val="00AD0562"/>
    <w:rsid w:val="00AD0598"/>
    <w:rsid w:val="00AD0657"/>
    <w:rsid w:val="00AD06DA"/>
    <w:rsid w:val="00AD0782"/>
    <w:rsid w:val="00AD07AA"/>
    <w:rsid w:val="00AD0882"/>
    <w:rsid w:val="00AD0906"/>
    <w:rsid w:val="00AD0942"/>
    <w:rsid w:val="00AD09B1"/>
    <w:rsid w:val="00AD09E4"/>
    <w:rsid w:val="00AD0B64"/>
    <w:rsid w:val="00AD0B86"/>
    <w:rsid w:val="00AD0BC8"/>
    <w:rsid w:val="00AD0C07"/>
    <w:rsid w:val="00AD0C78"/>
    <w:rsid w:val="00AD0C79"/>
    <w:rsid w:val="00AD0CFD"/>
    <w:rsid w:val="00AD0D28"/>
    <w:rsid w:val="00AD0D7F"/>
    <w:rsid w:val="00AD0E99"/>
    <w:rsid w:val="00AD0F9E"/>
    <w:rsid w:val="00AD0FDC"/>
    <w:rsid w:val="00AD1021"/>
    <w:rsid w:val="00AD1198"/>
    <w:rsid w:val="00AD1205"/>
    <w:rsid w:val="00AD1326"/>
    <w:rsid w:val="00AD1331"/>
    <w:rsid w:val="00AD1392"/>
    <w:rsid w:val="00AD14E8"/>
    <w:rsid w:val="00AD1502"/>
    <w:rsid w:val="00AD1509"/>
    <w:rsid w:val="00AD1512"/>
    <w:rsid w:val="00AD154A"/>
    <w:rsid w:val="00AD1550"/>
    <w:rsid w:val="00AD15A8"/>
    <w:rsid w:val="00AD15D6"/>
    <w:rsid w:val="00AD1613"/>
    <w:rsid w:val="00AD1626"/>
    <w:rsid w:val="00AD1643"/>
    <w:rsid w:val="00AD1722"/>
    <w:rsid w:val="00AD179A"/>
    <w:rsid w:val="00AD17B8"/>
    <w:rsid w:val="00AD17C4"/>
    <w:rsid w:val="00AD1803"/>
    <w:rsid w:val="00AD1868"/>
    <w:rsid w:val="00AD186C"/>
    <w:rsid w:val="00AD18AB"/>
    <w:rsid w:val="00AD199C"/>
    <w:rsid w:val="00AD19C8"/>
    <w:rsid w:val="00AD1A3E"/>
    <w:rsid w:val="00AD1A4F"/>
    <w:rsid w:val="00AD1AC0"/>
    <w:rsid w:val="00AD1B10"/>
    <w:rsid w:val="00AD1B13"/>
    <w:rsid w:val="00AD1B49"/>
    <w:rsid w:val="00AD1C06"/>
    <w:rsid w:val="00AD1C49"/>
    <w:rsid w:val="00AD1CE3"/>
    <w:rsid w:val="00AD1D3C"/>
    <w:rsid w:val="00AD1D3E"/>
    <w:rsid w:val="00AD1D61"/>
    <w:rsid w:val="00AD1D82"/>
    <w:rsid w:val="00AD1D8F"/>
    <w:rsid w:val="00AD1DE5"/>
    <w:rsid w:val="00AD1E0C"/>
    <w:rsid w:val="00AD1E56"/>
    <w:rsid w:val="00AD1FA0"/>
    <w:rsid w:val="00AD2066"/>
    <w:rsid w:val="00AD2178"/>
    <w:rsid w:val="00AD2195"/>
    <w:rsid w:val="00AD2267"/>
    <w:rsid w:val="00AD226D"/>
    <w:rsid w:val="00AD22BD"/>
    <w:rsid w:val="00AD247A"/>
    <w:rsid w:val="00AD2485"/>
    <w:rsid w:val="00AD251E"/>
    <w:rsid w:val="00AD267A"/>
    <w:rsid w:val="00AD2687"/>
    <w:rsid w:val="00AD269B"/>
    <w:rsid w:val="00AD274D"/>
    <w:rsid w:val="00AD2766"/>
    <w:rsid w:val="00AD2827"/>
    <w:rsid w:val="00AD28C0"/>
    <w:rsid w:val="00AD29A5"/>
    <w:rsid w:val="00AD2A08"/>
    <w:rsid w:val="00AD2A1D"/>
    <w:rsid w:val="00AD2AED"/>
    <w:rsid w:val="00AD2AF0"/>
    <w:rsid w:val="00AD2B76"/>
    <w:rsid w:val="00AD2CF1"/>
    <w:rsid w:val="00AD2D69"/>
    <w:rsid w:val="00AD2DB0"/>
    <w:rsid w:val="00AD2EEA"/>
    <w:rsid w:val="00AD3033"/>
    <w:rsid w:val="00AD3054"/>
    <w:rsid w:val="00AD30A0"/>
    <w:rsid w:val="00AD317B"/>
    <w:rsid w:val="00AD34D2"/>
    <w:rsid w:val="00AD3507"/>
    <w:rsid w:val="00AD362A"/>
    <w:rsid w:val="00AD3647"/>
    <w:rsid w:val="00AD36DE"/>
    <w:rsid w:val="00AD36F4"/>
    <w:rsid w:val="00AD3869"/>
    <w:rsid w:val="00AD386B"/>
    <w:rsid w:val="00AD386C"/>
    <w:rsid w:val="00AD389B"/>
    <w:rsid w:val="00AD395E"/>
    <w:rsid w:val="00AD3AA0"/>
    <w:rsid w:val="00AD3AAA"/>
    <w:rsid w:val="00AD3AC5"/>
    <w:rsid w:val="00AD3B19"/>
    <w:rsid w:val="00AD3B1D"/>
    <w:rsid w:val="00AD3B72"/>
    <w:rsid w:val="00AD3B78"/>
    <w:rsid w:val="00AD3B9C"/>
    <w:rsid w:val="00AD3C8B"/>
    <w:rsid w:val="00AD3DBC"/>
    <w:rsid w:val="00AD3E83"/>
    <w:rsid w:val="00AD3E95"/>
    <w:rsid w:val="00AD3EA3"/>
    <w:rsid w:val="00AD3F0E"/>
    <w:rsid w:val="00AD3F43"/>
    <w:rsid w:val="00AD3FC9"/>
    <w:rsid w:val="00AD403A"/>
    <w:rsid w:val="00AD4296"/>
    <w:rsid w:val="00AD42BB"/>
    <w:rsid w:val="00AD42D9"/>
    <w:rsid w:val="00AD42FF"/>
    <w:rsid w:val="00AD4352"/>
    <w:rsid w:val="00AD4371"/>
    <w:rsid w:val="00AD437F"/>
    <w:rsid w:val="00AD43EA"/>
    <w:rsid w:val="00AD444A"/>
    <w:rsid w:val="00AD44EE"/>
    <w:rsid w:val="00AD4593"/>
    <w:rsid w:val="00AD45F3"/>
    <w:rsid w:val="00AD45F5"/>
    <w:rsid w:val="00AD462F"/>
    <w:rsid w:val="00AD4636"/>
    <w:rsid w:val="00AD4680"/>
    <w:rsid w:val="00AD4729"/>
    <w:rsid w:val="00AD4800"/>
    <w:rsid w:val="00AD485F"/>
    <w:rsid w:val="00AD48AE"/>
    <w:rsid w:val="00AD48C5"/>
    <w:rsid w:val="00AD48E9"/>
    <w:rsid w:val="00AD49EE"/>
    <w:rsid w:val="00AD4A71"/>
    <w:rsid w:val="00AD4AFB"/>
    <w:rsid w:val="00AD4BB6"/>
    <w:rsid w:val="00AD4C30"/>
    <w:rsid w:val="00AD4C77"/>
    <w:rsid w:val="00AD4CF5"/>
    <w:rsid w:val="00AD4D5D"/>
    <w:rsid w:val="00AD4D84"/>
    <w:rsid w:val="00AD4DF9"/>
    <w:rsid w:val="00AD4E3D"/>
    <w:rsid w:val="00AD4FDE"/>
    <w:rsid w:val="00AD50DF"/>
    <w:rsid w:val="00AD50E2"/>
    <w:rsid w:val="00AD50EB"/>
    <w:rsid w:val="00AD5151"/>
    <w:rsid w:val="00AD518C"/>
    <w:rsid w:val="00AD51E7"/>
    <w:rsid w:val="00AD5224"/>
    <w:rsid w:val="00AD522A"/>
    <w:rsid w:val="00AD524B"/>
    <w:rsid w:val="00AD52C2"/>
    <w:rsid w:val="00AD52DA"/>
    <w:rsid w:val="00AD52E0"/>
    <w:rsid w:val="00AD5450"/>
    <w:rsid w:val="00AD545A"/>
    <w:rsid w:val="00AD546C"/>
    <w:rsid w:val="00AD5483"/>
    <w:rsid w:val="00AD54E2"/>
    <w:rsid w:val="00AD54F7"/>
    <w:rsid w:val="00AD555D"/>
    <w:rsid w:val="00AD5577"/>
    <w:rsid w:val="00AD560D"/>
    <w:rsid w:val="00AD5641"/>
    <w:rsid w:val="00AD5677"/>
    <w:rsid w:val="00AD569C"/>
    <w:rsid w:val="00AD57A7"/>
    <w:rsid w:val="00AD5811"/>
    <w:rsid w:val="00AD591E"/>
    <w:rsid w:val="00AD5936"/>
    <w:rsid w:val="00AD5950"/>
    <w:rsid w:val="00AD5967"/>
    <w:rsid w:val="00AD599B"/>
    <w:rsid w:val="00AD5A21"/>
    <w:rsid w:val="00AD5ACD"/>
    <w:rsid w:val="00AD5AD0"/>
    <w:rsid w:val="00AD5AEA"/>
    <w:rsid w:val="00AD5B35"/>
    <w:rsid w:val="00AD5B7B"/>
    <w:rsid w:val="00AD5B89"/>
    <w:rsid w:val="00AD5C29"/>
    <w:rsid w:val="00AD5C47"/>
    <w:rsid w:val="00AD5C5E"/>
    <w:rsid w:val="00AD5CA2"/>
    <w:rsid w:val="00AD5CAD"/>
    <w:rsid w:val="00AD5CBA"/>
    <w:rsid w:val="00AD5D27"/>
    <w:rsid w:val="00AD5DF8"/>
    <w:rsid w:val="00AD5EFE"/>
    <w:rsid w:val="00AD5F17"/>
    <w:rsid w:val="00AD5FBB"/>
    <w:rsid w:val="00AD5FBF"/>
    <w:rsid w:val="00AD60EC"/>
    <w:rsid w:val="00AD6101"/>
    <w:rsid w:val="00AD61F0"/>
    <w:rsid w:val="00AD6214"/>
    <w:rsid w:val="00AD623A"/>
    <w:rsid w:val="00AD625A"/>
    <w:rsid w:val="00AD627B"/>
    <w:rsid w:val="00AD6280"/>
    <w:rsid w:val="00AD6298"/>
    <w:rsid w:val="00AD62B3"/>
    <w:rsid w:val="00AD62D8"/>
    <w:rsid w:val="00AD6325"/>
    <w:rsid w:val="00AD63F3"/>
    <w:rsid w:val="00AD6434"/>
    <w:rsid w:val="00AD649E"/>
    <w:rsid w:val="00AD64E2"/>
    <w:rsid w:val="00AD651A"/>
    <w:rsid w:val="00AD6594"/>
    <w:rsid w:val="00AD679F"/>
    <w:rsid w:val="00AD67D8"/>
    <w:rsid w:val="00AD6813"/>
    <w:rsid w:val="00AD6836"/>
    <w:rsid w:val="00AD68A9"/>
    <w:rsid w:val="00AD6924"/>
    <w:rsid w:val="00AD6A0B"/>
    <w:rsid w:val="00AD6A2F"/>
    <w:rsid w:val="00AD6B1A"/>
    <w:rsid w:val="00AD6B37"/>
    <w:rsid w:val="00AD6B6B"/>
    <w:rsid w:val="00AD6BBE"/>
    <w:rsid w:val="00AD6C2C"/>
    <w:rsid w:val="00AD6C42"/>
    <w:rsid w:val="00AD6CC2"/>
    <w:rsid w:val="00AD6D00"/>
    <w:rsid w:val="00AD6D6D"/>
    <w:rsid w:val="00AD6DCD"/>
    <w:rsid w:val="00AD6ECB"/>
    <w:rsid w:val="00AD6ED1"/>
    <w:rsid w:val="00AD6F16"/>
    <w:rsid w:val="00AD6F48"/>
    <w:rsid w:val="00AD6F58"/>
    <w:rsid w:val="00AD6FAB"/>
    <w:rsid w:val="00AD6FF9"/>
    <w:rsid w:val="00AD70C8"/>
    <w:rsid w:val="00AD71DD"/>
    <w:rsid w:val="00AD721A"/>
    <w:rsid w:val="00AD7278"/>
    <w:rsid w:val="00AD72A4"/>
    <w:rsid w:val="00AD731C"/>
    <w:rsid w:val="00AD7367"/>
    <w:rsid w:val="00AD73DB"/>
    <w:rsid w:val="00AD7428"/>
    <w:rsid w:val="00AD7452"/>
    <w:rsid w:val="00AD74D2"/>
    <w:rsid w:val="00AD753B"/>
    <w:rsid w:val="00AD7624"/>
    <w:rsid w:val="00AD7684"/>
    <w:rsid w:val="00AD7700"/>
    <w:rsid w:val="00AD7790"/>
    <w:rsid w:val="00AD77D5"/>
    <w:rsid w:val="00AD788A"/>
    <w:rsid w:val="00AD78CE"/>
    <w:rsid w:val="00AD78F6"/>
    <w:rsid w:val="00AD78FA"/>
    <w:rsid w:val="00AD79FB"/>
    <w:rsid w:val="00AD7A09"/>
    <w:rsid w:val="00AD7AFD"/>
    <w:rsid w:val="00AD7B51"/>
    <w:rsid w:val="00AD7B99"/>
    <w:rsid w:val="00AD7BA9"/>
    <w:rsid w:val="00AD7BFA"/>
    <w:rsid w:val="00AD7DD8"/>
    <w:rsid w:val="00AD7EAA"/>
    <w:rsid w:val="00ADB031"/>
    <w:rsid w:val="00AE0029"/>
    <w:rsid w:val="00AE00C8"/>
    <w:rsid w:val="00AE00D5"/>
    <w:rsid w:val="00AE0116"/>
    <w:rsid w:val="00AE0163"/>
    <w:rsid w:val="00AE017F"/>
    <w:rsid w:val="00AE01E3"/>
    <w:rsid w:val="00AE0293"/>
    <w:rsid w:val="00AE0299"/>
    <w:rsid w:val="00AE0380"/>
    <w:rsid w:val="00AE03BD"/>
    <w:rsid w:val="00AE03FF"/>
    <w:rsid w:val="00AE044D"/>
    <w:rsid w:val="00AE04B4"/>
    <w:rsid w:val="00AE04FD"/>
    <w:rsid w:val="00AE0551"/>
    <w:rsid w:val="00AE0622"/>
    <w:rsid w:val="00AE0636"/>
    <w:rsid w:val="00AE063C"/>
    <w:rsid w:val="00AE075A"/>
    <w:rsid w:val="00AE0777"/>
    <w:rsid w:val="00AE07A1"/>
    <w:rsid w:val="00AE07CE"/>
    <w:rsid w:val="00AE07EA"/>
    <w:rsid w:val="00AE07FB"/>
    <w:rsid w:val="00AE0858"/>
    <w:rsid w:val="00AE085B"/>
    <w:rsid w:val="00AE087F"/>
    <w:rsid w:val="00AE09B6"/>
    <w:rsid w:val="00AE0C99"/>
    <w:rsid w:val="00AE0CBB"/>
    <w:rsid w:val="00AE0D00"/>
    <w:rsid w:val="00AE0D43"/>
    <w:rsid w:val="00AE0DCA"/>
    <w:rsid w:val="00AE0E70"/>
    <w:rsid w:val="00AE0EB3"/>
    <w:rsid w:val="00AE0F43"/>
    <w:rsid w:val="00AE0F5B"/>
    <w:rsid w:val="00AE0F9A"/>
    <w:rsid w:val="00AE103D"/>
    <w:rsid w:val="00AE1172"/>
    <w:rsid w:val="00AE1184"/>
    <w:rsid w:val="00AE12DC"/>
    <w:rsid w:val="00AE1300"/>
    <w:rsid w:val="00AE1360"/>
    <w:rsid w:val="00AE1366"/>
    <w:rsid w:val="00AE13CC"/>
    <w:rsid w:val="00AE13EC"/>
    <w:rsid w:val="00AE13FC"/>
    <w:rsid w:val="00AE140F"/>
    <w:rsid w:val="00AE148F"/>
    <w:rsid w:val="00AE1492"/>
    <w:rsid w:val="00AE1499"/>
    <w:rsid w:val="00AE149A"/>
    <w:rsid w:val="00AE1534"/>
    <w:rsid w:val="00AE1549"/>
    <w:rsid w:val="00AE168A"/>
    <w:rsid w:val="00AE172A"/>
    <w:rsid w:val="00AE17D3"/>
    <w:rsid w:val="00AE1816"/>
    <w:rsid w:val="00AE196F"/>
    <w:rsid w:val="00AE19D9"/>
    <w:rsid w:val="00AE19E8"/>
    <w:rsid w:val="00AE1A05"/>
    <w:rsid w:val="00AE1A07"/>
    <w:rsid w:val="00AE1A1F"/>
    <w:rsid w:val="00AE1A50"/>
    <w:rsid w:val="00AE1A82"/>
    <w:rsid w:val="00AE1B07"/>
    <w:rsid w:val="00AE1B2B"/>
    <w:rsid w:val="00AE1B43"/>
    <w:rsid w:val="00AE1B73"/>
    <w:rsid w:val="00AE1C0B"/>
    <w:rsid w:val="00AE1C3E"/>
    <w:rsid w:val="00AE1C90"/>
    <w:rsid w:val="00AE1D15"/>
    <w:rsid w:val="00AE1D62"/>
    <w:rsid w:val="00AE1DCD"/>
    <w:rsid w:val="00AE1EF1"/>
    <w:rsid w:val="00AE1F1F"/>
    <w:rsid w:val="00AE1F94"/>
    <w:rsid w:val="00AE2060"/>
    <w:rsid w:val="00AE215C"/>
    <w:rsid w:val="00AE22B5"/>
    <w:rsid w:val="00AE239C"/>
    <w:rsid w:val="00AE240B"/>
    <w:rsid w:val="00AE24E2"/>
    <w:rsid w:val="00AE2500"/>
    <w:rsid w:val="00AE253B"/>
    <w:rsid w:val="00AE2549"/>
    <w:rsid w:val="00AE2573"/>
    <w:rsid w:val="00AE2581"/>
    <w:rsid w:val="00AE259F"/>
    <w:rsid w:val="00AE262E"/>
    <w:rsid w:val="00AE2723"/>
    <w:rsid w:val="00AE27F8"/>
    <w:rsid w:val="00AE27FA"/>
    <w:rsid w:val="00AE2800"/>
    <w:rsid w:val="00AE2817"/>
    <w:rsid w:val="00AE29D3"/>
    <w:rsid w:val="00AE2A3D"/>
    <w:rsid w:val="00AE2A41"/>
    <w:rsid w:val="00AE2AC1"/>
    <w:rsid w:val="00AE2B1B"/>
    <w:rsid w:val="00AE2B9A"/>
    <w:rsid w:val="00AE2BDB"/>
    <w:rsid w:val="00AE2C51"/>
    <w:rsid w:val="00AE2C63"/>
    <w:rsid w:val="00AE2C7C"/>
    <w:rsid w:val="00AE2CF1"/>
    <w:rsid w:val="00AE2D4D"/>
    <w:rsid w:val="00AE2D91"/>
    <w:rsid w:val="00AE2E07"/>
    <w:rsid w:val="00AE2E22"/>
    <w:rsid w:val="00AE2E9C"/>
    <w:rsid w:val="00AE2ECA"/>
    <w:rsid w:val="00AE2F5C"/>
    <w:rsid w:val="00AE2FEA"/>
    <w:rsid w:val="00AE314D"/>
    <w:rsid w:val="00AE317D"/>
    <w:rsid w:val="00AE31DE"/>
    <w:rsid w:val="00AE327A"/>
    <w:rsid w:val="00AE3281"/>
    <w:rsid w:val="00AE32F4"/>
    <w:rsid w:val="00AE342A"/>
    <w:rsid w:val="00AE3452"/>
    <w:rsid w:val="00AE3480"/>
    <w:rsid w:val="00AE357B"/>
    <w:rsid w:val="00AE35B9"/>
    <w:rsid w:val="00AE3611"/>
    <w:rsid w:val="00AE36B3"/>
    <w:rsid w:val="00AE3727"/>
    <w:rsid w:val="00AE372C"/>
    <w:rsid w:val="00AE375F"/>
    <w:rsid w:val="00AE37FC"/>
    <w:rsid w:val="00AE386B"/>
    <w:rsid w:val="00AE3889"/>
    <w:rsid w:val="00AE38CA"/>
    <w:rsid w:val="00AE38CF"/>
    <w:rsid w:val="00AE3909"/>
    <w:rsid w:val="00AE3930"/>
    <w:rsid w:val="00AE3A42"/>
    <w:rsid w:val="00AE3A62"/>
    <w:rsid w:val="00AE3AF6"/>
    <w:rsid w:val="00AE3B6A"/>
    <w:rsid w:val="00AE3B7E"/>
    <w:rsid w:val="00AE3CC7"/>
    <w:rsid w:val="00AE3D3C"/>
    <w:rsid w:val="00AE3D88"/>
    <w:rsid w:val="00AE3D90"/>
    <w:rsid w:val="00AE3E46"/>
    <w:rsid w:val="00AE3EE9"/>
    <w:rsid w:val="00AE3EFA"/>
    <w:rsid w:val="00AE3F44"/>
    <w:rsid w:val="00AE3FAE"/>
    <w:rsid w:val="00AE404E"/>
    <w:rsid w:val="00AE405B"/>
    <w:rsid w:val="00AE40C4"/>
    <w:rsid w:val="00AE40D7"/>
    <w:rsid w:val="00AE4118"/>
    <w:rsid w:val="00AE41AE"/>
    <w:rsid w:val="00AE420D"/>
    <w:rsid w:val="00AE4225"/>
    <w:rsid w:val="00AE4236"/>
    <w:rsid w:val="00AE425C"/>
    <w:rsid w:val="00AE42B5"/>
    <w:rsid w:val="00AE42E8"/>
    <w:rsid w:val="00AE4326"/>
    <w:rsid w:val="00AE4333"/>
    <w:rsid w:val="00AE43F5"/>
    <w:rsid w:val="00AE440C"/>
    <w:rsid w:val="00AE444C"/>
    <w:rsid w:val="00AE4471"/>
    <w:rsid w:val="00AE4474"/>
    <w:rsid w:val="00AE44AA"/>
    <w:rsid w:val="00AE4518"/>
    <w:rsid w:val="00AE454E"/>
    <w:rsid w:val="00AE4582"/>
    <w:rsid w:val="00AE4617"/>
    <w:rsid w:val="00AE466D"/>
    <w:rsid w:val="00AE467B"/>
    <w:rsid w:val="00AE4685"/>
    <w:rsid w:val="00AE46E0"/>
    <w:rsid w:val="00AE46E5"/>
    <w:rsid w:val="00AE4744"/>
    <w:rsid w:val="00AE4816"/>
    <w:rsid w:val="00AE4891"/>
    <w:rsid w:val="00AE4965"/>
    <w:rsid w:val="00AE4996"/>
    <w:rsid w:val="00AE4A02"/>
    <w:rsid w:val="00AE4A12"/>
    <w:rsid w:val="00AE4A56"/>
    <w:rsid w:val="00AE4A65"/>
    <w:rsid w:val="00AE4AB9"/>
    <w:rsid w:val="00AE4BEC"/>
    <w:rsid w:val="00AE4C00"/>
    <w:rsid w:val="00AE4C3A"/>
    <w:rsid w:val="00AE4C7A"/>
    <w:rsid w:val="00AE4E2A"/>
    <w:rsid w:val="00AE4E3F"/>
    <w:rsid w:val="00AE4F13"/>
    <w:rsid w:val="00AE4F19"/>
    <w:rsid w:val="00AE4F41"/>
    <w:rsid w:val="00AE4FC9"/>
    <w:rsid w:val="00AE506A"/>
    <w:rsid w:val="00AE50BD"/>
    <w:rsid w:val="00AE50E5"/>
    <w:rsid w:val="00AE51D6"/>
    <w:rsid w:val="00AE51E3"/>
    <w:rsid w:val="00AE51E8"/>
    <w:rsid w:val="00AE5300"/>
    <w:rsid w:val="00AE5373"/>
    <w:rsid w:val="00AE5417"/>
    <w:rsid w:val="00AE5674"/>
    <w:rsid w:val="00AE56A8"/>
    <w:rsid w:val="00AE5747"/>
    <w:rsid w:val="00AE5768"/>
    <w:rsid w:val="00AE57BA"/>
    <w:rsid w:val="00AE57C6"/>
    <w:rsid w:val="00AE58BB"/>
    <w:rsid w:val="00AE58D7"/>
    <w:rsid w:val="00AE58F4"/>
    <w:rsid w:val="00AE58FF"/>
    <w:rsid w:val="00AE5930"/>
    <w:rsid w:val="00AE59C8"/>
    <w:rsid w:val="00AE5A67"/>
    <w:rsid w:val="00AE5A97"/>
    <w:rsid w:val="00AE5AE9"/>
    <w:rsid w:val="00AE5AFC"/>
    <w:rsid w:val="00AE5B5E"/>
    <w:rsid w:val="00AE5B67"/>
    <w:rsid w:val="00AE5C1F"/>
    <w:rsid w:val="00AE5C74"/>
    <w:rsid w:val="00AE5C75"/>
    <w:rsid w:val="00AE5CF3"/>
    <w:rsid w:val="00AE5D00"/>
    <w:rsid w:val="00AE5D18"/>
    <w:rsid w:val="00AE5D5C"/>
    <w:rsid w:val="00AE5DF9"/>
    <w:rsid w:val="00AE5E54"/>
    <w:rsid w:val="00AE5E6A"/>
    <w:rsid w:val="00AE5EA4"/>
    <w:rsid w:val="00AE5EFC"/>
    <w:rsid w:val="00AE5F53"/>
    <w:rsid w:val="00AE5F6F"/>
    <w:rsid w:val="00AE5F92"/>
    <w:rsid w:val="00AE5FC6"/>
    <w:rsid w:val="00AE610D"/>
    <w:rsid w:val="00AE611F"/>
    <w:rsid w:val="00AE6187"/>
    <w:rsid w:val="00AE62BB"/>
    <w:rsid w:val="00AE62F1"/>
    <w:rsid w:val="00AE63B7"/>
    <w:rsid w:val="00AE63BD"/>
    <w:rsid w:val="00AE63D8"/>
    <w:rsid w:val="00AE63E9"/>
    <w:rsid w:val="00AE640F"/>
    <w:rsid w:val="00AE6452"/>
    <w:rsid w:val="00AE659E"/>
    <w:rsid w:val="00AE6639"/>
    <w:rsid w:val="00AE665F"/>
    <w:rsid w:val="00AE666D"/>
    <w:rsid w:val="00AE6678"/>
    <w:rsid w:val="00AE6705"/>
    <w:rsid w:val="00AE67D5"/>
    <w:rsid w:val="00AE67EB"/>
    <w:rsid w:val="00AE6899"/>
    <w:rsid w:val="00AE68AE"/>
    <w:rsid w:val="00AE68B3"/>
    <w:rsid w:val="00AE68EC"/>
    <w:rsid w:val="00AE6925"/>
    <w:rsid w:val="00AE6A09"/>
    <w:rsid w:val="00AE6A2C"/>
    <w:rsid w:val="00AE6ADA"/>
    <w:rsid w:val="00AE6ADF"/>
    <w:rsid w:val="00AE6AEC"/>
    <w:rsid w:val="00AE6AEF"/>
    <w:rsid w:val="00AE6B72"/>
    <w:rsid w:val="00AE6BB7"/>
    <w:rsid w:val="00AE6BE7"/>
    <w:rsid w:val="00AE6BF8"/>
    <w:rsid w:val="00AE6C09"/>
    <w:rsid w:val="00AE6C51"/>
    <w:rsid w:val="00AE6CF6"/>
    <w:rsid w:val="00AE6D11"/>
    <w:rsid w:val="00AE6D18"/>
    <w:rsid w:val="00AE6D1C"/>
    <w:rsid w:val="00AE6D30"/>
    <w:rsid w:val="00AE6DC7"/>
    <w:rsid w:val="00AE6DDD"/>
    <w:rsid w:val="00AE6E44"/>
    <w:rsid w:val="00AE6F22"/>
    <w:rsid w:val="00AE6F31"/>
    <w:rsid w:val="00AE6F43"/>
    <w:rsid w:val="00AE6F9E"/>
    <w:rsid w:val="00AE6FA9"/>
    <w:rsid w:val="00AE6FB5"/>
    <w:rsid w:val="00AE6FEF"/>
    <w:rsid w:val="00AE7052"/>
    <w:rsid w:val="00AE7118"/>
    <w:rsid w:val="00AE7214"/>
    <w:rsid w:val="00AE72A8"/>
    <w:rsid w:val="00AE72C9"/>
    <w:rsid w:val="00AE72D3"/>
    <w:rsid w:val="00AE7416"/>
    <w:rsid w:val="00AE748B"/>
    <w:rsid w:val="00AE74F1"/>
    <w:rsid w:val="00AE7573"/>
    <w:rsid w:val="00AE759C"/>
    <w:rsid w:val="00AE75DB"/>
    <w:rsid w:val="00AE77AA"/>
    <w:rsid w:val="00AE780A"/>
    <w:rsid w:val="00AE786A"/>
    <w:rsid w:val="00AE7A2C"/>
    <w:rsid w:val="00AE7B0C"/>
    <w:rsid w:val="00AE7B76"/>
    <w:rsid w:val="00AE7BAD"/>
    <w:rsid w:val="00AE7BC6"/>
    <w:rsid w:val="00AE7BD1"/>
    <w:rsid w:val="00AE7BFA"/>
    <w:rsid w:val="00AE7D32"/>
    <w:rsid w:val="00AE7E67"/>
    <w:rsid w:val="00AE7E84"/>
    <w:rsid w:val="00AE7E8C"/>
    <w:rsid w:val="00AE7E94"/>
    <w:rsid w:val="00AE7EDC"/>
    <w:rsid w:val="00AE7EE4"/>
    <w:rsid w:val="00AE7F0D"/>
    <w:rsid w:val="00AE7F67"/>
    <w:rsid w:val="00AF0081"/>
    <w:rsid w:val="00AF00FD"/>
    <w:rsid w:val="00AF02FA"/>
    <w:rsid w:val="00AF03E5"/>
    <w:rsid w:val="00AF045C"/>
    <w:rsid w:val="00AF049E"/>
    <w:rsid w:val="00AF04CA"/>
    <w:rsid w:val="00AF04D8"/>
    <w:rsid w:val="00AF04E7"/>
    <w:rsid w:val="00AF05EE"/>
    <w:rsid w:val="00AF0725"/>
    <w:rsid w:val="00AF0745"/>
    <w:rsid w:val="00AF079F"/>
    <w:rsid w:val="00AF081B"/>
    <w:rsid w:val="00AF094A"/>
    <w:rsid w:val="00AF09BA"/>
    <w:rsid w:val="00AF0A21"/>
    <w:rsid w:val="00AF0A5C"/>
    <w:rsid w:val="00AF0AC6"/>
    <w:rsid w:val="00AF0B19"/>
    <w:rsid w:val="00AF0B27"/>
    <w:rsid w:val="00AF0B7A"/>
    <w:rsid w:val="00AF0B85"/>
    <w:rsid w:val="00AF0BCA"/>
    <w:rsid w:val="00AF0C0C"/>
    <w:rsid w:val="00AF0C8B"/>
    <w:rsid w:val="00AF0CA2"/>
    <w:rsid w:val="00AF0D43"/>
    <w:rsid w:val="00AF0DAF"/>
    <w:rsid w:val="00AF0DBD"/>
    <w:rsid w:val="00AF0EB2"/>
    <w:rsid w:val="00AF0EC4"/>
    <w:rsid w:val="00AF0F52"/>
    <w:rsid w:val="00AF0F6D"/>
    <w:rsid w:val="00AF0FF0"/>
    <w:rsid w:val="00AF115C"/>
    <w:rsid w:val="00AF121F"/>
    <w:rsid w:val="00AF128A"/>
    <w:rsid w:val="00AF12AF"/>
    <w:rsid w:val="00AF130D"/>
    <w:rsid w:val="00AF149C"/>
    <w:rsid w:val="00AF14F8"/>
    <w:rsid w:val="00AF17C5"/>
    <w:rsid w:val="00AF17D5"/>
    <w:rsid w:val="00AF1893"/>
    <w:rsid w:val="00AF193C"/>
    <w:rsid w:val="00AF1954"/>
    <w:rsid w:val="00AF1975"/>
    <w:rsid w:val="00AF19FD"/>
    <w:rsid w:val="00AF1A86"/>
    <w:rsid w:val="00AF1AF7"/>
    <w:rsid w:val="00AF1C3B"/>
    <w:rsid w:val="00AF1C69"/>
    <w:rsid w:val="00AF1C99"/>
    <w:rsid w:val="00AF1CB5"/>
    <w:rsid w:val="00AF1D37"/>
    <w:rsid w:val="00AF1D81"/>
    <w:rsid w:val="00AF1DAB"/>
    <w:rsid w:val="00AF1E73"/>
    <w:rsid w:val="00AF1FB9"/>
    <w:rsid w:val="00AF205E"/>
    <w:rsid w:val="00AF20C8"/>
    <w:rsid w:val="00AF2112"/>
    <w:rsid w:val="00AF21A7"/>
    <w:rsid w:val="00AF2301"/>
    <w:rsid w:val="00AF2337"/>
    <w:rsid w:val="00AF2372"/>
    <w:rsid w:val="00AF247F"/>
    <w:rsid w:val="00AF250E"/>
    <w:rsid w:val="00AF258A"/>
    <w:rsid w:val="00AF25AC"/>
    <w:rsid w:val="00AF2613"/>
    <w:rsid w:val="00AF26CD"/>
    <w:rsid w:val="00AF2708"/>
    <w:rsid w:val="00AF275E"/>
    <w:rsid w:val="00AF2786"/>
    <w:rsid w:val="00AF27E1"/>
    <w:rsid w:val="00AF287C"/>
    <w:rsid w:val="00AF291E"/>
    <w:rsid w:val="00AF2988"/>
    <w:rsid w:val="00AF29A2"/>
    <w:rsid w:val="00AF2A04"/>
    <w:rsid w:val="00AF2A50"/>
    <w:rsid w:val="00AF2AB4"/>
    <w:rsid w:val="00AF2AC7"/>
    <w:rsid w:val="00AF2B3E"/>
    <w:rsid w:val="00AF2BB3"/>
    <w:rsid w:val="00AF2C2E"/>
    <w:rsid w:val="00AF2C42"/>
    <w:rsid w:val="00AF2C4B"/>
    <w:rsid w:val="00AF2D69"/>
    <w:rsid w:val="00AF2DB2"/>
    <w:rsid w:val="00AF2DD4"/>
    <w:rsid w:val="00AF2FB1"/>
    <w:rsid w:val="00AF2FB7"/>
    <w:rsid w:val="00AF2FEF"/>
    <w:rsid w:val="00AF3010"/>
    <w:rsid w:val="00AF301F"/>
    <w:rsid w:val="00AF3028"/>
    <w:rsid w:val="00AF307E"/>
    <w:rsid w:val="00AF30CE"/>
    <w:rsid w:val="00AF3152"/>
    <w:rsid w:val="00AF31C3"/>
    <w:rsid w:val="00AF31DA"/>
    <w:rsid w:val="00AF334C"/>
    <w:rsid w:val="00AF3353"/>
    <w:rsid w:val="00AF3362"/>
    <w:rsid w:val="00AF33D0"/>
    <w:rsid w:val="00AF33E2"/>
    <w:rsid w:val="00AF346E"/>
    <w:rsid w:val="00AF366A"/>
    <w:rsid w:val="00AF3688"/>
    <w:rsid w:val="00AF372F"/>
    <w:rsid w:val="00AF376C"/>
    <w:rsid w:val="00AF3797"/>
    <w:rsid w:val="00AF380B"/>
    <w:rsid w:val="00AF3896"/>
    <w:rsid w:val="00AF38B8"/>
    <w:rsid w:val="00AF38FD"/>
    <w:rsid w:val="00AF39AA"/>
    <w:rsid w:val="00AF3AA0"/>
    <w:rsid w:val="00AF3AA4"/>
    <w:rsid w:val="00AF3AD4"/>
    <w:rsid w:val="00AF3B84"/>
    <w:rsid w:val="00AF3C2E"/>
    <w:rsid w:val="00AF3C7D"/>
    <w:rsid w:val="00AF3CA4"/>
    <w:rsid w:val="00AF3CCA"/>
    <w:rsid w:val="00AF3DB7"/>
    <w:rsid w:val="00AF3DB8"/>
    <w:rsid w:val="00AF3ECD"/>
    <w:rsid w:val="00AF3FD5"/>
    <w:rsid w:val="00AF4046"/>
    <w:rsid w:val="00AF4070"/>
    <w:rsid w:val="00AF41C9"/>
    <w:rsid w:val="00AF42AE"/>
    <w:rsid w:val="00AF42D6"/>
    <w:rsid w:val="00AF4305"/>
    <w:rsid w:val="00AF4362"/>
    <w:rsid w:val="00AF43F6"/>
    <w:rsid w:val="00AF448E"/>
    <w:rsid w:val="00AF454B"/>
    <w:rsid w:val="00AF4573"/>
    <w:rsid w:val="00AF45E7"/>
    <w:rsid w:val="00AF463B"/>
    <w:rsid w:val="00AF4648"/>
    <w:rsid w:val="00AF4675"/>
    <w:rsid w:val="00AF4683"/>
    <w:rsid w:val="00AF46F2"/>
    <w:rsid w:val="00AF4712"/>
    <w:rsid w:val="00AF472E"/>
    <w:rsid w:val="00AF47A8"/>
    <w:rsid w:val="00AF48C0"/>
    <w:rsid w:val="00AF498F"/>
    <w:rsid w:val="00AF4A28"/>
    <w:rsid w:val="00AF4A96"/>
    <w:rsid w:val="00AF4AE5"/>
    <w:rsid w:val="00AF4AF2"/>
    <w:rsid w:val="00AF4B18"/>
    <w:rsid w:val="00AF4B68"/>
    <w:rsid w:val="00AF4BCF"/>
    <w:rsid w:val="00AF4C7A"/>
    <w:rsid w:val="00AF4CC3"/>
    <w:rsid w:val="00AF4CEE"/>
    <w:rsid w:val="00AF4D3A"/>
    <w:rsid w:val="00AF4DF8"/>
    <w:rsid w:val="00AF4E18"/>
    <w:rsid w:val="00AF4F25"/>
    <w:rsid w:val="00AF4F40"/>
    <w:rsid w:val="00AF4FC3"/>
    <w:rsid w:val="00AF4FCC"/>
    <w:rsid w:val="00AF5079"/>
    <w:rsid w:val="00AF50F6"/>
    <w:rsid w:val="00AF5124"/>
    <w:rsid w:val="00AF512D"/>
    <w:rsid w:val="00AF51A2"/>
    <w:rsid w:val="00AF51A4"/>
    <w:rsid w:val="00AF52B5"/>
    <w:rsid w:val="00AF52C2"/>
    <w:rsid w:val="00AF5422"/>
    <w:rsid w:val="00AF5441"/>
    <w:rsid w:val="00AF5487"/>
    <w:rsid w:val="00AF54D9"/>
    <w:rsid w:val="00AF555D"/>
    <w:rsid w:val="00AF555F"/>
    <w:rsid w:val="00AF556A"/>
    <w:rsid w:val="00AF557C"/>
    <w:rsid w:val="00AF5597"/>
    <w:rsid w:val="00AF55E9"/>
    <w:rsid w:val="00AF55FF"/>
    <w:rsid w:val="00AF56F5"/>
    <w:rsid w:val="00AF5769"/>
    <w:rsid w:val="00AF5790"/>
    <w:rsid w:val="00AF57B9"/>
    <w:rsid w:val="00AF5848"/>
    <w:rsid w:val="00AF58D5"/>
    <w:rsid w:val="00AF5995"/>
    <w:rsid w:val="00AF59E4"/>
    <w:rsid w:val="00AF5A1E"/>
    <w:rsid w:val="00AF5A3A"/>
    <w:rsid w:val="00AF5A52"/>
    <w:rsid w:val="00AF5AAD"/>
    <w:rsid w:val="00AF5B3D"/>
    <w:rsid w:val="00AF5BB4"/>
    <w:rsid w:val="00AF5BFA"/>
    <w:rsid w:val="00AF5C07"/>
    <w:rsid w:val="00AF5C53"/>
    <w:rsid w:val="00AF5F72"/>
    <w:rsid w:val="00AF5F87"/>
    <w:rsid w:val="00AF5FC6"/>
    <w:rsid w:val="00AF5FD9"/>
    <w:rsid w:val="00AF6014"/>
    <w:rsid w:val="00AF6093"/>
    <w:rsid w:val="00AF60BB"/>
    <w:rsid w:val="00AF60EB"/>
    <w:rsid w:val="00AF60FB"/>
    <w:rsid w:val="00AF6238"/>
    <w:rsid w:val="00AF625E"/>
    <w:rsid w:val="00AF62B1"/>
    <w:rsid w:val="00AF62DE"/>
    <w:rsid w:val="00AF6311"/>
    <w:rsid w:val="00AF6376"/>
    <w:rsid w:val="00AF637C"/>
    <w:rsid w:val="00AF6475"/>
    <w:rsid w:val="00AF65B3"/>
    <w:rsid w:val="00AF660D"/>
    <w:rsid w:val="00AF6625"/>
    <w:rsid w:val="00AF6635"/>
    <w:rsid w:val="00AF66C7"/>
    <w:rsid w:val="00AF66D3"/>
    <w:rsid w:val="00AF66FC"/>
    <w:rsid w:val="00AF6733"/>
    <w:rsid w:val="00AF6734"/>
    <w:rsid w:val="00AF6765"/>
    <w:rsid w:val="00AF67F5"/>
    <w:rsid w:val="00AF683A"/>
    <w:rsid w:val="00AF683F"/>
    <w:rsid w:val="00AF687F"/>
    <w:rsid w:val="00AF68C1"/>
    <w:rsid w:val="00AF693B"/>
    <w:rsid w:val="00AF6A9C"/>
    <w:rsid w:val="00AF6B57"/>
    <w:rsid w:val="00AF6B58"/>
    <w:rsid w:val="00AF6B59"/>
    <w:rsid w:val="00AF6B7B"/>
    <w:rsid w:val="00AF6B9D"/>
    <w:rsid w:val="00AF6BF3"/>
    <w:rsid w:val="00AF6C0F"/>
    <w:rsid w:val="00AF6C7B"/>
    <w:rsid w:val="00AF6CAA"/>
    <w:rsid w:val="00AF6CBD"/>
    <w:rsid w:val="00AF6CDC"/>
    <w:rsid w:val="00AF6CE0"/>
    <w:rsid w:val="00AF6D04"/>
    <w:rsid w:val="00AF6D7E"/>
    <w:rsid w:val="00AF6E05"/>
    <w:rsid w:val="00AF6E44"/>
    <w:rsid w:val="00AF6E51"/>
    <w:rsid w:val="00AF6E6A"/>
    <w:rsid w:val="00AF6E9A"/>
    <w:rsid w:val="00AF6EDC"/>
    <w:rsid w:val="00AF6F97"/>
    <w:rsid w:val="00AF728E"/>
    <w:rsid w:val="00AF72B4"/>
    <w:rsid w:val="00AF72B9"/>
    <w:rsid w:val="00AF72F0"/>
    <w:rsid w:val="00AF734A"/>
    <w:rsid w:val="00AF7362"/>
    <w:rsid w:val="00AF73E7"/>
    <w:rsid w:val="00AF746B"/>
    <w:rsid w:val="00AF74C2"/>
    <w:rsid w:val="00AF751E"/>
    <w:rsid w:val="00AF75C5"/>
    <w:rsid w:val="00AF760C"/>
    <w:rsid w:val="00AF762E"/>
    <w:rsid w:val="00AF76D8"/>
    <w:rsid w:val="00AF77A1"/>
    <w:rsid w:val="00AF77CD"/>
    <w:rsid w:val="00AF786C"/>
    <w:rsid w:val="00AF788E"/>
    <w:rsid w:val="00AF78E0"/>
    <w:rsid w:val="00AF7904"/>
    <w:rsid w:val="00AF790F"/>
    <w:rsid w:val="00AF795D"/>
    <w:rsid w:val="00AF796C"/>
    <w:rsid w:val="00AF796E"/>
    <w:rsid w:val="00AF79DF"/>
    <w:rsid w:val="00AF79F7"/>
    <w:rsid w:val="00AF7A03"/>
    <w:rsid w:val="00AF7A23"/>
    <w:rsid w:val="00AF7A70"/>
    <w:rsid w:val="00AF7B88"/>
    <w:rsid w:val="00AF7C48"/>
    <w:rsid w:val="00AF7C5B"/>
    <w:rsid w:val="00AF7D02"/>
    <w:rsid w:val="00AF7DA7"/>
    <w:rsid w:val="00AF7DE7"/>
    <w:rsid w:val="00AF7DF7"/>
    <w:rsid w:val="00AF7E4D"/>
    <w:rsid w:val="00AF7E77"/>
    <w:rsid w:val="00AF7F20"/>
    <w:rsid w:val="00AF7F4F"/>
    <w:rsid w:val="00AF7FB4"/>
    <w:rsid w:val="00AF7FC1"/>
    <w:rsid w:val="00AF7FC7"/>
    <w:rsid w:val="00AF7FF9"/>
    <w:rsid w:val="00B0000F"/>
    <w:rsid w:val="00B00046"/>
    <w:rsid w:val="00B000E0"/>
    <w:rsid w:val="00B00185"/>
    <w:rsid w:val="00B001A6"/>
    <w:rsid w:val="00B001B3"/>
    <w:rsid w:val="00B001F1"/>
    <w:rsid w:val="00B00226"/>
    <w:rsid w:val="00B00228"/>
    <w:rsid w:val="00B00260"/>
    <w:rsid w:val="00B0031B"/>
    <w:rsid w:val="00B00345"/>
    <w:rsid w:val="00B0040B"/>
    <w:rsid w:val="00B0045D"/>
    <w:rsid w:val="00B004D5"/>
    <w:rsid w:val="00B0050F"/>
    <w:rsid w:val="00B005C8"/>
    <w:rsid w:val="00B00694"/>
    <w:rsid w:val="00B006DD"/>
    <w:rsid w:val="00B00725"/>
    <w:rsid w:val="00B0075C"/>
    <w:rsid w:val="00B00814"/>
    <w:rsid w:val="00B00817"/>
    <w:rsid w:val="00B008AF"/>
    <w:rsid w:val="00B00923"/>
    <w:rsid w:val="00B00A0E"/>
    <w:rsid w:val="00B00A23"/>
    <w:rsid w:val="00B00A42"/>
    <w:rsid w:val="00B00AA2"/>
    <w:rsid w:val="00B00AF8"/>
    <w:rsid w:val="00B00B25"/>
    <w:rsid w:val="00B00D46"/>
    <w:rsid w:val="00B00DB0"/>
    <w:rsid w:val="00B00E9A"/>
    <w:rsid w:val="00B00EB3"/>
    <w:rsid w:val="00B00F97"/>
    <w:rsid w:val="00B00FA0"/>
    <w:rsid w:val="00B0106C"/>
    <w:rsid w:val="00B010AD"/>
    <w:rsid w:val="00B01276"/>
    <w:rsid w:val="00B01290"/>
    <w:rsid w:val="00B012B8"/>
    <w:rsid w:val="00B012C4"/>
    <w:rsid w:val="00B012FA"/>
    <w:rsid w:val="00B0149D"/>
    <w:rsid w:val="00B0151C"/>
    <w:rsid w:val="00B01698"/>
    <w:rsid w:val="00B016AB"/>
    <w:rsid w:val="00B0174B"/>
    <w:rsid w:val="00B01824"/>
    <w:rsid w:val="00B01826"/>
    <w:rsid w:val="00B018A5"/>
    <w:rsid w:val="00B019C9"/>
    <w:rsid w:val="00B01A66"/>
    <w:rsid w:val="00B01A90"/>
    <w:rsid w:val="00B01AC0"/>
    <w:rsid w:val="00B01AD7"/>
    <w:rsid w:val="00B01AE5"/>
    <w:rsid w:val="00B01B10"/>
    <w:rsid w:val="00B01BD0"/>
    <w:rsid w:val="00B01C91"/>
    <w:rsid w:val="00B01CB3"/>
    <w:rsid w:val="00B01D46"/>
    <w:rsid w:val="00B01E47"/>
    <w:rsid w:val="00B01E66"/>
    <w:rsid w:val="00B01EF0"/>
    <w:rsid w:val="00B01F00"/>
    <w:rsid w:val="00B01F1F"/>
    <w:rsid w:val="00B01F75"/>
    <w:rsid w:val="00B01F9E"/>
    <w:rsid w:val="00B01FF8"/>
    <w:rsid w:val="00B0202E"/>
    <w:rsid w:val="00B02100"/>
    <w:rsid w:val="00B022FA"/>
    <w:rsid w:val="00B02344"/>
    <w:rsid w:val="00B02348"/>
    <w:rsid w:val="00B02425"/>
    <w:rsid w:val="00B02472"/>
    <w:rsid w:val="00B024D6"/>
    <w:rsid w:val="00B0253A"/>
    <w:rsid w:val="00B02643"/>
    <w:rsid w:val="00B02724"/>
    <w:rsid w:val="00B02797"/>
    <w:rsid w:val="00B027A5"/>
    <w:rsid w:val="00B02848"/>
    <w:rsid w:val="00B02885"/>
    <w:rsid w:val="00B028C3"/>
    <w:rsid w:val="00B0297B"/>
    <w:rsid w:val="00B0299A"/>
    <w:rsid w:val="00B029EC"/>
    <w:rsid w:val="00B02A06"/>
    <w:rsid w:val="00B02A3C"/>
    <w:rsid w:val="00B02A85"/>
    <w:rsid w:val="00B02B00"/>
    <w:rsid w:val="00B02C1E"/>
    <w:rsid w:val="00B02CA7"/>
    <w:rsid w:val="00B02CFA"/>
    <w:rsid w:val="00B02DB1"/>
    <w:rsid w:val="00B02EC3"/>
    <w:rsid w:val="00B02F0D"/>
    <w:rsid w:val="00B030E4"/>
    <w:rsid w:val="00B03108"/>
    <w:rsid w:val="00B03287"/>
    <w:rsid w:val="00B032FD"/>
    <w:rsid w:val="00B03317"/>
    <w:rsid w:val="00B03346"/>
    <w:rsid w:val="00B03398"/>
    <w:rsid w:val="00B0339D"/>
    <w:rsid w:val="00B033B3"/>
    <w:rsid w:val="00B0341E"/>
    <w:rsid w:val="00B03421"/>
    <w:rsid w:val="00B03427"/>
    <w:rsid w:val="00B03488"/>
    <w:rsid w:val="00B0349C"/>
    <w:rsid w:val="00B0351C"/>
    <w:rsid w:val="00B03521"/>
    <w:rsid w:val="00B0359A"/>
    <w:rsid w:val="00B035CE"/>
    <w:rsid w:val="00B03734"/>
    <w:rsid w:val="00B03794"/>
    <w:rsid w:val="00B038D2"/>
    <w:rsid w:val="00B03979"/>
    <w:rsid w:val="00B039DD"/>
    <w:rsid w:val="00B03B83"/>
    <w:rsid w:val="00B03BC5"/>
    <w:rsid w:val="00B03C05"/>
    <w:rsid w:val="00B03C3D"/>
    <w:rsid w:val="00B03C72"/>
    <w:rsid w:val="00B03D06"/>
    <w:rsid w:val="00B03D39"/>
    <w:rsid w:val="00B03DCF"/>
    <w:rsid w:val="00B03DD1"/>
    <w:rsid w:val="00B03DF4"/>
    <w:rsid w:val="00B03DF8"/>
    <w:rsid w:val="00B03E4E"/>
    <w:rsid w:val="00B03E5C"/>
    <w:rsid w:val="00B03E6F"/>
    <w:rsid w:val="00B03F5D"/>
    <w:rsid w:val="00B04010"/>
    <w:rsid w:val="00B04019"/>
    <w:rsid w:val="00B04043"/>
    <w:rsid w:val="00B040FC"/>
    <w:rsid w:val="00B04275"/>
    <w:rsid w:val="00B04302"/>
    <w:rsid w:val="00B043CA"/>
    <w:rsid w:val="00B04409"/>
    <w:rsid w:val="00B04463"/>
    <w:rsid w:val="00B04469"/>
    <w:rsid w:val="00B045DB"/>
    <w:rsid w:val="00B045E1"/>
    <w:rsid w:val="00B046F6"/>
    <w:rsid w:val="00B047AF"/>
    <w:rsid w:val="00B047B2"/>
    <w:rsid w:val="00B04857"/>
    <w:rsid w:val="00B048CD"/>
    <w:rsid w:val="00B0496B"/>
    <w:rsid w:val="00B049F9"/>
    <w:rsid w:val="00B04A3E"/>
    <w:rsid w:val="00B04AC6"/>
    <w:rsid w:val="00B04AD9"/>
    <w:rsid w:val="00B04B85"/>
    <w:rsid w:val="00B04BAE"/>
    <w:rsid w:val="00B04BB7"/>
    <w:rsid w:val="00B04C3A"/>
    <w:rsid w:val="00B04CC2"/>
    <w:rsid w:val="00B04CF0"/>
    <w:rsid w:val="00B04CF4"/>
    <w:rsid w:val="00B04D14"/>
    <w:rsid w:val="00B04D84"/>
    <w:rsid w:val="00B04E4B"/>
    <w:rsid w:val="00B04EDE"/>
    <w:rsid w:val="00B050A3"/>
    <w:rsid w:val="00B0518A"/>
    <w:rsid w:val="00B0519E"/>
    <w:rsid w:val="00B05213"/>
    <w:rsid w:val="00B0525D"/>
    <w:rsid w:val="00B052A3"/>
    <w:rsid w:val="00B052A9"/>
    <w:rsid w:val="00B05336"/>
    <w:rsid w:val="00B053B5"/>
    <w:rsid w:val="00B054AD"/>
    <w:rsid w:val="00B054D1"/>
    <w:rsid w:val="00B0552B"/>
    <w:rsid w:val="00B055F5"/>
    <w:rsid w:val="00B05684"/>
    <w:rsid w:val="00B056AF"/>
    <w:rsid w:val="00B05729"/>
    <w:rsid w:val="00B0572B"/>
    <w:rsid w:val="00B0572E"/>
    <w:rsid w:val="00B0578E"/>
    <w:rsid w:val="00B0579A"/>
    <w:rsid w:val="00B05813"/>
    <w:rsid w:val="00B0583D"/>
    <w:rsid w:val="00B05884"/>
    <w:rsid w:val="00B059BF"/>
    <w:rsid w:val="00B059E0"/>
    <w:rsid w:val="00B059FB"/>
    <w:rsid w:val="00B05A42"/>
    <w:rsid w:val="00B05A87"/>
    <w:rsid w:val="00B05ADA"/>
    <w:rsid w:val="00B05ADD"/>
    <w:rsid w:val="00B05B8E"/>
    <w:rsid w:val="00B05BEE"/>
    <w:rsid w:val="00B05C32"/>
    <w:rsid w:val="00B05C44"/>
    <w:rsid w:val="00B05C6E"/>
    <w:rsid w:val="00B05CC7"/>
    <w:rsid w:val="00B05D4F"/>
    <w:rsid w:val="00B05D68"/>
    <w:rsid w:val="00B05D75"/>
    <w:rsid w:val="00B05D7F"/>
    <w:rsid w:val="00B05D80"/>
    <w:rsid w:val="00B05DA0"/>
    <w:rsid w:val="00B05DEB"/>
    <w:rsid w:val="00B05F0A"/>
    <w:rsid w:val="00B05F60"/>
    <w:rsid w:val="00B05FF7"/>
    <w:rsid w:val="00B06090"/>
    <w:rsid w:val="00B06091"/>
    <w:rsid w:val="00B060EF"/>
    <w:rsid w:val="00B0617A"/>
    <w:rsid w:val="00B0618B"/>
    <w:rsid w:val="00B061B7"/>
    <w:rsid w:val="00B06357"/>
    <w:rsid w:val="00B0635A"/>
    <w:rsid w:val="00B06360"/>
    <w:rsid w:val="00B063DC"/>
    <w:rsid w:val="00B063FA"/>
    <w:rsid w:val="00B06462"/>
    <w:rsid w:val="00B0649E"/>
    <w:rsid w:val="00B064BB"/>
    <w:rsid w:val="00B06541"/>
    <w:rsid w:val="00B0654B"/>
    <w:rsid w:val="00B067F0"/>
    <w:rsid w:val="00B067FF"/>
    <w:rsid w:val="00B0683A"/>
    <w:rsid w:val="00B06977"/>
    <w:rsid w:val="00B069B7"/>
    <w:rsid w:val="00B06A55"/>
    <w:rsid w:val="00B06A71"/>
    <w:rsid w:val="00B06A7D"/>
    <w:rsid w:val="00B06AB3"/>
    <w:rsid w:val="00B06AEE"/>
    <w:rsid w:val="00B06B5A"/>
    <w:rsid w:val="00B06B7F"/>
    <w:rsid w:val="00B06B97"/>
    <w:rsid w:val="00B06BA8"/>
    <w:rsid w:val="00B06CB8"/>
    <w:rsid w:val="00B06CBA"/>
    <w:rsid w:val="00B06CCD"/>
    <w:rsid w:val="00B06CE6"/>
    <w:rsid w:val="00B06D3E"/>
    <w:rsid w:val="00B06D4D"/>
    <w:rsid w:val="00B06DCB"/>
    <w:rsid w:val="00B06EE7"/>
    <w:rsid w:val="00B07010"/>
    <w:rsid w:val="00B07052"/>
    <w:rsid w:val="00B0709E"/>
    <w:rsid w:val="00B070C4"/>
    <w:rsid w:val="00B070D3"/>
    <w:rsid w:val="00B070FA"/>
    <w:rsid w:val="00B0710D"/>
    <w:rsid w:val="00B07189"/>
    <w:rsid w:val="00B07239"/>
    <w:rsid w:val="00B07305"/>
    <w:rsid w:val="00B07356"/>
    <w:rsid w:val="00B0738D"/>
    <w:rsid w:val="00B073F9"/>
    <w:rsid w:val="00B07500"/>
    <w:rsid w:val="00B0757F"/>
    <w:rsid w:val="00B075F5"/>
    <w:rsid w:val="00B076CB"/>
    <w:rsid w:val="00B076D1"/>
    <w:rsid w:val="00B076F3"/>
    <w:rsid w:val="00B077BB"/>
    <w:rsid w:val="00B077FD"/>
    <w:rsid w:val="00B07874"/>
    <w:rsid w:val="00B0788D"/>
    <w:rsid w:val="00B079C2"/>
    <w:rsid w:val="00B079CF"/>
    <w:rsid w:val="00B07A0F"/>
    <w:rsid w:val="00B07A47"/>
    <w:rsid w:val="00B07ABA"/>
    <w:rsid w:val="00B07ADD"/>
    <w:rsid w:val="00B07B8D"/>
    <w:rsid w:val="00B07BA3"/>
    <w:rsid w:val="00B07C81"/>
    <w:rsid w:val="00B07D43"/>
    <w:rsid w:val="00B07D7E"/>
    <w:rsid w:val="00B07DFD"/>
    <w:rsid w:val="00B07E83"/>
    <w:rsid w:val="00B07EB7"/>
    <w:rsid w:val="00B07EC0"/>
    <w:rsid w:val="00B07EEA"/>
    <w:rsid w:val="00B07F03"/>
    <w:rsid w:val="00B07F3F"/>
    <w:rsid w:val="00B0A5E8"/>
    <w:rsid w:val="00B10098"/>
    <w:rsid w:val="00B100D0"/>
    <w:rsid w:val="00B100E3"/>
    <w:rsid w:val="00B100ED"/>
    <w:rsid w:val="00B10190"/>
    <w:rsid w:val="00B101BD"/>
    <w:rsid w:val="00B1021F"/>
    <w:rsid w:val="00B10278"/>
    <w:rsid w:val="00B102CF"/>
    <w:rsid w:val="00B102F3"/>
    <w:rsid w:val="00B1031C"/>
    <w:rsid w:val="00B1032B"/>
    <w:rsid w:val="00B1033C"/>
    <w:rsid w:val="00B103C3"/>
    <w:rsid w:val="00B104ED"/>
    <w:rsid w:val="00B1051E"/>
    <w:rsid w:val="00B10646"/>
    <w:rsid w:val="00B1066E"/>
    <w:rsid w:val="00B1069C"/>
    <w:rsid w:val="00B1069D"/>
    <w:rsid w:val="00B1070A"/>
    <w:rsid w:val="00B1074E"/>
    <w:rsid w:val="00B10801"/>
    <w:rsid w:val="00B108B2"/>
    <w:rsid w:val="00B10902"/>
    <w:rsid w:val="00B10950"/>
    <w:rsid w:val="00B10976"/>
    <w:rsid w:val="00B10A2B"/>
    <w:rsid w:val="00B10A61"/>
    <w:rsid w:val="00B10AA7"/>
    <w:rsid w:val="00B10AB3"/>
    <w:rsid w:val="00B10AF2"/>
    <w:rsid w:val="00B10B10"/>
    <w:rsid w:val="00B10B83"/>
    <w:rsid w:val="00B10BFB"/>
    <w:rsid w:val="00B10C24"/>
    <w:rsid w:val="00B10C2B"/>
    <w:rsid w:val="00B10D9D"/>
    <w:rsid w:val="00B10E5B"/>
    <w:rsid w:val="00B10ECF"/>
    <w:rsid w:val="00B10F30"/>
    <w:rsid w:val="00B10F79"/>
    <w:rsid w:val="00B10FAA"/>
    <w:rsid w:val="00B10FB0"/>
    <w:rsid w:val="00B11076"/>
    <w:rsid w:val="00B111DA"/>
    <w:rsid w:val="00B111F0"/>
    <w:rsid w:val="00B11245"/>
    <w:rsid w:val="00B11307"/>
    <w:rsid w:val="00B11368"/>
    <w:rsid w:val="00B113A0"/>
    <w:rsid w:val="00B11474"/>
    <w:rsid w:val="00B114FC"/>
    <w:rsid w:val="00B11611"/>
    <w:rsid w:val="00B1162C"/>
    <w:rsid w:val="00B11703"/>
    <w:rsid w:val="00B1171B"/>
    <w:rsid w:val="00B117DE"/>
    <w:rsid w:val="00B117ED"/>
    <w:rsid w:val="00B1195F"/>
    <w:rsid w:val="00B1198F"/>
    <w:rsid w:val="00B11A3A"/>
    <w:rsid w:val="00B11A41"/>
    <w:rsid w:val="00B11A65"/>
    <w:rsid w:val="00B11AB9"/>
    <w:rsid w:val="00B11B12"/>
    <w:rsid w:val="00B11B9C"/>
    <w:rsid w:val="00B11BFE"/>
    <w:rsid w:val="00B11C58"/>
    <w:rsid w:val="00B11D12"/>
    <w:rsid w:val="00B11E1F"/>
    <w:rsid w:val="00B11FD7"/>
    <w:rsid w:val="00B1204E"/>
    <w:rsid w:val="00B1209B"/>
    <w:rsid w:val="00B120BC"/>
    <w:rsid w:val="00B12127"/>
    <w:rsid w:val="00B12226"/>
    <w:rsid w:val="00B12369"/>
    <w:rsid w:val="00B123DF"/>
    <w:rsid w:val="00B12437"/>
    <w:rsid w:val="00B1243B"/>
    <w:rsid w:val="00B1247F"/>
    <w:rsid w:val="00B12539"/>
    <w:rsid w:val="00B12601"/>
    <w:rsid w:val="00B12604"/>
    <w:rsid w:val="00B12606"/>
    <w:rsid w:val="00B126A5"/>
    <w:rsid w:val="00B126BD"/>
    <w:rsid w:val="00B126E3"/>
    <w:rsid w:val="00B1271D"/>
    <w:rsid w:val="00B127A4"/>
    <w:rsid w:val="00B127E7"/>
    <w:rsid w:val="00B1280A"/>
    <w:rsid w:val="00B1282D"/>
    <w:rsid w:val="00B128AB"/>
    <w:rsid w:val="00B128AC"/>
    <w:rsid w:val="00B128D6"/>
    <w:rsid w:val="00B12939"/>
    <w:rsid w:val="00B129C7"/>
    <w:rsid w:val="00B12A3F"/>
    <w:rsid w:val="00B12A5E"/>
    <w:rsid w:val="00B12AAC"/>
    <w:rsid w:val="00B12AB4"/>
    <w:rsid w:val="00B12ADA"/>
    <w:rsid w:val="00B12B46"/>
    <w:rsid w:val="00B12C10"/>
    <w:rsid w:val="00B12C31"/>
    <w:rsid w:val="00B12D26"/>
    <w:rsid w:val="00B12D50"/>
    <w:rsid w:val="00B12D59"/>
    <w:rsid w:val="00B12EBB"/>
    <w:rsid w:val="00B12EEB"/>
    <w:rsid w:val="00B12F04"/>
    <w:rsid w:val="00B12F2F"/>
    <w:rsid w:val="00B13072"/>
    <w:rsid w:val="00B13086"/>
    <w:rsid w:val="00B130AC"/>
    <w:rsid w:val="00B130BB"/>
    <w:rsid w:val="00B130C2"/>
    <w:rsid w:val="00B1312E"/>
    <w:rsid w:val="00B131A1"/>
    <w:rsid w:val="00B13281"/>
    <w:rsid w:val="00B1332C"/>
    <w:rsid w:val="00B133B7"/>
    <w:rsid w:val="00B133F0"/>
    <w:rsid w:val="00B13447"/>
    <w:rsid w:val="00B1344A"/>
    <w:rsid w:val="00B1346F"/>
    <w:rsid w:val="00B134C0"/>
    <w:rsid w:val="00B13533"/>
    <w:rsid w:val="00B13559"/>
    <w:rsid w:val="00B13696"/>
    <w:rsid w:val="00B136C0"/>
    <w:rsid w:val="00B136D8"/>
    <w:rsid w:val="00B1382E"/>
    <w:rsid w:val="00B138BD"/>
    <w:rsid w:val="00B1398A"/>
    <w:rsid w:val="00B139C8"/>
    <w:rsid w:val="00B13A3C"/>
    <w:rsid w:val="00B13B27"/>
    <w:rsid w:val="00B13B64"/>
    <w:rsid w:val="00B13B6F"/>
    <w:rsid w:val="00B13B77"/>
    <w:rsid w:val="00B13BC8"/>
    <w:rsid w:val="00B13BD9"/>
    <w:rsid w:val="00B13C06"/>
    <w:rsid w:val="00B13C4B"/>
    <w:rsid w:val="00B13C6C"/>
    <w:rsid w:val="00B13D20"/>
    <w:rsid w:val="00B13D2F"/>
    <w:rsid w:val="00B13D56"/>
    <w:rsid w:val="00B13D6E"/>
    <w:rsid w:val="00B13DBA"/>
    <w:rsid w:val="00B13E87"/>
    <w:rsid w:val="00B13E96"/>
    <w:rsid w:val="00B13F31"/>
    <w:rsid w:val="00B13F5D"/>
    <w:rsid w:val="00B13F9C"/>
    <w:rsid w:val="00B13FEB"/>
    <w:rsid w:val="00B14066"/>
    <w:rsid w:val="00B140D5"/>
    <w:rsid w:val="00B14101"/>
    <w:rsid w:val="00B14122"/>
    <w:rsid w:val="00B1413F"/>
    <w:rsid w:val="00B14193"/>
    <w:rsid w:val="00B141AB"/>
    <w:rsid w:val="00B141C1"/>
    <w:rsid w:val="00B141CE"/>
    <w:rsid w:val="00B14225"/>
    <w:rsid w:val="00B142E6"/>
    <w:rsid w:val="00B1438D"/>
    <w:rsid w:val="00B1454D"/>
    <w:rsid w:val="00B14725"/>
    <w:rsid w:val="00B1475A"/>
    <w:rsid w:val="00B14984"/>
    <w:rsid w:val="00B149A3"/>
    <w:rsid w:val="00B14B2E"/>
    <w:rsid w:val="00B14B6F"/>
    <w:rsid w:val="00B14B8B"/>
    <w:rsid w:val="00B14BBE"/>
    <w:rsid w:val="00B14BD3"/>
    <w:rsid w:val="00B14BE8"/>
    <w:rsid w:val="00B14CCF"/>
    <w:rsid w:val="00B14D8F"/>
    <w:rsid w:val="00B14DC1"/>
    <w:rsid w:val="00B14E5B"/>
    <w:rsid w:val="00B14E92"/>
    <w:rsid w:val="00B14EA8"/>
    <w:rsid w:val="00B14EFC"/>
    <w:rsid w:val="00B14F72"/>
    <w:rsid w:val="00B14FB0"/>
    <w:rsid w:val="00B14FC9"/>
    <w:rsid w:val="00B15039"/>
    <w:rsid w:val="00B150B3"/>
    <w:rsid w:val="00B15105"/>
    <w:rsid w:val="00B15119"/>
    <w:rsid w:val="00B15243"/>
    <w:rsid w:val="00B1532B"/>
    <w:rsid w:val="00B1537A"/>
    <w:rsid w:val="00B153C1"/>
    <w:rsid w:val="00B153D4"/>
    <w:rsid w:val="00B154D3"/>
    <w:rsid w:val="00B154FF"/>
    <w:rsid w:val="00B15555"/>
    <w:rsid w:val="00B15557"/>
    <w:rsid w:val="00B155DF"/>
    <w:rsid w:val="00B155EC"/>
    <w:rsid w:val="00B15672"/>
    <w:rsid w:val="00B15701"/>
    <w:rsid w:val="00B1577E"/>
    <w:rsid w:val="00B15781"/>
    <w:rsid w:val="00B158CC"/>
    <w:rsid w:val="00B1591A"/>
    <w:rsid w:val="00B1594D"/>
    <w:rsid w:val="00B1595B"/>
    <w:rsid w:val="00B15B9E"/>
    <w:rsid w:val="00B15C47"/>
    <w:rsid w:val="00B15CA3"/>
    <w:rsid w:val="00B15CE4"/>
    <w:rsid w:val="00B15D0B"/>
    <w:rsid w:val="00B15D2C"/>
    <w:rsid w:val="00B15D72"/>
    <w:rsid w:val="00B15E85"/>
    <w:rsid w:val="00B15EC3"/>
    <w:rsid w:val="00B15EEF"/>
    <w:rsid w:val="00B15F7E"/>
    <w:rsid w:val="00B15FBA"/>
    <w:rsid w:val="00B15FD8"/>
    <w:rsid w:val="00B15FE3"/>
    <w:rsid w:val="00B1607A"/>
    <w:rsid w:val="00B1609A"/>
    <w:rsid w:val="00B160D3"/>
    <w:rsid w:val="00B161AF"/>
    <w:rsid w:val="00B1620C"/>
    <w:rsid w:val="00B1624F"/>
    <w:rsid w:val="00B1627D"/>
    <w:rsid w:val="00B162F7"/>
    <w:rsid w:val="00B16318"/>
    <w:rsid w:val="00B163F5"/>
    <w:rsid w:val="00B16404"/>
    <w:rsid w:val="00B1642F"/>
    <w:rsid w:val="00B1644E"/>
    <w:rsid w:val="00B16477"/>
    <w:rsid w:val="00B1656C"/>
    <w:rsid w:val="00B16613"/>
    <w:rsid w:val="00B1675C"/>
    <w:rsid w:val="00B16787"/>
    <w:rsid w:val="00B167A3"/>
    <w:rsid w:val="00B167BD"/>
    <w:rsid w:val="00B16852"/>
    <w:rsid w:val="00B168A0"/>
    <w:rsid w:val="00B1695D"/>
    <w:rsid w:val="00B16974"/>
    <w:rsid w:val="00B1699E"/>
    <w:rsid w:val="00B169F2"/>
    <w:rsid w:val="00B16A64"/>
    <w:rsid w:val="00B16A6B"/>
    <w:rsid w:val="00B16AD5"/>
    <w:rsid w:val="00B16AEF"/>
    <w:rsid w:val="00B16B3C"/>
    <w:rsid w:val="00B16CDD"/>
    <w:rsid w:val="00B16E6A"/>
    <w:rsid w:val="00B16EBA"/>
    <w:rsid w:val="00B16F13"/>
    <w:rsid w:val="00B16F7F"/>
    <w:rsid w:val="00B170AA"/>
    <w:rsid w:val="00B17167"/>
    <w:rsid w:val="00B17253"/>
    <w:rsid w:val="00B172E8"/>
    <w:rsid w:val="00B17302"/>
    <w:rsid w:val="00B173F0"/>
    <w:rsid w:val="00B1743B"/>
    <w:rsid w:val="00B17456"/>
    <w:rsid w:val="00B17459"/>
    <w:rsid w:val="00B17464"/>
    <w:rsid w:val="00B17474"/>
    <w:rsid w:val="00B175D7"/>
    <w:rsid w:val="00B17628"/>
    <w:rsid w:val="00B176AF"/>
    <w:rsid w:val="00B17713"/>
    <w:rsid w:val="00B17746"/>
    <w:rsid w:val="00B177BF"/>
    <w:rsid w:val="00B17816"/>
    <w:rsid w:val="00B1781C"/>
    <w:rsid w:val="00B178F3"/>
    <w:rsid w:val="00B17935"/>
    <w:rsid w:val="00B17999"/>
    <w:rsid w:val="00B1799A"/>
    <w:rsid w:val="00B17A4A"/>
    <w:rsid w:val="00B17AA1"/>
    <w:rsid w:val="00B17AD1"/>
    <w:rsid w:val="00B17B4E"/>
    <w:rsid w:val="00B17C88"/>
    <w:rsid w:val="00B17CA6"/>
    <w:rsid w:val="00B17CC8"/>
    <w:rsid w:val="00B17D54"/>
    <w:rsid w:val="00B17D71"/>
    <w:rsid w:val="00B17E76"/>
    <w:rsid w:val="00B17EAE"/>
    <w:rsid w:val="00B17F3A"/>
    <w:rsid w:val="00B2001E"/>
    <w:rsid w:val="00B20079"/>
    <w:rsid w:val="00B200F0"/>
    <w:rsid w:val="00B2015A"/>
    <w:rsid w:val="00B2016C"/>
    <w:rsid w:val="00B20194"/>
    <w:rsid w:val="00B201A2"/>
    <w:rsid w:val="00B201BC"/>
    <w:rsid w:val="00B2025F"/>
    <w:rsid w:val="00B20291"/>
    <w:rsid w:val="00B202C0"/>
    <w:rsid w:val="00B202CD"/>
    <w:rsid w:val="00B2037F"/>
    <w:rsid w:val="00B203E4"/>
    <w:rsid w:val="00B20466"/>
    <w:rsid w:val="00B20505"/>
    <w:rsid w:val="00B20583"/>
    <w:rsid w:val="00B2059B"/>
    <w:rsid w:val="00B20660"/>
    <w:rsid w:val="00B206B7"/>
    <w:rsid w:val="00B206EC"/>
    <w:rsid w:val="00B206FD"/>
    <w:rsid w:val="00B207EB"/>
    <w:rsid w:val="00B20814"/>
    <w:rsid w:val="00B20822"/>
    <w:rsid w:val="00B209DF"/>
    <w:rsid w:val="00B20A04"/>
    <w:rsid w:val="00B20A16"/>
    <w:rsid w:val="00B20A22"/>
    <w:rsid w:val="00B20BE9"/>
    <w:rsid w:val="00B20C0E"/>
    <w:rsid w:val="00B20CAB"/>
    <w:rsid w:val="00B20CE0"/>
    <w:rsid w:val="00B20DFF"/>
    <w:rsid w:val="00B20E1A"/>
    <w:rsid w:val="00B20E74"/>
    <w:rsid w:val="00B20FCF"/>
    <w:rsid w:val="00B2100A"/>
    <w:rsid w:val="00B210D0"/>
    <w:rsid w:val="00B210D5"/>
    <w:rsid w:val="00B21175"/>
    <w:rsid w:val="00B211CD"/>
    <w:rsid w:val="00B211E1"/>
    <w:rsid w:val="00B2124C"/>
    <w:rsid w:val="00B212A2"/>
    <w:rsid w:val="00B21313"/>
    <w:rsid w:val="00B21336"/>
    <w:rsid w:val="00B21349"/>
    <w:rsid w:val="00B21377"/>
    <w:rsid w:val="00B2138A"/>
    <w:rsid w:val="00B213EA"/>
    <w:rsid w:val="00B213F7"/>
    <w:rsid w:val="00B2149D"/>
    <w:rsid w:val="00B214F9"/>
    <w:rsid w:val="00B2150A"/>
    <w:rsid w:val="00B215A6"/>
    <w:rsid w:val="00B215AE"/>
    <w:rsid w:val="00B2169B"/>
    <w:rsid w:val="00B216A3"/>
    <w:rsid w:val="00B21720"/>
    <w:rsid w:val="00B21777"/>
    <w:rsid w:val="00B21778"/>
    <w:rsid w:val="00B21797"/>
    <w:rsid w:val="00B217DD"/>
    <w:rsid w:val="00B217F1"/>
    <w:rsid w:val="00B21816"/>
    <w:rsid w:val="00B21825"/>
    <w:rsid w:val="00B218CE"/>
    <w:rsid w:val="00B21902"/>
    <w:rsid w:val="00B21989"/>
    <w:rsid w:val="00B21A96"/>
    <w:rsid w:val="00B21AC1"/>
    <w:rsid w:val="00B21B68"/>
    <w:rsid w:val="00B21B8F"/>
    <w:rsid w:val="00B21BBC"/>
    <w:rsid w:val="00B21BF3"/>
    <w:rsid w:val="00B21C33"/>
    <w:rsid w:val="00B21D0C"/>
    <w:rsid w:val="00B21D99"/>
    <w:rsid w:val="00B21DE5"/>
    <w:rsid w:val="00B21E19"/>
    <w:rsid w:val="00B21E1E"/>
    <w:rsid w:val="00B21E26"/>
    <w:rsid w:val="00B21E71"/>
    <w:rsid w:val="00B21F08"/>
    <w:rsid w:val="00B21F68"/>
    <w:rsid w:val="00B21F77"/>
    <w:rsid w:val="00B2204E"/>
    <w:rsid w:val="00B2206A"/>
    <w:rsid w:val="00B2218D"/>
    <w:rsid w:val="00B221E1"/>
    <w:rsid w:val="00B222C9"/>
    <w:rsid w:val="00B222D2"/>
    <w:rsid w:val="00B2230D"/>
    <w:rsid w:val="00B2236C"/>
    <w:rsid w:val="00B223CC"/>
    <w:rsid w:val="00B223E2"/>
    <w:rsid w:val="00B223E4"/>
    <w:rsid w:val="00B224A4"/>
    <w:rsid w:val="00B224CE"/>
    <w:rsid w:val="00B224D5"/>
    <w:rsid w:val="00B224FB"/>
    <w:rsid w:val="00B22515"/>
    <w:rsid w:val="00B2251E"/>
    <w:rsid w:val="00B22650"/>
    <w:rsid w:val="00B22673"/>
    <w:rsid w:val="00B226BE"/>
    <w:rsid w:val="00B226F2"/>
    <w:rsid w:val="00B226F6"/>
    <w:rsid w:val="00B22726"/>
    <w:rsid w:val="00B22733"/>
    <w:rsid w:val="00B227C5"/>
    <w:rsid w:val="00B227DA"/>
    <w:rsid w:val="00B22816"/>
    <w:rsid w:val="00B22866"/>
    <w:rsid w:val="00B22880"/>
    <w:rsid w:val="00B228C8"/>
    <w:rsid w:val="00B22938"/>
    <w:rsid w:val="00B229DF"/>
    <w:rsid w:val="00B22AB3"/>
    <w:rsid w:val="00B22AD1"/>
    <w:rsid w:val="00B22B09"/>
    <w:rsid w:val="00B22B43"/>
    <w:rsid w:val="00B22BC6"/>
    <w:rsid w:val="00B22BD7"/>
    <w:rsid w:val="00B22C72"/>
    <w:rsid w:val="00B22D67"/>
    <w:rsid w:val="00B22DFE"/>
    <w:rsid w:val="00B22EB3"/>
    <w:rsid w:val="00B22EDB"/>
    <w:rsid w:val="00B22F89"/>
    <w:rsid w:val="00B22FA0"/>
    <w:rsid w:val="00B2303A"/>
    <w:rsid w:val="00B230DC"/>
    <w:rsid w:val="00B2310D"/>
    <w:rsid w:val="00B23144"/>
    <w:rsid w:val="00B23145"/>
    <w:rsid w:val="00B2317E"/>
    <w:rsid w:val="00B2319B"/>
    <w:rsid w:val="00B231E1"/>
    <w:rsid w:val="00B231F8"/>
    <w:rsid w:val="00B2323D"/>
    <w:rsid w:val="00B2329C"/>
    <w:rsid w:val="00B23328"/>
    <w:rsid w:val="00B23364"/>
    <w:rsid w:val="00B233C8"/>
    <w:rsid w:val="00B23421"/>
    <w:rsid w:val="00B23476"/>
    <w:rsid w:val="00B2347F"/>
    <w:rsid w:val="00B2349B"/>
    <w:rsid w:val="00B234CE"/>
    <w:rsid w:val="00B234DE"/>
    <w:rsid w:val="00B23509"/>
    <w:rsid w:val="00B23549"/>
    <w:rsid w:val="00B2357C"/>
    <w:rsid w:val="00B2358B"/>
    <w:rsid w:val="00B235B8"/>
    <w:rsid w:val="00B235CF"/>
    <w:rsid w:val="00B235E5"/>
    <w:rsid w:val="00B23675"/>
    <w:rsid w:val="00B23685"/>
    <w:rsid w:val="00B236D3"/>
    <w:rsid w:val="00B23715"/>
    <w:rsid w:val="00B23835"/>
    <w:rsid w:val="00B2383D"/>
    <w:rsid w:val="00B2383F"/>
    <w:rsid w:val="00B23890"/>
    <w:rsid w:val="00B23900"/>
    <w:rsid w:val="00B23958"/>
    <w:rsid w:val="00B23A6E"/>
    <w:rsid w:val="00B23ADC"/>
    <w:rsid w:val="00B23AE0"/>
    <w:rsid w:val="00B23BD6"/>
    <w:rsid w:val="00B23BE0"/>
    <w:rsid w:val="00B23C0C"/>
    <w:rsid w:val="00B23C51"/>
    <w:rsid w:val="00B23C6E"/>
    <w:rsid w:val="00B23D0F"/>
    <w:rsid w:val="00B23D26"/>
    <w:rsid w:val="00B23DA3"/>
    <w:rsid w:val="00B23DC4"/>
    <w:rsid w:val="00B23E51"/>
    <w:rsid w:val="00B23F0B"/>
    <w:rsid w:val="00B23F16"/>
    <w:rsid w:val="00B23F34"/>
    <w:rsid w:val="00B23F75"/>
    <w:rsid w:val="00B24022"/>
    <w:rsid w:val="00B24037"/>
    <w:rsid w:val="00B240A1"/>
    <w:rsid w:val="00B24112"/>
    <w:rsid w:val="00B2412C"/>
    <w:rsid w:val="00B24230"/>
    <w:rsid w:val="00B2427B"/>
    <w:rsid w:val="00B24290"/>
    <w:rsid w:val="00B242B7"/>
    <w:rsid w:val="00B24353"/>
    <w:rsid w:val="00B2437D"/>
    <w:rsid w:val="00B24411"/>
    <w:rsid w:val="00B244B9"/>
    <w:rsid w:val="00B2451C"/>
    <w:rsid w:val="00B24530"/>
    <w:rsid w:val="00B245C6"/>
    <w:rsid w:val="00B245E9"/>
    <w:rsid w:val="00B246C2"/>
    <w:rsid w:val="00B2470C"/>
    <w:rsid w:val="00B247AF"/>
    <w:rsid w:val="00B24836"/>
    <w:rsid w:val="00B248B4"/>
    <w:rsid w:val="00B248FE"/>
    <w:rsid w:val="00B24938"/>
    <w:rsid w:val="00B249B5"/>
    <w:rsid w:val="00B24A28"/>
    <w:rsid w:val="00B24A68"/>
    <w:rsid w:val="00B24A8D"/>
    <w:rsid w:val="00B24B19"/>
    <w:rsid w:val="00B24B31"/>
    <w:rsid w:val="00B24B57"/>
    <w:rsid w:val="00B24B6D"/>
    <w:rsid w:val="00B24BE1"/>
    <w:rsid w:val="00B24BE9"/>
    <w:rsid w:val="00B24C3F"/>
    <w:rsid w:val="00B24CC7"/>
    <w:rsid w:val="00B24D1C"/>
    <w:rsid w:val="00B24D68"/>
    <w:rsid w:val="00B24E21"/>
    <w:rsid w:val="00B24E38"/>
    <w:rsid w:val="00B24E57"/>
    <w:rsid w:val="00B24EB9"/>
    <w:rsid w:val="00B24ED1"/>
    <w:rsid w:val="00B24ED8"/>
    <w:rsid w:val="00B24EFD"/>
    <w:rsid w:val="00B24F74"/>
    <w:rsid w:val="00B24F93"/>
    <w:rsid w:val="00B24F9D"/>
    <w:rsid w:val="00B24FD0"/>
    <w:rsid w:val="00B25053"/>
    <w:rsid w:val="00B250EA"/>
    <w:rsid w:val="00B250EC"/>
    <w:rsid w:val="00B2518C"/>
    <w:rsid w:val="00B251AE"/>
    <w:rsid w:val="00B251C0"/>
    <w:rsid w:val="00B251CC"/>
    <w:rsid w:val="00B25221"/>
    <w:rsid w:val="00B252AD"/>
    <w:rsid w:val="00B252D5"/>
    <w:rsid w:val="00B253C2"/>
    <w:rsid w:val="00B253CB"/>
    <w:rsid w:val="00B253E8"/>
    <w:rsid w:val="00B25406"/>
    <w:rsid w:val="00B25426"/>
    <w:rsid w:val="00B25444"/>
    <w:rsid w:val="00B255DF"/>
    <w:rsid w:val="00B25693"/>
    <w:rsid w:val="00B25697"/>
    <w:rsid w:val="00B256BD"/>
    <w:rsid w:val="00B257B8"/>
    <w:rsid w:val="00B2580D"/>
    <w:rsid w:val="00B25818"/>
    <w:rsid w:val="00B25831"/>
    <w:rsid w:val="00B2587B"/>
    <w:rsid w:val="00B258B2"/>
    <w:rsid w:val="00B258B4"/>
    <w:rsid w:val="00B25994"/>
    <w:rsid w:val="00B259AF"/>
    <w:rsid w:val="00B25A09"/>
    <w:rsid w:val="00B25ADD"/>
    <w:rsid w:val="00B25AEB"/>
    <w:rsid w:val="00B25AFF"/>
    <w:rsid w:val="00B25B0C"/>
    <w:rsid w:val="00B25B11"/>
    <w:rsid w:val="00B25B72"/>
    <w:rsid w:val="00B25B99"/>
    <w:rsid w:val="00B25BBC"/>
    <w:rsid w:val="00B25C1C"/>
    <w:rsid w:val="00B25C43"/>
    <w:rsid w:val="00B25C7C"/>
    <w:rsid w:val="00B25CB0"/>
    <w:rsid w:val="00B25D1A"/>
    <w:rsid w:val="00B25D62"/>
    <w:rsid w:val="00B25DAB"/>
    <w:rsid w:val="00B25E1E"/>
    <w:rsid w:val="00B25E2F"/>
    <w:rsid w:val="00B25E32"/>
    <w:rsid w:val="00B25E48"/>
    <w:rsid w:val="00B25F3F"/>
    <w:rsid w:val="00B25F72"/>
    <w:rsid w:val="00B25FF1"/>
    <w:rsid w:val="00B26047"/>
    <w:rsid w:val="00B26092"/>
    <w:rsid w:val="00B26136"/>
    <w:rsid w:val="00B261B4"/>
    <w:rsid w:val="00B2626A"/>
    <w:rsid w:val="00B2627B"/>
    <w:rsid w:val="00B2633F"/>
    <w:rsid w:val="00B26355"/>
    <w:rsid w:val="00B2638B"/>
    <w:rsid w:val="00B26399"/>
    <w:rsid w:val="00B2639B"/>
    <w:rsid w:val="00B26438"/>
    <w:rsid w:val="00B2647E"/>
    <w:rsid w:val="00B26626"/>
    <w:rsid w:val="00B26696"/>
    <w:rsid w:val="00B266FD"/>
    <w:rsid w:val="00B26741"/>
    <w:rsid w:val="00B2674B"/>
    <w:rsid w:val="00B2678C"/>
    <w:rsid w:val="00B2683D"/>
    <w:rsid w:val="00B268C4"/>
    <w:rsid w:val="00B2690D"/>
    <w:rsid w:val="00B2697F"/>
    <w:rsid w:val="00B26A1F"/>
    <w:rsid w:val="00B26A53"/>
    <w:rsid w:val="00B26AF7"/>
    <w:rsid w:val="00B26B76"/>
    <w:rsid w:val="00B26C10"/>
    <w:rsid w:val="00B26CF8"/>
    <w:rsid w:val="00B26D4C"/>
    <w:rsid w:val="00B26EC5"/>
    <w:rsid w:val="00B26EEC"/>
    <w:rsid w:val="00B2709D"/>
    <w:rsid w:val="00B27134"/>
    <w:rsid w:val="00B27158"/>
    <w:rsid w:val="00B271CC"/>
    <w:rsid w:val="00B27264"/>
    <w:rsid w:val="00B272A8"/>
    <w:rsid w:val="00B2731C"/>
    <w:rsid w:val="00B2735A"/>
    <w:rsid w:val="00B273D8"/>
    <w:rsid w:val="00B2740A"/>
    <w:rsid w:val="00B2743E"/>
    <w:rsid w:val="00B274C5"/>
    <w:rsid w:val="00B27549"/>
    <w:rsid w:val="00B2758E"/>
    <w:rsid w:val="00B275BD"/>
    <w:rsid w:val="00B275F2"/>
    <w:rsid w:val="00B276B6"/>
    <w:rsid w:val="00B27725"/>
    <w:rsid w:val="00B27737"/>
    <w:rsid w:val="00B27745"/>
    <w:rsid w:val="00B27748"/>
    <w:rsid w:val="00B27750"/>
    <w:rsid w:val="00B277A8"/>
    <w:rsid w:val="00B277DB"/>
    <w:rsid w:val="00B27871"/>
    <w:rsid w:val="00B278D6"/>
    <w:rsid w:val="00B27996"/>
    <w:rsid w:val="00B279C2"/>
    <w:rsid w:val="00B279DA"/>
    <w:rsid w:val="00B27B50"/>
    <w:rsid w:val="00B27B8C"/>
    <w:rsid w:val="00B27BBF"/>
    <w:rsid w:val="00B27C77"/>
    <w:rsid w:val="00B27D34"/>
    <w:rsid w:val="00B27D4F"/>
    <w:rsid w:val="00B27D56"/>
    <w:rsid w:val="00B27DA8"/>
    <w:rsid w:val="00B27DCC"/>
    <w:rsid w:val="00B27E7E"/>
    <w:rsid w:val="00B27EAE"/>
    <w:rsid w:val="00B27F05"/>
    <w:rsid w:val="00B27FFB"/>
    <w:rsid w:val="00B30046"/>
    <w:rsid w:val="00B3012E"/>
    <w:rsid w:val="00B301D0"/>
    <w:rsid w:val="00B3028F"/>
    <w:rsid w:val="00B3029B"/>
    <w:rsid w:val="00B302DC"/>
    <w:rsid w:val="00B3038B"/>
    <w:rsid w:val="00B303B5"/>
    <w:rsid w:val="00B30496"/>
    <w:rsid w:val="00B30552"/>
    <w:rsid w:val="00B305BE"/>
    <w:rsid w:val="00B305CA"/>
    <w:rsid w:val="00B30683"/>
    <w:rsid w:val="00B306EB"/>
    <w:rsid w:val="00B30706"/>
    <w:rsid w:val="00B307E0"/>
    <w:rsid w:val="00B307E4"/>
    <w:rsid w:val="00B30880"/>
    <w:rsid w:val="00B309EF"/>
    <w:rsid w:val="00B30A39"/>
    <w:rsid w:val="00B30AD9"/>
    <w:rsid w:val="00B30BD8"/>
    <w:rsid w:val="00B30C65"/>
    <w:rsid w:val="00B30C6D"/>
    <w:rsid w:val="00B30CCF"/>
    <w:rsid w:val="00B30D12"/>
    <w:rsid w:val="00B30D4B"/>
    <w:rsid w:val="00B30D5A"/>
    <w:rsid w:val="00B30D6D"/>
    <w:rsid w:val="00B30D7B"/>
    <w:rsid w:val="00B30E47"/>
    <w:rsid w:val="00B30EC9"/>
    <w:rsid w:val="00B30F85"/>
    <w:rsid w:val="00B30FC1"/>
    <w:rsid w:val="00B30FDA"/>
    <w:rsid w:val="00B31012"/>
    <w:rsid w:val="00B31073"/>
    <w:rsid w:val="00B31084"/>
    <w:rsid w:val="00B31094"/>
    <w:rsid w:val="00B310A6"/>
    <w:rsid w:val="00B3115E"/>
    <w:rsid w:val="00B3117C"/>
    <w:rsid w:val="00B311F3"/>
    <w:rsid w:val="00B312B5"/>
    <w:rsid w:val="00B312CE"/>
    <w:rsid w:val="00B312D3"/>
    <w:rsid w:val="00B312FD"/>
    <w:rsid w:val="00B3133D"/>
    <w:rsid w:val="00B31368"/>
    <w:rsid w:val="00B3136D"/>
    <w:rsid w:val="00B313AF"/>
    <w:rsid w:val="00B313CB"/>
    <w:rsid w:val="00B31457"/>
    <w:rsid w:val="00B314F8"/>
    <w:rsid w:val="00B31548"/>
    <w:rsid w:val="00B315BE"/>
    <w:rsid w:val="00B315C5"/>
    <w:rsid w:val="00B315CE"/>
    <w:rsid w:val="00B315FE"/>
    <w:rsid w:val="00B31647"/>
    <w:rsid w:val="00B316C5"/>
    <w:rsid w:val="00B31778"/>
    <w:rsid w:val="00B3180E"/>
    <w:rsid w:val="00B3184F"/>
    <w:rsid w:val="00B31881"/>
    <w:rsid w:val="00B31924"/>
    <w:rsid w:val="00B31953"/>
    <w:rsid w:val="00B319A3"/>
    <w:rsid w:val="00B31A02"/>
    <w:rsid w:val="00B31A3F"/>
    <w:rsid w:val="00B31A8F"/>
    <w:rsid w:val="00B31C5B"/>
    <w:rsid w:val="00B31C7C"/>
    <w:rsid w:val="00B31D09"/>
    <w:rsid w:val="00B31DFE"/>
    <w:rsid w:val="00B31E6F"/>
    <w:rsid w:val="00B31EC8"/>
    <w:rsid w:val="00B31ED7"/>
    <w:rsid w:val="00B31F5B"/>
    <w:rsid w:val="00B3203F"/>
    <w:rsid w:val="00B320CD"/>
    <w:rsid w:val="00B3214B"/>
    <w:rsid w:val="00B321BB"/>
    <w:rsid w:val="00B3226E"/>
    <w:rsid w:val="00B323FF"/>
    <w:rsid w:val="00B32418"/>
    <w:rsid w:val="00B32491"/>
    <w:rsid w:val="00B324B7"/>
    <w:rsid w:val="00B324F8"/>
    <w:rsid w:val="00B32546"/>
    <w:rsid w:val="00B32620"/>
    <w:rsid w:val="00B3265C"/>
    <w:rsid w:val="00B3265E"/>
    <w:rsid w:val="00B32677"/>
    <w:rsid w:val="00B326CC"/>
    <w:rsid w:val="00B326FA"/>
    <w:rsid w:val="00B326FC"/>
    <w:rsid w:val="00B32715"/>
    <w:rsid w:val="00B3278D"/>
    <w:rsid w:val="00B327F3"/>
    <w:rsid w:val="00B3282A"/>
    <w:rsid w:val="00B32919"/>
    <w:rsid w:val="00B32978"/>
    <w:rsid w:val="00B32AD7"/>
    <w:rsid w:val="00B32B4E"/>
    <w:rsid w:val="00B32B92"/>
    <w:rsid w:val="00B32BCE"/>
    <w:rsid w:val="00B32BF2"/>
    <w:rsid w:val="00B32C09"/>
    <w:rsid w:val="00B32C7D"/>
    <w:rsid w:val="00B32CC8"/>
    <w:rsid w:val="00B32D9C"/>
    <w:rsid w:val="00B32DB6"/>
    <w:rsid w:val="00B32E88"/>
    <w:rsid w:val="00B32EA8"/>
    <w:rsid w:val="00B32FF4"/>
    <w:rsid w:val="00B33012"/>
    <w:rsid w:val="00B3304C"/>
    <w:rsid w:val="00B330C7"/>
    <w:rsid w:val="00B330D6"/>
    <w:rsid w:val="00B3314A"/>
    <w:rsid w:val="00B33170"/>
    <w:rsid w:val="00B33175"/>
    <w:rsid w:val="00B33230"/>
    <w:rsid w:val="00B332A1"/>
    <w:rsid w:val="00B33322"/>
    <w:rsid w:val="00B3332D"/>
    <w:rsid w:val="00B33370"/>
    <w:rsid w:val="00B33412"/>
    <w:rsid w:val="00B3344E"/>
    <w:rsid w:val="00B335C3"/>
    <w:rsid w:val="00B33623"/>
    <w:rsid w:val="00B3362D"/>
    <w:rsid w:val="00B336F3"/>
    <w:rsid w:val="00B33872"/>
    <w:rsid w:val="00B338CB"/>
    <w:rsid w:val="00B3390E"/>
    <w:rsid w:val="00B33938"/>
    <w:rsid w:val="00B3397D"/>
    <w:rsid w:val="00B3398E"/>
    <w:rsid w:val="00B33A1F"/>
    <w:rsid w:val="00B33A2C"/>
    <w:rsid w:val="00B33AB7"/>
    <w:rsid w:val="00B33B28"/>
    <w:rsid w:val="00B33B77"/>
    <w:rsid w:val="00B33BC4"/>
    <w:rsid w:val="00B33C6A"/>
    <w:rsid w:val="00B33C76"/>
    <w:rsid w:val="00B33D47"/>
    <w:rsid w:val="00B33D87"/>
    <w:rsid w:val="00B33DC9"/>
    <w:rsid w:val="00B33E0F"/>
    <w:rsid w:val="00B33E3C"/>
    <w:rsid w:val="00B33E44"/>
    <w:rsid w:val="00B33E71"/>
    <w:rsid w:val="00B33F7D"/>
    <w:rsid w:val="00B33F9A"/>
    <w:rsid w:val="00B33F9D"/>
    <w:rsid w:val="00B33FD2"/>
    <w:rsid w:val="00B33FE7"/>
    <w:rsid w:val="00B3404B"/>
    <w:rsid w:val="00B34080"/>
    <w:rsid w:val="00B340B3"/>
    <w:rsid w:val="00B343AE"/>
    <w:rsid w:val="00B343F8"/>
    <w:rsid w:val="00B34410"/>
    <w:rsid w:val="00B34443"/>
    <w:rsid w:val="00B344E4"/>
    <w:rsid w:val="00B34516"/>
    <w:rsid w:val="00B34571"/>
    <w:rsid w:val="00B345FF"/>
    <w:rsid w:val="00B34617"/>
    <w:rsid w:val="00B34663"/>
    <w:rsid w:val="00B346AD"/>
    <w:rsid w:val="00B346F5"/>
    <w:rsid w:val="00B34727"/>
    <w:rsid w:val="00B347A1"/>
    <w:rsid w:val="00B347B4"/>
    <w:rsid w:val="00B347BD"/>
    <w:rsid w:val="00B34882"/>
    <w:rsid w:val="00B348FD"/>
    <w:rsid w:val="00B3490C"/>
    <w:rsid w:val="00B34965"/>
    <w:rsid w:val="00B3496A"/>
    <w:rsid w:val="00B349A8"/>
    <w:rsid w:val="00B349FF"/>
    <w:rsid w:val="00B34A1E"/>
    <w:rsid w:val="00B34A5D"/>
    <w:rsid w:val="00B34ACA"/>
    <w:rsid w:val="00B34BB3"/>
    <w:rsid w:val="00B34C4A"/>
    <w:rsid w:val="00B34D11"/>
    <w:rsid w:val="00B34DD7"/>
    <w:rsid w:val="00B34ED0"/>
    <w:rsid w:val="00B34EFE"/>
    <w:rsid w:val="00B34FF3"/>
    <w:rsid w:val="00B35063"/>
    <w:rsid w:val="00B3506D"/>
    <w:rsid w:val="00B35071"/>
    <w:rsid w:val="00B350EF"/>
    <w:rsid w:val="00B35140"/>
    <w:rsid w:val="00B3516E"/>
    <w:rsid w:val="00B351AD"/>
    <w:rsid w:val="00B3526C"/>
    <w:rsid w:val="00B3529D"/>
    <w:rsid w:val="00B352A2"/>
    <w:rsid w:val="00B352A8"/>
    <w:rsid w:val="00B3536F"/>
    <w:rsid w:val="00B3544E"/>
    <w:rsid w:val="00B35519"/>
    <w:rsid w:val="00B355C4"/>
    <w:rsid w:val="00B355F9"/>
    <w:rsid w:val="00B3562A"/>
    <w:rsid w:val="00B3567E"/>
    <w:rsid w:val="00B35685"/>
    <w:rsid w:val="00B356A2"/>
    <w:rsid w:val="00B356E6"/>
    <w:rsid w:val="00B35737"/>
    <w:rsid w:val="00B357C7"/>
    <w:rsid w:val="00B357E1"/>
    <w:rsid w:val="00B357E9"/>
    <w:rsid w:val="00B35818"/>
    <w:rsid w:val="00B35833"/>
    <w:rsid w:val="00B3588E"/>
    <w:rsid w:val="00B358B2"/>
    <w:rsid w:val="00B358D1"/>
    <w:rsid w:val="00B3591C"/>
    <w:rsid w:val="00B359AD"/>
    <w:rsid w:val="00B35A29"/>
    <w:rsid w:val="00B35A2A"/>
    <w:rsid w:val="00B35A93"/>
    <w:rsid w:val="00B35AEB"/>
    <w:rsid w:val="00B35B16"/>
    <w:rsid w:val="00B35B97"/>
    <w:rsid w:val="00B35BAB"/>
    <w:rsid w:val="00B35BB5"/>
    <w:rsid w:val="00B35C12"/>
    <w:rsid w:val="00B35C5A"/>
    <w:rsid w:val="00B35C6B"/>
    <w:rsid w:val="00B35D3C"/>
    <w:rsid w:val="00B35E4B"/>
    <w:rsid w:val="00B35EA5"/>
    <w:rsid w:val="00B35EE6"/>
    <w:rsid w:val="00B35F14"/>
    <w:rsid w:val="00B35F44"/>
    <w:rsid w:val="00B35FCB"/>
    <w:rsid w:val="00B360E3"/>
    <w:rsid w:val="00B360E9"/>
    <w:rsid w:val="00B36126"/>
    <w:rsid w:val="00B3614F"/>
    <w:rsid w:val="00B361E3"/>
    <w:rsid w:val="00B36213"/>
    <w:rsid w:val="00B362AA"/>
    <w:rsid w:val="00B3637A"/>
    <w:rsid w:val="00B363B7"/>
    <w:rsid w:val="00B36414"/>
    <w:rsid w:val="00B36527"/>
    <w:rsid w:val="00B36552"/>
    <w:rsid w:val="00B36584"/>
    <w:rsid w:val="00B365BA"/>
    <w:rsid w:val="00B36729"/>
    <w:rsid w:val="00B36735"/>
    <w:rsid w:val="00B36754"/>
    <w:rsid w:val="00B36758"/>
    <w:rsid w:val="00B3688E"/>
    <w:rsid w:val="00B368BB"/>
    <w:rsid w:val="00B36947"/>
    <w:rsid w:val="00B369AD"/>
    <w:rsid w:val="00B369C2"/>
    <w:rsid w:val="00B36A50"/>
    <w:rsid w:val="00B36A87"/>
    <w:rsid w:val="00B36AAA"/>
    <w:rsid w:val="00B36ABE"/>
    <w:rsid w:val="00B36ACD"/>
    <w:rsid w:val="00B36ADA"/>
    <w:rsid w:val="00B36B03"/>
    <w:rsid w:val="00B36B0D"/>
    <w:rsid w:val="00B36B6D"/>
    <w:rsid w:val="00B36B78"/>
    <w:rsid w:val="00B36B9A"/>
    <w:rsid w:val="00B36BF1"/>
    <w:rsid w:val="00B36C17"/>
    <w:rsid w:val="00B36C1F"/>
    <w:rsid w:val="00B36C77"/>
    <w:rsid w:val="00B36D3B"/>
    <w:rsid w:val="00B36DA8"/>
    <w:rsid w:val="00B36DC5"/>
    <w:rsid w:val="00B36DD4"/>
    <w:rsid w:val="00B36E84"/>
    <w:rsid w:val="00B36EED"/>
    <w:rsid w:val="00B36F2A"/>
    <w:rsid w:val="00B36F52"/>
    <w:rsid w:val="00B36FA6"/>
    <w:rsid w:val="00B370BA"/>
    <w:rsid w:val="00B370E8"/>
    <w:rsid w:val="00B370F7"/>
    <w:rsid w:val="00B371E1"/>
    <w:rsid w:val="00B371FA"/>
    <w:rsid w:val="00B371FB"/>
    <w:rsid w:val="00B37288"/>
    <w:rsid w:val="00B37326"/>
    <w:rsid w:val="00B3737F"/>
    <w:rsid w:val="00B373AC"/>
    <w:rsid w:val="00B373B7"/>
    <w:rsid w:val="00B373C3"/>
    <w:rsid w:val="00B37406"/>
    <w:rsid w:val="00B3758C"/>
    <w:rsid w:val="00B375F4"/>
    <w:rsid w:val="00B37616"/>
    <w:rsid w:val="00B376A1"/>
    <w:rsid w:val="00B376EE"/>
    <w:rsid w:val="00B37786"/>
    <w:rsid w:val="00B377EC"/>
    <w:rsid w:val="00B37808"/>
    <w:rsid w:val="00B37816"/>
    <w:rsid w:val="00B3782E"/>
    <w:rsid w:val="00B3785B"/>
    <w:rsid w:val="00B37890"/>
    <w:rsid w:val="00B378A1"/>
    <w:rsid w:val="00B378AE"/>
    <w:rsid w:val="00B378D7"/>
    <w:rsid w:val="00B378ED"/>
    <w:rsid w:val="00B3799D"/>
    <w:rsid w:val="00B37A51"/>
    <w:rsid w:val="00B37B40"/>
    <w:rsid w:val="00B37B48"/>
    <w:rsid w:val="00B37C37"/>
    <w:rsid w:val="00B37C63"/>
    <w:rsid w:val="00B37C72"/>
    <w:rsid w:val="00B37C93"/>
    <w:rsid w:val="00B37D0B"/>
    <w:rsid w:val="00B37D36"/>
    <w:rsid w:val="00B37D74"/>
    <w:rsid w:val="00B37D7C"/>
    <w:rsid w:val="00B37E29"/>
    <w:rsid w:val="00B37ED8"/>
    <w:rsid w:val="00B37FAE"/>
    <w:rsid w:val="00B40022"/>
    <w:rsid w:val="00B40044"/>
    <w:rsid w:val="00B40098"/>
    <w:rsid w:val="00B40127"/>
    <w:rsid w:val="00B40159"/>
    <w:rsid w:val="00B40188"/>
    <w:rsid w:val="00B402BF"/>
    <w:rsid w:val="00B402F9"/>
    <w:rsid w:val="00B4041C"/>
    <w:rsid w:val="00B40422"/>
    <w:rsid w:val="00B40444"/>
    <w:rsid w:val="00B40461"/>
    <w:rsid w:val="00B40475"/>
    <w:rsid w:val="00B404A6"/>
    <w:rsid w:val="00B404BB"/>
    <w:rsid w:val="00B4056B"/>
    <w:rsid w:val="00B4060C"/>
    <w:rsid w:val="00B4061A"/>
    <w:rsid w:val="00B40816"/>
    <w:rsid w:val="00B408A8"/>
    <w:rsid w:val="00B408B3"/>
    <w:rsid w:val="00B4096C"/>
    <w:rsid w:val="00B40997"/>
    <w:rsid w:val="00B40A3C"/>
    <w:rsid w:val="00B40A51"/>
    <w:rsid w:val="00B40A63"/>
    <w:rsid w:val="00B40AB0"/>
    <w:rsid w:val="00B40AB3"/>
    <w:rsid w:val="00B40AFD"/>
    <w:rsid w:val="00B40B2A"/>
    <w:rsid w:val="00B40B5A"/>
    <w:rsid w:val="00B40B6E"/>
    <w:rsid w:val="00B40B7A"/>
    <w:rsid w:val="00B40B87"/>
    <w:rsid w:val="00B40C43"/>
    <w:rsid w:val="00B40C9F"/>
    <w:rsid w:val="00B40CAA"/>
    <w:rsid w:val="00B40CB3"/>
    <w:rsid w:val="00B40CCE"/>
    <w:rsid w:val="00B40CD6"/>
    <w:rsid w:val="00B40D18"/>
    <w:rsid w:val="00B40D21"/>
    <w:rsid w:val="00B40D6F"/>
    <w:rsid w:val="00B40DA5"/>
    <w:rsid w:val="00B40E3D"/>
    <w:rsid w:val="00B40E3F"/>
    <w:rsid w:val="00B40E4F"/>
    <w:rsid w:val="00B40F60"/>
    <w:rsid w:val="00B40FC5"/>
    <w:rsid w:val="00B41035"/>
    <w:rsid w:val="00B41044"/>
    <w:rsid w:val="00B410F6"/>
    <w:rsid w:val="00B4125B"/>
    <w:rsid w:val="00B41284"/>
    <w:rsid w:val="00B4128C"/>
    <w:rsid w:val="00B41386"/>
    <w:rsid w:val="00B41388"/>
    <w:rsid w:val="00B413A8"/>
    <w:rsid w:val="00B413E3"/>
    <w:rsid w:val="00B413E5"/>
    <w:rsid w:val="00B413EC"/>
    <w:rsid w:val="00B41464"/>
    <w:rsid w:val="00B414A6"/>
    <w:rsid w:val="00B414CC"/>
    <w:rsid w:val="00B4150F"/>
    <w:rsid w:val="00B4154B"/>
    <w:rsid w:val="00B41574"/>
    <w:rsid w:val="00B41580"/>
    <w:rsid w:val="00B415DF"/>
    <w:rsid w:val="00B415EB"/>
    <w:rsid w:val="00B415F8"/>
    <w:rsid w:val="00B4166E"/>
    <w:rsid w:val="00B41685"/>
    <w:rsid w:val="00B4171A"/>
    <w:rsid w:val="00B417C1"/>
    <w:rsid w:val="00B417E4"/>
    <w:rsid w:val="00B417FD"/>
    <w:rsid w:val="00B417FF"/>
    <w:rsid w:val="00B4184A"/>
    <w:rsid w:val="00B418D7"/>
    <w:rsid w:val="00B418EF"/>
    <w:rsid w:val="00B41909"/>
    <w:rsid w:val="00B4190A"/>
    <w:rsid w:val="00B4194C"/>
    <w:rsid w:val="00B41981"/>
    <w:rsid w:val="00B419E7"/>
    <w:rsid w:val="00B41B5C"/>
    <w:rsid w:val="00B41B8C"/>
    <w:rsid w:val="00B41B93"/>
    <w:rsid w:val="00B41BF8"/>
    <w:rsid w:val="00B41C8D"/>
    <w:rsid w:val="00B41C95"/>
    <w:rsid w:val="00B41CE3"/>
    <w:rsid w:val="00B41D2B"/>
    <w:rsid w:val="00B41DDD"/>
    <w:rsid w:val="00B41DEE"/>
    <w:rsid w:val="00B41DF7"/>
    <w:rsid w:val="00B4201A"/>
    <w:rsid w:val="00B420BD"/>
    <w:rsid w:val="00B42156"/>
    <w:rsid w:val="00B4219F"/>
    <w:rsid w:val="00B4224D"/>
    <w:rsid w:val="00B4229D"/>
    <w:rsid w:val="00B422DA"/>
    <w:rsid w:val="00B422FB"/>
    <w:rsid w:val="00B4235D"/>
    <w:rsid w:val="00B42375"/>
    <w:rsid w:val="00B42617"/>
    <w:rsid w:val="00B42652"/>
    <w:rsid w:val="00B426A5"/>
    <w:rsid w:val="00B426C2"/>
    <w:rsid w:val="00B426CF"/>
    <w:rsid w:val="00B426E0"/>
    <w:rsid w:val="00B426FE"/>
    <w:rsid w:val="00B427C5"/>
    <w:rsid w:val="00B42A5C"/>
    <w:rsid w:val="00B42A6F"/>
    <w:rsid w:val="00B42B12"/>
    <w:rsid w:val="00B42B80"/>
    <w:rsid w:val="00B42BD2"/>
    <w:rsid w:val="00B42BFB"/>
    <w:rsid w:val="00B42CB4"/>
    <w:rsid w:val="00B42DB6"/>
    <w:rsid w:val="00B42DCA"/>
    <w:rsid w:val="00B42DDA"/>
    <w:rsid w:val="00B42E25"/>
    <w:rsid w:val="00B42EE0"/>
    <w:rsid w:val="00B42FE1"/>
    <w:rsid w:val="00B42FEB"/>
    <w:rsid w:val="00B42FF3"/>
    <w:rsid w:val="00B4301D"/>
    <w:rsid w:val="00B43034"/>
    <w:rsid w:val="00B43051"/>
    <w:rsid w:val="00B4310B"/>
    <w:rsid w:val="00B4311D"/>
    <w:rsid w:val="00B43164"/>
    <w:rsid w:val="00B43171"/>
    <w:rsid w:val="00B4319C"/>
    <w:rsid w:val="00B4319E"/>
    <w:rsid w:val="00B431A0"/>
    <w:rsid w:val="00B431ED"/>
    <w:rsid w:val="00B43280"/>
    <w:rsid w:val="00B432E2"/>
    <w:rsid w:val="00B432FD"/>
    <w:rsid w:val="00B43397"/>
    <w:rsid w:val="00B433D3"/>
    <w:rsid w:val="00B433F5"/>
    <w:rsid w:val="00B43453"/>
    <w:rsid w:val="00B4349B"/>
    <w:rsid w:val="00B434B4"/>
    <w:rsid w:val="00B434CB"/>
    <w:rsid w:val="00B434D8"/>
    <w:rsid w:val="00B436DD"/>
    <w:rsid w:val="00B4374C"/>
    <w:rsid w:val="00B437CF"/>
    <w:rsid w:val="00B43AE4"/>
    <w:rsid w:val="00B43B21"/>
    <w:rsid w:val="00B43B40"/>
    <w:rsid w:val="00B43B67"/>
    <w:rsid w:val="00B43BA4"/>
    <w:rsid w:val="00B43BBF"/>
    <w:rsid w:val="00B43C22"/>
    <w:rsid w:val="00B43C3B"/>
    <w:rsid w:val="00B43CB6"/>
    <w:rsid w:val="00B43D04"/>
    <w:rsid w:val="00B43D45"/>
    <w:rsid w:val="00B43DA1"/>
    <w:rsid w:val="00B43DFD"/>
    <w:rsid w:val="00B43E3A"/>
    <w:rsid w:val="00B43E52"/>
    <w:rsid w:val="00B43E81"/>
    <w:rsid w:val="00B43EF4"/>
    <w:rsid w:val="00B44154"/>
    <w:rsid w:val="00B44159"/>
    <w:rsid w:val="00B44191"/>
    <w:rsid w:val="00B441B6"/>
    <w:rsid w:val="00B44237"/>
    <w:rsid w:val="00B44244"/>
    <w:rsid w:val="00B4429F"/>
    <w:rsid w:val="00B44304"/>
    <w:rsid w:val="00B44336"/>
    <w:rsid w:val="00B44364"/>
    <w:rsid w:val="00B44370"/>
    <w:rsid w:val="00B443A4"/>
    <w:rsid w:val="00B443FF"/>
    <w:rsid w:val="00B44474"/>
    <w:rsid w:val="00B444DE"/>
    <w:rsid w:val="00B4450D"/>
    <w:rsid w:val="00B4458F"/>
    <w:rsid w:val="00B445D2"/>
    <w:rsid w:val="00B445E2"/>
    <w:rsid w:val="00B446E4"/>
    <w:rsid w:val="00B448B0"/>
    <w:rsid w:val="00B448EA"/>
    <w:rsid w:val="00B4499B"/>
    <w:rsid w:val="00B44CA9"/>
    <w:rsid w:val="00B44D95"/>
    <w:rsid w:val="00B44D9A"/>
    <w:rsid w:val="00B44F9A"/>
    <w:rsid w:val="00B44FB8"/>
    <w:rsid w:val="00B44FC9"/>
    <w:rsid w:val="00B4503F"/>
    <w:rsid w:val="00B45047"/>
    <w:rsid w:val="00B45074"/>
    <w:rsid w:val="00B45113"/>
    <w:rsid w:val="00B4511A"/>
    <w:rsid w:val="00B45155"/>
    <w:rsid w:val="00B45168"/>
    <w:rsid w:val="00B451F5"/>
    <w:rsid w:val="00B45265"/>
    <w:rsid w:val="00B45276"/>
    <w:rsid w:val="00B452CB"/>
    <w:rsid w:val="00B45401"/>
    <w:rsid w:val="00B454A2"/>
    <w:rsid w:val="00B454BE"/>
    <w:rsid w:val="00B4551F"/>
    <w:rsid w:val="00B4560C"/>
    <w:rsid w:val="00B45635"/>
    <w:rsid w:val="00B4564E"/>
    <w:rsid w:val="00B456A3"/>
    <w:rsid w:val="00B456B0"/>
    <w:rsid w:val="00B45722"/>
    <w:rsid w:val="00B45827"/>
    <w:rsid w:val="00B458A5"/>
    <w:rsid w:val="00B458E3"/>
    <w:rsid w:val="00B459EF"/>
    <w:rsid w:val="00B45A1D"/>
    <w:rsid w:val="00B45A53"/>
    <w:rsid w:val="00B45A58"/>
    <w:rsid w:val="00B45A77"/>
    <w:rsid w:val="00B45AB2"/>
    <w:rsid w:val="00B45AE2"/>
    <w:rsid w:val="00B45B51"/>
    <w:rsid w:val="00B45BDC"/>
    <w:rsid w:val="00B45CC6"/>
    <w:rsid w:val="00B45D39"/>
    <w:rsid w:val="00B45D73"/>
    <w:rsid w:val="00B45E07"/>
    <w:rsid w:val="00B45E3D"/>
    <w:rsid w:val="00B45ED4"/>
    <w:rsid w:val="00B45EED"/>
    <w:rsid w:val="00B45F32"/>
    <w:rsid w:val="00B45F9D"/>
    <w:rsid w:val="00B45FC7"/>
    <w:rsid w:val="00B45FDB"/>
    <w:rsid w:val="00B45FFF"/>
    <w:rsid w:val="00B460B1"/>
    <w:rsid w:val="00B460EB"/>
    <w:rsid w:val="00B4610A"/>
    <w:rsid w:val="00B46142"/>
    <w:rsid w:val="00B46153"/>
    <w:rsid w:val="00B46166"/>
    <w:rsid w:val="00B46170"/>
    <w:rsid w:val="00B461C3"/>
    <w:rsid w:val="00B461FD"/>
    <w:rsid w:val="00B46232"/>
    <w:rsid w:val="00B46243"/>
    <w:rsid w:val="00B46294"/>
    <w:rsid w:val="00B462C1"/>
    <w:rsid w:val="00B462CE"/>
    <w:rsid w:val="00B463EF"/>
    <w:rsid w:val="00B4647E"/>
    <w:rsid w:val="00B465A4"/>
    <w:rsid w:val="00B46659"/>
    <w:rsid w:val="00B46662"/>
    <w:rsid w:val="00B46663"/>
    <w:rsid w:val="00B466C1"/>
    <w:rsid w:val="00B466D6"/>
    <w:rsid w:val="00B4674F"/>
    <w:rsid w:val="00B4681B"/>
    <w:rsid w:val="00B4683B"/>
    <w:rsid w:val="00B46896"/>
    <w:rsid w:val="00B468AE"/>
    <w:rsid w:val="00B46944"/>
    <w:rsid w:val="00B469AB"/>
    <w:rsid w:val="00B469B8"/>
    <w:rsid w:val="00B469D3"/>
    <w:rsid w:val="00B469E3"/>
    <w:rsid w:val="00B46AD5"/>
    <w:rsid w:val="00B46B4E"/>
    <w:rsid w:val="00B46B84"/>
    <w:rsid w:val="00B46BF7"/>
    <w:rsid w:val="00B46D0A"/>
    <w:rsid w:val="00B46D52"/>
    <w:rsid w:val="00B46E0A"/>
    <w:rsid w:val="00B46E36"/>
    <w:rsid w:val="00B46E67"/>
    <w:rsid w:val="00B46F03"/>
    <w:rsid w:val="00B46FB1"/>
    <w:rsid w:val="00B46FE7"/>
    <w:rsid w:val="00B47029"/>
    <w:rsid w:val="00B47031"/>
    <w:rsid w:val="00B47085"/>
    <w:rsid w:val="00B4709D"/>
    <w:rsid w:val="00B470EB"/>
    <w:rsid w:val="00B470F0"/>
    <w:rsid w:val="00B4712D"/>
    <w:rsid w:val="00B47167"/>
    <w:rsid w:val="00B471A5"/>
    <w:rsid w:val="00B4721E"/>
    <w:rsid w:val="00B4722F"/>
    <w:rsid w:val="00B4732B"/>
    <w:rsid w:val="00B4732F"/>
    <w:rsid w:val="00B47377"/>
    <w:rsid w:val="00B47401"/>
    <w:rsid w:val="00B4740E"/>
    <w:rsid w:val="00B474D9"/>
    <w:rsid w:val="00B47536"/>
    <w:rsid w:val="00B475D0"/>
    <w:rsid w:val="00B47611"/>
    <w:rsid w:val="00B4763B"/>
    <w:rsid w:val="00B4764C"/>
    <w:rsid w:val="00B47656"/>
    <w:rsid w:val="00B476D8"/>
    <w:rsid w:val="00B4770C"/>
    <w:rsid w:val="00B47710"/>
    <w:rsid w:val="00B477E8"/>
    <w:rsid w:val="00B47875"/>
    <w:rsid w:val="00B47908"/>
    <w:rsid w:val="00B4797D"/>
    <w:rsid w:val="00B47AA0"/>
    <w:rsid w:val="00B47B2B"/>
    <w:rsid w:val="00B47B69"/>
    <w:rsid w:val="00B47C48"/>
    <w:rsid w:val="00B47CF5"/>
    <w:rsid w:val="00B47D6A"/>
    <w:rsid w:val="00B47D72"/>
    <w:rsid w:val="00B47D9C"/>
    <w:rsid w:val="00B47DD4"/>
    <w:rsid w:val="00B47DF2"/>
    <w:rsid w:val="00B47E0B"/>
    <w:rsid w:val="00B47E11"/>
    <w:rsid w:val="00B47E12"/>
    <w:rsid w:val="00B47E6F"/>
    <w:rsid w:val="00B47EEC"/>
    <w:rsid w:val="00B47F41"/>
    <w:rsid w:val="00B47F48"/>
    <w:rsid w:val="00B50044"/>
    <w:rsid w:val="00B5006D"/>
    <w:rsid w:val="00B50145"/>
    <w:rsid w:val="00B501E4"/>
    <w:rsid w:val="00B50263"/>
    <w:rsid w:val="00B50299"/>
    <w:rsid w:val="00B502CA"/>
    <w:rsid w:val="00B502F1"/>
    <w:rsid w:val="00B50344"/>
    <w:rsid w:val="00B503D7"/>
    <w:rsid w:val="00B503F9"/>
    <w:rsid w:val="00B50417"/>
    <w:rsid w:val="00B50425"/>
    <w:rsid w:val="00B504DE"/>
    <w:rsid w:val="00B50584"/>
    <w:rsid w:val="00B505A1"/>
    <w:rsid w:val="00B50616"/>
    <w:rsid w:val="00B50754"/>
    <w:rsid w:val="00B50779"/>
    <w:rsid w:val="00B508AA"/>
    <w:rsid w:val="00B5096C"/>
    <w:rsid w:val="00B50998"/>
    <w:rsid w:val="00B50A25"/>
    <w:rsid w:val="00B50AED"/>
    <w:rsid w:val="00B50B34"/>
    <w:rsid w:val="00B50B38"/>
    <w:rsid w:val="00B50C85"/>
    <w:rsid w:val="00B50CA6"/>
    <w:rsid w:val="00B50CB6"/>
    <w:rsid w:val="00B50CD3"/>
    <w:rsid w:val="00B50CF1"/>
    <w:rsid w:val="00B50D7F"/>
    <w:rsid w:val="00B50E2F"/>
    <w:rsid w:val="00B50E80"/>
    <w:rsid w:val="00B50EEF"/>
    <w:rsid w:val="00B50FC8"/>
    <w:rsid w:val="00B5108E"/>
    <w:rsid w:val="00B5112F"/>
    <w:rsid w:val="00B51196"/>
    <w:rsid w:val="00B51254"/>
    <w:rsid w:val="00B51275"/>
    <w:rsid w:val="00B512CC"/>
    <w:rsid w:val="00B51303"/>
    <w:rsid w:val="00B51372"/>
    <w:rsid w:val="00B51376"/>
    <w:rsid w:val="00B51387"/>
    <w:rsid w:val="00B5146B"/>
    <w:rsid w:val="00B51663"/>
    <w:rsid w:val="00B516BE"/>
    <w:rsid w:val="00B516DA"/>
    <w:rsid w:val="00B51706"/>
    <w:rsid w:val="00B5172C"/>
    <w:rsid w:val="00B5173A"/>
    <w:rsid w:val="00B51795"/>
    <w:rsid w:val="00B51799"/>
    <w:rsid w:val="00B517CA"/>
    <w:rsid w:val="00B5180F"/>
    <w:rsid w:val="00B5181D"/>
    <w:rsid w:val="00B51925"/>
    <w:rsid w:val="00B51A43"/>
    <w:rsid w:val="00B51AAA"/>
    <w:rsid w:val="00B51ABF"/>
    <w:rsid w:val="00B51ACA"/>
    <w:rsid w:val="00B51AEB"/>
    <w:rsid w:val="00B51B78"/>
    <w:rsid w:val="00B51BEA"/>
    <w:rsid w:val="00B51C3B"/>
    <w:rsid w:val="00B51C7B"/>
    <w:rsid w:val="00B51C88"/>
    <w:rsid w:val="00B51CCA"/>
    <w:rsid w:val="00B51CE8"/>
    <w:rsid w:val="00B51CFB"/>
    <w:rsid w:val="00B51E19"/>
    <w:rsid w:val="00B51E1C"/>
    <w:rsid w:val="00B51E53"/>
    <w:rsid w:val="00B51E60"/>
    <w:rsid w:val="00B51ED8"/>
    <w:rsid w:val="00B51F80"/>
    <w:rsid w:val="00B51FCB"/>
    <w:rsid w:val="00B52027"/>
    <w:rsid w:val="00B52125"/>
    <w:rsid w:val="00B52139"/>
    <w:rsid w:val="00B521D1"/>
    <w:rsid w:val="00B521FA"/>
    <w:rsid w:val="00B5229F"/>
    <w:rsid w:val="00B52322"/>
    <w:rsid w:val="00B52404"/>
    <w:rsid w:val="00B52464"/>
    <w:rsid w:val="00B5247B"/>
    <w:rsid w:val="00B524F9"/>
    <w:rsid w:val="00B5250D"/>
    <w:rsid w:val="00B525DF"/>
    <w:rsid w:val="00B5266C"/>
    <w:rsid w:val="00B526FA"/>
    <w:rsid w:val="00B5272F"/>
    <w:rsid w:val="00B52787"/>
    <w:rsid w:val="00B527B7"/>
    <w:rsid w:val="00B52808"/>
    <w:rsid w:val="00B52892"/>
    <w:rsid w:val="00B528A4"/>
    <w:rsid w:val="00B528BD"/>
    <w:rsid w:val="00B52903"/>
    <w:rsid w:val="00B52993"/>
    <w:rsid w:val="00B52A25"/>
    <w:rsid w:val="00B52A54"/>
    <w:rsid w:val="00B52A83"/>
    <w:rsid w:val="00B52AAE"/>
    <w:rsid w:val="00B52BBF"/>
    <w:rsid w:val="00B52CB1"/>
    <w:rsid w:val="00B52CD3"/>
    <w:rsid w:val="00B52D4E"/>
    <w:rsid w:val="00B52D5B"/>
    <w:rsid w:val="00B52D63"/>
    <w:rsid w:val="00B52DE1"/>
    <w:rsid w:val="00B52E0C"/>
    <w:rsid w:val="00B52E12"/>
    <w:rsid w:val="00B52EC4"/>
    <w:rsid w:val="00B52F74"/>
    <w:rsid w:val="00B52FEF"/>
    <w:rsid w:val="00B5305C"/>
    <w:rsid w:val="00B53087"/>
    <w:rsid w:val="00B5308D"/>
    <w:rsid w:val="00B53095"/>
    <w:rsid w:val="00B530D3"/>
    <w:rsid w:val="00B53124"/>
    <w:rsid w:val="00B53168"/>
    <w:rsid w:val="00B531A3"/>
    <w:rsid w:val="00B531FD"/>
    <w:rsid w:val="00B532F8"/>
    <w:rsid w:val="00B53305"/>
    <w:rsid w:val="00B533EA"/>
    <w:rsid w:val="00B53416"/>
    <w:rsid w:val="00B5348C"/>
    <w:rsid w:val="00B534BE"/>
    <w:rsid w:val="00B53548"/>
    <w:rsid w:val="00B5356F"/>
    <w:rsid w:val="00B5357F"/>
    <w:rsid w:val="00B53596"/>
    <w:rsid w:val="00B535DC"/>
    <w:rsid w:val="00B5361C"/>
    <w:rsid w:val="00B53632"/>
    <w:rsid w:val="00B536F5"/>
    <w:rsid w:val="00B536FE"/>
    <w:rsid w:val="00B5371C"/>
    <w:rsid w:val="00B537FA"/>
    <w:rsid w:val="00B53804"/>
    <w:rsid w:val="00B5381B"/>
    <w:rsid w:val="00B53841"/>
    <w:rsid w:val="00B539BA"/>
    <w:rsid w:val="00B53A6B"/>
    <w:rsid w:val="00B53AAF"/>
    <w:rsid w:val="00B53B41"/>
    <w:rsid w:val="00B53B56"/>
    <w:rsid w:val="00B53C17"/>
    <w:rsid w:val="00B53C84"/>
    <w:rsid w:val="00B53C97"/>
    <w:rsid w:val="00B53D29"/>
    <w:rsid w:val="00B53D82"/>
    <w:rsid w:val="00B53E02"/>
    <w:rsid w:val="00B53EDA"/>
    <w:rsid w:val="00B53EEF"/>
    <w:rsid w:val="00B53F04"/>
    <w:rsid w:val="00B53F20"/>
    <w:rsid w:val="00B53F83"/>
    <w:rsid w:val="00B53FAB"/>
    <w:rsid w:val="00B53FF7"/>
    <w:rsid w:val="00B54028"/>
    <w:rsid w:val="00B5403A"/>
    <w:rsid w:val="00B541CD"/>
    <w:rsid w:val="00B5423E"/>
    <w:rsid w:val="00B542C8"/>
    <w:rsid w:val="00B5431B"/>
    <w:rsid w:val="00B54394"/>
    <w:rsid w:val="00B543FF"/>
    <w:rsid w:val="00B544A0"/>
    <w:rsid w:val="00B545C1"/>
    <w:rsid w:val="00B545E6"/>
    <w:rsid w:val="00B545F8"/>
    <w:rsid w:val="00B54655"/>
    <w:rsid w:val="00B5469F"/>
    <w:rsid w:val="00B546DD"/>
    <w:rsid w:val="00B5472F"/>
    <w:rsid w:val="00B54749"/>
    <w:rsid w:val="00B547BD"/>
    <w:rsid w:val="00B547FF"/>
    <w:rsid w:val="00B54864"/>
    <w:rsid w:val="00B54868"/>
    <w:rsid w:val="00B5493F"/>
    <w:rsid w:val="00B549AB"/>
    <w:rsid w:val="00B549B8"/>
    <w:rsid w:val="00B549F4"/>
    <w:rsid w:val="00B54A19"/>
    <w:rsid w:val="00B54A5D"/>
    <w:rsid w:val="00B54AF2"/>
    <w:rsid w:val="00B54D29"/>
    <w:rsid w:val="00B54D86"/>
    <w:rsid w:val="00B54DAA"/>
    <w:rsid w:val="00B54DB2"/>
    <w:rsid w:val="00B54DF9"/>
    <w:rsid w:val="00B54E1B"/>
    <w:rsid w:val="00B54EE6"/>
    <w:rsid w:val="00B5502C"/>
    <w:rsid w:val="00B5508F"/>
    <w:rsid w:val="00B550D4"/>
    <w:rsid w:val="00B550EC"/>
    <w:rsid w:val="00B55223"/>
    <w:rsid w:val="00B55311"/>
    <w:rsid w:val="00B5536D"/>
    <w:rsid w:val="00B55433"/>
    <w:rsid w:val="00B55499"/>
    <w:rsid w:val="00B554DE"/>
    <w:rsid w:val="00B55576"/>
    <w:rsid w:val="00B556F8"/>
    <w:rsid w:val="00B55711"/>
    <w:rsid w:val="00B55732"/>
    <w:rsid w:val="00B557AE"/>
    <w:rsid w:val="00B55803"/>
    <w:rsid w:val="00B558E0"/>
    <w:rsid w:val="00B5591D"/>
    <w:rsid w:val="00B55948"/>
    <w:rsid w:val="00B559AD"/>
    <w:rsid w:val="00B559B6"/>
    <w:rsid w:val="00B55AF0"/>
    <w:rsid w:val="00B55AF7"/>
    <w:rsid w:val="00B55B7B"/>
    <w:rsid w:val="00B55B8B"/>
    <w:rsid w:val="00B55BCD"/>
    <w:rsid w:val="00B55C0E"/>
    <w:rsid w:val="00B55C17"/>
    <w:rsid w:val="00B55C67"/>
    <w:rsid w:val="00B55C8F"/>
    <w:rsid w:val="00B55E9A"/>
    <w:rsid w:val="00B55F07"/>
    <w:rsid w:val="00B56068"/>
    <w:rsid w:val="00B560E4"/>
    <w:rsid w:val="00B56153"/>
    <w:rsid w:val="00B5617D"/>
    <w:rsid w:val="00B562DD"/>
    <w:rsid w:val="00B56381"/>
    <w:rsid w:val="00B563B8"/>
    <w:rsid w:val="00B56438"/>
    <w:rsid w:val="00B56452"/>
    <w:rsid w:val="00B56453"/>
    <w:rsid w:val="00B564D0"/>
    <w:rsid w:val="00B56561"/>
    <w:rsid w:val="00B56597"/>
    <w:rsid w:val="00B56598"/>
    <w:rsid w:val="00B565D0"/>
    <w:rsid w:val="00B5673E"/>
    <w:rsid w:val="00B5677D"/>
    <w:rsid w:val="00B5681F"/>
    <w:rsid w:val="00B56933"/>
    <w:rsid w:val="00B56938"/>
    <w:rsid w:val="00B569EB"/>
    <w:rsid w:val="00B56AC6"/>
    <w:rsid w:val="00B56B4D"/>
    <w:rsid w:val="00B56B53"/>
    <w:rsid w:val="00B56B7F"/>
    <w:rsid w:val="00B56C1D"/>
    <w:rsid w:val="00B56CA1"/>
    <w:rsid w:val="00B56D2F"/>
    <w:rsid w:val="00B56D9B"/>
    <w:rsid w:val="00B56E8F"/>
    <w:rsid w:val="00B56EFD"/>
    <w:rsid w:val="00B56F0F"/>
    <w:rsid w:val="00B56F93"/>
    <w:rsid w:val="00B56FE4"/>
    <w:rsid w:val="00B5708F"/>
    <w:rsid w:val="00B570DA"/>
    <w:rsid w:val="00B570F0"/>
    <w:rsid w:val="00B5712B"/>
    <w:rsid w:val="00B57206"/>
    <w:rsid w:val="00B5720E"/>
    <w:rsid w:val="00B5726C"/>
    <w:rsid w:val="00B5729A"/>
    <w:rsid w:val="00B572AE"/>
    <w:rsid w:val="00B57353"/>
    <w:rsid w:val="00B573B1"/>
    <w:rsid w:val="00B574CB"/>
    <w:rsid w:val="00B574EE"/>
    <w:rsid w:val="00B57591"/>
    <w:rsid w:val="00B57595"/>
    <w:rsid w:val="00B5765B"/>
    <w:rsid w:val="00B576A7"/>
    <w:rsid w:val="00B57759"/>
    <w:rsid w:val="00B577D1"/>
    <w:rsid w:val="00B5785F"/>
    <w:rsid w:val="00B57860"/>
    <w:rsid w:val="00B57882"/>
    <w:rsid w:val="00B57990"/>
    <w:rsid w:val="00B579E2"/>
    <w:rsid w:val="00B57AC5"/>
    <w:rsid w:val="00B57C0A"/>
    <w:rsid w:val="00B57CE8"/>
    <w:rsid w:val="00B57D7B"/>
    <w:rsid w:val="00B57DE2"/>
    <w:rsid w:val="00B57DF8"/>
    <w:rsid w:val="00B57E3E"/>
    <w:rsid w:val="00B57E41"/>
    <w:rsid w:val="00B57E44"/>
    <w:rsid w:val="00B57E80"/>
    <w:rsid w:val="00B57EF4"/>
    <w:rsid w:val="00B57F0D"/>
    <w:rsid w:val="00B57F22"/>
    <w:rsid w:val="00B57F2E"/>
    <w:rsid w:val="00B57FCF"/>
    <w:rsid w:val="00B57FD4"/>
    <w:rsid w:val="00B60062"/>
    <w:rsid w:val="00B6008C"/>
    <w:rsid w:val="00B600B7"/>
    <w:rsid w:val="00B600F9"/>
    <w:rsid w:val="00B60103"/>
    <w:rsid w:val="00B60113"/>
    <w:rsid w:val="00B6015F"/>
    <w:rsid w:val="00B60163"/>
    <w:rsid w:val="00B601A7"/>
    <w:rsid w:val="00B601B9"/>
    <w:rsid w:val="00B601D9"/>
    <w:rsid w:val="00B601F6"/>
    <w:rsid w:val="00B60224"/>
    <w:rsid w:val="00B60281"/>
    <w:rsid w:val="00B6029A"/>
    <w:rsid w:val="00B602CF"/>
    <w:rsid w:val="00B602D0"/>
    <w:rsid w:val="00B602D2"/>
    <w:rsid w:val="00B60310"/>
    <w:rsid w:val="00B6035C"/>
    <w:rsid w:val="00B60393"/>
    <w:rsid w:val="00B60489"/>
    <w:rsid w:val="00B6054A"/>
    <w:rsid w:val="00B60571"/>
    <w:rsid w:val="00B6060A"/>
    <w:rsid w:val="00B60651"/>
    <w:rsid w:val="00B606A6"/>
    <w:rsid w:val="00B606FF"/>
    <w:rsid w:val="00B60701"/>
    <w:rsid w:val="00B60727"/>
    <w:rsid w:val="00B60759"/>
    <w:rsid w:val="00B60777"/>
    <w:rsid w:val="00B607B3"/>
    <w:rsid w:val="00B607BE"/>
    <w:rsid w:val="00B607C5"/>
    <w:rsid w:val="00B6083D"/>
    <w:rsid w:val="00B608E8"/>
    <w:rsid w:val="00B6095C"/>
    <w:rsid w:val="00B6095D"/>
    <w:rsid w:val="00B60964"/>
    <w:rsid w:val="00B6096E"/>
    <w:rsid w:val="00B609AC"/>
    <w:rsid w:val="00B60A5A"/>
    <w:rsid w:val="00B60A68"/>
    <w:rsid w:val="00B60BF3"/>
    <w:rsid w:val="00B60C23"/>
    <w:rsid w:val="00B60C3D"/>
    <w:rsid w:val="00B60CDA"/>
    <w:rsid w:val="00B60D39"/>
    <w:rsid w:val="00B60D8B"/>
    <w:rsid w:val="00B60DC8"/>
    <w:rsid w:val="00B610A6"/>
    <w:rsid w:val="00B6113B"/>
    <w:rsid w:val="00B61163"/>
    <w:rsid w:val="00B612F2"/>
    <w:rsid w:val="00B61341"/>
    <w:rsid w:val="00B613A9"/>
    <w:rsid w:val="00B613AB"/>
    <w:rsid w:val="00B613BD"/>
    <w:rsid w:val="00B613CB"/>
    <w:rsid w:val="00B615A5"/>
    <w:rsid w:val="00B61674"/>
    <w:rsid w:val="00B61696"/>
    <w:rsid w:val="00B616A3"/>
    <w:rsid w:val="00B616A5"/>
    <w:rsid w:val="00B616AA"/>
    <w:rsid w:val="00B61741"/>
    <w:rsid w:val="00B6177A"/>
    <w:rsid w:val="00B617EA"/>
    <w:rsid w:val="00B6182A"/>
    <w:rsid w:val="00B618C8"/>
    <w:rsid w:val="00B6191D"/>
    <w:rsid w:val="00B61940"/>
    <w:rsid w:val="00B61ABE"/>
    <w:rsid w:val="00B61AD8"/>
    <w:rsid w:val="00B61B2F"/>
    <w:rsid w:val="00B61C9D"/>
    <w:rsid w:val="00B61D77"/>
    <w:rsid w:val="00B61DAD"/>
    <w:rsid w:val="00B61DDC"/>
    <w:rsid w:val="00B61E19"/>
    <w:rsid w:val="00B61E57"/>
    <w:rsid w:val="00B61F03"/>
    <w:rsid w:val="00B61F18"/>
    <w:rsid w:val="00B61F5C"/>
    <w:rsid w:val="00B61F81"/>
    <w:rsid w:val="00B62034"/>
    <w:rsid w:val="00B62065"/>
    <w:rsid w:val="00B6213E"/>
    <w:rsid w:val="00B62176"/>
    <w:rsid w:val="00B6219F"/>
    <w:rsid w:val="00B621F1"/>
    <w:rsid w:val="00B6221F"/>
    <w:rsid w:val="00B622E6"/>
    <w:rsid w:val="00B62371"/>
    <w:rsid w:val="00B62377"/>
    <w:rsid w:val="00B6238A"/>
    <w:rsid w:val="00B623D6"/>
    <w:rsid w:val="00B62420"/>
    <w:rsid w:val="00B62498"/>
    <w:rsid w:val="00B624D2"/>
    <w:rsid w:val="00B624D4"/>
    <w:rsid w:val="00B62505"/>
    <w:rsid w:val="00B6253D"/>
    <w:rsid w:val="00B625CE"/>
    <w:rsid w:val="00B625E0"/>
    <w:rsid w:val="00B6267C"/>
    <w:rsid w:val="00B626BF"/>
    <w:rsid w:val="00B626FE"/>
    <w:rsid w:val="00B62799"/>
    <w:rsid w:val="00B627C3"/>
    <w:rsid w:val="00B6285E"/>
    <w:rsid w:val="00B62951"/>
    <w:rsid w:val="00B62A26"/>
    <w:rsid w:val="00B62A31"/>
    <w:rsid w:val="00B62A4C"/>
    <w:rsid w:val="00B62A53"/>
    <w:rsid w:val="00B62A9D"/>
    <w:rsid w:val="00B62AAA"/>
    <w:rsid w:val="00B62AC9"/>
    <w:rsid w:val="00B62ACC"/>
    <w:rsid w:val="00B62B43"/>
    <w:rsid w:val="00B62B55"/>
    <w:rsid w:val="00B62BA7"/>
    <w:rsid w:val="00B62BD4"/>
    <w:rsid w:val="00B62BE1"/>
    <w:rsid w:val="00B62C85"/>
    <w:rsid w:val="00B62CC1"/>
    <w:rsid w:val="00B62CFF"/>
    <w:rsid w:val="00B62DFF"/>
    <w:rsid w:val="00B62E8A"/>
    <w:rsid w:val="00B62EC9"/>
    <w:rsid w:val="00B62F06"/>
    <w:rsid w:val="00B62F14"/>
    <w:rsid w:val="00B62F2C"/>
    <w:rsid w:val="00B62F7F"/>
    <w:rsid w:val="00B62F8C"/>
    <w:rsid w:val="00B62FC5"/>
    <w:rsid w:val="00B62FCC"/>
    <w:rsid w:val="00B63007"/>
    <w:rsid w:val="00B6305D"/>
    <w:rsid w:val="00B63105"/>
    <w:rsid w:val="00B6312E"/>
    <w:rsid w:val="00B63260"/>
    <w:rsid w:val="00B63318"/>
    <w:rsid w:val="00B6335A"/>
    <w:rsid w:val="00B63424"/>
    <w:rsid w:val="00B63447"/>
    <w:rsid w:val="00B63494"/>
    <w:rsid w:val="00B6351F"/>
    <w:rsid w:val="00B635D2"/>
    <w:rsid w:val="00B63612"/>
    <w:rsid w:val="00B6369A"/>
    <w:rsid w:val="00B6375B"/>
    <w:rsid w:val="00B63790"/>
    <w:rsid w:val="00B63888"/>
    <w:rsid w:val="00B63964"/>
    <w:rsid w:val="00B63967"/>
    <w:rsid w:val="00B63971"/>
    <w:rsid w:val="00B6397B"/>
    <w:rsid w:val="00B639E4"/>
    <w:rsid w:val="00B63A13"/>
    <w:rsid w:val="00B63A37"/>
    <w:rsid w:val="00B63AC0"/>
    <w:rsid w:val="00B63AF9"/>
    <w:rsid w:val="00B63BAB"/>
    <w:rsid w:val="00B63C43"/>
    <w:rsid w:val="00B63D4C"/>
    <w:rsid w:val="00B63DD5"/>
    <w:rsid w:val="00B63DE6"/>
    <w:rsid w:val="00B63E03"/>
    <w:rsid w:val="00B63FA9"/>
    <w:rsid w:val="00B63FAB"/>
    <w:rsid w:val="00B63FBA"/>
    <w:rsid w:val="00B63FD8"/>
    <w:rsid w:val="00B63FE2"/>
    <w:rsid w:val="00B64047"/>
    <w:rsid w:val="00B64102"/>
    <w:rsid w:val="00B641A6"/>
    <w:rsid w:val="00B641F3"/>
    <w:rsid w:val="00B6421F"/>
    <w:rsid w:val="00B64270"/>
    <w:rsid w:val="00B642B1"/>
    <w:rsid w:val="00B64356"/>
    <w:rsid w:val="00B6436F"/>
    <w:rsid w:val="00B643E6"/>
    <w:rsid w:val="00B643FC"/>
    <w:rsid w:val="00B64454"/>
    <w:rsid w:val="00B64481"/>
    <w:rsid w:val="00B644AB"/>
    <w:rsid w:val="00B644E0"/>
    <w:rsid w:val="00B644FE"/>
    <w:rsid w:val="00B64537"/>
    <w:rsid w:val="00B6459F"/>
    <w:rsid w:val="00B645D6"/>
    <w:rsid w:val="00B6461B"/>
    <w:rsid w:val="00B64782"/>
    <w:rsid w:val="00B6482E"/>
    <w:rsid w:val="00B64853"/>
    <w:rsid w:val="00B648BB"/>
    <w:rsid w:val="00B64976"/>
    <w:rsid w:val="00B64983"/>
    <w:rsid w:val="00B649AD"/>
    <w:rsid w:val="00B64A09"/>
    <w:rsid w:val="00B64A64"/>
    <w:rsid w:val="00B64AD4"/>
    <w:rsid w:val="00B64B13"/>
    <w:rsid w:val="00B64B59"/>
    <w:rsid w:val="00B64BD8"/>
    <w:rsid w:val="00B64D81"/>
    <w:rsid w:val="00B64D8C"/>
    <w:rsid w:val="00B64D93"/>
    <w:rsid w:val="00B64DB6"/>
    <w:rsid w:val="00B64E0C"/>
    <w:rsid w:val="00B64E21"/>
    <w:rsid w:val="00B64E8F"/>
    <w:rsid w:val="00B64EAB"/>
    <w:rsid w:val="00B64EAE"/>
    <w:rsid w:val="00B64EEA"/>
    <w:rsid w:val="00B64F86"/>
    <w:rsid w:val="00B64FF7"/>
    <w:rsid w:val="00B651CF"/>
    <w:rsid w:val="00B6530C"/>
    <w:rsid w:val="00B653BD"/>
    <w:rsid w:val="00B653CB"/>
    <w:rsid w:val="00B65416"/>
    <w:rsid w:val="00B65435"/>
    <w:rsid w:val="00B6547A"/>
    <w:rsid w:val="00B6548D"/>
    <w:rsid w:val="00B654DC"/>
    <w:rsid w:val="00B65559"/>
    <w:rsid w:val="00B656DD"/>
    <w:rsid w:val="00B6579E"/>
    <w:rsid w:val="00B657C8"/>
    <w:rsid w:val="00B657DF"/>
    <w:rsid w:val="00B65807"/>
    <w:rsid w:val="00B65812"/>
    <w:rsid w:val="00B65851"/>
    <w:rsid w:val="00B65875"/>
    <w:rsid w:val="00B6593F"/>
    <w:rsid w:val="00B65953"/>
    <w:rsid w:val="00B659D3"/>
    <w:rsid w:val="00B65A0B"/>
    <w:rsid w:val="00B65A9D"/>
    <w:rsid w:val="00B65AAF"/>
    <w:rsid w:val="00B65AB8"/>
    <w:rsid w:val="00B65B0A"/>
    <w:rsid w:val="00B65B60"/>
    <w:rsid w:val="00B65B68"/>
    <w:rsid w:val="00B65BA9"/>
    <w:rsid w:val="00B65C12"/>
    <w:rsid w:val="00B65C41"/>
    <w:rsid w:val="00B65C91"/>
    <w:rsid w:val="00B65D0C"/>
    <w:rsid w:val="00B65ED7"/>
    <w:rsid w:val="00B65F54"/>
    <w:rsid w:val="00B65F76"/>
    <w:rsid w:val="00B65FE4"/>
    <w:rsid w:val="00B660D7"/>
    <w:rsid w:val="00B661BA"/>
    <w:rsid w:val="00B661E3"/>
    <w:rsid w:val="00B662D7"/>
    <w:rsid w:val="00B662F9"/>
    <w:rsid w:val="00B6633A"/>
    <w:rsid w:val="00B663EE"/>
    <w:rsid w:val="00B663F2"/>
    <w:rsid w:val="00B66407"/>
    <w:rsid w:val="00B66625"/>
    <w:rsid w:val="00B66721"/>
    <w:rsid w:val="00B66802"/>
    <w:rsid w:val="00B66859"/>
    <w:rsid w:val="00B668BA"/>
    <w:rsid w:val="00B669A2"/>
    <w:rsid w:val="00B669C6"/>
    <w:rsid w:val="00B66A4D"/>
    <w:rsid w:val="00B66AC8"/>
    <w:rsid w:val="00B66B31"/>
    <w:rsid w:val="00B66B6C"/>
    <w:rsid w:val="00B66B79"/>
    <w:rsid w:val="00B66BA3"/>
    <w:rsid w:val="00B66BBF"/>
    <w:rsid w:val="00B66BF4"/>
    <w:rsid w:val="00B66C0B"/>
    <w:rsid w:val="00B66C52"/>
    <w:rsid w:val="00B66CAB"/>
    <w:rsid w:val="00B66CB5"/>
    <w:rsid w:val="00B66CD2"/>
    <w:rsid w:val="00B66D00"/>
    <w:rsid w:val="00B66D62"/>
    <w:rsid w:val="00B66E2B"/>
    <w:rsid w:val="00B66EBB"/>
    <w:rsid w:val="00B66F34"/>
    <w:rsid w:val="00B66F41"/>
    <w:rsid w:val="00B66FA7"/>
    <w:rsid w:val="00B66FDC"/>
    <w:rsid w:val="00B67033"/>
    <w:rsid w:val="00B670A3"/>
    <w:rsid w:val="00B6714A"/>
    <w:rsid w:val="00B67153"/>
    <w:rsid w:val="00B67154"/>
    <w:rsid w:val="00B671AB"/>
    <w:rsid w:val="00B6738E"/>
    <w:rsid w:val="00B673F5"/>
    <w:rsid w:val="00B674EA"/>
    <w:rsid w:val="00B6754F"/>
    <w:rsid w:val="00B675D7"/>
    <w:rsid w:val="00B675F8"/>
    <w:rsid w:val="00B6763F"/>
    <w:rsid w:val="00B67698"/>
    <w:rsid w:val="00B676E0"/>
    <w:rsid w:val="00B67790"/>
    <w:rsid w:val="00B677A6"/>
    <w:rsid w:val="00B677EE"/>
    <w:rsid w:val="00B6780C"/>
    <w:rsid w:val="00B678F8"/>
    <w:rsid w:val="00B67918"/>
    <w:rsid w:val="00B67956"/>
    <w:rsid w:val="00B67970"/>
    <w:rsid w:val="00B67975"/>
    <w:rsid w:val="00B67A0D"/>
    <w:rsid w:val="00B67A69"/>
    <w:rsid w:val="00B67AC0"/>
    <w:rsid w:val="00B67B9D"/>
    <w:rsid w:val="00B67C1B"/>
    <w:rsid w:val="00B67C35"/>
    <w:rsid w:val="00B67CC8"/>
    <w:rsid w:val="00B67D0E"/>
    <w:rsid w:val="00B67D2A"/>
    <w:rsid w:val="00B67D89"/>
    <w:rsid w:val="00B67D9A"/>
    <w:rsid w:val="00B67DB3"/>
    <w:rsid w:val="00B67E7A"/>
    <w:rsid w:val="00B67E8E"/>
    <w:rsid w:val="00B67FB4"/>
    <w:rsid w:val="00B70015"/>
    <w:rsid w:val="00B7003D"/>
    <w:rsid w:val="00B7005C"/>
    <w:rsid w:val="00B700EB"/>
    <w:rsid w:val="00B70128"/>
    <w:rsid w:val="00B701EC"/>
    <w:rsid w:val="00B7021F"/>
    <w:rsid w:val="00B70291"/>
    <w:rsid w:val="00B7034A"/>
    <w:rsid w:val="00B7035D"/>
    <w:rsid w:val="00B70461"/>
    <w:rsid w:val="00B704C0"/>
    <w:rsid w:val="00B705AB"/>
    <w:rsid w:val="00B705B3"/>
    <w:rsid w:val="00B705E1"/>
    <w:rsid w:val="00B705EB"/>
    <w:rsid w:val="00B705F4"/>
    <w:rsid w:val="00B70683"/>
    <w:rsid w:val="00B706BE"/>
    <w:rsid w:val="00B7072D"/>
    <w:rsid w:val="00B707C5"/>
    <w:rsid w:val="00B707E3"/>
    <w:rsid w:val="00B708AD"/>
    <w:rsid w:val="00B708FF"/>
    <w:rsid w:val="00B70974"/>
    <w:rsid w:val="00B7099E"/>
    <w:rsid w:val="00B709D6"/>
    <w:rsid w:val="00B709E4"/>
    <w:rsid w:val="00B709EE"/>
    <w:rsid w:val="00B709F6"/>
    <w:rsid w:val="00B70B12"/>
    <w:rsid w:val="00B70B77"/>
    <w:rsid w:val="00B70BF1"/>
    <w:rsid w:val="00B70D2C"/>
    <w:rsid w:val="00B70E41"/>
    <w:rsid w:val="00B70F88"/>
    <w:rsid w:val="00B70FB3"/>
    <w:rsid w:val="00B70FB4"/>
    <w:rsid w:val="00B70FEF"/>
    <w:rsid w:val="00B710DD"/>
    <w:rsid w:val="00B7112B"/>
    <w:rsid w:val="00B711B1"/>
    <w:rsid w:val="00B711F2"/>
    <w:rsid w:val="00B71222"/>
    <w:rsid w:val="00B7123E"/>
    <w:rsid w:val="00B7128C"/>
    <w:rsid w:val="00B712B6"/>
    <w:rsid w:val="00B71303"/>
    <w:rsid w:val="00B71318"/>
    <w:rsid w:val="00B71351"/>
    <w:rsid w:val="00B71423"/>
    <w:rsid w:val="00B71459"/>
    <w:rsid w:val="00B7147D"/>
    <w:rsid w:val="00B714D3"/>
    <w:rsid w:val="00B71543"/>
    <w:rsid w:val="00B7156E"/>
    <w:rsid w:val="00B7158E"/>
    <w:rsid w:val="00B71595"/>
    <w:rsid w:val="00B715DE"/>
    <w:rsid w:val="00B71663"/>
    <w:rsid w:val="00B717B1"/>
    <w:rsid w:val="00B71920"/>
    <w:rsid w:val="00B7192C"/>
    <w:rsid w:val="00B71988"/>
    <w:rsid w:val="00B719FE"/>
    <w:rsid w:val="00B71A69"/>
    <w:rsid w:val="00B71A94"/>
    <w:rsid w:val="00B71C5B"/>
    <w:rsid w:val="00B71DB0"/>
    <w:rsid w:val="00B71E6A"/>
    <w:rsid w:val="00B71EDC"/>
    <w:rsid w:val="00B71FA6"/>
    <w:rsid w:val="00B71FBC"/>
    <w:rsid w:val="00B71FDE"/>
    <w:rsid w:val="00B71FE3"/>
    <w:rsid w:val="00B7203A"/>
    <w:rsid w:val="00B720BC"/>
    <w:rsid w:val="00B720F9"/>
    <w:rsid w:val="00B72241"/>
    <w:rsid w:val="00B722A8"/>
    <w:rsid w:val="00B72366"/>
    <w:rsid w:val="00B7239D"/>
    <w:rsid w:val="00B723B3"/>
    <w:rsid w:val="00B72449"/>
    <w:rsid w:val="00B72498"/>
    <w:rsid w:val="00B724FE"/>
    <w:rsid w:val="00B7276B"/>
    <w:rsid w:val="00B727E1"/>
    <w:rsid w:val="00B727F3"/>
    <w:rsid w:val="00B727FF"/>
    <w:rsid w:val="00B7280E"/>
    <w:rsid w:val="00B72810"/>
    <w:rsid w:val="00B72811"/>
    <w:rsid w:val="00B72826"/>
    <w:rsid w:val="00B72879"/>
    <w:rsid w:val="00B72882"/>
    <w:rsid w:val="00B72884"/>
    <w:rsid w:val="00B728C3"/>
    <w:rsid w:val="00B728DE"/>
    <w:rsid w:val="00B72C2E"/>
    <w:rsid w:val="00B72C4B"/>
    <w:rsid w:val="00B72C54"/>
    <w:rsid w:val="00B72C90"/>
    <w:rsid w:val="00B72D04"/>
    <w:rsid w:val="00B72D4F"/>
    <w:rsid w:val="00B72EB9"/>
    <w:rsid w:val="00B72ECC"/>
    <w:rsid w:val="00B72F14"/>
    <w:rsid w:val="00B72F7B"/>
    <w:rsid w:val="00B72FF6"/>
    <w:rsid w:val="00B73112"/>
    <w:rsid w:val="00B7316C"/>
    <w:rsid w:val="00B7323A"/>
    <w:rsid w:val="00B7324C"/>
    <w:rsid w:val="00B73279"/>
    <w:rsid w:val="00B73284"/>
    <w:rsid w:val="00B732BE"/>
    <w:rsid w:val="00B732E6"/>
    <w:rsid w:val="00B7331D"/>
    <w:rsid w:val="00B73375"/>
    <w:rsid w:val="00B7338E"/>
    <w:rsid w:val="00B733CE"/>
    <w:rsid w:val="00B73464"/>
    <w:rsid w:val="00B734BF"/>
    <w:rsid w:val="00B734D7"/>
    <w:rsid w:val="00B7357A"/>
    <w:rsid w:val="00B735CC"/>
    <w:rsid w:val="00B735DD"/>
    <w:rsid w:val="00B73655"/>
    <w:rsid w:val="00B736B7"/>
    <w:rsid w:val="00B73704"/>
    <w:rsid w:val="00B73810"/>
    <w:rsid w:val="00B7383B"/>
    <w:rsid w:val="00B7393D"/>
    <w:rsid w:val="00B73965"/>
    <w:rsid w:val="00B73A18"/>
    <w:rsid w:val="00B73AD3"/>
    <w:rsid w:val="00B73BC4"/>
    <w:rsid w:val="00B73C5C"/>
    <w:rsid w:val="00B73C8B"/>
    <w:rsid w:val="00B73C99"/>
    <w:rsid w:val="00B73CC6"/>
    <w:rsid w:val="00B73D0B"/>
    <w:rsid w:val="00B73D1F"/>
    <w:rsid w:val="00B73DE5"/>
    <w:rsid w:val="00B73EA8"/>
    <w:rsid w:val="00B73EC7"/>
    <w:rsid w:val="00B73F2C"/>
    <w:rsid w:val="00B73F69"/>
    <w:rsid w:val="00B7406A"/>
    <w:rsid w:val="00B74090"/>
    <w:rsid w:val="00B740BB"/>
    <w:rsid w:val="00B7414D"/>
    <w:rsid w:val="00B7415F"/>
    <w:rsid w:val="00B7417A"/>
    <w:rsid w:val="00B7418B"/>
    <w:rsid w:val="00B741F7"/>
    <w:rsid w:val="00B74271"/>
    <w:rsid w:val="00B742AA"/>
    <w:rsid w:val="00B742EE"/>
    <w:rsid w:val="00B7430E"/>
    <w:rsid w:val="00B74487"/>
    <w:rsid w:val="00B744D9"/>
    <w:rsid w:val="00B74531"/>
    <w:rsid w:val="00B7454B"/>
    <w:rsid w:val="00B74581"/>
    <w:rsid w:val="00B74596"/>
    <w:rsid w:val="00B74599"/>
    <w:rsid w:val="00B74624"/>
    <w:rsid w:val="00B7463A"/>
    <w:rsid w:val="00B74682"/>
    <w:rsid w:val="00B74692"/>
    <w:rsid w:val="00B7470F"/>
    <w:rsid w:val="00B74774"/>
    <w:rsid w:val="00B747F3"/>
    <w:rsid w:val="00B747F9"/>
    <w:rsid w:val="00B7484C"/>
    <w:rsid w:val="00B74875"/>
    <w:rsid w:val="00B748D5"/>
    <w:rsid w:val="00B748FD"/>
    <w:rsid w:val="00B7495A"/>
    <w:rsid w:val="00B74970"/>
    <w:rsid w:val="00B7499E"/>
    <w:rsid w:val="00B749D1"/>
    <w:rsid w:val="00B74A0E"/>
    <w:rsid w:val="00B74AAA"/>
    <w:rsid w:val="00B74B02"/>
    <w:rsid w:val="00B74B29"/>
    <w:rsid w:val="00B74BC4"/>
    <w:rsid w:val="00B74CB8"/>
    <w:rsid w:val="00B74CDC"/>
    <w:rsid w:val="00B74CE6"/>
    <w:rsid w:val="00B74D00"/>
    <w:rsid w:val="00B74D02"/>
    <w:rsid w:val="00B74D66"/>
    <w:rsid w:val="00B74E4B"/>
    <w:rsid w:val="00B74E8C"/>
    <w:rsid w:val="00B74F38"/>
    <w:rsid w:val="00B74F53"/>
    <w:rsid w:val="00B74FB0"/>
    <w:rsid w:val="00B74FD3"/>
    <w:rsid w:val="00B75016"/>
    <w:rsid w:val="00B75041"/>
    <w:rsid w:val="00B75074"/>
    <w:rsid w:val="00B750E4"/>
    <w:rsid w:val="00B75248"/>
    <w:rsid w:val="00B752EB"/>
    <w:rsid w:val="00B75368"/>
    <w:rsid w:val="00B75379"/>
    <w:rsid w:val="00B7538B"/>
    <w:rsid w:val="00B753AA"/>
    <w:rsid w:val="00B7543B"/>
    <w:rsid w:val="00B75531"/>
    <w:rsid w:val="00B75562"/>
    <w:rsid w:val="00B75570"/>
    <w:rsid w:val="00B755BC"/>
    <w:rsid w:val="00B7560C"/>
    <w:rsid w:val="00B756C9"/>
    <w:rsid w:val="00B756DE"/>
    <w:rsid w:val="00B756F6"/>
    <w:rsid w:val="00B75718"/>
    <w:rsid w:val="00B75742"/>
    <w:rsid w:val="00B75758"/>
    <w:rsid w:val="00B759B5"/>
    <w:rsid w:val="00B75A31"/>
    <w:rsid w:val="00B75A66"/>
    <w:rsid w:val="00B75ADC"/>
    <w:rsid w:val="00B75B02"/>
    <w:rsid w:val="00B75B0B"/>
    <w:rsid w:val="00B75B59"/>
    <w:rsid w:val="00B75B8E"/>
    <w:rsid w:val="00B75B93"/>
    <w:rsid w:val="00B75BC7"/>
    <w:rsid w:val="00B75CB7"/>
    <w:rsid w:val="00B75CBB"/>
    <w:rsid w:val="00B75D0E"/>
    <w:rsid w:val="00B75D7E"/>
    <w:rsid w:val="00B75DDA"/>
    <w:rsid w:val="00B75E2A"/>
    <w:rsid w:val="00B75E3F"/>
    <w:rsid w:val="00B75EC9"/>
    <w:rsid w:val="00B75EF8"/>
    <w:rsid w:val="00B75FAA"/>
    <w:rsid w:val="00B75FDC"/>
    <w:rsid w:val="00B75FFB"/>
    <w:rsid w:val="00B76040"/>
    <w:rsid w:val="00B7607A"/>
    <w:rsid w:val="00B76104"/>
    <w:rsid w:val="00B7616F"/>
    <w:rsid w:val="00B7619B"/>
    <w:rsid w:val="00B761F9"/>
    <w:rsid w:val="00B76220"/>
    <w:rsid w:val="00B7627E"/>
    <w:rsid w:val="00B762D9"/>
    <w:rsid w:val="00B762F0"/>
    <w:rsid w:val="00B7632D"/>
    <w:rsid w:val="00B763A6"/>
    <w:rsid w:val="00B763C0"/>
    <w:rsid w:val="00B763CB"/>
    <w:rsid w:val="00B76450"/>
    <w:rsid w:val="00B76506"/>
    <w:rsid w:val="00B7651F"/>
    <w:rsid w:val="00B7654D"/>
    <w:rsid w:val="00B7658E"/>
    <w:rsid w:val="00B76690"/>
    <w:rsid w:val="00B767AE"/>
    <w:rsid w:val="00B76849"/>
    <w:rsid w:val="00B7687F"/>
    <w:rsid w:val="00B7688E"/>
    <w:rsid w:val="00B76945"/>
    <w:rsid w:val="00B769D3"/>
    <w:rsid w:val="00B769E1"/>
    <w:rsid w:val="00B76A8F"/>
    <w:rsid w:val="00B76AAA"/>
    <w:rsid w:val="00B76AD4"/>
    <w:rsid w:val="00B76B17"/>
    <w:rsid w:val="00B76B73"/>
    <w:rsid w:val="00B76BB2"/>
    <w:rsid w:val="00B76BD9"/>
    <w:rsid w:val="00B76C0F"/>
    <w:rsid w:val="00B76C4F"/>
    <w:rsid w:val="00B76CA3"/>
    <w:rsid w:val="00B76CC9"/>
    <w:rsid w:val="00B76DE6"/>
    <w:rsid w:val="00B76E44"/>
    <w:rsid w:val="00B76E49"/>
    <w:rsid w:val="00B76E81"/>
    <w:rsid w:val="00B76F75"/>
    <w:rsid w:val="00B76F8D"/>
    <w:rsid w:val="00B76FDE"/>
    <w:rsid w:val="00B77012"/>
    <w:rsid w:val="00B770BF"/>
    <w:rsid w:val="00B7718D"/>
    <w:rsid w:val="00B771BE"/>
    <w:rsid w:val="00B772A6"/>
    <w:rsid w:val="00B772A8"/>
    <w:rsid w:val="00B773BF"/>
    <w:rsid w:val="00B77407"/>
    <w:rsid w:val="00B7740E"/>
    <w:rsid w:val="00B77431"/>
    <w:rsid w:val="00B77442"/>
    <w:rsid w:val="00B774B5"/>
    <w:rsid w:val="00B774DD"/>
    <w:rsid w:val="00B775F2"/>
    <w:rsid w:val="00B77601"/>
    <w:rsid w:val="00B77645"/>
    <w:rsid w:val="00B7769F"/>
    <w:rsid w:val="00B776A6"/>
    <w:rsid w:val="00B77701"/>
    <w:rsid w:val="00B77724"/>
    <w:rsid w:val="00B777A5"/>
    <w:rsid w:val="00B77805"/>
    <w:rsid w:val="00B77821"/>
    <w:rsid w:val="00B778AD"/>
    <w:rsid w:val="00B779AD"/>
    <w:rsid w:val="00B779C1"/>
    <w:rsid w:val="00B779C8"/>
    <w:rsid w:val="00B77A12"/>
    <w:rsid w:val="00B77A35"/>
    <w:rsid w:val="00B77A86"/>
    <w:rsid w:val="00B77A98"/>
    <w:rsid w:val="00B77B32"/>
    <w:rsid w:val="00B77B64"/>
    <w:rsid w:val="00B77B85"/>
    <w:rsid w:val="00B77BBB"/>
    <w:rsid w:val="00B77BBE"/>
    <w:rsid w:val="00B77C12"/>
    <w:rsid w:val="00B77C7E"/>
    <w:rsid w:val="00B77CC6"/>
    <w:rsid w:val="00B77E7F"/>
    <w:rsid w:val="00B77EBA"/>
    <w:rsid w:val="00B77EF2"/>
    <w:rsid w:val="00B77F17"/>
    <w:rsid w:val="00B77FA4"/>
    <w:rsid w:val="00B77FA7"/>
    <w:rsid w:val="00B8007D"/>
    <w:rsid w:val="00B800C7"/>
    <w:rsid w:val="00B80124"/>
    <w:rsid w:val="00B80169"/>
    <w:rsid w:val="00B801D4"/>
    <w:rsid w:val="00B80285"/>
    <w:rsid w:val="00B803BD"/>
    <w:rsid w:val="00B803BF"/>
    <w:rsid w:val="00B80456"/>
    <w:rsid w:val="00B80465"/>
    <w:rsid w:val="00B8046D"/>
    <w:rsid w:val="00B80621"/>
    <w:rsid w:val="00B80637"/>
    <w:rsid w:val="00B80735"/>
    <w:rsid w:val="00B8083D"/>
    <w:rsid w:val="00B80867"/>
    <w:rsid w:val="00B80918"/>
    <w:rsid w:val="00B80981"/>
    <w:rsid w:val="00B80A0D"/>
    <w:rsid w:val="00B80A5D"/>
    <w:rsid w:val="00B80AC7"/>
    <w:rsid w:val="00B80B4B"/>
    <w:rsid w:val="00B80B5B"/>
    <w:rsid w:val="00B80B76"/>
    <w:rsid w:val="00B80BF8"/>
    <w:rsid w:val="00B80C53"/>
    <w:rsid w:val="00B80C78"/>
    <w:rsid w:val="00B80C9C"/>
    <w:rsid w:val="00B80CF2"/>
    <w:rsid w:val="00B80D26"/>
    <w:rsid w:val="00B80D93"/>
    <w:rsid w:val="00B80DA6"/>
    <w:rsid w:val="00B80DAC"/>
    <w:rsid w:val="00B80DE1"/>
    <w:rsid w:val="00B80F0E"/>
    <w:rsid w:val="00B80F4F"/>
    <w:rsid w:val="00B80F9F"/>
    <w:rsid w:val="00B80FE2"/>
    <w:rsid w:val="00B810F4"/>
    <w:rsid w:val="00B81150"/>
    <w:rsid w:val="00B81365"/>
    <w:rsid w:val="00B8138D"/>
    <w:rsid w:val="00B813C1"/>
    <w:rsid w:val="00B81411"/>
    <w:rsid w:val="00B81424"/>
    <w:rsid w:val="00B8144C"/>
    <w:rsid w:val="00B814A4"/>
    <w:rsid w:val="00B814B6"/>
    <w:rsid w:val="00B814F1"/>
    <w:rsid w:val="00B81573"/>
    <w:rsid w:val="00B815B7"/>
    <w:rsid w:val="00B816A0"/>
    <w:rsid w:val="00B816FC"/>
    <w:rsid w:val="00B817CF"/>
    <w:rsid w:val="00B8198C"/>
    <w:rsid w:val="00B819AC"/>
    <w:rsid w:val="00B819EE"/>
    <w:rsid w:val="00B81A41"/>
    <w:rsid w:val="00B81BA0"/>
    <w:rsid w:val="00B81C14"/>
    <w:rsid w:val="00B81C18"/>
    <w:rsid w:val="00B81C2E"/>
    <w:rsid w:val="00B81C71"/>
    <w:rsid w:val="00B81C84"/>
    <w:rsid w:val="00B81C8B"/>
    <w:rsid w:val="00B81CA8"/>
    <w:rsid w:val="00B81DC1"/>
    <w:rsid w:val="00B81E10"/>
    <w:rsid w:val="00B81E22"/>
    <w:rsid w:val="00B81E84"/>
    <w:rsid w:val="00B81EB4"/>
    <w:rsid w:val="00B81EB9"/>
    <w:rsid w:val="00B81EE0"/>
    <w:rsid w:val="00B81EEE"/>
    <w:rsid w:val="00B81F20"/>
    <w:rsid w:val="00B81F4E"/>
    <w:rsid w:val="00B81F9A"/>
    <w:rsid w:val="00B81FB6"/>
    <w:rsid w:val="00B8207B"/>
    <w:rsid w:val="00B820E8"/>
    <w:rsid w:val="00B82194"/>
    <w:rsid w:val="00B821E3"/>
    <w:rsid w:val="00B8224E"/>
    <w:rsid w:val="00B822AE"/>
    <w:rsid w:val="00B822FC"/>
    <w:rsid w:val="00B823B2"/>
    <w:rsid w:val="00B82427"/>
    <w:rsid w:val="00B82433"/>
    <w:rsid w:val="00B82492"/>
    <w:rsid w:val="00B824A4"/>
    <w:rsid w:val="00B824AB"/>
    <w:rsid w:val="00B825C8"/>
    <w:rsid w:val="00B825F2"/>
    <w:rsid w:val="00B826A9"/>
    <w:rsid w:val="00B826F4"/>
    <w:rsid w:val="00B826FC"/>
    <w:rsid w:val="00B82712"/>
    <w:rsid w:val="00B82715"/>
    <w:rsid w:val="00B82763"/>
    <w:rsid w:val="00B82774"/>
    <w:rsid w:val="00B827BE"/>
    <w:rsid w:val="00B828B8"/>
    <w:rsid w:val="00B828D3"/>
    <w:rsid w:val="00B82905"/>
    <w:rsid w:val="00B8296C"/>
    <w:rsid w:val="00B82A08"/>
    <w:rsid w:val="00B82A0B"/>
    <w:rsid w:val="00B82A3D"/>
    <w:rsid w:val="00B82BC6"/>
    <w:rsid w:val="00B82C60"/>
    <w:rsid w:val="00B82C8B"/>
    <w:rsid w:val="00B82CA5"/>
    <w:rsid w:val="00B82DC0"/>
    <w:rsid w:val="00B82F19"/>
    <w:rsid w:val="00B830F1"/>
    <w:rsid w:val="00B83142"/>
    <w:rsid w:val="00B83164"/>
    <w:rsid w:val="00B831C7"/>
    <w:rsid w:val="00B83207"/>
    <w:rsid w:val="00B83239"/>
    <w:rsid w:val="00B83248"/>
    <w:rsid w:val="00B832C1"/>
    <w:rsid w:val="00B832F0"/>
    <w:rsid w:val="00B83356"/>
    <w:rsid w:val="00B8344A"/>
    <w:rsid w:val="00B8344E"/>
    <w:rsid w:val="00B83472"/>
    <w:rsid w:val="00B83521"/>
    <w:rsid w:val="00B835C6"/>
    <w:rsid w:val="00B835EE"/>
    <w:rsid w:val="00B835F8"/>
    <w:rsid w:val="00B8363C"/>
    <w:rsid w:val="00B83669"/>
    <w:rsid w:val="00B836CF"/>
    <w:rsid w:val="00B8372F"/>
    <w:rsid w:val="00B8376F"/>
    <w:rsid w:val="00B837D7"/>
    <w:rsid w:val="00B837F0"/>
    <w:rsid w:val="00B83808"/>
    <w:rsid w:val="00B8384D"/>
    <w:rsid w:val="00B83874"/>
    <w:rsid w:val="00B83956"/>
    <w:rsid w:val="00B8399E"/>
    <w:rsid w:val="00B83AAC"/>
    <w:rsid w:val="00B83AE1"/>
    <w:rsid w:val="00B83B2F"/>
    <w:rsid w:val="00B83C25"/>
    <w:rsid w:val="00B83CBB"/>
    <w:rsid w:val="00B83CD1"/>
    <w:rsid w:val="00B83CE2"/>
    <w:rsid w:val="00B83D55"/>
    <w:rsid w:val="00B83D9D"/>
    <w:rsid w:val="00B83DBC"/>
    <w:rsid w:val="00B83E0B"/>
    <w:rsid w:val="00B83E56"/>
    <w:rsid w:val="00B83E6B"/>
    <w:rsid w:val="00B83EF0"/>
    <w:rsid w:val="00B83FA0"/>
    <w:rsid w:val="00B8403E"/>
    <w:rsid w:val="00B8404B"/>
    <w:rsid w:val="00B84069"/>
    <w:rsid w:val="00B840CE"/>
    <w:rsid w:val="00B8410B"/>
    <w:rsid w:val="00B84142"/>
    <w:rsid w:val="00B84222"/>
    <w:rsid w:val="00B842BB"/>
    <w:rsid w:val="00B8432C"/>
    <w:rsid w:val="00B843C5"/>
    <w:rsid w:val="00B844A2"/>
    <w:rsid w:val="00B845A5"/>
    <w:rsid w:val="00B84842"/>
    <w:rsid w:val="00B84877"/>
    <w:rsid w:val="00B848C6"/>
    <w:rsid w:val="00B848C9"/>
    <w:rsid w:val="00B848D1"/>
    <w:rsid w:val="00B848ED"/>
    <w:rsid w:val="00B8496D"/>
    <w:rsid w:val="00B84979"/>
    <w:rsid w:val="00B84A3B"/>
    <w:rsid w:val="00B84B1F"/>
    <w:rsid w:val="00B84BF7"/>
    <w:rsid w:val="00B84C79"/>
    <w:rsid w:val="00B84C96"/>
    <w:rsid w:val="00B84C9B"/>
    <w:rsid w:val="00B84C9F"/>
    <w:rsid w:val="00B84CC3"/>
    <w:rsid w:val="00B84CFD"/>
    <w:rsid w:val="00B84D31"/>
    <w:rsid w:val="00B84D7F"/>
    <w:rsid w:val="00B84DA9"/>
    <w:rsid w:val="00B84E11"/>
    <w:rsid w:val="00B84E29"/>
    <w:rsid w:val="00B84E3F"/>
    <w:rsid w:val="00B84E8F"/>
    <w:rsid w:val="00B84F37"/>
    <w:rsid w:val="00B84FBF"/>
    <w:rsid w:val="00B84FCD"/>
    <w:rsid w:val="00B85013"/>
    <w:rsid w:val="00B850AE"/>
    <w:rsid w:val="00B850AF"/>
    <w:rsid w:val="00B85150"/>
    <w:rsid w:val="00B8519E"/>
    <w:rsid w:val="00B852C4"/>
    <w:rsid w:val="00B852F8"/>
    <w:rsid w:val="00B85313"/>
    <w:rsid w:val="00B85318"/>
    <w:rsid w:val="00B8532C"/>
    <w:rsid w:val="00B8536E"/>
    <w:rsid w:val="00B853A1"/>
    <w:rsid w:val="00B853A5"/>
    <w:rsid w:val="00B853C7"/>
    <w:rsid w:val="00B853CD"/>
    <w:rsid w:val="00B853EC"/>
    <w:rsid w:val="00B85430"/>
    <w:rsid w:val="00B8546B"/>
    <w:rsid w:val="00B8555F"/>
    <w:rsid w:val="00B8568D"/>
    <w:rsid w:val="00B856E1"/>
    <w:rsid w:val="00B856F0"/>
    <w:rsid w:val="00B85731"/>
    <w:rsid w:val="00B857D1"/>
    <w:rsid w:val="00B857D4"/>
    <w:rsid w:val="00B8589C"/>
    <w:rsid w:val="00B858AA"/>
    <w:rsid w:val="00B8592C"/>
    <w:rsid w:val="00B85A47"/>
    <w:rsid w:val="00B85A62"/>
    <w:rsid w:val="00B85AD0"/>
    <w:rsid w:val="00B85AFD"/>
    <w:rsid w:val="00B85B9E"/>
    <w:rsid w:val="00B85BB6"/>
    <w:rsid w:val="00B85C4F"/>
    <w:rsid w:val="00B85CA0"/>
    <w:rsid w:val="00B85CF5"/>
    <w:rsid w:val="00B85CFB"/>
    <w:rsid w:val="00B85D4F"/>
    <w:rsid w:val="00B85D6E"/>
    <w:rsid w:val="00B85D73"/>
    <w:rsid w:val="00B85DA5"/>
    <w:rsid w:val="00B85DAF"/>
    <w:rsid w:val="00B85DC2"/>
    <w:rsid w:val="00B85E17"/>
    <w:rsid w:val="00B85E1C"/>
    <w:rsid w:val="00B85F11"/>
    <w:rsid w:val="00B85F2C"/>
    <w:rsid w:val="00B85F7D"/>
    <w:rsid w:val="00B85F8C"/>
    <w:rsid w:val="00B860C1"/>
    <w:rsid w:val="00B8612A"/>
    <w:rsid w:val="00B8615B"/>
    <w:rsid w:val="00B8619E"/>
    <w:rsid w:val="00B861C9"/>
    <w:rsid w:val="00B86213"/>
    <w:rsid w:val="00B8622B"/>
    <w:rsid w:val="00B8629A"/>
    <w:rsid w:val="00B86305"/>
    <w:rsid w:val="00B8630E"/>
    <w:rsid w:val="00B86332"/>
    <w:rsid w:val="00B86350"/>
    <w:rsid w:val="00B8640F"/>
    <w:rsid w:val="00B8643D"/>
    <w:rsid w:val="00B86462"/>
    <w:rsid w:val="00B86480"/>
    <w:rsid w:val="00B86484"/>
    <w:rsid w:val="00B86505"/>
    <w:rsid w:val="00B86536"/>
    <w:rsid w:val="00B86639"/>
    <w:rsid w:val="00B86695"/>
    <w:rsid w:val="00B866CB"/>
    <w:rsid w:val="00B866DB"/>
    <w:rsid w:val="00B866F2"/>
    <w:rsid w:val="00B8679D"/>
    <w:rsid w:val="00B867B3"/>
    <w:rsid w:val="00B867EF"/>
    <w:rsid w:val="00B86817"/>
    <w:rsid w:val="00B86841"/>
    <w:rsid w:val="00B8684E"/>
    <w:rsid w:val="00B8690E"/>
    <w:rsid w:val="00B869AB"/>
    <w:rsid w:val="00B869BF"/>
    <w:rsid w:val="00B86A29"/>
    <w:rsid w:val="00B86A46"/>
    <w:rsid w:val="00B86A8B"/>
    <w:rsid w:val="00B86AC7"/>
    <w:rsid w:val="00B86B15"/>
    <w:rsid w:val="00B86B20"/>
    <w:rsid w:val="00B86B74"/>
    <w:rsid w:val="00B86BBA"/>
    <w:rsid w:val="00B86BDA"/>
    <w:rsid w:val="00B86C18"/>
    <w:rsid w:val="00B86C24"/>
    <w:rsid w:val="00B86C2D"/>
    <w:rsid w:val="00B86C68"/>
    <w:rsid w:val="00B86C71"/>
    <w:rsid w:val="00B86C8F"/>
    <w:rsid w:val="00B86E74"/>
    <w:rsid w:val="00B86E7D"/>
    <w:rsid w:val="00B86E85"/>
    <w:rsid w:val="00B86EAA"/>
    <w:rsid w:val="00B86F77"/>
    <w:rsid w:val="00B86F97"/>
    <w:rsid w:val="00B8708C"/>
    <w:rsid w:val="00B870B8"/>
    <w:rsid w:val="00B870DB"/>
    <w:rsid w:val="00B87120"/>
    <w:rsid w:val="00B87132"/>
    <w:rsid w:val="00B8714D"/>
    <w:rsid w:val="00B8717A"/>
    <w:rsid w:val="00B87186"/>
    <w:rsid w:val="00B871C3"/>
    <w:rsid w:val="00B87235"/>
    <w:rsid w:val="00B87319"/>
    <w:rsid w:val="00B87328"/>
    <w:rsid w:val="00B8737D"/>
    <w:rsid w:val="00B873A6"/>
    <w:rsid w:val="00B873C9"/>
    <w:rsid w:val="00B874B4"/>
    <w:rsid w:val="00B8752A"/>
    <w:rsid w:val="00B8754F"/>
    <w:rsid w:val="00B87559"/>
    <w:rsid w:val="00B87596"/>
    <w:rsid w:val="00B87633"/>
    <w:rsid w:val="00B8770D"/>
    <w:rsid w:val="00B87859"/>
    <w:rsid w:val="00B8786D"/>
    <w:rsid w:val="00B87910"/>
    <w:rsid w:val="00B87974"/>
    <w:rsid w:val="00B879AC"/>
    <w:rsid w:val="00B879E2"/>
    <w:rsid w:val="00B87A99"/>
    <w:rsid w:val="00B87AA5"/>
    <w:rsid w:val="00B87ACB"/>
    <w:rsid w:val="00B87AD8"/>
    <w:rsid w:val="00B87B13"/>
    <w:rsid w:val="00B87B2F"/>
    <w:rsid w:val="00B87B45"/>
    <w:rsid w:val="00B87C1A"/>
    <w:rsid w:val="00B87C39"/>
    <w:rsid w:val="00B87C84"/>
    <w:rsid w:val="00B87CC4"/>
    <w:rsid w:val="00B87CD0"/>
    <w:rsid w:val="00B87D31"/>
    <w:rsid w:val="00B87D85"/>
    <w:rsid w:val="00B87E30"/>
    <w:rsid w:val="00B87EE6"/>
    <w:rsid w:val="00B87F07"/>
    <w:rsid w:val="00B87F27"/>
    <w:rsid w:val="00B87F75"/>
    <w:rsid w:val="00B87FD1"/>
    <w:rsid w:val="00B9001A"/>
    <w:rsid w:val="00B90032"/>
    <w:rsid w:val="00B9009A"/>
    <w:rsid w:val="00B900F3"/>
    <w:rsid w:val="00B901F0"/>
    <w:rsid w:val="00B90217"/>
    <w:rsid w:val="00B9022E"/>
    <w:rsid w:val="00B903F1"/>
    <w:rsid w:val="00B90412"/>
    <w:rsid w:val="00B90497"/>
    <w:rsid w:val="00B904B9"/>
    <w:rsid w:val="00B90596"/>
    <w:rsid w:val="00B9062B"/>
    <w:rsid w:val="00B90681"/>
    <w:rsid w:val="00B90702"/>
    <w:rsid w:val="00B907C1"/>
    <w:rsid w:val="00B90832"/>
    <w:rsid w:val="00B9084F"/>
    <w:rsid w:val="00B90A21"/>
    <w:rsid w:val="00B90AC6"/>
    <w:rsid w:val="00B90AE8"/>
    <w:rsid w:val="00B90B64"/>
    <w:rsid w:val="00B90C46"/>
    <w:rsid w:val="00B90CEF"/>
    <w:rsid w:val="00B90D70"/>
    <w:rsid w:val="00B90E2C"/>
    <w:rsid w:val="00B90E65"/>
    <w:rsid w:val="00B90E6B"/>
    <w:rsid w:val="00B90FDE"/>
    <w:rsid w:val="00B91061"/>
    <w:rsid w:val="00B910B2"/>
    <w:rsid w:val="00B911BF"/>
    <w:rsid w:val="00B9126F"/>
    <w:rsid w:val="00B91298"/>
    <w:rsid w:val="00B91306"/>
    <w:rsid w:val="00B9134F"/>
    <w:rsid w:val="00B913B6"/>
    <w:rsid w:val="00B91414"/>
    <w:rsid w:val="00B914CB"/>
    <w:rsid w:val="00B914DF"/>
    <w:rsid w:val="00B9150D"/>
    <w:rsid w:val="00B915EE"/>
    <w:rsid w:val="00B9161D"/>
    <w:rsid w:val="00B916D8"/>
    <w:rsid w:val="00B917A1"/>
    <w:rsid w:val="00B91828"/>
    <w:rsid w:val="00B91A0C"/>
    <w:rsid w:val="00B91AD6"/>
    <w:rsid w:val="00B91B6D"/>
    <w:rsid w:val="00B91C48"/>
    <w:rsid w:val="00B91CA0"/>
    <w:rsid w:val="00B91CA5"/>
    <w:rsid w:val="00B91CB8"/>
    <w:rsid w:val="00B91CC6"/>
    <w:rsid w:val="00B91D79"/>
    <w:rsid w:val="00B91DC0"/>
    <w:rsid w:val="00B91DCC"/>
    <w:rsid w:val="00B91E27"/>
    <w:rsid w:val="00B91EC9"/>
    <w:rsid w:val="00B91EDE"/>
    <w:rsid w:val="00B91EFE"/>
    <w:rsid w:val="00B91F83"/>
    <w:rsid w:val="00B91F89"/>
    <w:rsid w:val="00B92011"/>
    <w:rsid w:val="00B920DA"/>
    <w:rsid w:val="00B920ED"/>
    <w:rsid w:val="00B92109"/>
    <w:rsid w:val="00B9214C"/>
    <w:rsid w:val="00B921C1"/>
    <w:rsid w:val="00B921CF"/>
    <w:rsid w:val="00B92266"/>
    <w:rsid w:val="00B922E3"/>
    <w:rsid w:val="00B922F0"/>
    <w:rsid w:val="00B923DA"/>
    <w:rsid w:val="00B923F7"/>
    <w:rsid w:val="00B9260B"/>
    <w:rsid w:val="00B9267D"/>
    <w:rsid w:val="00B926A2"/>
    <w:rsid w:val="00B928BE"/>
    <w:rsid w:val="00B928ED"/>
    <w:rsid w:val="00B92900"/>
    <w:rsid w:val="00B92941"/>
    <w:rsid w:val="00B9298C"/>
    <w:rsid w:val="00B92999"/>
    <w:rsid w:val="00B92A30"/>
    <w:rsid w:val="00B92A94"/>
    <w:rsid w:val="00B92AA3"/>
    <w:rsid w:val="00B92BB6"/>
    <w:rsid w:val="00B92BD9"/>
    <w:rsid w:val="00B92C2F"/>
    <w:rsid w:val="00B92C45"/>
    <w:rsid w:val="00B92C58"/>
    <w:rsid w:val="00B92CEE"/>
    <w:rsid w:val="00B92D45"/>
    <w:rsid w:val="00B92D4F"/>
    <w:rsid w:val="00B92D9C"/>
    <w:rsid w:val="00B92DE7"/>
    <w:rsid w:val="00B92E47"/>
    <w:rsid w:val="00B92E4F"/>
    <w:rsid w:val="00B930AD"/>
    <w:rsid w:val="00B930BD"/>
    <w:rsid w:val="00B93120"/>
    <w:rsid w:val="00B93136"/>
    <w:rsid w:val="00B9313E"/>
    <w:rsid w:val="00B9314A"/>
    <w:rsid w:val="00B93153"/>
    <w:rsid w:val="00B93157"/>
    <w:rsid w:val="00B931A6"/>
    <w:rsid w:val="00B931E2"/>
    <w:rsid w:val="00B9326D"/>
    <w:rsid w:val="00B93290"/>
    <w:rsid w:val="00B932B8"/>
    <w:rsid w:val="00B932C6"/>
    <w:rsid w:val="00B932FE"/>
    <w:rsid w:val="00B93341"/>
    <w:rsid w:val="00B93362"/>
    <w:rsid w:val="00B93381"/>
    <w:rsid w:val="00B9354B"/>
    <w:rsid w:val="00B935C5"/>
    <w:rsid w:val="00B935CE"/>
    <w:rsid w:val="00B935D7"/>
    <w:rsid w:val="00B93621"/>
    <w:rsid w:val="00B93709"/>
    <w:rsid w:val="00B9370E"/>
    <w:rsid w:val="00B93748"/>
    <w:rsid w:val="00B93777"/>
    <w:rsid w:val="00B937AF"/>
    <w:rsid w:val="00B937E3"/>
    <w:rsid w:val="00B93834"/>
    <w:rsid w:val="00B9386F"/>
    <w:rsid w:val="00B938B6"/>
    <w:rsid w:val="00B938F8"/>
    <w:rsid w:val="00B93A1C"/>
    <w:rsid w:val="00B93A96"/>
    <w:rsid w:val="00B93B10"/>
    <w:rsid w:val="00B93B73"/>
    <w:rsid w:val="00B93BBD"/>
    <w:rsid w:val="00B93CA9"/>
    <w:rsid w:val="00B93D20"/>
    <w:rsid w:val="00B93D2D"/>
    <w:rsid w:val="00B93D9C"/>
    <w:rsid w:val="00B93E0A"/>
    <w:rsid w:val="00B93E7F"/>
    <w:rsid w:val="00B93F02"/>
    <w:rsid w:val="00B93F3E"/>
    <w:rsid w:val="00B93F61"/>
    <w:rsid w:val="00B93F9F"/>
    <w:rsid w:val="00B940A1"/>
    <w:rsid w:val="00B940A4"/>
    <w:rsid w:val="00B940AE"/>
    <w:rsid w:val="00B940B8"/>
    <w:rsid w:val="00B94122"/>
    <w:rsid w:val="00B9413A"/>
    <w:rsid w:val="00B941C1"/>
    <w:rsid w:val="00B942B8"/>
    <w:rsid w:val="00B9431A"/>
    <w:rsid w:val="00B943CD"/>
    <w:rsid w:val="00B944A8"/>
    <w:rsid w:val="00B9450E"/>
    <w:rsid w:val="00B945C5"/>
    <w:rsid w:val="00B945FF"/>
    <w:rsid w:val="00B946FF"/>
    <w:rsid w:val="00B9473E"/>
    <w:rsid w:val="00B94751"/>
    <w:rsid w:val="00B947AE"/>
    <w:rsid w:val="00B947E6"/>
    <w:rsid w:val="00B947ED"/>
    <w:rsid w:val="00B9486F"/>
    <w:rsid w:val="00B9490C"/>
    <w:rsid w:val="00B9499B"/>
    <w:rsid w:val="00B949D3"/>
    <w:rsid w:val="00B949E1"/>
    <w:rsid w:val="00B94A1C"/>
    <w:rsid w:val="00B94A31"/>
    <w:rsid w:val="00B94B77"/>
    <w:rsid w:val="00B94B7C"/>
    <w:rsid w:val="00B94C22"/>
    <w:rsid w:val="00B94C78"/>
    <w:rsid w:val="00B94D06"/>
    <w:rsid w:val="00B94D5E"/>
    <w:rsid w:val="00B94EC4"/>
    <w:rsid w:val="00B94F23"/>
    <w:rsid w:val="00B94F36"/>
    <w:rsid w:val="00B94F63"/>
    <w:rsid w:val="00B95003"/>
    <w:rsid w:val="00B95041"/>
    <w:rsid w:val="00B95055"/>
    <w:rsid w:val="00B950CA"/>
    <w:rsid w:val="00B95158"/>
    <w:rsid w:val="00B95185"/>
    <w:rsid w:val="00B95206"/>
    <w:rsid w:val="00B95256"/>
    <w:rsid w:val="00B952B7"/>
    <w:rsid w:val="00B952E2"/>
    <w:rsid w:val="00B952ED"/>
    <w:rsid w:val="00B95303"/>
    <w:rsid w:val="00B9544A"/>
    <w:rsid w:val="00B9547F"/>
    <w:rsid w:val="00B95538"/>
    <w:rsid w:val="00B95547"/>
    <w:rsid w:val="00B95559"/>
    <w:rsid w:val="00B955FA"/>
    <w:rsid w:val="00B9568F"/>
    <w:rsid w:val="00B95766"/>
    <w:rsid w:val="00B95774"/>
    <w:rsid w:val="00B95851"/>
    <w:rsid w:val="00B9590E"/>
    <w:rsid w:val="00B95924"/>
    <w:rsid w:val="00B9594E"/>
    <w:rsid w:val="00B959E2"/>
    <w:rsid w:val="00B95A14"/>
    <w:rsid w:val="00B95A20"/>
    <w:rsid w:val="00B95A52"/>
    <w:rsid w:val="00B95B33"/>
    <w:rsid w:val="00B95BE3"/>
    <w:rsid w:val="00B95C0B"/>
    <w:rsid w:val="00B95C60"/>
    <w:rsid w:val="00B95C74"/>
    <w:rsid w:val="00B95D77"/>
    <w:rsid w:val="00B95E0A"/>
    <w:rsid w:val="00B95E2F"/>
    <w:rsid w:val="00B95F45"/>
    <w:rsid w:val="00B95F73"/>
    <w:rsid w:val="00B95FC8"/>
    <w:rsid w:val="00B96053"/>
    <w:rsid w:val="00B96185"/>
    <w:rsid w:val="00B961C4"/>
    <w:rsid w:val="00B96228"/>
    <w:rsid w:val="00B9632E"/>
    <w:rsid w:val="00B963D2"/>
    <w:rsid w:val="00B964DD"/>
    <w:rsid w:val="00B964F5"/>
    <w:rsid w:val="00B96567"/>
    <w:rsid w:val="00B9656A"/>
    <w:rsid w:val="00B96571"/>
    <w:rsid w:val="00B9675A"/>
    <w:rsid w:val="00B967BC"/>
    <w:rsid w:val="00B967C7"/>
    <w:rsid w:val="00B96818"/>
    <w:rsid w:val="00B96826"/>
    <w:rsid w:val="00B96837"/>
    <w:rsid w:val="00B96899"/>
    <w:rsid w:val="00B9689B"/>
    <w:rsid w:val="00B96975"/>
    <w:rsid w:val="00B96A60"/>
    <w:rsid w:val="00B96AAE"/>
    <w:rsid w:val="00B96AE3"/>
    <w:rsid w:val="00B96AE8"/>
    <w:rsid w:val="00B96AF7"/>
    <w:rsid w:val="00B96B41"/>
    <w:rsid w:val="00B96C09"/>
    <w:rsid w:val="00B96CA6"/>
    <w:rsid w:val="00B96D04"/>
    <w:rsid w:val="00B96D10"/>
    <w:rsid w:val="00B96D35"/>
    <w:rsid w:val="00B96D89"/>
    <w:rsid w:val="00B96DC3"/>
    <w:rsid w:val="00B96E5C"/>
    <w:rsid w:val="00B96E5F"/>
    <w:rsid w:val="00B96ECD"/>
    <w:rsid w:val="00B96F10"/>
    <w:rsid w:val="00B96F33"/>
    <w:rsid w:val="00B96F73"/>
    <w:rsid w:val="00B96FCE"/>
    <w:rsid w:val="00B9708C"/>
    <w:rsid w:val="00B970DA"/>
    <w:rsid w:val="00B970FE"/>
    <w:rsid w:val="00B9710E"/>
    <w:rsid w:val="00B971F1"/>
    <w:rsid w:val="00B97243"/>
    <w:rsid w:val="00B972B1"/>
    <w:rsid w:val="00B97365"/>
    <w:rsid w:val="00B97394"/>
    <w:rsid w:val="00B973A4"/>
    <w:rsid w:val="00B973B2"/>
    <w:rsid w:val="00B973EB"/>
    <w:rsid w:val="00B9745D"/>
    <w:rsid w:val="00B974EF"/>
    <w:rsid w:val="00B9753E"/>
    <w:rsid w:val="00B975A7"/>
    <w:rsid w:val="00B975D2"/>
    <w:rsid w:val="00B97656"/>
    <w:rsid w:val="00B97687"/>
    <w:rsid w:val="00B97693"/>
    <w:rsid w:val="00B976BC"/>
    <w:rsid w:val="00B97743"/>
    <w:rsid w:val="00B97801"/>
    <w:rsid w:val="00B97851"/>
    <w:rsid w:val="00B978A7"/>
    <w:rsid w:val="00B9791C"/>
    <w:rsid w:val="00B97961"/>
    <w:rsid w:val="00B9798A"/>
    <w:rsid w:val="00B979F6"/>
    <w:rsid w:val="00B97A08"/>
    <w:rsid w:val="00B97A26"/>
    <w:rsid w:val="00B97A63"/>
    <w:rsid w:val="00B97B8C"/>
    <w:rsid w:val="00B97BB4"/>
    <w:rsid w:val="00B97BC4"/>
    <w:rsid w:val="00B97BF2"/>
    <w:rsid w:val="00B97C00"/>
    <w:rsid w:val="00B97CB7"/>
    <w:rsid w:val="00B97CD6"/>
    <w:rsid w:val="00B97DC1"/>
    <w:rsid w:val="00B97DCC"/>
    <w:rsid w:val="00B97E21"/>
    <w:rsid w:val="00B97E50"/>
    <w:rsid w:val="00B97E9F"/>
    <w:rsid w:val="00B97F59"/>
    <w:rsid w:val="00B97FEE"/>
    <w:rsid w:val="00BA0032"/>
    <w:rsid w:val="00BA00F3"/>
    <w:rsid w:val="00BA013A"/>
    <w:rsid w:val="00BA0284"/>
    <w:rsid w:val="00BA028C"/>
    <w:rsid w:val="00BA0297"/>
    <w:rsid w:val="00BA029F"/>
    <w:rsid w:val="00BA02A9"/>
    <w:rsid w:val="00BA02B0"/>
    <w:rsid w:val="00BA02E9"/>
    <w:rsid w:val="00BA02F4"/>
    <w:rsid w:val="00BA035E"/>
    <w:rsid w:val="00BA035F"/>
    <w:rsid w:val="00BA0370"/>
    <w:rsid w:val="00BA0373"/>
    <w:rsid w:val="00BA044A"/>
    <w:rsid w:val="00BA045A"/>
    <w:rsid w:val="00BA0528"/>
    <w:rsid w:val="00BA0552"/>
    <w:rsid w:val="00BA0590"/>
    <w:rsid w:val="00BA05A9"/>
    <w:rsid w:val="00BA06AC"/>
    <w:rsid w:val="00BA06C0"/>
    <w:rsid w:val="00BA0710"/>
    <w:rsid w:val="00BA0758"/>
    <w:rsid w:val="00BA07B3"/>
    <w:rsid w:val="00BA0842"/>
    <w:rsid w:val="00BA08CD"/>
    <w:rsid w:val="00BA0915"/>
    <w:rsid w:val="00BA0984"/>
    <w:rsid w:val="00BA09E3"/>
    <w:rsid w:val="00BA0A86"/>
    <w:rsid w:val="00BA0AAF"/>
    <w:rsid w:val="00BA0AC6"/>
    <w:rsid w:val="00BA0AD4"/>
    <w:rsid w:val="00BA0B21"/>
    <w:rsid w:val="00BA0B2C"/>
    <w:rsid w:val="00BA0B33"/>
    <w:rsid w:val="00BA0B89"/>
    <w:rsid w:val="00BA0BC5"/>
    <w:rsid w:val="00BA0BED"/>
    <w:rsid w:val="00BA0C42"/>
    <w:rsid w:val="00BA0DE6"/>
    <w:rsid w:val="00BA0E2D"/>
    <w:rsid w:val="00BA0F2A"/>
    <w:rsid w:val="00BA0FC4"/>
    <w:rsid w:val="00BA1085"/>
    <w:rsid w:val="00BA10B0"/>
    <w:rsid w:val="00BA1111"/>
    <w:rsid w:val="00BA11FF"/>
    <w:rsid w:val="00BA1281"/>
    <w:rsid w:val="00BA130B"/>
    <w:rsid w:val="00BA13E8"/>
    <w:rsid w:val="00BA13F9"/>
    <w:rsid w:val="00BA1468"/>
    <w:rsid w:val="00BA152A"/>
    <w:rsid w:val="00BA1583"/>
    <w:rsid w:val="00BA15A4"/>
    <w:rsid w:val="00BA15C7"/>
    <w:rsid w:val="00BA1661"/>
    <w:rsid w:val="00BA1741"/>
    <w:rsid w:val="00BA1774"/>
    <w:rsid w:val="00BA19B2"/>
    <w:rsid w:val="00BA1A2E"/>
    <w:rsid w:val="00BA1A66"/>
    <w:rsid w:val="00BA1A83"/>
    <w:rsid w:val="00BA1AF6"/>
    <w:rsid w:val="00BA1B0F"/>
    <w:rsid w:val="00BA1B61"/>
    <w:rsid w:val="00BA1B7B"/>
    <w:rsid w:val="00BA1BA6"/>
    <w:rsid w:val="00BA1BC0"/>
    <w:rsid w:val="00BA1BFE"/>
    <w:rsid w:val="00BA1C4A"/>
    <w:rsid w:val="00BA1CD4"/>
    <w:rsid w:val="00BA1CFC"/>
    <w:rsid w:val="00BA1D64"/>
    <w:rsid w:val="00BA1DAA"/>
    <w:rsid w:val="00BA1EB2"/>
    <w:rsid w:val="00BA1F37"/>
    <w:rsid w:val="00BA1F43"/>
    <w:rsid w:val="00BA1F6B"/>
    <w:rsid w:val="00BA1F7D"/>
    <w:rsid w:val="00BA2017"/>
    <w:rsid w:val="00BA2035"/>
    <w:rsid w:val="00BA207C"/>
    <w:rsid w:val="00BA20AC"/>
    <w:rsid w:val="00BA20BE"/>
    <w:rsid w:val="00BA20DA"/>
    <w:rsid w:val="00BA2138"/>
    <w:rsid w:val="00BA2144"/>
    <w:rsid w:val="00BA214B"/>
    <w:rsid w:val="00BA2172"/>
    <w:rsid w:val="00BA2173"/>
    <w:rsid w:val="00BA21A1"/>
    <w:rsid w:val="00BA21D5"/>
    <w:rsid w:val="00BA21FC"/>
    <w:rsid w:val="00BA21FF"/>
    <w:rsid w:val="00BA224D"/>
    <w:rsid w:val="00BA2276"/>
    <w:rsid w:val="00BA228C"/>
    <w:rsid w:val="00BA229A"/>
    <w:rsid w:val="00BA2418"/>
    <w:rsid w:val="00BA242B"/>
    <w:rsid w:val="00BA2456"/>
    <w:rsid w:val="00BA2495"/>
    <w:rsid w:val="00BA24E5"/>
    <w:rsid w:val="00BA2527"/>
    <w:rsid w:val="00BA255A"/>
    <w:rsid w:val="00BA25A5"/>
    <w:rsid w:val="00BA25DD"/>
    <w:rsid w:val="00BA2679"/>
    <w:rsid w:val="00BA2709"/>
    <w:rsid w:val="00BA2731"/>
    <w:rsid w:val="00BA27FE"/>
    <w:rsid w:val="00BA2853"/>
    <w:rsid w:val="00BA28B2"/>
    <w:rsid w:val="00BA2BB9"/>
    <w:rsid w:val="00BA2BDF"/>
    <w:rsid w:val="00BA2CD8"/>
    <w:rsid w:val="00BA2E49"/>
    <w:rsid w:val="00BA2EED"/>
    <w:rsid w:val="00BA2F00"/>
    <w:rsid w:val="00BA2F09"/>
    <w:rsid w:val="00BA2F86"/>
    <w:rsid w:val="00BA2F90"/>
    <w:rsid w:val="00BA2FA2"/>
    <w:rsid w:val="00BA2FC1"/>
    <w:rsid w:val="00BA2FEC"/>
    <w:rsid w:val="00BA3099"/>
    <w:rsid w:val="00BA3151"/>
    <w:rsid w:val="00BA3172"/>
    <w:rsid w:val="00BA318E"/>
    <w:rsid w:val="00BA3197"/>
    <w:rsid w:val="00BA3287"/>
    <w:rsid w:val="00BA32B6"/>
    <w:rsid w:val="00BA3345"/>
    <w:rsid w:val="00BA33CE"/>
    <w:rsid w:val="00BA3490"/>
    <w:rsid w:val="00BA34BA"/>
    <w:rsid w:val="00BA34D0"/>
    <w:rsid w:val="00BA3529"/>
    <w:rsid w:val="00BA357D"/>
    <w:rsid w:val="00BA35E9"/>
    <w:rsid w:val="00BA3694"/>
    <w:rsid w:val="00BA36D5"/>
    <w:rsid w:val="00BA36E1"/>
    <w:rsid w:val="00BA3810"/>
    <w:rsid w:val="00BA3880"/>
    <w:rsid w:val="00BA38C6"/>
    <w:rsid w:val="00BA38CD"/>
    <w:rsid w:val="00BA38D7"/>
    <w:rsid w:val="00BA38DB"/>
    <w:rsid w:val="00BA3902"/>
    <w:rsid w:val="00BA3912"/>
    <w:rsid w:val="00BA39F1"/>
    <w:rsid w:val="00BA3A78"/>
    <w:rsid w:val="00BA3A7A"/>
    <w:rsid w:val="00BA3A9A"/>
    <w:rsid w:val="00BA3B30"/>
    <w:rsid w:val="00BA3B7E"/>
    <w:rsid w:val="00BA3C11"/>
    <w:rsid w:val="00BA3C68"/>
    <w:rsid w:val="00BA3C7E"/>
    <w:rsid w:val="00BA3CAB"/>
    <w:rsid w:val="00BA3CF6"/>
    <w:rsid w:val="00BA3D2E"/>
    <w:rsid w:val="00BA3D96"/>
    <w:rsid w:val="00BA3E34"/>
    <w:rsid w:val="00BA3E85"/>
    <w:rsid w:val="00BA3ED6"/>
    <w:rsid w:val="00BA3F1B"/>
    <w:rsid w:val="00BA3F1C"/>
    <w:rsid w:val="00BA3F3E"/>
    <w:rsid w:val="00BA3F59"/>
    <w:rsid w:val="00BA3F80"/>
    <w:rsid w:val="00BA3F85"/>
    <w:rsid w:val="00BA40EF"/>
    <w:rsid w:val="00BA4120"/>
    <w:rsid w:val="00BA4171"/>
    <w:rsid w:val="00BA41B6"/>
    <w:rsid w:val="00BA4326"/>
    <w:rsid w:val="00BA4355"/>
    <w:rsid w:val="00BA439A"/>
    <w:rsid w:val="00BA4413"/>
    <w:rsid w:val="00BA444C"/>
    <w:rsid w:val="00BA4539"/>
    <w:rsid w:val="00BA4616"/>
    <w:rsid w:val="00BA474F"/>
    <w:rsid w:val="00BA476E"/>
    <w:rsid w:val="00BA4784"/>
    <w:rsid w:val="00BA47B5"/>
    <w:rsid w:val="00BA4829"/>
    <w:rsid w:val="00BA482E"/>
    <w:rsid w:val="00BA488E"/>
    <w:rsid w:val="00BA4A11"/>
    <w:rsid w:val="00BA4A41"/>
    <w:rsid w:val="00BA4B3A"/>
    <w:rsid w:val="00BA4BC3"/>
    <w:rsid w:val="00BA4C23"/>
    <w:rsid w:val="00BA4CB8"/>
    <w:rsid w:val="00BA4CBB"/>
    <w:rsid w:val="00BA4CFB"/>
    <w:rsid w:val="00BA4ED8"/>
    <w:rsid w:val="00BA4F10"/>
    <w:rsid w:val="00BA4F20"/>
    <w:rsid w:val="00BA4F5C"/>
    <w:rsid w:val="00BA5019"/>
    <w:rsid w:val="00BA50AC"/>
    <w:rsid w:val="00BA50F4"/>
    <w:rsid w:val="00BA5164"/>
    <w:rsid w:val="00BA516A"/>
    <w:rsid w:val="00BA5191"/>
    <w:rsid w:val="00BA51AA"/>
    <w:rsid w:val="00BA5223"/>
    <w:rsid w:val="00BA52C4"/>
    <w:rsid w:val="00BA52C6"/>
    <w:rsid w:val="00BA534B"/>
    <w:rsid w:val="00BA5381"/>
    <w:rsid w:val="00BA53DD"/>
    <w:rsid w:val="00BA53FD"/>
    <w:rsid w:val="00BA5437"/>
    <w:rsid w:val="00BA54EC"/>
    <w:rsid w:val="00BA5518"/>
    <w:rsid w:val="00BA554A"/>
    <w:rsid w:val="00BA55EC"/>
    <w:rsid w:val="00BA55F1"/>
    <w:rsid w:val="00BA57C2"/>
    <w:rsid w:val="00BA57C4"/>
    <w:rsid w:val="00BA57D8"/>
    <w:rsid w:val="00BA5810"/>
    <w:rsid w:val="00BA587A"/>
    <w:rsid w:val="00BA5928"/>
    <w:rsid w:val="00BA5982"/>
    <w:rsid w:val="00BA5A21"/>
    <w:rsid w:val="00BA5A6E"/>
    <w:rsid w:val="00BA5A92"/>
    <w:rsid w:val="00BA5AF0"/>
    <w:rsid w:val="00BA5B7B"/>
    <w:rsid w:val="00BA5BD7"/>
    <w:rsid w:val="00BA5C18"/>
    <w:rsid w:val="00BA5C83"/>
    <w:rsid w:val="00BA5D70"/>
    <w:rsid w:val="00BA5D8E"/>
    <w:rsid w:val="00BA5D94"/>
    <w:rsid w:val="00BA5DAE"/>
    <w:rsid w:val="00BA5E5C"/>
    <w:rsid w:val="00BA5F0B"/>
    <w:rsid w:val="00BA5F45"/>
    <w:rsid w:val="00BA6014"/>
    <w:rsid w:val="00BA6024"/>
    <w:rsid w:val="00BA6107"/>
    <w:rsid w:val="00BA6125"/>
    <w:rsid w:val="00BA615D"/>
    <w:rsid w:val="00BA6238"/>
    <w:rsid w:val="00BA6262"/>
    <w:rsid w:val="00BA6289"/>
    <w:rsid w:val="00BA63E5"/>
    <w:rsid w:val="00BA6467"/>
    <w:rsid w:val="00BA64F0"/>
    <w:rsid w:val="00BA6500"/>
    <w:rsid w:val="00BA6565"/>
    <w:rsid w:val="00BA65A1"/>
    <w:rsid w:val="00BA65CF"/>
    <w:rsid w:val="00BA6615"/>
    <w:rsid w:val="00BA668A"/>
    <w:rsid w:val="00BA6691"/>
    <w:rsid w:val="00BA6715"/>
    <w:rsid w:val="00BA6758"/>
    <w:rsid w:val="00BA67C1"/>
    <w:rsid w:val="00BA680C"/>
    <w:rsid w:val="00BA6823"/>
    <w:rsid w:val="00BA686C"/>
    <w:rsid w:val="00BA687A"/>
    <w:rsid w:val="00BA6880"/>
    <w:rsid w:val="00BA68A2"/>
    <w:rsid w:val="00BA6910"/>
    <w:rsid w:val="00BA6933"/>
    <w:rsid w:val="00BA6944"/>
    <w:rsid w:val="00BA6947"/>
    <w:rsid w:val="00BA69C8"/>
    <w:rsid w:val="00BA69ED"/>
    <w:rsid w:val="00BA6A58"/>
    <w:rsid w:val="00BA6C41"/>
    <w:rsid w:val="00BA6C78"/>
    <w:rsid w:val="00BA6CE4"/>
    <w:rsid w:val="00BA6D51"/>
    <w:rsid w:val="00BA6E47"/>
    <w:rsid w:val="00BA6FBF"/>
    <w:rsid w:val="00BA6FC4"/>
    <w:rsid w:val="00BA6FCB"/>
    <w:rsid w:val="00BA7071"/>
    <w:rsid w:val="00BA70AD"/>
    <w:rsid w:val="00BA71B4"/>
    <w:rsid w:val="00BA71DD"/>
    <w:rsid w:val="00BA7215"/>
    <w:rsid w:val="00BA7228"/>
    <w:rsid w:val="00BA729A"/>
    <w:rsid w:val="00BA7391"/>
    <w:rsid w:val="00BA73F2"/>
    <w:rsid w:val="00BA743E"/>
    <w:rsid w:val="00BA7445"/>
    <w:rsid w:val="00BA747E"/>
    <w:rsid w:val="00BA74DC"/>
    <w:rsid w:val="00BA7543"/>
    <w:rsid w:val="00BA75BC"/>
    <w:rsid w:val="00BA75D0"/>
    <w:rsid w:val="00BA7657"/>
    <w:rsid w:val="00BA772D"/>
    <w:rsid w:val="00BA7793"/>
    <w:rsid w:val="00BA7810"/>
    <w:rsid w:val="00BA7846"/>
    <w:rsid w:val="00BA791F"/>
    <w:rsid w:val="00BA7927"/>
    <w:rsid w:val="00BA79FB"/>
    <w:rsid w:val="00BA7AF7"/>
    <w:rsid w:val="00BA7B3C"/>
    <w:rsid w:val="00BA7B66"/>
    <w:rsid w:val="00BA7C3B"/>
    <w:rsid w:val="00BA7C51"/>
    <w:rsid w:val="00BA7C6A"/>
    <w:rsid w:val="00BA7CF4"/>
    <w:rsid w:val="00BA7D11"/>
    <w:rsid w:val="00BA7D74"/>
    <w:rsid w:val="00BA7D9C"/>
    <w:rsid w:val="00BA7DE2"/>
    <w:rsid w:val="00BA7E6A"/>
    <w:rsid w:val="00BA7F13"/>
    <w:rsid w:val="00BA7FA0"/>
    <w:rsid w:val="00BB0038"/>
    <w:rsid w:val="00BB005F"/>
    <w:rsid w:val="00BB0068"/>
    <w:rsid w:val="00BB0087"/>
    <w:rsid w:val="00BB00A1"/>
    <w:rsid w:val="00BB00EA"/>
    <w:rsid w:val="00BB0115"/>
    <w:rsid w:val="00BB0154"/>
    <w:rsid w:val="00BB015C"/>
    <w:rsid w:val="00BB020E"/>
    <w:rsid w:val="00BB0245"/>
    <w:rsid w:val="00BB0253"/>
    <w:rsid w:val="00BB0356"/>
    <w:rsid w:val="00BB0360"/>
    <w:rsid w:val="00BB03C3"/>
    <w:rsid w:val="00BB043C"/>
    <w:rsid w:val="00BB0552"/>
    <w:rsid w:val="00BB05A7"/>
    <w:rsid w:val="00BB05C7"/>
    <w:rsid w:val="00BB05EF"/>
    <w:rsid w:val="00BB05FE"/>
    <w:rsid w:val="00BB064B"/>
    <w:rsid w:val="00BB066B"/>
    <w:rsid w:val="00BB06D7"/>
    <w:rsid w:val="00BB0853"/>
    <w:rsid w:val="00BB08E3"/>
    <w:rsid w:val="00BB0A95"/>
    <w:rsid w:val="00BB0AA3"/>
    <w:rsid w:val="00BB0AFD"/>
    <w:rsid w:val="00BB0B00"/>
    <w:rsid w:val="00BB0B05"/>
    <w:rsid w:val="00BB0B1C"/>
    <w:rsid w:val="00BB0BE0"/>
    <w:rsid w:val="00BB0C5B"/>
    <w:rsid w:val="00BB0C80"/>
    <w:rsid w:val="00BB0D27"/>
    <w:rsid w:val="00BB0D38"/>
    <w:rsid w:val="00BB0D77"/>
    <w:rsid w:val="00BB0D78"/>
    <w:rsid w:val="00BB0DC1"/>
    <w:rsid w:val="00BB0E56"/>
    <w:rsid w:val="00BB0E5F"/>
    <w:rsid w:val="00BB0F9C"/>
    <w:rsid w:val="00BB1003"/>
    <w:rsid w:val="00BB106F"/>
    <w:rsid w:val="00BB116E"/>
    <w:rsid w:val="00BB1179"/>
    <w:rsid w:val="00BB12A7"/>
    <w:rsid w:val="00BB1328"/>
    <w:rsid w:val="00BB133C"/>
    <w:rsid w:val="00BB1356"/>
    <w:rsid w:val="00BB1407"/>
    <w:rsid w:val="00BB1440"/>
    <w:rsid w:val="00BB1462"/>
    <w:rsid w:val="00BB14A8"/>
    <w:rsid w:val="00BB14F3"/>
    <w:rsid w:val="00BB14FC"/>
    <w:rsid w:val="00BB15EA"/>
    <w:rsid w:val="00BB163A"/>
    <w:rsid w:val="00BB1729"/>
    <w:rsid w:val="00BB188F"/>
    <w:rsid w:val="00BB18FA"/>
    <w:rsid w:val="00BB18FE"/>
    <w:rsid w:val="00BB1946"/>
    <w:rsid w:val="00BB1968"/>
    <w:rsid w:val="00BB19BB"/>
    <w:rsid w:val="00BB19FC"/>
    <w:rsid w:val="00BB1A29"/>
    <w:rsid w:val="00BB1B53"/>
    <w:rsid w:val="00BB1C01"/>
    <w:rsid w:val="00BB1C15"/>
    <w:rsid w:val="00BB1C1A"/>
    <w:rsid w:val="00BB1CAE"/>
    <w:rsid w:val="00BB1CFB"/>
    <w:rsid w:val="00BB1D19"/>
    <w:rsid w:val="00BB1D7F"/>
    <w:rsid w:val="00BB1D8E"/>
    <w:rsid w:val="00BB1DB8"/>
    <w:rsid w:val="00BB1ECC"/>
    <w:rsid w:val="00BB1FA3"/>
    <w:rsid w:val="00BB2012"/>
    <w:rsid w:val="00BB204E"/>
    <w:rsid w:val="00BB205D"/>
    <w:rsid w:val="00BB20A0"/>
    <w:rsid w:val="00BB20A1"/>
    <w:rsid w:val="00BB217C"/>
    <w:rsid w:val="00BB228F"/>
    <w:rsid w:val="00BB2317"/>
    <w:rsid w:val="00BB23FE"/>
    <w:rsid w:val="00BB241A"/>
    <w:rsid w:val="00BB2540"/>
    <w:rsid w:val="00BB258F"/>
    <w:rsid w:val="00BB265C"/>
    <w:rsid w:val="00BB2696"/>
    <w:rsid w:val="00BB26E1"/>
    <w:rsid w:val="00BB26EF"/>
    <w:rsid w:val="00BB26F0"/>
    <w:rsid w:val="00BB272F"/>
    <w:rsid w:val="00BB2750"/>
    <w:rsid w:val="00BB27E9"/>
    <w:rsid w:val="00BB286B"/>
    <w:rsid w:val="00BB28C0"/>
    <w:rsid w:val="00BB28E7"/>
    <w:rsid w:val="00BB29C1"/>
    <w:rsid w:val="00BB29EE"/>
    <w:rsid w:val="00BB29FF"/>
    <w:rsid w:val="00BB2A39"/>
    <w:rsid w:val="00BB2AA4"/>
    <w:rsid w:val="00BB2AB6"/>
    <w:rsid w:val="00BB2AC7"/>
    <w:rsid w:val="00BB2B05"/>
    <w:rsid w:val="00BB2B87"/>
    <w:rsid w:val="00BB2C31"/>
    <w:rsid w:val="00BB2C39"/>
    <w:rsid w:val="00BB2C45"/>
    <w:rsid w:val="00BB2C78"/>
    <w:rsid w:val="00BB2D8B"/>
    <w:rsid w:val="00BB2D95"/>
    <w:rsid w:val="00BB2DBD"/>
    <w:rsid w:val="00BB2DE7"/>
    <w:rsid w:val="00BB2E59"/>
    <w:rsid w:val="00BB2E72"/>
    <w:rsid w:val="00BB2EBF"/>
    <w:rsid w:val="00BB2FA8"/>
    <w:rsid w:val="00BB2FC0"/>
    <w:rsid w:val="00BB304C"/>
    <w:rsid w:val="00BB3083"/>
    <w:rsid w:val="00BB30B4"/>
    <w:rsid w:val="00BB30F4"/>
    <w:rsid w:val="00BB312A"/>
    <w:rsid w:val="00BB314C"/>
    <w:rsid w:val="00BB317D"/>
    <w:rsid w:val="00BB31EB"/>
    <w:rsid w:val="00BB31F7"/>
    <w:rsid w:val="00BB3205"/>
    <w:rsid w:val="00BB33DA"/>
    <w:rsid w:val="00BB33E1"/>
    <w:rsid w:val="00BB3509"/>
    <w:rsid w:val="00BB365B"/>
    <w:rsid w:val="00BB367B"/>
    <w:rsid w:val="00BB36EE"/>
    <w:rsid w:val="00BB3717"/>
    <w:rsid w:val="00BB379E"/>
    <w:rsid w:val="00BB37A5"/>
    <w:rsid w:val="00BB37E1"/>
    <w:rsid w:val="00BB3845"/>
    <w:rsid w:val="00BB3893"/>
    <w:rsid w:val="00BB3897"/>
    <w:rsid w:val="00BB38BB"/>
    <w:rsid w:val="00BB38FF"/>
    <w:rsid w:val="00BB3912"/>
    <w:rsid w:val="00BB391A"/>
    <w:rsid w:val="00BB3956"/>
    <w:rsid w:val="00BB39B0"/>
    <w:rsid w:val="00BB3A18"/>
    <w:rsid w:val="00BB3A4B"/>
    <w:rsid w:val="00BB3A4E"/>
    <w:rsid w:val="00BB3A57"/>
    <w:rsid w:val="00BB3A84"/>
    <w:rsid w:val="00BB3B0D"/>
    <w:rsid w:val="00BB3B2C"/>
    <w:rsid w:val="00BB3BBC"/>
    <w:rsid w:val="00BB3C1B"/>
    <w:rsid w:val="00BB3CE7"/>
    <w:rsid w:val="00BB3D3D"/>
    <w:rsid w:val="00BB3DF4"/>
    <w:rsid w:val="00BB3DFE"/>
    <w:rsid w:val="00BB3E3C"/>
    <w:rsid w:val="00BB3FB9"/>
    <w:rsid w:val="00BB3FC0"/>
    <w:rsid w:val="00BB3FEA"/>
    <w:rsid w:val="00BB4065"/>
    <w:rsid w:val="00BB40C0"/>
    <w:rsid w:val="00BB40C5"/>
    <w:rsid w:val="00BB40CE"/>
    <w:rsid w:val="00BB40DC"/>
    <w:rsid w:val="00BB4152"/>
    <w:rsid w:val="00BB416D"/>
    <w:rsid w:val="00BB41DE"/>
    <w:rsid w:val="00BB4223"/>
    <w:rsid w:val="00BB4227"/>
    <w:rsid w:val="00BB4276"/>
    <w:rsid w:val="00BB4285"/>
    <w:rsid w:val="00BB448C"/>
    <w:rsid w:val="00BB4558"/>
    <w:rsid w:val="00BB4566"/>
    <w:rsid w:val="00BB458F"/>
    <w:rsid w:val="00BB45B3"/>
    <w:rsid w:val="00BB4639"/>
    <w:rsid w:val="00BB46A7"/>
    <w:rsid w:val="00BB4714"/>
    <w:rsid w:val="00BB4741"/>
    <w:rsid w:val="00BB47FF"/>
    <w:rsid w:val="00BB4816"/>
    <w:rsid w:val="00BB4845"/>
    <w:rsid w:val="00BB485B"/>
    <w:rsid w:val="00BB48F8"/>
    <w:rsid w:val="00BB4912"/>
    <w:rsid w:val="00BB494D"/>
    <w:rsid w:val="00BB496D"/>
    <w:rsid w:val="00BB4A11"/>
    <w:rsid w:val="00BB4A19"/>
    <w:rsid w:val="00BB4A34"/>
    <w:rsid w:val="00BB4A36"/>
    <w:rsid w:val="00BB4A5C"/>
    <w:rsid w:val="00BB4A6C"/>
    <w:rsid w:val="00BB4A7F"/>
    <w:rsid w:val="00BB4B63"/>
    <w:rsid w:val="00BB4B87"/>
    <w:rsid w:val="00BB4B9F"/>
    <w:rsid w:val="00BB4BB4"/>
    <w:rsid w:val="00BB4C07"/>
    <w:rsid w:val="00BB4CBA"/>
    <w:rsid w:val="00BB4D53"/>
    <w:rsid w:val="00BB4DCA"/>
    <w:rsid w:val="00BB4DF3"/>
    <w:rsid w:val="00BB4E5E"/>
    <w:rsid w:val="00BB4E9C"/>
    <w:rsid w:val="00BB4F6C"/>
    <w:rsid w:val="00BB4FFD"/>
    <w:rsid w:val="00BB502B"/>
    <w:rsid w:val="00BB5086"/>
    <w:rsid w:val="00BB509B"/>
    <w:rsid w:val="00BB51B9"/>
    <w:rsid w:val="00BB52BD"/>
    <w:rsid w:val="00BB5332"/>
    <w:rsid w:val="00BB5348"/>
    <w:rsid w:val="00BB539D"/>
    <w:rsid w:val="00BB5459"/>
    <w:rsid w:val="00BB5475"/>
    <w:rsid w:val="00BB54BA"/>
    <w:rsid w:val="00BB5510"/>
    <w:rsid w:val="00BB5512"/>
    <w:rsid w:val="00BB551B"/>
    <w:rsid w:val="00BB5584"/>
    <w:rsid w:val="00BB55B2"/>
    <w:rsid w:val="00BB55C7"/>
    <w:rsid w:val="00BB5631"/>
    <w:rsid w:val="00BB566B"/>
    <w:rsid w:val="00BB566C"/>
    <w:rsid w:val="00BB56CC"/>
    <w:rsid w:val="00BB57B7"/>
    <w:rsid w:val="00BB57D7"/>
    <w:rsid w:val="00BB580E"/>
    <w:rsid w:val="00BB5868"/>
    <w:rsid w:val="00BB58E7"/>
    <w:rsid w:val="00BB58FC"/>
    <w:rsid w:val="00BB599F"/>
    <w:rsid w:val="00BB59B2"/>
    <w:rsid w:val="00BB5AC3"/>
    <w:rsid w:val="00BB5AF1"/>
    <w:rsid w:val="00BB5B0A"/>
    <w:rsid w:val="00BB5B1E"/>
    <w:rsid w:val="00BB5B32"/>
    <w:rsid w:val="00BB5B4B"/>
    <w:rsid w:val="00BB5B7D"/>
    <w:rsid w:val="00BB5B85"/>
    <w:rsid w:val="00BB5BAB"/>
    <w:rsid w:val="00BB5C45"/>
    <w:rsid w:val="00BB5CC6"/>
    <w:rsid w:val="00BB5D1C"/>
    <w:rsid w:val="00BB5D5D"/>
    <w:rsid w:val="00BB5DAB"/>
    <w:rsid w:val="00BB5DAC"/>
    <w:rsid w:val="00BB5DCE"/>
    <w:rsid w:val="00BB5E6C"/>
    <w:rsid w:val="00BB5E88"/>
    <w:rsid w:val="00BB5F1E"/>
    <w:rsid w:val="00BB5F32"/>
    <w:rsid w:val="00BB60DB"/>
    <w:rsid w:val="00BB61DC"/>
    <w:rsid w:val="00BB62F5"/>
    <w:rsid w:val="00BB62F6"/>
    <w:rsid w:val="00BB6377"/>
    <w:rsid w:val="00BB645B"/>
    <w:rsid w:val="00BB64D6"/>
    <w:rsid w:val="00BB6501"/>
    <w:rsid w:val="00BB6555"/>
    <w:rsid w:val="00BB6597"/>
    <w:rsid w:val="00BB6659"/>
    <w:rsid w:val="00BB666B"/>
    <w:rsid w:val="00BB66E2"/>
    <w:rsid w:val="00BB66ED"/>
    <w:rsid w:val="00BB670B"/>
    <w:rsid w:val="00BB6776"/>
    <w:rsid w:val="00BB67B6"/>
    <w:rsid w:val="00BB67FA"/>
    <w:rsid w:val="00BB683C"/>
    <w:rsid w:val="00BB68E1"/>
    <w:rsid w:val="00BB6922"/>
    <w:rsid w:val="00BB6924"/>
    <w:rsid w:val="00BB69C9"/>
    <w:rsid w:val="00BB6A6B"/>
    <w:rsid w:val="00BB6AAE"/>
    <w:rsid w:val="00BB6AE1"/>
    <w:rsid w:val="00BB6B13"/>
    <w:rsid w:val="00BB6B8E"/>
    <w:rsid w:val="00BB6BC3"/>
    <w:rsid w:val="00BB6C17"/>
    <w:rsid w:val="00BB6C1D"/>
    <w:rsid w:val="00BB6C5E"/>
    <w:rsid w:val="00BB6C8D"/>
    <w:rsid w:val="00BB6CB4"/>
    <w:rsid w:val="00BB6D1D"/>
    <w:rsid w:val="00BB6D69"/>
    <w:rsid w:val="00BB6DA6"/>
    <w:rsid w:val="00BB6E3E"/>
    <w:rsid w:val="00BB6E53"/>
    <w:rsid w:val="00BB6E72"/>
    <w:rsid w:val="00BB6EB8"/>
    <w:rsid w:val="00BB6ED1"/>
    <w:rsid w:val="00BB6ED6"/>
    <w:rsid w:val="00BB6FD7"/>
    <w:rsid w:val="00BB707E"/>
    <w:rsid w:val="00BB70A9"/>
    <w:rsid w:val="00BB70C2"/>
    <w:rsid w:val="00BB72DB"/>
    <w:rsid w:val="00BB7335"/>
    <w:rsid w:val="00BB73D0"/>
    <w:rsid w:val="00BB73E5"/>
    <w:rsid w:val="00BB73F0"/>
    <w:rsid w:val="00BB7472"/>
    <w:rsid w:val="00BB752B"/>
    <w:rsid w:val="00BB7547"/>
    <w:rsid w:val="00BB755A"/>
    <w:rsid w:val="00BB7589"/>
    <w:rsid w:val="00BB758D"/>
    <w:rsid w:val="00BB7678"/>
    <w:rsid w:val="00BB7681"/>
    <w:rsid w:val="00BB769B"/>
    <w:rsid w:val="00BB76BE"/>
    <w:rsid w:val="00BB772B"/>
    <w:rsid w:val="00BB7851"/>
    <w:rsid w:val="00BB787A"/>
    <w:rsid w:val="00BB787F"/>
    <w:rsid w:val="00BB7935"/>
    <w:rsid w:val="00BB798E"/>
    <w:rsid w:val="00BB79B9"/>
    <w:rsid w:val="00BB7B1D"/>
    <w:rsid w:val="00BB7B80"/>
    <w:rsid w:val="00BB7C48"/>
    <w:rsid w:val="00BB7C7D"/>
    <w:rsid w:val="00BB7CA0"/>
    <w:rsid w:val="00BB7CF2"/>
    <w:rsid w:val="00BB7D24"/>
    <w:rsid w:val="00BB7D9F"/>
    <w:rsid w:val="00BB7E08"/>
    <w:rsid w:val="00BB7E37"/>
    <w:rsid w:val="00BB7E3E"/>
    <w:rsid w:val="00BB7E7B"/>
    <w:rsid w:val="00BB7F58"/>
    <w:rsid w:val="00BB7FB0"/>
    <w:rsid w:val="00BC0061"/>
    <w:rsid w:val="00BC0086"/>
    <w:rsid w:val="00BC00E2"/>
    <w:rsid w:val="00BC02AC"/>
    <w:rsid w:val="00BC02AF"/>
    <w:rsid w:val="00BC033C"/>
    <w:rsid w:val="00BC035B"/>
    <w:rsid w:val="00BC0395"/>
    <w:rsid w:val="00BC03C1"/>
    <w:rsid w:val="00BC03C8"/>
    <w:rsid w:val="00BC0405"/>
    <w:rsid w:val="00BC043C"/>
    <w:rsid w:val="00BC055D"/>
    <w:rsid w:val="00BC058A"/>
    <w:rsid w:val="00BC061F"/>
    <w:rsid w:val="00BC06F8"/>
    <w:rsid w:val="00BC08F4"/>
    <w:rsid w:val="00BC09BF"/>
    <w:rsid w:val="00BC0A0F"/>
    <w:rsid w:val="00BC0A50"/>
    <w:rsid w:val="00BC0AD3"/>
    <w:rsid w:val="00BC0B2D"/>
    <w:rsid w:val="00BC0C0F"/>
    <w:rsid w:val="00BC0C23"/>
    <w:rsid w:val="00BC0C3A"/>
    <w:rsid w:val="00BC0C4F"/>
    <w:rsid w:val="00BC0C59"/>
    <w:rsid w:val="00BC0D10"/>
    <w:rsid w:val="00BC0D69"/>
    <w:rsid w:val="00BC0D95"/>
    <w:rsid w:val="00BC0DA1"/>
    <w:rsid w:val="00BC0F8D"/>
    <w:rsid w:val="00BC0FA9"/>
    <w:rsid w:val="00BC1008"/>
    <w:rsid w:val="00BC101F"/>
    <w:rsid w:val="00BC1074"/>
    <w:rsid w:val="00BC10DA"/>
    <w:rsid w:val="00BC1122"/>
    <w:rsid w:val="00BC11BB"/>
    <w:rsid w:val="00BC11C2"/>
    <w:rsid w:val="00BC126C"/>
    <w:rsid w:val="00BC1331"/>
    <w:rsid w:val="00BC1353"/>
    <w:rsid w:val="00BC13FB"/>
    <w:rsid w:val="00BC1457"/>
    <w:rsid w:val="00BC1475"/>
    <w:rsid w:val="00BC1499"/>
    <w:rsid w:val="00BC14A1"/>
    <w:rsid w:val="00BC14B5"/>
    <w:rsid w:val="00BC14E8"/>
    <w:rsid w:val="00BC156B"/>
    <w:rsid w:val="00BC15F2"/>
    <w:rsid w:val="00BC162F"/>
    <w:rsid w:val="00BC1635"/>
    <w:rsid w:val="00BC1741"/>
    <w:rsid w:val="00BC182F"/>
    <w:rsid w:val="00BC1843"/>
    <w:rsid w:val="00BC19EC"/>
    <w:rsid w:val="00BC19F9"/>
    <w:rsid w:val="00BC19FD"/>
    <w:rsid w:val="00BC1A2E"/>
    <w:rsid w:val="00BC1AB3"/>
    <w:rsid w:val="00BC1B43"/>
    <w:rsid w:val="00BC1B78"/>
    <w:rsid w:val="00BC1BDD"/>
    <w:rsid w:val="00BC1C2B"/>
    <w:rsid w:val="00BC1C54"/>
    <w:rsid w:val="00BC1E05"/>
    <w:rsid w:val="00BC1E24"/>
    <w:rsid w:val="00BC1EE4"/>
    <w:rsid w:val="00BC1FFE"/>
    <w:rsid w:val="00BC204E"/>
    <w:rsid w:val="00BC206D"/>
    <w:rsid w:val="00BC2166"/>
    <w:rsid w:val="00BC2168"/>
    <w:rsid w:val="00BC2177"/>
    <w:rsid w:val="00BC2180"/>
    <w:rsid w:val="00BC21A4"/>
    <w:rsid w:val="00BC21CD"/>
    <w:rsid w:val="00BC21D8"/>
    <w:rsid w:val="00BC2255"/>
    <w:rsid w:val="00BC22ED"/>
    <w:rsid w:val="00BC246F"/>
    <w:rsid w:val="00BC2472"/>
    <w:rsid w:val="00BC248D"/>
    <w:rsid w:val="00BC24E1"/>
    <w:rsid w:val="00BC2598"/>
    <w:rsid w:val="00BC25D6"/>
    <w:rsid w:val="00BC26F7"/>
    <w:rsid w:val="00BC270F"/>
    <w:rsid w:val="00BC2786"/>
    <w:rsid w:val="00BC2798"/>
    <w:rsid w:val="00BC279E"/>
    <w:rsid w:val="00BC27CD"/>
    <w:rsid w:val="00BC27D9"/>
    <w:rsid w:val="00BC2862"/>
    <w:rsid w:val="00BC28C7"/>
    <w:rsid w:val="00BC28D2"/>
    <w:rsid w:val="00BC28F0"/>
    <w:rsid w:val="00BC29A9"/>
    <w:rsid w:val="00BC2A01"/>
    <w:rsid w:val="00BC2A63"/>
    <w:rsid w:val="00BC2AAB"/>
    <w:rsid w:val="00BC2AB7"/>
    <w:rsid w:val="00BC2AB9"/>
    <w:rsid w:val="00BC2B09"/>
    <w:rsid w:val="00BC2B23"/>
    <w:rsid w:val="00BC2C59"/>
    <w:rsid w:val="00BC2C97"/>
    <w:rsid w:val="00BC2CBA"/>
    <w:rsid w:val="00BC2CFD"/>
    <w:rsid w:val="00BC2DD4"/>
    <w:rsid w:val="00BC2E2A"/>
    <w:rsid w:val="00BC2E9E"/>
    <w:rsid w:val="00BC2ECF"/>
    <w:rsid w:val="00BC2F15"/>
    <w:rsid w:val="00BC2F5A"/>
    <w:rsid w:val="00BC30BB"/>
    <w:rsid w:val="00BC3147"/>
    <w:rsid w:val="00BC3166"/>
    <w:rsid w:val="00BC329C"/>
    <w:rsid w:val="00BC3496"/>
    <w:rsid w:val="00BC34E7"/>
    <w:rsid w:val="00BC354A"/>
    <w:rsid w:val="00BC35A6"/>
    <w:rsid w:val="00BC360E"/>
    <w:rsid w:val="00BC361E"/>
    <w:rsid w:val="00BC3659"/>
    <w:rsid w:val="00BC368C"/>
    <w:rsid w:val="00BC3739"/>
    <w:rsid w:val="00BC37B1"/>
    <w:rsid w:val="00BC37BC"/>
    <w:rsid w:val="00BC37CB"/>
    <w:rsid w:val="00BC37E5"/>
    <w:rsid w:val="00BC3809"/>
    <w:rsid w:val="00BC385E"/>
    <w:rsid w:val="00BC38AB"/>
    <w:rsid w:val="00BC38B6"/>
    <w:rsid w:val="00BC38B8"/>
    <w:rsid w:val="00BC3910"/>
    <w:rsid w:val="00BC3935"/>
    <w:rsid w:val="00BC3B34"/>
    <w:rsid w:val="00BC3B3D"/>
    <w:rsid w:val="00BC3B78"/>
    <w:rsid w:val="00BC3BA0"/>
    <w:rsid w:val="00BC3BAE"/>
    <w:rsid w:val="00BC3C7D"/>
    <w:rsid w:val="00BC3D1C"/>
    <w:rsid w:val="00BC3D23"/>
    <w:rsid w:val="00BC3D96"/>
    <w:rsid w:val="00BC3DF7"/>
    <w:rsid w:val="00BC3E33"/>
    <w:rsid w:val="00BC3E34"/>
    <w:rsid w:val="00BC3EC7"/>
    <w:rsid w:val="00BC3F8D"/>
    <w:rsid w:val="00BC3FF4"/>
    <w:rsid w:val="00BC4026"/>
    <w:rsid w:val="00BC4028"/>
    <w:rsid w:val="00BC4059"/>
    <w:rsid w:val="00BC40E0"/>
    <w:rsid w:val="00BC4104"/>
    <w:rsid w:val="00BC41DE"/>
    <w:rsid w:val="00BC41FF"/>
    <w:rsid w:val="00BC4269"/>
    <w:rsid w:val="00BC428E"/>
    <w:rsid w:val="00BC42D6"/>
    <w:rsid w:val="00BC4412"/>
    <w:rsid w:val="00BC449C"/>
    <w:rsid w:val="00BC4519"/>
    <w:rsid w:val="00BC4651"/>
    <w:rsid w:val="00BC4688"/>
    <w:rsid w:val="00BC4691"/>
    <w:rsid w:val="00BC46BD"/>
    <w:rsid w:val="00BC46E7"/>
    <w:rsid w:val="00BC4736"/>
    <w:rsid w:val="00BC4772"/>
    <w:rsid w:val="00BC47FE"/>
    <w:rsid w:val="00BC480B"/>
    <w:rsid w:val="00BC4822"/>
    <w:rsid w:val="00BC484E"/>
    <w:rsid w:val="00BC486B"/>
    <w:rsid w:val="00BC4896"/>
    <w:rsid w:val="00BC4961"/>
    <w:rsid w:val="00BC49E5"/>
    <w:rsid w:val="00BC4A35"/>
    <w:rsid w:val="00BC4A47"/>
    <w:rsid w:val="00BC4BE4"/>
    <w:rsid w:val="00BC4CA0"/>
    <w:rsid w:val="00BC4CE0"/>
    <w:rsid w:val="00BC4CE3"/>
    <w:rsid w:val="00BC4CF1"/>
    <w:rsid w:val="00BC4D09"/>
    <w:rsid w:val="00BC4D78"/>
    <w:rsid w:val="00BC4D79"/>
    <w:rsid w:val="00BC4D93"/>
    <w:rsid w:val="00BC4DCB"/>
    <w:rsid w:val="00BC4DF1"/>
    <w:rsid w:val="00BC4E3A"/>
    <w:rsid w:val="00BC4E64"/>
    <w:rsid w:val="00BC4FAD"/>
    <w:rsid w:val="00BC4FC1"/>
    <w:rsid w:val="00BC4FD8"/>
    <w:rsid w:val="00BC506B"/>
    <w:rsid w:val="00BC50B8"/>
    <w:rsid w:val="00BC5176"/>
    <w:rsid w:val="00BC519A"/>
    <w:rsid w:val="00BC51F4"/>
    <w:rsid w:val="00BC52EE"/>
    <w:rsid w:val="00BC52F2"/>
    <w:rsid w:val="00BC5360"/>
    <w:rsid w:val="00BC539C"/>
    <w:rsid w:val="00BC54EC"/>
    <w:rsid w:val="00BC551C"/>
    <w:rsid w:val="00BC559A"/>
    <w:rsid w:val="00BC55B8"/>
    <w:rsid w:val="00BC562F"/>
    <w:rsid w:val="00BC56BE"/>
    <w:rsid w:val="00BC571C"/>
    <w:rsid w:val="00BC572B"/>
    <w:rsid w:val="00BC57EB"/>
    <w:rsid w:val="00BC584C"/>
    <w:rsid w:val="00BC5929"/>
    <w:rsid w:val="00BC595C"/>
    <w:rsid w:val="00BC5A2E"/>
    <w:rsid w:val="00BC5BCF"/>
    <w:rsid w:val="00BC5BD6"/>
    <w:rsid w:val="00BC5C11"/>
    <w:rsid w:val="00BC5D1E"/>
    <w:rsid w:val="00BC5D21"/>
    <w:rsid w:val="00BC5D3E"/>
    <w:rsid w:val="00BC5D57"/>
    <w:rsid w:val="00BC5DB7"/>
    <w:rsid w:val="00BC5E1E"/>
    <w:rsid w:val="00BC5E70"/>
    <w:rsid w:val="00BC5EF0"/>
    <w:rsid w:val="00BC5F29"/>
    <w:rsid w:val="00BC5F5A"/>
    <w:rsid w:val="00BC5FAA"/>
    <w:rsid w:val="00BC6075"/>
    <w:rsid w:val="00BC6280"/>
    <w:rsid w:val="00BC628E"/>
    <w:rsid w:val="00BC62C8"/>
    <w:rsid w:val="00BC6305"/>
    <w:rsid w:val="00BC6519"/>
    <w:rsid w:val="00BC6623"/>
    <w:rsid w:val="00BC66BF"/>
    <w:rsid w:val="00BC6792"/>
    <w:rsid w:val="00BC681A"/>
    <w:rsid w:val="00BC683B"/>
    <w:rsid w:val="00BC6893"/>
    <w:rsid w:val="00BC69CA"/>
    <w:rsid w:val="00BC69E3"/>
    <w:rsid w:val="00BC6AF5"/>
    <w:rsid w:val="00BC6AFE"/>
    <w:rsid w:val="00BC6B65"/>
    <w:rsid w:val="00BC6C88"/>
    <w:rsid w:val="00BC6CE3"/>
    <w:rsid w:val="00BC6D6B"/>
    <w:rsid w:val="00BC6DAC"/>
    <w:rsid w:val="00BC6DEA"/>
    <w:rsid w:val="00BC6E27"/>
    <w:rsid w:val="00BC6EA0"/>
    <w:rsid w:val="00BC6EC3"/>
    <w:rsid w:val="00BC7018"/>
    <w:rsid w:val="00BC702A"/>
    <w:rsid w:val="00BC70A7"/>
    <w:rsid w:val="00BC7121"/>
    <w:rsid w:val="00BC71AE"/>
    <w:rsid w:val="00BC7293"/>
    <w:rsid w:val="00BC73D3"/>
    <w:rsid w:val="00BC744C"/>
    <w:rsid w:val="00BC74A8"/>
    <w:rsid w:val="00BC74FF"/>
    <w:rsid w:val="00BC7583"/>
    <w:rsid w:val="00BC7598"/>
    <w:rsid w:val="00BC75AA"/>
    <w:rsid w:val="00BC75F4"/>
    <w:rsid w:val="00BC767E"/>
    <w:rsid w:val="00BC772E"/>
    <w:rsid w:val="00BC77AF"/>
    <w:rsid w:val="00BC7802"/>
    <w:rsid w:val="00BC788A"/>
    <w:rsid w:val="00BC78C0"/>
    <w:rsid w:val="00BC7927"/>
    <w:rsid w:val="00BC793E"/>
    <w:rsid w:val="00BC7944"/>
    <w:rsid w:val="00BC7ABC"/>
    <w:rsid w:val="00BC7AC8"/>
    <w:rsid w:val="00BC7B5F"/>
    <w:rsid w:val="00BC7B60"/>
    <w:rsid w:val="00BC7BAB"/>
    <w:rsid w:val="00BC7BC5"/>
    <w:rsid w:val="00BC7C36"/>
    <w:rsid w:val="00BC7CC0"/>
    <w:rsid w:val="00BC7D00"/>
    <w:rsid w:val="00BC7D51"/>
    <w:rsid w:val="00BC7EB5"/>
    <w:rsid w:val="00BC7EF8"/>
    <w:rsid w:val="00BC7F19"/>
    <w:rsid w:val="00BC7F5E"/>
    <w:rsid w:val="00BC7FBB"/>
    <w:rsid w:val="00BD00F5"/>
    <w:rsid w:val="00BD0132"/>
    <w:rsid w:val="00BD0167"/>
    <w:rsid w:val="00BD0180"/>
    <w:rsid w:val="00BD01CE"/>
    <w:rsid w:val="00BD01D7"/>
    <w:rsid w:val="00BD01E3"/>
    <w:rsid w:val="00BD02B5"/>
    <w:rsid w:val="00BD02CB"/>
    <w:rsid w:val="00BD0365"/>
    <w:rsid w:val="00BD03C9"/>
    <w:rsid w:val="00BD03EF"/>
    <w:rsid w:val="00BD043F"/>
    <w:rsid w:val="00BD044F"/>
    <w:rsid w:val="00BD055A"/>
    <w:rsid w:val="00BD0593"/>
    <w:rsid w:val="00BD05EA"/>
    <w:rsid w:val="00BD065F"/>
    <w:rsid w:val="00BD06A5"/>
    <w:rsid w:val="00BD06F8"/>
    <w:rsid w:val="00BD06FE"/>
    <w:rsid w:val="00BD075D"/>
    <w:rsid w:val="00BD0785"/>
    <w:rsid w:val="00BD079C"/>
    <w:rsid w:val="00BD07AE"/>
    <w:rsid w:val="00BD07B9"/>
    <w:rsid w:val="00BD081D"/>
    <w:rsid w:val="00BD0898"/>
    <w:rsid w:val="00BD08FB"/>
    <w:rsid w:val="00BD0943"/>
    <w:rsid w:val="00BD097E"/>
    <w:rsid w:val="00BD0A45"/>
    <w:rsid w:val="00BD0AA4"/>
    <w:rsid w:val="00BD0B70"/>
    <w:rsid w:val="00BD0BA3"/>
    <w:rsid w:val="00BD0BBA"/>
    <w:rsid w:val="00BD0BE3"/>
    <w:rsid w:val="00BD0BEB"/>
    <w:rsid w:val="00BD0CC0"/>
    <w:rsid w:val="00BD0D80"/>
    <w:rsid w:val="00BD0DEF"/>
    <w:rsid w:val="00BD0E24"/>
    <w:rsid w:val="00BD0E31"/>
    <w:rsid w:val="00BD0FFE"/>
    <w:rsid w:val="00BD105C"/>
    <w:rsid w:val="00BD10AC"/>
    <w:rsid w:val="00BD125E"/>
    <w:rsid w:val="00BD12EF"/>
    <w:rsid w:val="00BD13BE"/>
    <w:rsid w:val="00BD1465"/>
    <w:rsid w:val="00BD14E9"/>
    <w:rsid w:val="00BD1527"/>
    <w:rsid w:val="00BD1594"/>
    <w:rsid w:val="00BD15D1"/>
    <w:rsid w:val="00BD16F4"/>
    <w:rsid w:val="00BD172A"/>
    <w:rsid w:val="00BD1749"/>
    <w:rsid w:val="00BD1774"/>
    <w:rsid w:val="00BD1795"/>
    <w:rsid w:val="00BD17EE"/>
    <w:rsid w:val="00BD187A"/>
    <w:rsid w:val="00BD19C7"/>
    <w:rsid w:val="00BD19DD"/>
    <w:rsid w:val="00BD1A2B"/>
    <w:rsid w:val="00BD1A48"/>
    <w:rsid w:val="00BD1AA4"/>
    <w:rsid w:val="00BD1B20"/>
    <w:rsid w:val="00BD1BB3"/>
    <w:rsid w:val="00BD1BBB"/>
    <w:rsid w:val="00BD1BD2"/>
    <w:rsid w:val="00BD1C50"/>
    <w:rsid w:val="00BD1C86"/>
    <w:rsid w:val="00BD1D20"/>
    <w:rsid w:val="00BD1D24"/>
    <w:rsid w:val="00BD1D90"/>
    <w:rsid w:val="00BD1DC1"/>
    <w:rsid w:val="00BD1EC7"/>
    <w:rsid w:val="00BD1F47"/>
    <w:rsid w:val="00BD1F60"/>
    <w:rsid w:val="00BD1F62"/>
    <w:rsid w:val="00BD1F79"/>
    <w:rsid w:val="00BD1F87"/>
    <w:rsid w:val="00BD20C8"/>
    <w:rsid w:val="00BD2116"/>
    <w:rsid w:val="00BD2136"/>
    <w:rsid w:val="00BD2165"/>
    <w:rsid w:val="00BD22B0"/>
    <w:rsid w:val="00BD237E"/>
    <w:rsid w:val="00BD237F"/>
    <w:rsid w:val="00BD23C2"/>
    <w:rsid w:val="00BD243B"/>
    <w:rsid w:val="00BD24A4"/>
    <w:rsid w:val="00BD24E2"/>
    <w:rsid w:val="00BD24F5"/>
    <w:rsid w:val="00BD256E"/>
    <w:rsid w:val="00BD25AB"/>
    <w:rsid w:val="00BD25FD"/>
    <w:rsid w:val="00BD2612"/>
    <w:rsid w:val="00BD2636"/>
    <w:rsid w:val="00BD275D"/>
    <w:rsid w:val="00BD27FE"/>
    <w:rsid w:val="00BD296F"/>
    <w:rsid w:val="00BD2996"/>
    <w:rsid w:val="00BD2A1B"/>
    <w:rsid w:val="00BD2A30"/>
    <w:rsid w:val="00BD2A31"/>
    <w:rsid w:val="00BD2AA5"/>
    <w:rsid w:val="00BD2C4E"/>
    <w:rsid w:val="00BD2C76"/>
    <w:rsid w:val="00BD2CAA"/>
    <w:rsid w:val="00BD2CD0"/>
    <w:rsid w:val="00BD2CDA"/>
    <w:rsid w:val="00BD2CE3"/>
    <w:rsid w:val="00BD2D63"/>
    <w:rsid w:val="00BD2DB8"/>
    <w:rsid w:val="00BD2E57"/>
    <w:rsid w:val="00BD2E92"/>
    <w:rsid w:val="00BD2EDF"/>
    <w:rsid w:val="00BD2F00"/>
    <w:rsid w:val="00BD2FC4"/>
    <w:rsid w:val="00BD3064"/>
    <w:rsid w:val="00BD3076"/>
    <w:rsid w:val="00BD30A3"/>
    <w:rsid w:val="00BD30D9"/>
    <w:rsid w:val="00BD3298"/>
    <w:rsid w:val="00BD32D7"/>
    <w:rsid w:val="00BD3379"/>
    <w:rsid w:val="00BD33B0"/>
    <w:rsid w:val="00BD33F2"/>
    <w:rsid w:val="00BD33FC"/>
    <w:rsid w:val="00BD34A1"/>
    <w:rsid w:val="00BD34BD"/>
    <w:rsid w:val="00BD34DA"/>
    <w:rsid w:val="00BD350D"/>
    <w:rsid w:val="00BD3520"/>
    <w:rsid w:val="00BD355A"/>
    <w:rsid w:val="00BD355F"/>
    <w:rsid w:val="00BD35AC"/>
    <w:rsid w:val="00BD35C8"/>
    <w:rsid w:val="00BD35FF"/>
    <w:rsid w:val="00BD3646"/>
    <w:rsid w:val="00BD3653"/>
    <w:rsid w:val="00BD366F"/>
    <w:rsid w:val="00BD3678"/>
    <w:rsid w:val="00BD369E"/>
    <w:rsid w:val="00BD36C6"/>
    <w:rsid w:val="00BD374A"/>
    <w:rsid w:val="00BD376E"/>
    <w:rsid w:val="00BD3814"/>
    <w:rsid w:val="00BD388B"/>
    <w:rsid w:val="00BD3921"/>
    <w:rsid w:val="00BD398A"/>
    <w:rsid w:val="00BD39A6"/>
    <w:rsid w:val="00BD39B1"/>
    <w:rsid w:val="00BD39B6"/>
    <w:rsid w:val="00BD39DD"/>
    <w:rsid w:val="00BD3A5B"/>
    <w:rsid w:val="00BD3B01"/>
    <w:rsid w:val="00BD3B20"/>
    <w:rsid w:val="00BD3B28"/>
    <w:rsid w:val="00BD3B89"/>
    <w:rsid w:val="00BD3D7A"/>
    <w:rsid w:val="00BD3DED"/>
    <w:rsid w:val="00BD3E49"/>
    <w:rsid w:val="00BD3E84"/>
    <w:rsid w:val="00BD3EC4"/>
    <w:rsid w:val="00BD3EF1"/>
    <w:rsid w:val="00BD3F01"/>
    <w:rsid w:val="00BD3F0B"/>
    <w:rsid w:val="00BD3F44"/>
    <w:rsid w:val="00BD3F58"/>
    <w:rsid w:val="00BD4042"/>
    <w:rsid w:val="00BD4169"/>
    <w:rsid w:val="00BD4191"/>
    <w:rsid w:val="00BD420B"/>
    <w:rsid w:val="00BD42A5"/>
    <w:rsid w:val="00BD4320"/>
    <w:rsid w:val="00BD4346"/>
    <w:rsid w:val="00BD4366"/>
    <w:rsid w:val="00BD438D"/>
    <w:rsid w:val="00BD43D5"/>
    <w:rsid w:val="00BD441F"/>
    <w:rsid w:val="00BD44B6"/>
    <w:rsid w:val="00BD44E2"/>
    <w:rsid w:val="00BD4518"/>
    <w:rsid w:val="00BD45E7"/>
    <w:rsid w:val="00BD4720"/>
    <w:rsid w:val="00BD4750"/>
    <w:rsid w:val="00BD47F8"/>
    <w:rsid w:val="00BD4810"/>
    <w:rsid w:val="00BD488D"/>
    <w:rsid w:val="00BD48D5"/>
    <w:rsid w:val="00BD48E4"/>
    <w:rsid w:val="00BD4938"/>
    <w:rsid w:val="00BD4979"/>
    <w:rsid w:val="00BD4994"/>
    <w:rsid w:val="00BD49A4"/>
    <w:rsid w:val="00BD49BE"/>
    <w:rsid w:val="00BD4A14"/>
    <w:rsid w:val="00BD4A3B"/>
    <w:rsid w:val="00BD4AD0"/>
    <w:rsid w:val="00BD4B11"/>
    <w:rsid w:val="00BD4BCC"/>
    <w:rsid w:val="00BD4BE2"/>
    <w:rsid w:val="00BD4C08"/>
    <w:rsid w:val="00BD4C44"/>
    <w:rsid w:val="00BD4D29"/>
    <w:rsid w:val="00BD4DCC"/>
    <w:rsid w:val="00BD4DCD"/>
    <w:rsid w:val="00BD4E89"/>
    <w:rsid w:val="00BD4EEA"/>
    <w:rsid w:val="00BD4EF4"/>
    <w:rsid w:val="00BD4FE1"/>
    <w:rsid w:val="00BD5055"/>
    <w:rsid w:val="00BD50A7"/>
    <w:rsid w:val="00BD50CB"/>
    <w:rsid w:val="00BD51B5"/>
    <w:rsid w:val="00BD51E9"/>
    <w:rsid w:val="00BD5363"/>
    <w:rsid w:val="00BD5389"/>
    <w:rsid w:val="00BD53DD"/>
    <w:rsid w:val="00BD541D"/>
    <w:rsid w:val="00BD5442"/>
    <w:rsid w:val="00BD54CE"/>
    <w:rsid w:val="00BD555B"/>
    <w:rsid w:val="00BD55B1"/>
    <w:rsid w:val="00BD55B9"/>
    <w:rsid w:val="00BD55FE"/>
    <w:rsid w:val="00BD5674"/>
    <w:rsid w:val="00BD56B1"/>
    <w:rsid w:val="00BD56F3"/>
    <w:rsid w:val="00BD5702"/>
    <w:rsid w:val="00BD572D"/>
    <w:rsid w:val="00BD57F7"/>
    <w:rsid w:val="00BD5846"/>
    <w:rsid w:val="00BD58C4"/>
    <w:rsid w:val="00BD5906"/>
    <w:rsid w:val="00BD5976"/>
    <w:rsid w:val="00BD59B6"/>
    <w:rsid w:val="00BD59C4"/>
    <w:rsid w:val="00BD5A45"/>
    <w:rsid w:val="00BD5A69"/>
    <w:rsid w:val="00BD5ABB"/>
    <w:rsid w:val="00BD5ACB"/>
    <w:rsid w:val="00BD5B13"/>
    <w:rsid w:val="00BD5B8B"/>
    <w:rsid w:val="00BD5B96"/>
    <w:rsid w:val="00BD5B9A"/>
    <w:rsid w:val="00BD5C49"/>
    <w:rsid w:val="00BD5C70"/>
    <w:rsid w:val="00BD5CBD"/>
    <w:rsid w:val="00BD5D77"/>
    <w:rsid w:val="00BD5DB4"/>
    <w:rsid w:val="00BD5E07"/>
    <w:rsid w:val="00BD5E76"/>
    <w:rsid w:val="00BD5E8C"/>
    <w:rsid w:val="00BD5EE2"/>
    <w:rsid w:val="00BD5EF4"/>
    <w:rsid w:val="00BD5F04"/>
    <w:rsid w:val="00BD5F13"/>
    <w:rsid w:val="00BD5F4A"/>
    <w:rsid w:val="00BD5F7A"/>
    <w:rsid w:val="00BD5FD9"/>
    <w:rsid w:val="00BD600E"/>
    <w:rsid w:val="00BD6066"/>
    <w:rsid w:val="00BD6074"/>
    <w:rsid w:val="00BD6080"/>
    <w:rsid w:val="00BD60CC"/>
    <w:rsid w:val="00BD6148"/>
    <w:rsid w:val="00BD6165"/>
    <w:rsid w:val="00BD6186"/>
    <w:rsid w:val="00BD61A3"/>
    <w:rsid w:val="00BD620B"/>
    <w:rsid w:val="00BD621F"/>
    <w:rsid w:val="00BD632E"/>
    <w:rsid w:val="00BD6355"/>
    <w:rsid w:val="00BD6381"/>
    <w:rsid w:val="00BD63E7"/>
    <w:rsid w:val="00BD6470"/>
    <w:rsid w:val="00BD6530"/>
    <w:rsid w:val="00BD6539"/>
    <w:rsid w:val="00BD660F"/>
    <w:rsid w:val="00BD66A3"/>
    <w:rsid w:val="00BD671D"/>
    <w:rsid w:val="00BD679F"/>
    <w:rsid w:val="00BD67BB"/>
    <w:rsid w:val="00BD6853"/>
    <w:rsid w:val="00BD6883"/>
    <w:rsid w:val="00BD6888"/>
    <w:rsid w:val="00BD693D"/>
    <w:rsid w:val="00BD69EB"/>
    <w:rsid w:val="00BD6B66"/>
    <w:rsid w:val="00BD6BCB"/>
    <w:rsid w:val="00BD6C1F"/>
    <w:rsid w:val="00BD6DFF"/>
    <w:rsid w:val="00BD6F50"/>
    <w:rsid w:val="00BD6F71"/>
    <w:rsid w:val="00BD700C"/>
    <w:rsid w:val="00BD71A5"/>
    <w:rsid w:val="00BD7291"/>
    <w:rsid w:val="00BD72A2"/>
    <w:rsid w:val="00BD731E"/>
    <w:rsid w:val="00BD733D"/>
    <w:rsid w:val="00BD739C"/>
    <w:rsid w:val="00BD7427"/>
    <w:rsid w:val="00BD746C"/>
    <w:rsid w:val="00BD74FB"/>
    <w:rsid w:val="00BD75C6"/>
    <w:rsid w:val="00BD7645"/>
    <w:rsid w:val="00BD7680"/>
    <w:rsid w:val="00BD777F"/>
    <w:rsid w:val="00BD7782"/>
    <w:rsid w:val="00BD7785"/>
    <w:rsid w:val="00BD77DC"/>
    <w:rsid w:val="00BD7800"/>
    <w:rsid w:val="00BD7841"/>
    <w:rsid w:val="00BD78E5"/>
    <w:rsid w:val="00BD7901"/>
    <w:rsid w:val="00BD796C"/>
    <w:rsid w:val="00BD7983"/>
    <w:rsid w:val="00BD79EF"/>
    <w:rsid w:val="00BD79FB"/>
    <w:rsid w:val="00BD7A1D"/>
    <w:rsid w:val="00BD7A3D"/>
    <w:rsid w:val="00BD7AD9"/>
    <w:rsid w:val="00BD7B0A"/>
    <w:rsid w:val="00BD7B43"/>
    <w:rsid w:val="00BD7BBF"/>
    <w:rsid w:val="00BD7C14"/>
    <w:rsid w:val="00BD7C39"/>
    <w:rsid w:val="00BD7D40"/>
    <w:rsid w:val="00BD7D4F"/>
    <w:rsid w:val="00BD7DA2"/>
    <w:rsid w:val="00BD7DBC"/>
    <w:rsid w:val="00BD7E85"/>
    <w:rsid w:val="00BD7EB9"/>
    <w:rsid w:val="00BD7EC9"/>
    <w:rsid w:val="00BD7ED5"/>
    <w:rsid w:val="00BD7FDA"/>
    <w:rsid w:val="00BD7FEB"/>
    <w:rsid w:val="00BE00F0"/>
    <w:rsid w:val="00BE00FE"/>
    <w:rsid w:val="00BE0123"/>
    <w:rsid w:val="00BE01ED"/>
    <w:rsid w:val="00BE0210"/>
    <w:rsid w:val="00BE025D"/>
    <w:rsid w:val="00BE0357"/>
    <w:rsid w:val="00BE0391"/>
    <w:rsid w:val="00BE047B"/>
    <w:rsid w:val="00BE04D5"/>
    <w:rsid w:val="00BE04F8"/>
    <w:rsid w:val="00BE067D"/>
    <w:rsid w:val="00BE067E"/>
    <w:rsid w:val="00BE06D7"/>
    <w:rsid w:val="00BE06E9"/>
    <w:rsid w:val="00BE075D"/>
    <w:rsid w:val="00BE08C2"/>
    <w:rsid w:val="00BE08C9"/>
    <w:rsid w:val="00BE08D1"/>
    <w:rsid w:val="00BE0918"/>
    <w:rsid w:val="00BE0964"/>
    <w:rsid w:val="00BE0AF1"/>
    <w:rsid w:val="00BE0BAD"/>
    <w:rsid w:val="00BE0C02"/>
    <w:rsid w:val="00BE0C46"/>
    <w:rsid w:val="00BE0C5F"/>
    <w:rsid w:val="00BE0C7A"/>
    <w:rsid w:val="00BE0CA4"/>
    <w:rsid w:val="00BE0D77"/>
    <w:rsid w:val="00BE0D80"/>
    <w:rsid w:val="00BE0E35"/>
    <w:rsid w:val="00BE0E71"/>
    <w:rsid w:val="00BE0F03"/>
    <w:rsid w:val="00BE0F18"/>
    <w:rsid w:val="00BE0F6F"/>
    <w:rsid w:val="00BE0FCD"/>
    <w:rsid w:val="00BE0FD9"/>
    <w:rsid w:val="00BE0FE9"/>
    <w:rsid w:val="00BE1041"/>
    <w:rsid w:val="00BE1047"/>
    <w:rsid w:val="00BE1068"/>
    <w:rsid w:val="00BE110A"/>
    <w:rsid w:val="00BE110F"/>
    <w:rsid w:val="00BE1197"/>
    <w:rsid w:val="00BE11E9"/>
    <w:rsid w:val="00BE1292"/>
    <w:rsid w:val="00BE12BE"/>
    <w:rsid w:val="00BE1354"/>
    <w:rsid w:val="00BE1412"/>
    <w:rsid w:val="00BE146E"/>
    <w:rsid w:val="00BE1494"/>
    <w:rsid w:val="00BE14D2"/>
    <w:rsid w:val="00BE1579"/>
    <w:rsid w:val="00BE1627"/>
    <w:rsid w:val="00BE16B3"/>
    <w:rsid w:val="00BE16D9"/>
    <w:rsid w:val="00BE173A"/>
    <w:rsid w:val="00BE182E"/>
    <w:rsid w:val="00BE18AA"/>
    <w:rsid w:val="00BE18E7"/>
    <w:rsid w:val="00BE1977"/>
    <w:rsid w:val="00BE19A7"/>
    <w:rsid w:val="00BE19D1"/>
    <w:rsid w:val="00BE19EB"/>
    <w:rsid w:val="00BE1A4F"/>
    <w:rsid w:val="00BE1BD8"/>
    <w:rsid w:val="00BE1C21"/>
    <w:rsid w:val="00BE1C97"/>
    <w:rsid w:val="00BE1D28"/>
    <w:rsid w:val="00BE1D83"/>
    <w:rsid w:val="00BE1DA0"/>
    <w:rsid w:val="00BE1DE3"/>
    <w:rsid w:val="00BE1E0E"/>
    <w:rsid w:val="00BE1F4C"/>
    <w:rsid w:val="00BE1F98"/>
    <w:rsid w:val="00BE1FB8"/>
    <w:rsid w:val="00BE1FDE"/>
    <w:rsid w:val="00BE2003"/>
    <w:rsid w:val="00BE2005"/>
    <w:rsid w:val="00BE204A"/>
    <w:rsid w:val="00BE213D"/>
    <w:rsid w:val="00BE21D6"/>
    <w:rsid w:val="00BE225C"/>
    <w:rsid w:val="00BE227A"/>
    <w:rsid w:val="00BE22EC"/>
    <w:rsid w:val="00BE2353"/>
    <w:rsid w:val="00BE2446"/>
    <w:rsid w:val="00BE2447"/>
    <w:rsid w:val="00BE2564"/>
    <w:rsid w:val="00BE259E"/>
    <w:rsid w:val="00BE25D1"/>
    <w:rsid w:val="00BE260E"/>
    <w:rsid w:val="00BE26A2"/>
    <w:rsid w:val="00BE273E"/>
    <w:rsid w:val="00BE2753"/>
    <w:rsid w:val="00BE2774"/>
    <w:rsid w:val="00BE27A5"/>
    <w:rsid w:val="00BE283A"/>
    <w:rsid w:val="00BE28E6"/>
    <w:rsid w:val="00BE28EF"/>
    <w:rsid w:val="00BE29FA"/>
    <w:rsid w:val="00BE2AC3"/>
    <w:rsid w:val="00BE2B6F"/>
    <w:rsid w:val="00BE2BAD"/>
    <w:rsid w:val="00BE2CB3"/>
    <w:rsid w:val="00BE2CC5"/>
    <w:rsid w:val="00BE2DCA"/>
    <w:rsid w:val="00BE2EA2"/>
    <w:rsid w:val="00BE2FA5"/>
    <w:rsid w:val="00BE2FC2"/>
    <w:rsid w:val="00BE2FD2"/>
    <w:rsid w:val="00BE30F0"/>
    <w:rsid w:val="00BE31E4"/>
    <w:rsid w:val="00BE3262"/>
    <w:rsid w:val="00BE32B8"/>
    <w:rsid w:val="00BE3305"/>
    <w:rsid w:val="00BE3326"/>
    <w:rsid w:val="00BE3388"/>
    <w:rsid w:val="00BE340E"/>
    <w:rsid w:val="00BE342F"/>
    <w:rsid w:val="00BE34B3"/>
    <w:rsid w:val="00BE353B"/>
    <w:rsid w:val="00BE368B"/>
    <w:rsid w:val="00BE37C8"/>
    <w:rsid w:val="00BE383F"/>
    <w:rsid w:val="00BE385D"/>
    <w:rsid w:val="00BE3883"/>
    <w:rsid w:val="00BE3937"/>
    <w:rsid w:val="00BE393F"/>
    <w:rsid w:val="00BE39E9"/>
    <w:rsid w:val="00BE3A48"/>
    <w:rsid w:val="00BE3A5E"/>
    <w:rsid w:val="00BE3ABF"/>
    <w:rsid w:val="00BE3B3F"/>
    <w:rsid w:val="00BE3B78"/>
    <w:rsid w:val="00BE3BA9"/>
    <w:rsid w:val="00BE3BBA"/>
    <w:rsid w:val="00BE3BEF"/>
    <w:rsid w:val="00BE3C09"/>
    <w:rsid w:val="00BE3CE0"/>
    <w:rsid w:val="00BE3D66"/>
    <w:rsid w:val="00BE3EC4"/>
    <w:rsid w:val="00BE403E"/>
    <w:rsid w:val="00BE404F"/>
    <w:rsid w:val="00BE4072"/>
    <w:rsid w:val="00BE40F0"/>
    <w:rsid w:val="00BE4104"/>
    <w:rsid w:val="00BE41BE"/>
    <w:rsid w:val="00BE41FA"/>
    <w:rsid w:val="00BE4303"/>
    <w:rsid w:val="00BE4399"/>
    <w:rsid w:val="00BE4459"/>
    <w:rsid w:val="00BE4570"/>
    <w:rsid w:val="00BE45B8"/>
    <w:rsid w:val="00BE45E4"/>
    <w:rsid w:val="00BE460A"/>
    <w:rsid w:val="00BE4613"/>
    <w:rsid w:val="00BE4622"/>
    <w:rsid w:val="00BE4655"/>
    <w:rsid w:val="00BE478F"/>
    <w:rsid w:val="00BE48A2"/>
    <w:rsid w:val="00BE48D6"/>
    <w:rsid w:val="00BE49B5"/>
    <w:rsid w:val="00BE49B9"/>
    <w:rsid w:val="00BE4A0F"/>
    <w:rsid w:val="00BE4A71"/>
    <w:rsid w:val="00BE4B11"/>
    <w:rsid w:val="00BE4BE9"/>
    <w:rsid w:val="00BE4C69"/>
    <w:rsid w:val="00BE4D73"/>
    <w:rsid w:val="00BE4E22"/>
    <w:rsid w:val="00BE4E48"/>
    <w:rsid w:val="00BE4E79"/>
    <w:rsid w:val="00BE4EEA"/>
    <w:rsid w:val="00BE4FD9"/>
    <w:rsid w:val="00BE50CA"/>
    <w:rsid w:val="00BE510D"/>
    <w:rsid w:val="00BE514C"/>
    <w:rsid w:val="00BE517D"/>
    <w:rsid w:val="00BE53EA"/>
    <w:rsid w:val="00BE55C1"/>
    <w:rsid w:val="00BE56C3"/>
    <w:rsid w:val="00BE56F7"/>
    <w:rsid w:val="00BE57C9"/>
    <w:rsid w:val="00BE5802"/>
    <w:rsid w:val="00BE5822"/>
    <w:rsid w:val="00BE5833"/>
    <w:rsid w:val="00BE585F"/>
    <w:rsid w:val="00BE590E"/>
    <w:rsid w:val="00BE5936"/>
    <w:rsid w:val="00BE5985"/>
    <w:rsid w:val="00BE59D9"/>
    <w:rsid w:val="00BE5A84"/>
    <w:rsid w:val="00BE5AA2"/>
    <w:rsid w:val="00BE5B65"/>
    <w:rsid w:val="00BE5BA1"/>
    <w:rsid w:val="00BE5BE3"/>
    <w:rsid w:val="00BE5BEE"/>
    <w:rsid w:val="00BE5C85"/>
    <w:rsid w:val="00BE5D62"/>
    <w:rsid w:val="00BE5DA8"/>
    <w:rsid w:val="00BE5E6F"/>
    <w:rsid w:val="00BE5E9B"/>
    <w:rsid w:val="00BE5F49"/>
    <w:rsid w:val="00BE5F56"/>
    <w:rsid w:val="00BE6099"/>
    <w:rsid w:val="00BE60A6"/>
    <w:rsid w:val="00BE60DA"/>
    <w:rsid w:val="00BE613A"/>
    <w:rsid w:val="00BE6170"/>
    <w:rsid w:val="00BE6256"/>
    <w:rsid w:val="00BE626C"/>
    <w:rsid w:val="00BE631A"/>
    <w:rsid w:val="00BE6339"/>
    <w:rsid w:val="00BE637B"/>
    <w:rsid w:val="00BE6494"/>
    <w:rsid w:val="00BE64D7"/>
    <w:rsid w:val="00BE6528"/>
    <w:rsid w:val="00BE661F"/>
    <w:rsid w:val="00BE6633"/>
    <w:rsid w:val="00BE6664"/>
    <w:rsid w:val="00BE6697"/>
    <w:rsid w:val="00BE6774"/>
    <w:rsid w:val="00BE67A8"/>
    <w:rsid w:val="00BE67E3"/>
    <w:rsid w:val="00BE68FA"/>
    <w:rsid w:val="00BE69AC"/>
    <w:rsid w:val="00BE69EC"/>
    <w:rsid w:val="00BE69F6"/>
    <w:rsid w:val="00BE6A82"/>
    <w:rsid w:val="00BE6AB7"/>
    <w:rsid w:val="00BE6AC5"/>
    <w:rsid w:val="00BE6B17"/>
    <w:rsid w:val="00BE6B3C"/>
    <w:rsid w:val="00BE6B64"/>
    <w:rsid w:val="00BE6BB7"/>
    <w:rsid w:val="00BE6BEA"/>
    <w:rsid w:val="00BE6C7E"/>
    <w:rsid w:val="00BE6CED"/>
    <w:rsid w:val="00BE6CFA"/>
    <w:rsid w:val="00BE6D0A"/>
    <w:rsid w:val="00BE6E0B"/>
    <w:rsid w:val="00BE6E7B"/>
    <w:rsid w:val="00BE6F19"/>
    <w:rsid w:val="00BE70A5"/>
    <w:rsid w:val="00BE70CD"/>
    <w:rsid w:val="00BE7129"/>
    <w:rsid w:val="00BE71BD"/>
    <w:rsid w:val="00BE71ED"/>
    <w:rsid w:val="00BE7244"/>
    <w:rsid w:val="00BE7268"/>
    <w:rsid w:val="00BE727F"/>
    <w:rsid w:val="00BE72D2"/>
    <w:rsid w:val="00BE72DE"/>
    <w:rsid w:val="00BE72F5"/>
    <w:rsid w:val="00BE733A"/>
    <w:rsid w:val="00BE73F7"/>
    <w:rsid w:val="00BE7428"/>
    <w:rsid w:val="00BE746A"/>
    <w:rsid w:val="00BE748C"/>
    <w:rsid w:val="00BE74BF"/>
    <w:rsid w:val="00BE7556"/>
    <w:rsid w:val="00BE75B3"/>
    <w:rsid w:val="00BE7603"/>
    <w:rsid w:val="00BE7649"/>
    <w:rsid w:val="00BE76AA"/>
    <w:rsid w:val="00BE7772"/>
    <w:rsid w:val="00BE7780"/>
    <w:rsid w:val="00BE7833"/>
    <w:rsid w:val="00BE784C"/>
    <w:rsid w:val="00BE7929"/>
    <w:rsid w:val="00BE795A"/>
    <w:rsid w:val="00BE79B7"/>
    <w:rsid w:val="00BE79E8"/>
    <w:rsid w:val="00BE7A10"/>
    <w:rsid w:val="00BE7A89"/>
    <w:rsid w:val="00BE7A98"/>
    <w:rsid w:val="00BE7A99"/>
    <w:rsid w:val="00BE7B13"/>
    <w:rsid w:val="00BE7B2A"/>
    <w:rsid w:val="00BE7B59"/>
    <w:rsid w:val="00BE7D43"/>
    <w:rsid w:val="00BE7E10"/>
    <w:rsid w:val="00BE7E13"/>
    <w:rsid w:val="00BE7F4D"/>
    <w:rsid w:val="00BE7FC3"/>
    <w:rsid w:val="00BF001B"/>
    <w:rsid w:val="00BF006E"/>
    <w:rsid w:val="00BF00D5"/>
    <w:rsid w:val="00BF00F2"/>
    <w:rsid w:val="00BF022B"/>
    <w:rsid w:val="00BF02DE"/>
    <w:rsid w:val="00BF033F"/>
    <w:rsid w:val="00BF0387"/>
    <w:rsid w:val="00BF0413"/>
    <w:rsid w:val="00BF04E9"/>
    <w:rsid w:val="00BF0506"/>
    <w:rsid w:val="00BF0523"/>
    <w:rsid w:val="00BF0525"/>
    <w:rsid w:val="00BF0589"/>
    <w:rsid w:val="00BF0605"/>
    <w:rsid w:val="00BF060A"/>
    <w:rsid w:val="00BF062F"/>
    <w:rsid w:val="00BF06A0"/>
    <w:rsid w:val="00BF07DA"/>
    <w:rsid w:val="00BF07F3"/>
    <w:rsid w:val="00BF07FA"/>
    <w:rsid w:val="00BF09CA"/>
    <w:rsid w:val="00BF0B11"/>
    <w:rsid w:val="00BF0B62"/>
    <w:rsid w:val="00BF0B76"/>
    <w:rsid w:val="00BF0B87"/>
    <w:rsid w:val="00BF0BB5"/>
    <w:rsid w:val="00BF0C82"/>
    <w:rsid w:val="00BF0D06"/>
    <w:rsid w:val="00BF0D3C"/>
    <w:rsid w:val="00BF0E3A"/>
    <w:rsid w:val="00BF0ECE"/>
    <w:rsid w:val="00BF0F11"/>
    <w:rsid w:val="00BF0FEF"/>
    <w:rsid w:val="00BF1013"/>
    <w:rsid w:val="00BF10DD"/>
    <w:rsid w:val="00BF10E5"/>
    <w:rsid w:val="00BF1164"/>
    <w:rsid w:val="00BF117A"/>
    <w:rsid w:val="00BF11BD"/>
    <w:rsid w:val="00BF11DE"/>
    <w:rsid w:val="00BF122F"/>
    <w:rsid w:val="00BF134F"/>
    <w:rsid w:val="00BF13DD"/>
    <w:rsid w:val="00BF1452"/>
    <w:rsid w:val="00BF1505"/>
    <w:rsid w:val="00BF1515"/>
    <w:rsid w:val="00BF1527"/>
    <w:rsid w:val="00BF15DD"/>
    <w:rsid w:val="00BF167D"/>
    <w:rsid w:val="00BF1753"/>
    <w:rsid w:val="00BF1861"/>
    <w:rsid w:val="00BF18B5"/>
    <w:rsid w:val="00BF1908"/>
    <w:rsid w:val="00BF1941"/>
    <w:rsid w:val="00BF195A"/>
    <w:rsid w:val="00BF19E8"/>
    <w:rsid w:val="00BF1AA8"/>
    <w:rsid w:val="00BF1B23"/>
    <w:rsid w:val="00BF1B5A"/>
    <w:rsid w:val="00BF1BED"/>
    <w:rsid w:val="00BF1BF7"/>
    <w:rsid w:val="00BF1D1C"/>
    <w:rsid w:val="00BF1DB7"/>
    <w:rsid w:val="00BF1DBD"/>
    <w:rsid w:val="00BF1DE2"/>
    <w:rsid w:val="00BF1E76"/>
    <w:rsid w:val="00BF1EDC"/>
    <w:rsid w:val="00BF1EF2"/>
    <w:rsid w:val="00BF1F34"/>
    <w:rsid w:val="00BF1FAF"/>
    <w:rsid w:val="00BF202B"/>
    <w:rsid w:val="00BF2043"/>
    <w:rsid w:val="00BF2163"/>
    <w:rsid w:val="00BF217F"/>
    <w:rsid w:val="00BF2199"/>
    <w:rsid w:val="00BF2217"/>
    <w:rsid w:val="00BF2248"/>
    <w:rsid w:val="00BF22DA"/>
    <w:rsid w:val="00BF22DF"/>
    <w:rsid w:val="00BF2301"/>
    <w:rsid w:val="00BF2339"/>
    <w:rsid w:val="00BF2356"/>
    <w:rsid w:val="00BF23A6"/>
    <w:rsid w:val="00BF23BE"/>
    <w:rsid w:val="00BF24D7"/>
    <w:rsid w:val="00BF24F1"/>
    <w:rsid w:val="00BF2536"/>
    <w:rsid w:val="00BF2550"/>
    <w:rsid w:val="00BF258E"/>
    <w:rsid w:val="00BF25D4"/>
    <w:rsid w:val="00BF263C"/>
    <w:rsid w:val="00BF26A7"/>
    <w:rsid w:val="00BF26CF"/>
    <w:rsid w:val="00BF26DC"/>
    <w:rsid w:val="00BF2851"/>
    <w:rsid w:val="00BF285C"/>
    <w:rsid w:val="00BF286A"/>
    <w:rsid w:val="00BF2923"/>
    <w:rsid w:val="00BF2955"/>
    <w:rsid w:val="00BF2994"/>
    <w:rsid w:val="00BF29E1"/>
    <w:rsid w:val="00BF2A84"/>
    <w:rsid w:val="00BF2AE5"/>
    <w:rsid w:val="00BF2BDD"/>
    <w:rsid w:val="00BF2C6A"/>
    <w:rsid w:val="00BF2D1D"/>
    <w:rsid w:val="00BF2F2D"/>
    <w:rsid w:val="00BF2F31"/>
    <w:rsid w:val="00BF3010"/>
    <w:rsid w:val="00BF307B"/>
    <w:rsid w:val="00BF30F7"/>
    <w:rsid w:val="00BF312B"/>
    <w:rsid w:val="00BF31DC"/>
    <w:rsid w:val="00BF3249"/>
    <w:rsid w:val="00BF32C9"/>
    <w:rsid w:val="00BF32F4"/>
    <w:rsid w:val="00BF332C"/>
    <w:rsid w:val="00BF3362"/>
    <w:rsid w:val="00BF3374"/>
    <w:rsid w:val="00BF33AD"/>
    <w:rsid w:val="00BF33ED"/>
    <w:rsid w:val="00BF34B8"/>
    <w:rsid w:val="00BF34DC"/>
    <w:rsid w:val="00BF3697"/>
    <w:rsid w:val="00BF36FB"/>
    <w:rsid w:val="00BF3726"/>
    <w:rsid w:val="00BF3728"/>
    <w:rsid w:val="00BF3767"/>
    <w:rsid w:val="00BF37AD"/>
    <w:rsid w:val="00BF37BF"/>
    <w:rsid w:val="00BF388B"/>
    <w:rsid w:val="00BF39C8"/>
    <w:rsid w:val="00BF39D1"/>
    <w:rsid w:val="00BF39E1"/>
    <w:rsid w:val="00BF3AF1"/>
    <w:rsid w:val="00BF3BFE"/>
    <w:rsid w:val="00BF3C2D"/>
    <w:rsid w:val="00BF3D15"/>
    <w:rsid w:val="00BF3E05"/>
    <w:rsid w:val="00BF3E3D"/>
    <w:rsid w:val="00BF3E52"/>
    <w:rsid w:val="00BF3E5C"/>
    <w:rsid w:val="00BF3EFA"/>
    <w:rsid w:val="00BF3EFD"/>
    <w:rsid w:val="00BF3F97"/>
    <w:rsid w:val="00BF4029"/>
    <w:rsid w:val="00BF4053"/>
    <w:rsid w:val="00BF40C3"/>
    <w:rsid w:val="00BF40EC"/>
    <w:rsid w:val="00BF41C4"/>
    <w:rsid w:val="00BF4202"/>
    <w:rsid w:val="00BF4206"/>
    <w:rsid w:val="00BF42F3"/>
    <w:rsid w:val="00BF430E"/>
    <w:rsid w:val="00BF4385"/>
    <w:rsid w:val="00BF43E3"/>
    <w:rsid w:val="00BF43FE"/>
    <w:rsid w:val="00BF4462"/>
    <w:rsid w:val="00BF44A3"/>
    <w:rsid w:val="00BF44AC"/>
    <w:rsid w:val="00BF44DF"/>
    <w:rsid w:val="00BF461F"/>
    <w:rsid w:val="00BF469E"/>
    <w:rsid w:val="00BF46B2"/>
    <w:rsid w:val="00BF46D1"/>
    <w:rsid w:val="00BF474D"/>
    <w:rsid w:val="00BF480B"/>
    <w:rsid w:val="00BF4816"/>
    <w:rsid w:val="00BF4818"/>
    <w:rsid w:val="00BF4871"/>
    <w:rsid w:val="00BF48D9"/>
    <w:rsid w:val="00BF490F"/>
    <w:rsid w:val="00BF4914"/>
    <w:rsid w:val="00BF4920"/>
    <w:rsid w:val="00BF4976"/>
    <w:rsid w:val="00BF49E3"/>
    <w:rsid w:val="00BF49ED"/>
    <w:rsid w:val="00BF4A35"/>
    <w:rsid w:val="00BF4A3A"/>
    <w:rsid w:val="00BF4A5E"/>
    <w:rsid w:val="00BF4B0C"/>
    <w:rsid w:val="00BF4B4B"/>
    <w:rsid w:val="00BF4BED"/>
    <w:rsid w:val="00BF4D2C"/>
    <w:rsid w:val="00BF4E0B"/>
    <w:rsid w:val="00BF4FCF"/>
    <w:rsid w:val="00BF4FF8"/>
    <w:rsid w:val="00BF50DA"/>
    <w:rsid w:val="00BF5111"/>
    <w:rsid w:val="00BF517C"/>
    <w:rsid w:val="00BF5197"/>
    <w:rsid w:val="00BF51A3"/>
    <w:rsid w:val="00BF51CC"/>
    <w:rsid w:val="00BF5214"/>
    <w:rsid w:val="00BF524E"/>
    <w:rsid w:val="00BF526F"/>
    <w:rsid w:val="00BF529B"/>
    <w:rsid w:val="00BF52BF"/>
    <w:rsid w:val="00BF52FD"/>
    <w:rsid w:val="00BF5300"/>
    <w:rsid w:val="00BF530E"/>
    <w:rsid w:val="00BF539C"/>
    <w:rsid w:val="00BF53D0"/>
    <w:rsid w:val="00BF5458"/>
    <w:rsid w:val="00BF545A"/>
    <w:rsid w:val="00BF551A"/>
    <w:rsid w:val="00BF558A"/>
    <w:rsid w:val="00BF55E1"/>
    <w:rsid w:val="00BF5616"/>
    <w:rsid w:val="00BF5689"/>
    <w:rsid w:val="00BF56AD"/>
    <w:rsid w:val="00BF5733"/>
    <w:rsid w:val="00BF5767"/>
    <w:rsid w:val="00BF57EE"/>
    <w:rsid w:val="00BF58B8"/>
    <w:rsid w:val="00BF5947"/>
    <w:rsid w:val="00BF598A"/>
    <w:rsid w:val="00BF598F"/>
    <w:rsid w:val="00BF5A5F"/>
    <w:rsid w:val="00BF5ABE"/>
    <w:rsid w:val="00BF5B1E"/>
    <w:rsid w:val="00BF5B23"/>
    <w:rsid w:val="00BF5B59"/>
    <w:rsid w:val="00BF5BBA"/>
    <w:rsid w:val="00BF5BD2"/>
    <w:rsid w:val="00BF5BEB"/>
    <w:rsid w:val="00BF5C07"/>
    <w:rsid w:val="00BF5C49"/>
    <w:rsid w:val="00BF5D0E"/>
    <w:rsid w:val="00BF5D80"/>
    <w:rsid w:val="00BF5D84"/>
    <w:rsid w:val="00BF5E5E"/>
    <w:rsid w:val="00BF5E63"/>
    <w:rsid w:val="00BF5E75"/>
    <w:rsid w:val="00BF5EF8"/>
    <w:rsid w:val="00BF5F44"/>
    <w:rsid w:val="00BF5FD6"/>
    <w:rsid w:val="00BF6056"/>
    <w:rsid w:val="00BF6089"/>
    <w:rsid w:val="00BF6094"/>
    <w:rsid w:val="00BF60F2"/>
    <w:rsid w:val="00BF610A"/>
    <w:rsid w:val="00BF6121"/>
    <w:rsid w:val="00BF61C0"/>
    <w:rsid w:val="00BF61E9"/>
    <w:rsid w:val="00BF6207"/>
    <w:rsid w:val="00BF6247"/>
    <w:rsid w:val="00BF6329"/>
    <w:rsid w:val="00BF632A"/>
    <w:rsid w:val="00BF6347"/>
    <w:rsid w:val="00BF6385"/>
    <w:rsid w:val="00BF638D"/>
    <w:rsid w:val="00BF648B"/>
    <w:rsid w:val="00BF64D1"/>
    <w:rsid w:val="00BF65C6"/>
    <w:rsid w:val="00BF667E"/>
    <w:rsid w:val="00BF66D7"/>
    <w:rsid w:val="00BF673A"/>
    <w:rsid w:val="00BF676A"/>
    <w:rsid w:val="00BF67C6"/>
    <w:rsid w:val="00BF67F2"/>
    <w:rsid w:val="00BF6871"/>
    <w:rsid w:val="00BF68D5"/>
    <w:rsid w:val="00BF69D8"/>
    <w:rsid w:val="00BF6AE3"/>
    <w:rsid w:val="00BF6B01"/>
    <w:rsid w:val="00BF6BBF"/>
    <w:rsid w:val="00BF6BD4"/>
    <w:rsid w:val="00BF6C0C"/>
    <w:rsid w:val="00BF6C8E"/>
    <w:rsid w:val="00BF6C93"/>
    <w:rsid w:val="00BF6D57"/>
    <w:rsid w:val="00BF6DF4"/>
    <w:rsid w:val="00BF6E17"/>
    <w:rsid w:val="00BF6EC6"/>
    <w:rsid w:val="00BF6F0D"/>
    <w:rsid w:val="00BF6F5D"/>
    <w:rsid w:val="00BF6F9E"/>
    <w:rsid w:val="00BF6FA3"/>
    <w:rsid w:val="00BF7087"/>
    <w:rsid w:val="00BF70AE"/>
    <w:rsid w:val="00BF70C9"/>
    <w:rsid w:val="00BF7147"/>
    <w:rsid w:val="00BF7224"/>
    <w:rsid w:val="00BF72BC"/>
    <w:rsid w:val="00BF72CC"/>
    <w:rsid w:val="00BF72D4"/>
    <w:rsid w:val="00BF73DE"/>
    <w:rsid w:val="00BF7534"/>
    <w:rsid w:val="00BF7558"/>
    <w:rsid w:val="00BF7594"/>
    <w:rsid w:val="00BF75D9"/>
    <w:rsid w:val="00BF760C"/>
    <w:rsid w:val="00BF7651"/>
    <w:rsid w:val="00BF768D"/>
    <w:rsid w:val="00BF7734"/>
    <w:rsid w:val="00BF7841"/>
    <w:rsid w:val="00BF7843"/>
    <w:rsid w:val="00BF7892"/>
    <w:rsid w:val="00BF78E3"/>
    <w:rsid w:val="00BF7930"/>
    <w:rsid w:val="00BF7A35"/>
    <w:rsid w:val="00BF7A3D"/>
    <w:rsid w:val="00BF7B03"/>
    <w:rsid w:val="00BF7B3E"/>
    <w:rsid w:val="00BF7B84"/>
    <w:rsid w:val="00BF7C8F"/>
    <w:rsid w:val="00BF7CBE"/>
    <w:rsid w:val="00BF7D4C"/>
    <w:rsid w:val="00BF7D75"/>
    <w:rsid w:val="00BF7DA6"/>
    <w:rsid w:val="00BF7DE7"/>
    <w:rsid w:val="00BF7E4C"/>
    <w:rsid w:val="00BF7E8E"/>
    <w:rsid w:val="00BF7ED3"/>
    <w:rsid w:val="00BF7F0D"/>
    <w:rsid w:val="00BF7FA0"/>
    <w:rsid w:val="00BF7FD3"/>
    <w:rsid w:val="00C0000C"/>
    <w:rsid w:val="00C00082"/>
    <w:rsid w:val="00C000C2"/>
    <w:rsid w:val="00C000C3"/>
    <w:rsid w:val="00C0011B"/>
    <w:rsid w:val="00C0012E"/>
    <w:rsid w:val="00C00168"/>
    <w:rsid w:val="00C00179"/>
    <w:rsid w:val="00C0020D"/>
    <w:rsid w:val="00C00256"/>
    <w:rsid w:val="00C00288"/>
    <w:rsid w:val="00C002A8"/>
    <w:rsid w:val="00C002C2"/>
    <w:rsid w:val="00C002EB"/>
    <w:rsid w:val="00C002EC"/>
    <w:rsid w:val="00C00341"/>
    <w:rsid w:val="00C003C2"/>
    <w:rsid w:val="00C00479"/>
    <w:rsid w:val="00C00554"/>
    <w:rsid w:val="00C00564"/>
    <w:rsid w:val="00C0059C"/>
    <w:rsid w:val="00C006FF"/>
    <w:rsid w:val="00C00744"/>
    <w:rsid w:val="00C00811"/>
    <w:rsid w:val="00C00882"/>
    <w:rsid w:val="00C008DF"/>
    <w:rsid w:val="00C00934"/>
    <w:rsid w:val="00C00A38"/>
    <w:rsid w:val="00C00A44"/>
    <w:rsid w:val="00C00A84"/>
    <w:rsid w:val="00C00B59"/>
    <w:rsid w:val="00C00BB5"/>
    <w:rsid w:val="00C00C17"/>
    <w:rsid w:val="00C00C74"/>
    <w:rsid w:val="00C00C91"/>
    <w:rsid w:val="00C00D04"/>
    <w:rsid w:val="00C00D76"/>
    <w:rsid w:val="00C00D8B"/>
    <w:rsid w:val="00C00E0C"/>
    <w:rsid w:val="00C00EAB"/>
    <w:rsid w:val="00C00F96"/>
    <w:rsid w:val="00C00FBD"/>
    <w:rsid w:val="00C01067"/>
    <w:rsid w:val="00C010CB"/>
    <w:rsid w:val="00C010F8"/>
    <w:rsid w:val="00C0112E"/>
    <w:rsid w:val="00C0122B"/>
    <w:rsid w:val="00C01249"/>
    <w:rsid w:val="00C01256"/>
    <w:rsid w:val="00C01279"/>
    <w:rsid w:val="00C01326"/>
    <w:rsid w:val="00C0134E"/>
    <w:rsid w:val="00C0135C"/>
    <w:rsid w:val="00C01437"/>
    <w:rsid w:val="00C01440"/>
    <w:rsid w:val="00C01453"/>
    <w:rsid w:val="00C01456"/>
    <w:rsid w:val="00C0145B"/>
    <w:rsid w:val="00C014E3"/>
    <w:rsid w:val="00C014F9"/>
    <w:rsid w:val="00C01546"/>
    <w:rsid w:val="00C0160F"/>
    <w:rsid w:val="00C0166C"/>
    <w:rsid w:val="00C01670"/>
    <w:rsid w:val="00C016D7"/>
    <w:rsid w:val="00C01770"/>
    <w:rsid w:val="00C017C5"/>
    <w:rsid w:val="00C01995"/>
    <w:rsid w:val="00C019A9"/>
    <w:rsid w:val="00C01A42"/>
    <w:rsid w:val="00C01ACE"/>
    <w:rsid w:val="00C01BE1"/>
    <w:rsid w:val="00C01C32"/>
    <w:rsid w:val="00C01C57"/>
    <w:rsid w:val="00C01C6F"/>
    <w:rsid w:val="00C01D29"/>
    <w:rsid w:val="00C01DB8"/>
    <w:rsid w:val="00C01DBB"/>
    <w:rsid w:val="00C01DBF"/>
    <w:rsid w:val="00C01EB1"/>
    <w:rsid w:val="00C01EFA"/>
    <w:rsid w:val="00C01F59"/>
    <w:rsid w:val="00C01F70"/>
    <w:rsid w:val="00C01FD3"/>
    <w:rsid w:val="00C02003"/>
    <w:rsid w:val="00C0203D"/>
    <w:rsid w:val="00C02181"/>
    <w:rsid w:val="00C021E0"/>
    <w:rsid w:val="00C0226D"/>
    <w:rsid w:val="00C02412"/>
    <w:rsid w:val="00C0244A"/>
    <w:rsid w:val="00C02500"/>
    <w:rsid w:val="00C0250C"/>
    <w:rsid w:val="00C02520"/>
    <w:rsid w:val="00C02536"/>
    <w:rsid w:val="00C0253A"/>
    <w:rsid w:val="00C02546"/>
    <w:rsid w:val="00C02657"/>
    <w:rsid w:val="00C026D0"/>
    <w:rsid w:val="00C02708"/>
    <w:rsid w:val="00C02787"/>
    <w:rsid w:val="00C0279F"/>
    <w:rsid w:val="00C027BE"/>
    <w:rsid w:val="00C0282E"/>
    <w:rsid w:val="00C02930"/>
    <w:rsid w:val="00C02A1F"/>
    <w:rsid w:val="00C02A5C"/>
    <w:rsid w:val="00C02CBD"/>
    <w:rsid w:val="00C02CCC"/>
    <w:rsid w:val="00C02CE6"/>
    <w:rsid w:val="00C02D38"/>
    <w:rsid w:val="00C02D7E"/>
    <w:rsid w:val="00C02DCE"/>
    <w:rsid w:val="00C02DE2"/>
    <w:rsid w:val="00C02E25"/>
    <w:rsid w:val="00C02EEE"/>
    <w:rsid w:val="00C02EF8"/>
    <w:rsid w:val="00C02F6B"/>
    <w:rsid w:val="00C02F7D"/>
    <w:rsid w:val="00C02F80"/>
    <w:rsid w:val="00C02FD7"/>
    <w:rsid w:val="00C03006"/>
    <w:rsid w:val="00C0301F"/>
    <w:rsid w:val="00C0304E"/>
    <w:rsid w:val="00C03122"/>
    <w:rsid w:val="00C0315B"/>
    <w:rsid w:val="00C03285"/>
    <w:rsid w:val="00C032B6"/>
    <w:rsid w:val="00C0330E"/>
    <w:rsid w:val="00C03315"/>
    <w:rsid w:val="00C0332B"/>
    <w:rsid w:val="00C033DE"/>
    <w:rsid w:val="00C0340C"/>
    <w:rsid w:val="00C03468"/>
    <w:rsid w:val="00C0346F"/>
    <w:rsid w:val="00C034A4"/>
    <w:rsid w:val="00C03556"/>
    <w:rsid w:val="00C03570"/>
    <w:rsid w:val="00C03591"/>
    <w:rsid w:val="00C03596"/>
    <w:rsid w:val="00C03628"/>
    <w:rsid w:val="00C03663"/>
    <w:rsid w:val="00C036C8"/>
    <w:rsid w:val="00C036E6"/>
    <w:rsid w:val="00C0375B"/>
    <w:rsid w:val="00C03768"/>
    <w:rsid w:val="00C03780"/>
    <w:rsid w:val="00C037C3"/>
    <w:rsid w:val="00C037F8"/>
    <w:rsid w:val="00C0388E"/>
    <w:rsid w:val="00C038D7"/>
    <w:rsid w:val="00C03986"/>
    <w:rsid w:val="00C03A05"/>
    <w:rsid w:val="00C03AF3"/>
    <w:rsid w:val="00C03C26"/>
    <w:rsid w:val="00C03C4C"/>
    <w:rsid w:val="00C03CE2"/>
    <w:rsid w:val="00C03D04"/>
    <w:rsid w:val="00C03D46"/>
    <w:rsid w:val="00C03DF7"/>
    <w:rsid w:val="00C03F70"/>
    <w:rsid w:val="00C03FAE"/>
    <w:rsid w:val="00C04015"/>
    <w:rsid w:val="00C04081"/>
    <w:rsid w:val="00C04109"/>
    <w:rsid w:val="00C04188"/>
    <w:rsid w:val="00C041D3"/>
    <w:rsid w:val="00C04212"/>
    <w:rsid w:val="00C04240"/>
    <w:rsid w:val="00C04247"/>
    <w:rsid w:val="00C0429A"/>
    <w:rsid w:val="00C0429B"/>
    <w:rsid w:val="00C0435F"/>
    <w:rsid w:val="00C043A7"/>
    <w:rsid w:val="00C043F4"/>
    <w:rsid w:val="00C04471"/>
    <w:rsid w:val="00C04487"/>
    <w:rsid w:val="00C04506"/>
    <w:rsid w:val="00C04565"/>
    <w:rsid w:val="00C045A3"/>
    <w:rsid w:val="00C045C3"/>
    <w:rsid w:val="00C046FD"/>
    <w:rsid w:val="00C047AC"/>
    <w:rsid w:val="00C047E8"/>
    <w:rsid w:val="00C04826"/>
    <w:rsid w:val="00C04851"/>
    <w:rsid w:val="00C0491D"/>
    <w:rsid w:val="00C0495F"/>
    <w:rsid w:val="00C04AAA"/>
    <w:rsid w:val="00C04CB4"/>
    <w:rsid w:val="00C04D25"/>
    <w:rsid w:val="00C04D3E"/>
    <w:rsid w:val="00C04D77"/>
    <w:rsid w:val="00C04D8E"/>
    <w:rsid w:val="00C04DD9"/>
    <w:rsid w:val="00C04DF4"/>
    <w:rsid w:val="00C04E4F"/>
    <w:rsid w:val="00C04E9C"/>
    <w:rsid w:val="00C04F07"/>
    <w:rsid w:val="00C04F27"/>
    <w:rsid w:val="00C04FB1"/>
    <w:rsid w:val="00C04FBA"/>
    <w:rsid w:val="00C04FD3"/>
    <w:rsid w:val="00C05005"/>
    <w:rsid w:val="00C05168"/>
    <w:rsid w:val="00C051FF"/>
    <w:rsid w:val="00C0528F"/>
    <w:rsid w:val="00C052DD"/>
    <w:rsid w:val="00C05351"/>
    <w:rsid w:val="00C053BE"/>
    <w:rsid w:val="00C053D3"/>
    <w:rsid w:val="00C0542B"/>
    <w:rsid w:val="00C0544F"/>
    <w:rsid w:val="00C054A5"/>
    <w:rsid w:val="00C054ED"/>
    <w:rsid w:val="00C05518"/>
    <w:rsid w:val="00C05716"/>
    <w:rsid w:val="00C057BB"/>
    <w:rsid w:val="00C05894"/>
    <w:rsid w:val="00C05917"/>
    <w:rsid w:val="00C05923"/>
    <w:rsid w:val="00C05945"/>
    <w:rsid w:val="00C059BC"/>
    <w:rsid w:val="00C05A08"/>
    <w:rsid w:val="00C05A23"/>
    <w:rsid w:val="00C05A3F"/>
    <w:rsid w:val="00C05AD2"/>
    <w:rsid w:val="00C05B29"/>
    <w:rsid w:val="00C05B48"/>
    <w:rsid w:val="00C05B50"/>
    <w:rsid w:val="00C05BEB"/>
    <w:rsid w:val="00C05BFC"/>
    <w:rsid w:val="00C05C29"/>
    <w:rsid w:val="00C05C2B"/>
    <w:rsid w:val="00C05D46"/>
    <w:rsid w:val="00C05DDD"/>
    <w:rsid w:val="00C05DF9"/>
    <w:rsid w:val="00C05E46"/>
    <w:rsid w:val="00C05EF8"/>
    <w:rsid w:val="00C05F5C"/>
    <w:rsid w:val="00C05F6C"/>
    <w:rsid w:val="00C05FD1"/>
    <w:rsid w:val="00C06109"/>
    <w:rsid w:val="00C0619F"/>
    <w:rsid w:val="00C061AF"/>
    <w:rsid w:val="00C061B4"/>
    <w:rsid w:val="00C06230"/>
    <w:rsid w:val="00C06250"/>
    <w:rsid w:val="00C06278"/>
    <w:rsid w:val="00C062A6"/>
    <w:rsid w:val="00C063B0"/>
    <w:rsid w:val="00C063B2"/>
    <w:rsid w:val="00C065E7"/>
    <w:rsid w:val="00C06613"/>
    <w:rsid w:val="00C06651"/>
    <w:rsid w:val="00C066B7"/>
    <w:rsid w:val="00C06743"/>
    <w:rsid w:val="00C067DC"/>
    <w:rsid w:val="00C06836"/>
    <w:rsid w:val="00C06866"/>
    <w:rsid w:val="00C0687D"/>
    <w:rsid w:val="00C068D0"/>
    <w:rsid w:val="00C068FB"/>
    <w:rsid w:val="00C069B5"/>
    <w:rsid w:val="00C06A48"/>
    <w:rsid w:val="00C06AA2"/>
    <w:rsid w:val="00C06AA5"/>
    <w:rsid w:val="00C06BC3"/>
    <w:rsid w:val="00C06BD7"/>
    <w:rsid w:val="00C06C00"/>
    <w:rsid w:val="00C06C6B"/>
    <w:rsid w:val="00C06C76"/>
    <w:rsid w:val="00C06C8B"/>
    <w:rsid w:val="00C06CB8"/>
    <w:rsid w:val="00C06CCC"/>
    <w:rsid w:val="00C06DBB"/>
    <w:rsid w:val="00C06E4B"/>
    <w:rsid w:val="00C06E6C"/>
    <w:rsid w:val="00C06EAC"/>
    <w:rsid w:val="00C06EF7"/>
    <w:rsid w:val="00C07001"/>
    <w:rsid w:val="00C07013"/>
    <w:rsid w:val="00C07066"/>
    <w:rsid w:val="00C07076"/>
    <w:rsid w:val="00C07221"/>
    <w:rsid w:val="00C0732C"/>
    <w:rsid w:val="00C0736A"/>
    <w:rsid w:val="00C07429"/>
    <w:rsid w:val="00C0744D"/>
    <w:rsid w:val="00C0748D"/>
    <w:rsid w:val="00C074A6"/>
    <w:rsid w:val="00C074BE"/>
    <w:rsid w:val="00C07534"/>
    <w:rsid w:val="00C0762C"/>
    <w:rsid w:val="00C07678"/>
    <w:rsid w:val="00C07684"/>
    <w:rsid w:val="00C076E2"/>
    <w:rsid w:val="00C076F5"/>
    <w:rsid w:val="00C07745"/>
    <w:rsid w:val="00C07764"/>
    <w:rsid w:val="00C077DE"/>
    <w:rsid w:val="00C077DF"/>
    <w:rsid w:val="00C07829"/>
    <w:rsid w:val="00C0782D"/>
    <w:rsid w:val="00C0787B"/>
    <w:rsid w:val="00C07883"/>
    <w:rsid w:val="00C07892"/>
    <w:rsid w:val="00C0789B"/>
    <w:rsid w:val="00C078C7"/>
    <w:rsid w:val="00C0796D"/>
    <w:rsid w:val="00C07B83"/>
    <w:rsid w:val="00C07B88"/>
    <w:rsid w:val="00C07B9F"/>
    <w:rsid w:val="00C07BAA"/>
    <w:rsid w:val="00C07BD8"/>
    <w:rsid w:val="00C07CD8"/>
    <w:rsid w:val="00C07CE3"/>
    <w:rsid w:val="00C07D64"/>
    <w:rsid w:val="00C07D69"/>
    <w:rsid w:val="00C07E46"/>
    <w:rsid w:val="00C07E8B"/>
    <w:rsid w:val="00C07EE0"/>
    <w:rsid w:val="00C07EF8"/>
    <w:rsid w:val="00C07F3D"/>
    <w:rsid w:val="00C07F3E"/>
    <w:rsid w:val="00C07FE5"/>
    <w:rsid w:val="00C1004E"/>
    <w:rsid w:val="00C100A7"/>
    <w:rsid w:val="00C100C1"/>
    <w:rsid w:val="00C100D9"/>
    <w:rsid w:val="00C10218"/>
    <w:rsid w:val="00C1029A"/>
    <w:rsid w:val="00C102B0"/>
    <w:rsid w:val="00C102CA"/>
    <w:rsid w:val="00C10394"/>
    <w:rsid w:val="00C103FD"/>
    <w:rsid w:val="00C1057E"/>
    <w:rsid w:val="00C10653"/>
    <w:rsid w:val="00C10883"/>
    <w:rsid w:val="00C10925"/>
    <w:rsid w:val="00C1095C"/>
    <w:rsid w:val="00C10A50"/>
    <w:rsid w:val="00C10A7E"/>
    <w:rsid w:val="00C10ABC"/>
    <w:rsid w:val="00C10BAF"/>
    <w:rsid w:val="00C10C3E"/>
    <w:rsid w:val="00C10C6B"/>
    <w:rsid w:val="00C10DAC"/>
    <w:rsid w:val="00C10DC7"/>
    <w:rsid w:val="00C10DCA"/>
    <w:rsid w:val="00C10F75"/>
    <w:rsid w:val="00C10FC8"/>
    <w:rsid w:val="00C10FDC"/>
    <w:rsid w:val="00C10FFD"/>
    <w:rsid w:val="00C11006"/>
    <w:rsid w:val="00C11058"/>
    <w:rsid w:val="00C11059"/>
    <w:rsid w:val="00C110E7"/>
    <w:rsid w:val="00C111B9"/>
    <w:rsid w:val="00C111BF"/>
    <w:rsid w:val="00C111F6"/>
    <w:rsid w:val="00C1133C"/>
    <w:rsid w:val="00C11365"/>
    <w:rsid w:val="00C11455"/>
    <w:rsid w:val="00C115D9"/>
    <w:rsid w:val="00C115F9"/>
    <w:rsid w:val="00C11631"/>
    <w:rsid w:val="00C116AE"/>
    <w:rsid w:val="00C1172F"/>
    <w:rsid w:val="00C1173C"/>
    <w:rsid w:val="00C11824"/>
    <w:rsid w:val="00C11864"/>
    <w:rsid w:val="00C11956"/>
    <w:rsid w:val="00C1196D"/>
    <w:rsid w:val="00C11983"/>
    <w:rsid w:val="00C119AE"/>
    <w:rsid w:val="00C11A5F"/>
    <w:rsid w:val="00C11A99"/>
    <w:rsid w:val="00C11ADC"/>
    <w:rsid w:val="00C11B08"/>
    <w:rsid w:val="00C11B4D"/>
    <w:rsid w:val="00C11B95"/>
    <w:rsid w:val="00C11BA5"/>
    <w:rsid w:val="00C11BBC"/>
    <w:rsid w:val="00C11CAE"/>
    <w:rsid w:val="00C11CBF"/>
    <w:rsid w:val="00C11CC8"/>
    <w:rsid w:val="00C11DAD"/>
    <w:rsid w:val="00C11E09"/>
    <w:rsid w:val="00C11E65"/>
    <w:rsid w:val="00C11E6E"/>
    <w:rsid w:val="00C11EA0"/>
    <w:rsid w:val="00C11F8A"/>
    <w:rsid w:val="00C11F9C"/>
    <w:rsid w:val="00C11FCC"/>
    <w:rsid w:val="00C12030"/>
    <w:rsid w:val="00C1209F"/>
    <w:rsid w:val="00C120BB"/>
    <w:rsid w:val="00C120DA"/>
    <w:rsid w:val="00C12164"/>
    <w:rsid w:val="00C121A6"/>
    <w:rsid w:val="00C12208"/>
    <w:rsid w:val="00C12295"/>
    <w:rsid w:val="00C122B1"/>
    <w:rsid w:val="00C122E4"/>
    <w:rsid w:val="00C122F4"/>
    <w:rsid w:val="00C12300"/>
    <w:rsid w:val="00C12375"/>
    <w:rsid w:val="00C12399"/>
    <w:rsid w:val="00C123A7"/>
    <w:rsid w:val="00C123F5"/>
    <w:rsid w:val="00C12433"/>
    <w:rsid w:val="00C124BB"/>
    <w:rsid w:val="00C124D1"/>
    <w:rsid w:val="00C125C2"/>
    <w:rsid w:val="00C1269E"/>
    <w:rsid w:val="00C1274A"/>
    <w:rsid w:val="00C127B1"/>
    <w:rsid w:val="00C127E0"/>
    <w:rsid w:val="00C12848"/>
    <w:rsid w:val="00C1284A"/>
    <w:rsid w:val="00C128AC"/>
    <w:rsid w:val="00C1290A"/>
    <w:rsid w:val="00C12949"/>
    <w:rsid w:val="00C12AAD"/>
    <w:rsid w:val="00C12ADA"/>
    <w:rsid w:val="00C12AF7"/>
    <w:rsid w:val="00C12B51"/>
    <w:rsid w:val="00C12B9A"/>
    <w:rsid w:val="00C12C17"/>
    <w:rsid w:val="00C12C21"/>
    <w:rsid w:val="00C12D29"/>
    <w:rsid w:val="00C12DE9"/>
    <w:rsid w:val="00C12E76"/>
    <w:rsid w:val="00C12EB3"/>
    <w:rsid w:val="00C12EC1"/>
    <w:rsid w:val="00C12F30"/>
    <w:rsid w:val="00C12FD0"/>
    <w:rsid w:val="00C12FEC"/>
    <w:rsid w:val="00C1302E"/>
    <w:rsid w:val="00C13052"/>
    <w:rsid w:val="00C13142"/>
    <w:rsid w:val="00C131A7"/>
    <w:rsid w:val="00C131F7"/>
    <w:rsid w:val="00C13206"/>
    <w:rsid w:val="00C13242"/>
    <w:rsid w:val="00C13275"/>
    <w:rsid w:val="00C13311"/>
    <w:rsid w:val="00C13329"/>
    <w:rsid w:val="00C13391"/>
    <w:rsid w:val="00C133D8"/>
    <w:rsid w:val="00C13404"/>
    <w:rsid w:val="00C1343F"/>
    <w:rsid w:val="00C1345E"/>
    <w:rsid w:val="00C13588"/>
    <w:rsid w:val="00C135B5"/>
    <w:rsid w:val="00C1362D"/>
    <w:rsid w:val="00C136C7"/>
    <w:rsid w:val="00C1370E"/>
    <w:rsid w:val="00C13725"/>
    <w:rsid w:val="00C1379E"/>
    <w:rsid w:val="00C13877"/>
    <w:rsid w:val="00C138ED"/>
    <w:rsid w:val="00C1390C"/>
    <w:rsid w:val="00C13984"/>
    <w:rsid w:val="00C13A1C"/>
    <w:rsid w:val="00C13A38"/>
    <w:rsid w:val="00C13A48"/>
    <w:rsid w:val="00C13AD2"/>
    <w:rsid w:val="00C13B3F"/>
    <w:rsid w:val="00C13C7F"/>
    <w:rsid w:val="00C13C91"/>
    <w:rsid w:val="00C13CAD"/>
    <w:rsid w:val="00C13D49"/>
    <w:rsid w:val="00C13D61"/>
    <w:rsid w:val="00C13EC4"/>
    <w:rsid w:val="00C13EF2"/>
    <w:rsid w:val="00C13F66"/>
    <w:rsid w:val="00C13F6B"/>
    <w:rsid w:val="00C140DD"/>
    <w:rsid w:val="00C14103"/>
    <w:rsid w:val="00C14122"/>
    <w:rsid w:val="00C1414D"/>
    <w:rsid w:val="00C141AE"/>
    <w:rsid w:val="00C141FD"/>
    <w:rsid w:val="00C1420F"/>
    <w:rsid w:val="00C142A4"/>
    <w:rsid w:val="00C142C1"/>
    <w:rsid w:val="00C14339"/>
    <w:rsid w:val="00C14379"/>
    <w:rsid w:val="00C1437D"/>
    <w:rsid w:val="00C143A7"/>
    <w:rsid w:val="00C143D8"/>
    <w:rsid w:val="00C143E5"/>
    <w:rsid w:val="00C144F8"/>
    <w:rsid w:val="00C14578"/>
    <w:rsid w:val="00C145F3"/>
    <w:rsid w:val="00C14688"/>
    <w:rsid w:val="00C146C6"/>
    <w:rsid w:val="00C1476D"/>
    <w:rsid w:val="00C147FB"/>
    <w:rsid w:val="00C14864"/>
    <w:rsid w:val="00C1489D"/>
    <w:rsid w:val="00C148D2"/>
    <w:rsid w:val="00C148E8"/>
    <w:rsid w:val="00C1494E"/>
    <w:rsid w:val="00C14961"/>
    <w:rsid w:val="00C149AF"/>
    <w:rsid w:val="00C149CF"/>
    <w:rsid w:val="00C14A08"/>
    <w:rsid w:val="00C14A95"/>
    <w:rsid w:val="00C14B08"/>
    <w:rsid w:val="00C14B4D"/>
    <w:rsid w:val="00C14BB6"/>
    <w:rsid w:val="00C14BCF"/>
    <w:rsid w:val="00C14C33"/>
    <w:rsid w:val="00C14C52"/>
    <w:rsid w:val="00C14C62"/>
    <w:rsid w:val="00C14CB7"/>
    <w:rsid w:val="00C14CD3"/>
    <w:rsid w:val="00C14CE5"/>
    <w:rsid w:val="00C14D2C"/>
    <w:rsid w:val="00C14D77"/>
    <w:rsid w:val="00C14DB7"/>
    <w:rsid w:val="00C14E61"/>
    <w:rsid w:val="00C14F27"/>
    <w:rsid w:val="00C14F5E"/>
    <w:rsid w:val="00C14FB8"/>
    <w:rsid w:val="00C1505F"/>
    <w:rsid w:val="00C15095"/>
    <w:rsid w:val="00C150BF"/>
    <w:rsid w:val="00C151DE"/>
    <w:rsid w:val="00C151E7"/>
    <w:rsid w:val="00C151EE"/>
    <w:rsid w:val="00C1525C"/>
    <w:rsid w:val="00C1529C"/>
    <w:rsid w:val="00C1537E"/>
    <w:rsid w:val="00C153B0"/>
    <w:rsid w:val="00C153B1"/>
    <w:rsid w:val="00C15428"/>
    <w:rsid w:val="00C15465"/>
    <w:rsid w:val="00C154FB"/>
    <w:rsid w:val="00C15506"/>
    <w:rsid w:val="00C1557A"/>
    <w:rsid w:val="00C155D6"/>
    <w:rsid w:val="00C1563D"/>
    <w:rsid w:val="00C1563F"/>
    <w:rsid w:val="00C15702"/>
    <w:rsid w:val="00C15727"/>
    <w:rsid w:val="00C15755"/>
    <w:rsid w:val="00C157DE"/>
    <w:rsid w:val="00C158D4"/>
    <w:rsid w:val="00C158F6"/>
    <w:rsid w:val="00C15AE6"/>
    <w:rsid w:val="00C15B15"/>
    <w:rsid w:val="00C15B59"/>
    <w:rsid w:val="00C15BD7"/>
    <w:rsid w:val="00C15C92"/>
    <w:rsid w:val="00C15CC9"/>
    <w:rsid w:val="00C15CFA"/>
    <w:rsid w:val="00C15D37"/>
    <w:rsid w:val="00C15D62"/>
    <w:rsid w:val="00C15D78"/>
    <w:rsid w:val="00C15D7D"/>
    <w:rsid w:val="00C15D8D"/>
    <w:rsid w:val="00C15DE8"/>
    <w:rsid w:val="00C15E3E"/>
    <w:rsid w:val="00C15E7E"/>
    <w:rsid w:val="00C15EEF"/>
    <w:rsid w:val="00C15F27"/>
    <w:rsid w:val="00C15FA3"/>
    <w:rsid w:val="00C16049"/>
    <w:rsid w:val="00C1604C"/>
    <w:rsid w:val="00C1605E"/>
    <w:rsid w:val="00C16063"/>
    <w:rsid w:val="00C16079"/>
    <w:rsid w:val="00C16185"/>
    <w:rsid w:val="00C1619E"/>
    <w:rsid w:val="00C161ED"/>
    <w:rsid w:val="00C162FC"/>
    <w:rsid w:val="00C163F5"/>
    <w:rsid w:val="00C1643A"/>
    <w:rsid w:val="00C1644D"/>
    <w:rsid w:val="00C165D6"/>
    <w:rsid w:val="00C16610"/>
    <w:rsid w:val="00C166B6"/>
    <w:rsid w:val="00C1676A"/>
    <w:rsid w:val="00C167D1"/>
    <w:rsid w:val="00C1680B"/>
    <w:rsid w:val="00C168B7"/>
    <w:rsid w:val="00C16908"/>
    <w:rsid w:val="00C16969"/>
    <w:rsid w:val="00C169D6"/>
    <w:rsid w:val="00C169F7"/>
    <w:rsid w:val="00C16A5D"/>
    <w:rsid w:val="00C16AB1"/>
    <w:rsid w:val="00C16AC5"/>
    <w:rsid w:val="00C16AD5"/>
    <w:rsid w:val="00C16B0A"/>
    <w:rsid w:val="00C16B55"/>
    <w:rsid w:val="00C16BD0"/>
    <w:rsid w:val="00C16BE9"/>
    <w:rsid w:val="00C16C53"/>
    <w:rsid w:val="00C16D17"/>
    <w:rsid w:val="00C16D23"/>
    <w:rsid w:val="00C16D96"/>
    <w:rsid w:val="00C16DA0"/>
    <w:rsid w:val="00C16DA8"/>
    <w:rsid w:val="00C16F81"/>
    <w:rsid w:val="00C17009"/>
    <w:rsid w:val="00C17062"/>
    <w:rsid w:val="00C17134"/>
    <w:rsid w:val="00C1715E"/>
    <w:rsid w:val="00C17182"/>
    <w:rsid w:val="00C1718D"/>
    <w:rsid w:val="00C17292"/>
    <w:rsid w:val="00C17306"/>
    <w:rsid w:val="00C17323"/>
    <w:rsid w:val="00C173F7"/>
    <w:rsid w:val="00C174A9"/>
    <w:rsid w:val="00C174D5"/>
    <w:rsid w:val="00C174FC"/>
    <w:rsid w:val="00C17505"/>
    <w:rsid w:val="00C17574"/>
    <w:rsid w:val="00C175B3"/>
    <w:rsid w:val="00C175D9"/>
    <w:rsid w:val="00C175E2"/>
    <w:rsid w:val="00C17621"/>
    <w:rsid w:val="00C17648"/>
    <w:rsid w:val="00C17807"/>
    <w:rsid w:val="00C1781B"/>
    <w:rsid w:val="00C17996"/>
    <w:rsid w:val="00C179EA"/>
    <w:rsid w:val="00C17A8A"/>
    <w:rsid w:val="00C17A91"/>
    <w:rsid w:val="00C17B53"/>
    <w:rsid w:val="00C17C16"/>
    <w:rsid w:val="00C17DFE"/>
    <w:rsid w:val="00C17E3A"/>
    <w:rsid w:val="00C17E41"/>
    <w:rsid w:val="00C17E8C"/>
    <w:rsid w:val="00C17EFD"/>
    <w:rsid w:val="00C17F29"/>
    <w:rsid w:val="00C17F4A"/>
    <w:rsid w:val="00C17F76"/>
    <w:rsid w:val="00C17FCC"/>
    <w:rsid w:val="00C20004"/>
    <w:rsid w:val="00C2009D"/>
    <w:rsid w:val="00C20124"/>
    <w:rsid w:val="00C2012A"/>
    <w:rsid w:val="00C201F0"/>
    <w:rsid w:val="00C20260"/>
    <w:rsid w:val="00C2028C"/>
    <w:rsid w:val="00C202C4"/>
    <w:rsid w:val="00C202CB"/>
    <w:rsid w:val="00C2038F"/>
    <w:rsid w:val="00C20408"/>
    <w:rsid w:val="00C2043A"/>
    <w:rsid w:val="00C20478"/>
    <w:rsid w:val="00C20519"/>
    <w:rsid w:val="00C20562"/>
    <w:rsid w:val="00C20579"/>
    <w:rsid w:val="00C205AE"/>
    <w:rsid w:val="00C20630"/>
    <w:rsid w:val="00C20696"/>
    <w:rsid w:val="00C20721"/>
    <w:rsid w:val="00C207AF"/>
    <w:rsid w:val="00C207B1"/>
    <w:rsid w:val="00C207B5"/>
    <w:rsid w:val="00C2080C"/>
    <w:rsid w:val="00C208A5"/>
    <w:rsid w:val="00C208A9"/>
    <w:rsid w:val="00C208AB"/>
    <w:rsid w:val="00C20943"/>
    <w:rsid w:val="00C20949"/>
    <w:rsid w:val="00C209A8"/>
    <w:rsid w:val="00C20A47"/>
    <w:rsid w:val="00C20A74"/>
    <w:rsid w:val="00C20B44"/>
    <w:rsid w:val="00C20B4E"/>
    <w:rsid w:val="00C20B6E"/>
    <w:rsid w:val="00C20BA5"/>
    <w:rsid w:val="00C20BCD"/>
    <w:rsid w:val="00C20C65"/>
    <w:rsid w:val="00C20C90"/>
    <w:rsid w:val="00C20CC1"/>
    <w:rsid w:val="00C20DB3"/>
    <w:rsid w:val="00C20DD9"/>
    <w:rsid w:val="00C20E71"/>
    <w:rsid w:val="00C20E91"/>
    <w:rsid w:val="00C20F48"/>
    <w:rsid w:val="00C20F89"/>
    <w:rsid w:val="00C21049"/>
    <w:rsid w:val="00C2109F"/>
    <w:rsid w:val="00C21103"/>
    <w:rsid w:val="00C211ED"/>
    <w:rsid w:val="00C2123B"/>
    <w:rsid w:val="00C21349"/>
    <w:rsid w:val="00C21357"/>
    <w:rsid w:val="00C21449"/>
    <w:rsid w:val="00C2148A"/>
    <w:rsid w:val="00C2154A"/>
    <w:rsid w:val="00C2156E"/>
    <w:rsid w:val="00C215A0"/>
    <w:rsid w:val="00C216DF"/>
    <w:rsid w:val="00C216FA"/>
    <w:rsid w:val="00C21773"/>
    <w:rsid w:val="00C21802"/>
    <w:rsid w:val="00C21810"/>
    <w:rsid w:val="00C218F5"/>
    <w:rsid w:val="00C21A6A"/>
    <w:rsid w:val="00C21A72"/>
    <w:rsid w:val="00C21A98"/>
    <w:rsid w:val="00C21B92"/>
    <w:rsid w:val="00C21BA2"/>
    <w:rsid w:val="00C21C00"/>
    <w:rsid w:val="00C21C09"/>
    <w:rsid w:val="00C21C0D"/>
    <w:rsid w:val="00C21C14"/>
    <w:rsid w:val="00C21CAA"/>
    <w:rsid w:val="00C21CC2"/>
    <w:rsid w:val="00C21D64"/>
    <w:rsid w:val="00C21D66"/>
    <w:rsid w:val="00C21D6C"/>
    <w:rsid w:val="00C21DC8"/>
    <w:rsid w:val="00C21DD0"/>
    <w:rsid w:val="00C21DEC"/>
    <w:rsid w:val="00C21DED"/>
    <w:rsid w:val="00C21F48"/>
    <w:rsid w:val="00C21F51"/>
    <w:rsid w:val="00C21FC3"/>
    <w:rsid w:val="00C21FC8"/>
    <w:rsid w:val="00C22060"/>
    <w:rsid w:val="00C220A2"/>
    <w:rsid w:val="00C220DB"/>
    <w:rsid w:val="00C220FC"/>
    <w:rsid w:val="00C2211B"/>
    <w:rsid w:val="00C2213E"/>
    <w:rsid w:val="00C22161"/>
    <w:rsid w:val="00C2217F"/>
    <w:rsid w:val="00C22248"/>
    <w:rsid w:val="00C2230F"/>
    <w:rsid w:val="00C22356"/>
    <w:rsid w:val="00C22375"/>
    <w:rsid w:val="00C223A7"/>
    <w:rsid w:val="00C2244A"/>
    <w:rsid w:val="00C224F7"/>
    <w:rsid w:val="00C2255C"/>
    <w:rsid w:val="00C225A7"/>
    <w:rsid w:val="00C22623"/>
    <w:rsid w:val="00C2264D"/>
    <w:rsid w:val="00C22693"/>
    <w:rsid w:val="00C22729"/>
    <w:rsid w:val="00C22785"/>
    <w:rsid w:val="00C227AE"/>
    <w:rsid w:val="00C227E0"/>
    <w:rsid w:val="00C2294A"/>
    <w:rsid w:val="00C2295F"/>
    <w:rsid w:val="00C22A33"/>
    <w:rsid w:val="00C22A53"/>
    <w:rsid w:val="00C22A5F"/>
    <w:rsid w:val="00C22AB4"/>
    <w:rsid w:val="00C22BB7"/>
    <w:rsid w:val="00C22BF4"/>
    <w:rsid w:val="00C22C8A"/>
    <w:rsid w:val="00C22CB8"/>
    <w:rsid w:val="00C22DAC"/>
    <w:rsid w:val="00C22DF8"/>
    <w:rsid w:val="00C22E84"/>
    <w:rsid w:val="00C22EA7"/>
    <w:rsid w:val="00C22EF5"/>
    <w:rsid w:val="00C22FBB"/>
    <w:rsid w:val="00C23022"/>
    <w:rsid w:val="00C23032"/>
    <w:rsid w:val="00C23053"/>
    <w:rsid w:val="00C23090"/>
    <w:rsid w:val="00C2313A"/>
    <w:rsid w:val="00C23178"/>
    <w:rsid w:val="00C2317C"/>
    <w:rsid w:val="00C23185"/>
    <w:rsid w:val="00C231AD"/>
    <w:rsid w:val="00C233AE"/>
    <w:rsid w:val="00C233B6"/>
    <w:rsid w:val="00C23420"/>
    <w:rsid w:val="00C234B7"/>
    <w:rsid w:val="00C234C2"/>
    <w:rsid w:val="00C234C3"/>
    <w:rsid w:val="00C234FE"/>
    <w:rsid w:val="00C23587"/>
    <w:rsid w:val="00C2358E"/>
    <w:rsid w:val="00C235B0"/>
    <w:rsid w:val="00C235F2"/>
    <w:rsid w:val="00C235FE"/>
    <w:rsid w:val="00C23647"/>
    <w:rsid w:val="00C23654"/>
    <w:rsid w:val="00C23665"/>
    <w:rsid w:val="00C23695"/>
    <w:rsid w:val="00C2373D"/>
    <w:rsid w:val="00C23894"/>
    <w:rsid w:val="00C238D6"/>
    <w:rsid w:val="00C23990"/>
    <w:rsid w:val="00C239F1"/>
    <w:rsid w:val="00C23A2E"/>
    <w:rsid w:val="00C23A5B"/>
    <w:rsid w:val="00C23A7D"/>
    <w:rsid w:val="00C23C03"/>
    <w:rsid w:val="00C23C2D"/>
    <w:rsid w:val="00C23CC8"/>
    <w:rsid w:val="00C23DA0"/>
    <w:rsid w:val="00C23E01"/>
    <w:rsid w:val="00C23EB1"/>
    <w:rsid w:val="00C24082"/>
    <w:rsid w:val="00C2417B"/>
    <w:rsid w:val="00C24291"/>
    <w:rsid w:val="00C242BC"/>
    <w:rsid w:val="00C24309"/>
    <w:rsid w:val="00C2438A"/>
    <w:rsid w:val="00C24396"/>
    <w:rsid w:val="00C243C9"/>
    <w:rsid w:val="00C243D2"/>
    <w:rsid w:val="00C2447A"/>
    <w:rsid w:val="00C244F9"/>
    <w:rsid w:val="00C24501"/>
    <w:rsid w:val="00C24505"/>
    <w:rsid w:val="00C24523"/>
    <w:rsid w:val="00C24547"/>
    <w:rsid w:val="00C24694"/>
    <w:rsid w:val="00C246B1"/>
    <w:rsid w:val="00C246E8"/>
    <w:rsid w:val="00C24747"/>
    <w:rsid w:val="00C247F2"/>
    <w:rsid w:val="00C2480E"/>
    <w:rsid w:val="00C2485D"/>
    <w:rsid w:val="00C2490D"/>
    <w:rsid w:val="00C249B3"/>
    <w:rsid w:val="00C249CC"/>
    <w:rsid w:val="00C249D5"/>
    <w:rsid w:val="00C24A04"/>
    <w:rsid w:val="00C24A71"/>
    <w:rsid w:val="00C24A95"/>
    <w:rsid w:val="00C24AF1"/>
    <w:rsid w:val="00C24B27"/>
    <w:rsid w:val="00C24B57"/>
    <w:rsid w:val="00C24B85"/>
    <w:rsid w:val="00C24B94"/>
    <w:rsid w:val="00C24B96"/>
    <w:rsid w:val="00C24D49"/>
    <w:rsid w:val="00C24E55"/>
    <w:rsid w:val="00C24E72"/>
    <w:rsid w:val="00C24EFB"/>
    <w:rsid w:val="00C24F3D"/>
    <w:rsid w:val="00C24FB3"/>
    <w:rsid w:val="00C24FE2"/>
    <w:rsid w:val="00C25028"/>
    <w:rsid w:val="00C2502A"/>
    <w:rsid w:val="00C25054"/>
    <w:rsid w:val="00C250CD"/>
    <w:rsid w:val="00C250F2"/>
    <w:rsid w:val="00C25168"/>
    <w:rsid w:val="00C2520A"/>
    <w:rsid w:val="00C252A7"/>
    <w:rsid w:val="00C252F5"/>
    <w:rsid w:val="00C25317"/>
    <w:rsid w:val="00C25342"/>
    <w:rsid w:val="00C2535A"/>
    <w:rsid w:val="00C25377"/>
    <w:rsid w:val="00C253E0"/>
    <w:rsid w:val="00C253FE"/>
    <w:rsid w:val="00C25400"/>
    <w:rsid w:val="00C25479"/>
    <w:rsid w:val="00C254A8"/>
    <w:rsid w:val="00C254E3"/>
    <w:rsid w:val="00C25562"/>
    <w:rsid w:val="00C25564"/>
    <w:rsid w:val="00C25601"/>
    <w:rsid w:val="00C256FC"/>
    <w:rsid w:val="00C25711"/>
    <w:rsid w:val="00C2576A"/>
    <w:rsid w:val="00C257EC"/>
    <w:rsid w:val="00C257FD"/>
    <w:rsid w:val="00C25842"/>
    <w:rsid w:val="00C25870"/>
    <w:rsid w:val="00C25892"/>
    <w:rsid w:val="00C25917"/>
    <w:rsid w:val="00C25957"/>
    <w:rsid w:val="00C259DB"/>
    <w:rsid w:val="00C259EB"/>
    <w:rsid w:val="00C259F2"/>
    <w:rsid w:val="00C25A8E"/>
    <w:rsid w:val="00C25AA1"/>
    <w:rsid w:val="00C25ABB"/>
    <w:rsid w:val="00C25B2D"/>
    <w:rsid w:val="00C25B44"/>
    <w:rsid w:val="00C25BE3"/>
    <w:rsid w:val="00C25C57"/>
    <w:rsid w:val="00C25D26"/>
    <w:rsid w:val="00C25DB0"/>
    <w:rsid w:val="00C25E19"/>
    <w:rsid w:val="00C25E1C"/>
    <w:rsid w:val="00C25E53"/>
    <w:rsid w:val="00C25E9F"/>
    <w:rsid w:val="00C25FCB"/>
    <w:rsid w:val="00C260B4"/>
    <w:rsid w:val="00C26179"/>
    <w:rsid w:val="00C261C1"/>
    <w:rsid w:val="00C26237"/>
    <w:rsid w:val="00C2624F"/>
    <w:rsid w:val="00C26266"/>
    <w:rsid w:val="00C262E2"/>
    <w:rsid w:val="00C263A5"/>
    <w:rsid w:val="00C26429"/>
    <w:rsid w:val="00C26443"/>
    <w:rsid w:val="00C264AB"/>
    <w:rsid w:val="00C265BC"/>
    <w:rsid w:val="00C265CA"/>
    <w:rsid w:val="00C265D6"/>
    <w:rsid w:val="00C26649"/>
    <w:rsid w:val="00C26673"/>
    <w:rsid w:val="00C266A8"/>
    <w:rsid w:val="00C267F0"/>
    <w:rsid w:val="00C26800"/>
    <w:rsid w:val="00C268CE"/>
    <w:rsid w:val="00C268DF"/>
    <w:rsid w:val="00C2698C"/>
    <w:rsid w:val="00C269DA"/>
    <w:rsid w:val="00C26A52"/>
    <w:rsid w:val="00C26A5B"/>
    <w:rsid w:val="00C26ACB"/>
    <w:rsid w:val="00C26B1B"/>
    <w:rsid w:val="00C26B33"/>
    <w:rsid w:val="00C26B8D"/>
    <w:rsid w:val="00C26BA5"/>
    <w:rsid w:val="00C26C2B"/>
    <w:rsid w:val="00C26C4A"/>
    <w:rsid w:val="00C26DB4"/>
    <w:rsid w:val="00C26DBA"/>
    <w:rsid w:val="00C26DC7"/>
    <w:rsid w:val="00C26E41"/>
    <w:rsid w:val="00C26EA9"/>
    <w:rsid w:val="00C26EF4"/>
    <w:rsid w:val="00C26FD3"/>
    <w:rsid w:val="00C27010"/>
    <w:rsid w:val="00C2704C"/>
    <w:rsid w:val="00C27083"/>
    <w:rsid w:val="00C270A1"/>
    <w:rsid w:val="00C27197"/>
    <w:rsid w:val="00C271A0"/>
    <w:rsid w:val="00C271A1"/>
    <w:rsid w:val="00C27213"/>
    <w:rsid w:val="00C27244"/>
    <w:rsid w:val="00C272B9"/>
    <w:rsid w:val="00C2739A"/>
    <w:rsid w:val="00C2740E"/>
    <w:rsid w:val="00C2742F"/>
    <w:rsid w:val="00C27486"/>
    <w:rsid w:val="00C2751A"/>
    <w:rsid w:val="00C2755F"/>
    <w:rsid w:val="00C27609"/>
    <w:rsid w:val="00C2763E"/>
    <w:rsid w:val="00C27649"/>
    <w:rsid w:val="00C27726"/>
    <w:rsid w:val="00C2775B"/>
    <w:rsid w:val="00C277B4"/>
    <w:rsid w:val="00C27829"/>
    <w:rsid w:val="00C2784A"/>
    <w:rsid w:val="00C2784E"/>
    <w:rsid w:val="00C278B7"/>
    <w:rsid w:val="00C279DE"/>
    <w:rsid w:val="00C27AC1"/>
    <w:rsid w:val="00C27B0E"/>
    <w:rsid w:val="00C27B3E"/>
    <w:rsid w:val="00C27B6A"/>
    <w:rsid w:val="00C27B73"/>
    <w:rsid w:val="00C27B77"/>
    <w:rsid w:val="00C27BD0"/>
    <w:rsid w:val="00C27C5F"/>
    <w:rsid w:val="00C27C9D"/>
    <w:rsid w:val="00C27D2A"/>
    <w:rsid w:val="00C27D70"/>
    <w:rsid w:val="00C27D73"/>
    <w:rsid w:val="00C27ED2"/>
    <w:rsid w:val="00C27F37"/>
    <w:rsid w:val="00C27FFC"/>
    <w:rsid w:val="00C30160"/>
    <w:rsid w:val="00C302D5"/>
    <w:rsid w:val="00C302D6"/>
    <w:rsid w:val="00C30325"/>
    <w:rsid w:val="00C3033B"/>
    <w:rsid w:val="00C30385"/>
    <w:rsid w:val="00C30404"/>
    <w:rsid w:val="00C30480"/>
    <w:rsid w:val="00C3052D"/>
    <w:rsid w:val="00C30546"/>
    <w:rsid w:val="00C305EA"/>
    <w:rsid w:val="00C30618"/>
    <w:rsid w:val="00C306A6"/>
    <w:rsid w:val="00C306B6"/>
    <w:rsid w:val="00C30735"/>
    <w:rsid w:val="00C30876"/>
    <w:rsid w:val="00C30898"/>
    <w:rsid w:val="00C308CA"/>
    <w:rsid w:val="00C30987"/>
    <w:rsid w:val="00C309C9"/>
    <w:rsid w:val="00C309FF"/>
    <w:rsid w:val="00C30A0D"/>
    <w:rsid w:val="00C30A1E"/>
    <w:rsid w:val="00C30AE7"/>
    <w:rsid w:val="00C30B24"/>
    <w:rsid w:val="00C30B85"/>
    <w:rsid w:val="00C30B9A"/>
    <w:rsid w:val="00C30BC2"/>
    <w:rsid w:val="00C30C40"/>
    <w:rsid w:val="00C30CE4"/>
    <w:rsid w:val="00C30CF3"/>
    <w:rsid w:val="00C30D5C"/>
    <w:rsid w:val="00C30DF0"/>
    <w:rsid w:val="00C30E23"/>
    <w:rsid w:val="00C30E2E"/>
    <w:rsid w:val="00C30E7B"/>
    <w:rsid w:val="00C30ECF"/>
    <w:rsid w:val="00C30EDA"/>
    <w:rsid w:val="00C30F7A"/>
    <w:rsid w:val="00C3111F"/>
    <w:rsid w:val="00C3113D"/>
    <w:rsid w:val="00C31156"/>
    <w:rsid w:val="00C31197"/>
    <w:rsid w:val="00C3124C"/>
    <w:rsid w:val="00C314CF"/>
    <w:rsid w:val="00C31691"/>
    <w:rsid w:val="00C31723"/>
    <w:rsid w:val="00C317C6"/>
    <w:rsid w:val="00C317CF"/>
    <w:rsid w:val="00C31AD7"/>
    <w:rsid w:val="00C31AE9"/>
    <w:rsid w:val="00C31B0C"/>
    <w:rsid w:val="00C31B39"/>
    <w:rsid w:val="00C31BE0"/>
    <w:rsid w:val="00C31C32"/>
    <w:rsid w:val="00C31C3D"/>
    <w:rsid w:val="00C31C7B"/>
    <w:rsid w:val="00C31C80"/>
    <w:rsid w:val="00C31CDA"/>
    <w:rsid w:val="00C31CF3"/>
    <w:rsid w:val="00C31D14"/>
    <w:rsid w:val="00C31DB7"/>
    <w:rsid w:val="00C31E4C"/>
    <w:rsid w:val="00C31E83"/>
    <w:rsid w:val="00C31EA0"/>
    <w:rsid w:val="00C31F58"/>
    <w:rsid w:val="00C31FA8"/>
    <w:rsid w:val="00C32049"/>
    <w:rsid w:val="00C32116"/>
    <w:rsid w:val="00C3213C"/>
    <w:rsid w:val="00C321C2"/>
    <w:rsid w:val="00C321C6"/>
    <w:rsid w:val="00C3236F"/>
    <w:rsid w:val="00C32382"/>
    <w:rsid w:val="00C323A7"/>
    <w:rsid w:val="00C323DF"/>
    <w:rsid w:val="00C32435"/>
    <w:rsid w:val="00C324F1"/>
    <w:rsid w:val="00C32500"/>
    <w:rsid w:val="00C325EC"/>
    <w:rsid w:val="00C32624"/>
    <w:rsid w:val="00C32692"/>
    <w:rsid w:val="00C326FE"/>
    <w:rsid w:val="00C3274E"/>
    <w:rsid w:val="00C327A3"/>
    <w:rsid w:val="00C327D7"/>
    <w:rsid w:val="00C328F3"/>
    <w:rsid w:val="00C32941"/>
    <w:rsid w:val="00C329C2"/>
    <w:rsid w:val="00C329D3"/>
    <w:rsid w:val="00C32AFA"/>
    <w:rsid w:val="00C32B1E"/>
    <w:rsid w:val="00C32B34"/>
    <w:rsid w:val="00C32B5D"/>
    <w:rsid w:val="00C32BF4"/>
    <w:rsid w:val="00C32CF5"/>
    <w:rsid w:val="00C32D47"/>
    <w:rsid w:val="00C32DD5"/>
    <w:rsid w:val="00C32DF2"/>
    <w:rsid w:val="00C32E33"/>
    <w:rsid w:val="00C32EFE"/>
    <w:rsid w:val="00C32F24"/>
    <w:rsid w:val="00C32F4A"/>
    <w:rsid w:val="00C32FBF"/>
    <w:rsid w:val="00C32FDA"/>
    <w:rsid w:val="00C33039"/>
    <w:rsid w:val="00C3307F"/>
    <w:rsid w:val="00C3309E"/>
    <w:rsid w:val="00C330BD"/>
    <w:rsid w:val="00C330DE"/>
    <w:rsid w:val="00C33222"/>
    <w:rsid w:val="00C3330D"/>
    <w:rsid w:val="00C3339F"/>
    <w:rsid w:val="00C334AA"/>
    <w:rsid w:val="00C334B6"/>
    <w:rsid w:val="00C33510"/>
    <w:rsid w:val="00C3352F"/>
    <w:rsid w:val="00C33535"/>
    <w:rsid w:val="00C33616"/>
    <w:rsid w:val="00C3362D"/>
    <w:rsid w:val="00C3368A"/>
    <w:rsid w:val="00C336AE"/>
    <w:rsid w:val="00C336CC"/>
    <w:rsid w:val="00C336DF"/>
    <w:rsid w:val="00C33737"/>
    <w:rsid w:val="00C3373A"/>
    <w:rsid w:val="00C3380A"/>
    <w:rsid w:val="00C3393A"/>
    <w:rsid w:val="00C339D7"/>
    <w:rsid w:val="00C33A05"/>
    <w:rsid w:val="00C33A65"/>
    <w:rsid w:val="00C33A96"/>
    <w:rsid w:val="00C33AB0"/>
    <w:rsid w:val="00C33AEC"/>
    <w:rsid w:val="00C33B54"/>
    <w:rsid w:val="00C33C3D"/>
    <w:rsid w:val="00C33C55"/>
    <w:rsid w:val="00C33D43"/>
    <w:rsid w:val="00C33DBE"/>
    <w:rsid w:val="00C33DDE"/>
    <w:rsid w:val="00C33E36"/>
    <w:rsid w:val="00C33E4A"/>
    <w:rsid w:val="00C33F86"/>
    <w:rsid w:val="00C33FD2"/>
    <w:rsid w:val="00C33FFC"/>
    <w:rsid w:val="00C33FFD"/>
    <w:rsid w:val="00C34109"/>
    <w:rsid w:val="00C3418F"/>
    <w:rsid w:val="00C341F7"/>
    <w:rsid w:val="00C3420A"/>
    <w:rsid w:val="00C34284"/>
    <w:rsid w:val="00C34292"/>
    <w:rsid w:val="00C34379"/>
    <w:rsid w:val="00C3446C"/>
    <w:rsid w:val="00C34484"/>
    <w:rsid w:val="00C34554"/>
    <w:rsid w:val="00C3456E"/>
    <w:rsid w:val="00C345B2"/>
    <w:rsid w:val="00C3464C"/>
    <w:rsid w:val="00C34668"/>
    <w:rsid w:val="00C3471B"/>
    <w:rsid w:val="00C3483C"/>
    <w:rsid w:val="00C3486C"/>
    <w:rsid w:val="00C34899"/>
    <w:rsid w:val="00C34934"/>
    <w:rsid w:val="00C349A8"/>
    <w:rsid w:val="00C349AC"/>
    <w:rsid w:val="00C34A8B"/>
    <w:rsid w:val="00C34AC5"/>
    <w:rsid w:val="00C34ADA"/>
    <w:rsid w:val="00C34B32"/>
    <w:rsid w:val="00C34B3F"/>
    <w:rsid w:val="00C34B82"/>
    <w:rsid w:val="00C34B90"/>
    <w:rsid w:val="00C34BBC"/>
    <w:rsid w:val="00C34BE9"/>
    <w:rsid w:val="00C34C09"/>
    <w:rsid w:val="00C34C2B"/>
    <w:rsid w:val="00C34C83"/>
    <w:rsid w:val="00C34CDA"/>
    <w:rsid w:val="00C34D1F"/>
    <w:rsid w:val="00C34DF8"/>
    <w:rsid w:val="00C34F17"/>
    <w:rsid w:val="00C34F5A"/>
    <w:rsid w:val="00C34FA0"/>
    <w:rsid w:val="00C35019"/>
    <w:rsid w:val="00C35045"/>
    <w:rsid w:val="00C35194"/>
    <w:rsid w:val="00C3529E"/>
    <w:rsid w:val="00C35318"/>
    <w:rsid w:val="00C35395"/>
    <w:rsid w:val="00C353DC"/>
    <w:rsid w:val="00C3543F"/>
    <w:rsid w:val="00C354A4"/>
    <w:rsid w:val="00C35538"/>
    <w:rsid w:val="00C35567"/>
    <w:rsid w:val="00C35599"/>
    <w:rsid w:val="00C355B1"/>
    <w:rsid w:val="00C355D9"/>
    <w:rsid w:val="00C355EE"/>
    <w:rsid w:val="00C35657"/>
    <w:rsid w:val="00C356D3"/>
    <w:rsid w:val="00C357B1"/>
    <w:rsid w:val="00C357E5"/>
    <w:rsid w:val="00C35807"/>
    <w:rsid w:val="00C35853"/>
    <w:rsid w:val="00C35889"/>
    <w:rsid w:val="00C358D3"/>
    <w:rsid w:val="00C35904"/>
    <w:rsid w:val="00C35A07"/>
    <w:rsid w:val="00C35A18"/>
    <w:rsid w:val="00C35B35"/>
    <w:rsid w:val="00C35B73"/>
    <w:rsid w:val="00C35BD4"/>
    <w:rsid w:val="00C35BD9"/>
    <w:rsid w:val="00C35BE2"/>
    <w:rsid w:val="00C35CA0"/>
    <w:rsid w:val="00C35CA7"/>
    <w:rsid w:val="00C35CCC"/>
    <w:rsid w:val="00C35CFE"/>
    <w:rsid w:val="00C35E20"/>
    <w:rsid w:val="00C35F07"/>
    <w:rsid w:val="00C35F5E"/>
    <w:rsid w:val="00C35F96"/>
    <w:rsid w:val="00C36022"/>
    <w:rsid w:val="00C360DB"/>
    <w:rsid w:val="00C36289"/>
    <w:rsid w:val="00C3629C"/>
    <w:rsid w:val="00C362AC"/>
    <w:rsid w:val="00C362EC"/>
    <w:rsid w:val="00C363E8"/>
    <w:rsid w:val="00C36406"/>
    <w:rsid w:val="00C36419"/>
    <w:rsid w:val="00C3641D"/>
    <w:rsid w:val="00C36466"/>
    <w:rsid w:val="00C36480"/>
    <w:rsid w:val="00C364F9"/>
    <w:rsid w:val="00C36576"/>
    <w:rsid w:val="00C365D8"/>
    <w:rsid w:val="00C3664E"/>
    <w:rsid w:val="00C3668D"/>
    <w:rsid w:val="00C36768"/>
    <w:rsid w:val="00C3684F"/>
    <w:rsid w:val="00C36883"/>
    <w:rsid w:val="00C369AD"/>
    <w:rsid w:val="00C369B2"/>
    <w:rsid w:val="00C369E5"/>
    <w:rsid w:val="00C36AC3"/>
    <w:rsid w:val="00C36AD6"/>
    <w:rsid w:val="00C36B3E"/>
    <w:rsid w:val="00C36BD0"/>
    <w:rsid w:val="00C36BF2"/>
    <w:rsid w:val="00C36E2B"/>
    <w:rsid w:val="00C36E6D"/>
    <w:rsid w:val="00C36E79"/>
    <w:rsid w:val="00C36F1E"/>
    <w:rsid w:val="00C36F5C"/>
    <w:rsid w:val="00C36F6E"/>
    <w:rsid w:val="00C36F95"/>
    <w:rsid w:val="00C370BA"/>
    <w:rsid w:val="00C371C0"/>
    <w:rsid w:val="00C371E1"/>
    <w:rsid w:val="00C3722A"/>
    <w:rsid w:val="00C37249"/>
    <w:rsid w:val="00C3726C"/>
    <w:rsid w:val="00C37305"/>
    <w:rsid w:val="00C37307"/>
    <w:rsid w:val="00C3732A"/>
    <w:rsid w:val="00C374A0"/>
    <w:rsid w:val="00C374F8"/>
    <w:rsid w:val="00C375D3"/>
    <w:rsid w:val="00C375E9"/>
    <w:rsid w:val="00C37765"/>
    <w:rsid w:val="00C377E7"/>
    <w:rsid w:val="00C37810"/>
    <w:rsid w:val="00C37815"/>
    <w:rsid w:val="00C3787B"/>
    <w:rsid w:val="00C3799B"/>
    <w:rsid w:val="00C37A1D"/>
    <w:rsid w:val="00C37A32"/>
    <w:rsid w:val="00C37A88"/>
    <w:rsid w:val="00C37A90"/>
    <w:rsid w:val="00C37B2C"/>
    <w:rsid w:val="00C37BED"/>
    <w:rsid w:val="00C37C1C"/>
    <w:rsid w:val="00C37C54"/>
    <w:rsid w:val="00C37D37"/>
    <w:rsid w:val="00C37D8B"/>
    <w:rsid w:val="00C37D92"/>
    <w:rsid w:val="00C37DBD"/>
    <w:rsid w:val="00C37DCB"/>
    <w:rsid w:val="00C37DFA"/>
    <w:rsid w:val="00C37E41"/>
    <w:rsid w:val="00C37E65"/>
    <w:rsid w:val="00C37E95"/>
    <w:rsid w:val="00C37EA3"/>
    <w:rsid w:val="00C37EAD"/>
    <w:rsid w:val="00C37EE0"/>
    <w:rsid w:val="00C37F74"/>
    <w:rsid w:val="00C4004A"/>
    <w:rsid w:val="00C4006B"/>
    <w:rsid w:val="00C4006E"/>
    <w:rsid w:val="00C4008D"/>
    <w:rsid w:val="00C400A0"/>
    <w:rsid w:val="00C400F6"/>
    <w:rsid w:val="00C4014E"/>
    <w:rsid w:val="00C40191"/>
    <w:rsid w:val="00C401F4"/>
    <w:rsid w:val="00C401F8"/>
    <w:rsid w:val="00C402FD"/>
    <w:rsid w:val="00C4035D"/>
    <w:rsid w:val="00C403BA"/>
    <w:rsid w:val="00C4048F"/>
    <w:rsid w:val="00C405A7"/>
    <w:rsid w:val="00C40615"/>
    <w:rsid w:val="00C40629"/>
    <w:rsid w:val="00C40643"/>
    <w:rsid w:val="00C40835"/>
    <w:rsid w:val="00C4086C"/>
    <w:rsid w:val="00C4087A"/>
    <w:rsid w:val="00C408AE"/>
    <w:rsid w:val="00C40907"/>
    <w:rsid w:val="00C40982"/>
    <w:rsid w:val="00C40996"/>
    <w:rsid w:val="00C40A0E"/>
    <w:rsid w:val="00C40A21"/>
    <w:rsid w:val="00C40A6B"/>
    <w:rsid w:val="00C40B61"/>
    <w:rsid w:val="00C40B65"/>
    <w:rsid w:val="00C40BBF"/>
    <w:rsid w:val="00C40BC2"/>
    <w:rsid w:val="00C40C52"/>
    <w:rsid w:val="00C40C63"/>
    <w:rsid w:val="00C40CA5"/>
    <w:rsid w:val="00C40D07"/>
    <w:rsid w:val="00C40E06"/>
    <w:rsid w:val="00C40E12"/>
    <w:rsid w:val="00C40EB9"/>
    <w:rsid w:val="00C40ED7"/>
    <w:rsid w:val="00C40F7C"/>
    <w:rsid w:val="00C40FAE"/>
    <w:rsid w:val="00C40FCF"/>
    <w:rsid w:val="00C40FDA"/>
    <w:rsid w:val="00C40FDB"/>
    <w:rsid w:val="00C40FEE"/>
    <w:rsid w:val="00C4101C"/>
    <w:rsid w:val="00C4106D"/>
    <w:rsid w:val="00C410E6"/>
    <w:rsid w:val="00C41247"/>
    <w:rsid w:val="00C412C6"/>
    <w:rsid w:val="00C41304"/>
    <w:rsid w:val="00C41314"/>
    <w:rsid w:val="00C4136E"/>
    <w:rsid w:val="00C413BC"/>
    <w:rsid w:val="00C413C2"/>
    <w:rsid w:val="00C413F6"/>
    <w:rsid w:val="00C4140D"/>
    <w:rsid w:val="00C414D8"/>
    <w:rsid w:val="00C414EF"/>
    <w:rsid w:val="00C415B8"/>
    <w:rsid w:val="00C41665"/>
    <w:rsid w:val="00C4181E"/>
    <w:rsid w:val="00C4194F"/>
    <w:rsid w:val="00C419EA"/>
    <w:rsid w:val="00C41AA9"/>
    <w:rsid w:val="00C41B61"/>
    <w:rsid w:val="00C41DBD"/>
    <w:rsid w:val="00C41E96"/>
    <w:rsid w:val="00C41F22"/>
    <w:rsid w:val="00C41F4B"/>
    <w:rsid w:val="00C41F7D"/>
    <w:rsid w:val="00C41FB7"/>
    <w:rsid w:val="00C422DE"/>
    <w:rsid w:val="00C422FD"/>
    <w:rsid w:val="00C42322"/>
    <w:rsid w:val="00C424C3"/>
    <w:rsid w:val="00C42538"/>
    <w:rsid w:val="00C4256F"/>
    <w:rsid w:val="00C42616"/>
    <w:rsid w:val="00C42623"/>
    <w:rsid w:val="00C4263C"/>
    <w:rsid w:val="00C42694"/>
    <w:rsid w:val="00C4269E"/>
    <w:rsid w:val="00C426CA"/>
    <w:rsid w:val="00C427B1"/>
    <w:rsid w:val="00C427E7"/>
    <w:rsid w:val="00C42847"/>
    <w:rsid w:val="00C428EA"/>
    <w:rsid w:val="00C42999"/>
    <w:rsid w:val="00C42AA9"/>
    <w:rsid w:val="00C42AEC"/>
    <w:rsid w:val="00C42B52"/>
    <w:rsid w:val="00C42B57"/>
    <w:rsid w:val="00C42BA5"/>
    <w:rsid w:val="00C42C35"/>
    <w:rsid w:val="00C42C62"/>
    <w:rsid w:val="00C42C83"/>
    <w:rsid w:val="00C42D77"/>
    <w:rsid w:val="00C42DCC"/>
    <w:rsid w:val="00C42E3D"/>
    <w:rsid w:val="00C42E41"/>
    <w:rsid w:val="00C42EDA"/>
    <w:rsid w:val="00C42FF2"/>
    <w:rsid w:val="00C43088"/>
    <w:rsid w:val="00C4309C"/>
    <w:rsid w:val="00C430DB"/>
    <w:rsid w:val="00C430ED"/>
    <w:rsid w:val="00C4312C"/>
    <w:rsid w:val="00C431B4"/>
    <w:rsid w:val="00C4328F"/>
    <w:rsid w:val="00C43329"/>
    <w:rsid w:val="00C433C3"/>
    <w:rsid w:val="00C435DE"/>
    <w:rsid w:val="00C43610"/>
    <w:rsid w:val="00C43726"/>
    <w:rsid w:val="00C43756"/>
    <w:rsid w:val="00C437CD"/>
    <w:rsid w:val="00C437FB"/>
    <w:rsid w:val="00C43834"/>
    <w:rsid w:val="00C438A2"/>
    <w:rsid w:val="00C43909"/>
    <w:rsid w:val="00C43979"/>
    <w:rsid w:val="00C439AA"/>
    <w:rsid w:val="00C439FB"/>
    <w:rsid w:val="00C43A09"/>
    <w:rsid w:val="00C43A10"/>
    <w:rsid w:val="00C43AB8"/>
    <w:rsid w:val="00C43AF1"/>
    <w:rsid w:val="00C43B97"/>
    <w:rsid w:val="00C43BE0"/>
    <w:rsid w:val="00C43DA9"/>
    <w:rsid w:val="00C43DAE"/>
    <w:rsid w:val="00C44084"/>
    <w:rsid w:val="00C440A6"/>
    <w:rsid w:val="00C44108"/>
    <w:rsid w:val="00C4413E"/>
    <w:rsid w:val="00C44223"/>
    <w:rsid w:val="00C442A4"/>
    <w:rsid w:val="00C444C9"/>
    <w:rsid w:val="00C444E9"/>
    <w:rsid w:val="00C445FE"/>
    <w:rsid w:val="00C44655"/>
    <w:rsid w:val="00C4476E"/>
    <w:rsid w:val="00C447BE"/>
    <w:rsid w:val="00C448AC"/>
    <w:rsid w:val="00C44913"/>
    <w:rsid w:val="00C4492D"/>
    <w:rsid w:val="00C4495B"/>
    <w:rsid w:val="00C449A8"/>
    <w:rsid w:val="00C44A56"/>
    <w:rsid w:val="00C44AB8"/>
    <w:rsid w:val="00C44B68"/>
    <w:rsid w:val="00C44D48"/>
    <w:rsid w:val="00C44D84"/>
    <w:rsid w:val="00C44DEE"/>
    <w:rsid w:val="00C44E93"/>
    <w:rsid w:val="00C44F1B"/>
    <w:rsid w:val="00C44F94"/>
    <w:rsid w:val="00C44FA6"/>
    <w:rsid w:val="00C45066"/>
    <w:rsid w:val="00C45097"/>
    <w:rsid w:val="00C45123"/>
    <w:rsid w:val="00C4512F"/>
    <w:rsid w:val="00C4517B"/>
    <w:rsid w:val="00C451F2"/>
    <w:rsid w:val="00C45215"/>
    <w:rsid w:val="00C45243"/>
    <w:rsid w:val="00C45250"/>
    <w:rsid w:val="00C453B0"/>
    <w:rsid w:val="00C453C3"/>
    <w:rsid w:val="00C453EA"/>
    <w:rsid w:val="00C45459"/>
    <w:rsid w:val="00C45534"/>
    <w:rsid w:val="00C455B4"/>
    <w:rsid w:val="00C455DC"/>
    <w:rsid w:val="00C455F3"/>
    <w:rsid w:val="00C4569C"/>
    <w:rsid w:val="00C45743"/>
    <w:rsid w:val="00C4579F"/>
    <w:rsid w:val="00C45870"/>
    <w:rsid w:val="00C458DF"/>
    <w:rsid w:val="00C458E0"/>
    <w:rsid w:val="00C459D5"/>
    <w:rsid w:val="00C45A55"/>
    <w:rsid w:val="00C45B9A"/>
    <w:rsid w:val="00C45C3B"/>
    <w:rsid w:val="00C45C57"/>
    <w:rsid w:val="00C45D1D"/>
    <w:rsid w:val="00C45D83"/>
    <w:rsid w:val="00C45D87"/>
    <w:rsid w:val="00C45E04"/>
    <w:rsid w:val="00C45E41"/>
    <w:rsid w:val="00C45E5B"/>
    <w:rsid w:val="00C45F33"/>
    <w:rsid w:val="00C46086"/>
    <w:rsid w:val="00C460B1"/>
    <w:rsid w:val="00C460B7"/>
    <w:rsid w:val="00C4615D"/>
    <w:rsid w:val="00C4617B"/>
    <w:rsid w:val="00C46186"/>
    <w:rsid w:val="00C461C9"/>
    <w:rsid w:val="00C46242"/>
    <w:rsid w:val="00C4624B"/>
    <w:rsid w:val="00C46276"/>
    <w:rsid w:val="00C462CC"/>
    <w:rsid w:val="00C4630B"/>
    <w:rsid w:val="00C463B4"/>
    <w:rsid w:val="00C463F5"/>
    <w:rsid w:val="00C464B7"/>
    <w:rsid w:val="00C465BE"/>
    <w:rsid w:val="00C46630"/>
    <w:rsid w:val="00C46663"/>
    <w:rsid w:val="00C4680C"/>
    <w:rsid w:val="00C4685E"/>
    <w:rsid w:val="00C4689B"/>
    <w:rsid w:val="00C468C9"/>
    <w:rsid w:val="00C46969"/>
    <w:rsid w:val="00C46993"/>
    <w:rsid w:val="00C469A1"/>
    <w:rsid w:val="00C469AD"/>
    <w:rsid w:val="00C46B46"/>
    <w:rsid w:val="00C46B4E"/>
    <w:rsid w:val="00C46B58"/>
    <w:rsid w:val="00C46B62"/>
    <w:rsid w:val="00C46C04"/>
    <w:rsid w:val="00C46C15"/>
    <w:rsid w:val="00C46C18"/>
    <w:rsid w:val="00C46C6F"/>
    <w:rsid w:val="00C46CD7"/>
    <w:rsid w:val="00C46CF5"/>
    <w:rsid w:val="00C46CFC"/>
    <w:rsid w:val="00C46DFD"/>
    <w:rsid w:val="00C46E35"/>
    <w:rsid w:val="00C46E41"/>
    <w:rsid w:val="00C46EC4"/>
    <w:rsid w:val="00C46FEF"/>
    <w:rsid w:val="00C47036"/>
    <w:rsid w:val="00C47058"/>
    <w:rsid w:val="00C4709E"/>
    <w:rsid w:val="00C470CA"/>
    <w:rsid w:val="00C47125"/>
    <w:rsid w:val="00C47207"/>
    <w:rsid w:val="00C47238"/>
    <w:rsid w:val="00C472EF"/>
    <w:rsid w:val="00C473A5"/>
    <w:rsid w:val="00C473FD"/>
    <w:rsid w:val="00C474A4"/>
    <w:rsid w:val="00C475C6"/>
    <w:rsid w:val="00C475E0"/>
    <w:rsid w:val="00C475E1"/>
    <w:rsid w:val="00C4760B"/>
    <w:rsid w:val="00C476B4"/>
    <w:rsid w:val="00C476FF"/>
    <w:rsid w:val="00C47709"/>
    <w:rsid w:val="00C47715"/>
    <w:rsid w:val="00C477E4"/>
    <w:rsid w:val="00C4781B"/>
    <w:rsid w:val="00C478B1"/>
    <w:rsid w:val="00C47956"/>
    <w:rsid w:val="00C479D2"/>
    <w:rsid w:val="00C47AC3"/>
    <w:rsid w:val="00C47B3F"/>
    <w:rsid w:val="00C47B6E"/>
    <w:rsid w:val="00C47C71"/>
    <w:rsid w:val="00C47CD7"/>
    <w:rsid w:val="00C47D20"/>
    <w:rsid w:val="00C47D56"/>
    <w:rsid w:val="00C47ED6"/>
    <w:rsid w:val="00C47F94"/>
    <w:rsid w:val="00C47FB3"/>
    <w:rsid w:val="00C47FDC"/>
    <w:rsid w:val="00C50003"/>
    <w:rsid w:val="00C50033"/>
    <w:rsid w:val="00C5006B"/>
    <w:rsid w:val="00C5009D"/>
    <w:rsid w:val="00C500A3"/>
    <w:rsid w:val="00C5018B"/>
    <w:rsid w:val="00C501DC"/>
    <w:rsid w:val="00C5026D"/>
    <w:rsid w:val="00C5030A"/>
    <w:rsid w:val="00C50333"/>
    <w:rsid w:val="00C50351"/>
    <w:rsid w:val="00C5039A"/>
    <w:rsid w:val="00C503B3"/>
    <w:rsid w:val="00C503E7"/>
    <w:rsid w:val="00C50405"/>
    <w:rsid w:val="00C504FF"/>
    <w:rsid w:val="00C50753"/>
    <w:rsid w:val="00C5079A"/>
    <w:rsid w:val="00C50840"/>
    <w:rsid w:val="00C50856"/>
    <w:rsid w:val="00C50917"/>
    <w:rsid w:val="00C5098C"/>
    <w:rsid w:val="00C50A7C"/>
    <w:rsid w:val="00C50B87"/>
    <w:rsid w:val="00C50B95"/>
    <w:rsid w:val="00C50BBB"/>
    <w:rsid w:val="00C50C15"/>
    <w:rsid w:val="00C50C61"/>
    <w:rsid w:val="00C50CF9"/>
    <w:rsid w:val="00C50DE9"/>
    <w:rsid w:val="00C50E4A"/>
    <w:rsid w:val="00C50E70"/>
    <w:rsid w:val="00C50EBE"/>
    <w:rsid w:val="00C50F19"/>
    <w:rsid w:val="00C50F5A"/>
    <w:rsid w:val="00C51018"/>
    <w:rsid w:val="00C51098"/>
    <w:rsid w:val="00C5117A"/>
    <w:rsid w:val="00C511B2"/>
    <w:rsid w:val="00C511BB"/>
    <w:rsid w:val="00C511C1"/>
    <w:rsid w:val="00C51288"/>
    <w:rsid w:val="00C512BD"/>
    <w:rsid w:val="00C512CE"/>
    <w:rsid w:val="00C5130F"/>
    <w:rsid w:val="00C5137A"/>
    <w:rsid w:val="00C513CB"/>
    <w:rsid w:val="00C514B7"/>
    <w:rsid w:val="00C514B8"/>
    <w:rsid w:val="00C51508"/>
    <w:rsid w:val="00C51524"/>
    <w:rsid w:val="00C51556"/>
    <w:rsid w:val="00C5155A"/>
    <w:rsid w:val="00C5157C"/>
    <w:rsid w:val="00C5158C"/>
    <w:rsid w:val="00C515E9"/>
    <w:rsid w:val="00C515EE"/>
    <w:rsid w:val="00C51640"/>
    <w:rsid w:val="00C516D2"/>
    <w:rsid w:val="00C51754"/>
    <w:rsid w:val="00C517E3"/>
    <w:rsid w:val="00C5184B"/>
    <w:rsid w:val="00C51889"/>
    <w:rsid w:val="00C518CE"/>
    <w:rsid w:val="00C518D7"/>
    <w:rsid w:val="00C518E8"/>
    <w:rsid w:val="00C51999"/>
    <w:rsid w:val="00C51A91"/>
    <w:rsid w:val="00C51A93"/>
    <w:rsid w:val="00C51BBC"/>
    <w:rsid w:val="00C51C80"/>
    <w:rsid w:val="00C51C84"/>
    <w:rsid w:val="00C51CE8"/>
    <w:rsid w:val="00C51D76"/>
    <w:rsid w:val="00C51D8C"/>
    <w:rsid w:val="00C51E24"/>
    <w:rsid w:val="00C51EF0"/>
    <w:rsid w:val="00C51F90"/>
    <w:rsid w:val="00C5208D"/>
    <w:rsid w:val="00C520D7"/>
    <w:rsid w:val="00C520FF"/>
    <w:rsid w:val="00C52114"/>
    <w:rsid w:val="00C5213F"/>
    <w:rsid w:val="00C5238E"/>
    <w:rsid w:val="00C5240D"/>
    <w:rsid w:val="00C52435"/>
    <w:rsid w:val="00C524AC"/>
    <w:rsid w:val="00C524F4"/>
    <w:rsid w:val="00C5255F"/>
    <w:rsid w:val="00C525C7"/>
    <w:rsid w:val="00C525E2"/>
    <w:rsid w:val="00C5264D"/>
    <w:rsid w:val="00C5266C"/>
    <w:rsid w:val="00C526E6"/>
    <w:rsid w:val="00C52718"/>
    <w:rsid w:val="00C5273A"/>
    <w:rsid w:val="00C52746"/>
    <w:rsid w:val="00C5282F"/>
    <w:rsid w:val="00C5284F"/>
    <w:rsid w:val="00C5286A"/>
    <w:rsid w:val="00C528AD"/>
    <w:rsid w:val="00C528D4"/>
    <w:rsid w:val="00C52973"/>
    <w:rsid w:val="00C5299A"/>
    <w:rsid w:val="00C52A01"/>
    <w:rsid w:val="00C52BB6"/>
    <w:rsid w:val="00C52C6B"/>
    <w:rsid w:val="00C52C71"/>
    <w:rsid w:val="00C52D95"/>
    <w:rsid w:val="00C52DBE"/>
    <w:rsid w:val="00C52DD2"/>
    <w:rsid w:val="00C52E5A"/>
    <w:rsid w:val="00C52E75"/>
    <w:rsid w:val="00C52E7E"/>
    <w:rsid w:val="00C52F1B"/>
    <w:rsid w:val="00C52FBC"/>
    <w:rsid w:val="00C52FEB"/>
    <w:rsid w:val="00C5302C"/>
    <w:rsid w:val="00C530C1"/>
    <w:rsid w:val="00C53144"/>
    <w:rsid w:val="00C531D8"/>
    <w:rsid w:val="00C53244"/>
    <w:rsid w:val="00C5326C"/>
    <w:rsid w:val="00C53354"/>
    <w:rsid w:val="00C53397"/>
    <w:rsid w:val="00C5339C"/>
    <w:rsid w:val="00C5359C"/>
    <w:rsid w:val="00C53665"/>
    <w:rsid w:val="00C536EA"/>
    <w:rsid w:val="00C5370D"/>
    <w:rsid w:val="00C53796"/>
    <w:rsid w:val="00C5379C"/>
    <w:rsid w:val="00C53858"/>
    <w:rsid w:val="00C53865"/>
    <w:rsid w:val="00C53868"/>
    <w:rsid w:val="00C53907"/>
    <w:rsid w:val="00C5390B"/>
    <w:rsid w:val="00C53925"/>
    <w:rsid w:val="00C539A0"/>
    <w:rsid w:val="00C539C3"/>
    <w:rsid w:val="00C539CB"/>
    <w:rsid w:val="00C53A31"/>
    <w:rsid w:val="00C53A4A"/>
    <w:rsid w:val="00C53A58"/>
    <w:rsid w:val="00C53AD0"/>
    <w:rsid w:val="00C53AD6"/>
    <w:rsid w:val="00C53B15"/>
    <w:rsid w:val="00C53BC1"/>
    <w:rsid w:val="00C53CD2"/>
    <w:rsid w:val="00C53D4A"/>
    <w:rsid w:val="00C53E9B"/>
    <w:rsid w:val="00C53EF8"/>
    <w:rsid w:val="00C53F0A"/>
    <w:rsid w:val="00C53F10"/>
    <w:rsid w:val="00C53F11"/>
    <w:rsid w:val="00C53F54"/>
    <w:rsid w:val="00C53FB8"/>
    <w:rsid w:val="00C54083"/>
    <w:rsid w:val="00C5411D"/>
    <w:rsid w:val="00C5415C"/>
    <w:rsid w:val="00C541D5"/>
    <w:rsid w:val="00C54258"/>
    <w:rsid w:val="00C5425A"/>
    <w:rsid w:val="00C542DE"/>
    <w:rsid w:val="00C542E9"/>
    <w:rsid w:val="00C5434D"/>
    <w:rsid w:val="00C543FA"/>
    <w:rsid w:val="00C5443F"/>
    <w:rsid w:val="00C5457F"/>
    <w:rsid w:val="00C5466E"/>
    <w:rsid w:val="00C54767"/>
    <w:rsid w:val="00C54782"/>
    <w:rsid w:val="00C54812"/>
    <w:rsid w:val="00C5491D"/>
    <w:rsid w:val="00C549B7"/>
    <w:rsid w:val="00C54A9C"/>
    <w:rsid w:val="00C54AD0"/>
    <w:rsid w:val="00C54AD6"/>
    <w:rsid w:val="00C54AF7"/>
    <w:rsid w:val="00C54B12"/>
    <w:rsid w:val="00C54BA0"/>
    <w:rsid w:val="00C54BCE"/>
    <w:rsid w:val="00C54DF3"/>
    <w:rsid w:val="00C54E10"/>
    <w:rsid w:val="00C54E60"/>
    <w:rsid w:val="00C54E80"/>
    <w:rsid w:val="00C54E81"/>
    <w:rsid w:val="00C54EA6"/>
    <w:rsid w:val="00C54F68"/>
    <w:rsid w:val="00C55006"/>
    <w:rsid w:val="00C55080"/>
    <w:rsid w:val="00C550C8"/>
    <w:rsid w:val="00C550DC"/>
    <w:rsid w:val="00C55143"/>
    <w:rsid w:val="00C55166"/>
    <w:rsid w:val="00C551AD"/>
    <w:rsid w:val="00C55274"/>
    <w:rsid w:val="00C553C7"/>
    <w:rsid w:val="00C553D2"/>
    <w:rsid w:val="00C553D9"/>
    <w:rsid w:val="00C553FC"/>
    <w:rsid w:val="00C5540A"/>
    <w:rsid w:val="00C5545A"/>
    <w:rsid w:val="00C55496"/>
    <w:rsid w:val="00C5551E"/>
    <w:rsid w:val="00C5556E"/>
    <w:rsid w:val="00C555E4"/>
    <w:rsid w:val="00C556ED"/>
    <w:rsid w:val="00C5575F"/>
    <w:rsid w:val="00C557CC"/>
    <w:rsid w:val="00C55848"/>
    <w:rsid w:val="00C55864"/>
    <w:rsid w:val="00C55866"/>
    <w:rsid w:val="00C558B5"/>
    <w:rsid w:val="00C558F1"/>
    <w:rsid w:val="00C5599C"/>
    <w:rsid w:val="00C559BE"/>
    <w:rsid w:val="00C55A41"/>
    <w:rsid w:val="00C55AAD"/>
    <w:rsid w:val="00C55B87"/>
    <w:rsid w:val="00C55BE2"/>
    <w:rsid w:val="00C55C18"/>
    <w:rsid w:val="00C55C56"/>
    <w:rsid w:val="00C55CBE"/>
    <w:rsid w:val="00C55CDA"/>
    <w:rsid w:val="00C55CF2"/>
    <w:rsid w:val="00C55E2B"/>
    <w:rsid w:val="00C55E74"/>
    <w:rsid w:val="00C55EDC"/>
    <w:rsid w:val="00C55F1D"/>
    <w:rsid w:val="00C55F27"/>
    <w:rsid w:val="00C55FC7"/>
    <w:rsid w:val="00C55FF0"/>
    <w:rsid w:val="00C560C0"/>
    <w:rsid w:val="00C560FF"/>
    <w:rsid w:val="00C56133"/>
    <w:rsid w:val="00C561AA"/>
    <w:rsid w:val="00C561EC"/>
    <w:rsid w:val="00C5624C"/>
    <w:rsid w:val="00C56265"/>
    <w:rsid w:val="00C5628D"/>
    <w:rsid w:val="00C562A4"/>
    <w:rsid w:val="00C562C9"/>
    <w:rsid w:val="00C56305"/>
    <w:rsid w:val="00C56316"/>
    <w:rsid w:val="00C5635B"/>
    <w:rsid w:val="00C563AE"/>
    <w:rsid w:val="00C563CC"/>
    <w:rsid w:val="00C56484"/>
    <w:rsid w:val="00C56485"/>
    <w:rsid w:val="00C564AC"/>
    <w:rsid w:val="00C56550"/>
    <w:rsid w:val="00C565A3"/>
    <w:rsid w:val="00C5660C"/>
    <w:rsid w:val="00C56632"/>
    <w:rsid w:val="00C566E4"/>
    <w:rsid w:val="00C566FB"/>
    <w:rsid w:val="00C567B7"/>
    <w:rsid w:val="00C567E6"/>
    <w:rsid w:val="00C567EA"/>
    <w:rsid w:val="00C567F4"/>
    <w:rsid w:val="00C5685F"/>
    <w:rsid w:val="00C5686D"/>
    <w:rsid w:val="00C5689D"/>
    <w:rsid w:val="00C56904"/>
    <w:rsid w:val="00C56971"/>
    <w:rsid w:val="00C5698F"/>
    <w:rsid w:val="00C569BB"/>
    <w:rsid w:val="00C56AFB"/>
    <w:rsid w:val="00C56B17"/>
    <w:rsid w:val="00C56B42"/>
    <w:rsid w:val="00C56B63"/>
    <w:rsid w:val="00C56BC7"/>
    <w:rsid w:val="00C56C9A"/>
    <w:rsid w:val="00C56E05"/>
    <w:rsid w:val="00C56E64"/>
    <w:rsid w:val="00C56E8F"/>
    <w:rsid w:val="00C56ED2"/>
    <w:rsid w:val="00C56F1B"/>
    <w:rsid w:val="00C56FCF"/>
    <w:rsid w:val="00C56FFA"/>
    <w:rsid w:val="00C57036"/>
    <w:rsid w:val="00C57081"/>
    <w:rsid w:val="00C5726C"/>
    <w:rsid w:val="00C5729C"/>
    <w:rsid w:val="00C572B9"/>
    <w:rsid w:val="00C572F3"/>
    <w:rsid w:val="00C5732B"/>
    <w:rsid w:val="00C5743D"/>
    <w:rsid w:val="00C57443"/>
    <w:rsid w:val="00C57457"/>
    <w:rsid w:val="00C57473"/>
    <w:rsid w:val="00C5749D"/>
    <w:rsid w:val="00C574FF"/>
    <w:rsid w:val="00C57560"/>
    <w:rsid w:val="00C575C5"/>
    <w:rsid w:val="00C5768C"/>
    <w:rsid w:val="00C576F4"/>
    <w:rsid w:val="00C577A2"/>
    <w:rsid w:val="00C577E1"/>
    <w:rsid w:val="00C578FC"/>
    <w:rsid w:val="00C57919"/>
    <w:rsid w:val="00C57978"/>
    <w:rsid w:val="00C579D5"/>
    <w:rsid w:val="00C57A38"/>
    <w:rsid w:val="00C57A52"/>
    <w:rsid w:val="00C57AC8"/>
    <w:rsid w:val="00C57ADF"/>
    <w:rsid w:val="00C57B3D"/>
    <w:rsid w:val="00C57B4D"/>
    <w:rsid w:val="00C57BEF"/>
    <w:rsid w:val="00C57C0F"/>
    <w:rsid w:val="00C57C4D"/>
    <w:rsid w:val="00C57C90"/>
    <w:rsid w:val="00C57D46"/>
    <w:rsid w:val="00C57E40"/>
    <w:rsid w:val="00C57EB3"/>
    <w:rsid w:val="00C57F0F"/>
    <w:rsid w:val="00C57F1B"/>
    <w:rsid w:val="00C57FD3"/>
    <w:rsid w:val="00C5B77E"/>
    <w:rsid w:val="00C6000F"/>
    <w:rsid w:val="00C601A0"/>
    <w:rsid w:val="00C601CD"/>
    <w:rsid w:val="00C601D8"/>
    <w:rsid w:val="00C601E7"/>
    <w:rsid w:val="00C6020C"/>
    <w:rsid w:val="00C6028A"/>
    <w:rsid w:val="00C60299"/>
    <w:rsid w:val="00C602A4"/>
    <w:rsid w:val="00C60311"/>
    <w:rsid w:val="00C603CE"/>
    <w:rsid w:val="00C60435"/>
    <w:rsid w:val="00C604A9"/>
    <w:rsid w:val="00C604CD"/>
    <w:rsid w:val="00C60525"/>
    <w:rsid w:val="00C60570"/>
    <w:rsid w:val="00C60577"/>
    <w:rsid w:val="00C6060D"/>
    <w:rsid w:val="00C6067B"/>
    <w:rsid w:val="00C6068B"/>
    <w:rsid w:val="00C60742"/>
    <w:rsid w:val="00C60766"/>
    <w:rsid w:val="00C607B3"/>
    <w:rsid w:val="00C607BF"/>
    <w:rsid w:val="00C608A8"/>
    <w:rsid w:val="00C609A5"/>
    <w:rsid w:val="00C60A34"/>
    <w:rsid w:val="00C60A64"/>
    <w:rsid w:val="00C60A71"/>
    <w:rsid w:val="00C60B2D"/>
    <w:rsid w:val="00C60B56"/>
    <w:rsid w:val="00C60B66"/>
    <w:rsid w:val="00C60B9F"/>
    <w:rsid w:val="00C60D14"/>
    <w:rsid w:val="00C60DC1"/>
    <w:rsid w:val="00C60DF0"/>
    <w:rsid w:val="00C60E3C"/>
    <w:rsid w:val="00C60E42"/>
    <w:rsid w:val="00C60EC8"/>
    <w:rsid w:val="00C60FCD"/>
    <w:rsid w:val="00C60FE0"/>
    <w:rsid w:val="00C61002"/>
    <w:rsid w:val="00C61093"/>
    <w:rsid w:val="00C610E2"/>
    <w:rsid w:val="00C61161"/>
    <w:rsid w:val="00C61209"/>
    <w:rsid w:val="00C6120D"/>
    <w:rsid w:val="00C6128F"/>
    <w:rsid w:val="00C612A5"/>
    <w:rsid w:val="00C6132A"/>
    <w:rsid w:val="00C613AA"/>
    <w:rsid w:val="00C61401"/>
    <w:rsid w:val="00C61455"/>
    <w:rsid w:val="00C6153C"/>
    <w:rsid w:val="00C6159B"/>
    <w:rsid w:val="00C615AC"/>
    <w:rsid w:val="00C61643"/>
    <w:rsid w:val="00C61708"/>
    <w:rsid w:val="00C61721"/>
    <w:rsid w:val="00C61761"/>
    <w:rsid w:val="00C61768"/>
    <w:rsid w:val="00C61770"/>
    <w:rsid w:val="00C61782"/>
    <w:rsid w:val="00C617B5"/>
    <w:rsid w:val="00C617B8"/>
    <w:rsid w:val="00C617E6"/>
    <w:rsid w:val="00C61907"/>
    <w:rsid w:val="00C61A14"/>
    <w:rsid w:val="00C61B8B"/>
    <w:rsid w:val="00C61BA0"/>
    <w:rsid w:val="00C61BD7"/>
    <w:rsid w:val="00C61BE3"/>
    <w:rsid w:val="00C61D17"/>
    <w:rsid w:val="00C61F0D"/>
    <w:rsid w:val="00C61F59"/>
    <w:rsid w:val="00C6202C"/>
    <w:rsid w:val="00C620E8"/>
    <w:rsid w:val="00C6222F"/>
    <w:rsid w:val="00C62251"/>
    <w:rsid w:val="00C62294"/>
    <w:rsid w:val="00C62408"/>
    <w:rsid w:val="00C6240E"/>
    <w:rsid w:val="00C6245A"/>
    <w:rsid w:val="00C6246D"/>
    <w:rsid w:val="00C62533"/>
    <w:rsid w:val="00C625C4"/>
    <w:rsid w:val="00C625E7"/>
    <w:rsid w:val="00C6263F"/>
    <w:rsid w:val="00C626F5"/>
    <w:rsid w:val="00C6271F"/>
    <w:rsid w:val="00C62758"/>
    <w:rsid w:val="00C62766"/>
    <w:rsid w:val="00C6279C"/>
    <w:rsid w:val="00C627B0"/>
    <w:rsid w:val="00C627C5"/>
    <w:rsid w:val="00C627D0"/>
    <w:rsid w:val="00C62851"/>
    <w:rsid w:val="00C6297C"/>
    <w:rsid w:val="00C629BE"/>
    <w:rsid w:val="00C629CC"/>
    <w:rsid w:val="00C62A04"/>
    <w:rsid w:val="00C62AA7"/>
    <w:rsid w:val="00C62ACC"/>
    <w:rsid w:val="00C62AE0"/>
    <w:rsid w:val="00C62BDD"/>
    <w:rsid w:val="00C62C27"/>
    <w:rsid w:val="00C62C68"/>
    <w:rsid w:val="00C62C8F"/>
    <w:rsid w:val="00C62D56"/>
    <w:rsid w:val="00C62DBF"/>
    <w:rsid w:val="00C62E69"/>
    <w:rsid w:val="00C62E97"/>
    <w:rsid w:val="00C62EDD"/>
    <w:rsid w:val="00C62F24"/>
    <w:rsid w:val="00C62FA2"/>
    <w:rsid w:val="00C62FA8"/>
    <w:rsid w:val="00C63075"/>
    <w:rsid w:val="00C63139"/>
    <w:rsid w:val="00C63151"/>
    <w:rsid w:val="00C63162"/>
    <w:rsid w:val="00C631DB"/>
    <w:rsid w:val="00C63221"/>
    <w:rsid w:val="00C63286"/>
    <w:rsid w:val="00C632AF"/>
    <w:rsid w:val="00C632DE"/>
    <w:rsid w:val="00C632F1"/>
    <w:rsid w:val="00C6333E"/>
    <w:rsid w:val="00C63478"/>
    <w:rsid w:val="00C6365C"/>
    <w:rsid w:val="00C63678"/>
    <w:rsid w:val="00C63706"/>
    <w:rsid w:val="00C63714"/>
    <w:rsid w:val="00C6373C"/>
    <w:rsid w:val="00C63773"/>
    <w:rsid w:val="00C6378A"/>
    <w:rsid w:val="00C637AA"/>
    <w:rsid w:val="00C6388C"/>
    <w:rsid w:val="00C63911"/>
    <w:rsid w:val="00C63939"/>
    <w:rsid w:val="00C639A1"/>
    <w:rsid w:val="00C639BA"/>
    <w:rsid w:val="00C63A6A"/>
    <w:rsid w:val="00C63A7F"/>
    <w:rsid w:val="00C63AC2"/>
    <w:rsid w:val="00C63B2A"/>
    <w:rsid w:val="00C63C46"/>
    <w:rsid w:val="00C63C76"/>
    <w:rsid w:val="00C63C79"/>
    <w:rsid w:val="00C63D00"/>
    <w:rsid w:val="00C63D8B"/>
    <w:rsid w:val="00C63DD7"/>
    <w:rsid w:val="00C63E16"/>
    <w:rsid w:val="00C63F24"/>
    <w:rsid w:val="00C63FCE"/>
    <w:rsid w:val="00C64082"/>
    <w:rsid w:val="00C640CE"/>
    <w:rsid w:val="00C6410A"/>
    <w:rsid w:val="00C64139"/>
    <w:rsid w:val="00C64200"/>
    <w:rsid w:val="00C643C7"/>
    <w:rsid w:val="00C64443"/>
    <w:rsid w:val="00C644A3"/>
    <w:rsid w:val="00C644B5"/>
    <w:rsid w:val="00C6451D"/>
    <w:rsid w:val="00C6452A"/>
    <w:rsid w:val="00C64564"/>
    <w:rsid w:val="00C645F6"/>
    <w:rsid w:val="00C64621"/>
    <w:rsid w:val="00C64730"/>
    <w:rsid w:val="00C647B0"/>
    <w:rsid w:val="00C64819"/>
    <w:rsid w:val="00C64833"/>
    <w:rsid w:val="00C649B1"/>
    <w:rsid w:val="00C64A5C"/>
    <w:rsid w:val="00C64AA6"/>
    <w:rsid w:val="00C64B83"/>
    <w:rsid w:val="00C64BB0"/>
    <w:rsid w:val="00C64BD6"/>
    <w:rsid w:val="00C64C14"/>
    <w:rsid w:val="00C64CD0"/>
    <w:rsid w:val="00C64D67"/>
    <w:rsid w:val="00C64D80"/>
    <w:rsid w:val="00C64D84"/>
    <w:rsid w:val="00C64E1A"/>
    <w:rsid w:val="00C64E59"/>
    <w:rsid w:val="00C64E83"/>
    <w:rsid w:val="00C64ED0"/>
    <w:rsid w:val="00C64ED3"/>
    <w:rsid w:val="00C64EF4"/>
    <w:rsid w:val="00C64F0A"/>
    <w:rsid w:val="00C64F4B"/>
    <w:rsid w:val="00C64F6D"/>
    <w:rsid w:val="00C64F91"/>
    <w:rsid w:val="00C64FC3"/>
    <w:rsid w:val="00C6505F"/>
    <w:rsid w:val="00C65146"/>
    <w:rsid w:val="00C651AC"/>
    <w:rsid w:val="00C6526B"/>
    <w:rsid w:val="00C65304"/>
    <w:rsid w:val="00C65314"/>
    <w:rsid w:val="00C65331"/>
    <w:rsid w:val="00C65393"/>
    <w:rsid w:val="00C653AF"/>
    <w:rsid w:val="00C65431"/>
    <w:rsid w:val="00C654A5"/>
    <w:rsid w:val="00C6558C"/>
    <w:rsid w:val="00C655F1"/>
    <w:rsid w:val="00C65608"/>
    <w:rsid w:val="00C656C5"/>
    <w:rsid w:val="00C65762"/>
    <w:rsid w:val="00C6581B"/>
    <w:rsid w:val="00C6585E"/>
    <w:rsid w:val="00C65864"/>
    <w:rsid w:val="00C658D2"/>
    <w:rsid w:val="00C6593B"/>
    <w:rsid w:val="00C65A58"/>
    <w:rsid w:val="00C65A67"/>
    <w:rsid w:val="00C65A74"/>
    <w:rsid w:val="00C65B38"/>
    <w:rsid w:val="00C65B40"/>
    <w:rsid w:val="00C65BDA"/>
    <w:rsid w:val="00C65BDE"/>
    <w:rsid w:val="00C65C37"/>
    <w:rsid w:val="00C65C75"/>
    <w:rsid w:val="00C65CBB"/>
    <w:rsid w:val="00C65CDD"/>
    <w:rsid w:val="00C65D67"/>
    <w:rsid w:val="00C65DF5"/>
    <w:rsid w:val="00C65E19"/>
    <w:rsid w:val="00C65EAF"/>
    <w:rsid w:val="00C65F0F"/>
    <w:rsid w:val="00C65F13"/>
    <w:rsid w:val="00C65F5E"/>
    <w:rsid w:val="00C65F61"/>
    <w:rsid w:val="00C65F6C"/>
    <w:rsid w:val="00C65FEA"/>
    <w:rsid w:val="00C65FF6"/>
    <w:rsid w:val="00C66017"/>
    <w:rsid w:val="00C660CC"/>
    <w:rsid w:val="00C66141"/>
    <w:rsid w:val="00C6618F"/>
    <w:rsid w:val="00C66271"/>
    <w:rsid w:val="00C6628C"/>
    <w:rsid w:val="00C66326"/>
    <w:rsid w:val="00C663B1"/>
    <w:rsid w:val="00C664C8"/>
    <w:rsid w:val="00C664FD"/>
    <w:rsid w:val="00C66515"/>
    <w:rsid w:val="00C6656E"/>
    <w:rsid w:val="00C6667E"/>
    <w:rsid w:val="00C66695"/>
    <w:rsid w:val="00C666C0"/>
    <w:rsid w:val="00C66741"/>
    <w:rsid w:val="00C66814"/>
    <w:rsid w:val="00C66846"/>
    <w:rsid w:val="00C66A14"/>
    <w:rsid w:val="00C66A52"/>
    <w:rsid w:val="00C66A6B"/>
    <w:rsid w:val="00C66A98"/>
    <w:rsid w:val="00C66BBA"/>
    <w:rsid w:val="00C66BCF"/>
    <w:rsid w:val="00C66BF0"/>
    <w:rsid w:val="00C66C13"/>
    <w:rsid w:val="00C66C7C"/>
    <w:rsid w:val="00C66C8E"/>
    <w:rsid w:val="00C66CB7"/>
    <w:rsid w:val="00C66CBF"/>
    <w:rsid w:val="00C66CC0"/>
    <w:rsid w:val="00C66D5D"/>
    <w:rsid w:val="00C66E35"/>
    <w:rsid w:val="00C66E39"/>
    <w:rsid w:val="00C66E3A"/>
    <w:rsid w:val="00C66F6A"/>
    <w:rsid w:val="00C6706D"/>
    <w:rsid w:val="00C67176"/>
    <w:rsid w:val="00C67181"/>
    <w:rsid w:val="00C67198"/>
    <w:rsid w:val="00C671B8"/>
    <w:rsid w:val="00C671EB"/>
    <w:rsid w:val="00C67281"/>
    <w:rsid w:val="00C672D2"/>
    <w:rsid w:val="00C6730D"/>
    <w:rsid w:val="00C67430"/>
    <w:rsid w:val="00C67441"/>
    <w:rsid w:val="00C675A9"/>
    <w:rsid w:val="00C675E6"/>
    <w:rsid w:val="00C67650"/>
    <w:rsid w:val="00C6771A"/>
    <w:rsid w:val="00C67816"/>
    <w:rsid w:val="00C67849"/>
    <w:rsid w:val="00C679FB"/>
    <w:rsid w:val="00C67A58"/>
    <w:rsid w:val="00C67A7D"/>
    <w:rsid w:val="00C67A7F"/>
    <w:rsid w:val="00C67AD5"/>
    <w:rsid w:val="00C67B17"/>
    <w:rsid w:val="00C67BDE"/>
    <w:rsid w:val="00C67C0E"/>
    <w:rsid w:val="00C67C53"/>
    <w:rsid w:val="00C67D6A"/>
    <w:rsid w:val="00C67D7E"/>
    <w:rsid w:val="00C67DA9"/>
    <w:rsid w:val="00C67DF1"/>
    <w:rsid w:val="00C67E33"/>
    <w:rsid w:val="00C67E5F"/>
    <w:rsid w:val="00C67EAD"/>
    <w:rsid w:val="00C67F2C"/>
    <w:rsid w:val="00C67F40"/>
    <w:rsid w:val="00C67FD4"/>
    <w:rsid w:val="00C70020"/>
    <w:rsid w:val="00C7008B"/>
    <w:rsid w:val="00C700F0"/>
    <w:rsid w:val="00C700F5"/>
    <w:rsid w:val="00C70180"/>
    <w:rsid w:val="00C701CF"/>
    <w:rsid w:val="00C701F5"/>
    <w:rsid w:val="00C70334"/>
    <w:rsid w:val="00C7033A"/>
    <w:rsid w:val="00C703CE"/>
    <w:rsid w:val="00C70479"/>
    <w:rsid w:val="00C704A9"/>
    <w:rsid w:val="00C704DF"/>
    <w:rsid w:val="00C7063E"/>
    <w:rsid w:val="00C70649"/>
    <w:rsid w:val="00C7069D"/>
    <w:rsid w:val="00C706EB"/>
    <w:rsid w:val="00C7075A"/>
    <w:rsid w:val="00C70779"/>
    <w:rsid w:val="00C7080E"/>
    <w:rsid w:val="00C7085E"/>
    <w:rsid w:val="00C7089E"/>
    <w:rsid w:val="00C708C8"/>
    <w:rsid w:val="00C7095A"/>
    <w:rsid w:val="00C709EC"/>
    <w:rsid w:val="00C70B02"/>
    <w:rsid w:val="00C70B8B"/>
    <w:rsid w:val="00C70BFE"/>
    <w:rsid w:val="00C70C1E"/>
    <w:rsid w:val="00C70CFC"/>
    <w:rsid w:val="00C70DB9"/>
    <w:rsid w:val="00C70DCE"/>
    <w:rsid w:val="00C70F57"/>
    <w:rsid w:val="00C710DD"/>
    <w:rsid w:val="00C71245"/>
    <w:rsid w:val="00C71281"/>
    <w:rsid w:val="00C7129B"/>
    <w:rsid w:val="00C712B1"/>
    <w:rsid w:val="00C7132B"/>
    <w:rsid w:val="00C713BE"/>
    <w:rsid w:val="00C7172B"/>
    <w:rsid w:val="00C71891"/>
    <w:rsid w:val="00C7191C"/>
    <w:rsid w:val="00C71AAF"/>
    <w:rsid w:val="00C71AEE"/>
    <w:rsid w:val="00C71B01"/>
    <w:rsid w:val="00C71B32"/>
    <w:rsid w:val="00C71B37"/>
    <w:rsid w:val="00C71B92"/>
    <w:rsid w:val="00C71BC1"/>
    <w:rsid w:val="00C71BC7"/>
    <w:rsid w:val="00C71BFD"/>
    <w:rsid w:val="00C71C10"/>
    <w:rsid w:val="00C71C16"/>
    <w:rsid w:val="00C71CB4"/>
    <w:rsid w:val="00C71D24"/>
    <w:rsid w:val="00C71D76"/>
    <w:rsid w:val="00C71EC3"/>
    <w:rsid w:val="00C72107"/>
    <w:rsid w:val="00C722C0"/>
    <w:rsid w:val="00C722D8"/>
    <w:rsid w:val="00C722EE"/>
    <w:rsid w:val="00C72310"/>
    <w:rsid w:val="00C723DA"/>
    <w:rsid w:val="00C72443"/>
    <w:rsid w:val="00C7244C"/>
    <w:rsid w:val="00C724F5"/>
    <w:rsid w:val="00C72508"/>
    <w:rsid w:val="00C72587"/>
    <w:rsid w:val="00C725EE"/>
    <w:rsid w:val="00C7264B"/>
    <w:rsid w:val="00C72698"/>
    <w:rsid w:val="00C726A8"/>
    <w:rsid w:val="00C72705"/>
    <w:rsid w:val="00C72712"/>
    <w:rsid w:val="00C727C5"/>
    <w:rsid w:val="00C72860"/>
    <w:rsid w:val="00C728E4"/>
    <w:rsid w:val="00C72907"/>
    <w:rsid w:val="00C729BB"/>
    <w:rsid w:val="00C72AB0"/>
    <w:rsid w:val="00C72ACB"/>
    <w:rsid w:val="00C72B2A"/>
    <w:rsid w:val="00C72B31"/>
    <w:rsid w:val="00C72BA2"/>
    <w:rsid w:val="00C72BBD"/>
    <w:rsid w:val="00C72CFC"/>
    <w:rsid w:val="00C72D52"/>
    <w:rsid w:val="00C72D9E"/>
    <w:rsid w:val="00C72DB0"/>
    <w:rsid w:val="00C72DDE"/>
    <w:rsid w:val="00C72E12"/>
    <w:rsid w:val="00C72E1C"/>
    <w:rsid w:val="00C72EA1"/>
    <w:rsid w:val="00C72EDD"/>
    <w:rsid w:val="00C72EF6"/>
    <w:rsid w:val="00C72F62"/>
    <w:rsid w:val="00C72FCC"/>
    <w:rsid w:val="00C72FFD"/>
    <w:rsid w:val="00C730EC"/>
    <w:rsid w:val="00C73125"/>
    <w:rsid w:val="00C73265"/>
    <w:rsid w:val="00C732E4"/>
    <w:rsid w:val="00C73404"/>
    <w:rsid w:val="00C735ED"/>
    <w:rsid w:val="00C736EC"/>
    <w:rsid w:val="00C736F1"/>
    <w:rsid w:val="00C73717"/>
    <w:rsid w:val="00C73738"/>
    <w:rsid w:val="00C737D2"/>
    <w:rsid w:val="00C737DD"/>
    <w:rsid w:val="00C737E7"/>
    <w:rsid w:val="00C73826"/>
    <w:rsid w:val="00C7387C"/>
    <w:rsid w:val="00C7393D"/>
    <w:rsid w:val="00C73952"/>
    <w:rsid w:val="00C73956"/>
    <w:rsid w:val="00C73A22"/>
    <w:rsid w:val="00C73B85"/>
    <w:rsid w:val="00C73B8C"/>
    <w:rsid w:val="00C73BFF"/>
    <w:rsid w:val="00C73C4F"/>
    <w:rsid w:val="00C73C5E"/>
    <w:rsid w:val="00C73CB3"/>
    <w:rsid w:val="00C73CE9"/>
    <w:rsid w:val="00C73DD9"/>
    <w:rsid w:val="00C73F0C"/>
    <w:rsid w:val="00C73F9D"/>
    <w:rsid w:val="00C73FCE"/>
    <w:rsid w:val="00C73FE7"/>
    <w:rsid w:val="00C74003"/>
    <w:rsid w:val="00C74044"/>
    <w:rsid w:val="00C74064"/>
    <w:rsid w:val="00C74081"/>
    <w:rsid w:val="00C740A3"/>
    <w:rsid w:val="00C740C6"/>
    <w:rsid w:val="00C74123"/>
    <w:rsid w:val="00C741BD"/>
    <w:rsid w:val="00C741D2"/>
    <w:rsid w:val="00C741DD"/>
    <w:rsid w:val="00C74253"/>
    <w:rsid w:val="00C74279"/>
    <w:rsid w:val="00C742DA"/>
    <w:rsid w:val="00C742F1"/>
    <w:rsid w:val="00C74399"/>
    <w:rsid w:val="00C743CA"/>
    <w:rsid w:val="00C743E9"/>
    <w:rsid w:val="00C7440F"/>
    <w:rsid w:val="00C74421"/>
    <w:rsid w:val="00C7442A"/>
    <w:rsid w:val="00C744B6"/>
    <w:rsid w:val="00C745F5"/>
    <w:rsid w:val="00C74661"/>
    <w:rsid w:val="00C746A9"/>
    <w:rsid w:val="00C746EA"/>
    <w:rsid w:val="00C74733"/>
    <w:rsid w:val="00C74742"/>
    <w:rsid w:val="00C747B0"/>
    <w:rsid w:val="00C74813"/>
    <w:rsid w:val="00C74897"/>
    <w:rsid w:val="00C748B2"/>
    <w:rsid w:val="00C74975"/>
    <w:rsid w:val="00C749F1"/>
    <w:rsid w:val="00C74A03"/>
    <w:rsid w:val="00C74A13"/>
    <w:rsid w:val="00C74A75"/>
    <w:rsid w:val="00C74AB5"/>
    <w:rsid w:val="00C74B28"/>
    <w:rsid w:val="00C74B2A"/>
    <w:rsid w:val="00C74B42"/>
    <w:rsid w:val="00C74B71"/>
    <w:rsid w:val="00C74B7F"/>
    <w:rsid w:val="00C74D07"/>
    <w:rsid w:val="00C74D8C"/>
    <w:rsid w:val="00C74DFA"/>
    <w:rsid w:val="00C74E06"/>
    <w:rsid w:val="00C74E39"/>
    <w:rsid w:val="00C74E9C"/>
    <w:rsid w:val="00C74EA4"/>
    <w:rsid w:val="00C74EC3"/>
    <w:rsid w:val="00C74F48"/>
    <w:rsid w:val="00C74F9D"/>
    <w:rsid w:val="00C74FA0"/>
    <w:rsid w:val="00C75107"/>
    <w:rsid w:val="00C7510B"/>
    <w:rsid w:val="00C75259"/>
    <w:rsid w:val="00C75381"/>
    <w:rsid w:val="00C753B4"/>
    <w:rsid w:val="00C753E9"/>
    <w:rsid w:val="00C754C4"/>
    <w:rsid w:val="00C754C5"/>
    <w:rsid w:val="00C755A0"/>
    <w:rsid w:val="00C755F3"/>
    <w:rsid w:val="00C756C8"/>
    <w:rsid w:val="00C756D6"/>
    <w:rsid w:val="00C756DA"/>
    <w:rsid w:val="00C75760"/>
    <w:rsid w:val="00C757B3"/>
    <w:rsid w:val="00C757EC"/>
    <w:rsid w:val="00C7583A"/>
    <w:rsid w:val="00C75867"/>
    <w:rsid w:val="00C7586B"/>
    <w:rsid w:val="00C75895"/>
    <w:rsid w:val="00C758AC"/>
    <w:rsid w:val="00C75906"/>
    <w:rsid w:val="00C7591C"/>
    <w:rsid w:val="00C75966"/>
    <w:rsid w:val="00C75971"/>
    <w:rsid w:val="00C75975"/>
    <w:rsid w:val="00C7597E"/>
    <w:rsid w:val="00C759AB"/>
    <w:rsid w:val="00C75A0D"/>
    <w:rsid w:val="00C75A15"/>
    <w:rsid w:val="00C75AB8"/>
    <w:rsid w:val="00C75AC1"/>
    <w:rsid w:val="00C75AE4"/>
    <w:rsid w:val="00C75AE7"/>
    <w:rsid w:val="00C75BDF"/>
    <w:rsid w:val="00C75C20"/>
    <w:rsid w:val="00C75C42"/>
    <w:rsid w:val="00C75C64"/>
    <w:rsid w:val="00C75C9E"/>
    <w:rsid w:val="00C75D62"/>
    <w:rsid w:val="00C75DBF"/>
    <w:rsid w:val="00C75E36"/>
    <w:rsid w:val="00C75EBF"/>
    <w:rsid w:val="00C75EEE"/>
    <w:rsid w:val="00C75FA0"/>
    <w:rsid w:val="00C75FA3"/>
    <w:rsid w:val="00C76005"/>
    <w:rsid w:val="00C7615E"/>
    <w:rsid w:val="00C761BF"/>
    <w:rsid w:val="00C761C2"/>
    <w:rsid w:val="00C761E3"/>
    <w:rsid w:val="00C7622A"/>
    <w:rsid w:val="00C762BE"/>
    <w:rsid w:val="00C7631F"/>
    <w:rsid w:val="00C7632B"/>
    <w:rsid w:val="00C7635A"/>
    <w:rsid w:val="00C76442"/>
    <w:rsid w:val="00C76481"/>
    <w:rsid w:val="00C7648B"/>
    <w:rsid w:val="00C764C7"/>
    <w:rsid w:val="00C7654D"/>
    <w:rsid w:val="00C76555"/>
    <w:rsid w:val="00C765B2"/>
    <w:rsid w:val="00C76612"/>
    <w:rsid w:val="00C7664A"/>
    <w:rsid w:val="00C766BE"/>
    <w:rsid w:val="00C766C6"/>
    <w:rsid w:val="00C76708"/>
    <w:rsid w:val="00C76729"/>
    <w:rsid w:val="00C7676D"/>
    <w:rsid w:val="00C76779"/>
    <w:rsid w:val="00C768B3"/>
    <w:rsid w:val="00C768CA"/>
    <w:rsid w:val="00C768D5"/>
    <w:rsid w:val="00C769E1"/>
    <w:rsid w:val="00C769E2"/>
    <w:rsid w:val="00C76B53"/>
    <w:rsid w:val="00C76B68"/>
    <w:rsid w:val="00C76BB5"/>
    <w:rsid w:val="00C76CBB"/>
    <w:rsid w:val="00C76CF7"/>
    <w:rsid w:val="00C76D3E"/>
    <w:rsid w:val="00C76D6A"/>
    <w:rsid w:val="00C76D96"/>
    <w:rsid w:val="00C76D9F"/>
    <w:rsid w:val="00C76E3F"/>
    <w:rsid w:val="00C76E45"/>
    <w:rsid w:val="00C76E5A"/>
    <w:rsid w:val="00C76EBF"/>
    <w:rsid w:val="00C76EC0"/>
    <w:rsid w:val="00C76EF2"/>
    <w:rsid w:val="00C76EF7"/>
    <w:rsid w:val="00C76F17"/>
    <w:rsid w:val="00C76F23"/>
    <w:rsid w:val="00C76F2F"/>
    <w:rsid w:val="00C76F52"/>
    <w:rsid w:val="00C76FDE"/>
    <w:rsid w:val="00C77089"/>
    <w:rsid w:val="00C770AA"/>
    <w:rsid w:val="00C770AF"/>
    <w:rsid w:val="00C7710F"/>
    <w:rsid w:val="00C77182"/>
    <w:rsid w:val="00C771EE"/>
    <w:rsid w:val="00C772F2"/>
    <w:rsid w:val="00C773BE"/>
    <w:rsid w:val="00C77517"/>
    <w:rsid w:val="00C77558"/>
    <w:rsid w:val="00C775E0"/>
    <w:rsid w:val="00C77663"/>
    <w:rsid w:val="00C77682"/>
    <w:rsid w:val="00C776B1"/>
    <w:rsid w:val="00C7771A"/>
    <w:rsid w:val="00C77784"/>
    <w:rsid w:val="00C77798"/>
    <w:rsid w:val="00C7789A"/>
    <w:rsid w:val="00C77903"/>
    <w:rsid w:val="00C77909"/>
    <w:rsid w:val="00C77A1D"/>
    <w:rsid w:val="00C77B05"/>
    <w:rsid w:val="00C77BCE"/>
    <w:rsid w:val="00C77BE5"/>
    <w:rsid w:val="00C77C2A"/>
    <w:rsid w:val="00C77CE2"/>
    <w:rsid w:val="00C77D18"/>
    <w:rsid w:val="00C77E4F"/>
    <w:rsid w:val="00C77EA6"/>
    <w:rsid w:val="00C77EF0"/>
    <w:rsid w:val="00C77F4F"/>
    <w:rsid w:val="00C80071"/>
    <w:rsid w:val="00C80117"/>
    <w:rsid w:val="00C80125"/>
    <w:rsid w:val="00C80128"/>
    <w:rsid w:val="00C8017F"/>
    <w:rsid w:val="00C80180"/>
    <w:rsid w:val="00C80185"/>
    <w:rsid w:val="00C802DD"/>
    <w:rsid w:val="00C802F5"/>
    <w:rsid w:val="00C803DB"/>
    <w:rsid w:val="00C80442"/>
    <w:rsid w:val="00C8065B"/>
    <w:rsid w:val="00C80679"/>
    <w:rsid w:val="00C8067E"/>
    <w:rsid w:val="00C80687"/>
    <w:rsid w:val="00C806EE"/>
    <w:rsid w:val="00C80704"/>
    <w:rsid w:val="00C807C0"/>
    <w:rsid w:val="00C807DB"/>
    <w:rsid w:val="00C80863"/>
    <w:rsid w:val="00C8092E"/>
    <w:rsid w:val="00C80932"/>
    <w:rsid w:val="00C80A8C"/>
    <w:rsid w:val="00C80A8E"/>
    <w:rsid w:val="00C80AD5"/>
    <w:rsid w:val="00C80ADD"/>
    <w:rsid w:val="00C80AFF"/>
    <w:rsid w:val="00C80BD1"/>
    <w:rsid w:val="00C80C09"/>
    <w:rsid w:val="00C80C2A"/>
    <w:rsid w:val="00C80CAE"/>
    <w:rsid w:val="00C80D48"/>
    <w:rsid w:val="00C80D69"/>
    <w:rsid w:val="00C80DE7"/>
    <w:rsid w:val="00C80E20"/>
    <w:rsid w:val="00C80E40"/>
    <w:rsid w:val="00C80EF6"/>
    <w:rsid w:val="00C80F12"/>
    <w:rsid w:val="00C80FAE"/>
    <w:rsid w:val="00C80FE4"/>
    <w:rsid w:val="00C80FEF"/>
    <w:rsid w:val="00C8106C"/>
    <w:rsid w:val="00C81137"/>
    <w:rsid w:val="00C81151"/>
    <w:rsid w:val="00C81191"/>
    <w:rsid w:val="00C81250"/>
    <w:rsid w:val="00C81298"/>
    <w:rsid w:val="00C813A7"/>
    <w:rsid w:val="00C813ED"/>
    <w:rsid w:val="00C81407"/>
    <w:rsid w:val="00C81426"/>
    <w:rsid w:val="00C8145C"/>
    <w:rsid w:val="00C81473"/>
    <w:rsid w:val="00C81624"/>
    <w:rsid w:val="00C81652"/>
    <w:rsid w:val="00C816C0"/>
    <w:rsid w:val="00C81721"/>
    <w:rsid w:val="00C8172A"/>
    <w:rsid w:val="00C8177E"/>
    <w:rsid w:val="00C817C3"/>
    <w:rsid w:val="00C81888"/>
    <w:rsid w:val="00C81959"/>
    <w:rsid w:val="00C8196E"/>
    <w:rsid w:val="00C81979"/>
    <w:rsid w:val="00C819BB"/>
    <w:rsid w:val="00C81A9F"/>
    <w:rsid w:val="00C81AF3"/>
    <w:rsid w:val="00C81BB6"/>
    <w:rsid w:val="00C81C1E"/>
    <w:rsid w:val="00C81C62"/>
    <w:rsid w:val="00C81C6C"/>
    <w:rsid w:val="00C81CE4"/>
    <w:rsid w:val="00C81D4B"/>
    <w:rsid w:val="00C81D7D"/>
    <w:rsid w:val="00C81EAD"/>
    <w:rsid w:val="00C81F20"/>
    <w:rsid w:val="00C81F3A"/>
    <w:rsid w:val="00C81F6E"/>
    <w:rsid w:val="00C81FCB"/>
    <w:rsid w:val="00C81FFE"/>
    <w:rsid w:val="00C8201E"/>
    <w:rsid w:val="00C8206D"/>
    <w:rsid w:val="00C820B7"/>
    <w:rsid w:val="00C820FD"/>
    <w:rsid w:val="00C82112"/>
    <w:rsid w:val="00C8214F"/>
    <w:rsid w:val="00C8216E"/>
    <w:rsid w:val="00C82232"/>
    <w:rsid w:val="00C82267"/>
    <w:rsid w:val="00C82271"/>
    <w:rsid w:val="00C822D7"/>
    <w:rsid w:val="00C8237C"/>
    <w:rsid w:val="00C823DE"/>
    <w:rsid w:val="00C823EC"/>
    <w:rsid w:val="00C82469"/>
    <w:rsid w:val="00C82482"/>
    <w:rsid w:val="00C824AE"/>
    <w:rsid w:val="00C824E3"/>
    <w:rsid w:val="00C8250F"/>
    <w:rsid w:val="00C8252B"/>
    <w:rsid w:val="00C825A6"/>
    <w:rsid w:val="00C825EB"/>
    <w:rsid w:val="00C8262D"/>
    <w:rsid w:val="00C8266B"/>
    <w:rsid w:val="00C826CD"/>
    <w:rsid w:val="00C826DD"/>
    <w:rsid w:val="00C82760"/>
    <w:rsid w:val="00C827D7"/>
    <w:rsid w:val="00C8282C"/>
    <w:rsid w:val="00C82857"/>
    <w:rsid w:val="00C82881"/>
    <w:rsid w:val="00C82A15"/>
    <w:rsid w:val="00C82AB6"/>
    <w:rsid w:val="00C82B13"/>
    <w:rsid w:val="00C82B67"/>
    <w:rsid w:val="00C82BFB"/>
    <w:rsid w:val="00C82C24"/>
    <w:rsid w:val="00C82C35"/>
    <w:rsid w:val="00C82C37"/>
    <w:rsid w:val="00C82CD5"/>
    <w:rsid w:val="00C82CE1"/>
    <w:rsid w:val="00C82CFF"/>
    <w:rsid w:val="00C82D36"/>
    <w:rsid w:val="00C82D72"/>
    <w:rsid w:val="00C82DB7"/>
    <w:rsid w:val="00C82E35"/>
    <w:rsid w:val="00C82F04"/>
    <w:rsid w:val="00C82FAB"/>
    <w:rsid w:val="00C82FEC"/>
    <w:rsid w:val="00C83064"/>
    <w:rsid w:val="00C8308F"/>
    <w:rsid w:val="00C83120"/>
    <w:rsid w:val="00C831A9"/>
    <w:rsid w:val="00C831EF"/>
    <w:rsid w:val="00C83218"/>
    <w:rsid w:val="00C8330A"/>
    <w:rsid w:val="00C83326"/>
    <w:rsid w:val="00C83356"/>
    <w:rsid w:val="00C833E1"/>
    <w:rsid w:val="00C834ED"/>
    <w:rsid w:val="00C8352B"/>
    <w:rsid w:val="00C8358F"/>
    <w:rsid w:val="00C835CE"/>
    <w:rsid w:val="00C835D1"/>
    <w:rsid w:val="00C83667"/>
    <w:rsid w:val="00C83683"/>
    <w:rsid w:val="00C836A5"/>
    <w:rsid w:val="00C83723"/>
    <w:rsid w:val="00C83755"/>
    <w:rsid w:val="00C837A4"/>
    <w:rsid w:val="00C8382D"/>
    <w:rsid w:val="00C83861"/>
    <w:rsid w:val="00C83862"/>
    <w:rsid w:val="00C8387C"/>
    <w:rsid w:val="00C83882"/>
    <w:rsid w:val="00C838AF"/>
    <w:rsid w:val="00C838BF"/>
    <w:rsid w:val="00C839FC"/>
    <w:rsid w:val="00C83A8F"/>
    <w:rsid w:val="00C83A9D"/>
    <w:rsid w:val="00C83AA3"/>
    <w:rsid w:val="00C83AAE"/>
    <w:rsid w:val="00C83B46"/>
    <w:rsid w:val="00C83B92"/>
    <w:rsid w:val="00C83BB7"/>
    <w:rsid w:val="00C83C35"/>
    <w:rsid w:val="00C83CC7"/>
    <w:rsid w:val="00C83D07"/>
    <w:rsid w:val="00C83D1A"/>
    <w:rsid w:val="00C83D22"/>
    <w:rsid w:val="00C83E4C"/>
    <w:rsid w:val="00C83EEB"/>
    <w:rsid w:val="00C83FC9"/>
    <w:rsid w:val="00C84051"/>
    <w:rsid w:val="00C84053"/>
    <w:rsid w:val="00C84115"/>
    <w:rsid w:val="00C84172"/>
    <w:rsid w:val="00C842E1"/>
    <w:rsid w:val="00C84307"/>
    <w:rsid w:val="00C843BB"/>
    <w:rsid w:val="00C84512"/>
    <w:rsid w:val="00C84631"/>
    <w:rsid w:val="00C8467F"/>
    <w:rsid w:val="00C84721"/>
    <w:rsid w:val="00C847E2"/>
    <w:rsid w:val="00C8482F"/>
    <w:rsid w:val="00C84847"/>
    <w:rsid w:val="00C84911"/>
    <w:rsid w:val="00C8492C"/>
    <w:rsid w:val="00C84996"/>
    <w:rsid w:val="00C849EB"/>
    <w:rsid w:val="00C84A17"/>
    <w:rsid w:val="00C84AB4"/>
    <w:rsid w:val="00C84BBE"/>
    <w:rsid w:val="00C84BE3"/>
    <w:rsid w:val="00C84BF1"/>
    <w:rsid w:val="00C84C50"/>
    <w:rsid w:val="00C84C58"/>
    <w:rsid w:val="00C84C71"/>
    <w:rsid w:val="00C84DB1"/>
    <w:rsid w:val="00C84DCB"/>
    <w:rsid w:val="00C84E7E"/>
    <w:rsid w:val="00C84EA0"/>
    <w:rsid w:val="00C84ECA"/>
    <w:rsid w:val="00C84F1D"/>
    <w:rsid w:val="00C84F5D"/>
    <w:rsid w:val="00C84F60"/>
    <w:rsid w:val="00C84FD1"/>
    <w:rsid w:val="00C84FE1"/>
    <w:rsid w:val="00C84FEF"/>
    <w:rsid w:val="00C85094"/>
    <w:rsid w:val="00C8515B"/>
    <w:rsid w:val="00C851FB"/>
    <w:rsid w:val="00C85275"/>
    <w:rsid w:val="00C8529C"/>
    <w:rsid w:val="00C852AB"/>
    <w:rsid w:val="00C852BE"/>
    <w:rsid w:val="00C852DA"/>
    <w:rsid w:val="00C85300"/>
    <w:rsid w:val="00C853D9"/>
    <w:rsid w:val="00C8546A"/>
    <w:rsid w:val="00C85471"/>
    <w:rsid w:val="00C8547E"/>
    <w:rsid w:val="00C85480"/>
    <w:rsid w:val="00C855F1"/>
    <w:rsid w:val="00C856D4"/>
    <w:rsid w:val="00C85734"/>
    <w:rsid w:val="00C85777"/>
    <w:rsid w:val="00C857AC"/>
    <w:rsid w:val="00C857C4"/>
    <w:rsid w:val="00C857DA"/>
    <w:rsid w:val="00C857E3"/>
    <w:rsid w:val="00C85809"/>
    <w:rsid w:val="00C8589D"/>
    <w:rsid w:val="00C85947"/>
    <w:rsid w:val="00C859D2"/>
    <w:rsid w:val="00C859EF"/>
    <w:rsid w:val="00C859F1"/>
    <w:rsid w:val="00C85A77"/>
    <w:rsid w:val="00C85A98"/>
    <w:rsid w:val="00C85AD8"/>
    <w:rsid w:val="00C85AFC"/>
    <w:rsid w:val="00C85B16"/>
    <w:rsid w:val="00C85B7D"/>
    <w:rsid w:val="00C85C02"/>
    <w:rsid w:val="00C85C7C"/>
    <w:rsid w:val="00C85C83"/>
    <w:rsid w:val="00C85D62"/>
    <w:rsid w:val="00C85D95"/>
    <w:rsid w:val="00C85E1A"/>
    <w:rsid w:val="00C85E67"/>
    <w:rsid w:val="00C85E9A"/>
    <w:rsid w:val="00C85F12"/>
    <w:rsid w:val="00C85F46"/>
    <w:rsid w:val="00C85F81"/>
    <w:rsid w:val="00C8602F"/>
    <w:rsid w:val="00C86030"/>
    <w:rsid w:val="00C860EA"/>
    <w:rsid w:val="00C86133"/>
    <w:rsid w:val="00C86142"/>
    <w:rsid w:val="00C861AC"/>
    <w:rsid w:val="00C86217"/>
    <w:rsid w:val="00C86256"/>
    <w:rsid w:val="00C8625F"/>
    <w:rsid w:val="00C862B4"/>
    <w:rsid w:val="00C862CA"/>
    <w:rsid w:val="00C86376"/>
    <w:rsid w:val="00C86495"/>
    <w:rsid w:val="00C864B0"/>
    <w:rsid w:val="00C86538"/>
    <w:rsid w:val="00C865CE"/>
    <w:rsid w:val="00C865F7"/>
    <w:rsid w:val="00C86649"/>
    <w:rsid w:val="00C8671D"/>
    <w:rsid w:val="00C867E4"/>
    <w:rsid w:val="00C8680D"/>
    <w:rsid w:val="00C86820"/>
    <w:rsid w:val="00C86871"/>
    <w:rsid w:val="00C8687B"/>
    <w:rsid w:val="00C86984"/>
    <w:rsid w:val="00C86994"/>
    <w:rsid w:val="00C869AF"/>
    <w:rsid w:val="00C869C6"/>
    <w:rsid w:val="00C86A96"/>
    <w:rsid w:val="00C86B12"/>
    <w:rsid w:val="00C86B27"/>
    <w:rsid w:val="00C86B47"/>
    <w:rsid w:val="00C86B54"/>
    <w:rsid w:val="00C86BA2"/>
    <w:rsid w:val="00C86CA7"/>
    <w:rsid w:val="00C86CC9"/>
    <w:rsid w:val="00C86D3A"/>
    <w:rsid w:val="00C86D83"/>
    <w:rsid w:val="00C86D8B"/>
    <w:rsid w:val="00C86D8E"/>
    <w:rsid w:val="00C86E02"/>
    <w:rsid w:val="00C86E46"/>
    <w:rsid w:val="00C86EB6"/>
    <w:rsid w:val="00C86ED3"/>
    <w:rsid w:val="00C86F30"/>
    <w:rsid w:val="00C86FCB"/>
    <w:rsid w:val="00C86FF5"/>
    <w:rsid w:val="00C86FF9"/>
    <w:rsid w:val="00C87007"/>
    <w:rsid w:val="00C87027"/>
    <w:rsid w:val="00C8706E"/>
    <w:rsid w:val="00C870D0"/>
    <w:rsid w:val="00C870F9"/>
    <w:rsid w:val="00C8713B"/>
    <w:rsid w:val="00C871A9"/>
    <w:rsid w:val="00C87233"/>
    <w:rsid w:val="00C8728B"/>
    <w:rsid w:val="00C872E1"/>
    <w:rsid w:val="00C87409"/>
    <w:rsid w:val="00C87518"/>
    <w:rsid w:val="00C87633"/>
    <w:rsid w:val="00C87704"/>
    <w:rsid w:val="00C87738"/>
    <w:rsid w:val="00C87763"/>
    <w:rsid w:val="00C87849"/>
    <w:rsid w:val="00C87879"/>
    <w:rsid w:val="00C878C0"/>
    <w:rsid w:val="00C87937"/>
    <w:rsid w:val="00C87A0F"/>
    <w:rsid w:val="00C87A56"/>
    <w:rsid w:val="00C87AF5"/>
    <w:rsid w:val="00C87B0B"/>
    <w:rsid w:val="00C87B10"/>
    <w:rsid w:val="00C87B17"/>
    <w:rsid w:val="00C87C28"/>
    <w:rsid w:val="00C87C50"/>
    <w:rsid w:val="00C87DE0"/>
    <w:rsid w:val="00C87EEC"/>
    <w:rsid w:val="00C87F22"/>
    <w:rsid w:val="00C87F2A"/>
    <w:rsid w:val="00C90005"/>
    <w:rsid w:val="00C90007"/>
    <w:rsid w:val="00C90090"/>
    <w:rsid w:val="00C900E5"/>
    <w:rsid w:val="00C90118"/>
    <w:rsid w:val="00C9019C"/>
    <w:rsid w:val="00C9020B"/>
    <w:rsid w:val="00C902B6"/>
    <w:rsid w:val="00C90309"/>
    <w:rsid w:val="00C9034C"/>
    <w:rsid w:val="00C90366"/>
    <w:rsid w:val="00C90394"/>
    <w:rsid w:val="00C903AE"/>
    <w:rsid w:val="00C903B1"/>
    <w:rsid w:val="00C90455"/>
    <w:rsid w:val="00C9045F"/>
    <w:rsid w:val="00C904EC"/>
    <w:rsid w:val="00C90585"/>
    <w:rsid w:val="00C905A9"/>
    <w:rsid w:val="00C905D0"/>
    <w:rsid w:val="00C905D7"/>
    <w:rsid w:val="00C90628"/>
    <w:rsid w:val="00C9064F"/>
    <w:rsid w:val="00C90713"/>
    <w:rsid w:val="00C90750"/>
    <w:rsid w:val="00C90788"/>
    <w:rsid w:val="00C907BB"/>
    <w:rsid w:val="00C907BE"/>
    <w:rsid w:val="00C90801"/>
    <w:rsid w:val="00C90819"/>
    <w:rsid w:val="00C9081B"/>
    <w:rsid w:val="00C90825"/>
    <w:rsid w:val="00C90879"/>
    <w:rsid w:val="00C90886"/>
    <w:rsid w:val="00C90944"/>
    <w:rsid w:val="00C9097C"/>
    <w:rsid w:val="00C90AB3"/>
    <w:rsid w:val="00C90B9E"/>
    <w:rsid w:val="00C90BAD"/>
    <w:rsid w:val="00C90C87"/>
    <w:rsid w:val="00C90D36"/>
    <w:rsid w:val="00C90D72"/>
    <w:rsid w:val="00C90F55"/>
    <w:rsid w:val="00C91042"/>
    <w:rsid w:val="00C9107B"/>
    <w:rsid w:val="00C910F6"/>
    <w:rsid w:val="00C91246"/>
    <w:rsid w:val="00C91262"/>
    <w:rsid w:val="00C9127C"/>
    <w:rsid w:val="00C91280"/>
    <w:rsid w:val="00C91281"/>
    <w:rsid w:val="00C91292"/>
    <w:rsid w:val="00C91356"/>
    <w:rsid w:val="00C91483"/>
    <w:rsid w:val="00C91511"/>
    <w:rsid w:val="00C91521"/>
    <w:rsid w:val="00C91530"/>
    <w:rsid w:val="00C9158A"/>
    <w:rsid w:val="00C91625"/>
    <w:rsid w:val="00C91650"/>
    <w:rsid w:val="00C916ED"/>
    <w:rsid w:val="00C917A6"/>
    <w:rsid w:val="00C917EB"/>
    <w:rsid w:val="00C9183D"/>
    <w:rsid w:val="00C91854"/>
    <w:rsid w:val="00C91861"/>
    <w:rsid w:val="00C9186C"/>
    <w:rsid w:val="00C9187D"/>
    <w:rsid w:val="00C9189E"/>
    <w:rsid w:val="00C91923"/>
    <w:rsid w:val="00C9196E"/>
    <w:rsid w:val="00C919C8"/>
    <w:rsid w:val="00C919EC"/>
    <w:rsid w:val="00C91A4A"/>
    <w:rsid w:val="00C91B17"/>
    <w:rsid w:val="00C91B34"/>
    <w:rsid w:val="00C91B8D"/>
    <w:rsid w:val="00C91BA2"/>
    <w:rsid w:val="00C91BE9"/>
    <w:rsid w:val="00C91C26"/>
    <w:rsid w:val="00C91C38"/>
    <w:rsid w:val="00C91C44"/>
    <w:rsid w:val="00C91C5F"/>
    <w:rsid w:val="00C91C75"/>
    <w:rsid w:val="00C91D47"/>
    <w:rsid w:val="00C91D5B"/>
    <w:rsid w:val="00C91E5F"/>
    <w:rsid w:val="00C91E72"/>
    <w:rsid w:val="00C91F18"/>
    <w:rsid w:val="00C9201D"/>
    <w:rsid w:val="00C920DD"/>
    <w:rsid w:val="00C920FC"/>
    <w:rsid w:val="00C921B9"/>
    <w:rsid w:val="00C9224A"/>
    <w:rsid w:val="00C92283"/>
    <w:rsid w:val="00C922B7"/>
    <w:rsid w:val="00C92304"/>
    <w:rsid w:val="00C92398"/>
    <w:rsid w:val="00C923D5"/>
    <w:rsid w:val="00C92410"/>
    <w:rsid w:val="00C9245E"/>
    <w:rsid w:val="00C92468"/>
    <w:rsid w:val="00C9248C"/>
    <w:rsid w:val="00C924EC"/>
    <w:rsid w:val="00C925A6"/>
    <w:rsid w:val="00C92636"/>
    <w:rsid w:val="00C92640"/>
    <w:rsid w:val="00C92664"/>
    <w:rsid w:val="00C926E6"/>
    <w:rsid w:val="00C92714"/>
    <w:rsid w:val="00C92752"/>
    <w:rsid w:val="00C9276B"/>
    <w:rsid w:val="00C927D9"/>
    <w:rsid w:val="00C927E9"/>
    <w:rsid w:val="00C9280D"/>
    <w:rsid w:val="00C9281C"/>
    <w:rsid w:val="00C92845"/>
    <w:rsid w:val="00C92884"/>
    <w:rsid w:val="00C92899"/>
    <w:rsid w:val="00C928ED"/>
    <w:rsid w:val="00C9299A"/>
    <w:rsid w:val="00C929C2"/>
    <w:rsid w:val="00C929EA"/>
    <w:rsid w:val="00C929F1"/>
    <w:rsid w:val="00C92A12"/>
    <w:rsid w:val="00C92AC1"/>
    <w:rsid w:val="00C92B14"/>
    <w:rsid w:val="00C92B2A"/>
    <w:rsid w:val="00C92C06"/>
    <w:rsid w:val="00C92C0F"/>
    <w:rsid w:val="00C92C80"/>
    <w:rsid w:val="00C92CE8"/>
    <w:rsid w:val="00C92D37"/>
    <w:rsid w:val="00C92D75"/>
    <w:rsid w:val="00C92E33"/>
    <w:rsid w:val="00C92E37"/>
    <w:rsid w:val="00C92EBA"/>
    <w:rsid w:val="00C92ECF"/>
    <w:rsid w:val="00C92F22"/>
    <w:rsid w:val="00C930B2"/>
    <w:rsid w:val="00C930B6"/>
    <w:rsid w:val="00C930D3"/>
    <w:rsid w:val="00C93197"/>
    <w:rsid w:val="00C933C5"/>
    <w:rsid w:val="00C9343B"/>
    <w:rsid w:val="00C93560"/>
    <w:rsid w:val="00C935EC"/>
    <w:rsid w:val="00C936AD"/>
    <w:rsid w:val="00C93732"/>
    <w:rsid w:val="00C937CD"/>
    <w:rsid w:val="00C93813"/>
    <w:rsid w:val="00C938BE"/>
    <w:rsid w:val="00C93999"/>
    <w:rsid w:val="00C93A4D"/>
    <w:rsid w:val="00C93B3C"/>
    <w:rsid w:val="00C93BF8"/>
    <w:rsid w:val="00C93C38"/>
    <w:rsid w:val="00C93C41"/>
    <w:rsid w:val="00C93C64"/>
    <w:rsid w:val="00C93C93"/>
    <w:rsid w:val="00C93D3B"/>
    <w:rsid w:val="00C93D5A"/>
    <w:rsid w:val="00C93D76"/>
    <w:rsid w:val="00C93DB8"/>
    <w:rsid w:val="00C93E72"/>
    <w:rsid w:val="00C940B2"/>
    <w:rsid w:val="00C941A6"/>
    <w:rsid w:val="00C94215"/>
    <w:rsid w:val="00C942D6"/>
    <w:rsid w:val="00C94340"/>
    <w:rsid w:val="00C94355"/>
    <w:rsid w:val="00C9439A"/>
    <w:rsid w:val="00C9439F"/>
    <w:rsid w:val="00C943EC"/>
    <w:rsid w:val="00C943F4"/>
    <w:rsid w:val="00C945E1"/>
    <w:rsid w:val="00C9462D"/>
    <w:rsid w:val="00C94632"/>
    <w:rsid w:val="00C94656"/>
    <w:rsid w:val="00C946C9"/>
    <w:rsid w:val="00C94748"/>
    <w:rsid w:val="00C94780"/>
    <w:rsid w:val="00C9480C"/>
    <w:rsid w:val="00C94810"/>
    <w:rsid w:val="00C94969"/>
    <w:rsid w:val="00C949CC"/>
    <w:rsid w:val="00C94AA6"/>
    <w:rsid w:val="00C94AB2"/>
    <w:rsid w:val="00C94BB6"/>
    <w:rsid w:val="00C94CEB"/>
    <w:rsid w:val="00C94D78"/>
    <w:rsid w:val="00C94D7A"/>
    <w:rsid w:val="00C94DAF"/>
    <w:rsid w:val="00C94E26"/>
    <w:rsid w:val="00C94E2F"/>
    <w:rsid w:val="00C95011"/>
    <w:rsid w:val="00C950C1"/>
    <w:rsid w:val="00C9510C"/>
    <w:rsid w:val="00C95179"/>
    <w:rsid w:val="00C951AA"/>
    <w:rsid w:val="00C95284"/>
    <w:rsid w:val="00C954D6"/>
    <w:rsid w:val="00C95509"/>
    <w:rsid w:val="00C9556B"/>
    <w:rsid w:val="00C955FA"/>
    <w:rsid w:val="00C956B7"/>
    <w:rsid w:val="00C95748"/>
    <w:rsid w:val="00C957F2"/>
    <w:rsid w:val="00C95803"/>
    <w:rsid w:val="00C9583F"/>
    <w:rsid w:val="00C9589A"/>
    <w:rsid w:val="00C9590B"/>
    <w:rsid w:val="00C9591F"/>
    <w:rsid w:val="00C959B2"/>
    <w:rsid w:val="00C959F9"/>
    <w:rsid w:val="00C95A9A"/>
    <w:rsid w:val="00C95C43"/>
    <w:rsid w:val="00C95C5C"/>
    <w:rsid w:val="00C95CAD"/>
    <w:rsid w:val="00C95CC9"/>
    <w:rsid w:val="00C95D13"/>
    <w:rsid w:val="00C95DD9"/>
    <w:rsid w:val="00C95DE4"/>
    <w:rsid w:val="00C95E0D"/>
    <w:rsid w:val="00C95EBF"/>
    <w:rsid w:val="00C95F55"/>
    <w:rsid w:val="00C95F65"/>
    <w:rsid w:val="00C95F98"/>
    <w:rsid w:val="00C95FFD"/>
    <w:rsid w:val="00C96083"/>
    <w:rsid w:val="00C960E7"/>
    <w:rsid w:val="00C96128"/>
    <w:rsid w:val="00C9619A"/>
    <w:rsid w:val="00C961B4"/>
    <w:rsid w:val="00C96242"/>
    <w:rsid w:val="00C96288"/>
    <w:rsid w:val="00C96289"/>
    <w:rsid w:val="00C96297"/>
    <w:rsid w:val="00C9635D"/>
    <w:rsid w:val="00C96479"/>
    <w:rsid w:val="00C964AF"/>
    <w:rsid w:val="00C9654E"/>
    <w:rsid w:val="00C96574"/>
    <w:rsid w:val="00C9660C"/>
    <w:rsid w:val="00C9662B"/>
    <w:rsid w:val="00C96668"/>
    <w:rsid w:val="00C966AA"/>
    <w:rsid w:val="00C966B1"/>
    <w:rsid w:val="00C967EB"/>
    <w:rsid w:val="00C9690D"/>
    <w:rsid w:val="00C96A61"/>
    <w:rsid w:val="00C96A8D"/>
    <w:rsid w:val="00C96B5D"/>
    <w:rsid w:val="00C96B64"/>
    <w:rsid w:val="00C96B8E"/>
    <w:rsid w:val="00C96BA0"/>
    <w:rsid w:val="00C96BB6"/>
    <w:rsid w:val="00C96BCF"/>
    <w:rsid w:val="00C96C4D"/>
    <w:rsid w:val="00C96CB1"/>
    <w:rsid w:val="00C96CC9"/>
    <w:rsid w:val="00C96D37"/>
    <w:rsid w:val="00C96DA0"/>
    <w:rsid w:val="00C96DE6"/>
    <w:rsid w:val="00C96E53"/>
    <w:rsid w:val="00C96EE5"/>
    <w:rsid w:val="00C96F03"/>
    <w:rsid w:val="00C96FFB"/>
    <w:rsid w:val="00C97032"/>
    <w:rsid w:val="00C97040"/>
    <w:rsid w:val="00C97041"/>
    <w:rsid w:val="00C9708E"/>
    <w:rsid w:val="00C970A4"/>
    <w:rsid w:val="00C970D9"/>
    <w:rsid w:val="00C9712B"/>
    <w:rsid w:val="00C9713E"/>
    <w:rsid w:val="00C97199"/>
    <w:rsid w:val="00C97213"/>
    <w:rsid w:val="00C9722C"/>
    <w:rsid w:val="00C9727E"/>
    <w:rsid w:val="00C972A4"/>
    <w:rsid w:val="00C97303"/>
    <w:rsid w:val="00C9734E"/>
    <w:rsid w:val="00C9736B"/>
    <w:rsid w:val="00C973C1"/>
    <w:rsid w:val="00C973D4"/>
    <w:rsid w:val="00C974D0"/>
    <w:rsid w:val="00C97514"/>
    <w:rsid w:val="00C97592"/>
    <w:rsid w:val="00C975C3"/>
    <w:rsid w:val="00C9761D"/>
    <w:rsid w:val="00C97621"/>
    <w:rsid w:val="00C97633"/>
    <w:rsid w:val="00C976DD"/>
    <w:rsid w:val="00C9775C"/>
    <w:rsid w:val="00C97766"/>
    <w:rsid w:val="00C977D9"/>
    <w:rsid w:val="00C977E2"/>
    <w:rsid w:val="00C977F0"/>
    <w:rsid w:val="00C977F6"/>
    <w:rsid w:val="00C978D9"/>
    <w:rsid w:val="00C97964"/>
    <w:rsid w:val="00C979C7"/>
    <w:rsid w:val="00C97A3F"/>
    <w:rsid w:val="00C97A62"/>
    <w:rsid w:val="00C97A87"/>
    <w:rsid w:val="00C97AAD"/>
    <w:rsid w:val="00C97ACC"/>
    <w:rsid w:val="00C97B70"/>
    <w:rsid w:val="00C97BB4"/>
    <w:rsid w:val="00C97BCB"/>
    <w:rsid w:val="00C97BE7"/>
    <w:rsid w:val="00C97C21"/>
    <w:rsid w:val="00C97C89"/>
    <w:rsid w:val="00C97CCF"/>
    <w:rsid w:val="00C97D3E"/>
    <w:rsid w:val="00C97D66"/>
    <w:rsid w:val="00C97DE5"/>
    <w:rsid w:val="00C97DFD"/>
    <w:rsid w:val="00C97F74"/>
    <w:rsid w:val="00CA015C"/>
    <w:rsid w:val="00CA0181"/>
    <w:rsid w:val="00CA0191"/>
    <w:rsid w:val="00CA0293"/>
    <w:rsid w:val="00CA029D"/>
    <w:rsid w:val="00CA035C"/>
    <w:rsid w:val="00CA03BE"/>
    <w:rsid w:val="00CA0459"/>
    <w:rsid w:val="00CA04B8"/>
    <w:rsid w:val="00CA04C1"/>
    <w:rsid w:val="00CA04DF"/>
    <w:rsid w:val="00CA04EB"/>
    <w:rsid w:val="00CA05BD"/>
    <w:rsid w:val="00CA0694"/>
    <w:rsid w:val="00CA072B"/>
    <w:rsid w:val="00CA07D6"/>
    <w:rsid w:val="00CA07F2"/>
    <w:rsid w:val="00CA08B0"/>
    <w:rsid w:val="00CA08D2"/>
    <w:rsid w:val="00CA0935"/>
    <w:rsid w:val="00CA093A"/>
    <w:rsid w:val="00CA09AA"/>
    <w:rsid w:val="00CA09E2"/>
    <w:rsid w:val="00CA09FB"/>
    <w:rsid w:val="00CA0AEF"/>
    <w:rsid w:val="00CA0AFD"/>
    <w:rsid w:val="00CA0B1C"/>
    <w:rsid w:val="00CA0BD1"/>
    <w:rsid w:val="00CA0CF6"/>
    <w:rsid w:val="00CA0D6A"/>
    <w:rsid w:val="00CA0DEF"/>
    <w:rsid w:val="00CA0EFA"/>
    <w:rsid w:val="00CA0F68"/>
    <w:rsid w:val="00CA1027"/>
    <w:rsid w:val="00CA1030"/>
    <w:rsid w:val="00CA103A"/>
    <w:rsid w:val="00CA108F"/>
    <w:rsid w:val="00CA10B0"/>
    <w:rsid w:val="00CA10EC"/>
    <w:rsid w:val="00CA11CA"/>
    <w:rsid w:val="00CA11DB"/>
    <w:rsid w:val="00CA1217"/>
    <w:rsid w:val="00CA12C2"/>
    <w:rsid w:val="00CA12D1"/>
    <w:rsid w:val="00CA133E"/>
    <w:rsid w:val="00CA143B"/>
    <w:rsid w:val="00CA146E"/>
    <w:rsid w:val="00CA14DF"/>
    <w:rsid w:val="00CA14E9"/>
    <w:rsid w:val="00CA154E"/>
    <w:rsid w:val="00CA1572"/>
    <w:rsid w:val="00CA15DE"/>
    <w:rsid w:val="00CA15ED"/>
    <w:rsid w:val="00CA1634"/>
    <w:rsid w:val="00CA168D"/>
    <w:rsid w:val="00CA1891"/>
    <w:rsid w:val="00CA189D"/>
    <w:rsid w:val="00CA18CD"/>
    <w:rsid w:val="00CA195C"/>
    <w:rsid w:val="00CA1984"/>
    <w:rsid w:val="00CA1A43"/>
    <w:rsid w:val="00CA1A76"/>
    <w:rsid w:val="00CA1A7F"/>
    <w:rsid w:val="00CA1ABC"/>
    <w:rsid w:val="00CA1B6C"/>
    <w:rsid w:val="00CA1B81"/>
    <w:rsid w:val="00CA1C92"/>
    <w:rsid w:val="00CA1D79"/>
    <w:rsid w:val="00CA1DF1"/>
    <w:rsid w:val="00CA1EE6"/>
    <w:rsid w:val="00CA1EF3"/>
    <w:rsid w:val="00CA1F00"/>
    <w:rsid w:val="00CA203A"/>
    <w:rsid w:val="00CA2163"/>
    <w:rsid w:val="00CA2164"/>
    <w:rsid w:val="00CA223F"/>
    <w:rsid w:val="00CA2320"/>
    <w:rsid w:val="00CA2326"/>
    <w:rsid w:val="00CA235C"/>
    <w:rsid w:val="00CA238F"/>
    <w:rsid w:val="00CA23AD"/>
    <w:rsid w:val="00CA241D"/>
    <w:rsid w:val="00CA2424"/>
    <w:rsid w:val="00CA24EB"/>
    <w:rsid w:val="00CA254E"/>
    <w:rsid w:val="00CA2553"/>
    <w:rsid w:val="00CA271B"/>
    <w:rsid w:val="00CA2723"/>
    <w:rsid w:val="00CA276A"/>
    <w:rsid w:val="00CA27C9"/>
    <w:rsid w:val="00CA2823"/>
    <w:rsid w:val="00CA2872"/>
    <w:rsid w:val="00CA2924"/>
    <w:rsid w:val="00CA2983"/>
    <w:rsid w:val="00CA2A3D"/>
    <w:rsid w:val="00CA2B2F"/>
    <w:rsid w:val="00CA2B83"/>
    <w:rsid w:val="00CA2C11"/>
    <w:rsid w:val="00CA2C8C"/>
    <w:rsid w:val="00CA2CAC"/>
    <w:rsid w:val="00CA2D12"/>
    <w:rsid w:val="00CA2D7D"/>
    <w:rsid w:val="00CA2DD2"/>
    <w:rsid w:val="00CA2E56"/>
    <w:rsid w:val="00CA2E76"/>
    <w:rsid w:val="00CA2EE6"/>
    <w:rsid w:val="00CA2F03"/>
    <w:rsid w:val="00CA2F85"/>
    <w:rsid w:val="00CA3005"/>
    <w:rsid w:val="00CA302E"/>
    <w:rsid w:val="00CA3054"/>
    <w:rsid w:val="00CA305A"/>
    <w:rsid w:val="00CA30D0"/>
    <w:rsid w:val="00CA3223"/>
    <w:rsid w:val="00CA322A"/>
    <w:rsid w:val="00CA3240"/>
    <w:rsid w:val="00CA327C"/>
    <w:rsid w:val="00CA32D3"/>
    <w:rsid w:val="00CA3334"/>
    <w:rsid w:val="00CA3424"/>
    <w:rsid w:val="00CA343F"/>
    <w:rsid w:val="00CA3468"/>
    <w:rsid w:val="00CA34BD"/>
    <w:rsid w:val="00CA34EC"/>
    <w:rsid w:val="00CA351B"/>
    <w:rsid w:val="00CA353E"/>
    <w:rsid w:val="00CA3540"/>
    <w:rsid w:val="00CA3545"/>
    <w:rsid w:val="00CA354A"/>
    <w:rsid w:val="00CA367B"/>
    <w:rsid w:val="00CA36CF"/>
    <w:rsid w:val="00CA36D5"/>
    <w:rsid w:val="00CA3764"/>
    <w:rsid w:val="00CA3804"/>
    <w:rsid w:val="00CA3887"/>
    <w:rsid w:val="00CA38AE"/>
    <w:rsid w:val="00CA38BC"/>
    <w:rsid w:val="00CA38CE"/>
    <w:rsid w:val="00CA3906"/>
    <w:rsid w:val="00CA3962"/>
    <w:rsid w:val="00CA397C"/>
    <w:rsid w:val="00CA398E"/>
    <w:rsid w:val="00CA3A31"/>
    <w:rsid w:val="00CA3A3D"/>
    <w:rsid w:val="00CA3A80"/>
    <w:rsid w:val="00CA3BB3"/>
    <w:rsid w:val="00CA3C58"/>
    <w:rsid w:val="00CA3D7D"/>
    <w:rsid w:val="00CA3DB4"/>
    <w:rsid w:val="00CA3DE3"/>
    <w:rsid w:val="00CA3DEE"/>
    <w:rsid w:val="00CA3EBD"/>
    <w:rsid w:val="00CA3F59"/>
    <w:rsid w:val="00CA3FC6"/>
    <w:rsid w:val="00CA4033"/>
    <w:rsid w:val="00CA4093"/>
    <w:rsid w:val="00CA40A0"/>
    <w:rsid w:val="00CA40B5"/>
    <w:rsid w:val="00CA414E"/>
    <w:rsid w:val="00CA41E9"/>
    <w:rsid w:val="00CA41EB"/>
    <w:rsid w:val="00CA422D"/>
    <w:rsid w:val="00CA424B"/>
    <w:rsid w:val="00CA42A9"/>
    <w:rsid w:val="00CA42E8"/>
    <w:rsid w:val="00CA4324"/>
    <w:rsid w:val="00CA433B"/>
    <w:rsid w:val="00CA43CA"/>
    <w:rsid w:val="00CA43E6"/>
    <w:rsid w:val="00CA4472"/>
    <w:rsid w:val="00CA4579"/>
    <w:rsid w:val="00CA45FB"/>
    <w:rsid w:val="00CA4658"/>
    <w:rsid w:val="00CA46B2"/>
    <w:rsid w:val="00CA4740"/>
    <w:rsid w:val="00CA4788"/>
    <w:rsid w:val="00CA485B"/>
    <w:rsid w:val="00CA489F"/>
    <w:rsid w:val="00CA48CB"/>
    <w:rsid w:val="00CA4993"/>
    <w:rsid w:val="00CA499D"/>
    <w:rsid w:val="00CA499E"/>
    <w:rsid w:val="00CA4A14"/>
    <w:rsid w:val="00CA4A41"/>
    <w:rsid w:val="00CA4A75"/>
    <w:rsid w:val="00CA4B98"/>
    <w:rsid w:val="00CA4C04"/>
    <w:rsid w:val="00CA4C2C"/>
    <w:rsid w:val="00CA4C33"/>
    <w:rsid w:val="00CA4D31"/>
    <w:rsid w:val="00CA4E53"/>
    <w:rsid w:val="00CA4E64"/>
    <w:rsid w:val="00CA4EFA"/>
    <w:rsid w:val="00CA4FAD"/>
    <w:rsid w:val="00CA4FB8"/>
    <w:rsid w:val="00CA4FCF"/>
    <w:rsid w:val="00CA5002"/>
    <w:rsid w:val="00CA509B"/>
    <w:rsid w:val="00CA50EA"/>
    <w:rsid w:val="00CA510E"/>
    <w:rsid w:val="00CA5122"/>
    <w:rsid w:val="00CA51D2"/>
    <w:rsid w:val="00CA521A"/>
    <w:rsid w:val="00CA52F6"/>
    <w:rsid w:val="00CA5306"/>
    <w:rsid w:val="00CA5361"/>
    <w:rsid w:val="00CA53B6"/>
    <w:rsid w:val="00CA53DC"/>
    <w:rsid w:val="00CA5420"/>
    <w:rsid w:val="00CA543C"/>
    <w:rsid w:val="00CA54BB"/>
    <w:rsid w:val="00CA54EE"/>
    <w:rsid w:val="00CA5501"/>
    <w:rsid w:val="00CA550C"/>
    <w:rsid w:val="00CA5536"/>
    <w:rsid w:val="00CA558B"/>
    <w:rsid w:val="00CA55B4"/>
    <w:rsid w:val="00CA55C9"/>
    <w:rsid w:val="00CA55CF"/>
    <w:rsid w:val="00CA55D4"/>
    <w:rsid w:val="00CA55F2"/>
    <w:rsid w:val="00CA5647"/>
    <w:rsid w:val="00CA5654"/>
    <w:rsid w:val="00CA5681"/>
    <w:rsid w:val="00CA569B"/>
    <w:rsid w:val="00CA56B2"/>
    <w:rsid w:val="00CA5759"/>
    <w:rsid w:val="00CA57AF"/>
    <w:rsid w:val="00CA5931"/>
    <w:rsid w:val="00CA595E"/>
    <w:rsid w:val="00CA597A"/>
    <w:rsid w:val="00CA598F"/>
    <w:rsid w:val="00CA599A"/>
    <w:rsid w:val="00CA5A81"/>
    <w:rsid w:val="00CA5A8D"/>
    <w:rsid w:val="00CA5AD5"/>
    <w:rsid w:val="00CA5AF1"/>
    <w:rsid w:val="00CA5B22"/>
    <w:rsid w:val="00CA5B95"/>
    <w:rsid w:val="00CA5BDB"/>
    <w:rsid w:val="00CA5C6D"/>
    <w:rsid w:val="00CA5C7F"/>
    <w:rsid w:val="00CA5CC2"/>
    <w:rsid w:val="00CA5CDF"/>
    <w:rsid w:val="00CA5D16"/>
    <w:rsid w:val="00CA5D60"/>
    <w:rsid w:val="00CA5DD8"/>
    <w:rsid w:val="00CA5DE1"/>
    <w:rsid w:val="00CA5F4E"/>
    <w:rsid w:val="00CA5FA0"/>
    <w:rsid w:val="00CA601C"/>
    <w:rsid w:val="00CA601F"/>
    <w:rsid w:val="00CA6057"/>
    <w:rsid w:val="00CA6068"/>
    <w:rsid w:val="00CA60A4"/>
    <w:rsid w:val="00CA61A2"/>
    <w:rsid w:val="00CA6201"/>
    <w:rsid w:val="00CA62A0"/>
    <w:rsid w:val="00CA62C7"/>
    <w:rsid w:val="00CA62EC"/>
    <w:rsid w:val="00CA6320"/>
    <w:rsid w:val="00CA633B"/>
    <w:rsid w:val="00CA6377"/>
    <w:rsid w:val="00CA637B"/>
    <w:rsid w:val="00CA64D4"/>
    <w:rsid w:val="00CA64DF"/>
    <w:rsid w:val="00CA657D"/>
    <w:rsid w:val="00CA659C"/>
    <w:rsid w:val="00CA6654"/>
    <w:rsid w:val="00CA6699"/>
    <w:rsid w:val="00CA6726"/>
    <w:rsid w:val="00CA675F"/>
    <w:rsid w:val="00CA68BC"/>
    <w:rsid w:val="00CA690B"/>
    <w:rsid w:val="00CA6A06"/>
    <w:rsid w:val="00CA6AB2"/>
    <w:rsid w:val="00CA6BB3"/>
    <w:rsid w:val="00CA6BF4"/>
    <w:rsid w:val="00CA6C14"/>
    <w:rsid w:val="00CA6C39"/>
    <w:rsid w:val="00CA6D1F"/>
    <w:rsid w:val="00CA6D37"/>
    <w:rsid w:val="00CA6D44"/>
    <w:rsid w:val="00CA6D4C"/>
    <w:rsid w:val="00CA6E1F"/>
    <w:rsid w:val="00CA6E60"/>
    <w:rsid w:val="00CA6E9A"/>
    <w:rsid w:val="00CA6F48"/>
    <w:rsid w:val="00CA6F63"/>
    <w:rsid w:val="00CA6FC2"/>
    <w:rsid w:val="00CA6FEF"/>
    <w:rsid w:val="00CA7112"/>
    <w:rsid w:val="00CA7142"/>
    <w:rsid w:val="00CA71C8"/>
    <w:rsid w:val="00CA71E5"/>
    <w:rsid w:val="00CA7293"/>
    <w:rsid w:val="00CA73DA"/>
    <w:rsid w:val="00CA7444"/>
    <w:rsid w:val="00CA75A9"/>
    <w:rsid w:val="00CA75C7"/>
    <w:rsid w:val="00CA75E8"/>
    <w:rsid w:val="00CA764F"/>
    <w:rsid w:val="00CA7741"/>
    <w:rsid w:val="00CA779E"/>
    <w:rsid w:val="00CA77D1"/>
    <w:rsid w:val="00CA7810"/>
    <w:rsid w:val="00CA785C"/>
    <w:rsid w:val="00CA788E"/>
    <w:rsid w:val="00CA789F"/>
    <w:rsid w:val="00CA78B6"/>
    <w:rsid w:val="00CA78D4"/>
    <w:rsid w:val="00CA78D7"/>
    <w:rsid w:val="00CA78E0"/>
    <w:rsid w:val="00CA78EF"/>
    <w:rsid w:val="00CA7A32"/>
    <w:rsid w:val="00CA7B82"/>
    <w:rsid w:val="00CA7B87"/>
    <w:rsid w:val="00CA7C44"/>
    <w:rsid w:val="00CA7C54"/>
    <w:rsid w:val="00CA7D46"/>
    <w:rsid w:val="00CA7D50"/>
    <w:rsid w:val="00CA7D68"/>
    <w:rsid w:val="00CA7EE4"/>
    <w:rsid w:val="00CA7F67"/>
    <w:rsid w:val="00CB0011"/>
    <w:rsid w:val="00CB00DB"/>
    <w:rsid w:val="00CB011A"/>
    <w:rsid w:val="00CB011E"/>
    <w:rsid w:val="00CB016B"/>
    <w:rsid w:val="00CB0192"/>
    <w:rsid w:val="00CB02AC"/>
    <w:rsid w:val="00CB02CA"/>
    <w:rsid w:val="00CB0402"/>
    <w:rsid w:val="00CB042C"/>
    <w:rsid w:val="00CB0463"/>
    <w:rsid w:val="00CB0473"/>
    <w:rsid w:val="00CB04AE"/>
    <w:rsid w:val="00CB051C"/>
    <w:rsid w:val="00CB052C"/>
    <w:rsid w:val="00CB0554"/>
    <w:rsid w:val="00CB059E"/>
    <w:rsid w:val="00CB05D8"/>
    <w:rsid w:val="00CB063A"/>
    <w:rsid w:val="00CB06E0"/>
    <w:rsid w:val="00CB06FD"/>
    <w:rsid w:val="00CB070A"/>
    <w:rsid w:val="00CB0781"/>
    <w:rsid w:val="00CB07AC"/>
    <w:rsid w:val="00CB08B8"/>
    <w:rsid w:val="00CB0908"/>
    <w:rsid w:val="00CB09F5"/>
    <w:rsid w:val="00CB0A05"/>
    <w:rsid w:val="00CB0BB7"/>
    <w:rsid w:val="00CB0C4A"/>
    <w:rsid w:val="00CB0C5F"/>
    <w:rsid w:val="00CB0C63"/>
    <w:rsid w:val="00CB0CAC"/>
    <w:rsid w:val="00CB0D01"/>
    <w:rsid w:val="00CB0D5E"/>
    <w:rsid w:val="00CB0EEE"/>
    <w:rsid w:val="00CB0F55"/>
    <w:rsid w:val="00CB0FCA"/>
    <w:rsid w:val="00CB0FEF"/>
    <w:rsid w:val="00CB102C"/>
    <w:rsid w:val="00CB1059"/>
    <w:rsid w:val="00CB1092"/>
    <w:rsid w:val="00CB10D2"/>
    <w:rsid w:val="00CB10D6"/>
    <w:rsid w:val="00CB11AD"/>
    <w:rsid w:val="00CB11C4"/>
    <w:rsid w:val="00CB11C7"/>
    <w:rsid w:val="00CB11EE"/>
    <w:rsid w:val="00CB124F"/>
    <w:rsid w:val="00CB1273"/>
    <w:rsid w:val="00CB127C"/>
    <w:rsid w:val="00CB12B5"/>
    <w:rsid w:val="00CB12B7"/>
    <w:rsid w:val="00CB12C5"/>
    <w:rsid w:val="00CB12D1"/>
    <w:rsid w:val="00CB1380"/>
    <w:rsid w:val="00CB1390"/>
    <w:rsid w:val="00CB13FD"/>
    <w:rsid w:val="00CB1461"/>
    <w:rsid w:val="00CB1470"/>
    <w:rsid w:val="00CB14B2"/>
    <w:rsid w:val="00CB14C6"/>
    <w:rsid w:val="00CB14E7"/>
    <w:rsid w:val="00CB1566"/>
    <w:rsid w:val="00CB15FC"/>
    <w:rsid w:val="00CB1708"/>
    <w:rsid w:val="00CB182B"/>
    <w:rsid w:val="00CB1845"/>
    <w:rsid w:val="00CB1850"/>
    <w:rsid w:val="00CB1861"/>
    <w:rsid w:val="00CB1937"/>
    <w:rsid w:val="00CB198E"/>
    <w:rsid w:val="00CB19EB"/>
    <w:rsid w:val="00CB19F8"/>
    <w:rsid w:val="00CB1A1C"/>
    <w:rsid w:val="00CB1BAF"/>
    <w:rsid w:val="00CB1C28"/>
    <w:rsid w:val="00CB1C58"/>
    <w:rsid w:val="00CB1D15"/>
    <w:rsid w:val="00CB1D4E"/>
    <w:rsid w:val="00CB1E76"/>
    <w:rsid w:val="00CB1F6E"/>
    <w:rsid w:val="00CB1FCD"/>
    <w:rsid w:val="00CB202D"/>
    <w:rsid w:val="00CB2077"/>
    <w:rsid w:val="00CB2115"/>
    <w:rsid w:val="00CB21BE"/>
    <w:rsid w:val="00CB22A5"/>
    <w:rsid w:val="00CB22B4"/>
    <w:rsid w:val="00CB22C2"/>
    <w:rsid w:val="00CB2312"/>
    <w:rsid w:val="00CB2376"/>
    <w:rsid w:val="00CB242D"/>
    <w:rsid w:val="00CB24E5"/>
    <w:rsid w:val="00CB24F8"/>
    <w:rsid w:val="00CB2552"/>
    <w:rsid w:val="00CB258F"/>
    <w:rsid w:val="00CB26F3"/>
    <w:rsid w:val="00CB2717"/>
    <w:rsid w:val="00CB2762"/>
    <w:rsid w:val="00CB27C4"/>
    <w:rsid w:val="00CB27EF"/>
    <w:rsid w:val="00CB280C"/>
    <w:rsid w:val="00CB2A01"/>
    <w:rsid w:val="00CB2A18"/>
    <w:rsid w:val="00CB2A38"/>
    <w:rsid w:val="00CB2A89"/>
    <w:rsid w:val="00CB2B14"/>
    <w:rsid w:val="00CB2B38"/>
    <w:rsid w:val="00CB2B89"/>
    <w:rsid w:val="00CB2B9B"/>
    <w:rsid w:val="00CB2C4E"/>
    <w:rsid w:val="00CB2CC4"/>
    <w:rsid w:val="00CB2CCB"/>
    <w:rsid w:val="00CB2E02"/>
    <w:rsid w:val="00CB2E1A"/>
    <w:rsid w:val="00CB2E28"/>
    <w:rsid w:val="00CB2F3D"/>
    <w:rsid w:val="00CB2F52"/>
    <w:rsid w:val="00CB3043"/>
    <w:rsid w:val="00CB306C"/>
    <w:rsid w:val="00CB3084"/>
    <w:rsid w:val="00CB3134"/>
    <w:rsid w:val="00CB31AF"/>
    <w:rsid w:val="00CB3233"/>
    <w:rsid w:val="00CB3261"/>
    <w:rsid w:val="00CB3264"/>
    <w:rsid w:val="00CB32F7"/>
    <w:rsid w:val="00CB32FC"/>
    <w:rsid w:val="00CB33B4"/>
    <w:rsid w:val="00CB3494"/>
    <w:rsid w:val="00CB350D"/>
    <w:rsid w:val="00CB3526"/>
    <w:rsid w:val="00CB3584"/>
    <w:rsid w:val="00CB361B"/>
    <w:rsid w:val="00CB3645"/>
    <w:rsid w:val="00CB364E"/>
    <w:rsid w:val="00CB3752"/>
    <w:rsid w:val="00CB3777"/>
    <w:rsid w:val="00CB3795"/>
    <w:rsid w:val="00CB37B2"/>
    <w:rsid w:val="00CB37CF"/>
    <w:rsid w:val="00CB380A"/>
    <w:rsid w:val="00CB38CB"/>
    <w:rsid w:val="00CB3904"/>
    <w:rsid w:val="00CB3917"/>
    <w:rsid w:val="00CB393B"/>
    <w:rsid w:val="00CB3A03"/>
    <w:rsid w:val="00CB3BA9"/>
    <w:rsid w:val="00CB3C44"/>
    <w:rsid w:val="00CB3D64"/>
    <w:rsid w:val="00CB3DFE"/>
    <w:rsid w:val="00CB3E2A"/>
    <w:rsid w:val="00CB3F29"/>
    <w:rsid w:val="00CB3F66"/>
    <w:rsid w:val="00CB4038"/>
    <w:rsid w:val="00CB41EA"/>
    <w:rsid w:val="00CB4293"/>
    <w:rsid w:val="00CB42A2"/>
    <w:rsid w:val="00CB430C"/>
    <w:rsid w:val="00CB4381"/>
    <w:rsid w:val="00CB43EE"/>
    <w:rsid w:val="00CB44A4"/>
    <w:rsid w:val="00CB4561"/>
    <w:rsid w:val="00CB4586"/>
    <w:rsid w:val="00CB45B7"/>
    <w:rsid w:val="00CB45C2"/>
    <w:rsid w:val="00CB45FD"/>
    <w:rsid w:val="00CB4688"/>
    <w:rsid w:val="00CB469E"/>
    <w:rsid w:val="00CB4750"/>
    <w:rsid w:val="00CB4853"/>
    <w:rsid w:val="00CB49AE"/>
    <w:rsid w:val="00CB4AC2"/>
    <w:rsid w:val="00CB4AE1"/>
    <w:rsid w:val="00CB4B1A"/>
    <w:rsid w:val="00CB4C1D"/>
    <w:rsid w:val="00CB4C7F"/>
    <w:rsid w:val="00CB4C92"/>
    <w:rsid w:val="00CB4CF3"/>
    <w:rsid w:val="00CB4D81"/>
    <w:rsid w:val="00CB4DF3"/>
    <w:rsid w:val="00CB4DFA"/>
    <w:rsid w:val="00CB4EEE"/>
    <w:rsid w:val="00CB4F1E"/>
    <w:rsid w:val="00CB4F78"/>
    <w:rsid w:val="00CB5012"/>
    <w:rsid w:val="00CB5069"/>
    <w:rsid w:val="00CB50B4"/>
    <w:rsid w:val="00CB50B8"/>
    <w:rsid w:val="00CB5127"/>
    <w:rsid w:val="00CB5321"/>
    <w:rsid w:val="00CB53A4"/>
    <w:rsid w:val="00CB53E6"/>
    <w:rsid w:val="00CB5475"/>
    <w:rsid w:val="00CB547D"/>
    <w:rsid w:val="00CB54B6"/>
    <w:rsid w:val="00CB54E8"/>
    <w:rsid w:val="00CB5512"/>
    <w:rsid w:val="00CB55E4"/>
    <w:rsid w:val="00CB560D"/>
    <w:rsid w:val="00CB5725"/>
    <w:rsid w:val="00CB5868"/>
    <w:rsid w:val="00CB58ED"/>
    <w:rsid w:val="00CB5906"/>
    <w:rsid w:val="00CB5970"/>
    <w:rsid w:val="00CB59D0"/>
    <w:rsid w:val="00CB5AC3"/>
    <w:rsid w:val="00CB5B0A"/>
    <w:rsid w:val="00CB5B72"/>
    <w:rsid w:val="00CB5D22"/>
    <w:rsid w:val="00CB5D6C"/>
    <w:rsid w:val="00CB5D9F"/>
    <w:rsid w:val="00CB5DD0"/>
    <w:rsid w:val="00CB5DEE"/>
    <w:rsid w:val="00CB5DFE"/>
    <w:rsid w:val="00CB5E35"/>
    <w:rsid w:val="00CB5E42"/>
    <w:rsid w:val="00CB5E6F"/>
    <w:rsid w:val="00CB5EC3"/>
    <w:rsid w:val="00CB5EE2"/>
    <w:rsid w:val="00CB5F04"/>
    <w:rsid w:val="00CB5F2C"/>
    <w:rsid w:val="00CB5FEC"/>
    <w:rsid w:val="00CB600F"/>
    <w:rsid w:val="00CB608E"/>
    <w:rsid w:val="00CB610D"/>
    <w:rsid w:val="00CB610F"/>
    <w:rsid w:val="00CB6121"/>
    <w:rsid w:val="00CB617C"/>
    <w:rsid w:val="00CB6218"/>
    <w:rsid w:val="00CB6306"/>
    <w:rsid w:val="00CB6377"/>
    <w:rsid w:val="00CB63F6"/>
    <w:rsid w:val="00CB6464"/>
    <w:rsid w:val="00CB64BB"/>
    <w:rsid w:val="00CB653E"/>
    <w:rsid w:val="00CB65EB"/>
    <w:rsid w:val="00CB65F8"/>
    <w:rsid w:val="00CB65F9"/>
    <w:rsid w:val="00CB66AE"/>
    <w:rsid w:val="00CB6773"/>
    <w:rsid w:val="00CB67B6"/>
    <w:rsid w:val="00CB67BE"/>
    <w:rsid w:val="00CB6908"/>
    <w:rsid w:val="00CB698A"/>
    <w:rsid w:val="00CB6A53"/>
    <w:rsid w:val="00CB6AA6"/>
    <w:rsid w:val="00CB6AE8"/>
    <w:rsid w:val="00CB6AEC"/>
    <w:rsid w:val="00CB6BF9"/>
    <w:rsid w:val="00CB6D20"/>
    <w:rsid w:val="00CB6DC4"/>
    <w:rsid w:val="00CB6DED"/>
    <w:rsid w:val="00CB6EE5"/>
    <w:rsid w:val="00CB6F09"/>
    <w:rsid w:val="00CB6F11"/>
    <w:rsid w:val="00CB6F3C"/>
    <w:rsid w:val="00CB701A"/>
    <w:rsid w:val="00CB7069"/>
    <w:rsid w:val="00CB7077"/>
    <w:rsid w:val="00CB70A9"/>
    <w:rsid w:val="00CB70DC"/>
    <w:rsid w:val="00CB710D"/>
    <w:rsid w:val="00CB71A6"/>
    <w:rsid w:val="00CB71B4"/>
    <w:rsid w:val="00CB741A"/>
    <w:rsid w:val="00CB7462"/>
    <w:rsid w:val="00CB748E"/>
    <w:rsid w:val="00CB74D2"/>
    <w:rsid w:val="00CB759F"/>
    <w:rsid w:val="00CB768A"/>
    <w:rsid w:val="00CB76AA"/>
    <w:rsid w:val="00CB76CD"/>
    <w:rsid w:val="00CB76D5"/>
    <w:rsid w:val="00CB7770"/>
    <w:rsid w:val="00CB7795"/>
    <w:rsid w:val="00CB77C3"/>
    <w:rsid w:val="00CB7872"/>
    <w:rsid w:val="00CB789D"/>
    <w:rsid w:val="00CB78B8"/>
    <w:rsid w:val="00CB7949"/>
    <w:rsid w:val="00CB79B5"/>
    <w:rsid w:val="00CB7A3D"/>
    <w:rsid w:val="00CB7AD7"/>
    <w:rsid w:val="00CB7AEC"/>
    <w:rsid w:val="00CB7C20"/>
    <w:rsid w:val="00CB7C29"/>
    <w:rsid w:val="00CB7C8F"/>
    <w:rsid w:val="00CB7D0B"/>
    <w:rsid w:val="00CB7D8C"/>
    <w:rsid w:val="00CB7DEE"/>
    <w:rsid w:val="00CB7E1E"/>
    <w:rsid w:val="00CB7EC2"/>
    <w:rsid w:val="00CB7ECD"/>
    <w:rsid w:val="00CB7ED4"/>
    <w:rsid w:val="00CC0005"/>
    <w:rsid w:val="00CC000C"/>
    <w:rsid w:val="00CC00C0"/>
    <w:rsid w:val="00CC0165"/>
    <w:rsid w:val="00CC0194"/>
    <w:rsid w:val="00CC01B9"/>
    <w:rsid w:val="00CC0206"/>
    <w:rsid w:val="00CC022A"/>
    <w:rsid w:val="00CC02D6"/>
    <w:rsid w:val="00CC0312"/>
    <w:rsid w:val="00CC03EA"/>
    <w:rsid w:val="00CC0446"/>
    <w:rsid w:val="00CC04FD"/>
    <w:rsid w:val="00CC0510"/>
    <w:rsid w:val="00CC051E"/>
    <w:rsid w:val="00CC0541"/>
    <w:rsid w:val="00CC054B"/>
    <w:rsid w:val="00CC057B"/>
    <w:rsid w:val="00CC0591"/>
    <w:rsid w:val="00CC05B6"/>
    <w:rsid w:val="00CC067D"/>
    <w:rsid w:val="00CC06AF"/>
    <w:rsid w:val="00CC06CC"/>
    <w:rsid w:val="00CC06D8"/>
    <w:rsid w:val="00CC06FA"/>
    <w:rsid w:val="00CC0721"/>
    <w:rsid w:val="00CC073C"/>
    <w:rsid w:val="00CC07C9"/>
    <w:rsid w:val="00CC08B6"/>
    <w:rsid w:val="00CC08FF"/>
    <w:rsid w:val="00CC0939"/>
    <w:rsid w:val="00CC09A0"/>
    <w:rsid w:val="00CC09E9"/>
    <w:rsid w:val="00CC0AB8"/>
    <w:rsid w:val="00CC0AF2"/>
    <w:rsid w:val="00CC0B1D"/>
    <w:rsid w:val="00CC0B5A"/>
    <w:rsid w:val="00CC0BA1"/>
    <w:rsid w:val="00CC0BDA"/>
    <w:rsid w:val="00CC0C63"/>
    <w:rsid w:val="00CC0C8C"/>
    <w:rsid w:val="00CC0D21"/>
    <w:rsid w:val="00CC0D4E"/>
    <w:rsid w:val="00CC0D6A"/>
    <w:rsid w:val="00CC0D89"/>
    <w:rsid w:val="00CC0DC3"/>
    <w:rsid w:val="00CC0E7D"/>
    <w:rsid w:val="00CC0E88"/>
    <w:rsid w:val="00CC0EBE"/>
    <w:rsid w:val="00CC0FCC"/>
    <w:rsid w:val="00CC1028"/>
    <w:rsid w:val="00CC1098"/>
    <w:rsid w:val="00CC1145"/>
    <w:rsid w:val="00CC114A"/>
    <w:rsid w:val="00CC11BA"/>
    <w:rsid w:val="00CC1343"/>
    <w:rsid w:val="00CC1368"/>
    <w:rsid w:val="00CC1459"/>
    <w:rsid w:val="00CC145F"/>
    <w:rsid w:val="00CC153D"/>
    <w:rsid w:val="00CC154D"/>
    <w:rsid w:val="00CC165E"/>
    <w:rsid w:val="00CC1681"/>
    <w:rsid w:val="00CC16C1"/>
    <w:rsid w:val="00CC1768"/>
    <w:rsid w:val="00CC1769"/>
    <w:rsid w:val="00CC1770"/>
    <w:rsid w:val="00CC18CE"/>
    <w:rsid w:val="00CC18D7"/>
    <w:rsid w:val="00CC192A"/>
    <w:rsid w:val="00CC1940"/>
    <w:rsid w:val="00CC1A0A"/>
    <w:rsid w:val="00CC1A4F"/>
    <w:rsid w:val="00CC1A53"/>
    <w:rsid w:val="00CC1A74"/>
    <w:rsid w:val="00CC1CA3"/>
    <w:rsid w:val="00CC1EF7"/>
    <w:rsid w:val="00CC1F17"/>
    <w:rsid w:val="00CC1F1A"/>
    <w:rsid w:val="00CC1F58"/>
    <w:rsid w:val="00CC1FF8"/>
    <w:rsid w:val="00CC2011"/>
    <w:rsid w:val="00CC208D"/>
    <w:rsid w:val="00CC20A3"/>
    <w:rsid w:val="00CC2187"/>
    <w:rsid w:val="00CC21CB"/>
    <w:rsid w:val="00CC221B"/>
    <w:rsid w:val="00CC22B1"/>
    <w:rsid w:val="00CC2374"/>
    <w:rsid w:val="00CC23E0"/>
    <w:rsid w:val="00CC2445"/>
    <w:rsid w:val="00CC24B3"/>
    <w:rsid w:val="00CC24B9"/>
    <w:rsid w:val="00CC2503"/>
    <w:rsid w:val="00CC2544"/>
    <w:rsid w:val="00CC254A"/>
    <w:rsid w:val="00CC2582"/>
    <w:rsid w:val="00CC25B9"/>
    <w:rsid w:val="00CC25E5"/>
    <w:rsid w:val="00CC25E6"/>
    <w:rsid w:val="00CC261B"/>
    <w:rsid w:val="00CC28E8"/>
    <w:rsid w:val="00CC2A0F"/>
    <w:rsid w:val="00CC2A57"/>
    <w:rsid w:val="00CC2B00"/>
    <w:rsid w:val="00CC2B1D"/>
    <w:rsid w:val="00CC2B5B"/>
    <w:rsid w:val="00CC2B88"/>
    <w:rsid w:val="00CC2BA6"/>
    <w:rsid w:val="00CC2BBE"/>
    <w:rsid w:val="00CC2BD0"/>
    <w:rsid w:val="00CC2C61"/>
    <w:rsid w:val="00CC2CF9"/>
    <w:rsid w:val="00CC2D24"/>
    <w:rsid w:val="00CC2D45"/>
    <w:rsid w:val="00CC2DD8"/>
    <w:rsid w:val="00CC2E06"/>
    <w:rsid w:val="00CC2EAA"/>
    <w:rsid w:val="00CC2F01"/>
    <w:rsid w:val="00CC2F04"/>
    <w:rsid w:val="00CC2F07"/>
    <w:rsid w:val="00CC2FA6"/>
    <w:rsid w:val="00CC2FB5"/>
    <w:rsid w:val="00CC2FFE"/>
    <w:rsid w:val="00CC30C0"/>
    <w:rsid w:val="00CC30FF"/>
    <w:rsid w:val="00CC3111"/>
    <w:rsid w:val="00CC3116"/>
    <w:rsid w:val="00CC3336"/>
    <w:rsid w:val="00CC33A2"/>
    <w:rsid w:val="00CC33A8"/>
    <w:rsid w:val="00CC33C4"/>
    <w:rsid w:val="00CC33D8"/>
    <w:rsid w:val="00CC33F5"/>
    <w:rsid w:val="00CC34A8"/>
    <w:rsid w:val="00CC34D7"/>
    <w:rsid w:val="00CC34E2"/>
    <w:rsid w:val="00CC34EA"/>
    <w:rsid w:val="00CC34EE"/>
    <w:rsid w:val="00CC34FE"/>
    <w:rsid w:val="00CC352F"/>
    <w:rsid w:val="00CC361B"/>
    <w:rsid w:val="00CC36FE"/>
    <w:rsid w:val="00CC3844"/>
    <w:rsid w:val="00CC3877"/>
    <w:rsid w:val="00CC38FF"/>
    <w:rsid w:val="00CC3930"/>
    <w:rsid w:val="00CC3933"/>
    <w:rsid w:val="00CC39CB"/>
    <w:rsid w:val="00CC3A4E"/>
    <w:rsid w:val="00CC3A8C"/>
    <w:rsid w:val="00CC3AAC"/>
    <w:rsid w:val="00CC3AE2"/>
    <w:rsid w:val="00CC3AFE"/>
    <w:rsid w:val="00CC3B37"/>
    <w:rsid w:val="00CC3B82"/>
    <w:rsid w:val="00CC3BE5"/>
    <w:rsid w:val="00CC3D48"/>
    <w:rsid w:val="00CC3D75"/>
    <w:rsid w:val="00CC3DF0"/>
    <w:rsid w:val="00CC3EE7"/>
    <w:rsid w:val="00CC3F35"/>
    <w:rsid w:val="00CC3FC7"/>
    <w:rsid w:val="00CC40C9"/>
    <w:rsid w:val="00CC4113"/>
    <w:rsid w:val="00CC4197"/>
    <w:rsid w:val="00CC42B2"/>
    <w:rsid w:val="00CC42C8"/>
    <w:rsid w:val="00CC437C"/>
    <w:rsid w:val="00CC438A"/>
    <w:rsid w:val="00CC43F1"/>
    <w:rsid w:val="00CC43FE"/>
    <w:rsid w:val="00CC440D"/>
    <w:rsid w:val="00CC4428"/>
    <w:rsid w:val="00CC44BA"/>
    <w:rsid w:val="00CC44F7"/>
    <w:rsid w:val="00CC4516"/>
    <w:rsid w:val="00CC4519"/>
    <w:rsid w:val="00CC453D"/>
    <w:rsid w:val="00CC4540"/>
    <w:rsid w:val="00CC46F0"/>
    <w:rsid w:val="00CC4772"/>
    <w:rsid w:val="00CC4906"/>
    <w:rsid w:val="00CC490F"/>
    <w:rsid w:val="00CC4910"/>
    <w:rsid w:val="00CC493A"/>
    <w:rsid w:val="00CC4963"/>
    <w:rsid w:val="00CC4993"/>
    <w:rsid w:val="00CC4A9C"/>
    <w:rsid w:val="00CC4BD1"/>
    <w:rsid w:val="00CC4C31"/>
    <w:rsid w:val="00CC4C7A"/>
    <w:rsid w:val="00CC4D50"/>
    <w:rsid w:val="00CC4E5B"/>
    <w:rsid w:val="00CC4F50"/>
    <w:rsid w:val="00CC4F82"/>
    <w:rsid w:val="00CC4FEC"/>
    <w:rsid w:val="00CC4FED"/>
    <w:rsid w:val="00CC5016"/>
    <w:rsid w:val="00CC5077"/>
    <w:rsid w:val="00CC514D"/>
    <w:rsid w:val="00CC5193"/>
    <w:rsid w:val="00CC521E"/>
    <w:rsid w:val="00CC52A1"/>
    <w:rsid w:val="00CC5421"/>
    <w:rsid w:val="00CC543E"/>
    <w:rsid w:val="00CC54B2"/>
    <w:rsid w:val="00CC5522"/>
    <w:rsid w:val="00CC5546"/>
    <w:rsid w:val="00CC55B8"/>
    <w:rsid w:val="00CC55C3"/>
    <w:rsid w:val="00CC55EC"/>
    <w:rsid w:val="00CC560D"/>
    <w:rsid w:val="00CC587E"/>
    <w:rsid w:val="00CC5927"/>
    <w:rsid w:val="00CC59FE"/>
    <w:rsid w:val="00CC5A47"/>
    <w:rsid w:val="00CC5A51"/>
    <w:rsid w:val="00CC5ADE"/>
    <w:rsid w:val="00CC5AFB"/>
    <w:rsid w:val="00CC5B4B"/>
    <w:rsid w:val="00CC5C40"/>
    <w:rsid w:val="00CC5CAB"/>
    <w:rsid w:val="00CC5D4A"/>
    <w:rsid w:val="00CC5D5B"/>
    <w:rsid w:val="00CC5E2A"/>
    <w:rsid w:val="00CC5F0F"/>
    <w:rsid w:val="00CC5F9E"/>
    <w:rsid w:val="00CC624A"/>
    <w:rsid w:val="00CC633C"/>
    <w:rsid w:val="00CC6492"/>
    <w:rsid w:val="00CC653A"/>
    <w:rsid w:val="00CC658B"/>
    <w:rsid w:val="00CC65A6"/>
    <w:rsid w:val="00CC669E"/>
    <w:rsid w:val="00CC671B"/>
    <w:rsid w:val="00CC67D3"/>
    <w:rsid w:val="00CC67F1"/>
    <w:rsid w:val="00CC6810"/>
    <w:rsid w:val="00CC684B"/>
    <w:rsid w:val="00CC684E"/>
    <w:rsid w:val="00CC68B8"/>
    <w:rsid w:val="00CC692D"/>
    <w:rsid w:val="00CC6967"/>
    <w:rsid w:val="00CC69A9"/>
    <w:rsid w:val="00CC6A14"/>
    <w:rsid w:val="00CC6A8B"/>
    <w:rsid w:val="00CC6B1D"/>
    <w:rsid w:val="00CC6B5C"/>
    <w:rsid w:val="00CC6BD6"/>
    <w:rsid w:val="00CC6C91"/>
    <w:rsid w:val="00CC6D1C"/>
    <w:rsid w:val="00CC6D92"/>
    <w:rsid w:val="00CC6DF0"/>
    <w:rsid w:val="00CC6DF8"/>
    <w:rsid w:val="00CC6E1E"/>
    <w:rsid w:val="00CC6F75"/>
    <w:rsid w:val="00CC701A"/>
    <w:rsid w:val="00CC703F"/>
    <w:rsid w:val="00CC70A8"/>
    <w:rsid w:val="00CC712B"/>
    <w:rsid w:val="00CC7143"/>
    <w:rsid w:val="00CC716E"/>
    <w:rsid w:val="00CC7181"/>
    <w:rsid w:val="00CC722C"/>
    <w:rsid w:val="00CC72AD"/>
    <w:rsid w:val="00CC7350"/>
    <w:rsid w:val="00CC73AD"/>
    <w:rsid w:val="00CC73D4"/>
    <w:rsid w:val="00CC74C9"/>
    <w:rsid w:val="00CC74CF"/>
    <w:rsid w:val="00CC74D9"/>
    <w:rsid w:val="00CC74E5"/>
    <w:rsid w:val="00CC74FF"/>
    <w:rsid w:val="00CC751F"/>
    <w:rsid w:val="00CC76F4"/>
    <w:rsid w:val="00CC7714"/>
    <w:rsid w:val="00CC7733"/>
    <w:rsid w:val="00CC7791"/>
    <w:rsid w:val="00CC78CF"/>
    <w:rsid w:val="00CC78F7"/>
    <w:rsid w:val="00CC7982"/>
    <w:rsid w:val="00CC7990"/>
    <w:rsid w:val="00CC79C8"/>
    <w:rsid w:val="00CC79C9"/>
    <w:rsid w:val="00CC7A02"/>
    <w:rsid w:val="00CC7A44"/>
    <w:rsid w:val="00CC7AEF"/>
    <w:rsid w:val="00CC7AF9"/>
    <w:rsid w:val="00CC7B05"/>
    <w:rsid w:val="00CC7B2D"/>
    <w:rsid w:val="00CC7B79"/>
    <w:rsid w:val="00CC7B88"/>
    <w:rsid w:val="00CC7B8B"/>
    <w:rsid w:val="00CC7C2E"/>
    <w:rsid w:val="00CC7C32"/>
    <w:rsid w:val="00CC7D3F"/>
    <w:rsid w:val="00CC7DCE"/>
    <w:rsid w:val="00CC7E4B"/>
    <w:rsid w:val="00CC7E65"/>
    <w:rsid w:val="00CC7EA3"/>
    <w:rsid w:val="00CC7F4C"/>
    <w:rsid w:val="00CC7F94"/>
    <w:rsid w:val="00CC7F9C"/>
    <w:rsid w:val="00CC7FE1"/>
    <w:rsid w:val="00CD0030"/>
    <w:rsid w:val="00CD0058"/>
    <w:rsid w:val="00CD006E"/>
    <w:rsid w:val="00CD017A"/>
    <w:rsid w:val="00CD0190"/>
    <w:rsid w:val="00CD01F0"/>
    <w:rsid w:val="00CD0296"/>
    <w:rsid w:val="00CD02B5"/>
    <w:rsid w:val="00CD035B"/>
    <w:rsid w:val="00CD03B6"/>
    <w:rsid w:val="00CD046F"/>
    <w:rsid w:val="00CD0544"/>
    <w:rsid w:val="00CD059A"/>
    <w:rsid w:val="00CD05D3"/>
    <w:rsid w:val="00CD060B"/>
    <w:rsid w:val="00CD0722"/>
    <w:rsid w:val="00CD0820"/>
    <w:rsid w:val="00CD0838"/>
    <w:rsid w:val="00CD0909"/>
    <w:rsid w:val="00CD094F"/>
    <w:rsid w:val="00CD0AAE"/>
    <w:rsid w:val="00CD0AB0"/>
    <w:rsid w:val="00CD0AC9"/>
    <w:rsid w:val="00CD0AD0"/>
    <w:rsid w:val="00CD0AF1"/>
    <w:rsid w:val="00CD0B4E"/>
    <w:rsid w:val="00CD0B88"/>
    <w:rsid w:val="00CD0BA3"/>
    <w:rsid w:val="00CD0BD7"/>
    <w:rsid w:val="00CD0C2B"/>
    <w:rsid w:val="00CD0C5C"/>
    <w:rsid w:val="00CD0CC8"/>
    <w:rsid w:val="00CD0D80"/>
    <w:rsid w:val="00CD0F25"/>
    <w:rsid w:val="00CD0F89"/>
    <w:rsid w:val="00CD1027"/>
    <w:rsid w:val="00CD10CD"/>
    <w:rsid w:val="00CD114B"/>
    <w:rsid w:val="00CD11AF"/>
    <w:rsid w:val="00CD11C4"/>
    <w:rsid w:val="00CD123C"/>
    <w:rsid w:val="00CD1255"/>
    <w:rsid w:val="00CD1284"/>
    <w:rsid w:val="00CD12FC"/>
    <w:rsid w:val="00CD133C"/>
    <w:rsid w:val="00CD1343"/>
    <w:rsid w:val="00CD138E"/>
    <w:rsid w:val="00CD14E8"/>
    <w:rsid w:val="00CD1545"/>
    <w:rsid w:val="00CD15C8"/>
    <w:rsid w:val="00CD15EB"/>
    <w:rsid w:val="00CD1659"/>
    <w:rsid w:val="00CD1768"/>
    <w:rsid w:val="00CD185F"/>
    <w:rsid w:val="00CD1911"/>
    <w:rsid w:val="00CD1974"/>
    <w:rsid w:val="00CD19D2"/>
    <w:rsid w:val="00CD1A6E"/>
    <w:rsid w:val="00CD1A98"/>
    <w:rsid w:val="00CD1B05"/>
    <w:rsid w:val="00CD1B3E"/>
    <w:rsid w:val="00CD1BE6"/>
    <w:rsid w:val="00CD1C0E"/>
    <w:rsid w:val="00CD1C89"/>
    <w:rsid w:val="00CD1CD8"/>
    <w:rsid w:val="00CD1CDE"/>
    <w:rsid w:val="00CD1CF3"/>
    <w:rsid w:val="00CD1D09"/>
    <w:rsid w:val="00CD1D48"/>
    <w:rsid w:val="00CD1D4A"/>
    <w:rsid w:val="00CD1DCE"/>
    <w:rsid w:val="00CD1E0A"/>
    <w:rsid w:val="00CD1E57"/>
    <w:rsid w:val="00CD1E8A"/>
    <w:rsid w:val="00CD1EFA"/>
    <w:rsid w:val="00CD1F03"/>
    <w:rsid w:val="00CD2069"/>
    <w:rsid w:val="00CD2099"/>
    <w:rsid w:val="00CD20BF"/>
    <w:rsid w:val="00CD20F0"/>
    <w:rsid w:val="00CD2123"/>
    <w:rsid w:val="00CD2144"/>
    <w:rsid w:val="00CD21E7"/>
    <w:rsid w:val="00CD21F0"/>
    <w:rsid w:val="00CD223A"/>
    <w:rsid w:val="00CD2244"/>
    <w:rsid w:val="00CD2249"/>
    <w:rsid w:val="00CD2250"/>
    <w:rsid w:val="00CD231D"/>
    <w:rsid w:val="00CD2326"/>
    <w:rsid w:val="00CD2333"/>
    <w:rsid w:val="00CD2364"/>
    <w:rsid w:val="00CD2432"/>
    <w:rsid w:val="00CD24C4"/>
    <w:rsid w:val="00CD2521"/>
    <w:rsid w:val="00CD254F"/>
    <w:rsid w:val="00CD2584"/>
    <w:rsid w:val="00CD2611"/>
    <w:rsid w:val="00CD2614"/>
    <w:rsid w:val="00CD2645"/>
    <w:rsid w:val="00CD2675"/>
    <w:rsid w:val="00CD2727"/>
    <w:rsid w:val="00CD272C"/>
    <w:rsid w:val="00CD27EC"/>
    <w:rsid w:val="00CD2841"/>
    <w:rsid w:val="00CD28A7"/>
    <w:rsid w:val="00CD28E8"/>
    <w:rsid w:val="00CD2947"/>
    <w:rsid w:val="00CD298C"/>
    <w:rsid w:val="00CD2AAC"/>
    <w:rsid w:val="00CD2AAF"/>
    <w:rsid w:val="00CD2ABD"/>
    <w:rsid w:val="00CD2ACB"/>
    <w:rsid w:val="00CD2AD6"/>
    <w:rsid w:val="00CD2B4C"/>
    <w:rsid w:val="00CD2C6C"/>
    <w:rsid w:val="00CD2C70"/>
    <w:rsid w:val="00CD2CFA"/>
    <w:rsid w:val="00CD2D38"/>
    <w:rsid w:val="00CD2D89"/>
    <w:rsid w:val="00CD2E05"/>
    <w:rsid w:val="00CD2EF4"/>
    <w:rsid w:val="00CD2F6D"/>
    <w:rsid w:val="00CD3114"/>
    <w:rsid w:val="00CD3196"/>
    <w:rsid w:val="00CD31B5"/>
    <w:rsid w:val="00CD3201"/>
    <w:rsid w:val="00CD3221"/>
    <w:rsid w:val="00CD3233"/>
    <w:rsid w:val="00CD325B"/>
    <w:rsid w:val="00CD3286"/>
    <w:rsid w:val="00CD331E"/>
    <w:rsid w:val="00CD334D"/>
    <w:rsid w:val="00CD3384"/>
    <w:rsid w:val="00CD3390"/>
    <w:rsid w:val="00CD3422"/>
    <w:rsid w:val="00CD3492"/>
    <w:rsid w:val="00CD34FE"/>
    <w:rsid w:val="00CD3507"/>
    <w:rsid w:val="00CD3528"/>
    <w:rsid w:val="00CD3567"/>
    <w:rsid w:val="00CD359C"/>
    <w:rsid w:val="00CD363A"/>
    <w:rsid w:val="00CD3645"/>
    <w:rsid w:val="00CD36FC"/>
    <w:rsid w:val="00CD371A"/>
    <w:rsid w:val="00CD373B"/>
    <w:rsid w:val="00CD3769"/>
    <w:rsid w:val="00CD377E"/>
    <w:rsid w:val="00CD3791"/>
    <w:rsid w:val="00CD384F"/>
    <w:rsid w:val="00CD38B0"/>
    <w:rsid w:val="00CD38B2"/>
    <w:rsid w:val="00CD391E"/>
    <w:rsid w:val="00CD3933"/>
    <w:rsid w:val="00CD3945"/>
    <w:rsid w:val="00CD3A5B"/>
    <w:rsid w:val="00CD3BA1"/>
    <w:rsid w:val="00CD3BA4"/>
    <w:rsid w:val="00CD3BFB"/>
    <w:rsid w:val="00CD3CEE"/>
    <w:rsid w:val="00CD3CF4"/>
    <w:rsid w:val="00CD3D84"/>
    <w:rsid w:val="00CD3E1A"/>
    <w:rsid w:val="00CD3E20"/>
    <w:rsid w:val="00CD3E2C"/>
    <w:rsid w:val="00CD3E49"/>
    <w:rsid w:val="00CD3ECA"/>
    <w:rsid w:val="00CD3F58"/>
    <w:rsid w:val="00CD3FF1"/>
    <w:rsid w:val="00CD4057"/>
    <w:rsid w:val="00CD4089"/>
    <w:rsid w:val="00CD40BD"/>
    <w:rsid w:val="00CD40E2"/>
    <w:rsid w:val="00CD411C"/>
    <w:rsid w:val="00CD4136"/>
    <w:rsid w:val="00CD4148"/>
    <w:rsid w:val="00CD417F"/>
    <w:rsid w:val="00CD4184"/>
    <w:rsid w:val="00CD4251"/>
    <w:rsid w:val="00CD426D"/>
    <w:rsid w:val="00CD426E"/>
    <w:rsid w:val="00CD4280"/>
    <w:rsid w:val="00CD4316"/>
    <w:rsid w:val="00CD43CE"/>
    <w:rsid w:val="00CD43E6"/>
    <w:rsid w:val="00CD43F4"/>
    <w:rsid w:val="00CD44A1"/>
    <w:rsid w:val="00CD456D"/>
    <w:rsid w:val="00CD47DC"/>
    <w:rsid w:val="00CD4806"/>
    <w:rsid w:val="00CD482D"/>
    <w:rsid w:val="00CD48D5"/>
    <w:rsid w:val="00CD497A"/>
    <w:rsid w:val="00CD497D"/>
    <w:rsid w:val="00CD4981"/>
    <w:rsid w:val="00CD49DE"/>
    <w:rsid w:val="00CD4A01"/>
    <w:rsid w:val="00CD4A48"/>
    <w:rsid w:val="00CD4A4D"/>
    <w:rsid w:val="00CD4AB5"/>
    <w:rsid w:val="00CD4ACC"/>
    <w:rsid w:val="00CD4ADA"/>
    <w:rsid w:val="00CD4B25"/>
    <w:rsid w:val="00CD4B26"/>
    <w:rsid w:val="00CD4CE3"/>
    <w:rsid w:val="00CD4D0C"/>
    <w:rsid w:val="00CD4D56"/>
    <w:rsid w:val="00CD4D5E"/>
    <w:rsid w:val="00CD4D75"/>
    <w:rsid w:val="00CD4DA6"/>
    <w:rsid w:val="00CD4DD3"/>
    <w:rsid w:val="00CD4DEF"/>
    <w:rsid w:val="00CD4E32"/>
    <w:rsid w:val="00CD4EE6"/>
    <w:rsid w:val="00CD4F3F"/>
    <w:rsid w:val="00CD4FB4"/>
    <w:rsid w:val="00CD4FD7"/>
    <w:rsid w:val="00CD5009"/>
    <w:rsid w:val="00CD501D"/>
    <w:rsid w:val="00CD502B"/>
    <w:rsid w:val="00CD5087"/>
    <w:rsid w:val="00CD50BE"/>
    <w:rsid w:val="00CD5101"/>
    <w:rsid w:val="00CD5178"/>
    <w:rsid w:val="00CD5188"/>
    <w:rsid w:val="00CD51E4"/>
    <w:rsid w:val="00CD5202"/>
    <w:rsid w:val="00CD5233"/>
    <w:rsid w:val="00CD528B"/>
    <w:rsid w:val="00CD5315"/>
    <w:rsid w:val="00CD5372"/>
    <w:rsid w:val="00CD5382"/>
    <w:rsid w:val="00CD53D2"/>
    <w:rsid w:val="00CD53DE"/>
    <w:rsid w:val="00CD5452"/>
    <w:rsid w:val="00CD5495"/>
    <w:rsid w:val="00CD558E"/>
    <w:rsid w:val="00CD5593"/>
    <w:rsid w:val="00CD55A0"/>
    <w:rsid w:val="00CD55C2"/>
    <w:rsid w:val="00CD56A9"/>
    <w:rsid w:val="00CD5729"/>
    <w:rsid w:val="00CD57A8"/>
    <w:rsid w:val="00CD57F4"/>
    <w:rsid w:val="00CD57F8"/>
    <w:rsid w:val="00CD580B"/>
    <w:rsid w:val="00CD5855"/>
    <w:rsid w:val="00CD5884"/>
    <w:rsid w:val="00CD58BC"/>
    <w:rsid w:val="00CD5901"/>
    <w:rsid w:val="00CD5902"/>
    <w:rsid w:val="00CD5930"/>
    <w:rsid w:val="00CD598E"/>
    <w:rsid w:val="00CD59C7"/>
    <w:rsid w:val="00CD5A09"/>
    <w:rsid w:val="00CD5A4B"/>
    <w:rsid w:val="00CD5A4C"/>
    <w:rsid w:val="00CD5AED"/>
    <w:rsid w:val="00CD5B1A"/>
    <w:rsid w:val="00CD5BF3"/>
    <w:rsid w:val="00CD5CBE"/>
    <w:rsid w:val="00CD5D2C"/>
    <w:rsid w:val="00CD5D33"/>
    <w:rsid w:val="00CD5D68"/>
    <w:rsid w:val="00CD5DD2"/>
    <w:rsid w:val="00CD5F69"/>
    <w:rsid w:val="00CD6009"/>
    <w:rsid w:val="00CD600C"/>
    <w:rsid w:val="00CD6072"/>
    <w:rsid w:val="00CD60FD"/>
    <w:rsid w:val="00CD6121"/>
    <w:rsid w:val="00CD612A"/>
    <w:rsid w:val="00CD6188"/>
    <w:rsid w:val="00CD61F4"/>
    <w:rsid w:val="00CD6243"/>
    <w:rsid w:val="00CD62ED"/>
    <w:rsid w:val="00CD62FA"/>
    <w:rsid w:val="00CD6445"/>
    <w:rsid w:val="00CD6454"/>
    <w:rsid w:val="00CD6455"/>
    <w:rsid w:val="00CD65C3"/>
    <w:rsid w:val="00CD65CF"/>
    <w:rsid w:val="00CD6602"/>
    <w:rsid w:val="00CD66BB"/>
    <w:rsid w:val="00CD66C9"/>
    <w:rsid w:val="00CD66E4"/>
    <w:rsid w:val="00CD676B"/>
    <w:rsid w:val="00CD6774"/>
    <w:rsid w:val="00CD6888"/>
    <w:rsid w:val="00CD68AC"/>
    <w:rsid w:val="00CD6949"/>
    <w:rsid w:val="00CD69AD"/>
    <w:rsid w:val="00CD6A56"/>
    <w:rsid w:val="00CD6B5F"/>
    <w:rsid w:val="00CD6B60"/>
    <w:rsid w:val="00CD6BE2"/>
    <w:rsid w:val="00CD6CFF"/>
    <w:rsid w:val="00CD6D60"/>
    <w:rsid w:val="00CD6E0F"/>
    <w:rsid w:val="00CD6E47"/>
    <w:rsid w:val="00CD6E4C"/>
    <w:rsid w:val="00CD6F1C"/>
    <w:rsid w:val="00CD6F66"/>
    <w:rsid w:val="00CD6FAA"/>
    <w:rsid w:val="00CD7043"/>
    <w:rsid w:val="00CD70AC"/>
    <w:rsid w:val="00CD70E1"/>
    <w:rsid w:val="00CD710C"/>
    <w:rsid w:val="00CD721A"/>
    <w:rsid w:val="00CD727F"/>
    <w:rsid w:val="00CD72AA"/>
    <w:rsid w:val="00CD72BF"/>
    <w:rsid w:val="00CD7405"/>
    <w:rsid w:val="00CD7441"/>
    <w:rsid w:val="00CD74F8"/>
    <w:rsid w:val="00CD753C"/>
    <w:rsid w:val="00CD75BC"/>
    <w:rsid w:val="00CD75F9"/>
    <w:rsid w:val="00CD763E"/>
    <w:rsid w:val="00CD76A6"/>
    <w:rsid w:val="00CD777A"/>
    <w:rsid w:val="00CD77AD"/>
    <w:rsid w:val="00CD7887"/>
    <w:rsid w:val="00CD78FD"/>
    <w:rsid w:val="00CD7977"/>
    <w:rsid w:val="00CD7989"/>
    <w:rsid w:val="00CD7996"/>
    <w:rsid w:val="00CD79F3"/>
    <w:rsid w:val="00CD7A0E"/>
    <w:rsid w:val="00CD7A2B"/>
    <w:rsid w:val="00CD7A59"/>
    <w:rsid w:val="00CD7A62"/>
    <w:rsid w:val="00CD7A6F"/>
    <w:rsid w:val="00CD7A76"/>
    <w:rsid w:val="00CD7B3E"/>
    <w:rsid w:val="00CD7B80"/>
    <w:rsid w:val="00CD7C54"/>
    <w:rsid w:val="00CD7C65"/>
    <w:rsid w:val="00CD7C86"/>
    <w:rsid w:val="00CD7CB8"/>
    <w:rsid w:val="00CD7D74"/>
    <w:rsid w:val="00CD7DDC"/>
    <w:rsid w:val="00CD7E92"/>
    <w:rsid w:val="00CD7FAB"/>
    <w:rsid w:val="00CE0092"/>
    <w:rsid w:val="00CE016F"/>
    <w:rsid w:val="00CE0173"/>
    <w:rsid w:val="00CE01AE"/>
    <w:rsid w:val="00CE01D5"/>
    <w:rsid w:val="00CE01E2"/>
    <w:rsid w:val="00CE029C"/>
    <w:rsid w:val="00CE02F8"/>
    <w:rsid w:val="00CE03B2"/>
    <w:rsid w:val="00CE03F9"/>
    <w:rsid w:val="00CE040D"/>
    <w:rsid w:val="00CE0412"/>
    <w:rsid w:val="00CE04A2"/>
    <w:rsid w:val="00CE04E6"/>
    <w:rsid w:val="00CE0504"/>
    <w:rsid w:val="00CE0515"/>
    <w:rsid w:val="00CE0532"/>
    <w:rsid w:val="00CE06AC"/>
    <w:rsid w:val="00CE06B1"/>
    <w:rsid w:val="00CE06D0"/>
    <w:rsid w:val="00CE06EA"/>
    <w:rsid w:val="00CE0779"/>
    <w:rsid w:val="00CE0792"/>
    <w:rsid w:val="00CE07BF"/>
    <w:rsid w:val="00CE07D1"/>
    <w:rsid w:val="00CE080E"/>
    <w:rsid w:val="00CE082C"/>
    <w:rsid w:val="00CE087E"/>
    <w:rsid w:val="00CE08FF"/>
    <w:rsid w:val="00CE092F"/>
    <w:rsid w:val="00CE09FD"/>
    <w:rsid w:val="00CE0A27"/>
    <w:rsid w:val="00CE0A6B"/>
    <w:rsid w:val="00CE0A96"/>
    <w:rsid w:val="00CE0AFB"/>
    <w:rsid w:val="00CE0B2B"/>
    <w:rsid w:val="00CE0BAD"/>
    <w:rsid w:val="00CE0C6D"/>
    <w:rsid w:val="00CE0C79"/>
    <w:rsid w:val="00CE0CAD"/>
    <w:rsid w:val="00CE0CCB"/>
    <w:rsid w:val="00CE0D1D"/>
    <w:rsid w:val="00CE0D3D"/>
    <w:rsid w:val="00CE0E3E"/>
    <w:rsid w:val="00CE0EE9"/>
    <w:rsid w:val="00CE0FFC"/>
    <w:rsid w:val="00CE1063"/>
    <w:rsid w:val="00CE10B5"/>
    <w:rsid w:val="00CE1113"/>
    <w:rsid w:val="00CE1119"/>
    <w:rsid w:val="00CE1158"/>
    <w:rsid w:val="00CE11E9"/>
    <w:rsid w:val="00CE122B"/>
    <w:rsid w:val="00CE1232"/>
    <w:rsid w:val="00CE124E"/>
    <w:rsid w:val="00CE1395"/>
    <w:rsid w:val="00CE13BE"/>
    <w:rsid w:val="00CE13DB"/>
    <w:rsid w:val="00CE13E8"/>
    <w:rsid w:val="00CE1529"/>
    <w:rsid w:val="00CE152D"/>
    <w:rsid w:val="00CE1584"/>
    <w:rsid w:val="00CE15BB"/>
    <w:rsid w:val="00CE162B"/>
    <w:rsid w:val="00CE1668"/>
    <w:rsid w:val="00CE16C1"/>
    <w:rsid w:val="00CE1785"/>
    <w:rsid w:val="00CE1835"/>
    <w:rsid w:val="00CE18CB"/>
    <w:rsid w:val="00CE1988"/>
    <w:rsid w:val="00CE19AA"/>
    <w:rsid w:val="00CE19D0"/>
    <w:rsid w:val="00CE19E3"/>
    <w:rsid w:val="00CE1A31"/>
    <w:rsid w:val="00CE1A67"/>
    <w:rsid w:val="00CE1B7D"/>
    <w:rsid w:val="00CE1BEF"/>
    <w:rsid w:val="00CE1CCF"/>
    <w:rsid w:val="00CE1D7D"/>
    <w:rsid w:val="00CE1D81"/>
    <w:rsid w:val="00CE1DD1"/>
    <w:rsid w:val="00CE1E16"/>
    <w:rsid w:val="00CE1EB5"/>
    <w:rsid w:val="00CE1F05"/>
    <w:rsid w:val="00CE1F6E"/>
    <w:rsid w:val="00CE1FF8"/>
    <w:rsid w:val="00CE212C"/>
    <w:rsid w:val="00CE2188"/>
    <w:rsid w:val="00CE21E7"/>
    <w:rsid w:val="00CE2205"/>
    <w:rsid w:val="00CE2234"/>
    <w:rsid w:val="00CE2264"/>
    <w:rsid w:val="00CE22F7"/>
    <w:rsid w:val="00CE22FD"/>
    <w:rsid w:val="00CE231D"/>
    <w:rsid w:val="00CE2360"/>
    <w:rsid w:val="00CE2377"/>
    <w:rsid w:val="00CE23AE"/>
    <w:rsid w:val="00CE23EE"/>
    <w:rsid w:val="00CE25A0"/>
    <w:rsid w:val="00CE25E9"/>
    <w:rsid w:val="00CE262E"/>
    <w:rsid w:val="00CE265E"/>
    <w:rsid w:val="00CE267F"/>
    <w:rsid w:val="00CE26A3"/>
    <w:rsid w:val="00CE275E"/>
    <w:rsid w:val="00CE27F0"/>
    <w:rsid w:val="00CE2832"/>
    <w:rsid w:val="00CE283A"/>
    <w:rsid w:val="00CE286C"/>
    <w:rsid w:val="00CE28AD"/>
    <w:rsid w:val="00CE28BD"/>
    <w:rsid w:val="00CE290C"/>
    <w:rsid w:val="00CE291F"/>
    <w:rsid w:val="00CE29D2"/>
    <w:rsid w:val="00CE2A2B"/>
    <w:rsid w:val="00CE2A3D"/>
    <w:rsid w:val="00CE2B17"/>
    <w:rsid w:val="00CE2B24"/>
    <w:rsid w:val="00CE2B36"/>
    <w:rsid w:val="00CE2C3D"/>
    <w:rsid w:val="00CE2C8E"/>
    <w:rsid w:val="00CE2CED"/>
    <w:rsid w:val="00CE2CEF"/>
    <w:rsid w:val="00CE2CFD"/>
    <w:rsid w:val="00CE2D93"/>
    <w:rsid w:val="00CE2E31"/>
    <w:rsid w:val="00CE2E7B"/>
    <w:rsid w:val="00CE2E89"/>
    <w:rsid w:val="00CE2ED0"/>
    <w:rsid w:val="00CE2EDB"/>
    <w:rsid w:val="00CE2F03"/>
    <w:rsid w:val="00CE2F0C"/>
    <w:rsid w:val="00CE2F1F"/>
    <w:rsid w:val="00CE2F2F"/>
    <w:rsid w:val="00CE2F32"/>
    <w:rsid w:val="00CE2F66"/>
    <w:rsid w:val="00CE2F7B"/>
    <w:rsid w:val="00CE2F7D"/>
    <w:rsid w:val="00CE2F9C"/>
    <w:rsid w:val="00CE3006"/>
    <w:rsid w:val="00CE30D7"/>
    <w:rsid w:val="00CE310D"/>
    <w:rsid w:val="00CE3125"/>
    <w:rsid w:val="00CE3133"/>
    <w:rsid w:val="00CE314C"/>
    <w:rsid w:val="00CE3166"/>
    <w:rsid w:val="00CE321D"/>
    <w:rsid w:val="00CE32F3"/>
    <w:rsid w:val="00CE3473"/>
    <w:rsid w:val="00CE349B"/>
    <w:rsid w:val="00CE354A"/>
    <w:rsid w:val="00CE3588"/>
    <w:rsid w:val="00CE36E0"/>
    <w:rsid w:val="00CE3749"/>
    <w:rsid w:val="00CE374A"/>
    <w:rsid w:val="00CE376E"/>
    <w:rsid w:val="00CE3815"/>
    <w:rsid w:val="00CE396B"/>
    <w:rsid w:val="00CE3A4C"/>
    <w:rsid w:val="00CE3AB0"/>
    <w:rsid w:val="00CE3B0B"/>
    <w:rsid w:val="00CE3B34"/>
    <w:rsid w:val="00CE3B6E"/>
    <w:rsid w:val="00CE3BF1"/>
    <w:rsid w:val="00CE3C3B"/>
    <w:rsid w:val="00CE3DC5"/>
    <w:rsid w:val="00CE3EF7"/>
    <w:rsid w:val="00CE3F11"/>
    <w:rsid w:val="00CE3F5E"/>
    <w:rsid w:val="00CE3F9C"/>
    <w:rsid w:val="00CE3FAE"/>
    <w:rsid w:val="00CE3FCC"/>
    <w:rsid w:val="00CE405A"/>
    <w:rsid w:val="00CE40C2"/>
    <w:rsid w:val="00CE4179"/>
    <w:rsid w:val="00CE417F"/>
    <w:rsid w:val="00CE419A"/>
    <w:rsid w:val="00CE41B3"/>
    <w:rsid w:val="00CE425B"/>
    <w:rsid w:val="00CE42AC"/>
    <w:rsid w:val="00CE42B8"/>
    <w:rsid w:val="00CE42C4"/>
    <w:rsid w:val="00CE4359"/>
    <w:rsid w:val="00CE4374"/>
    <w:rsid w:val="00CE4383"/>
    <w:rsid w:val="00CE43EC"/>
    <w:rsid w:val="00CE4471"/>
    <w:rsid w:val="00CE4541"/>
    <w:rsid w:val="00CE4648"/>
    <w:rsid w:val="00CE464C"/>
    <w:rsid w:val="00CE4670"/>
    <w:rsid w:val="00CE4681"/>
    <w:rsid w:val="00CE4713"/>
    <w:rsid w:val="00CE473B"/>
    <w:rsid w:val="00CE4742"/>
    <w:rsid w:val="00CE48A5"/>
    <w:rsid w:val="00CE496D"/>
    <w:rsid w:val="00CE4975"/>
    <w:rsid w:val="00CE49CE"/>
    <w:rsid w:val="00CE4A94"/>
    <w:rsid w:val="00CE4B33"/>
    <w:rsid w:val="00CE4B38"/>
    <w:rsid w:val="00CE4C70"/>
    <w:rsid w:val="00CE4CC0"/>
    <w:rsid w:val="00CE4CE5"/>
    <w:rsid w:val="00CE4E3F"/>
    <w:rsid w:val="00CE4E83"/>
    <w:rsid w:val="00CE4EFF"/>
    <w:rsid w:val="00CE4FBC"/>
    <w:rsid w:val="00CE4FBD"/>
    <w:rsid w:val="00CE50CC"/>
    <w:rsid w:val="00CE50F2"/>
    <w:rsid w:val="00CE5190"/>
    <w:rsid w:val="00CE5284"/>
    <w:rsid w:val="00CE530E"/>
    <w:rsid w:val="00CE5349"/>
    <w:rsid w:val="00CE5386"/>
    <w:rsid w:val="00CE53D1"/>
    <w:rsid w:val="00CE5414"/>
    <w:rsid w:val="00CE5482"/>
    <w:rsid w:val="00CE54B8"/>
    <w:rsid w:val="00CE5514"/>
    <w:rsid w:val="00CE565D"/>
    <w:rsid w:val="00CE5707"/>
    <w:rsid w:val="00CE5726"/>
    <w:rsid w:val="00CE585B"/>
    <w:rsid w:val="00CE5887"/>
    <w:rsid w:val="00CE58B8"/>
    <w:rsid w:val="00CE5912"/>
    <w:rsid w:val="00CE598E"/>
    <w:rsid w:val="00CE5A16"/>
    <w:rsid w:val="00CE5A46"/>
    <w:rsid w:val="00CE5AE5"/>
    <w:rsid w:val="00CE5B2C"/>
    <w:rsid w:val="00CE5BB5"/>
    <w:rsid w:val="00CE5C0D"/>
    <w:rsid w:val="00CE5CD0"/>
    <w:rsid w:val="00CE5D8E"/>
    <w:rsid w:val="00CE5DC2"/>
    <w:rsid w:val="00CE5F35"/>
    <w:rsid w:val="00CE5F5E"/>
    <w:rsid w:val="00CE5FAB"/>
    <w:rsid w:val="00CE5FD8"/>
    <w:rsid w:val="00CE6041"/>
    <w:rsid w:val="00CE6166"/>
    <w:rsid w:val="00CE61E2"/>
    <w:rsid w:val="00CE6229"/>
    <w:rsid w:val="00CE626E"/>
    <w:rsid w:val="00CE62A5"/>
    <w:rsid w:val="00CE633A"/>
    <w:rsid w:val="00CE6427"/>
    <w:rsid w:val="00CE6471"/>
    <w:rsid w:val="00CE64FE"/>
    <w:rsid w:val="00CE6629"/>
    <w:rsid w:val="00CE6770"/>
    <w:rsid w:val="00CE6803"/>
    <w:rsid w:val="00CE68A2"/>
    <w:rsid w:val="00CE6913"/>
    <w:rsid w:val="00CE6954"/>
    <w:rsid w:val="00CE695E"/>
    <w:rsid w:val="00CE6977"/>
    <w:rsid w:val="00CE6A38"/>
    <w:rsid w:val="00CE6A5E"/>
    <w:rsid w:val="00CE6A9A"/>
    <w:rsid w:val="00CE6B57"/>
    <w:rsid w:val="00CE6BBD"/>
    <w:rsid w:val="00CE6BE7"/>
    <w:rsid w:val="00CE6C3E"/>
    <w:rsid w:val="00CE6C69"/>
    <w:rsid w:val="00CE6CC5"/>
    <w:rsid w:val="00CE6D8F"/>
    <w:rsid w:val="00CE6DB2"/>
    <w:rsid w:val="00CE6E3B"/>
    <w:rsid w:val="00CE6E9D"/>
    <w:rsid w:val="00CE6EAA"/>
    <w:rsid w:val="00CE6F2B"/>
    <w:rsid w:val="00CE6F86"/>
    <w:rsid w:val="00CE6FD0"/>
    <w:rsid w:val="00CE7198"/>
    <w:rsid w:val="00CE7249"/>
    <w:rsid w:val="00CE728B"/>
    <w:rsid w:val="00CE729E"/>
    <w:rsid w:val="00CE7352"/>
    <w:rsid w:val="00CE739B"/>
    <w:rsid w:val="00CE73CF"/>
    <w:rsid w:val="00CE7484"/>
    <w:rsid w:val="00CE74F4"/>
    <w:rsid w:val="00CE7561"/>
    <w:rsid w:val="00CE75A0"/>
    <w:rsid w:val="00CE7670"/>
    <w:rsid w:val="00CE76B0"/>
    <w:rsid w:val="00CE76ED"/>
    <w:rsid w:val="00CE773C"/>
    <w:rsid w:val="00CE7790"/>
    <w:rsid w:val="00CE77F2"/>
    <w:rsid w:val="00CE77F8"/>
    <w:rsid w:val="00CE789E"/>
    <w:rsid w:val="00CE78D7"/>
    <w:rsid w:val="00CE78F4"/>
    <w:rsid w:val="00CE79A4"/>
    <w:rsid w:val="00CE7AA9"/>
    <w:rsid w:val="00CE7C88"/>
    <w:rsid w:val="00CE7CCA"/>
    <w:rsid w:val="00CE7F9A"/>
    <w:rsid w:val="00CF00CA"/>
    <w:rsid w:val="00CF00DD"/>
    <w:rsid w:val="00CF016E"/>
    <w:rsid w:val="00CF01BB"/>
    <w:rsid w:val="00CF0231"/>
    <w:rsid w:val="00CF02DD"/>
    <w:rsid w:val="00CF030D"/>
    <w:rsid w:val="00CF03C4"/>
    <w:rsid w:val="00CF03D6"/>
    <w:rsid w:val="00CF03DE"/>
    <w:rsid w:val="00CF043C"/>
    <w:rsid w:val="00CF047B"/>
    <w:rsid w:val="00CF0623"/>
    <w:rsid w:val="00CF06B6"/>
    <w:rsid w:val="00CF0769"/>
    <w:rsid w:val="00CF085E"/>
    <w:rsid w:val="00CF0863"/>
    <w:rsid w:val="00CF08B0"/>
    <w:rsid w:val="00CF08EB"/>
    <w:rsid w:val="00CF09EC"/>
    <w:rsid w:val="00CF0A3A"/>
    <w:rsid w:val="00CF0AB0"/>
    <w:rsid w:val="00CF0BEC"/>
    <w:rsid w:val="00CF0D41"/>
    <w:rsid w:val="00CF0D57"/>
    <w:rsid w:val="00CF0D88"/>
    <w:rsid w:val="00CF0D89"/>
    <w:rsid w:val="00CF0D97"/>
    <w:rsid w:val="00CF0E94"/>
    <w:rsid w:val="00CF0EAE"/>
    <w:rsid w:val="00CF0EB4"/>
    <w:rsid w:val="00CF0F63"/>
    <w:rsid w:val="00CF0FD1"/>
    <w:rsid w:val="00CF105A"/>
    <w:rsid w:val="00CF1085"/>
    <w:rsid w:val="00CF1095"/>
    <w:rsid w:val="00CF10B5"/>
    <w:rsid w:val="00CF116A"/>
    <w:rsid w:val="00CF1183"/>
    <w:rsid w:val="00CF11B6"/>
    <w:rsid w:val="00CF11D5"/>
    <w:rsid w:val="00CF11D9"/>
    <w:rsid w:val="00CF1204"/>
    <w:rsid w:val="00CF126F"/>
    <w:rsid w:val="00CF1306"/>
    <w:rsid w:val="00CF1366"/>
    <w:rsid w:val="00CF13D7"/>
    <w:rsid w:val="00CF13F0"/>
    <w:rsid w:val="00CF140B"/>
    <w:rsid w:val="00CF1442"/>
    <w:rsid w:val="00CF146A"/>
    <w:rsid w:val="00CF1497"/>
    <w:rsid w:val="00CF153C"/>
    <w:rsid w:val="00CF155C"/>
    <w:rsid w:val="00CF15BC"/>
    <w:rsid w:val="00CF15D4"/>
    <w:rsid w:val="00CF15F0"/>
    <w:rsid w:val="00CF1628"/>
    <w:rsid w:val="00CF168A"/>
    <w:rsid w:val="00CF16C4"/>
    <w:rsid w:val="00CF173D"/>
    <w:rsid w:val="00CF174A"/>
    <w:rsid w:val="00CF1781"/>
    <w:rsid w:val="00CF17EF"/>
    <w:rsid w:val="00CF1819"/>
    <w:rsid w:val="00CF1828"/>
    <w:rsid w:val="00CF188E"/>
    <w:rsid w:val="00CF198B"/>
    <w:rsid w:val="00CF19AF"/>
    <w:rsid w:val="00CF19D4"/>
    <w:rsid w:val="00CF19E5"/>
    <w:rsid w:val="00CF1A21"/>
    <w:rsid w:val="00CF1A92"/>
    <w:rsid w:val="00CF1B7C"/>
    <w:rsid w:val="00CF1B8E"/>
    <w:rsid w:val="00CF1BD3"/>
    <w:rsid w:val="00CF1BF3"/>
    <w:rsid w:val="00CF1DA8"/>
    <w:rsid w:val="00CF1DBB"/>
    <w:rsid w:val="00CF1EF3"/>
    <w:rsid w:val="00CF1F75"/>
    <w:rsid w:val="00CF1F88"/>
    <w:rsid w:val="00CF207E"/>
    <w:rsid w:val="00CF2104"/>
    <w:rsid w:val="00CF213A"/>
    <w:rsid w:val="00CF2212"/>
    <w:rsid w:val="00CF2253"/>
    <w:rsid w:val="00CF22C0"/>
    <w:rsid w:val="00CF23E7"/>
    <w:rsid w:val="00CF23E8"/>
    <w:rsid w:val="00CF23F1"/>
    <w:rsid w:val="00CF249C"/>
    <w:rsid w:val="00CF24DF"/>
    <w:rsid w:val="00CF24ED"/>
    <w:rsid w:val="00CF2506"/>
    <w:rsid w:val="00CF2681"/>
    <w:rsid w:val="00CF26DF"/>
    <w:rsid w:val="00CF2757"/>
    <w:rsid w:val="00CF27E3"/>
    <w:rsid w:val="00CF280B"/>
    <w:rsid w:val="00CF290B"/>
    <w:rsid w:val="00CF2921"/>
    <w:rsid w:val="00CF2A82"/>
    <w:rsid w:val="00CF2C03"/>
    <w:rsid w:val="00CF2C73"/>
    <w:rsid w:val="00CF2CA4"/>
    <w:rsid w:val="00CF2CB4"/>
    <w:rsid w:val="00CF2CF2"/>
    <w:rsid w:val="00CF2D58"/>
    <w:rsid w:val="00CF2DC7"/>
    <w:rsid w:val="00CF2E27"/>
    <w:rsid w:val="00CF2F05"/>
    <w:rsid w:val="00CF2F22"/>
    <w:rsid w:val="00CF2F6D"/>
    <w:rsid w:val="00CF2FAB"/>
    <w:rsid w:val="00CF2FE9"/>
    <w:rsid w:val="00CF3008"/>
    <w:rsid w:val="00CF30B0"/>
    <w:rsid w:val="00CF30EE"/>
    <w:rsid w:val="00CF315E"/>
    <w:rsid w:val="00CF32C1"/>
    <w:rsid w:val="00CF3376"/>
    <w:rsid w:val="00CF346D"/>
    <w:rsid w:val="00CF3484"/>
    <w:rsid w:val="00CF34D1"/>
    <w:rsid w:val="00CF351A"/>
    <w:rsid w:val="00CF352D"/>
    <w:rsid w:val="00CF355A"/>
    <w:rsid w:val="00CF3588"/>
    <w:rsid w:val="00CF358B"/>
    <w:rsid w:val="00CF35B8"/>
    <w:rsid w:val="00CF360B"/>
    <w:rsid w:val="00CF369A"/>
    <w:rsid w:val="00CF36E7"/>
    <w:rsid w:val="00CF3705"/>
    <w:rsid w:val="00CF3730"/>
    <w:rsid w:val="00CF37E8"/>
    <w:rsid w:val="00CF37F6"/>
    <w:rsid w:val="00CF380C"/>
    <w:rsid w:val="00CF3872"/>
    <w:rsid w:val="00CF389C"/>
    <w:rsid w:val="00CF38AF"/>
    <w:rsid w:val="00CF39A0"/>
    <w:rsid w:val="00CF39D3"/>
    <w:rsid w:val="00CF3A43"/>
    <w:rsid w:val="00CF3A44"/>
    <w:rsid w:val="00CF3AC3"/>
    <w:rsid w:val="00CF3B2E"/>
    <w:rsid w:val="00CF3B4E"/>
    <w:rsid w:val="00CF3BF2"/>
    <w:rsid w:val="00CF3BF5"/>
    <w:rsid w:val="00CF3C39"/>
    <w:rsid w:val="00CF3CBE"/>
    <w:rsid w:val="00CF3D22"/>
    <w:rsid w:val="00CF3D47"/>
    <w:rsid w:val="00CF3D8B"/>
    <w:rsid w:val="00CF3DC1"/>
    <w:rsid w:val="00CF3E3D"/>
    <w:rsid w:val="00CF3EB1"/>
    <w:rsid w:val="00CF3F32"/>
    <w:rsid w:val="00CF3F9A"/>
    <w:rsid w:val="00CF3FA9"/>
    <w:rsid w:val="00CF3FC2"/>
    <w:rsid w:val="00CF4015"/>
    <w:rsid w:val="00CF405F"/>
    <w:rsid w:val="00CF4290"/>
    <w:rsid w:val="00CF4294"/>
    <w:rsid w:val="00CF42FA"/>
    <w:rsid w:val="00CF4412"/>
    <w:rsid w:val="00CF44C6"/>
    <w:rsid w:val="00CF46A0"/>
    <w:rsid w:val="00CF46F5"/>
    <w:rsid w:val="00CF4896"/>
    <w:rsid w:val="00CF4966"/>
    <w:rsid w:val="00CF49AC"/>
    <w:rsid w:val="00CF4A49"/>
    <w:rsid w:val="00CF4B17"/>
    <w:rsid w:val="00CF4B43"/>
    <w:rsid w:val="00CF4B4A"/>
    <w:rsid w:val="00CF4B65"/>
    <w:rsid w:val="00CF4BF4"/>
    <w:rsid w:val="00CF4CF5"/>
    <w:rsid w:val="00CF4D22"/>
    <w:rsid w:val="00CF4D53"/>
    <w:rsid w:val="00CF4E61"/>
    <w:rsid w:val="00CF4F2B"/>
    <w:rsid w:val="00CF4FBD"/>
    <w:rsid w:val="00CF5098"/>
    <w:rsid w:val="00CF5104"/>
    <w:rsid w:val="00CF510E"/>
    <w:rsid w:val="00CF5114"/>
    <w:rsid w:val="00CF5123"/>
    <w:rsid w:val="00CF51A0"/>
    <w:rsid w:val="00CF520F"/>
    <w:rsid w:val="00CF52A0"/>
    <w:rsid w:val="00CF52BE"/>
    <w:rsid w:val="00CF53AF"/>
    <w:rsid w:val="00CF5428"/>
    <w:rsid w:val="00CF544F"/>
    <w:rsid w:val="00CF546E"/>
    <w:rsid w:val="00CF5480"/>
    <w:rsid w:val="00CF5482"/>
    <w:rsid w:val="00CF5499"/>
    <w:rsid w:val="00CF560B"/>
    <w:rsid w:val="00CF5663"/>
    <w:rsid w:val="00CF57B3"/>
    <w:rsid w:val="00CF57B6"/>
    <w:rsid w:val="00CF582A"/>
    <w:rsid w:val="00CF588B"/>
    <w:rsid w:val="00CF58BC"/>
    <w:rsid w:val="00CF5959"/>
    <w:rsid w:val="00CF5985"/>
    <w:rsid w:val="00CF5A1A"/>
    <w:rsid w:val="00CF5A33"/>
    <w:rsid w:val="00CF5A4F"/>
    <w:rsid w:val="00CF5A61"/>
    <w:rsid w:val="00CF5A7F"/>
    <w:rsid w:val="00CF5AA0"/>
    <w:rsid w:val="00CF5B8C"/>
    <w:rsid w:val="00CF5B9B"/>
    <w:rsid w:val="00CF5BDD"/>
    <w:rsid w:val="00CF5BFB"/>
    <w:rsid w:val="00CF5C52"/>
    <w:rsid w:val="00CF5C84"/>
    <w:rsid w:val="00CF5D79"/>
    <w:rsid w:val="00CF5DE9"/>
    <w:rsid w:val="00CF5E21"/>
    <w:rsid w:val="00CF5EAD"/>
    <w:rsid w:val="00CF5F57"/>
    <w:rsid w:val="00CF5FB1"/>
    <w:rsid w:val="00CF5FF9"/>
    <w:rsid w:val="00CF6043"/>
    <w:rsid w:val="00CF6075"/>
    <w:rsid w:val="00CF60A0"/>
    <w:rsid w:val="00CF6184"/>
    <w:rsid w:val="00CF619C"/>
    <w:rsid w:val="00CF620D"/>
    <w:rsid w:val="00CF623E"/>
    <w:rsid w:val="00CF62D7"/>
    <w:rsid w:val="00CF632C"/>
    <w:rsid w:val="00CF639C"/>
    <w:rsid w:val="00CF63D2"/>
    <w:rsid w:val="00CF63F7"/>
    <w:rsid w:val="00CF6416"/>
    <w:rsid w:val="00CF6470"/>
    <w:rsid w:val="00CF648E"/>
    <w:rsid w:val="00CF64E5"/>
    <w:rsid w:val="00CF6508"/>
    <w:rsid w:val="00CF6531"/>
    <w:rsid w:val="00CF6676"/>
    <w:rsid w:val="00CF678D"/>
    <w:rsid w:val="00CF6835"/>
    <w:rsid w:val="00CF6842"/>
    <w:rsid w:val="00CF69C0"/>
    <w:rsid w:val="00CF69C8"/>
    <w:rsid w:val="00CF69DF"/>
    <w:rsid w:val="00CF6A38"/>
    <w:rsid w:val="00CF6A7A"/>
    <w:rsid w:val="00CF6AC8"/>
    <w:rsid w:val="00CF6B36"/>
    <w:rsid w:val="00CF6BD9"/>
    <w:rsid w:val="00CF6BF1"/>
    <w:rsid w:val="00CF6C34"/>
    <w:rsid w:val="00CF6C76"/>
    <w:rsid w:val="00CF6CBF"/>
    <w:rsid w:val="00CF6D20"/>
    <w:rsid w:val="00CF6D2D"/>
    <w:rsid w:val="00CF6D47"/>
    <w:rsid w:val="00CF6E6F"/>
    <w:rsid w:val="00CF6E8A"/>
    <w:rsid w:val="00CF6EF1"/>
    <w:rsid w:val="00CF6F38"/>
    <w:rsid w:val="00CF6FFD"/>
    <w:rsid w:val="00CF7183"/>
    <w:rsid w:val="00CF723C"/>
    <w:rsid w:val="00CF7312"/>
    <w:rsid w:val="00CF7379"/>
    <w:rsid w:val="00CF73C5"/>
    <w:rsid w:val="00CF7503"/>
    <w:rsid w:val="00CF7521"/>
    <w:rsid w:val="00CF7568"/>
    <w:rsid w:val="00CF758F"/>
    <w:rsid w:val="00CF7694"/>
    <w:rsid w:val="00CF76B1"/>
    <w:rsid w:val="00CF7782"/>
    <w:rsid w:val="00CF77EA"/>
    <w:rsid w:val="00CF7817"/>
    <w:rsid w:val="00CF78DD"/>
    <w:rsid w:val="00CF78F2"/>
    <w:rsid w:val="00CF79BC"/>
    <w:rsid w:val="00CF79D3"/>
    <w:rsid w:val="00CF7A36"/>
    <w:rsid w:val="00CF7A96"/>
    <w:rsid w:val="00CF7AA3"/>
    <w:rsid w:val="00CF7B32"/>
    <w:rsid w:val="00CF7B4D"/>
    <w:rsid w:val="00CF7BE7"/>
    <w:rsid w:val="00CF7C6B"/>
    <w:rsid w:val="00CF7C6F"/>
    <w:rsid w:val="00CF7C77"/>
    <w:rsid w:val="00CF7D13"/>
    <w:rsid w:val="00CF7D95"/>
    <w:rsid w:val="00CF7DF7"/>
    <w:rsid w:val="00CF7E7C"/>
    <w:rsid w:val="00CF7E8B"/>
    <w:rsid w:val="00CF7EAF"/>
    <w:rsid w:val="00CF7F19"/>
    <w:rsid w:val="00D00047"/>
    <w:rsid w:val="00D0006F"/>
    <w:rsid w:val="00D000B4"/>
    <w:rsid w:val="00D00140"/>
    <w:rsid w:val="00D0015E"/>
    <w:rsid w:val="00D0017D"/>
    <w:rsid w:val="00D0017E"/>
    <w:rsid w:val="00D0029C"/>
    <w:rsid w:val="00D0039F"/>
    <w:rsid w:val="00D003AD"/>
    <w:rsid w:val="00D003B6"/>
    <w:rsid w:val="00D003DB"/>
    <w:rsid w:val="00D00448"/>
    <w:rsid w:val="00D00615"/>
    <w:rsid w:val="00D00618"/>
    <w:rsid w:val="00D00631"/>
    <w:rsid w:val="00D00634"/>
    <w:rsid w:val="00D00695"/>
    <w:rsid w:val="00D006A5"/>
    <w:rsid w:val="00D006EC"/>
    <w:rsid w:val="00D0074E"/>
    <w:rsid w:val="00D0076B"/>
    <w:rsid w:val="00D007E9"/>
    <w:rsid w:val="00D00810"/>
    <w:rsid w:val="00D0082A"/>
    <w:rsid w:val="00D008CC"/>
    <w:rsid w:val="00D009A0"/>
    <w:rsid w:val="00D009B3"/>
    <w:rsid w:val="00D00A4E"/>
    <w:rsid w:val="00D00A82"/>
    <w:rsid w:val="00D00A92"/>
    <w:rsid w:val="00D00AC5"/>
    <w:rsid w:val="00D00B12"/>
    <w:rsid w:val="00D00B43"/>
    <w:rsid w:val="00D00BB8"/>
    <w:rsid w:val="00D00C2B"/>
    <w:rsid w:val="00D00D46"/>
    <w:rsid w:val="00D00D72"/>
    <w:rsid w:val="00D00E01"/>
    <w:rsid w:val="00D00E34"/>
    <w:rsid w:val="00D00E44"/>
    <w:rsid w:val="00D00E8B"/>
    <w:rsid w:val="00D00ED4"/>
    <w:rsid w:val="00D00F18"/>
    <w:rsid w:val="00D01037"/>
    <w:rsid w:val="00D01084"/>
    <w:rsid w:val="00D010F4"/>
    <w:rsid w:val="00D010FE"/>
    <w:rsid w:val="00D01119"/>
    <w:rsid w:val="00D0114C"/>
    <w:rsid w:val="00D0115F"/>
    <w:rsid w:val="00D011BA"/>
    <w:rsid w:val="00D01276"/>
    <w:rsid w:val="00D012D1"/>
    <w:rsid w:val="00D012D6"/>
    <w:rsid w:val="00D0139E"/>
    <w:rsid w:val="00D013BA"/>
    <w:rsid w:val="00D013C2"/>
    <w:rsid w:val="00D01404"/>
    <w:rsid w:val="00D01446"/>
    <w:rsid w:val="00D01481"/>
    <w:rsid w:val="00D01544"/>
    <w:rsid w:val="00D01587"/>
    <w:rsid w:val="00D015A0"/>
    <w:rsid w:val="00D015EA"/>
    <w:rsid w:val="00D0161E"/>
    <w:rsid w:val="00D01740"/>
    <w:rsid w:val="00D01848"/>
    <w:rsid w:val="00D0186C"/>
    <w:rsid w:val="00D01972"/>
    <w:rsid w:val="00D01B3E"/>
    <w:rsid w:val="00D01B84"/>
    <w:rsid w:val="00D01B8F"/>
    <w:rsid w:val="00D01BB5"/>
    <w:rsid w:val="00D01BB6"/>
    <w:rsid w:val="00D01BC6"/>
    <w:rsid w:val="00D01C1C"/>
    <w:rsid w:val="00D01CB1"/>
    <w:rsid w:val="00D01D06"/>
    <w:rsid w:val="00D01D21"/>
    <w:rsid w:val="00D01D5D"/>
    <w:rsid w:val="00D01D9A"/>
    <w:rsid w:val="00D01DC2"/>
    <w:rsid w:val="00D01E6A"/>
    <w:rsid w:val="00D01F6F"/>
    <w:rsid w:val="00D01FA1"/>
    <w:rsid w:val="00D01FFC"/>
    <w:rsid w:val="00D020E4"/>
    <w:rsid w:val="00D02136"/>
    <w:rsid w:val="00D021FB"/>
    <w:rsid w:val="00D02214"/>
    <w:rsid w:val="00D0224E"/>
    <w:rsid w:val="00D02269"/>
    <w:rsid w:val="00D02318"/>
    <w:rsid w:val="00D02395"/>
    <w:rsid w:val="00D023BA"/>
    <w:rsid w:val="00D024D3"/>
    <w:rsid w:val="00D0257C"/>
    <w:rsid w:val="00D025CC"/>
    <w:rsid w:val="00D026B7"/>
    <w:rsid w:val="00D02706"/>
    <w:rsid w:val="00D02754"/>
    <w:rsid w:val="00D02761"/>
    <w:rsid w:val="00D027F5"/>
    <w:rsid w:val="00D02810"/>
    <w:rsid w:val="00D02845"/>
    <w:rsid w:val="00D028B1"/>
    <w:rsid w:val="00D02902"/>
    <w:rsid w:val="00D0290C"/>
    <w:rsid w:val="00D02914"/>
    <w:rsid w:val="00D0298C"/>
    <w:rsid w:val="00D02A69"/>
    <w:rsid w:val="00D02B6B"/>
    <w:rsid w:val="00D02C21"/>
    <w:rsid w:val="00D02C26"/>
    <w:rsid w:val="00D02C78"/>
    <w:rsid w:val="00D02D10"/>
    <w:rsid w:val="00D02D16"/>
    <w:rsid w:val="00D02D48"/>
    <w:rsid w:val="00D02D86"/>
    <w:rsid w:val="00D02D95"/>
    <w:rsid w:val="00D02DB0"/>
    <w:rsid w:val="00D02E56"/>
    <w:rsid w:val="00D02EB5"/>
    <w:rsid w:val="00D02FAA"/>
    <w:rsid w:val="00D030B7"/>
    <w:rsid w:val="00D0311C"/>
    <w:rsid w:val="00D03131"/>
    <w:rsid w:val="00D03151"/>
    <w:rsid w:val="00D031D4"/>
    <w:rsid w:val="00D0323D"/>
    <w:rsid w:val="00D03244"/>
    <w:rsid w:val="00D03260"/>
    <w:rsid w:val="00D0327A"/>
    <w:rsid w:val="00D033E6"/>
    <w:rsid w:val="00D033EB"/>
    <w:rsid w:val="00D03466"/>
    <w:rsid w:val="00D035F8"/>
    <w:rsid w:val="00D0360B"/>
    <w:rsid w:val="00D03654"/>
    <w:rsid w:val="00D03688"/>
    <w:rsid w:val="00D036B8"/>
    <w:rsid w:val="00D036C0"/>
    <w:rsid w:val="00D03760"/>
    <w:rsid w:val="00D03778"/>
    <w:rsid w:val="00D037AC"/>
    <w:rsid w:val="00D037B8"/>
    <w:rsid w:val="00D037B9"/>
    <w:rsid w:val="00D0383F"/>
    <w:rsid w:val="00D03937"/>
    <w:rsid w:val="00D039D7"/>
    <w:rsid w:val="00D03A2B"/>
    <w:rsid w:val="00D03A4B"/>
    <w:rsid w:val="00D03AAE"/>
    <w:rsid w:val="00D03B2C"/>
    <w:rsid w:val="00D03B9A"/>
    <w:rsid w:val="00D03BC9"/>
    <w:rsid w:val="00D03C10"/>
    <w:rsid w:val="00D03CCF"/>
    <w:rsid w:val="00D03D1E"/>
    <w:rsid w:val="00D03DF0"/>
    <w:rsid w:val="00D03E29"/>
    <w:rsid w:val="00D03EA1"/>
    <w:rsid w:val="00D03ECE"/>
    <w:rsid w:val="00D03EF5"/>
    <w:rsid w:val="00D03EF6"/>
    <w:rsid w:val="00D03F3D"/>
    <w:rsid w:val="00D03F45"/>
    <w:rsid w:val="00D03F77"/>
    <w:rsid w:val="00D040B5"/>
    <w:rsid w:val="00D041CE"/>
    <w:rsid w:val="00D04237"/>
    <w:rsid w:val="00D04292"/>
    <w:rsid w:val="00D043E7"/>
    <w:rsid w:val="00D04416"/>
    <w:rsid w:val="00D04433"/>
    <w:rsid w:val="00D04480"/>
    <w:rsid w:val="00D045AA"/>
    <w:rsid w:val="00D046C6"/>
    <w:rsid w:val="00D046FE"/>
    <w:rsid w:val="00D0470E"/>
    <w:rsid w:val="00D047C4"/>
    <w:rsid w:val="00D047E9"/>
    <w:rsid w:val="00D04845"/>
    <w:rsid w:val="00D04895"/>
    <w:rsid w:val="00D048B4"/>
    <w:rsid w:val="00D0491C"/>
    <w:rsid w:val="00D049BF"/>
    <w:rsid w:val="00D04A22"/>
    <w:rsid w:val="00D04A67"/>
    <w:rsid w:val="00D04AFA"/>
    <w:rsid w:val="00D04B37"/>
    <w:rsid w:val="00D04BD7"/>
    <w:rsid w:val="00D04D94"/>
    <w:rsid w:val="00D04E28"/>
    <w:rsid w:val="00D04F1D"/>
    <w:rsid w:val="00D04F1E"/>
    <w:rsid w:val="00D04FBE"/>
    <w:rsid w:val="00D051F8"/>
    <w:rsid w:val="00D05266"/>
    <w:rsid w:val="00D05280"/>
    <w:rsid w:val="00D05314"/>
    <w:rsid w:val="00D0531B"/>
    <w:rsid w:val="00D053D0"/>
    <w:rsid w:val="00D053EF"/>
    <w:rsid w:val="00D054B8"/>
    <w:rsid w:val="00D05523"/>
    <w:rsid w:val="00D05587"/>
    <w:rsid w:val="00D0560D"/>
    <w:rsid w:val="00D056E0"/>
    <w:rsid w:val="00D05742"/>
    <w:rsid w:val="00D05778"/>
    <w:rsid w:val="00D0579E"/>
    <w:rsid w:val="00D057C2"/>
    <w:rsid w:val="00D057C7"/>
    <w:rsid w:val="00D0580F"/>
    <w:rsid w:val="00D05881"/>
    <w:rsid w:val="00D058F4"/>
    <w:rsid w:val="00D0593C"/>
    <w:rsid w:val="00D0596F"/>
    <w:rsid w:val="00D05A40"/>
    <w:rsid w:val="00D05A52"/>
    <w:rsid w:val="00D05A8B"/>
    <w:rsid w:val="00D05AE1"/>
    <w:rsid w:val="00D05BE2"/>
    <w:rsid w:val="00D05C83"/>
    <w:rsid w:val="00D05CEF"/>
    <w:rsid w:val="00D05D5A"/>
    <w:rsid w:val="00D05DC4"/>
    <w:rsid w:val="00D05E8B"/>
    <w:rsid w:val="00D05E90"/>
    <w:rsid w:val="00D05E92"/>
    <w:rsid w:val="00D05EFE"/>
    <w:rsid w:val="00D05FA6"/>
    <w:rsid w:val="00D06148"/>
    <w:rsid w:val="00D06177"/>
    <w:rsid w:val="00D06290"/>
    <w:rsid w:val="00D062D8"/>
    <w:rsid w:val="00D062F0"/>
    <w:rsid w:val="00D06336"/>
    <w:rsid w:val="00D06356"/>
    <w:rsid w:val="00D06378"/>
    <w:rsid w:val="00D06417"/>
    <w:rsid w:val="00D064CE"/>
    <w:rsid w:val="00D0658C"/>
    <w:rsid w:val="00D06596"/>
    <w:rsid w:val="00D066D5"/>
    <w:rsid w:val="00D06848"/>
    <w:rsid w:val="00D068B1"/>
    <w:rsid w:val="00D06986"/>
    <w:rsid w:val="00D069F6"/>
    <w:rsid w:val="00D06A08"/>
    <w:rsid w:val="00D06A53"/>
    <w:rsid w:val="00D06B01"/>
    <w:rsid w:val="00D06B63"/>
    <w:rsid w:val="00D06BC2"/>
    <w:rsid w:val="00D06BD2"/>
    <w:rsid w:val="00D06DEE"/>
    <w:rsid w:val="00D06E2C"/>
    <w:rsid w:val="00D06E72"/>
    <w:rsid w:val="00D06E82"/>
    <w:rsid w:val="00D06EE0"/>
    <w:rsid w:val="00D06EEA"/>
    <w:rsid w:val="00D06F6E"/>
    <w:rsid w:val="00D06FD0"/>
    <w:rsid w:val="00D0704E"/>
    <w:rsid w:val="00D07091"/>
    <w:rsid w:val="00D07170"/>
    <w:rsid w:val="00D07184"/>
    <w:rsid w:val="00D071C3"/>
    <w:rsid w:val="00D0723F"/>
    <w:rsid w:val="00D07264"/>
    <w:rsid w:val="00D072C0"/>
    <w:rsid w:val="00D073D5"/>
    <w:rsid w:val="00D07495"/>
    <w:rsid w:val="00D0751F"/>
    <w:rsid w:val="00D0758B"/>
    <w:rsid w:val="00D0760E"/>
    <w:rsid w:val="00D0761A"/>
    <w:rsid w:val="00D07632"/>
    <w:rsid w:val="00D07761"/>
    <w:rsid w:val="00D07836"/>
    <w:rsid w:val="00D07907"/>
    <w:rsid w:val="00D07912"/>
    <w:rsid w:val="00D07A2B"/>
    <w:rsid w:val="00D07A53"/>
    <w:rsid w:val="00D07A63"/>
    <w:rsid w:val="00D07B70"/>
    <w:rsid w:val="00D07C0B"/>
    <w:rsid w:val="00D07C9C"/>
    <w:rsid w:val="00D07CBF"/>
    <w:rsid w:val="00D07CC5"/>
    <w:rsid w:val="00D07CC8"/>
    <w:rsid w:val="00D07D03"/>
    <w:rsid w:val="00D07D93"/>
    <w:rsid w:val="00D07DB7"/>
    <w:rsid w:val="00D07E07"/>
    <w:rsid w:val="00D07E42"/>
    <w:rsid w:val="00D07F00"/>
    <w:rsid w:val="00D07F15"/>
    <w:rsid w:val="00D07F8A"/>
    <w:rsid w:val="00D10028"/>
    <w:rsid w:val="00D10031"/>
    <w:rsid w:val="00D101CD"/>
    <w:rsid w:val="00D101D4"/>
    <w:rsid w:val="00D103AE"/>
    <w:rsid w:val="00D103D6"/>
    <w:rsid w:val="00D10412"/>
    <w:rsid w:val="00D10430"/>
    <w:rsid w:val="00D10440"/>
    <w:rsid w:val="00D1054B"/>
    <w:rsid w:val="00D1057F"/>
    <w:rsid w:val="00D1058E"/>
    <w:rsid w:val="00D105FD"/>
    <w:rsid w:val="00D1069B"/>
    <w:rsid w:val="00D10728"/>
    <w:rsid w:val="00D107E3"/>
    <w:rsid w:val="00D10821"/>
    <w:rsid w:val="00D1084A"/>
    <w:rsid w:val="00D1089C"/>
    <w:rsid w:val="00D10A17"/>
    <w:rsid w:val="00D10A55"/>
    <w:rsid w:val="00D10A58"/>
    <w:rsid w:val="00D10AE1"/>
    <w:rsid w:val="00D10AE5"/>
    <w:rsid w:val="00D10B54"/>
    <w:rsid w:val="00D10BF5"/>
    <w:rsid w:val="00D10C20"/>
    <w:rsid w:val="00D10C4B"/>
    <w:rsid w:val="00D10C7A"/>
    <w:rsid w:val="00D10CD0"/>
    <w:rsid w:val="00D10D33"/>
    <w:rsid w:val="00D10D4B"/>
    <w:rsid w:val="00D10D58"/>
    <w:rsid w:val="00D10D64"/>
    <w:rsid w:val="00D10EDC"/>
    <w:rsid w:val="00D10F1E"/>
    <w:rsid w:val="00D10F76"/>
    <w:rsid w:val="00D10FF9"/>
    <w:rsid w:val="00D11112"/>
    <w:rsid w:val="00D1113E"/>
    <w:rsid w:val="00D111F4"/>
    <w:rsid w:val="00D112A8"/>
    <w:rsid w:val="00D113C3"/>
    <w:rsid w:val="00D113E3"/>
    <w:rsid w:val="00D11467"/>
    <w:rsid w:val="00D1147C"/>
    <w:rsid w:val="00D11606"/>
    <w:rsid w:val="00D116A1"/>
    <w:rsid w:val="00D116F7"/>
    <w:rsid w:val="00D1179A"/>
    <w:rsid w:val="00D11831"/>
    <w:rsid w:val="00D1186E"/>
    <w:rsid w:val="00D1190B"/>
    <w:rsid w:val="00D1195B"/>
    <w:rsid w:val="00D1195C"/>
    <w:rsid w:val="00D119D0"/>
    <w:rsid w:val="00D11A47"/>
    <w:rsid w:val="00D11A67"/>
    <w:rsid w:val="00D11A9A"/>
    <w:rsid w:val="00D11B67"/>
    <w:rsid w:val="00D11B79"/>
    <w:rsid w:val="00D11BA0"/>
    <w:rsid w:val="00D11BB1"/>
    <w:rsid w:val="00D11C6C"/>
    <w:rsid w:val="00D11CAB"/>
    <w:rsid w:val="00D11CFB"/>
    <w:rsid w:val="00D11CFF"/>
    <w:rsid w:val="00D11D04"/>
    <w:rsid w:val="00D11D09"/>
    <w:rsid w:val="00D11E15"/>
    <w:rsid w:val="00D11EC2"/>
    <w:rsid w:val="00D11F6B"/>
    <w:rsid w:val="00D1202D"/>
    <w:rsid w:val="00D12071"/>
    <w:rsid w:val="00D12078"/>
    <w:rsid w:val="00D1214D"/>
    <w:rsid w:val="00D121C1"/>
    <w:rsid w:val="00D1225E"/>
    <w:rsid w:val="00D12314"/>
    <w:rsid w:val="00D123B1"/>
    <w:rsid w:val="00D1245B"/>
    <w:rsid w:val="00D124C1"/>
    <w:rsid w:val="00D1250A"/>
    <w:rsid w:val="00D12593"/>
    <w:rsid w:val="00D125A0"/>
    <w:rsid w:val="00D12638"/>
    <w:rsid w:val="00D12649"/>
    <w:rsid w:val="00D126B8"/>
    <w:rsid w:val="00D12703"/>
    <w:rsid w:val="00D127A5"/>
    <w:rsid w:val="00D128AB"/>
    <w:rsid w:val="00D12A4D"/>
    <w:rsid w:val="00D12AA4"/>
    <w:rsid w:val="00D12B4F"/>
    <w:rsid w:val="00D12D21"/>
    <w:rsid w:val="00D12D8F"/>
    <w:rsid w:val="00D12DA3"/>
    <w:rsid w:val="00D12E21"/>
    <w:rsid w:val="00D12E4F"/>
    <w:rsid w:val="00D12F62"/>
    <w:rsid w:val="00D12F8F"/>
    <w:rsid w:val="00D13077"/>
    <w:rsid w:val="00D1309C"/>
    <w:rsid w:val="00D130CD"/>
    <w:rsid w:val="00D130F6"/>
    <w:rsid w:val="00D13138"/>
    <w:rsid w:val="00D131F8"/>
    <w:rsid w:val="00D132C6"/>
    <w:rsid w:val="00D13306"/>
    <w:rsid w:val="00D13355"/>
    <w:rsid w:val="00D135B8"/>
    <w:rsid w:val="00D135C5"/>
    <w:rsid w:val="00D1366E"/>
    <w:rsid w:val="00D13680"/>
    <w:rsid w:val="00D136A9"/>
    <w:rsid w:val="00D136C0"/>
    <w:rsid w:val="00D137A5"/>
    <w:rsid w:val="00D138B3"/>
    <w:rsid w:val="00D1399D"/>
    <w:rsid w:val="00D139F9"/>
    <w:rsid w:val="00D13A05"/>
    <w:rsid w:val="00D13A30"/>
    <w:rsid w:val="00D13A33"/>
    <w:rsid w:val="00D13A8D"/>
    <w:rsid w:val="00D13AA1"/>
    <w:rsid w:val="00D13CA3"/>
    <w:rsid w:val="00D13CB6"/>
    <w:rsid w:val="00D13CD3"/>
    <w:rsid w:val="00D13E08"/>
    <w:rsid w:val="00D13E42"/>
    <w:rsid w:val="00D13EA1"/>
    <w:rsid w:val="00D13EC1"/>
    <w:rsid w:val="00D13F20"/>
    <w:rsid w:val="00D13F6C"/>
    <w:rsid w:val="00D14079"/>
    <w:rsid w:val="00D140F1"/>
    <w:rsid w:val="00D14179"/>
    <w:rsid w:val="00D1417B"/>
    <w:rsid w:val="00D141B3"/>
    <w:rsid w:val="00D141DB"/>
    <w:rsid w:val="00D142AF"/>
    <w:rsid w:val="00D14394"/>
    <w:rsid w:val="00D143F1"/>
    <w:rsid w:val="00D14403"/>
    <w:rsid w:val="00D14425"/>
    <w:rsid w:val="00D14585"/>
    <w:rsid w:val="00D145C0"/>
    <w:rsid w:val="00D145E3"/>
    <w:rsid w:val="00D145F9"/>
    <w:rsid w:val="00D14609"/>
    <w:rsid w:val="00D1468F"/>
    <w:rsid w:val="00D146BE"/>
    <w:rsid w:val="00D14767"/>
    <w:rsid w:val="00D1481B"/>
    <w:rsid w:val="00D14879"/>
    <w:rsid w:val="00D14A33"/>
    <w:rsid w:val="00D14A5E"/>
    <w:rsid w:val="00D14AB9"/>
    <w:rsid w:val="00D14AEB"/>
    <w:rsid w:val="00D14B44"/>
    <w:rsid w:val="00D14CCE"/>
    <w:rsid w:val="00D14CFB"/>
    <w:rsid w:val="00D14D4D"/>
    <w:rsid w:val="00D14D88"/>
    <w:rsid w:val="00D14E53"/>
    <w:rsid w:val="00D14EB2"/>
    <w:rsid w:val="00D14EC5"/>
    <w:rsid w:val="00D14EFC"/>
    <w:rsid w:val="00D14FFD"/>
    <w:rsid w:val="00D150D3"/>
    <w:rsid w:val="00D150E5"/>
    <w:rsid w:val="00D150E7"/>
    <w:rsid w:val="00D1510A"/>
    <w:rsid w:val="00D151F0"/>
    <w:rsid w:val="00D1521A"/>
    <w:rsid w:val="00D1522E"/>
    <w:rsid w:val="00D15231"/>
    <w:rsid w:val="00D152D9"/>
    <w:rsid w:val="00D15347"/>
    <w:rsid w:val="00D153BC"/>
    <w:rsid w:val="00D1543E"/>
    <w:rsid w:val="00D154D1"/>
    <w:rsid w:val="00D154D3"/>
    <w:rsid w:val="00D154EA"/>
    <w:rsid w:val="00D1552F"/>
    <w:rsid w:val="00D15575"/>
    <w:rsid w:val="00D15585"/>
    <w:rsid w:val="00D155E5"/>
    <w:rsid w:val="00D15600"/>
    <w:rsid w:val="00D1560B"/>
    <w:rsid w:val="00D15631"/>
    <w:rsid w:val="00D15665"/>
    <w:rsid w:val="00D156CE"/>
    <w:rsid w:val="00D15736"/>
    <w:rsid w:val="00D1577C"/>
    <w:rsid w:val="00D158ED"/>
    <w:rsid w:val="00D15965"/>
    <w:rsid w:val="00D15976"/>
    <w:rsid w:val="00D159E0"/>
    <w:rsid w:val="00D15A49"/>
    <w:rsid w:val="00D15A71"/>
    <w:rsid w:val="00D15ACB"/>
    <w:rsid w:val="00D15AEB"/>
    <w:rsid w:val="00D15B28"/>
    <w:rsid w:val="00D15B29"/>
    <w:rsid w:val="00D15B80"/>
    <w:rsid w:val="00D15BA3"/>
    <w:rsid w:val="00D15BC6"/>
    <w:rsid w:val="00D15BD2"/>
    <w:rsid w:val="00D15BD8"/>
    <w:rsid w:val="00D15BF1"/>
    <w:rsid w:val="00D15C9D"/>
    <w:rsid w:val="00D15E91"/>
    <w:rsid w:val="00D15F23"/>
    <w:rsid w:val="00D15F51"/>
    <w:rsid w:val="00D15F87"/>
    <w:rsid w:val="00D15FD7"/>
    <w:rsid w:val="00D160D8"/>
    <w:rsid w:val="00D160DF"/>
    <w:rsid w:val="00D160F9"/>
    <w:rsid w:val="00D1610D"/>
    <w:rsid w:val="00D16181"/>
    <w:rsid w:val="00D16192"/>
    <w:rsid w:val="00D161D6"/>
    <w:rsid w:val="00D1623B"/>
    <w:rsid w:val="00D16399"/>
    <w:rsid w:val="00D163BE"/>
    <w:rsid w:val="00D163D3"/>
    <w:rsid w:val="00D164AF"/>
    <w:rsid w:val="00D164E5"/>
    <w:rsid w:val="00D164FF"/>
    <w:rsid w:val="00D16510"/>
    <w:rsid w:val="00D16523"/>
    <w:rsid w:val="00D16555"/>
    <w:rsid w:val="00D16563"/>
    <w:rsid w:val="00D1664E"/>
    <w:rsid w:val="00D16699"/>
    <w:rsid w:val="00D166FB"/>
    <w:rsid w:val="00D1674B"/>
    <w:rsid w:val="00D16798"/>
    <w:rsid w:val="00D168E1"/>
    <w:rsid w:val="00D16991"/>
    <w:rsid w:val="00D16AC4"/>
    <w:rsid w:val="00D16B5A"/>
    <w:rsid w:val="00D16B61"/>
    <w:rsid w:val="00D16B6F"/>
    <w:rsid w:val="00D16C19"/>
    <w:rsid w:val="00D16CCB"/>
    <w:rsid w:val="00D16D12"/>
    <w:rsid w:val="00D16E69"/>
    <w:rsid w:val="00D16E86"/>
    <w:rsid w:val="00D16EAF"/>
    <w:rsid w:val="00D16F10"/>
    <w:rsid w:val="00D16F56"/>
    <w:rsid w:val="00D16F67"/>
    <w:rsid w:val="00D16FC8"/>
    <w:rsid w:val="00D17042"/>
    <w:rsid w:val="00D170C1"/>
    <w:rsid w:val="00D170D2"/>
    <w:rsid w:val="00D170EB"/>
    <w:rsid w:val="00D171A1"/>
    <w:rsid w:val="00D171DB"/>
    <w:rsid w:val="00D17218"/>
    <w:rsid w:val="00D1724B"/>
    <w:rsid w:val="00D17263"/>
    <w:rsid w:val="00D172CC"/>
    <w:rsid w:val="00D172D8"/>
    <w:rsid w:val="00D173E3"/>
    <w:rsid w:val="00D17486"/>
    <w:rsid w:val="00D17521"/>
    <w:rsid w:val="00D17613"/>
    <w:rsid w:val="00D17695"/>
    <w:rsid w:val="00D1773D"/>
    <w:rsid w:val="00D177D0"/>
    <w:rsid w:val="00D177DC"/>
    <w:rsid w:val="00D177E6"/>
    <w:rsid w:val="00D177F8"/>
    <w:rsid w:val="00D17817"/>
    <w:rsid w:val="00D1791D"/>
    <w:rsid w:val="00D17931"/>
    <w:rsid w:val="00D1794D"/>
    <w:rsid w:val="00D17AA7"/>
    <w:rsid w:val="00D17B0D"/>
    <w:rsid w:val="00D17B39"/>
    <w:rsid w:val="00D17B52"/>
    <w:rsid w:val="00D17C1F"/>
    <w:rsid w:val="00D17C35"/>
    <w:rsid w:val="00D17C43"/>
    <w:rsid w:val="00D17CA5"/>
    <w:rsid w:val="00D17D1E"/>
    <w:rsid w:val="00D17D99"/>
    <w:rsid w:val="00D17DB4"/>
    <w:rsid w:val="00D17DE8"/>
    <w:rsid w:val="00D17E5A"/>
    <w:rsid w:val="00D17F6B"/>
    <w:rsid w:val="00D17FE0"/>
    <w:rsid w:val="00D2002E"/>
    <w:rsid w:val="00D20042"/>
    <w:rsid w:val="00D20073"/>
    <w:rsid w:val="00D2008C"/>
    <w:rsid w:val="00D200C6"/>
    <w:rsid w:val="00D201B8"/>
    <w:rsid w:val="00D20203"/>
    <w:rsid w:val="00D20205"/>
    <w:rsid w:val="00D20222"/>
    <w:rsid w:val="00D2026E"/>
    <w:rsid w:val="00D202BA"/>
    <w:rsid w:val="00D202CE"/>
    <w:rsid w:val="00D20374"/>
    <w:rsid w:val="00D20376"/>
    <w:rsid w:val="00D203B5"/>
    <w:rsid w:val="00D20451"/>
    <w:rsid w:val="00D20478"/>
    <w:rsid w:val="00D204D5"/>
    <w:rsid w:val="00D204DB"/>
    <w:rsid w:val="00D2051A"/>
    <w:rsid w:val="00D2053A"/>
    <w:rsid w:val="00D205B8"/>
    <w:rsid w:val="00D206D9"/>
    <w:rsid w:val="00D20724"/>
    <w:rsid w:val="00D20748"/>
    <w:rsid w:val="00D2076D"/>
    <w:rsid w:val="00D2076E"/>
    <w:rsid w:val="00D20830"/>
    <w:rsid w:val="00D20835"/>
    <w:rsid w:val="00D2084F"/>
    <w:rsid w:val="00D208F2"/>
    <w:rsid w:val="00D20932"/>
    <w:rsid w:val="00D20962"/>
    <w:rsid w:val="00D20979"/>
    <w:rsid w:val="00D209B4"/>
    <w:rsid w:val="00D20AC8"/>
    <w:rsid w:val="00D20AE8"/>
    <w:rsid w:val="00D20B44"/>
    <w:rsid w:val="00D20B8E"/>
    <w:rsid w:val="00D20BE6"/>
    <w:rsid w:val="00D20C9A"/>
    <w:rsid w:val="00D20D0A"/>
    <w:rsid w:val="00D20D38"/>
    <w:rsid w:val="00D20D78"/>
    <w:rsid w:val="00D20EC7"/>
    <w:rsid w:val="00D20ED8"/>
    <w:rsid w:val="00D20F17"/>
    <w:rsid w:val="00D20F80"/>
    <w:rsid w:val="00D20F8D"/>
    <w:rsid w:val="00D20FD1"/>
    <w:rsid w:val="00D20FF6"/>
    <w:rsid w:val="00D2103E"/>
    <w:rsid w:val="00D210CD"/>
    <w:rsid w:val="00D210E6"/>
    <w:rsid w:val="00D2114F"/>
    <w:rsid w:val="00D211E5"/>
    <w:rsid w:val="00D21202"/>
    <w:rsid w:val="00D212A6"/>
    <w:rsid w:val="00D212F5"/>
    <w:rsid w:val="00D21330"/>
    <w:rsid w:val="00D2134A"/>
    <w:rsid w:val="00D213CD"/>
    <w:rsid w:val="00D2145E"/>
    <w:rsid w:val="00D2154C"/>
    <w:rsid w:val="00D215DB"/>
    <w:rsid w:val="00D21600"/>
    <w:rsid w:val="00D2164F"/>
    <w:rsid w:val="00D21686"/>
    <w:rsid w:val="00D217BC"/>
    <w:rsid w:val="00D217D7"/>
    <w:rsid w:val="00D217D8"/>
    <w:rsid w:val="00D21893"/>
    <w:rsid w:val="00D218B7"/>
    <w:rsid w:val="00D2190D"/>
    <w:rsid w:val="00D21918"/>
    <w:rsid w:val="00D2193C"/>
    <w:rsid w:val="00D21992"/>
    <w:rsid w:val="00D21A5C"/>
    <w:rsid w:val="00D21B28"/>
    <w:rsid w:val="00D21B32"/>
    <w:rsid w:val="00D21B35"/>
    <w:rsid w:val="00D21B3E"/>
    <w:rsid w:val="00D21B58"/>
    <w:rsid w:val="00D21C64"/>
    <w:rsid w:val="00D21D08"/>
    <w:rsid w:val="00D21D1F"/>
    <w:rsid w:val="00D21DA9"/>
    <w:rsid w:val="00D21E32"/>
    <w:rsid w:val="00D21E9A"/>
    <w:rsid w:val="00D21F81"/>
    <w:rsid w:val="00D2207F"/>
    <w:rsid w:val="00D220A9"/>
    <w:rsid w:val="00D220C9"/>
    <w:rsid w:val="00D220DB"/>
    <w:rsid w:val="00D221C5"/>
    <w:rsid w:val="00D22273"/>
    <w:rsid w:val="00D22274"/>
    <w:rsid w:val="00D2227A"/>
    <w:rsid w:val="00D222BA"/>
    <w:rsid w:val="00D222DF"/>
    <w:rsid w:val="00D222EC"/>
    <w:rsid w:val="00D22349"/>
    <w:rsid w:val="00D223DC"/>
    <w:rsid w:val="00D22457"/>
    <w:rsid w:val="00D2254D"/>
    <w:rsid w:val="00D22576"/>
    <w:rsid w:val="00D22680"/>
    <w:rsid w:val="00D22758"/>
    <w:rsid w:val="00D2279C"/>
    <w:rsid w:val="00D227A8"/>
    <w:rsid w:val="00D22802"/>
    <w:rsid w:val="00D228B7"/>
    <w:rsid w:val="00D228B9"/>
    <w:rsid w:val="00D228E1"/>
    <w:rsid w:val="00D22902"/>
    <w:rsid w:val="00D229AB"/>
    <w:rsid w:val="00D22A29"/>
    <w:rsid w:val="00D22A56"/>
    <w:rsid w:val="00D22A6F"/>
    <w:rsid w:val="00D22A85"/>
    <w:rsid w:val="00D22A95"/>
    <w:rsid w:val="00D22B3A"/>
    <w:rsid w:val="00D22C39"/>
    <w:rsid w:val="00D22C72"/>
    <w:rsid w:val="00D22D02"/>
    <w:rsid w:val="00D22D10"/>
    <w:rsid w:val="00D22D21"/>
    <w:rsid w:val="00D22D30"/>
    <w:rsid w:val="00D22D3F"/>
    <w:rsid w:val="00D22D7D"/>
    <w:rsid w:val="00D22D86"/>
    <w:rsid w:val="00D22DD0"/>
    <w:rsid w:val="00D22DDE"/>
    <w:rsid w:val="00D22E0A"/>
    <w:rsid w:val="00D22EB4"/>
    <w:rsid w:val="00D22ED8"/>
    <w:rsid w:val="00D22F41"/>
    <w:rsid w:val="00D2308B"/>
    <w:rsid w:val="00D23104"/>
    <w:rsid w:val="00D23115"/>
    <w:rsid w:val="00D23128"/>
    <w:rsid w:val="00D23144"/>
    <w:rsid w:val="00D2316D"/>
    <w:rsid w:val="00D231B8"/>
    <w:rsid w:val="00D231BB"/>
    <w:rsid w:val="00D231DE"/>
    <w:rsid w:val="00D23228"/>
    <w:rsid w:val="00D23277"/>
    <w:rsid w:val="00D23348"/>
    <w:rsid w:val="00D2335D"/>
    <w:rsid w:val="00D2339F"/>
    <w:rsid w:val="00D233AC"/>
    <w:rsid w:val="00D23464"/>
    <w:rsid w:val="00D2362B"/>
    <w:rsid w:val="00D2362C"/>
    <w:rsid w:val="00D23655"/>
    <w:rsid w:val="00D2371B"/>
    <w:rsid w:val="00D2371C"/>
    <w:rsid w:val="00D23756"/>
    <w:rsid w:val="00D23880"/>
    <w:rsid w:val="00D23911"/>
    <w:rsid w:val="00D23947"/>
    <w:rsid w:val="00D239D7"/>
    <w:rsid w:val="00D23A2A"/>
    <w:rsid w:val="00D23AA6"/>
    <w:rsid w:val="00D23AB3"/>
    <w:rsid w:val="00D23B9A"/>
    <w:rsid w:val="00D23BE1"/>
    <w:rsid w:val="00D23C9A"/>
    <w:rsid w:val="00D23CB6"/>
    <w:rsid w:val="00D23DC2"/>
    <w:rsid w:val="00D23DCA"/>
    <w:rsid w:val="00D23DF8"/>
    <w:rsid w:val="00D23E11"/>
    <w:rsid w:val="00D23E92"/>
    <w:rsid w:val="00D23FE5"/>
    <w:rsid w:val="00D24018"/>
    <w:rsid w:val="00D24057"/>
    <w:rsid w:val="00D2408A"/>
    <w:rsid w:val="00D24104"/>
    <w:rsid w:val="00D24182"/>
    <w:rsid w:val="00D241FC"/>
    <w:rsid w:val="00D24339"/>
    <w:rsid w:val="00D24397"/>
    <w:rsid w:val="00D243F9"/>
    <w:rsid w:val="00D24437"/>
    <w:rsid w:val="00D244E3"/>
    <w:rsid w:val="00D244FA"/>
    <w:rsid w:val="00D2454D"/>
    <w:rsid w:val="00D24574"/>
    <w:rsid w:val="00D245A5"/>
    <w:rsid w:val="00D2465D"/>
    <w:rsid w:val="00D246CB"/>
    <w:rsid w:val="00D24746"/>
    <w:rsid w:val="00D24789"/>
    <w:rsid w:val="00D247F8"/>
    <w:rsid w:val="00D24801"/>
    <w:rsid w:val="00D248B1"/>
    <w:rsid w:val="00D248EF"/>
    <w:rsid w:val="00D24923"/>
    <w:rsid w:val="00D24955"/>
    <w:rsid w:val="00D24981"/>
    <w:rsid w:val="00D249D6"/>
    <w:rsid w:val="00D24AE6"/>
    <w:rsid w:val="00D24BFD"/>
    <w:rsid w:val="00D24C00"/>
    <w:rsid w:val="00D24C1B"/>
    <w:rsid w:val="00D24CAE"/>
    <w:rsid w:val="00D24D53"/>
    <w:rsid w:val="00D24D61"/>
    <w:rsid w:val="00D24D70"/>
    <w:rsid w:val="00D24DE1"/>
    <w:rsid w:val="00D24E2B"/>
    <w:rsid w:val="00D24FD5"/>
    <w:rsid w:val="00D250A1"/>
    <w:rsid w:val="00D250A8"/>
    <w:rsid w:val="00D250AD"/>
    <w:rsid w:val="00D25176"/>
    <w:rsid w:val="00D251D8"/>
    <w:rsid w:val="00D2523A"/>
    <w:rsid w:val="00D253AC"/>
    <w:rsid w:val="00D2540A"/>
    <w:rsid w:val="00D2541E"/>
    <w:rsid w:val="00D25489"/>
    <w:rsid w:val="00D254B2"/>
    <w:rsid w:val="00D25524"/>
    <w:rsid w:val="00D2554F"/>
    <w:rsid w:val="00D25569"/>
    <w:rsid w:val="00D25619"/>
    <w:rsid w:val="00D25640"/>
    <w:rsid w:val="00D25685"/>
    <w:rsid w:val="00D25686"/>
    <w:rsid w:val="00D2569E"/>
    <w:rsid w:val="00D2586A"/>
    <w:rsid w:val="00D258E7"/>
    <w:rsid w:val="00D25953"/>
    <w:rsid w:val="00D25989"/>
    <w:rsid w:val="00D259EB"/>
    <w:rsid w:val="00D25A1D"/>
    <w:rsid w:val="00D25A65"/>
    <w:rsid w:val="00D25A92"/>
    <w:rsid w:val="00D25B7C"/>
    <w:rsid w:val="00D25B8E"/>
    <w:rsid w:val="00D25B9E"/>
    <w:rsid w:val="00D25BD2"/>
    <w:rsid w:val="00D25C5F"/>
    <w:rsid w:val="00D25C8A"/>
    <w:rsid w:val="00D25CD7"/>
    <w:rsid w:val="00D25CF5"/>
    <w:rsid w:val="00D25DA7"/>
    <w:rsid w:val="00D25DD7"/>
    <w:rsid w:val="00D25DDA"/>
    <w:rsid w:val="00D25E8F"/>
    <w:rsid w:val="00D25F4F"/>
    <w:rsid w:val="00D25F64"/>
    <w:rsid w:val="00D25FD6"/>
    <w:rsid w:val="00D25FF8"/>
    <w:rsid w:val="00D26010"/>
    <w:rsid w:val="00D2614D"/>
    <w:rsid w:val="00D2619A"/>
    <w:rsid w:val="00D261D8"/>
    <w:rsid w:val="00D2620B"/>
    <w:rsid w:val="00D262C0"/>
    <w:rsid w:val="00D262D5"/>
    <w:rsid w:val="00D26325"/>
    <w:rsid w:val="00D26361"/>
    <w:rsid w:val="00D2637B"/>
    <w:rsid w:val="00D26381"/>
    <w:rsid w:val="00D2650A"/>
    <w:rsid w:val="00D2650B"/>
    <w:rsid w:val="00D26531"/>
    <w:rsid w:val="00D265A5"/>
    <w:rsid w:val="00D265C7"/>
    <w:rsid w:val="00D26612"/>
    <w:rsid w:val="00D266C9"/>
    <w:rsid w:val="00D2673D"/>
    <w:rsid w:val="00D26742"/>
    <w:rsid w:val="00D2675B"/>
    <w:rsid w:val="00D2678F"/>
    <w:rsid w:val="00D2679D"/>
    <w:rsid w:val="00D267BF"/>
    <w:rsid w:val="00D26817"/>
    <w:rsid w:val="00D26828"/>
    <w:rsid w:val="00D2687B"/>
    <w:rsid w:val="00D26896"/>
    <w:rsid w:val="00D26997"/>
    <w:rsid w:val="00D2699D"/>
    <w:rsid w:val="00D26A4A"/>
    <w:rsid w:val="00D26AE5"/>
    <w:rsid w:val="00D26C0C"/>
    <w:rsid w:val="00D26CC7"/>
    <w:rsid w:val="00D26D16"/>
    <w:rsid w:val="00D26D33"/>
    <w:rsid w:val="00D26DFC"/>
    <w:rsid w:val="00D26E0D"/>
    <w:rsid w:val="00D26E17"/>
    <w:rsid w:val="00D26EDC"/>
    <w:rsid w:val="00D26EF1"/>
    <w:rsid w:val="00D26F62"/>
    <w:rsid w:val="00D26FE2"/>
    <w:rsid w:val="00D26FFD"/>
    <w:rsid w:val="00D27076"/>
    <w:rsid w:val="00D27262"/>
    <w:rsid w:val="00D27279"/>
    <w:rsid w:val="00D272DB"/>
    <w:rsid w:val="00D272E6"/>
    <w:rsid w:val="00D27347"/>
    <w:rsid w:val="00D273C2"/>
    <w:rsid w:val="00D273D7"/>
    <w:rsid w:val="00D27441"/>
    <w:rsid w:val="00D2746C"/>
    <w:rsid w:val="00D27476"/>
    <w:rsid w:val="00D274D5"/>
    <w:rsid w:val="00D2755E"/>
    <w:rsid w:val="00D2757F"/>
    <w:rsid w:val="00D27619"/>
    <w:rsid w:val="00D27697"/>
    <w:rsid w:val="00D27714"/>
    <w:rsid w:val="00D277F5"/>
    <w:rsid w:val="00D27814"/>
    <w:rsid w:val="00D2796D"/>
    <w:rsid w:val="00D27981"/>
    <w:rsid w:val="00D27AC5"/>
    <w:rsid w:val="00D27B03"/>
    <w:rsid w:val="00D27B5F"/>
    <w:rsid w:val="00D27B72"/>
    <w:rsid w:val="00D27B7D"/>
    <w:rsid w:val="00D27B99"/>
    <w:rsid w:val="00D27C51"/>
    <w:rsid w:val="00D27C67"/>
    <w:rsid w:val="00D27CC7"/>
    <w:rsid w:val="00D27CD8"/>
    <w:rsid w:val="00D27D4F"/>
    <w:rsid w:val="00D27E28"/>
    <w:rsid w:val="00D27EB1"/>
    <w:rsid w:val="00D27ECF"/>
    <w:rsid w:val="00D27ED7"/>
    <w:rsid w:val="00D27FF1"/>
    <w:rsid w:val="00D27FF7"/>
    <w:rsid w:val="00D30075"/>
    <w:rsid w:val="00D300AF"/>
    <w:rsid w:val="00D300B1"/>
    <w:rsid w:val="00D301C5"/>
    <w:rsid w:val="00D301DB"/>
    <w:rsid w:val="00D30315"/>
    <w:rsid w:val="00D30477"/>
    <w:rsid w:val="00D304AB"/>
    <w:rsid w:val="00D30526"/>
    <w:rsid w:val="00D30610"/>
    <w:rsid w:val="00D30642"/>
    <w:rsid w:val="00D306EB"/>
    <w:rsid w:val="00D30702"/>
    <w:rsid w:val="00D30707"/>
    <w:rsid w:val="00D30771"/>
    <w:rsid w:val="00D307C9"/>
    <w:rsid w:val="00D307ED"/>
    <w:rsid w:val="00D30809"/>
    <w:rsid w:val="00D3081A"/>
    <w:rsid w:val="00D30869"/>
    <w:rsid w:val="00D3086C"/>
    <w:rsid w:val="00D30998"/>
    <w:rsid w:val="00D309EA"/>
    <w:rsid w:val="00D30A1C"/>
    <w:rsid w:val="00D30A74"/>
    <w:rsid w:val="00D30AB7"/>
    <w:rsid w:val="00D30ABE"/>
    <w:rsid w:val="00D30B02"/>
    <w:rsid w:val="00D30B36"/>
    <w:rsid w:val="00D30B44"/>
    <w:rsid w:val="00D30BDE"/>
    <w:rsid w:val="00D30BEF"/>
    <w:rsid w:val="00D30C64"/>
    <w:rsid w:val="00D30D94"/>
    <w:rsid w:val="00D30E03"/>
    <w:rsid w:val="00D30FFA"/>
    <w:rsid w:val="00D31029"/>
    <w:rsid w:val="00D31072"/>
    <w:rsid w:val="00D310D3"/>
    <w:rsid w:val="00D311DC"/>
    <w:rsid w:val="00D31210"/>
    <w:rsid w:val="00D31308"/>
    <w:rsid w:val="00D3130B"/>
    <w:rsid w:val="00D3131C"/>
    <w:rsid w:val="00D313E2"/>
    <w:rsid w:val="00D314BB"/>
    <w:rsid w:val="00D3151D"/>
    <w:rsid w:val="00D31592"/>
    <w:rsid w:val="00D315B9"/>
    <w:rsid w:val="00D315C3"/>
    <w:rsid w:val="00D31600"/>
    <w:rsid w:val="00D3162A"/>
    <w:rsid w:val="00D3163B"/>
    <w:rsid w:val="00D31670"/>
    <w:rsid w:val="00D31689"/>
    <w:rsid w:val="00D316A1"/>
    <w:rsid w:val="00D316B9"/>
    <w:rsid w:val="00D316E6"/>
    <w:rsid w:val="00D316EC"/>
    <w:rsid w:val="00D31779"/>
    <w:rsid w:val="00D31790"/>
    <w:rsid w:val="00D31806"/>
    <w:rsid w:val="00D3186F"/>
    <w:rsid w:val="00D318BA"/>
    <w:rsid w:val="00D318DD"/>
    <w:rsid w:val="00D318EA"/>
    <w:rsid w:val="00D3194D"/>
    <w:rsid w:val="00D319DB"/>
    <w:rsid w:val="00D31A3E"/>
    <w:rsid w:val="00D31A70"/>
    <w:rsid w:val="00D31ADF"/>
    <w:rsid w:val="00D31BE5"/>
    <w:rsid w:val="00D31C07"/>
    <w:rsid w:val="00D31CB9"/>
    <w:rsid w:val="00D31CEB"/>
    <w:rsid w:val="00D31D1E"/>
    <w:rsid w:val="00D31D9A"/>
    <w:rsid w:val="00D31DB2"/>
    <w:rsid w:val="00D31DCA"/>
    <w:rsid w:val="00D31DEA"/>
    <w:rsid w:val="00D31E59"/>
    <w:rsid w:val="00D31EA5"/>
    <w:rsid w:val="00D31ECE"/>
    <w:rsid w:val="00D31EF8"/>
    <w:rsid w:val="00D31FCA"/>
    <w:rsid w:val="00D31FD8"/>
    <w:rsid w:val="00D3205C"/>
    <w:rsid w:val="00D32080"/>
    <w:rsid w:val="00D3208C"/>
    <w:rsid w:val="00D320DB"/>
    <w:rsid w:val="00D32139"/>
    <w:rsid w:val="00D321CC"/>
    <w:rsid w:val="00D3224B"/>
    <w:rsid w:val="00D3225E"/>
    <w:rsid w:val="00D32356"/>
    <w:rsid w:val="00D32391"/>
    <w:rsid w:val="00D323DF"/>
    <w:rsid w:val="00D323E9"/>
    <w:rsid w:val="00D32428"/>
    <w:rsid w:val="00D324DB"/>
    <w:rsid w:val="00D32512"/>
    <w:rsid w:val="00D32527"/>
    <w:rsid w:val="00D325ED"/>
    <w:rsid w:val="00D32635"/>
    <w:rsid w:val="00D3264B"/>
    <w:rsid w:val="00D326C6"/>
    <w:rsid w:val="00D32764"/>
    <w:rsid w:val="00D3276E"/>
    <w:rsid w:val="00D32778"/>
    <w:rsid w:val="00D327DC"/>
    <w:rsid w:val="00D32914"/>
    <w:rsid w:val="00D3295D"/>
    <w:rsid w:val="00D32C69"/>
    <w:rsid w:val="00D32C6F"/>
    <w:rsid w:val="00D32C72"/>
    <w:rsid w:val="00D32D15"/>
    <w:rsid w:val="00D32D8F"/>
    <w:rsid w:val="00D32E13"/>
    <w:rsid w:val="00D32E2F"/>
    <w:rsid w:val="00D32F09"/>
    <w:rsid w:val="00D32F1D"/>
    <w:rsid w:val="00D32F39"/>
    <w:rsid w:val="00D330E3"/>
    <w:rsid w:val="00D3312D"/>
    <w:rsid w:val="00D33177"/>
    <w:rsid w:val="00D33187"/>
    <w:rsid w:val="00D331A5"/>
    <w:rsid w:val="00D33295"/>
    <w:rsid w:val="00D332DC"/>
    <w:rsid w:val="00D33348"/>
    <w:rsid w:val="00D33349"/>
    <w:rsid w:val="00D33426"/>
    <w:rsid w:val="00D33439"/>
    <w:rsid w:val="00D33458"/>
    <w:rsid w:val="00D33477"/>
    <w:rsid w:val="00D3353E"/>
    <w:rsid w:val="00D335D9"/>
    <w:rsid w:val="00D3364B"/>
    <w:rsid w:val="00D3366E"/>
    <w:rsid w:val="00D336BC"/>
    <w:rsid w:val="00D336E7"/>
    <w:rsid w:val="00D336F9"/>
    <w:rsid w:val="00D3371D"/>
    <w:rsid w:val="00D33769"/>
    <w:rsid w:val="00D337B6"/>
    <w:rsid w:val="00D338F1"/>
    <w:rsid w:val="00D33936"/>
    <w:rsid w:val="00D33942"/>
    <w:rsid w:val="00D339C8"/>
    <w:rsid w:val="00D33A4D"/>
    <w:rsid w:val="00D33AA1"/>
    <w:rsid w:val="00D33AB0"/>
    <w:rsid w:val="00D33ACA"/>
    <w:rsid w:val="00D33B01"/>
    <w:rsid w:val="00D33B2C"/>
    <w:rsid w:val="00D33B49"/>
    <w:rsid w:val="00D33B7E"/>
    <w:rsid w:val="00D33B9A"/>
    <w:rsid w:val="00D33BBC"/>
    <w:rsid w:val="00D33D91"/>
    <w:rsid w:val="00D33F49"/>
    <w:rsid w:val="00D33F95"/>
    <w:rsid w:val="00D33FEE"/>
    <w:rsid w:val="00D34092"/>
    <w:rsid w:val="00D341B9"/>
    <w:rsid w:val="00D341FB"/>
    <w:rsid w:val="00D34274"/>
    <w:rsid w:val="00D342BC"/>
    <w:rsid w:val="00D3449A"/>
    <w:rsid w:val="00D344A3"/>
    <w:rsid w:val="00D344D2"/>
    <w:rsid w:val="00D344FD"/>
    <w:rsid w:val="00D3451A"/>
    <w:rsid w:val="00D34526"/>
    <w:rsid w:val="00D3454D"/>
    <w:rsid w:val="00D3459A"/>
    <w:rsid w:val="00D345C2"/>
    <w:rsid w:val="00D34648"/>
    <w:rsid w:val="00D34694"/>
    <w:rsid w:val="00D346B2"/>
    <w:rsid w:val="00D346C9"/>
    <w:rsid w:val="00D346DB"/>
    <w:rsid w:val="00D34729"/>
    <w:rsid w:val="00D347BA"/>
    <w:rsid w:val="00D34855"/>
    <w:rsid w:val="00D348CB"/>
    <w:rsid w:val="00D348E4"/>
    <w:rsid w:val="00D34A28"/>
    <w:rsid w:val="00D34AA4"/>
    <w:rsid w:val="00D34AEF"/>
    <w:rsid w:val="00D34B5B"/>
    <w:rsid w:val="00D34B77"/>
    <w:rsid w:val="00D34B8A"/>
    <w:rsid w:val="00D34BD1"/>
    <w:rsid w:val="00D34C34"/>
    <w:rsid w:val="00D34C90"/>
    <w:rsid w:val="00D34CBE"/>
    <w:rsid w:val="00D34CC0"/>
    <w:rsid w:val="00D34CCB"/>
    <w:rsid w:val="00D34D61"/>
    <w:rsid w:val="00D34DB9"/>
    <w:rsid w:val="00D34DBB"/>
    <w:rsid w:val="00D34E31"/>
    <w:rsid w:val="00D34E40"/>
    <w:rsid w:val="00D34EEE"/>
    <w:rsid w:val="00D34F93"/>
    <w:rsid w:val="00D3509B"/>
    <w:rsid w:val="00D35145"/>
    <w:rsid w:val="00D35198"/>
    <w:rsid w:val="00D3523B"/>
    <w:rsid w:val="00D35277"/>
    <w:rsid w:val="00D352C6"/>
    <w:rsid w:val="00D35301"/>
    <w:rsid w:val="00D3531B"/>
    <w:rsid w:val="00D35404"/>
    <w:rsid w:val="00D35413"/>
    <w:rsid w:val="00D3545D"/>
    <w:rsid w:val="00D3545E"/>
    <w:rsid w:val="00D354C0"/>
    <w:rsid w:val="00D35511"/>
    <w:rsid w:val="00D355FE"/>
    <w:rsid w:val="00D3563B"/>
    <w:rsid w:val="00D356E1"/>
    <w:rsid w:val="00D35721"/>
    <w:rsid w:val="00D35756"/>
    <w:rsid w:val="00D35759"/>
    <w:rsid w:val="00D357EC"/>
    <w:rsid w:val="00D35858"/>
    <w:rsid w:val="00D358AE"/>
    <w:rsid w:val="00D35916"/>
    <w:rsid w:val="00D35960"/>
    <w:rsid w:val="00D359F5"/>
    <w:rsid w:val="00D35A0C"/>
    <w:rsid w:val="00D35A8D"/>
    <w:rsid w:val="00D35AB6"/>
    <w:rsid w:val="00D35B22"/>
    <w:rsid w:val="00D35B38"/>
    <w:rsid w:val="00D35BBF"/>
    <w:rsid w:val="00D35BD6"/>
    <w:rsid w:val="00D35D1C"/>
    <w:rsid w:val="00D35E2F"/>
    <w:rsid w:val="00D35E77"/>
    <w:rsid w:val="00D35EC5"/>
    <w:rsid w:val="00D35FBD"/>
    <w:rsid w:val="00D35FF4"/>
    <w:rsid w:val="00D3615F"/>
    <w:rsid w:val="00D36360"/>
    <w:rsid w:val="00D363AC"/>
    <w:rsid w:val="00D363FC"/>
    <w:rsid w:val="00D36405"/>
    <w:rsid w:val="00D3644C"/>
    <w:rsid w:val="00D364B6"/>
    <w:rsid w:val="00D364CC"/>
    <w:rsid w:val="00D36509"/>
    <w:rsid w:val="00D36633"/>
    <w:rsid w:val="00D366D4"/>
    <w:rsid w:val="00D366DB"/>
    <w:rsid w:val="00D3671E"/>
    <w:rsid w:val="00D36757"/>
    <w:rsid w:val="00D369C7"/>
    <w:rsid w:val="00D36A13"/>
    <w:rsid w:val="00D36ACD"/>
    <w:rsid w:val="00D36BBC"/>
    <w:rsid w:val="00D36BD3"/>
    <w:rsid w:val="00D36D9B"/>
    <w:rsid w:val="00D36FA1"/>
    <w:rsid w:val="00D37011"/>
    <w:rsid w:val="00D370C5"/>
    <w:rsid w:val="00D3715E"/>
    <w:rsid w:val="00D37262"/>
    <w:rsid w:val="00D372F2"/>
    <w:rsid w:val="00D372F9"/>
    <w:rsid w:val="00D37324"/>
    <w:rsid w:val="00D373B0"/>
    <w:rsid w:val="00D37418"/>
    <w:rsid w:val="00D3745B"/>
    <w:rsid w:val="00D375BD"/>
    <w:rsid w:val="00D375C0"/>
    <w:rsid w:val="00D375C3"/>
    <w:rsid w:val="00D375F7"/>
    <w:rsid w:val="00D37674"/>
    <w:rsid w:val="00D37690"/>
    <w:rsid w:val="00D37706"/>
    <w:rsid w:val="00D37777"/>
    <w:rsid w:val="00D377D1"/>
    <w:rsid w:val="00D37842"/>
    <w:rsid w:val="00D37864"/>
    <w:rsid w:val="00D3789D"/>
    <w:rsid w:val="00D378C2"/>
    <w:rsid w:val="00D378D5"/>
    <w:rsid w:val="00D379E6"/>
    <w:rsid w:val="00D37B16"/>
    <w:rsid w:val="00D37C70"/>
    <w:rsid w:val="00D37CD4"/>
    <w:rsid w:val="00D37D45"/>
    <w:rsid w:val="00D37E0D"/>
    <w:rsid w:val="00D37E3B"/>
    <w:rsid w:val="00D37F83"/>
    <w:rsid w:val="00D37FBC"/>
    <w:rsid w:val="00D37FD0"/>
    <w:rsid w:val="00D40020"/>
    <w:rsid w:val="00D4004D"/>
    <w:rsid w:val="00D400E5"/>
    <w:rsid w:val="00D4011C"/>
    <w:rsid w:val="00D40148"/>
    <w:rsid w:val="00D401A2"/>
    <w:rsid w:val="00D401CF"/>
    <w:rsid w:val="00D402B8"/>
    <w:rsid w:val="00D40385"/>
    <w:rsid w:val="00D403BD"/>
    <w:rsid w:val="00D403EC"/>
    <w:rsid w:val="00D4040F"/>
    <w:rsid w:val="00D4046B"/>
    <w:rsid w:val="00D404DC"/>
    <w:rsid w:val="00D4050F"/>
    <w:rsid w:val="00D405E4"/>
    <w:rsid w:val="00D4062B"/>
    <w:rsid w:val="00D4064A"/>
    <w:rsid w:val="00D40719"/>
    <w:rsid w:val="00D40721"/>
    <w:rsid w:val="00D407E6"/>
    <w:rsid w:val="00D4088C"/>
    <w:rsid w:val="00D408B1"/>
    <w:rsid w:val="00D4093A"/>
    <w:rsid w:val="00D409B1"/>
    <w:rsid w:val="00D409DE"/>
    <w:rsid w:val="00D40A28"/>
    <w:rsid w:val="00D40A35"/>
    <w:rsid w:val="00D40ADB"/>
    <w:rsid w:val="00D40B4C"/>
    <w:rsid w:val="00D40B96"/>
    <w:rsid w:val="00D40BF4"/>
    <w:rsid w:val="00D40CDF"/>
    <w:rsid w:val="00D40D7A"/>
    <w:rsid w:val="00D40DB8"/>
    <w:rsid w:val="00D40E22"/>
    <w:rsid w:val="00D40E2E"/>
    <w:rsid w:val="00D40E4F"/>
    <w:rsid w:val="00D40E92"/>
    <w:rsid w:val="00D40EE4"/>
    <w:rsid w:val="00D40EFB"/>
    <w:rsid w:val="00D40F02"/>
    <w:rsid w:val="00D40F70"/>
    <w:rsid w:val="00D40F82"/>
    <w:rsid w:val="00D40F86"/>
    <w:rsid w:val="00D40FB7"/>
    <w:rsid w:val="00D41052"/>
    <w:rsid w:val="00D41095"/>
    <w:rsid w:val="00D410B6"/>
    <w:rsid w:val="00D41150"/>
    <w:rsid w:val="00D4117C"/>
    <w:rsid w:val="00D411EA"/>
    <w:rsid w:val="00D41209"/>
    <w:rsid w:val="00D41229"/>
    <w:rsid w:val="00D4122F"/>
    <w:rsid w:val="00D413AA"/>
    <w:rsid w:val="00D4140D"/>
    <w:rsid w:val="00D4140E"/>
    <w:rsid w:val="00D41557"/>
    <w:rsid w:val="00D416A6"/>
    <w:rsid w:val="00D417A0"/>
    <w:rsid w:val="00D417D8"/>
    <w:rsid w:val="00D418A1"/>
    <w:rsid w:val="00D418BD"/>
    <w:rsid w:val="00D41980"/>
    <w:rsid w:val="00D41AC6"/>
    <w:rsid w:val="00D41B59"/>
    <w:rsid w:val="00D41B6B"/>
    <w:rsid w:val="00D41C2E"/>
    <w:rsid w:val="00D41CEE"/>
    <w:rsid w:val="00D41D12"/>
    <w:rsid w:val="00D41D3D"/>
    <w:rsid w:val="00D41D4E"/>
    <w:rsid w:val="00D41D7D"/>
    <w:rsid w:val="00D41DA4"/>
    <w:rsid w:val="00D41E45"/>
    <w:rsid w:val="00D41E6C"/>
    <w:rsid w:val="00D41E6E"/>
    <w:rsid w:val="00D41EB8"/>
    <w:rsid w:val="00D41F0E"/>
    <w:rsid w:val="00D41F35"/>
    <w:rsid w:val="00D41FB0"/>
    <w:rsid w:val="00D42014"/>
    <w:rsid w:val="00D4208E"/>
    <w:rsid w:val="00D42092"/>
    <w:rsid w:val="00D420CD"/>
    <w:rsid w:val="00D42147"/>
    <w:rsid w:val="00D42165"/>
    <w:rsid w:val="00D4221A"/>
    <w:rsid w:val="00D42280"/>
    <w:rsid w:val="00D422FB"/>
    <w:rsid w:val="00D42308"/>
    <w:rsid w:val="00D42315"/>
    <w:rsid w:val="00D423E6"/>
    <w:rsid w:val="00D42419"/>
    <w:rsid w:val="00D424E2"/>
    <w:rsid w:val="00D4252D"/>
    <w:rsid w:val="00D42553"/>
    <w:rsid w:val="00D42632"/>
    <w:rsid w:val="00D42705"/>
    <w:rsid w:val="00D42749"/>
    <w:rsid w:val="00D4279D"/>
    <w:rsid w:val="00D427C5"/>
    <w:rsid w:val="00D4287F"/>
    <w:rsid w:val="00D4290F"/>
    <w:rsid w:val="00D42987"/>
    <w:rsid w:val="00D429B5"/>
    <w:rsid w:val="00D42A19"/>
    <w:rsid w:val="00D42A64"/>
    <w:rsid w:val="00D42A85"/>
    <w:rsid w:val="00D42C02"/>
    <w:rsid w:val="00D42C71"/>
    <w:rsid w:val="00D42CA5"/>
    <w:rsid w:val="00D42D45"/>
    <w:rsid w:val="00D42D51"/>
    <w:rsid w:val="00D42D55"/>
    <w:rsid w:val="00D42E05"/>
    <w:rsid w:val="00D42E72"/>
    <w:rsid w:val="00D42E8E"/>
    <w:rsid w:val="00D42E9F"/>
    <w:rsid w:val="00D42EB6"/>
    <w:rsid w:val="00D42EE1"/>
    <w:rsid w:val="00D42F08"/>
    <w:rsid w:val="00D42F5E"/>
    <w:rsid w:val="00D42F88"/>
    <w:rsid w:val="00D42F8C"/>
    <w:rsid w:val="00D42FF1"/>
    <w:rsid w:val="00D4300B"/>
    <w:rsid w:val="00D43076"/>
    <w:rsid w:val="00D430D5"/>
    <w:rsid w:val="00D430DA"/>
    <w:rsid w:val="00D4310F"/>
    <w:rsid w:val="00D43133"/>
    <w:rsid w:val="00D431BF"/>
    <w:rsid w:val="00D431D7"/>
    <w:rsid w:val="00D43217"/>
    <w:rsid w:val="00D43267"/>
    <w:rsid w:val="00D43316"/>
    <w:rsid w:val="00D43317"/>
    <w:rsid w:val="00D43370"/>
    <w:rsid w:val="00D433A5"/>
    <w:rsid w:val="00D433C0"/>
    <w:rsid w:val="00D43407"/>
    <w:rsid w:val="00D434B1"/>
    <w:rsid w:val="00D434C9"/>
    <w:rsid w:val="00D43567"/>
    <w:rsid w:val="00D435F0"/>
    <w:rsid w:val="00D43637"/>
    <w:rsid w:val="00D4367F"/>
    <w:rsid w:val="00D436BC"/>
    <w:rsid w:val="00D436EB"/>
    <w:rsid w:val="00D4385D"/>
    <w:rsid w:val="00D4395A"/>
    <w:rsid w:val="00D439EF"/>
    <w:rsid w:val="00D43A00"/>
    <w:rsid w:val="00D43A79"/>
    <w:rsid w:val="00D43A94"/>
    <w:rsid w:val="00D43AA7"/>
    <w:rsid w:val="00D43B74"/>
    <w:rsid w:val="00D43B99"/>
    <w:rsid w:val="00D43B9C"/>
    <w:rsid w:val="00D43C58"/>
    <w:rsid w:val="00D43CDE"/>
    <w:rsid w:val="00D43CE2"/>
    <w:rsid w:val="00D43D9B"/>
    <w:rsid w:val="00D43DC5"/>
    <w:rsid w:val="00D43DCB"/>
    <w:rsid w:val="00D43F20"/>
    <w:rsid w:val="00D43F55"/>
    <w:rsid w:val="00D43F9C"/>
    <w:rsid w:val="00D44017"/>
    <w:rsid w:val="00D4403A"/>
    <w:rsid w:val="00D44081"/>
    <w:rsid w:val="00D44083"/>
    <w:rsid w:val="00D440B7"/>
    <w:rsid w:val="00D4413A"/>
    <w:rsid w:val="00D4416B"/>
    <w:rsid w:val="00D44199"/>
    <w:rsid w:val="00D441A6"/>
    <w:rsid w:val="00D441E9"/>
    <w:rsid w:val="00D44278"/>
    <w:rsid w:val="00D44339"/>
    <w:rsid w:val="00D443A8"/>
    <w:rsid w:val="00D443B5"/>
    <w:rsid w:val="00D443F6"/>
    <w:rsid w:val="00D4441E"/>
    <w:rsid w:val="00D44420"/>
    <w:rsid w:val="00D4443F"/>
    <w:rsid w:val="00D444B9"/>
    <w:rsid w:val="00D4453B"/>
    <w:rsid w:val="00D44546"/>
    <w:rsid w:val="00D4454C"/>
    <w:rsid w:val="00D4463B"/>
    <w:rsid w:val="00D446CB"/>
    <w:rsid w:val="00D446E8"/>
    <w:rsid w:val="00D446F3"/>
    <w:rsid w:val="00D44990"/>
    <w:rsid w:val="00D449D6"/>
    <w:rsid w:val="00D44A08"/>
    <w:rsid w:val="00D44B1C"/>
    <w:rsid w:val="00D44B41"/>
    <w:rsid w:val="00D44B44"/>
    <w:rsid w:val="00D44B5C"/>
    <w:rsid w:val="00D44B77"/>
    <w:rsid w:val="00D44B97"/>
    <w:rsid w:val="00D44C17"/>
    <w:rsid w:val="00D44C75"/>
    <w:rsid w:val="00D44C94"/>
    <w:rsid w:val="00D44CE2"/>
    <w:rsid w:val="00D44CE4"/>
    <w:rsid w:val="00D44D2C"/>
    <w:rsid w:val="00D44DAC"/>
    <w:rsid w:val="00D44E20"/>
    <w:rsid w:val="00D44F12"/>
    <w:rsid w:val="00D44F74"/>
    <w:rsid w:val="00D45007"/>
    <w:rsid w:val="00D450C5"/>
    <w:rsid w:val="00D450FA"/>
    <w:rsid w:val="00D4515B"/>
    <w:rsid w:val="00D45165"/>
    <w:rsid w:val="00D45187"/>
    <w:rsid w:val="00D45235"/>
    <w:rsid w:val="00D4523F"/>
    <w:rsid w:val="00D452E5"/>
    <w:rsid w:val="00D45375"/>
    <w:rsid w:val="00D45379"/>
    <w:rsid w:val="00D453DC"/>
    <w:rsid w:val="00D45520"/>
    <w:rsid w:val="00D45549"/>
    <w:rsid w:val="00D455F2"/>
    <w:rsid w:val="00D45653"/>
    <w:rsid w:val="00D456B0"/>
    <w:rsid w:val="00D456F5"/>
    <w:rsid w:val="00D45764"/>
    <w:rsid w:val="00D457CD"/>
    <w:rsid w:val="00D45839"/>
    <w:rsid w:val="00D458C2"/>
    <w:rsid w:val="00D458D2"/>
    <w:rsid w:val="00D45929"/>
    <w:rsid w:val="00D45991"/>
    <w:rsid w:val="00D459DF"/>
    <w:rsid w:val="00D45B0F"/>
    <w:rsid w:val="00D45B35"/>
    <w:rsid w:val="00D45B73"/>
    <w:rsid w:val="00D45B8F"/>
    <w:rsid w:val="00D45BE0"/>
    <w:rsid w:val="00D45BEE"/>
    <w:rsid w:val="00D45C17"/>
    <w:rsid w:val="00D45C6C"/>
    <w:rsid w:val="00D45D2F"/>
    <w:rsid w:val="00D45D33"/>
    <w:rsid w:val="00D45E65"/>
    <w:rsid w:val="00D45F09"/>
    <w:rsid w:val="00D45F0B"/>
    <w:rsid w:val="00D45F41"/>
    <w:rsid w:val="00D45FC4"/>
    <w:rsid w:val="00D45FCF"/>
    <w:rsid w:val="00D45FFD"/>
    <w:rsid w:val="00D4602D"/>
    <w:rsid w:val="00D46072"/>
    <w:rsid w:val="00D460DD"/>
    <w:rsid w:val="00D460FB"/>
    <w:rsid w:val="00D46147"/>
    <w:rsid w:val="00D4616B"/>
    <w:rsid w:val="00D461C4"/>
    <w:rsid w:val="00D461F1"/>
    <w:rsid w:val="00D46245"/>
    <w:rsid w:val="00D46344"/>
    <w:rsid w:val="00D4634C"/>
    <w:rsid w:val="00D4636E"/>
    <w:rsid w:val="00D463BC"/>
    <w:rsid w:val="00D463CE"/>
    <w:rsid w:val="00D463DD"/>
    <w:rsid w:val="00D46441"/>
    <w:rsid w:val="00D464A8"/>
    <w:rsid w:val="00D464C5"/>
    <w:rsid w:val="00D464C6"/>
    <w:rsid w:val="00D46544"/>
    <w:rsid w:val="00D46572"/>
    <w:rsid w:val="00D4660A"/>
    <w:rsid w:val="00D4664F"/>
    <w:rsid w:val="00D46655"/>
    <w:rsid w:val="00D46730"/>
    <w:rsid w:val="00D46743"/>
    <w:rsid w:val="00D4674E"/>
    <w:rsid w:val="00D46791"/>
    <w:rsid w:val="00D467AA"/>
    <w:rsid w:val="00D467D0"/>
    <w:rsid w:val="00D467E3"/>
    <w:rsid w:val="00D4682E"/>
    <w:rsid w:val="00D4683D"/>
    <w:rsid w:val="00D4684C"/>
    <w:rsid w:val="00D468EA"/>
    <w:rsid w:val="00D468FF"/>
    <w:rsid w:val="00D4693F"/>
    <w:rsid w:val="00D4697A"/>
    <w:rsid w:val="00D46A12"/>
    <w:rsid w:val="00D46A39"/>
    <w:rsid w:val="00D46A62"/>
    <w:rsid w:val="00D46A98"/>
    <w:rsid w:val="00D46C4A"/>
    <w:rsid w:val="00D46C97"/>
    <w:rsid w:val="00D46D43"/>
    <w:rsid w:val="00D46D4E"/>
    <w:rsid w:val="00D46E42"/>
    <w:rsid w:val="00D46E4B"/>
    <w:rsid w:val="00D46E7F"/>
    <w:rsid w:val="00D46EA5"/>
    <w:rsid w:val="00D46EBA"/>
    <w:rsid w:val="00D46F47"/>
    <w:rsid w:val="00D46F65"/>
    <w:rsid w:val="00D46FBE"/>
    <w:rsid w:val="00D46FDF"/>
    <w:rsid w:val="00D47033"/>
    <w:rsid w:val="00D47043"/>
    <w:rsid w:val="00D47049"/>
    <w:rsid w:val="00D470E6"/>
    <w:rsid w:val="00D47103"/>
    <w:rsid w:val="00D47125"/>
    <w:rsid w:val="00D4715D"/>
    <w:rsid w:val="00D471A7"/>
    <w:rsid w:val="00D471D3"/>
    <w:rsid w:val="00D471F2"/>
    <w:rsid w:val="00D4721B"/>
    <w:rsid w:val="00D472CF"/>
    <w:rsid w:val="00D472FF"/>
    <w:rsid w:val="00D47394"/>
    <w:rsid w:val="00D473BC"/>
    <w:rsid w:val="00D47425"/>
    <w:rsid w:val="00D47529"/>
    <w:rsid w:val="00D475CB"/>
    <w:rsid w:val="00D475F2"/>
    <w:rsid w:val="00D476E3"/>
    <w:rsid w:val="00D476E9"/>
    <w:rsid w:val="00D47870"/>
    <w:rsid w:val="00D47949"/>
    <w:rsid w:val="00D4795F"/>
    <w:rsid w:val="00D4796D"/>
    <w:rsid w:val="00D479B4"/>
    <w:rsid w:val="00D47A15"/>
    <w:rsid w:val="00D47A16"/>
    <w:rsid w:val="00D47B17"/>
    <w:rsid w:val="00D47BB1"/>
    <w:rsid w:val="00D47C0A"/>
    <w:rsid w:val="00D47C3F"/>
    <w:rsid w:val="00D47C69"/>
    <w:rsid w:val="00D47CB8"/>
    <w:rsid w:val="00D47D8C"/>
    <w:rsid w:val="00D47DCC"/>
    <w:rsid w:val="00D47DFE"/>
    <w:rsid w:val="00D47EFD"/>
    <w:rsid w:val="00D47FB0"/>
    <w:rsid w:val="00D47FF2"/>
    <w:rsid w:val="00D50053"/>
    <w:rsid w:val="00D5009D"/>
    <w:rsid w:val="00D500AC"/>
    <w:rsid w:val="00D50129"/>
    <w:rsid w:val="00D50131"/>
    <w:rsid w:val="00D50192"/>
    <w:rsid w:val="00D50251"/>
    <w:rsid w:val="00D50338"/>
    <w:rsid w:val="00D50366"/>
    <w:rsid w:val="00D503A8"/>
    <w:rsid w:val="00D50469"/>
    <w:rsid w:val="00D504CB"/>
    <w:rsid w:val="00D50534"/>
    <w:rsid w:val="00D50583"/>
    <w:rsid w:val="00D5059B"/>
    <w:rsid w:val="00D5065C"/>
    <w:rsid w:val="00D506B0"/>
    <w:rsid w:val="00D506F5"/>
    <w:rsid w:val="00D50727"/>
    <w:rsid w:val="00D5076D"/>
    <w:rsid w:val="00D507A9"/>
    <w:rsid w:val="00D507AB"/>
    <w:rsid w:val="00D507B7"/>
    <w:rsid w:val="00D508CC"/>
    <w:rsid w:val="00D508D0"/>
    <w:rsid w:val="00D50908"/>
    <w:rsid w:val="00D50A1A"/>
    <w:rsid w:val="00D50A5B"/>
    <w:rsid w:val="00D50A63"/>
    <w:rsid w:val="00D50A75"/>
    <w:rsid w:val="00D50AB2"/>
    <w:rsid w:val="00D50B28"/>
    <w:rsid w:val="00D50B39"/>
    <w:rsid w:val="00D50BE7"/>
    <w:rsid w:val="00D50BF0"/>
    <w:rsid w:val="00D50C2C"/>
    <w:rsid w:val="00D50C39"/>
    <w:rsid w:val="00D50CCF"/>
    <w:rsid w:val="00D50D88"/>
    <w:rsid w:val="00D50E12"/>
    <w:rsid w:val="00D50E61"/>
    <w:rsid w:val="00D50EAB"/>
    <w:rsid w:val="00D50EB6"/>
    <w:rsid w:val="00D50EFA"/>
    <w:rsid w:val="00D50F31"/>
    <w:rsid w:val="00D50F54"/>
    <w:rsid w:val="00D50FAC"/>
    <w:rsid w:val="00D50FFB"/>
    <w:rsid w:val="00D5101F"/>
    <w:rsid w:val="00D51057"/>
    <w:rsid w:val="00D5112C"/>
    <w:rsid w:val="00D51166"/>
    <w:rsid w:val="00D511E0"/>
    <w:rsid w:val="00D51275"/>
    <w:rsid w:val="00D51298"/>
    <w:rsid w:val="00D512C9"/>
    <w:rsid w:val="00D512D3"/>
    <w:rsid w:val="00D512F1"/>
    <w:rsid w:val="00D51335"/>
    <w:rsid w:val="00D51357"/>
    <w:rsid w:val="00D51360"/>
    <w:rsid w:val="00D51389"/>
    <w:rsid w:val="00D513F3"/>
    <w:rsid w:val="00D5141A"/>
    <w:rsid w:val="00D51456"/>
    <w:rsid w:val="00D514C6"/>
    <w:rsid w:val="00D51518"/>
    <w:rsid w:val="00D5153F"/>
    <w:rsid w:val="00D51546"/>
    <w:rsid w:val="00D51553"/>
    <w:rsid w:val="00D51575"/>
    <w:rsid w:val="00D515E6"/>
    <w:rsid w:val="00D515EF"/>
    <w:rsid w:val="00D516A4"/>
    <w:rsid w:val="00D51730"/>
    <w:rsid w:val="00D51756"/>
    <w:rsid w:val="00D51791"/>
    <w:rsid w:val="00D517BA"/>
    <w:rsid w:val="00D517C5"/>
    <w:rsid w:val="00D51814"/>
    <w:rsid w:val="00D5183A"/>
    <w:rsid w:val="00D5189B"/>
    <w:rsid w:val="00D518EE"/>
    <w:rsid w:val="00D5195D"/>
    <w:rsid w:val="00D5195F"/>
    <w:rsid w:val="00D51975"/>
    <w:rsid w:val="00D51B1B"/>
    <w:rsid w:val="00D51C3A"/>
    <w:rsid w:val="00D51C99"/>
    <w:rsid w:val="00D51CA2"/>
    <w:rsid w:val="00D51CCB"/>
    <w:rsid w:val="00D51D20"/>
    <w:rsid w:val="00D51D25"/>
    <w:rsid w:val="00D51D40"/>
    <w:rsid w:val="00D51DC2"/>
    <w:rsid w:val="00D51DF7"/>
    <w:rsid w:val="00D51E56"/>
    <w:rsid w:val="00D51EEA"/>
    <w:rsid w:val="00D51EF8"/>
    <w:rsid w:val="00D51EFE"/>
    <w:rsid w:val="00D51FC5"/>
    <w:rsid w:val="00D51FFF"/>
    <w:rsid w:val="00D5205A"/>
    <w:rsid w:val="00D520A2"/>
    <w:rsid w:val="00D520BA"/>
    <w:rsid w:val="00D520C2"/>
    <w:rsid w:val="00D521DB"/>
    <w:rsid w:val="00D52299"/>
    <w:rsid w:val="00D522B8"/>
    <w:rsid w:val="00D52307"/>
    <w:rsid w:val="00D52441"/>
    <w:rsid w:val="00D52566"/>
    <w:rsid w:val="00D5259E"/>
    <w:rsid w:val="00D52652"/>
    <w:rsid w:val="00D5265E"/>
    <w:rsid w:val="00D5266F"/>
    <w:rsid w:val="00D5269E"/>
    <w:rsid w:val="00D526AC"/>
    <w:rsid w:val="00D5271D"/>
    <w:rsid w:val="00D527E2"/>
    <w:rsid w:val="00D52868"/>
    <w:rsid w:val="00D528FB"/>
    <w:rsid w:val="00D529EB"/>
    <w:rsid w:val="00D52A21"/>
    <w:rsid w:val="00D52A7F"/>
    <w:rsid w:val="00D52AC1"/>
    <w:rsid w:val="00D52B2A"/>
    <w:rsid w:val="00D52B4B"/>
    <w:rsid w:val="00D52B73"/>
    <w:rsid w:val="00D52B8F"/>
    <w:rsid w:val="00D52C61"/>
    <w:rsid w:val="00D52D63"/>
    <w:rsid w:val="00D52D6C"/>
    <w:rsid w:val="00D52E23"/>
    <w:rsid w:val="00D52E8B"/>
    <w:rsid w:val="00D52F71"/>
    <w:rsid w:val="00D52F85"/>
    <w:rsid w:val="00D53049"/>
    <w:rsid w:val="00D5306D"/>
    <w:rsid w:val="00D53085"/>
    <w:rsid w:val="00D53093"/>
    <w:rsid w:val="00D530C5"/>
    <w:rsid w:val="00D530CF"/>
    <w:rsid w:val="00D53109"/>
    <w:rsid w:val="00D53128"/>
    <w:rsid w:val="00D53139"/>
    <w:rsid w:val="00D53143"/>
    <w:rsid w:val="00D531B2"/>
    <w:rsid w:val="00D532B2"/>
    <w:rsid w:val="00D53304"/>
    <w:rsid w:val="00D533EA"/>
    <w:rsid w:val="00D53683"/>
    <w:rsid w:val="00D5368B"/>
    <w:rsid w:val="00D53697"/>
    <w:rsid w:val="00D5386A"/>
    <w:rsid w:val="00D53903"/>
    <w:rsid w:val="00D53961"/>
    <w:rsid w:val="00D5396B"/>
    <w:rsid w:val="00D5397F"/>
    <w:rsid w:val="00D539AC"/>
    <w:rsid w:val="00D53A32"/>
    <w:rsid w:val="00D53A64"/>
    <w:rsid w:val="00D53B2E"/>
    <w:rsid w:val="00D53BAE"/>
    <w:rsid w:val="00D53BD6"/>
    <w:rsid w:val="00D53BFE"/>
    <w:rsid w:val="00D53C04"/>
    <w:rsid w:val="00D53C2E"/>
    <w:rsid w:val="00D53C86"/>
    <w:rsid w:val="00D53C87"/>
    <w:rsid w:val="00D53D1C"/>
    <w:rsid w:val="00D53DB0"/>
    <w:rsid w:val="00D53DC6"/>
    <w:rsid w:val="00D53E49"/>
    <w:rsid w:val="00D53E64"/>
    <w:rsid w:val="00D53EA1"/>
    <w:rsid w:val="00D53EB2"/>
    <w:rsid w:val="00D53FC2"/>
    <w:rsid w:val="00D54067"/>
    <w:rsid w:val="00D54073"/>
    <w:rsid w:val="00D5407B"/>
    <w:rsid w:val="00D540A6"/>
    <w:rsid w:val="00D540B5"/>
    <w:rsid w:val="00D540EB"/>
    <w:rsid w:val="00D54117"/>
    <w:rsid w:val="00D5411E"/>
    <w:rsid w:val="00D54188"/>
    <w:rsid w:val="00D541C5"/>
    <w:rsid w:val="00D5422F"/>
    <w:rsid w:val="00D54254"/>
    <w:rsid w:val="00D542AF"/>
    <w:rsid w:val="00D54311"/>
    <w:rsid w:val="00D5436C"/>
    <w:rsid w:val="00D5445C"/>
    <w:rsid w:val="00D54482"/>
    <w:rsid w:val="00D5448C"/>
    <w:rsid w:val="00D544E5"/>
    <w:rsid w:val="00D54538"/>
    <w:rsid w:val="00D5453B"/>
    <w:rsid w:val="00D54546"/>
    <w:rsid w:val="00D545E4"/>
    <w:rsid w:val="00D5467F"/>
    <w:rsid w:val="00D546F9"/>
    <w:rsid w:val="00D54700"/>
    <w:rsid w:val="00D547C6"/>
    <w:rsid w:val="00D547F6"/>
    <w:rsid w:val="00D547F8"/>
    <w:rsid w:val="00D54846"/>
    <w:rsid w:val="00D54859"/>
    <w:rsid w:val="00D548E7"/>
    <w:rsid w:val="00D548F4"/>
    <w:rsid w:val="00D54AA5"/>
    <w:rsid w:val="00D54B0B"/>
    <w:rsid w:val="00D54B17"/>
    <w:rsid w:val="00D54B70"/>
    <w:rsid w:val="00D54C3A"/>
    <w:rsid w:val="00D54C70"/>
    <w:rsid w:val="00D54C7C"/>
    <w:rsid w:val="00D54D42"/>
    <w:rsid w:val="00D54EB2"/>
    <w:rsid w:val="00D54F60"/>
    <w:rsid w:val="00D54F99"/>
    <w:rsid w:val="00D54FBE"/>
    <w:rsid w:val="00D54FED"/>
    <w:rsid w:val="00D5501F"/>
    <w:rsid w:val="00D550D3"/>
    <w:rsid w:val="00D55137"/>
    <w:rsid w:val="00D5514B"/>
    <w:rsid w:val="00D551C6"/>
    <w:rsid w:val="00D55237"/>
    <w:rsid w:val="00D5527C"/>
    <w:rsid w:val="00D55357"/>
    <w:rsid w:val="00D55364"/>
    <w:rsid w:val="00D553E3"/>
    <w:rsid w:val="00D554D5"/>
    <w:rsid w:val="00D55517"/>
    <w:rsid w:val="00D5557A"/>
    <w:rsid w:val="00D55608"/>
    <w:rsid w:val="00D55652"/>
    <w:rsid w:val="00D55704"/>
    <w:rsid w:val="00D5577D"/>
    <w:rsid w:val="00D557AF"/>
    <w:rsid w:val="00D557C5"/>
    <w:rsid w:val="00D557CA"/>
    <w:rsid w:val="00D5583C"/>
    <w:rsid w:val="00D558CD"/>
    <w:rsid w:val="00D5591B"/>
    <w:rsid w:val="00D55962"/>
    <w:rsid w:val="00D55A3A"/>
    <w:rsid w:val="00D55B0E"/>
    <w:rsid w:val="00D55BA1"/>
    <w:rsid w:val="00D55C8C"/>
    <w:rsid w:val="00D55DA4"/>
    <w:rsid w:val="00D55DE5"/>
    <w:rsid w:val="00D55E23"/>
    <w:rsid w:val="00D55E64"/>
    <w:rsid w:val="00D55EF8"/>
    <w:rsid w:val="00D55F15"/>
    <w:rsid w:val="00D55F94"/>
    <w:rsid w:val="00D55FB1"/>
    <w:rsid w:val="00D560A5"/>
    <w:rsid w:val="00D560C8"/>
    <w:rsid w:val="00D56149"/>
    <w:rsid w:val="00D56266"/>
    <w:rsid w:val="00D562C8"/>
    <w:rsid w:val="00D56354"/>
    <w:rsid w:val="00D56455"/>
    <w:rsid w:val="00D564B5"/>
    <w:rsid w:val="00D564BC"/>
    <w:rsid w:val="00D5652A"/>
    <w:rsid w:val="00D5652C"/>
    <w:rsid w:val="00D56539"/>
    <w:rsid w:val="00D565CB"/>
    <w:rsid w:val="00D56612"/>
    <w:rsid w:val="00D566BF"/>
    <w:rsid w:val="00D56711"/>
    <w:rsid w:val="00D56739"/>
    <w:rsid w:val="00D5676E"/>
    <w:rsid w:val="00D56778"/>
    <w:rsid w:val="00D568D5"/>
    <w:rsid w:val="00D56951"/>
    <w:rsid w:val="00D56B64"/>
    <w:rsid w:val="00D56BEA"/>
    <w:rsid w:val="00D56C1E"/>
    <w:rsid w:val="00D56C90"/>
    <w:rsid w:val="00D56F6B"/>
    <w:rsid w:val="00D56FB7"/>
    <w:rsid w:val="00D5705F"/>
    <w:rsid w:val="00D5708B"/>
    <w:rsid w:val="00D570C5"/>
    <w:rsid w:val="00D570EA"/>
    <w:rsid w:val="00D57143"/>
    <w:rsid w:val="00D5715A"/>
    <w:rsid w:val="00D57237"/>
    <w:rsid w:val="00D57249"/>
    <w:rsid w:val="00D57264"/>
    <w:rsid w:val="00D572DE"/>
    <w:rsid w:val="00D57352"/>
    <w:rsid w:val="00D5735B"/>
    <w:rsid w:val="00D573D3"/>
    <w:rsid w:val="00D574BE"/>
    <w:rsid w:val="00D574CC"/>
    <w:rsid w:val="00D574FD"/>
    <w:rsid w:val="00D576C2"/>
    <w:rsid w:val="00D5774C"/>
    <w:rsid w:val="00D57763"/>
    <w:rsid w:val="00D57776"/>
    <w:rsid w:val="00D57800"/>
    <w:rsid w:val="00D57831"/>
    <w:rsid w:val="00D57842"/>
    <w:rsid w:val="00D57856"/>
    <w:rsid w:val="00D578CF"/>
    <w:rsid w:val="00D578E2"/>
    <w:rsid w:val="00D57903"/>
    <w:rsid w:val="00D57976"/>
    <w:rsid w:val="00D5798F"/>
    <w:rsid w:val="00D579A2"/>
    <w:rsid w:val="00D57A45"/>
    <w:rsid w:val="00D57A50"/>
    <w:rsid w:val="00D57A5F"/>
    <w:rsid w:val="00D57A70"/>
    <w:rsid w:val="00D57A92"/>
    <w:rsid w:val="00D57AC0"/>
    <w:rsid w:val="00D57B55"/>
    <w:rsid w:val="00D57BA2"/>
    <w:rsid w:val="00D57BFC"/>
    <w:rsid w:val="00D57C0F"/>
    <w:rsid w:val="00D57D51"/>
    <w:rsid w:val="00D57DFC"/>
    <w:rsid w:val="00D57F3E"/>
    <w:rsid w:val="00D57F51"/>
    <w:rsid w:val="00D57FBD"/>
    <w:rsid w:val="00D57FE9"/>
    <w:rsid w:val="00D60053"/>
    <w:rsid w:val="00D600EC"/>
    <w:rsid w:val="00D6017D"/>
    <w:rsid w:val="00D6034B"/>
    <w:rsid w:val="00D60364"/>
    <w:rsid w:val="00D60399"/>
    <w:rsid w:val="00D603D9"/>
    <w:rsid w:val="00D60412"/>
    <w:rsid w:val="00D6044D"/>
    <w:rsid w:val="00D604AC"/>
    <w:rsid w:val="00D6055D"/>
    <w:rsid w:val="00D60573"/>
    <w:rsid w:val="00D6061A"/>
    <w:rsid w:val="00D606B6"/>
    <w:rsid w:val="00D606DA"/>
    <w:rsid w:val="00D6078B"/>
    <w:rsid w:val="00D607D6"/>
    <w:rsid w:val="00D607E9"/>
    <w:rsid w:val="00D6081A"/>
    <w:rsid w:val="00D60821"/>
    <w:rsid w:val="00D608B8"/>
    <w:rsid w:val="00D60937"/>
    <w:rsid w:val="00D6096A"/>
    <w:rsid w:val="00D609BB"/>
    <w:rsid w:val="00D60A2D"/>
    <w:rsid w:val="00D60B1F"/>
    <w:rsid w:val="00D60C5F"/>
    <w:rsid w:val="00D60C83"/>
    <w:rsid w:val="00D60D1F"/>
    <w:rsid w:val="00D60D30"/>
    <w:rsid w:val="00D60E6C"/>
    <w:rsid w:val="00D60E91"/>
    <w:rsid w:val="00D60EC6"/>
    <w:rsid w:val="00D60FE7"/>
    <w:rsid w:val="00D6101D"/>
    <w:rsid w:val="00D6104F"/>
    <w:rsid w:val="00D610DD"/>
    <w:rsid w:val="00D610F8"/>
    <w:rsid w:val="00D6115C"/>
    <w:rsid w:val="00D61268"/>
    <w:rsid w:val="00D612BF"/>
    <w:rsid w:val="00D612CD"/>
    <w:rsid w:val="00D612F9"/>
    <w:rsid w:val="00D6144E"/>
    <w:rsid w:val="00D61459"/>
    <w:rsid w:val="00D614DA"/>
    <w:rsid w:val="00D615F7"/>
    <w:rsid w:val="00D616AD"/>
    <w:rsid w:val="00D617B4"/>
    <w:rsid w:val="00D617D8"/>
    <w:rsid w:val="00D61845"/>
    <w:rsid w:val="00D6188C"/>
    <w:rsid w:val="00D618B4"/>
    <w:rsid w:val="00D619DB"/>
    <w:rsid w:val="00D61A9C"/>
    <w:rsid w:val="00D61ABC"/>
    <w:rsid w:val="00D61BE5"/>
    <w:rsid w:val="00D61C3D"/>
    <w:rsid w:val="00D61CBC"/>
    <w:rsid w:val="00D61CC4"/>
    <w:rsid w:val="00D61FC8"/>
    <w:rsid w:val="00D620CB"/>
    <w:rsid w:val="00D62101"/>
    <w:rsid w:val="00D62145"/>
    <w:rsid w:val="00D6219A"/>
    <w:rsid w:val="00D621FF"/>
    <w:rsid w:val="00D6222A"/>
    <w:rsid w:val="00D6222D"/>
    <w:rsid w:val="00D6225A"/>
    <w:rsid w:val="00D622C3"/>
    <w:rsid w:val="00D622E3"/>
    <w:rsid w:val="00D6231D"/>
    <w:rsid w:val="00D62394"/>
    <w:rsid w:val="00D6239E"/>
    <w:rsid w:val="00D623A9"/>
    <w:rsid w:val="00D623F2"/>
    <w:rsid w:val="00D624B2"/>
    <w:rsid w:val="00D624F5"/>
    <w:rsid w:val="00D6250A"/>
    <w:rsid w:val="00D625F0"/>
    <w:rsid w:val="00D625FA"/>
    <w:rsid w:val="00D62694"/>
    <w:rsid w:val="00D626C7"/>
    <w:rsid w:val="00D62719"/>
    <w:rsid w:val="00D62762"/>
    <w:rsid w:val="00D62784"/>
    <w:rsid w:val="00D627DD"/>
    <w:rsid w:val="00D627F0"/>
    <w:rsid w:val="00D62808"/>
    <w:rsid w:val="00D6287A"/>
    <w:rsid w:val="00D628F0"/>
    <w:rsid w:val="00D6294B"/>
    <w:rsid w:val="00D62964"/>
    <w:rsid w:val="00D6296C"/>
    <w:rsid w:val="00D62A94"/>
    <w:rsid w:val="00D62B17"/>
    <w:rsid w:val="00D62B92"/>
    <w:rsid w:val="00D62BF4"/>
    <w:rsid w:val="00D62C06"/>
    <w:rsid w:val="00D62C27"/>
    <w:rsid w:val="00D62C6B"/>
    <w:rsid w:val="00D62CE2"/>
    <w:rsid w:val="00D62CEF"/>
    <w:rsid w:val="00D62D1B"/>
    <w:rsid w:val="00D62D2E"/>
    <w:rsid w:val="00D62D33"/>
    <w:rsid w:val="00D62D81"/>
    <w:rsid w:val="00D62D86"/>
    <w:rsid w:val="00D62D88"/>
    <w:rsid w:val="00D62DC7"/>
    <w:rsid w:val="00D62E25"/>
    <w:rsid w:val="00D62ED1"/>
    <w:rsid w:val="00D62F70"/>
    <w:rsid w:val="00D62FBA"/>
    <w:rsid w:val="00D62FC3"/>
    <w:rsid w:val="00D63047"/>
    <w:rsid w:val="00D630C8"/>
    <w:rsid w:val="00D63129"/>
    <w:rsid w:val="00D631FF"/>
    <w:rsid w:val="00D63250"/>
    <w:rsid w:val="00D6330C"/>
    <w:rsid w:val="00D63315"/>
    <w:rsid w:val="00D63320"/>
    <w:rsid w:val="00D6332C"/>
    <w:rsid w:val="00D63359"/>
    <w:rsid w:val="00D633B0"/>
    <w:rsid w:val="00D633BF"/>
    <w:rsid w:val="00D63594"/>
    <w:rsid w:val="00D635D9"/>
    <w:rsid w:val="00D635E4"/>
    <w:rsid w:val="00D63707"/>
    <w:rsid w:val="00D6375A"/>
    <w:rsid w:val="00D637DD"/>
    <w:rsid w:val="00D63897"/>
    <w:rsid w:val="00D638E9"/>
    <w:rsid w:val="00D6397E"/>
    <w:rsid w:val="00D639FC"/>
    <w:rsid w:val="00D63ABA"/>
    <w:rsid w:val="00D63C26"/>
    <w:rsid w:val="00D63C51"/>
    <w:rsid w:val="00D63C5D"/>
    <w:rsid w:val="00D63C64"/>
    <w:rsid w:val="00D63C69"/>
    <w:rsid w:val="00D63CB9"/>
    <w:rsid w:val="00D63D3C"/>
    <w:rsid w:val="00D63E90"/>
    <w:rsid w:val="00D63E9E"/>
    <w:rsid w:val="00D63EEF"/>
    <w:rsid w:val="00D64095"/>
    <w:rsid w:val="00D64118"/>
    <w:rsid w:val="00D64189"/>
    <w:rsid w:val="00D641AC"/>
    <w:rsid w:val="00D641B6"/>
    <w:rsid w:val="00D641E4"/>
    <w:rsid w:val="00D64248"/>
    <w:rsid w:val="00D64278"/>
    <w:rsid w:val="00D642B9"/>
    <w:rsid w:val="00D642CC"/>
    <w:rsid w:val="00D642FC"/>
    <w:rsid w:val="00D6430E"/>
    <w:rsid w:val="00D64341"/>
    <w:rsid w:val="00D643E0"/>
    <w:rsid w:val="00D64475"/>
    <w:rsid w:val="00D6453A"/>
    <w:rsid w:val="00D64583"/>
    <w:rsid w:val="00D64594"/>
    <w:rsid w:val="00D645BE"/>
    <w:rsid w:val="00D64623"/>
    <w:rsid w:val="00D64628"/>
    <w:rsid w:val="00D646A7"/>
    <w:rsid w:val="00D646E7"/>
    <w:rsid w:val="00D64741"/>
    <w:rsid w:val="00D647A9"/>
    <w:rsid w:val="00D648AA"/>
    <w:rsid w:val="00D6495E"/>
    <w:rsid w:val="00D649C8"/>
    <w:rsid w:val="00D64A19"/>
    <w:rsid w:val="00D64A1A"/>
    <w:rsid w:val="00D64A66"/>
    <w:rsid w:val="00D64AC3"/>
    <w:rsid w:val="00D64B15"/>
    <w:rsid w:val="00D64B37"/>
    <w:rsid w:val="00D64CAB"/>
    <w:rsid w:val="00D64CC6"/>
    <w:rsid w:val="00D64D20"/>
    <w:rsid w:val="00D64DB6"/>
    <w:rsid w:val="00D64DBB"/>
    <w:rsid w:val="00D64DC1"/>
    <w:rsid w:val="00D64DDE"/>
    <w:rsid w:val="00D64E00"/>
    <w:rsid w:val="00D64E3D"/>
    <w:rsid w:val="00D64E54"/>
    <w:rsid w:val="00D64ECB"/>
    <w:rsid w:val="00D64F64"/>
    <w:rsid w:val="00D64FF2"/>
    <w:rsid w:val="00D65151"/>
    <w:rsid w:val="00D65286"/>
    <w:rsid w:val="00D6533A"/>
    <w:rsid w:val="00D653FD"/>
    <w:rsid w:val="00D654B5"/>
    <w:rsid w:val="00D65506"/>
    <w:rsid w:val="00D6550C"/>
    <w:rsid w:val="00D65528"/>
    <w:rsid w:val="00D65539"/>
    <w:rsid w:val="00D65554"/>
    <w:rsid w:val="00D655A1"/>
    <w:rsid w:val="00D656DD"/>
    <w:rsid w:val="00D6570E"/>
    <w:rsid w:val="00D65742"/>
    <w:rsid w:val="00D657CE"/>
    <w:rsid w:val="00D657F9"/>
    <w:rsid w:val="00D65850"/>
    <w:rsid w:val="00D6585E"/>
    <w:rsid w:val="00D6588D"/>
    <w:rsid w:val="00D65909"/>
    <w:rsid w:val="00D6596F"/>
    <w:rsid w:val="00D65A97"/>
    <w:rsid w:val="00D65A9D"/>
    <w:rsid w:val="00D65ACA"/>
    <w:rsid w:val="00D65AD2"/>
    <w:rsid w:val="00D65AE8"/>
    <w:rsid w:val="00D65B2D"/>
    <w:rsid w:val="00D65BA1"/>
    <w:rsid w:val="00D65BA3"/>
    <w:rsid w:val="00D65C34"/>
    <w:rsid w:val="00D65C7F"/>
    <w:rsid w:val="00D65D34"/>
    <w:rsid w:val="00D65D4A"/>
    <w:rsid w:val="00D65D5E"/>
    <w:rsid w:val="00D65D95"/>
    <w:rsid w:val="00D65DD3"/>
    <w:rsid w:val="00D65DF2"/>
    <w:rsid w:val="00D65E0F"/>
    <w:rsid w:val="00D65EAD"/>
    <w:rsid w:val="00D65F23"/>
    <w:rsid w:val="00D65F56"/>
    <w:rsid w:val="00D65FB8"/>
    <w:rsid w:val="00D65FBF"/>
    <w:rsid w:val="00D65FF9"/>
    <w:rsid w:val="00D66024"/>
    <w:rsid w:val="00D660AA"/>
    <w:rsid w:val="00D6610D"/>
    <w:rsid w:val="00D66191"/>
    <w:rsid w:val="00D661C9"/>
    <w:rsid w:val="00D662B8"/>
    <w:rsid w:val="00D66327"/>
    <w:rsid w:val="00D663EC"/>
    <w:rsid w:val="00D663EE"/>
    <w:rsid w:val="00D664C7"/>
    <w:rsid w:val="00D66553"/>
    <w:rsid w:val="00D66569"/>
    <w:rsid w:val="00D6665A"/>
    <w:rsid w:val="00D666A6"/>
    <w:rsid w:val="00D666AE"/>
    <w:rsid w:val="00D666B7"/>
    <w:rsid w:val="00D66850"/>
    <w:rsid w:val="00D66876"/>
    <w:rsid w:val="00D66898"/>
    <w:rsid w:val="00D668C9"/>
    <w:rsid w:val="00D6691C"/>
    <w:rsid w:val="00D669A2"/>
    <w:rsid w:val="00D669BE"/>
    <w:rsid w:val="00D66A17"/>
    <w:rsid w:val="00D66AD4"/>
    <w:rsid w:val="00D66ADF"/>
    <w:rsid w:val="00D66B50"/>
    <w:rsid w:val="00D66B9E"/>
    <w:rsid w:val="00D66C8F"/>
    <w:rsid w:val="00D66CA4"/>
    <w:rsid w:val="00D66CE7"/>
    <w:rsid w:val="00D66E93"/>
    <w:rsid w:val="00D66F66"/>
    <w:rsid w:val="00D66F8C"/>
    <w:rsid w:val="00D671C9"/>
    <w:rsid w:val="00D67249"/>
    <w:rsid w:val="00D67254"/>
    <w:rsid w:val="00D672B1"/>
    <w:rsid w:val="00D672D7"/>
    <w:rsid w:val="00D672DC"/>
    <w:rsid w:val="00D67413"/>
    <w:rsid w:val="00D674BE"/>
    <w:rsid w:val="00D674E9"/>
    <w:rsid w:val="00D67510"/>
    <w:rsid w:val="00D6753B"/>
    <w:rsid w:val="00D6757F"/>
    <w:rsid w:val="00D675AF"/>
    <w:rsid w:val="00D6766D"/>
    <w:rsid w:val="00D67772"/>
    <w:rsid w:val="00D67870"/>
    <w:rsid w:val="00D678C5"/>
    <w:rsid w:val="00D67908"/>
    <w:rsid w:val="00D6795C"/>
    <w:rsid w:val="00D67992"/>
    <w:rsid w:val="00D67A1F"/>
    <w:rsid w:val="00D67AA8"/>
    <w:rsid w:val="00D67B27"/>
    <w:rsid w:val="00D67B69"/>
    <w:rsid w:val="00D67BCC"/>
    <w:rsid w:val="00D67C77"/>
    <w:rsid w:val="00D67CE8"/>
    <w:rsid w:val="00D67D1C"/>
    <w:rsid w:val="00D67D41"/>
    <w:rsid w:val="00D67D97"/>
    <w:rsid w:val="00D67DE7"/>
    <w:rsid w:val="00D67E2A"/>
    <w:rsid w:val="00D67E69"/>
    <w:rsid w:val="00D67F00"/>
    <w:rsid w:val="00D67FCB"/>
    <w:rsid w:val="00D7006B"/>
    <w:rsid w:val="00D7008B"/>
    <w:rsid w:val="00D700F6"/>
    <w:rsid w:val="00D70122"/>
    <w:rsid w:val="00D701DE"/>
    <w:rsid w:val="00D701FB"/>
    <w:rsid w:val="00D702D0"/>
    <w:rsid w:val="00D70327"/>
    <w:rsid w:val="00D7037A"/>
    <w:rsid w:val="00D70460"/>
    <w:rsid w:val="00D70530"/>
    <w:rsid w:val="00D70558"/>
    <w:rsid w:val="00D705F8"/>
    <w:rsid w:val="00D7069F"/>
    <w:rsid w:val="00D706D6"/>
    <w:rsid w:val="00D707E0"/>
    <w:rsid w:val="00D707E2"/>
    <w:rsid w:val="00D7087C"/>
    <w:rsid w:val="00D708F1"/>
    <w:rsid w:val="00D70945"/>
    <w:rsid w:val="00D7094D"/>
    <w:rsid w:val="00D7097F"/>
    <w:rsid w:val="00D70987"/>
    <w:rsid w:val="00D709ED"/>
    <w:rsid w:val="00D70A2B"/>
    <w:rsid w:val="00D70A5B"/>
    <w:rsid w:val="00D70A86"/>
    <w:rsid w:val="00D70AD9"/>
    <w:rsid w:val="00D70D0E"/>
    <w:rsid w:val="00D70D12"/>
    <w:rsid w:val="00D70D1A"/>
    <w:rsid w:val="00D70D68"/>
    <w:rsid w:val="00D70D99"/>
    <w:rsid w:val="00D70DE6"/>
    <w:rsid w:val="00D70F1A"/>
    <w:rsid w:val="00D70F32"/>
    <w:rsid w:val="00D71061"/>
    <w:rsid w:val="00D710E2"/>
    <w:rsid w:val="00D710F7"/>
    <w:rsid w:val="00D7124E"/>
    <w:rsid w:val="00D71285"/>
    <w:rsid w:val="00D712C6"/>
    <w:rsid w:val="00D712CF"/>
    <w:rsid w:val="00D7130C"/>
    <w:rsid w:val="00D7132D"/>
    <w:rsid w:val="00D7134D"/>
    <w:rsid w:val="00D71381"/>
    <w:rsid w:val="00D71383"/>
    <w:rsid w:val="00D713A3"/>
    <w:rsid w:val="00D713D2"/>
    <w:rsid w:val="00D713F8"/>
    <w:rsid w:val="00D71421"/>
    <w:rsid w:val="00D7144B"/>
    <w:rsid w:val="00D7144C"/>
    <w:rsid w:val="00D71457"/>
    <w:rsid w:val="00D71464"/>
    <w:rsid w:val="00D714BF"/>
    <w:rsid w:val="00D7154E"/>
    <w:rsid w:val="00D716A7"/>
    <w:rsid w:val="00D716BF"/>
    <w:rsid w:val="00D71718"/>
    <w:rsid w:val="00D71791"/>
    <w:rsid w:val="00D717FF"/>
    <w:rsid w:val="00D71868"/>
    <w:rsid w:val="00D71A06"/>
    <w:rsid w:val="00D71A13"/>
    <w:rsid w:val="00D71B68"/>
    <w:rsid w:val="00D71BC9"/>
    <w:rsid w:val="00D71BE8"/>
    <w:rsid w:val="00D71C0A"/>
    <w:rsid w:val="00D71C7F"/>
    <w:rsid w:val="00D71CB2"/>
    <w:rsid w:val="00D71D25"/>
    <w:rsid w:val="00D71D2E"/>
    <w:rsid w:val="00D71D3C"/>
    <w:rsid w:val="00D71D88"/>
    <w:rsid w:val="00D71DA2"/>
    <w:rsid w:val="00D71E75"/>
    <w:rsid w:val="00D71E77"/>
    <w:rsid w:val="00D71F36"/>
    <w:rsid w:val="00D72030"/>
    <w:rsid w:val="00D72039"/>
    <w:rsid w:val="00D7209E"/>
    <w:rsid w:val="00D720A7"/>
    <w:rsid w:val="00D72130"/>
    <w:rsid w:val="00D7215D"/>
    <w:rsid w:val="00D72175"/>
    <w:rsid w:val="00D72180"/>
    <w:rsid w:val="00D721CB"/>
    <w:rsid w:val="00D721F1"/>
    <w:rsid w:val="00D72274"/>
    <w:rsid w:val="00D72277"/>
    <w:rsid w:val="00D72330"/>
    <w:rsid w:val="00D723AC"/>
    <w:rsid w:val="00D7243B"/>
    <w:rsid w:val="00D72466"/>
    <w:rsid w:val="00D72516"/>
    <w:rsid w:val="00D72633"/>
    <w:rsid w:val="00D72674"/>
    <w:rsid w:val="00D72708"/>
    <w:rsid w:val="00D72751"/>
    <w:rsid w:val="00D72779"/>
    <w:rsid w:val="00D727F2"/>
    <w:rsid w:val="00D72840"/>
    <w:rsid w:val="00D728ED"/>
    <w:rsid w:val="00D728F4"/>
    <w:rsid w:val="00D72923"/>
    <w:rsid w:val="00D729ED"/>
    <w:rsid w:val="00D729FB"/>
    <w:rsid w:val="00D72A1E"/>
    <w:rsid w:val="00D72A9D"/>
    <w:rsid w:val="00D72C98"/>
    <w:rsid w:val="00D72D1F"/>
    <w:rsid w:val="00D72D25"/>
    <w:rsid w:val="00D72D39"/>
    <w:rsid w:val="00D72DAF"/>
    <w:rsid w:val="00D72DB0"/>
    <w:rsid w:val="00D72DC9"/>
    <w:rsid w:val="00D72DEA"/>
    <w:rsid w:val="00D72E61"/>
    <w:rsid w:val="00D72F41"/>
    <w:rsid w:val="00D72F6E"/>
    <w:rsid w:val="00D7308C"/>
    <w:rsid w:val="00D73090"/>
    <w:rsid w:val="00D73172"/>
    <w:rsid w:val="00D731A7"/>
    <w:rsid w:val="00D73228"/>
    <w:rsid w:val="00D73268"/>
    <w:rsid w:val="00D7334A"/>
    <w:rsid w:val="00D733DD"/>
    <w:rsid w:val="00D73426"/>
    <w:rsid w:val="00D7348A"/>
    <w:rsid w:val="00D73502"/>
    <w:rsid w:val="00D7353B"/>
    <w:rsid w:val="00D73692"/>
    <w:rsid w:val="00D736AC"/>
    <w:rsid w:val="00D7378F"/>
    <w:rsid w:val="00D7380C"/>
    <w:rsid w:val="00D73857"/>
    <w:rsid w:val="00D73902"/>
    <w:rsid w:val="00D73906"/>
    <w:rsid w:val="00D73914"/>
    <w:rsid w:val="00D7395C"/>
    <w:rsid w:val="00D739C1"/>
    <w:rsid w:val="00D73A4D"/>
    <w:rsid w:val="00D73A66"/>
    <w:rsid w:val="00D73A96"/>
    <w:rsid w:val="00D73AA4"/>
    <w:rsid w:val="00D73ACF"/>
    <w:rsid w:val="00D73AD5"/>
    <w:rsid w:val="00D73BBF"/>
    <w:rsid w:val="00D73BE2"/>
    <w:rsid w:val="00D73C9C"/>
    <w:rsid w:val="00D73CB5"/>
    <w:rsid w:val="00D73D05"/>
    <w:rsid w:val="00D73DC5"/>
    <w:rsid w:val="00D73DD9"/>
    <w:rsid w:val="00D73DF2"/>
    <w:rsid w:val="00D73E64"/>
    <w:rsid w:val="00D73EDF"/>
    <w:rsid w:val="00D73F7F"/>
    <w:rsid w:val="00D73FBB"/>
    <w:rsid w:val="00D74028"/>
    <w:rsid w:val="00D74077"/>
    <w:rsid w:val="00D74082"/>
    <w:rsid w:val="00D740F5"/>
    <w:rsid w:val="00D74121"/>
    <w:rsid w:val="00D74181"/>
    <w:rsid w:val="00D741A4"/>
    <w:rsid w:val="00D741B8"/>
    <w:rsid w:val="00D7423A"/>
    <w:rsid w:val="00D74278"/>
    <w:rsid w:val="00D742DD"/>
    <w:rsid w:val="00D7430B"/>
    <w:rsid w:val="00D7431D"/>
    <w:rsid w:val="00D7435F"/>
    <w:rsid w:val="00D743A2"/>
    <w:rsid w:val="00D743AE"/>
    <w:rsid w:val="00D744D0"/>
    <w:rsid w:val="00D745C0"/>
    <w:rsid w:val="00D745C8"/>
    <w:rsid w:val="00D745F7"/>
    <w:rsid w:val="00D745FA"/>
    <w:rsid w:val="00D74614"/>
    <w:rsid w:val="00D74630"/>
    <w:rsid w:val="00D7465C"/>
    <w:rsid w:val="00D74666"/>
    <w:rsid w:val="00D74888"/>
    <w:rsid w:val="00D748C2"/>
    <w:rsid w:val="00D748C5"/>
    <w:rsid w:val="00D748F8"/>
    <w:rsid w:val="00D74A73"/>
    <w:rsid w:val="00D74B00"/>
    <w:rsid w:val="00D74B3C"/>
    <w:rsid w:val="00D74BA6"/>
    <w:rsid w:val="00D74BBC"/>
    <w:rsid w:val="00D74C6D"/>
    <w:rsid w:val="00D74C84"/>
    <w:rsid w:val="00D74E7E"/>
    <w:rsid w:val="00D74EAA"/>
    <w:rsid w:val="00D74EF4"/>
    <w:rsid w:val="00D74F3A"/>
    <w:rsid w:val="00D74FF8"/>
    <w:rsid w:val="00D75013"/>
    <w:rsid w:val="00D75070"/>
    <w:rsid w:val="00D750CD"/>
    <w:rsid w:val="00D750EF"/>
    <w:rsid w:val="00D75122"/>
    <w:rsid w:val="00D7514D"/>
    <w:rsid w:val="00D75182"/>
    <w:rsid w:val="00D75216"/>
    <w:rsid w:val="00D752C6"/>
    <w:rsid w:val="00D75353"/>
    <w:rsid w:val="00D7554B"/>
    <w:rsid w:val="00D75668"/>
    <w:rsid w:val="00D756C4"/>
    <w:rsid w:val="00D75905"/>
    <w:rsid w:val="00D7599F"/>
    <w:rsid w:val="00D75A1C"/>
    <w:rsid w:val="00D75A8C"/>
    <w:rsid w:val="00D75B2E"/>
    <w:rsid w:val="00D75D44"/>
    <w:rsid w:val="00D75DA9"/>
    <w:rsid w:val="00D75DD9"/>
    <w:rsid w:val="00D75E36"/>
    <w:rsid w:val="00D75F4E"/>
    <w:rsid w:val="00D75F5D"/>
    <w:rsid w:val="00D75F8A"/>
    <w:rsid w:val="00D75FEE"/>
    <w:rsid w:val="00D760A5"/>
    <w:rsid w:val="00D760BA"/>
    <w:rsid w:val="00D76121"/>
    <w:rsid w:val="00D761D2"/>
    <w:rsid w:val="00D762BA"/>
    <w:rsid w:val="00D762F9"/>
    <w:rsid w:val="00D76303"/>
    <w:rsid w:val="00D76346"/>
    <w:rsid w:val="00D76385"/>
    <w:rsid w:val="00D763C3"/>
    <w:rsid w:val="00D76429"/>
    <w:rsid w:val="00D764C4"/>
    <w:rsid w:val="00D76547"/>
    <w:rsid w:val="00D76586"/>
    <w:rsid w:val="00D76735"/>
    <w:rsid w:val="00D76795"/>
    <w:rsid w:val="00D767DE"/>
    <w:rsid w:val="00D7687D"/>
    <w:rsid w:val="00D76889"/>
    <w:rsid w:val="00D76947"/>
    <w:rsid w:val="00D769A8"/>
    <w:rsid w:val="00D769F1"/>
    <w:rsid w:val="00D769FD"/>
    <w:rsid w:val="00D76A10"/>
    <w:rsid w:val="00D76A32"/>
    <w:rsid w:val="00D76A82"/>
    <w:rsid w:val="00D76AA0"/>
    <w:rsid w:val="00D76B0A"/>
    <w:rsid w:val="00D76C48"/>
    <w:rsid w:val="00D76C63"/>
    <w:rsid w:val="00D76C7D"/>
    <w:rsid w:val="00D76CB5"/>
    <w:rsid w:val="00D76D63"/>
    <w:rsid w:val="00D76D73"/>
    <w:rsid w:val="00D76D9E"/>
    <w:rsid w:val="00D76E05"/>
    <w:rsid w:val="00D76E54"/>
    <w:rsid w:val="00D76EEA"/>
    <w:rsid w:val="00D76F4F"/>
    <w:rsid w:val="00D770D1"/>
    <w:rsid w:val="00D77114"/>
    <w:rsid w:val="00D77115"/>
    <w:rsid w:val="00D77138"/>
    <w:rsid w:val="00D7715A"/>
    <w:rsid w:val="00D7715E"/>
    <w:rsid w:val="00D7718B"/>
    <w:rsid w:val="00D77192"/>
    <w:rsid w:val="00D771F2"/>
    <w:rsid w:val="00D77207"/>
    <w:rsid w:val="00D772D9"/>
    <w:rsid w:val="00D77308"/>
    <w:rsid w:val="00D77355"/>
    <w:rsid w:val="00D773DC"/>
    <w:rsid w:val="00D774EC"/>
    <w:rsid w:val="00D77578"/>
    <w:rsid w:val="00D77650"/>
    <w:rsid w:val="00D776DD"/>
    <w:rsid w:val="00D77735"/>
    <w:rsid w:val="00D77769"/>
    <w:rsid w:val="00D7781A"/>
    <w:rsid w:val="00D77869"/>
    <w:rsid w:val="00D7786C"/>
    <w:rsid w:val="00D77885"/>
    <w:rsid w:val="00D778F5"/>
    <w:rsid w:val="00D779AB"/>
    <w:rsid w:val="00D779CE"/>
    <w:rsid w:val="00D77A42"/>
    <w:rsid w:val="00D77A4C"/>
    <w:rsid w:val="00D77B9B"/>
    <w:rsid w:val="00D77BE6"/>
    <w:rsid w:val="00D77C4B"/>
    <w:rsid w:val="00D77D56"/>
    <w:rsid w:val="00D77D72"/>
    <w:rsid w:val="00D77DE6"/>
    <w:rsid w:val="00D77E74"/>
    <w:rsid w:val="00D77EA3"/>
    <w:rsid w:val="00D77F71"/>
    <w:rsid w:val="00D77FD1"/>
    <w:rsid w:val="00D80027"/>
    <w:rsid w:val="00D8006E"/>
    <w:rsid w:val="00D8007B"/>
    <w:rsid w:val="00D8012A"/>
    <w:rsid w:val="00D801D9"/>
    <w:rsid w:val="00D8021C"/>
    <w:rsid w:val="00D80250"/>
    <w:rsid w:val="00D80283"/>
    <w:rsid w:val="00D80313"/>
    <w:rsid w:val="00D8033E"/>
    <w:rsid w:val="00D803AE"/>
    <w:rsid w:val="00D803C7"/>
    <w:rsid w:val="00D803E6"/>
    <w:rsid w:val="00D803F0"/>
    <w:rsid w:val="00D8042C"/>
    <w:rsid w:val="00D80440"/>
    <w:rsid w:val="00D80492"/>
    <w:rsid w:val="00D804F0"/>
    <w:rsid w:val="00D80587"/>
    <w:rsid w:val="00D805FD"/>
    <w:rsid w:val="00D8068F"/>
    <w:rsid w:val="00D80699"/>
    <w:rsid w:val="00D806BA"/>
    <w:rsid w:val="00D806E4"/>
    <w:rsid w:val="00D8072A"/>
    <w:rsid w:val="00D80747"/>
    <w:rsid w:val="00D807F6"/>
    <w:rsid w:val="00D8089A"/>
    <w:rsid w:val="00D8096D"/>
    <w:rsid w:val="00D8096E"/>
    <w:rsid w:val="00D809B9"/>
    <w:rsid w:val="00D809D3"/>
    <w:rsid w:val="00D809D4"/>
    <w:rsid w:val="00D80A25"/>
    <w:rsid w:val="00D80AF3"/>
    <w:rsid w:val="00D80C15"/>
    <w:rsid w:val="00D80C1F"/>
    <w:rsid w:val="00D80C69"/>
    <w:rsid w:val="00D80C7D"/>
    <w:rsid w:val="00D80D76"/>
    <w:rsid w:val="00D80E17"/>
    <w:rsid w:val="00D80E73"/>
    <w:rsid w:val="00D80E7F"/>
    <w:rsid w:val="00D80FA0"/>
    <w:rsid w:val="00D810CF"/>
    <w:rsid w:val="00D81167"/>
    <w:rsid w:val="00D8131E"/>
    <w:rsid w:val="00D81434"/>
    <w:rsid w:val="00D81441"/>
    <w:rsid w:val="00D8151D"/>
    <w:rsid w:val="00D8153D"/>
    <w:rsid w:val="00D8154D"/>
    <w:rsid w:val="00D815F9"/>
    <w:rsid w:val="00D816C2"/>
    <w:rsid w:val="00D816D3"/>
    <w:rsid w:val="00D816D8"/>
    <w:rsid w:val="00D816DC"/>
    <w:rsid w:val="00D817D2"/>
    <w:rsid w:val="00D81853"/>
    <w:rsid w:val="00D818FA"/>
    <w:rsid w:val="00D8194E"/>
    <w:rsid w:val="00D8195D"/>
    <w:rsid w:val="00D81977"/>
    <w:rsid w:val="00D81AB2"/>
    <w:rsid w:val="00D81B7E"/>
    <w:rsid w:val="00D81C74"/>
    <w:rsid w:val="00D81E14"/>
    <w:rsid w:val="00D81EA7"/>
    <w:rsid w:val="00D81EEC"/>
    <w:rsid w:val="00D81F38"/>
    <w:rsid w:val="00D81F78"/>
    <w:rsid w:val="00D81FAC"/>
    <w:rsid w:val="00D82005"/>
    <w:rsid w:val="00D8217A"/>
    <w:rsid w:val="00D8218B"/>
    <w:rsid w:val="00D821A3"/>
    <w:rsid w:val="00D821E1"/>
    <w:rsid w:val="00D82223"/>
    <w:rsid w:val="00D82277"/>
    <w:rsid w:val="00D822B0"/>
    <w:rsid w:val="00D82305"/>
    <w:rsid w:val="00D8234D"/>
    <w:rsid w:val="00D8237F"/>
    <w:rsid w:val="00D8242E"/>
    <w:rsid w:val="00D8249F"/>
    <w:rsid w:val="00D824A2"/>
    <w:rsid w:val="00D824F8"/>
    <w:rsid w:val="00D82571"/>
    <w:rsid w:val="00D825EF"/>
    <w:rsid w:val="00D82614"/>
    <w:rsid w:val="00D826D5"/>
    <w:rsid w:val="00D82773"/>
    <w:rsid w:val="00D827AC"/>
    <w:rsid w:val="00D82818"/>
    <w:rsid w:val="00D828CE"/>
    <w:rsid w:val="00D828D6"/>
    <w:rsid w:val="00D8299D"/>
    <w:rsid w:val="00D82A40"/>
    <w:rsid w:val="00D82AA3"/>
    <w:rsid w:val="00D82B39"/>
    <w:rsid w:val="00D82BA4"/>
    <w:rsid w:val="00D82C6E"/>
    <w:rsid w:val="00D82C9F"/>
    <w:rsid w:val="00D82CDF"/>
    <w:rsid w:val="00D82CEB"/>
    <w:rsid w:val="00D82E03"/>
    <w:rsid w:val="00D82E4F"/>
    <w:rsid w:val="00D82EAF"/>
    <w:rsid w:val="00D82F1B"/>
    <w:rsid w:val="00D82F2A"/>
    <w:rsid w:val="00D82FE3"/>
    <w:rsid w:val="00D83007"/>
    <w:rsid w:val="00D83021"/>
    <w:rsid w:val="00D830D6"/>
    <w:rsid w:val="00D830E6"/>
    <w:rsid w:val="00D830FE"/>
    <w:rsid w:val="00D83140"/>
    <w:rsid w:val="00D8324A"/>
    <w:rsid w:val="00D833A5"/>
    <w:rsid w:val="00D833AB"/>
    <w:rsid w:val="00D833BF"/>
    <w:rsid w:val="00D834B3"/>
    <w:rsid w:val="00D8355E"/>
    <w:rsid w:val="00D83618"/>
    <w:rsid w:val="00D83621"/>
    <w:rsid w:val="00D8376C"/>
    <w:rsid w:val="00D839B4"/>
    <w:rsid w:val="00D83A05"/>
    <w:rsid w:val="00D83AA1"/>
    <w:rsid w:val="00D83AAB"/>
    <w:rsid w:val="00D83AD2"/>
    <w:rsid w:val="00D83B87"/>
    <w:rsid w:val="00D83B8E"/>
    <w:rsid w:val="00D83BB9"/>
    <w:rsid w:val="00D83C1D"/>
    <w:rsid w:val="00D83C77"/>
    <w:rsid w:val="00D83C95"/>
    <w:rsid w:val="00D83D57"/>
    <w:rsid w:val="00D83DF6"/>
    <w:rsid w:val="00D83E07"/>
    <w:rsid w:val="00D83E19"/>
    <w:rsid w:val="00D83EB7"/>
    <w:rsid w:val="00D83EFD"/>
    <w:rsid w:val="00D84001"/>
    <w:rsid w:val="00D84178"/>
    <w:rsid w:val="00D841BA"/>
    <w:rsid w:val="00D842CB"/>
    <w:rsid w:val="00D84409"/>
    <w:rsid w:val="00D84451"/>
    <w:rsid w:val="00D844A2"/>
    <w:rsid w:val="00D844CF"/>
    <w:rsid w:val="00D844EF"/>
    <w:rsid w:val="00D84533"/>
    <w:rsid w:val="00D8453C"/>
    <w:rsid w:val="00D846D5"/>
    <w:rsid w:val="00D846F3"/>
    <w:rsid w:val="00D8476A"/>
    <w:rsid w:val="00D847F7"/>
    <w:rsid w:val="00D84825"/>
    <w:rsid w:val="00D8491B"/>
    <w:rsid w:val="00D84923"/>
    <w:rsid w:val="00D849F6"/>
    <w:rsid w:val="00D84A05"/>
    <w:rsid w:val="00D84A8D"/>
    <w:rsid w:val="00D84A8E"/>
    <w:rsid w:val="00D84ADE"/>
    <w:rsid w:val="00D84B1C"/>
    <w:rsid w:val="00D84B8D"/>
    <w:rsid w:val="00D84BF0"/>
    <w:rsid w:val="00D84C11"/>
    <w:rsid w:val="00D84D4A"/>
    <w:rsid w:val="00D84D92"/>
    <w:rsid w:val="00D84D97"/>
    <w:rsid w:val="00D84DA3"/>
    <w:rsid w:val="00D84E06"/>
    <w:rsid w:val="00D84EA4"/>
    <w:rsid w:val="00D84EC4"/>
    <w:rsid w:val="00D84F52"/>
    <w:rsid w:val="00D84F65"/>
    <w:rsid w:val="00D84F8E"/>
    <w:rsid w:val="00D85000"/>
    <w:rsid w:val="00D850B4"/>
    <w:rsid w:val="00D850F4"/>
    <w:rsid w:val="00D85205"/>
    <w:rsid w:val="00D85233"/>
    <w:rsid w:val="00D852AC"/>
    <w:rsid w:val="00D85321"/>
    <w:rsid w:val="00D85382"/>
    <w:rsid w:val="00D8547C"/>
    <w:rsid w:val="00D8550F"/>
    <w:rsid w:val="00D85533"/>
    <w:rsid w:val="00D8557C"/>
    <w:rsid w:val="00D85623"/>
    <w:rsid w:val="00D85662"/>
    <w:rsid w:val="00D85666"/>
    <w:rsid w:val="00D85674"/>
    <w:rsid w:val="00D85689"/>
    <w:rsid w:val="00D856AF"/>
    <w:rsid w:val="00D856DE"/>
    <w:rsid w:val="00D85854"/>
    <w:rsid w:val="00D85969"/>
    <w:rsid w:val="00D859D7"/>
    <w:rsid w:val="00D85ABF"/>
    <w:rsid w:val="00D85B28"/>
    <w:rsid w:val="00D85B7E"/>
    <w:rsid w:val="00D85C17"/>
    <w:rsid w:val="00D85C8C"/>
    <w:rsid w:val="00D85CAF"/>
    <w:rsid w:val="00D85CC6"/>
    <w:rsid w:val="00D85D20"/>
    <w:rsid w:val="00D85DAB"/>
    <w:rsid w:val="00D85DE7"/>
    <w:rsid w:val="00D85DEA"/>
    <w:rsid w:val="00D86076"/>
    <w:rsid w:val="00D86169"/>
    <w:rsid w:val="00D86178"/>
    <w:rsid w:val="00D861BC"/>
    <w:rsid w:val="00D86256"/>
    <w:rsid w:val="00D86275"/>
    <w:rsid w:val="00D862EA"/>
    <w:rsid w:val="00D86308"/>
    <w:rsid w:val="00D8634F"/>
    <w:rsid w:val="00D8643C"/>
    <w:rsid w:val="00D86442"/>
    <w:rsid w:val="00D8646C"/>
    <w:rsid w:val="00D86481"/>
    <w:rsid w:val="00D865BD"/>
    <w:rsid w:val="00D86836"/>
    <w:rsid w:val="00D86867"/>
    <w:rsid w:val="00D868A8"/>
    <w:rsid w:val="00D868F3"/>
    <w:rsid w:val="00D869A0"/>
    <w:rsid w:val="00D86B62"/>
    <w:rsid w:val="00D86C06"/>
    <w:rsid w:val="00D86C52"/>
    <w:rsid w:val="00D86C7C"/>
    <w:rsid w:val="00D86C99"/>
    <w:rsid w:val="00D86CBC"/>
    <w:rsid w:val="00D86CC3"/>
    <w:rsid w:val="00D86D4F"/>
    <w:rsid w:val="00D86D55"/>
    <w:rsid w:val="00D86DB0"/>
    <w:rsid w:val="00D86E65"/>
    <w:rsid w:val="00D86F20"/>
    <w:rsid w:val="00D86F2F"/>
    <w:rsid w:val="00D86F67"/>
    <w:rsid w:val="00D86F96"/>
    <w:rsid w:val="00D870B6"/>
    <w:rsid w:val="00D871A1"/>
    <w:rsid w:val="00D871AF"/>
    <w:rsid w:val="00D871B6"/>
    <w:rsid w:val="00D871BC"/>
    <w:rsid w:val="00D8720B"/>
    <w:rsid w:val="00D8732E"/>
    <w:rsid w:val="00D87354"/>
    <w:rsid w:val="00D87362"/>
    <w:rsid w:val="00D873B7"/>
    <w:rsid w:val="00D875B2"/>
    <w:rsid w:val="00D87660"/>
    <w:rsid w:val="00D87718"/>
    <w:rsid w:val="00D87749"/>
    <w:rsid w:val="00D87767"/>
    <w:rsid w:val="00D8777D"/>
    <w:rsid w:val="00D87780"/>
    <w:rsid w:val="00D8779A"/>
    <w:rsid w:val="00D87833"/>
    <w:rsid w:val="00D8789C"/>
    <w:rsid w:val="00D878E1"/>
    <w:rsid w:val="00D878E8"/>
    <w:rsid w:val="00D87963"/>
    <w:rsid w:val="00D879B7"/>
    <w:rsid w:val="00D879B9"/>
    <w:rsid w:val="00D87ABA"/>
    <w:rsid w:val="00D87ABD"/>
    <w:rsid w:val="00D87AC9"/>
    <w:rsid w:val="00D87B12"/>
    <w:rsid w:val="00D87B8A"/>
    <w:rsid w:val="00D87B95"/>
    <w:rsid w:val="00D87CE0"/>
    <w:rsid w:val="00D87CE3"/>
    <w:rsid w:val="00D87DE3"/>
    <w:rsid w:val="00D87E12"/>
    <w:rsid w:val="00D87ED7"/>
    <w:rsid w:val="00D87F05"/>
    <w:rsid w:val="00D87F07"/>
    <w:rsid w:val="00D90040"/>
    <w:rsid w:val="00D90211"/>
    <w:rsid w:val="00D90219"/>
    <w:rsid w:val="00D9021B"/>
    <w:rsid w:val="00D90299"/>
    <w:rsid w:val="00D902A3"/>
    <w:rsid w:val="00D902D9"/>
    <w:rsid w:val="00D903CE"/>
    <w:rsid w:val="00D903CF"/>
    <w:rsid w:val="00D903E3"/>
    <w:rsid w:val="00D9044C"/>
    <w:rsid w:val="00D9047F"/>
    <w:rsid w:val="00D9048C"/>
    <w:rsid w:val="00D90525"/>
    <w:rsid w:val="00D9056B"/>
    <w:rsid w:val="00D905A3"/>
    <w:rsid w:val="00D905ED"/>
    <w:rsid w:val="00D905F9"/>
    <w:rsid w:val="00D90749"/>
    <w:rsid w:val="00D90834"/>
    <w:rsid w:val="00D9089B"/>
    <w:rsid w:val="00D90926"/>
    <w:rsid w:val="00D909B4"/>
    <w:rsid w:val="00D909E8"/>
    <w:rsid w:val="00D90A1A"/>
    <w:rsid w:val="00D90A2C"/>
    <w:rsid w:val="00D90A3A"/>
    <w:rsid w:val="00D90AC6"/>
    <w:rsid w:val="00D90B49"/>
    <w:rsid w:val="00D90B9C"/>
    <w:rsid w:val="00D90CA3"/>
    <w:rsid w:val="00D90CB6"/>
    <w:rsid w:val="00D90D0E"/>
    <w:rsid w:val="00D90D9B"/>
    <w:rsid w:val="00D90F0A"/>
    <w:rsid w:val="00D90F13"/>
    <w:rsid w:val="00D90F1F"/>
    <w:rsid w:val="00D90F54"/>
    <w:rsid w:val="00D90F66"/>
    <w:rsid w:val="00D90FCD"/>
    <w:rsid w:val="00D9101A"/>
    <w:rsid w:val="00D91105"/>
    <w:rsid w:val="00D91113"/>
    <w:rsid w:val="00D91166"/>
    <w:rsid w:val="00D911A6"/>
    <w:rsid w:val="00D91274"/>
    <w:rsid w:val="00D912A6"/>
    <w:rsid w:val="00D912E2"/>
    <w:rsid w:val="00D9131C"/>
    <w:rsid w:val="00D91348"/>
    <w:rsid w:val="00D9137A"/>
    <w:rsid w:val="00D91382"/>
    <w:rsid w:val="00D913E2"/>
    <w:rsid w:val="00D91490"/>
    <w:rsid w:val="00D914C1"/>
    <w:rsid w:val="00D914DB"/>
    <w:rsid w:val="00D9156F"/>
    <w:rsid w:val="00D915FF"/>
    <w:rsid w:val="00D9162C"/>
    <w:rsid w:val="00D9179E"/>
    <w:rsid w:val="00D917C1"/>
    <w:rsid w:val="00D917CA"/>
    <w:rsid w:val="00D9181A"/>
    <w:rsid w:val="00D91850"/>
    <w:rsid w:val="00D91868"/>
    <w:rsid w:val="00D9196E"/>
    <w:rsid w:val="00D9197D"/>
    <w:rsid w:val="00D91984"/>
    <w:rsid w:val="00D91987"/>
    <w:rsid w:val="00D91992"/>
    <w:rsid w:val="00D919D4"/>
    <w:rsid w:val="00D919F6"/>
    <w:rsid w:val="00D919FF"/>
    <w:rsid w:val="00D91A12"/>
    <w:rsid w:val="00D91A1E"/>
    <w:rsid w:val="00D91A6C"/>
    <w:rsid w:val="00D91AAF"/>
    <w:rsid w:val="00D91B27"/>
    <w:rsid w:val="00D91BC5"/>
    <w:rsid w:val="00D91BEA"/>
    <w:rsid w:val="00D91C78"/>
    <w:rsid w:val="00D91D51"/>
    <w:rsid w:val="00D91DA5"/>
    <w:rsid w:val="00D91DB8"/>
    <w:rsid w:val="00D91DCE"/>
    <w:rsid w:val="00D91E52"/>
    <w:rsid w:val="00D91EEB"/>
    <w:rsid w:val="00D91FC4"/>
    <w:rsid w:val="00D91FF1"/>
    <w:rsid w:val="00D9200A"/>
    <w:rsid w:val="00D9212F"/>
    <w:rsid w:val="00D9214C"/>
    <w:rsid w:val="00D921BC"/>
    <w:rsid w:val="00D921D7"/>
    <w:rsid w:val="00D92224"/>
    <w:rsid w:val="00D9224E"/>
    <w:rsid w:val="00D9229F"/>
    <w:rsid w:val="00D923DB"/>
    <w:rsid w:val="00D923E0"/>
    <w:rsid w:val="00D924EF"/>
    <w:rsid w:val="00D925B7"/>
    <w:rsid w:val="00D92645"/>
    <w:rsid w:val="00D9266C"/>
    <w:rsid w:val="00D92698"/>
    <w:rsid w:val="00D926FA"/>
    <w:rsid w:val="00D92713"/>
    <w:rsid w:val="00D92801"/>
    <w:rsid w:val="00D9280C"/>
    <w:rsid w:val="00D92819"/>
    <w:rsid w:val="00D928A1"/>
    <w:rsid w:val="00D92972"/>
    <w:rsid w:val="00D929DC"/>
    <w:rsid w:val="00D929EA"/>
    <w:rsid w:val="00D92A19"/>
    <w:rsid w:val="00D92A23"/>
    <w:rsid w:val="00D92BCF"/>
    <w:rsid w:val="00D92BD1"/>
    <w:rsid w:val="00D92C8F"/>
    <w:rsid w:val="00D92CC5"/>
    <w:rsid w:val="00D92D34"/>
    <w:rsid w:val="00D92D38"/>
    <w:rsid w:val="00D92DB5"/>
    <w:rsid w:val="00D92DBC"/>
    <w:rsid w:val="00D92E37"/>
    <w:rsid w:val="00D92E70"/>
    <w:rsid w:val="00D92EFE"/>
    <w:rsid w:val="00D92F08"/>
    <w:rsid w:val="00D92F77"/>
    <w:rsid w:val="00D9300C"/>
    <w:rsid w:val="00D9300E"/>
    <w:rsid w:val="00D93011"/>
    <w:rsid w:val="00D93022"/>
    <w:rsid w:val="00D931B0"/>
    <w:rsid w:val="00D932A2"/>
    <w:rsid w:val="00D932D1"/>
    <w:rsid w:val="00D93318"/>
    <w:rsid w:val="00D934E7"/>
    <w:rsid w:val="00D934EB"/>
    <w:rsid w:val="00D9358F"/>
    <w:rsid w:val="00D93593"/>
    <w:rsid w:val="00D9360D"/>
    <w:rsid w:val="00D93638"/>
    <w:rsid w:val="00D93788"/>
    <w:rsid w:val="00D937A8"/>
    <w:rsid w:val="00D93809"/>
    <w:rsid w:val="00D93840"/>
    <w:rsid w:val="00D93851"/>
    <w:rsid w:val="00D939BD"/>
    <w:rsid w:val="00D93A0E"/>
    <w:rsid w:val="00D93A0F"/>
    <w:rsid w:val="00D93A9E"/>
    <w:rsid w:val="00D93AFC"/>
    <w:rsid w:val="00D93B33"/>
    <w:rsid w:val="00D93B5A"/>
    <w:rsid w:val="00D93B8B"/>
    <w:rsid w:val="00D93BA8"/>
    <w:rsid w:val="00D93BBA"/>
    <w:rsid w:val="00D93BC0"/>
    <w:rsid w:val="00D93C11"/>
    <w:rsid w:val="00D93C3C"/>
    <w:rsid w:val="00D93C43"/>
    <w:rsid w:val="00D93CB0"/>
    <w:rsid w:val="00D93CE4"/>
    <w:rsid w:val="00D93D63"/>
    <w:rsid w:val="00D93E12"/>
    <w:rsid w:val="00D93EFB"/>
    <w:rsid w:val="00D93F2B"/>
    <w:rsid w:val="00D940C4"/>
    <w:rsid w:val="00D940FE"/>
    <w:rsid w:val="00D9428E"/>
    <w:rsid w:val="00D942F8"/>
    <w:rsid w:val="00D94356"/>
    <w:rsid w:val="00D943C6"/>
    <w:rsid w:val="00D943CC"/>
    <w:rsid w:val="00D943E3"/>
    <w:rsid w:val="00D9444A"/>
    <w:rsid w:val="00D944CA"/>
    <w:rsid w:val="00D9456E"/>
    <w:rsid w:val="00D945B3"/>
    <w:rsid w:val="00D945B9"/>
    <w:rsid w:val="00D945C3"/>
    <w:rsid w:val="00D945DC"/>
    <w:rsid w:val="00D945E0"/>
    <w:rsid w:val="00D945FD"/>
    <w:rsid w:val="00D94624"/>
    <w:rsid w:val="00D94629"/>
    <w:rsid w:val="00D94689"/>
    <w:rsid w:val="00D946E7"/>
    <w:rsid w:val="00D94743"/>
    <w:rsid w:val="00D947F6"/>
    <w:rsid w:val="00D94825"/>
    <w:rsid w:val="00D9485B"/>
    <w:rsid w:val="00D94868"/>
    <w:rsid w:val="00D94875"/>
    <w:rsid w:val="00D948D0"/>
    <w:rsid w:val="00D948D3"/>
    <w:rsid w:val="00D949E2"/>
    <w:rsid w:val="00D94A71"/>
    <w:rsid w:val="00D94AA4"/>
    <w:rsid w:val="00D94AB5"/>
    <w:rsid w:val="00D94B8D"/>
    <w:rsid w:val="00D94C6B"/>
    <w:rsid w:val="00D94D55"/>
    <w:rsid w:val="00D94DDC"/>
    <w:rsid w:val="00D94DFE"/>
    <w:rsid w:val="00D94E2A"/>
    <w:rsid w:val="00D94E2E"/>
    <w:rsid w:val="00D94E6F"/>
    <w:rsid w:val="00D94EB5"/>
    <w:rsid w:val="00D94EC4"/>
    <w:rsid w:val="00D94ED1"/>
    <w:rsid w:val="00D94F0E"/>
    <w:rsid w:val="00D94F5C"/>
    <w:rsid w:val="00D94F6A"/>
    <w:rsid w:val="00D94FB5"/>
    <w:rsid w:val="00D95010"/>
    <w:rsid w:val="00D9503D"/>
    <w:rsid w:val="00D95098"/>
    <w:rsid w:val="00D950A9"/>
    <w:rsid w:val="00D950EC"/>
    <w:rsid w:val="00D950FD"/>
    <w:rsid w:val="00D950FF"/>
    <w:rsid w:val="00D95156"/>
    <w:rsid w:val="00D95175"/>
    <w:rsid w:val="00D95232"/>
    <w:rsid w:val="00D952A7"/>
    <w:rsid w:val="00D95377"/>
    <w:rsid w:val="00D95380"/>
    <w:rsid w:val="00D9539B"/>
    <w:rsid w:val="00D9545D"/>
    <w:rsid w:val="00D954FA"/>
    <w:rsid w:val="00D95556"/>
    <w:rsid w:val="00D955F6"/>
    <w:rsid w:val="00D95662"/>
    <w:rsid w:val="00D95728"/>
    <w:rsid w:val="00D9573C"/>
    <w:rsid w:val="00D95759"/>
    <w:rsid w:val="00D95782"/>
    <w:rsid w:val="00D95792"/>
    <w:rsid w:val="00D957E0"/>
    <w:rsid w:val="00D957EE"/>
    <w:rsid w:val="00D9580F"/>
    <w:rsid w:val="00D9585F"/>
    <w:rsid w:val="00D95931"/>
    <w:rsid w:val="00D959F0"/>
    <w:rsid w:val="00D959F8"/>
    <w:rsid w:val="00D95A5C"/>
    <w:rsid w:val="00D95ADE"/>
    <w:rsid w:val="00D95AE6"/>
    <w:rsid w:val="00D95B62"/>
    <w:rsid w:val="00D95C86"/>
    <w:rsid w:val="00D95CAF"/>
    <w:rsid w:val="00D95D64"/>
    <w:rsid w:val="00D95DB9"/>
    <w:rsid w:val="00D95DF6"/>
    <w:rsid w:val="00D95E7B"/>
    <w:rsid w:val="00D95FDA"/>
    <w:rsid w:val="00D95FF4"/>
    <w:rsid w:val="00D9600B"/>
    <w:rsid w:val="00D96070"/>
    <w:rsid w:val="00D96127"/>
    <w:rsid w:val="00D96130"/>
    <w:rsid w:val="00D9615F"/>
    <w:rsid w:val="00D961B3"/>
    <w:rsid w:val="00D961F6"/>
    <w:rsid w:val="00D96244"/>
    <w:rsid w:val="00D96290"/>
    <w:rsid w:val="00D962C4"/>
    <w:rsid w:val="00D963C4"/>
    <w:rsid w:val="00D963E2"/>
    <w:rsid w:val="00D963E8"/>
    <w:rsid w:val="00D96403"/>
    <w:rsid w:val="00D964D9"/>
    <w:rsid w:val="00D9655C"/>
    <w:rsid w:val="00D965AC"/>
    <w:rsid w:val="00D965D1"/>
    <w:rsid w:val="00D965E0"/>
    <w:rsid w:val="00D96629"/>
    <w:rsid w:val="00D96674"/>
    <w:rsid w:val="00D96712"/>
    <w:rsid w:val="00D9672E"/>
    <w:rsid w:val="00D96764"/>
    <w:rsid w:val="00D967A5"/>
    <w:rsid w:val="00D96813"/>
    <w:rsid w:val="00D96824"/>
    <w:rsid w:val="00D968A5"/>
    <w:rsid w:val="00D9693E"/>
    <w:rsid w:val="00D9694F"/>
    <w:rsid w:val="00D96972"/>
    <w:rsid w:val="00D969C8"/>
    <w:rsid w:val="00D969CF"/>
    <w:rsid w:val="00D96A2E"/>
    <w:rsid w:val="00D96A91"/>
    <w:rsid w:val="00D96B28"/>
    <w:rsid w:val="00D96B64"/>
    <w:rsid w:val="00D96B7D"/>
    <w:rsid w:val="00D96BAC"/>
    <w:rsid w:val="00D96C5A"/>
    <w:rsid w:val="00D96C6E"/>
    <w:rsid w:val="00D96CB9"/>
    <w:rsid w:val="00D96CF7"/>
    <w:rsid w:val="00D96D1E"/>
    <w:rsid w:val="00D96D80"/>
    <w:rsid w:val="00D96D84"/>
    <w:rsid w:val="00D96E3C"/>
    <w:rsid w:val="00D96E68"/>
    <w:rsid w:val="00D96EA8"/>
    <w:rsid w:val="00D96F06"/>
    <w:rsid w:val="00D97083"/>
    <w:rsid w:val="00D970B0"/>
    <w:rsid w:val="00D971C8"/>
    <w:rsid w:val="00D97274"/>
    <w:rsid w:val="00D9738F"/>
    <w:rsid w:val="00D97529"/>
    <w:rsid w:val="00D97552"/>
    <w:rsid w:val="00D9759D"/>
    <w:rsid w:val="00D97622"/>
    <w:rsid w:val="00D97675"/>
    <w:rsid w:val="00D976B3"/>
    <w:rsid w:val="00D976C6"/>
    <w:rsid w:val="00D976F8"/>
    <w:rsid w:val="00D9771E"/>
    <w:rsid w:val="00D97773"/>
    <w:rsid w:val="00D979BF"/>
    <w:rsid w:val="00D97A02"/>
    <w:rsid w:val="00D97A36"/>
    <w:rsid w:val="00D97A4A"/>
    <w:rsid w:val="00D97A4F"/>
    <w:rsid w:val="00D97AF6"/>
    <w:rsid w:val="00D97B09"/>
    <w:rsid w:val="00D97B52"/>
    <w:rsid w:val="00D97BBF"/>
    <w:rsid w:val="00D97BCA"/>
    <w:rsid w:val="00D97C0C"/>
    <w:rsid w:val="00D97C0F"/>
    <w:rsid w:val="00D97C3B"/>
    <w:rsid w:val="00D97CA9"/>
    <w:rsid w:val="00D97CEB"/>
    <w:rsid w:val="00D97DFE"/>
    <w:rsid w:val="00D97E61"/>
    <w:rsid w:val="00D97EAC"/>
    <w:rsid w:val="00D97ED3"/>
    <w:rsid w:val="00D97F15"/>
    <w:rsid w:val="00DA0020"/>
    <w:rsid w:val="00DA017B"/>
    <w:rsid w:val="00DA01C2"/>
    <w:rsid w:val="00DA0246"/>
    <w:rsid w:val="00DA0261"/>
    <w:rsid w:val="00DA02F1"/>
    <w:rsid w:val="00DA02F5"/>
    <w:rsid w:val="00DA0318"/>
    <w:rsid w:val="00DA03B6"/>
    <w:rsid w:val="00DA03E0"/>
    <w:rsid w:val="00DA03E9"/>
    <w:rsid w:val="00DA048D"/>
    <w:rsid w:val="00DA04C5"/>
    <w:rsid w:val="00DA05E4"/>
    <w:rsid w:val="00DA0627"/>
    <w:rsid w:val="00DA0651"/>
    <w:rsid w:val="00DA0670"/>
    <w:rsid w:val="00DA067A"/>
    <w:rsid w:val="00DA0729"/>
    <w:rsid w:val="00DA0771"/>
    <w:rsid w:val="00DA07AB"/>
    <w:rsid w:val="00DA07C2"/>
    <w:rsid w:val="00DA07EE"/>
    <w:rsid w:val="00DA08A6"/>
    <w:rsid w:val="00DA0911"/>
    <w:rsid w:val="00DA0924"/>
    <w:rsid w:val="00DA0979"/>
    <w:rsid w:val="00DA097A"/>
    <w:rsid w:val="00DA099D"/>
    <w:rsid w:val="00DA0A7A"/>
    <w:rsid w:val="00DA0C42"/>
    <w:rsid w:val="00DA0C6C"/>
    <w:rsid w:val="00DA0C82"/>
    <w:rsid w:val="00DA0C9A"/>
    <w:rsid w:val="00DA0CE0"/>
    <w:rsid w:val="00DA0D32"/>
    <w:rsid w:val="00DA0D84"/>
    <w:rsid w:val="00DA0DDB"/>
    <w:rsid w:val="00DA0DF0"/>
    <w:rsid w:val="00DA0E02"/>
    <w:rsid w:val="00DA0E64"/>
    <w:rsid w:val="00DA0E69"/>
    <w:rsid w:val="00DA0ED5"/>
    <w:rsid w:val="00DA0EF8"/>
    <w:rsid w:val="00DA0F49"/>
    <w:rsid w:val="00DA0F57"/>
    <w:rsid w:val="00DA0F6C"/>
    <w:rsid w:val="00DA0FFB"/>
    <w:rsid w:val="00DA1033"/>
    <w:rsid w:val="00DA1086"/>
    <w:rsid w:val="00DA10D0"/>
    <w:rsid w:val="00DA10F7"/>
    <w:rsid w:val="00DA11C5"/>
    <w:rsid w:val="00DA1206"/>
    <w:rsid w:val="00DA1260"/>
    <w:rsid w:val="00DA1278"/>
    <w:rsid w:val="00DA12B0"/>
    <w:rsid w:val="00DA137B"/>
    <w:rsid w:val="00DA13AB"/>
    <w:rsid w:val="00DA15D9"/>
    <w:rsid w:val="00DA16B1"/>
    <w:rsid w:val="00DA1710"/>
    <w:rsid w:val="00DA1756"/>
    <w:rsid w:val="00DA176C"/>
    <w:rsid w:val="00DA181E"/>
    <w:rsid w:val="00DA1885"/>
    <w:rsid w:val="00DA1890"/>
    <w:rsid w:val="00DA1908"/>
    <w:rsid w:val="00DA1A3F"/>
    <w:rsid w:val="00DA1A5C"/>
    <w:rsid w:val="00DA1AE3"/>
    <w:rsid w:val="00DA1B5B"/>
    <w:rsid w:val="00DA1BBA"/>
    <w:rsid w:val="00DA1C28"/>
    <w:rsid w:val="00DA1C7A"/>
    <w:rsid w:val="00DA1C81"/>
    <w:rsid w:val="00DA1D13"/>
    <w:rsid w:val="00DA1D21"/>
    <w:rsid w:val="00DA1D4E"/>
    <w:rsid w:val="00DA1D57"/>
    <w:rsid w:val="00DA1DBB"/>
    <w:rsid w:val="00DA1DDA"/>
    <w:rsid w:val="00DA1F2B"/>
    <w:rsid w:val="00DA2004"/>
    <w:rsid w:val="00DA210E"/>
    <w:rsid w:val="00DA219C"/>
    <w:rsid w:val="00DA2283"/>
    <w:rsid w:val="00DA2285"/>
    <w:rsid w:val="00DA2287"/>
    <w:rsid w:val="00DA2323"/>
    <w:rsid w:val="00DA241C"/>
    <w:rsid w:val="00DA2451"/>
    <w:rsid w:val="00DA24C1"/>
    <w:rsid w:val="00DA24D2"/>
    <w:rsid w:val="00DA24E8"/>
    <w:rsid w:val="00DA2502"/>
    <w:rsid w:val="00DA2521"/>
    <w:rsid w:val="00DA25A5"/>
    <w:rsid w:val="00DA25BB"/>
    <w:rsid w:val="00DA27ED"/>
    <w:rsid w:val="00DA27F7"/>
    <w:rsid w:val="00DA2818"/>
    <w:rsid w:val="00DA283A"/>
    <w:rsid w:val="00DA2861"/>
    <w:rsid w:val="00DA28F4"/>
    <w:rsid w:val="00DA28FE"/>
    <w:rsid w:val="00DA2940"/>
    <w:rsid w:val="00DA294A"/>
    <w:rsid w:val="00DA2966"/>
    <w:rsid w:val="00DA298B"/>
    <w:rsid w:val="00DA29A7"/>
    <w:rsid w:val="00DA2A91"/>
    <w:rsid w:val="00DA2ACC"/>
    <w:rsid w:val="00DA2BDC"/>
    <w:rsid w:val="00DA2D89"/>
    <w:rsid w:val="00DA2DC9"/>
    <w:rsid w:val="00DA2DCA"/>
    <w:rsid w:val="00DA2DCD"/>
    <w:rsid w:val="00DA2DF3"/>
    <w:rsid w:val="00DA2E4F"/>
    <w:rsid w:val="00DA2F70"/>
    <w:rsid w:val="00DA3051"/>
    <w:rsid w:val="00DA3059"/>
    <w:rsid w:val="00DA3077"/>
    <w:rsid w:val="00DA308D"/>
    <w:rsid w:val="00DA3191"/>
    <w:rsid w:val="00DA31B0"/>
    <w:rsid w:val="00DA32BD"/>
    <w:rsid w:val="00DA3324"/>
    <w:rsid w:val="00DA33A2"/>
    <w:rsid w:val="00DA33F9"/>
    <w:rsid w:val="00DA34AB"/>
    <w:rsid w:val="00DA3518"/>
    <w:rsid w:val="00DA351E"/>
    <w:rsid w:val="00DA356E"/>
    <w:rsid w:val="00DA370E"/>
    <w:rsid w:val="00DA371C"/>
    <w:rsid w:val="00DA371D"/>
    <w:rsid w:val="00DA3762"/>
    <w:rsid w:val="00DA3773"/>
    <w:rsid w:val="00DA379E"/>
    <w:rsid w:val="00DA37CF"/>
    <w:rsid w:val="00DA37D8"/>
    <w:rsid w:val="00DA3877"/>
    <w:rsid w:val="00DA3983"/>
    <w:rsid w:val="00DA3AAF"/>
    <w:rsid w:val="00DA3B97"/>
    <w:rsid w:val="00DA3BE4"/>
    <w:rsid w:val="00DA3C81"/>
    <w:rsid w:val="00DA3D05"/>
    <w:rsid w:val="00DA3D91"/>
    <w:rsid w:val="00DA3DF1"/>
    <w:rsid w:val="00DA3EA2"/>
    <w:rsid w:val="00DA3EEA"/>
    <w:rsid w:val="00DA3F72"/>
    <w:rsid w:val="00DA3FBC"/>
    <w:rsid w:val="00DA400B"/>
    <w:rsid w:val="00DA4081"/>
    <w:rsid w:val="00DA409C"/>
    <w:rsid w:val="00DA414B"/>
    <w:rsid w:val="00DA4179"/>
    <w:rsid w:val="00DA421E"/>
    <w:rsid w:val="00DA422E"/>
    <w:rsid w:val="00DA422F"/>
    <w:rsid w:val="00DA4234"/>
    <w:rsid w:val="00DA429F"/>
    <w:rsid w:val="00DA4304"/>
    <w:rsid w:val="00DA4318"/>
    <w:rsid w:val="00DA431D"/>
    <w:rsid w:val="00DA43ED"/>
    <w:rsid w:val="00DA43EF"/>
    <w:rsid w:val="00DA440C"/>
    <w:rsid w:val="00DA4424"/>
    <w:rsid w:val="00DA447E"/>
    <w:rsid w:val="00DA448D"/>
    <w:rsid w:val="00DA44D5"/>
    <w:rsid w:val="00DA457A"/>
    <w:rsid w:val="00DA461D"/>
    <w:rsid w:val="00DA46AC"/>
    <w:rsid w:val="00DA473E"/>
    <w:rsid w:val="00DA479D"/>
    <w:rsid w:val="00DA47C2"/>
    <w:rsid w:val="00DA4854"/>
    <w:rsid w:val="00DA49B0"/>
    <w:rsid w:val="00DA49CE"/>
    <w:rsid w:val="00DA49DD"/>
    <w:rsid w:val="00DA49EB"/>
    <w:rsid w:val="00DA4A36"/>
    <w:rsid w:val="00DA4A3A"/>
    <w:rsid w:val="00DA4A3D"/>
    <w:rsid w:val="00DA4A97"/>
    <w:rsid w:val="00DA4B26"/>
    <w:rsid w:val="00DA4B46"/>
    <w:rsid w:val="00DA4B83"/>
    <w:rsid w:val="00DA4B94"/>
    <w:rsid w:val="00DA4BA1"/>
    <w:rsid w:val="00DA4BEB"/>
    <w:rsid w:val="00DA4BFF"/>
    <w:rsid w:val="00DA4CF9"/>
    <w:rsid w:val="00DA4D19"/>
    <w:rsid w:val="00DA4E26"/>
    <w:rsid w:val="00DA4E27"/>
    <w:rsid w:val="00DA5005"/>
    <w:rsid w:val="00DA502F"/>
    <w:rsid w:val="00DA5097"/>
    <w:rsid w:val="00DA5244"/>
    <w:rsid w:val="00DA5255"/>
    <w:rsid w:val="00DA52FB"/>
    <w:rsid w:val="00DA537B"/>
    <w:rsid w:val="00DA53EF"/>
    <w:rsid w:val="00DA53F7"/>
    <w:rsid w:val="00DA540A"/>
    <w:rsid w:val="00DA5410"/>
    <w:rsid w:val="00DA54B9"/>
    <w:rsid w:val="00DA54FF"/>
    <w:rsid w:val="00DA5522"/>
    <w:rsid w:val="00DA5597"/>
    <w:rsid w:val="00DA55F5"/>
    <w:rsid w:val="00DA560B"/>
    <w:rsid w:val="00DA5649"/>
    <w:rsid w:val="00DA566D"/>
    <w:rsid w:val="00DA5683"/>
    <w:rsid w:val="00DA56C5"/>
    <w:rsid w:val="00DA571B"/>
    <w:rsid w:val="00DA5770"/>
    <w:rsid w:val="00DA577D"/>
    <w:rsid w:val="00DA57A6"/>
    <w:rsid w:val="00DA57D9"/>
    <w:rsid w:val="00DA590C"/>
    <w:rsid w:val="00DA598E"/>
    <w:rsid w:val="00DA5AA6"/>
    <w:rsid w:val="00DA5B92"/>
    <w:rsid w:val="00DA5CB6"/>
    <w:rsid w:val="00DA5DF7"/>
    <w:rsid w:val="00DA5E88"/>
    <w:rsid w:val="00DA5EBD"/>
    <w:rsid w:val="00DA5ED2"/>
    <w:rsid w:val="00DA5EF3"/>
    <w:rsid w:val="00DA5EF6"/>
    <w:rsid w:val="00DA5F63"/>
    <w:rsid w:val="00DA5F88"/>
    <w:rsid w:val="00DA5FBE"/>
    <w:rsid w:val="00DA5FF6"/>
    <w:rsid w:val="00DA6087"/>
    <w:rsid w:val="00DA6090"/>
    <w:rsid w:val="00DA60A7"/>
    <w:rsid w:val="00DA60DE"/>
    <w:rsid w:val="00DA60EB"/>
    <w:rsid w:val="00DA613F"/>
    <w:rsid w:val="00DA61AF"/>
    <w:rsid w:val="00DA6238"/>
    <w:rsid w:val="00DA6248"/>
    <w:rsid w:val="00DA6263"/>
    <w:rsid w:val="00DA62BD"/>
    <w:rsid w:val="00DA6403"/>
    <w:rsid w:val="00DA6447"/>
    <w:rsid w:val="00DA6498"/>
    <w:rsid w:val="00DA64B2"/>
    <w:rsid w:val="00DA6524"/>
    <w:rsid w:val="00DA6540"/>
    <w:rsid w:val="00DA6592"/>
    <w:rsid w:val="00DA6676"/>
    <w:rsid w:val="00DA6698"/>
    <w:rsid w:val="00DA6753"/>
    <w:rsid w:val="00DA6863"/>
    <w:rsid w:val="00DA68FE"/>
    <w:rsid w:val="00DA6944"/>
    <w:rsid w:val="00DA697F"/>
    <w:rsid w:val="00DA69A3"/>
    <w:rsid w:val="00DA69C8"/>
    <w:rsid w:val="00DA6A17"/>
    <w:rsid w:val="00DA6B51"/>
    <w:rsid w:val="00DA6B90"/>
    <w:rsid w:val="00DA6C96"/>
    <w:rsid w:val="00DA6CD8"/>
    <w:rsid w:val="00DA6DB4"/>
    <w:rsid w:val="00DA6E18"/>
    <w:rsid w:val="00DA6E2C"/>
    <w:rsid w:val="00DA6E77"/>
    <w:rsid w:val="00DA6EE5"/>
    <w:rsid w:val="00DA6F0E"/>
    <w:rsid w:val="00DA6FA0"/>
    <w:rsid w:val="00DA6FAB"/>
    <w:rsid w:val="00DA6FCE"/>
    <w:rsid w:val="00DA6FE3"/>
    <w:rsid w:val="00DA7014"/>
    <w:rsid w:val="00DA7070"/>
    <w:rsid w:val="00DA7071"/>
    <w:rsid w:val="00DA7117"/>
    <w:rsid w:val="00DA7118"/>
    <w:rsid w:val="00DA7125"/>
    <w:rsid w:val="00DA71C0"/>
    <w:rsid w:val="00DA720B"/>
    <w:rsid w:val="00DA7289"/>
    <w:rsid w:val="00DA72D2"/>
    <w:rsid w:val="00DA72F2"/>
    <w:rsid w:val="00DA7381"/>
    <w:rsid w:val="00DA73AB"/>
    <w:rsid w:val="00DA749A"/>
    <w:rsid w:val="00DA759B"/>
    <w:rsid w:val="00DA75A0"/>
    <w:rsid w:val="00DA7622"/>
    <w:rsid w:val="00DA763F"/>
    <w:rsid w:val="00DA7649"/>
    <w:rsid w:val="00DA764F"/>
    <w:rsid w:val="00DA7685"/>
    <w:rsid w:val="00DA76CE"/>
    <w:rsid w:val="00DA771D"/>
    <w:rsid w:val="00DA7736"/>
    <w:rsid w:val="00DA7765"/>
    <w:rsid w:val="00DA782D"/>
    <w:rsid w:val="00DA793F"/>
    <w:rsid w:val="00DA79CB"/>
    <w:rsid w:val="00DA7A86"/>
    <w:rsid w:val="00DA7A8B"/>
    <w:rsid w:val="00DA7A93"/>
    <w:rsid w:val="00DA7A95"/>
    <w:rsid w:val="00DA7ACF"/>
    <w:rsid w:val="00DA7B7F"/>
    <w:rsid w:val="00DA7B80"/>
    <w:rsid w:val="00DA7BAB"/>
    <w:rsid w:val="00DA7C1A"/>
    <w:rsid w:val="00DA7CEA"/>
    <w:rsid w:val="00DA7CED"/>
    <w:rsid w:val="00DA7D5F"/>
    <w:rsid w:val="00DA7D7A"/>
    <w:rsid w:val="00DA7DD9"/>
    <w:rsid w:val="00DA7F4F"/>
    <w:rsid w:val="00DA7F83"/>
    <w:rsid w:val="00DA7F9B"/>
    <w:rsid w:val="00DB0032"/>
    <w:rsid w:val="00DB0092"/>
    <w:rsid w:val="00DB00C7"/>
    <w:rsid w:val="00DB00F2"/>
    <w:rsid w:val="00DB013B"/>
    <w:rsid w:val="00DB0152"/>
    <w:rsid w:val="00DB01D0"/>
    <w:rsid w:val="00DB022B"/>
    <w:rsid w:val="00DB0241"/>
    <w:rsid w:val="00DB0265"/>
    <w:rsid w:val="00DB02E6"/>
    <w:rsid w:val="00DB032A"/>
    <w:rsid w:val="00DB034B"/>
    <w:rsid w:val="00DB03CB"/>
    <w:rsid w:val="00DB03DB"/>
    <w:rsid w:val="00DB048A"/>
    <w:rsid w:val="00DB057B"/>
    <w:rsid w:val="00DB059F"/>
    <w:rsid w:val="00DB0612"/>
    <w:rsid w:val="00DB064C"/>
    <w:rsid w:val="00DB069A"/>
    <w:rsid w:val="00DB069B"/>
    <w:rsid w:val="00DB0763"/>
    <w:rsid w:val="00DB07B5"/>
    <w:rsid w:val="00DB0802"/>
    <w:rsid w:val="00DB0962"/>
    <w:rsid w:val="00DB0998"/>
    <w:rsid w:val="00DB0A20"/>
    <w:rsid w:val="00DB0A43"/>
    <w:rsid w:val="00DB0A55"/>
    <w:rsid w:val="00DB0A96"/>
    <w:rsid w:val="00DB0BDC"/>
    <w:rsid w:val="00DB0C03"/>
    <w:rsid w:val="00DB0C38"/>
    <w:rsid w:val="00DB0C57"/>
    <w:rsid w:val="00DB0C75"/>
    <w:rsid w:val="00DB0C99"/>
    <w:rsid w:val="00DB0D14"/>
    <w:rsid w:val="00DB0D3E"/>
    <w:rsid w:val="00DB0DC8"/>
    <w:rsid w:val="00DB1021"/>
    <w:rsid w:val="00DB1035"/>
    <w:rsid w:val="00DB10AB"/>
    <w:rsid w:val="00DB10B8"/>
    <w:rsid w:val="00DB1143"/>
    <w:rsid w:val="00DB1150"/>
    <w:rsid w:val="00DB1192"/>
    <w:rsid w:val="00DB11BC"/>
    <w:rsid w:val="00DB1210"/>
    <w:rsid w:val="00DB1226"/>
    <w:rsid w:val="00DB12B5"/>
    <w:rsid w:val="00DB12FB"/>
    <w:rsid w:val="00DB132A"/>
    <w:rsid w:val="00DB133B"/>
    <w:rsid w:val="00DB135F"/>
    <w:rsid w:val="00DB13C3"/>
    <w:rsid w:val="00DB13E7"/>
    <w:rsid w:val="00DB13F8"/>
    <w:rsid w:val="00DB1431"/>
    <w:rsid w:val="00DB14ED"/>
    <w:rsid w:val="00DB150E"/>
    <w:rsid w:val="00DB151A"/>
    <w:rsid w:val="00DB1555"/>
    <w:rsid w:val="00DB1568"/>
    <w:rsid w:val="00DB1585"/>
    <w:rsid w:val="00DB1592"/>
    <w:rsid w:val="00DB15B0"/>
    <w:rsid w:val="00DB15D5"/>
    <w:rsid w:val="00DB15D8"/>
    <w:rsid w:val="00DB160C"/>
    <w:rsid w:val="00DB1619"/>
    <w:rsid w:val="00DB163E"/>
    <w:rsid w:val="00DB1664"/>
    <w:rsid w:val="00DB1670"/>
    <w:rsid w:val="00DB16AB"/>
    <w:rsid w:val="00DB16DB"/>
    <w:rsid w:val="00DB16F5"/>
    <w:rsid w:val="00DB1834"/>
    <w:rsid w:val="00DB183B"/>
    <w:rsid w:val="00DB18AE"/>
    <w:rsid w:val="00DB1964"/>
    <w:rsid w:val="00DB1A8D"/>
    <w:rsid w:val="00DB1AA6"/>
    <w:rsid w:val="00DB1AA9"/>
    <w:rsid w:val="00DB1AEB"/>
    <w:rsid w:val="00DB1B27"/>
    <w:rsid w:val="00DB1B3F"/>
    <w:rsid w:val="00DB1B6D"/>
    <w:rsid w:val="00DB1BE8"/>
    <w:rsid w:val="00DB1C2A"/>
    <w:rsid w:val="00DB1C4B"/>
    <w:rsid w:val="00DB1CCB"/>
    <w:rsid w:val="00DB1CE0"/>
    <w:rsid w:val="00DB1D3B"/>
    <w:rsid w:val="00DB1D89"/>
    <w:rsid w:val="00DB1ECE"/>
    <w:rsid w:val="00DB1FBF"/>
    <w:rsid w:val="00DB2029"/>
    <w:rsid w:val="00DB218D"/>
    <w:rsid w:val="00DB2282"/>
    <w:rsid w:val="00DB22EC"/>
    <w:rsid w:val="00DB230D"/>
    <w:rsid w:val="00DB240A"/>
    <w:rsid w:val="00DB2452"/>
    <w:rsid w:val="00DB24EE"/>
    <w:rsid w:val="00DB2523"/>
    <w:rsid w:val="00DB2569"/>
    <w:rsid w:val="00DB257D"/>
    <w:rsid w:val="00DB2693"/>
    <w:rsid w:val="00DB2698"/>
    <w:rsid w:val="00DB2753"/>
    <w:rsid w:val="00DB278F"/>
    <w:rsid w:val="00DB27FB"/>
    <w:rsid w:val="00DB283A"/>
    <w:rsid w:val="00DB291A"/>
    <w:rsid w:val="00DB293A"/>
    <w:rsid w:val="00DB294F"/>
    <w:rsid w:val="00DB2985"/>
    <w:rsid w:val="00DB29B4"/>
    <w:rsid w:val="00DB2A0A"/>
    <w:rsid w:val="00DB2A3F"/>
    <w:rsid w:val="00DB2A43"/>
    <w:rsid w:val="00DB2AD4"/>
    <w:rsid w:val="00DB2B8E"/>
    <w:rsid w:val="00DB2BB4"/>
    <w:rsid w:val="00DB2C32"/>
    <w:rsid w:val="00DB2D5B"/>
    <w:rsid w:val="00DB2D81"/>
    <w:rsid w:val="00DB2DDD"/>
    <w:rsid w:val="00DB2DF6"/>
    <w:rsid w:val="00DB2F7D"/>
    <w:rsid w:val="00DB2F93"/>
    <w:rsid w:val="00DB2FC6"/>
    <w:rsid w:val="00DB3005"/>
    <w:rsid w:val="00DB3024"/>
    <w:rsid w:val="00DB30D2"/>
    <w:rsid w:val="00DB30EF"/>
    <w:rsid w:val="00DB31B4"/>
    <w:rsid w:val="00DB3414"/>
    <w:rsid w:val="00DB3441"/>
    <w:rsid w:val="00DB3496"/>
    <w:rsid w:val="00DB34D1"/>
    <w:rsid w:val="00DB3564"/>
    <w:rsid w:val="00DB35D2"/>
    <w:rsid w:val="00DB35F3"/>
    <w:rsid w:val="00DB3656"/>
    <w:rsid w:val="00DB374A"/>
    <w:rsid w:val="00DB37A5"/>
    <w:rsid w:val="00DB37AC"/>
    <w:rsid w:val="00DB37FF"/>
    <w:rsid w:val="00DB3821"/>
    <w:rsid w:val="00DB3836"/>
    <w:rsid w:val="00DB3839"/>
    <w:rsid w:val="00DB3850"/>
    <w:rsid w:val="00DB38E9"/>
    <w:rsid w:val="00DB39F4"/>
    <w:rsid w:val="00DB3AB8"/>
    <w:rsid w:val="00DB3AFD"/>
    <w:rsid w:val="00DB3BC2"/>
    <w:rsid w:val="00DB3CAB"/>
    <w:rsid w:val="00DB3CFD"/>
    <w:rsid w:val="00DB3D22"/>
    <w:rsid w:val="00DB3D5A"/>
    <w:rsid w:val="00DB3D7D"/>
    <w:rsid w:val="00DB3E98"/>
    <w:rsid w:val="00DB3E9A"/>
    <w:rsid w:val="00DB3EB5"/>
    <w:rsid w:val="00DB3F40"/>
    <w:rsid w:val="00DB3F48"/>
    <w:rsid w:val="00DB3F5F"/>
    <w:rsid w:val="00DB3F83"/>
    <w:rsid w:val="00DB3FE5"/>
    <w:rsid w:val="00DB3FEC"/>
    <w:rsid w:val="00DB4079"/>
    <w:rsid w:val="00DB40DC"/>
    <w:rsid w:val="00DB40E7"/>
    <w:rsid w:val="00DB41D7"/>
    <w:rsid w:val="00DB4231"/>
    <w:rsid w:val="00DB4240"/>
    <w:rsid w:val="00DB427F"/>
    <w:rsid w:val="00DB42A5"/>
    <w:rsid w:val="00DB42EF"/>
    <w:rsid w:val="00DB4346"/>
    <w:rsid w:val="00DB4364"/>
    <w:rsid w:val="00DB4392"/>
    <w:rsid w:val="00DB43AF"/>
    <w:rsid w:val="00DB43C8"/>
    <w:rsid w:val="00DB43E0"/>
    <w:rsid w:val="00DB43F8"/>
    <w:rsid w:val="00DB441C"/>
    <w:rsid w:val="00DB460E"/>
    <w:rsid w:val="00DB4687"/>
    <w:rsid w:val="00DB46C0"/>
    <w:rsid w:val="00DB4731"/>
    <w:rsid w:val="00DB47B9"/>
    <w:rsid w:val="00DB48FA"/>
    <w:rsid w:val="00DB49A5"/>
    <w:rsid w:val="00DB49F9"/>
    <w:rsid w:val="00DB4A41"/>
    <w:rsid w:val="00DB4BA9"/>
    <w:rsid w:val="00DB4BB0"/>
    <w:rsid w:val="00DB4BDC"/>
    <w:rsid w:val="00DB4BE4"/>
    <w:rsid w:val="00DB4BE7"/>
    <w:rsid w:val="00DB4BF5"/>
    <w:rsid w:val="00DB4C2A"/>
    <w:rsid w:val="00DB4C8A"/>
    <w:rsid w:val="00DB4D76"/>
    <w:rsid w:val="00DB4DD1"/>
    <w:rsid w:val="00DB4E77"/>
    <w:rsid w:val="00DB4E78"/>
    <w:rsid w:val="00DB4ECC"/>
    <w:rsid w:val="00DB4FAC"/>
    <w:rsid w:val="00DB4FCA"/>
    <w:rsid w:val="00DB4FF5"/>
    <w:rsid w:val="00DB504B"/>
    <w:rsid w:val="00DB5074"/>
    <w:rsid w:val="00DB5173"/>
    <w:rsid w:val="00DB519C"/>
    <w:rsid w:val="00DB520E"/>
    <w:rsid w:val="00DB52E8"/>
    <w:rsid w:val="00DB52FB"/>
    <w:rsid w:val="00DB53C9"/>
    <w:rsid w:val="00DB546D"/>
    <w:rsid w:val="00DB54C8"/>
    <w:rsid w:val="00DB54F8"/>
    <w:rsid w:val="00DB550C"/>
    <w:rsid w:val="00DB5543"/>
    <w:rsid w:val="00DB5594"/>
    <w:rsid w:val="00DB55BB"/>
    <w:rsid w:val="00DB5626"/>
    <w:rsid w:val="00DB5642"/>
    <w:rsid w:val="00DB5646"/>
    <w:rsid w:val="00DB566C"/>
    <w:rsid w:val="00DB5720"/>
    <w:rsid w:val="00DB57CD"/>
    <w:rsid w:val="00DB5825"/>
    <w:rsid w:val="00DB5827"/>
    <w:rsid w:val="00DB583A"/>
    <w:rsid w:val="00DB5841"/>
    <w:rsid w:val="00DB597D"/>
    <w:rsid w:val="00DB599D"/>
    <w:rsid w:val="00DB5A0C"/>
    <w:rsid w:val="00DB5A58"/>
    <w:rsid w:val="00DB5A74"/>
    <w:rsid w:val="00DB5ADD"/>
    <w:rsid w:val="00DB5B0D"/>
    <w:rsid w:val="00DB5B20"/>
    <w:rsid w:val="00DB5B3F"/>
    <w:rsid w:val="00DB5B56"/>
    <w:rsid w:val="00DB5B6D"/>
    <w:rsid w:val="00DB5B7C"/>
    <w:rsid w:val="00DB5BB0"/>
    <w:rsid w:val="00DB5BF5"/>
    <w:rsid w:val="00DB5C4C"/>
    <w:rsid w:val="00DB5C62"/>
    <w:rsid w:val="00DB5ECC"/>
    <w:rsid w:val="00DB5FB1"/>
    <w:rsid w:val="00DB6002"/>
    <w:rsid w:val="00DB60DF"/>
    <w:rsid w:val="00DB6129"/>
    <w:rsid w:val="00DB6175"/>
    <w:rsid w:val="00DB6203"/>
    <w:rsid w:val="00DB62B5"/>
    <w:rsid w:val="00DB6311"/>
    <w:rsid w:val="00DB63D2"/>
    <w:rsid w:val="00DB63EE"/>
    <w:rsid w:val="00DB6478"/>
    <w:rsid w:val="00DB64FD"/>
    <w:rsid w:val="00DB65BA"/>
    <w:rsid w:val="00DB65E8"/>
    <w:rsid w:val="00DB6621"/>
    <w:rsid w:val="00DB66E8"/>
    <w:rsid w:val="00DB673C"/>
    <w:rsid w:val="00DB675E"/>
    <w:rsid w:val="00DB676A"/>
    <w:rsid w:val="00DB6783"/>
    <w:rsid w:val="00DB6899"/>
    <w:rsid w:val="00DB689D"/>
    <w:rsid w:val="00DB68CB"/>
    <w:rsid w:val="00DB690B"/>
    <w:rsid w:val="00DB690D"/>
    <w:rsid w:val="00DB6A86"/>
    <w:rsid w:val="00DB6B21"/>
    <w:rsid w:val="00DB6B86"/>
    <w:rsid w:val="00DB6C18"/>
    <w:rsid w:val="00DB6C5F"/>
    <w:rsid w:val="00DB6C73"/>
    <w:rsid w:val="00DB6C9C"/>
    <w:rsid w:val="00DB6D35"/>
    <w:rsid w:val="00DB6D7D"/>
    <w:rsid w:val="00DB6EE7"/>
    <w:rsid w:val="00DB6F1E"/>
    <w:rsid w:val="00DB6FDC"/>
    <w:rsid w:val="00DB7044"/>
    <w:rsid w:val="00DB7053"/>
    <w:rsid w:val="00DB70D3"/>
    <w:rsid w:val="00DB7120"/>
    <w:rsid w:val="00DB7154"/>
    <w:rsid w:val="00DB7177"/>
    <w:rsid w:val="00DB71C2"/>
    <w:rsid w:val="00DB71D5"/>
    <w:rsid w:val="00DB71E4"/>
    <w:rsid w:val="00DB7223"/>
    <w:rsid w:val="00DB725B"/>
    <w:rsid w:val="00DB7365"/>
    <w:rsid w:val="00DB739A"/>
    <w:rsid w:val="00DB7415"/>
    <w:rsid w:val="00DB7435"/>
    <w:rsid w:val="00DB7457"/>
    <w:rsid w:val="00DB747F"/>
    <w:rsid w:val="00DB74B0"/>
    <w:rsid w:val="00DB7579"/>
    <w:rsid w:val="00DB7582"/>
    <w:rsid w:val="00DB759D"/>
    <w:rsid w:val="00DB75A5"/>
    <w:rsid w:val="00DB75A6"/>
    <w:rsid w:val="00DB75DE"/>
    <w:rsid w:val="00DB769F"/>
    <w:rsid w:val="00DB76A7"/>
    <w:rsid w:val="00DB76C8"/>
    <w:rsid w:val="00DB76D4"/>
    <w:rsid w:val="00DB781E"/>
    <w:rsid w:val="00DB788D"/>
    <w:rsid w:val="00DB78C1"/>
    <w:rsid w:val="00DB7954"/>
    <w:rsid w:val="00DB79F0"/>
    <w:rsid w:val="00DB7A30"/>
    <w:rsid w:val="00DB7A3B"/>
    <w:rsid w:val="00DB7A9B"/>
    <w:rsid w:val="00DB7AB6"/>
    <w:rsid w:val="00DB7B00"/>
    <w:rsid w:val="00DB7BD5"/>
    <w:rsid w:val="00DB7BF9"/>
    <w:rsid w:val="00DB7C6D"/>
    <w:rsid w:val="00DB7CB8"/>
    <w:rsid w:val="00DB7CBC"/>
    <w:rsid w:val="00DB7CF2"/>
    <w:rsid w:val="00DB7D24"/>
    <w:rsid w:val="00DB7D4C"/>
    <w:rsid w:val="00DB7D65"/>
    <w:rsid w:val="00DB7D84"/>
    <w:rsid w:val="00DB7DE9"/>
    <w:rsid w:val="00DB7E08"/>
    <w:rsid w:val="00DB7E2D"/>
    <w:rsid w:val="00DB7F24"/>
    <w:rsid w:val="00DB7F5D"/>
    <w:rsid w:val="00DB7FBB"/>
    <w:rsid w:val="00DB7FC9"/>
    <w:rsid w:val="00DC0099"/>
    <w:rsid w:val="00DC00E9"/>
    <w:rsid w:val="00DC0242"/>
    <w:rsid w:val="00DC02C7"/>
    <w:rsid w:val="00DC031E"/>
    <w:rsid w:val="00DC03CD"/>
    <w:rsid w:val="00DC041A"/>
    <w:rsid w:val="00DC04D4"/>
    <w:rsid w:val="00DC04E3"/>
    <w:rsid w:val="00DC054D"/>
    <w:rsid w:val="00DC0555"/>
    <w:rsid w:val="00DC05A5"/>
    <w:rsid w:val="00DC05EE"/>
    <w:rsid w:val="00DC061E"/>
    <w:rsid w:val="00DC0627"/>
    <w:rsid w:val="00DC0641"/>
    <w:rsid w:val="00DC0650"/>
    <w:rsid w:val="00DC0654"/>
    <w:rsid w:val="00DC0656"/>
    <w:rsid w:val="00DC067D"/>
    <w:rsid w:val="00DC06A9"/>
    <w:rsid w:val="00DC06B7"/>
    <w:rsid w:val="00DC06C9"/>
    <w:rsid w:val="00DC0701"/>
    <w:rsid w:val="00DC071E"/>
    <w:rsid w:val="00DC0797"/>
    <w:rsid w:val="00DC0826"/>
    <w:rsid w:val="00DC092E"/>
    <w:rsid w:val="00DC0970"/>
    <w:rsid w:val="00DC09CD"/>
    <w:rsid w:val="00DC09F6"/>
    <w:rsid w:val="00DC0A42"/>
    <w:rsid w:val="00DC0B3F"/>
    <w:rsid w:val="00DC0B87"/>
    <w:rsid w:val="00DC0BA2"/>
    <w:rsid w:val="00DC0BBF"/>
    <w:rsid w:val="00DC0C0E"/>
    <w:rsid w:val="00DC0C49"/>
    <w:rsid w:val="00DC0D9A"/>
    <w:rsid w:val="00DC0DA0"/>
    <w:rsid w:val="00DC0E2D"/>
    <w:rsid w:val="00DC0E3A"/>
    <w:rsid w:val="00DC0E5A"/>
    <w:rsid w:val="00DC0ECB"/>
    <w:rsid w:val="00DC0F23"/>
    <w:rsid w:val="00DC0F35"/>
    <w:rsid w:val="00DC0FC4"/>
    <w:rsid w:val="00DC1014"/>
    <w:rsid w:val="00DC102E"/>
    <w:rsid w:val="00DC10D1"/>
    <w:rsid w:val="00DC10FE"/>
    <w:rsid w:val="00DC1238"/>
    <w:rsid w:val="00DC1360"/>
    <w:rsid w:val="00DC13A4"/>
    <w:rsid w:val="00DC1541"/>
    <w:rsid w:val="00DC15ED"/>
    <w:rsid w:val="00DC15F5"/>
    <w:rsid w:val="00DC1627"/>
    <w:rsid w:val="00DC1633"/>
    <w:rsid w:val="00DC165E"/>
    <w:rsid w:val="00DC1673"/>
    <w:rsid w:val="00DC1695"/>
    <w:rsid w:val="00DC17F8"/>
    <w:rsid w:val="00DC1806"/>
    <w:rsid w:val="00DC18E3"/>
    <w:rsid w:val="00DC18F5"/>
    <w:rsid w:val="00DC193F"/>
    <w:rsid w:val="00DC1A0F"/>
    <w:rsid w:val="00DC1A8D"/>
    <w:rsid w:val="00DC1AF6"/>
    <w:rsid w:val="00DC1B5F"/>
    <w:rsid w:val="00DC1B68"/>
    <w:rsid w:val="00DC1B7F"/>
    <w:rsid w:val="00DC1BAA"/>
    <w:rsid w:val="00DC1BE3"/>
    <w:rsid w:val="00DC1C58"/>
    <w:rsid w:val="00DC1C83"/>
    <w:rsid w:val="00DC1CCB"/>
    <w:rsid w:val="00DC1D48"/>
    <w:rsid w:val="00DC1DE7"/>
    <w:rsid w:val="00DC1E19"/>
    <w:rsid w:val="00DC1E21"/>
    <w:rsid w:val="00DC1E2D"/>
    <w:rsid w:val="00DC1EB2"/>
    <w:rsid w:val="00DC1ED8"/>
    <w:rsid w:val="00DC1F40"/>
    <w:rsid w:val="00DC1F42"/>
    <w:rsid w:val="00DC1F8A"/>
    <w:rsid w:val="00DC2054"/>
    <w:rsid w:val="00DC20C0"/>
    <w:rsid w:val="00DC220B"/>
    <w:rsid w:val="00DC22C1"/>
    <w:rsid w:val="00DC22D3"/>
    <w:rsid w:val="00DC2305"/>
    <w:rsid w:val="00DC235C"/>
    <w:rsid w:val="00DC2395"/>
    <w:rsid w:val="00DC23A3"/>
    <w:rsid w:val="00DC23A8"/>
    <w:rsid w:val="00DC23C3"/>
    <w:rsid w:val="00DC2423"/>
    <w:rsid w:val="00DC2429"/>
    <w:rsid w:val="00DC247D"/>
    <w:rsid w:val="00DC25B3"/>
    <w:rsid w:val="00DC26AE"/>
    <w:rsid w:val="00DC2779"/>
    <w:rsid w:val="00DC278F"/>
    <w:rsid w:val="00DC27BA"/>
    <w:rsid w:val="00DC27DC"/>
    <w:rsid w:val="00DC289B"/>
    <w:rsid w:val="00DC28D0"/>
    <w:rsid w:val="00DC2911"/>
    <w:rsid w:val="00DC29EC"/>
    <w:rsid w:val="00DC29FB"/>
    <w:rsid w:val="00DC2A13"/>
    <w:rsid w:val="00DC2A38"/>
    <w:rsid w:val="00DC2A86"/>
    <w:rsid w:val="00DC2B62"/>
    <w:rsid w:val="00DC2B97"/>
    <w:rsid w:val="00DC2BC3"/>
    <w:rsid w:val="00DC2C6E"/>
    <w:rsid w:val="00DC2C87"/>
    <w:rsid w:val="00DC2D20"/>
    <w:rsid w:val="00DC2DE5"/>
    <w:rsid w:val="00DC2DFF"/>
    <w:rsid w:val="00DC2E68"/>
    <w:rsid w:val="00DC2EAB"/>
    <w:rsid w:val="00DC3070"/>
    <w:rsid w:val="00DC310F"/>
    <w:rsid w:val="00DC3116"/>
    <w:rsid w:val="00DC3172"/>
    <w:rsid w:val="00DC3188"/>
    <w:rsid w:val="00DC3256"/>
    <w:rsid w:val="00DC32CF"/>
    <w:rsid w:val="00DC3322"/>
    <w:rsid w:val="00DC3332"/>
    <w:rsid w:val="00DC34A9"/>
    <w:rsid w:val="00DC3560"/>
    <w:rsid w:val="00DC35F4"/>
    <w:rsid w:val="00DC3634"/>
    <w:rsid w:val="00DC371D"/>
    <w:rsid w:val="00DC3814"/>
    <w:rsid w:val="00DC38B3"/>
    <w:rsid w:val="00DC39B9"/>
    <w:rsid w:val="00DC39E7"/>
    <w:rsid w:val="00DC39F7"/>
    <w:rsid w:val="00DC3AAC"/>
    <w:rsid w:val="00DC3B30"/>
    <w:rsid w:val="00DC3B44"/>
    <w:rsid w:val="00DC3B70"/>
    <w:rsid w:val="00DC3BA0"/>
    <w:rsid w:val="00DC3C29"/>
    <w:rsid w:val="00DC3CCC"/>
    <w:rsid w:val="00DC3D0E"/>
    <w:rsid w:val="00DC3D23"/>
    <w:rsid w:val="00DC3D58"/>
    <w:rsid w:val="00DC3E06"/>
    <w:rsid w:val="00DC3FAE"/>
    <w:rsid w:val="00DC3FF2"/>
    <w:rsid w:val="00DC4014"/>
    <w:rsid w:val="00DC413D"/>
    <w:rsid w:val="00DC4146"/>
    <w:rsid w:val="00DC414E"/>
    <w:rsid w:val="00DC41BE"/>
    <w:rsid w:val="00DC423E"/>
    <w:rsid w:val="00DC4259"/>
    <w:rsid w:val="00DC42AF"/>
    <w:rsid w:val="00DC4315"/>
    <w:rsid w:val="00DC4320"/>
    <w:rsid w:val="00DC4358"/>
    <w:rsid w:val="00DC455C"/>
    <w:rsid w:val="00DC4597"/>
    <w:rsid w:val="00DC4636"/>
    <w:rsid w:val="00DC4637"/>
    <w:rsid w:val="00DC4679"/>
    <w:rsid w:val="00DC46FC"/>
    <w:rsid w:val="00DC470B"/>
    <w:rsid w:val="00DC476C"/>
    <w:rsid w:val="00DC47A4"/>
    <w:rsid w:val="00DC47C5"/>
    <w:rsid w:val="00DC47D6"/>
    <w:rsid w:val="00DC4846"/>
    <w:rsid w:val="00DC48B5"/>
    <w:rsid w:val="00DC48B7"/>
    <w:rsid w:val="00DC48F3"/>
    <w:rsid w:val="00DC4979"/>
    <w:rsid w:val="00DC49C9"/>
    <w:rsid w:val="00DC4A04"/>
    <w:rsid w:val="00DC4A62"/>
    <w:rsid w:val="00DC4AC8"/>
    <w:rsid w:val="00DC4B15"/>
    <w:rsid w:val="00DC4B17"/>
    <w:rsid w:val="00DC4B9E"/>
    <w:rsid w:val="00DC4CF0"/>
    <w:rsid w:val="00DC4D2D"/>
    <w:rsid w:val="00DC4D38"/>
    <w:rsid w:val="00DC4D6B"/>
    <w:rsid w:val="00DC4DE9"/>
    <w:rsid w:val="00DC4E38"/>
    <w:rsid w:val="00DC4E69"/>
    <w:rsid w:val="00DC4E9C"/>
    <w:rsid w:val="00DC4F77"/>
    <w:rsid w:val="00DC502B"/>
    <w:rsid w:val="00DC50C0"/>
    <w:rsid w:val="00DC50C5"/>
    <w:rsid w:val="00DC510E"/>
    <w:rsid w:val="00DC5156"/>
    <w:rsid w:val="00DC51F2"/>
    <w:rsid w:val="00DC5248"/>
    <w:rsid w:val="00DC5251"/>
    <w:rsid w:val="00DC5261"/>
    <w:rsid w:val="00DC52D1"/>
    <w:rsid w:val="00DC5374"/>
    <w:rsid w:val="00DC5375"/>
    <w:rsid w:val="00DC54BB"/>
    <w:rsid w:val="00DC552B"/>
    <w:rsid w:val="00DC5548"/>
    <w:rsid w:val="00DC5598"/>
    <w:rsid w:val="00DC55E7"/>
    <w:rsid w:val="00DC55EA"/>
    <w:rsid w:val="00DC5682"/>
    <w:rsid w:val="00DC56D4"/>
    <w:rsid w:val="00DC56F2"/>
    <w:rsid w:val="00DC5713"/>
    <w:rsid w:val="00DC5740"/>
    <w:rsid w:val="00DC57FC"/>
    <w:rsid w:val="00DC5822"/>
    <w:rsid w:val="00DC587B"/>
    <w:rsid w:val="00DC588B"/>
    <w:rsid w:val="00DC58FF"/>
    <w:rsid w:val="00DC597C"/>
    <w:rsid w:val="00DC5A87"/>
    <w:rsid w:val="00DC5B8B"/>
    <w:rsid w:val="00DC5BF6"/>
    <w:rsid w:val="00DC5C2C"/>
    <w:rsid w:val="00DC5D3E"/>
    <w:rsid w:val="00DC5D81"/>
    <w:rsid w:val="00DC5E05"/>
    <w:rsid w:val="00DC5E66"/>
    <w:rsid w:val="00DC5E85"/>
    <w:rsid w:val="00DC5F4E"/>
    <w:rsid w:val="00DC5F86"/>
    <w:rsid w:val="00DC5F8C"/>
    <w:rsid w:val="00DC602A"/>
    <w:rsid w:val="00DC60AE"/>
    <w:rsid w:val="00DC6194"/>
    <w:rsid w:val="00DC62F9"/>
    <w:rsid w:val="00DC63FE"/>
    <w:rsid w:val="00DC6404"/>
    <w:rsid w:val="00DC6598"/>
    <w:rsid w:val="00DC65CE"/>
    <w:rsid w:val="00DC65E2"/>
    <w:rsid w:val="00DC6653"/>
    <w:rsid w:val="00DC66DD"/>
    <w:rsid w:val="00DC66E8"/>
    <w:rsid w:val="00DC6797"/>
    <w:rsid w:val="00DC6849"/>
    <w:rsid w:val="00DC685F"/>
    <w:rsid w:val="00DC687F"/>
    <w:rsid w:val="00DC6886"/>
    <w:rsid w:val="00DC691C"/>
    <w:rsid w:val="00DC6984"/>
    <w:rsid w:val="00DC6998"/>
    <w:rsid w:val="00DC6AB0"/>
    <w:rsid w:val="00DC6AB8"/>
    <w:rsid w:val="00DC6B0B"/>
    <w:rsid w:val="00DC6B43"/>
    <w:rsid w:val="00DC6B81"/>
    <w:rsid w:val="00DC6C48"/>
    <w:rsid w:val="00DC6CE6"/>
    <w:rsid w:val="00DC6CFB"/>
    <w:rsid w:val="00DC6D5B"/>
    <w:rsid w:val="00DC6DA6"/>
    <w:rsid w:val="00DC6DEB"/>
    <w:rsid w:val="00DC6E0F"/>
    <w:rsid w:val="00DC6E1A"/>
    <w:rsid w:val="00DC6E22"/>
    <w:rsid w:val="00DC6E46"/>
    <w:rsid w:val="00DC6E61"/>
    <w:rsid w:val="00DC6E6C"/>
    <w:rsid w:val="00DC6E94"/>
    <w:rsid w:val="00DC6EC2"/>
    <w:rsid w:val="00DC6F56"/>
    <w:rsid w:val="00DC6F90"/>
    <w:rsid w:val="00DC6F91"/>
    <w:rsid w:val="00DC6FD9"/>
    <w:rsid w:val="00DC7057"/>
    <w:rsid w:val="00DC7106"/>
    <w:rsid w:val="00DC710A"/>
    <w:rsid w:val="00DC71C6"/>
    <w:rsid w:val="00DC7243"/>
    <w:rsid w:val="00DC724D"/>
    <w:rsid w:val="00DC7260"/>
    <w:rsid w:val="00DC7280"/>
    <w:rsid w:val="00DC728C"/>
    <w:rsid w:val="00DC7297"/>
    <w:rsid w:val="00DC72D3"/>
    <w:rsid w:val="00DC72F4"/>
    <w:rsid w:val="00DC7369"/>
    <w:rsid w:val="00DC744D"/>
    <w:rsid w:val="00DC74E0"/>
    <w:rsid w:val="00DC7526"/>
    <w:rsid w:val="00DC75A4"/>
    <w:rsid w:val="00DC75E2"/>
    <w:rsid w:val="00DC76D2"/>
    <w:rsid w:val="00DC7705"/>
    <w:rsid w:val="00DC77C2"/>
    <w:rsid w:val="00DC77CD"/>
    <w:rsid w:val="00DC787B"/>
    <w:rsid w:val="00DC7973"/>
    <w:rsid w:val="00DC7A82"/>
    <w:rsid w:val="00DC7ADE"/>
    <w:rsid w:val="00DC7B2F"/>
    <w:rsid w:val="00DC7B31"/>
    <w:rsid w:val="00DC7B8A"/>
    <w:rsid w:val="00DC7BDB"/>
    <w:rsid w:val="00DC7BE2"/>
    <w:rsid w:val="00DC7C01"/>
    <w:rsid w:val="00DC7CDE"/>
    <w:rsid w:val="00DC7CF5"/>
    <w:rsid w:val="00DC7D54"/>
    <w:rsid w:val="00DC7EB4"/>
    <w:rsid w:val="00DC7F05"/>
    <w:rsid w:val="00DC7F7E"/>
    <w:rsid w:val="00DC7FAB"/>
    <w:rsid w:val="00DC7FDC"/>
    <w:rsid w:val="00DD0099"/>
    <w:rsid w:val="00DD00BD"/>
    <w:rsid w:val="00DD0108"/>
    <w:rsid w:val="00DD0168"/>
    <w:rsid w:val="00DD01AB"/>
    <w:rsid w:val="00DD01CD"/>
    <w:rsid w:val="00DD02DC"/>
    <w:rsid w:val="00DD0309"/>
    <w:rsid w:val="00DD031C"/>
    <w:rsid w:val="00DD03C6"/>
    <w:rsid w:val="00DD03F2"/>
    <w:rsid w:val="00DD0425"/>
    <w:rsid w:val="00DD042B"/>
    <w:rsid w:val="00DD0449"/>
    <w:rsid w:val="00DD049D"/>
    <w:rsid w:val="00DD04D7"/>
    <w:rsid w:val="00DD0598"/>
    <w:rsid w:val="00DD05F5"/>
    <w:rsid w:val="00DD0624"/>
    <w:rsid w:val="00DD0655"/>
    <w:rsid w:val="00DD06C4"/>
    <w:rsid w:val="00DD06EC"/>
    <w:rsid w:val="00DD0722"/>
    <w:rsid w:val="00DD0793"/>
    <w:rsid w:val="00DD087F"/>
    <w:rsid w:val="00DD0935"/>
    <w:rsid w:val="00DD0950"/>
    <w:rsid w:val="00DD09F0"/>
    <w:rsid w:val="00DD0A0B"/>
    <w:rsid w:val="00DD0A56"/>
    <w:rsid w:val="00DD0B97"/>
    <w:rsid w:val="00DD0BAE"/>
    <w:rsid w:val="00DD0C41"/>
    <w:rsid w:val="00DD0C99"/>
    <w:rsid w:val="00DD0CCE"/>
    <w:rsid w:val="00DD0CD1"/>
    <w:rsid w:val="00DD0D30"/>
    <w:rsid w:val="00DD0D51"/>
    <w:rsid w:val="00DD0D74"/>
    <w:rsid w:val="00DD0D9E"/>
    <w:rsid w:val="00DD0DCF"/>
    <w:rsid w:val="00DD0E15"/>
    <w:rsid w:val="00DD0E96"/>
    <w:rsid w:val="00DD0EEC"/>
    <w:rsid w:val="00DD0EEF"/>
    <w:rsid w:val="00DD0F6C"/>
    <w:rsid w:val="00DD0F71"/>
    <w:rsid w:val="00DD0F82"/>
    <w:rsid w:val="00DD0FAF"/>
    <w:rsid w:val="00DD1017"/>
    <w:rsid w:val="00DD104F"/>
    <w:rsid w:val="00DD106C"/>
    <w:rsid w:val="00DD1071"/>
    <w:rsid w:val="00DD10A2"/>
    <w:rsid w:val="00DD10AF"/>
    <w:rsid w:val="00DD113E"/>
    <w:rsid w:val="00DD1220"/>
    <w:rsid w:val="00DD12FE"/>
    <w:rsid w:val="00DD130A"/>
    <w:rsid w:val="00DD130B"/>
    <w:rsid w:val="00DD131E"/>
    <w:rsid w:val="00DD141E"/>
    <w:rsid w:val="00DD1438"/>
    <w:rsid w:val="00DD146C"/>
    <w:rsid w:val="00DD1510"/>
    <w:rsid w:val="00DD1551"/>
    <w:rsid w:val="00DD15BF"/>
    <w:rsid w:val="00DD15C7"/>
    <w:rsid w:val="00DD15CF"/>
    <w:rsid w:val="00DD161D"/>
    <w:rsid w:val="00DD163E"/>
    <w:rsid w:val="00DD1769"/>
    <w:rsid w:val="00DD1845"/>
    <w:rsid w:val="00DD1852"/>
    <w:rsid w:val="00DD186A"/>
    <w:rsid w:val="00DD18CE"/>
    <w:rsid w:val="00DD19B3"/>
    <w:rsid w:val="00DD1A1F"/>
    <w:rsid w:val="00DD1A7E"/>
    <w:rsid w:val="00DD1B14"/>
    <w:rsid w:val="00DD1B4E"/>
    <w:rsid w:val="00DD1BE7"/>
    <w:rsid w:val="00DD1C43"/>
    <w:rsid w:val="00DD1C57"/>
    <w:rsid w:val="00DD1E39"/>
    <w:rsid w:val="00DD1F1A"/>
    <w:rsid w:val="00DD1F49"/>
    <w:rsid w:val="00DD1FAC"/>
    <w:rsid w:val="00DD2040"/>
    <w:rsid w:val="00DD207B"/>
    <w:rsid w:val="00DD20C4"/>
    <w:rsid w:val="00DD21D1"/>
    <w:rsid w:val="00DD23F8"/>
    <w:rsid w:val="00DD241B"/>
    <w:rsid w:val="00DD24A3"/>
    <w:rsid w:val="00DD24CC"/>
    <w:rsid w:val="00DD24FD"/>
    <w:rsid w:val="00DD2530"/>
    <w:rsid w:val="00DD2542"/>
    <w:rsid w:val="00DD259D"/>
    <w:rsid w:val="00DD269B"/>
    <w:rsid w:val="00DD271F"/>
    <w:rsid w:val="00DD275B"/>
    <w:rsid w:val="00DD2764"/>
    <w:rsid w:val="00DD27E2"/>
    <w:rsid w:val="00DD27E9"/>
    <w:rsid w:val="00DD27F2"/>
    <w:rsid w:val="00DD28CF"/>
    <w:rsid w:val="00DD2967"/>
    <w:rsid w:val="00DD299B"/>
    <w:rsid w:val="00DD2AE1"/>
    <w:rsid w:val="00DD2B9D"/>
    <w:rsid w:val="00DD2BA4"/>
    <w:rsid w:val="00DD2BC6"/>
    <w:rsid w:val="00DD2BD1"/>
    <w:rsid w:val="00DD2BF3"/>
    <w:rsid w:val="00DD2CBA"/>
    <w:rsid w:val="00DD2D03"/>
    <w:rsid w:val="00DD2D37"/>
    <w:rsid w:val="00DD2D3C"/>
    <w:rsid w:val="00DD2D96"/>
    <w:rsid w:val="00DD2D9F"/>
    <w:rsid w:val="00DD2E3F"/>
    <w:rsid w:val="00DD2EE3"/>
    <w:rsid w:val="00DD2EEF"/>
    <w:rsid w:val="00DD2F56"/>
    <w:rsid w:val="00DD30C8"/>
    <w:rsid w:val="00DD30CA"/>
    <w:rsid w:val="00DD3137"/>
    <w:rsid w:val="00DD314F"/>
    <w:rsid w:val="00DD31FA"/>
    <w:rsid w:val="00DD3225"/>
    <w:rsid w:val="00DD3295"/>
    <w:rsid w:val="00DD32CB"/>
    <w:rsid w:val="00DD3342"/>
    <w:rsid w:val="00DD3396"/>
    <w:rsid w:val="00DD341F"/>
    <w:rsid w:val="00DD345A"/>
    <w:rsid w:val="00DD34F0"/>
    <w:rsid w:val="00DD35D1"/>
    <w:rsid w:val="00DD35E7"/>
    <w:rsid w:val="00DD3606"/>
    <w:rsid w:val="00DD3669"/>
    <w:rsid w:val="00DD3675"/>
    <w:rsid w:val="00DD36EA"/>
    <w:rsid w:val="00DD376F"/>
    <w:rsid w:val="00DD37D7"/>
    <w:rsid w:val="00DD37FD"/>
    <w:rsid w:val="00DD3824"/>
    <w:rsid w:val="00DD3896"/>
    <w:rsid w:val="00DD39CB"/>
    <w:rsid w:val="00DD39DB"/>
    <w:rsid w:val="00DD3A05"/>
    <w:rsid w:val="00DD3A09"/>
    <w:rsid w:val="00DD3A3A"/>
    <w:rsid w:val="00DD3A5F"/>
    <w:rsid w:val="00DD3AFA"/>
    <w:rsid w:val="00DD3B31"/>
    <w:rsid w:val="00DD3B6C"/>
    <w:rsid w:val="00DD3BC4"/>
    <w:rsid w:val="00DD3C71"/>
    <w:rsid w:val="00DD3CE3"/>
    <w:rsid w:val="00DD3D68"/>
    <w:rsid w:val="00DD3E00"/>
    <w:rsid w:val="00DD3EA3"/>
    <w:rsid w:val="00DD3FF1"/>
    <w:rsid w:val="00DD4109"/>
    <w:rsid w:val="00DD4123"/>
    <w:rsid w:val="00DD414E"/>
    <w:rsid w:val="00DD4191"/>
    <w:rsid w:val="00DD422E"/>
    <w:rsid w:val="00DD4336"/>
    <w:rsid w:val="00DD43AC"/>
    <w:rsid w:val="00DD43E0"/>
    <w:rsid w:val="00DD4421"/>
    <w:rsid w:val="00DD4435"/>
    <w:rsid w:val="00DD4498"/>
    <w:rsid w:val="00DD4513"/>
    <w:rsid w:val="00DD45EE"/>
    <w:rsid w:val="00DD4632"/>
    <w:rsid w:val="00DD47BF"/>
    <w:rsid w:val="00DD480C"/>
    <w:rsid w:val="00DD4856"/>
    <w:rsid w:val="00DD48CA"/>
    <w:rsid w:val="00DD4992"/>
    <w:rsid w:val="00DD49AD"/>
    <w:rsid w:val="00DD49BE"/>
    <w:rsid w:val="00DD49C0"/>
    <w:rsid w:val="00DD49DA"/>
    <w:rsid w:val="00DD49EF"/>
    <w:rsid w:val="00DD4AAE"/>
    <w:rsid w:val="00DD4AD3"/>
    <w:rsid w:val="00DD4B2C"/>
    <w:rsid w:val="00DD4C03"/>
    <w:rsid w:val="00DD4C13"/>
    <w:rsid w:val="00DD4C7D"/>
    <w:rsid w:val="00DD4D15"/>
    <w:rsid w:val="00DD4DA7"/>
    <w:rsid w:val="00DD4DC1"/>
    <w:rsid w:val="00DD4E8D"/>
    <w:rsid w:val="00DD4F84"/>
    <w:rsid w:val="00DD4FD5"/>
    <w:rsid w:val="00DD502C"/>
    <w:rsid w:val="00DD50E6"/>
    <w:rsid w:val="00DD5111"/>
    <w:rsid w:val="00DD5160"/>
    <w:rsid w:val="00DD533F"/>
    <w:rsid w:val="00DD535A"/>
    <w:rsid w:val="00DD536E"/>
    <w:rsid w:val="00DD53A1"/>
    <w:rsid w:val="00DD53D5"/>
    <w:rsid w:val="00DD5400"/>
    <w:rsid w:val="00DD544D"/>
    <w:rsid w:val="00DD561A"/>
    <w:rsid w:val="00DD56AA"/>
    <w:rsid w:val="00DD579D"/>
    <w:rsid w:val="00DD57D7"/>
    <w:rsid w:val="00DD5900"/>
    <w:rsid w:val="00DD5984"/>
    <w:rsid w:val="00DD5AC6"/>
    <w:rsid w:val="00DD5B79"/>
    <w:rsid w:val="00DD5BD3"/>
    <w:rsid w:val="00DD5D0B"/>
    <w:rsid w:val="00DD5F3E"/>
    <w:rsid w:val="00DD5F53"/>
    <w:rsid w:val="00DD6063"/>
    <w:rsid w:val="00DD6080"/>
    <w:rsid w:val="00DD6081"/>
    <w:rsid w:val="00DD60A7"/>
    <w:rsid w:val="00DD60D6"/>
    <w:rsid w:val="00DD61E4"/>
    <w:rsid w:val="00DD61E9"/>
    <w:rsid w:val="00DD6211"/>
    <w:rsid w:val="00DD62C7"/>
    <w:rsid w:val="00DD6318"/>
    <w:rsid w:val="00DD632C"/>
    <w:rsid w:val="00DD637F"/>
    <w:rsid w:val="00DD6430"/>
    <w:rsid w:val="00DD643E"/>
    <w:rsid w:val="00DD64F5"/>
    <w:rsid w:val="00DD6525"/>
    <w:rsid w:val="00DD652D"/>
    <w:rsid w:val="00DD6677"/>
    <w:rsid w:val="00DD6682"/>
    <w:rsid w:val="00DD66A3"/>
    <w:rsid w:val="00DD66AA"/>
    <w:rsid w:val="00DD66EB"/>
    <w:rsid w:val="00DD6847"/>
    <w:rsid w:val="00DD6900"/>
    <w:rsid w:val="00DD6960"/>
    <w:rsid w:val="00DD6966"/>
    <w:rsid w:val="00DD6971"/>
    <w:rsid w:val="00DD69A5"/>
    <w:rsid w:val="00DD69AF"/>
    <w:rsid w:val="00DD6A3A"/>
    <w:rsid w:val="00DD6A66"/>
    <w:rsid w:val="00DD6A9C"/>
    <w:rsid w:val="00DD6AEB"/>
    <w:rsid w:val="00DD6BD5"/>
    <w:rsid w:val="00DD6BEC"/>
    <w:rsid w:val="00DD6C1D"/>
    <w:rsid w:val="00DD6CD6"/>
    <w:rsid w:val="00DD6D26"/>
    <w:rsid w:val="00DD6D4F"/>
    <w:rsid w:val="00DD6D6C"/>
    <w:rsid w:val="00DD6DE7"/>
    <w:rsid w:val="00DD6E32"/>
    <w:rsid w:val="00DD6EA9"/>
    <w:rsid w:val="00DD6EDB"/>
    <w:rsid w:val="00DD6F51"/>
    <w:rsid w:val="00DD6FBE"/>
    <w:rsid w:val="00DD7121"/>
    <w:rsid w:val="00DD7283"/>
    <w:rsid w:val="00DD72F2"/>
    <w:rsid w:val="00DD73CF"/>
    <w:rsid w:val="00DD73D4"/>
    <w:rsid w:val="00DD742C"/>
    <w:rsid w:val="00DD7444"/>
    <w:rsid w:val="00DD7445"/>
    <w:rsid w:val="00DD7464"/>
    <w:rsid w:val="00DD74A9"/>
    <w:rsid w:val="00DD74CA"/>
    <w:rsid w:val="00DD75C9"/>
    <w:rsid w:val="00DD760F"/>
    <w:rsid w:val="00DD7650"/>
    <w:rsid w:val="00DD76CF"/>
    <w:rsid w:val="00DD7718"/>
    <w:rsid w:val="00DD771C"/>
    <w:rsid w:val="00DD795A"/>
    <w:rsid w:val="00DD79FC"/>
    <w:rsid w:val="00DD7A75"/>
    <w:rsid w:val="00DD7A8D"/>
    <w:rsid w:val="00DD7A9A"/>
    <w:rsid w:val="00DD7AEC"/>
    <w:rsid w:val="00DD7B9E"/>
    <w:rsid w:val="00DD7BD8"/>
    <w:rsid w:val="00DD7C50"/>
    <w:rsid w:val="00DD7C53"/>
    <w:rsid w:val="00DD7C81"/>
    <w:rsid w:val="00DD7CC3"/>
    <w:rsid w:val="00DD7E48"/>
    <w:rsid w:val="00DD7ED2"/>
    <w:rsid w:val="00DD7EE4"/>
    <w:rsid w:val="00DD7F75"/>
    <w:rsid w:val="00DD7FF0"/>
    <w:rsid w:val="00DE0016"/>
    <w:rsid w:val="00DE003A"/>
    <w:rsid w:val="00DE01C1"/>
    <w:rsid w:val="00DE01D6"/>
    <w:rsid w:val="00DE01E2"/>
    <w:rsid w:val="00DE0278"/>
    <w:rsid w:val="00DE02B0"/>
    <w:rsid w:val="00DE0306"/>
    <w:rsid w:val="00DE034A"/>
    <w:rsid w:val="00DE03BD"/>
    <w:rsid w:val="00DE03E9"/>
    <w:rsid w:val="00DE03FE"/>
    <w:rsid w:val="00DE0423"/>
    <w:rsid w:val="00DE046B"/>
    <w:rsid w:val="00DE0564"/>
    <w:rsid w:val="00DE05AB"/>
    <w:rsid w:val="00DE05D6"/>
    <w:rsid w:val="00DE0632"/>
    <w:rsid w:val="00DE06C6"/>
    <w:rsid w:val="00DE07CA"/>
    <w:rsid w:val="00DE07E4"/>
    <w:rsid w:val="00DE080A"/>
    <w:rsid w:val="00DE0846"/>
    <w:rsid w:val="00DE0855"/>
    <w:rsid w:val="00DE08BC"/>
    <w:rsid w:val="00DE09A3"/>
    <w:rsid w:val="00DE09E7"/>
    <w:rsid w:val="00DE0ABA"/>
    <w:rsid w:val="00DE0AEB"/>
    <w:rsid w:val="00DE0AF9"/>
    <w:rsid w:val="00DE0B5B"/>
    <w:rsid w:val="00DE0B80"/>
    <w:rsid w:val="00DE0BF6"/>
    <w:rsid w:val="00DE0CBB"/>
    <w:rsid w:val="00DE0D1B"/>
    <w:rsid w:val="00DE0D94"/>
    <w:rsid w:val="00DE0DC4"/>
    <w:rsid w:val="00DE0E30"/>
    <w:rsid w:val="00DE0E39"/>
    <w:rsid w:val="00DE0E3E"/>
    <w:rsid w:val="00DE0F4B"/>
    <w:rsid w:val="00DE0F5C"/>
    <w:rsid w:val="00DE0F88"/>
    <w:rsid w:val="00DE0FFE"/>
    <w:rsid w:val="00DE10D5"/>
    <w:rsid w:val="00DE118A"/>
    <w:rsid w:val="00DE1194"/>
    <w:rsid w:val="00DE11A4"/>
    <w:rsid w:val="00DE1267"/>
    <w:rsid w:val="00DE12E5"/>
    <w:rsid w:val="00DE1349"/>
    <w:rsid w:val="00DE1356"/>
    <w:rsid w:val="00DE1375"/>
    <w:rsid w:val="00DE13D6"/>
    <w:rsid w:val="00DE13DC"/>
    <w:rsid w:val="00DE144B"/>
    <w:rsid w:val="00DE145A"/>
    <w:rsid w:val="00DE1477"/>
    <w:rsid w:val="00DE14F4"/>
    <w:rsid w:val="00DE14FA"/>
    <w:rsid w:val="00DE14FF"/>
    <w:rsid w:val="00DE150B"/>
    <w:rsid w:val="00DE1584"/>
    <w:rsid w:val="00DE161D"/>
    <w:rsid w:val="00DE1623"/>
    <w:rsid w:val="00DE1645"/>
    <w:rsid w:val="00DE1670"/>
    <w:rsid w:val="00DE16DC"/>
    <w:rsid w:val="00DE174F"/>
    <w:rsid w:val="00DE17B6"/>
    <w:rsid w:val="00DE1831"/>
    <w:rsid w:val="00DE1842"/>
    <w:rsid w:val="00DE1874"/>
    <w:rsid w:val="00DE18C2"/>
    <w:rsid w:val="00DE1940"/>
    <w:rsid w:val="00DE1941"/>
    <w:rsid w:val="00DE19E1"/>
    <w:rsid w:val="00DE1B0A"/>
    <w:rsid w:val="00DE1B40"/>
    <w:rsid w:val="00DE1B89"/>
    <w:rsid w:val="00DE1B8D"/>
    <w:rsid w:val="00DE1C96"/>
    <w:rsid w:val="00DE1CBE"/>
    <w:rsid w:val="00DE1D0D"/>
    <w:rsid w:val="00DE1D3B"/>
    <w:rsid w:val="00DE1D76"/>
    <w:rsid w:val="00DE1D7E"/>
    <w:rsid w:val="00DE1FB5"/>
    <w:rsid w:val="00DE2001"/>
    <w:rsid w:val="00DE21DF"/>
    <w:rsid w:val="00DE21F0"/>
    <w:rsid w:val="00DE21F4"/>
    <w:rsid w:val="00DE2298"/>
    <w:rsid w:val="00DE22D7"/>
    <w:rsid w:val="00DE236D"/>
    <w:rsid w:val="00DE2455"/>
    <w:rsid w:val="00DE24B8"/>
    <w:rsid w:val="00DE250D"/>
    <w:rsid w:val="00DE259D"/>
    <w:rsid w:val="00DE2717"/>
    <w:rsid w:val="00DE272F"/>
    <w:rsid w:val="00DE27C3"/>
    <w:rsid w:val="00DE27E7"/>
    <w:rsid w:val="00DE2847"/>
    <w:rsid w:val="00DE2936"/>
    <w:rsid w:val="00DE2982"/>
    <w:rsid w:val="00DE2997"/>
    <w:rsid w:val="00DE29DD"/>
    <w:rsid w:val="00DE2AE9"/>
    <w:rsid w:val="00DE2B90"/>
    <w:rsid w:val="00DE2B9E"/>
    <w:rsid w:val="00DE2BCA"/>
    <w:rsid w:val="00DE2C15"/>
    <w:rsid w:val="00DE2C16"/>
    <w:rsid w:val="00DE2C35"/>
    <w:rsid w:val="00DE2C81"/>
    <w:rsid w:val="00DE2CAC"/>
    <w:rsid w:val="00DE2E3D"/>
    <w:rsid w:val="00DE2E7A"/>
    <w:rsid w:val="00DE2EEB"/>
    <w:rsid w:val="00DE3020"/>
    <w:rsid w:val="00DE30C2"/>
    <w:rsid w:val="00DE30C4"/>
    <w:rsid w:val="00DE322D"/>
    <w:rsid w:val="00DE33AB"/>
    <w:rsid w:val="00DE34ED"/>
    <w:rsid w:val="00DE3535"/>
    <w:rsid w:val="00DE3537"/>
    <w:rsid w:val="00DE356C"/>
    <w:rsid w:val="00DE3576"/>
    <w:rsid w:val="00DE3593"/>
    <w:rsid w:val="00DE35B6"/>
    <w:rsid w:val="00DE3622"/>
    <w:rsid w:val="00DE366B"/>
    <w:rsid w:val="00DE36CA"/>
    <w:rsid w:val="00DE36DA"/>
    <w:rsid w:val="00DE36F5"/>
    <w:rsid w:val="00DE377A"/>
    <w:rsid w:val="00DE37FC"/>
    <w:rsid w:val="00DE383F"/>
    <w:rsid w:val="00DE3845"/>
    <w:rsid w:val="00DE38AB"/>
    <w:rsid w:val="00DE38F4"/>
    <w:rsid w:val="00DE3A9F"/>
    <w:rsid w:val="00DE3AA8"/>
    <w:rsid w:val="00DE3AC9"/>
    <w:rsid w:val="00DE3ACE"/>
    <w:rsid w:val="00DE3B26"/>
    <w:rsid w:val="00DE3B94"/>
    <w:rsid w:val="00DE3BE7"/>
    <w:rsid w:val="00DE3C1A"/>
    <w:rsid w:val="00DE3C27"/>
    <w:rsid w:val="00DE3CEB"/>
    <w:rsid w:val="00DE3D0F"/>
    <w:rsid w:val="00DE3DA2"/>
    <w:rsid w:val="00DE3E18"/>
    <w:rsid w:val="00DE3ECF"/>
    <w:rsid w:val="00DE3F46"/>
    <w:rsid w:val="00DE3F59"/>
    <w:rsid w:val="00DE3F82"/>
    <w:rsid w:val="00DE3F83"/>
    <w:rsid w:val="00DE3FA1"/>
    <w:rsid w:val="00DE4087"/>
    <w:rsid w:val="00DE40BB"/>
    <w:rsid w:val="00DE40BE"/>
    <w:rsid w:val="00DE4107"/>
    <w:rsid w:val="00DE41B0"/>
    <w:rsid w:val="00DE41B9"/>
    <w:rsid w:val="00DE4328"/>
    <w:rsid w:val="00DE438B"/>
    <w:rsid w:val="00DE43DE"/>
    <w:rsid w:val="00DE43E2"/>
    <w:rsid w:val="00DE43E5"/>
    <w:rsid w:val="00DE4439"/>
    <w:rsid w:val="00DE443E"/>
    <w:rsid w:val="00DE445D"/>
    <w:rsid w:val="00DE446D"/>
    <w:rsid w:val="00DE448A"/>
    <w:rsid w:val="00DE4544"/>
    <w:rsid w:val="00DE465F"/>
    <w:rsid w:val="00DE46BE"/>
    <w:rsid w:val="00DE46F5"/>
    <w:rsid w:val="00DE481B"/>
    <w:rsid w:val="00DE4845"/>
    <w:rsid w:val="00DE485C"/>
    <w:rsid w:val="00DE485D"/>
    <w:rsid w:val="00DE4897"/>
    <w:rsid w:val="00DE492D"/>
    <w:rsid w:val="00DE4937"/>
    <w:rsid w:val="00DE4992"/>
    <w:rsid w:val="00DE49BB"/>
    <w:rsid w:val="00DE49EF"/>
    <w:rsid w:val="00DE4AF6"/>
    <w:rsid w:val="00DE4B4C"/>
    <w:rsid w:val="00DE4B63"/>
    <w:rsid w:val="00DE4B64"/>
    <w:rsid w:val="00DE4C83"/>
    <w:rsid w:val="00DE4D05"/>
    <w:rsid w:val="00DE4D07"/>
    <w:rsid w:val="00DE4D10"/>
    <w:rsid w:val="00DE4D1B"/>
    <w:rsid w:val="00DE4D56"/>
    <w:rsid w:val="00DE4DAF"/>
    <w:rsid w:val="00DE4E0F"/>
    <w:rsid w:val="00DE4EE8"/>
    <w:rsid w:val="00DE507F"/>
    <w:rsid w:val="00DE50BB"/>
    <w:rsid w:val="00DE50C3"/>
    <w:rsid w:val="00DE5157"/>
    <w:rsid w:val="00DE5183"/>
    <w:rsid w:val="00DE519C"/>
    <w:rsid w:val="00DE51E1"/>
    <w:rsid w:val="00DE5227"/>
    <w:rsid w:val="00DE5274"/>
    <w:rsid w:val="00DE528B"/>
    <w:rsid w:val="00DE52D7"/>
    <w:rsid w:val="00DE53B1"/>
    <w:rsid w:val="00DE53BD"/>
    <w:rsid w:val="00DE5414"/>
    <w:rsid w:val="00DE553D"/>
    <w:rsid w:val="00DE5562"/>
    <w:rsid w:val="00DE5667"/>
    <w:rsid w:val="00DE5775"/>
    <w:rsid w:val="00DE5881"/>
    <w:rsid w:val="00DE5889"/>
    <w:rsid w:val="00DE588F"/>
    <w:rsid w:val="00DE58DC"/>
    <w:rsid w:val="00DE58E2"/>
    <w:rsid w:val="00DE5924"/>
    <w:rsid w:val="00DE5998"/>
    <w:rsid w:val="00DE5A6F"/>
    <w:rsid w:val="00DE5A83"/>
    <w:rsid w:val="00DE5AC6"/>
    <w:rsid w:val="00DE5AF2"/>
    <w:rsid w:val="00DE5B9E"/>
    <w:rsid w:val="00DE5BD0"/>
    <w:rsid w:val="00DE5C13"/>
    <w:rsid w:val="00DE5D41"/>
    <w:rsid w:val="00DE5D79"/>
    <w:rsid w:val="00DE5D9E"/>
    <w:rsid w:val="00DE5DDE"/>
    <w:rsid w:val="00DE5E96"/>
    <w:rsid w:val="00DE5EB0"/>
    <w:rsid w:val="00DE5EB8"/>
    <w:rsid w:val="00DE5ECA"/>
    <w:rsid w:val="00DE5F1C"/>
    <w:rsid w:val="00DE5F2A"/>
    <w:rsid w:val="00DE5F34"/>
    <w:rsid w:val="00DE5F91"/>
    <w:rsid w:val="00DE5FA2"/>
    <w:rsid w:val="00DE6020"/>
    <w:rsid w:val="00DE60A0"/>
    <w:rsid w:val="00DE60D9"/>
    <w:rsid w:val="00DE60FF"/>
    <w:rsid w:val="00DE613B"/>
    <w:rsid w:val="00DE6145"/>
    <w:rsid w:val="00DE615C"/>
    <w:rsid w:val="00DE6174"/>
    <w:rsid w:val="00DE61F6"/>
    <w:rsid w:val="00DE6292"/>
    <w:rsid w:val="00DE635B"/>
    <w:rsid w:val="00DE63A2"/>
    <w:rsid w:val="00DE63D2"/>
    <w:rsid w:val="00DE6453"/>
    <w:rsid w:val="00DE64DB"/>
    <w:rsid w:val="00DE65E0"/>
    <w:rsid w:val="00DE667C"/>
    <w:rsid w:val="00DE670A"/>
    <w:rsid w:val="00DE6786"/>
    <w:rsid w:val="00DE67A4"/>
    <w:rsid w:val="00DE687F"/>
    <w:rsid w:val="00DE68C2"/>
    <w:rsid w:val="00DE68E1"/>
    <w:rsid w:val="00DE691B"/>
    <w:rsid w:val="00DE6963"/>
    <w:rsid w:val="00DE69C7"/>
    <w:rsid w:val="00DE69FE"/>
    <w:rsid w:val="00DE6A29"/>
    <w:rsid w:val="00DE6AB5"/>
    <w:rsid w:val="00DE6BA9"/>
    <w:rsid w:val="00DE6C01"/>
    <w:rsid w:val="00DE6DAD"/>
    <w:rsid w:val="00DE6DEB"/>
    <w:rsid w:val="00DE6EC5"/>
    <w:rsid w:val="00DE6EED"/>
    <w:rsid w:val="00DE6F00"/>
    <w:rsid w:val="00DE6F7A"/>
    <w:rsid w:val="00DE6FD1"/>
    <w:rsid w:val="00DE7013"/>
    <w:rsid w:val="00DE7036"/>
    <w:rsid w:val="00DE7076"/>
    <w:rsid w:val="00DE7079"/>
    <w:rsid w:val="00DE7094"/>
    <w:rsid w:val="00DE70AD"/>
    <w:rsid w:val="00DE7112"/>
    <w:rsid w:val="00DE71E5"/>
    <w:rsid w:val="00DE727C"/>
    <w:rsid w:val="00DE72C5"/>
    <w:rsid w:val="00DE72D8"/>
    <w:rsid w:val="00DE72FC"/>
    <w:rsid w:val="00DE735C"/>
    <w:rsid w:val="00DE73F0"/>
    <w:rsid w:val="00DE74AB"/>
    <w:rsid w:val="00DE754E"/>
    <w:rsid w:val="00DE75C3"/>
    <w:rsid w:val="00DE75DC"/>
    <w:rsid w:val="00DE7694"/>
    <w:rsid w:val="00DE7699"/>
    <w:rsid w:val="00DE7766"/>
    <w:rsid w:val="00DE7771"/>
    <w:rsid w:val="00DE77C2"/>
    <w:rsid w:val="00DE77F0"/>
    <w:rsid w:val="00DE7801"/>
    <w:rsid w:val="00DE78E8"/>
    <w:rsid w:val="00DE7932"/>
    <w:rsid w:val="00DE798B"/>
    <w:rsid w:val="00DE79DE"/>
    <w:rsid w:val="00DE79F5"/>
    <w:rsid w:val="00DE7A72"/>
    <w:rsid w:val="00DE7A77"/>
    <w:rsid w:val="00DE7AAB"/>
    <w:rsid w:val="00DE7AEF"/>
    <w:rsid w:val="00DE7B5B"/>
    <w:rsid w:val="00DE7BDA"/>
    <w:rsid w:val="00DE7CBC"/>
    <w:rsid w:val="00DE7CEA"/>
    <w:rsid w:val="00DE7D2D"/>
    <w:rsid w:val="00DE7D51"/>
    <w:rsid w:val="00DE7DB6"/>
    <w:rsid w:val="00DE7E11"/>
    <w:rsid w:val="00DE7F18"/>
    <w:rsid w:val="00DE7F3A"/>
    <w:rsid w:val="00DE7F3C"/>
    <w:rsid w:val="00DE7F6C"/>
    <w:rsid w:val="00DE7FBA"/>
    <w:rsid w:val="00DF000A"/>
    <w:rsid w:val="00DF0195"/>
    <w:rsid w:val="00DF01A5"/>
    <w:rsid w:val="00DF01F9"/>
    <w:rsid w:val="00DF0242"/>
    <w:rsid w:val="00DF0264"/>
    <w:rsid w:val="00DF0278"/>
    <w:rsid w:val="00DF029F"/>
    <w:rsid w:val="00DF03B0"/>
    <w:rsid w:val="00DF03C3"/>
    <w:rsid w:val="00DF03EE"/>
    <w:rsid w:val="00DF03F4"/>
    <w:rsid w:val="00DF0474"/>
    <w:rsid w:val="00DF04CD"/>
    <w:rsid w:val="00DF0657"/>
    <w:rsid w:val="00DF065B"/>
    <w:rsid w:val="00DF07B4"/>
    <w:rsid w:val="00DF0802"/>
    <w:rsid w:val="00DF081C"/>
    <w:rsid w:val="00DF087F"/>
    <w:rsid w:val="00DF08F8"/>
    <w:rsid w:val="00DF090B"/>
    <w:rsid w:val="00DF0A05"/>
    <w:rsid w:val="00DF0A1A"/>
    <w:rsid w:val="00DF0B73"/>
    <w:rsid w:val="00DF0B90"/>
    <w:rsid w:val="00DF0BDF"/>
    <w:rsid w:val="00DF0C44"/>
    <w:rsid w:val="00DF0C48"/>
    <w:rsid w:val="00DF0CD5"/>
    <w:rsid w:val="00DF0CEA"/>
    <w:rsid w:val="00DF0D13"/>
    <w:rsid w:val="00DF0F37"/>
    <w:rsid w:val="00DF0F68"/>
    <w:rsid w:val="00DF105A"/>
    <w:rsid w:val="00DF10E6"/>
    <w:rsid w:val="00DF1154"/>
    <w:rsid w:val="00DF1213"/>
    <w:rsid w:val="00DF12BC"/>
    <w:rsid w:val="00DF1398"/>
    <w:rsid w:val="00DF1561"/>
    <w:rsid w:val="00DF1670"/>
    <w:rsid w:val="00DF169B"/>
    <w:rsid w:val="00DF16B9"/>
    <w:rsid w:val="00DF16DC"/>
    <w:rsid w:val="00DF170D"/>
    <w:rsid w:val="00DF1751"/>
    <w:rsid w:val="00DF1782"/>
    <w:rsid w:val="00DF17BD"/>
    <w:rsid w:val="00DF17D7"/>
    <w:rsid w:val="00DF17EA"/>
    <w:rsid w:val="00DF1869"/>
    <w:rsid w:val="00DF1938"/>
    <w:rsid w:val="00DF197A"/>
    <w:rsid w:val="00DF1A98"/>
    <w:rsid w:val="00DF1AAE"/>
    <w:rsid w:val="00DF1BE0"/>
    <w:rsid w:val="00DF1C62"/>
    <w:rsid w:val="00DF1C93"/>
    <w:rsid w:val="00DF1D55"/>
    <w:rsid w:val="00DF1E0B"/>
    <w:rsid w:val="00DF1E10"/>
    <w:rsid w:val="00DF1F04"/>
    <w:rsid w:val="00DF1F14"/>
    <w:rsid w:val="00DF1F96"/>
    <w:rsid w:val="00DF2031"/>
    <w:rsid w:val="00DF2037"/>
    <w:rsid w:val="00DF207B"/>
    <w:rsid w:val="00DF208B"/>
    <w:rsid w:val="00DF20F3"/>
    <w:rsid w:val="00DF2102"/>
    <w:rsid w:val="00DF2241"/>
    <w:rsid w:val="00DF2361"/>
    <w:rsid w:val="00DF23EA"/>
    <w:rsid w:val="00DF240B"/>
    <w:rsid w:val="00DF2421"/>
    <w:rsid w:val="00DF243F"/>
    <w:rsid w:val="00DF251F"/>
    <w:rsid w:val="00DF254E"/>
    <w:rsid w:val="00DF2558"/>
    <w:rsid w:val="00DF25B6"/>
    <w:rsid w:val="00DF2632"/>
    <w:rsid w:val="00DF268A"/>
    <w:rsid w:val="00DF26A7"/>
    <w:rsid w:val="00DF2791"/>
    <w:rsid w:val="00DF27BD"/>
    <w:rsid w:val="00DF2806"/>
    <w:rsid w:val="00DF2862"/>
    <w:rsid w:val="00DF2867"/>
    <w:rsid w:val="00DF287C"/>
    <w:rsid w:val="00DF28CD"/>
    <w:rsid w:val="00DF292C"/>
    <w:rsid w:val="00DF29AC"/>
    <w:rsid w:val="00DF2B49"/>
    <w:rsid w:val="00DF2B4C"/>
    <w:rsid w:val="00DF2B84"/>
    <w:rsid w:val="00DF2B8D"/>
    <w:rsid w:val="00DF2BEA"/>
    <w:rsid w:val="00DF2BFF"/>
    <w:rsid w:val="00DF2CE0"/>
    <w:rsid w:val="00DF2E3F"/>
    <w:rsid w:val="00DF2E78"/>
    <w:rsid w:val="00DF2E8E"/>
    <w:rsid w:val="00DF2F24"/>
    <w:rsid w:val="00DF2FB4"/>
    <w:rsid w:val="00DF3026"/>
    <w:rsid w:val="00DF30AB"/>
    <w:rsid w:val="00DF3148"/>
    <w:rsid w:val="00DF3201"/>
    <w:rsid w:val="00DF32A6"/>
    <w:rsid w:val="00DF32C9"/>
    <w:rsid w:val="00DF32F2"/>
    <w:rsid w:val="00DF3315"/>
    <w:rsid w:val="00DF33CC"/>
    <w:rsid w:val="00DF33E5"/>
    <w:rsid w:val="00DF340D"/>
    <w:rsid w:val="00DF3440"/>
    <w:rsid w:val="00DF3482"/>
    <w:rsid w:val="00DF3497"/>
    <w:rsid w:val="00DF34E8"/>
    <w:rsid w:val="00DF34EB"/>
    <w:rsid w:val="00DF3511"/>
    <w:rsid w:val="00DF35B9"/>
    <w:rsid w:val="00DF35BF"/>
    <w:rsid w:val="00DF3646"/>
    <w:rsid w:val="00DF3687"/>
    <w:rsid w:val="00DF36A5"/>
    <w:rsid w:val="00DF3710"/>
    <w:rsid w:val="00DF3741"/>
    <w:rsid w:val="00DF37D0"/>
    <w:rsid w:val="00DF384C"/>
    <w:rsid w:val="00DF38BE"/>
    <w:rsid w:val="00DF38F3"/>
    <w:rsid w:val="00DF3905"/>
    <w:rsid w:val="00DF3A39"/>
    <w:rsid w:val="00DF3A85"/>
    <w:rsid w:val="00DF3B87"/>
    <w:rsid w:val="00DF3C4B"/>
    <w:rsid w:val="00DF3C58"/>
    <w:rsid w:val="00DF3DD3"/>
    <w:rsid w:val="00DF3E0F"/>
    <w:rsid w:val="00DF3E56"/>
    <w:rsid w:val="00DF3EEA"/>
    <w:rsid w:val="00DF3F23"/>
    <w:rsid w:val="00DF3F52"/>
    <w:rsid w:val="00DF4108"/>
    <w:rsid w:val="00DF4139"/>
    <w:rsid w:val="00DF4153"/>
    <w:rsid w:val="00DF4163"/>
    <w:rsid w:val="00DF4218"/>
    <w:rsid w:val="00DF4324"/>
    <w:rsid w:val="00DF4364"/>
    <w:rsid w:val="00DF43F0"/>
    <w:rsid w:val="00DF4518"/>
    <w:rsid w:val="00DF457A"/>
    <w:rsid w:val="00DF45D2"/>
    <w:rsid w:val="00DF45DA"/>
    <w:rsid w:val="00DF45F7"/>
    <w:rsid w:val="00DF465D"/>
    <w:rsid w:val="00DF4665"/>
    <w:rsid w:val="00DF467F"/>
    <w:rsid w:val="00DF469E"/>
    <w:rsid w:val="00DF46C1"/>
    <w:rsid w:val="00DF46C9"/>
    <w:rsid w:val="00DF46E6"/>
    <w:rsid w:val="00DF47CD"/>
    <w:rsid w:val="00DF47D0"/>
    <w:rsid w:val="00DF4897"/>
    <w:rsid w:val="00DF48E3"/>
    <w:rsid w:val="00DF4984"/>
    <w:rsid w:val="00DF49B7"/>
    <w:rsid w:val="00DF4AF1"/>
    <w:rsid w:val="00DF4BB0"/>
    <w:rsid w:val="00DF4BB2"/>
    <w:rsid w:val="00DF4BCE"/>
    <w:rsid w:val="00DF4D23"/>
    <w:rsid w:val="00DF4D80"/>
    <w:rsid w:val="00DF4DE0"/>
    <w:rsid w:val="00DF4E17"/>
    <w:rsid w:val="00DF4EB2"/>
    <w:rsid w:val="00DF4EC1"/>
    <w:rsid w:val="00DF4F0B"/>
    <w:rsid w:val="00DF5050"/>
    <w:rsid w:val="00DF50D7"/>
    <w:rsid w:val="00DF5104"/>
    <w:rsid w:val="00DF51EE"/>
    <w:rsid w:val="00DF524C"/>
    <w:rsid w:val="00DF5354"/>
    <w:rsid w:val="00DF53B4"/>
    <w:rsid w:val="00DF53C7"/>
    <w:rsid w:val="00DF5454"/>
    <w:rsid w:val="00DF54C8"/>
    <w:rsid w:val="00DF5543"/>
    <w:rsid w:val="00DF555D"/>
    <w:rsid w:val="00DF55C8"/>
    <w:rsid w:val="00DF55DF"/>
    <w:rsid w:val="00DF5604"/>
    <w:rsid w:val="00DF5649"/>
    <w:rsid w:val="00DF5688"/>
    <w:rsid w:val="00DF56A3"/>
    <w:rsid w:val="00DF56BA"/>
    <w:rsid w:val="00DF56CA"/>
    <w:rsid w:val="00DF56E1"/>
    <w:rsid w:val="00DF5746"/>
    <w:rsid w:val="00DF575B"/>
    <w:rsid w:val="00DF582A"/>
    <w:rsid w:val="00DF58A9"/>
    <w:rsid w:val="00DF58AF"/>
    <w:rsid w:val="00DF58F6"/>
    <w:rsid w:val="00DF58FC"/>
    <w:rsid w:val="00DF5920"/>
    <w:rsid w:val="00DF5977"/>
    <w:rsid w:val="00DF59D2"/>
    <w:rsid w:val="00DF59DB"/>
    <w:rsid w:val="00DF5A0E"/>
    <w:rsid w:val="00DF5A42"/>
    <w:rsid w:val="00DF5A55"/>
    <w:rsid w:val="00DF5A8E"/>
    <w:rsid w:val="00DF5AA5"/>
    <w:rsid w:val="00DF5BA6"/>
    <w:rsid w:val="00DF5BDF"/>
    <w:rsid w:val="00DF5BE2"/>
    <w:rsid w:val="00DF5C01"/>
    <w:rsid w:val="00DF5C60"/>
    <w:rsid w:val="00DF5CDB"/>
    <w:rsid w:val="00DF5DEC"/>
    <w:rsid w:val="00DF5E1D"/>
    <w:rsid w:val="00DF5E21"/>
    <w:rsid w:val="00DF5E26"/>
    <w:rsid w:val="00DF5E38"/>
    <w:rsid w:val="00DF5E8F"/>
    <w:rsid w:val="00DF5E93"/>
    <w:rsid w:val="00DF5E96"/>
    <w:rsid w:val="00DF5E97"/>
    <w:rsid w:val="00DF5EA1"/>
    <w:rsid w:val="00DF5EFB"/>
    <w:rsid w:val="00DF5F57"/>
    <w:rsid w:val="00DF5F64"/>
    <w:rsid w:val="00DF5F91"/>
    <w:rsid w:val="00DF5F93"/>
    <w:rsid w:val="00DF5FAA"/>
    <w:rsid w:val="00DF605B"/>
    <w:rsid w:val="00DF607B"/>
    <w:rsid w:val="00DF607F"/>
    <w:rsid w:val="00DF6091"/>
    <w:rsid w:val="00DF6205"/>
    <w:rsid w:val="00DF62EA"/>
    <w:rsid w:val="00DF62FA"/>
    <w:rsid w:val="00DF6361"/>
    <w:rsid w:val="00DF6371"/>
    <w:rsid w:val="00DF6391"/>
    <w:rsid w:val="00DF6430"/>
    <w:rsid w:val="00DF64AF"/>
    <w:rsid w:val="00DF64F4"/>
    <w:rsid w:val="00DF6660"/>
    <w:rsid w:val="00DF6662"/>
    <w:rsid w:val="00DF66CF"/>
    <w:rsid w:val="00DF66DF"/>
    <w:rsid w:val="00DF66E7"/>
    <w:rsid w:val="00DF676D"/>
    <w:rsid w:val="00DF687F"/>
    <w:rsid w:val="00DF6910"/>
    <w:rsid w:val="00DF6927"/>
    <w:rsid w:val="00DF6962"/>
    <w:rsid w:val="00DF698E"/>
    <w:rsid w:val="00DF699D"/>
    <w:rsid w:val="00DF6A59"/>
    <w:rsid w:val="00DF6B3C"/>
    <w:rsid w:val="00DF6C1B"/>
    <w:rsid w:val="00DF6CBE"/>
    <w:rsid w:val="00DF6D0F"/>
    <w:rsid w:val="00DF6DE0"/>
    <w:rsid w:val="00DF6E12"/>
    <w:rsid w:val="00DF6E3D"/>
    <w:rsid w:val="00DF6E72"/>
    <w:rsid w:val="00DF6E7B"/>
    <w:rsid w:val="00DF6E9B"/>
    <w:rsid w:val="00DF6F8A"/>
    <w:rsid w:val="00DF7000"/>
    <w:rsid w:val="00DF710F"/>
    <w:rsid w:val="00DF7112"/>
    <w:rsid w:val="00DF712C"/>
    <w:rsid w:val="00DF712E"/>
    <w:rsid w:val="00DF714B"/>
    <w:rsid w:val="00DF720D"/>
    <w:rsid w:val="00DF7287"/>
    <w:rsid w:val="00DF72CA"/>
    <w:rsid w:val="00DF731C"/>
    <w:rsid w:val="00DF7421"/>
    <w:rsid w:val="00DF74C7"/>
    <w:rsid w:val="00DF74F2"/>
    <w:rsid w:val="00DF7611"/>
    <w:rsid w:val="00DF76AE"/>
    <w:rsid w:val="00DF7782"/>
    <w:rsid w:val="00DF77E3"/>
    <w:rsid w:val="00DF7847"/>
    <w:rsid w:val="00DF78BD"/>
    <w:rsid w:val="00DF78C1"/>
    <w:rsid w:val="00DF7962"/>
    <w:rsid w:val="00DF79D4"/>
    <w:rsid w:val="00DF79FF"/>
    <w:rsid w:val="00DF7A5F"/>
    <w:rsid w:val="00DF7A71"/>
    <w:rsid w:val="00DF7ABC"/>
    <w:rsid w:val="00DF7AF8"/>
    <w:rsid w:val="00DF7BC9"/>
    <w:rsid w:val="00DF7C45"/>
    <w:rsid w:val="00DF7CF1"/>
    <w:rsid w:val="00DF7DC9"/>
    <w:rsid w:val="00DF7DE9"/>
    <w:rsid w:val="00DF7E88"/>
    <w:rsid w:val="00DF7F62"/>
    <w:rsid w:val="00DF7FA5"/>
    <w:rsid w:val="00E00020"/>
    <w:rsid w:val="00E00029"/>
    <w:rsid w:val="00E00038"/>
    <w:rsid w:val="00E0005E"/>
    <w:rsid w:val="00E000B6"/>
    <w:rsid w:val="00E000FC"/>
    <w:rsid w:val="00E00181"/>
    <w:rsid w:val="00E0032D"/>
    <w:rsid w:val="00E0034C"/>
    <w:rsid w:val="00E00449"/>
    <w:rsid w:val="00E004B8"/>
    <w:rsid w:val="00E004BA"/>
    <w:rsid w:val="00E00504"/>
    <w:rsid w:val="00E005F4"/>
    <w:rsid w:val="00E005FD"/>
    <w:rsid w:val="00E00727"/>
    <w:rsid w:val="00E00768"/>
    <w:rsid w:val="00E00790"/>
    <w:rsid w:val="00E007D7"/>
    <w:rsid w:val="00E00824"/>
    <w:rsid w:val="00E008B6"/>
    <w:rsid w:val="00E008C0"/>
    <w:rsid w:val="00E008DB"/>
    <w:rsid w:val="00E00901"/>
    <w:rsid w:val="00E00970"/>
    <w:rsid w:val="00E009B0"/>
    <w:rsid w:val="00E009B5"/>
    <w:rsid w:val="00E00A84"/>
    <w:rsid w:val="00E00A96"/>
    <w:rsid w:val="00E00AFD"/>
    <w:rsid w:val="00E00C22"/>
    <w:rsid w:val="00E00C30"/>
    <w:rsid w:val="00E00CD4"/>
    <w:rsid w:val="00E00D11"/>
    <w:rsid w:val="00E00D2B"/>
    <w:rsid w:val="00E00DE9"/>
    <w:rsid w:val="00E00DFC"/>
    <w:rsid w:val="00E00E47"/>
    <w:rsid w:val="00E00EF0"/>
    <w:rsid w:val="00E00F41"/>
    <w:rsid w:val="00E00F51"/>
    <w:rsid w:val="00E00F9F"/>
    <w:rsid w:val="00E01018"/>
    <w:rsid w:val="00E010B3"/>
    <w:rsid w:val="00E01123"/>
    <w:rsid w:val="00E0116F"/>
    <w:rsid w:val="00E0127A"/>
    <w:rsid w:val="00E012CE"/>
    <w:rsid w:val="00E012E0"/>
    <w:rsid w:val="00E01516"/>
    <w:rsid w:val="00E015E1"/>
    <w:rsid w:val="00E01652"/>
    <w:rsid w:val="00E01696"/>
    <w:rsid w:val="00E0174C"/>
    <w:rsid w:val="00E01750"/>
    <w:rsid w:val="00E017AA"/>
    <w:rsid w:val="00E017AB"/>
    <w:rsid w:val="00E017F5"/>
    <w:rsid w:val="00E01849"/>
    <w:rsid w:val="00E0184F"/>
    <w:rsid w:val="00E01859"/>
    <w:rsid w:val="00E0185E"/>
    <w:rsid w:val="00E01881"/>
    <w:rsid w:val="00E018BE"/>
    <w:rsid w:val="00E01945"/>
    <w:rsid w:val="00E019AB"/>
    <w:rsid w:val="00E019C0"/>
    <w:rsid w:val="00E019C4"/>
    <w:rsid w:val="00E019D7"/>
    <w:rsid w:val="00E01A32"/>
    <w:rsid w:val="00E01B7D"/>
    <w:rsid w:val="00E01BDB"/>
    <w:rsid w:val="00E01BE9"/>
    <w:rsid w:val="00E01C52"/>
    <w:rsid w:val="00E01C6A"/>
    <w:rsid w:val="00E01D42"/>
    <w:rsid w:val="00E01F89"/>
    <w:rsid w:val="00E01FA3"/>
    <w:rsid w:val="00E02090"/>
    <w:rsid w:val="00E02143"/>
    <w:rsid w:val="00E02186"/>
    <w:rsid w:val="00E021F8"/>
    <w:rsid w:val="00E0222B"/>
    <w:rsid w:val="00E022A5"/>
    <w:rsid w:val="00E022AE"/>
    <w:rsid w:val="00E022C8"/>
    <w:rsid w:val="00E022FC"/>
    <w:rsid w:val="00E02335"/>
    <w:rsid w:val="00E023B1"/>
    <w:rsid w:val="00E023EC"/>
    <w:rsid w:val="00E02446"/>
    <w:rsid w:val="00E0255E"/>
    <w:rsid w:val="00E025ED"/>
    <w:rsid w:val="00E025EE"/>
    <w:rsid w:val="00E025F5"/>
    <w:rsid w:val="00E02654"/>
    <w:rsid w:val="00E0266E"/>
    <w:rsid w:val="00E02696"/>
    <w:rsid w:val="00E026DB"/>
    <w:rsid w:val="00E02723"/>
    <w:rsid w:val="00E027C3"/>
    <w:rsid w:val="00E028AA"/>
    <w:rsid w:val="00E028D4"/>
    <w:rsid w:val="00E02928"/>
    <w:rsid w:val="00E02931"/>
    <w:rsid w:val="00E0294D"/>
    <w:rsid w:val="00E02985"/>
    <w:rsid w:val="00E02A8A"/>
    <w:rsid w:val="00E02AC9"/>
    <w:rsid w:val="00E02B7A"/>
    <w:rsid w:val="00E02B7E"/>
    <w:rsid w:val="00E02BCF"/>
    <w:rsid w:val="00E02C0A"/>
    <w:rsid w:val="00E02C7A"/>
    <w:rsid w:val="00E02D0E"/>
    <w:rsid w:val="00E02DAA"/>
    <w:rsid w:val="00E02E1E"/>
    <w:rsid w:val="00E02E7B"/>
    <w:rsid w:val="00E02EA5"/>
    <w:rsid w:val="00E02EAD"/>
    <w:rsid w:val="00E02F92"/>
    <w:rsid w:val="00E03034"/>
    <w:rsid w:val="00E030E9"/>
    <w:rsid w:val="00E03114"/>
    <w:rsid w:val="00E03130"/>
    <w:rsid w:val="00E0329C"/>
    <w:rsid w:val="00E03330"/>
    <w:rsid w:val="00E0335F"/>
    <w:rsid w:val="00E033A8"/>
    <w:rsid w:val="00E0345D"/>
    <w:rsid w:val="00E0348D"/>
    <w:rsid w:val="00E034B1"/>
    <w:rsid w:val="00E03507"/>
    <w:rsid w:val="00E0357F"/>
    <w:rsid w:val="00E035AE"/>
    <w:rsid w:val="00E035C1"/>
    <w:rsid w:val="00E03625"/>
    <w:rsid w:val="00E03633"/>
    <w:rsid w:val="00E0370D"/>
    <w:rsid w:val="00E0375E"/>
    <w:rsid w:val="00E03857"/>
    <w:rsid w:val="00E03878"/>
    <w:rsid w:val="00E03948"/>
    <w:rsid w:val="00E0395C"/>
    <w:rsid w:val="00E039A0"/>
    <w:rsid w:val="00E039F3"/>
    <w:rsid w:val="00E03A8A"/>
    <w:rsid w:val="00E03AE9"/>
    <w:rsid w:val="00E03B50"/>
    <w:rsid w:val="00E03B56"/>
    <w:rsid w:val="00E03B73"/>
    <w:rsid w:val="00E03C3A"/>
    <w:rsid w:val="00E03CED"/>
    <w:rsid w:val="00E03D0A"/>
    <w:rsid w:val="00E03D94"/>
    <w:rsid w:val="00E03D9C"/>
    <w:rsid w:val="00E03DA3"/>
    <w:rsid w:val="00E03DAB"/>
    <w:rsid w:val="00E03DBB"/>
    <w:rsid w:val="00E03DE1"/>
    <w:rsid w:val="00E03E6D"/>
    <w:rsid w:val="00E03EA8"/>
    <w:rsid w:val="00E03F6B"/>
    <w:rsid w:val="00E03F77"/>
    <w:rsid w:val="00E04085"/>
    <w:rsid w:val="00E040AA"/>
    <w:rsid w:val="00E04130"/>
    <w:rsid w:val="00E041CB"/>
    <w:rsid w:val="00E04408"/>
    <w:rsid w:val="00E0445F"/>
    <w:rsid w:val="00E044AF"/>
    <w:rsid w:val="00E045AB"/>
    <w:rsid w:val="00E046C1"/>
    <w:rsid w:val="00E04786"/>
    <w:rsid w:val="00E047A7"/>
    <w:rsid w:val="00E047B2"/>
    <w:rsid w:val="00E047E9"/>
    <w:rsid w:val="00E0484D"/>
    <w:rsid w:val="00E0486C"/>
    <w:rsid w:val="00E0499E"/>
    <w:rsid w:val="00E04A3F"/>
    <w:rsid w:val="00E04AB9"/>
    <w:rsid w:val="00E04B15"/>
    <w:rsid w:val="00E04B59"/>
    <w:rsid w:val="00E04B8B"/>
    <w:rsid w:val="00E04CC8"/>
    <w:rsid w:val="00E04CCC"/>
    <w:rsid w:val="00E04CD0"/>
    <w:rsid w:val="00E04CF6"/>
    <w:rsid w:val="00E04D49"/>
    <w:rsid w:val="00E04D6A"/>
    <w:rsid w:val="00E04D78"/>
    <w:rsid w:val="00E04DAA"/>
    <w:rsid w:val="00E04E4D"/>
    <w:rsid w:val="00E04E72"/>
    <w:rsid w:val="00E04FD9"/>
    <w:rsid w:val="00E05010"/>
    <w:rsid w:val="00E0504B"/>
    <w:rsid w:val="00E0506B"/>
    <w:rsid w:val="00E05136"/>
    <w:rsid w:val="00E052B0"/>
    <w:rsid w:val="00E052CE"/>
    <w:rsid w:val="00E05348"/>
    <w:rsid w:val="00E053AE"/>
    <w:rsid w:val="00E05412"/>
    <w:rsid w:val="00E0546F"/>
    <w:rsid w:val="00E054F3"/>
    <w:rsid w:val="00E05547"/>
    <w:rsid w:val="00E0559C"/>
    <w:rsid w:val="00E05608"/>
    <w:rsid w:val="00E056CB"/>
    <w:rsid w:val="00E0574F"/>
    <w:rsid w:val="00E05758"/>
    <w:rsid w:val="00E0577C"/>
    <w:rsid w:val="00E05889"/>
    <w:rsid w:val="00E05897"/>
    <w:rsid w:val="00E05938"/>
    <w:rsid w:val="00E059AF"/>
    <w:rsid w:val="00E05A8A"/>
    <w:rsid w:val="00E05AF2"/>
    <w:rsid w:val="00E05AF8"/>
    <w:rsid w:val="00E05B41"/>
    <w:rsid w:val="00E05B4B"/>
    <w:rsid w:val="00E05B5E"/>
    <w:rsid w:val="00E05BBE"/>
    <w:rsid w:val="00E05C3A"/>
    <w:rsid w:val="00E05D38"/>
    <w:rsid w:val="00E05E24"/>
    <w:rsid w:val="00E05EF7"/>
    <w:rsid w:val="00E05F0D"/>
    <w:rsid w:val="00E05FA8"/>
    <w:rsid w:val="00E06032"/>
    <w:rsid w:val="00E06041"/>
    <w:rsid w:val="00E0608A"/>
    <w:rsid w:val="00E060C9"/>
    <w:rsid w:val="00E06124"/>
    <w:rsid w:val="00E06266"/>
    <w:rsid w:val="00E062D1"/>
    <w:rsid w:val="00E0631F"/>
    <w:rsid w:val="00E064DC"/>
    <w:rsid w:val="00E06512"/>
    <w:rsid w:val="00E0655F"/>
    <w:rsid w:val="00E065A9"/>
    <w:rsid w:val="00E065AA"/>
    <w:rsid w:val="00E06680"/>
    <w:rsid w:val="00E06722"/>
    <w:rsid w:val="00E0678A"/>
    <w:rsid w:val="00E0682F"/>
    <w:rsid w:val="00E06835"/>
    <w:rsid w:val="00E06894"/>
    <w:rsid w:val="00E068CA"/>
    <w:rsid w:val="00E068E4"/>
    <w:rsid w:val="00E0690E"/>
    <w:rsid w:val="00E0699D"/>
    <w:rsid w:val="00E069BF"/>
    <w:rsid w:val="00E06A23"/>
    <w:rsid w:val="00E06B16"/>
    <w:rsid w:val="00E06B9D"/>
    <w:rsid w:val="00E06DD6"/>
    <w:rsid w:val="00E06E63"/>
    <w:rsid w:val="00E06E76"/>
    <w:rsid w:val="00E06E7A"/>
    <w:rsid w:val="00E06F0D"/>
    <w:rsid w:val="00E06F16"/>
    <w:rsid w:val="00E06FAF"/>
    <w:rsid w:val="00E06FB3"/>
    <w:rsid w:val="00E06FBB"/>
    <w:rsid w:val="00E07011"/>
    <w:rsid w:val="00E07023"/>
    <w:rsid w:val="00E07087"/>
    <w:rsid w:val="00E07095"/>
    <w:rsid w:val="00E0709D"/>
    <w:rsid w:val="00E0709F"/>
    <w:rsid w:val="00E070B2"/>
    <w:rsid w:val="00E070C6"/>
    <w:rsid w:val="00E071A5"/>
    <w:rsid w:val="00E071F4"/>
    <w:rsid w:val="00E07206"/>
    <w:rsid w:val="00E073F5"/>
    <w:rsid w:val="00E073F6"/>
    <w:rsid w:val="00E0743B"/>
    <w:rsid w:val="00E074F8"/>
    <w:rsid w:val="00E0752E"/>
    <w:rsid w:val="00E075B4"/>
    <w:rsid w:val="00E07632"/>
    <w:rsid w:val="00E07692"/>
    <w:rsid w:val="00E07742"/>
    <w:rsid w:val="00E077CC"/>
    <w:rsid w:val="00E078EB"/>
    <w:rsid w:val="00E0796F"/>
    <w:rsid w:val="00E079A1"/>
    <w:rsid w:val="00E079C4"/>
    <w:rsid w:val="00E07A2E"/>
    <w:rsid w:val="00E07A7D"/>
    <w:rsid w:val="00E07A80"/>
    <w:rsid w:val="00E07ADE"/>
    <w:rsid w:val="00E07AF9"/>
    <w:rsid w:val="00E07AFE"/>
    <w:rsid w:val="00E07BEF"/>
    <w:rsid w:val="00E07C02"/>
    <w:rsid w:val="00E07CF5"/>
    <w:rsid w:val="00E07DC3"/>
    <w:rsid w:val="00E07DCF"/>
    <w:rsid w:val="00E07E13"/>
    <w:rsid w:val="00E07F4E"/>
    <w:rsid w:val="00E07F61"/>
    <w:rsid w:val="00E07F67"/>
    <w:rsid w:val="00E07F76"/>
    <w:rsid w:val="00E10075"/>
    <w:rsid w:val="00E100BB"/>
    <w:rsid w:val="00E100FD"/>
    <w:rsid w:val="00E10159"/>
    <w:rsid w:val="00E101AA"/>
    <w:rsid w:val="00E101DF"/>
    <w:rsid w:val="00E101E2"/>
    <w:rsid w:val="00E102D8"/>
    <w:rsid w:val="00E1036A"/>
    <w:rsid w:val="00E103A1"/>
    <w:rsid w:val="00E103A6"/>
    <w:rsid w:val="00E103E8"/>
    <w:rsid w:val="00E104D5"/>
    <w:rsid w:val="00E10505"/>
    <w:rsid w:val="00E1054D"/>
    <w:rsid w:val="00E1064B"/>
    <w:rsid w:val="00E106FE"/>
    <w:rsid w:val="00E10715"/>
    <w:rsid w:val="00E107A5"/>
    <w:rsid w:val="00E107B7"/>
    <w:rsid w:val="00E10812"/>
    <w:rsid w:val="00E10850"/>
    <w:rsid w:val="00E10851"/>
    <w:rsid w:val="00E1087C"/>
    <w:rsid w:val="00E108DB"/>
    <w:rsid w:val="00E108F1"/>
    <w:rsid w:val="00E10959"/>
    <w:rsid w:val="00E10A1C"/>
    <w:rsid w:val="00E10A54"/>
    <w:rsid w:val="00E10A69"/>
    <w:rsid w:val="00E10AC7"/>
    <w:rsid w:val="00E10B23"/>
    <w:rsid w:val="00E10BA3"/>
    <w:rsid w:val="00E10C55"/>
    <w:rsid w:val="00E10CDC"/>
    <w:rsid w:val="00E10CE8"/>
    <w:rsid w:val="00E10D3F"/>
    <w:rsid w:val="00E10D43"/>
    <w:rsid w:val="00E10DA3"/>
    <w:rsid w:val="00E10E2F"/>
    <w:rsid w:val="00E10F37"/>
    <w:rsid w:val="00E10F5E"/>
    <w:rsid w:val="00E10F6C"/>
    <w:rsid w:val="00E10FBF"/>
    <w:rsid w:val="00E10FF7"/>
    <w:rsid w:val="00E11035"/>
    <w:rsid w:val="00E110D7"/>
    <w:rsid w:val="00E11101"/>
    <w:rsid w:val="00E11108"/>
    <w:rsid w:val="00E1112F"/>
    <w:rsid w:val="00E1125C"/>
    <w:rsid w:val="00E1126A"/>
    <w:rsid w:val="00E112A4"/>
    <w:rsid w:val="00E11397"/>
    <w:rsid w:val="00E114AE"/>
    <w:rsid w:val="00E11519"/>
    <w:rsid w:val="00E11529"/>
    <w:rsid w:val="00E1154D"/>
    <w:rsid w:val="00E11625"/>
    <w:rsid w:val="00E11633"/>
    <w:rsid w:val="00E1163E"/>
    <w:rsid w:val="00E11864"/>
    <w:rsid w:val="00E1189B"/>
    <w:rsid w:val="00E11912"/>
    <w:rsid w:val="00E119C2"/>
    <w:rsid w:val="00E11B43"/>
    <w:rsid w:val="00E11B61"/>
    <w:rsid w:val="00E11BD9"/>
    <w:rsid w:val="00E11C2A"/>
    <w:rsid w:val="00E11C54"/>
    <w:rsid w:val="00E11CCA"/>
    <w:rsid w:val="00E11CED"/>
    <w:rsid w:val="00E11D2C"/>
    <w:rsid w:val="00E11D4E"/>
    <w:rsid w:val="00E11D5B"/>
    <w:rsid w:val="00E11D6D"/>
    <w:rsid w:val="00E11DA9"/>
    <w:rsid w:val="00E11E9A"/>
    <w:rsid w:val="00E11EC8"/>
    <w:rsid w:val="00E11F57"/>
    <w:rsid w:val="00E11F95"/>
    <w:rsid w:val="00E11FC4"/>
    <w:rsid w:val="00E11FE0"/>
    <w:rsid w:val="00E11FE9"/>
    <w:rsid w:val="00E1206A"/>
    <w:rsid w:val="00E12136"/>
    <w:rsid w:val="00E1215F"/>
    <w:rsid w:val="00E12175"/>
    <w:rsid w:val="00E12186"/>
    <w:rsid w:val="00E121A4"/>
    <w:rsid w:val="00E121BF"/>
    <w:rsid w:val="00E12232"/>
    <w:rsid w:val="00E12265"/>
    <w:rsid w:val="00E122FC"/>
    <w:rsid w:val="00E1244E"/>
    <w:rsid w:val="00E12496"/>
    <w:rsid w:val="00E124DC"/>
    <w:rsid w:val="00E12546"/>
    <w:rsid w:val="00E12776"/>
    <w:rsid w:val="00E127A2"/>
    <w:rsid w:val="00E127D2"/>
    <w:rsid w:val="00E127E9"/>
    <w:rsid w:val="00E1285E"/>
    <w:rsid w:val="00E12864"/>
    <w:rsid w:val="00E128C6"/>
    <w:rsid w:val="00E12907"/>
    <w:rsid w:val="00E12992"/>
    <w:rsid w:val="00E12AA4"/>
    <w:rsid w:val="00E12BBF"/>
    <w:rsid w:val="00E12C1A"/>
    <w:rsid w:val="00E12C4F"/>
    <w:rsid w:val="00E12C7E"/>
    <w:rsid w:val="00E12CA1"/>
    <w:rsid w:val="00E12CAC"/>
    <w:rsid w:val="00E12D7E"/>
    <w:rsid w:val="00E12DBF"/>
    <w:rsid w:val="00E12DCE"/>
    <w:rsid w:val="00E12DE9"/>
    <w:rsid w:val="00E12E57"/>
    <w:rsid w:val="00E12EE7"/>
    <w:rsid w:val="00E12EFB"/>
    <w:rsid w:val="00E12F12"/>
    <w:rsid w:val="00E12F20"/>
    <w:rsid w:val="00E12F39"/>
    <w:rsid w:val="00E130CA"/>
    <w:rsid w:val="00E13126"/>
    <w:rsid w:val="00E1314B"/>
    <w:rsid w:val="00E1315E"/>
    <w:rsid w:val="00E132C8"/>
    <w:rsid w:val="00E132E5"/>
    <w:rsid w:val="00E13396"/>
    <w:rsid w:val="00E133C5"/>
    <w:rsid w:val="00E13443"/>
    <w:rsid w:val="00E13486"/>
    <w:rsid w:val="00E1348C"/>
    <w:rsid w:val="00E1348D"/>
    <w:rsid w:val="00E134B4"/>
    <w:rsid w:val="00E134FE"/>
    <w:rsid w:val="00E135C6"/>
    <w:rsid w:val="00E135D0"/>
    <w:rsid w:val="00E136E1"/>
    <w:rsid w:val="00E1370E"/>
    <w:rsid w:val="00E1374A"/>
    <w:rsid w:val="00E137A6"/>
    <w:rsid w:val="00E137D4"/>
    <w:rsid w:val="00E13935"/>
    <w:rsid w:val="00E1394E"/>
    <w:rsid w:val="00E139A1"/>
    <w:rsid w:val="00E139E6"/>
    <w:rsid w:val="00E13A26"/>
    <w:rsid w:val="00E13B69"/>
    <w:rsid w:val="00E13CBF"/>
    <w:rsid w:val="00E13CFC"/>
    <w:rsid w:val="00E13D27"/>
    <w:rsid w:val="00E13D2F"/>
    <w:rsid w:val="00E13D57"/>
    <w:rsid w:val="00E13D73"/>
    <w:rsid w:val="00E13D89"/>
    <w:rsid w:val="00E13DA0"/>
    <w:rsid w:val="00E13E01"/>
    <w:rsid w:val="00E13E23"/>
    <w:rsid w:val="00E13E9D"/>
    <w:rsid w:val="00E13ECA"/>
    <w:rsid w:val="00E13F74"/>
    <w:rsid w:val="00E14307"/>
    <w:rsid w:val="00E143B7"/>
    <w:rsid w:val="00E14465"/>
    <w:rsid w:val="00E1459B"/>
    <w:rsid w:val="00E14624"/>
    <w:rsid w:val="00E14683"/>
    <w:rsid w:val="00E146B7"/>
    <w:rsid w:val="00E1470A"/>
    <w:rsid w:val="00E147A7"/>
    <w:rsid w:val="00E147D9"/>
    <w:rsid w:val="00E147F0"/>
    <w:rsid w:val="00E14821"/>
    <w:rsid w:val="00E1484A"/>
    <w:rsid w:val="00E14964"/>
    <w:rsid w:val="00E149D6"/>
    <w:rsid w:val="00E149D8"/>
    <w:rsid w:val="00E14A23"/>
    <w:rsid w:val="00E14A33"/>
    <w:rsid w:val="00E14A96"/>
    <w:rsid w:val="00E14AF0"/>
    <w:rsid w:val="00E14AF9"/>
    <w:rsid w:val="00E14B21"/>
    <w:rsid w:val="00E14B2A"/>
    <w:rsid w:val="00E14B59"/>
    <w:rsid w:val="00E14BDD"/>
    <w:rsid w:val="00E14C13"/>
    <w:rsid w:val="00E14C6D"/>
    <w:rsid w:val="00E14CD5"/>
    <w:rsid w:val="00E14DD1"/>
    <w:rsid w:val="00E14E26"/>
    <w:rsid w:val="00E14E35"/>
    <w:rsid w:val="00E14E66"/>
    <w:rsid w:val="00E14E72"/>
    <w:rsid w:val="00E14EC8"/>
    <w:rsid w:val="00E14F0A"/>
    <w:rsid w:val="00E14F9F"/>
    <w:rsid w:val="00E14FBF"/>
    <w:rsid w:val="00E150A1"/>
    <w:rsid w:val="00E150DE"/>
    <w:rsid w:val="00E15102"/>
    <w:rsid w:val="00E15164"/>
    <w:rsid w:val="00E151DE"/>
    <w:rsid w:val="00E15328"/>
    <w:rsid w:val="00E153A7"/>
    <w:rsid w:val="00E153C9"/>
    <w:rsid w:val="00E154FF"/>
    <w:rsid w:val="00E1553E"/>
    <w:rsid w:val="00E15568"/>
    <w:rsid w:val="00E155E9"/>
    <w:rsid w:val="00E1560A"/>
    <w:rsid w:val="00E1567A"/>
    <w:rsid w:val="00E156CA"/>
    <w:rsid w:val="00E156D9"/>
    <w:rsid w:val="00E15730"/>
    <w:rsid w:val="00E157A3"/>
    <w:rsid w:val="00E157C3"/>
    <w:rsid w:val="00E157CB"/>
    <w:rsid w:val="00E157D5"/>
    <w:rsid w:val="00E15894"/>
    <w:rsid w:val="00E158D2"/>
    <w:rsid w:val="00E158D9"/>
    <w:rsid w:val="00E15927"/>
    <w:rsid w:val="00E159D5"/>
    <w:rsid w:val="00E15A1A"/>
    <w:rsid w:val="00E15A45"/>
    <w:rsid w:val="00E15A89"/>
    <w:rsid w:val="00E15AC7"/>
    <w:rsid w:val="00E15B17"/>
    <w:rsid w:val="00E15B65"/>
    <w:rsid w:val="00E15B9C"/>
    <w:rsid w:val="00E15CA6"/>
    <w:rsid w:val="00E15DA1"/>
    <w:rsid w:val="00E15E93"/>
    <w:rsid w:val="00E15EC4"/>
    <w:rsid w:val="00E15F80"/>
    <w:rsid w:val="00E15F82"/>
    <w:rsid w:val="00E16001"/>
    <w:rsid w:val="00E16024"/>
    <w:rsid w:val="00E16126"/>
    <w:rsid w:val="00E16127"/>
    <w:rsid w:val="00E16154"/>
    <w:rsid w:val="00E16183"/>
    <w:rsid w:val="00E16190"/>
    <w:rsid w:val="00E16195"/>
    <w:rsid w:val="00E1619A"/>
    <w:rsid w:val="00E161B6"/>
    <w:rsid w:val="00E161E6"/>
    <w:rsid w:val="00E1622F"/>
    <w:rsid w:val="00E1632A"/>
    <w:rsid w:val="00E16341"/>
    <w:rsid w:val="00E16398"/>
    <w:rsid w:val="00E16417"/>
    <w:rsid w:val="00E16695"/>
    <w:rsid w:val="00E166F2"/>
    <w:rsid w:val="00E166FC"/>
    <w:rsid w:val="00E1672A"/>
    <w:rsid w:val="00E16733"/>
    <w:rsid w:val="00E16778"/>
    <w:rsid w:val="00E16797"/>
    <w:rsid w:val="00E1680E"/>
    <w:rsid w:val="00E1682E"/>
    <w:rsid w:val="00E16887"/>
    <w:rsid w:val="00E169CC"/>
    <w:rsid w:val="00E16A5D"/>
    <w:rsid w:val="00E16A8E"/>
    <w:rsid w:val="00E16B2B"/>
    <w:rsid w:val="00E16B3B"/>
    <w:rsid w:val="00E16C2C"/>
    <w:rsid w:val="00E16C67"/>
    <w:rsid w:val="00E16C79"/>
    <w:rsid w:val="00E16CAA"/>
    <w:rsid w:val="00E16CE9"/>
    <w:rsid w:val="00E16D46"/>
    <w:rsid w:val="00E16D52"/>
    <w:rsid w:val="00E16E22"/>
    <w:rsid w:val="00E16E47"/>
    <w:rsid w:val="00E16E77"/>
    <w:rsid w:val="00E16EBC"/>
    <w:rsid w:val="00E16F53"/>
    <w:rsid w:val="00E16F60"/>
    <w:rsid w:val="00E16F99"/>
    <w:rsid w:val="00E16FA5"/>
    <w:rsid w:val="00E16FE8"/>
    <w:rsid w:val="00E170AC"/>
    <w:rsid w:val="00E1716C"/>
    <w:rsid w:val="00E171BF"/>
    <w:rsid w:val="00E17258"/>
    <w:rsid w:val="00E172F1"/>
    <w:rsid w:val="00E17304"/>
    <w:rsid w:val="00E17351"/>
    <w:rsid w:val="00E173C8"/>
    <w:rsid w:val="00E1752B"/>
    <w:rsid w:val="00E17603"/>
    <w:rsid w:val="00E17669"/>
    <w:rsid w:val="00E176AD"/>
    <w:rsid w:val="00E17720"/>
    <w:rsid w:val="00E1773B"/>
    <w:rsid w:val="00E1774C"/>
    <w:rsid w:val="00E17890"/>
    <w:rsid w:val="00E178EE"/>
    <w:rsid w:val="00E17928"/>
    <w:rsid w:val="00E1792F"/>
    <w:rsid w:val="00E17995"/>
    <w:rsid w:val="00E179AB"/>
    <w:rsid w:val="00E179D8"/>
    <w:rsid w:val="00E17B1C"/>
    <w:rsid w:val="00E17B5C"/>
    <w:rsid w:val="00E17B6B"/>
    <w:rsid w:val="00E17B92"/>
    <w:rsid w:val="00E17B95"/>
    <w:rsid w:val="00E17C47"/>
    <w:rsid w:val="00E17C56"/>
    <w:rsid w:val="00E17C5B"/>
    <w:rsid w:val="00E17CA1"/>
    <w:rsid w:val="00E17CD0"/>
    <w:rsid w:val="00E17CF4"/>
    <w:rsid w:val="00E17D0D"/>
    <w:rsid w:val="00E17D2B"/>
    <w:rsid w:val="00E17E2B"/>
    <w:rsid w:val="00E17EAC"/>
    <w:rsid w:val="00E17EE6"/>
    <w:rsid w:val="00E17F07"/>
    <w:rsid w:val="00E17F0C"/>
    <w:rsid w:val="00E17F3B"/>
    <w:rsid w:val="00E17F76"/>
    <w:rsid w:val="00E17F9F"/>
    <w:rsid w:val="00E2001C"/>
    <w:rsid w:val="00E20058"/>
    <w:rsid w:val="00E20064"/>
    <w:rsid w:val="00E200FE"/>
    <w:rsid w:val="00E20115"/>
    <w:rsid w:val="00E20198"/>
    <w:rsid w:val="00E2029F"/>
    <w:rsid w:val="00E202C4"/>
    <w:rsid w:val="00E202CC"/>
    <w:rsid w:val="00E20312"/>
    <w:rsid w:val="00E203CA"/>
    <w:rsid w:val="00E2046D"/>
    <w:rsid w:val="00E20472"/>
    <w:rsid w:val="00E204D3"/>
    <w:rsid w:val="00E20581"/>
    <w:rsid w:val="00E20584"/>
    <w:rsid w:val="00E206D1"/>
    <w:rsid w:val="00E20725"/>
    <w:rsid w:val="00E2073F"/>
    <w:rsid w:val="00E20783"/>
    <w:rsid w:val="00E207E2"/>
    <w:rsid w:val="00E2080D"/>
    <w:rsid w:val="00E2084F"/>
    <w:rsid w:val="00E20863"/>
    <w:rsid w:val="00E20878"/>
    <w:rsid w:val="00E2088C"/>
    <w:rsid w:val="00E2089B"/>
    <w:rsid w:val="00E209A1"/>
    <w:rsid w:val="00E20A2D"/>
    <w:rsid w:val="00E20B22"/>
    <w:rsid w:val="00E20B2A"/>
    <w:rsid w:val="00E20C93"/>
    <w:rsid w:val="00E20CB2"/>
    <w:rsid w:val="00E20CE3"/>
    <w:rsid w:val="00E20CF3"/>
    <w:rsid w:val="00E20D14"/>
    <w:rsid w:val="00E20DD4"/>
    <w:rsid w:val="00E20EB8"/>
    <w:rsid w:val="00E20EF3"/>
    <w:rsid w:val="00E20FF8"/>
    <w:rsid w:val="00E2103F"/>
    <w:rsid w:val="00E210B5"/>
    <w:rsid w:val="00E210C3"/>
    <w:rsid w:val="00E21139"/>
    <w:rsid w:val="00E211C3"/>
    <w:rsid w:val="00E21221"/>
    <w:rsid w:val="00E2123B"/>
    <w:rsid w:val="00E21247"/>
    <w:rsid w:val="00E212CA"/>
    <w:rsid w:val="00E212E1"/>
    <w:rsid w:val="00E21352"/>
    <w:rsid w:val="00E21367"/>
    <w:rsid w:val="00E2137C"/>
    <w:rsid w:val="00E21416"/>
    <w:rsid w:val="00E21419"/>
    <w:rsid w:val="00E2148B"/>
    <w:rsid w:val="00E214C4"/>
    <w:rsid w:val="00E21572"/>
    <w:rsid w:val="00E216C1"/>
    <w:rsid w:val="00E216FA"/>
    <w:rsid w:val="00E21713"/>
    <w:rsid w:val="00E2172E"/>
    <w:rsid w:val="00E217B2"/>
    <w:rsid w:val="00E21832"/>
    <w:rsid w:val="00E219AA"/>
    <w:rsid w:val="00E219E8"/>
    <w:rsid w:val="00E21A4E"/>
    <w:rsid w:val="00E21ACE"/>
    <w:rsid w:val="00E21B25"/>
    <w:rsid w:val="00E21B3D"/>
    <w:rsid w:val="00E21B9C"/>
    <w:rsid w:val="00E21BC4"/>
    <w:rsid w:val="00E21BDF"/>
    <w:rsid w:val="00E21C28"/>
    <w:rsid w:val="00E21C3F"/>
    <w:rsid w:val="00E21C5F"/>
    <w:rsid w:val="00E21C7E"/>
    <w:rsid w:val="00E21CF7"/>
    <w:rsid w:val="00E21D34"/>
    <w:rsid w:val="00E21DA2"/>
    <w:rsid w:val="00E21DB0"/>
    <w:rsid w:val="00E21EDC"/>
    <w:rsid w:val="00E21F78"/>
    <w:rsid w:val="00E21FC6"/>
    <w:rsid w:val="00E2208A"/>
    <w:rsid w:val="00E222A5"/>
    <w:rsid w:val="00E222F4"/>
    <w:rsid w:val="00E222FA"/>
    <w:rsid w:val="00E2242D"/>
    <w:rsid w:val="00E22469"/>
    <w:rsid w:val="00E22482"/>
    <w:rsid w:val="00E2252F"/>
    <w:rsid w:val="00E22579"/>
    <w:rsid w:val="00E2258A"/>
    <w:rsid w:val="00E225AF"/>
    <w:rsid w:val="00E22691"/>
    <w:rsid w:val="00E226A8"/>
    <w:rsid w:val="00E226C0"/>
    <w:rsid w:val="00E226D8"/>
    <w:rsid w:val="00E22705"/>
    <w:rsid w:val="00E2279C"/>
    <w:rsid w:val="00E22885"/>
    <w:rsid w:val="00E229E0"/>
    <w:rsid w:val="00E22A3A"/>
    <w:rsid w:val="00E22AEE"/>
    <w:rsid w:val="00E22AF6"/>
    <w:rsid w:val="00E22B62"/>
    <w:rsid w:val="00E22B9B"/>
    <w:rsid w:val="00E22C95"/>
    <w:rsid w:val="00E22CBE"/>
    <w:rsid w:val="00E22CED"/>
    <w:rsid w:val="00E22E16"/>
    <w:rsid w:val="00E22F0D"/>
    <w:rsid w:val="00E22F20"/>
    <w:rsid w:val="00E230D6"/>
    <w:rsid w:val="00E230F0"/>
    <w:rsid w:val="00E230F2"/>
    <w:rsid w:val="00E231DE"/>
    <w:rsid w:val="00E23228"/>
    <w:rsid w:val="00E232B4"/>
    <w:rsid w:val="00E232DB"/>
    <w:rsid w:val="00E2337B"/>
    <w:rsid w:val="00E2337C"/>
    <w:rsid w:val="00E2347D"/>
    <w:rsid w:val="00E23492"/>
    <w:rsid w:val="00E2354F"/>
    <w:rsid w:val="00E235A7"/>
    <w:rsid w:val="00E235F6"/>
    <w:rsid w:val="00E23627"/>
    <w:rsid w:val="00E2369A"/>
    <w:rsid w:val="00E2371E"/>
    <w:rsid w:val="00E23734"/>
    <w:rsid w:val="00E23802"/>
    <w:rsid w:val="00E23837"/>
    <w:rsid w:val="00E238A2"/>
    <w:rsid w:val="00E23988"/>
    <w:rsid w:val="00E2398F"/>
    <w:rsid w:val="00E23A07"/>
    <w:rsid w:val="00E23B05"/>
    <w:rsid w:val="00E23B40"/>
    <w:rsid w:val="00E23B58"/>
    <w:rsid w:val="00E23B6C"/>
    <w:rsid w:val="00E23B91"/>
    <w:rsid w:val="00E23BDF"/>
    <w:rsid w:val="00E23BF1"/>
    <w:rsid w:val="00E23C24"/>
    <w:rsid w:val="00E23C5C"/>
    <w:rsid w:val="00E23D04"/>
    <w:rsid w:val="00E23D0E"/>
    <w:rsid w:val="00E23D27"/>
    <w:rsid w:val="00E23DF0"/>
    <w:rsid w:val="00E23E25"/>
    <w:rsid w:val="00E23E27"/>
    <w:rsid w:val="00E23E3E"/>
    <w:rsid w:val="00E23E66"/>
    <w:rsid w:val="00E23E76"/>
    <w:rsid w:val="00E23E9D"/>
    <w:rsid w:val="00E23F3A"/>
    <w:rsid w:val="00E23F4A"/>
    <w:rsid w:val="00E23F8C"/>
    <w:rsid w:val="00E23F93"/>
    <w:rsid w:val="00E23F95"/>
    <w:rsid w:val="00E2402E"/>
    <w:rsid w:val="00E24033"/>
    <w:rsid w:val="00E2408C"/>
    <w:rsid w:val="00E2409D"/>
    <w:rsid w:val="00E240C6"/>
    <w:rsid w:val="00E2411B"/>
    <w:rsid w:val="00E2428E"/>
    <w:rsid w:val="00E242DA"/>
    <w:rsid w:val="00E2433B"/>
    <w:rsid w:val="00E24368"/>
    <w:rsid w:val="00E24393"/>
    <w:rsid w:val="00E243CE"/>
    <w:rsid w:val="00E24527"/>
    <w:rsid w:val="00E2457C"/>
    <w:rsid w:val="00E24587"/>
    <w:rsid w:val="00E245A3"/>
    <w:rsid w:val="00E24614"/>
    <w:rsid w:val="00E24739"/>
    <w:rsid w:val="00E24805"/>
    <w:rsid w:val="00E24833"/>
    <w:rsid w:val="00E24835"/>
    <w:rsid w:val="00E2491C"/>
    <w:rsid w:val="00E249B5"/>
    <w:rsid w:val="00E24A3C"/>
    <w:rsid w:val="00E24A79"/>
    <w:rsid w:val="00E24B57"/>
    <w:rsid w:val="00E24BD6"/>
    <w:rsid w:val="00E24C7F"/>
    <w:rsid w:val="00E24CBF"/>
    <w:rsid w:val="00E24CDE"/>
    <w:rsid w:val="00E24F40"/>
    <w:rsid w:val="00E24FC8"/>
    <w:rsid w:val="00E24FE5"/>
    <w:rsid w:val="00E25049"/>
    <w:rsid w:val="00E25167"/>
    <w:rsid w:val="00E251A7"/>
    <w:rsid w:val="00E251A8"/>
    <w:rsid w:val="00E251C8"/>
    <w:rsid w:val="00E25251"/>
    <w:rsid w:val="00E252A0"/>
    <w:rsid w:val="00E252E2"/>
    <w:rsid w:val="00E252FB"/>
    <w:rsid w:val="00E25310"/>
    <w:rsid w:val="00E253A5"/>
    <w:rsid w:val="00E253B9"/>
    <w:rsid w:val="00E2540F"/>
    <w:rsid w:val="00E2546A"/>
    <w:rsid w:val="00E25473"/>
    <w:rsid w:val="00E25495"/>
    <w:rsid w:val="00E2549F"/>
    <w:rsid w:val="00E254B1"/>
    <w:rsid w:val="00E25558"/>
    <w:rsid w:val="00E25585"/>
    <w:rsid w:val="00E255C0"/>
    <w:rsid w:val="00E2566D"/>
    <w:rsid w:val="00E25744"/>
    <w:rsid w:val="00E25781"/>
    <w:rsid w:val="00E257D8"/>
    <w:rsid w:val="00E2581E"/>
    <w:rsid w:val="00E25837"/>
    <w:rsid w:val="00E2583B"/>
    <w:rsid w:val="00E258D1"/>
    <w:rsid w:val="00E258F7"/>
    <w:rsid w:val="00E25906"/>
    <w:rsid w:val="00E2599E"/>
    <w:rsid w:val="00E259B3"/>
    <w:rsid w:val="00E259FB"/>
    <w:rsid w:val="00E25A7A"/>
    <w:rsid w:val="00E25A96"/>
    <w:rsid w:val="00E25B45"/>
    <w:rsid w:val="00E25B8E"/>
    <w:rsid w:val="00E25B96"/>
    <w:rsid w:val="00E25BD3"/>
    <w:rsid w:val="00E25C4C"/>
    <w:rsid w:val="00E25C75"/>
    <w:rsid w:val="00E25D4E"/>
    <w:rsid w:val="00E25DC8"/>
    <w:rsid w:val="00E25DCF"/>
    <w:rsid w:val="00E25DE8"/>
    <w:rsid w:val="00E25DF8"/>
    <w:rsid w:val="00E25E29"/>
    <w:rsid w:val="00E25E41"/>
    <w:rsid w:val="00E25E4A"/>
    <w:rsid w:val="00E25EBB"/>
    <w:rsid w:val="00E25F88"/>
    <w:rsid w:val="00E26009"/>
    <w:rsid w:val="00E2600D"/>
    <w:rsid w:val="00E26029"/>
    <w:rsid w:val="00E2604C"/>
    <w:rsid w:val="00E26095"/>
    <w:rsid w:val="00E260BE"/>
    <w:rsid w:val="00E260D7"/>
    <w:rsid w:val="00E260F3"/>
    <w:rsid w:val="00E260FE"/>
    <w:rsid w:val="00E261AE"/>
    <w:rsid w:val="00E261FC"/>
    <w:rsid w:val="00E26248"/>
    <w:rsid w:val="00E2635D"/>
    <w:rsid w:val="00E26487"/>
    <w:rsid w:val="00E26492"/>
    <w:rsid w:val="00E26495"/>
    <w:rsid w:val="00E264CB"/>
    <w:rsid w:val="00E265D8"/>
    <w:rsid w:val="00E2667B"/>
    <w:rsid w:val="00E266A9"/>
    <w:rsid w:val="00E266D9"/>
    <w:rsid w:val="00E266E5"/>
    <w:rsid w:val="00E26780"/>
    <w:rsid w:val="00E26787"/>
    <w:rsid w:val="00E2678F"/>
    <w:rsid w:val="00E267B5"/>
    <w:rsid w:val="00E267C5"/>
    <w:rsid w:val="00E267CA"/>
    <w:rsid w:val="00E267DA"/>
    <w:rsid w:val="00E267F6"/>
    <w:rsid w:val="00E2688C"/>
    <w:rsid w:val="00E2688F"/>
    <w:rsid w:val="00E269C8"/>
    <w:rsid w:val="00E26A4A"/>
    <w:rsid w:val="00E26A61"/>
    <w:rsid w:val="00E26ABF"/>
    <w:rsid w:val="00E26BF8"/>
    <w:rsid w:val="00E26CDA"/>
    <w:rsid w:val="00E26D82"/>
    <w:rsid w:val="00E26DC5"/>
    <w:rsid w:val="00E26DD2"/>
    <w:rsid w:val="00E26DED"/>
    <w:rsid w:val="00E26DF5"/>
    <w:rsid w:val="00E26E8A"/>
    <w:rsid w:val="00E26E92"/>
    <w:rsid w:val="00E26F06"/>
    <w:rsid w:val="00E26F19"/>
    <w:rsid w:val="00E26F1C"/>
    <w:rsid w:val="00E26F48"/>
    <w:rsid w:val="00E26F86"/>
    <w:rsid w:val="00E26F8B"/>
    <w:rsid w:val="00E26FA3"/>
    <w:rsid w:val="00E26FB2"/>
    <w:rsid w:val="00E26FCC"/>
    <w:rsid w:val="00E2704C"/>
    <w:rsid w:val="00E27088"/>
    <w:rsid w:val="00E27095"/>
    <w:rsid w:val="00E270CA"/>
    <w:rsid w:val="00E270FB"/>
    <w:rsid w:val="00E2710E"/>
    <w:rsid w:val="00E2722F"/>
    <w:rsid w:val="00E27241"/>
    <w:rsid w:val="00E272EA"/>
    <w:rsid w:val="00E27339"/>
    <w:rsid w:val="00E27342"/>
    <w:rsid w:val="00E2737A"/>
    <w:rsid w:val="00E273F1"/>
    <w:rsid w:val="00E27450"/>
    <w:rsid w:val="00E27479"/>
    <w:rsid w:val="00E27552"/>
    <w:rsid w:val="00E2756F"/>
    <w:rsid w:val="00E27625"/>
    <w:rsid w:val="00E27663"/>
    <w:rsid w:val="00E27676"/>
    <w:rsid w:val="00E276C5"/>
    <w:rsid w:val="00E2773C"/>
    <w:rsid w:val="00E27750"/>
    <w:rsid w:val="00E27760"/>
    <w:rsid w:val="00E27791"/>
    <w:rsid w:val="00E277C0"/>
    <w:rsid w:val="00E2784E"/>
    <w:rsid w:val="00E27887"/>
    <w:rsid w:val="00E27895"/>
    <w:rsid w:val="00E27897"/>
    <w:rsid w:val="00E278CF"/>
    <w:rsid w:val="00E27942"/>
    <w:rsid w:val="00E27967"/>
    <w:rsid w:val="00E279FF"/>
    <w:rsid w:val="00E27A32"/>
    <w:rsid w:val="00E27A4E"/>
    <w:rsid w:val="00E27A52"/>
    <w:rsid w:val="00E27AA2"/>
    <w:rsid w:val="00E27AEE"/>
    <w:rsid w:val="00E27B45"/>
    <w:rsid w:val="00E27B48"/>
    <w:rsid w:val="00E27BF7"/>
    <w:rsid w:val="00E27DBB"/>
    <w:rsid w:val="00E27DC9"/>
    <w:rsid w:val="00E27DEC"/>
    <w:rsid w:val="00E27E3E"/>
    <w:rsid w:val="00E27EDE"/>
    <w:rsid w:val="00E27F0E"/>
    <w:rsid w:val="00E27F1F"/>
    <w:rsid w:val="00E27F46"/>
    <w:rsid w:val="00E27F90"/>
    <w:rsid w:val="00E27FC8"/>
    <w:rsid w:val="00E30004"/>
    <w:rsid w:val="00E3000B"/>
    <w:rsid w:val="00E300BD"/>
    <w:rsid w:val="00E300EA"/>
    <w:rsid w:val="00E30118"/>
    <w:rsid w:val="00E30131"/>
    <w:rsid w:val="00E3014A"/>
    <w:rsid w:val="00E30195"/>
    <w:rsid w:val="00E301A3"/>
    <w:rsid w:val="00E301A8"/>
    <w:rsid w:val="00E3023E"/>
    <w:rsid w:val="00E302A1"/>
    <w:rsid w:val="00E302C2"/>
    <w:rsid w:val="00E30330"/>
    <w:rsid w:val="00E30368"/>
    <w:rsid w:val="00E303BA"/>
    <w:rsid w:val="00E3043D"/>
    <w:rsid w:val="00E30459"/>
    <w:rsid w:val="00E304EB"/>
    <w:rsid w:val="00E30525"/>
    <w:rsid w:val="00E30562"/>
    <w:rsid w:val="00E3063F"/>
    <w:rsid w:val="00E3064C"/>
    <w:rsid w:val="00E3064D"/>
    <w:rsid w:val="00E30662"/>
    <w:rsid w:val="00E306A1"/>
    <w:rsid w:val="00E30763"/>
    <w:rsid w:val="00E30777"/>
    <w:rsid w:val="00E30780"/>
    <w:rsid w:val="00E307AE"/>
    <w:rsid w:val="00E307E2"/>
    <w:rsid w:val="00E30805"/>
    <w:rsid w:val="00E30891"/>
    <w:rsid w:val="00E309A2"/>
    <w:rsid w:val="00E309FB"/>
    <w:rsid w:val="00E30A04"/>
    <w:rsid w:val="00E30B02"/>
    <w:rsid w:val="00E30B7B"/>
    <w:rsid w:val="00E30C19"/>
    <w:rsid w:val="00E30C2E"/>
    <w:rsid w:val="00E30C4C"/>
    <w:rsid w:val="00E30D6A"/>
    <w:rsid w:val="00E30D72"/>
    <w:rsid w:val="00E30EA9"/>
    <w:rsid w:val="00E30EC7"/>
    <w:rsid w:val="00E30EDD"/>
    <w:rsid w:val="00E30F1B"/>
    <w:rsid w:val="00E31035"/>
    <w:rsid w:val="00E3107B"/>
    <w:rsid w:val="00E310A6"/>
    <w:rsid w:val="00E310D5"/>
    <w:rsid w:val="00E3123A"/>
    <w:rsid w:val="00E31279"/>
    <w:rsid w:val="00E312C4"/>
    <w:rsid w:val="00E312E7"/>
    <w:rsid w:val="00E31398"/>
    <w:rsid w:val="00E313F6"/>
    <w:rsid w:val="00E31498"/>
    <w:rsid w:val="00E31505"/>
    <w:rsid w:val="00E3158E"/>
    <w:rsid w:val="00E3164D"/>
    <w:rsid w:val="00E3169E"/>
    <w:rsid w:val="00E316E3"/>
    <w:rsid w:val="00E31790"/>
    <w:rsid w:val="00E317DD"/>
    <w:rsid w:val="00E3182D"/>
    <w:rsid w:val="00E31836"/>
    <w:rsid w:val="00E3186F"/>
    <w:rsid w:val="00E31892"/>
    <w:rsid w:val="00E31A2A"/>
    <w:rsid w:val="00E31A92"/>
    <w:rsid w:val="00E31AF7"/>
    <w:rsid w:val="00E31B25"/>
    <w:rsid w:val="00E31C0E"/>
    <w:rsid w:val="00E31C62"/>
    <w:rsid w:val="00E31C6D"/>
    <w:rsid w:val="00E31C8B"/>
    <w:rsid w:val="00E31CE9"/>
    <w:rsid w:val="00E31D6E"/>
    <w:rsid w:val="00E31DB8"/>
    <w:rsid w:val="00E31E0E"/>
    <w:rsid w:val="00E31E23"/>
    <w:rsid w:val="00E31E63"/>
    <w:rsid w:val="00E31EC7"/>
    <w:rsid w:val="00E31EDB"/>
    <w:rsid w:val="00E31F25"/>
    <w:rsid w:val="00E31F4C"/>
    <w:rsid w:val="00E31F71"/>
    <w:rsid w:val="00E320A4"/>
    <w:rsid w:val="00E320AF"/>
    <w:rsid w:val="00E3213C"/>
    <w:rsid w:val="00E321D3"/>
    <w:rsid w:val="00E3223F"/>
    <w:rsid w:val="00E32269"/>
    <w:rsid w:val="00E32420"/>
    <w:rsid w:val="00E3245B"/>
    <w:rsid w:val="00E324A7"/>
    <w:rsid w:val="00E324AA"/>
    <w:rsid w:val="00E324B2"/>
    <w:rsid w:val="00E324D4"/>
    <w:rsid w:val="00E325E6"/>
    <w:rsid w:val="00E325F7"/>
    <w:rsid w:val="00E32602"/>
    <w:rsid w:val="00E32613"/>
    <w:rsid w:val="00E32628"/>
    <w:rsid w:val="00E3262E"/>
    <w:rsid w:val="00E3268C"/>
    <w:rsid w:val="00E326BE"/>
    <w:rsid w:val="00E326C1"/>
    <w:rsid w:val="00E327DF"/>
    <w:rsid w:val="00E327E6"/>
    <w:rsid w:val="00E3280E"/>
    <w:rsid w:val="00E3282E"/>
    <w:rsid w:val="00E32890"/>
    <w:rsid w:val="00E328C8"/>
    <w:rsid w:val="00E32916"/>
    <w:rsid w:val="00E3291B"/>
    <w:rsid w:val="00E32953"/>
    <w:rsid w:val="00E32A87"/>
    <w:rsid w:val="00E32AD6"/>
    <w:rsid w:val="00E32B56"/>
    <w:rsid w:val="00E32BA0"/>
    <w:rsid w:val="00E32BB2"/>
    <w:rsid w:val="00E32C62"/>
    <w:rsid w:val="00E32C7D"/>
    <w:rsid w:val="00E32CFB"/>
    <w:rsid w:val="00E32D08"/>
    <w:rsid w:val="00E32D9C"/>
    <w:rsid w:val="00E32DD8"/>
    <w:rsid w:val="00E32E0B"/>
    <w:rsid w:val="00E32E1D"/>
    <w:rsid w:val="00E32E53"/>
    <w:rsid w:val="00E32E96"/>
    <w:rsid w:val="00E32E9C"/>
    <w:rsid w:val="00E32EAF"/>
    <w:rsid w:val="00E32EC9"/>
    <w:rsid w:val="00E32F2A"/>
    <w:rsid w:val="00E32F31"/>
    <w:rsid w:val="00E32F50"/>
    <w:rsid w:val="00E32F8D"/>
    <w:rsid w:val="00E32FDD"/>
    <w:rsid w:val="00E32FE2"/>
    <w:rsid w:val="00E33004"/>
    <w:rsid w:val="00E330C6"/>
    <w:rsid w:val="00E33169"/>
    <w:rsid w:val="00E332A9"/>
    <w:rsid w:val="00E334B3"/>
    <w:rsid w:val="00E3350D"/>
    <w:rsid w:val="00E33586"/>
    <w:rsid w:val="00E335A9"/>
    <w:rsid w:val="00E335E0"/>
    <w:rsid w:val="00E33655"/>
    <w:rsid w:val="00E33667"/>
    <w:rsid w:val="00E336DA"/>
    <w:rsid w:val="00E336EA"/>
    <w:rsid w:val="00E338BB"/>
    <w:rsid w:val="00E33902"/>
    <w:rsid w:val="00E339F8"/>
    <w:rsid w:val="00E33A00"/>
    <w:rsid w:val="00E33A5C"/>
    <w:rsid w:val="00E33AB8"/>
    <w:rsid w:val="00E33AC8"/>
    <w:rsid w:val="00E33B14"/>
    <w:rsid w:val="00E33B53"/>
    <w:rsid w:val="00E33BA8"/>
    <w:rsid w:val="00E33BC0"/>
    <w:rsid w:val="00E33C85"/>
    <w:rsid w:val="00E33CD4"/>
    <w:rsid w:val="00E33D01"/>
    <w:rsid w:val="00E33DCE"/>
    <w:rsid w:val="00E33E1C"/>
    <w:rsid w:val="00E33E59"/>
    <w:rsid w:val="00E33F48"/>
    <w:rsid w:val="00E33F6E"/>
    <w:rsid w:val="00E33F9A"/>
    <w:rsid w:val="00E33FB8"/>
    <w:rsid w:val="00E33FF3"/>
    <w:rsid w:val="00E34083"/>
    <w:rsid w:val="00E3408E"/>
    <w:rsid w:val="00E34111"/>
    <w:rsid w:val="00E341C5"/>
    <w:rsid w:val="00E341E4"/>
    <w:rsid w:val="00E341FC"/>
    <w:rsid w:val="00E3420C"/>
    <w:rsid w:val="00E34228"/>
    <w:rsid w:val="00E342F1"/>
    <w:rsid w:val="00E342F2"/>
    <w:rsid w:val="00E343BC"/>
    <w:rsid w:val="00E343EA"/>
    <w:rsid w:val="00E343F5"/>
    <w:rsid w:val="00E34404"/>
    <w:rsid w:val="00E34443"/>
    <w:rsid w:val="00E34482"/>
    <w:rsid w:val="00E34583"/>
    <w:rsid w:val="00E345D1"/>
    <w:rsid w:val="00E345E6"/>
    <w:rsid w:val="00E346EA"/>
    <w:rsid w:val="00E34739"/>
    <w:rsid w:val="00E347D9"/>
    <w:rsid w:val="00E34814"/>
    <w:rsid w:val="00E3483F"/>
    <w:rsid w:val="00E34877"/>
    <w:rsid w:val="00E348B7"/>
    <w:rsid w:val="00E348BE"/>
    <w:rsid w:val="00E348E1"/>
    <w:rsid w:val="00E34941"/>
    <w:rsid w:val="00E34944"/>
    <w:rsid w:val="00E3495F"/>
    <w:rsid w:val="00E34A5D"/>
    <w:rsid w:val="00E34C18"/>
    <w:rsid w:val="00E34C36"/>
    <w:rsid w:val="00E34CC2"/>
    <w:rsid w:val="00E34CF5"/>
    <w:rsid w:val="00E34DA7"/>
    <w:rsid w:val="00E34DE7"/>
    <w:rsid w:val="00E34DED"/>
    <w:rsid w:val="00E34E2E"/>
    <w:rsid w:val="00E34EC0"/>
    <w:rsid w:val="00E34F05"/>
    <w:rsid w:val="00E34F1B"/>
    <w:rsid w:val="00E34F9F"/>
    <w:rsid w:val="00E3504E"/>
    <w:rsid w:val="00E3505F"/>
    <w:rsid w:val="00E350DC"/>
    <w:rsid w:val="00E350EA"/>
    <w:rsid w:val="00E35174"/>
    <w:rsid w:val="00E3517A"/>
    <w:rsid w:val="00E35229"/>
    <w:rsid w:val="00E352A8"/>
    <w:rsid w:val="00E352D0"/>
    <w:rsid w:val="00E35369"/>
    <w:rsid w:val="00E3541D"/>
    <w:rsid w:val="00E35454"/>
    <w:rsid w:val="00E354B8"/>
    <w:rsid w:val="00E35575"/>
    <w:rsid w:val="00E3561E"/>
    <w:rsid w:val="00E3563D"/>
    <w:rsid w:val="00E35675"/>
    <w:rsid w:val="00E35689"/>
    <w:rsid w:val="00E3573C"/>
    <w:rsid w:val="00E35820"/>
    <w:rsid w:val="00E3582D"/>
    <w:rsid w:val="00E358CA"/>
    <w:rsid w:val="00E3591A"/>
    <w:rsid w:val="00E35989"/>
    <w:rsid w:val="00E35A66"/>
    <w:rsid w:val="00E35A87"/>
    <w:rsid w:val="00E35A8B"/>
    <w:rsid w:val="00E35AEE"/>
    <w:rsid w:val="00E35C15"/>
    <w:rsid w:val="00E35C4B"/>
    <w:rsid w:val="00E35C8E"/>
    <w:rsid w:val="00E35CAE"/>
    <w:rsid w:val="00E35D21"/>
    <w:rsid w:val="00E35D98"/>
    <w:rsid w:val="00E35D9F"/>
    <w:rsid w:val="00E35DD7"/>
    <w:rsid w:val="00E35EBF"/>
    <w:rsid w:val="00E35EC9"/>
    <w:rsid w:val="00E35F28"/>
    <w:rsid w:val="00E35FAA"/>
    <w:rsid w:val="00E35FBF"/>
    <w:rsid w:val="00E3605C"/>
    <w:rsid w:val="00E36099"/>
    <w:rsid w:val="00E360B0"/>
    <w:rsid w:val="00E360D0"/>
    <w:rsid w:val="00E360D9"/>
    <w:rsid w:val="00E36195"/>
    <w:rsid w:val="00E361BA"/>
    <w:rsid w:val="00E36228"/>
    <w:rsid w:val="00E36268"/>
    <w:rsid w:val="00E3628B"/>
    <w:rsid w:val="00E362C4"/>
    <w:rsid w:val="00E36327"/>
    <w:rsid w:val="00E3633E"/>
    <w:rsid w:val="00E3637F"/>
    <w:rsid w:val="00E363BB"/>
    <w:rsid w:val="00E363CB"/>
    <w:rsid w:val="00E363EA"/>
    <w:rsid w:val="00E3643F"/>
    <w:rsid w:val="00E36458"/>
    <w:rsid w:val="00E36482"/>
    <w:rsid w:val="00E364CB"/>
    <w:rsid w:val="00E364EC"/>
    <w:rsid w:val="00E36660"/>
    <w:rsid w:val="00E36668"/>
    <w:rsid w:val="00E366B4"/>
    <w:rsid w:val="00E366C4"/>
    <w:rsid w:val="00E367CB"/>
    <w:rsid w:val="00E36995"/>
    <w:rsid w:val="00E369C4"/>
    <w:rsid w:val="00E36A0E"/>
    <w:rsid w:val="00E36A2D"/>
    <w:rsid w:val="00E36A35"/>
    <w:rsid w:val="00E36ADC"/>
    <w:rsid w:val="00E36C44"/>
    <w:rsid w:val="00E36C49"/>
    <w:rsid w:val="00E36CE2"/>
    <w:rsid w:val="00E36DB1"/>
    <w:rsid w:val="00E36DF7"/>
    <w:rsid w:val="00E36E9D"/>
    <w:rsid w:val="00E36F2B"/>
    <w:rsid w:val="00E36F4D"/>
    <w:rsid w:val="00E36F66"/>
    <w:rsid w:val="00E36FAC"/>
    <w:rsid w:val="00E36FBB"/>
    <w:rsid w:val="00E370CA"/>
    <w:rsid w:val="00E372A5"/>
    <w:rsid w:val="00E37325"/>
    <w:rsid w:val="00E3733E"/>
    <w:rsid w:val="00E37380"/>
    <w:rsid w:val="00E373A0"/>
    <w:rsid w:val="00E373A1"/>
    <w:rsid w:val="00E373C0"/>
    <w:rsid w:val="00E37415"/>
    <w:rsid w:val="00E374B3"/>
    <w:rsid w:val="00E374B6"/>
    <w:rsid w:val="00E37577"/>
    <w:rsid w:val="00E375DD"/>
    <w:rsid w:val="00E375EB"/>
    <w:rsid w:val="00E3764A"/>
    <w:rsid w:val="00E376F1"/>
    <w:rsid w:val="00E3774F"/>
    <w:rsid w:val="00E3776D"/>
    <w:rsid w:val="00E3778E"/>
    <w:rsid w:val="00E377AD"/>
    <w:rsid w:val="00E3781C"/>
    <w:rsid w:val="00E37886"/>
    <w:rsid w:val="00E3789D"/>
    <w:rsid w:val="00E378DB"/>
    <w:rsid w:val="00E378F6"/>
    <w:rsid w:val="00E37961"/>
    <w:rsid w:val="00E37A2E"/>
    <w:rsid w:val="00E37A31"/>
    <w:rsid w:val="00E37ABD"/>
    <w:rsid w:val="00E37AC0"/>
    <w:rsid w:val="00E37AE3"/>
    <w:rsid w:val="00E37AFF"/>
    <w:rsid w:val="00E37B16"/>
    <w:rsid w:val="00E37B74"/>
    <w:rsid w:val="00E37BA2"/>
    <w:rsid w:val="00E37BD0"/>
    <w:rsid w:val="00E37D15"/>
    <w:rsid w:val="00E37D1E"/>
    <w:rsid w:val="00E37D9E"/>
    <w:rsid w:val="00E37E14"/>
    <w:rsid w:val="00E37E55"/>
    <w:rsid w:val="00E37EB8"/>
    <w:rsid w:val="00E37EBA"/>
    <w:rsid w:val="00E37F11"/>
    <w:rsid w:val="00E37F54"/>
    <w:rsid w:val="00E37F85"/>
    <w:rsid w:val="00E4002B"/>
    <w:rsid w:val="00E40062"/>
    <w:rsid w:val="00E40096"/>
    <w:rsid w:val="00E4025C"/>
    <w:rsid w:val="00E40292"/>
    <w:rsid w:val="00E40303"/>
    <w:rsid w:val="00E403AB"/>
    <w:rsid w:val="00E4046C"/>
    <w:rsid w:val="00E404CC"/>
    <w:rsid w:val="00E404E9"/>
    <w:rsid w:val="00E4056F"/>
    <w:rsid w:val="00E40603"/>
    <w:rsid w:val="00E4064E"/>
    <w:rsid w:val="00E4065E"/>
    <w:rsid w:val="00E40688"/>
    <w:rsid w:val="00E406F5"/>
    <w:rsid w:val="00E4071E"/>
    <w:rsid w:val="00E40737"/>
    <w:rsid w:val="00E407D2"/>
    <w:rsid w:val="00E408ED"/>
    <w:rsid w:val="00E4090D"/>
    <w:rsid w:val="00E409F7"/>
    <w:rsid w:val="00E40A1F"/>
    <w:rsid w:val="00E40A21"/>
    <w:rsid w:val="00E40AB2"/>
    <w:rsid w:val="00E40B34"/>
    <w:rsid w:val="00E40BED"/>
    <w:rsid w:val="00E40C44"/>
    <w:rsid w:val="00E40CA5"/>
    <w:rsid w:val="00E40CEC"/>
    <w:rsid w:val="00E40D0E"/>
    <w:rsid w:val="00E40D6A"/>
    <w:rsid w:val="00E40DAF"/>
    <w:rsid w:val="00E40DB5"/>
    <w:rsid w:val="00E40DDC"/>
    <w:rsid w:val="00E40F02"/>
    <w:rsid w:val="00E40F0D"/>
    <w:rsid w:val="00E40F24"/>
    <w:rsid w:val="00E40F26"/>
    <w:rsid w:val="00E40FEF"/>
    <w:rsid w:val="00E4102C"/>
    <w:rsid w:val="00E410C2"/>
    <w:rsid w:val="00E41106"/>
    <w:rsid w:val="00E4115E"/>
    <w:rsid w:val="00E411DD"/>
    <w:rsid w:val="00E411F8"/>
    <w:rsid w:val="00E41219"/>
    <w:rsid w:val="00E412E7"/>
    <w:rsid w:val="00E41366"/>
    <w:rsid w:val="00E41368"/>
    <w:rsid w:val="00E41377"/>
    <w:rsid w:val="00E413ED"/>
    <w:rsid w:val="00E41438"/>
    <w:rsid w:val="00E414D1"/>
    <w:rsid w:val="00E414F6"/>
    <w:rsid w:val="00E4153B"/>
    <w:rsid w:val="00E41577"/>
    <w:rsid w:val="00E4167E"/>
    <w:rsid w:val="00E416C0"/>
    <w:rsid w:val="00E416FF"/>
    <w:rsid w:val="00E4179B"/>
    <w:rsid w:val="00E41903"/>
    <w:rsid w:val="00E41973"/>
    <w:rsid w:val="00E41982"/>
    <w:rsid w:val="00E4199B"/>
    <w:rsid w:val="00E41A11"/>
    <w:rsid w:val="00E41A39"/>
    <w:rsid w:val="00E41A4E"/>
    <w:rsid w:val="00E41ACD"/>
    <w:rsid w:val="00E41E79"/>
    <w:rsid w:val="00E41E7E"/>
    <w:rsid w:val="00E41F09"/>
    <w:rsid w:val="00E41F6B"/>
    <w:rsid w:val="00E42023"/>
    <w:rsid w:val="00E42169"/>
    <w:rsid w:val="00E421B6"/>
    <w:rsid w:val="00E421F9"/>
    <w:rsid w:val="00E42360"/>
    <w:rsid w:val="00E4239C"/>
    <w:rsid w:val="00E4240B"/>
    <w:rsid w:val="00E4243E"/>
    <w:rsid w:val="00E4247B"/>
    <w:rsid w:val="00E424B6"/>
    <w:rsid w:val="00E42527"/>
    <w:rsid w:val="00E42529"/>
    <w:rsid w:val="00E42586"/>
    <w:rsid w:val="00E425BC"/>
    <w:rsid w:val="00E4261B"/>
    <w:rsid w:val="00E42695"/>
    <w:rsid w:val="00E426C3"/>
    <w:rsid w:val="00E42708"/>
    <w:rsid w:val="00E42779"/>
    <w:rsid w:val="00E427B6"/>
    <w:rsid w:val="00E427C1"/>
    <w:rsid w:val="00E42839"/>
    <w:rsid w:val="00E4288B"/>
    <w:rsid w:val="00E4288E"/>
    <w:rsid w:val="00E428EC"/>
    <w:rsid w:val="00E4290B"/>
    <w:rsid w:val="00E42979"/>
    <w:rsid w:val="00E4297E"/>
    <w:rsid w:val="00E42A13"/>
    <w:rsid w:val="00E42A1C"/>
    <w:rsid w:val="00E42A3D"/>
    <w:rsid w:val="00E42B08"/>
    <w:rsid w:val="00E42B6D"/>
    <w:rsid w:val="00E42B8E"/>
    <w:rsid w:val="00E42C69"/>
    <w:rsid w:val="00E42C90"/>
    <w:rsid w:val="00E42D19"/>
    <w:rsid w:val="00E42D2D"/>
    <w:rsid w:val="00E42D9B"/>
    <w:rsid w:val="00E42DAC"/>
    <w:rsid w:val="00E42DC3"/>
    <w:rsid w:val="00E42E64"/>
    <w:rsid w:val="00E42E84"/>
    <w:rsid w:val="00E42EBF"/>
    <w:rsid w:val="00E42F32"/>
    <w:rsid w:val="00E42FF3"/>
    <w:rsid w:val="00E42FF6"/>
    <w:rsid w:val="00E4300B"/>
    <w:rsid w:val="00E43012"/>
    <w:rsid w:val="00E43014"/>
    <w:rsid w:val="00E43142"/>
    <w:rsid w:val="00E43155"/>
    <w:rsid w:val="00E43311"/>
    <w:rsid w:val="00E43433"/>
    <w:rsid w:val="00E4346D"/>
    <w:rsid w:val="00E43487"/>
    <w:rsid w:val="00E4348C"/>
    <w:rsid w:val="00E4349C"/>
    <w:rsid w:val="00E43505"/>
    <w:rsid w:val="00E43585"/>
    <w:rsid w:val="00E436DB"/>
    <w:rsid w:val="00E436ED"/>
    <w:rsid w:val="00E437E9"/>
    <w:rsid w:val="00E437F9"/>
    <w:rsid w:val="00E4388A"/>
    <w:rsid w:val="00E43924"/>
    <w:rsid w:val="00E43997"/>
    <w:rsid w:val="00E439A2"/>
    <w:rsid w:val="00E43A55"/>
    <w:rsid w:val="00E43BDD"/>
    <w:rsid w:val="00E43C93"/>
    <w:rsid w:val="00E43CB4"/>
    <w:rsid w:val="00E43DB3"/>
    <w:rsid w:val="00E43DB9"/>
    <w:rsid w:val="00E43EA5"/>
    <w:rsid w:val="00E43FC0"/>
    <w:rsid w:val="00E43FFF"/>
    <w:rsid w:val="00E4400D"/>
    <w:rsid w:val="00E440D3"/>
    <w:rsid w:val="00E44172"/>
    <w:rsid w:val="00E441A8"/>
    <w:rsid w:val="00E441ED"/>
    <w:rsid w:val="00E4420F"/>
    <w:rsid w:val="00E442C7"/>
    <w:rsid w:val="00E4434C"/>
    <w:rsid w:val="00E44351"/>
    <w:rsid w:val="00E44403"/>
    <w:rsid w:val="00E4448C"/>
    <w:rsid w:val="00E4464B"/>
    <w:rsid w:val="00E44730"/>
    <w:rsid w:val="00E44C16"/>
    <w:rsid w:val="00E44C69"/>
    <w:rsid w:val="00E44C92"/>
    <w:rsid w:val="00E44D21"/>
    <w:rsid w:val="00E44D24"/>
    <w:rsid w:val="00E44D6B"/>
    <w:rsid w:val="00E44DD5"/>
    <w:rsid w:val="00E44DDD"/>
    <w:rsid w:val="00E44E8B"/>
    <w:rsid w:val="00E44EAA"/>
    <w:rsid w:val="00E44EBB"/>
    <w:rsid w:val="00E44F0A"/>
    <w:rsid w:val="00E45026"/>
    <w:rsid w:val="00E45072"/>
    <w:rsid w:val="00E45074"/>
    <w:rsid w:val="00E4510E"/>
    <w:rsid w:val="00E45193"/>
    <w:rsid w:val="00E45236"/>
    <w:rsid w:val="00E4523C"/>
    <w:rsid w:val="00E452F4"/>
    <w:rsid w:val="00E45323"/>
    <w:rsid w:val="00E4536D"/>
    <w:rsid w:val="00E45387"/>
    <w:rsid w:val="00E453E0"/>
    <w:rsid w:val="00E453EA"/>
    <w:rsid w:val="00E45404"/>
    <w:rsid w:val="00E45512"/>
    <w:rsid w:val="00E455F8"/>
    <w:rsid w:val="00E45639"/>
    <w:rsid w:val="00E456BC"/>
    <w:rsid w:val="00E457BA"/>
    <w:rsid w:val="00E45998"/>
    <w:rsid w:val="00E45A1C"/>
    <w:rsid w:val="00E45A23"/>
    <w:rsid w:val="00E45A28"/>
    <w:rsid w:val="00E45AAE"/>
    <w:rsid w:val="00E45ABC"/>
    <w:rsid w:val="00E45AC4"/>
    <w:rsid w:val="00E45B5C"/>
    <w:rsid w:val="00E45BCA"/>
    <w:rsid w:val="00E45D94"/>
    <w:rsid w:val="00E45E78"/>
    <w:rsid w:val="00E45F1F"/>
    <w:rsid w:val="00E45F7C"/>
    <w:rsid w:val="00E45F97"/>
    <w:rsid w:val="00E4604E"/>
    <w:rsid w:val="00E460E7"/>
    <w:rsid w:val="00E460F5"/>
    <w:rsid w:val="00E46120"/>
    <w:rsid w:val="00E4616A"/>
    <w:rsid w:val="00E461A0"/>
    <w:rsid w:val="00E46316"/>
    <w:rsid w:val="00E46358"/>
    <w:rsid w:val="00E46362"/>
    <w:rsid w:val="00E463C7"/>
    <w:rsid w:val="00E463EE"/>
    <w:rsid w:val="00E4650C"/>
    <w:rsid w:val="00E4658B"/>
    <w:rsid w:val="00E465EF"/>
    <w:rsid w:val="00E465F3"/>
    <w:rsid w:val="00E466E0"/>
    <w:rsid w:val="00E466F3"/>
    <w:rsid w:val="00E4671D"/>
    <w:rsid w:val="00E467EE"/>
    <w:rsid w:val="00E467F3"/>
    <w:rsid w:val="00E468DF"/>
    <w:rsid w:val="00E468EF"/>
    <w:rsid w:val="00E46970"/>
    <w:rsid w:val="00E46A5E"/>
    <w:rsid w:val="00E46AF1"/>
    <w:rsid w:val="00E46B0C"/>
    <w:rsid w:val="00E46B58"/>
    <w:rsid w:val="00E46B84"/>
    <w:rsid w:val="00E46C06"/>
    <w:rsid w:val="00E46C29"/>
    <w:rsid w:val="00E46CAA"/>
    <w:rsid w:val="00E46D40"/>
    <w:rsid w:val="00E46DD9"/>
    <w:rsid w:val="00E46E22"/>
    <w:rsid w:val="00E46E29"/>
    <w:rsid w:val="00E46E3A"/>
    <w:rsid w:val="00E46E90"/>
    <w:rsid w:val="00E46ED3"/>
    <w:rsid w:val="00E46F33"/>
    <w:rsid w:val="00E46F6F"/>
    <w:rsid w:val="00E46F76"/>
    <w:rsid w:val="00E46F92"/>
    <w:rsid w:val="00E46FC3"/>
    <w:rsid w:val="00E47044"/>
    <w:rsid w:val="00E470DB"/>
    <w:rsid w:val="00E4711D"/>
    <w:rsid w:val="00E47167"/>
    <w:rsid w:val="00E4719A"/>
    <w:rsid w:val="00E4725E"/>
    <w:rsid w:val="00E472DF"/>
    <w:rsid w:val="00E47300"/>
    <w:rsid w:val="00E47336"/>
    <w:rsid w:val="00E47376"/>
    <w:rsid w:val="00E473C2"/>
    <w:rsid w:val="00E473D5"/>
    <w:rsid w:val="00E47419"/>
    <w:rsid w:val="00E4743C"/>
    <w:rsid w:val="00E47478"/>
    <w:rsid w:val="00E475A0"/>
    <w:rsid w:val="00E475B3"/>
    <w:rsid w:val="00E475E8"/>
    <w:rsid w:val="00E47680"/>
    <w:rsid w:val="00E47713"/>
    <w:rsid w:val="00E4783C"/>
    <w:rsid w:val="00E47878"/>
    <w:rsid w:val="00E478AC"/>
    <w:rsid w:val="00E47921"/>
    <w:rsid w:val="00E4795B"/>
    <w:rsid w:val="00E47A17"/>
    <w:rsid w:val="00E47A79"/>
    <w:rsid w:val="00E47A80"/>
    <w:rsid w:val="00E47A87"/>
    <w:rsid w:val="00E47A8B"/>
    <w:rsid w:val="00E47B9D"/>
    <w:rsid w:val="00E47BF7"/>
    <w:rsid w:val="00E47C03"/>
    <w:rsid w:val="00E47C42"/>
    <w:rsid w:val="00E47D06"/>
    <w:rsid w:val="00E47DA8"/>
    <w:rsid w:val="00E47DBD"/>
    <w:rsid w:val="00E47E21"/>
    <w:rsid w:val="00E47F3C"/>
    <w:rsid w:val="00E47F4E"/>
    <w:rsid w:val="00E47FB7"/>
    <w:rsid w:val="00E47FFC"/>
    <w:rsid w:val="00E5010D"/>
    <w:rsid w:val="00E50115"/>
    <w:rsid w:val="00E50139"/>
    <w:rsid w:val="00E50159"/>
    <w:rsid w:val="00E50196"/>
    <w:rsid w:val="00E50199"/>
    <w:rsid w:val="00E5029D"/>
    <w:rsid w:val="00E502A0"/>
    <w:rsid w:val="00E502C4"/>
    <w:rsid w:val="00E502D1"/>
    <w:rsid w:val="00E50322"/>
    <w:rsid w:val="00E50380"/>
    <w:rsid w:val="00E504B8"/>
    <w:rsid w:val="00E504FE"/>
    <w:rsid w:val="00E5057C"/>
    <w:rsid w:val="00E5059D"/>
    <w:rsid w:val="00E505C1"/>
    <w:rsid w:val="00E5072F"/>
    <w:rsid w:val="00E507CE"/>
    <w:rsid w:val="00E507E9"/>
    <w:rsid w:val="00E507ED"/>
    <w:rsid w:val="00E50834"/>
    <w:rsid w:val="00E508ED"/>
    <w:rsid w:val="00E50A3A"/>
    <w:rsid w:val="00E50A73"/>
    <w:rsid w:val="00E50C7E"/>
    <w:rsid w:val="00E50D4F"/>
    <w:rsid w:val="00E50DA3"/>
    <w:rsid w:val="00E50DEA"/>
    <w:rsid w:val="00E50E21"/>
    <w:rsid w:val="00E50E6F"/>
    <w:rsid w:val="00E50F38"/>
    <w:rsid w:val="00E50F7A"/>
    <w:rsid w:val="00E510C7"/>
    <w:rsid w:val="00E51179"/>
    <w:rsid w:val="00E511C4"/>
    <w:rsid w:val="00E511EE"/>
    <w:rsid w:val="00E5124F"/>
    <w:rsid w:val="00E512C5"/>
    <w:rsid w:val="00E51334"/>
    <w:rsid w:val="00E513F7"/>
    <w:rsid w:val="00E51468"/>
    <w:rsid w:val="00E515FD"/>
    <w:rsid w:val="00E5161B"/>
    <w:rsid w:val="00E5162B"/>
    <w:rsid w:val="00E51671"/>
    <w:rsid w:val="00E51677"/>
    <w:rsid w:val="00E517A7"/>
    <w:rsid w:val="00E51832"/>
    <w:rsid w:val="00E51897"/>
    <w:rsid w:val="00E518B9"/>
    <w:rsid w:val="00E518D2"/>
    <w:rsid w:val="00E518DB"/>
    <w:rsid w:val="00E51910"/>
    <w:rsid w:val="00E5197A"/>
    <w:rsid w:val="00E519CD"/>
    <w:rsid w:val="00E51A03"/>
    <w:rsid w:val="00E51A2F"/>
    <w:rsid w:val="00E51A4A"/>
    <w:rsid w:val="00E51AE3"/>
    <w:rsid w:val="00E51B65"/>
    <w:rsid w:val="00E51C58"/>
    <w:rsid w:val="00E51C99"/>
    <w:rsid w:val="00E51D10"/>
    <w:rsid w:val="00E51D56"/>
    <w:rsid w:val="00E51D77"/>
    <w:rsid w:val="00E51DA7"/>
    <w:rsid w:val="00E51F5D"/>
    <w:rsid w:val="00E51FD8"/>
    <w:rsid w:val="00E51FED"/>
    <w:rsid w:val="00E52024"/>
    <w:rsid w:val="00E52043"/>
    <w:rsid w:val="00E520F8"/>
    <w:rsid w:val="00E5218F"/>
    <w:rsid w:val="00E521A0"/>
    <w:rsid w:val="00E521AA"/>
    <w:rsid w:val="00E521DC"/>
    <w:rsid w:val="00E52270"/>
    <w:rsid w:val="00E522FC"/>
    <w:rsid w:val="00E5233D"/>
    <w:rsid w:val="00E52386"/>
    <w:rsid w:val="00E5244C"/>
    <w:rsid w:val="00E524D9"/>
    <w:rsid w:val="00E52556"/>
    <w:rsid w:val="00E52620"/>
    <w:rsid w:val="00E5267B"/>
    <w:rsid w:val="00E526C5"/>
    <w:rsid w:val="00E526F6"/>
    <w:rsid w:val="00E52707"/>
    <w:rsid w:val="00E5276C"/>
    <w:rsid w:val="00E5292F"/>
    <w:rsid w:val="00E5295D"/>
    <w:rsid w:val="00E5295F"/>
    <w:rsid w:val="00E529FC"/>
    <w:rsid w:val="00E52A77"/>
    <w:rsid w:val="00E52B0F"/>
    <w:rsid w:val="00E52BAA"/>
    <w:rsid w:val="00E52CCF"/>
    <w:rsid w:val="00E52D1D"/>
    <w:rsid w:val="00E52D41"/>
    <w:rsid w:val="00E52DC4"/>
    <w:rsid w:val="00E52DF1"/>
    <w:rsid w:val="00E52E13"/>
    <w:rsid w:val="00E52E75"/>
    <w:rsid w:val="00E52ECD"/>
    <w:rsid w:val="00E52F3E"/>
    <w:rsid w:val="00E52F9C"/>
    <w:rsid w:val="00E53000"/>
    <w:rsid w:val="00E530AF"/>
    <w:rsid w:val="00E531EA"/>
    <w:rsid w:val="00E5327A"/>
    <w:rsid w:val="00E53294"/>
    <w:rsid w:val="00E53309"/>
    <w:rsid w:val="00E53318"/>
    <w:rsid w:val="00E533B2"/>
    <w:rsid w:val="00E53586"/>
    <w:rsid w:val="00E535CF"/>
    <w:rsid w:val="00E536BB"/>
    <w:rsid w:val="00E536E3"/>
    <w:rsid w:val="00E5375D"/>
    <w:rsid w:val="00E537A8"/>
    <w:rsid w:val="00E537CC"/>
    <w:rsid w:val="00E5382B"/>
    <w:rsid w:val="00E5386C"/>
    <w:rsid w:val="00E538B0"/>
    <w:rsid w:val="00E539A8"/>
    <w:rsid w:val="00E53A36"/>
    <w:rsid w:val="00E53A3C"/>
    <w:rsid w:val="00E53A3D"/>
    <w:rsid w:val="00E53B44"/>
    <w:rsid w:val="00E53B7E"/>
    <w:rsid w:val="00E53BD6"/>
    <w:rsid w:val="00E53C77"/>
    <w:rsid w:val="00E53C7A"/>
    <w:rsid w:val="00E53C97"/>
    <w:rsid w:val="00E53CB6"/>
    <w:rsid w:val="00E53CBC"/>
    <w:rsid w:val="00E53D1A"/>
    <w:rsid w:val="00E53D24"/>
    <w:rsid w:val="00E53E5E"/>
    <w:rsid w:val="00E53E96"/>
    <w:rsid w:val="00E53EBD"/>
    <w:rsid w:val="00E53EE7"/>
    <w:rsid w:val="00E53EF7"/>
    <w:rsid w:val="00E53F7C"/>
    <w:rsid w:val="00E53F93"/>
    <w:rsid w:val="00E53FE3"/>
    <w:rsid w:val="00E54005"/>
    <w:rsid w:val="00E54057"/>
    <w:rsid w:val="00E5406B"/>
    <w:rsid w:val="00E540F9"/>
    <w:rsid w:val="00E54135"/>
    <w:rsid w:val="00E541EA"/>
    <w:rsid w:val="00E541FE"/>
    <w:rsid w:val="00E54201"/>
    <w:rsid w:val="00E5422B"/>
    <w:rsid w:val="00E54246"/>
    <w:rsid w:val="00E542E2"/>
    <w:rsid w:val="00E543D8"/>
    <w:rsid w:val="00E54453"/>
    <w:rsid w:val="00E545A7"/>
    <w:rsid w:val="00E545BE"/>
    <w:rsid w:val="00E54603"/>
    <w:rsid w:val="00E546CF"/>
    <w:rsid w:val="00E54700"/>
    <w:rsid w:val="00E5474E"/>
    <w:rsid w:val="00E54751"/>
    <w:rsid w:val="00E547C0"/>
    <w:rsid w:val="00E547D2"/>
    <w:rsid w:val="00E54858"/>
    <w:rsid w:val="00E54902"/>
    <w:rsid w:val="00E54949"/>
    <w:rsid w:val="00E549C6"/>
    <w:rsid w:val="00E549CE"/>
    <w:rsid w:val="00E54AF1"/>
    <w:rsid w:val="00E54B03"/>
    <w:rsid w:val="00E54B3B"/>
    <w:rsid w:val="00E54C2F"/>
    <w:rsid w:val="00E54CB9"/>
    <w:rsid w:val="00E54D52"/>
    <w:rsid w:val="00E54DC4"/>
    <w:rsid w:val="00E54E56"/>
    <w:rsid w:val="00E54F27"/>
    <w:rsid w:val="00E54F6E"/>
    <w:rsid w:val="00E550BD"/>
    <w:rsid w:val="00E550CD"/>
    <w:rsid w:val="00E55235"/>
    <w:rsid w:val="00E5524D"/>
    <w:rsid w:val="00E55285"/>
    <w:rsid w:val="00E5539E"/>
    <w:rsid w:val="00E553A1"/>
    <w:rsid w:val="00E553BE"/>
    <w:rsid w:val="00E5541E"/>
    <w:rsid w:val="00E554DF"/>
    <w:rsid w:val="00E554E4"/>
    <w:rsid w:val="00E55516"/>
    <w:rsid w:val="00E55523"/>
    <w:rsid w:val="00E555F3"/>
    <w:rsid w:val="00E555FE"/>
    <w:rsid w:val="00E55670"/>
    <w:rsid w:val="00E5567E"/>
    <w:rsid w:val="00E55685"/>
    <w:rsid w:val="00E556B1"/>
    <w:rsid w:val="00E556B4"/>
    <w:rsid w:val="00E55708"/>
    <w:rsid w:val="00E5587A"/>
    <w:rsid w:val="00E5592C"/>
    <w:rsid w:val="00E559FA"/>
    <w:rsid w:val="00E55AA1"/>
    <w:rsid w:val="00E55AB7"/>
    <w:rsid w:val="00E55AED"/>
    <w:rsid w:val="00E55B50"/>
    <w:rsid w:val="00E55BB0"/>
    <w:rsid w:val="00E55C10"/>
    <w:rsid w:val="00E55C24"/>
    <w:rsid w:val="00E55C2A"/>
    <w:rsid w:val="00E55CF9"/>
    <w:rsid w:val="00E55D57"/>
    <w:rsid w:val="00E55E5F"/>
    <w:rsid w:val="00E55E6B"/>
    <w:rsid w:val="00E55EAF"/>
    <w:rsid w:val="00E55F18"/>
    <w:rsid w:val="00E56013"/>
    <w:rsid w:val="00E5602E"/>
    <w:rsid w:val="00E5609E"/>
    <w:rsid w:val="00E561A2"/>
    <w:rsid w:val="00E561CA"/>
    <w:rsid w:val="00E5625C"/>
    <w:rsid w:val="00E5631D"/>
    <w:rsid w:val="00E56327"/>
    <w:rsid w:val="00E5636C"/>
    <w:rsid w:val="00E563CD"/>
    <w:rsid w:val="00E563DA"/>
    <w:rsid w:val="00E563F2"/>
    <w:rsid w:val="00E563F9"/>
    <w:rsid w:val="00E56467"/>
    <w:rsid w:val="00E5649B"/>
    <w:rsid w:val="00E564EC"/>
    <w:rsid w:val="00E56506"/>
    <w:rsid w:val="00E56553"/>
    <w:rsid w:val="00E56587"/>
    <w:rsid w:val="00E565B6"/>
    <w:rsid w:val="00E56609"/>
    <w:rsid w:val="00E56656"/>
    <w:rsid w:val="00E567C3"/>
    <w:rsid w:val="00E56841"/>
    <w:rsid w:val="00E56850"/>
    <w:rsid w:val="00E568B0"/>
    <w:rsid w:val="00E56959"/>
    <w:rsid w:val="00E5697B"/>
    <w:rsid w:val="00E56990"/>
    <w:rsid w:val="00E56A22"/>
    <w:rsid w:val="00E56B99"/>
    <w:rsid w:val="00E56C0F"/>
    <w:rsid w:val="00E56CC8"/>
    <w:rsid w:val="00E56D36"/>
    <w:rsid w:val="00E56DEA"/>
    <w:rsid w:val="00E56E4C"/>
    <w:rsid w:val="00E56EBE"/>
    <w:rsid w:val="00E56F2F"/>
    <w:rsid w:val="00E56F48"/>
    <w:rsid w:val="00E56F96"/>
    <w:rsid w:val="00E5700E"/>
    <w:rsid w:val="00E57095"/>
    <w:rsid w:val="00E570E0"/>
    <w:rsid w:val="00E570FB"/>
    <w:rsid w:val="00E571B8"/>
    <w:rsid w:val="00E57204"/>
    <w:rsid w:val="00E572B2"/>
    <w:rsid w:val="00E573DB"/>
    <w:rsid w:val="00E573DD"/>
    <w:rsid w:val="00E57545"/>
    <w:rsid w:val="00E5754F"/>
    <w:rsid w:val="00E575D2"/>
    <w:rsid w:val="00E575F4"/>
    <w:rsid w:val="00E576A8"/>
    <w:rsid w:val="00E576BC"/>
    <w:rsid w:val="00E5770E"/>
    <w:rsid w:val="00E5778E"/>
    <w:rsid w:val="00E577E1"/>
    <w:rsid w:val="00E5781D"/>
    <w:rsid w:val="00E5788C"/>
    <w:rsid w:val="00E578CD"/>
    <w:rsid w:val="00E5794A"/>
    <w:rsid w:val="00E57957"/>
    <w:rsid w:val="00E579D5"/>
    <w:rsid w:val="00E57A98"/>
    <w:rsid w:val="00E57AC0"/>
    <w:rsid w:val="00E57ACA"/>
    <w:rsid w:val="00E57B2A"/>
    <w:rsid w:val="00E57BAB"/>
    <w:rsid w:val="00E57C59"/>
    <w:rsid w:val="00E57C7D"/>
    <w:rsid w:val="00E57CC2"/>
    <w:rsid w:val="00E57CCB"/>
    <w:rsid w:val="00E57CDF"/>
    <w:rsid w:val="00E57D03"/>
    <w:rsid w:val="00E57D5B"/>
    <w:rsid w:val="00E57DF4"/>
    <w:rsid w:val="00E57EC7"/>
    <w:rsid w:val="00E57F2A"/>
    <w:rsid w:val="00E57F51"/>
    <w:rsid w:val="00E57F70"/>
    <w:rsid w:val="00E57F8E"/>
    <w:rsid w:val="00E57FAF"/>
    <w:rsid w:val="00E6000E"/>
    <w:rsid w:val="00E6007D"/>
    <w:rsid w:val="00E60082"/>
    <w:rsid w:val="00E60120"/>
    <w:rsid w:val="00E601A6"/>
    <w:rsid w:val="00E601B4"/>
    <w:rsid w:val="00E601F3"/>
    <w:rsid w:val="00E601F5"/>
    <w:rsid w:val="00E602B9"/>
    <w:rsid w:val="00E60325"/>
    <w:rsid w:val="00E60418"/>
    <w:rsid w:val="00E6045C"/>
    <w:rsid w:val="00E60460"/>
    <w:rsid w:val="00E60473"/>
    <w:rsid w:val="00E60495"/>
    <w:rsid w:val="00E604C0"/>
    <w:rsid w:val="00E604CC"/>
    <w:rsid w:val="00E60509"/>
    <w:rsid w:val="00E6050C"/>
    <w:rsid w:val="00E6056F"/>
    <w:rsid w:val="00E6059D"/>
    <w:rsid w:val="00E606B2"/>
    <w:rsid w:val="00E6071E"/>
    <w:rsid w:val="00E60738"/>
    <w:rsid w:val="00E60839"/>
    <w:rsid w:val="00E60841"/>
    <w:rsid w:val="00E60850"/>
    <w:rsid w:val="00E6086C"/>
    <w:rsid w:val="00E60991"/>
    <w:rsid w:val="00E609F0"/>
    <w:rsid w:val="00E60AD4"/>
    <w:rsid w:val="00E60B1C"/>
    <w:rsid w:val="00E60B6A"/>
    <w:rsid w:val="00E60BAF"/>
    <w:rsid w:val="00E60BF6"/>
    <w:rsid w:val="00E60BFE"/>
    <w:rsid w:val="00E60C03"/>
    <w:rsid w:val="00E60C1A"/>
    <w:rsid w:val="00E60C8F"/>
    <w:rsid w:val="00E60C9B"/>
    <w:rsid w:val="00E60CB1"/>
    <w:rsid w:val="00E60D42"/>
    <w:rsid w:val="00E60D6D"/>
    <w:rsid w:val="00E60DA3"/>
    <w:rsid w:val="00E60DEA"/>
    <w:rsid w:val="00E60E3C"/>
    <w:rsid w:val="00E60EAF"/>
    <w:rsid w:val="00E60F76"/>
    <w:rsid w:val="00E61023"/>
    <w:rsid w:val="00E6107B"/>
    <w:rsid w:val="00E610B9"/>
    <w:rsid w:val="00E61383"/>
    <w:rsid w:val="00E613C0"/>
    <w:rsid w:val="00E6151A"/>
    <w:rsid w:val="00E61645"/>
    <w:rsid w:val="00E61683"/>
    <w:rsid w:val="00E616BE"/>
    <w:rsid w:val="00E616EA"/>
    <w:rsid w:val="00E6179E"/>
    <w:rsid w:val="00E617A8"/>
    <w:rsid w:val="00E6180D"/>
    <w:rsid w:val="00E618B3"/>
    <w:rsid w:val="00E6193A"/>
    <w:rsid w:val="00E619EB"/>
    <w:rsid w:val="00E61AE7"/>
    <w:rsid w:val="00E61B38"/>
    <w:rsid w:val="00E61B39"/>
    <w:rsid w:val="00E61B47"/>
    <w:rsid w:val="00E61BA1"/>
    <w:rsid w:val="00E61BBD"/>
    <w:rsid w:val="00E61C64"/>
    <w:rsid w:val="00E61C96"/>
    <w:rsid w:val="00E61CC1"/>
    <w:rsid w:val="00E61CD5"/>
    <w:rsid w:val="00E61D15"/>
    <w:rsid w:val="00E61DBD"/>
    <w:rsid w:val="00E61DC8"/>
    <w:rsid w:val="00E61DD8"/>
    <w:rsid w:val="00E61E2A"/>
    <w:rsid w:val="00E61E44"/>
    <w:rsid w:val="00E61EB4"/>
    <w:rsid w:val="00E61EE8"/>
    <w:rsid w:val="00E61EF3"/>
    <w:rsid w:val="00E61F7A"/>
    <w:rsid w:val="00E61FA5"/>
    <w:rsid w:val="00E61FF9"/>
    <w:rsid w:val="00E620A3"/>
    <w:rsid w:val="00E620C6"/>
    <w:rsid w:val="00E6212F"/>
    <w:rsid w:val="00E62169"/>
    <w:rsid w:val="00E6218D"/>
    <w:rsid w:val="00E621BE"/>
    <w:rsid w:val="00E62230"/>
    <w:rsid w:val="00E62243"/>
    <w:rsid w:val="00E62246"/>
    <w:rsid w:val="00E6225D"/>
    <w:rsid w:val="00E62280"/>
    <w:rsid w:val="00E62422"/>
    <w:rsid w:val="00E62443"/>
    <w:rsid w:val="00E6247C"/>
    <w:rsid w:val="00E625DE"/>
    <w:rsid w:val="00E6263A"/>
    <w:rsid w:val="00E6266E"/>
    <w:rsid w:val="00E626E9"/>
    <w:rsid w:val="00E62825"/>
    <w:rsid w:val="00E629CE"/>
    <w:rsid w:val="00E62A2F"/>
    <w:rsid w:val="00E62A3D"/>
    <w:rsid w:val="00E62ABE"/>
    <w:rsid w:val="00E62AF7"/>
    <w:rsid w:val="00E62B1D"/>
    <w:rsid w:val="00E62E46"/>
    <w:rsid w:val="00E62E82"/>
    <w:rsid w:val="00E62EC9"/>
    <w:rsid w:val="00E62F31"/>
    <w:rsid w:val="00E62FDD"/>
    <w:rsid w:val="00E6306D"/>
    <w:rsid w:val="00E630C1"/>
    <w:rsid w:val="00E63135"/>
    <w:rsid w:val="00E631F7"/>
    <w:rsid w:val="00E6320E"/>
    <w:rsid w:val="00E6323F"/>
    <w:rsid w:val="00E6327F"/>
    <w:rsid w:val="00E632BC"/>
    <w:rsid w:val="00E632C5"/>
    <w:rsid w:val="00E6333D"/>
    <w:rsid w:val="00E633A4"/>
    <w:rsid w:val="00E63495"/>
    <w:rsid w:val="00E634D2"/>
    <w:rsid w:val="00E6352C"/>
    <w:rsid w:val="00E63546"/>
    <w:rsid w:val="00E63556"/>
    <w:rsid w:val="00E635B4"/>
    <w:rsid w:val="00E635D2"/>
    <w:rsid w:val="00E63751"/>
    <w:rsid w:val="00E6380C"/>
    <w:rsid w:val="00E6383C"/>
    <w:rsid w:val="00E63850"/>
    <w:rsid w:val="00E63867"/>
    <w:rsid w:val="00E63910"/>
    <w:rsid w:val="00E6391F"/>
    <w:rsid w:val="00E639C2"/>
    <w:rsid w:val="00E639C5"/>
    <w:rsid w:val="00E639F0"/>
    <w:rsid w:val="00E63A17"/>
    <w:rsid w:val="00E63A1E"/>
    <w:rsid w:val="00E63A28"/>
    <w:rsid w:val="00E63A3C"/>
    <w:rsid w:val="00E63A63"/>
    <w:rsid w:val="00E63A82"/>
    <w:rsid w:val="00E63AAC"/>
    <w:rsid w:val="00E63AB5"/>
    <w:rsid w:val="00E63AC8"/>
    <w:rsid w:val="00E63B44"/>
    <w:rsid w:val="00E63B4D"/>
    <w:rsid w:val="00E63B96"/>
    <w:rsid w:val="00E63BA6"/>
    <w:rsid w:val="00E63BD3"/>
    <w:rsid w:val="00E63D1F"/>
    <w:rsid w:val="00E63D57"/>
    <w:rsid w:val="00E63D89"/>
    <w:rsid w:val="00E63E49"/>
    <w:rsid w:val="00E63F06"/>
    <w:rsid w:val="00E63F2C"/>
    <w:rsid w:val="00E63F39"/>
    <w:rsid w:val="00E63F90"/>
    <w:rsid w:val="00E63FB4"/>
    <w:rsid w:val="00E64007"/>
    <w:rsid w:val="00E6404B"/>
    <w:rsid w:val="00E6409D"/>
    <w:rsid w:val="00E64273"/>
    <w:rsid w:val="00E642C1"/>
    <w:rsid w:val="00E642D9"/>
    <w:rsid w:val="00E64310"/>
    <w:rsid w:val="00E64342"/>
    <w:rsid w:val="00E64488"/>
    <w:rsid w:val="00E64560"/>
    <w:rsid w:val="00E64565"/>
    <w:rsid w:val="00E645BC"/>
    <w:rsid w:val="00E64604"/>
    <w:rsid w:val="00E6461C"/>
    <w:rsid w:val="00E64662"/>
    <w:rsid w:val="00E646BE"/>
    <w:rsid w:val="00E64864"/>
    <w:rsid w:val="00E6488A"/>
    <w:rsid w:val="00E64949"/>
    <w:rsid w:val="00E64952"/>
    <w:rsid w:val="00E6497A"/>
    <w:rsid w:val="00E64997"/>
    <w:rsid w:val="00E649D5"/>
    <w:rsid w:val="00E649FC"/>
    <w:rsid w:val="00E64A0A"/>
    <w:rsid w:val="00E64B2A"/>
    <w:rsid w:val="00E64C0E"/>
    <w:rsid w:val="00E64C0F"/>
    <w:rsid w:val="00E64CB4"/>
    <w:rsid w:val="00E64CF3"/>
    <w:rsid w:val="00E64D1E"/>
    <w:rsid w:val="00E64D40"/>
    <w:rsid w:val="00E64D65"/>
    <w:rsid w:val="00E64D71"/>
    <w:rsid w:val="00E64DEF"/>
    <w:rsid w:val="00E64DF1"/>
    <w:rsid w:val="00E64E4A"/>
    <w:rsid w:val="00E64F6D"/>
    <w:rsid w:val="00E65057"/>
    <w:rsid w:val="00E6506F"/>
    <w:rsid w:val="00E65091"/>
    <w:rsid w:val="00E6520D"/>
    <w:rsid w:val="00E65223"/>
    <w:rsid w:val="00E65232"/>
    <w:rsid w:val="00E6524D"/>
    <w:rsid w:val="00E652C2"/>
    <w:rsid w:val="00E652C8"/>
    <w:rsid w:val="00E652F1"/>
    <w:rsid w:val="00E653F1"/>
    <w:rsid w:val="00E65412"/>
    <w:rsid w:val="00E65467"/>
    <w:rsid w:val="00E6552E"/>
    <w:rsid w:val="00E65531"/>
    <w:rsid w:val="00E6556B"/>
    <w:rsid w:val="00E655B0"/>
    <w:rsid w:val="00E655F3"/>
    <w:rsid w:val="00E65627"/>
    <w:rsid w:val="00E65659"/>
    <w:rsid w:val="00E65689"/>
    <w:rsid w:val="00E6569B"/>
    <w:rsid w:val="00E6578C"/>
    <w:rsid w:val="00E65874"/>
    <w:rsid w:val="00E6590A"/>
    <w:rsid w:val="00E6595A"/>
    <w:rsid w:val="00E6596C"/>
    <w:rsid w:val="00E659C9"/>
    <w:rsid w:val="00E659D6"/>
    <w:rsid w:val="00E65A59"/>
    <w:rsid w:val="00E65A76"/>
    <w:rsid w:val="00E65AAB"/>
    <w:rsid w:val="00E65AD5"/>
    <w:rsid w:val="00E65ADF"/>
    <w:rsid w:val="00E65B43"/>
    <w:rsid w:val="00E65BEB"/>
    <w:rsid w:val="00E65BF5"/>
    <w:rsid w:val="00E65C8D"/>
    <w:rsid w:val="00E65C99"/>
    <w:rsid w:val="00E65DBB"/>
    <w:rsid w:val="00E65E4E"/>
    <w:rsid w:val="00E65EDE"/>
    <w:rsid w:val="00E65F17"/>
    <w:rsid w:val="00E65F46"/>
    <w:rsid w:val="00E65F5B"/>
    <w:rsid w:val="00E65F7C"/>
    <w:rsid w:val="00E6601D"/>
    <w:rsid w:val="00E6602E"/>
    <w:rsid w:val="00E660C5"/>
    <w:rsid w:val="00E661D2"/>
    <w:rsid w:val="00E66201"/>
    <w:rsid w:val="00E66253"/>
    <w:rsid w:val="00E66278"/>
    <w:rsid w:val="00E6632B"/>
    <w:rsid w:val="00E6635F"/>
    <w:rsid w:val="00E663B0"/>
    <w:rsid w:val="00E66528"/>
    <w:rsid w:val="00E66531"/>
    <w:rsid w:val="00E66564"/>
    <w:rsid w:val="00E665DF"/>
    <w:rsid w:val="00E66637"/>
    <w:rsid w:val="00E66673"/>
    <w:rsid w:val="00E66676"/>
    <w:rsid w:val="00E667CC"/>
    <w:rsid w:val="00E667D0"/>
    <w:rsid w:val="00E66981"/>
    <w:rsid w:val="00E669A7"/>
    <w:rsid w:val="00E669EE"/>
    <w:rsid w:val="00E66A00"/>
    <w:rsid w:val="00E66A38"/>
    <w:rsid w:val="00E66A40"/>
    <w:rsid w:val="00E66A65"/>
    <w:rsid w:val="00E66A69"/>
    <w:rsid w:val="00E66ACA"/>
    <w:rsid w:val="00E66B32"/>
    <w:rsid w:val="00E66C28"/>
    <w:rsid w:val="00E66C67"/>
    <w:rsid w:val="00E66CC0"/>
    <w:rsid w:val="00E66D11"/>
    <w:rsid w:val="00E66D3A"/>
    <w:rsid w:val="00E66EB3"/>
    <w:rsid w:val="00E66EDD"/>
    <w:rsid w:val="00E66F96"/>
    <w:rsid w:val="00E66FE0"/>
    <w:rsid w:val="00E6705E"/>
    <w:rsid w:val="00E670D2"/>
    <w:rsid w:val="00E6718B"/>
    <w:rsid w:val="00E671C6"/>
    <w:rsid w:val="00E67222"/>
    <w:rsid w:val="00E67332"/>
    <w:rsid w:val="00E6737B"/>
    <w:rsid w:val="00E6739B"/>
    <w:rsid w:val="00E673C7"/>
    <w:rsid w:val="00E673D5"/>
    <w:rsid w:val="00E67438"/>
    <w:rsid w:val="00E6743D"/>
    <w:rsid w:val="00E67448"/>
    <w:rsid w:val="00E674DC"/>
    <w:rsid w:val="00E674DE"/>
    <w:rsid w:val="00E674E6"/>
    <w:rsid w:val="00E675EA"/>
    <w:rsid w:val="00E67649"/>
    <w:rsid w:val="00E6764D"/>
    <w:rsid w:val="00E6767B"/>
    <w:rsid w:val="00E67744"/>
    <w:rsid w:val="00E67789"/>
    <w:rsid w:val="00E677A1"/>
    <w:rsid w:val="00E677FF"/>
    <w:rsid w:val="00E67876"/>
    <w:rsid w:val="00E678BF"/>
    <w:rsid w:val="00E679AF"/>
    <w:rsid w:val="00E679CC"/>
    <w:rsid w:val="00E67AA7"/>
    <w:rsid w:val="00E67C7C"/>
    <w:rsid w:val="00E67D7A"/>
    <w:rsid w:val="00E67E3F"/>
    <w:rsid w:val="00E67E54"/>
    <w:rsid w:val="00E67EAC"/>
    <w:rsid w:val="00E67F64"/>
    <w:rsid w:val="00E67F9F"/>
    <w:rsid w:val="00E67FAB"/>
    <w:rsid w:val="00E7010A"/>
    <w:rsid w:val="00E7011D"/>
    <w:rsid w:val="00E7015F"/>
    <w:rsid w:val="00E701D8"/>
    <w:rsid w:val="00E70253"/>
    <w:rsid w:val="00E7028F"/>
    <w:rsid w:val="00E702B2"/>
    <w:rsid w:val="00E70379"/>
    <w:rsid w:val="00E7044D"/>
    <w:rsid w:val="00E7046E"/>
    <w:rsid w:val="00E704AD"/>
    <w:rsid w:val="00E704CD"/>
    <w:rsid w:val="00E704FB"/>
    <w:rsid w:val="00E70500"/>
    <w:rsid w:val="00E70513"/>
    <w:rsid w:val="00E7070B"/>
    <w:rsid w:val="00E707AA"/>
    <w:rsid w:val="00E707AD"/>
    <w:rsid w:val="00E7082B"/>
    <w:rsid w:val="00E70876"/>
    <w:rsid w:val="00E7087D"/>
    <w:rsid w:val="00E708B0"/>
    <w:rsid w:val="00E708FC"/>
    <w:rsid w:val="00E70907"/>
    <w:rsid w:val="00E7090B"/>
    <w:rsid w:val="00E70AFD"/>
    <w:rsid w:val="00E70B1A"/>
    <w:rsid w:val="00E70BF0"/>
    <w:rsid w:val="00E70BF1"/>
    <w:rsid w:val="00E70C14"/>
    <w:rsid w:val="00E70C6F"/>
    <w:rsid w:val="00E70C8D"/>
    <w:rsid w:val="00E70C9A"/>
    <w:rsid w:val="00E70D07"/>
    <w:rsid w:val="00E70D43"/>
    <w:rsid w:val="00E70D65"/>
    <w:rsid w:val="00E70D6D"/>
    <w:rsid w:val="00E70DF3"/>
    <w:rsid w:val="00E70E21"/>
    <w:rsid w:val="00E70EAE"/>
    <w:rsid w:val="00E70ED6"/>
    <w:rsid w:val="00E70EE8"/>
    <w:rsid w:val="00E70F4A"/>
    <w:rsid w:val="00E70F80"/>
    <w:rsid w:val="00E70FCF"/>
    <w:rsid w:val="00E70FFE"/>
    <w:rsid w:val="00E7109A"/>
    <w:rsid w:val="00E710F2"/>
    <w:rsid w:val="00E71149"/>
    <w:rsid w:val="00E71159"/>
    <w:rsid w:val="00E711D4"/>
    <w:rsid w:val="00E711E7"/>
    <w:rsid w:val="00E712ED"/>
    <w:rsid w:val="00E71402"/>
    <w:rsid w:val="00E7140B"/>
    <w:rsid w:val="00E714DB"/>
    <w:rsid w:val="00E7157C"/>
    <w:rsid w:val="00E71581"/>
    <w:rsid w:val="00E715E4"/>
    <w:rsid w:val="00E71699"/>
    <w:rsid w:val="00E717E4"/>
    <w:rsid w:val="00E717ED"/>
    <w:rsid w:val="00E71874"/>
    <w:rsid w:val="00E71899"/>
    <w:rsid w:val="00E718A9"/>
    <w:rsid w:val="00E718B6"/>
    <w:rsid w:val="00E718EF"/>
    <w:rsid w:val="00E71903"/>
    <w:rsid w:val="00E7192E"/>
    <w:rsid w:val="00E71A2E"/>
    <w:rsid w:val="00E71B2C"/>
    <w:rsid w:val="00E71B7E"/>
    <w:rsid w:val="00E71BF8"/>
    <w:rsid w:val="00E71C9D"/>
    <w:rsid w:val="00E71CEB"/>
    <w:rsid w:val="00E71D0F"/>
    <w:rsid w:val="00E71D57"/>
    <w:rsid w:val="00E71D89"/>
    <w:rsid w:val="00E71E0C"/>
    <w:rsid w:val="00E71E1F"/>
    <w:rsid w:val="00E71E2B"/>
    <w:rsid w:val="00E71EA1"/>
    <w:rsid w:val="00E71EFC"/>
    <w:rsid w:val="00E71F58"/>
    <w:rsid w:val="00E71F6D"/>
    <w:rsid w:val="00E71FAE"/>
    <w:rsid w:val="00E72008"/>
    <w:rsid w:val="00E72081"/>
    <w:rsid w:val="00E720D8"/>
    <w:rsid w:val="00E720F2"/>
    <w:rsid w:val="00E7217E"/>
    <w:rsid w:val="00E721A4"/>
    <w:rsid w:val="00E7224D"/>
    <w:rsid w:val="00E72277"/>
    <w:rsid w:val="00E7231C"/>
    <w:rsid w:val="00E7239B"/>
    <w:rsid w:val="00E724EC"/>
    <w:rsid w:val="00E72504"/>
    <w:rsid w:val="00E725C2"/>
    <w:rsid w:val="00E725EC"/>
    <w:rsid w:val="00E7260E"/>
    <w:rsid w:val="00E72683"/>
    <w:rsid w:val="00E72691"/>
    <w:rsid w:val="00E7273E"/>
    <w:rsid w:val="00E72740"/>
    <w:rsid w:val="00E727A4"/>
    <w:rsid w:val="00E72829"/>
    <w:rsid w:val="00E7284A"/>
    <w:rsid w:val="00E72885"/>
    <w:rsid w:val="00E729BC"/>
    <w:rsid w:val="00E729EC"/>
    <w:rsid w:val="00E72A94"/>
    <w:rsid w:val="00E72AC5"/>
    <w:rsid w:val="00E72ADD"/>
    <w:rsid w:val="00E72ADF"/>
    <w:rsid w:val="00E72AEC"/>
    <w:rsid w:val="00E72BF9"/>
    <w:rsid w:val="00E72C1B"/>
    <w:rsid w:val="00E72D23"/>
    <w:rsid w:val="00E72D69"/>
    <w:rsid w:val="00E72E06"/>
    <w:rsid w:val="00E72E39"/>
    <w:rsid w:val="00E72EA6"/>
    <w:rsid w:val="00E72F44"/>
    <w:rsid w:val="00E72F96"/>
    <w:rsid w:val="00E72FC3"/>
    <w:rsid w:val="00E7307D"/>
    <w:rsid w:val="00E730C9"/>
    <w:rsid w:val="00E7310E"/>
    <w:rsid w:val="00E7313E"/>
    <w:rsid w:val="00E731FA"/>
    <w:rsid w:val="00E732A7"/>
    <w:rsid w:val="00E732B5"/>
    <w:rsid w:val="00E732BE"/>
    <w:rsid w:val="00E732D0"/>
    <w:rsid w:val="00E732D7"/>
    <w:rsid w:val="00E73303"/>
    <w:rsid w:val="00E73376"/>
    <w:rsid w:val="00E7342F"/>
    <w:rsid w:val="00E7347B"/>
    <w:rsid w:val="00E734AB"/>
    <w:rsid w:val="00E73503"/>
    <w:rsid w:val="00E7356D"/>
    <w:rsid w:val="00E735C7"/>
    <w:rsid w:val="00E735ED"/>
    <w:rsid w:val="00E7365B"/>
    <w:rsid w:val="00E73661"/>
    <w:rsid w:val="00E73684"/>
    <w:rsid w:val="00E7368C"/>
    <w:rsid w:val="00E73758"/>
    <w:rsid w:val="00E737D2"/>
    <w:rsid w:val="00E7380D"/>
    <w:rsid w:val="00E73859"/>
    <w:rsid w:val="00E738D2"/>
    <w:rsid w:val="00E738FC"/>
    <w:rsid w:val="00E738FE"/>
    <w:rsid w:val="00E73963"/>
    <w:rsid w:val="00E739E2"/>
    <w:rsid w:val="00E73A08"/>
    <w:rsid w:val="00E73A95"/>
    <w:rsid w:val="00E73C70"/>
    <w:rsid w:val="00E73C82"/>
    <w:rsid w:val="00E73C8C"/>
    <w:rsid w:val="00E73D1A"/>
    <w:rsid w:val="00E73D5F"/>
    <w:rsid w:val="00E73D82"/>
    <w:rsid w:val="00E73DCD"/>
    <w:rsid w:val="00E73DED"/>
    <w:rsid w:val="00E73E07"/>
    <w:rsid w:val="00E73E3C"/>
    <w:rsid w:val="00E73FD7"/>
    <w:rsid w:val="00E73FFB"/>
    <w:rsid w:val="00E74057"/>
    <w:rsid w:val="00E740EB"/>
    <w:rsid w:val="00E7416F"/>
    <w:rsid w:val="00E741F7"/>
    <w:rsid w:val="00E74252"/>
    <w:rsid w:val="00E7437B"/>
    <w:rsid w:val="00E7441F"/>
    <w:rsid w:val="00E74427"/>
    <w:rsid w:val="00E745C3"/>
    <w:rsid w:val="00E745DE"/>
    <w:rsid w:val="00E74606"/>
    <w:rsid w:val="00E74721"/>
    <w:rsid w:val="00E74739"/>
    <w:rsid w:val="00E747E2"/>
    <w:rsid w:val="00E747ED"/>
    <w:rsid w:val="00E7489B"/>
    <w:rsid w:val="00E7494E"/>
    <w:rsid w:val="00E7495A"/>
    <w:rsid w:val="00E7498C"/>
    <w:rsid w:val="00E74A2F"/>
    <w:rsid w:val="00E74A52"/>
    <w:rsid w:val="00E74A5E"/>
    <w:rsid w:val="00E74ACF"/>
    <w:rsid w:val="00E74AE8"/>
    <w:rsid w:val="00E74AF8"/>
    <w:rsid w:val="00E74B21"/>
    <w:rsid w:val="00E74B78"/>
    <w:rsid w:val="00E74BB1"/>
    <w:rsid w:val="00E74BB7"/>
    <w:rsid w:val="00E74BDF"/>
    <w:rsid w:val="00E74BED"/>
    <w:rsid w:val="00E74C6C"/>
    <w:rsid w:val="00E74CF0"/>
    <w:rsid w:val="00E74D4F"/>
    <w:rsid w:val="00E74DCE"/>
    <w:rsid w:val="00E74E94"/>
    <w:rsid w:val="00E74F3C"/>
    <w:rsid w:val="00E74FBC"/>
    <w:rsid w:val="00E74FF3"/>
    <w:rsid w:val="00E75117"/>
    <w:rsid w:val="00E75175"/>
    <w:rsid w:val="00E751C8"/>
    <w:rsid w:val="00E7522D"/>
    <w:rsid w:val="00E75306"/>
    <w:rsid w:val="00E7531A"/>
    <w:rsid w:val="00E7537B"/>
    <w:rsid w:val="00E75389"/>
    <w:rsid w:val="00E753A0"/>
    <w:rsid w:val="00E75415"/>
    <w:rsid w:val="00E75442"/>
    <w:rsid w:val="00E75498"/>
    <w:rsid w:val="00E756C5"/>
    <w:rsid w:val="00E756CA"/>
    <w:rsid w:val="00E7571D"/>
    <w:rsid w:val="00E75776"/>
    <w:rsid w:val="00E75787"/>
    <w:rsid w:val="00E75897"/>
    <w:rsid w:val="00E758E0"/>
    <w:rsid w:val="00E75949"/>
    <w:rsid w:val="00E75962"/>
    <w:rsid w:val="00E759CE"/>
    <w:rsid w:val="00E75A1C"/>
    <w:rsid w:val="00E75A38"/>
    <w:rsid w:val="00E75A42"/>
    <w:rsid w:val="00E75A55"/>
    <w:rsid w:val="00E75AF2"/>
    <w:rsid w:val="00E75B13"/>
    <w:rsid w:val="00E75B29"/>
    <w:rsid w:val="00E75BFB"/>
    <w:rsid w:val="00E75C75"/>
    <w:rsid w:val="00E75C97"/>
    <w:rsid w:val="00E75E2A"/>
    <w:rsid w:val="00E75E9B"/>
    <w:rsid w:val="00E75F32"/>
    <w:rsid w:val="00E75FCC"/>
    <w:rsid w:val="00E75FD8"/>
    <w:rsid w:val="00E7606D"/>
    <w:rsid w:val="00E76092"/>
    <w:rsid w:val="00E760B5"/>
    <w:rsid w:val="00E76160"/>
    <w:rsid w:val="00E76197"/>
    <w:rsid w:val="00E763DE"/>
    <w:rsid w:val="00E76476"/>
    <w:rsid w:val="00E76496"/>
    <w:rsid w:val="00E76512"/>
    <w:rsid w:val="00E7653F"/>
    <w:rsid w:val="00E76616"/>
    <w:rsid w:val="00E76623"/>
    <w:rsid w:val="00E7676A"/>
    <w:rsid w:val="00E767BB"/>
    <w:rsid w:val="00E76859"/>
    <w:rsid w:val="00E7687C"/>
    <w:rsid w:val="00E76938"/>
    <w:rsid w:val="00E769C0"/>
    <w:rsid w:val="00E769C9"/>
    <w:rsid w:val="00E76AD7"/>
    <w:rsid w:val="00E76B27"/>
    <w:rsid w:val="00E76B4A"/>
    <w:rsid w:val="00E76B5C"/>
    <w:rsid w:val="00E76BDD"/>
    <w:rsid w:val="00E76C63"/>
    <w:rsid w:val="00E76C83"/>
    <w:rsid w:val="00E76D2F"/>
    <w:rsid w:val="00E76DB3"/>
    <w:rsid w:val="00E76DC8"/>
    <w:rsid w:val="00E76DFB"/>
    <w:rsid w:val="00E76E2B"/>
    <w:rsid w:val="00E76E60"/>
    <w:rsid w:val="00E76F1F"/>
    <w:rsid w:val="00E76F5B"/>
    <w:rsid w:val="00E76F9F"/>
    <w:rsid w:val="00E76FF6"/>
    <w:rsid w:val="00E77012"/>
    <w:rsid w:val="00E77021"/>
    <w:rsid w:val="00E77119"/>
    <w:rsid w:val="00E77206"/>
    <w:rsid w:val="00E77253"/>
    <w:rsid w:val="00E772ED"/>
    <w:rsid w:val="00E77485"/>
    <w:rsid w:val="00E774B1"/>
    <w:rsid w:val="00E774CE"/>
    <w:rsid w:val="00E774EC"/>
    <w:rsid w:val="00E77504"/>
    <w:rsid w:val="00E775D9"/>
    <w:rsid w:val="00E775EC"/>
    <w:rsid w:val="00E776AE"/>
    <w:rsid w:val="00E77757"/>
    <w:rsid w:val="00E77771"/>
    <w:rsid w:val="00E77791"/>
    <w:rsid w:val="00E777D6"/>
    <w:rsid w:val="00E7780E"/>
    <w:rsid w:val="00E7783B"/>
    <w:rsid w:val="00E7788F"/>
    <w:rsid w:val="00E778EE"/>
    <w:rsid w:val="00E7792B"/>
    <w:rsid w:val="00E7795A"/>
    <w:rsid w:val="00E77A47"/>
    <w:rsid w:val="00E77ACB"/>
    <w:rsid w:val="00E77B9D"/>
    <w:rsid w:val="00E77C26"/>
    <w:rsid w:val="00E77CC5"/>
    <w:rsid w:val="00E77CF0"/>
    <w:rsid w:val="00E77D53"/>
    <w:rsid w:val="00E77DBC"/>
    <w:rsid w:val="00E77DD2"/>
    <w:rsid w:val="00E77E27"/>
    <w:rsid w:val="00E77E78"/>
    <w:rsid w:val="00E77EDA"/>
    <w:rsid w:val="00E77F32"/>
    <w:rsid w:val="00E77F57"/>
    <w:rsid w:val="00E77F73"/>
    <w:rsid w:val="00E80087"/>
    <w:rsid w:val="00E8009D"/>
    <w:rsid w:val="00E800BB"/>
    <w:rsid w:val="00E80124"/>
    <w:rsid w:val="00E80159"/>
    <w:rsid w:val="00E801E9"/>
    <w:rsid w:val="00E8026E"/>
    <w:rsid w:val="00E80344"/>
    <w:rsid w:val="00E80376"/>
    <w:rsid w:val="00E8042B"/>
    <w:rsid w:val="00E80432"/>
    <w:rsid w:val="00E80484"/>
    <w:rsid w:val="00E80587"/>
    <w:rsid w:val="00E806BB"/>
    <w:rsid w:val="00E8077D"/>
    <w:rsid w:val="00E807C6"/>
    <w:rsid w:val="00E80872"/>
    <w:rsid w:val="00E808CD"/>
    <w:rsid w:val="00E80942"/>
    <w:rsid w:val="00E8094C"/>
    <w:rsid w:val="00E8094E"/>
    <w:rsid w:val="00E8099A"/>
    <w:rsid w:val="00E80A50"/>
    <w:rsid w:val="00E80AAC"/>
    <w:rsid w:val="00E80AC4"/>
    <w:rsid w:val="00E80AD7"/>
    <w:rsid w:val="00E80B06"/>
    <w:rsid w:val="00E80B0A"/>
    <w:rsid w:val="00E80B57"/>
    <w:rsid w:val="00E80BC6"/>
    <w:rsid w:val="00E80BE8"/>
    <w:rsid w:val="00E80C1A"/>
    <w:rsid w:val="00E80C5B"/>
    <w:rsid w:val="00E80C6E"/>
    <w:rsid w:val="00E80CED"/>
    <w:rsid w:val="00E80CF8"/>
    <w:rsid w:val="00E80D7C"/>
    <w:rsid w:val="00E80DC3"/>
    <w:rsid w:val="00E80E0E"/>
    <w:rsid w:val="00E80E23"/>
    <w:rsid w:val="00E80E8A"/>
    <w:rsid w:val="00E80E9B"/>
    <w:rsid w:val="00E80FF6"/>
    <w:rsid w:val="00E81041"/>
    <w:rsid w:val="00E81045"/>
    <w:rsid w:val="00E8116B"/>
    <w:rsid w:val="00E81175"/>
    <w:rsid w:val="00E81203"/>
    <w:rsid w:val="00E81245"/>
    <w:rsid w:val="00E81286"/>
    <w:rsid w:val="00E812E1"/>
    <w:rsid w:val="00E81354"/>
    <w:rsid w:val="00E8135C"/>
    <w:rsid w:val="00E81361"/>
    <w:rsid w:val="00E8138B"/>
    <w:rsid w:val="00E8139E"/>
    <w:rsid w:val="00E813F1"/>
    <w:rsid w:val="00E81499"/>
    <w:rsid w:val="00E814C4"/>
    <w:rsid w:val="00E81505"/>
    <w:rsid w:val="00E815F7"/>
    <w:rsid w:val="00E81689"/>
    <w:rsid w:val="00E816B0"/>
    <w:rsid w:val="00E8170D"/>
    <w:rsid w:val="00E81772"/>
    <w:rsid w:val="00E81777"/>
    <w:rsid w:val="00E817B5"/>
    <w:rsid w:val="00E817F9"/>
    <w:rsid w:val="00E818BF"/>
    <w:rsid w:val="00E81953"/>
    <w:rsid w:val="00E819C9"/>
    <w:rsid w:val="00E81A76"/>
    <w:rsid w:val="00E81ADE"/>
    <w:rsid w:val="00E81B56"/>
    <w:rsid w:val="00E81C97"/>
    <w:rsid w:val="00E81CCE"/>
    <w:rsid w:val="00E81D14"/>
    <w:rsid w:val="00E81D42"/>
    <w:rsid w:val="00E81D8A"/>
    <w:rsid w:val="00E81E80"/>
    <w:rsid w:val="00E81F11"/>
    <w:rsid w:val="00E81F55"/>
    <w:rsid w:val="00E81F5D"/>
    <w:rsid w:val="00E82098"/>
    <w:rsid w:val="00E821BF"/>
    <w:rsid w:val="00E82239"/>
    <w:rsid w:val="00E823C0"/>
    <w:rsid w:val="00E823DD"/>
    <w:rsid w:val="00E82419"/>
    <w:rsid w:val="00E82431"/>
    <w:rsid w:val="00E8248A"/>
    <w:rsid w:val="00E825BE"/>
    <w:rsid w:val="00E8260C"/>
    <w:rsid w:val="00E8263A"/>
    <w:rsid w:val="00E826AC"/>
    <w:rsid w:val="00E826C2"/>
    <w:rsid w:val="00E826EC"/>
    <w:rsid w:val="00E8273E"/>
    <w:rsid w:val="00E82741"/>
    <w:rsid w:val="00E8277A"/>
    <w:rsid w:val="00E82816"/>
    <w:rsid w:val="00E8281D"/>
    <w:rsid w:val="00E82908"/>
    <w:rsid w:val="00E82994"/>
    <w:rsid w:val="00E829CC"/>
    <w:rsid w:val="00E82C2D"/>
    <w:rsid w:val="00E82DC3"/>
    <w:rsid w:val="00E82DFD"/>
    <w:rsid w:val="00E82E84"/>
    <w:rsid w:val="00E82F03"/>
    <w:rsid w:val="00E82F75"/>
    <w:rsid w:val="00E8301E"/>
    <w:rsid w:val="00E8302D"/>
    <w:rsid w:val="00E830A4"/>
    <w:rsid w:val="00E830AE"/>
    <w:rsid w:val="00E830CD"/>
    <w:rsid w:val="00E83165"/>
    <w:rsid w:val="00E8316B"/>
    <w:rsid w:val="00E83238"/>
    <w:rsid w:val="00E8327F"/>
    <w:rsid w:val="00E832B7"/>
    <w:rsid w:val="00E832CE"/>
    <w:rsid w:val="00E8332C"/>
    <w:rsid w:val="00E83343"/>
    <w:rsid w:val="00E83366"/>
    <w:rsid w:val="00E83388"/>
    <w:rsid w:val="00E833BB"/>
    <w:rsid w:val="00E833D6"/>
    <w:rsid w:val="00E83427"/>
    <w:rsid w:val="00E83542"/>
    <w:rsid w:val="00E83595"/>
    <w:rsid w:val="00E835C9"/>
    <w:rsid w:val="00E835E3"/>
    <w:rsid w:val="00E8363A"/>
    <w:rsid w:val="00E836C9"/>
    <w:rsid w:val="00E8372F"/>
    <w:rsid w:val="00E83752"/>
    <w:rsid w:val="00E8382B"/>
    <w:rsid w:val="00E83852"/>
    <w:rsid w:val="00E8388B"/>
    <w:rsid w:val="00E838CB"/>
    <w:rsid w:val="00E839C1"/>
    <w:rsid w:val="00E83A15"/>
    <w:rsid w:val="00E83A58"/>
    <w:rsid w:val="00E83B99"/>
    <w:rsid w:val="00E83B9A"/>
    <w:rsid w:val="00E83C02"/>
    <w:rsid w:val="00E83C21"/>
    <w:rsid w:val="00E83CB9"/>
    <w:rsid w:val="00E83D18"/>
    <w:rsid w:val="00E83D56"/>
    <w:rsid w:val="00E83DB7"/>
    <w:rsid w:val="00E83E14"/>
    <w:rsid w:val="00E83E59"/>
    <w:rsid w:val="00E83EAC"/>
    <w:rsid w:val="00E83FD3"/>
    <w:rsid w:val="00E84002"/>
    <w:rsid w:val="00E8405B"/>
    <w:rsid w:val="00E840A6"/>
    <w:rsid w:val="00E8411A"/>
    <w:rsid w:val="00E8416B"/>
    <w:rsid w:val="00E841BA"/>
    <w:rsid w:val="00E843E2"/>
    <w:rsid w:val="00E84507"/>
    <w:rsid w:val="00E84601"/>
    <w:rsid w:val="00E8462B"/>
    <w:rsid w:val="00E8467E"/>
    <w:rsid w:val="00E846DC"/>
    <w:rsid w:val="00E84796"/>
    <w:rsid w:val="00E84887"/>
    <w:rsid w:val="00E848A0"/>
    <w:rsid w:val="00E848E2"/>
    <w:rsid w:val="00E848F8"/>
    <w:rsid w:val="00E84904"/>
    <w:rsid w:val="00E8493B"/>
    <w:rsid w:val="00E84987"/>
    <w:rsid w:val="00E849E3"/>
    <w:rsid w:val="00E84A2A"/>
    <w:rsid w:val="00E84A7C"/>
    <w:rsid w:val="00E84A97"/>
    <w:rsid w:val="00E84AB5"/>
    <w:rsid w:val="00E84AE7"/>
    <w:rsid w:val="00E84B6F"/>
    <w:rsid w:val="00E84C05"/>
    <w:rsid w:val="00E84C30"/>
    <w:rsid w:val="00E84C78"/>
    <w:rsid w:val="00E84CAA"/>
    <w:rsid w:val="00E84CB5"/>
    <w:rsid w:val="00E84E4E"/>
    <w:rsid w:val="00E84E76"/>
    <w:rsid w:val="00E84E92"/>
    <w:rsid w:val="00E84EAB"/>
    <w:rsid w:val="00E84EE2"/>
    <w:rsid w:val="00E84F1E"/>
    <w:rsid w:val="00E84F4F"/>
    <w:rsid w:val="00E84F7C"/>
    <w:rsid w:val="00E85043"/>
    <w:rsid w:val="00E85128"/>
    <w:rsid w:val="00E85164"/>
    <w:rsid w:val="00E851B8"/>
    <w:rsid w:val="00E85232"/>
    <w:rsid w:val="00E8529D"/>
    <w:rsid w:val="00E852A8"/>
    <w:rsid w:val="00E852BF"/>
    <w:rsid w:val="00E85351"/>
    <w:rsid w:val="00E853E6"/>
    <w:rsid w:val="00E853EF"/>
    <w:rsid w:val="00E85427"/>
    <w:rsid w:val="00E85451"/>
    <w:rsid w:val="00E85467"/>
    <w:rsid w:val="00E85487"/>
    <w:rsid w:val="00E854A0"/>
    <w:rsid w:val="00E854E3"/>
    <w:rsid w:val="00E854FB"/>
    <w:rsid w:val="00E8553E"/>
    <w:rsid w:val="00E85561"/>
    <w:rsid w:val="00E85576"/>
    <w:rsid w:val="00E855BF"/>
    <w:rsid w:val="00E8562B"/>
    <w:rsid w:val="00E8563D"/>
    <w:rsid w:val="00E8566E"/>
    <w:rsid w:val="00E856B0"/>
    <w:rsid w:val="00E856E1"/>
    <w:rsid w:val="00E85725"/>
    <w:rsid w:val="00E8576C"/>
    <w:rsid w:val="00E857A2"/>
    <w:rsid w:val="00E85873"/>
    <w:rsid w:val="00E858E1"/>
    <w:rsid w:val="00E8599D"/>
    <w:rsid w:val="00E859BC"/>
    <w:rsid w:val="00E859E2"/>
    <w:rsid w:val="00E85A28"/>
    <w:rsid w:val="00E85A81"/>
    <w:rsid w:val="00E85CEC"/>
    <w:rsid w:val="00E85DBD"/>
    <w:rsid w:val="00E85DD7"/>
    <w:rsid w:val="00E85FB9"/>
    <w:rsid w:val="00E8608D"/>
    <w:rsid w:val="00E861DF"/>
    <w:rsid w:val="00E861F8"/>
    <w:rsid w:val="00E8628B"/>
    <w:rsid w:val="00E862F4"/>
    <w:rsid w:val="00E8634C"/>
    <w:rsid w:val="00E86401"/>
    <w:rsid w:val="00E864E2"/>
    <w:rsid w:val="00E864E8"/>
    <w:rsid w:val="00E86503"/>
    <w:rsid w:val="00E86582"/>
    <w:rsid w:val="00E86597"/>
    <w:rsid w:val="00E865F3"/>
    <w:rsid w:val="00E866D6"/>
    <w:rsid w:val="00E86799"/>
    <w:rsid w:val="00E867A9"/>
    <w:rsid w:val="00E868A2"/>
    <w:rsid w:val="00E868B6"/>
    <w:rsid w:val="00E869C5"/>
    <w:rsid w:val="00E86A6D"/>
    <w:rsid w:val="00E86AB2"/>
    <w:rsid w:val="00E86AB3"/>
    <w:rsid w:val="00E86AB8"/>
    <w:rsid w:val="00E86BAF"/>
    <w:rsid w:val="00E86C03"/>
    <w:rsid w:val="00E86C0B"/>
    <w:rsid w:val="00E86C15"/>
    <w:rsid w:val="00E86C96"/>
    <w:rsid w:val="00E86CD1"/>
    <w:rsid w:val="00E86CE5"/>
    <w:rsid w:val="00E86DE4"/>
    <w:rsid w:val="00E86DE5"/>
    <w:rsid w:val="00E86E79"/>
    <w:rsid w:val="00E86EA5"/>
    <w:rsid w:val="00E86EAE"/>
    <w:rsid w:val="00E86ECC"/>
    <w:rsid w:val="00E86F02"/>
    <w:rsid w:val="00E86FCB"/>
    <w:rsid w:val="00E8707E"/>
    <w:rsid w:val="00E8708E"/>
    <w:rsid w:val="00E87092"/>
    <w:rsid w:val="00E870B5"/>
    <w:rsid w:val="00E87147"/>
    <w:rsid w:val="00E871B0"/>
    <w:rsid w:val="00E871CB"/>
    <w:rsid w:val="00E87222"/>
    <w:rsid w:val="00E87265"/>
    <w:rsid w:val="00E87304"/>
    <w:rsid w:val="00E87336"/>
    <w:rsid w:val="00E87352"/>
    <w:rsid w:val="00E873C6"/>
    <w:rsid w:val="00E87432"/>
    <w:rsid w:val="00E8744E"/>
    <w:rsid w:val="00E87463"/>
    <w:rsid w:val="00E87474"/>
    <w:rsid w:val="00E874A6"/>
    <w:rsid w:val="00E87533"/>
    <w:rsid w:val="00E8754A"/>
    <w:rsid w:val="00E8759F"/>
    <w:rsid w:val="00E875A0"/>
    <w:rsid w:val="00E875B6"/>
    <w:rsid w:val="00E87620"/>
    <w:rsid w:val="00E8765C"/>
    <w:rsid w:val="00E87679"/>
    <w:rsid w:val="00E8767B"/>
    <w:rsid w:val="00E87690"/>
    <w:rsid w:val="00E876A1"/>
    <w:rsid w:val="00E87706"/>
    <w:rsid w:val="00E8771D"/>
    <w:rsid w:val="00E87738"/>
    <w:rsid w:val="00E87742"/>
    <w:rsid w:val="00E87797"/>
    <w:rsid w:val="00E877C9"/>
    <w:rsid w:val="00E87834"/>
    <w:rsid w:val="00E8788B"/>
    <w:rsid w:val="00E87891"/>
    <w:rsid w:val="00E87908"/>
    <w:rsid w:val="00E8797B"/>
    <w:rsid w:val="00E879B5"/>
    <w:rsid w:val="00E87A4B"/>
    <w:rsid w:val="00E87A5E"/>
    <w:rsid w:val="00E87AE3"/>
    <w:rsid w:val="00E87B32"/>
    <w:rsid w:val="00E87B34"/>
    <w:rsid w:val="00E87BAD"/>
    <w:rsid w:val="00E87C42"/>
    <w:rsid w:val="00E87C66"/>
    <w:rsid w:val="00E87C9F"/>
    <w:rsid w:val="00E87CA8"/>
    <w:rsid w:val="00E87D90"/>
    <w:rsid w:val="00E87E01"/>
    <w:rsid w:val="00E87E2C"/>
    <w:rsid w:val="00E87E3F"/>
    <w:rsid w:val="00E87E4C"/>
    <w:rsid w:val="00E87EDE"/>
    <w:rsid w:val="00E87F8A"/>
    <w:rsid w:val="00E9001E"/>
    <w:rsid w:val="00E90032"/>
    <w:rsid w:val="00E90096"/>
    <w:rsid w:val="00E901EF"/>
    <w:rsid w:val="00E90225"/>
    <w:rsid w:val="00E90260"/>
    <w:rsid w:val="00E902DC"/>
    <w:rsid w:val="00E90350"/>
    <w:rsid w:val="00E904ED"/>
    <w:rsid w:val="00E90510"/>
    <w:rsid w:val="00E90546"/>
    <w:rsid w:val="00E90587"/>
    <w:rsid w:val="00E9070C"/>
    <w:rsid w:val="00E9072E"/>
    <w:rsid w:val="00E90771"/>
    <w:rsid w:val="00E90774"/>
    <w:rsid w:val="00E907AC"/>
    <w:rsid w:val="00E907DE"/>
    <w:rsid w:val="00E907F3"/>
    <w:rsid w:val="00E90806"/>
    <w:rsid w:val="00E90873"/>
    <w:rsid w:val="00E90940"/>
    <w:rsid w:val="00E909BC"/>
    <w:rsid w:val="00E90A26"/>
    <w:rsid w:val="00E90A6A"/>
    <w:rsid w:val="00E90A8B"/>
    <w:rsid w:val="00E90ACA"/>
    <w:rsid w:val="00E90ADD"/>
    <w:rsid w:val="00E90B05"/>
    <w:rsid w:val="00E90B0C"/>
    <w:rsid w:val="00E90B16"/>
    <w:rsid w:val="00E90B57"/>
    <w:rsid w:val="00E90B69"/>
    <w:rsid w:val="00E90B78"/>
    <w:rsid w:val="00E90B85"/>
    <w:rsid w:val="00E90BAC"/>
    <w:rsid w:val="00E90BAE"/>
    <w:rsid w:val="00E90C40"/>
    <w:rsid w:val="00E90CA3"/>
    <w:rsid w:val="00E90CD9"/>
    <w:rsid w:val="00E90CF2"/>
    <w:rsid w:val="00E90CFD"/>
    <w:rsid w:val="00E90D0E"/>
    <w:rsid w:val="00E90F5D"/>
    <w:rsid w:val="00E90F72"/>
    <w:rsid w:val="00E91003"/>
    <w:rsid w:val="00E910C2"/>
    <w:rsid w:val="00E9112D"/>
    <w:rsid w:val="00E91512"/>
    <w:rsid w:val="00E91549"/>
    <w:rsid w:val="00E91556"/>
    <w:rsid w:val="00E91567"/>
    <w:rsid w:val="00E9156E"/>
    <w:rsid w:val="00E915AE"/>
    <w:rsid w:val="00E915D7"/>
    <w:rsid w:val="00E91607"/>
    <w:rsid w:val="00E91707"/>
    <w:rsid w:val="00E91769"/>
    <w:rsid w:val="00E91792"/>
    <w:rsid w:val="00E917AD"/>
    <w:rsid w:val="00E91951"/>
    <w:rsid w:val="00E91964"/>
    <w:rsid w:val="00E919E2"/>
    <w:rsid w:val="00E91A32"/>
    <w:rsid w:val="00E91A5D"/>
    <w:rsid w:val="00E91AE5"/>
    <w:rsid w:val="00E91BCD"/>
    <w:rsid w:val="00E91BDB"/>
    <w:rsid w:val="00E91C4F"/>
    <w:rsid w:val="00E91CEA"/>
    <w:rsid w:val="00E91D93"/>
    <w:rsid w:val="00E91DB8"/>
    <w:rsid w:val="00E91DE5"/>
    <w:rsid w:val="00E91DF3"/>
    <w:rsid w:val="00E91E46"/>
    <w:rsid w:val="00E91FD7"/>
    <w:rsid w:val="00E9202A"/>
    <w:rsid w:val="00E920AC"/>
    <w:rsid w:val="00E921D3"/>
    <w:rsid w:val="00E9220C"/>
    <w:rsid w:val="00E92347"/>
    <w:rsid w:val="00E9234D"/>
    <w:rsid w:val="00E923C7"/>
    <w:rsid w:val="00E9253B"/>
    <w:rsid w:val="00E925DD"/>
    <w:rsid w:val="00E92617"/>
    <w:rsid w:val="00E926B8"/>
    <w:rsid w:val="00E9274C"/>
    <w:rsid w:val="00E927A3"/>
    <w:rsid w:val="00E927D9"/>
    <w:rsid w:val="00E9280E"/>
    <w:rsid w:val="00E9283D"/>
    <w:rsid w:val="00E928ED"/>
    <w:rsid w:val="00E92926"/>
    <w:rsid w:val="00E92927"/>
    <w:rsid w:val="00E92943"/>
    <w:rsid w:val="00E92A5A"/>
    <w:rsid w:val="00E92ABF"/>
    <w:rsid w:val="00E92B11"/>
    <w:rsid w:val="00E92B21"/>
    <w:rsid w:val="00E92B3A"/>
    <w:rsid w:val="00E92B5B"/>
    <w:rsid w:val="00E92C30"/>
    <w:rsid w:val="00E92D0D"/>
    <w:rsid w:val="00E92F38"/>
    <w:rsid w:val="00E92FD6"/>
    <w:rsid w:val="00E92FF2"/>
    <w:rsid w:val="00E93041"/>
    <w:rsid w:val="00E9311C"/>
    <w:rsid w:val="00E931FB"/>
    <w:rsid w:val="00E9326A"/>
    <w:rsid w:val="00E933E0"/>
    <w:rsid w:val="00E93491"/>
    <w:rsid w:val="00E934E2"/>
    <w:rsid w:val="00E935A4"/>
    <w:rsid w:val="00E935BD"/>
    <w:rsid w:val="00E93643"/>
    <w:rsid w:val="00E93814"/>
    <w:rsid w:val="00E93819"/>
    <w:rsid w:val="00E9382D"/>
    <w:rsid w:val="00E938AF"/>
    <w:rsid w:val="00E93902"/>
    <w:rsid w:val="00E93938"/>
    <w:rsid w:val="00E93962"/>
    <w:rsid w:val="00E93984"/>
    <w:rsid w:val="00E93A71"/>
    <w:rsid w:val="00E93AAA"/>
    <w:rsid w:val="00E93ADD"/>
    <w:rsid w:val="00E93AE0"/>
    <w:rsid w:val="00E93B04"/>
    <w:rsid w:val="00E93BB9"/>
    <w:rsid w:val="00E93C64"/>
    <w:rsid w:val="00E93C6D"/>
    <w:rsid w:val="00E93C7D"/>
    <w:rsid w:val="00E93C85"/>
    <w:rsid w:val="00E93CB9"/>
    <w:rsid w:val="00E93D18"/>
    <w:rsid w:val="00E93EDD"/>
    <w:rsid w:val="00E93EE9"/>
    <w:rsid w:val="00E93FC9"/>
    <w:rsid w:val="00E940C0"/>
    <w:rsid w:val="00E940E2"/>
    <w:rsid w:val="00E94259"/>
    <w:rsid w:val="00E94284"/>
    <w:rsid w:val="00E942B0"/>
    <w:rsid w:val="00E9430A"/>
    <w:rsid w:val="00E9434B"/>
    <w:rsid w:val="00E943D4"/>
    <w:rsid w:val="00E94407"/>
    <w:rsid w:val="00E944C9"/>
    <w:rsid w:val="00E944D2"/>
    <w:rsid w:val="00E94514"/>
    <w:rsid w:val="00E94577"/>
    <w:rsid w:val="00E94616"/>
    <w:rsid w:val="00E94618"/>
    <w:rsid w:val="00E94672"/>
    <w:rsid w:val="00E9472E"/>
    <w:rsid w:val="00E94758"/>
    <w:rsid w:val="00E94779"/>
    <w:rsid w:val="00E947BD"/>
    <w:rsid w:val="00E947DF"/>
    <w:rsid w:val="00E94810"/>
    <w:rsid w:val="00E948C0"/>
    <w:rsid w:val="00E9494A"/>
    <w:rsid w:val="00E94992"/>
    <w:rsid w:val="00E949AD"/>
    <w:rsid w:val="00E94A1E"/>
    <w:rsid w:val="00E94A34"/>
    <w:rsid w:val="00E94A93"/>
    <w:rsid w:val="00E94AA5"/>
    <w:rsid w:val="00E94AAD"/>
    <w:rsid w:val="00E94B64"/>
    <w:rsid w:val="00E94BF6"/>
    <w:rsid w:val="00E94DF7"/>
    <w:rsid w:val="00E94E5E"/>
    <w:rsid w:val="00E94E7E"/>
    <w:rsid w:val="00E94EF3"/>
    <w:rsid w:val="00E94F41"/>
    <w:rsid w:val="00E95001"/>
    <w:rsid w:val="00E95070"/>
    <w:rsid w:val="00E95158"/>
    <w:rsid w:val="00E951A3"/>
    <w:rsid w:val="00E951A4"/>
    <w:rsid w:val="00E951B0"/>
    <w:rsid w:val="00E95215"/>
    <w:rsid w:val="00E95256"/>
    <w:rsid w:val="00E95261"/>
    <w:rsid w:val="00E9539A"/>
    <w:rsid w:val="00E953B9"/>
    <w:rsid w:val="00E95442"/>
    <w:rsid w:val="00E954A0"/>
    <w:rsid w:val="00E954A4"/>
    <w:rsid w:val="00E9555C"/>
    <w:rsid w:val="00E9558E"/>
    <w:rsid w:val="00E955C5"/>
    <w:rsid w:val="00E955E2"/>
    <w:rsid w:val="00E95688"/>
    <w:rsid w:val="00E956C5"/>
    <w:rsid w:val="00E95772"/>
    <w:rsid w:val="00E95818"/>
    <w:rsid w:val="00E95856"/>
    <w:rsid w:val="00E958CB"/>
    <w:rsid w:val="00E958E3"/>
    <w:rsid w:val="00E95AB5"/>
    <w:rsid w:val="00E95B08"/>
    <w:rsid w:val="00E95BDF"/>
    <w:rsid w:val="00E95C44"/>
    <w:rsid w:val="00E95C57"/>
    <w:rsid w:val="00E95C7B"/>
    <w:rsid w:val="00E95C9B"/>
    <w:rsid w:val="00E95CB8"/>
    <w:rsid w:val="00E95D5A"/>
    <w:rsid w:val="00E95DAC"/>
    <w:rsid w:val="00E95DAE"/>
    <w:rsid w:val="00E95DD5"/>
    <w:rsid w:val="00E95DD9"/>
    <w:rsid w:val="00E95F33"/>
    <w:rsid w:val="00E960CA"/>
    <w:rsid w:val="00E9612F"/>
    <w:rsid w:val="00E96130"/>
    <w:rsid w:val="00E96140"/>
    <w:rsid w:val="00E9617C"/>
    <w:rsid w:val="00E9635B"/>
    <w:rsid w:val="00E96514"/>
    <w:rsid w:val="00E965A2"/>
    <w:rsid w:val="00E9662B"/>
    <w:rsid w:val="00E96675"/>
    <w:rsid w:val="00E966A0"/>
    <w:rsid w:val="00E96821"/>
    <w:rsid w:val="00E968F9"/>
    <w:rsid w:val="00E96A54"/>
    <w:rsid w:val="00E96B60"/>
    <w:rsid w:val="00E96C0B"/>
    <w:rsid w:val="00E96C46"/>
    <w:rsid w:val="00E96CAC"/>
    <w:rsid w:val="00E96CED"/>
    <w:rsid w:val="00E96D14"/>
    <w:rsid w:val="00E96D15"/>
    <w:rsid w:val="00E96D9C"/>
    <w:rsid w:val="00E96E07"/>
    <w:rsid w:val="00E96E44"/>
    <w:rsid w:val="00E96E9D"/>
    <w:rsid w:val="00E96EB2"/>
    <w:rsid w:val="00E96F0E"/>
    <w:rsid w:val="00E96F29"/>
    <w:rsid w:val="00E96F5D"/>
    <w:rsid w:val="00E96F97"/>
    <w:rsid w:val="00E96F9F"/>
    <w:rsid w:val="00E97020"/>
    <w:rsid w:val="00E9706F"/>
    <w:rsid w:val="00E970BA"/>
    <w:rsid w:val="00E970BE"/>
    <w:rsid w:val="00E970E6"/>
    <w:rsid w:val="00E9710A"/>
    <w:rsid w:val="00E971BC"/>
    <w:rsid w:val="00E9721C"/>
    <w:rsid w:val="00E9733F"/>
    <w:rsid w:val="00E97419"/>
    <w:rsid w:val="00E97489"/>
    <w:rsid w:val="00E9761C"/>
    <w:rsid w:val="00E976B2"/>
    <w:rsid w:val="00E97773"/>
    <w:rsid w:val="00E977F8"/>
    <w:rsid w:val="00E977FB"/>
    <w:rsid w:val="00E97838"/>
    <w:rsid w:val="00E97846"/>
    <w:rsid w:val="00E97886"/>
    <w:rsid w:val="00E97966"/>
    <w:rsid w:val="00E97A27"/>
    <w:rsid w:val="00E97A44"/>
    <w:rsid w:val="00E97A7A"/>
    <w:rsid w:val="00E97ACD"/>
    <w:rsid w:val="00E97AF2"/>
    <w:rsid w:val="00E97B6D"/>
    <w:rsid w:val="00E97BCE"/>
    <w:rsid w:val="00E97BD0"/>
    <w:rsid w:val="00E97C26"/>
    <w:rsid w:val="00E97C54"/>
    <w:rsid w:val="00E97D1C"/>
    <w:rsid w:val="00E97D27"/>
    <w:rsid w:val="00E97D78"/>
    <w:rsid w:val="00E97DEE"/>
    <w:rsid w:val="00E97E4B"/>
    <w:rsid w:val="00E97E6A"/>
    <w:rsid w:val="00E97EAB"/>
    <w:rsid w:val="00E97EC1"/>
    <w:rsid w:val="00E97EC2"/>
    <w:rsid w:val="00E97EDA"/>
    <w:rsid w:val="00E97F31"/>
    <w:rsid w:val="00E97F42"/>
    <w:rsid w:val="00E97F5D"/>
    <w:rsid w:val="00EA009B"/>
    <w:rsid w:val="00EA00A9"/>
    <w:rsid w:val="00EA01E8"/>
    <w:rsid w:val="00EA01EF"/>
    <w:rsid w:val="00EA02C4"/>
    <w:rsid w:val="00EA0378"/>
    <w:rsid w:val="00EA038C"/>
    <w:rsid w:val="00EA041B"/>
    <w:rsid w:val="00EA042A"/>
    <w:rsid w:val="00EA04F4"/>
    <w:rsid w:val="00EA05B2"/>
    <w:rsid w:val="00EA061E"/>
    <w:rsid w:val="00EA0659"/>
    <w:rsid w:val="00EA072A"/>
    <w:rsid w:val="00EA0744"/>
    <w:rsid w:val="00EA07BE"/>
    <w:rsid w:val="00EA0837"/>
    <w:rsid w:val="00EA084D"/>
    <w:rsid w:val="00EA08C7"/>
    <w:rsid w:val="00EA08FA"/>
    <w:rsid w:val="00EA0999"/>
    <w:rsid w:val="00EA09B6"/>
    <w:rsid w:val="00EA09CA"/>
    <w:rsid w:val="00EA09FA"/>
    <w:rsid w:val="00EA0A3C"/>
    <w:rsid w:val="00EA0AF8"/>
    <w:rsid w:val="00EA0B25"/>
    <w:rsid w:val="00EA0B6E"/>
    <w:rsid w:val="00EA0BF6"/>
    <w:rsid w:val="00EA0D14"/>
    <w:rsid w:val="00EA0D34"/>
    <w:rsid w:val="00EA0F31"/>
    <w:rsid w:val="00EA0F35"/>
    <w:rsid w:val="00EA0F4A"/>
    <w:rsid w:val="00EA0F83"/>
    <w:rsid w:val="00EA0F95"/>
    <w:rsid w:val="00EA1042"/>
    <w:rsid w:val="00EA105A"/>
    <w:rsid w:val="00EA109B"/>
    <w:rsid w:val="00EA10D5"/>
    <w:rsid w:val="00EA110A"/>
    <w:rsid w:val="00EA115E"/>
    <w:rsid w:val="00EA11B2"/>
    <w:rsid w:val="00EA11C2"/>
    <w:rsid w:val="00EA121D"/>
    <w:rsid w:val="00EA1331"/>
    <w:rsid w:val="00EA1367"/>
    <w:rsid w:val="00EA14A4"/>
    <w:rsid w:val="00EA1593"/>
    <w:rsid w:val="00EA159A"/>
    <w:rsid w:val="00EA15CF"/>
    <w:rsid w:val="00EA161E"/>
    <w:rsid w:val="00EA1652"/>
    <w:rsid w:val="00EA177C"/>
    <w:rsid w:val="00EA1782"/>
    <w:rsid w:val="00EA1816"/>
    <w:rsid w:val="00EA1850"/>
    <w:rsid w:val="00EA187E"/>
    <w:rsid w:val="00EA1933"/>
    <w:rsid w:val="00EA19CF"/>
    <w:rsid w:val="00EA1A0B"/>
    <w:rsid w:val="00EA1A5A"/>
    <w:rsid w:val="00EA1B51"/>
    <w:rsid w:val="00EA1BBB"/>
    <w:rsid w:val="00EA1C27"/>
    <w:rsid w:val="00EA1C37"/>
    <w:rsid w:val="00EA1CDA"/>
    <w:rsid w:val="00EA1CF1"/>
    <w:rsid w:val="00EA1D01"/>
    <w:rsid w:val="00EA1D14"/>
    <w:rsid w:val="00EA1D4E"/>
    <w:rsid w:val="00EA1D7A"/>
    <w:rsid w:val="00EA1DCC"/>
    <w:rsid w:val="00EA1EB4"/>
    <w:rsid w:val="00EA1EEE"/>
    <w:rsid w:val="00EA1EFD"/>
    <w:rsid w:val="00EA1F5E"/>
    <w:rsid w:val="00EA1F8F"/>
    <w:rsid w:val="00EA2017"/>
    <w:rsid w:val="00EA2022"/>
    <w:rsid w:val="00EA208B"/>
    <w:rsid w:val="00EA21F5"/>
    <w:rsid w:val="00EA223D"/>
    <w:rsid w:val="00EA2286"/>
    <w:rsid w:val="00EA22F1"/>
    <w:rsid w:val="00EA2306"/>
    <w:rsid w:val="00EA234C"/>
    <w:rsid w:val="00EA238E"/>
    <w:rsid w:val="00EA23B8"/>
    <w:rsid w:val="00EA23DF"/>
    <w:rsid w:val="00EA2471"/>
    <w:rsid w:val="00EA2535"/>
    <w:rsid w:val="00EA259B"/>
    <w:rsid w:val="00EA25BE"/>
    <w:rsid w:val="00EA25EB"/>
    <w:rsid w:val="00EA2654"/>
    <w:rsid w:val="00EA2755"/>
    <w:rsid w:val="00EA277C"/>
    <w:rsid w:val="00EA27A5"/>
    <w:rsid w:val="00EA27B7"/>
    <w:rsid w:val="00EA27CB"/>
    <w:rsid w:val="00EA27E7"/>
    <w:rsid w:val="00EA287A"/>
    <w:rsid w:val="00EA2936"/>
    <w:rsid w:val="00EA2A1C"/>
    <w:rsid w:val="00EA2AE8"/>
    <w:rsid w:val="00EA2B08"/>
    <w:rsid w:val="00EA2B13"/>
    <w:rsid w:val="00EA2BB9"/>
    <w:rsid w:val="00EA2BF6"/>
    <w:rsid w:val="00EA2C28"/>
    <w:rsid w:val="00EA2C32"/>
    <w:rsid w:val="00EA2C99"/>
    <w:rsid w:val="00EA2CA9"/>
    <w:rsid w:val="00EA2CAD"/>
    <w:rsid w:val="00EA2CE4"/>
    <w:rsid w:val="00EA2DE4"/>
    <w:rsid w:val="00EA2DED"/>
    <w:rsid w:val="00EA2E01"/>
    <w:rsid w:val="00EA2F51"/>
    <w:rsid w:val="00EA2F72"/>
    <w:rsid w:val="00EA2F7A"/>
    <w:rsid w:val="00EA2F83"/>
    <w:rsid w:val="00EA2FCC"/>
    <w:rsid w:val="00EA2FD4"/>
    <w:rsid w:val="00EA2FFF"/>
    <w:rsid w:val="00EA301E"/>
    <w:rsid w:val="00EA30BE"/>
    <w:rsid w:val="00EA318B"/>
    <w:rsid w:val="00EA3199"/>
    <w:rsid w:val="00EA324C"/>
    <w:rsid w:val="00EA324F"/>
    <w:rsid w:val="00EA3255"/>
    <w:rsid w:val="00EA329A"/>
    <w:rsid w:val="00EA3391"/>
    <w:rsid w:val="00EA3465"/>
    <w:rsid w:val="00EA34F2"/>
    <w:rsid w:val="00EA350F"/>
    <w:rsid w:val="00EA35AD"/>
    <w:rsid w:val="00EA365C"/>
    <w:rsid w:val="00EA36E1"/>
    <w:rsid w:val="00EA3781"/>
    <w:rsid w:val="00EA3801"/>
    <w:rsid w:val="00EA3847"/>
    <w:rsid w:val="00EA39D0"/>
    <w:rsid w:val="00EA39F2"/>
    <w:rsid w:val="00EA39FB"/>
    <w:rsid w:val="00EA3A75"/>
    <w:rsid w:val="00EA3B1C"/>
    <w:rsid w:val="00EA3B26"/>
    <w:rsid w:val="00EA3B5F"/>
    <w:rsid w:val="00EA3D18"/>
    <w:rsid w:val="00EA3D29"/>
    <w:rsid w:val="00EA3D53"/>
    <w:rsid w:val="00EA3E75"/>
    <w:rsid w:val="00EA3EA6"/>
    <w:rsid w:val="00EA3EAD"/>
    <w:rsid w:val="00EA3ECD"/>
    <w:rsid w:val="00EA3F07"/>
    <w:rsid w:val="00EA3F3C"/>
    <w:rsid w:val="00EA3F66"/>
    <w:rsid w:val="00EA3F76"/>
    <w:rsid w:val="00EA3FDB"/>
    <w:rsid w:val="00EA3FE7"/>
    <w:rsid w:val="00EA4052"/>
    <w:rsid w:val="00EA40BB"/>
    <w:rsid w:val="00EA41DE"/>
    <w:rsid w:val="00EA4282"/>
    <w:rsid w:val="00EA42A0"/>
    <w:rsid w:val="00EA4444"/>
    <w:rsid w:val="00EA4471"/>
    <w:rsid w:val="00EA4547"/>
    <w:rsid w:val="00EA458E"/>
    <w:rsid w:val="00EA45B2"/>
    <w:rsid w:val="00EA4643"/>
    <w:rsid w:val="00EA47B6"/>
    <w:rsid w:val="00EA47DC"/>
    <w:rsid w:val="00EA480A"/>
    <w:rsid w:val="00EA4836"/>
    <w:rsid w:val="00EA4841"/>
    <w:rsid w:val="00EA484D"/>
    <w:rsid w:val="00EA48A5"/>
    <w:rsid w:val="00EA4914"/>
    <w:rsid w:val="00EA4927"/>
    <w:rsid w:val="00EA492B"/>
    <w:rsid w:val="00EA49BA"/>
    <w:rsid w:val="00EA4A8C"/>
    <w:rsid w:val="00EA4BF4"/>
    <w:rsid w:val="00EA4C16"/>
    <w:rsid w:val="00EA4C20"/>
    <w:rsid w:val="00EA4C29"/>
    <w:rsid w:val="00EA4CBE"/>
    <w:rsid w:val="00EA4CC6"/>
    <w:rsid w:val="00EA4CFA"/>
    <w:rsid w:val="00EA4D3E"/>
    <w:rsid w:val="00EA4D63"/>
    <w:rsid w:val="00EA4DA0"/>
    <w:rsid w:val="00EA4DB5"/>
    <w:rsid w:val="00EA4EB1"/>
    <w:rsid w:val="00EA4F7B"/>
    <w:rsid w:val="00EA4FE1"/>
    <w:rsid w:val="00EA5043"/>
    <w:rsid w:val="00EA50B5"/>
    <w:rsid w:val="00EA515C"/>
    <w:rsid w:val="00EA51BD"/>
    <w:rsid w:val="00EA523C"/>
    <w:rsid w:val="00EA52C6"/>
    <w:rsid w:val="00EA52F6"/>
    <w:rsid w:val="00EA5348"/>
    <w:rsid w:val="00EA537D"/>
    <w:rsid w:val="00EA5699"/>
    <w:rsid w:val="00EA56A9"/>
    <w:rsid w:val="00EA5747"/>
    <w:rsid w:val="00EA5848"/>
    <w:rsid w:val="00EA5940"/>
    <w:rsid w:val="00EA59F7"/>
    <w:rsid w:val="00EA5A11"/>
    <w:rsid w:val="00EA5AB8"/>
    <w:rsid w:val="00EA5ADA"/>
    <w:rsid w:val="00EA5B13"/>
    <w:rsid w:val="00EA5BBA"/>
    <w:rsid w:val="00EA5BCC"/>
    <w:rsid w:val="00EA5C29"/>
    <w:rsid w:val="00EA5C2E"/>
    <w:rsid w:val="00EA5C7A"/>
    <w:rsid w:val="00EA5C9D"/>
    <w:rsid w:val="00EA5CA8"/>
    <w:rsid w:val="00EA5CC5"/>
    <w:rsid w:val="00EA5D0C"/>
    <w:rsid w:val="00EA5D86"/>
    <w:rsid w:val="00EA5F1F"/>
    <w:rsid w:val="00EA5F32"/>
    <w:rsid w:val="00EA5F8F"/>
    <w:rsid w:val="00EA5F9E"/>
    <w:rsid w:val="00EA5FD3"/>
    <w:rsid w:val="00EA5FFF"/>
    <w:rsid w:val="00EA6020"/>
    <w:rsid w:val="00EA6033"/>
    <w:rsid w:val="00EA60D5"/>
    <w:rsid w:val="00EA612B"/>
    <w:rsid w:val="00EA61C7"/>
    <w:rsid w:val="00EA61E4"/>
    <w:rsid w:val="00EA620D"/>
    <w:rsid w:val="00EA6234"/>
    <w:rsid w:val="00EA6274"/>
    <w:rsid w:val="00EA6294"/>
    <w:rsid w:val="00EA62EE"/>
    <w:rsid w:val="00EA63A1"/>
    <w:rsid w:val="00EA63B2"/>
    <w:rsid w:val="00EA6497"/>
    <w:rsid w:val="00EA64FD"/>
    <w:rsid w:val="00EA660B"/>
    <w:rsid w:val="00EA662E"/>
    <w:rsid w:val="00EA665C"/>
    <w:rsid w:val="00EA67D3"/>
    <w:rsid w:val="00EA6868"/>
    <w:rsid w:val="00EA68AA"/>
    <w:rsid w:val="00EA68AD"/>
    <w:rsid w:val="00EA68D6"/>
    <w:rsid w:val="00EA6A28"/>
    <w:rsid w:val="00EA6A4A"/>
    <w:rsid w:val="00EA6A6F"/>
    <w:rsid w:val="00EA6B0C"/>
    <w:rsid w:val="00EA6B12"/>
    <w:rsid w:val="00EA6B76"/>
    <w:rsid w:val="00EA6C5A"/>
    <w:rsid w:val="00EA6D26"/>
    <w:rsid w:val="00EA6DA9"/>
    <w:rsid w:val="00EA6DDD"/>
    <w:rsid w:val="00EA6DFA"/>
    <w:rsid w:val="00EA6E16"/>
    <w:rsid w:val="00EA6F01"/>
    <w:rsid w:val="00EA6F27"/>
    <w:rsid w:val="00EA6F67"/>
    <w:rsid w:val="00EA6F69"/>
    <w:rsid w:val="00EA6F99"/>
    <w:rsid w:val="00EA6FAE"/>
    <w:rsid w:val="00EA6FE8"/>
    <w:rsid w:val="00EA7029"/>
    <w:rsid w:val="00EA703C"/>
    <w:rsid w:val="00EA70CA"/>
    <w:rsid w:val="00EA70FB"/>
    <w:rsid w:val="00EA7114"/>
    <w:rsid w:val="00EA71A1"/>
    <w:rsid w:val="00EA727C"/>
    <w:rsid w:val="00EA728B"/>
    <w:rsid w:val="00EA72F5"/>
    <w:rsid w:val="00EA733C"/>
    <w:rsid w:val="00EA7365"/>
    <w:rsid w:val="00EA73ED"/>
    <w:rsid w:val="00EA74D0"/>
    <w:rsid w:val="00EA74E0"/>
    <w:rsid w:val="00EA7511"/>
    <w:rsid w:val="00EA7571"/>
    <w:rsid w:val="00EA7666"/>
    <w:rsid w:val="00EA766A"/>
    <w:rsid w:val="00EA76BD"/>
    <w:rsid w:val="00EA7709"/>
    <w:rsid w:val="00EA770E"/>
    <w:rsid w:val="00EA7792"/>
    <w:rsid w:val="00EA77D9"/>
    <w:rsid w:val="00EA7885"/>
    <w:rsid w:val="00EA78A0"/>
    <w:rsid w:val="00EA7900"/>
    <w:rsid w:val="00EA7944"/>
    <w:rsid w:val="00EA7ABD"/>
    <w:rsid w:val="00EA7AE1"/>
    <w:rsid w:val="00EA7B10"/>
    <w:rsid w:val="00EA7BBC"/>
    <w:rsid w:val="00EA7BCF"/>
    <w:rsid w:val="00EA7C40"/>
    <w:rsid w:val="00EA7C85"/>
    <w:rsid w:val="00EA7CDC"/>
    <w:rsid w:val="00EA7D47"/>
    <w:rsid w:val="00EA7D68"/>
    <w:rsid w:val="00EA7D78"/>
    <w:rsid w:val="00EA7D81"/>
    <w:rsid w:val="00EA7D89"/>
    <w:rsid w:val="00EA7E38"/>
    <w:rsid w:val="00EA7E77"/>
    <w:rsid w:val="00EA7EB4"/>
    <w:rsid w:val="00EA7EB8"/>
    <w:rsid w:val="00EA7EC2"/>
    <w:rsid w:val="00EA7F99"/>
    <w:rsid w:val="00EB0042"/>
    <w:rsid w:val="00EB0056"/>
    <w:rsid w:val="00EB00B8"/>
    <w:rsid w:val="00EB00BD"/>
    <w:rsid w:val="00EB017F"/>
    <w:rsid w:val="00EB019B"/>
    <w:rsid w:val="00EB01B1"/>
    <w:rsid w:val="00EB01C5"/>
    <w:rsid w:val="00EB01C8"/>
    <w:rsid w:val="00EB0218"/>
    <w:rsid w:val="00EB022E"/>
    <w:rsid w:val="00EB0243"/>
    <w:rsid w:val="00EB027B"/>
    <w:rsid w:val="00EB02E8"/>
    <w:rsid w:val="00EB0324"/>
    <w:rsid w:val="00EB0399"/>
    <w:rsid w:val="00EB0403"/>
    <w:rsid w:val="00EB040F"/>
    <w:rsid w:val="00EB047C"/>
    <w:rsid w:val="00EB04A3"/>
    <w:rsid w:val="00EB04FE"/>
    <w:rsid w:val="00EB0556"/>
    <w:rsid w:val="00EB05E8"/>
    <w:rsid w:val="00EB0750"/>
    <w:rsid w:val="00EB0862"/>
    <w:rsid w:val="00EB0893"/>
    <w:rsid w:val="00EB09FA"/>
    <w:rsid w:val="00EB0A6A"/>
    <w:rsid w:val="00EB0B0C"/>
    <w:rsid w:val="00EB0BB6"/>
    <w:rsid w:val="00EB0BD7"/>
    <w:rsid w:val="00EB0CE3"/>
    <w:rsid w:val="00EB0CFA"/>
    <w:rsid w:val="00EB0D7A"/>
    <w:rsid w:val="00EB0E19"/>
    <w:rsid w:val="00EB0FC6"/>
    <w:rsid w:val="00EB1090"/>
    <w:rsid w:val="00EB10F1"/>
    <w:rsid w:val="00EB10F3"/>
    <w:rsid w:val="00EB1133"/>
    <w:rsid w:val="00EB1228"/>
    <w:rsid w:val="00EB1282"/>
    <w:rsid w:val="00EB150F"/>
    <w:rsid w:val="00EB1524"/>
    <w:rsid w:val="00EB1525"/>
    <w:rsid w:val="00EB1536"/>
    <w:rsid w:val="00EB154D"/>
    <w:rsid w:val="00EB159C"/>
    <w:rsid w:val="00EB1602"/>
    <w:rsid w:val="00EB1604"/>
    <w:rsid w:val="00EB1618"/>
    <w:rsid w:val="00EB16A8"/>
    <w:rsid w:val="00EB16DB"/>
    <w:rsid w:val="00EB1741"/>
    <w:rsid w:val="00EB1793"/>
    <w:rsid w:val="00EB18F5"/>
    <w:rsid w:val="00EB1925"/>
    <w:rsid w:val="00EB1961"/>
    <w:rsid w:val="00EB1964"/>
    <w:rsid w:val="00EB19D2"/>
    <w:rsid w:val="00EB19FA"/>
    <w:rsid w:val="00EB1A0B"/>
    <w:rsid w:val="00EB1A5A"/>
    <w:rsid w:val="00EB1AF3"/>
    <w:rsid w:val="00EB1AFA"/>
    <w:rsid w:val="00EB1B17"/>
    <w:rsid w:val="00EB1C63"/>
    <w:rsid w:val="00EB1D80"/>
    <w:rsid w:val="00EB1DBE"/>
    <w:rsid w:val="00EB1DE1"/>
    <w:rsid w:val="00EB1E70"/>
    <w:rsid w:val="00EB1FB9"/>
    <w:rsid w:val="00EB1FDA"/>
    <w:rsid w:val="00EB2007"/>
    <w:rsid w:val="00EB201E"/>
    <w:rsid w:val="00EB2040"/>
    <w:rsid w:val="00EB204C"/>
    <w:rsid w:val="00EB20E5"/>
    <w:rsid w:val="00EB21F0"/>
    <w:rsid w:val="00EB2245"/>
    <w:rsid w:val="00EB22A3"/>
    <w:rsid w:val="00EB22EF"/>
    <w:rsid w:val="00EB22F7"/>
    <w:rsid w:val="00EB2348"/>
    <w:rsid w:val="00EB2378"/>
    <w:rsid w:val="00EB23B0"/>
    <w:rsid w:val="00EB23D7"/>
    <w:rsid w:val="00EB23F4"/>
    <w:rsid w:val="00EB2461"/>
    <w:rsid w:val="00EB252B"/>
    <w:rsid w:val="00EB2571"/>
    <w:rsid w:val="00EB25C2"/>
    <w:rsid w:val="00EB25F3"/>
    <w:rsid w:val="00EB262F"/>
    <w:rsid w:val="00EB2635"/>
    <w:rsid w:val="00EB2639"/>
    <w:rsid w:val="00EB263B"/>
    <w:rsid w:val="00EB267D"/>
    <w:rsid w:val="00EB26AC"/>
    <w:rsid w:val="00EB2843"/>
    <w:rsid w:val="00EB287A"/>
    <w:rsid w:val="00EB2960"/>
    <w:rsid w:val="00EB297B"/>
    <w:rsid w:val="00EB2AA0"/>
    <w:rsid w:val="00EB2AA4"/>
    <w:rsid w:val="00EB2B14"/>
    <w:rsid w:val="00EB2B66"/>
    <w:rsid w:val="00EB2BE4"/>
    <w:rsid w:val="00EB2CD3"/>
    <w:rsid w:val="00EB2CE8"/>
    <w:rsid w:val="00EB2D4D"/>
    <w:rsid w:val="00EB2DAE"/>
    <w:rsid w:val="00EB2ED5"/>
    <w:rsid w:val="00EB2F94"/>
    <w:rsid w:val="00EB2F98"/>
    <w:rsid w:val="00EB2FB6"/>
    <w:rsid w:val="00EB3006"/>
    <w:rsid w:val="00EB3038"/>
    <w:rsid w:val="00EB3084"/>
    <w:rsid w:val="00EB3098"/>
    <w:rsid w:val="00EB30D2"/>
    <w:rsid w:val="00EB30D7"/>
    <w:rsid w:val="00EB30DB"/>
    <w:rsid w:val="00EB312A"/>
    <w:rsid w:val="00EB316A"/>
    <w:rsid w:val="00EB31C1"/>
    <w:rsid w:val="00EB322D"/>
    <w:rsid w:val="00EB325A"/>
    <w:rsid w:val="00EB3294"/>
    <w:rsid w:val="00EB330F"/>
    <w:rsid w:val="00EB3345"/>
    <w:rsid w:val="00EB3373"/>
    <w:rsid w:val="00EB338D"/>
    <w:rsid w:val="00EB338F"/>
    <w:rsid w:val="00EB3398"/>
    <w:rsid w:val="00EB344C"/>
    <w:rsid w:val="00EB3457"/>
    <w:rsid w:val="00EB347C"/>
    <w:rsid w:val="00EB3538"/>
    <w:rsid w:val="00EB3584"/>
    <w:rsid w:val="00EB3590"/>
    <w:rsid w:val="00EB35A3"/>
    <w:rsid w:val="00EB35C2"/>
    <w:rsid w:val="00EB3625"/>
    <w:rsid w:val="00EB362E"/>
    <w:rsid w:val="00EB363D"/>
    <w:rsid w:val="00EB364F"/>
    <w:rsid w:val="00EB3678"/>
    <w:rsid w:val="00EB36FC"/>
    <w:rsid w:val="00EB3721"/>
    <w:rsid w:val="00EB3730"/>
    <w:rsid w:val="00EB37DC"/>
    <w:rsid w:val="00EB380A"/>
    <w:rsid w:val="00EB381F"/>
    <w:rsid w:val="00EB382E"/>
    <w:rsid w:val="00EB3935"/>
    <w:rsid w:val="00EB3942"/>
    <w:rsid w:val="00EB39C8"/>
    <w:rsid w:val="00EB3A68"/>
    <w:rsid w:val="00EB3ABA"/>
    <w:rsid w:val="00EB3AED"/>
    <w:rsid w:val="00EB3BBE"/>
    <w:rsid w:val="00EB3BDF"/>
    <w:rsid w:val="00EB3C8D"/>
    <w:rsid w:val="00EB3CB6"/>
    <w:rsid w:val="00EB3D0D"/>
    <w:rsid w:val="00EB3D25"/>
    <w:rsid w:val="00EB3DA9"/>
    <w:rsid w:val="00EB3DF2"/>
    <w:rsid w:val="00EB3F2C"/>
    <w:rsid w:val="00EB3F4E"/>
    <w:rsid w:val="00EB3F52"/>
    <w:rsid w:val="00EB3F7D"/>
    <w:rsid w:val="00EB4024"/>
    <w:rsid w:val="00EB4055"/>
    <w:rsid w:val="00EB4081"/>
    <w:rsid w:val="00EB4224"/>
    <w:rsid w:val="00EB4230"/>
    <w:rsid w:val="00EB424F"/>
    <w:rsid w:val="00EB4289"/>
    <w:rsid w:val="00EB42E0"/>
    <w:rsid w:val="00EB42E3"/>
    <w:rsid w:val="00EB42E8"/>
    <w:rsid w:val="00EB439D"/>
    <w:rsid w:val="00EB43D6"/>
    <w:rsid w:val="00EB43F4"/>
    <w:rsid w:val="00EB43FF"/>
    <w:rsid w:val="00EB440E"/>
    <w:rsid w:val="00EB44E4"/>
    <w:rsid w:val="00EB45D1"/>
    <w:rsid w:val="00EB45E5"/>
    <w:rsid w:val="00EB4610"/>
    <w:rsid w:val="00EB4612"/>
    <w:rsid w:val="00EB4638"/>
    <w:rsid w:val="00EB4685"/>
    <w:rsid w:val="00EB46D3"/>
    <w:rsid w:val="00EB473B"/>
    <w:rsid w:val="00EB484E"/>
    <w:rsid w:val="00EB486A"/>
    <w:rsid w:val="00EB494E"/>
    <w:rsid w:val="00EB4966"/>
    <w:rsid w:val="00EB4A02"/>
    <w:rsid w:val="00EB4A08"/>
    <w:rsid w:val="00EB4A2F"/>
    <w:rsid w:val="00EB4A5A"/>
    <w:rsid w:val="00EB4B0D"/>
    <w:rsid w:val="00EB4B48"/>
    <w:rsid w:val="00EB4BCF"/>
    <w:rsid w:val="00EB4BE0"/>
    <w:rsid w:val="00EB4C59"/>
    <w:rsid w:val="00EB4C6D"/>
    <w:rsid w:val="00EB4C76"/>
    <w:rsid w:val="00EB4CBF"/>
    <w:rsid w:val="00EB4CC9"/>
    <w:rsid w:val="00EB4D3B"/>
    <w:rsid w:val="00EB4D4F"/>
    <w:rsid w:val="00EB4D56"/>
    <w:rsid w:val="00EB4E17"/>
    <w:rsid w:val="00EB4E3C"/>
    <w:rsid w:val="00EB4E5E"/>
    <w:rsid w:val="00EB4EE6"/>
    <w:rsid w:val="00EB4EEA"/>
    <w:rsid w:val="00EB4F01"/>
    <w:rsid w:val="00EB4F56"/>
    <w:rsid w:val="00EB4F7F"/>
    <w:rsid w:val="00EB5008"/>
    <w:rsid w:val="00EB5048"/>
    <w:rsid w:val="00EB508D"/>
    <w:rsid w:val="00EB5114"/>
    <w:rsid w:val="00EB5130"/>
    <w:rsid w:val="00EB51F5"/>
    <w:rsid w:val="00EB52A3"/>
    <w:rsid w:val="00EB52F3"/>
    <w:rsid w:val="00EB530F"/>
    <w:rsid w:val="00EB5397"/>
    <w:rsid w:val="00EB53AE"/>
    <w:rsid w:val="00EB53F2"/>
    <w:rsid w:val="00EB5419"/>
    <w:rsid w:val="00EB541B"/>
    <w:rsid w:val="00EB5443"/>
    <w:rsid w:val="00EB54B6"/>
    <w:rsid w:val="00EB54E9"/>
    <w:rsid w:val="00EB5527"/>
    <w:rsid w:val="00EB566E"/>
    <w:rsid w:val="00EB5717"/>
    <w:rsid w:val="00EB572E"/>
    <w:rsid w:val="00EB5800"/>
    <w:rsid w:val="00EB5822"/>
    <w:rsid w:val="00EB5845"/>
    <w:rsid w:val="00EB5864"/>
    <w:rsid w:val="00EB587B"/>
    <w:rsid w:val="00EB58BE"/>
    <w:rsid w:val="00EB58CB"/>
    <w:rsid w:val="00EB5923"/>
    <w:rsid w:val="00EB5938"/>
    <w:rsid w:val="00EB59DC"/>
    <w:rsid w:val="00EB5A22"/>
    <w:rsid w:val="00EB5A3E"/>
    <w:rsid w:val="00EB5A65"/>
    <w:rsid w:val="00EB5ACB"/>
    <w:rsid w:val="00EB5B0D"/>
    <w:rsid w:val="00EB5B23"/>
    <w:rsid w:val="00EB5B2F"/>
    <w:rsid w:val="00EB5B5E"/>
    <w:rsid w:val="00EB5BA4"/>
    <w:rsid w:val="00EB5C45"/>
    <w:rsid w:val="00EB5D6C"/>
    <w:rsid w:val="00EB5E72"/>
    <w:rsid w:val="00EB5E94"/>
    <w:rsid w:val="00EB5EB5"/>
    <w:rsid w:val="00EB5F11"/>
    <w:rsid w:val="00EB5F3B"/>
    <w:rsid w:val="00EB6045"/>
    <w:rsid w:val="00EB604D"/>
    <w:rsid w:val="00EB604F"/>
    <w:rsid w:val="00EB6070"/>
    <w:rsid w:val="00EB60D4"/>
    <w:rsid w:val="00EB6179"/>
    <w:rsid w:val="00EB6193"/>
    <w:rsid w:val="00EB6229"/>
    <w:rsid w:val="00EB62D1"/>
    <w:rsid w:val="00EB6301"/>
    <w:rsid w:val="00EB6358"/>
    <w:rsid w:val="00EB638B"/>
    <w:rsid w:val="00EB63C0"/>
    <w:rsid w:val="00EB63EF"/>
    <w:rsid w:val="00EB63FE"/>
    <w:rsid w:val="00EB6400"/>
    <w:rsid w:val="00EB659B"/>
    <w:rsid w:val="00EB65D2"/>
    <w:rsid w:val="00EB6619"/>
    <w:rsid w:val="00EB6776"/>
    <w:rsid w:val="00EB680B"/>
    <w:rsid w:val="00EB6813"/>
    <w:rsid w:val="00EB6828"/>
    <w:rsid w:val="00EB683A"/>
    <w:rsid w:val="00EB6890"/>
    <w:rsid w:val="00EB68FB"/>
    <w:rsid w:val="00EB6915"/>
    <w:rsid w:val="00EB6927"/>
    <w:rsid w:val="00EB692A"/>
    <w:rsid w:val="00EB693F"/>
    <w:rsid w:val="00EB6968"/>
    <w:rsid w:val="00EB69C7"/>
    <w:rsid w:val="00EB6A40"/>
    <w:rsid w:val="00EB6A81"/>
    <w:rsid w:val="00EB6AB8"/>
    <w:rsid w:val="00EB6B09"/>
    <w:rsid w:val="00EB6B4C"/>
    <w:rsid w:val="00EB6B74"/>
    <w:rsid w:val="00EB6B84"/>
    <w:rsid w:val="00EB6B97"/>
    <w:rsid w:val="00EB6BD2"/>
    <w:rsid w:val="00EB6C33"/>
    <w:rsid w:val="00EB6C86"/>
    <w:rsid w:val="00EB6CB9"/>
    <w:rsid w:val="00EB6CFC"/>
    <w:rsid w:val="00EB6D12"/>
    <w:rsid w:val="00EB6DA2"/>
    <w:rsid w:val="00EB6DA8"/>
    <w:rsid w:val="00EB6E44"/>
    <w:rsid w:val="00EB6E82"/>
    <w:rsid w:val="00EB6F16"/>
    <w:rsid w:val="00EB6F19"/>
    <w:rsid w:val="00EB6F48"/>
    <w:rsid w:val="00EB6FAE"/>
    <w:rsid w:val="00EB706C"/>
    <w:rsid w:val="00EB70AF"/>
    <w:rsid w:val="00EB7133"/>
    <w:rsid w:val="00EB7171"/>
    <w:rsid w:val="00EB7198"/>
    <w:rsid w:val="00EB71C3"/>
    <w:rsid w:val="00EB71C6"/>
    <w:rsid w:val="00EB723E"/>
    <w:rsid w:val="00EB72E2"/>
    <w:rsid w:val="00EB73B2"/>
    <w:rsid w:val="00EB73C6"/>
    <w:rsid w:val="00EB7475"/>
    <w:rsid w:val="00EB748A"/>
    <w:rsid w:val="00EB749C"/>
    <w:rsid w:val="00EB75FD"/>
    <w:rsid w:val="00EB7650"/>
    <w:rsid w:val="00EB7692"/>
    <w:rsid w:val="00EB77A3"/>
    <w:rsid w:val="00EB77C9"/>
    <w:rsid w:val="00EB77CD"/>
    <w:rsid w:val="00EB78C7"/>
    <w:rsid w:val="00EB78FD"/>
    <w:rsid w:val="00EB79AA"/>
    <w:rsid w:val="00EB79CE"/>
    <w:rsid w:val="00EB7A3B"/>
    <w:rsid w:val="00EB7A67"/>
    <w:rsid w:val="00EB7A9C"/>
    <w:rsid w:val="00EB7B1D"/>
    <w:rsid w:val="00EB7B2F"/>
    <w:rsid w:val="00EB7B6D"/>
    <w:rsid w:val="00EB7CB8"/>
    <w:rsid w:val="00EB7D58"/>
    <w:rsid w:val="00EB7E28"/>
    <w:rsid w:val="00EB7E44"/>
    <w:rsid w:val="00EB7EAB"/>
    <w:rsid w:val="00EB7ED3"/>
    <w:rsid w:val="00EB7EDA"/>
    <w:rsid w:val="00EB7F57"/>
    <w:rsid w:val="00EB7F97"/>
    <w:rsid w:val="00EC000B"/>
    <w:rsid w:val="00EC00EF"/>
    <w:rsid w:val="00EC011A"/>
    <w:rsid w:val="00EC0257"/>
    <w:rsid w:val="00EC0314"/>
    <w:rsid w:val="00EC031A"/>
    <w:rsid w:val="00EC035D"/>
    <w:rsid w:val="00EC036B"/>
    <w:rsid w:val="00EC03A0"/>
    <w:rsid w:val="00EC03EE"/>
    <w:rsid w:val="00EC0418"/>
    <w:rsid w:val="00EC046B"/>
    <w:rsid w:val="00EC0472"/>
    <w:rsid w:val="00EC04BD"/>
    <w:rsid w:val="00EC0506"/>
    <w:rsid w:val="00EC0508"/>
    <w:rsid w:val="00EC0515"/>
    <w:rsid w:val="00EC0625"/>
    <w:rsid w:val="00EC069B"/>
    <w:rsid w:val="00EC06FF"/>
    <w:rsid w:val="00EC073B"/>
    <w:rsid w:val="00EC07A2"/>
    <w:rsid w:val="00EC07CC"/>
    <w:rsid w:val="00EC086D"/>
    <w:rsid w:val="00EC0874"/>
    <w:rsid w:val="00EC0879"/>
    <w:rsid w:val="00EC089A"/>
    <w:rsid w:val="00EC08A3"/>
    <w:rsid w:val="00EC0930"/>
    <w:rsid w:val="00EC09AF"/>
    <w:rsid w:val="00EC09FC"/>
    <w:rsid w:val="00EC0A75"/>
    <w:rsid w:val="00EC0A8F"/>
    <w:rsid w:val="00EC0A9C"/>
    <w:rsid w:val="00EC0AB2"/>
    <w:rsid w:val="00EC0B0A"/>
    <w:rsid w:val="00EC0B4A"/>
    <w:rsid w:val="00EC0B66"/>
    <w:rsid w:val="00EC0B87"/>
    <w:rsid w:val="00EC0B9B"/>
    <w:rsid w:val="00EC0D42"/>
    <w:rsid w:val="00EC0D43"/>
    <w:rsid w:val="00EC0D65"/>
    <w:rsid w:val="00EC0DF6"/>
    <w:rsid w:val="00EC0E00"/>
    <w:rsid w:val="00EC0E0B"/>
    <w:rsid w:val="00EC0E49"/>
    <w:rsid w:val="00EC0ECE"/>
    <w:rsid w:val="00EC0EF4"/>
    <w:rsid w:val="00EC0F9C"/>
    <w:rsid w:val="00EC0FDB"/>
    <w:rsid w:val="00EC0FED"/>
    <w:rsid w:val="00EC106A"/>
    <w:rsid w:val="00EC114D"/>
    <w:rsid w:val="00EC116F"/>
    <w:rsid w:val="00EC117F"/>
    <w:rsid w:val="00EC1187"/>
    <w:rsid w:val="00EC122B"/>
    <w:rsid w:val="00EC124E"/>
    <w:rsid w:val="00EC12C2"/>
    <w:rsid w:val="00EC12CA"/>
    <w:rsid w:val="00EC12F4"/>
    <w:rsid w:val="00EC133A"/>
    <w:rsid w:val="00EC133C"/>
    <w:rsid w:val="00EC136C"/>
    <w:rsid w:val="00EC1373"/>
    <w:rsid w:val="00EC13C8"/>
    <w:rsid w:val="00EC13D8"/>
    <w:rsid w:val="00EC145B"/>
    <w:rsid w:val="00EC1467"/>
    <w:rsid w:val="00EC1502"/>
    <w:rsid w:val="00EC1531"/>
    <w:rsid w:val="00EC1798"/>
    <w:rsid w:val="00EC17AC"/>
    <w:rsid w:val="00EC1805"/>
    <w:rsid w:val="00EC1A46"/>
    <w:rsid w:val="00EC1A71"/>
    <w:rsid w:val="00EC1ACE"/>
    <w:rsid w:val="00EC1AD0"/>
    <w:rsid w:val="00EC1AEC"/>
    <w:rsid w:val="00EC1C51"/>
    <w:rsid w:val="00EC1C91"/>
    <w:rsid w:val="00EC1C9C"/>
    <w:rsid w:val="00EC1CE5"/>
    <w:rsid w:val="00EC1D1E"/>
    <w:rsid w:val="00EC1D46"/>
    <w:rsid w:val="00EC1E23"/>
    <w:rsid w:val="00EC1E63"/>
    <w:rsid w:val="00EC1E7E"/>
    <w:rsid w:val="00EC1F1E"/>
    <w:rsid w:val="00EC1F20"/>
    <w:rsid w:val="00EC1F3B"/>
    <w:rsid w:val="00EC1F9B"/>
    <w:rsid w:val="00EC21BD"/>
    <w:rsid w:val="00EC2247"/>
    <w:rsid w:val="00EC2273"/>
    <w:rsid w:val="00EC244F"/>
    <w:rsid w:val="00EC2477"/>
    <w:rsid w:val="00EC24CD"/>
    <w:rsid w:val="00EC24D6"/>
    <w:rsid w:val="00EC2503"/>
    <w:rsid w:val="00EC2509"/>
    <w:rsid w:val="00EC252F"/>
    <w:rsid w:val="00EC2655"/>
    <w:rsid w:val="00EC27B2"/>
    <w:rsid w:val="00EC2821"/>
    <w:rsid w:val="00EC282C"/>
    <w:rsid w:val="00EC28C8"/>
    <w:rsid w:val="00EC28FD"/>
    <w:rsid w:val="00EC2982"/>
    <w:rsid w:val="00EC29DF"/>
    <w:rsid w:val="00EC2A1D"/>
    <w:rsid w:val="00EC2A34"/>
    <w:rsid w:val="00EC2A4F"/>
    <w:rsid w:val="00EC2A60"/>
    <w:rsid w:val="00EC2AB3"/>
    <w:rsid w:val="00EC2BB5"/>
    <w:rsid w:val="00EC2BDB"/>
    <w:rsid w:val="00EC2C31"/>
    <w:rsid w:val="00EC2D2C"/>
    <w:rsid w:val="00EC2D65"/>
    <w:rsid w:val="00EC2D7C"/>
    <w:rsid w:val="00EC2DBE"/>
    <w:rsid w:val="00EC2E20"/>
    <w:rsid w:val="00EC2E49"/>
    <w:rsid w:val="00EC2E5A"/>
    <w:rsid w:val="00EC2E5D"/>
    <w:rsid w:val="00EC2EA0"/>
    <w:rsid w:val="00EC2EC9"/>
    <w:rsid w:val="00EC2F15"/>
    <w:rsid w:val="00EC2F2F"/>
    <w:rsid w:val="00EC2F83"/>
    <w:rsid w:val="00EC30FE"/>
    <w:rsid w:val="00EC310F"/>
    <w:rsid w:val="00EC311C"/>
    <w:rsid w:val="00EC3166"/>
    <w:rsid w:val="00EC316D"/>
    <w:rsid w:val="00EC31D3"/>
    <w:rsid w:val="00EC32C0"/>
    <w:rsid w:val="00EC32C3"/>
    <w:rsid w:val="00EC32FF"/>
    <w:rsid w:val="00EC3371"/>
    <w:rsid w:val="00EC337C"/>
    <w:rsid w:val="00EC3391"/>
    <w:rsid w:val="00EC339F"/>
    <w:rsid w:val="00EC33B3"/>
    <w:rsid w:val="00EC33BF"/>
    <w:rsid w:val="00EC34B3"/>
    <w:rsid w:val="00EC34DC"/>
    <w:rsid w:val="00EC34E3"/>
    <w:rsid w:val="00EC3512"/>
    <w:rsid w:val="00EC3547"/>
    <w:rsid w:val="00EC3612"/>
    <w:rsid w:val="00EC3651"/>
    <w:rsid w:val="00EC3673"/>
    <w:rsid w:val="00EC36EF"/>
    <w:rsid w:val="00EC3759"/>
    <w:rsid w:val="00EC3762"/>
    <w:rsid w:val="00EC379B"/>
    <w:rsid w:val="00EC37A1"/>
    <w:rsid w:val="00EC37A8"/>
    <w:rsid w:val="00EC3844"/>
    <w:rsid w:val="00EC384A"/>
    <w:rsid w:val="00EC385F"/>
    <w:rsid w:val="00EC387E"/>
    <w:rsid w:val="00EC3892"/>
    <w:rsid w:val="00EC3909"/>
    <w:rsid w:val="00EC3959"/>
    <w:rsid w:val="00EC3971"/>
    <w:rsid w:val="00EC3A1F"/>
    <w:rsid w:val="00EC3A32"/>
    <w:rsid w:val="00EC3A36"/>
    <w:rsid w:val="00EC3A65"/>
    <w:rsid w:val="00EC3B4A"/>
    <w:rsid w:val="00EC3B5D"/>
    <w:rsid w:val="00EC3BBA"/>
    <w:rsid w:val="00EC3BCA"/>
    <w:rsid w:val="00EC3C05"/>
    <w:rsid w:val="00EC3C25"/>
    <w:rsid w:val="00EC3C3B"/>
    <w:rsid w:val="00EC3C42"/>
    <w:rsid w:val="00EC3D15"/>
    <w:rsid w:val="00EC3D34"/>
    <w:rsid w:val="00EC3D41"/>
    <w:rsid w:val="00EC3D50"/>
    <w:rsid w:val="00EC3EC0"/>
    <w:rsid w:val="00EC3F7D"/>
    <w:rsid w:val="00EC4043"/>
    <w:rsid w:val="00EC404F"/>
    <w:rsid w:val="00EC4057"/>
    <w:rsid w:val="00EC405C"/>
    <w:rsid w:val="00EC411C"/>
    <w:rsid w:val="00EC412D"/>
    <w:rsid w:val="00EC4138"/>
    <w:rsid w:val="00EC4201"/>
    <w:rsid w:val="00EC424D"/>
    <w:rsid w:val="00EC42BB"/>
    <w:rsid w:val="00EC438B"/>
    <w:rsid w:val="00EC441E"/>
    <w:rsid w:val="00EC442A"/>
    <w:rsid w:val="00EC4449"/>
    <w:rsid w:val="00EC44A4"/>
    <w:rsid w:val="00EC44FC"/>
    <w:rsid w:val="00EC450C"/>
    <w:rsid w:val="00EC4559"/>
    <w:rsid w:val="00EC456F"/>
    <w:rsid w:val="00EC4575"/>
    <w:rsid w:val="00EC4587"/>
    <w:rsid w:val="00EC46CE"/>
    <w:rsid w:val="00EC4719"/>
    <w:rsid w:val="00EC4775"/>
    <w:rsid w:val="00EC47CF"/>
    <w:rsid w:val="00EC47D2"/>
    <w:rsid w:val="00EC48B5"/>
    <w:rsid w:val="00EC48B8"/>
    <w:rsid w:val="00EC48BB"/>
    <w:rsid w:val="00EC48C9"/>
    <w:rsid w:val="00EC48CF"/>
    <w:rsid w:val="00EC48E5"/>
    <w:rsid w:val="00EC492E"/>
    <w:rsid w:val="00EC4947"/>
    <w:rsid w:val="00EC4A52"/>
    <w:rsid w:val="00EC4B9A"/>
    <w:rsid w:val="00EC4CA8"/>
    <w:rsid w:val="00EC4D03"/>
    <w:rsid w:val="00EC4D4F"/>
    <w:rsid w:val="00EC4DEC"/>
    <w:rsid w:val="00EC4E07"/>
    <w:rsid w:val="00EC4ECF"/>
    <w:rsid w:val="00EC4F04"/>
    <w:rsid w:val="00EC4F29"/>
    <w:rsid w:val="00EC4F2A"/>
    <w:rsid w:val="00EC4F59"/>
    <w:rsid w:val="00EC4F7E"/>
    <w:rsid w:val="00EC4F88"/>
    <w:rsid w:val="00EC4FDC"/>
    <w:rsid w:val="00EC4FF6"/>
    <w:rsid w:val="00EC505A"/>
    <w:rsid w:val="00EC509F"/>
    <w:rsid w:val="00EC50F9"/>
    <w:rsid w:val="00EC5142"/>
    <w:rsid w:val="00EC52A9"/>
    <w:rsid w:val="00EC52E8"/>
    <w:rsid w:val="00EC536E"/>
    <w:rsid w:val="00EC53A5"/>
    <w:rsid w:val="00EC53B2"/>
    <w:rsid w:val="00EC53B9"/>
    <w:rsid w:val="00EC550D"/>
    <w:rsid w:val="00EC5622"/>
    <w:rsid w:val="00EC5629"/>
    <w:rsid w:val="00EC5675"/>
    <w:rsid w:val="00EC569A"/>
    <w:rsid w:val="00EC56E0"/>
    <w:rsid w:val="00EC56F9"/>
    <w:rsid w:val="00EC5724"/>
    <w:rsid w:val="00EC577C"/>
    <w:rsid w:val="00EC5788"/>
    <w:rsid w:val="00EC5791"/>
    <w:rsid w:val="00EC57FF"/>
    <w:rsid w:val="00EC5800"/>
    <w:rsid w:val="00EC581E"/>
    <w:rsid w:val="00EC58E1"/>
    <w:rsid w:val="00EC596E"/>
    <w:rsid w:val="00EC59E4"/>
    <w:rsid w:val="00EC5A12"/>
    <w:rsid w:val="00EC5A39"/>
    <w:rsid w:val="00EC5AC3"/>
    <w:rsid w:val="00EC5B12"/>
    <w:rsid w:val="00EC5BF5"/>
    <w:rsid w:val="00EC5C02"/>
    <w:rsid w:val="00EC5C5F"/>
    <w:rsid w:val="00EC5CB3"/>
    <w:rsid w:val="00EC5CDF"/>
    <w:rsid w:val="00EC5D62"/>
    <w:rsid w:val="00EC5D71"/>
    <w:rsid w:val="00EC5D75"/>
    <w:rsid w:val="00EC5DFE"/>
    <w:rsid w:val="00EC5F0B"/>
    <w:rsid w:val="00EC60B0"/>
    <w:rsid w:val="00EC6199"/>
    <w:rsid w:val="00EC61DA"/>
    <w:rsid w:val="00EC61DF"/>
    <w:rsid w:val="00EC622E"/>
    <w:rsid w:val="00EC62BA"/>
    <w:rsid w:val="00EC639E"/>
    <w:rsid w:val="00EC6453"/>
    <w:rsid w:val="00EC655D"/>
    <w:rsid w:val="00EC657A"/>
    <w:rsid w:val="00EC678E"/>
    <w:rsid w:val="00EC67EA"/>
    <w:rsid w:val="00EC68D1"/>
    <w:rsid w:val="00EC68F3"/>
    <w:rsid w:val="00EC6962"/>
    <w:rsid w:val="00EC6976"/>
    <w:rsid w:val="00EC6A4E"/>
    <w:rsid w:val="00EC6A60"/>
    <w:rsid w:val="00EC6A64"/>
    <w:rsid w:val="00EC6A9C"/>
    <w:rsid w:val="00EC6B03"/>
    <w:rsid w:val="00EC6B5F"/>
    <w:rsid w:val="00EC6BA1"/>
    <w:rsid w:val="00EC6BD0"/>
    <w:rsid w:val="00EC6C1C"/>
    <w:rsid w:val="00EC6D27"/>
    <w:rsid w:val="00EC6D2C"/>
    <w:rsid w:val="00EC6D32"/>
    <w:rsid w:val="00EC6D77"/>
    <w:rsid w:val="00EC6DA7"/>
    <w:rsid w:val="00EC6DE3"/>
    <w:rsid w:val="00EC6E9B"/>
    <w:rsid w:val="00EC6ECE"/>
    <w:rsid w:val="00EC6ED9"/>
    <w:rsid w:val="00EC6F8D"/>
    <w:rsid w:val="00EC7022"/>
    <w:rsid w:val="00EC707A"/>
    <w:rsid w:val="00EC709B"/>
    <w:rsid w:val="00EC70E7"/>
    <w:rsid w:val="00EC71B6"/>
    <w:rsid w:val="00EC7294"/>
    <w:rsid w:val="00EC72D0"/>
    <w:rsid w:val="00EC73CC"/>
    <w:rsid w:val="00EC740D"/>
    <w:rsid w:val="00EC7453"/>
    <w:rsid w:val="00EC74DE"/>
    <w:rsid w:val="00EC7563"/>
    <w:rsid w:val="00EC7587"/>
    <w:rsid w:val="00EC759B"/>
    <w:rsid w:val="00EC75CD"/>
    <w:rsid w:val="00EC778C"/>
    <w:rsid w:val="00EC77D0"/>
    <w:rsid w:val="00EC7817"/>
    <w:rsid w:val="00EC782B"/>
    <w:rsid w:val="00EC78BD"/>
    <w:rsid w:val="00EC7934"/>
    <w:rsid w:val="00EC795F"/>
    <w:rsid w:val="00EC79C0"/>
    <w:rsid w:val="00EC79D3"/>
    <w:rsid w:val="00EC7B0F"/>
    <w:rsid w:val="00EC7B75"/>
    <w:rsid w:val="00EC7BB2"/>
    <w:rsid w:val="00EC7C4D"/>
    <w:rsid w:val="00EC7C87"/>
    <w:rsid w:val="00EC7CA0"/>
    <w:rsid w:val="00EC7CC0"/>
    <w:rsid w:val="00EC7CE0"/>
    <w:rsid w:val="00EC7CE6"/>
    <w:rsid w:val="00EC7CEC"/>
    <w:rsid w:val="00EC7D46"/>
    <w:rsid w:val="00EC7DB5"/>
    <w:rsid w:val="00EC7EED"/>
    <w:rsid w:val="00EC7F29"/>
    <w:rsid w:val="00EC7FBB"/>
    <w:rsid w:val="00EC7FDA"/>
    <w:rsid w:val="00ED000D"/>
    <w:rsid w:val="00ED0014"/>
    <w:rsid w:val="00ED0085"/>
    <w:rsid w:val="00ED018C"/>
    <w:rsid w:val="00ED0204"/>
    <w:rsid w:val="00ED0230"/>
    <w:rsid w:val="00ED023F"/>
    <w:rsid w:val="00ED0309"/>
    <w:rsid w:val="00ED0324"/>
    <w:rsid w:val="00ED034F"/>
    <w:rsid w:val="00ED0430"/>
    <w:rsid w:val="00ED056E"/>
    <w:rsid w:val="00ED05B1"/>
    <w:rsid w:val="00ED05BE"/>
    <w:rsid w:val="00ED061A"/>
    <w:rsid w:val="00ED065F"/>
    <w:rsid w:val="00ED06EC"/>
    <w:rsid w:val="00ED072B"/>
    <w:rsid w:val="00ED0750"/>
    <w:rsid w:val="00ED076E"/>
    <w:rsid w:val="00ED07C9"/>
    <w:rsid w:val="00ED07EF"/>
    <w:rsid w:val="00ED089C"/>
    <w:rsid w:val="00ED08CA"/>
    <w:rsid w:val="00ED091F"/>
    <w:rsid w:val="00ED094A"/>
    <w:rsid w:val="00ED09CE"/>
    <w:rsid w:val="00ED09F4"/>
    <w:rsid w:val="00ED0A69"/>
    <w:rsid w:val="00ED0B60"/>
    <w:rsid w:val="00ED0BB5"/>
    <w:rsid w:val="00ED0BF0"/>
    <w:rsid w:val="00ED0C1E"/>
    <w:rsid w:val="00ED0C97"/>
    <w:rsid w:val="00ED0CF1"/>
    <w:rsid w:val="00ED0EB2"/>
    <w:rsid w:val="00ED0EDD"/>
    <w:rsid w:val="00ED0F25"/>
    <w:rsid w:val="00ED0F3C"/>
    <w:rsid w:val="00ED106D"/>
    <w:rsid w:val="00ED107E"/>
    <w:rsid w:val="00ED10F1"/>
    <w:rsid w:val="00ED1104"/>
    <w:rsid w:val="00ED112F"/>
    <w:rsid w:val="00ED115B"/>
    <w:rsid w:val="00ED118F"/>
    <w:rsid w:val="00ED125D"/>
    <w:rsid w:val="00ED12C8"/>
    <w:rsid w:val="00ED13A6"/>
    <w:rsid w:val="00ED13D5"/>
    <w:rsid w:val="00ED1486"/>
    <w:rsid w:val="00ED148E"/>
    <w:rsid w:val="00ED1526"/>
    <w:rsid w:val="00ED1566"/>
    <w:rsid w:val="00ED18A3"/>
    <w:rsid w:val="00ED18C5"/>
    <w:rsid w:val="00ED18D0"/>
    <w:rsid w:val="00ED18E0"/>
    <w:rsid w:val="00ED1987"/>
    <w:rsid w:val="00ED19E4"/>
    <w:rsid w:val="00ED1A0C"/>
    <w:rsid w:val="00ED1AEF"/>
    <w:rsid w:val="00ED1B0B"/>
    <w:rsid w:val="00ED1B14"/>
    <w:rsid w:val="00ED1B69"/>
    <w:rsid w:val="00ED1C2F"/>
    <w:rsid w:val="00ED1C71"/>
    <w:rsid w:val="00ED1CA0"/>
    <w:rsid w:val="00ED1CBA"/>
    <w:rsid w:val="00ED1CBE"/>
    <w:rsid w:val="00ED1CE8"/>
    <w:rsid w:val="00ED1CF8"/>
    <w:rsid w:val="00ED1D28"/>
    <w:rsid w:val="00ED1D2E"/>
    <w:rsid w:val="00ED1DB9"/>
    <w:rsid w:val="00ED1DD4"/>
    <w:rsid w:val="00ED1E02"/>
    <w:rsid w:val="00ED1E0C"/>
    <w:rsid w:val="00ED1F2E"/>
    <w:rsid w:val="00ED1F5D"/>
    <w:rsid w:val="00ED1F73"/>
    <w:rsid w:val="00ED2040"/>
    <w:rsid w:val="00ED2042"/>
    <w:rsid w:val="00ED20D7"/>
    <w:rsid w:val="00ED20F3"/>
    <w:rsid w:val="00ED2115"/>
    <w:rsid w:val="00ED21F8"/>
    <w:rsid w:val="00ED2251"/>
    <w:rsid w:val="00ED2271"/>
    <w:rsid w:val="00ED22BC"/>
    <w:rsid w:val="00ED2311"/>
    <w:rsid w:val="00ED237B"/>
    <w:rsid w:val="00ED2396"/>
    <w:rsid w:val="00ED23A2"/>
    <w:rsid w:val="00ED23D0"/>
    <w:rsid w:val="00ED2412"/>
    <w:rsid w:val="00ED243D"/>
    <w:rsid w:val="00ED248A"/>
    <w:rsid w:val="00ED24DD"/>
    <w:rsid w:val="00ED251B"/>
    <w:rsid w:val="00ED2579"/>
    <w:rsid w:val="00ED25C1"/>
    <w:rsid w:val="00ED25E8"/>
    <w:rsid w:val="00ED25FB"/>
    <w:rsid w:val="00ED26C4"/>
    <w:rsid w:val="00ED26E1"/>
    <w:rsid w:val="00ED270B"/>
    <w:rsid w:val="00ED2767"/>
    <w:rsid w:val="00ED2781"/>
    <w:rsid w:val="00ED27BF"/>
    <w:rsid w:val="00ED27C0"/>
    <w:rsid w:val="00ED289F"/>
    <w:rsid w:val="00ED2941"/>
    <w:rsid w:val="00ED29D3"/>
    <w:rsid w:val="00ED2A09"/>
    <w:rsid w:val="00ED2B4C"/>
    <w:rsid w:val="00ED2BAB"/>
    <w:rsid w:val="00ED2BB9"/>
    <w:rsid w:val="00ED2C0A"/>
    <w:rsid w:val="00ED2C0D"/>
    <w:rsid w:val="00ED2C1A"/>
    <w:rsid w:val="00ED2C39"/>
    <w:rsid w:val="00ED2C41"/>
    <w:rsid w:val="00ED2C7D"/>
    <w:rsid w:val="00ED2CFE"/>
    <w:rsid w:val="00ED2E25"/>
    <w:rsid w:val="00ED2EB1"/>
    <w:rsid w:val="00ED2F03"/>
    <w:rsid w:val="00ED2F0B"/>
    <w:rsid w:val="00ED2F4A"/>
    <w:rsid w:val="00ED2F73"/>
    <w:rsid w:val="00ED300F"/>
    <w:rsid w:val="00ED3027"/>
    <w:rsid w:val="00ED30E0"/>
    <w:rsid w:val="00ED313A"/>
    <w:rsid w:val="00ED3401"/>
    <w:rsid w:val="00ED3415"/>
    <w:rsid w:val="00ED3483"/>
    <w:rsid w:val="00ED349C"/>
    <w:rsid w:val="00ED34F6"/>
    <w:rsid w:val="00ED3504"/>
    <w:rsid w:val="00ED3515"/>
    <w:rsid w:val="00ED351D"/>
    <w:rsid w:val="00ED355A"/>
    <w:rsid w:val="00ED3575"/>
    <w:rsid w:val="00ED35F5"/>
    <w:rsid w:val="00ED368A"/>
    <w:rsid w:val="00ED36B4"/>
    <w:rsid w:val="00ED38CA"/>
    <w:rsid w:val="00ED38F1"/>
    <w:rsid w:val="00ED392B"/>
    <w:rsid w:val="00ED396B"/>
    <w:rsid w:val="00ED3A37"/>
    <w:rsid w:val="00ED3AA7"/>
    <w:rsid w:val="00ED3B0C"/>
    <w:rsid w:val="00ED3B46"/>
    <w:rsid w:val="00ED3BAA"/>
    <w:rsid w:val="00ED3BE8"/>
    <w:rsid w:val="00ED3BF9"/>
    <w:rsid w:val="00ED3C0A"/>
    <w:rsid w:val="00ED3C59"/>
    <w:rsid w:val="00ED3CB4"/>
    <w:rsid w:val="00ED3D31"/>
    <w:rsid w:val="00ED3DA3"/>
    <w:rsid w:val="00ED3DBC"/>
    <w:rsid w:val="00ED3E16"/>
    <w:rsid w:val="00ED3E20"/>
    <w:rsid w:val="00ED3E2D"/>
    <w:rsid w:val="00ED3E8A"/>
    <w:rsid w:val="00ED3ED5"/>
    <w:rsid w:val="00ED3EDB"/>
    <w:rsid w:val="00ED3F00"/>
    <w:rsid w:val="00ED3FD9"/>
    <w:rsid w:val="00ED4050"/>
    <w:rsid w:val="00ED406C"/>
    <w:rsid w:val="00ED40F7"/>
    <w:rsid w:val="00ED41A4"/>
    <w:rsid w:val="00ED4254"/>
    <w:rsid w:val="00ED42C1"/>
    <w:rsid w:val="00ED42CE"/>
    <w:rsid w:val="00ED42DF"/>
    <w:rsid w:val="00ED4303"/>
    <w:rsid w:val="00ED433C"/>
    <w:rsid w:val="00ED4348"/>
    <w:rsid w:val="00ED4421"/>
    <w:rsid w:val="00ED44F0"/>
    <w:rsid w:val="00ED4588"/>
    <w:rsid w:val="00ED4690"/>
    <w:rsid w:val="00ED46F0"/>
    <w:rsid w:val="00ED4771"/>
    <w:rsid w:val="00ED478F"/>
    <w:rsid w:val="00ED4845"/>
    <w:rsid w:val="00ED487B"/>
    <w:rsid w:val="00ED48B7"/>
    <w:rsid w:val="00ED4948"/>
    <w:rsid w:val="00ED494B"/>
    <w:rsid w:val="00ED4A28"/>
    <w:rsid w:val="00ED4AC6"/>
    <w:rsid w:val="00ED4AE5"/>
    <w:rsid w:val="00ED4B12"/>
    <w:rsid w:val="00ED4B19"/>
    <w:rsid w:val="00ED4B31"/>
    <w:rsid w:val="00ED4B85"/>
    <w:rsid w:val="00ED4B86"/>
    <w:rsid w:val="00ED4D5E"/>
    <w:rsid w:val="00ED4DB1"/>
    <w:rsid w:val="00ED4DB2"/>
    <w:rsid w:val="00ED4E05"/>
    <w:rsid w:val="00ED4FB3"/>
    <w:rsid w:val="00ED4FD4"/>
    <w:rsid w:val="00ED5002"/>
    <w:rsid w:val="00ED502C"/>
    <w:rsid w:val="00ED5135"/>
    <w:rsid w:val="00ED513A"/>
    <w:rsid w:val="00ED51DB"/>
    <w:rsid w:val="00ED5221"/>
    <w:rsid w:val="00ED5261"/>
    <w:rsid w:val="00ED5265"/>
    <w:rsid w:val="00ED5266"/>
    <w:rsid w:val="00ED5284"/>
    <w:rsid w:val="00ED528F"/>
    <w:rsid w:val="00ED52BB"/>
    <w:rsid w:val="00ED52D0"/>
    <w:rsid w:val="00ED536C"/>
    <w:rsid w:val="00ED5394"/>
    <w:rsid w:val="00ED539C"/>
    <w:rsid w:val="00ED53FE"/>
    <w:rsid w:val="00ED546C"/>
    <w:rsid w:val="00ED54BB"/>
    <w:rsid w:val="00ED54FE"/>
    <w:rsid w:val="00ED5630"/>
    <w:rsid w:val="00ED5687"/>
    <w:rsid w:val="00ED56B3"/>
    <w:rsid w:val="00ED56F3"/>
    <w:rsid w:val="00ED5776"/>
    <w:rsid w:val="00ED57C7"/>
    <w:rsid w:val="00ED57F7"/>
    <w:rsid w:val="00ED587F"/>
    <w:rsid w:val="00ED5888"/>
    <w:rsid w:val="00ED58C3"/>
    <w:rsid w:val="00ED59DC"/>
    <w:rsid w:val="00ED59EF"/>
    <w:rsid w:val="00ED5ADB"/>
    <w:rsid w:val="00ED5B06"/>
    <w:rsid w:val="00ED5B53"/>
    <w:rsid w:val="00ED5B5E"/>
    <w:rsid w:val="00ED5BAE"/>
    <w:rsid w:val="00ED5BD4"/>
    <w:rsid w:val="00ED5C8C"/>
    <w:rsid w:val="00ED5C99"/>
    <w:rsid w:val="00ED5DEF"/>
    <w:rsid w:val="00ED5E6D"/>
    <w:rsid w:val="00ED5F27"/>
    <w:rsid w:val="00ED5F3E"/>
    <w:rsid w:val="00ED5F5D"/>
    <w:rsid w:val="00ED5FB7"/>
    <w:rsid w:val="00ED5FBD"/>
    <w:rsid w:val="00ED5FC7"/>
    <w:rsid w:val="00ED5FFC"/>
    <w:rsid w:val="00ED610E"/>
    <w:rsid w:val="00ED612F"/>
    <w:rsid w:val="00ED61B5"/>
    <w:rsid w:val="00ED622D"/>
    <w:rsid w:val="00ED6233"/>
    <w:rsid w:val="00ED623D"/>
    <w:rsid w:val="00ED629B"/>
    <w:rsid w:val="00ED63DF"/>
    <w:rsid w:val="00ED63F3"/>
    <w:rsid w:val="00ED6421"/>
    <w:rsid w:val="00ED644A"/>
    <w:rsid w:val="00ED645C"/>
    <w:rsid w:val="00ED649B"/>
    <w:rsid w:val="00ED64AD"/>
    <w:rsid w:val="00ED6546"/>
    <w:rsid w:val="00ED65E9"/>
    <w:rsid w:val="00ED6677"/>
    <w:rsid w:val="00ED66DA"/>
    <w:rsid w:val="00ED6725"/>
    <w:rsid w:val="00ED6744"/>
    <w:rsid w:val="00ED67C3"/>
    <w:rsid w:val="00ED68F6"/>
    <w:rsid w:val="00ED69BA"/>
    <w:rsid w:val="00ED6A2F"/>
    <w:rsid w:val="00ED6AB4"/>
    <w:rsid w:val="00ED6AEC"/>
    <w:rsid w:val="00ED6BCF"/>
    <w:rsid w:val="00ED6C87"/>
    <w:rsid w:val="00ED6CBD"/>
    <w:rsid w:val="00ED6CE3"/>
    <w:rsid w:val="00ED6CE8"/>
    <w:rsid w:val="00ED6DAF"/>
    <w:rsid w:val="00ED6E70"/>
    <w:rsid w:val="00ED6EAC"/>
    <w:rsid w:val="00ED6F3F"/>
    <w:rsid w:val="00ED6F90"/>
    <w:rsid w:val="00ED7083"/>
    <w:rsid w:val="00ED70BA"/>
    <w:rsid w:val="00ED7121"/>
    <w:rsid w:val="00ED7134"/>
    <w:rsid w:val="00ED719B"/>
    <w:rsid w:val="00ED722D"/>
    <w:rsid w:val="00ED724E"/>
    <w:rsid w:val="00ED7375"/>
    <w:rsid w:val="00ED73D5"/>
    <w:rsid w:val="00ED73DB"/>
    <w:rsid w:val="00ED73EC"/>
    <w:rsid w:val="00ED7457"/>
    <w:rsid w:val="00ED7508"/>
    <w:rsid w:val="00ED7560"/>
    <w:rsid w:val="00ED7577"/>
    <w:rsid w:val="00ED7604"/>
    <w:rsid w:val="00ED764D"/>
    <w:rsid w:val="00ED7691"/>
    <w:rsid w:val="00ED76CB"/>
    <w:rsid w:val="00ED773E"/>
    <w:rsid w:val="00ED791C"/>
    <w:rsid w:val="00ED7958"/>
    <w:rsid w:val="00ED79AF"/>
    <w:rsid w:val="00ED7A31"/>
    <w:rsid w:val="00ED7A33"/>
    <w:rsid w:val="00ED7A7D"/>
    <w:rsid w:val="00ED7B05"/>
    <w:rsid w:val="00ED7BEC"/>
    <w:rsid w:val="00ED7C69"/>
    <w:rsid w:val="00ED7CAB"/>
    <w:rsid w:val="00ED7CDC"/>
    <w:rsid w:val="00ED7CF9"/>
    <w:rsid w:val="00ED7D95"/>
    <w:rsid w:val="00ED7E63"/>
    <w:rsid w:val="00ED7E88"/>
    <w:rsid w:val="00ED7EEA"/>
    <w:rsid w:val="00ED7EF3"/>
    <w:rsid w:val="00ED7FF6"/>
    <w:rsid w:val="00EE0051"/>
    <w:rsid w:val="00EE00C2"/>
    <w:rsid w:val="00EE0145"/>
    <w:rsid w:val="00EE016A"/>
    <w:rsid w:val="00EE01FD"/>
    <w:rsid w:val="00EE024D"/>
    <w:rsid w:val="00EE0297"/>
    <w:rsid w:val="00EE02D8"/>
    <w:rsid w:val="00EE02E9"/>
    <w:rsid w:val="00EE0317"/>
    <w:rsid w:val="00EE0334"/>
    <w:rsid w:val="00EE0339"/>
    <w:rsid w:val="00EE05FC"/>
    <w:rsid w:val="00EE0667"/>
    <w:rsid w:val="00EE06B1"/>
    <w:rsid w:val="00EE07D7"/>
    <w:rsid w:val="00EE07F9"/>
    <w:rsid w:val="00EE0835"/>
    <w:rsid w:val="00EE0A6F"/>
    <w:rsid w:val="00EE0B77"/>
    <w:rsid w:val="00EE0C3E"/>
    <w:rsid w:val="00EE0C6B"/>
    <w:rsid w:val="00EE0CA7"/>
    <w:rsid w:val="00EE0CEF"/>
    <w:rsid w:val="00EE0D27"/>
    <w:rsid w:val="00EE0D51"/>
    <w:rsid w:val="00EE0D5E"/>
    <w:rsid w:val="00EE0D90"/>
    <w:rsid w:val="00EE0DAA"/>
    <w:rsid w:val="00EE0DE8"/>
    <w:rsid w:val="00EE0F34"/>
    <w:rsid w:val="00EE0F3B"/>
    <w:rsid w:val="00EE0F59"/>
    <w:rsid w:val="00EE0F71"/>
    <w:rsid w:val="00EE0F93"/>
    <w:rsid w:val="00EE1025"/>
    <w:rsid w:val="00EE1156"/>
    <w:rsid w:val="00EE11B4"/>
    <w:rsid w:val="00EE11C5"/>
    <w:rsid w:val="00EE12CB"/>
    <w:rsid w:val="00EE12F1"/>
    <w:rsid w:val="00EE13B2"/>
    <w:rsid w:val="00EE14A9"/>
    <w:rsid w:val="00EE156C"/>
    <w:rsid w:val="00EE15A9"/>
    <w:rsid w:val="00EE15D0"/>
    <w:rsid w:val="00EE1660"/>
    <w:rsid w:val="00EE1689"/>
    <w:rsid w:val="00EE16BD"/>
    <w:rsid w:val="00EE175A"/>
    <w:rsid w:val="00EE1765"/>
    <w:rsid w:val="00EE1777"/>
    <w:rsid w:val="00EE17E7"/>
    <w:rsid w:val="00EE17F1"/>
    <w:rsid w:val="00EE17F4"/>
    <w:rsid w:val="00EE188B"/>
    <w:rsid w:val="00EE18D1"/>
    <w:rsid w:val="00EE1906"/>
    <w:rsid w:val="00EE19B7"/>
    <w:rsid w:val="00EE1A1E"/>
    <w:rsid w:val="00EE1A31"/>
    <w:rsid w:val="00EE1A9C"/>
    <w:rsid w:val="00EE1ACC"/>
    <w:rsid w:val="00EE1B54"/>
    <w:rsid w:val="00EE1B97"/>
    <w:rsid w:val="00EE1BC6"/>
    <w:rsid w:val="00EE1BC9"/>
    <w:rsid w:val="00EE1CCC"/>
    <w:rsid w:val="00EE1D10"/>
    <w:rsid w:val="00EE1D66"/>
    <w:rsid w:val="00EE1E0D"/>
    <w:rsid w:val="00EE1E72"/>
    <w:rsid w:val="00EE1E9E"/>
    <w:rsid w:val="00EE1F77"/>
    <w:rsid w:val="00EE2032"/>
    <w:rsid w:val="00EE21D6"/>
    <w:rsid w:val="00EE21D9"/>
    <w:rsid w:val="00EE21EE"/>
    <w:rsid w:val="00EE2235"/>
    <w:rsid w:val="00EE2250"/>
    <w:rsid w:val="00EE2259"/>
    <w:rsid w:val="00EE22DB"/>
    <w:rsid w:val="00EE230C"/>
    <w:rsid w:val="00EE234D"/>
    <w:rsid w:val="00EE23CB"/>
    <w:rsid w:val="00EE2410"/>
    <w:rsid w:val="00EE245C"/>
    <w:rsid w:val="00EE2460"/>
    <w:rsid w:val="00EE24B0"/>
    <w:rsid w:val="00EE24D1"/>
    <w:rsid w:val="00EE2508"/>
    <w:rsid w:val="00EE2572"/>
    <w:rsid w:val="00EE259A"/>
    <w:rsid w:val="00EE25CF"/>
    <w:rsid w:val="00EE266B"/>
    <w:rsid w:val="00EE267E"/>
    <w:rsid w:val="00EE26D5"/>
    <w:rsid w:val="00EE289A"/>
    <w:rsid w:val="00EE29CF"/>
    <w:rsid w:val="00EE29FF"/>
    <w:rsid w:val="00EE2B82"/>
    <w:rsid w:val="00EE2C52"/>
    <w:rsid w:val="00EE2CF7"/>
    <w:rsid w:val="00EE2D60"/>
    <w:rsid w:val="00EE2D6C"/>
    <w:rsid w:val="00EE2D73"/>
    <w:rsid w:val="00EE2DDB"/>
    <w:rsid w:val="00EE2E53"/>
    <w:rsid w:val="00EE2F50"/>
    <w:rsid w:val="00EE2FBB"/>
    <w:rsid w:val="00EE305A"/>
    <w:rsid w:val="00EE30C7"/>
    <w:rsid w:val="00EE3205"/>
    <w:rsid w:val="00EE327D"/>
    <w:rsid w:val="00EE32C9"/>
    <w:rsid w:val="00EE32CE"/>
    <w:rsid w:val="00EE3323"/>
    <w:rsid w:val="00EE349A"/>
    <w:rsid w:val="00EE35CC"/>
    <w:rsid w:val="00EE360A"/>
    <w:rsid w:val="00EE368A"/>
    <w:rsid w:val="00EE36C5"/>
    <w:rsid w:val="00EE372C"/>
    <w:rsid w:val="00EE380A"/>
    <w:rsid w:val="00EE3887"/>
    <w:rsid w:val="00EE38BD"/>
    <w:rsid w:val="00EE38F0"/>
    <w:rsid w:val="00EE3A7C"/>
    <w:rsid w:val="00EE3ACE"/>
    <w:rsid w:val="00EE3B26"/>
    <w:rsid w:val="00EE3BDF"/>
    <w:rsid w:val="00EE3C45"/>
    <w:rsid w:val="00EE3C74"/>
    <w:rsid w:val="00EE3CC5"/>
    <w:rsid w:val="00EE3D25"/>
    <w:rsid w:val="00EE3D30"/>
    <w:rsid w:val="00EE3D3D"/>
    <w:rsid w:val="00EE3D7E"/>
    <w:rsid w:val="00EE3E14"/>
    <w:rsid w:val="00EE3E6F"/>
    <w:rsid w:val="00EE3F1F"/>
    <w:rsid w:val="00EE3F7C"/>
    <w:rsid w:val="00EE3FF0"/>
    <w:rsid w:val="00EE403B"/>
    <w:rsid w:val="00EE4193"/>
    <w:rsid w:val="00EE41BF"/>
    <w:rsid w:val="00EE4219"/>
    <w:rsid w:val="00EE4222"/>
    <w:rsid w:val="00EE422C"/>
    <w:rsid w:val="00EE4311"/>
    <w:rsid w:val="00EE4319"/>
    <w:rsid w:val="00EE4324"/>
    <w:rsid w:val="00EE4352"/>
    <w:rsid w:val="00EE438E"/>
    <w:rsid w:val="00EE4426"/>
    <w:rsid w:val="00EE4438"/>
    <w:rsid w:val="00EE443D"/>
    <w:rsid w:val="00EE4456"/>
    <w:rsid w:val="00EE4493"/>
    <w:rsid w:val="00EE44C0"/>
    <w:rsid w:val="00EE450D"/>
    <w:rsid w:val="00EE45BD"/>
    <w:rsid w:val="00EE46D8"/>
    <w:rsid w:val="00EE473E"/>
    <w:rsid w:val="00EE480B"/>
    <w:rsid w:val="00EE4819"/>
    <w:rsid w:val="00EE4820"/>
    <w:rsid w:val="00EE4879"/>
    <w:rsid w:val="00EE487D"/>
    <w:rsid w:val="00EE491B"/>
    <w:rsid w:val="00EE4A48"/>
    <w:rsid w:val="00EE4AFA"/>
    <w:rsid w:val="00EE4B25"/>
    <w:rsid w:val="00EE4BFC"/>
    <w:rsid w:val="00EE4C80"/>
    <w:rsid w:val="00EE4CDD"/>
    <w:rsid w:val="00EE4DE2"/>
    <w:rsid w:val="00EE4E5E"/>
    <w:rsid w:val="00EE4E77"/>
    <w:rsid w:val="00EE4EA6"/>
    <w:rsid w:val="00EE4EB1"/>
    <w:rsid w:val="00EE4EFF"/>
    <w:rsid w:val="00EE4F91"/>
    <w:rsid w:val="00EE4F94"/>
    <w:rsid w:val="00EE5017"/>
    <w:rsid w:val="00EE5115"/>
    <w:rsid w:val="00EE5124"/>
    <w:rsid w:val="00EE5271"/>
    <w:rsid w:val="00EE52A2"/>
    <w:rsid w:val="00EE52EB"/>
    <w:rsid w:val="00EE539A"/>
    <w:rsid w:val="00EE549A"/>
    <w:rsid w:val="00EE55BF"/>
    <w:rsid w:val="00EE5649"/>
    <w:rsid w:val="00EE5687"/>
    <w:rsid w:val="00EE56D6"/>
    <w:rsid w:val="00EE572A"/>
    <w:rsid w:val="00EE57CE"/>
    <w:rsid w:val="00EE57DC"/>
    <w:rsid w:val="00EE5838"/>
    <w:rsid w:val="00EE5862"/>
    <w:rsid w:val="00EE58AD"/>
    <w:rsid w:val="00EE5932"/>
    <w:rsid w:val="00EE5989"/>
    <w:rsid w:val="00EE5AA7"/>
    <w:rsid w:val="00EE5AC1"/>
    <w:rsid w:val="00EE5AFB"/>
    <w:rsid w:val="00EE5B19"/>
    <w:rsid w:val="00EE5B29"/>
    <w:rsid w:val="00EE5B44"/>
    <w:rsid w:val="00EE5BA1"/>
    <w:rsid w:val="00EE5BEE"/>
    <w:rsid w:val="00EE5CDC"/>
    <w:rsid w:val="00EE5CE8"/>
    <w:rsid w:val="00EE5D11"/>
    <w:rsid w:val="00EE5D20"/>
    <w:rsid w:val="00EE5E14"/>
    <w:rsid w:val="00EE5E8E"/>
    <w:rsid w:val="00EE5EB9"/>
    <w:rsid w:val="00EE5F50"/>
    <w:rsid w:val="00EE5FB4"/>
    <w:rsid w:val="00EE5FE2"/>
    <w:rsid w:val="00EE5FF8"/>
    <w:rsid w:val="00EE60EF"/>
    <w:rsid w:val="00EE612B"/>
    <w:rsid w:val="00EE6139"/>
    <w:rsid w:val="00EE61CD"/>
    <w:rsid w:val="00EE61D4"/>
    <w:rsid w:val="00EE61E9"/>
    <w:rsid w:val="00EE61EB"/>
    <w:rsid w:val="00EE61F7"/>
    <w:rsid w:val="00EE6242"/>
    <w:rsid w:val="00EE62AC"/>
    <w:rsid w:val="00EE6343"/>
    <w:rsid w:val="00EE636A"/>
    <w:rsid w:val="00EE636D"/>
    <w:rsid w:val="00EE63B9"/>
    <w:rsid w:val="00EE64B4"/>
    <w:rsid w:val="00EE64D7"/>
    <w:rsid w:val="00EE64D9"/>
    <w:rsid w:val="00EE6535"/>
    <w:rsid w:val="00EE65AC"/>
    <w:rsid w:val="00EE6654"/>
    <w:rsid w:val="00EE676A"/>
    <w:rsid w:val="00EE67C8"/>
    <w:rsid w:val="00EE6856"/>
    <w:rsid w:val="00EE68F7"/>
    <w:rsid w:val="00EE6929"/>
    <w:rsid w:val="00EE6945"/>
    <w:rsid w:val="00EE69A2"/>
    <w:rsid w:val="00EE6A15"/>
    <w:rsid w:val="00EE6A16"/>
    <w:rsid w:val="00EE6B8E"/>
    <w:rsid w:val="00EE6B9D"/>
    <w:rsid w:val="00EE6BEE"/>
    <w:rsid w:val="00EE6C2A"/>
    <w:rsid w:val="00EE6C92"/>
    <w:rsid w:val="00EE6D35"/>
    <w:rsid w:val="00EE6D51"/>
    <w:rsid w:val="00EE6DCA"/>
    <w:rsid w:val="00EE6FAA"/>
    <w:rsid w:val="00EE6FFD"/>
    <w:rsid w:val="00EE701E"/>
    <w:rsid w:val="00EE70AC"/>
    <w:rsid w:val="00EE7154"/>
    <w:rsid w:val="00EE7198"/>
    <w:rsid w:val="00EE7221"/>
    <w:rsid w:val="00EE732A"/>
    <w:rsid w:val="00EE7399"/>
    <w:rsid w:val="00EE73F7"/>
    <w:rsid w:val="00EE73FF"/>
    <w:rsid w:val="00EE744F"/>
    <w:rsid w:val="00EE7462"/>
    <w:rsid w:val="00EE74AD"/>
    <w:rsid w:val="00EE74B8"/>
    <w:rsid w:val="00EE74EB"/>
    <w:rsid w:val="00EE7508"/>
    <w:rsid w:val="00EE754B"/>
    <w:rsid w:val="00EE759E"/>
    <w:rsid w:val="00EE7633"/>
    <w:rsid w:val="00EE764B"/>
    <w:rsid w:val="00EE765C"/>
    <w:rsid w:val="00EE76B0"/>
    <w:rsid w:val="00EE76C1"/>
    <w:rsid w:val="00EE777F"/>
    <w:rsid w:val="00EE77F2"/>
    <w:rsid w:val="00EE7810"/>
    <w:rsid w:val="00EE7823"/>
    <w:rsid w:val="00EE786D"/>
    <w:rsid w:val="00EE78AF"/>
    <w:rsid w:val="00EE78CB"/>
    <w:rsid w:val="00EE78E2"/>
    <w:rsid w:val="00EE7951"/>
    <w:rsid w:val="00EE7972"/>
    <w:rsid w:val="00EE7B07"/>
    <w:rsid w:val="00EE7B73"/>
    <w:rsid w:val="00EE7B84"/>
    <w:rsid w:val="00EE7BB0"/>
    <w:rsid w:val="00EE7BB6"/>
    <w:rsid w:val="00EE7BBF"/>
    <w:rsid w:val="00EE7C28"/>
    <w:rsid w:val="00EE7C30"/>
    <w:rsid w:val="00EE7CC2"/>
    <w:rsid w:val="00EE7D52"/>
    <w:rsid w:val="00EE7D63"/>
    <w:rsid w:val="00EE7E05"/>
    <w:rsid w:val="00EE7E06"/>
    <w:rsid w:val="00EE7E31"/>
    <w:rsid w:val="00EE7E54"/>
    <w:rsid w:val="00EE7ECB"/>
    <w:rsid w:val="00EE7EE9"/>
    <w:rsid w:val="00EE7EEF"/>
    <w:rsid w:val="00EF0007"/>
    <w:rsid w:val="00EF0043"/>
    <w:rsid w:val="00EF006A"/>
    <w:rsid w:val="00EF0142"/>
    <w:rsid w:val="00EF014A"/>
    <w:rsid w:val="00EF01A2"/>
    <w:rsid w:val="00EF01CC"/>
    <w:rsid w:val="00EF02CD"/>
    <w:rsid w:val="00EF031E"/>
    <w:rsid w:val="00EF0425"/>
    <w:rsid w:val="00EF0485"/>
    <w:rsid w:val="00EF050A"/>
    <w:rsid w:val="00EF0519"/>
    <w:rsid w:val="00EF0546"/>
    <w:rsid w:val="00EF055E"/>
    <w:rsid w:val="00EF0569"/>
    <w:rsid w:val="00EF0651"/>
    <w:rsid w:val="00EF0682"/>
    <w:rsid w:val="00EF0690"/>
    <w:rsid w:val="00EF06AE"/>
    <w:rsid w:val="00EF06C8"/>
    <w:rsid w:val="00EF0780"/>
    <w:rsid w:val="00EF0782"/>
    <w:rsid w:val="00EF07B9"/>
    <w:rsid w:val="00EF0807"/>
    <w:rsid w:val="00EF0822"/>
    <w:rsid w:val="00EF082E"/>
    <w:rsid w:val="00EF089C"/>
    <w:rsid w:val="00EF0956"/>
    <w:rsid w:val="00EF09BE"/>
    <w:rsid w:val="00EF0A58"/>
    <w:rsid w:val="00EF0A65"/>
    <w:rsid w:val="00EF0AB0"/>
    <w:rsid w:val="00EF0AC8"/>
    <w:rsid w:val="00EF0AF6"/>
    <w:rsid w:val="00EF0AF7"/>
    <w:rsid w:val="00EF0B0A"/>
    <w:rsid w:val="00EF0BB5"/>
    <w:rsid w:val="00EF0C99"/>
    <w:rsid w:val="00EF0D05"/>
    <w:rsid w:val="00EF0D0A"/>
    <w:rsid w:val="00EF0DBC"/>
    <w:rsid w:val="00EF0DE3"/>
    <w:rsid w:val="00EF0F06"/>
    <w:rsid w:val="00EF0FB0"/>
    <w:rsid w:val="00EF0FE7"/>
    <w:rsid w:val="00EF1092"/>
    <w:rsid w:val="00EF1130"/>
    <w:rsid w:val="00EF1143"/>
    <w:rsid w:val="00EF1259"/>
    <w:rsid w:val="00EF1298"/>
    <w:rsid w:val="00EF129B"/>
    <w:rsid w:val="00EF12B6"/>
    <w:rsid w:val="00EF12E9"/>
    <w:rsid w:val="00EF1320"/>
    <w:rsid w:val="00EF1376"/>
    <w:rsid w:val="00EF13A0"/>
    <w:rsid w:val="00EF13BC"/>
    <w:rsid w:val="00EF14CF"/>
    <w:rsid w:val="00EF1521"/>
    <w:rsid w:val="00EF1537"/>
    <w:rsid w:val="00EF1567"/>
    <w:rsid w:val="00EF1580"/>
    <w:rsid w:val="00EF162E"/>
    <w:rsid w:val="00EF1659"/>
    <w:rsid w:val="00EF16F4"/>
    <w:rsid w:val="00EF176A"/>
    <w:rsid w:val="00EF180A"/>
    <w:rsid w:val="00EF18F0"/>
    <w:rsid w:val="00EF190D"/>
    <w:rsid w:val="00EF192D"/>
    <w:rsid w:val="00EF1945"/>
    <w:rsid w:val="00EF1961"/>
    <w:rsid w:val="00EF1A3C"/>
    <w:rsid w:val="00EF1A54"/>
    <w:rsid w:val="00EF1A7D"/>
    <w:rsid w:val="00EF1A86"/>
    <w:rsid w:val="00EF1AE9"/>
    <w:rsid w:val="00EF1AEC"/>
    <w:rsid w:val="00EF1AFE"/>
    <w:rsid w:val="00EF1B70"/>
    <w:rsid w:val="00EF1BA1"/>
    <w:rsid w:val="00EF1BDF"/>
    <w:rsid w:val="00EF1C4E"/>
    <w:rsid w:val="00EF1C67"/>
    <w:rsid w:val="00EF1CF1"/>
    <w:rsid w:val="00EF1D5D"/>
    <w:rsid w:val="00EF1DFE"/>
    <w:rsid w:val="00EF1E0D"/>
    <w:rsid w:val="00EF1E60"/>
    <w:rsid w:val="00EF1F3A"/>
    <w:rsid w:val="00EF1F42"/>
    <w:rsid w:val="00EF1F53"/>
    <w:rsid w:val="00EF1F72"/>
    <w:rsid w:val="00EF1FFE"/>
    <w:rsid w:val="00EF202F"/>
    <w:rsid w:val="00EF2073"/>
    <w:rsid w:val="00EF20C5"/>
    <w:rsid w:val="00EF211E"/>
    <w:rsid w:val="00EF2184"/>
    <w:rsid w:val="00EF222A"/>
    <w:rsid w:val="00EF2245"/>
    <w:rsid w:val="00EF22AE"/>
    <w:rsid w:val="00EF22C8"/>
    <w:rsid w:val="00EF22E3"/>
    <w:rsid w:val="00EF23A0"/>
    <w:rsid w:val="00EF23E3"/>
    <w:rsid w:val="00EF240C"/>
    <w:rsid w:val="00EF2426"/>
    <w:rsid w:val="00EF2461"/>
    <w:rsid w:val="00EF24CC"/>
    <w:rsid w:val="00EF256C"/>
    <w:rsid w:val="00EF25A1"/>
    <w:rsid w:val="00EF25BF"/>
    <w:rsid w:val="00EF2673"/>
    <w:rsid w:val="00EF26E0"/>
    <w:rsid w:val="00EF2772"/>
    <w:rsid w:val="00EF2799"/>
    <w:rsid w:val="00EF27C3"/>
    <w:rsid w:val="00EF2870"/>
    <w:rsid w:val="00EF293F"/>
    <w:rsid w:val="00EF298C"/>
    <w:rsid w:val="00EF2A2A"/>
    <w:rsid w:val="00EF2B07"/>
    <w:rsid w:val="00EF2B10"/>
    <w:rsid w:val="00EF2B2C"/>
    <w:rsid w:val="00EF2C28"/>
    <w:rsid w:val="00EF2C60"/>
    <w:rsid w:val="00EF2C65"/>
    <w:rsid w:val="00EF2CE7"/>
    <w:rsid w:val="00EF2CEB"/>
    <w:rsid w:val="00EF2D7B"/>
    <w:rsid w:val="00EF2E20"/>
    <w:rsid w:val="00EF2EC6"/>
    <w:rsid w:val="00EF2F05"/>
    <w:rsid w:val="00EF2F92"/>
    <w:rsid w:val="00EF2FF1"/>
    <w:rsid w:val="00EF2FFD"/>
    <w:rsid w:val="00EF3004"/>
    <w:rsid w:val="00EF3018"/>
    <w:rsid w:val="00EF3063"/>
    <w:rsid w:val="00EF30D8"/>
    <w:rsid w:val="00EF312C"/>
    <w:rsid w:val="00EF3164"/>
    <w:rsid w:val="00EF3185"/>
    <w:rsid w:val="00EF3191"/>
    <w:rsid w:val="00EF3192"/>
    <w:rsid w:val="00EF31C0"/>
    <w:rsid w:val="00EF31D4"/>
    <w:rsid w:val="00EF3242"/>
    <w:rsid w:val="00EF32BA"/>
    <w:rsid w:val="00EF3356"/>
    <w:rsid w:val="00EF3377"/>
    <w:rsid w:val="00EF3396"/>
    <w:rsid w:val="00EF34BD"/>
    <w:rsid w:val="00EF35D7"/>
    <w:rsid w:val="00EF35E1"/>
    <w:rsid w:val="00EF363B"/>
    <w:rsid w:val="00EF3650"/>
    <w:rsid w:val="00EF367E"/>
    <w:rsid w:val="00EF3729"/>
    <w:rsid w:val="00EF3763"/>
    <w:rsid w:val="00EF3784"/>
    <w:rsid w:val="00EF38D6"/>
    <w:rsid w:val="00EF38DA"/>
    <w:rsid w:val="00EF390D"/>
    <w:rsid w:val="00EF3921"/>
    <w:rsid w:val="00EF396C"/>
    <w:rsid w:val="00EF39AF"/>
    <w:rsid w:val="00EF39EE"/>
    <w:rsid w:val="00EF3A76"/>
    <w:rsid w:val="00EF3A7C"/>
    <w:rsid w:val="00EF3ABE"/>
    <w:rsid w:val="00EF3B16"/>
    <w:rsid w:val="00EF3B37"/>
    <w:rsid w:val="00EF3BB7"/>
    <w:rsid w:val="00EF3C55"/>
    <w:rsid w:val="00EF3C90"/>
    <w:rsid w:val="00EF3CC8"/>
    <w:rsid w:val="00EF3D01"/>
    <w:rsid w:val="00EF3DB5"/>
    <w:rsid w:val="00EF3E3C"/>
    <w:rsid w:val="00EF3EDF"/>
    <w:rsid w:val="00EF3F4A"/>
    <w:rsid w:val="00EF4024"/>
    <w:rsid w:val="00EF404C"/>
    <w:rsid w:val="00EF40A2"/>
    <w:rsid w:val="00EF40CE"/>
    <w:rsid w:val="00EF4103"/>
    <w:rsid w:val="00EF4151"/>
    <w:rsid w:val="00EF4177"/>
    <w:rsid w:val="00EF41A4"/>
    <w:rsid w:val="00EF41D3"/>
    <w:rsid w:val="00EF41D8"/>
    <w:rsid w:val="00EF420C"/>
    <w:rsid w:val="00EF4257"/>
    <w:rsid w:val="00EF42EA"/>
    <w:rsid w:val="00EF42F2"/>
    <w:rsid w:val="00EF439D"/>
    <w:rsid w:val="00EF43B3"/>
    <w:rsid w:val="00EF44E4"/>
    <w:rsid w:val="00EF450B"/>
    <w:rsid w:val="00EF4570"/>
    <w:rsid w:val="00EF45C9"/>
    <w:rsid w:val="00EF45CC"/>
    <w:rsid w:val="00EF45E9"/>
    <w:rsid w:val="00EF460A"/>
    <w:rsid w:val="00EF461E"/>
    <w:rsid w:val="00EF46C5"/>
    <w:rsid w:val="00EF4764"/>
    <w:rsid w:val="00EF47AC"/>
    <w:rsid w:val="00EF47B1"/>
    <w:rsid w:val="00EF48CC"/>
    <w:rsid w:val="00EF48E1"/>
    <w:rsid w:val="00EF491E"/>
    <w:rsid w:val="00EF4924"/>
    <w:rsid w:val="00EF4A5A"/>
    <w:rsid w:val="00EF4A83"/>
    <w:rsid w:val="00EF4A8F"/>
    <w:rsid w:val="00EF4B38"/>
    <w:rsid w:val="00EF4B3D"/>
    <w:rsid w:val="00EF4B74"/>
    <w:rsid w:val="00EF4C55"/>
    <w:rsid w:val="00EF4C63"/>
    <w:rsid w:val="00EF4CF7"/>
    <w:rsid w:val="00EF4D27"/>
    <w:rsid w:val="00EF4D7C"/>
    <w:rsid w:val="00EF4E4A"/>
    <w:rsid w:val="00EF4E57"/>
    <w:rsid w:val="00EF4E8A"/>
    <w:rsid w:val="00EF4EED"/>
    <w:rsid w:val="00EF4F27"/>
    <w:rsid w:val="00EF4F35"/>
    <w:rsid w:val="00EF4F67"/>
    <w:rsid w:val="00EF4FEC"/>
    <w:rsid w:val="00EF4FED"/>
    <w:rsid w:val="00EF4FFE"/>
    <w:rsid w:val="00EF4FFF"/>
    <w:rsid w:val="00EF505B"/>
    <w:rsid w:val="00EF5068"/>
    <w:rsid w:val="00EF50F5"/>
    <w:rsid w:val="00EF529F"/>
    <w:rsid w:val="00EF52BE"/>
    <w:rsid w:val="00EF5310"/>
    <w:rsid w:val="00EF53BE"/>
    <w:rsid w:val="00EF546F"/>
    <w:rsid w:val="00EF551C"/>
    <w:rsid w:val="00EF552C"/>
    <w:rsid w:val="00EF5589"/>
    <w:rsid w:val="00EF55C4"/>
    <w:rsid w:val="00EF563D"/>
    <w:rsid w:val="00EF5692"/>
    <w:rsid w:val="00EF569E"/>
    <w:rsid w:val="00EF56BD"/>
    <w:rsid w:val="00EF56EA"/>
    <w:rsid w:val="00EF572F"/>
    <w:rsid w:val="00EF5891"/>
    <w:rsid w:val="00EF58C2"/>
    <w:rsid w:val="00EF59B2"/>
    <w:rsid w:val="00EF5A32"/>
    <w:rsid w:val="00EF5B11"/>
    <w:rsid w:val="00EF5B3E"/>
    <w:rsid w:val="00EF5B97"/>
    <w:rsid w:val="00EF5C55"/>
    <w:rsid w:val="00EF5D00"/>
    <w:rsid w:val="00EF5DB3"/>
    <w:rsid w:val="00EF5DD7"/>
    <w:rsid w:val="00EF5E4E"/>
    <w:rsid w:val="00EF5EBC"/>
    <w:rsid w:val="00EF5F26"/>
    <w:rsid w:val="00EF5F67"/>
    <w:rsid w:val="00EF5FA5"/>
    <w:rsid w:val="00EF6078"/>
    <w:rsid w:val="00EF60BA"/>
    <w:rsid w:val="00EF60C4"/>
    <w:rsid w:val="00EF614E"/>
    <w:rsid w:val="00EF6398"/>
    <w:rsid w:val="00EF63A9"/>
    <w:rsid w:val="00EF6424"/>
    <w:rsid w:val="00EF64B1"/>
    <w:rsid w:val="00EF6550"/>
    <w:rsid w:val="00EF65D0"/>
    <w:rsid w:val="00EF661E"/>
    <w:rsid w:val="00EF663A"/>
    <w:rsid w:val="00EF6641"/>
    <w:rsid w:val="00EF667C"/>
    <w:rsid w:val="00EF66A1"/>
    <w:rsid w:val="00EF66DE"/>
    <w:rsid w:val="00EF670E"/>
    <w:rsid w:val="00EF6786"/>
    <w:rsid w:val="00EF6817"/>
    <w:rsid w:val="00EF683A"/>
    <w:rsid w:val="00EF6875"/>
    <w:rsid w:val="00EF68CC"/>
    <w:rsid w:val="00EF6905"/>
    <w:rsid w:val="00EF69B7"/>
    <w:rsid w:val="00EF69E2"/>
    <w:rsid w:val="00EF6C2B"/>
    <w:rsid w:val="00EF6CD1"/>
    <w:rsid w:val="00EF6D9C"/>
    <w:rsid w:val="00EF6E09"/>
    <w:rsid w:val="00EF6E85"/>
    <w:rsid w:val="00EF6F48"/>
    <w:rsid w:val="00EF6F8F"/>
    <w:rsid w:val="00EF6F9D"/>
    <w:rsid w:val="00EF705B"/>
    <w:rsid w:val="00EF7079"/>
    <w:rsid w:val="00EF7113"/>
    <w:rsid w:val="00EF7204"/>
    <w:rsid w:val="00EF72EE"/>
    <w:rsid w:val="00EF731B"/>
    <w:rsid w:val="00EF733D"/>
    <w:rsid w:val="00EF736D"/>
    <w:rsid w:val="00EF738F"/>
    <w:rsid w:val="00EF73DF"/>
    <w:rsid w:val="00EF7427"/>
    <w:rsid w:val="00EF74F0"/>
    <w:rsid w:val="00EF7508"/>
    <w:rsid w:val="00EF754E"/>
    <w:rsid w:val="00EF757A"/>
    <w:rsid w:val="00EF759B"/>
    <w:rsid w:val="00EF764E"/>
    <w:rsid w:val="00EF76B4"/>
    <w:rsid w:val="00EF7860"/>
    <w:rsid w:val="00EF78CF"/>
    <w:rsid w:val="00EF797B"/>
    <w:rsid w:val="00EF7984"/>
    <w:rsid w:val="00EF798C"/>
    <w:rsid w:val="00EF7B43"/>
    <w:rsid w:val="00EF7B94"/>
    <w:rsid w:val="00EF7B99"/>
    <w:rsid w:val="00EF7C09"/>
    <w:rsid w:val="00EF7C2C"/>
    <w:rsid w:val="00EF7CEA"/>
    <w:rsid w:val="00EF7D0A"/>
    <w:rsid w:val="00EF7D16"/>
    <w:rsid w:val="00EF7D3D"/>
    <w:rsid w:val="00EF7E49"/>
    <w:rsid w:val="00EF7E99"/>
    <w:rsid w:val="00EF7ED1"/>
    <w:rsid w:val="00EF7EF5"/>
    <w:rsid w:val="00EF7F63"/>
    <w:rsid w:val="00EF7F68"/>
    <w:rsid w:val="00EFC270"/>
    <w:rsid w:val="00F0004D"/>
    <w:rsid w:val="00F00085"/>
    <w:rsid w:val="00F000AD"/>
    <w:rsid w:val="00F000E9"/>
    <w:rsid w:val="00F00122"/>
    <w:rsid w:val="00F00166"/>
    <w:rsid w:val="00F001A9"/>
    <w:rsid w:val="00F00246"/>
    <w:rsid w:val="00F002DE"/>
    <w:rsid w:val="00F00343"/>
    <w:rsid w:val="00F00358"/>
    <w:rsid w:val="00F00527"/>
    <w:rsid w:val="00F00585"/>
    <w:rsid w:val="00F0062B"/>
    <w:rsid w:val="00F00816"/>
    <w:rsid w:val="00F00843"/>
    <w:rsid w:val="00F0086A"/>
    <w:rsid w:val="00F00910"/>
    <w:rsid w:val="00F00956"/>
    <w:rsid w:val="00F00966"/>
    <w:rsid w:val="00F00983"/>
    <w:rsid w:val="00F00A15"/>
    <w:rsid w:val="00F00BBB"/>
    <w:rsid w:val="00F00BC1"/>
    <w:rsid w:val="00F00C66"/>
    <w:rsid w:val="00F00CA4"/>
    <w:rsid w:val="00F00CF9"/>
    <w:rsid w:val="00F00D27"/>
    <w:rsid w:val="00F00DD4"/>
    <w:rsid w:val="00F00DD7"/>
    <w:rsid w:val="00F00E0F"/>
    <w:rsid w:val="00F00E3F"/>
    <w:rsid w:val="00F00E8D"/>
    <w:rsid w:val="00F00F71"/>
    <w:rsid w:val="00F0101B"/>
    <w:rsid w:val="00F01095"/>
    <w:rsid w:val="00F01111"/>
    <w:rsid w:val="00F01193"/>
    <w:rsid w:val="00F01235"/>
    <w:rsid w:val="00F0129F"/>
    <w:rsid w:val="00F01390"/>
    <w:rsid w:val="00F013B6"/>
    <w:rsid w:val="00F01401"/>
    <w:rsid w:val="00F01567"/>
    <w:rsid w:val="00F01579"/>
    <w:rsid w:val="00F015E3"/>
    <w:rsid w:val="00F015EF"/>
    <w:rsid w:val="00F016DB"/>
    <w:rsid w:val="00F01708"/>
    <w:rsid w:val="00F01805"/>
    <w:rsid w:val="00F0184C"/>
    <w:rsid w:val="00F0186F"/>
    <w:rsid w:val="00F018BB"/>
    <w:rsid w:val="00F018EF"/>
    <w:rsid w:val="00F018F0"/>
    <w:rsid w:val="00F01996"/>
    <w:rsid w:val="00F019D3"/>
    <w:rsid w:val="00F01A12"/>
    <w:rsid w:val="00F01A4F"/>
    <w:rsid w:val="00F01AED"/>
    <w:rsid w:val="00F01B04"/>
    <w:rsid w:val="00F01BB6"/>
    <w:rsid w:val="00F01C02"/>
    <w:rsid w:val="00F01C4B"/>
    <w:rsid w:val="00F01C91"/>
    <w:rsid w:val="00F01D18"/>
    <w:rsid w:val="00F01D51"/>
    <w:rsid w:val="00F01E32"/>
    <w:rsid w:val="00F01ED5"/>
    <w:rsid w:val="00F0201E"/>
    <w:rsid w:val="00F02026"/>
    <w:rsid w:val="00F020E9"/>
    <w:rsid w:val="00F02149"/>
    <w:rsid w:val="00F0215F"/>
    <w:rsid w:val="00F0220E"/>
    <w:rsid w:val="00F02214"/>
    <w:rsid w:val="00F02239"/>
    <w:rsid w:val="00F02269"/>
    <w:rsid w:val="00F02277"/>
    <w:rsid w:val="00F02285"/>
    <w:rsid w:val="00F02313"/>
    <w:rsid w:val="00F023A6"/>
    <w:rsid w:val="00F023B7"/>
    <w:rsid w:val="00F023F1"/>
    <w:rsid w:val="00F024E1"/>
    <w:rsid w:val="00F02534"/>
    <w:rsid w:val="00F02787"/>
    <w:rsid w:val="00F0287F"/>
    <w:rsid w:val="00F028A3"/>
    <w:rsid w:val="00F02A27"/>
    <w:rsid w:val="00F02B0A"/>
    <w:rsid w:val="00F02B53"/>
    <w:rsid w:val="00F02C0E"/>
    <w:rsid w:val="00F02C22"/>
    <w:rsid w:val="00F02C2C"/>
    <w:rsid w:val="00F02C5A"/>
    <w:rsid w:val="00F02C68"/>
    <w:rsid w:val="00F02C91"/>
    <w:rsid w:val="00F02CBE"/>
    <w:rsid w:val="00F02D98"/>
    <w:rsid w:val="00F02DF3"/>
    <w:rsid w:val="00F02DF9"/>
    <w:rsid w:val="00F02E3B"/>
    <w:rsid w:val="00F02E95"/>
    <w:rsid w:val="00F02EB1"/>
    <w:rsid w:val="00F02EF0"/>
    <w:rsid w:val="00F02F49"/>
    <w:rsid w:val="00F02F8E"/>
    <w:rsid w:val="00F02FE4"/>
    <w:rsid w:val="00F02FF2"/>
    <w:rsid w:val="00F030B5"/>
    <w:rsid w:val="00F030C0"/>
    <w:rsid w:val="00F0310C"/>
    <w:rsid w:val="00F03171"/>
    <w:rsid w:val="00F031A3"/>
    <w:rsid w:val="00F032A1"/>
    <w:rsid w:val="00F032A7"/>
    <w:rsid w:val="00F032AA"/>
    <w:rsid w:val="00F032C4"/>
    <w:rsid w:val="00F03311"/>
    <w:rsid w:val="00F03326"/>
    <w:rsid w:val="00F03394"/>
    <w:rsid w:val="00F03427"/>
    <w:rsid w:val="00F03447"/>
    <w:rsid w:val="00F03494"/>
    <w:rsid w:val="00F034C2"/>
    <w:rsid w:val="00F034C8"/>
    <w:rsid w:val="00F034FC"/>
    <w:rsid w:val="00F03591"/>
    <w:rsid w:val="00F03593"/>
    <w:rsid w:val="00F035DD"/>
    <w:rsid w:val="00F035FE"/>
    <w:rsid w:val="00F036BB"/>
    <w:rsid w:val="00F036C0"/>
    <w:rsid w:val="00F03730"/>
    <w:rsid w:val="00F03744"/>
    <w:rsid w:val="00F0374F"/>
    <w:rsid w:val="00F03846"/>
    <w:rsid w:val="00F0394B"/>
    <w:rsid w:val="00F039AC"/>
    <w:rsid w:val="00F03B17"/>
    <w:rsid w:val="00F03BFA"/>
    <w:rsid w:val="00F03C17"/>
    <w:rsid w:val="00F03C3F"/>
    <w:rsid w:val="00F03CB9"/>
    <w:rsid w:val="00F03CD2"/>
    <w:rsid w:val="00F03D22"/>
    <w:rsid w:val="00F03D35"/>
    <w:rsid w:val="00F03D53"/>
    <w:rsid w:val="00F03D71"/>
    <w:rsid w:val="00F03DCE"/>
    <w:rsid w:val="00F03DE5"/>
    <w:rsid w:val="00F03E2A"/>
    <w:rsid w:val="00F03E49"/>
    <w:rsid w:val="00F03E82"/>
    <w:rsid w:val="00F03EE3"/>
    <w:rsid w:val="00F03F0F"/>
    <w:rsid w:val="00F03FBF"/>
    <w:rsid w:val="00F03FDD"/>
    <w:rsid w:val="00F0400B"/>
    <w:rsid w:val="00F0403C"/>
    <w:rsid w:val="00F040D8"/>
    <w:rsid w:val="00F040FB"/>
    <w:rsid w:val="00F04156"/>
    <w:rsid w:val="00F04199"/>
    <w:rsid w:val="00F041BB"/>
    <w:rsid w:val="00F04341"/>
    <w:rsid w:val="00F0435F"/>
    <w:rsid w:val="00F0436E"/>
    <w:rsid w:val="00F04374"/>
    <w:rsid w:val="00F0438A"/>
    <w:rsid w:val="00F043DA"/>
    <w:rsid w:val="00F04403"/>
    <w:rsid w:val="00F04404"/>
    <w:rsid w:val="00F04425"/>
    <w:rsid w:val="00F0443F"/>
    <w:rsid w:val="00F044D8"/>
    <w:rsid w:val="00F0456D"/>
    <w:rsid w:val="00F04625"/>
    <w:rsid w:val="00F046A9"/>
    <w:rsid w:val="00F0471A"/>
    <w:rsid w:val="00F04775"/>
    <w:rsid w:val="00F0477F"/>
    <w:rsid w:val="00F047B6"/>
    <w:rsid w:val="00F047C9"/>
    <w:rsid w:val="00F0494F"/>
    <w:rsid w:val="00F04A5C"/>
    <w:rsid w:val="00F04A7C"/>
    <w:rsid w:val="00F04B0A"/>
    <w:rsid w:val="00F04B9D"/>
    <w:rsid w:val="00F04C79"/>
    <w:rsid w:val="00F04D9A"/>
    <w:rsid w:val="00F04E3F"/>
    <w:rsid w:val="00F04F37"/>
    <w:rsid w:val="00F04F6D"/>
    <w:rsid w:val="00F04F95"/>
    <w:rsid w:val="00F0504A"/>
    <w:rsid w:val="00F05058"/>
    <w:rsid w:val="00F051CD"/>
    <w:rsid w:val="00F0522C"/>
    <w:rsid w:val="00F0524D"/>
    <w:rsid w:val="00F05276"/>
    <w:rsid w:val="00F052E5"/>
    <w:rsid w:val="00F05373"/>
    <w:rsid w:val="00F05458"/>
    <w:rsid w:val="00F05467"/>
    <w:rsid w:val="00F05469"/>
    <w:rsid w:val="00F054FC"/>
    <w:rsid w:val="00F0551B"/>
    <w:rsid w:val="00F0555F"/>
    <w:rsid w:val="00F055B3"/>
    <w:rsid w:val="00F05653"/>
    <w:rsid w:val="00F056BF"/>
    <w:rsid w:val="00F056FD"/>
    <w:rsid w:val="00F057C4"/>
    <w:rsid w:val="00F057DF"/>
    <w:rsid w:val="00F057E5"/>
    <w:rsid w:val="00F0586C"/>
    <w:rsid w:val="00F058EA"/>
    <w:rsid w:val="00F05952"/>
    <w:rsid w:val="00F05A05"/>
    <w:rsid w:val="00F05A5A"/>
    <w:rsid w:val="00F05A61"/>
    <w:rsid w:val="00F05A6C"/>
    <w:rsid w:val="00F05B53"/>
    <w:rsid w:val="00F05B7F"/>
    <w:rsid w:val="00F05BAD"/>
    <w:rsid w:val="00F05BC5"/>
    <w:rsid w:val="00F05C8F"/>
    <w:rsid w:val="00F05CF5"/>
    <w:rsid w:val="00F05D29"/>
    <w:rsid w:val="00F05E5B"/>
    <w:rsid w:val="00F06015"/>
    <w:rsid w:val="00F06075"/>
    <w:rsid w:val="00F060D4"/>
    <w:rsid w:val="00F06137"/>
    <w:rsid w:val="00F06176"/>
    <w:rsid w:val="00F061AD"/>
    <w:rsid w:val="00F06265"/>
    <w:rsid w:val="00F06311"/>
    <w:rsid w:val="00F06379"/>
    <w:rsid w:val="00F06467"/>
    <w:rsid w:val="00F064B6"/>
    <w:rsid w:val="00F064BC"/>
    <w:rsid w:val="00F064F9"/>
    <w:rsid w:val="00F0654E"/>
    <w:rsid w:val="00F0655D"/>
    <w:rsid w:val="00F065B8"/>
    <w:rsid w:val="00F065F7"/>
    <w:rsid w:val="00F06601"/>
    <w:rsid w:val="00F0660B"/>
    <w:rsid w:val="00F06648"/>
    <w:rsid w:val="00F066CC"/>
    <w:rsid w:val="00F066D7"/>
    <w:rsid w:val="00F066E1"/>
    <w:rsid w:val="00F0671B"/>
    <w:rsid w:val="00F06892"/>
    <w:rsid w:val="00F069A8"/>
    <w:rsid w:val="00F069CF"/>
    <w:rsid w:val="00F069FD"/>
    <w:rsid w:val="00F06A02"/>
    <w:rsid w:val="00F06A47"/>
    <w:rsid w:val="00F06A5F"/>
    <w:rsid w:val="00F06ADA"/>
    <w:rsid w:val="00F06AE9"/>
    <w:rsid w:val="00F06B3D"/>
    <w:rsid w:val="00F06B8B"/>
    <w:rsid w:val="00F06C03"/>
    <w:rsid w:val="00F06E66"/>
    <w:rsid w:val="00F06EA6"/>
    <w:rsid w:val="00F06EE1"/>
    <w:rsid w:val="00F06EEE"/>
    <w:rsid w:val="00F06EFF"/>
    <w:rsid w:val="00F06F49"/>
    <w:rsid w:val="00F06FF0"/>
    <w:rsid w:val="00F07051"/>
    <w:rsid w:val="00F070A9"/>
    <w:rsid w:val="00F070CA"/>
    <w:rsid w:val="00F07132"/>
    <w:rsid w:val="00F07162"/>
    <w:rsid w:val="00F07177"/>
    <w:rsid w:val="00F071AE"/>
    <w:rsid w:val="00F071C2"/>
    <w:rsid w:val="00F071ED"/>
    <w:rsid w:val="00F0725E"/>
    <w:rsid w:val="00F072BC"/>
    <w:rsid w:val="00F073D0"/>
    <w:rsid w:val="00F073DA"/>
    <w:rsid w:val="00F073FE"/>
    <w:rsid w:val="00F07415"/>
    <w:rsid w:val="00F074DB"/>
    <w:rsid w:val="00F07521"/>
    <w:rsid w:val="00F0753F"/>
    <w:rsid w:val="00F0755B"/>
    <w:rsid w:val="00F0756A"/>
    <w:rsid w:val="00F0756E"/>
    <w:rsid w:val="00F07579"/>
    <w:rsid w:val="00F07674"/>
    <w:rsid w:val="00F07725"/>
    <w:rsid w:val="00F07729"/>
    <w:rsid w:val="00F07831"/>
    <w:rsid w:val="00F078D6"/>
    <w:rsid w:val="00F07931"/>
    <w:rsid w:val="00F07946"/>
    <w:rsid w:val="00F079E7"/>
    <w:rsid w:val="00F07A34"/>
    <w:rsid w:val="00F07A3B"/>
    <w:rsid w:val="00F07A5B"/>
    <w:rsid w:val="00F07AA6"/>
    <w:rsid w:val="00F07B51"/>
    <w:rsid w:val="00F07BD5"/>
    <w:rsid w:val="00F07BF9"/>
    <w:rsid w:val="00F07CBF"/>
    <w:rsid w:val="00F07CC0"/>
    <w:rsid w:val="00F07CCE"/>
    <w:rsid w:val="00F07DE6"/>
    <w:rsid w:val="00F07E02"/>
    <w:rsid w:val="00F07E40"/>
    <w:rsid w:val="00F07E52"/>
    <w:rsid w:val="00F07EB7"/>
    <w:rsid w:val="00F07F57"/>
    <w:rsid w:val="00F07F9A"/>
    <w:rsid w:val="00F07FB0"/>
    <w:rsid w:val="00F10010"/>
    <w:rsid w:val="00F10017"/>
    <w:rsid w:val="00F10031"/>
    <w:rsid w:val="00F100C2"/>
    <w:rsid w:val="00F100EA"/>
    <w:rsid w:val="00F1016F"/>
    <w:rsid w:val="00F101C2"/>
    <w:rsid w:val="00F101C7"/>
    <w:rsid w:val="00F101E6"/>
    <w:rsid w:val="00F102B5"/>
    <w:rsid w:val="00F10393"/>
    <w:rsid w:val="00F103A6"/>
    <w:rsid w:val="00F103C4"/>
    <w:rsid w:val="00F103FB"/>
    <w:rsid w:val="00F10421"/>
    <w:rsid w:val="00F1045C"/>
    <w:rsid w:val="00F1058B"/>
    <w:rsid w:val="00F1066E"/>
    <w:rsid w:val="00F106A7"/>
    <w:rsid w:val="00F1084F"/>
    <w:rsid w:val="00F1089E"/>
    <w:rsid w:val="00F10903"/>
    <w:rsid w:val="00F109C4"/>
    <w:rsid w:val="00F10A43"/>
    <w:rsid w:val="00F10A64"/>
    <w:rsid w:val="00F10AD0"/>
    <w:rsid w:val="00F10AED"/>
    <w:rsid w:val="00F10C22"/>
    <w:rsid w:val="00F10C8E"/>
    <w:rsid w:val="00F10CA1"/>
    <w:rsid w:val="00F10CEC"/>
    <w:rsid w:val="00F10D0D"/>
    <w:rsid w:val="00F10D1A"/>
    <w:rsid w:val="00F10D3E"/>
    <w:rsid w:val="00F10D56"/>
    <w:rsid w:val="00F10E47"/>
    <w:rsid w:val="00F10E8F"/>
    <w:rsid w:val="00F10FA8"/>
    <w:rsid w:val="00F10FDD"/>
    <w:rsid w:val="00F10FFD"/>
    <w:rsid w:val="00F110A3"/>
    <w:rsid w:val="00F11140"/>
    <w:rsid w:val="00F11170"/>
    <w:rsid w:val="00F1122E"/>
    <w:rsid w:val="00F11284"/>
    <w:rsid w:val="00F112AB"/>
    <w:rsid w:val="00F1133C"/>
    <w:rsid w:val="00F11347"/>
    <w:rsid w:val="00F11359"/>
    <w:rsid w:val="00F1157A"/>
    <w:rsid w:val="00F115AC"/>
    <w:rsid w:val="00F115B1"/>
    <w:rsid w:val="00F1164A"/>
    <w:rsid w:val="00F11733"/>
    <w:rsid w:val="00F1179D"/>
    <w:rsid w:val="00F118A7"/>
    <w:rsid w:val="00F118D9"/>
    <w:rsid w:val="00F11945"/>
    <w:rsid w:val="00F11988"/>
    <w:rsid w:val="00F11A63"/>
    <w:rsid w:val="00F11A6A"/>
    <w:rsid w:val="00F11AC1"/>
    <w:rsid w:val="00F11AD4"/>
    <w:rsid w:val="00F11B44"/>
    <w:rsid w:val="00F11BE0"/>
    <w:rsid w:val="00F11C30"/>
    <w:rsid w:val="00F11CC8"/>
    <w:rsid w:val="00F11CCD"/>
    <w:rsid w:val="00F11D05"/>
    <w:rsid w:val="00F11D23"/>
    <w:rsid w:val="00F11DE6"/>
    <w:rsid w:val="00F11E4B"/>
    <w:rsid w:val="00F11EF8"/>
    <w:rsid w:val="00F11F86"/>
    <w:rsid w:val="00F11FF2"/>
    <w:rsid w:val="00F12081"/>
    <w:rsid w:val="00F120C0"/>
    <w:rsid w:val="00F120CF"/>
    <w:rsid w:val="00F121D5"/>
    <w:rsid w:val="00F12246"/>
    <w:rsid w:val="00F1226F"/>
    <w:rsid w:val="00F12277"/>
    <w:rsid w:val="00F12287"/>
    <w:rsid w:val="00F122C2"/>
    <w:rsid w:val="00F122EC"/>
    <w:rsid w:val="00F12300"/>
    <w:rsid w:val="00F12362"/>
    <w:rsid w:val="00F12409"/>
    <w:rsid w:val="00F12463"/>
    <w:rsid w:val="00F1247E"/>
    <w:rsid w:val="00F1251D"/>
    <w:rsid w:val="00F12629"/>
    <w:rsid w:val="00F12648"/>
    <w:rsid w:val="00F1267B"/>
    <w:rsid w:val="00F126FD"/>
    <w:rsid w:val="00F12746"/>
    <w:rsid w:val="00F12779"/>
    <w:rsid w:val="00F12794"/>
    <w:rsid w:val="00F1279C"/>
    <w:rsid w:val="00F1279E"/>
    <w:rsid w:val="00F12843"/>
    <w:rsid w:val="00F12844"/>
    <w:rsid w:val="00F1285A"/>
    <w:rsid w:val="00F12881"/>
    <w:rsid w:val="00F12944"/>
    <w:rsid w:val="00F12955"/>
    <w:rsid w:val="00F12962"/>
    <w:rsid w:val="00F12A51"/>
    <w:rsid w:val="00F12ADA"/>
    <w:rsid w:val="00F12B29"/>
    <w:rsid w:val="00F12BA6"/>
    <w:rsid w:val="00F12BE9"/>
    <w:rsid w:val="00F12C16"/>
    <w:rsid w:val="00F12C34"/>
    <w:rsid w:val="00F12C40"/>
    <w:rsid w:val="00F12CE5"/>
    <w:rsid w:val="00F12D0E"/>
    <w:rsid w:val="00F12D1E"/>
    <w:rsid w:val="00F12D3A"/>
    <w:rsid w:val="00F12D75"/>
    <w:rsid w:val="00F12E26"/>
    <w:rsid w:val="00F12E35"/>
    <w:rsid w:val="00F12EFC"/>
    <w:rsid w:val="00F12F19"/>
    <w:rsid w:val="00F12F58"/>
    <w:rsid w:val="00F13014"/>
    <w:rsid w:val="00F1304B"/>
    <w:rsid w:val="00F13062"/>
    <w:rsid w:val="00F13080"/>
    <w:rsid w:val="00F131DA"/>
    <w:rsid w:val="00F131E7"/>
    <w:rsid w:val="00F1322C"/>
    <w:rsid w:val="00F132AB"/>
    <w:rsid w:val="00F132DD"/>
    <w:rsid w:val="00F132E7"/>
    <w:rsid w:val="00F13343"/>
    <w:rsid w:val="00F13399"/>
    <w:rsid w:val="00F1339B"/>
    <w:rsid w:val="00F133F9"/>
    <w:rsid w:val="00F1342A"/>
    <w:rsid w:val="00F13467"/>
    <w:rsid w:val="00F13480"/>
    <w:rsid w:val="00F13498"/>
    <w:rsid w:val="00F134AF"/>
    <w:rsid w:val="00F1352D"/>
    <w:rsid w:val="00F135B2"/>
    <w:rsid w:val="00F135D7"/>
    <w:rsid w:val="00F135DA"/>
    <w:rsid w:val="00F13657"/>
    <w:rsid w:val="00F13768"/>
    <w:rsid w:val="00F137DF"/>
    <w:rsid w:val="00F137F4"/>
    <w:rsid w:val="00F13887"/>
    <w:rsid w:val="00F138DF"/>
    <w:rsid w:val="00F13901"/>
    <w:rsid w:val="00F1393F"/>
    <w:rsid w:val="00F139CF"/>
    <w:rsid w:val="00F13A22"/>
    <w:rsid w:val="00F13A3F"/>
    <w:rsid w:val="00F13ACB"/>
    <w:rsid w:val="00F13AFF"/>
    <w:rsid w:val="00F13B03"/>
    <w:rsid w:val="00F13B1D"/>
    <w:rsid w:val="00F13BA2"/>
    <w:rsid w:val="00F13C0E"/>
    <w:rsid w:val="00F13C2E"/>
    <w:rsid w:val="00F13C5E"/>
    <w:rsid w:val="00F13CBD"/>
    <w:rsid w:val="00F13D0A"/>
    <w:rsid w:val="00F13EA0"/>
    <w:rsid w:val="00F13EC5"/>
    <w:rsid w:val="00F13F26"/>
    <w:rsid w:val="00F140B0"/>
    <w:rsid w:val="00F140C5"/>
    <w:rsid w:val="00F141DA"/>
    <w:rsid w:val="00F14244"/>
    <w:rsid w:val="00F14316"/>
    <w:rsid w:val="00F14343"/>
    <w:rsid w:val="00F14373"/>
    <w:rsid w:val="00F143F4"/>
    <w:rsid w:val="00F1450F"/>
    <w:rsid w:val="00F14642"/>
    <w:rsid w:val="00F1479C"/>
    <w:rsid w:val="00F147CB"/>
    <w:rsid w:val="00F147FE"/>
    <w:rsid w:val="00F1480B"/>
    <w:rsid w:val="00F148D1"/>
    <w:rsid w:val="00F14A50"/>
    <w:rsid w:val="00F14A9F"/>
    <w:rsid w:val="00F14AD9"/>
    <w:rsid w:val="00F14B52"/>
    <w:rsid w:val="00F14B67"/>
    <w:rsid w:val="00F14BB8"/>
    <w:rsid w:val="00F14BF5"/>
    <w:rsid w:val="00F14C20"/>
    <w:rsid w:val="00F14D99"/>
    <w:rsid w:val="00F14DD0"/>
    <w:rsid w:val="00F14DF9"/>
    <w:rsid w:val="00F14E20"/>
    <w:rsid w:val="00F14F60"/>
    <w:rsid w:val="00F15001"/>
    <w:rsid w:val="00F1502B"/>
    <w:rsid w:val="00F15058"/>
    <w:rsid w:val="00F15101"/>
    <w:rsid w:val="00F15137"/>
    <w:rsid w:val="00F1517E"/>
    <w:rsid w:val="00F1518B"/>
    <w:rsid w:val="00F15212"/>
    <w:rsid w:val="00F15291"/>
    <w:rsid w:val="00F153F2"/>
    <w:rsid w:val="00F15428"/>
    <w:rsid w:val="00F154D0"/>
    <w:rsid w:val="00F1554D"/>
    <w:rsid w:val="00F155E2"/>
    <w:rsid w:val="00F156CE"/>
    <w:rsid w:val="00F15736"/>
    <w:rsid w:val="00F157B6"/>
    <w:rsid w:val="00F157BC"/>
    <w:rsid w:val="00F15801"/>
    <w:rsid w:val="00F15A1A"/>
    <w:rsid w:val="00F15AC4"/>
    <w:rsid w:val="00F15B07"/>
    <w:rsid w:val="00F15B61"/>
    <w:rsid w:val="00F15B72"/>
    <w:rsid w:val="00F15BCF"/>
    <w:rsid w:val="00F15BD0"/>
    <w:rsid w:val="00F15C5C"/>
    <w:rsid w:val="00F15C77"/>
    <w:rsid w:val="00F15D65"/>
    <w:rsid w:val="00F15D88"/>
    <w:rsid w:val="00F15DBB"/>
    <w:rsid w:val="00F15E5C"/>
    <w:rsid w:val="00F15E6B"/>
    <w:rsid w:val="00F15E6D"/>
    <w:rsid w:val="00F15EA0"/>
    <w:rsid w:val="00F16066"/>
    <w:rsid w:val="00F16103"/>
    <w:rsid w:val="00F1611A"/>
    <w:rsid w:val="00F1636E"/>
    <w:rsid w:val="00F16376"/>
    <w:rsid w:val="00F16380"/>
    <w:rsid w:val="00F1646F"/>
    <w:rsid w:val="00F16572"/>
    <w:rsid w:val="00F165E2"/>
    <w:rsid w:val="00F166A9"/>
    <w:rsid w:val="00F166B4"/>
    <w:rsid w:val="00F16752"/>
    <w:rsid w:val="00F16791"/>
    <w:rsid w:val="00F1679B"/>
    <w:rsid w:val="00F167B1"/>
    <w:rsid w:val="00F167DB"/>
    <w:rsid w:val="00F16848"/>
    <w:rsid w:val="00F1684F"/>
    <w:rsid w:val="00F16852"/>
    <w:rsid w:val="00F1693A"/>
    <w:rsid w:val="00F16953"/>
    <w:rsid w:val="00F1697B"/>
    <w:rsid w:val="00F169E4"/>
    <w:rsid w:val="00F169EE"/>
    <w:rsid w:val="00F16A2D"/>
    <w:rsid w:val="00F16ABC"/>
    <w:rsid w:val="00F16AC1"/>
    <w:rsid w:val="00F16AF0"/>
    <w:rsid w:val="00F16B4E"/>
    <w:rsid w:val="00F16B72"/>
    <w:rsid w:val="00F16C15"/>
    <w:rsid w:val="00F16CA5"/>
    <w:rsid w:val="00F16CFC"/>
    <w:rsid w:val="00F16D4F"/>
    <w:rsid w:val="00F16D5F"/>
    <w:rsid w:val="00F16DFF"/>
    <w:rsid w:val="00F16E47"/>
    <w:rsid w:val="00F16E5B"/>
    <w:rsid w:val="00F16E63"/>
    <w:rsid w:val="00F16E97"/>
    <w:rsid w:val="00F16FC3"/>
    <w:rsid w:val="00F16FFD"/>
    <w:rsid w:val="00F170E8"/>
    <w:rsid w:val="00F17157"/>
    <w:rsid w:val="00F1723B"/>
    <w:rsid w:val="00F17260"/>
    <w:rsid w:val="00F172EB"/>
    <w:rsid w:val="00F17308"/>
    <w:rsid w:val="00F17316"/>
    <w:rsid w:val="00F17344"/>
    <w:rsid w:val="00F17398"/>
    <w:rsid w:val="00F173B4"/>
    <w:rsid w:val="00F174CC"/>
    <w:rsid w:val="00F17527"/>
    <w:rsid w:val="00F17531"/>
    <w:rsid w:val="00F17545"/>
    <w:rsid w:val="00F1756B"/>
    <w:rsid w:val="00F175D3"/>
    <w:rsid w:val="00F1761C"/>
    <w:rsid w:val="00F17620"/>
    <w:rsid w:val="00F17653"/>
    <w:rsid w:val="00F17772"/>
    <w:rsid w:val="00F17781"/>
    <w:rsid w:val="00F177B6"/>
    <w:rsid w:val="00F177FF"/>
    <w:rsid w:val="00F1781D"/>
    <w:rsid w:val="00F17845"/>
    <w:rsid w:val="00F17849"/>
    <w:rsid w:val="00F178D8"/>
    <w:rsid w:val="00F178E4"/>
    <w:rsid w:val="00F17920"/>
    <w:rsid w:val="00F1793D"/>
    <w:rsid w:val="00F1798B"/>
    <w:rsid w:val="00F17A0C"/>
    <w:rsid w:val="00F17A23"/>
    <w:rsid w:val="00F17A52"/>
    <w:rsid w:val="00F17A68"/>
    <w:rsid w:val="00F17A84"/>
    <w:rsid w:val="00F17AA1"/>
    <w:rsid w:val="00F17B30"/>
    <w:rsid w:val="00F17BAA"/>
    <w:rsid w:val="00F17BE0"/>
    <w:rsid w:val="00F17CD8"/>
    <w:rsid w:val="00F17D0A"/>
    <w:rsid w:val="00F17D9A"/>
    <w:rsid w:val="00F17DE1"/>
    <w:rsid w:val="00F17DED"/>
    <w:rsid w:val="00F17EEC"/>
    <w:rsid w:val="00F17F02"/>
    <w:rsid w:val="00F17F2B"/>
    <w:rsid w:val="00F17F76"/>
    <w:rsid w:val="00F17F9C"/>
    <w:rsid w:val="00F17FB4"/>
    <w:rsid w:val="00F20048"/>
    <w:rsid w:val="00F2004E"/>
    <w:rsid w:val="00F200AA"/>
    <w:rsid w:val="00F2010B"/>
    <w:rsid w:val="00F2010C"/>
    <w:rsid w:val="00F2019E"/>
    <w:rsid w:val="00F20248"/>
    <w:rsid w:val="00F20270"/>
    <w:rsid w:val="00F20284"/>
    <w:rsid w:val="00F202B9"/>
    <w:rsid w:val="00F2030D"/>
    <w:rsid w:val="00F2035D"/>
    <w:rsid w:val="00F20364"/>
    <w:rsid w:val="00F20370"/>
    <w:rsid w:val="00F203CC"/>
    <w:rsid w:val="00F204E4"/>
    <w:rsid w:val="00F2053E"/>
    <w:rsid w:val="00F205B4"/>
    <w:rsid w:val="00F2066D"/>
    <w:rsid w:val="00F206B5"/>
    <w:rsid w:val="00F206FC"/>
    <w:rsid w:val="00F20721"/>
    <w:rsid w:val="00F20738"/>
    <w:rsid w:val="00F2078A"/>
    <w:rsid w:val="00F2078E"/>
    <w:rsid w:val="00F20792"/>
    <w:rsid w:val="00F20843"/>
    <w:rsid w:val="00F209B7"/>
    <w:rsid w:val="00F209D8"/>
    <w:rsid w:val="00F209F4"/>
    <w:rsid w:val="00F209F6"/>
    <w:rsid w:val="00F20A73"/>
    <w:rsid w:val="00F20B5C"/>
    <w:rsid w:val="00F20BB6"/>
    <w:rsid w:val="00F20C09"/>
    <w:rsid w:val="00F20C10"/>
    <w:rsid w:val="00F20C4A"/>
    <w:rsid w:val="00F20CF8"/>
    <w:rsid w:val="00F20D20"/>
    <w:rsid w:val="00F20D72"/>
    <w:rsid w:val="00F20D91"/>
    <w:rsid w:val="00F20DC8"/>
    <w:rsid w:val="00F20DE6"/>
    <w:rsid w:val="00F20E2C"/>
    <w:rsid w:val="00F20EBD"/>
    <w:rsid w:val="00F20F1E"/>
    <w:rsid w:val="00F20F44"/>
    <w:rsid w:val="00F20F50"/>
    <w:rsid w:val="00F20FA9"/>
    <w:rsid w:val="00F20FBE"/>
    <w:rsid w:val="00F20FC4"/>
    <w:rsid w:val="00F210DF"/>
    <w:rsid w:val="00F21184"/>
    <w:rsid w:val="00F211C5"/>
    <w:rsid w:val="00F211E0"/>
    <w:rsid w:val="00F211E1"/>
    <w:rsid w:val="00F2128F"/>
    <w:rsid w:val="00F21381"/>
    <w:rsid w:val="00F213AD"/>
    <w:rsid w:val="00F21450"/>
    <w:rsid w:val="00F21486"/>
    <w:rsid w:val="00F214C9"/>
    <w:rsid w:val="00F2152C"/>
    <w:rsid w:val="00F21541"/>
    <w:rsid w:val="00F2155C"/>
    <w:rsid w:val="00F2159C"/>
    <w:rsid w:val="00F215A4"/>
    <w:rsid w:val="00F215C8"/>
    <w:rsid w:val="00F21664"/>
    <w:rsid w:val="00F21678"/>
    <w:rsid w:val="00F21685"/>
    <w:rsid w:val="00F2169F"/>
    <w:rsid w:val="00F216F8"/>
    <w:rsid w:val="00F21780"/>
    <w:rsid w:val="00F21792"/>
    <w:rsid w:val="00F217F8"/>
    <w:rsid w:val="00F21848"/>
    <w:rsid w:val="00F21866"/>
    <w:rsid w:val="00F21896"/>
    <w:rsid w:val="00F21899"/>
    <w:rsid w:val="00F218C1"/>
    <w:rsid w:val="00F218FE"/>
    <w:rsid w:val="00F21972"/>
    <w:rsid w:val="00F21977"/>
    <w:rsid w:val="00F21983"/>
    <w:rsid w:val="00F21984"/>
    <w:rsid w:val="00F21A28"/>
    <w:rsid w:val="00F21A76"/>
    <w:rsid w:val="00F21A96"/>
    <w:rsid w:val="00F21AE2"/>
    <w:rsid w:val="00F21C22"/>
    <w:rsid w:val="00F21C65"/>
    <w:rsid w:val="00F21C72"/>
    <w:rsid w:val="00F21D19"/>
    <w:rsid w:val="00F21D1B"/>
    <w:rsid w:val="00F21D26"/>
    <w:rsid w:val="00F21D8F"/>
    <w:rsid w:val="00F21E3B"/>
    <w:rsid w:val="00F21EB8"/>
    <w:rsid w:val="00F21EC9"/>
    <w:rsid w:val="00F21F26"/>
    <w:rsid w:val="00F21F2C"/>
    <w:rsid w:val="00F21F94"/>
    <w:rsid w:val="00F21F9F"/>
    <w:rsid w:val="00F22013"/>
    <w:rsid w:val="00F22019"/>
    <w:rsid w:val="00F22058"/>
    <w:rsid w:val="00F220EF"/>
    <w:rsid w:val="00F2211C"/>
    <w:rsid w:val="00F2217A"/>
    <w:rsid w:val="00F221AD"/>
    <w:rsid w:val="00F221D6"/>
    <w:rsid w:val="00F221F0"/>
    <w:rsid w:val="00F2225A"/>
    <w:rsid w:val="00F22279"/>
    <w:rsid w:val="00F2228C"/>
    <w:rsid w:val="00F2235B"/>
    <w:rsid w:val="00F22433"/>
    <w:rsid w:val="00F2252E"/>
    <w:rsid w:val="00F22558"/>
    <w:rsid w:val="00F22575"/>
    <w:rsid w:val="00F225D9"/>
    <w:rsid w:val="00F225E3"/>
    <w:rsid w:val="00F226DD"/>
    <w:rsid w:val="00F2275E"/>
    <w:rsid w:val="00F22829"/>
    <w:rsid w:val="00F228EA"/>
    <w:rsid w:val="00F229DE"/>
    <w:rsid w:val="00F22A10"/>
    <w:rsid w:val="00F22AA3"/>
    <w:rsid w:val="00F22B0E"/>
    <w:rsid w:val="00F22B37"/>
    <w:rsid w:val="00F22C72"/>
    <w:rsid w:val="00F22C76"/>
    <w:rsid w:val="00F22CEA"/>
    <w:rsid w:val="00F22D19"/>
    <w:rsid w:val="00F22D30"/>
    <w:rsid w:val="00F22D71"/>
    <w:rsid w:val="00F22DCD"/>
    <w:rsid w:val="00F22E96"/>
    <w:rsid w:val="00F22EA2"/>
    <w:rsid w:val="00F22EC3"/>
    <w:rsid w:val="00F23039"/>
    <w:rsid w:val="00F23095"/>
    <w:rsid w:val="00F2312E"/>
    <w:rsid w:val="00F23219"/>
    <w:rsid w:val="00F2323D"/>
    <w:rsid w:val="00F23246"/>
    <w:rsid w:val="00F232A5"/>
    <w:rsid w:val="00F232D0"/>
    <w:rsid w:val="00F23355"/>
    <w:rsid w:val="00F233AE"/>
    <w:rsid w:val="00F2351F"/>
    <w:rsid w:val="00F2353A"/>
    <w:rsid w:val="00F2355C"/>
    <w:rsid w:val="00F2358E"/>
    <w:rsid w:val="00F23598"/>
    <w:rsid w:val="00F235A5"/>
    <w:rsid w:val="00F235B4"/>
    <w:rsid w:val="00F23646"/>
    <w:rsid w:val="00F237B8"/>
    <w:rsid w:val="00F23815"/>
    <w:rsid w:val="00F238FF"/>
    <w:rsid w:val="00F239AE"/>
    <w:rsid w:val="00F239DC"/>
    <w:rsid w:val="00F23A88"/>
    <w:rsid w:val="00F23AC2"/>
    <w:rsid w:val="00F23B28"/>
    <w:rsid w:val="00F23B5D"/>
    <w:rsid w:val="00F23B79"/>
    <w:rsid w:val="00F23BE1"/>
    <w:rsid w:val="00F23BE6"/>
    <w:rsid w:val="00F23C1E"/>
    <w:rsid w:val="00F23C60"/>
    <w:rsid w:val="00F23CDF"/>
    <w:rsid w:val="00F23D2F"/>
    <w:rsid w:val="00F23D54"/>
    <w:rsid w:val="00F23DEE"/>
    <w:rsid w:val="00F23E08"/>
    <w:rsid w:val="00F23E72"/>
    <w:rsid w:val="00F23F66"/>
    <w:rsid w:val="00F23FB4"/>
    <w:rsid w:val="00F2402E"/>
    <w:rsid w:val="00F24163"/>
    <w:rsid w:val="00F24205"/>
    <w:rsid w:val="00F2420F"/>
    <w:rsid w:val="00F24229"/>
    <w:rsid w:val="00F24267"/>
    <w:rsid w:val="00F24269"/>
    <w:rsid w:val="00F24282"/>
    <w:rsid w:val="00F242DB"/>
    <w:rsid w:val="00F24379"/>
    <w:rsid w:val="00F243A5"/>
    <w:rsid w:val="00F243D8"/>
    <w:rsid w:val="00F243DD"/>
    <w:rsid w:val="00F244BC"/>
    <w:rsid w:val="00F245C6"/>
    <w:rsid w:val="00F245C9"/>
    <w:rsid w:val="00F24662"/>
    <w:rsid w:val="00F246B7"/>
    <w:rsid w:val="00F24803"/>
    <w:rsid w:val="00F248DE"/>
    <w:rsid w:val="00F24B61"/>
    <w:rsid w:val="00F24BED"/>
    <w:rsid w:val="00F24CAE"/>
    <w:rsid w:val="00F24CB6"/>
    <w:rsid w:val="00F24CFB"/>
    <w:rsid w:val="00F24D00"/>
    <w:rsid w:val="00F24D49"/>
    <w:rsid w:val="00F24D54"/>
    <w:rsid w:val="00F24D64"/>
    <w:rsid w:val="00F24DC2"/>
    <w:rsid w:val="00F24E00"/>
    <w:rsid w:val="00F24E84"/>
    <w:rsid w:val="00F24F5E"/>
    <w:rsid w:val="00F25138"/>
    <w:rsid w:val="00F2515F"/>
    <w:rsid w:val="00F251C7"/>
    <w:rsid w:val="00F25245"/>
    <w:rsid w:val="00F252C1"/>
    <w:rsid w:val="00F25376"/>
    <w:rsid w:val="00F2538F"/>
    <w:rsid w:val="00F2539A"/>
    <w:rsid w:val="00F253A7"/>
    <w:rsid w:val="00F253C3"/>
    <w:rsid w:val="00F25478"/>
    <w:rsid w:val="00F2553B"/>
    <w:rsid w:val="00F25580"/>
    <w:rsid w:val="00F255D5"/>
    <w:rsid w:val="00F256C7"/>
    <w:rsid w:val="00F2575E"/>
    <w:rsid w:val="00F2579E"/>
    <w:rsid w:val="00F25818"/>
    <w:rsid w:val="00F258B4"/>
    <w:rsid w:val="00F258C3"/>
    <w:rsid w:val="00F258CF"/>
    <w:rsid w:val="00F258D2"/>
    <w:rsid w:val="00F25910"/>
    <w:rsid w:val="00F259B6"/>
    <w:rsid w:val="00F259EE"/>
    <w:rsid w:val="00F259F8"/>
    <w:rsid w:val="00F25A0B"/>
    <w:rsid w:val="00F25AF2"/>
    <w:rsid w:val="00F25B1C"/>
    <w:rsid w:val="00F25B31"/>
    <w:rsid w:val="00F25B6E"/>
    <w:rsid w:val="00F25B7F"/>
    <w:rsid w:val="00F25CA1"/>
    <w:rsid w:val="00F25D41"/>
    <w:rsid w:val="00F25D55"/>
    <w:rsid w:val="00F25DF3"/>
    <w:rsid w:val="00F25E01"/>
    <w:rsid w:val="00F25E21"/>
    <w:rsid w:val="00F25E46"/>
    <w:rsid w:val="00F25FE7"/>
    <w:rsid w:val="00F26005"/>
    <w:rsid w:val="00F2604E"/>
    <w:rsid w:val="00F26123"/>
    <w:rsid w:val="00F26275"/>
    <w:rsid w:val="00F2631B"/>
    <w:rsid w:val="00F263CC"/>
    <w:rsid w:val="00F2643F"/>
    <w:rsid w:val="00F2644A"/>
    <w:rsid w:val="00F264A9"/>
    <w:rsid w:val="00F264FF"/>
    <w:rsid w:val="00F2654A"/>
    <w:rsid w:val="00F2656C"/>
    <w:rsid w:val="00F2659B"/>
    <w:rsid w:val="00F265C4"/>
    <w:rsid w:val="00F265E0"/>
    <w:rsid w:val="00F26610"/>
    <w:rsid w:val="00F2661C"/>
    <w:rsid w:val="00F266B6"/>
    <w:rsid w:val="00F267D2"/>
    <w:rsid w:val="00F26824"/>
    <w:rsid w:val="00F26855"/>
    <w:rsid w:val="00F268A2"/>
    <w:rsid w:val="00F268AF"/>
    <w:rsid w:val="00F268C8"/>
    <w:rsid w:val="00F268D5"/>
    <w:rsid w:val="00F2696B"/>
    <w:rsid w:val="00F269A4"/>
    <w:rsid w:val="00F269B2"/>
    <w:rsid w:val="00F269E2"/>
    <w:rsid w:val="00F269FB"/>
    <w:rsid w:val="00F269FE"/>
    <w:rsid w:val="00F26B2F"/>
    <w:rsid w:val="00F26B3A"/>
    <w:rsid w:val="00F26BDC"/>
    <w:rsid w:val="00F26C36"/>
    <w:rsid w:val="00F26C61"/>
    <w:rsid w:val="00F26CFD"/>
    <w:rsid w:val="00F26D0A"/>
    <w:rsid w:val="00F26D0E"/>
    <w:rsid w:val="00F26D30"/>
    <w:rsid w:val="00F26D5F"/>
    <w:rsid w:val="00F26D9B"/>
    <w:rsid w:val="00F26E47"/>
    <w:rsid w:val="00F26E76"/>
    <w:rsid w:val="00F26EC0"/>
    <w:rsid w:val="00F26F00"/>
    <w:rsid w:val="00F26F0E"/>
    <w:rsid w:val="00F26F90"/>
    <w:rsid w:val="00F26FC5"/>
    <w:rsid w:val="00F2707B"/>
    <w:rsid w:val="00F270AA"/>
    <w:rsid w:val="00F270D0"/>
    <w:rsid w:val="00F270E0"/>
    <w:rsid w:val="00F271D8"/>
    <w:rsid w:val="00F27242"/>
    <w:rsid w:val="00F2725D"/>
    <w:rsid w:val="00F272DD"/>
    <w:rsid w:val="00F2731E"/>
    <w:rsid w:val="00F2736A"/>
    <w:rsid w:val="00F27395"/>
    <w:rsid w:val="00F273E1"/>
    <w:rsid w:val="00F273E7"/>
    <w:rsid w:val="00F274B7"/>
    <w:rsid w:val="00F274E4"/>
    <w:rsid w:val="00F27534"/>
    <w:rsid w:val="00F275D9"/>
    <w:rsid w:val="00F275E6"/>
    <w:rsid w:val="00F27841"/>
    <w:rsid w:val="00F27867"/>
    <w:rsid w:val="00F27980"/>
    <w:rsid w:val="00F279C2"/>
    <w:rsid w:val="00F27A26"/>
    <w:rsid w:val="00F27AAB"/>
    <w:rsid w:val="00F27B53"/>
    <w:rsid w:val="00F27B56"/>
    <w:rsid w:val="00F27BDE"/>
    <w:rsid w:val="00F27C0D"/>
    <w:rsid w:val="00F27CC5"/>
    <w:rsid w:val="00F27CD5"/>
    <w:rsid w:val="00F27DE5"/>
    <w:rsid w:val="00F27DFE"/>
    <w:rsid w:val="00F27EF7"/>
    <w:rsid w:val="00F27F74"/>
    <w:rsid w:val="00F300B6"/>
    <w:rsid w:val="00F30126"/>
    <w:rsid w:val="00F30238"/>
    <w:rsid w:val="00F3026B"/>
    <w:rsid w:val="00F30314"/>
    <w:rsid w:val="00F30320"/>
    <w:rsid w:val="00F3033C"/>
    <w:rsid w:val="00F303B3"/>
    <w:rsid w:val="00F303E3"/>
    <w:rsid w:val="00F30443"/>
    <w:rsid w:val="00F3046F"/>
    <w:rsid w:val="00F304C1"/>
    <w:rsid w:val="00F304E3"/>
    <w:rsid w:val="00F304E9"/>
    <w:rsid w:val="00F305BF"/>
    <w:rsid w:val="00F30632"/>
    <w:rsid w:val="00F30675"/>
    <w:rsid w:val="00F30676"/>
    <w:rsid w:val="00F306AA"/>
    <w:rsid w:val="00F3070F"/>
    <w:rsid w:val="00F30783"/>
    <w:rsid w:val="00F30792"/>
    <w:rsid w:val="00F307C6"/>
    <w:rsid w:val="00F307DF"/>
    <w:rsid w:val="00F3080E"/>
    <w:rsid w:val="00F3081E"/>
    <w:rsid w:val="00F30870"/>
    <w:rsid w:val="00F308DC"/>
    <w:rsid w:val="00F308EE"/>
    <w:rsid w:val="00F3094D"/>
    <w:rsid w:val="00F309B6"/>
    <w:rsid w:val="00F309BC"/>
    <w:rsid w:val="00F309EB"/>
    <w:rsid w:val="00F30A63"/>
    <w:rsid w:val="00F30A7B"/>
    <w:rsid w:val="00F30ADE"/>
    <w:rsid w:val="00F30B1B"/>
    <w:rsid w:val="00F30BD1"/>
    <w:rsid w:val="00F30BD8"/>
    <w:rsid w:val="00F30C1A"/>
    <w:rsid w:val="00F30CA4"/>
    <w:rsid w:val="00F30CB3"/>
    <w:rsid w:val="00F30D14"/>
    <w:rsid w:val="00F30D56"/>
    <w:rsid w:val="00F30D7D"/>
    <w:rsid w:val="00F30E0F"/>
    <w:rsid w:val="00F30E5D"/>
    <w:rsid w:val="00F30F05"/>
    <w:rsid w:val="00F3102B"/>
    <w:rsid w:val="00F310E0"/>
    <w:rsid w:val="00F3115D"/>
    <w:rsid w:val="00F31191"/>
    <w:rsid w:val="00F311FF"/>
    <w:rsid w:val="00F31222"/>
    <w:rsid w:val="00F3123E"/>
    <w:rsid w:val="00F312D6"/>
    <w:rsid w:val="00F31328"/>
    <w:rsid w:val="00F313D1"/>
    <w:rsid w:val="00F31450"/>
    <w:rsid w:val="00F31472"/>
    <w:rsid w:val="00F31499"/>
    <w:rsid w:val="00F314D0"/>
    <w:rsid w:val="00F315EC"/>
    <w:rsid w:val="00F31630"/>
    <w:rsid w:val="00F31790"/>
    <w:rsid w:val="00F317BB"/>
    <w:rsid w:val="00F31808"/>
    <w:rsid w:val="00F3187D"/>
    <w:rsid w:val="00F31918"/>
    <w:rsid w:val="00F3193F"/>
    <w:rsid w:val="00F31A27"/>
    <w:rsid w:val="00F31A42"/>
    <w:rsid w:val="00F31A7F"/>
    <w:rsid w:val="00F31BDE"/>
    <w:rsid w:val="00F31C25"/>
    <w:rsid w:val="00F31C37"/>
    <w:rsid w:val="00F31C8A"/>
    <w:rsid w:val="00F31C8C"/>
    <w:rsid w:val="00F31CC5"/>
    <w:rsid w:val="00F31CC6"/>
    <w:rsid w:val="00F31CE0"/>
    <w:rsid w:val="00F31CEC"/>
    <w:rsid w:val="00F31D0C"/>
    <w:rsid w:val="00F31D54"/>
    <w:rsid w:val="00F31D71"/>
    <w:rsid w:val="00F31DCA"/>
    <w:rsid w:val="00F31DFD"/>
    <w:rsid w:val="00F31E90"/>
    <w:rsid w:val="00F31EB8"/>
    <w:rsid w:val="00F31ED2"/>
    <w:rsid w:val="00F31F3F"/>
    <w:rsid w:val="00F31FD9"/>
    <w:rsid w:val="00F320D6"/>
    <w:rsid w:val="00F320D9"/>
    <w:rsid w:val="00F32123"/>
    <w:rsid w:val="00F32134"/>
    <w:rsid w:val="00F32187"/>
    <w:rsid w:val="00F32212"/>
    <w:rsid w:val="00F3225D"/>
    <w:rsid w:val="00F3229A"/>
    <w:rsid w:val="00F322E3"/>
    <w:rsid w:val="00F3230C"/>
    <w:rsid w:val="00F3230E"/>
    <w:rsid w:val="00F32315"/>
    <w:rsid w:val="00F3234A"/>
    <w:rsid w:val="00F32372"/>
    <w:rsid w:val="00F3238C"/>
    <w:rsid w:val="00F323ED"/>
    <w:rsid w:val="00F3245F"/>
    <w:rsid w:val="00F32540"/>
    <w:rsid w:val="00F32557"/>
    <w:rsid w:val="00F325B6"/>
    <w:rsid w:val="00F32606"/>
    <w:rsid w:val="00F32629"/>
    <w:rsid w:val="00F32649"/>
    <w:rsid w:val="00F32776"/>
    <w:rsid w:val="00F327FB"/>
    <w:rsid w:val="00F3288B"/>
    <w:rsid w:val="00F328A4"/>
    <w:rsid w:val="00F3294E"/>
    <w:rsid w:val="00F329E5"/>
    <w:rsid w:val="00F32A0A"/>
    <w:rsid w:val="00F32BEC"/>
    <w:rsid w:val="00F32C0A"/>
    <w:rsid w:val="00F32C10"/>
    <w:rsid w:val="00F32C44"/>
    <w:rsid w:val="00F32C99"/>
    <w:rsid w:val="00F32CCF"/>
    <w:rsid w:val="00F32D02"/>
    <w:rsid w:val="00F32E00"/>
    <w:rsid w:val="00F32E32"/>
    <w:rsid w:val="00F32F24"/>
    <w:rsid w:val="00F32F3E"/>
    <w:rsid w:val="00F32F52"/>
    <w:rsid w:val="00F32F70"/>
    <w:rsid w:val="00F32F89"/>
    <w:rsid w:val="00F330C1"/>
    <w:rsid w:val="00F3316B"/>
    <w:rsid w:val="00F3318A"/>
    <w:rsid w:val="00F3318B"/>
    <w:rsid w:val="00F331B1"/>
    <w:rsid w:val="00F331F5"/>
    <w:rsid w:val="00F33224"/>
    <w:rsid w:val="00F332D3"/>
    <w:rsid w:val="00F3331E"/>
    <w:rsid w:val="00F33324"/>
    <w:rsid w:val="00F3332E"/>
    <w:rsid w:val="00F334BE"/>
    <w:rsid w:val="00F33592"/>
    <w:rsid w:val="00F335A0"/>
    <w:rsid w:val="00F3360C"/>
    <w:rsid w:val="00F3366F"/>
    <w:rsid w:val="00F33683"/>
    <w:rsid w:val="00F33703"/>
    <w:rsid w:val="00F33850"/>
    <w:rsid w:val="00F338BA"/>
    <w:rsid w:val="00F338D7"/>
    <w:rsid w:val="00F33907"/>
    <w:rsid w:val="00F33988"/>
    <w:rsid w:val="00F339E8"/>
    <w:rsid w:val="00F33A70"/>
    <w:rsid w:val="00F33AAC"/>
    <w:rsid w:val="00F33B08"/>
    <w:rsid w:val="00F33B36"/>
    <w:rsid w:val="00F33B55"/>
    <w:rsid w:val="00F33B7E"/>
    <w:rsid w:val="00F33DD3"/>
    <w:rsid w:val="00F33E8F"/>
    <w:rsid w:val="00F33F10"/>
    <w:rsid w:val="00F33FFC"/>
    <w:rsid w:val="00F33FFF"/>
    <w:rsid w:val="00F340D2"/>
    <w:rsid w:val="00F340F5"/>
    <w:rsid w:val="00F341CC"/>
    <w:rsid w:val="00F341DF"/>
    <w:rsid w:val="00F341F9"/>
    <w:rsid w:val="00F34232"/>
    <w:rsid w:val="00F34292"/>
    <w:rsid w:val="00F3430B"/>
    <w:rsid w:val="00F3440D"/>
    <w:rsid w:val="00F34439"/>
    <w:rsid w:val="00F3443D"/>
    <w:rsid w:val="00F3449A"/>
    <w:rsid w:val="00F34519"/>
    <w:rsid w:val="00F34553"/>
    <w:rsid w:val="00F34584"/>
    <w:rsid w:val="00F34628"/>
    <w:rsid w:val="00F3476C"/>
    <w:rsid w:val="00F3479E"/>
    <w:rsid w:val="00F34821"/>
    <w:rsid w:val="00F3483B"/>
    <w:rsid w:val="00F348C1"/>
    <w:rsid w:val="00F348DA"/>
    <w:rsid w:val="00F34936"/>
    <w:rsid w:val="00F34A50"/>
    <w:rsid w:val="00F34A61"/>
    <w:rsid w:val="00F34AA3"/>
    <w:rsid w:val="00F34AC9"/>
    <w:rsid w:val="00F34D8D"/>
    <w:rsid w:val="00F34E31"/>
    <w:rsid w:val="00F34E3E"/>
    <w:rsid w:val="00F34E91"/>
    <w:rsid w:val="00F34EAA"/>
    <w:rsid w:val="00F34EF6"/>
    <w:rsid w:val="00F34FAA"/>
    <w:rsid w:val="00F34FCB"/>
    <w:rsid w:val="00F34FCC"/>
    <w:rsid w:val="00F35034"/>
    <w:rsid w:val="00F35056"/>
    <w:rsid w:val="00F35084"/>
    <w:rsid w:val="00F350C5"/>
    <w:rsid w:val="00F3512F"/>
    <w:rsid w:val="00F35152"/>
    <w:rsid w:val="00F35164"/>
    <w:rsid w:val="00F35194"/>
    <w:rsid w:val="00F3519E"/>
    <w:rsid w:val="00F351EF"/>
    <w:rsid w:val="00F35206"/>
    <w:rsid w:val="00F3522F"/>
    <w:rsid w:val="00F352A0"/>
    <w:rsid w:val="00F35372"/>
    <w:rsid w:val="00F353A5"/>
    <w:rsid w:val="00F354BD"/>
    <w:rsid w:val="00F3551C"/>
    <w:rsid w:val="00F35553"/>
    <w:rsid w:val="00F35566"/>
    <w:rsid w:val="00F355AE"/>
    <w:rsid w:val="00F355F6"/>
    <w:rsid w:val="00F35659"/>
    <w:rsid w:val="00F35677"/>
    <w:rsid w:val="00F3572E"/>
    <w:rsid w:val="00F357EB"/>
    <w:rsid w:val="00F35821"/>
    <w:rsid w:val="00F3584E"/>
    <w:rsid w:val="00F35869"/>
    <w:rsid w:val="00F3587B"/>
    <w:rsid w:val="00F358B9"/>
    <w:rsid w:val="00F358CA"/>
    <w:rsid w:val="00F358DC"/>
    <w:rsid w:val="00F3590C"/>
    <w:rsid w:val="00F35916"/>
    <w:rsid w:val="00F359E7"/>
    <w:rsid w:val="00F35B91"/>
    <w:rsid w:val="00F35BBC"/>
    <w:rsid w:val="00F35CC4"/>
    <w:rsid w:val="00F35D48"/>
    <w:rsid w:val="00F35D63"/>
    <w:rsid w:val="00F35DB5"/>
    <w:rsid w:val="00F35DC3"/>
    <w:rsid w:val="00F35E18"/>
    <w:rsid w:val="00F35E25"/>
    <w:rsid w:val="00F35F6E"/>
    <w:rsid w:val="00F35FB8"/>
    <w:rsid w:val="00F35FBC"/>
    <w:rsid w:val="00F35FCE"/>
    <w:rsid w:val="00F36049"/>
    <w:rsid w:val="00F36091"/>
    <w:rsid w:val="00F360AB"/>
    <w:rsid w:val="00F360AC"/>
    <w:rsid w:val="00F36105"/>
    <w:rsid w:val="00F3611A"/>
    <w:rsid w:val="00F36130"/>
    <w:rsid w:val="00F36179"/>
    <w:rsid w:val="00F3619D"/>
    <w:rsid w:val="00F361B4"/>
    <w:rsid w:val="00F36306"/>
    <w:rsid w:val="00F36460"/>
    <w:rsid w:val="00F36520"/>
    <w:rsid w:val="00F365A9"/>
    <w:rsid w:val="00F3661F"/>
    <w:rsid w:val="00F36679"/>
    <w:rsid w:val="00F36713"/>
    <w:rsid w:val="00F36743"/>
    <w:rsid w:val="00F36790"/>
    <w:rsid w:val="00F3681D"/>
    <w:rsid w:val="00F3687C"/>
    <w:rsid w:val="00F368CF"/>
    <w:rsid w:val="00F368F7"/>
    <w:rsid w:val="00F369CB"/>
    <w:rsid w:val="00F369F4"/>
    <w:rsid w:val="00F36A9A"/>
    <w:rsid w:val="00F36B72"/>
    <w:rsid w:val="00F36BE4"/>
    <w:rsid w:val="00F36C6D"/>
    <w:rsid w:val="00F36C7D"/>
    <w:rsid w:val="00F36CF2"/>
    <w:rsid w:val="00F36D29"/>
    <w:rsid w:val="00F36E1F"/>
    <w:rsid w:val="00F36E48"/>
    <w:rsid w:val="00F36E4D"/>
    <w:rsid w:val="00F36F08"/>
    <w:rsid w:val="00F36F39"/>
    <w:rsid w:val="00F36F4D"/>
    <w:rsid w:val="00F36F73"/>
    <w:rsid w:val="00F36FE7"/>
    <w:rsid w:val="00F3704A"/>
    <w:rsid w:val="00F370B4"/>
    <w:rsid w:val="00F37243"/>
    <w:rsid w:val="00F372A9"/>
    <w:rsid w:val="00F3731C"/>
    <w:rsid w:val="00F37398"/>
    <w:rsid w:val="00F37399"/>
    <w:rsid w:val="00F374B0"/>
    <w:rsid w:val="00F37509"/>
    <w:rsid w:val="00F375CD"/>
    <w:rsid w:val="00F375D7"/>
    <w:rsid w:val="00F3763A"/>
    <w:rsid w:val="00F37689"/>
    <w:rsid w:val="00F376B9"/>
    <w:rsid w:val="00F376E8"/>
    <w:rsid w:val="00F376EF"/>
    <w:rsid w:val="00F37799"/>
    <w:rsid w:val="00F3779B"/>
    <w:rsid w:val="00F37899"/>
    <w:rsid w:val="00F378A8"/>
    <w:rsid w:val="00F3796F"/>
    <w:rsid w:val="00F379EA"/>
    <w:rsid w:val="00F37ABF"/>
    <w:rsid w:val="00F37AC4"/>
    <w:rsid w:val="00F37B7E"/>
    <w:rsid w:val="00F37B84"/>
    <w:rsid w:val="00F37BB4"/>
    <w:rsid w:val="00F37BFC"/>
    <w:rsid w:val="00F37DDD"/>
    <w:rsid w:val="00F37E46"/>
    <w:rsid w:val="00F37FCE"/>
    <w:rsid w:val="00F37FF4"/>
    <w:rsid w:val="00F4007E"/>
    <w:rsid w:val="00F4015C"/>
    <w:rsid w:val="00F40167"/>
    <w:rsid w:val="00F401C6"/>
    <w:rsid w:val="00F401D9"/>
    <w:rsid w:val="00F4024F"/>
    <w:rsid w:val="00F40350"/>
    <w:rsid w:val="00F40362"/>
    <w:rsid w:val="00F40399"/>
    <w:rsid w:val="00F404C4"/>
    <w:rsid w:val="00F404EE"/>
    <w:rsid w:val="00F40590"/>
    <w:rsid w:val="00F40705"/>
    <w:rsid w:val="00F40728"/>
    <w:rsid w:val="00F40772"/>
    <w:rsid w:val="00F4082F"/>
    <w:rsid w:val="00F4087C"/>
    <w:rsid w:val="00F408C7"/>
    <w:rsid w:val="00F40937"/>
    <w:rsid w:val="00F40980"/>
    <w:rsid w:val="00F409D9"/>
    <w:rsid w:val="00F40A11"/>
    <w:rsid w:val="00F40A29"/>
    <w:rsid w:val="00F40B20"/>
    <w:rsid w:val="00F40BC4"/>
    <w:rsid w:val="00F40BF5"/>
    <w:rsid w:val="00F40C2C"/>
    <w:rsid w:val="00F40CB4"/>
    <w:rsid w:val="00F40CB8"/>
    <w:rsid w:val="00F40CF7"/>
    <w:rsid w:val="00F40DF9"/>
    <w:rsid w:val="00F40E45"/>
    <w:rsid w:val="00F40E50"/>
    <w:rsid w:val="00F40E8C"/>
    <w:rsid w:val="00F40E9F"/>
    <w:rsid w:val="00F40EC7"/>
    <w:rsid w:val="00F40F28"/>
    <w:rsid w:val="00F40FB6"/>
    <w:rsid w:val="00F40FB8"/>
    <w:rsid w:val="00F40FEE"/>
    <w:rsid w:val="00F40FF0"/>
    <w:rsid w:val="00F4104D"/>
    <w:rsid w:val="00F4105C"/>
    <w:rsid w:val="00F4109E"/>
    <w:rsid w:val="00F410CA"/>
    <w:rsid w:val="00F41195"/>
    <w:rsid w:val="00F411E9"/>
    <w:rsid w:val="00F412AD"/>
    <w:rsid w:val="00F412E0"/>
    <w:rsid w:val="00F41335"/>
    <w:rsid w:val="00F413B4"/>
    <w:rsid w:val="00F41428"/>
    <w:rsid w:val="00F41562"/>
    <w:rsid w:val="00F41595"/>
    <w:rsid w:val="00F415CE"/>
    <w:rsid w:val="00F415DA"/>
    <w:rsid w:val="00F415DC"/>
    <w:rsid w:val="00F41645"/>
    <w:rsid w:val="00F4165D"/>
    <w:rsid w:val="00F41727"/>
    <w:rsid w:val="00F418CF"/>
    <w:rsid w:val="00F41927"/>
    <w:rsid w:val="00F4194E"/>
    <w:rsid w:val="00F41969"/>
    <w:rsid w:val="00F419C7"/>
    <w:rsid w:val="00F41A36"/>
    <w:rsid w:val="00F41A3D"/>
    <w:rsid w:val="00F41A45"/>
    <w:rsid w:val="00F41A57"/>
    <w:rsid w:val="00F41B1B"/>
    <w:rsid w:val="00F41BB7"/>
    <w:rsid w:val="00F41C5B"/>
    <w:rsid w:val="00F41C64"/>
    <w:rsid w:val="00F41CF3"/>
    <w:rsid w:val="00F41CF7"/>
    <w:rsid w:val="00F41D38"/>
    <w:rsid w:val="00F41DA1"/>
    <w:rsid w:val="00F41E7A"/>
    <w:rsid w:val="00F41E98"/>
    <w:rsid w:val="00F41F0F"/>
    <w:rsid w:val="00F42045"/>
    <w:rsid w:val="00F4217D"/>
    <w:rsid w:val="00F421A0"/>
    <w:rsid w:val="00F4220C"/>
    <w:rsid w:val="00F4224E"/>
    <w:rsid w:val="00F4228B"/>
    <w:rsid w:val="00F4229C"/>
    <w:rsid w:val="00F422C2"/>
    <w:rsid w:val="00F4231B"/>
    <w:rsid w:val="00F4242A"/>
    <w:rsid w:val="00F42453"/>
    <w:rsid w:val="00F42488"/>
    <w:rsid w:val="00F4248B"/>
    <w:rsid w:val="00F424D3"/>
    <w:rsid w:val="00F425F1"/>
    <w:rsid w:val="00F4265B"/>
    <w:rsid w:val="00F42672"/>
    <w:rsid w:val="00F42687"/>
    <w:rsid w:val="00F426C3"/>
    <w:rsid w:val="00F42780"/>
    <w:rsid w:val="00F427E4"/>
    <w:rsid w:val="00F42801"/>
    <w:rsid w:val="00F42862"/>
    <w:rsid w:val="00F4288F"/>
    <w:rsid w:val="00F428B5"/>
    <w:rsid w:val="00F428DC"/>
    <w:rsid w:val="00F4297B"/>
    <w:rsid w:val="00F42A7D"/>
    <w:rsid w:val="00F42B22"/>
    <w:rsid w:val="00F42B35"/>
    <w:rsid w:val="00F42B4E"/>
    <w:rsid w:val="00F42B5B"/>
    <w:rsid w:val="00F42B6D"/>
    <w:rsid w:val="00F42B96"/>
    <w:rsid w:val="00F42BA0"/>
    <w:rsid w:val="00F42CBA"/>
    <w:rsid w:val="00F42CF3"/>
    <w:rsid w:val="00F42D58"/>
    <w:rsid w:val="00F42D87"/>
    <w:rsid w:val="00F42D97"/>
    <w:rsid w:val="00F42DEC"/>
    <w:rsid w:val="00F42DF1"/>
    <w:rsid w:val="00F42E8E"/>
    <w:rsid w:val="00F42EA8"/>
    <w:rsid w:val="00F42EAB"/>
    <w:rsid w:val="00F42EF9"/>
    <w:rsid w:val="00F42F4A"/>
    <w:rsid w:val="00F42F84"/>
    <w:rsid w:val="00F42FD9"/>
    <w:rsid w:val="00F430A9"/>
    <w:rsid w:val="00F430B0"/>
    <w:rsid w:val="00F43141"/>
    <w:rsid w:val="00F4330A"/>
    <w:rsid w:val="00F43312"/>
    <w:rsid w:val="00F43322"/>
    <w:rsid w:val="00F433E4"/>
    <w:rsid w:val="00F43405"/>
    <w:rsid w:val="00F43487"/>
    <w:rsid w:val="00F434BD"/>
    <w:rsid w:val="00F434CA"/>
    <w:rsid w:val="00F43681"/>
    <w:rsid w:val="00F43698"/>
    <w:rsid w:val="00F4375B"/>
    <w:rsid w:val="00F43786"/>
    <w:rsid w:val="00F437BF"/>
    <w:rsid w:val="00F4380C"/>
    <w:rsid w:val="00F43835"/>
    <w:rsid w:val="00F438A3"/>
    <w:rsid w:val="00F438DF"/>
    <w:rsid w:val="00F4390F"/>
    <w:rsid w:val="00F43977"/>
    <w:rsid w:val="00F439BA"/>
    <w:rsid w:val="00F43AE8"/>
    <w:rsid w:val="00F43BAF"/>
    <w:rsid w:val="00F43BF1"/>
    <w:rsid w:val="00F43C44"/>
    <w:rsid w:val="00F43C85"/>
    <w:rsid w:val="00F43D37"/>
    <w:rsid w:val="00F43D55"/>
    <w:rsid w:val="00F43DFB"/>
    <w:rsid w:val="00F43F14"/>
    <w:rsid w:val="00F440D4"/>
    <w:rsid w:val="00F44121"/>
    <w:rsid w:val="00F44132"/>
    <w:rsid w:val="00F44144"/>
    <w:rsid w:val="00F4418D"/>
    <w:rsid w:val="00F441B1"/>
    <w:rsid w:val="00F443B4"/>
    <w:rsid w:val="00F443BC"/>
    <w:rsid w:val="00F44424"/>
    <w:rsid w:val="00F4444E"/>
    <w:rsid w:val="00F44502"/>
    <w:rsid w:val="00F44595"/>
    <w:rsid w:val="00F44607"/>
    <w:rsid w:val="00F44609"/>
    <w:rsid w:val="00F446BE"/>
    <w:rsid w:val="00F44795"/>
    <w:rsid w:val="00F44797"/>
    <w:rsid w:val="00F4480C"/>
    <w:rsid w:val="00F4482C"/>
    <w:rsid w:val="00F44848"/>
    <w:rsid w:val="00F448CF"/>
    <w:rsid w:val="00F44914"/>
    <w:rsid w:val="00F4494D"/>
    <w:rsid w:val="00F4495A"/>
    <w:rsid w:val="00F449AC"/>
    <w:rsid w:val="00F44ACE"/>
    <w:rsid w:val="00F44ADB"/>
    <w:rsid w:val="00F44AFD"/>
    <w:rsid w:val="00F44B28"/>
    <w:rsid w:val="00F44B7B"/>
    <w:rsid w:val="00F44BAB"/>
    <w:rsid w:val="00F44BDC"/>
    <w:rsid w:val="00F44BF7"/>
    <w:rsid w:val="00F44C0B"/>
    <w:rsid w:val="00F44CB7"/>
    <w:rsid w:val="00F44CDE"/>
    <w:rsid w:val="00F44DB9"/>
    <w:rsid w:val="00F44DD8"/>
    <w:rsid w:val="00F44E5D"/>
    <w:rsid w:val="00F44E95"/>
    <w:rsid w:val="00F44EBE"/>
    <w:rsid w:val="00F44EC4"/>
    <w:rsid w:val="00F45024"/>
    <w:rsid w:val="00F45045"/>
    <w:rsid w:val="00F4509E"/>
    <w:rsid w:val="00F450C4"/>
    <w:rsid w:val="00F4525A"/>
    <w:rsid w:val="00F452CF"/>
    <w:rsid w:val="00F45300"/>
    <w:rsid w:val="00F45328"/>
    <w:rsid w:val="00F45329"/>
    <w:rsid w:val="00F45397"/>
    <w:rsid w:val="00F453B2"/>
    <w:rsid w:val="00F45504"/>
    <w:rsid w:val="00F45525"/>
    <w:rsid w:val="00F455E4"/>
    <w:rsid w:val="00F4581E"/>
    <w:rsid w:val="00F45997"/>
    <w:rsid w:val="00F459A6"/>
    <w:rsid w:val="00F459B0"/>
    <w:rsid w:val="00F45A1E"/>
    <w:rsid w:val="00F45A7F"/>
    <w:rsid w:val="00F45B05"/>
    <w:rsid w:val="00F45B2F"/>
    <w:rsid w:val="00F45B40"/>
    <w:rsid w:val="00F45B53"/>
    <w:rsid w:val="00F45B5C"/>
    <w:rsid w:val="00F45B67"/>
    <w:rsid w:val="00F45B7B"/>
    <w:rsid w:val="00F45BE5"/>
    <w:rsid w:val="00F45C8F"/>
    <w:rsid w:val="00F45D12"/>
    <w:rsid w:val="00F45DA9"/>
    <w:rsid w:val="00F45E06"/>
    <w:rsid w:val="00F45E22"/>
    <w:rsid w:val="00F45E41"/>
    <w:rsid w:val="00F45ED9"/>
    <w:rsid w:val="00F46002"/>
    <w:rsid w:val="00F460B1"/>
    <w:rsid w:val="00F460E9"/>
    <w:rsid w:val="00F46137"/>
    <w:rsid w:val="00F46199"/>
    <w:rsid w:val="00F461E0"/>
    <w:rsid w:val="00F46220"/>
    <w:rsid w:val="00F46239"/>
    <w:rsid w:val="00F4623E"/>
    <w:rsid w:val="00F4625C"/>
    <w:rsid w:val="00F462C2"/>
    <w:rsid w:val="00F462E7"/>
    <w:rsid w:val="00F46327"/>
    <w:rsid w:val="00F46363"/>
    <w:rsid w:val="00F46367"/>
    <w:rsid w:val="00F4637C"/>
    <w:rsid w:val="00F46407"/>
    <w:rsid w:val="00F46426"/>
    <w:rsid w:val="00F4646E"/>
    <w:rsid w:val="00F46496"/>
    <w:rsid w:val="00F4649B"/>
    <w:rsid w:val="00F464D9"/>
    <w:rsid w:val="00F464E1"/>
    <w:rsid w:val="00F464E6"/>
    <w:rsid w:val="00F4654B"/>
    <w:rsid w:val="00F465A9"/>
    <w:rsid w:val="00F465AD"/>
    <w:rsid w:val="00F465D0"/>
    <w:rsid w:val="00F4660E"/>
    <w:rsid w:val="00F4674F"/>
    <w:rsid w:val="00F46809"/>
    <w:rsid w:val="00F468F2"/>
    <w:rsid w:val="00F46906"/>
    <w:rsid w:val="00F4695B"/>
    <w:rsid w:val="00F469A8"/>
    <w:rsid w:val="00F469DB"/>
    <w:rsid w:val="00F46A1A"/>
    <w:rsid w:val="00F46AED"/>
    <w:rsid w:val="00F46B8A"/>
    <w:rsid w:val="00F46B99"/>
    <w:rsid w:val="00F46BFB"/>
    <w:rsid w:val="00F46C16"/>
    <w:rsid w:val="00F46E26"/>
    <w:rsid w:val="00F46E48"/>
    <w:rsid w:val="00F46E8C"/>
    <w:rsid w:val="00F46F88"/>
    <w:rsid w:val="00F47046"/>
    <w:rsid w:val="00F4710F"/>
    <w:rsid w:val="00F4712B"/>
    <w:rsid w:val="00F471B3"/>
    <w:rsid w:val="00F471DF"/>
    <w:rsid w:val="00F471EF"/>
    <w:rsid w:val="00F47331"/>
    <w:rsid w:val="00F47338"/>
    <w:rsid w:val="00F474A3"/>
    <w:rsid w:val="00F474D4"/>
    <w:rsid w:val="00F474DA"/>
    <w:rsid w:val="00F4752C"/>
    <w:rsid w:val="00F475BB"/>
    <w:rsid w:val="00F475C8"/>
    <w:rsid w:val="00F475E2"/>
    <w:rsid w:val="00F47637"/>
    <w:rsid w:val="00F4764C"/>
    <w:rsid w:val="00F4771B"/>
    <w:rsid w:val="00F4771C"/>
    <w:rsid w:val="00F47755"/>
    <w:rsid w:val="00F477D3"/>
    <w:rsid w:val="00F477E7"/>
    <w:rsid w:val="00F479A4"/>
    <w:rsid w:val="00F479F2"/>
    <w:rsid w:val="00F479F7"/>
    <w:rsid w:val="00F47A2E"/>
    <w:rsid w:val="00F47A6A"/>
    <w:rsid w:val="00F47B12"/>
    <w:rsid w:val="00F47B2D"/>
    <w:rsid w:val="00F47B38"/>
    <w:rsid w:val="00F47B65"/>
    <w:rsid w:val="00F47B7B"/>
    <w:rsid w:val="00F47D41"/>
    <w:rsid w:val="00F47D66"/>
    <w:rsid w:val="00F47D75"/>
    <w:rsid w:val="00F47D88"/>
    <w:rsid w:val="00F47DFA"/>
    <w:rsid w:val="00F47E1B"/>
    <w:rsid w:val="00F47E27"/>
    <w:rsid w:val="00F47E28"/>
    <w:rsid w:val="00F47E7C"/>
    <w:rsid w:val="00F47EEC"/>
    <w:rsid w:val="00F50050"/>
    <w:rsid w:val="00F50057"/>
    <w:rsid w:val="00F50090"/>
    <w:rsid w:val="00F50180"/>
    <w:rsid w:val="00F5019F"/>
    <w:rsid w:val="00F502B2"/>
    <w:rsid w:val="00F502C0"/>
    <w:rsid w:val="00F50349"/>
    <w:rsid w:val="00F503C6"/>
    <w:rsid w:val="00F504D1"/>
    <w:rsid w:val="00F505D3"/>
    <w:rsid w:val="00F505F1"/>
    <w:rsid w:val="00F50636"/>
    <w:rsid w:val="00F50663"/>
    <w:rsid w:val="00F506C9"/>
    <w:rsid w:val="00F506F6"/>
    <w:rsid w:val="00F50775"/>
    <w:rsid w:val="00F50893"/>
    <w:rsid w:val="00F5091C"/>
    <w:rsid w:val="00F5094C"/>
    <w:rsid w:val="00F509CF"/>
    <w:rsid w:val="00F50A7B"/>
    <w:rsid w:val="00F50C5A"/>
    <w:rsid w:val="00F50C83"/>
    <w:rsid w:val="00F50DCA"/>
    <w:rsid w:val="00F50DFA"/>
    <w:rsid w:val="00F50E92"/>
    <w:rsid w:val="00F50F21"/>
    <w:rsid w:val="00F50F24"/>
    <w:rsid w:val="00F50FDD"/>
    <w:rsid w:val="00F51072"/>
    <w:rsid w:val="00F511BA"/>
    <w:rsid w:val="00F511C4"/>
    <w:rsid w:val="00F511E8"/>
    <w:rsid w:val="00F5120C"/>
    <w:rsid w:val="00F51296"/>
    <w:rsid w:val="00F512C7"/>
    <w:rsid w:val="00F5133A"/>
    <w:rsid w:val="00F51351"/>
    <w:rsid w:val="00F513F4"/>
    <w:rsid w:val="00F5140D"/>
    <w:rsid w:val="00F51411"/>
    <w:rsid w:val="00F51412"/>
    <w:rsid w:val="00F51494"/>
    <w:rsid w:val="00F514A7"/>
    <w:rsid w:val="00F5157B"/>
    <w:rsid w:val="00F5158F"/>
    <w:rsid w:val="00F51592"/>
    <w:rsid w:val="00F51634"/>
    <w:rsid w:val="00F51648"/>
    <w:rsid w:val="00F516FA"/>
    <w:rsid w:val="00F517D7"/>
    <w:rsid w:val="00F51843"/>
    <w:rsid w:val="00F51844"/>
    <w:rsid w:val="00F51852"/>
    <w:rsid w:val="00F518AD"/>
    <w:rsid w:val="00F518FD"/>
    <w:rsid w:val="00F51992"/>
    <w:rsid w:val="00F51A4A"/>
    <w:rsid w:val="00F51AF9"/>
    <w:rsid w:val="00F51B5B"/>
    <w:rsid w:val="00F51B76"/>
    <w:rsid w:val="00F51DF0"/>
    <w:rsid w:val="00F51E22"/>
    <w:rsid w:val="00F51E80"/>
    <w:rsid w:val="00F51E81"/>
    <w:rsid w:val="00F51ED6"/>
    <w:rsid w:val="00F5203B"/>
    <w:rsid w:val="00F5204D"/>
    <w:rsid w:val="00F52059"/>
    <w:rsid w:val="00F52080"/>
    <w:rsid w:val="00F520EC"/>
    <w:rsid w:val="00F5215B"/>
    <w:rsid w:val="00F52203"/>
    <w:rsid w:val="00F5235E"/>
    <w:rsid w:val="00F52399"/>
    <w:rsid w:val="00F52458"/>
    <w:rsid w:val="00F524C4"/>
    <w:rsid w:val="00F524EB"/>
    <w:rsid w:val="00F5257B"/>
    <w:rsid w:val="00F525AB"/>
    <w:rsid w:val="00F525BB"/>
    <w:rsid w:val="00F525DB"/>
    <w:rsid w:val="00F525EC"/>
    <w:rsid w:val="00F52654"/>
    <w:rsid w:val="00F5285C"/>
    <w:rsid w:val="00F52863"/>
    <w:rsid w:val="00F528C9"/>
    <w:rsid w:val="00F5290D"/>
    <w:rsid w:val="00F52936"/>
    <w:rsid w:val="00F5294E"/>
    <w:rsid w:val="00F5295A"/>
    <w:rsid w:val="00F52984"/>
    <w:rsid w:val="00F5299E"/>
    <w:rsid w:val="00F52A04"/>
    <w:rsid w:val="00F52AE6"/>
    <w:rsid w:val="00F52B2E"/>
    <w:rsid w:val="00F52B45"/>
    <w:rsid w:val="00F52BDC"/>
    <w:rsid w:val="00F52C33"/>
    <w:rsid w:val="00F52CC2"/>
    <w:rsid w:val="00F52CEA"/>
    <w:rsid w:val="00F52D14"/>
    <w:rsid w:val="00F52D30"/>
    <w:rsid w:val="00F52D7B"/>
    <w:rsid w:val="00F52DB8"/>
    <w:rsid w:val="00F52DED"/>
    <w:rsid w:val="00F52E27"/>
    <w:rsid w:val="00F52F84"/>
    <w:rsid w:val="00F52F89"/>
    <w:rsid w:val="00F5302B"/>
    <w:rsid w:val="00F530AE"/>
    <w:rsid w:val="00F531AE"/>
    <w:rsid w:val="00F531BF"/>
    <w:rsid w:val="00F53226"/>
    <w:rsid w:val="00F53275"/>
    <w:rsid w:val="00F53349"/>
    <w:rsid w:val="00F5335A"/>
    <w:rsid w:val="00F53382"/>
    <w:rsid w:val="00F533F2"/>
    <w:rsid w:val="00F5346B"/>
    <w:rsid w:val="00F53489"/>
    <w:rsid w:val="00F53517"/>
    <w:rsid w:val="00F535DA"/>
    <w:rsid w:val="00F53605"/>
    <w:rsid w:val="00F53674"/>
    <w:rsid w:val="00F536F6"/>
    <w:rsid w:val="00F537D2"/>
    <w:rsid w:val="00F5383F"/>
    <w:rsid w:val="00F53879"/>
    <w:rsid w:val="00F538C8"/>
    <w:rsid w:val="00F53916"/>
    <w:rsid w:val="00F53934"/>
    <w:rsid w:val="00F5395A"/>
    <w:rsid w:val="00F5399D"/>
    <w:rsid w:val="00F539CB"/>
    <w:rsid w:val="00F53A13"/>
    <w:rsid w:val="00F53C28"/>
    <w:rsid w:val="00F53C94"/>
    <w:rsid w:val="00F53D45"/>
    <w:rsid w:val="00F53D86"/>
    <w:rsid w:val="00F53E0A"/>
    <w:rsid w:val="00F53E6F"/>
    <w:rsid w:val="00F53EB8"/>
    <w:rsid w:val="00F53EE2"/>
    <w:rsid w:val="00F53F00"/>
    <w:rsid w:val="00F53F5D"/>
    <w:rsid w:val="00F53FB3"/>
    <w:rsid w:val="00F540ED"/>
    <w:rsid w:val="00F540F6"/>
    <w:rsid w:val="00F541F2"/>
    <w:rsid w:val="00F54231"/>
    <w:rsid w:val="00F542A3"/>
    <w:rsid w:val="00F5437F"/>
    <w:rsid w:val="00F543A2"/>
    <w:rsid w:val="00F54450"/>
    <w:rsid w:val="00F544E3"/>
    <w:rsid w:val="00F544EB"/>
    <w:rsid w:val="00F54504"/>
    <w:rsid w:val="00F54513"/>
    <w:rsid w:val="00F54539"/>
    <w:rsid w:val="00F54596"/>
    <w:rsid w:val="00F545A6"/>
    <w:rsid w:val="00F545C8"/>
    <w:rsid w:val="00F545E1"/>
    <w:rsid w:val="00F545FE"/>
    <w:rsid w:val="00F54693"/>
    <w:rsid w:val="00F547A2"/>
    <w:rsid w:val="00F5480C"/>
    <w:rsid w:val="00F548AD"/>
    <w:rsid w:val="00F548BB"/>
    <w:rsid w:val="00F54928"/>
    <w:rsid w:val="00F54970"/>
    <w:rsid w:val="00F54977"/>
    <w:rsid w:val="00F549DD"/>
    <w:rsid w:val="00F54ADE"/>
    <w:rsid w:val="00F54B3F"/>
    <w:rsid w:val="00F54B81"/>
    <w:rsid w:val="00F54BBD"/>
    <w:rsid w:val="00F54C20"/>
    <w:rsid w:val="00F54C2F"/>
    <w:rsid w:val="00F54CB8"/>
    <w:rsid w:val="00F54CFF"/>
    <w:rsid w:val="00F54DCA"/>
    <w:rsid w:val="00F54DFA"/>
    <w:rsid w:val="00F54E34"/>
    <w:rsid w:val="00F54EAF"/>
    <w:rsid w:val="00F54EF1"/>
    <w:rsid w:val="00F54F76"/>
    <w:rsid w:val="00F54FB5"/>
    <w:rsid w:val="00F54FB7"/>
    <w:rsid w:val="00F55092"/>
    <w:rsid w:val="00F55145"/>
    <w:rsid w:val="00F551B7"/>
    <w:rsid w:val="00F551E0"/>
    <w:rsid w:val="00F55335"/>
    <w:rsid w:val="00F55392"/>
    <w:rsid w:val="00F553B0"/>
    <w:rsid w:val="00F554AA"/>
    <w:rsid w:val="00F554ED"/>
    <w:rsid w:val="00F5550A"/>
    <w:rsid w:val="00F555FF"/>
    <w:rsid w:val="00F55653"/>
    <w:rsid w:val="00F55819"/>
    <w:rsid w:val="00F55854"/>
    <w:rsid w:val="00F55894"/>
    <w:rsid w:val="00F558C8"/>
    <w:rsid w:val="00F558E8"/>
    <w:rsid w:val="00F55986"/>
    <w:rsid w:val="00F55988"/>
    <w:rsid w:val="00F55A01"/>
    <w:rsid w:val="00F55A0F"/>
    <w:rsid w:val="00F55AB0"/>
    <w:rsid w:val="00F55BAE"/>
    <w:rsid w:val="00F55C08"/>
    <w:rsid w:val="00F55C10"/>
    <w:rsid w:val="00F55CCA"/>
    <w:rsid w:val="00F55CE1"/>
    <w:rsid w:val="00F55DA4"/>
    <w:rsid w:val="00F55DA7"/>
    <w:rsid w:val="00F55DFD"/>
    <w:rsid w:val="00F55E48"/>
    <w:rsid w:val="00F55F13"/>
    <w:rsid w:val="00F55F84"/>
    <w:rsid w:val="00F55FC4"/>
    <w:rsid w:val="00F56015"/>
    <w:rsid w:val="00F56072"/>
    <w:rsid w:val="00F560D8"/>
    <w:rsid w:val="00F560DA"/>
    <w:rsid w:val="00F56101"/>
    <w:rsid w:val="00F5613F"/>
    <w:rsid w:val="00F561A1"/>
    <w:rsid w:val="00F562AA"/>
    <w:rsid w:val="00F562EB"/>
    <w:rsid w:val="00F563B4"/>
    <w:rsid w:val="00F563D0"/>
    <w:rsid w:val="00F5640D"/>
    <w:rsid w:val="00F56437"/>
    <w:rsid w:val="00F564D6"/>
    <w:rsid w:val="00F56579"/>
    <w:rsid w:val="00F565C8"/>
    <w:rsid w:val="00F56667"/>
    <w:rsid w:val="00F56687"/>
    <w:rsid w:val="00F56690"/>
    <w:rsid w:val="00F56749"/>
    <w:rsid w:val="00F56799"/>
    <w:rsid w:val="00F567BA"/>
    <w:rsid w:val="00F567CC"/>
    <w:rsid w:val="00F567D3"/>
    <w:rsid w:val="00F56932"/>
    <w:rsid w:val="00F5697A"/>
    <w:rsid w:val="00F56A0A"/>
    <w:rsid w:val="00F56A12"/>
    <w:rsid w:val="00F56AB5"/>
    <w:rsid w:val="00F56AE9"/>
    <w:rsid w:val="00F56B73"/>
    <w:rsid w:val="00F56B74"/>
    <w:rsid w:val="00F56B90"/>
    <w:rsid w:val="00F56BC0"/>
    <w:rsid w:val="00F56BC8"/>
    <w:rsid w:val="00F56CB6"/>
    <w:rsid w:val="00F56CFB"/>
    <w:rsid w:val="00F56D4A"/>
    <w:rsid w:val="00F56DA0"/>
    <w:rsid w:val="00F56DAD"/>
    <w:rsid w:val="00F56DF2"/>
    <w:rsid w:val="00F56EF3"/>
    <w:rsid w:val="00F56F00"/>
    <w:rsid w:val="00F56F73"/>
    <w:rsid w:val="00F56FAD"/>
    <w:rsid w:val="00F57001"/>
    <w:rsid w:val="00F57009"/>
    <w:rsid w:val="00F5702F"/>
    <w:rsid w:val="00F570B8"/>
    <w:rsid w:val="00F570CC"/>
    <w:rsid w:val="00F570DF"/>
    <w:rsid w:val="00F5713C"/>
    <w:rsid w:val="00F57189"/>
    <w:rsid w:val="00F57222"/>
    <w:rsid w:val="00F5724C"/>
    <w:rsid w:val="00F572B6"/>
    <w:rsid w:val="00F572BE"/>
    <w:rsid w:val="00F572E1"/>
    <w:rsid w:val="00F573D4"/>
    <w:rsid w:val="00F573F2"/>
    <w:rsid w:val="00F57414"/>
    <w:rsid w:val="00F5742F"/>
    <w:rsid w:val="00F57447"/>
    <w:rsid w:val="00F574E7"/>
    <w:rsid w:val="00F575B3"/>
    <w:rsid w:val="00F57603"/>
    <w:rsid w:val="00F57644"/>
    <w:rsid w:val="00F576BE"/>
    <w:rsid w:val="00F5770F"/>
    <w:rsid w:val="00F57756"/>
    <w:rsid w:val="00F57881"/>
    <w:rsid w:val="00F578AD"/>
    <w:rsid w:val="00F57904"/>
    <w:rsid w:val="00F579BE"/>
    <w:rsid w:val="00F579D1"/>
    <w:rsid w:val="00F57AA4"/>
    <w:rsid w:val="00F57AB9"/>
    <w:rsid w:val="00F57B07"/>
    <w:rsid w:val="00F57C28"/>
    <w:rsid w:val="00F57C34"/>
    <w:rsid w:val="00F57C60"/>
    <w:rsid w:val="00F57D02"/>
    <w:rsid w:val="00F57D33"/>
    <w:rsid w:val="00F57D7D"/>
    <w:rsid w:val="00F57E6B"/>
    <w:rsid w:val="00F57EE4"/>
    <w:rsid w:val="00F600C6"/>
    <w:rsid w:val="00F60196"/>
    <w:rsid w:val="00F60271"/>
    <w:rsid w:val="00F602BF"/>
    <w:rsid w:val="00F6030B"/>
    <w:rsid w:val="00F6031D"/>
    <w:rsid w:val="00F6040D"/>
    <w:rsid w:val="00F6041D"/>
    <w:rsid w:val="00F60498"/>
    <w:rsid w:val="00F604CC"/>
    <w:rsid w:val="00F604DD"/>
    <w:rsid w:val="00F60500"/>
    <w:rsid w:val="00F6050C"/>
    <w:rsid w:val="00F6054F"/>
    <w:rsid w:val="00F60570"/>
    <w:rsid w:val="00F6059E"/>
    <w:rsid w:val="00F60695"/>
    <w:rsid w:val="00F60697"/>
    <w:rsid w:val="00F60707"/>
    <w:rsid w:val="00F60714"/>
    <w:rsid w:val="00F6074A"/>
    <w:rsid w:val="00F60751"/>
    <w:rsid w:val="00F60776"/>
    <w:rsid w:val="00F60869"/>
    <w:rsid w:val="00F608CA"/>
    <w:rsid w:val="00F60901"/>
    <w:rsid w:val="00F60963"/>
    <w:rsid w:val="00F609CC"/>
    <w:rsid w:val="00F609DA"/>
    <w:rsid w:val="00F609FE"/>
    <w:rsid w:val="00F60A91"/>
    <w:rsid w:val="00F60B22"/>
    <w:rsid w:val="00F60B79"/>
    <w:rsid w:val="00F60B9D"/>
    <w:rsid w:val="00F60CEC"/>
    <w:rsid w:val="00F60EAD"/>
    <w:rsid w:val="00F60F40"/>
    <w:rsid w:val="00F60FA4"/>
    <w:rsid w:val="00F60FAC"/>
    <w:rsid w:val="00F60FAF"/>
    <w:rsid w:val="00F610FE"/>
    <w:rsid w:val="00F61117"/>
    <w:rsid w:val="00F6116A"/>
    <w:rsid w:val="00F6118E"/>
    <w:rsid w:val="00F611D8"/>
    <w:rsid w:val="00F61216"/>
    <w:rsid w:val="00F61288"/>
    <w:rsid w:val="00F612E1"/>
    <w:rsid w:val="00F6137C"/>
    <w:rsid w:val="00F613E8"/>
    <w:rsid w:val="00F61414"/>
    <w:rsid w:val="00F614A8"/>
    <w:rsid w:val="00F614A9"/>
    <w:rsid w:val="00F614F9"/>
    <w:rsid w:val="00F61559"/>
    <w:rsid w:val="00F61566"/>
    <w:rsid w:val="00F61598"/>
    <w:rsid w:val="00F615B9"/>
    <w:rsid w:val="00F615FA"/>
    <w:rsid w:val="00F6169E"/>
    <w:rsid w:val="00F6172C"/>
    <w:rsid w:val="00F6174E"/>
    <w:rsid w:val="00F61794"/>
    <w:rsid w:val="00F61839"/>
    <w:rsid w:val="00F61847"/>
    <w:rsid w:val="00F6185E"/>
    <w:rsid w:val="00F61871"/>
    <w:rsid w:val="00F6191E"/>
    <w:rsid w:val="00F619B9"/>
    <w:rsid w:val="00F619FC"/>
    <w:rsid w:val="00F61A2F"/>
    <w:rsid w:val="00F61A38"/>
    <w:rsid w:val="00F61A70"/>
    <w:rsid w:val="00F61B38"/>
    <w:rsid w:val="00F61BD3"/>
    <w:rsid w:val="00F61BF7"/>
    <w:rsid w:val="00F61C20"/>
    <w:rsid w:val="00F61C81"/>
    <w:rsid w:val="00F61D6C"/>
    <w:rsid w:val="00F61D9F"/>
    <w:rsid w:val="00F61DD0"/>
    <w:rsid w:val="00F61DEB"/>
    <w:rsid w:val="00F61DF5"/>
    <w:rsid w:val="00F61E95"/>
    <w:rsid w:val="00F61F4C"/>
    <w:rsid w:val="00F61F95"/>
    <w:rsid w:val="00F62033"/>
    <w:rsid w:val="00F620C8"/>
    <w:rsid w:val="00F6211E"/>
    <w:rsid w:val="00F62150"/>
    <w:rsid w:val="00F62191"/>
    <w:rsid w:val="00F62257"/>
    <w:rsid w:val="00F622B6"/>
    <w:rsid w:val="00F622DC"/>
    <w:rsid w:val="00F623C2"/>
    <w:rsid w:val="00F62446"/>
    <w:rsid w:val="00F62534"/>
    <w:rsid w:val="00F62548"/>
    <w:rsid w:val="00F62552"/>
    <w:rsid w:val="00F62562"/>
    <w:rsid w:val="00F6256B"/>
    <w:rsid w:val="00F62610"/>
    <w:rsid w:val="00F626CC"/>
    <w:rsid w:val="00F6270F"/>
    <w:rsid w:val="00F62728"/>
    <w:rsid w:val="00F62743"/>
    <w:rsid w:val="00F62755"/>
    <w:rsid w:val="00F6276B"/>
    <w:rsid w:val="00F627CC"/>
    <w:rsid w:val="00F627E3"/>
    <w:rsid w:val="00F62820"/>
    <w:rsid w:val="00F628C6"/>
    <w:rsid w:val="00F629FF"/>
    <w:rsid w:val="00F62A01"/>
    <w:rsid w:val="00F62A2B"/>
    <w:rsid w:val="00F62A8D"/>
    <w:rsid w:val="00F62AE8"/>
    <w:rsid w:val="00F62B29"/>
    <w:rsid w:val="00F62BDA"/>
    <w:rsid w:val="00F62CEA"/>
    <w:rsid w:val="00F62CF2"/>
    <w:rsid w:val="00F62DC7"/>
    <w:rsid w:val="00F62DF7"/>
    <w:rsid w:val="00F62F5D"/>
    <w:rsid w:val="00F6306B"/>
    <w:rsid w:val="00F630FB"/>
    <w:rsid w:val="00F631F8"/>
    <w:rsid w:val="00F6320E"/>
    <w:rsid w:val="00F63237"/>
    <w:rsid w:val="00F632AF"/>
    <w:rsid w:val="00F63511"/>
    <w:rsid w:val="00F63515"/>
    <w:rsid w:val="00F63536"/>
    <w:rsid w:val="00F635EB"/>
    <w:rsid w:val="00F63635"/>
    <w:rsid w:val="00F63691"/>
    <w:rsid w:val="00F6369E"/>
    <w:rsid w:val="00F637C1"/>
    <w:rsid w:val="00F6382C"/>
    <w:rsid w:val="00F63856"/>
    <w:rsid w:val="00F6385E"/>
    <w:rsid w:val="00F638B1"/>
    <w:rsid w:val="00F639E7"/>
    <w:rsid w:val="00F639FC"/>
    <w:rsid w:val="00F63A90"/>
    <w:rsid w:val="00F63B30"/>
    <w:rsid w:val="00F63B8F"/>
    <w:rsid w:val="00F63BED"/>
    <w:rsid w:val="00F63CEF"/>
    <w:rsid w:val="00F63DF7"/>
    <w:rsid w:val="00F63E66"/>
    <w:rsid w:val="00F63F27"/>
    <w:rsid w:val="00F63F97"/>
    <w:rsid w:val="00F64013"/>
    <w:rsid w:val="00F640DE"/>
    <w:rsid w:val="00F64125"/>
    <w:rsid w:val="00F641E9"/>
    <w:rsid w:val="00F642CA"/>
    <w:rsid w:val="00F642CE"/>
    <w:rsid w:val="00F642D7"/>
    <w:rsid w:val="00F64340"/>
    <w:rsid w:val="00F644B1"/>
    <w:rsid w:val="00F644D8"/>
    <w:rsid w:val="00F6452E"/>
    <w:rsid w:val="00F645C4"/>
    <w:rsid w:val="00F64711"/>
    <w:rsid w:val="00F64735"/>
    <w:rsid w:val="00F64795"/>
    <w:rsid w:val="00F6484D"/>
    <w:rsid w:val="00F648B6"/>
    <w:rsid w:val="00F648F3"/>
    <w:rsid w:val="00F64977"/>
    <w:rsid w:val="00F64A0D"/>
    <w:rsid w:val="00F64A1A"/>
    <w:rsid w:val="00F64A44"/>
    <w:rsid w:val="00F64B34"/>
    <w:rsid w:val="00F64B4C"/>
    <w:rsid w:val="00F64B59"/>
    <w:rsid w:val="00F64BB8"/>
    <w:rsid w:val="00F64BCD"/>
    <w:rsid w:val="00F64BD1"/>
    <w:rsid w:val="00F64C22"/>
    <w:rsid w:val="00F64CED"/>
    <w:rsid w:val="00F64D05"/>
    <w:rsid w:val="00F64E21"/>
    <w:rsid w:val="00F64EC2"/>
    <w:rsid w:val="00F64F23"/>
    <w:rsid w:val="00F64F79"/>
    <w:rsid w:val="00F650B8"/>
    <w:rsid w:val="00F6511D"/>
    <w:rsid w:val="00F65136"/>
    <w:rsid w:val="00F65158"/>
    <w:rsid w:val="00F6515C"/>
    <w:rsid w:val="00F65168"/>
    <w:rsid w:val="00F651AB"/>
    <w:rsid w:val="00F6525F"/>
    <w:rsid w:val="00F65296"/>
    <w:rsid w:val="00F652D2"/>
    <w:rsid w:val="00F652E7"/>
    <w:rsid w:val="00F652FB"/>
    <w:rsid w:val="00F652FD"/>
    <w:rsid w:val="00F65346"/>
    <w:rsid w:val="00F653A2"/>
    <w:rsid w:val="00F653D2"/>
    <w:rsid w:val="00F65415"/>
    <w:rsid w:val="00F654CA"/>
    <w:rsid w:val="00F65500"/>
    <w:rsid w:val="00F65542"/>
    <w:rsid w:val="00F655BD"/>
    <w:rsid w:val="00F655E8"/>
    <w:rsid w:val="00F655E9"/>
    <w:rsid w:val="00F65691"/>
    <w:rsid w:val="00F65693"/>
    <w:rsid w:val="00F65726"/>
    <w:rsid w:val="00F6578D"/>
    <w:rsid w:val="00F657A1"/>
    <w:rsid w:val="00F65819"/>
    <w:rsid w:val="00F6582A"/>
    <w:rsid w:val="00F658CE"/>
    <w:rsid w:val="00F658CF"/>
    <w:rsid w:val="00F659A3"/>
    <w:rsid w:val="00F65A25"/>
    <w:rsid w:val="00F65B22"/>
    <w:rsid w:val="00F65B77"/>
    <w:rsid w:val="00F65BA1"/>
    <w:rsid w:val="00F65BC9"/>
    <w:rsid w:val="00F65C5E"/>
    <w:rsid w:val="00F65CB9"/>
    <w:rsid w:val="00F65DA6"/>
    <w:rsid w:val="00F65DA8"/>
    <w:rsid w:val="00F65E21"/>
    <w:rsid w:val="00F65ED4"/>
    <w:rsid w:val="00F65F04"/>
    <w:rsid w:val="00F65F1D"/>
    <w:rsid w:val="00F65F29"/>
    <w:rsid w:val="00F65FCA"/>
    <w:rsid w:val="00F65FF4"/>
    <w:rsid w:val="00F65FFC"/>
    <w:rsid w:val="00F660FF"/>
    <w:rsid w:val="00F6616C"/>
    <w:rsid w:val="00F661A6"/>
    <w:rsid w:val="00F661DA"/>
    <w:rsid w:val="00F661DD"/>
    <w:rsid w:val="00F661E9"/>
    <w:rsid w:val="00F661FE"/>
    <w:rsid w:val="00F662AB"/>
    <w:rsid w:val="00F66304"/>
    <w:rsid w:val="00F6636F"/>
    <w:rsid w:val="00F66429"/>
    <w:rsid w:val="00F66450"/>
    <w:rsid w:val="00F6648A"/>
    <w:rsid w:val="00F66498"/>
    <w:rsid w:val="00F665D0"/>
    <w:rsid w:val="00F6663B"/>
    <w:rsid w:val="00F666A8"/>
    <w:rsid w:val="00F666D1"/>
    <w:rsid w:val="00F66758"/>
    <w:rsid w:val="00F6676D"/>
    <w:rsid w:val="00F66776"/>
    <w:rsid w:val="00F6679E"/>
    <w:rsid w:val="00F667A3"/>
    <w:rsid w:val="00F667D1"/>
    <w:rsid w:val="00F668A8"/>
    <w:rsid w:val="00F668E1"/>
    <w:rsid w:val="00F6691A"/>
    <w:rsid w:val="00F66921"/>
    <w:rsid w:val="00F66923"/>
    <w:rsid w:val="00F6696D"/>
    <w:rsid w:val="00F669B7"/>
    <w:rsid w:val="00F669D3"/>
    <w:rsid w:val="00F66A16"/>
    <w:rsid w:val="00F66A61"/>
    <w:rsid w:val="00F66A78"/>
    <w:rsid w:val="00F66AA4"/>
    <w:rsid w:val="00F66AB4"/>
    <w:rsid w:val="00F66B3B"/>
    <w:rsid w:val="00F66B6A"/>
    <w:rsid w:val="00F66BC2"/>
    <w:rsid w:val="00F66BDF"/>
    <w:rsid w:val="00F66C0D"/>
    <w:rsid w:val="00F66C43"/>
    <w:rsid w:val="00F66C6A"/>
    <w:rsid w:val="00F66D80"/>
    <w:rsid w:val="00F66EA9"/>
    <w:rsid w:val="00F66EB9"/>
    <w:rsid w:val="00F66F2A"/>
    <w:rsid w:val="00F66FF2"/>
    <w:rsid w:val="00F67001"/>
    <w:rsid w:val="00F67050"/>
    <w:rsid w:val="00F670B6"/>
    <w:rsid w:val="00F670D9"/>
    <w:rsid w:val="00F6719E"/>
    <w:rsid w:val="00F671EE"/>
    <w:rsid w:val="00F67217"/>
    <w:rsid w:val="00F67278"/>
    <w:rsid w:val="00F672F3"/>
    <w:rsid w:val="00F67341"/>
    <w:rsid w:val="00F673CC"/>
    <w:rsid w:val="00F67407"/>
    <w:rsid w:val="00F674BE"/>
    <w:rsid w:val="00F674C7"/>
    <w:rsid w:val="00F67553"/>
    <w:rsid w:val="00F675AA"/>
    <w:rsid w:val="00F675E1"/>
    <w:rsid w:val="00F6765D"/>
    <w:rsid w:val="00F676F8"/>
    <w:rsid w:val="00F67829"/>
    <w:rsid w:val="00F67838"/>
    <w:rsid w:val="00F67857"/>
    <w:rsid w:val="00F678F5"/>
    <w:rsid w:val="00F67924"/>
    <w:rsid w:val="00F67A2A"/>
    <w:rsid w:val="00F67A53"/>
    <w:rsid w:val="00F67A79"/>
    <w:rsid w:val="00F67B45"/>
    <w:rsid w:val="00F67BC1"/>
    <w:rsid w:val="00F67BDA"/>
    <w:rsid w:val="00F67CBE"/>
    <w:rsid w:val="00F67D25"/>
    <w:rsid w:val="00F67DA7"/>
    <w:rsid w:val="00F67E38"/>
    <w:rsid w:val="00F67E5C"/>
    <w:rsid w:val="00F67EB7"/>
    <w:rsid w:val="00F67EB8"/>
    <w:rsid w:val="00F67EF6"/>
    <w:rsid w:val="00F67EFC"/>
    <w:rsid w:val="00F67F0F"/>
    <w:rsid w:val="00F67F50"/>
    <w:rsid w:val="00F67F8A"/>
    <w:rsid w:val="00F67FF2"/>
    <w:rsid w:val="00F7005E"/>
    <w:rsid w:val="00F702AE"/>
    <w:rsid w:val="00F7039C"/>
    <w:rsid w:val="00F703AB"/>
    <w:rsid w:val="00F703AE"/>
    <w:rsid w:val="00F703F5"/>
    <w:rsid w:val="00F7040D"/>
    <w:rsid w:val="00F7047A"/>
    <w:rsid w:val="00F704F0"/>
    <w:rsid w:val="00F7051B"/>
    <w:rsid w:val="00F70546"/>
    <w:rsid w:val="00F70588"/>
    <w:rsid w:val="00F70594"/>
    <w:rsid w:val="00F7062C"/>
    <w:rsid w:val="00F7065D"/>
    <w:rsid w:val="00F706B0"/>
    <w:rsid w:val="00F70775"/>
    <w:rsid w:val="00F707F0"/>
    <w:rsid w:val="00F70918"/>
    <w:rsid w:val="00F70927"/>
    <w:rsid w:val="00F70995"/>
    <w:rsid w:val="00F70A3E"/>
    <w:rsid w:val="00F70A5D"/>
    <w:rsid w:val="00F70B47"/>
    <w:rsid w:val="00F70B73"/>
    <w:rsid w:val="00F70B93"/>
    <w:rsid w:val="00F70C72"/>
    <w:rsid w:val="00F70C8A"/>
    <w:rsid w:val="00F70CD6"/>
    <w:rsid w:val="00F70D3F"/>
    <w:rsid w:val="00F70D97"/>
    <w:rsid w:val="00F70DA0"/>
    <w:rsid w:val="00F70E27"/>
    <w:rsid w:val="00F70E5E"/>
    <w:rsid w:val="00F70E69"/>
    <w:rsid w:val="00F71015"/>
    <w:rsid w:val="00F7101D"/>
    <w:rsid w:val="00F71097"/>
    <w:rsid w:val="00F7112A"/>
    <w:rsid w:val="00F711F2"/>
    <w:rsid w:val="00F71262"/>
    <w:rsid w:val="00F712EF"/>
    <w:rsid w:val="00F713B0"/>
    <w:rsid w:val="00F713DB"/>
    <w:rsid w:val="00F7140A"/>
    <w:rsid w:val="00F71445"/>
    <w:rsid w:val="00F7149D"/>
    <w:rsid w:val="00F714F0"/>
    <w:rsid w:val="00F7150D"/>
    <w:rsid w:val="00F715D0"/>
    <w:rsid w:val="00F7163E"/>
    <w:rsid w:val="00F716A0"/>
    <w:rsid w:val="00F7170E"/>
    <w:rsid w:val="00F7175F"/>
    <w:rsid w:val="00F71774"/>
    <w:rsid w:val="00F71793"/>
    <w:rsid w:val="00F717BE"/>
    <w:rsid w:val="00F717C2"/>
    <w:rsid w:val="00F7186F"/>
    <w:rsid w:val="00F718D2"/>
    <w:rsid w:val="00F71930"/>
    <w:rsid w:val="00F7198C"/>
    <w:rsid w:val="00F71A0D"/>
    <w:rsid w:val="00F71A71"/>
    <w:rsid w:val="00F71AB4"/>
    <w:rsid w:val="00F71AD8"/>
    <w:rsid w:val="00F71AE3"/>
    <w:rsid w:val="00F71B4C"/>
    <w:rsid w:val="00F71B94"/>
    <w:rsid w:val="00F71BAB"/>
    <w:rsid w:val="00F71C00"/>
    <w:rsid w:val="00F71C09"/>
    <w:rsid w:val="00F71C0C"/>
    <w:rsid w:val="00F71C51"/>
    <w:rsid w:val="00F71D19"/>
    <w:rsid w:val="00F71DBE"/>
    <w:rsid w:val="00F71E15"/>
    <w:rsid w:val="00F71E42"/>
    <w:rsid w:val="00F71E57"/>
    <w:rsid w:val="00F71E7A"/>
    <w:rsid w:val="00F71E89"/>
    <w:rsid w:val="00F71EA3"/>
    <w:rsid w:val="00F71F1D"/>
    <w:rsid w:val="00F7210F"/>
    <w:rsid w:val="00F721D3"/>
    <w:rsid w:val="00F72207"/>
    <w:rsid w:val="00F7220D"/>
    <w:rsid w:val="00F7221C"/>
    <w:rsid w:val="00F72233"/>
    <w:rsid w:val="00F72244"/>
    <w:rsid w:val="00F72250"/>
    <w:rsid w:val="00F72267"/>
    <w:rsid w:val="00F72280"/>
    <w:rsid w:val="00F723E0"/>
    <w:rsid w:val="00F72527"/>
    <w:rsid w:val="00F7252D"/>
    <w:rsid w:val="00F7254C"/>
    <w:rsid w:val="00F7257B"/>
    <w:rsid w:val="00F725AA"/>
    <w:rsid w:val="00F725FC"/>
    <w:rsid w:val="00F72627"/>
    <w:rsid w:val="00F7266B"/>
    <w:rsid w:val="00F7277A"/>
    <w:rsid w:val="00F727BF"/>
    <w:rsid w:val="00F7285D"/>
    <w:rsid w:val="00F72873"/>
    <w:rsid w:val="00F728B5"/>
    <w:rsid w:val="00F72988"/>
    <w:rsid w:val="00F7298F"/>
    <w:rsid w:val="00F729F2"/>
    <w:rsid w:val="00F729F6"/>
    <w:rsid w:val="00F72A0E"/>
    <w:rsid w:val="00F72A13"/>
    <w:rsid w:val="00F72A53"/>
    <w:rsid w:val="00F72AB2"/>
    <w:rsid w:val="00F72B14"/>
    <w:rsid w:val="00F72B90"/>
    <w:rsid w:val="00F72BE1"/>
    <w:rsid w:val="00F72C24"/>
    <w:rsid w:val="00F72C98"/>
    <w:rsid w:val="00F72E01"/>
    <w:rsid w:val="00F72E39"/>
    <w:rsid w:val="00F72E68"/>
    <w:rsid w:val="00F72E84"/>
    <w:rsid w:val="00F72E98"/>
    <w:rsid w:val="00F72F4E"/>
    <w:rsid w:val="00F72FE3"/>
    <w:rsid w:val="00F73018"/>
    <w:rsid w:val="00F73066"/>
    <w:rsid w:val="00F730E8"/>
    <w:rsid w:val="00F7315A"/>
    <w:rsid w:val="00F73206"/>
    <w:rsid w:val="00F7320E"/>
    <w:rsid w:val="00F73220"/>
    <w:rsid w:val="00F73223"/>
    <w:rsid w:val="00F73229"/>
    <w:rsid w:val="00F732BA"/>
    <w:rsid w:val="00F7343B"/>
    <w:rsid w:val="00F734C3"/>
    <w:rsid w:val="00F734F7"/>
    <w:rsid w:val="00F73653"/>
    <w:rsid w:val="00F736CB"/>
    <w:rsid w:val="00F736E1"/>
    <w:rsid w:val="00F736E2"/>
    <w:rsid w:val="00F736F1"/>
    <w:rsid w:val="00F73742"/>
    <w:rsid w:val="00F7386A"/>
    <w:rsid w:val="00F73897"/>
    <w:rsid w:val="00F738D0"/>
    <w:rsid w:val="00F7392C"/>
    <w:rsid w:val="00F7398D"/>
    <w:rsid w:val="00F73992"/>
    <w:rsid w:val="00F739A7"/>
    <w:rsid w:val="00F739BC"/>
    <w:rsid w:val="00F739C6"/>
    <w:rsid w:val="00F73A03"/>
    <w:rsid w:val="00F73A1C"/>
    <w:rsid w:val="00F73A67"/>
    <w:rsid w:val="00F73B96"/>
    <w:rsid w:val="00F73BB9"/>
    <w:rsid w:val="00F73BD0"/>
    <w:rsid w:val="00F73BF3"/>
    <w:rsid w:val="00F73C09"/>
    <w:rsid w:val="00F73D16"/>
    <w:rsid w:val="00F73D52"/>
    <w:rsid w:val="00F73D69"/>
    <w:rsid w:val="00F73E71"/>
    <w:rsid w:val="00F73F05"/>
    <w:rsid w:val="00F73F24"/>
    <w:rsid w:val="00F740AE"/>
    <w:rsid w:val="00F740D3"/>
    <w:rsid w:val="00F7412E"/>
    <w:rsid w:val="00F74182"/>
    <w:rsid w:val="00F7424C"/>
    <w:rsid w:val="00F74257"/>
    <w:rsid w:val="00F74272"/>
    <w:rsid w:val="00F7435A"/>
    <w:rsid w:val="00F74378"/>
    <w:rsid w:val="00F74389"/>
    <w:rsid w:val="00F743D9"/>
    <w:rsid w:val="00F743DC"/>
    <w:rsid w:val="00F7448A"/>
    <w:rsid w:val="00F744AB"/>
    <w:rsid w:val="00F744BA"/>
    <w:rsid w:val="00F744E1"/>
    <w:rsid w:val="00F74520"/>
    <w:rsid w:val="00F74522"/>
    <w:rsid w:val="00F74561"/>
    <w:rsid w:val="00F74580"/>
    <w:rsid w:val="00F745AC"/>
    <w:rsid w:val="00F74640"/>
    <w:rsid w:val="00F7465A"/>
    <w:rsid w:val="00F746CE"/>
    <w:rsid w:val="00F74701"/>
    <w:rsid w:val="00F74803"/>
    <w:rsid w:val="00F74807"/>
    <w:rsid w:val="00F748E1"/>
    <w:rsid w:val="00F7490C"/>
    <w:rsid w:val="00F7493B"/>
    <w:rsid w:val="00F74946"/>
    <w:rsid w:val="00F74959"/>
    <w:rsid w:val="00F749F0"/>
    <w:rsid w:val="00F74A25"/>
    <w:rsid w:val="00F74BB4"/>
    <w:rsid w:val="00F74BE0"/>
    <w:rsid w:val="00F74C27"/>
    <w:rsid w:val="00F74C38"/>
    <w:rsid w:val="00F74C53"/>
    <w:rsid w:val="00F74C9F"/>
    <w:rsid w:val="00F74CDF"/>
    <w:rsid w:val="00F74CEB"/>
    <w:rsid w:val="00F74CFC"/>
    <w:rsid w:val="00F74DD7"/>
    <w:rsid w:val="00F74DE8"/>
    <w:rsid w:val="00F74E0B"/>
    <w:rsid w:val="00F74E21"/>
    <w:rsid w:val="00F74E24"/>
    <w:rsid w:val="00F74EE2"/>
    <w:rsid w:val="00F74F05"/>
    <w:rsid w:val="00F74F94"/>
    <w:rsid w:val="00F74F95"/>
    <w:rsid w:val="00F74FBE"/>
    <w:rsid w:val="00F74FBF"/>
    <w:rsid w:val="00F74FC0"/>
    <w:rsid w:val="00F74FE2"/>
    <w:rsid w:val="00F75120"/>
    <w:rsid w:val="00F7512E"/>
    <w:rsid w:val="00F752BC"/>
    <w:rsid w:val="00F75394"/>
    <w:rsid w:val="00F7543A"/>
    <w:rsid w:val="00F75618"/>
    <w:rsid w:val="00F7570C"/>
    <w:rsid w:val="00F759DF"/>
    <w:rsid w:val="00F759F3"/>
    <w:rsid w:val="00F75A1B"/>
    <w:rsid w:val="00F75A6D"/>
    <w:rsid w:val="00F75A99"/>
    <w:rsid w:val="00F75B62"/>
    <w:rsid w:val="00F75BD4"/>
    <w:rsid w:val="00F75C28"/>
    <w:rsid w:val="00F75CB8"/>
    <w:rsid w:val="00F75CC7"/>
    <w:rsid w:val="00F75CFF"/>
    <w:rsid w:val="00F75D8A"/>
    <w:rsid w:val="00F75E5A"/>
    <w:rsid w:val="00F7604A"/>
    <w:rsid w:val="00F760E8"/>
    <w:rsid w:val="00F7611E"/>
    <w:rsid w:val="00F76178"/>
    <w:rsid w:val="00F761B4"/>
    <w:rsid w:val="00F76246"/>
    <w:rsid w:val="00F76270"/>
    <w:rsid w:val="00F76388"/>
    <w:rsid w:val="00F763D1"/>
    <w:rsid w:val="00F764A9"/>
    <w:rsid w:val="00F764B2"/>
    <w:rsid w:val="00F76542"/>
    <w:rsid w:val="00F76548"/>
    <w:rsid w:val="00F765D2"/>
    <w:rsid w:val="00F7665E"/>
    <w:rsid w:val="00F766D4"/>
    <w:rsid w:val="00F76825"/>
    <w:rsid w:val="00F76847"/>
    <w:rsid w:val="00F768C1"/>
    <w:rsid w:val="00F7690B"/>
    <w:rsid w:val="00F76953"/>
    <w:rsid w:val="00F769CC"/>
    <w:rsid w:val="00F769D4"/>
    <w:rsid w:val="00F76A2C"/>
    <w:rsid w:val="00F76B24"/>
    <w:rsid w:val="00F76BB0"/>
    <w:rsid w:val="00F76BD1"/>
    <w:rsid w:val="00F76C53"/>
    <w:rsid w:val="00F76CC1"/>
    <w:rsid w:val="00F76CDE"/>
    <w:rsid w:val="00F76D2B"/>
    <w:rsid w:val="00F76D59"/>
    <w:rsid w:val="00F76D8B"/>
    <w:rsid w:val="00F76ECE"/>
    <w:rsid w:val="00F76F08"/>
    <w:rsid w:val="00F77050"/>
    <w:rsid w:val="00F7718E"/>
    <w:rsid w:val="00F771C1"/>
    <w:rsid w:val="00F77253"/>
    <w:rsid w:val="00F772C9"/>
    <w:rsid w:val="00F772E8"/>
    <w:rsid w:val="00F772F7"/>
    <w:rsid w:val="00F7746A"/>
    <w:rsid w:val="00F774AC"/>
    <w:rsid w:val="00F774BA"/>
    <w:rsid w:val="00F77530"/>
    <w:rsid w:val="00F7756B"/>
    <w:rsid w:val="00F77574"/>
    <w:rsid w:val="00F775D6"/>
    <w:rsid w:val="00F775D8"/>
    <w:rsid w:val="00F775D9"/>
    <w:rsid w:val="00F775EF"/>
    <w:rsid w:val="00F77649"/>
    <w:rsid w:val="00F776B4"/>
    <w:rsid w:val="00F77735"/>
    <w:rsid w:val="00F77788"/>
    <w:rsid w:val="00F777DA"/>
    <w:rsid w:val="00F7786C"/>
    <w:rsid w:val="00F77897"/>
    <w:rsid w:val="00F778CD"/>
    <w:rsid w:val="00F77B0F"/>
    <w:rsid w:val="00F77B22"/>
    <w:rsid w:val="00F77B3E"/>
    <w:rsid w:val="00F77D65"/>
    <w:rsid w:val="00F77D68"/>
    <w:rsid w:val="00F77E8E"/>
    <w:rsid w:val="00F77EA3"/>
    <w:rsid w:val="00F77ECF"/>
    <w:rsid w:val="00F77EDF"/>
    <w:rsid w:val="00F77F4E"/>
    <w:rsid w:val="00F77F94"/>
    <w:rsid w:val="00F77F9F"/>
    <w:rsid w:val="00F77FF8"/>
    <w:rsid w:val="00F7A641"/>
    <w:rsid w:val="00F80070"/>
    <w:rsid w:val="00F800CE"/>
    <w:rsid w:val="00F800FA"/>
    <w:rsid w:val="00F80172"/>
    <w:rsid w:val="00F801C8"/>
    <w:rsid w:val="00F801F9"/>
    <w:rsid w:val="00F80206"/>
    <w:rsid w:val="00F8021B"/>
    <w:rsid w:val="00F80257"/>
    <w:rsid w:val="00F8025D"/>
    <w:rsid w:val="00F80277"/>
    <w:rsid w:val="00F802AD"/>
    <w:rsid w:val="00F802B8"/>
    <w:rsid w:val="00F803F2"/>
    <w:rsid w:val="00F803FF"/>
    <w:rsid w:val="00F80442"/>
    <w:rsid w:val="00F80580"/>
    <w:rsid w:val="00F80599"/>
    <w:rsid w:val="00F805CA"/>
    <w:rsid w:val="00F806A4"/>
    <w:rsid w:val="00F806DE"/>
    <w:rsid w:val="00F806E9"/>
    <w:rsid w:val="00F806EF"/>
    <w:rsid w:val="00F8075C"/>
    <w:rsid w:val="00F8081C"/>
    <w:rsid w:val="00F80831"/>
    <w:rsid w:val="00F8084A"/>
    <w:rsid w:val="00F8085E"/>
    <w:rsid w:val="00F808CC"/>
    <w:rsid w:val="00F80922"/>
    <w:rsid w:val="00F80944"/>
    <w:rsid w:val="00F80964"/>
    <w:rsid w:val="00F809B6"/>
    <w:rsid w:val="00F809F7"/>
    <w:rsid w:val="00F80A0A"/>
    <w:rsid w:val="00F80A8C"/>
    <w:rsid w:val="00F80B36"/>
    <w:rsid w:val="00F80C23"/>
    <w:rsid w:val="00F80C89"/>
    <w:rsid w:val="00F80CED"/>
    <w:rsid w:val="00F80DB0"/>
    <w:rsid w:val="00F80EC8"/>
    <w:rsid w:val="00F80F05"/>
    <w:rsid w:val="00F80F08"/>
    <w:rsid w:val="00F80F5E"/>
    <w:rsid w:val="00F80FB4"/>
    <w:rsid w:val="00F81024"/>
    <w:rsid w:val="00F81025"/>
    <w:rsid w:val="00F8109F"/>
    <w:rsid w:val="00F810D2"/>
    <w:rsid w:val="00F81185"/>
    <w:rsid w:val="00F8119F"/>
    <w:rsid w:val="00F812A0"/>
    <w:rsid w:val="00F812AD"/>
    <w:rsid w:val="00F812B9"/>
    <w:rsid w:val="00F81334"/>
    <w:rsid w:val="00F81339"/>
    <w:rsid w:val="00F81402"/>
    <w:rsid w:val="00F814DD"/>
    <w:rsid w:val="00F81544"/>
    <w:rsid w:val="00F8154A"/>
    <w:rsid w:val="00F8155C"/>
    <w:rsid w:val="00F815B8"/>
    <w:rsid w:val="00F815C7"/>
    <w:rsid w:val="00F8161C"/>
    <w:rsid w:val="00F81693"/>
    <w:rsid w:val="00F816A0"/>
    <w:rsid w:val="00F8175B"/>
    <w:rsid w:val="00F817A8"/>
    <w:rsid w:val="00F817FB"/>
    <w:rsid w:val="00F81855"/>
    <w:rsid w:val="00F81867"/>
    <w:rsid w:val="00F8194E"/>
    <w:rsid w:val="00F819F5"/>
    <w:rsid w:val="00F81A27"/>
    <w:rsid w:val="00F81A75"/>
    <w:rsid w:val="00F81A98"/>
    <w:rsid w:val="00F81A9A"/>
    <w:rsid w:val="00F81ABB"/>
    <w:rsid w:val="00F81ADE"/>
    <w:rsid w:val="00F81B3C"/>
    <w:rsid w:val="00F81B87"/>
    <w:rsid w:val="00F81BF1"/>
    <w:rsid w:val="00F81C2B"/>
    <w:rsid w:val="00F81D5B"/>
    <w:rsid w:val="00F81DB2"/>
    <w:rsid w:val="00F81DD0"/>
    <w:rsid w:val="00F81DE7"/>
    <w:rsid w:val="00F81DF5"/>
    <w:rsid w:val="00F81DF9"/>
    <w:rsid w:val="00F81EC7"/>
    <w:rsid w:val="00F81F1C"/>
    <w:rsid w:val="00F81F21"/>
    <w:rsid w:val="00F81F27"/>
    <w:rsid w:val="00F81F9D"/>
    <w:rsid w:val="00F82083"/>
    <w:rsid w:val="00F820B3"/>
    <w:rsid w:val="00F820C3"/>
    <w:rsid w:val="00F8211C"/>
    <w:rsid w:val="00F821F9"/>
    <w:rsid w:val="00F8221B"/>
    <w:rsid w:val="00F82236"/>
    <w:rsid w:val="00F8232E"/>
    <w:rsid w:val="00F824FB"/>
    <w:rsid w:val="00F824FC"/>
    <w:rsid w:val="00F82534"/>
    <w:rsid w:val="00F82616"/>
    <w:rsid w:val="00F82663"/>
    <w:rsid w:val="00F82752"/>
    <w:rsid w:val="00F82829"/>
    <w:rsid w:val="00F8288A"/>
    <w:rsid w:val="00F8296B"/>
    <w:rsid w:val="00F8297B"/>
    <w:rsid w:val="00F829E8"/>
    <w:rsid w:val="00F82A46"/>
    <w:rsid w:val="00F82A81"/>
    <w:rsid w:val="00F82AC3"/>
    <w:rsid w:val="00F82AD4"/>
    <w:rsid w:val="00F82ADA"/>
    <w:rsid w:val="00F82AE8"/>
    <w:rsid w:val="00F82AF4"/>
    <w:rsid w:val="00F82B04"/>
    <w:rsid w:val="00F82B06"/>
    <w:rsid w:val="00F82B9A"/>
    <w:rsid w:val="00F82BD0"/>
    <w:rsid w:val="00F82CB2"/>
    <w:rsid w:val="00F82CFE"/>
    <w:rsid w:val="00F82D79"/>
    <w:rsid w:val="00F82DFE"/>
    <w:rsid w:val="00F82E01"/>
    <w:rsid w:val="00F82E6E"/>
    <w:rsid w:val="00F82E9B"/>
    <w:rsid w:val="00F82EDE"/>
    <w:rsid w:val="00F82F31"/>
    <w:rsid w:val="00F82FA0"/>
    <w:rsid w:val="00F82FAD"/>
    <w:rsid w:val="00F83067"/>
    <w:rsid w:val="00F830B1"/>
    <w:rsid w:val="00F830DA"/>
    <w:rsid w:val="00F830F0"/>
    <w:rsid w:val="00F831E0"/>
    <w:rsid w:val="00F83251"/>
    <w:rsid w:val="00F832CF"/>
    <w:rsid w:val="00F832D4"/>
    <w:rsid w:val="00F83300"/>
    <w:rsid w:val="00F83338"/>
    <w:rsid w:val="00F8337C"/>
    <w:rsid w:val="00F83444"/>
    <w:rsid w:val="00F8347C"/>
    <w:rsid w:val="00F834AE"/>
    <w:rsid w:val="00F8351B"/>
    <w:rsid w:val="00F835DE"/>
    <w:rsid w:val="00F8363E"/>
    <w:rsid w:val="00F83687"/>
    <w:rsid w:val="00F836E6"/>
    <w:rsid w:val="00F836F6"/>
    <w:rsid w:val="00F8378E"/>
    <w:rsid w:val="00F8379A"/>
    <w:rsid w:val="00F837C1"/>
    <w:rsid w:val="00F8384F"/>
    <w:rsid w:val="00F838EC"/>
    <w:rsid w:val="00F839BB"/>
    <w:rsid w:val="00F839C7"/>
    <w:rsid w:val="00F83A4B"/>
    <w:rsid w:val="00F83ADB"/>
    <w:rsid w:val="00F83B2C"/>
    <w:rsid w:val="00F83B8A"/>
    <w:rsid w:val="00F83BAC"/>
    <w:rsid w:val="00F83BCE"/>
    <w:rsid w:val="00F83C39"/>
    <w:rsid w:val="00F83D4B"/>
    <w:rsid w:val="00F83DB9"/>
    <w:rsid w:val="00F83DE8"/>
    <w:rsid w:val="00F83E37"/>
    <w:rsid w:val="00F83E6B"/>
    <w:rsid w:val="00F83EA2"/>
    <w:rsid w:val="00F83F3A"/>
    <w:rsid w:val="00F83F3F"/>
    <w:rsid w:val="00F83FCD"/>
    <w:rsid w:val="00F83FE7"/>
    <w:rsid w:val="00F83FF3"/>
    <w:rsid w:val="00F84014"/>
    <w:rsid w:val="00F84034"/>
    <w:rsid w:val="00F84061"/>
    <w:rsid w:val="00F84064"/>
    <w:rsid w:val="00F8419A"/>
    <w:rsid w:val="00F841C8"/>
    <w:rsid w:val="00F8437E"/>
    <w:rsid w:val="00F8439F"/>
    <w:rsid w:val="00F843AA"/>
    <w:rsid w:val="00F843F0"/>
    <w:rsid w:val="00F84405"/>
    <w:rsid w:val="00F84430"/>
    <w:rsid w:val="00F84450"/>
    <w:rsid w:val="00F844DB"/>
    <w:rsid w:val="00F844F6"/>
    <w:rsid w:val="00F844F8"/>
    <w:rsid w:val="00F84520"/>
    <w:rsid w:val="00F84570"/>
    <w:rsid w:val="00F84573"/>
    <w:rsid w:val="00F8459B"/>
    <w:rsid w:val="00F84604"/>
    <w:rsid w:val="00F84677"/>
    <w:rsid w:val="00F8476A"/>
    <w:rsid w:val="00F847D8"/>
    <w:rsid w:val="00F84821"/>
    <w:rsid w:val="00F8486B"/>
    <w:rsid w:val="00F8487F"/>
    <w:rsid w:val="00F848BD"/>
    <w:rsid w:val="00F848DE"/>
    <w:rsid w:val="00F84953"/>
    <w:rsid w:val="00F84966"/>
    <w:rsid w:val="00F849BA"/>
    <w:rsid w:val="00F849C1"/>
    <w:rsid w:val="00F84AB4"/>
    <w:rsid w:val="00F84AE2"/>
    <w:rsid w:val="00F84B1F"/>
    <w:rsid w:val="00F84B4E"/>
    <w:rsid w:val="00F84B9D"/>
    <w:rsid w:val="00F84C80"/>
    <w:rsid w:val="00F84C9E"/>
    <w:rsid w:val="00F84CC7"/>
    <w:rsid w:val="00F84CE3"/>
    <w:rsid w:val="00F84D70"/>
    <w:rsid w:val="00F84DEE"/>
    <w:rsid w:val="00F84DF6"/>
    <w:rsid w:val="00F84DFF"/>
    <w:rsid w:val="00F84F25"/>
    <w:rsid w:val="00F84F6F"/>
    <w:rsid w:val="00F8504B"/>
    <w:rsid w:val="00F850E1"/>
    <w:rsid w:val="00F85102"/>
    <w:rsid w:val="00F85127"/>
    <w:rsid w:val="00F8532E"/>
    <w:rsid w:val="00F853E3"/>
    <w:rsid w:val="00F8542B"/>
    <w:rsid w:val="00F854FA"/>
    <w:rsid w:val="00F85556"/>
    <w:rsid w:val="00F855C8"/>
    <w:rsid w:val="00F85631"/>
    <w:rsid w:val="00F85659"/>
    <w:rsid w:val="00F85669"/>
    <w:rsid w:val="00F85684"/>
    <w:rsid w:val="00F8569D"/>
    <w:rsid w:val="00F856CE"/>
    <w:rsid w:val="00F8570D"/>
    <w:rsid w:val="00F85726"/>
    <w:rsid w:val="00F85732"/>
    <w:rsid w:val="00F85747"/>
    <w:rsid w:val="00F857B0"/>
    <w:rsid w:val="00F857D3"/>
    <w:rsid w:val="00F8587E"/>
    <w:rsid w:val="00F858F4"/>
    <w:rsid w:val="00F85979"/>
    <w:rsid w:val="00F85986"/>
    <w:rsid w:val="00F859B3"/>
    <w:rsid w:val="00F859D5"/>
    <w:rsid w:val="00F85A4E"/>
    <w:rsid w:val="00F85A94"/>
    <w:rsid w:val="00F85AFE"/>
    <w:rsid w:val="00F85B62"/>
    <w:rsid w:val="00F85BD5"/>
    <w:rsid w:val="00F85C9B"/>
    <w:rsid w:val="00F85CF7"/>
    <w:rsid w:val="00F85DCB"/>
    <w:rsid w:val="00F85F85"/>
    <w:rsid w:val="00F85FBA"/>
    <w:rsid w:val="00F86029"/>
    <w:rsid w:val="00F86041"/>
    <w:rsid w:val="00F8604F"/>
    <w:rsid w:val="00F86063"/>
    <w:rsid w:val="00F8608E"/>
    <w:rsid w:val="00F860BA"/>
    <w:rsid w:val="00F861AE"/>
    <w:rsid w:val="00F861D7"/>
    <w:rsid w:val="00F862A0"/>
    <w:rsid w:val="00F862F0"/>
    <w:rsid w:val="00F863FE"/>
    <w:rsid w:val="00F86502"/>
    <w:rsid w:val="00F86506"/>
    <w:rsid w:val="00F8651C"/>
    <w:rsid w:val="00F8654D"/>
    <w:rsid w:val="00F86642"/>
    <w:rsid w:val="00F86685"/>
    <w:rsid w:val="00F866F0"/>
    <w:rsid w:val="00F8671F"/>
    <w:rsid w:val="00F8681E"/>
    <w:rsid w:val="00F86823"/>
    <w:rsid w:val="00F86847"/>
    <w:rsid w:val="00F868FC"/>
    <w:rsid w:val="00F86945"/>
    <w:rsid w:val="00F869EE"/>
    <w:rsid w:val="00F86A02"/>
    <w:rsid w:val="00F86A0E"/>
    <w:rsid w:val="00F86A78"/>
    <w:rsid w:val="00F86AA8"/>
    <w:rsid w:val="00F86AF5"/>
    <w:rsid w:val="00F86AF6"/>
    <w:rsid w:val="00F86AFC"/>
    <w:rsid w:val="00F86B40"/>
    <w:rsid w:val="00F86B52"/>
    <w:rsid w:val="00F86BA3"/>
    <w:rsid w:val="00F86BAC"/>
    <w:rsid w:val="00F86C6C"/>
    <w:rsid w:val="00F86CA1"/>
    <w:rsid w:val="00F86CBB"/>
    <w:rsid w:val="00F86CD0"/>
    <w:rsid w:val="00F86D35"/>
    <w:rsid w:val="00F86DB6"/>
    <w:rsid w:val="00F86DE2"/>
    <w:rsid w:val="00F86DFE"/>
    <w:rsid w:val="00F86FB2"/>
    <w:rsid w:val="00F87073"/>
    <w:rsid w:val="00F87081"/>
    <w:rsid w:val="00F87153"/>
    <w:rsid w:val="00F87171"/>
    <w:rsid w:val="00F8719E"/>
    <w:rsid w:val="00F871B0"/>
    <w:rsid w:val="00F871C4"/>
    <w:rsid w:val="00F87312"/>
    <w:rsid w:val="00F87392"/>
    <w:rsid w:val="00F873DB"/>
    <w:rsid w:val="00F873E8"/>
    <w:rsid w:val="00F8743C"/>
    <w:rsid w:val="00F87490"/>
    <w:rsid w:val="00F874A6"/>
    <w:rsid w:val="00F874D5"/>
    <w:rsid w:val="00F87522"/>
    <w:rsid w:val="00F8755F"/>
    <w:rsid w:val="00F875E0"/>
    <w:rsid w:val="00F875EE"/>
    <w:rsid w:val="00F876AA"/>
    <w:rsid w:val="00F87702"/>
    <w:rsid w:val="00F87739"/>
    <w:rsid w:val="00F87776"/>
    <w:rsid w:val="00F877AD"/>
    <w:rsid w:val="00F877D5"/>
    <w:rsid w:val="00F87813"/>
    <w:rsid w:val="00F87835"/>
    <w:rsid w:val="00F87867"/>
    <w:rsid w:val="00F8788C"/>
    <w:rsid w:val="00F8791E"/>
    <w:rsid w:val="00F87930"/>
    <w:rsid w:val="00F879ED"/>
    <w:rsid w:val="00F87A3E"/>
    <w:rsid w:val="00F87A46"/>
    <w:rsid w:val="00F87A7E"/>
    <w:rsid w:val="00F87AF6"/>
    <w:rsid w:val="00F87AFB"/>
    <w:rsid w:val="00F87B3C"/>
    <w:rsid w:val="00F87C1E"/>
    <w:rsid w:val="00F87D5C"/>
    <w:rsid w:val="00F87DB4"/>
    <w:rsid w:val="00F87DEC"/>
    <w:rsid w:val="00F87E33"/>
    <w:rsid w:val="00F87E96"/>
    <w:rsid w:val="00F87F14"/>
    <w:rsid w:val="00F87FC6"/>
    <w:rsid w:val="00F87FCC"/>
    <w:rsid w:val="00F8CFE6"/>
    <w:rsid w:val="00F90036"/>
    <w:rsid w:val="00F90051"/>
    <w:rsid w:val="00F90077"/>
    <w:rsid w:val="00F90123"/>
    <w:rsid w:val="00F9013F"/>
    <w:rsid w:val="00F901AE"/>
    <w:rsid w:val="00F901EA"/>
    <w:rsid w:val="00F9022E"/>
    <w:rsid w:val="00F90273"/>
    <w:rsid w:val="00F9035E"/>
    <w:rsid w:val="00F903D3"/>
    <w:rsid w:val="00F90474"/>
    <w:rsid w:val="00F904C8"/>
    <w:rsid w:val="00F904CF"/>
    <w:rsid w:val="00F904F7"/>
    <w:rsid w:val="00F90569"/>
    <w:rsid w:val="00F9059D"/>
    <w:rsid w:val="00F905AE"/>
    <w:rsid w:val="00F905DB"/>
    <w:rsid w:val="00F907AE"/>
    <w:rsid w:val="00F9089C"/>
    <w:rsid w:val="00F908D9"/>
    <w:rsid w:val="00F908DB"/>
    <w:rsid w:val="00F90937"/>
    <w:rsid w:val="00F90951"/>
    <w:rsid w:val="00F90A8B"/>
    <w:rsid w:val="00F90B1B"/>
    <w:rsid w:val="00F90B55"/>
    <w:rsid w:val="00F90BE6"/>
    <w:rsid w:val="00F90C68"/>
    <w:rsid w:val="00F90D76"/>
    <w:rsid w:val="00F90DC2"/>
    <w:rsid w:val="00F90F7B"/>
    <w:rsid w:val="00F90FAD"/>
    <w:rsid w:val="00F90FD1"/>
    <w:rsid w:val="00F9100D"/>
    <w:rsid w:val="00F910BD"/>
    <w:rsid w:val="00F911A7"/>
    <w:rsid w:val="00F911BB"/>
    <w:rsid w:val="00F9121E"/>
    <w:rsid w:val="00F91235"/>
    <w:rsid w:val="00F912CD"/>
    <w:rsid w:val="00F91322"/>
    <w:rsid w:val="00F913B6"/>
    <w:rsid w:val="00F9141F"/>
    <w:rsid w:val="00F9144D"/>
    <w:rsid w:val="00F91471"/>
    <w:rsid w:val="00F91520"/>
    <w:rsid w:val="00F91617"/>
    <w:rsid w:val="00F91655"/>
    <w:rsid w:val="00F91657"/>
    <w:rsid w:val="00F91686"/>
    <w:rsid w:val="00F916F2"/>
    <w:rsid w:val="00F91739"/>
    <w:rsid w:val="00F9173E"/>
    <w:rsid w:val="00F918D5"/>
    <w:rsid w:val="00F91A18"/>
    <w:rsid w:val="00F91B4C"/>
    <w:rsid w:val="00F91B65"/>
    <w:rsid w:val="00F91B71"/>
    <w:rsid w:val="00F91BA7"/>
    <w:rsid w:val="00F91C18"/>
    <w:rsid w:val="00F91C28"/>
    <w:rsid w:val="00F91C79"/>
    <w:rsid w:val="00F91CB9"/>
    <w:rsid w:val="00F91CCA"/>
    <w:rsid w:val="00F91D1A"/>
    <w:rsid w:val="00F91DA4"/>
    <w:rsid w:val="00F91DB6"/>
    <w:rsid w:val="00F91DB9"/>
    <w:rsid w:val="00F91E3D"/>
    <w:rsid w:val="00F91ECE"/>
    <w:rsid w:val="00F9209D"/>
    <w:rsid w:val="00F920CA"/>
    <w:rsid w:val="00F92159"/>
    <w:rsid w:val="00F9215D"/>
    <w:rsid w:val="00F921A4"/>
    <w:rsid w:val="00F921BF"/>
    <w:rsid w:val="00F921DA"/>
    <w:rsid w:val="00F9220A"/>
    <w:rsid w:val="00F92262"/>
    <w:rsid w:val="00F9233D"/>
    <w:rsid w:val="00F923E7"/>
    <w:rsid w:val="00F9242D"/>
    <w:rsid w:val="00F9249B"/>
    <w:rsid w:val="00F925B2"/>
    <w:rsid w:val="00F925C5"/>
    <w:rsid w:val="00F926BB"/>
    <w:rsid w:val="00F92708"/>
    <w:rsid w:val="00F92756"/>
    <w:rsid w:val="00F9276F"/>
    <w:rsid w:val="00F927B2"/>
    <w:rsid w:val="00F927BA"/>
    <w:rsid w:val="00F92824"/>
    <w:rsid w:val="00F92849"/>
    <w:rsid w:val="00F928D3"/>
    <w:rsid w:val="00F92965"/>
    <w:rsid w:val="00F929A1"/>
    <w:rsid w:val="00F929AA"/>
    <w:rsid w:val="00F929C5"/>
    <w:rsid w:val="00F92A46"/>
    <w:rsid w:val="00F92AC3"/>
    <w:rsid w:val="00F92B79"/>
    <w:rsid w:val="00F92BD5"/>
    <w:rsid w:val="00F92C4C"/>
    <w:rsid w:val="00F92C84"/>
    <w:rsid w:val="00F92CC9"/>
    <w:rsid w:val="00F92CE5"/>
    <w:rsid w:val="00F92D35"/>
    <w:rsid w:val="00F92D8C"/>
    <w:rsid w:val="00F92E07"/>
    <w:rsid w:val="00F92E5D"/>
    <w:rsid w:val="00F92E75"/>
    <w:rsid w:val="00F92E99"/>
    <w:rsid w:val="00F92EAE"/>
    <w:rsid w:val="00F92F02"/>
    <w:rsid w:val="00F92F04"/>
    <w:rsid w:val="00F92F18"/>
    <w:rsid w:val="00F92F9D"/>
    <w:rsid w:val="00F92FBE"/>
    <w:rsid w:val="00F93013"/>
    <w:rsid w:val="00F93018"/>
    <w:rsid w:val="00F93072"/>
    <w:rsid w:val="00F930CE"/>
    <w:rsid w:val="00F930F8"/>
    <w:rsid w:val="00F93222"/>
    <w:rsid w:val="00F93254"/>
    <w:rsid w:val="00F932FE"/>
    <w:rsid w:val="00F93322"/>
    <w:rsid w:val="00F9332A"/>
    <w:rsid w:val="00F9337D"/>
    <w:rsid w:val="00F9337E"/>
    <w:rsid w:val="00F93399"/>
    <w:rsid w:val="00F933BE"/>
    <w:rsid w:val="00F93459"/>
    <w:rsid w:val="00F9345A"/>
    <w:rsid w:val="00F934DC"/>
    <w:rsid w:val="00F935D5"/>
    <w:rsid w:val="00F93605"/>
    <w:rsid w:val="00F93706"/>
    <w:rsid w:val="00F93762"/>
    <w:rsid w:val="00F937A4"/>
    <w:rsid w:val="00F93808"/>
    <w:rsid w:val="00F93849"/>
    <w:rsid w:val="00F938D3"/>
    <w:rsid w:val="00F938F7"/>
    <w:rsid w:val="00F93955"/>
    <w:rsid w:val="00F9398F"/>
    <w:rsid w:val="00F939C8"/>
    <w:rsid w:val="00F939CD"/>
    <w:rsid w:val="00F939DD"/>
    <w:rsid w:val="00F93A1B"/>
    <w:rsid w:val="00F93AFD"/>
    <w:rsid w:val="00F93B4D"/>
    <w:rsid w:val="00F93BB2"/>
    <w:rsid w:val="00F93BD5"/>
    <w:rsid w:val="00F93C06"/>
    <w:rsid w:val="00F93C72"/>
    <w:rsid w:val="00F93CC3"/>
    <w:rsid w:val="00F93D13"/>
    <w:rsid w:val="00F93D2D"/>
    <w:rsid w:val="00F93DD0"/>
    <w:rsid w:val="00F93DEC"/>
    <w:rsid w:val="00F93FD3"/>
    <w:rsid w:val="00F940E4"/>
    <w:rsid w:val="00F9410B"/>
    <w:rsid w:val="00F94193"/>
    <w:rsid w:val="00F941C1"/>
    <w:rsid w:val="00F9422C"/>
    <w:rsid w:val="00F942F0"/>
    <w:rsid w:val="00F94310"/>
    <w:rsid w:val="00F9432C"/>
    <w:rsid w:val="00F943E4"/>
    <w:rsid w:val="00F94440"/>
    <w:rsid w:val="00F94474"/>
    <w:rsid w:val="00F94492"/>
    <w:rsid w:val="00F945BB"/>
    <w:rsid w:val="00F94612"/>
    <w:rsid w:val="00F94615"/>
    <w:rsid w:val="00F9465F"/>
    <w:rsid w:val="00F946CE"/>
    <w:rsid w:val="00F94727"/>
    <w:rsid w:val="00F94878"/>
    <w:rsid w:val="00F9489B"/>
    <w:rsid w:val="00F948CB"/>
    <w:rsid w:val="00F948E3"/>
    <w:rsid w:val="00F94A19"/>
    <w:rsid w:val="00F94A38"/>
    <w:rsid w:val="00F94A89"/>
    <w:rsid w:val="00F94AC9"/>
    <w:rsid w:val="00F94B2C"/>
    <w:rsid w:val="00F94B75"/>
    <w:rsid w:val="00F94BBD"/>
    <w:rsid w:val="00F94BEC"/>
    <w:rsid w:val="00F94BF3"/>
    <w:rsid w:val="00F94C17"/>
    <w:rsid w:val="00F94C6F"/>
    <w:rsid w:val="00F94C8C"/>
    <w:rsid w:val="00F94CF6"/>
    <w:rsid w:val="00F94D20"/>
    <w:rsid w:val="00F94D22"/>
    <w:rsid w:val="00F94D65"/>
    <w:rsid w:val="00F94E40"/>
    <w:rsid w:val="00F94E8A"/>
    <w:rsid w:val="00F94EF4"/>
    <w:rsid w:val="00F94F71"/>
    <w:rsid w:val="00F94F9F"/>
    <w:rsid w:val="00F9500C"/>
    <w:rsid w:val="00F9502A"/>
    <w:rsid w:val="00F950D7"/>
    <w:rsid w:val="00F95175"/>
    <w:rsid w:val="00F951F9"/>
    <w:rsid w:val="00F9525D"/>
    <w:rsid w:val="00F95272"/>
    <w:rsid w:val="00F952DD"/>
    <w:rsid w:val="00F952E6"/>
    <w:rsid w:val="00F952F8"/>
    <w:rsid w:val="00F95360"/>
    <w:rsid w:val="00F95362"/>
    <w:rsid w:val="00F953E1"/>
    <w:rsid w:val="00F95410"/>
    <w:rsid w:val="00F95419"/>
    <w:rsid w:val="00F954C7"/>
    <w:rsid w:val="00F95552"/>
    <w:rsid w:val="00F955B4"/>
    <w:rsid w:val="00F956CE"/>
    <w:rsid w:val="00F956DF"/>
    <w:rsid w:val="00F9576C"/>
    <w:rsid w:val="00F95855"/>
    <w:rsid w:val="00F95884"/>
    <w:rsid w:val="00F9588C"/>
    <w:rsid w:val="00F958E7"/>
    <w:rsid w:val="00F9593D"/>
    <w:rsid w:val="00F9595D"/>
    <w:rsid w:val="00F9599A"/>
    <w:rsid w:val="00F95A19"/>
    <w:rsid w:val="00F95AA9"/>
    <w:rsid w:val="00F95AC0"/>
    <w:rsid w:val="00F95B23"/>
    <w:rsid w:val="00F95B61"/>
    <w:rsid w:val="00F95B66"/>
    <w:rsid w:val="00F95B89"/>
    <w:rsid w:val="00F95B96"/>
    <w:rsid w:val="00F95C25"/>
    <w:rsid w:val="00F95CEC"/>
    <w:rsid w:val="00F95D0B"/>
    <w:rsid w:val="00F95E27"/>
    <w:rsid w:val="00F95E28"/>
    <w:rsid w:val="00F95E61"/>
    <w:rsid w:val="00F95EA8"/>
    <w:rsid w:val="00F95F16"/>
    <w:rsid w:val="00F95F90"/>
    <w:rsid w:val="00F95F99"/>
    <w:rsid w:val="00F96031"/>
    <w:rsid w:val="00F96043"/>
    <w:rsid w:val="00F96073"/>
    <w:rsid w:val="00F9610B"/>
    <w:rsid w:val="00F96119"/>
    <w:rsid w:val="00F96125"/>
    <w:rsid w:val="00F961C9"/>
    <w:rsid w:val="00F96238"/>
    <w:rsid w:val="00F9624D"/>
    <w:rsid w:val="00F962A3"/>
    <w:rsid w:val="00F962E5"/>
    <w:rsid w:val="00F96386"/>
    <w:rsid w:val="00F963B6"/>
    <w:rsid w:val="00F9642C"/>
    <w:rsid w:val="00F9642D"/>
    <w:rsid w:val="00F96454"/>
    <w:rsid w:val="00F96598"/>
    <w:rsid w:val="00F96619"/>
    <w:rsid w:val="00F96624"/>
    <w:rsid w:val="00F96628"/>
    <w:rsid w:val="00F9663F"/>
    <w:rsid w:val="00F96659"/>
    <w:rsid w:val="00F9668F"/>
    <w:rsid w:val="00F966D3"/>
    <w:rsid w:val="00F9675D"/>
    <w:rsid w:val="00F968E2"/>
    <w:rsid w:val="00F9695D"/>
    <w:rsid w:val="00F96966"/>
    <w:rsid w:val="00F9696A"/>
    <w:rsid w:val="00F96991"/>
    <w:rsid w:val="00F96A07"/>
    <w:rsid w:val="00F96A95"/>
    <w:rsid w:val="00F96B12"/>
    <w:rsid w:val="00F96BBE"/>
    <w:rsid w:val="00F96C38"/>
    <w:rsid w:val="00F96CF2"/>
    <w:rsid w:val="00F96D70"/>
    <w:rsid w:val="00F96D74"/>
    <w:rsid w:val="00F96D81"/>
    <w:rsid w:val="00F96D8A"/>
    <w:rsid w:val="00F96E4A"/>
    <w:rsid w:val="00F96F3F"/>
    <w:rsid w:val="00F96F5A"/>
    <w:rsid w:val="00F9702A"/>
    <w:rsid w:val="00F971F4"/>
    <w:rsid w:val="00F9725F"/>
    <w:rsid w:val="00F972CD"/>
    <w:rsid w:val="00F97337"/>
    <w:rsid w:val="00F97382"/>
    <w:rsid w:val="00F9744D"/>
    <w:rsid w:val="00F974F4"/>
    <w:rsid w:val="00F97518"/>
    <w:rsid w:val="00F975F2"/>
    <w:rsid w:val="00F97638"/>
    <w:rsid w:val="00F97659"/>
    <w:rsid w:val="00F976B8"/>
    <w:rsid w:val="00F976F9"/>
    <w:rsid w:val="00F97740"/>
    <w:rsid w:val="00F97846"/>
    <w:rsid w:val="00F978ED"/>
    <w:rsid w:val="00F97955"/>
    <w:rsid w:val="00F97997"/>
    <w:rsid w:val="00F979AD"/>
    <w:rsid w:val="00F97A69"/>
    <w:rsid w:val="00F97A8F"/>
    <w:rsid w:val="00F97AED"/>
    <w:rsid w:val="00F97B06"/>
    <w:rsid w:val="00F97C78"/>
    <w:rsid w:val="00F97C9B"/>
    <w:rsid w:val="00F97D22"/>
    <w:rsid w:val="00F97E03"/>
    <w:rsid w:val="00F97E47"/>
    <w:rsid w:val="00F97ED4"/>
    <w:rsid w:val="00F97F1C"/>
    <w:rsid w:val="00F97F31"/>
    <w:rsid w:val="00F97F73"/>
    <w:rsid w:val="00FA0012"/>
    <w:rsid w:val="00FA0027"/>
    <w:rsid w:val="00FA0028"/>
    <w:rsid w:val="00FA006B"/>
    <w:rsid w:val="00FA00E5"/>
    <w:rsid w:val="00FA00E8"/>
    <w:rsid w:val="00FA00FF"/>
    <w:rsid w:val="00FA010D"/>
    <w:rsid w:val="00FA0116"/>
    <w:rsid w:val="00FA027B"/>
    <w:rsid w:val="00FA028F"/>
    <w:rsid w:val="00FA030C"/>
    <w:rsid w:val="00FA0313"/>
    <w:rsid w:val="00FA0317"/>
    <w:rsid w:val="00FA0387"/>
    <w:rsid w:val="00FA0405"/>
    <w:rsid w:val="00FA0449"/>
    <w:rsid w:val="00FA044C"/>
    <w:rsid w:val="00FA0491"/>
    <w:rsid w:val="00FA0495"/>
    <w:rsid w:val="00FA04C0"/>
    <w:rsid w:val="00FA04D2"/>
    <w:rsid w:val="00FA059A"/>
    <w:rsid w:val="00FA061C"/>
    <w:rsid w:val="00FA062E"/>
    <w:rsid w:val="00FA062F"/>
    <w:rsid w:val="00FA065E"/>
    <w:rsid w:val="00FA0685"/>
    <w:rsid w:val="00FA069D"/>
    <w:rsid w:val="00FA06B8"/>
    <w:rsid w:val="00FA06BB"/>
    <w:rsid w:val="00FA06E2"/>
    <w:rsid w:val="00FA0715"/>
    <w:rsid w:val="00FA0780"/>
    <w:rsid w:val="00FA07D8"/>
    <w:rsid w:val="00FA07F4"/>
    <w:rsid w:val="00FA0802"/>
    <w:rsid w:val="00FA0854"/>
    <w:rsid w:val="00FA0884"/>
    <w:rsid w:val="00FA090F"/>
    <w:rsid w:val="00FA092B"/>
    <w:rsid w:val="00FA09AD"/>
    <w:rsid w:val="00FA09AE"/>
    <w:rsid w:val="00FA09B4"/>
    <w:rsid w:val="00FA0A81"/>
    <w:rsid w:val="00FA0B00"/>
    <w:rsid w:val="00FA0B5A"/>
    <w:rsid w:val="00FA0B8B"/>
    <w:rsid w:val="00FA0C4A"/>
    <w:rsid w:val="00FA0C6E"/>
    <w:rsid w:val="00FA0E44"/>
    <w:rsid w:val="00FA0EE8"/>
    <w:rsid w:val="00FA0F13"/>
    <w:rsid w:val="00FA0F6F"/>
    <w:rsid w:val="00FA0FA3"/>
    <w:rsid w:val="00FA1090"/>
    <w:rsid w:val="00FA10D1"/>
    <w:rsid w:val="00FA10E0"/>
    <w:rsid w:val="00FA116A"/>
    <w:rsid w:val="00FA1181"/>
    <w:rsid w:val="00FA118E"/>
    <w:rsid w:val="00FA1196"/>
    <w:rsid w:val="00FA11D5"/>
    <w:rsid w:val="00FA11D8"/>
    <w:rsid w:val="00FA11E8"/>
    <w:rsid w:val="00FA134D"/>
    <w:rsid w:val="00FA1356"/>
    <w:rsid w:val="00FA142E"/>
    <w:rsid w:val="00FA1490"/>
    <w:rsid w:val="00FA14E3"/>
    <w:rsid w:val="00FA14F6"/>
    <w:rsid w:val="00FA1505"/>
    <w:rsid w:val="00FA1532"/>
    <w:rsid w:val="00FA153D"/>
    <w:rsid w:val="00FA155D"/>
    <w:rsid w:val="00FA1616"/>
    <w:rsid w:val="00FA16B5"/>
    <w:rsid w:val="00FA16E7"/>
    <w:rsid w:val="00FA177C"/>
    <w:rsid w:val="00FA1884"/>
    <w:rsid w:val="00FA188C"/>
    <w:rsid w:val="00FA1963"/>
    <w:rsid w:val="00FA1999"/>
    <w:rsid w:val="00FA19D1"/>
    <w:rsid w:val="00FA1A1B"/>
    <w:rsid w:val="00FA1B89"/>
    <w:rsid w:val="00FA1BA2"/>
    <w:rsid w:val="00FA1BA7"/>
    <w:rsid w:val="00FA1BD0"/>
    <w:rsid w:val="00FA1C18"/>
    <w:rsid w:val="00FA1C7F"/>
    <w:rsid w:val="00FA1D06"/>
    <w:rsid w:val="00FA1D70"/>
    <w:rsid w:val="00FA1DAF"/>
    <w:rsid w:val="00FA1EDD"/>
    <w:rsid w:val="00FA1F2C"/>
    <w:rsid w:val="00FA1F3F"/>
    <w:rsid w:val="00FA1F64"/>
    <w:rsid w:val="00FA1F6B"/>
    <w:rsid w:val="00FA1FD4"/>
    <w:rsid w:val="00FA204E"/>
    <w:rsid w:val="00FA207D"/>
    <w:rsid w:val="00FA20B3"/>
    <w:rsid w:val="00FA20B4"/>
    <w:rsid w:val="00FA20D1"/>
    <w:rsid w:val="00FA21C6"/>
    <w:rsid w:val="00FA2204"/>
    <w:rsid w:val="00FA2212"/>
    <w:rsid w:val="00FA221B"/>
    <w:rsid w:val="00FA231C"/>
    <w:rsid w:val="00FA2430"/>
    <w:rsid w:val="00FA2442"/>
    <w:rsid w:val="00FA257C"/>
    <w:rsid w:val="00FA25B7"/>
    <w:rsid w:val="00FA260E"/>
    <w:rsid w:val="00FA261F"/>
    <w:rsid w:val="00FA2642"/>
    <w:rsid w:val="00FA2647"/>
    <w:rsid w:val="00FA2680"/>
    <w:rsid w:val="00FA2693"/>
    <w:rsid w:val="00FA26EF"/>
    <w:rsid w:val="00FA272F"/>
    <w:rsid w:val="00FA27BD"/>
    <w:rsid w:val="00FA27C5"/>
    <w:rsid w:val="00FA284E"/>
    <w:rsid w:val="00FA2859"/>
    <w:rsid w:val="00FA28C4"/>
    <w:rsid w:val="00FA28EC"/>
    <w:rsid w:val="00FA28F2"/>
    <w:rsid w:val="00FA28FD"/>
    <w:rsid w:val="00FA291A"/>
    <w:rsid w:val="00FA2923"/>
    <w:rsid w:val="00FA295C"/>
    <w:rsid w:val="00FA29A1"/>
    <w:rsid w:val="00FA29AD"/>
    <w:rsid w:val="00FA2A90"/>
    <w:rsid w:val="00FA2AA1"/>
    <w:rsid w:val="00FA2AB5"/>
    <w:rsid w:val="00FA2ADE"/>
    <w:rsid w:val="00FA2AF5"/>
    <w:rsid w:val="00FA2AFA"/>
    <w:rsid w:val="00FA2CDC"/>
    <w:rsid w:val="00FA2CE9"/>
    <w:rsid w:val="00FA2D27"/>
    <w:rsid w:val="00FA2D59"/>
    <w:rsid w:val="00FA2DC7"/>
    <w:rsid w:val="00FA2EFD"/>
    <w:rsid w:val="00FA2F34"/>
    <w:rsid w:val="00FA2F50"/>
    <w:rsid w:val="00FA301D"/>
    <w:rsid w:val="00FA311C"/>
    <w:rsid w:val="00FA312A"/>
    <w:rsid w:val="00FA3193"/>
    <w:rsid w:val="00FA31BA"/>
    <w:rsid w:val="00FA32F3"/>
    <w:rsid w:val="00FA3316"/>
    <w:rsid w:val="00FA3328"/>
    <w:rsid w:val="00FA33AB"/>
    <w:rsid w:val="00FA33FC"/>
    <w:rsid w:val="00FA3404"/>
    <w:rsid w:val="00FA341D"/>
    <w:rsid w:val="00FA343B"/>
    <w:rsid w:val="00FA345C"/>
    <w:rsid w:val="00FA34A0"/>
    <w:rsid w:val="00FA34C2"/>
    <w:rsid w:val="00FA3555"/>
    <w:rsid w:val="00FA3577"/>
    <w:rsid w:val="00FA35CC"/>
    <w:rsid w:val="00FA365B"/>
    <w:rsid w:val="00FA36A5"/>
    <w:rsid w:val="00FA37F7"/>
    <w:rsid w:val="00FA3822"/>
    <w:rsid w:val="00FA38BD"/>
    <w:rsid w:val="00FA38C9"/>
    <w:rsid w:val="00FA38D7"/>
    <w:rsid w:val="00FA3966"/>
    <w:rsid w:val="00FA397B"/>
    <w:rsid w:val="00FA39A2"/>
    <w:rsid w:val="00FA39E4"/>
    <w:rsid w:val="00FA3A35"/>
    <w:rsid w:val="00FA3A3D"/>
    <w:rsid w:val="00FA3A5A"/>
    <w:rsid w:val="00FA3A5D"/>
    <w:rsid w:val="00FA3A6B"/>
    <w:rsid w:val="00FA3BCC"/>
    <w:rsid w:val="00FA3C09"/>
    <w:rsid w:val="00FA3C81"/>
    <w:rsid w:val="00FA3CB4"/>
    <w:rsid w:val="00FA3CE7"/>
    <w:rsid w:val="00FA3DFF"/>
    <w:rsid w:val="00FA3E37"/>
    <w:rsid w:val="00FA3E4C"/>
    <w:rsid w:val="00FA3EBC"/>
    <w:rsid w:val="00FA3EE0"/>
    <w:rsid w:val="00FA3EF4"/>
    <w:rsid w:val="00FA3F4F"/>
    <w:rsid w:val="00FA3F9C"/>
    <w:rsid w:val="00FA4006"/>
    <w:rsid w:val="00FA401E"/>
    <w:rsid w:val="00FA4036"/>
    <w:rsid w:val="00FA40CF"/>
    <w:rsid w:val="00FA4168"/>
    <w:rsid w:val="00FA4185"/>
    <w:rsid w:val="00FA41DD"/>
    <w:rsid w:val="00FA422F"/>
    <w:rsid w:val="00FA428C"/>
    <w:rsid w:val="00FA453C"/>
    <w:rsid w:val="00FA4717"/>
    <w:rsid w:val="00FA4751"/>
    <w:rsid w:val="00FA4785"/>
    <w:rsid w:val="00FA479C"/>
    <w:rsid w:val="00FA4888"/>
    <w:rsid w:val="00FA48B1"/>
    <w:rsid w:val="00FA48CC"/>
    <w:rsid w:val="00FA492C"/>
    <w:rsid w:val="00FA49A3"/>
    <w:rsid w:val="00FA4A0F"/>
    <w:rsid w:val="00FA4A16"/>
    <w:rsid w:val="00FA4A87"/>
    <w:rsid w:val="00FA4ADB"/>
    <w:rsid w:val="00FA4B1F"/>
    <w:rsid w:val="00FA4B4B"/>
    <w:rsid w:val="00FA4BF7"/>
    <w:rsid w:val="00FA4C12"/>
    <w:rsid w:val="00FA4C89"/>
    <w:rsid w:val="00FA4D0A"/>
    <w:rsid w:val="00FA4D74"/>
    <w:rsid w:val="00FA4D75"/>
    <w:rsid w:val="00FA4D86"/>
    <w:rsid w:val="00FA4DAA"/>
    <w:rsid w:val="00FA4DC6"/>
    <w:rsid w:val="00FA4E58"/>
    <w:rsid w:val="00FA4EF8"/>
    <w:rsid w:val="00FA4F42"/>
    <w:rsid w:val="00FA4F57"/>
    <w:rsid w:val="00FA4F63"/>
    <w:rsid w:val="00FA4F89"/>
    <w:rsid w:val="00FA4FA6"/>
    <w:rsid w:val="00FA5007"/>
    <w:rsid w:val="00FA5012"/>
    <w:rsid w:val="00FA5052"/>
    <w:rsid w:val="00FA506B"/>
    <w:rsid w:val="00FA5070"/>
    <w:rsid w:val="00FA5117"/>
    <w:rsid w:val="00FA515F"/>
    <w:rsid w:val="00FA51EE"/>
    <w:rsid w:val="00FA5381"/>
    <w:rsid w:val="00FA54AE"/>
    <w:rsid w:val="00FA5505"/>
    <w:rsid w:val="00FA552E"/>
    <w:rsid w:val="00FA554E"/>
    <w:rsid w:val="00FA555A"/>
    <w:rsid w:val="00FA5569"/>
    <w:rsid w:val="00FA5610"/>
    <w:rsid w:val="00FA56E0"/>
    <w:rsid w:val="00FA56E8"/>
    <w:rsid w:val="00FA58BA"/>
    <w:rsid w:val="00FA5949"/>
    <w:rsid w:val="00FA59BC"/>
    <w:rsid w:val="00FA5A94"/>
    <w:rsid w:val="00FA5B0E"/>
    <w:rsid w:val="00FA5B60"/>
    <w:rsid w:val="00FA5BBE"/>
    <w:rsid w:val="00FA5C89"/>
    <w:rsid w:val="00FA5E2A"/>
    <w:rsid w:val="00FA5EA1"/>
    <w:rsid w:val="00FA5EEF"/>
    <w:rsid w:val="00FA5F51"/>
    <w:rsid w:val="00FA5FB6"/>
    <w:rsid w:val="00FA6046"/>
    <w:rsid w:val="00FA605C"/>
    <w:rsid w:val="00FA6067"/>
    <w:rsid w:val="00FA60E0"/>
    <w:rsid w:val="00FA60F4"/>
    <w:rsid w:val="00FA6131"/>
    <w:rsid w:val="00FA617D"/>
    <w:rsid w:val="00FA6192"/>
    <w:rsid w:val="00FA62A7"/>
    <w:rsid w:val="00FA62C5"/>
    <w:rsid w:val="00FA631A"/>
    <w:rsid w:val="00FA6417"/>
    <w:rsid w:val="00FA6443"/>
    <w:rsid w:val="00FA64B3"/>
    <w:rsid w:val="00FA651A"/>
    <w:rsid w:val="00FA6568"/>
    <w:rsid w:val="00FA6574"/>
    <w:rsid w:val="00FA65DA"/>
    <w:rsid w:val="00FA6667"/>
    <w:rsid w:val="00FA6761"/>
    <w:rsid w:val="00FA67A9"/>
    <w:rsid w:val="00FA67AE"/>
    <w:rsid w:val="00FA67E2"/>
    <w:rsid w:val="00FA6839"/>
    <w:rsid w:val="00FA6840"/>
    <w:rsid w:val="00FA68DB"/>
    <w:rsid w:val="00FA68DD"/>
    <w:rsid w:val="00FA68F9"/>
    <w:rsid w:val="00FA690A"/>
    <w:rsid w:val="00FA691B"/>
    <w:rsid w:val="00FA69A8"/>
    <w:rsid w:val="00FA6A71"/>
    <w:rsid w:val="00FA6AFA"/>
    <w:rsid w:val="00FA6B01"/>
    <w:rsid w:val="00FA6BD0"/>
    <w:rsid w:val="00FA6C09"/>
    <w:rsid w:val="00FA6CC7"/>
    <w:rsid w:val="00FA6D1C"/>
    <w:rsid w:val="00FA6E81"/>
    <w:rsid w:val="00FA6E82"/>
    <w:rsid w:val="00FA6EE9"/>
    <w:rsid w:val="00FA6F19"/>
    <w:rsid w:val="00FA6F2B"/>
    <w:rsid w:val="00FA6F2F"/>
    <w:rsid w:val="00FA6FAF"/>
    <w:rsid w:val="00FA7088"/>
    <w:rsid w:val="00FA7142"/>
    <w:rsid w:val="00FA7179"/>
    <w:rsid w:val="00FA71DB"/>
    <w:rsid w:val="00FA721E"/>
    <w:rsid w:val="00FA7266"/>
    <w:rsid w:val="00FA7271"/>
    <w:rsid w:val="00FA7304"/>
    <w:rsid w:val="00FA730D"/>
    <w:rsid w:val="00FA7310"/>
    <w:rsid w:val="00FA7312"/>
    <w:rsid w:val="00FA738F"/>
    <w:rsid w:val="00FA7421"/>
    <w:rsid w:val="00FA743F"/>
    <w:rsid w:val="00FA74B6"/>
    <w:rsid w:val="00FA74BE"/>
    <w:rsid w:val="00FA74DA"/>
    <w:rsid w:val="00FA74DB"/>
    <w:rsid w:val="00FA74EE"/>
    <w:rsid w:val="00FA7539"/>
    <w:rsid w:val="00FA7592"/>
    <w:rsid w:val="00FA75F1"/>
    <w:rsid w:val="00FA773D"/>
    <w:rsid w:val="00FA775F"/>
    <w:rsid w:val="00FA776A"/>
    <w:rsid w:val="00FA780B"/>
    <w:rsid w:val="00FA78DE"/>
    <w:rsid w:val="00FA7976"/>
    <w:rsid w:val="00FA7980"/>
    <w:rsid w:val="00FA7A1D"/>
    <w:rsid w:val="00FA7A63"/>
    <w:rsid w:val="00FA7AF1"/>
    <w:rsid w:val="00FA7B07"/>
    <w:rsid w:val="00FA7B21"/>
    <w:rsid w:val="00FA7B5B"/>
    <w:rsid w:val="00FA7CD3"/>
    <w:rsid w:val="00FA7CE2"/>
    <w:rsid w:val="00FA7DBD"/>
    <w:rsid w:val="00FA7DC7"/>
    <w:rsid w:val="00FA7E12"/>
    <w:rsid w:val="00FA7E8C"/>
    <w:rsid w:val="00FA7F2C"/>
    <w:rsid w:val="00FA7FA8"/>
    <w:rsid w:val="00FB003E"/>
    <w:rsid w:val="00FB005F"/>
    <w:rsid w:val="00FB006C"/>
    <w:rsid w:val="00FB007D"/>
    <w:rsid w:val="00FB00B8"/>
    <w:rsid w:val="00FB00CB"/>
    <w:rsid w:val="00FB016F"/>
    <w:rsid w:val="00FB0179"/>
    <w:rsid w:val="00FB022F"/>
    <w:rsid w:val="00FB02B8"/>
    <w:rsid w:val="00FB0319"/>
    <w:rsid w:val="00FB032C"/>
    <w:rsid w:val="00FB03D8"/>
    <w:rsid w:val="00FB0403"/>
    <w:rsid w:val="00FB043D"/>
    <w:rsid w:val="00FB0484"/>
    <w:rsid w:val="00FB049C"/>
    <w:rsid w:val="00FB04A8"/>
    <w:rsid w:val="00FB0513"/>
    <w:rsid w:val="00FB056C"/>
    <w:rsid w:val="00FB058B"/>
    <w:rsid w:val="00FB067C"/>
    <w:rsid w:val="00FB068D"/>
    <w:rsid w:val="00FB072B"/>
    <w:rsid w:val="00FB0743"/>
    <w:rsid w:val="00FB0772"/>
    <w:rsid w:val="00FB086E"/>
    <w:rsid w:val="00FB0898"/>
    <w:rsid w:val="00FB08B9"/>
    <w:rsid w:val="00FB0937"/>
    <w:rsid w:val="00FB097E"/>
    <w:rsid w:val="00FB0A12"/>
    <w:rsid w:val="00FB0A46"/>
    <w:rsid w:val="00FB0A67"/>
    <w:rsid w:val="00FB0B36"/>
    <w:rsid w:val="00FB0B3D"/>
    <w:rsid w:val="00FB0BE1"/>
    <w:rsid w:val="00FB0C14"/>
    <w:rsid w:val="00FB0C58"/>
    <w:rsid w:val="00FB0CDE"/>
    <w:rsid w:val="00FB0D73"/>
    <w:rsid w:val="00FB0DE5"/>
    <w:rsid w:val="00FB0DF6"/>
    <w:rsid w:val="00FB0E89"/>
    <w:rsid w:val="00FB0E9B"/>
    <w:rsid w:val="00FB0EA1"/>
    <w:rsid w:val="00FB0F92"/>
    <w:rsid w:val="00FB10B4"/>
    <w:rsid w:val="00FB116C"/>
    <w:rsid w:val="00FB1189"/>
    <w:rsid w:val="00FB12F5"/>
    <w:rsid w:val="00FB1308"/>
    <w:rsid w:val="00FB1398"/>
    <w:rsid w:val="00FB13C0"/>
    <w:rsid w:val="00FB1489"/>
    <w:rsid w:val="00FB1550"/>
    <w:rsid w:val="00FB156A"/>
    <w:rsid w:val="00FB15CD"/>
    <w:rsid w:val="00FB15CE"/>
    <w:rsid w:val="00FB16FA"/>
    <w:rsid w:val="00FB170B"/>
    <w:rsid w:val="00FB1726"/>
    <w:rsid w:val="00FB1799"/>
    <w:rsid w:val="00FB17BD"/>
    <w:rsid w:val="00FB17FA"/>
    <w:rsid w:val="00FB17FD"/>
    <w:rsid w:val="00FB1874"/>
    <w:rsid w:val="00FB192F"/>
    <w:rsid w:val="00FB195B"/>
    <w:rsid w:val="00FB1A5B"/>
    <w:rsid w:val="00FB1A81"/>
    <w:rsid w:val="00FB1AB1"/>
    <w:rsid w:val="00FB1ACB"/>
    <w:rsid w:val="00FB1BA9"/>
    <w:rsid w:val="00FB1BAA"/>
    <w:rsid w:val="00FB1BD3"/>
    <w:rsid w:val="00FB1C03"/>
    <w:rsid w:val="00FB1C61"/>
    <w:rsid w:val="00FB1CED"/>
    <w:rsid w:val="00FB1D44"/>
    <w:rsid w:val="00FB1D4E"/>
    <w:rsid w:val="00FB1D91"/>
    <w:rsid w:val="00FB1DDD"/>
    <w:rsid w:val="00FB1E2E"/>
    <w:rsid w:val="00FB1E94"/>
    <w:rsid w:val="00FB1ECE"/>
    <w:rsid w:val="00FB1F1F"/>
    <w:rsid w:val="00FB1FC9"/>
    <w:rsid w:val="00FB1FFF"/>
    <w:rsid w:val="00FB2005"/>
    <w:rsid w:val="00FB2048"/>
    <w:rsid w:val="00FB2082"/>
    <w:rsid w:val="00FB2086"/>
    <w:rsid w:val="00FB20F7"/>
    <w:rsid w:val="00FB2235"/>
    <w:rsid w:val="00FB2389"/>
    <w:rsid w:val="00FB23F8"/>
    <w:rsid w:val="00FB2440"/>
    <w:rsid w:val="00FB24E0"/>
    <w:rsid w:val="00FB2574"/>
    <w:rsid w:val="00FB2608"/>
    <w:rsid w:val="00FB2636"/>
    <w:rsid w:val="00FB2654"/>
    <w:rsid w:val="00FB2693"/>
    <w:rsid w:val="00FB2753"/>
    <w:rsid w:val="00FB27B0"/>
    <w:rsid w:val="00FB2944"/>
    <w:rsid w:val="00FB296D"/>
    <w:rsid w:val="00FB29C6"/>
    <w:rsid w:val="00FB2A0D"/>
    <w:rsid w:val="00FB2A87"/>
    <w:rsid w:val="00FB2B3D"/>
    <w:rsid w:val="00FB2C30"/>
    <w:rsid w:val="00FB2C68"/>
    <w:rsid w:val="00FB2C79"/>
    <w:rsid w:val="00FB2CB8"/>
    <w:rsid w:val="00FB2F3C"/>
    <w:rsid w:val="00FB2FA7"/>
    <w:rsid w:val="00FB3001"/>
    <w:rsid w:val="00FB30CF"/>
    <w:rsid w:val="00FB314B"/>
    <w:rsid w:val="00FB318A"/>
    <w:rsid w:val="00FB31BD"/>
    <w:rsid w:val="00FB31CD"/>
    <w:rsid w:val="00FB3221"/>
    <w:rsid w:val="00FB3250"/>
    <w:rsid w:val="00FB345E"/>
    <w:rsid w:val="00FB351F"/>
    <w:rsid w:val="00FB3535"/>
    <w:rsid w:val="00FB35CD"/>
    <w:rsid w:val="00FB35D6"/>
    <w:rsid w:val="00FB3758"/>
    <w:rsid w:val="00FB37CB"/>
    <w:rsid w:val="00FB37CF"/>
    <w:rsid w:val="00FB3834"/>
    <w:rsid w:val="00FB3842"/>
    <w:rsid w:val="00FB3844"/>
    <w:rsid w:val="00FB384A"/>
    <w:rsid w:val="00FB385C"/>
    <w:rsid w:val="00FB3883"/>
    <w:rsid w:val="00FB38A5"/>
    <w:rsid w:val="00FB3944"/>
    <w:rsid w:val="00FB39D2"/>
    <w:rsid w:val="00FB39E1"/>
    <w:rsid w:val="00FB3A12"/>
    <w:rsid w:val="00FB3A29"/>
    <w:rsid w:val="00FB3AC0"/>
    <w:rsid w:val="00FB3AE4"/>
    <w:rsid w:val="00FB3CAA"/>
    <w:rsid w:val="00FB3CF6"/>
    <w:rsid w:val="00FB3D84"/>
    <w:rsid w:val="00FB3E35"/>
    <w:rsid w:val="00FB3F27"/>
    <w:rsid w:val="00FB3F60"/>
    <w:rsid w:val="00FB401C"/>
    <w:rsid w:val="00FB40D5"/>
    <w:rsid w:val="00FB40E2"/>
    <w:rsid w:val="00FB4148"/>
    <w:rsid w:val="00FB417B"/>
    <w:rsid w:val="00FB41B6"/>
    <w:rsid w:val="00FB41F6"/>
    <w:rsid w:val="00FB4229"/>
    <w:rsid w:val="00FB4266"/>
    <w:rsid w:val="00FB429D"/>
    <w:rsid w:val="00FB436B"/>
    <w:rsid w:val="00FB4391"/>
    <w:rsid w:val="00FB4458"/>
    <w:rsid w:val="00FB4487"/>
    <w:rsid w:val="00FB4564"/>
    <w:rsid w:val="00FB45A2"/>
    <w:rsid w:val="00FB45AB"/>
    <w:rsid w:val="00FB45AC"/>
    <w:rsid w:val="00FB45B2"/>
    <w:rsid w:val="00FB4643"/>
    <w:rsid w:val="00FB465B"/>
    <w:rsid w:val="00FB46D7"/>
    <w:rsid w:val="00FB4739"/>
    <w:rsid w:val="00FB4759"/>
    <w:rsid w:val="00FB47C1"/>
    <w:rsid w:val="00FB4897"/>
    <w:rsid w:val="00FB48B3"/>
    <w:rsid w:val="00FB48CB"/>
    <w:rsid w:val="00FB4954"/>
    <w:rsid w:val="00FB4961"/>
    <w:rsid w:val="00FB49D3"/>
    <w:rsid w:val="00FB4A17"/>
    <w:rsid w:val="00FB4ABF"/>
    <w:rsid w:val="00FB4B7A"/>
    <w:rsid w:val="00FB4BA3"/>
    <w:rsid w:val="00FB4BBC"/>
    <w:rsid w:val="00FB4BE5"/>
    <w:rsid w:val="00FB4BF0"/>
    <w:rsid w:val="00FB4C18"/>
    <w:rsid w:val="00FB4C39"/>
    <w:rsid w:val="00FB4CA7"/>
    <w:rsid w:val="00FB4D00"/>
    <w:rsid w:val="00FB4D03"/>
    <w:rsid w:val="00FB4D45"/>
    <w:rsid w:val="00FB4D5F"/>
    <w:rsid w:val="00FB4E93"/>
    <w:rsid w:val="00FB4EE9"/>
    <w:rsid w:val="00FB4EFE"/>
    <w:rsid w:val="00FB4F65"/>
    <w:rsid w:val="00FB4F93"/>
    <w:rsid w:val="00FB4FB0"/>
    <w:rsid w:val="00FB4FBF"/>
    <w:rsid w:val="00FB4FC8"/>
    <w:rsid w:val="00FB4FEC"/>
    <w:rsid w:val="00FB4FF7"/>
    <w:rsid w:val="00FB50E2"/>
    <w:rsid w:val="00FB50F0"/>
    <w:rsid w:val="00FB5174"/>
    <w:rsid w:val="00FB51FF"/>
    <w:rsid w:val="00FB521C"/>
    <w:rsid w:val="00FB5240"/>
    <w:rsid w:val="00FB52BD"/>
    <w:rsid w:val="00FB52F6"/>
    <w:rsid w:val="00FB5329"/>
    <w:rsid w:val="00FB533B"/>
    <w:rsid w:val="00FB5381"/>
    <w:rsid w:val="00FB538C"/>
    <w:rsid w:val="00FB53E4"/>
    <w:rsid w:val="00FB5403"/>
    <w:rsid w:val="00FB5415"/>
    <w:rsid w:val="00FB542C"/>
    <w:rsid w:val="00FB5432"/>
    <w:rsid w:val="00FB543A"/>
    <w:rsid w:val="00FB54E0"/>
    <w:rsid w:val="00FB5517"/>
    <w:rsid w:val="00FB551F"/>
    <w:rsid w:val="00FB558C"/>
    <w:rsid w:val="00FB55A5"/>
    <w:rsid w:val="00FB55C4"/>
    <w:rsid w:val="00FB560E"/>
    <w:rsid w:val="00FB5651"/>
    <w:rsid w:val="00FB576A"/>
    <w:rsid w:val="00FB5781"/>
    <w:rsid w:val="00FB5836"/>
    <w:rsid w:val="00FB588E"/>
    <w:rsid w:val="00FB5914"/>
    <w:rsid w:val="00FB5922"/>
    <w:rsid w:val="00FB5A70"/>
    <w:rsid w:val="00FB5A71"/>
    <w:rsid w:val="00FB5A9D"/>
    <w:rsid w:val="00FB5A9F"/>
    <w:rsid w:val="00FB5AC6"/>
    <w:rsid w:val="00FB5B02"/>
    <w:rsid w:val="00FB5B4F"/>
    <w:rsid w:val="00FB5C9B"/>
    <w:rsid w:val="00FB5CAB"/>
    <w:rsid w:val="00FB5D66"/>
    <w:rsid w:val="00FB5D91"/>
    <w:rsid w:val="00FB5DB3"/>
    <w:rsid w:val="00FB5DE7"/>
    <w:rsid w:val="00FB5E26"/>
    <w:rsid w:val="00FB5E43"/>
    <w:rsid w:val="00FB5E4E"/>
    <w:rsid w:val="00FB5E60"/>
    <w:rsid w:val="00FB5EA9"/>
    <w:rsid w:val="00FB5EB3"/>
    <w:rsid w:val="00FB5EE7"/>
    <w:rsid w:val="00FB5F0D"/>
    <w:rsid w:val="00FB5F38"/>
    <w:rsid w:val="00FB5F44"/>
    <w:rsid w:val="00FB5FCF"/>
    <w:rsid w:val="00FB602E"/>
    <w:rsid w:val="00FB6111"/>
    <w:rsid w:val="00FB6137"/>
    <w:rsid w:val="00FB6196"/>
    <w:rsid w:val="00FB61E1"/>
    <w:rsid w:val="00FB6225"/>
    <w:rsid w:val="00FB6274"/>
    <w:rsid w:val="00FB6285"/>
    <w:rsid w:val="00FB6386"/>
    <w:rsid w:val="00FB648A"/>
    <w:rsid w:val="00FB6544"/>
    <w:rsid w:val="00FB6649"/>
    <w:rsid w:val="00FB6656"/>
    <w:rsid w:val="00FB6724"/>
    <w:rsid w:val="00FB67A4"/>
    <w:rsid w:val="00FB6812"/>
    <w:rsid w:val="00FB686D"/>
    <w:rsid w:val="00FB689B"/>
    <w:rsid w:val="00FB68D7"/>
    <w:rsid w:val="00FB694C"/>
    <w:rsid w:val="00FB6961"/>
    <w:rsid w:val="00FB699F"/>
    <w:rsid w:val="00FB6A54"/>
    <w:rsid w:val="00FB6A72"/>
    <w:rsid w:val="00FB6A85"/>
    <w:rsid w:val="00FB6AB6"/>
    <w:rsid w:val="00FB6B42"/>
    <w:rsid w:val="00FB6BF9"/>
    <w:rsid w:val="00FB6CE6"/>
    <w:rsid w:val="00FB6D09"/>
    <w:rsid w:val="00FB6D2D"/>
    <w:rsid w:val="00FB6E32"/>
    <w:rsid w:val="00FB6F08"/>
    <w:rsid w:val="00FB6FB7"/>
    <w:rsid w:val="00FB6FF8"/>
    <w:rsid w:val="00FB709D"/>
    <w:rsid w:val="00FB711D"/>
    <w:rsid w:val="00FB7120"/>
    <w:rsid w:val="00FB7173"/>
    <w:rsid w:val="00FB71F2"/>
    <w:rsid w:val="00FB729B"/>
    <w:rsid w:val="00FB7360"/>
    <w:rsid w:val="00FB7417"/>
    <w:rsid w:val="00FB742B"/>
    <w:rsid w:val="00FB7433"/>
    <w:rsid w:val="00FB7495"/>
    <w:rsid w:val="00FB74BF"/>
    <w:rsid w:val="00FB75A9"/>
    <w:rsid w:val="00FB75BF"/>
    <w:rsid w:val="00FB7615"/>
    <w:rsid w:val="00FB765A"/>
    <w:rsid w:val="00FB777A"/>
    <w:rsid w:val="00FB7784"/>
    <w:rsid w:val="00FB77A2"/>
    <w:rsid w:val="00FB77F9"/>
    <w:rsid w:val="00FB781E"/>
    <w:rsid w:val="00FB7893"/>
    <w:rsid w:val="00FB78B9"/>
    <w:rsid w:val="00FB78C0"/>
    <w:rsid w:val="00FB795D"/>
    <w:rsid w:val="00FB797E"/>
    <w:rsid w:val="00FB79B4"/>
    <w:rsid w:val="00FB7ADD"/>
    <w:rsid w:val="00FB7B20"/>
    <w:rsid w:val="00FB7B6F"/>
    <w:rsid w:val="00FB7B83"/>
    <w:rsid w:val="00FB7C7E"/>
    <w:rsid w:val="00FB7CAD"/>
    <w:rsid w:val="00FB7D17"/>
    <w:rsid w:val="00FB7D6B"/>
    <w:rsid w:val="00FB7DCD"/>
    <w:rsid w:val="00FB7E47"/>
    <w:rsid w:val="00FB7EF9"/>
    <w:rsid w:val="00FB7F1F"/>
    <w:rsid w:val="00FB7F94"/>
    <w:rsid w:val="00FB7F96"/>
    <w:rsid w:val="00FC000F"/>
    <w:rsid w:val="00FC00E7"/>
    <w:rsid w:val="00FC01D9"/>
    <w:rsid w:val="00FC01DA"/>
    <w:rsid w:val="00FC0235"/>
    <w:rsid w:val="00FC0247"/>
    <w:rsid w:val="00FC0252"/>
    <w:rsid w:val="00FC02CD"/>
    <w:rsid w:val="00FC02F1"/>
    <w:rsid w:val="00FC039D"/>
    <w:rsid w:val="00FC04A9"/>
    <w:rsid w:val="00FC04F1"/>
    <w:rsid w:val="00FC059E"/>
    <w:rsid w:val="00FC05AD"/>
    <w:rsid w:val="00FC0711"/>
    <w:rsid w:val="00FC0730"/>
    <w:rsid w:val="00FC0788"/>
    <w:rsid w:val="00FC0815"/>
    <w:rsid w:val="00FC08A9"/>
    <w:rsid w:val="00FC08EA"/>
    <w:rsid w:val="00FC097C"/>
    <w:rsid w:val="00FC0996"/>
    <w:rsid w:val="00FC0AE9"/>
    <w:rsid w:val="00FC0BB0"/>
    <w:rsid w:val="00FC0CD8"/>
    <w:rsid w:val="00FC0CEA"/>
    <w:rsid w:val="00FC0D7E"/>
    <w:rsid w:val="00FC0EBF"/>
    <w:rsid w:val="00FC0FB0"/>
    <w:rsid w:val="00FC0FBA"/>
    <w:rsid w:val="00FC100F"/>
    <w:rsid w:val="00FC1087"/>
    <w:rsid w:val="00FC1096"/>
    <w:rsid w:val="00FC10BB"/>
    <w:rsid w:val="00FC10D2"/>
    <w:rsid w:val="00FC10D7"/>
    <w:rsid w:val="00FC10F9"/>
    <w:rsid w:val="00FC1142"/>
    <w:rsid w:val="00FC11B2"/>
    <w:rsid w:val="00FC11D1"/>
    <w:rsid w:val="00FC11D9"/>
    <w:rsid w:val="00FC1223"/>
    <w:rsid w:val="00FC1238"/>
    <w:rsid w:val="00FC125B"/>
    <w:rsid w:val="00FC1260"/>
    <w:rsid w:val="00FC133A"/>
    <w:rsid w:val="00FC1498"/>
    <w:rsid w:val="00FC1559"/>
    <w:rsid w:val="00FC1605"/>
    <w:rsid w:val="00FC163B"/>
    <w:rsid w:val="00FC167D"/>
    <w:rsid w:val="00FC174E"/>
    <w:rsid w:val="00FC1767"/>
    <w:rsid w:val="00FC1769"/>
    <w:rsid w:val="00FC17E5"/>
    <w:rsid w:val="00FC1801"/>
    <w:rsid w:val="00FC183B"/>
    <w:rsid w:val="00FC18DD"/>
    <w:rsid w:val="00FC1908"/>
    <w:rsid w:val="00FC1923"/>
    <w:rsid w:val="00FC19AF"/>
    <w:rsid w:val="00FC19D6"/>
    <w:rsid w:val="00FC19E8"/>
    <w:rsid w:val="00FC1A42"/>
    <w:rsid w:val="00FC1A86"/>
    <w:rsid w:val="00FC1A98"/>
    <w:rsid w:val="00FC1AD0"/>
    <w:rsid w:val="00FC1B4C"/>
    <w:rsid w:val="00FC1B91"/>
    <w:rsid w:val="00FC1BB5"/>
    <w:rsid w:val="00FC1BD0"/>
    <w:rsid w:val="00FC1BD5"/>
    <w:rsid w:val="00FC1BF9"/>
    <w:rsid w:val="00FC1C99"/>
    <w:rsid w:val="00FC1CA4"/>
    <w:rsid w:val="00FC1CF5"/>
    <w:rsid w:val="00FC1D30"/>
    <w:rsid w:val="00FC1D63"/>
    <w:rsid w:val="00FC1DFD"/>
    <w:rsid w:val="00FC1E2F"/>
    <w:rsid w:val="00FC1EBA"/>
    <w:rsid w:val="00FC1F74"/>
    <w:rsid w:val="00FC20BB"/>
    <w:rsid w:val="00FC20EC"/>
    <w:rsid w:val="00FC210E"/>
    <w:rsid w:val="00FC2245"/>
    <w:rsid w:val="00FC22E8"/>
    <w:rsid w:val="00FC22F2"/>
    <w:rsid w:val="00FC2364"/>
    <w:rsid w:val="00FC238D"/>
    <w:rsid w:val="00FC2434"/>
    <w:rsid w:val="00FC24A0"/>
    <w:rsid w:val="00FC24E5"/>
    <w:rsid w:val="00FC2569"/>
    <w:rsid w:val="00FC26F6"/>
    <w:rsid w:val="00FC272E"/>
    <w:rsid w:val="00FC2744"/>
    <w:rsid w:val="00FC2750"/>
    <w:rsid w:val="00FC2767"/>
    <w:rsid w:val="00FC27AC"/>
    <w:rsid w:val="00FC2812"/>
    <w:rsid w:val="00FC2858"/>
    <w:rsid w:val="00FC2884"/>
    <w:rsid w:val="00FC2889"/>
    <w:rsid w:val="00FC2897"/>
    <w:rsid w:val="00FC28D4"/>
    <w:rsid w:val="00FC28D9"/>
    <w:rsid w:val="00FC2925"/>
    <w:rsid w:val="00FC2A29"/>
    <w:rsid w:val="00FC2A8E"/>
    <w:rsid w:val="00FC2AB3"/>
    <w:rsid w:val="00FC2AC7"/>
    <w:rsid w:val="00FC2ADA"/>
    <w:rsid w:val="00FC2BF6"/>
    <w:rsid w:val="00FC2BFE"/>
    <w:rsid w:val="00FC2C19"/>
    <w:rsid w:val="00FC2C67"/>
    <w:rsid w:val="00FC2CEE"/>
    <w:rsid w:val="00FC2D02"/>
    <w:rsid w:val="00FC2D36"/>
    <w:rsid w:val="00FC2D69"/>
    <w:rsid w:val="00FC2D9D"/>
    <w:rsid w:val="00FC2DEE"/>
    <w:rsid w:val="00FC2E71"/>
    <w:rsid w:val="00FC2E96"/>
    <w:rsid w:val="00FC2EA0"/>
    <w:rsid w:val="00FC2F12"/>
    <w:rsid w:val="00FC2FD3"/>
    <w:rsid w:val="00FC2FDB"/>
    <w:rsid w:val="00FC2FF9"/>
    <w:rsid w:val="00FC303E"/>
    <w:rsid w:val="00FC3092"/>
    <w:rsid w:val="00FC30F7"/>
    <w:rsid w:val="00FC313C"/>
    <w:rsid w:val="00FC31B2"/>
    <w:rsid w:val="00FC31C0"/>
    <w:rsid w:val="00FC3216"/>
    <w:rsid w:val="00FC32D6"/>
    <w:rsid w:val="00FC330B"/>
    <w:rsid w:val="00FC3356"/>
    <w:rsid w:val="00FC3358"/>
    <w:rsid w:val="00FC33E4"/>
    <w:rsid w:val="00FC3421"/>
    <w:rsid w:val="00FC34B1"/>
    <w:rsid w:val="00FC34DF"/>
    <w:rsid w:val="00FC34FD"/>
    <w:rsid w:val="00FC3509"/>
    <w:rsid w:val="00FC3518"/>
    <w:rsid w:val="00FC3551"/>
    <w:rsid w:val="00FC35E4"/>
    <w:rsid w:val="00FC362E"/>
    <w:rsid w:val="00FC363B"/>
    <w:rsid w:val="00FC36E0"/>
    <w:rsid w:val="00FC370A"/>
    <w:rsid w:val="00FC394D"/>
    <w:rsid w:val="00FC3994"/>
    <w:rsid w:val="00FC39F1"/>
    <w:rsid w:val="00FC3A45"/>
    <w:rsid w:val="00FC3A4C"/>
    <w:rsid w:val="00FC3A97"/>
    <w:rsid w:val="00FC3B33"/>
    <w:rsid w:val="00FC3B4E"/>
    <w:rsid w:val="00FC3B75"/>
    <w:rsid w:val="00FC3BF3"/>
    <w:rsid w:val="00FC3C39"/>
    <w:rsid w:val="00FC3C46"/>
    <w:rsid w:val="00FC3CE6"/>
    <w:rsid w:val="00FC3D01"/>
    <w:rsid w:val="00FC3D06"/>
    <w:rsid w:val="00FC3D3E"/>
    <w:rsid w:val="00FC3D60"/>
    <w:rsid w:val="00FC3D7E"/>
    <w:rsid w:val="00FC3DB8"/>
    <w:rsid w:val="00FC3E63"/>
    <w:rsid w:val="00FC3E65"/>
    <w:rsid w:val="00FC3F14"/>
    <w:rsid w:val="00FC3F3F"/>
    <w:rsid w:val="00FC4066"/>
    <w:rsid w:val="00FC40EF"/>
    <w:rsid w:val="00FC4150"/>
    <w:rsid w:val="00FC42A3"/>
    <w:rsid w:val="00FC44F1"/>
    <w:rsid w:val="00FC4507"/>
    <w:rsid w:val="00FC4593"/>
    <w:rsid w:val="00FC4602"/>
    <w:rsid w:val="00FC4626"/>
    <w:rsid w:val="00FC464E"/>
    <w:rsid w:val="00FC46F3"/>
    <w:rsid w:val="00FC472C"/>
    <w:rsid w:val="00FC47C4"/>
    <w:rsid w:val="00FC47D3"/>
    <w:rsid w:val="00FC480C"/>
    <w:rsid w:val="00FC481F"/>
    <w:rsid w:val="00FC486D"/>
    <w:rsid w:val="00FC486E"/>
    <w:rsid w:val="00FC4882"/>
    <w:rsid w:val="00FC4896"/>
    <w:rsid w:val="00FC48E8"/>
    <w:rsid w:val="00FC4954"/>
    <w:rsid w:val="00FC4984"/>
    <w:rsid w:val="00FC49A6"/>
    <w:rsid w:val="00FC49C9"/>
    <w:rsid w:val="00FC4A19"/>
    <w:rsid w:val="00FC4A89"/>
    <w:rsid w:val="00FC4AA6"/>
    <w:rsid w:val="00FC4AC2"/>
    <w:rsid w:val="00FC4B40"/>
    <w:rsid w:val="00FC4B7C"/>
    <w:rsid w:val="00FC4B8F"/>
    <w:rsid w:val="00FC4C8A"/>
    <w:rsid w:val="00FC4D91"/>
    <w:rsid w:val="00FC4D94"/>
    <w:rsid w:val="00FC4DE2"/>
    <w:rsid w:val="00FC4E73"/>
    <w:rsid w:val="00FC4E77"/>
    <w:rsid w:val="00FC4EA6"/>
    <w:rsid w:val="00FC4EAA"/>
    <w:rsid w:val="00FC4F46"/>
    <w:rsid w:val="00FC4F8D"/>
    <w:rsid w:val="00FC4F94"/>
    <w:rsid w:val="00FC4FF8"/>
    <w:rsid w:val="00FC5061"/>
    <w:rsid w:val="00FC5142"/>
    <w:rsid w:val="00FC51C3"/>
    <w:rsid w:val="00FC5213"/>
    <w:rsid w:val="00FC524D"/>
    <w:rsid w:val="00FC52B9"/>
    <w:rsid w:val="00FC52D3"/>
    <w:rsid w:val="00FC5307"/>
    <w:rsid w:val="00FC5315"/>
    <w:rsid w:val="00FC5434"/>
    <w:rsid w:val="00FC550C"/>
    <w:rsid w:val="00FC552B"/>
    <w:rsid w:val="00FC5648"/>
    <w:rsid w:val="00FC57F1"/>
    <w:rsid w:val="00FC58EA"/>
    <w:rsid w:val="00FC5919"/>
    <w:rsid w:val="00FC595C"/>
    <w:rsid w:val="00FC59B5"/>
    <w:rsid w:val="00FC5A27"/>
    <w:rsid w:val="00FC5A42"/>
    <w:rsid w:val="00FC5A9C"/>
    <w:rsid w:val="00FC5B08"/>
    <w:rsid w:val="00FC5C25"/>
    <w:rsid w:val="00FC5CD4"/>
    <w:rsid w:val="00FC5D1F"/>
    <w:rsid w:val="00FC5D77"/>
    <w:rsid w:val="00FC5DCE"/>
    <w:rsid w:val="00FC5E5A"/>
    <w:rsid w:val="00FC5EA1"/>
    <w:rsid w:val="00FC5F5C"/>
    <w:rsid w:val="00FC5F6E"/>
    <w:rsid w:val="00FC6015"/>
    <w:rsid w:val="00FC60CE"/>
    <w:rsid w:val="00FC613F"/>
    <w:rsid w:val="00FC6205"/>
    <w:rsid w:val="00FC6295"/>
    <w:rsid w:val="00FC6297"/>
    <w:rsid w:val="00FC6347"/>
    <w:rsid w:val="00FC6352"/>
    <w:rsid w:val="00FC6367"/>
    <w:rsid w:val="00FC646C"/>
    <w:rsid w:val="00FC6478"/>
    <w:rsid w:val="00FC6578"/>
    <w:rsid w:val="00FC657B"/>
    <w:rsid w:val="00FC665E"/>
    <w:rsid w:val="00FC681C"/>
    <w:rsid w:val="00FC685C"/>
    <w:rsid w:val="00FC6899"/>
    <w:rsid w:val="00FC68D7"/>
    <w:rsid w:val="00FC6902"/>
    <w:rsid w:val="00FC692B"/>
    <w:rsid w:val="00FC6933"/>
    <w:rsid w:val="00FC69F8"/>
    <w:rsid w:val="00FC6A21"/>
    <w:rsid w:val="00FC6AA2"/>
    <w:rsid w:val="00FC6AB6"/>
    <w:rsid w:val="00FC6AC3"/>
    <w:rsid w:val="00FC6BAA"/>
    <w:rsid w:val="00FC6BF1"/>
    <w:rsid w:val="00FC6C5B"/>
    <w:rsid w:val="00FC6C83"/>
    <w:rsid w:val="00FC6D0D"/>
    <w:rsid w:val="00FC6D27"/>
    <w:rsid w:val="00FC6D84"/>
    <w:rsid w:val="00FC6DA1"/>
    <w:rsid w:val="00FC6E2D"/>
    <w:rsid w:val="00FC6E67"/>
    <w:rsid w:val="00FC6E9E"/>
    <w:rsid w:val="00FC6EAA"/>
    <w:rsid w:val="00FC6ED3"/>
    <w:rsid w:val="00FC6FBD"/>
    <w:rsid w:val="00FC6FE4"/>
    <w:rsid w:val="00FC712F"/>
    <w:rsid w:val="00FC719D"/>
    <w:rsid w:val="00FC7218"/>
    <w:rsid w:val="00FC722B"/>
    <w:rsid w:val="00FC722E"/>
    <w:rsid w:val="00FC72BE"/>
    <w:rsid w:val="00FC72D4"/>
    <w:rsid w:val="00FC72DA"/>
    <w:rsid w:val="00FC72DB"/>
    <w:rsid w:val="00FC72DC"/>
    <w:rsid w:val="00FC7311"/>
    <w:rsid w:val="00FC7359"/>
    <w:rsid w:val="00FC7368"/>
    <w:rsid w:val="00FC73E6"/>
    <w:rsid w:val="00FC74AA"/>
    <w:rsid w:val="00FC751E"/>
    <w:rsid w:val="00FC75BB"/>
    <w:rsid w:val="00FC773B"/>
    <w:rsid w:val="00FC77F2"/>
    <w:rsid w:val="00FC79BA"/>
    <w:rsid w:val="00FC79F1"/>
    <w:rsid w:val="00FC7AF1"/>
    <w:rsid w:val="00FC7BBA"/>
    <w:rsid w:val="00FC7C1E"/>
    <w:rsid w:val="00FC7C4E"/>
    <w:rsid w:val="00FC7C58"/>
    <w:rsid w:val="00FC7C98"/>
    <w:rsid w:val="00FC7CAA"/>
    <w:rsid w:val="00FC7CC2"/>
    <w:rsid w:val="00FC7CC3"/>
    <w:rsid w:val="00FC7D25"/>
    <w:rsid w:val="00FC7E3E"/>
    <w:rsid w:val="00FC7EC1"/>
    <w:rsid w:val="00FC7F52"/>
    <w:rsid w:val="00FC7FBD"/>
    <w:rsid w:val="00FD0024"/>
    <w:rsid w:val="00FD0041"/>
    <w:rsid w:val="00FD004B"/>
    <w:rsid w:val="00FD0054"/>
    <w:rsid w:val="00FD0055"/>
    <w:rsid w:val="00FD009E"/>
    <w:rsid w:val="00FD00A5"/>
    <w:rsid w:val="00FD00AD"/>
    <w:rsid w:val="00FD00C8"/>
    <w:rsid w:val="00FD015B"/>
    <w:rsid w:val="00FD0179"/>
    <w:rsid w:val="00FD01D9"/>
    <w:rsid w:val="00FD0269"/>
    <w:rsid w:val="00FD03EE"/>
    <w:rsid w:val="00FD044F"/>
    <w:rsid w:val="00FD04A9"/>
    <w:rsid w:val="00FD050D"/>
    <w:rsid w:val="00FD05EA"/>
    <w:rsid w:val="00FD065C"/>
    <w:rsid w:val="00FD06B2"/>
    <w:rsid w:val="00FD06BC"/>
    <w:rsid w:val="00FD06D4"/>
    <w:rsid w:val="00FD0710"/>
    <w:rsid w:val="00FD078D"/>
    <w:rsid w:val="00FD07C2"/>
    <w:rsid w:val="00FD0810"/>
    <w:rsid w:val="00FD08C9"/>
    <w:rsid w:val="00FD08D1"/>
    <w:rsid w:val="00FD08D6"/>
    <w:rsid w:val="00FD094B"/>
    <w:rsid w:val="00FD0985"/>
    <w:rsid w:val="00FD09A3"/>
    <w:rsid w:val="00FD0A09"/>
    <w:rsid w:val="00FD0A19"/>
    <w:rsid w:val="00FD0A78"/>
    <w:rsid w:val="00FD0B2B"/>
    <w:rsid w:val="00FD0B34"/>
    <w:rsid w:val="00FD0BA0"/>
    <w:rsid w:val="00FD0BAC"/>
    <w:rsid w:val="00FD0BFF"/>
    <w:rsid w:val="00FD0D4C"/>
    <w:rsid w:val="00FD0D99"/>
    <w:rsid w:val="00FD0E1A"/>
    <w:rsid w:val="00FD0F07"/>
    <w:rsid w:val="00FD0F0C"/>
    <w:rsid w:val="00FD0F68"/>
    <w:rsid w:val="00FD0FBE"/>
    <w:rsid w:val="00FD0FFC"/>
    <w:rsid w:val="00FD101A"/>
    <w:rsid w:val="00FD108B"/>
    <w:rsid w:val="00FD1152"/>
    <w:rsid w:val="00FD1186"/>
    <w:rsid w:val="00FD1247"/>
    <w:rsid w:val="00FD12BE"/>
    <w:rsid w:val="00FD12FE"/>
    <w:rsid w:val="00FD1375"/>
    <w:rsid w:val="00FD1383"/>
    <w:rsid w:val="00FD13C8"/>
    <w:rsid w:val="00FD13F3"/>
    <w:rsid w:val="00FD148C"/>
    <w:rsid w:val="00FD1506"/>
    <w:rsid w:val="00FD1551"/>
    <w:rsid w:val="00FD15AA"/>
    <w:rsid w:val="00FD15E3"/>
    <w:rsid w:val="00FD1640"/>
    <w:rsid w:val="00FD1763"/>
    <w:rsid w:val="00FD1789"/>
    <w:rsid w:val="00FD17CC"/>
    <w:rsid w:val="00FD17E2"/>
    <w:rsid w:val="00FD17E9"/>
    <w:rsid w:val="00FD1916"/>
    <w:rsid w:val="00FD1A0C"/>
    <w:rsid w:val="00FD1A50"/>
    <w:rsid w:val="00FD1B17"/>
    <w:rsid w:val="00FD1C48"/>
    <w:rsid w:val="00FD1CD0"/>
    <w:rsid w:val="00FD1D22"/>
    <w:rsid w:val="00FD1D3F"/>
    <w:rsid w:val="00FD1D78"/>
    <w:rsid w:val="00FD1E04"/>
    <w:rsid w:val="00FD1EB9"/>
    <w:rsid w:val="00FD1F53"/>
    <w:rsid w:val="00FD1FAC"/>
    <w:rsid w:val="00FD2019"/>
    <w:rsid w:val="00FD202F"/>
    <w:rsid w:val="00FD2036"/>
    <w:rsid w:val="00FD2123"/>
    <w:rsid w:val="00FD215F"/>
    <w:rsid w:val="00FD2192"/>
    <w:rsid w:val="00FD219D"/>
    <w:rsid w:val="00FD21A7"/>
    <w:rsid w:val="00FD225E"/>
    <w:rsid w:val="00FD22A5"/>
    <w:rsid w:val="00FD22DC"/>
    <w:rsid w:val="00FD2303"/>
    <w:rsid w:val="00FD23B9"/>
    <w:rsid w:val="00FD23C5"/>
    <w:rsid w:val="00FD24B5"/>
    <w:rsid w:val="00FD255D"/>
    <w:rsid w:val="00FD25E5"/>
    <w:rsid w:val="00FD266F"/>
    <w:rsid w:val="00FD268B"/>
    <w:rsid w:val="00FD2690"/>
    <w:rsid w:val="00FD2776"/>
    <w:rsid w:val="00FD27AF"/>
    <w:rsid w:val="00FD27D4"/>
    <w:rsid w:val="00FD27F8"/>
    <w:rsid w:val="00FD2806"/>
    <w:rsid w:val="00FD283B"/>
    <w:rsid w:val="00FD2891"/>
    <w:rsid w:val="00FD296E"/>
    <w:rsid w:val="00FD29A5"/>
    <w:rsid w:val="00FD2A72"/>
    <w:rsid w:val="00FD2A88"/>
    <w:rsid w:val="00FD2B9A"/>
    <w:rsid w:val="00FD2BD6"/>
    <w:rsid w:val="00FD2C72"/>
    <w:rsid w:val="00FD2CAB"/>
    <w:rsid w:val="00FD2CFB"/>
    <w:rsid w:val="00FD2CFF"/>
    <w:rsid w:val="00FD2D70"/>
    <w:rsid w:val="00FD2DDF"/>
    <w:rsid w:val="00FD2DE0"/>
    <w:rsid w:val="00FD2E2A"/>
    <w:rsid w:val="00FD2E40"/>
    <w:rsid w:val="00FD2E91"/>
    <w:rsid w:val="00FD2EFF"/>
    <w:rsid w:val="00FD2F14"/>
    <w:rsid w:val="00FD2F49"/>
    <w:rsid w:val="00FD2F56"/>
    <w:rsid w:val="00FD30B9"/>
    <w:rsid w:val="00FD30D8"/>
    <w:rsid w:val="00FD30E8"/>
    <w:rsid w:val="00FD3187"/>
    <w:rsid w:val="00FD3188"/>
    <w:rsid w:val="00FD31D0"/>
    <w:rsid w:val="00FD3320"/>
    <w:rsid w:val="00FD333C"/>
    <w:rsid w:val="00FD3410"/>
    <w:rsid w:val="00FD341A"/>
    <w:rsid w:val="00FD3517"/>
    <w:rsid w:val="00FD3593"/>
    <w:rsid w:val="00FD36B4"/>
    <w:rsid w:val="00FD36D3"/>
    <w:rsid w:val="00FD37AD"/>
    <w:rsid w:val="00FD3830"/>
    <w:rsid w:val="00FD3877"/>
    <w:rsid w:val="00FD3938"/>
    <w:rsid w:val="00FD397B"/>
    <w:rsid w:val="00FD3A6C"/>
    <w:rsid w:val="00FD3B37"/>
    <w:rsid w:val="00FD3BAB"/>
    <w:rsid w:val="00FD3C0A"/>
    <w:rsid w:val="00FD3C34"/>
    <w:rsid w:val="00FD3D15"/>
    <w:rsid w:val="00FD3D8E"/>
    <w:rsid w:val="00FD3DCC"/>
    <w:rsid w:val="00FD3DCF"/>
    <w:rsid w:val="00FD3EB0"/>
    <w:rsid w:val="00FD3F6D"/>
    <w:rsid w:val="00FD3FD0"/>
    <w:rsid w:val="00FD414E"/>
    <w:rsid w:val="00FD4162"/>
    <w:rsid w:val="00FD418E"/>
    <w:rsid w:val="00FD41A7"/>
    <w:rsid w:val="00FD41BE"/>
    <w:rsid w:val="00FD4215"/>
    <w:rsid w:val="00FD4225"/>
    <w:rsid w:val="00FD4406"/>
    <w:rsid w:val="00FD4519"/>
    <w:rsid w:val="00FD4566"/>
    <w:rsid w:val="00FD458F"/>
    <w:rsid w:val="00FD4598"/>
    <w:rsid w:val="00FD45C8"/>
    <w:rsid w:val="00FD46AB"/>
    <w:rsid w:val="00FD46C6"/>
    <w:rsid w:val="00FD4726"/>
    <w:rsid w:val="00FD47CB"/>
    <w:rsid w:val="00FD485C"/>
    <w:rsid w:val="00FD4933"/>
    <w:rsid w:val="00FD4983"/>
    <w:rsid w:val="00FD49AD"/>
    <w:rsid w:val="00FD49D6"/>
    <w:rsid w:val="00FD4AAA"/>
    <w:rsid w:val="00FD4AFD"/>
    <w:rsid w:val="00FD4B90"/>
    <w:rsid w:val="00FD4BA7"/>
    <w:rsid w:val="00FD4BD4"/>
    <w:rsid w:val="00FD4C00"/>
    <w:rsid w:val="00FD4C33"/>
    <w:rsid w:val="00FD4C4B"/>
    <w:rsid w:val="00FD4C89"/>
    <w:rsid w:val="00FD4CA2"/>
    <w:rsid w:val="00FD4CB4"/>
    <w:rsid w:val="00FD4CE0"/>
    <w:rsid w:val="00FD4D18"/>
    <w:rsid w:val="00FD4D4E"/>
    <w:rsid w:val="00FD4D8D"/>
    <w:rsid w:val="00FD4DF3"/>
    <w:rsid w:val="00FD4DF6"/>
    <w:rsid w:val="00FD4F73"/>
    <w:rsid w:val="00FD4F88"/>
    <w:rsid w:val="00FD4FB0"/>
    <w:rsid w:val="00FD5059"/>
    <w:rsid w:val="00FD50DC"/>
    <w:rsid w:val="00FD50FF"/>
    <w:rsid w:val="00FD5190"/>
    <w:rsid w:val="00FD51FF"/>
    <w:rsid w:val="00FD521A"/>
    <w:rsid w:val="00FD52C1"/>
    <w:rsid w:val="00FD5326"/>
    <w:rsid w:val="00FD5395"/>
    <w:rsid w:val="00FD5436"/>
    <w:rsid w:val="00FD5456"/>
    <w:rsid w:val="00FD54D8"/>
    <w:rsid w:val="00FD54FA"/>
    <w:rsid w:val="00FD5645"/>
    <w:rsid w:val="00FD565E"/>
    <w:rsid w:val="00FD566F"/>
    <w:rsid w:val="00FD5695"/>
    <w:rsid w:val="00FD56B4"/>
    <w:rsid w:val="00FD56B6"/>
    <w:rsid w:val="00FD56F9"/>
    <w:rsid w:val="00FD573C"/>
    <w:rsid w:val="00FD5791"/>
    <w:rsid w:val="00FD57AB"/>
    <w:rsid w:val="00FD5865"/>
    <w:rsid w:val="00FD58AB"/>
    <w:rsid w:val="00FD58C2"/>
    <w:rsid w:val="00FD58F2"/>
    <w:rsid w:val="00FD58F6"/>
    <w:rsid w:val="00FD5979"/>
    <w:rsid w:val="00FD5A14"/>
    <w:rsid w:val="00FD5AB3"/>
    <w:rsid w:val="00FD5B21"/>
    <w:rsid w:val="00FD5BAD"/>
    <w:rsid w:val="00FD5BB8"/>
    <w:rsid w:val="00FD5BE2"/>
    <w:rsid w:val="00FD5CBD"/>
    <w:rsid w:val="00FD5D77"/>
    <w:rsid w:val="00FD5E4E"/>
    <w:rsid w:val="00FD5E52"/>
    <w:rsid w:val="00FD5ECB"/>
    <w:rsid w:val="00FD5F5B"/>
    <w:rsid w:val="00FD5F80"/>
    <w:rsid w:val="00FD5FFE"/>
    <w:rsid w:val="00FD6096"/>
    <w:rsid w:val="00FD60FC"/>
    <w:rsid w:val="00FD611B"/>
    <w:rsid w:val="00FD61D0"/>
    <w:rsid w:val="00FD62FE"/>
    <w:rsid w:val="00FD6356"/>
    <w:rsid w:val="00FD6358"/>
    <w:rsid w:val="00FD6360"/>
    <w:rsid w:val="00FD6399"/>
    <w:rsid w:val="00FD63D6"/>
    <w:rsid w:val="00FD63FF"/>
    <w:rsid w:val="00FD640E"/>
    <w:rsid w:val="00FD6417"/>
    <w:rsid w:val="00FD6432"/>
    <w:rsid w:val="00FD6455"/>
    <w:rsid w:val="00FD65DE"/>
    <w:rsid w:val="00FD66A1"/>
    <w:rsid w:val="00FD6708"/>
    <w:rsid w:val="00FD6737"/>
    <w:rsid w:val="00FD6758"/>
    <w:rsid w:val="00FD686D"/>
    <w:rsid w:val="00FD6880"/>
    <w:rsid w:val="00FD6896"/>
    <w:rsid w:val="00FD68EA"/>
    <w:rsid w:val="00FD6915"/>
    <w:rsid w:val="00FD692B"/>
    <w:rsid w:val="00FD69B1"/>
    <w:rsid w:val="00FD6A44"/>
    <w:rsid w:val="00FD6A97"/>
    <w:rsid w:val="00FD6ACE"/>
    <w:rsid w:val="00FD6AD3"/>
    <w:rsid w:val="00FD6B2C"/>
    <w:rsid w:val="00FD6B5C"/>
    <w:rsid w:val="00FD6BC8"/>
    <w:rsid w:val="00FD6C64"/>
    <w:rsid w:val="00FD6CCD"/>
    <w:rsid w:val="00FD6E2C"/>
    <w:rsid w:val="00FD6E7F"/>
    <w:rsid w:val="00FD6E8B"/>
    <w:rsid w:val="00FD6EDE"/>
    <w:rsid w:val="00FD6F98"/>
    <w:rsid w:val="00FD70F6"/>
    <w:rsid w:val="00FD72A9"/>
    <w:rsid w:val="00FD7379"/>
    <w:rsid w:val="00FD740B"/>
    <w:rsid w:val="00FD741D"/>
    <w:rsid w:val="00FD7508"/>
    <w:rsid w:val="00FD7591"/>
    <w:rsid w:val="00FD75BF"/>
    <w:rsid w:val="00FD761C"/>
    <w:rsid w:val="00FD76C5"/>
    <w:rsid w:val="00FD7738"/>
    <w:rsid w:val="00FD77B6"/>
    <w:rsid w:val="00FD785D"/>
    <w:rsid w:val="00FD78C9"/>
    <w:rsid w:val="00FD7910"/>
    <w:rsid w:val="00FD7929"/>
    <w:rsid w:val="00FD7948"/>
    <w:rsid w:val="00FD79EA"/>
    <w:rsid w:val="00FD7A03"/>
    <w:rsid w:val="00FD7C16"/>
    <w:rsid w:val="00FD7C5C"/>
    <w:rsid w:val="00FD7C96"/>
    <w:rsid w:val="00FD7D16"/>
    <w:rsid w:val="00FD7D33"/>
    <w:rsid w:val="00FD7D4B"/>
    <w:rsid w:val="00FD7D65"/>
    <w:rsid w:val="00FD7DB4"/>
    <w:rsid w:val="00FD7EAF"/>
    <w:rsid w:val="00FD7ED7"/>
    <w:rsid w:val="00FD7ED9"/>
    <w:rsid w:val="00FD7F31"/>
    <w:rsid w:val="00FE0127"/>
    <w:rsid w:val="00FE01CB"/>
    <w:rsid w:val="00FE0232"/>
    <w:rsid w:val="00FE024E"/>
    <w:rsid w:val="00FE028B"/>
    <w:rsid w:val="00FE02EA"/>
    <w:rsid w:val="00FE02EC"/>
    <w:rsid w:val="00FE0387"/>
    <w:rsid w:val="00FE03D3"/>
    <w:rsid w:val="00FE0460"/>
    <w:rsid w:val="00FE04B0"/>
    <w:rsid w:val="00FE04B5"/>
    <w:rsid w:val="00FE04C4"/>
    <w:rsid w:val="00FE04E7"/>
    <w:rsid w:val="00FE0510"/>
    <w:rsid w:val="00FE0537"/>
    <w:rsid w:val="00FE056C"/>
    <w:rsid w:val="00FE0677"/>
    <w:rsid w:val="00FE06DA"/>
    <w:rsid w:val="00FE0844"/>
    <w:rsid w:val="00FE0848"/>
    <w:rsid w:val="00FE08FD"/>
    <w:rsid w:val="00FE0984"/>
    <w:rsid w:val="00FE09CA"/>
    <w:rsid w:val="00FE09FB"/>
    <w:rsid w:val="00FE0A0B"/>
    <w:rsid w:val="00FE0AA7"/>
    <w:rsid w:val="00FE0AE6"/>
    <w:rsid w:val="00FE0AEF"/>
    <w:rsid w:val="00FE0B21"/>
    <w:rsid w:val="00FE0B2E"/>
    <w:rsid w:val="00FE0B3C"/>
    <w:rsid w:val="00FE0BF5"/>
    <w:rsid w:val="00FE0C36"/>
    <w:rsid w:val="00FE0C8B"/>
    <w:rsid w:val="00FE0CE6"/>
    <w:rsid w:val="00FE0E4B"/>
    <w:rsid w:val="00FE0E60"/>
    <w:rsid w:val="00FE0F53"/>
    <w:rsid w:val="00FE0F9E"/>
    <w:rsid w:val="00FE1030"/>
    <w:rsid w:val="00FE103A"/>
    <w:rsid w:val="00FE1099"/>
    <w:rsid w:val="00FE10A9"/>
    <w:rsid w:val="00FE1140"/>
    <w:rsid w:val="00FE11A7"/>
    <w:rsid w:val="00FE11BA"/>
    <w:rsid w:val="00FE1241"/>
    <w:rsid w:val="00FE12B5"/>
    <w:rsid w:val="00FE12E5"/>
    <w:rsid w:val="00FE12F0"/>
    <w:rsid w:val="00FE1319"/>
    <w:rsid w:val="00FE1466"/>
    <w:rsid w:val="00FE14E0"/>
    <w:rsid w:val="00FE150E"/>
    <w:rsid w:val="00FE156A"/>
    <w:rsid w:val="00FE15E6"/>
    <w:rsid w:val="00FE15FF"/>
    <w:rsid w:val="00FE166D"/>
    <w:rsid w:val="00FE1780"/>
    <w:rsid w:val="00FE181B"/>
    <w:rsid w:val="00FE1895"/>
    <w:rsid w:val="00FE1982"/>
    <w:rsid w:val="00FE1A8F"/>
    <w:rsid w:val="00FE1B1A"/>
    <w:rsid w:val="00FE1B3D"/>
    <w:rsid w:val="00FE1B5C"/>
    <w:rsid w:val="00FE1BC0"/>
    <w:rsid w:val="00FE1BE6"/>
    <w:rsid w:val="00FE1CBD"/>
    <w:rsid w:val="00FE1D52"/>
    <w:rsid w:val="00FE1D75"/>
    <w:rsid w:val="00FE1D9D"/>
    <w:rsid w:val="00FE1DA8"/>
    <w:rsid w:val="00FE1DFD"/>
    <w:rsid w:val="00FE1E82"/>
    <w:rsid w:val="00FE1FB0"/>
    <w:rsid w:val="00FE1FC0"/>
    <w:rsid w:val="00FE1FDA"/>
    <w:rsid w:val="00FE1FEF"/>
    <w:rsid w:val="00FE20B0"/>
    <w:rsid w:val="00FE20FC"/>
    <w:rsid w:val="00FE21AA"/>
    <w:rsid w:val="00FE21AB"/>
    <w:rsid w:val="00FE21DE"/>
    <w:rsid w:val="00FE2288"/>
    <w:rsid w:val="00FE2293"/>
    <w:rsid w:val="00FE22CF"/>
    <w:rsid w:val="00FE2384"/>
    <w:rsid w:val="00FE2415"/>
    <w:rsid w:val="00FE256E"/>
    <w:rsid w:val="00FE267F"/>
    <w:rsid w:val="00FE270E"/>
    <w:rsid w:val="00FE27CB"/>
    <w:rsid w:val="00FE27EC"/>
    <w:rsid w:val="00FE285A"/>
    <w:rsid w:val="00FE28E9"/>
    <w:rsid w:val="00FE29E6"/>
    <w:rsid w:val="00FE2A09"/>
    <w:rsid w:val="00FE2A0A"/>
    <w:rsid w:val="00FE2A62"/>
    <w:rsid w:val="00FE2B58"/>
    <w:rsid w:val="00FE2B89"/>
    <w:rsid w:val="00FE2BF2"/>
    <w:rsid w:val="00FE2CD2"/>
    <w:rsid w:val="00FE2D09"/>
    <w:rsid w:val="00FE2D5D"/>
    <w:rsid w:val="00FE2D60"/>
    <w:rsid w:val="00FE2D76"/>
    <w:rsid w:val="00FE2DB2"/>
    <w:rsid w:val="00FE2DE2"/>
    <w:rsid w:val="00FE2DF2"/>
    <w:rsid w:val="00FE2E11"/>
    <w:rsid w:val="00FE2E1F"/>
    <w:rsid w:val="00FE2E3A"/>
    <w:rsid w:val="00FE2E7A"/>
    <w:rsid w:val="00FE2EA5"/>
    <w:rsid w:val="00FE2F07"/>
    <w:rsid w:val="00FE2FA9"/>
    <w:rsid w:val="00FE2FE2"/>
    <w:rsid w:val="00FE303A"/>
    <w:rsid w:val="00FE30E2"/>
    <w:rsid w:val="00FE3136"/>
    <w:rsid w:val="00FE3151"/>
    <w:rsid w:val="00FE31A9"/>
    <w:rsid w:val="00FE323E"/>
    <w:rsid w:val="00FE3276"/>
    <w:rsid w:val="00FE329C"/>
    <w:rsid w:val="00FE3307"/>
    <w:rsid w:val="00FE3377"/>
    <w:rsid w:val="00FE3399"/>
    <w:rsid w:val="00FE34CD"/>
    <w:rsid w:val="00FE34DD"/>
    <w:rsid w:val="00FE34E1"/>
    <w:rsid w:val="00FE3518"/>
    <w:rsid w:val="00FE351E"/>
    <w:rsid w:val="00FE357E"/>
    <w:rsid w:val="00FE3595"/>
    <w:rsid w:val="00FE36BF"/>
    <w:rsid w:val="00FE3723"/>
    <w:rsid w:val="00FE3802"/>
    <w:rsid w:val="00FE3839"/>
    <w:rsid w:val="00FE384B"/>
    <w:rsid w:val="00FE389B"/>
    <w:rsid w:val="00FE3935"/>
    <w:rsid w:val="00FE396F"/>
    <w:rsid w:val="00FE39B0"/>
    <w:rsid w:val="00FE39DB"/>
    <w:rsid w:val="00FE3A1F"/>
    <w:rsid w:val="00FE3A40"/>
    <w:rsid w:val="00FE3A47"/>
    <w:rsid w:val="00FE3AC6"/>
    <w:rsid w:val="00FE3AC8"/>
    <w:rsid w:val="00FE3AC9"/>
    <w:rsid w:val="00FE3ACE"/>
    <w:rsid w:val="00FE3BDA"/>
    <w:rsid w:val="00FE3C1A"/>
    <w:rsid w:val="00FE3C26"/>
    <w:rsid w:val="00FE3C70"/>
    <w:rsid w:val="00FE3D1A"/>
    <w:rsid w:val="00FE3EC9"/>
    <w:rsid w:val="00FE3EF1"/>
    <w:rsid w:val="00FE3F09"/>
    <w:rsid w:val="00FE3F4E"/>
    <w:rsid w:val="00FE3F60"/>
    <w:rsid w:val="00FE3F9A"/>
    <w:rsid w:val="00FE3FF9"/>
    <w:rsid w:val="00FE4021"/>
    <w:rsid w:val="00FE4079"/>
    <w:rsid w:val="00FE40AB"/>
    <w:rsid w:val="00FE419D"/>
    <w:rsid w:val="00FE41D8"/>
    <w:rsid w:val="00FE41DB"/>
    <w:rsid w:val="00FE4251"/>
    <w:rsid w:val="00FE4280"/>
    <w:rsid w:val="00FE428A"/>
    <w:rsid w:val="00FE42E4"/>
    <w:rsid w:val="00FE4314"/>
    <w:rsid w:val="00FE432B"/>
    <w:rsid w:val="00FE4334"/>
    <w:rsid w:val="00FE4388"/>
    <w:rsid w:val="00FE4425"/>
    <w:rsid w:val="00FE4445"/>
    <w:rsid w:val="00FE4450"/>
    <w:rsid w:val="00FE44C4"/>
    <w:rsid w:val="00FE44EC"/>
    <w:rsid w:val="00FE461D"/>
    <w:rsid w:val="00FE46CD"/>
    <w:rsid w:val="00FE470F"/>
    <w:rsid w:val="00FE47A1"/>
    <w:rsid w:val="00FE47B1"/>
    <w:rsid w:val="00FE4846"/>
    <w:rsid w:val="00FE489A"/>
    <w:rsid w:val="00FE48AB"/>
    <w:rsid w:val="00FE4909"/>
    <w:rsid w:val="00FE4950"/>
    <w:rsid w:val="00FE4A1B"/>
    <w:rsid w:val="00FE4AAA"/>
    <w:rsid w:val="00FE4B3D"/>
    <w:rsid w:val="00FE4B72"/>
    <w:rsid w:val="00FE4C1A"/>
    <w:rsid w:val="00FE4CC6"/>
    <w:rsid w:val="00FE4CDA"/>
    <w:rsid w:val="00FE4D6A"/>
    <w:rsid w:val="00FE4DA1"/>
    <w:rsid w:val="00FE4DAF"/>
    <w:rsid w:val="00FE4DBD"/>
    <w:rsid w:val="00FE4DF8"/>
    <w:rsid w:val="00FE4E34"/>
    <w:rsid w:val="00FE4E4B"/>
    <w:rsid w:val="00FE4E76"/>
    <w:rsid w:val="00FE4E91"/>
    <w:rsid w:val="00FE4F42"/>
    <w:rsid w:val="00FE4F74"/>
    <w:rsid w:val="00FE4FE8"/>
    <w:rsid w:val="00FE5113"/>
    <w:rsid w:val="00FE52CE"/>
    <w:rsid w:val="00FE5379"/>
    <w:rsid w:val="00FE537D"/>
    <w:rsid w:val="00FE53C1"/>
    <w:rsid w:val="00FE53FE"/>
    <w:rsid w:val="00FE5421"/>
    <w:rsid w:val="00FE542B"/>
    <w:rsid w:val="00FE5481"/>
    <w:rsid w:val="00FE5489"/>
    <w:rsid w:val="00FE5505"/>
    <w:rsid w:val="00FE5570"/>
    <w:rsid w:val="00FE5633"/>
    <w:rsid w:val="00FE563A"/>
    <w:rsid w:val="00FE565E"/>
    <w:rsid w:val="00FE577A"/>
    <w:rsid w:val="00FE57BB"/>
    <w:rsid w:val="00FE5857"/>
    <w:rsid w:val="00FE590B"/>
    <w:rsid w:val="00FE59E8"/>
    <w:rsid w:val="00FE5A52"/>
    <w:rsid w:val="00FE5ABF"/>
    <w:rsid w:val="00FE5AC8"/>
    <w:rsid w:val="00FE5AF0"/>
    <w:rsid w:val="00FE5B33"/>
    <w:rsid w:val="00FE5B66"/>
    <w:rsid w:val="00FE5BBA"/>
    <w:rsid w:val="00FE5C26"/>
    <w:rsid w:val="00FE5C84"/>
    <w:rsid w:val="00FE5D5E"/>
    <w:rsid w:val="00FE5DA6"/>
    <w:rsid w:val="00FE5DD7"/>
    <w:rsid w:val="00FE5DF7"/>
    <w:rsid w:val="00FE5E3D"/>
    <w:rsid w:val="00FE5E78"/>
    <w:rsid w:val="00FE5EA7"/>
    <w:rsid w:val="00FE5EC1"/>
    <w:rsid w:val="00FE5F2C"/>
    <w:rsid w:val="00FE5F49"/>
    <w:rsid w:val="00FE5F81"/>
    <w:rsid w:val="00FE6007"/>
    <w:rsid w:val="00FE608B"/>
    <w:rsid w:val="00FE60A7"/>
    <w:rsid w:val="00FE60CB"/>
    <w:rsid w:val="00FE6130"/>
    <w:rsid w:val="00FE613C"/>
    <w:rsid w:val="00FE6192"/>
    <w:rsid w:val="00FE61E4"/>
    <w:rsid w:val="00FE625B"/>
    <w:rsid w:val="00FE62A0"/>
    <w:rsid w:val="00FE63E1"/>
    <w:rsid w:val="00FE6429"/>
    <w:rsid w:val="00FE648D"/>
    <w:rsid w:val="00FE64C3"/>
    <w:rsid w:val="00FE656C"/>
    <w:rsid w:val="00FE659F"/>
    <w:rsid w:val="00FE65A0"/>
    <w:rsid w:val="00FE65A7"/>
    <w:rsid w:val="00FE66AF"/>
    <w:rsid w:val="00FE66D8"/>
    <w:rsid w:val="00FE6766"/>
    <w:rsid w:val="00FE67D4"/>
    <w:rsid w:val="00FE67F3"/>
    <w:rsid w:val="00FE6803"/>
    <w:rsid w:val="00FE684F"/>
    <w:rsid w:val="00FE6865"/>
    <w:rsid w:val="00FE68C2"/>
    <w:rsid w:val="00FE691B"/>
    <w:rsid w:val="00FE692C"/>
    <w:rsid w:val="00FE6960"/>
    <w:rsid w:val="00FE6A1B"/>
    <w:rsid w:val="00FE6AD7"/>
    <w:rsid w:val="00FE6B43"/>
    <w:rsid w:val="00FE6B6D"/>
    <w:rsid w:val="00FE6C36"/>
    <w:rsid w:val="00FE6C53"/>
    <w:rsid w:val="00FE6C7B"/>
    <w:rsid w:val="00FE6C9B"/>
    <w:rsid w:val="00FE6CD3"/>
    <w:rsid w:val="00FE6DB3"/>
    <w:rsid w:val="00FE6E49"/>
    <w:rsid w:val="00FE700B"/>
    <w:rsid w:val="00FE712B"/>
    <w:rsid w:val="00FE714F"/>
    <w:rsid w:val="00FE71AD"/>
    <w:rsid w:val="00FE71FE"/>
    <w:rsid w:val="00FE7379"/>
    <w:rsid w:val="00FE73B7"/>
    <w:rsid w:val="00FE73CE"/>
    <w:rsid w:val="00FE748B"/>
    <w:rsid w:val="00FE7509"/>
    <w:rsid w:val="00FE7583"/>
    <w:rsid w:val="00FE75B1"/>
    <w:rsid w:val="00FE75D3"/>
    <w:rsid w:val="00FE761B"/>
    <w:rsid w:val="00FE76FA"/>
    <w:rsid w:val="00FE7703"/>
    <w:rsid w:val="00FE772E"/>
    <w:rsid w:val="00FE777F"/>
    <w:rsid w:val="00FE780B"/>
    <w:rsid w:val="00FE7850"/>
    <w:rsid w:val="00FE785E"/>
    <w:rsid w:val="00FE7877"/>
    <w:rsid w:val="00FE78AB"/>
    <w:rsid w:val="00FE7952"/>
    <w:rsid w:val="00FE7958"/>
    <w:rsid w:val="00FE7981"/>
    <w:rsid w:val="00FE7A1B"/>
    <w:rsid w:val="00FE7A5A"/>
    <w:rsid w:val="00FE7A60"/>
    <w:rsid w:val="00FE7A90"/>
    <w:rsid w:val="00FE7AE4"/>
    <w:rsid w:val="00FE7AFE"/>
    <w:rsid w:val="00FE7B21"/>
    <w:rsid w:val="00FE7C2D"/>
    <w:rsid w:val="00FE7CA4"/>
    <w:rsid w:val="00FE7CD6"/>
    <w:rsid w:val="00FE7D1E"/>
    <w:rsid w:val="00FE7D34"/>
    <w:rsid w:val="00FE7DF4"/>
    <w:rsid w:val="00FE7E99"/>
    <w:rsid w:val="00FE7F4B"/>
    <w:rsid w:val="00FE7FCE"/>
    <w:rsid w:val="00FF00ED"/>
    <w:rsid w:val="00FF0184"/>
    <w:rsid w:val="00FF0225"/>
    <w:rsid w:val="00FF024E"/>
    <w:rsid w:val="00FF026C"/>
    <w:rsid w:val="00FF034E"/>
    <w:rsid w:val="00FF0392"/>
    <w:rsid w:val="00FF045C"/>
    <w:rsid w:val="00FF0490"/>
    <w:rsid w:val="00FF04A7"/>
    <w:rsid w:val="00FF0515"/>
    <w:rsid w:val="00FF051E"/>
    <w:rsid w:val="00FF058A"/>
    <w:rsid w:val="00FF0607"/>
    <w:rsid w:val="00FF060A"/>
    <w:rsid w:val="00FF0647"/>
    <w:rsid w:val="00FF0661"/>
    <w:rsid w:val="00FF0693"/>
    <w:rsid w:val="00FF06C9"/>
    <w:rsid w:val="00FF06F7"/>
    <w:rsid w:val="00FF073E"/>
    <w:rsid w:val="00FF0789"/>
    <w:rsid w:val="00FF079A"/>
    <w:rsid w:val="00FF07A6"/>
    <w:rsid w:val="00FF08BA"/>
    <w:rsid w:val="00FF0947"/>
    <w:rsid w:val="00FF0ABA"/>
    <w:rsid w:val="00FF0B32"/>
    <w:rsid w:val="00FF0BAE"/>
    <w:rsid w:val="00FF0BE5"/>
    <w:rsid w:val="00FF0BEC"/>
    <w:rsid w:val="00FF0C09"/>
    <w:rsid w:val="00FF0CDF"/>
    <w:rsid w:val="00FF0D6D"/>
    <w:rsid w:val="00FF0D7D"/>
    <w:rsid w:val="00FF0E1A"/>
    <w:rsid w:val="00FF0E28"/>
    <w:rsid w:val="00FF0E6B"/>
    <w:rsid w:val="00FF0F1D"/>
    <w:rsid w:val="00FF0FBC"/>
    <w:rsid w:val="00FF10A9"/>
    <w:rsid w:val="00FF1111"/>
    <w:rsid w:val="00FF1166"/>
    <w:rsid w:val="00FF12F8"/>
    <w:rsid w:val="00FF13C8"/>
    <w:rsid w:val="00FF13CD"/>
    <w:rsid w:val="00FF14A0"/>
    <w:rsid w:val="00FF14B7"/>
    <w:rsid w:val="00FF14D1"/>
    <w:rsid w:val="00FF1549"/>
    <w:rsid w:val="00FF155F"/>
    <w:rsid w:val="00FF156A"/>
    <w:rsid w:val="00FF1585"/>
    <w:rsid w:val="00FF1590"/>
    <w:rsid w:val="00FF15FD"/>
    <w:rsid w:val="00FF1636"/>
    <w:rsid w:val="00FF16CF"/>
    <w:rsid w:val="00FF16DF"/>
    <w:rsid w:val="00FF17BA"/>
    <w:rsid w:val="00FF18E4"/>
    <w:rsid w:val="00FF1900"/>
    <w:rsid w:val="00FF194F"/>
    <w:rsid w:val="00FF19AD"/>
    <w:rsid w:val="00FF19ED"/>
    <w:rsid w:val="00FF1A09"/>
    <w:rsid w:val="00FF1A56"/>
    <w:rsid w:val="00FF1A86"/>
    <w:rsid w:val="00FF1AF6"/>
    <w:rsid w:val="00FF1B69"/>
    <w:rsid w:val="00FF1B74"/>
    <w:rsid w:val="00FF1BA5"/>
    <w:rsid w:val="00FF1BFF"/>
    <w:rsid w:val="00FF1C00"/>
    <w:rsid w:val="00FF1CD2"/>
    <w:rsid w:val="00FF1CE6"/>
    <w:rsid w:val="00FF1DA2"/>
    <w:rsid w:val="00FF1E35"/>
    <w:rsid w:val="00FF1F66"/>
    <w:rsid w:val="00FF1F84"/>
    <w:rsid w:val="00FF1FD1"/>
    <w:rsid w:val="00FF2013"/>
    <w:rsid w:val="00FF2075"/>
    <w:rsid w:val="00FF210B"/>
    <w:rsid w:val="00FF2132"/>
    <w:rsid w:val="00FF2137"/>
    <w:rsid w:val="00FF2181"/>
    <w:rsid w:val="00FF21DF"/>
    <w:rsid w:val="00FF2206"/>
    <w:rsid w:val="00FF224C"/>
    <w:rsid w:val="00FF2277"/>
    <w:rsid w:val="00FF2297"/>
    <w:rsid w:val="00FF241B"/>
    <w:rsid w:val="00FF2433"/>
    <w:rsid w:val="00FF243D"/>
    <w:rsid w:val="00FF244A"/>
    <w:rsid w:val="00FF24FA"/>
    <w:rsid w:val="00FF2592"/>
    <w:rsid w:val="00FF25E2"/>
    <w:rsid w:val="00FF25F1"/>
    <w:rsid w:val="00FF25F5"/>
    <w:rsid w:val="00FF2642"/>
    <w:rsid w:val="00FF2682"/>
    <w:rsid w:val="00FF26D5"/>
    <w:rsid w:val="00FF2754"/>
    <w:rsid w:val="00FF27EE"/>
    <w:rsid w:val="00FF281C"/>
    <w:rsid w:val="00FF2982"/>
    <w:rsid w:val="00FF29BB"/>
    <w:rsid w:val="00FF29ED"/>
    <w:rsid w:val="00FF2AAC"/>
    <w:rsid w:val="00FF2AD7"/>
    <w:rsid w:val="00FF2B0E"/>
    <w:rsid w:val="00FF2B1F"/>
    <w:rsid w:val="00FF2B21"/>
    <w:rsid w:val="00FF2B77"/>
    <w:rsid w:val="00FF2C51"/>
    <w:rsid w:val="00FF2C91"/>
    <w:rsid w:val="00FF2C9E"/>
    <w:rsid w:val="00FF2CEC"/>
    <w:rsid w:val="00FF2CF9"/>
    <w:rsid w:val="00FF2D18"/>
    <w:rsid w:val="00FF2D69"/>
    <w:rsid w:val="00FF2D88"/>
    <w:rsid w:val="00FF2E02"/>
    <w:rsid w:val="00FF2E80"/>
    <w:rsid w:val="00FF2EC5"/>
    <w:rsid w:val="00FF2F5A"/>
    <w:rsid w:val="00FF305B"/>
    <w:rsid w:val="00FF30DC"/>
    <w:rsid w:val="00FF3118"/>
    <w:rsid w:val="00FF312E"/>
    <w:rsid w:val="00FF3147"/>
    <w:rsid w:val="00FF3220"/>
    <w:rsid w:val="00FF3236"/>
    <w:rsid w:val="00FF327C"/>
    <w:rsid w:val="00FF327F"/>
    <w:rsid w:val="00FF329B"/>
    <w:rsid w:val="00FF32AE"/>
    <w:rsid w:val="00FF3308"/>
    <w:rsid w:val="00FF335D"/>
    <w:rsid w:val="00FF33B7"/>
    <w:rsid w:val="00FF33C6"/>
    <w:rsid w:val="00FF3488"/>
    <w:rsid w:val="00FF34AB"/>
    <w:rsid w:val="00FF352F"/>
    <w:rsid w:val="00FF3535"/>
    <w:rsid w:val="00FF3536"/>
    <w:rsid w:val="00FF3558"/>
    <w:rsid w:val="00FF3594"/>
    <w:rsid w:val="00FF35E3"/>
    <w:rsid w:val="00FF365C"/>
    <w:rsid w:val="00FF379D"/>
    <w:rsid w:val="00FF3804"/>
    <w:rsid w:val="00FF3816"/>
    <w:rsid w:val="00FF3884"/>
    <w:rsid w:val="00FF393B"/>
    <w:rsid w:val="00FF39B6"/>
    <w:rsid w:val="00FF3A1A"/>
    <w:rsid w:val="00FF3AC7"/>
    <w:rsid w:val="00FF3B32"/>
    <w:rsid w:val="00FF3B72"/>
    <w:rsid w:val="00FF3B96"/>
    <w:rsid w:val="00FF3BCE"/>
    <w:rsid w:val="00FF3E99"/>
    <w:rsid w:val="00FF3ECF"/>
    <w:rsid w:val="00FF3F37"/>
    <w:rsid w:val="00FF3FA6"/>
    <w:rsid w:val="00FF3FC5"/>
    <w:rsid w:val="00FF4002"/>
    <w:rsid w:val="00FF4109"/>
    <w:rsid w:val="00FF41B7"/>
    <w:rsid w:val="00FF4271"/>
    <w:rsid w:val="00FF42CB"/>
    <w:rsid w:val="00FF4342"/>
    <w:rsid w:val="00FF4453"/>
    <w:rsid w:val="00FF449F"/>
    <w:rsid w:val="00FF44E5"/>
    <w:rsid w:val="00FF4562"/>
    <w:rsid w:val="00FF45B8"/>
    <w:rsid w:val="00FF45D7"/>
    <w:rsid w:val="00FF4624"/>
    <w:rsid w:val="00FF4689"/>
    <w:rsid w:val="00FF4767"/>
    <w:rsid w:val="00FF47D8"/>
    <w:rsid w:val="00FF4888"/>
    <w:rsid w:val="00FF48CB"/>
    <w:rsid w:val="00FF48F3"/>
    <w:rsid w:val="00FF4919"/>
    <w:rsid w:val="00FF4A11"/>
    <w:rsid w:val="00FF4A28"/>
    <w:rsid w:val="00FF4A5A"/>
    <w:rsid w:val="00FF4A83"/>
    <w:rsid w:val="00FF4AA5"/>
    <w:rsid w:val="00FF4ADE"/>
    <w:rsid w:val="00FF4AF0"/>
    <w:rsid w:val="00FF4B45"/>
    <w:rsid w:val="00FF4B6B"/>
    <w:rsid w:val="00FF4BA1"/>
    <w:rsid w:val="00FF4C31"/>
    <w:rsid w:val="00FF4E15"/>
    <w:rsid w:val="00FF4E18"/>
    <w:rsid w:val="00FF4E32"/>
    <w:rsid w:val="00FF4E6B"/>
    <w:rsid w:val="00FF4EA0"/>
    <w:rsid w:val="00FF4ED1"/>
    <w:rsid w:val="00FF50EB"/>
    <w:rsid w:val="00FF50F8"/>
    <w:rsid w:val="00FF5113"/>
    <w:rsid w:val="00FF5142"/>
    <w:rsid w:val="00FF51F9"/>
    <w:rsid w:val="00FF5213"/>
    <w:rsid w:val="00FF5272"/>
    <w:rsid w:val="00FF52AB"/>
    <w:rsid w:val="00FF5329"/>
    <w:rsid w:val="00FF53A2"/>
    <w:rsid w:val="00FF53A5"/>
    <w:rsid w:val="00FF53B8"/>
    <w:rsid w:val="00FF5541"/>
    <w:rsid w:val="00FF557F"/>
    <w:rsid w:val="00FF55FD"/>
    <w:rsid w:val="00FF569A"/>
    <w:rsid w:val="00FF5727"/>
    <w:rsid w:val="00FF5777"/>
    <w:rsid w:val="00FF588E"/>
    <w:rsid w:val="00FF589B"/>
    <w:rsid w:val="00FF58B4"/>
    <w:rsid w:val="00FF5953"/>
    <w:rsid w:val="00FF5AB3"/>
    <w:rsid w:val="00FF5B31"/>
    <w:rsid w:val="00FF5B80"/>
    <w:rsid w:val="00FF5BAB"/>
    <w:rsid w:val="00FF5BDB"/>
    <w:rsid w:val="00FF5BE3"/>
    <w:rsid w:val="00FF5C18"/>
    <w:rsid w:val="00FF5DC6"/>
    <w:rsid w:val="00FF5DCE"/>
    <w:rsid w:val="00FF5DF8"/>
    <w:rsid w:val="00FF5E03"/>
    <w:rsid w:val="00FF5E7C"/>
    <w:rsid w:val="00FF5E95"/>
    <w:rsid w:val="00FF5EC9"/>
    <w:rsid w:val="00FF5FDB"/>
    <w:rsid w:val="00FF5FEF"/>
    <w:rsid w:val="00FF6009"/>
    <w:rsid w:val="00FF6057"/>
    <w:rsid w:val="00FF606E"/>
    <w:rsid w:val="00FF615C"/>
    <w:rsid w:val="00FF6186"/>
    <w:rsid w:val="00FF61C7"/>
    <w:rsid w:val="00FF61D6"/>
    <w:rsid w:val="00FF61DB"/>
    <w:rsid w:val="00FF6211"/>
    <w:rsid w:val="00FF6303"/>
    <w:rsid w:val="00FF639E"/>
    <w:rsid w:val="00FF646C"/>
    <w:rsid w:val="00FF648D"/>
    <w:rsid w:val="00FF6498"/>
    <w:rsid w:val="00FF64F2"/>
    <w:rsid w:val="00FF656B"/>
    <w:rsid w:val="00FF65F7"/>
    <w:rsid w:val="00FF6664"/>
    <w:rsid w:val="00FF676E"/>
    <w:rsid w:val="00FF6790"/>
    <w:rsid w:val="00FF682F"/>
    <w:rsid w:val="00FF6988"/>
    <w:rsid w:val="00FF69D2"/>
    <w:rsid w:val="00FF6AEB"/>
    <w:rsid w:val="00FF6AF0"/>
    <w:rsid w:val="00FF6B76"/>
    <w:rsid w:val="00FF6B9B"/>
    <w:rsid w:val="00FF6BBD"/>
    <w:rsid w:val="00FF6D78"/>
    <w:rsid w:val="00FF6DDF"/>
    <w:rsid w:val="00FF6DFA"/>
    <w:rsid w:val="00FF6E4A"/>
    <w:rsid w:val="00FF6F76"/>
    <w:rsid w:val="00FF6F79"/>
    <w:rsid w:val="00FF6F99"/>
    <w:rsid w:val="00FF6FCF"/>
    <w:rsid w:val="00FF6FE3"/>
    <w:rsid w:val="00FF6FF2"/>
    <w:rsid w:val="00FF7030"/>
    <w:rsid w:val="00FF7082"/>
    <w:rsid w:val="00FF708D"/>
    <w:rsid w:val="00FF711B"/>
    <w:rsid w:val="00FF7132"/>
    <w:rsid w:val="00FF7177"/>
    <w:rsid w:val="00FF7190"/>
    <w:rsid w:val="00FF72AD"/>
    <w:rsid w:val="00FF72D6"/>
    <w:rsid w:val="00FF7319"/>
    <w:rsid w:val="00FF734A"/>
    <w:rsid w:val="00FF7354"/>
    <w:rsid w:val="00FF7393"/>
    <w:rsid w:val="00FF743B"/>
    <w:rsid w:val="00FF7468"/>
    <w:rsid w:val="00FF746C"/>
    <w:rsid w:val="00FF74CE"/>
    <w:rsid w:val="00FF7567"/>
    <w:rsid w:val="00FF75DB"/>
    <w:rsid w:val="00FF7673"/>
    <w:rsid w:val="00FF76F0"/>
    <w:rsid w:val="00FF772A"/>
    <w:rsid w:val="00FF774B"/>
    <w:rsid w:val="00FF7791"/>
    <w:rsid w:val="00FF7793"/>
    <w:rsid w:val="00FF7846"/>
    <w:rsid w:val="00FF78B6"/>
    <w:rsid w:val="00FF79A9"/>
    <w:rsid w:val="00FF7A8F"/>
    <w:rsid w:val="00FF7A9A"/>
    <w:rsid w:val="00FF7AD1"/>
    <w:rsid w:val="00FF7AE3"/>
    <w:rsid w:val="00FF7AFB"/>
    <w:rsid w:val="00FF7B1F"/>
    <w:rsid w:val="00FF7B2F"/>
    <w:rsid w:val="00FF7B55"/>
    <w:rsid w:val="00FF7BBC"/>
    <w:rsid w:val="00FF7C23"/>
    <w:rsid w:val="00FF7C46"/>
    <w:rsid w:val="00FF7CEC"/>
    <w:rsid w:val="00FF7CFF"/>
    <w:rsid w:val="00FF7D56"/>
    <w:rsid w:val="00FF7E77"/>
    <w:rsid w:val="00FF7EFE"/>
    <w:rsid w:val="00FF7F1D"/>
    <w:rsid w:val="00FF7F62"/>
    <w:rsid w:val="00FFE55E"/>
    <w:rsid w:val="0100A047"/>
    <w:rsid w:val="0103AD6D"/>
    <w:rsid w:val="0104424E"/>
    <w:rsid w:val="01052CCF"/>
    <w:rsid w:val="010B6CBE"/>
    <w:rsid w:val="010C1DA0"/>
    <w:rsid w:val="010F69A8"/>
    <w:rsid w:val="0114EF40"/>
    <w:rsid w:val="011B63D2"/>
    <w:rsid w:val="011D3399"/>
    <w:rsid w:val="011D8457"/>
    <w:rsid w:val="011EACDE"/>
    <w:rsid w:val="01220656"/>
    <w:rsid w:val="01226283"/>
    <w:rsid w:val="012405FE"/>
    <w:rsid w:val="01251D26"/>
    <w:rsid w:val="0126367E"/>
    <w:rsid w:val="01276AF7"/>
    <w:rsid w:val="012ABA53"/>
    <w:rsid w:val="012C0CCB"/>
    <w:rsid w:val="0131F041"/>
    <w:rsid w:val="01396057"/>
    <w:rsid w:val="0139F50E"/>
    <w:rsid w:val="013C89FA"/>
    <w:rsid w:val="0147B3A1"/>
    <w:rsid w:val="0149CEF6"/>
    <w:rsid w:val="014AA848"/>
    <w:rsid w:val="014F3FB0"/>
    <w:rsid w:val="0151E8D0"/>
    <w:rsid w:val="015739D0"/>
    <w:rsid w:val="0157C41B"/>
    <w:rsid w:val="01581376"/>
    <w:rsid w:val="01590D5F"/>
    <w:rsid w:val="015A9A4B"/>
    <w:rsid w:val="015D80F0"/>
    <w:rsid w:val="015EC2E8"/>
    <w:rsid w:val="016019B6"/>
    <w:rsid w:val="0162338D"/>
    <w:rsid w:val="01656D37"/>
    <w:rsid w:val="0165F557"/>
    <w:rsid w:val="0166CD7C"/>
    <w:rsid w:val="0167B5C6"/>
    <w:rsid w:val="0168B3DC"/>
    <w:rsid w:val="016956F8"/>
    <w:rsid w:val="0169B78E"/>
    <w:rsid w:val="016B82F4"/>
    <w:rsid w:val="016C8912"/>
    <w:rsid w:val="01730290"/>
    <w:rsid w:val="0174A859"/>
    <w:rsid w:val="0175E1D9"/>
    <w:rsid w:val="0177CCD7"/>
    <w:rsid w:val="01823916"/>
    <w:rsid w:val="0182CD26"/>
    <w:rsid w:val="0184C645"/>
    <w:rsid w:val="018B2FAA"/>
    <w:rsid w:val="01914F18"/>
    <w:rsid w:val="019FECA0"/>
    <w:rsid w:val="01A2282C"/>
    <w:rsid w:val="01A43C57"/>
    <w:rsid w:val="01A493C7"/>
    <w:rsid w:val="01A8DD7E"/>
    <w:rsid w:val="01AA12EB"/>
    <w:rsid w:val="01AB3D66"/>
    <w:rsid w:val="01ABAABE"/>
    <w:rsid w:val="01B21068"/>
    <w:rsid w:val="01C26AD6"/>
    <w:rsid w:val="01C6A61E"/>
    <w:rsid w:val="01C6CC5B"/>
    <w:rsid w:val="01C89F90"/>
    <w:rsid w:val="01C9FBDE"/>
    <w:rsid w:val="01CCFEE1"/>
    <w:rsid w:val="01CDF8B3"/>
    <w:rsid w:val="01D53B36"/>
    <w:rsid w:val="01D764F8"/>
    <w:rsid w:val="01DBB696"/>
    <w:rsid w:val="01DD9233"/>
    <w:rsid w:val="01DFFB56"/>
    <w:rsid w:val="01E22A16"/>
    <w:rsid w:val="01E2B239"/>
    <w:rsid w:val="01E5FEB2"/>
    <w:rsid w:val="01E6F8C4"/>
    <w:rsid w:val="01E88118"/>
    <w:rsid w:val="01EE006A"/>
    <w:rsid w:val="01F1F157"/>
    <w:rsid w:val="01F7E507"/>
    <w:rsid w:val="01FB399B"/>
    <w:rsid w:val="01FEEEA1"/>
    <w:rsid w:val="020CA063"/>
    <w:rsid w:val="020F391B"/>
    <w:rsid w:val="02154C72"/>
    <w:rsid w:val="021561E2"/>
    <w:rsid w:val="02207413"/>
    <w:rsid w:val="02229460"/>
    <w:rsid w:val="02229ACE"/>
    <w:rsid w:val="0223EBDC"/>
    <w:rsid w:val="0224A665"/>
    <w:rsid w:val="02252C54"/>
    <w:rsid w:val="0226B1BA"/>
    <w:rsid w:val="022CBD2B"/>
    <w:rsid w:val="0234C898"/>
    <w:rsid w:val="023BAA13"/>
    <w:rsid w:val="023CB12A"/>
    <w:rsid w:val="0246EDFD"/>
    <w:rsid w:val="02483BB1"/>
    <w:rsid w:val="024860B5"/>
    <w:rsid w:val="024C6267"/>
    <w:rsid w:val="024DB350"/>
    <w:rsid w:val="024E4E48"/>
    <w:rsid w:val="02511A9E"/>
    <w:rsid w:val="025310F9"/>
    <w:rsid w:val="0255DD50"/>
    <w:rsid w:val="0258721D"/>
    <w:rsid w:val="025B224A"/>
    <w:rsid w:val="025E43DC"/>
    <w:rsid w:val="025FA165"/>
    <w:rsid w:val="0260668E"/>
    <w:rsid w:val="026421D0"/>
    <w:rsid w:val="02659E8D"/>
    <w:rsid w:val="02696C00"/>
    <w:rsid w:val="02698DFD"/>
    <w:rsid w:val="026B98C2"/>
    <w:rsid w:val="026F58F2"/>
    <w:rsid w:val="0270BDC0"/>
    <w:rsid w:val="02736226"/>
    <w:rsid w:val="02747506"/>
    <w:rsid w:val="0277B97D"/>
    <w:rsid w:val="027AB604"/>
    <w:rsid w:val="027BDD01"/>
    <w:rsid w:val="028A3BF3"/>
    <w:rsid w:val="028D2923"/>
    <w:rsid w:val="029ADAF3"/>
    <w:rsid w:val="029E1865"/>
    <w:rsid w:val="029FF645"/>
    <w:rsid w:val="02A5BFBC"/>
    <w:rsid w:val="02A75CD8"/>
    <w:rsid w:val="02A9ECC5"/>
    <w:rsid w:val="02AA9243"/>
    <w:rsid w:val="02AB6405"/>
    <w:rsid w:val="02ABAA97"/>
    <w:rsid w:val="02AD5356"/>
    <w:rsid w:val="02AF44AA"/>
    <w:rsid w:val="02B106F4"/>
    <w:rsid w:val="02B22C09"/>
    <w:rsid w:val="02B23ACB"/>
    <w:rsid w:val="02B34ABF"/>
    <w:rsid w:val="02B3B107"/>
    <w:rsid w:val="02B6B93E"/>
    <w:rsid w:val="02B92E81"/>
    <w:rsid w:val="02BA3E7C"/>
    <w:rsid w:val="02BC4AA9"/>
    <w:rsid w:val="02C1968B"/>
    <w:rsid w:val="02C20E44"/>
    <w:rsid w:val="02C32D01"/>
    <w:rsid w:val="02C38C96"/>
    <w:rsid w:val="02C598F9"/>
    <w:rsid w:val="02C60512"/>
    <w:rsid w:val="02C629A8"/>
    <w:rsid w:val="02C6F97B"/>
    <w:rsid w:val="02C70366"/>
    <w:rsid w:val="02CAB898"/>
    <w:rsid w:val="02CE22FA"/>
    <w:rsid w:val="02D2CF8F"/>
    <w:rsid w:val="02E177F4"/>
    <w:rsid w:val="02E80967"/>
    <w:rsid w:val="02EC2863"/>
    <w:rsid w:val="02EE5418"/>
    <w:rsid w:val="02FB0CDB"/>
    <w:rsid w:val="03005D1F"/>
    <w:rsid w:val="03045E20"/>
    <w:rsid w:val="0307F128"/>
    <w:rsid w:val="030B1E93"/>
    <w:rsid w:val="030B4EF1"/>
    <w:rsid w:val="030B980B"/>
    <w:rsid w:val="030DF699"/>
    <w:rsid w:val="030E81F6"/>
    <w:rsid w:val="0312CB70"/>
    <w:rsid w:val="03136D48"/>
    <w:rsid w:val="03182B75"/>
    <w:rsid w:val="031BECB3"/>
    <w:rsid w:val="031D06C1"/>
    <w:rsid w:val="031FFA64"/>
    <w:rsid w:val="0321D98B"/>
    <w:rsid w:val="03223C76"/>
    <w:rsid w:val="03225C76"/>
    <w:rsid w:val="032427E3"/>
    <w:rsid w:val="0329F476"/>
    <w:rsid w:val="032C296C"/>
    <w:rsid w:val="0330529C"/>
    <w:rsid w:val="033668EA"/>
    <w:rsid w:val="0337E5AE"/>
    <w:rsid w:val="033AECF0"/>
    <w:rsid w:val="033BE6C3"/>
    <w:rsid w:val="033C362C"/>
    <w:rsid w:val="033DE612"/>
    <w:rsid w:val="03409B5E"/>
    <w:rsid w:val="03422975"/>
    <w:rsid w:val="0342C1E8"/>
    <w:rsid w:val="0345B2BE"/>
    <w:rsid w:val="03499043"/>
    <w:rsid w:val="0349CE66"/>
    <w:rsid w:val="034A32F7"/>
    <w:rsid w:val="034A9FD8"/>
    <w:rsid w:val="034BED1B"/>
    <w:rsid w:val="03530228"/>
    <w:rsid w:val="035A4883"/>
    <w:rsid w:val="035F858D"/>
    <w:rsid w:val="0367815D"/>
    <w:rsid w:val="036B2E29"/>
    <w:rsid w:val="036CA520"/>
    <w:rsid w:val="037C0473"/>
    <w:rsid w:val="037F7AB8"/>
    <w:rsid w:val="037FEC27"/>
    <w:rsid w:val="03806F03"/>
    <w:rsid w:val="03823261"/>
    <w:rsid w:val="03831FA0"/>
    <w:rsid w:val="03841625"/>
    <w:rsid w:val="03899095"/>
    <w:rsid w:val="038AA85C"/>
    <w:rsid w:val="038B45ED"/>
    <w:rsid w:val="038D4BF5"/>
    <w:rsid w:val="039237AE"/>
    <w:rsid w:val="0392C303"/>
    <w:rsid w:val="0393B3C9"/>
    <w:rsid w:val="0393D5FB"/>
    <w:rsid w:val="03A2CB95"/>
    <w:rsid w:val="03A600CA"/>
    <w:rsid w:val="03A64F5F"/>
    <w:rsid w:val="03A8653A"/>
    <w:rsid w:val="03A8723A"/>
    <w:rsid w:val="03A96B74"/>
    <w:rsid w:val="03AE39F2"/>
    <w:rsid w:val="03BA04D7"/>
    <w:rsid w:val="03C0F264"/>
    <w:rsid w:val="03C49457"/>
    <w:rsid w:val="03C73CBC"/>
    <w:rsid w:val="03C7A3D2"/>
    <w:rsid w:val="03C9B04A"/>
    <w:rsid w:val="03D8BD08"/>
    <w:rsid w:val="03DABCA4"/>
    <w:rsid w:val="03DB8355"/>
    <w:rsid w:val="03E6AB2F"/>
    <w:rsid w:val="03E7DC71"/>
    <w:rsid w:val="03EA5DC1"/>
    <w:rsid w:val="03ECB9DF"/>
    <w:rsid w:val="03ED6D3E"/>
    <w:rsid w:val="03EF06E4"/>
    <w:rsid w:val="03EF8F0D"/>
    <w:rsid w:val="03F1B8E5"/>
    <w:rsid w:val="03F5A20B"/>
    <w:rsid w:val="03FBCA80"/>
    <w:rsid w:val="03FE20C7"/>
    <w:rsid w:val="0405FAA4"/>
    <w:rsid w:val="04068E65"/>
    <w:rsid w:val="04079146"/>
    <w:rsid w:val="0409D655"/>
    <w:rsid w:val="040A1176"/>
    <w:rsid w:val="0411E554"/>
    <w:rsid w:val="0413B7FE"/>
    <w:rsid w:val="0413C315"/>
    <w:rsid w:val="0415571C"/>
    <w:rsid w:val="041B0C1E"/>
    <w:rsid w:val="041E49F7"/>
    <w:rsid w:val="041ECF0D"/>
    <w:rsid w:val="04231332"/>
    <w:rsid w:val="04262005"/>
    <w:rsid w:val="04274A33"/>
    <w:rsid w:val="042970E8"/>
    <w:rsid w:val="04322F1D"/>
    <w:rsid w:val="04327507"/>
    <w:rsid w:val="0434A876"/>
    <w:rsid w:val="0436A878"/>
    <w:rsid w:val="0437A912"/>
    <w:rsid w:val="043BC59E"/>
    <w:rsid w:val="043CDEA6"/>
    <w:rsid w:val="043E670B"/>
    <w:rsid w:val="0445399A"/>
    <w:rsid w:val="044A47CB"/>
    <w:rsid w:val="044CDD34"/>
    <w:rsid w:val="045054EA"/>
    <w:rsid w:val="0450FBF0"/>
    <w:rsid w:val="045163D1"/>
    <w:rsid w:val="0454A7AA"/>
    <w:rsid w:val="0457ADB1"/>
    <w:rsid w:val="045836D7"/>
    <w:rsid w:val="04588463"/>
    <w:rsid w:val="045B3019"/>
    <w:rsid w:val="045C90D7"/>
    <w:rsid w:val="0461ECDD"/>
    <w:rsid w:val="0464E5BE"/>
    <w:rsid w:val="0469B6C7"/>
    <w:rsid w:val="046B881F"/>
    <w:rsid w:val="046CF680"/>
    <w:rsid w:val="046D24FF"/>
    <w:rsid w:val="046DA39C"/>
    <w:rsid w:val="046E2F0A"/>
    <w:rsid w:val="046F1457"/>
    <w:rsid w:val="047BD379"/>
    <w:rsid w:val="047F8F1B"/>
    <w:rsid w:val="04865481"/>
    <w:rsid w:val="0486F1D8"/>
    <w:rsid w:val="0487B410"/>
    <w:rsid w:val="0487DDE0"/>
    <w:rsid w:val="048BC49E"/>
    <w:rsid w:val="0492793C"/>
    <w:rsid w:val="0492D4F8"/>
    <w:rsid w:val="0492FE8D"/>
    <w:rsid w:val="04964223"/>
    <w:rsid w:val="04968EAF"/>
    <w:rsid w:val="0497201C"/>
    <w:rsid w:val="049A581A"/>
    <w:rsid w:val="049C02B0"/>
    <w:rsid w:val="04A1743E"/>
    <w:rsid w:val="04A34E51"/>
    <w:rsid w:val="04A6496C"/>
    <w:rsid w:val="04A9B072"/>
    <w:rsid w:val="04AD94E4"/>
    <w:rsid w:val="04ADB1D4"/>
    <w:rsid w:val="04AE5C73"/>
    <w:rsid w:val="04AF6855"/>
    <w:rsid w:val="04B0C9DE"/>
    <w:rsid w:val="04B1CD4A"/>
    <w:rsid w:val="04B3259C"/>
    <w:rsid w:val="04B37DB0"/>
    <w:rsid w:val="04B3AEE1"/>
    <w:rsid w:val="04B8241B"/>
    <w:rsid w:val="04BCFB02"/>
    <w:rsid w:val="04C55D8A"/>
    <w:rsid w:val="04D4401C"/>
    <w:rsid w:val="04DAD0CE"/>
    <w:rsid w:val="04DE74A5"/>
    <w:rsid w:val="04E043A0"/>
    <w:rsid w:val="04E6DC75"/>
    <w:rsid w:val="04EB24BF"/>
    <w:rsid w:val="04EBB362"/>
    <w:rsid w:val="04F319D7"/>
    <w:rsid w:val="04F31AEB"/>
    <w:rsid w:val="04F5C70F"/>
    <w:rsid w:val="04F5D568"/>
    <w:rsid w:val="04F91A1F"/>
    <w:rsid w:val="04FC6549"/>
    <w:rsid w:val="04FE6573"/>
    <w:rsid w:val="050246C9"/>
    <w:rsid w:val="05092255"/>
    <w:rsid w:val="050B6383"/>
    <w:rsid w:val="0510ED75"/>
    <w:rsid w:val="0515B087"/>
    <w:rsid w:val="05167242"/>
    <w:rsid w:val="0518A4E9"/>
    <w:rsid w:val="0518D834"/>
    <w:rsid w:val="0519ACF7"/>
    <w:rsid w:val="05207C2D"/>
    <w:rsid w:val="0522676A"/>
    <w:rsid w:val="05228E43"/>
    <w:rsid w:val="052854DE"/>
    <w:rsid w:val="05382B7A"/>
    <w:rsid w:val="053BF645"/>
    <w:rsid w:val="053F52BA"/>
    <w:rsid w:val="0540257C"/>
    <w:rsid w:val="05402723"/>
    <w:rsid w:val="05405B7F"/>
    <w:rsid w:val="0543CECB"/>
    <w:rsid w:val="0546AEBD"/>
    <w:rsid w:val="054FCEF7"/>
    <w:rsid w:val="0552C86B"/>
    <w:rsid w:val="0552EDE3"/>
    <w:rsid w:val="0558AE2B"/>
    <w:rsid w:val="055993FB"/>
    <w:rsid w:val="055CAE1F"/>
    <w:rsid w:val="05656552"/>
    <w:rsid w:val="05680890"/>
    <w:rsid w:val="056DB507"/>
    <w:rsid w:val="056FC494"/>
    <w:rsid w:val="057AD4B7"/>
    <w:rsid w:val="057AF312"/>
    <w:rsid w:val="057B305C"/>
    <w:rsid w:val="057D86A2"/>
    <w:rsid w:val="057F139D"/>
    <w:rsid w:val="05810C14"/>
    <w:rsid w:val="058198BE"/>
    <w:rsid w:val="05859979"/>
    <w:rsid w:val="0588AF74"/>
    <w:rsid w:val="058A38C7"/>
    <w:rsid w:val="05904076"/>
    <w:rsid w:val="05922003"/>
    <w:rsid w:val="059EC752"/>
    <w:rsid w:val="059F32E8"/>
    <w:rsid w:val="05A161C0"/>
    <w:rsid w:val="05A33933"/>
    <w:rsid w:val="05A4212A"/>
    <w:rsid w:val="05A46709"/>
    <w:rsid w:val="05A79B72"/>
    <w:rsid w:val="05AB4230"/>
    <w:rsid w:val="05ACC060"/>
    <w:rsid w:val="05AD60EB"/>
    <w:rsid w:val="05B3E9FB"/>
    <w:rsid w:val="05B50DF4"/>
    <w:rsid w:val="05B61FF5"/>
    <w:rsid w:val="05B69C3C"/>
    <w:rsid w:val="05B6C981"/>
    <w:rsid w:val="05B6D39F"/>
    <w:rsid w:val="05B96907"/>
    <w:rsid w:val="05C05D33"/>
    <w:rsid w:val="05C0D8F2"/>
    <w:rsid w:val="05C3D96E"/>
    <w:rsid w:val="05C62687"/>
    <w:rsid w:val="05C6CBC1"/>
    <w:rsid w:val="05C9FB8D"/>
    <w:rsid w:val="05CB2AF2"/>
    <w:rsid w:val="05CCFBEE"/>
    <w:rsid w:val="05CDF48D"/>
    <w:rsid w:val="05D389AC"/>
    <w:rsid w:val="05D6CC1F"/>
    <w:rsid w:val="05D7B2D3"/>
    <w:rsid w:val="05D869B9"/>
    <w:rsid w:val="05D974C7"/>
    <w:rsid w:val="05E46A6D"/>
    <w:rsid w:val="05EA596E"/>
    <w:rsid w:val="05EC808F"/>
    <w:rsid w:val="05ECB2C0"/>
    <w:rsid w:val="05ED93EA"/>
    <w:rsid w:val="06019788"/>
    <w:rsid w:val="060A9459"/>
    <w:rsid w:val="060B28FE"/>
    <w:rsid w:val="060FC940"/>
    <w:rsid w:val="06148ACB"/>
    <w:rsid w:val="0614B6EB"/>
    <w:rsid w:val="06156926"/>
    <w:rsid w:val="061658CA"/>
    <w:rsid w:val="0620C1B5"/>
    <w:rsid w:val="0638E9CB"/>
    <w:rsid w:val="063A2F30"/>
    <w:rsid w:val="063BD0AB"/>
    <w:rsid w:val="063F0000"/>
    <w:rsid w:val="063F3AC7"/>
    <w:rsid w:val="06457D8F"/>
    <w:rsid w:val="06457E3B"/>
    <w:rsid w:val="0645B5BA"/>
    <w:rsid w:val="0647206A"/>
    <w:rsid w:val="064A6226"/>
    <w:rsid w:val="064AC1CC"/>
    <w:rsid w:val="064F256C"/>
    <w:rsid w:val="0650081B"/>
    <w:rsid w:val="06531130"/>
    <w:rsid w:val="0655D239"/>
    <w:rsid w:val="06571B55"/>
    <w:rsid w:val="065ACCEF"/>
    <w:rsid w:val="06606355"/>
    <w:rsid w:val="066327C8"/>
    <w:rsid w:val="0663C3D3"/>
    <w:rsid w:val="06672623"/>
    <w:rsid w:val="0668CDFD"/>
    <w:rsid w:val="066A118B"/>
    <w:rsid w:val="066C7222"/>
    <w:rsid w:val="066E6E55"/>
    <w:rsid w:val="066FF7E4"/>
    <w:rsid w:val="0673AC93"/>
    <w:rsid w:val="0674C81B"/>
    <w:rsid w:val="0674D337"/>
    <w:rsid w:val="0679E459"/>
    <w:rsid w:val="067B11DB"/>
    <w:rsid w:val="067B2607"/>
    <w:rsid w:val="067B4F42"/>
    <w:rsid w:val="067BD7FF"/>
    <w:rsid w:val="06841F4F"/>
    <w:rsid w:val="06847F3F"/>
    <w:rsid w:val="06931D8A"/>
    <w:rsid w:val="0693E083"/>
    <w:rsid w:val="0695D5C3"/>
    <w:rsid w:val="0699D9A4"/>
    <w:rsid w:val="0699EF37"/>
    <w:rsid w:val="069A9E3A"/>
    <w:rsid w:val="069E8065"/>
    <w:rsid w:val="06A1B7D4"/>
    <w:rsid w:val="06A22B30"/>
    <w:rsid w:val="06A61FC2"/>
    <w:rsid w:val="06AB2B54"/>
    <w:rsid w:val="06B098E5"/>
    <w:rsid w:val="06B873C0"/>
    <w:rsid w:val="06C26B58"/>
    <w:rsid w:val="06C3FD3C"/>
    <w:rsid w:val="06C51F04"/>
    <w:rsid w:val="06C665F3"/>
    <w:rsid w:val="06C8604B"/>
    <w:rsid w:val="06CE2A3B"/>
    <w:rsid w:val="06CF7E91"/>
    <w:rsid w:val="06D30F25"/>
    <w:rsid w:val="06D35BD0"/>
    <w:rsid w:val="06DD11CA"/>
    <w:rsid w:val="06E58D91"/>
    <w:rsid w:val="06E744BA"/>
    <w:rsid w:val="06E7A903"/>
    <w:rsid w:val="06E9F520"/>
    <w:rsid w:val="06F1DEAE"/>
    <w:rsid w:val="0700E50D"/>
    <w:rsid w:val="07040D15"/>
    <w:rsid w:val="07041C91"/>
    <w:rsid w:val="0705B264"/>
    <w:rsid w:val="07069A75"/>
    <w:rsid w:val="070CFC05"/>
    <w:rsid w:val="070F3EE4"/>
    <w:rsid w:val="07106722"/>
    <w:rsid w:val="0714F4BC"/>
    <w:rsid w:val="0715F42E"/>
    <w:rsid w:val="071B877D"/>
    <w:rsid w:val="0728F772"/>
    <w:rsid w:val="0728F80F"/>
    <w:rsid w:val="072D9C1B"/>
    <w:rsid w:val="072E9D06"/>
    <w:rsid w:val="07317FF9"/>
    <w:rsid w:val="07386220"/>
    <w:rsid w:val="073895CD"/>
    <w:rsid w:val="073B8BAD"/>
    <w:rsid w:val="073EE0ED"/>
    <w:rsid w:val="073F6576"/>
    <w:rsid w:val="0746535B"/>
    <w:rsid w:val="074DA893"/>
    <w:rsid w:val="0751349B"/>
    <w:rsid w:val="0757B99E"/>
    <w:rsid w:val="075AE31F"/>
    <w:rsid w:val="075C7884"/>
    <w:rsid w:val="075F42DF"/>
    <w:rsid w:val="076377A5"/>
    <w:rsid w:val="0768C556"/>
    <w:rsid w:val="076B5367"/>
    <w:rsid w:val="076DEDDC"/>
    <w:rsid w:val="076EC272"/>
    <w:rsid w:val="0770BC8C"/>
    <w:rsid w:val="077B0C2C"/>
    <w:rsid w:val="077B9D5A"/>
    <w:rsid w:val="0780C2B8"/>
    <w:rsid w:val="0782B4AC"/>
    <w:rsid w:val="078309A2"/>
    <w:rsid w:val="0789C6E7"/>
    <w:rsid w:val="078B66AE"/>
    <w:rsid w:val="078B752E"/>
    <w:rsid w:val="078BAB98"/>
    <w:rsid w:val="078DD91C"/>
    <w:rsid w:val="0790E567"/>
    <w:rsid w:val="0796183A"/>
    <w:rsid w:val="07968363"/>
    <w:rsid w:val="0797296F"/>
    <w:rsid w:val="079CE52F"/>
    <w:rsid w:val="07ADC0E8"/>
    <w:rsid w:val="07B5A371"/>
    <w:rsid w:val="07BBAF71"/>
    <w:rsid w:val="07BDA359"/>
    <w:rsid w:val="07C3BB11"/>
    <w:rsid w:val="07C7EEB1"/>
    <w:rsid w:val="07CA6A54"/>
    <w:rsid w:val="07CAC4BA"/>
    <w:rsid w:val="07CBEC8D"/>
    <w:rsid w:val="07CCD4BC"/>
    <w:rsid w:val="07D46E6C"/>
    <w:rsid w:val="07DADB75"/>
    <w:rsid w:val="07DE19D4"/>
    <w:rsid w:val="07E6398A"/>
    <w:rsid w:val="07EC8C6D"/>
    <w:rsid w:val="07F820E2"/>
    <w:rsid w:val="07FA645D"/>
    <w:rsid w:val="07FCBD2A"/>
    <w:rsid w:val="08012DB1"/>
    <w:rsid w:val="08015B09"/>
    <w:rsid w:val="08023221"/>
    <w:rsid w:val="0802E356"/>
    <w:rsid w:val="080327F9"/>
    <w:rsid w:val="0807AF1E"/>
    <w:rsid w:val="080D1C07"/>
    <w:rsid w:val="080E741F"/>
    <w:rsid w:val="08144D9A"/>
    <w:rsid w:val="0818CBED"/>
    <w:rsid w:val="081C6775"/>
    <w:rsid w:val="081DD934"/>
    <w:rsid w:val="081EE69C"/>
    <w:rsid w:val="082206DC"/>
    <w:rsid w:val="08223797"/>
    <w:rsid w:val="0824F1EF"/>
    <w:rsid w:val="08294AF1"/>
    <w:rsid w:val="083377B0"/>
    <w:rsid w:val="0835AC92"/>
    <w:rsid w:val="083B92B8"/>
    <w:rsid w:val="083E6FEF"/>
    <w:rsid w:val="083F88CE"/>
    <w:rsid w:val="08487622"/>
    <w:rsid w:val="084AF819"/>
    <w:rsid w:val="084D3474"/>
    <w:rsid w:val="0859B049"/>
    <w:rsid w:val="085BDB98"/>
    <w:rsid w:val="0861B679"/>
    <w:rsid w:val="08627192"/>
    <w:rsid w:val="086329FC"/>
    <w:rsid w:val="08678605"/>
    <w:rsid w:val="086AE3B2"/>
    <w:rsid w:val="086F8559"/>
    <w:rsid w:val="086FE96F"/>
    <w:rsid w:val="08716378"/>
    <w:rsid w:val="087319A6"/>
    <w:rsid w:val="0874C4B6"/>
    <w:rsid w:val="0879F5A4"/>
    <w:rsid w:val="087F667D"/>
    <w:rsid w:val="0880E84F"/>
    <w:rsid w:val="08836D27"/>
    <w:rsid w:val="0884931F"/>
    <w:rsid w:val="0889B867"/>
    <w:rsid w:val="088C5E87"/>
    <w:rsid w:val="088EAB00"/>
    <w:rsid w:val="0890C389"/>
    <w:rsid w:val="0896D895"/>
    <w:rsid w:val="0899AE6F"/>
    <w:rsid w:val="0899BBE0"/>
    <w:rsid w:val="089AE30D"/>
    <w:rsid w:val="08A20C2E"/>
    <w:rsid w:val="08A3E95E"/>
    <w:rsid w:val="08A5CDFC"/>
    <w:rsid w:val="08A752D0"/>
    <w:rsid w:val="08A98492"/>
    <w:rsid w:val="08ADE94D"/>
    <w:rsid w:val="08ADF249"/>
    <w:rsid w:val="08B253A5"/>
    <w:rsid w:val="08B7F0E1"/>
    <w:rsid w:val="08BAA06E"/>
    <w:rsid w:val="08BE8657"/>
    <w:rsid w:val="08BFEB5E"/>
    <w:rsid w:val="08C1CBAF"/>
    <w:rsid w:val="08C7571C"/>
    <w:rsid w:val="08C7CA8A"/>
    <w:rsid w:val="08C8EFFC"/>
    <w:rsid w:val="08C987F2"/>
    <w:rsid w:val="08CB3498"/>
    <w:rsid w:val="08CB34C9"/>
    <w:rsid w:val="08CC5DA3"/>
    <w:rsid w:val="08CF375C"/>
    <w:rsid w:val="08D44CB4"/>
    <w:rsid w:val="08D8C9C3"/>
    <w:rsid w:val="08DD9C0A"/>
    <w:rsid w:val="08DFB2FA"/>
    <w:rsid w:val="08EA0337"/>
    <w:rsid w:val="08F33275"/>
    <w:rsid w:val="08F4A625"/>
    <w:rsid w:val="08F51BCE"/>
    <w:rsid w:val="08F879A2"/>
    <w:rsid w:val="09012824"/>
    <w:rsid w:val="09064129"/>
    <w:rsid w:val="090718A1"/>
    <w:rsid w:val="090DD811"/>
    <w:rsid w:val="09172C26"/>
    <w:rsid w:val="09192299"/>
    <w:rsid w:val="091C69D9"/>
    <w:rsid w:val="091E0FB1"/>
    <w:rsid w:val="091EB9CE"/>
    <w:rsid w:val="09309843"/>
    <w:rsid w:val="09316A2C"/>
    <w:rsid w:val="0932405D"/>
    <w:rsid w:val="09325062"/>
    <w:rsid w:val="0934E396"/>
    <w:rsid w:val="0935A4EF"/>
    <w:rsid w:val="093E1C8C"/>
    <w:rsid w:val="09485D84"/>
    <w:rsid w:val="094B025D"/>
    <w:rsid w:val="094DC353"/>
    <w:rsid w:val="094E8F34"/>
    <w:rsid w:val="095870E8"/>
    <w:rsid w:val="09598460"/>
    <w:rsid w:val="095D473B"/>
    <w:rsid w:val="095EADFE"/>
    <w:rsid w:val="0960000D"/>
    <w:rsid w:val="09604BD5"/>
    <w:rsid w:val="09662A28"/>
    <w:rsid w:val="09667104"/>
    <w:rsid w:val="096738D9"/>
    <w:rsid w:val="096864BF"/>
    <w:rsid w:val="096878C7"/>
    <w:rsid w:val="096BB20A"/>
    <w:rsid w:val="0972F820"/>
    <w:rsid w:val="09747ADF"/>
    <w:rsid w:val="0975BCFE"/>
    <w:rsid w:val="097A74CD"/>
    <w:rsid w:val="097BBD91"/>
    <w:rsid w:val="0980C586"/>
    <w:rsid w:val="09815FBA"/>
    <w:rsid w:val="098F3B81"/>
    <w:rsid w:val="0990A0F0"/>
    <w:rsid w:val="0990E45B"/>
    <w:rsid w:val="0992764D"/>
    <w:rsid w:val="0993635B"/>
    <w:rsid w:val="09945184"/>
    <w:rsid w:val="0994E5EE"/>
    <w:rsid w:val="0995C20F"/>
    <w:rsid w:val="099C2122"/>
    <w:rsid w:val="09A2ABAD"/>
    <w:rsid w:val="09A2C4CC"/>
    <w:rsid w:val="09A490A1"/>
    <w:rsid w:val="09A697CA"/>
    <w:rsid w:val="09A838BA"/>
    <w:rsid w:val="09A88ADD"/>
    <w:rsid w:val="09AAD8AA"/>
    <w:rsid w:val="09AF809A"/>
    <w:rsid w:val="09AFA274"/>
    <w:rsid w:val="09B16F16"/>
    <w:rsid w:val="09B1A43B"/>
    <w:rsid w:val="09B42BAE"/>
    <w:rsid w:val="09B8BCC9"/>
    <w:rsid w:val="09B8D99B"/>
    <w:rsid w:val="09BA4F9F"/>
    <w:rsid w:val="09BC6EAE"/>
    <w:rsid w:val="09C39C61"/>
    <w:rsid w:val="09C4099C"/>
    <w:rsid w:val="09CF025C"/>
    <w:rsid w:val="09D1248F"/>
    <w:rsid w:val="09D29B83"/>
    <w:rsid w:val="09DA1CDE"/>
    <w:rsid w:val="09DD3A3F"/>
    <w:rsid w:val="09E1C836"/>
    <w:rsid w:val="09E30EAD"/>
    <w:rsid w:val="09E43C25"/>
    <w:rsid w:val="09E5FC6D"/>
    <w:rsid w:val="09E8BDB3"/>
    <w:rsid w:val="09E9858B"/>
    <w:rsid w:val="09EC258D"/>
    <w:rsid w:val="09EEA6E8"/>
    <w:rsid w:val="09F0B8C6"/>
    <w:rsid w:val="09F107A1"/>
    <w:rsid w:val="09F4A91F"/>
    <w:rsid w:val="09F6F4BD"/>
    <w:rsid w:val="0A03BA08"/>
    <w:rsid w:val="0A055426"/>
    <w:rsid w:val="0A0BAC95"/>
    <w:rsid w:val="0A0FAC51"/>
    <w:rsid w:val="0A11A140"/>
    <w:rsid w:val="0A1295C7"/>
    <w:rsid w:val="0A190F89"/>
    <w:rsid w:val="0A1A21AF"/>
    <w:rsid w:val="0A1CA87B"/>
    <w:rsid w:val="0A226B3F"/>
    <w:rsid w:val="0A23419B"/>
    <w:rsid w:val="0A28B040"/>
    <w:rsid w:val="0A29B548"/>
    <w:rsid w:val="0A2B870C"/>
    <w:rsid w:val="0A2CB233"/>
    <w:rsid w:val="0A2F5962"/>
    <w:rsid w:val="0A2FE938"/>
    <w:rsid w:val="0A3031DC"/>
    <w:rsid w:val="0A30CE7E"/>
    <w:rsid w:val="0A3B00E5"/>
    <w:rsid w:val="0A3DA979"/>
    <w:rsid w:val="0A400F32"/>
    <w:rsid w:val="0A40675D"/>
    <w:rsid w:val="0A45156E"/>
    <w:rsid w:val="0A45C949"/>
    <w:rsid w:val="0A468772"/>
    <w:rsid w:val="0A46A729"/>
    <w:rsid w:val="0A4737BB"/>
    <w:rsid w:val="0A49F561"/>
    <w:rsid w:val="0A51848F"/>
    <w:rsid w:val="0A52B6D8"/>
    <w:rsid w:val="0A53AEE5"/>
    <w:rsid w:val="0A53CD3A"/>
    <w:rsid w:val="0A5B1768"/>
    <w:rsid w:val="0A5D2B80"/>
    <w:rsid w:val="0A5F3284"/>
    <w:rsid w:val="0A6A5050"/>
    <w:rsid w:val="0A72277C"/>
    <w:rsid w:val="0A73D40D"/>
    <w:rsid w:val="0A787164"/>
    <w:rsid w:val="0A7D7917"/>
    <w:rsid w:val="0A7F6016"/>
    <w:rsid w:val="0A8191EE"/>
    <w:rsid w:val="0A91BA1B"/>
    <w:rsid w:val="0A9334E3"/>
    <w:rsid w:val="0A967E9C"/>
    <w:rsid w:val="0A973D38"/>
    <w:rsid w:val="0A97BC9B"/>
    <w:rsid w:val="0A9B9EC4"/>
    <w:rsid w:val="0A9DA068"/>
    <w:rsid w:val="0A9FA9DA"/>
    <w:rsid w:val="0AA097CA"/>
    <w:rsid w:val="0AA40C5B"/>
    <w:rsid w:val="0AAD482F"/>
    <w:rsid w:val="0ACACCCC"/>
    <w:rsid w:val="0ACCCF1D"/>
    <w:rsid w:val="0ACF9209"/>
    <w:rsid w:val="0AD0223A"/>
    <w:rsid w:val="0AD16017"/>
    <w:rsid w:val="0AD49F3A"/>
    <w:rsid w:val="0AD848C5"/>
    <w:rsid w:val="0ADA5D13"/>
    <w:rsid w:val="0ADDB756"/>
    <w:rsid w:val="0ADE68C5"/>
    <w:rsid w:val="0AE00298"/>
    <w:rsid w:val="0AE0D278"/>
    <w:rsid w:val="0AE6108F"/>
    <w:rsid w:val="0AEA4653"/>
    <w:rsid w:val="0AECDFD0"/>
    <w:rsid w:val="0AF11677"/>
    <w:rsid w:val="0AF1FBE7"/>
    <w:rsid w:val="0AF2AC5C"/>
    <w:rsid w:val="0AF33FA6"/>
    <w:rsid w:val="0AF4E79E"/>
    <w:rsid w:val="0AF57AED"/>
    <w:rsid w:val="0AF66997"/>
    <w:rsid w:val="0AF6F0A9"/>
    <w:rsid w:val="0AF90ACA"/>
    <w:rsid w:val="0AFB02AE"/>
    <w:rsid w:val="0AFB09E5"/>
    <w:rsid w:val="0AFD8393"/>
    <w:rsid w:val="0B0124D7"/>
    <w:rsid w:val="0B05825D"/>
    <w:rsid w:val="0B0A9EC2"/>
    <w:rsid w:val="0B105DF1"/>
    <w:rsid w:val="0B110940"/>
    <w:rsid w:val="0B1B44DF"/>
    <w:rsid w:val="0B1BA7F8"/>
    <w:rsid w:val="0B1F3414"/>
    <w:rsid w:val="0B2005EF"/>
    <w:rsid w:val="0B2101BE"/>
    <w:rsid w:val="0B212F0E"/>
    <w:rsid w:val="0B310770"/>
    <w:rsid w:val="0B316F75"/>
    <w:rsid w:val="0B385BE6"/>
    <w:rsid w:val="0B3C84F2"/>
    <w:rsid w:val="0B3F07E7"/>
    <w:rsid w:val="0B417BB6"/>
    <w:rsid w:val="0B455DA0"/>
    <w:rsid w:val="0B465361"/>
    <w:rsid w:val="0B466ECF"/>
    <w:rsid w:val="0B482576"/>
    <w:rsid w:val="0B4FEB45"/>
    <w:rsid w:val="0B506C55"/>
    <w:rsid w:val="0B513222"/>
    <w:rsid w:val="0B51E6FC"/>
    <w:rsid w:val="0B54D8C4"/>
    <w:rsid w:val="0B55A679"/>
    <w:rsid w:val="0B56A8EE"/>
    <w:rsid w:val="0B5A880C"/>
    <w:rsid w:val="0B5DC992"/>
    <w:rsid w:val="0B5F5F46"/>
    <w:rsid w:val="0B61EEEC"/>
    <w:rsid w:val="0B637C18"/>
    <w:rsid w:val="0B64432B"/>
    <w:rsid w:val="0B668F41"/>
    <w:rsid w:val="0B66E35F"/>
    <w:rsid w:val="0B67DEA3"/>
    <w:rsid w:val="0B6DB625"/>
    <w:rsid w:val="0B726B97"/>
    <w:rsid w:val="0B75D6D0"/>
    <w:rsid w:val="0B7B226C"/>
    <w:rsid w:val="0B87D8F6"/>
    <w:rsid w:val="0B8D24F8"/>
    <w:rsid w:val="0B8E224B"/>
    <w:rsid w:val="0B8F68FB"/>
    <w:rsid w:val="0B92522D"/>
    <w:rsid w:val="0B9311ED"/>
    <w:rsid w:val="0B97E85A"/>
    <w:rsid w:val="0BA80A8D"/>
    <w:rsid w:val="0BAC5D40"/>
    <w:rsid w:val="0BAFFE30"/>
    <w:rsid w:val="0BB0C2FE"/>
    <w:rsid w:val="0BB1B9C9"/>
    <w:rsid w:val="0BB246E6"/>
    <w:rsid w:val="0BB5A231"/>
    <w:rsid w:val="0BBC8646"/>
    <w:rsid w:val="0BBE1339"/>
    <w:rsid w:val="0BC2E327"/>
    <w:rsid w:val="0BC2F1BD"/>
    <w:rsid w:val="0BC506E4"/>
    <w:rsid w:val="0BCAC29C"/>
    <w:rsid w:val="0BCB3728"/>
    <w:rsid w:val="0BD47A27"/>
    <w:rsid w:val="0BD7946B"/>
    <w:rsid w:val="0BD7F3C9"/>
    <w:rsid w:val="0BD8A90B"/>
    <w:rsid w:val="0BD9B0C0"/>
    <w:rsid w:val="0BD9BED7"/>
    <w:rsid w:val="0BDA8F86"/>
    <w:rsid w:val="0BDB7F84"/>
    <w:rsid w:val="0BDD3A1B"/>
    <w:rsid w:val="0BDD8F4B"/>
    <w:rsid w:val="0BDE58D7"/>
    <w:rsid w:val="0BF07395"/>
    <w:rsid w:val="0BF444DA"/>
    <w:rsid w:val="0BF59F84"/>
    <w:rsid w:val="0BF6B27C"/>
    <w:rsid w:val="0BFD468D"/>
    <w:rsid w:val="0C05D1E1"/>
    <w:rsid w:val="0C0D612F"/>
    <w:rsid w:val="0C0F3626"/>
    <w:rsid w:val="0C12B189"/>
    <w:rsid w:val="0C13CCF7"/>
    <w:rsid w:val="0C15C5E6"/>
    <w:rsid w:val="0C15ECEE"/>
    <w:rsid w:val="0C1BAA6F"/>
    <w:rsid w:val="0C1CE3B6"/>
    <w:rsid w:val="0C1D1DBE"/>
    <w:rsid w:val="0C209C13"/>
    <w:rsid w:val="0C25C934"/>
    <w:rsid w:val="0C25FA70"/>
    <w:rsid w:val="0C29A433"/>
    <w:rsid w:val="0C2DFC89"/>
    <w:rsid w:val="0C34CEF7"/>
    <w:rsid w:val="0C3649CD"/>
    <w:rsid w:val="0C39F24B"/>
    <w:rsid w:val="0C3CFD12"/>
    <w:rsid w:val="0C3D7456"/>
    <w:rsid w:val="0C4C5E6A"/>
    <w:rsid w:val="0C55D8FB"/>
    <w:rsid w:val="0C57595D"/>
    <w:rsid w:val="0C5F14FB"/>
    <w:rsid w:val="0C5FA007"/>
    <w:rsid w:val="0C649F3B"/>
    <w:rsid w:val="0C676A88"/>
    <w:rsid w:val="0C6CA7E5"/>
    <w:rsid w:val="0C6D3D4B"/>
    <w:rsid w:val="0C71413C"/>
    <w:rsid w:val="0C77EF49"/>
    <w:rsid w:val="0C78DC0E"/>
    <w:rsid w:val="0C7A80F6"/>
    <w:rsid w:val="0C7D6665"/>
    <w:rsid w:val="0C803FF1"/>
    <w:rsid w:val="0C820D61"/>
    <w:rsid w:val="0C88B7BF"/>
    <w:rsid w:val="0C89FCA0"/>
    <w:rsid w:val="0C8B2CE7"/>
    <w:rsid w:val="0C8C2FD7"/>
    <w:rsid w:val="0C8C4194"/>
    <w:rsid w:val="0C8D5067"/>
    <w:rsid w:val="0C91E180"/>
    <w:rsid w:val="0C9555C9"/>
    <w:rsid w:val="0C9673C5"/>
    <w:rsid w:val="0C96EDE8"/>
    <w:rsid w:val="0C984878"/>
    <w:rsid w:val="0C9DB9C7"/>
    <w:rsid w:val="0CA6D768"/>
    <w:rsid w:val="0CB8CA41"/>
    <w:rsid w:val="0CBA82A9"/>
    <w:rsid w:val="0CBEAEDF"/>
    <w:rsid w:val="0CC3A478"/>
    <w:rsid w:val="0CC6A3AF"/>
    <w:rsid w:val="0CCAB88C"/>
    <w:rsid w:val="0CCC112F"/>
    <w:rsid w:val="0CD2DC93"/>
    <w:rsid w:val="0CD55BBE"/>
    <w:rsid w:val="0CD65DE2"/>
    <w:rsid w:val="0CDBE182"/>
    <w:rsid w:val="0CE4F18C"/>
    <w:rsid w:val="0CE58A1D"/>
    <w:rsid w:val="0CE63FB6"/>
    <w:rsid w:val="0CEA3B67"/>
    <w:rsid w:val="0CEB900E"/>
    <w:rsid w:val="0CEE2325"/>
    <w:rsid w:val="0CEEAE6D"/>
    <w:rsid w:val="0CF33C2B"/>
    <w:rsid w:val="0CF4619F"/>
    <w:rsid w:val="0CF9C7E7"/>
    <w:rsid w:val="0CFDE19C"/>
    <w:rsid w:val="0D027464"/>
    <w:rsid w:val="0D045FDD"/>
    <w:rsid w:val="0D04BE78"/>
    <w:rsid w:val="0D0D094F"/>
    <w:rsid w:val="0D0E0E16"/>
    <w:rsid w:val="0D105532"/>
    <w:rsid w:val="0D11021A"/>
    <w:rsid w:val="0D1F6B8E"/>
    <w:rsid w:val="0D23694C"/>
    <w:rsid w:val="0D2AA7CC"/>
    <w:rsid w:val="0D2ACDB0"/>
    <w:rsid w:val="0D354520"/>
    <w:rsid w:val="0D3B35ED"/>
    <w:rsid w:val="0D3DF1DB"/>
    <w:rsid w:val="0D4130EA"/>
    <w:rsid w:val="0D42520B"/>
    <w:rsid w:val="0D482D8F"/>
    <w:rsid w:val="0D4980D9"/>
    <w:rsid w:val="0D4C1AFF"/>
    <w:rsid w:val="0D4EFF76"/>
    <w:rsid w:val="0D5780BD"/>
    <w:rsid w:val="0D57E074"/>
    <w:rsid w:val="0D57F376"/>
    <w:rsid w:val="0D5A6350"/>
    <w:rsid w:val="0D5D6F27"/>
    <w:rsid w:val="0D60B6B8"/>
    <w:rsid w:val="0D60D07C"/>
    <w:rsid w:val="0D63FEAC"/>
    <w:rsid w:val="0D675043"/>
    <w:rsid w:val="0D798333"/>
    <w:rsid w:val="0D79F1E2"/>
    <w:rsid w:val="0D7CE03F"/>
    <w:rsid w:val="0D7CE53D"/>
    <w:rsid w:val="0D7FAA01"/>
    <w:rsid w:val="0D84DE80"/>
    <w:rsid w:val="0D853343"/>
    <w:rsid w:val="0D8536C5"/>
    <w:rsid w:val="0D8AD7D2"/>
    <w:rsid w:val="0D8BC47A"/>
    <w:rsid w:val="0D8C3BE1"/>
    <w:rsid w:val="0D8DBCCB"/>
    <w:rsid w:val="0D91577F"/>
    <w:rsid w:val="0D95EE99"/>
    <w:rsid w:val="0D97C7A5"/>
    <w:rsid w:val="0D9886C2"/>
    <w:rsid w:val="0D9FBD7E"/>
    <w:rsid w:val="0DA3B516"/>
    <w:rsid w:val="0DA50A59"/>
    <w:rsid w:val="0DA56BFA"/>
    <w:rsid w:val="0DABD143"/>
    <w:rsid w:val="0DB03B62"/>
    <w:rsid w:val="0DB591B9"/>
    <w:rsid w:val="0DBA50F9"/>
    <w:rsid w:val="0DBC01CE"/>
    <w:rsid w:val="0DBE50AA"/>
    <w:rsid w:val="0DC1F3B3"/>
    <w:rsid w:val="0DC67932"/>
    <w:rsid w:val="0DC9C2DF"/>
    <w:rsid w:val="0DC9F832"/>
    <w:rsid w:val="0DCB6A4D"/>
    <w:rsid w:val="0DD38B04"/>
    <w:rsid w:val="0DD65557"/>
    <w:rsid w:val="0DD933FE"/>
    <w:rsid w:val="0DD9445B"/>
    <w:rsid w:val="0DD95D8D"/>
    <w:rsid w:val="0DDB498F"/>
    <w:rsid w:val="0DDD03FF"/>
    <w:rsid w:val="0DDE764E"/>
    <w:rsid w:val="0DDF0CE1"/>
    <w:rsid w:val="0DEB6A7D"/>
    <w:rsid w:val="0DEE00FA"/>
    <w:rsid w:val="0DEFF89D"/>
    <w:rsid w:val="0DF14200"/>
    <w:rsid w:val="0DF2B615"/>
    <w:rsid w:val="0DF51D7A"/>
    <w:rsid w:val="0DF8380A"/>
    <w:rsid w:val="0DF94419"/>
    <w:rsid w:val="0DFADDA1"/>
    <w:rsid w:val="0DFBE173"/>
    <w:rsid w:val="0DFC0CEA"/>
    <w:rsid w:val="0DFC7706"/>
    <w:rsid w:val="0E00B6DE"/>
    <w:rsid w:val="0E0192AC"/>
    <w:rsid w:val="0E04592E"/>
    <w:rsid w:val="0E04C682"/>
    <w:rsid w:val="0E064022"/>
    <w:rsid w:val="0E07247D"/>
    <w:rsid w:val="0E07F237"/>
    <w:rsid w:val="0E0A02C9"/>
    <w:rsid w:val="0E0B6037"/>
    <w:rsid w:val="0E0CA6A4"/>
    <w:rsid w:val="0E0DFFA0"/>
    <w:rsid w:val="0E0FDC54"/>
    <w:rsid w:val="0E120B93"/>
    <w:rsid w:val="0E1896E8"/>
    <w:rsid w:val="0E1F092B"/>
    <w:rsid w:val="0E213215"/>
    <w:rsid w:val="0E242990"/>
    <w:rsid w:val="0E2442F1"/>
    <w:rsid w:val="0E285041"/>
    <w:rsid w:val="0E28FDC0"/>
    <w:rsid w:val="0E29A3E2"/>
    <w:rsid w:val="0E2C61F9"/>
    <w:rsid w:val="0E2C6DC5"/>
    <w:rsid w:val="0E2D52AD"/>
    <w:rsid w:val="0E330D4D"/>
    <w:rsid w:val="0E352B5D"/>
    <w:rsid w:val="0E39080E"/>
    <w:rsid w:val="0E3BC01F"/>
    <w:rsid w:val="0E3EB2B4"/>
    <w:rsid w:val="0E46980E"/>
    <w:rsid w:val="0E4DADE7"/>
    <w:rsid w:val="0E501151"/>
    <w:rsid w:val="0E504856"/>
    <w:rsid w:val="0E5369F9"/>
    <w:rsid w:val="0E5AC62B"/>
    <w:rsid w:val="0E5C7B8E"/>
    <w:rsid w:val="0E5DF89C"/>
    <w:rsid w:val="0E5F0F1B"/>
    <w:rsid w:val="0E5F3B62"/>
    <w:rsid w:val="0E607898"/>
    <w:rsid w:val="0E627ED2"/>
    <w:rsid w:val="0E636EDD"/>
    <w:rsid w:val="0E698210"/>
    <w:rsid w:val="0E6BBD11"/>
    <w:rsid w:val="0E6DDF19"/>
    <w:rsid w:val="0E74DCC0"/>
    <w:rsid w:val="0E760244"/>
    <w:rsid w:val="0E77547A"/>
    <w:rsid w:val="0E77F18A"/>
    <w:rsid w:val="0E822D9A"/>
    <w:rsid w:val="0E8266F3"/>
    <w:rsid w:val="0E82D4A5"/>
    <w:rsid w:val="0E83D8C1"/>
    <w:rsid w:val="0E83E3C1"/>
    <w:rsid w:val="0E87A907"/>
    <w:rsid w:val="0E8FD856"/>
    <w:rsid w:val="0E94B310"/>
    <w:rsid w:val="0E989531"/>
    <w:rsid w:val="0E99BDCB"/>
    <w:rsid w:val="0E9A65AF"/>
    <w:rsid w:val="0E9C9C5B"/>
    <w:rsid w:val="0E9CFE55"/>
    <w:rsid w:val="0E9D8ABE"/>
    <w:rsid w:val="0E9DD752"/>
    <w:rsid w:val="0E9DD9FE"/>
    <w:rsid w:val="0E9E330B"/>
    <w:rsid w:val="0E9E5C02"/>
    <w:rsid w:val="0EA24BB8"/>
    <w:rsid w:val="0EA4C1F1"/>
    <w:rsid w:val="0EA571FC"/>
    <w:rsid w:val="0EA5F29A"/>
    <w:rsid w:val="0EA5F5DD"/>
    <w:rsid w:val="0EA92052"/>
    <w:rsid w:val="0EAA99E2"/>
    <w:rsid w:val="0EAD3A13"/>
    <w:rsid w:val="0EB5BFE1"/>
    <w:rsid w:val="0EBFF8DE"/>
    <w:rsid w:val="0EC402DE"/>
    <w:rsid w:val="0EC6C5B9"/>
    <w:rsid w:val="0EC9F1C2"/>
    <w:rsid w:val="0ECAC025"/>
    <w:rsid w:val="0ECAFCF4"/>
    <w:rsid w:val="0ECD3347"/>
    <w:rsid w:val="0ED164E1"/>
    <w:rsid w:val="0ED65389"/>
    <w:rsid w:val="0ED80AF2"/>
    <w:rsid w:val="0EDA743D"/>
    <w:rsid w:val="0EE32304"/>
    <w:rsid w:val="0EE371A3"/>
    <w:rsid w:val="0EE697D9"/>
    <w:rsid w:val="0EE71C37"/>
    <w:rsid w:val="0EE7EB32"/>
    <w:rsid w:val="0EEBDABE"/>
    <w:rsid w:val="0EEF8FC3"/>
    <w:rsid w:val="0EF2E7CC"/>
    <w:rsid w:val="0F082606"/>
    <w:rsid w:val="0F0945AA"/>
    <w:rsid w:val="0F124D26"/>
    <w:rsid w:val="0F134F05"/>
    <w:rsid w:val="0F1667EC"/>
    <w:rsid w:val="0F173B10"/>
    <w:rsid w:val="0F179387"/>
    <w:rsid w:val="0F1FECBB"/>
    <w:rsid w:val="0F2288F5"/>
    <w:rsid w:val="0F24DFE6"/>
    <w:rsid w:val="0F2A6FBC"/>
    <w:rsid w:val="0F2AEE36"/>
    <w:rsid w:val="0F2F68A6"/>
    <w:rsid w:val="0F323F4E"/>
    <w:rsid w:val="0F334599"/>
    <w:rsid w:val="0F3887CB"/>
    <w:rsid w:val="0F3A973A"/>
    <w:rsid w:val="0F3A99C6"/>
    <w:rsid w:val="0F3BE7EB"/>
    <w:rsid w:val="0F4189FF"/>
    <w:rsid w:val="0F43BA2B"/>
    <w:rsid w:val="0F46A21B"/>
    <w:rsid w:val="0F47E5E1"/>
    <w:rsid w:val="0F48B70C"/>
    <w:rsid w:val="0F49DD48"/>
    <w:rsid w:val="0F4EFE92"/>
    <w:rsid w:val="0F4F328D"/>
    <w:rsid w:val="0F52D486"/>
    <w:rsid w:val="0F5368C9"/>
    <w:rsid w:val="0F53D182"/>
    <w:rsid w:val="0F552902"/>
    <w:rsid w:val="0F556EE8"/>
    <w:rsid w:val="0F59BB5A"/>
    <w:rsid w:val="0F59CAD6"/>
    <w:rsid w:val="0F5C1F1B"/>
    <w:rsid w:val="0F635A73"/>
    <w:rsid w:val="0F65081A"/>
    <w:rsid w:val="0F687801"/>
    <w:rsid w:val="0F6BC8FA"/>
    <w:rsid w:val="0F6FA95E"/>
    <w:rsid w:val="0F722C69"/>
    <w:rsid w:val="0F735FAB"/>
    <w:rsid w:val="0F777AFF"/>
    <w:rsid w:val="0F788045"/>
    <w:rsid w:val="0F7A5B0F"/>
    <w:rsid w:val="0F7B933A"/>
    <w:rsid w:val="0F7BA244"/>
    <w:rsid w:val="0F7C7ACC"/>
    <w:rsid w:val="0F821184"/>
    <w:rsid w:val="0F8619AE"/>
    <w:rsid w:val="0F8AA6DF"/>
    <w:rsid w:val="0F8CAC93"/>
    <w:rsid w:val="0F91BFD7"/>
    <w:rsid w:val="0F925C44"/>
    <w:rsid w:val="0F966FCE"/>
    <w:rsid w:val="0F98A05D"/>
    <w:rsid w:val="0F9C97CE"/>
    <w:rsid w:val="0F9FE190"/>
    <w:rsid w:val="0FA0D461"/>
    <w:rsid w:val="0FA33630"/>
    <w:rsid w:val="0FABCD13"/>
    <w:rsid w:val="0FAFC20D"/>
    <w:rsid w:val="0FB43AC5"/>
    <w:rsid w:val="0FB44035"/>
    <w:rsid w:val="0FB58F49"/>
    <w:rsid w:val="0FB9B293"/>
    <w:rsid w:val="0FBA8942"/>
    <w:rsid w:val="0FC1A5F3"/>
    <w:rsid w:val="0FC85AAA"/>
    <w:rsid w:val="0FCA295E"/>
    <w:rsid w:val="0FD267D1"/>
    <w:rsid w:val="0FD7D7B1"/>
    <w:rsid w:val="0FD998F4"/>
    <w:rsid w:val="0FE22708"/>
    <w:rsid w:val="0FE5097F"/>
    <w:rsid w:val="0FE634D2"/>
    <w:rsid w:val="0FE6601D"/>
    <w:rsid w:val="0FE8AD3D"/>
    <w:rsid w:val="0FE8EC88"/>
    <w:rsid w:val="0FEA11FA"/>
    <w:rsid w:val="0FEDDFFA"/>
    <w:rsid w:val="0FF3E518"/>
    <w:rsid w:val="0FF577D3"/>
    <w:rsid w:val="0FF62379"/>
    <w:rsid w:val="0FF7FF78"/>
    <w:rsid w:val="0FFF954C"/>
    <w:rsid w:val="10033C87"/>
    <w:rsid w:val="10092045"/>
    <w:rsid w:val="100B33EF"/>
    <w:rsid w:val="10136F56"/>
    <w:rsid w:val="1014D8C0"/>
    <w:rsid w:val="1016EAF3"/>
    <w:rsid w:val="101AB01B"/>
    <w:rsid w:val="101AB946"/>
    <w:rsid w:val="10223C7A"/>
    <w:rsid w:val="1022A5B8"/>
    <w:rsid w:val="10238290"/>
    <w:rsid w:val="1024C2DF"/>
    <w:rsid w:val="1029E2CB"/>
    <w:rsid w:val="102EA4C4"/>
    <w:rsid w:val="102EEF77"/>
    <w:rsid w:val="102F9E3D"/>
    <w:rsid w:val="10300478"/>
    <w:rsid w:val="1030BA2D"/>
    <w:rsid w:val="103A3D33"/>
    <w:rsid w:val="103C440F"/>
    <w:rsid w:val="104230FD"/>
    <w:rsid w:val="104675A7"/>
    <w:rsid w:val="104B3456"/>
    <w:rsid w:val="104BEE90"/>
    <w:rsid w:val="104EE327"/>
    <w:rsid w:val="104F4A38"/>
    <w:rsid w:val="105030AF"/>
    <w:rsid w:val="10503302"/>
    <w:rsid w:val="10510021"/>
    <w:rsid w:val="1054E85F"/>
    <w:rsid w:val="1055BC06"/>
    <w:rsid w:val="10587F9C"/>
    <w:rsid w:val="105F7330"/>
    <w:rsid w:val="10619100"/>
    <w:rsid w:val="10656B53"/>
    <w:rsid w:val="1066FD5C"/>
    <w:rsid w:val="1067651B"/>
    <w:rsid w:val="106A8C56"/>
    <w:rsid w:val="106C23C7"/>
    <w:rsid w:val="10700CD3"/>
    <w:rsid w:val="107150B2"/>
    <w:rsid w:val="10773E3B"/>
    <w:rsid w:val="107CADDB"/>
    <w:rsid w:val="10856E07"/>
    <w:rsid w:val="1085E602"/>
    <w:rsid w:val="10895723"/>
    <w:rsid w:val="1089C3FC"/>
    <w:rsid w:val="1096FFEB"/>
    <w:rsid w:val="1098273A"/>
    <w:rsid w:val="109D9AC3"/>
    <w:rsid w:val="10A0F0D8"/>
    <w:rsid w:val="10A356B8"/>
    <w:rsid w:val="10A54324"/>
    <w:rsid w:val="10A5B8AA"/>
    <w:rsid w:val="10A69F76"/>
    <w:rsid w:val="10AFC321"/>
    <w:rsid w:val="10AFD374"/>
    <w:rsid w:val="10B11265"/>
    <w:rsid w:val="10B19671"/>
    <w:rsid w:val="10B2288D"/>
    <w:rsid w:val="10B24CC7"/>
    <w:rsid w:val="10B532AC"/>
    <w:rsid w:val="10B915CA"/>
    <w:rsid w:val="10BACE93"/>
    <w:rsid w:val="10BDA375"/>
    <w:rsid w:val="10BECAC7"/>
    <w:rsid w:val="10C13B4C"/>
    <w:rsid w:val="10C2E50C"/>
    <w:rsid w:val="10CC796D"/>
    <w:rsid w:val="10CC95A9"/>
    <w:rsid w:val="10CE1DB0"/>
    <w:rsid w:val="10CF380D"/>
    <w:rsid w:val="10D020DF"/>
    <w:rsid w:val="10DF2D76"/>
    <w:rsid w:val="10E16A00"/>
    <w:rsid w:val="10E198CB"/>
    <w:rsid w:val="10E1E9AB"/>
    <w:rsid w:val="10E29F51"/>
    <w:rsid w:val="10E5A5A4"/>
    <w:rsid w:val="10E63828"/>
    <w:rsid w:val="10E7FB88"/>
    <w:rsid w:val="10E90635"/>
    <w:rsid w:val="10EC8C1E"/>
    <w:rsid w:val="10F7FCAA"/>
    <w:rsid w:val="10F95534"/>
    <w:rsid w:val="10F9B941"/>
    <w:rsid w:val="10FB2542"/>
    <w:rsid w:val="10FE9005"/>
    <w:rsid w:val="1101DE90"/>
    <w:rsid w:val="110543B2"/>
    <w:rsid w:val="11071BD3"/>
    <w:rsid w:val="110AD795"/>
    <w:rsid w:val="110AE39D"/>
    <w:rsid w:val="110D7979"/>
    <w:rsid w:val="110EC5CE"/>
    <w:rsid w:val="110EE07F"/>
    <w:rsid w:val="11101022"/>
    <w:rsid w:val="1113EDA7"/>
    <w:rsid w:val="11159272"/>
    <w:rsid w:val="1115E406"/>
    <w:rsid w:val="1115F552"/>
    <w:rsid w:val="11196E9C"/>
    <w:rsid w:val="111C9DE3"/>
    <w:rsid w:val="111E8037"/>
    <w:rsid w:val="1120E0CF"/>
    <w:rsid w:val="112293CD"/>
    <w:rsid w:val="11257253"/>
    <w:rsid w:val="112664F0"/>
    <w:rsid w:val="112F7F9A"/>
    <w:rsid w:val="113053ED"/>
    <w:rsid w:val="113243AD"/>
    <w:rsid w:val="11355AA3"/>
    <w:rsid w:val="11355B29"/>
    <w:rsid w:val="11418A7A"/>
    <w:rsid w:val="11433AF9"/>
    <w:rsid w:val="11433F19"/>
    <w:rsid w:val="11450A3E"/>
    <w:rsid w:val="1145696D"/>
    <w:rsid w:val="11475C5C"/>
    <w:rsid w:val="1147FBFE"/>
    <w:rsid w:val="114C0C2D"/>
    <w:rsid w:val="115741C6"/>
    <w:rsid w:val="115D2543"/>
    <w:rsid w:val="1162C4A9"/>
    <w:rsid w:val="1163712E"/>
    <w:rsid w:val="11681BEE"/>
    <w:rsid w:val="116B0E23"/>
    <w:rsid w:val="116E01E4"/>
    <w:rsid w:val="117237A6"/>
    <w:rsid w:val="1177FC94"/>
    <w:rsid w:val="117A4D32"/>
    <w:rsid w:val="117C2FC7"/>
    <w:rsid w:val="117E842E"/>
    <w:rsid w:val="11832FEE"/>
    <w:rsid w:val="1183E4E0"/>
    <w:rsid w:val="11854537"/>
    <w:rsid w:val="118D277E"/>
    <w:rsid w:val="118EF542"/>
    <w:rsid w:val="11959EF8"/>
    <w:rsid w:val="11A50685"/>
    <w:rsid w:val="11A6DC68"/>
    <w:rsid w:val="11A7F244"/>
    <w:rsid w:val="11AAD610"/>
    <w:rsid w:val="11AB9193"/>
    <w:rsid w:val="11AD6CA1"/>
    <w:rsid w:val="11B06115"/>
    <w:rsid w:val="11B5A424"/>
    <w:rsid w:val="11B6EE85"/>
    <w:rsid w:val="11B9286B"/>
    <w:rsid w:val="11BB1710"/>
    <w:rsid w:val="11C0E379"/>
    <w:rsid w:val="11C4A253"/>
    <w:rsid w:val="11C83A40"/>
    <w:rsid w:val="11D39BBB"/>
    <w:rsid w:val="11D4927A"/>
    <w:rsid w:val="11D50DBB"/>
    <w:rsid w:val="11D5F2D1"/>
    <w:rsid w:val="11D85C4F"/>
    <w:rsid w:val="11DAE12F"/>
    <w:rsid w:val="11DC34B0"/>
    <w:rsid w:val="11DF9A8D"/>
    <w:rsid w:val="11E21CCE"/>
    <w:rsid w:val="11E39D79"/>
    <w:rsid w:val="11E78B40"/>
    <w:rsid w:val="11E87B3C"/>
    <w:rsid w:val="11E9E565"/>
    <w:rsid w:val="11F0525B"/>
    <w:rsid w:val="11F478CC"/>
    <w:rsid w:val="11F56250"/>
    <w:rsid w:val="11FB0EA2"/>
    <w:rsid w:val="11FBEB9F"/>
    <w:rsid w:val="1203AE8C"/>
    <w:rsid w:val="120674FE"/>
    <w:rsid w:val="1206B463"/>
    <w:rsid w:val="12075816"/>
    <w:rsid w:val="12092AB1"/>
    <w:rsid w:val="12129BA8"/>
    <w:rsid w:val="1213B779"/>
    <w:rsid w:val="121496C1"/>
    <w:rsid w:val="12169611"/>
    <w:rsid w:val="12226C2A"/>
    <w:rsid w:val="12227D10"/>
    <w:rsid w:val="1229A29F"/>
    <w:rsid w:val="122FF1D3"/>
    <w:rsid w:val="12377479"/>
    <w:rsid w:val="1237A28A"/>
    <w:rsid w:val="12396D7F"/>
    <w:rsid w:val="12466377"/>
    <w:rsid w:val="1247910F"/>
    <w:rsid w:val="12485D26"/>
    <w:rsid w:val="12493349"/>
    <w:rsid w:val="1249C148"/>
    <w:rsid w:val="124A2066"/>
    <w:rsid w:val="124D6640"/>
    <w:rsid w:val="124E1B02"/>
    <w:rsid w:val="124E1C8E"/>
    <w:rsid w:val="1259D8E9"/>
    <w:rsid w:val="1259F80F"/>
    <w:rsid w:val="125C5834"/>
    <w:rsid w:val="126B848B"/>
    <w:rsid w:val="126EBB3C"/>
    <w:rsid w:val="126F973B"/>
    <w:rsid w:val="1271630C"/>
    <w:rsid w:val="1272C9F3"/>
    <w:rsid w:val="12736256"/>
    <w:rsid w:val="127DD589"/>
    <w:rsid w:val="127E6E55"/>
    <w:rsid w:val="1284121C"/>
    <w:rsid w:val="12875E39"/>
    <w:rsid w:val="12886E32"/>
    <w:rsid w:val="1288F3C8"/>
    <w:rsid w:val="1288FECF"/>
    <w:rsid w:val="128A520E"/>
    <w:rsid w:val="129132B4"/>
    <w:rsid w:val="1295B58D"/>
    <w:rsid w:val="1296A91B"/>
    <w:rsid w:val="129CE6B7"/>
    <w:rsid w:val="129F19DF"/>
    <w:rsid w:val="12A00C7C"/>
    <w:rsid w:val="12A4E6AF"/>
    <w:rsid w:val="12AB8B3D"/>
    <w:rsid w:val="12B33766"/>
    <w:rsid w:val="12B4B0EE"/>
    <w:rsid w:val="12BDC948"/>
    <w:rsid w:val="12C323E8"/>
    <w:rsid w:val="12C33F2E"/>
    <w:rsid w:val="12C6F667"/>
    <w:rsid w:val="12CCB9CD"/>
    <w:rsid w:val="12D1C200"/>
    <w:rsid w:val="12D5C68C"/>
    <w:rsid w:val="12DEE649"/>
    <w:rsid w:val="12E33C70"/>
    <w:rsid w:val="12E39389"/>
    <w:rsid w:val="12E51F98"/>
    <w:rsid w:val="12E53A62"/>
    <w:rsid w:val="12E62EBF"/>
    <w:rsid w:val="12E6B126"/>
    <w:rsid w:val="12E85CA2"/>
    <w:rsid w:val="12E9D2B8"/>
    <w:rsid w:val="12F37DA7"/>
    <w:rsid w:val="12F3ED00"/>
    <w:rsid w:val="12F451BC"/>
    <w:rsid w:val="12F68459"/>
    <w:rsid w:val="12F871D9"/>
    <w:rsid w:val="12FD3DFB"/>
    <w:rsid w:val="12FD9F53"/>
    <w:rsid w:val="13003AB9"/>
    <w:rsid w:val="130362D5"/>
    <w:rsid w:val="1305151F"/>
    <w:rsid w:val="130675CA"/>
    <w:rsid w:val="130DFA58"/>
    <w:rsid w:val="1310C72A"/>
    <w:rsid w:val="13152062"/>
    <w:rsid w:val="13198FBE"/>
    <w:rsid w:val="131B221B"/>
    <w:rsid w:val="131C8556"/>
    <w:rsid w:val="131F2BCB"/>
    <w:rsid w:val="13245684"/>
    <w:rsid w:val="1326852C"/>
    <w:rsid w:val="1326AAC9"/>
    <w:rsid w:val="1327DFEE"/>
    <w:rsid w:val="1328D453"/>
    <w:rsid w:val="1329F816"/>
    <w:rsid w:val="132C40EE"/>
    <w:rsid w:val="133457D9"/>
    <w:rsid w:val="13350D0B"/>
    <w:rsid w:val="1338D5E2"/>
    <w:rsid w:val="133C3059"/>
    <w:rsid w:val="133DB425"/>
    <w:rsid w:val="133DB879"/>
    <w:rsid w:val="133E8DD0"/>
    <w:rsid w:val="1340D74F"/>
    <w:rsid w:val="1347AF2E"/>
    <w:rsid w:val="1349672F"/>
    <w:rsid w:val="1349B2AA"/>
    <w:rsid w:val="134CBA46"/>
    <w:rsid w:val="134E3847"/>
    <w:rsid w:val="1357CC21"/>
    <w:rsid w:val="135B68E2"/>
    <w:rsid w:val="135DB2C0"/>
    <w:rsid w:val="135F94F5"/>
    <w:rsid w:val="1366DF3C"/>
    <w:rsid w:val="136745CD"/>
    <w:rsid w:val="136C08A1"/>
    <w:rsid w:val="136F89EF"/>
    <w:rsid w:val="13733553"/>
    <w:rsid w:val="1374EDCD"/>
    <w:rsid w:val="13762FEF"/>
    <w:rsid w:val="1377A346"/>
    <w:rsid w:val="137EE72C"/>
    <w:rsid w:val="13817903"/>
    <w:rsid w:val="13822579"/>
    <w:rsid w:val="138F1496"/>
    <w:rsid w:val="138FD9D1"/>
    <w:rsid w:val="1394B976"/>
    <w:rsid w:val="13962CCA"/>
    <w:rsid w:val="13964300"/>
    <w:rsid w:val="1397E0AF"/>
    <w:rsid w:val="139916CE"/>
    <w:rsid w:val="13993390"/>
    <w:rsid w:val="139980E4"/>
    <w:rsid w:val="139C922E"/>
    <w:rsid w:val="139CB409"/>
    <w:rsid w:val="139CB5A6"/>
    <w:rsid w:val="139F4FE5"/>
    <w:rsid w:val="139FF775"/>
    <w:rsid w:val="13AA4117"/>
    <w:rsid w:val="13AA4E50"/>
    <w:rsid w:val="13AECDC5"/>
    <w:rsid w:val="13B36364"/>
    <w:rsid w:val="13B66B64"/>
    <w:rsid w:val="13BC95EC"/>
    <w:rsid w:val="13BDA847"/>
    <w:rsid w:val="13BEBF4A"/>
    <w:rsid w:val="13BED1E4"/>
    <w:rsid w:val="13BFC55F"/>
    <w:rsid w:val="13C08663"/>
    <w:rsid w:val="13C14F11"/>
    <w:rsid w:val="13C17F9F"/>
    <w:rsid w:val="13C6FA50"/>
    <w:rsid w:val="13C8589B"/>
    <w:rsid w:val="13D242E1"/>
    <w:rsid w:val="13D60FE7"/>
    <w:rsid w:val="13D714AA"/>
    <w:rsid w:val="13DE52D2"/>
    <w:rsid w:val="13DF3019"/>
    <w:rsid w:val="13DFCD77"/>
    <w:rsid w:val="13E744D1"/>
    <w:rsid w:val="13E8B78E"/>
    <w:rsid w:val="13E9C6D5"/>
    <w:rsid w:val="13F6254C"/>
    <w:rsid w:val="13F794F0"/>
    <w:rsid w:val="13F88A35"/>
    <w:rsid w:val="13FD330C"/>
    <w:rsid w:val="13FD4325"/>
    <w:rsid w:val="13FE9E19"/>
    <w:rsid w:val="14028250"/>
    <w:rsid w:val="1404E50F"/>
    <w:rsid w:val="1404FF4E"/>
    <w:rsid w:val="14056F5F"/>
    <w:rsid w:val="1406F0AD"/>
    <w:rsid w:val="140719DF"/>
    <w:rsid w:val="1409030F"/>
    <w:rsid w:val="14099241"/>
    <w:rsid w:val="140A238E"/>
    <w:rsid w:val="140BC2FC"/>
    <w:rsid w:val="140BC324"/>
    <w:rsid w:val="140FC6A1"/>
    <w:rsid w:val="140FD0CD"/>
    <w:rsid w:val="14100E95"/>
    <w:rsid w:val="1414A3C4"/>
    <w:rsid w:val="141746D8"/>
    <w:rsid w:val="1417E553"/>
    <w:rsid w:val="141F1C74"/>
    <w:rsid w:val="142009E9"/>
    <w:rsid w:val="1420E3EA"/>
    <w:rsid w:val="1424FB28"/>
    <w:rsid w:val="1426ED4D"/>
    <w:rsid w:val="1428430C"/>
    <w:rsid w:val="142AAED8"/>
    <w:rsid w:val="142BF38B"/>
    <w:rsid w:val="142F1CA2"/>
    <w:rsid w:val="142F51DB"/>
    <w:rsid w:val="1431771E"/>
    <w:rsid w:val="1431B0CC"/>
    <w:rsid w:val="14320B16"/>
    <w:rsid w:val="14350D9F"/>
    <w:rsid w:val="1435190C"/>
    <w:rsid w:val="143B5B9B"/>
    <w:rsid w:val="143F6672"/>
    <w:rsid w:val="1441E765"/>
    <w:rsid w:val="1442923A"/>
    <w:rsid w:val="1446497F"/>
    <w:rsid w:val="1446E9D1"/>
    <w:rsid w:val="1447747E"/>
    <w:rsid w:val="14497683"/>
    <w:rsid w:val="144A9853"/>
    <w:rsid w:val="144D2FAC"/>
    <w:rsid w:val="144E8D35"/>
    <w:rsid w:val="144F74E6"/>
    <w:rsid w:val="1452866A"/>
    <w:rsid w:val="145437E9"/>
    <w:rsid w:val="1456666C"/>
    <w:rsid w:val="145733C7"/>
    <w:rsid w:val="145C76E1"/>
    <w:rsid w:val="145DB1FD"/>
    <w:rsid w:val="14613616"/>
    <w:rsid w:val="1465ABE6"/>
    <w:rsid w:val="146875D5"/>
    <w:rsid w:val="1469BA82"/>
    <w:rsid w:val="146AFC15"/>
    <w:rsid w:val="14777F93"/>
    <w:rsid w:val="1477F3F9"/>
    <w:rsid w:val="1478BB86"/>
    <w:rsid w:val="14799E8B"/>
    <w:rsid w:val="1481A946"/>
    <w:rsid w:val="14839F6B"/>
    <w:rsid w:val="148452B2"/>
    <w:rsid w:val="148A648A"/>
    <w:rsid w:val="148A8105"/>
    <w:rsid w:val="148C1AF5"/>
    <w:rsid w:val="148FF96F"/>
    <w:rsid w:val="14928001"/>
    <w:rsid w:val="14933AEF"/>
    <w:rsid w:val="149412E9"/>
    <w:rsid w:val="149549B5"/>
    <w:rsid w:val="149820B5"/>
    <w:rsid w:val="14A0FE03"/>
    <w:rsid w:val="14A1596F"/>
    <w:rsid w:val="14A256B7"/>
    <w:rsid w:val="14A85E6D"/>
    <w:rsid w:val="14ADE7A6"/>
    <w:rsid w:val="14B1DF78"/>
    <w:rsid w:val="14B24EE9"/>
    <w:rsid w:val="14B323FB"/>
    <w:rsid w:val="14B55E57"/>
    <w:rsid w:val="14B9E4CB"/>
    <w:rsid w:val="14BA0819"/>
    <w:rsid w:val="14BE8134"/>
    <w:rsid w:val="14BF2ED1"/>
    <w:rsid w:val="14C87052"/>
    <w:rsid w:val="14D04EAC"/>
    <w:rsid w:val="14DB1246"/>
    <w:rsid w:val="14DD1283"/>
    <w:rsid w:val="14DF79BF"/>
    <w:rsid w:val="14E4322E"/>
    <w:rsid w:val="14E5F634"/>
    <w:rsid w:val="14E98741"/>
    <w:rsid w:val="14E9ECFF"/>
    <w:rsid w:val="14EBCF8D"/>
    <w:rsid w:val="14EBF7CE"/>
    <w:rsid w:val="14EED8BB"/>
    <w:rsid w:val="14F12F7F"/>
    <w:rsid w:val="14F30FF0"/>
    <w:rsid w:val="14F434E6"/>
    <w:rsid w:val="14F6C31D"/>
    <w:rsid w:val="14FA013B"/>
    <w:rsid w:val="14FAB2EE"/>
    <w:rsid w:val="14FD40E9"/>
    <w:rsid w:val="14FE6F5C"/>
    <w:rsid w:val="14FF061A"/>
    <w:rsid w:val="14FFC2F2"/>
    <w:rsid w:val="15009F25"/>
    <w:rsid w:val="15017398"/>
    <w:rsid w:val="1502FAE7"/>
    <w:rsid w:val="150997C9"/>
    <w:rsid w:val="150C3260"/>
    <w:rsid w:val="150CEBE7"/>
    <w:rsid w:val="151072E0"/>
    <w:rsid w:val="151497DC"/>
    <w:rsid w:val="1516617B"/>
    <w:rsid w:val="151BDD91"/>
    <w:rsid w:val="151D4EE1"/>
    <w:rsid w:val="151EACB5"/>
    <w:rsid w:val="151EEA76"/>
    <w:rsid w:val="1528B076"/>
    <w:rsid w:val="152D1455"/>
    <w:rsid w:val="1531C2ED"/>
    <w:rsid w:val="15331644"/>
    <w:rsid w:val="15336547"/>
    <w:rsid w:val="15376CAC"/>
    <w:rsid w:val="153D577B"/>
    <w:rsid w:val="1542AE69"/>
    <w:rsid w:val="1544FC4D"/>
    <w:rsid w:val="1545EA51"/>
    <w:rsid w:val="1549C5F2"/>
    <w:rsid w:val="1559DA4A"/>
    <w:rsid w:val="155C6C7A"/>
    <w:rsid w:val="155CD487"/>
    <w:rsid w:val="155DDFA1"/>
    <w:rsid w:val="155EDD89"/>
    <w:rsid w:val="15643000"/>
    <w:rsid w:val="15675E7B"/>
    <w:rsid w:val="156BCEE9"/>
    <w:rsid w:val="156DEE26"/>
    <w:rsid w:val="156FF580"/>
    <w:rsid w:val="15702A57"/>
    <w:rsid w:val="1570938B"/>
    <w:rsid w:val="1571A1BE"/>
    <w:rsid w:val="1571E1B8"/>
    <w:rsid w:val="157B5EEB"/>
    <w:rsid w:val="157D49CA"/>
    <w:rsid w:val="15815500"/>
    <w:rsid w:val="15850BAE"/>
    <w:rsid w:val="1587473F"/>
    <w:rsid w:val="158890D7"/>
    <w:rsid w:val="1590DF05"/>
    <w:rsid w:val="15948841"/>
    <w:rsid w:val="1597551E"/>
    <w:rsid w:val="159E326F"/>
    <w:rsid w:val="15A2F02F"/>
    <w:rsid w:val="15A4E91B"/>
    <w:rsid w:val="15A57EBD"/>
    <w:rsid w:val="15ADA4FF"/>
    <w:rsid w:val="15B32617"/>
    <w:rsid w:val="15B424AE"/>
    <w:rsid w:val="15BDB1EE"/>
    <w:rsid w:val="15BE4118"/>
    <w:rsid w:val="15C1966E"/>
    <w:rsid w:val="15C3A94A"/>
    <w:rsid w:val="15C3F1F3"/>
    <w:rsid w:val="15C78BC2"/>
    <w:rsid w:val="15CC6229"/>
    <w:rsid w:val="15CC8F7D"/>
    <w:rsid w:val="15CD372E"/>
    <w:rsid w:val="15D53B80"/>
    <w:rsid w:val="15D5593E"/>
    <w:rsid w:val="15D6373B"/>
    <w:rsid w:val="15D7D088"/>
    <w:rsid w:val="15D867F9"/>
    <w:rsid w:val="15D88B01"/>
    <w:rsid w:val="15D9FEB0"/>
    <w:rsid w:val="15E35259"/>
    <w:rsid w:val="15E74958"/>
    <w:rsid w:val="15EF37A9"/>
    <w:rsid w:val="15F226F4"/>
    <w:rsid w:val="15FB8978"/>
    <w:rsid w:val="15FF7353"/>
    <w:rsid w:val="1601AAC6"/>
    <w:rsid w:val="160CA43C"/>
    <w:rsid w:val="160D4038"/>
    <w:rsid w:val="160F52AA"/>
    <w:rsid w:val="1610F92A"/>
    <w:rsid w:val="1611EAF6"/>
    <w:rsid w:val="16139B73"/>
    <w:rsid w:val="1613D47E"/>
    <w:rsid w:val="161B276B"/>
    <w:rsid w:val="161C8B7C"/>
    <w:rsid w:val="161D2973"/>
    <w:rsid w:val="161EFB11"/>
    <w:rsid w:val="1622BFBA"/>
    <w:rsid w:val="16257AC1"/>
    <w:rsid w:val="16262EE3"/>
    <w:rsid w:val="162816B0"/>
    <w:rsid w:val="162BA310"/>
    <w:rsid w:val="163945DD"/>
    <w:rsid w:val="163BED49"/>
    <w:rsid w:val="163D3762"/>
    <w:rsid w:val="1640B5BC"/>
    <w:rsid w:val="16417650"/>
    <w:rsid w:val="1642672A"/>
    <w:rsid w:val="16433D08"/>
    <w:rsid w:val="16439364"/>
    <w:rsid w:val="1644A25F"/>
    <w:rsid w:val="1645C67E"/>
    <w:rsid w:val="1647D8C1"/>
    <w:rsid w:val="164C37BA"/>
    <w:rsid w:val="164E7F7B"/>
    <w:rsid w:val="164F2A71"/>
    <w:rsid w:val="16524CD8"/>
    <w:rsid w:val="1654037F"/>
    <w:rsid w:val="165BABBB"/>
    <w:rsid w:val="165C03D0"/>
    <w:rsid w:val="165F12E5"/>
    <w:rsid w:val="1660F77B"/>
    <w:rsid w:val="16618E66"/>
    <w:rsid w:val="1663E036"/>
    <w:rsid w:val="1667E16A"/>
    <w:rsid w:val="16685F51"/>
    <w:rsid w:val="166A4B5F"/>
    <w:rsid w:val="166B17CD"/>
    <w:rsid w:val="166D4806"/>
    <w:rsid w:val="166DE757"/>
    <w:rsid w:val="166F12FE"/>
    <w:rsid w:val="16710B0E"/>
    <w:rsid w:val="16710B5D"/>
    <w:rsid w:val="1673DD80"/>
    <w:rsid w:val="167B4CBE"/>
    <w:rsid w:val="167CF23F"/>
    <w:rsid w:val="1689D084"/>
    <w:rsid w:val="168C8AF1"/>
    <w:rsid w:val="169362E3"/>
    <w:rsid w:val="169416C6"/>
    <w:rsid w:val="16948632"/>
    <w:rsid w:val="1695C2C2"/>
    <w:rsid w:val="169BC8C4"/>
    <w:rsid w:val="169BCDC9"/>
    <w:rsid w:val="16A4331C"/>
    <w:rsid w:val="16A44244"/>
    <w:rsid w:val="16AC19A2"/>
    <w:rsid w:val="16ACFCFE"/>
    <w:rsid w:val="16AF162C"/>
    <w:rsid w:val="16B4BD69"/>
    <w:rsid w:val="16BD45A4"/>
    <w:rsid w:val="16C02B4D"/>
    <w:rsid w:val="16C21049"/>
    <w:rsid w:val="16C4CB4F"/>
    <w:rsid w:val="16C67C6D"/>
    <w:rsid w:val="16C8C5C3"/>
    <w:rsid w:val="16D138E8"/>
    <w:rsid w:val="16D5DD17"/>
    <w:rsid w:val="16D5EE11"/>
    <w:rsid w:val="16D83665"/>
    <w:rsid w:val="16DBF386"/>
    <w:rsid w:val="16E182B4"/>
    <w:rsid w:val="16EF2DFF"/>
    <w:rsid w:val="16F38854"/>
    <w:rsid w:val="16F6B735"/>
    <w:rsid w:val="16F74834"/>
    <w:rsid w:val="16F855D1"/>
    <w:rsid w:val="16FA1A4E"/>
    <w:rsid w:val="16FE1107"/>
    <w:rsid w:val="170B9980"/>
    <w:rsid w:val="170D86EE"/>
    <w:rsid w:val="171413B4"/>
    <w:rsid w:val="171607AB"/>
    <w:rsid w:val="17182EB3"/>
    <w:rsid w:val="171C83CA"/>
    <w:rsid w:val="17206729"/>
    <w:rsid w:val="17244698"/>
    <w:rsid w:val="1729A85D"/>
    <w:rsid w:val="172BE28D"/>
    <w:rsid w:val="172F2EFA"/>
    <w:rsid w:val="17328DA2"/>
    <w:rsid w:val="173B3395"/>
    <w:rsid w:val="173BFEA3"/>
    <w:rsid w:val="1741E55E"/>
    <w:rsid w:val="1741F243"/>
    <w:rsid w:val="1746EB01"/>
    <w:rsid w:val="17497444"/>
    <w:rsid w:val="174F6791"/>
    <w:rsid w:val="175099A0"/>
    <w:rsid w:val="1759E96B"/>
    <w:rsid w:val="175B890C"/>
    <w:rsid w:val="175CC238"/>
    <w:rsid w:val="175E69A9"/>
    <w:rsid w:val="1768095E"/>
    <w:rsid w:val="176D49C3"/>
    <w:rsid w:val="176FE9DD"/>
    <w:rsid w:val="1770F2B3"/>
    <w:rsid w:val="1771DDCB"/>
    <w:rsid w:val="17756F8D"/>
    <w:rsid w:val="177982E4"/>
    <w:rsid w:val="177A6174"/>
    <w:rsid w:val="177DE909"/>
    <w:rsid w:val="177DFF8A"/>
    <w:rsid w:val="17876957"/>
    <w:rsid w:val="17890965"/>
    <w:rsid w:val="178F0BBF"/>
    <w:rsid w:val="179240F3"/>
    <w:rsid w:val="1795A579"/>
    <w:rsid w:val="1797DCC9"/>
    <w:rsid w:val="179B4B35"/>
    <w:rsid w:val="179D4EED"/>
    <w:rsid w:val="17A46DF1"/>
    <w:rsid w:val="17A85CF4"/>
    <w:rsid w:val="17A90D1B"/>
    <w:rsid w:val="17ADA7E5"/>
    <w:rsid w:val="17AEBBC1"/>
    <w:rsid w:val="17AF5F5F"/>
    <w:rsid w:val="17B29326"/>
    <w:rsid w:val="17B3384F"/>
    <w:rsid w:val="17B4F33E"/>
    <w:rsid w:val="17BA1AAA"/>
    <w:rsid w:val="17BA2564"/>
    <w:rsid w:val="17BC32D8"/>
    <w:rsid w:val="17BDB796"/>
    <w:rsid w:val="17BEB43C"/>
    <w:rsid w:val="17BEBC7A"/>
    <w:rsid w:val="17BF4BBB"/>
    <w:rsid w:val="17BF7352"/>
    <w:rsid w:val="17C2E64A"/>
    <w:rsid w:val="17C4E20F"/>
    <w:rsid w:val="17CD2097"/>
    <w:rsid w:val="17CD9DDE"/>
    <w:rsid w:val="17CE0CA1"/>
    <w:rsid w:val="17D1C292"/>
    <w:rsid w:val="17D910F8"/>
    <w:rsid w:val="17DC4F18"/>
    <w:rsid w:val="17DCB35F"/>
    <w:rsid w:val="17E3260D"/>
    <w:rsid w:val="17E8BE8F"/>
    <w:rsid w:val="17EA2D26"/>
    <w:rsid w:val="17F4695A"/>
    <w:rsid w:val="17F7B375"/>
    <w:rsid w:val="17F826BD"/>
    <w:rsid w:val="17F90740"/>
    <w:rsid w:val="17FCD819"/>
    <w:rsid w:val="17FD7FB5"/>
    <w:rsid w:val="1804CB44"/>
    <w:rsid w:val="180777C7"/>
    <w:rsid w:val="180A9912"/>
    <w:rsid w:val="18100A92"/>
    <w:rsid w:val="18131BF3"/>
    <w:rsid w:val="18141DC7"/>
    <w:rsid w:val="18179651"/>
    <w:rsid w:val="181B5260"/>
    <w:rsid w:val="181B9301"/>
    <w:rsid w:val="181C53EF"/>
    <w:rsid w:val="181CC1F1"/>
    <w:rsid w:val="182C7702"/>
    <w:rsid w:val="182CB22B"/>
    <w:rsid w:val="1831B4D0"/>
    <w:rsid w:val="18362002"/>
    <w:rsid w:val="18365C8F"/>
    <w:rsid w:val="18373411"/>
    <w:rsid w:val="183AC6FA"/>
    <w:rsid w:val="183B7882"/>
    <w:rsid w:val="1840E0C6"/>
    <w:rsid w:val="184242CC"/>
    <w:rsid w:val="184C27D6"/>
    <w:rsid w:val="18503D0B"/>
    <w:rsid w:val="18522FB3"/>
    <w:rsid w:val="185374FF"/>
    <w:rsid w:val="186B7FC0"/>
    <w:rsid w:val="186CE7B3"/>
    <w:rsid w:val="186D2787"/>
    <w:rsid w:val="186DC3D1"/>
    <w:rsid w:val="186FA30F"/>
    <w:rsid w:val="1876F1D5"/>
    <w:rsid w:val="187AF498"/>
    <w:rsid w:val="187B9515"/>
    <w:rsid w:val="187BCD15"/>
    <w:rsid w:val="187D2814"/>
    <w:rsid w:val="187E7CFB"/>
    <w:rsid w:val="18838FFE"/>
    <w:rsid w:val="188779A6"/>
    <w:rsid w:val="1889AEA7"/>
    <w:rsid w:val="188B6227"/>
    <w:rsid w:val="188F8012"/>
    <w:rsid w:val="188FAC55"/>
    <w:rsid w:val="189033E6"/>
    <w:rsid w:val="1897A3D2"/>
    <w:rsid w:val="189AAA76"/>
    <w:rsid w:val="189E1200"/>
    <w:rsid w:val="18A0D264"/>
    <w:rsid w:val="18A33A60"/>
    <w:rsid w:val="18A90BA6"/>
    <w:rsid w:val="18AA3576"/>
    <w:rsid w:val="18AB005D"/>
    <w:rsid w:val="18AC8374"/>
    <w:rsid w:val="18AD73DD"/>
    <w:rsid w:val="18AF23F2"/>
    <w:rsid w:val="18B1B90B"/>
    <w:rsid w:val="18B22F64"/>
    <w:rsid w:val="18B4516F"/>
    <w:rsid w:val="18B94B41"/>
    <w:rsid w:val="18BBAA15"/>
    <w:rsid w:val="18BC4418"/>
    <w:rsid w:val="18C2D0F6"/>
    <w:rsid w:val="18C43D79"/>
    <w:rsid w:val="18C731BD"/>
    <w:rsid w:val="18C8D49D"/>
    <w:rsid w:val="18CDB82C"/>
    <w:rsid w:val="18D1B94D"/>
    <w:rsid w:val="18D25D83"/>
    <w:rsid w:val="18D36B6D"/>
    <w:rsid w:val="18E1F3AC"/>
    <w:rsid w:val="18E2F964"/>
    <w:rsid w:val="18E3D9DA"/>
    <w:rsid w:val="18E5D6F1"/>
    <w:rsid w:val="18E68241"/>
    <w:rsid w:val="18EB7BF7"/>
    <w:rsid w:val="18FCC635"/>
    <w:rsid w:val="18FD61C3"/>
    <w:rsid w:val="190276D9"/>
    <w:rsid w:val="1905FF74"/>
    <w:rsid w:val="190F8DF9"/>
    <w:rsid w:val="191104DC"/>
    <w:rsid w:val="1911194E"/>
    <w:rsid w:val="1914045E"/>
    <w:rsid w:val="191445B5"/>
    <w:rsid w:val="19176677"/>
    <w:rsid w:val="191BAD08"/>
    <w:rsid w:val="191C2F89"/>
    <w:rsid w:val="1922A386"/>
    <w:rsid w:val="1928AAF7"/>
    <w:rsid w:val="192F93F6"/>
    <w:rsid w:val="19320603"/>
    <w:rsid w:val="1939A625"/>
    <w:rsid w:val="193CCBF9"/>
    <w:rsid w:val="193DEC55"/>
    <w:rsid w:val="194751EA"/>
    <w:rsid w:val="1947E238"/>
    <w:rsid w:val="194ADFE0"/>
    <w:rsid w:val="194B0528"/>
    <w:rsid w:val="194E935E"/>
    <w:rsid w:val="1951BB12"/>
    <w:rsid w:val="1955F9A9"/>
    <w:rsid w:val="1959C184"/>
    <w:rsid w:val="195BD0CD"/>
    <w:rsid w:val="195D1EED"/>
    <w:rsid w:val="195D21C7"/>
    <w:rsid w:val="195DE41C"/>
    <w:rsid w:val="196084CB"/>
    <w:rsid w:val="1961190D"/>
    <w:rsid w:val="19643CA4"/>
    <w:rsid w:val="19666ACA"/>
    <w:rsid w:val="1969E941"/>
    <w:rsid w:val="196F3410"/>
    <w:rsid w:val="196FE111"/>
    <w:rsid w:val="197B35C3"/>
    <w:rsid w:val="197DB62F"/>
    <w:rsid w:val="197E3AE8"/>
    <w:rsid w:val="19840FF9"/>
    <w:rsid w:val="1985227C"/>
    <w:rsid w:val="1989AAE1"/>
    <w:rsid w:val="1989D519"/>
    <w:rsid w:val="198C0A65"/>
    <w:rsid w:val="198C6BE9"/>
    <w:rsid w:val="198CB0E8"/>
    <w:rsid w:val="198FD129"/>
    <w:rsid w:val="19925CA9"/>
    <w:rsid w:val="1992DA9C"/>
    <w:rsid w:val="1996756D"/>
    <w:rsid w:val="19988CEA"/>
    <w:rsid w:val="199B983C"/>
    <w:rsid w:val="19A21B60"/>
    <w:rsid w:val="19A393A3"/>
    <w:rsid w:val="19A97FD7"/>
    <w:rsid w:val="19A9A76E"/>
    <w:rsid w:val="19AA31DF"/>
    <w:rsid w:val="19AE173C"/>
    <w:rsid w:val="19AFC022"/>
    <w:rsid w:val="19B07CE8"/>
    <w:rsid w:val="19B0F109"/>
    <w:rsid w:val="19B1311A"/>
    <w:rsid w:val="19B13F74"/>
    <w:rsid w:val="19B769FC"/>
    <w:rsid w:val="19B8B2AB"/>
    <w:rsid w:val="19C08A4B"/>
    <w:rsid w:val="19C67D40"/>
    <w:rsid w:val="19C6CBD5"/>
    <w:rsid w:val="19C74FE7"/>
    <w:rsid w:val="19C7ED4A"/>
    <w:rsid w:val="19CAB6E3"/>
    <w:rsid w:val="19CB9B62"/>
    <w:rsid w:val="19CD849D"/>
    <w:rsid w:val="19D1B636"/>
    <w:rsid w:val="19D1E236"/>
    <w:rsid w:val="19D2AACA"/>
    <w:rsid w:val="19D4996A"/>
    <w:rsid w:val="19D4D446"/>
    <w:rsid w:val="19DA8292"/>
    <w:rsid w:val="19DC343C"/>
    <w:rsid w:val="19DC6F62"/>
    <w:rsid w:val="19DD315A"/>
    <w:rsid w:val="19E41C77"/>
    <w:rsid w:val="19E70E0C"/>
    <w:rsid w:val="19E9D23B"/>
    <w:rsid w:val="19EB87DA"/>
    <w:rsid w:val="19EC5B69"/>
    <w:rsid w:val="19EE6FB8"/>
    <w:rsid w:val="19F5399C"/>
    <w:rsid w:val="19F66EBF"/>
    <w:rsid w:val="19F6F627"/>
    <w:rsid w:val="19FDF8DE"/>
    <w:rsid w:val="19FEBF9E"/>
    <w:rsid w:val="1A044FC0"/>
    <w:rsid w:val="1A0467EE"/>
    <w:rsid w:val="1A0946C1"/>
    <w:rsid w:val="1A0A4CD3"/>
    <w:rsid w:val="1A0A96DF"/>
    <w:rsid w:val="1A0B996A"/>
    <w:rsid w:val="1A0D4897"/>
    <w:rsid w:val="1A190EB7"/>
    <w:rsid w:val="1A1CC528"/>
    <w:rsid w:val="1A1E4610"/>
    <w:rsid w:val="1A1ECBB7"/>
    <w:rsid w:val="1A24382C"/>
    <w:rsid w:val="1A25447F"/>
    <w:rsid w:val="1A287DDC"/>
    <w:rsid w:val="1A298846"/>
    <w:rsid w:val="1A314EFC"/>
    <w:rsid w:val="1A31E234"/>
    <w:rsid w:val="1A37C4E9"/>
    <w:rsid w:val="1A3E168F"/>
    <w:rsid w:val="1A3E26E1"/>
    <w:rsid w:val="1A43E3EA"/>
    <w:rsid w:val="1A47E7DB"/>
    <w:rsid w:val="1A487A80"/>
    <w:rsid w:val="1A4FFDF0"/>
    <w:rsid w:val="1A569294"/>
    <w:rsid w:val="1A575CE3"/>
    <w:rsid w:val="1A5C3813"/>
    <w:rsid w:val="1A60EE57"/>
    <w:rsid w:val="1A64EC1F"/>
    <w:rsid w:val="1A657A2A"/>
    <w:rsid w:val="1A658B3F"/>
    <w:rsid w:val="1A68D659"/>
    <w:rsid w:val="1A69244E"/>
    <w:rsid w:val="1A69EDF4"/>
    <w:rsid w:val="1A69FAB5"/>
    <w:rsid w:val="1A6AF3E9"/>
    <w:rsid w:val="1A6E4A37"/>
    <w:rsid w:val="1A7105C0"/>
    <w:rsid w:val="1A75B6ED"/>
    <w:rsid w:val="1A7E443B"/>
    <w:rsid w:val="1A824CBF"/>
    <w:rsid w:val="1A8AB51D"/>
    <w:rsid w:val="1A92712B"/>
    <w:rsid w:val="1A9695ED"/>
    <w:rsid w:val="1A97F532"/>
    <w:rsid w:val="1A982628"/>
    <w:rsid w:val="1A9AE773"/>
    <w:rsid w:val="1AA11B00"/>
    <w:rsid w:val="1AA70B71"/>
    <w:rsid w:val="1AA76EA2"/>
    <w:rsid w:val="1AA80B48"/>
    <w:rsid w:val="1AAC3356"/>
    <w:rsid w:val="1AB0A0EB"/>
    <w:rsid w:val="1AB46C78"/>
    <w:rsid w:val="1AB5300A"/>
    <w:rsid w:val="1AB65C39"/>
    <w:rsid w:val="1AB6F163"/>
    <w:rsid w:val="1AB82C8A"/>
    <w:rsid w:val="1AB9FEA3"/>
    <w:rsid w:val="1ABCDC1F"/>
    <w:rsid w:val="1AC27E57"/>
    <w:rsid w:val="1AC44A7A"/>
    <w:rsid w:val="1ACA6F33"/>
    <w:rsid w:val="1ACC6B63"/>
    <w:rsid w:val="1ACD5EA7"/>
    <w:rsid w:val="1AD7F9CB"/>
    <w:rsid w:val="1AD86B27"/>
    <w:rsid w:val="1AD870CE"/>
    <w:rsid w:val="1AD8CDAA"/>
    <w:rsid w:val="1ADD2C96"/>
    <w:rsid w:val="1AE8659F"/>
    <w:rsid w:val="1AEA27F7"/>
    <w:rsid w:val="1AEA401C"/>
    <w:rsid w:val="1AF0788B"/>
    <w:rsid w:val="1AF85664"/>
    <w:rsid w:val="1AF9A33F"/>
    <w:rsid w:val="1AF9D07B"/>
    <w:rsid w:val="1AFFD4F9"/>
    <w:rsid w:val="1B03775A"/>
    <w:rsid w:val="1B0626DE"/>
    <w:rsid w:val="1B065122"/>
    <w:rsid w:val="1B08A3DF"/>
    <w:rsid w:val="1B0A8571"/>
    <w:rsid w:val="1B0D35C9"/>
    <w:rsid w:val="1B12C6E0"/>
    <w:rsid w:val="1B146FB4"/>
    <w:rsid w:val="1B14DF4D"/>
    <w:rsid w:val="1B1558C3"/>
    <w:rsid w:val="1B1AB9AD"/>
    <w:rsid w:val="1B1D0384"/>
    <w:rsid w:val="1B1DE62E"/>
    <w:rsid w:val="1B1E7D39"/>
    <w:rsid w:val="1B2A45D7"/>
    <w:rsid w:val="1B2CA02F"/>
    <w:rsid w:val="1B2FFA24"/>
    <w:rsid w:val="1B307C23"/>
    <w:rsid w:val="1B3217B3"/>
    <w:rsid w:val="1B3CCE1E"/>
    <w:rsid w:val="1B4207BD"/>
    <w:rsid w:val="1B4AC249"/>
    <w:rsid w:val="1B54DFC2"/>
    <w:rsid w:val="1B578EB1"/>
    <w:rsid w:val="1B598B8B"/>
    <w:rsid w:val="1B61A751"/>
    <w:rsid w:val="1B638CEE"/>
    <w:rsid w:val="1B643A94"/>
    <w:rsid w:val="1B64C940"/>
    <w:rsid w:val="1B667B21"/>
    <w:rsid w:val="1B66A60E"/>
    <w:rsid w:val="1B6F8F03"/>
    <w:rsid w:val="1B71B689"/>
    <w:rsid w:val="1B71E442"/>
    <w:rsid w:val="1B73C1D5"/>
    <w:rsid w:val="1B7558F0"/>
    <w:rsid w:val="1B757096"/>
    <w:rsid w:val="1B801DB7"/>
    <w:rsid w:val="1B8101DA"/>
    <w:rsid w:val="1B8F9B5F"/>
    <w:rsid w:val="1B929A0C"/>
    <w:rsid w:val="1B939FC4"/>
    <w:rsid w:val="1B93B31E"/>
    <w:rsid w:val="1B97060B"/>
    <w:rsid w:val="1B981CA1"/>
    <w:rsid w:val="1B9C6895"/>
    <w:rsid w:val="1BA271BF"/>
    <w:rsid w:val="1BA6C6A7"/>
    <w:rsid w:val="1BAC463B"/>
    <w:rsid w:val="1BB456DC"/>
    <w:rsid w:val="1BB7589E"/>
    <w:rsid w:val="1BB769EC"/>
    <w:rsid w:val="1BB8FCC5"/>
    <w:rsid w:val="1BBDC10F"/>
    <w:rsid w:val="1BBE1878"/>
    <w:rsid w:val="1BC1EED1"/>
    <w:rsid w:val="1BC28FBB"/>
    <w:rsid w:val="1BC2F6F5"/>
    <w:rsid w:val="1BC72321"/>
    <w:rsid w:val="1BC84685"/>
    <w:rsid w:val="1BC95D12"/>
    <w:rsid w:val="1BCB23B6"/>
    <w:rsid w:val="1BD10F51"/>
    <w:rsid w:val="1BD1D81A"/>
    <w:rsid w:val="1BD5BF31"/>
    <w:rsid w:val="1BD67272"/>
    <w:rsid w:val="1BD988DE"/>
    <w:rsid w:val="1BDCBA19"/>
    <w:rsid w:val="1BDCEEA3"/>
    <w:rsid w:val="1BE0740B"/>
    <w:rsid w:val="1BE31462"/>
    <w:rsid w:val="1BE6E020"/>
    <w:rsid w:val="1BEC13D1"/>
    <w:rsid w:val="1BEE0452"/>
    <w:rsid w:val="1BF0C51F"/>
    <w:rsid w:val="1BF5D186"/>
    <w:rsid w:val="1BF75FF0"/>
    <w:rsid w:val="1BF76339"/>
    <w:rsid w:val="1BF89B81"/>
    <w:rsid w:val="1BF9F3EE"/>
    <w:rsid w:val="1BFFD779"/>
    <w:rsid w:val="1C02053D"/>
    <w:rsid w:val="1C0672F2"/>
    <w:rsid w:val="1C11953F"/>
    <w:rsid w:val="1C12018C"/>
    <w:rsid w:val="1C137E35"/>
    <w:rsid w:val="1C196C2E"/>
    <w:rsid w:val="1C1B7280"/>
    <w:rsid w:val="1C1D8582"/>
    <w:rsid w:val="1C20BF67"/>
    <w:rsid w:val="1C233A6F"/>
    <w:rsid w:val="1C2371A8"/>
    <w:rsid w:val="1C2A3D2A"/>
    <w:rsid w:val="1C31562A"/>
    <w:rsid w:val="1C329167"/>
    <w:rsid w:val="1C381CA7"/>
    <w:rsid w:val="1C3A1397"/>
    <w:rsid w:val="1C42187C"/>
    <w:rsid w:val="1C42F76E"/>
    <w:rsid w:val="1C45C78D"/>
    <w:rsid w:val="1C59F6AA"/>
    <w:rsid w:val="1C5A7D20"/>
    <w:rsid w:val="1C5C14F9"/>
    <w:rsid w:val="1C600F4F"/>
    <w:rsid w:val="1C6202DE"/>
    <w:rsid w:val="1C64D798"/>
    <w:rsid w:val="1C6B6636"/>
    <w:rsid w:val="1C6D8CC9"/>
    <w:rsid w:val="1C6DC3CC"/>
    <w:rsid w:val="1C6E21D1"/>
    <w:rsid w:val="1C6EF631"/>
    <w:rsid w:val="1C74F7C4"/>
    <w:rsid w:val="1C794300"/>
    <w:rsid w:val="1C7BB85A"/>
    <w:rsid w:val="1C7E7488"/>
    <w:rsid w:val="1C7E82F8"/>
    <w:rsid w:val="1C869933"/>
    <w:rsid w:val="1C879B63"/>
    <w:rsid w:val="1C8AFE2C"/>
    <w:rsid w:val="1C8C1460"/>
    <w:rsid w:val="1C8F99C9"/>
    <w:rsid w:val="1C90DF46"/>
    <w:rsid w:val="1C99D92C"/>
    <w:rsid w:val="1C9ED954"/>
    <w:rsid w:val="1CA358BA"/>
    <w:rsid w:val="1CA55550"/>
    <w:rsid w:val="1CAE71E9"/>
    <w:rsid w:val="1CB5C3FE"/>
    <w:rsid w:val="1CB61CE7"/>
    <w:rsid w:val="1CB81389"/>
    <w:rsid w:val="1CBACA09"/>
    <w:rsid w:val="1CBBEF4D"/>
    <w:rsid w:val="1CBD3F98"/>
    <w:rsid w:val="1CC18F1A"/>
    <w:rsid w:val="1CC50A66"/>
    <w:rsid w:val="1CCDB35C"/>
    <w:rsid w:val="1CCEFA21"/>
    <w:rsid w:val="1CD38B91"/>
    <w:rsid w:val="1CD4F687"/>
    <w:rsid w:val="1CD53D59"/>
    <w:rsid w:val="1CD60E6C"/>
    <w:rsid w:val="1CD79864"/>
    <w:rsid w:val="1CD92389"/>
    <w:rsid w:val="1CDB208A"/>
    <w:rsid w:val="1CDC0E12"/>
    <w:rsid w:val="1CE094BA"/>
    <w:rsid w:val="1CE2CEAF"/>
    <w:rsid w:val="1CE2F0E9"/>
    <w:rsid w:val="1CF0DAC1"/>
    <w:rsid w:val="1CF32402"/>
    <w:rsid w:val="1CFB66B7"/>
    <w:rsid w:val="1CFE7144"/>
    <w:rsid w:val="1D079924"/>
    <w:rsid w:val="1D0AC1D0"/>
    <w:rsid w:val="1D0C8C65"/>
    <w:rsid w:val="1D14661A"/>
    <w:rsid w:val="1D170EE2"/>
    <w:rsid w:val="1D1D4A24"/>
    <w:rsid w:val="1D1E00F0"/>
    <w:rsid w:val="1D1E9C2B"/>
    <w:rsid w:val="1D1F57A8"/>
    <w:rsid w:val="1D2108E1"/>
    <w:rsid w:val="1D219043"/>
    <w:rsid w:val="1D21E72F"/>
    <w:rsid w:val="1D2264FF"/>
    <w:rsid w:val="1D22EE73"/>
    <w:rsid w:val="1D26C049"/>
    <w:rsid w:val="1D273AC0"/>
    <w:rsid w:val="1D27D3E6"/>
    <w:rsid w:val="1D2C1342"/>
    <w:rsid w:val="1D2E8746"/>
    <w:rsid w:val="1D2F3D41"/>
    <w:rsid w:val="1D314F5F"/>
    <w:rsid w:val="1D327652"/>
    <w:rsid w:val="1D3443EA"/>
    <w:rsid w:val="1D3574BA"/>
    <w:rsid w:val="1D357E12"/>
    <w:rsid w:val="1D38E888"/>
    <w:rsid w:val="1D3E32EF"/>
    <w:rsid w:val="1D42A744"/>
    <w:rsid w:val="1D454FD8"/>
    <w:rsid w:val="1D49B36C"/>
    <w:rsid w:val="1D4D1BB8"/>
    <w:rsid w:val="1D55BD6D"/>
    <w:rsid w:val="1D5D6A90"/>
    <w:rsid w:val="1D5F7187"/>
    <w:rsid w:val="1D62400C"/>
    <w:rsid w:val="1D67A662"/>
    <w:rsid w:val="1D6D9D76"/>
    <w:rsid w:val="1D6E823F"/>
    <w:rsid w:val="1D71749C"/>
    <w:rsid w:val="1D71F068"/>
    <w:rsid w:val="1D7E78DA"/>
    <w:rsid w:val="1D7F2B98"/>
    <w:rsid w:val="1D879422"/>
    <w:rsid w:val="1D8CCE50"/>
    <w:rsid w:val="1D8F306C"/>
    <w:rsid w:val="1D9005D2"/>
    <w:rsid w:val="1D900E89"/>
    <w:rsid w:val="1D9A2FB8"/>
    <w:rsid w:val="1D9B716D"/>
    <w:rsid w:val="1D9D8FEF"/>
    <w:rsid w:val="1D9EBDF0"/>
    <w:rsid w:val="1DA26858"/>
    <w:rsid w:val="1DA2EB37"/>
    <w:rsid w:val="1DA74CEF"/>
    <w:rsid w:val="1DA8A314"/>
    <w:rsid w:val="1DA8C297"/>
    <w:rsid w:val="1DA9F547"/>
    <w:rsid w:val="1DB23732"/>
    <w:rsid w:val="1DB24C04"/>
    <w:rsid w:val="1DB51FCF"/>
    <w:rsid w:val="1DB6310E"/>
    <w:rsid w:val="1DB91688"/>
    <w:rsid w:val="1DB99A3C"/>
    <w:rsid w:val="1DBC72B8"/>
    <w:rsid w:val="1DBD06A8"/>
    <w:rsid w:val="1DBFC590"/>
    <w:rsid w:val="1DC02F3E"/>
    <w:rsid w:val="1DC2CECC"/>
    <w:rsid w:val="1DC404D9"/>
    <w:rsid w:val="1DCCF32D"/>
    <w:rsid w:val="1DCF94D8"/>
    <w:rsid w:val="1DD1B731"/>
    <w:rsid w:val="1DDC26AC"/>
    <w:rsid w:val="1DE915A6"/>
    <w:rsid w:val="1DE91A6F"/>
    <w:rsid w:val="1DF74B6B"/>
    <w:rsid w:val="1DF8078A"/>
    <w:rsid w:val="1E036A64"/>
    <w:rsid w:val="1E0624D5"/>
    <w:rsid w:val="1E08DA98"/>
    <w:rsid w:val="1E0CEE49"/>
    <w:rsid w:val="1E0E6151"/>
    <w:rsid w:val="1E11FD85"/>
    <w:rsid w:val="1E146BF6"/>
    <w:rsid w:val="1E14CEBD"/>
    <w:rsid w:val="1E183734"/>
    <w:rsid w:val="1E21298E"/>
    <w:rsid w:val="1E29B474"/>
    <w:rsid w:val="1E2AFA6E"/>
    <w:rsid w:val="1E2B73D8"/>
    <w:rsid w:val="1E2C827A"/>
    <w:rsid w:val="1E36F355"/>
    <w:rsid w:val="1E375C13"/>
    <w:rsid w:val="1E383404"/>
    <w:rsid w:val="1E3F0936"/>
    <w:rsid w:val="1E47CC19"/>
    <w:rsid w:val="1E4D70C8"/>
    <w:rsid w:val="1E4E3833"/>
    <w:rsid w:val="1E510161"/>
    <w:rsid w:val="1E51203F"/>
    <w:rsid w:val="1E53F491"/>
    <w:rsid w:val="1E5555DF"/>
    <w:rsid w:val="1E59779A"/>
    <w:rsid w:val="1E5C6C9D"/>
    <w:rsid w:val="1E5F64FE"/>
    <w:rsid w:val="1E6030EF"/>
    <w:rsid w:val="1E617D84"/>
    <w:rsid w:val="1E6C105B"/>
    <w:rsid w:val="1E6CAE0C"/>
    <w:rsid w:val="1E6DBECB"/>
    <w:rsid w:val="1E6E4515"/>
    <w:rsid w:val="1E6E6067"/>
    <w:rsid w:val="1E720BA6"/>
    <w:rsid w:val="1E73FA26"/>
    <w:rsid w:val="1E755FFE"/>
    <w:rsid w:val="1E780A3B"/>
    <w:rsid w:val="1E7B2368"/>
    <w:rsid w:val="1E7C6661"/>
    <w:rsid w:val="1E7DB1D6"/>
    <w:rsid w:val="1E7F56CB"/>
    <w:rsid w:val="1E8336E3"/>
    <w:rsid w:val="1E8420B3"/>
    <w:rsid w:val="1E84C612"/>
    <w:rsid w:val="1E8634C3"/>
    <w:rsid w:val="1E8A9765"/>
    <w:rsid w:val="1E8BAF9C"/>
    <w:rsid w:val="1E93094C"/>
    <w:rsid w:val="1E949352"/>
    <w:rsid w:val="1E996924"/>
    <w:rsid w:val="1E99769D"/>
    <w:rsid w:val="1E9F283B"/>
    <w:rsid w:val="1EA03B1E"/>
    <w:rsid w:val="1EA05D92"/>
    <w:rsid w:val="1EA1B7E9"/>
    <w:rsid w:val="1EA4C243"/>
    <w:rsid w:val="1EA8E34A"/>
    <w:rsid w:val="1EAB250E"/>
    <w:rsid w:val="1EADCB47"/>
    <w:rsid w:val="1EB2AD47"/>
    <w:rsid w:val="1EB64E91"/>
    <w:rsid w:val="1EB823DB"/>
    <w:rsid w:val="1EC243A7"/>
    <w:rsid w:val="1EC36D88"/>
    <w:rsid w:val="1ED03331"/>
    <w:rsid w:val="1ED175C3"/>
    <w:rsid w:val="1ED18926"/>
    <w:rsid w:val="1ED1FFEE"/>
    <w:rsid w:val="1ED3E17A"/>
    <w:rsid w:val="1ED4C3F5"/>
    <w:rsid w:val="1EDA2006"/>
    <w:rsid w:val="1EDB76D8"/>
    <w:rsid w:val="1EDF8DD8"/>
    <w:rsid w:val="1EE45A2D"/>
    <w:rsid w:val="1EE5A40D"/>
    <w:rsid w:val="1EE6038C"/>
    <w:rsid w:val="1EE71DC3"/>
    <w:rsid w:val="1EE8EC03"/>
    <w:rsid w:val="1EEC08EB"/>
    <w:rsid w:val="1EED839D"/>
    <w:rsid w:val="1EEDE1B5"/>
    <w:rsid w:val="1EF9845D"/>
    <w:rsid w:val="1EFC97E6"/>
    <w:rsid w:val="1F0173DE"/>
    <w:rsid w:val="1F0268B6"/>
    <w:rsid w:val="1F04B4AF"/>
    <w:rsid w:val="1F0A42A0"/>
    <w:rsid w:val="1F0B0853"/>
    <w:rsid w:val="1F0C92C5"/>
    <w:rsid w:val="1F0FAF6C"/>
    <w:rsid w:val="1F11C5D0"/>
    <w:rsid w:val="1F14BCF9"/>
    <w:rsid w:val="1F17616B"/>
    <w:rsid w:val="1F176B8C"/>
    <w:rsid w:val="1F17D7A6"/>
    <w:rsid w:val="1F188B78"/>
    <w:rsid w:val="1F193CDF"/>
    <w:rsid w:val="1F1CAD9D"/>
    <w:rsid w:val="1F2022F2"/>
    <w:rsid w:val="1F2A709B"/>
    <w:rsid w:val="1F32C20D"/>
    <w:rsid w:val="1F360C91"/>
    <w:rsid w:val="1F3A287F"/>
    <w:rsid w:val="1F40DD71"/>
    <w:rsid w:val="1F463547"/>
    <w:rsid w:val="1F4F4D90"/>
    <w:rsid w:val="1F52633E"/>
    <w:rsid w:val="1F5A5938"/>
    <w:rsid w:val="1F5E076B"/>
    <w:rsid w:val="1F5F330D"/>
    <w:rsid w:val="1F6F6A01"/>
    <w:rsid w:val="1F728500"/>
    <w:rsid w:val="1F7496DD"/>
    <w:rsid w:val="1F7E122D"/>
    <w:rsid w:val="1F81A0D5"/>
    <w:rsid w:val="1F81ABA3"/>
    <w:rsid w:val="1F81FF77"/>
    <w:rsid w:val="1F825B39"/>
    <w:rsid w:val="1F8CEF08"/>
    <w:rsid w:val="1F8F5F4D"/>
    <w:rsid w:val="1F8F8D28"/>
    <w:rsid w:val="1F93707C"/>
    <w:rsid w:val="1F9423D1"/>
    <w:rsid w:val="1F9AD399"/>
    <w:rsid w:val="1F9FD052"/>
    <w:rsid w:val="1FA36CBB"/>
    <w:rsid w:val="1FAB69F1"/>
    <w:rsid w:val="1FB069DE"/>
    <w:rsid w:val="1FB51E79"/>
    <w:rsid w:val="1FB57247"/>
    <w:rsid w:val="1FBA52E6"/>
    <w:rsid w:val="1FBC2B9F"/>
    <w:rsid w:val="1FC0054F"/>
    <w:rsid w:val="1FC04076"/>
    <w:rsid w:val="1FC365C4"/>
    <w:rsid w:val="1FC68CEB"/>
    <w:rsid w:val="1FC775F9"/>
    <w:rsid w:val="1FC8A7E7"/>
    <w:rsid w:val="1FCBC6BF"/>
    <w:rsid w:val="1FD2019C"/>
    <w:rsid w:val="1FD225E9"/>
    <w:rsid w:val="1FD3F706"/>
    <w:rsid w:val="1FD4B9D2"/>
    <w:rsid w:val="1FD594E8"/>
    <w:rsid w:val="1FD9D901"/>
    <w:rsid w:val="1FDD955B"/>
    <w:rsid w:val="1FE04653"/>
    <w:rsid w:val="1FE04F59"/>
    <w:rsid w:val="1FE4B36A"/>
    <w:rsid w:val="1FEAEC64"/>
    <w:rsid w:val="1FEF476D"/>
    <w:rsid w:val="1FF12698"/>
    <w:rsid w:val="1FF17BF2"/>
    <w:rsid w:val="1FF474CA"/>
    <w:rsid w:val="1FFF0283"/>
    <w:rsid w:val="1FFF4D85"/>
    <w:rsid w:val="1FFFE62E"/>
    <w:rsid w:val="2000E5AB"/>
    <w:rsid w:val="20014655"/>
    <w:rsid w:val="2002222A"/>
    <w:rsid w:val="2005E124"/>
    <w:rsid w:val="2008A0D7"/>
    <w:rsid w:val="200BDC42"/>
    <w:rsid w:val="2016EA02"/>
    <w:rsid w:val="201E1E58"/>
    <w:rsid w:val="201E8747"/>
    <w:rsid w:val="201FCE20"/>
    <w:rsid w:val="20227679"/>
    <w:rsid w:val="2022B06D"/>
    <w:rsid w:val="2023903E"/>
    <w:rsid w:val="202A085F"/>
    <w:rsid w:val="202CC4AD"/>
    <w:rsid w:val="2034CCD4"/>
    <w:rsid w:val="2039F72A"/>
    <w:rsid w:val="203E988C"/>
    <w:rsid w:val="203EF702"/>
    <w:rsid w:val="2047B25D"/>
    <w:rsid w:val="204DE1CB"/>
    <w:rsid w:val="2053E6B0"/>
    <w:rsid w:val="2059A9C3"/>
    <w:rsid w:val="205C7501"/>
    <w:rsid w:val="2060BD94"/>
    <w:rsid w:val="20622F2D"/>
    <w:rsid w:val="206233A7"/>
    <w:rsid w:val="20633803"/>
    <w:rsid w:val="20654C6D"/>
    <w:rsid w:val="206A3FCC"/>
    <w:rsid w:val="206ACC9B"/>
    <w:rsid w:val="206AD198"/>
    <w:rsid w:val="206C8559"/>
    <w:rsid w:val="206EF10F"/>
    <w:rsid w:val="206F10B2"/>
    <w:rsid w:val="206FF489"/>
    <w:rsid w:val="2077E9BD"/>
    <w:rsid w:val="2079C2D6"/>
    <w:rsid w:val="2079F8EA"/>
    <w:rsid w:val="207A910F"/>
    <w:rsid w:val="207C4DC0"/>
    <w:rsid w:val="207C87A4"/>
    <w:rsid w:val="2080FA29"/>
    <w:rsid w:val="2086E74F"/>
    <w:rsid w:val="208D398E"/>
    <w:rsid w:val="2096988C"/>
    <w:rsid w:val="209CB362"/>
    <w:rsid w:val="209DF2CA"/>
    <w:rsid w:val="209F365D"/>
    <w:rsid w:val="20A120CE"/>
    <w:rsid w:val="20A1E6A9"/>
    <w:rsid w:val="20A3D919"/>
    <w:rsid w:val="20A70CBB"/>
    <w:rsid w:val="20AB41BE"/>
    <w:rsid w:val="20B191CA"/>
    <w:rsid w:val="20B458CB"/>
    <w:rsid w:val="20BA3F03"/>
    <w:rsid w:val="20BB40B6"/>
    <w:rsid w:val="20BE8B7B"/>
    <w:rsid w:val="20BF906F"/>
    <w:rsid w:val="20BFAEF7"/>
    <w:rsid w:val="20C0C350"/>
    <w:rsid w:val="20C16019"/>
    <w:rsid w:val="20C3F100"/>
    <w:rsid w:val="20C75B84"/>
    <w:rsid w:val="20CCDAF9"/>
    <w:rsid w:val="20CEEFF7"/>
    <w:rsid w:val="20D0AC60"/>
    <w:rsid w:val="20D6F82A"/>
    <w:rsid w:val="20D700D5"/>
    <w:rsid w:val="20DF7353"/>
    <w:rsid w:val="20DFD82F"/>
    <w:rsid w:val="20E4C23D"/>
    <w:rsid w:val="20E51ECA"/>
    <w:rsid w:val="20E84B76"/>
    <w:rsid w:val="20EE6CBD"/>
    <w:rsid w:val="20F29643"/>
    <w:rsid w:val="20F7488C"/>
    <w:rsid w:val="20FB3B3F"/>
    <w:rsid w:val="20FEE268"/>
    <w:rsid w:val="20FF6B59"/>
    <w:rsid w:val="2101D212"/>
    <w:rsid w:val="2102FF7C"/>
    <w:rsid w:val="21045D64"/>
    <w:rsid w:val="2105B455"/>
    <w:rsid w:val="2108232F"/>
    <w:rsid w:val="21099B8A"/>
    <w:rsid w:val="210B1DB8"/>
    <w:rsid w:val="210BB7AE"/>
    <w:rsid w:val="210BE59C"/>
    <w:rsid w:val="210CAB83"/>
    <w:rsid w:val="210E54FD"/>
    <w:rsid w:val="2110AD39"/>
    <w:rsid w:val="211542FE"/>
    <w:rsid w:val="21178EE8"/>
    <w:rsid w:val="21191F61"/>
    <w:rsid w:val="21193C73"/>
    <w:rsid w:val="211DE26E"/>
    <w:rsid w:val="211EE859"/>
    <w:rsid w:val="2122DB98"/>
    <w:rsid w:val="212369C2"/>
    <w:rsid w:val="212ADC5C"/>
    <w:rsid w:val="21345DD6"/>
    <w:rsid w:val="213742C3"/>
    <w:rsid w:val="213E4866"/>
    <w:rsid w:val="213FE814"/>
    <w:rsid w:val="214037E2"/>
    <w:rsid w:val="2140C279"/>
    <w:rsid w:val="214221EC"/>
    <w:rsid w:val="21483FA0"/>
    <w:rsid w:val="214A1471"/>
    <w:rsid w:val="214A7963"/>
    <w:rsid w:val="214CDB7C"/>
    <w:rsid w:val="214D5AE3"/>
    <w:rsid w:val="21517B19"/>
    <w:rsid w:val="21567709"/>
    <w:rsid w:val="21573B52"/>
    <w:rsid w:val="215A346F"/>
    <w:rsid w:val="216B6F2E"/>
    <w:rsid w:val="216D8359"/>
    <w:rsid w:val="216FC4EF"/>
    <w:rsid w:val="21713756"/>
    <w:rsid w:val="217723BF"/>
    <w:rsid w:val="217D7A95"/>
    <w:rsid w:val="217EF0A9"/>
    <w:rsid w:val="21865B86"/>
    <w:rsid w:val="21884E26"/>
    <w:rsid w:val="218944F4"/>
    <w:rsid w:val="218B48DA"/>
    <w:rsid w:val="218BB028"/>
    <w:rsid w:val="2191D7A1"/>
    <w:rsid w:val="21951703"/>
    <w:rsid w:val="2196CDE0"/>
    <w:rsid w:val="21972B97"/>
    <w:rsid w:val="2198923F"/>
    <w:rsid w:val="219D14DA"/>
    <w:rsid w:val="219F3D25"/>
    <w:rsid w:val="21A20654"/>
    <w:rsid w:val="21A67C57"/>
    <w:rsid w:val="21A7C7E6"/>
    <w:rsid w:val="21B129DA"/>
    <w:rsid w:val="21B3EC4C"/>
    <w:rsid w:val="21B5F2F0"/>
    <w:rsid w:val="21B6DF88"/>
    <w:rsid w:val="21BBF018"/>
    <w:rsid w:val="21C545FA"/>
    <w:rsid w:val="21C769F1"/>
    <w:rsid w:val="21C84CBA"/>
    <w:rsid w:val="21D17385"/>
    <w:rsid w:val="21D26CA4"/>
    <w:rsid w:val="21DDD2D7"/>
    <w:rsid w:val="21E7B447"/>
    <w:rsid w:val="21E9164C"/>
    <w:rsid w:val="21EBA601"/>
    <w:rsid w:val="21EDA110"/>
    <w:rsid w:val="21F03D84"/>
    <w:rsid w:val="21F1A62F"/>
    <w:rsid w:val="21F721DB"/>
    <w:rsid w:val="21F97A35"/>
    <w:rsid w:val="21FA2198"/>
    <w:rsid w:val="21FA6FE5"/>
    <w:rsid w:val="2203A751"/>
    <w:rsid w:val="2209A64A"/>
    <w:rsid w:val="2209A7D3"/>
    <w:rsid w:val="22105070"/>
    <w:rsid w:val="22109597"/>
    <w:rsid w:val="22150036"/>
    <w:rsid w:val="2215BC2E"/>
    <w:rsid w:val="22196778"/>
    <w:rsid w:val="221B0617"/>
    <w:rsid w:val="221DD538"/>
    <w:rsid w:val="221FAE79"/>
    <w:rsid w:val="22209A65"/>
    <w:rsid w:val="222C4B93"/>
    <w:rsid w:val="2232D0DD"/>
    <w:rsid w:val="2237F2AD"/>
    <w:rsid w:val="223877AB"/>
    <w:rsid w:val="22391381"/>
    <w:rsid w:val="223986D5"/>
    <w:rsid w:val="223C87A5"/>
    <w:rsid w:val="223E8F0F"/>
    <w:rsid w:val="223EE26A"/>
    <w:rsid w:val="223FD3DE"/>
    <w:rsid w:val="2241E7A9"/>
    <w:rsid w:val="22434DB4"/>
    <w:rsid w:val="2245014C"/>
    <w:rsid w:val="224DB493"/>
    <w:rsid w:val="224F6965"/>
    <w:rsid w:val="225245D0"/>
    <w:rsid w:val="22547EDA"/>
    <w:rsid w:val="225E08A1"/>
    <w:rsid w:val="226356C1"/>
    <w:rsid w:val="2263E120"/>
    <w:rsid w:val="22671123"/>
    <w:rsid w:val="22683024"/>
    <w:rsid w:val="226BAB86"/>
    <w:rsid w:val="227000F6"/>
    <w:rsid w:val="22768CD5"/>
    <w:rsid w:val="22793D9A"/>
    <w:rsid w:val="227A872D"/>
    <w:rsid w:val="227E7D09"/>
    <w:rsid w:val="227EFF94"/>
    <w:rsid w:val="2280462F"/>
    <w:rsid w:val="22919DD4"/>
    <w:rsid w:val="22943E65"/>
    <w:rsid w:val="2297D49B"/>
    <w:rsid w:val="2299BFE0"/>
    <w:rsid w:val="229C5379"/>
    <w:rsid w:val="229D4CCE"/>
    <w:rsid w:val="22A54EB4"/>
    <w:rsid w:val="22A7504D"/>
    <w:rsid w:val="22A98F29"/>
    <w:rsid w:val="22ABE20E"/>
    <w:rsid w:val="22B0D45A"/>
    <w:rsid w:val="22B312A2"/>
    <w:rsid w:val="22B499D4"/>
    <w:rsid w:val="22B56790"/>
    <w:rsid w:val="22BA1C0E"/>
    <w:rsid w:val="22BC9871"/>
    <w:rsid w:val="22BF7BE5"/>
    <w:rsid w:val="22C052C7"/>
    <w:rsid w:val="22CA4D61"/>
    <w:rsid w:val="22CE80D1"/>
    <w:rsid w:val="22CEB036"/>
    <w:rsid w:val="22D084DD"/>
    <w:rsid w:val="22D11323"/>
    <w:rsid w:val="22D19EBD"/>
    <w:rsid w:val="22D5261A"/>
    <w:rsid w:val="22D558ED"/>
    <w:rsid w:val="22DA7870"/>
    <w:rsid w:val="22DC4841"/>
    <w:rsid w:val="22DCC2AB"/>
    <w:rsid w:val="22E07136"/>
    <w:rsid w:val="22E42572"/>
    <w:rsid w:val="22E5FB8E"/>
    <w:rsid w:val="22E85F42"/>
    <w:rsid w:val="22EB04E5"/>
    <w:rsid w:val="22EE370E"/>
    <w:rsid w:val="22F0B747"/>
    <w:rsid w:val="22F2DAE0"/>
    <w:rsid w:val="22F36DDD"/>
    <w:rsid w:val="22F66076"/>
    <w:rsid w:val="22F843F4"/>
    <w:rsid w:val="22FBEA0B"/>
    <w:rsid w:val="22FDAC50"/>
    <w:rsid w:val="22FFF5E1"/>
    <w:rsid w:val="2301C4C1"/>
    <w:rsid w:val="23030C3B"/>
    <w:rsid w:val="23045835"/>
    <w:rsid w:val="23101DFD"/>
    <w:rsid w:val="23122EEB"/>
    <w:rsid w:val="2312B372"/>
    <w:rsid w:val="23133AB9"/>
    <w:rsid w:val="2315CFCE"/>
    <w:rsid w:val="231818BC"/>
    <w:rsid w:val="231BBD87"/>
    <w:rsid w:val="231F209D"/>
    <w:rsid w:val="23242705"/>
    <w:rsid w:val="23274D03"/>
    <w:rsid w:val="232DE30C"/>
    <w:rsid w:val="2333568F"/>
    <w:rsid w:val="23357893"/>
    <w:rsid w:val="233B0DA6"/>
    <w:rsid w:val="233EDDB9"/>
    <w:rsid w:val="2341C912"/>
    <w:rsid w:val="23474B5E"/>
    <w:rsid w:val="2349B767"/>
    <w:rsid w:val="234A5078"/>
    <w:rsid w:val="234AFC07"/>
    <w:rsid w:val="234B2D88"/>
    <w:rsid w:val="23508818"/>
    <w:rsid w:val="2358C5C9"/>
    <w:rsid w:val="235A1439"/>
    <w:rsid w:val="235A638A"/>
    <w:rsid w:val="235B5F8B"/>
    <w:rsid w:val="235E62F5"/>
    <w:rsid w:val="235EC259"/>
    <w:rsid w:val="235EE390"/>
    <w:rsid w:val="23681354"/>
    <w:rsid w:val="236B5CA6"/>
    <w:rsid w:val="236EDC50"/>
    <w:rsid w:val="237034B3"/>
    <w:rsid w:val="23715F5B"/>
    <w:rsid w:val="237185CE"/>
    <w:rsid w:val="2372F419"/>
    <w:rsid w:val="2375CD9A"/>
    <w:rsid w:val="2378B5E1"/>
    <w:rsid w:val="237D11AA"/>
    <w:rsid w:val="23860B55"/>
    <w:rsid w:val="2388FEFA"/>
    <w:rsid w:val="238C86DE"/>
    <w:rsid w:val="238D8D96"/>
    <w:rsid w:val="238F5E57"/>
    <w:rsid w:val="2393FF61"/>
    <w:rsid w:val="239A3ECE"/>
    <w:rsid w:val="239B59FD"/>
    <w:rsid w:val="239CE2E3"/>
    <w:rsid w:val="239F6391"/>
    <w:rsid w:val="23A40D0A"/>
    <w:rsid w:val="23A6A13B"/>
    <w:rsid w:val="23A9C986"/>
    <w:rsid w:val="23AF0CE4"/>
    <w:rsid w:val="23B127BD"/>
    <w:rsid w:val="23B14768"/>
    <w:rsid w:val="23B1E40E"/>
    <w:rsid w:val="23B1FEA1"/>
    <w:rsid w:val="23B400F7"/>
    <w:rsid w:val="23BDD128"/>
    <w:rsid w:val="23BEB0AA"/>
    <w:rsid w:val="23C3EDFA"/>
    <w:rsid w:val="23C48BFD"/>
    <w:rsid w:val="23C590CD"/>
    <w:rsid w:val="23C674B9"/>
    <w:rsid w:val="23CC7A4F"/>
    <w:rsid w:val="23CDAB54"/>
    <w:rsid w:val="23CEAEF1"/>
    <w:rsid w:val="23CFCEDB"/>
    <w:rsid w:val="23D30E46"/>
    <w:rsid w:val="23D7852B"/>
    <w:rsid w:val="23DB58AE"/>
    <w:rsid w:val="23DCB53A"/>
    <w:rsid w:val="23E1DD71"/>
    <w:rsid w:val="23E320F9"/>
    <w:rsid w:val="23E55F39"/>
    <w:rsid w:val="23E647FF"/>
    <w:rsid w:val="23EECB4B"/>
    <w:rsid w:val="23F1A589"/>
    <w:rsid w:val="23F1D1FA"/>
    <w:rsid w:val="23F5247A"/>
    <w:rsid w:val="23FA0188"/>
    <w:rsid w:val="23FF00E7"/>
    <w:rsid w:val="240097D2"/>
    <w:rsid w:val="24037F99"/>
    <w:rsid w:val="240738D6"/>
    <w:rsid w:val="2409ED4E"/>
    <w:rsid w:val="240B6947"/>
    <w:rsid w:val="240FB05C"/>
    <w:rsid w:val="2411B735"/>
    <w:rsid w:val="24162372"/>
    <w:rsid w:val="24202921"/>
    <w:rsid w:val="24261CA0"/>
    <w:rsid w:val="2427665C"/>
    <w:rsid w:val="242B42A3"/>
    <w:rsid w:val="2430B939"/>
    <w:rsid w:val="24343192"/>
    <w:rsid w:val="2435FCDF"/>
    <w:rsid w:val="24364923"/>
    <w:rsid w:val="2436653F"/>
    <w:rsid w:val="24386FD5"/>
    <w:rsid w:val="243B1414"/>
    <w:rsid w:val="243CF2B1"/>
    <w:rsid w:val="243CFD51"/>
    <w:rsid w:val="24477260"/>
    <w:rsid w:val="244B0762"/>
    <w:rsid w:val="244BA188"/>
    <w:rsid w:val="244BCF3C"/>
    <w:rsid w:val="24500775"/>
    <w:rsid w:val="24564A2A"/>
    <w:rsid w:val="2457D24A"/>
    <w:rsid w:val="24585BE8"/>
    <w:rsid w:val="245BDD3A"/>
    <w:rsid w:val="245E203A"/>
    <w:rsid w:val="24619956"/>
    <w:rsid w:val="24655C95"/>
    <w:rsid w:val="2465EF28"/>
    <w:rsid w:val="24685B6B"/>
    <w:rsid w:val="246C3C7A"/>
    <w:rsid w:val="246CA9D6"/>
    <w:rsid w:val="246D5278"/>
    <w:rsid w:val="246FEA53"/>
    <w:rsid w:val="24736727"/>
    <w:rsid w:val="2473F7AE"/>
    <w:rsid w:val="24757FC6"/>
    <w:rsid w:val="2475D7D7"/>
    <w:rsid w:val="247EDED4"/>
    <w:rsid w:val="24803E04"/>
    <w:rsid w:val="2488EAB7"/>
    <w:rsid w:val="248A417C"/>
    <w:rsid w:val="24940360"/>
    <w:rsid w:val="249730FB"/>
    <w:rsid w:val="249787FA"/>
    <w:rsid w:val="24993DC1"/>
    <w:rsid w:val="24A074D8"/>
    <w:rsid w:val="24A5E4A6"/>
    <w:rsid w:val="24A62F27"/>
    <w:rsid w:val="24A6AAF7"/>
    <w:rsid w:val="24AB34FB"/>
    <w:rsid w:val="24AC3A32"/>
    <w:rsid w:val="24AF228D"/>
    <w:rsid w:val="24AF7E70"/>
    <w:rsid w:val="24B061E8"/>
    <w:rsid w:val="24B07ABB"/>
    <w:rsid w:val="24B64232"/>
    <w:rsid w:val="24B799E5"/>
    <w:rsid w:val="24BE310B"/>
    <w:rsid w:val="24C2C449"/>
    <w:rsid w:val="24C3705B"/>
    <w:rsid w:val="24D23836"/>
    <w:rsid w:val="24DD6E1D"/>
    <w:rsid w:val="24DDD464"/>
    <w:rsid w:val="24DF6784"/>
    <w:rsid w:val="24EAD0B5"/>
    <w:rsid w:val="24EADEF6"/>
    <w:rsid w:val="24ECE91F"/>
    <w:rsid w:val="24ECF4C2"/>
    <w:rsid w:val="24EE6359"/>
    <w:rsid w:val="24F1D734"/>
    <w:rsid w:val="24F57997"/>
    <w:rsid w:val="24F9A068"/>
    <w:rsid w:val="24FFD366"/>
    <w:rsid w:val="250439C3"/>
    <w:rsid w:val="250BCE4B"/>
    <w:rsid w:val="250EACC6"/>
    <w:rsid w:val="25118396"/>
    <w:rsid w:val="25172DC3"/>
    <w:rsid w:val="251D14CF"/>
    <w:rsid w:val="252F1177"/>
    <w:rsid w:val="252FCAE2"/>
    <w:rsid w:val="25353AC6"/>
    <w:rsid w:val="253F74E0"/>
    <w:rsid w:val="2541E692"/>
    <w:rsid w:val="2542D383"/>
    <w:rsid w:val="25449709"/>
    <w:rsid w:val="25464408"/>
    <w:rsid w:val="25475151"/>
    <w:rsid w:val="254A4BA6"/>
    <w:rsid w:val="254A8183"/>
    <w:rsid w:val="254B9867"/>
    <w:rsid w:val="254D226E"/>
    <w:rsid w:val="25529F89"/>
    <w:rsid w:val="255E4AD8"/>
    <w:rsid w:val="255F3DDF"/>
    <w:rsid w:val="2561637D"/>
    <w:rsid w:val="25645B34"/>
    <w:rsid w:val="256700A7"/>
    <w:rsid w:val="25683769"/>
    <w:rsid w:val="256AE7EB"/>
    <w:rsid w:val="256B87AC"/>
    <w:rsid w:val="2570CE40"/>
    <w:rsid w:val="2574CAFD"/>
    <w:rsid w:val="257C4C72"/>
    <w:rsid w:val="258006D1"/>
    <w:rsid w:val="25871FC2"/>
    <w:rsid w:val="258F458C"/>
    <w:rsid w:val="2590CE7F"/>
    <w:rsid w:val="25989B28"/>
    <w:rsid w:val="25990768"/>
    <w:rsid w:val="259ACE0A"/>
    <w:rsid w:val="259B6403"/>
    <w:rsid w:val="259D43C9"/>
    <w:rsid w:val="259DF110"/>
    <w:rsid w:val="259FB76B"/>
    <w:rsid w:val="25A27478"/>
    <w:rsid w:val="25A5DC50"/>
    <w:rsid w:val="25A66B1B"/>
    <w:rsid w:val="25AAACCD"/>
    <w:rsid w:val="25ADC558"/>
    <w:rsid w:val="25AE24EC"/>
    <w:rsid w:val="25AF7E9F"/>
    <w:rsid w:val="25B1284B"/>
    <w:rsid w:val="25B90A91"/>
    <w:rsid w:val="25BD089A"/>
    <w:rsid w:val="25C23339"/>
    <w:rsid w:val="25D5CFB0"/>
    <w:rsid w:val="25D75B39"/>
    <w:rsid w:val="25D8E127"/>
    <w:rsid w:val="25DADB21"/>
    <w:rsid w:val="25DCD0AE"/>
    <w:rsid w:val="25DEC549"/>
    <w:rsid w:val="25E2CC94"/>
    <w:rsid w:val="25E5972F"/>
    <w:rsid w:val="25E87A96"/>
    <w:rsid w:val="25E9BDA4"/>
    <w:rsid w:val="25ED7E95"/>
    <w:rsid w:val="25F22007"/>
    <w:rsid w:val="25F47D29"/>
    <w:rsid w:val="25F5E296"/>
    <w:rsid w:val="25F7C054"/>
    <w:rsid w:val="25FA2633"/>
    <w:rsid w:val="25FF3848"/>
    <w:rsid w:val="25FF72B8"/>
    <w:rsid w:val="260399C0"/>
    <w:rsid w:val="2608AED9"/>
    <w:rsid w:val="2608B26A"/>
    <w:rsid w:val="260909FC"/>
    <w:rsid w:val="260B2C0B"/>
    <w:rsid w:val="260D2E15"/>
    <w:rsid w:val="260E01DE"/>
    <w:rsid w:val="2610DC82"/>
    <w:rsid w:val="26124658"/>
    <w:rsid w:val="26169004"/>
    <w:rsid w:val="2618FCEC"/>
    <w:rsid w:val="261F0ED7"/>
    <w:rsid w:val="26253438"/>
    <w:rsid w:val="262CC988"/>
    <w:rsid w:val="262DDA4C"/>
    <w:rsid w:val="262E0D8C"/>
    <w:rsid w:val="262E8F8E"/>
    <w:rsid w:val="2633105E"/>
    <w:rsid w:val="26331F3A"/>
    <w:rsid w:val="26359DBE"/>
    <w:rsid w:val="2635EB06"/>
    <w:rsid w:val="263609AD"/>
    <w:rsid w:val="26378B3F"/>
    <w:rsid w:val="263C9A9D"/>
    <w:rsid w:val="264058D1"/>
    <w:rsid w:val="2642CF75"/>
    <w:rsid w:val="2647A2B3"/>
    <w:rsid w:val="264AD44C"/>
    <w:rsid w:val="264B7C18"/>
    <w:rsid w:val="264DA3D0"/>
    <w:rsid w:val="2654FC5C"/>
    <w:rsid w:val="265E620E"/>
    <w:rsid w:val="2661BC45"/>
    <w:rsid w:val="2662C794"/>
    <w:rsid w:val="2667DC0C"/>
    <w:rsid w:val="266C5805"/>
    <w:rsid w:val="2672681F"/>
    <w:rsid w:val="267DE9BE"/>
    <w:rsid w:val="26808599"/>
    <w:rsid w:val="268117AC"/>
    <w:rsid w:val="26827C16"/>
    <w:rsid w:val="26831DFE"/>
    <w:rsid w:val="2686239B"/>
    <w:rsid w:val="2687C48D"/>
    <w:rsid w:val="268C4281"/>
    <w:rsid w:val="269165C7"/>
    <w:rsid w:val="2693C21F"/>
    <w:rsid w:val="26950AE4"/>
    <w:rsid w:val="269626B6"/>
    <w:rsid w:val="26982A1B"/>
    <w:rsid w:val="269830E4"/>
    <w:rsid w:val="269BB35F"/>
    <w:rsid w:val="269C8DF3"/>
    <w:rsid w:val="269CF539"/>
    <w:rsid w:val="26A43369"/>
    <w:rsid w:val="26A64376"/>
    <w:rsid w:val="26A791FD"/>
    <w:rsid w:val="26ABF212"/>
    <w:rsid w:val="26ACF3C2"/>
    <w:rsid w:val="26B6214B"/>
    <w:rsid w:val="26B9177B"/>
    <w:rsid w:val="26B9F8BC"/>
    <w:rsid w:val="26BA0233"/>
    <w:rsid w:val="26BAA164"/>
    <w:rsid w:val="26C00569"/>
    <w:rsid w:val="26C88D7A"/>
    <w:rsid w:val="26CBA728"/>
    <w:rsid w:val="26CC6EA4"/>
    <w:rsid w:val="26CE179D"/>
    <w:rsid w:val="26D14A26"/>
    <w:rsid w:val="26D53DFE"/>
    <w:rsid w:val="26DCB1A5"/>
    <w:rsid w:val="26DD39C6"/>
    <w:rsid w:val="26DFBA25"/>
    <w:rsid w:val="26DFECD6"/>
    <w:rsid w:val="26E26B33"/>
    <w:rsid w:val="26E5CD1A"/>
    <w:rsid w:val="26E6A4A2"/>
    <w:rsid w:val="26E7AD41"/>
    <w:rsid w:val="26E8F741"/>
    <w:rsid w:val="26EBEE85"/>
    <w:rsid w:val="26F24C10"/>
    <w:rsid w:val="26F5D948"/>
    <w:rsid w:val="26F7CAAE"/>
    <w:rsid w:val="26F83BBB"/>
    <w:rsid w:val="26F8BE26"/>
    <w:rsid w:val="26FAA069"/>
    <w:rsid w:val="26FC0C6B"/>
    <w:rsid w:val="26FD8EB4"/>
    <w:rsid w:val="26FE1159"/>
    <w:rsid w:val="26FEC04F"/>
    <w:rsid w:val="2706640E"/>
    <w:rsid w:val="27104279"/>
    <w:rsid w:val="271127F0"/>
    <w:rsid w:val="271338FB"/>
    <w:rsid w:val="2714652B"/>
    <w:rsid w:val="2715918A"/>
    <w:rsid w:val="271DB9CC"/>
    <w:rsid w:val="2720863B"/>
    <w:rsid w:val="272135CB"/>
    <w:rsid w:val="27218EF1"/>
    <w:rsid w:val="2726016F"/>
    <w:rsid w:val="27292096"/>
    <w:rsid w:val="272B9413"/>
    <w:rsid w:val="272F6F5E"/>
    <w:rsid w:val="27302624"/>
    <w:rsid w:val="2730BAC4"/>
    <w:rsid w:val="27327C32"/>
    <w:rsid w:val="2739C4BE"/>
    <w:rsid w:val="273B7406"/>
    <w:rsid w:val="2741F1D5"/>
    <w:rsid w:val="274486FD"/>
    <w:rsid w:val="27457E8C"/>
    <w:rsid w:val="274BCE34"/>
    <w:rsid w:val="274FC156"/>
    <w:rsid w:val="27532265"/>
    <w:rsid w:val="27560AC8"/>
    <w:rsid w:val="2758636F"/>
    <w:rsid w:val="275C8895"/>
    <w:rsid w:val="275D368F"/>
    <w:rsid w:val="275F56C5"/>
    <w:rsid w:val="2761F009"/>
    <w:rsid w:val="27632401"/>
    <w:rsid w:val="27643AE6"/>
    <w:rsid w:val="27645ABE"/>
    <w:rsid w:val="276878E7"/>
    <w:rsid w:val="2768E061"/>
    <w:rsid w:val="276BFB97"/>
    <w:rsid w:val="276C457A"/>
    <w:rsid w:val="276FDDE2"/>
    <w:rsid w:val="277395DA"/>
    <w:rsid w:val="2773D37E"/>
    <w:rsid w:val="277535D8"/>
    <w:rsid w:val="27762BAE"/>
    <w:rsid w:val="2779226E"/>
    <w:rsid w:val="277B0A6E"/>
    <w:rsid w:val="2783828E"/>
    <w:rsid w:val="2788A575"/>
    <w:rsid w:val="2788CA20"/>
    <w:rsid w:val="278D1FAA"/>
    <w:rsid w:val="278D69D0"/>
    <w:rsid w:val="2795D85C"/>
    <w:rsid w:val="279DA7DD"/>
    <w:rsid w:val="27A0AF24"/>
    <w:rsid w:val="27A4789E"/>
    <w:rsid w:val="27A651F9"/>
    <w:rsid w:val="27A6B822"/>
    <w:rsid w:val="27AE0AB3"/>
    <w:rsid w:val="27AEB554"/>
    <w:rsid w:val="27AEF22E"/>
    <w:rsid w:val="27B03D4B"/>
    <w:rsid w:val="27B5979C"/>
    <w:rsid w:val="27B6DD37"/>
    <w:rsid w:val="27B74887"/>
    <w:rsid w:val="27B99F20"/>
    <w:rsid w:val="27C0D994"/>
    <w:rsid w:val="27C2BBAA"/>
    <w:rsid w:val="27C2CA1D"/>
    <w:rsid w:val="27C4371B"/>
    <w:rsid w:val="27C9B0F6"/>
    <w:rsid w:val="27CBC5DB"/>
    <w:rsid w:val="27CC28DD"/>
    <w:rsid w:val="27CDD1A9"/>
    <w:rsid w:val="27CE5170"/>
    <w:rsid w:val="27D0159D"/>
    <w:rsid w:val="27D55E76"/>
    <w:rsid w:val="27D7CD22"/>
    <w:rsid w:val="27DC1E59"/>
    <w:rsid w:val="27DE5269"/>
    <w:rsid w:val="27E20B3C"/>
    <w:rsid w:val="27E3C1F3"/>
    <w:rsid w:val="27E8AC65"/>
    <w:rsid w:val="27F0C6D7"/>
    <w:rsid w:val="27F0FFCC"/>
    <w:rsid w:val="27F2829E"/>
    <w:rsid w:val="27F8CB09"/>
    <w:rsid w:val="27FA8168"/>
    <w:rsid w:val="27FB01A7"/>
    <w:rsid w:val="27FC3B2E"/>
    <w:rsid w:val="27FCE786"/>
    <w:rsid w:val="2809B1DE"/>
    <w:rsid w:val="2819752C"/>
    <w:rsid w:val="282039EC"/>
    <w:rsid w:val="28258148"/>
    <w:rsid w:val="28296632"/>
    <w:rsid w:val="282EBE48"/>
    <w:rsid w:val="282FC6EC"/>
    <w:rsid w:val="28301632"/>
    <w:rsid w:val="28325A44"/>
    <w:rsid w:val="28351668"/>
    <w:rsid w:val="28357ACD"/>
    <w:rsid w:val="2835B5F7"/>
    <w:rsid w:val="28369FDA"/>
    <w:rsid w:val="2839854E"/>
    <w:rsid w:val="283CF201"/>
    <w:rsid w:val="283D6D55"/>
    <w:rsid w:val="28432E3B"/>
    <w:rsid w:val="2848FDE5"/>
    <w:rsid w:val="284A075B"/>
    <w:rsid w:val="284A5FBA"/>
    <w:rsid w:val="284CAB3C"/>
    <w:rsid w:val="284CF07A"/>
    <w:rsid w:val="284FC532"/>
    <w:rsid w:val="28500E19"/>
    <w:rsid w:val="28559C06"/>
    <w:rsid w:val="285C6C51"/>
    <w:rsid w:val="285FA6E6"/>
    <w:rsid w:val="286131C5"/>
    <w:rsid w:val="28617B26"/>
    <w:rsid w:val="2866CC13"/>
    <w:rsid w:val="286A214A"/>
    <w:rsid w:val="286B81F4"/>
    <w:rsid w:val="286C50AD"/>
    <w:rsid w:val="286F6E9E"/>
    <w:rsid w:val="28705A45"/>
    <w:rsid w:val="2873CD26"/>
    <w:rsid w:val="28764862"/>
    <w:rsid w:val="287DCAE2"/>
    <w:rsid w:val="28817668"/>
    <w:rsid w:val="28826276"/>
    <w:rsid w:val="28832630"/>
    <w:rsid w:val="28858CFA"/>
    <w:rsid w:val="2889E05C"/>
    <w:rsid w:val="288BBAB9"/>
    <w:rsid w:val="288EE1F3"/>
    <w:rsid w:val="28901CEE"/>
    <w:rsid w:val="2890833E"/>
    <w:rsid w:val="2896633D"/>
    <w:rsid w:val="289A9847"/>
    <w:rsid w:val="289C1A3D"/>
    <w:rsid w:val="289C5438"/>
    <w:rsid w:val="289DEA4F"/>
    <w:rsid w:val="28A13322"/>
    <w:rsid w:val="28A15E06"/>
    <w:rsid w:val="28A3A110"/>
    <w:rsid w:val="28A46923"/>
    <w:rsid w:val="28A6B641"/>
    <w:rsid w:val="28AA8E04"/>
    <w:rsid w:val="28AA961A"/>
    <w:rsid w:val="28B5BA10"/>
    <w:rsid w:val="28B5E641"/>
    <w:rsid w:val="28B5EC95"/>
    <w:rsid w:val="28B7051C"/>
    <w:rsid w:val="28B7BA06"/>
    <w:rsid w:val="28B84AA5"/>
    <w:rsid w:val="28B8BB77"/>
    <w:rsid w:val="28B9DDE8"/>
    <w:rsid w:val="28BC2D58"/>
    <w:rsid w:val="28BC8996"/>
    <w:rsid w:val="28BCBCA1"/>
    <w:rsid w:val="28C2B53B"/>
    <w:rsid w:val="28C98DD3"/>
    <w:rsid w:val="28CB5BC4"/>
    <w:rsid w:val="28D0231C"/>
    <w:rsid w:val="28D2F2FD"/>
    <w:rsid w:val="28D6899B"/>
    <w:rsid w:val="28D6A75A"/>
    <w:rsid w:val="28DF586B"/>
    <w:rsid w:val="28E5CA5D"/>
    <w:rsid w:val="28E80889"/>
    <w:rsid w:val="28E9189A"/>
    <w:rsid w:val="28ED6005"/>
    <w:rsid w:val="28EE0252"/>
    <w:rsid w:val="28EFB0E7"/>
    <w:rsid w:val="28FF7E02"/>
    <w:rsid w:val="29026D70"/>
    <w:rsid w:val="29039BE2"/>
    <w:rsid w:val="2906613F"/>
    <w:rsid w:val="2906FA46"/>
    <w:rsid w:val="29087D9D"/>
    <w:rsid w:val="2909D7DF"/>
    <w:rsid w:val="290B78D2"/>
    <w:rsid w:val="290C3B5E"/>
    <w:rsid w:val="290CB8B6"/>
    <w:rsid w:val="29103500"/>
    <w:rsid w:val="2913AA10"/>
    <w:rsid w:val="2916ADA3"/>
    <w:rsid w:val="29215245"/>
    <w:rsid w:val="29284B77"/>
    <w:rsid w:val="292926C1"/>
    <w:rsid w:val="2929EBFC"/>
    <w:rsid w:val="292A6547"/>
    <w:rsid w:val="292ED3AB"/>
    <w:rsid w:val="29316F83"/>
    <w:rsid w:val="293197CD"/>
    <w:rsid w:val="2934A1EF"/>
    <w:rsid w:val="2934DF34"/>
    <w:rsid w:val="29391579"/>
    <w:rsid w:val="294F54D8"/>
    <w:rsid w:val="29525D15"/>
    <w:rsid w:val="295881D2"/>
    <w:rsid w:val="295C0DD0"/>
    <w:rsid w:val="295F1722"/>
    <w:rsid w:val="296708F3"/>
    <w:rsid w:val="296BF290"/>
    <w:rsid w:val="297077C0"/>
    <w:rsid w:val="2971FAE0"/>
    <w:rsid w:val="29744200"/>
    <w:rsid w:val="297529C3"/>
    <w:rsid w:val="29775E99"/>
    <w:rsid w:val="297B431A"/>
    <w:rsid w:val="297C5EAA"/>
    <w:rsid w:val="29807A53"/>
    <w:rsid w:val="29838687"/>
    <w:rsid w:val="2986AB67"/>
    <w:rsid w:val="2986F917"/>
    <w:rsid w:val="298A48EC"/>
    <w:rsid w:val="298EBF42"/>
    <w:rsid w:val="29904A34"/>
    <w:rsid w:val="2990FE31"/>
    <w:rsid w:val="299B5B41"/>
    <w:rsid w:val="299DBDE3"/>
    <w:rsid w:val="299E1605"/>
    <w:rsid w:val="299FF15B"/>
    <w:rsid w:val="29A20C7C"/>
    <w:rsid w:val="29A25E74"/>
    <w:rsid w:val="29A28ED0"/>
    <w:rsid w:val="29AD993C"/>
    <w:rsid w:val="29B0F1EF"/>
    <w:rsid w:val="29BC273D"/>
    <w:rsid w:val="29C17C11"/>
    <w:rsid w:val="29C2D515"/>
    <w:rsid w:val="29C2D922"/>
    <w:rsid w:val="29C3A65C"/>
    <w:rsid w:val="29C92F19"/>
    <w:rsid w:val="29C9DEA7"/>
    <w:rsid w:val="29CC8369"/>
    <w:rsid w:val="29D08DD3"/>
    <w:rsid w:val="29D4312B"/>
    <w:rsid w:val="29D9385B"/>
    <w:rsid w:val="29DB93C1"/>
    <w:rsid w:val="29DF5279"/>
    <w:rsid w:val="29E53FF9"/>
    <w:rsid w:val="29E7B825"/>
    <w:rsid w:val="29F18A9F"/>
    <w:rsid w:val="29F7AFB7"/>
    <w:rsid w:val="29FDECE2"/>
    <w:rsid w:val="2A0237AA"/>
    <w:rsid w:val="2A061549"/>
    <w:rsid w:val="2A08E56F"/>
    <w:rsid w:val="2A095258"/>
    <w:rsid w:val="2A0C8BF1"/>
    <w:rsid w:val="2A0DBDA9"/>
    <w:rsid w:val="2A0F748F"/>
    <w:rsid w:val="2A10764B"/>
    <w:rsid w:val="2A14277F"/>
    <w:rsid w:val="2A15DC34"/>
    <w:rsid w:val="2A171730"/>
    <w:rsid w:val="2A1B2F16"/>
    <w:rsid w:val="2A1F995F"/>
    <w:rsid w:val="2A20B158"/>
    <w:rsid w:val="2A233327"/>
    <w:rsid w:val="2A23B2B7"/>
    <w:rsid w:val="2A26D6AA"/>
    <w:rsid w:val="2A2AEA3A"/>
    <w:rsid w:val="2A309E57"/>
    <w:rsid w:val="2A3DAE1F"/>
    <w:rsid w:val="2A48AC93"/>
    <w:rsid w:val="2A4A2FF0"/>
    <w:rsid w:val="2A51CF25"/>
    <w:rsid w:val="2A545752"/>
    <w:rsid w:val="2A5ADEF2"/>
    <w:rsid w:val="2A5AE258"/>
    <w:rsid w:val="2A5D2AFB"/>
    <w:rsid w:val="2A5DB3E4"/>
    <w:rsid w:val="2A5E6D7E"/>
    <w:rsid w:val="2A5FFB88"/>
    <w:rsid w:val="2A6032F5"/>
    <w:rsid w:val="2A6587E3"/>
    <w:rsid w:val="2A6B8A7B"/>
    <w:rsid w:val="2A6F507E"/>
    <w:rsid w:val="2A7343F0"/>
    <w:rsid w:val="2A73B068"/>
    <w:rsid w:val="2A7423A0"/>
    <w:rsid w:val="2A77667D"/>
    <w:rsid w:val="2A8284EC"/>
    <w:rsid w:val="2A829670"/>
    <w:rsid w:val="2A84942A"/>
    <w:rsid w:val="2A84C0A0"/>
    <w:rsid w:val="2A8FCE06"/>
    <w:rsid w:val="2A9067F8"/>
    <w:rsid w:val="2A940AD6"/>
    <w:rsid w:val="2A97F266"/>
    <w:rsid w:val="2A99718C"/>
    <w:rsid w:val="2A9999C7"/>
    <w:rsid w:val="2A9BA3D1"/>
    <w:rsid w:val="2AA2E8E8"/>
    <w:rsid w:val="2AA557CF"/>
    <w:rsid w:val="2AA857CA"/>
    <w:rsid w:val="2AA87726"/>
    <w:rsid w:val="2AAB2972"/>
    <w:rsid w:val="2AACC20D"/>
    <w:rsid w:val="2AADF734"/>
    <w:rsid w:val="2AAFB6FC"/>
    <w:rsid w:val="2AB12771"/>
    <w:rsid w:val="2AB183AD"/>
    <w:rsid w:val="2AB8CB37"/>
    <w:rsid w:val="2ABA00F5"/>
    <w:rsid w:val="2ABED94E"/>
    <w:rsid w:val="2AC2DDFB"/>
    <w:rsid w:val="2AC3A72F"/>
    <w:rsid w:val="2AC7D3D5"/>
    <w:rsid w:val="2AD265D5"/>
    <w:rsid w:val="2AD4E133"/>
    <w:rsid w:val="2AD69A29"/>
    <w:rsid w:val="2AD69AA0"/>
    <w:rsid w:val="2AD8E278"/>
    <w:rsid w:val="2ADF399D"/>
    <w:rsid w:val="2AE0FBC1"/>
    <w:rsid w:val="2AE27436"/>
    <w:rsid w:val="2AE602AF"/>
    <w:rsid w:val="2AF2FE6A"/>
    <w:rsid w:val="2AFA5BC1"/>
    <w:rsid w:val="2AFAE8CD"/>
    <w:rsid w:val="2AFB26BD"/>
    <w:rsid w:val="2AFFFC28"/>
    <w:rsid w:val="2B1346C6"/>
    <w:rsid w:val="2B139A81"/>
    <w:rsid w:val="2B15C315"/>
    <w:rsid w:val="2B1B589E"/>
    <w:rsid w:val="2B1C428D"/>
    <w:rsid w:val="2B205383"/>
    <w:rsid w:val="2B22793E"/>
    <w:rsid w:val="2B22C9F9"/>
    <w:rsid w:val="2B258184"/>
    <w:rsid w:val="2B28D064"/>
    <w:rsid w:val="2B2F74A2"/>
    <w:rsid w:val="2B38F859"/>
    <w:rsid w:val="2B394CC4"/>
    <w:rsid w:val="2B41154B"/>
    <w:rsid w:val="2B41A653"/>
    <w:rsid w:val="2B43D9D1"/>
    <w:rsid w:val="2B46E453"/>
    <w:rsid w:val="2B4A3707"/>
    <w:rsid w:val="2B4C5CD1"/>
    <w:rsid w:val="2B4DE0ED"/>
    <w:rsid w:val="2B4EE998"/>
    <w:rsid w:val="2B4F0A76"/>
    <w:rsid w:val="2B513067"/>
    <w:rsid w:val="2B514B20"/>
    <w:rsid w:val="2B52932C"/>
    <w:rsid w:val="2B54B9B6"/>
    <w:rsid w:val="2B58B285"/>
    <w:rsid w:val="2B5F785B"/>
    <w:rsid w:val="2B610A47"/>
    <w:rsid w:val="2B6193F6"/>
    <w:rsid w:val="2B62617A"/>
    <w:rsid w:val="2B65639F"/>
    <w:rsid w:val="2B695B06"/>
    <w:rsid w:val="2B69CE76"/>
    <w:rsid w:val="2B6B266B"/>
    <w:rsid w:val="2B6B2F6D"/>
    <w:rsid w:val="2B6D0FFB"/>
    <w:rsid w:val="2B6E4679"/>
    <w:rsid w:val="2B7095EE"/>
    <w:rsid w:val="2B74A88E"/>
    <w:rsid w:val="2B74D566"/>
    <w:rsid w:val="2B7692E6"/>
    <w:rsid w:val="2B78DA5B"/>
    <w:rsid w:val="2B7B06B8"/>
    <w:rsid w:val="2B7D4995"/>
    <w:rsid w:val="2B7F48A8"/>
    <w:rsid w:val="2B8053C7"/>
    <w:rsid w:val="2B8136C0"/>
    <w:rsid w:val="2B82AD9B"/>
    <w:rsid w:val="2B83B5C8"/>
    <w:rsid w:val="2B84ED32"/>
    <w:rsid w:val="2B857D7C"/>
    <w:rsid w:val="2B976C94"/>
    <w:rsid w:val="2BA11903"/>
    <w:rsid w:val="2BA2912C"/>
    <w:rsid w:val="2BA4A3F1"/>
    <w:rsid w:val="2BA5D5B5"/>
    <w:rsid w:val="2BAF524E"/>
    <w:rsid w:val="2BBDDC63"/>
    <w:rsid w:val="2BBF78FA"/>
    <w:rsid w:val="2BC3024F"/>
    <w:rsid w:val="2BC447CB"/>
    <w:rsid w:val="2BC4661A"/>
    <w:rsid w:val="2BC4DD5D"/>
    <w:rsid w:val="2BC7D253"/>
    <w:rsid w:val="2BCBD1EF"/>
    <w:rsid w:val="2BD1BBC6"/>
    <w:rsid w:val="2BD27E8E"/>
    <w:rsid w:val="2BD5C2AA"/>
    <w:rsid w:val="2BD79DEF"/>
    <w:rsid w:val="2BDD673D"/>
    <w:rsid w:val="2BDE1849"/>
    <w:rsid w:val="2BDF5742"/>
    <w:rsid w:val="2BE07CF7"/>
    <w:rsid w:val="2BE08FA7"/>
    <w:rsid w:val="2BE8E95C"/>
    <w:rsid w:val="2BEAFDEA"/>
    <w:rsid w:val="2C00856B"/>
    <w:rsid w:val="2C0220FC"/>
    <w:rsid w:val="2C030143"/>
    <w:rsid w:val="2C0407F6"/>
    <w:rsid w:val="2C1CF2EB"/>
    <w:rsid w:val="2C1E04D5"/>
    <w:rsid w:val="2C22DF75"/>
    <w:rsid w:val="2C25CF63"/>
    <w:rsid w:val="2C27CC84"/>
    <w:rsid w:val="2C2ABF05"/>
    <w:rsid w:val="2C300861"/>
    <w:rsid w:val="2C30857C"/>
    <w:rsid w:val="2C30CA4C"/>
    <w:rsid w:val="2C354BF7"/>
    <w:rsid w:val="2C358617"/>
    <w:rsid w:val="2C370F1D"/>
    <w:rsid w:val="2C37E67C"/>
    <w:rsid w:val="2C37EBCE"/>
    <w:rsid w:val="2C3D233F"/>
    <w:rsid w:val="2C3E264A"/>
    <w:rsid w:val="2C40DC1B"/>
    <w:rsid w:val="2C40DE74"/>
    <w:rsid w:val="2C4F5DD8"/>
    <w:rsid w:val="2C535B52"/>
    <w:rsid w:val="2C573A8F"/>
    <w:rsid w:val="2C59E2B7"/>
    <w:rsid w:val="2C5A11E0"/>
    <w:rsid w:val="2C5A9C6A"/>
    <w:rsid w:val="2C5CB371"/>
    <w:rsid w:val="2C6153E4"/>
    <w:rsid w:val="2C63C9FE"/>
    <w:rsid w:val="2C65C14C"/>
    <w:rsid w:val="2C67B4F8"/>
    <w:rsid w:val="2C69801D"/>
    <w:rsid w:val="2C6ADB45"/>
    <w:rsid w:val="2C6BAAE7"/>
    <w:rsid w:val="2C6C9F0A"/>
    <w:rsid w:val="2C7568E0"/>
    <w:rsid w:val="2C7725A8"/>
    <w:rsid w:val="2C7890DF"/>
    <w:rsid w:val="2C7A9E31"/>
    <w:rsid w:val="2C82A3B2"/>
    <w:rsid w:val="2C846C91"/>
    <w:rsid w:val="2C84F718"/>
    <w:rsid w:val="2C8C1CA1"/>
    <w:rsid w:val="2C8FD0CE"/>
    <w:rsid w:val="2C9058C2"/>
    <w:rsid w:val="2C95C68E"/>
    <w:rsid w:val="2C97BF9F"/>
    <w:rsid w:val="2C9861B1"/>
    <w:rsid w:val="2C9907F7"/>
    <w:rsid w:val="2C9BD64C"/>
    <w:rsid w:val="2CA1BDB2"/>
    <w:rsid w:val="2CA47DC0"/>
    <w:rsid w:val="2CA53FE9"/>
    <w:rsid w:val="2CB000DA"/>
    <w:rsid w:val="2CBA9AA6"/>
    <w:rsid w:val="2CBD382A"/>
    <w:rsid w:val="2CC19D9B"/>
    <w:rsid w:val="2CC50C39"/>
    <w:rsid w:val="2CC70850"/>
    <w:rsid w:val="2CCA046E"/>
    <w:rsid w:val="2CD02CF2"/>
    <w:rsid w:val="2CD30748"/>
    <w:rsid w:val="2CD32037"/>
    <w:rsid w:val="2CD3FA5D"/>
    <w:rsid w:val="2CD51E70"/>
    <w:rsid w:val="2CD8F515"/>
    <w:rsid w:val="2CDAC480"/>
    <w:rsid w:val="2CDF9F93"/>
    <w:rsid w:val="2CE0D344"/>
    <w:rsid w:val="2CE41E31"/>
    <w:rsid w:val="2CE6944C"/>
    <w:rsid w:val="2CED8803"/>
    <w:rsid w:val="2CF07369"/>
    <w:rsid w:val="2CF81380"/>
    <w:rsid w:val="2CF89169"/>
    <w:rsid w:val="2CF9EE39"/>
    <w:rsid w:val="2CFD574E"/>
    <w:rsid w:val="2D00C171"/>
    <w:rsid w:val="2D02218F"/>
    <w:rsid w:val="2D0525C4"/>
    <w:rsid w:val="2D0763E9"/>
    <w:rsid w:val="2D14A4D2"/>
    <w:rsid w:val="2D170965"/>
    <w:rsid w:val="2D1864A1"/>
    <w:rsid w:val="2D191EC1"/>
    <w:rsid w:val="2D1F609D"/>
    <w:rsid w:val="2D218FF5"/>
    <w:rsid w:val="2D234D94"/>
    <w:rsid w:val="2D238A43"/>
    <w:rsid w:val="2D258C48"/>
    <w:rsid w:val="2D270073"/>
    <w:rsid w:val="2D383D17"/>
    <w:rsid w:val="2D3E2AE7"/>
    <w:rsid w:val="2D401D5C"/>
    <w:rsid w:val="2D44521D"/>
    <w:rsid w:val="2D5046DA"/>
    <w:rsid w:val="2D53718C"/>
    <w:rsid w:val="2D559897"/>
    <w:rsid w:val="2D5A0BF4"/>
    <w:rsid w:val="2D5FC94F"/>
    <w:rsid w:val="2D60E010"/>
    <w:rsid w:val="2D6DA72A"/>
    <w:rsid w:val="2D737EA7"/>
    <w:rsid w:val="2D743D50"/>
    <w:rsid w:val="2D773931"/>
    <w:rsid w:val="2D78C460"/>
    <w:rsid w:val="2D7922C8"/>
    <w:rsid w:val="2D7A2818"/>
    <w:rsid w:val="2D7D117A"/>
    <w:rsid w:val="2D853E77"/>
    <w:rsid w:val="2D8909A8"/>
    <w:rsid w:val="2D8BC0DB"/>
    <w:rsid w:val="2D8CE3B5"/>
    <w:rsid w:val="2D8D6944"/>
    <w:rsid w:val="2D8DF1B8"/>
    <w:rsid w:val="2D8E9734"/>
    <w:rsid w:val="2D9105CE"/>
    <w:rsid w:val="2D93C6EC"/>
    <w:rsid w:val="2D9BF9E6"/>
    <w:rsid w:val="2D9CB47B"/>
    <w:rsid w:val="2D9FF426"/>
    <w:rsid w:val="2DA3CAE9"/>
    <w:rsid w:val="2DAA4709"/>
    <w:rsid w:val="2DAAF663"/>
    <w:rsid w:val="2DABD8EE"/>
    <w:rsid w:val="2DAF9B99"/>
    <w:rsid w:val="2DB2BD05"/>
    <w:rsid w:val="2DB7DEAF"/>
    <w:rsid w:val="2DB87433"/>
    <w:rsid w:val="2DC70B61"/>
    <w:rsid w:val="2DC9091A"/>
    <w:rsid w:val="2DD3ACD2"/>
    <w:rsid w:val="2DD3C02D"/>
    <w:rsid w:val="2DD9C9F9"/>
    <w:rsid w:val="2DDF679D"/>
    <w:rsid w:val="2DE12007"/>
    <w:rsid w:val="2DE38910"/>
    <w:rsid w:val="2DE5003B"/>
    <w:rsid w:val="2DF0C9AB"/>
    <w:rsid w:val="2DF4CE9D"/>
    <w:rsid w:val="2DF66AF3"/>
    <w:rsid w:val="2DF6BADD"/>
    <w:rsid w:val="2DF7DB5C"/>
    <w:rsid w:val="2DFFDF44"/>
    <w:rsid w:val="2DFFE9F9"/>
    <w:rsid w:val="2E038A64"/>
    <w:rsid w:val="2E065C64"/>
    <w:rsid w:val="2E099C3E"/>
    <w:rsid w:val="2E0BB771"/>
    <w:rsid w:val="2E11398C"/>
    <w:rsid w:val="2E13BE83"/>
    <w:rsid w:val="2E15F830"/>
    <w:rsid w:val="2E1992E0"/>
    <w:rsid w:val="2E223558"/>
    <w:rsid w:val="2E2305B9"/>
    <w:rsid w:val="2E24F423"/>
    <w:rsid w:val="2E2C52D2"/>
    <w:rsid w:val="2E2E40AC"/>
    <w:rsid w:val="2E2F4373"/>
    <w:rsid w:val="2E306381"/>
    <w:rsid w:val="2E33AFAC"/>
    <w:rsid w:val="2E3D6078"/>
    <w:rsid w:val="2E42C00D"/>
    <w:rsid w:val="2E49BCAD"/>
    <w:rsid w:val="2E49C0BD"/>
    <w:rsid w:val="2E4EB57A"/>
    <w:rsid w:val="2E507175"/>
    <w:rsid w:val="2E55AD97"/>
    <w:rsid w:val="2E57A75C"/>
    <w:rsid w:val="2E5B2069"/>
    <w:rsid w:val="2E609567"/>
    <w:rsid w:val="2E6AFC2D"/>
    <w:rsid w:val="2E6C1336"/>
    <w:rsid w:val="2E6F541D"/>
    <w:rsid w:val="2E755D58"/>
    <w:rsid w:val="2E75981E"/>
    <w:rsid w:val="2E77F596"/>
    <w:rsid w:val="2E7B9ACE"/>
    <w:rsid w:val="2E7C1B31"/>
    <w:rsid w:val="2E814A17"/>
    <w:rsid w:val="2E846BA3"/>
    <w:rsid w:val="2E85E2FF"/>
    <w:rsid w:val="2E90662C"/>
    <w:rsid w:val="2E92A6F9"/>
    <w:rsid w:val="2E939FAE"/>
    <w:rsid w:val="2E93D3B9"/>
    <w:rsid w:val="2E95F5BE"/>
    <w:rsid w:val="2E9B1C2F"/>
    <w:rsid w:val="2E9C4069"/>
    <w:rsid w:val="2E9DF68E"/>
    <w:rsid w:val="2E9F4C17"/>
    <w:rsid w:val="2EA042A7"/>
    <w:rsid w:val="2EA184A2"/>
    <w:rsid w:val="2EA637B3"/>
    <w:rsid w:val="2EA77D02"/>
    <w:rsid w:val="2EAD4039"/>
    <w:rsid w:val="2EADEF1C"/>
    <w:rsid w:val="2EB27519"/>
    <w:rsid w:val="2EB841A7"/>
    <w:rsid w:val="2EBBE8B0"/>
    <w:rsid w:val="2EBECA6F"/>
    <w:rsid w:val="2ED34995"/>
    <w:rsid w:val="2ED924DB"/>
    <w:rsid w:val="2EDA158C"/>
    <w:rsid w:val="2EDA9BB7"/>
    <w:rsid w:val="2EE28EFB"/>
    <w:rsid w:val="2EE55F9E"/>
    <w:rsid w:val="2EE5BA1A"/>
    <w:rsid w:val="2EE6DA08"/>
    <w:rsid w:val="2EE90BAE"/>
    <w:rsid w:val="2EEE5090"/>
    <w:rsid w:val="2EEEF141"/>
    <w:rsid w:val="2EF29A96"/>
    <w:rsid w:val="2EF2CAA8"/>
    <w:rsid w:val="2EF9D5A7"/>
    <w:rsid w:val="2EFC1D12"/>
    <w:rsid w:val="2EFFEF21"/>
    <w:rsid w:val="2F00A026"/>
    <w:rsid w:val="2F00B754"/>
    <w:rsid w:val="2F09B684"/>
    <w:rsid w:val="2F0F617B"/>
    <w:rsid w:val="2F11CBA0"/>
    <w:rsid w:val="2F1388D5"/>
    <w:rsid w:val="2F1AA593"/>
    <w:rsid w:val="2F1F91BE"/>
    <w:rsid w:val="2F21C785"/>
    <w:rsid w:val="2F258949"/>
    <w:rsid w:val="2F27D4C2"/>
    <w:rsid w:val="2F2805F4"/>
    <w:rsid w:val="2F2BD27F"/>
    <w:rsid w:val="2F307272"/>
    <w:rsid w:val="2F32ED9B"/>
    <w:rsid w:val="2F364425"/>
    <w:rsid w:val="2F3A0EF2"/>
    <w:rsid w:val="2F3C080A"/>
    <w:rsid w:val="2F3C1E95"/>
    <w:rsid w:val="2F3C9DC2"/>
    <w:rsid w:val="2F3F9E35"/>
    <w:rsid w:val="2F40D8F1"/>
    <w:rsid w:val="2F47A5FE"/>
    <w:rsid w:val="2F49766F"/>
    <w:rsid w:val="2F49E2CC"/>
    <w:rsid w:val="2F4A387B"/>
    <w:rsid w:val="2F4A480F"/>
    <w:rsid w:val="2F4D5504"/>
    <w:rsid w:val="2F597128"/>
    <w:rsid w:val="2F5ABC50"/>
    <w:rsid w:val="2F5BEF9C"/>
    <w:rsid w:val="2F5FC4CF"/>
    <w:rsid w:val="2F642BB9"/>
    <w:rsid w:val="2F6431F5"/>
    <w:rsid w:val="2F691B27"/>
    <w:rsid w:val="2F6A65AB"/>
    <w:rsid w:val="2F6C5639"/>
    <w:rsid w:val="2F6CFB43"/>
    <w:rsid w:val="2F6D28FB"/>
    <w:rsid w:val="2F73F026"/>
    <w:rsid w:val="2F74376F"/>
    <w:rsid w:val="2F7FD966"/>
    <w:rsid w:val="2F80612E"/>
    <w:rsid w:val="2F8094F6"/>
    <w:rsid w:val="2F8162D0"/>
    <w:rsid w:val="2F8188DE"/>
    <w:rsid w:val="2F848BF3"/>
    <w:rsid w:val="2F87F830"/>
    <w:rsid w:val="2F8B4C2C"/>
    <w:rsid w:val="2F8D11F2"/>
    <w:rsid w:val="2F8E0457"/>
    <w:rsid w:val="2F8F709D"/>
    <w:rsid w:val="2F9100CF"/>
    <w:rsid w:val="2F9A8794"/>
    <w:rsid w:val="2F9CD25D"/>
    <w:rsid w:val="2F9EA7EE"/>
    <w:rsid w:val="2F9F1B95"/>
    <w:rsid w:val="2FA0B93D"/>
    <w:rsid w:val="2FA27FD2"/>
    <w:rsid w:val="2FA6450D"/>
    <w:rsid w:val="2FA77EB7"/>
    <w:rsid w:val="2FA98EFD"/>
    <w:rsid w:val="2FAB4617"/>
    <w:rsid w:val="2FABBFD9"/>
    <w:rsid w:val="2FAE1130"/>
    <w:rsid w:val="2FAE1E29"/>
    <w:rsid w:val="2FB2A419"/>
    <w:rsid w:val="2FB34682"/>
    <w:rsid w:val="2FB3A3A7"/>
    <w:rsid w:val="2FB48E78"/>
    <w:rsid w:val="2FBAD08A"/>
    <w:rsid w:val="2FBDBC5E"/>
    <w:rsid w:val="2FC23B87"/>
    <w:rsid w:val="2FC61862"/>
    <w:rsid w:val="2FC9A853"/>
    <w:rsid w:val="2FCB557C"/>
    <w:rsid w:val="2FCBDC49"/>
    <w:rsid w:val="2FCCD286"/>
    <w:rsid w:val="2FCCF7B5"/>
    <w:rsid w:val="2FCDE8DC"/>
    <w:rsid w:val="2FCE6C30"/>
    <w:rsid w:val="2FCEF908"/>
    <w:rsid w:val="2FD02858"/>
    <w:rsid w:val="2FD0B7FF"/>
    <w:rsid w:val="2FD427D1"/>
    <w:rsid w:val="2FDCFC2D"/>
    <w:rsid w:val="2FE161B4"/>
    <w:rsid w:val="2FE6192A"/>
    <w:rsid w:val="2FE8B672"/>
    <w:rsid w:val="2FEB78E0"/>
    <w:rsid w:val="2FF55727"/>
    <w:rsid w:val="2FF6F490"/>
    <w:rsid w:val="2FF947F3"/>
    <w:rsid w:val="2FFB8E29"/>
    <w:rsid w:val="2FFC11B6"/>
    <w:rsid w:val="2FFC7320"/>
    <w:rsid w:val="2FFCA668"/>
    <w:rsid w:val="2FFDA72E"/>
    <w:rsid w:val="3009AEBC"/>
    <w:rsid w:val="300CD405"/>
    <w:rsid w:val="300E06A1"/>
    <w:rsid w:val="30118676"/>
    <w:rsid w:val="3019214E"/>
    <w:rsid w:val="301A835C"/>
    <w:rsid w:val="30238D92"/>
    <w:rsid w:val="302574B8"/>
    <w:rsid w:val="30265C1D"/>
    <w:rsid w:val="3026F1FC"/>
    <w:rsid w:val="3027A365"/>
    <w:rsid w:val="3028728C"/>
    <w:rsid w:val="302A5161"/>
    <w:rsid w:val="303741B7"/>
    <w:rsid w:val="3037CD23"/>
    <w:rsid w:val="3037D05F"/>
    <w:rsid w:val="303ECF33"/>
    <w:rsid w:val="3040DAC4"/>
    <w:rsid w:val="3043A8FB"/>
    <w:rsid w:val="3045F924"/>
    <w:rsid w:val="30471866"/>
    <w:rsid w:val="304BAACA"/>
    <w:rsid w:val="304F8904"/>
    <w:rsid w:val="3055606E"/>
    <w:rsid w:val="3060FC65"/>
    <w:rsid w:val="30624DA5"/>
    <w:rsid w:val="30658FC0"/>
    <w:rsid w:val="30694749"/>
    <w:rsid w:val="306F55D9"/>
    <w:rsid w:val="307050DF"/>
    <w:rsid w:val="3078DFB8"/>
    <w:rsid w:val="30792A47"/>
    <w:rsid w:val="307BD3B8"/>
    <w:rsid w:val="3080A21C"/>
    <w:rsid w:val="30838CDA"/>
    <w:rsid w:val="3093511A"/>
    <w:rsid w:val="3095BC9A"/>
    <w:rsid w:val="30996F30"/>
    <w:rsid w:val="309C5199"/>
    <w:rsid w:val="309D4E83"/>
    <w:rsid w:val="309D6F62"/>
    <w:rsid w:val="30A3454D"/>
    <w:rsid w:val="30AFD785"/>
    <w:rsid w:val="30B1A6B3"/>
    <w:rsid w:val="30B558D5"/>
    <w:rsid w:val="30B76EFE"/>
    <w:rsid w:val="30B95267"/>
    <w:rsid w:val="30C06902"/>
    <w:rsid w:val="30C1ED03"/>
    <w:rsid w:val="30C72667"/>
    <w:rsid w:val="30C89C81"/>
    <w:rsid w:val="30C98ABB"/>
    <w:rsid w:val="30CBA388"/>
    <w:rsid w:val="30D15C3A"/>
    <w:rsid w:val="30D9C346"/>
    <w:rsid w:val="30DB9722"/>
    <w:rsid w:val="30DBB7D4"/>
    <w:rsid w:val="30DBCCE6"/>
    <w:rsid w:val="30DE1503"/>
    <w:rsid w:val="30DF69ED"/>
    <w:rsid w:val="30E02203"/>
    <w:rsid w:val="30E61109"/>
    <w:rsid w:val="30E6A4FF"/>
    <w:rsid w:val="30E85C87"/>
    <w:rsid w:val="30E9F7AA"/>
    <w:rsid w:val="30ED6BA7"/>
    <w:rsid w:val="30F1BD85"/>
    <w:rsid w:val="30F5A6F5"/>
    <w:rsid w:val="30F6C2E6"/>
    <w:rsid w:val="30F85AFA"/>
    <w:rsid w:val="30FA519E"/>
    <w:rsid w:val="30FD9FB4"/>
    <w:rsid w:val="310446AD"/>
    <w:rsid w:val="3109613B"/>
    <w:rsid w:val="310AC3A4"/>
    <w:rsid w:val="310BF9F2"/>
    <w:rsid w:val="311B99B5"/>
    <w:rsid w:val="311C4BC2"/>
    <w:rsid w:val="311D675F"/>
    <w:rsid w:val="312A0E07"/>
    <w:rsid w:val="312BC43E"/>
    <w:rsid w:val="3130B0CB"/>
    <w:rsid w:val="3131592B"/>
    <w:rsid w:val="313257CC"/>
    <w:rsid w:val="313D10F0"/>
    <w:rsid w:val="313E97EB"/>
    <w:rsid w:val="31417AB0"/>
    <w:rsid w:val="314766C0"/>
    <w:rsid w:val="314B6A8A"/>
    <w:rsid w:val="314C9E3C"/>
    <w:rsid w:val="315702E9"/>
    <w:rsid w:val="31574516"/>
    <w:rsid w:val="315AD349"/>
    <w:rsid w:val="31662386"/>
    <w:rsid w:val="316CBBA6"/>
    <w:rsid w:val="316CCB3F"/>
    <w:rsid w:val="31723395"/>
    <w:rsid w:val="31779CD1"/>
    <w:rsid w:val="3179DD5D"/>
    <w:rsid w:val="317CAA4C"/>
    <w:rsid w:val="31819CB0"/>
    <w:rsid w:val="31831C40"/>
    <w:rsid w:val="3184195A"/>
    <w:rsid w:val="3184BAC1"/>
    <w:rsid w:val="31851228"/>
    <w:rsid w:val="3188508C"/>
    <w:rsid w:val="318BAA87"/>
    <w:rsid w:val="318D1AA8"/>
    <w:rsid w:val="319010EA"/>
    <w:rsid w:val="31910635"/>
    <w:rsid w:val="3194DDCF"/>
    <w:rsid w:val="3197B71D"/>
    <w:rsid w:val="3197F1D6"/>
    <w:rsid w:val="319D6A6A"/>
    <w:rsid w:val="31A0FC10"/>
    <w:rsid w:val="31A7C45C"/>
    <w:rsid w:val="31AB5330"/>
    <w:rsid w:val="31AE1B7B"/>
    <w:rsid w:val="31B09050"/>
    <w:rsid w:val="31B15E37"/>
    <w:rsid w:val="31B1647F"/>
    <w:rsid w:val="31B1FDC8"/>
    <w:rsid w:val="31B20A6E"/>
    <w:rsid w:val="31B2284D"/>
    <w:rsid w:val="31B64312"/>
    <w:rsid w:val="31B8C7B7"/>
    <w:rsid w:val="31BE9EA7"/>
    <w:rsid w:val="31C05600"/>
    <w:rsid w:val="31C1CDA2"/>
    <w:rsid w:val="31C3D23E"/>
    <w:rsid w:val="31C3EAFA"/>
    <w:rsid w:val="31CA70D8"/>
    <w:rsid w:val="31CAF649"/>
    <w:rsid w:val="31D1B866"/>
    <w:rsid w:val="31D3FCA9"/>
    <w:rsid w:val="31D5FC78"/>
    <w:rsid w:val="31DF9254"/>
    <w:rsid w:val="31DFD599"/>
    <w:rsid w:val="31E5E2E2"/>
    <w:rsid w:val="31E83FCB"/>
    <w:rsid w:val="31E8C008"/>
    <w:rsid w:val="31EDB39D"/>
    <w:rsid w:val="31F37EBD"/>
    <w:rsid w:val="31F41E0A"/>
    <w:rsid w:val="31F60474"/>
    <w:rsid w:val="31FB8175"/>
    <w:rsid w:val="3200C9D1"/>
    <w:rsid w:val="320137AE"/>
    <w:rsid w:val="32097C75"/>
    <w:rsid w:val="320A9791"/>
    <w:rsid w:val="320B0FDD"/>
    <w:rsid w:val="320F72E7"/>
    <w:rsid w:val="3217AEBE"/>
    <w:rsid w:val="32182816"/>
    <w:rsid w:val="32258C0E"/>
    <w:rsid w:val="32287699"/>
    <w:rsid w:val="32288B0A"/>
    <w:rsid w:val="322B4C5B"/>
    <w:rsid w:val="322F61B3"/>
    <w:rsid w:val="32336319"/>
    <w:rsid w:val="3237C4C5"/>
    <w:rsid w:val="32398FE5"/>
    <w:rsid w:val="32431E12"/>
    <w:rsid w:val="32500606"/>
    <w:rsid w:val="32548C4D"/>
    <w:rsid w:val="32555DAE"/>
    <w:rsid w:val="325755CE"/>
    <w:rsid w:val="3258876A"/>
    <w:rsid w:val="325949EC"/>
    <w:rsid w:val="32599482"/>
    <w:rsid w:val="325A1D9E"/>
    <w:rsid w:val="32602A24"/>
    <w:rsid w:val="32686BB2"/>
    <w:rsid w:val="326901D2"/>
    <w:rsid w:val="326AD727"/>
    <w:rsid w:val="326DA8AB"/>
    <w:rsid w:val="32735A5B"/>
    <w:rsid w:val="327615A6"/>
    <w:rsid w:val="328FB5FC"/>
    <w:rsid w:val="32948B91"/>
    <w:rsid w:val="32971B69"/>
    <w:rsid w:val="3297BB4B"/>
    <w:rsid w:val="32984D7C"/>
    <w:rsid w:val="329B126D"/>
    <w:rsid w:val="329B667B"/>
    <w:rsid w:val="32A2D131"/>
    <w:rsid w:val="32A4B0B1"/>
    <w:rsid w:val="32A50C6A"/>
    <w:rsid w:val="32A596D6"/>
    <w:rsid w:val="32AE0F86"/>
    <w:rsid w:val="32B5315F"/>
    <w:rsid w:val="32B91889"/>
    <w:rsid w:val="32BD2BD4"/>
    <w:rsid w:val="32BD3295"/>
    <w:rsid w:val="32BDB871"/>
    <w:rsid w:val="32BEBD84"/>
    <w:rsid w:val="32C190F6"/>
    <w:rsid w:val="32C6931B"/>
    <w:rsid w:val="32CAC4EC"/>
    <w:rsid w:val="32CB1EC6"/>
    <w:rsid w:val="32D212AA"/>
    <w:rsid w:val="32D295C9"/>
    <w:rsid w:val="32D58B73"/>
    <w:rsid w:val="32E0DB8E"/>
    <w:rsid w:val="32E12BDC"/>
    <w:rsid w:val="32E17254"/>
    <w:rsid w:val="32E294DB"/>
    <w:rsid w:val="32E3AB38"/>
    <w:rsid w:val="32E97784"/>
    <w:rsid w:val="32EB06D7"/>
    <w:rsid w:val="32EB9780"/>
    <w:rsid w:val="32EC5151"/>
    <w:rsid w:val="32ED6653"/>
    <w:rsid w:val="32EE64B7"/>
    <w:rsid w:val="32F07377"/>
    <w:rsid w:val="32F2FDA2"/>
    <w:rsid w:val="32F97DBD"/>
    <w:rsid w:val="3301B029"/>
    <w:rsid w:val="33032428"/>
    <w:rsid w:val="33057235"/>
    <w:rsid w:val="3307D177"/>
    <w:rsid w:val="330BC21A"/>
    <w:rsid w:val="330CD5F6"/>
    <w:rsid w:val="330D690D"/>
    <w:rsid w:val="3312F331"/>
    <w:rsid w:val="3315A3BA"/>
    <w:rsid w:val="331CD0D3"/>
    <w:rsid w:val="331DD0B0"/>
    <w:rsid w:val="331F1105"/>
    <w:rsid w:val="3321D78C"/>
    <w:rsid w:val="33244FAA"/>
    <w:rsid w:val="3326A860"/>
    <w:rsid w:val="332792A1"/>
    <w:rsid w:val="33280C04"/>
    <w:rsid w:val="332CA174"/>
    <w:rsid w:val="332D3535"/>
    <w:rsid w:val="332F2100"/>
    <w:rsid w:val="3332401D"/>
    <w:rsid w:val="33325433"/>
    <w:rsid w:val="33337B2E"/>
    <w:rsid w:val="3336BCE7"/>
    <w:rsid w:val="33373E0D"/>
    <w:rsid w:val="3341F86C"/>
    <w:rsid w:val="334438FF"/>
    <w:rsid w:val="33477934"/>
    <w:rsid w:val="334D3B10"/>
    <w:rsid w:val="334D48FC"/>
    <w:rsid w:val="334FF488"/>
    <w:rsid w:val="33591603"/>
    <w:rsid w:val="3370BACD"/>
    <w:rsid w:val="33743675"/>
    <w:rsid w:val="3377F12A"/>
    <w:rsid w:val="3378735C"/>
    <w:rsid w:val="337BE4C4"/>
    <w:rsid w:val="338105DF"/>
    <w:rsid w:val="3381184B"/>
    <w:rsid w:val="3382CEBD"/>
    <w:rsid w:val="338BE882"/>
    <w:rsid w:val="338EF88F"/>
    <w:rsid w:val="33918463"/>
    <w:rsid w:val="3398BC4E"/>
    <w:rsid w:val="339AECBF"/>
    <w:rsid w:val="339B0847"/>
    <w:rsid w:val="33A1F092"/>
    <w:rsid w:val="33A3532F"/>
    <w:rsid w:val="33A3A7CC"/>
    <w:rsid w:val="33A51425"/>
    <w:rsid w:val="33A528F0"/>
    <w:rsid w:val="33A5AAC0"/>
    <w:rsid w:val="33AFEACE"/>
    <w:rsid w:val="33B0D3B5"/>
    <w:rsid w:val="33B28778"/>
    <w:rsid w:val="33B4832B"/>
    <w:rsid w:val="33BABE06"/>
    <w:rsid w:val="33BC389E"/>
    <w:rsid w:val="33BC5A85"/>
    <w:rsid w:val="33BF4AAA"/>
    <w:rsid w:val="33C086F2"/>
    <w:rsid w:val="33C645AA"/>
    <w:rsid w:val="33C69A8B"/>
    <w:rsid w:val="33C6D117"/>
    <w:rsid w:val="33CB60BB"/>
    <w:rsid w:val="33CEDB80"/>
    <w:rsid w:val="33CEDDD2"/>
    <w:rsid w:val="33D0E1FD"/>
    <w:rsid w:val="33D2BBB0"/>
    <w:rsid w:val="33D2D9BA"/>
    <w:rsid w:val="33D494D8"/>
    <w:rsid w:val="33E238CD"/>
    <w:rsid w:val="33E34287"/>
    <w:rsid w:val="33E588CE"/>
    <w:rsid w:val="33E624DA"/>
    <w:rsid w:val="33EACF05"/>
    <w:rsid w:val="33EAD011"/>
    <w:rsid w:val="33F0C84B"/>
    <w:rsid w:val="33F27C40"/>
    <w:rsid w:val="33F42DB6"/>
    <w:rsid w:val="33F89A82"/>
    <w:rsid w:val="33F89B0A"/>
    <w:rsid w:val="33FAFA0C"/>
    <w:rsid w:val="3405D1B0"/>
    <w:rsid w:val="3409C096"/>
    <w:rsid w:val="340DF918"/>
    <w:rsid w:val="340E17E7"/>
    <w:rsid w:val="34108E69"/>
    <w:rsid w:val="34111939"/>
    <w:rsid w:val="3411E0F3"/>
    <w:rsid w:val="34129276"/>
    <w:rsid w:val="34151DA1"/>
    <w:rsid w:val="3419997F"/>
    <w:rsid w:val="341C1EBA"/>
    <w:rsid w:val="341E8805"/>
    <w:rsid w:val="342387BF"/>
    <w:rsid w:val="3427BC8C"/>
    <w:rsid w:val="3427FDEE"/>
    <w:rsid w:val="342BF78A"/>
    <w:rsid w:val="343E357D"/>
    <w:rsid w:val="34419FA0"/>
    <w:rsid w:val="34446CAB"/>
    <w:rsid w:val="34455782"/>
    <w:rsid w:val="344A9479"/>
    <w:rsid w:val="344D44DD"/>
    <w:rsid w:val="3451465C"/>
    <w:rsid w:val="3453211D"/>
    <w:rsid w:val="3455E622"/>
    <w:rsid w:val="345FF385"/>
    <w:rsid w:val="34612E50"/>
    <w:rsid w:val="3461A631"/>
    <w:rsid w:val="346303B3"/>
    <w:rsid w:val="3463EBEE"/>
    <w:rsid w:val="3465B720"/>
    <w:rsid w:val="346603E3"/>
    <w:rsid w:val="346A8039"/>
    <w:rsid w:val="346F2B23"/>
    <w:rsid w:val="3474F7EE"/>
    <w:rsid w:val="34755FDC"/>
    <w:rsid w:val="347745AD"/>
    <w:rsid w:val="34790BEE"/>
    <w:rsid w:val="347DB375"/>
    <w:rsid w:val="34814087"/>
    <w:rsid w:val="34892EC8"/>
    <w:rsid w:val="348948F4"/>
    <w:rsid w:val="348D820A"/>
    <w:rsid w:val="34913642"/>
    <w:rsid w:val="349C6C37"/>
    <w:rsid w:val="349E3675"/>
    <w:rsid w:val="34A26F6C"/>
    <w:rsid w:val="34A5DFA5"/>
    <w:rsid w:val="34AC89B5"/>
    <w:rsid w:val="34AE72CC"/>
    <w:rsid w:val="34B03D07"/>
    <w:rsid w:val="34B14F1E"/>
    <w:rsid w:val="34B4023E"/>
    <w:rsid w:val="34BCA839"/>
    <w:rsid w:val="34BCEB0B"/>
    <w:rsid w:val="34BEF938"/>
    <w:rsid w:val="34BF4C05"/>
    <w:rsid w:val="34C27EC9"/>
    <w:rsid w:val="34C6D92A"/>
    <w:rsid w:val="34D3E4D5"/>
    <w:rsid w:val="34D3FA1C"/>
    <w:rsid w:val="34D6FFE0"/>
    <w:rsid w:val="34D90129"/>
    <w:rsid w:val="34DABABA"/>
    <w:rsid w:val="34E98F59"/>
    <w:rsid w:val="34EA89D0"/>
    <w:rsid w:val="34EF9799"/>
    <w:rsid w:val="34F4151C"/>
    <w:rsid w:val="34F8DF59"/>
    <w:rsid w:val="34F93826"/>
    <w:rsid w:val="34FA1DAF"/>
    <w:rsid w:val="34FDE43C"/>
    <w:rsid w:val="3501A8F7"/>
    <w:rsid w:val="3502AD4A"/>
    <w:rsid w:val="3506631E"/>
    <w:rsid w:val="350A59F9"/>
    <w:rsid w:val="35144AFE"/>
    <w:rsid w:val="3514EFE1"/>
    <w:rsid w:val="35156899"/>
    <w:rsid w:val="3517F407"/>
    <w:rsid w:val="3518CB21"/>
    <w:rsid w:val="351B1A12"/>
    <w:rsid w:val="35219160"/>
    <w:rsid w:val="35230E5C"/>
    <w:rsid w:val="352405C9"/>
    <w:rsid w:val="35255AAA"/>
    <w:rsid w:val="35281CB8"/>
    <w:rsid w:val="352A6731"/>
    <w:rsid w:val="352B6E07"/>
    <w:rsid w:val="352FB44C"/>
    <w:rsid w:val="353063DE"/>
    <w:rsid w:val="35322CFF"/>
    <w:rsid w:val="3532A89C"/>
    <w:rsid w:val="353AB824"/>
    <w:rsid w:val="353BCA5C"/>
    <w:rsid w:val="353DFFDF"/>
    <w:rsid w:val="353E5159"/>
    <w:rsid w:val="35439034"/>
    <w:rsid w:val="3549DCE2"/>
    <w:rsid w:val="354B67FD"/>
    <w:rsid w:val="355024BB"/>
    <w:rsid w:val="3554B6CC"/>
    <w:rsid w:val="35551131"/>
    <w:rsid w:val="355787DA"/>
    <w:rsid w:val="355BDC58"/>
    <w:rsid w:val="355E89B9"/>
    <w:rsid w:val="355F0A42"/>
    <w:rsid w:val="35611B90"/>
    <w:rsid w:val="35649A6D"/>
    <w:rsid w:val="3569BF25"/>
    <w:rsid w:val="3569F3B0"/>
    <w:rsid w:val="356BD887"/>
    <w:rsid w:val="356CB9CC"/>
    <w:rsid w:val="35704BA9"/>
    <w:rsid w:val="35709A57"/>
    <w:rsid w:val="35716F40"/>
    <w:rsid w:val="3573A5D7"/>
    <w:rsid w:val="35766368"/>
    <w:rsid w:val="357D7D23"/>
    <w:rsid w:val="35825F9C"/>
    <w:rsid w:val="358544DD"/>
    <w:rsid w:val="358C1F50"/>
    <w:rsid w:val="358F935B"/>
    <w:rsid w:val="359269DD"/>
    <w:rsid w:val="35929A20"/>
    <w:rsid w:val="359390A2"/>
    <w:rsid w:val="3594959D"/>
    <w:rsid w:val="3598A997"/>
    <w:rsid w:val="359CE210"/>
    <w:rsid w:val="359E35D8"/>
    <w:rsid w:val="35A5DA68"/>
    <w:rsid w:val="35A62971"/>
    <w:rsid w:val="35A7B7F6"/>
    <w:rsid w:val="35A8D687"/>
    <w:rsid w:val="35A94658"/>
    <w:rsid w:val="35A95F2D"/>
    <w:rsid w:val="35A97E66"/>
    <w:rsid w:val="35A9F4B6"/>
    <w:rsid w:val="35B3B064"/>
    <w:rsid w:val="35B634CC"/>
    <w:rsid w:val="35B777FC"/>
    <w:rsid w:val="35B8C93F"/>
    <w:rsid w:val="35BA5D21"/>
    <w:rsid w:val="35BABBF2"/>
    <w:rsid w:val="35BF2249"/>
    <w:rsid w:val="35C5DC4A"/>
    <w:rsid w:val="35C79535"/>
    <w:rsid w:val="35CFC52B"/>
    <w:rsid w:val="35D1BD7A"/>
    <w:rsid w:val="35D44338"/>
    <w:rsid w:val="35D4D3F9"/>
    <w:rsid w:val="35DFBCB0"/>
    <w:rsid w:val="35E0C69B"/>
    <w:rsid w:val="35E67D30"/>
    <w:rsid w:val="35EDC331"/>
    <w:rsid w:val="35EEC2D8"/>
    <w:rsid w:val="35F0E562"/>
    <w:rsid w:val="35F479E2"/>
    <w:rsid w:val="35F6F1C4"/>
    <w:rsid w:val="35F86EC9"/>
    <w:rsid w:val="35F8952E"/>
    <w:rsid w:val="35FC1759"/>
    <w:rsid w:val="35FD9AFC"/>
    <w:rsid w:val="35FF1686"/>
    <w:rsid w:val="35FF2FAB"/>
    <w:rsid w:val="36046AFE"/>
    <w:rsid w:val="3604B2D4"/>
    <w:rsid w:val="3608E30B"/>
    <w:rsid w:val="360930F7"/>
    <w:rsid w:val="360A275C"/>
    <w:rsid w:val="360AB4FF"/>
    <w:rsid w:val="360C6F14"/>
    <w:rsid w:val="361246E3"/>
    <w:rsid w:val="36135BE2"/>
    <w:rsid w:val="361447EE"/>
    <w:rsid w:val="3617C860"/>
    <w:rsid w:val="3618F4A3"/>
    <w:rsid w:val="361E56E8"/>
    <w:rsid w:val="361FD854"/>
    <w:rsid w:val="3626A609"/>
    <w:rsid w:val="362968FC"/>
    <w:rsid w:val="362A2798"/>
    <w:rsid w:val="362AEE64"/>
    <w:rsid w:val="36302966"/>
    <w:rsid w:val="36334ABC"/>
    <w:rsid w:val="3633F18D"/>
    <w:rsid w:val="36362FC9"/>
    <w:rsid w:val="36369547"/>
    <w:rsid w:val="36463D49"/>
    <w:rsid w:val="36493076"/>
    <w:rsid w:val="364A3D63"/>
    <w:rsid w:val="364F20C1"/>
    <w:rsid w:val="365098DC"/>
    <w:rsid w:val="3651AA35"/>
    <w:rsid w:val="3653A0B9"/>
    <w:rsid w:val="36582AA2"/>
    <w:rsid w:val="365888CF"/>
    <w:rsid w:val="3658A0E7"/>
    <w:rsid w:val="36617282"/>
    <w:rsid w:val="3663AA8E"/>
    <w:rsid w:val="366B34DF"/>
    <w:rsid w:val="366C48AB"/>
    <w:rsid w:val="366CF979"/>
    <w:rsid w:val="3670AD2E"/>
    <w:rsid w:val="3673179E"/>
    <w:rsid w:val="3676204D"/>
    <w:rsid w:val="36781736"/>
    <w:rsid w:val="367D7F29"/>
    <w:rsid w:val="368087DC"/>
    <w:rsid w:val="36860CDE"/>
    <w:rsid w:val="368E18D4"/>
    <w:rsid w:val="368E87B0"/>
    <w:rsid w:val="36914C7C"/>
    <w:rsid w:val="36950C7A"/>
    <w:rsid w:val="369CEE5C"/>
    <w:rsid w:val="369D34FB"/>
    <w:rsid w:val="369DEAB9"/>
    <w:rsid w:val="36A1608F"/>
    <w:rsid w:val="36A1CE9F"/>
    <w:rsid w:val="36A67078"/>
    <w:rsid w:val="36ADED90"/>
    <w:rsid w:val="36B019A8"/>
    <w:rsid w:val="36B04050"/>
    <w:rsid w:val="36B3599B"/>
    <w:rsid w:val="36B71F7C"/>
    <w:rsid w:val="36B73375"/>
    <w:rsid w:val="36B7E113"/>
    <w:rsid w:val="36BA8982"/>
    <w:rsid w:val="36C12E7E"/>
    <w:rsid w:val="36C18F0D"/>
    <w:rsid w:val="36C7A7D8"/>
    <w:rsid w:val="36C85E4A"/>
    <w:rsid w:val="36CB21FD"/>
    <w:rsid w:val="36D0307F"/>
    <w:rsid w:val="36D50359"/>
    <w:rsid w:val="36D50783"/>
    <w:rsid w:val="36D6524F"/>
    <w:rsid w:val="36D98634"/>
    <w:rsid w:val="36D9D2EA"/>
    <w:rsid w:val="36DCC179"/>
    <w:rsid w:val="36DE2C91"/>
    <w:rsid w:val="36E1C430"/>
    <w:rsid w:val="36E25F57"/>
    <w:rsid w:val="36E4A0CD"/>
    <w:rsid w:val="36E5366A"/>
    <w:rsid w:val="36E596FE"/>
    <w:rsid w:val="36E7DDEA"/>
    <w:rsid w:val="36E93909"/>
    <w:rsid w:val="36EA206E"/>
    <w:rsid w:val="36EC48DB"/>
    <w:rsid w:val="36ED03B3"/>
    <w:rsid w:val="36ED82AE"/>
    <w:rsid w:val="36ED86BF"/>
    <w:rsid w:val="36EDC544"/>
    <w:rsid w:val="36F327C2"/>
    <w:rsid w:val="36F7141F"/>
    <w:rsid w:val="36FE3A36"/>
    <w:rsid w:val="36FF108B"/>
    <w:rsid w:val="37008150"/>
    <w:rsid w:val="3702A7EE"/>
    <w:rsid w:val="370961A7"/>
    <w:rsid w:val="3711D8F9"/>
    <w:rsid w:val="3717692E"/>
    <w:rsid w:val="371799A5"/>
    <w:rsid w:val="371FEF13"/>
    <w:rsid w:val="372773E4"/>
    <w:rsid w:val="372CC36B"/>
    <w:rsid w:val="372D23BC"/>
    <w:rsid w:val="37325691"/>
    <w:rsid w:val="3735DF0D"/>
    <w:rsid w:val="3735ED5F"/>
    <w:rsid w:val="373C3EA9"/>
    <w:rsid w:val="373E8CAA"/>
    <w:rsid w:val="3742A649"/>
    <w:rsid w:val="374345B7"/>
    <w:rsid w:val="37445FB2"/>
    <w:rsid w:val="3744A678"/>
    <w:rsid w:val="3745B3EB"/>
    <w:rsid w:val="3745F44C"/>
    <w:rsid w:val="37480DD9"/>
    <w:rsid w:val="37551E8F"/>
    <w:rsid w:val="3756246D"/>
    <w:rsid w:val="3759836E"/>
    <w:rsid w:val="375A541B"/>
    <w:rsid w:val="375B64C4"/>
    <w:rsid w:val="376124DE"/>
    <w:rsid w:val="3761EE69"/>
    <w:rsid w:val="37683D9E"/>
    <w:rsid w:val="3774EDC7"/>
    <w:rsid w:val="37791105"/>
    <w:rsid w:val="377DD583"/>
    <w:rsid w:val="3783F515"/>
    <w:rsid w:val="3784EEC6"/>
    <w:rsid w:val="37867D25"/>
    <w:rsid w:val="37870A9A"/>
    <w:rsid w:val="3788E8E1"/>
    <w:rsid w:val="379AC07C"/>
    <w:rsid w:val="379C2AC1"/>
    <w:rsid w:val="37A1E756"/>
    <w:rsid w:val="37A1EBFF"/>
    <w:rsid w:val="37A34376"/>
    <w:rsid w:val="37A4AD81"/>
    <w:rsid w:val="37AD29EC"/>
    <w:rsid w:val="37B3A97C"/>
    <w:rsid w:val="37B5D421"/>
    <w:rsid w:val="37BD68F8"/>
    <w:rsid w:val="37BF74FF"/>
    <w:rsid w:val="37CA5543"/>
    <w:rsid w:val="37CAD221"/>
    <w:rsid w:val="37CBF3ED"/>
    <w:rsid w:val="37D77233"/>
    <w:rsid w:val="37D7A9D8"/>
    <w:rsid w:val="37DD49AE"/>
    <w:rsid w:val="37DEBA50"/>
    <w:rsid w:val="37E0A1B7"/>
    <w:rsid w:val="37E1373D"/>
    <w:rsid w:val="37E27540"/>
    <w:rsid w:val="37E30E98"/>
    <w:rsid w:val="37E3812D"/>
    <w:rsid w:val="37E6BEB5"/>
    <w:rsid w:val="37EA0DDE"/>
    <w:rsid w:val="37EB4EEC"/>
    <w:rsid w:val="37F02ABF"/>
    <w:rsid w:val="37F061AA"/>
    <w:rsid w:val="37F27A7A"/>
    <w:rsid w:val="37F3B8B9"/>
    <w:rsid w:val="37FC2CF3"/>
    <w:rsid w:val="37FD7A7B"/>
    <w:rsid w:val="37FEAB5E"/>
    <w:rsid w:val="38010AD5"/>
    <w:rsid w:val="38086ED5"/>
    <w:rsid w:val="3809B006"/>
    <w:rsid w:val="380A2334"/>
    <w:rsid w:val="380B3442"/>
    <w:rsid w:val="380D2D03"/>
    <w:rsid w:val="380D45EC"/>
    <w:rsid w:val="380D45FC"/>
    <w:rsid w:val="380E5458"/>
    <w:rsid w:val="38119F22"/>
    <w:rsid w:val="3813C954"/>
    <w:rsid w:val="38168BBD"/>
    <w:rsid w:val="381DE401"/>
    <w:rsid w:val="381E5B0B"/>
    <w:rsid w:val="38214838"/>
    <w:rsid w:val="3821C874"/>
    <w:rsid w:val="38261CAE"/>
    <w:rsid w:val="38261F99"/>
    <w:rsid w:val="38266D6C"/>
    <w:rsid w:val="3829128E"/>
    <w:rsid w:val="382A6C42"/>
    <w:rsid w:val="38304530"/>
    <w:rsid w:val="3838FB3A"/>
    <w:rsid w:val="383A3783"/>
    <w:rsid w:val="383CAE03"/>
    <w:rsid w:val="383E753D"/>
    <w:rsid w:val="384150C4"/>
    <w:rsid w:val="3846F367"/>
    <w:rsid w:val="3849B9F2"/>
    <w:rsid w:val="384DA55C"/>
    <w:rsid w:val="384DEB3E"/>
    <w:rsid w:val="385579A7"/>
    <w:rsid w:val="3858927B"/>
    <w:rsid w:val="3859E586"/>
    <w:rsid w:val="385AB589"/>
    <w:rsid w:val="3865D917"/>
    <w:rsid w:val="38664B64"/>
    <w:rsid w:val="386ED0E2"/>
    <w:rsid w:val="386F32B7"/>
    <w:rsid w:val="387034E8"/>
    <w:rsid w:val="3878E4C0"/>
    <w:rsid w:val="387B3060"/>
    <w:rsid w:val="38848E27"/>
    <w:rsid w:val="38876B01"/>
    <w:rsid w:val="3887A119"/>
    <w:rsid w:val="38893FBC"/>
    <w:rsid w:val="388965B2"/>
    <w:rsid w:val="3889D074"/>
    <w:rsid w:val="388FA01C"/>
    <w:rsid w:val="389083DF"/>
    <w:rsid w:val="389107B4"/>
    <w:rsid w:val="3892B8E3"/>
    <w:rsid w:val="3895211D"/>
    <w:rsid w:val="3895B19A"/>
    <w:rsid w:val="38971F7B"/>
    <w:rsid w:val="389F331D"/>
    <w:rsid w:val="38A5D133"/>
    <w:rsid w:val="38A97F47"/>
    <w:rsid w:val="38ACE837"/>
    <w:rsid w:val="38B28D2C"/>
    <w:rsid w:val="38B2CCB2"/>
    <w:rsid w:val="38B2FD3C"/>
    <w:rsid w:val="38B378FA"/>
    <w:rsid w:val="38BF4F3A"/>
    <w:rsid w:val="38C3A639"/>
    <w:rsid w:val="38CA4CCB"/>
    <w:rsid w:val="38D6B14A"/>
    <w:rsid w:val="38DA54F9"/>
    <w:rsid w:val="38DB32CC"/>
    <w:rsid w:val="38DD1B5A"/>
    <w:rsid w:val="38E3879C"/>
    <w:rsid w:val="38E3C40E"/>
    <w:rsid w:val="38E944C6"/>
    <w:rsid w:val="38ECBF11"/>
    <w:rsid w:val="38ED9A57"/>
    <w:rsid w:val="38EE87DB"/>
    <w:rsid w:val="38F270D3"/>
    <w:rsid w:val="38F2DD62"/>
    <w:rsid w:val="38F967A6"/>
    <w:rsid w:val="38FB2B61"/>
    <w:rsid w:val="38FBFF36"/>
    <w:rsid w:val="38FCE330"/>
    <w:rsid w:val="38FFE120"/>
    <w:rsid w:val="39026D4C"/>
    <w:rsid w:val="390367D8"/>
    <w:rsid w:val="390A8BF5"/>
    <w:rsid w:val="390AA721"/>
    <w:rsid w:val="390AE75A"/>
    <w:rsid w:val="390B6C30"/>
    <w:rsid w:val="390B7B82"/>
    <w:rsid w:val="390B7CAF"/>
    <w:rsid w:val="390C6977"/>
    <w:rsid w:val="39112725"/>
    <w:rsid w:val="39121E2A"/>
    <w:rsid w:val="39131CD2"/>
    <w:rsid w:val="3913FCBB"/>
    <w:rsid w:val="39142141"/>
    <w:rsid w:val="391A01F8"/>
    <w:rsid w:val="391B33D4"/>
    <w:rsid w:val="391C84B9"/>
    <w:rsid w:val="391D8E00"/>
    <w:rsid w:val="391E8F9B"/>
    <w:rsid w:val="3920F519"/>
    <w:rsid w:val="3921EBD0"/>
    <w:rsid w:val="3929F8BC"/>
    <w:rsid w:val="392D89C4"/>
    <w:rsid w:val="39392924"/>
    <w:rsid w:val="393938B7"/>
    <w:rsid w:val="393CE98C"/>
    <w:rsid w:val="3947720F"/>
    <w:rsid w:val="395097BF"/>
    <w:rsid w:val="39533DCB"/>
    <w:rsid w:val="396059EB"/>
    <w:rsid w:val="39628AA0"/>
    <w:rsid w:val="396EDA0F"/>
    <w:rsid w:val="396F9041"/>
    <w:rsid w:val="397398C7"/>
    <w:rsid w:val="3975B8A6"/>
    <w:rsid w:val="3978C91F"/>
    <w:rsid w:val="397E7082"/>
    <w:rsid w:val="398194AB"/>
    <w:rsid w:val="39823157"/>
    <w:rsid w:val="398357C7"/>
    <w:rsid w:val="3983B0B6"/>
    <w:rsid w:val="3984514E"/>
    <w:rsid w:val="398D921E"/>
    <w:rsid w:val="398E171B"/>
    <w:rsid w:val="39918151"/>
    <w:rsid w:val="3992233B"/>
    <w:rsid w:val="399417C4"/>
    <w:rsid w:val="3997F3C2"/>
    <w:rsid w:val="39982A38"/>
    <w:rsid w:val="3998B2FF"/>
    <w:rsid w:val="399ECD5C"/>
    <w:rsid w:val="39A240AB"/>
    <w:rsid w:val="39A28370"/>
    <w:rsid w:val="39A5CE46"/>
    <w:rsid w:val="39A803A5"/>
    <w:rsid w:val="39ACE9B8"/>
    <w:rsid w:val="39AE8D86"/>
    <w:rsid w:val="39B07735"/>
    <w:rsid w:val="39B11213"/>
    <w:rsid w:val="39B26AD9"/>
    <w:rsid w:val="39B5E6C1"/>
    <w:rsid w:val="39BC5AE3"/>
    <w:rsid w:val="39BD00BC"/>
    <w:rsid w:val="39C09CE7"/>
    <w:rsid w:val="39C5279C"/>
    <w:rsid w:val="39C57142"/>
    <w:rsid w:val="39CB141C"/>
    <w:rsid w:val="39CD4A0E"/>
    <w:rsid w:val="39CE2FA1"/>
    <w:rsid w:val="39D15A55"/>
    <w:rsid w:val="39D48902"/>
    <w:rsid w:val="39D4ED77"/>
    <w:rsid w:val="39D642E0"/>
    <w:rsid w:val="39DA142F"/>
    <w:rsid w:val="39E6C3CA"/>
    <w:rsid w:val="39E77237"/>
    <w:rsid w:val="39E7AE8C"/>
    <w:rsid w:val="39E7DD23"/>
    <w:rsid w:val="39F00267"/>
    <w:rsid w:val="39F224DA"/>
    <w:rsid w:val="39F2B7FF"/>
    <w:rsid w:val="39FEB147"/>
    <w:rsid w:val="3A02E91A"/>
    <w:rsid w:val="3A047F1F"/>
    <w:rsid w:val="3A0E2FE5"/>
    <w:rsid w:val="3A13BF51"/>
    <w:rsid w:val="3A14E18A"/>
    <w:rsid w:val="3A15670A"/>
    <w:rsid w:val="3A1718D4"/>
    <w:rsid w:val="3A198C8C"/>
    <w:rsid w:val="3A1AD20D"/>
    <w:rsid w:val="3A1AE18C"/>
    <w:rsid w:val="3A1C3C92"/>
    <w:rsid w:val="3A1F72E6"/>
    <w:rsid w:val="3A210BA9"/>
    <w:rsid w:val="3A24E905"/>
    <w:rsid w:val="3A25AA06"/>
    <w:rsid w:val="3A25B85D"/>
    <w:rsid w:val="3A3AB2CD"/>
    <w:rsid w:val="3A3F608B"/>
    <w:rsid w:val="3A403587"/>
    <w:rsid w:val="3A40EC74"/>
    <w:rsid w:val="3A45A1CD"/>
    <w:rsid w:val="3A4C782C"/>
    <w:rsid w:val="3A513E7D"/>
    <w:rsid w:val="3A51B943"/>
    <w:rsid w:val="3A5488E5"/>
    <w:rsid w:val="3A550C29"/>
    <w:rsid w:val="3A56CF01"/>
    <w:rsid w:val="3A581360"/>
    <w:rsid w:val="3A5820BD"/>
    <w:rsid w:val="3A58212C"/>
    <w:rsid w:val="3A5A929E"/>
    <w:rsid w:val="3A5B33FD"/>
    <w:rsid w:val="3A5B6711"/>
    <w:rsid w:val="3A5D8EF8"/>
    <w:rsid w:val="3A605153"/>
    <w:rsid w:val="3A6214E3"/>
    <w:rsid w:val="3A6662D8"/>
    <w:rsid w:val="3A6ABEC2"/>
    <w:rsid w:val="3A74A42E"/>
    <w:rsid w:val="3A7751DD"/>
    <w:rsid w:val="3A7791F9"/>
    <w:rsid w:val="3A77F5E8"/>
    <w:rsid w:val="3A7F474E"/>
    <w:rsid w:val="3A851DF0"/>
    <w:rsid w:val="3A87ECEA"/>
    <w:rsid w:val="3A8992DC"/>
    <w:rsid w:val="3A8A6E03"/>
    <w:rsid w:val="3A8AB32D"/>
    <w:rsid w:val="3A9923EA"/>
    <w:rsid w:val="3A9E92D9"/>
    <w:rsid w:val="3AA1FA3B"/>
    <w:rsid w:val="3AA5AF59"/>
    <w:rsid w:val="3AA966D1"/>
    <w:rsid w:val="3AB2C473"/>
    <w:rsid w:val="3AB4FAA8"/>
    <w:rsid w:val="3AB59936"/>
    <w:rsid w:val="3AB68C99"/>
    <w:rsid w:val="3AB6B1D4"/>
    <w:rsid w:val="3ABFB24B"/>
    <w:rsid w:val="3AC340CA"/>
    <w:rsid w:val="3AC59B7E"/>
    <w:rsid w:val="3AD02114"/>
    <w:rsid w:val="3AD13917"/>
    <w:rsid w:val="3AD30DE2"/>
    <w:rsid w:val="3ADB48B4"/>
    <w:rsid w:val="3AE3990D"/>
    <w:rsid w:val="3AE7C92F"/>
    <w:rsid w:val="3AE948FE"/>
    <w:rsid w:val="3AEC19C6"/>
    <w:rsid w:val="3AEE9BDD"/>
    <w:rsid w:val="3AF02439"/>
    <w:rsid w:val="3AF7657C"/>
    <w:rsid w:val="3B024AC3"/>
    <w:rsid w:val="3B02C5DA"/>
    <w:rsid w:val="3B0BF82A"/>
    <w:rsid w:val="3B0CE679"/>
    <w:rsid w:val="3B0F0814"/>
    <w:rsid w:val="3B1598DE"/>
    <w:rsid w:val="3B1A9F17"/>
    <w:rsid w:val="3B1B57F8"/>
    <w:rsid w:val="3B1C9406"/>
    <w:rsid w:val="3B1D1685"/>
    <w:rsid w:val="3B1F1745"/>
    <w:rsid w:val="3B22913E"/>
    <w:rsid w:val="3B2F712F"/>
    <w:rsid w:val="3B3032A1"/>
    <w:rsid w:val="3B31C19F"/>
    <w:rsid w:val="3B31FCCD"/>
    <w:rsid w:val="3B351519"/>
    <w:rsid w:val="3B355AA3"/>
    <w:rsid w:val="3B45B219"/>
    <w:rsid w:val="3B4BA41B"/>
    <w:rsid w:val="3B4DAD06"/>
    <w:rsid w:val="3B504FA3"/>
    <w:rsid w:val="3B595E6A"/>
    <w:rsid w:val="3B5AC1EF"/>
    <w:rsid w:val="3B5AC2D5"/>
    <w:rsid w:val="3B5FA543"/>
    <w:rsid w:val="3B6C1AC7"/>
    <w:rsid w:val="3B6E03D7"/>
    <w:rsid w:val="3B6E9113"/>
    <w:rsid w:val="3B708002"/>
    <w:rsid w:val="3B718115"/>
    <w:rsid w:val="3B724FD2"/>
    <w:rsid w:val="3B77FC15"/>
    <w:rsid w:val="3B7DFA37"/>
    <w:rsid w:val="3B8D1DAE"/>
    <w:rsid w:val="3B8DC766"/>
    <w:rsid w:val="3B8F6545"/>
    <w:rsid w:val="3B911999"/>
    <w:rsid w:val="3B9147E6"/>
    <w:rsid w:val="3B916DD0"/>
    <w:rsid w:val="3B97388F"/>
    <w:rsid w:val="3B993E4F"/>
    <w:rsid w:val="3B9AE34E"/>
    <w:rsid w:val="3B9B3888"/>
    <w:rsid w:val="3B9C0DD6"/>
    <w:rsid w:val="3B9DAC66"/>
    <w:rsid w:val="3B9FF3E5"/>
    <w:rsid w:val="3BA0EEC6"/>
    <w:rsid w:val="3BABF208"/>
    <w:rsid w:val="3BB18498"/>
    <w:rsid w:val="3BB190CF"/>
    <w:rsid w:val="3BB2C641"/>
    <w:rsid w:val="3BB3FF0E"/>
    <w:rsid w:val="3BBA5199"/>
    <w:rsid w:val="3BBA7A07"/>
    <w:rsid w:val="3BBB46FA"/>
    <w:rsid w:val="3BBB929A"/>
    <w:rsid w:val="3BC22190"/>
    <w:rsid w:val="3BC34315"/>
    <w:rsid w:val="3BC5135E"/>
    <w:rsid w:val="3BC7F233"/>
    <w:rsid w:val="3BCEF8AB"/>
    <w:rsid w:val="3BD170CF"/>
    <w:rsid w:val="3BD177EE"/>
    <w:rsid w:val="3BD4826F"/>
    <w:rsid w:val="3BD54134"/>
    <w:rsid w:val="3BD79157"/>
    <w:rsid w:val="3BDE02AA"/>
    <w:rsid w:val="3BE0925F"/>
    <w:rsid w:val="3BE9D837"/>
    <w:rsid w:val="3BF64C16"/>
    <w:rsid w:val="3BF69077"/>
    <w:rsid w:val="3BFB1C07"/>
    <w:rsid w:val="3BFC7F25"/>
    <w:rsid w:val="3BFD4576"/>
    <w:rsid w:val="3C03E728"/>
    <w:rsid w:val="3C0584D8"/>
    <w:rsid w:val="3C1359A9"/>
    <w:rsid w:val="3C1E885B"/>
    <w:rsid w:val="3C216744"/>
    <w:rsid w:val="3C2399BE"/>
    <w:rsid w:val="3C2564A4"/>
    <w:rsid w:val="3C2FD42E"/>
    <w:rsid w:val="3C343BD8"/>
    <w:rsid w:val="3C3A717F"/>
    <w:rsid w:val="3C3B1B86"/>
    <w:rsid w:val="3C415535"/>
    <w:rsid w:val="3C42ACC2"/>
    <w:rsid w:val="3C44A928"/>
    <w:rsid w:val="3C462F72"/>
    <w:rsid w:val="3C4A299E"/>
    <w:rsid w:val="3C4D25A7"/>
    <w:rsid w:val="3C4EA1B8"/>
    <w:rsid w:val="3C5120FD"/>
    <w:rsid w:val="3C56FDE6"/>
    <w:rsid w:val="3C5A4254"/>
    <w:rsid w:val="3C5F7DC0"/>
    <w:rsid w:val="3C6060F7"/>
    <w:rsid w:val="3C64E6F2"/>
    <w:rsid w:val="3C688000"/>
    <w:rsid w:val="3C68BE9C"/>
    <w:rsid w:val="3C6C2697"/>
    <w:rsid w:val="3C6F3D85"/>
    <w:rsid w:val="3C727EFB"/>
    <w:rsid w:val="3C7A6744"/>
    <w:rsid w:val="3C7DC684"/>
    <w:rsid w:val="3C8044B8"/>
    <w:rsid w:val="3C8539D1"/>
    <w:rsid w:val="3C8E303F"/>
    <w:rsid w:val="3C8E4FA7"/>
    <w:rsid w:val="3C8EA518"/>
    <w:rsid w:val="3C92A1DC"/>
    <w:rsid w:val="3C9562F2"/>
    <w:rsid w:val="3C99EBF3"/>
    <w:rsid w:val="3C9D963A"/>
    <w:rsid w:val="3C9F09DA"/>
    <w:rsid w:val="3C9FCC4C"/>
    <w:rsid w:val="3CA5C023"/>
    <w:rsid w:val="3CA7427B"/>
    <w:rsid w:val="3CA97BEA"/>
    <w:rsid w:val="3CAC8D12"/>
    <w:rsid w:val="3CAE2F15"/>
    <w:rsid w:val="3CAEE24B"/>
    <w:rsid w:val="3CB16A6D"/>
    <w:rsid w:val="3CB1ED11"/>
    <w:rsid w:val="3CB26283"/>
    <w:rsid w:val="3CBCD3E4"/>
    <w:rsid w:val="3CBEA3FB"/>
    <w:rsid w:val="3CBFA6F7"/>
    <w:rsid w:val="3CC163FD"/>
    <w:rsid w:val="3CC2C50C"/>
    <w:rsid w:val="3CC33CC6"/>
    <w:rsid w:val="3CC6BAE5"/>
    <w:rsid w:val="3CC72FC0"/>
    <w:rsid w:val="3CC7752F"/>
    <w:rsid w:val="3CCEC501"/>
    <w:rsid w:val="3CD43CAC"/>
    <w:rsid w:val="3CE01F1F"/>
    <w:rsid w:val="3CEC4823"/>
    <w:rsid w:val="3CECE431"/>
    <w:rsid w:val="3CF0F4A4"/>
    <w:rsid w:val="3CF2C70B"/>
    <w:rsid w:val="3CF3F375"/>
    <w:rsid w:val="3CF5F105"/>
    <w:rsid w:val="3CFC13BF"/>
    <w:rsid w:val="3CFF7840"/>
    <w:rsid w:val="3D05B283"/>
    <w:rsid w:val="3D06FC1A"/>
    <w:rsid w:val="3D06FD1B"/>
    <w:rsid w:val="3D08D236"/>
    <w:rsid w:val="3D08E51D"/>
    <w:rsid w:val="3D0C039C"/>
    <w:rsid w:val="3D0DD8FF"/>
    <w:rsid w:val="3D0EEFE5"/>
    <w:rsid w:val="3D0F9D38"/>
    <w:rsid w:val="3D122502"/>
    <w:rsid w:val="3D152B05"/>
    <w:rsid w:val="3D16E858"/>
    <w:rsid w:val="3D1A2326"/>
    <w:rsid w:val="3D1BA3F4"/>
    <w:rsid w:val="3D1D3D30"/>
    <w:rsid w:val="3D1E5E40"/>
    <w:rsid w:val="3D20BF44"/>
    <w:rsid w:val="3D21C0F6"/>
    <w:rsid w:val="3D220F82"/>
    <w:rsid w:val="3D22F0EC"/>
    <w:rsid w:val="3D26AE53"/>
    <w:rsid w:val="3D2A4B6F"/>
    <w:rsid w:val="3D2E4225"/>
    <w:rsid w:val="3D2E6921"/>
    <w:rsid w:val="3D340F76"/>
    <w:rsid w:val="3D3D3492"/>
    <w:rsid w:val="3D3F151A"/>
    <w:rsid w:val="3D4CCCF7"/>
    <w:rsid w:val="3D4F868C"/>
    <w:rsid w:val="3D4F9D11"/>
    <w:rsid w:val="3D50EF4F"/>
    <w:rsid w:val="3D514A45"/>
    <w:rsid w:val="3D529867"/>
    <w:rsid w:val="3D5369B0"/>
    <w:rsid w:val="3D53F3EF"/>
    <w:rsid w:val="3D56F4AA"/>
    <w:rsid w:val="3D58902E"/>
    <w:rsid w:val="3D58908D"/>
    <w:rsid w:val="3D5A5F7E"/>
    <w:rsid w:val="3D5C2389"/>
    <w:rsid w:val="3D5E7F24"/>
    <w:rsid w:val="3D63DF26"/>
    <w:rsid w:val="3D683769"/>
    <w:rsid w:val="3D6B547F"/>
    <w:rsid w:val="3D6F2DDA"/>
    <w:rsid w:val="3D718955"/>
    <w:rsid w:val="3D791F45"/>
    <w:rsid w:val="3D81E5C0"/>
    <w:rsid w:val="3D8462FE"/>
    <w:rsid w:val="3D87E89B"/>
    <w:rsid w:val="3D888A37"/>
    <w:rsid w:val="3D8C6013"/>
    <w:rsid w:val="3D8CAD80"/>
    <w:rsid w:val="3D8D1A08"/>
    <w:rsid w:val="3D8DCF64"/>
    <w:rsid w:val="3D8FBF1A"/>
    <w:rsid w:val="3D9090F7"/>
    <w:rsid w:val="3D97AD13"/>
    <w:rsid w:val="3D98F08D"/>
    <w:rsid w:val="3D99F942"/>
    <w:rsid w:val="3D9DDD96"/>
    <w:rsid w:val="3D9E0E3A"/>
    <w:rsid w:val="3DA31023"/>
    <w:rsid w:val="3DA8E130"/>
    <w:rsid w:val="3DAEE078"/>
    <w:rsid w:val="3DB195F7"/>
    <w:rsid w:val="3DB8D2EF"/>
    <w:rsid w:val="3DB8D78D"/>
    <w:rsid w:val="3DB90D39"/>
    <w:rsid w:val="3DBDB27F"/>
    <w:rsid w:val="3DBEC8B2"/>
    <w:rsid w:val="3DBF8EA4"/>
    <w:rsid w:val="3DC3A75B"/>
    <w:rsid w:val="3DCB399F"/>
    <w:rsid w:val="3DCC2013"/>
    <w:rsid w:val="3DD5E6E6"/>
    <w:rsid w:val="3DD827BF"/>
    <w:rsid w:val="3DD8FCD9"/>
    <w:rsid w:val="3DDA4889"/>
    <w:rsid w:val="3DDFB154"/>
    <w:rsid w:val="3DE3CBB9"/>
    <w:rsid w:val="3DE60218"/>
    <w:rsid w:val="3DE6AB68"/>
    <w:rsid w:val="3DE75F98"/>
    <w:rsid w:val="3DEAA5C8"/>
    <w:rsid w:val="3DEE9F56"/>
    <w:rsid w:val="3DEED183"/>
    <w:rsid w:val="3DF156E8"/>
    <w:rsid w:val="3DF59BAD"/>
    <w:rsid w:val="3DFDEE1D"/>
    <w:rsid w:val="3E008101"/>
    <w:rsid w:val="3E00F170"/>
    <w:rsid w:val="3E023418"/>
    <w:rsid w:val="3E10504C"/>
    <w:rsid w:val="3E109BA0"/>
    <w:rsid w:val="3E112439"/>
    <w:rsid w:val="3E119C8E"/>
    <w:rsid w:val="3E1E2C3F"/>
    <w:rsid w:val="3E26A153"/>
    <w:rsid w:val="3E27C4E9"/>
    <w:rsid w:val="3E287002"/>
    <w:rsid w:val="3E2CC21B"/>
    <w:rsid w:val="3E2DDCFE"/>
    <w:rsid w:val="3E2E6291"/>
    <w:rsid w:val="3E2F4C33"/>
    <w:rsid w:val="3E37CD45"/>
    <w:rsid w:val="3E3A79BA"/>
    <w:rsid w:val="3E3B3731"/>
    <w:rsid w:val="3E3B49E6"/>
    <w:rsid w:val="3E3B9F5D"/>
    <w:rsid w:val="3E3E24F3"/>
    <w:rsid w:val="3E412816"/>
    <w:rsid w:val="3E43D5C9"/>
    <w:rsid w:val="3E43D786"/>
    <w:rsid w:val="3E46EBF8"/>
    <w:rsid w:val="3E4846C5"/>
    <w:rsid w:val="3E484863"/>
    <w:rsid w:val="3E48F25C"/>
    <w:rsid w:val="3E4AD545"/>
    <w:rsid w:val="3E4F173C"/>
    <w:rsid w:val="3E50AAD8"/>
    <w:rsid w:val="3E52CEC0"/>
    <w:rsid w:val="3E55DE05"/>
    <w:rsid w:val="3E569652"/>
    <w:rsid w:val="3E5B5BFD"/>
    <w:rsid w:val="3E5C22B7"/>
    <w:rsid w:val="3E5E97CD"/>
    <w:rsid w:val="3E628D21"/>
    <w:rsid w:val="3E6E7379"/>
    <w:rsid w:val="3E73744E"/>
    <w:rsid w:val="3E771F37"/>
    <w:rsid w:val="3E77255C"/>
    <w:rsid w:val="3E788FBA"/>
    <w:rsid w:val="3E793CC2"/>
    <w:rsid w:val="3E7B4470"/>
    <w:rsid w:val="3E7F90D5"/>
    <w:rsid w:val="3E80EF96"/>
    <w:rsid w:val="3E873C59"/>
    <w:rsid w:val="3E8B5F78"/>
    <w:rsid w:val="3E8C5038"/>
    <w:rsid w:val="3E8D8E3E"/>
    <w:rsid w:val="3E8EA337"/>
    <w:rsid w:val="3E9028A2"/>
    <w:rsid w:val="3E9300F7"/>
    <w:rsid w:val="3E958E45"/>
    <w:rsid w:val="3E976CCE"/>
    <w:rsid w:val="3E9DD4E9"/>
    <w:rsid w:val="3E9E80E1"/>
    <w:rsid w:val="3E9EEB9D"/>
    <w:rsid w:val="3E9F9282"/>
    <w:rsid w:val="3EAC57CA"/>
    <w:rsid w:val="3EB21DE5"/>
    <w:rsid w:val="3EB6C6B7"/>
    <w:rsid w:val="3EC3D749"/>
    <w:rsid w:val="3EC5EC9B"/>
    <w:rsid w:val="3EC765D7"/>
    <w:rsid w:val="3EC81D56"/>
    <w:rsid w:val="3EC833AE"/>
    <w:rsid w:val="3ECB04B7"/>
    <w:rsid w:val="3ECB62B3"/>
    <w:rsid w:val="3ECE3FFC"/>
    <w:rsid w:val="3ECF5EC3"/>
    <w:rsid w:val="3ECFE104"/>
    <w:rsid w:val="3ED01A3C"/>
    <w:rsid w:val="3ED03300"/>
    <w:rsid w:val="3ED55D14"/>
    <w:rsid w:val="3ED68FC1"/>
    <w:rsid w:val="3ED733DC"/>
    <w:rsid w:val="3EDAA88A"/>
    <w:rsid w:val="3EDB0F68"/>
    <w:rsid w:val="3EDFDC76"/>
    <w:rsid w:val="3EE417B9"/>
    <w:rsid w:val="3EE59B0C"/>
    <w:rsid w:val="3EE75303"/>
    <w:rsid w:val="3EE8430D"/>
    <w:rsid w:val="3EEA104C"/>
    <w:rsid w:val="3EEF90BB"/>
    <w:rsid w:val="3EEFC9F6"/>
    <w:rsid w:val="3EF5EF0A"/>
    <w:rsid w:val="3F0227C4"/>
    <w:rsid w:val="3F02A2A9"/>
    <w:rsid w:val="3F04236C"/>
    <w:rsid w:val="3F063CCC"/>
    <w:rsid w:val="3F069941"/>
    <w:rsid w:val="3F08057A"/>
    <w:rsid w:val="3F08F24A"/>
    <w:rsid w:val="3F0AF46F"/>
    <w:rsid w:val="3F0BB088"/>
    <w:rsid w:val="3F14CE7F"/>
    <w:rsid w:val="3F205AB5"/>
    <w:rsid w:val="3F20FBAC"/>
    <w:rsid w:val="3F2721ED"/>
    <w:rsid w:val="3F30DDA9"/>
    <w:rsid w:val="3F32350D"/>
    <w:rsid w:val="3F340FEB"/>
    <w:rsid w:val="3F356408"/>
    <w:rsid w:val="3F365EC7"/>
    <w:rsid w:val="3F38FCE6"/>
    <w:rsid w:val="3F3AF844"/>
    <w:rsid w:val="3F3B1CE4"/>
    <w:rsid w:val="3F3D0871"/>
    <w:rsid w:val="3F3EA2B8"/>
    <w:rsid w:val="3F434176"/>
    <w:rsid w:val="3F48BC32"/>
    <w:rsid w:val="3F4B8D68"/>
    <w:rsid w:val="3F4BAE26"/>
    <w:rsid w:val="3F4DFB65"/>
    <w:rsid w:val="3F5410FE"/>
    <w:rsid w:val="3F547733"/>
    <w:rsid w:val="3F5DA814"/>
    <w:rsid w:val="3F5E2BDB"/>
    <w:rsid w:val="3F5FE822"/>
    <w:rsid w:val="3F6159EE"/>
    <w:rsid w:val="3F667CD7"/>
    <w:rsid w:val="3F6C45F2"/>
    <w:rsid w:val="3F6F0110"/>
    <w:rsid w:val="3F7BEC59"/>
    <w:rsid w:val="3F82CD2C"/>
    <w:rsid w:val="3F8710F6"/>
    <w:rsid w:val="3F8B003D"/>
    <w:rsid w:val="3F90ADC8"/>
    <w:rsid w:val="3F92CFF8"/>
    <w:rsid w:val="3F9541E6"/>
    <w:rsid w:val="3F9BD1B9"/>
    <w:rsid w:val="3F9F69C5"/>
    <w:rsid w:val="3FA27749"/>
    <w:rsid w:val="3FA9F7A2"/>
    <w:rsid w:val="3FAA3671"/>
    <w:rsid w:val="3FAF9817"/>
    <w:rsid w:val="3FB02D83"/>
    <w:rsid w:val="3FB57FB3"/>
    <w:rsid w:val="3FB6B3ED"/>
    <w:rsid w:val="3FB935BB"/>
    <w:rsid w:val="3FBAC74B"/>
    <w:rsid w:val="3FC96E8A"/>
    <w:rsid w:val="3FCA5F8C"/>
    <w:rsid w:val="3FD1750B"/>
    <w:rsid w:val="3FD24F11"/>
    <w:rsid w:val="3FD59AAE"/>
    <w:rsid w:val="3FD8E387"/>
    <w:rsid w:val="3FDB1AB1"/>
    <w:rsid w:val="3FDBB3DE"/>
    <w:rsid w:val="3FDD6061"/>
    <w:rsid w:val="3FE0BE10"/>
    <w:rsid w:val="3FE9B6C1"/>
    <w:rsid w:val="3FEA890E"/>
    <w:rsid w:val="3FEC764F"/>
    <w:rsid w:val="3FF024E4"/>
    <w:rsid w:val="3FF5186C"/>
    <w:rsid w:val="3FF87899"/>
    <w:rsid w:val="3FFCC63A"/>
    <w:rsid w:val="400389B0"/>
    <w:rsid w:val="40055D18"/>
    <w:rsid w:val="4005A548"/>
    <w:rsid w:val="4005C14E"/>
    <w:rsid w:val="400702EE"/>
    <w:rsid w:val="400776D6"/>
    <w:rsid w:val="4008827C"/>
    <w:rsid w:val="400CF3DA"/>
    <w:rsid w:val="40124525"/>
    <w:rsid w:val="40127B92"/>
    <w:rsid w:val="4014A655"/>
    <w:rsid w:val="40170EC0"/>
    <w:rsid w:val="4017BB09"/>
    <w:rsid w:val="401D3D90"/>
    <w:rsid w:val="401DB259"/>
    <w:rsid w:val="401DD536"/>
    <w:rsid w:val="401F30F6"/>
    <w:rsid w:val="40253E7E"/>
    <w:rsid w:val="4028F6F3"/>
    <w:rsid w:val="402A827C"/>
    <w:rsid w:val="402E0049"/>
    <w:rsid w:val="4033F367"/>
    <w:rsid w:val="403BD071"/>
    <w:rsid w:val="403BD65D"/>
    <w:rsid w:val="403CA5F8"/>
    <w:rsid w:val="403E8534"/>
    <w:rsid w:val="40421487"/>
    <w:rsid w:val="4042FF1B"/>
    <w:rsid w:val="40462EDF"/>
    <w:rsid w:val="40488109"/>
    <w:rsid w:val="404E97EC"/>
    <w:rsid w:val="4054B74C"/>
    <w:rsid w:val="40561E9E"/>
    <w:rsid w:val="405BEC56"/>
    <w:rsid w:val="405F25D5"/>
    <w:rsid w:val="4062DDF7"/>
    <w:rsid w:val="4062F8D4"/>
    <w:rsid w:val="40644B23"/>
    <w:rsid w:val="40653374"/>
    <w:rsid w:val="4066E9C0"/>
    <w:rsid w:val="40672BFE"/>
    <w:rsid w:val="406B059D"/>
    <w:rsid w:val="407A98A2"/>
    <w:rsid w:val="407ED94B"/>
    <w:rsid w:val="4080B63D"/>
    <w:rsid w:val="40831841"/>
    <w:rsid w:val="40846FBF"/>
    <w:rsid w:val="40871DB3"/>
    <w:rsid w:val="4093CBA9"/>
    <w:rsid w:val="4094D883"/>
    <w:rsid w:val="40961F55"/>
    <w:rsid w:val="4097E3AF"/>
    <w:rsid w:val="40981A46"/>
    <w:rsid w:val="409B88CF"/>
    <w:rsid w:val="40A1AF6D"/>
    <w:rsid w:val="40A23292"/>
    <w:rsid w:val="40A3CF39"/>
    <w:rsid w:val="40A40258"/>
    <w:rsid w:val="40A46EB6"/>
    <w:rsid w:val="40A57201"/>
    <w:rsid w:val="40A904F1"/>
    <w:rsid w:val="40A96249"/>
    <w:rsid w:val="40AAD313"/>
    <w:rsid w:val="40AE3163"/>
    <w:rsid w:val="40B15328"/>
    <w:rsid w:val="40BC0529"/>
    <w:rsid w:val="40C6C8B7"/>
    <w:rsid w:val="40C91EEF"/>
    <w:rsid w:val="40D8E488"/>
    <w:rsid w:val="40DDD812"/>
    <w:rsid w:val="40E0337F"/>
    <w:rsid w:val="40E09260"/>
    <w:rsid w:val="40E1A836"/>
    <w:rsid w:val="40E48A33"/>
    <w:rsid w:val="40E631F9"/>
    <w:rsid w:val="40EC263D"/>
    <w:rsid w:val="40ED106D"/>
    <w:rsid w:val="40EF4090"/>
    <w:rsid w:val="40EFDFCA"/>
    <w:rsid w:val="40F207FC"/>
    <w:rsid w:val="40F3019E"/>
    <w:rsid w:val="40F68AE8"/>
    <w:rsid w:val="40F72933"/>
    <w:rsid w:val="40F76B90"/>
    <w:rsid w:val="40F77588"/>
    <w:rsid w:val="40F9550D"/>
    <w:rsid w:val="40FC769C"/>
    <w:rsid w:val="40FD05B1"/>
    <w:rsid w:val="40FD5461"/>
    <w:rsid w:val="4101FF80"/>
    <w:rsid w:val="4102217B"/>
    <w:rsid w:val="41028EA3"/>
    <w:rsid w:val="4106C65D"/>
    <w:rsid w:val="410792F3"/>
    <w:rsid w:val="41081074"/>
    <w:rsid w:val="41097B7E"/>
    <w:rsid w:val="410ADDCD"/>
    <w:rsid w:val="410CAD02"/>
    <w:rsid w:val="4111C727"/>
    <w:rsid w:val="41138B41"/>
    <w:rsid w:val="4115896C"/>
    <w:rsid w:val="411756A2"/>
    <w:rsid w:val="411A37A2"/>
    <w:rsid w:val="411ABA48"/>
    <w:rsid w:val="411FAE0D"/>
    <w:rsid w:val="412321CA"/>
    <w:rsid w:val="41318A41"/>
    <w:rsid w:val="4132ADE2"/>
    <w:rsid w:val="413312C4"/>
    <w:rsid w:val="4134722F"/>
    <w:rsid w:val="413ACC06"/>
    <w:rsid w:val="413C1CAC"/>
    <w:rsid w:val="413DA804"/>
    <w:rsid w:val="414044A7"/>
    <w:rsid w:val="41448527"/>
    <w:rsid w:val="41465DC7"/>
    <w:rsid w:val="41496B43"/>
    <w:rsid w:val="414A44A0"/>
    <w:rsid w:val="414E5676"/>
    <w:rsid w:val="414F660E"/>
    <w:rsid w:val="41501533"/>
    <w:rsid w:val="41515594"/>
    <w:rsid w:val="41525278"/>
    <w:rsid w:val="41536DB4"/>
    <w:rsid w:val="4158FD10"/>
    <w:rsid w:val="415981D5"/>
    <w:rsid w:val="415D9843"/>
    <w:rsid w:val="4163D4D9"/>
    <w:rsid w:val="41644499"/>
    <w:rsid w:val="41667338"/>
    <w:rsid w:val="4166858B"/>
    <w:rsid w:val="416C6727"/>
    <w:rsid w:val="416E9FBD"/>
    <w:rsid w:val="41709CCD"/>
    <w:rsid w:val="4178489C"/>
    <w:rsid w:val="417900D6"/>
    <w:rsid w:val="4179C164"/>
    <w:rsid w:val="417A2F55"/>
    <w:rsid w:val="417B5502"/>
    <w:rsid w:val="417CC23F"/>
    <w:rsid w:val="41849F86"/>
    <w:rsid w:val="41888B44"/>
    <w:rsid w:val="418E42B7"/>
    <w:rsid w:val="418F3A2C"/>
    <w:rsid w:val="4193B255"/>
    <w:rsid w:val="4195697D"/>
    <w:rsid w:val="4198DDC2"/>
    <w:rsid w:val="419A32D4"/>
    <w:rsid w:val="41AA088B"/>
    <w:rsid w:val="41AB92ED"/>
    <w:rsid w:val="41B4C3AA"/>
    <w:rsid w:val="41B62948"/>
    <w:rsid w:val="41B65F80"/>
    <w:rsid w:val="41B70BC6"/>
    <w:rsid w:val="41B92EA8"/>
    <w:rsid w:val="41B9F53C"/>
    <w:rsid w:val="41BD9CE4"/>
    <w:rsid w:val="41C0F481"/>
    <w:rsid w:val="41C13DB8"/>
    <w:rsid w:val="41C493F3"/>
    <w:rsid w:val="41C73766"/>
    <w:rsid w:val="41C8DFD3"/>
    <w:rsid w:val="41C9D86F"/>
    <w:rsid w:val="41CB2C1D"/>
    <w:rsid w:val="41CF140E"/>
    <w:rsid w:val="41D1ED95"/>
    <w:rsid w:val="41D28E28"/>
    <w:rsid w:val="41D617D1"/>
    <w:rsid w:val="41D6C504"/>
    <w:rsid w:val="41DA4304"/>
    <w:rsid w:val="41E17714"/>
    <w:rsid w:val="41E75B4E"/>
    <w:rsid w:val="41EA44E4"/>
    <w:rsid w:val="41EB39A0"/>
    <w:rsid w:val="41EC5F2F"/>
    <w:rsid w:val="41ECFDF5"/>
    <w:rsid w:val="41EE78F8"/>
    <w:rsid w:val="41F64872"/>
    <w:rsid w:val="41F99E0A"/>
    <w:rsid w:val="41FB4308"/>
    <w:rsid w:val="42029EA5"/>
    <w:rsid w:val="4204ADE5"/>
    <w:rsid w:val="4207CC91"/>
    <w:rsid w:val="42125757"/>
    <w:rsid w:val="421279F4"/>
    <w:rsid w:val="4212BD90"/>
    <w:rsid w:val="42134030"/>
    <w:rsid w:val="4213C3DA"/>
    <w:rsid w:val="42153998"/>
    <w:rsid w:val="4215EDE8"/>
    <w:rsid w:val="42174F86"/>
    <w:rsid w:val="42175E72"/>
    <w:rsid w:val="421ACABC"/>
    <w:rsid w:val="421B4BCA"/>
    <w:rsid w:val="421C078F"/>
    <w:rsid w:val="42249B20"/>
    <w:rsid w:val="4225C2C2"/>
    <w:rsid w:val="42276C65"/>
    <w:rsid w:val="422CC0AB"/>
    <w:rsid w:val="42310722"/>
    <w:rsid w:val="42320CB9"/>
    <w:rsid w:val="423221AE"/>
    <w:rsid w:val="42334E12"/>
    <w:rsid w:val="42368196"/>
    <w:rsid w:val="4238A964"/>
    <w:rsid w:val="423E3484"/>
    <w:rsid w:val="423E9989"/>
    <w:rsid w:val="4240482E"/>
    <w:rsid w:val="42411E83"/>
    <w:rsid w:val="4244850E"/>
    <w:rsid w:val="4246C810"/>
    <w:rsid w:val="425026B3"/>
    <w:rsid w:val="4257E27A"/>
    <w:rsid w:val="42604248"/>
    <w:rsid w:val="4262B214"/>
    <w:rsid w:val="426AD3F4"/>
    <w:rsid w:val="426EF931"/>
    <w:rsid w:val="4274C758"/>
    <w:rsid w:val="42752553"/>
    <w:rsid w:val="4275C76E"/>
    <w:rsid w:val="42777BD2"/>
    <w:rsid w:val="4277B742"/>
    <w:rsid w:val="427D61DC"/>
    <w:rsid w:val="427EE517"/>
    <w:rsid w:val="428202CB"/>
    <w:rsid w:val="4283BC3B"/>
    <w:rsid w:val="428AD862"/>
    <w:rsid w:val="428CE94F"/>
    <w:rsid w:val="4292182C"/>
    <w:rsid w:val="42944FA6"/>
    <w:rsid w:val="42959DA9"/>
    <w:rsid w:val="4299A42F"/>
    <w:rsid w:val="42A7258F"/>
    <w:rsid w:val="42A73786"/>
    <w:rsid w:val="42ADD7E5"/>
    <w:rsid w:val="42ADD91E"/>
    <w:rsid w:val="42AEA9F7"/>
    <w:rsid w:val="42AFAB82"/>
    <w:rsid w:val="42B86B4A"/>
    <w:rsid w:val="42B90F7C"/>
    <w:rsid w:val="42BC3245"/>
    <w:rsid w:val="42BCAAB3"/>
    <w:rsid w:val="42C4C00F"/>
    <w:rsid w:val="42C611C8"/>
    <w:rsid w:val="42C8C6BD"/>
    <w:rsid w:val="42CDC48A"/>
    <w:rsid w:val="42CF17FE"/>
    <w:rsid w:val="42D38DD7"/>
    <w:rsid w:val="42D52DE3"/>
    <w:rsid w:val="42D80836"/>
    <w:rsid w:val="42DB98F5"/>
    <w:rsid w:val="42E2D83F"/>
    <w:rsid w:val="42E500B8"/>
    <w:rsid w:val="42E9E8FE"/>
    <w:rsid w:val="42EA20BB"/>
    <w:rsid w:val="42EE9878"/>
    <w:rsid w:val="42EF4FCD"/>
    <w:rsid w:val="42EFD711"/>
    <w:rsid w:val="42F21B82"/>
    <w:rsid w:val="42F31F0D"/>
    <w:rsid w:val="42F3C7FA"/>
    <w:rsid w:val="42F4162C"/>
    <w:rsid w:val="42F4466A"/>
    <w:rsid w:val="42F63C4F"/>
    <w:rsid w:val="42F6E630"/>
    <w:rsid w:val="42F88865"/>
    <w:rsid w:val="42FC0A75"/>
    <w:rsid w:val="42FD5485"/>
    <w:rsid w:val="430162F2"/>
    <w:rsid w:val="4307F4A9"/>
    <w:rsid w:val="430E65C1"/>
    <w:rsid w:val="43107411"/>
    <w:rsid w:val="431771D6"/>
    <w:rsid w:val="431A1491"/>
    <w:rsid w:val="431A52A9"/>
    <w:rsid w:val="431BC591"/>
    <w:rsid w:val="431BE1D4"/>
    <w:rsid w:val="431F3A06"/>
    <w:rsid w:val="43210A4C"/>
    <w:rsid w:val="432ECBF1"/>
    <w:rsid w:val="4332A50F"/>
    <w:rsid w:val="433450EF"/>
    <w:rsid w:val="43349394"/>
    <w:rsid w:val="4336692A"/>
    <w:rsid w:val="4338E78D"/>
    <w:rsid w:val="433D8F6F"/>
    <w:rsid w:val="433FFFD4"/>
    <w:rsid w:val="4341EF95"/>
    <w:rsid w:val="434D84E4"/>
    <w:rsid w:val="434F1237"/>
    <w:rsid w:val="434F2E5E"/>
    <w:rsid w:val="434FE574"/>
    <w:rsid w:val="4356C5C3"/>
    <w:rsid w:val="43576A67"/>
    <w:rsid w:val="435CA6E6"/>
    <w:rsid w:val="435F1970"/>
    <w:rsid w:val="43633084"/>
    <w:rsid w:val="436333AB"/>
    <w:rsid w:val="436DCA72"/>
    <w:rsid w:val="436F37C3"/>
    <w:rsid w:val="4374EBC4"/>
    <w:rsid w:val="4375DF79"/>
    <w:rsid w:val="43769AA9"/>
    <w:rsid w:val="43795578"/>
    <w:rsid w:val="437B7EFF"/>
    <w:rsid w:val="43874A02"/>
    <w:rsid w:val="438A425B"/>
    <w:rsid w:val="438A685B"/>
    <w:rsid w:val="438C7306"/>
    <w:rsid w:val="438F7C44"/>
    <w:rsid w:val="438FCACA"/>
    <w:rsid w:val="43923FF5"/>
    <w:rsid w:val="439342EE"/>
    <w:rsid w:val="4393C28C"/>
    <w:rsid w:val="43955DE1"/>
    <w:rsid w:val="43977CD1"/>
    <w:rsid w:val="4397BD0E"/>
    <w:rsid w:val="439CA603"/>
    <w:rsid w:val="43A5DB67"/>
    <w:rsid w:val="43A7B33E"/>
    <w:rsid w:val="43AC2041"/>
    <w:rsid w:val="43AF52ED"/>
    <w:rsid w:val="43B1089A"/>
    <w:rsid w:val="43B21419"/>
    <w:rsid w:val="43B51266"/>
    <w:rsid w:val="43BE2914"/>
    <w:rsid w:val="43BF2919"/>
    <w:rsid w:val="43C38DDE"/>
    <w:rsid w:val="43C4F8CC"/>
    <w:rsid w:val="43CACB42"/>
    <w:rsid w:val="43CB6CF4"/>
    <w:rsid w:val="43CEB732"/>
    <w:rsid w:val="43D21FD4"/>
    <w:rsid w:val="43D2C1B8"/>
    <w:rsid w:val="43D48E15"/>
    <w:rsid w:val="43D7CABC"/>
    <w:rsid w:val="43D8FEEE"/>
    <w:rsid w:val="43DBC887"/>
    <w:rsid w:val="43DE845D"/>
    <w:rsid w:val="43E49371"/>
    <w:rsid w:val="43E5A5B2"/>
    <w:rsid w:val="43E8CA68"/>
    <w:rsid w:val="43ED4FA6"/>
    <w:rsid w:val="43EE8693"/>
    <w:rsid w:val="43F17B7B"/>
    <w:rsid w:val="43F40766"/>
    <w:rsid w:val="43F65C36"/>
    <w:rsid w:val="43F9A411"/>
    <w:rsid w:val="43FA5D95"/>
    <w:rsid w:val="440B5821"/>
    <w:rsid w:val="4411DFE9"/>
    <w:rsid w:val="441628B3"/>
    <w:rsid w:val="441629E2"/>
    <w:rsid w:val="44191699"/>
    <w:rsid w:val="441CF100"/>
    <w:rsid w:val="442017AF"/>
    <w:rsid w:val="442380E9"/>
    <w:rsid w:val="44252192"/>
    <w:rsid w:val="442C5BC2"/>
    <w:rsid w:val="4432A067"/>
    <w:rsid w:val="4432BB27"/>
    <w:rsid w:val="4432C766"/>
    <w:rsid w:val="443E3CF9"/>
    <w:rsid w:val="4441E531"/>
    <w:rsid w:val="444B98ED"/>
    <w:rsid w:val="444EAD40"/>
    <w:rsid w:val="445089AD"/>
    <w:rsid w:val="44552354"/>
    <w:rsid w:val="4457519B"/>
    <w:rsid w:val="4458722D"/>
    <w:rsid w:val="44593342"/>
    <w:rsid w:val="4459B722"/>
    <w:rsid w:val="445E28FB"/>
    <w:rsid w:val="4466C446"/>
    <w:rsid w:val="4466C78C"/>
    <w:rsid w:val="447587E9"/>
    <w:rsid w:val="4476D9A0"/>
    <w:rsid w:val="447A35B4"/>
    <w:rsid w:val="447BCD4E"/>
    <w:rsid w:val="447F2522"/>
    <w:rsid w:val="44843D98"/>
    <w:rsid w:val="4488597C"/>
    <w:rsid w:val="44898FE9"/>
    <w:rsid w:val="448B7541"/>
    <w:rsid w:val="448CD5CD"/>
    <w:rsid w:val="448EB614"/>
    <w:rsid w:val="4490D0E8"/>
    <w:rsid w:val="4490EA8B"/>
    <w:rsid w:val="44928EDF"/>
    <w:rsid w:val="4493398B"/>
    <w:rsid w:val="44936E3A"/>
    <w:rsid w:val="4497CFAC"/>
    <w:rsid w:val="449F5CB1"/>
    <w:rsid w:val="44A06B18"/>
    <w:rsid w:val="44A25BE9"/>
    <w:rsid w:val="44A271F7"/>
    <w:rsid w:val="44A3772D"/>
    <w:rsid w:val="44A3B73D"/>
    <w:rsid w:val="44A7B5AE"/>
    <w:rsid w:val="44A94DE1"/>
    <w:rsid w:val="44AA82BA"/>
    <w:rsid w:val="44AEF0EE"/>
    <w:rsid w:val="44B2CB6E"/>
    <w:rsid w:val="44B4BA8E"/>
    <w:rsid w:val="44BAAF26"/>
    <w:rsid w:val="44BB78F3"/>
    <w:rsid w:val="44BD3589"/>
    <w:rsid w:val="44BE3515"/>
    <w:rsid w:val="44C16857"/>
    <w:rsid w:val="44C2C752"/>
    <w:rsid w:val="44CF9360"/>
    <w:rsid w:val="44D3E769"/>
    <w:rsid w:val="44D92D29"/>
    <w:rsid w:val="44DAED2D"/>
    <w:rsid w:val="44DB78CD"/>
    <w:rsid w:val="44DCDE5E"/>
    <w:rsid w:val="44DDB975"/>
    <w:rsid w:val="44DEA18E"/>
    <w:rsid w:val="44E06437"/>
    <w:rsid w:val="44E2D253"/>
    <w:rsid w:val="44EB6399"/>
    <w:rsid w:val="44EB74EB"/>
    <w:rsid w:val="44EFB2AD"/>
    <w:rsid w:val="44F2EFF2"/>
    <w:rsid w:val="44F41D97"/>
    <w:rsid w:val="44F56F7F"/>
    <w:rsid w:val="44F6D12B"/>
    <w:rsid w:val="44F6F8FF"/>
    <w:rsid w:val="44FAE364"/>
    <w:rsid w:val="44FD86AD"/>
    <w:rsid w:val="44FF4E90"/>
    <w:rsid w:val="4501FCC1"/>
    <w:rsid w:val="450396BE"/>
    <w:rsid w:val="450B3E02"/>
    <w:rsid w:val="450D2E34"/>
    <w:rsid w:val="450F1FF0"/>
    <w:rsid w:val="450F5F34"/>
    <w:rsid w:val="451156F0"/>
    <w:rsid w:val="45195713"/>
    <w:rsid w:val="451DDA98"/>
    <w:rsid w:val="451F55BA"/>
    <w:rsid w:val="4520BC01"/>
    <w:rsid w:val="45251E4F"/>
    <w:rsid w:val="4526AD5B"/>
    <w:rsid w:val="452A777A"/>
    <w:rsid w:val="452D91C1"/>
    <w:rsid w:val="452EEB39"/>
    <w:rsid w:val="4530342B"/>
    <w:rsid w:val="4534E5AD"/>
    <w:rsid w:val="4536E3A7"/>
    <w:rsid w:val="4537AA13"/>
    <w:rsid w:val="453CE4D3"/>
    <w:rsid w:val="453E8CFD"/>
    <w:rsid w:val="4540483C"/>
    <w:rsid w:val="4544C6ED"/>
    <w:rsid w:val="45494DB6"/>
    <w:rsid w:val="454EB3ED"/>
    <w:rsid w:val="454F7F19"/>
    <w:rsid w:val="4554878C"/>
    <w:rsid w:val="4556A130"/>
    <w:rsid w:val="4558FC2C"/>
    <w:rsid w:val="455CE55D"/>
    <w:rsid w:val="455E4834"/>
    <w:rsid w:val="455E9B35"/>
    <w:rsid w:val="455F59E5"/>
    <w:rsid w:val="45607F90"/>
    <w:rsid w:val="4562DFDF"/>
    <w:rsid w:val="4564F7C4"/>
    <w:rsid w:val="4567A1D9"/>
    <w:rsid w:val="456BF84E"/>
    <w:rsid w:val="456DC0F4"/>
    <w:rsid w:val="45709522"/>
    <w:rsid w:val="457254C4"/>
    <w:rsid w:val="4575EA6B"/>
    <w:rsid w:val="45768C70"/>
    <w:rsid w:val="4576A575"/>
    <w:rsid w:val="4577E923"/>
    <w:rsid w:val="45781787"/>
    <w:rsid w:val="45783BE3"/>
    <w:rsid w:val="45795CCC"/>
    <w:rsid w:val="457E41E1"/>
    <w:rsid w:val="45819C22"/>
    <w:rsid w:val="45822478"/>
    <w:rsid w:val="45831EAB"/>
    <w:rsid w:val="4584282C"/>
    <w:rsid w:val="4584EC3D"/>
    <w:rsid w:val="458891E1"/>
    <w:rsid w:val="458F7CE9"/>
    <w:rsid w:val="45911BFC"/>
    <w:rsid w:val="45938CBD"/>
    <w:rsid w:val="459556DD"/>
    <w:rsid w:val="45969B9E"/>
    <w:rsid w:val="459775E1"/>
    <w:rsid w:val="459804FC"/>
    <w:rsid w:val="459831A0"/>
    <w:rsid w:val="45A19016"/>
    <w:rsid w:val="45AC5C6D"/>
    <w:rsid w:val="45AE4182"/>
    <w:rsid w:val="45B62021"/>
    <w:rsid w:val="45B9286D"/>
    <w:rsid w:val="45BFEB53"/>
    <w:rsid w:val="45C5FFFD"/>
    <w:rsid w:val="45D3A998"/>
    <w:rsid w:val="45D54873"/>
    <w:rsid w:val="45D87B80"/>
    <w:rsid w:val="45D9A7F7"/>
    <w:rsid w:val="45DE2730"/>
    <w:rsid w:val="45DF25A0"/>
    <w:rsid w:val="45E2D0D8"/>
    <w:rsid w:val="45E3E499"/>
    <w:rsid w:val="45E993F0"/>
    <w:rsid w:val="45ECA9D2"/>
    <w:rsid w:val="45F5EEE5"/>
    <w:rsid w:val="45F74E3D"/>
    <w:rsid w:val="45F8D3C3"/>
    <w:rsid w:val="45F99233"/>
    <w:rsid w:val="45FBFDFC"/>
    <w:rsid w:val="45FFA38A"/>
    <w:rsid w:val="4601F083"/>
    <w:rsid w:val="4602A0A9"/>
    <w:rsid w:val="46052F6C"/>
    <w:rsid w:val="460682EF"/>
    <w:rsid w:val="46088FED"/>
    <w:rsid w:val="460A1338"/>
    <w:rsid w:val="460EE8E9"/>
    <w:rsid w:val="46144302"/>
    <w:rsid w:val="461596D8"/>
    <w:rsid w:val="4619528E"/>
    <w:rsid w:val="461A5CBF"/>
    <w:rsid w:val="46247379"/>
    <w:rsid w:val="4625871F"/>
    <w:rsid w:val="46294E65"/>
    <w:rsid w:val="46295E0F"/>
    <w:rsid w:val="462C7717"/>
    <w:rsid w:val="4631AA53"/>
    <w:rsid w:val="46339412"/>
    <w:rsid w:val="46397BEE"/>
    <w:rsid w:val="464165C7"/>
    <w:rsid w:val="464572D9"/>
    <w:rsid w:val="464A2270"/>
    <w:rsid w:val="464EEED1"/>
    <w:rsid w:val="464F80EC"/>
    <w:rsid w:val="464FDA39"/>
    <w:rsid w:val="46533A0B"/>
    <w:rsid w:val="4655A1EC"/>
    <w:rsid w:val="46589DEA"/>
    <w:rsid w:val="4658D744"/>
    <w:rsid w:val="46599D96"/>
    <w:rsid w:val="4659D5E2"/>
    <w:rsid w:val="465B6C5E"/>
    <w:rsid w:val="466321FE"/>
    <w:rsid w:val="4664D982"/>
    <w:rsid w:val="46672AEB"/>
    <w:rsid w:val="466A7AA5"/>
    <w:rsid w:val="466BD75F"/>
    <w:rsid w:val="466CDD12"/>
    <w:rsid w:val="466EA0BB"/>
    <w:rsid w:val="46705A5F"/>
    <w:rsid w:val="467CB972"/>
    <w:rsid w:val="467E950B"/>
    <w:rsid w:val="46823AC5"/>
    <w:rsid w:val="468717EF"/>
    <w:rsid w:val="468CB5B4"/>
    <w:rsid w:val="468EC912"/>
    <w:rsid w:val="468FBE0B"/>
    <w:rsid w:val="4699D0A4"/>
    <w:rsid w:val="469A87A4"/>
    <w:rsid w:val="46A4FB40"/>
    <w:rsid w:val="46A93C0B"/>
    <w:rsid w:val="46A94845"/>
    <w:rsid w:val="46A9C5E7"/>
    <w:rsid w:val="46AAE934"/>
    <w:rsid w:val="46AE8180"/>
    <w:rsid w:val="46B04518"/>
    <w:rsid w:val="46B6A231"/>
    <w:rsid w:val="46C4A9C8"/>
    <w:rsid w:val="46C56FB0"/>
    <w:rsid w:val="46CDEA45"/>
    <w:rsid w:val="46D672D2"/>
    <w:rsid w:val="46DEF30C"/>
    <w:rsid w:val="46E2D078"/>
    <w:rsid w:val="46E618F4"/>
    <w:rsid w:val="46E8265F"/>
    <w:rsid w:val="46E8AFAE"/>
    <w:rsid w:val="46EED9A2"/>
    <w:rsid w:val="46F3E49C"/>
    <w:rsid w:val="46F6F72A"/>
    <w:rsid w:val="46FB2378"/>
    <w:rsid w:val="47064670"/>
    <w:rsid w:val="4706EE7C"/>
    <w:rsid w:val="470DFAC6"/>
    <w:rsid w:val="470E16CA"/>
    <w:rsid w:val="470F1A73"/>
    <w:rsid w:val="471042FD"/>
    <w:rsid w:val="47121906"/>
    <w:rsid w:val="471A7BA0"/>
    <w:rsid w:val="471DB328"/>
    <w:rsid w:val="4721843B"/>
    <w:rsid w:val="47218FEE"/>
    <w:rsid w:val="47247AE8"/>
    <w:rsid w:val="472ACC25"/>
    <w:rsid w:val="472BA807"/>
    <w:rsid w:val="472C6FC7"/>
    <w:rsid w:val="4736CB42"/>
    <w:rsid w:val="473C6CC3"/>
    <w:rsid w:val="474717FE"/>
    <w:rsid w:val="47488335"/>
    <w:rsid w:val="4750084F"/>
    <w:rsid w:val="475375C7"/>
    <w:rsid w:val="4755A856"/>
    <w:rsid w:val="4761F524"/>
    <w:rsid w:val="47640B2F"/>
    <w:rsid w:val="47663569"/>
    <w:rsid w:val="47687AA9"/>
    <w:rsid w:val="476C1397"/>
    <w:rsid w:val="4772B4FB"/>
    <w:rsid w:val="4779258E"/>
    <w:rsid w:val="477A4B5C"/>
    <w:rsid w:val="477AA4F0"/>
    <w:rsid w:val="477AAC6D"/>
    <w:rsid w:val="477CABBF"/>
    <w:rsid w:val="477CC21B"/>
    <w:rsid w:val="47801BD1"/>
    <w:rsid w:val="4783BAEE"/>
    <w:rsid w:val="47844721"/>
    <w:rsid w:val="4786AB2A"/>
    <w:rsid w:val="4786CE41"/>
    <w:rsid w:val="478AC8F5"/>
    <w:rsid w:val="4792482D"/>
    <w:rsid w:val="479707C0"/>
    <w:rsid w:val="479B249C"/>
    <w:rsid w:val="479D16EA"/>
    <w:rsid w:val="479FAEC2"/>
    <w:rsid w:val="47A714BF"/>
    <w:rsid w:val="47A729DF"/>
    <w:rsid w:val="47A82898"/>
    <w:rsid w:val="47A83354"/>
    <w:rsid w:val="47AA3777"/>
    <w:rsid w:val="47ACD797"/>
    <w:rsid w:val="47AD867F"/>
    <w:rsid w:val="47B406DA"/>
    <w:rsid w:val="47B50EB1"/>
    <w:rsid w:val="47B8AC45"/>
    <w:rsid w:val="47B8F9C1"/>
    <w:rsid w:val="47B99D66"/>
    <w:rsid w:val="47BAD91D"/>
    <w:rsid w:val="47BD4F32"/>
    <w:rsid w:val="47C2D356"/>
    <w:rsid w:val="47C57331"/>
    <w:rsid w:val="47C96DE7"/>
    <w:rsid w:val="47CA465B"/>
    <w:rsid w:val="47CAFB88"/>
    <w:rsid w:val="47CB16C2"/>
    <w:rsid w:val="47CB2BAF"/>
    <w:rsid w:val="47CC17B0"/>
    <w:rsid w:val="47CC51B2"/>
    <w:rsid w:val="47D045FB"/>
    <w:rsid w:val="47D15F2E"/>
    <w:rsid w:val="47D23101"/>
    <w:rsid w:val="47D76F3C"/>
    <w:rsid w:val="47D80652"/>
    <w:rsid w:val="47DD16A5"/>
    <w:rsid w:val="47DD6146"/>
    <w:rsid w:val="47DDB552"/>
    <w:rsid w:val="47E05259"/>
    <w:rsid w:val="47E4313F"/>
    <w:rsid w:val="47E486B2"/>
    <w:rsid w:val="47E5D3BA"/>
    <w:rsid w:val="47E5D4E9"/>
    <w:rsid w:val="47E844A4"/>
    <w:rsid w:val="47EF6339"/>
    <w:rsid w:val="47F776D2"/>
    <w:rsid w:val="47F8B262"/>
    <w:rsid w:val="47FBA938"/>
    <w:rsid w:val="47FC9391"/>
    <w:rsid w:val="47FEEBD6"/>
    <w:rsid w:val="48027C7F"/>
    <w:rsid w:val="48044C64"/>
    <w:rsid w:val="4806E67C"/>
    <w:rsid w:val="480C7837"/>
    <w:rsid w:val="480D300A"/>
    <w:rsid w:val="480D9B41"/>
    <w:rsid w:val="480EB87D"/>
    <w:rsid w:val="480FE472"/>
    <w:rsid w:val="48100034"/>
    <w:rsid w:val="4812EBA1"/>
    <w:rsid w:val="48132CAE"/>
    <w:rsid w:val="481567D0"/>
    <w:rsid w:val="481AD388"/>
    <w:rsid w:val="481E6074"/>
    <w:rsid w:val="481FD636"/>
    <w:rsid w:val="48226A61"/>
    <w:rsid w:val="482849F4"/>
    <w:rsid w:val="48286453"/>
    <w:rsid w:val="482A7DCC"/>
    <w:rsid w:val="482DD155"/>
    <w:rsid w:val="482ED0CC"/>
    <w:rsid w:val="4832B7F4"/>
    <w:rsid w:val="483692ED"/>
    <w:rsid w:val="4836979E"/>
    <w:rsid w:val="483B3475"/>
    <w:rsid w:val="483D0309"/>
    <w:rsid w:val="48458725"/>
    <w:rsid w:val="48493597"/>
    <w:rsid w:val="484AF3F2"/>
    <w:rsid w:val="484EC2E4"/>
    <w:rsid w:val="484F0172"/>
    <w:rsid w:val="48520224"/>
    <w:rsid w:val="48580AE0"/>
    <w:rsid w:val="485AFFBD"/>
    <w:rsid w:val="485B4B07"/>
    <w:rsid w:val="4860E2C7"/>
    <w:rsid w:val="4865B7A7"/>
    <w:rsid w:val="48662264"/>
    <w:rsid w:val="486D3232"/>
    <w:rsid w:val="487965F3"/>
    <w:rsid w:val="487A80C6"/>
    <w:rsid w:val="487D4C40"/>
    <w:rsid w:val="48800E1D"/>
    <w:rsid w:val="4884A638"/>
    <w:rsid w:val="488E57D3"/>
    <w:rsid w:val="488EE0DE"/>
    <w:rsid w:val="4890A780"/>
    <w:rsid w:val="4893EEF8"/>
    <w:rsid w:val="489CBD3D"/>
    <w:rsid w:val="48A4DB1C"/>
    <w:rsid w:val="48B36606"/>
    <w:rsid w:val="48B475B9"/>
    <w:rsid w:val="48B72C7C"/>
    <w:rsid w:val="48B74155"/>
    <w:rsid w:val="48C0C562"/>
    <w:rsid w:val="48C4FF58"/>
    <w:rsid w:val="48CBFA47"/>
    <w:rsid w:val="48D53359"/>
    <w:rsid w:val="48D8AC91"/>
    <w:rsid w:val="48DB087E"/>
    <w:rsid w:val="48DE7440"/>
    <w:rsid w:val="48DF1B6D"/>
    <w:rsid w:val="48E37683"/>
    <w:rsid w:val="48E6459A"/>
    <w:rsid w:val="48E9D527"/>
    <w:rsid w:val="48EB6120"/>
    <w:rsid w:val="48F5D711"/>
    <w:rsid w:val="48F6F992"/>
    <w:rsid w:val="48F8B57C"/>
    <w:rsid w:val="48FC4979"/>
    <w:rsid w:val="48FE6B3E"/>
    <w:rsid w:val="490126C4"/>
    <w:rsid w:val="4902C6A8"/>
    <w:rsid w:val="490597A3"/>
    <w:rsid w:val="4906E0D0"/>
    <w:rsid w:val="4909DE5A"/>
    <w:rsid w:val="490A4B84"/>
    <w:rsid w:val="490FB744"/>
    <w:rsid w:val="49120F26"/>
    <w:rsid w:val="491990EA"/>
    <w:rsid w:val="491C326E"/>
    <w:rsid w:val="4924F8E6"/>
    <w:rsid w:val="492603EA"/>
    <w:rsid w:val="4928E2C0"/>
    <w:rsid w:val="492E343A"/>
    <w:rsid w:val="4933ED4B"/>
    <w:rsid w:val="493BF7F7"/>
    <w:rsid w:val="494221F2"/>
    <w:rsid w:val="4942A419"/>
    <w:rsid w:val="494301A6"/>
    <w:rsid w:val="4943756B"/>
    <w:rsid w:val="49471A2B"/>
    <w:rsid w:val="494B56AF"/>
    <w:rsid w:val="494DEBDB"/>
    <w:rsid w:val="494F0ED6"/>
    <w:rsid w:val="4950EAEE"/>
    <w:rsid w:val="4956BFD6"/>
    <w:rsid w:val="495A159B"/>
    <w:rsid w:val="495E767E"/>
    <w:rsid w:val="4965950E"/>
    <w:rsid w:val="4966D2EB"/>
    <w:rsid w:val="4970C49B"/>
    <w:rsid w:val="49767926"/>
    <w:rsid w:val="49783C0D"/>
    <w:rsid w:val="497EA567"/>
    <w:rsid w:val="497F6C61"/>
    <w:rsid w:val="4984856A"/>
    <w:rsid w:val="4985868A"/>
    <w:rsid w:val="4985AA89"/>
    <w:rsid w:val="4988E4AC"/>
    <w:rsid w:val="498B29C0"/>
    <w:rsid w:val="4991E306"/>
    <w:rsid w:val="4993FB6B"/>
    <w:rsid w:val="499C86CB"/>
    <w:rsid w:val="499D903D"/>
    <w:rsid w:val="49A30970"/>
    <w:rsid w:val="49A65930"/>
    <w:rsid w:val="49AACC66"/>
    <w:rsid w:val="49AC65F7"/>
    <w:rsid w:val="49ACC9F4"/>
    <w:rsid w:val="49AE2CE8"/>
    <w:rsid w:val="49B26229"/>
    <w:rsid w:val="49B2D907"/>
    <w:rsid w:val="49B4FA19"/>
    <w:rsid w:val="49B53A1E"/>
    <w:rsid w:val="49B749A8"/>
    <w:rsid w:val="49BA21A1"/>
    <w:rsid w:val="49BA68FD"/>
    <w:rsid w:val="49BF546E"/>
    <w:rsid w:val="49BFD550"/>
    <w:rsid w:val="49C3D1D7"/>
    <w:rsid w:val="49C720C1"/>
    <w:rsid w:val="49C8DE65"/>
    <w:rsid w:val="49CC97C7"/>
    <w:rsid w:val="49CEE95A"/>
    <w:rsid w:val="49CF0605"/>
    <w:rsid w:val="49CF910B"/>
    <w:rsid w:val="49D124BC"/>
    <w:rsid w:val="49D2E63E"/>
    <w:rsid w:val="49D3F106"/>
    <w:rsid w:val="49D58C26"/>
    <w:rsid w:val="49D7BBD1"/>
    <w:rsid w:val="49D8F5AE"/>
    <w:rsid w:val="49D9716C"/>
    <w:rsid w:val="49DB0744"/>
    <w:rsid w:val="49E3E88A"/>
    <w:rsid w:val="49ECFF3A"/>
    <w:rsid w:val="49EE912B"/>
    <w:rsid w:val="49EFF217"/>
    <w:rsid w:val="49F4B6FD"/>
    <w:rsid w:val="49F5B066"/>
    <w:rsid w:val="49F5F0BB"/>
    <w:rsid w:val="49F669CF"/>
    <w:rsid w:val="49F6AEDD"/>
    <w:rsid w:val="49FC02DA"/>
    <w:rsid w:val="4A01F5E3"/>
    <w:rsid w:val="4A04D2F1"/>
    <w:rsid w:val="4A053F68"/>
    <w:rsid w:val="4A06AC3B"/>
    <w:rsid w:val="4A0A7144"/>
    <w:rsid w:val="4A1459E3"/>
    <w:rsid w:val="4A147688"/>
    <w:rsid w:val="4A172AD0"/>
    <w:rsid w:val="4A20AF2A"/>
    <w:rsid w:val="4A22165E"/>
    <w:rsid w:val="4A24CC2C"/>
    <w:rsid w:val="4A28AD51"/>
    <w:rsid w:val="4A2CF793"/>
    <w:rsid w:val="4A2DF644"/>
    <w:rsid w:val="4A2EF019"/>
    <w:rsid w:val="4A2F35CC"/>
    <w:rsid w:val="4A315C17"/>
    <w:rsid w:val="4A349783"/>
    <w:rsid w:val="4A3C5282"/>
    <w:rsid w:val="4A3D65E3"/>
    <w:rsid w:val="4A4174E8"/>
    <w:rsid w:val="4A438544"/>
    <w:rsid w:val="4A473EEA"/>
    <w:rsid w:val="4A48E090"/>
    <w:rsid w:val="4A49D4B4"/>
    <w:rsid w:val="4A4BF970"/>
    <w:rsid w:val="4A4E9987"/>
    <w:rsid w:val="4A5018A1"/>
    <w:rsid w:val="4A50B315"/>
    <w:rsid w:val="4A50EAC2"/>
    <w:rsid w:val="4A53576E"/>
    <w:rsid w:val="4A55C506"/>
    <w:rsid w:val="4A5A683A"/>
    <w:rsid w:val="4A64ADE2"/>
    <w:rsid w:val="4A65BF27"/>
    <w:rsid w:val="4A6BC1BB"/>
    <w:rsid w:val="4A6FFBEA"/>
    <w:rsid w:val="4A713930"/>
    <w:rsid w:val="4A739D70"/>
    <w:rsid w:val="4A764BE8"/>
    <w:rsid w:val="4A77202D"/>
    <w:rsid w:val="4A7AA646"/>
    <w:rsid w:val="4A7D01A1"/>
    <w:rsid w:val="4A7DCAFD"/>
    <w:rsid w:val="4A7E4309"/>
    <w:rsid w:val="4A7ECA02"/>
    <w:rsid w:val="4A82EAEC"/>
    <w:rsid w:val="4A856D4C"/>
    <w:rsid w:val="4A87601C"/>
    <w:rsid w:val="4A8DE848"/>
    <w:rsid w:val="4A8E511E"/>
    <w:rsid w:val="4A921EBD"/>
    <w:rsid w:val="4A9273C5"/>
    <w:rsid w:val="4A97C132"/>
    <w:rsid w:val="4A9DB473"/>
    <w:rsid w:val="4AA1C7DD"/>
    <w:rsid w:val="4AA7A56D"/>
    <w:rsid w:val="4AA8AF0A"/>
    <w:rsid w:val="4AAB7DD8"/>
    <w:rsid w:val="4AADF649"/>
    <w:rsid w:val="4AB0B0C7"/>
    <w:rsid w:val="4AB2BE39"/>
    <w:rsid w:val="4AB357AF"/>
    <w:rsid w:val="4AB3C47D"/>
    <w:rsid w:val="4AB3CB3A"/>
    <w:rsid w:val="4AB5A600"/>
    <w:rsid w:val="4AB813AF"/>
    <w:rsid w:val="4ABDD1B5"/>
    <w:rsid w:val="4ABF384D"/>
    <w:rsid w:val="4AC3B75D"/>
    <w:rsid w:val="4AC47A6E"/>
    <w:rsid w:val="4AD5B2AA"/>
    <w:rsid w:val="4AD7A717"/>
    <w:rsid w:val="4ADB4D14"/>
    <w:rsid w:val="4AE40D6E"/>
    <w:rsid w:val="4AE58A73"/>
    <w:rsid w:val="4AEC0881"/>
    <w:rsid w:val="4AEE7086"/>
    <w:rsid w:val="4AF0237D"/>
    <w:rsid w:val="4AF18865"/>
    <w:rsid w:val="4AF30F46"/>
    <w:rsid w:val="4AF376B7"/>
    <w:rsid w:val="4AF5507A"/>
    <w:rsid w:val="4AFFDD32"/>
    <w:rsid w:val="4B004CE2"/>
    <w:rsid w:val="4B025B18"/>
    <w:rsid w:val="4B04349C"/>
    <w:rsid w:val="4B047275"/>
    <w:rsid w:val="4B0731EF"/>
    <w:rsid w:val="4B09BDFC"/>
    <w:rsid w:val="4B124866"/>
    <w:rsid w:val="4B12AC94"/>
    <w:rsid w:val="4B16B67A"/>
    <w:rsid w:val="4B205B38"/>
    <w:rsid w:val="4B20E085"/>
    <w:rsid w:val="4B20F885"/>
    <w:rsid w:val="4B27FB6C"/>
    <w:rsid w:val="4B282F1B"/>
    <w:rsid w:val="4B2D3134"/>
    <w:rsid w:val="4B332A97"/>
    <w:rsid w:val="4B36729C"/>
    <w:rsid w:val="4B39EA5A"/>
    <w:rsid w:val="4B3AF9DC"/>
    <w:rsid w:val="4B400954"/>
    <w:rsid w:val="4B40A4CF"/>
    <w:rsid w:val="4B485BAC"/>
    <w:rsid w:val="4B4AC55B"/>
    <w:rsid w:val="4B4B0828"/>
    <w:rsid w:val="4B506FAC"/>
    <w:rsid w:val="4B53A591"/>
    <w:rsid w:val="4B54A777"/>
    <w:rsid w:val="4B589920"/>
    <w:rsid w:val="4B5B9C1E"/>
    <w:rsid w:val="4B5DA647"/>
    <w:rsid w:val="4B613AAB"/>
    <w:rsid w:val="4B63E5B4"/>
    <w:rsid w:val="4B643544"/>
    <w:rsid w:val="4B644B14"/>
    <w:rsid w:val="4B673E5F"/>
    <w:rsid w:val="4B6AF63D"/>
    <w:rsid w:val="4B6F7051"/>
    <w:rsid w:val="4B72B7A6"/>
    <w:rsid w:val="4B74D786"/>
    <w:rsid w:val="4B79E145"/>
    <w:rsid w:val="4B7E34C2"/>
    <w:rsid w:val="4B8421CC"/>
    <w:rsid w:val="4B84D898"/>
    <w:rsid w:val="4B85AB9E"/>
    <w:rsid w:val="4B887E00"/>
    <w:rsid w:val="4B8B6C4B"/>
    <w:rsid w:val="4B8DC097"/>
    <w:rsid w:val="4B941B0B"/>
    <w:rsid w:val="4B9505F2"/>
    <w:rsid w:val="4B95651A"/>
    <w:rsid w:val="4B9D96CF"/>
    <w:rsid w:val="4B9F4EA6"/>
    <w:rsid w:val="4BA0225A"/>
    <w:rsid w:val="4BA346A0"/>
    <w:rsid w:val="4BA99A6B"/>
    <w:rsid w:val="4BA9C9A5"/>
    <w:rsid w:val="4BAF64C5"/>
    <w:rsid w:val="4BAFBFD6"/>
    <w:rsid w:val="4BB07F9F"/>
    <w:rsid w:val="4BB0F70E"/>
    <w:rsid w:val="4BBBC147"/>
    <w:rsid w:val="4BBC0064"/>
    <w:rsid w:val="4BBC4C3D"/>
    <w:rsid w:val="4BBC8D9A"/>
    <w:rsid w:val="4BBE392E"/>
    <w:rsid w:val="4BBF9770"/>
    <w:rsid w:val="4BC095B8"/>
    <w:rsid w:val="4BC0D788"/>
    <w:rsid w:val="4BC548EE"/>
    <w:rsid w:val="4BC77A5B"/>
    <w:rsid w:val="4BD73B6F"/>
    <w:rsid w:val="4BD8F0CB"/>
    <w:rsid w:val="4BE0608C"/>
    <w:rsid w:val="4BE0FF59"/>
    <w:rsid w:val="4BE4E3CD"/>
    <w:rsid w:val="4BE63BDD"/>
    <w:rsid w:val="4BE646C2"/>
    <w:rsid w:val="4BE67904"/>
    <w:rsid w:val="4BE77DF5"/>
    <w:rsid w:val="4BEF705F"/>
    <w:rsid w:val="4BF57868"/>
    <w:rsid w:val="4BF9C493"/>
    <w:rsid w:val="4BF9FCF0"/>
    <w:rsid w:val="4BFF471F"/>
    <w:rsid w:val="4C0215A0"/>
    <w:rsid w:val="4C02E96E"/>
    <w:rsid w:val="4C0746E3"/>
    <w:rsid w:val="4C0D6EBE"/>
    <w:rsid w:val="4C111BDA"/>
    <w:rsid w:val="4C11A2BB"/>
    <w:rsid w:val="4C14CA88"/>
    <w:rsid w:val="4C1BAC1A"/>
    <w:rsid w:val="4C1C73C2"/>
    <w:rsid w:val="4C20F3CB"/>
    <w:rsid w:val="4C20FCE0"/>
    <w:rsid w:val="4C234935"/>
    <w:rsid w:val="4C26FA2A"/>
    <w:rsid w:val="4C27A413"/>
    <w:rsid w:val="4C299179"/>
    <w:rsid w:val="4C2CD4C8"/>
    <w:rsid w:val="4C303A32"/>
    <w:rsid w:val="4C30B57C"/>
    <w:rsid w:val="4C36078B"/>
    <w:rsid w:val="4C422DD5"/>
    <w:rsid w:val="4C464CCD"/>
    <w:rsid w:val="4C466804"/>
    <w:rsid w:val="4C47B044"/>
    <w:rsid w:val="4C4E0C9B"/>
    <w:rsid w:val="4C4FDEA1"/>
    <w:rsid w:val="4C52C7A4"/>
    <w:rsid w:val="4C53E9B2"/>
    <w:rsid w:val="4C595E5D"/>
    <w:rsid w:val="4C5E29AC"/>
    <w:rsid w:val="4C5F716E"/>
    <w:rsid w:val="4C6124A6"/>
    <w:rsid w:val="4C6138D8"/>
    <w:rsid w:val="4C622B32"/>
    <w:rsid w:val="4C67FC1D"/>
    <w:rsid w:val="4C68988D"/>
    <w:rsid w:val="4C6C4CDD"/>
    <w:rsid w:val="4C74FB89"/>
    <w:rsid w:val="4C771D08"/>
    <w:rsid w:val="4C7E8C46"/>
    <w:rsid w:val="4C866884"/>
    <w:rsid w:val="4C8701C3"/>
    <w:rsid w:val="4C870E4D"/>
    <w:rsid w:val="4C888070"/>
    <w:rsid w:val="4C8ACC1C"/>
    <w:rsid w:val="4C8ADB9F"/>
    <w:rsid w:val="4C8CA6A3"/>
    <w:rsid w:val="4C8CFA9F"/>
    <w:rsid w:val="4C95EE0C"/>
    <w:rsid w:val="4C9E6C77"/>
    <w:rsid w:val="4CA0289A"/>
    <w:rsid w:val="4CA225A2"/>
    <w:rsid w:val="4CA4F27F"/>
    <w:rsid w:val="4CAAA831"/>
    <w:rsid w:val="4CB753A6"/>
    <w:rsid w:val="4CB7D916"/>
    <w:rsid w:val="4CB90D68"/>
    <w:rsid w:val="4CBBBD8F"/>
    <w:rsid w:val="4CBE775A"/>
    <w:rsid w:val="4CBEF360"/>
    <w:rsid w:val="4CBF19B3"/>
    <w:rsid w:val="4CBF8FA5"/>
    <w:rsid w:val="4CC3D2E4"/>
    <w:rsid w:val="4CC553CF"/>
    <w:rsid w:val="4CD110C0"/>
    <w:rsid w:val="4CD11A7A"/>
    <w:rsid w:val="4CD3F2C4"/>
    <w:rsid w:val="4CD3FC02"/>
    <w:rsid w:val="4CD7FD87"/>
    <w:rsid w:val="4CE1379F"/>
    <w:rsid w:val="4CE4E56B"/>
    <w:rsid w:val="4CE76F31"/>
    <w:rsid w:val="4CE7E7E2"/>
    <w:rsid w:val="4CE90819"/>
    <w:rsid w:val="4CECACE2"/>
    <w:rsid w:val="4CEDE1CE"/>
    <w:rsid w:val="4CEE15B2"/>
    <w:rsid w:val="4CEF15F8"/>
    <w:rsid w:val="4CF2C502"/>
    <w:rsid w:val="4CF5204A"/>
    <w:rsid w:val="4D01343C"/>
    <w:rsid w:val="4D03EB86"/>
    <w:rsid w:val="4D0BA333"/>
    <w:rsid w:val="4D127E6A"/>
    <w:rsid w:val="4D13E710"/>
    <w:rsid w:val="4D165520"/>
    <w:rsid w:val="4D198C9F"/>
    <w:rsid w:val="4D1B1FD8"/>
    <w:rsid w:val="4D1CA7CD"/>
    <w:rsid w:val="4D2070BB"/>
    <w:rsid w:val="4D219B45"/>
    <w:rsid w:val="4D265235"/>
    <w:rsid w:val="4D29C359"/>
    <w:rsid w:val="4D351573"/>
    <w:rsid w:val="4D383D61"/>
    <w:rsid w:val="4D4422E6"/>
    <w:rsid w:val="4D463C64"/>
    <w:rsid w:val="4D4929DA"/>
    <w:rsid w:val="4D4DF59C"/>
    <w:rsid w:val="4D51CA35"/>
    <w:rsid w:val="4D5618F0"/>
    <w:rsid w:val="4D5F711C"/>
    <w:rsid w:val="4D65FEAB"/>
    <w:rsid w:val="4D6C2907"/>
    <w:rsid w:val="4D6C5D12"/>
    <w:rsid w:val="4D7410BB"/>
    <w:rsid w:val="4D765FBF"/>
    <w:rsid w:val="4D768811"/>
    <w:rsid w:val="4D77EC3A"/>
    <w:rsid w:val="4D7A23F6"/>
    <w:rsid w:val="4D7AE41C"/>
    <w:rsid w:val="4D7B0D66"/>
    <w:rsid w:val="4D838A25"/>
    <w:rsid w:val="4D89E0DD"/>
    <w:rsid w:val="4D8AB2DC"/>
    <w:rsid w:val="4D8ADF1F"/>
    <w:rsid w:val="4D8C0B0E"/>
    <w:rsid w:val="4D8E8F25"/>
    <w:rsid w:val="4D8FDBA8"/>
    <w:rsid w:val="4D9306BB"/>
    <w:rsid w:val="4D93D152"/>
    <w:rsid w:val="4D976115"/>
    <w:rsid w:val="4D97843F"/>
    <w:rsid w:val="4D9CC282"/>
    <w:rsid w:val="4DA1C636"/>
    <w:rsid w:val="4DA2CAE3"/>
    <w:rsid w:val="4DA6C2A2"/>
    <w:rsid w:val="4DAA6FF5"/>
    <w:rsid w:val="4DAC0976"/>
    <w:rsid w:val="4DB34518"/>
    <w:rsid w:val="4DB3D3FA"/>
    <w:rsid w:val="4DB55548"/>
    <w:rsid w:val="4DB66AAF"/>
    <w:rsid w:val="4DB86D50"/>
    <w:rsid w:val="4DBC4C27"/>
    <w:rsid w:val="4DBE8A51"/>
    <w:rsid w:val="4DBEF918"/>
    <w:rsid w:val="4DC65510"/>
    <w:rsid w:val="4DC7894D"/>
    <w:rsid w:val="4DC81648"/>
    <w:rsid w:val="4DCA89FD"/>
    <w:rsid w:val="4DCCB685"/>
    <w:rsid w:val="4DCD18AF"/>
    <w:rsid w:val="4DCDD938"/>
    <w:rsid w:val="4DCECE03"/>
    <w:rsid w:val="4DD06CC2"/>
    <w:rsid w:val="4DD0E026"/>
    <w:rsid w:val="4DD33D97"/>
    <w:rsid w:val="4DD392A1"/>
    <w:rsid w:val="4DD76B37"/>
    <w:rsid w:val="4DD77C57"/>
    <w:rsid w:val="4DD83655"/>
    <w:rsid w:val="4DD93580"/>
    <w:rsid w:val="4DDB83D8"/>
    <w:rsid w:val="4DDF7EA0"/>
    <w:rsid w:val="4DE4D291"/>
    <w:rsid w:val="4DEAAFDC"/>
    <w:rsid w:val="4DEAD582"/>
    <w:rsid w:val="4DEC7477"/>
    <w:rsid w:val="4DECF33B"/>
    <w:rsid w:val="4DEE7794"/>
    <w:rsid w:val="4DF4C0DA"/>
    <w:rsid w:val="4DF62BAD"/>
    <w:rsid w:val="4DF6814F"/>
    <w:rsid w:val="4DF6E9A3"/>
    <w:rsid w:val="4DFD6926"/>
    <w:rsid w:val="4E0462D4"/>
    <w:rsid w:val="4E08A72C"/>
    <w:rsid w:val="4E0A85A4"/>
    <w:rsid w:val="4E0CD429"/>
    <w:rsid w:val="4E0F27B5"/>
    <w:rsid w:val="4E15A94A"/>
    <w:rsid w:val="4E17380D"/>
    <w:rsid w:val="4E1C07C1"/>
    <w:rsid w:val="4E1CC254"/>
    <w:rsid w:val="4E25EF32"/>
    <w:rsid w:val="4E2A6F42"/>
    <w:rsid w:val="4E2AC9C2"/>
    <w:rsid w:val="4E2B74F4"/>
    <w:rsid w:val="4E2EDEE6"/>
    <w:rsid w:val="4E303AAE"/>
    <w:rsid w:val="4E33C9CE"/>
    <w:rsid w:val="4E342AB1"/>
    <w:rsid w:val="4E3A8FC8"/>
    <w:rsid w:val="4E3AAD8F"/>
    <w:rsid w:val="4E3EBC45"/>
    <w:rsid w:val="4E40F704"/>
    <w:rsid w:val="4E435BFB"/>
    <w:rsid w:val="4E43F7F9"/>
    <w:rsid w:val="4E517462"/>
    <w:rsid w:val="4E52BA5F"/>
    <w:rsid w:val="4E559A9C"/>
    <w:rsid w:val="4E58C838"/>
    <w:rsid w:val="4E5B1BEB"/>
    <w:rsid w:val="4E5C0871"/>
    <w:rsid w:val="4E5DF6CC"/>
    <w:rsid w:val="4E5E33C0"/>
    <w:rsid w:val="4E5E60BC"/>
    <w:rsid w:val="4E61749A"/>
    <w:rsid w:val="4E630609"/>
    <w:rsid w:val="4E63110E"/>
    <w:rsid w:val="4E66C925"/>
    <w:rsid w:val="4E66D7E1"/>
    <w:rsid w:val="4E6B4ADD"/>
    <w:rsid w:val="4E6B4CA7"/>
    <w:rsid w:val="4E6F2906"/>
    <w:rsid w:val="4E70F491"/>
    <w:rsid w:val="4E71980E"/>
    <w:rsid w:val="4E7E471D"/>
    <w:rsid w:val="4E7EC8BF"/>
    <w:rsid w:val="4E83A7DD"/>
    <w:rsid w:val="4E87A9C0"/>
    <w:rsid w:val="4E8F9039"/>
    <w:rsid w:val="4E984C96"/>
    <w:rsid w:val="4E9BB467"/>
    <w:rsid w:val="4E9F6894"/>
    <w:rsid w:val="4E9FC204"/>
    <w:rsid w:val="4EA0DE1F"/>
    <w:rsid w:val="4EA1AAE1"/>
    <w:rsid w:val="4EA48828"/>
    <w:rsid w:val="4EA7CCFC"/>
    <w:rsid w:val="4EACF404"/>
    <w:rsid w:val="4EADCDC5"/>
    <w:rsid w:val="4EAFBAB4"/>
    <w:rsid w:val="4EB2622A"/>
    <w:rsid w:val="4EB2908C"/>
    <w:rsid w:val="4EB42DDF"/>
    <w:rsid w:val="4EB73E1A"/>
    <w:rsid w:val="4EB7FA5B"/>
    <w:rsid w:val="4EB84EC2"/>
    <w:rsid w:val="4EBBA71E"/>
    <w:rsid w:val="4EC04FD9"/>
    <w:rsid w:val="4EC2B744"/>
    <w:rsid w:val="4EC54842"/>
    <w:rsid w:val="4ECB5C2C"/>
    <w:rsid w:val="4ECC951D"/>
    <w:rsid w:val="4ED06664"/>
    <w:rsid w:val="4ED2D684"/>
    <w:rsid w:val="4ED63DB3"/>
    <w:rsid w:val="4ED6C726"/>
    <w:rsid w:val="4EDD5F03"/>
    <w:rsid w:val="4EEE6058"/>
    <w:rsid w:val="4EF39956"/>
    <w:rsid w:val="4EF4ECBC"/>
    <w:rsid w:val="4EF5E744"/>
    <w:rsid w:val="4EF6965B"/>
    <w:rsid w:val="4EFE4DBF"/>
    <w:rsid w:val="4EFFEAAD"/>
    <w:rsid w:val="4F0391F8"/>
    <w:rsid w:val="4F0446B6"/>
    <w:rsid w:val="4F0929DA"/>
    <w:rsid w:val="4F0D659F"/>
    <w:rsid w:val="4F0E8DBD"/>
    <w:rsid w:val="4F0F512F"/>
    <w:rsid w:val="4F16B50C"/>
    <w:rsid w:val="4F198C0B"/>
    <w:rsid w:val="4F1C1AE2"/>
    <w:rsid w:val="4F1FFDEA"/>
    <w:rsid w:val="4F2036A0"/>
    <w:rsid w:val="4F209D68"/>
    <w:rsid w:val="4F35208A"/>
    <w:rsid w:val="4F3A9FF3"/>
    <w:rsid w:val="4F3EDD11"/>
    <w:rsid w:val="4F421757"/>
    <w:rsid w:val="4F4D8B6F"/>
    <w:rsid w:val="4F4F76E0"/>
    <w:rsid w:val="4F57B9C6"/>
    <w:rsid w:val="4F5B4D72"/>
    <w:rsid w:val="4F5DC57A"/>
    <w:rsid w:val="4F61A6BD"/>
    <w:rsid w:val="4F61ADD6"/>
    <w:rsid w:val="4F633547"/>
    <w:rsid w:val="4F63CF78"/>
    <w:rsid w:val="4F65AA7F"/>
    <w:rsid w:val="4F678331"/>
    <w:rsid w:val="4F6AE5F4"/>
    <w:rsid w:val="4F6C93DE"/>
    <w:rsid w:val="4F7333C9"/>
    <w:rsid w:val="4F752F4F"/>
    <w:rsid w:val="4F7D7CE5"/>
    <w:rsid w:val="4F7E332C"/>
    <w:rsid w:val="4F7F9CEA"/>
    <w:rsid w:val="4F80EC12"/>
    <w:rsid w:val="4F8498E3"/>
    <w:rsid w:val="4F91C086"/>
    <w:rsid w:val="4F94CDBF"/>
    <w:rsid w:val="4F96F251"/>
    <w:rsid w:val="4F9B59EE"/>
    <w:rsid w:val="4F9F13C6"/>
    <w:rsid w:val="4FA1495E"/>
    <w:rsid w:val="4FA28750"/>
    <w:rsid w:val="4FA400CA"/>
    <w:rsid w:val="4FACE967"/>
    <w:rsid w:val="4FAEB6D3"/>
    <w:rsid w:val="4FAF346D"/>
    <w:rsid w:val="4FB2430B"/>
    <w:rsid w:val="4FBA4019"/>
    <w:rsid w:val="4FBF0705"/>
    <w:rsid w:val="4FC04218"/>
    <w:rsid w:val="4FC1B1DC"/>
    <w:rsid w:val="4FC32ED3"/>
    <w:rsid w:val="4FC41022"/>
    <w:rsid w:val="4FC5B21A"/>
    <w:rsid w:val="4FC62D49"/>
    <w:rsid w:val="4FC8340C"/>
    <w:rsid w:val="4FC92210"/>
    <w:rsid w:val="4FD2229E"/>
    <w:rsid w:val="4FD363CB"/>
    <w:rsid w:val="4FDE3170"/>
    <w:rsid w:val="4FDFCF46"/>
    <w:rsid w:val="4FE10FA9"/>
    <w:rsid w:val="4FE21401"/>
    <w:rsid w:val="4FE517EA"/>
    <w:rsid w:val="4FE70EDD"/>
    <w:rsid w:val="4FE9D169"/>
    <w:rsid w:val="4FF1A614"/>
    <w:rsid w:val="4FF4A68B"/>
    <w:rsid w:val="4FF621BC"/>
    <w:rsid w:val="4FFAA73B"/>
    <w:rsid w:val="4FFDEEFB"/>
    <w:rsid w:val="500455DA"/>
    <w:rsid w:val="5007D921"/>
    <w:rsid w:val="5007E29D"/>
    <w:rsid w:val="5018D6BB"/>
    <w:rsid w:val="50192AFE"/>
    <w:rsid w:val="501BBF4C"/>
    <w:rsid w:val="501DC477"/>
    <w:rsid w:val="501E812D"/>
    <w:rsid w:val="5025A12A"/>
    <w:rsid w:val="5026787C"/>
    <w:rsid w:val="5028190F"/>
    <w:rsid w:val="5028E755"/>
    <w:rsid w:val="502C522D"/>
    <w:rsid w:val="503366F8"/>
    <w:rsid w:val="5036DC85"/>
    <w:rsid w:val="503AE428"/>
    <w:rsid w:val="503EA057"/>
    <w:rsid w:val="5046FA96"/>
    <w:rsid w:val="5049079D"/>
    <w:rsid w:val="504ADA30"/>
    <w:rsid w:val="504F989E"/>
    <w:rsid w:val="505049B0"/>
    <w:rsid w:val="505A72BA"/>
    <w:rsid w:val="505D3C5C"/>
    <w:rsid w:val="505F8DFA"/>
    <w:rsid w:val="50619C96"/>
    <w:rsid w:val="5062696F"/>
    <w:rsid w:val="50634CBD"/>
    <w:rsid w:val="50663257"/>
    <w:rsid w:val="5068B22C"/>
    <w:rsid w:val="5069D0A2"/>
    <w:rsid w:val="5071C714"/>
    <w:rsid w:val="507723D2"/>
    <w:rsid w:val="507A6AF7"/>
    <w:rsid w:val="507BDF0C"/>
    <w:rsid w:val="50874A7F"/>
    <w:rsid w:val="508C1C06"/>
    <w:rsid w:val="508D69C4"/>
    <w:rsid w:val="508E257D"/>
    <w:rsid w:val="50935CB7"/>
    <w:rsid w:val="509378AD"/>
    <w:rsid w:val="509598F7"/>
    <w:rsid w:val="509C6D11"/>
    <w:rsid w:val="50A243A5"/>
    <w:rsid w:val="50A89E04"/>
    <w:rsid w:val="50AA64BB"/>
    <w:rsid w:val="50AF45A6"/>
    <w:rsid w:val="50B1E80C"/>
    <w:rsid w:val="50B448C5"/>
    <w:rsid w:val="50BA641D"/>
    <w:rsid w:val="50BD4479"/>
    <w:rsid w:val="50BE365B"/>
    <w:rsid w:val="50BE5AEF"/>
    <w:rsid w:val="50C2BB55"/>
    <w:rsid w:val="50D95755"/>
    <w:rsid w:val="50DB38B5"/>
    <w:rsid w:val="50DBEE9F"/>
    <w:rsid w:val="50DDF833"/>
    <w:rsid w:val="50E00C7E"/>
    <w:rsid w:val="50E17800"/>
    <w:rsid w:val="50E21163"/>
    <w:rsid w:val="50E43A6C"/>
    <w:rsid w:val="50E4B7A8"/>
    <w:rsid w:val="50E7D7DE"/>
    <w:rsid w:val="50E936F8"/>
    <w:rsid w:val="50EE0CE7"/>
    <w:rsid w:val="50EF3E4B"/>
    <w:rsid w:val="50F09A11"/>
    <w:rsid w:val="50F0B32E"/>
    <w:rsid w:val="50F42D83"/>
    <w:rsid w:val="510288D8"/>
    <w:rsid w:val="5102A90C"/>
    <w:rsid w:val="51066038"/>
    <w:rsid w:val="51076B8A"/>
    <w:rsid w:val="51084B87"/>
    <w:rsid w:val="51092A5D"/>
    <w:rsid w:val="510E2217"/>
    <w:rsid w:val="51107E28"/>
    <w:rsid w:val="511132C7"/>
    <w:rsid w:val="5115574C"/>
    <w:rsid w:val="51196F81"/>
    <w:rsid w:val="5119EF90"/>
    <w:rsid w:val="511A85A3"/>
    <w:rsid w:val="511DE701"/>
    <w:rsid w:val="511F6D01"/>
    <w:rsid w:val="5120875E"/>
    <w:rsid w:val="5124EE6F"/>
    <w:rsid w:val="5125AA15"/>
    <w:rsid w:val="5127E967"/>
    <w:rsid w:val="51293C67"/>
    <w:rsid w:val="51304530"/>
    <w:rsid w:val="5132C297"/>
    <w:rsid w:val="513631FB"/>
    <w:rsid w:val="51369C37"/>
    <w:rsid w:val="513D9E1C"/>
    <w:rsid w:val="514021B5"/>
    <w:rsid w:val="5143F7C1"/>
    <w:rsid w:val="5144B927"/>
    <w:rsid w:val="51463C4D"/>
    <w:rsid w:val="514B82D8"/>
    <w:rsid w:val="51511B83"/>
    <w:rsid w:val="51565B58"/>
    <w:rsid w:val="5156EE29"/>
    <w:rsid w:val="515748F0"/>
    <w:rsid w:val="5157E03B"/>
    <w:rsid w:val="515E9DC6"/>
    <w:rsid w:val="5165B11E"/>
    <w:rsid w:val="5171346A"/>
    <w:rsid w:val="517666E1"/>
    <w:rsid w:val="517969C7"/>
    <w:rsid w:val="517B51E3"/>
    <w:rsid w:val="517E282D"/>
    <w:rsid w:val="517FB570"/>
    <w:rsid w:val="51829A3C"/>
    <w:rsid w:val="51850FF1"/>
    <w:rsid w:val="518A532B"/>
    <w:rsid w:val="518AA06E"/>
    <w:rsid w:val="518D2E23"/>
    <w:rsid w:val="518EFBD4"/>
    <w:rsid w:val="518FA852"/>
    <w:rsid w:val="51979D6C"/>
    <w:rsid w:val="51979F79"/>
    <w:rsid w:val="519EA49D"/>
    <w:rsid w:val="519F6491"/>
    <w:rsid w:val="51A30849"/>
    <w:rsid w:val="51A3DBC4"/>
    <w:rsid w:val="51A8AA6D"/>
    <w:rsid w:val="51A90581"/>
    <w:rsid w:val="51A9449B"/>
    <w:rsid w:val="51A96CD7"/>
    <w:rsid w:val="51AEBB42"/>
    <w:rsid w:val="51B3E909"/>
    <w:rsid w:val="51B6628A"/>
    <w:rsid w:val="51B6D73A"/>
    <w:rsid w:val="51B7014E"/>
    <w:rsid w:val="51BC95B0"/>
    <w:rsid w:val="51BCB47A"/>
    <w:rsid w:val="51CAB527"/>
    <w:rsid w:val="51CC8990"/>
    <w:rsid w:val="51CCA674"/>
    <w:rsid w:val="51D1665A"/>
    <w:rsid w:val="51D7E37B"/>
    <w:rsid w:val="51D8F3D6"/>
    <w:rsid w:val="51DA3183"/>
    <w:rsid w:val="51DB4B95"/>
    <w:rsid w:val="51E00A20"/>
    <w:rsid w:val="51E5D59E"/>
    <w:rsid w:val="51E6E7A4"/>
    <w:rsid w:val="51ED954A"/>
    <w:rsid w:val="51EE1F8B"/>
    <w:rsid w:val="51F0AA67"/>
    <w:rsid w:val="51F26B2D"/>
    <w:rsid w:val="520290F3"/>
    <w:rsid w:val="52029336"/>
    <w:rsid w:val="52034945"/>
    <w:rsid w:val="5204C647"/>
    <w:rsid w:val="5206C1F3"/>
    <w:rsid w:val="52083418"/>
    <w:rsid w:val="5208F90D"/>
    <w:rsid w:val="520D5D01"/>
    <w:rsid w:val="521074CE"/>
    <w:rsid w:val="5217B346"/>
    <w:rsid w:val="521A2A16"/>
    <w:rsid w:val="522699CC"/>
    <w:rsid w:val="522A9B8D"/>
    <w:rsid w:val="522D74A6"/>
    <w:rsid w:val="522EBD78"/>
    <w:rsid w:val="52300CA5"/>
    <w:rsid w:val="5231C80E"/>
    <w:rsid w:val="523AE246"/>
    <w:rsid w:val="524129B3"/>
    <w:rsid w:val="52422F7A"/>
    <w:rsid w:val="52438C67"/>
    <w:rsid w:val="5243D0FF"/>
    <w:rsid w:val="5249DD27"/>
    <w:rsid w:val="524F1931"/>
    <w:rsid w:val="52501C57"/>
    <w:rsid w:val="5250AC57"/>
    <w:rsid w:val="52566009"/>
    <w:rsid w:val="525739F4"/>
    <w:rsid w:val="52594D5E"/>
    <w:rsid w:val="525C3DBF"/>
    <w:rsid w:val="525CC355"/>
    <w:rsid w:val="526366DF"/>
    <w:rsid w:val="5264216E"/>
    <w:rsid w:val="52666476"/>
    <w:rsid w:val="526A1F5F"/>
    <w:rsid w:val="526D10D6"/>
    <w:rsid w:val="5270B314"/>
    <w:rsid w:val="5272C4D3"/>
    <w:rsid w:val="5272D235"/>
    <w:rsid w:val="5277B145"/>
    <w:rsid w:val="527903EC"/>
    <w:rsid w:val="5279FB91"/>
    <w:rsid w:val="52831F39"/>
    <w:rsid w:val="52838B13"/>
    <w:rsid w:val="5284E2FE"/>
    <w:rsid w:val="5284EC9E"/>
    <w:rsid w:val="5287918E"/>
    <w:rsid w:val="528AE643"/>
    <w:rsid w:val="528FE93E"/>
    <w:rsid w:val="529123DD"/>
    <w:rsid w:val="529350D0"/>
    <w:rsid w:val="5294E122"/>
    <w:rsid w:val="52954AEC"/>
    <w:rsid w:val="529640FA"/>
    <w:rsid w:val="529A9028"/>
    <w:rsid w:val="529C078F"/>
    <w:rsid w:val="529EA857"/>
    <w:rsid w:val="52AB8A03"/>
    <w:rsid w:val="52BA22F2"/>
    <w:rsid w:val="52BA571C"/>
    <w:rsid w:val="52BBEDCD"/>
    <w:rsid w:val="52BE1B63"/>
    <w:rsid w:val="52BF4EF9"/>
    <w:rsid w:val="52C29E1D"/>
    <w:rsid w:val="52C30AF9"/>
    <w:rsid w:val="52C84E43"/>
    <w:rsid w:val="52CCD948"/>
    <w:rsid w:val="52CF46CA"/>
    <w:rsid w:val="52D9F43A"/>
    <w:rsid w:val="52DAC781"/>
    <w:rsid w:val="52DBF56E"/>
    <w:rsid w:val="52DEC0AE"/>
    <w:rsid w:val="52DF7BFC"/>
    <w:rsid w:val="52E1F54A"/>
    <w:rsid w:val="52E39510"/>
    <w:rsid w:val="52E3EC2A"/>
    <w:rsid w:val="52E8CF2B"/>
    <w:rsid w:val="52EDD9FB"/>
    <w:rsid w:val="52F0F3B1"/>
    <w:rsid w:val="52F1BF96"/>
    <w:rsid w:val="52F1E253"/>
    <w:rsid w:val="52F22936"/>
    <w:rsid w:val="52F265C2"/>
    <w:rsid w:val="52F46DBE"/>
    <w:rsid w:val="52F7011B"/>
    <w:rsid w:val="52F75C37"/>
    <w:rsid w:val="52F97EB3"/>
    <w:rsid w:val="53017C07"/>
    <w:rsid w:val="5301DD78"/>
    <w:rsid w:val="53024C72"/>
    <w:rsid w:val="53080267"/>
    <w:rsid w:val="5309F887"/>
    <w:rsid w:val="530A9EA4"/>
    <w:rsid w:val="530AC009"/>
    <w:rsid w:val="53102BD0"/>
    <w:rsid w:val="53138890"/>
    <w:rsid w:val="53155C61"/>
    <w:rsid w:val="531595FB"/>
    <w:rsid w:val="53188226"/>
    <w:rsid w:val="531E0889"/>
    <w:rsid w:val="532256FD"/>
    <w:rsid w:val="53260971"/>
    <w:rsid w:val="5328F3B2"/>
    <w:rsid w:val="532AF1AB"/>
    <w:rsid w:val="53308F26"/>
    <w:rsid w:val="533269ED"/>
    <w:rsid w:val="5334AC92"/>
    <w:rsid w:val="5334EDF2"/>
    <w:rsid w:val="533671C9"/>
    <w:rsid w:val="5337930C"/>
    <w:rsid w:val="5338698B"/>
    <w:rsid w:val="533A2C53"/>
    <w:rsid w:val="533DDF3C"/>
    <w:rsid w:val="533DF801"/>
    <w:rsid w:val="533F663D"/>
    <w:rsid w:val="5341A7B2"/>
    <w:rsid w:val="53427A51"/>
    <w:rsid w:val="53441CEB"/>
    <w:rsid w:val="534984C9"/>
    <w:rsid w:val="534C569B"/>
    <w:rsid w:val="53517D50"/>
    <w:rsid w:val="53519852"/>
    <w:rsid w:val="535642AC"/>
    <w:rsid w:val="53584203"/>
    <w:rsid w:val="535E5554"/>
    <w:rsid w:val="535EF648"/>
    <w:rsid w:val="536572F3"/>
    <w:rsid w:val="53691DA3"/>
    <w:rsid w:val="536A6443"/>
    <w:rsid w:val="536B46A6"/>
    <w:rsid w:val="536B662C"/>
    <w:rsid w:val="53729574"/>
    <w:rsid w:val="537CDC93"/>
    <w:rsid w:val="5383E532"/>
    <w:rsid w:val="5388D993"/>
    <w:rsid w:val="538CA562"/>
    <w:rsid w:val="53964C1D"/>
    <w:rsid w:val="5396F894"/>
    <w:rsid w:val="53975EA0"/>
    <w:rsid w:val="53996ED4"/>
    <w:rsid w:val="539A73F9"/>
    <w:rsid w:val="539AD0C5"/>
    <w:rsid w:val="539DB89E"/>
    <w:rsid w:val="53A1E079"/>
    <w:rsid w:val="53A1EB9F"/>
    <w:rsid w:val="53A23298"/>
    <w:rsid w:val="53ABA5CD"/>
    <w:rsid w:val="53AFF17A"/>
    <w:rsid w:val="53B1B0B1"/>
    <w:rsid w:val="53B36933"/>
    <w:rsid w:val="53B4DA4C"/>
    <w:rsid w:val="53B4ED15"/>
    <w:rsid w:val="53BA349A"/>
    <w:rsid w:val="53BBFB0A"/>
    <w:rsid w:val="53C4E797"/>
    <w:rsid w:val="53C838D8"/>
    <w:rsid w:val="53CB89CF"/>
    <w:rsid w:val="53CF8ED9"/>
    <w:rsid w:val="53D1C26B"/>
    <w:rsid w:val="53D23617"/>
    <w:rsid w:val="53D5A81A"/>
    <w:rsid w:val="53D818CA"/>
    <w:rsid w:val="53D830A8"/>
    <w:rsid w:val="53DC853A"/>
    <w:rsid w:val="53E000FE"/>
    <w:rsid w:val="53E43065"/>
    <w:rsid w:val="53E5405A"/>
    <w:rsid w:val="53E5FBF3"/>
    <w:rsid w:val="53E7A356"/>
    <w:rsid w:val="53EB86B7"/>
    <w:rsid w:val="53EB8E3C"/>
    <w:rsid w:val="53EB8EB2"/>
    <w:rsid w:val="53EBB3EE"/>
    <w:rsid w:val="53EE8F81"/>
    <w:rsid w:val="53EF6D88"/>
    <w:rsid w:val="53F56044"/>
    <w:rsid w:val="53F99303"/>
    <w:rsid w:val="53FE0354"/>
    <w:rsid w:val="540104B7"/>
    <w:rsid w:val="540335A4"/>
    <w:rsid w:val="5406E375"/>
    <w:rsid w:val="5408C91D"/>
    <w:rsid w:val="540CCE28"/>
    <w:rsid w:val="54108850"/>
    <w:rsid w:val="54131039"/>
    <w:rsid w:val="54135656"/>
    <w:rsid w:val="5413BF81"/>
    <w:rsid w:val="54176122"/>
    <w:rsid w:val="541928AF"/>
    <w:rsid w:val="54205EE4"/>
    <w:rsid w:val="5424FD39"/>
    <w:rsid w:val="542996A2"/>
    <w:rsid w:val="542ECC42"/>
    <w:rsid w:val="54313013"/>
    <w:rsid w:val="54369D0E"/>
    <w:rsid w:val="54395C93"/>
    <w:rsid w:val="543C2398"/>
    <w:rsid w:val="543C6AA5"/>
    <w:rsid w:val="543FCAEA"/>
    <w:rsid w:val="54469123"/>
    <w:rsid w:val="544AE3FC"/>
    <w:rsid w:val="544D851C"/>
    <w:rsid w:val="544EECEE"/>
    <w:rsid w:val="545367D7"/>
    <w:rsid w:val="54540A5D"/>
    <w:rsid w:val="5457818A"/>
    <w:rsid w:val="54582555"/>
    <w:rsid w:val="5459AA2A"/>
    <w:rsid w:val="545A0C6E"/>
    <w:rsid w:val="545D4320"/>
    <w:rsid w:val="545DF35D"/>
    <w:rsid w:val="54612A02"/>
    <w:rsid w:val="546487A9"/>
    <w:rsid w:val="546691B4"/>
    <w:rsid w:val="546B5BD7"/>
    <w:rsid w:val="5470CAD4"/>
    <w:rsid w:val="5477C935"/>
    <w:rsid w:val="547C921B"/>
    <w:rsid w:val="547D5854"/>
    <w:rsid w:val="54812CA3"/>
    <w:rsid w:val="54835383"/>
    <w:rsid w:val="54844114"/>
    <w:rsid w:val="54849D25"/>
    <w:rsid w:val="548A90E8"/>
    <w:rsid w:val="548C59AF"/>
    <w:rsid w:val="548F3D3D"/>
    <w:rsid w:val="54921B29"/>
    <w:rsid w:val="5492445B"/>
    <w:rsid w:val="54951555"/>
    <w:rsid w:val="549F3E9D"/>
    <w:rsid w:val="54A55A57"/>
    <w:rsid w:val="54B145F0"/>
    <w:rsid w:val="54B49B0A"/>
    <w:rsid w:val="54BF168C"/>
    <w:rsid w:val="54C156C6"/>
    <w:rsid w:val="54C662F3"/>
    <w:rsid w:val="54C7175F"/>
    <w:rsid w:val="54C8731D"/>
    <w:rsid w:val="54CB251F"/>
    <w:rsid w:val="54CE381A"/>
    <w:rsid w:val="54CEBF8D"/>
    <w:rsid w:val="54D9F55F"/>
    <w:rsid w:val="54E1824D"/>
    <w:rsid w:val="54E37B94"/>
    <w:rsid w:val="54E4693C"/>
    <w:rsid w:val="54E7AFDF"/>
    <w:rsid w:val="54EA9261"/>
    <w:rsid w:val="54EE9493"/>
    <w:rsid w:val="54F396EF"/>
    <w:rsid w:val="54F3D639"/>
    <w:rsid w:val="54F8B805"/>
    <w:rsid w:val="54FD74CD"/>
    <w:rsid w:val="54FFA7AB"/>
    <w:rsid w:val="55005E9F"/>
    <w:rsid w:val="55006D81"/>
    <w:rsid w:val="550111FB"/>
    <w:rsid w:val="5508EA42"/>
    <w:rsid w:val="550DF762"/>
    <w:rsid w:val="551204D3"/>
    <w:rsid w:val="551241BA"/>
    <w:rsid w:val="5515C126"/>
    <w:rsid w:val="55192219"/>
    <w:rsid w:val="551922A4"/>
    <w:rsid w:val="55195066"/>
    <w:rsid w:val="551BCDC5"/>
    <w:rsid w:val="5522799E"/>
    <w:rsid w:val="5528292B"/>
    <w:rsid w:val="5536A45D"/>
    <w:rsid w:val="55374689"/>
    <w:rsid w:val="553985DA"/>
    <w:rsid w:val="553C19E3"/>
    <w:rsid w:val="553D884E"/>
    <w:rsid w:val="553EFCD0"/>
    <w:rsid w:val="55405E3F"/>
    <w:rsid w:val="5546D5C1"/>
    <w:rsid w:val="554B34B5"/>
    <w:rsid w:val="554C2D54"/>
    <w:rsid w:val="554C3A1F"/>
    <w:rsid w:val="554EC5D1"/>
    <w:rsid w:val="554F2088"/>
    <w:rsid w:val="55606E43"/>
    <w:rsid w:val="55653B99"/>
    <w:rsid w:val="55688F65"/>
    <w:rsid w:val="55692656"/>
    <w:rsid w:val="55697A70"/>
    <w:rsid w:val="556B1E0F"/>
    <w:rsid w:val="556E8985"/>
    <w:rsid w:val="5571AB18"/>
    <w:rsid w:val="557A1ED8"/>
    <w:rsid w:val="557A72BF"/>
    <w:rsid w:val="557D9627"/>
    <w:rsid w:val="557F0B3B"/>
    <w:rsid w:val="557FFB62"/>
    <w:rsid w:val="55814438"/>
    <w:rsid w:val="55816841"/>
    <w:rsid w:val="5583A6F4"/>
    <w:rsid w:val="55874397"/>
    <w:rsid w:val="5589F193"/>
    <w:rsid w:val="558AFC96"/>
    <w:rsid w:val="558DEB42"/>
    <w:rsid w:val="559345B9"/>
    <w:rsid w:val="5594620B"/>
    <w:rsid w:val="55982DC2"/>
    <w:rsid w:val="559AC87F"/>
    <w:rsid w:val="559B6CCE"/>
    <w:rsid w:val="559BA670"/>
    <w:rsid w:val="559BA83F"/>
    <w:rsid w:val="559DEBF2"/>
    <w:rsid w:val="55A39974"/>
    <w:rsid w:val="55A7165B"/>
    <w:rsid w:val="55AB8DB8"/>
    <w:rsid w:val="55B0882B"/>
    <w:rsid w:val="55B27A97"/>
    <w:rsid w:val="55B7C5E3"/>
    <w:rsid w:val="55B96532"/>
    <w:rsid w:val="55BC4CD1"/>
    <w:rsid w:val="55C2ADF5"/>
    <w:rsid w:val="55C4B650"/>
    <w:rsid w:val="55CF24AC"/>
    <w:rsid w:val="55D8F5FD"/>
    <w:rsid w:val="55DAC2AE"/>
    <w:rsid w:val="55DC8284"/>
    <w:rsid w:val="55E3900C"/>
    <w:rsid w:val="55EFFA00"/>
    <w:rsid w:val="55F5A037"/>
    <w:rsid w:val="55F5B51C"/>
    <w:rsid w:val="55F822CC"/>
    <w:rsid w:val="55FBBF16"/>
    <w:rsid w:val="55FC0746"/>
    <w:rsid w:val="55FDAAF7"/>
    <w:rsid w:val="55FE0BC2"/>
    <w:rsid w:val="55FE69F5"/>
    <w:rsid w:val="5602EB70"/>
    <w:rsid w:val="5604013A"/>
    <w:rsid w:val="560A39E3"/>
    <w:rsid w:val="560B843C"/>
    <w:rsid w:val="560CBD1B"/>
    <w:rsid w:val="560DC22E"/>
    <w:rsid w:val="561458B0"/>
    <w:rsid w:val="56151C0D"/>
    <w:rsid w:val="5617AA8A"/>
    <w:rsid w:val="5618A686"/>
    <w:rsid w:val="561EF686"/>
    <w:rsid w:val="561F610C"/>
    <w:rsid w:val="562000C7"/>
    <w:rsid w:val="562016AB"/>
    <w:rsid w:val="5621DEB9"/>
    <w:rsid w:val="56277B0A"/>
    <w:rsid w:val="562A9BE6"/>
    <w:rsid w:val="5631B762"/>
    <w:rsid w:val="56325734"/>
    <w:rsid w:val="56367BAF"/>
    <w:rsid w:val="5636BCCE"/>
    <w:rsid w:val="563796A6"/>
    <w:rsid w:val="563BED0F"/>
    <w:rsid w:val="563C5DF9"/>
    <w:rsid w:val="563C74CA"/>
    <w:rsid w:val="563E3D7D"/>
    <w:rsid w:val="5640F8CB"/>
    <w:rsid w:val="5646B7F1"/>
    <w:rsid w:val="564A2B78"/>
    <w:rsid w:val="5650BBB5"/>
    <w:rsid w:val="5651017A"/>
    <w:rsid w:val="565A5782"/>
    <w:rsid w:val="565E63F4"/>
    <w:rsid w:val="56642370"/>
    <w:rsid w:val="566642AA"/>
    <w:rsid w:val="5670DB52"/>
    <w:rsid w:val="5680AB4F"/>
    <w:rsid w:val="56867DB7"/>
    <w:rsid w:val="5686F88B"/>
    <w:rsid w:val="5687FA65"/>
    <w:rsid w:val="56885ECB"/>
    <w:rsid w:val="5689964F"/>
    <w:rsid w:val="568D2486"/>
    <w:rsid w:val="568FC044"/>
    <w:rsid w:val="5693FE3E"/>
    <w:rsid w:val="569475E3"/>
    <w:rsid w:val="5699B76C"/>
    <w:rsid w:val="56A213A7"/>
    <w:rsid w:val="56A25591"/>
    <w:rsid w:val="56A3046A"/>
    <w:rsid w:val="56A8B210"/>
    <w:rsid w:val="56AA718B"/>
    <w:rsid w:val="56AC4E6B"/>
    <w:rsid w:val="56AC629E"/>
    <w:rsid w:val="56AEEA19"/>
    <w:rsid w:val="56B17163"/>
    <w:rsid w:val="56B28233"/>
    <w:rsid w:val="56B44602"/>
    <w:rsid w:val="56B57F80"/>
    <w:rsid w:val="56B70C31"/>
    <w:rsid w:val="56B898F3"/>
    <w:rsid w:val="56BCD47E"/>
    <w:rsid w:val="56BE91AD"/>
    <w:rsid w:val="56BF5669"/>
    <w:rsid w:val="56C3271A"/>
    <w:rsid w:val="56C6F08C"/>
    <w:rsid w:val="56CD549C"/>
    <w:rsid w:val="56D6AABF"/>
    <w:rsid w:val="56E4B0C9"/>
    <w:rsid w:val="56EA836B"/>
    <w:rsid w:val="56EAFA9B"/>
    <w:rsid w:val="56EC4CB9"/>
    <w:rsid w:val="56F06EA2"/>
    <w:rsid w:val="56F1C871"/>
    <w:rsid w:val="56F82B30"/>
    <w:rsid w:val="56FB1083"/>
    <w:rsid w:val="56FCEBD2"/>
    <w:rsid w:val="56FD5227"/>
    <w:rsid w:val="570260E7"/>
    <w:rsid w:val="5703B5CE"/>
    <w:rsid w:val="57063EAF"/>
    <w:rsid w:val="5709BF71"/>
    <w:rsid w:val="5711E35E"/>
    <w:rsid w:val="57120738"/>
    <w:rsid w:val="5717E000"/>
    <w:rsid w:val="571FC46F"/>
    <w:rsid w:val="572771D4"/>
    <w:rsid w:val="5729717A"/>
    <w:rsid w:val="57322EDA"/>
    <w:rsid w:val="5733C354"/>
    <w:rsid w:val="57360BF4"/>
    <w:rsid w:val="574073F7"/>
    <w:rsid w:val="5741FE0B"/>
    <w:rsid w:val="5742A611"/>
    <w:rsid w:val="57437D81"/>
    <w:rsid w:val="574896F6"/>
    <w:rsid w:val="574A5136"/>
    <w:rsid w:val="574C1DBF"/>
    <w:rsid w:val="57520B97"/>
    <w:rsid w:val="57537AE6"/>
    <w:rsid w:val="57550CD2"/>
    <w:rsid w:val="5756BB6E"/>
    <w:rsid w:val="57573781"/>
    <w:rsid w:val="5757CAC0"/>
    <w:rsid w:val="5757D1F7"/>
    <w:rsid w:val="5758095F"/>
    <w:rsid w:val="5767EBAA"/>
    <w:rsid w:val="57680551"/>
    <w:rsid w:val="57687482"/>
    <w:rsid w:val="57691B8A"/>
    <w:rsid w:val="576C3E5F"/>
    <w:rsid w:val="576E92FD"/>
    <w:rsid w:val="577A2C8E"/>
    <w:rsid w:val="577C576A"/>
    <w:rsid w:val="577EB97A"/>
    <w:rsid w:val="57804444"/>
    <w:rsid w:val="57849563"/>
    <w:rsid w:val="5787E33C"/>
    <w:rsid w:val="578AB87E"/>
    <w:rsid w:val="578AE52E"/>
    <w:rsid w:val="578B0EE1"/>
    <w:rsid w:val="578B4530"/>
    <w:rsid w:val="57933865"/>
    <w:rsid w:val="57951F87"/>
    <w:rsid w:val="5795AB99"/>
    <w:rsid w:val="57A328CF"/>
    <w:rsid w:val="57A40AF3"/>
    <w:rsid w:val="57A4ACB1"/>
    <w:rsid w:val="57A65D53"/>
    <w:rsid w:val="57A7A656"/>
    <w:rsid w:val="57AD444B"/>
    <w:rsid w:val="57AFB5C5"/>
    <w:rsid w:val="57B0CA30"/>
    <w:rsid w:val="57B3FAF8"/>
    <w:rsid w:val="57B7BE62"/>
    <w:rsid w:val="57B95E6C"/>
    <w:rsid w:val="57BE8F1E"/>
    <w:rsid w:val="57C1AE55"/>
    <w:rsid w:val="57C29CFE"/>
    <w:rsid w:val="57C5DAB8"/>
    <w:rsid w:val="57CBF7A9"/>
    <w:rsid w:val="57D06D1B"/>
    <w:rsid w:val="57D110AD"/>
    <w:rsid w:val="57D831B4"/>
    <w:rsid w:val="57DB5195"/>
    <w:rsid w:val="57DFB839"/>
    <w:rsid w:val="57E2EDCA"/>
    <w:rsid w:val="57E4301F"/>
    <w:rsid w:val="57E55747"/>
    <w:rsid w:val="57E67E7C"/>
    <w:rsid w:val="57EADCAC"/>
    <w:rsid w:val="57F81142"/>
    <w:rsid w:val="57F9D1C2"/>
    <w:rsid w:val="57FB97B2"/>
    <w:rsid w:val="57FDF98B"/>
    <w:rsid w:val="57FEED3D"/>
    <w:rsid w:val="57FF3715"/>
    <w:rsid w:val="5800DB63"/>
    <w:rsid w:val="580935E5"/>
    <w:rsid w:val="580A21E6"/>
    <w:rsid w:val="580A29E9"/>
    <w:rsid w:val="580A8991"/>
    <w:rsid w:val="580BEB60"/>
    <w:rsid w:val="580C40F9"/>
    <w:rsid w:val="580EFCA9"/>
    <w:rsid w:val="58128C73"/>
    <w:rsid w:val="5818CCB3"/>
    <w:rsid w:val="581ECCC5"/>
    <w:rsid w:val="5820F857"/>
    <w:rsid w:val="5824EEC7"/>
    <w:rsid w:val="5827D950"/>
    <w:rsid w:val="58297D73"/>
    <w:rsid w:val="582A29F5"/>
    <w:rsid w:val="582BB849"/>
    <w:rsid w:val="582E2C3A"/>
    <w:rsid w:val="582F2094"/>
    <w:rsid w:val="58314A44"/>
    <w:rsid w:val="5833AEAE"/>
    <w:rsid w:val="5833CBC0"/>
    <w:rsid w:val="5833F844"/>
    <w:rsid w:val="5834A615"/>
    <w:rsid w:val="5835A419"/>
    <w:rsid w:val="5838E162"/>
    <w:rsid w:val="583C7A5D"/>
    <w:rsid w:val="583FA8BE"/>
    <w:rsid w:val="5840E3FD"/>
    <w:rsid w:val="58426988"/>
    <w:rsid w:val="584918C0"/>
    <w:rsid w:val="584A7DDA"/>
    <w:rsid w:val="5850B81C"/>
    <w:rsid w:val="5853E59B"/>
    <w:rsid w:val="586DBA98"/>
    <w:rsid w:val="587240EE"/>
    <w:rsid w:val="5872D16F"/>
    <w:rsid w:val="5879CBF4"/>
    <w:rsid w:val="587BF3AF"/>
    <w:rsid w:val="587CA601"/>
    <w:rsid w:val="587E2D0E"/>
    <w:rsid w:val="587FCB36"/>
    <w:rsid w:val="58870F71"/>
    <w:rsid w:val="58874AFF"/>
    <w:rsid w:val="588DECEF"/>
    <w:rsid w:val="5893D699"/>
    <w:rsid w:val="589547C6"/>
    <w:rsid w:val="589887AC"/>
    <w:rsid w:val="589D67F4"/>
    <w:rsid w:val="589D997D"/>
    <w:rsid w:val="58A4FD61"/>
    <w:rsid w:val="58A5A54A"/>
    <w:rsid w:val="58AC379F"/>
    <w:rsid w:val="58AC4454"/>
    <w:rsid w:val="58ADFA56"/>
    <w:rsid w:val="58AF485C"/>
    <w:rsid w:val="58B170D7"/>
    <w:rsid w:val="58B6B349"/>
    <w:rsid w:val="58BAA141"/>
    <w:rsid w:val="58BF65C0"/>
    <w:rsid w:val="58C50424"/>
    <w:rsid w:val="58C654AE"/>
    <w:rsid w:val="58C75972"/>
    <w:rsid w:val="58C7B749"/>
    <w:rsid w:val="58CC2A47"/>
    <w:rsid w:val="58CDE46A"/>
    <w:rsid w:val="58CE1886"/>
    <w:rsid w:val="58D6F1B3"/>
    <w:rsid w:val="58D7AB36"/>
    <w:rsid w:val="58D8B032"/>
    <w:rsid w:val="58D8C758"/>
    <w:rsid w:val="58DA56EF"/>
    <w:rsid w:val="58DB4578"/>
    <w:rsid w:val="58DD22B3"/>
    <w:rsid w:val="58DD8E5D"/>
    <w:rsid w:val="58E03784"/>
    <w:rsid w:val="58E1453D"/>
    <w:rsid w:val="58E31704"/>
    <w:rsid w:val="58E3458B"/>
    <w:rsid w:val="58E52048"/>
    <w:rsid w:val="58E54DE3"/>
    <w:rsid w:val="58E60425"/>
    <w:rsid w:val="58E788D0"/>
    <w:rsid w:val="58E8E8ED"/>
    <w:rsid w:val="58EA11EF"/>
    <w:rsid w:val="58EC121A"/>
    <w:rsid w:val="58F16FF2"/>
    <w:rsid w:val="58F1CE9E"/>
    <w:rsid w:val="58F9B134"/>
    <w:rsid w:val="58FA426C"/>
    <w:rsid w:val="58FC1FC7"/>
    <w:rsid w:val="58FD49FE"/>
    <w:rsid w:val="58FD7A05"/>
    <w:rsid w:val="58FEC9F1"/>
    <w:rsid w:val="58FFA1B5"/>
    <w:rsid w:val="59071822"/>
    <w:rsid w:val="590738CA"/>
    <w:rsid w:val="5908500A"/>
    <w:rsid w:val="590D480D"/>
    <w:rsid w:val="5912AF79"/>
    <w:rsid w:val="59137479"/>
    <w:rsid w:val="591E1EB5"/>
    <w:rsid w:val="592192F8"/>
    <w:rsid w:val="59222DBE"/>
    <w:rsid w:val="5925B589"/>
    <w:rsid w:val="5925B837"/>
    <w:rsid w:val="59276CDF"/>
    <w:rsid w:val="5928D2C2"/>
    <w:rsid w:val="593B9B90"/>
    <w:rsid w:val="59455F20"/>
    <w:rsid w:val="5945798C"/>
    <w:rsid w:val="59460F36"/>
    <w:rsid w:val="594C5BE1"/>
    <w:rsid w:val="594CCBA6"/>
    <w:rsid w:val="594D71DB"/>
    <w:rsid w:val="594FD4B2"/>
    <w:rsid w:val="594FFA90"/>
    <w:rsid w:val="59526822"/>
    <w:rsid w:val="5955E657"/>
    <w:rsid w:val="595A537D"/>
    <w:rsid w:val="595B8C58"/>
    <w:rsid w:val="595CE899"/>
    <w:rsid w:val="595DAC5B"/>
    <w:rsid w:val="595E80B2"/>
    <w:rsid w:val="595F5F11"/>
    <w:rsid w:val="595FEFBB"/>
    <w:rsid w:val="595FF853"/>
    <w:rsid w:val="596876C6"/>
    <w:rsid w:val="596A2B24"/>
    <w:rsid w:val="596B1791"/>
    <w:rsid w:val="596F0EF0"/>
    <w:rsid w:val="5970917A"/>
    <w:rsid w:val="597151F1"/>
    <w:rsid w:val="597524A1"/>
    <w:rsid w:val="597530C1"/>
    <w:rsid w:val="597868BD"/>
    <w:rsid w:val="597EAB84"/>
    <w:rsid w:val="597F22C8"/>
    <w:rsid w:val="597F2795"/>
    <w:rsid w:val="5985CF29"/>
    <w:rsid w:val="598B3947"/>
    <w:rsid w:val="5990EA1D"/>
    <w:rsid w:val="5991C611"/>
    <w:rsid w:val="5992748B"/>
    <w:rsid w:val="59928090"/>
    <w:rsid w:val="5993B7E5"/>
    <w:rsid w:val="5993D8AA"/>
    <w:rsid w:val="5993ECE3"/>
    <w:rsid w:val="59952FAB"/>
    <w:rsid w:val="59995F01"/>
    <w:rsid w:val="599B8DF3"/>
    <w:rsid w:val="599F7AAD"/>
    <w:rsid w:val="59A2E98F"/>
    <w:rsid w:val="59AED1DC"/>
    <w:rsid w:val="59B61ACB"/>
    <w:rsid w:val="59B9898C"/>
    <w:rsid w:val="59BF2986"/>
    <w:rsid w:val="59BFB00A"/>
    <w:rsid w:val="59C3B3B6"/>
    <w:rsid w:val="59C557D1"/>
    <w:rsid w:val="59CC1EC3"/>
    <w:rsid w:val="59CC585F"/>
    <w:rsid w:val="59DBB19C"/>
    <w:rsid w:val="59E3DF58"/>
    <w:rsid w:val="59E60F6A"/>
    <w:rsid w:val="59E6D180"/>
    <w:rsid w:val="59E9C7CA"/>
    <w:rsid w:val="59EB3FE4"/>
    <w:rsid w:val="59EFCDA6"/>
    <w:rsid w:val="59F03B38"/>
    <w:rsid w:val="59F03F2F"/>
    <w:rsid w:val="59F1F60A"/>
    <w:rsid w:val="59F81C6D"/>
    <w:rsid w:val="59FB5D74"/>
    <w:rsid w:val="59FDDE35"/>
    <w:rsid w:val="5A00869F"/>
    <w:rsid w:val="5A02C232"/>
    <w:rsid w:val="5A02D253"/>
    <w:rsid w:val="5A071ED3"/>
    <w:rsid w:val="5A09CA99"/>
    <w:rsid w:val="5A0A87D2"/>
    <w:rsid w:val="5A10E61E"/>
    <w:rsid w:val="5A12F75B"/>
    <w:rsid w:val="5A191783"/>
    <w:rsid w:val="5A1AC78C"/>
    <w:rsid w:val="5A1ED3E7"/>
    <w:rsid w:val="5A1F0DDE"/>
    <w:rsid w:val="5A272DDB"/>
    <w:rsid w:val="5A29E20B"/>
    <w:rsid w:val="5A2B6D85"/>
    <w:rsid w:val="5A2EBC5F"/>
    <w:rsid w:val="5A316556"/>
    <w:rsid w:val="5A31834D"/>
    <w:rsid w:val="5A352927"/>
    <w:rsid w:val="5A368714"/>
    <w:rsid w:val="5A3705B3"/>
    <w:rsid w:val="5A388996"/>
    <w:rsid w:val="5A3C33C2"/>
    <w:rsid w:val="5A3C83AE"/>
    <w:rsid w:val="5A4B9DD4"/>
    <w:rsid w:val="5A4BDD76"/>
    <w:rsid w:val="5A4BE79C"/>
    <w:rsid w:val="5A4C93FA"/>
    <w:rsid w:val="5A4D56CF"/>
    <w:rsid w:val="5A4D8D57"/>
    <w:rsid w:val="5A4DD2FB"/>
    <w:rsid w:val="5A4DD4AA"/>
    <w:rsid w:val="5A51041C"/>
    <w:rsid w:val="5A5A9322"/>
    <w:rsid w:val="5A63F7BB"/>
    <w:rsid w:val="5A68EC4A"/>
    <w:rsid w:val="5A6A1F89"/>
    <w:rsid w:val="5A6F37D4"/>
    <w:rsid w:val="5A718F85"/>
    <w:rsid w:val="5A7199F8"/>
    <w:rsid w:val="5A75383E"/>
    <w:rsid w:val="5A7B9CFB"/>
    <w:rsid w:val="5A7CE1F6"/>
    <w:rsid w:val="5A7D367C"/>
    <w:rsid w:val="5A7D7904"/>
    <w:rsid w:val="5A8080D2"/>
    <w:rsid w:val="5A833E8B"/>
    <w:rsid w:val="5A84503D"/>
    <w:rsid w:val="5A8489E3"/>
    <w:rsid w:val="5A859066"/>
    <w:rsid w:val="5A863469"/>
    <w:rsid w:val="5A871278"/>
    <w:rsid w:val="5A8D45E9"/>
    <w:rsid w:val="5A91E1CC"/>
    <w:rsid w:val="5A931505"/>
    <w:rsid w:val="5A947ADF"/>
    <w:rsid w:val="5A95A6C0"/>
    <w:rsid w:val="5A9679E1"/>
    <w:rsid w:val="5A969584"/>
    <w:rsid w:val="5A97FA2C"/>
    <w:rsid w:val="5A98787C"/>
    <w:rsid w:val="5A99AE42"/>
    <w:rsid w:val="5A9C7014"/>
    <w:rsid w:val="5A9DBDCD"/>
    <w:rsid w:val="5AA00982"/>
    <w:rsid w:val="5AA1A6B8"/>
    <w:rsid w:val="5AA291E4"/>
    <w:rsid w:val="5AA3565F"/>
    <w:rsid w:val="5AA82488"/>
    <w:rsid w:val="5AAA0E72"/>
    <w:rsid w:val="5AAB45C4"/>
    <w:rsid w:val="5AAC4A99"/>
    <w:rsid w:val="5AAED153"/>
    <w:rsid w:val="5AB0A20D"/>
    <w:rsid w:val="5AB100E1"/>
    <w:rsid w:val="5AB4A01B"/>
    <w:rsid w:val="5AB7B15E"/>
    <w:rsid w:val="5AB7D8E1"/>
    <w:rsid w:val="5AC04B01"/>
    <w:rsid w:val="5AC14EB0"/>
    <w:rsid w:val="5AC1670F"/>
    <w:rsid w:val="5AC1AE43"/>
    <w:rsid w:val="5AC70F81"/>
    <w:rsid w:val="5AC71EA6"/>
    <w:rsid w:val="5AC872FE"/>
    <w:rsid w:val="5ACA4FCF"/>
    <w:rsid w:val="5AD0733E"/>
    <w:rsid w:val="5ADC4314"/>
    <w:rsid w:val="5ADE73AD"/>
    <w:rsid w:val="5ADF0034"/>
    <w:rsid w:val="5ADF4831"/>
    <w:rsid w:val="5ADF580A"/>
    <w:rsid w:val="5AE38824"/>
    <w:rsid w:val="5AE6E007"/>
    <w:rsid w:val="5AEB03BB"/>
    <w:rsid w:val="5AED9B28"/>
    <w:rsid w:val="5AEFAD52"/>
    <w:rsid w:val="5AF10B3A"/>
    <w:rsid w:val="5AF16543"/>
    <w:rsid w:val="5AF5FC6F"/>
    <w:rsid w:val="5AFABB3E"/>
    <w:rsid w:val="5AFBC243"/>
    <w:rsid w:val="5AFBF1C3"/>
    <w:rsid w:val="5AFCADB7"/>
    <w:rsid w:val="5AFCC8AB"/>
    <w:rsid w:val="5B00D3C3"/>
    <w:rsid w:val="5B030210"/>
    <w:rsid w:val="5B039F61"/>
    <w:rsid w:val="5B072F20"/>
    <w:rsid w:val="5B09832A"/>
    <w:rsid w:val="5B0BD41B"/>
    <w:rsid w:val="5B0C2CA6"/>
    <w:rsid w:val="5B14CD72"/>
    <w:rsid w:val="5B161C60"/>
    <w:rsid w:val="5B19D913"/>
    <w:rsid w:val="5B1A0C52"/>
    <w:rsid w:val="5B1AACCE"/>
    <w:rsid w:val="5B1ECB75"/>
    <w:rsid w:val="5B1F32E0"/>
    <w:rsid w:val="5B222AB4"/>
    <w:rsid w:val="5B2455A8"/>
    <w:rsid w:val="5B292929"/>
    <w:rsid w:val="5B29A3DB"/>
    <w:rsid w:val="5B29D5A6"/>
    <w:rsid w:val="5B2AB59F"/>
    <w:rsid w:val="5B2B6E41"/>
    <w:rsid w:val="5B2C683A"/>
    <w:rsid w:val="5B2FC624"/>
    <w:rsid w:val="5B32DF15"/>
    <w:rsid w:val="5B352192"/>
    <w:rsid w:val="5B36B897"/>
    <w:rsid w:val="5B389EBE"/>
    <w:rsid w:val="5B3933B4"/>
    <w:rsid w:val="5B3EF4AE"/>
    <w:rsid w:val="5B415976"/>
    <w:rsid w:val="5B47F838"/>
    <w:rsid w:val="5B4A6063"/>
    <w:rsid w:val="5B4B1974"/>
    <w:rsid w:val="5B4BBB3F"/>
    <w:rsid w:val="5B4D6570"/>
    <w:rsid w:val="5B51F6E9"/>
    <w:rsid w:val="5B548480"/>
    <w:rsid w:val="5B560000"/>
    <w:rsid w:val="5B5F66DE"/>
    <w:rsid w:val="5B6798B0"/>
    <w:rsid w:val="5B6ECFC8"/>
    <w:rsid w:val="5B720424"/>
    <w:rsid w:val="5B75C4CA"/>
    <w:rsid w:val="5B75D34D"/>
    <w:rsid w:val="5B793620"/>
    <w:rsid w:val="5B7C4507"/>
    <w:rsid w:val="5B7F94F5"/>
    <w:rsid w:val="5B8A3260"/>
    <w:rsid w:val="5B8DF0CD"/>
    <w:rsid w:val="5B8EF99C"/>
    <w:rsid w:val="5B905A2C"/>
    <w:rsid w:val="5B9270F2"/>
    <w:rsid w:val="5B93E1D5"/>
    <w:rsid w:val="5B945E08"/>
    <w:rsid w:val="5B9949AB"/>
    <w:rsid w:val="5BA6AC20"/>
    <w:rsid w:val="5BA76BD9"/>
    <w:rsid w:val="5BA8847B"/>
    <w:rsid w:val="5BAFB147"/>
    <w:rsid w:val="5BBDAC76"/>
    <w:rsid w:val="5BBE8BF4"/>
    <w:rsid w:val="5BC49019"/>
    <w:rsid w:val="5BC7FCC3"/>
    <w:rsid w:val="5BC8BA38"/>
    <w:rsid w:val="5BCB92E8"/>
    <w:rsid w:val="5BCBEBAC"/>
    <w:rsid w:val="5BCCCB99"/>
    <w:rsid w:val="5BCDCFAD"/>
    <w:rsid w:val="5BD04BA1"/>
    <w:rsid w:val="5BD22B0E"/>
    <w:rsid w:val="5BD2B561"/>
    <w:rsid w:val="5BD39ACA"/>
    <w:rsid w:val="5BD782E7"/>
    <w:rsid w:val="5BDAF1AF"/>
    <w:rsid w:val="5BE19263"/>
    <w:rsid w:val="5BE9A7CF"/>
    <w:rsid w:val="5BEC55CF"/>
    <w:rsid w:val="5BEFC204"/>
    <w:rsid w:val="5BF33090"/>
    <w:rsid w:val="5BF6523F"/>
    <w:rsid w:val="5BF8F71C"/>
    <w:rsid w:val="5BF96C18"/>
    <w:rsid w:val="5C00961C"/>
    <w:rsid w:val="5C00BE83"/>
    <w:rsid w:val="5C018FA6"/>
    <w:rsid w:val="5C02309D"/>
    <w:rsid w:val="5C0862F5"/>
    <w:rsid w:val="5C0C333A"/>
    <w:rsid w:val="5C157087"/>
    <w:rsid w:val="5C18B70D"/>
    <w:rsid w:val="5C18E9CB"/>
    <w:rsid w:val="5C19C250"/>
    <w:rsid w:val="5C24FC86"/>
    <w:rsid w:val="5C266524"/>
    <w:rsid w:val="5C28E891"/>
    <w:rsid w:val="5C2AA1FE"/>
    <w:rsid w:val="5C3007D4"/>
    <w:rsid w:val="5C329BB6"/>
    <w:rsid w:val="5C337FC6"/>
    <w:rsid w:val="5C3438F8"/>
    <w:rsid w:val="5C3AC324"/>
    <w:rsid w:val="5C3AF791"/>
    <w:rsid w:val="5C444347"/>
    <w:rsid w:val="5C48A19E"/>
    <w:rsid w:val="5C49875C"/>
    <w:rsid w:val="5C4A346D"/>
    <w:rsid w:val="5C4C6C0B"/>
    <w:rsid w:val="5C50B15F"/>
    <w:rsid w:val="5C534689"/>
    <w:rsid w:val="5C545A20"/>
    <w:rsid w:val="5C5C57E1"/>
    <w:rsid w:val="5C64A0E0"/>
    <w:rsid w:val="5C65A0D7"/>
    <w:rsid w:val="5C6CBA00"/>
    <w:rsid w:val="5C6F40A8"/>
    <w:rsid w:val="5C6FA715"/>
    <w:rsid w:val="5C72F6C7"/>
    <w:rsid w:val="5C741C39"/>
    <w:rsid w:val="5C747C6E"/>
    <w:rsid w:val="5C74CBA3"/>
    <w:rsid w:val="5C74E619"/>
    <w:rsid w:val="5C7710C2"/>
    <w:rsid w:val="5C7762C9"/>
    <w:rsid w:val="5C7AF7A6"/>
    <w:rsid w:val="5C7D9743"/>
    <w:rsid w:val="5C889189"/>
    <w:rsid w:val="5C897893"/>
    <w:rsid w:val="5C8B4731"/>
    <w:rsid w:val="5C900692"/>
    <w:rsid w:val="5C90F787"/>
    <w:rsid w:val="5C91D9F3"/>
    <w:rsid w:val="5C9268D8"/>
    <w:rsid w:val="5C940AEA"/>
    <w:rsid w:val="5C97EBE0"/>
    <w:rsid w:val="5C9956C4"/>
    <w:rsid w:val="5C9FD24E"/>
    <w:rsid w:val="5CA00B38"/>
    <w:rsid w:val="5CA04B7D"/>
    <w:rsid w:val="5CA21CE9"/>
    <w:rsid w:val="5CA470F9"/>
    <w:rsid w:val="5CA57D79"/>
    <w:rsid w:val="5CA6B3C2"/>
    <w:rsid w:val="5CAD4642"/>
    <w:rsid w:val="5CB05220"/>
    <w:rsid w:val="5CB0A64B"/>
    <w:rsid w:val="5CB2D608"/>
    <w:rsid w:val="5CB39F73"/>
    <w:rsid w:val="5CB40410"/>
    <w:rsid w:val="5CB856C1"/>
    <w:rsid w:val="5CBC94BE"/>
    <w:rsid w:val="5CC272AC"/>
    <w:rsid w:val="5CC28190"/>
    <w:rsid w:val="5CC56797"/>
    <w:rsid w:val="5CC7F6C8"/>
    <w:rsid w:val="5CCA3470"/>
    <w:rsid w:val="5CCA8E03"/>
    <w:rsid w:val="5CCCF546"/>
    <w:rsid w:val="5CD1F472"/>
    <w:rsid w:val="5CDA5CBD"/>
    <w:rsid w:val="5CDADF64"/>
    <w:rsid w:val="5CDE0333"/>
    <w:rsid w:val="5CE51F35"/>
    <w:rsid w:val="5CE6FCD7"/>
    <w:rsid w:val="5CE7D8E0"/>
    <w:rsid w:val="5CE85D91"/>
    <w:rsid w:val="5CE8D656"/>
    <w:rsid w:val="5CEE859A"/>
    <w:rsid w:val="5CF1E1C3"/>
    <w:rsid w:val="5CF45369"/>
    <w:rsid w:val="5CF53C0E"/>
    <w:rsid w:val="5CF72BAE"/>
    <w:rsid w:val="5CFA4D6B"/>
    <w:rsid w:val="5CFA6EBC"/>
    <w:rsid w:val="5CFABBDD"/>
    <w:rsid w:val="5CFBD30D"/>
    <w:rsid w:val="5CFE4843"/>
    <w:rsid w:val="5CFF8F63"/>
    <w:rsid w:val="5D01A09D"/>
    <w:rsid w:val="5D0895E2"/>
    <w:rsid w:val="5D0A3E8D"/>
    <w:rsid w:val="5D0D8909"/>
    <w:rsid w:val="5D0FD9C7"/>
    <w:rsid w:val="5D102461"/>
    <w:rsid w:val="5D13134C"/>
    <w:rsid w:val="5D13613B"/>
    <w:rsid w:val="5D138854"/>
    <w:rsid w:val="5D16D8FF"/>
    <w:rsid w:val="5D19FA47"/>
    <w:rsid w:val="5D1B31A0"/>
    <w:rsid w:val="5D1C2B4B"/>
    <w:rsid w:val="5D212BB7"/>
    <w:rsid w:val="5D259AFA"/>
    <w:rsid w:val="5D261878"/>
    <w:rsid w:val="5D29DE13"/>
    <w:rsid w:val="5D2C80D3"/>
    <w:rsid w:val="5D35386A"/>
    <w:rsid w:val="5D3FDE2F"/>
    <w:rsid w:val="5D4534CD"/>
    <w:rsid w:val="5D4F7C0C"/>
    <w:rsid w:val="5D52B7D1"/>
    <w:rsid w:val="5D56BE03"/>
    <w:rsid w:val="5D571131"/>
    <w:rsid w:val="5D5B420B"/>
    <w:rsid w:val="5D5D080B"/>
    <w:rsid w:val="5D6474AC"/>
    <w:rsid w:val="5D6A51B6"/>
    <w:rsid w:val="5D6DA32C"/>
    <w:rsid w:val="5D6E5C03"/>
    <w:rsid w:val="5D719362"/>
    <w:rsid w:val="5D7FD07C"/>
    <w:rsid w:val="5D80A7EE"/>
    <w:rsid w:val="5D816D2D"/>
    <w:rsid w:val="5D819AC9"/>
    <w:rsid w:val="5D823AB1"/>
    <w:rsid w:val="5D8671F9"/>
    <w:rsid w:val="5D877769"/>
    <w:rsid w:val="5D8A9D97"/>
    <w:rsid w:val="5D8D59B3"/>
    <w:rsid w:val="5D8E82C7"/>
    <w:rsid w:val="5D97757B"/>
    <w:rsid w:val="5D979057"/>
    <w:rsid w:val="5D97C396"/>
    <w:rsid w:val="5D9F7611"/>
    <w:rsid w:val="5DA01F00"/>
    <w:rsid w:val="5DA1C916"/>
    <w:rsid w:val="5DA1D80A"/>
    <w:rsid w:val="5DA9EA79"/>
    <w:rsid w:val="5DA9F68B"/>
    <w:rsid w:val="5DAEA505"/>
    <w:rsid w:val="5DB2D1DA"/>
    <w:rsid w:val="5DB533C3"/>
    <w:rsid w:val="5DB5B231"/>
    <w:rsid w:val="5DBF3EE6"/>
    <w:rsid w:val="5DBFB5DF"/>
    <w:rsid w:val="5DC095E6"/>
    <w:rsid w:val="5DC790A1"/>
    <w:rsid w:val="5DD0D6DD"/>
    <w:rsid w:val="5DD3AD90"/>
    <w:rsid w:val="5DD683D2"/>
    <w:rsid w:val="5DD750C5"/>
    <w:rsid w:val="5DDDDBF8"/>
    <w:rsid w:val="5DE254C5"/>
    <w:rsid w:val="5DE258C8"/>
    <w:rsid w:val="5DE3D6FF"/>
    <w:rsid w:val="5DE7048C"/>
    <w:rsid w:val="5DE8D547"/>
    <w:rsid w:val="5DEAD90D"/>
    <w:rsid w:val="5DEB1E10"/>
    <w:rsid w:val="5DEB3A37"/>
    <w:rsid w:val="5DF1E6B1"/>
    <w:rsid w:val="5DFD5AD6"/>
    <w:rsid w:val="5E01A0FD"/>
    <w:rsid w:val="5E0690D4"/>
    <w:rsid w:val="5E09210E"/>
    <w:rsid w:val="5E093CE0"/>
    <w:rsid w:val="5E0EDCD6"/>
    <w:rsid w:val="5E10020E"/>
    <w:rsid w:val="5E12F709"/>
    <w:rsid w:val="5E16341F"/>
    <w:rsid w:val="5E164245"/>
    <w:rsid w:val="5E16D81B"/>
    <w:rsid w:val="5E16E575"/>
    <w:rsid w:val="5E1A5990"/>
    <w:rsid w:val="5E285FAE"/>
    <w:rsid w:val="5E291A0A"/>
    <w:rsid w:val="5E2C16F4"/>
    <w:rsid w:val="5E2EA3B9"/>
    <w:rsid w:val="5E2FB57D"/>
    <w:rsid w:val="5E35137E"/>
    <w:rsid w:val="5E3694B1"/>
    <w:rsid w:val="5E3CAF20"/>
    <w:rsid w:val="5E3F6456"/>
    <w:rsid w:val="5E40095C"/>
    <w:rsid w:val="5E40578D"/>
    <w:rsid w:val="5E43EC87"/>
    <w:rsid w:val="5E48A52E"/>
    <w:rsid w:val="5E49B720"/>
    <w:rsid w:val="5E4A6378"/>
    <w:rsid w:val="5E4CAC28"/>
    <w:rsid w:val="5E561D6C"/>
    <w:rsid w:val="5E6549F3"/>
    <w:rsid w:val="5E67D587"/>
    <w:rsid w:val="5E6987ED"/>
    <w:rsid w:val="5E6A3882"/>
    <w:rsid w:val="5E6C4339"/>
    <w:rsid w:val="5E6CA270"/>
    <w:rsid w:val="5E6FB500"/>
    <w:rsid w:val="5E745E67"/>
    <w:rsid w:val="5E7B1FA2"/>
    <w:rsid w:val="5E7F17F0"/>
    <w:rsid w:val="5E809108"/>
    <w:rsid w:val="5E821768"/>
    <w:rsid w:val="5E838356"/>
    <w:rsid w:val="5E845718"/>
    <w:rsid w:val="5E870882"/>
    <w:rsid w:val="5E889080"/>
    <w:rsid w:val="5E8AC020"/>
    <w:rsid w:val="5E8C852F"/>
    <w:rsid w:val="5E8F9E26"/>
    <w:rsid w:val="5E96CDA9"/>
    <w:rsid w:val="5E9815C0"/>
    <w:rsid w:val="5E989AB8"/>
    <w:rsid w:val="5E98FA9B"/>
    <w:rsid w:val="5E9B94A3"/>
    <w:rsid w:val="5E9BB0F2"/>
    <w:rsid w:val="5EA0A1D2"/>
    <w:rsid w:val="5EA0E9F4"/>
    <w:rsid w:val="5EA11F32"/>
    <w:rsid w:val="5EA69C14"/>
    <w:rsid w:val="5EAC1B0D"/>
    <w:rsid w:val="5EAE2429"/>
    <w:rsid w:val="5EB31A46"/>
    <w:rsid w:val="5EB55E04"/>
    <w:rsid w:val="5EB5984B"/>
    <w:rsid w:val="5EB95D22"/>
    <w:rsid w:val="5EBD6C34"/>
    <w:rsid w:val="5EC0B272"/>
    <w:rsid w:val="5EC2C457"/>
    <w:rsid w:val="5EC440B5"/>
    <w:rsid w:val="5EC6CB12"/>
    <w:rsid w:val="5EC77B00"/>
    <w:rsid w:val="5EC7A82D"/>
    <w:rsid w:val="5EC9A4C7"/>
    <w:rsid w:val="5ED51577"/>
    <w:rsid w:val="5ED6F77E"/>
    <w:rsid w:val="5ED7D4E7"/>
    <w:rsid w:val="5EE20AD2"/>
    <w:rsid w:val="5EE56630"/>
    <w:rsid w:val="5EEBAD91"/>
    <w:rsid w:val="5EEEE575"/>
    <w:rsid w:val="5EF005B0"/>
    <w:rsid w:val="5EF0344C"/>
    <w:rsid w:val="5EF2DE29"/>
    <w:rsid w:val="5EF5BA3E"/>
    <w:rsid w:val="5EFA08C9"/>
    <w:rsid w:val="5EFBEAB7"/>
    <w:rsid w:val="5F012A6E"/>
    <w:rsid w:val="5F01440F"/>
    <w:rsid w:val="5F07217E"/>
    <w:rsid w:val="5F095CA4"/>
    <w:rsid w:val="5F13E0F8"/>
    <w:rsid w:val="5F1494A1"/>
    <w:rsid w:val="5F175896"/>
    <w:rsid w:val="5F1B56B1"/>
    <w:rsid w:val="5F227C57"/>
    <w:rsid w:val="5F24BA1E"/>
    <w:rsid w:val="5F2A39D2"/>
    <w:rsid w:val="5F2D7ECC"/>
    <w:rsid w:val="5F399BF1"/>
    <w:rsid w:val="5F45954F"/>
    <w:rsid w:val="5F4D7A55"/>
    <w:rsid w:val="5F53E6BD"/>
    <w:rsid w:val="5F544167"/>
    <w:rsid w:val="5F5DF717"/>
    <w:rsid w:val="5F5F42BB"/>
    <w:rsid w:val="5F5F91BC"/>
    <w:rsid w:val="5F631E75"/>
    <w:rsid w:val="5F66F59E"/>
    <w:rsid w:val="5F6A7405"/>
    <w:rsid w:val="5F6B7E0B"/>
    <w:rsid w:val="5F6FBD93"/>
    <w:rsid w:val="5F756364"/>
    <w:rsid w:val="5F7B0383"/>
    <w:rsid w:val="5F7F964A"/>
    <w:rsid w:val="5F80BB1A"/>
    <w:rsid w:val="5F83C9FF"/>
    <w:rsid w:val="5F87E510"/>
    <w:rsid w:val="5F8FE05E"/>
    <w:rsid w:val="5F908E8C"/>
    <w:rsid w:val="5F92BB10"/>
    <w:rsid w:val="5F93374F"/>
    <w:rsid w:val="5F950CA8"/>
    <w:rsid w:val="5F962BFB"/>
    <w:rsid w:val="5F9BCE84"/>
    <w:rsid w:val="5F9C8BD7"/>
    <w:rsid w:val="5FAA1948"/>
    <w:rsid w:val="5FAA4453"/>
    <w:rsid w:val="5FB0C12B"/>
    <w:rsid w:val="5FB2564F"/>
    <w:rsid w:val="5FB270B5"/>
    <w:rsid w:val="5FBB98C0"/>
    <w:rsid w:val="5FBDC76A"/>
    <w:rsid w:val="5FBE5AFD"/>
    <w:rsid w:val="5FC0A795"/>
    <w:rsid w:val="5FC0E72C"/>
    <w:rsid w:val="5FC0F4BE"/>
    <w:rsid w:val="5FC153F3"/>
    <w:rsid w:val="5FC3D19C"/>
    <w:rsid w:val="5FCE14AB"/>
    <w:rsid w:val="5FD2ECC4"/>
    <w:rsid w:val="5FD7C90F"/>
    <w:rsid w:val="5FD8D7ED"/>
    <w:rsid w:val="5FDA54C1"/>
    <w:rsid w:val="5FDDCE3E"/>
    <w:rsid w:val="5FDEF2E1"/>
    <w:rsid w:val="5FE150F5"/>
    <w:rsid w:val="5FE19F83"/>
    <w:rsid w:val="5FE94713"/>
    <w:rsid w:val="5FEA25D6"/>
    <w:rsid w:val="5FEE08A4"/>
    <w:rsid w:val="5FEF3715"/>
    <w:rsid w:val="5FF172C1"/>
    <w:rsid w:val="5FF1841F"/>
    <w:rsid w:val="5FF2D9DD"/>
    <w:rsid w:val="5FF30FEF"/>
    <w:rsid w:val="5FF482CA"/>
    <w:rsid w:val="5FF520A4"/>
    <w:rsid w:val="5FF73689"/>
    <w:rsid w:val="5FF789FC"/>
    <w:rsid w:val="5FFB5F1C"/>
    <w:rsid w:val="5FFC4FD8"/>
    <w:rsid w:val="6000836E"/>
    <w:rsid w:val="6001550C"/>
    <w:rsid w:val="60027B83"/>
    <w:rsid w:val="6004366B"/>
    <w:rsid w:val="6007EA8E"/>
    <w:rsid w:val="600BA65B"/>
    <w:rsid w:val="600CF770"/>
    <w:rsid w:val="600D8E93"/>
    <w:rsid w:val="600FD708"/>
    <w:rsid w:val="60107037"/>
    <w:rsid w:val="60134592"/>
    <w:rsid w:val="6017FCDC"/>
    <w:rsid w:val="60181CA9"/>
    <w:rsid w:val="601AD634"/>
    <w:rsid w:val="601EECF6"/>
    <w:rsid w:val="6021C8B4"/>
    <w:rsid w:val="60222BC6"/>
    <w:rsid w:val="60234DFC"/>
    <w:rsid w:val="60264CBE"/>
    <w:rsid w:val="602B7A07"/>
    <w:rsid w:val="6030904B"/>
    <w:rsid w:val="60314AE3"/>
    <w:rsid w:val="6034E857"/>
    <w:rsid w:val="603AFD16"/>
    <w:rsid w:val="603BCC44"/>
    <w:rsid w:val="603E3CDA"/>
    <w:rsid w:val="603F3095"/>
    <w:rsid w:val="60440B72"/>
    <w:rsid w:val="60484AA4"/>
    <w:rsid w:val="604A71ED"/>
    <w:rsid w:val="604D067A"/>
    <w:rsid w:val="60520AF4"/>
    <w:rsid w:val="60534F1E"/>
    <w:rsid w:val="60543A5E"/>
    <w:rsid w:val="6055A10A"/>
    <w:rsid w:val="6055FDA5"/>
    <w:rsid w:val="6059D8B6"/>
    <w:rsid w:val="605A032E"/>
    <w:rsid w:val="605C779A"/>
    <w:rsid w:val="605C9748"/>
    <w:rsid w:val="6062AF13"/>
    <w:rsid w:val="6062BA0F"/>
    <w:rsid w:val="606525F4"/>
    <w:rsid w:val="606967DE"/>
    <w:rsid w:val="606D9D0B"/>
    <w:rsid w:val="606E0209"/>
    <w:rsid w:val="6070F339"/>
    <w:rsid w:val="6071B6B9"/>
    <w:rsid w:val="6071EE6C"/>
    <w:rsid w:val="6075B2EE"/>
    <w:rsid w:val="60814ECF"/>
    <w:rsid w:val="6081A722"/>
    <w:rsid w:val="608456FA"/>
    <w:rsid w:val="6086AEAE"/>
    <w:rsid w:val="608AB756"/>
    <w:rsid w:val="608B8B92"/>
    <w:rsid w:val="608FD6A0"/>
    <w:rsid w:val="6091F440"/>
    <w:rsid w:val="6092EBA7"/>
    <w:rsid w:val="6093599D"/>
    <w:rsid w:val="6095F015"/>
    <w:rsid w:val="60B72DCB"/>
    <w:rsid w:val="60BD0A05"/>
    <w:rsid w:val="60BEC51E"/>
    <w:rsid w:val="60BF6C23"/>
    <w:rsid w:val="60BF9F21"/>
    <w:rsid w:val="60C03BFF"/>
    <w:rsid w:val="60C22D73"/>
    <w:rsid w:val="60C9F27C"/>
    <w:rsid w:val="60CBC22A"/>
    <w:rsid w:val="60CBC65F"/>
    <w:rsid w:val="60D1A00B"/>
    <w:rsid w:val="60D2D689"/>
    <w:rsid w:val="60D55212"/>
    <w:rsid w:val="60D6471C"/>
    <w:rsid w:val="60D7280A"/>
    <w:rsid w:val="60DA573D"/>
    <w:rsid w:val="60DF1966"/>
    <w:rsid w:val="60E8A54A"/>
    <w:rsid w:val="60EAC4DC"/>
    <w:rsid w:val="60EBB574"/>
    <w:rsid w:val="60F0241B"/>
    <w:rsid w:val="60F7678C"/>
    <w:rsid w:val="60F91111"/>
    <w:rsid w:val="60FD4811"/>
    <w:rsid w:val="60FE9B66"/>
    <w:rsid w:val="61058539"/>
    <w:rsid w:val="610656C7"/>
    <w:rsid w:val="610D0EA9"/>
    <w:rsid w:val="6112D63B"/>
    <w:rsid w:val="61153DF0"/>
    <w:rsid w:val="61157ED3"/>
    <w:rsid w:val="61161F16"/>
    <w:rsid w:val="6118AED2"/>
    <w:rsid w:val="611F441B"/>
    <w:rsid w:val="6121F4C2"/>
    <w:rsid w:val="6122AB2F"/>
    <w:rsid w:val="61277983"/>
    <w:rsid w:val="612ABF65"/>
    <w:rsid w:val="612AE38A"/>
    <w:rsid w:val="613048B2"/>
    <w:rsid w:val="6131EE3B"/>
    <w:rsid w:val="6132CFDD"/>
    <w:rsid w:val="6132F0F9"/>
    <w:rsid w:val="6136CB8C"/>
    <w:rsid w:val="613762C3"/>
    <w:rsid w:val="61377A14"/>
    <w:rsid w:val="6137F77B"/>
    <w:rsid w:val="61394C08"/>
    <w:rsid w:val="613E0313"/>
    <w:rsid w:val="6142D415"/>
    <w:rsid w:val="61436EFD"/>
    <w:rsid w:val="6144A542"/>
    <w:rsid w:val="6146DB22"/>
    <w:rsid w:val="614C2182"/>
    <w:rsid w:val="614F8ACA"/>
    <w:rsid w:val="61514702"/>
    <w:rsid w:val="615B5A3A"/>
    <w:rsid w:val="616EE62C"/>
    <w:rsid w:val="6170DD1A"/>
    <w:rsid w:val="61796FB8"/>
    <w:rsid w:val="617AC110"/>
    <w:rsid w:val="617AC4EA"/>
    <w:rsid w:val="617DE8C4"/>
    <w:rsid w:val="617E8C50"/>
    <w:rsid w:val="617EC2FD"/>
    <w:rsid w:val="617F17DC"/>
    <w:rsid w:val="618255B3"/>
    <w:rsid w:val="6188E102"/>
    <w:rsid w:val="61897AA7"/>
    <w:rsid w:val="618B8A39"/>
    <w:rsid w:val="618D72E5"/>
    <w:rsid w:val="619379B0"/>
    <w:rsid w:val="61967B8E"/>
    <w:rsid w:val="61984042"/>
    <w:rsid w:val="619B8A97"/>
    <w:rsid w:val="619C4EEA"/>
    <w:rsid w:val="619C92D4"/>
    <w:rsid w:val="619FDC36"/>
    <w:rsid w:val="61A156B8"/>
    <w:rsid w:val="61A7442B"/>
    <w:rsid w:val="61A8E729"/>
    <w:rsid w:val="61AA26D5"/>
    <w:rsid w:val="61B0C3F5"/>
    <w:rsid w:val="61B11692"/>
    <w:rsid w:val="61B215DD"/>
    <w:rsid w:val="61B4A76A"/>
    <w:rsid w:val="61B8FE2B"/>
    <w:rsid w:val="61BEC3FB"/>
    <w:rsid w:val="61C14263"/>
    <w:rsid w:val="61C973AB"/>
    <w:rsid w:val="61CCBE0F"/>
    <w:rsid w:val="61CE62BF"/>
    <w:rsid w:val="61D298BD"/>
    <w:rsid w:val="61D37E89"/>
    <w:rsid w:val="61D4A59D"/>
    <w:rsid w:val="61D5B681"/>
    <w:rsid w:val="61D7CE06"/>
    <w:rsid w:val="61D8FAA3"/>
    <w:rsid w:val="61D90F9E"/>
    <w:rsid w:val="61DD539F"/>
    <w:rsid w:val="61DDFF7F"/>
    <w:rsid w:val="61DE0359"/>
    <w:rsid w:val="61E19FBB"/>
    <w:rsid w:val="61E1C3C7"/>
    <w:rsid w:val="61E27409"/>
    <w:rsid w:val="61E35F7F"/>
    <w:rsid w:val="61E6EC06"/>
    <w:rsid w:val="61E8D282"/>
    <w:rsid w:val="61ECC582"/>
    <w:rsid w:val="61EF6CAA"/>
    <w:rsid w:val="61F04155"/>
    <w:rsid w:val="61F3E35E"/>
    <w:rsid w:val="61F47019"/>
    <w:rsid w:val="61F56AAE"/>
    <w:rsid w:val="61F67B80"/>
    <w:rsid w:val="61F847B8"/>
    <w:rsid w:val="61FC6376"/>
    <w:rsid w:val="61FC80FE"/>
    <w:rsid w:val="61FDB459"/>
    <w:rsid w:val="62039DC3"/>
    <w:rsid w:val="6205C1AA"/>
    <w:rsid w:val="620920C3"/>
    <w:rsid w:val="620E363B"/>
    <w:rsid w:val="62101B8F"/>
    <w:rsid w:val="621106DC"/>
    <w:rsid w:val="6212B3A6"/>
    <w:rsid w:val="6216DD3F"/>
    <w:rsid w:val="621E2E56"/>
    <w:rsid w:val="621FB416"/>
    <w:rsid w:val="621FB53F"/>
    <w:rsid w:val="622AD7D2"/>
    <w:rsid w:val="622B9B65"/>
    <w:rsid w:val="622C111B"/>
    <w:rsid w:val="622E23D2"/>
    <w:rsid w:val="6232DEE4"/>
    <w:rsid w:val="6233588A"/>
    <w:rsid w:val="62360E40"/>
    <w:rsid w:val="62373091"/>
    <w:rsid w:val="62382E30"/>
    <w:rsid w:val="623BED66"/>
    <w:rsid w:val="62425270"/>
    <w:rsid w:val="6244E8C6"/>
    <w:rsid w:val="62492EB6"/>
    <w:rsid w:val="624BFA0B"/>
    <w:rsid w:val="624C2B59"/>
    <w:rsid w:val="624CBE4E"/>
    <w:rsid w:val="624E548F"/>
    <w:rsid w:val="62513CEC"/>
    <w:rsid w:val="6252D8F9"/>
    <w:rsid w:val="625CDD71"/>
    <w:rsid w:val="625D6D10"/>
    <w:rsid w:val="625D8ED0"/>
    <w:rsid w:val="6263E189"/>
    <w:rsid w:val="626BA446"/>
    <w:rsid w:val="626E119D"/>
    <w:rsid w:val="6272D5C0"/>
    <w:rsid w:val="627415E4"/>
    <w:rsid w:val="62747CBB"/>
    <w:rsid w:val="6274C358"/>
    <w:rsid w:val="6274DED3"/>
    <w:rsid w:val="62754C27"/>
    <w:rsid w:val="627B38E1"/>
    <w:rsid w:val="627DCD9F"/>
    <w:rsid w:val="627EDDCA"/>
    <w:rsid w:val="62816384"/>
    <w:rsid w:val="6287398B"/>
    <w:rsid w:val="6287A11F"/>
    <w:rsid w:val="6289520C"/>
    <w:rsid w:val="628DF572"/>
    <w:rsid w:val="628EF3CC"/>
    <w:rsid w:val="6295E646"/>
    <w:rsid w:val="629A6E6D"/>
    <w:rsid w:val="629BBB8E"/>
    <w:rsid w:val="62A14F0E"/>
    <w:rsid w:val="62A3FBF3"/>
    <w:rsid w:val="62AEF551"/>
    <w:rsid w:val="62B19D63"/>
    <w:rsid w:val="62B5487E"/>
    <w:rsid w:val="62B5E132"/>
    <w:rsid w:val="62B9B5DF"/>
    <w:rsid w:val="62C250CD"/>
    <w:rsid w:val="62C73AE4"/>
    <w:rsid w:val="62CA32A4"/>
    <w:rsid w:val="62CF63CB"/>
    <w:rsid w:val="62D16B4D"/>
    <w:rsid w:val="62D25E81"/>
    <w:rsid w:val="62D82974"/>
    <w:rsid w:val="62DD93EE"/>
    <w:rsid w:val="62E1FDCC"/>
    <w:rsid w:val="62E5DCB9"/>
    <w:rsid w:val="62E92147"/>
    <w:rsid w:val="62EA60CC"/>
    <w:rsid w:val="62EAEDC7"/>
    <w:rsid w:val="62EB9309"/>
    <w:rsid w:val="62EF48D1"/>
    <w:rsid w:val="62F436BE"/>
    <w:rsid w:val="62F68D40"/>
    <w:rsid w:val="62F8361D"/>
    <w:rsid w:val="62FC5202"/>
    <w:rsid w:val="62FF4260"/>
    <w:rsid w:val="63032FE0"/>
    <w:rsid w:val="63034527"/>
    <w:rsid w:val="630D63B2"/>
    <w:rsid w:val="6311D3F0"/>
    <w:rsid w:val="6316A537"/>
    <w:rsid w:val="631AA54C"/>
    <w:rsid w:val="631BD705"/>
    <w:rsid w:val="6320AEF4"/>
    <w:rsid w:val="63255A35"/>
    <w:rsid w:val="632C8849"/>
    <w:rsid w:val="632D6A08"/>
    <w:rsid w:val="632DE917"/>
    <w:rsid w:val="6331498C"/>
    <w:rsid w:val="633507BF"/>
    <w:rsid w:val="6337AE3D"/>
    <w:rsid w:val="63460E02"/>
    <w:rsid w:val="6347961A"/>
    <w:rsid w:val="634FB760"/>
    <w:rsid w:val="63550A72"/>
    <w:rsid w:val="6359A613"/>
    <w:rsid w:val="635D029D"/>
    <w:rsid w:val="636950C8"/>
    <w:rsid w:val="6369E1F0"/>
    <w:rsid w:val="636BF153"/>
    <w:rsid w:val="6372BB77"/>
    <w:rsid w:val="63766903"/>
    <w:rsid w:val="63833B0B"/>
    <w:rsid w:val="6383C0AB"/>
    <w:rsid w:val="63845E6B"/>
    <w:rsid w:val="638C8BA1"/>
    <w:rsid w:val="638D7704"/>
    <w:rsid w:val="638E7837"/>
    <w:rsid w:val="6397CD00"/>
    <w:rsid w:val="63A36865"/>
    <w:rsid w:val="63A3FF96"/>
    <w:rsid w:val="63A9EF88"/>
    <w:rsid w:val="63A9F434"/>
    <w:rsid w:val="63AA916E"/>
    <w:rsid w:val="63AC8297"/>
    <w:rsid w:val="63B3D81B"/>
    <w:rsid w:val="63B85403"/>
    <w:rsid w:val="63C01960"/>
    <w:rsid w:val="63C08255"/>
    <w:rsid w:val="63C0FCCE"/>
    <w:rsid w:val="63C2721B"/>
    <w:rsid w:val="63C43E89"/>
    <w:rsid w:val="63C57B47"/>
    <w:rsid w:val="63CDBD20"/>
    <w:rsid w:val="63CFD57B"/>
    <w:rsid w:val="63D45058"/>
    <w:rsid w:val="63D55A7F"/>
    <w:rsid w:val="63D58639"/>
    <w:rsid w:val="63D9AF5D"/>
    <w:rsid w:val="63DF5336"/>
    <w:rsid w:val="63E388AA"/>
    <w:rsid w:val="63E77C54"/>
    <w:rsid w:val="63EA3E8E"/>
    <w:rsid w:val="63EAD411"/>
    <w:rsid w:val="63EB353C"/>
    <w:rsid w:val="63EBA656"/>
    <w:rsid w:val="63F1E0B2"/>
    <w:rsid w:val="63F20281"/>
    <w:rsid w:val="63F2587F"/>
    <w:rsid w:val="63F3AFAB"/>
    <w:rsid w:val="63F9806D"/>
    <w:rsid w:val="63FA9559"/>
    <w:rsid w:val="63FBCD0C"/>
    <w:rsid w:val="63FCB389"/>
    <w:rsid w:val="640088D8"/>
    <w:rsid w:val="6400D71B"/>
    <w:rsid w:val="6402BC8D"/>
    <w:rsid w:val="6409A7DC"/>
    <w:rsid w:val="640A0B7B"/>
    <w:rsid w:val="6412BA46"/>
    <w:rsid w:val="641602D2"/>
    <w:rsid w:val="6418226C"/>
    <w:rsid w:val="6418E4CE"/>
    <w:rsid w:val="641BEECC"/>
    <w:rsid w:val="6420966E"/>
    <w:rsid w:val="642248D7"/>
    <w:rsid w:val="64236CA7"/>
    <w:rsid w:val="64260A07"/>
    <w:rsid w:val="64272670"/>
    <w:rsid w:val="64282C6B"/>
    <w:rsid w:val="64286787"/>
    <w:rsid w:val="6428A93C"/>
    <w:rsid w:val="642A394C"/>
    <w:rsid w:val="642D5D27"/>
    <w:rsid w:val="64322920"/>
    <w:rsid w:val="6432C529"/>
    <w:rsid w:val="64390D8E"/>
    <w:rsid w:val="643CEA85"/>
    <w:rsid w:val="644050BA"/>
    <w:rsid w:val="6441CB5E"/>
    <w:rsid w:val="64434916"/>
    <w:rsid w:val="6445184C"/>
    <w:rsid w:val="6446990B"/>
    <w:rsid w:val="6447D221"/>
    <w:rsid w:val="644BB200"/>
    <w:rsid w:val="644E29D8"/>
    <w:rsid w:val="644EA10F"/>
    <w:rsid w:val="6454DEDC"/>
    <w:rsid w:val="6454FE8A"/>
    <w:rsid w:val="64553618"/>
    <w:rsid w:val="6455FA10"/>
    <w:rsid w:val="645CBC59"/>
    <w:rsid w:val="646482BD"/>
    <w:rsid w:val="6465D866"/>
    <w:rsid w:val="64666366"/>
    <w:rsid w:val="64680134"/>
    <w:rsid w:val="646BA09C"/>
    <w:rsid w:val="646BE25A"/>
    <w:rsid w:val="646CB0C3"/>
    <w:rsid w:val="6472E636"/>
    <w:rsid w:val="6473B863"/>
    <w:rsid w:val="6473C245"/>
    <w:rsid w:val="6473EACA"/>
    <w:rsid w:val="6474609C"/>
    <w:rsid w:val="648691FB"/>
    <w:rsid w:val="64876D1C"/>
    <w:rsid w:val="64883BAE"/>
    <w:rsid w:val="6488AAED"/>
    <w:rsid w:val="6489112D"/>
    <w:rsid w:val="648EC9D8"/>
    <w:rsid w:val="64952F4F"/>
    <w:rsid w:val="64956E80"/>
    <w:rsid w:val="64972345"/>
    <w:rsid w:val="6499467E"/>
    <w:rsid w:val="649AD901"/>
    <w:rsid w:val="649DC8EF"/>
    <w:rsid w:val="64A3E50B"/>
    <w:rsid w:val="64A8F892"/>
    <w:rsid w:val="64AB2F7F"/>
    <w:rsid w:val="64AC45DF"/>
    <w:rsid w:val="64B8F030"/>
    <w:rsid w:val="64B96267"/>
    <w:rsid w:val="64B96893"/>
    <w:rsid w:val="64C270B8"/>
    <w:rsid w:val="64C2927B"/>
    <w:rsid w:val="64C7110E"/>
    <w:rsid w:val="64C874EA"/>
    <w:rsid w:val="64CA12CB"/>
    <w:rsid w:val="64CABEEB"/>
    <w:rsid w:val="64CD2431"/>
    <w:rsid w:val="64D75B46"/>
    <w:rsid w:val="64D80315"/>
    <w:rsid w:val="64D8FB8B"/>
    <w:rsid w:val="64DB184A"/>
    <w:rsid w:val="64E13CF4"/>
    <w:rsid w:val="64E165D0"/>
    <w:rsid w:val="64E16A91"/>
    <w:rsid w:val="64E2BE52"/>
    <w:rsid w:val="64E54868"/>
    <w:rsid w:val="64E6B546"/>
    <w:rsid w:val="64E7781F"/>
    <w:rsid w:val="64EDE7B1"/>
    <w:rsid w:val="64F62C61"/>
    <w:rsid w:val="64F9EE7B"/>
    <w:rsid w:val="64FADF69"/>
    <w:rsid w:val="650198BA"/>
    <w:rsid w:val="6503FFB8"/>
    <w:rsid w:val="65087D03"/>
    <w:rsid w:val="65093C25"/>
    <w:rsid w:val="650CCC09"/>
    <w:rsid w:val="650E4C16"/>
    <w:rsid w:val="65195F1D"/>
    <w:rsid w:val="651AE464"/>
    <w:rsid w:val="651EA76E"/>
    <w:rsid w:val="651EB351"/>
    <w:rsid w:val="651EE061"/>
    <w:rsid w:val="652462E2"/>
    <w:rsid w:val="65249D44"/>
    <w:rsid w:val="6526238C"/>
    <w:rsid w:val="65277951"/>
    <w:rsid w:val="652948F3"/>
    <w:rsid w:val="652AF153"/>
    <w:rsid w:val="652F9202"/>
    <w:rsid w:val="653061AC"/>
    <w:rsid w:val="653A3A14"/>
    <w:rsid w:val="653A6C67"/>
    <w:rsid w:val="653B256E"/>
    <w:rsid w:val="65407B2C"/>
    <w:rsid w:val="654964D4"/>
    <w:rsid w:val="654DD7B9"/>
    <w:rsid w:val="65503A55"/>
    <w:rsid w:val="65530887"/>
    <w:rsid w:val="6553DA68"/>
    <w:rsid w:val="6558B501"/>
    <w:rsid w:val="655BB9CB"/>
    <w:rsid w:val="655C899F"/>
    <w:rsid w:val="6561816A"/>
    <w:rsid w:val="65656328"/>
    <w:rsid w:val="6568A53D"/>
    <w:rsid w:val="65730280"/>
    <w:rsid w:val="6578E0FD"/>
    <w:rsid w:val="6579DC4D"/>
    <w:rsid w:val="657DA316"/>
    <w:rsid w:val="65873EA6"/>
    <w:rsid w:val="6589F6E8"/>
    <w:rsid w:val="658B4F98"/>
    <w:rsid w:val="65975E38"/>
    <w:rsid w:val="6599F91F"/>
    <w:rsid w:val="65A2B072"/>
    <w:rsid w:val="65A5855E"/>
    <w:rsid w:val="65A631FC"/>
    <w:rsid w:val="65ACE374"/>
    <w:rsid w:val="65AEF5CD"/>
    <w:rsid w:val="65B03B86"/>
    <w:rsid w:val="65B0738E"/>
    <w:rsid w:val="65BA4904"/>
    <w:rsid w:val="65BD1620"/>
    <w:rsid w:val="65C6240D"/>
    <w:rsid w:val="65CBB473"/>
    <w:rsid w:val="65CD34FB"/>
    <w:rsid w:val="65CD42EF"/>
    <w:rsid w:val="65DAAEEF"/>
    <w:rsid w:val="65DEDA17"/>
    <w:rsid w:val="65E9BACC"/>
    <w:rsid w:val="65E9C6C9"/>
    <w:rsid w:val="65F5E394"/>
    <w:rsid w:val="65F90B7F"/>
    <w:rsid w:val="6604CAFF"/>
    <w:rsid w:val="6605273A"/>
    <w:rsid w:val="660DEBDD"/>
    <w:rsid w:val="661339A5"/>
    <w:rsid w:val="66173000"/>
    <w:rsid w:val="661788E0"/>
    <w:rsid w:val="6619E3A6"/>
    <w:rsid w:val="661BAE5A"/>
    <w:rsid w:val="661BF31E"/>
    <w:rsid w:val="6620AB9F"/>
    <w:rsid w:val="66229A89"/>
    <w:rsid w:val="6622A29D"/>
    <w:rsid w:val="662A9F0E"/>
    <w:rsid w:val="662AECF7"/>
    <w:rsid w:val="66312FF0"/>
    <w:rsid w:val="663466B7"/>
    <w:rsid w:val="6634C3F8"/>
    <w:rsid w:val="6636BFC0"/>
    <w:rsid w:val="6638E452"/>
    <w:rsid w:val="663D6E23"/>
    <w:rsid w:val="663DE3E4"/>
    <w:rsid w:val="66416CE9"/>
    <w:rsid w:val="66418BB9"/>
    <w:rsid w:val="66425175"/>
    <w:rsid w:val="6645DF69"/>
    <w:rsid w:val="6646A97D"/>
    <w:rsid w:val="6647C50A"/>
    <w:rsid w:val="664953AE"/>
    <w:rsid w:val="6649D094"/>
    <w:rsid w:val="664EAF4F"/>
    <w:rsid w:val="66551807"/>
    <w:rsid w:val="665A6353"/>
    <w:rsid w:val="665AFDE8"/>
    <w:rsid w:val="665EBC7A"/>
    <w:rsid w:val="666408D9"/>
    <w:rsid w:val="6664D069"/>
    <w:rsid w:val="66684DD2"/>
    <w:rsid w:val="6668B792"/>
    <w:rsid w:val="666CFC63"/>
    <w:rsid w:val="66757C14"/>
    <w:rsid w:val="6677B1A3"/>
    <w:rsid w:val="6677C876"/>
    <w:rsid w:val="6679B87C"/>
    <w:rsid w:val="667C4D75"/>
    <w:rsid w:val="667CA628"/>
    <w:rsid w:val="6680B9A2"/>
    <w:rsid w:val="668C1EE2"/>
    <w:rsid w:val="668E38A3"/>
    <w:rsid w:val="668EB235"/>
    <w:rsid w:val="668F1F4C"/>
    <w:rsid w:val="668FCE6C"/>
    <w:rsid w:val="6690EF62"/>
    <w:rsid w:val="66912416"/>
    <w:rsid w:val="66942853"/>
    <w:rsid w:val="6698C45A"/>
    <w:rsid w:val="669C5779"/>
    <w:rsid w:val="66A11191"/>
    <w:rsid w:val="66A16298"/>
    <w:rsid w:val="66A49331"/>
    <w:rsid w:val="66A63BFF"/>
    <w:rsid w:val="66A93D3F"/>
    <w:rsid w:val="66B1C04D"/>
    <w:rsid w:val="66B2E6E9"/>
    <w:rsid w:val="66B4CA71"/>
    <w:rsid w:val="66B518DC"/>
    <w:rsid w:val="66BB7452"/>
    <w:rsid w:val="66BF7A07"/>
    <w:rsid w:val="66BFF348"/>
    <w:rsid w:val="66C0E050"/>
    <w:rsid w:val="66C7E3A2"/>
    <w:rsid w:val="66C97E71"/>
    <w:rsid w:val="66CF044E"/>
    <w:rsid w:val="66DFEFAE"/>
    <w:rsid w:val="66DFFF13"/>
    <w:rsid w:val="66E0CAE9"/>
    <w:rsid w:val="66E5F387"/>
    <w:rsid w:val="66E73798"/>
    <w:rsid w:val="66E83BE9"/>
    <w:rsid w:val="66EBFC0D"/>
    <w:rsid w:val="66EC0545"/>
    <w:rsid w:val="66ECE0A8"/>
    <w:rsid w:val="66EDD6DA"/>
    <w:rsid w:val="66F1E2A2"/>
    <w:rsid w:val="66F41E52"/>
    <w:rsid w:val="66F62497"/>
    <w:rsid w:val="66F72EAA"/>
    <w:rsid w:val="66F7AFC2"/>
    <w:rsid w:val="66F9E75C"/>
    <w:rsid w:val="66FA5F0C"/>
    <w:rsid w:val="66FC76A8"/>
    <w:rsid w:val="6701E6C1"/>
    <w:rsid w:val="67097256"/>
    <w:rsid w:val="6712C361"/>
    <w:rsid w:val="67144FD8"/>
    <w:rsid w:val="671B8687"/>
    <w:rsid w:val="671F4B40"/>
    <w:rsid w:val="672231B2"/>
    <w:rsid w:val="672451FF"/>
    <w:rsid w:val="67247EE3"/>
    <w:rsid w:val="67274B7F"/>
    <w:rsid w:val="672882DC"/>
    <w:rsid w:val="6728C5B1"/>
    <w:rsid w:val="672902E3"/>
    <w:rsid w:val="6729C405"/>
    <w:rsid w:val="672A6B2A"/>
    <w:rsid w:val="6730AB7A"/>
    <w:rsid w:val="673196F4"/>
    <w:rsid w:val="6738BCA5"/>
    <w:rsid w:val="673973C8"/>
    <w:rsid w:val="673AA5AF"/>
    <w:rsid w:val="673D5866"/>
    <w:rsid w:val="67410239"/>
    <w:rsid w:val="67442A1A"/>
    <w:rsid w:val="6746D5AA"/>
    <w:rsid w:val="6747EE8F"/>
    <w:rsid w:val="6748783C"/>
    <w:rsid w:val="674CC549"/>
    <w:rsid w:val="6752100B"/>
    <w:rsid w:val="6752F7AB"/>
    <w:rsid w:val="675CDCB8"/>
    <w:rsid w:val="67602D4D"/>
    <w:rsid w:val="67676453"/>
    <w:rsid w:val="676F5E55"/>
    <w:rsid w:val="67720B8F"/>
    <w:rsid w:val="67728BE9"/>
    <w:rsid w:val="6779F976"/>
    <w:rsid w:val="677A52A3"/>
    <w:rsid w:val="678AC752"/>
    <w:rsid w:val="678BE420"/>
    <w:rsid w:val="679C400B"/>
    <w:rsid w:val="67A074E9"/>
    <w:rsid w:val="67A14FE1"/>
    <w:rsid w:val="67A3545F"/>
    <w:rsid w:val="67A6CF0B"/>
    <w:rsid w:val="67A72915"/>
    <w:rsid w:val="67A7E724"/>
    <w:rsid w:val="67AE0E48"/>
    <w:rsid w:val="67AEA5E2"/>
    <w:rsid w:val="67B36B6D"/>
    <w:rsid w:val="67B3CB58"/>
    <w:rsid w:val="67B4C469"/>
    <w:rsid w:val="67B5B190"/>
    <w:rsid w:val="67BFCDD9"/>
    <w:rsid w:val="67C10865"/>
    <w:rsid w:val="67C1FE95"/>
    <w:rsid w:val="67C623D8"/>
    <w:rsid w:val="67C663D5"/>
    <w:rsid w:val="67C6BC95"/>
    <w:rsid w:val="67CFB6AE"/>
    <w:rsid w:val="67D7D2B1"/>
    <w:rsid w:val="67D9C725"/>
    <w:rsid w:val="67DBEDA2"/>
    <w:rsid w:val="67E0425E"/>
    <w:rsid w:val="67E1251A"/>
    <w:rsid w:val="67E33A64"/>
    <w:rsid w:val="67E4CE3D"/>
    <w:rsid w:val="67E50073"/>
    <w:rsid w:val="67E63AC7"/>
    <w:rsid w:val="67E80EB2"/>
    <w:rsid w:val="67EA847E"/>
    <w:rsid w:val="67EAD8B8"/>
    <w:rsid w:val="67EC3E4D"/>
    <w:rsid w:val="67EF9E10"/>
    <w:rsid w:val="67F4476D"/>
    <w:rsid w:val="67F6DF5D"/>
    <w:rsid w:val="67FA5FA8"/>
    <w:rsid w:val="67FC1CE0"/>
    <w:rsid w:val="680044DA"/>
    <w:rsid w:val="680D341E"/>
    <w:rsid w:val="680E28F5"/>
    <w:rsid w:val="68137394"/>
    <w:rsid w:val="68150B54"/>
    <w:rsid w:val="68157A3C"/>
    <w:rsid w:val="68198559"/>
    <w:rsid w:val="681A23A4"/>
    <w:rsid w:val="681A5308"/>
    <w:rsid w:val="681DC0A6"/>
    <w:rsid w:val="681F837F"/>
    <w:rsid w:val="682022DD"/>
    <w:rsid w:val="6826219B"/>
    <w:rsid w:val="68273330"/>
    <w:rsid w:val="68276D25"/>
    <w:rsid w:val="6827A1D6"/>
    <w:rsid w:val="6829738E"/>
    <w:rsid w:val="682DCF0C"/>
    <w:rsid w:val="6834FB9C"/>
    <w:rsid w:val="6839DE97"/>
    <w:rsid w:val="683CCF9E"/>
    <w:rsid w:val="684108A2"/>
    <w:rsid w:val="684260EA"/>
    <w:rsid w:val="6844CC59"/>
    <w:rsid w:val="68477F82"/>
    <w:rsid w:val="6848A513"/>
    <w:rsid w:val="6849D208"/>
    <w:rsid w:val="684AE7E3"/>
    <w:rsid w:val="684C6520"/>
    <w:rsid w:val="685184C8"/>
    <w:rsid w:val="685476F9"/>
    <w:rsid w:val="68614A35"/>
    <w:rsid w:val="68621C53"/>
    <w:rsid w:val="6864314B"/>
    <w:rsid w:val="68686238"/>
    <w:rsid w:val="686D4039"/>
    <w:rsid w:val="6877F70F"/>
    <w:rsid w:val="687C8436"/>
    <w:rsid w:val="68806902"/>
    <w:rsid w:val="6885DEA0"/>
    <w:rsid w:val="6889881A"/>
    <w:rsid w:val="68899664"/>
    <w:rsid w:val="688CCED1"/>
    <w:rsid w:val="688D5E4F"/>
    <w:rsid w:val="688F38EE"/>
    <w:rsid w:val="688FEB84"/>
    <w:rsid w:val="6896D02C"/>
    <w:rsid w:val="689A1B6A"/>
    <w:rsid w:val="689AC8E4"/>
    <w:rsid w:val="689D177F"/>
    <w:rsid w:val="689D6440"/>
    <w:rsid w:val="689E6938"/>
    <w:rsid w:val="68A21EC2"/>
    <w:rsid w:val="68A3D269"/>
    <w:rsid w:val="68A48248"/>
    <w:rsid w:val="68A5D941"/>
    <w:rsid w:val="68A5F234"/>
    <w:rsid w:val="68A65939"/>
    <w:rsid w:val="68A8CAD2"/>
    <w:rsid w:val="68AA43A0"/>
    <w:rsid w:val="68ABACB9"/>
    <w:rsid w:val="68B12AF0"/>
    <w:rsid w:val="68B1FCC9"/>
    <w:rsid w:val="68B2A26F"/>
    <w:rsid w:val="68B3147B"/>
    <w:rsid w:val="68BF261E"/>
    <w:rsid w:val="68C1E386"/>
    <w:rsid w:val="68C2FC97"/>
    <w:rsid w:val="68C7F549"/>
    <w:rsid w:val="68C820EE"/>
    <w:rsid w:val="68C8EE56"/>
    <w:rsid w:val="68C8F08B"/>
    <w:rsid w:val="68CC077B"/>
    <w:rsid w:val="68CE655E"/>
    <w:rsid w:val="68D17877"/>
    <w:rsid w:val="68D3D229"/>
    <w:rsid w:val="68D83B01"/>
    <w:rsid w:val="68DD4DB9"/>
    <w:rsid w:val="68E13120"/>
    <w:rsid w:val="68E5FCC2"/>
    <w:rsid w:val="68E65CD0"/>
    <w:rsid w:val="68E70D39"/>
    <w:rsid w:val="68E8CC31"/>
    <w:rsid w:val="68ECB2F8"/>
    <w:rsid w:val="68F0D501"/>
    <w:rsid w:val="68F1FCA9"/>
    <w:rsid w:val="68F4C769"/>
    <w:rsid w:val="68FA8769"/>
    <w:rsid w:val="68FA93D3"/>
    <w:rsid w:val="68FFB87F"/>
    <w:rsid w:val="68FFD00B"/>
    <w:rsid w:val="69032848"/>
    <w:rsid w:val="69039F89"/>
    <w:rsid w:val="6907EE53"/>
    <w:rsid w:val="690E5993"/>
    <w:rsid w:val="69100BA8"/>
    <w:rsid w:val="69101DA0"/>
    <w:rsid w:val="6914D7B7"/>
    <w:rsid w:val="69174034"/>
    <w:rsid w:val="6917807C"/>
    <w:rsid w:val="691A595A"/>
    <w:rsid w:val="691BF049"/>
    <w:rsid w:val="691C3A3E"/>
    <w:rsid w:val="691E0011"/>
    <w:rsid w:val="6921C110"/>
    <w:rsid w:val="69235BAC"/>
    <w:rsid w:val="6926413C"/>
    <w:rsid w:val="692ADC2F"/>
    <w:rsid w:val="692DD1A3"/>
    <w:rsid w:val="692EA420"/>
    <w:rsid w:val="69322A83"/>
    <w:rsid w:val="6934AAF1"/>
    <w:rsid w:val="693572A7"/>
    <w:rsid w:val="693A7697"/>
    <w:rsid w:val="69423976"/>
    <w:rsid w:val="69439A87"/>
    <w:rsid w:val="69459D2F"/>
    <w:rsid w:val="6946565F"/>
    <w:rsid w:val="69467E52"/>
    <w:rsid w:val="69487D6C"/>
    <w:rsid w:val="6952EF8C"/>
    <w:rsid w:val="695B58BF"/>
    <w:rsid w:val="695D9F7C"/>
    <w:rsid w:val="696246E4"/>
    <w:rsid w:val="6962C851"/>
    <w:rsid w:val="69649297"/>
    <w:rsid w:val="69679DAC"/>
    <w:rsid w:val="6969D67F"/>
    <w:rsid w:val="696CE3B7"/>
    <w:rsid w:val="696F659F"/>
    <w:rsid w:val="69717094"/>
    <w:rsid w:val="6971B038"/>
    <w:rsid w:val="697B7199"/>
    <w:rsid w:val="697D0D6F"/>
    <w:rsid w:val="69807390"/>
    <w:rsid w:val="69815832"/>
    <w:rsid w:val="69820898"/>
    <w:rsid w:val="69836FDA"/>
    <w:rsid w:val="69882184"/>
    <w:rsid w:val="698CBBF4"/>
    <w:rsid w:val="698E4426"/>
    <w:rsid w:val="698F1E6F"/>
    <w:rsid w:val="6990074D"/>
    <w:rsid w:val="69914BF4"/>
    <w:rsid w:val="69916978"/>
    <w:rsid w:val="69923E34"/>
    <w:rsid w:val="699FC609"/>
    <w:rsid w:val="69AAA0A2"/>
    <w:rsid w:val="69B36076"/>
    <w:rsid w:val="69B99854"/>
    <w:rsid w:val="69BB0BE7"/>
    <w:rsid w:val="69C226F7"/>
    <w:rsid w:val="69C485C4"/>
    <w:rsid w:val="69D14E79"/>
    <w:rsid w:val="69D24061"/>
    <w:rsid w:val="69D9B4E0"/>
    <w:rsid w:val="69DADE78"/>
    <w:rsid w:val="69DD02BA"/>
    <w:rsid w:val="69E4A435"/>
    <w:rsid w:val="69E6A847"/>
    <w:rsid w:val="69E73D6F"/>
    <w:rsid w:val="69EACA43"/>
    <w:rsid w:val="6A02E173"/>
    <w:rsid w:val="6A0455F6"/>
    <w:rsid w:val="6A08342E"/>
    <w:rsid w:val="6A0B3EDD"/>
    <w:rsid w:val="6A19AB4D"/>
    <w:rsid w:val="6A19B63D"/>
    <w:rsid w:val="6A1AAEAA"/>
    <w:rsid w:val="6A1C36EF"/>
    <w:rsid w:val="6A1DF228"/>
    <w:rsid w:val="6A1FA86E"/>
    <w:rsid w:val="6A21B6B0"/>
    <w:rsid w:val="6A227BB5"/>
    <w:rsid w:val="6A254FA0"/>
    <w:rsid w:val="6A285241"/>
    <w:rsid w:val="6A29FBD8"/>
    <w:rsid w:val="6A2A773F"/>
    <w:rsid w:val="6A2B4150"/>
    <w:rsid w:val="6A2BE361"/>
    <w:rsid w:val="6A2D7771"/>
    <w:rsid w:val="6A3294BC"/>
    <w:rsid w:val="6A34B2B8"/>
    <w:rsid w:val="6A393F7A"/>
    <w:rsid w:val="6A3BED9C"/>
    <w:rsid w:val="6A3E9191"/>
    <w:rsid w:val="6A43B3BA"/>
    <w:rsid w:val="6A441A59"/>
    <w:rsid w:val="6A49C7AD"/>
    <w:rsid w:val="6A4E1CAB"/>
    <w:rsid w:val="6A4F2080"/>
    <w:rsid w:val="6A5074BB"/>
    <w:rsid w:val="6A5280D7"/>
    <w:rsid w:val="6A55AD67"/>
    <w:rsid w:val="6A568526"/>
    <w:rsid w:val="6A5B4CEA"/>
    <w:rsid w:val="6A5CA36A"/>
    <w:rsid w:val="6A613591"/>
    <w:rsid w:val="6A6900AC"/>
    <w:rsid w:val="6A6B4436"/>
    <w:rsid w:val="6A706092"/>
    <w:rsid w:val="6A731732"/>
    <w:rsid w:val="6A7735F7"/>
    <w:rsid w:val="6A77DC64"/>
    <w:rsid w:val="6A7C3B2E"/>
    <w:rsid w:val="6A803737"/>
    <w:rsid w:val="6A837E2A"/>
    <w:rsid w:val="6A8386B1"/>
    <w:rsid w:val="6A85DC79"/>
    <w:rsid w:val="6A8756FF"/>
    <w:rsid w:val="6A8A25E2"/>
    <w:rsid w:val="6A8F25CB"/>
    <w:rsid w:val="6A8F86F3"/>
    <w:rsid w:val="6A90391B"/>
    <w:rsid w:val="6A910058"/>
    <w:rsid w:val="6A98E07A"/>
    <w:rsid w:val="6A991BDC"/>
    <w:rsid w:val="6A9B767F"/>
    <w:rsid w:val="6A9D3B14"/>
    <w:rsid w:val="6AA0D62F"/>
    <w:rsid w:val="6AA1D1DE"/>
    <w:rsid w:val="6AA3382F"/>
    <w:rsid w:val="6AA509B1"/>
    <w:rsid w:val="6AA8F30E"/>
    <w:rsid w:val="6AA95C8C"/>
    <w:rsid w:val="6AA95FC3"/>
    <w:rsid w:val="6AADFB7F"/>
    <w:rsid w:val="6AB18603"/>
    <w:rsid w:val="6AB1D195"/>
    <w:rsid w:val="6AB2B93B"/>
    <w:rsid w:val="6AB374C2"/>
    <w:rsid w:val="6AB3ABDB"/>
    <w:rsid w:val="6AB64FD1"/>
    <w:rsid w:val="6AB811D4"/>
    <w:rsid w:val="6AB82AFF"/>
    <w:rsid w:val="6ABA0EEC"/>
    <w:rsid w:val="6ABD258F"/>
    <w:rsid w:val="6ABF9A67"/>
    <w:rsid w:val="6AC35A3F"/>
    <w:rsid w:val="6AC6768B"/>
    <w:rsid w:val="6AC899A4"/>
    <w:rsid w:val="6ACA74EE"/>
    <w:rsid w:val="6ACAAEB0"/>
    <w:rsid w:val="6ACD586F"/>
    <w:rsid w:val="6AD3C498"/>
    <w:rsid w:val="6AD4C9A7"/>
    <w:rsid w:val="6AD6CE33"/>
    <w:rsid w:val="6AD7CE2E"/>
    <w:rsid w:val="6AE5FE48"/>
    <w:rsid w:val="6AE84281"/>
    <w:rsid w:val="6AEB8157"/>
    <w:rsid w:val="6AEE9E03"/>
    <w:rsid w:val="6AF1F63D"/>
    <w:rsid w:val="6AF7338B"/>
    <w:rsid w:val="6AFAB53E"/>
    <w:rsid w:val="6B009131"/>
    <w:rsid w:val="6B09D5F0"/>
    <w:rsid w:val="6B0DE278"/>
    <w:rsid w:val="6B10EBEC"/>
    <w:rsid w:val="6B1E227B"/>
    <w:rsid w:val="6B267FB0"/>
    <w:rsid w:val="6B2F0D29"/>
    <w:rsid w:val="6B3145D8"/>
    <w:rsid w:val="6B3505BB"/>
    <w:rsid w:val="6B36067C"/>
    <w:rsid w:val="6B394E8D"/>
    <w:rsid w:val="6B3BCF25"/>
    <w:rsid w:val="6B3C65E4"/>
    <w:rsid w:val="6B3D7980"/>
    <w:rsid w:val="6B45EA81"/>
    <w:rsid w:val="6B483E09"/>
    <w:rsid w:val="6B483E84"/>
    <w:rsid w:val="6B49164D"/>
    <w:rsid w:val="6B4DCD57"/>
    <w:rsid w:val="6B4ED32A"/>
    <w:rsid w:val="6B50F6EA"/>
    <w:rsid w:val="6B53518F"/>
    <w:rsid w:val="6B560D21"/>
    <w:rsid w:val="6B5D9195"/>
    <w:rsid w:val="6B5F2AEA"/>
    <w:rsid w:val="6B609DC1"/>
    <w:rsid w:val="6B63F131"/>
    <w:rsid w:val="6B69E2A1"/>
    <w:rsid w:val="6B6A3E63"/>
    <w:rsid w:val="6B6B5208"/>
    <w:rsid w:val="6B6E64E2"/>
    <w:rsid w:val="6B6F8C35"/>
    <w:rsid w:val="6B6F9B47"/>
    <w:rsid w:val="6B6FFC5B"/>
    <w:rsid w:val="6B7336FF"/>
    <w:rsid w:val="6B743DA2"/>
    <w:rsid w:val="6B78FC1F"/>
    <w:rsid w:val="6B79403E"/>
    <w:rsid w:val="6B7DD776"/>
    <w:rsid w:val="6B8575F4"/>
    <w:rsid w:val="6B85FE0B"/>
    <w:rsid w:val="6B86DF86"/>
    <w:rsid w:val="6B86F194"/>
    <w:rsid w:val="6B8B0930"/>
    <w:rsid w:val="6B8CFCC8"/>
    <w:rsid w:val="6B8F400F"/>
    <w:rsid w:val="6B99783A"/>
    <w:rsid w:val="6B9FF3F1"/>
    <w:rsid w:val="6BA09E62"/>
    <w:rsid w:val="6BA1431C"/>
    <w:rsid w:val="6BA23352"/>
    <w:rsid w:val="6BA7F2EE"/>
    <w:rsid w:val="6BAF34E0"/>
    <w:rsid w:val="6BAFA3DA"/>
    <w:rsid w:val="6BB21450"/>
    <w:rsid w:val="6BB3F9C1"/>
    <w:rsid w:val="6BB4B06A"/>
    <w:rsid w:val="6BB63D03"/>
    <w:rsid w:val="6BB64994"/>
    <w:rsid w:val="6BB6B585"/>
    <w:rsid w:val="6BB6F29A"/>
    <w:rsid w:val="6BB79AD6"/>
    <w:rsid w:val="6BBA2555"/>
    <w:rsid w:val="6BBAF9D2"/>
    <w:rsid w:val="6BBB93DB"/>
    <w:rsid w:val="6BBCE53B"/>
    <w:rsid w:val="6BC0C863"/>
    <w:rsid w:val="6BC5639E"/>
    <w:rsid w:val="6BC75997"/>
    <w:rsid w:val="6BC8C2FC"/>
    <w:rsid w:val="6BD02BC2"/>
    <w:rsid w:val="6BD61314"/>
    <w:rsid w:val="6BD98512"/>
    <w:rsid w:val="6BDE212B"/>
    <w:rsid w:val="6BDF7325"/>
    <w:rsid w:val="6BE046E3"/>
    <w:rsid w:val="6BE0D48B"/>
    <w:rsid w:val="6BE59ECA"/>
    <w:rsid w:val="6BE8B809"/>
    <w:rsid w:val="6BE9E421"/>
    <w:rsid w:val="6BED4CD4"/>
    <w:rsid w:val="6BEEA237"/>
    <w:rsid w:val="6BF0BF7C"/>
    <w:rsid w:val="6BF141E5"/>
    <w:rsid w:val="6BFD837E"/>
    <w:rsid w:val="6BFFF712"/>
    <w:rsid w:val="6C0085D8"/>
    <w:rsid w:val="6C04CDD6"/>
    <w:rsid w:val="6C053558"/>
    <w:rsid w:val="6C0645AE"/>
    <w:rsid w:val="6C0AA306"/>
    <w:rsid w:val="6C0BBDAA"/>
    <w:rsid w:val="6C0E6E99"/>
    <w:rsid w:val="6C115A4F"/>
    <w:rsid w:val="6C13FA75"/>
    <w:rsid w:val="6C1452DC"/>
    <w:rsid w:val="6C14E100"/>
    <w:rsid w:val="6C1681C0"/>
    <w:rsid w:val="6C1910D0"/>
    <w:rsid w:val="6C1BC46A"/>
    <w:rsid w:val="6C21A28D"/>
    <w:rsid w:val="6C2848BE"/>
    <w:rsid w:val="6C2A45CD"/>
    <w:rsid w:val="6C2BDE2D"/>
    <w:rsid w:val="6C2C4E6E"/>
    <w:rsid w:val="6C30141F"/>
    <w:rsid w:val="6C3077A0"/>
    <w:rsid w:val="6C331280"/>
    <w:rsid w:val="6C333E66"/>
    <w:rsid w:val="6C33515A"/>
    <w:rsid w:val="6C33E29C"/>
    <w:rsid w:val="6C3505E9"/>
    <w:rsid w:val="6C395086"/>
    <w:rsid w:val="6C3AD56D"/>
    <w:rsid w:val="6C408327"/>
    <w:rsid w:val="6C441D6D"/>
    <w:rsid w:val="6C4433D5"/>
    <w:rsid w:val="6C44CE29"/>
    <w:rsid w:val="6C470C70"/>
    <w:rsid w:val="6C4776FE"/>
    <w:rsid w:val="6C4CBF11"/>
    <w:rsid w:val="6C4DB481"/>
    <w:rsid w:val="6C4F45E0"/>
    <w:rsid w:val="6C506F34"/>
    <w:rsid w:val="6C59345B"/>
    <w:rsid w:val="6C5A7F34"/>
    <w:rsid w:val="6C5A8B99"/>
    <w:rsid w:val="6C5DDA58"/>
    <w:rsid w:val="6C602501"/>
    <w:rsid w:val="6C625164"/>
    <w:rsid w:val="6C63516B"/>
    <w:rsid w:val="6C6584C5"/>
    <w:rsid w:val="6C662CF9"/>
    <w:rsid w:val="6C694648"/>
    <w:rsid w:val="6C73416F"/>
    <w:rsid w:val="6C7522CA"/>
    <w:rsid w:val="6C792C52"/>
    <w:rsid w:val="6C7B48FE"/>
    <w:rsid w:val="6C7F79D8"/>
    <w:rsid w:val="6C8511A5"/>
    <w:rsid w:val="6C864C7B"/>
    <w:rsid w:val="6C8C015A"/>
    <w:rsid w:val="6C8CECC2"/>
    <w:rsid w:val="6C9185A8"/>
    <w:rsid w:val="6C91DF61"/>
    <w:rsid w:val="6C98324A"/>
    <w:rsid w:val="6C9E227B"/>
    <w:rsid w:val="6C9F5A07"/>
    <w:rsid w:val="6C9FBC5F"/>
    <w:rsid w:val="6CA37F45"/>
    <w:rsid w:val="6CA71A92"/>
    <w:rsid w:val="6CAA5178"/>
    <w:rsid w:val="6CAF6C74"/>
    <w:rsid w:val="6CB15E2A"/>
    <w:rsid w:val="6CB297CC"/>
    <w:rsid w:val="6CB4E9CD"/>
    <w:rsid w:val="6CB83AB9"/>
    <w:rsid w:val="6CB9EFBD"/>
    <w:rsid w:val="6CBFF901"/>
    <w:rsid w:val="6CC28311"/>
    <w:rsid w:val="6CC37C72"/>
    <w:rsid w:val="6CC4596A"/>
    <w:rsid w:val="6CC4795B"/>
    <w:rsid w:val="6CD4DF30"/>
    <w:rsid w:val="6CD67462"/>
    <w:rsid w:val="6CD702C8"/>
    <w:rsid w:val="6CDD89F3"/>
    <w:rsid w:val="6CDE7F50"/>
    <w:rsid w:val="6CDF796C"/>
    <w:rsid w:val="6CE16F91"/>
    <w:rsid w:val="6CE2F059"/>
    <w:rsid w:val="6CE3D374"/>
    <w:rsid w:val="6CE627EE"/>
    <w:rsid w:val="6CE63985"/>
    <w:rsid w:val="6CEB7540"/>
    <w:rsid w:val="6CF386FA"/>
    <w:rsid w:val="6CF55359"/>
    <w:rsid w:val="6CF60168"/>
    <w:rsid w:val="6CF86CFE"/>
    <w:rsid w:val="6CFAF7DB"/>
    <w:rsid w:val="6CFE6F66"/>
    <w:rsid w:val="6D008164"/>
    <w:rsid w:val="6D0E5293"/>
    <w:rsid w:val="6D0EAA77"/>
    <w:rsid w:val="6D105867"/>
    <w:rsid w:val="6D17C1D7"/>
    <w:rsid w:val="6D18AAC0"/>
    <w:rsid w:val="6D1ADDE8"/>
    <w:rsid w:val="6D1B78D3"/>
    <w:rsid w:val="6D1CD0D4"/>
    <w:rsid w:val="6D1D20ED"/>
    <w:rsid w:val="6D1F8D9B"/>
    <w:rsid w:val="6D2005D8"/>
    <w:rsid w:val="6D26A182"/>
    <w:rsid w:val="6D289503"/>
    <w:rsid w:val="6D2F2906"/>
    <w:rsid w:val="6D2F45A9"/>
    <w:rsid w:val="6D300327"/>
    <w:rsid w:val="6D332971"/>
    <w:rsid w:val="6D3627D8"/>
    <w:rsid w:val="6D394513"/>
    <w:rsid w:val="6D3B2B74"/>
    <w:rsid w:val="6D3D37A3"/>
    <w:rsid w:val="6D3D4997"/>
    <w:rsid w:val="6D412E14"/>
    <w:rsid w:val="6D44075A"/>
    <w:rsid w:val="6D4425BC"/>
    <w:rsid w:val="6D468A44"/>
    <w:rsid w:val="6D48600B"/>
    <w:rsid w:val="6D49430D"/>
    <w:rsid w:val="6D4FE732"/>
    <w:rsid w:val="6D5114B2"/>
    <w:rsid w:val="6D53948F"/>
    <w:rsid w:val="6D55DAAE"/>
    <w:rsid w:val="6D56DA5D"/>
    <w:rsid w:val="6D5A962A"/>
    <w:rsid w:val="6D5B8556"/>
    <w:rsid w:val="6D5D6D60"/>
    <w:rsid w:val="6D5ED172"/>
    <w:rsid w:val="6D5F07D8"/>
    <w:rsid w:val="6D5F999D"/>
    <w:rsid w:val="6D5FC802"/>
    <w:rsid w:val="6D64C20C"/>
    <w:rsid w:val="6D6CD21B"/>
    <w:rsid w:val="6D6DA7D9"/>
    <w:rsid w:val="6D6E70CC"/>
    <w:rsid w:val="6D6EB9A6"/>
    <w:rsid w:val="6D70E0FB"/>
    <w:rsid w:val="6D719CA3"/>
    <w:rsid w:val="6D767F95"/>
    <w:rsid w:val="6D7BCAE1"/>
    <w:rsid w:val="6D813C48"/>
    <w:rsid w:val="6D823FA5"/>
    <w:rsid w:val="6D892985"/>
    <w:rsid w:val="6D8A89A9"/>
    <w:rsid w:val="6D8C5843"/>
    <w:rsid w:val="6D8E5408"/>
    <w:rsid w:val="6D905BFE"/>
    <w:rsid w:val="6D9300AE"/>
    <w:rsid w:val="6D987C7F"/>
    <w:rsid w:val="6D9E3F21"/>
    <w:rsid w:val="6DA76230"/>
    <w:rsid w:val="6DAD141C"/>
    <w:rsid w:val="6DADD651"/>
    <w:rsid w:val="6DB38809"/>
    <w:rsid w:val="6DB43F28"/>
    <w:rsid w:val="6DB4CCF2"/>
    <w:rsid w:val="6DC18582"/>
    <w:rsid w:val="6DC778AE"/>
    <w:rsid w:val="6DC8D387"/>
    <w:rsid w:val="6DCDBB25"/>
    <w:rsid w:val="6DCFCCBB"/>
    <w:rsid w:val="6DD34BAD"/>
    <w:rsid w:val="6DD359F2"/>
    <w:rsid w:val="6DDA846B"/>
    <w:rsid w:val="6DDF3A6C"/>
    <w:rsid w:val="6DE26D39"/>
    <w:rsid w:val="6DEB4B0A"/>
    <w:rsid w:val="6DEE3E02"/>
    <w:rsid w:val="6DF1E0B9"/>
    <w:rsid w:val="6DF58A39"/>
    <w:rsid w:val="6DF5959E"/>
    <w:rsid w:val="6DF85AAA"/>
    <w:rsid w:val="6DFD7FB9"/>
    <w:rsid w:val="6E0144B7"/>
    <w:rsid w:val="6E0158EA"/>
    <w:rsid w:val="6E017AF3"/>
    <w:rsid w:val="6E0197B6"/>
    <w:rsid w:val="6E073EFF"/>
    <w:rsid w:val="6E0875AE"/>
    <w:rsid w:val="6E0B1ADC"/>
    <w:rsid w:val="6E134993"/>
    <w:rsid w:val="6E13EC6E"/>
    <w:rsid w:val="6E179F8D"/>
    <w:rsid w:val="6E1E4A5B"/>
    <w:rsid w:val="6E21FE01"/>
    <w:rsid w:val="6E230596"/>
    <w:rsid w:val="6E236130"/>
    <w:rsid w:val="6E2632C1"/>
    <w:rsid w:val="6E29C7D6"/>
    <w:rsid w:val="6E2D5D51"/>
    <w:rsid w:val="6E2F88AB"/>
    <w:rsid w:val="6E300CDA"/>
    <w:rsid w:val="6E304B37"/>
    <w:rsid w:val="6E31695B"/>
    <w:rsid w:val="6E31FF31"/>
    <w:rsid w:val="6E32971C"/>
    <w:rsid w:val="6E32B53E"/>
    <w:rsid w:val="6E363BE0"/>
    <w:rsid w:val="6E3646A6"/>
    <w:rsid w:val="6E37740D"/>
    <w:rsid w:val="6E3CC0E5"/>
    <w:rsid w:val="6E43B288"/>
    <w:rsid w:val="6E46E2F2"/>
    <w:rsid w:val="6E4B6D69"/>
    <w:rsid w:val="6E4C3753"/>
    <w:rsid w:val="6E4E9CB4"/>
    <w:rsid w:val="6E4EE97C"/>
    <w:rsid w:val="6E500AC6"/>
    <w:rsid w:val="6E529508"/>
    <w:rsid w:val="6E559232"/>
    <w:rsid w:val="6E59F6EE"/>
    <w:rsid w:val="6E5CD0AF"/>
    <w:rsid w:val="6E617000"/>
    <w:rsid w:val="6E6187E2"/>
    <w:rsid w:val="6E62D620"/>
    <w:rsid w:val="6E63D076"/>
    <w:rsid w:val="6E659ABD"/>
    <w:rsid w:val="6E6B05E3"/>
    <w:rsid w:val="6E74BB2F"/>
    <w:rsid w:val="6E768C5C"/>
    <w:rsid w:val="6E76CB65"/>
    <w:rsid w:val="6E79DC60"/>
    <w:rsid w:val="6E7BD144"/>
    <w:rsid w:val="6E7BF003"/>
    <w:rsid w:val="6E880348"/>
    <w:rsid w:val="6E920AE5"/>
    <w:rsid w:val="6E9BC2FE"/>
    <w:rsid w:val="6E9D6194"/>
    <w:rsid w:val="6EA0AA31"/>
    <w:rsid w:val="6EA51A06"/>
    <w:rsid w:val="6EA658A7"/>
    <w:rsid w:val="6EA6609B"/>
    <w:rsid w:val="6EA807B6"/>
    <w:rsid w:val="6EA85BD4"/>
    <w:rsid w:val="6EA98D5F"/>
    <w:rsid w:val="6EAF8800"/>
    <w:rsid w:val="6EB2551A"/>
    <w:rsid w:val="6EB4C963"/>
    <w:rsid w:val="6EB919D9"/>
    <w:rsid w:val="6EBAE43B"/>
    <w:rsid w:val="6EBEE61C"/>
    <w:rsid w:val="6EC24629"/>
    <w:rsid w:val="6EC4E99C"/>
    <w:rsid w:val="6EC85AB3"/>
    <w:rsid w:val="6ECA52D5"/>
    <w:rsid w:val="6ECA8BA7"/>
    <w:rsid w:val="6ECED7EE"/>
    <w:rsid w:val="6ED0EDC2"/>
    <w:rsid w:val="6ED50C96"/>
    <w:rsid w:val="6ED530D8"/>
    <w:rsid w:val="6EDE201D"/>
    <w:rsid w:val="6EDFBEC7"/>
    <w:rsid w:val="6EE0B0A9"/>
    <w:rsid w:val="6EE1DAAF"/>
    <w:rsid w:val="6EE1EE8B"/>
    <w:rsid w:val="6EED0BD9"/>
    <w:rsid w:val="6EF0D09E"/>
    <w:rsid w:val="6EF10EA9"/>
    <w:rsid w:val="6EF3288B"/>
    <w:rsid w:val="6EF4D0BF"/>
    <w:rsid w:val="6EF57230"/>
    <w:rsid w:val="6EFBA340"/>
    <w:rsid w:val="6F01A64A"/>
    <w:rsid w:val="6F02B894"/>
    <w:rsid w:val="6F06179C"/>
    <w:rsid w:val="6F0A38B1"/>
    <w:rsid w:val="6F0E6544"/>
    <w:rsid w:val="6F0F3A38"/>
    <w:rsid w:val="6F109EBA"/>
    <w:rsid w:val="6F11A0FF"/>
    <w:rsid w:val="6F1473F6"/>
    <w:rsid w:val="6F18B6A7"/>
    <w:rsid w:val="6F1961B4"/>
    <w:rsid w:val="6F1AEAC4"/>
    <w:rsid w:val="6F1CCCD1"/>
    <w:rsid w:val="6F1FC08D"/>
    <w:rsid w:val="6F21B6C1"/>
    <w:rsid w:val="6F222BFD"/>
    <w:rsid w:val="6F2AED93"/>
    <w:rsid w:val="6F2CC3A0"/>
    <w:rsid w:val="6F33E275"/>
    <w:rsid w:val="6F36C055"/>
    <w:rsid w:val="6F389553"/>
    <w:rsid w:val="6F3ABB6E"/>
    <w:rsid w:val="6F4115C7"/>
    <w:rsid w:val="6F41531A"/>
    <w:rsid w:val="6F51756F"/>
    <w:rsid w:val="6F543FD8"/>
    <w:rsid w:val="6F609F57"/>
    <w:rsid w:val="6F6827E1"/>
    <w:rsid w:val="6F68992C"/>
    <w:rsid w:val="6F690D83"/>
    <w:rsid w:val="6F6C8D38"/>
    <w:rsid w:val="6F739834"/>
    <w:rsid w:val="6F7ADBC1"/>
    <w:rsid w:val="6F7B9772"/>
    <w:rsid w:val="6F827005"/>
    <w:rsid w:val="6F877A88"/>
    <w:rsid w:val="6F87E5A5"/>
    <w:rsid w:val="6F88B0E0"/>
    <w:rsid w:val="6F8D659D"/>
    <w:rsid w:val="6F91CFB3"/>
    <w:rsid w:val="6F92B28A"/>
    <w:rsid w:val="6F96BFE4"/>
    <w:rsid w:val="6F98FB82"/>
    <w:rsid w:val="6F994E3A"/>
    <w:rsid w:val="6FA47852"/>
    <w:rsid w:val="6FA74884"/>
    <w:rsid w:val="6FA76B19"/>
    <w:rsid w:val="6FAB21A7"/>
    <w:rsid w:val="6FABD290"/>
    <w:rsid w:val="6FAC1266"/>
    <w:rsid w:val="6FC9227A"/>
    <w:rsid w:val="6FC97ABB"/>
    <w:rsid w:val="6FCC6CC0"/>
    <w:rsid w:val="6FCD2A7A"/>
    <w:rsid w:val="6FD0D718"/>
    <w:rsid w:val="6FD1BC71"/>
    <w:rsid w:val="6FD3C419"/>
    <w:rsid w:val="6FD40632"/>
    <w:rsid w:val="6FD7B5CE"/>
    <w:rsid w:val="6FDBC3E5"/>
    <w:rsid w:val="6FDD6CD7"/>
    <w:rsid w:val="6FDE0D49"/>
    <w:rsid w:val="6FDF2346"/>
    <w:rsid w:val="6FE0269D"/>
    <w:rsid w:val="6FE990B5"/>
    <w:rsid w:val="6FEC6112"/>
    <w:rsid w:val="6FF659A1"/>
    <w:rsid w:val="6FF6D80D"/>
    <w:rsid w:val="6FF80D76"/>
    <w:rsid w:val="6FF9761F"/>
    <w:rsid w:val="7002E90F"/>
    <w:rsid w:val="700732B4"/>
    <w:rsid w:val="7007C62A"/>
    <w:rsid w:val="70081EC7"/>
    <w:rsid w:val="700D53BC"/>
    <w:rsid w:val="700EB868"/>
    <w:rsid w:val="70105A5C"/>
    <w:rsid w:val="701A9BB0"/>
    <w:rsid w:val="701BEF09"/>
    <w:rsid w:val="7022FDA0"/>
    <w:rsid w:val="70287408"/>
    <w:rsid w:val="702DABAE"/>
    <w:rsid w:val="702EFF9E"/>
    <w:rsid w:val="70332A0A"/>
    <w:rsid w:val="703504C6"/>
    <w:rsid w:val="70358155"/>
    <w:rsid w:val="70379E36"/>
    <w:rsid w:val="703D4BCE"/>
    <w:rsid w:val="70439924"/>
    <w:rsid w:val="70440CC3"/>
    <w:rsid w:val="7044140C"/>
    <w:rsid w:val="7047E6A0"/>
    <w:rsid w:val="7050152B"/>
    <w:rsid w:val="70523BDB"/>
    <w:rsid w:val="705555A8"/>
    <w:rsid w:val="7059713C"/>
    <w:rsid w:val="705AE0D6"/>
    <w:rsid w:val="70652D73"/>
    <w:rsid w:val="70663557"/>
    <w:rsid w:val="706D9C11"/>
    <w:rsid w:val="706F4E9E"/>
    <w:rsid w:val="707429BD"/>
    <w:rsid w:val="7076D36E"/>
    <w:rsid w:val="7079D236"/>
    <w:rsid w:val="708355A9"/>
    <w:rsid w:val="708B70B4"/>
    <w:rsid w:val="70950369"/>
    <w:rsid w:val="70963556"/>
    <w:rsid w:val="709677E7"/>
    <w:rsid w:val="709821BE"/>
    <w:rsid w:val="709A8CA9"/>
    <w:rsid w:val="709DEBC5"/>
    <w:rsid w:val="70A5F7C6"/>
    <w:rsid w:val="70AA043F"/>
    <w:rsid w:val="70AD25AF"/>
    <w:rsid w:val="70ADC665"/>
    <w:rsid w:val="70AE6369"/>
    <w:rsid w:val="70B00CD0"/>
    <w:rsid w:val="70B15616"/>
    <w:rsid w:val="70B2DD3E"/>
    <w:rsid w:val="70B3444C"/>
    <w:rsid w:val="70B3D4C3"/>
    <w:rsid w:val="70B4D354"/>
    <w:rsid w:val="70B5CB59"/>
    <w:rsid w:val="70B8E511"/>
    <w:rsid w:val="70BAD9E7"/>
    <w:rsid w:val="70BD36F0"/>
    <w:rsid w:val="70BF46B2"/>
    <w:rsid w:val="70C0A4D2"/>
    <w:rsid w:val="70C84E3C"/>
    <w:rsid w:val="70CBE1DC"/>
    <w:rsid w:val="70CCE872"/>
    <w:rsid w:val="70CD1FEB"/>
    <w:rsid w:val="70CF890D"/>
    <w:rsid w:val="70D70C03"/>
    <w:rsid w:val="70D9143D"/>
    <w:rsid w:val="70D93771"/>
    <w:rsid w:val="70DC7F61"/>
    <w:rsid w:val="70E465CC"/>
    <w:rsid w:val="70E6260E"/>
    <w:rsid w:val="70E6BAF8"/>
    <w:rsid w:val="70ED77DF"/>
    <w:rsid w:val="70EE287A"/>
    <w:rsid w:val="70F13484"/>
    <w:rsid w:val="70F13E5B"/>
    <w:rsid w:val="70F550BE"/>
    <w:rsid w:val="70F6C1C6"/>
    <w:rsid w:val="70F7590E"/>
    <w:rsid w:val="71022953"/>
    <w:rsid w:val="7102E26F"/>
    <w:rsid w:val="7103AE31"/>
    <w:rsid w:val="710647C6"/>
    <w:rsid w:val="7107FE25"/>
    <w:rsid w:val="71093FDD"/>
    <w:rsid w:val="710D5771"/>
    <w:rsid w:val="710EC688"/>
    <w:rsid w:val="710F15B8"/>
    <w:rsid w:val="71111963"/>
    <w:rsid w:val="711BC024"/>
    <w:rsid w:val="7120AFCD"/>
    <w:rsid w:val="71219617"/>
    <w:rsid w:val="7127DD1D"/>
    <w:rsid w:val="712B9116"/>
    <w:rsid w:val="712F1344"/>
    <w:rsid w:val="7131607B"/>
    <w:rsid w:val="71373FBD"/>
    <w:rsid w:val="713CC5A6"/>
    <w:rsid w:val="713D3640"/>
    <w:rsid w:val="713D88C5"/>
    <w:rsid w:val="713E988B"/>
    <w:rsid w:val="713EBD01"/>
    <w:rsid w:val="7140A48E"/>
    <w:rsid w:val="7143C43B"/>
    <w:rsid w:val="714BD32C"/>
    <w:rsid w:val="714C5D88"/>
    <w:rsid w:val="714D25A0"/>
    <w:rsid w:val="714E8B22"/>
    <w:rsid w:val="714EB024"/>
    <w:rsid w:val="7152BF27"/>
    <w:rsid w:val="71531897"/>
    <w:rsid w:val="715459DD"/>
    <w:rsid w:val="71566FCA"/>
    <w:rsid w:val="7168747A"/>
    <w:rsid w:val="71697532"/>
    <w:rsid w:val="716B9335"/>
    <w:rsid w:val="7170B9EE"/>
    <w:rsid w:val="71780142"/>
    <w:rsid w:val="7178969A"/>
    <w:rsid w:val="717C77A0"/>
    <w:rsid w:val="717C9837"/>
    <w:rsid w:val="717E65CD"/>
    <w:rsid w:val="717E90C8"/>
    <w:rsid w:val="7181DE44"/>
    <w:rsid w:val="7188C321"/>
    <w:rsid w:val="718A9A87"/>
    <w:rsid w:val="718E5BAD"/>
    <w:rsid w:val="718FBD93"/>
    <w:rsid w:val="7199942F"/>
    <w:rsid w:val="719A4F3C"/>
    <w:rsid w:val="719C814D"/>
    <w:rsid w:val="71A0137C"/>
    <w:rsid w:val="71A1EFF5"/>
    <w:rsid w:val="71BBC585"/>
    <w:rsid w:val="71BBDA77"/>
    <w:rsid w:val="71BD1AB7"/>
    <w:rsid w:val="71C023CE"/>
    <w:rsid w:val="71C2FB92"/>
    <w:rsid w:val="71C35ED3"/>
    <w:rsid w:val="71C4C7CF"/>
    <w:rsid w:val="71C826CC"/>
    <w:rsid w:val="71CA22AE"/>
    <w:rsid w:val="71CA9623"/>
    <w:rsid w:val="71CCA9BF"/>
    <w:rsid w:val="71D03FF7"/>
    <w:rsid w:val="71D26664"/>
    <w:rsid w:val="71D4C67D"/>
    <w:rsid w:val="71D60DA4"/>
    <w:rsid w:val="71D93AB1"/>
    <w:rsid w:val="71DA2CD9"/>
    <w:rsid w:val="71DE6144"/>
    <w:rsid w:val="71E02B09"/>
    <w:rsid w:val="71E215BB"/>
    <w:rsid w:val="71E60090"/>
    <w:rsid w:val="71E7B146"/>
    <w:rsid w:val="71EBBC62"/>
    <w:rsid w:val="71ED7B47"/>
    <w:rsid w:val="71F21DBB"/>
    <w:rsid w:val="71F75D2C"/>
    <w:rsid w:val="71F86A0E"/>
    <w:rsid w:val="71F9DF2D"/>
    <w:rsid w:val="71FCB7CE"/>
    <w:rsid w:val="71FDD9A0"/>
    <w:rsid w:val="71FE139D"/>
    <w:rsid w:val="720036C5"/>
    <w:rsid w:val="7203FDF6"/>
    <w:rsid w:val="7208627C"/>
    <w:rsid w:val="7209E623"/>
    <w:rsid w:val="720BEA50"/>
    <w:rsid w:val="720C56F7"/>
    <w:rsid w:val="720ED4B7"/>
    <w:rsid w:val="720F0C60"/>
    <w:rsid w:val="7211CD62"/>
    <w:rsid w:val="7215D3D0"/>
    <w:rsid w:val="721668F2"/>
    <w:rsid w:val="721A7BE0"/>
    <w:rsid w:val="721F7FEC"/>
    <w:rsid w:val="72282C69"/>
    <w:rsid w:val="7228E98B"/>
    <w:rsid w:val="7229359F"/>
    <w:rsid w:val="722FA2B1"/>
    <w:rsid w:val="7232658A"/>
    <w:rsid w:val="72371926"/>
    <w:rsid w:val="723760F3"/>
    <w:rsid w:val="7238E088"/>
    <w:rsid w:val="723B9FD9"/>
    <w:rsid w:val="723DAD0C"/>
    <w:rsid w:val="7242FF19"/>
    <w:rsid w:val="7243040D"/>
    <w:rsid w:val="7249FCFC"/>
    <w:rsid w:val="724D9C8B"/>
    <w:rsid w:val="725F74BF"/>
    <w:rsid w:val="726027FA"/>
    <w:rsid w:val="7261B52B"/>
    <w:rsid w:val="7262B945"/>
    <w:rsid w:val="7268A1DA"/>
    <w:rsid w:val="7269DD7C"/>
    <w:rsid w:val="726BEB3D"/>
    <w:rsid w:val="726F90D5"/>
    <w:rsid w:val="726FB693"/>
    <w:rsid w:val="7271270C"/>
    <w:rsid w:val="7271F629"/>
    <w:rsid w:val="727AE3C2"/>
    <w:rsid w:val="727CF91F"/>
    <w:rsid w:val="727E2335"/>
    <w:rsid w:val="727E4429"/>
    <w:rsid w:val="727EF7A1"/>
    <w:rsid w:val="728004F9"/>
    <w:rsid w:val="7280B1E6"/>
    <w:rsid w:val="72811465"/>
    <w:rsid w:val="72841334"/>
    <w:rsid w:val="728660BE"/>
    <w:rsid w:val="72868D76"/>
    <w:rsid w:val="72870AAA"/>
    <w:rsid w:val="728790CA"/>
    <w:rsid w:val="728CB0D5"/>
    <w:rsid w:val="728CBB32"/>
    <w:rsid w:val="728F2085"/>
    <w:rsid w:val="728F3F93"/>
    <w:rsid w:val="72925CBE"/>
    <w:rsid w:val="7292DBA9"/>
    <w:rsid w:val="72973EBA"/>
    <w:rsid w:val="72987487"/>
    <w:rsid w:val="7299166D"/>
    <w:rsid w:val="72A151F2"/>
    <w:rsid w:val="72A1F6F9"/>
    <w:rsid w:val="72A404FB"/>
    <w:rsid w:val="72A55885"/>
    <w:rsid w:val="72A76D83"/>
    <w:rsid w:val="72AA5BFC"/>
    <w:rsid w:val="72AB05E6"/>
    <w:rsid w:val="72B01A5B"/>
    <w:rsid w:val="72B5B71E"/>
    <w:rsid w:val="72B6ADD1"/>
    <w:rsid w:val="72C00A0F"/>
    <w:rsid w:val="72C40FAD"/>
    <w:rsid w:val="72D38C6A"/>
    <w:rsid w:val="72D3CE6E"/>
    <w:rsid w:val="72D5C61E"/>
    <w:rsid w:val="72D76D7E"/>
    <w:rsid w:val="72DD140E"/>
    <w:rsid w:val="72DF3554"/>
    <w:rsid w:val="72E27DDD"/>
    <w:rsid w:val="72E58C12"/>
    <w:rsid w:val="72E71E6B"/>
    <w:rsid w:val="72E81022"/>
    <w:rsid w:val="72EA98A4"/>
    <w:rsid w:val="72ECCE79"/>
    <w:rsid w:val="72F53C07"/>
    <w:rsid w:val="72F796A5"/>
    <w:rsid w:val="72FB1398"/>
    <w:rsid w:val="72FE5F43"/>
    <w:rsid w:val="72FFEDBB"/>
    <w:rsid w:val="73012048"/>
    <w:rsid w:val="730242E8"/>
    <w:rsid w:val="7307C6A0"/>
    <w:rsid w:val="73097FD6"/>
    <w:rsid w:val="730B38BE"/>
    <w:rsid w:val="730DAC7E"/>
    <w:rsid w:val="731040A7"/>
    <w:rsid w:val="73145324"/>
    <w:rsid w:val="73156679"/>
    <w:rsid w:val="73187A47"/>
    <w:rsid w:val="731AA54A"/>
    <w:rsid w:val="731AAC78"/>
    <w:rsid w:val="731C4411"/>
    <w:rsid w:val="73205328"/>
    <w:rsid w:val="73214102"/>
    <w:rsid w:val="732914C5"/>
    <w:rsid w:val="732F27B2"/>
    <w:rsid w:val="732F7D61"/>
    <w:rsid w:val="7337DDAB"/>
    <w:rsid w:val="73386489"/>
    <w:rsid w:val="73427CE1"/>
    <w:rsid w:val="73439673"/>
    <w:rsid w:val="734DD342"/>
    <w:rsid w:val="734F5859"/>
    <w:rsid w:val="73554677"/>
    <w:rsid w:val="73565422"/>
    <w:rsid w:val="73569C43"/>
    <w:rsid w:val="735902D7"/>
    <w:rsid w:val="735D2BF9"/>
    <w:rsid w:val="735D3E7B"/>
    <w:rsid w:val="735DA993"/>
    <w:rsid w:val="735FFFAA"/>
    <w:rsid w:val="7360A01D"/>
    <w:rsid w:val="7363BD61"/>
    <w:rsid w:val="73677BDC"/>
    <w:rsid w:val="73687113"/>
    <w:rsid w:val="736A877C"/>
    <w:rsid w:val="736D4766"/>
    <w:rsid w:val="736DA713"/>
    <w:rsid w:val="737144B8"/>
    <w:rsid w:val="7371E28F"/>
    <w:rsid w:val="7373E661"/>
    <w:rsid w:val="7375FA59"/>
    <w:rsid w:val="737643A5"/>
    <w:rsid w:val="737AE4EE"/>
    <w:rsid w:val="737F2EB7"/>
    <w:rsid w:val="738146E7"/>
    <w:rsid w:val="738627A7"/>
    <w:rsid w:val="73875CF1"/>
    <w:rsid w:val="73883A1B"/>
    <w:rsid w:val="73914098"/>
    <w:rsid w:val="73973480"/>
    <w:rsid w:val="7397E64F"/>
    <w:rsid w:val="73A2E8FE"/>
    <w:rsid w:val="73A389BD"/>
    <w:rsid w:val="73A5FD85"/>
    <w:rsid w:val="73B06EFA"/>
    <w:rsid w:val="73B66169"/>
    <w:rsid w:val="73C107C5"/>
    <w:rsid w:val="73C10F7B"/>
    <w:rsid w:val="73C47CE8"/>
    <w:rsid w:val="73C7DDBA"/>
    <w:rsid w:val="73D29A02"/>
    <w:rsid w:val="73D31BD9"/>
    <w:rsid w:val="73D622BA"/>
    <w:rsid w:val="73DB9E20"/>
    <w:rsid w:val="73DE7074"/>
    <w:rsid w:val="73E33667"/>
    <w:rsid w:val="73E3DC37"/>
    <w:rsid w:val="73E6C4DE"/>
    <w:rsid w:val="73E6CAB0"/>
    <w:rsid w:val="73EC13D9"/>
    <w:rsid w:val="73EEB1D0"/>
    <w:rsid w:val="73F13AFB"/>
    <w:rsid w:val="73F3FA3D"/>
    <w:rsid w:val="73F6B77B"/>
    <w:rsid w:val="73F96745"/>
    <w:rsid w:val="74071B67"/>
    <w:rsid w:val="74077306"/>
    <w:rsid w:val="740879AA"/>
    <w:rsid w:val="74090BBD"/>
    <w:rsid w:val="7409951B"/>
    <w:rsid w:val="740F2C37"/>
    <w:rsid w:val="741098C6"/>
    <w:rsid w:val="74137479"/>
    <w:rsid w:val="741BC408"/>
    <w:rsid w:val="741C452B"/>
    <w:rsid w:val="741D8C1D"/>
    <w:rsid w:val="741DE047"/>
    <w:rsid w:val="74204E1F"/>
    <w:rsid w:val="7421C86C"/>
    <w:rsid w:val="7423D8F6"/>
    <w:rsid w:val="742944C5"/>
    <w:rsid w:val="742A8114"/>
    <w:rsid w:val="742C8410"/>
    <w:rsid w:val="742DD1AC"/>
    <w:rsid w:val="74300F70"/>
    <w:rsid w:val="74320DD9"/>
    <w:rsid w:val="743213A9"/>
    <w:rsid w:val="743404DD"/>
    <w:rsid w:val="7435A1EA"/>
    <w:rsid w:val="7437A217"/>
    <w:rsid w:val="743B3D88"/>
    <w:rsid w:val="743D7B2B"/>
    <w:rsid w:val="743E448D"/>
    <w:rsid w:val="74465332"/>
    <w:rsid w:val="744F7F41"/>
    <w:rsid w:val="7452E230"/>
    <w:rsid w:val="7453D8C2"/>
    <w:rsid w:val="7458EA9E"/>
    <w:rsid w:val="745FCFDA"/>
    <w:rsid w:val="7462D1F6"/>
    <w:rsid w:val="7469CE05"/>
    <w:rsid w:val="746AEE6C"/>
    <w:rsid w:val="74711DE8"/>
    <w:rsid w:val="7471EB2D"/>
    <w:rsid w:val="7477F5CD"/>
    <w:rsid w:val="747A2731"/>
    <w:rsid w:val="747C3310"/>
    <w:rsid w:val="747CC087"/>
    <w:rsid w:val="747DBD4D"/>
    <w:rsid w:val="748019A7"/>
    <w:rsid w:val="74842938"/>
    <w:rsid w:val="748478E0"/>
    <w:rsid w:val="748B9604"/>
    <w:rsid w:val="748C237E"/>
    <w:rsid w:val="748DCDE8"/>
    <w:rsid w:val="74900A13"/>
    <w:rsid w:val="74912FC8"/>
    <w:rsid w:val="7491D060"/>
    <w:rsid w:val="7498D818"/>
    <w:rsid w:val="749CB44A"/>
    <w:rsid w:val="749F1854"/>
    <w:rsid w:val="74A6AD50"/>
    <w:rsid w:val="74A79E78"/>
    <w:rsid w:val="74B06BCC"/>
    <w:rsid w:val="74B2C918"/>
    <w:rsid w:val="74B43448"/>
    <w:rsid w:val="74BCBA63"/>
    <w:rsid w:val="74BD32AD"/>
    <w:rsid w:val="74C29AD6"/>
    <w:rsid w:val="74C30400"/>
    <w:rsid w:val="74C54B54"/>
    <w:rsid w:val="74C65B00"/>
    <w:rsid w:val="74C76BAB"/>
    <w:rsid w:val="74C7AE55"/>
    <w:rsid w:val="74CEC9A5"/>
    <w:rsid w:val="74D0EE66"/>
    <w:rsid w:val="74D29AA2"/>
    <w:rsid w:val="74D2FE2A"/>
    <w:rsid w:val="74D4494D"/>
    <w:rsid w:val="74D5A88E"/>
    <w:rsid w:val="74DCFC98"/>
    <w:rsid w:val="74DE743A"/>
    <w:rsid w:val="74DF29B5"/>
    <w:rsid w:val="74E15330"/>
    <w:rsid w:val="74E1E6BE"/>
    <w:rsid w:val="74E32CA5"/>
    <w:rsid w:val="74E69FBC"/>
    <w:rsid w:val="74E87091"/>
    <w:rsid w:val="74E98651"/>
    <w:rsid w:val="74E9BED9"/>
    <w:rsid w:val="74E9FF76"/>
    <w:rsid w:val="74EB64A4"/>
    <w:rsid w:val="74EC0A2D"/>
    <w:rsid w:val="74F19553"/>
    <w:rsid w:val="74F4E71B"/>
    <w:rsid w:val="74F64D54"/>
    <w:rsid w:val="74F85EC6"/>
    <w:rsid w:val="74F88B33"/>
    <w:rsid w:val="74FF7911"/>
    <w:rsid w:val="75023BF4"/>
    <w:rsid w:val="75062332"/>
    <w:rsid w:val="7506DE1E"/>
    <w:rsid w:val="7508BB5B"/>
    <w:rsid w:val="750C018F"/>
    <w:rsid w:val="750CF08F"/>
    <w:rsid w:val="751559C7"/>
    <w:rsid w:val="751AC7B0"/>
    <w:rsid w:val="751C72EC"/>
    <w:rsid w:val="751E08AF"/>
    <w:rsid w:val="7526B537"/>
    <w:rsid w:val="752D6DBA"/>
    <w:rsid w:val="752E7354"/>
    <w:rsid w:val="753AE331"/>
    <w:rsid w:val="753DE1B5"/>
    <w:rsid w:val="753FE179"/>
    <w:rsid w:val="7542F8CD"/>
    <w:rsid w:val="754F77B2"/>
    <w:rsid w:val="7558266E"/>
    <w:rsid w:val="755BFD03"/>
    <w:rsid w:val="755E201E"/>
    <w:rsid w:val="756033C5"/>
    <w:rsid w:val="75605FD1"/>
    <w:rsid w:val="756548C6"/>
    <w:rsid w:val="7567E837"/>
    <w:rsid w:val="756EB346"/>
    <w:rsid w:val="75710DFE"/>
    <w:rsid w:val="7571BA19"/>
    <w:rsid w:val="75726DBF"/>
    <w:rsid w:val="7572B9E2"/>
    <w:rsid w:val="75758288"/>
    <w:rsid w:val="7575F2C2"/>
    <w:rsid w:val="7577FE6F"/>
    <w:rsid w:val="7582E732"/>
    <w:rsid w:val="758F4162"/>
    <w:rsid w:val="758F8C62"/>
    <w:rsid w:val="75A25410"/>
    <w:rsid w:val="75A47E2A"/>
    <w:rsid w:val="75A7D1F8"/>
    <w:rsid w:val="75A7D832"/>
    <w:rsid w:val="75AF0B3B"/>
    <w:rsid w:val="75B1E11E"/>
    <w:rsid w:val="75B38711"/>
    <w:rsid w:val="75B4C68B"/>
    <w:rsid w:val="75BE65DC"/>
    <w:rsid w:val="75BF467D"/>
    <w:rsid w:val="75C625A2"/>
    <w:rsid w:val="75C90639"/>
    <w:rsid w:val="75CBED10"/>
    <w:rsid w:val="75CD0951"/>
    <w:rsid w:val="75D10314"/>
    <w:rsid w:val="75D45E42"/>
    <w:rsid w:val="75DADB17"/>
    <w:rsid w:val="75DDF0CF"/>
    <w:rsid w:val="75E1519D"/>
    <w:rsid w:val="75E28919"/>
    <w:rsid w:val="75E363A8"/>
    <w:rsid w:val="75E62488"/>
    <w:rsid w:val="75F58534"/>
    <w:rsid w:val="7600EBE3"/>
    <w:rsid w:val="760210C1"/>
    <w:rsid w:val="76049381"/>
    <w:rsid w:val="7604C272"/>
    <w:rsid w:val="760741DD"/>
    <w:rsid w:val="7609EE3B"/>
    <w:rsid w:val="760F3EB0"/>
    <w:rsid w:val="760F80EE"/>
    <w:rsid w:val="7616E78A"/>
    <w:rsid w:val="76184D71"/>
    <w:rsid w:val="761A8D42"/>
    <w:rsid w:val="761CF8CA"/>
    <w:rsid w:val="761EF96F"/>
    <w:rsid w:val="76209A95"/>
    <w:rsid w:val="7621E710"/>
    <w:rsid w:val="76262657"/>
    <w:rsid w:val="762B109C"/>
    <w:rsid w:val="762C0B33"/>
    <w:rsid w:val="762E80DC"/>
    <w:rsid w:val="763318F3"/>
    <w:rsid w:val="763F90AE"/>
    <w:rsid w:val="76405F0B"/>
    <w:rsid w:val="76416F40"/>
    <w:rsid w:val="76422051"/>
    <w:rsid w:val="76436317"/>
    <w:rsid w:val="76436E16"/>
    <w:rsid w:val="7647D507"/>
    <w:rsid w:val="76484AB6"/>
    <w:rsid w:val="76489DAD"/>
    <w:rsid w:val="764AC196"/>
    <w:rsid w:val="764D63ED"/>
    <w:rsid w:val="76555D1F"/>
    <w:rsid w:val="765A32E5"/>
    <w:rsid w:val="765F19E7"/>
    <w:rsid w:val="7663E196"/>
    <w:rsid w:val="76686332"/>
    <w:rsid w:val="766A593D"/>
    <w:rsid w:val="766E4077"/>
    <w:rsid w:val="766F4AA9"/>
    <w:rsid w:val="7671A9AF"/>
    <w:rsid w:val="767EC816"/>
    <w:rsid w:val="7684C87E"/>
    <w:rsid w:val="768DB080"/>
    <w:rsid w:val="76902767"/>
    <w:rsid w:val="769222ED"/>
    <w:rsid w:val="76955277"/>
    <w:rsid w:val="769952BA"/>
    <w:rsid w:val="7699A545"/>
    <w:rsid w:val="769B14CF"/>
    <w:rsid w:val="769BF8DD"/>
    <w:rsid w:val="76A3FD3C"/>
    <w:rsid w:val="76AA9510"/>
    <w:rsid w:val="76AB03B7"/>
    <w:rsid w:val="76B0FB27"/>
    <w:rsid w:val="76B149BB"/>
    <w:rsid w:val="76B44F39"/>
    <w:rsid w:val="76B513D8"/>
    <w:rsid w:val="76B5D26A"/>
    <w:rsid w:val="76B9659F"/>
    <w:rsid w:val="76BB9C2F"/>
    <w:rsid w:val="76BBC5EB"/>
    <w:rsid w:val="76BFF356"/>
    <w:rsid w:val="76C0DEFF"/>
    <w:rsid w:val="76CAD018"/>
    <w:rsid w:val="76D26A7D"/>
    <w:rsid w:val="76DDD97A"/>
    <w:rsid w:val="76E0D9F6"/>
    <w:rsid w:val="76E14C71"/>
    <w:rsid w:val="76EE81C0"/>
    <w:rsid w:val="76F1BCEE"/>
    <w:rsid w:val="76F293CA"/>
    <w:rsid w:val="76F7BF99"/>
    <w:rsid w:val="76F9043C"/>
    <w:rsid w:val="76F97566"/>
    <w:rsid w:val="76FDBD33"/>
    <w:rsid w:val="7704FC01"/>
    <w:rsid w:val="770578B7"/>
    <w:rsid w:val="7705C4BE"/>
    <w:rsid w:val="770776B9"/>
    <w:rsid w:val="770858E7"/>
    <w:rsid w:val="77088E4A"/>
    <w:rsid w:val="770BE131"/>
    <w:rsid w:val="7712F0A0"/>
    <w:rsid w:val="771FB8DC"/>
    <w:rsid w:val="77230A0C"/>
    <w:rsid w:val="7725047B"/>
    <w:rsid w:val="7725D69D"/>
    <w:rsid w:val="772A52DD"/>
    <w:rsid w:val="772CE5D5"/>
    <w:rsid w:val="772EC5D1"/>
    <w:rsid w:val="773F1AE4"/>
    <w:rsid w:val="773FFF20"/>
    <w:rsid w:val="77415FD7"/>
    <w:rsid w:val="77489A41"/>
    <w:rsid w:val="774AE68B"/>
    <w:rsid w:val="77518B9A"/>
    <w:rsid w:val="7752ABCE"/>
    <w:rsid w:val="775DB639"/>
    <w:rsid w:val="77608691"/>
    <w:rsid w:val="7769B137"/>
    <w:rsid w:val="7769E6B5"/>
    <w:rsid w:val="776B3F6B"/>
    <w:rsid w:val="776BAC42"/>
    <w:rsid w:val="776DA2F2"/>
    <w:rsid w:val="776EB621"/>
    <w:rsid w:val="77774BFF"/>
    <w:rsid w:val="7778D24E"/>
    <w:rsid w:val="777C3D2D"/>
    <w:rsid w:val="778229EE"/>
    <w:rsid w:val="778389E5"/>
    <w:rsid w:val="7784A474"/>
    <w:rsid w:val="7785C4D8"/>
    <w:rsid w:val="778CDA14"/>
    <w:rsid w:val="778CE65D"/>
    <w:rsid w:val="778EF11D"/>
    <w:rsid w:val="779831E0"/>
    <w:rsid w:val="77991FA5"/>
    <w:rsid w:val="779C813E"/>
    <w:rsid w:val="779F0EB0"/>
    <w:rsid w:val="77A00991"/>
    <w:rsid w:val="77A02470"/>
    <w:rsid w:val="77AD208F"/>
    <w:rsid w:val="77B265CB"/>
    <w:rsid w:val="77B65DB7"/>
    <w:rsid w:val="77BBF037"/>
    <w:rsid w:val="77BC5677"/>
    <w:rsid w:val="77BC8781"/>
    <w:rsid w:val="77BE5BF0"/>
    <w:rsid w:val="77BF5B1B"/>
    <w:rsid w:val="77C1F7B1"/>
    <w:rsid w:val="77C2D8BB"/>
    <w:rsid w:val="77C90BA7"/>
    <w:rsid w:val="77CA19B6"/>
    <w:rsid w:val="77D100BE"/>
    <w:rsid w:val="77D164C3"/>
    <w:rsid w:val="77DDAAB7"/>
    <w:rsid w:val="77DF07C2"/>
    <w:rsid w:val="77E53C8C"/>
    <w:rsid w:val="77E56118"/>
    <w:rsid w:val="77E928C5"/>
    <w:rsid w:val="77EE47D3"/>
    <w:rsid w:val="77F4881E"/>
    <w:rsid w:val="77F4EFC9"/>
    <w:rsid w:val="77F6585C"/>
    <w:rsid w:val="77F8E56F"/>
    <w:rsid w:val="77FB6810"/>
    <w:rsid w:val="78021CBA"/>
    <w:rsid w:val="78024AB4"/>
    <w:rsid w:val="78047700"/>
    <w:rsid w:val="7808E2D8"/>
    <w:rsid w:val="780B3F10"/>
    <w:rsid w:val="780C7383"/>
    <w:rsid w:val="780D391B"/>
    <w:rsid w:val="78102F74"/>
    <w:rsid w:val="7811A01C"/>
    <w:rsid w:val="78143750"/>
    <w:rsid w:val="7816818E"/>
    <w:rsid w:val="7817343B"/>
    <w:rsid w:val="7818A79B"/>
    <w:rsid w:val="781CCA3A"/>
    <w:rsid w:val="7821075A"/>
    <w:rsid w:val="78241829"/>
    <w:rsid w:val="782551A0"/>
    <w:rsid w:val="782AE8EF"/>
    <w:rsid w:val="782B3221"/>
    <w:rsid w:val="782B5792"/>
    <w:rsid w:val="782C53F2"/>
    <w:rsid w:val="7833F639"/>
    <w:rsid w:val="7834F884"/>
    <w:rsid w:val="7837FD58"/>
    <w:rsid w:val="783AF188"/>
    <w:rsid w:val="783EF508"/>
    <w:rsid w:val="78475E00"/>
    <w:rsid w:val="78477659"/>
    <w:rsid w:val="7849838F"/>
    <w:rsid w:val="78508173"/>
    <w:rsid w:val="78510F92"/>
    <w:rsid w:val="785A8BD7"/>
    <w:rsid w:val="785E094E"/>
    <w:rsid w:val="78616A95"/>
    <w:rsid w:val="78639645"/>
    <w:rsid w:val="7863B8B5"/>
    <w:rsid w:val="7866FA6F"/>
    <w:rsid w:val="786B6D80"/>
    <w:rsid w:val="786DE28C"/>
    <w:rsid w:val="786E6187"/>
    <w:rsid w:val="7876FDDF"/>
    <w:rsid w:val="7877903F"/>
    <w:rsid w:val="78784211"/>
    <w:rsid w:val="78795D39"/>
    <w:rsid w:val="787BAEA9"/>
    <w:rsid w:val="787BEF49"/>
    <w:rsid w:val="787E1275"/>
    <w:rsid w:val="78803A52"/>
    <w:rsid w:val="78876800"/>
    <w:rsid w:val="78881671"/>
    <w:rsid w:val="788E3069"/>
    <w:rsid w:val="78911793"/>
    <w:rsid w:val="7894D204"/>
    <w:rsid w:val="78951E62"/>
    <w:rsid w:val="789D8478"/>
    <w:rsid w:val="78A32149"/>
    <w:rsid w:val="78A5AA93"/>
    <w:rsid w:val="78A74414"/>
    <w:rsid w:val="78ACABD1"/>
    <w:rsid w:val="78AD3E5B"/>
    <w:rsid w:val="78AE6803"/>
    <w:rsid w:val="78B88650"/>
    <w:rsid w:val="78BDABEB"/>
    <w:rsid w:val="78C3AA36"/>
    <w:rsid w:val="78C51621"/>
    <w:rsid w:val="78CCAE12"/>
    <w:rsid w:val="78CD0DF1"/>
    <w:rsid w:val="78CF2B27"/>
    <w:rsid w:val="78D0179A"/>
    <w:rsid w:val="78D0CFFD"/>
    <w:rsid w:val="78D31C1D"/>
    <w:rsid w:val="78D41E1C"/>
    <w:rsid w:val="78D4840D"/>
    <w:rsid w:val="78D5835A"/>
    <w:rsid w:val="78D69D5D"/>
    <w:rsid w:val="78D7E2E1"/>
    <w:rsid w:val="78D9AA5F"/>
    <w:rsid w:val="78D9DFA1"/>
    <w:rsid w:val="78E0C9C3"/>
    <w:rsid w:val="78E1ACF9"/>
    <w:rsid w:val="78E4BA8A"/>
    <w:rsid w:val="78EB9AE2"/>
    <w:rsid w:val="78EBE071"/>
    <w:rsid w:val="78EBF8CD"/>
    <w:rsid w:val="78ED8926"/>
    <w:rsid w:val="78F5AA00"/>
    <w:rsid w:val="78F62FB6"/>
    <w:rsid w:val="78FA088F"/>
    <w:rsid w:val="78FC7150"/>
    <w:rsid w:val="78FE6BEC"/>
    <w:rsid w:val="7903593F"/>
    <w:rsid w:val="790538D9"/>
    <w:rsid w:val="790D8E18"/>
    <w:rsid w:val="790EEFD3"/>
    <w:rsid w:val="79141018"/>
    <w:rsid w:val="7916FD87"/>
    <w:rsid w:val="791C7679"/>
    <w:rsid w:val="791D1AEE"/>
    <w:rsid w:val="79257830"/>
    <w:rsid w:val="792915F5"/>
    <w:rsid w:val="7929D79B"/>
    <w:rsid w:val="7935985D"/>
    <w:rsid w:val="793C8EAB"/>
    <w:rsid w:val="79400876"/>
    <w:rsid w:val="79416A4F"/>
    <w:rsid w:val="7942D140"/>
    <w:rsid w:val="794371A6"/>
    <w:rsid w:val="79440243"/>
    <w:rsid w:val="7946D0CE"/>
    <w:rsid w:val="794D6829"/>
    <w:rsid w:val="7950BF60"/>
    <w:rsid w:val="795893EA"/>
    <w:rsid w:val="7959BADE"/>
    <w:rsid w:val="795A379C"/>
    <w:rsid w:val="795ADC43"/>
    <w:rsid w:val="795EF75D"/>
    <w:rsid w:val="7962A1A8"/>
    <w:rsid w:val="79634018"/>
    <w:rsid w:val="79729D27"/>
    <w:rsid w:val="7973CB0F"/>
    <w:rsid w:val="7979D251"/>
    <w:rsid w:val="797DA6D0"/>
    <w:rsid w:val="79807B35"/>
    <w:rsid w:val="79822934"/>
    <w:rsid w:val="7985B661"/>
    <w:rsid w:val="7985C020"/>
    <w:rsid w:val="79892C68"/>
    <w:rsid w:val="79902DDE"/>
    <w:rsid w:val="79915E5A"/>
    <w:rsid w:val="79956972"/>
    <w:rsid w:val="7995789A"/>
    <w:rsid w:val="79975EF6"/>
    <w:rsid w:val="799B8873"/>
    <w:rsid w:val="799F788B"/>
    <w:rsid w:val="79A2150A"/>
    <w:rsid w:val="79A5B434"/>
    <w:rsid w:val="79ABC088"/>
    <w:rsid w:val="79B1F94F"/>
    <w:rsid w:val="79B42D73"/>
    <w:rsid w:val="79B56963"/>
    <w:rsid w:val="79B9BD03"/>
    <w:rsid w:val="79BB1648"/>
    <w:rsid w:val="79BC98A2"/>
    <w:rsid w:val="79CC6B3A"/>
    <w:rsid w:val="79CCB6E2"/>
    <w:rsid w:val="79CD2EF3"/>
    <w:rsid w:val="79CD3D52"/>
    <w:rsid w:val="79CDED52"/>
    <w:rsid w:val="79CED44C"/>
    <w:rsid w:val="79D01111"/>
    <w:rsid w:val="79D5D55D"/>
    <w:rsid w:val="79D79980"/>
    <w:rsid w:val="79DCA442"/>
    <w:rsid w:val="79EE689A"/>
    <w:rsid w:val="79EEB421"/>
    <w:rsid w:val="79EF5711"/>
    <w:rsid w:val="79F0B8FD"/>
    <w:rsid w:val="79F3A93F"/>
    <w:rsid w:val="79F475E0"/>
    <w:rsid w:val="79F65F1A"/>
    <w:rsid w:val="79F77D10"/>
    <w:rsid w:val="79FD05FB"/>
    <w:rsid w:val="7A043D2C"/>
    <w:rsid w:val="7A057F2B"/>
    <w:rsid w:val="7A0656A3"/>
    <w:rsid w:val="7A0AEE46"/>
    <w:rsid w:val="7A0C0306"/>
    <w:rsid w:val="7A0F9A60"/>
    <w:rsid w:val="7A163A9B"/>
    <w:rsid w:val="7A16A954"/>
    <w:rsid w:val="7A172FD5"/>
    <w:rsid w:val="7A17C44B"/>
    <w:rsid w:val="7A1BA619"/>
    <w:rsid w:val="7A1D079A"/>
    <w:rsid w:val="7A261B69"/>
    <w:rsid w:val="7A3035F9"/>
    <w:rsid w:val="7A307770"/>
    <w:rsid w:val="7A31F732"/>
    <w:rsid w:val="7A3458D9"/>
    <w:rsid w:val="7A4284DC"/>
    <w:rsid w:val="7A43E6CE"/>
    <w:rsid w:val="7A448A73"/>
    <w:rsid w:val="7A4B9481"/>
    <w:rsid w:val="7A4BC8F5"/>
    <w:rsid w:val="7A507834"/>
    <w:rsid w:val="7A5FAA1A"/>
    <w:rsid w:val="7A61A427"/>
    <w:rsid w:val="7A65BD78"/>
    <w:rsid w:val="7A6ADF77"/>
    <w:rsid w:val="7A6C3A06"/>
    <w:rsid w:val="7A6C6310"/>
    <w:rsid w:val="7A736D35"/>
    <w:rsid w:val="7A7F492D"/>
    <w:rsid w:val="7A800E47"/>
    <w:rsid w:val="7A82555E"/>
    <w:rsid w:val="7A8449AC"/>
    <w:rsid w:val="7A887249"/>
    <w:rsid w:val="7A8913B9"/>
    <w:rsid w:val="7A891501"/>
    <w:rsid w:val="7A8E309A"/>
    <w:rsid w:val="7A8E427F"/>
    <w:rsid w:val="7A933E40"/>
    <w:rsid w:val="7A939FB3"/>
    <w:rsid w:val="7A94D71F"/>
    <w:rsid w:val="7A9D9204"/>
    <w:rsid w:val="7A9E1F21"/>
    <w:rsid w:val="7A9E2BBF"/>
    <w:rsid w:val="7AA6B9BE"/>
    <w:rsid w:val="7AA875F9"/>
    <w:rsid w:val="7AAB61A4"/>
    <w:rsid w:val="7AAFDBAA"/>
    <w:rsid w:val="7AB3474C"/>
    <w:rsid w:val="7AB3DE9B"/>
    <w:rsid w:val="7AB68709"/>
    <w:rsid w:val="7AB948DC"/>
    <w:rsid w:val="7AB96D2B"/>
    <w:rsid w:val="7ABFC32D"/>
    <w:rsid w:val="7AC049BB"/>
    <w:rsid w:val="7AC0ACAE"/>
    <w:rsid w:val="7AC475BD"/>
    <w:rsid w:val="7AC4E1FF"/>
    <w:rsid w:val="7AC4FD2D"/>
    <w:rsid w:val="7AC50603"/>
    <w:rsid w:val="7AC95C12"/>
    <w:rsid w:val="7AC9AAAF"/>
    <w:rsid w:val="7ACFF5CF"/>
    <w:rsid w:val="7AD8EF31"/>
    <w:rsid w:val="7AE05026"/>
    <w:rsid w:val="7AE193BC"/>
    <w:rsid w:val="7AE46D28"/>
    <w:rsid w:val="7AECFA46"/>
    <w:rsid w:val="7AF84FAD"/>
    <w:rsid w:val="7AFC69C1"/>
    <w:rsid w:val="7B0081CD"/>
    <w:rsid w:val="7B03772F"/>
    <w:rsid w:val="7B065C3B"/>
    <w:rsid w:val="7B08BA2E"/>
    <w:rsid w:val="7B0A2977"/>
    <w:rsid w:val="7B0AE254"/>
    <w:rsid w:val="7B0B4061"/>
    <w:rsid w:val="7B0C2A47"/>
    <w:rsid w:val="7B0C998B"/>
    <w:rsid w:val="7B0D2DFF"/>
    <w:rsid w:val="7B0D6430"/>
    <w:rsid w:val="7B141A1D"/>
    <w:rsid w:val="7B17C0E0"/>
    <w:rsid w:val="7B1F53D6"/>
    <w:rsid w:val="7B29A38A"/>
    <w:rsid w:val="7B2E306E"/>
    <w:rsid w:val="7B2F0996"/>
    <w:rsid w:val="7B327253"/>
    <w:rsid w:val="7B335127"/>
    <w:rsid w:val="7B37EE93"/>
    <w:rsid w:val="7B382335"/>
    <w:rsid w:val="7B3BA625"/>
    <w:rsid w:val="7B430DAE"/>
    <w:rsid w:val="7B44E3DD"/>
    <w:rsid w:val="7B481707"/>
    <w:rsid w:val="7B49B521"/>
    <w:rsid w:val="7B50DE9A"/>
    <w:rsid w:val="7B564DBB"/>
    <w:rsid w:val="7B57BFA7"/>
    <w:rsid w:val="7B58AB81"/>
    <w:rsid w:val="7B58E9D9"/>
    <w:rsid w:val="7B5BA0A0"/>
    <w:rsid w:val="7B5C0EA6"/>
    <w:rsid w:val="7B5C31AA"/>
    <w:rsid w:val="7B5CD780"/>
    <w:rsid w:val="7B5FE418"/>
    <w:rsid w:val="7B60773D"/>
    <w:rsid w:val="7B634B81"/>
    <w:rsid w:val="7B63ACBD"/>
    <w:rsid w:val="7B645FEF"/>
    <w:rsid w:val="7B6BCC70"/>
    <w:rsid w:val="7B6EEE43"/>
    <w:rsid w:val="7B6EEF4B"/>
    <w:rsid w:val="7B712289"/>
    <w:rsid w:val="7B771746"/>
    <w:rsid w:val="7B7A72E8"/>
    <w:rsid w:val="7B7B36EF"/>
    <w:rsid w:val="7B91B02C"/>
    <w:rsid w:val="7B91C299"/>
    <w:rsid w:val="7B92DA67"/>
    <w:rsid w:val="7B932435"/>
    <w:rsid w:val="7B93F9B9"/>
    <w:rsid w:val="7B94212A"/>
    <w:rsid w:val="7B9467D3"/>
    <w:rsid w:val="7B96F800"/>
    <w:rsid w:val="7B9A813D"/>
    <w:rsid w:val="7B9AC16A"/>
    <w:rsid w:val="7BA0DFA2"/>
    <w:rsid w:val="7BA62F1D"/>
    <w:rsid w:val="7BA880E2"/>
    <w:rsid w:val="7BAE2C92"/>
    <w:rsid w:val="7BB28EE3"/>
    <w:rsid w:val="7BB32C2F"/>
    <w:rsid w:val="7BB79AA7"/>
    <w:rsid w:val="7BB99E83"/>
    <w:rsid w:val="7BBAE298"/>
    <w:rsid w:val="7BBAF0E5"/>
    <w:rsid w:val="7BBAFFF5"/>
    <w:rsid w:val="7BBB5F71"/>
    <w:rsid w:val="7BBC519B"/>
    <w:rsid w:val="7BBC71A0"/>
    <w:rsid w:val="7BBF5BC1"/>
    <w:rsid w:val="7BC13FB3"/>
    <w:rsid w:val="7BC2DD3D"/>
    <w:rsid w:val="7BC38DEB"/>
    <w:rsid w:val="7BC39F2D"/>
    <w:rsid w:val="7BC3B652"/>
    <w:rsid w:val="7BC3C546"/>
    <w:rsid w:val="7BC80C33"/>
    <w:rsid w:val="7BCBFB3E"/>
    <w:rsid w:val="7BD0ECCD"/>
    <w:rsid w:val="7BD270DE"/>
    <w:rsid w:val="7BD63A35"/>
    <w:rsid w:val="7BD82A8D"/>
    <w:rsid w:val="7BD88CDA"/>
    <w:rsid w:val="7BDCC577"/>
    <w:rsid w:val="7BDEC24C"/>
    <w:rsid w:val="7BE07B14"/>
    <w:rsid w:val="7BF063E4"/>
    <w:rsid w:val="7BF103CE"/>
    <w:rsid w:val="7BF6F5ED"/>
    <w:rsid w:val="7BFFA74E"/>
    <w:rsid w:val="7C00046A"/>
    <w:rsid w:val="7C02B4E0"/>
    <w:rsid w:val="7C04653F"/>
    <w:rsid w:val="7C04E1BD"/>
    <w:rsid w:val="7C07C1F6"/>
    <w:rsid w:val="7C0B5AF4"/>
    <w:rsid w:val="7C0B9515"/>
    <w:rsid w:val="7C0CB20B"/>
    <w:rsid w:val="7C0DA759"/>
    <w:rsid w:val="7C0F6ED3"/>
    <w:rsid w:val="7C103C60"/>
    <w:rsid w:val="7C1C5D55"/>
    <w:rsid w:val="7C20DE00"/>
    <w:rsid w:val="7C2569FF"/>
    <w:rsid w:val="7C28BDC2"/>
    <w:rsid w:val="7C2CF989"/>
    <w:rsid w:val="7C2E6368"/>
    <w:rsid w:val="7C2E90BD"/>
    <w:rsid w:val="7C32236E"/>
    <w:rsid w:val="7C322DA0"/>
    <w:rsid w:val="7C340C8A"/>
    <w:rsid w:val="7C363275"/>
    <w:rsid w:val="7C369C7F"/>
    <w:rsid w:val="7C39A75F"/>
    <w:rsid w:val="7C3A31D7"/>
    <w:rsid w:val="7C3E65B6"/>
    <w:rsid w:val="7C4059CD"/>
    <w:rsid w:val="7C42707D"/>
    <w:rsid w:val="7C45420E"/>
    <w:rsid w:val="7C484F1C"/>
    <w:rsid w:val="7C4A6B1D"/>
    <w:rsid w:val="7C5A008B"/>
    <w:rsid w:val="7C67ACD6"/>
    <w:rsid w:val="7C6A5DAD"/>
    <w:rsid w:val="7C6B65B6"/>
    <w:rsid w:val="7C6D784A"/>
    <w:rsid w:val="7C6EEDAF"/>
    <w:rsid w:val="7C6F90F1"/>
    <w:rsid w:val="7C763664"/>
    <w:rsid w:val="7C782A93"/>
    <w:rsid w:val="7C79EB10"/>
    <w:rsid w:val="7C7A0692"/>
    <w:rsid w:val="7C7B0124"/>
    <w:rsid w:val="7C7EBE90"/>
    <w:rsid w:val="7C80B252"/>
    <w:rsid w:val="7C841C86"/>
    <w:rsid w:val="7C889B0E"/>
    <w:rsid w:val="7C899420"/>
    <w:rsid w:val="7C8E6B0F"/>
    <w:rsid w:val="7C8E6BB3"/>
    <w:rsid w:val="7C8F80F6"/>
    <w:rsid w:val="7C945671"/>
    <w:rsid w:val="7C959BBD"/>
    <w:rsid w:val="7C966A2E"/>
    <w:rsid w:val="7C98F7E9"/>
    <w:rsid w:val="7C9EE9C0"/>
    <w:rsid w:val="7CA1464C"/>
    <w:rsid w:val="7CA895DC"/>
    <w:rsid w:val="7CA9747A"/>
    <w:rsid w:val="7CA98004"/>
    <w:rsid w:val="7CAA3850"/>
    <w:rsid w:val="7CAE7F65"/>
    <w:rsid w:val="7CB38CF5"/>
    <w:rsid w:val="7CB4DE85"/>
    <w:rsid w:val="7CB7859E"/>
    <w:rsid w:val="7CBA1A5B"/>
    <w:rsid w:val="7CBF6E26"/>
    <w:rsid w:val="7CC63F9C"/>
    <w:rsid w:val="7CCB11FB"/>
    <w:rsid w:val="7CCC6E75"/>
    <w:rsid w:val="7CD13E01"/>
    <w:rsid w:val="7CD1E288"/>
    <w:rsid w:val="7CD81271"/>
    <w:rsid w:val="7CD840E3"/>
    <w:rsid w:val="7CDB7B13"/>
    <w:rsid w:val="7CDE578E"/>
    <w:rsid w:val="7CDFF140"/>
    <w:rsid w:val="7CE18C9B"/>
    <w:rsid w:val="7CE7A485"/>
    <w:rsid w:val="7CE8B874"/>
    <w:rsid w:val="7CE9470F"/>
    <w:rsid w:val="7CEC91EB"/>
    <w:rsid w:val="7CEF564F"/>
    <w:rsid w:val="7CF0CB39"/>
    <w:rsid w:val="7CF7BFE5"/>
    <w:rsid w:val="7CF8A2E4"/>
    <w:rsid w:val="7CFB1965"/>
    <w:rsid w:val="7CFB3018"/>
    <w:rsid w:val="7D01ADB0"/>
    <w:rsid w:val="7D03287A"/>
    <w:rsid w:val="7D08770D"/>
    <w:rsid w:val="7D0D0CE9"/>
    <w:rsid w:val="7D0ECF8D"/>
    <w:rsid w:val="7D15EDB4"/>
    <w:rsid w:val="7D1D8D07"/>
    <w:rsid w:val="7D1EE858"/>
    <w:rsid w:val="7D23B79A"/>
    <w:rsid w:val="7D2420BA"/>
    <w:rsid w:val="7D247B7C"/>
    <w:rsid w:val="7D28ECB1"/>
    <w:rsid w:val="7D2B1909"/>
    <w:rsid w:val="7D2BF2B9"/>
    <w:rsid w:val="7D2CD9FA"/>
    <w:rsid w:val="7D33899B"/>
    <w:rsid w:val="7D33EF06"/>
    <w:rsid w:val="7D3F1172"/>
    <w:rsid w:val="7D407506"/>
    <w:rsid w:val="7D44DD6D"/>
    <w:rsid w:val="7D520BBE"/>
    <w:rsid w:val="7D5556CB"/>
    <w:rsid w:val="7D577C60"/>
    <w:rsid w:val="7D5AA4A3"/>
    <w:rsid w:val="7D5BAF0E"/>
    <w:rsid w:val="7D5CCC87"/>
    <w:rsid w:val="7D5F7477"/>
    <w:rsid w:val="7D6243C9"/>
    <w:rsid w:val="7D648254"/>
    <w:rsid w:val="7D649CB7"/>
    <w:rsid w:val="7D6519AC"/>
    <w:rsid w:val="7D68EEC0"/>
    <w:rsid w:val="7D69ECA4"/>
    <w:rsid w:val="7D6C4F80"/>
    <w:rsid w:val="7D70CC03"/>
    <w:rsid w:val="7D73150A"/>
    <w:rsid w:val="7D79E494"/>
    <w:rsid w:val="7D7C8B70"/>
    <w:rsid w:val="7D7FC9FB"/>
    <w:rsid w:val="7D81A514"/>
    <w:rsid w:val="7D873AC1"/>
    <w:rsid w:val="7D8782B2"/>
    <w:rsid w:val="7D89BC67"/>
    <w:rsid w:val="7D8A9C68"/>
    <w:rsid w:val="7D8FE49A"/>
    <w:rsid w:val="7D913C8F"/>
    <w:rsid w:val="7D93BA50"/>
    <w:rsid w:val="7D9465DC"/>
    <w:rsid w:val="7D957D67"/>
    <w:rsid w:val="7D9EBDB1"/>
    <w:rsid w:val="7D9F9CFF"/>
    <w:rsid w:val="7DA210D6"/>
    <w:rsid w:val="7DA90D6D"/>
    <w:rsid w:val="7DAFE820"/>
    <w:rsid w:val="7DB06909"/>
    <w:rsid w:val="7DB17D3A"/>
    <w:rsid w:val="7DBAB2D7"/>
    <w:rsid w:val="7DBBBF79"/>
    <w:rsid w:val="7DBBFD83"/>
    <w:rsid w:val="7DBCFEE6"/>
    <w:rsid w:val="7DBE1323"/>
    <w:rsid w:val="7DBF923A"/>
    <w:rsid w:val="7DCA7109"/>
    <w:rsid w:val="7DCC9547"/>
    <w:rsid w:val="7DCCAF4F"/>
    <w:rsid w:val="7DD0E7B3"/>
    <w:rsid w:val="7DD1229F"/>
    <w:rsid w:val="7DD5BA01"/>
    <w:rsid w:val="7DD81EA0"/>
    <w:rsid w:val="7DDAD5BD"/>
    <w:rsid w:val="7DDAE652"/>
    <w:rsid w:val="7DDFD279"/>
    <w:rsid w:val="7DE1B747"/>
    <w:rsid w:val="7DE627AC"/>
    <w:rsid w:val="7DE62F0A"/>
    <w:rsid w:val="7DE7296D"/>
    <w:rsid w:val="7DF45B9A"/>
    <w:rsid w:val="7DF5DCC1"/>
    <w:rsid w:val="7DF8AD68"/>
    <w:rsid w:val="7DF9C839"/>
    <w:rsid w:val="7E0478D8"/>
    <w:rsid w:val="7E04D7C1"/>
    <w:rsid w:val="7E050F5D"/>
    <w:rsid w:val="7E052E79"/>
    <w:rsid w:val="7E10BCBB"/>
    <w:rsid w:val="7E13C2B3"/>
    <w:rsid w:val="7E147F5D"/>
    <w:rsid w:val="7E18248D"/>
    <w:rsid w:val="7E1A0729"/>
    <w:rsid w:val="7E1DE9B3"/>
    <w:rsid w:val="7E1E5536"/>
    <w:rsid w:val="7E1EBFAB"/>
    <w:rsid w:val="7E271BC0"/>
    <w:rsid w:val="7E2A8186"/>
    <w:rsid w:val="7E31575D"/>
    <w:rsid w:val="7E3AA074"/>
    <w:rsid w:val="7E3DEFA7"/>
    <w:rsid w:val="7E409E2B"/>
    <w:rsid w:val="7E4150D4"/>
    <w:rsid w:val="7E436AD8"/>
    <w:rsid w:val="7E4391A1"/>
    <w:rsid w:val="7E448CAA"/>
    <w:rsid w:val="7E4A9C02"/>
    <w:rsid w:val="7E53B027"/>
    <w:rsid w:val="7E5C1184"/>
    <w:rsid w:val="7E5DF0A9"/>
    <w:rsid w:val="7E601B9F"/>
    <w:rsid w:val="7E62F89C"/>
    <w:rsid w:val="7E644DF0"/>
    <w:rsid w:val="7E658871"/>
    <w:rsid w:val="7E65F126"/>
    <w:rsid w:val="7E6ABDBA"/>
    <w:rsid w:val="7E6DF43A"/>
    <w:rsid w:val="7E70FAAC"/>
    <w:rsid w:val="7E721425"/>
    <w:rsid w:val="7E755883"/>
    <w:rsid w:val="7E768DB6"/>
    <w:rsid w:val="7E769820"/>
    <w:rsid w:val="7E7BB2C5"/>
    <w:rsid w:val="7E7BFC94"/>
    <w:rsid w:val="7E7E99B5"/>
    <w:rsid w:val="7E8237A6"/>
    <w:rsid w:val="7E828CAF"/>
    <w:rsid w:val="7E82D323"/>
    <w:rsid w:val="7E853469"/>
    <w:rsid w:val="7E87E389"/>
    <w:rsid w:val="7E894E4F"/>
    <w:rsid w:val="7E8A6842"/>
    <w:rsid w:val="7E8B2F39"/>
    <w:rsid w:val="7E8C8B3A"/>
    <w:rsid w:val="7E8CB3B7"/>
    <w:rsid w:val="7E8CDDA7"/>
    <w:rsid w:val="7E9188DC"/>
    <w:rsid w:val="7E943B19"/>
    <w:rsid w:val="7E95148C"/>
    <w:rsid w:val="7E958BAD"/>
    <w:rsid w:val="7E9AF8B2"/>
    <w:rsid w:val="7E9CFB0F"/>
    <w:rsid w:val="7E9EFA02"/>
    <w:rsid w:val="7EA09189"/>
    <w:rsid w:val="7EA2C927"/>
    <w:rsid w:val="7EA61458"/>
    <w:rsid w:val="7EA694A7"/>
    <w:rsid w:val="7EA8B786"/>
    <w:rsid w:val="7EAAA1FF"/>
    <w:rsid w:val="7EAB3363"/>
    <w:rsid w:val="7EAC19F3"/>
    <w:rsid w:val="7EADF632"/>
    <w:rsid w:val="7EB03D28"/>
    <w:rsid w:val="7EB2FEFF"/>
    <w:rsid w:val="7EB6A31B"/>
    <w:rsid w:val="7EBE1F1A"/>
    <w:rsid w:val="7EBE46A2"/>
    <w:rsid w:val="7EC1E617"/>
    <w:rsid w:val="7EC72DBF"/>
    <w:rsid w:val="7ECDE105"/>
    <w:rsid w:val="7ECED63B"/>
    <w:rsid w:val="7ECF7239"/>
    <w:rsid w:val="7ED42E49"/>
    <w:rsid w:val="7ED4F0ED"/>
    <w:rsid w:val="7ED5945E"/>
    <w:rsid w:val="7ED63EE7"/>
    <w:rsid w:val="7EDB8CD9"/>
    <w:rsid w:val="7EDC482C"/>
    <w:rsid w:val="7EDD3611"/>
    <w:rsid w:val="7EDE5CDB"/>
    <w:rsid w:val="7EDF9D62"/>
    <w:rsid w:val="7EE2A51B"/>
    <w:rsid w:val="7EE55737"/>
    <w:rsid w:val="7EE564AA"/>
    <w:rsid w:val="7EE5755C"/>
    <w:rsid w:val="7EE5EC5F"/>
    <w:rsid w:val="7EF3043F"/>
    <w:rsid w:val="7EF64558"/>
    <w:rsid w:val="7EF8D1B7"/>
    <w:rsid w:val="7EF9C607"/>
    <w:rsid w:val="7EFF21E8"/>
    <w:rsid w:val="7F024865"/>
    <w:rsid w:val="7F05B205"/>
    <w:rsid w:val="7F075B57"/>
    <w:rsid w:val="7F09305F"/>
    <w:rsid w:val="7F0B16E1"/>
    <w:rsid w:val="7F0C18AE"/>
    <w:rsid w:val="7F0EB303"/>
    <w:rsid w:val="7F16E2D8"/>
    <w:rsid w:val="7F1AF0F4"/>
    <w:rsid w:val="7F1B3A52"/>
    <w:rsid w:val="7F1CA475"/>
    <w:rsid w:val="7F1ED34F"/>
    <w:rsid w:val="7F22C95C"/>
    <w:rsid w:val="7F2512F4"/>
    <w:rsid w:val="7F25D71A"/>
    <w:rsid w:val="7F261B1D"/>
    <w:rsid w:val="7F2A316C"/>
    <w:rsid w:val="7F2AD637"/>
    <w:rsid w:val="7F30EC23"/>
    <w:rsid w:val="7F33B47B"/>
    <w:rsid w:val="7F37A5E9"/>
    <w:rsid w:val="7F38182A"/>
    <w:rsid w:val="7F3CD4A2"/>
    <w:rsid w:val="7F3EC094"/>
    <w:rsid w:val="7F3F7C31"/>
    <w:rsid w:val="7F44A64C"/>
    <w:rsid w:val="7F4A2C42"/>
    <w:rsid w:val="7F4D4162"/>
    <w:rsid w:val="7F4D50BE"/>
    <w:rsid w:val="7F4E1A67"/>
    <w:rsid w:val="7F53E3C5"/>
    <w:rsid w:val="7F544F95"/>
    <w:rsid w:val="7F5CC570"/>
    <w:rsid w:val="7F6A7CC5"/>
    <w:rsid w:val="7F6B36FE"/>
    <w:rsid w:val="7F6D0E0F"/>
    <w:rsid w:val="7F70A96C"/>
    <w:rsid w:val="7F739331"/>
    <w:rsid w:val="7F7C015C"/>
    <w:rsid w:val="7F7D001A"/>
    <w:rsid w:val="7F7D8AF1"/>
    <w:rsid w:val="7F7F197F"/>
    <w:rsid w:val="7F823185"/>
    <w:rsid w:val="7F84936B"/>
    <w:rsid w:val="7F8516F5"/>
    <w:rsid w:val="7F861516"/>
    <w:rsid w:val="7F87CA70"/>
    <w:rsid w:val="7F893F58"/>
    <w:rsid w:val="7F8984EC"/>
    <w:rsid w:val="7F90C6D3"/>
    <w:rsid w:val="7F92FCF8"/>
    <w:rsid w:val="7F95E80E"/>
    <w:rsid w:val="7F994844"/>
    <w:rsid w:val="7F9B9B79"/>
    <w:rsid w:val="7F9F751E"/>
    <w:rsid w:val="7FA4307D"/>
    <w:rsid w:val="7FA657B4"/>
    <w:rsid w:val="7FA65D80"/>
    <w:rsid w:val="7FA94903"/>
    <w:rsid w:val="7FABD448"/>
    <w:rsid w:val="7FB1B8A0"/>
    <w:rsid w:val="7FB312A5"/>
    <w:rsid w:val="7FB3D36C"/>
    <w:rsid w:val="7FB4148B"/>
    <w:rsid w:val="7FBC9ADF"/>
    <w:rsid w:val="7FC0BCFF"/>
    <w:rsid w:val="7FC3CFDE"/>
    <w:rsid w:val="7FC4990A"/>
    <w:rsid w:val="7FC5BBBB"/>
    <w:rsid w:val="7FC5E8EA"/>
    <w:rsid w:val="7FC7A2F2"/>
    <w:rsid w:val="7FCDDA56"/>
    <w:rsid w:val="7FCDE567"/>
    <w:rsid w:val="7FD1CF32"/>
    <w:rsid w:val="7FD5564E"/>
    <w:rsid w:val="7FE0B606"/>
    <w:rsid w:val="7FE143D9"/>
    <w:rsid w:val="7FE22171"/>
    <w:rsid w:val="7FE6AB0D"/>
    <w:rsid w:val="7FE71EE6"/>
    <w:rsid w:val="7FE7B5B4"/>
    <w:rsid w:val="7FEB6605"/>
    <w:rsid w:val="7FEEFBA4"/>
    <w:rsid w:val="7FEFF821"/>
    <w:rsid w:val="7FF4E66F"/>
    <w:rsid w:val="7FF60095"/>
    <w:rsid w:val="7FFC1C20"/>
    <w:rsid w:val="7FFC57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ACC1B"/>
  <w15:docId w15:val="{5D2C06C6-2A6F-4E9C-9FE2-999A8F41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29"/>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3"/>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numPr>
        <w:ilvl w:val="1"/>
        <w:numId w:val="3"/>
      </w:numPr>
      <w:outlineLvl w:val="1"/>
    </w:pPr>
    <w:rPr>
      <w:rFonts w:eastAsia="Times New Roman"/>
      <w:b/>
      <w:szCs w:val="20"/>
    </w:rPr>
  </w:style>
  <w:style w:type="paragraph" w:styleId="Heading3">
    <w:name w:val="heading 3"/>
    <w:basedOn w:val="Normal"/>
    <w:next w:val="Normal"/>
    <w:link w:val="Heading3Char"/>
    <w:qFormat/>
    <w:rsid w:val="006B087E"/>
    <w:pPr>
      <w:keepNext/>
      <w:numPr>
        <w:ilvl w:val="2"/>
        <w:numId w:val="3"/>
      </w:numPr>
      <w:tabs>
        <w:tab w:val="num" w:pos="9007"/>
      </w:tabs>
      <w:outlineLvl w:val="2"/>
    </w:pPr>
    <w:rPr>
      <w:rFonts w:eastAsia="Times New Roman"/>
      <w:i/>
      <w:szCs w:val="20"/>
    </w:rPr>
  </w:style>
  <w:style w:type="paragraph" w:styleId="Heading4">
    <w:name w:val="heading 4"/>
    <w:basedOn w:val="Normal"/>
    <w:next w:val="Normal"/>
    <w:link w:val="Heading4Char"/>
    <w:qFormat/>
    <w:rsid w:val="006B087E"/>
    <w:pPr>
      <w:keepNext/>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B867EF"/>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aliases w:val="Char2"/>
    <w:basedOn w:val="Normal"/>
    <w:link w:val="CommentTextChar"/>
    <w:uiPriority w:val="99"/>
    <w:unhideWhenUsed/>
    <w:rsid w:val="002252CF"/>
    <w:rPr>
      <w:sz w:val="20"/>
      <w:szCs w:val="20"/>
    </w:rPr>
  </w:style>
  <w:style w:type="character" w:customStyle="1" w:styleId="CommentTextChar">
    <w:name w:val="Comment Text Char"/>
    <w:aliases w:val="Char2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rsid w:val="00164306"/>
    <w:pPr>
      <w:spacing w:before="360"/>
      <w:jc w:val="center"/>
    </w:pPr>
    <w:rPr>
      <w:szCs w:val="22"/>
    </w:rPr>
  </w:style>
  <w:style w:type="paragraph" w:customStyle="1" w:styleId="LanguesfaisantfoiPagedecouverture">
    <w:name w:val="Langues faisant foi (Page de couverture)"/>
    <w:basedOn w:val="Normal"/>
    <w:next w:val="Normal"/>
    <w:rsid w:val="00164306"/>
    <w:pPr>
      <w:spacing w:before="360"/>
      <w:jc w:val="center"/>
    </w:pPr>
    <w:rPr>
      <w:szCs w:val="22"/>
    </w:rPr>
  </w:style>
  <w:style w:type="paragraph" w:customStyle="1" w:styleId="IntrtEEE">
    <w:name w:val="Intérêt EEE"/>
    <w:basedOn w:val="Languesfaisantfoi"/>
    <w:next w:val="Normal"/>
    <w:rsid w:val="00164306"/>
    <w:pPr>
      <w:spacing w:after="0"/>
    </w:pPr>
  </w:style>
  <w:style w:type="paragraph" w:customStyle="1" w:styleId="IntrtEEEPagedecouverture">
    <w:name w:val="Intérêt EEE (Page de couverture)"/>
    <w:basedOn w:val="IntrtEEE"/>
    <w:next w:val="Normal"/>
    <w:rsid w:val="00164306"/>
  </w:style>
  <w:style w:type="paragraph" w:customStyle="1" w:styleId="Heading3NoNumb">
    <w:name w:val="Heading 3NoNumb"/>
    <w:basedOn w:val="Normal"/>
    <w:uiPriority w:val="5"/>
    <w:qFormat/>
    <w:rsid w:val="00C946C9"/>
    <w:pPr>
      <w:keepNext/>
      <w:keepLines/>
      <w:spacing w:before="360" w:after="60" w:line="260" w:lineRule="atLeast"/>
      <w:ind w:left="851" w:hanging="851"/>
      <w:outlineLvl w:val="2"/>
    </w:pPr>
    <w:rPr>
      <w:rFonts w:ascii="Arial" w:eastAsiaTheme="majorEastAsia" w:hAnsi="Arial" w:cstheme="majorBidi"/>
      <w:b/>
      <w:bCs/>
      <w:color w:val="48773D"/>
      <w:sz w:val="26"/>
      <w:szCs w:val="26"/>
    </w:rPr>
  </w:style>
  <w:style w:type="paragraph" w:styleId="EndnoteText">
    <w:name w:val="endnote text"/>
    <w:basedOn w:val="Normal"/>
    <w:link w:val="EndnoteTextChar"/>
    <w:uiPriority w:val="99"/>
    <w:semiHidden/>
    <w:unhideWhenUsed/>
    <w:rsid w:val="009200F2"/>
    <w:pPr>
      <w:spacing w:after="0"/>
    </w:pPr>
    <w:rPr>
      <w:sz w:val="20"/>
      <w:szCs w:val="20"/>
    </w:rPr>
  </w:style>
  <w:style w:type="character" w:customStyle="1" w:styleId="EndnoteTextChar">
    <w:name w:val="Endnote Text Char"/>
    <w:basedOn w:val="DefaultParagraphFont"/>
    <w:link w:val="EndnoteText"/>
    <w:uiPriority w:val="99"/>
    <w:semiHidden/>
    <w:rsid w:val="009200F2"/>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9200F2"/>
    <w:rPr>
      <w:vertAlign w:val="superscript"/>
    </w:rPr>
  </w:style>
  <w:style w:type="paragraph" w:styleId="NormalWeb">
    <w:name w:val="Normal (Web)"/>
    <w:basedOn w:val="Normal"/>
    <w:uiPriority w:val="99"/>
    <w:unhideWhenUsed/>
    <w:rsid w:val="00D311DC"/>
    <w:pPr>
      <w:spacing w:before="100" w:beforeAutospacing="1" w:after="100" w:afterAutospacing="1"/>
      <w:jc w:val="left"/>
    </w:pPr>
    <w:rPr>
      <w:rFonts w:eastAsia="Times New Roman"/>
      <w:lang w:val="en-US"/>
    </w:rPr>
  </w:style>
  <w:style w:type="character" w:styleId="Strong">
    <w:name w:val="Strong"/>
    <w:basedOn w:val="DefaultParagraphFont"/>
    <w:uiPriority w:val="22"/>
    <w:qFormat/>
    <w:rsid w:val="00D311DC"/>
    <w:rPr>
      <w:b/>
      <w:bCs/>
    </w:rPr>
  </w:style>
  <w:style w:type="character" w:customStyle="1" w:styleId="Mention1">
    <w:name w:val="Mention1"/>
    <w:basedOn w:val="DefaultParagraphFont"/>
    <w:uiPriority w:val="99"/>
    <w:unhideWhenUsed/>
    <w:rsid w:val="00233DC2"/>
    <w:rPr>
      <w:color w:val="2B579A"/>
      <w:shd w:val="clear" w:color="auto" w:fill="E1DFDD"/>
    </w:rPr>
  </w:style>
  <w:style w:type="character" w:customStyle="1" w:styleId="Bodytext1">
    <w:name w:val="Body text|1_"/>
    <w:basedOn w:val="DefaultParagraphFont"/>
    <w:link w:val="Bodytext10"/>
    <w:rsid w:val="005678BA"/>
    <w:rPr>
      <w:color w:val="000000"/>
    </w:rPr>
  </w:style>
  <w:style w:type="paragraph" w:customStyle="1" w:styleId="Bodytext10">
    <w:name w:val="Body text|1"/>
    <w:basedOn w:val="Normal"/>
    <w:link w:val="Bodytext1"/>
    <w:rsid w:val="005678BA"/>
    <w:pPr>
      <w:widowControl w:val="0"/>
      <w:spacing w:after="220"/>
      <w:jc w:val="left"/>
    </w:pPr>
    <w:rPr>
      <w:rFonts w:asciiTheme="minorHAnsi" w:hAnsiTheme="minorHAnsi" w:cstheme="minorBidi"/>
      <w:color w:val="000000"/>
      <w:sz w:val="22"/>
      <w:szCs w:val="22"/>
    </w:rPr>
  </w:style>
  <w:style w:type="table" w:customStyle="1" w:styleId="CV15">
    <w:name w:val="CV15"/>
    <w:basedOn w:val="TableNormal"/>
    <w:next w:val="TableGrid"/>
    <w:uiPriority w:val="59"/>
    <w:rsid w:val="0011683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basedOn w:val="NormalWeb"/>
    <w:rsid w:val="0075487D"/>
  </w:style>
  <w:style w:type="paragraph" w:customStyle="1" w:styleId="TableTextNoSpace">
    <w:name w:val="TableTextNoSpace"/>
    <w:basedOn w:val="Normal"/>
    <w:uiPriority w:val="15"/>
    <w:qFormat/>
    <w:rsid w:val="001D035D"/>
    <w:pPr>
      <w:spacing w:after="0" w:line="220" w:lineRule="atLeast"/>
      <w:ind w:left="57" w:right="57"/>
    </w:pPr>
    <w:rPr>
      <w:rFonts w:ascii="Calibri" w:eastAsiaTheme="minorEastAsia" w:hAnsi="Calibri" w:cs="Calibri"/>
      <w:color w:val="000000" w:themeColor="text1"/>
      <w:sz w:val="20"/>
      <w:szCs w:val="20"/>
      <w:lang w:eastAsia="en-GB"/>
    </w:rPr>
  </w:style>
  <w:style w:type="paragraph" w:customStyle="1" w:styleId="Normal1">
    <w:name w:val="Normal1"/>
    <w:basedOn w:val="Normal"/>
    <w:rsid w:val="00260FA7"/>
    <w:pPr>
      <w:spacing w:before="100" w:beforeAutospacing="1" w:after="100" w:afterAutospacing="1"/>
      <w:jc w:val="left"/>
    </w:pPr>
    <w:rPr>
      <w:rFonts w:eastAsia="Times New Roman"/>
      <w:lang w:val="en-US"/>
    </w:rPr>
  </w:style>
  <w:style w:type="paragraph" w:customStyle="1" w:styleId="TableLeft">
    <w:name w:val="TableLeft"/>
    <w:basedOn w:val="Normal"/>
    <w:next w:val="Normal"/>
    <w:uiPriority w:val="6"/>
    <w:qFormat/>
    <w:rsid w:val="001A267C"/>
    <w:pPr>
      <w:keepNext/>
      <w:numPr>
        <w:ilvl w:val="6"/>
        <w:numId w:val="7"/>
      </w:numPr>
      <w:spacing w:before="120" w:after="120" w:line="260" w:lineRule="atLeast"/>
    </w:pPr>
    <w:rPr>
      <w:rFonts w:ascii="Arial" w:eastAsiaTheme="minorEastAsia" w:hAnsi="Arial"/>
      <w:color w:val="48773D"/>
      <w:sz w:val="22"/>
      <w:szCs w:val="22"/>
    </w:rPr>
  </w:style>
  <w:style w:type="paragraph" w:customStyle="1" w:styleId="TableHeadingWhite">
    <w:name w:val="TableHeadingWhite"/>
    <w:basedOn w:val="Normal"/>
    <w:uiPriority w:val="16"/>
    <w:qFormat/>
    <w:rsid w:val="001A267C"/>
    <w:pPr>
      <w:spacing w:before="120" w:after="0" w:line="220" w:lineRule="atLeast"/>
      <w:ind w:left="57" w:right="57"/>
    </w:pPr>
    <w:rPr>
      <w:rFonts w:ascii="Arial" w:eastAsiaTheme="minorEastAsia" w:hAnsi="Arial"/>
      <w:b/>
      <w:bCs/>
      <w:color w:val="FFFFFF" w:themeColor="background1"/>
      <w:sz w:val="20"/>
      <w:szCs w:val="20"/>
    </w:rPr>
  </w:style>
  <w:style w:type="character" w:customStyle="1" w:styleId="Heading21">
    <w:name w:val="Heading #2|1_"/>
    <w:basedOn w:val="DefaultParagraphFont"/>
    <w:link w:val="Heading210"/>
    <w:rsid w:val="003371A3"/>
    <w:rPr>
      <w:b/>
      <w:bCs/>
      <w:color w:val="000000"/>
    </w:rPr>
  </w:style>
  <w:style w:type="paragraph" w:customStyle="1" w:styleId="Heading210">
    <w:name w:val="Heading #2|1"/>
    <w:basedOn w:val="Normal"/>
    <w:link w:val="Heading21"/>
    <w:rsid w:val="003371A3"/>
    <w:pPr>
      <w:widowControl w:val="0"/>
      <w:spacing w:after="220"/>
      <w:jc w:val="left"/>
      <w:outlineLvl w:val="1"/>
    </w:pPr>
    <w:rPr>
      <w:rFonts w:asciiTheme="minorHAnsi" w:hAnsiTheme="minorHAnsi" w:cstheme="minorBidi"/>
      <w:b/>
      <w:bCs/>
      <w:color w:val="000000"/>
      <w:sz w:val="22"/>
      <w:szCs w:val="22"/>
    </w:rPr>
  </w:style>
  <w:style w:type="paragraph" w:customStyle="1" w:styleId="AnnexTable">
    <w:name w:val="AnnexTable"/>
    <w:basedOn w:val="Normal"/>
    <w:uiPriority w:val="6"/>
    <w:qFormat/>
    <w:rsid w:val="004B311A"/>
    <w:pPr>
      <w:keepNext/>
      <w:ind w:left="851" w:hanging="851"/>
    </w:pPr>
    <w:rPr>
      <w:rFonts w:asciiTheme="minorHAnsi" w:eastAsiaTheme="minorEastAsia" w:hAnsiTheme="minorHAnsi" w:cstheme="minorBidi"/>
      <w:color w:val="156082"/>
    </w:rPr>
  </w:style>
  <w:style w:type="table" w:styleId="GridTable5Dark-Accent1">
    <w:name w:val="Grid Table 5 Dark Accent 1"/>
    <w:basedOn w:val="TableNormal"/>
    <w:uiPriority w:val="50"/>
    <w:rsid w:val="006957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6957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paragraph">
    <w:name w:val="paragraph"/>
    <w:basedOn w:val="Normal"/>
    <w:rsid w:val="00C77EF0"/>
    <w:pPr>
      <w:spacing w:before="100" w:beforeAutospacing="1" w:after="100" w:afterAutospacing="1"/>
      <w:jc w:val="left"/>
    </w:pPr>
    <w:rPr>
      <w:rFonts w:eastAsia="Times New Roman"/>
      <w:lang w:val="fr-BE" w:eastAsia="fr-BE"/>
    </w:rPr>
  </w:style>
  <w:style w:type="character" w:customStyle="1" w:styleId="normaltextrun">
    <w:name w:val="normaltextrun"/>
    <w:basedOn w:val="DefaultParagraphFont"/>
    <w:rsid w:val="00C77EF0"/>
  </w:style>
  <w:style w:type="character" w:customStyle="1" w:styleId="eop">
    <w:name w:val="eop"/>
    <w:basedOn w:val="DefaultParagraphFont"/>
    <w:rsid w:val="00C77EF0"/>
  </w:style>
  <w:style w:type="character" w:customStyle="1" w:styleId="wacimagecontainer">
    <w:name w:val="wacimagecontainer"/>
    <w:basedOn w:val="DefaultParagraphFont"/>
    <w:rsid w:val="001119D3"/>
  </w:style>
  <w:style w:type="paragraph" w:styleId="TOC3">
    <w:name w:val="toc 3"/>
    <w:basedOn w:val="Normal"/>
    <w:next w:val="Normal"/>
    <w:autoRedefine/>
    <w:uiPriority w:val="39"/>
    <w:unhideWhenUsed/>
    <w:rsid w:val="000B78D0"/>
    <w:pPr>
      <w:spacing w:after="100"/>
      <w:ind w:left="480"/>
    </w:pPr>
  </w:style>
  <w:style w:type="paragraph" w:styleId="TOC4">
    <w:name w:val="toc 4"/>
    <w:basedOn w:val="Normal"/>
    <w:next w:val="Normal"/>
    <w:autoRedefine/>
    <w:uiPriority w:val="39"/>
    <w:unhideWhenUsed/>
    <w:rsid w:val="000B78D0"/>
    <w:pPr>
      <w:spacing w:after="100" w:line="278" w:lineRule="auto"/>
      <w:ind w:left="720"/>
      <w:jc w:val="left"/>
    </w:pPr>
    <w:rPr>
      <w:rFonts w:asciiTheme="minorHAnsi" w:eastAsiaTheme="minorEastAsia" w:hAnsiTheme="minorHAnsi" w:cstheme="minorBidi"/>
      <w:kern w:val="2"/>
      <w:lang w:val="fr-BE" w:eastAsia="fr-BE"/>
    </w:rPr>
  </w:style>
  <w:style w:type="paragraph" w:styleId="TOC5">
    <w:name w:val="toc 5"/>
    <w:basedOn w:val="Normal"/>
    <w:next w:val="Normal"/>
    <w:autoRedefine/>
    <w:uiPriority w:val="39"/>
    <w:unhideWhenUsed/>
    <w:rsid w:val="000B78D0"/>
    <w:pPr>
      <w:spacing w:after="100" w:line="278" w:lineRule="auto"/>
      <w:ind w:left="960"/>
      <w:jc w:val="left"/>
    </w:pPr>
    <w:rPr>
      <w:rFonts w:asciiTheme="minorHAnsi" w:eastAsiaTheme="minorEastAsia" w:hAnsiTheme="minorHAnsi" w:cstheme="minorBidi"/>
      <w:kern w:val="2"/>
      <w:lang w:val="fr-BE" w:eastAsia="fr-BE"/>
    </w:rPr>
  </w:style>
  <w:style w:type="paragraph" w:styleId="TOC6">
    <w:name w:val="toc 6"/>
    <w:basedOn w:val="Normal"/>
    <w:next w:val="Normal"/>
    <w:autoRedefine/>
    <w:uiPriority w:val="39"/>
    <w:unhideWhenUsed/>
    <w:rsid w:val="000B78D0"/>
    <w:pPr>
      <w:spacing w:after="100" w:line="278" w:lineRule="auto"/>
      <w:ind w:left="1200"/>
      <w:jc w:val="left"/>
    </w:pPr>
    <w:rPr>
      <w:rFonts w:asciiTheme="minorHAnsi" w:eastAsiaTheme="minorEastAsia" w:hAnsiTheme="minorHAnsi" w:cstheme="minorBidi"/>
      <w:kern w:val="2"/>
      <w:lang w:val="fr-BE" w:eastAsia="fr-BE"/>
    </w:rPr>
  </w:style>
  <w:style w:type="paragraph" w:styleId="TOC7">
    <w:name w:val="toc 7"/>
    <w:basedOn w:val="Normal"/>
    <w:next w:val="Normal"/>
    <w:autoRedefine/>
    <w:uiPriority w:val="39"/>
    <w:unhideWhenUsed/>
    <w:rsid w:val="000B78D0"/>
    <w:pPr>
      <w:spacing w:after="100" w:line="278" w:lineRule="auto"/>
      <w:ind w:left="1440"/>
      <w:jc w:val="left"/>
    </w:pPr>
    <w:rPr>
      <w:rFonts w:asciiTheme="minorHAnsi" w:eastAsiaTheme="minorEastAsia" w:hAnsiTheme="minorHAnsi" w:cstheme="minorBidi"/>
      <w:kern w:val="2"/>
      <w:lang w:val="fr-BE" w:eastAsia="fr-BE"/>
    </w:rPr>
  </w:style>
  <w:style w:type="paragraph" w:styleId="TOC8">
    <w:name w:val="toc 8"/>
    <w:basedOn w:val="Normal"/>
    <w:next w:val="Normal"/>
    <w:autoRedefine/>
    <w:uiPriority w:val="39"/>
    <w:unhideWhenUsed/>
    <w:rsid w:val="000B78D0"/>
    <w:pPr>
      <w:spacing w:after="100" w:line="278" w:lineRule="auto"/>
      <w:ind w:left="1680"/>
      <w:jc w:val="left"/>
    </w:pPr>
    <w:rPr>
      <w:rFonts w:asciiTheme="minorHAnsi" w:eastAsiaTheme="minorEastAsia" w:hAnsiTheme="minorHAnsi" w:cstheme="minorBidi"/>
      <w:kern w:val="2"/>
      <w:lang w:val="fr-BE" w:eastAsia="fr-BE"/>
    </w:rPr>
  </w:style>
  <w:style w:type="paragraph" w:styleId="TOC9">
    <w:name w:val="toc 9"/>
    <w:basedOn w:val="Normal"/>
    <w:next w:val="Normal"/>
    <w:autoRedefine/>
    <w:uiPriority w:val="39"/>
    <w:unhideWhenUsed/>
    <w:rsid w:val="000B78D0"/>
    <w:pPr>
      <w:spacing w:after="100" w:line="278" w:lineRule="auto"/>
      <w:ind w:left="1920"/>
      <w:jc w:val="left"/>
    </w:pPr>
    <w:rPr>
      <w:rFonts w:asciiTheme="minorHAnsi" w:eastAsiaTheme="minorEastAsia" w:hAnsiTheme="minorHAnsi" w:cstheme="minorBidi"/>
      <w:kern w:val="2"/>
      <w:lang w:val="fr-BE" w:eastAsia="fr-BE"/>
    </w:rPr>
  </w:style>
  <w:style w:type="paragraph" w:styleId="Caption">
    <w:name w:val="caption"/>
    <w:basedOn w:val="Normal"/>
    <w:next w:val="Normal"/>
    <w:uiPriority w:val="35"/>
    <w:unhideWhenUsed/>
    <w:qFormat/>
    <w:rsid w:val="00927D96"/>
    <w:pPr>
      <w:spacing w:after="200"/>
    </w:pPr>
    <w:rPr>
      <w:i/>
      <w:iCs/>
      <w:color w:val="1F497D" w:themeColor="text2"/>
      <w:sz w:val="18"/>
      <w:szCs w:val="18"/>
    </w:rPr>
  </w:style>
  <w:style w:type="table" w:customStyle="1" w:styleId="EYQuestionTable2">
    <w:name w:val="EY Question Table2"/>
    <w:next w:val="TableGrid"/>
    <w:qFormat/>
    <w:rsid w:val="003E1402"/>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whitespace-normal">
    <w:name w:val="whitespace-normal"/>
    <w:basedOn w:val="DefaultParagraphFont"/>
    <w:rsid w:val="003E1402"/>
  </w:style>
  <w:style w:type="table" w:styleId="GridTable1Light-Accent1">
    <w:name w:val="Grid Table 1 Light Accent 1"/>
    <w:basedOn w:val="TableNormal"/>
    <w:uiPriority w:val="46"/>
    <w:rsid w:val="009D2F0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231FC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165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998">
      <w:bodyDiv w:val="1"/>
      <w:marLeft w:val="0"/>
      <w:marRight w:val="0"/>
      <w:marTop w:val="0"/>
      <w:marBottom w:val="0"/>
      <w:divBdr>
        <w:top w:val="none" w:sz="0" w:space="0" w:color="auto"/>
        <w:left w:val="none" w:sz="0" w:space="0" w:color="auto"/>
        <w:bottom w:val="none" w:sz="0" w:space="0" w:color="auto"/>
        <w:right w:val="none" w:sz="0" w:space="0" w:color="auto"/>
      </w:divBdr>
    </w:div>
    <w:div w:id="12921507">
      <w:bodyDiv w:val="1"/>
      <w:marLeft w:val="0"/>
      <w:marRight w:val="0"/>
      <w:marTop w:val="0"/>
      <w:marBottom w:val="0"/>
      <w:divBdr>
        <w:top w:val="none" w:sz="0" w:space="0" w:color="auto"/>
        <w:left w:val="none" w:sz="0" w:space="0" w:color="auto"/>
        <w:bottom w:val="none" w:sz="0" w:space="0" w:color="auto"/>
        <w:right w:val="none" w:sz="0" w:space="0" w:color="auto"/>
      </w:divBdr>
    </w:div>
    <w:div w:id="14967480">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46492228">
      <w:bodyDiv w:val="1"/>
      <w:marLeft w:val="0"/>
      <w:marRight w:val="0"/>
      <w:marTop w:val="0"/>
      <w:marBottom w:val="0"/>
      <w:divBdr>
        <w:top w:val="none" w:sz="0" w:space="0" w:color="auto"/>
        <w:left w:val="none" w:sz="0" w:space="0" w:color="auto"/>
        <w:bottom w:val="none" w:sz="0" w:space="0" w:color="auto"/>
        <w:right w:val="none" w:sz="0" w:space="0" w:color="auto"/>
      </w:divBdr>
    </w:div>
    <w:div w:id="55669689">
      <w:bodyDiv w:val="1"/>
      <w:marLeft w:val="0"/>
      <w:marRight w:val="0"/>
      <w:marTop w:val="0"/>
      <w:marBottom w:val="0"/>
      <w:divBdr>
        <w:top w:val="none" w:sz="0" w:space="0" w:color="auto"/>
        <w:left w:val="none" w:sz="0" w:space="0" w:color="auto"/>
        <w:bottom w:val="none" w:sz="0" w:space="0" w:color="auto"/>
        <w:right w:val="none" w:sz="0" w:space="0" w:color="auto"/>
      </w:divBdr>
    </w:div>
    <w:div w:id="74866676">
      <w:bodyDiv w:val="1"/>
      <w:marLeft w:val="0"/>
      <w:marRight w:val="0"/>
      <w:marTop w:val="0"/>
      <w:marBottom w:val="0"/>
      <w:divBdr>
        <w:top w:val="none" w:sz="0" w:space="0" w:color="auto"/>
        <w:left w:val="none" w:sz="0" w:space="0" w:color="auto"/>
        <w:bottom w:val="none" w:sz="0" w:space="0" w:color="auto"/>
        <w:right w:val="none" w:sz="0" w:space="0" w:color="auto"/>
      </w:divBdr>
    </w:div>
    <w:div w:id="85733043">
      <w:bodyDiv w:val="1"/>
      <w:marLeft w:val="0"/>
      <w:marRight w:val="0"/>
      <w:marTop w:val="0"/>
      <w:marBottom w:val="0"/>
      <w:divBdr>
        <w:top w:val="none" w:sz="0" w:space="0" w:color="auto"/>
        <w:left w:val="none" w:sz="0" w:space="0" w:color="auto"/>
        <w:bottom w:val="none" w:sz="0" w:space="0" w:color="auto"/>
        <w:right w:val="none" w:sz="0" w:space="0" w:color="auto"/>
      </w:divBdr>
    </w:div>
    <w:div w:id="88622877">
      <w:bodyDiv w:val="1"/>
      <w:marLeft w:val="0"/>
      <w:marRight w:val="0"/>
      <w:marTop w:val="0"/>
      <w:marBottom w:val="0"/>
      <w:divBdr>
        <w:top w:val="none" w:sz="0" w:space="0" w:color="auto"/>
        <w:left w:val="none" w:sz="0" w:space="0" w:color="auto"/>
        <w:bottom w:val="none" w:sz="0" w:space="0" w:color="auto"/>
        <w:right w:val="none" w:sz="0" w:space="0" w:color="auto"/>
      </w:divBdr>
      <w:divsChild>
        <w:div w:id="2044404465">
          <w:marLeft w:val="0"/>
          <w:marRight w:val="0"/>
          <w:marTop w:val="0"/>
          <w:marBottom w:val="0"/>
          <w:divBdr>
            <w:top w:val="none" w:sz="0" w:space="0" w:color="auto"/>
            <w:left w:val="none" w:sz="0" w:space="0" w:color="auto"/>
            <w:bottom w:val="none" w:sz="0" w:space="0" w:color="auto"/>
            <w:right w:val="none" w:sz="0" w:space="0" w:color="auto"/>
          </w:divBdr>
          <w:divsChild>
            <w:div w:id="1916433843">
              <w:marLeft w:val="0"/>
              <w:marRight w:val="0"/>
              <w:marTop w:val="0"/>
              <w:marBottom w:val="0"/>
              <w:divBdr>
                <w:top w:val="none" w:sz="0" w:space="0" w:color="auto"/>
                <w:left w:val="none" w:sz="0" w:space="0" w:color="auto"/>
                <w:bottom w:val="none" w:sz="0" w:space="0" w:color="auto"/>
                <w:right w:val="none" w:sz="0" w:space="0" w:color="auto"/>
              </w:divBdr>
              <w:divsChild>
                <w:div w:id="799999353">
                  <w:marLeft w:val="0"/>
                  <w:marRight w:val="0"/>
                  <w:marTop w:val="0"/>
                  <w:marBottom w:val="0"/>
                  <w:divBdr>
                    <w:top w:val="none" w:sz="0" w:space="0" w:color="auto"/>
                    <w:left w:val="none" w:sz="0" w:space="0" w:color="auto"/>
                    <w:bottom w:val="none" w:sz="0" w:space="0" w:color="auto"/>
                    <w:right w:val="none" w:sz="0" w:space="0" w:color="auto"/>
                  </w:divBdr>
                  <w:divsChild>
                    <w:div w:id="1978493187">
                      <w:marLeft w:val="0"/>
                      <w:marRight w:val="0"/>
                      <w:marTop w:val="0"/>
                      <w:marBottom w:val="0"/>
                      <w:divBdr>
                        <w:top w:val="none" w:sz="0" w:space="0" w:color="auto"/>
                        <w:left w:val="none" w:sz="0" w:space="0" w:color="auto"/>
                        <w:bottom w:val="none" w:sz="0" w:space="0" w:color="auto"/>
                        <w:right w:val="none" w:sz="0" w:space="0" w:color="auto"/>
                      </w:divBdr>
                      <w:divsChild>
                        <w:div w:id="1264265996">
                          <w:marLeft w:val="0"/>
                          <w:marRight w:val="0"/>
                          <w:marTop w:val="0"/>
                          <w:marBottom w:val="0"/>
                          <w:divBdr>
                            <w:top w:val="none" w:sz="0" w:space="0" w:color="auto"/>
                            <w:left w:val="none" w:sz="0" w:space="0" w:color="auto"/>
                            <w:bottom w:val="none" w:sz="0" w:space="0" w:color="auto"/>
                            <w:right w:val="none" w:sz="0" w:space="0" w:color="auto"/>
                          </w:divBdr>
                          <w:divsChild>
                            <w:div w:id="1102458598">
                              <w:marLeft w:val="0"/>
                              <w:marRight w:val="0"/>
                              <w:marTop w:val="0"/>
                              <w:marBottom w:val="0"/>
                              <w:divBdr>
                                <w:top w:val="none" w:sz="0" w:space="0" w:color="auto"/>
                                <w:left w:val="none" w:sz="0" w:space="0" w:color="auto"/>
                                <w:bottom w:val="none" w:sz="0" w:space="0" w:color="auto"/>
                                <w:right w:val="none" w:sz="0" w:space="0" w:color="auto"/>
                              </w:divBdr>
                              <w:divsChild>
                                <w:div w:id="421800761">
                                  <w:marLeft w:val="0"/>
                                  <w:marRight w:val="0"/>
                                  <w:marTop w:val="0"/>
                                  <w:marBottom w:val="0"/>
                                  <w:divBdr>
                                    <w:top w:val="none" w:sz="0" w:space="0" w:color="auto"/>
                                    <w:left w:val="none" w:sz="0" w:space="0" w:color="auto"/>
                                    <w:bottom w:val="none" w:sz="0" w:space="0" w:color="auto"/>
                                    <w:right w:val="none" w:sz="0" w:space="0" w:color="auto"/>
                                  </w:divBdr>
                                  <w:divsChild>
                                    <w:div w:id="184561678">
                                      <w:marLeft w:val="0"/>
                                      <w:marRight w:val="0"/>
                                      <w:marTop w:val="0"/>
                                      <w:marBottom w:val="0"/>
                                      <w:divBdr>
                                        <w:top w:val="none" w:sz="0" w:space="0" w:color="auto"/>
                                        <w:left w:val="none" w:sz="0" w:space="0" w:color="auto"/>
                                        <w:bottom w:val="none" w:sz="0" w:space="0" w:color="auto"/>
                                        <w:right w:val="none" w:sz="0" w:space="0" w:color="auto"/>
                                      </w:divBdr>
                                      <w:divsChild>
                                        <w:div w:id="12399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64404">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2674956">
      <w:bodyDiv w:val="1"/>
      <w:marLeft w:val="0"/>
      <w:marRight w:val="0"/>
      <w:marTop w:val="0"/>
      <w:marBottom w:val="0"/>
      <w:divBdr>
        <w:top w:val="none" w:sz="0" w:space="0" w:color="auto"/>
        <w:left w:val="none" w:sz="0" w:space="0" w:color="auto"/>
        <w:bottom w:val="none" w:sz="0" w:space="0" w:color="auto"/>
        <w:right w:val="none" w:sz="0" w:space="0" w:color="auto"/>
      </w:divBdr>
    </w:div>
    <w:div w:id="118227235">
      <w:bodyDiv w:val="1"/>
      <w:marLeft w:val="0"/>
      <w:marRight w:val="0"/>
      <w:marTop w:val="0"/>
      <w:marBottom w:val="0"/>
      <w:divBdr>
        <w:top w:val="none" w:sz="0" w:space="0" w:color="auto"/>
        <w:left w:val="none" w:sz="0" w:space="0" w:color="auto"/>
        <w:bottom w:val="none" w:sz="0" w:space="0" w:color="auto"/>
        <w:right w:val="none" w:sz="0" w:space="0" w:color="auto"/>
      </w:divBdr>
    </w:div>
    <w:div w:id="131213697">
      <w:bodyDiv w:val="1"/>
      <w:marLeft w:val="0"/>
      <w:marRight w:val="0"/>
      <w:marTop w:val="0"/>
      <w:marBottom w:val="0"/>
      <w:divBdr>
        <w:top w:val="none" w:sz="0" w:space="0" w:color="auto"/>
        <w:left w:val="none" w:sz="0" w:space="0" w:color="auto"/>
        <w:bottom w:val="none" w:sz="0" w:space="0" w:color="auto"/>
        <w:right w:val="none" w:sz="0" w:space="0" w:color="auto"/>
      </w:divBdr>
    </w:div>
    <w:div w:id="140002296">
      <w:bodyDiv w:val="1"/>
      <w:marLeft w:val="0"/>
      <w:marRight w:val="0"/>
      <w:marTop w:val="0"/>
      <w:marBottom w:val="0"/>
      <w:divBdr>
        <w:top w:val="none" w:sz="0" w:space="0" w:color="auto"/>
        <w:left w:val="none" w:sz="0" w:space="0" w:color="auto"/>
        <w:bottom w:val="none" w:sz="0" w:space="0" w:color="auto"/>
        <w:right w:val="none" w:sz="0" w:space="0" w:color="auto"/>
      </w:divBdr>
      <w:divsChild>
        <w:div w:id="46299102">
          <w:marLeft w:val="0"/>
          <w:marRight w:val="0"/>
          <w:marTop w:val="0"/>
          <w:marBottom w:val="0"/>
          <w:divBdr>
            <w:top w:val="none" w:sz="0" w:space="0" w:color="auto"/>
            <w:left w:val="none" w:sz="0" w:space="0" w:color="auto"/>
            <w:bottom w:val="none" w:sz="0" w:space="0" w:color="auto"/>
            <w:right w:val="none" w:sz="0" w:space="0" w:color="auto"/>
          </w:divBdr>
        </w:div>
        <w:div w:id="188498178">
          <w:marLeft w:val="0"/>
          <w:marRight w:val="0"/>
          <w:marTop w:val="0"/>
          <w:marBottom w:val="0"/>
          <w:divBdr>
            <w:top w:val="none" w:sz="0" w:space="0" w:color="auto"/>
            <w:left w:val="none" w:sz="0" w:space="0" w:color="auto"/>
            <w:bottom w:val="none" w:sz="0" w:space="0" w:color="auto"/>
            <w:right w:val="none" w:sz="0" w:space="0" w:color="auto"/>
          </w:divBdr>
        </w:div>
        <w:div w:id="211355907">
          <w:marLeft w:val="0"/>
          <w:marRight w:val="0"/>
          <w:marTop w:val="0"/>
          <w:marBottom w:val="0"/>
          <w:divBdr>
            <w:top w:val="none" w:sz="0" w:space="0" w:color="auto"/>
            <w:left w:val="none" w:sz="0" w:space="0" w:color="auto"/>
            <w:bottom w:val="none" w:sz="0" w:space="0" w:color="auto"/>
            <w:right w:val="none" w:sz="0" w:space="0" w:color="auto"/>
          </w:divBdr>
        </w:div>
        <w:div w:id="644431224">
          <w:marLeft w:val="0"/>
          <w:marRight w:val="0"/>
          <w:marTop w:val="0"/>
          <w:marBottom w:val="0"/>
          <w:divBdr>
            <w:top w:val="none" w:sz="0" w:space="0" w:color="auto"/>
            <w:left w:val="none" w:sz="0" w:space="0" w:color="auto"/>
            <w:bottom w:val="none" w:sz="0" w:space="0" w:color="auto"/>
            <w:right w:val="none" w:sz="0" w:space="0" w:color="auto"/>
          </w:divBdr>
        </w:div>
        <w:div w:id="815731045">
          <w:marLeft w:val="0"/>
          <w:marRight w:val="0"/>
          <w:marTop w:val="0"/>
          <w:marBottom w:val="0"/>
          <w:divBdr>
            <w:top w:val="none" w:sz="0" w:space="0" w:color="auto"/>
            <w:left w:val="none" w:sz="0" w:space="0" w:color="auto"/>
            <w:bottom w:val="none" w:sz="0" w:space="0" w:color="auto"/>
            <w:right w:val="none" w:sz="0" w:space="0" w:color="auto"/>
          </w:divBdr>
        </w:div>
        <w:div w:id="845636702">
          <w:marLeft w:val="0"/>
          <w:marRight w:val="0"/>
          <w:marTop w:val="0"/>
          <w:marBottom w:val="0"/>
          <w:divBdr>
            <w:top w:val="none" w:sz="0" w:space="0" w:color="auto"/>
            <w:left w:val="none" w:sz="0" w:space="0" w:color="auto"/>
            <w:bottom w:val="none" w:sz="0" w:space="0" w:color="auto"/>
            <w:right w:val="none" w:sz="0" w:space="0" w:color="auto"/>
          </w:divBdr>
        </w:div>
        <w:div w:id="1031029109">
          <w:marLeft w:val="0"/>
          <w:marRight w:val="0"/>
          <w:marTop w:val="0"/>
          <w:marBottom w:val="0"/>
          <w:divBdr>
            <w:top w:val="none" w:sz="0" w:space="0" w:color="auto"/>
            <w:left w:val="none" w:sz="0" w:space="0" w:color="auto"/>
            <w:bottom w:val="none" w:sz="0" w:space="0" w:color="auto"/>
            <w:right w:val="none" w:sz="0" w:space="0" w:color="auto"/>
          </w:divBdr>
        </w:div>
        <w:div w:id="1175075055">
          <w:marLeft w:val="0"/>
          <w:marRight w:val="0"/>
          <w:marTop w:val="0"/>
          <w:marBottom w:val="0"/>
          <w:divBdr>
            <w:top w:val="none" w:sz="0" w:space="0" w:color="auto"/>
            <w:left w:val="none" w:sz="0" w:space="0" w:color="auto"/>
            <w:bottom w:val="none" w:sz="0" w:space="0" w:color="auto"/>
            <w:right w:val="none" w:sz="0" w:space="0" w:color="auto"/>
          </w:divBdr>
        </w:div>
        <w:div w:id="1335107949">
          <w:marLeft w:val="0"/>
          <w:marRight w:val="0"/>
          <w:marTop w:val="0"/>
          <w:marBottom w:val="0"/>
          <w:divBdr>
            <w:top w:val="none" w:sz="0" w:space="0" w:color="auto"/>
            <w:left w:val="none" w:sz="0" w:space="0" w:color="auto"/>
            <w:bottom w:val="none" w:sz="0" w:space="0" w:color="auto"/>
            <w:right w:val="none" w:sz="0" w:space="0" w:color="auto"/>
          </w:divBdr>
        </w:div>
        <w:div w:id="1335189310">
          <w:marLeft w:val="0"/>
          <w:marRight w:val="0"/>
          <w:marTop w:val="0"/>
          <w:marBottom w:val="0"/>
          <w:divBdr>
            <w:top w:val="none" w:sz="0" w:space="0" w:color="auto"/>
            <w:left w:val="none" w:sz="0" w:space="0" w:color="auto"/>
            <w:bottom w:val="none" w:sz="0" w:space="0" w:color="auto"/>
            <w:right w:val="none" w:sz="0" w:space="0" w:color="auto"/>
          </w:divBdr>
        </w:div>
        <w:div w:id="1353919410">
          <w:marLeft w:val="0"/>
          <w:marRight w:val="0"/>
          <w:marTop w:val="0"/>
          <w:marBottom w:val="0"/>
          <w:divBdr>
            <w:top w:val="none" w:sz="0" w:space="0" w:color="auto"/>
            <w:left w:val="none" w:sz="0" w:space="0" w:color="auto"/>
            <w:bottom w:val="none" w:sz="0" w:space="0" w:color="auto"/>
            <w:right w:val="none" w:sz="0" w:space="0" w:color="auto"/>
          </w:divBdr>
        </w:div>
        <w:div w:id="1470827809">
          <w:marLeft w:val="0"/>
          <w:marRight w:val="0"/>
          <w:marTop w:val="0"/>
          <w:marBottom w:val="0"/>
          <w:divBdr>
            <w:top w:val="none" w:sz="0" w:space="0" w:color="auto"/>
            <w:left w:val="none" w:sz="0" w:space="0" w:color="auto"/>
            <w:bottom w:val="none" w:sz="0" w:space="0" w:color="auto"/>
            <w:right w:val="none" w:sz="0" w:space="0" w:color="auto"/>
          </w:divBdr>
        </w:div>
        <w:div w:id="1677729675">
          <w:marLeft w:val="0"/>
          <w:marRight w:val="0"/>
          <w:marTop w:val="0"/>
          <w:marBottom w:val="0"/>
          <w:divBdr>
            <w:top w:val="none" w:sz="0" w:space="0" w:color="auto"/>
            <w:left w:val="none" w:sz="0" w:space="0" w:color="auto"/>
            <w:bottom w:val="none" w:sz="0" w:space="0" w:color="auto"/>
            <w:right w:val="none" w:sz="0" w:space="0" w:color="auto"/>
          </w:divBdr>
        </w:div>
        <w:div w:id="1914200587">
          <w:marLeft w:val="0"/>
          <w:marRight w:val="0"/>
          <w:marTop w:val="0"/>
          <w:marBottom w:val="0"/>
          <w:divBdr>
            <w:top w:val="none" w:sz="0" w:space="0" w:color="auto"/>
            <w:left w:val="none" w:sz="0" w:space="0" w:color="auto"/>
            <w:bottom w:val="none" w:sz="0" w:space="0" w:color="auto"/>
            <w:right w:val="none" w:sz="0" w:space="0" w:color="auto"/>
          </w:divBdr>
        </w:div>
      </w:divsChild>
    </w:div>
    <w:div w:id="140004548">
      <w:bodyDiv w:val="1"/>
      <w:marLeft w:val="0"/>
      <w:marRight w:val="0"/>
      <w:marTop w:val="0"/>
      <w:marBottom w:val="0"/>
      <w:divBdr>
        <w:top w:val="none" w:sz="0" w:space="0" w:color="auto"/>
        <w:left w:val="none" w:sz="0" w:space="0" w:color="auto"/>
        <w:bottom w:val="none" w:sz="0" w:space="0" w:color="auto"/>
        <w:right w:val="none" w:sz="0" w:space="0" w:color="auto"/>
      </w:divBdr>
    </w:div>
    <w:div w:id="144395941">
      <w:bodyDiv w:val="1"/>
      <w:marLeft w:val="0"/>
      <w:marRight w:val="0"/>
      <w:marTop w:val="0"/>
      <w:marBottom w:val="0"/>
      <w:divBdr>
        <w:top w:val="none" w:sz="0" w:space="0" w:color="auto"/>
        <w:left w:val="none" w:sz="0" w:space="0" w:color="auto"/>
        <w:bottom w:val="none" w:sz="0" w:space="0" w:color="auto"/>
        <w:right w:val="none" w:sz="0" w:space="0" w:color="auto"/>
      </w:divBdr>
    </w:div>
    <w:div w:id="172503073">
      <w:bodyDiv w:val="1"/>
      <w:marLeft w:val="0"/>
      <w:marRight w:val="0"/>
      <w:marTop w:val="0"/>
      <w:marBottom w:val="0"/>
      <w:divBdr>
        <w:top w:val="none" w:sz="0" w:space="0" w:color="auto"/>
        <w:left w:val="none" w:sz="0" w:space="0" w:color="auto"/>
        <w:bottom w:val="none" w:sz="0" w:space="0" w:color="auto"/>
        <w:right w:val="none" w:sz="0" w:space="0" w:color="auto"/>
      </w:divBdr>
    </w:div>
    <w:div w:id="174734411">
      <w:bodyDiv w:val="1"/>
      <w:marLeft w:val="0"/>
      <w:marRight w:val="0"/>
      <w:marTop w:val="0"/>
      <w:marBottom w:val="0"/>
      <w:divBdr>
        <w:top w:val="none" w:sz="0" w:space="0" w:color="auto"/>
        <w:left w:val="none" w:sz="0" w:space="0" w:color="auto"/>
        <w:bottom w:val="none" w:sz="0" w:space="0" w:color="auto"/>
        <w:right w:val="none" w:sz="0" w:space="0" w:color="auto"/>
      </w:divBdr>
      <w:divsChild>
        <w:div w:id="725419872">
          <w:marLeft w:val="0"/>
          <w:marRight w:val="0"/>
          <w:marTop w:val="0"/>
          <w:marBottom w:val="0"/>
          <w:divBdr>
            <w:top w:val="none" w:sz="0" w:space="0" w:color="auto"/>
            <w:left w:val="none" w:sz="0" w:space="0" w:color="auto"/>
            <w:bottom w:val="none" w:sz="0" w:space="0" w:color="auto"/>
            <w:right w:val="none" w:sz="0" w:space="0" w:color="auto"/>
          </w:divBdr>
        </w:div>
        <w:div w:id="804810587">
          <w:marLeft w:val="0"/>
          <w:marRight w:val="0"/>
          <w:marTop w:val="0"/>
          <w:marBottom w:val="0"/>
          <w:divBdr>
            <w:top w:val="none" w:sz="0" w:space="0" w:color="auto"/>
            <w:left w:val="none" w:sz="0" w:space="0" w:color="auto"/>
            <w:bottom w:val="none" w:sz="0" w:space="0" w:color="auto"/>
            <w:right w:val="none" w:sz="0" w:space="0" w:color="auto"/>
          </w:divBdr>
        </w:div>
        <w:div w:id="943390739">
          <w:marLeft w:val="0"/>
          <w:marRight w:val="0"/>
          <w:marTop w:val="0"/>
          <w:marBottom w:val="0"/>
          <w:divBdr>
            <w:top w:val="none" w:sz="0" w:space="0" w:color="auto"/>
            <w:left w:val="none" w:sz="0" w:space="0" w:color="auto"/>
            <w:bottom w:val="none" w:sz="0" w:space="0" w:color="auto"/>
            <w:right w:val="none" w:sz="0" w:space="0" w:color="auto"/>
          </w:divBdr>
        </w:div>
        <w:div w:id="1043019080">
          <w:marLeft w:val="0"/>
          <w:marRight w:val="0"/>
          <w:marTop w:val="0"/>
          <w:marBottom w:val="0"/>
          <w:divBdr>
            <w:top w:val="none" w:sz="0" w:space="0" w:color="auto"/>
            <w:left w:val="none" w:sz="0" w:space="0" w:color="auto"/>
            <w:bottom w:val="none" w:sz="0" w:space="0" w:color="auto"/>
            <w:right w:val="none" w:sz="0" w:space="0" w:color="auto"/>
          </w:divBdr>
        </w:div>
        <w:div w:id="1318651024">
          <w:marLeft w:val="0"/>
          <w:marRight w:val="0"/>
          <w:marTop w:val="0"/>
          <w:marBottom w:val="0"/>
          <w:divBdr>
            <w:top w:val="none" w:sz="0" w:space="0" w:color="auto"/>
            <w:left w:val="none" w:sz="0" w:space="0" w:color="auto"/>
            <w:bottom w:val="none" w:sz="0" w:space="0" w:color="auto"/>
            <w:right w:val="none" w:sz="0" w:space="0" w:color="auto"/>
          </w:divBdr>
        </w:div>
        <w:div w:id="1325551356">
          <w:marLeft w:val="0"/>
          <w:marRight w:val="0"/>
          <w:marTop w:val="0"/>
          <w:marBottom w:val="0"/>
          <w:divBdr>
            <w:top w:val="none" w:sz="0" w:space="0" w:color="auto"/>
            <w:left w:val="none" w:sz="0" w:space="0" w:color="auto"/>
            <w:bottom w:val="none" w:sz="0" w:space="0" w:color="auto"/>
            <w:right w:val="none" w:sz="0" w:space="0" w:color="auto"/>
          </w:divBdr>
        </w:div>
        <w:div w:id="2106535634">
          <w:marLeft w:val="0"/>
          <w:marRight w:val="0"/>
          <w:marTop w:val="0"/>
          <w:marBottom w:val="0"/>
          <w:divBdr>
            <w:top w:val="none" w:sz="0" w:space="0" w:color="auto"/>
            <w:left w:val="none" w:sz="0" w:space="0" w:color="auto"/>
            <w:bottom w:val="none" w:sz="0" w:space="0" w:color="auto"/>
            <w:right w:val="none" w:sz="0" w:space="0" w:color="auto"/>
          </w:divBdr>
        </w:div>
      </w:divsChild>
    </w:div>
    <w:div w:id="183905401">
      <w:bodyDiv w:val="1"/>
      <w:marLeft w:val="0"/>
      <w:marRight w:val="0"/>
      <w:marTop w:val="0"/>
      <w:marBottom w:val="0"/>
      <w:divBdr>
        <w:top w:val="none" w:sz="0" w:space="0" w:color="auto"/>
        <w:left w:val="none" w:sz="0" w:space="0" w:color="auto"/>
        <w:bottom w:val="none" w:sz="0" w:space="0" w:color="auto"/>
        <w:right w:val="none" w:sz="0" w:space="0" w:color="auto"/>
      </w:divBdr>
    </w:div>
    <w:div w:id="187720851">
      <w:bodyDiv w:val="1"/>
      <w:marLeft w:val="0"/>
      <w:marRight w:val="0"/>
      <w:marTop w:val="0"/>
      <w:marBottom w:val="0"/>
      <w:divBdr>
        <w:top w:val="none" w:sz="0" w:space="0" w:color="auto"/>
        <w:left w:val="none" w:sz="0" w:space="0" w:color="auto"/>
        <w:bottom w:val="none" w:sz="0" w:space="0" w:color="auto"/>
        <w:right w:val="none" w:sz="0" w:space="0" w:color="auto"/>
      </w:divBdr>
    </w:div>
    <w:div w:id="194973442">
      <w:bodyDiv w:val="1"/>
      <w:marLeft w:val="0"/>
      <w:marRight w:val="0"/>
      <w:marTop w:val="0"/>
      <w:marBottom w:val="0"/>
      <w:divBdr>
        <w:top w:val="none" w:sz="0" w:space="0" w:color="auto"/>
        <w:left w:val="none" w:sz="0" w:space="0" w:color="auto"/>
        <w:bottom w:val="none" w:sz="0" w:space="0" w:color="auto"/>
        <w:right w:val="none" w:sz="0" w:space="0" w:color="auto"/>
      </w:divBdr>
    </w:div>
    <w:div w:id="199323720">
      <w:bodyDiv w:val="1"/>
      <w:marLeft w:val="0"/>
      <w:marRight w:val="0"/>
      <w:marTop w:val="0"/>
      <w:marBottom w:val="0"/>
      <w:divBdr>
        <w:top w:val="none" w:sz="0" w:space="0" w:color="auto"/>
        <w:left w:val="none" w:sz="0" w:space="0" w:color="auto"/>
        <w:bottom w:val="none" w:sz="0" w:space="0" w:color="auto"/>
        <w:right w:val="none" w:sz="0" w:space="0" w:color="auto"/>
      </w:divBdr>
    </w:div>
    <w:div w:id="200022338">
      <w:bodyDiv w:val="1"/>
      <w:marLeft w:val="0"/>
      <w:marRight w:val="0"/>
      <w:marTop w:val="0"/>
      <w:marBottom w:val="0"/>
      <w:divBdr>
        <w:top w:val="none" w:sz="0" w:space="0" w:color="auto"/>
        <w:left w:val="none" w:sz="0" w:space="0" w:color="auto"/>
        <w:bottom w:val="none" w:sz="0" w:space="0" w:color="auto"/>
        <w:right w:val="none" w:sz="0" w:space="0" w:color="auto"/>
      </w:divBdr>
    </w:div>
    <w:div w:id="212277712">
      <w:bodyDiv w:val="1"/>
      <w:marLeft w:val="0"/>
      <w:marRight w:val="0"/>
      <w:marTop w:val="0"/>
      <w:marBottom w:val="0"/>
      <w:divBdr>
        <w:top w:val="none" w:sz="0" w:space="0" w:color="auto"/>
        <w:left w:val="none" w:sz="0" w:space="0" w:color="auto"/>
        <w:bottom w:val="none" w:sz="0" w:space="0" w:color="auto"/>
        <w:right w:val="none" w:sz="0" w:space="0" w:color="auto"/>
      </w:divBdr>
    </w:div>
    <w:div w:id="214123155">
      <w:bodyDiv w:val="1"/>
      <w:marLeft w:val="0"/>
      <w:marRight w:val="0"/>
      <w:marTop w:val="0"/>
      <w:marBottom w:val="0"/>
      <w:divBdr>
        <w:top w:val="none" w:sz="0" w:space="0" w:color="auto"/>
        <w:left w:val="none" w:sz="0" w:space="0" w:color="auto"/>
        <w:bottom w:val="none" w:sz="0" w:space="0" w:color="auto"/>
        <w:right w:val="none" w:sz="0" w:space="0" w:color="auto"/>
      </w:divBdr>
    </w:div>
    <w:div w:id="218370247">
      <w:bodyDiv w:val="1"/>
      <w:marLeft w:val="0"/>
      <w:marRight w:val="0"/>
      <w:marTop w:val="0"/>
      <w:marBottom w:val="0"/>
      <w:divBdr>
        <w:top w:val="none" w:sz="0" w:space="0" w:color="auto"/>
        <w:left w:val="none" w:sz="0" w:space="0" w:color="auto"/>
        <w:bottom w:val="none" w:sz="0" w:space="0" w:color="auto"/>
        <w:right w:val="none" w:sz="0" w:space="0" w:color="auto"/>
      </w:divBdr>
    </w:div>
    <w:div w:id="259725544">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69552538">
      <w:bodyDiv w:val="1"/>
      <w:marLeft w:val="0"/>
      <w:marRight w:val="0"/>
      <w:marTop w:val="0"/>
      <w:marBottom w:val="0"/>
      <w:divBdr>
        <w:top w:val="none" w:sz="0" w:space="0" w:color="auto"/>
        <w:left w:val="none" w:sz="0" w:space="0" w:color="auto"/>
        <w:bottom w:val="none" w:sz="0" w:space="0" w:color="auto"/>
        <w:right w:val="none" w:sz="0" w:space="0" w:color="auto"/>
      </w:divBdr>
    </w:div>
    <w:div w:id="278684105">
      <w:bodyDiv w:val="1"/>
      <w:marLeft w:val="0"/>
      <w:marRight w:val="0"/>
      <w:marTop w:val="0"/>
      <w:marBottom w:val="0"/>
      <w:divBdr>
        <w:top w:val="none" w:sz="0" w:space="0" w:color="auto"/>
        <w:left w:val="none" w:sz="0" w:space="0" w:color="auto"/>
        <w:bottom w:val="none" w:sz="0" w:space="0" w:color="auto"/>
        <w:right w:val="none" w:sz="0" w:space="0" w:color="auto"/>
      </w:divBdr>
    </w:div>
    <w:div w:id="286744726">
      <w:bodyDiv w:val="1"/>
      <w:marLeft w:val="0"/>
      <w:marRight w:val="0"/>
      <w:marTop w:val="0"/>
      <w:marBottom w:val="0"/>
      <w:divBdr>
        <w:top w:val="none" w:sz="0" w:space="0" w:color="auto"/>
        <w:left w:val="none" w:sz="0" w:space="0" w:color="auto"/>
        <w:bottom w:val="none" w:sz="0" w:space="0" w:color="auto"/>
        <w:right w:val="none" w:sz="0" w:space="0" w:color="auto"/>
      </w:divBdr>
    </w:div>
    <w:div w:id="296688079">
      <w:bodyDiv w:val="1"/>
      <w:marLeft w:val="0"/>
      <w:marRight w:val="0"/>
      <w:marTop w:val="0"/>
      <w:marBottom w:val="0"/>
      <w:divBdr>
        <w:top w:val="none" w:sz="0" w:space="0" w:color="auto"/>
        <w:left w:val="none" w:sz="0" w:space="0" w:color="auto"/>
        <w:bottom w:val="none" w:sz="0" w:space="0" w:color="auto"/>
        <w:right w:val="none" w:sz="0" w:space="0" w:color="auto"/>
      </w:divBdr>
    </w:div>
    <w:div w:id="323046057">
      <w:bodyDiv w:val="1"/>
      <w:marLeft w:val="0"/>
      <w:marRight w:val="0"/>
      <w:marTop w:val="0"/>
      <w:marBottom w:val="0"/>
      <w:divBdr>
        <w:top w:val="none" w:sz="0" w:space="0" w:color="auto"/>
        <w:left w:val="none" w:sz="0" w:space="0" w:color="auto"/>
        <w:bottom w:val="none" w:sz="0" w:space="0" w:color="auto"/>
        <w:right w:val="none" w:sz="0" w:space="0" w:color="auto"/>
      </w:divBdr>
      <w:divsChild>
        <w:div w:id="904340668">
          <w:marLeft w:val="0"/>
          <w:marRight w:val="0"/>
          <w:marTop w:val="0"/>
          <w:marBottom w:val="0"/>
          <w:divBdr>
            <w:top w:val="none" w:sz="0" w:space="0" w:color="auto"/>
            <w:left w:val="none" w:sz="0" w:space="0" w:color="auto"/>
            <w:bottom w:val="none" w:sz="0" w:space="0" w:color="auto"/>
            <w:right w:val="none" w:sz="0" w:space="0" w:color="auto"/>
          </w:divBdr>
        </w:div>
        <w:div w:id="1126897809">
          <w:marLeft w:val="0"/>
          <w:marRight w:val="0"/>
          <w:marTop w:val="0"/>
          <w:marBottom w:val="0"/>
          <w:divBdr>
            <w:top w:val="none" w:sz="0" w:space="0" w:color="auto"/>
            <w:left w:val="none" w:sz="0" w:space="0" w:color="auto"/>
            <w:bottom w:val="none" w:sz="0" w:space="0" w:color="auto"/>
            <w:right w:val="none" w:sz="0" w:space="0" w:color="auto"/>
          </w:divBdr>
        </w:div>
        <w:div w:id="1221332258">
          <w:marLeft w:val="0"/>
          <w:marRight w:val="0"/>
          <w:marTop w:val="0"/>
          <w:marBottom w:val="0"/>
          <w:divBdr>
            <w:top w:val="none" w:sz="0" w:space="0" w:color="auto"/>
            <w:left w:val="none" w:sz="0" w:space="0" w:color="auto"/>
            <w:bottom w:val="none" w:sz="0" w:space="0" w:color="auto"/>
            <w:right w:val="none" w:sz="0" w:space="0" w:color="auto"/>
          </w:divBdr>
        </w:div>
        <w:div w:id="1452282157">
          <w:marLeft w:val="0"/>
          <w:marRight w:val="0"/>
          <w:marTop w:val="0"/>
          <w:marBottom w:val="0"/>
          <w:divBdr>
            <w:top w:val="none" w:sz="0" w:space="0" w:color="auto"/>
            <w:left w:val="none" w:sz="0" w:space="0" w:color="auto"/>
            <w:bottom w:val="none" w:sz="0" w:space="0" w:color="auto"/>
            <w:right w:val="none" w:sz="0" w:space="0" w:color="auto"/>
          </w:divBdr>
        </w:div>
      </w:divsChild>
    </w:div>
    <w:div w:id="327176569">
      <w:bodyDiv w:val="1"/>
      <w:marLeft w:val="0"/>
      <w:marRight w:val="0"/>
      <w:marTop w:val="0"/>
      <w:marBottom w:val="0"/>
      <w:divBdr>
        <w:top w:val="none" w:sz="0" w:space="0" w:color="auto"/>
        <w:left w:val="none" w:sz="0" w:space="0" w:color="auto"/>
        <w:bottom w:val="none" w:sz="0" w:space="0" w:color="auto"/>
        <w:right w:val="none" w:sz="0" w:space="0" w:color="auto"/>
      </w:divBdr>
    </w:div>
    <w:div w:id="340277933">
      <w:bodyDiv w:val="1"/>
      <w:marLeft w:val="0"/>
      <w:marRight w:val="0"/>
      <w:marTop w:val="0"/>
      <w:marBottom w:val="0"/>
      <w:divBdr>
        <w:top w:val="none" w:sz="0" w:space="0" w:color="auto"/>
        <w:left w:val="none" w:sz="0" w:space="0" w:color="auto"/>
        <w:bottom w:val="none" w:sz="0" w:space="0" w:color="auto"/>
        <w:right w:val="none" w:sz="0" w:space="0" w:color="auto"/>
      </w:divBdr>
    </w:div>
    <w:div w:id="347877802">
      <w:bodyDiv w:val="1"/>
      <w:marLeft w:val="0"/>
      <w:marRight w:val="0"/>
      <w:marTop w:val="0"/>
      <w:marBottom w:val="0"/>
      <w:divBdr>
        <w:top w:val="none" w:sz="0" w:space="0" w:color="auto"/>
        <w:left w:val="none" w:sz="0" w:space="0" w:color="auto"/>
        <w:bottom w:val="none" w:sz="0" w:space="0" w:color="auto"/>
        <w:right w:val="none" w:sz="0" w:space="0" w:color="auto"/>
      </w:divBdr>
    </w:div>
    <w:div w:id="362219813">
      <w:bodyDiv w:val="1"/>
      <w:marLeft w:val="0"/>
      <w:marRight w:val="0"/>
      <w:marTop w:val="0"/>
      <w:marBottom w:val="0"/>
      <w:divBdr>
        <w:top w:val="none" w:sz="0" w:space="0" w:color="auto"/>
        <w:left w:val="none" w:sz="0" w:space="0" w:color="auto"/>
        <w:bottom w:val="none" w:sz="0" w:space="0" w:color="auto"/>
        <w:right w:val="none" w:sz="0" w:space="0" w:color="auto"/>
      </w:divBdr>
    </w:div>
    <w:div w:id="370957429">
      <w:bodyDiv w:val="1"/>
      <w:marLeft w:val="0"/>
      <w:marRight w:val="0"/>
      <w:marTop w:val="0"/>
      <w:marBottom w:val="0"/>
      <w:divBdr>
        <w:top w:val="none" w:sz="0" w:space="0" w:color="auto"/>
        <w:left w:val="none" w:sz="0" w:space="0" w:color="auto"/>
        <w:bottom w:val="none" w:sz="0" w:space="0" w:color="auto"/>
        <w:right w:val="none" w:sz="0" w:space="0" w:color="auto"/>
      </w:divBdr>
    </w:div>
    <w:div w:id="373967521">
      <w:bodyDiv w:val="1"/>
      <w:marLeft w:val="0"/>
      <w:marRight w:val="0"/>
      <w:marTop w:val="0"/>
      <w:marBottom w:val="0"/>
      <w:divBdr>
        <w:top w:val="none" w:sz="0" w:space="0" w:color="auto"/>
        <w:left w:val="none" w:sz="0" w:space="0" w:color="auto"/>
        <w:bottom w:val="none" w:sz="0" w:space="0" w:color="auto"/>
        <w:right w:val="none" w:sz="0" w:space="0" w:color="auto"/>
      </w:divBdr>
    </w:div>
    <w:div w:id="380249027">
      <w:bodyDiv w:val="1"/>
      <w:marLeft w:val="0"/>
      <w:marRight w:val="0"/>
      <w:marTop w:val="0"/>
      <w:marBottom w:val="0"/>
      <w:divBdr>
        <w:top w:val="none" w:sz="0" w:space="0" w:color="auto"/>
        <w:left w:val="none" w:sz="0" w:space="0" w:color="auto"/>
        <w:bottom w:val="none" w:sz="0" w:space="0" w:color="auto"/>
        <w:right w:val="none" w:sz="0" w:space="0" w:color="auto"/>
      </w:divBdr>
    </w:div>
    <w:div w:id="388310767">
      <w:bodyDiv w:val="1"/>
      <w:marLeft w:val="0"/>
      <w:marRight w:val="0"/>
      <w:marTop w:val="0"/>
      <w:marBottom w:val="0"/>
      <w:divBdr>
        <w:top w:val="none" w:sz="0" w:space="0" w:color="auto"/>
        <w:left w:val="none" w:sz="0" w:space="0" w:color="auto"/>
        <w:bottom w:val="none" w:sz="0" w:space="0" w:color="auto"/>
        <w:right w:val="none" w:sz="0" w:space="0" w:color="auto"/>
      </w:divBdr>
      <w:divsChild>
        <w:div w:id="1436249613">
          <w:marLeft w:val="0"/>
          <w:marRight w:val="0"/>
          <w:marTop w:val="0"/>
          <w:marBottom w:val="0"/>
          <w:divBdr>
            <w:top w:val="none" w:sz="0" w:space="0" w:color="auto"/>
            <w:left w:val="none" w:sz="0" w:space="0" w:color="auto"/>
            <w:bottom w:val="none" w:sz="0" w:space="0" w:color="auto"/>
            <w:right w:val="none" w:sz="0" w:space="0" w:color="auto"/>
          </w:divBdr>
          <w:divsChild>
            <w:div w:id="1694526250">
              <w:marLeft w:val="0"/>
              <w:marRight w:val="0"/>
              <w:marTop w:val="0"/>
              <w:marBottom w:val="0"/>
              <w:divBdr>
                <w:top w:val="none" w:sz="0" w:space="0" w:color="auto"/>
                <w:left w:val="none" w:sz="0" w:space="0" w:color="auto"/>
                <w:bottom w:val="none" w:sz="0" w:space="0" w:color="auto"/>
                <w:right w:val="none" w:sz="0" w:space="0" w:color="auto"/>
              </w:divBdr>
              <w:divsChild>
                <w:div w:id="2002925267">
                  <w:marLeft w:val="0"/>
                  <w:marRight w:val="0"/>
                  <w:marTop w:val="0"/>
                  <w:marBottom w:val="0"/>
                  <w:divBdr>
                    <w:top w:val="none" w:sz="0" w:space="0" w:color="auto"/>
                    <w:left w:val="none" w:sz="0" w:space="0" w:color="auto"/>
                    <w:bottom w:val="none" w:sz="0" w:space="0" w:color="auto"/>
                    <w:right w:val="none" w:sz="0" w:space="0" w:color="auto"/>
                  </w:divBdr>
                  <w:divsChild>
                    <w:div w:id="3486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346871">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06536910">
      <w:bodyDiv w:val="1"/>
      <w:marLeft w:val="0"/>
      <w:marRight w:val="0"/>
      <w:marTop w:val="0"/>
      <w:marBottom w:val="0"/>
      <w:divBdr>
        <w:top w:val="none" w:sz="0" w:space="0" w:color="auto"/>
        <w:left w:val="none" w:sz="0" w:space="0" w:color="auto"/>
        <w:bottom w:val="none" w:sz="0" w:space="0" w:color="auto"/>
        <w:right w:val="none" w:sz="0" w:space="0" w:color="auto"/>
      </w:divBdr>
    </w:div>
    <w:div w:id="417292083">
      <w:bodyDiv w:val="1"/>
      <w:marLeft w:val="0"/>
      <w:marRight w:val="0"/>
      <w:marTop w:val="0"/>
      <w:marBottom w:val="0"/>
      <w:divBdr>
        <w:top w:val="none" w:sz="0" w:space="0" w:color="auto"/>
        <w:left w:val="none" w:sz="0" w:space="0" w:color="auto"/>
        <w:bottom w:val="none" w:sz="0" w:space="0" w:color="auto"/>
        <w:right w:val="none" w:sz="0" w:space="0" w:color="auto"/>
      </w:divBdr>
    </w:div>
    <w:div w:id="4189849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7779560">
      <w:bodyDiv w:val="1"/>
      <w:marLeft w:val="0"/>
      <w:marRight w:val="0"/>
      <w:marTop w:val="0"/>
      <w:marBottom w:val="0"/>
      <w:divBdr>
        <w:top w:val="none" w:sz="0" w:space="0" w:color="auto"/>
        <w:left w:val="none" w:sz="0" w:space="0" w:color="auto"/>
        <w:bottom w:val="none" w:sz="0" w:space="0" w:color="auto"/>
        <w:right w:val="none" w:sz="0" w:space="0" w:color="auto"/>
      </w:divBdr>
    </w:div>
    <w:div w:id="433130422">
      <w:bodyDiv w:val="1"/>
      <w:marLeft w:val="0"/>
      <w:marRight w:val="0"/>
      <w:marTop w:val="0"/>
      <w:marBottom w:val="0"/>
      <w:divBdr>
        <w:top w:val="none" w:sz="0" w:space="0" w:color="auto"/>
        <w:left w:val="none" w:sz="0" w:space="0" w:color="auto"/>
        <w:bottom w:val="none" w:sz="0" w:space="0" w:color="auto"/>
        <w:right w:val="none" w:sz="0" w:space="0" w:color="auto"/>
      </w:divBdr>
    </w:div>
    <w:div w:id="436216403">
      <w:bodyDiv w:val="1"/>
      <w:marLeft w:val="0"/>
      <w:marRight w:val="0"/>
      <w:marTop w:val="0"/>
      <w:marBottom w:val="0"/>
      <w:divBdr>
        <w:top w:val="none" w:sz="0" w:space="0" w:color="auto"/>
        <w:left w:val="none" w:sz="0" w:space="0" w:color="auto"/>
        <w:bottom w:val="none" w:sz="0" w:space="0" w:color="auto"/>
        <w:right w:val="none" w:sz="0" w:space="0" w:color="auto"/>
      </w:divBdr>
    </w:div>
    <w:div w:id="450321909">
      <w:bodyDiv w:val="1"/>
      <w:marLeft w:val="0"/>
      <w:marRight w:val="0"/>
      <w:marTop w:val="0"/>
      <w:marBottom w:val="0"/>
      <w:divBdr>
        <w:top w:val="none" w:sz="0" w:space="0" w:color="auto"/>
        <w:left w:val="none" w:sz="0" w:space="0" w:color="auto"/>
        <w:bottom w:val="none" w:sz="0" w:space="0" w:color="auto"/>
        <w:right w:val="none" w:sz="0" w:space="0" w:color="auto"/>
      </w:divBdr>
    </w:div>
    <w:div w:id="460464277">
      <w:bodyDiv w:val="1"/>
      <w:marLeft w:val="0"/>
      <w:marRight w:val="0"/>
      <w:marTop w:val="0"/>
      <w:marBottom w:val="0"/>
      <w:divBdr>
        <w:top w:val="none" w:sz="0" w:space="0" w:color="auto"/>
        <w:left w:val="none" w:sz="0" w:space="0" w:color="auto"/>
        <w:bottom w:val="none" w:sz="0" w:space="0" w:color="auto"/>
        <w:right w:val="none" w:sz="0" w:space="0" w:color="auto"/>
      </w:divBdr>
    </w:div>
    <w:div w:id="476533378">
      <w:bodyDiv w:val="1"/>
      <w:marLeft w:val="0"/>
      <w:marRight w:val="0"/>
      <w:marTop w:val="0"/>
      <w:marBottom w:val="0"/>
      <w:divBdr>
        <w:top w:val="none" w:sz="0" w:space="0" w:color="auto"/>
        <w:left w:val="none" w:sz="0" w:space="0" w:color="auto"/>
        <w:bottom w:val="none" w:sz="0" w:space="0" w:color="auto"/>
        <w:right w:val="none" w:sz="0" w:space="0" w:color="auto"/>
      </w:divBdr>
    </w:div>
    <w:div w:id="510068091">
      <w:bodyDiv w:val="1"/>
      <w:marLeft w:val="0"/>
      <w:marRight w:val="0"/>
      <w:marTop w:val="0"/>
      <w:marBottom w:val="0"/>
      <w:divBdr>
        <w:top w:val="none" w:sz="0" w:space="0" w:color="auto"/>
        <w:left w:val="none" w:sz="0" w:space="0" w:color="auto"/>
        <w:bottom w:val="none" w:sz="0" w:space="0" w:color="auto"/>
        <w:right w:val="none" w:sz="0" w:space="0" w:color="auto"/>
      </w:divBdr>
    </w:div>
    <w:div w:id="510800319">
      <w:bodyDiv w:val="1"/>
      <w:marLeft w:val="0"/>
      <w:marRight w:val="0"/>
      <w:marTop w:val="0"/>
      <w:marBottom w:val="0"/>
      <w:divBdr>
        <w:top w:val="none" w:sz="0" w:space="0" w:color="auto"/>
        <w:left w:val="none" w:sz="0" w:space="0" w:color="auto"/>
        <w:bottom w:val="none" w:sz="0" w:space="0" w:color="auto"/>
        <w:right w:val="none" w:sz="0" w:space="0" w:color="auto"/>
      </w:divBdr>
    </w:div>
    <w:div w:id="513419851">
      <w:bodyDiv w:val="1"/>
      <w:marLeft w:val="0"/>
      <w:marRight w:val="0"/>
      <w:marTop w:val="0"/>
      <w:marBottom w:val="0"/>
      <w:divBdr>
        <w:top w:val="none" w:sz="0" w:space="0" w:color="auto"/>
        <w:left w:val="none" w:sz="0" w:space="0" w:color="auto"/>
        <w:bottom w:val="none" w:sz="0" w:space="0" w:color="auto"/>
        <w:right w:val="none" w:sz="0" w:space="0" w:color="auto"/>
      </w:divBdr>
    </w:div>
    <w:div w:id="547038086">
      <w:bodyDiv w:val="1"/>
      <w:marLeft w:val="0"/>
      <w:marRight w:val="0"/>
      <w:marTop w:val="0"/>
      <w:marBottom w:val="0"/>
      <w:divBdr>
        <w:top w:val="none" w:sz="0" w:space="0" w:color="auto"/>
        <w:left w:val="none" w:sz="0" w:space="0" w:color="auto"/>
        <w:bottom w:val="none" w:sz="0" w:space="0" w:color="auto"/>
        <w:right w:val="none" w:sz="0" w:space="0" w:color="auto"/>
      </w:divBdr>
    </w:div>
    <w:div w:id="572860576">
      <w:bodyDiv w:val="1"/>
      <w:marLeft w:val="0"/>
      <w:marRight w:val="0"/>
      <w:marTop w:val="0"/>
      <w:marBottom w:val="0"/>
      <w:divBdr>
        <w:top w:val="none" w:sz="0" w:space="0" w:color="auto"/>
        <w:left w:val="none" w:sz="0" w:space="0" w:color="auto"/>
        <w:bottom w:val="none" w:sz="0" w:space="0" w:color="auto"/>
        <w:right w:val="none" w:sz="0" w:space="0" w:color="auto"/>
      </w:divBdr>
    </w:div>
    <w:div w:id="575894721">
      <w:bodyDiv w:val="1"/>
      <w:marLeft w:val="0"/>
      <w:marRight w:val="0"/>
      <w:marTop w:val="0"/>
      <w:marBottom w:val="0"/>
      <w:divBdr>
        <w:top w:val="none" w:sz="0" w:space="0" w:color="auto"/>
        <w:left w:val="none" w:sz="0" w:space="0" w:color="auto"/>
        <w:bottom w:val="none" w:sz="0" w:space="0" w:color="auto"/>
        <w:right w:val="none" w:sz="0" w:space="0" w:color="auto"/>
      </w:divBdr>
      <w:divsChild>
        <w:div w:id="1517306362">
          <w:marLeft w:val="0"/>
          <w:marRight w:val="0"/>
          <w:marTop w:val="0"/>
          <w:marBottom w:val="0"/>
          <w:divBdr>
            <w:top w:val="none" w:sz="0" w:space="0" w:color="auto"/>
            <w:left w:val="none" w:sz="0" w:space="0" w:color="auto"/>
            <w:bottom w:val="none" w:sz="0" w:space="0" w:color="auto"/>
            <w:right w:val="none" w:sz="0" w:space="0" w:color="auto"/>
          </w:divBdr>
          <w:divsChild>
            <w:div w:id="192645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3149">
      <w:bodyDiv w:val="1"/>
      <w:marLeft w:val="0"/>
      <w:marRight w:val="0"/>
      <w:marTop w:val="0"/>
      <w:marBottom w:val="0"/>
      <w:divBdr>
        <w:top w:val="none" w:sz="0" w:space="0" w:color="auto"/>
        <w:left w:val="none" w:sz="0" w:space="0" w:color="auto"/>
        <w:bottom w:val="none" w:sz="0" w:space="0" w:color="auto"/>
        <w:right w:val="none" w:sz="0" w:space="0" w:color="auto"/>
      </w:divBdr>
    </w:div>
    <w:div w:id="58183611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4897431">
      <w:bodyDiv w:val="1"/>
      <w:marLeft w:val="0"/>
      <w:marRight w:val="0"/>
      <w:marTop w:val="0"/>
      <w:marBottom w:val="0"/>
      <w:divBdr>
        <w:top w:val="none" w:sz="0" w:space="0" w:color="auto"/>
        <w:left w:val="none" w:sz="0" w:space="0" w:color="auto"/>
        <w:bottom w:val="none" w:sz="0" w:space="0" w:color="auto"/>
        <w:right w:val="none" w:sz="0" w:space="0" w:color="auto"/>
      </w:divBdr>
    </w:div>
    <w:div w:id="633950961">
      <w:bodyDiv w:val="1"/>
      <w:marLeft w:val="0"/>
      <w:marRight w:val="0"/>
      <w:marTop w:val="0"/>
      <w:marBottom w:val="0"/>
      <w:divBdr>
        <w:top w:val="none" w:sz="0" w:space="0" w:color="auto"/>
        <w:left w:val="none" w:sz="0" w:space="0" w:color="auto"/>
        <w:bottom w:val="none" w:sz="0" w:space="0" w:color="auto"/>
        <w:right w:val="none" w:sz="0" w:space="0" w:color="auto"/>
      </w:divBdr>
      <w:divsChild>
        <w:div w:id="162354933">
          <w:marLeft w:val="0"/>
          <w:marRight w:val="0"/>
          <w:marTop w:val="0"/>
          <w:marBottom w:val="0"/>
          <w:divBdr>
            <w:top w:val="none" w:sz="0" w:space="0" w:color="auto"/>
            <w:left w:val="none" w:sz="0" w:space="0" w:color="auto"/>
            <w:bottom w:val="none" w:sz="0" w:space="0" w:color="auto"/>
            <w:right w:val="none" w:sz="0" w:space="0" w:color="auto"/>
          </w:divBdr>
        </w:div>
        <w:div w:id="267586236">
          <w:marLeft w:val="0"/>
          <w:marRight w:val="0"/>
          <w:marTop w:val="0"/>
          <w:marBottom w:val="0"/>
          <w:divBdr>
            <w:top w:val="none" w:sz="0" w:space="0" w:color="auto"/>
            <w:left w:val="none" w:sz="0" w:space="0" w:color="auto"/>
            <w:bottom w:val="none" w:sz="0" w:space="0" w:color="auto"/>
            <w:right w:val="none" w:sz="0" w:space="0" w:color="auto"/>
          </w:divBdr>
        </w:div>
        <w:div w:id="287200618">
          <w:marLeft w:val="0"/>
          <w:marRight w:val="0"/>
          <w:marTop w:val="0"/>
          <w:marBottom w:val="0"/>
          <w:divBdr>
            <w:top w:val="none" w:sz="0" w:space="0" w:color="auto"/>
            <w:left w:val="none" w:sz="0" w:space="0" w:color="auto"/>
            <w:bottom w:val="none" w:sz="0" w:space="0" w:color="auto"/>
            <w:right w:val="none" w:sz="0" w:space="0" w:color="auto"/>
          </w:divBdr>
        </w:div>
        <w:div w:id="703016723">
          <w:marLeft w:val="0"/>
          <w:marRight w:val="0"/>
          <w:marTop w:val="0"/>
          <w:marBottom w:val="0"/>
          <w:divBdr>
            <w:top w:val="none" w:sz="0" w:space="0" w:color="auto"/>
            <w:left w:val="none" w:sz="0" w:space="0" w:color="auto"/>
            <w:bottom w:val="none" w:sz="0" w:space="0" w:color="auto"/>
            <w:right w:val="none" w:sz="0" w:space="0" w:color="auto"/>
          </w:divBdr>
        </w:div>
        <w:div w:id="816530875">
          <w:marLeft w:val="0"/>
          <w:marRight w:val="0"/>
          <w:marTop w:val="0"/>
          <w:marBottom w:val="0"/>
          <w:divBdr>
            <w:top w:val="none" w:sz="0" w:space="0" w:color="auto"/>
            <w:left w:val="none" w:sz="0" w:space="0" w:color="auto"/>
            <w:bottom w:val="none" w:sz="0" w:space="0" w:color="auto"/>
            <w:right w:val="none" w:sz="0" w:space="0" w:color="auto"/>
          </w:divBdr>
        </w:div>
        <w:div w:id="835266885">
          <w:marLeft w:val="0"/>
          <w:marRight w:val="0"/>
          <w:marTop w:val="0"/>
          <w:marBottom w:val="0"/>
          <w:divBdr>
            <w:top w:val="none" w:sz="0" w:space="0" w:color="auto"/>
            <w:left w:val="none" w:sz="0" w:space="0" w:color="auto"/>
            <w:bottom w:val="none" w:sz="0" w:space="0" w:color="auto"/>
            <w:right w:val="none" w:sz="0" w:space="0" w:color="auto"/>
          </w:divBdr>
        </w:div>
        <w:div w:id="844562830">
          <w:marLeft w:val="0"/>
          <w:marRight w:val="0"/>
          <w:marTop w:val="0"/>
          <w:marBottom w:val="0"/>
          <w:divBdr>
            <w:top w:val="none" w:sz="0" w:space="0" w:color="auto"/>
            <w:left w:val="none" w:sz="0" w:space="0" w:color="auto"/>
            <w:bottom w:val="none" w:sz="0" w:space="0" w:color="auto"/>
            <w:right w:val="none" w:sz="0" w:space="0" w:color="auto"/>
          </w:divBdr>
        </w:div>
        <w:div w:id="898596758">
          <w:marLeft w:val="0"/>
          <w:marRight w:val="0"/>
          <w:marTop w:val="0"/>
          <w:marBottom w:val="0"/>
          <w:divBdr>
            <w:top w:val="none" w:sz="0" w:space="0" w:color="auto"/>
            <w:left w:val="none" w:sz="0" w:space="0" w:color="auto"/>
            <w:bottom w:val="none" w:sz="0" w:space="0" w:color="auto"/>
            <w:right w:val="none" w:sz="0" w:space="0" w:color="auto"/>
          </w:divBdr>
        </w:div>
        <w:div w:id="1076591160">
          <w:marLeft w:val="0"/>
          <w:marRight w:val="0"/>
          <w:marTop w:val="0"/>
          <w:marBottom w:val="0"/>
          <w:divBdr>
            <w:top w:val="none" w:sz="0" w:space="0" w:color="auto"/>
            <w:left w:val="none" w:sz="0" w:space="0" w:color="auto"/>
            <w:bottom w:val="none" w:sz="0" w:space="0" w:color="auto"/>
            <w:right w:val="none" w:sz="0" w:space="0" w:color="auto"/>
          </w:divBdr>
        </w:div>
        <w:div w:id="1220093219">
          <w:marLeft w:val="0"/>
          <w:marRight w:val="0"/>
          <w:marTop w:val="0"/>
          <w:marBottom w:val="0"/>
          <w:divBdr>
            <w:top w:val="none" w:sz="0" w:space="0" w:color="auto"/>
            <w:left w:val="none" w:sz="0" w:space="0" w:color="auto"/>
            <w:bottom w:val="none" w:sz="0" w:space="0" w:color="auto"/>
            <w:right w:val="none" w:sz="0" w:space="0" w:color="auto"/>
          </w:divBdr>
        </w:div>
        <w:div w:id="1266227950">
          <w:marLeft w:val="0"/>
          <w:marRight w:val="0"/>
          <w:marTop w:val="0"/>
          <w:marBottom w:val="0"/>
          <w:divBdr>
            <w:top w:val="none" w:sz="0" w:space="0" w:color="auto"/>
            <w:left w:val="none" w:sz="0" w:space="0" w:color="auto"/>
            <w:bottom w:val="none" w:sz="0" w:space="0" w:color="auto"/>
            <w:right w:val="none" w:sz="0" w:space="0" w:color="auto"/>
          </w:divBdr>
        </w:div>
        <w:div w:id="1411654279">
          <w:marLeft w:val="0"/>
          <w:marRight w:val="0"/>
          <w:marTop w:val="0"/>
          <w:marBottom w:val="0"/>
          <w:divBdr>
            <w:top w:val="none" w:sz="0" w:space="0" w:color="auto"/>
            <w:left w:val="none" w:sz="0" w:space="0" w:color="auto"/>
            <w:bottom w:val="none" w:sz="0" w:space="0" w:color="auto"/>
            <w:right w:val="none" w:sz="0" w:space="0" w:color="auto"/>
          </w:divBdr>
        </w:div>
        <w:div w:id="1438717514">
          <w:marLeft w:val="0"/>
          <w:marRight w:val="0"/>
          <w:marTop w:val="0"/>
          <w:marBottom w:val="0"/>
          <w:divBdr>
            <w:top w:val="none" w:sz="0" w:space="0" w:color="auto"/>
            <w:left w:val="none" w:sz="0" w:space="0" w:color="auto"/>
            <w:bottom w:val="none" w:sz="0" w:space="0" w:color="auto"/>
            <w:right w:val="none" w:sz="0" w:space="0" w:color="auto"/>
          </w:divBdr>
        </w:div>
        <w:div w:id="1466894513">
          <w:marLeft w:val="0"/>
          <w:marRight w:val="0"/>
          <w:marTop w:val="0"/>
          <w:marBottom w:val="0"/>
          <w:divBdr>
            <w:top w:val="none" w:sz="0" w:space="0" w:color="auto"/>
            <w:left w:val="none" w:sz="0" w:space="0" w:color="auto"/>
            <w:bottom w:val="none" w:sz="0" w:space="0" w:color="auto"/>
            <w:right w:val="none" w:sz="0" w:space="0" w:color="auto"/>
          </w:divBdr>
        </w:div>
        <w:div w:id="1822117762">
          <w:marLeft w:val="0"/>
          <w:marRight w:val="0"/>
          <w:marTop w:val="0"/>
          <w:marBottom w:val="0"/>
          <w:divBdr>
            <w:top w:val="none" w:sz="0" w:space="0" w:color="auto"/>
            <w:left w:val="none" w:sz="0" w:space="0" w:color="auto"/>
            <w:bottom w:val="none" w:sz="0" w:space="0" w:color="auto"/>
            <w:right w:val="none" w:sz="0" w:space="0" w:color="auto"/>
          </w:divBdr>
        </w:div>
        <w:div w:id="1852602448">
          <w:marLeft w:val="0"/>
          <w:marRight w:val="0"/>
          <w:marTop w:val="0"/>
          <w:marBottom w:val="0"/>
          <w:divBdr>
            <w:top w:val="none" w:sz="0" w:space="0" w:color="auto"/>
            <w:left w:val="none" w:sz="0" w:space="0" w:color="auto"/>
            <w:bottom w:val="none" w:sz="0" w:space="0" w:color="auto"/>
            <w:right w:val="none" w:sz="0" w:space="0" w:color="auto"/>
          </w:divBdr>
        </w:div>
        <w:div w:id="1891381268">
          <w:marLeft w:val="0"/>
          <w:marRight w:val="0"/>
          <w:marTop w:val="0"/>
          <w:marBottom w:val="0"/>
          <w:divBdr>
            <w:top w:val="none" w:sz="0" w:space="0" w:color="auto"/>
            <w:left w:val="none" w:sz="0" w:space="0" w:color="auto"/>
            <w:bottom w:val="none" w:sz="0" w:space="0" w:color="auto"/>
            <w:right w:val="none" w:sz="0" w:space="0" w:color="auto"/>
          </w:divBdr>
        </w:div>
        <w:div w:id="1902708821">
          <w:marLeft w:val="0"/>
          <w:marRight w:val="0"/>
          <w:marTop w:val="0"/>
          <w:marBottom w:val="0"/>
          <w:divBdr>
            <w:top w:val="none" w:sz="0" w:space="0" w:color="auto"/>
            <w:left w:val="none" w:sz="0" w:space="0" w:color="auto"/>
            <w:bottom w:val="none" w:sz="0" w:space="0" w:color="auto"/>
            <w:right w:val="none" w:sz="0" w:space="0" w:color="auto"/>
          </w:divBdr>
        </w:div>
      </w:divsChild>
    </w:div>
    <w:div w:id="655108375">
      <w:bodyDiv w:val="1"/>
      <w:marLeft w:val="0"/>
      <w:marRight w:val="0"/>
      <w:marTop w:val="0"/>
      <w:marBottom w:val="0"/>
      <w:divBdr>
        <w:top w:val="none" w:sz="0" w:space="0" w:color="auto"/>
        <w:left w:val="none" w:sz="0" w:space="0" w:color="auto"/>
        <w:bottom w:val="none" w:sz="0" w:space="0" w:color="auto"/>
        <w:right w:val="none" w:sz="0" w:space="0" w:color="auto"/>
      </w:divBdr>
    </w:div>
    <w:div w:id="659893057">
      <w:bodyDiv w:val="1"/>
      <w:marLeft w:val="0"/>
      <w:marRight w:val="0"/>
      <w:marTop w:val="0"/>
      <w:marBottom w:val="0"/>
      <w:divBdr>
        <w:top w:val="none" w:sz="0" w:space="0" w:color="auto"/>
        <w:left w:val="none" w:sz="0" w:space="0" w:color="auto"/>
        <w:bottom w:val="none" w:sz="0" w:space="0" w:color="auto"/>
        <w:right w:val="none" w:sz="0" w:space="0" w:color="auto"/>
      </w:divBdr>
    </w:div>
    <w:div w:id="667438490">
      <w:bodyDiv w:val="1"/>
      <w:marLeft w:val="0"/>
      <w:marRight w:val="0"/>
      <w:marTop w:val="0"/>
      <w:marBottom w:val="0"/>
      <w:divBdr>
        <w:top w:val="none" w:sz="0" w:space="0" w:color="auto"/>
        <w:left w:val="none" w:sz="0" w:space="0" w:color="auto"/>
        <w:bottom w:val="none" w:sz="0" w:space="0" w:color="auto"/>
        <w:right w:val="none" w:sz="0" w:space="0" w:color="auto"/>
      </w:divBdr>
    </w:div>
    <w:div w:id="694429372">
      <w:bodyDiv w:val="1"/>
      <w:marLeft w:val="0"/>
      <w:marRight w:val="0"/>
      <w:marTop w:val="0"/>
      <w:marBottom w:val="0"/>
      <w:divBdr>
        <w:top w:val="none" w:sz="0" w:space="0" w:color="auto"/>
        <w:left w:val="none" w:sz="0" w:space="0" w:color="auto"/>
        <w:bottom w:val="none" w:sz="0" w:space="0" w:color="auto"/>
        <w:right w:val="none" w:sz="0" w:space="0" w:color="auto"/>
      </w:divBdr>
    </w:div>
    <w:div w:id="695230854">
      <w:bodyDiv w:val="1"/>
      <w:marLeft w:val="0"/>
      <w:marRight w:val="0"/>
      <w:marTop w:val="0"/>
      <w:marBottom w:val="0"/>
      <w:divBdr>
        <w:top w:val="none" w:sz="0" w:space="0" w:color="auto"/>
        <w:left w:val="none" w:sz="0" w:space="0" w:color="auto"/>
        <w:bottom w:val="none" w:sz="0" w:space="0" w:color="auto"/>
        <w:right w:val="none" w:sz="0" w:space="0" w:color="auto"/>
      </w:divBdr>
    </w:div>
    <w:div w:id="732117570">
      <w:bodyDiv w:val="1"/>
      <w:marLeft w:val="0"/>
      <w:marRight w:val="0"/>
      <w:marTop w:val="0"/>
      <w:marBottom w:val="0"/>
      <w:divBdr>
        <w:top w:val="none" w:sz="0" w:space="0" w:color="auto"/>
        <w:left w:val="none" w:sz="0" w:space="0" w:color="auto"/>
        <w:bottom w:val="none" w:sz="0" w:space="0" w:color="auto"/>
        <w:right w:val="none" w:sz="0" w:space="0" w:color="auto"/>
      </w:divBdr>
    </w:div>
    <w:div w:id="757025058">
      <w:bodyDiv w:val="1"/>
      <w:marLeft w:val="0"/>
      <w:marRight w:val="0"/>
      <w:marTop w:val="0"/>
      <w:marBottom w:val="0"/>
      <w:divBdr>
        <w:top w:val="none" w:sz="0" w:space="0" w:color="auto"/>
        <w:left w:val="none" w:sz="0" w:space="0" w:color="auto"/>
        <w:bottom w:val="none" w:sz="0" w:space="0" w:color="auto"/>
        <w:right w:val="none" w:sz="0" w:space="0" w:color="auto"/>
      </w:divBdr>
    </w:div>
    <w:div w:id="764963417">
      <w:bodyDiv w:val="1"/>
      <w:marLeft w:val="0"/>
      <w:marRight w:val="0"/>
      <w:marTop w:val="0"/>
      <w:marBottom w:val="0"/>
      <w:divBdr>
        <w:top w:val="none" w:sz="0" w:space="0" w:color="auto"/>
        <w:left w:val="none" w:sz="0" w:space="0" w:color="auto"/>
        <w:bottom w:val="none" w:sz="0" w:space="0" w:color="auto"/>
        <w:right w:val="none" w:sz="0" w:space="0" w:color="auto"/>
      </w:divBdr>
    </w:div>
    <w:div w:id="770585058">
      <w:bodyDiv w:val="1"/>
      <w:marLeft w:val="0"/>
      <w:marRight w:val="0"/>
      <w:marTop w:val="0"/>
      <w:marBottom w:val="0"/>
      <w:divBdr>
        <w:top w:val="none" w:sz="0" w:space="0" w:color="auto"/>
        <w:left w:val="none" w:sz="0" w:space="0" w:color="auto"/>
        <w:bottom w:val="none" w:sz="0" w:space="0" w:color="auto"/>
        <w:right w:val="none" w:sz="0" w:space="0" w:color="auto"/>
      </w:divBdr>
    </w:div>
    <w:div w:id="784466285">
      <w:bodyDiv w:val="1"/>
      <w:marLeft w:val="0"/>
      <w:marRight w:val="0"/>
      <w:marTop w:val="0"/>
      <w:marBottom w:val="0"/>
      <w:divBdr>
        <w:top w:val="none" w:sz="0" w:space="0" w:color="auto"/>
        <w:left w:val="none" w:sz="0" w:space="0" w:color="auto"/>
        <w:bottom w:val="none" w:sz="0" w:space="0" w:color="auto"/>
        <w:right w:val="none" w:sz="0" w:space="0" w:color="auto"/>
      </w:divBdr>
    </w:div>
    <w:div w:id="791242386">
      <w:bodyDiv w:val="1"/>
      <w:marLeft w:val="0"/>
      <w:marRight w:val="0"/>
      <w:marTop w:val="0"/>
      <w:marBottom w:val="0"/>
      <w:divBdr>
        <w:top w:val="none" w:sz="0" w:space="0" w:color="auto"/>
        <w:left w:val="none" w:sz="0" w:space="0" w:color="auto"/>
        <w:bottom w:val="none" w:sz="0" w:space="0" w:color="auto"/>
        <w:right w:val="none" w:sz="0" w:space="0" w:color="auto"/>
      </w:divBdr>
    </w:div>
    <w:div w:id="807210749">
      <w:bodyDiv w:val="1"/>
      <w:marLeft w:val="0"/>
      <w:marRight w:val="0"/>
      <w:marTop w:val="0"/>
      <w:marBottom w:val="0"/>
      <w:divBdr>
        <w:top w:val="none" w:sz="0" w:space="0" w:color="auto"/>
        <w:left w:val="none" w:sz="0" w:space="0" w:color="auto"/>
        <w:bottom w:val="none" w:sz="0" w:space="0" w:color="auto"/>
        <w:right w:val="none" w:sz="0" w:space="0" w:color="auto"/>
      </w:divBdr>
    </w:div>
    <w:div w:id="811017565">
      <w:bodyDiv w:val="1"/>
      <w:marLeft w:val="0"/>
      <w:marRight w:val="0"/>
      <w:marTop w:val="0"/>
      <w:marBottom w:val="0"/>
      <w:divBdr>
        <w:top w:val="none" w:sz="0" w:space="0" w:color="auto"/>
        <w:left w:val="none" w:sz="0" w:space="0" w:color="auto"/>
        <w:bottom w:val="none" w:sz="0" w:space="0" w:color="auto"/>
        <w:right w:val="none" w:sz="0" w:space="0" w:color="auto"/>
      </w:divBdr>
    </w:div>
    <w:div w:id="818771245">
      <w:bodyDiv w:val="1"/>
      <w:marLeft w:val="0"/>
      <w:marRight w:val="0"/>
      <w:marTop w:val="0"/>
      <w:marBottom w:val="0"/>
      <w:divBdr>
        <w:top w:val="none" w:sz="0" w:space="0" w:color="auto"/>
        <w:left w:val="none" w:sz="0" w:space="0" w:color="auto"/>
        <w:bottom w:val="none" w:sz="0" w:space="0" w:color="auto"/>
        <w:right w:val="none" w:sz="0" w:space="0" w:color="auto"/>
      </w:divBdr>
    </w:div>
    <w:div w:id="821967868">
      <w:bodyDiv w:val="1"/>
      <w:marLeft w:val="0"/>
      <w:marRight w:val="0"/>
      <w:marTop w:val="0"/>
      <w:marBottom w:val="0"/>
      <w:divBdr>
        <w:top w:val="none" w:sz="0" w:space="0" w:color="auto"/>
        <w:left w:val="none" w:sz="0" w:space="0" w:color="auto"/>
        <w:bottom w:val="none" w:sz="0" w:space="0" w:color="auto"/>
        <w:right w:val="none" w:sz="0" w:space="0" w:color="auto"/>
      </w:divBdr>
    </w:div>
    <w:div w:id="825165287">
      <w:bodyDiv w:val="1"/>
      <w:marLeft w:val="0"/>
      <w:marRight w:val="0"/>
      <w:marTop w:val="0"/>
      <w:marBottom w:val="0"/>
      <w:divBdr>
        <w:top w:val="none" w:sz="0" w:space="0" w:color="auto"/>
        <w:left w:val="none" w:sz="0" w:space="0" w:color="auto"/>
        <w:bottom w:val="none" w:sz="0" w:space="0" w:color="auto"/>
        <w:right w:val="none" w:sz="0" w:space="0" w:color="auto"/>
      </w:divBdr>
    </w:div>
    <w:div w:id="832912937">
      <w:bodyDiv w:val="1"/>
      <w:marLeft w:val="0"/>
      <w:marRight w:val="0"/>
      <w:marTop w:val="0"/>
      <w:marBottom w:val="0"/>
      <w:divBdr>
        <w:top w:val="none" w:sz="0" w:space="0" w:color="auto"/>
        <w:left w:val="none" w:sz="0" w:space="0" w:color="auto"/>
        <w:bottom w:val="none" w:sz="0" w:space="0" w:color="auto"/>
        <w:right w:val="none" w:sz="0" w:space="0" w:color="auto"/>
      </w:divBdr>
    </w:div>
    <w:div w:id="837887688">
      <w:bodyDiv w:val="1"/>
      <w:marLeft w:val="0"/>
      <w:marRight w:val="0"/>
      <w:marTop w:val="0"/>
      <w:marBottom w:val="0"/>
      <w:divBdr>
        <w:top w:val="none" w:sz="0" w:space="0" w:color="auto"/>
        <w:left w:val="none" w:sz="0" w:space="0" w:color="auto"/>
        <w:bottom w:val="none" w:sz="0" w:space="0" w:color="auto"/>
        <w:right w:val="none" w:sz="0" w:space="0" w:color="auto"/>
      </w:divBdr>
    </w:div>
    <w:div w:id="841042839">
      <w:bodyDiv w:val="1"/>
      <w:marLeft w:val="0"/>
      <w:marRight w:val="0"/>
      <w:marTop w:val="0"/>
      <w:marBottom w:val="0"/>
      <w:divBdr>
        <w:top w:val="none" w:sz="0" w:space="0" w:color="auto"/>
        <w:left w:val="none" w:sz="0" w:space="0" w:color="auto"/>
        <w:bottom w:val="none" w:sz="0" w:space="0" w:color="auto"/>
        <w:right w:val="none" w:sz="0" w:space="0" w:color="auto"/>
      </w:divBdr>
    </w:div>
    <w:div w:id="852887975">
      <w:bodyDiv w:val="1"/>
      <w:marLeft w:val="0"/>
      <w:marRight w:val="0"/>
      <w:marTop w:val="0"/>
      <w:marBottom w:val="0"/>
      <w:divBdr>
        <w:top w:val="none" w:sz="0" w:space="0" w:color="auto"/>
        <w:left w:val="none" w:sz="0" w:space="0" w:color="auto"/>
        <w:bottom w:val="none" w:sz="0" w:space="0" w:color="auto"/>
        <w:right w:val="none" w:sz="0" w:space="0" w:color="auto"/>
      </w:divBdr>
    </w:div>
    <w:div w:id="865871936">
      <w:bodyDiv w:val="1"/>
      <w:marLeft w:val="0"/>
      <w:marRight w:val="0"/>
      <w:marTop w:val="0"/>
      <w:marBottom w:val="0"/>
      <w:divBdr>
        <w:top w:val="none" w:sz="0" w:space="0" w:color="auto"/>
        <w:left w:val="none" w:sz="0" w:space="0" w:color="auto"/>
        <w:bottom w:val="none" w:sz="0" w:space="0" w:color="auto"/>
        <w:right w:val="none" w:sz="0" w:space="0" w:color="auto"/>
      </w:divBdr>
    </w:div>
    <w:div w:id="869684133">
      <w:bodyDiv w:val="1"/>
      <w:marLeft w:val="0"/>
      <w:marRight w:val="0"/>
      <w:marTop w:val="0"/>
      <w:marBottom w:val="0"/>
      <w:divBdr>
        <w:top w:val="none" w:sz="0" w:space="0" w:color="auto"/>
        <w:left w:val="none" w:sz="0" w:space="0" w:color="auto"/>
        <w:bottom w:val="none" w:sz="0" w:space="0" w:color="auto"/>
        <w:right w:val="none" w:sz="0" w:space="0" w:color="auto"/>
      </w:divBdr>
    </w:div>
    <w:div w:id="870143117">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0532226">
      <w:bodyDiv w:val="1"/>
      <w:marLeft w:val="0"/>
      <w:marRight w:val="0"/>
      <w:marTop w:val="0"/>
      <w:marBottom w:val="0"/>
      <w:divBdr>
        <w:top w:val="none" w:sz="0" w:space="0" w:color="auto"/>
        <w:left w:val="none" w:sz="0" w:space="0" w:color="auto"/>
        <w:bottom w:val="none" w:sz="0" w:space="0" w:color="auto"/>
        <w:right w:val="none" w:sz="0" w:space="0" w:color="auto"/>
      </w:divBdr>
    </w:div>
    <w:div w:id="892739519">
      <w:bodyDiv w:val="1"/>
      <w:marLeft w:val="0"/>
      <w:marRight w:val="0"/>
      <w:marTop w:val="0"/>
      <w:marBottom w:val="0"/>
      <w:divBdr>
        <w:top w:val="none" w:sz="0" w:space="0" w:color="auto"/>
        <w:left w:val="none" w:sz="0" w:space="0" w:color="auto"/>
        <w:bottom w:val="none" w:sz="0" w:space="0" w:color="auto"/>
        <w:right w:val="none" w:sz="0" w:space="0" w:color="auto"/>
      </w:divBdr>
    </w:div>
    <w:div w:id="896667526">
      <w:bodyDiv w:val="1"/>
      <w:marLeft w:val="0"/>
      <w:marRight w:val="0"/>
      <w:marTop w:val="0"/>
      <w:marBottom w:val="0"/>
      <w:divBdr>
        <w:top w:val="none" w:sz="0" w:space="0" w:color="auto"/>
        <w:left w:val="none" w:sz="0" w:space="0" w:color="auto"/>
        <w:bottom w:val="none" w:sz="0" w:space="0" w:color="auto"/>
        <w:right w:val="none" w:sz="0" w:space="0" w:color="auto"/>
      </w:divBdr>
    </w:div>
    <w:div w:id="899822596">
      <w:bodyDiv w:val="1"/>
      <w:marLeft w:val="0"/>
      <w:marRight w:val="0"/>
      <w:marTop w:val="0"/>
      <w:marBottom w:val="0"/>
      <w:divBdr>
        <w:top w:val="none" w:sz="0" w:space="0" w:color="auto"/>
        <w:left w:val="none" w:sz="0" w:space="0" w:color="auto"/>
        <w:bottom w:val="none" w:sz="0" w:space="0" w:color="auto"/>
        <w:right w:val="none" w:sz="0" w:space="0" w:color="auto"/>
      </w:divBdr>
    </w:div>
    <w:div w:id="908418272">
      <w:bodyDiv w:val="1"/>
      <w:marLeft w:val="0"/>
      <w:marRight w:val="0"/>
      <w:marTop w:val="0"/>
      <w:marBottom w:val="0"/>
      <w:divBdr>
        <w:top w:val="none" w:sz="0" w:space="0" w:color="auto"/>
        <w:left w:val="none" w:sz="0" w:space="0" w:color="auto"/>
        <w:bottom w:val="none" w:sz="0" w:space="0" w:color="auto"/>
        <w:right w:val="none" w:sz="0" w:space="0" w:color="auto"/>
      </w:divBdr>
    </w:div>
    <w:div w:id="913123400">
      <w:bodyDiv w:val="1"/>
      <w:marLeft w:val="0"/>
      <w:marRight w:val="0"/>
      <w:marTop w:val="0"/>
      <w:marBottom w:val="0"/>
      <w:divBdr>
        <w:top w:val="none" w:sz="0" w:space="0" w:color="auto"/>
        <w:left w:val="none" w:sz="0" w:space="0" w:color="auto"/>
        <w:bottom w:val="none" w:sz="0" w:space="0" w:color="auto"/>
        <w:right w:val="none" w:sz="0" w:space="0" w:color="auto"/>
      </w:divBdr>
    </w:div>
    <w:div w:id="937369344">
      <w:bodyDiv w:val="1"/>
      <w:marLeft w:val="0"/>
      <w:marRight w:val="0"/>
      <w:marTop w:val="0"/>
      <w:marBottom w:val="0"/>
      <w:divBdr>
        <w:top w:val="none" w:sz="0" w:space="0" w:color="auto"/>
        <w:left w:val="none" w:sz="0" w:space="0" w:color="auto"/>
        <w:bottom w:val="none" w:sz="0" w:space="0" w:color="auto"/>
        <w:right w:val="none" w:sz="0" w:space="0" w:color="auto"/>
      </w:divBdr>
    </w:div>
    <w:div w:id="944533600">
      <w:bodyDiv w:val="1"/>
      <w:marLeft w:val="0"/>
      <w:marRight w:val="0"/>
      <w:marTop w:val="0"/>
      <w:marBottom w:val="0"/>
      <w:divBdr>
        <w:top w:val="none" w:sz="0" w:space="0" w:color="auto"/>
        <w:left w:val="none" w:sz="0" w:space="0" w:color="auto"/>
        <w:bottom w:val="none" w:sz="0" w:space="0" w:color="auto"/>
        <w:right w:val="none" w:sz="0" w:space="0" w:color="auto"/>
      </w:divBdr>
    </w:div>
    <w:div w:id="951129088">
      <w:bodyDiv w:val="1"/>
      <w:marLeft w:val="0"/>
      <w:marRight w:val="0"/>
      <w:marTop w:val="0"/>
      <w:marBottom w:val="0"/>
      <w:divBdr>
        <w:top w:val="none" w:sz="0" w:space="0" w:color="auto"/>
        <w:left w:val="none" w:sz="0" w:space="0" w:color="auto"/>
        <w:bottom w:val="none" w:sz="0" w:space="0" w:color="auto"/>
        <w:right w:val="none" w:sz="0" w:space="0" w:color="auto"/>
      </w:divBdr>
    </w:div>
    <w:div w:id="966012539">
      <w:bodyDiv w:val="1"/>
      <w:marLeft w:val="0"/>
      <w:marRight w:val="0"/>
      <w:marTop w:val="0"/>
      <w:marBottom w:val="0"/>
      <w:divBdr>
        <w:top w:val="none" w:sz="0" w:space="0" w:color="auto"/>
        <w:left w:val="none" w:sz="0" w:space="0" w:color="auto"/>
        <w:bottom w:val="none" w:sz="0" w:space="0" w:color="auto"/>
        <w:right w:val="none" w:sz="0" w:space="0" w:color="auto"/>
      </w:divBdr>
    </w:div>
    <w:div w:id="972558247">
      <w:bodyDiv w:val="1"/>
      <w:marLeft w:val="0"/>
      <w:marRight w:val="0"/>
      <w:marTop w:val="0"/>
      <w:marBottom w:val="0"/>
      <w:divBdr>
        <w:top w:val="none" w:sz="0" w:space="0" w:color="auto"/>
        <w:left w:val="none" w:sz="0" w:space="0" w:color="auto"/>
        <w:bottom w:val="none" w:sz="0" w:space="0" w:color="auto"/>
        <w:right w:val="none" w:sz="0" w:space="0" w:color="auto"/>
      </w:divBdr>
    </w:div>
    <w:div w:id="977883235">
      <w:bodyDiv w:val="1"/>
      <w:marLeft w:val="0"/>
      <w:marRight w:val="0"/>
      <w:marTop w:val="0"/>
      <w:marBottom w:val="0"/>
      <w:divBdr>
        <w:top w:val="none" w:sz="0" w:space="0" w:color="auto"/>
        <w:left w:val="none" w:sz="0" w:space="0" w:color="auto"/>
        <w:bottom w:val="none" w:sz="0" w:space="0" w:color="auto"/>
        <w:right w:val="none" w:sz="0" w:space="0" w:color="auto"/>
      </w:divBdr>
    </w:div>
    <w:div w:id="979502161">
      <w:bodyDiv w:val="1"/>
      <w:marLeft w:val="0"/>
      <w:marRight w:val="0"/>
      <w:marTop w:val="0"/>
      <w:marBottom w:val="0"/>
      <w:divBdr>
        <w:top w:val="none" w:sz="0" w:space="0" w:color="auto"/>
        <w:left w:val="none" w:sz="0" w:space="0" w:color="auto"/>
        <w:bottom w:val="none" w:sz="0" w:space="0" w:color="auto"/>
        <w:right w:val="none" w:sz="0" w:space="0" w:color="auto"/>
      </w:divBdr>
    </w:div>
    <w:div w:id="992291232">
      <w:bodyDiv w:val="1"/>
      <w:marLeft w:val="0"/>
      <w:marRight w:val="0"/>
      <w:marTop w:val="0"/>
      <w:marBottom w:val="0"/>
      <w:divBdr>
        <w:top w:val="none" w:sz="0" w:space="0" w:color="auto"/>
        <w:left w:val="none" w:sz="0" w:space="0" w:color="auto"/>
        <w:bottom w:val="none" w:sz="0" w:space="0" w:color="auto"/>
        <w:right w:val="none" w:sz="0" w:space="0" w:color="auto"/>
      </w:divBdr>
    </w:div>
    <w:div w:id="996609300">
      <w:bodyDiv w:val="1"/>
      <w:marLeft w:val="0"/>
      <w:marRight w:val="0"/>
      <w:marTop w:val="0"/>
      <w:marBottom w:val="0"/>
      <w:divBdr>
        <w:top w:val="none" w:sz="0" w:space="0" w:color="auto"/>
        <w:left w:val="none" w:sz="0" w:space="0" w:color="auto"/>
        <w:bottom w:val="none" w:sz="0" w:space="0" w:color="auto"/>
        <w:right w:val="none" w:sz="0" w:space="0" w:color="auto"/>
      </w:divBdr>
    </w:div>
    <w:div w:id="1013534049">
      <w:bodyDiv w:val="1"/>
      <w:marLeft w:val="0"/>
      <w:marRight w:val="0"/>
      <w:marTop w:val="0"/>
      <w:marBottom w:val="0"/>
      <w:divBdr>
        <w:top w:val="none" w:sz="0" w:space="0" w:color="auto"/>
        <w:left w:val="none" w:sz="0" w:space="0" w:color="auto"/>
        <w:bottom w:val="none" w:sz="0" w:space="0" w:color="auto"/>
        <w:right w:val="none" w:sz="0" w:space="0" w:color="auto"/>
      </w:divBdr>
    </w:div>
    <w:div w:id="1022977305">
      <w:bodyDiv w:val="1"/>
      <w:marLeft w:val="0"/>
      <w:marRight w:val="0"/>
      <w:marTop w:val="0"/>
      <w:marBottom w:val="0"/>
      <w:divBdr>
        <w:top w:val="none" w:sz="0" w:space="0" w:color="auto"/>
        <w:left w:val="none" w:sz="0" w:space="0" w:color="auto"/>
        <w:bottom w:val="none" w:sz="0" w:space="0" w:color="auto"/>
        <w:right w:val="none" w:sz="0" w:space="0" w:color="auto"/>
      </w:divBdr>
    </w:div>
    <w:div w:id="1034885781">
      <w:bodyDiv w:val="1"/>
      <w:marLeft w:val="0"/>
      <w:marRight w:val="0"/>
      <w:marTop w:val="0"/>
      <w:marBottom w:val="0"/>
      <w:divBdr>
        <w:top w:val="none" w:sz="0" w:space="0" w:color="auto"/>
        <w:left w:val="none" w:sz="0" w:space="0" w:color="auto"/>
        <w:bottom w:val="none" w:sz="0" w:space="0" w:color="auto"/>
        <w:right w:val="none" w:sz="0" w:space="0" w:color="auto"/>
      </w:divBdr>
    </w:div>
    <w:div w:id="1041058611">
      <w:bodyDiv w:val="1"/>
      <w:marLeft w:val="0"/>
      <w:marRight w:val="0"/>
      <w:marTop w:val="0"/>
      <w:marBottom w:val="0"/>
      <w:divBdr>
        <w:top w:val="none" w:sz="0" w:space="0" w:color="auto"/>
        <w:left w:val="none" w:sz="0" w:space="0" w:color="auto"/>
        <w:bottom w:val="none" w:sz="0" w:space="0" w:color="auto"/>
        <w:right w:val="none" w:sz="0" w:space="0" w:color="auto"/>
      </w:divBdr>
    </w:div>
    <w:div w:id="1059206603">
      <w:bodyDiv w:val="1"/>
      <w:marLeft w:val="0"/>
      <w:marRight w:val="0"/>
      <w:marTop w:val="0"/>
      <w:marBottom w:val="0"/>
      <w:divBdr>
        <w:top w:val="none" w:sz="0" w:space="0" w:color="auto"/>
        <w:left w:val="none" w:sz="0" w:space="0" w:color="auto"/>
        <w:bottom w:val="none" w:sz="0" w:space="0" w:color="auto"/>
        <w:right w:val="none" w:sz="0" w:space="0" w:color="auto"/>
      </w:divBdr>
    </w:div>
    <w:div w:id="1073043360">
      <w:bodyDiv w:val="1"/>
      <w:marLeft w:val="0"/>
      <w:marRight w:val="0"/>
      <w:marTop w:val="0"/>
      <w:marBottom w:val="0"/>
      <w:divBdr>
        <w:top w:val="none" w:sz="0" w:space="0" w:color="auto"/>
        <w:left w:val="none" w:sz="0" w:space="0" w:color="auto"/>
        <w:bottom w:val="none" w:sz="0" w:space="0" w:color="auto"/>
        <w:right w:val="none" w:sz="0" w:space="0" w:color="auto"/>
      </w:divBdr>
    </w:div>
    <w:div w:id="1085763915">
      <w:bodyDiv w:val="1"/>
      <w:marLeft w:val="0"/>
      <w:marRight w:val="0"/>
      <w:marTop w:val="0"/>
      <w:marBottom w:val="0"/>
      <w:divBdr>
        <w:top w:val="none" w:sz="0" w:space="0" w:color="auto"/>
        <w:left w:val="none" w:sz="0" w:space="0" w:color="auto"/>
        <w:bottom w:val="none" w:sz="0" w:space="0" w:color="auto"/>
        <w:right w:val="none" w:sz="0" w:space="0" w:color="auto"/>
      </w:divBdr>
    </w:div>
    <w:div w:id="1087269360">
      <w:bodyDiv w:val="1"/>
      <w:marLeft w:val="0"/>
      <w:marRight w:val="0"/>
      <w:marTop w:val="0"/>
      <w:marBottom w:val="0"/>
      <w:divBdr>
        <w:top w:val="none" w:sz="0" w:space="0" w:color="auto"/>
        <w:left w:val="none" w:sz="0" w:space="0" w:color="auto"/>
        <w:bottom w:val="none" w:sz="0" w:space="0" w:color="auto"/>
        <w:right w:val="none" w:sz="0" w:space="0" w:color="auto"/>
      </w:divBdr>
    </w:div>
    <w:div w:id="1107896120">
      <w:bodyDiv w:val="1"/>
      <w:marLeft w:val="0"/>
      <w:marRight w:val="0"/>
      <w:marTop w:val="0"/>
      <w:marBottom w:val="0"/>
      <w:divBdr>
        <w:top w:val="none" w:sz="0" w:space="0" w:color="auto"/>
        <w:left w:val="none" w:sz="0" w:space="0" w:color="auto"/>
        <w:bottom w:val="none" w:sz="0" w:space="0" w:color="auto"/>
        <w:right w:val="none" w:sz="0" w:space="0" w:color="auto"/>
      </w:divBdr>
    </w:div>
    <w:div w:id="1127310019">
      <w:bodyDiv w:val="1"/>
      <w:marLeft w:val="0"/>
      <w:marRight w:val="0"/>
      <w:marTop w:val="0"/>
      <w:marBottom w:val="0"/>
      <w:divBdr>
        <w:top w:val="none" w:sz="0" w:space="0" w:color="auto"/>
        <w:left w:val="none" w:sz="0" w:space="0" w:color="auto"/>
        <w:bottom w:val="none" w:sz="0" w:space="0" w:color="auto"/>
        <w:right w:val="none" w:sz="0" w:space="0" w:color="auto"/>
      </w:divBdr>
    </w:div>
    <w:div w:id="1133328796">
      <w:bodyDiv w:val="1"/>
      <w:marLeft w:val="0"/>
      <w:marRight w:val="0"/>
      <w:marTop w:val="0"/>
      <w:marBottom w:val="0"/>
      <w:divBdr>
        <w:top w:val="none" w:sz="0" w:space="0" w:color="auto"/>
        <w:left w:val="none" w:sz="0" w:space="0" w:color="auto"/>
        <w:bottom w:val="none" w:sz="0" w:space="0" w:color="auto"/>
        <w:right w:val="none" w:sz="0" w:space="0" w:color="auto"/>
      </w:divBdr>
      <w:divsChild>
        <w:div w:id="1607931453">
          <w:marLeft w:val="0"/>
          <w:marRight w:val="0"/>
          <w:marTop w:val="0"/>
          <w:marBottom w:val="0"/>
          <w:divBdr>
            <w:top w:val="none" w:sz="0" w:space="0" w:color="auto"/>
            <w:left w:val="none" w:sz="0" w:space="0" w:color="auto"/>
            <w:bottom w:val="none" w:sz="0" w:space="0" w:color="auto"/>
            <w:right w:val="none" w:sz="0" w:space="0" w:color="auto"/>
          </w:divBdr>
          <w:divsChild>
            <w:div w:id="326324929">
              <w:marLeft w:val="0"/>
              <w:marRight w:val="0"/>
              <w:marTop w:val="0"/>
              <w:marBottom w:val="0"/>
              <w:divBdr>
                <w:top w:val="none" w:sz="0" w:space="0" w:color="auto"/>
                <w:left w:val="none" w:sz="0" w:space="0" w:color="auto"/>
                <w:bottom w:val="none" w:sz="0" w:space="0" w:color="auto"/>
                <w:right w:val="none" w:sz="0" w:space="0" w:color="auto"/>
              </w:divBdr>
              <w:divsChild>
                <w:div w:id="760683229">
                  <w:marLeft w:val="0"/>
                  <w:marRight w:val="0"/>
                  <w:marTop w:val="0"/>
                  <w:marBottom w:val="0"/>
                  <w:divBdr>
                    <w:top w:val="none" w:sz="0" w:space="0" w:color="auto"/>
                    <w:left w:val="none" w:sz="0" w:space="0" w:color="auto"/>
                    <w:bottom w:val="none" w:sz="0" w:space="0" w:color="auto"/>
                    <w:right w:val="none" w:sz="0" w:space="0" w:color="auto"/>
                  </w:divBdr>
                  <w:divsChild>
                    <w:div w:id="2072845432">
                      <w:marLeft w:val="0"/>
                      <w:marRight w:val="0"/>
                      <w:marTop w:val="0"/>
                      <w:marBottom w:val="0"/>
                      <w:divBdr>
                        <w:top w:val="none" w:sz="0" w:space="0" w:color="auto"/>
                        <w:left w:val="none" w:sz="0" w:space="0" w:color="auto"/>
                        <w:bottom w:val="none" w:sz="0" w:space="0" w:color="auto"/>
                        <w:right w:val="none" w:sz="0" w:space="0" w:color="auto"/>
                      </w:divBdr>
                      <w:divsChild>
                        <w:div w:id="378668876">
                          <w:marLeft w:val="0"/>
                          <w:marRight w:val="0"/>
                          <w:marTop w:val="0"/>
                          <w:marBottom w:val="0"/>
                          <w:divBdr>
                            <w:top w:val="none" w:sz="0" w:space="0" w:color="auto"/>
                            <w:left w:val="none" w:sz="0" w:space="0" w:color="auto"/>
                            <w:bottom w:val="none" w:sz="0" w:space="0" w:color="auto"/>
                            <w:right w:val="none" w:sz="0" w:space="0" w:color="auto"/>
                          </w:divBdr>
                          <w:divsChild>
                            <w:div w:id="257442571">
                              <w:marLeft w:val="0"/>
                              <w:marRight w:val="0"/>
                              <w:marTop w:val="0"/>
                              <w:marBottom w:val="0"/>
                              <w:divBdr>
                                <w:top w:val="none" w:sz="0" w:space="0" w:color="auto"/>
                                <w:left w:val="none" w:sz="0" w:space="0" w:color="auto"/>
                                <w:bottom w:val="none" w:sz="0" w:space="0" w:color="auto"/>
                                <w:right w:val="none" w:sz="0" w:space="0" w:color="auto"/>
                              </w:divBdr>
                              <w:divsChild>
                                <w:div w:id="1788084444">
                                  <w:marLeft w:val="0"/>
                                  <w:marRight w:val="0"/>
                                  <w:marTop w:val="0"/>
                                  <w:marBottom w:val="0"/>
                                  <w:divBdr>
                                    <w:top w:val="none" w:sz="0" w:space="0" w:color="auto"/>
                                    <w:left w:val="none" w:sz="0" w:space="0" w:color="auto"/>
                                    <w:bottom w:val="none" w:sz="0" w:space="0" w:color="auto"/>
                                    <w:right w:val="none" w:sz="0" w:space="0" w:color="auto"/>
                                  </w:divBdr>
                                  <w:divsChild>
                                    <w:div w:id="1199121733">
                                      <w:marLeft w:val="0"/>
                                      <w:marRight w:val="0"/>
                                      <w:marTop w:val="0"/>
                                      <w:marBottom w:val="0"/>
                                      <w:divBdr>
                                        <w:top w:val="none" w:sz="0" w:space="0" w:color="auto"/>
                                        <w:left w:val="none" w:sz="0" w:space="0" w:color="auto"/>
                                        <w:bottom w:val="none" w:sz="0" w:space="0" w:color="auto"/>
                                        <w:right w:val="none" w:sz="0" w:space="0" w:color="auto"/>
                                      </w:divBdr>
                                      <w:divsChild>
                                        <w:div w:id="1088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1367729">
      <w:bodyDiv w:val="1"/>
      <w:marLeft w:val="0"/>
      <w:marRight w:val="0"/>
      <w:marTop w:val="0"/>
      <w:marBottom w:val="0"/>
      <w:divBdr>
        <w:top w:val="none" w:sz="0" w:space="0" w:color="auto"/>
        <w:left w:val="none" w:sz="0" w:space="0" w:color="auto"/>
        <w:bottom w:val="none" w:sz="0" w:space="0" w:color="auto"/>
        <w:right w:val="none" w:sz="0" w:space="0" w:color="auto"/>
      </w:divBdr>
    </w:div>
    <w:div w:id="1154757096">
      <w:bodyDiv w:val="1"/>
      <w:marLeft w:val="0"/>
      <w:marRight w:val="0"/>
      <w:marTop w:val="0"/>
      <w:marBottom w:val="0"/>
      <w:divBdr>
        <w:top w:val="none" w:sz="0" w:space="0" w:color="auto"/>
        <w:left w:val="none" w:sz="0" w:space="0" w:color="auto"/>
        <w:bottom w:val="none" w:sz="0" w:space="0" w:color="auto"/>
        <w:right w:val="none" w:sz="0" w:space="0" w:color="auto"/>
      </w:divBdr>
    </w:div>
    <w:div w:id="1160853862">
      <w:bodyDiv w:val="1"/>
      <w:marLeft w:val="0"/>
      <w:marRight w:val="0"/>
      <w:marTop w:val="0"/>
      <w:marBottom w:val="0"/>
      <w:divBdr>
        <w:top w:val="none" w:sz="0" w:space="0" w:color="auto"/>
        <w:left w:val="none" w:sz="0" w:space="0" w:color="auto"/>
        <w:bottom w:val="none" w:sz="0" w:space="0" w:color="auto"/>
        <w:right w:val="none" w:sz="0" w:space="0" w:color="auto"/>
      </w:divBdr>
    </w:div>
    <w:div w:id="1165821685">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0001662">
      <w:bodyDiv w:val="1"/>
      <w:marLeft w:val="0"/>
      <w:marRight w:val="0"/>
      <w:marTop w:val="0"/>
      <w:marBottom w:val="0"/>
      <w:divBdr>
        <w:top w:val="none" w:sz="0" w:space="0" w:color="auto"/>
        <w:left w:val="none" w:sz="0" w:space="0" w:color="auto"/>
        <w:bottom w:val="none" w:sz="0" w:space="0" w:color="auto"/>
        <w:right w:val="none" w:sz="0" w:space="0" w:color="auto"/>
      </w:divBdr>
    </w:div>
    <w:div w:id="1204170421">
      <w:bodyDiv w:val="1"/>
      <w:marLeft w:val="0"/>
      <w:marRight w:val="0"/>
      <w:marTop w:val="0"/>
      <w:marBottom w:val="0"/>
      <w:divBdr>
        <w:top w:val="none" w:sz="0" w:space="0" w:color="auto"/>
        <w:left w:val="none" w:sz="0" w:space="0" w:color="auto"/>
        <w:bottom w:val="none" w:sz="0" w:space="0" w:color="auto"/>
        <w:right w:val="none" w:sz="0" w:space="0" w:color="auto"/>
      </w:divBdr>
    </w:div>
    <w:div w:id="1231886827">
      <w:bodyDiv w:val="1"/>
      <w:marLeft w:val="0"/>
      <w:marRight w:val="0"/>
      <w:marTop w:val="0"/>
      <w:marBottom w:val="0"/>
      <w:divBdr>
        <w:top w:val="none" w:sz="0" w:space="0" w:color="auto"/>
        <w:left w:val="none" w:sz="0" w:space="0" w:color="auto"/>
        <w:bottom w:val="none" w:sz="0" w:space="0" w:color="auto"/>
        <w:right w:val="none" w:sz="0" w:space="0" w:color="auto"/>
      </w:divBdr>
    </w:div>
    <w:div w:id="1239366701">
      <w:bodyDiv w:val="1"/>
      <w:marLeft w:val="0"/>
      <w:marRight w:val="0"/>
      <w:marTop w:val="0"/>
      <w:marBottom w:val="0"/>
      <w:divBdr>
        <w:top w:val="none" w:sz="0" w:space="0" w:color="auto"/>
        <w:left w:val="none" w:sz="0" w:space="0" w:color="auto"/>
        <w:bottom w:val="none" w:sz="0" w:space="0" w:color="auto"/>
        <w:right w:val="none" w:sz="0" w:space="0" w:color="auto"/>
      </w:divBdr>
    </w:div>
    <w:div w:id="1254123421">
      <w:bodyDiv w:val="1"/>
      <w:marLeft w:val="0"/>
      <w:marRight w:val="0"/>
      <w:marTop w:val="0"/>
      <w:marBottom w:val="0"/>
      <w:divBdr>
        <w:top w:val="none" w:sz="0" w:space="0" w:color="auto"/>
        <w:left w:val="none" w:sz="0" w:space="0" w:color="auto"/>
        <w:bottom w:val="none" w:sz="0" w:space="0" w:color="auto"/>
        <w:right w:val="none" w:sz="0" w:space="0" w:color="auto"/>
      </w:divBdr>
    </w:div>
    <w:div w:id="1261141530">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63010">
      <w:bodyDiv w:val="1"/>
      <w:marLeft w:val="0"/>
      <w:marRight w:val="0"/>
      <w:marTop w:val="0"/>
      <w:marBottom w:val="0"/>
      <w:divBdr>
        <w:top w:val="none" w:sz="0" w:space="0" w:color="auto"/>
        <w:left w:val="none" w:sz="0" w:space="0" w:color="auto"/>
        <w:bottom w:val="none" w:sz="0" w:space="0" w:color="auto"/>
        <w:right w:val="none" w:sz="0" w:space="0" w:color="auto"/>
      </w:divBdr>
    </w:div>
    <w:div w:id="1274288864">
      <w:bodyDiv w:val="1"/>
      <w:marLeft w:val="0"/>
      <w:marRight w:val="0"/>
      <w:marTop w:val="0"/>
      <w:marBottom w:val="0"/>
      <w:divBdr>
        <w:top w:val="none" w:sz="0" w:space="0" w:color="auto"/>
        <w:left w:val="none" w:sz="0" w:space="0" w:color="auto"/>
        <w:bottom w:val="none" w:sz="0" w:space="0" w:color="auto"/>
        <w:right w:val="none" w:sz="0" w:space="0" w:color="auto"/>
      </w:divBdr>
    </w:div>
    <w:div w:id="1278634698">
      <w:bodyDiv w:val="1"/>
      <w:marLeft w:val="0"/>
      <w:marRight w:val="0"/>
      <w:marTop w:val="0"/>
      <w:marBottom w:val="0"/>
      <w:divBdr>
        <w:top w:val="none" w:sz="0" w:space="0" w:color="auto"/>
        <w:left w:val="none" w:sz="0" w:space="0" w:color="auto"/>
        <w:bottom w:val="none" w:sz="0" w:space="0" w:color="auto"/>
        <w:right w:val="none" w:sz="0" w:space="0" w:color="auto"/>
      </w:divBdr>
    </w:div>
    <w:div w:id="1281300105">
      <w:bodyDiv w:val="1"/>
      <w:marLeft w:val="0"/>
      <w:marRight w:val="0"/>
      <w:marTop w:val="0"/>
      <w:marBottom w:val="0"/>
      <w:divBdr>
        <w:top w:val="none" w:sz="0" w:space="0" w:color="auto"/>
        <w:left w:val="none" w:sz="0" w:space="0" w:color="auto"/>
        <w:bottom w:val="none" w:sz="0" w:space="0" w:color="auto"/>
        <w:right w:val="none" w:sz="0" w:space="0" w:color="auto"/>
      </w:divBdr>
      <w:divsChild>
        <w:div w:id="36777730">
          <w:marLeft w:val="0"/>
          <w:marRight w:val="0"/>
          <w:marTop w:val="0"/>
          <w:marBottom w:val="0"/>
          <w:divBdr>
            <w:top w:val="none" w:sz="0" w:space="0" w:color="auto"/>
            <w:left w:val="none" w:sz="0" w:space="0" w:color="auto"/>
            <w:bottom w:val="none" w:sz="0" w:space="0" w:color="auto"/>
            <w:right w:val="none" w:sz="0" w:space="0" w:color="auto"/>
          </w:divBdr>
        </w:div>
        <w:div w:id="51850253">
          <w:marLeft w:val="0"/>
          <w:marRight w:val="0"/>
          <w:marTop w:val="0"/>
          <w:marBottom w:val="0"/>
          <w:divBdr>
            <w:top w:val="none" w:sz="0" w:space="0" w:color="auto"/>
            <w:left w:val="none" w:sz="0" w:space="0" w:color="auto"/>
            <w:bottom w:val="none" w:sz="0" w:space="0" w:color="auto"/>
            <w:right w:val="none" w:sz="0" w:space="0" w:color="auto"/>
          </w:divBdr>
        </w:div>
        <w:div w:id="72552815">
          <w:marLeft w:val="0"/>
          <w:marRight w:val="0"/>
          <w:marTop w:val="0"/>
          <w:marBottom w:val="0"/>
          <w:divBdr>
            <w:top w:val="none" w:sz="0" w:space="0" w:color="auto"/>
            <w:left w:val="none" w:sz="0" w:space="0" w:color="auto"/>
            <w:bottom w:val="none" w:sz="0" w:space="0" w:color="auto"/>
            <w:right w:val="none" w:sz="0" w:space="0" w:color="auto"/>
          </w:divBdr>
        </w:div>
        <w:div w:id="397170019">
          <w:marLeft w:val="0"/>
          <w:marRight w:val="0"/>
          <w:marTop w:val="0"/>
          <w:marBottom w:val="0"/>
          <w:divBdr>
            <w:top w:val="none" w:sz="0" w:space="0" w:color="auto"/>
            <w:left w:val="none" w:sz="0" w:space="0" w:color="auto"/>
            <w:bottom w:val="none" w:sz="0" w:space="0" w:color="auto"/>
            <w:right w:val="none" w:sz="0" w:space="0" w:color="auto"/>
          </w:divBdr>
        </w:div>
        <w:div w:id="405424194">
          <w:marLeft w:val="0"/>
          <w:marRight w:val="0"/>
          <w:marTop w:val="0"/>
          <w:marBottom w:val="0"/>
          <w:divBdr>
            <w:top w:val="none" w:sz="0" w:space="0" w:color="auto"/>
            <w:left w:val="none" w:sz="0" w:space="0" w:color="auto"/>
            <w:bottom w:val="none" w:sz="0" w:space="0" w:color="auto"/>
            <w:right w:val="none" w:sz="0" w:space="0" w:color="auto"/>
          </w:divBdr>
        </w:div>
        <w:div w:id="412555095">
          <w:marLeft w:val="0"/>
          <w:marRight w:val="0"/>
          <w:marTop w:val="0"/>
          <w:marBottom w:val="0"/>
          <w:divBdr>
            <w:top w:val="none" w:sz="0" w:space="0" w:color="auto"/>
            <w:left w:val="none" w:sz="0" w:space="0" w:color="auto"/>
            <w:bottom w:val="none" w:sz="0" w:space="0" w:color="auto"/>
            <w:right w:val="none" w:sz="0" w:space="0" w:color="auto"/>
          </w:divBdr>
        </w:div>
        <w:div w:id="583222249">
          <w:marLeft w:val="0"/>
          <w:marRight w:val="0"/>
          <w:marTop w:val="0"/>
          <w:marBottom w:val="0"/>
          <w:divBdr>
            <w:top w:val="none" w:sz="0" w:space="0" w:color="auto"/>
            <w:left w:val="none" w:sz="0" w:space="0" w:color="auto"/>
            <w:bottom w:val="none" w:sz="0" w:space="0" w:color="auto"/>
            <w:right w:val="none" w:sz="0" w:space="0" w:color="auto"/>
          </w:divBdr>
        </w:div>
        <w:div w:id="857541856">
          <w:marLeft w:val="0"/>
          <w:marRight w:val="0"/>
          <w:marTop w:val="0"/>
          <w:marBottom w:val="0"/>
          <w:divBdr>
            <w:top w:val="none" w:sz="0" w:space="0" w:color="auto"/>
            <w:left w:val="none" w:sz="0" w:space="0" w:color="auto"/>
            <w:bottom w:val="none" w:sz="0" w:space="0" w:color="auto"/>
            <w:right w:val="none" w:sz="0" w:space="0" w:color="auto"/>
          </w:divBdr>
        </w:div>
        <w:div w:id="1273128231">
          <w:marLeft w:val="0"/>
          <w:marRight w:val="0"/>
          <w:marTop w:val="0"/>
          <w:marBottom w:val="0"/>
          <w:divBdr>
            <w:top w:val="none" w:sz="0" w:space="0" w:color="auto"/>
            <w:left w:val="none" w:sz="0" w:space="0" w:color="auto"/>
            <w:bottom w:val="none" w:sz="0" w:space="0" w:color="auto"/>
            <w:right w:val="none" w:sz="0" w:space="0" w:color="auto"/>
          </w:divBdr>
        </w:div>
        <w:div w:id="1518694118">
          <w:marLeft w:val="0"/>
          <w:marRight w:val="0"/>
          <w:marTop w:val="0"/>
          <w:marBottom w:val="0"/>
          <w:divBdr>
            <w:top w:val="none" w:sz="0" w:space="0" w:color="auto"/>
            <w:left w:val="none" w:sz="0" w:space="0" w:color="auto"/>
            <w:bottom w:val="none" w:sz="0" w:space="0" w:color="auto"/>
            <w:right w:val="none" w:sz="0" w:space="0" w:color="auto"/>
          </w:divBdr>
        </w:div>
        <w:div w:id="1688676905">
          <w:marLeft w:val="0"/>
          <w:marRight w:val="0"/>
          <w:marTop w:val="0"/>
          <w:marBottom w:val="0"/>
          <w:divBdr>
            <w:top w:val="none" w:sz="0" w:space="0" w:color="auto"/>
            <w:left w:val="none" w:sz="0" w:space="0" w:color="auto"/>
            <w:bottom w:val="none" w:sz="0" w:space="0" w:color="auto"/>
            <w:right w:val="none" w:sz="0" w:space="0" w:color="auto"/>
          </w:divBdr>
        </w:div>
        <w:div w:id="1742210359">
          <w:marLeft w:val="0"/>
          <w:marRight w:val="0"/>
          <w:marTop w:val="0"/>
          <w:marBottom w:val="0"/>
          <w:divBdr>
            <w:top w:val="none" w:sz="0" w:space="0" w:color="auto"/>
            <w:left w:val="none" w:sz="0" w:space="0" w:color="auto"/>
            <w:bottom w:val="none" w:sz="0" w:space="0" w:color="auto"/>
            <w:right w:val="none" w:sz="0" w:space="0" w:color="auto"/>
          </w:divBdr>
        </w:div>
        <w:div w:id="1770663215">
          <w:marLeft w:val="0"/>
          <w:marRight w:val="0"/>
          <w:marTop w:val="0"/>
          <w:marBottom w:val="0"/>
          <w:divBdr>
            <w:top w:val="none" w:sz="0" w:space="0" w:color="auto"/>
            <w:left w:val="none" w:sz="0" w:space="0" w:color="auto"/>
            <w:bottom w:val="none" w:sz="0" w:space="0" w:color="auto"/>
            <w:right w:val="none" w:sz="0" w:space="0" w:color="auto"/>
          </w:divBdr>
        </w:div>
        <w:div w:id="1850370985">
          <w:marLeft w:val="0"/>
          <w:marRight w:val="0"/>
          <w:marTop w:val="0"/>
          <w:marBottom w:val="0"/>
          <w:divBdr>
            <w:top w:val="none" w:sz="0" w:space="0" w:color="auto"/>
            <w:left w:val="none" w:sz="0" w:space="0" w:color="auto"/>
            <w:bottom w:val="none" w:sz="0" w:space="0" w:color="auto"/>
            <w:right w:val="none" w:sz="0" w:space="0" w:color="auto"/>
          </w:divBdr>
        </w:div>
        <w:div w:id="1854806534">
          <w:marLeft w:val="0"/>
          <w:marRight w:val="0"/>
          <w:marTop w:val="0"/>
          <w:marBottom w:val="0"/>
          <w:divBdr>
            <w:top w:val="none" w:sz="0" w:space="0" w:color="auto"/>
            <w:left w:val="none" w:sz="0" w:space="0" w:color="auto"/>
            <w:bottom w:val="none" w:sz="0" w:space="0" w:color="auto"/>
            <w:right w:val="none" w:sz="0" w:space="0" w:color="auto"/>
          </w:divBdr>
        </w:div>
        <w:div w:id="1874339193">
          <w:marLeft w:val="0"/>
          <w:marRight w:val="0"/>
          <w:marTop w:val="0"/>
          <w:marBottom w:val="0"/>
          <w:divBdr>
            <w:top w:val="none" w:sz="0" w:space="0" w:color="auto"/>
            <w:left w:val="none" w:sz="0" w:space="0" w:color="auto"/>
            <w:bottom w:val="none" w:sz="0" w:space="0" w:color="auto"/>
            <w:right w:val="none" w:sz="0" w:space="0" w:color="auto"/>
          </w:divBdr>
        </w:div>
        <w:div w:id="1907032730">
          <w:marLeft w:val="0"/>
          <w:marRight w:val="0"/>
          <w:marTop w:val="0"/>
          <w:marBottom w:val="0"/>
          <w:divBdr>
            <w:top w:val="none" w:sz="0" w:space="0" w:color="auto"/>
            <w:left w:val="none" w:sz="0" w:space="0" w:color="auto"/>
            <w:bottom w:val="none" w:sz="0" w:space="0" w:color="auto"/>
            <w:right w:val="none" w:sz="0" w:space="0" w:color="auto"/>
          </w:divBdr>
        </w:div>
        <w:div w:id="1921018769">
          <w:marLeft w:val="0"/>
          <w:marRight w:val="0"/>
          <w:marTop w:val="0"/>
          <w:marBottom w:val="0"/>
          <w:divBdr>
            <w:top w:val="none" w:sz="0" w:space="0" w:color="auto"/>
            <w:left w:val="none" w:sz="0" w:space="0" w:color="auto"/>
            <w:bottom w:val="none" w:sz="0" w:space="0" w:color="auto"/>
            <w:right w:val="none" w:sz="0" w:space="0" w:color="auto"/>
          </w:divBdr>
        </w:div>
      </w:divsChild>
    </w:div>
    <w:div w:id="1285387774">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211009">
      <w:bodyDiv w:val="1"/>
      <w:marLeft w:val="0"/>
      <w:marRight w:val="0"/>
      <w:marTop w:val="0"/>
      <w:marBottom w:val="0"/>
      <w:divBdr>
        <w:top w:val="none" w:sz="0" w:space="0" w:color="auto"/>
        <w:left w:val="none" w:sz="0" w:space="0" w:color="auto"/>
        <w:bottom w:val="none" w:sz="0" w:space="0" w:color="auto"/>
        <w:right w:val="none" w:sz="0" w:space="0" w:color="auto"/>
      </w:divBdr>
    </w:div>
    <w:div w:id="1306935120">
      <w:bodyDiv w:val="1"/>
      <w:marLeft w:val="0"/>
      <w:marRight w:val="0"/>
      <w:marTop w:val="0"/>
      <w:marBottom w:val="0"/>
      <w:divBdr>
        <w:top w:val="none" w:sz="0" w:space="0" w:color="auto"/>
        <w:left w:val="none" w:sz="0" w:space="0" w:color="auto"/>
        <w:bottom w:val="none" w:sz="0" w:space="0" w:color="auto"/>
        <w:right w:val="none" w:sz="0" w:space="0" w:color="auto"/>
      </w:divBdr>
    </w:div>
    <w:div w:id="1307007692">
      <w:bodyDiv w:val="1"/>
      <w:marLeft w:val="0"/>
      <w:marRight w:val="0"/>
      <w:marTop w:val="0"/>
      <w:marBottom w:val="0"/>
      <w:divBdr>
        <w:top w:val="none" w:sz="0" w:space="0" w:color="auto"/>
        <w:left w:val="none" w:sz="0" w:space="0" w:color="auto"/>
        <w:bottom w:val="none" w:sz="0" w:space="0" w:color="auto"/>
        <w:right w:val="none" w:sz="0" w:space="0" w:color="auto"/>
      </w:divBdr>
    </w:div>
    <w:div w:id="1311982559">
      <w:bodyDiv w:val="1"/>
      <w:marLeft w:val="0"/>
      <w:marRight w:val="0"/>
      <w:marTop w:val="0"/>
      <w:marBottom w:val="0"/>
      <w:divBdr>
        <w:top w:val="none" w:sz="0" w:space="0" w:color="auto"/>
        <w:left w:val="none" w:sz="0" w:space="0" w:color="auto"/>
        <w:bottom w:val="none" w:sz="0" w:space="0" w:color="auto"/>
        <w:right w:val="none" w:sz="0" w:space="0" w:color="auto"/>
      </w:divBdr>
    </w:div>
    <w:div w:id="1340694775">
      <w:bodyDiv w:val="1"/>
      <w:marLeft w:val="0"/>
      <w:marRight w:val="0"/>
      <w:marTop w:val="0"/>
      <w:marBottom w:val="0"/>
      <w:divBdr>
        <w:top w:val="none" w:sz="0" w:space="0" w:color="auto"/>
        <w:left w:val="none" w:sz="0" w:space="0" w:color="auto"/>
        <w:bottom w:val="none" w:sz="0" w:space="0" w:color="auto"/>
        <w:right w:val="none" w:sz="0" w:space="0" w:color="auto"/>
      </w:divBdr>
    </w:div>
    <w:div w:id="1345673239">
      <w:bodyDiv w:val="1"/>
      <w:marLeft w:val="0"/>
      <w:marRight w:val="0"/>
      <w:marTop w:val="0"/>
      <w:marBottom w:val="0"/>
      <w:divBdr>
        <w:top w:val="none" w:sz="0" w:space="0" w:color="auto"/>
        <w:left w:val="none" w:sz="0" w:space="0" w:color="auto"/>
        <w:bottom w:val="none" w:sz="0" w:space="0" w:color="auto"/>
        <w:right w:val="none" w:sz="0" w:space="0" w:color="auto"/>
      </w:divBdr>
    </w:div>
    <w:div w:id="1348943238">
      <w:bodyDiv w:val="1"/>
      <w:marLeft w:val="0"/>
      <w:marRight w:val="0"/>
      <w:marTop w:val="0"/>
      <w:marBottom w:val="0"/>
      <w:divBdr>
        <w:top w:val="none" w:sz="0" w:space="0" w:color="auto"/>
        <w:left w:val="none" w:sz="0" w:space="0" w:color="auto"/>
        <w:bottom w:val="none" w:sz="0" w:space="0" w:color="auto"/>
        <w:right w:val="none" w:sz="0" w:space="0" w:color="auto"/>
      </w:divBdr>
    </w:div>
    <w:div w:id="1349408504">
      <w:bodyDiv w:val="1"/>
      <w:marLeft w:val="0"/>
      <w:marRight w:val="0"/>
      <w:marTop w:val="0"/>
      <w:marBottom w:val="0"/>
      <w:divBdr>
        <w:top w:val="none" w:sz="0" w:space="0" w:color="auto"/>
        <w:left w:val="none" w:sz="0" w:space="0" w:color="auto"/>
        <w:bottom w:val="none" w:sz="0" w:space="0" w:color="auto"/>
        <w:right w:val="none" w:sz="0" w:space="0" w:color="auto"/>
      </w:divBdr>
    </w:div>
    <w:div w:id="1351296137">
      <w:bodyDiv w:val="1"/>
      <w:marLeft w:val="0"/>
      <w:marRight w:val="0"/>
      <w:marTop w:val="0"/>
      <w:marBottom w:val="0"/>
      <w:divBdr>
        <w:top w:val="none" w:sz="0" w:space="0" w:color="auto"/>
        <w:left w:val="none" w:sz="0" w:space="0" w:color="auto"/>
        <w:bottom w:val="none" w:sz="0" w:space="0" w:color="auto"/>
        <w:right w:val="none" w:sz="0" w:space="0" w:color="auto"/>
      </w:divBdr>
    </w:div>
    <w:div w:id="1358118867">
      <w:bodyDiv w:val="1"/>
      <w:marLeft w:val="0"/>
      <w:marRight w:val="0"/>
      <w:marTop w:val="0"/>
      <w:marBottom w:val="0"/>
      <w:divBdr>
        <w:top w:val="none" w:sz="0" w:space="0" w:color="auto"/>
        <w:left w:val="none" w:sz="0" w:space="0" w:color="auto"/>
        <w:bottom w:val="none" w:sz="0" w:space="0" w:color="auto"/>
        <w:right w:val="none" w:sz="0" w:space="0" w:color="auto"/>
      </w:divBdr>
    </w:div>
    <w:div w:id="1366904684">
      <w:bodyDiv w:val="1"/>
      <w:marLeft w:val="0"/>
      <w:marRight w:val="0"/>
      <w:marTop w:val="0"/>
      <w:marBottom w:val="0"/>
      <w:divBdr>
        <w:top w:val="none" w:sz="0" w:space="0" w:color="auto"/>
        <w:left w:val="none" w:sz="0" w:space="0" w:color="auto"/>
        <w:bottom w:val="none" w:sz="0" w:space="0" w:color="auto"/>
        <w:right w:val="none" w:sz="0" w:space="0" w:color="auto"/>
      </w:divBdr>
    </w:div>
    <w:div w:id="1373579778">
      <w:bodyDiv w:val="1"/>
      <w:marLeft w:val="0"/>
      <w:marRight w:val="0"/>
      <w:marTop w:val="0"/>
      <w:marBottom w:val="0"/>
      <w:divBdr>
        <w:top w:val="none" w:sz="0" w:space="0" w:color="auto"/>
        <w:left w:val="none" w:sz="0" w:space="0" w:color="auto"/>
        <w:bottom w:val="none" w:sz="0" w:space="0" w:color="auto"/>
        <w:right w:val="none" w:sz="0" w:space="0" w:color="auto"/>
      </w:divBdr>
    </w:div>
    <w:div w:id="1373966421">
      <w:bodyDiv w:val="1"/>
      <w:marLeft w:val="0"/>
      <w:marRight w:val="0"/>
      <w:marTop w:val="0"/>
      <w:marBottom w:val="0"/>
      <w:divBdr>
        <w:top w:val="none" w:sz="0" w:space="0" w:color="auto"/>
        <w:left w:val="none" w:sz="0" w:space="0" w:color="auto"/>
        <w:bottom w:val="none" w:sz="0" w:space="0" w:color="auto"/>
        <w:right w:val="none" w:sz="0" w:space="0" w:color="auto"/>
      </w:divBdr>
    </w:div>
    <w:div w:id="1379740822">
      <w:bodyDiv w:val="1"/>
      <w:marLeft w:val="0"/>
      <w:marRight w:val="0"/>
      <w:marTop w:val="0"/>
      <w:marBottom w:val="0"/>
      <w:divBdr>
        <w:top w:val="none" w:sz="0" w:space="0" w:color="auto"/>
        <w:left w:val="none" w:sz="0" w:space="0" w:color="auto"/>
        <w:bottom w:val="none" w:sz="0" w:space="0" w:color="auto"/>
        <w:right w:val="none" w:sz="0" w:space="0" w:color="auto"/>
      </w:divBdr>
    </w:div>
    <w:div w:id="1384524126">
      <w:bodyDiv w:val="1"/>
      <w:marLeft w:val="0"/>
      <w:marRight w:val="0"/>
      <w:marTop w:val="0"/>
      <w:marBottom w:val="0"/>
      <w:divBdr>
        <w:top w:val="none" w:sz="0" w:space="0" w:color="auto"/>
        <w:left w:val="none" w:sz="0" w:space="0" w:color="auto"/>
        <w:bottom w:val="none" w:sz="0" w:space="0" w:color="auto"/>
        <w:right w:val="none" w:sz="0" w:space="0" w:color="auto"/>
      </w:divBdr>
    </w:div>
    <w:div w:id="1403092517">
      <w:bodyDiv w:val="1"/>
      <w:marLeft w:val="0"/>
      <w:marRight w:val="0"/>
      <w:marTop w:val="0"/>
      <w:marBottom w:val="0"/>
      <w:divBdr>
        <w:top w:val="none" w:sz="0" w:space="0" w:color="auto"/>
        <w:left w:val="none" w:sz="0" w:space="0" w:color="auto"/>
        <w:bottom w:val="none" w:sz="0" w:space="0" w:color="auto"/>
        <w:right w:val="none" w:sz="0" w:space="0" w:color="auto"/>
      </w:divBdr>
    </w:div>
    <w:div w:id="1405491045">
      <w:bodyDiv w:val="1"/>
      <w:marLeft w:val="0"/>
      <w:marRight w:val="0"/>
      <w:marTop w:val="0"/>
      <w:marBottom w:val="0"/>
      <w:divBdr>
        <w:top w:val="none" w:sz="0" w:space="0" w:color="auto"/>
        <w:left w:val="none" w:sz="0" w:space="0" w:color="auto"/>
        <w:bottom w:val="none" w:sz="0" w:space="0" w:color="auto"/>
        <w:right w:val="none" w:sz="0" w:space="0" w:color="auto"/>
      </w:divBdr>
    </w:div>
    <w:div w:id="1410497053">
      <w:bodyDiv w:val="1"/>
      <w:marLeft w:val="0"/>
      <w:marRight w:val="0"/>
      <w:marTop w:val="0"/>
      <w:marBottom w:val="0"/>
      <w:divBdr>
        <w:top w:val="none" w:sz="0" w:space="0" w:color="auto"/>
        <w:left w:val="none" w:sz="0" w:space="0" w:color="auto"/>
        <w:bottom w:val="none" w:sz="0" w:space="0" w:color="auto"/>
        <w:right w:val="none" w:sz="0" w:space="0" w:color="auto"/>
      </w:divBdr>
    </w:div>
    <w:div w:id="1425229767">
      <w:bodyDiv w:val="1"/>
      <w:marLeft w:val="0"/>
      <w:marRight w:val="0"/>
      <w:marTop w:val="0"/>
      <w:marBottom w:val="0"/>
      <w:divBdr>
        <w:top w:val="none" w:sz="0" w:space="0" w:color="auto"/>
        <w:left w:val="none" w:sz="0" w:space="0" w:color="auto"/>
        <w:bottom w:val="none" w:sz="0" w:space="0" w:color="auto"/>
        <w:right w:val="none" w:sz="0" w:space="0" w:color="auto"/>
      </w:divBdr>
    </w:div>
    <w:div w:id="1437629464">
      <w:bodyDiv w:val="1"/>
      <w:marLeft w:val="0"/>
      <w:marRight w:val="0"/>
      <w:marTop w:val="0"/>
      <w:marBottom w:val="0"/>
      <w:divBdr>
        <w:top w:val="none" w:sz="0" w:space="0" w:color="auto"/>
        <w:left w:val="none" w:sz="0" w:space="0" w:color="auto"/>
        <w:bottom w:val="none" w:sz="0" w:space="0" w:color="auto"/>
        <w:right w:val="none" w:sz="0" w:space="0" w:color="auto"/>
      </w:divBdr>
    </w:div>
    <w:div w:id="1438018842">
      <w:bodyDiv w:val="1"/>
      <w:marLeft w:val="0"/>
      <w:marRight w:val="0"/>
      <w:marTop w:val="0"/>
      <w:marBottom w:val="0"/>
      <w:divBdr>
        <w:top w:val="none" w:sz="0" w:space="0" w:color="auto"/>
        <w:left w:val="none" w:sz="0" w:space="0" w:color="auto"/>
        <w:bottom w:val="none" w:sz="0" w:space="0" w:color="auto"/>
        <w:right w:val="none" w:sz="0" w:space="0" w:color="auto"/>
      </w:divBdr>
    </w:div>
    <w:div w:id="1442608964">
      <w:bodyDiv w:val="1"/>
      <w:marLeft w:val="0"/>
      <w:marRight w:val="0"/>
      <w:marTop w:val="0"/>
      <w:marBottom w:val="0"/>
      <w:divBdr>
        <w:top w:val="none" w:sz="0" w:space="0" w:color="auto"/>
        <w:left w:val="none" w:sz="0" w:space="0" w:color="auto"/>
        <w:bottom w:val="none" w:sz="0" w:space="0" w:color="auto"/>
        <w:right w:val="none" w:sz="0" w:space="0" w:color="auto"/>
      </w:divBdr>
    </w:div>
    <w:div w:id="1446457937">
      <w:bodyDiv w:val="1"/>
      <w:marLeft w:val="0"/>
      <w:marRight w:val="0"/>
      <w:marTop w:val="0"/>
      <w:marBottom w:val="0"/>
      <w:divBdr>
        <w:top w:val="none" w:sz="0" w:space="0" w:color="auto"/>
        <w:left w:val="none" w:sz="0" w:space="0" w:color="auto"/>
        <w:bottom w:val="none" w:sz="0" w:space="0" w:color="auto"/>
        <w:right w:val="none" w:sz="0" w:space="0" w:color="auto"/>
      </w:divBdr>
    </w:div>
    <w:div w:id="1449199412">
      <w:bodyDiv w:val="1"/>
      <w:marLeft w:val="0"/>
      <w:marRight w:val="0"/>
      <w:marTop w:val="0"/>
      <w:marBottom w:val="0"/>
      <w:divBdr>
        <w:top w:val="none" w:sz="0" w:space="0" w:color="auto"/>
        <w:left w:val="none" w:sz="0" w:space="0" w:color="auto"/>
        <w:bottom w:val="none" w:sz="0" w:space="0" w:color="auto"/>
        <w:right w:val="none" w:sz="0" w:space="0" w:color="auto"/>
      </w:divBdr>
    </w:div>
    <w:div w:id="1461459289">
      <w:bodyDiv w:val="1"/>
      <w:marLeft w:val="0"/>
      <w:marRight w:val="0"/>
      <w:marTop w:val="0"/>
      <w:marBottom w:val="0"/>
      <w:divBdr>
        <w:top w:val="none" w:sz="0" w:space="0" w:color="auto"/>
        <w:left w:val="none" w:sz="0" w:space="0" w:color="auto"/>
        <w:bottom w:val="none" w:sz="0" w:space="0" w:color="auto"/>
        <w:right w:val="none" w:sz="0" w:space="0" w:color="auto"/>
      </w:divBdr>
    </w:div>
    <w:div w:id="1462921366">
      <w:bodyDiv w:val="1"/>
      <w:marLeft w:val="0"/>
      <w:marRight w:val="0"/>
      <w:marTop w:val="0"/>
      <w:marBottom w:val="0"/>
      <w:divBdr>
        <w:top w:val="none" w:sz="0" w:space="0" w:color="auto"/>
        <w:left w:val="none" w:sz="0" w:space="0" w:color="auto"/>
        <w:bottom w:val="none" w:sz="0" w:space="0" w:color="auto"/>
        <w:right w:val="none" w:sz="0" w:space="0" w:color="auto"/>
      </w:divBdr>
    </w:div>
    <w:div w:id="1465736214">
      <w:bodyDiv w:val="1"/>
      <w:marLeft w:val="0"/>
      <w:marRight w:val="0"/>
      <w:marTop w:val="0"/>
      <w:marBottom w:val="0"/>
      <w:divBdr>
        <w:top w:val="none" w:sz="0" w:space="0" w:color="auto"/>
        <w:left w:val="none" w:sz="0" w:space="0" w:color="auto"/>
        <w:bottom w:val="none" w:sz="0" w:space="0" w:color="auto"/>
        <w:right w:val="none" w:sz="0" w:space="0" w:color="auto"/>
      </w:divBdr>
    </w:div>
    <w:div w:id="1466465925">
      <w:bodyDiv w:val="1"/>
      <w:marLeft w:val="0"/>
      <w:marRight w:val="0"/>
      <w:marTop w:val="0"/>
      <w:marBottom w:val="0"/>
      <w:divBdr>
        <w:top w:val="none" w:sz="0" w:space="0" w:color="auto"/>
        <w:left w:val="none" w:sz="0" w:space="0" w:color="auto"/>
        <w:bottom w:val="none" w:sz="0" w:space="0" w:color="auto"/>
        <w:right w:val="none" w:sz="0" w:space="0" w:color="auto"/>
      </w:divBdr>
    </w:div>
    <w:div w:id="1481188129">
      <w:bodyDiv w:val="1"/>
      <w:marLeft w:val="0"/>
      <w:marRight w:val="0"/>
      <w:marTop w:val="0"/>
      <w:marBottom w:val="0"/>
      <w:divBdr>
        <w:top w:val="none" w:sz="0" w:space="0" w:color="auto"/>
        <w:left w:val="none" w:sz="0" w:space="0" w:color="auto"/>
        <w:bottom w:val="none" w:sz="0" w:space="0" w:color="auto"/>
        <w:right w:val="none" w:sz="0" w:space="0" w:color="auto"/>
      </w:divBdr>
    </w:div>
    <w:div w:id="1484277275">
      <w:bodyDiv w:val="1"/>
      <w:marLeft w:val="0"/>
      <w:marRight w:val="0"/>
      <w:marTop w:val="0"/>
      <w:marBottom w:val="0"/>
      <w:divBdr>
        <w:top w:val="none" w:sz="0" w:space="0" w:color="auto"/>
        <w:left w:val="none" w:sz="0" w:space="0" w:color="auto"/>
        <w:bottom w:val="none" w:sz="0" w:space="0" w:color="auto"/>
        <w:right w:val="none" w:sz="0" w:space="0" w:color="auto"/>
      </w:divBdr>
    </w:div>
    <w:div w:id="1484470706">
      <w:bodyDiv w:val="1"/>
      <w:marLeft w:val="0"/>
      <w:marRight w:val="0"/>
      <w:marTop w:val="0"/>
      <w:marBottom w:val="0"/>
      <w:divBdr>
        <w:top w:val="none" w:sz="0" w:space="0" w:color="auto"/>
        <w:left w:val="none" w:sz="0" w:space="0" w:color="auto"/>
        <w:bottom w:val="none" w:sz="0" w:space="0" w:color="auto"/>
        <w:right w:val="none" w:sz="0" w:space="0" w:color="auto"/>
      </w:divBdr>
    </w:div>
    <w:div w:id="1485048603">
      <w:bodyDiv w:val="1"/>
      <w:marLeft w:val="0"/>
      <w:marRight w:val="0"/>
      <w:marTop w:val="0"/>
      <w:marBottom w:val="0"/>
      <w:divBdr>
        <w:top w:val="none" w:sz="0" w:space="0" w:color="auto"/>
        <w:left w:val="none" w:sz="0" w:space="0" w:color="auto"/>
        <w:bottom w:val="none" w:sz="0" w:space="0" w:color="auto"/>
        <w:right w:val="none" w:sz="0" w:space="0" w:color="auto"/>
      </w:divBdr>
    </w:div>
    <w:div w:id="1497309283">
      <w:bodyDiv w:val="1"/>
      <w:marLeft w:val="0"/>
      <w:marRight w:val="0"/>
      <w:marTop w:val="0"/>
      <w:marBottom w:val="0"/>
      <w:divBdr>
        <w:top w:val="none" w:sz="0" w:space="0" w:color="auto"/>
        <w:left w:val="none" w:sz="0" w:space="0" w:color="auto"/>
        <w:bottom w:val="none" w:sz="0" w:space="0" w:color="auto"/>
        <w:right w:val="none" w:sz="0" w:space="0" w:color="auto"/>
      </w:divBdr>
    </w:div>
    <w:div w:id="1502087877">
      <w:bodyDiv w:val="1"/>
      <w:marLeft w:val="0"/>
      <w:marRight w:val="0"/>
      <w:marTop w:val="0"/>
      <w:marBottom w:val="0"/>
      <w:divBdr>
        <w:top w:val="none" w:sz="0" w:space="0" w:color="auto"/>
        <w:left w:val="none" w:sz="0" w:space="0" w:color="auto"/>
        <w:bottom w:val="none" w:sz="0" w:space="0" w:color="auto"/>
        <w:right w:val="none" w:sz="0" w:space="0" w:color="auto"/>
      </w:divBdr>
    </w:div>
    <w:div w:id="1532108732">
      <w:bodyDiv w:val="1"/>
      <w:marLeft w:val="0"/>
      <w:marRight w:val="0"/>
      <w:marTop w:val="0"/>
      <w:marBottom w:val="0"/>
      <w:divBdr>
        <w:top w:val="none" w:sz="0" w:space="0" w:color="auto"/>
        <w:left w:val="none" w:sz="0" w:space="0" w:color="auto"/>
        <w:bottom w:val="none" w:sz="0" w:space="0" w:color="auto"/>
        <w:right w:val="none" w:sz="0" w:space="0" w:color="auto"/>
      </w:divBdr>
    </w:div>
    <w:div w:id="1543518945">
      <w:bodyDiv w:val="1"/>
      <w:marLeft w:val="0"/>
      <w:marRight w:val="0"/>
      <w:marTop w:val="0"/>
      <w:marBottom w:val="0"/>
      <w:divBdr>
        <w:top w:val="none" w:sz="0" w:space="0" w:color="auto"/>
        <w:left w:val="none" w:sz="0" w:space="0" w:color="auto"/>
        <w:bottom w:val="none" w:sz="0" w:space="0" w:color="auto"/>
        <w:right w:val="none" w:sz="0" w:space="0" w:color="auto"/>
      </w:divBdr>
    </w:div>
    <w:div w:id="1569344270">
      <w:bodyDiv w:val="1"/>
      <w:marLeft w:val="0"/>
      <w:marRight w:val="0"/>
      <w:marTop w:val="0"/>
      <w:marBottom w:val="0"/>
      <w:divBdr>
        <w:top w:val="none" w:sz="0" w:space="0" w:color="auto"/>
        <w:left w:val="none" w:sz="0" w:space="0" w:color="auto"/>
        <w:bottom w:val="none" w:sz="0" w:space="0" w:color="auto"/>
        <w:right w:val="none" w:sz="0" w:space="0" w:color="auto"/>
      </w:divBdr>
    </w:div>
    <w:div w:id="1585214579">
      <w:bodyDiv w:val="1"/>
      <w:marLeft w:val="0"/>
      <w:marRight w:val="0"/>
      <w:marTop w:val="0"/>
      <w:marBottom w:val="0"/>
      <w:divBdr>
        <w:top w:val="none" w:sz="0" w:space="0" w:color="auto"/>
        <w:left w:val="none" w:sz="0" w:space="0" w:color="auto"/>
        <w:bottom w:val="none" w:sz="0" w:space="0" w:color="auto"/>
        <w:right w:val="none" w:sz="0" w:space="0" w:color="auto"/>
      </w:divBdr>
    </w:div>
    <w:div w:id="1590696791">
      <w:bodyDiv w:val="1"/>
      <w:marLeft w:val="0"/>
      <w:marRight w:val="0"/>
      <w:marTop w:val="0"/>
      <w:marBottom w:val="0"/>
      <w:divBdr>
        <w:top w:val="none" w:sz="0" w:space="0" w:color="auto"/>
        <w:left w:val="none" w:sz="0" w:space="0" w:color="auto"/>
        <w:bottom w:val="none" w:sz="0" w:space="0" w:color="auto"/>
        <w:right w:val="none" w:sz="0" w:space="0" w:color="auto"/>
      </w:divBdr>
    </w:div>
    <w:div w:id="1611932270">
      <w:bodyDiv w:val="1"/>
      <w:marLeft w:val="0"/>
      <w:marRight w:val="0"/>
      <w:marTop w:val="0"/>
      <w:marBottom w:val="0"/>
      <w:divBdr>
        <w:top w:val="none" w:sz="0" w:space="0" w:color="auto"/>
        <w:left w:val="none" w:sz="0" w:space="0" w:color="auto"/>
        <w:bottom w:val="none" w:sz="0" w:space="0" w:color="auto"/>
        <w:right w:val="none" w:sz="0" w:space="0" w:color="auto"/>
      </w:divBdr>
      <w:divsChild>
        <w:div w:id="198588518">
          <w:marLeft w:val="0"/>
          <w:marRight w:val="0"/>
          <w:marTop w:val="0"/>
          <w:marBottom w:val="0"/>
          <w:divBdr>
            <w:top w:val="none" w:sz="0" w:space="0" w:color="auto"/>
            <w:left w:val="none" w:sz="0" w:space="0" w:color="auto"/>
            <w:bottom w:val="none" w:sz="0" w:space="0" w:color="auto"/>
            <w:right w:val="none" w:sz="0" w:space="0" w:color="auto"/>
          </w:divBdr>
        </w:div>
        <w:div w:id="925727894">
          <w:marLeft w:val="0"/>
          <w:marRight w:val="0"/>
          <w:marTop w:val="0"/>
          <w:marBottom w:val="0"/>
          <w:divBdr>
            <w:top w:val="none" w:sz="0" w:space="0" w:color="auto"/>
            <w:left w:val="none" w:sz="0" w:space="0" w:color="auto"/>
            <w:bottom w:val="none" w:sz="0" w:space="0" w:color="auto"/>
            <w:right w:val="none" w:sz="0" w:space="0" w:color="auto"/>
          </w:divBdr>
        </w:div>
        <w:div w:id="998851554">
          <w:marLeft w:val="0"/>
          <w:marRight w:val="0"/>
          <w:marTop w:val="0"/>
          <w:marBottom w:val="0"/>
          <w:divBdr>
            <w:top w:val="none" w:sz="0" w:space="0" w:color="auto"/>
            <w:left w:val="none" w:sz="0" w:space="0" w:color="auto"/>
            <w:bottom w:val="none" w:sz="0" w:space="0" w:color="auto"/>
            <w:right w:val="none" w:sz="0" w:space="0" w:color="auto"/>
          </w:divBdr>
        </w:div>
        <w:div w:id="1132866349">
          <w:marLeft w:val="0"/>
          <w:marRight w:val="0"/>
          <w:marTop w:val="0"/>
          <w:marBottom w:val="0"/>
          <w:divBdr>
            <w:top w:val="none" w:sz="0" w:space="0" w:color="auto"/>
            <w:left w:val="none" w:sz="0" w:space="0" w:color="auto"/>
            <w:bottom w:val="none" w:sz="0" w:space="0" w:color="auto"/>
            <w:right w:val="none" w:sz="0" w:space="0" w:color="auto"/>
          </w:divBdr>
        </w:div>
      </w:divsChild>
    </w:div>
    <w:div w:id="1614749503">
      <w:bodyDiv w:val="1"/>
      <w:marLeft w:val="0"/>
      <w:marRight w:val="0"/>
      <w:marTop w:val="0"/>
      <w:marBottom w:val="0"/>
      <w:divBdr>
        <w:top w:val="none" w:sz="0" w:space="0" w:color="auto"/>
        <w:left w:val="none" w:sz="0" w:space="0" w:color="auto"/>
        <w:bottom w:val="none" w:sz="0" w:space="0" w:color="auto"/>
        <w:right w:val="none" w:sz="0" w:space="0" w:color="auto"/>
      </w:divBdr>
    </w:div>
    <w:div w:id="1624313202">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03304">
      <w:bodyDiv w:val="1"/>
      <w:marLeft w:val="0"/>
      <w:marRight w:val="0"/>
      <w:marTop w:val="0"/>
      <w:marBottom w:val="0"/>
      <w:divBdr>
        <w:top w:val="none" w:sz="0" w:space="0" w:color="auto"/>
        <w:left w:val="none" w:sz="0" w:space="0" w:color="auto"/>
        <w:bottom w:val="none" w:sz="0" w:space="0" w:color="auto"/>
        <w:right w:val="none" w:sz="0" w:space="0" w:color="auto"/>
      </w:divBdr>
    </w:div>
    <w:div w:id="1640765419">
      <w:bodyDiv w:val="1"/>
      <w:marLeft w:val="0"/>
      <w:marRight w:val="0"/>
      <w:marTop w:val="0"/>
      <w:marBottom w:val="0"/>
      <w:divBdr>
        <w:top w:val="none" w:sz="0" w:space="0" w:color="auto"/>
        <w:left w:val="none" w:sz="0" w:space="0" w:color="auto"/>
        <w:bottom w:val="none" w:sz="0" w:space="0" w:color="auto"/>
        <w:right w:val="none" w:sz="0" w:space="0" w:color="auto"/>
      </w:divBdr>
    </w:div>
    <w:div w:id="1642035644">
      <w:bodyDiv w:val="1"/>
      <w:marLeft w:val="0"/>
      <w:marRight w:val="0"/>
      <w:marTop w:val="0"/>
      <w:marBottom w:val="0"/>
      <w:divBdr>
        <w:top w:val="none" w:sz="0" w:space="0" w:color="auto"/>
        <w:left w:val="none" w:sz="0" w:space="0" w:color="auto"/>
        <w:bottom w:val="none" w:sz="0" w:space="0" w:color="auto"/>
        <w:right w:val="none" w:sz="0" w:space="0" w:color="auto"/>
      </w:divBdr>
    </w:div>
    <w:div w:id="1648128699">
      <w:bodyDiv w:val="1"/>
      <w:marLeft w:val="0"/>
      <w:marRight w:val="0"/>
      <w:marTop w:val="0"/>
      <w:marBottom w:val="0"/>
      <w:divBdr>
        <w:top w:val="none" w:sz="0" w:space="0" w:color="auto"/>
        <w:left w:val="none" w:sz="0" w:space="0" w:color="auto"/>
        <w:bottom w:val="none" w:sz="0" w:space="0" w:color="auto"/>
        <w:right w:val="none" w:sz="0" w:space="0" w:color="auto"/>
      </w:divBdr>
    </w:div>
    <w:div w:id="1653825407">
      <w:bodyDiv w:val="1"/>
      <w:marLeft w:val="0"/>
      <w:marRight w:val="0"/>
      <w:marTop w:val="0"/>
      <w:marBottom w:val="0"/>
      <w:divBdr>
        <w:top w:val="none" w:sz="0" w:space="0" w:color="auto"/>
        <w:left w:val="none" w:sz="0" w:space="0" w:color="auto"/>
        <w:bottom w:val="none" w:sz="0" w:space="0" w:color="auto"/>
        <w:right w:val="none" w:sz="0" w:space="0" w:color="auto"/>
      </w:divBdr>
    </w:div>
    <w:div w:id="1662923188">
      <w:bodyDiv w:val="1"/>
      <w:marLeft w:val="0"/>
      <w:marRight w:val="0"/>
      <w:marTop w:val="0"/>
      <w:marBottom w:val="0"/>
      <w:divBdr>
        <w:top w:val="none" w:sz="0" w:space="0" w:color="auto"/>
        <w:left w:val="none" w:sz="0" w:space="0" w:color="auto"/>
        <w:bottom w:val="none" w:sz="0" w:space="0" w:color="auto"/>
        <w:right w:val="none" w:sz="0" w:space="0" w:color="auto"/>
      </w:divBdr>
    </w:div>
    <w:div w:id="1675257313">
      <w:bodyDiv w:val="1"/>
      <w:marLeft w:val="0"/>
      <w:marRight w:val="0"/>
      <w:marTop w:val="0"/>
      <w:marBottom w:val="0"/>
      <w:divBdr>
        <w:top w:val="none" w:sz="0" w:space="0" w:color="auto"/>
        <w:left w:val="none" w:sz="0" w:space="0" w:color="auto"/>
        <w:bottom w:val="none" w:sz="0" w:space="0" w:color="auto"/>
        <w:right w:val="none" w:sz="0" w:space="0" w:color="auto"/>
      </w:divBdr>
    </w:div>
    <w:div w:id="1682200171">
      <w:bodyDiv w:val="1"/>
      <w:marLeft w:val="0"/>
      <w:marRight w:val="0"/>
      <w:marTop w:val="0"/>
      <w:marBottom w:val="0"/>
      <w:divBdr>
        <w:top w:val="none" w:sz="0" w:space="0" w:color="auto"/>
        <w:left w:val="none" w:sz="0" w:space="0" w:color="auto"/>
        <w:bottom w:val="none" w:sz="0" w:space="0" w:color="auto"/>
        <w:right w:val="none" w:sz="0" w:space="0" w:color="auto"/>
      </w:divBdr>
    </w:div>
    <w:div w:id="1683972493">
      <w:bodyDiv w:val="1"/>
      <w:marLeft w:val="0"/>
      <w:marRight w:val="0"/>
      <w:marTop w:val="0"/>
      <w:marBottom w:val="0"/>
      <w:divBdr>
        <w:top w:val="none" w:sz="0" w:space="0" w:color="auto"/>
        <w:left w:val="none" w:sz="0" w:space="0" w:color="auto"/>
        <w:bottom w:val="none" w:sz="0" w:space="0" w:color="auto"/>
        <w:right w:val="none" w:sz="0" w:space="0" w:color="auto"/>
      </w:divBdr>
    </w:div>
    <w:div w:id="1704792218">
      <w:bodyDiv w:val="1"/>
      <w:marLeft w:val="0"/>
      <w:marRight w:val="0"/>
      <w:marTop w:val="0"/>
      <w:marBottom w:val="0"/>
      <w:divBdr>
        <w:top w:val="none" w:sz="0" w:space="0" w:color="auto"/>
        <w:left w:val="none" w:sz="0" w:space="0" w:color="auto"/>
        <w:bottom w:val="none" w:sz="0" w:space="0" w:color="auto"/>
        <w:right w:val="none" w:sz="0" w:space="0" w:color="auto"/>
      </w:divBdr>
    </w:div>
    <w:div w:id="1705520754">
      <w:bodyDiv w:val="1"/>
      <w:marLeft w:val="0"/>
      <w:marRight w:val="0"/>
      <w:marTop w:val="0"/>
      <w:marBottom w:val="0"/>
      <w:divBdr>
        <w:top w:val="none" w:sz="0" w:space="0" w:color="auto"/>
        <w:left w:val="none" w:sz="0" w:space="0" w:color="auto"/>
        <w:bottom w:val="none" w:sz="0" w:space="0" w:color="auto"/>
        <w:right w:val="none" w:sz="0" w:space="0" w:color="auto"/>
      </w:divBdr>
    </w:div>
    <w:div w:id="1725367914">
      <w:bodyDiv w:val="1"/>
      <w:marLeft w:val="0"/>
      <w:marRight w:val="0"/>
      <w:marTop w:val="0"/>
      <w:marBottom w:val="0"/>
      <w:divBdr>
        <w:top w:val="none" w:sz="0" w:space="0" w:color="auto"/>
        <w:left w:val="none" w:sz="0" w:space="0" w:color="auto"/>
        <w:bottom w:val="none" w:sz="0" w:space="0" w:color="auto"/>
        <w:right w:val="none" w:sz="0" w:space="0" w:color="auto"/>
      </w:divBdr>
    </w:div>
    <w:div w:id="1727220434">
      <w:bodyDiv w:val="1"/>
      <w:marLeft w:val="0"/>
      <w:marRight w:val="0"/>
      <w:marTop w:val="0"/>
      <w:marBottom w:val="0"/>
      <w:divBdr>
        <w:top w:val="none" w:sz="0" w:space="0" w:color="auto"/>
        <w:left w:val="none" w:sz="0" w:space="0" w:color="auto"/>
        <w:bottom w:val="none" w:sz="0" w:space="0" w:color="auto"/>
        <w:right w:val="none" w:sz="0" w:space="0" w:color="auto"/>
      </w:divBdr>
    </w:div>
    <w:div w:id="1729644532">
      <w:bodyDiv w:val="1"/>
      <w:marLeft w:val="0"/>
      <w:marRight w:val="0"/>
      <w:marTop w:val="0"/>
      <w:marBottom w:val="0"/>
      <w:divBdr>
        <w:top w:val="none" w:sz="0" w:space="0" w:color="auto"/>
        <w:left w:val="none" w:sz="0" w:space="0" w:color="auto"/>
        <w:bottom w:val="none" w:sz="0" w:space="0" w:color="auto"/>
        <w:right w:val="none" w:sz="0" w:space="0" w:color="auto"/>
      </w:divBdr>
    </w:div>
    <w:div w:id="1734500540">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5030453">
      <w:bodyDiv w:val="1"/>
      <w:marLeft w:val="0"/>
      <w:marRight w:val="0"/>
      <w:marTop w:val="0"/>
      <w:marBottom w:val="0"/>
      <w:divBdr>
        <w:top w:val="none" w:sz="0" w:space="0" w:color="auto"/>
        <w:left w:val="none" w:sz="0" w:space="0" w:color="auto"/>
        <w:bottom w:val="none" w:sz="0" w:space="0" w:color="auto"/>
        <w:right w:val="none" w:sz="0" w:space="0" w:color="auto"/>
      </w:divBdr>
    </w:div>
    <w:div w:id="1764763375">
      <w:bodyDiv w:val="1"/>
      <w:marLeft w:val="0"/>
      <w:marRight w:val="0"/>
      <w:marTop w:val="0"/>
      <w:marBottom w:val="0"/>
      <w:divBdr>
        <w:top w:val="none" w:sz="0" w:space="0" w:color="auto"/>
        <w:left w:val="none" w:sz="0" w:space="0" w:color="auto"/>
        <w:bottom w:val="none" w:sz="0" w:space="0" w:color="auto"/>
        <w:right w:val="none" w:sz="0" w:space="0" w:color="auto"/>
      </w:divBdr>
    </w:div>
    <w:div w:id="1766222029">
      <w:bodyDiv w:val="1"/>
      <w:marLeft w:val="0"/>
      <w:marRight w:val="0"/>
      <w:marTop w:val="0"/>
      <w:marBottom w:val="0"/>
      <w:divBdr>
        <w:top w:val="none" w:sz="0" w:space="0" w:color="auto"/>
        <w:left w:val="none" w:sz="0" w:space="0" w:color="auto"/>
        <w:bottom w:val="none" w:sz="0" w:space="0" w:color="auto"/>
        <w:right w:val="none" w:sz="0" w:space="0" w:color="auto"/>
      </w:divBdr>
    </w:div>
    <w:div w:id="1783722390">
      <w:bodyDiv w:val="1"/>
      <w:marLeft w:val="0"/>
      <w:marRight w:val="0"/>
      <w:marTop w:val="0"/>
      <w:marBottom w:val="0"/>
      <w:divBdr>
        <w:top w:val="none" w:sz="0" w:space="0" w:color="auto"/>
        <w:left w:val="none" w:sz="0" w:space="0" w:color="auto"/>
        <w:bottom w:val="none" w:sz="0" w:space="0" w:color="auto"/>
        <w:right w:val="none" w:sz="0" w:space="0" w:color="auto"/>
      </w:divBdr>
    </w:div>
    <w:div w:id="1785415559">
      <w:bodyDiv w:val="1"/>
      <w:marLeft w:val="0"/>
      <w:marRight w:val="0"/>
      <w:marTop w:val="0"/>
      <w:marBottom w:val="0"/>
      <w:divBdr>
        <w:top w:val="none" w:sz="0" w:space="0" w:color="auto"/>
        <w:left w:val="none" w:sz="0" w:space="0" w:color="auto"/>
        <w:bottom w:val="none" w:sz="0" w:space="0" w:color="auto"/>
        <w:right w:val="none" w:sz="0" w:space="0" w:color="auto"/>
      </w:divBdr>
    </w:div>
    <w:div w:id="1785684710">
      <w:bodyDiv w:val="1"/>
      <w:marLeft w:val="0"/>
      <w:marRight w:val="0"/>
      <w:marTop w:val="0"/>
      <w:marBottom w:val="0"/>
      <w:divBdr>
        <w:top w:val="none" w:sz="0" w:space="0" w:color="auto"/>
        <w:left w:val="none" w:sz="0" w:space="0" w:color="auto"/>
        <w:bottom w:val="none" w:sz="0" w:space="0" w:color="auto"/>
        <w:right w:val="none" w:sz="0" w:space="0" w:color="auto"/>
      </w:divBdr>
    </w:div>
    <w:div w:id="1809855241">
      <w:bodyDiv w:val="1"/>
      <w:marLeft w:val="0"/>
      <w:marRight w:val="0"/>
      <w:marTop w:val="0"/>
      <w:marBottom w:val="0"/>
      <w:divBdr>
        <w:top w:val="none" w:sz="0" w:space="0" w:color="auto"/>
        <w:left w:val="none" w:sz="0" w:space="0" w:color="auto"/>
        <w:bottom w:val="none" w:sz="0" w:space="0" w:color="auto"/>
        <w:right w:val="none" w:sz="0" w:space="0" w:color="auto"/>
      </w:divBdr>
    </w:div>
    <w:div w:id="1834836620">
      <w:bodyDiv w:val="1"/>
      <w:marLeft w:val="0"/>
      <w:marRight w:val="0"/>
      <w:marTop w:val="0"/>
      <w:marBottom w:val="0"/>
      <w:divBdr>
        <w:top w:val="none" w:sz="0" w:space="0" w:color="auto"/>
        <w:left w:val="none" w:sz="0" w:space="0" w:color="auto"/>
        <w:bottom w:val="none" w:sz="0" w:space="0" w:color="auto"/>
        <w:right w:val="none" w:sz="0" w:space="0" w:color="auto"/>
      </w:divBdr>
    </w:div>
    <w:div w:id="1844007760">
      <w:bodyDiv w:val="1"/>
      <w:marLeft w:val="0"/>
      <w:marRight w:val="0"/>
      <w:marTop w:val="0"/>
      <w:marBottom w:val="0"/>
      <w:divBdr>
        <w:top w:val="none" w:sz="0" w:space="0" w:color="auto"/>
        <w:left w:val="none" w:sz="0" w:space="0" w:color="auto"/>
        <w:bottom w:val="none" w:sz="0" w:space="0" w:color="auto"/>
        <w:right w:val="none" w:sz="0" w:space="0" w:color="auto"/>
      </w:divBdr>
    </w:div>
    <w:div w:id="1847672072">
      <w:bodyDiv w:val="1"/>
      <w:marLeft w:val="0"/>
      <w:marRight w:val="0"/>
      <w:marTop w:val="0"/>
      <w:marBottom w:val="0"/>
      <w:divBdr>
        <w:top w:val="none" w:sz="0" w:space="0" w:color="auto"/>
        <w:left w:val="none" w:sz="0" w:space="0" w:color="auto"/>
        <w:bottom w:val="none" w:sz="0" w:space="0" w:color="auto"/>
        <w:right w:val="none" w:sz="0" w:space="0" w:color="auto"/>
      </w:divBdr>
      <w:divsChild>
        <w:div w:id="1650012366">
          <w:marLeft w:val="0"/>
          <w:marRight w:val="0"/>
          <w:marTop w:val="0"/>
          <w:marBottom w:val="0"/>
          <w:divBdr>
            <w:top w:val="none" w:sz="0" w:space="0" w:color="auto"/>
            <w:left w:val="none" w:sz="0" w:space="0" w:color="auto"/>
            <w:bottom w:val="none" w:sz="0" w:space="0" w:color="auto"/>
            <w:right w:val="none" w:sz="0" w:space="0" w:color="auto"/>
          </w:divBdr>
          <w:divsChild>
            <w:div w:id="1041977145">
              <w:marLeft w:val="0"/>
              <w:marRight w:val="0"/>
              <w:marTop w:val="0"/>
              <w:marBottom w:val="0"/>
              <w:divBdr>
                <w:top w:val="none" w:sz="0" w:space="0" w:color="auto"/>
                <w:left w:val="none" w:sz="0" w:space="0" w:color="auto"/>
                <w:bottom w:val="none" w:sz="0" w:space="0" w:color="auto"/>
                <w:right w:val="none" w:sz="0" w:space="0" w:color="auto"/>
              </w:divBdr>
              <w:divsChild>
                <w:div w:id="975910200">
                  <w:marLeft w:val="0"/>
                  <w:marRight w:val="0"/>
                  <w:marTop w:val="0"/>
                  <w:marBottom w:val="0"/>
                  <w:divBdr>
                    <w:top w:val="none" w:sz="0" w:space="0" w:color="auto"/>
                    <w:left w:val="none" w:sz="0" w:space="0" w:color="auto"/>
                    <w:bottom w:val="none" w:sz="0" w:space="0" w:color="auto"/>
                    <w:right w:val="none" w:sz="0" w:space="0" w:color="auto"/>
                  </w:divBdr>
                  <w:divsChild>
                    <w:div w:id="39501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417452">
      <w:bodyDiv w:val="1"/>
      <w:marLeft w:val="0"/>
      <w:marRight w:val="0"/>
      <w:marTop w:val="0"/>
      <w:marBottom w:val="0"/>
      <w:divBdr>
        <w:top w:val="none" w:sz="0" w:space="0" w:color="auto"/>
        <w:left w:val="none" w:sz="0" w:space="0" w:color="auto"/>
        <w:bottom w:val="none" w:sz="0" w:space="0" w:color="auto"/>
        <w:right w:val="none" w:sz="0" w:space="0" w:color="auto"/>
      </w:divBdr>
    </w:div>
    <w:div w:id="1855807013">
      <w:bodyDiv w:val="1"/>
      <w:marLeft w:val="0"/>
      <w:marRight w:val="0"/>
      <w:marTop w:val="0"/>
      <w:marBottom w:val="0"/>
      <w:divBdr>
        <w:top w:val="none" w:sz="0" w:space="0" w:color="auto"/>
        <w:left w:val="none" w:sz="0" w:space="0" w:color="auto"/>
        <w:bottom w:val="none" w:sz="0" w:space="0" w:color="auto"/>
        <w:right w:val="none" w:sz="0" w:space="0" w:color="auto"/>
      </w:divBdr>
    </w:div>
    <w:div w:id="1858538429">
      <w:bodyDiv w:val="1"/>
      <w:marLeft w:val="0"/>
      <w:marRight w:val="0"/>
      <w:marTop w:val="0"/>
      <w:marBottom w:val="0"/>
      <w:divBdr>
        <w:top w:val="none" w:sz="0" w:space="0" w:color="auto"/>
        <w:left w:val="none" w:sz="0" w:space="0" w:color="auto"/>
        <w:bottom w:val="none" w:sz="0" w:space="0" w:color="auto"/>
        <w:right w:val="none" w:sz="0" w:space="0" w:color="auto"/>
      </w:divBdr>
    </w:div>
    <w:div w:id="1861354163">
      <w:bodyDiv w:val="1"/>
      <w:marLeft w:val="0"/>
      <w:marRight w:val="0"/>
      <w:marTop w:val="0"/>
      <w:marBottom w:val="0"/>
      <w:divBdr>
        <w:top w:val="none" w:sz="0" w:space="0" w:color="auto"/>
        <w:left w:val="none" w:sz="0" w:space="0" w:color="auto"/>
        <w:bottom w:val="none" w:sz="0" w:space="0" w:color="auto"/>
        <w:right w:val="none" w:sz="0" w:space="0" w:color="auto"/>
      </w:divBdr>
    </w:div>
    <w:div w:id="1868442521">
      <w:bodyDiv w:val="1"/>
      <w:marLeft w:val="0"/>
      <w:marRight w:val="0"/>
      <w:marTop w:val="0"/>
      <w:marBottom w:val="0"/>
      <w:divBdr>
        <w:top w:val="none" w:sz="0" w:space="0" w:color="auto"/>
        <w:left w:val="none" w:sz="0" w:space="0" w:color="auto"/>
        <w:bottom w:val="none" w:sz="0" w:space="0" w:color="auto"/>
        <w:right w:val="none" w:sz="0" w:space="0" w:color="auto"/>
      </w:divBdr>
    </w:div>
    <w:div w:id="1870679490">
      <w:bodyDiv w:val="1"/>
      <w:marLeft w:val="0"/>
      <w:marRight w:val="0"/>
      <w:marTop w:val="0"/>
      <w:marBottom w:val="0"/>
      <w:divBdr>
        <w:top w:val="none" w:sz="0" w:space="0" w:color="auto"/>
        <w:left w:val="none" w:sz="0" w:space="0" w:color="auto"/>
        <w:bottom w:val="none" w:sz="0" w:space="0" w:color="auto"/>
        <w:right w:val="none" w:sz="0" w:space="0" w:color="auto"/>
      </w:divBdr>
      <w:divsChild>
        <w:div w:id="120000605">
          <w:marLeft w:val="0"/>
          <w:marRight w:val="0"/>
          <w:marTop w:val="0"/>
          <w:marBottom w:val="0"/>
          <w:divBdr>
            <w:top w:val="none" w:sz="0" w:space="0" w:color="auto"/>
            <w:left w:val="none" w:sz="0" w:space="0" w:color="auto"/>
            <w:bottom w:val="none" w:sz="0" w:space="0" w:color="auto"/>
            <w:right w:val="none" w:sz="0" w:space="0" w:color="auto"/>
          </w:divBdr>
        </w:div>
        <w:div w:id="166599447">
          <w:marLeft w:val="0"/>
          <w:marRight w:val="0"/>
          <w:marTop w:val="0"/>
          <w:marBottom w:val="0"/>
          <w:divBdr>
            <w:top w:val="none" w:sz="0" w:space="0" w:color="auto"/>
            <w:left w:val="none" w:sz="0" w:space="0" w:color="auto"/>
            <w:bottom w:val="none" w:sz="0" w:space="0" w:color="auto"/>
            <w:right w:val="none" w:sz="0" w:space="0" w:color="auto"/>
          </w:divBdr>
        </w:div>
        <w:div w:id="366033311">
          <w:marLeft w:val="0"/>
          <w:marRight w:val="0"/>
          <w:marTop w:val="0"/>
          <w:marBottom w:val="0"/>
          <w:divBdr>
            <w:top w:val="none" w:sz="0" w:space="0" w:color="auto"/>
            <w:left w:val="none" w:sz="0" w:space="0" w:color="auto"/>
            <w:bottom w:val="none" w:sz="0" w:space="0" w:color="auto"/>
            <w:right w:val="none" w:sz="0" w:space="0" w:color="auto"/>
          </w:divBdr>
        </w:div>
        <w:div w:id="657147811">
          <w:marLeft w:val="0"/>
          <w:marRight w:val="0"/>
          <w:marTop w:val="0"/>
          <w:marBottom w:val="0"/>
          <w:divBdr>
            <w:top w:val="none" w:sz="0" w:space="0" w:color="auto"/>
            <w:left w:val="none" w:sz="0" w:space="0" w:color="auto"/>
            <w:bottom w:val="none" w:sz="0" w:space="0" w:color="auto"/>
            <w:right w:val="none" w:sz="0" w:space="0" w:color="auto"/>
          </w:divBdr>
        </w:div>
        <w:div w:id="867986857">
          <w:marLeft w:val="0"/>
          <w:marRight w:val="0"/>
          <w:marTop w:val="0"/>
          <w:marBottom w:val="0"/>
          <w:divBdr>
            <w:top w:val="none" w:sz="0" w:space="0" w:color="auto"/>
            <w:left w:val="none" w:sz="0" w:space="0" w:color="auto"/>
            <w:bottom w:val="none" w:sz="0" w:space="0" w:color="auto"/>
            <w:right w:val="none" w:sz="0" w:space="0" w:color="auto"/>
          </w:divBdr>
        </w:div>
        <w:div w:id="979571945">
          <w:marLeft w:val="0"/>
          <w:marRight w:val="0"/>
          <w:marTop w:val="0"/>
          <w:marBottom w:val="0"/>
          <w:divBdr>
            <w:top w:val="none" w:sz="0" w:space="0" w:color="auto"/>
            <w:left w:val="none" w:sz="0" w:space="0" w:color="auto"/>
            <w:bottom w:val="none" w:sz="0" w:space="0" w:color="auto"/>
            <w:right w:val="none" w:sz="0" w:space="0" w:color="auto"/>
          </w:divBdr>
        </w:div>
        <w:div w:id="1008482961">
          <w:marLeft w:val="0"/>
          <w:marRight w:val="0"/>
          <w:marTop w:val="0"/>
          <w:marBottom w:val="0"/>
          <w:divBdr>
            <w:top w:val="none" w:sz="0" w:space="0" w:color="auto"/>
            <w:left w:val="none" w:sz="0" w:space="0" w:color="auto"/>
            <w:bottom w:val="none" w:sz="0" w:space="0" w:color="auto"/>
            <w:right w:val="none" w:sz="0" w:space="0" w:color="auto"/>
          </w:divBdr>
        </w:div>
        <w:div w:id="1113674951">
          <w:marLeft w:val="0"/>
          <w:marRight w:val="0"/>
          <w:marTop w:val="0"/>
          <w:marBottom w:val="0"/>
          <w:divBdr>
            <w:top w:val="none" w:sz="0" w:space="0" w:color="auto"/>
            <w:left w:val="none" w:sz="0" w:space="0" w:color="auto"/>
            <w:bottom w:val="none" w:sz="0" w:space="0" w:color="auto"/>
            <w:right w:val="none" w:sz="0" w:space="0" w:color="auto"/>
          </w:divBdr>
        </w:div>
        <w:div w:id="1180003872">
          <w:marLeft w:val="0"/>
          <w:marRight w:val="0"/>
          <w:marTop w:val="0"/>
          <w:marBottom w:val="0"/>
          <w:divBdr>
            <w:top w:val="none" w:sz="0" w:space="0" w:color="auto"/>
            <w:left w:val="none" w:sz="0" w:space="0" w:color="auto"/>
            <w:bottom w:val="none" w:sz="0" w:space="0" w:color="auto"/>
            <w:right w:val="none" w:sz="0" w:space="0" w:color="auto"/>
          </w:divBdr>
        </w:div>
        <w:div w:id="1347487282">
          <w:marLeft w:val="0"/>
          <w:marRight w:val="0"/>
          <w:marTop w:val="0"/>
          <w:marBottom w:val="0"/>
          <w:divBdr>
            <w:top w:val="none" w:sz="0" w:space="0" w:color="auto"/>
            <w:left w:val="none" w:sz="0" w:space="0" w:color="auto"/>
            <w:bottom w:val="none" w:sz="0" w:space="0" w:color="auto"/>
            <w:right w:val="none" w:sz="0" w:space="0" w:color="auto"/>
          </w:divBdr>
        </w:div>
        <w:div w:id="1485121160">
          <w:marLeft w:val="0"/>
          <w:marRight w:val="0"/>
          <w:marTop w:val="0"/>
          <w:marBottom w:val="0"/>
          <w:divBdr>
            <w:top w:val="none" w:sz="0" w:space="0" w:color="auto"/>
            <w:left w:val="none" w:sz="0" w:space="0" w:color="auto"/>
            <w:bottom w:val="none" w:sz="0" w:space="0" w:color="auto"/>
            <w:right w:val="none" w:sz="0" w:space="0" w:color="auto"/>
          </w:divBdr>
        </w:div>
        <w:div w:id="1544056744">
          <w:marLeft w:val="0"/>
          <w:marRight w:val="0"/>
          <w:marTop w:val="0"/>
          <w:marBottom w:val="0"/>
          <w:divBdr>
            <w:top w:val="none" w:sz="0" w:space="0" w:color="auto"/>
            <w:left w:val="none" w:sz="0" w:space="0" w:color="auto"/>
            <w:bottom w:val="none" w:sz="0" w:space="0" w:color="auto"/>
            <w:right w:val="none" w:sz="0" w:space="0" w:color="auto"/>
          </w:divBdr>
        </w:div>
        <w:div w:id="1647660671">
          <w:marLeft w:val="0"/>
          <w:marRight w:val="0"/>
          <w:marTop w:val="0"/>
          <w:marBottom w:val="0"/>
          <w:divBdr>
            <w:top w:val="none" w:sz="0" w:space="0" w:color="auto"/>
            <w:left w:val="none" w:sz="0" w:space="0" w:color="auto"/>
            <w:bottom w:val="none" w:sz="0" w:space="0" w:color="auto"/>
            <w:right w:val="none" w:sz="0" w:space="0" w:color="auto"/>
          </w:divBdr>
        </w:div>
        <w:div w:id="2028404913">
          <w:marLeft w:val="0"/>
          <w:marRight w:val="0"/>
          <w:marTop w:val="0"/>
          <w:marBottom w:val="0"/>
          <w:divBdr>
            <w:top w:val="none" w:sz="0" w:space="0" w:color="auto"/>
            <w:left w:val="none" w:sz="0" w:space="0" w:color="auto"/>
            <w:bottom w:val="none" w:sz="0" w:space="0" w:color="auto"/>
            <w:right w:val="none" w:sz="0" w:space="0" w:color="auto"/>
          </w:divBdr>
        </w:div>
      </w:divsChild>
    </w:div>
    <w:div w:id="1877155249">
      <w:bodyDiv w:val="1"/>
      <w:marLeft w:val="0"/>
      <w:marRight w:val="0"/>
      <w:marTop w:val="0"/>
      <w:marBottom w:val="0"/>
      <w:divBdr>
        <w:top w:val="none" w:sz="0" w:space="0" w:color="auto"/>
        <w:left w:val="none" w:sz="0" w:space="0" w:color="auto"/>
        <w:bottom w:val="none" w:sz="0" w:space="0" w:color="auto"/>
        <w:right w:val="none" w:sz="0" w:space="0" w:color="auto"/>
      </w:divBdr>
    </w:div>
    <w:div w:id="1881240989">
      <w:bodyDiv w:val="1"/>
      <w:marLeft w:val="0"/>
      <w:marRight w:val="0"/>
      <w:marTop w:val="0"/>
      <w:marBottom w:val="0"/>
      <w:divBdr>
        <w:top w:val="none" w:sz="0" w:space="0" w:color="auto"/>
        <w:left w:val="none" w:sz="0" w:space="0" w:color="auto"/>
        <w:bottom w:val="none" w:sz="0" w:space="0" w:color="auto"/>
        <w:right w:val="none" w:sz="0" w:space="0" w:color="auto"/>
      </w:divBdr>
    </w:div>
    <w:div w:id="1882665766">
      <w:bodyDiv w:val="1"/>
      <w:marLeft w:val="0"/>
      <w:marRight w:val="0"/>
      <w:marTop w:val="0"/>
      <w:marBottom w:val="0"/>
      <w:divBdr>
        <w:top w:val="none" w:sz="0" w:space="0" w:color="auto"/>
        <w:left w:val="none" w:sz="0" w:space="0" w:color="auto"/>
        <w:bottom w:val="none" w:sz="0" w:space="0" w:color="auto"/>
        <w:right w:val="none" w:sz="0" w:space="0" w:color="auto"/>
      </w:divBdr>
    </w:div>
    <w:div w:id="1889342806">
      <w:bodyDiv w:val="1"/>
      <w:marLeft w:val="0"/>
      <w:marRight w:val="0"/>
      <w:marTop w:val="0"/>
      <w:marBottom w:val="0"/>
      <w:divBdr>
        <w:top w:val="none" w:sz="0" w:space="0" w:color="auto"/>
        <w:left w:val="none" w:sz="0" w:space="0" w:color="auto"/>
        <w:bottom w:val="none" w:sz="0" w:space="0" w:color="auto"/>
        <w:right w:val="none" w:sz="0" w:space="0" w:color="auto"/>
      </w:divBdr>
    </w:div>
    <w:div w:id="1929540631">
      <w:bodyDiv w:val="1"/>
      <w:marLeft w:val="0"/>
      <w:marRight w:val="0"/>
      <w:marTop w:val="0"/>
      <w:marBottom w:val="0"/>
      <w:divBdr>
        <w:top w:val="none" w:sz="0" w:space="0" w:color="auto"/>
        <w:left w:val="none" w:sz="0" w:space="0" w:color="auto"/>
        <w:bottom w:val="none" w:sz="0" w:space="0" w:color="auto"/>
        <w:right w:val="none" w:sz="0" w:space="0" w:color="auto"/>
      </w:divBdr>
    </w:div>
    <w:div w:id="1960527086">
      <w:bodyDiv w:val="1"/>
      <w:marLeft w:val="0"/>
      <w:marRight w:val="0"/>
      <w:marTop w:val="0"/>
      <w:marBottom w:val="0"/>
      <w:divBdr>
        <w:top w:val="none" w:sz="0" w:space="0" w:color="auto"/>
        <w:left w:val="none" w:sz="0" w:space="0" w:color="auto"/>
        <w:bottom w:val="none" w:sz="0" w:space="0" w:color="auto"/>
        <w:right w:val="none" w:sz="0" w:space="0" w:color="auto"/>
      </w:divBdr>
    </w:div>
    <w:div w:id="1984504857">
      <w:bodyDiv w:val="1"/>
      <w:marLeft w:val="0"/>
      <w:marRight w:val="0"/>
      <w:marTop w:val="0"/>
      <w:marBottom w:val="0"/>
      <w:divBdr>
        <w:top w:val="none" w:sz="0" w:space="0" w:color="auto"/>
        <w:left w:val="none" w:sz="0" w:space="0" w:color="auto"/>
        <w:bottom w:val="none" w:sz="0" w:space="0" w:color="auto"/>
        <w:right w:val="none" w:sz="0" w:space="0" w:color="auto"/>
      </w:divBdr>
    </w:div>
    <w:div w:id="1987734214">
      <w:bodyDiv w:val="1"/>
      <w:marLeft w:val="0"/>
      <w:marRight w:val="0"/>
      <w:marTop w:val="0"/>
      <w:marBottom w:val="0"/>
      <w:divBdr>
        <w:top w:val="none" w:sz="0" w:space="0" w:color="auto"/>
        <w:left w:val="none" w:sz="0" w:space="0" w:color="auto"/>
        <w:bottom w:val="none" w:sz="0" w:space="0" w:color="auto"/>
        <w:right w:val="none" w:sz="0" w:space="0" w:color="auto"/>
      </w:divBdr>
    </w:div>
    <w:div w:id="1993873226">
      <w:bodyDiv w:val="1"/>
      <w:marLeft w:val="0"/>
      <w:marRight w:val="0"/>
      <w:marTop w:val="0"/>
      <w:marBottom w:val="0"/>
      <w:divBdr>
        <w:top w:val="none" w:sz="0" w:space="0" w:color="auto"/>
        <w:left w:val="none" w:sz="0" w:space="0" w:color="auto"/>
        <w:bottom w:val="none" w:sz="0" w:space="0" w:color="auto"/>
        <w:right w:val="none" w:sz="0" w:space="0" w:color="auto"/>
      </w:divBdr>
    </w:div>
    <w:div w:id="2001930389">
      <w:bodyDiv w:val="1"/>
      <w:marLeft w:val="0"/>
      <w:marRight w:val="0"/>
      <w:marTop w:val="0"/>
      <w:marBottom w:val="0"/>
      <w:divBdr>
        <w:top w:val="none" w:sz="0" w:space="0" w:color="auto"/>
        <w:left w:val="none" w:sz="0" w:space="0" w:color="auto"/>
        <w:bottom w:val="none" w:sz="0" w:space="0" w:color="auto"/>
        <w:right w:val="none" w:sz="0" w:space="0" w:color="auto"/>
      </w:divBdr>
    </w:div>
    <w:div w:id="2002462991">
      <w:bodyDiv w:val="1"/>
      <w:marLeft w:val="0"/>
      <w:marRight w:val="0"/>
      <w:marTop w:val="0"/>
      <w:marBottom w:val="0"/>
      <w:divBdr>
        <w:top w:val="none" w:sz="0" w:space="0" w:color="auto"/>
        <w:left w:val="none" w:sz="0" w:space="0" w:color="auto"/>
        <w:bottom w:val="none" w:sz="0" w:space="0" w:color="auto"/>
        <w:right w:val="none" w:sz="0" w:space="0" w:color="auto"/>
      </w:divBdr>
    </w:div>
    <w:div w:id="2003702849">
      <w:bodyDiv w:val="1"/>
      <w:marLeft w:val="0"/>
      <w:marRight w:val="0"/>
      <w:marTop w:val="0"/>
      <w:marBottom w:val="0"/>
      <w:divBdr>
        <w:top w:val="none" w:sz="0" w:space="0" w:color="auto"/>
        <w:left w:val="none" w:sz="0" w:space="0" w:color="auto"/>
        <w:bottom w:val="none" w:sz="0" w:space="0" w:color="auto"/>
        <w:right w:val="none" w:sz="0" w:space="0" w:color="auto"/>
      </w:divBdr>
    </w:div>
    <w:div w:id="2005235289">
      <w:bodyDiv w:val="1"/>
      <w:marLeft w:val="0"/>
      <w:marRight w:val="0"/>
      <w:marTop w:val="0"/>
      <w:marBottom w:val="0"/>
      <w:divBdr>
        <w:top w:val="none" w:sz="0" w:space="0" w:color="auto"/>
        <w:left w:val="none" w:sz="0" w:space="0" w:color="auto"/>
        <w:bottom w:val="none" w:sz="0" w:space="0" w:color="auto"/>
        <w:right w:val="none" w:sz="0" w:space="0" w:color="auto"/>
      </w:divBdr>
    </w:div>
    <w:div w:id="2013529669">
      <w:bodyDiv w:val="1"/>
      <w:marLeft w:val="0"/>
      <w:marRight w:val="0"/>
      <w:marTop w:val="0"/>
      <w:marBottom w:val="0"/>
      <w:divBdr>
        <w:top w:val="none" w:sz="0" w:space="0" w:color="auto"/>
        <w:left w:val="none" w:sz="0" w:space="0" w:color="auto"/>
        <w:bottom w:val="none" w:sz="0" w:space="0" w:color="auto"/>
        <w:right w:val="none" w:sz="0" w:space="0" w:color="auto"/>
      </w:divBdr>
    </w:div>
    <w:div w:id="2017727877">
      <w:bodyDiv w:val="1"/>
      <w:marLeft w:val="0"/>
      <w:marRight w:val="0"/>
      <w:marTop w:val="0"/>
      <w:marBottom w:val="0"/>
      <w:divBdr>
        <w:top w:val="none" w:sz="0" w:space="0" w:color="auto"/>
        <w:left w:val="none" w:sz="0" w:space="0" w:color="auto"/>
        <w:bottom w:val="none" w:sz="0" w:space="0" w:color="auto"/>
        <w:right w:val="none" w:sz="0" w:space="0" w:color="auto"/>
      </w:divBdr>
    </w:div>
    <w:div w:id="2018455604">
      <w:bodyDiv w:val="1"/>
      <w:marLeft w:val="0"/>
      <w:marRight w:val="0"/>
      <w:marTop w:val="0"/>
      <w:marBottom w:val="0"/>
      <w:divBdr>
        <w:top w:val="none" w:sz="0" w:space="0" w:color="auto"/>
        <w:left w:val="none" w:sz="0" w:space="0" w:color="auto"/>
        <w:bottom w:val="none" w:sz="0" w:space="0" w:color="auto"/>
        <w:right w:val="none" w:sz="0" w:space="0" w:color="auto"/>
      </w:divBdr>
    </w:div>
    <w:div w:id="2043746512">
      <w:bodyDiv w:val="1"/>
      <w:marLeft w:val="0"/>
      <w:marRight w:val="0"/>
      <w:marTop w:val="0"/>
      <w:marBottom w:val="0"/>
      <w:divBdr>
        <w:top w:val="none" w:sz="0" w:space="0" w:color="auto"/>
        <w:left w:val="none" w:sz="0" w:space="0" w:color="auto"/>
        <w:bottom w:val="none" w:sz="0" w:space="0" w:color="auto"/>
        <w:right w:val="none" w:sz="0" w:space="0" w:color="auto"/>
      </w:divBdr>
    </w:div>
    <w:div w:id="2044747644">
      <w:bodyDiv w:val="1"/>
      <w:marLeft w:val="0"/>
      <w:marRight w:val="0"/>
      <w:marTop w:val="0"/>
      <w:marBottom w:val="0"/>
      <w:divBdr>
        <w:top w:val="none" w:sz="0" w:space="0" w:color="auto"/>
        <w:left w:val="none" w:sz="0" w:space="0" w:color="auto"/>
        <w:bottom w:val="none" w:sz="0" w:space="0" w:color="auto"/>
        <w:right w:val="none" w:sz="0" w:space="0" w:color="auto"/>
      </w:divBdr>
    </w:div>
    <w:div w:id="2050912529">
      <w:bodyDiv w:val="1"/>
      <w:marLeft w:val="0"/>
      <w:marRight w:val="0"/>
      <w:marTop w:val="0"/>
      <w:marBottom w:val="0"/>
      <w:divBdr>
        <w:top w:val="none" w:sz="0" w:space="0" w:color="auto"/>
        <w:left w:val="none" w:sz="0" w:space="0" w:color="auto"/>
        <w:bottom w:val="none" w:sz="0" w:space="0" w:color="auto"/>
        <w:right w:val="none" w:sz="0" w:space="0" w:color="auto"/>
      </w:divBdr>
    </w:div>
    <w:div w:id="2061440979">
      <w:bodyDiv w:val="1"/>
      <w:marLeft w:val="0"/>
      <w:marRight w:val="0"/>
      <w:marTop w:val="0"/>
      <w:marBottom w:val="0"/>
      <w:divBdr>
        <w:top w:val="none" w:sz="0" w:space="0" w:color="auto"/>
        <w:left w:val="none" w:sz="0" w:space="0" w:color="auto"/>
        <w:bottom w:val="none" w:sz="0" w:space="0" w:color="auto"/>
        <w:right w:val="none" w:sz="0" w:space="0" w:color="auto"/>
      </w:divBdr>
    </w:div>
    <w:div w:id="2070884502">
      <w:bodyDiv w:val="1"/>
      <w:marLeft w:val="0"/>
      <w:marRight w:val="0"/>
      <w:marTop w:val="0"/>
      <w:marBottom w:val="0"/>
      <w:divBdr>
        <w:top w:val="none" w:sz="0" w:space="0" w:color="auto"/>
        <w:left w:val="none" w:sz="0" w:space="0" w:color="auto"/>
        <w:bottom w:val="none" w:sz="0" w:space="0" w:color="auto"/>
        <w:right w:val="none" w:sz="0" w:space="0" w:color="auto"/>
      </w:divBdr>
      <w:divsChild>
        <w:div w:id="436607430">
          <w:marLeft w:val="0"/>
          <w:marRight w:val="0"/>
          <w:marTop w:val="0"/>
          <w:marBottom w:val="0"/>
          <w:divBdr>
            <w:top w:val="none" w:sz="0" w:space="0" w:color="auto"/>
            <w:left w:val="none" w:sz="0" w:space="0" w:color="auto"/>
            <w:bottom w:val="none" w:sz="0" w:space="0" w:color="auto"/>
            <w:right w:val="none" w:sz="0" w:space="0" w:color="auto"/>
          </w:divBdr>
        </w:div>
        <w:div w:id="707606345">
          <w:marLeft w:val="0"/>
          <w:marRight w:val="0"/>
          <w:marTop w:val="0"/>
          <w:marBottom w:val="0"/>
          <w:divBdr>
            <w:top w:val="none" w:sz="0" w:space="0" w:color="auto"/>
            <w:left w:val="none" w:sz="0" w:space="0" w:color="auto"/>
            <w:bottom w:val="none" w:sz="0" w:space="0" w:color="auto"/>
            <w:right w:val="none" w:sz="0" w:space="0" w:color="auto"/>
          </w:divBdr>
        </w:div>
        <w:div w:id="1051852978">
          <w:marLeft w:val="0"/>
          <w:marRight w:val="0"/>
          <w:marTop w:val="0"/>
          <w:marBottom w:val="0"/>
          <w:divBdr>
            <w:top w:val="none" w:sz="0" w:space="0" w:color="auto"/>
            <w:left w:val="none" w:sz="0" w:space="0" w:color="auto"/>
            <w:bottom w:val="none" w:sz="0" w:space="0" w:color="auto"/>
            <w:right w:val="none" w:sz="0" w:space="0" w:color="auto"/>
          </w:divBdr>
        </w:div>
        <w:div w:id="1514806123">
          <w:marLeft w:val="0"/>
          <w:marRight w:val="0"/>
          <w:marTop w:val="0"/>
          <w:marBottom w:val="0"/>
          <w:divBdr>
            <w:top w:val="none" w:sz="0" w:space="0" w:color="auto"/>
            <w:left w:val="none" w:sz="0" w:space="0" w:color="auto"/>
            <w:bottom w:val="none" w:sz="0" w:space="0" w:color="auto"/>
            <w:right w:val="none" w:sz="0" w:space="0" w:color="auto"/>
          </w:divBdr>
        </w:div>
        <w:div w:id="1569654669">
          <w:marLeft w:val="0"/>
          <w:marRight w:val="0"/>
          <w:marTop w:val="0"/>
          <w:marBottom w:val="0"/>
          <w:divBdr>
            <w:top w:val="none" w:sz="0" w:space="0" w:color="auto"/>
            <w:left w:val="none" w:sz="0" w:space="0" w:color="auto"/>
            <w:bottom w:val="none" w:sz="0" w:space="0" w:color="auto"/>
            <w:right w:val="none" w:sz="0" w:space="0" w:color="auto"/>
          </w:divBdr>
        </w:div>
        <w:div w:id="1573349200">
          <w:marLeft w:val="0"/>
          <w:marRight w:val="0"/>
          <w:marTop w:val="0"/>
          <w:marBottom w:val="0"/>
          <w:divBdr>
            <w:top w:val="none" w:sz="0" w:space="0" w:color="auto"/>
            <w:left w:val="none" w:sz="0" w:space="0" w:color="auto"/>
            <w:bottom w:val="none" w:sz="0" w:space="0" w:color="auto"/>
            <w:right w:val="none" w:sz="0" w:space="0" w:color="auto"/>
          </w:divBdr>
        </w:div>
        <w:div w:id="1656715195">
          <w:marLeft w:val="0"/>
          <w:marRight w:val="0"/>
          <w:marTop w:val="0"/>
          <w:marBottom w:val="0"/>
          <w:divBdr>
            <w:top w:val="none" w:sz="0" w:space="0" w:color="auto"/>
            <w:left w:val="none" w:sz="0" w:space="0" w:color="auto"/>
            <w:bottom w:val="none" w:sz="0" w:space="0" w:color="auto"/>
            <w:right w:val="none" w:sz="0" w:space="0" w:color="auto"/>
          </w:divBdr>
        </w:div>
      </w:divsChild>
    </w:div>
    <w:div w:id="2071808409">
      <w:bodyDiv w:val="1"/>
      <w:marLeft w:val="0"/>
      <w:marRight w:val="0"/>
      <w:marTop w:val="0"/>
      <w:marBottom w:val="0"/>
      <w:divBdr>
        <w:top w:val="none" w:sz="0" w:space="0" w:color="auto"/>
        <w:left w:val="none" w:sz="0" w:space="0" w:color="auto"/>
        <w:bottom w:val="none" w:sz="0" w:space="0" w:color="auto"/>
        <w:right w:val="none" w:sz="0" w:space="0" w:color="auto"/>
      </w:divBdr>
    </w:div>
    <w:div w:id="2079861717">
      <w:bodyDiv w:val="1"/>
      <w:marLeft w:val="0"/>
      <w:marRight w:val="0"/>
      <w:marTop w:val="0"/>
      <w:marBottom w:val="0"/>
      <w:divBdr>
        <w:top w:val="none" w:sz="0" w:space="0" w:color="auto"/>
        <w:left w:val="none" w:sz="0" w:space="0" w:color="auto"/>
        <w:bottom w:val="none" w:sz="0" w:space="0" w:color="auto"/>
        <w:right w:val="none" w:sz="0" w:space="0" w:color="auto"/>
      </w:divBdr>
    </w:div>
    <w:div w:id="2081558183">
      <w:bodyDiv w:val="1"/>
      <w:marLeft w:val="0"/>
      <w:marRight w:val="0"/>
      <w:marTop w:val="0"/>
      <w:marBottom w:val="0"/>
      <w:divBdr>
        <w:top w:val="none" w:sz="0" w:space="0" w:color="auto"/>
        <w:left w:val="none" w:sz="0" w:space="0" w:color="auto"/>
        <w:bottom w:val="none" w:sz="0" w:space="0" w:color="auto"/>
        <w:right w:val="none" w:sz="0" w:space="0" w:color="auto"/>
      </w:divBdr>
    </w:div>
    <w:div w:id="2083067004">
      <w:bodyDiv w:val="1"/>
      <w:marLeft w:val="0"/>
      <w:marRight w:val="0"/>
      <w:marTop w:val="0"/>
      <w:marBottom w:val="0"/>
      <w:divBdr>
        <w:top w:val="none" w:sz="0" w:space="0" w:color="auto"/>
        <w:left w:val="none" w:sz="0" w:space="0" w:color="auto"/>
        <w:bottom w:val="none" w:sz="0" w:space="0" w:color="auto"/>
        <w:right w:val="none" w:sz="0" w:space="0" w:color="auto"/>
      </w:divBdr>
    </w:div>
    <w:div w:id="2112312123">
      <w:bodyDiv w:val="1"/>
      <w:marLeft w:val="0"/>
      <w:marRight w:val="0"/>
      <w:marTop w:val="0"/>
      <w:marBottom w:val="0"/>
      <w:divBdr>
        <w:top w:val="none" w:sz="0" w:space="0" w:color="auto"/>
        <w:left w:val="none" w:sz="0" w:space="0" w:color="auto"/>
        <w:bottom w:val="none" w:sz="0" w:space="0" w:color="auto"/>
        <w:right w:val="none" w:sz="0" w:space="0" w:color="auto"/>
      </w:divBdr>
    </w:div>
    <w:div w:id="2124500146">
      <w:bodyDiv w:val="1"/>
      <w:marLeft w:val="0"/>
      <w:marRight w:val="0"/>
      <w:marTop w:val="0"/>
      <w:marBottom w:val="0"/>
      <w:divBdr>
        <w:top w:val="none" w:sz="0" w:space="0" w:color="auto"/>
        <w:left w:val="none" w:sz="0" w:space="0" w:color="auto"/>
        <w:bottom w:val="none" w:sz="0" w:space="0" w:color="auto"/>
        <w:right w:val="none" w:sz="0" w:space="0" w:color="auto"/>
      </w:divBdr>
    </w:div>
    <w:div w:id="2127582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4.xml"/><Relationship Id="rId42" Type="http://schemas.openxmlformats.org/officeDocument/2006/relationships/footer" Target="footer12.xml"/><Relationship Id="rId47" Type="http://schemas.openxmlformats.org/officeDocument/2006/relationships/header" Target="header15.xml"/><Relationship Id="rId63" Type="http://schemas.openxmlformats.org/officeDocument/2006/relationships/footer" Target="footer21.xml"/><Relationship Id="rId68"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9.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image" Target="media/image4.png"/><Relationship Id="rId40" Type="http://schemas.openxmlformats.org/officeDocument/2006/relationships/header" Target="header12.xml"/><Relationship Id="rId45" Type="http://schemas.openxmlformats.org/officeDocument/2006/relationships/header" Target="header14.xml"/><Relationship Id="rId53" Type="http://schemas.openxmlformats.org/officeDocument/2006/relationships/footer" Target="footer17.xml"/><Relationship Id="rId58" Type="http://schemas.openxmlformats.org/officeDocument/2006/relationships/header" Target="header19.xml"/><Relationship Id="rId66" Type="http://schemas.openxmlformats.org/officeDocument/2006/relationships/header" Target="header23.xm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footer" Target="footer20.xml"/><Relationship Id="rId19" Type="http://schemas.openxmlformats.org/officeDocument/2006/relationships/header" Target="header4.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yperlink" Target="https://have-your-say.ec.europa.eu/index_en" TargetMode="External"/><Relationship Id="rId43" Type="http://schemas.openxmlformats.org/officeDocument/2006/relationships/header" Target="header13.xml"/><Relationship Id="rId48" Type="http://schemas.openxmlformats.org/officeDocument/2006/relationships/footer" Target="footer15.xml"/><Relationship Id="rId56" Type="http://schemas.openxmlformats.org/officeDocument/2006/relationships/header" Target="header18.xml"/><Relationship Id="rId64" Type="http://schemas.openxmlformats.org/officeDocument/2006/relationships/header" Target="header22.xml"/><Relationship Id="rId69" Type="http://schemas.openxmlformats.org/officeDocument/2006/relationships/image" Target="media/image9.emf"/><Relationship Id="rId8" Type="http://schemas.openxmlformats.org/officeDocument/2006/relationships/webSettings" Target="webSettings.xml"/><Relationship Id="rId51" Type="http://schemas.openxmlformats.org/officeDocument/2006/relationships/footer" Target="footer16.xml"/><Relationship Id="rId72" Type="http://schemas.openxmlformats.org/officeDocument/2006/relationships/header" Target="header2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yperlink" Target="https://have-your-say.ec.europa.eu/index_en" TargetMode="External"/><Relationship Id="rId38" Type="http://schemas.openxmlformats.org/officeDocument/2006/relationships/image" Target="cid:image001.png@01DCB0BB.4A53C890" TargetMode="External"/><Relationship Id="rId46" Type="http://schemas.openxmlformats.org/officeDocument/2006/relationships/footer" Target="footer14.xml"/><Relationship Id="rId59" Type="http://schemas.openxmlformats.org/officeDocument/2006/relationships/footer" Target="footer19.xml"/><Relationship Id="rId67" Type="http://schemas.openxmlformats.org/officeDocument/2006/relationships/footer" Target="footer23.xml"/><Relationship Id="rId20" Type="http://schemas.openxmlformats.org/officeDocument/2006/relationships/header" Target="header5.xml"/><Relationship Id="rId41" Type="http://schemas.openxmlformats.org/officeDocument/2006/relationships/footer" Target="footer11.xml"/><Relationship Id="rId54" Type="http://schemas.openxmlformats.org/officeDocument/2006/relationships/image" Target="media/image6.png"/><Relationship Id="rId62" Type="http://schemas.openxmlformats.org/officeDocument/2006/relationships/header" Target="header21.xml"/><Relationship Id="rId70" Type="http://schemas.openxmlformats.org/officeDocument/2006/relationships/header" Target="header2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image" Target="media/image3.png"/><Relationship Id="rId49" Type="http://schemas.openxmlformats.org/officeDocument/2006/relationships/image" Target="media/image5.png"/><Relationship Id="rId57" Type="http://schemas.openxmlformats.org/officeDocument/2006/relationships/footer" Target="footer18.xml"/><Relationship Id="rId10" Type="http://schemas.openxmlformats.org/officeDocument/2006/relationships/endnotes" Target="endnotes.xml"/><Relationship Id="rId31" Type="http://schemas.openxmlformats.org/officeDocument/2006/relationships/header" Target="header10.xml"/><Relationship Id="rId44" Type="http://schemas.openxmlformats.org/officeDocument/2006/relationships/footer" Target="footer13.xml"/><Relationship Id="rId52" Type="http://schemas.openxmlformats.org/officeDocument/2006/relationships/header" Target="header17.xml"/><Relationship Id="rId60" Type="http://schemas.openxmlformats.org/officeDocument/2006/relationships/header" Target="header20.xml"/><Relationship Id="rId65" Type="http://schemas.openxmlformats.org/officeDocument/2006/relationships/footer" Target="footer22.xml"/><Relationship Id="rId73" Type="http://schemas.openxmlformats.org/officeDocument/2006/relationships/footer" Target="footer2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header" Target="header11.xml"/><Relationship Id="rId34" Type="http://schemas.openxmlformats.org/officeDocument/2006/relationships/hyperlink" Target="https://ec.europa.eu/info/law/better-regulation/have-your-say/initiatives/14638-Law-enforcement-cooperation-new-Europol-regulation-proposal-/public-consultation_en" TargetMode="External"/><Relationship Id="rId50" Type="http://schemas.openxmlformats.org/officeDocument/2006/relationships/header" Target="header16.xml"/><Relationship Id="rId55" Type="http://schemas.openxmlformats.org/officeDocument/2006/relationships/image" Target="media/image7.svg"/><Relationship Id="rId76" Type="http://schemas.microsoft.com/office/2020/10/relationships/intelligence" Target="intelligence2.xml"/><Relationship Id="rId7" Type="http://schemas.openxmlformats.org/officeDocument/2006/relationships/settings" Target="settings.xml"/><Relationship Id="rId71" Type="http://schemas.openxmlformats.org/officeDocument/2006/relationships/footer" Target="footer24.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Government_expenditure_on_public_order_and_safety" TargetMode="External"/><Relationship Id="rId3" Type="http://schemas.openxmlformats.org/officeDocument/2006/relationships/hyperlink" Target="https://ec.europa.eu/info/law/better-regulation/have-your-say/initiatives/14638-Law-enforcement-cooperation-new-Europol-regulation-proposal-/public-consultation_en" TargetMode="External"/><Relationship Id="rId7" Type="http://schemas.openxmlformats.org/officeDocument/2006/relationships/hyperlink" Target="https://ec.europa.eu/info/law/better-regulation/have-your-say/initiatives/14638-Law-enforcement-cooperation-new-Europol-regulation-proposal-/public-consultation_en" TargetMode="External"/><Relationship Id="rId2" Type="http://schemas.openxmlformats.org/officeDocument/2006/relationships/hyperlink" Target="https://reports.weforum.org/docs/WEF_Global_Cybersecurity_Outlook_2026.pdf" TargetMode="External"/><Relationship Id="rId1" Type="http://schemas.openxmlformats.org/officeDocument/2006/relationships/hyperlink" Target="https://www.europol.europa.eu/media-press/newsroom/news/future-of-policing-main-focus-police-chiefs-meet-europol" TargetMode="External"/><Relationship Id="rId6" Type="http://schemas.openxmlformats.org/officeDocument/2006/relationships/hyperlink" Target="https://www.epp.eu/files/uploads/2025/01/EPP-Retreat-Priorities-2025-statement.pdf" TargetMode="External"/><Relationship Id="rId5" Type="http://schemas.openxmlformats.org/officeDocument/2006/relationships/hyperlink" Target="https://ec.europa.eu/eurostat/statistics-explained/index.php?title=Police,_court_and_prison_personnel_statistics" TargetMode="External"/><Relationship Id="rId4" Type="http://schemas.openxmlformats.org/officeDocument/2006/relationships/hyperlink" Target="https://www.europol.europa.eu/sites/default/files/documents/Europol_report_-_Leveraging_legitimacy_-_How_the_EU_most_threatening_crim_networks_abuse_legal_business_structu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HOMEDocument" ma:contentTypeID="0x010100E8CC684075A2A84CA3D25CE66AF701F50018B8D53A53073E4A9E132AC4D12F77EB" ma:contentTypeVersion="12" ma:contentTypeDescription="" ma:contentTypeScope="" ma:versionID="ca44edbe83cfd56eb55e9f072ca7e2e8">
  <xsd:schema xmlns:xsd="http://www.w3.org/2001/XMLSchema" xmlns:xs="http://www.w3.org/2001/XMLSchema" xmlns:p="http://schemas.microsoft.com/office/2006/metadata/properties" xmlns:ns2="2fc6096a-eb17-47e5-a135-b0e6cd49fce1" xmlns:ns3="93d99449-8231-4a2b-b28f-35cb4691e5c3" targetNamespace="http://schemas.microsoft.com/office/2006/metadata/properties" ma:root="true" ma:fieldsID="db7809ecb68d0dcf184ba50481488b3a" ns2:_="" ns3:_="">
    <xsd:import namespace="2fc6096a-eb17-47e5-a135-b0e6cd49fce1"/>
    <xsd:import namespace="93d99449-8231-4a2b-b28f-35cb4691e5c3"/>
    <xsd:element name="properties">
      <xsd:complexType>
        <xsd:sequence>
          <xsd:element name="documentManagement">
            <xsd:complexType>
              <xsd:all>
                <xsd:element ref="ns2:HoMEDocOwners" minOccurs="0"/>
                <xsd:element ref="ns2:ld0ef7dbf58b44cc9bbb9ba07b9c4c88" minOccurs="0"/>
                <xsd:element ref="ns2:TaxCatchAll" minOccurs="0"/>
                <xsd:element ref="ns2:TaxCatchAllLabel" minOccurs="0"/>
                <xsd:element ref="ns2:ia90009e205e4bef900701eff136b885" minOccurs="0"/>
                <xsd:element ref="ns2:gf0284059ee54f86b4c8085a5c203cca" minOccurs="0"/>
                <xsd:element ref="ns2:b96d9544e698464f8ba2888a53f73d3c" minOccurs="0"/>
                <xsd:element ref="ns2:c59ca994346c45919b6232243d0d3a2f"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topicanddistin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6096a-eb17-47e5-a135-b0e6cd49fce1" elementFormDefault="qualified">
    <xsd:import namespace="http://schemas.microsoft.com/office/2006/documentManagement/types"/>
    <xsd:import namespace="http://schemas.microsoft.com/office/infopath/2007/PartnerControls"/>
    <xsd:element name="HoMEDocOwners" ma:index="8" nillable="true" ma:displayName="DocOwners" ma:format="Dropdown" ma:list="UserInfo" ma:SharePointGroup="0" ma:internalName="HoMEDocOwn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d0ef7dbf58b44cc9bbb9ba07b9c4c88" ma:index="9" nillable="true" ma:taxonomy="true" ma:internalName="ld0ef7dbf58b44cc9bbb9ba07b9c4c88" ma:taxonomyFieldName="HoMEDocAudience" ma:displayName="DocAudience" ma:default="" ma:fieldId="{5d0ef7db-f58b-44cc-9bbb-9ba07b9c4c88}" ma:sspId="22b2fad6-9d2c-441c-a321-3f5f1e9bd928" ma:termSetId="d06fe984-1c1e-4012-b9cc-b4f5cf5b62d2" ma:anchorId="5c62e6e2-9b21-46d7-9509-d516a9ff0905" ma:open="false" ma:isKeyword="false">
      <xsd:complexType>
        <xsd:sequence>
          <xsd:element ref="pc:Terms" minOccurs="0" maxOccurs="1"/>
        </xsd:sequence>
      </xsd:complexType>
    </xsd:element>
    <xsd:element name="TaxCatchAll" ma:index="10" nillable="true" ma:displayName="Taxonomy Catch All Column" ma:hidden="true" ma:list="{a1bb8e95-9917-4489-a075-fa616ff97667}" ma:internalName="TaxCatchAll" ma:showField="CatchAllData" ma:web="2fc6096a-eb17-47e5-a135-b0e6cd49fce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1bb8e95-9917-4489-a075-fa616ff97667}" ma:internalName="TaxCatchAllLabel" ma:readOnly="true" ma:showField="CatchAllDataLabel" ma:web="2fc6096a-eb17-47e5-a135-b0e6cd49fce1">
      <xsd:complexType>
        <xsd:complexContent>
          <xsd:extension base="dms:MultiChoiceLookup">
            <xsd:sequence>
              <xsd:element name="Value" type="dms:Lookup" maxOccurs="unbounded" minOccurs="0" nillable="true"/>
            </xsd:sequence>
          </xsd:extension>
        </xsd:complexContent>
      </xsd:complexType>
    </xsd:element>
    <xsd:element name="ia90009e205e4bef900701eff136b885" ma:index="13" nillable="true" ma:taxonomy="true" ma:internalName="ia90009e205e4bef900701eff136b885" ma:taxonomyFieldName="HoMEDocCountry" ma:displayName="DocCountry" ma:default="" ma:fieldId="{2a90009e-205e-4bef-9007-01eff136b885}" ma:sspId="22b2fad6-9d2c-441c-a321-3f5f1e9bd928" ma:termSetId="d06fe984-1c1e-4012-b9cc-b4f5cf5b62d2" ma:anchorId="493c810c-f680-4cba-ae7c-b0b57621d86a" ma:open="false" ma:isKeyword="false">
      <xsd:complexType>
        <xsd:sequence>
          <xsd:element ref="pc:Terms" minOccurs="0" maxOccurs="1"/>
        </xsd:sequence>
      </xsd:complexType>
    </xsd:element>
    <xsd:element name="gf0284059ee54f86b4c8085a5c203cca" ma:index="15" nillable="true" ma:taxonomy="true" ma:internalName="gf0284059ee54f86b4c8085a5c203cca" ma:taxonomyFieldName="HoMEDocStatus" ma:displayName="DocStatus" ma:default="" ma:fieldId="{0f028405-9ee5-4f86-b4c8-085a5c203cca}" ma:sspId="22b2fad6-9d2c-441c-a321-3f5f1e9bd928" ma:termSetId="d06fe984-1c1e-4012-b9cc-b4f5cf5b62d2" ma:anchorId="ab634c7d-3c69-485f-8bcc-250f9fe455b6" ma:open="false" ma:isKeyword="false">
      <xsd:complexType>
        <xsd:sequence>
          <xsd:element ref="pc:Terms" minOccurs="0" maxOccurs="1"/>
        </xsd:sequence>
      </xsd:complexType>
    </xsd:element>
    <xsd:element name="b96d9544e698464f8ba2888a53f73d3c" ma:index="17" nillable="true" ma:taxonomy="true" ma:internalName="b96d9544e698464f8ba2888a53f73d3c" ma:taxonomyFieldName="HoMEDocType" ma:displayName="DocType" ma:default="" ma:fieldId="{b96d9544-e698-464f-8ba2-888a53f73d3c}" ma:sspId="22b2fad6-9d2c-441c-a321-3f5f1e9bd928" ma:termSetId="d06fe984-1c1e-4012-b9cc-b4f5cf5b62d2" ma:anchorId="5799452f-a19e-4331-a6ee-b19eda9ba880" ma:open="false" ma:isKeyword="false">
      <xsd:complexType>
        <xsd:sequence>
          <xsd:element ref="pc:Terms" minOccurs="0" maxOccurs="1"/>
        </xsd:sequence>
      </xsd:complexType>
    </xsd:element>
    <xsd:element name="c59ca994346c45919b6232243d0d3a2f" ma:index="19" nillable="true" ma:taxonomy="true" ma:internalName="c59ca994346c45919b6232243d0d3a2f" ma:taxonomyFieldName="HoMEDocPolicy" ma:displayName="DocPolicy" ma:default="" ma:fieldId="{c59ca994-346c-4591-9b62-32243d0d3a2f}" ma:sspId="22b2fad6-9d2c-441c-a321-3f5f1e9bd928" ma:termSetId="965e67b6-890b-4662-8c29-6abba97f09c7" ma:anchorId="c97336e6-7371-4567-91c2-0bd3d3292d8a"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d99449-8231-4a2b-b28f-35cb4691e5c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topicanddistination" ma:index="29" nillable="true" ma:displayName="topic and distination" ma:format="Dropdown" ma:internalName="topicanddistin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d99449-8231-4a2b-b28f-35cb4691e5c3">
      <Terms xmlns="http://schemas.microsoft.com/office/infopath/2007/PartnerControls"/>
    </lcf76f155ced4ddcb4097134ff3c332f>
    <gf0284059ee54f86b4c8085a5c203cca xmlns="2fc6096a-eb17-47e5-a135-b0e6cd49fce1">
      <Terms xmlns="http://schemas.microsoft.com/office/infopath/2007/PartnerControls"/>
    </gf0284059ee54f86b4c8085a5c203cca>
    <HoMEDocOwners xmlns="2fc6096a-eb17-47e5-a135-b0e6cd49fce1">
      <UserInfo>
        <DisplayName/>
        <AccountId xsi:nil="true"/>
        <AccountType/>
      </UserInfo>
    </HoMEDocOwners>
    <ld0ef7dbf58b44cc9bbb9ba07b9c4c88 xmlns="2fc6096a-eb17-47e5-a135-b0e6cd49fce1">
      <Terms xmlns="http://schemas.microsoft.com/office/infopath/2007/PartnerControls"/>
    </ld0ef7dbf58b44cc9bbb9ba07b9c4c88>
    <c59ca994346c45919b6232243d0d3a2f xmlns="2fc6096a-eb17-47e5-a135-b0e6cd49fce1">
      <Terms xmlns="http://schemas.microsoft.com/office/infopath/2007/PartnerControls"/>
    </c59ca994346c45919b6232243d0d3a2f>
    <ia90009e205e4bef900701eff136b885 xmlns="2fc6096a-eb17-47e5-a135-b0e6cd49fce1">
      <Terms xmlns="http://schemas.microsoft.com/office/infopath/2007/PartnerControls"/>
    </ia90009e205e4bef900701eff136b885>
    <TaxCatchAll xmlns="2fc6096a-eb17-47e5-a135-b0e6cd49fce1" xsi:nil="true"/>
    <b96d9544e698464f8ba2888a53f73d3c xmlns="2fc6096a-eb17-47e5-a135-b0e6cd49fce1">
      <Terms xmlns="http://schemas.microsoft.com/office/infopath/2007/PartnerControls"/>
    </b96d9544e698464f8ba2888a53f73d3c>
    <topicanddistination xmlns="93d99449-8231-4a2b-b28f-35cb4691e5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6AE28-7E2E-4785-BA47-6198C0A87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6096a-eb17-47e5-a135-b0e6cd49fce1"/>
    <ds:schemaRef ds:uri="93d99449-8231-4a2b-b28f-35cb4691e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93d99449-8231-4a2b-b28f-35cb4691e5c3"/>
    <ds:schemaRef ds:uri="2fc6096a-eb17-47e5-a135-b0e6cd49fce1"/>
  </ds:schemaRefs>
</ds:datastoreItem>
</file>

<file path=customXml/itemProps3.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4.xml><?xml version="1.0" encoding="utf-8"?>
<ds:datastoreItem xmlns:ds="http://schemas.openxmlformats.org/officeDocument/2006/customXml" ds:itemID="{F788B28D-2F94-49A5-B906-BA420C872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178</Pages>
  <Words>55645</Words>
  <Characters>352792</Characters>
  <Application>Microsoft Office Word</Application>
  <DocSecurity>0</DocSecurity>
  <Lines>7055</Lines>
  <Paragraphs>2601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405836</CharactersWithSpaces>
  <SharedDoc>false</SharedDoc>
  <HLinks>
    <vt:vector size="240" baseType="variant">
      <vt:variant>
        <vt:i4>3407946</vt:i4>
      </vt:variant>
      <vt:variant>
        <vt:i4>186</vt:i4>
      </vt:variant>
      <vt:variant>
        <vt:i4>0</vt:i4>
      </vt:variant>
      <vt:variant>
        <vt:i4>5</vt:i4>
      </vt:variant>
      <vt:variant>
        <vt:lpwstr>https://have-your-say.ec.europa.eu/index_en</vt:lpwstr>
      </vt:variant>
      <vt:variant>
        <vt:lpwstr/>
      </vt:variant>
      <vt:variant>
        <vt:i4>3342407</vt:i4>
      </vt:variant>
      <vt:variant>
        <vt:i4>183</vt:i4>
      </vt:variant>
      <vt:variant>
        <vt:i4>0</vt:i4>
      </vt:variant>
      <vt:variant>
        <vt:i4>5</vt:i4>
      </vt:variant>
      <vt:variant>
        <vt:lpwstr>https://ec.europa.eu/info/law/better-regulation/have-your-say/initiatives/14638-Law-enforcement-cooperation-new-Europol-regulation-proposal-/public-consultation_en</vt:lpwstr>
      </vt:variant>
      <vt:variant>
        <vt:lpwstr/>
      </vt:variant>
      <vt:variant>
        <vt:i4>3407946</vt:i4>
      </vt:variant>
      <vt:variant>
        <vt:i4>180</vt:i4>
      </vt:variant>
      <vt:variant>
        <vt:i4>0</vt:i4>
      </vt:variant>
      <vt:variant>
        <vt:i4>5</vt:i4>
      </vt:variant>
      <vt:variant>
        <vt:lpwstr>https://have-your-say.ec.europa.eu/index_en</vt:lpwstr>
      </vt:variant>
      <vt:variant>
        <vt:lpwstr/>
      </vt:variant>
      <vt:variant>
        <vt:i4>1179703</vt:i4>
      </vt:variant>
      <vt:variant>
        <vt:i4>170</vt:i4>
      </vt:variant>
      <vt:variant>
        <vt:i4>0</vt:i4>
      </vt:variant>
      <vt:variant>
        <vt:i4>5</vt:i4>
      </vt:variant>
      <vt:variant>
        <vt:lpwstr/>
      </vt:variant>
      <vt:variant>
        <vt:lpwstr>_Toc224614058</vt:lpwstr>
      </vt:variant>
      <vt:variant>
        <vt:i4>1179703</vt:i4>
      </vt:variant>
      <vt:variant>
        <vt:i4>164</vt:i4>
      </vt:variant>
      <vt:variant>
        <vt:i4>0</vt:i4>
      </vt:variant>
      <vt:variant>
        <vt:i4>5</vt:i4>
      </vt:variant>
      <vt:variant>
        <vt:lpwstr/>
      </vt:variant>
      <vt:variant>
        <vt:lpwstr>_Toc224614057</vt:lpwstr>
      </vt:variant>
      <vt:variant>
        <vt:i4>1179703</vt:i4>
      </vt:variant>
      <vt:variant>
        <vt:i4>158</vt:i4>
      </vt:variant>
      <vt:variant>
        <vt:i4>0</vt:i4>
      </vt:variant>
      <vt:variant>
        <vt:i4>5</vt:i4>
      </vt:variant>
      <vt:variant>
        <vt:lpwstr/>
      </vt:variant>
      <vt:variant>
        <vt:lpwstr>_Toc224614056</vt:lpwstr>
      </vt:variant>
      <vt:variant>
        <vt:i4>1179703</vt:i4>
      </vt:variant>
      <vt:variant>
        <vt:i4>152</vt:i4>
      </vt:variant>
      <vt:variant>
        <vt:i4>0</vt:i4>
      </vt:variant>
      <vt:variant>
        <vt:i4>5</vt:i4>
      </vt:variant>
      <vt:variant>
        <vt:lpwstr/>
      </vt:variant>
      <vt:variant>
        <vt:lpwstr>_Toc224614055</vt:lpwstr>
      </vt:variant>
      <vt:variant>
        <vt:i4>1179703</vt:i4>
      </vt:variant>
      <vt:variant>
        <vt:i4>146</vt:i4>
      </vt:variant>
      <vt:variant>
        <vt:i4>0</vt:i4>
      </vt:variant>
      <vt:variant>
        <vt:i4>5</vt:i4>
      </vt:variant>
      <vt:variant>
        <vt:lpwstr/>
      </vt:variant>
      <vt:variant>
        <vt:lpwstr>_Toc224614054</vt:lpwstr>
      </vt:variant>
      <vt:variant>
        <vt:i4>1179703</vt:i4>
      </vt:variant>
      <vt:variant>
        <vt:i4>140</vt:i4>
      </vt:variant>
      <vt:variant>
        <vt:i4>0</vt:i4>
      </vt:variant>
      <vt:variant>
        <vt:i4>5</vt:i4>
      </vt:variant>
      <vt:variant>
        <vt:lpwstr/>
      </vt:variant>
      <vt:variant>
        <vt:lpwstr>_Toc224614053</vt:lpwstr>
      </vt:variant>
      <vt:variant>
        <vt:i4>1179703</vt:i4>
      </vt:variant>
      <vt:variant>
        <vt:i4>134</vt:i4>
      </vt:variant>
      <vt:variant>
        <vt:i4>0</vt:i4>
      </vt:variant>
      <vt:variant>
        <vt:i4>5</vt:i4>
      </vt:variant>
      <vt:variant>
        <vt:lpwstr/>
      </vt:variant>
      <vt:variant>
        <vt:lpwstr>_Toc224614052</vt:lpwstr>
      </vt:variant>
      <vt:variant>
        <vt:i4>1179703</vt:i4>
      </vt:variant>
      <vt:variant>
        <vt:i4>128</vt:i4>
      </vt:variant>
      <vt:variant>
        <vt:i4>0</vt:i4>
      </vt:variant>
      <vt:variant>
        <vt:i4>5</vt:i4>
      </vt:variant>
      <vt:variant>
        <vt:lpwstr/>
      </vt:variant>
      <vt:variant>
        <vt:lpwstr>_Toc224614051</vt:lpwstr>
      </vt:variant>
      <vt:variant>
        <vt:i4>1179703</vt:i4>
      </vt:variant>
      <vt:variant>
        <vt:i4>122</vt:i4>
      </vt:variant>
      <vt:variant>
        <vt:i4>0</vt:i4>
      </vt:variant>
      <vt:variant>
        <vt:i4>5</vt:i4>
      </vt:variant>
      <vt:variant>
        <vt:lpwstr/>
      </vt:variant>
      <vt:variant>
        <vt:lpwstr>_Toc224614050</vt:lpwstr>
      </vt:variant>
      <vt:variant>
        <vt:i4>1245239</vt:i4>
      </vt:variant>
      <vt:variant>
        <vt:i4>116</vt:i4>
      </vt:variant>
      <vt:variant>
        <vt:i4>0</vt:i4>
      </vt:variant>
      <vt:variant>
        <vt:i4>5</vt:i4>
      </vt:variant>
      <vt:variant>
        <vt:lpwstr/>
      </vt:variant>
      <vt:variant>
        <vt:lpwstr>_Toc224614049</vt:lpwstr>
      </vt:variant>
      <vt:variant>
        <vt:i4>1245239</vt:i4>
      </vt:variant>
      <vt:variant>
        <vt:i4>110</vt:i4>
      </vt:variant>
      <vt:variant>
        <vt:i4>0</vt:i4>
      </vt:variant>
      <vt:variant>
        <vt:i4>5</vt:i4>
      </vt:variant>
      <vt:variant>
        <vt:lpwstr/>
      </vt:variant>
      <vt:variant>
        <vt:lpwstr>_Toc224614048</vt:lpwstr>
      </vt:variant>
      <vt:variant>
        <vt:i4>1245239</vt:i4>
      </vt:variant>
      <vt:variant>
        <vt:i4>104</vt:i4>
      </vt:variant>
      <vt:variant>
        <vt:i4>0</vt:i4>
      </vt:variant>
      <vt:variant>
        <vt:i4>5</vt:i4>
      </vt:variant>
      <vt:variant>
        <vt:lpwstr/>
      </vt:variant>
      <vt:variant>
        <vt:lpwstr>_Toc224614047</vt:lpwstr>
      </vt:variant>
      <vt:variant>
        <vt:i4>1245239</vt:i4>
      </vt:variant>
      <vt:variant>
        <vt:i4>98</vt:i4>
      </vt:variant>
      <vt:variant>
        <vt:i4>0</vt:i4>
      </vt:variant>
      <vt:variant>
        <vt:i4>5</vt:i4>
      </vt:variant>
      <vt:variant>
        <vt:lpwstr/>
      </vt:variant>
      <vt:variant>
        <vt:lpwstr>_Toc224614046</vt:lpwstr>
      </vt:variant>
      <vt:variant>
        <vt:i4>1245239</vt:i4>
      </vt:variant>
      <vt:variant>
        <vt:i4>92</vt:i4>
      </vt:variant>
      <vt:variant>
        <vt:i4>0</vt:i4>
      </vt:variant>
      <vt:variant>
        <vt:i4>5</vt:i4>
      </vt:variant>
      <vt:variant>
        <vt:lpwstr/>
      </vt:variant>
      <vt:variant>
        <vt:lpwstr>_Toc224614045</vt:lpwstr>
      </vt:variant>
      <vt:variant>
        <vt:i4>1245239</vt:i4>
      </vt:variant>
      <vt:variant>
        <vt:i4>86</vt:i4>
      </vt:variant>
      <vt:variant>
        <vt:i4>0</vt:i4>
      </vt:variant>
      <vt:variant>
        <vt:i4>5</vt:i4>
      </vt:variant>
      <vt:variant>
        <vt:lpwstr/>
      </vt:variant>
      <vt:variant>
        <vt:lpwstr>_Toc224614044</vt:lpwstr>
      </vt:variant>
      <vt:variant>
        <vt:i4>1245239</vt:i4>
      </vt:variant>
      <vt:variant>
        <vt:i4>80</vt:i4>
      </vt:variant>
      <vt:variant>
        <vt:i4>0</vt:i4>
      </vt:variant>
      <vt:variant>
        <vt:i4>5</vt:i4>
      </vt:variant>
      <vt:variant>
        <vt:lpwstr/>
      </vt:variant>
      <vt:variant>
        <vt:lpwstr>_Toc224614043</vt:lpwstr>
      </vt:variant>
      <vt:variant>
        <vt:i4>1245239</vt:i4>
      </vt:variant>
      <vt:variant>
        <vt:i4>74</vt:i4>
      </vt:variant>
      <vt:variant>
        <vt:i4>0</vt:i4>
      </vt:variant>
      <vt:variant>
        <vt:i4>5</vt:i4>
      </vt:variant>
      <vt:variant>
        <vt:lpwstr/>
      </vt:variant>
      <vt:variant>
        <vt:lpwstr>_Toc224614042</vt:lpwstr>
      </vt:variant>
      <vt:variant>
        <vt:i4>1245239</vt:i4>
      </vt:variant>
      <vt:variant>
        <vt:i4>68</vt:i4>
      </vt:variant>
      <vt:variant>
        <vt:i4>0</vt:i4>
      </vt:variant>
      <vt:variant>
        <vt:i4>5</vt:i4>
      </vt:variant>
      <vt:variant>
        <vt:lpwstr/>
      </vt:variant>
      <vt:variant>
        <vt:lpwstr>_Toc224614041</vt:lpwstr>
      </vt:variant>
      <vt:variant>
        <vt:i4>1245239</vt:i4>
      </vt:variant>
      <vt:variant>
        <vt:i4>62</vt:i4>
      </vt:variant>
      <vt:variant>
        <vt:i4>0</vt:i4>
      </vt:variant>
      <vt:variant>
        <vt:i4>5</vt:i4>
      </vt:variant>
      <vt:variant>
        <vt:lpwstr/>
      </vt:variant>
      <vt:variant>
        <vt:lpwstr>_Toc224614040</vt:lpwstr>
      </vt:variant>
      <vt:variant>
        <vt:i4>1310775</vt:i4>
      </vt:variant>
      <vt:variant>
        <vt:i4>56</vt:i4>
      </vt:variant>
      <vt:variant>
        <vt:i4>0</vt:i4>
      </vt:variant>
      <vt:variant>
        <vt:i4>5</vt:i4>
      </vt:variant>
      <vt:variant>
        <vt:lpwstr/>
      </vt:variant>
      <vt:variant>
        <vt:lpwstr>_Toc224614039</vt:lpwstr>
      </vt:variant>
      <vt:variant>
        <vt:i4>1310775</vt:i4>
      </vt:variant>
      <vt:variant>
        <vt:i4>50</vt:i4>
      </vt:variant>
      <vt:variant>
        <vt:i4>0</vt:i4>
      </vt:variant>
      <vt:variant>
        <vt:i4>5</vt:i4>
      </vt:variant>
      <vt:variant>
        <vt:lpwstr/>
      </vt:variant>
      <vt:variant>
        <vt:lpwstr>_Toc224614038</vt:lpwstr>
      </vt:variant>
      <vt:variant>
        <vt:i4>1310775</vt:i4>
      </vt:variant>
      <vt:variant>
        <vt:i4>44</vt:i4>
      </vt:variant>
      <vt:variant>
        <vt:i4>0</vt:i4>
      </vt:variant>
      <vt:variant>
        <vt:i4>5</vt:i4>
      </vt:variant>
      <vt:variant>
        <vt:lpwstr/>
      </vt:variant>
      <vt:variant>
        <vt:lpwstr>_Toc224614037</vt:lpwstr>
      </vt:variant>
      <vt:variant>
        <vt:i4>1310775</vt:i4>
      </vt:variant>
      <vt:variant>
        <vt:i4>38</vt:i4>
      </vt:variant>
      <vt:variant>
        <vt:i4>0</vt:i4>
      </vt:variant>
      <vt:variant>
        <vt:i4>5</vt:i4>
      </vt:variant>
      <vt:variant>
        <vt:lpwstr/>
      </vt:variant>
      <vt:variant>
        <vt:lpwstr>_Toc224614036</vt:lpwstr>
      </vt:variant>
      <vt:variant>
        <vt:i4>1310775</vt:i4>
      </vt:variant>
      <vt:variant>
        <vt:i4>32</vt:i4>
      </vt:variant>
      <vt:variant>
        <vt:i4>0</vt:i4>
      </vt:variant>
      <vt:variant>
        <vt:i4>5</vt:i4>
      </vt:variant>
      <vt:variant>
        <vt:lpwstr/>
      </vt:variant>
      <vt:variant>
        <vt:lpwstr>_Toc224614035</vt:lpwstr>
      </vt:variant>
      <vt:variant>
        <vt:i4>1310775</vt:i4>
      </vt:variant>
      <vt:variant>
        <vt:i4>26</vt:i4>
      </vt:variant>
      <vt:variant>
        <vt:i4>0</vt:i4>
      </vt:variant>
      <vt:variant>
        <vt:i4>5</vt:i4>
      </vt:variant>
      <vt:variant>
        <vt:lpwstr/>
      </vt:variant>
      <vt:variant>
        <vt:lpwstr>_Toc224614034</vt:lpwstr>
      </vt:variant>
      <vt:variant>
        <vt:i4>1310775</vt:i4>
      </vt:variant>
      <vt:variant>
        <vt:i4>20</vt:i4>
      </vt:variant>
      <vt:variant>
        <vt:i4>0</vt:i4>
      </vt:variant>
      <vt:variant>
        <vt:i4>5</vt:i4>
      </vt:variant>
      <vt:variant>
        <vt:lpwstr/>
      </vt:variant>
      <vt:variant>
        <vt:lpwstr>_Toc224614032</vt:lpwstr>
      </vt:variant>
      <vt:variant>
        <vt:i4>1310775</vt:i4>
      </vt:variant>
      <vt:variant>
        <vt:i4>14</vt:i4>
      </vt:variant>
      <vt:variant>
        <vt:i4>0</vt:i4>
      </vt:variant>
      <vt:variant>
        <vt:i4>5</vt:i4>
      </vt:variant>
      <vt:variant>
        <vt:lpwstr/>
      </vt:variant>
      <vt:variant>
        <vt:lpwstr>_Toc224614031</vt:lpwstr>
      </vt:variant>
      <vt:variant>
        <vt:i4>1310775</vt:i4>
      </vt:variant>
      <vt:variant>
        <vt:i4>8</vt:i4>
      </vt:variant>
      <vt:variant>
        <vt:i4>0</vt:i4>
      </vt:variant>
      <vt:variant>
        <vt:i4>5</vt:i4>
      </vt:variant>
      <vt:variant>
        <vt:lpwstr/>
      </vt:variant>
      <vt:variant>
        <vt:lpwstr>_Toc224614030</vt:lpwstr>
      </vt:variant>
      <vt:variant>
        <vt:i4>1376311</vt:i4>
      </vt:variant>
      <vt:variant>
        <vt:i4>2</vt:i4>
      </vt:variant>
      <vt:variant>
        <vt:i4>0</vt:i4>
      </vt:variant>
      <vt:variant>
        <vt:i4>5</vt:i4>
      </vt:variant>
      <vt:variant>
        <vt:lpwstr/>
      </vt:variant>
      <vt:variant>
        <vt:lpwstr>_Toc224614029</vt:lpwstr>
      </vt:variant>
      <vt:variant>
        <vt:i4>3276860</vt:i4>
      </vt:variant>
      <vt:variant>
        <vt:i4>21</vt:i4>
      </vt:variant>
      <vt:variant>
        <vt:i4>0</vt:i4>
      </vt:variant>
      <vt:variant>
        <vt:i4>5</vt:i4>
      </vt:variant>
      <vt:variant>
        <vt:lpwstr>https://ec.europa.eu/eurostat/statistics-explained/index.php?title=Government_expenditure_on_public_order_and_safety</vt:lpwstr>
      </vt:variant>
      <vt:variant>
        <vt:lpwstr/>
      </vt:variant>
      <vt:variant>
        <vt:i4>3342407</vt:i4>
      </vt:variant>
      <vt:variant>
        <vt:i4>18</vt:i4>
      </vt:variant>
      <vt:variant>
        <vt:i4>0</vt:i4>
      </vt:variant>
      <vt:variant>
        <vt:i4>5</vt:i4>
      </vt:variant>
      <vt:variant>
        <vt:lpwstr>https://ec.europa.eu/info/law/better-regulation/have-your-say/initiatives/14638-Law-enforcement-cooperation-new-Europol-regulation-proposal-/public-consultation_en</vt:lpwstr>
      </vt:variant>
      <vt:variant>
        <vt:lpwstr/>
      </vt:variant>
      <vt:variant>
        <vt:i4>3080318</vt:i4>
      </vt:variant>
      <vt:variant>
        <vt:i4>15</vt:i4>
      </vt:variant>
      <vt:variant>
        <vt:i4>0</vt:i4>
      </vt:variant>
      <vt:variant>
        <vt:i4>5</vt:i4>
      </vt:variant>
      <vt:variant>
        <vt:lpwstr>https://www.epp.eu/files/uploads/2025/01/EPP-Retreat-Priorities-2025-statement.pdf</vt:lpwstr>
      </vt:variant>
      <vt:variant>
        <vt:lpwstr/>
      </vt:variant>
      <vt:variant>
        <vt:i4>4653070</vt:i4>
      </vt:variant>
      <vt:variant>
        <vt:i4>12</vt:i4>
      </vt:variant>
      <vt:variant>
        <vt:i4>0</vt:i4>
      </vt:variant>
      <vt:variant>
        <vt:i4>5</vt:i4>
      </vt:variant>
      <vt:variant>
        <vt:lpwstr>https://ec.europa.eu/eurostat/statistics-explained/index.php?title=Police,_court_and_prison_personnel_statistics</vt:lpwstr>
      </vt:variant>
      <vt:variant>
        <vt:lpwstr>Source_data_for_tables_and_graphs</vt:lpwstr>
      </vt:variant>
      <vt:variant>
        <vt:i4>1310727</vt:i4>
      </vt:variant>
      <vt:variant>
        <vt:i4>9</vt:i4>
      </vt:variant>
      <vt:variant>
        <vt:i4>0</vt:i4>
      </vt:variant>
      <vt:variant>
        <vt:i4>5</vt:i4>
      </vt:variant>
      <vt:variant>
        <vt:lpwstr>https://www.europol.europa.eu/sites/default/files/documents/Europol_report_-_Leveraging_legitimacy_-_How_the_EU_most_threatening_crim_networks_abuse_legal_business_structures.pdf</vt:lpwstr>
      </vt:variant>
      <vt:variant>
        <vt:lpwstr/>
      </vt:variant>
      <vt:variant>
        <vt:i4>3342407</vt:i4>
      </vt:variant>
      <vt:variant>
        <vt:i4>6</vt:i4>
      </vt:variant>
      <vt:variant>
        <vt:i4>0</vt:i4>
      </vt:variant>
      <vt:variant>
        <vt:i4>5</vt:i4>
      </vt:variant>
      <vt:variant>
        <vt:lpwstr>https://ec.europa.eu/info/law/better-regulation/have-your-say/initiatives/14638-Law-enforcement-cooperation-new-Europol-regulation-proposal-/public-consultation_en</vt:lpwstr>
      </vt:variant>
      <vt:variant>
        <vt:lpwstr/>
      </vt:variant>
      <vt:variant>
        <vt:i4>1703955</vt:i4>
      </vt:variant>
      <vt:variant>
        <vt:i4>3</vt:i4>
      </vt:variant>
      <vt:variant>
        <vt:i4>0</vt:i4>
      </vt:variant>
      <vt:variant>
        <vt:i4>5</vt:i4>
      </vt:variant>
      <vt:variant>
        <vt:lpwstr>https://reports.weforum.org/docs/WEF_Global_Cybersecurity_Outlook_2026.pdf</vt:lpwstr>
      </vt:variant>
      <vt:variant>
        <vt:lpwstr/>
      </vt:variant>
      <vt:variant>
        <vt:i4>393302</vt:i4>
      </vt:variant>
      <vt:variant>
        <vt:i4>0</vt:i4>
      </vt:variant>
      <vt:variant>
        <vt:i4>0</vt:i4>
      </vt:variant>
      <vt:variant>
        <vt:i4>5</vt:i4>
      </vt:variant>
      <vt:variant>
        <vt:lpwstr>https://www.europol.europa.eu/media-press/newsroom/news/future-of-policing-main-focus-police-chiefs-meet-europol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SCALETTA Annalisa (HOME)</dc:creator>
  <cp:keywords/>
  <dc:description/>
  <cp:lastModifiedBy>SCALETTA Annalisa (HOME)</cp:lastModifiedBy>
  <cp:revision>3</cp:revision>
  <cp:lastPrinted>2023-07-04T22:29:00Z</cp:lastPrinted>
  <dcterms:created xsi:type="dcterms:W3CDTF">2026-06-23T15:33:00Z</dcterms:created>
  <dcterms:modified xsi:type="dcterms:W3CDTF">2026-06-23T15:35:00Z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2023-01-13T16:09:08Z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7e673b8e-6dd8-49f6-a98b-2979beb59a23</vt:lpwstr>
  </property>
  <property fmtid="{D5CDD505-2E9C-101B-9397-08002B2CF9AE}" pid="15" name="MSIP_Label_6bd9ddd1-4d20-43f6-abfa-fc3c07406f94_ContentBits">
    <vt:lpwstr>0</vt:lpwstr>
  </property>
  <property fmtid="{D5CDD505-2E9C-101B-9397-08002B2CF9AE}" pid="16" name="ContentTypeId">
    <vt:lpwstr>0x010100E8CC684075A2A84CA3D25CE66AF701F50018B8D53A53073E4A9E132AC4D12F77EB</vt:lpwstr>
  </property>
  <property fmtid="{D5CDD505-2E9C-101B-9397-08002B2CF9AE}" pid="17" name="TaxKeyword">
    <vt:lpwstr/>
  </property>
  <property fmtid="{D5CDD505-2E9C-101B-9397-08002B2CF9AE}" pid="18" name="MediaServiceImageTags">
    <vt:lpwstr/>
  </property>
  <property fmtid="{D5CDD505-2E9C-101B-9397-08002B2CF9AE}" pid="19" name="Responsible_x0020_unit_x0020_">
    <vt:lpwstr>151;#SG.C.2|c917e1f5-7912-4eb9-962c-e792a6657685</vt:lpwstr>
  </property>
  <property fmtid="{D5CDD505-2E9C-101B-9397-08002B2CF9AE}" pid="20" name="Responsible unit ">
    <vt:lpwstr>151;#SG.C.2|c917e1f5-7912-4eb9-962c-e792a6657685</vt:lpwstr>
  </property>
  <property fmtid="{D5CDD505-2E9C-101B-9397-08002B2CF9AE}" pid="21" name="Responsible unit">
    <vt:lpwstr/>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TriggerFlowInfo">
    <vt:lpwstr/>
  </property>
  <property fmtid="{D5CDD505-2E9C-101B-9397-08002B2CF9AE}" pid="27" name="xd_Signature">
    <vt:bool>false</vt:bool>
  </property>
  <property fmtid="{D5CDD505-2E9C-101B-9397-08002B2CF9AE}" pid="28" name="HoMEDocCountry">
    <vt:lpwstr/>
  </property>
  <property fmtid="{D5CDD505-2E9C-101B-9397-08002B2CF9AE}" pid="29" name="HoMEDocAudience">
    <vt:lpwstr/>
  </property>
  <property fmtid="{D5CDD505-2E9C-101B-9397-08002B2CF9AE}" pid="30" name="HoMEDocStatus">
    <vt:lpwstr/>
  </property>
  <property fmtid="{D5CDD505-2E9C-101B-9397-08002B2CF9AE}" pid="31" name="HoMEDocType">
    <vt:lpwstr/>
  </property>
  <property fmtid="{D5CDD505-2E9C-101B-9397-08002B2CF9AE}" pid="32" name="HoMEDocPolicy">
    <vt:lpwstr/>
  </property>
</Properties>
</file>