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4E49482-1C9D-44EB-91BF-159F5481B4C3" style="width:455.25pt;height:465.7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Bdr>
          <w:top w:val="nil"/>
          <w:left w:val="nil"/>
          <w:bottom w:val="nil"/>
          <w:right w:val="nil"/>
          <w:between w:val="nil"/>
          <w:bar w:val="nil"/>
        </w:pBdr>
        <w:spacing w:before="0" w:after="240"/>
        <w:rPr>
          <w:rFonts w:eastAsia="Arial Unicode MS"/>
          <w:b/>
          <w:bCs/>
          <w:noProof/>
        </w:rPr>
      </w:pPr>
      <w:r>
        <w:rPr>
          <w:b/>
          <w:noProof/>
        </w:rPr>
        <w:lastRenderedPageBreak/>
        <w:t>A. Necesitatea de a acționa</w:t>
      </w:r>
    </w:p>
    <w:p>
      <w:pPr>
        <w:pBdr>
          <w:top w:val="nil"/>
          <w:left w:val="nil"/>
          <w:bottom w:val="nil"/>
          <w:right w:val="nil"/>
          <w:between w:val="nil"/>
          <w:bar w:val="nil"/>
        </w:pBdr>
        <w:spacing w:before="0" w:after="240"/>
        <w:rPr>
          <w:rFonts w:eastAsia="Arial Unicode MS"/>
          <w:b/>
          <w:bCs/>
          <w:noProof/>
        </w:rPr>
      </w:pPr>
      <w:r>
        <w:rPr>
          <w:b/>
          <w:noProof/>
        </w:rPr>
        <w:t>Care este problema și de ce este o problemă la nivelul UE?</w:t>
      </w:r>
    </w:p>
    <w:p>
      <w:pPr>
        <w:pBdr>
          <w:top w:val="nil"/>
          <w:left w:val="nil"/>
          <w:bottom w:val="nil"/>
          <w:right w:val="nil"/>
          <w:between w:val="nil"/>
          <w:bar w:val="nil"/>
        </w:pBdr>
        <w:spacing w:before="0" w:after="240"/>
        <w:rPr>
          <w:rFonts w:eastAsia="Arial Unicode MS"/>
          <w:noProof/>
        </w:rPr>
      </w:pPr>
      <w:r>
        <w:rPr>
          <w:noProof/>
        </w:rPr>
        <w:t>Uniunea Europeană (UE) se confruntă cu o transformare profundă a mediului său de securitate, pe măsură ce criminalitatea gravă și terorismul capătă un caracter tot mai transnațional, devin tot mai avansate din punct de vedere tehnologic și sunt tot mai interconectate. Rețelele infracționale funcționează prin ecosisteme transfrontaliere flexibile care combină infrastructurile digitale, fluxurile financiare ilicite, rețelele logistice și serviciile online. În prezent, activitățile infracționale sunt adesea concepute, coordonate și extinse la nivel transnațional încă de la început, ceea ce face ca criminalitatea să devină, în mod implicit, o problemă transfrontalieră.</w:t>
      </w:r>
    </w:p>
    <w:p>
      <w:pPr>
        <w:pBdr>
          <w:top w:val="nil"/>
          <w:left w:val="nil"/>
          <w:bottom w:val="nil"/>
          <w:right w:val="nil"/>
          <w:between w:val="nil"/>
          <w:bar w:val="nil"/>
        </w:pBdr>
        <w:spacing w:before="0" w:after="240"/>
        <w:rPr>
          <w:rFonts w:eastAsia="Arial Unicode MS"/>
          <w:noProof/>
        </w:rPr>
      </w:pPr>
      <w:r>
        <w:rPr>
          <w:noProof/>
        </w:rPr>
        <w:t>Progresele tehnologice rapide au accelerat această schimbare. Comunicațiile criptate, instrumentele de automatizare și criptomonedele nu mai sunt doar mijloace de facilitare a activității infracționale, ci active operaționale de bază ale rețelelor infracționale moderne. Împreună cu platformele digitale și infrastructurile online, acestea le permit infractorilor să își coordoneze operațiunile în timp real, să își extindă activitățile ilicite cu o viteză fără precedent, să ascundă fluxurile financiare, să își adapteze rapid modelele operaționale și să exploateze punctele slabe din toate jurisdicțiile. În același timp, granițele dintre criminalitatea informatică, criminalitatea financiară și alte forme de criminalitate gravă și organizată devin tot mai neclare.</w:t>
      </w:r>
    </w:p>
    <w:p>
      <w:pPr>
        <w:rPr>
          <w:rFonts w:eastAsia="Aptos"/>
          <w:noProof/>
        </w:rPr>
      </w:pPr>
      <w:r>
        <w:rPr>
          <w:noProof/>
        </w:rPr>
        <w:t>În prezent, Europol este un factor de amplificare a forței în domeniul securității europene, reflectând trecerea de la cooperarea ca opțiune la cooperarea ca necesitate. Acest nivel de integrare, odată de neimaginat, a devenit posibil datorită unor consolidări juridice succesive</w:t>
      </w:r>
      <w:r>
        <w:rPr>
          <w:rStyle w:val="FootnoteReference"/>
          <w:rFonts w:eastAsia="Aptos"/>
          <w:noProof/>
        </w:rPr>
        <w:footnoteReference w:id="1"/>
      </w:r>
      <w:r>
        <w:rPr>
          <w:noProof/>
        </w:rPr>
        <w:t>, pe baza voinței statelor membre de a pune în comun cunoștințele de specialitate și capacitățile pentru a intensifica lupta împotriva formelor grave de criminalitate și a terorismului. Aceste acțiuni pun în practică obiectivul prevăzut în tratate de a asigura un nivel ridicat de securitate pentru UE și cetățenii săi într-un spațiu fără frontiere interne</w:t>
      </w:r>
      <w:r>
        <w:rPr>
          <w:rStyle w:val="FootnoteReference"/>
          <w:rFonts w:eastAsia="Aptos"/>
          <w:noProof/>
        </w:rPr>
        <w:footnoteReference w:id="2"/>
      </w:r>
      <w:r>
        <w:rPr>
          <w:noProof/>
        </w:rPr>
        <w:t xml:space="preserve">. Pe măsură ce mandatul și instrumentele sale au evoluat, Europol a devenit un pilon central al unei arhitecturi de securitate europene mai integrate și mai operaționale. </w:t>
      </w:r>
    </w:p>
    <w:p>
      <w:pPr>
        <w:pStyle w:val="Text2"/>
        <w:spacing w:after="120" w:line="257" w:lineRule="auto"/>
        <w:ind w:left="0"/>
        <w:rPr>
          <w:noProof/>
        </w:rPr>
      </w:pPr>
      <w:r>
        <w:rPr>
          <w:noProof/>
        </w:rPr>
        <w:t>În pofida mandatului său consolidat, Europol nu dispune de toate resursele necesare pentru a-și îndeplini misiunea în acest mediu în continuă evoluție. Astfel cum s-a subliniat în raportul Comisiei în temeiul articolului 68 alineatul (3) din Regulamentul privind Europol</w:t>
      </w:r>
      <w:r>
        <w:rPr>
          <w:rStyle w:val="FootnoteReference"/>
          <w:noProof/>
        </w:rPr>
        <w:footnoteReference w:id="3"/>
      </w:r>
      <w:r>
        <w:rPr>
          <w:noProof/>
        </w:rPr>
        <w:t xml:space="preserve"> și în evaluarea Europol</w:t>
      </w:r>
      <w:r>
        <w:rPr>
          <w:rStyle w:val="FootnoteReference"/>
          <w:noProof/>
        </w:rPr>
        <w:footnoteReference w:id="4"/>
      </w:r>
      <w:r>
        <w:rPr>
          <w:noProof/>
        </w:rPr>
        <w:t xml:space="preserve">, agenția se confruntă cu constrângeri de natură juridică, operațională și structurală care îi limitează capacitatea de a oferi sprijin prompt, cuprinzător și realizabil statelor membre. Lacunele persistente în materie de informații împiedică elaborarea unui tablou complet, din perspectiva informațiilor operative în materie penală, asupra amenințărilor transfrontaliere. Cooperarea și coordonarea operaționale inegale și fragmentate cu statele membre limitează valoarea adăugată a sprijinului acordat de Europol pentru acțiunea autorităților naționale pe teren. Limitările în ceea ce privește capacitățile tehnice, cunoștințele de specialitate și pregătirea reduc capacitatea de a răspunde în mod eficace la activități </w:t>
      </w:r>
      <w:r>
        <w:rPr>
          <w:noProof/>
        </w:rPr>
        <w:lastRenderedPageBreak/>
        <w:t xml:space="preserve">infracționale din ce în ce mai sofisticate și facilitate din punct de vedere tehnologic. Împreună, aceste constrângeri reduc eficacitatea operațională a Europol și capacitatea sa de a-și valorifica pe deplin valoarea adăugată. </w:t>
      </w:r>
    </w:p>
    <w:p>
      <w:pPr>
        <w:pStyle w:val="Text2"/>
        <w:spacing w:after="120" w:line="257" w:lineRule="auto"/>
        <w:ind w:left="0"/>
        <w:rPr>
          <w:noProof/>
        </w:rPr>
      </w:pPr>
      <w:r>
        <w:rPr>
          <w:noProof/>
        </w:rPr>
        <w:t>Au fost identificate două probleme principale:</w:t>
      </w:r>
    </w:p>
    <w:p>
      <w:pPr>
        <w:pStyle w:val="Text2"/>
        <w:numPr>
          <w:ilvl w:val="0"/>
          <w:numId w:val="1"/>
        </w:numPr>
        <w:spacing w:after="120" w:line="257" w:lineRule="auto"/>
        <w:rPr>
          <w:noProof/>
        </w:rPr>
      </w:pPr>
      <w:r>
        <w:rPr>
          <w:noProof/>
        </w:rPr>
        <w:t>Europol și autoritățile naționale se confruntă cu lacune persistente în materie de informații atunci când investighează infracțiuni transfrontaliere și identifică amenințări.</w:t>
      </w:r>
    </w:p>
    <w:p>
      <w:pPr>
        <w:pStyle w:val="Text2"/>
        <w:numPr>
          <w:ilvl w:val="0"/>
          <w:numId w:val="1"/>
        </w:numPr>
        <w:spacing w:after="120" w:line="257" w:lineRule="auto"/>
        <w:rPr>
          <w:noProof/>
        </w:rPr>
      </w:pPr>
      <w:r>
        <w:rPr>
          <w:noProof/>
        </w:rPr>
        <w:t>Sprijinul operațional acordat de Europol rămâne limitat și fragmentat.</w:t>
      </w:r>
    </w:p>
    <w:p>
      <w:pPr>
        <w:pStyle w:val="Text2"/>
        <w:spacing w:after="120" w:line="257" w:lineRule="auto"/>
        <w:ind w:left="0"/>
        <w:rPr>
          <w:b/>
          <w:bCs/>
          <w:noProof/>
        </w:rPr>
      </w:pPr>
      <w:r>
        <w:rPr>
          <w:b/>
          <w:noProof/>
        </w:rPr>
        <w:t>Obiective: Care este rezultatul urmărit?</w:t>
      </w:r>
    </w:p>
    <w:p>
      <w:pPr>
        <w:spacing w:line="257" w:lineRule="auto"/>
        <w:rPr>
          <w:rFonts w:eastAsia="Arial"/>
          <w:noProof/>
        </w:rPr>
      </w:pPr>
      <w:r>
        <w:rPr>
          <w:noProof/>
        </w:rPr>
        <w:t xml:space="preserve">Obiectivul general al prezentei inițiative este de a îmbunătăți eficacitatea cooperării în materie de aplicare a legii la nivelul UE în ceea ce privește prevenirea și combaterea criminalității grave și organizate și a terorismului, pentru a contribui la un nivel ridicat de securitate internă în UE. </w:t>
      </w:r>
    </w:p>
    <w:p>
      <w:pPr>
        <w:pBdr>
          <w:top w:val="nil"/>
          <w:left w:val="nil"/>
          <w:bottom w:val="nil"/>
          <w:right w:val="nil"/>
          <w:between w:val="nil"/>
          <w:bar w:val="nil"/>
        </w:pBdr>
        <w:spacing w:before="0" w:after="240"/>
        <w:rPr>
          <w:rFonts w:eastAsia="Arial Unicode MS"/>
          <w:noProof/>
        </w:rPr>
      </w:pPr>
      <w:r>
        <w:rPr>
          <w:noProof/>
        </w:rPr>
        <w:t>Mai precis, inițiativa urmărește:</w:t>
      </w:r>
    </w:p>
    <w:p>
      <w:pPr>
        <w:pStyle w:val="ListParagraph"/>
        <w:numPr>
          <w:ilvl w:val="0"/>
          <w:numId w:val="2"/>
        </w:numPr>
        <w:pBdr>
          <w:top w:val="nil"/>
          <w:left w:val="nil"/>
          <w:bottom w:val="nil"/>
          <w:right w:val="nil"/>
          <w:between w:val="nil"/>
          <w:bar w:val="nil"/>
        </w:pBdr>
        <w:spacing w:after="240"/>
        <w:rPr>
          <w:rFonts w:ascii="Times New Roman" w:eastAsia="Arial" w:hAnsi="Times New Roman" w:cs="Times New Roman"/>
          <w:noProof/>
          <w:kern w:val="0"/>
          <w:sz w:val="24"/>
          <w14:ligatures w14:val="none"/>
        </w:rPr>
      </w:pPr>
      <w:r>
        <w:rPr>
          <w:rFonts w:ascii="Times New Roman" w:hAnsi="Times New Roman"/>
          <w:noProof/>
          <w:sz w:val="24"/>
        </w:rPr>
        <w:t>consolidarea rolului Europol ca centru de informații pentru asigurarea respectării legii;</w:t>
      </w:r>
    </w:p>
    <w:p>
      <w:pPr>
        <w:pStyle w:val="ListParagraph"/>
        <w:numPr>
          <w:ilvl w:val="0"/>
          <w:numId w:val="2"/>
        </w:numPr>
        <w:pBdr>
          <w:top w:val="nil"/>
          <w:left w:val="nil"/>
          <w:bottom w:val="nil"/>
          <w:right w:val="nil"/>
          <w:between w:val="nil"/>
          <w:bar w:val="nil"/>
        </w:pBdr>
        <w:spacing w:after="240"/>
        <w:rPr>
          <w:rFonts w:ascii="Times New Roman" w:eastAsia="Arial" w:hAnsi="Times New Roman" w:cs="Times New Roman"/>
          <w:noProof/>
          <w:kern w:val="0"/>
          <w:sz w:val="24"/>
          <w14:ligatures w14:val="none"/>
        </w:rPr>
      </w:pPr>
      <w:r>
        <w:rPr>
          <w:rFonts w:ascii="Times New Roman" w:hAnsi="Times New Roman"/>
          <w:noProof/>
          <w:sz w:val="24"/>
        </w:rPr>
        <w:t>consolidarea capacității Europol de a sprijini acțiunile operaționale de aplicare a legii.</w:t>
      </w:r>
    </w:p>
    <w:p>
      <w:pPr>
        <w:pBdr>
          <w:top w:val="nil"/>
          <w:left w:val="nil"/>
          <w:bottom w:val="nil"/>
          <w:right w:val="nil"/>
          <w:between w:val="nil"/>
          <w:bar w:val="nil"/>
        </w:pBdr>
        <w:spacing w:before="0" w:after="240"/>
        <w:rPr>
          <w:rFonts w:eastAsia="Arial"/>
          <w:b/>
          <w:bCs/>
          <w:noProof/>
        </w:rPr>
      </w:pPr>
      <w:r>
        <w:rPr>
          <w:b/>
          <w:noProof/>
        </w:rPr>
        <w:t xml:space="preserve">Care este valoarea adăugată a acțiunii la nivelul UE (subsidiaritate)? </w:t>
      </w:r>
    </w:p>
    <w:p>
      <w:pPr>
        <w:tabs>
          <w:tab w:val="num" w:pos="340"/>
        </w:tabs>
        <w:spacing w:line="260" w:lineRule="atLeast"/>
        <w:rPr>
          <w:rFonts w:eastAsia="Times New Roman"/>
          <w:noProof/>
          <w:color w:val="000000" w:themeColor="text1"/>
        </w:rPr>
      </w:pPr>
      <w:r>
        <w:rPr>
          <w:noProof/>
          <w:color w:val="000000" w:themeColor="text1"/>
        </w:rPr>
        <w:t>Europol joacă un rol unic și indispensabil în sprijinirea statelor membre în ceea ce privește prevenirea și combaterea criminalității grave și a terorismului, în special atunci când aceste amenințări au o dimensiune transfrontalieră. Prin analiza datelor operative în materie penală, prin sprijinul operațional și tehnic acordat investigațiilor, prin coordonarea acțiunilor transfrontaliere de aplicare a legii și prin sprijinul acordat echipelor comune de anchetă, Europol extinde aria de acoperire, viteza și eficacitatea investigațiilor naționale. Agenția permite autorităților să identifice legăturile dintre activitățile infracționale desfășurate în mai multe state membre, să identifice țintele prioritare și să coordoneze răspunsurile operaționale, consolidând astfel în mod semnificativ capacitatea colectivă a Uniunii de a dezmembra rețelele infracționale.</w:t>
      </w:r>
    </w:p>
    <w:p>
      <w:pPr>
        <w:tabs>
          <w:tab w:val="num" w:pos="340"/>
        </w:tabs>
        <w:spacing w:line="260" w:lineRule="atLeast"/>
        <w:rPr>
          <w:rFonts w:eastAsia="Times New Roman"/>
          <w:noProof/>
          <w:color w:val="000000" w:themeColor="text1"/>
        </w:rPr>
      </w:pPr>
      <w:r>
        <w:rPr>
          <w:noProof/>
          <w:color w:val="000000" w:themeColor="text1"/>
        </w:rPr>
        <w:t xml:space="preserve">Europol pune la dispoziție, de asemenea, capacități specializate, cunoștințe de specialitate și infrastructură tehnologică pe care statele membre, luate individual, nu le-ar putea dezvolta sau menține în mod eficient pe cont propriu. Prin centralizarea cunoștințelor de specialitate, a instrumentelor și a infrastructurii de mare valoare la nivelul Uniunii, Europol generează </w:t>
      </w:r>
      <w:r>
        <w:rPr>
          <w:b/>
          <w:noProof/>
          <w:color w:val="000000" w:themeColor="text1"/>
        </w:rPr>
        <w:t>economii de scară substanțiale</w:t>
      </w:r>
      <w:r>
        <w:rPr>
          <w:noProof/>
          <w:color w:val="000000" w:themeColor="text1"/>
        </w:rPr>
        <w:t>, reduce suprapunerea investițiilor și se asigură că toate statele membre beneficiază de capacități de ultimă generație, indiferent de dimensiunea lor sau de resursele naționale de care dispun.</w:t>
      </w:r>
    </w:p>
    <w:p>
      <w:pPr>
        <w:pBdr>
          <w:top w:val="nil"/>
          <w:left w:val="nil"/>
          <w:bottom w:val="nil"/>
          <w:right w:val="nil"/>
          <w:between w:val="nil"/>
          <w:bar w:val="nil"/>
        </w:pBdr>
        <w:spacing w:before="0" w:after="240"/>
        <w:rPr>
          <w:rFonts w:eastAsia="Arial"/>
          <w:b/>
          <w:bCs/>
          <w:noProof/>
        </w:rPr>
      </w:pPr>
      <w:r>
        <w:rPr>
          <w:b/>
          <w:noProof/>
        </w:rPr>
        <w:t>B. Soluții</w:t>
      </w:r>
    </w:p>
    <w:p>
      <w:pPr>
        <w:pBdr>
          <w:top w:val="nil"/>
          <w:left w:val="nil"/>
          <w:bottom w:val="nil"/>
          <w:right w:val="nil"/>
          <w:between w:val="nil"/>
          <w:bar w:val="nil"/>
        </w:pBdr>
        <w:spacing w:before="0" w:after="240"/>
        <w:rPr>
          <w:rFonts w:eastAsia="Arial"/>
          <w:b/>
          <w:bCs/>
          <w:noProof/>
        </w:rPr>
      </w:pPr>
      <w:r>
        <w:rPr>
          <w:b/>
          <w:noProof/>
        </w:rPr>
        <w:t>Care sunt diferitele opțiuni disponibile pentru atingerea obiectivelor? Există o opțiune preferată?</w:t>
      </w:r>
    </w:p>
    <w:p>
      <w:pPr>
        <w:pBdr>
          <w:top w:val="nil"/>
          <w:left w:val="nil"/>
          <w:bottom w:val="nil"/>
          <w:right w:val="nil"/>
          <w:between w:val="nil"/>
          <w:bar w:val="nil"/>
        </w:pBdr>
        <w:spacing w:before="0" w:after="240"/>
        <w:rPr>
          <w:rFonts w:eastAsia="Arial Unicode MS"/>
          <w:noProof/>
        </w:rPr>
      </w:pPr>
      <w:r>
        <w:rPr>
          <w:noProof/>
        </w:rPr>
        <w:t xml:space="preserve">Au fost luate în considerare două opțiuni de politică principale. </w:t>
      </w:r>
    </w:p>
    <w:p>
      <w:pPr>
        <w:pBdr>
          <w:top w:val="nil"/>
          <w:left w:val="nil"/>
          <w:bottom w:val="nil"/>
          <w:right w:val="nil"/>
          <w:between w:val="nil"/>
          <w:bar w:val="nil"/>
        </w:pBdr>
        <w:spacing w:before="0" w:after="240"/>
        <w:rPr>
          <w:rFonts w:eastAsia="Arial Unicode MS"/>
          <w:noProof/>
        </w:rPr>
      </w:pPr>
      <w:r>
        <w:rPr>
          <w:b/>
          <w:noProof/>
        </w:rPr>
        <w:t>Prima opțiune</w:t>
      </w:r>
      <w:r>
        <w:rPr>
          <w:noProof/>
        </w:rPr>
        <w:t xml:space="preserve"> se axează pe îmbunătățiri specifice ale modelului operațional existent, care ar consolida sprijinul acordat de Europol investigațiilor statelor membre. Acest lucru ar include îmbunătățirea disponibilității, a actualității și a utilizării operaționale a datelor. Printre </w:t>
      </w:r>
      <w:r>
        <w:rPr>
          <w:noProof/>
        </w:rPr>
        <w:lastRenderedPageBreak/>
        <w:t xml:space="preserve">măsurile-cheie se numără obligații specifice privind schimbul de date în domeniile prioritare ale criminalității, implementarea obligatorie a unor instrumente automatizate de încărcare a datelor și actualizări majore ale sistemelor TIC ale Europol pentru a îmbunătăți automatizarea, interoperabilitatea și capacitățile analitice. Europol ar oferi, de asemenea, sprijin tehnic, standarde comune și formare pentru a asigura beneficii operaționale pentru statele membre. În cadrul acestei abordări, măsurile ar îmbunătăți, de asemenea, punerea în aplicare a clasificării persoanelor vizate (DSC – </w:t>
      </w:r>
      <w:r>
        <w:rPr>
          <w:i/>
          <w:noProof/>
        </w:rPr>
        <w:t>Data Subject Categorisation</w:t>
      </w:r>
      <w:r>
        <w:rPr>
          <w:noProof/>
        </w:rPr>
        <w:t xml:space="preserve">) fără să modifice cadrul juridic, în special prin instrumente analitice avansate și proceduri actualizate. Această primă opțiune ar consolida, de asemenea, cooperarea cu organele și agențiile Uniunii. În special, ea ar consolida sprijinul analitic acordat de Europol investigațiilor EPPO prin cunoștințe de specialitate specifice și o coordonare mai strânsă, ar îmbunătăți continuitatea operațională Europol-Eurojust printr-un schimb de informații mai automatizat și prin sprijin specializat pentru accesarea probelor electronice și ar permite schimburi structurate cu ACSB prin intermediul unui sistem de tip răspuns pozitiv/răspuns negativ („hit/no hit”) pentru a identifica mai bine legăturile dintre informațiile financiare și formele grave de criminalitate organizată. În același timp, a doua opțiune ar integra capacitățile analitice ale Europol direct în investigațiile naționale prin conectarea sistemelor naționale de gestionare a cazurilor la bazele de date și instrumentele Europol. </w:t>
      </w:r>
    </w:p>
    <w:p>
      <w:pPr>
        <w:pBdr>
          <w:top w:val="nil"/>
          <w:left w:val="nil"/>
          <w:bottom w:val="nil"/>
          <w:right w:val="nil"/>
          <w:between w:val="nil"/>
          <w:bar w:val="nil"/>
        </w:pBdr>
        <w:spacing w:before="0" w:after="240"/>
        <w:rPr>
          <w:rFonts w:eastAsia="Arial Unicode MS"/>
          <w:noProof/>
        </w:rPr>
      </w:pPr>
      <w:r>
        <w:rPr>
          <w:b/>
          <w:noProof/>
        </w:rPr>
        <w:t>A doua abordare</w:t>
      </w:r>
      <w:r>
        <w:rPr>
          <w:noProof/>
        </w:rPr>
        <w:t xml:space="preserve"> a avut în vedere o evoluție mai structurală a modelului operațional al Europol. Scopul său a fost acela de a depăși un cadru axat în principal pe transmiterea bilaterală a informațiilor, orientându-se către dezvoltarea unor infrastructuri de comunicații comune la nivelul Uniunii, în special a spațiului comun de date al poliției din UE. Această abordare ar simplifica, de asemenea, clasificarea persoanelor vizate (DSC) prin alinierea Regulamentului privind Europol la RPDUE și la Directiva privind protecția datelor în materie de asigurare a respectării legii. În loc să impună clasificarea înainte de orice prelucrare a datelor, DSC s-ar aplica acolo unde este relevant și posibil, având în vedere natura datelor. Acest lucru ar îmbunătăți capacitatea Europol de a prelucra seturi de date mari și complexe, menținând în același timp o supraveghere strictă a protecției datelor de către AEPD. Această abordare prevede, de asemenea, o formă mai integrată de sprijin operațional, încorporată direct în mediile naționale de anchetă, inclusiv prin înființarea birourilor de sprijin ale Europol în statele membre. În plus, această opțiune include, de asemenea, o cooperare consolidată cu Parchetul European, de la un model bazat pe cerere la un parteneriat sistematic și structurat.</w:t>
      </w:r>
    </w:p>
    <w:p>
      <w:pPr>
        <w:pBdr>
          <w:top w:val="nil"/>
          <w:left w:val="nil"/>
          <w:bottom w:val="nil"/>
          <w:right w:val="nil"/>
          <w:between w:val="nil"/>
          <w:bar w:val="nil"/>
        </w:pBdr>
        <w:spacing w:before="0" w:after="240"/>
        <w:rPr>
          <w:rFonts w:eastAsia="Arial Unicode MS"/>
          <w:noProof/>
        </w:rPr>
      </w:pPr>
      <w:r>
        <w:rPr>
          <w:noProof/>
        </w:rPr>
        <w:t xml:space="preserve">Pe această bază, </w:t>
      </w:r>
      <w:r>
        <w:rPr>
          <w:b/>
          <w:noProof/>
        </w:rPr>
        <w:t>opțiunea preferată</w:t>
      </w:r>
      <w:r>
        <w:rPr>
          <w:noProof/>
        </w:rPr>
        <w:t xml:space="preserve"> combină elemente ale ambelor abordări. Aceasta se bazează pe îmbunătățirile progresive identificate în cadrul primei abordări, în special în ceea ce privește consolidarea disponibilității datelor, modernizarea sistemelor și integrarea instrumentelor Europol în investigațiile naționale. În același timp, ea depășește modelul existent atunci când este necesar pentru a aborda limitările structurale, în special prin permiterea accesului autorizat la datele naționale, prin consolidarea prezenței operaționale a Europol în statele membre și prin consolidarea cooperării sale cu Parchetul European. Aceste măsuri sunt concepute pentru a se consolida reciproc. În special, îmbunătățirile progresive din cadrul primei abordări creează condițiile necesare pentru ca măsurile mai avansate să funcționeze în mod eficace, asigurându-se că disponibilitatea sporită a datelor, sistemele și fluxurile de lucru sprijină utilizarea de noi capacități operaționale la nivelul Uniunii.</w:t>
      </w:r>
    </w:p>
    <w:p>
      <w:pPr>
        <w:keepNext/>
        <w:pBdr>
          <w:top w:val="nil"/>
          <w:left w:val="nil"/>
          <w:bottom w:val="nil"/>
          <w:right w:val="nil"/>
          <w:between w:val="nil"/>
          <w:bar w:val="nil"/>
        </w:pBdr>
        <w:spacing w:before="0" w:after="240"/>
        <w:rPr>
          <w:rFonts w:eastAsia="Arial Unicode MS"/>
          <w:b/>
          <w:bCs/>
          <w:noProof/>
        </w:rPr>
      </w:pPr>
      <w:r>
        <w:rPr>
          <w:b/>
          <w:noProof/>
        </w:rPr>
        <w:lastRenderedPageBreak/>
        <w:t>C. Impactul opțiunii preferate</w:t>
      </w:r>
    </w:p>
    <w:p>
      <w:pPr>
        <w:keepNext/>
        <w:pBdr>
          <w:top w:val="nil"/>
          <w:left w:val="nil"/>
          <w:bottom w:val="nil"/>
          <w:right w:val="nil"/>
          <w:between w:val="nil"/>
          <w:bar w:val="nil"/>
        </w:pBdr>
        <w:spacing w:before="0" w:after="240"/>
        <w:rPr>
          <w:rFonts w:eastAsia="Arial Unicode MS"/>
          <w:b/>
          <w:bCs/>
          <w:noProof/>
        </w:rPr>
      </w:pPr>
      <w:r>
        <w:rPr>
          <w:b/>
          <w:noProof/>
        </w:rPr>
        <w:t>Care sunt avantajele opțiunii preferate (sau ale opțiunilor principale dacă nu există o opțiune preferată)?</w:t>
      </w:r>
    </w:p>
    <w:p>
      <w:pPr>
        <w:pBdr>
          <w:top w:val="nil"/>
          <w:left w:val="nil"/>
          <w:bottom w:val="nil"/>
          <w:right w:val="nil"/>
          <w:between w:val="nil"/>
          <w:bar w:val="nil"/>
        </w:pBdr>
        <w:spacing w:before="0" w:after="240"/>
        <w:rPr>
          <w:rFonts w:eastAsia="Arial Unicode MS"/>
          <w:noProof/>
        </w:rPr>
      </w:pPr>
      <w:r>
        <w:rPr>
          <w:noProof/>
        </w:rPr>
        <w:t>Se preconizează că opțiunea preferată va îmbunătăți în mod semnificativ eficacitatea cooperării transfrontaliere în materie de aplicare a legii prin reducerea fragmentării informațiilor, prin accelerarea identificării legăturilor operaționale între investigații și prin consolidarea coordonării operaționale între organele și agențiile UE. De asemenea, se preconizează că această opțiune va îmbunătăți capacitatea autorităților naționale de a investiga forme de criminalitate din ce în ce mai digitale, transfrontaliere și care utilizează în mod intensiv datele, prin consolidarea sprijinului analitic, prin capacități tehnologice comune și prin structuri de sprijin operațional mai integrate. Se preconizează că cetățenii vor beneficia de pe urma consolidării securității interne și a unei preveniri și investigări mai eficace a criminalității grave și organizate, precum și a terorismului.</w:t>
      </w:r>
    </w:p>
    <w:p>
      <w:pPr>
        <w:pBdr>
          <w:top w:val="nil"/>
          <w:left w:val="nil"/>
          <w:bottom w:val="nil"/>
          <w:right w:val="nil"/>
          <w:between w:val="nil"/>
          <w:bar w:val="nil"/>
        </w:pBdr>
        <w:spacing w:before="0" w:after="240"/>
        <w:rPr>
          <w:rFonts w:eastAsia="Arial Unicode MS"/>
          <w:noProof/>
        </w:rPr>
      </w:pPr>
      <w:r>
        <w:rPr>
          <w:noProof/>
        </w:rPr>
        <w:t>Opțiunea preferată necesită investiții semnificative atât la nivelul Uniunii, cât și la nivelul statelor membre, în special pentru dezvoltarea unor infrastructuri tehnologice comune, a unor soluții de interoperabilitate, a unor măsuri de integrare operațională și a unor capacități analitice și operaționale consolidate. Costurile unice estimate se ridică la aproximativ 255 de milioane EUR pentru statele membre și la 240 de milioane EUR pentru Europol, în timp ce costurile recurente anuale sunt estimate la aproximativ 48 de milioane EUR pentru statele membre și la 78 de milioane EUR pentru Europol. Costurile totale estimate pentru perioada 2028-2034 se ridică la aproximativ 590 de milioane EUR pentru statele membre și la 789 de milioane EUR pentru Europol. În același timp, se preconizează că utilizarea infrastructurilor și a capacităților comune la nivelul Uniunii va genera îmbunătățiri semnificative ale eficienței și economii de scară, inclusiv economii estimate la aproximativ 42 de milioane EUR în comparație cu abordările de punere în aplicare separate.</w:t>
      </w:r>
    </w:p>
    <w:p>
      <w:pPr>
        <w:pBdr>
          <w:top w:val="nil"/>
          <w:left w:val="nil"/>
          <w:bottom w:val="nil"/>
          <w:right w:val="nil"/>
          <w:between w:val="nil"/>
          <w:bar w:val="nil"/>
        </w:pBdr>
        <w:spacing w:before="0" w:after="240"/>
        <w:rPr>
          <w:rFonts w:eastAsia="Arial Unicode MS"/>
          <w:noProof/>
        </w:rPr>
      </w:pPr>
      <w:r>
        <w:rPr>
          <w:noProof/>
        </w:rPr>
        <w:t>Ingerințele în drepturile la viață privată și la protecția datelor cu caracter personal care rezultă din opțiunea preferată rămân necesare și proporționale, având în vedere obiectivul de a asigura prevenirea și combaterea eficace a criminalității grave și organizate și a terorismului într-un mediu operațional din ce în ce mai digital și transfrontalier. Evaluarea impactului a concluzionat că actualul cadru nu mai reflectă în mod adecvat realitățile operaționale ale datelor operative moderne în materie penală și creează limitări structurale care afectează capacitatea Europol de a sprijini în mod eficace statele membre. În același timp, propunerea consolidează și restructurează în mod substanțial cadrul de garanții aplicabil activităților de prelucrare ale Europol. În special, ea introduce un cadru juridic și tehnic mai detaliat care reglementează mediile de date ale Europol, regimurile de prelucrare, condițiile de acces, separarea mediilor de prelucrare, cerințele de înregistrare și trasabilitate, perioadele de stocare și mecanismul de supraveghere și control.</w:t>
      </w:r>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744474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 xml:space="preserve"> Regulamentul (UE) 2016/794 a fost modificat în 2022 prin Regulamentul (UE) 2022/991 pentru a aborda noile amenințări la adresa securității și în 2025 prin Regulamentul (UE) 2025/2611 pentru a combate în mod eficace introducerea ilegală de migranți.</w:t>
      </w:r>
    </w:p>
  </w:footnote>
  <w:footnote w:id="2">
    <w:p>
      <w:pPr>
        <w:pStyle w:val="FootnoteText"/>
      </w:pPr>
      <w:r>
        <w:rPr>
          <w:rStyle w:val="FootnoteReference"/>
        </w:rPr>
        <w:footnoteRef/>
      </w:r>
      <w:r>
        <w:t xml:space="preserve"> Articolul 88 din TFUE definește misiunea Europol de a susține și de a consolida cooperarea dintre autoritățile de aplicare a legii din statele membre în ceea ce privește prevenirea și combaterea criminalității transfrontaliere grave și a terorismului.</w:t>
      </w:r>
    </w:p>
  </w:footnote>
  <w:footnote w:id="3">
    <w:p>
      <w:pPr>
        <w:pStyle w:val="FootnoteText"/>
        <w:rPr>
          <w:highlight w:val="yellow"/>
        </w:rPr>
      </w:pPr>
      <w:r>
        <w:rPr>
          <w:rStyle w:val="FootnoteReference"/>
        </w:rPr>
        <w:footnoteRef/>
      </w:r>
      <w:r>
        <w:t xml:space="preserve"> COM(2025) 752 final.</w:t>
      </w:r>
    </w:p>
  </w:footnote>
  <w:footnote w:id="4">
    <w:p>
      <w:pPr>
        <w:pStyle w:val="FootnoteText"/>
      </w:pPr>
      <w:r>
        <w:rPr>
          <w:rStyle w:val="FootnoteReference"/>
        </w:rPr>
        <w:footnoteRef/>
      </w:r>
      <w:r>
        <w:t xml:space="preserve"> </w:t>
      </w:r>
      <w:r>
        <w:rPr>
          <w:rStyle w:val="normaltextrun"/>
        </w:rPr>
        <w:t xml:space="preserve">A se vedea anexa 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E5132"/>
    <w:multiLevelType w:val="hybridMultilevel"/>
    <w:tmpl w:val="842E62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38567B9"/>
    <w:multiLevelType w:val="hybridMultilevel"/>
    <w:tmpl w:val="CC6A87A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care înso\u355?e\u351?te documentul"/>
    <w:docVar w:name="LW_CORRIGENDUM" w:val="&lt;UNUSED&gt;"/>
    <w:docVar w:name="LW_COVERPAGE_EXISTS" w:val="True"/>
    <w:docVar w:name="LW_COVERPAGE_GUID" w:val="64E49482-1C9D-44EB-91BF-159F5481B4C3"/>
    <w:docVar w:name="LW_COVERPAGE_TYPE" w:val="1"/>
    <w:docVar w:name="LW_CROSSREFERENCE" w:val="{COM(2026) 580 final} - {SEC(2026) 580 final} - {SWD(2026) 580 final} - {SWD(2026) 582 final}"/>
    <w:docVar w:name="LW_DocType" w:val="NORMAL"/>
    <w:docVar w:name="LW_EMISSION" w:val="24.6.2026"/>
    <w:docVar w:name="LW_EMISSION_ISODATE" w:val="2026-06-24"/>
    <w:docVar w:name="LW_EMISSION_LOCATION" w:val="BRX"/>
    <w:docVar w:name="LW_EMISSION_PREFIX" w:val="Bruxelles, "/>
    <w:docVar w:name="LW_EMISSION_SUFFIX" w:val=" "/>
    <w:docVar w:name="LW_ID_DOCTYPE_NONLW" w:val="CP-027"/>
    <w:docVar w:name="LW_LANGUE" w:val="RO"/>
    <w:docVar w:name="LW_LEVEL_OF_SENSITIVITY" w:val="Standard treatment"/>
    <w:docVar w:name="LW_NOM.INST" w:val="COMISIA EUROPEAN\u258?"/>
    <w:docVar w:name="LW_NOM.INST_JOINTDOC" w:val="&lt;EMPTY&gt;"/>
    <w:docVar w:name="LW_OBJETACTEPRINCIPAL.CP" w:val="privind Agen\u539?ia Uniunii Europene pentru Cooperare în Materie de Aplicare a Legii (Europol), de modificare a Regulamentelor (UE) 2018/1726 \u537?i (UE) 2024/982 \u537?i de abrogare a Regulamentului (UE) 2016/794"/>
    <w:docVar w:name="LW_PART_NBR" w:val="1"/>
    <w:docVar w:name="LW_PART_NBR_TOTAL" w:val="1"/>
    <w:docVar w:name="LW_REF.INST.NEW" w:val="SWD"/>
    <w:docVar w:name="LW_REF.INST.NEW_ADOPTED" w:val="final"/>
    <w:docVar w:name="LW_REF.INST.NEW_TEXT" w:val="(2026) 58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DOCUMENT DE LUCRU AL SERVICIILOR COMISIEI_x000b__x000b_REZUMAT AL RAPORTULUI PRIVIND EVALUAREA IMPACTULUI_x000b_"/>
    <w:docVar w:name="LW_TYPEACTEPRINCIPAL.CP" w:val="PROPUNERE DE REGULAMENT AL PARLAMENTULUI EUROPEAN \u536?I AL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929D815D-A952-486A-8D9E-79D919C61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kern w:val="0"/>
      <w:sz w:val="24"/>
      <w14:ligatures w14:val="none"/>
    </w:rPr>
  </w:style>
  <w:style w:type="paragraph" w:styleId="Heading1">
    <w:name w:val="heading 1"/>
    <w:basedOn w:val="Normal"/>
    <w:next w:val="Normal"/>
    <w:link w:val="Heading1Char"/>
    <w:uiPriority w:val="9"/>
    <w:qFormat/>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pPr>
      <w:keepNext/>
      <w:keepLines/>
      <w:spacing w:before="0"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pPr>
      <w:keepNext/>
      <w:keepLines/>
      <w:spacing w:before="0"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before="0"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before="0"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line="259" w:lineRule="auto"/>
      <w:jc w:val="center"/>
    </w:pPr>
    <w:rPr>
      <w:rFonts w:asciiTheme="minorHAnsi" w:hAnsiTheme="minorHAnsi" w:cstheme="minorBidi"/>
      <w:i/>
      <w:iCs/>
      <w:color w:val="404040" w:themeColor="text1" w:themeTint="BF"/>
      <w:kern w:val="2"/>
      <w:sz w:val="22"/>
      <w14:ligatures w14:val="standardContextual"/>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before="0" w:after="0"/>
    </w:pPr>
  </w:style>
  <w:style w:type="character" w:customStyle="1" w:styleId="HeaderChar">
    <w:name w:val="Header Char"/>
    <w:basedOn w:val="DefaultParagraphFont"/>
    <w:link w:val="Header"/>
    <w:uiPriority w:val="99"/>
    <w:rPr>
      <w:rFonts w:ascii="Times New Roman" w:hAnsi="Times New Roman" w:cs="Times New Roman"/>
      <w:kern w:val="0"/>
      <w:sz w:val="24"/>
      <w14:ligatures w14:val="none"/>
    </w:rPr>
  </w:style>
  <w:style w:type="paragraph" w:styleId="Footer">
    <w:name w:val="footer"/>
    <w:basedOn w:val="Normal"/>
    <w:link w:val="FooterChar"/>
    <w:uiPriority w:val="99"/>
    <w:unhideWhenUsed/>
    <w:pPr>
      <w:tabs>
        <w:tab w:val="center" w:pos="4513"/>
        <w:tab w:val="right" w:pos="9026"/>
      </w:tabs>
      <w:spacing w:before="0" w:after="0"/>
    </w:pPr>
  </w:style>
  <w:style w:type="character" w:customStyle="1" w:styleId="FooterChar">
    <w:name w:val="Footer Char"/>
    <w:basedOn w:val="DefaultParagraphFont"/>
    <w:link w:val="Footer"/>
    <w:uiPriority w:val="99"/>
    <w:rPr>
      <w:rFonts w:ascii="Times New Roman" w:hAnsi="Times New Roman" w:cs="Times New Roman"/>
      <w:kern w:val="0"/>
      <w:sz w:val="24"/>
      <w14:ligatures w14:val="none"/>
    </w:rPr>
  </w:style>
  <w:style w:type="paragraph" w:customStyle="1" w:styleId="Pagedecouverture">
    <w:name w:val="Page de couverture"/>
    <w:basedOn w:val="Normal"/>
    <w:next w:val="Normal"/>
    <w:pPr>
      <w:spacing w:before="0" w:after="0"/>
    </w:pPr>
  </w:style>
  <w:style w:type="paragraph" w:customStyle="1" w:styleId="FooterCoverPage">
    <w:name w:val="Footer Cover Page"/>
    <w:basedOn w:val="Normal"/>
    <w:link w:val="FooterCoverPageChar"/>
    <w:pPr>
      <w:pBdr>
        <w:top w:val="nil"/>
        <w:left w:val="nil"/>
        <w:bottom w:val="nil"/>
        <w:right w:val="nil"/>
        <w:between w:val="nil"/>
        <w:bar w:val="nil"/>
      </w:pBd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hAnsi="Times New Roman" w:cs="Times New Roman"/>
      <w:kern w:val="0"/>
      <w:sz w:val="24"/>
      <w14:ligatures w14:val="non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between w:val="nil"/>
        <w:bar w:val="nil"/>
      </w:pBdr>
      <w:spacing w:before="360" w:after="0"/>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cs="Times New Roman"/>
      <w:b/>
      <w:kern w:val="0"/>
      <w:sz w:val="32"/>
      <w14:ligatures w14:val="none"/>
    </w:rPr>
  </w:style>
  <w:style w:type="paragraph" w:customStyle="1" w:styleId="HeaderCoverPage">
    <w:name w:val="Header Cover Page"/>
    <w:basedOn w:val="Normal"/>
    <w:link w:val="HeaderCoverPageChar"/>
    <w:pPr>
      <w:pBdr>
        <w:top w:val="nil"/>
        <w:left w:val="nil"/>
        <w:bottom w:val="nil"/>
        <w:right w:val="nil"/>
        <w:between w:val="nil"/>
        <w:bar w:val="nil"/>
      </w:pBdr>
      <w:tabs>
        <w:tab w:val="center" w:pos="4535"/>
        <w:tab w:val="right" w:pos="9071"/>
      </w:tabs>
      <w:spacing w:before="0"/>
    </w:pPr>
  </w:style>
  <w:style w:type="character" w:customStyle="1" w:styleId="HeaderCoverPageChar">
    <w:name w:val="Header Cover Page Char"/>
    <w:basedOn w:val="DefaultParagraphFont"/>
    <w:link w:val="HeaderCoverPage"/>
    <w:rPr>
      <w:rFonts w:ascii="Times New Roman" w:hAnsi="Times New Roman" w:cs="Times New Roman"/>
      <w:kern w:val="0"/>
      <w:sz w:val="24"/>
      <w14:ligatures w14:val="non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between w:val="nil"/>
        <w:bar w:val="nil"/>
      </w:pBdr>
      <w:spacing w:before="0"/>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cs="Times New Roman"/>
      <w:b/>
      <w:kern w:val="0"/>
      <w:sz w:val="32"/>
      <w14:ligatures w14:val="none"/>
    </w:rPr>
  </w:style>
  <w:style w:type="paragraph" w:customStyle="1" w:styleId="HeaderSensitivityRight">
    <w:name w:val="Header Sensitivity Right"/>
    <w:basedOn w:val="Normal"/>
    <w:link w:val="HeaderSensitivityRightChar"/>
    <w:pPr>
      <w:spacing w:before="0"/>
      <w:jc w:val="right"/>
    </w:pPr>
    <w:rPr>
      <w:sz w:val="28"/>
    </w:rPr>
  </w:style>
  <w:style w:type="character" w:customStyle="1" w:styleId="HeaderSensitivityRightChar">
    <w:name w:val="Header Sensitivity Right Char"/>
    <w:basedOn w:val="DefaultParagraphFont"/>
    <w:link w:val="HeaderSensitivityRight"/>
    <w:rPr>
      <w:rFonts w:ascii="Times New Roman" w:hAnsi="Times New Roman" w:cs="Times New Roman"/>
      <w:kern w:val="0"/>
      <w:sz w:val="28"/>
      <w14:ligatures w14:val="no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before="0"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Times New Roman" w:eastAsiaTheme="minorEastAsia" w:hAnsi="Times New Roman" w:cs="Times New Roman"/>
      <w:kern w:val="0"/>
      <w:sz w:val="20"/>
      <w:szCs w:val="20"/>
      <w14:ligatures w14:val="non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Pr>
      <w:vertAlign w:val="superscript"/>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kern w:val="2"/>
      <w:sz w:val="22"/>
      <w:vertAlign w:val="superscript"/>
      <w14:ligatures w14:val="standardContextual"/>
    </w:rPr>
  </w:style>
  <w:style w:type="paragraph" w:customStyle="1" w:styleId="Text2">
    <w:name w:val="Text 2"/>
    <w:basedOn w:val="Normal"/>
    <w:pPr>
      <w:tabs>
        <w:tab w:val="left" w:pos="2302"/>
      </w:tabs>
      <w:spacing w:before="0" w:after="240"/>
      <w:ind w:left="1202"/>
    </w:pPr>
    <w:rPr>
      <w:rFonts w:eastAsia="Times New Roman"/>
      <w:szCs w:val="20"/>
    </w:rPr>
  </w:style>
  <w:style w:type="character" w:customStyle="1" w:styleId="normaltextrun">
    <w:name w:val="normaltextrun"/>
    <w:basedOn w:val="DefaultParagraphFont"/>
  </w:style>
  <w:style w:type="character" w:styleId="Hyperlink">
    <w:name w:val="Hyperlink"/>
    <w:basedOn w:val="DefaultParagraphFont"/>
    <w:uiPriority w:val="99"/>
    <w:unhideWhenUse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37907">
      <w:bodyDiv w:val="1"/>
      <w:marLeft w:val="0"/>
      <w:marRight w:val="0"/>
      <w:marTop w:val="0"/>
      <w:marBottom w:val="0"/>
      <w:divBdr>
        <w:top w:val="none" w:sz="0" w:space="0" w:color="auto"/>
        <w:left w:val="none" w:sz="0" w:space="0" w:color="auto"/>
        <w:bottom w:val="none" w:sz="0" w:space="0" w:color="auto"/>
        <w:right w:val="none" w:sz="0" w:space="0" w:color="auto"/>
      </w:divBdr>
    </w:div>
    <w:div w:id="43555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8E604-AECD-4C84-8D2A-E6B669F0B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2019</Words>
  <Characters>11513</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7</cp:revision>
  <dcterms:created xsi:type="dcterms:W3CDTF">2026-06-23T14:56:00Z</dcterms:created>
  <dcterms:modified xsi:type="dcterms:W3CDTF">2026-09-11T06:01:00Z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2026-06-02T12:23:27Z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cb15e0e5-5dee-45ea-8ef1-3a4f5b99f29a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CP-027</vt:lpwstr>
  </property>
</Properties>
</file>