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9EDC3C-7E2D-4D68-8049-556978AFA3A6" style="width:455.25pt;height:425.25pt">
            <v:imagedata r:id="rId11" o:title=""/>
          </v:shape>
        </w:pict>
      </w:r>
    </w:p>
    <w:bookmarkEnd w:id="0"/>
    <w:p>
      <w:pPr>
        <w:jc w:val="both"/>
        <w:rPr>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Style w:val="TableGrid"/>
        <w:tblW w:w="0" w:type="auto"/>
        <w:tblInd w:w="113" w:type="dxa"/>
        <w:tblLook w:val="04A0" w:firstRow="1" w:lastRow="0" w:firstColumn="1" w:lastColumn="0" w:noHBand="0" w:noVBand="1"/>
      </w:tblPr>
      <w:tblGrid>
        <w:gridCol w:w="9175"/>
      </w:tblGrid>
      <w:tr>
        <w:tc>
          <w:tcPr>
            <w:tcW w:w="9175" w:type="dxa"/>
            <w:shd w:val="clear" w:color="auto" w:fill="D9D9D9" w:themeFill="background1" w:themeFillShade="D9"/>
          </w:tcPr>
          <w:p>
            <w:pPr>
              <w:pStyle w:val="Heading1"/>
              <w:spacing w:before="0" w:line="276" w:lineRule="auto"/>
              <w:jc w:val="center"/>
              <w:outlineLvl w:val="0"/>
              <w:rPr>
                <w:noProof/>
                <w:color w:val="auto"/>
                <w:lang w:val="en-IE"/>
              </w:rPr>
            </w:pPr>
            <w:r>
              <w:rPr>
                <w:rFonts w:ascii="Times New Roman" w:eastAsia="Times New Roman" w:hAnsi="Times New Roman"/>
                <w:noProof/>
                <w:color w:val="auto"/>
                <w:sz w:val="22"/>
                <w:lang w:val="en-IE"/>
              </w:rPr>
              <w:lastRenderedPageBreak/>
              <w:t>Executive Summary Sheet</w:t>
            </w:r>
          </w:p>
        </w:tc>
      </w:tr>
      <w:tr>
        <w:tc>
          <w:tcPr>
            <w:tcW w:w="9175" w:type="dxa"/>
            <w:shd w:val="clear" w:color="auto" w:fill="548DD4" w:themeFill="text2" w:themeFillTint="99"/>
          </w:tcPr>
          <w:p>
            <w:pPr>
              <w:spacing w:line="276" w:lineRule="auto"/>
              <w:rPr>
                <w:noProof/>
                <w:color w:val="FFFFFF" w:themeColor="background1"/>
                <w:lang w:val="en-IE"/>
              </w:rPr>
            </w:pPr>
            <w:r>
              <w:rPr>
                <w:rFonts w:ascii="Times New Roman" w:eastAsia="Times New Roman" w:hAnsi="Times New Roman"/>
                <w:b/>
                <w:noProof/>
                <w:color w:val="FFFFFF" w:themeColor="background1"/>
                <w:sz w:val="20"/>
                <w:lang w:val="en-IE"/>
              </w:rPr>
              <w:t>Impact assessment on the proposal for a Regulation of the European Parliament and of the Council on the Affordable Housing Act</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lang w:val="en-IE"/>
              </w:rPr>
            </w:pPr>
            <w:r>
              <w:rPr>
                <w:rFonts w:ascii="Times New Roman" w:eastAsia="Times New Roman" w:hAnsi="Times New Roman"/>
                <w:noProof/>
                <w:color w:val="auto"/>
                <w:sz w:val="22"/>
                <w:lang w:val="en-IE"/>
              </w:rPr>
              <w:t>A. Need for action</w:t>
            </w:r>
          </w:p>
        </w:tc>
      </w:tr>
      <w:tr>
        <w:tc>
          <w:tcPr>
            <w:tcW w:w="9175" w:type="dxa"/>
            <w:shd w:val="clear" w:color="auto" w:fill="F2F2F2" w:themeFill="background1" w:themeFillShade="F2"/>
          </w:tcPr>
          <w:p>
            <w:pPr>
              <w:spacing w:line="276" w:lineRule="auto"/>
              <w:rPr>
                <w:noProof/>
                <w:lang w:val="en-IE"/>
              </w:rPr>
            </w:pPr>
            <w:r>
              <w:rPr>
                <w:rFonts w:ascii="Times New Roman" w:eastAsia="Times New Roman" w:hAnsi="Times New Roman"/>
                <w:b/>
                <w:noProof/>
                <w:sz w:val="20"/>
                <w:lang w:val="en-IE"/>
              </w:rPr>
              <w:t>What is the problem and why is it a problem at EU level?</w:t>
            </w:r>
          </w:p>
        </w:tc>
      </w:tr>
      <w:tr>
        <w:trPr>
          <w:trHeight w:val="2415"/>
        </w:trPr>
        <w:tc>
          <w:tcPr>
            <w:tcW w:w="9175" w:type="dxa"/>
          </w:tcPr>
          <w:p>
            <w:pPr>
              <w:spacing w:before="120" w:after="120" w:line="276" w:lineRule="auto"/>
              <w:jc w:val="both"/>
              <w:rPr>
                <w:rFonts w:ascii="Times New Roman" w:eastAsia="Times New Roman" w:hAnsi="Times New Roman"/>
                <w:noProof/>
                <w:sz w:val="20"/>
              </w:rPr>
            </w:pPr>
            <w:r>
              <w:rPr>
                <w:rFonts w:ascii="Times New Roman" w:eastAsia="Times New Roman" w:hAnsi="Times New Roman"/>
                <w:noProof/>
                <w:sz w:val="20"/>
                <w:lang w:val="en-IE"/>
              </w:rPr>
              <w:t xml:space="preserve">Public authorities are increasingly adopting housing-related measures, including those affecting short-term rentals and the acquisition or use of residential property for non-primary residence that may restrict internal market freedoms. </w:t>
            </w:r>
            <w:r>
              <w:rPr>
                <w:rFonts w:ascii="Times New Roman" w:eastAsia="Times New Roman" w:hAnsi="Times New Roman"/>
                <w:noProof/>
                <w:sz w:val="20"/>
              </w:rPr>
              <w:t xml:space="preserve">The CJEU has recognised that housing affordability and availability may </w:t>
            </w:r>
            <w:r>
              <w:rPr>
                <w:rFonts w:ascii="Times New Roman" w:eastAsia="Times New Roman" w:hAnsi="Times New Roman"/>
                <w:noProof/>
                <w:sz w:val="20"/>
                <w:lang w:val="en-IE"/>
              </w:rPr>
              <w:t xml:space="preserve">constitute an overriding public interest capable of justifying restrictions affecting internal market freedoms and existing Union law, </w:t>
            </w:r>
            <w:r>
              <w:rPr>
                <w:rFonts w:ascii="Times New Roman" w:eastAsia="Times New Roman" w:hAnsi="Times New Roman"/>
                <w:noProof/>
                <w:sz w:val="20"/>
              </w:rPr>
              <w:t xml:space="preserve">but they only provide general principles. </w:t>
            </w:r>
            <w:r>
              <w:rPr>
                <w:rFonts w:ascii="Times New Roman" w:eastAsia="Times New Roman" w:hAnsi="Times New Roman"/>
                <w:noProof/>
                <w:sz w:val="20"/>
                <w:lang w:val="en-IE"/>
              </w:rPr>
              <w:t>This creates legal uncertainty regarding the conditions under which housing-related measures may be introduced and increases</w:t>
            </w:r>
            <w:r>
              <w:rPr>
                <w:rFonts w:ascii="Times New Roman" w:eastAsia="Times New Roman" w:hAnsi="Times New Roman"/>
                <w:noProof/>
                <w:sz w:val="20"/>
              </w:rPr>
              <w:t xml:space="preserve"> administrative burden, compliance costs and litigation. </w:t>
            </w:r>
            <w:r>
              <w:rPr>
                <w:rFonts w:ascii="Times New Roman" w:eastAsia="Times New Roman" w:hAnsi="Times New Roman"/>
                <w:noProof/>
                <w:sz w:val="20"/>
                <w:lang w:val="en-IE"/>
              </w:rPr>
              <w:t>Without further EU action, difficulties in identifying, justifying and designing housing-related interventions compatible with Union law will persist.</w:t>
            </w:r>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t>What should be achieved?</w:t>
            </w:r>
          </w:p>
        </w:tc>
      </w:tr>
      <w:tr>
        <w:trPr>
          <w:trHeight w:val="1269"/>
        </w:trPr>
        <w:tc>
          <w:tcPr>
            <w:tcW w:w="9175" w:type="dxa"/>
          </w:tcPr>
          <w:p>
            <w:pPr>
              <w:spacing w:before="120" w:after="120" w:line="276" w:lineRule="auto"/>
              <w:jc w:val="both"/>
              <w:rPr>
                <w:rFonts w:ascii="Times New Roman" w:eastAsia="Times New Roman" w:hAnsi="Times New Roman"/>
                <w:noProof/>
                <w:sz w:val="20"/>
                <w:lang w:val="en-IE"/>
              </w:rPr>
            </w:pPr>
            <w:r>
              <w:rPr>
                <w:rFonts w:ascii="Times New Roman" w:eastAsia="Times New Roman" w:hAnsi="Times New Roman"/>
                <w:noProof/>
                <w:sz w:val="20"/>
                <w:lang w:val="en-IE"/>
              </w:rPr>
              <w:t xml:space="preserve">The initiative establishes a common framework for the assessment, justification and proportionality of housing-related measures affecting internal market freedoms in areas under housing stress. Its general objectives are to improve legal certainty, transparency and predictability, and to ensure that restrictions are proportionate and used only as a last resort. </w:t>
            </w:r>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t>What is the added value of action at EU level (subsidiarity)?</w:t>
            </w:r>
          </w:p>
        </w:tc>
      </w:tr>
      <w:tr>
        <w:trPr>
          <w:trHeight w:val="827"/>
        </w:trPr>
        <w:tc>
          <w:tcPr>
            <w:tcW w:w="9175" w:type="dxa"/>
          </w:tcPr>
          <w:p>
            <w:pPr>
              <w:spacing w:before="120" w:after="120" w:line="276" w:lineRule="auto"/>
              <w:jc w:val="both"/>
              <w:rPr>
                <w:i/>
                <w:iCs/>
                <w:noProof/>
                <w:lang w:val="en-IE"/>
              </w:rPr>
            </w:pPr>
            <w:r>
              <w:rPr>
                <w:rFonts w:ascii="Times New Roman" w:eastAsia="Times New Roman" w:hAnsi="Times New Roman"/>
                <w:noProof/>
                <w:sz w:val="20"/>
                <w:lang w:val="en-IE"/>
              </w:rPr>
              <w:t xml:space="preserve">The added value of this action is a common procedural framework that preserves local flexibility while ensuring consistency with EU law. </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lang w:val="en-IE"/>
              </w:rPr>
            </w:pPr>
            <w:r>
              <w:rPr>
                <w:rFonts w:ascii="Times New Roman" w:eastAsia="Times New Roman" w:hAnsi="Times New Roman"/>
                <w:noProof/>
                <w:color w:val="auto"/>
                <w:sz w:val="22"/>
                <w:lang w:val="en-IE"/>
              </w:rPr>
              <w:t>B. Solutions</w:t>
            </w:r>
          </w:p>
        </w:tc>
      </w:tr>
      <w:tr>
        <w:tc>
          <w:tcPr>
            <w:tcW w:w="9175" w:type="dxa"/>
            <w:shd w:val="clear" w:color="auto" w:fill="F2F2F2" w:themeFill="background1" w:themeFillShade="F2"/>
          </w:tcPr>
          <w:p>
            <w:pPr>
              <w:spacing w:line="276" w:lineRule="auto"/>
              <w:rPr>
                <w:noProof/>
                <w:lang w:val="en-IE"/>
              </w:rPr>
            </w:pPr>
            <w:r>
              <w:rPr>
                <w:rFonts w:ascii="Times New Roman" w:eastAsia="Times New Roman" w:hAnsi="Times New Roman"/>
                <w:b/>
                <w:noProof/>
                <w:sz w:val="20"/>
                <w:lang w:val="en-IE"/>
              </w:rPr>
              <w:t>What are the various options to achieve the objectives? Is there a preferred option or not? If not, why?</w:t>
            </w:r>
          </w:p>
        </w:tc>
      </w:tr>
      <w:tr>
        <w:trPr>
          <w:trHeight w:val="552"/>
        </w:trPr>
        <w:tc>
          <w:tcPr>
            <w:tcW w:w="9175" w:type="dxa"/>
          </w:tcPr>
          <w:p>
            <w:pPr>
              <w:spacing w:before="120" w:after="120" w:line="276" w:lineRule="auto"/>
              <w:jc w:val="both"/>
              <w:rPr>
                <w:rFonts w:ascii="Times New Roman" w:eastAsia="Times New Roman" w:hAnsi="Times New Roman"/>
                <w:noProof/>
                <w:sz w:val="20"/>
                <w:lang w:val="en-IE"/>
              </w:rPr>
            </w:pPr>
            <w:r>
              <w:rPr>
                <w:rFonts w:ascii="Times New Roman" w:eastAsia="Times New Roman" w:hAnsi="Times New Roman"/>
                <w:noProof/>
                <w:sz w:val="20"/>
                <w:lang w:val="en-IE"/>
              </w:rPr>
              <w:t>In addition to the baseline, three options are considered.</w:t>
            </w:r>
          </w:p>
          <w:p>
            <w:pPr>
              <w:spacing w:before="120" w:after="120"/>
              <w:jc w:val="both"/>
              <w:rPr>
                <w:rFonts w:ascii="Times New Roman" w:eastAsia="Times New Roman" w:hAnsi="Times New Roman"/>
                <w:noProof/>
                <w:sz w:val="20"/>
                <w:lang w:val="en-IE"/>
              </w:rPr>
            </w:pPr>
            <w:r>
              <w:rPr>
                <w:rFonts w:ascii="Times New Roman" w:eastAsia="Times New Roman" w:hAnsi="Times New Roman"/>
                <w:b/>
                <w:bCs/>
                <w:noProof/>
                <w:sz w:val="20"/>
                <w:lang w:val="en-IE"/>
              </w:rPr>
              <w:t xml:space="preserve">Option 1: </w:t>
            </w:r>
            <w:r>
              <w:rPr>
                <w:rFonts w:ascii="Times New Roman" w:eastAsia="Times New Roman" w:hAnsi="Times New Roman"/>
                <w:noProof/>
                <w:sz w:val="20"/>
                <w:lang w:val="en-IE"/>
              </w:rPr>
              <w:t xml:space="preserve"> a soft-law approach, based on non-binding Commission guidance on identifying housing stress, designing housing-related measures and supporting housing supply. </w:t>
            </w:r>
          </w:p>
          <w:p>
            <w:pPr>
              <w:spacing w:before="120" w:after="120"/>
              <w:jc w:val="both"/>
              <w:rPr>
                <w:rFonts w:ascii="Times New Roman" w:eastAsia="Times New Roman" w:hAnsi="Times New Roman"/>
                <w:noProof/>
                <w:sz w:val="20"/>
                <w:lang w:val="en-IE"/>
              </w:rPr>
            </w:pPr>
            <w:r>
              <w:rPr>
                <w:rFonts w:ascii="Times New Roman" w:eastAsia="Times New Roman" w:hAnsi="Times New Roman"/>
                <w:b/>
                <w:bCs/>
                <w:noProof/>
                <w:sz w:val="20"/>
                <w:lang w:val="en-IE"/>
              </w:rPr>
              <w:t>Option 2:</w:t>
            </w:r>
            <w:r>
              <w:rPr>
                <w:rFonts w:ascii="Times New Roman" w:eastAsia="Times New Roman" w:hAnsi="Times New Roman"/>
                <w:noProof/>
                <w:sz w:val="20"/>
                <w:lang w:val="en-IE"/>
              </w:rPr>
              <w:t xml:space="preserve"> a legislative framework with common procedural rules and a flexible methodology. Authorities would retain discretion over whether and how to act, but where they rely on housing stress to justify restrictions, they would apply objective and transparent criteria. </w:t>
            </w:r>
          </w:p>
          <w:p>
            <w:pPr>
              <w:spacing w:before="120" w:after="120"/>
              <w:jc w:val="both"/>
              <w:rPr>
                <w:noProof/>
                <w:lang w:val="en-IE"/>
              </w:rPr>
            </w:pPr>
            <w:r>
              <w:rPr>
                <w:rFonts w:ascii="Times New Roman" w:eastAsia="Times New Roman" w:hAnsi="Times New Roman"/>
                <w:b/>
                <w:bCs/>
                <w:noProof/>
                <w:sz w:val="20"/>
                <w:lang w:val="en-IE"/>
              </w:rPr>
              <w:t xml:space="preserve">Option 3: </w:t>
            </w:r>
            <w:r>
              <w:rPr>
                <w:rFonts w:ascii="Times New Roman" w:eastAsia="Times New Roman" w:hAnsi="Times New Roman"/>
                <w:noProof/>
                <w:sz w:val="20"/>
                <w:lang w:val="en-IE"/>
              </w:rPr>
              <w:t xml:space="preserve">a prescriptive legislative approach, requiring Member States to regularly assess housing affordability across their territories, apply harmonised thresholds, designate stressed areas and prepare housing acceleration plans. </w:t>
            </w:r>
            <w:bookmarkStart w:id="1" w:name="_Hlk233304981"/>
          </w:p>
          <w:p>
            <w:pPr>
              <w:spacing w:before="120" w:after="120" w:line="276" w:lineRule="auto"/>
              <w:jc w:val="both"/>
              <w:rPr>
                <w:noProof/>
                <w:lang w:val="en-IE"/>
              </w:rPr>
            </w:pPr>
            <w:r>
              <w:rPr>
                <w:rFonts w:ascii="Times New Roman" w:eastAsia="Times New Roman" w:hAnsi="Times New Roman"/>
                <w:noProof/>
                <w:sz w:val="20"/>
                <w:lang w:val="en-IE"/>
              </w:rPr>
              <w:t xml:space="preserve">Option 2 is the preferred option. It improves legal certainty, transparency and consistency, while introducing common evidential and procedural safeguards. </w:t>
            </w:r>
            <w:bookmarkEnd w:id="1"/>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t>What are different stakeholders’ views? Who supports which option?</w:t>
            </w:r>
          </w:p>
        </w:tc>
      </w:tr>
      <w:tr>
        <w:trPr>
          <w:trHeight w:val="411"/>
        </w:trPr>
        <w:tc>
          <w:tcPr>
            <w:tcW w:w="9175" w:type="dxa"/>
          </w:tcPr>
          <w:p>
            <w:pPr>
              <w:spacing w:before="120" w:after="120" w:line="276" w:lineRule="auto"/>
              <w:jc w:val="both"/>
              <w:rPr>
                <w:i/>
                <w:iCs/>
                <w:noProof/>
                <w:lang w:val="en-IE"/>
              </w:rPr>
            </w:pPr>
            <w:r>
              <w:rPr>
                <w:rFonts w:ascii="Times New Roman" w:eastAsia="Times New Roman" w:hAnsi="Times New Roman"/>
                <w:noProof/>
                <w:sz w:val="20"/>
                <w:szCs w:val="20"/>
                <w:lang w:val="en-IE"/>
              </w:rPr>
              <w:t>Consultations showed broad agreement that STR activity is not the principal driver of housing stress and that structural supply constraints deserve greater attention. Increased support for the procedural harmonisation model under Option 2 was shown, provided subsidiarity and local discretion are respected.</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lang w:val="en-IE"/>
              </w:rPr>
            </w:pPr>
            <w:r>
              <w:rPr>
                <w:rFonts w:ascii="Times New Roman" w:eastAsia="Times New Roman" w:hAnsi="Times New Roman"/>
                <w:noProof/>
                <w:color w:val="auto"/>
                <w:sz w:val="22"/>
                <w:lang w:val="en-IE"/>
              </w:rPr>
              <w:t>C. Impacts of the preferred option</w:t>
            </w:r>
          </w:p>
        </w:tc>
      </w:tr>
      <w:tr>
        <w:tc>
          <w:tcPr>
            <w:tcW w:w="9175" w:type="dxa"/>
            <w:shd w:val="clear" w:color="auto" w:fill="F2F2F2" w:themeFill="background1" w:themeFillShade="F2"/>
          </w:tcPr>
          <w:p>
            <w:pPr>
              <w:spacing w:line="276" w:lineRule="auto"/>
              <w:rPr>
                <w:noProof/>
                <w:lang w:val="en-IE"/>
              </w:rPr>
            </w:pPr>
            <w:r>
              <w:rPr>
                <w:rFonts w:ascii="Times New Roman" w:eastAsia="Times New Roman" w:hAnsi="Times New Roman"/>
                <w:b/>
                <w:noProof/>
                <w:sz w:val="20"/>
                <w:lang w:val="en-IE"/>
              </w:rPr>
              <w:t>What are the benefits of the preferred option (if any, otherwise main ones)?</w:t>
            </w:r>
          </w:p>
        </w:tc>
      </w:tr>
      <w:tr>
        <w:trPr>
          <w:trHeight w:val="850"/>
        </w:trPr>
        <w:tc>
          <w:tcPr>
            <w:tcW w:w="9175" w:type="dxa"/>
          </w:tcPr>
          <w:p>
            <w:pPr>
              <w:spacing w:before="120" w:after="120" w:line="276" w:lineRule="auto"/>
              <w:jc w:val="both"/>
              <w:rPr>
                <w:noProof/>
                <w:lang w:val="en-IE"/>
              </w:rPr>
            </w:pPr>
            <w:r>
              <w:rPr>
                <w:rFonts w:ascii="Times New Roman" w:eastAsia="Times New Roman" w:hAnsi="Times New Roman"/>
                <w:noProof/>
                <w:sz w:val="20"/>
                <w:lang w:val="en-IE"/>
              </w:rPr>
              <w:t xml:space="preserve">The main benefits are improved legal certainty, transparency, predictability and consistency in the application of Union law, reduced administrative burden, compliance costs and avoidable litigation. </w:t>
            </w:r>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t>What are the costs of the preferred option (if any, otherwise main ones)?</w:t>
            </w:r>
          </w:p>
        </w:tc>
      </w:tr>
      <w:tr>
        <w:trPr>
          <w:trHeight w:val="132"/>
        </w:trPr>
        <w:tc>
          <w:tcPr>
            <w:tcW w:w="9175" w:type="dxa"/>
          </w:tcPr>
          <w:p>
            <w:pPr>
              <w:spacing w:before="120" w:after="120" w:line="276" w:lineRule="auto"/>
              <w:jc w:val="both"/>
              <w:rPr>
                <w:noProof/>
                <w:lang w:val="en-IE"/>
              </w:rPr>
            </w:pPr>
            <w:r>
              <w:rPr>
                <w:rFonts w:ascii="Times New Roman" w:eastAsia="Times New Roman" w:hAnsi="Times New Roman"/>
                <w:noProof/>
                <w:sz w:val="20"/>
                <w:lang w:val="en-GB"/>
              </w:rPr>
              <w:t xml:space="preserve">The main costs would fall on competent authorities that choose to rely on the framework when designating </w:t>
            </w:r>
            <w:r>
              <w:rPr>
                <w:rFonts w:ascii="Times New Roman" w:eastAsia="Times New Roman" w:hAnsi="Times New Roman"/>
                <w:noProof/>
                <w:sz w:val="20"/>
                <w:lang w:val="en-GB"/>
              </w:rPr>
              <w:lastRenderedPageBreak/>
              <w:t xml:space="preserve">areas under housing stress and justifying housing-related restrictions affecting internal market freedoms. These costs are expected to be moderate and partly offset by common criteria, methodologies and data. </w:t>
            </w:r>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lastRenderedPageBreak/>
              <w:t>What are the impacts on SMEs and competitiveness?</w:t>
            </w:r>
          </w:p>
        </w:tc>
      </w:tr>
      <w:tr>
        <w:trPr>
          <w:trHeight w:val="1949"/>
        </w:trPr>
        <w:tc>
          <w:tcPr>
            <w:tcW w:w="9175" w:type="dxa"/>
          </w:tcPr>
          <w:p>
            <w:pPr>
              <w:spacing w:before="120" w:line="276" w:lineRule="auto"/>
              <w:jc w:val="both"/>
              <w:rPr>
                <w:rFonts w:ascii="Times New Roman" w:eastAsia="Times New Roman" w:hAnsi="Times New Roman"/>
                <w:noProof/>
                <w:sz w:val="20"/>
                <w:lang w:val="en-IE"/>
              </w:rPr>
            </w:pPr>
            <w:r>
              <w:rPr>
                <w:rFonts w:ascii="Times New Roman" w:eastAsia="Times New Roman" w:hAnsi="Times New Roman"/>
                <w:noProof/>
                <w:sz w:val="20"/>
                <w:lang w:val="en-GB"/>
              </w:rPr>
              <w:t xml:space="preserve">SMEs (professional STR hosts, property managers and ancillary services) may be affected indirectly where local restrictions are introduced. SMEs operating across several local markets should benefit from greater legal certainty and predictability. Competitiveness effects are expected to be limited and broadly neutral. </w:t>
            </w:r>
            <w:r>
              <w:rPr>
                <w:rFonts w:ascii="Times New Roman" w:eastAsia="Times New Roman" w:hAnsi="Times New Roman"/>
                <w:noProof/>
                <w:sz w:val="20"/>
                <w:lang w:val="en-IE"/>
              </w:rPr>
              <w:t>Effects on businesses are indirect and depend on local implementation. Greater legal certainty, transparency and predictability are expected to reduce regulatory uncertainty and compliance costs for economic operators active across multiple jurisdictions.</w:t>
            </w:r>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t>Will there be significant impacts on national budgets and administrations?</w:t>
            </w:r>
          </w:p>
        </w:tc>
      </w:tr>
      <w:tr>
        <w:tc>
          <w:tcPr>
            <w:tcW w:w="9175" w:type="dxa"/>
          </w:tcPr>
          <w:p>
            <w:pPr>
              <w:spacing w:before="120" w:after="120" w:line="276" w:lineRule="auto"/>
              <w:jc w:val="both"/>
              <w:rPr>
                <w:noProof/>
                <w:lang w:val="en-IE"/>
              </w:rPr>
            </w:pPr>
            <w:r>
              <w:rPr>
                <w:rFonts w:ascii="Times New Roman" w:eastAsia="Times New Roman" w:hAnsi="Times New Roman"/>
                <w:noProof/>
                <w:sz w:val="20"/>
                <w:lang w:val="en-IE"/>
              </w:rPr>
              <w:t xml:space="preserve">The main direct impact would fall on administrations that decide to use the framework. These costs are expected to be proportionate and partly offset by the availability of common criteria and methodologies. The preferred option does not impose mandatory housing investment obligations or harmonised housing plans. </w:t>
            </w:r>
          </w:p>
        </w:tc>
      </w:tr>
      <w:tr>
        <w:tc>
          <w:tcPr>
            <w:tcW w:w="9175" w:type="dxa"/>
            <w:shd w:val="clear" w:color="auto" w:fill="F2F2F2" w:themeFill="background1" w:themeFillShade="F2"/>
          </w:tcPr>
          <w:p>
            <w:pPr>
              <w:spacing w:line="276" w:lineRule="auto"/>
              <w:jc w:val="both"/>
              <w:rPr>
                <w:noProof/>
                <w:lang w:val="en-IE"/>
              </w:rPr>
            </w:pPr>
            <w:r>
              <w:rPr>
                <w:rFonts w:ascii="Times New Roman" w:eastAsia="Times New Roman" w:hAnsi="Times New Roman"/>
                <w:b/>
                <w:noProof/>
                <w:sz w:val="20"/>
                <w:lang w:val="en-IE"/>
              </w:rPr>
              <w:t>Will there be other significant impacts?</w:t>
            </w:r>
          </w:p>
        </w:tc>
      </w:tr>
      <w:tr>
        <w:trPr>
          <w:trHeight w:val="1466"/>
        </w:trPr>
        <w:tc>
          <w:tcPr>
            <w:tcW w:w="9175" w:type="dxa"/>
          </w:tcPr>
          <w:p>
            <w:pPr>
              <w:spacing w:before="120" w:after="120"/>
              <w:jc w:val="both"/>
              <w:rPr>
                <w:rFonts w:ascii="Times New Roman" w:eastAsia="Times New Roman" w:hAnsi="Times New Roman"/>
                <w:noProof/>
                <w:sz w:val="20"/>
                <w:lang w:val="en-IE"/>
              </w:rPr>
            </w:pPr>
            <w:r>
              <w:rPr>
                <w:rFonts w:ascii="Times New Roman" w:eastAsia="Times New Roman" w:hAnsi="Times New Roman"/>
                <w:noProof/>
                <w:sz w:val="20"/>
                <w:lang w:val="en-IE"/>
              </w:rPr>
              <w:t xml:space="preserve">The preferred option may have positive social impacts by helping authorities adopt better justified, targeted measures to protect housing availability and affordability for residents. Environmental impacts are mixed and indirect. The climate consistency check is positive, as new construction or climate-relevant technical standards is not required, and better use of existing buildings is encouraged. The initiative is coherent with Regulation (EU) 2024/1028 on registration and data-sharing for short-term accommodation rentals. </w:t>
            </w:r>
          </w:p>
        </w:tc>
      </w:tr>
      <w:tr>
        <w:tc>
          <w:tcPr>
            <w:tcW w:w="9175" w:type="dxa"/>
            <w:shd w:val="clear" w:color="auto" w:fill="F2F2F2" w:themeFill="background1" w:themeFillShade="F2"/>
          </w:tcPr>
          <w:p>
            <w:pPr>
              <w:spacing w:line="276" w:lineRule="auto"/>
              <w:rPr>
                <w:noProof/>
                <w:lang w:val="en-IE"/>
              </w:rPr>
            </w:pPr>
            <w:r>
              <w:rPr>
                <w:rFonts w:ascii="Times New Roman" w:eastAsia="Times New Roman" w:hAnsi="Times New Roman"/>
                <w:b/>
                <w:noProof/>
                <w:sz w:val="20"/>
                <w:lang w:val="en-IE"/>
              </w:rPr>
              <w:t>Proportionality?</w:t>
            </w:r>
          </w:p>
        </w:tc>
      </w:tr>
      <w:tr>
        <w:tc>
          <w:tcPr>
            <w:tcW w:w="9175" w:type="dxa"/>
          </w:tcPr>
          <w:p>
            <w:pPr>
              <w:spacing w:before="120" w:after="120" w:line="276" w:lineRule="auto"/>
              <w:jc w:val="both"/>
              <w:rPr>
                <w:rFonts w:ascii="Times New Roman" w:eastAsia="Times New Roman" w:hAnsi="Times New Roman"/>
                <w:noProof/>
                <w:sz w:val="20"/>
                <w:lang w:val="en-IE"/>
              </w:rPr>
            </w:pPr>
            <w:r>
              <w:rPr>
                <w:rFonts w:ascii="Times New Roman" w:eastAsia="Times New Roman" w:hAnsi="Times New Roman"/>
                <w:noProof/>
                <w:sz w:val="20"/>
                <w:lang w:val="en-IE"/>
              </w:rPr>
              <w:t xml:space="preserve">The preferred option is proportionate: it establishes common procedural requirements only where competent authorities choose to rely on housing stress to justify measures affecting internal market freedoms. It leaves to competent authorities the key decisions of whether to act, where to act and which measures to adopt. </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lang w:val="en-IE"/>
              </w:rPr>
            </w:pPr>
            <w:r>
              <w:rPr>
                <w:rFonts w:ascii="Times New Roman" w:eastAsia="Times New Roman" w:hAnsi="Times New Roman"/>
                <w:noProof/>
                <w:color w:val="auto"/>
                <w:sz w:val="22"/>
                <w:lang w:val="en-IE"/>
              </w:rPr>
              <w:t>D. Follow-up</w:t>
            </w:r>
          </w:p>
        </w:tc>
      </w:tr>
      <w:tr>
        <w:tc>
          <w:tcPr>
            <w:tcW w:w="9175" w:type="dxa"/>
            <w:shd w:val="clear" w:color="auto" w:fill="F2F2F2" w:themeFill="background1" w:themeFillShade="F2"/>
          </w:tcPr>
          <w:p>
            <w:pPr>
              <w:spacing w:line="276" w:lineRule="auto"/>
              <w:rPr>
                <w:noProof/>
                <w:lang w:val="en-IE"/>
              </w:rPr>
            </w:pPr>
            <w:r>
              <w:rPr>
                <w:rFonts w:ascii="Times New Roman" w:eastAsia="Times New Roman" w:hAnsi="Times New Roman"/>
                <w:b/>
                <w:noProof/>
                <w:sz w:val="20"/>
                <w:lang w:val="en-IE"/>
              </w:rPr>
              <w:t>When will the policy be reviewed?</w:t>
            </w:r>
          </w:p>
        </w:tc>
      </w:tr>
      <w:tr>
        <w:tc>
          <w:tcPr>
            <w:tcW w:w="9175" w:type="dxa"/>
          </w:tcPr>
          <w:p>
            <w:pPr>
              <w:spacing w:before="120" w:after="120" w:line="276" w:lineRule="auto"/>
              <w:jc w:val="both"/>
              <w:rPr>
                <w:rFonts w:ascii="Times New Roman" w:eastAsia="Times New Roman" w:hAnsi="Times New Roman"/>
                <w:noProof/>
                <w:sz w:val="20"/>
                <w:lang w:val="en-IE"/>
              </w:rPr>
            </w:pPr>
            <w:r>
              <w:rPr>
                <w:rFonts w:ascii="Times New Roman" w:eastAsia="Times New Roman" w:hAnsi="Times New Roman"/>
                <w:noProof/>
                <w:sz w:val="20"/>
                <w:lang w:val="en-IE"/>
              </w:rPr>
              <w:t xml:space="preserve">Monitoring will cover operation of the governance framework, the evidence underpinning housing-stress assessments and measures, legal challenges and the treatment of housing-supply considerations. The first evaluation should take place not earlier than five years after adoption. </w:t>
            </w:r>
          </w:p>
        </w:tc>
      </w:tr>
    </w:tbl>
    <w:p>
      <w:pPr>
        <w:pStyle w:val="Heading1"/>
        <w:spacing w:before="0"/>
        <w:jc w:val="both"/>
        <w:rPr>
          <w:noProof/>
          <w:lang w:val="en-IE"/>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484C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4C6DF5"/>
    <w:multiLevelType w:val="hybridMultilevel"/>
    <w:tmpl w:val="62CA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B733C"/>
    <w:multiLevelType w:val="hybridMultilevel"/>
    <w:tmpl w:val="0BB45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B1504DC"/>
    <w:multiLevelType w:val="hybridMultilevel"/>
    <w:tmpl w:val="2C9C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619EDC3C-7E2D-4D68-8049-556978AFA3A6"/>
    <w:docVar w:name="LW_COVERPAGE_TYPE" w:val="1"/>
    <w:docVar w:name="LW_CROSSREFERENCE" w:val="{COM(2026) 599 final} - {SEC(2026) 599 final} - {SWD(2026) 605 final} - {SWD(2026) 606 final}"/>
    <w:docVar w:name="LW_DocType" w:val="NORMAL"/>
    <w:docVar w:name="LW_EMISSION" w:val="9.9.2026"/>
    <w:docVar w:name="LW_EMISSION_ISODATE" w:val="2026-09-09"/>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the Affordable Housing Act"/>
    <w:docVar w:name="LW_PART_NBR" w:val="1"/>
    <w:docVar w:name="LW_PART_NBR_TOTAL" w:val="1"/>
    <w:docVar w:name="LW_REF.INST.NEW" w:val="SWD"/>
    <w:docVar w:name="LW_REF.INST.NEW_ADOPTED" w:val="final"/>
    <w:docVar w:name="LW_REF.INST.NEW_TEXT" w:val="(2026) 6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
    <w:docVar w:name="LW_TYPE.DOC.CP" w:val="COMMISSION STAFF WORKING DOCUMENT_x000b__x000b_EXECUTIVE SUMMARY OF THE IMPACT ASSESSMENT REPORT_x000b_"/>
    <w:docVar w:name="LW_TYPEACTEPRINCIPAL.CP" w:val="Proposal for a Regulation of the European Parliament and of the Council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E46B5CE-656E-46F2-9D54-68971487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252" w:lineRule="auto"/>
      <w:outlineLvl w:val="0"/>
    </w:pPr>
    <w:rPr>
      <w:rFonts w:asciiTheme="majorHAnsi" w:eastAsiaTheme="majorEastAsia" w:hAnsiTheme="majorHAnsi" w:cstheme="majorBidi"/>
      <w:b/>
      <w:bCs/>
      <w:color w:val="1F4E79"/>
      <w:sz w:val="26"/>
      <w:szCs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1F4E79"/>
      <w:sz w:val="26"/>
      <w:szCs w:val="28"/>
      <w:lang w:val="en-US"/>
    </w:rPr>
  </w:style>
  <w:style w:type="paragraph" w:styleId="ListBullet">
    <w:name w:val="List Bullet"/>
    <w:basedOn w:val="Normal"/>
    <w:uiPriority w:val="99"/>
    <w:semiHidden/>
    <w:unhideWhenUsed/>
    <w:pPr>
      <w:numPr>
        <w:numId w:val="1"/>
      </w:numPr>
      <w:tabs>
        <w:tab w:val="clear" w:pos="360"/>
      </w:tabs>
      <w:spacing w:after="100" w:line="252" w:lineRule="auto"/>
      <w:ind w:left="0" w:firstLine="0"/>
      <w:contextualSpacing/>
    </w:pPr>
    <w:rPr>
      <w:rFonts w:ascii="Times New Roman" w:eastAsia="Times New Roman" w:hAnsi="Times New Roman"/>
      <w:lang w:val="en-US"/>
    </w:rPr>
  </w:style>
  <w:style w:type="table" w:styleId="TableGrid">
    <w:name w:val="Table Grid"/>
    <w:basedOn w:val="TableNormal"/>
    <w:uiPriority w:val="59"/>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5058">
      <w:bodyDiv w:val="1"/>
      <w:marLeft w:val="0"/>
      <w:marRight w:val="0"/>
      <w:marTop w:val="0"/>
      <w:marBottom w:val="0"/>
      <w:divBdr>
        <w:top w:val="none" w:sz="0" w:space="0" w:color="auto"/>
        <w:left w:val="none" w:sz="0" w:space="0" w:color="auto"/>
        <w:bottom w:val="none" w:sz="0" w:space="0" w:color="auto"/>
        <w:right w:val="none" w:sz="0" w:space="0" w:color="auto"/>
      </w:divBdr>
    </w:div>
    <w:div w:id="1103959102">
      <w:bodyDiv w:val="1"/>
      <w:marLeft w:val="0"/>
      <w:marRight w:val="0"/>
      <w:marTop w:val="0"/>
      <w:marBottom w:val="0"/>
      <w:divBdr>
        <w:top w:val="none" w:sz="0" w:space="0" w:color="auto"/>
        <w:left w:val="none" w:sz="0" w:space="0" w:color="auto"/>
        <w:bottom w:val="none" w:sz="0" w:space="0" w:color="auto"/>
        <w:right w:val="none" w:sz="0" w:space="0" w:color="auto"/>
      </w:divBdr>
    </w:div>
    <w:div w:id="149390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6de6f9-1b0f-4326-b081-5bd9075b1903">
      <Terms xmlns="http://schemas.microsoft.com/office/infopath/2007/PartnerControls"/>
    </lcf76f155ced4ddcb4097134ff3c332f>
    <TaxCatchAll xmlns="a2c83353-3777-449e-be28-6ba3f1c70682" xsi:nil="true"/>
    <_Version xmlns="http://schemas.microsoft.com/sharepoint/v3/fields" xsi:nil="true"/>
    <DateCompleted xmlns="http://schemas.microsoft.com/sharepoint/v3" xsi:nil="true"/>
    <_Status xmlns="http://schemas.microsoft.com/sharepoint/v3/fields">Not Started</_Status>
    <Country xmlns="5d6de6f9-1b0f-4326-b081-5bd9075b1903" xsi:nil="true"/>
    <Topic xmlns="5d6de6f9-1b0f-4326-b081-5bd9075b1903" xsi:nil="true"/>
    <Topics xmlns="5d6de6f9-1b0f-4326-b081-5bd9075b190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2.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3.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5d6de6f9-1b0f-4326-b081-5bd9075b1903"/>
    <ds:schemaRef ds:uri="a2c83353-3777-449e-be28-6ba3f1c70682"/>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28DA2F75-C435-402A-8EDA-E0E0FA09B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2026-09-03T18:09:00Z</dcterms:created>
  <dcterms:modified xsi:type="dcterms:W3CDTF">2026-09-08T18:10:00Z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0x010100BDAF4484D18C4F4D95D6492997A33CB5</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