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09EF93" w14:textId="0D6DB2CC" w:rsidR="006A5F73" w:rsidRDefault="00F37363" w:rsidP="00F37363">
      <w:pPr>
        <w:pStyle w:val="Pagedecouverture"/>
        <w:rPr>
          <w:noProof/>
        </w:rPr>
      </w:pPr>
      <w:bookmarkStart w:id="0" w:name="LW_BM_COVERPAGE"/>
      <w:r>
        <w:rPr>
          <w:noProof/>
        </w:rPr>
        <w:pict w14:anchorId="36720A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52DC279A-124C-4FD5-9CA2-482BE0328D8A" style="width:455.25pt;height:465.75pt">
            <v:imagedata r:id="rId11" o:title=""/>
          </v:shape>
        </w:pict>
      </w:r>
    </w:p>
    <w:bookmarkEnd w:id="0"/>
    <w:p w14:paraId="7D38ACF8" w14:textId="77777777" w:rsidR="006A5F73" w:rsidRDefault="006A5F73" w:rsidP="006A5F73">
      <w:pPr>
        <w:rPr>
          <w:noProof/>
        </w:rPr>
        <w:sectPr w:rsidR="006A5F73" w:rsidSect="00F3736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250ACBE" w14:textId="61796FD0" w:rsidR="008530D4" w:rsidRPr="00AE490B" w:rsidRDefault="008530D4" w:rsidP="008530D4">
      <w:pPr>
        <w:pStyle w:val="TOCHeading"/>
        <w:rPr>
          <w:noProof/>
          <w:szCs w:val="24"/>
        </w:rPr>
      </w:pPr>
      <w:bookmarkStart w:id="1" w:name="_GoBack"/>
      <w:bookmarkEnd w:id="1"/>
    </w:p>
    <w:sdt>
      <w:sdtPr>
        <w:rPr>
          <w:rFonts w:asciiTheme="minorHAnsi" w:eastAsiaTheme="minorEastAsia" w:hAnsiTheme="minorHAnsi" w:cstheme="minorBidi"/>
          <w:b w:val="0"/>
          <w:noProof/>
          <w:sz w:val="22"/>
          <w:szCs w:val="22"/>
          <w:lang w:val="fr-BE"/>
        </w:rPr>
        <w:id w:val="372347343"/>
        <w:docPartObj>
          <w:docPartGallery w:val="Table of Contents"/>
          <w:docPartUnique/>
        </w:docPartObj>
      </w:sdtPr>
      <w:sdtEndPr/>
      <w:sdtContent>
        <w:p w14:paraId="6470B0BC" w14:textId="19D13CDC" w:rsidR="002641F7" w:rsidRPr="00004DA6" w:rsidRDefault="002641F7">
          <w:pPr>
            <w:pStyle w:val="TOCHeading"/>
            <w:rPr>
              <w:noProof/>
            </w:rPr>
          </w:pPr>
          <w:r w:rsidRPr="00004DA6">
            <w:rPr>
              <w:noProof/>
            </w:rPr>
            <w:t>Table of Contents</w:t>
          </w:r>
        </w:p>
        <w:p w14:paraId="6D9217C3" w14:textId="40815DE3" w:rsidR="00004DA6" w:rsidRPr="00004DA6" w:rsidRDefault="002641F7" w:rsidP="00004DA6">
          <w:pPr>
            <w:pStyle w:val="TOC1"/>
            <w:tabs>
              <w:tab w:val="clear" w:pos="8640"/>
              <w:tab w:val="right" w:leader="dot" w:pos="8505"/>
            </w:tabs>
            <w:ind w:right="113"/>
            <w:rPr>
              <w:rFonts w:eastAsiaTheme="minorEastAsia"/>
              <w:caps w:val="0"/>
              <w:noProof/>
              <w:kern w:val="2"/>
              <w:sz w:val="24"/>
              <w:szCs w:val="24"/>
              <w:lang w:val="en-IE" w:eastAsia="en-IE"/>
              <w14:ligatures w14:val="standardContextual"/>
            </w:rPr>
          </w:pPr>
          <w:r w:rsidRPr="00004DA6">
            <w:rPr>
              <w:noProof/>
            </w:rPr>
            <w:fldChar w:fldCharType="begin"/>
          </w:r>
          <w:r w:rsidRPr="00004DA6">
            <w:rPr>
              <w:noProof/>
            </w:rPr>
            <w:instrText xml:space="preserve"> TOC \o "1-3" \h \z \u </w:instrText>
          </w:r>
          <w:r w:rsidRPr="00004DA6">
            <w:rPr>
              <w:noProof/>
            </w:rPr>
            <w:fldChar w:fldCharType="separate"/>
          </w:r>
          <w:hyperlink w:anchor="_Toc207303601" w:history="1">
            <w:r w:rsidR="00004DA6" w:rsidRPr="00004DA6">
              <w:rPr>
                <w:rStyle w:val="Hyperlink"/>
                <w:noProof/>
              </w:rPr>
              <w:t>1.</w:t>
            </w:r>
            <w:r w:rsidR="00004DA6" w:rsidRPr="00004DA6">
              <w:rPr>
                <w:rFonts w:eastAsiaTheme="minorEastAsia"/>
                <w:caps w:val="0"/>
                <w:noProof/>
                <w:kern w:val="2"/>
                <w:sz w:val="24"/>
                <w:szCs w:val="24"/>
                <w:lang w:val="en-IE" w:eastAsia="en-IE"/>
                <w14:ligatures w14:val="standardContextual"/>
              </w:rPr>
              <w:tab/>
            </w:r>
            <w:r w:rsidR="00004DA6" w:rsidRPr="00004DA6">
              <w:rPr>
                <w:rStyle w:val="Hyperlink"/>
                <w:noProof/>
              </w:rPr>
              <w:t>Introduction</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_Toc207303601 \h </w:instrText>
            </w:r>
            <w:r w:rsidR="00004DA6" w:rsidRPr="00004DA6">
              <w:rPr>
                <w:noProof/>
                <w:webHidden/>
              </w:rPr>
            </w:r>
            <w:r w:rsidR="00004DA6" w:rsidRPr="00004DA6">
              <w:rPr>
                <w:noProof/>
                <w:webHidden/>
              </w:rPr>
              <w:fldChar w:fldCharType="separate"/>
            </w:r>
            <w:r w:rsidR="00004DA6" w:rsidRPr="00004DA6">
              <w:rPr>
                <w:noProof/>
                <w:webHidden/>
              </w:rPr>
              <w:t>1</w:t>
            </w:r>
            <w:r w:rsidR="00004DA6" w:rsidRPr="00004DA6">
              <w:rPr>
                <w:noProof/>
                <w:webHidden/>
              </w:rPr>
              <w:fldChar w:fldCharType="end"/>
            </w:r>
          </w:hyperlink>
        </w:p>
        <w:p w14:paraId="18A695FE" w14:textId="7CC16DA9" w:rsidR="00004DA6" w:rsidRPr="00004DA6" w:rsidRDefault="00F37363" w:rsidP="00004DA6">
          <w:pPr>
            <w:pStyle w:val="TOC2"/>
            <w:tabs>
              <w:tab w:val="right" w:leader="dot" w:pos="8505"/>
            </w:tabs>
            <w:rPr>
              <w:rFonts w:eastAsiaTheme="minorEastAsia"/>
              <w:noProof/>
              <w:kern w:val="2"/>
              <w:sz w:val="24"/>
              <w:szCs w:val="24"/>
              <w:lang w:val="en-IE" w:eastAsia="en-IE"/>
              <w14:ligatures w14:val="standardContextual"/>
            </w:rPr>
          </w:pPr>
          <w:hyperlink w:anchor="_Toc207303602" w:history="1">
            <w:r w:rsidR="00004DA6" w:rsidRPr="00004DA6">
              <w:rPr>
                <w:rStyle w:val="Hyperlink"/>
                <w:rFonts w:ascii="Times New Roman" w:hAnsi="Times New Roman" w:cs="Times New Roman"/>
                <w:noProof/>
              </w:rPr>
              <w:t>1.1.</w:t>
            </w:r>
            <w:r w:rsidR="00004DA6" w:rsidRPr="00004DA6">
              <w:rPr>
                <w:rFonts w:eastAsiaTheme="minorEastAsia"/>
                <w:noProof/>
                <w:kern w:val="2"/>
                <w:sz w:val="24"/>
                <w:szCs w:val="24"/>
                <w:lang w:val="en-IE" w:eastAsia="en-IE"/>
                <w14:ligatures w14:val="standardContextual"/>
              </w:rPr>
              <w:tab/>
            </w:r>
            <w:r w:rsidR="00004DA6" w:rsidRPr="00004DA6">
              <w:rPr>
                <w:rStyle w:val="Hyperlink"/>
                <w:rFonts w:ascii="Times New Roman" w:hAnsi="Times New Roman" w:cs="Times New Roman"/>
                <w:noProof/>
              </w:rPr>
              <w:t>Purpose and scope of the evaluation</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_Toc207303602 \h </w:instrText>
            </w:r>
            <w:r w:rsidR="00004DA6" w:rsidRPr="00004DA6">
              <w:rPr>
                <w:noProof/>
                <w:webHidden/>
              </w:rPr>
            </w:r>
            <w:r w:rsidR="00004DA6" w:rsidRPr="00004DA6">
              <w:rPr>
                <w:noProof/>
                <w:webHidden/>
              </w:rPr>
              <w:fldChar w:fldCharType="separate"/>
            </w:r>
            <w:r w:rsidR="00004DA6" w:rsidRPr="00004DA6">
              <w:rPr>
                <w:noProof/>
                <w:webHidden/>
              </w:rPr>
              <w:t>1</w:t>
            </w:r>
            <w:r w:rsidR="00004DA6" w:rsidRPr="00004DA6">
              <w:rPr>
                <w:noProof/>
                <w:webHidden/>
              </w:rPr>
              <w:fldChar w:fldCharType="end"/>
            </w:r>
          </w:hyperlink>
        </w:p>
        <w:p w14:paraId="49D4F861" w14:textId="293AB18E" w:rsidR="00004DA6" w:rsidRPr="00004DA6" w:rsidRDefault="00F37363" w:rsidP="00004DA6">
          <w:pPr>
            <w:pStyle w:val="TOC1"/>
            <w:tabs>
              <w:tab w:val="right" w:leader="dot" w:pos="8505"/>
            </w:tabs>
            <w:ind w:right="113"/>
            <w:rPr>
              <w:rFonts w:eastAsiaTheme="minorEastAsia"/>
              <w:caps w:val="0"/>
              <w:noProof/>
              <w:kern w:val="2"/>
              <w:sz w:val="24"/>
              <w:szCs w:val="24"/>
              <w:lang w:val="en-IE" w:eastAsia="en-IE"/>
              <w14:ligatures w14:val="standardContextual"/>
            </w:rPr>
          </w:pPr>
          <w:hyperlink w:anchor="_Toc207303603" w:history="1">
            <w:r w:rsidR="00004DA6" w:rsidRPr="00004DA6">
              <w:rPr>
                <w:rStyle w:val="Hyperlink"/>
                <w:noProof/>
                <w:lang w:val="en-IE"/>
              </w:rPr>
              <w:t>2.</w:t>
            </w:r>
            <w:r w:rsidR="00004DA6" w:rsidRPr="00004DA6">
              <w:rPr>
                <w:rFonts w:eastAsiaTheme="minorEastAsia"/>
                <w:caps w:val="0"/>
                <w:noProof/>
                <w:kern w:val="2"/>
                <w:sz w:val="24"/>
                <w:szCs w:val="24"/>
                <w:lang w:val="en-IE" w:eastAsia="en-IE"/>
                <w14:ligatures w14:val="standardContextual"/>
              </w:rPr>
              <w:tab/>
            </w:r>
            <w:r w:rsidR="00004DA6" w:rsidRPr="00004DA6">
              <w:rPr>
                <w:rStyle w:val="Hyperlink"/>
                <w:noProof/>
                <w:lang w:val="en-IE"/>
              </w:rPr>
              <w:t>What was the expected outcome of the intervention?</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_Toc207303603 \h </w:instrText>
            </w:r>
            <w:r w:rsidR="00004DA6" w:rsidRPr="00004DA6">
              <w:rPr>
                <w:noProof/>
                <w:webHidden/>
              </w:rPr>
            </w:r>
            <w:r w:rsidR="00004DA6" w:rsidRPr="00004DA6">
              <w:rPr>
                <w:noProof/>
                <w:webHidden/>
              </w:rPr>
              <w:fldChar w:fldCharType="separate"/>
            </w:r>
            <w:r w:rsidR="00004DA6" w:rsidRPr="00004DA6">
              <w:rPr>
                <w:noProof/>
                <w:webHidden/>
              </w:rPr>
              <w:t>3</w:t>
            </w:r>
            <w:r w:rsidR="00004DA6" w:rsidRPr="00004DA6">
              <w:rPr>
                <w:noProof/>
                <w:webHidden/>
              </w:rPr>
              <w:fldChar w:fldCharType="end"/>
            </w:r>
          </w:hyperlink>
        </w:p>
        <w:p w14:paraId="0A49898B" w14:textId="676726DB" w:rsidR="00004DA6" w:rsidRPr="00004DA6" w:rsidRDefault="00F37363" w:rsidP="00004DA6">
          <w:pPr>
            <w:pStyle w:val="TOC2"/>
            <w:tabs>
              <w:tab w:val="right" w:leader="dot" w:pos="8505"/>
            </w:tabs>
            <w:rPr>
              <w:rFonts w:eastAsiaTheme="minorEastAsia"/>
              <w:noProof/>
              <w:kern w:val="2"/>
              <w:sz w:val="24"/>
              <w:szCs w:val="24"/>
              <w:lang w:val="en-IE" w:eastAsia="en-IE"/>
              <w14:ligatures w14:val="standardContextual"/>
            </w:rPr>
          </w:pPr>
          <w:hyperlink w:anchor="_Toc207303604" w:history="1">
            <w:r w:rsidR="00004DA6" w:rsidRPr="00004DA6">
              <w:rPr>
                <w:rStyle w:val="Hyperlink"/>
                <w:rFonts w:ascii="Times New Roman" w:hAnsi="Times New Roman" w:cs="Times New Roman"/>
                <w:noProof/>
              </w:rPr>
              <w:t>2.1</w:t>
            </w:r>
            <w:r w:rsidR="00004DA6" w:rsidRPr="00004DA6">
              <w:rPr>
                <w:rFonts w:eastAsiaTheme="minorEastAsia"/>
                <w:noProof/>
                <w:kern w:val="2"/>
                <w:sz w:val="24"/>
                <w:szCs w:val="24"/>
                <w:lang w:val="en-IE" w:eastAsia="en-IE"/>
                <w14:ligatures w14:val="standardContextual"/>
              </w:rPr>
              <w:tab/>
            </w:r>
            <w:r w:rsidR="00004DA6" w:rsidRPr="00004DA6">
              <w:rPr>
                <w:rStyle w:val="Hyperlink"/>
                <w:rFonts w:ascii="Times New Roman" w:hAnsi="Times New Roman" w:cs="Times New Roman"/>
                <w:noProof/>
              </w:rPr>
              <w:t>Description of the intervention and its objectives</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_Toc207303604 \h </w:instrText>
            </w:r>
            <w:r w:rsidR="00004DA6" w:rsidRPr="00004DA6">
              <w:rPr>
                <w:noProof/>
                <w:webHidden/>
              </w:rPr>
            </w:r>
            <w:r w:rsidR="00004DA6" w:rsidRPr="00004DA6">
              <w:rPr>
                <w:noProof/>
                <w:webHidden/>
              </w:rPr>
              <w:fldChar w:fldCharType="separate"/>
            </w:r>
            <w:r w:rsidR="00004DA6" w:rsidRPr="00004DA6">
              <w:rPr>
                <w:noProof/>
                <w:webHidden/>
              </w:rPr>
              <w:t>3</w:t>
            </w:r>
            <w:r w:rsidR="00004DA6" w:rsidRPr="00004DA6">
              <w:rPr>
                <w:noProof/>
                <w:webHidden/>
              </w:rPr>
              <w:fldChar w:fldCharType="end"/>
            </w:r>
          </w:hyperlink>
        </w:p>
        <w:p w14:paraId="422E46FA" w14:textId="597FD59E" w:rsidR="00004DA6" w:rsidRPr="00004DA6" w:rsidRDefault="00F37363" w:rsidP="00004DA6">
          <w:pPr>
            <w:pStyle w:val="TOC2"/>
            <w:tabs>
              <w:tab w:val="right" w:leader="dot" w:pos="8505"/>
            </w:tabs>
            <w:rPr>
              <w:rFonts w:eastAsiaTheme="minorEastAsia"/>
              <w:noProof/>
              <w:kern w:val="2"/>
              <w:sz w:val="24"/>
              <w:szCs w:val="24"/>
              <w:lang w:val="en-IE" w:eastAsia="en-IE"/>
              <w14:ligatures w14:val="standardContextual"/>
            </w:rPr>
          </w:pPr>
          <w:hyperlink w:anchor="_Toc207303605" w:history="1">
            <w:r w:rsidR="00004DA6" w:rsidRPr="00004DA6">
              <w:rPr>
                <w:rStyle w:val="Hyperlink"/>
                <w:rFonts w:ascii="Times New Roman" w:hAnsi="Times New Roman" w:cs="Times New Roman"/>
                <w:noProof/>
              </w:rPr>
              <w:t>2.2</w:t>
            </w:r>
            <w:r w:rsidR="00004DA6" w:rsidRPr="00004DA6">
              <w:rPr>
                <w:rFonts w:eastAsiaTheme="minorEastAsia"/>
                <w:noProof/>
                <w:kern w:val="2"/>
                <w:sz w:val="24"/>
                <w:szCs w:val="24"/>
                <w:lang w:val="en-IE" w:eastAsia="en-IE"/>
                <w14:ligatures w14:val="standardContextual"/>
              </w:rPr>
              <w:tab/>
            </w:r>
            <w:r w:rsidR="00004DA6" w:rsidRPr="00004DA6">
              <w:rPr>
                <w:rStyle w:val="Hyperlink"/>
                <w:rFonts w:ascii="Times New Roman" w:hAnsi="Times New Roman" w:cs="Times New Roman"/>
                <w:noProof/>
              </w:rPr>
              <w:t>Points of comparison</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_Toc207303605 \h </w:instrText>
            </w:r>
            <w:r w:rsidR="00004DA6" w:rsidRPr="00004DA6">
              <w:rPr>
                <w:noProof/>
                <w:webHidden/>
              </w:rPr>
            </w:r>
            <w:r w:rsidR="00004DA6" w:rsidRPr="00004DA6">
              <w:rPr>
                <w:noProof/>
                <w:webHidden/>
              </w:rPr>
              <w:fldChar w:fldCharType="separate"/>
            </w:r>
            <w:r w:rsidR="00004DA6" w:rsidRPr="00004DA6">
              <w:rPr>
                <w:noProof/>
                <w:webHidden/>
              </w:rPr>
              <w:t>7</w:t>
            </w:r>
            <w:r w:rsidR="00004DA6" w:rsidRPr="00004DA6">
              <w:rPr>
                <w:noProof/>
                <w:webHidden/>
              </w:rPr>
              <w:fldChar w:fldCharType="end"/>
            </w:r>
          </w:hyperlink>
        </w:p>
        <w:p w14:paraId="0465C87B" w14:textId="34B8B675" w:rsidR="00004DA6" w:rsidRPr="00004DA6" w:rsidRDefault="00F37363" w:rsidP="00004DA6">
          <w:pPr>
            <w:pStyle w:val="TOC1"/>
            <w:tabs>
              <w:tab w:val="right" w:leader="dot" w:pos="8505"/>
            </w:tabs>
            <w:ind w:right="113"/>
            <w:rPr>
              <w:rFonts w:eastAsiaTheme="minorEastAsia"/>
              <w:caps w:val="0"/>
              <w:noProof/>
              <w:kern w:val="2"/>
              <w:sz w:val="24"/>
              <w:szCs w:val="24"/>
              <w:lang w:val="en-IE" w:eastAsia="en-IE"/>
              <w14:ligatures w14:val="standardContextual"/>
            </w:rPr>
          </w:pPr>
          <w:hyperlink w:anchor="_Toc207303606" w:history="1">
            <w:r w:rsidR="00004DA6" w:rsidRPr="00004DA6">
              <w:rPr>
                <w:rStyle w:val="Hyperlink"/>
                <w:noProof/>
              </w:rPr>
              <w:t>3.</w:t>
            </w:r>
            <w:r w:rsidR="00004DA6" w:rsidRPr="00004DA6">
              <w:rPr>
                <w:rFonts w:eastAsiaTheme="minorEastAsia"/>
                <w:caps w:val="0"/>
                <w:noProof/>
                <w:kern w:val="2"/>
                <w:sz w:val="24"/>
                <w:szCs w:val="24"/>
                <w:lang w:val="en-IE" w:eastAsia="en-IE"/>
                <w14:ligatures w14:val="standardContextual"/>
              </w:rPr>
              <w:tab/>
            </w:r>
            <w:r w:rsidR="00004DA6" w:rsidRPr="00004DA6">
              <w:rPr>
                <w:rStyle w:val="Hyperlink"/>
                <w:noProof/>
              </w:rPr>
              <w:t>How has the situation evolved over the evaluation period?</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_Toc207303606 \h </w:instrText>
            </w:r>
            <w:r w:rsidR="00004DA6" w:rsidRPr="00004DA6">
              <w:rPr>
                <w:noProof/>
                <w:webHidden/>
              </w:rPr>
            </w:r>
            <w:r w:rsidR="00004DA6" w:rsidRPr="00004DA6">
              <w:rPr>
                <w:noProof/>
                <w:webHidden/>
              </w:rPr>
              <w:fldChar w:fldCharType="separate"/>
            </w:r>
            <w:r w:rsidR="00004DA6" w:rsidRPr="00004DA6">
              <w:rPr>
                <w:noProof/>
                <w:webHidden/>
              </w:rPr>
              <w:t>9</w:t>
            </w:r>
            <w:r w:rsidR="00004DA6" w:rsidRPr="00004DA6">
              <w:rPr>
                <w:noProof/>
                <w:webHidden/>
              </w:rPr>
              <w:fldChar w:fldCharType="end"/>
            </w:r>
          </w:hyperlink>
        </w:p>
        <w:p w14:paraId="4FC8BA20" w14:textId="55D4ABC5" w:rsidR="00004DA6" w:rsidRPr="00004DA6" w:rsidRDefault="00F37363" w:rsidP="00004DA6">
          <w:pPr>
            <w:pStyle w:val="TOC1"/>
            <w:tabs>
              <w:tab w:val="right" w:leader="dot" w:pos="8505"/>
            </w:tabs>
            <w:ind w:right="113"/>
            <w:rPr>
              <w:rFonts w:eastAsiaTheme="minorEastAsia"/>
              <w:caps w:val="0"/>
              <w:noProof/>
              <w:kern w:val="2"/>
              <w:sz w:val="24"/>
              <w:szCs w:val="24"/>
              <w:lang w:val="en-IE" w:eastAsia="en-IE"/>
              <w14:ligatures w14:val="standardContextual"/>
            </w:rPr>
          </w:pPr>
          <w:hyperlink w:anchor="_Toc207303607" w:history="1">
            <w:r w:rsidR="00004DA6" w:rsidRPr="00004DA6">
              <w:rPr>
                <w:rStyle w:val="Hyperlink"/>
                <w:noProof/>
              </w:rPr>
              <w:t>4.</w:t>
            </w:r>
            <w:r w:rsidR="00004DA6" w:rsidRPr="00004DA6">
              <w:rPr>
                <w:rFonts w:eastAsiaTheme="minorEastAsia"/>
                <w:caps w:val="0"/>
                <w:noProof/>
                <w:kern w:val="2"/>
                <w:sz w:val="24"/>
                <w:szCs w:val="24"/>
                <w:lang w:val="en-IE" w:eastAsia="en-IE"/>
                <w14:ligatures w14:val="standardContextual"/>
              </w:rPr>
              <w:tab/>
            </w:r>
            <w:r w:rsidR="00004DA6" w:rsidRPr="00004DA6">
              <w:rPr>
                <w:rStyle w:val="Hyperlink"/>
                <w:noProof/>
              </w:rPr>
              <w:t>Evaluation findings</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_Toc207303607 \h </w:instrText>
            </w:r>
            <w:r w:rsidR="00004DA6" w:rsidRPr="00004DA6">
              <w:rPr>
                <w:noProof/>
                <w:webHidden/>
              </w:rPr>
            </w:r>
            <w:r w:rsidR="00004DA6" w:rsidRPr="00004DA6">
              <w:rPr>
                <w:noProof/>
                <w:webHidden/>
              </w:rPr>
              <w:fldChar w:fldCharType="separate"/>
            </w:r>
            <w:r w:rsidR="00004DA6" w:rsidRPr="00004DA6">
              <w:rPr>
                <w:noProof/>
                <w:webHidden/>
              </w:rPr>
              <w:t>12</w:t>
            </w:r>
            <w:r w:rsidR="00004DA6" w:rsidRPr="00004DA6">
              <w:rPr>
                <w:noProof/>
                <w:webHidden/>
              </w:rPr>
              <w:fldChar w:fldCharType="end"/>
            </w:r>
          </w:hyperlink>
        </w:p>
        <w:p w14:paraId="6299343E" w14:textId="059C30DB" w:rsidR="00004DA6" w:rsidRPr="00004DA6" w:rsidRDefault="00F37363" w:rsidP="00004DA6">
          <w:pPr>
            <w:pStyle w:val="TOC2"/>
            <w:tabs>
              <w:tab w:val="right" w:leader="dot" w:pos="8505"/>
            </w:tabs>
            <w:rPr>
              <w:rFonts w:eastAsiaTheme="minorEastAsia"/>
              <w:noProof/>
              <w:kern w:val="2"/>
              <w:sz w:val="24"/>
              <w:szCs w:val="24"/>
              <w:lang w:val="en-IE" w:eastAsia="en-IE"/>
              <w14:ligatures w14:val="standardContextual"/>
            </w:rPr>
          </w:pPr>
          <w:hyperlink w:anchor="_Toc207303608" w:history="1">
            <w:r w:rsidR="00004DA6" w:rsidRPr="00004DA6">
              <w:rPr>
                <w:rStyle w:val="Hyperlink"/>
                <w:rFonts w:ascii="Times New Roman" w:hAnsi="Times New Roman" w:cs="Times New Roman"/>
                <w:smallCaps/>
                <w:noProof/>
              </w:rPr>
              <w:t>4.1.</w:t>
            </w:r>
            <w:r w:rsidR="00004DA6" w:rsidRPr="00004DA6">
              <w:rPr>
                <w:rFonts w:eastAsiaTheme="minorEastAsia"/>
                <w:noProof/>
                <w:kern w:val="2"/>
                <w:sz w:val="24"/>
                <w:szCs w:val="24"/>
                <w:lang w:val="en-IE" w:eastAsia="en-IE"/>
                <w14:ligatures w14:val="standardContextual"/>
              </w:rPr>
              <w:tab/>
            </w:r>
            <w:r w:rsidR="00004DA6" w:rsidRPr="00004DA6">
              <w:rPr>
                <w:rStyle w:val="Hyperlink"/>
                <w:rFonts w:ascii="Times New Roman" w:hAnsi="Times New Roman" w:cs="Times New Roman"/>
                <w:noProof/>
              </w:rPr>
              <w:t>To what extent was the intervention successful and why?</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_Toc207303608 \h </w:instrText>
            </w:r>
            <w:r w:rsidR="00004DA6" w:rsidRPr="00004DA6">
              <w:rPr>
                <w:noProof/>
                <w:webHidden/>
              </w:rPr>
            </w:r>
            <w:r w:rsidR="00004DA6" w:rsidRPr="00004DA6">
              <w:rPr>
                <w:noProof/>
                <w:webHidden/>
              </w:rPr>
              <w:fldChar w:fldCharType="separate"/>
            </w:r>
            <w:r w:rsidR="00004DA6" w:rsidRPr="00004DA6">
              <w:rPr>
                <w:noProof/>
                <w:webHidden/>
              </w:rPr>
              <w:t>12</w:t>
            </w:r>
            <w:r w:rsidR="00004DA6" w:rsidRPr="00004DA6">
              <w:rPr>
                <w:noProof/>
                <w:webHidden/>
              </w:rPr>
              <w:fldChar w:fldCharType="end"/>
            </w:r>
          </w:hyperlink>
        </w:p>
        <w:p w14:paraId="2A760777" w14:textId="313829C3" w:rsidR="00004DA6" w:rsidRPr="00004DA6" w:rsidRDefault="00F37363" w:rsidP="00004DA6">
          <w:pPr>
            <w:pStyle w:val="TOC3"/>
            <w:tabs>
              <w:tab w:val="left" w:pos="1400"/>
              <w:tab w:val="right" w:leader="dot" w:pos="8505"/>
              <w:tab w:val="right" w:leader="dot" w:pos="8608"/>
            </w:tabs>
            <w:rPr>
              <w:rFonts w:ascii="Times New Roman" w:hAnsi="Times New Roman"/>
              <w:noProof/>
              <w:kern w:val="2"/>
              <w:sz w:val="24"/>
              <w:szCs w:val="24"/>
              <w:lang w:val="en-IE" w:eastAsia="en-IE"/>
              <w14:ligatures w14:val="standardContextual"/>
            </w:rPr>
          </w:pPr>
          <w:hyperlink w:anchor="_Toc207303609" w:history="1">
            <w:r w:rsidR="00004DA6" w:rsidRPr="00004DA6">
              <w:rPr>
                <w:rStyle w:val="Hyperlink"/>
                <w:rFonts w:ascii="Times New Roman" w:hAnsi="Times New Roman"/>
                <w:iCs/>
                <w:noProof/>
              </w:rPr>
              <w:t>4.1.1.</w:t>
            </w:r>
            <w:r w:rsidR="00004DA6" w:rsidRPr="00004DA6">
              <w:rPr>
                <w:rFonts w:ascii="Times New Roman" w:hAnsi="Times New Roman"/>
                <w:noProof/>
                <w:kern w:val="2"/>
                <w:sz w:val="24"/>
                <w:szCs w:val="24"/>
                <w:lang w:val="en-IE" w:eastAsia="en-IE"/>
                <w14:ligatures w14:val="standardContextual"/>
              </w:rPr>
              <w:tab/>
            </w:r>
            <w:r w:rsidR="00004DA6" w:rsidRPr="00004DA6">
              <w:rPr>
                <w:rStyle w:val="Hyperlink"/>
                <w:rFonts w:ascii="Times New Roman" w:hAnsi="Times New Roman"/>
                <w:iCs/>
                <w:noProof/>
              </w:rPr>
              <w:t>Effectiveness</w:t>
            </w:r>
            <w:r w:rsidR="00004DA6" w:rsidRPr="00004DA6">
              <w:rPr>
                <w:rFonts w:ascii="Times New Roman" w:hAnsi="Times New Roman"/>
                <w:noProof/>
                <w:webHidden/>
              </w:rPr>
              <w:tab/>
            </w:r>
            <w:r w:rsidR="00004DA6" w:rsidRPr="00004DA6">
              <w:rPr>
                <w:rFonts w:ascii="Times New Roman" w:hAnsi="Times New Roman"/>
                <w:noProof/>
                <w:webHidden/>
              </w:rPr>
              <w:fldChar w:fldCharType="begin"/>
            </w:r>
            <w:r w:rsidR="00004DA6" w:rsidRPr="00004DA6">
              <w:rPr>
                <w:rFonts w:ascii="Times New Roman" w:hAnsi="Times New Roman"/>
                <w:noProof/>
                <w:webHidden/>
              </w:rPr>
              <w:instrText xml:space="preserve"> PAGEREF _Toc207303609 \h </w:instrText>
            </w:r>
            <w:r w:rsidR="00004DA6" w:rsidRPr="00004DA6">
              <w:rPr>
                <w:rFonts w:ascii="Times New Roman" w:hAnsi="Times New Roman"/>
                <w:noProof/>
                <w:webHidden/>
              </w:rPr>
            </w:r>
            <w:r w:rsidR="00004DA6" w:rsidRPr="00004DA6">
              <w:rPr>
                <w:rFonts w:ascii="Times New Roman" w:hAnsi="Times New Roman"/>
                <w:noProof/>
                <w:webHidden/>
              </w:rPr>
              <w:fldChar w:fldCharType="separate"/>
            </w:r>
            <w:r w:rsidR="00004DA6" w:rsidRPr="00004DA6">
              <w:rPr>
                <w:rFonts w:ascii="Times New Roman" w:hAnsi="Times New Roman"/>
                <w:noProof/>
                <w:webHidden/>
              </w:rPr>
              <w:t>12</w:t>
            </w:r>
            <w:r w:rsidR="00004DA6" w:rsidRPr="00004DA6">
              <w:rPr>
                <w:rFonts w:ascii="Times New Roman" w:hAnsi="Times New Roman"/>
                <w:noProof/>
                <w:webHidden/>
              </w:rPr>
              <w:fldChar w:fldCharType="end"/>
            </w:r>
          </w:hyperlink>
        </w:p>
        <w:p w14:paraId="0D092B03" w14:textId="7374D096" w:rsidR="00004DA6" w:rsidRPr="00004DA6" w:rsidRDefault="00F37363" w:rsidP="00004DA6">
          <w:pPr>
            <w:pStyle w:val="TOC3"/>
            <w:tabs>
              <w:tab w:val="left" w:pos="1400"/>
              <w:tab w:val="right" w:leader="dot" w:pos="8505"/>
              <w:tab w:val="right" w:leader="dot" w:pos="8608"/>
            </w:tabs>
            <w:rPr>
              <w:rFonts w:ascii="Times New Roman" w:hAnsi="Times New Roman"/>
              <w:noProof/>
              <w:kern w:val="2"/>
              <w:sz w:val="24"/>
              <w:szCs w:val="24"/>
              <w:lang w:val="en-IE" w:eastAsia="en-IE"/>
              <w14:ligatures w14:val="standardContextual"/>
            </w:rPr>
          </w:pPr>
          <w:hyperlink w:anchor="_Toc207303610" w:history="1">
            <w:r w:rsidR="00004DA6" w:rsidRPr="00004DA6">
              <w:rPr>
                <w:rStyle w:val="Hyperlink"/>
                <w:rFonts w:ascii="Times New Roman" w:hAnsi="Times New Roman"/>
                <w:iCs/>
                <w:noProof/>
              </w:rPr>
              <w:t>4.1.2.</w:t>
            </w:r>
            <w:r w:rsidR="00004DA6" w:rsidRPr="00004DA6">
              <w:rPr>
                <w:rFonts w:ascii="Times New Roman" w:hAnsi="Times New Roman"/>
                <w:noProof/>
                <w:kern w:val="2"/>
                <w:sz w:val="24"/>
                <w:szCs w:val="24"/>
                <w:lang w:val="en-IE" w:eastAsia="en-IE"/>
                <w14:ligatures w14:val="standardContextual"/>
              </w:rPr>
              <w:tab/>
            </w:r>
            <w:r w:rsidR="00004DA6" w:rsidRPr="00004DA6">
              <w:rPr>
                <w:rStyle w:val="Hyperlink"/>
                <w:rFonts w:ascii="Times New Roman" w:hAnsi="Times New Roman"/>
                <w:iCs/>
                <w:noProof/>
              </w:rPr>
              <w:t>Efficiency</w:t>
            </w:r>
            <w:r w:rsidR="00004DA6" w:rsidRPr="00004DA6">
              <w:rPr>
                <w:rFonts w:ascii="Times New Roman" w:hAnsi="Times New Roman"/>
                <w:noProof/>
                <w:webHidden/>
              </w:rPr>
              <w:tab/>
            </w:r>
            <w:r w:rsidR="00004DA6" w:rsidRPr="00004DA6">
              <w:rPr>
                <w:rFonts w:ascii="Times New Roman" w:hAnsi="Times New Roman"/>
                <w:noProof/>
                <w:webHidden/>
              </w:rPr>
              <w:fldChar w:fldCharType="begin"/>
            </w:r>
            <w:r w:rsidR="00004DA6" w:rsidRPr="00004DA6">
              <w:rPr>
                <w:rFonts w:ascii="Times New Roman" w:hAnsi="Times New Roman"/>
                <w:noProof/>
                <w:webHidden/>
              </w:rPr>
              <w:instrText xml:space="preserve"> PAGEREF _Toc207303610 \h </w:instrText>
            </w:r>
            <w:r w:rsidR="00004DA6" w:rsidRPr="00004DA6">
              <w:rPr>
                <w:rFonts w:ascii="Times New Roman" w:hAnsi="Times New Roman"/>
                <w:noProof/>
                <w:webHidden/>
              </w:rPr>
            </w:r>
            <w:r w:rsidR="00004DA6" w:rsidRPr="00004DA6">
              <w:rPr>
                <w:rFonts w:ascii="Times New Roman" w:hAnsi="Times New Roman"/>
                <w:noProof/>
                <w:webHidden/>
              </w:rPr>
              <w:fldChar w:fldCharType="separate"/>
            </w:r>
            <w:r w:rsidR="00004DA6" w:rsidRPr="00004DA6">
              <w:rPr>
                <w:rFonts w:ascii="Times New Roman" w:hAnsi="Times New Roman"/>
                <w:noProof/>
                <w:webHidden/>
              </w:rPr>
              <w:t>29</w:t>
            </w:r>
            <w:r w:rsidR="00004DA6" w:rsidRPr="00004DA6">
              <w:rPr>
                <w:rFonts w:ascii="Times New Roman" w:hAnsi="Times New Roman"/>
                <w:noProof/>
                <w:webHidden/>
              </w:rPr>
              <w:fldChar w:fldCharType="end"/>
            </w:r>
          </w:hyperlink>
        </w:p>
        <w:p w14:paraId="33C3D035" w14:textId="39F26FCD" w:rsidR="00004DA6" w:rsidRPr="00004DA6" w:rsidRDefault="00F37363" w:rsidP="00004DA6">
          <w:pPr>
            <w:pStyle w:val="TOC3"/>
            <w:tabs>
              <w:tab w:val="left" w:pos="1400"/>
              <w:tab w:val="right" w:leader="dot" w:pos="8505"/>
              <w:tab w:val="right" w:leader="dot" w:pos="8608"/>
            </w:tabs>
            <w:rPr>
              <w:rFonts w:ascii="Times New Roman" w:hAnsi="Times New Roman"/>
              <w:noProof/>
              <w:kern w:val="2"/>
              <w:sz w:val="24"/>
              <w:szCs w:val="24"/>
              <w:lang w:val="en-IE" w:eastAsia="en-IE"/>
              <w14:ligatures w14:val="standardContextual"/>
            </w:rPr>
          </w:pPr>
          <w:hyperlink w:anchor="_Toc207303611" w:history="1">
            <w:r w:rsidR="00004DA6" w:rsidRPr="00004DA6">
              <w:rPr>
                <w:rStyle w:val="Hyperlink"/>
                <w:rFonts w:ascii="Times New Roman" w:hAnsi="Times New Roman"/>
                <w:iCs/>
                <w:noProof/>
              </w:rPr>
              <w:t>4.1.3.</w:t>
            </w:r>
            <w:r w:rsidR="00004DA6" w:rsidRPr="00004DA6">
              <w:rPr>
                <w:rFonts w:ascii="Times New Roman" w:hAnsi="Times New Roman"/>
                <w:noProof/>
                <w:kern w:val="2"/>
                <w:sz w:val="24"/>
                <w:szCs w:val="24"/>
                <w:lang w:val="en-IE" w:eastAsia="en-IE"/>
                <w14:ligatures w14:val="standardContextual"/>
              </w:rPr>
              <w:tab/>
            </w:r>
            <w:r w:rsidR="00004DA6" w:rsidRPr="00004DA6">
              <w:rPr>
                <w:rStyle w:val="Hyperlink"/>
                <w:rFonts w:ascii="Times New Roman" w:hAnsi="Times New Roman"/>
                <w:iCs/>
                <w:noProof/>
              </w:rPr>
              <w:t>Coherence</w:t>
            </w:r>
            <w:r w:rsidR="00004DA6" w:rsidRPr="00004DA6">
              <w:rPr>
                <w:rFonts w:ascii="Times New Roman" w:hAnsi="Times New Roman"/>
                <w:noProof/>
                <w:webHidden/>
              </w:rPr>
              <w:tab/>
            </w:r>
            <w:r w:rsidR="00004DA6" w:rsidRPr="00004DA6">
              <w:rPr>
                <w:rFonts w:ascii="Times New Roman" w:hAnsi="Times New Roman"/>
                <w:noProof/>
                <w:webHidden/>
              </w:rPr>
              <w:fldChar w:fldCharType="begin"/>
            </w:r>
            <w:r w:rsidR="00004DA6" w:rsidRPr="00004DA6">
              <w:rPr>
                <w:rFonts w:ascii="Times New Roman" w:hAnsi="Times New Roman"/>
                <w:noProof/>
                <w:webHidden/>
              </w:rPr>
              <w:instrText xml:space="preserve"> PAGEREF _Toc207303611 \h </w:instrText>
            </w:r>
            <w:r w:rsidR="00004DA6" w:rsidRPr="00004DA6">
              <w:rPr>
                <w:rFonts w:ascii="Times New Roman" w:hAnsi="Times New Roman"/>
                <w:noProof/>
                <w:webHidden/>
              </w:rPr>
            </w:r>
            <w:r w:rsidR="00004DA6" w:rsidRPr="00004DA6">
              <w:rPr>
                <w:rFonts w:ascii="Times New Roman" w:hAnsi="Times New Roman"/>
                <w:noProof/>
                <w:webHidden/>
              </w:rPr>
              <w:fldChar w:fldCharType="separate"/>
            </w:r>
            <w:r w:rsidR="00004DA6" w:rsidRPr="00004DA6">
              <w:rPr>
                <w:rFonts w:ascii="Times New Roman" w:hAnsi="Times New Roman"/>
                <w:noProof/>
                <w:webHidden/>
              </w:rPr>
              <w:t>49</w:t>
            </w:r>
            <w:r w:rsidR="00004DA6" w:rsidRPr="00004DA6">
              <w:rPr>
                <w:rFonts w:ascii="Times New Roman" w:hAnsi="Times New Roman"/>
                <w:noProof/>
                <w:webHidden/>
              </w:rPr>
              <w:fldChar w:fldCharType="end"/>
            </w:r>
          </w:hyperlink>
        </w:p>
        <w:p w14:paraId="7A174AFB" w14:textId="6A24EC36" w:rsidR="00004DA6" w:rsidRPr="00004DA6" w:rsidRDefault="00F37363" w:rsidP="00004DA6">
          <w:pPr>
            <w:pStyle w:val="TOC2"/>
            <w:tabs>
              <w:tab w:val="right" w:leader="dot" w:pos="8505"/>
            </w:tabs>
            <w:rPr>
              <w:rFonts w:eastAsiaTheme="minorEastAsia"/>
              <w:noProof/>
              <w:kern w:val="2"/>
              <w:sz w:val="24"/>
              <w:szCs w:val="24"/>
              <w:lang w:val="en-IE" w:eastAsia="en-IE"/>
              <w14:ligatures w14:val="standardContextual"/>
            </w:rPr>
          </w:pPr>
          <w:hyperlink w:anchor="_Toc207303612" w:history="1">
            <w:r w:rsidR="00004DA6" w:rsidRPr="00004DA6">
              <w:rPr>
                <w:rStyle w:val="Hyperlink"/>
                <w:rFonts w:ascii="Times New Roman" w:hAnsi="Times New Roman" w:cs="Times New Roman"/>
                <w:smallCaps/>
                <w:noProof/>
              </w:rPr>
              <w:t>4.2.</w:t>
            </w:r>
            <w:r w:rsidR="00004DA6" w:rsidRPr="00004DA6">
              <w:rPr>
                <w:rFonts w:eastAsiaTheme="minorEastAsia"/>
                <w:noProof/>
                <w:kern w:val="2"/>
                <w:sz w:val="24"/>
                <w:szCs w:val="24"/>
                <w:lang w:val="en-IE" w:eastAsia="en-IE"/>
                <w14:ligatures w14:val="standardContextual"/>
              </w:rPr>
              <w:tab/>
            </w:r>
            <w:r w:rsidR="00004DA6" w:rsidRPr="00004DA6">
              <w:rPr>
                <w:rStyle w:val="Hyperlink"/>
                <w:rFonts w:ascii="Times New Roman" w:hAnsi="Times New Roman" w:cs="Times New Roman"/>
                <w:noProof/>
              </w:rPr>
              <w:t>How did the EU intervention make a difference and to whom?</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_Toc207303612 \h </w:instrText>
            </w:r>
            <w:r w:rsidR="00004DA6" w:rsidRPr="00004DA6">
              <w:rPr>
                <w:noProof/>
                <w:webHidden/>
              </w:rPr>
            </w:r>
            <w:r w:rsidR="00004DA6" w:rsidRPr="00004DA6">
              <w:rPr>
                <w:noProof/>
                <w:webHidden/>
              </w:rPr>
              <w:fldChar w:fldCharType="separate"/>
            </w:r>
            <w:r w:rsidR="00004DA6" w:rsidRPr="00004DA6">
              <w:rPr>
                <w:noProof/>
                <w:webHidden/>
              </w:rPr>
              <w:t>53</w:t>
            </w:r>
            <w:r w:rsidR="00004DA6" w:rsidRPr="00004DA6">
              <w:rPr>
                <w:noProof/>
                <w:webHidden/>
              </w:rPr>
              <w:fldChar w:fldCharType="end"/>
            </w:r>
          </w:hyperlink>
        </w:p>
        <w:p w14:paraId="6AA47532" w14:textId="6BA8E35A" w:rsidR="00004DA6" w:rsidRPr="00004DA6" w:rsidRDefault="00F37363" w:rsidP="00004DA6">
          <w:pPr>
            <w:pStyle w:val="TOC2"/>
            <w:tabs>
              <w:tab w:val="right" w:leader="dot" w:pos="8505"/>
            </w:tabs>
            <w:rPr>
              <w:rFonts w:eastAsiaTheme="minorEastAsia"/>
              <w:noProof/>
              <w:kern w:val="2"/>
              <w:sz w:val="24"/>
              <w:szCs w:val="24"/>
              <w:lang w:val="en-IE" w:eastAsia="en-IE"/>
              <w14:ligatures w14:val="standardContextual"/>
            </w:rPr>
          </w:pPr>
          <w:hyperlink w:anchor="_Toc207303613" w:history="1">
            <w:r w:rsidR="00004DA6" w:rsidRPr="00004DA6">
              <w:rPr>
                <w:rStyle w:val="Hyperlink"/>
                <w:rFonts w:ascii="Times New Roman" w:hAnsi="Times New Roman" w:cs="Times New Roman"/>
                <w:smallCaps/>
                <w:noProof/>
              </w:rPr>
              <w:t>4.3.</w:t>
            </w:r>
            <w:r w:rsidR="00004DA6" w:rsidRPr="00004DA6">
              <w:rPr>
                <w:rFonts w:eastAsiaTheme="minorEastAsia"/>
                <w:noProof/>
                <w:kern w:val="2"/>
                <w:sz w:val="24"/>
                <w:szCs w:val="24"/>
                <w:lang w:val="en-IE" w:eastAsia="en-IE"/>
                <w14:ligatures w14:val="standardContextual"/>
              </w:rPr>
              <w:tab/>
            </w:r>
            <w:r w:rsidR="00004DA6" w:rsidRPr="00004DA6">
              <w:rPr>
                <w:rStyle w:val="Hyperlink"/>
                <w:rFonts w:ascii="Times New Roman" w:hAnsi="Times New Roman" w:cs="Times New Roman"/>
                <w:noProof/>
              </w:rPr>
              <w:t>Is the intervention still relevant?</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_Toc207303613 \h </w:instrText>
            </w:r>
            <w:r w:rsidR="00004DA6" w:rsidRPr="00004DA6">
              <w:rPr>
                <w:noProof/>
                <w:webHidden/>
              </w:rPr>
            </w:r>
            <w:r w:rsidR="00004DA6" w:rsidRPr="00004DA6">
              <w:rPr>
                <w:noProof/>
                <w:webHidden/>
              </w:rPr>
              <w:fldChar w:fldCharType="separate"/>
            </w:r>
            <w:r w:rsidR="00004DA6" w:rsidRPr="00004DA6">
              <w:rPr>
                <w:noProof/>
                <w:webHidden/>
              </w:rPr>
              <w:t>54</w:t>
            </w:r>
            <w:r w:rsidR="00004DA6" w:rsidRPr="00004DA6">
              <w:rPr>
                <w:noProof/>
                <w:webHidden/>
              </w:rPr>
              <w:fldChar w:fldCharType="end"/>
            </w:r>
          </w:hyperlink>
        </w:p>
        <w:p w14:paraId="4230DC4D" w14:textId="1478E452" w:rsidR="00004DA6" w:rsidRPr="00004DA6" w:rsidRDefault="00F37363" w:rsidP="00004DA6">
          <w:pPr>
            <w:pStyle w:val="TOC1"/>
            <w:tabs>
              <w:tab w:val="right" w:leader="dot" w:pos="8505"/>
            </w:tabs>
            <w:ind w:right="113"/>
            <w:rPr>
              <w:rFonts w:eastAsiaTheme="minorEastAsia"/>
              <w:caps w:val="0"/>
              <w:noProof/>
              <w:kern w:val="2"/>
              <w:sz w:val="24"/>
              <w:szCs w:val="24"/>
              <w:lang w:val="en-IE" w:eastAsia="en-IE"/>
              <w14:ligatures w14:val="standardContextual"/>
            </w:rPr>
          </w:pPr>
          <w:hyperlink w:anchor="_Toc207303614" w:history="1">
            <w:r w:rsidR="00004DA6" w:rsidRPr="00004DA6">
              <w:rPr>
                <w:rStyle w:val="Hyperlink"/>
                <w:noProof/>
              </w:rPr>
              <w:t>5.</w:t>
            </w:r>
            <w:r w:rsidR="00004DA6" w:rsidRPr="00004DA6">
              <w:rPr>
                <w:rFonts w:eastAsiaTheme="minorEastAsia"/>
                <w:caps w:val="0"/>
                <w:noProof/>
                <w:kern w:val="2"/>
                <w:sz w:val="24"/>
                <w:szCs w:val="24"/>
                <w:lang w:val="en-IE" w:eastAsia="en-IE"/>
                <w14:ligatures w14:val="standardContextual"/>
              </w:rPr>
              <w:tab/>
            </w:r>
            <w:r w:rsidR="00004DA6" w:rsidRPr="00004DA6">
              <w:rPr>
                <w:rStyle w:val="Hyperlink"/>
                <w:noProof/>
              </w:rPr>
              <w:t>What are the conclusions and lessons learned?</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_Toc207303614 \h </w:instrText>
            </w:r>
            <w:r w:rsidR="00004DA6" w:rsidRPr="00004DA6">
              <w:rPr>
                <w:noProof/>
                <w:webHidden/>
              </w:rPr>
            </w:r>
            <w:r w:rsidR="00004DA6" w:rsidRPr="00004DA6">
              <w:rPr>
                <w:noProof/>
                <w:webHidden/>
              </w:rPr>
              <w:fldChar w:fldCharType="separate"/>
            </w:r>
            <w:r w:rsidR="00004DA6" w:rsidRPr="00004DA6">
              <w:rPr>
                <w:noProof/>
                <w:webHidden/>
              </w:rPr>
              <w:t>60</w:t>
            </w:r>
            <w:r w:rsidR="00004DA6" w:rsidRPr="00004DA6">
              <w:rPr>
                <w:noProof/>
                <w:webHidden/>
              </w:rPr>
              <w:fldChar w:fldCharType="end"/>
            </w:r>
          </w:hyperlink>
        </w:p>
        <w:p w14:paraId="67804758" w14:textId="27A5F82A" w:rsidR="00004DA6" w:rsidRPr="00004DA6" w:rsidRDefault="00F37363" w:rsidP="00004DA6">
          <w:pPr>
            <w:pStyle w:val="TOC2"/>
            <w:tabs>
              <w:tab w:val="right" w:leader="dot" w:pos="8505"/>
            </w:tabs>
            <w:rPr>
              <w:rFonts w:eastAsiaTheme="minorEastAsia"/>
              <w:noProof/>
              <w:kern w:val="2"/>
              <w:sz w:val="24"/>
              <w:szCs w:val="24"/>
              <w:lang w:val="en-IE" w:eastAsia="en-IE"/>
              <w14:ligatures w14:val="standardContextual"/>
            </w:rPr>
          </w:pPr>
          <w:hyperlink w:anchor="_Toc207303615" w:history="1">
            <w:r w:rsidR="00004DA6" w:rsidRPr="00004DA6">
              <w:rPr>
                <w:rStyle w:val="Hyperlink"/>
                <w:rFonts w:ascii="Times New Roman" w:hAnsi="Times New Roman" w:cs="Times New Roman"/>
                <w:smallCaps/>
                <w:noProof/>
              </w:rPr>
              <w:t>5.1.</w:t>
            </w:r>
            <w:r w:rsidR="00004DA6" w:rsidRPr="00004DA6">
              <w:rPr>
                <w:rFonts w:eastAsiaTheme="minorEastAsia"/>
                <w:noProof/>
                <w:kern w:val="2"/>
                <w:sz w:val="24"/>
                <w:szCs w:val="24"/>
                <w:lang w:val="en-IE" w:eastAsia="en-IE"/>
                <w14:ligatures w14:val="standardContextual"/>
              </w:rPr>
              <w:tab/>
            </w:r>
            <w:r w:rsidR="00004DA6" w:rsidRPr="00004DA6">
              <w:rPr>
                <w:rStyle w:val="Hyperlink"/>
                <w:rFonts w:ascii="Times New Roman" w:hAnsi="Times New Roman" w:cs="Times New Roman"/>
                <w:noProof/>
              </w:rPr>
              <w:t>Conclusions</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_Toc207303615 \h </w:instrText>
            </w:r>
            <w:r w:rsidR="00004DA6" w:rsidRPr="00004DA6">
              <w:rPr>
                <w:noProof/>
                <w:webHidden/>
              </w:rPr>
            </w:r>
            <w:r w:rsidR="00004DA6" w:rsidRPr="00004DA6">
              <w:rPr>
                <w:noProof/>
                <w:webHidden/>
              </w:rPr>
              <w:fldChar w:fldCharType="separate"/>
            </w:r>
            <w:r w:rsidR="00004DA6" w:rsidRPr="00004DA6">
              <w:rPr>
                <w:noProof/>
                <w:webHidden/>
              </w:rPr>
              <w:t>60</w:t>
            </w:r>
            <w:r w:rsidR="00004DA6" w:rsidRPr="00004DA6">
              <w:rPr>
                <w:noProof/>
                <w:webHidden/>
              </w:rPr>
              <w:fldChar w:fldCharType="end"/>
            </w:r>
          </w:hyperlink>
        </w:p>
        <w:p w14:paraId="3F3DDED9" w14:textId="496658D9" w:rsidR="00004DA6" w:rsidRPr="00004DA6" w:rsidRDefault="00F37363" w:rsidP="00004DA6">
          <w:pPr>
            <w:pStyle w:val="TOC2"/>
            <w:tabs>
              <w:tab w:val="right" w:leader="dot" w:pos="8505"/>
            </w:tabs>
            <w:rPr>
              <w:rFonts w:eastAsiaTheme="minorEastAsia"/>
              <w:noProof/>
              <w:kern w:val="2"/>
              <w:sz w:val="24"/>
              <w:szCs w:val="24"/>
              <w:lang w:val="en-IE" w:eastAsia="en-IE"/>
              <w14:ligatures w14:val="standardContextual"/>
            </w:rPr>
          </w:pPr>
          <w:hyperlink w:anchor="_Toc207303616" w:history="1">
            <w:r w:rsidR="00004DA6" w:rsidRPr="00004DA6">
              <w:rPr>
                <w:rStyle w:val="Hyperlink"/>
                <w:rFonts w:ascii="Times New Roman" w:hAnsi="Times New Roman" w:cs="Times New Roman"/>
                <w:bCs/>
                <w:smallCaps/>
                <w:noProof/>
              </w:rPr>
              <w:t>5.2.</w:t>
            </w:r>
            <w:r w:rsidR="00004DA6" w:rsidRPr="00004DA6">
              <w:rPr>
                <w:rFonts w:eastAsiaTheme="minorEastAsia"/>
                <w:noProof/>
                <w:kern w:val="2"/>
                <w:sz w:val="24"/>
                <w:szCs w:val="24"/>
                <w:lang w:val="en-IE" w:eastAsia="en-IE"/>
                <w14:ligatures w14:val="standardContextual"/>
              </w:rPr>
              <w:tab/>
            </w:r>
            <w:r w:rsidR="00004DA6" w:rsidRPr="00004DA6">
              <w:rPr>
                <w:rStyle w:val="Hyperlink"/>
                <w:rFonts w:ascii="Times New Roman" w:hAnsi="Times New Roman" w:cs="Times New Roman"/>
                <w:bCs/>
                <w:noProof/>
              </w:rPr>
              <w:t>Lessons learned</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_Toc207303616 \h </w:instrText>
            </w:r>
            <w:r w:rsidR="00004DA6" w:rsidRPr="00004DA6">
              <w:rPr>
                <w:noProof/>
                <w:webHidden/>
              </w:rPr>
            </w:r>
            <w:r w:rsidR="00004DA6" w:rsidRPr="00004DA6">
              <w:rPr>
                <w:noProof/>
                <w:webHidden/>
              </w:rPr>
              <w:fldChar w:fldCharType="separate"/>
            </w:r>
            <w:r w:rsidR="00004DA6" w:rsidRPr="00004DA6">
              <w:rPr>
                <w:noProof/>
                <w:webHidden/>
              </w:rPr>
              <w:t>62</w:t>
            </w:r>
            <w:r w:rsidR="00004DA6" w:rsidRPr="00004DA6">
              <w:rPr>
                <w:noProof/>
                <w:webHidden/>
              </w:rPr>
              <w:fldChar w:fldCharType="end"/>
            </w:r>
          </w:hyperlink>
        </w:p>
        <w:p w14:paraId="439B098B" w14:textId="42A070D3" w:rsidR="00004DA6" w:rsidRPr="00004DA6" w:rsidRDefault="00F37363" w:rsidP="00004DA6">
          <w:pPr>
            <w:pStyle w:val="TOC1"/>
            <w:tabs>
              <w:tab w:val="right" w:leader="dot" w:pos="8505"/>
            </w:tabs>
            <w:ind w:right="113"/>
            <w:rPr>
              <w:rFonts w:eastAsiaTheme="minorEastAsia"/>
              <w:caps w:val="0"/>
              <w:noProof/>
              <w:kern w:val="2"/>
              <w:sz w:val="24"/>
              <w:szCs w:val="24"/>
              <w:lang w:val="en-IE" w:eastAsia="en-IE"/>
              <w14:ligatures w14:val="standardContextual"/>
            </w:rPr>
          </w:pPr>
          <w:hyperlink w:anchor="_Toc207303617" w:history="1">
            <w:r w:rsidR="00004DA6" w:rsidRPr="00004DA6">
              <w:rPr>
                <w:rStyle w:val="Hyperlink"/>
                <w:noProof/>
              </w:rPr>
              <w:t>Annex I:   Procedural Information</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_Toc207303617 \h </w:instrText>
            </w:r>
            <w:r w:rsidR="00004DA6" w:rsidRPr="00004DA6">
              <w:rPr>
                <w:noProof/>
                <w:webHidden/>
              </w:rPr>
            </w:r>
            <w:r w:rsidR="00004DA6" w:rsidRPr="00004DA6">
              <w:rPr>
                <w:noProof/>
                <w:webHidden/>
              </w:rPr>
              <w:fldChar w:fldCharType="separate"/>
            </w:r>
            <w:r w:rsidR="00004DA6" w:rsidRPr="00004DA6">
              <w:rPr>
                <w:noProof/>
                <w:webHidden/>
              </w:rPr>
              <w:t>65</w:t>
            </w:r>
            <w:r w:rsidR="00004DA6" w:rsidRPr="00004DA6">
              <w:rPr>
                <w:noProof/>
                <w:webHidden/>
              </w:rPr>
              <w:fldChar w:fldCharType="end"/>
            </w:r>
          </w:hyperlink>
        </w:p>
        <w:p w14:paraId="2DC9E3C0" w14:textId="010EAE28" w:rsidR="00004DA6" w:rsidRPr="00004DA6" w:rsidRDefault="00F37363" w:rsidP="00004DA6">
          <w:pPr>
            <w:pStyle w:val="TOC1"/>
            <w:tabs>
              <w:tab w:val="right" w:leader="dot" w:pos="8505"/>
            </w:tabs>
            <w:rPr>
              <w:rFonts w:eastAsiaTheme="minorEastAsia"/>
              <w:caps w:val="0"/>
              <w:noProof/>
              <w:kern w:val="2"/>
              <w:sz w:val="24"/>
              <w:szCs w:val="24"/>
              <w:lang w:val="en-IE" w:eastAsia="en-IE"/>
              <w14:ligatures w14:val="standardContextual"/>
            </w:rPr>
          </w:pPr>
          <w:hyperlink w:anchor="_Toc207303618" w:history="1">
            <w:r w:rsidR="00004DA6" w:rsidRPr="00004DA6">
              <w:rPr>
                <w:rStyle w:val="Hyperlink"/>
                <w:noProof/>
              </w:rPr>
              <w:t>Annex II. Methodology and Analytical models used</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_Toc207303618 \h </w:instrText>
            </w:r>
            <w:r w:rsidR="00004DA6" w:rsidRPr="00004DA6">
              <w:rPr>
                <w:noProof/>
                <w:webHidden/>
              </w:rPr>
            </w:r>
            <w:r w:rsidR="00004DA6" w:rsidRPr="00004DA6">
              <w:rPr>
                <w:noProof/>
                <w:webHidden/>
              </w:rPr>
              <w:fldChar w:fldCharType="separate"/>
            </w:r>
            <w:r w:rsidR="00004DA6" w:rsidRPr="00004DA6">
              <w:rPr>
                <w:noProof/>
                <w:webHidden/>
              </w:rPr>
              <w:t>67</w:t>
            </w:r>
            <w:r w:rsidR="00004DA6" w:rsidRPr="00004DA6">
              <w:rPr>
                <w:noProof/>
                <w:webHidden/>
              </w:rPr>
              <w:fldChar w:fldCharType="end"/>
            </w:r>
          </w:hyperlink>
        </w:p>
        <w:p w14:paraId="353316D1" w14:textId="760E08B3" w:rsidR="00004DA6" w:rsidRPr="00004DA6" w:rsidRDefault="00F37363" w:rsidP="00004DA6">
          <w:pPr>
            <w:pStyle w:val="TOC1"/>
            <w:tabs>
              <w:tab w:val="right" w:leader="dot" w:pos="8505"/>
            </w:tabs>
            <w:rPr>
              <w:rFonts w:eastAsiaTheme="minorEastAsia"/>
              <w:caps w:val="0"/>
              <w:noProof/>
              <w:kern w:val="2"/>
              <w:sz w:val="24"/>
              <w:szCs w:val="24"/>
              <w:lang w:val="en-IE" w:eastAsia="en-IE"/>
              <w14:ligatures w14:val="standardContextual"/>
            </w:rPr>
          </w:pPr>
          <w:hyperlink w:anchor="_Toc207303619" w:history="1">
            <w:r w:rsidR="00004DA6" w:rsidRPr="00004DA6">
              <w:rPr>
                <w:rStyle w:val="Hyperlink"/>
                <w:noProof/>
              </w:rPr>
              <w:t>Annex III. Evaluation matrix</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_Toc207303619 \h </w:instrText>
            </w:r>
            <w:r w:rsidR="00004DA6" w:rsidRPr="00004DA6">
              <w:rPr>
                <w:noProof/>
                <w:webHidden/>
              </w:rPr>
            </w:r>
            <w:r w:rsidR="00004DA6" w:rsidRPr="00004DA6">
              <w:rPr>
                <w:noProof/>
                <w:webHidden/>
              </w:rPr>
              <w:fldChar w:fldCharType="separate"/>
            </w:r>
            <w:r w:rsidR="00004DA6" w:rsidRPr="00004DA6">
              <w:rPr>
                <w:noProof/>
                <w:webHidden/>
              </w:rPr>
              <w:t>75</w:t>
            </w:r>
            <w:r w:rsidR="00004DA6" w:rsidRPr="00004DA6">
              <w:rPr>
                <w:noProof/>
                <w:webHidden/>
              </w:rPr>
              <w:fldChar w:fldCharType="end"/>
            </w:r>
          </w:hyperlink>
        </w:p>
        <w:p w14:paraId="03FF1025" w14:textId="4D428276" w:rsidR="00004DA6" w:rsidRPr="00004DA6" w:rsidRDefault="00F37363" w:rsidP="00004DA6">
          <w:pPr>
            <w:pStyle w:val="TOC1"/>
            <w:tabs>
              <w:tab w:val="right" w:leader="dot" w:pos="8505"/>
            </w:tabs>
            <w:rPr>
              <w:rFonts w:eastAsiaTheme="minorEastAsia"/>
              <w:caps w:val="0"/>
              <w:noProof/>
              <w:kern w:val="2"/>
              <w:sz w:val="24"/>
              <w:szCs w:val="24"/>
              <w:lang w:val="en-IE" w:eastAsia="en-IE"/>
              <w14:ligatures w14:val="standardContextual"/>
            </w:rPr>
          </w:pPr>
          <w:hyperlink w:anchor="_Toc207303620" w:history="1">
            <w:r w:rsidR="00004DA6" w:rsidRPr="00004DA6">
              <w:rPr>
                <w:rStyle w:val="Hyperlink"/>
                <w:noProof/>
                <w:lang w:val="en-IE"/>
              </w:rPr>
              <w:t>Annex IV. Overview of benefits and costs</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_Toc207303620 \h </w:instrText>
            </w:r>
            <w:r w:rsidR="00004DA6" w:rsidRPr="00004DA6">
              <w:rPr>
                <w:noProof/>
                <w:webHidden/>
              </w:rPr>
            </w:r>
            <w:r w:rsidR="00004DA6" w:rsidRPr="00004DA6">
              <w:rPr>
                <w:noProof/>
                <w:webHidden/>
              </w:rPr>
              <w:fldChar w:fldCharType="separate"/>
            </w:r>
            <w:r w:rsidR="00004DA6" w:rsidRPr="00004DA6">
              <w:rPr>
                <w:noProof/>
                <w:webHidden/>
              </w:rPr>
              <w:t>106</w:t>
            </w:r>
            <w:r w:rsidR="00004DA6" w:rsidRPr="00004DA6">
              <w:rPr>
                <w:noProof/>
                <w:webHidden/>
              </w:rPr>
              <w:fldChar w:fldCharType="end"/>
            </w:r>
          </w:hyperlink>
        </w:p>
        <w:p w14:paraId="6B1B021A" w14:textId="422DB343" w:rsidR="00004DA6" w:rsidRPr="00004DA6" w:rsidRDefault="00F37363" w:rsidP="00004DA6">
          <w:pPr>
            <w:pStyle w:val="TOC1"/>
            <w:tabs>
              <w:tab w:val="right" w:leader="dot" w:pos="8505"/>
            </w:tabs>
            <w:rPr>
              <w:rFonts w:eastAsiaTheme="minorEastAsia"/>
              <w:caps w:val="0"/>
              <w:noProof/>
              <w:kern w:val="2"/>
              <w:sz w:val="24"/>
              <w:szCs w:val="24"/>
              <w:lang w:val="en-IE" w:eastAsia="en-IE"/>
              <w14:ligatures w14:val="standardContextual"/>
            </w:rPr>
          </w:pPr>
          <w:hyperlink w:anchor="_Toc207303621" w:history="1">
            <w:r w:rsidR="00004DA6" w:rsidRPr="00004DA6">
              <w:rPr>
                <w:rStyle w:val="Hyperlink"/>
                <w:noProof/>
              </w:rPr>
              <w:t>Annex V. Stakeholders consultation - Synopsis report</w:t>
            </w:r>
            <w:r w:rsidR="00004DA6" w:rsidRPr="00004DA6">
              <w:rPr>
                <w:noProof/>
                <w:webHidden/>
              </w:rPr>
              <w:tab/>
            </w:r>
            <w:r w:rsidR="00004DA6" w:rsidRPr="00004DA6">
              <w:rPr>
                <w:noProof/>
                <w:webHidden/>
              </w:rPr>
              <w:fldChar w:fldCharType="begin"/>
            </w:r>
            <w:r w:rsidR="00004DA6" w:rsidRPr="00004DA6">
              <w:rPr>
                <w:noProof/>
                <w:webHidden/>
              </w:rPr>
              <w:instrText xml:space="preserve"> PAGEREF _Toc207303621 \h </w:instrText>
            </w:r>
            <w:r w:rsidR="00004DA6" w:rsidRPr="00004DA6">
              <w:rPr>
                <w:noProof/>
                <w:webHidden/>
              </w:rPr>
            </w:r>
            <w:r w:rsidR="00004DA6" w:rsidRPr="00004DA6">
              <w:rPr>
                <w:noProof/>
                <w:webHidden/>
              </w:rPr>
              <w:fldChar w:fldCharType="separate"/>
            </w:r>
            <w:r w:rsidR="00004DA6" w:rsidRPr="00004DA6">
              <w:rPr>
                <w:noProof/>
                <w:webHidden/>
              </w:rPr>
              <w:t>108</w:t>
            </w:r>
            <w:r w:rsidR="00004DA6" w:rsidRPr="00004DA6">
              <w:rPr>
                <w:noProof/>
                <w:webHidden/>
              </w:rPr>
              <w:fldChar w:fldCharType="end"/>
            </w:r>
          </w:hyperlink>
        </w:p>
        <w:p w14:paraId="5238F875" w14:textId="062C9529" w:rsidR="002641F7" w:rsidRDefault="002641F7">
          <w:pPr>
            <w:rPr>
              <w:noProof/>
            </w:rPr>
          </w:pPr>
          <w:r w:rsidRPr="00004DA6">
            <w:rPr>
              <w:rFonts w:ascii="Times New Roman" w:hAnsi="Times New Roman" w:cs="Times New Roman"/>
              <w:b/>
              <w:bCs/>
              <w:noProof/>
            </w:rPr>
            <w:fldChar w:fldCharType="end"/>
          </w:r>
        </w:p>
      </w:sdtContent>
    </w:sdt>
    <w:p w14:paraId="72FD0245" w14:textId="05BEF252" w:rsidR="00691B39" w:rsidRPr="00673BD3" w:rsidRDefault="00691B39">
      <w:pPr>
        <w:rPr>
          <w:rFonts w:ascii="Times New Roman" w:hAnsi="Times New Roman" w:cs="Times New Roman"/>
          <w:noProof/>
          <w:sz w:val="24"/>
          <w:szCs w:val="24"/>
        </w:rPr>
      </w:pPr>
    </w:p>
    <w:p w14:paraId="51999B75" w14:textId="77777777" w:rsidR="00147D71" w:rsidRPr="00D45CD1" w:rsidRDefault="00147D71">
      <w:pPr>
        <w:rPr>
          <w:rFonts w:ascii="Times New Roman" w:hAnsi="Times New Roman" w:cs="Times New Roman"/>
          <w:noProof/>
          <w:sz w:val="24"/>
          <w:szCs w:val="24"/>
          <w:lang w:val="en-IE"/>
        </w:rPr>
      </w:pPr>
      <w:r w:rsidRPr="00D45CD1">
        <w:rPr>
          <w:rFonts w:ascii="Times New Roman" w:hAnsi="Times New Roman" w:cs="Times New Roman"/>
          <w:noProof/>
          <w:sz w:val="24"/>
          <w:szCs w:val="24"/>
          <w:lang w:val="en-IE"/>
        </w:rPr>
        <w:br w:type="page"/>
      </w:r>
    </w:p>
    <w:p w14:paraId="0CEDBB3D" w14:textId="77777777" w:rsidR="008530D4" w:rsidRPr="00147D71" w:rsidRDefault="008530D4" w:rsidP="008530D4">
      <w:pPr>
        <w:rPr>
          <w:rFonts w:ascii="Times New Roman" w:hAnsi="Times New Roman" w:cs="Times New Roman"/>
          <w:noProof/>
          <w:sz w:val="24"/>
          <w:szCs w:val="24"/>
          <w:lang w:val="en-IE"/>
        </w:rPr>
      </w:pPr>
    </w:p>
    <w:p w14:paraId="1734BD93" w14:textId="4ECCD83A" w:rsidR="008530D4" w:rsidRPr="00147D71" w:rsidRDefault="008530D4" w:rsidP="7ED1D152">
      <w:pPr>
        <w:jc w:val="center"/>
        <w:rPr>
          <w:rFonts w:ascii="Times New Roman" w:hAnsi="Times New Roman" w:cs="Times New Roman"/>
          <w:b/>
          <w:noProof/>
          <w:sz w:val="24"/>
          <w:szCs w:val="24"/>
        </w:rPr>
      </w:pPr>
      <w:r w:rsidRPr="00147D71">
        <w:rPr>
          <w:rFonts w:ascii="Times New Roman" w:hAnsi="Times New Roman" w:cs="Times New Roman"/>
          <w:b/>
          <w:noProof/>
          <w:sz w:val="24"/>
          <w:szCs w:val="24"/>
        </w:rPr>
        <w:t>Glossary</w:t>
      </w:r>
    </w:p>
    <w:tbl>
      <w:tblPr>
        <w:tblStyle w:val="TableGrid"/>
        <w:tblW w:w="0" w:type="auto"/>
        <w:tblCellMar>
          <w:left w:w="85" w:type="dxa"/>
          <w:right w:w="85" w:type="dxa"/>
        </w:tblCellMar>
        <w:tblLook w:val="04A0" w:firstRow="1" w:lastRow="0" w:firstColumn="1" w:lastColumn="0" w:noHBand="0" w:noVBand="1"/>
      </w:tblPr>
      <w:tblGrid>
        <w:gridCol w:w="3153"/>
        <w:gridCol w:w="5455"/>
      </w:tblGrid>
      <w:tr w:rsidR="008530D4" w:rsidRPr="00FD257E" w14:paraId="52AB8C40" w14:textId="77777777" w:rsidTr="004D42B2">
        <w:trPr>
          <w:trHeight w:val="20"/>
        </w:trPr>
        <w:tc>
          <w:tcPr>
            <w:tcW w:w="3153" w:type="dxa"/>
            <w:tcBorders>
              <w:bottom w:val="double" w:sz="4" w:space="0" w:color="auto"/>
            </w:tcBorders>
            <w:shd w:val="clear" w:color="auto" w:fill="F2F2F2" w:themeFill="background1" w:themeFillShade="F2"/>
            <w:vAlign w:val="center"/>
          </w:tcPr>
          <w:p w14:paraId="5D595C89" w14:textId="77777777" w:rsidR="008530D4" w:rsidRPr="00FD257E" w:rsidRDefault="008530D4" w:rsidP="00FD257E">
            <w:pPr>
              <w:jc w:val="both"/>
              <w:rPr>
                <w:b/>
                <w:bCs/>
                <w:i/>
                <w:iCs/>
                <w:noProof/>
                <w:sz w:val="24"/>
                <w:szCs w:val="24"/>
                <w:lang w:val="fr-BE"/>
              </w:rPr>
            </w:pPr>
            <w:r w:rsidRPr="00FD257E">
              <w:rPr>
                <w:b/>
                <w:bCs/>
                <w:i/>
                <w:iCs/>
                <w:noProof/>
                <w:sz w:val="24"/>
                <w:szCs w:val="24"/>
                <w:lang w:val="fr-BE"/>
              </w:rPr>
              <w:t>Term or acronym</w:t>
            </w:r>
          </w:p>
        </w:tc>
        <w:tc>
          <w:tcPr>
            <w:tcW w:w="5455" w:type="dxa"/>
            <w:tcBorders>
              <w:bottom w:val="double" w:sz="4" w:space="0" w:color="auto"/>
            </w:tcBorders>
            <w:shd w:val="clear" w:color="auto" w:fill="F2F2F2" w:themeFill="background1" w:themeFillShade="F2"/>
            <w:vAlign w:val="center"/>
          </w:tcPr>
          <w:p w14:paraId="483FCD15" w14:textId="77777777" w:rsidR="008530D4" w:rsidRPr="00FD257E" w:rsidRDefault="008530D4" w:rsidP="00FD257E">
            <w:pPr>
              <w:jc w:val="both"/>
              <w:rPr>
                <w:b/>
                <w:bCs/>
                <w:i/>
                <w:iCs/>
                <w:noProof/>
                <w:sz w:val="24"/>
                <w:szCs w:val="24"/>
                <w:lang w:val="fr-BE"/>
              </w:rPr>
            </w:pPr>
            <w:r w:rsidRPr="00FD257E">
              <w:rPr>
                <w:b/>
                <w:bCs/>
                <w:i/>
                <w:iCs/>
                <w:noProof/>
                <w:sz w:val="24"/>
                <w:szCs w:val="24"/>
                <w:lang w:val="fr-BE"/>
              </w:rPr>
              <w:t>Meaning or definition</w:t>
            </w:r>
          </w:p>
        </w:tc>
      </w:tr>
      <w:tr w:rsidR="00A47860" w:rsidRPr="00B6325F" w14:paraId="3B3F0B7A"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1A304320" w14:textId="33A4C247" w:rsidR="00A47860" w:rsidRPr="00FD257E" w:rsidRDefault="00A47860" w:rsidP="00FD257E">
            <w:pPr>
              <w:jc w:val="both"/>
              <w:rPr>
                <w:noProof/>
                <w:sz w:val="22"/>
                <w:szCs w:val="22"/>
              </w:rPr>
            </w:pPr>
            <w:r w:rsidRPr="00FD257E">
              <w:rPr>
                <w:noProof/>
                <w:sz w:val="22"/>
                <w:szCs w:val="22"/>
              </w:rPr>
              <w:t xml:space="preserve">AFSJ </w:t>
            </w:r>
          </w:p>
        </w:tc>
        <w:tc>
          <w:tcPr>
            <w:tcW w:w="5455" w:type="dxa"/>
            <w:tcBorders>
              <w:top w:val="double" w:sz="4" w:space="0" w:color="auto"/>
              <w:bottom w:val="double" w:sz="4" w:space="0" w:color="auto"/>
            </w:tcBorders>
            <w:tcMar>
              <w:top w:w="113" w:type="dxa"/>
              <w:bottom w:w="113" w:type="dxa"/>
            </w:tcMar>
            <w:vAlign w:val="center"/>
          </w:tcPr>
          <w:p w14:paraId="488BEE3A" w14:textId="52BDEF17" w:rsidR="00A47860" w:rsidRPr="00FD257E" w:rsidRDefault="00A47860" w:rsidP="00FD257E">
            <w:pPr>
              <w:jc w:val="both"/>
              <w:rPr>
                <w:noProof/>
                <w:sz w:val="22"/>
                <w:szCs w:val="22"/>
              </w:rPr>
            </w:pPr>
            <w:r w:rsidRPr="00FD257E">
              <w:rPr>
                <w:noProof/>
                <w:sz w:val="22"/>
                <w:szCs w:val="22"/>
              </w:rPr>
              <w:t>Area of Freedom, Security, and Justice</w:t>
            </w:r>
          </w:p>
        </w:tc>
      </w:tr>
      <w:tr w:rsidR="00A47860" w:rsidRPr="00147D71" w14:paraId="343174E4"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7CA80A14" w14:textId="5B8A2244" w:rsidR="00A47860" w:rsidRPr="00FD257E" w:rsidRDefault="00A47860" w:rsidP="00FD257E">
            <w:pPr>
              <w:jc w:val="both"/>
              <w:rPr>
                <w:noProof/>
                <w:sz w:val="22"/>
                <w:szCs w:val="22"/>
              </w:rPr>
            </w:pPr>
            <w:r w:rsidRPr="00FD257E">
              <w:rPr>
                <w:noProof/>
                <w:sz w:val="22"/>
                <w:szCs w:val="22"/>
                <w:lang w:val="en-IE"/>
              </w:rPr>
              <w:t xml:space="preserve">AG </w:t>
            </w:r>
          </w:p>
        </w:tc>
        <w:tc>
          <w:tcPr>
            <w:tcW w:w="5455" w:type="dxa"/>
            <w:tcBorders>
              <w:top w:val="double" w:sz="4" w:space="0" w:color="auto"/>
              <w:bottom w:val="double" w:sz="4" w:space="0" w:color="auto"/>
            </w:tcBorders>
            <w:tcMar>
              <w:top w:w="113" w:type="dxa"/>
              <w:bottom w:w="113" w:type="dxa"/>
            </w:tcMar>
            <w:vAlign w:val="center"/>
          </w:tcPr>
          <w:p w14:paraId="55979B66" w14:textId="5D516D88" w:rsidR="00A47860" w:rsidRPr="00FD257E" w:rsidRDefault="00A47860" w:rsidP="00FD257E">
            <w:pPr>
              <w:jc w:val="both"/>
              <w:rPr>
                <w:noProof/>
                <w:sz w:val="22"/>
                <w:szCs w:val="22"/>
              </w:rPr>
            </w:pPr>
            <w:r w:rsidRPr="00FD257E">
              <w:rPr>
                <w:noProof/>
                <w:sz w:val="22"/>
                <w:szCs w:val="22"/>
                <w:lang w:val="en-IE"/>
              </w:rPr>
              <w:t>Advisory Groups</w:t>
            </w:r>
          </w:p>
        </w:tc>
      </w:tr>
      <w:tr w:rsidR="00A47860" w:rsidRPr="00147D71" w14:paraId="6FF2F3D6"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32352D7F" w14:textId="17E3EAA7" w:rsidR="00A47860" w:rsidRPr="00FD257E" w:rsidRDefault="00A47860" w:rsidP="00FD257E">
            <w:pPr>
              <w:jc w:val="both"/>
              <w:rPr>
                <w:noProof/>
                <w:sz w:val="22"/>
                <w:szCs w:val="22"/>
              </w:rPr>
            </w:pPr>
            <w:r w:rsidRPr="00FD257E">
              <w:rPr>
                <w:noProof/>
                <w:sz w:val="22"/>
                <w:szCs w:val="22"/>
                <w:lang w:val="en-IE"/>
              </w:rPr>
              <w:t xml:space="preserve">AI </w:t>
            </w:r>
            <w:r w:rsidRPr="00FD257E">
              <w:rPr>
                <w:noProof/>
                <w:sz w:val="22"/>
                <w:szCs w:val="22"/>
                <w:lang w:val="en-IE"/>
              </w:rPr>
              <w:tab/>
            </w:r>
          </w:p>
        </w:tc>
        <w:tc>
          <w:tcPr>
            <w:tcW w:w="5455" w:type="dxa"/>
            <w:tcBorders>
              <w:top w:val="double" w:sz="4" w:space="0" w:color="auto"/>
              <w:bottom w:val="double" w:sz="4" w:space="0" w:color="auto"/>
            </w:tcBorders>
            <w:tcMar>
              <w:top w:w="113" w:type="dxa"/>
              <w:bottom w:w="113" w:type="dxa"/>
            </w:tcMar>
            <w:vAlign w:val="center"/>
          </w:tcPr>
          <w:p w14:paraId="3D1F2C4A" w14:textId="1DADBFE4" w:rsidR="00A47860" w:rsidRPr="00FD257E" w:rsidRDefault="00A47860" w:rsidP="00FD257E">
            <w:pPr>
              <w:jc w:val="both"/>
              <w:rPr>
                <w:noProof/>
                <w:sz w:val="22"/>
                <w:szCs w:val="22"/>
              </w:rPr>
            </w:pPr>
            <w:r w:rsidRPr="00FD257E">
              <w:rPr>
                <w:noProof/>
                <w:sz w:val="22"/>
                <w:szCs w:val="22"/>
                <w:lang w:val="en-IE"/>
              </w:rPr>
              <w:t>Artificial Intelligence</w:t>
            </w:r>
          </w:p>
        </w:tc>
      </w:tr>
      <w:tr w:rsidR="00383E99" w:rsidRPr="00147D71" w14:paraId="3DD8991F"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00DD6C09" w14:textId="597E17C5" w:rsidR="00383E99" w:rsidRPr="00FD257E" w:rsidRDefault="00383E99" w:rsidP="00FD257E">
            <w:pPr>
              <w:jc w:val="both"/>
              <w:rPr>
                <w:noProof/>
                <w:lang w:val="en-IE"/>
              </w:rPr>
            </w:pPr>
            <w:r>
              <w:rPr>
                <w:noProof/>
                <w:lang w:val="en-IE"/>
              </w:rPr>
              <w:t>API</w:t>
            </w:r>
          </w:p>
        </w:tc>
        <w:tc>
          <w:tcPr>
            <w:tcW w:w="5455" w:type="dxa"/>
            <w:tcBorders>
              <w:top w:val="double" w:sz="4" w:space="0" w:color="auto"/>
              <w:bottom w:val="double" w:sz="4" w:space="0" w:color="auto"/>
            </w:tcBorders>
            <w:tcMar>
              <w:top w:w="113" w:type="dxa"/>
              <w:bottom w:w="113" w:type="dxa"/>
            </w:tcMar>
            <w:vAlign w:val="center"/>
          </w:tcPr>
          <w:p w14:paraId="49863CD5" w14:textId="1BD85056" w:rsidR="00383E99" w:rsidRPr="00FD257E" w:rsidRDefault="00F05085" w:rsidP="00FD257E">
            <w:pPr>
              <w:jc w:val="both"/>
              <w:rPr>
                <w:noProof/>
                <w:lang w:val="en-IE"/>
              </w:rPr>
            </w:pPr>
            <w:r>
              <w:rPr>
                <w:noProof/>
                <w:lang w:val="en-IE"/>
              </w:rPr>
              <w:t>Advanced Passenger Information</w:t>
            </w:r>
          </w:p>
        </w:tc>
      </w:tr>
      <w:tr w:rsidR="00A47860" w:rsidRPr="00147D71" w14:paraId="32CE62EF"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1D008237" w14:textId="2DA762A6" w:rsidR="00A47860" w:rsidRPr="00FD257E" w:rsidRDefault="00A47860" w:rsidP="00FD257E">
            <w:pPr>
              <w:jc w:val="both"/>
              <w:rPr>
                <w:noProof/>
                <w:sz w:val="22"/>
                <w:szCs w:val="22"/>
              </w:rPr>
            </w:pPr>
            <w:r w:rsidRPr="00FD257E">
              <w:rPr>
                <w:noProof/>
                <w:sz w:val="22"/>
                <w:szCs w:val="22"/>
              </w:rPr>
              <w:t>CD</w:t>
            </w:r>
            <w:r w:rsidRPr="00FD257E">
              <w:rPr>
                <w:noProof/>
                <w:sz w:val="22"/>
                <w:szCs w:val="22"/>
              </w:rPr>
              <w:tab/>
              <w:t xml:space="preserve"> </w:t>
            </w:r>
          </w:p>
        </w:tc>
        <w:tc>
          <w:tcPr>
            <w:tcW w:w="5455" w:type="dxa"/>
            <w:tcBorders>
              <w:top w:val="double" w:sz="4" w:space="0" w:color="auto"/>
              <w:bottom w:val="double" w:sz="4" w:space="0" w:color="auto"/>
            </w:tcBorders>
            <w:tcMar>
              <w:top w:w="113" w:type="dxa"/>
              <w:bottom w:w="113" w:type="dxa"/>
            </w:tcMar>
            <w:vAlign w:val="center"/>
          </w:tcPr>
          <w:p w14:paraId="37903858" w14:textId="09804576" w:rsidR="00A47860" w:rsidRPr="00FD257E" w:rsidRDefault="00A47860" w:rsidP="00FD257E">
            <w:pPr>
              <w:jc w:val="both"/>
              <w:rPr>
                <w:noProof/>
                <w:sz w:val="22"/>
                <w:szCs w:val="22"/>
              </w:rPr>
            </w:pPr>
            <w:r w:rsidRPr="00FD257E">
              <w:rPr>
                <w:noProof/>
                <w:sz w:val="22"/>
                <w:szCs w:val="22"/>
              </w:rPr>
              <w:t>Continuous Delivery</w:t>
            </w:r>
          </w:p>
        </w:tc>
      </w:tr>
      <w:tr w:rsidR="00A47860" w:rsidRPr="00147D71" w14:paraId="3DF0713D"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13B48FB0" w14:textId="18F57A77" w:rsidR="00A47860" w:rsidRPr="00FD257E" w:rsidRDefault="00A47860" w:rsidP="00FD257E">
            <w:pPr>
              <w:jc w:val="both"/>
              <w:rPr>
                <w:noProof/>
                <w:sz w:val="22"/>
                <w:szCs w:val="22"/>
              </w:rPr>
            </w:pPr>
            <w:r w:rsidRPr="00FD257E">
              <w:rPr>
                <w:noProof/>
                <w:sz w:val="22"/>
                <w:szCs w:val="22"/>
              </w:rPr>
              <w:t xml:space="preserve">CEAS </w:t>
            </w:r>
          </w:p>
        </w:tc>
        <w:tc>
          <w:tcPr>
            <w:tcW w:w="5455" w:type="dxa"/>
            <w:tcBorders>
              <w:top w:val="double" w:sz="4" w:space="0" w:color="auto"/>
              <w:bottom w:val="double" w:sz="4" w:space="0" w:color="auto"/>
            </w:tcBorders>
            <w:tcMar>
              <w:top w:w="113" w:type="dxa"/>
              <w:bottom w:w="113" w:type="dxa"/>
            </w:tcMar>
            <w:vAlign w:val="center"/>
          </w:tcPr>
          <w:p w14:paraId="10F9103B" w14:textId="1C67DC5B" w:rsidR="00A47860" w:rsidRPr="00FD257E" w:rsidRDefault="00A47860" w:rsidP="00FD257E">
            <w:pPr>
              <w:jc w:val="both"/>
              <w:rPr>
                <w:noProof/>
                <w:sz w:val="22"/>
                <w:szCs w:val="22"/>
              </w:rPr>
            </w:pPr>
            <w:r w:rsidRPr="00FD257E">
              <w:rPr>
                <w:noProof/>
                <w:sz w:val="22"/>
                <w:szCs w:val="22"/>
              </w:rPr>
              <w:t>Common European Asylum System</w:t>
            </w:r>
          </w:p>
        </w:tc>
      </w:tr>
      <w:tr w:rsidR="00A47860" w:rsidRPr="00147D71" w14:paraId="720B1CD4"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03C56694" w14:textId="577D6094" w:rsidR="00A47860" w:rsidRPr="00FD257E" w:rsidRDefault="00A47860" w:rsidP="00FD257E">
            <w:pPr>
              <w:jc w:val="both"/>
              <w:rPr>
                <w:noProof/>
                <w:sz w:val="22"/>
                <w:szCs w:val="22"/>
              </w:rPr>
            </w:pPr>
            <w:r w:rsidRPr="00FD257E">
              <w:rPr>
                <w:noProof/>
                <w:sz w:val="22"/>
                <w:szCs w:val="22"/>
              </w:rPr>
              <w:t xml:space="preserve">CI </w:t>
            </w:r>
          </w:p>
        </w:tc>
        <w:tc>
          <w:tcPr>
            <w:tcW w:w="5455" w:type="dxa"/>
            <w:tcBorders>
              <w:top w:val="double" w:sz="4" w:space="0" w:color="auto"/>
              <w:bottom w:val="double" w:sz="4" w:space="0" w:color="auto"/>
            </w:tcBorders>
            <w:tcMar>
              <w:top w:w="113" w:type="dxa"/>
              <w:bottom w:w="113" w:type="dxa"/>
            </w:tcMar>
            <w:vAlign w:val="center"/>
          </w:tcPr>
          <w:p w14:paraId="46FCF9E2" w14:textId="7FEEFF94" w:rsidR="00A47860" w:rsidRPr="00FD257E" w:rsidRDefault="00A47860" w:rsidP="00FD257E">
            <w:pPr>
              <w:jc w:val="both"/>
              <w:rPr>
                <w:noProof/>
                <w:sz w:val="22"/>
                <w:szCs w:val="22"/>
              </w:rPr>
            </w:pPr>
            <w:r w:rsidRPr="00FD257E">
              <w:rPr>
                <w:noProof/>
                <w:sz w:val="22"/>
                <w:szCs w:val="22"/>
                <w:lang w:eastAsia="nl-BE"/>
              </w:rPr>
              <w:t>Continuous Integration</w:t>
            </w:r>
          </w:p>
        </w:tc>
      </w:tr>
      <w:tr w:rsidR="00A47860" w:rsidRPr="00147D71" w14:paraId="4AD362C4"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02112A26" w14:textId="0ECFCD99" w:rsidR="00A47860" w:rsidRPr="00FD257E" w:rsidRDefault="00A47860" w:rsidP="00FD257E">
            <w:pPr>
              <w:jc w:val="both"/>
              <w:rPr>
                <w:noProof/>
                <w:sz w:val="22"/>
                <w:szCs w:val="22"/>
              </w:rPr>
            </w:pPr>
            <w:r w:rsidRPr="00FD257E">
              <w:rPr>
                <w:noProof/>
                <w:sz w:val="22"/>
                <w:szCs w:val="22"/>
              </w:rPr>
              <w:t xml:space="preserve">CIR </w:t>
            </w:r>
          </w:p>
        </w:tc>
        <w:tc>
          <w:tcPr>
            <w:tcW w:w="5455" w:type="dxa"/>
            <w:tcBorders>
              <w:top w:val="double" w:sz="4" w:space="0" w:color="auto"/>
              <w:bottom w:val="double" w:sz="4" w:space="0" w:color="auto"/>
            </w:tcBorders>
            <w:tcMar>
              <w:top w:w="113" w:type="dxa"/>
              <w:bottom w:w="113" w:type="dxa"/>
            </w:tcMar>
            <w:vAlign w:val="center"/>
          </w:tcPr>
          <w:p w14:paraId="678A9718" w14:textId="550F31BC" w:rsidR="00A47860" w:rsidRPr="00FD257E" w:rsidRDefault="00A47860" w:rsidP="00FD257E">
            <w:pPr>
              <w:jc w:val="both"/>
              <w:rPr>
                <w:noProof/>
                <w:sz w:val="22"/>
                <w:szCs w:val="22"/>
              </w:rPr>
            </w:pPr>
            <w:r w:rsidRPr="00FD257E">
              <w:rPr>
                <w:noProof/>
                <w:sz w:val="22"/>
                <w:szCs w:val="22"/>
              </w:rPr>
              <w:t>Common Identity Repository</w:t>
            </w:r>
          </w:p>
        </w:tc>
      </w:tr>
      <w:tr w:rsidR="00A47860" w:rsidRPr="00147D71" w14:paraId="249C5DE6"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42BF9845" w14:textId="42F3DA41" w:rsidR="00A47860" w:rsidRPr="00FD257E" w:rsidRDefault="00A47860" w:rsidP="00FD257E">
            <w:pPr>
              <w:jc w:val="both"/>
              <w:rPr>
                <w:noProof/>
                <w:sz w:val="22"/>
                <w:szCs w:val="22"/>
              </w:rPr>
            </w:pPr>
            <w:r w:rsidRPr="00FD257E">
              <w:rPr>
                <w:noProof/>
                <w:sz w:val="22"/>
                <w:szCs w:val="22"/>
                <w:lang w:val="en-IE"/>
              </w:rPr>
              <w:t xml:space="preserve">COVID-19 </w:t>
            </w:r>
          </w:p>
        </w:tc>
        <w:tc>
          <w:tcPr>
            <w:tcW w:w="5455" w:type="dxa"/>
            <w:tcBorders>
              <w:top w:val="double" w:sz="4" w:space="0" w:color="auto"/>
              <w:bottom w:val="double" w:sz="4" w:space="0" w:color="auto"/>
            </w:tcBorders>
            <w:tcMar>
              <w:top w:w="113" w:type="dxa"/>
              <w:bottom w:w="113" w:type="dxa"/>
            </w:tcMar>
            <w:vAlign w:val="center"/>
          </w:tcPr>
          <w:p w14:paraId="4B415666" w14:textId="2008CB1A" w:rsidR="00A47860" w:rsidRPr="00FD257E" w:rsidRDefault="00A47860" w:rsidP="00FD257E">
            <w:pPr>
              <w:jc w:val="both"/>
              <w:rPr>
                <w:noProof/>
                <w:sz w:val="22"/>
                <w:szCs w:val="22"/>
              </w:rPr>
            </w:pPr>
            <w:r w:rsidRPr="00FD257E">
              <w:rPr>
                <w:noProof/>
                <w:sz w:val="22"/>
                <w:szCs w:val="22"/>
                <w:lang w:val="en-IE"/>
              </w:rPr>
              <w:t>Coronavirus Disease 2019</w:t>
            </w:r>
          </w:p>
        </w:tc>
      </w:tr>
      <w:tr w:rsidR="00A47860" w:rsidRPr="00B6325F" w14:paraId="47CADEC7"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6DC7B859" w14:textId="0C6475F9" w:rsidR="00A47860" w:rsidRPr="00FD257E" w:rsidRDefault="00A47860" w:rsidP="00FD257E">
            <w:pPr>
              <w:jc w:val="both"/>
              <w:rPr>
                <w:noProof/>
                <w:sz w:val="22"/>
                <w:szCs w:val="22"/>
              </w:rPr>
            </w:pPr>
            <w:r w:rsidRPr="00FD257E">
              <w:rPr>
                <w:noProof/>
                <w:sz w:val="22"/>
                <w:szCs w:val="22"/>
              </w:rPr>
              <w:t xml:space="preserve">CRRS </w:t>
            </w:r>
          </w:p>
        </w:tc>
        <w:tc>
          <w:tcPr>
            <w:tcW w:w="5455" w:type="dxa"/>
            <w:tcBorders>
              <w:top w:val="double" w:sz="4" w:space="0" w:color="auto"/>
              <w:bottom w:val="double" w:sz="4" w:space="0" w:color="auto"/>
            </w:tcBorders>
            <w:tcMar>
              <w:top w:w="113" w:type="dxa"/>
              <w:bottom w:w="113" w:type="dxa"/>
            </w:tcMar>
            <w:vAlign w:val="center"/>
          </w:tcPr>
          <w:p w14:paraId="21F825B2" w14:textId="050E768D" w:rsidR="00A47860" w:rsidRPr="00FD257E" w:rsidRDefault="00A47860" w:rsidP="00FD257E">
            <w:pPr>
              <w:jc w:val="both"/>
              <w:rPr>
                <w:noProof/>
                <w:sz w:val="22"/>
                <w:szCs w:val="22"/>
              </w:rPr>
            </w:pPr>
            <w:r w:rsidRPr="00FD257E">
              <w:rPr>
                <w:noProof/>
                <w:sz w:val="22"/>
                <w:szCs w:val="22"/>
              </w:rPr>
              <w:t>Central Repository for Reporting and Statistics</w:t>
            </w:r>
          </w:p>
        </w:tc>
      </w:tr>
      <w:tr w:rsidR="00A47860" w:rsidRPr="00147D71" w14:paraId="77B88119"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392B3071" w14:textId="16E6AF54" w:rsidR="00A47860" w:rsidRPr="00FD257E" w:rsidRDefault="00A47860" w:rsidP="00FD257E">
            <w:pPr>
              <w:jc w:val="both"/>
              <w:rPr>
                <w:noProof/>
                <w:sz w:val="22"/>
                <w:szCs w:val="22"/>
              </w:rPr>
            </w:pPr>
            <w:r w:rsidRPr="00FD257E">
              <w:rPr>
                <w:noProof/>
                <w:sz w:val="22"/>
                <w:szCs w:val="22"/>
              </w:rPr>
              <w:t xml:space="preserve">CSI </w:t>
            </w:r>
          </w:p>
        </w:tc>
        <w:tc>
          <w:tcPr>
            <w:tcW w:w="5455" w:type="dxa"/>
            <w:tcBorders>
              <w:top w:val="double" w:sz="4" w:space="0" w:color="auto"/>
              <w:bottom w:val="double" w:sz="4" w:space="0" w:color="auto"/>
            </w:tcBorders>
            <w:tcMar>
              <w:top w:w="113" w:type="dxa"/>
              <w:bottom w:w="113" w:type="dxa"/>
            </w:tcMar>
            <w:vAlign w:val="center"/>
          </w:tcPr>
          <w:p w14:paraId="48EE4421" w14:textId="2AE0F485" w:rsidR="00A47860" w:rsidRPr="00FD257E" w:rsidRDefault="00A47860" w:rsidP="00FD257E">
            <w:pPr>
              <w:jc w:val="both"/>
              <w:rPr>
                <w:noProof/>
                <w:sz w:val="22"/>
                <w:szCs w:val="22"/>
              </w:rPr>
            </w:pPr>
            <w:r w:rsidRPr="00FD257E">
              <w:rPr>
                <w:noProof/>
                <w:sz w:val="22"/>
                <w:szCs w:val="22"/>
              </w:rPr>
              <w:t>Common Shared Infrastructure</w:t>
            </w:r>
          </w:p>
        </w:tc>
      </w:tr>
      <w:tr w:rsidR="00A47860" w:rsidRPr="00B6325F" w14:paraId="10FE3764"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6A683CF3" w14:textId="13116557" w:rsidR="00A47860" w:rsidRPr="00FD257E" w:rsidRDefault="00A47860" w:rsidP="00FD257E">
            <w:pPr>
              <w:jc w:val="both"/>
              <w:rPr>
                <w:noProof/>
                <w:sz w:val="22"/>
                <w:szCs w:val="22"/>
              </w:rPr>
            </w:pPr>
            <w:r w:rsidRPr="00FD257E">
              <w:rPr>
                <w:noProof/>
                <w:sz w:val="22"/>
                <w:szCs w:val="22"/>
              </w:rPr>
              <w:t xml:space="preserve">CSIRT </w:t>
            </w:r>
          </w:p>
        </w:tc>
        <w:tc>
          <w:tcPr>
            <w:tcW w:w="5455" w:type="dxa"/>
            <w:tcBorders>
              <w:top w:val="double" w:sz="4" w:space="0" w:color="auto"/>
              <w:bottom w:val="double" w:sz="4" w:space="0" w:color="auto"/>
            </w:tcBorders>
            <w:tcMar>
              <w:top w:w="113" w:type="dxa"/>
              <w:bottom w:w="113" w:type="dxa"/>
            </w:tcMar>
            <w:vAlign w:val="center"/>
          </w:tcPr>
          <w:p w14:paraId="3BF71570" w14:textId="1D6977F9" w:rsidR="00A47860" w:rsidRPr="00FD257E" w:rsidRDefault="00A47860" w:rsidP="00FD257E">
            <w:pPr>
              <w:jc w:val="both"/>
              <w:rPr>
                <w:noProof/>
                <w:sz w:val="22"/>
                <w:szCs w:val="22"/>
              </w:rPr>
            </w:pPr>
            <w:r w:rsidRPr="00FD257E">
              <w:rPr>
                <w:noProof/>
                <w:sz w:val="22"/>
                <w:szCs w:val="22"/>
              </w:rPr>
              <w:t>Computer Security Incident Response Team</w:t>
            </w:r>
          </w:p>
        </w:tc>
      </w:tr>
      <w:tr w:rsidR="00A47860" w:rsidRPr="00147D71" w14:paraId="78451128"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2FB66D34" w14:textId="722C5C3A" w:rsidR="00A47860" w:rsidRPr="00FD257E" w:rsidRDefault="00A47860" w:rsidP="00FD257E">
            <w:pPr>
              <w:jc w:val="both"/>
              <w:rPr>
                <w:noProof/>
                <w:sz w:val="22"/>
                <w:szCs w:val="22"/>
              </w:rPr>
            </w:pPr>
            <w:r w:rsidRPr="00FD257E">
              <w:rPr>
                <w:noProof/>
                <w:sz w:val="22"/>
                <w:szCs w:val="22"/>
              </w:rPr>
              <w:t xml:space="preserve">DPA </w:t>
            </w:r>
          </w:p>
        </w:tc>
        <w:tc>
          <w:tcPr>
            <w:tcW w:w="5455" w:type="dxa"/>
            <w:tcBorders>
              <w:top w:val="double" w:sz="4" w:space="0" w:color="auto"/>
              <w:bottom w:val="double" w:sz="4" w:space="0" w:color="auto"/>
            </w:tcBorders>
            <w:tcMar>
              <w:top w:w="113" w:type="dxa"/>
              <w:bottom w:w="113" w:type="dxa"/>
            </w:tcMar>
            <w:vAlign w:val="center"/>
          </w:tcPr>
          <w:p w14:paraId="04883425" w14:textId="2ADB15EE" w:rsidR="00A47860" w:rsidRPr="00FD257E" w:rsidRDefault="00A47860" w:rsidP="00FD257E">
            <w:pPr>
              <w:jc w:val="both"/>
              <w:rPr>
                <w:noProof/>
                <w:sz w:val="22"/>
                <w:szCs w:val="22"/>
              </w:rPr>
            </w:pPr>
            <w:r w:rsidRPr="00FD257E">
              <w:rPr>
                <w:noProof/>
                <w:sz w:val="22"/>
                <w:szCs w:val="22"/>
                <w:lang w:eastAsia="nl-BE"/>
              </w:rPr>
              <w:t>Data Protection Authorities</w:t>
            </w:r>
          </w:p>
        </w:tc>
      </w:tr>
      <w:tr w:rsidR="00A47860" w:rsidRPr="00B6325F" w14:paraId="073F613C"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740EBD4A" w14:textId="31E524DA" w:rsidR="00A47860" w:rsidRPr="00FD257E" w:rsidRDefault="00A47860" w:rsidP="00FD257E">
            <w:pPr>
              <w:jc w:val="both"/>
              <w:rPr>
                <w:noProof/>
                <w:sz w:val="22"/>
                <w:szCs w:val="22"/>
              </w:rPr>
            </w:pPr>
            <w:r w:rsidRPr="00FD257E">
              <w:rPr>
                <w:noProof/>
                <w:sz w:val="22"/>
                <w:szCs w:val="22"/>
                <w:lang w:val="en-IE"/>
              </w:rPr>
              <w:t>EBCGA</w:t>
            </w:r>
          </w:p>
        </w:tc>
        <w:tc>
          <w:tcPr>
            <w:tcW w:w="5455" w:type="dxa"/>
            <w:tcBorders>
              <w:top w:val="double" w:sz="4" w:space="0" w:color="auto"/>
              <w:bottom w:val="double" w:sz="4" w:space="0" w:color="auto"/>
            </w:tcBorders>
            <w:tcMar>
              <w:top w:w="113" w:type="dxa"/>
              <w:bottom w:w="113" w:type="dxa"/>
            </w:tcMar>
            <w:vAlign w:val="center"/>
          </w:tcPr>
          <w:p w14:paraId="7480AB7A" w14:textId="3EC38D6C" w:rsidR="00A47860" w:rsidRPr="00FD257E" w:rsidRDefault="00A47860" w:rsidP="00FD257E">
            <w:pPr>
              <w:jc w:val="both"/>
              <w:rPr>
                <w:noProof/>
                <w:sz w:val="22"/>
                <w:szCs w:val="22"/>
              </w:rPr>
            </w:pPr>
            <w:r w:rsidRPr="00FD257E">
              <w:rPr>
                <w:noProof/>
                <w:sz w:val="22"/>
                <w:szCs w:val="22"/>
                <w:lang w:val="en-IE"/>
              </w:rPr>
              <w:t>European Border and Coast Guard Agency</w:t>
            </w:r>
          </w:p>
        </w:tc>
      </w:tr>
      <w:tr w:rsidR="00CD0871" w:rsidRPr="004C2B1F" w14:paraId="6FFAC0AC"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41CCED94" w14:textId="3340D3AE" w:rsidR="00CD0871" w:rsidRPr="00FD257E" w:rsidRDefault="00CD0871" w:rsidP="00FD257E">
            <w:pPr>
              <w:jc w:val="both"/>
              <w:rPr>
                <w:noProof/>
                <w:lang w:val="en-IE"/>
              </w:rPr>
            </w:pPr>
            <w:r>
              <w:rPr>
                <w:noProof/>
                <w:lang w:val="en-IE"/>
              </w:rPr>
              <w:t>ECRIS RI</w:t>
            </w:r>
          </w:p>
        </w:tc>
        <w:tc>
          <w:tcPr>
            <w:tcW w:w="5455" w:type="dxa"/>
            <w:tcBorders>
              <w:top w:val="double" w:sz="4" w:space="0" w:color="auto"/>
              <w:bottom w:val="double" w:sz="4" w:space="0" w:color="auto"/>
            </w:tcBorders>
            <w:tcMar>
              <w:top w:w="113" w:type="dxa"/>
              <w:bottom w:w="113" w:type="dxa"/>
            </w:tcMar>
            <w:vAlign w:val="center"/>
          </w:tcPr>
          <w:p w14:paraId="6DC3149D" w14:textId="35227DCE" w:rsidR="00CD0871" w:rsidRPr="00FD257E" w:rsidRDefault="00CD0871" w:rsidP="00FD257E">
            <w:pPr>
              <w:jc w:val="both"/>
              <w:rPr>
                <w:noProof/>
                <w:lang w:val="en-IE"/>
              </w:rPr>
            </w:pPr>
            <w:r>
              <w:rPr>
                <w:noProof/>
                <w:lang w:val="en-IE"/>
              </w:rPr>
              <w:t>European Criminal Records Information System Reference Implementation</w:t>
            </w:r>
          </w:p>
        </w:tc>
      </w:tr>
      <w:tr w:rsidR="00A47860" w:rsidRPr="00B6325F" w14:paraId="04E30978"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3B424A86" w14:textId="6F1533FC" w:rsidR="00A47860" w:rsidRPr="00FD257E" w:rsidRDefault="00A47860" w:rsidP="00FD257E">
            <w:pPr>
              <w:jc w:val="both"/>
              <w:rPr>
                <w:noProof/>
                <w:sz w:val="22"/>
                <w:szCs w:val="22"/>
              </w:rPr>
            </w:pPr>
            <w:r w:rsidRPr="00FD257E">
              <w:rPr>
                <w:noProof/>
                <w:sz w:val="22"/>
                <w:szCs w:val="22"/>
                <w:lang w:val="en-IE"/>
              </w:rPr>
              <w:t xml:space="preserve">ECRIS-TCN </w:t>
            </w:r>
          </w:p>
        </w:tc>
        <w:tc>
          <w:tcPr>
            <w:tcW w:w="5455" w:type="dxa"/>
            <w:tcBorders>
              <w:top w:val="double" w:sz="4" w:space="0" w:color="auto"/>
              <w:bottom w:val="double" w:sz="4" w:space="0" w:color="auto"/>
            </w:tcBorders>
            <w:tcMar>
              <w:top w:w="113" w:type="dxa"/>
              <w:bottom w:w="113" w:type="dxa"/>
            </w:tcMar>
            <w:vAlign w:val="center"/>
          </w:tcPr>
          <w:p w14:paraId="7931C1C1" w14:textId="1B783CE4" w:rsidR="00A47860" w:rsidRPr="00FD257E" w:rsidRDefault="00A47860" w:rsidP="00FD257E">
            <w:pPr>
              <w:jc w:val="both"/>
              <w:rPr>
                <w:noProof/>
                <w:sz w:val="22"/>
                <w:szCs w:val="22"/>
              </w:rPr>
            </w:pPr>
            <w:r w:rsidRPr="00FD257E">
              <w:rPr>
                <w:noProof/>
                <w:sz w:val="22"/>
                <w:szCs w:val="22"/>
                <w:lang w:val="en-IE"/>
              </w:rPr>
              <w:t>European Criminal Records Information System – Third Country Nationals</w:t>
            </w:r>
          </w:p>
        </w:tc>
      </w:tr>
      <w:tr w:rsidR="00A47860" w:rsidRPr="00147D71" w14:paraId="6E962BE8"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16C2B140" w14:textId="6EC4B17F" w:rsidR="00A47860" w:rsidRPr="00FD257E" w:rsidRDefault="00A47860" w:rsidP="00FD257E">
            <w:pPr>
              <w:jc w:val="both"/>
              <w:rPr>
                <w:noProof/>
                <w:sz w:val="22"/>
                <w:szCs w:val="22"/>
              </w:rPr>
            </w:pPr>
            <w:r w:rsidRPr="00FD257E">
              <w:rPr>
                <w:noProof/>
                <w:sz w:val="22"/>
                <w:szCs w:val="22"/>
                <w:lang w:val="en-IE"/>
              </w:rPr>
              <w:t xml:space="preserve">EDPB </w:t>
            </w:r>
          </w:p>
        </w:tc>
        <w:tc>
          <w:tcPr>
            <w:tcW w:w="5455" w:type="dxa"/>
            <w:tcBorders>
              <w:top w:val="double" w:sz="4" w:space="0" w:color="auto"/>
              <w:bottom w:val="double" w:sz="4" w:space="0" w:color="auto"/>
            </w:tcBorders>
            <w:tcMar>
              <w:top w:w="113" w:type="dxa"/>
              <w:bottom w:w="113" w:type="dxa"/>
            </w:tcMar>
            <w:vAlign w:val="center"/>
          </w:tcPr>
          <w:p w14:paraId="4616AA75" w14:textId="0ADA3799" w:rsidR="00A47860" w:rsidRPr="00FD257E" w:rsidRDefault="00A47860" w:rsidP="00FD257E">
            <w:pPr>
              <w:jc w:val="both"/>
              <w:rPr>
                <w:noProof/>
                <w:sz w:val="22"/>
                <w:szCs w:val="22"/>
              </w:rPr>
            </w:pPr>
            <w:r w:rsidRPr="00FD257E">
              <w:rPr>
                <w:noProof/>
                <w:sz w:val="22"/>
                <w:szCs w:val="22"/>
                <w:lang w:val="en-IE"/>
              </w:rPr>
              <w:t>European Data Protection Board</w:t>
            </w:r>
          </w:p>
        </w:tc>
      </w:tr>
      <w:tr w:rsidR="00A47860" w:rsidRPr="00147D71" w14:paraId="6102E61D"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76982742" w14:textId="70938FC4" w:rsidR="00A47860" w:rsidRPr="00FD257E" w:rsidRDefault="00A47860" w:rsidP="00FD257E">
            <w:pPr>
              <w:jc w:val="both"/>
              <w:rPr>
                <w:noProof/>
                <w:sz w:val="22"/>
                <w:szCs w:val="22"/>
              </w:rPr>
            </w:pPr>
            <w:r w:rsidRPr="00FD257E">
              <w:rPr>
                <w:noProof/>
                <w:sz w:val="22"/>
                <w:szCs w:val="22"/>
                <w:lang w:val="en-IE"/>
              </w:rPr>
              <w:t xml:space="preserve">EES </w:t>
            </w:r>
          </w:p>
        </w:tc>
        <w:tc>
          <w:tcPr>
            <w:tcW w:w="5455" w:type="dxa"/>
            <w:tcBorders>
              <w:top w:val="double" w:sz="4" w:space="0" w:color="auto"/>
              <w:bottom w:val="double" w:sz="4" w:space="0" w:color="auto"/>
            </w:tcBorders>
            <w:tcMar>
              <w:top w:w="113" w:type="dxa"/>
              <w:bottom w:w="113" w:type="dxa"/>
            </w:tcMar>
            <w:vAlign w:val="center"/>
          </w:tcPr>
          <w:p w14:paraId="4626FE9F" w14:textId="67FF5254" w:rsidR="00A47860" w:rsidRPr="00FD257E" w:rsidRDefault="00A47860" w:rsidP="00FD257E">
            <w:pPr>
              <w:jc w:val="both"/>
              <w:rPr>
                <w:noProof/>
                <w:sz w:val="22"/>
                <w:szCs w:val="22"/>
              </w:rPr>
            </w:pPr>
            <w:r w:rsidRPr="00FD257E">
              <w:rPr>
                <w:noProof/>
                <w:sz w:val="22"/>
                <w:szCs w:val="22"/>
                <w:lang w:val="en-IE"/>
              </w:rPr>
              <w:t>Entry/Exit System</w:t>
            </w:r>
          </w:p>
        </w:tc>
      </w:tr>
      <w:tr w:rsidR="00A47860" w:rsidRPr="00147D71" w14:paraId="2DDE1FE2"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40B27037" w14:textId="490651BB" w:rsidR="00A47860" w:rsidRPr="00FD257E" w:rsidRDefault="00A47860" w:rsidP="00FD257E">
            <w:pPr>
              <w:jc w:val="both"/>
              <w:rPr>
                <w:noProof/>
                <w:sz w:val="22"/>
                <w:szCs w:val="22"/>
              </w:rPr>
            </w:pPr>
            <w:r w:rsidRPr="00FD257E">
              <w:rPr>
                <w:noProof/>
                <w:sz w:val="22"/>
                <w:szCs w:val="22"/>
              </w:rPr>
              <w:t>EPMO</w:t>
            </w:r>
            <w:r w:rsidRPr="00FD257E">
              <w:rPr>
                <w:noProof/>
                <w:sz w:val="22"/>
                <w:szCs w:val="22"/>
              </w:rPr>
              <w:tab/>
            </w:r>
          </w:p>
        </w:tc>
        <w:tc>
          <w:tcPr>
            <w:tcW w:w="5455" w:type="dxa"/>
            <w:tcBorders>
              <w:top w:val="double" w:sz="4" w:space="0" w:color="auto"/>
              <w:bottom w:val="double" w:sz="4" w:space="0" w:color="auto"/>
            </w:tcBorders>
            <w:tcMar>
              <w:top w:w="113" w:type="dxa"/>
              <w:bottom w:w="113" w:type="dxa"/>
            </w:tcMar>
            <w:vAlign w:val="center"/>
          </w:tcPr>
          <w:p w14:paraId="1887D409" w14:textId="127A5E62" w:rsidR="00A47860" w:rsidRPr="00FD257E" w:rsidRDefault="00A47860" w:rsidP="00FD257E">
            <w:pPr>
              <w:jc w:val="both"/>
              <w:rPr>
                <w:noProof/>
                <w:sz w:val="22"/>
                <w:szCs w:val="22"/>
              </w:rPr>
            </w:pPr>
            <w:r w:rsidRPr="00FD257E">
              <w:rPr>
                <w:noProof/>
                <w:sz w:val="22"/>
                <w:szCs w:val="22"/>
              </w:rPr>
              <w:t>Enterprise Project Management Office</w:t>
            </w:r>
          </w:p>
        </w:tc>
      </w:tr>
      <w:tr w:rsidR="00A47860" w:rsidRPr="00147D71" w14:paraId="0A54D325"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35CF8D2E" w14:textId="7B839B35" w:rsidR="00A47860" w:rsidRPr="00FD257E" w:rsidRDefault="00A47860" w:rsidP="00FD257E">
            <w:pPr>
              <w:jc w:val="both"/>
              <w:rPr>
                <w:noProof/>
                <w:sz w:val="22"/>
                <w:szCs w:val="22"/>
              </w:rPr>
            </w:pPr>
            <w:r w:rsidRPr="00FD257E">
              <w:rPr>
                <w:noProof/>
                <w:sz w:val="22"/>
                <w:szCs w:val="22"/>
                <w:lang w:val="en-IE"/>
              </w:rPr>
              <w:t xml:space="preserve">EPPO </w:t>
            </w:r>
          </w:p>
        </w:tc>
        <w:tc>
          <w:tcPr>
            <w:tcW w:w="5455" w:type="dxa"/>
            <w:tcBorders>
              <w:top w:val="double" w:sz="4" w:space="0" w:color="auto"/>
              <w:bottom w:val="double" w:sz="4" w:space="0" w:color="auto"/>
            </w:tcBorders>
            <w:tcMar>
              <w:top w:w="113" w:type="dxa"/>
              <w:bottom w:w="113" w:type="dxa"/>
            </w:tcMar>
            <w:vAlign w:val="center"/>
          </w:tcPr>
          <w:p w14:paraId="7667E1F8" w14:textId="02E636A5" w:rsidR="00A47860" w:rsidRPr="00FD257E" w:rsidRDefault="00A47860" w:rsidP="00FD257E">
            <w:pPr>
              <w:jc w:val="both"/>
              <w:rPr>
                <w:noProof/>
                <w:sz w:val="22"/>
                <w:szCs w:val="22"/>
              </w:rPr>
            </w:pPr>
            <w:r w:rsidRPr="00FD257E">
              <w:rPr>
                <w:noProof/>
                <w:sz w:val="22"/>
                <w:szCs w:val="22"/>
                <w:lang w:val="en-IE"/>
              </w:rPr>
              <w:t>European Public Prosecutor’s Office</w:t>
            </w:r>
          </w:p>
        </w:tc>
      </w:tr>
      <w:tr w:rsidR="00A47860" w:rsidRPr="00147D71" w14:paraId="189FC3CC"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21C2D5DF" w14:textId="54CB0B1E" w:rsidR="00A47860" w:rsidRPr="00FD257E" w:rsidRDefault="00A47860" w:rsidP="00FD257E">
            <w:pPr>
              <w:jc w:val="both"/>
              <w:rPr>
                <w:noProof/>
                <w:sz w:val="22"/>
                <w:szCs w:val="22"/>
              </w:rPr>
            </w:pPr>
            <w:r w:rsidRPr="00FD257E">
              <w:rPr>
                <w:noProof/>
                <w:sz w:val="22"/>
                <w:szCs w:val="22"/>
              </w:rPr>
              <w:t xml:space="preserve">EPSO </w:t>
            </w:r>
          </w:p>
        </w:tc>
        <w:tc>
          <w:tcPr>
            <w:tcW w:w="5455" w:type="dxa"/>
            <w:tcBorders>
              <w:top w:val="double" w:sz="4" w:space="0" w:color="auto"/>
              <w:bottom w:val="double" w:sz="4" w:space="0" w:color="auto"/>
            </w:tcBorders>
            <w:tcMar>
              <w:top w:w="113" w:type="dxa"/>
              <w:bottom w:w="113" w:type="dxa"/>
            </w:tcMar>
            <w:vAlign w:val="center"/>
          </w:tcPr>
          <w:p w14:paraId="4A93869B" w14:textId="0C765A11" w:rsidR="00A47860" w:rsidRPr="00FD257E" w:rsidRDefault="00A47860" w:rsidP="00FD257E">
            <w:pPr>
              <w:jc w:val="both"/>
              <w:rPr>
                <w:noProof/>
                <w:sz w:val="22"/>
                <w:szCs w:val="22"/>
              </w:rPr>
            </w:pPr>
            <w:r w:rsidRPr="00FD257E">
              <w:rPr>
                <w:noProof/>
                <w:sz w:val="22"/>
                <w:szCs w:val="22"/>
              </w:rPr>
              <w:t>European Personnel Selection Office</w:t>
            </w:r>
          </w:p>
        </w:tc>
      </w:tr>
      <w:tr w:rsidR="00A47860" w:rsidRPr="00147D71" w14:paraId="3F57CDAA"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068E8BC1" w14:textId="3369F254" w:rsidR="00A47860" w:rsidRPr="00FD257E" w:rsidRDefault="00A47860" w:rsidP="00FD257E">
            <w:pPr>
              <w:jc w:val="both"/>
              <w:rPr>
                <w:noProof/>
                <w:sz w:val="22"/>
                <w:szCs w:val="22"/>
              </w:rPr>
            </w:pPr>
            <w:r w:rsidRPr="00FD257E">
              <w:rPr>
                <w:noProof/>
                <w:sz w:val="22"/>
                <w:szCs w:val="22"/>
              </w:rPr>
              <w:t xml:space="preserve">ESP </w:t>
            </w:r>
          </w:p>
        </w:tc>
        <w:tc>
          <w:tcPr>
            <w:tcW w:w="5455" w:type="dxa"/>
            <w:tcBorders>
              <w:top w:val="double" w:sz="4" w:space="0" w:color="auto"/>
              <w:bottom w:val="double" w:sz="4" w:space="0" w:color="auto"/>
            </w:tcBorders>
            <w:tcMar>
              <w:top w:w="113" w:type="dxa"/>
              <w:bottom w:w="113" w:type="dxa"/>
            </w:tcMar>
            <w:vAlign w:val="center"/>
          </w:tcPr>
          <w:p w14:paraId="259424E3" w14:textId="0282442E" w:rsidR="00A47860" w:rsidRPr="00FD257E" w:rsidRDefault="00A47860" w:rsidP="00FD257E">
            <w:pPr>
              <w:jc w:val="both"/>
              <w:rPr>
                <w:noProof/>
                <w:sz w:val="22"/>
                <w:szCs w:val="22"/>
              </w:rPr>
            </w:pPr>
            <w:r w:rsidRPr="00FD257E">
              <w:rPr>
                <w:noProof/>
                <w:sz w:val="22"/>
                <w:szCs w:val="22"/>
              </w:rPr>
              <w:t>European Search Portal</w:t>
            </w:r>
          </w:p>
        </w:tc>
      </w:tr>
      <w:tr w:rsidR="00A47860" w:rsidRPr="00147D71" w14:paraId="79E89239"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217B7999" w14:textId="5A7E4D02" w:rsidR="00A47860" w:rsidRPr="00FD257E" w:rsidRDefault="00A47860" w:rsidP="00FD257E">
            <w:pPr>
              <w:jc w:val="both"/>
              <w:rPr>
                <w:noProof/>
                <w:sz w:val="22"/>
                <w:szCs w:val="22"/>
              </w:rPr>
            </w:pPr>
            <w:r w:rsidRPr="00FD257E">
              <w:rPr>
                <w:noProof/>
                <w:sz w:val="22"/>
                <w:szCs w:val="22"/>
                <w:lang w:val="en-IE"/>
              </w:rPr>
              <w:t>ETIAS</w:t>
            </w:r>
            <w:r w:rsidRPr="00FD257E">
              <w:rPr>
                <w:noProof/>
                <w:sz w:val="22"/>
                <w:szCs w:val="22"/>
                <w:lang w:val="en-IE"/>
              </w:rPr>
              <w:tab/>
              <w:t xml:space="preserve"> </w:t>
            </w:r>
          </w:p>
        </w:tc>
        <w:tc>
          <w:tcPr>
            <w:tcW w:w="5455" w:type="dxa"/>
            <w:tcBorders>
              <w:top w:val="double" w:sz="4" w:space="0" w:color="auto"/>
              <w:bottom w:val="double" w:sz="4" w:space="0" w:color="auto"/>
            </w:tcBorders>
            <w:tcMar>
              <w:top w:w="113" w:type="dxa"/>
              <w:bottom w:w="113" w:type="dxa"/>
            </w:tcMar>
            <w:vAlign w:val="center"/>
          </w:tcPr>
          <w:p w14:paraId="18F49443" w14:textId="3A5D3DB1" w:rsidR="00A47860" w:rsidRPr="00FD257E" w:rsidRDefault="00A47860" w:rsidP="00FD257E">
            <w:pPr>
              <w:jc w:val="both"/>
              <w:rPr>
                <w:noProof/>
                <w:sz w:val="22"/>
                <w:szCs w:val="22"/>
              </w:rPr>
            </w:pPr>
            <w:r w:rsidRPr="00FD257E">
              <w:rPr>
                <w:noProof/>
                <w:sz w:val="22"/>
                <w:szCs w:val="22"/>
                <w:lang w:val="en-IE"/>
              </w:rPr>
              <w:t>European Travel Information and Authorisation System</w:t>
            </w:r>
          </w:p>
        </w:tc>
      </w:tr>
      <w:tr w:rsidR="00A47860" w:rsidRPr="00147D71" w14:paraId="23816D3A"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14F5285A" w14:textId="2614725D" w:rsidR="00A47860" w:rsidRPr="00FD257E" w:rsidRDefault="00A47860" w:rsidP="00FD257E">
            <w:pPr>
              <w:jc w:val="both"/>
              <w:rPr>
                <w:noProof/>
                <w:sz w:val="22"/>
                <w:szCs w:val="22"/>
              </w:rPr>
            </w:pPr>
            <w:r w:rsidRPr="00FD257E">
              <w:rPr>
                <w:noProof/>
                <w:sz w:val="22"/>
                <w:szCs w:val="22"/>
                <w:lang w:val="en-IE"/>
              </w:rPr>
              <w:t>EU</w:t>
            </w:r>
            <w:r w:rsidRPr="00FD257E">
              <w:rPr>
                <w:noProof/>
                <w:sz w:val="22"/>
                <w:szCs w:val="22"/>
                <w:lang w:val="en-IE"/>
              </w:rPr>
              <w:tab/>
              <w:t xml:space="preserve"> </w:t>
            </w:r>
          </w:p>
        </w:tc>
        <w:tc>
          <w:tcPr>
            <w:tcW w:w="5455" w:type="dxa"/>
            <w:tcBorders>
              <w:top w:val="double" w:sz="4" w:space="0" w:color="auto"/>
              <w:bottom w:val="double" w:sz="4" w:space="0" w:color="auto"/>
            </w:tcBorders>
            <w:tcMar>
              <w:top w:w="113" w:type="dxa"/>
              <w:bottom w:w="113" w:type="dxa"/>
            </w:tcMar>
            <w:vAlign w:val="center"/>
          </w:tcPr>
          <w:p w14:paraId="1C19C403" w14:textId="79742310" w:rsidR="00A47860" w:rsidRPr="00FD257E" w:rsidRDefault="00A47860" w:rsidP="00FD257E">
            <w:pPr>
              <w:jc w:val="both"/>
              <w:rPr>
                <w:noProof/>
                <w:sz w:val="22"/>
                <w:szCs w:val="22"/>
              </w:rPr>
            </w:pPr>
            <w:r w:rsidRPr="00FD257E">
              <w:rPr>
                <w:noProof/>
                <w:sz w:val="22"/>
                <w:szCs w:val="22"/>
                <w:lang w:val="en-IE"/>
              </w:rPr>
              <w:t>European Union</w:t>
            </w:r>
          </w:p>
        </w:tc>
      </w:tr>
      <w:tr w:rsidR="00A47860" w:rsidRPr="00147D71" w14:paraId="379D357A"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41BE40CB" w14:textId="77720F60" w:rsidR="00A47860" w:rsidRPr="00FD257E" w:rsidRDefault="00A47860" w:rsidP="00FD257E">
            <w:pPr>
              <w:jc w:val="both"/>
              <w:rPr>
                <w:noProof/>
                <w:sz w:val="22"/>
                <w:szCs w:val="22"/>
              </w:rPr>
            </w:pPr>
            <w:r w:rsidRPr="00FD257E">
              <w:rPr>
                <w:noProof/>
                <w:sz w:val="22"/>
                <w:szCs w:val="22"/>
              </w:rPr>
              <w:t>EUAN</w:t>
            </w:r>
            <w:r w:rsidRPr="00FD257E">
              <w:rPr>
                <w:noProof/>
                <w:sz w:val="22"/>
                <w:szCs w:val="22"/>
              </w:rPr>
              <w:tab/>
              <w:t xml:space="preserve"> </w:t>
            </w:r>
          </w:p>
        </w:tc>
        <w:tc>
          <w:tcPr>
            <w:tcW w:w="5455" w:type="dxa"/>
            <w:tcBorders>
              <w:top w:val="double" w:sz="4" w:space="0" w:color="auto"/>
              <w:bottom w:val="double" w:sz="4" w:space="0" w:color="auto"/>
            </w:tcBorders>
            <w:tcMar>
              <w:top w:w="113" w:type="dxa"/>
              <w:bottom w:w="113" w:type="dxa"/>
            </w:tcMar>
            <w:vAlign w:val="center"/>
          </w:tcPr>
          <w:p w14:paraId="3AC87780" w14:textId="6DC4CBBC" w:rsidR="00A47860" w:rsidRPr="00FD257E" w:rsidRDefault="00A47860" w:rsidP="00FD257E">
            <w:pPr>
              <w:jc w:val="both"/>
              <w:rPr>
                <w:noProof/>
                <w:sz w:val="22"/>
                <w:szCs w:val="22"/>
              </w:rPr>
            </w:pPr>
            <w:r w:rsidRPr="00FD257E">
              <w:rPr>
                <w:noProof/>
                <w:sz w:val="22"/>
                <w:szCs w:val="22"/>
              </w:rPr>
              <w:t>EU Agencies Network</w:t>
            </w:r>
          </w:p>
        </w:tc>
      </w:tr>
      <w:tr w:rsidR="00A47860" w:rsidRPr="00147D71" w14:paraId="1C83B895"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4307A311" w14:textId="31C8E0DC" w:rsidR="00A47860" w:rsidRPr="00FD257E" w:rsidRDefault="00A47860" w:rsidP="00FD257E">
            <w:pPr>
              <w:jc w:val="both"/>
              <w:rPr>
                <w:noProof/>
                <w:sz w:val="22"/>
                <w:szCs w:val="22"/>
              </w:rPr>
            </w:pPr>
            <w:r w:rsidRPr="00FD257E">
              <w:rPr>
                <w:noProof/>
                <w:sz w:val="22"/>
                <w:szCs w:val="22"/>
                <w:lang w:val="en-IE"/>
              </w:rPr>
              <w:t xml:space="preserve">Eurodac </w:t>
            </w:r>
          </w:p>
        </w:tc>
        <w:tc>
          <w:tcPr>
            <w:tcW w:w="5455" w:type="dxa"/>
            <w:tcBorders>
              <w:top w:val="double" w:sz="4" w:space="0" w:color="auto"/>
              <w:bottom w:val="double" w:sz="4" w:space="0" w:color="auto"/>
            </w:tcBorders>
            <w:tcMar>
              <w:top w:w="113" w:type="dxa"/>
              <w:bottom w:w="113" w:type="dxa"/>
            </w:tcMar>
            <w:vAlign w:val="center"/>
          </w:tcPr>
          <w:p w14:paraId="1707ACFA" w14:textId="0267319D" w:rsidR="00A47860" w:rsidRPr="00FD257E" w:rsidRDefault="00A47860" w:rsidP="00FD257E">
            <w:pPr>
              <w:jc w:val="both"/>
              <w:rPr>
                <w:noProof/>
                <w:sz w:val="22"/>
                <w:szCs w:val="22"/>
              </w:rPr>
            </w:pPr>
            <w:r w:rsidRPr="00FD257E">
              <w:rPr>
                <w:noProof/>
                <w:sz w:val="22"/>
                <w:szCs w:val="22"/>
                <w:lang w:val="en-IE"/>
              </w:rPr>
              <w:t>European Asylum Dactyloscopy Database</w:t>
            </w:r>
          </w:p>
        </w:tc>
      </w:tr>
      <w:tr w:rsidR="00A47860" w:rsidRPr="00B6325F" w14:paraId="6FD80F39"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27F7D8F9" w14:textId="4BE717C5" w:rsidR="00A47860" w:rsidRPr="00FD257E" w:rsidRDefault="00A47860" w:rsidP="00FD257E">
            <w:pPr>
              <w:jc w:val="both"/>
              <w:rPr>
                <w:noProof/>
                <w:sz w:val="22"/>
                <w:szCs w:val="22"/>
              </w:rPr>
            </w:pPr>
            <w:r w:rsidRPr="00FD257E">
              <w:rPr>
                <w:noProof/>
                <w:sz w:val="22"/>
                <w:szCs w:val="22"/>
                <w:lang w:val="en-IE"/>
              </w:rPr>
              <w:t xml:space="preserve">Eurojust </w:t>
            </w:r>
          </w:p>
        </w:tc>
        <w:tc>
          <w:tcPr>
            <w:tcW w:w="5455" w:type="dxa"/>
            <w:tcBorders>
              <w:top w:val="double" w:sz="4" w:space="0" w:color="auto"/>
              <w:bottom w:val="double" w:sz="4" w:space="0" w:color="auto"/>
            </w:tcBorders>
            <w:tcMar>
              <w:top w:w="113" w:type="dxa"/>
              <w:bottom w:w="113" w:type="dxa"/>
            </w:tcMar>
            <w:vAlign w:val="center"/>
          </w:tcPr>
          <w:p w14:paraId="6A4B8FC9" w14:textId="7B87C232" w:rsidR="00A47860" w:rsidRPr="00FD257E" w:rsidRDefault="00A47860" w:rsidP="00FD257E">
            <w:pPr>
              <w:jc w:val="both"/>
              <w:rPr>
                <w:noProof/>
                <w:sz w:val="22"/>
                <w:szCs w:val="22"/>
              </w:rPr>
            </w:pPr>
            <w:r w:rsidRPr="00FD257E">
              <w:rPr>
                <w:noProof/>
                <w:sz w:val="22"/>
                <w:szCs w:val="22"/>
                <w:lang w:val="en-IE"/>
              </w:rPr>
              <w:t>European Union Agency for Criminal Justice Cooperation</w:t>
            </w:r>
          </w:p>
        </w:tc>
      </w:tr>
      <w:tr w:rsidR="00A47860" w:rsidRPr="00B6325F" w14:paraId="69D89675"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171756F8" w14:textId="22320302" w:rsidR="00A47860" w:rsidRPr="00FD257E" w:rsidRDefault="00A47860" w:rsidP="00FD257E">
            <w:pPr>
              <w:jc w:val="both"/>
              <w:rPr>
                <w:noProof/>
                <w:sz w:val="22"/>
                <w:szCs w:val="22"/>
              </w:rPr>
            </w:pPr>
            <w:r w:rsidRPr="00FD257E">
              <w:rPr>
                <w:noProof/>
                <w:sz w:val="22"/>
                <w:szCs w:val="22"/>
                <w:lang w:val="en-IE"/>
              </w:rPr>
              <w:t xml:space="preserve">eu-LISA </w:t>
            </w:r>
          </w:p>
        </w:tc>
        <w:tc>
          <w:tcPr>
            <w:tcW w:w="5455" w:type="dxa"/>
            <w:tcBorders>
              <w:top w:val="double" w:sz="4" w:space="0" w:color="auto"/>
              <w:bottom w:val="double" w:sz="4" w:space="0" w:color="auto"/>
            </w:tcBorders>
            <w:tcMar>
              <w:top w:w="113" w:type="dxa"/>
              <w:bottom w:w="113" w:type="dxa"/>
            </w:tcMar>
            <w:vAlign w:val="center"/>
          </w:tcPr>
          <w:p w14:paraId="75702216" w14:textId="73AA2D87" w:rsidR="00A47860" w:rsidRPr="00FD257E" w:rsidRDefault="00A47860" w:rsidP="00FD257E">
            <w:pPr>
              <w:jc w:val="both"/>
              <w:rPr>
                <w:noProof/>
                <w:sz w:val="22"/>
                <w:szCs w:val="22"/>
              </w:rPr>
            </w:pPr>
            <w:r w:rsidRPr="00FD257E">
              <w:rPr>
                <w:noProof/>
                <w:sz w:val="22"/>
                <w:szCs w:val="22"/>
                <w:lang w:val="en-IE"/>
              </w:rPr>
              <w:t>European Union Agency for the Operational Management of Large-Scale IT Systems in the Area of Freedom, Security and Justice</w:t>
            </w:r>
          </w:p>
        </w:tc>
      </w:tr>
      <w:tr w:rsidR="00A47860" w:rsidRPr="00B6325F" w14:paraId="4140F633"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1927F511" w14:textId="62A19106" w:rsidR="00A47860" w:rsidRPr="00FD257E" w:rsidRDefault="00A47860" w:rsidP="00FD257E">
            <w:pPr>
              <w:jc w:val="both"/>
              <w:rPr>
                <w:noProof/>
                <w:sz w:val="22"/>
                <w:szCs w:val="22"/>
              </w:rPr>
            </w:pPr>
            <w:r w:rsidRPr="00FD257E">
              <w:rPr>
                <w:noProof/>
                <w:sz w:val="22"/>
                <w:szCs w:val="22"/>
                <w:lang w:val="en-IE"/>
              </w:rPr>
              <w:t xml:space="preserve">Europol </w:t>
            </w:r>
          </w:p>
        </w:tc>
        <w:tc>
          <w:tcPr>
            <w:tcW w:w="5455" w:type="dxa"/>
            <w:tcBorders>
              <w:top w:val="double" w:sz="4" w:space="0" w:color="auto"/>
              <w:bottom w:val="double" w:sz="4" w:space="0" w:color="auto"/>
            </w:tcBorders>
            <w:tcMar>
              <w:top w:w="113" w:type="dxa"/>
              <w:bottom w:w="113" w:type="dxa"/>
            </w:tcMar>
            <w:vAlign w:val="center"/>
          </w:tcPr>
          <w:p w14:paraId="2CF1546F" w14:textId="6B456C1E" w:rsidR="00A47860" w:rsidRPr="00FD257E" w:rsidRDefault="00A47860" w:rsidP="00FD257E">
            <w:pPr>
              <w:jc w:val="both"/>
              <w:rPr>
                <w:noProof/>
                <w:sz w:val="22"/>
                <w:szCs w:val="22"/>
              </w:rPr>
            </w:pPr>
            <w:r w:rsidRPr="00FD257E">
              <w:rPr>
                <w:noProof/>
                <w:sz w:val="22"/>
                <w:szCs w:val="22"/>
                <w:lang w:val="en-IE"/>
              </w:rPr>
              <w:t>European Union Agency for Law Enforcement Cooperation</w:t>
            </w:r>
          </w:p>
        </w:tc>
      </w:tr>
      <w:tr w:rsidR="00A47860" w:rsidRPr="00147D71" w14:paraId="3B3A643A"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36CDDCEA" w14:textId="6151AC0A" w:rsidR="00A47860" w:rsidRPr="00FD257E" w:rsidRDefault="00A47860" w:rsidP="00FD257E">
            <w:pPr>
              <w:jc w:val="both"/>
              <w:rPr>
                <w:noProof/>
                <w:sz w:val="22"/>
                <w:szCs w:val="22"/>
              </w:rPr>
            </w:pPr>
            <w:r w:rsidRPr="00FD257E">
              <w:rPr>
                <w:noProof/>
                <w:sz w:val="22"/>
                <w:szCs w:val="22"/>
                <w:lang w:val="it-IT"/>
              </w:rPr>
              <w:t>e-CODEX</w:t>
            </w:r>
            <w:r w:rsidRPr="00FD257E">
              <w:rPr>
                <w:noProof/>
                <w:sz w:val="22"/>
                <w:szCs w:val="22"/>
                <w:lang w:val="it-IT"/>
              </w:rPr>
              <w:tab/>
              <w:t xml:space="preserve"> </w:t>
            </w:r>
          </w:p>
        </w:tc>
        <w:tc>
          <w:tcPr>
            <w:tcW w:w="5455" w:type="dxa"/>
            <w:tcBorders>
              <w:top w:val="double" w:sz="4" w:space="0" w:color="auto"/>
              <w:bottom w:val="double" w:sz="4" w:space="0" w:color="auto"/>
            </w:tcBorders>
            <w:tcMar>
              <w:top w:w="113" w:type="dxa"/>
              <w:bottom w:w="113" w:type="dxa"/>
            </w:tcMar>
            <w:vAlign w:val="center"/>
          </w:tcPr>
          <w:p w14:paraId="12A0BB34" w14:textId="1541E044" w:rsidR="00A47860" w:rsidRPr="00FD257E" w:rsidRDefault="00A47860" w:rsidP="00FD257E">
            <w:pPr>
              <w:jc w:val="both"/>
              <w:rPr>
                <w:noProof/>
                <w:sz w:val="22"/>
                <w:szCs w:val="22"/>
              </w:rPr>
            </w:pPr>
            <w:r w:rsidRPr="00FD257E">
              <w:rPr>
                <w:noProof/>
                <w:sz w:val="22"/>
                <w:szCs w:val="22"/>
                <w:lang w:val="it-IT"/>
              </w:rPr>
              <w:t>e-Justice Communication via Online Data Exchange</w:t>
            </w:r>
          </w:p>
        </w:tc>
      </w:tr>
      <w:tr w:rsidR="00A47860" w:rsidRPr="00147D71" w14:paraId="1C93696F"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6B2D3135" w14:textId="1B454202" w:rsidR="00A47860" w:rsidRPr="00FD257E" w:rsidRDefault="00A47860" w:rsidP="00FD257E">
            <w:pPr>
              <w:jc w:val="both"/>
              <w:rPr>
                <w:noProof/>
                <w:sz w:val="22"/>
                <w:szCs w:val="22"/>
              </w:rPr>
            </w:pPr>
            <w:r w:rsidRPr="00FD257E">
              <w:rPr>
                <w:noProof/>
                <w:sz w:val="22"/>
                <w:szCs w:val="22"/>
              </w:rPr>
              <w:t>HR</w:t>
            </w:r>
            <w:r w:rsidRPr="00FD257E">
              <w:rPr>
                <w:noProof/>
                <w:sz w:val="22"/>
                <w:szCs w:val="22"/>
              </w:rPr>
              <w:tab/>
              <w:t xml:space="preserve"> </w:t>
            </w:r>
          </w:p>
        </w:tc>
        <w:tc>
          <w:tcPr>
            <w:tcW w:w="5455" w:type="dxa"/>
            <w:tcBorders>
              <w:top w:val="double" w:sz="4" w:space="0" w:color="auto"/>
              <w:bottom w:val="double" w:sz="4" w:space="0" w:color="auto"/>
            </w:tcBorders>
            <w:tcMar>
              <w:top w:w="113" w:type="dxa"/>
              <w:bottom w:w="113" w:type="dxa"/>
            </w:tcMar>
            <w:vAlign w:val="center"/>
          </w:tcPr>
          <w:p w14:paraId="3FC5A68E" w14:textId="4B020E22" w:rsidR="00A47860" w:rsidRPr="00FD257E" w:rsidRDefault="00A47860" w:rsidP="00FD257E">
            <w:pPr>
              <w:jc w:val="both"/>
              <w:rPr>
                <w:noProof/>
                <w:sz w:val="22"/>
                <w:szCs w:val="22"/>
              </w:rPr>
            </w:pPr>
            <w:r w:rsidRPr="00FD257E">
              <w:rPr>
                <w:noProof/>
                <w:sz w:val="22"/>
                <w:szCs w:val="22"/>
              </w:rPr>
              <w:t>Human Resources</w:t>
            </w:r>
          </w:p>
        </w:tc>
      </w:tr>
      <w:tr w:rsidR="00A47860" w:rsidRPr="00147D71" w14:paraId="0824B126"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2027FCDB" w14:textId="28E50C2A" w:rsidR="00A47860" w:rsidRPr="00FD257E" w:rsidRDefault="00A47860" w:rsidP="00FD257E">
            <w:pPr>
              <w:jc w:val="both"/>
              <w:rPr>
                <w:noProof/>
                <w:sz w:val="22"/>
                <w:szCs w:val="22"/>
              </w:rPr>
            </w:pPr>
            <w:r w:rsidRPr="00FD257E">
              <w:rPr>
                <w:noProof/>
                <w:sz w:val="22"/>
                <w:szCs w:val="22"/>
              </w:rPr>
              <w:t xml:space="preserve">ICD </w:t>
            </w:r>
          </w:p>
        </w:tc>
        <w:tc>
          <w:tcPr>
            <w:tcW w:w="5455" w:type="dxa"/>
            <w:tcBorders>
              <w:top w:val="double" w:sz="4" w:space="0" w:color="auto"/>
              <w:bottom w:val="double" w:sz="4" w:space="0" w:color="auto"/>
            </w:tcBorders>
            <w:tcMar>
              <w:top w:w="113" w:type="dxa"/>
              <w:bottom w:w="113" w:type="dxa"/>
            </w:tcMar>
            <w:vAlign w:val="center"/>
          </w:tcPr>
          <w:p w14:paraId="391C2783" w14:textId="76106A9E" w:rsidR="00A47860" w:rsidRPr="00FD257E" w:rsidRDefault="00A47860" w:rsidP="00FD257E">
            <w:pPr>
              <w:jc w:val="both"/>
              <w:rPr>
                <w:noProof/>
                <w:sz w:val="22"/>
                <w:szCs w:val="22"/>
              </w:rPr>
            </w:pPr>
            <w:r w:rsidRPr="00FD257E">
              <w:rPr>
                <w:noProof/>
                <w:sz w:val="22"/>
                <w:szCs w:val="22"/>
              </w:rPr>
              <w:t>Interface Control Document</w:t>
            </w:r>
          </w:p>
        </w:tc>
      </w:tr>
      <w:tr w:rsidR="00A47860" w:rsidRPr="00147D71" w14:paraId="7E787782"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3F8E0C13" w14:textId="6E8DC44A" w:rsidR="00A47860" w:rsidRPr="00FD257E" w:rsidRDefault="00A47860" w:rsidP="00FD257E">
            <w:pPr>
              <w:jc w:val="both"/>
              <w:rPr>
                <w:noProof/>
                <w:sz w:val="22"/>
                <w:szCs w:val="22"/>
              </w:rPr>
            </w:pPr>
            <w:r w:rsidRPr="00FD257E">
              <w:rPr>
                <w:noProof/>
                <w:sz w:val="22"/>
                <w:szCs w:val="22"/>
              </w:rPr>
              <w:t xml:space="preserve">ISMS </w:t>
            </w:r>
          </w:p>
        </w:tc>
        <w:tc>
          <w:tcPr>
            <w:tcW w:w="5455" w:type="dxa"/>
            <w:tcBorders>
              <w:top w:val="double" w:sz="4" w:space="0" w:color="auto"/>
              <w:bottom w:val="double" w:sz="4" w:space="0" w:color="auto"/>
            </w:tcBorders>
            <w:tcMar>
              <w:top w:w="113" w:type="dxa"/>
              <w:bottom w:w="113" w:type="dxa"/>
            </w:tcMar>
            <w:vAlign w:val="center"/>
          </w:tcPr>
          <w:p w14:paraId="47721410" w14:textId="4FB033B5" w:rsidR="00A47860" w:rsidRPr="00FD257E" w:rsidRDefault="00A47860" w:rsidP="00FD257E">
            <w:pPr>
              <w:jc w:val="both"/>
              <w:rPr>
                <w:noProof/>
                <w:sz w:val="22"/>
                <w:szCs w:val="22"/>
              </w:rPr>
            </w:pPr>
            <w:r w:rsidRPr="00FD257E">
              <w:rPr>
                <w:noProof/>
                <w:sz w:val="22"/>
                <w:szCs w:val="22"/>
              </w:rPr>
              <w:t>Information Security Management System</w:t>
            </w:r>
          </w:p>
        </w:tc>
      </w:tr>
      <w:tr w:rsidR="00A47860" w:rsidRPr="00147D71" w14:paraId="03A8ECEF"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73AE8DA8" w14:textId="0296501D" w:rsidR="00A47860" w:rsidRPr="00FD257E" w:rsidRDefault="00A47860" w:rsidP="00FD257E">
            <w:pPr>
              <w:jc w:val="both"/>
              <w:rPr>
                <w:noProof/>
                <w:sz w:val="22"/>
                <w:szCs w:val="22"/>
              </w:rPr>
            </w:pPr>
            <w:r w:rsidRPr="00FD257E">
              <w:rPr>
                <w:noProof/>
                <w:sz w:val="22"/>
                <w:szCs w:val="22"/>
              </w:rPr>
              <w:t xml:space="preserve">IT </w:t>
            </w:r>
          </w:p>
        </w:tc>
        <w:tc>
          <w:tcPr>
            <w:tcW w:w="5455" w:type="dxa"/>
            <w:tcBorders>
              <w:top w:val="double" w:sz="4" w:space="0" w:color="auto"/>
              <w:bottom w:val="double" w:sz="4" w:space="0" w:color="auto"/>
            </w:tcBorders>
            <w:tcMar>
              <w:top w:w="113" w:type="dxa"/>
              <w:bottom w:w="113" w:type="dxa"/>
            </w:tcMar>
            <w:vAlign w:val="center"/>
          </w:tcPr>
          <w:p w14:paraId="0A7D4ABD" w14:textId="5B8C205B" w:rsidR="00A47860" w:rsidRPr="00FD257E" w:rsidRDefault="00A47860" w:rsidP="00FD257E">
            <w:pPr>
              <w:jc w:val="both"/>
              <w:rPr>
                <w:noProof/>
                <w:sz w:val="22"/>
                <w:szCs w:val="22"/>
              </w:rPr>
            </w:pPr>
            <w:r w:rsidRPr="00FD257E">
              <w:rPr>
                <w:noProof/>
                <w:sz w:val="22"/>
                <w:szCs w:val="22"/>
              </w:rPr>
              <w:t>Information Technology</w:t>
            </w:r>
          </w:p>
        </w:tc>
      </w:tr>
      <w:tr w:rsidR="00A47860" w:rsidRPr="00147D71" w14:paraId="2B5D6E9B"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1301C3B8" w14:textId="3A6903C8" w:rsidR="00A47860" w:rsidRPr="00FD257E" w:rsidRDefault="00A47860" w:rsidP="00FD257E">
            <w:pPr>
              <w:jc w:val="both"/>
              <w:rPr>
                <w:noProof/>
                <w:sz w:val="22"/>
                <w:szCs w:val="22"/>
              </w:rPr>
            </w:pPr>
            <w:r w:rsidRPr="00FD257E">
              <w:rPr>
                <w:noProof/>
                <w:sz w:val="22"/>
                <w:szCs w:val="22"/>
                <w:lang w:val="en-IE"/>
              </w:rPr>
              <w:t xml:space="preserve">JHA </w:t>
            </w:r>
          </w:p>
        </w:tc>
        <w:tc>
          <w:tcPr>
            <w:tcW w:w="5455" w:type="dxa"/>
            <w:tcBorders>
              <w:top w:val="double" w:sz="4" w:space="0" w:color="auto"/>
              <w:bottom w:val="double" w:sz="4" w:space="0" w:color="auto"/>
            </w:tcBorders>
            <w:tcMar>
              <w:top w:w="113" w:type="dxa"/>
              <w:bottom w:w="113" w:type="dxa"/>
            </w:tcMar>
            <w:vAlign w:val="center"/>
          </w:tcPr>
          <w:p w14:paraId="45BE29FB" w14:textId="69C2D078" w:rsidR="00A47860" w:rsidRPr="00FD257E" w:rsidRDefault="00A47860" w:rsidP="00FD257E">
            <w:pPr>
              <w:jc w:val="both"/>
              <w:rPr>
                <w:noProof/>
                <w:sz w:val="22"/>
                <w:szCs w:val="22"/>
              </w:rPr>
            </w:pPr>
            <w:r w:rsidRPr="00FD257E">
              <w:rPr>
                <w:noProof/>
                <w:sz w:val="22"/>
                <w:szCs w:val="22"/>
                <w:lang w:val="en-IE"/>
              </w:rPr>
              <w:t>Justice and Home Affairs</w:t>
            </w:r>
          </w:p>
        </w:tc>
      </w:tr>
      <w:tr w:rsidR="00A47860" w:rsidRPr="00147D71" w14:paraId="567482B8"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47835F6E" w14:textId="4EC7A243" w:rsidR="00A47860" w:rsidRPr="00FD257E" w:rsidRDefault="00A47860" w:rsidP="00FD257E">
            <w:pPr>
              <w:jc w:val="both"/>
              <w:rPr>
                <w:noProof/>
                <w:sz w:val="22"/>
                <w:szCs w:val="22"/>
                <w:lang w:val="en-IE"/>
              </w:rPr>
            </w:pPr>
            <w:r w:rsidRPr="00FD257E">
              <w:rPr>
                <w:noProof/>
                <w:sz w:val="22"/>
                <w:szCs w:val="22"/>
                <w:lang w:val="en-IE"/>
              </w:rPr>
              <w:t xml:space="preserve">JIT </w:t>
            </w:r>
          </w:p>
        </w:tc>
        <w:tc>
          <w:tcPr>
            <w:tcW w:w="5455" w:type="dxa"/>
            <w:tcBorders>
              <w:top w:val="double" w:sz="4" w:space="0" w:color="auto"/>
              <w:bottom w:val="double" w:sz="4" w:space="0" w:color="auto"/>
            </w:tcBorders>
            <w:tcMar>
              <w:top w:w="113" w:type="dxa"/>
              <w:bottom w:w="113" w:type="dxa"/>
            </w:tcMar>
            <w:vAlign w:val="center"/>
          </w:tcPr>
          <w:p w14:paraId="15F0EB03" w14:textId="5BA8C0E0" w:rsidR="00A47860" w:rsidRPr="00FD257E" w:rsidRDefault="00A47860" w:rsidP="00FD257E">
            <w:pPr>
              <w:jc w:val="both"/>
              <w:rPr>
                <w:noProof/>
                <w:sz w:val="22"/>
                <w:szCs w:val="22"/>
                <w:lang w:val="en-IE"/>
              </w:rPr>
            </w:pPr>
            <w:r w:rsidRPr="00FD257E">
              <w:rPr>
                <w:noProof/>
                <w:sz w:val="22"/>
                <w:szCs w:val="22"/>
                <w:lang w:val="en-IE"/>
              </w:rPr>
              <w:t>Joint Investigation Team</w:t>
            </w:r>
          </w:p>
        </w:tc>
      </w:tr>
      <w:tr w:rsidR="00A47860" w:rsidRPr="00147D71" w14:paraId="3229A01D"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53B229DF" w14:textId="01F05094" w:rsidR="00A47860" w:rsidRPr="00FD257E" w:rsidRDefault="00A47860" w:rsidP="00FD257E">
            <w:pPr>
              <w:jc w:val="both"/>
              <w:rPr>
                <w:noProof/>
                <w:sz w:val="22"/>
                <w:szCs w:val="22"/>
                <w:lang w:val="en-IE"/>
              </w:rPr>
            </w:pPr>
            <w:r w:rsidRPr="00FD257E">
              <w:rPr>
                <w:noProof/>
                <w:sz w:val="22"/>
                <w:szCs w:val="22"/>
                <w:lang w:val="en-IE"/>
              </w:rPr>
              <w:t xml:space="preserve">JITs CP </w:t>
            </w:r>
          </w:p>
        </w:tc>
        <w:tc>
          <w:tcPr>
            <w:tcW w:w="5455" w:type="dxa"/>
            <w:tcBorders>
              <w:top w:val="double" w:sz="4" w:space="0" w:color="auto"/>
              <w:bottom w:val="double" w:sz="4" w:space="0" w:color="auto"/>
            </w:tcBorders>
            <w:tcMar>
              <w:top w:w="113" w:type="dxa"/>
              <w:bottom w:w="113" w:type="dxa"/>
            </w:tcMar>
            <w:vAlign w:val="center"/>
          </w:tcPr>
          <w:p w14:paraId="74FD3D67" w14:textId="7B5001A6" w:rsidR="00A47860" w:rsidRPr="00FD257E" w:rsidRDefault="00A47860" w:rsidP="00FD257E">
            <w:pPr>
              <w:jc w:val="both"/>
              <w:rPr>
                <w:noProof/>
                <w:sz w:val="22"/>
                <w:szCs w:val="22"/>
                <w:lang w:val="en-IE"/>
              </w:rPr>
            </w:pPr>
            <w:r w:rsidRPr="00FD257E">
              <w:rPr>
                <w:noProof/>
                <w:sz w:val="22"/>
                <w:szCs w:val="22"/>
                <w:lang w:val="en-IE"/>
              </w:rPr>
              <w:t>Joint Investigation Teams Collaboration Platform</w:t>
            </w:r>
          </w:p>
        </w:tc>
      </w:tr>
      <w:tr w:rsidR="00A47860" w:rsidRPr="00147D71" w14:paraId="55AB3E29"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470A7684" w14:textId="257C9F69" w:rsidR="00A47860" w:rsidRPr="00FD257E" w:rsidRDefault="00A47860" w:rsidP="00FD257E">
            <w:pPr>
              <w:jc w:val="both"/>
              <w:rPr>
                <w:noProof/>
                <w:sz w:val="22"/>
                <w:szCs w:val="22"/>
                <w:lang w:val="en-IE"/>
              </w:rPr>
            </w:pPr>
            <w:r w:rsidRPr="00FD257E">
              <w:rPr>
                <w:noProof/>
                <w:sz w:val="22"/>
                <w:szCs w:val="22"/>
                <w:lang w:val="en-IE"/>
              </w:rPr>
              <w:t xml:space="preserve">KoM </w:t>
            </w:r>
          </w:p>
        </w:tc>
        <w:tc>
          <w:tcPr>
            <w:tcW w:w="5455" w:type="dxa"/>
            <w:tcBorders>
              <w:top w:val="double" w:sz="4" w:space="0" w:color="auto"/>
              <w:bottom w:val="double" w:sz="4" w:space="0" w:color="auto"/>
            </w:tcBorders>
            <w:tcMar>
              <w:top w:w="113" w:type="dxa"/>
              <w:bottom w:w="113" w:type="dxa"/>
            </w:tcMar>
            <w:vAlign w:val="center"/>
          </w:tcPr>
          <w:p w14:paraId="77716E8E" w14:textId="38FC43EE" w:rsidR="00A47860" w:rsidRPr="00FD257E" w:rsidRDefault="00A47860" w:rsidP="00FD257E">
            <w:pPr>
              <w:jc w:val="both"/>
              <w:rPr>
                <w:noProof/>
                <w:sz w:val="22"/>
                <w:szCs w:val="22"/>
                <w:lang w:val="en-IE"/>
              </w:rPr>
            </w:pPr>
            <w:r w:rsidRPr="00FD257E">
              <w:rPr>
                <w:noProof/>
                <w:sz w:val="22"/>
                <w:szCs w:val="22"/>
                <w:lang w:val="en-IE"/>
              </w:rPr>
              <w:t>Kick-off Meeting</w:t>
            </w:r>
          </w:p>
        </w:tc>
      </w:tr>
      <w:tr w:rsidR="00A47860" w:rsidRPr="00147D71" w14:paraId="6F5BF597"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218FCF8C" w14:textId="35E98D74" w:rsidR="00A47860" w:rsidRPr="00FD257E" w:rsidRDefault="00A47860" w:rsidP="00FD257E">
            <w:pPr>
              <w:jc w:val="both"/>
              <w:rPr>
                <w:noProof/>
                <w:sz w:val="22"/>
                <w:szCs w:val="22"/>
                <w:lang w:val="en-IE"/>
              </w:rPr>
            </w:pPr>
            <w:r w:rsidRPr="00FD257E">
              <w:rPr>
                <w:noProof/>
                <w:sz w:val="22"/>
                <w:szCs w:val="22"/>
              </w:rPr>
              <w:t xml:space="preserve">LFS </w:t>
            </w:r>
          </w:p>
        </w:tc>
        <w:tc>
          <w:tcPr>
            <w:tcW w:w="5455" w:type="dxa"/>
            <w:tcBorders>
              <w:top w:val="double" w:sz="4" w:space="0" w:color="auto"/>
              <w:bottom w:val="double" w:sz="4" w:space="0" w:color="auto"/>
            </w:tcBorders>
            <w:tcMar>
              <w:top w:w="113" w:type="dxa"/>
              <w:bottom w:w="113" w:type="dxa"/>
            </w:tcMar>
            <w:vAlign w:val="center"/>
          </w:tcPr>
          <w:p w14:paraId="2519F1BF" w14:textId="595F3512" w:rsidR="00A47860" w:rsidRPr="00FD257E" w:rsidRDefault="16ED7DF2" w:rsidP="00FD257E">
            <w:pPr>
              <w:jc w:val="both"/>
              <w:rPr>
                <w:noProof/>
                <w:sz w:val="22"/>
                <w:szCs w:val="22"/>
                <w:lang w:val="en-IE"/>
              </w:rPr>
            </w:pPr>
            <w:r w:rsidRPr="00FD257E">
              <w:rPr>
                <w:noProof/>
                <w:sz w:val="22"/>
                <w:szCs w:val="22"/>
              </w:rPr>
              <w:t>Leg</w:t>
            </w:r>
            <w:r w:rsidR="7E9EB985" w:rsidRPr="00FD257E">
              <w:rPr>
                <w:noProof/>
                <w:sz w:val="22"/>
                <w:szCs w:val="22"/>
              </w:rPr>
              <w:t xml:space="preserve">islative </w:t>
            </w:r>
            <w:r w:rsidRPr="00FD257E">
              <w:rPr>
                <w:noProof/>
                <w:sz w:val="22"/>
                <w:szCs w:val="22"/>
              </w:rPr>
              <w:t>Financial Statement</w:t>
            </w:r>
          </w:p>
        </w:tc>
      </w:tr>
      <w:tr w:rsidR="00A47860" w:rsidRPr="00147D71" w14:paraId="31D0A13C"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36DE4B79" w14:textId="55901197" w:rsidR="00A47860" w:rsidRPr="00FD257E" w:rsidRDefault="00A47860" w:rsidP="00FD257E">
            <w:pPr>
              <w:jc w:val="both"/>
              <w:rPr>
                <w:noProof/>
                <w:sz w:val="22"/>
                <w:szCs w:val="22"/>
              </w:rPr>
            </w:pPr>
            <w:r w:rsidRPr="00FD257E">
              <w:rPr>
                <w:noProof/>
                <w:sz w:val="22"/>
                <w:szCs w:val="22"/>
              </w:rPr>
              <w:t xml:space="preserve">LLM </w:t>
            </w:r>
          </w:p>
        </w:tc>
        <w:tc>
          <w:tcPr>
            <w:tcW w:w="5455" w:type="dxa"/>
            <w:tcBorders>
              <w:top w:val="double" w:sz="4" w:space="0" w:color="auto"/>
              <w:bottom w:val="double" w:sz="4" w:space="0" w:color="auto"/>
            </w:tcBorders>
            <w:tcMar>
              <w:top w:w="113" w:type="dxa"/>
              <w:bottom w:w="113" w:type="dxa"/>
            </w:tcMar>
            <w:vAlign w:val="center"/>
          </w:tcPr>
          <w:p w14:paraId="090221A0" w14:textId="73227D74" w:rsidR="00A47860" w:rsidRPr="00FD257E" w:rsidRDefault="00A47860" w:rsidP="00FD257E">
            <w:pPr>
              <w:jc w:val="both"/>
              <w:rPr>
                <w:noProof/>
                <w:sz w:val="22"/>
                <w:szCs w:val="22"/>
              </w:rPr>
            </w:pPr>
            <w:r w:rsidRPr="00FD257E">
              <w:rPr>
                <w:noProof/>
                <w:sz w:val="22"/>
                <w:szCs w:val="22"/>
              </w:rPr>
              <w:t>Legal Language Model</w:t>
            </w:r>
          </w:p>
        </w:tc>
      </w:tr>
      <w:tr w:rsidR="00A47860" w:rsidRPr="00147D71" w14:paraId="285892EE"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6D933223" w14:textId="690981C9" w:rsidR="00A47860" w:rsidRPr="00FD257E" w:rsidRDefault="00A47860" w:rsidP="00FD257E">
            <w:pPr>
              <w:jc w:val="both"/>
              <w:rPr>
                <w:noProof/>
                <w:sz w:val="22"/>
                <w:szCs w:val="22"/>
              </w:rPr>
            </w:pPr>
            <w:r w:rsidRPr="00FD257E">
              <w:rPr>
                <w:noProof/>
                <w:sz w:val="22"/>
                <w:szCs w:val="22"/>
                <w:lang w:val="en-IE"/>
              </w:rPr>
              <w:t xml:space="preserve">MB </w:t>
            </w:r>
          </w:p>
        </w:tc>
        <w:tc>
          <w:tcPr>
            <w:tcW w:w="5455" w:type="dxa"/>
            <w:tcBorders>
              <w:top w:val="double" w:sz="4" w:space="0" w:color="auto"/>
              <w:bottom w:val="double" w:sz="4" w:space="0" w:color="auto"/>
            </w:tcBorders>
            <w:tcMar>
              <w:top w:w="113" w:type="dxa"/>
              <w:bottom w:w="113" w:type="dxa"/>
            </w:tcMar>
            <w:vAlign w:val="center"/>
          </w:tcPr>
          <w:p w14:paraId="42F767DE" w14:textId="2CC4E73E" w:rsidR="00A47860" w:rsidRPr="00FD257E" w:rsidRDefault="00A47860" w:rsidP="00FD257E">
            <w:pPr>
              <w:jc w:val="both"/>
              <w:rPr>
                <w:noProof/>
                <w:sz w:val="22"/>
                <w:szCs w:val="22"/>
              </w:rPr>
            </w:pPr>
            <w:r w:rsidRPr="00FD257E">
              <w:rPr>
                <w:noProof/>
                <w:sz w:val="22"/>
                <w:szCs w:val="22"/>
                <w:lang w:val="en-IE"/>
              </w:rPr>
              <w:t>Management Board</w:t>
            </w:r>
          </w:p>
        </w:tc>
      </w:tr>
      <w:tr w:rsidR="00A47860" w:rsidRPr="00147D71" w14:paraId="30D823F9"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0E95F7F1" w14:textId="6EE8CE90" w:rsidR="00A47860" w:rsidRPr="00FD257E" w:rsidRDefault="00A47860" w:rsidP="00FD257E">
            <w:pPr>
              <w:jc w:val="both"/>
              <w:rPr>
                <w:noProof/>
                <w:sz w:val="22"/>
                <w:szCs w:val="22"/>
                <w:lang w:val="en-IE"/>
              </w:rPr>
            </w:pPr>
            <w:r w:rsidRPr="00FD257E">
              <w:rPr>
                <w:noProof/>
                <w:sz w:val="22"/>
                <w:szCs w:val="22"/>
              </w:rPr>
              <w:t xml:space="preserve">MID </w:t>
            </w:r>
          </w:p>
        </w:tc>
        <w:tc>
          <w:tcPr>
            <w:tcW w:w="5455" w:type="dxa"/>
            <w:tcBorders>
              <w:top w:val="double" w:sz="4" w:space="0" w:color="auto"/>
              <w:bottom w:val="double" w:sz="4" w:space="0" w:color="auto"/>
            </w:tcBorders>
            <w:tcMar>
              <w:top w:w="113" w:type="dxa"/>
              <w:bottom w:w="113" w:type="dxa"/>
            </w:tcMar>
            <w:vAlign w:val="center"/>
          </w:tcPr>
          <w:p w14:paraId="2A5598EA" w14:textId="7449529C" w:rsidR="00A47860" w:rsidRPr="00FD257E" w:rsidRDefault="00A47860" w:rsidP="00FD257E">
            <w:pPr>
              <w:jc w:val="both"/>
              <w:rPr>
                <w:noProof/>
                <w:sz w:val="22"/>
                <w:szCs w:val="22"/>
                <w:lang w:val="en-IE"/>
              </w:rPr>
            </w:pPr>
            <w:r w:rsidRPr="00FD257E">
              <w:rPr>
                <w:noProof/>
                <w:sz w:val="22"/>
                <w:szCs w:val="22"/>
              </w:rPr>
              <w:t>Multiple-Identity Detector</w:t>
            </w:r>
          </w:p>
        </w:tc>
      </w:tr>
      <w:tr w:rsidR="00A47860" w:rsidRPr="00147D71" w14:paraId="25293200"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558A5F5E" w14:textId="386FE904" w:rsidR="00A47860" w:rsidRPr="00FD257E" w:rsidRDefault="00A47860" w:rsidP="00FD257E">
            <w:pPr>
              <w:jc w:val="both"/>
              <w:rPr>
                <w:noProof/>
                <w:sz w:val="22"/>
                <w:szCs w:val="22"/>
              </w:rPr>
            </w:pPr>
            <w:r w:rsidRPr="00FD257E">
              <w:rPr>
                <w:noProof/>
                <w:sz w:val="22"/>
                <w:szCs w:val="22"/>
                <w:lang w:val="en-IE"/>
              </w:rPr>
              <w:t xml:space="preserve">MS </w:t>
            </w:r>
          </w:p>
        </w:tc>
        <w:tc>
          <w:tcPr>
            <w:tcW w:w="5455" w:type="dxa"/>
            <w:tcBorders>
              <w:top w:val="double" w:sz="4" w:space="0" w:color="auto"/>
              <w:bottom w:val="double" w:sz="4" w:space="0" w:color="auto"/>
            </w:tcBorders>
            <w:tcMar>
              <w:top w:w="113" w:type="dxa"/>
              <w:bottom w:w="113" w:type="dxa"/>
            </w:tcMar>
            <w:vAlign w:val="center"/>
          </w:tcPr>
          <w:p w14:paraId="38796BCC" w14:textId="384B0F14" w:rsidR="00A47860" w:rsidRPr="00FD257E" w:rsidRDefault="00A47860" w:rsidP="00FD257E">
            <w:pPr>
              <w:jc w:val="both"/>
              <w:rPr>
                <w:noProof/>
                <w:sz w:val="22"/>
                <w:szCs w:val="22"/>
              </w:rPr>
            </w:pPr>
            <w:r w:rsidRPr="00FD257E">
              <w:rPr>
                <w:noProof/>
                <w:sz w:val="22"/>
                <w:szCs w:val="22"/>
                <w:lang w:val="en-IE"/>
              </w:rPr>
              <w:t>Member States</w:t>
            </w:r>
          </w:p>
        </w:tc>
      </w:tr>
      <w:tr w:rsidR="00A47860" w:rsidRPr="00147D71" w14:paraId="659060F2"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0EC5C421" w14:textId="6EE40492" w:rsidR="00A47860" w:rsidRPr="00FD257E" w:rsidRDefault="00A47860" w:rsidP="00FD257E">
            <w:pPr>
              <w:jc w:val="both"/>
              <w:rPr>
                <w:noProof/>
                <w:sz w:val="22"/>
                <w:szCs w:val="22"/>
                <w:lang w:val="en-IE"/>
              </w:rPr>
            </w:pPr>
            <w:r w:rsidRPr="00FD257E">
              <w:rPr>
                <w:noProof/>
                <w:sz w:val="22"/>
                <w:szCs w:val="22"/>
              </w:rPr>
              <w:t xml:space="preserve">MVP </w:t>
            </w:r>
          </w:p>
        </w:tc>
        <w:tc>
          <w:tcPr>
            <w:tcW w:w="5455" w:type="dxa"/>
            <w:tcBorders>
              <w:top w:val="double" w:sz="4" w:space="0" w:color="auto"/>
              <w:bottom w:val="double" w:sz="4" w:space="0" w:color="auto"/>
            </w:tcBorders>
            <w:tcMar>
              <w:top w:w="113" w:type="dxa"/>
              <w:bottom w:w="113" w:type="dxa"/>
            </w:tcMar>
            <w:vAlign w:val="center"/>
          </w:tcPr>
          <w:p w14:paraId="5401D68A" w14:textId="3C903B04" w:rsidR="00A47860" w:rsidRPr="00FD257E" w:rsidRDefault="00A47860" w:rsidP="00FD257E">
            <w:pPr>
              <w:jc w:val="both"/>
              <w:rPr>
                <w:noProof/>
                <w:sz w:val="22"/>
                <w:szCs w:val="22"/>
                <w:lang w:val="en-IE"/>
              </w:rPr>
            </w:pPr>
            <w:r w:rsidRPr="00FD257E">
              <w:rPr>
                <w:noProof/>
                <w:sz w:val="22"/>
                <w:szCs w:val="22"/>
                <w:lang w:eastAsia="nl-BE"/>
              </w:rPr>
              <w:t>Minimum Viable Product</w:t>
            </w:r>
          </w:p>
        </w:tc>
      </w:tr>
      <w:tr w:rsidR="00A47860" w:rsidRPr="00147D71" w14:paraId="268CA564"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5DA218BB" w14:textId="7CB1B209" w:rsidR="00A47860" w:rsidRPr="00FD257E" w:rsidRDefault="00A47860" w:rsidP="00FD257E">
            <w:pPr>
              <w:jc w:val="both"/>
              <w:rPr>
                <w:noProof/>
                <w:sz w:val="22"/>
                <w:szCs w:val="22"/>
              </w:rPr>
            </w:pPr>
            <w:r w:rsidRPr="00FD257E">
              <w:rPr>
                <w:noProof/>
                <w:sz w:val="22"/>
                <w:szCs w:val="22"/>
                <w:lang w:val="en-IE"/>
              </w:rPr>
              <w:t xml:space="preserve">NCA </w:t>
            </w:r>
          </w:p>
        </w:tc>
        <w:tc>
          <w:tcPr>
            <w:tcW w:w="5455" w:type="dxa"/>
            <w:tcBorders>
              <w:top w:val="double" w:sz="4" w:space="0" w:color="auto"/>
              <w:bottom w:val="double" w:sz="4" w:space="0" w:color="auto"/>
            </w:tcBorders>
            <w:tcMar>
              <w:top w:w="113" w:type="dxa"/>
              <w:bottom w:w="113" w:type="dxa"/>
            </w:tcMar>
            <w:vAlign w:val="center"/>
          </w:tcPr>
          <w:p w14:paraId="2E9BB572" w14:textId="4807F2C3" w:rsidR="00A47860" w:rsidRPr="00FD257E" w:rsidRDefault="00A47860" w:rsidP="00FD257E">
            <w:pPr>
              <w:jc w:val="both"/>
              <w:rPr>
                <w:noProof/>
                <w:sz w:val="22"/>
                <w:szCs w:val="22"/>
                <w:lang w:eastAsia="nl-BE"/>
              </w:rPr>
            </w:pPr>
            <w:r w:rsidRPr="00FD257E">
              <w:rPr>
                <w:noProof/>
                <w:sz w:val="22"/>
                <w:szCs w:val="22"/>
                <w:lang w:val="en-IE"/>
              </w:rPr>
              <w:t>National Competent Authorities</w:t>
            </w:r>
          </w:p>
        </w:tc>
      </w:tr>
      <w:tr w:rsidR="00A47860" w:rsidRPr="00147D71" w14:paraId="500A93AB"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2A4CF7E6" w14:textId="40CFED06" w:rsidR="00A47860" w:rsidRPr="00FD257E" w:rsidRDefault="00A47860" w:rsidP="00FD257E">
            <w:pPr>
              <w:jc w:val="both"/>
              <w:rPr>
                <w:noProof/>
                <w:sz w:val="22"/>
                <w:szCs w:val="22"/>
                <w:lang w:val="en-IE"/>
              </w:rPr>
            </w:pPr>
            <w:r w:rsidRPr="00FD257E">
              <w:rPr>
                <w:noProof/>
                <w:sz w:val="22"/>
                <w:szCs w:val="22"/>
                <w:lang w:val="en-IE"/>
              </w:rPr>
              <w:t xml:space="preserve">PMB </w:t>
            </w:r>
          </w:p>
        </w:tc>
        <w:tc>
          <w:tcPr>
            <w:tcW w:w="5455" w:type="dxa"/>
            <w:tcBorders>
              <w:top w:val="double" w:sz="4" w:space="0" w:color="auto"/>
              <w:bottom w:val="double" w:sz="4" w:space="0" w:color="auto"/>
            </w:tcBorders>
            <w:tcMar>
              <w:top w:w="113" w:type="dxa"/>
              <w:bottom w:w="113" w:type="dxa"/>
            </w:tcMar>
            <w:vAlign w:val="center"/>
          </w:tcPr>
          <w:p w14:paraId="65CEF7F0" w14:textId="03C4DA39" w:rsidR="00A47860" w:rsidRPr="00FD257E" w:rsidRDefault="00A47860" w:rsidP="00FD257E">
            <w:pPr>
              <w:jc w:val="both"/>
              <w:rPr>
                <w:noProof/>
                <w:sz w:val="22"/>
                <w:szCs w:val="22"/>
                <w:lang w:val="en-IE"/>
              </w:rPr>
            </w:pPr>
            <w:r w:rsidRPr="00FD257E">
              <w:rPr>
                <w:noProof/>
                <w:sz w:val="22"/>
                <w:szCs w:val="22"/>
                <w:lang w:val="en-IE"/>
              </w:rPr>
              <w:t>Programme Management Board</w:t>
            </w:r>
          </w:p>
        </w:tc>
      </w:tr>
      <w:tr w:rsidR="00F05085" w:rsidRPr="00147D71" w14:paraId="72B5D640"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1F3CF49E" w14:textId="434A92A9" w:rsidR="00F05085" w:rsidRPr="00FD257E" w:rsidRDefault="00F05085" w:rsidP="00FD257E">
            <w:pPr>
              <w:jc w:val="both"/>
              <w:rPr>
                <w:noProof/>
                <w:lang w:val="en-IE"/>
              </w:rPr>
            </w:pPr>
            <w:r>
              <w:rPr>
                <w:noProof/>
                <w:lang w:val="en-IE"/>
              </w:rPr>
              <w:t>PNR</w:t>
            </w:r>
          </w:p>
        </w:tc>
        <w:tc>
          <w:tcPr>
            <w:tcW w:w="5455" w:type="dxa"/>
            <w:tcBorders>
              <w:top w:val="double" w:sz="4" w:space="0" w:color="auto"/>
              <w:bottom w:val="double" w:sz="4" w:space="0" w:color="auto"/>
            </w:tcBorders>
            <w:tcMar>
              <w:top w:w="113" w:type="dxa"/>
              <w:bottom w:w="113" w:type="dxa"/>
            </w:tcMar>
            <w:vAlign w:val="center"/>
          </w:tcPr>
          <w:p w14:paraId="008112AB" w14:textId="48B702CF" w:rsidR="00F05085" w:rsidRPr="00FD257E" w:rsidRDefault="00F05085" w:rsidP="00FD257E">
            <w:pPr>
              <w:jc w:val="both"/>
              <w:rPr>
                <w:noProof/>
                <w:lang w:val="en-IE"/>
              </w:rPr>
            </w:pPr>
            <w:r>
              <w:rPr>
                <w:noProof/>
                <w:lang w:val="en-IE"/>
              </w:rPr>
              <w:t>Passenger Name Record</w:t>
            </w:r>
          </w:p>
        </w:tc>
      </w:tr>
      <w:tr w:rsidR="00A47860" w:rsidRPr="00147D71" w14:paraId="36C2B924"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027563F2" w14:textId="67456348" w:rsidR="00A47860" w:rsidRPr="00FD257E" w:rsidRDefault="00A47860" w:rsidP="00FD257E">
            <w:pPr>
              <w:jc w:val="both"/>
              <w:rPr>
                <w:noProof/>
                <w:sz w:val="22"/>
                <w:szCs w:val="22"/>
                <w:lang w:val="en-IE"/>
              </w:rPr>
            </w:pPr>
            <w:r w:rsidRPr="00FD257E">
              <w:rPr>
                <w:noProof/>
                <w:sz w:val="22"/>
                <w:szCs w:val="22"/>
                <w:lang w:val="en-IE"/>
              </w:rPr>
              <w:t xml:space="preserve">SAC </w:t>
            </w:r>
          </w:p>
        </w:tc>
        <w:tc>
          <w:tcPr>
            <w:tcW w:w="5455" w:type="dxa"/>
            <w:tcBorders>
              <w:top w:val="double" w:sz="4" w:space="0" w:color="auto"/>
              <w:bottom w:val="double" w:sz="4" w:space="0" w:color="auto"/>
            </w:tcBorders>
            <w:tcMar>
              <w:top w:w="113" w:type="dxa"/>
              <w:bottom w:w="113" w:type="dxa"/>
            </w:tcMar>
            <w:vAlign w:val="center"/>
          </w:tcPr>
          <w:p w14:paraId="6C87F4AE" w14:textId="6BFEACC0" w:rsidR="00A47860" w:rsidRPr="00FD257E" w:rsidRDefault="00A47860" w:rsidP="00FD257E">
            <w:pPr>
              <w:jc w:val="both"/>
              <w:rPr>
                <w:noProof/>
                <w:sz w:val="22"/>
                <w:szCs w:val="22"/>
                <w:lang w:val="en-IE"/>
              </w:rPr>
            </w:pPr>
            <w:r w:rsidRPr="00FD257E">
              <w:rPr>
                <w:noProof/>
                <w:sz w:val="22"/>
                <w:szCs w:val="22"/>
                <w:lang w:val="en-IE"/>
              </w:rPr>
              <w:t>Schengen Associated Countries</w:t>
            </w:r>
          </w:p>
        </w:tc>
      </w:tr>
      <w:tr w:rsidR="00A47860" w:rsidRPr="00147D71" w14:paraId="742EF81B"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1D139A82" w14:textId="48F1171F" w:rsidR="00A47860" w:rsidRPr="00FD257E" w:rsidRDefault="00A47860" w:rsidP="00FD257E">
            <w:pPr>
              <w:jc w:val="both"/>
              <w:rPr>
                <w:noProof/>
                <w:sz w:val="22"/>
                <w:szCs w:val="22"/>
                <w:lang w:val="en-IE"/>
              </w:rPr>
            </w:pPr>
            <w:r w:rsidRPr="00FD257E">
              <w:rPr>
                <w:noProof/>
                <w:sz w:val="22"/>
                <w:szCs w:val="22"/>
              </w:rPr>
              <w:t xml:space="preserve">sBMS </w:t>
            </w:r>
          </w:p>
        </w:tc>
        <w:tc>
          <w:tcPr>
            <w:tcW w:w="5455" w:type="dxa"/>
            <w:tcBorders>
              <w:top w:val="double" w:sz="4" w:space="0" w:color="auto"/>
              <w:bottom w:val="double" w:sz="4" w:space="0" w:color="auto"/>
            </w:tcBorders>
            <w:tcMar>
              <w:top w:w="113" w:type="dxa"/>
              <w:bottom w:w="113" w:type="dxa"/>
            </w:tcMar>
            <w:vAlign w:val="center"/>
          </w:tcPr>
          <w:p w14:paraId="141B3E3A" w14:textId="6410EF14" w:rsidR="00A47860" w:rsidRPr="00FD257E" w:rsidRDefault="00A47860" w:rsidP="00FD257E">
            <w:pPr>
              <w:jc w:val="both"/>
              <w:rPr>
                <w:noProof/>
                <w:sz w:val="22"/>
                <w:szCs w:val="22"/>
                <w:lang w:val="en-IE"/>
              </w:rPr>
            </w:pPr>
            <w:r w:rsidRPr="00FD257E">
              <w:rPr>
                <w:noProof/>
                <w:sz w:val="22"/>
                <w:szCs w:val="22"/>
              </w:rPr>
              <w:t>shared Biometric Matching System</w:t>
            </w:r>
          </w:p>
        </w:tc>
      </w:tr>
      <w:tr w:rsidR="00A47860" w:rsidRPr="00147D71" w14:paraId="56EC8EC5"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0BCB86F6" w14:textId="4C2DF03C" w:rsidR="00A47860" w:rsidRPr="00FD257E" w:rsidRDefault="00A47860" w:rsidP="00FD257E">
            <w:pPr>
              <w:jc w:val="both"/>
              <w:rPr>
                <w:noProof/>
                <w:sz w:val="22"/>
                <w:szCs w:val="22"/>
              </w:rPr>
            </w:pPr>
            <w:r w:rsidRPr="00FD257E">
              <w:rPr>
                <w:noProof/>
                <w:sz w:val="22"/>
                <w:szCs w:val="22"/>
              </w:rPr>
              <w:t xml:space="preserve">SDLC </w:t>
            </w:r>
          </w:p>
        </w:tc>
        <w:tc>
          <w:tcPr>
            <w:tcW w:w="5455" w:type="dxa"/>
            <w:tcBorders>
              <w:top w:val="double" w:sz="4" w:space="0" w:color="auto"/>
              <w:bottom w:val="double" w:sz="4" w:space="0" w:color="auto"/>
            </w:tcBorders>
            <w:tcMar>
              <w:top w:w="113" w:type="dxa"/>
              <w:bottom w:w="113" w:type="dxa"/>
            </w:tcMar>
            <w:vAlign w:val="center"/>
          </w:tcPr>
          <w:p w14:paraId="1A05431E" w14:textId="19661161" w:rsidR="00A47860" w:rsidRPr="00FD257E" w:rsidRDefault="00A47860" w:rsidP="00FD257E">
            <w:pPr>
              <w:jc w:val="both"/>
              <w:rPr>
                <w:noProof/>
                <w:sz w:val="22"/>
                <w:szCs w:val="22"/>
              </w:rPr>
            </w:pPr>
            <w:r w:rsidRPr="00FD257E">
              <w:rPr>
                <w:noProof/>
                <w:sz w:val="22"/>
                <w:szCs w:val="22"/>
              </w:rPr>
              <w:t>Software Development Life Cycle</w:t>
            </w:r>
          </w:p>
        </w:tc>
      </w:tr>
      <w:tr w:rsidR="00A47860" w:rsidRPr="00B6325F" w14:paraId="146DFE82"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273C7438" w14:textId="5AC98556" w:rsidR="00A47860" w:rsidRPr="00FD257E" w:rsidRDefault="00A47860" w:rsidP="00FD257E">
            <w:pPr>
              <w:jc w:val="both"/>
              <w:rPr>
                <w:noProof/>
                <w:sz w:val="22"/>
                <w:szCs w:val="22"/>
              </w:rPr>
            </w:pPr>
            <w:r w:rsidRPr="00FD257E">
              <w:rPr>
                <w:noProof/>
                <w:sz w:val="22"/>
                <w:szCs w:val="22"/>
              </w:rPr>
              <w:t xml:space="preserve">SIEM </w:t>
            </w:r>
          </w:p>
        </w:tc>
        <w:tc>
          <w:tcPr>
            <w:tcW w:w="5455" w:type="dxa"/>
            <w:tcBorders>
              <w:top w:val="double" w:sz="4" w:space="0" w:color="auto"/>
              <w:bottom w:val="double" w:sz="4" w:space="0" w:color="auto"/>
            </w:tcBorders>
            <w:tcMar>
              <w:top w:w="113" w:type="dxa"/>
              <w:bottom w:w="113" w:type="dxa"/>
            </w:tcMar>
            <w:vAlign w:val="center"/>
          </w:tcPr>
          <w:p w14:paraId="55435DB0" w14:textId="000D125B" w:rsidR="00A47860" w:rsidRPr="00FD257E" w:rsidRDefault="00A47860" w:rsidP="00FD257E">
            <w:pPr>
              <w:jc w:val="both"/>
              <w:rPr>
                <w:noProof/>
                <w:sz w:val="22"/>
                <w:szCs w:val="22"/>
              </w:rPr>
            </w:pPr>
            <w:r w:rsidRPr="00FD257E">
              <w:rPr>
                <w:noProof/>
                <w:sz w:val="22"/>
                <w:szCs w:val="22"/>
              </w:rPr>
              <w:t>Security Information and Event Management System</w:t>
            </w:r>
          </w:p>
        </w:tc>
      </w:tr>
      <w:tr w:rsidR="00A47860" w:rsidRPr="00147D71" w14:paraId="077A3A77"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5CBBD339" w14:textId="7721935C" w:rsidR="00A47860" w:rsidRPr="00FD257E" w:rsidRDefault="00A47860" w:rsidP="00FD257E">
            <w:pPr>
              <w:jc w:val="both"/>
              <w:rPr>
                <w:noProof/>
                <w:sz w:val="22"/>
                <w:szCs w:val="22"/>
              </w:rPr>
            </w:pPr>
            <w:r w:rsidRPr="00FD257E">
              <w:rPr>
                <w:noProof/>
                <w:sz w:val="22"/>
                <w:szCs w:val="22"/>
                <w:lang w:val="en-IE"/>
              </w:rPr>
              <w:t xml:space="preserve">SIS </w:t>
            </w:r>
          </w:p>
        </w:tc>
        <w:tc>
          <w:tcPr>
            <w:tcW w:w="5455" w:type="dxa"/>
            <w:tcBorders>
              <w:top w:val="double" w:sz="4" w:space="0" w:color="auto"/>
              <w:bottom w:val="double" w:sz="4" w:space="0" w:color="auto"/>
            </w:tcBorders>
            <w:tcMar>
              <w:top w:w="113" w:type="dxa"/>
              <w:bottom w:w="113" w:type="dxa"/>
            </w:tcMar>
            <w:vAlign w:val="center"/>
          </w:tcPr>
          <w:p w14:paraId="2CA31570" w14:textId="5E1F3019" w:rsidR="00A47860" w:rsidRPr="00FD257E" w:rsidRDefault="00A47860" w:rsidP="00FD257E">
            <w:pPr>
              <w:jc w:val="both"/>
              <w:rPr>
                <w:noProof/>
                <w:sz w:val="22"/>
                <w:szCs w:val="22"/>
              </w:rPr>
            </w:pPr>
            <w:r w:rsidRPr="00FD257E">
              <w:rPr>
                <w:noProof/>
                <w:sz w:val="22"/>
                <w:szCs w:val="22"/>
                <w:lang w:val="en-IE"/>
              </w:rPr>
              <w:t>Schengen Information System</w:t>
            </w:r>
          </w:p>
        </w:tc>
      </w:tr>
      <w:tr w:rsidR="00A47860" w:rsidRPr="00147D71" w14:paraId="76727890"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078FFD76" w14:textId="20882732" w:rsidR="00A47860" w:rsidRPr="00FD257E" w:rsidRDefault="00A47860" w:rsidP="00FD257E">
            <w:pPr>
              <w:jc w:val="both"/>
              <w:rPr>
                <w:noProof/>
                <w:sz w:val="22"/>
                <w:szCs w:val="22"/>
                <w:lang w:val="en-IE"/>
              </w:rPr>
            </w:pPr>
            <w:r w:rsidRPr="00FD257E">
              <w:rPr>
                <w:noProof/>
                <w:sz w:val="22"/>
                <w:szCs w:val="22"/>
                <w:lang w:val="en-IE"/>
              </w:rPr>
              <w:t xml:space="preserve">SLA </w:t>
            </w:r>
          </w:p>
        </w:tc>
        <w:tc>
          <w:tcPr>
            <w:tcW w:w="5455" w:type="dxa"/>
            <w:tcBorders>
              <w:top w:val="double" w:sz="4" w:space="0" w:color="auto"/>
              <w:bottom w:val="double" w:sz="4" w:space="0" w:color="auto"/>
            </w:tcBorders>
            <w:tcMar>
              <w:top w:w="113" w:type="dxa"/>
              <w:bottom w:w="113" w:type="dxa"/>
            </w:tcMar>
            <w:vAlign w:val="center"/>
          </w:tcPr>
          <w:p w14:paraId="39FB3D7B" w14:textId="22547ECF" w:rsidR="00A47860" w:rsidRPr="00FD257E" w:rsidRDefault="00A47860" w:rsidP="00FD257E">
            <w:pPr>
              <w:jc w:val="both"/>
              <w:rPr>
                <w:noProof/>
                <w:sz w:val="22"/>
                <w:szCs w:val="22"/>
                <w:lang w:val="en-IE"/>
              </w:rPr>
            </w:pPr>
            <w:r w:rsidRPr="00FD257E">
              <w:rPr>
                <w:noProof/>
                <w:sz w:val="22"/>
                <w:szCs w:val="22"/>
                <w:lang w:val="en-IE"/>
              </w:rPr>
              <w:t>Service Level Agreements</w:t>
            </w:r>
          </w:p>
        </w:tc>
      </w:tr>
      <w:tr w:rsidR="00A47860" w:rsidRPr="00147D71" w14:paraId="2B1D562C"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554E0744" w14:textId="1F7F9AB2" w:rsidR="00A47860" w:rsidRPr="00FD257E" w:rsidRDefault="00A47860" w:rsidP="00FD257E">
            <w:pPr>
              <w:jc w:val="both"/>
              <w:rPr>
                <w:noProof/>
                <w:sz w:val="22"/>
                <w:szCs w:val="22"/>
                <w:lang w:val="en-IE"/>
              </w:rPr>
            </w:pPr>
            <w:r w:rsidRPr="00FD257E">
              <w:rPr>
                <w:noProof/>
                <w:sz w:val="22"/>
                <w:szCs w:val="22"/>
              </w:rPr>
              <w:t xml:space="preserve">TDD </w:t>
            </w:r>
          </w:p>
        </w:tc>
        <w:tc>
          <w:tcPr>
            <w:tcW w:w="5455" w:type="dxa"/>
            <w:tcBorders>
              <w:top w:val="double" w:sz="4" w:space="0" w:color="auto"/>
              <w:bottom w:val="double" w:sz="4" w:space="0" w:color="auto"/>
            </w:tcBorders>
            <w:tcMar>
              <w:top w:w="113" w:type="dxa"/>
              <w:bottom w:w="113" w:type="dxa"/>
            </w:tcMar>
            <w:vAlign w:val="center"/>
          </w:tcPr>
          <w:p w14:paraId="2D798CDA" w14:textId="7D5E67CA" w:rsidR="00A47860" w:rsidRPr="00FD257E" w:rsidRDefault="00A47860" w:rsidP="00FD257E">
            <w:pPr>
              <w:jc w:val="both"/>
              <w:rPr>
                <w:noProof/>
                <w:sz w:val="22"/>
                <w:szCs w:val="22"/>
                <w:lang w:val="en-IE"/>
              </w:rPr>
            </w:pPr>
            <w:r w:rsidRPr="00FD257E">
              <w:rPr>
                <w:noProof/>
                <w:sz w:val="22"/>
                <w:szCs w:val="22"/>
                <w:lang w:eastAsia="nl-BE"/>
              </w:rPr>
              <w:t>Test-Driven Development</w:t>
            </w:r>
          </w:p>
        </w:tc>
      </w:tr>
      <w:tr w:rsidR="00A47860" w:rsidRPr="00147D71" w14:paraId="6936487F"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160660C7" w14:textId="628811C4" w:rsidR="00A47860" w:rsidRPr="00FD257E" w:rsidRDefault="00A47860" w:rsidP="00FD257E">
            <w:pPr>
              <w:jc w:val="both"/>
              <w:rPr>
                <w:noProof/>
                <w:sz w:val="22"/>
                <w:szCs w:val="22"/>
              </w:rPr>
            </w:pPr>
            <w:r w:rsidRPr="00FD257E">
              <w:rPr>
                <w:noProof/>
                <w:sz w:val="22"/>
                <w:szCs w:val="22"/>
              </w:rPr>
              <w:t xml:space="preserve">TEF </w:t>
            </w:r>
          </w:p>
        </w:tc>
        <w:tc>
          <w:tcPr>
            <w:tcW w:w="5455" w:type="dxa"/>
            <w:tcBorders>
              <w:top w:val="double" w:sz="4" w:space="0" w:color="auto"/>
              <w:bottom w:val="double" w:sz="4" w:space="0" w:color="auto"/>
            </w:tcBorders>
            <w:tcMar>
              <w:top w:w="113" w:type="dxa"/>
              <w:bottom w:w="113" w:type="dxa"/>
            </w:tcMar>
            <w:vAlign w:val="center"/>
          </w:tcPr>
          <w:p w14:paraId="0DBB659F" w14:textId="191E800C" w:rsidR="00A47860" w:rsidRPr="00FD257E" w:rsidRDefault="00A47860" w:rsidP="00FD257E">
            <w:pPr>
              <w:jc w:val="both"/>
              <w:rPr>
                <w:noProof/>
                <w:sz w:val="22"/>
                <w:szCs w:val="22"/>
                <w:lang w:eastAsia="nl-BE"/>
              </w:rPr>
            </w:pPr>
            <w:r w:rsidRPr="00FD257E">
              <w:rPr>
                <w:noProof/>
                <w:sz w:val="22"/>
                <w:szCs w:val="22"/>
              </w:rPr>
              <w:t>Transversal Engineering Framework</w:t>
            </w:r>
          </w:p>
        </w:tc>
      </w:tr>
      <w:tr w:rsidR="00A47860" w:rsidRPr="00147D71" w14:paraId="3A8731B9"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2AFF882D" w14:textId="6F8B64EA" w:rsidR="00A47860" w:rsidRPr="00FD257E" w:rsidRDefault="00A47860" w:rsidP="00FD257E">
            <w:pPr>
              <w:jc w:val="both"/>
              <w:rPr>
                <w:noProof/>
                <w:sz w:val="22"/>
                <w:szCs w:val="22"/>
              </w:rPr>
            </w:pPr>
            <w:r w:rsidRPr="00FD257E">
              <w:rPr>
                <w:noProof/>
                <w:sz w:val="22"/>
                <w:szCs w:val="22"/>
              </w:rPr>
              <w:t xml:space="preserve">TOF </w:t>
            </w:r>
          </w:p>
        </w:tc>
        <w:tc>
          <w:tcPr>
            <w:tcW w:w="5455" w:type="dxa"/>
            <w:tcBorders>
              <w:top w:val="double" w:sz="4" w:space="0" w:color="auto"/>
              <w:bottom w:val="double" w:sz="4" w:space="0" w:color="auto"/>
            </w:tcBorders>
            <w:tcMar>
              <w:top w:w="113" w:type="dxa"/>
              <w:bottom w:w="113" w:type="dxa"/>
            </w:tcMar>
            <w:vAlign w:val="center"/>
          </w:tcPr>
          <w:p w14:paraId="2817F7B9" w14:textId="51AB55A0" w:rsidR="00A47860" w:rsidRPr="00FD257E" w:rsidRDefault="00A47860" w:rsidP="00FD257E">
            <w:pPr>
              <w:jc w:val="both"/>
              <w:rPr>
                <w:noProof/>
                <w:sz w:val="22"/>
                <w:szCs w:val="22"/>
              </w:rPr>
            </w:pPr>
            <w:r w:rsidRPr="00FD257E">
              <w:rPr>
                <w:noProof/>
                <w:sz w:val="22"/>
                <w:szCs w:val="22"/>
              </w:rPr>
              <w:t>Transversal Operation Framework</w:t>
            </w:r>
          </w:p>
        </w:tc>
      </w:tr>
      <w:tr w:rsidR="00A47860" w:rsidRPr="00147D71" w14:paraId="0B9DAAB3" w14:textId="77777777" w:rsidTr="004D42B2">
        <w:trPr>
          <w:trHeight w:val="20"/>
        </w:trPr>
        <w:tc>
          <w:tcPr>
            <w:tcW w:w="3153" w:type="dxa"/>
            <w:tcBorders>
              <w:top w:val="double" w:sz="4" w:space="0" w:color="auto"/>
              <w:bottom w:val="double" w:sz="4" w:space="0" w:color="auto"/>
            </w:tcBorders>
            <w:tcMar>
              <w:top w:w="113" w:type="dxa"/>
              <w:bottom w:w="113" w:type="dxa"/>
            </w:tcMar>
            <w:vAlign w:val="center"/>
          </w:tcPr>
          <w:p w14:paraId="095FA560" w14:textId="3AAA5731" w:rsidR="00A47860" w:rsidRPr="00FD257E" w:rsidRDefault="00A47860" w:rsidP="00FD257E">
            <w:pPr>
              <w:jc w:val="both"/>
              <w:rPr>
                <w:noProof/>
                <w:sz w:val="22"/>
                <w:szCs w:val="22"/>
              </w:rPr>
            </w:pPr>
            <w:r w:rsidRPr="00FD257E">
              <w:rPr>
                <w:noProof/>
                <w:sz w:val="22"/>
                <w:szCs w:val="22"/>
              </w:rPr>
              <w:t xml:space="preserve">VIS </w:t>
            </w:r>
          </w:p>
        </w:tc>
        <w:tc>
          <w:tcPr>
            <w:tcW w:w="5455" w:type="dxa"/>
            <w:tcBorders>
              <w:top w:val="double" w:sz="4" w:space="0" w:color="auto"/>
              <w:bottom w:val="double" w:sz="4" w:space="0" w:color="auto"/>
            </w:tcBorders>
            <w:tcMar>
              <w:top w:w="113" w:type="dxa"/>
              <w:bottom w:w="113" w:type="dxa"/>
            </w:tcMar>
            <w:vAlign w:val="center"/>
          </w:tcPr>
          <w:p w14:paraId="3557FD50" w14:textId="33DFB530" w:rsidR="00A47860" w:rsidRPr="00FD257E" w:rsidRDefault="00A47860" w:rsidP="00FD257E">
            <w:pPr>
              <w:jc w:val="both"/>
              <w:rPr>
                <w:noProof/>
                <w:sz w:val="22"/>
                <w:szCs w:val="22"/>
              </w:rPr>
            </w:pPr>
            <w:r w:rsidRPr="00FD257E">
              <w:rPr>
                <w:noProof/>
                <w:sz w:val="22"/>
                <w:szCs w:val="22"/>
              </w:rPr>
              <w:t>Visa Information System</w:t>
            </w:r>
          </w:p>
        </w:tc>
      </w:tr>
    </w:tbl>
    <w:p w14:paraId="2C3D5D11" w14:textId="77777777" w:rsidR="001A756D" w:rsidRDefault="001A756D">
      <w:pPr>
        <w:rPr>
          <w:noProof/>
        </w:rPr>
      </w:pPr>
    </w:p>
    <w:p w14:paraId="546EF5AE" w14:textId="77777777" w:rsidR="00663D57" w:rsidRPr="00F91297" w:rsidRDefault="00663D57" w:rsidP="00F91297">
      <w:pPr>
        <w:spacing w:before="60" w:after="60"/>
        <w:rPr>
          <w:rFonts w:ascii="Times New Roman" w:hAnsi="Times New Roman" w:cs="Times New Roman"/>
          <w:noProof/>
          <w:sz w:val="24"/>
          <w:szCs w:val="24"/>
        </w:rPr>
      </w:pPr>
    </w:p>
    <w:p w14:paraId="685E2AB0" w14:textId="77777777" w:rsidR="001A756D" w:rsidRPr="00147D71" w:rsidRDefault="001A756D" w:rsidP="008530D4">
      <w:pPr>
        <w:rPr>
          <w:rFonts w:ascii="Times New Roman" w:hAnsi="Times New Roman" w:cs="Times New Roman"/>
          <w:noProof/>
          <w:sz w:val="24"/>
          <w:szCs w:val="24"/>
        </w:rPr>
        <w:sectPr w:rsidR="001A756D" w:rsidRPr="00147D71" w:rsidSect="001D728F">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1077" w:gutter="0"/>
          <w:pgNumType w:start="0"/>
          <w:cols w:space="720"/>
          <w:titlePg/>
        </w:sectPr>
      </w:pPr>
    </w:p>
    <w:p w14:paraId="7F98964C" w14:textId="3EF04968" w:rsidR="008530D4" w:rsidRPr="00147D71" w:rsidRDefault="370FEA74" w:rsidP="1F7CBA1A">
      <w:pPr>
        <w:pStyle w:val="Heading1"/>
        <w:numPr>
          <w:ilvl w:val="0"/>
          <w:numId w:val="2"/>
        </w:numPr>
        <w:pBdr>
          <w:top w:val="single" w:sz="4" w:space="1" w:color="auto"/>
          <w:left w:val="single" w:sz="4" w:space="4" w:color="auto"/>
          <w:bottom w:val="single" w:sz="4" w:space="1" w:color="auto"/>
          <w:right w:val="single" w:sz="4" w:space="4" w:color="auto"/>
        </w:pBdr>
        <w:shd w:val="clear" w:color="auto" w:fill="BBDAFD" w:themeFill="text2" w:themeFillTint="33"/>
        <w:rPr>
          <w:noProof/>
        </w:rPr>
      </w:pPr>
      <w:bookmarkStart w:id="2" w:name="_Toc42093669"/>
      <w:bookmarkStart w:id="3" w:name="_Toc42093880"/>
      <w:bookmarkStart w:id="4" w:name="_Toc207303601"/>
      <w:r>
        <w:rPr>
          <w:noProof/>
        </w:rPr>
        <w:t>Introduction</w:t>
      </w:r>
      <w:bookmarkEnd w:id="2"/>
      <w:bookmarkEnd w:id="3"/>
      <w:bookmarkEnd w:id="4"/>
    </w:p>
    <w:p w14:paraId="01F895AE" w14:textId="4B55201E" w:rsidR="00A44FBD" w:rsidRPr="00A44FBD" w:rsidRDefault="00A44FBD" w:rsidP="00B46630">
      <w:pPr>
        <w:pStyle w:val="Heading2"/>
        <w:numPr>
          <w:ilvl w:val="1"/>
          <w:numId w:val="2"/>
        </w:numPr>
        <w:rPr>
          <w:noProof/>
          <w:szCs w:val="24"/>
        </w:rPr>
      </w:pPr>
      <w:bookmarkStart w:id="5" w:name="_Toc207303602"/>
      <w:r w:rsidRPr="00A44FBD">
        <w:rPr>
          <w:noProof/>
          <w:szCs w:val="24"/>
        </w:rPr>
        <w:t>Purpose and scope of the evaluation</w:t>
      </w:r>
      <w:bookmarkEnd w:id="5"/>
    </w:p>
    <w:p w14:paraId="5CA73568" w14:textId="08EFFCC9" w:rsidR="00B82E5C" w:rsidRPr="002E6E75" w:rsidRDefault="00815DA3" w:rsidP="00B82E5C">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European Union Agency for the Operational Management of Large-Scale IT Systems in the Area of Freedom, Security and Justice (</w:t>
      </w:r>
      <w:r w:rsidR="00B82E5C" w:rsidRPr="002E6E75">
        <w:rPr>
          <w:rFonts w:ascii="Times New Roman" w:hAnsi="Times New Roman" w:cs="Times New Roman"/>
          <w:noProof/>
          <w:sz w:val="24"/>
          <w:szCs w:val="24"/>
          <w:lang w:val="en-IE"/>
        </w:rPr>
        <w:t>eu-LISA</w:t>
      </w:r>
      <w:r>
        <w:rPr>
          <w:rFonts w:ascii="Times New Roman" w:hAnsi="Times New Roman" w:cs="Times New Roman"/>
          <w:noProof/>
          <w:sz w:val="24"/>
          <w:szCs w:val="24"/>
          <w:lang w:val="en-IE"/>
        </w:rPr>
        <w:t>)</w:t>
      </w:r>
      <w:r w:rsidR="00B82E5C" w:rsidRPr="002E6E75">
        <w:rPr>
          <w:rFonts w:ascii="Times New Roman" w:hAnsi="Times New Roman" w:cs="Times New Roman"/>
          <w:noProof/>
          <w:sz w:val="24"/>
          <w:szCs w:val="24"/>
          <w:lang w:val="en-IE"/>
        </w:rPr>
        <w:t xml:space="preserve"> was established by means of Regulation </w:t>
      </w:r>
      <w:r w:rsidR="11C774A2" w:rsidRPr="002E6E75">
        <w:rPr>
          <w:rFonts w:ascii="Times New Roman" w:hAnsi="Times New Roman" w:cs="Times New Roman"/>
          <w:noProof/>
          <w:sz w:val="24"/>
          <w:szCs w:val="24"/>
          <w:lang w:val="en-IE"/>
        </w:rPr>
        <w:t xml:space="preserve">(EU) No </w:t>
      </w:r>
      <w:r w:rsidR="00B82E5C" w:rsidRPr="002E6E75">
        <w:rPr>
          <w:rFonts w:ascii="Times New Roman" w:hAnsi="Times New Roman" w:cs="Times New Roman"/>
          <w:noProof/>
          <w:sz w:val="24"/>
          <w:szCs w:val="24"/>
          <w:lang w:val="en-IE"/>
        </w:rPr>
        <w:t>1077/2011</w:t>
      </w:r>
      <w:r w:rsidR="00B82E5C" w:rsidRPr="002E6E75">
        <w:rPr>
          <w:rStyle w:val="FootnoteReference"/>
          <w:rFonts w:ascii="Times New Roman" w:hAnsi="Times New Roman" w:cs="Times New Roman"/>
          <w:noProof/>
          <w:sz w:val="24"/>
          <w:szCs w:val="24"/>
          <w:lang w:val="en-IE"/>
        </w:rPr>
        <w:footnoteReference w:id="2"/>
      </w:r>
      <w:r w:rsidR="00B82E5C" w:rsidRPr="002E6E75">
        <w:rPr>
          <w:rFonts w:ascii="Times New Roman" w:hAnsi="Times New Roman" w:cs="Times New Roman"/>
          <w:noProof/>
          <w:sz w:val="24"/>
          <w:szCs w:val="24"/>
          <w:lang w:val="en-IE"/>
        </w:rPr>
        <w:t xml:space="preserve"> with a view to ensuring the operational management of existing large-scale IT systems in the area of freedom, security and justice (at that stage: the</w:t>
      </w:r>
      <w:r w:rsidR="00865DDD">
        <w:rPr>
          <w:rFonts w:ascii="Times New Roman" w:hAnsi="Times New Roman" w:cs="Times New Roman"/>
          <w:noProof/>
          <w:sz w:val="24"/>
          <w:szCs w:val="24"/>
          <w:lang w:val="en-IE"/>
        </w:rPr>
        <w:t xml:space="preserve"> second generation</w:t>
      </w:r>
      <w:r w:rsidR="00B82E5C" w:rsidRPr="002E6E75">
        <w:rPr>
          <w:rFonts w:ascii="Times New Roman" w:hAnsi="Times New Roman" w:cs="Times New Roman"/>
          <w:noProof/>
          <w:sz w:val="24"/>
          <w:szCs w:val="24"/>
          <w:lang w:val="en-IE"/>
        </w:rPr>
        <w:t xml:space="preserve"> Schengen Information System </w:t>
      </w:r>
      <w:r w:rsidR="002E372F">
        <w:rPr>
          <w:rFonts w:ascii="Times New Roman" w:hAnsi="Times New Roman" w:cs="Times New Roman"/>
          <w:noProof/>
          <w:sz w:val="24"/>
          <w:szCs w:val="24"/>
          <w:lang w:val="en-IE"/>
        </w:rPr>
        <w:t>–</w:t>
      </w:r>
      <w:r w:rsidR="00B82E5C" w:rsidRPr="002E6E75">
        <w:rPr>
          <w:rFonts w:ascii="Times New Roman" w:hAnsi="Times New Roman" w:cs="Times New Roman"/>
          <w:noProof/>
          <w:sz w:val="24"/>
          <w:szCs w:val="24"/>
          <w:lang w:val="en-IE"/>
        </w:rPr>
        <w:t xml:space="preserve"> SIS</w:t>
      </w:r>
      <w:r w:rsidR="00865DDD">
        <w:rPr>
          <w:rFonts w:ascii="Times New Roman" w:hAnsi="Times New Roman" w:cs="Times New Roman"/>
          <w:noProof/>
          <w:sz w:val="24"/>
          <w:szCs w:val="24"/>
          <w:lang w:val="en-IE"/>
        </w:rPr>
        <w:t xml:space="preserve"> II</w:t>
      </w:r>
      <w:r w:rsidR="00B82E5C" w:rsidRPr="002E6E75">
        <w:rPr>
          <w:rFonts w:ascii="Times New Roman" w:hAnsi="Times New Roman" w:cs="Times New Roman"/>
          <w:noProof/>
          <w:sz w:val="24"/>
          <w:szCs w:val="24"/>
          <w:lang w:val="en-IE"/>
        </w:rPr>
        <w:t xml:space="preserve">, the Visa Information System </w:t>
      </w:r>
      <w:r w:rsidR="002E372F">
        <w:rPr>
          <w:rFonts w:ascii="Times New Roman" w:hAnsi="Times New Roman" w:cs="Times New Roman"/>
          <w:noProof/>
          <w:sz w:val="24"/>
          <w:szCs w:val="24"/>
          <w:lang w:val="en-IE"/>
        </w:rPr>
        <w:t>–</w:t>
      </w:r>
      <w:r w:rsidR="002E372F" w:rsidRPr="002E6E75">
        <w:rPr>
          <w:rFonts w:ascii="Times New Roman" w:hAnsi="Times New Roman" w:cs="Times New Roman"/>
          <w:noProof/>
          <w:sz w:val="24"/>
          <w:szCs w:val="24"/>
          <w:lang w:val="en-IE"/>
        </w:rPr>
        <w:t xml:space="preserve"> </w:t>
      </w:r>
      <w:r w:rsidR="00B82E5C" w:rsidRPr="002E6E75">
        <w:rPr>
          <w:rFonts w:ascii="Times New Roman" w:hAnsi="Times New Roman" w:cs="Times New Roman"/>
          <w:noProof/>
          <w:sz w:val="24"/>
          <w:szCs w:val="24"/>
          <w:lang w:val="en-IE"/>
        </w:rPr>
        <w:t>VIS</w:t>
      </w:r>
      <w:r w:rsidR="002E372F">
        <w:rPr>
          <w:rFonts w:ascii="Times New Roman" w:hAnsi="Times New Roman" w:cs="Times New Roman"/>
          <w:noProof/>
          <w:sz w:val="24"/>
          <w:szCs w:val="24"/>
          <w:lang w:val="en-IE"/>
        </w:rPr>
        <w:t>,</w:t>
      </w:r>
      <w:r w:rsidR="00B82E5C" w:rsidRPr="002E6E75">
        <w:rPr>
          <w:rFonts w:ascii="Times New Roman" w:hAnsi="Times New Roman" w:cs="Times New Roman"/>
          <w:noProof/>
          <w:sz w:val="24"/>
          <w:szCs w:val="24"/>
          <w:lang w:val="en-IE"/>
        </w:rPr>
        <w:t xml:space="preserve"> and Eurodac) and potentially to support the development and operation of additional IT systems to be established. </w:t>
      </w:r>
      <w:r w:rsidR="00865DDD" w:rsidRPr="002A0B07">
        <w:rPr>
          <w:rFonts w:ascii="Times New Roman" w:hAnsi="Times New Roman" w:cs="Times New Roman"/>
          <w:noProof/>
          <w:sz w:val="24"/>
          <w:szCs w:val="24"/>
          <w:lang w:val="en-IE"/>
        </w:rPr>
        <w:t>The establishing Regulation was amended on 20 July 2015 by Regulation (EU) No 603/2013 (Eurodac recast Regulation)</w:t>
      </w:r>
      <w:r w:rsidR="00865DDD">
        <w:rPr>
          <w:rStyle w:val="FootnoteReference"/>
          <w:rFonts w:ascii="Times New Roman" w:hAnsi="Times New Roman" w:cs="Times New Roman"/>
          <w:noProof/>
          <w:szCs w:val="24"/>
        </w:rPr>
        <w:footnoteReference w:id="3"/>
      </w:r>
      <w:r w:rsidR="00865DDD" w:rsidRPr="002A0B07">
        <w:rPr>
          <w:rFonts w:ascii="Times New Roman" w:hAnsi="Times New Roman" w:cs="Times New Roman"/>
          <w:noProof/>
          <w:sz w:val="24"/>
          <w:szCs w:val="24"/>
          <w:lang w:val="en-IE"/>
        </w:rPr>
        <w:t xml:space="preserve"> to reflect the changes brought by this Regulation with regard to the Agency's tasks related to Eurodac.</w:t>
      </w:r>
    </w:p>
    <w:p w14:paraId="6D42088E" w14:textId="79C165AF" w:rsidR="00B82E5C" w:rsidRPr="002E6E75" w:rsidRDefault="00B82E5C" w:rsidP="00B82E5C">
      <w:pPr>
        <w:jc w:val="both"/>
        <w:rPr>
          <w:rFonts w:ascii="Times New Roman" w:hAnsi="Times New Roman" w:cs="Times New Roman"/>
          <w:noProof/>
          <w:sz w:val="24"/>
          <w:szCs w:val="24"/>
          <w:lang w:val="en-IE"/>
        </w:rPr>
      </w:pPr>
      <w:r w:rsidRPr="002E6E75">
        <w:rPr>
          <w:rFonts w:ascii="Times New Roman" w:hAnsi="Times New Roman" w:cs="Times New Roman"/>
          <w:noProof/>
          <w:sz w:val="24"/>
          <w:szCs w:val="24"/>
          <w:lang w:val="en-IE"/>
        </w:rPr>
        <w:t>Following an evaluation of the Regulation in 2017</w:t>
      </w:r>
      <w:r w:rsidRPr="002E6E75">
        <w:rPr>
          <w:rStyle w:val="FootnoteReference"/>
          <w:rFonts w:ascii="Times New Roman" w:hAnsi="Times New Roman" w:cs="Times New Roman"/>
          <w:noProof/>
          <w:sz w:val="24"/>
          <w:szCs w:val="24"/>
          <w:lang w:val="en-IE"/>
        </w:rPr>
        <w:footnoteReference w:id="4"/>
      </w:r>
      <w:r w:rsidRPr="002E6E75">
        <w:rPr>
          <w:rFonts w:ascii="Times New Roman" w:hAnsi="Times New Roman" w:cs="Times New Roman"/>
          <w:noProof/>
          <w:sz w:val="24"/>
          <w:szCs w:val="24"/>
          <w:lang w:val="en-IE"/>
        </w:rPr>
        <w:t>, the mandate of eu-LISA was revised based on Regulation 2018/1726 (hereinafter referred to as “eu-LISA Regulation”), the subject of this evaluation. While Regulation 2011/1726 was fully replaced and repealed by eu-LISA Regulation, the new Regulation builds largely upon the previously established legal framework. The general objective of the Agency thus remains to “</w:t>
      </w:r>
      <w:r w:rsidRPr="00D26B45">
        <w:rPr>
          <w:rFonts w:ascii="Times New Roman" w:hAnsi="Times New Roman" w:cs="Times New Roman"/>
          <w:i/>
          <w:iCs/>
          <w:noProof/>
          <w:sz w:val="24"/>
          <w:szCs w:val="24"/>
          <w:lang w:val="en-IE"/>
        </w:rPr>
        <w:t>contribute to a high-level security within the area of freedom, security and justice, including by facilitating border management and law enforcement</w:t>
      </w:r>
      <w:r w:rsidRPr="002E6E75">
        <w:rPr>
          <w:rFonts w:ascii="Times New Roman" w:hAnsi="Times New Roman" w:cs="Times New Roman"/>
          <w:noProof/>
          <w:sz w:val="24"/>
          <w:szCs w:val="24"/>
          <w:lang w:val="en-IE"/>
        </w:rPr>
        <w:t xml:space="preserve">”. In addition, the Agency has the following specific objectives based on eu-LISA Regulation: </w:t>
      </w:r>
    </w:p>
    <w:p w14:paraId="194F24C7" w14:textId="275B95ED" w:rsidR="00B82E5C" w:rsidRPr="002E6E75" w:rsidRDefault="00B82E5C" w:rsidP="00050793">
      <w:pPr>
        <w:pStyle w:val="ListParagraph"/>
        <w:numPr>
          <w:ilvl w:val="0"/>
          <w:numId w:val="5"/>
        </w:numPr>
        <w:spacing w:after="160" w:line="259" w:lineRule="auto"/>
        <w:rPr>
          <w:noProof/>
          <w:szCs w:val="24"/>
          <w:lang w:val="en-IE"/>
        </w:rPr>
      </w:pPr>
      <w:r w:rsidRPr="002E6E75">
        <w:rPr>
          <w:noProof/>
          <w:szCs w:val="24"/>
          <w:lang w:val="en-IE"/>
        </w:rPr>
        <w:t xml:space="preserve">To contribute to a coordinated, cost-effective and coherent IT environment at Union level in the area of freedom, security and justice that is in line with fundamental rights; </w:t>
      </w:r>
    </w:p>
    <w:p w14:paraId="0C429D12" w14:textId="7F936814" w:rsidR="00B82E5C" w:rsidRPr="002E6E75" w:rsidRDefault="00B82E5C" w:rsidP="00050793">
      <w:pPr>
        <w:pStyle w:val="ListParagraph"/>
        <w:numPr>
          <w:ilvl w:val="0"/>
          <w:numId w:val="5"/>
        </w:numPr>
        <w:spacing w:after="160" w:line="259" w:lineRule="auto"/>
        <w:rPr>
          <w:noProof/>
          <w:szCs w:val="24"/>
          <w:lang w:val="en-IE"/>
        </w:rPr>
      </w:pPr>
      <w:r w:rsidRPr="002E6E75">
        <w:rPr>
          <w:noProof/>
          <w:szCs w:val="24"/>
          <w:lang w:val="en-IE"/>
        </w:rPr>
        <w:t xml:space="preserve">To contribute to the development of IT-based solutions in the </w:t>
      </w:r>
      <w:r w:rsidR="00942347" w:rsidRPr="002E6E75">
        <w:rPr>
          <w:noProof/>
          <w:szCs w:val="24"/>
          <w:lang w:val="en-IE"/>
        </w:rPr>
        <w:t>area of freedom, security and justice</w:t>
      </w:r>
      <w:r w:rsidRPr="002E6E75">
        <w:rPr>
          <w:noProof/>
          <w:szCs w:val="24"/>
          <w:lang w:val="en-IE"/>
        </w:rPr>
        <w:t xml:space="preserve">; and </w:t>
      </w:r>
    </w:p>
    <w:p w14:paraId="7290668C" w14:textId="550CD64E" w:rsidR="00B82E5C" w:rsidRPr="002E6E75" w:rsidRDefault="00B82E5C" w:rsidP="00050793">
      <w:pPr>
        <w:pStyle w:val="ListParagraph"/>
        <w:numPr>
          <w:ilvl w:val="0"/>
          <w:numId w:val="5"/>
        </w:numPr>
        <w:spacing w:after="160" w:line="259" w:lineRule="auto"/>
        <w:rPr>
          <w:noProof/>
          <w:szCs w:val="24"/>
          <w:lang w:val="en-IE"/>
        </w:rPr>
      </w:pPr>
      <w:r w:rsidRPr="002E6E75">
        <w:rPr>
          <w:noProof/>
          <w:szCs w:val="24"/>
          <w:lang w:val="en-IE"/>
        </w:rPr>
        <w:t xml:space="preserve">To contribute within the scope of its mandate to evidence-based Union migration and security policy-making and to the monitoring of the proper functioning of IT systems in the </w:t>
      </w:r>
      <w:r w:rsidR="00942347" w:rsidRPr="002E6E75">
        <w:rPr>
          <w:noProof/>
          <w:szCs w:val="24"/>
          <w:lang w:val="en-IE"/>
        </w:rPr>
        <w:t>area of freedom, security and justice</w:t>
      </w:r>
      <w:r w:rsidRPr="002E6E75">
        <w:rPr>
          <w:noProof/>
          <w:szCs w:val="24"/>
          <w:lang w:val="en-IE"/>
        </w:rPr>
        <w:t>.</w:t>
      </w:r>
    </w:p>
    <w:p w14:paraId="28BAECBE" w14:textId="77777777" w:rsidR="00B82E5C" w:rsidRPr="00225958" w:rsidRDefault="00B82E5C" w:rsidP="00B82E5C">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Article 39</w:t>
      </w:r>
      <w:r>
        <w:rPr>
          <w:rStyle w:val="FootnoteReference"/>
          <w:rFonts w:ascii="Times New Roman" w:hAnsi="Times New Roman" w:cs="Times New Roman"/>
          <w:noProof/>
          <w:sz w:val="24"/>
          <w:szCs w:val="24"/>
          <w:lang w:val="en-IE"/>
        </w:rPr>
        <w:footnoteReference w:id="5"/>
      </w:r>
      <w:r>
        <w:rPr>
          <w:rFonts w:ascii="Times New Roman" w:hAnsi="Times New Roman" w:cs="Times New Roman"/>
          <w:noProof/>
          <w:sz w:val="24"/>
          <w:szCs w:val="24"/>
          <w:lang w:val="en-IE"/>
        </w:rPr>
        <w:t xml:space="preserve"> of the eu-LISA Regulation calls for an evaluation of the performance of the Agency in relation to its objectives, mandate, locations and tasks with a view of identifying potential areas for improvements. The Commission is also required to report to the European Parliament (EP), the Council and the Management Board (MB) of eu-LISA on the </w:t>
      </w:r>
      <w:r w:rsidRPr="00225958">
        <w:rPr>
          <w:rFonts w:ascii="Times New Roman" w:hAnsi="Times New Roman" w:cs="Times New Roman"/>
          <w:noProof/>
          <w:sz w:val="24"/>
          <w:szCs w:val="24"/>
          <w:lang w:val="en-IE"/>
        </w:rPr>
        <w:t xml:space="preserve">findings of the evaluation. </w:t>
      </w:r>
    </w:p>
    <w:p w14:paraId="2E7F3CBA" w14:textId="0C394AE8" w:rsidR="0066180B" w:rsidRDefault="00225958" w:rsidP="00B82E5C">
      <w:pPr>
        <w:jc w:val="both"/>
        <w:rPr>
          <w:rFonts w:ascii="Times New Roman" w:hAnsi="Times New Roman" w:cs="Times New Roman"/>
          <w:noProof/>
          <w:sz w:val="24"/>
          <w:szCs w:val="24"/>
          <w:lang w:val="en-IE"/>
        </w:rPr>
      </w:pPr>
      <w:r w:rsidRPr="006041F7">
        <w:rPr>
          <w:rFonts w:ascii="Times New Roman" w:hAnsi="Times New Roman" w:cs="Times New Roman"/>
          <w:noProof/>
          <w:sz w:val="24"/>
          <w:szCs w:val="24"/>
          <w:lang w:val="en-IE"/>
        </w:rPr>
        <w:t>The Commission carried out the supporting study between October 2023 and November 2024, covering the period from the entry into force of the current eu-LISA Regulation in 2018 until March 2024.</w:t>
      </w:r>
      <w:r w:rsidRPr="00815DA3">
        <w:rPr>
          <w:rFonts w:ascii="Times New Roman" w:hAnsi="Times New Roman" w:cs="Times New Roman"/>
          <w:noProof/>
          <w:sz w:val="24"/>
          <w:szCs w:val="24"/>
          <w:vertAlign w:val="superscript"/>
          <w:lang w:val="en-IE"/>
        </w:rPr>
        <w:footnoteReference w:id="6"/>
      </w:r>
      <w:r w:rsidRPr="006041F7">
        <w:rPr>
          <w:rFonts w:ascii="Times New Roman" w:hAnsi="Times New Roman" w:cs="Times New Roman"/>
          <w:noProof/>
          <w:sz w:val="24"/>
          <w:szCs w:val="24"/>
          <w:lang w:val="en-IE"/>
        </w:rPr>
        <w:t xml:space="preserve"> The evaluation also compared the situation with the period between 2012 and 2018 before the current regulation entered into force. While the study formally concluded in 2024, the evaluation integrates developments up to June 2025. Extending the evaluation period allowed the Commission to reflect the significant organisational and management changes that the Agency underwent in parallel to the study, thereby ensuring that the assessment captures the most recent progress and provides a more comprehensive and accurate picture of the Agency’s performance</w:t>
      </w:r>
      <w:r w:rsidR="0066180B" w:rsidRPr="00815DA3">
        <w:rPr>
          <w:rFonts w:ascii="Times New Roman" w:hAnsi="Times New Roman" w:cs="Times New Roman"/>
          <w:noProof/>
          <w:sz w:val="24"/>
          <w:szCs w:val="24"/>
          <w:lang w:val="en-IE"/>
        </w:rPr>
        <w:t>.</w:t>
      </w:r>
    </w:p>
    <w:p w14:paraId="1186B8BB" w14:textId="77777777" w:rsidR="0066180B" w:rsidRPr="0066180B" w:rsidRDefault="0066180B" w:rsidP="0066180B">
      <w:pPr>
        <w:jc w:val="both"/>
        <w:rPr>
          <w:rFonts w:ascii="Times New Roman" w:hAnsi="Times New Roman" w:cs="Times New Roman"/>
          <w:noProof/>
          <w:sz w:val="24"/>
          <w:szCs w:val="24"/>
          <w:lang w:val="en-IE"/>
        </w:rPr>
      </w:pPr>
      <w:r w:rsidRPr="0066180B">
        <w:rPr>
          <w:rFonts w:ascii="Times New Roman" w:hAnsi="Times New Roman" w:cs="Times New Roman"/>
          <w:noProof/>
          <w:sz w:val="24"/>
          <w:szCs w:val="24"/>
          <w:lang w:val="en-IE"/>
        </w:rPr>
        <w:t>As regards methodology, a mixed methods approach has been used, including information gathered via desk research, surveys, interviews and field visits, and was informed by the triangulation of a variety of sources. A range of methodological tools and techniques were used. For more details on the methodology please see Annex II.</w:t>
      </w:r>
    </w:p>
    <w:p w14:paraId="2618ED72" w14:textId="01218852" w:rsidR="00B82E5C" w:rsidRPr="00004DA6" w:rsidRDefault="0085621E" w:rsidP="66687D7F">
      <w:pPr>
        <w:jc w:val="both"/>
        <w:rPr>
          <w:rFonts w:ascii="Times New Roman" w:hAnsi="Times New Roman" w:cs="Times New Roman"/>
          <w:noProof/>
          <w:sz w:val="24"/>
          <w:szCs w:val="24"/>
          <w:lang w:val="en-IE"/>
        </w:rPr>
      </w:pPr>
      <w:r w:rsidRPr="00004DA6">
        <w:rPr>
          <w:rFonts w:ascii="Times New Roman" w:hAnsi="Times New Roman" w:cs="Times New Roman"/>
          <w:noProof/>
          <w:sz w:val="24"/>
          <w:szCs w:val="24"/>
          <w:lang w:val="en-IE"/>
        </w:rPr>
        <w:t xml:space="preserve">As part of </w:t>
      </w:r>
      <w:r w:rsidR="00DB6072" w:rsidRPr="00004DA6">
        <w:rPr>
          <w:rFonts w:ascii="Times New Roman" w:hAnsi="Times New Roman" w:cs="Times New Roman"/>
          <w:noProof/>
          <w:sz w:val="24"/>
          <w:szCs w:val="24"/>
          <w:lang w:val="en-IE"/>
        </w:rPr>
        <w:t>this evaluation</w:t>
      </w:r>
      <w:r w:rsidR="00B82E5C" w:rsidRPr="00004DA6">
        <w:rPr>
          <w:rFonts w:ascii="Times New Roman" w:hAnsi="Times New Roman" w:cs="Times New Roman"/>
          <w:noProof/>
          <w:sz w:val="24"/>
          <w:szCs w:val="24"/>
          <w:lang w:val="en-IE"/>
        </w:rPr>
        <w:t>, a wide range of stakeholders were consulted through various methods (interviews, surveys, workshops, etc</w:t>
      </w:r>
      <w:r w:rsidR="137FF43B" w:rsidRPr="00004DA6">
        <w:rPr>
          <w:rFonts w:ascii="Times New Roman" w:hAnsi="Times New Roman" w:cs="Times New Roman"/>
          <w:noProof/>
          <w:sz w:val="24"/>
          <w:szCs w:val="24"/>
          <w:lang w:val="en-IE"/>
        </w:rPr>
        <w:t>.</w:t>
      </w:r>
      <w:r w:rsidR="00B82E5C" w:rsidRPr="00004DA6">
        <w:rPr>
          <w:rFonts w:ascii="Times New Roman" w:hAnsi="Times New Roman" w:cs="Times New Roman"/>
          <w:noProof/>
          <w:sz w:val="24"/>
          <w:szCs w:val="24"/>
          <w:lang w:val="en-IE"/>
        </w:rPr>
        <w:t>)</w:t>
      </w:r>
      <w:r w:rsidR="00A56396">
        <w:rPr>
          <w:rFonts w:ascii="Times New Roman" w:hAnsi="Times New Roman" w:cs="Times New Roman"/>
          <w:noProof/>
          <w:sz w:val="24"/>
          <w:szCs w:val="24"/>
          <w:lang w:val="en-IE"/>
        </w:rPr>
        <w:t>.</w:t>
      </w:r>
      <w:r w:rsidR="00B82E5C" w:rsidRPr="00004DA6">
        <w:rPr>
          <w:rFonts w:ascii="Times New Roman" w:hAnsi="Times New Roman" w:cs="Times New Roman"/>
          <w:noProof/>
          <w:sz w:val="24"/>
          <w:szCs w:val="24"/>
          <w:lang w:val="en-IE"/>
        </w:rPr>
        <w:t xml:space="preserve"> The stakeholders consulted include the European Commission, staff and contractors of eu-LISA</w:t>
      </w:r>
      <w:r w:rsidR="006A3B4B">
        <w:rPr>
          <w:rFonts w:ascii="Times New Roman" w:hAnsi="Times New Roman" w:cs="Times New Roman"/>
          <w:noProof/>
          <w:sz w:val="24"/>
          <w:szCs w:val="24"/>
          <w:lang w:val="en-IE"/>
        </w:rPr>
        <w:t>,</w:t>
      </w:r>
      <w:r w:rsidR="00B82E5C" w:rsidRPr="00004DA6">
        <w:rPr>
          <w:rFonts w:ascii="Times New Roman" w:hAnsi="Times New Roman" w:cs="Times New Roman"/>
          <w:noProof/>
          <w:sz w:val="24"/>
          <w:szCs w:val="24"/>
          <w:lang w:val="en-IE"/>
        </w:rPr>
        <w:t xml:space="preserve"> Member States authorities participating in the governance bodies of eu-LISA (including Advisory Group</w:t>
      </w:r>
      <w:r w:rsidR="32378756" w:rsidRPr="00004DA6">
        <w:rPr>
          <w:rFonts w:ascii="Times New Roman" w:hAnsi="Times New Roman" w:cs="Times New Roman"/>
          <w:noProof/>
          <w:sz w:val="24"/>
          <w:szCs w:val="24"/>
          <w:lang w:val="en-IE"/>
        </w:rPr>
        <w:t>s</w:t>
      </w:r>
      <w:r w:rsidR="00B82E5C" w:rsidRPr="00004DA6">
        <w:rPr>
          <w:rFonts w:ascii="Times New Roman" w:hAnsi="Times New Roman" w:cs="Times New Roman"/>
          <w:noProof/>
          <w:sz w:val="24"/>
          <w:szCs w:val="24"/>
          <w:lang w:val="en-IE"/>
        </w:rPr>
        <w:t>, Project Management Boards and Management Board members) from both the Home Affairs and Justice domains, EU Agencies</w:t>
      </w:r>
      <w:r w:rsidR="00D1021B" w:rsidRPr="00004DA6">
        <w:rPr>
          <w:rFonts w:ascii="Times New Roman" w:hAnsi="Times New Roman" w:cs="Times New Roman"/>
          <w:noProof/>
          <w:sz w:val="24"/>
          <w:szCs w:val="24"/>
          <w:lang w:val="en-IE"/>
        </w:rPr>
        <w:t xml:space="preserve"> and Offices</w:t>
      </w:r>
      <w:r w:rsidR="00B82E5C" w:rsidRPr="00004DA6">
        <w:rPr>
          <w:rFonts w:ascii="Times New Roman" w:hAnsi="Times New Roman" w:cs="Times New Roman"/>
          <w:noProof/>
          <w:sz w:val="24"/>
          <w:szCs w:val="24"/>
          <w:lang w:val="en-IE"/>
        </w:rPr>
        <w:t xml:space="preserve"> (including the European Border and Coast Guard Agency, Eurojust and E</w:t>
      </w:r>
      <w:r w:rsidR="00815DA3" w:rsidRPr="00004DA6">
        <w:rPr>
          <w:rFonts w:ascii="Times New Roman" w:hAnsi="Times New Roman" w:cs="Times New Roman"/>
          <w:noProof/>
          <w:sz w:val="24"/>
          <w:szCs w:val="24"/>
          <w:lang w:val="en-IE"/>
        </w:rPr>
        <w:t xml:space="preserve">uropean </w:t>
      </w:r>
      <w:r w:rsidR="00B82E5C" w:rsidRPr="00004DA6">
        <w:rPr>
          <w:rFonts w:ascii="Times New Roman" w:hAnsi="Times New Roman" w:cs="Times New Roman"/>
          <w:noProof/>
          <w:sz w:val="24"/>
          <w:szCs w:val="24"/>
          <w:lang w:val="en-IE"/>
        </w:rPr>
        <w:t>P</w:t>
      </w:r>
      <w:r w:rsidR="00815DA3" w:rsidRPr="00004DA6">
        <w:rPr>
          <w:rFonts w:ascii="Times New Roman" w:hAnsi="Times New Roman" w:cs="Times New Roman"/>
          <w:noProof/>
          <w:sz w:val="24"/>
          <w:szCs w:val="24"/>
          <w:lang w:val="en-IE"/>
        </w:rPr>
        <w:t xml:space="preserve">ublic </w:t>
      </w:r>
      <w:r w:rsidR="00B82E5C" w:rsidRPr="00004DA6">
        <w:rPr>
          <w:rFonts w:ascii="Times New Roman" w:hAnsi="Times New Roman" w:cs="Times New Roman"/>
          <w:noProof/>
          <w:sz w:val="24"/>
          <w:szCs w:val="24"/>
          <w:lang w:val="en-IE"/>
        </w:rPr>
        <w:t>P</w:t>
      </w:r>
      <w:r w:rsidR="00815DA3" w:rsidRPr="00004DA6">
        <w:rPr>
          <w:rFonts w:ascii="Times New Roman" w:hAnsi="Times New Roman" w:cs="Times New Roman"/>
          <w:noProof/>
          <w:sz w:val="24"/>
          <w:szCs w:val="24"/>
          <w:lang w:val="en-IE"/>
        </w:rPr>
        <w:t>rosecutor</w:t>
      </w:r>
      <w:r w:rsidR="00EC75B7" w:rsidRPr="00004DA6">
        <w:rPr>
          <w:rFonts w:ascii="Times New Roman" w:hAnsi="Times New Roman" w:cs="Times New Roman"/>
          <w:noProof/>
          <w:sz w:val="24"/>
          <w:szCs w:val="24"/>
          <w:lang w:val="en-IE"/>
        </w:rPr>
        <w:t>’</w:t>
      </w:r>
      <w:r w:rsidR="00815DA3" w:rsidRPr="00004DA6">
        <w:rPr>
          <w:rFonts w:ascii="Times New Roman" w:hAnsi="Times New Roman" w:cs="Times New Roman"/>
          <w:noProof/>
          <w:sz w:val="24"/>
          <w:szCs w:val="24"/>
          <w:lang w:val="en-IE"/>
        </w:rPr>
        <w:t xml:space="preserve">s </w:t>
      </w:r>
      <w:r w:rsidR="00B82E5C" w:rsidRPr="00004DA6">
        <w:rPr>
          <w:rFonts w:ascii="Times New Roman" w:hAnsi="Times New Roman" w:cs="Times New Roman"/>
          <w:noProof/>
          <w:sz w:val="24"/>
          <w:szCs w:val="24"/>
          <w:lang w:val="en-IE"/>
        </w:rPr>
        <w:t>O</w:t>
      </w:r>
      <w:r w:rsidR="00815DA3" w:rsidRPr="00004DA6">
        <w:rPr>
          <w:rFonts w:ascii="Times New Roman" w:hAnsi="Times New Roman" w:cs="Times New Roman"/>
          <w:noProof/>
          <w:sz w:val="24"/>
          <w:szCs w:val="24"/>
          <w:lang w:val="en-IE"/>
        </w:rPr>
        <w:t>ffice</w:t>
      </w:r>
      <w:r w:rsidR="00B82E5C" w:rsidRPr="00004DA6">
        <w:rPr>
          <w:rFonts w:ascii="Times New Roman" w:hAnsi="Times New Roman" w:cs="Times New Roman"/>
          <w:noProof/>
          <w:sz w:val="24"/>
          <w:szCs w:val="24"/>
          <w:lang w:val="en-IE"/>
        </w:rPr>
        <w:t xml:space="preserve">), </w:t>
      </w:r>
      <w:r w:rsidR="00E12D22" w:rsidRPr="00004DA6">
        <w:rPr>
          <w:rFonts w:ascii="Times New Roman" w:hAnsi="Times New Roman" w:cs="Times New Roman"/>
          <w:noProof/>
          <w:sz w:val="24"/>
          <w:szCs w:val="24"/>
          <w:lang w:val="en-IE"/>
        </w:rPr>
        <w:t xml:space="preserve">the </w:t>
      </w:r>
      <w:r w:rsidR="00B82E5C" w:rsidRPr="00004DA6">
        <w:rPr>
          <w:rFonts w:ascii="Times New Roman" w:hAnsi="Times New Roman" w:cs="Times New Roman"/>
          <w:noProof/>
          <w:sz w:val="24"/>
          <w:szCs w:val="24"/>
          <w:lang w:val="en-IE"/>
        </w:rPr>
        <w:t>E</w:t>
      </w:r>
      <w:r w:rsidR="00E12D22" w:rsidRPr="00004DA6">
        <w:rPr>
          <w:rFonts w:ascii="Times New Roman" w:hAnsi="Times New Roman" w:cs="Times New Roman"/>
          <w:noProof/>
          <w:sz w:val="24"/>
          <w:szCs w:val="24"/>
          <w:lang w:val="en-IE"/>
        </w:rPr>
        <w:t xml:space="preserve">uropean </w:t>
      </w:r>
      <w:r w:rsidR="00B82E5C" w:rsidRPr="00004DA6">
        <w:rPr>
          <w:rFonts w:ascii="Times New Roman" w:hAnsi="Times New Roman" w:cs="Times New Roman"/>
          <w:noProof/>
          <w:sz w:val="24"/>
          <w:szCs w:val="24"/>
          <w:lang w:val="en-IE"/>
        </w:rPr>
        <w:t>D</w:t>
      </w:r>
      <w:r w:rsidR="00E12D22" w:rsidRPr="00004DA6">
        <w:rPr>
          <w:rFonts w:ascii="Times New Roman" w:hAnsi="Times New Roman" w:cs="Times New Roman"/>
          <w:noProof/>
          <w:sz w:val="24"/>
          <w:szCs w:val="24"/>
          <w:lang w:val="en-IE"/>
        </w:rPr>
        <w:t xml:space="preserve">ata </w:t>
      </w:r>
      <w:r w:rsidR="00B82E5C" w:rsidRPr="00004DA6">
        <w:rPr>
          <w:rFonts w:ascii="Times New Roman" w:hAnsi="Times New Roman" w:cs="Times New Roman"/>
          <w:noProof/>
          <w:sz w:val="24"/>
          <w:szCs w:val="24"/>
          <w:lang w:val="en-IE"/>
        </w:rPr>
        <w:t>P</w:t>
      </w:r>
      <w:r w:rsidR="00E12D22" w:rsidRPr="00004DA6">
        <w:rPr>
          <w:rFonts w:ascii="Times New Roman" w:hAnsi="Times New Roman" w:cs="Times New Roman"/>
          <w:noProof/>
          <w:sz w:val="24"/>
          <w:szCs w:val="24"/>
          <w:lang w:val="en-IE"/>
        </w:rPr>
        <w:t xml:space="preserve">rotection </w:t>
      </w:r>
      <w:r w:rsidR="00B82E5C" w:rsidRPr="00004DA6">
        <w:rPr>
          <w:rFonts w:ascii="Times New Roman" w:hAnsi="Times New Roman" w:cs="Times New Roman"/>
          <w:noProof/>
          <w:sz w:val="24"/>
          <w:szCs w:val="24"/>
          <w:lang w:val="en-IE"/>
        </w:rPr>
        <w:t>S</w:t>
      </w:r>
      <w:r w:rsidR="00E12D22" w:rsidRPr="00004DA6">
        <w:rPr>
          <w:rFonts w:ascii="Times New Roman" w:hAnsi="Times New Roman" w:cs="Times New Roman"/>
          <w:noProof/>
          <w:sz w:val="24"/>
          <w:szCs w:val="24"/>
          <w:lang w:val="en-IE"/>
        </w:rPr>
        <w:t>upervisor (EDPS)</w:t>
      </w:r>
      <w:r w:rsidR="00B82E5C" w:rsidRPr="00004DA6">
        <w:rPr>
          <w:rFonts w:ascii="Times New Roman" w:hAnsi="Times New Roman" w:cs="Times New Roman"/>
          <w:noProof/>
          <w:sz w:val="24"/>
          <w:szCs w:val="24"/>
          <w:lang w:val="en-IE"/>
        </w:rPr>
        <w:t xml:space="preserve"> and national data protection authorities. A detailed description of the stakeholder consultation is presented in Annex V. </w:t>
      </w:r>
    </w:p>
    <w:p w14:paraId="2559FFA3" w14:textId="42B752EF" w:rsidR="00B82E5C" w:rsidRDefault="00B82E5C" w:rsidP="00B82E5C">
      <w:pPr>
        <w:jc w:val="both"/>
        <w:rPr>
          <w:rFonts w:ascii="Times New Roman" w:hAnsi="Times New Roman" w:cs="Times New Roman"/>
          <w:noProof/>
          <w:sz w:val="24"/>
          <w:szCs w:val="24"/>
          <w:lang w:val="en-IE"/>
        </w:rPr>
      </w:pPr>
      <w:r w:rsidRPr="66687D7F">
        <w:rPr>
          <w:rFonts w:ascii="Times New Roman" w:hAnsi="Times New Roman" w:cs="Times New Roman"/>
          <w:noProof/>
          <w:sz w:val="24"/>
          <w:szCs w:val="24"/>
          <w:lang w:val="en-IE"/>
        </w:rPr>
        <w:t>Th</w:t>
      </w:r>
      <w:r w:rsidR="00232519" w:rsidRPr="66687D7F">
        <w:rPr>
          <w:rFonts w:ascii="Times New Roman" w:hAnsi="Times New Roman" w:cs="Times New Roman"/>
          <w:noProof/>
          <w:sz w:val="24"/>
          <w:szCs w:val="24"/>
          <w:lang w:val="en-IE"/>
        </w:rPr>
        <w:t>is</w:t>
      </w:r>
      <w:r w:rsidRPr="66687D7F">
        <w:rPr>
          <w:rFonts w:ascii="Times New Roman" w:hAnsi="Times New Roman" w:cs="Times New Roman"/>
          <w:noProof/>
          <w:sz w:val="24"/>
          <w:szCs w:val="24"/>
          <w:lang w:val="en-IE"/>
        </w:rPr>
        <w:t xml:space="preserve"> evaluation analyses whether the eu-LISA Regulation</w:t>
      </w:r>
      <w:r w:rsidR="00815DA3" w:rsidRPr="66687D7F">
        <w:rPr>
          <w:rFonts w:ascii="Times New Roman" w:hAnsi="Times New Roman" w:cs="Times New Roman"/>
          <w:noProof/>
          <w:sz w:val="24"/>
          <w:szCs w:val="24"/>
          <w:lang w:val="en-IE"/>
        </w:rPr>
        <w:t xml:space="preserve"> contributed to </w:t>
      </w:r>
      <w:r w:rsidR="00E12D22" w:rsidRPr="66687D7F">
        <w:rPr>
          <w:rFonts w:ascii="Times New Roman" w:hAnsi="Times New Roman" w:cs="Times New Roman"/>
          <w:noProof/>
          <w:sz w:val="24"/>
          <w:szCs w:val="24"/>
          <w:lang w:val="en-IE"/>
        </w:rPr>
        <w:t xml:space="preserve">the </w:t>
      </w:r>
      <w:r w:rsidR="00815DA3" w:rsidRPr="66687D7F">
        <w:rPr>
          <w:rFonts w:ascii="Times New Roman" w:hAnsi="Times New Roman" w:cs="Times New Roman"/>
          <w:noProof/>
          <w:sz w:val="24"/>
          <w:szCs w:val="24"/>
          <w:lang w:val="en-IE"/>
        </w:rPr>
        <w:t>achievement of the general objectives of the Agency in an effective, efficient and coherent manner.</w:t>
      </w:r>
      <w:r w:rsidRPr="66687D7F">
        <w:rPr>
          <w:rFonts w:ascii="Times New Roman" w:hAnsi="Times New Roman" w:cs="Times New Roman"/>
          <w:noProof/>
          <w:sz w:val="24"/>
          <w:szCs w:val="24"/>
          <w:lang w:val="en-IE"/>
        </w:rPr>
        <w:t xml:space="preserve"> </w:t>
      </w:r>
      <w:r w:rsidR="00BE06FE" w:rsidRPr="66687D7F">
        <w:rPr>
          <w:rFonts w:ascii="Times New Roman" w:hAnsi="Times New Roman" w:cs="Times New Roman"/>
          <w:noProof/>
          <w:sz w:val="24"/>
          <w:szCs w:val="24"/>
          <w:lang w:val="en-IE"/>
        </w:rPr>
        <w:t>This evaluation</w:t>
      </w:r>
      <w:r w:rsidRPr="66687D7F">
        <w:rPr>
          <w:rFonts w:ascii="Times New Roman" w:hAnsi="Times New Roman" w:cs="Times New Roman"/>
          <w:noProof/>
          <w:sz w:val="24"/>
          <w:szCs w:val="24"/>
          <w:lang w:val="en-IE"/>
        </w:rPr>
        <w:t xml:space="preserve"> includes an analysis of the legal and policy framework</w:t>
      </w:r>
      <w:r w:rsidR="00232519" w:rsidRPr="66687D7F">
        <w:rPr>
          <w:rFonts w:ascii="Times New Roman" w:hAnsi="Times New Roman" w:cs="Times New Roman"/>
          <w:noProof/>
          <w:sz w:val="24"/>
          <w:szCs w:val="24"/>
          <w:lang w:val="en-IE"/>
        </w:rPr>
        <w:t>s</w:t>
      </w:r>
      <w:r w:rsidRPr="66687D7F">
        <w:rPr>
          <w:rFonts w:ascii="Times New Roman" w:hAnsi="Times New Roman" w:cs="Times New Roman"/>
          <w:noProof/>
          <w:sz w:val="24"/>
          <w:szCs w:val="24"/>
          <w:lang w:val="en-IE"/>
        </w:rPr>
        <w:t xml:space="preserve"> governing eu-LISA and focus largely on the performance of the tasks, the organisation set-up, including the governance and locations of the Agency, and the management of economic, human and technical resources.</w:t>
      </w:r>
    </w:p>
    <w:p w14:paraId="08B0E629" w14:textId="08418527" w:rsidR="00B82E5C" w:rsidRDefault="00B82E5C" w:rsidP="00B82E5C">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Furthermore, the evaluation analyses the relevance and EU added value </w:t>
      </w:r>
      <w:r w:rsidR="00EA3572">
        <w:rPr>
          <w:rFonts w:ascii="Times New Roman" w:hAnsi="Times New Roman" w:cs="Times New Roman"/>
          <w:noProof/>
          <w:sz w:val="24"/>
          <w:szCs w:val="24"/>
          <w:lang w:val="en-IE"/>
        </w:rPr>
        <w:t>of the Agency</w:t>
      </w:r>
      <w:r>
        <w:rPr>
          <w:rFonts w:ascii="Times New Roman" w:hAnsi="Times New Roman" w:cs="Times New Roman"/>
          <w:noProof/>
          <w:sz w:val="24"/>
          <w:szCs w:val="24"/>
          <w:lang w:val="en-IE"/>
        </w:rPr>
        <w:t>, by assessing to what extent the new mandate of the Agency, introduced in 2018, has contributed to achieving the objectives of the Agency, and to which extent it has supported Member States in the development and implementation of the large-scale IT systems in the Area of Freedom, Security and Justice. Additionally, the evaluation analyses whether the objectives of eu-LISA could have been achieved sufficiently by Member States acting alone.</w:t>
      </w:r>
    </w:p>
    <w:p w14:paraId="057A737D" w14:textId="22E78DC8" w:rsidR="00B82E5C" w:rsidRDefault="00B82E5C" w:rsidP="00B82E5C">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Finally, the evaluation looks at the relevance of eu-LISA in the context of current </w:t>
      </w:r>
      <w:r w:rsidR="00DD19DF">
        <w:rPr>
          <w:rFonts w:ascii="Times New Roman" w:hAnsi="Times New Roman" w:cs="Times New Roman"/>
          <w:noProof/>
          <w:sz w:val="24"/>
          <w:szCs w:val="24"/>
          <w:lang w:val="en-IE"/>
        </w:rPr>
        <w:t>and emerging needs and challenges</w:t>
      </w:r>
      <w:r>
        <w:rPr>
          <w:rFonts w:ascii="Times New Roman" w:hAnsi="Times New Roman" w:cs="Times New Roman"/>
          <w:noProof/>
          <w:sz w:val="24"/>
          <w:szCs w:val="24"/>
          <w:lang w:val="en-IE"/>
        </w:rPr>
        <w:t>. This includes assessing the relevance of the eu-LISA regulation in terms of its overall scope and objectives.</w:t>
      </w:r>
    </w:p>
    <w:p w14:paraId="23904676" w14:textId="6875C983" w:rsidR="00B85AB9" w:rsidRPr="00B82E5C" w:rsidRDefault="00B82E5C" w:rsidP="00B82E5C">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 evaluation takes stock of the state of play in the implementation of the eu-LISA Regulation and identifies a series of areas of attention for improvement that will feed into the future work of the Commission, eu-LISA and Member States.</w:t>
      </w:r>
    </w:p>
    <w:p w14:paraId="1B5D855C" w14:textId="1B44E919" w:rsidR="008530D4" w:rsidRPr="00147D71" w:rsidRDefault="00147D71" w:rsidP="00050793">
      <w:pPr>
        <w:pStyle w:val="Heading1"/>
        <w:numPr>
          <w:ilvl w:val="0"/>
          <w:numId w:val="2"/>
        </w:numPr>
        <w:pBdr>
          <w:top w:val="single" w:sz="4" w:space="1" w:color="auto"/>
          <w:left w:val="single" w:sz="4" w:space="4" w:color="auto"/>
          <w:bottom w:val="single" w:sz="4" w:space="1" w:color="auto"/>
          <w:right w:val="single" w:sz="4" w:space="4" w:color="auto"/>
        </w:pBdr>
        <w:shd w:val="clear" w:color="auto" w:fill="BBDAFD" w:themeFill="text2" w:themeFillTint="33"/>
        <w:rPr>
          <w:noProof/>
          <w:lang w:val="en-IE"/>
        </w:rPr>
      </w:pPr>
      <w:bookmarkStart w:id="6" w:name="_Toc42093672"/>
      <w:bookmarkStart w:id="7" w:name="_Toc42093883"/>
      <w:bookmarkStart w:id="8" w:name="_Toc207303603"/>
      <w:r w:rsidRPr="00147D71">
        <w:rPr>
          <w:noProof/>
          <w:szCs w:val="24"/>
          <w:lang w:val="en-IE"/>
        </w:rPr>
        <w:t xml:space="preserve">What was </w:t>
      </w:r>
      <w:r w:rsidR="009610DF">
        <w:rPr>
          <w:noProof/>
          <w:szCs w:val="24"/>
          <w:lang w:val="en-IE"/>
        </w:rPr>
        <w:t xml:space="preserve">the </w:t>
      </w:r>
      <w:r w:rsidRPr="00147D71">
        <w:rPr>
          <w:noProof/>
          <w:szCs w:val="24"/>
          <w:lang w:val="en-IE"/>
        </w:rPr>
        <w:t xml:space="preserve">expected </w:t>
      </w:r>
      <w:r w:rsidR="009610DF">
        <w:rPr>
          <w:noProof/>
          <w:szCs w:val="24"/>
          <w:lang w:val="en-IE"/>
        </w:rPr>
        <w:t>outcome of the intervention</w:t>
      </w:r>
      <w:r w:rsidRPr="00147D71">
        <w:rPr>
          <w:noProof/>
          <w:szCs w:val="24"/>
          <w:lang w:val="en-IE"/>
        </w:rPr>
        <w:t>?</w:t>
      </w:r>
      <w:bookmarkEnd w:id="6"/>
      <w:bookmarkEnd w:id="7"/>
      <w:bookmarkEnd w:id="8"/>
    </w:p>
    <w:p w14:paraId="6DD1DC82" w14:textId="6FFC296F" w:rsidR="008530D4" w:rsidRDefault="008530D4" w:rsidP="005A1693">
      <w:pPr>
        <w:pStyle w:val="Heading2"/>
        <w:numPr>
          <w:ilvl w:val="1"/>
          <w:numId w:val="4"/>
        </w:numPr>
        <w:rPr>
          <w:noProof/>
          <w:szCs w:val="24"/>
        </w:rPr>
      </w:pPr>
      <w:bookmarkStart w:id="9" w:name="_Toc42093483"/>
      <w:bookmarkStart w:id="10" w:name="_Toc42093550"/>
      <w:bookmarkStart w:id="11" w:name="_Toc42093673"/>
      <w:bookmarkStart w:id="12" w:name="_Toc42093884"/>
      <w:bookmarkStart w:id="13" w:name="_Toc207303604"/>
      <w:r w:rsidRPr="00147D71">
        <w:rPr>
          <w:noProof/>
          <w:szCs w:val="24"/>
        </w:rPr>
        <w:t>Description of the intervention and its objectives</w:t>
      </w:r>
      <w:bookmarkEnd w:id="9"/>
      <w:bookmarkEnd w:id="10"/>
      <w:bookmarkEnd w:id="11"/>
      <w:bookmarkEnd w:id="12"/>
      <w:bookmarkEnd w:id="13"/>
    </w:p>
    <w:p w14:paraId="7F000916" w14:textId="20822C8E" w:rsidR="005A1693" w:rsidRPr="00764F3B" w:rsidRDefault="005A1693" w:rsidP="005A1693">
      <w:pPr>
        <w:jc w:val="both"/>
        <w:rPr>
          <w:rFonts w:ascii="Times New Roman" w:hAnsi="Times New Roman" w:cs="Times New Roman"/>
          <w:noProof/>
          <w:sz w:val="24"/>
          <w:szCs w:val="24"/>
          <w:lang w:val="en-IE"/>
        </w:rPr>
      </w:pPr>
      <w:r w:rsidRPr="004E2424">
        <w:rPr>
          <w:rFonts w:ascii="Times New Roman" w:hAnsi="Times New Roman" w:cs="Times New Roman"/>
          <w:b/>
          <w:bCs/>
          <w:noProof/>
          <w:sz w:val="24"/>
          <w:szCs w:val="24"/>
          <w:lang w:val="en-IE"/>
        </w:rPr>
        <w:t>Objective of eu-LISA</w:t>
      </w:r>
    </w:p>
    <w:p w14:paraId="728C0618" w14:textId="4E4E7847" w:rsidR="005D693A" w:rsidRPr="005A1693" w:rsidRDefault="005D693A" w:rsidP="005A1693">
      <w:pPr>
        <w:jc w:val="both"/>
        <w:rPr>
          <w:rFonts w:ascii="Times New Roman" w:hAnsi="Times New Roman" w:cs="Times New Roman"/>
          <w:noProof/>
          <w:sz w:val="24"/>
          <w:szCs w:val="24"/>
          <w:lang w:val="en-IE"/>
        </w:rPr>
      </w:pPr>
      <w:r w:rsidRPr="005A1693">
        <w:rPr>
          <w:rFonts w:ascii="Times New Roman" w:hAnsi="Times New Roman" w:cs="Times New Roman"/>
          <w:noProof/>
          <w:sz w:val="24"/>
          <w:szCs w:val="24"/>
          <w:lang w:val="en-IE"/>
        </w:rPr>
        <w:t xml:space="preserve">The establishment of a European Agency for the operational management of large-scale IT systems in the area of freedom, security and justice (“eu-LISA”) dates back to the adoption of its Regulation in 2011 as </w:t>
      </w:r>
      <w:r w:rsidR="00E163EB" w:rsidRPr="005A1693">
        <w:rPr>
          <w:rFonts w:ascii="Times New Roman" w:hAnsi="Times New Roman" w:cs="Times New Roman"/>
          <w:noProof/>
          <w:sz w:val="24"/>
          <w:szCs w:val="24"/>
          <w:lang w:val="en-IE"/>
        </w:rPr>
        <w:t>a solution for the long-term operational management of SIS II, VIS and EURODAC</w:t>
      </w:r>
      <w:r w:rsidRPr="005A1693">
        <w:rPr>
          <w:rFonts w:ascii="Times New Roman" w:hAnsi="Times New Roman" w:cs="Times New Roman"/>
          <w:noProof/>
          <w:sz w:val="24"/>
          <w:szCs w:val="24"/>
          <w:lang w:val="en-IE"/>
        </w:rPr>
        <w:t xml:space="preserve">. In 2017, the Commission published its first evaluation of the </w:t>
      </w:r>
      <w:r w:rsidR="00A25482" w:rsidRPr="005A1693">
        <w:rPr>
          <w:rFonts w:ascii="Times New Roman" w:hAnsi="Times New Roman" w:cs="Times New Roman"/>
          <w:noProof/>
          <w:sz w:val="24"/>
          <w:szCs w:val="24"/>
          <w:lang w:val="en-IE"/>
        </w:rPr>
        <w:t xml:space="preserve">initial </w:t>
      </w:r>
      <w:r w:rsidRPr="005A1693">
        <w:rPr>
          <w:rFonts w:ascii="Times New Roman" w:hAnsi="Times New Roman" w:cs="Times New Roman"/>
          <w:noProof/>
          <w:sz w:val="24"/>
          <w:szCs w:val="24"/>
          <w:lang w:val="en-IE"/>
        </w:rPr>
        <w:t>eu-LISA Regulation.</w:t>
      </w:r>
      <w:r w:rsidRPr="005A1693">
        <w:rPr>
          <w:rFonts w:ascii="Times New Roman" w:eastAsiaTheme="majorEastAsia" w:hAnsi="Times New Roman" w:cs="Times New Roman"/>
          <w:noProof/>
          <w:sz w:val="24"/>
          <w:szCs w:val="24"/>
          <w:vertAlign w:val="superscript"/>
          <w:lang w:val="en-IE"/>
        </w:rPr>
        <w:footnoteReference w:id="7"/>
      </w:r>
      <w:r w:rsidRPr="005A1693">
        <w:rPr>
          <w:rFonts w:ascii="Times New Roman" w:hAnsi="Times New Roman" w:cs="Times New Roman"/>
          <w:noProof/>
          <w:sz w:val="24"/>
          <w:szCs w:val="24"/>
          <w:lang w:val="en-IE"/>
        </w:rPr>
        <w:t xml:space="preserve"> Albeit the evaluation conclude</w:t>
      </w:r>
      <w:r w:rsidR="006B0F38" w:rsidRPr="005A1693">
        <w:rPr>
          <w:rFonts w:ascii="Times New Roman" w:hAnsi="Times New Roman" w:cs="Times New Roman"/>
          <w:noProof/>
          <w:sz w:val="24"/>
          <w:szCs w:val="24"/>
          <w:lang w:val="en-IE"/>
        </w:rPr>
        <w:t>s</w:t>
      </w:r>
      <w:r w:rsidRPr="005A1693">
        <w:rPr>
          <w:rFonts w:ascii="Times New Roman" w:hAnsi="Times New Roman" w:cs="Times New Roman"/>
          <w:noProof/>
          <w:sz w:val="24"/>
          <w:szCs w:val="24"/>
          <w:lang w:val="en-IE"/>
        </w:rPr>
        <w:t xml:space="preserve"> that eu-LISA overall effectively ensure</w:t>
      </w:r>
      <w:r w:rsidR="006B0F38" w:rsidRPr="005A1693">
        <w:rPr>
          <w:rFonts w:ascii="Times New Roman" w:hAnsi="Times New Roman" w:cs="Times New Roman"/>
          <w:noProof/>
          <w:sz w:val="24"/>
          <w:szCs w:val="24"/>
          <w:lang w:val="en-IE"/>
        </w:rPr>
        <w:t>d</w:t>
      </w:r>
      <w:r w:rsidRPr="005A1693">
        <w:rPr>
          <w:rFonts w:ascii="Times New Roman" w:hAnsi="Times New Roman" w:cs="Times New Roman"/>
          <w:noProof/>
          <w:sz w:val="24"/>
          <w:szCs w:val="24"/>
          <w:lang w:val="en-IE"/>
        </w:rPr>
        <w:t xml:space="preserve"> the management of large-scale IT systems and create</w:t>
      </w:r>
      <w:r w:rsidR="006B0F38" w:rsidRPr="005A1693">
        <w:rPr>
          <w:rFonts w:ascii="Times New Roman" w:hAnsi="Times New Roman" w:cs="Times New Roman"/>
          <w:noProof/>
          <w:sz w:val="24"/>
          <w:szCs w:val="24"/>
          <w:lang w:val="en-IE"/>
        </w:rPr>
        <w:t>d</w:t>
      </w:r>
      <w:r w:rsidRPr="005A1693">
        <w:rPr>
          <w:rFonts w:ascii="Times New Roman" w:hAnsi="Times New Roman" w:cs="Times New Roman"/>
          <w:noProof/>
          <w:sz w:val="24"/>
          <w:szCs w:val="24"/>
          <w:lang w:val="en-IE"/>
        </w:rPr>
        <w:t xml:space="preserve"> clear added value, it found significant room for improvement.</w:t>
      </w:r>
    </w:p>
    <w:p w14:paraId="5F39816F" w14:textId="630AC707" w:rsidR="00AF4CBD" w:rsidRPr="005A1693" w:rsidRDefault="00865DDD" w:rsidP="005A1693">
      <w:pPr>
        <w:jc w:val="both"/>
        <w:rPr>
          <w:rFonts w:ascii="Times New Roman" w:hAnsi="Times New Roman" w:cs="Times New Roman"/>
          <w:noProof/>
          <w:sz w:val="24"/>
          <w:szCs w:val="24"/>
          <w:lang w:val="en-IE"/>
        </w:rPr>
      </w:pPr>
      <w:r w:rsidRPr="004E2424">
        <w:rPr>
          <w:rFonts w:ascii="Times New Roman" w:hAnsi="Times New Roman" w:cs="Times New Roman"/>
          <w:noProof/>
          <w:sz w:val="24"/>
          <w:szCs w:val="24"/>
          <w:lang w:val="en-IE"/>
        </w:rPr>
        <w:t>Following</w:t>
      </w:r>
      <w:r w:rsidR="005D693A" w:rsidRPr="009A4888">
        <w:rPr>
          <w:rFonts w:ascii="Times New Roman" w:hAnsi="Times New Roman" w:cs="Times New Roman"/>
          <w:noProof/>
          <w:sz w:val="24"/>
          <w:szCs w:val="24"/>
          <w:lang w:val="en-IE"/>
        </w:rPr>
        <w:t xml:space="preserve"> the </w:t>
      </w:r>
      <w:r w:rsidRPr="004E2424">
        <w:rPr>
          <w:rFonts w:ascii="Times New Roman" w:hAnsi="Times New Roman" w:cs="Times New Roman"/>
          <w:noProof/>
          <w:sz w:val="24"/>
          <w:szCs w:val="24"/>
          <w:lang w:val="en-IE"/>
        </w:rPr>
        <w:t>2017</w:t>
      </w:r>
      <w:r w:rsidR="00AF4CBD" w:rsidRPr="004E2424">
        <w:rPr>
          <w:rFonts w:ascii="Times New Roman" w:hAnsi="Times New Roman" w:cs="Times New Roman"/>
          <w:noProof/>
          <w:sz w:val="24"/>
          <w:szCs w:val="24"/>
          <w:lang w:val="en-IE"/>
        </w:rPr>
        <w:t xml:space="preserve"> </w:t>
      </w:r>
      <w:r w:rsidR="005D693A" w:rsidRPr="009A4888">
        <w:rPr>
          <w:rFonts w:ascii="Times New Roman" w:hAnsi="Times New Roman" w:cs="Times New Roman"/>
          <w:noProof/>
          <w:sz w:val="24"/>
          <w:szCs w:val="24"/>
          <w:lang w:val="en-IE"/>
        </w:rPr>
        <w:t>evaluation, the Commission adopted a new eu-LISA Regulation</w:t>
      </w:r>
      <w:r w:rsidR="005A1693" w:rsidRPr="009A4888">
        <w:rPr>
          <w:rFonts w:ascii="Times New Roman" w:hAnsi="Times New Roman" w:cs="Times New Roman"/>
          <w:noProof/>
          <w:sz w:val="24"/>
          <w:szCs w:val="24"/>
          <w:lang w:val="en-IE"/>
        </w:rPr>
        <w:t>,</w:t>
      </w:r>
      <w:r w:rsidR="00AF4CBD" w:rsidRPr="005A1693">
        <w:rPr>
          <w:rFonts w:ascii="Times New Roman" w:hAnsi="Times New Roman" w:cs="Times New Roman"/>
          <w:noProof/>
          <w:sz w:val="24"/>
          <w:szCs w:val="24"/>
          <w:lang w:val="en-IE"/>
        </w:rPr>
        <w:t xml:space="preserve"> Regulation (EU) 2018/1726,</w:t>
      </w:r>
      <w:r w:rsidR="00AF4CBD" w:rsidRPr="005A1693">
        <w:rPr>
          <w:rFonts w:ascii="Times New Roman" w:eastAsiaTheme="majorEastAsia" w:hAnsi="Times New Roman" w:cs="Times New Roman"/>
          <w:noProof/>
          <w:sz w:val="24"/>
          <w:szCs w:val="24"/>
          <w:vertAlign w:val="superscript"/>
          <w:lang w:val="en-IE"/>
        </w:rPr>
        <w:footnoteReference w:id="8"/>
      </w:r>
      <w:r w:rsidR="00AF4CBD" w:rsidRPr="005A1693">
        <w:rPr>
          <w:rFonts w:ascii="Times New Roman" w:hAnsi="Times New Roman" w:cs="Times New Roman"/>
          <w:noProof/>
          <w:sz w:val="24"/>
          <w:szCs w:val="24"/>
          <w:lang w:val="en-IE"/>
        </w:rPr>
        <w:t xml:space="preserve"> which is the subject of this evaluation. The objective was to address the recommendations esteeming from the evaluation, as well as to improve the functioning of the Agency and to enhance and strengthen its role to ensure that </w:t>
      </w:r>
      <w:r w:rsidR="00AF4CBD" w:rsidRPr="004E2424">
        <w:rPr>
          <w:rFonts w:ascii="Times New Roman" w:hAnsi="Times New Roman" w:cs="Times New Roman"/>
          <w:noProof/>
          <w:sz w:val="24"/>
          <w:szCs w:val="24"/>
          <w:lang w:val="en-IE"/>
        </w:rPr>
        <w:t>the mandate met the challenges at EU level in the area of freedom, security and justice</w:t>
      </w:r>
      <w:r w:rsidR="00AF4CBD" w:rsidRPr="005A1693">
        <w:rPr>
          <w:rFonts w:ascii="Times New Roman" w:hAnsi="Times New Roman" w:cs="Times New Roman"/>
          <w:noProof/>
          <w:sz w:val="24"/>
          <w:szCs w:val="24"/>
          <w:lang w:val="en-IE"/>
        </w:rPr>
        <w:t xml:space="preserve">. This new instrument, aimed also at </w:t>
      </w:r>
      <w:r w:rsidR="00AF4CBD" w:rsidRPr="004E2424">
        <w:rPr>
          <w:rFonts w:ascii="Times New Roman" w:hAnsi="Times New Roman" w:cs="Times New Roman"/>
          <w:noProof/>
          <w:sz w:val="24"/>
          <w:szCs w:val="24"/>
          <w:lang w:val="en-IE"/>
        </w:rPr>
        <w:t xml:space="preserve">inserting in the Regulation changes deriving from policy, legal or factual developments and in particular to reflect the fact that new systems were be entrusted to the Agency and </w:t>
      </w:r>
      <w:r w:rsidR="00AF4CBD" w:rsidRPr="005A1693">
        <w:rPr>
          <w:rFonts w:ascii="Times New Roman" w:hAnsi="Times New Roman" w:cs="Times New Roman"/>
          <w:noProof/>
          <w:sz w:val="24"/>
          <w:szCs w:val="24"/>
          <w:lang w:val="en-IE"/>
        </w:rPr>
        <w:t>the responsibility of the Agency to develop the interoperability between the large-scale IT systems. In particular, these changes included:</w:t>
      </w:r>
    </w:p>
    <w:p w14:paraId="30DFFDDE" w14:textId="3EEC5448" w:rsidR="00AF4CBD" w:rsidRPr="004E2424" w:rsidRDefault="00AF4CBD" w:rsidP="005A1693">
      <w:pPr>
        <w:pStyle w:val="ListParagraph"/>
        <w:numPr>
          <w:ilvl w:val="0"/>
          <w:numId w:val="83"/>
        </w:numPr>
        <w:rPr>
          <w:noProof/>
          <w:szCs w:val="24"/>
          <w:lang w:val="en-IE"/>
        </w:rPr>
      </w:pPr>
      <w:r w:rsidRPr="004E2424">
        <w:rPr>
          <w:noProof/>
          <w:szCs w:val="24"/>
          <w:lang w:val="en-IE"/>
        </w:rPr>
        <w:t>Giving eu-LISA enhanced responsibilities with regard to data quality subject to the adoption of specific legislative amendments/proposals</w:t>
      </w:r>
      <w:r w:rsidR="006041F7">
        <w:rPr>
          <w:noProof/>
          <w:szCs w:val="24"/>
          <w:lang w:val="en-IE"/>
        </w:rPr>
        <w:t>.</w:t>
      </w:r>
    </w:p>
    <w:p w14:paraId="6573F3F2" w14:textId="0153F86A" w:rsidR="00AF4CBD" w:rsidRPr="004E2424" w:rsidRDefault="00AF4CBD" w:rsidP="005A1693">
      <w:pPr>
        <w:pStyle w:val="ListParagraph"/>
        <w:numPr>
          <w:ilvl w:val="0"/>
          <w:numId w:val="83"/>
        </w:numPr>
        <w:rPr>
          <w:noProof/>
          <w:szCs w:val="24"/>
          <w:lang w:val="en-IE"/>
        </w:rPr>
      </w:pPr>
      <w:r w:rsidRPr="004E2424">
        <w:rPr>
          <w:noProof/>
          <w:szCs w:val="24"/>
          <w:lang w:val="en-IE"/>
        </w:rPr>
        <w:t>Giving eu-LISA responsibility for the development of interoperability actions subject to the adoption of the relevant legislative proposals</w:t>
      </w:r>
      <w:r w:rsidR="006041F7">
        <w:rPr>
          <w:noProof/>
          <w:szCs w:val="24"/>
          <w:lang w:val="en-IE"/>
        </w:rPr>
        <w:t>.</w:t>
      </w:r>
    </w:p>
    <w:p w14:paraId="0F18548D" w14:textId="54C21787" w:rsidR="00AF4CBD" w:rsidRPr="004E2424" w:rsidRDefault="00AF4CBD" w:rsidP="005A1693">
      <w:pPr>
        <w:pStyle w:val="ListParagraph"/>
        <w:numPr>
          <w:ilvl w:val="0"/>
          <w:numId w:val="83"/>
        </w:numPr>
        <w:rPr>
          <w:noProof/>
          <w:szCs w:val="24"/>
          <w:lang w:val="en-IE"/>
        </w:rPr>
      </w:pPr>
      <w:r w:rsidRPr="005A1693">
        <w:rPr>
          <w:noProof/>
          <w:szCs w:val="24"/>
          <w:lang w:val="en-IE"/>
        </w:rPr>
        <w:t>A</w:t>
      </w:r>
      <w:r w:rsidRPr="004E2424">
        <w:rPr>
          <w:noProof/>
          <w:szCs w:val="24"/>
          <w:lang w:val="en-IE"/>
        </w:rPr>
        <w:t>ddressing the possible need for eu-LISA to develop, manage and/or host joint technical solutions for the national implementation of technical aspects of obligations deriving from EU legislation on decentralised systems in the area of freedom, security and justice for interested Member States; and</w:t>
      </w:r>
    </w:p>
    <w:p w14:paraId="6B493E32" w14:textId="53347F92" w:rsidR="00AF4CBD" w:rsidRPr="005A1693" w:rsidRDefault="00AF4CBD" w:rsidP="005A1693">
      <w:pPr>
        <w:pStyle w:val="ListParagraph"/>
        <w:numPr>
          <w:ilvl w:val="0"/>
          <w:numId w:val="83"/>
        </w:numPr>
        <w:rPr>
          <w:noProof/>
          <w:szCs w:val="24"/>
          <w:lang w:val="en-IE"/>
        </w:rPr>
      </w:pPr>
      <w:r w:rsidRPr="004E2424">
        <w:rPr>
          <w:noProof/>
          <w:szCs w:val="24"/>
          <w:lang w:val="en-IE"/>
        </w:rPr>
        <w:t>Addressing changes required by the adoption of the ECRIS-TCN proposal.</w:t>
      </w:r>
    </w:p>
    <w:p w14:paraId="40305D48" w14:textId="409F11EA" w:rsidR="00511E61" w:rsidRPr="006041F7" w:rsidRDefault="005D693A" w:rsidP="5BAB29C7">
      <w:pPr>
        <w:jc w:val="both"/>
        <w:rPr>
          <w:rFonts w:ascii="Times New Roman" w:hAnsi="Times New Roman" w:cs="Times New Roman"/>
          <w:noProof/>
          <w:sz w:val="24"/>
          <w:szCs w:val="24"/>
          <w:lang w:val="en-IE"/>
        </w:rPr>
      </w:pPr>
      <w:r w:rsidRPr="005A1693">
        <w:rPr>
          <w:rFonts w:ascii="Times New Roman" w:hAnsi="Times New Roman" w:cs="Times New Roman"/>
          <w:noProof/>
          <w:sz w:val="24"/>
          <w:szCs w:val="24"/>
          <w:lang w:val="en-IE"/>
        </w:rPr>
        <w:t xml:space="preserve">This new </w:t>
      </w:r>
      <w:r w:rsidR="00AF4CBD" w:rsidRPr="005A1693">
        <w:rPr>
          <w:rFonts w:ascii="Times New Roman" w:hAnsi="Times New Roman" w:cs="Times New Roman"/>
          <w:noProof/>
          <w:sz w:val="24"/>
          <w:szCs w:val="24"/>
          <w:lang w:val="en-IE"/>
        </w:rPr>
        <w:t>instrument extended the mandate of the Agency to allow it to take over new tasks</w:t>
      </w:r>
      <w:r w:rsidR="005A1693" w:rsidRPr="005A1693">
        <w:rPr>
          <w:rFonts w:ascii="Times New Roman" w:hAnsi="Times New Roman" w:cs="Times New Roman"/>
          <w:noProof/>
          <w:sz w:val="24"/>
          <w:szCs w:val="24"/>
          <w:lang w:val="en-IE"/>
        </w:rPr>
        <w:t xml:space="preserve"> in order to </w:t>
      </w:r>
      <w:r w:rsidR="005A1693" w:rsidRPr="004E2424">
        <w:rPr>
          <w:rFonts w:ascii="Times New Roman" w:hAnsi="Times New Roman" w:cs="Times New Roman"/>
          <w:noProof/>
          <w:sz w:val="24"/>
          <w:szCs w:val="24"/>
          <w:lang w:val="en-IE"/>
        </w:rPr>
        <w:t xml:space="preserve">render border management more effective and secure and to reinforcing security </w:t>
      </w:r>
      <w:r w:rsidR="005A1693" w:rsidRPr="006041F7">
        <w:rPr>
          <w:rFonts w:ascii="Times New Roman" w:hAnsi="Times New Roman" w:cs="Times New Roman"/>
          <w:noProof/>
          <w:sz w:val="24"/>
          <w:szCs w:val="24"/>
          <w:lang w:val="en-IE"/>
        </w:rPr>
        <w:t xml:space="preserve">and combatting and preventing crime. </w:t>
      </w:r>
      <w:r w:rsidR="00511E61" w:rsidRPr="006041F7">
        <w:rPr>
          <w:rFonts w:ascii="Times New Roman" w:eastAsia="Calibri" w:hAnsi="Times New Roman" w:cs="Times New Roman"/>
          <w:noProof/>
          <w:sz w:val="24"/>
          <w:szCs w:val="24"/>
          <w:lang w:val="en-IE"/>
        </w:rPr>
        <w:t>The general objective of the Agency thus remains to “</w:t>
      </w:r>
      <w:r w:rsidR="00511E61" w:rsidRPr="006041F7">
        <w:rPr>
          <w:rFonts w:ascii="Times New Roman" w:eastAsia="Calibri" w:hAnsi="Times New Roman" w:cs="Times New Roman"/>
          <w:i/>
          <w:iCs/>
          <w:noProof/>
          <w:sz w:val="24"/>
          <w:szCs w:val="24"/>
          <w:lang w:val="en-IE"/>
        </w:rPr>
        <w:t>contribute to a high-level security within the area of freedom, security and justice, including by facilitating border management and law enforcement</w:t>
      </w:r>
      <w:r w:rsidR="00511E61" w:rsidRPr="006041F7">
        <w:rPr>
          <w:rFonts w:ascii="Times New Roman" w:eastAsia="Calibri" w:hAnsi="Times New Roman" w:cs="Times New Roman"/>
          <w:noProof/>
          <w:sz w:val="24"/>
          <w:szCs w:val="24"/>
          <w:lang w:val="en-IE"/>
        </w:rPr>
        <w:t xml:space="preserve">”. In addition, the Agency has the following specific objectives based on </w:t>
      </w:r>
      <w:r w:rsidR="00E163EB" w:rsidRPr="006041F7">
        <w:rPr>
          <w:rFonts w:ascii="Times New Roman" w:eastAsia="Calibri" w:hAnsi="Times New Roman" w:cs="Times New Roman"/>
          <w:noProof/>
          <w:sz w:val="24"/>
          <w:szCs w:val="24"/>
          <w:lang w:val="en-IE"/>
        </w:rPr>
        <w:t xml:space="preserve">the establishing </w:t>
      </w:r>
      <w:r w:rsidR="00511E61" w:rsidRPr="006041F7">
        <w:rPr>
          <w:rFonts w:ascii="Times New Roman" w:eastAsia="Calibri" w:hAnsi="Times New Roman" w:cs="Times New Roman"/>
          <w:noProof/>
          <w:sz w:val="24"/>
          <w:szCs w:val="24"/>
          <w:lang w:val="en-IE"/>
        </w:rPr>
        <w:t>eu-LISA Regulation</w:t>
      </w:r>
      <w:r w:rsidR="00E163EB" w:rsidRPr="006041F7">
        <w:rPr>
          <w:rFonts w:ascii="Times New Roman" w:eastAsia="Calibri" w:hAnsi="Times New Roman" w:cs="Times New Roman"/>
          <w:noProof/>
          <w:sz w:val="24"/>
          <w:szCs w:val="24"/>
          <w:lang w:val="en-IE"/>
        </w:rPr>
        <w:t>, and the amendments introduced by the IT systems’ establishing regulations</w:t>
      </w:r>
      <w:r w:rsidR="00511E61" w:rsidRPr="006041F7">
        <w:rPr>
          <w:rFonts w:ascii="Times New Roman" w:eastAsia="Calibri" w:hAnsi="Times New Roman" w:cs="Times New Roman"/>
          <w:noProof/>
          <w:sz w:val="24"/>
          <w:szCs w:val="24"/>
          <w:lang w:val="en-IE"/>
        </w:rPr>
        <w:t xml:space="preserve"> (cf. the intervention logic, see Figure </w:t>
      </w:r>
      <w:r w:rsidR="009C004F" w:rsidRPr="006041F7">
        <w:rPr>
          <w:rFonts w:ascii="Times New Roman" w:eastAsia="Calibri" w:hAnsi="Times New Roman" w:cs="Times New Roman"/>
          <w:noProof/>
          <w:sz w:val="24"/>
          <w:szCs w:val="24"/>
          <w:lang w:val="en-IE"/>
        </w:rPr>
        <w:t>1</w:t>
      </w:r>
      <w:r w:rsidR="00511E61" w:rsidRPr="006041F7">
        <w:rPr>
          <w:rFonts w:ascii="Times New Roman" w:eastAsia="Calibri" w:hAnsi="Times New Roman" w:cs="Times New Roman"/>
          <w:noProof/>
          <w:sz w:val="24"/>
          <w:szCs w:val="24"/>
          <w:lang w:val="en-IE"/>
        </w:rPr>
        <w:t xml:space="preserve">): </w:t>
      </w:r>
    </w:p>
    <w:p w14:paraId="1A776175" w14:textId="558CC656" w:rsidR="00511E61" w:rsidRPr="006041F7" w:rsidRDefault="00511E61" w:rsidP="005A1693">
      <w:pPr>
        <w:pStyle w:val="ListParagraph"/>
        <w:numPr>
          <w:ilvl w:val="0"/>
          <w:numId w:val="7"/>
        </w:numPr>
        <w:spacing w:after="120"/>
        <w:rPr>
          <w:rFonts w:eastAsia="Calibri"/>
          <w:noProof/>
          <w:szCs w:val="24"/>
          <w:lang w:val="en-IE"/>
        </w:rPr>
      </w:pPr>
      <w:r w:rsidRPr="006041F7">
        <w:rPr>
          <w:rFonts w:eastAsia="Calibri"/>
          <w:noProof/>
          <w:szCs w:val="24"/>
          <w:lang w:val="en-IE"/>
        </w:rPr>
        <w:t xml:space="preserve">To contribute to a coordinated, cost-effective and coherent IT environment at Union level in the area of freedom, security and justice that is in line with fundamental </w:t>
      </w:r>
      <w:r w:rsidR="006041F7" w:rsidRPr="006041F7">
        <w:rPr>
          <w:rFonts w:eastAsia="Calibri"/>
          <w:noProof/>
          <w:szCs w:val="24"/>
          <w:lang w:val="en-IE"/>
        </w:rPr>
        <w:t>rights.</w:t>
      </w:r>
    </w:p>
    <w:p w14:paraId="70E29839" w14:textId="32EB1F03" w:rsidR="00511E61" w:rsidRPr="006041F7" w:rsidRDefault="00511E61" w:rsidP="005A1693">
      <w:pPr>
        <w:pStyle w:val="ListParagraph"/>
        <w:numPr>
          <w:ilvl w:val="0"/>
          <w:numId w:val="7"/>
        </w:numPr>
        <w:spacing w:after="120"/>
        <w:rPr>
          <w:rFonts w:eastAsia="Calibri"/>
          <w:noProof/>
          <w:szCs w:val="24"/>
          <w:lang w:val="en-IE"/>
        </w:rPr>
      </w:pPr>
      <w:r w:rsidRPr="006041F7">
        <w:rPr>
          <w:rFonts w:eastAsia="Calibri"/>
          <w:noProof/>
          <w:szCs w:val="24"/>
          <w:lang w:val="en-IE"/>
        </w:rPr>
        <w:t xml:space="preserve">To contribute to the development of IT-based solutions in the </w:t>
      </w:r>
      <w:r w:rsidR="00942347" w:rsidRPr="006041F7">
        <w:rPr>
          <w:noProof/>
          <w:szCs w:val="24"/>
          <w:lang w:val="en-IE"/>
        </w:rPr>
        <w:t>area of freedom, security and justice</w:t>
      </w:r>
      <w:r w:rsidRPr="006041F7">
        <w:rPr>
          <w:rFonts w:eastAsia="Calibri"/>
          <w:noProof/>
          <w:szCs w:val="24"/>
          <w:lang w:val="en-IE"/>
        </w:rPr>
        <w:t xml:space="preserve">, including the takeover of e-CODEX; and </w:t>
      </w:r>
    </w:p>
    <w:p w14:paraId="7023003F" w14:textId="01119507" w:rsidR="005A1693" w:rsidRPr="006041F7" w:rsidRDefault="00511E61" w:rsidP="004E2424">
      <w:pPr>
        <w:pStyle w:val="ListParagraph"/>
        <w:numPr>
          <w:ilvl w:val="0"/>
          <w:numId w:val="7"/>
        </w:numPr>
        <w:spacing w:after="120"/>
        <w:rPr>
          <w:noProof/>
          <w:szCs w:val="24"/>
          <w:lang w:val="en-IE"/>
        </w:rPr>
      </w:pPr>
      <w:r w:rsidRPr="006041F7">
        <w:rPr>
          <w:rFonts w:eastAsia="Calibri"/>
          <w:noProof/>
          <w:szCs w:val="24"/>
          <w:lang w:val="en-IE"/>
        </w:rPr>
        <w:t xml:space="preserve">To contribute within the scope of its mandate </w:t>
      </w:r>
      <w:r w:rsidR="00E163EB" w:rsidRPr="006041F7">
        <w:rPr>
          <w:rFonts w:eastAsia="Calibri"/>
          <w:noProof/>
          <w:szCs w:val="24"/>
          <w:lang w:val="en-IE"/>
        </w:rPr>
        <w:t>to the implementation of EU policies</w:t>
      </w:r>
      <w:r w:rsidRPr="006041F7">
        <w:rPr>
          <w:rFonts w:eastAsia="Calibri"/>
          <w:noProof/>
          <w:szCs w:val="24"/>
          <w:lang w:val="en-IE"/>
        </w:rPr>
        <w:t xml:space="preserve"> and to the monitoring of the proper functioning of IT systems in the </w:t>
      </w:r>
      <w:r w:rsidR="00942347" w:rsidRPr="006041F7">
        <w:rPr>
          <w:noProof/>
          <w:szCs w:val="24"/>
          <w:lang w:val="en-IE"/>
        </w:rPr>
        <w:t>area of freedom, security and justice</w:t>
      </w:r>
      <w:r w:rsidRPr="006041F7">
        <w:rPr>
          <w:rFonts w:eastAsia="Calibri"/>
          <w:noProof/>
          <w:szCs w:val="24"/>
          <w:lang w:val="en-IE"/>
        </w:rPr>
        <w:t>.</w:t>
      </w:r>
    </w:p>
    <w:p w14:paraId="1C21DA97" w14:textId="4EED5120" w:rsidR="003E6E16" w:rsidRPr="004E2424" w:rsidRDefault="003E6E16" w:rsidP="005A1693">
      <w:pPr>
        <w:jc w:val="both"/>
        <w:rPr>
          <w:rFonts w:ascii="Times New Roman" w:hAnsi="Times New Roman" w:cs="Times New Roman"/>
          <w:b/>
          <w:bCs/>
          <w:noProof/>
          <w:sz w:val="24"/>
          <w:szCs w:val="24"/>
          <w:lang w:val="en-IE"/>
        </w:rPr>
      </w:pPr>
      <w:r w:rsidRPr="004E2424">
        <w:rPr>
          <w:rFonts w:ascii="Times New Roman" w:hAnsi="Times New Roman" w:cs="Times New Roman"/>
          <w:b/>
          <w:bCs/>
          <w:noProof/>
          <w:sz w:val="24"/>
          <w:szCs w:val="24"/>
          <w:lang w:val="en-IE"/>
        </w:rPr>
        <w:t>The evaluation</w:t>
      </w:r>
      <w:r w:rsidR="003F4225">
        <w:rPr>
          <w:rFonts w:ascii="Times New Roman" w:hAnsi="Times New Roman" w:cs="Times New Roman"/>
          <w:b/>
          <w:bCs/>
          <w:noProof/>
          <w:sz w:val="24"/>
          <w:szCs w:val="24"/>
          <w:lang w:val="en-IE"/>
        </w:rPr>
        <w:t xml:space="preserve"> </w:t>
      </w:r>
    </w:p>
    <w:p w14:paraId="01865E8D" w14:textId="05940F76" w:rsidR="005A1693" w:rsidRDefault="005A1693" w:rsidP="005A1693">
      <w:pPr>
        <w:jc w:val="both"/>
        <w:rPr>
          <w:rFonts w:ascii="Times New Roman" w:hAnsi="Times New Roman" w:cs="Times New Roman"/>
          <w:noProof/>
          <w:sz w:val="24"/>
          <w:szCs w:val="24"/>
          <w:lang w:val="en-GB"/>
        </w:rPr>
      </w:pPr>
      <w:r w:rsidRPr="004E2424">
        <w:rPr>
          <w:rFonts w:ascii="Times New Roman" w:hAnsi="Times New Roman" w:cs="Times New Roman"/>
          <w:noProof/>
          <w:sz w:val="24"/>
          <w:szCs w:val="24"/>
          <w:lang w:val="en-IE"/>
        </w:rPr>
        <w:t>Article 39 of the eu-LISA Regulation calls for an evaluation of the performance of the Agency in relation to its objectives, mandate, locations and tasks with a view to identifying potential areas for improvement</w:t>
      </w:r>
      <w:r w:rsidRPr="004E2424">
        <w:rPr>
          <w:rFonts w:ascii="Times New Roman" w:hAnsi="Times New Roman" w:cs="Times New Roman"/>
          <w:noProof/>
          <w:sz w:val="24"/>
          <w:szCs w:val="24"/>
          <w:lang w:val="en-GB"/>
        </w:rPr>
        <w:t xml:space="preserve">. </w:t>
      </w:r>
    </w:p>
    <w:p w14:paraId="37AC826F" w14:textId="1A8EE657" w:rsidR="003E6E16" w:rsidRPr="00F318E8" w:rsidRDefault="003E6E16" w:rsidP="003E6E16">
      <w:pPr>
        <w:jc w:val="both"/>
        <w:rPr>
          <w:rFonts w:ascii="Times New Roman" w:hAnsi="Times New Roman" w:cs="Times New Roman"/>
          <w:noProof/>
          <w:sz w:val="24"/>
          <w:szCs w:val="24"/>
          <w:lang w:val="en-IE"/>
        </w:rPr>
      </w:pPr>
      <w:r w:rsidRPr="00F318E8">
        <w:rPr>
          <w:rFonts w:ascii="Times New Roman" w:hAnsi="Times New Roman" w:cs="Times New Roman"/>
          <w:noProof/>
          <w:sz w:val="24"/>
          <w:szCs w:val="24"/>
          <w:lang w:val="en-IE"/>
        </w:rPr>
        <w:t xml:space="preserve">The </w:t>
      </w:r>
      <w:r w:rsidRPr="00F318E8">
        <w:rPr>
          <w:rStyle w:val="HighlightChar"/>
          <w:rFonts w:ascii="Times New Roman" w:hAnsi="Times New Roman" w:cs="Times New Roman"/>
          <w:noProof/>
          <w:sz w:val="24"/>
          <w:szCs w:val="24"/>
          <w:lang w:val="en-IE" w:eastAsia="nl-BE"/>
        </w:rPr>
        <w:t>strategic</w:t>
      </w:r>
      <w:r w:rsidRPr="00F318E8">
        <w:rPr>
          <w:rFonts w:ascii="Times New Roman" w:hAnsi="Times New Roman" w:cs="Times New Roman"/>
          <w:bCs/>
          <w:noProof/>
          <w:sz w:val="24"/>
          <w:szCs w:val="24"/>
          <w:lang w:val="en-IE"/>
        </w:rPr>
        <w:t xml:space="preserve"> </w:t>
      </w:r>
      <w:r w:rsidRPr="00F318E8">
        <w:rPr>
          <w:rStyle w:val="HighlightChar"/>
          <w:rFonts w:ascii="Times New Roman" w:hAnsi="Times New Roman" w:cs="Times New Roman"/>
          <w:noProof/>
          <w:sz w:val="24"/>
          <w:szCs w:val="24"/>
          <w:lang w:val="en-IE" w:eastAsia="nl-BE"/>
        </w:rPr>
        <w:t>objective</w:t>
      </w:r>
      <w:r w:rsidRPr="00F318E8">
        <w:rPr>
          <w:rFonts w:ascii="Times New Roman" w:hAnsi="Times New Roman" w:cs="Times New Roman"/>
          <w:noProof/>
          <w:sz w:val="24"/>
          <w:szCs w:val="24"/>
          <w:lang w:val="en-IE"/>
        </w:rPr>
        <w:t xml:space="preserve"> of this evaluation was to assess whether, based on its Regulation</w:t>
      </w:r>
      <w:r w:rsidRPr="00F318E8">
        <w:rPr>
          <w:rStyle w:val="FootnoteReference"/>
          <w:rFonts w:ascii="Times New Roman" w:hAnsi="Times New Roman" w:cs="Times New Roman"/>
          <w:noProof/>
          <w:sz w:val="24"/>
          <w:szCs w:val="24"/>
          <w:lang w:val="en-IE"/>
        </w:rPr>
        <w:footnoteReference w:id="9"/>
      </w:r>
      <w:r w:rsidRPr="00F318E8">
        <w:rPr>
          <w:rFonts w:ascii="Times New Roman" w:hAnsi="Times New Roman" w:cs="Times New Roman"/>
          <w:noProof/>
          <w:sz w:val="24"/>
          <w:szCs w:val="24"/>
          <w:lang w:val="en-IE"/>
        </w:rPr>
        <w:t>, eu-LISA functions smoothly and with high added value to ensure the effective and efficient implementation of EU policies in the area of cross-border law enforcement, border management, and justice. It aimed to examine how eu-LISA Regulation contributes to a coordinated, cost-effective and coherent IT environment with a view to identifying potential areas for improvement (cf. Art</w:t>
      </w:r>
      <w:r w:rsidR="00DC0424">
        <w:rPr>
          <w:rFonts w:ascii="Times New Roman" w:hAnsi="Times New Roman" w:cs="Times New Roman"/>
          <w:noProof/>
          <w:sz w:val="24"/>
          <w:szCs w:val="24"/>
          <w:lang w:val="en-IE"/>
        </w:rPr>
        <w:t>icle</w:t>
      </w:r>
      <w:r w:rsidRPr="00F318E8">
        <w:rPr>
          <w:rFonts w:ascii="Times New Roman" w:hAnsi="Times New Roman" w:cs="Times New Roman"/>
          <w:noProof/>
          <w:sz w:val="24"/>
          <w:szCs w:val="24"/>
          <w:lang w:val="en-IE"/>
        </w:rPr>
        <w:t xml:space="preserve"> 39).</w:t>
      </w:r>
    </w:p>
    <w:p w14:paraId="7014A36E" w14:textId="09161913" w:rsidR="003E6E16" w:rsidRPr="00F318E8" w:rsidRDefault="003E6E16" w:rsidP="003E6E16">
      <w:pPr>
        <w:jc w:val="both"/>
        <w:rPr>
          <w:rFonts w:ascii="Times New Roman" w:eastAsia="Calibri" w:hAnsi="Times New Roman" w:cs="Times New Roman"/>
          <w:noProof/>
          <w:sz w:val="24"/>
          <w:szCs w:val="24"/>
          <w:lang w:val="en-IE"/>
        </w:rPr>
      </w:pPr>
      <w:r w:rsidRPr="00F318E8">
        <w:rPr>
          <w:rFonts w:ascii="Times New Roman" w:eastAsia="Calibri" w:hAnsi="Times New Roman" w:cs="Times New Roman"/>
          <w:noProof/>
          <w:sz w:val="24"/>
          <w:szCs w:val="24"/>
          <w:lang w:val="en-IE"/>
        </w:rPr>
        <w:t xml:space="preserve">As regard the </w:t>
      </w:r>
      <w:r w:rsidRPr="00F318E8">
        <w:rPr>
          <w:rFonts w:ascii="Times New Roman" w:eastAsia="Calibri" w:hAnsi="Times New Roman" w:cs="Times New Roman"/>
          <w:b/>
          <w:noProof/>
          <w:sz w:val="24"/>
          <w:szCs w:val="24"/>
          <w:lang w:val="en-IE" w:eastAsia="en-GB"/>
        </w:rPr>
        <w:t>subject matter scope</w:t>
      </w:r>
      <w:r w:rsidRPr="00F318E8">
        <w:rPr>
          <w:rFonts w:ascii="Times New Roman" w:eastAsia="Calibri" w:hAnsi="Times New Roman" w:cs="Times New Roman"/>
          <w:noProof/>
          <w:sz w:val="24"/>
          <w:szCs w:val="24"/>
          <w:lang w:val="en-IE"/>
        </w:rPr>
        <w:t xml:space="preserve">, the evaluation examined the implementation of eu-LISA Regulation, covering all objectives and tasks of eu-LISA based on the Regulation as well as aspects relating to its organisational set-up, management and oversight. As a result, the evaluation </w:t>
      </w:r>
      <w:r w:rsidRPr="00F318E8">
        <w:rPr>
          <w:rFonts w:ascii="Times New Roman" w:eastAsia="Calibri" w:hAnsi="Times New Roman" w:cs="Times New Roman"/>
          <w:bCs/>
          <w:noProof/>
          <w:sz w:val="24"/>
          <w:szCs w:val="24"/>
          <w:lang w:val="en-IE"/>
        </w:rPr>
        <w:t>developed a</w:t>
      </w:r>
      <w:r w:rsidR="003F4225">
        <w:rPr>
          <w:rFonts w:ascii="Times New Roman" w:eastAsia="Calibri" w:hAnsi="Times New Roman" w:cs="Times New Roman"/>
          <w:bCs/>
          <w:noProof/>
          <w:sz w:val="24"/>
          <w:szCs w:val="24"/>
          <w:lang w:val="en-IE"/>
        </w:rPr>
        <w:t xml:space="preserve"> series of recommendations</w:t>
      </w:r>
      <w:r w:rsidRPr="00F318E8">
        <w:rPr>
          <w:rFonts w:ascii="Times New Roman" w:eastAsia="Calibri" w:hAnsi="Times New Roman" w:cs="Times New Roman"/>
          <w:noProof/>
          <w:sz w:val="24"/>
          <w:szCs w:val="24"/>
          <w:lang w:val="en-IE"/>
        </w:rPr>
        <w:t xml:space="preserve"> based on the findings relating to the previous points and overarching conclusions and recommendations on the performance and functioning of the Regulation. </w:t>
      </w:r>
    </w:p>
    <w:p w14:paraId="62CE9B42" w14:textId="0F3179BF" w:rsidR="003E6E16" w:rsidRPr="00F318E8" w:rsidRDefault="003E6E16" w:rsidP="003E6E16">
      <w:pPr>
        <w:jc w:val="both"/>
        <w:rPr>
          <w:rFonts w:ascii="Times New Roman" w:eastAsia="Calibri" w:hAnsi="Times New Roman" w:cs="Times New Roman"/>
          <w:noProof/>
          <w:sz w:val="24"/>
          <w:szCs w:val="24"/>
          <w:lang w:val="en-IE"/>
        </w:rPr>
      </w:pPr>
      <w:r w:rsidRPr="00F318E8">
        <w:rPr>
          <w:rFonts w:ascii="Times New Roman" w:eastAsia="Calibri" w:hAnsi="Times New Roman" w:cs="Times New Roman"/>
          <w:noProof/>
          <w:sz w:val="24"/>
          <w:szCs w:val="24"/>
          <w:lang w:val="en-IE"/>
        </w:rPr>
        <w:t xml:space="preserve">In terms of the </w:t>
      </w:r>
      <w:r w:rsidRPr="00F318E8">
        <w:rPr>
          <w:rFonts w:ascii="Times New Roman" w:eastAsia="Calibri" w:hAnsi="Times New Roman" w:cs="Times New Roman"/>
          <w:b/>
          <w:noProof/>
          <w:sz w:val="24"/>
          <w:szCs w:val="24"/>
          <w:lang w:val="en-IE" w:eastAsia="en-GB"/>
        </w:rPr>
        <w:t>scope from a time perspective</w:t>
      </w:r>
      <w:r w:rsidRPr="00F318E8">
        <w:rPr>
          <w:rFonts w:ascii="Times New Roman" w:eastAsia="Calibri" w:hAnsi="Times New Roman" w:cs="Times New Roman"/>
          <w:noProof/>
          <w:sz w:val="24"/>
          <w:szCs w:val="24"/>
          <w:lang w:val="en-IE"/>
        </w:rPr>
        <w:t xml:space="preserve">, the evaluation concerns the period after the entry into force of eu-LISA Regulation, i.e. </w:t>
      </w:r>
      <w:r>
        <w:rPr>
          <w:rFonts w:ascii="Times New Roman" w:eastAsia="Calibri" w:hAnsi="Times New Roman" w:cs="Times New Roman"/>
          <w:noProof/>
          <w:sz w:val="24"/>
          <w:szCs w:val="24"/>
          <w:lang w:val="en-IE"/>
        </w:rPr>
        <w:t xml:space="preserve">November </w:t>
      </w:r>
      <w:r w:rsidRPr="00F318E8">
        <w:rPr>
          <w:rFonts w:ascii="Times New Roman" w:eastAsia="Calibri" w:hAnsi="Times New Roman" w:cs="Times New Roman"/>
          <w:noProof/>
          <w:sz w:val="24"/>
          <w:szCs w:val="24"/>
          <w:lang w:val="en-IE"/>
        </w:rPr>
        <w:t>2018 until March 2024, but also compares the situation against the time before it entered into force based on the previous evaluation</w:t>
      </w:r>
      <w:r w:rsidR="003F4225">
        <w:rPr>
          <w:rStyle w:val="FootnoteReference"/>
          <w:rFonts w:ascii="Times New Roman" w:eastAsia="Calibri" w:hAnsi="Times New Roman" w:cs="Times New Roman"/>
          <w:noProof/>
          <w:szCs w:val="24"/>
          <w:lang w:val="en-IE"/>
        </w:rPr>
        <w:footnoteReference w:id="10"/>
      </w:r>
      <w:r w:rsidRPr="00F318E8">
        <w:rPr>
          <w:rFonts w:ascii="Times New Roman" w:eastAsia="Calibri" w:hAnsi="Times New Roman" w:cs="Times New Roman"/>
          <w:noProof/>
          <w:sz w:val="24"/>
          <w:szCs w:val="24"/>
          <w:lang w:val="en-IE"/>
        </w:rPr>
        <w:t xml:space="preserve">. While the evaluation is retrospective, recommendations for </w:t>
      </w:r>
      <w:r w:rsidR="006041F7">
        <w:rPr>
          <w:rFonts w:ascii="Times New Roman" w:eastAsia="Calibri" w:hAnsi="Times New Roman" w:cs="Times New Roman"/>
          <w:noProof/>
          <w:sz w:val="24"/>
          <w:szCs w:val="24"/>
          <w:lang w:val="en-IE"/>
        </w:rPr>
        <w:t xml:space="preserve">improvement </w:t>
      </w:r>
      <w:r w:rsidR="006041F7" w:rsidRPr="00F318E8">
        <w:rPr>
          <w:rFonts w:ascii="Times New Roman" w:eastAsia="Calibri" w:hAnsi="Times New Roman" w:cs="Times New Roman"/>
          <w:noProof/>
          <w:sz w:val="24"/>
          <w:szCs w:val="24"/>
          <w:lang w:val="en-IE"/>
        </w:rPr>
        <w:t>have</w:t>
      </w:r>
      <w:r w:rsidRPr="00F318E8">
        <w:rPr>
          <w:rFonts w:ascii="Times New Roman" w:eastAsia="Calibri" w:hAnsi="Times New Roman" w:cs="Times New Roman"/>
          <w:noProof/>
          <w:sz w:val="24"/>
          <w:szCs w:val="24"/>
          <w:lang w:val="en-IE"/>
        </w:rPr>
        <w:t xml:space="preserve"> also been developed. The </w:t>
      </w:r>
      <w:r w:rsidRPr="00F318E8">
        <w:rPr>
          <w:rFonts w:ascii="Times New Roman" w:eastAsia="Calibri" w:hAnsi="Times New Roman" w:cs="Times New Roman"/>
          <w:b/>
          <w:noProof/>
          <w:sz w:val="24"/>
          <w:szCs w:val="24"/>
          <w:lang w:val="en-IE" w:eastAsia="en-GB"/>
        </w:rPr>
        <w:t>geographical scope</w:t>
      </w:r>
      <w:r w:rsidRPr="00F318E8">
        <w:rPr>
          <w:rFonts w:ascii="Times New Roman" w:eastAsia="Calibri" w:hAnsi="Times New Roman" w:cs="Times New Roman"/>
          <w:noProof/>
          <w:sz w:val="24"/>
          <w:szCs w:val="24"/>
          <w:lang w:val="en-IE"/>
        </w:rPr>
        <w:t xml:space="preserve"> covers the EU-level, EU Member States and Schengen Associated Countries (“Member States”).</w:t>
      </w:r>
    </w:p>
    <w:p w14:paraId="2DA1D645" w14:textId="5AA56837" w:rsidR="005A1693" w:rsidRPr="004E2424" w:rsidRDefault="005A1693" w:rsidP="00E163EB">
      <w:pPr>
        <w:jc w:val="both"/>
        <w:rPr>
          <w:rFonts w:ascii="Times New Roman" w:hAnsi="Times New Roman" w:cs="Times New Roman"/>
          <w:b/>
          <w:bCs/>
          <w:noProof/>
          <w:sz w:val="24"/>
          <w:szCs w:val="24"/>
          <w:lang w:val="en-IE"/>
        </w:rPr>
      </w:pPr>
      <w:r w:rsidRPr="004E2424">
        <w:rPr>
          <w:rFonts w:ascii="Times New Roman" w:hAnsi="Times New Roman" w:cs="Times New Roman"/>
          <w:b/>
          <w:bCs/>
          <w:noProof/>
          <w:sz w:val="24"/>
          <w:szCs w:val="24"/>
          <w:lang w:val="en-IE"/>
        </w:rPr>
        <w:t>Intervention logic</w:t>
      </w:r>
    </w:p>
    <w:p w14:paraId="339E513C" w14:textId="77777777" w:rsidR="002264DE" w:rsidRDefault="000C1E63" w:rsidP="004E2424">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For the purpose of the evaluation, a detailed analysis was carried out identifying the Agency’s objectives (general and specific) and tasks and the links between them. </w:t>
      </w:r>
      <w:r w:rsidR="005A1693" w:rsidRPr="00F318E8">
        <w:rPr>
          <w:rFonts w:ascii="Times New Roman" w:hAnsi="Times New Roman" w:cs="Times New Roman"/>
          <w:noProof/>
          <w:sz w:val="24"/>
          <w:szCs w:val="24"/>
          <w:lang w:val="en-IE"/>
        </w:rPr>
        <w:t>The intervention logic below</w:t>
      </w:r>
      <w:r w:rsidR="003F4225">
        <w:rPr>
          <w:rFonts w:ascii="Times New Roman" w:hAnsi="Times New Roman" w:cs="Times New Roman"/>
          <w:noProof/>
          <w:sz w:val="24"/>
          <w:szCs w:val="24"/>
          <w:lang w:val="en-IE"/>
        </w:rPr>
        <w:t xml:space="preserve"> (Figure 1)</w:t>
      </w:r>
      <w:r w:rsidR="005A1693" w:rsidRPr="00F318E8">
        <w:rPr>
          <w:rFonts w:ascii="Times New Roman" w:hAnsi="Times New Roman" w:cs="Times New Roman"/>
          <w:noProof/>
          <w:sz w:val="24"/>
          <w:szCs w:val="24"/>
          <w:lang w:val="en-IE"/>
        </w:rPr>
        <w:t xml:space="preserve"> serves to depict the chain of expected effects associated with the eu-LISA Regulation, by identifying the needs and objectives of eu-LISA, as well as inputs and actions to </w:t>
      </w:r>
      <w:r w:rsidR="005A1693" w:rsidRPr="00F318E8">
        <w:rPr>
          <w:rFonts w:ascii="Times New Roman" w:eastAsia="Calibri" w:hAnsi="Times New Roman" w:cs="Times New Roman"/>
          <w:noProof/>
          <w:sz w:val="24"/>
          <w:szCs w:val="24"/>
          <w:lang w:val="en-IE"/>
        </w:rPr>
        <w:t>achieve</w:t>
      </w:r>
      <w:r w:rsidR="005A1693" w:rsidRPr="00F318E8">
        <w:rPr>
          <w:rFonts w:ascii="Times New Roman" w:hAnsi="Times New Roman" w:cs="Times New Roman"/>
          <w:noProof/>
          <w:sz w:val="24"/>
          <w:szCs w:val="24"/>
          <w:lang w:val="en-IE"/>
        </w:rPr>
        <w:t xml:space="preserve"> the outputs, outcomes, and impacts in line with the five evaluation criteria (relevance, coherence, effectiveness, efficiency and EU added value).</w:t>
      </w:r>
      <w:r w:rsidR="002264DE">
        <w:rPr>
          <w:rFonts w:ascii="Times New Roman" w:hAnsi="Times New Roman" w:cs="Times New Roman"/>
          <w:noProof/>
          <w:sz w:val="24"/>
          <w:szCs w:val="24"/>
          <w:lang w:val="en-IE"/>
        </w:rPr>
        <w:t xml:space="preserve"> </w:t>
      </w:r>
    </w:p>
    <w:p w14:paraId="415D11C5" w14:textId="77813A16" w:rsidR="003C45B6" w:rsidRPr="002264DE" w:rsidRDefault="003C45B6" w:rsidP="004E2424">
      <w:pPr>
        <w:jc w:val="both"/>
        <w:rPr>
          <w:rFonts w:ascii="Times New Roman" w:hAnsi="Times New Roman" w:cs="Times New Roman"/>
          <w:noProof/>
          <w:sz w:val="24"/>
          <w:szCs w:val="24"/>
          <w:lang w:val="en-IE"/>
        </w:rPr>
      </w:pPr>
      <w:r w:rsidRPr="008849D3">
        <w:rPr>
          <w:rFonts w:ascii="Times New Roman" w:hAnsi="Times New Roman" w:cs="Times New Roman"/>
          <w:noProof/>
          <w:sz w:val="24"/>
          <w:szCs w:val="24"/>
          <w:lang w:val="en-IE"/>
        </w:rPr>
        <w:t>The intervention logic</w:t>
      </w:r>
      <w:r w:rsidR="008849D3" w:rsidRPr="008849D3">
        <w:rPr>
          <w:rFonts w:ascii="Times New Roman" w:hAnsi="Times New Roman" w:cs="Times New Roman"/>
          <w:noProof/>
          <w:sz w:val="24"/>
          <w:szCs w:val="24"/>
          <w:lang w:val="en-IE"/>
        </w:rPr>
        <w:t xml:space="preserve"> </w:t>
      </w:r>
      <w:r w:rsidR="008849D3">
        <w:rPr>
          <w:rFonts w:ascii="Times New Roman" w:hAnsi="Times New Roman" w:cs="Times New Roman"/>
          <w:noProof/>
          <w:sz w:val="24"/>
          <w:szCs w:val="24"/>
          <w:lang w:val="en-IE"/>
        </w:rPr>
        <w:t>shows</w:t>
      </w:r>
      <w:r w:rsidRPr="004E2424">
        <w:rPr>
          <w:rFonts w:ascii="Times New Roman" w:hAnsi="Times New Roman" w:cs="Times New Roman"/>
          <w:noProof/>
          <w:sz w:val="24"/>
          <w:szCs w:val="24"/>
          <w:lang w:val="en-IE"/>
        </w:rPr>
        <w:t xml:space="preserve"> the needs leading to the intervention logic</w:t>
      </w:r>
      <w:r w:rsidR="008849D3">
        <w:rPr>
          <w:rFonts w:ascii="Times New Roman" w:hAnsi="Times New Roman" w:cs="Times New Roman"/>
          <w:noProof/>
          <w:sz w:val="24"/>
          <w:szCs w:val="24"/>
          <w:lang w:val="en-IE"/>
        </w:rPr>
        <w:t>, namely</w:t>
      </w:r>
      <w:r w:rsidRPr="004E2424">
        <w:rPr>
          <w:rFonts w:ascii="Times New Roman" w:hAnsi="Times New Roman" w:cs="Times New Roman"/>
          <w:noProof/>
          <w:sz w:val="24"/>
          <w:szCs w:val="24"/>
          <w:lang w:val="en-IE"/>
        </w:rPr>
        <w:t xml:space="preserve"> the smooth operation of large-scale IT systems to respond to challenges relating to border management and law enforcement within the Schengen area.</w:t>
      </w:r>
    </w:p>
    <w:p w14:paraId="68538929" w14:textId="270EBF02" w:rsidR="003C45B6" w:rsidRPr="00721699" w:rsidRDefault="008849D3" w:rsidP="004E2424">
      <w:pPr>
        <w:rPr>
          <w:noProof/>
          <w:szCs w:val="24"/>
          <w:lang w:val="en-IE"/>
        </w:rPr>
      </w:pPr>
      <w:r w:rsidRPr="004E2424">
        <w:rPr>
          <w:rFonts w:ascii="Times New Roman" w:hAnsi="Times New Roman" w:cs="Times New Roman"/>
          <w:noProof/>
          <w:sz w:val="24"/>
          <w:szCs w:val="24"/>
          <w:lang w:val="en-IE"/>
        </w:rPr>
        <w:t>In particular, the intervention logic d</w:t>
      </w:r>
      <w:r w:rsidR="003C45B6" w:rsidRPr="004E2424">
        <w:rPr>
          <w:rFonts w:ascii="Times New Roman" w:hAnsi="Times New Roman" w:cs="Times New Roman"/>
          <w:noProof/>
          <w:sz w:val="24"/>
          <w:szCs w:val="24"/>
          <w:lang w:val="en-IE"/>
        </w:rPr>
        <w:t>epicts the objectives of eu-LISA at different levels:</w:t>
      </w:r>
    </w:p>
    <w:p w14:paraId="7A98BE89" w14:textId="3D66548A" w:rsidR="003C45B6" w:rsidRPr="004E2424" w:rsidRDefault="003C45B6" w:rsidP="004E2424">
      <w:pPr>
        <w:pStyle w:val="ListParagraph"/>
        <w:numPr>
          <w:ilvl w:val="0"/>
          <w:numId w:val="97"/>
        </w:numPr>
        <w:rPr>
          <w:noProof/>
          <w:szCs w:val="24"/>
          <w:lang w:val="en-IE"/>
        </w:rPr>
      </w:pPr>
      <w:r w:rsidRPr="004E2424">
        <w:rPr>
          <w:noProof/>
          <w:szCs w:val="24"/>
          <w:lang w:val="en-IE"/>
        </w:rPr>
        <w:t xml:space="preserve">One general objective: to contribute to a high level of security within the </w:t>
      </w:r>
      <w:r w:rsidR="00942347" w:rsidRPr="002E6E75">
        <w:rPr>
          <w:noProof/>
          <w:szCs w:val="24"/>
          <w:lang w:val="en-IE"/>
        </w:rPr>
        <w:t>area of freedom, security and justice</w:t>
      </w:r>
      <w:r w:rsidRPr="004E2424">
        <w:rPr>
          <w:noProof/>
          <w:szCs w:val="24"/>
          <w:lang w:val="en-IE"/>
        </w:rPr>
        <w:t xml:space="preserve">, including by facilitating border management and law enforcement within the </w:t>
      </w:r>
      <w:r w:rsidR="00942347" w:rsidRPr="00942347">
        <w:rPr>
          <w:noProof/>
          <w:szCs w:val="24"/>
          <w:lang w:val="en-IE"/>
        </w:rPr>
        <w:t>area of freedom, security and justice</w:t>
      </w:r>
      <w:r w:rsidRPr="004E2424">
        <w:rPr>
          <w:noProof/>
          <w:szCs w:val="24"/>
          <w:lang w:val="en-IE"/>
        </w:rPr>
        <w:t>.</w:t>
      </w:r>
    </w:p>
    <w:p w14:paraId="20A62BA3" w14:textId="77777777" w:rsidR="003C45B6" w:rsidRPr="004E2424" w:rsidRDefault="003C45B6" w:rsidP="004E2424">
      <w:pPr>
        <w:pStyle w:val="ListParagraph"/>
        <w:numPr>
          <w:ilvl w:val="0"/>
          <w:numId w:val="97"/>
        </w:numPr>
        <w:rPr>
          <w:noProof/>
          <w:szCs w:val="24"/>
          <w:lang w:val="en-IE"/>
        </w:rPr>
      </w:pPr>
      <w:r w:rsidRPr="004E2424">
        <w:rPr>
          <w:noProof/>
          <w:szCs w:val="24"/>
          <w:lang w:val="en-IE"/>
        </w:rPr>
        <w:t xml:space="preserve">Three specific objectives: </w:t>
      </w:r>
    </w:p>
    <w:p w14:paraId="31598ED5" w14:textId="19C60348" w:rsidR="003C45B6" w:rsidRPr="004E2424" w:rsidRDefault="003C45B6" w:rsidP="004E2424">
      <w:pPr>
        <w:pStyle w:val="ListParagraph"/>
        <w:numPr>
          <w:ilvl w:val="1"/>
          <w:numId w:val="97"/>
        </w:numPr>
        <w:rPr>
          <w:noProof/>
          <w:szCs w:val="24"/>
          <w:lang w:val="en-IE"/>
        </w:rPr>
      </w:pPr>
      <w:r w:rsidRPr="004E2424">
        <w:rPr>
          <w:noProof/>
          <w:szCs w:val="24"/>
          <w:lang w:val="en-IE"/>
        </w:rPr>
        <w:t xml:space="preserve">To contribute to a coordinated, cost-effective and coherent IT environment at Union level in the </w:t>
      </w:r>
      <w:r w:rsidR="00942347" w:rsidRPr="00942347">
        <w:rPr>
          <w:noProof/>
          <w:szCs w:val="24"/>
          <w:lang w:val="en-IE"/>
        </w:rPr>
        <w:t>area of freedom, security and justice</w:t>
      </w:r>
      <w:r w:rsidRPr="004E2424">
        <w:rPr>
          <w:noProof/>
          <w:szCs w:val="24"/>
          <w:lang w:val="en-IE"/>
        </w:rPr>
        <w:t xml:space="preserve"> that is in line with fundamental rights; </w:t>
      </w:r>
    </w:p>
    <w:p w14:paraId="6732B2F8" w14:textId="5C78B021" w:rsidR="003C45B6" w:rsidRPr="004E2424" w:rsidRDefault="003C45B6" w:rsidP="004E2424">
      <w:pPr>
        <w:pStyle w:val="ListParagraph"/>
        <w:numPr>
          <w:ilvl w:val="1"/>
          <w:numId w:val="97"/>
        </w:numPr>
        <w:rPr>
          <w:noProof/>
          <w:szCs w:val="24"/>
          <w:lang w:val="en-IE"/>
        </w:rPr>
      </w:pPr>
      <w:r w:rsidRPr="004E2424">
        <w:rPr>
          <w:noProof/>
          <w:szCs w:val="24"/>
          <w:lang w:val="en-IE"/>
        </w:rPr>
        <w:t xml:space="preserve">To contribute to the development of IT based solutions in the </w:t>
      </w:r>
      <w:r w:rsidR="00942347" w:rsidRPr="002E6E75">
        <w:rPr>
          <w:noProof/>
          <w:szCs w:val="24"/>
          <w:lang w:val="en-IE"/>
        </w:rPr>
        <w:t>area of freedom, security and justice</w:t>
      </w:r>
      <w:r w:rsidRPr="004E2424">
        <w:rPr>
          <w:noProof/>
          <w:szCs w:val="24"/>
          <w:lang w:val="en-IE"/>
        </w:rPr>
        <w:t>; and</w:t>
      </w:r>
    </w:p>
    <w:p w14:paraId="352DDE19" w14:textId="1D09CD10" w:rsidR="003C45B6" w:rsidRPr="004E2424" w:rsidRDefault="003C45B6" w:rsidP="004E2424">
      <w:pPr>
        <w:pStyle w:val="ListParagraph"/>
        <w:numPr>
          <w:ilvl w:val="1"/>
          <w:numId w:val="97"/>
        </w:numPr>
        <w:rPr>
          <w:noProof/>
          <w:szCs w:val="24"/>
          <w:lang w:val="en-IE"/>
        </w:rPr>
      </w:pPr>
      <w:r w:rsidRPr="004E2424">
        <w:rPr>
          <w:noProof/>
          <w:szCs w:val="24"/>
          <w:lang w:val="en-IE"/>
        </w:rPr>
        <w:t xml:space="preserve">To contribute to evidence-based Union migration and security policy-making and to the monitoring of the proper functioning of IT systems in the </w:t>
      </w:r>
      <w:r w:rsidR="00942347" w:rsidRPr="002E6E75">
        <w:rPr>
          <w:noProof/>
          <w:szCs w:val="24"/>
          <w:lang w:val="en-IE"/>
        </w:rPr>
        <w:t>area of freedom, security and justice</w:t>
      </w:r>
      <w:r w:rsidRPr="004E2424">
        <w:rPr>
          <w:noProof/>
          <w:szCs w:val="24"/>
          <w:lang w:val="en-IE"/>
        </w:rPr>
        <w:t>; and</w:t>
      </w:r>
    </w:p>
    <w:p w14:paraId="68F61D7B" w14:textId="7DCEB722" w:rsidR="003C45B6" w:rsidRPr="003C45B6" w:rsidRDefault="003C45B6" w:rsidP="004E2424">
      <w:pPr>
        <w:pStyle w:val="ListParagraph"/>
        <w:numPr>
          <w:ilvl w:val="0"/>
          <w:numId w:val="97"/>
        </w:numPr>
        <w:rPr>
          <w:noProof/>
          <w:szCs w:val="24"/>
          <w:lang w:val="en-IE"/>
        </w:rPr>
      </w:pPr>
      <w:r w:rsidRPr="003C45B6">
        <w:rPr>
          <w:noProof/>
          <w:szCs w:val="24"/>
          <w:lang w:val="en-IE"/>
        </w:rPr>
        <w:t>Fourteen operational objectives.</w:t>
      </w:r>
    </w:p>
    <w:p w14:paraId="12557F6D" w14:textId="4B839E17" w:rsidR="003C45B6" w:rsidRDefault="003C45B6" w:rsidP="003C45B6">
      <w:pPr>
        <w:jc w:val="both"/>
        <w:rPr>
          <w:rFonts w:ascii="Times New Roman" w:hAnsi="Times New Roman" w:cs="Times New Roman"/>
          <w:noProof/>
          <w:sz w:val="24"/>
          <w:szCs w:val="24"/>
          <w:lang w:val="en-IE"/>
        </w:rPr>
      </w:pPr>
      <w:r w:rsidRPr="004E2424">
        <w:rPr>
          <w:rFonts w:ascii="Times New Roman" w:hAnsi="Times New Roman" w:cs="Times New Roman"/>
          <w:noProof/>
          <w:sz w:val="24"/>
          <w:szCs w:val="24"/>
          <w:lang w:val="en-IE"/>
        </w:rPr>
        <w:t>The intervention</w:t>
      </w:r>
      <w:r>
        <w:rPr>
          <w:rFonts w:ascii="Times New Roman" w:hAnsi="Times New Roman" w:cs="Times New Roman"/>
          <w:noProof/>
          <w:sz w:val="24"/>
          <w:szCs w:val="24"/>
          <w:lang w:val="en-IE"/>
        </w:rPr>
        <w:t xml:space="preserve"> logic identified the inputs, including human, financial and technical resources, structures and processes dedicated to achieving the operational, specific and ultimately general objectives of the Agency. </w:t>
      </w:r>
    </w:p>
    <w:p w14:paraId="47753E58" w14:textId="16BCAF7D" w:rsidR="003C45B6" w:rsidRDefault="003C45B6" w:rsidP="003C45B6">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Finally, the intervention logic translates the objective and inputs into a hierarchy of expected effects, including at the level of outputs, outcomes and impacts.</w:t>
      </w:r>
    </w:p>
    <w:p w14:paraId="66278ECB" w14:textId="55374B59" w:rsidR="008A4B66" w:rsidRPr="004E2424" w:rsidRDefault="008A4B66" w:rsidP="003C45B6">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effectiveness is measured by how the objectives (general, specific and operational) are translated into expected outputs, expected outcomes, and ultimately expected effects. The efficiency compares the inputs with expected outputs, expected outcomes, and expected effects. The coherence </w:t>
      </w:r>
      <w:r w:rsidR="00A60E5A">
        <w:rPr>
          <w:rFonts w:ascii="Times New Roman" w:hAnsi="Times New Roman" w:cs="Times New Roman"/>
          <w:noProof/>
          <w:sz w:val="24"/>
          <w:szCs w:val="24"/>
          <w:lang w:val="en-IE"/>
        </w:rPr>
        <w:t xml:space="preserve">measures to what extent the Regulation avoid gaps and overlaps and assesses the degree of internal coherence as well as the extent to which it is align with other relevant EU legal instruments and policies. The relevance measures to which extent the objectives (general, specific and operational) identified to achieve the needs translate into the expected outputs, outcomes and impacts. Finally, the EU added value measures how to which extent the EU intervention helped to achieve the defined objectives. </w:t>
      </w:r>
    </w:p>
    <w:p w14:paraId="523676ED" w14:textId="77777777" w:rsidR="000A2F28" w:rsidRDefault="000A2F28" w:rsidP="00511E61">
      <w:pPr>
        <w:pStyle w:val="BodyText1"/>
        <w:jc w:val="both"/>
        <w:rPr>
          <w:rFonts w:ascii="Times New Roman" w:hAnsi="Times New Roman"/>
          <w:sz w:val="24"/>
          <w:szCs w:val="24"/>
          <w:lang w:val="en-GB"/>
        </w:rPr>
        <w:sectPr w:rsidR="000A2F28" w:rsidSect="00FD257E">
          <w:headerReference w:type="even" r:id="rId24"/>
          <w:headerReference w:type="default" r:id="rId25"/>
          <w:footerReference w:type="even" r:id="rId26"/>
          <w:footerReference w:type="default" r:id="rId27"/>
          <w:headerReference w:type="first" r:id="rId28"/>
          <w:footerReference w:type="first" r:id="rId29"/>
          <w:pgSz w:w="11906" w:h="16838"/>
          <w:pgMar w:top="1020" w:right="1701" w:bottom="1020" w:left="1587" w:header="601" w:footer="257" w:gutter="0"/>
          <w:pgNumType w:start="1"/>
          <w:cols w:space="720"/>
          <w:titlePg/>
        </w:sectPr>
      </w:pPr>
    </w:p>
    <w:p w14:paraId="7FF62FE6" w14:textId="1E5FA6C5" w:rsidR="00354CB6" w:rsidRPr="000D2A1E" w:rsidRDefault="000D2A1E" w:rsidP="000D2A1E">
      <w:pPr>
        <w:pStyle w:val="BodyText"/>
        <w:rPr>
          <w:i/>
          <w:iCs/>
          <w:noProof/>
          <w:szCs w:val="24"/>
          <w:lang w:val="fr-BE"/>
        </w:rPr>
      </w:pPr>
      <w:r w:rsidRPr="004E2424">
        <w:rPr>
          <w:rFonts w:ascii="Times New Roman" w:hAnsi="Times New Roman" w:cs="Times New Roman"/>
          <w:b/>
          <w:bCs/>
          <w:i/>
          <w:iCs/>
          <w:noProof/>
          <w:sz w:val="24"/>
          <w:szCs w:val="24"/>
        </w:rPr>
        <w:t xml:space="preserve">Figure </w:t>
      </w:r>
      <w:r w:rsidRPr="004E2424">
        <w:rPr>
          <w:rFonts w:ascii="Times New Roman" w:hAnsi="Times New Roman" w:cs="Times New Roman"/>
          <w:b/>
          <w:bCs/>
          <w:i/>
          <w:iCs/>
          <w:noProof/>
          <w:sz w:val="24"/>
          <w:szCs w:val="24"/>
        </w:rPr>
        <w:fldChar w:fldCharType="begin"/>
      </w:r>
      <w:r w:rsidRPr="004E2424">
        <w:rPr>
          <w:rFonts w:ascii="Times New Roman" w:hAnsi="Times New Roman" w:cs="Times New Roman"/>
          <w:b/>
          <w:bCs/>
          <w:i/>
          <w:iCs/>
          <w:noProof/>
          <w:sz w:val="24"/>
          <w:szCs w:val="24"/>
        </w:rPr>
        <w:instrText xml:space="preserve"> SEQ Figure \* ARABIC </w:instrText>
      </w:r>
      <w:r w:rsidRPr="004E2424">
        <w:rPr>
          <w:rFonts w:ascii="Times New Roman" w:hAnsi="Times New Roman" w:cs="Times New Roman"/>
          <w:b/>
          <w:bCs/>
          <w:i/>
          <w:iCs/>
          <w:noProof/>
          <w:sz w:val="24"/>
          <w:szCs w:val="24"/>
        </w:rPr>
        <w:fldChar w:fldCharType="separate"/>
      </w:r>
      <w:r w:rsidR="004E2424">
        <w:rPr>
          <w:rFonts w:ascii="Times New Roman" w:hAnsi="Times New Roman" w:cs="Times New Roman"/>
          <w:b/>
          <w:bCs/>
          <w:i/>
          <w:iCs/>
          <w:noProof/>
          <w:sz w:val="24"/>
          <w:szCs w:val="24"/>
        </w:rPr>
        <w:t>1</w:t>
      </w:r>
      <w:r w:rsidRPr="004E2424">
        <w:rPr>
          <w:rFonts w:ascii="Times New Roman" w:hAnsi="Times New Roman" w:cs="Times New Roman"/>
          <w:b/>
          <w:bCs/>
          <w:i/>
          <w:iCs/>
          <w:noProof/>
          <w:sz w:val="24"/>
          <w:szCs w:val="24"/>
        </w:rPr>
        <w:fldChar w:fldCharType="end"/>
      </w:r>
      <w:r w:rsidRPr="004E2424">
        <w:rPr>
          <w:rFonts w:ascii="Times New Roman" w:hAnsi="Times New Roman" w:cs="Times New Roman"/>
          <w:b/>
          <w:bCs/>
          <w:i/>
          <w:iCs/>
          <w:noProof/>
          <w:sz w:val="24"/>
          <w:szCs w:val="24"/>
        </w:rPr>
        <w:t xml:space="preserve">: Intervention logic </w:t>
      </w:r>
      <w:r w:rsidR="00960CCB" w:rsidRPr="004E2424">
        <w:rPr>
          <w:rFonts w:ascii="Times New Roman" w:hAnsi="Times New Roman" w:cs="Times New Roman"/>
          <w:b/>
          <w:bCs/>
          <w:i/>
          <w:iCs/>
          <w:noProof/>
          <w:sz w:val="24"/>
          <w:szCs w:val="24"/>
        </w:rPr>
        <w:t>of</w:t>
      </w:r>
      <w:r w:rsidRPr="004E2424">
        <w:rPr>
          <w:rFonts w:ascii="Times New Roman" w:hAnsi="Times New Roman" w:cs="Times New Roman"/>
          <w:b/>
          <w:bCs/>
          <w:i/>
          <w:iCs/>
          <w:noProof/>
          <w:sz w:val="24"/>
          <w:szCs w:val="24"/>
        </w:rPr>
        <w:t xml:space="preserve"> eu-LISA</w:t>
      </w:r>
      <w:r w:rsidR="00960CCB" w:rsidRPr="004E2424">
        <w:rPr>
          <w:rFonts w:ascii="Times New Roman" w:hAnsi="Times New Roman" w:cs="Times New Roman"/>
          <w:b/>
          <w:bCs/>
          <w:i/>
          <w:iCs/>
          <w:noProof/>
          <w:sz w:val="24"/>
          <w:szCs w:val="24"/>
        </w:rPr>
        <w:t>’s Regulation</w:t>
      </w:r>
    </w:p>
    <w:p w14:paraId="493A074A" w14:textId="03DE3896" w:rsidR="000A2F28" w:rsidRPr="00341871" w:rsidRDefault="00804217" w:rsidP="00354CB6">
      <w:pPr>
        <w:pStyle w:val="BodyText"/>
        <w:jc w:val="center"/>
        <w:rPr>
          <w:noProof/>
        </w:rPr>
      </w:pPr>
      <w:r>
        <w:rPr>
          <w:rFonts w:ascii="Times New Roman" w:hAnsi="Times New Roman"/>
          <w:noProof/>
          <w:sz w:val="24"/>
          <w:szCs w:val="24"/>
          <w:lang w:eastAsia="en-GB"/>
        </w:rPr>
        <w:drawing>
          <wp:inline distT="0" distB="0" distL="0" distR="0" wp14:anchorId="0061685B" wp14:editId="0FB5355D">
            <wp:extent cx="8539743" cy="5163647"/>
            <wp:effectExtent l="0" t="0" r="0" b="0"/>
            <wp:docPr id="12712074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558668" cy="5175090"/>
                    </a:xfrm>
                    <a:prstGeom prst="rect">
                      <a:avLst/>
                    </a:prstGeom>
                    <a:noFill/>
                  </pic:spPr>
                </pic:pic>
              </a:graphicData>
            </a:graphic>
          </wp:inline>
        </w:drawing>
      </w:r>
      <w:r w:rsidR="000A2F28">
        <w:rPr>
          <w:rFonts w:ascii="Times New Roman" w:hAnsi="Times New Roman"/>
          <w:noProof/>
          <w:sz w:val="24"/>
          <w:szCs w:val="24"/>
        </w:rPr>
        <w:br w:type="page"/>
      </w:r>
    </w:p>
    <w:p w14:paraId="2C7C3AE9" w14:textId="77777777" w:rsidR="009166D5" w:rsidRDefault="009166D5" w:rsidP="00511E61">
      <w:pPr>
        <w:pStyle w:val="BodyText1"/>
        <w:jc w:val="both"/>
        <w:rPr>
          <w:rFonts w:ascii="Times New Roman" w:hAnsi="Times New Roman"/>
          <w:sz w:val="24"/>
          <w:szCs w:val="24"/>
          <w:lang w:val="en-GB"/>
        </w:rPr>
        <w:sectPr w:rsidR="009166D5" w:rsidSect="00B52048">
          <w:headerReference w:type="default" r:id="rId31"/>
          <w:footerReference w:type="default" r:id="rId32"/>
          <w:headerReference w:type="first" r:id="rId33"/>
          <w:footerReference w:type="first" r:id="rId34"/>
          <w:pgSz w:w="16838" w:h="11906" w:orient="landscape"/>
          <w:pgMar w:top="1588" w:right="1021" w:bottom="1701" w:left="1021" w:header="601" w:footer="354" w:gutter="0"/>
          <w:cols w:space="720"/>
          <w:titlePg/>
        </w:sectPr>
      </w:pPr>
    </w:p>
    <w:p w14:paraId="10CEAD38" w14:textId="743DBB3E" w:rsidR="008530D4" w:rsidRDefault="00951873" w:rsidP="00951873">
      <w:pPr>
        <w:pStyle w:val="Heading2"/>
        <w:ind w:left="480"/>
        <w:rPr>
          <w:noProof/>
          <w:szCs w:val="24"/>
        </w:rPr>
      </w:pPr>
      <w:bookmarkStart w:id="14" w:name="_Toc42093484"/>
      <w:bookmarkStart w:id="15" w:name="_Toc42093551"/>
      <w:bookmarkStart w:id="16" w:name="_Toc42093674"/>
      <w:bookmarkStart w:id="17" w:name="_Toc42093885"/>
      <w:bookmarkStart w:id="18" w:name="_Toc207303605"/>
      <w:r>
        <w:rPr>
          <w:noProof/>
          <w:szCs w:val="24"/>
        </w:rPr>
        <w:t>2.2</w:t>
      </w:r>
      <w:r w:rsidR="00FC590A">
        <w:rPr>
          <w:noProof/>
          <w:szCs w:val="24"/>
        </w:rPr>
        <w:tab/>
      </w:r>
      <w:r w:rsidR="00450F57" w:rsidRPr="004A7DE2">
        <w:rPr>
          <w:noProof/>
          <w:szCs w:val="24"/>
        </w:rPr>
        <w:t>P</w:t>
      </w:r>
      <w:r w:rsidR="008530D4" w:rsidRPr="004A7DE2">
        <w:rPr>
          <w:noProof/>
          <w:szCs w:val="24"/>
        </w:rPr>
        <w:t>oints of comparison</w:t>
      </w:r>
      <w:bookmarkEnd w:id="14"/>
      <w:bookmarkEnd w:id="15"/>
      <w:bookmarkEnd w:id="16"/>
      <w:bookmarkEnd w:id="17"/>
      <w:bookmarkEnd w:id="18"/>
      <w:r w:rsidR="008530D4" w:rsidRPr="00147D71">
        <w:rPr>
          <w:noProof/>
          <w:szCs w:val="24"/>
        </w:rPr>
        <w:t xml:space="preserve"> </w:t>
      </w:r>
    </w:p>
    <w:p w14:paraId="6BE4674F" w14:textId="70A91EB5" w:rsidR="00633221" w:rsidRDefault="005E1F0D" w:rsidP="00E6391B">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In 2017, pursuant to Article 31 of </w:t>
      </w:r>
      <w:r w:rsidR="002D1522">
        <w:rPr>
          <w:rFonts w:ascii="Times New Roman" w:hAnsi="Times New Roman" w:cs="Times New Roman"/>
          <w:noProof/>
          <w:sz w:val="24"/>
          <w:szCs w:val="24"/>
          <w:lang w:val="en-IE"/>
        </w:rPr>
        <w:t xml:space="preserve">the eu-LISA establishing </w:t>
      </w:r>
      <w:r w:rsidR="002D1522" w:rsidRPr="002E6E75">
        <w:rPr>
          <w:rFonts w:ascii="Times New Roman" w:hAnsi="Times New Roman" w:cs="Times New Roman"/>
          <w:noProof/>
          <w:sz w:val="24"/>
          <w:szCs w:val="24"/>
          <w:lang w:val="en-IE"/>
        </w:rPr>
        <w:t xml:space="preserve">Regulation </w:t>
      </w:r>
      <w:r w:rsidR="00DE1A14">
        <w:rPr>
          <w:rFonts w:ascii="Times New Roman" w:hAnsi="Times New Roman" w:cs="Times New Roman"/>
          <w:noProof/>
          <w:sz w:val="24"/>
          <w:szCs w:val="24"/>
          <w:lang w:val="en-IE"/>
        </w:rPr>
        <w:t xml:space="preserve">(EU) No </w:t>
      </w:r>
      <w:r w:rsidR="002D1522" w:rsidRPr="002E6E75">
        <w:rPr>
          <w:rFonts w:ascii="Times New Roman" w:hAnsi="Times New Roman" w:cs="Times New Roman"/>
          <w:noProof/>
          <w:sz w:val="24"/>
          <w:szCs w:val="24"/>
          <w:lang w:val="en-IE"/>
        </w:rPr>
        <w:t>1077/2011</w:t>
      </w:r>
      <w:r w:rsidR="002D1522" w:rsidRPr="002E6E75">
        <w:rPr>
          <w:rStyle w:val="FootnoteReference"/>
          <w:rFonts w:ascii="Times New Roman" w:hAnsi="Times New Roman" w:cs="Times New Roman"/>
          <w:noProof/>
          <w:sz w:val="24"/>
          <w:szCs w:val="24"/>
          <w:lang w:val="en-IE"/>
        </w:rPr>
        <w:footnoteReference w:id="11"/>
      </w:r>
      <w:r w:rsidR="0000559E">
        <w:rPr>
          <w:rFonts w:ascii="Times New Roman" w:hAnsi="Times New Roman" w:cs="Times New Roman"/>
          <w:noProof/>
          <w:sz w:val="24"/>
          <w:szCs w:val="24"/>
          <w:lang w:val="en-IE"/>
        </w:rPr>
        <w:t xml:space="preserve">, the European Commission carried </w:t>
      </w:r>
      <w:r w:rsidR="00310ED9">
        <w:rPr>
          <w:rFonts w:ascii="Times New Roman" w:hAnsi="Times New Roman" w:cs="Times New Roman"/>
          <w:noProof/>
          <w:sz w:val="24"/>
          <w:szCs w:val="24"/>
          <w:lang w:val="en-IE"/>
        </w:rPr>
        <w:t>out an evaluation of the Agency</w:t>
      </w:r>
      <w:r w:rsidR="00052080">
        <w:rPr>
          <w:rFonts w:ascii="Times New Roman" w:hAnsi="Times New Roman" w:cs="Times New Roman"/>
          <w:noProof/>
          <w:sz w:val="24"/>
          <w:szCs w:val="24"/>
          <w:lang w:val="en-IE"/>
        </w:rPr>
        <w:t xml:space="preserve"> (hereinafter the 2017 evaluation)</w:t>
      </w:r>
      <w:r w:rsidR="00310ED9">
        <w:rPr>
          <w:rFonts w:ascii="Times New Roman" w:hAnsi="Times New Roman" w:cs="Times New Roman"/>
          <w:noProof/>
          <w:sz w:val="24"/>
          <w:szCs w:val="24"/>
          <w:lang w:val="en-IE"/>
        </w:rPr>
        <w:t xml:space="preserve"> </w:t>
      </w:r>
      <w:r w:rsidR="00633221">
        <w:rPr>
          <w:rFonts w:ascii="Times New Roman" w:hAnsi="Times New Roman" w:cs="Times New Roman"/>
          <w:noProof/>
          <w:sz w:val="24"/>
          <w:szCs w:val="24"/>
          <w:lang w:val="en-IE"/>
        </w:rPr>
        <w:t>to:</w:t>
      </w:r>
    </w:p>
    <w:p w14:paraId="232B15D6" w14:textId="18765600" w:rsidR="00633221" w:rsidRPr="004E2424" w:rsidRDefault="00633221" w:rsidP="004E2424">
      <w:pPr>
        <w:pStyle w:val="ListParagraph"/>
        <w:numPr>
          <w:ilvl w:val="0"/>
          <w:numId w:val="91"/>
        </w:numPr>
        <w:rPr>
          <w:noProof/>
          <w:szCs w:val="24"/>
          <w:lang w:val="en-IE"/>
        </w:rPr>
      </w:pPr>
      <w:r w:rsidRPr="004E2424">
        <w:rPr>
          <w:noProof/>
          <w:szCs w:val="24"/>
          <w:lang w:val="en-IE"/>
        </w:rPr>
        <w:t>Examine the way and the extent to which the Agency effectively contributes to the operational management of large-scale IT systems in the area of freedom, security and justice and fulfils its statutory tasks; and</w:t>
      </w:r>
    </w:p>
    <w:p w14:paraId="11619CB5" w14:textId="2530A73E" w:rsidR="00633221" w:rsidRPr="004E2424" w:rsidRDefault="00633221" w:rsidP="004E2424">
      <w:pPr>
        <w:pStyle w:val="ListParagraph"/>
        <w:numPr>
          <w:ilvl w:val="0"/>
          <w:numId w:val="91"/>
        </w:numPr>
        <w:rPr>
          <w:noProof/>
          <w:szCs w:val="24"/>
          <w:lang w:val="en-IE"/>
        </w:rPr>
      </w:pPr>
      <w:r w:rsidRPr="004E2424">
        <w:rPr>
          <w:noProof/>
          <w:szCs w:val="24"/>
          <w:lang w:val="en-IE"/>
        </w:rPr>
        <w:t xml:space="preserve">Assess the role of the Agency in the context of a Union strategy aimed at a coordinated, cost-effective and coherent IT environment at Union level. </w:t>
      </w:r>
    </w:p>
    <w:p w14:paraId="44A28CE3" w14:textId="25EE348C" w:rsidR="001B3FA5" w:rsidRPr="009D57C4" w:rsidRDefault="001B3FA5" w:rsidP="00FF38C5">
      <w:pPr>
        <w:jc w:val="both"/>
        <w:rPr>
          <w:rFonts w:ascii="Times New Roman" w:hAnsi="Times New Roman" w:cs="Times New Roman"/>
          <w:noProof/>
          <w:sz w:val="24"/>
          <w:szCs w:val="24"/>
          <w:lang w:val="en-IE"/>
        </w:rPr>
      </w:pPr>
      <w:r w:rsidRPr="001B3FA5">
        <w:rPr>
          <w:rFonts w:ascii="Times New Roman" w:hAnsi="Times New Roman" w:cs="Times New Roman"/>
          <w:noProof/>
          <w:sz w:val="24"/>
          <w:szCs w:val="24"/>
          <w:lang w:val="en-IE"/>
        </w:rPr>
        <w:t xml:space="preserve">Given that </w:t>
      </w:r>
      <w:r w:rsidRPr="00052080">
        <w:rPr>
          <w:rFonts w:ascii="Times New Roman" w:hAnsi="Times New Roman" w:cs="Times New Roman"/>
          <w:noProof/>
          <w:sz w:val="24"/>
          <w:szCs w:val="24"/>
          <w:lang w:val="en-IE"/>
        </w:rPr>
        <w:t>no</w:t>
      </w:r>
      <w:r w:rsidRPr="001B3FA5">
        <w:rPr>
          <w:rFonts w:ascii="Times New Roman" w:hAnsi="Times New Roman" w:cs="Times New Roman"/>
          <w:noProof/>
          <w:sz w:val="24"/>
          <w:szCs w:val="24"/>
          <w:lang w:val="en-IE"/>
        </w:rPr>
        <w:t xml:space="preserve"> formal Union strategy</w:t>
      </w:r>
      <w:r w:rsidR="003E01F3">
        <w:rPr>
          <w:rFonts w:ascii="Times New Roman" w:hAnsi="Times New Roman" w:cs="Times New Roman"/>
          <w:noProof/>
          <w:sz w:val="24"/>
          <w:szCs w:val="24"/>
          <w:lang w:val="en-IE"/>
        </w:rPr>
        <w:t xml:space="preserve"> for a coordinated, cost-effective and coherent IT environment</w:t>
      </w:r>
      <w:r w:rsidRPr="001B3FA5">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had been</w:t>
      </w:r>
      <w:r w:rsidRPr="001B3FA5">
        <w:rPr>
          <w:rFonts w:ascii="Times New Roman" w:hAnsi="Times New Roman" w:cs="Times New Roman"/>
          <w:noProof/>
          <w:sz w:val="24"/>
          <w:szCs w:val="24"/>
          <w:lang w:val="en-IE"/>
        </w:rPr>
        <w:t xml:space="preserve"> put in place</w:t>
      </w:r>
      <w:r>
        <w:rPr>
          <w:rFonts w:ascii="Times New Roman" w:hAnsi="Times New Roman" w:cs="Times New Roman"/>
          <w:noProof/>
          <w:sz w:val="24"/>
          <w:szCs w:val="24"/>
          <w:lang w:val="en-IE"/>
        </w:rPr>
        <w:t xml:space="preserve"> at the time</w:t>
      </w:r>
      <w:r w:rsidRPr="001B3FA5">
        <w:rPr>
          <w:rFonts w:ascii="Times New Roman" w:hAnsi="Times New Roman" w:cs="Times New Roman"/>
          <w:noProof/>
          <w:sz w:val="24"/>
          <w:szCs w:val="24"/>
          <w:lang w:val="en-IE"/>
        </w:rPr>
        <w:t xml:space="preserve">, the evaluation focused on the Agency’s contribution to the establishment of a coordinated, effective and coherent IT environment for managing large-scale IT systems that support the implementation of Justice and Home </w:t>
      </w:r>
      <w:r w:rsidRPr="009D57C4">
        <w:rPr>
          <w:rFonts w:ascii="Times New Roman" w:hAnsi="Times New Roman" w:cs="Times New Roman"/>
          <w:noProof/>
          <w:sz w:val="24"/>
          <w:szCs w:val="24"/>
          <w:lang w:val="en-IE"/>
        </w:rPr>
        <w:t>Affairs (JHA) policies.</w:t>
      </w:r>
    </w:p>
    <w:p w14:paraId="5C2CCAFC" w14:textId="041C081C" w:rsidR="009D57C4" w:rsidRDefault="009D57C4" w:rsidP="00FF38C5">
      <w:pPr>
        <w:jc w:val="both"/>
        <w:rPr>
          <w:rFonts w:ascii="Times New Roman" w:hAnsi="Times New Roman" w:cs="Times New Roman"/>
          <w:noProof/>
          <w:sz w:val="24"/>
          <w:szCs w:val="24"/>
          <w:lang w:val="en-IE"/>
        </w:rPr>
      </w:pPr>
      <w:r w:rsidRPr="009D57C4">
        <w:rPr>
          <w:rFonts w:ascii="Times New Roman" w:hAnsi="Times New Roman" w:cs="Times New Roman"/>
          <w:noProof/>
          <w:sz w:val="24"/>
          <w:szCs w:val="24"/>
          <w:lang w:val="en-IE"/>
        </w:rPr>
        <w:t xml:space="preserve">The 2017 evaluation examined the way and the extent to </w:t>
      </w:r>
      <w:r w:rsidRPr="004E2424">
        <w:rPr>
          <w:rFonts w:ascii="Times New Roman" w:hAnsi="Times New Roman" w:cs="Times New Roman"/>
          <w:noProof/>
          <w:sz w:val="24"/>
          <w:szCs w:val="24"/>
          <w:lang w:val="en-IE"/>
        </w:rPr>
        <w:t>which the Agency effectively contributes to the operational management of large-scale IT systems in the area of freedom, security and justice and the implementation of eu-LISA's tasks taking into account the relevant legal and policy framework</w:t>
      </w:r>
      <w:r>
        <w:rPr>
          <w:rFonts w:ascii="Times New Roman" w:hAnsi="Times New Roman" w:cs="Times New Roman"/>
          <w:noProof/>
          <w:sz w:val="24"/>
          <w:szCs w:val="24"/>
          <w:lang w:val="en-IE"/>
        </w:rPr>
        <w:t>s</w:t>
      </w:r>
      <w:r w:rsidRPr="004E2424">
        <w:rPr>
          <w:rFonts w:ascii="Times New Roman" w:hAnsi="Times New Roman" w:cs="Times New Roman"/>
          <w:noProof/>
          <w:sz w:val="24"/>
          <w:szCs w:val="24"/>
          <w:lang w:val="en-IE"/>
        </w:rPr>
        <w:t>, namely the eu-LISA Agency establishing Regulation and the legislative instruments governing the IT systems the Agency manages.</w:t>
      </w:r>
      <w:r>
        <w:rPr>
          <w:rFonts w:ascii="Times New Roman" w:hAnsi="Times New Roman" w:cs="Times New Roman"/>
          <w:noProof/>
          <w:sz w:val="24"/>
          <w:szCs w:val="24"/>
          <w:lang w:val="en-IE"/>
        </w:rPr>
        <w:t xml:space="preserve"> The 2017 evaluation covered the period from 1 December 2012 to 30 September 2015.</w:t>
      </w:r>
    </w:p>
    <w:p w14:paraId="081A027A" w14:textId="3E62A25F" w:rsidR="00D21911" w:rsidRPr="009D57C4" w:rsidRDefault="00D21911" w:rsidP="00FF38C5">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2017 evaluation identified two general objectives: (i) to ensure the operational management of SIS II, VIS and Eurodac; and (ii) to ensure the preparation development and operational management of other large-scale IT systems in the </w:t>
      </w:r>
      <w:r w:rsidR="00C133EA">
        <w:rPr>
          <w:rFonts w:ascii="Times New Roman" w:hAnsi="Times New Roman" w:cs="Times New Roman"/>
          <w:noProof/>
          <w:sz w:val="24"/>
          <w:szCs w:val="24"/>
          <w:lang w:val="en-IE"/>
        </w:rPr>
        <w:t xml:space="preserve">ASFJ. In addition, seven specific objectives, considered the expected results of the Agency, are identified: (i) to ensure effective, security and continuous operation of large-scale IT systems; (ii) to ensure efficient and financially accountable management of large-scale IT systems; (iii) to ensure an adequately high quality of service for users of large-scale IT systems; (iv) to ensure continuity and uninterrupted services; (v) to provide a high level of data protection; (vi) to provide an appropriate level of data and physical security; and (vii) to use an adequate project management structure for efficiently developing large-scale IT systems. Finally, the 2017 evaluation identified sixteen tasks of eu-LISA and analyses how the Regulation has contributed, through the different tasks, to the achievement of the objectives. </w:t>
      </w:r>
    </w:p>
    <w:p w14:paraId="090C7EDF" w14:textId="22497500" w:rsidR="006A10DD" w:rsidRPr="00052080" w:rsidRDefault="00FF38C5" w:rsidP="00FF38C5">
      <w:pPr>
        <w:jc w:val="both"/>
        <w:rPr>
          <w:rFonts w:ascii="Times New Roman" w:hAnsi="Times New Roman" w:cs="Times New Roman"/>
          <w:noProof/>
          <w:sz w:val="24"/>
          <w:szCs w:val="24"/>
          <w:lang w:val="en-IE"/>
        </w:rPr>
      </w:pPr>
      <w:r w:rsidRPr="00A617AF">
        <w:rPr>
          <w:rFonts w:ascii="Times New Roman" w:hAnsi="Times New Roman" w:cs="Times New Roman"/>
          <w:noProof/>
          <w:sz w:val="24"/>
          <w:szCs w:val="24"/>
          <w:lang w:val="en-IE"/>
        </w:rPr>
        <w:t>The 2017</w:t>
      </w:r>
      <w:r w:rsidR="003A430B">
        <w:rPr>
          <w:rFonts w:ascii="Times New Roman" w:hAnsi="Times New Roman" w:cs="Times New Roman"/>
          <w:noProof/>
          <w:sz w:val="24"/>
          <w:szCs w:val="24"/>
          <w:lang w:val="en-IE"/>
        </w:rPr>
        <w:t xml:space="preserve"> evaluation</w:t>
      </w:r>
      <w:r w:rsidRPr="00A617AF">
        <w:rPr>
          <w:rFonts w:ascii="Times New Roman" w:hAnsi="Times New Roman" w:cs="Times New Roman"/>
          <w:noProof/>
          <w:sz w:val="24"/>
          <w:szCs w:val="24"/>
          <w:lang w:val="en-IE"/>
        </w:rPr>
        <w:t xml:space="preserve"> </w:t>
      </w:r>
      <w:r w:rsidR="00A617AF" w:rsidRPr="00A617AF">
        <w:rPr>
          <w:rFonts w:ascii="Times New Roman" w:hAnsi="Times New Roman" w:cs="Times New Roman"/>
          <w:noProof/>
          <w:sz w:val="24"/>
          <w:szCs w:val="24"/>
          <w:lang w:val="en-IE"/>
        </w:rPr>
        <w:t>confirmed that the Agency effectively ensures the operational management of large-scale IT systems in th</w:t>
      </w:r>
      <w:r w:rsidR="00154C04">
        <w:rPr>
          <w:rFonts w:ascii="Times New Roman" w:hAnsi="Times New Roman" w:cs="Times New Roman"/>
          <w:noProof/>
          <w:sz w:val="24"/>
          <w:szCs w:val="24"/>
          <w:lang w:val="en-IE"/>
        </w:rPr>
        <w:t>e</w:t>
      </w:r>
      <w:r w:rsidR="00A617AF" w:rsidRPr="00A617AF">
        <w:rPr>
          <w:rFonts w:ascii="Times New Roman" w:hAnsi="Times New Roman" w:cs="Times New Roman"/>
          <w:noProof/>
          <w:sz w:val="24"/>
          <w:szCs w:val="24"/>
          <w:lang w:val="en-IE"/>
        </w:rPr>
        <w:t xml:space="preserve"> area</w:t>
      </w:r>
      <w:r w:rsidR="00154C04">
        <w:rPr>
          <w:rFonts w:ascii="Times New Roman" w:hAnsi="Times New Roman" w:cs="Times New Roman"/>
          <w:noProof/>
          <w:sz w:val="24"/>
          <w:szCs w:val="24"/>
          <w:lang w:val="en-IE"/>
        </w:rPr>
        <w:t xml:space="preserve"> of justice and home affairs</w:t>
      </w:r>
      <w:r w:rsidR="00A617AF" w:rsidRPr="00A617AF">
        <w:rPr>
          <w:rFonts w:ascii="Times New Roman" w:hAnsi="Times New Roman" w:cs="Times New Roman"/>
          <w:noProof/>
          <w:sz w:val="24"/>
          <w:szCs w:val="24"/>
          <w:lang w:val="en-IE"/>
        </w:rPr>
        <w:t xml:space="preserve"> and fulfils the tasks laid down in the</w:t>
      </w:r>
      <w:r w:rsidR="009D57C4">
        <w:rPr>
          <w:rFonts w:ascii="Times New Roman" w:hAnsi="Times New Roman" w:cs="Times New Roman"/>
          <w:noProof/>
          <w:sz w:val="24"/>
          <w:szCs w:val="24"/>
          <w:lang w:val="en-IE"/>
        </w:rPr>
        <w:t xml:space="preserve"> establishing eu-LISA</w:t>
      </w:r>
      <w:r w:rsidR="00A617AF" w:rsidRPr="00A617AF">
        <w:rPr>
          <w:rFonts w:ascii="Times New Roman" w:hAnsi="Times New Roman" w:cs="Times New Roman"/>
          <w:noProof/>
          <w:sz w:val="24"/>
          <w:szCs w:val="24"/>
          <w:lang w:val="en-IE"/>
        </w:rPr>
        <w:t xml:space="preserve"> Regulation as well as new tasks entrusted to it. It also found that eu-LISA effectively contributed to the establishment of a more coordinated, effective and coherent IT environment for the management of large-scale IT systems that support the implementation of Justice and Home Affairs (JHA) policies. The </w:t>
      </w:r>
      <w:r w:rsidR="00052080" w:rsidRPr="00052080">
        <w:rPr>
          <w:rFonts w:ascii="Times New Roman" w:hAnsi="Times New Roman" w:cs="Times New Roman"/>
          <w:noProof/>
          <w:sz w:val="24"/>
          <w:szCs w:val="24"/>
          <w:lang w:val="en-IE"/>
        </w:rPr>
        <w:t xml:space="preserve">2017 </w:t>
      </w:r>
      <w:r w:rsidR="00A617AF" w:rsidRPr="00052080">
        <w:rPr>
          <w:rFonts w:ascii="Times New Roman" w:hAnsi="Times New Roman" w:cs="Times New Roman"/>
          <w:noProof/>
          <w:sz w:val="24"/>
          <w:szCs w:val="24"/>
          <w:lang w:val="en-IE"/>
        </w:rPr>
        <w:t>evaluation therefore provide</w:t>
      </w:r>
      <w:r w:rsidR="00752662" w:rsidRPr="00052080">
        <w:rPr>
          <w:rFonts w:ascii="Times New Roman" w:hAnsi="Times New Roman" w:cs="Times New Roman"/>
          <w:noProof/>
          <w:sz w:val="24"/>
          <w:szCs w:val="24"/>
          <w:lang w:val="en-IE"/>
        </w:rPr>
        <w:t>d</w:t>
      </w:r>
      <w:r w:rsidR="00A617AF" w:rsidRPr="00052080">
        <w:rPr>
          <w:rFonts w:ascii="Times New Roman" w:hAnsi="Times New Roman" w:cs="Times New Roman"/>
          <w:noProof/>
          <w:sz w:val="24"/>
          <w:szCs w:val="24"/>
          <w:lang w:val="en-IE"/>
        </w:rPr>
        <w:t xml:space="preserve"> the necessary reassurance about the continuing validity of the rationale behind creating eu-LISA and its further existence</w:t>
      </w:r>
      <w:r w:rsidR="006A10DD" w:rsidRPr="00052080">
        <w:rPr>
          <w:rFonts w:ascii="Times New Roman" w:hAnsi="Times New Roman" w:cs="Times New Roman"/>
          <w:noProof/>
          <w:sz w:val="24"/>
          <w:szCs w:val="24"/>
          <w:lang w:val="en-IE"/>
        </w:rPr>
        <w:t xml:space="preserve">. </w:t>
      </w:r>
      <w:r w:rsidR="00052080" w:rsidRPr="00052080">
        <w:rPr>
          <w:rFonts w:ascii="Times New Roman" w:hAnsi="Times New Roman" w:cs="Times New Roman"/>
          <w:noProof/>
          <w:sz w:val="24"/>
          <w:szCs w:val="24"/>
          <w:lang w:val="en-IE"/>
        </w:rPr>
        <w:t>In particular:</w:t>
      </w:r>
    </w:p>
    <w:p w14:paraId="408565DE" w14:textId="6E468251" w:rsidR="00052080" w:rsidRPr="004E2424" w:rsidRDefault="00052080" w:rsidP="004E2424">
      <w:pPr>
        <w:pStyle w:val="ListParagraph"/>
        <w:numPr>
          <w:ilvl w:val="0"/>
          <w:numId w:val="92"/>
        </w:numPr>
        <w:rPr>
          <w:noProof/>
          <w:szCs w:val="24"/>
          <w:lang w:val="en-IE"/>
        </w:rPr>
      </w:pPr>
      <w:r w:rsidRPr="004E2424">
        <w:rPr>
          <w:i/>
          <w:iCs/>
          <w:noProof/>
          <w:szCs w:val="24"/>
          <w:lang w:val="en-IE"/>
        </w:rPr>
        <w:t>In regard to effectiveness</w:t>
      </w:r>
      <w:r w:rsidRPr="004E2424">
        <w:rPr>
          <w:noProof/>
          <w:szCs w:val="24"/>
          <w:lang w:val="en-IE"/>
        </w:rPr>
        <w:t>: the 2017 evaluation found that the Agency had overall achieved its objective of effectively ensuring the operational management of the three IT systems entrusted to it.</w:t>
      </w:r>
    </w:p>
    <w:p w14:paraId="7B84BACB" w14:textId="79F6C98A" w:rsidR="00052080" w:rsidRPr="004E2424" w:rsidRDefault="00052080" w:rsidP="004E2424">
      <w:pPr>
        <w:pStyle w:val="ListParagraph"/>
        <w:numPr>
          <w:ilvl w:val="0"/>
          <w:numId w:val="92"/>
        </w:numPr>
        <w:rPr>
          <w:noProof/>
          <w:szCs w:val="24"/>
          <w:lang w:val="en-IE"/>
        </w:rPr>
      </w:pPr>
      <w:r w:rsidRPr="004E2424">
        <w:rPr>
          <w:i/>
          <w:iCs/>
          <w:noProof/>
          <w:szCs w:val="24"/>
          <w:lang w:val="en-IE"/>
        </w:rPr>
        <w:t>In regard to efficiency</w:t>
      </w:r>
      <w:r w:rsidRPr="004E2424">
        <w:rPr>
          <w:noProof/>
          <w:szCs w:val="24"/>
          <w:lang w:val="en-IE"/>
        </w:rPr>
        <w:t>: the 2017 evaluation found that there is a need for a full review of the allocation of resources for core and non-core tasks of eu-LISA, to be performed by the Agency, in order to ascertain whether the allocation is proportionate to the aims to be achieved and whether some reallocation could occur (for instance the development of new systems). The Evaluation also found that there was a need to put appropriate controls in place to ensure that sufficient staff resources are available for project management based on project needs.</w:t>
      </w:r>
    </w:p>
    <w:p w14:paraId="4BAA2882" w14:textId="291BBFCF" w:rsidR="00052080" w:rsidRPr="004E2424" w:rsidRDefault="00052080" w:rsidP="004E2424">
      <w:pPr>
        <w:pStyle w:val="ListParagraph"/>
        <w:numPr>
          <w:ilvl w:val="0"/>
          <w:numId w:val="92"/>
        </w:numPr>
        <w:rPr>
          <w:noProof/>
          <w:szCs w:val="24"/>
          <w:lang w:val="en-IE"/>
        </w:rPr>
      </w:pPr>
      <w:r w:rsidRPr="004E2424">
        <w:rPr>
          <w:i/>
          <w:iCs/>
          <w:noProof/>
          <w:szCs w:val="24"/>
          <w:lang w:val="en-IE"/>
        </w:rPr>
        <w:t>In terms of coherence</w:t>
      </w:r>
      <w:r w:rsidRPr="004E2424">
        <w:rPr>
          <w:noProof/>
          <w:szCs w:val="24"/>
          <w:lang w:val="en-IE"/>
        </w:rPr>
        <w:t>: the 2017 evaluation found that the activities of eu-LISA are generally well-aligned with the relevant JHA policy frameworks and strategies and the coherence of the Agency’s activities was confirmed.</w:t>
      </w:r>
    </w:p>
    <w:p w14:paraId="6879DDA7" w14:textId="771A52AB" w:rsidR="00052080" w:rsidRPr="004E2424" w:rsidRDefault="00052080" w:rsidP="004E2424">
      <w:pPr>
        <w:pStyle w:val="ListParagraph"/>
        <w:numPr>
          <w:ilvl w:val="0"/>
          <w:numId w:val="92"/>
        </w:numPr>
        <w:rPr>
          <w:noProof/>
          <w:szCs w:val="24"/>
          <w:lang w:val="en-IE"/>
        </w:rPr>
      </w:pPr>
      <w:r w:rsidRPr="004E2424">
        <w:rPr>
          <w:i/>
          <w:iCs/>
          <w:noProof/>
          <w:szCs w:val="24"/>
          <w:lang w:val="en-IE"/>
        </w:rPr>
        <w:t>Finally, in terms of relevance and added value</w:t>
      </w:r>
      <w:r w:rsidRPr="004E2424">
        <w:rPr>
          <w:noProof/>
          <w:szCs w:val="24"/>
          <w:lang w:val="en-IE"/>
        </w:rPr>
        <w:t>: the 2017 evaluation found that the establishment of a single management authority to assume operational management of the three IT systems inherently creates a high level of added value, to the extent that the Agency effectively and efficiently carries out its tasks. However, ultimate added value of eu-LISA is thus logically highly dependent on its ability to fulfil its core tasks in an efficient and effective manner.</w:t>
      </w:r>
    </w:p>
    <w:p w14:paraId="1028ADAE" w14:textId="47E269E0" w:rsidR="00033FAA" w:rsidRDefault="00052080" w:rsidP="00FF38C5">
      <w:pPr>
        <w:jc w:val="both"/>
        <w:rPr>
          <w:rFonts w:ascii="Times New Roman" w:hAnsi="Times New Roman" w:cs="Times New Roman"/>
          <w:noProof/>
          <w:sz w:val="24"/>
          <w:szCs w:val="24"/>
          <w:lang w:val="en-IE"/>
        </w:rPr>
      </w:pPr>
      <w:r w:rsidRPr="00033FAA">
        <w:rPr>
          <w:rFonts w:ascii="Times New Roman" w:hAnsi="Times New Roman" w:cs="Times New Roman"/>
          <w:noProof/>
          <w:sz w:val="24"/>
          <w:szCs w:val="24"/>
          <w:lang w:val="en-IE"/>
        </w:rPr>
        <w:t>Nevertheless</w:t>
      </w:r>
      <w:r w:rsidR="006A10DD" w:rsidRPr="00033FAA">
        <w:rPr>
          <w:rFonts w:ascii="Times New Roman" w:hAnsi="Times New Roman" w:cs="Times New Roman"/>
          <w:noProof/>
          <w:sz w:val="24"/>
          <w:szCs w:val="24"/>
          <w:lang w:val="en-IE"/>
        </w:rPr>
        <w:t>, the</w:t>
      </w:r>
      <w:r w:rsidR="009D57C4" w:rsidRPr="00033FAA">
        <w:rPr>
          <w:rFonts w:ascii="Times New Roman" w:hAnsi="Times New Roman" w:cs="Times New Roman"/>
          <w:noProof/>
          <w:sz w:val="24"/>
          <w:szCs w:val="24"/>
          <w:lang w:val="en-IE"/>
        </w:rPr>
        <w:t xml:space="preserve"> 2017</w:t>
      </w:r>
      <w:r w:rsidR="006A10DD" w:rsidRPr="00033FAA">
        <w:rPr>
          <w:rFonts w:ascii="Times New Roman" w:hAnsi="Times New Roman" w:cs="Times New Roman"/>
          <w:noProof/>
          <w:sz w:val="24"/>
          <w:szCs w:val="24"/>
          <w:lang w:val="en-IE"/>
        </w:rPr>
        <w:t xml:space="preserve"> evaluation also identified certain shortcomings for all evaluation criteria at both operational and organisational level</w:t>
      </w:r>
      <w:r w:rsidR="00C53E93" w:rsidRPr="00033FAA">
        <w:rPr>
          <w:rFonts w:ascii="Times New Roman" w:hAnsi="Times New Roman" w:cs="Times New Roman"/>
          <w:noProof/>
          <w:sz w:val="24"/>
          <w:szCs w:val="24"/>
          <w:lang w:val="en-IE"/>
        </w:rPr>
        <w:t>s</w:t>
      </w:r>
      <w:r w:rsidR="006A10DD" w:rsidRPr="00033FAA">
        <w:rPr>
          <w:rFonts w:ascii="Times New Roman" w:hAnsi="Times New Roman" w:cs="Times New Roman"/>
          <w:noProof/>
          <w:sz w:val="24"/>
          <w:szCs w:val="24"/>
          <w:lang w:val="en-IE"/>
        </w:rPr>
        <w:t xml:space="preserve"> and recommended a number of changes to address them. </w:t>
      </w:r>
      <w:r w:rsidR="00033FAA" w:rsidRPr="004E2424">
        <w:rPr>
          <w:rFonts w:ascii="Times New Roman" w:hAnsi="Times New Roman" w:cs="Times New Roman"/>
          <w:noProof/>
          <w:sz w:val="24"/>
          <w:szCs w:val="24"/>
          <w:lang w:val="en-IE"/>
        </w:rPr>
        <w:t xml:space="preserve">Although the Agency proved that it </w:t>
      </w:r>
      <w:r w:rsidR="00033FAA" w:rsidRPr="00033FAA">
        <w:rPr>
          <w:rFonts w:ascii="Times New Roman" w:hAnsi="Times New Roman" w:cs="Times New Roman"/>
          <w:noProof/>
          <w:sz w:val="24"/>
          <w:szCs w:val="24"/>
          <w:lang w:val="en-IE"/>
        </w:rPr>
        <w:t>could</w:t>
      </w:r>
      <w:r w:rsidR="00033FAA" w:rsidRPr="004E2424">
        <w:rPr>
          <w:rFonts w:ascii="Times New Roman" w:hAnsi="Times New Roman" w:cs="Times New Roman"/>
          <w:noProof/>
          <w:sz w:val="24"/>
          <w:szCs w:val="24"/>
          <w:lang w:val="en-IE"/>
        </w:rPr>
        <w:t xml:space="preserve"> do more with the same level of resources and can adapt with a high degree of flexibility to new needs, the </w:t>
      </w:r>
      <w:r w:rsidR="00033FAA">
        <w:rPr>
          <w:rFonts w:ascii="Times New Roman" w:hAnsi="Times New Roman" w:cs="Times New Roman"/>
          <w:noProof/>
          <w:sz w:val="24"/>
          <w:szCs w:val="24"/>
          <w:lang w:val="en-IE"/>
        </w:rPr>
        <w:t xml:space="preserve">2017 </w:t>
      </w:r>
      <w:r w:rsidR="00033FAA" w:rsidRPr="004E2424">
        <w:rPr>
          <w:rFonts w:ascii="Times New Roman" w:hAnsi="Times New Roman" w:cs="Times New Roman"/>
          <w:noProof/>
          <w:sz w:val="24"/>
          <w:szCs w:val="24"/>
          <w:lang w:val="en-IE"/>
        </w:rPr>
        <w:t xml:space="preserve">evaluation also concluded that, should eu-LISA be made responsible for new IT systems, it would not be able to manage </w:t>
      </w:r>
      <w:r w:rsidR="00033FAA">
        <w:rPr>
          <w:rFonts w:ascii="Times New Roman" w:hAnsi="Times New Roman" w:cs="Times New Roman"/>
          <w:noProof/>
          <w:sz w:val="24"/>
          <w:szCs w:val="24"/>
          <w:lang w:val="en-IE"/>
        </w:rPr>
        <w:t>them</w:t>
      </w:r>
      <w:r w:rsidR="00033FAA" w:rsidRPr="004E2424">
        <w:rPr>
          <w:rFonts w:ascii="Times New Roman" w:hAnsi="Times New Roman" w:cs="Times New Roman"/>
          <w:noProof/>
          <w:sz w:val="24"/>
          <w:szCs w:val="24"/>
          <w:lang w:val="en-IE"/>
        </w:rPr>
        <w:t xml:space="preserve"> with the resources available.</w:t>
      </w:r>
      <w:r w:rsidR="00033FAA">
        <w:rPr>
          <w:rFonts w:ascii="Times New Roman" w:hAnsi="Times New Roman" w:cs="Times New Roman"/>
          <w:noProof/>
          <w:sz w:val="24"/>
          <w:szCs w:val="24"/>
          <w:lang w:val="en-IE"/>
        </w:rPr>
        <w:t xml:space="preserve"> </w:t>
      </w:r>
      <w:r w:rsidR="006A10DD" w:rsidRPr="006A10DD">
        <w:rPr>
          <w:rFonts w:ascii="Times New Roman" w:hAnsi="Times New Roman" w:cs="Times New Roman"/>
          <w:noProof/>
          <w:sz w:val="24"/>
          <w:szCs w:val="24"/>
          <w:lang w:val="en-IE"/>
        </w:rPr>
        <w:t>In its actions, the Agency could be more efficient, effective and coherent and could also strengthen its relevance and added value.</w:t>
      </w:r>
    </w:p>
    <w:p w14:paraId="141BB673" w14:textId="540484AD" w:rsidR="00033FAA" w:rsidRDefault="00033FAA" w:rsidP="00FF38C5">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2017 evaluation came up with a set of recommendations for </w:t>
      </w:r>
      <w:r w:rsidRPr="00984FC6">
        <w:rPr>
          <w:rFonts w:ascii="Times New Roman" w:hAnsi="Times New Roman" w:cs="Times New Roman"/>
          <w:noProof/>
          <w:sz w:val="24"/>
          <w:szCs w:val="24"/>
          <w:lang w:val="en-IE"/>
        </w:rPr>
        <w:t>legislative amendments to the eu</w:t>
      </w:r>
      <w:r>
        <w:rPr>
          <w:rFonts w:ascii="Times New Roman" w:hAnsi="Times New Roman" w:cs="Times New Roman"/>
          <w:noProof/>
          <w:sz w:val="24"/>
          <w:szCs w:val="24"/>
          <w:lang w:val="en-IE"/>
        </w:rPr>
        <w:t>-</w:t>
      </w:r>
      <w:r w:rsidRPr="00984FC6">
        <w:rPr>
          <w:rFonts w:ascii="Times New Roman" w:hAnsi="Times New Roman" w:cs="Times New Roman"/>
          <w:noProof/>
          <w:sz w:val="24"/>
          <w:szCs w:val="24"/>
          <w:lang w:val="en-IE"/>
        </w:rPr>
        <w:t>LISA establishing Regulation</w:t>
      </w:r>
      <w:r>
        <w:rPr>
          <w:rFonts w:ascii="Times New Roman" w:hAnsi="Times New Roman" w:cs="Times New Roman"/>
          <w:noProof/>
          <w:sz w:val="24"/>
          <w:szCs w:val="24"/>
          <w:lang w:val="en-IE"/>
        </w:rPr>
        <w:t xml:space="preserve"> </w:t>
      </w:r>
      <w:r w:rsidRPr="00984FC6">
        <w:rPr>
          <w:rFonts w:ascii="Times New Roman" w:hAnsi="Times New Roman" w:cs="Times New Roman"/>
          <w:noProof/>
          <w:sz w:val="24"/>
          <w:szCs w:val="24"/>
          <w:lang w:val="en-IE"/>
        </w:rPr>
        <w:t>and to other related instruments</w:t>
      </w:r>
      <w:r>
        <w:rPr>
          <w:rFonts w:ascii="Times New Roman" w:hAnsi="Times New Roman" w:cs="Times New Roman"/>
          <w:noProof/>
          <w:sz w:val="24"/>
          <w:szCs w:val="24"/>
          <w:lang w:val="en-IE"/>
        </w:rPr>
        <w:t>, which included:</w:t>
      </w:r>
    </w:p>
    <w:p w14:paraId="1A6C9A35" w14:textId="670A45B8" w:rsidR="00033FAA" w:rsidRPr="004E2424" w:rsidRDefault="00033FAA" w:rsidP="004E2424">
      <w:pPr>
        <w:pStyle w:val="ListParagraph"/>
        <w:numPr>
          <w:ilvl w:val="0"/>
          <w:numId w:val="93"/>
        </w:numPr>
        <w:rPr>
          <w:noProof/>
          <w:szCs w:val="24"/>
          <w:lang w:val="en-IE"/>
        </w:rPr>
      </w:pPr>
      <w:r w:rsidRPr="004E2424">
        <w:rPr>
          <w:noProof/>
          <w:szCs w:val="24"/>
          <w:lang w:val="en-IE"/>
        </w:rPr>
        <w:t>The transfer of the European Commission’s responsibilities relating to the communication infrastructure to eu-LISA.</w:t>
      </w:r>
    </w:p>
    <w:p w14:paraId="06A34FA4" w14:textId="3632E053" w:rsidR="00033FAA" w:rsidRPr="004E2424" w:rsidRDefault="00033FAA" w:rsidP="004E2424">
      <w:pPr>
        <w:pStyle w:val="ListParagraph"/>
        <w:numPr>
          <w:ilvl w:val="0"/>
          <w:numId w:val="93"/>
        </w:numPr>
        <w:rPr>
          <w:noProof/>
          <w:szCs w:val="24"/>
          <w:lang w:val="en-IE"/>
        </w:rPr>
      </w:pPr>
      <w:r w:rsidRPr="004E2424">
        <w:rPr>
          <w:noProof/>
          <w:szCs w:val="24"/>
          <w:lang w:val="en-IE"/>
        </w:rPr>
        <w:t>A new provision on the cooperation framework of eu-LISA with other JHA agencies to clarify the scope of cooperation within eu-LISA’s mandate.</w:t>
      </w:r>
    </w:p>
    <w:p w14:paraId="174213EB" w14:textId="66E2110A" w:rsidR="00033FAA" w:rsidRPr="004E2424" w:rsidRDefault="00033FAA" w:rsidP="004E2424">
      <w:pPr>
        <w:pStyle w:val="ListParagraph"/>
        <w:numPr>
          <w:ilvl w:val="0"/>
          <w:numId w:val="93"/>
        </w:numPr>
        <w:rPr>
          <w:noProof/>
          <w:szCs w:val="24"/>
          <w:lang w:val="en-IE"/>
        </w:rPr>
      </w:pPr>
      <w:r w:rsidRPr="004E2424">
        <w:rPr>
          <w:noProof/>
          <w:szCs w:val="24"/>
          <w:lang w:val="en-IE"/>
        </w:rPr>
        <w:t>An extension of the scope of the pilot schemes that can be entrusted to eu-LISA.</w:t>
      </w:r>
    </w:p>
    <w:p w14:paraId="31D1ACD6" w14:textId="03190658" w:rsidR="00033FAA" w:rsidRPr="004E2424" w:rsidRDefault="00033FAA" w:rsidP="004E2424">
      <w:pPr>
        <w:pStyle w:val="ListParagraph"/>
        <w:numPr>
          <w:ilvl w:val="0"/>
          <w:numId w:val="93"/>
        </w:numPr>
        <w:rPr>
          <w:noProof/>
          <w:szCs w:val="24"/>
          <w:lang w:val="en-IE"/>
        </w:rPr>
      </w:pPr>
      <w:r w:rsidRPr="004E2424">
        <w:rPr>
          <w:noProof/>
          <w:szCs w:val="24"/>
          <w:lang w:val="en-IE"/>
        </w:rPr>
        <w:t xml:space="preserve">Additional tasks in relation to eu-LISA management of the systems, including: (i) an extended responsibility for eu-LISA in generating statistical reports for each system; and (ii) a new task to produce data quality and data analysis reports. </w:t>
      </w:r>
    </w:p>
    <w:p w14:paraId="613F3FBD" w14:textId="03780B30" w:rsidR="00984FC6" w:rsidRDefault="00033FAA" w:rsidP="00984FC6">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Finally, t</w:t>
      </w:r>
      <w:r w:rsidR="00984FC6" w:rsidRPr="00984FC6">
        <w:rPr>
          <w:rFonts w:ascii="Times New Roman" w:hAnsi="Times New Roman" w:cs="Times New Roman"/>
          <w:noProof/>
          <w:sz w:val="24"/>
          <w:szCs w:val="24"/>
          <w:lang w:val="en-IE"/>
        </w:rPr>
        <w:t xml:space="preserve">he evaluation identified the possible need to </w:t>
      </w:r>
      <w:r>
        <w:rPr>
          <w:rFonts w:ascii="Times New Roman" w:hAnsi="Times New Roman" w:cs="Times New Roman"/>
          <w:noProof/>
          <w:sz w:val="24"/>
          <w:szCs w:val="24"/>
          <w:lang w:val="en-IE"/>
        </w:rPr>
        <w:t>increase</w:t>
      </w:r>
      <w:r w:rsidR="00984FC6" w:rsidRPr="00984FC6">
        <w:rPr>
          <w:rFonts w:ascii="Times New Roman" w:hAnsi="Times New Roman" w:cs="Times New Roman"/>
          <w:noProof/>
          <w:sz w:val="24"/>
          <w:szCs w:val="24"/>
          <w:lang w:val="en-IE"/>
        </w:rPr>
        <w:t xml:space="preserve"> the tasks entrusted to eu</w:t>
      </w:r>
      <w:r w:rsidR="00984FC6">
        <w:rPr>
          <w:rFonts w:ascii="Times New Roman" w:hAnsi="Times New Roman" w:cs="Times New Roman"/>
          <w:noProof/>
          <w:sz w:val="24"/>
          <w:szCs w:val="24"/>
          <w:lang w:val="en-IE"/>
        </w:rPr>
        <w:t>-</w:t>
      </w:r>
      <w:r w:rsidR="00984FC6" w:rsidRPr="00984FC6">
        <w:rPr>
          <w:rFonts w:ascii="Times New Roman" w:hAnsi="Times New Roman" w:cs="Times New Roman"/>
          <w:noProof/>
          <w:sz w:val="24"/>
          <w:szCs w:val="24"/>
          <w:lang w:val="en-IE"/>
        </w:rPr>
        <w:t>LISA and introduced a limited set of recommendations for legislative amendments to the eu</w:t>
      </w:r>
      <w:r w:rsidR="00984FC6">
        <w:rPr>
          <w:rFonts w:ascii="Times New Roman" w:hAnsi="Times New Roman" w:cs="Times New Roman"/>
          <w:noProof/>
          <w:sz w:val="24"/>
          <w:szCs w:val="24"/>
          <w:lang w:val="en-IE"/>
        </w:rPr>
        <w:t>-</w:t>
      </w:r>
      <w:r w:rsidR="00984FC6" w:rsidRPr="00984FC6">
        <w:rPr>
          <w:rFonts w:ascii="Times New Roman" w:hAnsi="Times New Roman" w:cs="Times New Roman"/>
          <w:noProof/>
          <w:sz w:val="24"/>
          <w:szCs w:val="24"/>
          <w:lang w:val="en-IE"/>
        </w:rPr>
        <w:t>LISA establishing Regulation</w:t>
      </w:r>
      <w:r w:rsidR="00052080">
        <w:rPr>
          <w:rFonts w:ascii="Times New Roman" w:hAnsi="Times New Roman" w:cs="Times New Roman"/>
          <w:noProof/>
          <w:sz w:val="24"/>
          <w:szCs w:val="24"/>
          <w:lang w:val="en-IE"/>
        </w:rPr>
        <w:t xml:space="preserve"> </w:t>
      </w:r>
      <w:r w:rsidR="00984FC6" w:rsidRPr="00984FC6">
        <w:rPr>
          <w:rFonts w:ascii="Times New Roman" w:hAnsi="Times New Roman" w:cs="Times New Roman"/>
          <w:noProof/>
          <w:sz w:val="24"/>
          <w:szCs w:val="24"/>
          <w:lang w:val="en-IE"/>
        </w:rPr>
        <w:t>and to other related instruments</w:t>
      </w:r>
      <w:r w:rsidR="00984FC6">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including changes derives from amended EU legislation (such as the Financial Regulation and the Framework Financial Regulation), changes derived from the adoption by the co-legislators of the Commission proposals that entrust new systems to the Agency such as the Entry/Exit System, and changes to allow eu-LISA to provide assistance or support to the relevant Commission services on technical issues related to existing or new systems, where requested. </w:t>
      </w:r>
    </w:p>
    <w:p w14:paraId="13F59104" w14:textId="04714DB1" w:rsidR="00984FC6" w:rsidRPr="00984FC6" w:rsidRDefault="00033FAA" w:rsidP="00984FC6">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 xml:space="preserve">The same day of the adoption of the 2017 evaluation report, the Commission tabled, on the basis of the evaluation recommendations, a proposal to amend the eu-LISA establishing Regulation and the system’s instruments. </w:t>
      </w:r>
      <w:r w:rsidR="00C353B7" w:rsidRPr="002E6E75">
        <w:rPr>
          <w:rFonts w:ascii="Times New Roman" w:hAnsi="Times New Roman" w:cs="Times New Roman"/>
          <w:noProof/>
          <w:sz w:val="24"/>
          <w:szCs w:val="24"/>
          <w:lang w:val="en-IE"/>
        </w:rPr>
        <w:t>eu-LISA</w:t>
      </w:r>
      <w:r w:rsidR="00052080">
        <w:rPr>
          <w:rFonts w:ascii="Times New Roman" w:hAnsi="Times New Roman" w:cs="Times New Roman"/>
          <w:noProof/>
          <w:sz w:val="24"/>
          <w:szCs w:val="24"/>
          <w:lang w:val="en-IE"/>
        </w:rPr>
        <w:t>’s mandate</w:t>
      </w:r>
      <w:r w:rsidR="00C353B7" w:rsidRPr="002E6E75">
        <w:rPr>
          <w:rFonts w:ascii="Times New Roman" w:hAnsi="Times New Roman" w:cs="Times New Roman"/>
          <w:noProof/>
          <w:sz w:val="24"/>
          <w:szCs w:val="24"/>
          <w:lang w:val="en-IE"/>
        </w:rPr>
        <w:t xml:space="preserve"> was revised based on Regulation </w:t>
      </w:r>
      <w:r w:rsidR="00D960ED">
        <w:rPr>
          <w:rFonts w:ascii="Times New Roman" w:hAnsi="Times New Roman" w:cs="Times New Roman"/>
          <w:noProof/>
          <w:sz w:val="24"/>
          <w:szCs w:val="24"/>
          <w:lang w:val="en-IE"/>
        </w:rPr>
        <w:t xml:space="preserve">(EU) </w:t>
      </w:r>
      <w:r w:rsidR="00C353B7" w:rsidRPr="002E6E75">
        <w:rPr>
          <w:rFonts w:ascii="Times New Roman" w:hAnsi="Times New Roman" w:cs="Times New Roman"/>
          <w:noProof/>
          <w:sz w:val="24"/>
          <w:szCs w:val="24"/>
          <w:lang w:val="en-IE"/>
        </w:rPr>
        <w:t>2018/1726 (</w:t>
      </w:r>
      <w:r w:rsidR="00C353B7">
        <w:rPr>
          <w:rFonts w:ascii="Times New Roman" w:hAnsi="Times New Roman" w:cs="Times New Roman"/>
          <w:noProof/>
          <w:sz w:val="24"/>
          <w:szCs w:val="24"/>
          <w:lang w:val="en-IE"/>
        </w:rPr>
        <w:t xml:space="preserve">the </w:t>
      </w:r>
      <w:r w:rsidR="00C353B7" w:rsidRPr="002E6E75">
        <w:rPr>
          <w:rFonts w:ascii="Times New Roman" w:hAnsi="Times New Roman" w:cs="Times New Roman"/>
          <w:noProof/>
          <w:sz w:val="24"/>
          <w:szCs w:val="24"/>
          <w:lang w:val="en-IE"/>
        </w:rPr>
        <w:t>“eu-LISA Regulation”),</w:t>
      </w:r>
      <w:r w:rsidR="00C353B7">
        <w:rPr>
          <w:rFonts w:ascii="Times New Roman" w:hAnsi="Times New Roman" w:cs="Times New Roman"/>
          <w:noProof/>
          <w:sz w:val="24"/>
          <w:szCs w:val="24"/>
          <w:lang w:val="en-IE"/>
        </w:rPr>
        <w:t xml:space="preserve"> and the </w:t>
      </w:r>
      <w:r w:rsidR="00052080">
        <w:rPr>
          <w:rFonts w:ascii="Times New Roman" w:hAnsi="Times New Roman" w:cs="Times New Roman"/>
          <w:noProof/>
          <w:sz w:val="24"/>
          <w:szCs w:val="24"/>
          <w:lang w:val="en-IE"/>
        </w:rPr>
        <w:t>role in</w:t>
      </w:r>
      <w:r w:rsidR="000F46EE">
        <w:rPr>
          <w:rFonts w:ascii="Times New Roman" w:hAnsi="Times New Roman" w:cs="Times New Roman"/>
          <w:noProof/>
          <w:sz w:val="24"/>
          <w:szCs w:val="24"/>
          <w:lang w:val="en-IE"/>
        </w:rPr>
        <w:t xml:space="preserve"> the development of new </w:t>
      </w:r>
      <w:r w:rsidR="00052080">
        <w:rPr>
          <w:rFonts w:ascii="Times New Roman" w:hAnsi="Times New Roman" w:cs="Times New Roman"/>
          <w:noProof/>
          <w:sz w:val="24"/>
          <w:szCs w:val="24"/>
          <w:lang w:val="en-IE"/>
        </w:rPr>
        <w:t xml:space="preserve">large-scale IT </w:t>
      </w:r>
      <w:r w:rsidR="000F46EE">
        <w:rPr>
          <w:rFonts w:ascii="Times New Roman" w:hAnsi="Times New Roman" w:cs="Times New Roman"/>
          <w:noProof/>
          <w:sz w:val="24"/>
          <w:szCs w:val="24"/>
          <w:lang w:val="en-IE"/>
        </w:rPr>
        <w:t xml:space="preserve">systems </w:t>
      </w:r>
      <w:r w:rsidR="004D5F49">
        <w:rPr>
          <w:rFonts w:ascii="Times New Roman" w:hAnsi="Times New Roman" w:cs="Times New Roman"/>
          <w:noProof/>
          <w:sz w:val="24"/>
          <w:szCs w:val="24"/>
          <w:lang w:val="en-IE"/>
        </w:rPr>
        <w:t>considerably expanded</w:t>
      </w:r>
      <w:r w:rsidR="00052080">
        <w:rPr>
          <w:rFonts w:ascii="Times New Roman" w:hAnsi="Times New Roman" w:cs="Times New Roman"/>
          <w:noProof/>
          <w:sz w:val="24"/>
          <w:szCs w:val="24"/>
          <w:lang w:val="en-IE"/>
        </w:rPr>
        <w:t>, as further detailed in Section 3</w:t>
      </w:r>
      <w:r w:rsidR="000F46EE">
        <w:rPr>
          <w:rFonts w:ascii="Times New Roman" w:hAnsi="Times New Roman" w:cs="Times New Roman"/>
          <w:noProof/>
          <w:sz w:val="24"/>
          <w:szCs w:val="24"/>
          <w:lang w:val="en-IE"/>
        </w:rPr>
        <w:t xml:space="preserve">. </w:t>
      </w:r>
    </w:p>
    <w:p w14:paraId="1D51C1E5" w14:textId="7392D741" w:rsidR="008530D4" w:rsidRPr="00147D71" w:rsidRDefault="00147D71" w:rsidP="00050793">
      <w:pPr>
        <w:pStyle w:val="Heading1"/>
        <w:numPr>
          <w:ilvl w:val="0"/>
          <w:numId w:val="2"/>
        </w:numPr>
        <w:pBdr>
          <w:top w:val="single" w:sz="4" w:space="1" w:color="auto"/>
          <w:left w:val="single" w:sz="4" w:space="4" w:color="auto"/>
          <w:bottom w:val="single" w:sz="4" w:space="1" w:color="auto"/>
          <w:right w:val="single" w:sz="4" w:space="4" w:color="auto"/>
        </w:pBdr>
        <w:shd w:val="clear" w:color="auto" w:fill="BBDAFD" w:themeFill="text2" w:themeFillTint="33"/>
        <w:rPr>
          <w:noProof/>
          <w:szCs w:val="24"/>
        </w:rPr>
      </w:pPr>
      <w:bookmarkStart w:id="19" w:name="_Toc42093675"/>
      <w:bookmarkStart w:id="20" w:name="_Toc42093886"/>
      <w:bookmarkStart w:id="21" w:name="_Toc207303606"/>
      <w:r w:rsidRPr="00147D71">
        <w:rPr>
          <w:noProof/>
          <w:szCs w:val="24"/>
        </w:rPr>
        <w:t xml:space="preserve">How has the situation evolved </w:t>
      </w:r>
      <w:r w:rsidR="009610DF">
        <w:rPr>
          <w:noProof/>
          <w:szCs w:val="24"/>
        </w:rPr>
        <w:t xml:space="preserve">over </w:t>
      </w:r>
      <w:r w:rsidRPr="00147D71">
        <w:rPr>
          <w:noProof/>
          <w:szCs w:val="24"/>
        </w:rPr>
        <w:t>the evaluation period?</w:t>
      </w:r>
      <w:bookmarkEnd w:id="19"/>
      <w:bookmarkEnd w:id="20"/>
      <w:bookmarkEnd w:id="21"/>
    </w:p>
    <w:p w14:paraId="163B3F74" w14:textId="0BAAC9BB" w:rsidR="00EA434F" w:rsidRPr="007A43AE" w:rsidRDefault="00EA434F" w:rsidP="00EA434F">
      <w:pPr>
        <w:jc w:val="both"/>
        <w:rPr>
          <w:rFonts w:ascii="Times New Roman" w:hAnsi="Times New Roman" w:cs="Times New Roman"/>
          <w:noProof/>
          <w:sz w:val="24"/>
          <w:szCs w:val="24"/>
          <w:lang w:val="en-IE"/>
        </w:rPr>
      </w:pPr>
      <w:r w:rsidRPr="007A43AE">
        <w:rPr>
          <w:rFonts w:ascii="Times New Roman" w:hAnsi="Times New Roman" w:cs="Times New Roman"/>
          <w:noProof/>
          <w:sz w:val="24"/>
          <w:szCs w:val="24"/>
          <w:lang w:val="en-IE"/>
        </w:rPr>
        <w:t xml:space="preserve">Considering the responsibilities of the Agency, the 2018 eu-LISA Regulation </w:t>
      </w:r>
      <w:r w:rsidR="00D23BAF">
        <w:rPr>
          <w:rFonts w:ascii="Times New Roman" w:hAnsi="Times New Roman" w:cs="Times New Roman"/>
          <w:noProof/>
          <w:sz w:val="24"/>
          <w:szCs w:val="24"/>
          <w:lang w:val="en-IE"/>
        </w:rPr>
        <w:t>established a series of tasks that were latter extended through amendments of the eu-LISA Regulation by the IT systems establishing Regulations</w:t>
      </w:r>
      <w:r w:rsidR="00D23BAF">
        <w:rPr>
          <w:rStyle w:val="FootnoteReference"/>
          <w:rFonts w:ascii="Times New Roman" w:hAnsi="Times New Roman" w:cs="Times New Roman"/>
          <w:noProof/>
          <w:szCs w:val="24"/>
          <w:lang w:val="en-IE"/>
        </w:rPr>
        <w:footnoteReference w:id="12"/>
      </w:r>
      <w:r w:rsidR="00D23BAF">
        <w:rPr>
          <w:rFonts w:ascii="Times New Roman" w:hAnsi="Times New Roman" w:cs="Times New Roman"/>
          <w:noProof/>
          <w:sz w:val="24"/>
          <w:szCs w:val="24"/>
          <w:lang w:val="en-IE"/>
        </w:rPr>
        <w:t xml:space="preserve">. </w:t>
      </w:r>
      <w:r w:rsidR="003A324E">
        <w:rPr>
          <w:rFonts w:ascii="Times New Roman" w:hAnsi="Times New Roman" w:cs="Times New Roman"/>
          <w:noProof/>
          <w:sz w:val="24"/>
          <w:szCs w:val="24"/>
          <w:lang w:val="en-IE"/>
        </w:rPr>
        <w:t>T</w:t>
      </w:r>
      <w:r w:rsidR="00D23BAF">
        <w:rPr>
          <w:rFonts w:ascii="Times New Roman" w:hAnsi="Times New Roman" w:cs="Times New Roman"/>
          <w:noProof/>
          <w:sz w:val="24"/>
          <w:szCs w:val="24"/>
          <w:lang w:val="en-IE"/>
        </w:rPr>
        <w:t>he tasks of the Agency detailed in the eu-LISA Regulation (article 3 to 16) are the following</w:t>
      </w:r>
      <w:r w:rsidRPr="007A43AE">
        <w:rPr>
          <w:rFonts w:ascii="Times New Roman" w:hAnsi="Times New Roman" w:cs="Times New Roman"/>
          <w:noProof/>
          <w:sz w:val="24"/>
          <w:szCs w:val="24"/>
          <w:lang w:val="en-IE"/>
        </w:rPr>
        <w:t xml:space="preserve">: </w:t>
      </w:r>
    </w:p>
    <w:p w14:paraId="79FDF0BF" w14:textId="6F46A4C0" w:rsidR="00EA434F" w:rsidRPr="007A43AE" w:rsidRDefault="00EA434F" w:rsidP="00050793">
      <w:pPr>
        <w:pStyle w:val="ListParagraph"/>
        <w:numPr>
          <w:ilvl w:val="0"/>
          <w:numId w:val="8"/>
        </w:numPr>
        <w:spacing w:after="160" w:line="259" w:lineRule="auto"/>
        <w:rPr>
          <w:noProof/>
          <w:szCs w:val="24"/>
          <w:lang w:val="en-IE"/>
        </w:rPr>
      </w:pPr>
      <w:r w:rsidRPr="007A43AE">
        <w:rPr>
          <w:noProof/>
          <w:szCs w:val="24"/>
          <w:lang w:val="en-IE"/>
        </w:rPr>
        <w:t>Adding responsibilities relating to new IT systems</w:t>
      </w:r>
      <w:r w:rsidR="00D23BAF">
        <w:rPr>
          <w:noProof/>
          <w:szCs w:val="24"/>
          <w:lang w:val="en-IE"/>
        </w:rPr>
        <w:t xml:space="preserve"> and Interoperability</w:t>
      </w:r>
      <w:r w:rsidRPr="007A43AE">
        <w:rPr>
          <w:noProof/>
          <w:szCs w:val="24"/>
          <w:lang w:val="en-IE"/>
        </w:rPr>
        <w:t xml:space="preserve"> (Art</w:t>
      </w:r>
      <w:r w:rsidR="00DC0424">
        <w:rPr>
          <w:noProof/>
          <w:szCs w:val="24"/>
          <w:lang w:val="en-IE"/>
        </w:rPr>
        <w:t>icle</w:t>
      </w:r>
      <w:r w:rsidRPr="007A43AE">
        <w:rPr>
          <w:noProof/>
          <w:szCs w:val="24"/>
          <w:lang w:val="en-IE"/>
        </w:rPr>
        <w:t xml:space="preserve"> 6, 7, 8, 8a, 8b, 8c</w:t>
      </w:r>
      <w:r w:rsidR="00D23BAF">
        <w:rPr>
          <w:noProof/>
          <w:szCs w:val="24"/>
          <w:lang w:val="en-IE"/>
        </w:rPr>
        <w:t>, 13</w:t>
      </w:r>
      <w:r w:rsidRPr="007A43AE">
        <w:rPr>
          <w:noProof/>
          <w:szCs w:val="24"/>
          <w:lang w:val="en-IE"/>
        </w:rPr>
        <w:t xml:space="preserve">): </w:t>
      </w:r>
    </w:p>
    <w:p w14:paraId="1E09C4A7" w14:textId="3B8CCBCC" w:rsidR="00EA434F" w:rsidRPr="007A43AE" w:rsidRDefault="00EA434F" w:rsidP="00050793">
      <w:pPr>
        <w:pStyle w:val="ListParagraph"/>
        <w:numPr>
          <w:ilvl w:val="1"/>
          <w:numId w:val="8"/>
        </w:numPr>
        <w:spacing w:after="160" w:line="259" w:lineRule="auto"/>
        <w:rPr>
          <w:noProof/>
          <w:szCs w:val="24"/>
          <w:lang w:val="en-IE"/>
        </w:rPr>
      </w:pPr>
      <w:r w:rsidRPr="007A43AE">
        <w:rPr>
          <w:noProof/>
          <w:szCs w:val="24"/>
          <w:lang w:val="en-IE"/>
        </w:rPr>
        <w:t>The Entry/Exit System (EES), the European Travel Information and Authorisation System (ETIAS), DubliNet</w:t>
      </w:r>
      <w:r w:rsidR="00D23BAF">
        <w:rPr>
          <w:noProof/>
          <w:szCs w:val="24"/>
          <w:lang w:val="en-IE"/>
        </w:rPr>
        <w:t xml:space="preserve">, and the interoperability of IT systems </w:t>
      </w:r>
      <w:r w:rsidRPr="007A43AE">
        <w:rPr>
          <w:noProof/>
          <w:szCs w:val="24"/>
          <w:lang w:val="en-IE"/>
        </w:rPr>
        <w:t xml:space="preserve">were included in the 2018 eu-LISA Regulation; </w:t>
      </w:r>
    </w:p>
    <w:p w14:paraId="77C9F87B" w14:textId="5DE7B6A1" w:rsidR="00EA434F" w:rsidRDefault="00EA434F" w:rsidP="00050793">
      <w:pPr>
        <w:pStyle w:val="ListParagraph"/>
        <w:numPr>
          <w:ilvl w:val="1"/>
          <w:numId w:val="8"/>
        </w:numPr>
        <w:spacing w:after="160" w:line="259" w:lineRule="auto"/>
        <w:rPr>
          <w:noProof/>
          <w:szCs w:val="24"/>
          <w:lang w:val="en-IE"/>
        </w:rPr>
      </w:pPr>
      <w:r w:rsidRPr="007A43AE">
        <w:rPr>
          <w:noProof/>
          <w:szCs w:val="24"/>
          <w:lang w:val="en-IE"/>
        </w:rPr>
        <w:t>The computerised system for the cross-border electronic exchange of data in the area of judicial cooperation in civil and criminal matters (e-CODEX), the European Criminal Records Information System for third-country nationals (ECRIS-TCN)</w:t>
      </w:r>
      <w:r w:rsidR="00CD0871">
        <w:rPr>
          <w:noProof/>
          <w:szCs w:val="24"/>
          <w:lang w:val="en-IE"/>
        </w:rPr>
        <w:t>, the European Criminal Records Information System Reference Implementation,</w:t>
      </w:r>
      <w:r w:rsidRPr="007A43AE">
        <w:rPr>
          <w:noProof/>
          <w:szCs w:val="24"/>
          <w:lang w:val="en-IE"/>
        </w:rPr>
        <w:t xml:space="preserve"> and the joint investigation teams collaboration platform (JITs CP) were added by later amendments in 2019, 2022 and 2023 triggered through the systems’ establishing Regulations); </w:t>
      </w:r>
    </w:p>
    <w:p w14:paraId="1A4E8145" w14:textId="042B437A" w:rsidR="00EA434F" w:rsidRPr="007A43AE" w:rsidRDefault="00EA434F" w:rsidP="00050793">
      <w:pPr>
        <w:pStyle w:val="ListParagraph"/>
        <w:numPr>
          <w:ilvl w:val="0"/>
          <w:numId w:val="8"/>
        </w:numPr>
        <w:spacing w:after="160" w:line="259" w:lineRule="auto"/>
        <w:rPr>
          <w:noProof/>
          <w:szCs w:val="24"/>
          <w:lang w:val="en-IE"/>
        </w:rPr>
      </w:pPr>
      <w:r w:rsidRPr="007A43AE">
        <w:rPr>
          <w:noProof/>
          <w:szCs w:val="24"/>
          <w:lang w:val="en-IE"/>
        </w:rPr>
        <w:t>Detailing of the tasks relating to the operation of IT systems, including requiring eu-LISA to develop solutions to develop technical solutions and meet the requirements for systems which are running 24 hours a day, 7 days a week, ensuring data quality and interoperability (Art</w:t>
      </w:r>
      <w:r w:rsidR="00DC0424">
        <w:rPr>
          <w:noProof/>
          <w:szCs w:val="24"/>
          <w:lang w:val="en-IE"/>
        </w:rPr>
        <w:t>icle</w:t>
      </w:r>
      <w:r w:rsidRPr="007A43AE">
        <w:rPr>
          <w:noProof/>
          <w:szCs w:val="24"/>
          <w:lang w:val="en-IE"/>
        </w:rPr>
        <w:t xml:space="preserve"> 10, 12, 13);</w:t>
      </w:r>
    </w:p>
    <w:p w14:paraId="50C1EDD6" w14:textId="0AC85E30" w:rsidR="00EA434F" w:rsidRPr="007A43AE" w:rsidRDefault="00EA434F" w:rsidP="00050793">
      <w:pPr>
        <w:pStyle w:val="ListParagraph"/>
        <w:numPr>
          <w:ilvl w:val="0"/>
          <w:numId w:val="8"/>
        </w:numPr>
        <w:spacing w:after="160" w:line="259" w:lineRule="auto"/>
        <w:rPr>
          <w:noProof/>
          <w:szCs w:val="24"/>
          <w:lang w:val="en-IE"/>
        </w:rPr>
      </w:pPr>
      <w:r w:rsidRPr="007A43AE">
        <w:rPr>
          <w:noProof/>
          <w:szCs w:val="24"/>
          <w:lang w:val="en-IE"/>
        </w:rPr>
        <w:t>Specification of tasks relating to the communication infrastructure (Art</w:t>
      </w:r>
      <w:r w:rsidR="00DC0424">
        <w:rPr>
          <w:noProof/>
          <w:szCs w:val="24"/>
          <w:lang w:val="en-IE"/>
        </w:rPr>
        <w:t>icle</w:t>
      </w:r>
      <w:r w:rsidRPr="007A43AE">
        <w:rPr>
          <w:noProof/>
          <w:szCs w:val="24"/>
          <w:lang w:val="en-IE"/>
        </w:rPr>
        <w:t xml:space="preserve"> 11); </w:t>
      </w:r>
    </w:p>
    <w:p w14:paraId="3ACE064E" w14:textId="43D21A20" w:rsidR="00EA434F" w:rsidRPr="007A43AE" w:rsidRDefault="00EA434F" w:rsidP="00050793">
      <w:pPr>
        <w:pStyle w:val="ListParagraph"/>
        <w:numPr>
          <w:ilvl w:val="0"/>
          <w:numId w:val="8"/>
        </w:numPr>
        <w:spacing w:after="160" w:line="259" w:lineRule="auto"/>
        <w:rPr>
          <w:noProof/>
          <w:szCs w:val="24"/>
          <w:lang w:val="en-IE"/>
        </w:rPr>
      </w:pPr>
      <w:r w:rsidRPr="007A43AE">
        <w:rPr>
          <w:noProof/>
          <w:szCs w:val="24"/>
          <w:lang w:val="en-IE"/>
        </w:rPr>
        <w:t>Providing a possibility for eu-LISA to support the Member States and the Commission on request (Art</w:t>
      </w:r>
      <w:r w:rsidR="00DC0424">
        <w:rPr>
          <w:noProof/>
          <w:szCs w:val="24"/>
          <w:lang w:val="en-IE"/>
        </w:rPr>
        <w:t>icle</w:t>
      </w:r>
      <w:r w:rsidRPr="007A43AE">
        <w:rPr>
          <w:noProof/>
          <w:szCs w:val="24"/>
          <w:lang w:val="en-IE"/>
        </w:rPr>
        <w:t xml:space="preserve"> 16); </w:t>
      </w:r>
    </w:p>
    <w:p w14:paraId="0CD4B6D4" w14:textId="6E410A6D" w:rsidR="00EA434F" w:rsidRPr="007A43AE" w:rsidRDefault="00EA434F" w:rsidP="00050793">
      <w:pPr>
        <w:pStyle w:val="ListParagraph"/>
        <w:numPr>
          <w:ilvl w:val="0"/>
          <w:numId w:val="8"/>
        </w:numPr>
        <w:spacing w:after="160" w:line="259" w:lineRule="auto"/>
        <w:rPr>
          <w:noProof/>
          <w:szCs w:val="24"/>
          <w:lang w:val="en-IE"/>
        </w:rPr>
      </w:pPr>
      <w:r w:rsidRPr="007A43AE">
        <w:rPr>
          <w:noProof/>
          <w:szCs w:val="24"/>
          <w:lang w:val="en-IE"/>
        </w:rPr>
        <w:t>Enhancing the Agency’s responsibilities in research and pilot testing (</w:t>
      </w:r>
      <w:r w:rsidR="00DC0424" w:rsidRPr="007A43AE">
        <w:rPr>
          <w:noProof/>
          <w:szCs w:val="24"/>
          <w:lang w:val="en-IE"/>
        </w:rPr>
        <w:t>Art</w:t>
      </w:r>
      <w:r w:rsidR="00DC0424">
        <w:rPr>
          <w:noProof/>
          <w:szCs w:val="24"/>
          <w:lang w:val="en-IE"/>
        </w:rPr>
        <w:t>icle</w:t>
      </w:r>
      <w:r w:rsidRPr="007A43AE">
        <w:rPr>
          <w:noProof/>
          <w:szCs w:val="24"/>
          <w:lang w:val="en-IE"/>
        </w:rPr>
        <w:t xml:space="preserve"> 15); and </w:t>
      </w:r>
    </w:p>
    <w:p w14:paraId="5776AA59" w14:textId="5A09FFA0" w:rsidR="00EA434F" w:rsidRPr="007A43AE" w:rsidRDefault="00EA434F" w:rsidP="00050793">
      <w:pPr>
        <w:pStyle w:val="ListParagraph"/>
        <w:numPr>
          <w:ilvl w:val="0"/>
          <w:numId w:val="8"/>
        </w:numPr>
        <w:spacing w:after="160" w:line="259" w:lineRule="auto"/>
        <w:rPr>
          <w:noProof/>
          <w:szCs w:val="24"/>
          <w:lang w:val="en-IE"/>
        </w:rPr>
      </w:pPr>
      <w:r w:rsidRPr="007A43AE">
        <w:rPr>
          <w:noProof/>
          <w:szCs w:val="24"/>
          <w:lang w:val="en-IE"/>
        </w:rPr>
        <w:t>Inclusion of a possibility for eu-LISA to collaborate with international organisations</w:t>
      </w:r>
      <w:r w:rsidR="00D23BAF">
        <w:rPr>
          <w:noProof/>
          <w:szCs w:val="24"/>
          <w:lang w:val="en-IE"/>
        </w:rPr>
        <w:t xml:space="preserve">, only with the authorisation of the Management Board after having received the Commission’s prior approval </w:t>
      </w:r>
      <w:r w:rsidRPr="007A43AE">
        <w:rPr>
          <w:noProof/>
          <w:szCs w:val="24"/>
          <w:lang w:val="en-IE"/>
        </w:rPr>
        <w:t>(</w:t>
      </w:r>
      <w:r w:rsidR="00DC0424" w:rsidRPr="007A43AE">
        <w:rPr>
          <w:noProof/>
          <w:szCs w:val="24"/>
          <w:lang w:val="en-IE"/>
        </w:rPr>
        <w:t>Art</w:t>
      </w:r>
      <w:r w:rsidR="00DC0424">
        <w:rPr>
          <w:noProof/>
          <w:szCs w:val="24"/>
          <w:lang w:val="en-IE"/>
        </w:rPr>
        <w:t>icle</w:t>
      </w:r>
      <w:r w:rsidRPr="007A43AE">
        <w:rPr>
          <w:noProof/>
          <w:szCs w:val="24"/>
          <w:lang w:val="en-IE"/>
        </w:rPr>
        <w:t xml:space="preserve"> 43).</w:t>
      </w:r>
    </w:p>
    <w:p w14:paraId="7F978296" w14:textId="6ED7A3CB" w:rsidR="00951873" w:rsidRDefault="00D23BAF" w:rsidP="00CF6504">
      <w:pPr>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A summary of the tasks of eu-LISA can found in Figure 2 below.</w:t>
      </w:r>
    </w:p>
    <w:p w14:paraId="0B109AF6" w14:textId="3772E2A2" w:rsidR="00370550" w:rsidRPr="004E2424" w:rsidRDefault="00370550" w:rsidP="00370550">
      <w:pPr>
        <w:pStyle w:val="Caption"/>
        <w:keepNext/>
        <w:rPr>
          <w:rFonts w:ascii="Times New Roman" w:hAnsi="Times New Roman" w:cs="Times New Roman"/>
          <w:i/>
          <w:iCs/>
          <w:sz w:val="24"/>
          <w:szCs w:val="24"/>
        </w:rPr>
      </w:pPr>
      <w:r w:rsidRPr="004E2424">
        <w:rPr>
          <w:rFonts w:ascii="Times New Roman" w:hAnsi="Times New Roman" w:cs="Times New Roman"/>
          <w:i/>
          <w:iCs/>
          <w:sz w:val="24"/>
          <w:szCs w:val="24"/>
        </w:rPr>
        <w:t xml:space="preserve">Figure </w:t>
      </w:r>
      <w:r w:rsidRPr="004E2424">
        <w:rPr>
          <w:rFonts w:ascii="Times New Roman" w:hAnsi="Times New Roman" w:cs="Times New Roman"/>
          <w:i/>
          <w:iCs/>
          <w:sz w:val="24"/>
          <w:szCs w:val="24"/>
        </w:rPr>
        <w:fldChar w:fldCharType="begin"/>
      </w:r>
      <w:r w:rsidRPr="004E2424">
        <w:rPr>
          <w:rFonts w:ascii="Times New Roman" w:hAnsi="Times New Roman" w:cs="Times New Roman"/>
          <w:i/>
          <w:iCs/>
          <w:sz w:val="24"/>
          <w:szCs w:val="24"/>
        </w:rPr>
        <w:instrText xml:space="preserve"> SEQ Figure \* ARABIC </w:instrText>
      </w:r>
      <w:r w:rsidRPr="004E2424">
        <w:rPr>
          <w:rFonts w:ascii="Times New Roman" w:hAnsi="Times New Roman" w:cs="Times New Roman"/>
          <w:i/>
          <w:iCs/>
          <w:sz w:val="24"/>
          <w:szCs w:val="24"/>
        </w:rPr>
        <w:fldChar w:fldCharType="separate"/>
      </w:r>
      <w:r w:rsidR="004E2424">
        <w:rPr>
          <w:rFonts w:ascii="Times New Roman" w:hAnsi="Times New Roman" w:cs="Times New Roman"/>
          <w:i/>
          <w:iCs/>
          <w:sz w:val="24"/>
          <w:szCs w:val="24"/>
        </w:rPr>
        <w:t>2</w:t>
      </w:r>
      <w:r w:rsidRPr="004E2424">
        <w:rPr>
          <w:rFonts w:ascii="Times New Roman" w:hAnsi="Times New Roman" w:cs="Times New Roman"/>
          <w:i/>
          <w:iCs/>
          <w:sz w:val="24"/>
          <w:szCs w:val="24"/>
        </w:rPr>
        <w:fldChar w:fldCharType="end"/>
      </w:r>
      <w:r w:rsidRPr="004E2424">
        <w:rPr>
          <w:rFonts w:ascii="Times New Roman" w:hAnsi="Times New Roman" w:cs="Times New Roman"/>
          <w:i/>
          <w:iCs/>
          <w:sz w:val="24"/>
          <w:szCs w:val="24"/>
        </w:rPr>
        <w:t>: Overview of eu-LISA's taks</w:t>
      </w:r>
    </w:p>
    <w:p w14:paraId="17159162" w14:textId="77777777" w:rsidR="00370550" w:rsidRDefault="00370550" w:rsidP="00370550">
      <w:pPr>
        <w:keepNext/>
        <w:spacing w:after="0" w:line="240" w:lineRule="auto"/>
        <w:jc w:val="center"/>
        <w:rPr>
          <w:noProof/>
        </w:rPr>
      </w:pPr>
      <w:r w:rsidRPr="00CD706D">
        <w:rPr>
          <w:rFonts w:ascii="Times New Roman" w:eastAsia="Calibri" w:hAnsi="Times New Roman" w:cs="Times New Roman"/>
          <w:noProof/>
          <w:sz w:val="20"/>
          <w:lang w:val="en-GB" w:eastAsia="en-GB"/>
        </w:rPr>
        <w:drawing>
          <wp:inline distT="0" distB="0" distL="0" distR="0" wp14:anchorId="3FD5FF42" wp14:editId="21411D2C">
            <wp:extent cx="6019745" cy="3629025"/>
            <wp:effectExtent l="0" t="0" r="63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066543" cy="3657237"/>
                    </a:xfrm>
                    <a:prstGeom prst="rect">
                      <a:avLst/>
                    </a:prstGeom>
                    <a:noFill/>
                  </pic:spPr>
                </pic:pic>
              </a:graphicData>
            </a:graphic>
          </wp:inline>
        </w:drawing>
      </w:r>
    </w:p>
    <w:p w14:paraId="30CDF9E1" w14:textId="77777777" w:rsidR="00D769F3" w:rsidRPr="004A7DE2" w:rsidRDefault="00D769F3" w:rsidP="00370550">
      <w:pPr>
        <w:pStyle w:val="BodyText"/>
        <w:rPr>
          <w:rFonts w:ascii="Times New Roman" w:hAnsi="Times New Roman" w:cs="Times New Roman"/>
          <w:i/>
          <w:iCs/>
          <w:noProof/>
          <w:sz w:val="22"/>
          <w:szCs w:val="24"/>
          <w:lang w:eastAsia="de-DE"/>
        </w:rPr>
      </w:pPr>
    </w:p>
    <w:p w14:paraId="320E5021" w14:textId="2BF3CCE1" w:rsidR="00717D15" w:rsidRPr="006A48D3" w:rsidRDefault="00717D15" w:rsidP="00717D15">
      <w:pPr>
        <w:spacing w:after="120" w:line="240" w:lineRule="auto"/>
        <w:jc w:val="both"/>
        <w:rPr>
          <w:rFonts w:ascii="Times New Roman" w:eastAsia="Calibri" w:hAnsi="Times New Roman" w:cs="Times New Roman"/>
          <w:noProof/>
          <w:sz w:val="24"/>
          <w:szCs w:val="24"/>
          <w:lang w:val="en-IE" w:eastAsia="de-DE"/>
        </w:rPr>
      </w:pPr>
      <w:r w:rsidRPr="006A48D3">
        <w:rPr>
          <w:rFonts w:ascii="Times New Roman" w:eastAsia="Calibri" w:hAnsi="Times New Roman" w:cs="Times New Roman"/>
          <w:noProof/>
          <w:sz w:val="24"/>
          <w:szCs w:val="24"/>
          <w:lang w:val="en-IE" w:eastAsia="de-DE"/>
        </w:rPr>
        <w:t xml:space="preserve">It should be noted that </w:t>
      </w:r>
      <w:r w:rsidR="003A324E">
        <w:rPr>
          <w:rFonts w:ascii="Times New Roman" w:eastAsia="Calibri" w:hAnsi="Times New Roman" w:cs="Times New Roman"/>
          <w:noProof/>
          <w:sz w:val="24"/>
          <w:szCs w:val="24"/>
          <w:lang w:val="en-IE" w:eastAsia="de-DE"/>
        </w:rPr>
        <w:t>additional</w:t>
      </w:r>
      <w:r w:rsidR="003A324E" w:rsidRPr="006A48D3">
        <w:rPr>
          <w:rFonts w:ascii="Times New Roman" w:eastAsia="Calibri" w:hAnsi="Times New Roman" w:cs="Times New Roman"/>
          <w:noProof/>
          <w:sz w:val="24"/>
          <w:szCs w:val="24"/>
          <w:lang w:val="en-IE" w:eastAsia="de-DE"/>
        </w:rPr>
        <w:t xml:space="preserve"> </w:t>
      </w:r>
      <w:r w:rsidRPr="006A48D3">
        <w:rPr>
          <w:rFonts w:ascii="Times New Roman" w:eastAsia="Calibri" w:hAnsi="Times New Roman" w:cs="Times New Roman"/>
          <w:noProof/>
          <w:sz w:val="24"/>
          <w:szCs w:val="24"/>
          <w:lang w:val="en-IE" w:eastAsia="de-DE"/>
        </w:rPr>
        <w:t xml:space="preserve">tasks have been added </w:t>
      </w:r>
      <w:r w:rsidR="003A324E">
        <w:rPr>
          <w:rFonts w:ascii="Times New Roman" w:eastAsia="Calibri" w:hAnsi="Times New Roman" w:cs="Times New Roman"/>
          <w:noProof/>
          <w:sz w:val="24"/>
          <w:szCs w:val="24"/>
          <w:lang w:val="en-IE" w:eastAsia="de-DE"/>
        </w:rPr>
        <w:t>after the start of this evaluation, in particular in regards to</w:t>
      </w:r>
      <w:r w:rsidR="007E1C16">
        <w:rPr>
          <w:rFonts w:ascii="Times New Roman" w:eastAsia="Calibri" w:hAnsi="Times New Roman" w:cs="Times New Roman"/>
          <w:noProof/>
          <w:sz w:val="24"/>
          <w:szCs w:val="24"/>
          <w:lang w:val="en-IE" w:eastAsia="de-DE"/>
        </w:rPr>
        <w:t xml:space="preserve"> API-PNR</w:t>
      </w:r>
      <w:r w:rsidR="00F05085">
        <w:rPr>
          <w:rFonts w:ascii="Times New Roman" w:eastAsia="Calibri" w:hAnsi="Times New Roman" w:cs="Times New Roman"/>
          <w:noProof/>
          <w:sz w:val="24"/>
          <w:szCs w:val="24"/>
          <w:lang w:val="en-IE" w:eastAsia="de-DE"/>
        </w:rPr>
        <w:t xml:space="preserve"> (Advanced Passenger Information – Passenger Name Record)</w:t>
      </w:r>
      <w:r w:rsidRPr="006A48D3">
        <w:rPr>
          <w:rFonts w:ascii="Times New Roman" w:eastAsia="Calibri" w:hAnsi="Times New Roman" w:cs="Times New Roman"/>
          <w:noProof/>
          <w:sz w:val="24"/>
          <w:szCs w:val="24"/>
          <w:lang w:val="en-IE" w:eastAsia="de-DE"/>
        </w:rPr>
        <w:t>, as well as in relation to the</w:t>
      </w:r>
      <w:r w:rsidR="003A324E">
        <w:rPr>
          <w:rFonts w:ascii="Times New Roman" w:eastAsia="Calibri" w:hAnsi="Times New Roman" w:cs="Times New Roman"/>
          <w:noProof/>
          <w:sz w:val="24"/>
          <w:szCs w:val="24"/>
          <w:lang w:val="en-IE" w:eastAsia="de-DE"/>
        </w:rPr>
        <w:t xml:space="preserve"> tasks related to the</w:t>
      </w:r>
      <w:r w:rsidRPr="006A48D3">
        <w:rPr>
          <w:rFonts w:ascii="Times New Roman" w:eastAsia="Calibri" w:hAnsi="Times New Roman" w:cs="Times New Roman"/>
          <w:noProof/>
          <w:sz w:val="24"/>
          <w:szCs w:val="24"/>
          <w:lang w:val="en-IE" w:eastAsia="de-DE"/>
        </w:rPr>
        <w:t xml:space="preserve"> </w:t>
      </w:r>
      <w:r w:rsidR="009B7075" w:rsidRPr="006A48D3">
        <w:rPr>
          <w:rFonts w:ascii="Times New Roman" w:eastAsia="Calibri" w:hAnsi="Times New Roman" w:cs="Times New Roman"/>
          <w:noProof/>
          <w:sz w:val="24"/>
          <w:szCs w:val="24"/>
          <w:lang w:val="en-IE" w:eastAsia="de-DE"/>
        </w:rPr>
        <w:t xml:space="preserve">Prüm II router </w:t>
      </w:r>
      <w:r w:rsidRPr="006A48D3">
        <w:rPr>
          <w:rFonts w:ascii="Times New Roman" w:eastAsia="Calibri" w:hAnsi="Times New Roman" w:cs="Times New Roman"/>
          <w:noProof/>
          <w:sz w:val="24"/>
          <w:szCs w:val="24"/>
          <w:lang w:val="en-IE" w:eastAsia="de-DE"/>
        </w:rPr>
        <w:t>(Art</w:t>
      </w:r>
      <w:r w:rsidR="00D46638">
        <w:rPr>
          <w:rFonts w:ascii="Times New Roman" w:eastAsia="Calibri" w:hAnsi="Times New Roman" w:cs="Times New Roman"/>
          <w:noProof/>
          <w:sz w:val="24"/>
          <w:szCs w:val="24"/>
          <w:lang w:val="en-IE" w:eastAsia="de-DE"/>
        </w:rPr>
        <w:t>icle</w:t>
      </w:r>
      <w:r w:rsidRPr="006A48D3">
        <w:rPr>
          <w:rFonts w:ascii="Times New Roman" w:eastAsia="Calibri" w:hAnsi="Times New Roman" w:cs="Times New Roman"/>
          <w:noProof/>
          <w:sz w:val="24"/>
          <w:szCs w:val="24"/>
          <w:lang w:val="en-IE" w:eastAsia="de-DE"/>
        </w:rPr>
        <w:t xml:space="preserve"> 8d)</w:t>
      </w:r>
      <w:r w:rsidR="00F05085">
        <w:rPr>
          <w:rStyle w:val="FootnoteReference"/>
          <w:rFonts w:ascii="Times New Roman" w:eastAsia="Calibri" w:hAnsi="Times New Roman" w:cs="Times New Roman"/>
          <w:noProof/>
          <w:szCs w:val="24"/>
          <w:lang w:val="en-IE" w:eastAsia="de-DE"/>
        </w:rPr>
        <w:footnoteReference w:id="13"/>
      </w:r>
      <w:r w:rsidR="003A324E">
        <w:rPr>
          <w:rFonts w:ascii="Times New Roman" w:eastAsia="Calibri" w:hAnsi="Times New Roman" w:cs="Times New Roman"/>
          <w:noProof/>
          <w:sz w:val="24"/>
          <w:szCs w:val="24"/>
          <w:lang w:val="en-IE" w:eastAsia="de-DE"/>
        </w:rPr>
        <w:t>. These tasks are,</w:t>
      </w:r>
      <w:r w:rsidR="00704DBD" w:rsidRPr="006A48D3">
        <w:rPr>
          <w:rFonts w:ascii="Times New Roman" w:eastAsia="Calibri" w:hAnsi="Times New Roman" w:cs="Times New Roman"/>
          <w:noProof/>
          <w:sz w:val="24"/>
          <w:szCs w:val="24"/>
          <w:lang w:val="en-IE" w:eastAsia="de-DE"/>
        </w:rPr>
        <w:t xml:space="preserve"> </w:t>
      </w:r>
      <w:r w:rsidRPr="006A48D3">
        <w:rPr>
          <w:rFonts w:ascii="Times New Roman" w:eastAsia="Calibri" w:hAnsi="Times New Roman" w:cs="Times New Roman"/>
          <w:noProof/>
          <w:sz w:val="24"/>
          <w:szCs w:val="24"/>
          <w:lang w:val="en-IE" w:eastAsia="de-DE"/>
        </w:rPr>
        <w:t>however</w:t>
      </w:r>
      <w:r w:rsidR="00704DBD">
        <w:rPr>
          <w:rFonts w:ascii="Times New Roman" w:eastAsia="Calibri" w:hAnsi="Times New Roman" w:cs="Times New Roman"/>
          <w:noProof/>
          <w:sz w:val="24"/>
          <w:szCs w:val="24"/>
          <w:lang w:val="en-IE" w:eastAsia="de-DE"/>
        </w:rPr>
        <w:t>,</w:t>
      </w:r>
      <w:r w:rsidRPr="006A48D3">
        <w:rPr>
          <w:rFonts w:ascii="Times New Roman" w:eastAsia="Calibri" w:hAnsi="Times New Roman" w:cs="Times New Roman"/>
          <w:noProof/>
          <w:sz w:val="24"/>
          <w:szCs w:val="24"/>
          <w:lang w:val="en-IE" w:eastAsia="de-DE"/>
        </w:rPr>
        <w:t xml:space="preserve"> not in scope of this evaluation. </w:t>
      </w:r>
    </w:p>
    <w:p w14:paraId="6A24C858" w14:textId="2DA04EF0" w:rsidR="00717D15" w:rsidRPr="006A48D3" w:rsidRDefault="00717D15" w:rsidP="00717D15">
      <w:pPr>
        <w:spacing w:after="120" w:line="240" w:lineRule="auto"/>
        <w:jc w:val="both"/>
        <w:rPr>
          <w:rFonts w:ascii="Times New Roman" w:eastAsia="Calibri" w:hAnsi="Times New Roman" w:cs="Times New Roman"/>
          <w:noProof/>
          <w:sz w:val="24"/>
          <w:szCs w:val="24"/>
          <w:lang w:val="en-IE"/>
        </w:rPr>
      </w:pPr>
      <w:r w:rsidRPr="006A48D3">
        <w:rPr>
          <w:rFonts w:ascii="Times New Roman" w:eastAsia="Calibri" w:hAnsi="Times New Roman" w:cs="Times New Roman"/>
          <w:noProof/>
          <w:sz w:val="24"/>
          <w:szCs w:val="24"/>
          <w:lang w:val="en-IE"/>
        </w:rPr>
        <w:t xml:space="preserve">The governance structure of eu-LISA </w:t>
      </w:r>
      <w:r w:rsidR="003A324E">
        <w:rPr>
          <w:rFonts w:ascii="Times New Roman" w:eastAsia="Calibri" w:hAnsi="Times New Roman" w:cs="Times New Roman"/>
          <w:noProof/>
          <w:sz w:val="24"/>
          <w:szCs w:val="24"/>
          <w:lang w:val="en-IE"/>
        </w:rPr>
        <w:t>has also evolved since 2018, consisting of the following b</w:t>
      </w:r>
      <w:r w:rsidRPr="006A48D3">
        <w:rPr>
          <w:rFonts w:ascii="Times New Roman" w:eastAsia="Calibri" w:hAnsi="Times New Roman" w:cs="Times New Roman"/>
          <w:noProof/>
          <w:sz w:val="24"/>
          <w:szCs w:val="24"/>
          <w:lang w:val="en-IE"/>
        </w:rPr>
        <w:t xml:space="preserve">odies: </w:t>
      </w:r>
    </w:p>
    <w:p w14:paraId="2026C751" w14:textId="43540FA7" w:rsidR="00717D15" w:rsidRPr="00074E41" w:rsidRDefault="00717D15" w:rsidP="004E2424">
      <w:pPr>
        <w:numPr>
          <w:ilvl w:val="0"/>
          <w:numId w:val="95"/>
        </w:numPr>
        <w:spacing w:before="120" w:after="120" w:line="240" w:lineRule="auto"/>
        <w:jc w:val="both"/>
        <w:rPr>
          <w:rFonts w:ascii="Times New Roman" w:eastAsia="Yu Gothic Light" w:hAnsi="Times New Roman" w:cs="Times New Roman"/>
          <w:noProof/>
          <w:kern w:val="28"/>
          <w:sz w:val="24"/>
          <w:szCs w:val="24"/>
          <w:lang w:val="en-IE" w:eastAsia="de-DE"/>
        </w:rPr>
      </w:pPr>
      <w:r w:rsidRPr="00074E41">
        <w:rPr>
          <w:rFonts w:ascii="Times New Roman" w:eastAsia="Yu Gothic Light" w:hAnsi="Times New Roman" w:cs="Times New Roman"/>
          <w:noProof/>
          <w:kern w:val="28"/>
          <w:sz w:val="24"/>
          <w:szCs w:val="24"/>
          <w:lang w:val="en-IE" w:eastAsia="de-DE"/>
        </w:rPr>
        <w:t xml:space="preserve">The </w:t>
      </w:r>
      <w:r w:rsidRPr="00074E41">
        <w:rPr>
          <w:rFonts w:ascii="Times New Roman" w:eastAsia="Yu Gothic Light" w:hAnsi="Times New Roman" w:cs="Times New Roman"/>
          <w:b/>
          <w:noProof/>
          <w:kern w:val="28"/>
          <w:sz w:val="24"/>
          <w:szCs w:val="24"/>
          <w:lang w:val="en-IE" w:eastAsia="de-DE"/>
        </w:rPr>
        <w:t>Management Board (MB)</w:t>
      </w:r>
      <w:r w:rsidRPr="00074E41">
        <w:rPr>
          <w:rFonts w:ascii="Times New Roman" w:eastAsia="Yu Gothic Light" w:hAnsi="Times New Roman" w:cs="Times New Roman"/>
          <w:noProof/>
          <w:kern w:val="28"/>
          <w:sz w:val="24"/>
          <w:szCs w:val="24"/>
          <w:lang w:val="en-IE" w:eastAsia="de-DE"/>
        </w:rPr>
        <w:t xml:space="preserve"> is made up of representatives from the EU Member States and the European Commission, represented by DG HOME (Art</w:t>
      </w:r>
      <w:r w:rsidR="00E0463F" w:rsidRPr="00074E41">
        <w:rPr>
          <w:rFonts w:ascii="Times New Roman" w:eastAsia="Yu Gothic Light" w:hAnsi="Times New Roman" w:cs="Times New Roman"/>
          <w:noProof/>
          <w:kern w:val="28"/>
          <w:sz w:val="24"/>
          <w:szCs w:val="24"/>
          <w:lang w:val="en-IE" w:eastAsia="de-DE"/>
        </w:rPr>
        <w:t>icle</w:t>
      </w:r>
      <w:r w:rsidRPr="00074E41">
        <w:rPr>
          <w:rFonts w:ascii="Times New Roman" w:eastAsia="Yu Gothic Light" w:hAnsi="Times New Roman" w:cs="Times New Roman"/>
          <w:noProof/>
          <w:kern w:val="28"/>
          <w:sz w:val="24"/>
          <w:szCs w:val="24"/>
          <w:lang w:val="en-IE" w:eastAsia="de-DE"/>
        </w:rPr>
        <w:t xml:space="preserve"> 20). In addition, Schengen Associated Countries (SAC)</w:t>
      </w:r>
      <w:r w:rsidR="00A50429" w:rsidRPr="00074E41">
        <w:rPr>
          <w:rFonts w:ascii="Times New Roman" w:eastAsia="Yu Gothic Light" w:hAnsi="Times New Roman" w:cs="Times New Roman"/>
          <w:noProof/>
          <w:sz w:val="24"/>
          <w:szCs w:val="24"/>
          <w:lang w:val="en-IE" w:eastAsia="de-DE"/>
        </w:rPr>
        <w:t xml:space="preserve"> are Member</w:t>
      </w:r>
      <w:r w:rsidR="003A324E" w:rsidRPr="00074E41">
        <w:rPr>
          <w:rFonts w:ascii="Times New Roman" w:eastAsia="Yu Gothic Light" w:hAnsi="Times New Roman" w:cs="Times New Roman"/>
          <w:noProof/>
          <w:sz w:val="24"/>
          <w:szCs w:val="24"/>
          <w:lang w:val="en-IE" w:eastAsia="de-DE"/>
        </w:rPr>
        <w:t>s</w:t>
      </w:r>
      <w:r w:rsidR="00A50429" w:rsidRPr="00074E41">
        <w:rPr>
          <w:rFonts w:ascii="Times New Roman" w:eastAsia="Yu Gothic Light" w:hAnsi="Times New Roman" w:cs="Times New Roman"/>
          <w:noProof/>
          <w:sz w:val="24"/>
          <w:szCs w:val="24"/>
          <w:lang w:val="en-IE" w:eastAsia="de-DE"/>
        </w:rPr>
        <w:t xml:space="preserve"> of the Management Board</w:t>
      </w:r>
      <w:r w:rsidR="008E1B15" w:rsidRPr="004E2424">
        <w:rPr>
          <w:rStyle w:val="FootnoteReference"/>
          <w:rFonts w:ascii="Times New Roman" w:eastAsia="Yu Gothic Light" w:hAnsi="Times New Roman" w:cs="Times New Roman"/>
          <w:noProof/>
          <w:kern w:val="28"/>
          <w:sz w:val="24"/>
          <w:szCs w:val="24"/>
          <w:lang w:val="en-IE" w:eastAsia="de-DE"/>
        </w:rPr>
        <w:footnoteReference w:id="14"/>
      </w:r>
      <w:r w:rsidR="00A50429" w:rsidRPr="00074E41">
        <w:rPr>
          <w:rFonts w:ascii="Times New Roman" w:eastAsia="Yu Gothic Light" w:hAnsi="Times New Roman" w:cs="Times New Roman"/>
          <w:noProof/>
          <w:sz w:val="24"/>
          <w:szCs w:val="24"/>
          <w:lang w:val="en-IE" w:eastAsia="de-DE"/>
        </w:rPr>
        <w:t xml:space="preserve">, while </w:t>
      </w:r>
      <w:r w:rsidRPr="00074E41">
        <w:rPr>
          <w:rFonts w:ascii="Times New Roman" w:eastAsia="Yu Gothic Light" w:hAnsi="Times New Roman" w:cs="Times New Roman"/>
          <w:noProof/>
          <w:kern w:val="28"/>
          <w:sz w:val="24"/>
          <w:szCs w:val="24"/>
          <w:lang w:val="en-IE" w:eastAsia="de-DE"/>
        </w:rPr>
        <w:t xml:space="preserve">Eurojust, Europol, Frontex and the European Public Prosecutor’s Office (EPPO) </w:t>
      </w:r>
      <w:r w:rsidR="3710D605" w:rsidRPr="00074E41">
        <w:rPr>
          <w:rFonts w:ascii="Times New Roman" w:eastAsia="Yu Gothic Light" w:hAnsi="Times New Roman" w:cs="Times New Roman"/>
          <w:noProof/>
          <w:sz w:val="24"/>
          <w:szCs w:val="24"/>
          <w:lang w:val="en-IE" w:eastAsia="de-DE"/>
        </w:rPr>
        <w:t>have</w:t>
      </w:r>
      <w:r w:rsidR="00A50429" w:rsidRPr="00074E41">
        <w:rPr>
          <w:rFonts w:ascii="Times New Roman" w:eastAsia="Yu Gothic Light" w:hAnsi="Times New Roman" w:cs="Times New Roman"/>
          <w:noProof/>
          <w:sz w:val="24"/>
          <w:szCs w:val="24"/>
          <w:lang w:val="en-IE" w:eastAsia="de-DE"/>
        </w:rPr>
        <w:t xml:space="preserve"> observers</w:t>
      </w:r>
      <w:r w:rsidR="26171AC7" w:rsidRPr="00074E41">
        <w:rPr>
          <w:rFonts w:ascii="Times New Roman" w:eastAsia="Yu Gothic Light" w:hAnsi="Times New Roman" w:cs="Times New Roman"/>
          <w:noProof/>
          <w:sz w:val="24"/>
          <w:szCs w:val="24"/>
          <w:lang w:val="en-IE" w:eastAsia="de-DE"/>
        </w:rPr>
        <w:t xml:space="preserve"> status</w:t>
      </w:r>
      <w:r w:rsidRPr="00074E41">
        <w:rPr>
          <w:rFonts w:ascii="Times New Roman" w:eastAsia="Yu Gothic Light" w:hAnsi="Times New Roman" w:cs="Times New Roman"/>
          <w:noProof/>
          <w:kern w:val="28"/>
          <w:sz w:val="24"/>
          <w:szCs w:val="24"/>
          <w:lang w:val="en-IE" w:eastAsia="de-DE"/>
        </w:rPr>
        <w:t xml:space="preserve">. </w:t>
      </w:r>
      <w:r w:rsidR="044D9EC3" w:rsidRPr="00074E41">
        <w:rPr>
          <w:rFonts w:ascii="Times New Roman" w:eastAsia="Yu Gothic Light" w:hAnsi="Times New Roman" w:cs="Times New Roman"/>
          <w:noProof/>
          <w:kern w:val="28"/>
          <w:sz w:val="24"/>
          <w:szCs w:val="24"/>
          <w:lang w:val="en-IE" w:eastAsia="de-DE"/>
        </w:rPr>
        <w:t xml:space="preserve">The </w:t>
      </w:r>
      <w:r w:rsidRPr="00074E41">
        <w:rPr>
          <w:rFonts w:ascii="Times New Roman" w:eastAsia="Yu Gothic Light" w:hAnsi="Times New Roman" w:cs="Times New Roman"/>
          <w:noProof/>
          <w:kern w:val="28"/>
          <w:sz w:val="24"/>
          <w:szCs w:val="24"/>
          <w:lang w:val="en-IE" w:eastAsia="de-DE"/>
        </w:rPr>
        <w:t xml:space="preserve">role </w:t>
      </w:r>
      <w:r w:rsidR="43DC6BCE" w:rsidRPr="00074E41">
        <w:rPr>
          <w:rFonts w:ascii="Times New Roman" w:eastAsia="Yu Gothic Light" w:hAnsi="Times New Roman" w:cs="Times New Roman"/>
          <w:noProof/>
          <w:kern w:val="28"/>
          <w:sz w:val="24"/>
          <w:szCs w:val="24"/>
          <w:lang w:val="en-IE" w:eastAsia="de-DE"/>
        </w:rPr>
        <w:t xml:space="preserve">of the </w:t>
      </w:r>
      <w:r w:rsidR="59E213B1" w:rsidRPr="00074E41">
        <w:rPr>
          <w:rFonts w:ascii="Times New Roman" w:eastAsia="Yu Gothic Light" w:hAnsi="Times New Roman" w:cs="Times New Roman"/>
          <w:noProof/>
          <w:kern w:val="28"/>
          <w:sz w:val="24"/>
          <w:szCs w:val="24"/>
          <w:lang w:val="en-IE" w:eastAsia="de-DE"/>
        </w:rPr>
        <w:t>MB</w:t>
      </w:r>
      <w:r w:rsidR="43DC6BCE" w:rsidRPr="00074E41">
        <w:rPr>
          <w:rFonts w:ascii="Times New Roman" w:eastAsia="Yu Gothic Light" w:hAnsi="Times New Roman" w:cs="Times New Roman"/>
          <w:noProof/>
          <w:kern w:val="28"/>
          <w:sz w:val="24"/>
          <w:szCs w:val="24"/>
          <w:lang w:val="en-IE" w:eastAsia="de-DE"/>
        </w:rPr>
        <w:t xml:space="preserve"> </w:t>
      </w:r>
      <w:r w:rsidRPr="00074E41">
        <w:rPr>
          <w:rFonts w:ascii="Times New Roman" w:eastAsia="Yu Gothic Light" w:hAnsi="Times New Roman" w:cs="Times New Roman"/>
          <w:noProof/>
          <w:kern w:val="28"/>
          <w:sz w:val="24"/>
          <w:szCs w:val="24"/>
          <w:lang w:val="en-IE" w:eastAsia="de-DE"/>
        </w:rPr>
        <w:t xml:space="preserve">is to provide </w:t>
      </w:r>
      <w:r w:rsidR="2B0696A0" w:rsidRPr="00074E41">
        <w:rPr>
          <w:rFonts w:ascii="Times New Roman" w:eastAsia="Yu Gothic Light" w:hAnsi="Times New Roman" w:cs="Times New Roman"/>
          <w:noProof/>
          <w:kern w:val="28"/>
          <w:sz w:val="24"/>
          <w:szCs w:val="24"/>
          <w:lang w:val="en-IE" w:eastAsia="de-DE"/>
        </w:rPr>
        <w:t>the</w:t>
      </w:r>
      <w:r w:rsidRPr="00074E41">
        <w:rPr>
          <w:rFonts w:ascii="Times New Roman" w:eastAsia="Yu Gothic Light" w:hAnsi="Times New Roman" w:cs="Times New Roman"/>
          <w:noProof/>
          <w:kern w:val="28"/>
          <w:sz w:val="24"/>
          <w:szCs w:val="24"/>
          <w:lang w:val="en-IE" w:eastAsia="de-DE"/>
        </w:rPr>
        <w:t xml:space="preserve"> overall orientation for eu-LISA’s activities and oversee the implementation of eu-LISA’s tasks (</w:t>
      </w:r>
      <w:r w:rsidR="00DC0424" w:rsidRPr="00DC0424">
        <w:rPr>
          <w:rFonts w:ascii="Times New Roman" w:eastAsia="Yu Gothic Light" w:hAnsi="Times New Roman" w:cs="Times New Roman"/>
          <w:noProof/>
          <w:kern w:val="28"/>
          <w:sz w:val="24"/>
          <w:szCs w:val="24"/>
          <w:lang w:val="en-IE" w:eastAsia="de-DE"/>
        </w:rPr>
        <w:t>Article</w:t>
      </w:r>
      <w:r w:rsidR="00DC0424">
        <w:rPr>
          <w:rFonts w:ascii="Times New Roman" w:eastAsia="Yu Gothic Light" w:hAnsi="Times New Roman" w:cs="Times New Roman"/>
          <w:noProof/>
          <w:kern w:val="28"/>
          <w:sz w:val="24"/>
          <w:szCs w:val="24"/>
          <w:lang w:val="en-IE" w:eastAsia="de-DE"/>
        </w:rPr>
        <w:t xml:space="preserve"> </w:t>
      </w:r>
      <w:r w:rsidRPr="00074E41">
        <w:rPr>
          <w:rFonts w:ascii="Times New Roman" w:eastAsia="Yu Gothic Light" w:hAnsi="Times New Roman" w:cs="Times New Roman"/>
          <w:noProof/>
          <w:kern w:val="28"/>
          <w:sz w:val="24"/>
          <w:szCs w:val="24"/>
          <w:lang w:val="en-IE" w:eastAsia="de-DE"/>
        </w:rPr>
        <w:t xml:space="preserve">19). </w:t>
      </w:r>
      <w:r w:rsidR="05CD7110" w:rsidRPr="00074E41">
        <w:rPr>
          <w:rFonts w:ascii="Times New Roman" w:eastAsia="Yu Gothic Light" w:hAnsi="Times New Roman" w:cs="Times New Roman"/>
          <w:noProof/>
          <w:kern w:val="28"/>
          <w:sz w:val="24"/>
          <w:szCs w:val="24"/>
          <w:lang w:val="en-IE" w:eastAsia="de-DE"/>
        </w:rPr>
        <w:t>The Management Board</w:t>
      </w:r>
      <w:r w:rsidRPr="00074E41">
        <w:rPr>
          <w:rFonts w:ascii="Times New Roman" w:eastAsia="Yu Gothic Light" w:hAnsi="Times New Roman" w:cs="Times New Roman"/>
          <w:noProof/>
          <w:kern w:val="28"/>
          <w:sz w:val="24"/>
          <w:szCs w:val="24"/>
          <w:lang w:val="en-IE" w:eastAsia="de-DE"/>
        </w:rPr>
        <w:t xml:space="preserve"> also appoints the Executive Director, who is accountable to the MB (</w:t>
      </w:r>
      <w:r w:rsidR="00DC0424" w:rsidRPr="00DC0424">
        <w:rPr>
          <w:rFonts w:ascii="Times New Roman" w:eastAsia="Yu Gothic Light" w:hAnsi="Times New Roman" w:cs="Times New Roman"/>
          <w:noProof/>
          <w:kern w:val="28"/>
          <w:sz w:val="24"/>
          <w:szCs w:val="24"/>
          <w:lang w:val="en-IE" w:eastAsia="de-DE"/>
        </w:rPr>
        <w:t>Article</w:t>
      </w:r>
      <w:r w:rsidRPr="00074E41">
        <w:rPr>
          <w:rFonts w:ascii="Times New Roman" w:eastAsia="Yu Gothic Light" w:hAnsi="Times New Roman" w:cs="Times New Roman"/>
          <w:noProof/>
          <w:kern w:val="28"/>
          <w:sz w:val="24"/>
          <w:szCs w:val="24"/>
          <w:lang w:val="en-IE" w:eastAsia="de-DE"/>
        </w:rPr>
        <w:t xml:space="preserve"> 25). The MB meets ca. five times annually. </w:t>
      </w:r>
      <w:r w:rsidR="2CC05F5B" w:rsidRPr="00074E41">
        <w:rPr>
          <w:rFonts w:ascii="Times New Roman" w:eastAsia="Yu Gothic Light" w:hAnsi="Times New Roman" w:cs="Times New Roman"/>
          <w:noProof/>
          <w:kern w:val="28"/>
          <w:sz w:val="24"/>
          <w:szCs w:val="24"/>
          <w:lang w:val="en-IE" w:eastAsia="de-DE"/>
        </w:rPr>
        <w:t xml:space="preserve">To </w:t>
      </w:r>
      <w:r w:rsidRPr="00074E41">
        <w:rPr>
          <w:rFonts w:ascii="Times New Roman" w:eastAsia="Yu Gothic Light" w:hAnsi="Times New Roman" w:cs="Times New Roman"/>
          <w:noProof/>
          <w:kern w:val="28"/>
          <w:sz w:val="24"/>
          <w:szCs w:val="24"/>
          <w:lang w:val="en-IE" w:eastAsia="de-DE"/>
        </w:rPr>
        <w:t xml:space="preserve">focus on specific business-related aspects, the </w:t>
      </w:r>
      <w:r w:rsidR="5B2D6741" w:rsidRPr="00074E41">
        <w:rPr>
          <w:rFonts w:ascii="Times New Roman" w:eastAsia="Yu Gothic Light" w:hAnsi="Times New Roman" w:cs="Times New Roman"/>
          <w:noProof/>
          <w:kern w:val="28"/>
          <w:sz w:val="24"/>
          <w:szCs w:val="24"/>
          <w:lang w:val="en-IE" w:eastAsia="de-DE"/>
        </w:rPr>
        <w:t>MB</w:t>
      </w:r>
      <w:r w:rsidR="728AB458" w:rsidRPr="00074E41">
        <w:rPr>
          <w:rFonts w:ascii="Times New Roman" w:eastAsia="Yu Gothic Light" w:hAnsi="Times New Roman" w:cs="Times New Roman"/>
          <w:noProof/>
          <w:kern w:val="28"/>
          <w:sz w:val="24"/>
          <w:szCs w:val="24"/>
          <w:lang w:val="en-IE" w:eastAsia="de-DE"/>
        </w:rPr>
        <w:t xml:space="preserve"> create</w:t>
      </w:r>
      <w:r w:rsidR="38D5C742" w:rsidRPr="00074E41">
        <w:rPr>
          <w:rFonts w:ascii="Times New Roman" w:eastAsia="Yu Gothic Light" w:hAnsi="Times New Roman" w:cs="Times New Roman"/>
          <w:noProof/>
          <w:kern w:val="28"/>
          <w:sz w:val="24"/>
          <w:szCs w:val="24"/>
          <w:lang w:val="en-IE" w:eastAsia="de-DE"/>
        </w:rPr>
        <w:t>d</w:t>
      </w:r>
      <w:r w:rsidR="728AB458" w:rsidRPr="00074E41">
        <w:rPr>
          <w:rFonts w:ascii="Times New Roman" w:eastAsia="Yu Gothic Light" w:hAnsi="Times New Roman" w:cs="Times New Roman"/>
          <w:noProof/>
          <w:kern w:val="28"/>
          <w:sz w:val="24"/>
          <w:szCs w:val="24"/>
          <w:lang w:val="en-IE" w:eastAsia="de-DE"/>
        </w:rPr>
        <w:t xml:space="preserve"> a</w:t>
      </w:r>
      <w:r w:rsidR="7B649DB8" w:rsidRPr="00074E41">
        <w:rPr>
          <w:rFonts w:ascii="Times New Roman" w:eastAsia="Yu Gothic Light" w:hAnsi="Times New Roman" w:cs="Times New Roman"/>
          <w:noProof/>
          <w:kern w:val="28"/>
          <w:sz w:val="24"/>
          <w:szCs w:val="24"/>
          <w:lang w:val="en-IE" w:eastAsia="de-DE"/>
        </w:rPr>
        <w:t>n</w:t>
      </w:r>
      <w:r w:rsidR="728AB458" w:rsidRPr="00074E41">
        <w:rPr>
          <w:rFonts w:ascii="Times New Roman" w:eastAsia="Yu Gothic Light" w:hAnsi="Times New Roman" w:cs="Times New Roman"/>
          <w:noProof/>
          <w:kern w:val="28"/>
          <w:sz w:val="24"/>
          <w:szCs w:val="24"/>
          <w:lang w:val="en-IE" w:eastAsia="de-DE"/>
        </w:rPr>
        <w:t xml:space="preserve"> </w:t>
      </w:r>
      <w:r w:rsidRPr="00074E41">
        <w:rPr>
          <w:rFonts w:ascii="Times New Roman" w:eastAsia="Yu Gothic Light" w:hAnsi="Times New Roman" w:cs="Times New Roman"/>
          <w:noProof/>
          <w:kern w:val="28"/>
          <w:sz w:val="24"/>
          <w:szCs w:val="24"/>
          <w:lang w:val="en-IE" w:eastAsia="de-DE"/>
        </w:rPr>
        <w:t xml:space="preserve">Audit Compliance and Financial Committee (ACFC) </w:t>
      </w:r>
      <w:r w:rsidR="008E1B15" w:rsidRPr="00074E41">
        <w:rPr>
          <w:rFonts w:ascii="Times New Roman" w:eastAsia="Yu Gothic Light" w:hAnsi="Times New Roman" w:cs="Times New Roman"/>
          <w:noProof/>
          <w:sz w:val="24"/>
          <w:szCs w:val="24"/>
          <w:lang w:val="en-IE" w:eastAsia="de-DE"/>
        </w:rPr>
        <w:t>p</w:t>
      </w:r>
      <w:r w:rsidR="6F422D9C" w:rsidRPr="00074E41">
        <w:rPr>
          <w:rFonts w:ascii="Times New Roman" w:eastAsia="Yu Gothic Light" w:hAnsi="Times New Roman" w:cs="Times New Roman"/>
          <w:noProof/>
          <w:kern w:val="28"/>
          <w:sz w:val="24"/>
          <w:szCs w:val="24"/>
          <w:lang w:val="en-IE" w:eastAsia="de-DE"/>
        </w:rPr>
        <w:t>,</w:t>
      </w:r>
      <w:r w:rsidRPr="00074E41">
        <w:rPr>
          <w:rFonts w:ascii="Times New Roman" w:eastAsia="Yu Gothic Light" w:hAnsi="Times New Roman" w:cs="Times New Roman"/>
          <w:noProof/>
          <w:kern w:val="28"/>
          <w:sz w:val="24"/>
          <w:szCs w:val="24"/>
          <w:lang w:val="en-IE" w:eastAsia="de-DE"/>
        </w:rPr>
        <w:t xml:space="preserve"> an informal </w:t>
      </w:r>
      <w:r w:rsidR="7505AB3E" w:rsidRPr="00074E41">
        <w:rPr>
          <w:rFonts w:ascii="Times New Roman" w:eastAsia="Yu Gothic Light" w:hAnsi="Times New Roman" w:cs="Times New Roman"/>
          <w:noProof/>
          <w:kern w:val="28"/>
          <w:sz w:val="24"/>
          <w:szCs w:val="24"/>
          <w:lang w:val="en-IE" w:eastAsia="de-DE"/>
        </w:rPr>
        <w:t>sub-</w:t>
      </w:r>
      <w:r w:rsidRPr="00074E41">
        <w:rPr>
          <w:rFonts w:ascii="Times New Roman" w:eastAsia="Yu Gothic Light" w:hAnsi="Times New Roman" w:cs="Times New Roman"/>
          <w:noProof/>
          <w:kern w:val="28"/>
          <w:sz w:val="24"/>
          <w:szCs w:val="24"/>
          <w:lang w:val="en-IE" w:eastAsia="de-DE"/>
        </w:rPr>
        <w:t>group of the MB</w:t>
      </w:r>
      <w:r w:rsidR="008E1B15" w:rsidRPr="00074E41">
        <w:rPr>
          <w:rFonts w:ascii="Times New Roman" w:eastAsia="Yu Gothic Light" w:hAnsi="Times New Roman" w:cs="Times New Roman"/>
          <w:noProof/>
          <w:sz w:val="24"/>
          <w:szCs w:val="24"/>
          <w:lang w:val="en-IE" w:eastAsia="de-DE"/>
        </w:rPr>
        <w:t xml:space="preserve"> The Management Board adopted the ACFC’s </w:t>
      </w:r>
      <w:r w:rsidR="7979A81D" w:rsidRPr="00074E41">
        <w:rPr>
          <w:rFonts w:ascii="Times New Roman" w:eastAsia="Yu Gothic Light" w:hAnsi="Times New Roman" w:cs="Times New Roman"/>
          <w:noProof/>
          <w:sz w:val="24"/>
          <w:szCs w:val="24"/>
          <w:lang w:val="en-IE" w:eastAsia="de-DE"/>
        </w:rPr>
        <w:t xml:space="preserve">first </w:t>
      </w:r>
      <w:r w:rsidR="008E1B15" w:rsidRPr="00074E41">
        <w:rPr>
          <w:rFonts w:ascii="Times New Roman" w:eastAsia="Yu Gothic Light" w:hAnsi="Times New Roman" w:cs="Times New Roman"/>
          <w:noProof/>
          <w:sz w:val="24"/>
          <w:szCs w:val="24"/>
          <w:lang w:val="en-IE" w:eastAsia="de-DE"/>
        </w:rPr>
        <w:t xml:space="preserve">mandate on </w:t>
      </w:r>
      <w:r w:rsidR="2573D818" w:rsidRPr="00074E41">
        <w:rPr>
          <w:rFonts w:ascii="Times New Roman" w:eastAsia="Yu Gothic Light" w:hAnsi="Times New Roman" w:cs="Times New Roman"/>
          <w:noProof/>
          <w:sz w:val="24"/>
          <w:szCs w:val="24"/>
          <w:lang w:val="en-IE" w:eastAsia="de-DE"/>
        </w:rPr>
        <w:t>20-21</w:t>
      </w:r>
      <w:r w:rsidR="41C8CDDE" w:rsidRPr="00074E41">
        <w:rPr>
          <w:rFonts w:ascii="Times New Roman" w:eastAsia="Yu Gothic Light" w:hAnsi="Times New Roman" w:cs="Times New Roman"/>
          <w:noProof/>
          <w:sz w:val="24"/>
          <w:szCs w:val="24"/>
          <w:lang w:val="en-IE" w:eastAsia="de-DE"/>
        </w:rPr>
        <w:t>March</w:t>
      </w:r>
      <w:r w:rsidR="008E1B15" w:rsidRPr="00074E41">
        <w:rPr>
          <w:rFonts w:ascii="Times New Roman" w:eastAsia="Yu Gothic Light" w:hAnsi="Times New Roman" w:cs="Times New Roman"/>
          <w:noProof/>
          <w:sz w:val="24"/>
          <w:szCs w:val="24"/>
          <w:lang w:val="en-IE" w:eastAsia="de-DE"/>
        </w:rPr>
        <w:t xml:space="preserve"> 2018. The ACFC held its first meeting on 19 September 2018.</w:t>
      </w:r>
      <w:r w:rsidR="08CB34D2" w:rsidRPr="00074E41">
        <w:rPr>
          <w:rFonts w:ascii="Times New Roman" w:eastAsia="Yu Gothic Light" w:hAnsi="Times New Roman" w:cs="Times New Roman"/>
          <w:noProof/>
          <w:sz w:val="24"/>
          <w:szCs w:val="24"/>
          <w:lang w:val="en-IE" w:eastAsia="de-DE"/>
        </w:rPr>
        <w:t xml:space="preserve"> The mandate </w:t>
      </w:r>
      <w:r w:rsidR="549EEDC7" w:rsidRPr="00074E41">
        <w:rPr>
          <w:rFonts w:ascii="Times New Roman" w:eastAsia="Yu Gothic Light" w:hAnsi="Times New Roman" w:cs="Times New Roman"/>
          <w:noProof/>
          <w:sz w:val="24"/>
          <w:szCs w:val="24"/>
          <w:lang w:val="en-IE" w:eastAsia="de-DE"/>
        </w:rPr>
        <w:t xml:space="preserve">of the ACFC </w:t>
      </w:r>
      <w:r w:rsidR="08CB34D2" w:rsidRPr="00074E41">
        <w:rPr>
          <w:rFonts w:ascii="Times New Roman" w:eastAsia="Yu Gothic Light" w:hAnsi="Times New Roman" w:cs="Times New Roman"/>
          <w:noProof/>
          <w:sz w:val="24"/>
          <w:szCs w:val="24"/>
          <w:lang w:val="en-IE" w:eastAsia="de-DE"/>
        </w:rPr>
        <w:t xml:space="preserve">was revised </w:t>
      </w:r>
      <w:r w:rsidR="4CB89746" w:rsidRPr="00074E41">
        <w:rPr>
          <w:rFonts w:ascii="Times New Roman" w:eastAsia="Yu Gothic Light" w:hAnsi="Times New Roman" w:cs="Times New Roman"/>
          <w:noProof/>
          <w:sz w:val="24"/>
          <w:szCs w:val="24"/>
          <w:lang w:val="en-IE" w:eastAsia="de-DE"/>
        </w:rPr>
        <w:t>by Management Board Decision</w:t>
      </w:r>
      <w:r w:rsidR="2C0C8264" w:rsidRPr="00074E41">
        <w:rPr>
          <w:rFonts w:ascii="Times New Roman" w:eastAsia="Yu Gothic Light" w:hAnsi="Times New Roman" w:cs="Times New Roman"/>
          <w:noProof/>
          <w:sz w:val="24"/>
          <w:szCs w:val="24"/>
          <w:lang w:val="en-IE" w:eastAsia="de-DE"/>
        </w:rPr>
        <w:t xml:space="preserve">s on </w:t>
      </w:r>
      <w:r w:rsidR="4CB89746" w:rsidRPr="00074E41">
        <w:rPr>
          <w:rFonts w:ascii="Times New Roman" w:eastAsia="Yu Gothic Light" w:hAnsi="Times New Roman" w:cs="Times New Roman"/>
          <w:noProof/>
          <w:sz w:val="24"/>
          <w:szCs w:val="24"/>
          <w:lang w:val="en-IE" w:eastAsia="de-DE"/>
        </w:rPr>
        <w:t>20 September 2022</w:t>
      </w:r>
      <w:r w:rsidR="3901AB73" w:rsidRPr="00074E41">
        <w:rPr>
          <w:rFonts w:ascii="Times New Roman" w:eastAsia="Yu Gothic Light" w:hAnsi="Times New Roman" w:cs="Times New Roman"/>
          <w:noProof/>
          <w:sz w:val="24"/>
          <w:szCs w:val="24"/>
          <w:lang w:val="en-IE" w:eastAsia="de-DE"/>
        </w:rPr>
        <w:t xml:space="preserve"> and 15</w:t>
      </w:r>
      <w:r w:rsidR="038E6DB2" w:rsidRPr="00074E41">
        <w:rPr>
          <w:rFonts w:ascii="Times New Roman" w:eastAsia="Yu Gothic Light" w:hAnsi="Times New Roman" w:cs="Times New Roman"/>
          <w:noProof/>
          <w:sz w:val="24"/>
          <w:szCs w:val="24"/>
          <w:lang w:val="en-IE" w:eastAsia="de-DE"/>
        </w:rPr>
        <w:t>-16 November 2023</w:t>
      </w:r>
      <w:r w:rsidR="3901AB73" w:rsidRPr="00074E41">
        <w:rPr>
          <w:rFonts w:ascii="Times New Roman" w:eastAsia="Yu Gothic Light" w:hAnsi="Times New Roman" w:cs="Times New Roman"/>
          <w:noProof/>
          <w:sz w:val="24"/>
          <w:szCs w:val="24"/>
          <w:lang w:val="en-IE" w:eastAsia="de-DE"/>
        </w:rPr>
        <w:t>)</w:t>
      </w:r>
      <w:r w:rsidR="4CB89746" w:rsidRPr="00074E41">
        <w:rPr>
          <w:rFonts w:ascii="Times New Roman" w:eastAsia="Yu Gothic Light" w:hAnsi="Times New Roman" w:cs="Times New Roman"/>
          <w:noProof/>
          <w:sz w:val="24"/>
          <w:szCs w:val="24"/>
          <w:lang w:val="en-IE" w:eastAsia="de-DE"/>
        </w:rPr>
        <w:t>.</w:t>
      </w:r>
      <w:r w:rsidR="686B65A3" w:rsidRPr="00074E41">
        <w:rPr>
          <w:rFonts w:ascii="Times New Roman" w:eastAsia="Yu Gothic Light" w:hAnsi="Times New Roman" w:cs="Times New Roman"/>
          <w:noProof/>
          <w:sz w:val="24"/>
          <w:szCs w:val="24"/>
          <w:lang w:val="en-IE" w:eastAsia="de-DE"/>
        </w:rPr>
        <w:t xml:space="preserve"> </w:t>
      </w:r>
    </w:p>
    <w:p w14:paraId="0C378622" w14:textId="559D3745" w:rsidR="0071472C" w:rsidRPr="00074E41" w:rsidRDefault="003A324E" w:rsidP="004E2424">
      <w:pPr>
        <w:numPr>
          <w:ilvl w:val="0"/>
          <w:numId w:val="95"/>
        </w:numPr>
        <w:spacing w:before="120" w:after="120" w:line="240" w:lineRule="auto"/>
        <w:jc w:val="both"/>
        <w:rPr>
          <w:rFonts w:ascii="Times New Roman" w:eastAsia="Yu Gothic Light" w:hAnsi="Times New Roman" w:cs="Times New Roman"/>
          <w:noProof/>
          <w:kern w:val="28"/>
          <w:sz w:val="24"/>
          <w:szCs w:val="24"/>
          <w:lang w:val="en-IE" w:eastAsia="de-DE"/>
        </w:rPr>
      </w:pPr>
      <w:r w:rsidRPr="00074E41">
        <w:rPr>
          <w:rFonts w:ascii="Times New Roman" w:eastAsia="Yu Gothic Light" w:hAnsi="Times New Roman" w:cs="Times New Roman"/>
          <w:noProof/>
          <w:sz w:val="24"/>
          <w:szCs w:val="24"/>
          <w:lang w:val="en-IE" w:eastAsia="de-DE"/>
        </w:rPr>
        <w:t xml:space="preserve">The </w:t>
      </w:r>
      <w:r w:rsidRPr="004E2424">
        <w:rPr>
          <w:rFonts w:ascii="Times New Roman" w:eastAsia="Yu Gothic Light" w:hAnsi="Times New Roman" w:cs="Times New Roman"/>
          <w:b/>
          <w:noProof/>
          <w:sz w:val="24"/>
          <w:szCs w:val="24"/>
          <w:lang w:val="en-IE" w:eastAsia="de-DE"/>
        </w:rPr>
        <w:t>Advisory Groups (AGs)</w:t>
      </w:r>
      <w:r w:rsidRPr="00074E41">
        <w:rPr>
          <w:rFonts w:ascii="Times New Roman" w:eastAsia="Yu Gothic Light" w:hAnsi="Times New Roman" w:cs="Times New Roman"/>
          <w:noProof/>
          <w:sz w:val="24"/>
          <w:szCs w:val="24"/>
          <w:lang w:val="en-IE" w:eastAsia="de-DE"/>
        </w:rPr>
        <w:t>: the objective of the AGs is to provide the MB with the necessary technical expertise relating to the IT systems managed by eu-LISA</w:t>
      </w:r>
      <w:r w:rsidR="0071472C" w:rsidRPr="00074E41">
        <w:rPr>
          <w:rFonts w:ascii="Times New Roman" w:eastAsia="Yu Gothic Light" w:hAnsi="Times New Roman" w:cs="Times New Roman"/>
          <w:noProof/>
          <w:sz w:val="24"/>
          <w:szCs w:val="24"/>
          <w:lang w:val="en-IE" w:eastAsia="de-DE"/>
        </w:rPr>
        <w:t>. The AGs are made up of representatives from them EU Member States, SAC and the Commission, as well as in some cases representatives from Europol, Eurojust, Frontex and EPPO as observers</w:t>
      </w:r>
      <w:r w:rsidR="00FE2360" w:rsidRPr="00074E41">
        <w:rPr>
          <w:rFonts w:ascii="Times New Roman" w:eastAsia="Yu Gothic Light" w:hAnsi="Times New Roman" w:cs="Times New Roman"/>
          <w:noProof/>
          <w:sz w:val="24"/>
          <w:szCs w:val="24"/>
          <w:lang w:val="en-IE" w:eastAsia="de-DE"/>
        </w:rPr>
        <w:t xml:space="preserve">. </w:t>
      </w:r>
    </w:p>
    <w:p w14:paraId="4CB04423" w14:textId="763337CC" w:rsidR="00FE2360" w:rsidRPr="00074E41" w:rsidRDefault="3452EAD5" w:rsidP="004E2424">
      <w:pPr>
        <w:spacing w:before="120" w:after="120" w:line="240" w:lineRule="auto"/>
        <w:ind w:left="720"/>
        <w:jc w:val="both"/>
        <w:rPr>
          <w:rFonts w:ascii="Times New Roman" w:eastAsia="Yu Gothic Light" w:hAnsi="Times New Roman" w:cs="Times New Roman"/>
          <w:noProof/>
          <w:kern w:val="28"/>
          <w:sz w:val="24"/>
          <w:szCs w:val="24"/>
          <w:lang w:val="en-IE" w:eastAsia="de-DE"/>
        </w:rPr>
      </w:pPr>
      <w:r w:rsidRPr="1F7CBA1A">
        <w:rPr>
          <w:rFonts w:eastAsia="Yu Gothic Light"/>
          <w:noProof/>
          <w:lang w:val="en-IE" w:eastAsia="de-DE"/>
        </w:rPr>
        <w:t>The eu-LISA Regulation established 4 AGs (Art</w:t>
      </w:r>
      <w:r w:rsidR="2FD8C051" w:rsidRPr="1F7CBA1A">
        <w:rPr>
          <w:rFonts w:eastAsia="Yu Gothic Light"/>
          <w:noProof/>
          <w:lang w:val="en-IE" w:eastAsia="de-DE"/>
        </w:rPr>
        <w:t>icle</w:t>
      </w:r>
      <w:r w:rsidRPr="1F7CBA1A">
        <w:rPr>
          <w:rFonts w:eastAsia="Yu Gothic Light"/>
          <w:noProof/>
          <w:lang w:val="en-IE" w:eastAsia="de-DE"/>
        </w:rPr>
        <w:t xml:space="preserve"> 27): SIS II, VIS, Eurodac and EES-ETIAS AGs. The number of AGs extended since 2018 to a total of 9, including: the ECRIS-TCN AG (set up in 20</w:t>
      </w:r>
      <w:r w:rsidR="6D45B179" w:rsidRPr="1F7CBA1A">
        <w:rPr>
          <w:rFonts w:eastAsia="Yu Gothic Light"/>
          <w:noProof/>
          <w:lang w:val="en-IE" w:eastAsia="de-DE"/>
        </w:rPr>
        <w:t>1</w:t>
      </w:r>
      <w:r w:rsidRPr="1F7CBA1A">
        <w:rPr>
          <w:rFonts w:eastAsia="Yu Gothic Light"/>
          <w:noProof/>
          <w:lang w:val="en-IE" w:eastAsia="de-DE"/>
        </w:rPr>
        <w:t>9), the Interoperability AG (2019)</w:t>
      </w:r>
      <w:r w:rsidR="1BD82760" w:rsidRPr="1F7CBA1A">
        <w:rPr>
          <w:rFonts w:eastAsia="Yu Gothic Light"/>
          <w:noProof/>
          <w:lang w:val="en-IE" w:eastAsia="de-DE"/>
        </w:rPr>
        <w:t xml:space="preserve">. </w:t>
      </w:r>
    </w:p>
    <w:p w14:paraId="67A38BCE" w14:textId="62477D36" w:rsidR="00074E41" w:rsidRPr="00074E41" w:rsidRDefault="00717D15" w:rsidP="004E2424">
      <w:pPr>
        <w:numPr>
          <w:ilvl w:val="0"/>
          <w:numId w:val="95"/>
        </w:numPr>
        <w:spacing w:before="120" w:after="120" w:line="240" w:lineRule="auto"/>
        <w:jc w:val="both"/>
        <w:rPr>
          <w:rFonts w:eastAsia="Yu Gothic Light"/>
          <w:noProof/>
          <w:kern w:val="28"/>
          <w:szCs w:val="24"/>
          <w:lang w:val="en-IE" w:eastAsia="de-DE"/>
        </w:rPr>
      </w:pPr>
      <w:r w:rsidRPr="004E2424">
        <w:rPr>
          <w:rFonts w:ascii="Times New Roman" w:eastAsia="Yu Gothic Light" w:hAnsi="Times New Roman" w:cs="Times New Roman"/>
          <w:noProof/>
          <w:sz w:val="24"/>
          <w:szCs w:val="24"/>
          <w:lang w:val="en-IE" w:eastAsia="de-DE"/>
        </w:rPr>
        <w:t>Five</w:t>
      </w:r>
      <w:r w:rsidRPr="004E2424">
        <w:rPr>
          <w:rFonts w:ascii="Times New Roman" w:eastAsia="Yu Gothic Light" w:hAnsi="Times New Roman" w:cs="Times New Roman"/>
          <w:noProof/>
          <w:kern w:val="28"/>
          <w:sz w:val="24"/>
          <w:szCs w:val="24"/>
          <w:lang w:val="en-IE" w:eastAsia="de-DE"/>
        </w:rPr>
        <w:t xml:space="preserve"> </w:t>
      </w:r>
      <w:r w:rsidRPr="004E2424">
        <w:rPr>
          <w:rFonts w:ascii="Times New Roman" w:eastAsia="Yu Gothic Light" w:hAnsi="Times New Roman" w:cs="Times New Roman"/>
          <w:b/>
          <w:noProof/>
          <w:kern w:val="28"/>
          <w:sz w:val="24"/>
          <w:szCs w:val="24"/>
          <w:lang w:val="en-IE" w:eastAsia="de-DE"/>
        </w:rPr>
        <w:t>Programme Management Boards (PMBs)</w:t>
      </w:r>
      <w:r w:rsidRPr="004E2424">
        <w:rPr>
          <w:rFonts w:ascii="Times New Roman" w:eastAsia="Yu Gothic Light" w:hAnsi="Times New Roman" w:cs="Times New Roman"/>
          <w:noProof/>
          <w:kern w:val="28"/>
          <w:sz w:val="24"/>
          <w:szCs w:val="24"/>
          <w:lang w:val="en-IE" w:eastAsia="de-DE"/>
        </w:rPr>
        <w:t xml:space="preserve"> on ETIAS</w:t>
      </w:r>
      <w:r w:rsidRPr="004E2424">
        <w:rPr>
          <w:rFonts w:ascii="Times New Roman" w:eastAsia="Yu Gothic Light" w:hAnsi="Times New Roman" w:cs="Times New Roman"/>
          <w:noProof/>
          <w:sz w:val="24"/>
          <w:szCs w:val="24"/>
          <w:vertAlign w:val="superscript"/>
          <w:lang w:eastAsia="de-DE"/>
        </w:rPr>
        <w:footnoteReference w:id="15"/>
      </w:r>
      <w:r w:rsidRPr="004E2424">
        <w:rPr>
          <w:rFonts w:ascii="Times New Roman" w:eastAsia="Yu Gothic Light" w:hAnsi="Times New Roman" w:cs="Times New Roman"/>
          <w:noProof/>
          <w:kern w:val="28"/>
          <w:sz w:val="24"/>
          <w:szCs w:val="24"/>
          <w:lang w:val="en-IE" w:eastAsia="de-DE"/>
        </w:rPr>
        <w:t>, EES</w:t>
      </w:r>
      <w:r w:rsidRPr="004E2424">
        <w:rPr>
          <w:rFonts w:ascii="Times New Roman" w:eastAsia="Yu Gothic Light" w:hAnsi="Times New Roman" w:cs="Times New Roman"/>
          <w:noProof/>
          <w:sz w:val="24"/>
          <w:szCs w:val="24"/>
          <w:vertAlign w:val="superscript"/>
          <w:lang w:eastAsia="de-DE"/>
        </w:rPr>
        <w:footnoteReference w:id="16"/>
      </w:r>
      <w:r w:rsidRPr="004E2424">
        <w:rPr>
          <w:rFonts w:ascii="Times New Roman" w:eastAsia="Yu Gothic Light" w:hAnsi="Times New Roman" w:cs="Times New Roman"/>
          <w:noProof/>
          <w:kern w:val="28"/>
          <w:sz w:val="24"/>
          <w:szCs w:val="24"/>
          <w:lang w:val="en-IE" w:eastAsia="de-DE"/>
        </w:rPr>
        <w:t>, ECRIS-TCN</w:t>
      </w:r>
      <w:r w:rsidRPr="004E2424">
        <w:rPr>
          <w:rFonts w:ascii="Times New Roman" w:eastAsia="Yu Gothic Light" w:hAnsi="Times New Roman" w:cs="Times New Roman"/>
          <w:noProof/>
          <w:sz w:val="24"/>
          <w:szCs w:val="24"/>
          <w:vertAlign w:val="superscript"/>
          <w:lang w:eastAsia="de-DE"/>
        </w:rPr>
        <w:footnoteReference w:id="17"/>
      </w:r>
      <w:r w:rsidRPr="004E2424">
        <w:rPr>
          <w:rFonts w:ascii="Times New Roman" w:eastAsia="Yu Gothic Light" w:hAnsi="Times New Roman" w:cs="Times New Roman"/>
          <w:noProof/>
          <w:kern w:val="28"/>
          <w:sz w:val="24"/>
          <w:szCs w:val="24"/>
          <w:lang w:val="en-IE" w:eastAsia="de-DE"/>
        </w:rPr>
        <w:t>, e-CODEX</w:t>
      </w:r>
      <w:r w:rsidRPr="004E2424">
        <w:rPr>
          <w:rFonts w:ascii="Times New Roman" w:eastAsia="Yu Gothic Light" w:hAnsi="Times New Roman" w:cs="Times New Roman"/>
          <w:noProof/>
          <w:sz w:val="24"/>
          <w:szCs w:val="24"/>
          <w:vertAlign w:val="superscript"/>
          <w:lang w:eastAsia="de-DE"/>
        </w:rPr>
        <w:footnoteReference w:id="18"/>
      </w:r>
      <w:r w:rsidRPr="004E2424">
        <w:rPr>
          <w:rFonts w:ascii="Times New Roman" w:eastAsia="Yu Gothic Light" w:hAnsi="Times New Roman" w:cs="Times New Roman"/>
          <w:noProof/>
          <w:kern w:val="28"/>
          <w:sz w:val="24"/>
          <w:szCs w:val="24"/>
          <w:lang w:val="en-IE" w:eastAsia="de-DE"/>
        </w:rPr>
        <w:t xml:space="preserve"> and JITs CP</w:t>
      </w:r>
      <w:r w:rsidRPr="004E2424">
        <w:rPr>
          <w:rFonts w:ascii="Times New Roman" w:eastAsia="Yu Gothic Light" w:hAnsi="Times New Roman" w:cs="Times New Roman"/>
          <w:noProof/>
          <w:sz w:val="24"/>
          <w:szCs w:val="24"/>
          <w:vertAlign w:val="superscript"/>
          <w:lang w:eastAsia="de-DE"/>
        </w:rPr>
        <w:footnoteReference w:id="19"/>
      </w:r>
      <w:r w:rsidRPr="004E2424">
        <w:rPr>
          <w:rFonts w:ascii="Times New Roman" w:eastAsia="Yu Gothic Light" w:hAnsi="Times New Roman" w:cs="Times New Roman"/>
          <w:noProof/>
          <w:kern w:val="28"/>
          <w:sz w:val="24"/>
          <w:szCs w:val="24"/>
          <w:lang w:val="en-IE" w:eastAsia="de-DE"/>
        </w:rPr>
        <w:t xml:space="preserve"> have been established by the </w:t>
      </w:r>
      <w:r w:rsidR="0071472C" w:rsidRPr="00074E41">
        <w:rPr>
          <w:rFonts w:ascii="Times New Roman" w:eastAsia="Yu Gothic Light" w:hAnsi="Times New Roman" w:cs="Times New Roman"/>
          <w:noProof/>
          <w:kern w:val="28"/>
          <w:sz w:val="24"/>
          <w:szCs w:val="24"/>
          <w:lang w:val="en-IE" w:eastAsia="de-DE"/>
        </w:rPr>
        <w:t>establishing</w:t>
      </w:r>
      <w:r w:rsidR="0071472C" w:rsidRPr="004E2424">
        <w:rPr>
          <w:rFonts w:ascii="Times New Roman" w:eastAsia="Yu Gothic Light" w:hAnsi="Times New Roman" w:cs="Times New Roman"/>
          <w:noProof/>
          <w:kern w:val="28"/>
          <w:sz w:val="24"/>
          <w:szCs w:val="24"/>
          <w:lang w:val="en-IE" w:eastAsia="de-DE"/>
        </w:rPr>
        <w:t xml:space="preserve"> </w:t>
      </w:r>
      <w:r w:rsidRPr="004E2424">
        <w:rPr>
          <w:rFonts w:ascii="Times New Roman" w:eastAsia="Yu Gothic Light" w:hAnsi="Times New Roman" w:cs="Times New Roman"/>
          <w:noProof/>
          <w:kern w:val="28"/>
          <w:sz w:val="24"/>
          <w:szCs w:val="24"/>
          <w:lang w:val="en-IE" w:eastAsia="de-DE"/>
        </w:rPr>
        <w:t xml:space="preserve">Regulations of the relevant IT systems. They comprise </w:t>
      </w:r>
      <w:r w:rsidR="0071472C" w:rsidRPr="00074E41">
        <w:rPr>
          <w:rFonts w:ascii="Times New Roman" w:eastAsia="Yu Gothic Light" w:hAnsi="Times New Roman" w:cs="Times New Roman"/>
          <w:noProof/>
          <w:kern w:val="28"/>
          <w:sz w:val="24"/>
          <w:szCs w:val="24"/>
          <w:lang w:val="en-IE" w:eastAsia="de-DE"/>
        </w:rPr>
        <w:t>seven</w:t>
      </w:r>
      <w:r w:rsidRPr="004E2424">
        <w:rPr>
          <w:rFonts w:ascii="Times New Roman" w:eastAsia="Yu Gothic Light" w:hAnsi="Times New Roman" w:cs="Times New Roman"/>
          <w:noProof/>
          <w:kern w:val="28"/>
          <w:sz w:val="24"/>
          <w:szCs w:val="24"/>
          <w:lang w:val="en-IE" w:eastAsia="de-DE"/>
        </w:rPr>
        <w:t xml:space="preserve"> Member State representatives, the Commission and the chair of the AG </w:t>
      </w:r>
      <w:r w:rsidRPr="004E2424">
        <w:rPr>
          <w:rFonts w:ascii="Times New Roman" w:eastAsia="Yu Gothic Light" w:hAnsi="Times New Roman" w:cs="Times New Roman"/>
          <w:noProof/>
          <w:sz w:val="24"/>
          <w:szCs w:val="24"/>
          <w:lang w:val="en-IE" w:eastAsia="de-DE"/>
        </w:rPr>
        <w:t>o</w:t>
      </w:r>
      <w:r w:rsidR="00D5720C" w:rsidRPr="004E2424">
        <w:rPr>
          <w:rFonts w:ascii="Times New Roman" w:eastAsia="Yu Gothic Light" w:hAnsi="Times New Roman" w:cs="Times New Roman"/>
          <w:noProof/>
          <w:sz w:val="24"/>
          <w:szCs w:val="24"/>
          <w:lang w:val="en-IE" w:eastAsia="de-DE"/>
        </w:rPr>
        <w:t>f</w:t>
      </w:r>
      <w:r w:rsidRPr="004E2424">
        <w:rPr>
          <w:rFonts w:ascii="Times New Roman" w:eastAsia="Yu Gothic Light" w:hAnsi="Times New Roman" w:cs="Times New Roman"/>
          <w:noProof/>
          <w:kern w:val="28"/>
          <w:sz w:val="24"/>
          <w:szCs w:val="24"/>
          <w:lang w:val="en-IE" w:eastAsia="de-DE"/>
        </w:rPr>
        <w:t xml:space="preserve"> the same system. In some cases, additional eu-LISA representatives may join the </w:t>
      </w:r>
      <w:r w:rsidR="0071472C" w:rsidRPr="00074E41">
        <w:rPr>
          <w:rFonts w:ascii="Times New Roman" w:eastAsia="Yu Gothic Light" w:hAnsi="Times New Roman" w:cs="Times New Roman"/>
          <w:noProof/>
          <w:kern w:val="28"/>
          <w:sz w:val="24"/>
          <w:szCs w:val="24"/>
          <w:lang w:val="en-IE" w:eastAsia="de-DE"/>
        </w:rPr>
        <w:t>PMB</w:t>
      </w:r>
      <w:r w:rsidR="0071472C" w:rsidRPr="004E2424">
        <w:rPr>
          <w:rFonts w:ascii="Times New Roman" w:eastAsia="Yu Gothic Light" w:hAnsi="Times New Roman" w:cs="Times New Roman"/>
          <w:noProof/>
          <w:kern w:val="28"/>
          <w:sz w:val="24"/>
          <w:szCs w:val="24"/>
          <w:lang w:val="en-IE" w:eastAsia="de-DE"/>
        </w:rPr>
        <w:t xml:space="preserve"> </w:t>
      </w:r>
      <w:r w:rsidRPr="004E2424">
        <w:rPr>
          <w:rFonts w:ascii="Times New Roman" w:eastAsia="Yu Gothic Light" w:hAnsi="Times New Roman" w:cs="Times New Roman"/>
          <w:noProof/>
          <w:kern w:val="28"/>
          <w:sz w:val="24"/>
          <w:szCs w:val="24"/>
          <w:lang w:val="en-IE" w:eastAsia="de-DE"/>
        </w:rPr>
        <w:t xml:space="preserve">(e.g. in the case of the EES and ETIAS PMBs). PMBs advise the MB on aspects relating to the development and/or handover of the related systems. </w:t>
      </w:r>
    </w:p>
    <w:p w14:paraId="169AAAC3" w14:textId="77777777" w:rsidR="000B7F89" w:rsidRPr="004E2424" w:rsidRDefault="00717D15" w:rsidP="004E2424">
      <w:pPr>
        <w:spacing w:before="120" w:after="120" w:line="240" w:lineRule="auto"/>
        <w:ind w:left="720"/>
        <w:jc w:val="both"/>
        <w:rPr>
          <w:rFonts w:ascii="Times New Roman" w:eastAsia="Yu Gothic Light" w:hAnsi="Times New Roman" w:cs="Times New Roman"/>
          <w:noProof/>
          <w:kern w:val="28"/>
          <w:sz w:val="24"/>
          <w:szCs w:val="24"/>
          <w:lang w:val="en-IE" w:eastAsia="de-DE"/>
        </w:rPr>
      </w:pPr>
      <w:r w:rsidRPr="004E2424">
        <w:rPr>
          <w:rFonts w:ascii="Times New Roman" w:eastAsia="Yu Gothic Light" w:hAnsi="Times New Roman" w:cs="Times New Roman"/>
          <w:noProof/>
          <w:kern w:val="28"/>
          <w:sz w:val="24"/>
          <w:szCs w:val="24"/>
          <w:lang w:val="en-IE" w:eastAsia="de-DE"/>
        </w:rPr>
        <w:t>While the e-CODEX PMB is established as a permanent body (Article 13.1 of the e-CODEX Regulation</w:t>
      </w:r>
      <w:r w:rsidRPr="004E2424">
        <w:rPr>
          <w:rFonts w:ascii="Times New Roman" w:hAnsi="Times New Roman" w:cs="Times New Roman"/>
          <w:noProof/>
          <w:sz w:val="24"/>
          <w:szCs w:val="24"/>
          <w:vertAlign w:val="superscript"/>
          <w:lang w:eastAsia="de-DE"/>
        </w:rPr>
        <w:footnoteReference w:id="20"/>
      </w:r>
      <w:r w:rsidRPr="004E2424">
        <w:rPr>
          <w:rFonts w:ascii="Times New Roman" w:eastAsia="Yu Gothic Light" w:hAnsi="Times New Roman" w:cs="Times New Roman"/>
          <w:noProof/>
          <w:kern w:val="28"/>
          <w:sz w:val="24"/>
          <w:szCs w:val="24"/>
          <w:lang w:val="en-IE" w:eastAsia="de-DE"/>
        </w:rPr>
        <w:t>), the other PMBs are established on a temporary basis</w:t>
      </w:r>
      <w:r w:rsidRPr="004E2424">
        <w:rPr>
          <w:rFonts w:ascii="Times New Roman" w:hAnsi="Times New Roman" w:cs="Times New Roman"/>
          <w:noProof/>
          <w:sz w:val="24"/>
          <w:szCs w:val="24"/>
          <w:vertAlign w:val="superscript"/>
          <w:lang w:eastAsia="de-DE"/>
        </w:rPr>
        <w:footnoteReference w:id="21"/>
      </w:r>
      <w:r w:rsidRPr="004E2424">
        <w:rPr>
          <w:rFonts w:ascii="Times New Roman" w:eastAsia="Yu Gothic Light" w:hAnsi="Times New Roman" w:cs="Times New Roman"/>
          <w:noProof/>
          <w:kern w:val="28"/>
          <w:sz w:val="24"/>
          <w:szCs w:val="24"/>
          <w:lang w:val="en-IE" w:eastAsia="de-DE"/>
        </w:rPr>
        <w:t xml:space="preserve"> during the designing and development phase of the systems. In addition, the e-CODEX PMB has an additional responsibility to monitor the respect for the principle of the independence of the judiciary and prompt preventive or corrective action where necessary. </w:t>
      </w:r>
    </w:p>
    <w:p w14:paraId="1543AC30" w14:textId="64CD770F" w:rsidR="000B7F89" w:rsidRPr="006A48D3" w:rsidRDefault="00717D15" w:rsidP="00717D15">
      <w:pPr>
        <w:spacing w:after="120" w:line="240" w:lineRule="auto"/>
        <w:jc w:val="both"/>
        <w:rPr>
          <w:rFonts w:ascii="Times New Roman" w:eastAsia="Calibri" w:hAnsi="Times New Roman" w:cs="Times New Roman"/>
          <w:noProof/>
          <w:sz w:val="24"/>
          <w:szCs w:val="24"/>
          <w:lang w:val="en-IE"/>
        </w:rPr>
      </w:pPr>
      <w:r w:rsidRPr="004E2424">
        <w:rPr>
          <w:rFonts w:ascii="Times New Roman" w:eastAsia="Calibri" w:hAnsi="Times New Roman" w:cs="Times New Roman"/>
          <w:noProof/>
          <w:sz w:val="24"/>
          <w:szCs w:val="24"/>
          <w:lang w:val="en-IE"/>
        </w:rPr>
        <w:t>Within</w:t>
      </w:r>
      <w:r w:rsidRPr="004E2424">
        <w:rPr>
          <w:rFonts w:ascii="Times New Roman" w:eastAsia="Yu Gothic Light" w:hAnsi="Times New Roman" w:cs="Times New Roman"/>
          <w:noProof/>
          <w:kern w:val="28"/>
          <w:sz w:val="24"/>
          <w:szCs w:val="24"/>
          <w:lang w:val="en-IE" w:eastAsia="de-DE"/>
        </w:rPr>
        <w:t xml:space="preserve"> eu-LISA, the </w:t>
      </w:r>
      <w:r w:rsidRPr="004E2424">
        <w:rPr>
          <w:rFonts w:ascii="Times New Roman" w:eastAsia="Yu Gothic Light" w:hAnsi="Times New Roman" w:cs="Times New Roman"/>
          <w:b/>
          <w:bCs/>
          <w:noProof/>
          <w:kern w:val="28"/>
          <w:sz w:val="24"/>
          <w:szCs w:val="24"/>
          <w:lang w:val="en-IE" w:eastAsia="de-DE"/>
        </w:rPr>
        <w:t>MB Secretariat</w:t>
      </w:r>
      <w:r w:rsidRPr="004E2424">
        <w:rPr>
          <w:rFonts w:ascii="Times New Roman" w:eastAsia="Yu Gothic Light" w:hAnsi="Times New Roman" w:cs="Times New Roman"/>
          <w:noProof/>
          <w:kern w:val="28"/>
          <w:sz w:val="24"/>
          <w:szCs w:val="24"/>
          <w:lang w:val="en-IE" w:eastAsia="de-DE"/>
        </w:rPr>
        <w:t xml:space="preserve"> plays a central role in supporting the governance bodies and ensuring their smooth functioning, including by organising and documenting meetings, ensuring the implementation of decisions taken and communicating with members of different bodies.</w:t>
      </w:r>
      <w:r w:rsidRPr="004E2424">
        <w:rPr>
          <w:rFonts w:ascii="Times New Roman" w:hAnsi="Times New Roman" w:cs="Times New Roman"/>
          <w:noProof/>
          <w:sz w:val="24"/>
          <w:szCs w:val="24"/>
          <w:vertAlign w:val="superscript"/>
          <w:lang w:eastAsia="de-DE"/>
        </w:rPr>
        <w:footnoteReference w:id="22"/>
      </w:r>
    </w:p>
    <w:p w14:paraId="692734AB" w14:textId="67C8EA9F" w:rsidR="00717D15" w:rsidRPr="004A7DE2" w:rsidRDefault="00717D15" w:rsidP="00630062">
      <w:pPr>
        <w:pStyle w:val="BodyText"/>
        <w:rPr>
          <w:rFonts w:ascii="Times New Roman" w:hAnsi="Times New Roman" w:cs="Times New Roman"/>
          <w:b/>
          <w:bCs/>
          <w:i/>
          <w:iCs/>
          <w:noProof/>
          <w:sz w:val="24"/>
          <w:szCs w:val="28"/>
        </w:rPr>
      </w:pPr>
      <w:r w:rsidRPr="004A7DE2">
        <w:rPr>
          <w:rFonts w:ascii="Times New Roman" w:hAnsi="Times New Roman" w:cs="Times New Roman"/>
          <w:b/>
          <w:bCs/>
          <w:i/>
          <w:iCs/>
          <w:noProof/>
          <w:sz w:val="24"/>
          <w:szCs w:val="28"/>
        </w:rPr>
        <w:t xml:space="preserve">Figure </w:t>
      </w:r>
      <w:r w:rsidRPr="004A7DE2">
        <w:rPr>
          <w:rFonts w:ascii="Times New Roman" w:hAnsi="Times New Roman" w:cs="Times New Roman"/>
          <w:b/>
          <w:bCs/>
          <w:i/>
          <w:iCs/>
          <w:noProof/>
          <w:sz w:val="24"/>
          <w:szCs w:val="28"/>
        </w:rPr>
        <w:fldChar w:fldCharType="begin"/>
      </w:r>
      <w:r w:rsidRPr="004A7DE2">
        <w:rPr>
          <w:rFonts w:ascii="Times New Roman" w:hAnsi="Times New Roman" w:cs="Times New Roman"/>
          <w:b/>
          <w:bCs/>
          <w:i/>
          <w:iCs/>
          <w:noProof/>
          <w:sz w:val="24"/>
          <w:szCs w:val="28"/>
        </w:rPr>
        <w:instrText xml:space="preserve"> SEQ Figure \* ARABIC </w:instrText>
      </w:r>
      <w:r w:rsidRPr="004A7DE2">
        <w:rPr>
          <w:rFonts w:ascii="Times New Roman" w:hAnsi="Times New Roman" w:cs="Times New Roman"/>
          <w:b/>
          <w:bCs/>
          <w:i/>
          <w:iCs/>
          <w:noProof/>
          <w:sz w:val="24"/>
          <w:szCs w:val="28"/>
        </w:rPr>
        <w:fldChar w:fldCharType="separate"/>
      </w:r>
      <w:r w:rsidR="004E2424">
        <w:rPr>
          <w:rFonts w:ascii="Times New Roman" w:hAnsi="Times New Roman" w:cs="Times New Roman"/>
          <w:b/>
          <w:bCs/>
          <w:i/>
          <w:iCs/>
          <w:noProof/>
          <w:sz w:val="24"/>
          <w:szCs w:val="28"/>
        </w:rPr>
        <w:t>3</w:t>
      </w:r>
      <w:r w:rsidRPr="004A7DE2">
        <w:rPr>
          <w:rFonts w:ascii="Times New Roman" w:hAnsi="Times New Roman" w:cs="Times New Roman"/>
          <w:b/>
          <w:bCs/>
          <w:i/>
          <w:iCs/>
          <w:noProof/>
          <w:sz w:val="24"/>
          <w:szCs w:val="28"/>
        </w:rPr>
        <w:fldChar w:fldCharType="end"/>
      </w:r>
      <w:r w:rsidRPr="004A7DE2">
        <w:rPr>
          <w:rFonts w:ascii="Times New Roman" w:hAnsi="Times New Roman" w:cs="Times New Roman"/>
          <w:b/>
          <w:bCs/>
          <w:i/>
          <w:iCs/>
          <w:noProof/>
          <w:sz w:val="24"/>
          <w:szCs w:val="28"/>
        </w:rPr>
        <w:t>: Governance structure of eu-LISA</w:t>
      </w:r>
    </w:p>
    <w:p w14:paraId="201C77AA" w14:textId="77777777" w:rsidR="00717D15" w:rsidRPr="006A48D3" w:rsidRDefault="00717D15" w:rsidP="00717D15">
      <w:pPr>
        <w:spacing w:after="120" w:line="240" w:lineRule="auto"/>
        <w:jc w:val="both"/>
        <w:rPr>
          <w:rFonts w:ascii="Times New Roman" w:eastAsia="Calibri" w:hAnsi="Times New Roman" w:cs="Times New Roman"/>
          <w:noProof/>
          <w:sz w:val="24"/>
          <w:szCs w:val="24"/>
          <w:lang w:val="en-IE"/>
        </w:rPr>
      </w:pPr>
      <w:r w:rsidRPr="006A48D3">
        <w:rPr>
          <w:rFonts w:ascii="Times New Roman" w:hAnsi="Times New Roman" w:cs="Times New Roman"/>
          <w:noProof/>
          <w:lang w:val="en-GB" w:eastAsia="en-GB"/>
        </w:rPr>
        <w:drawing>
          <wp:inline distT="0" distB="0" distL="0" distR="0" wp14:anchorId="40D73EA8" wp14:editId="1762F35A">
            <wp:extent cx="6213789" cy="19812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218114" cy="1982579"/>
                    </a:xfrm>
                    <a:prstGeom prst="rect">
                      <a:avLst/>
                    </a:prstGeom>
                    <a:noFill/>
                  </pic:spPr>
                </pic:pic>
              </a:graphicData>
            </a:graphic>
          </wp:inline>
        </w:drawing>
      </w:r>
    </w:p>
    <w:p w14:paraId="0524B6F5" w14:textId="30FA3032" w:rsidR="00717D15" w:rsidRPr="00CD706D" w:rsidRDefault="00717D15" w:rsidP="31F7896F">
      <w:pPr>
        <w:jc w:val="both"/>
        <w:rPr>
          <w:rFonts w:ascii="Times New Roman" w:eastAsia="Times New Roman" w:hAnsi="Times New Roman" w:cs="Times New Roman"/>
          <w:i/>
          <w:iCs/>
          <w:noProof/>
          <w:sz w:val="18"/>
          <w:szCs w:val="18"/>
          <w:lang w:val="en-IE" w:eastAsia="nl-BE"/>
        </w:rPr>
      </w:pPr>
      <w:r w:rsidRPr="31F7896F">
        <w:rPr>
          <w:rFonts w:ascii="Times New Roman" w:eastAsia="Calibri" w:hAnsi="Times New Roman" w:cs="Times New Roman"/>
          <w:noProof/>
          <w:sz w:val="24"/>
          <w:szCs w:val="24"/>
          <w:lang w:val="en-IE"/>
        </w:rPr>
        <w:t xml:space="preserve">During </w:t>
      </w:r>
      <w:r w:rsidR="00B3110A" w:rsidRPr="31F7896F">
        <w:rPr>
          <w:rFonts w:ascii="Times New Roman" w:eastAsia="Calibri" w:hAnsi="Times New Roman" w:cs="Times New Roman"/>
          <w:noProof/>
          <w:sz w:val="24"/>
          <w:szCs w:val="24"/>
          <w:lang w:val="en-IE"/>
        </w:rPr>
        <w:t>this</w:t>
      </w:r>
      <w:r w:rsidRPr="31F7896F">
        <w:rPr>
          <w:rFonts w:ascii="Times New Roman" w:eastAsia="Calibri" w:hAnsi="Times New Roman" w:cs="Times New Roman"/>
          <w:noProof/>
          <w:sz w:val="24"/>
          <w:szCs w:val="24"/>
          <w:lang w:val="en-IE"/>
        </w:rPr>
        <w:t xml:space="preserve"> evaluation</w:t>
      </w:r>
      <w:r w:rsidR="00B3110A" w:rsidRPr="31F7896F">
        <w:rPr>
          <w:rFonts w:ascii="Times New Roman" w:eastAsia="Calibri" w:hAnsi="Times New Roman" w:cs="Times New Roman"/>
          <w:noProof/>
          <w:sz w:val="24"/>
          <w:szCs w:val="24"/>
          <w:lang w:val="en-IE"/>
        </w:rPr>
        <w:t>,</w:t>
      </w:r>
      <w:r w:rsidRPr="31F7896F">
        <w:rPr>
          <w:rFonts w:ascii="Times New Roman" w:eastAsia="Calibri" w:hAnsi="Times New Roman" w:cs="Times New Roman"/>
          <w:noProof/>
          <w:sz w:val="24"/>
          <w:szCs w:val="24"/>
          <w:lang w:val="en-IE"/>
        </w:rPr>
        <w:t xml:space="preserve"> the implementation of eu-LISA’s tasks was organised through three </w:t>
      </w:r>
      <w:r w:rsidRPr="31F7896F">
        <w:rPr>
          <w:rFonts w:ascii="Times New Roman" w:eastAsia="Calibri" w:hAnsi="Times New Roman" w:cs="Times New Roman"/>
          <w:noProof/>
          <w:sz w:val="24"/>
          <w:szCs w:val="24"/>
          <w:lang w:val="en-IE" w:eastAsia="de-DE"/>
        </w:rPr>
        <w:t>separate</w:t>
      </w:r>
      <w:r w:rsidRPr="31F7896F">
        <w:rPr>
          <w:rFonts w:ascii="Times New Roman" w:eastAsia="Calibri" w:hAnsi="Times New Roman" w:cs="Times New Roman"/>
          <w:noProof/>
          <w:sz w:val="24"/>
          <w:szCs w:val="24"/>
          <w:lang w:val="en-IE"/>
        </w:rPr>
        <w:t xml:space="preserve"> departments including 10 units and 29 sectors. In addition, there were in total seven executive units directly connected to the Executive Director. This also comprised the security unit which is, therefore, set up independently from any internal or operational departments. During the Evaluation period, the Agency underwent a revision of the organisational set up. </w:t>
      </w:r>
    </w:p>
    <w:p w14:paraId="55318EEF" w14:textId="309BF181" w:rsidR="00EA434F" w:rsidRDefault="00717D15" w:rsidP="00630062">
      <w:pPr>
        <w:jc w:val="both"/>
        <w:rPr>
          <w:rFonts w:ascii="Times New Roman" w:eastAsia="Calibri" w:hAnsi="Times New Roman" w:cs="Times New Roman"/>
          <w:noProof/>
          <w:sz w:val="24"/>
          <w:szCs w:val="24"/>
          <w:lang w:val="en-IE"/>
        </w:rPr>
      </w:pPr>
      <w:r w:rsidRPr="00CD706D">
        <w:rPr>
          <w:rFonts w:ascii="Times New Roman" w:eastAsia="Calibri" w:hAnsi="Times New Roman" w:cs="Times New Roman"/>
          <w:noProof/>
          <w:sz w:val="24"/>
          <w:szCs w:val="24"/>
          <w:lang w:val="en-IE"/>
        </w:rPr>
        <w:t xml:space="preserve">The Agency’s </w:t>
      </w:r>
      <w:r w:rsidR="00E53C05">
        <w:rPr>
          <w:rFonts w:ascii="Times New Roman" w:eastAsia="Calibri" w:hAnsi="Times New Roman" w:cs="Times New Roman"/>
          <w:noProof/>
          <w:sz w:val="24"/>
          <w:szCs w:val="24"/>
          <w:lang w:val="en-IE"/>
        </w:rPr>
        <w:t>seat</w:t>
      </w:r>
      <w:r w:rsidR="00E53C05" w:rsidRPr="00CD706D">
        <w:rPr>
          <w:rFonts w:ascii="Times New Roman" w:eastAsia="Calibri" w:hAnsi="Times New Roman" w:cs="Times New Roman"/>
          <w:noProof/>
          <w:sz w:val="24"/>
          <w:szCs w:val="24"/>
          <w:lang w:val="en-IE"/>
        </w:rPr>
        <w:t xml:space="preserve"> </w:t>
      </w:r>
      <w:r w:rsidRPr="00CD706D">
        <w:rPr>
          <w:rFonts w:ascii="Times New Roman" w:eastAsia="Calibri" w:hAnsi="Times New Roman" w:cs="Times New Roman"/>
          <w:noProof/>
          <w:sz w:val="24"/>
          <w:szCs w:val="24"/>
          <w:lang w:val="en-IE"/>
        </w:rPr>
        <w:t xml:space="preserve">is located in Tallinn, Estonia, while two operational sites are situated in Strasbourg, France. </w:t>
      </w:r>
      <w:r w:rsidRPr="00CD706D">
        <w:rPr>
          <w:rFonts w:ascii="Times New Roman" w:eastAsia="Calibri" w:hAnsi="Times New Roman" w:cs="Times New Roman"/>
          <w:noProof/>
          <w:sz w:val="24"/>
          <w:szCs w:val="24"/>
          <w:lang w:val="en-IE" w:eastAsia="de-DE"/>
        </w:rPr>
        <w:t xml:space="preserve">Whereas the </w:t>
      </w:r>
      <w:r>
        <w:rPr>
          <w:rFonts w:ascii="Times New Roman" w:eastAsia="Calibri" w:hAnsi="Times New Roman" w:cs="Times New Roman"/>
          <w:noProof/>
          <w:sz w:val="24"/>
          <w:szCs w:val="24"/>
          <w:lang w:val="en-IE" w:eastAsia="de-DE"/>
        </w:rPr>
        <w:t>Executive Director</w:t>
      </w:r>
      <w:r w:rsidRPr="00CD706D">
        <w:rPr>
          <w:rFonts w:ascii="Times New Roman" w:eastAsia="Calibri" w:hAnsi="Times New Roman" w:cs="Times New Roman"/>
          <w:noProof/>
          <w:sz w:val="24"/>
          <w:szCs w:val="24"/>
          <w:lang w:val="en-IE" w:eastAsia="de-DE"/>
        </w:rPr>
        <w:t>, the corporate governance and corporate services departments, as well as the security unit are located in Tallinn, the operations department is based in Strasbourg</w:t>
      </w:r>
      <w:r w:rsidR="008B00F7">
        <w:rPr>
          <w:rStyle w:val="FootnoteReference"/>
          <w:rFonts w:ascii="Times New Roman" w:eastAsia="Calibri" w:hAnsi="Times New Roman" w:cs="Times New Roman"/>
          <w:noProof/>
          <w:szCs w:val="24"/>
          <w:lang w:val="en-IE" w:eastAsia="de-DE"/>
        </w:rPr>
        <w:footnoteReference w:id="23"/>
      </w:r>
      <w:r w:rsidRPr="00CD706D">
        <w:rPr>
          <w:rFonts w:ascii="Times New Roman" w:eastAsia="Calibri" w:hAnsi="Times New Roman" w:cs="Times New Roman"/>
          <w:noProof/>
          <w:sz w:val="24"/>
          <w:szCs w:val="24"/>
          <w:lang w:val="en-IE" w:eastAsia="de-DE"/>
        </w:rPr>
        <w:t xml:space="preserve">. </w:t>
      </w:r>
      <w:r w:rsidRPr="00CD706D">
        <w:rPr>
          <w:rFonts w:ascii="Times New Roman" w:eastAsia="Calibri" w:hAnsi="Times New Roman" w:cs="Times New Roman"/>
          <w:noProof/>
          <w:sz w:val="24"/>
          <w:szCs w:val="24"/>
          <w:lang w:val="en-IE"/>
        </w:rPr>
        <w:t>A third site, which operates as a backup for the systems, is located in St. Johann im Pongau, Austria. The Agency also has a liaison office in Brussels. Most of eu-LISA’s staff is located in Strasbourg (73%). 26% of the Agency’s staff is located in Tallinn and 1% in Brussels</w:t>
      </w:r>
      <w:r>
        <w:rPr>
          <w:rFonts w:ascii="Times New Roman" w:eastAsia="Calibri" w:hAnsi="Times New Roman" w:cs="Times New Roman"/>
          <w:noProof/>
          <w:sz w:val="24"/>
          <w:szCs w:val="24"/>
          <w:lang w:val="en-IE"/>
        </w:rPr>
        <w:t>.</w:t>
      </w:r>
    </w:p>
    <w:p w14:paraId="20F034F4" w14:textId="77777777" w:rsidR="003F4700" w:rsidRPr="00951873" w:rsidRDefault="003F4700" w:rsidP="00630062">
      <w:pPr>
        <w:jc w:val="both"/>
        <w:rPr>
          <w:rFonts w:ascii="Times New Roman" w:hAnsi="Times New Roman" w:cs="Times New Roman"/>
          <w:noProof/>
          <w:sz w:val="24"/>
          <w:szCs w:val="24"/>
          <w:lang w:val="en-GB"/>
        </w:rPr>
      </w:pPr>
    </w:p>
    <w:p w14:paraId="7D477C03" w14:textId="0AD4B211" w:rsidR="00147D71" w:rsidRPr="00E71F52" w:rsidRDefault="00147D71" w:rsidP="00050793">
      <w:pPr>
        <w:pStyle w:val="Heading1"/>
        <w:numPr>
          <w:ilvl w:val="0"/>
          <w:numId w:val="2"/>
        </w:numPr>
        <w:pBdr>
          <w:top w:val="single" w:sz="4" w:space="1" w:color="auto"/>
          <w:left w:val="single" w:sz="4" w:space="4" w:color="auto"/>
          <w:bottom w:val="single" w:sz="4" w:space="1" w:color="auto"/>
          <w:right w:val="single" w:sz="4" w:space="4" w:color="auto"/>
        </w:pBdr>
        <w:shd w:val="clear" w:color="auto" w:fill="BBDAFD" w:themeFill="text2" w:themeFillTint="33"/>
        <w:rPr>
          <w:noProof/>
          <w:szCs w:val="24"/>
        </w:rPr>
      </w:pPr>
      <w:bookmarkStart w:id="22" w:name="_Toc207303607"/>
      <w:r w:rsidRPr="00147D71">
        <w:rPr>
          <w:noProof/>
          <w:szCs w:val="24"/>
        </w:rPr>
        <w:t>Evaluation findings</w:t>
      </w:r>
      <w:bookmarkEnd w:id="22"/>
      <w:r w:rsidR="007E2FCC">
        <w:rPr>
          <w:noProof/>
          <w:szCs w:val="24"/>
        </w:rPr>
        <w:t xml:space="preserve"> </w:t>
      </w:r>
    </w:p>
    <w:p w14:paraId="47F052A0" w14:textId="7792D51C" w:rsidR="00147D71" w:rsidRDefault="00147D71" w:rsidP="00EE061C">
      <w:pPr>
        <w:pStyle w:val="Heading2"/>
        <w:numPr>
          <w:ilvl w:val="1"/>
          <w:numId w:val="2"/>
        </w:numPr>
        <w:rPr>
          <w:rFonts w:ascii="Times New Roman Bold" w:hAnsi="Times New Roman Bold"/>
          <w:b w:val="0"/>
          <w:smallCaps/>
          <w:noProof/>
          <w:szCs w:val="24"/>
        </w:rPr>
      </w:pPr>
      <w:bookmarkStart w:id="23" w:name="_Toc82789914"/>
      <w:bookmarkStart w:id="24" w:name="_Toc207303608"/>
      <w:r w:rsidRPr="006A4E17">
        <w:rPr>
          <w:rFonts w:ascii="Times New Roman Bold" w:hAnsi="Times New Roman Bold"/>
          <w:b w:val="0"/>
          <w:noProof/>
          <w:szCs w:val="24"/>
        </w:rPr>
        <w:t>To what extent was the intervention successful</w:t>
      </w:r>
      <w:r w:rsidR="009610DF" w:rsidRPr="006A4E17">
        <w:rPr>
          <w:rFonts w:ascii="Times New Roman Bold" w:hAnsi="Times New Roman Bold"/>
          <w:b w:val="0"/>
          <w:noProof/>
          <w:szCs w:val="24"/>
        </w:rPr>
        <w:t xml:space="preserve"> and why</w:t>
      </w:r>
      <w:r w:rsidRPr="006A4E17">
        <w:rPr>
          <w:rFonts w:ascii="Times New Roman Bold" w:hAnsi="Times New Roman Bold"/>
          <w:b w:val="0"/>
          <w:noProof/>
          <w:szCs w:val="24"/>
        </w:rPr>
        <w:t>?</w:t>
      </w:r>
      <w:bookmarkEnd w:id="23"/>
      <w:bookmarkEnd w:id="24"/>
      <w:r w:rsidR="007E2FCC">
        <w:rPr>
          <w:rFonts w:ascii="Times New Roman Bold" w:hAnsi="Times New Roman Bold"/>
          <w:b w:val="0"/>
          <w:noProof/>
          <w:szCs w:val="24"/>
        </w:rPr>
        <w:t xml:space="preserve"> </w:t>
      </w:r>
    </w:p>
    <w:p w14:paraId="6A3D5F24" w14:textId="41A8330B" w:rsidR="00570DCC" w:rsidRPr="008D6421" w:rsidRDefault="006F65DF" w:rsidP="008D6421">
      <w:pPr>
        <w:jc w:val="both"/>
        <w:rPr>
          <w:rFonts w:ascii="Times New Roman" w:eastAsia="Calibri" w:hAnsi="Times New Roman" w:cs="Times New Roman"/>
          <w:noProof/>
          <w:sz w:val="24"/>
          <w:szCs w:val="24"/>
          <w:lang w:val="en-IE"/>
        </w:rPr>
      </w:pPr>
      <w:r>
        <w:rPr>
          <w:rFonts w:ascii="Times New Roman" w:eastAsia="Calibri" w:hAnsi="Times New Roman" w:cs="Times New Roman"/>
          <w:noProof/>
          <w:sz w:val="24"/>
          <w:szCs w:val="24"/>
          <w:lang w:val="en-IE"/>
        </w:rPr>
        <w:t>The different evaluation criteria are analysed in th</w:t>
      </w:r>
      <w:r w:rsidR="00D02806">
        <w:rPr>
          <w:rFonts w:ascii="Times New Roman" w:eastAsia="Calibri" w:hAnsi="Times New Roman" w:cs="Times New Roman"/>
          <w:noProof/>
          <w:sz w:val="24"/>
          <w:szCs w:val="24"/>
          <w:lang w:val="en-IE"/>
        </w:rPr>
        <w:t>e section below.</w:t>
      </w:r>
    </w:p>
    <w:p w14:paraId="70C5208D" w14:textId="006FB00E" w:rsidR="00CB1975" w:rsidRPr="004A7DE2" w:rsidRDefault="00CB1975" w:rsidP="00EE061C">
      <w:pPr>
        <w:pStyle w:val="ListParagraph"/>
        <w:numPr>
          <w:ilvl w:val="2"/>
          <w:numId w:val="2"/>
        </w:numPr>
        <w:outlineLvl w:val="2"/>
        <w:rPr>
          <w:b/>
          <w:bCs/>
          <w:iCs/>
          <w:noProof/>
          <w:szCs w:val="24"/>
        </w:rPr>
      </w:pPr>
      <w:bookmarkStart w:id="25" w:name="_Toc207303609"/>
      <w:r w:rsidRPr="004A7DE2">
        <w:rPr>
          <w:b/>
          <w:bCs/>
          <w:iCs/>
          <w:noProof/>
          <w:szCs w:val="24"/>
        </w:rPr>
        <w:t>Effectiveness</w:t>
      </w:r>
      <w:bookmarkEnd w:id="25"/>
    </w:p>
    <w:p w14:paraId="5C45B856" w14:textId="6F82C5F8" w:rsidR="00AE2011" w:rsidRPr="00AE2011" w:rsidRDefault="4D3BE287" w:rsidP="1F7CBA1A">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i/>
          <w:iCs/>
          <w:noProof/>
          <w:sz w:val="24"/>
          <w:szCs w:val="24"/>
          <w:lang w:val="en-IE"/>
        </w:rPr>
      </w:pPr>
      <w:r w:rsidRPr="1F7CBA1A">
        <w:rPr>
          <w:rFonts w:ascii="Times New Roman" w:hAnsi="Times New Roman" w:cs="Times New Roman"/>
          <w:b/>
          <w:bCs/>
          <w:i/>
          <w:iCs/>
          <w:noProof/>
          <w:sz w:val="24"/>
          <w:szCs w:val="24"/>
          <w:lang w:val="en-IE"/>
        </w:rPr>
        <w:t>Key evaluation findings</w:t>
      </w:r>
      <w:r w:rsidR="36A9BFE8" w:rsidRPr="1F7CBA1A">
        <w:rPr>
          <w:rFonts w:ascii="Times New Roman" w:hAnsi="Times New Roman" w:cs="Times New Roman"/>
          <w:b/>
          <w:bCs/>
          <w:i/>
          <w:iCs/>
          <w:noProof/>
          <w:sz w:val="24"/>
          <w:szCs w:val="24"/>
          <w:lang w:val="en-IE"/>
        </w:rPr>
        <w:t xml:space="preserve"> </w:t>
      </w:r>
    </w:p>
    <w:p w14:paraId="7C23708D" w14:textId="0AE94EA4" w:rsidR="00BA564E" w:rsidRPr="00BA564E" w:rsidRDefault="00BA564E" w:rsidP="00BA564E">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lang w:val="en-GB"/>
        </w:rPr>
      </w:pPr>
      <w:r w:rsidRPr="00BA564E">
        <w:rPr>
          <w:rFonts w:ascii="Times New Roman" w:hAnsi="Times New Roman" w:cs="Times New Roman"/>
          <w:i/>
          <w:noProof/>
          <w:sz w:val="24"/>
          <w:szCs w:val="24"/>
          <w:lang w:val="en-GB"/>
        </w:rPr>
        <w:t>At the level of the general and specific policy objectives of the eu-LISA Regulation, the findings of th</w:t>
      </w:r>
      <w:r w:rsidR="00D02806">
        <w:rPr>
          <w:rFonts w:ascii="Times New Roman" w:hAnsi="Times New Roman" w:cs="Times New Roman"/>
          <w:i/>
          <w:noProof/>
          <w:sz w:val="24"/>
          <w:szCs w:val="24"/>
          <w:lang w:val="en-GB"/>
        </w:rPr>
        <w:t>e</w:t>
      </w:r>
      <w:r w:rsidRPr="00BA564E">
        <w:rPr>
          <w:rFonts w:ascii="Times New Roman" w:hAnsi="Times New Roman" w:cs="Times New Roman"/>
          <w:i/>
          <w:noProof/>
          <w:sz w:val="24"/>
          <w:szCs w:val="24"/>
          <w:lang w:val="en-GB"/>
        </w:rPr>
        <w:t xml:space="preserve"> evaluation are mixed. With its achievements relating in particular to the management and operation of IT systems, </w:t>
      </w:r>
      <w:r w:rsidR="008E3B22" w:rsidRPr="004E2424">
        <w:rPr>
          <w:rFonts w:ascii="Times New Roman" w:hAnsi="Times New Roman" w:cs="Times New Roman"/>
          <w:i/>
          <w:noProof/>
          <w:sz w:val="24"/>
          <w:szCs w:val="24"/>
          <w:lang w:val="en-IE"/>
        </w:rPr>
        <w:t xml:space="preserve">notably the Schengen Information System, the Visa Information System and Eurodac, </w:t>
      </w:r>
      <w:r w:rsidRPr="008E3B22">
        <w:rPr>
          <w:rFonts w:ascii="Times New Roman" w:hAnsi="Times New Roman" w:cs="Times New Roman"/>
          <w:i/>
          <w:noProof/>
          <w:sz w:val="24"/>
          <w:szCs w:val="24"/>
          <w:lang w:val="en-GB"/>
        </w:rPr>
        <w:t>eu</w:t>
      </w:r>
      <w:r w:rsidRPr="00BA564E">
        <w:rPr>
          <w:rFonts w:ascii="Times New Roman" w:hAnsi="Times New Roman" w:cs="Times New Roman"/>
          <w:i/>
          <w:noProof/>
          <w:sz w:val="24"/>
          <w:szCs w:val="24"/>
          <w:lang w:val="en-GB"/>
        </w:rPr>
        <w:t xml:space="preserve">-LISA was able to contribute to a coordinated, cost-effective and coherent IT environment at Union level in the </w:t>
      </w:r>
      <w:r w:rsidR="00942347" w:rsidRPr="00942347">
        <w:rPr>
          <w:rFonts w:ascii="Times New Roman" w:hAnsi="Times New Roman" w:cs="Times New Roman"/>
          <w:i/>
          <w:noProof/>
          <w:sz w:val="24"/>
          <w:szCs w:val="24"/>
          <w:lang w:val="en-IE"/>
        </w:rPr>
        <w:t>area of freedom, security and justice</w:t>
      </w:r>
      <w:r w:rsidRPr="00BA564E">
        <w:rPr>
          <w:rFonts w:ascii="Times New Roman" w:hAnsi="Times New Roman" w:cs="Times New Roman"/>
          <w:i/>
          <w:noProof/>
          <w:sz w:val="24"/>
          <w:szCs w:val="24"/>
          <w:lang w:val="en-GB"/>
        </w:rPr>
        <w:t xml:space="preserve">. Thereby, the Agency made contributions to ensuring a high-level security within the </w:t>
      </w:r>
      <w:r w:rsidR="00942347" w:rsidRPr="00942347">
        <w:rPr>
          <w:rFonts w:ascii="Times New Roman" w:hAnsi="Times New Roman" w:cs="Times New Roman"/>
          <w:i/>
          <w:noProof/>
          <w:sz w:val="24"/>
          <w:szCs w:val="24"/>
          <w:lang w:val="en-GB"/>
        </w:rPr>
        <w:t>area of freedom, security and justice</w:t>
      </w:r>
      <w:r w:rsidRPr="00BA564E">
        <w:rPr>
          <w:rFonts w:ascii="Times New Roman" w:hAnsi="Times New Roman" w:cs="Times New Roman"/>
          <w:i/>
          <w:noProof/>
          <w:sz w:val="24"/>
          <w:szCs w:val="24"/>
          <w:lang w:val="en-GB"/>
        </w:rPr>
        <w:t>. However, there is room for improvement based on the shortcomings relating to the development of the systems and the limited use of Art</w:t>
      </w:r>
      <w:r w:rsidR="003729E4">
        <w:rPr>
          <w:rFonts w:ascii="Times New Roman" w:hAnsi="Times New Roman" w:cs="Times New Roman"/>
          <w:i/>
          <w:noProof/>
          <w:sz w:val="24"/>
          <w:szCs w:val="24"/>
          <w:lang w:val="en-GB"/>
        </w:rPr>
        <w:t>icle</w:t>
      </w:r>
      <w:r w:rsidR="008412C1">
        <w:rPr>
          <w:rFonts w:ascii="Times New Roman" w:hAnsi="Times New Roman" w:cs="Times New Roman"/>
          <w:i/>
          <w:noProof/>
          <w:sz w:val="24"/>
          <w:szCs w:val="24"/>
          <w:lang w:val="en-GB"/>
        </w:rPr>
        <w:t>s</w:t>
      </w:r>
      <w:r w:rsidRPr="00BA564E">
        <w:rPr>
          <w:rFonts w:ascii="Times New Roman" w:hAnsi="Times New Roman" w:cs="Times New Roman"/>
          <w:i/>
          <w:noProof/>
          <w:sz w:val="24"/>
          <w:szCs w:val="24"/>
          <w:lang w:val="en-GB"/>
        </w:rPr>
        <w:t xml:space="preserve"> 15 and 16 relating to pilot testing and ad hoc support</w:t>
      </w:r>
      <w:r w:rsidR="008412C1">
        <w:rPr>
          <w:rFonts w:ascii="Times New Roman" w:hAnsi="Times New Roman" w:cs="Times New Roman"/>
          <w:i/>
          <w:noProof/>
          <w:sz w:val="24"/>
          <w:szCs w:val="24"/>
          <w:lang w:val="en-GB"/>
        </w:rPr>
        <w:t xml:space="preserve"> to Member States</w:t>
      </w:r>
      <w:r w:rsidRPr="00BA564E">
        <w:rPr>
          <w:rFonts w:ascii="Times New Roman" w:hAnsi="Times New Roman" w:cs="Times New Roman"/>
          <w:i/>
          <w:noProof/>
          <w:sz w:val="24"/>
          <w:szCs w:val="24"/>
          <w:lang w:val="en-GB"/>
        </w:rPr>
        <w:t>.</w:t>
      </w:r>
    </w:p>
    <w:p w14:paraId="76A1C582" w14:textId="77777777" w:rsidR="00BA564E" w:rsidRPr="00BA564E" w:rsidRDefault="00BA564E" w:rsidP="00BA564E">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lang w:val="en-GB"/>
        </w:rPr>
      </w:pPr>
      <w:r w:rsidRPr="00BA564E">
        <w:rPr>
          <w:rFonts w:ascii="Times New Roman" w:hAnsi="Times New Roman" w:cs="Times New Roman"/>
          <w:i/>
          <w:noProof/>
          <w:sz w:val="24"/>
          <w:szCs w:val="24"/>
          <w:lang w:val="en-GB"/>
        </w:rPr>
        <w:t xml:space="preserve">At the level of the operational objectives, the extent to which eu-LISA has been effective in achieving its objectives differs between its tasks: </w:t>
      </w:r>
    </w:p>
    <w:p w14:paraId="372308D5" w14:textId="0E255F19" w:rsidR="00BA564E" w:rsidRPr="004C2B1F" w:rsidRDefault="00750A66" w:rsidP="66687D7F">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lang w:val="en-IE"/>
        </w:rPr>
      </w:pPr>
      <w:r w:rsidRPr="004C2B1F">
        <w:rPr>
          <w:rFonts w:ascii="Times New Roman" w:hAnsi="Times New Roman" w:cs="Times New Roman"/>
          <w:i/>
          <w:noProof/>
          <w:sz w:val="24"/>
          <w:szCs w:val="24"/>
          <w:lang w:val="en-IE"/>
        </w:rPr>
        <w:t xml:space="preserve">- </w:t>
      </w:r>
      <w:r w:rsidR="00BA564E" w:rsidRPr="004C2B1F">
        <w:rPr>
          <w:rFonts w:ascii="Times New Roman" w:hAnsi="Times New Roman" w:cs="Times New Roman"/>
          <w:i/>
          <w:noProof/>
          <w:sz w:val="24"/>
          <w:szCs w:val="24"/>
          <w:lang w:val="en-IE"/>
        </w:rPr>
        <w:t xml:space="preserve">The operational </w:t>
      </w:r>
      <w:r w:rsidR="00BA564E" w:rsidRPr="004C2B1F">
        <w:rPr>
          <w:rFonts w:ascii="Times New Roman" w:hAnsi="Times New Roman" w:cs="Times New Roman"/>
          <w:i/>
          <w:noProof/>
          <w:sz w:val="24"/>
          <w:szCs w:val="24"/>
          <w:u w:val="single"/>
          <w:lang w:val="en-IE"/>
        </w:rPr>
        <w:t>management</w:t>
      </w:r>
      <w:r w:rsidR="00BA564E" w:rsidRPr="004C2B1F">
        <w:rPr>
          <w:rFonts w:ascii="Times New Roman" w:hAnsi="Times New Roman" w:cs="Times New Roman"/>
          <w:i/>
          <w:noProof/>
          <w:sz w:val="24"/>
          <w:szCs w:val="24"/>
          <w:lang w:val="en-IE"/>
        </w:rPr>
        <w:t xml:space="preserve"> of existing systems is generally considered as very effective and has indeed been highlighted as a strength. This also includes the handover / takeover of already existing systems (i.e. e-CODEX); </w:t>
      </w:r>
    </w:p>
    <w:p w14:paraId="5616AFEA" w14:textId="1BAEA12A" w:rsidR="00BA564E" w:rsidRPr="00BA564E" w:rsidRDefault="19C95C7E" w:rsidP="1F7CBA1A">
      <w:pPr>
        <w:pBdr>
          <w:top w:val="single" w:sz="4" w:space="1" w:color="auto"/>
          <w:left w:val="single" w:sz="4" w:space="4" w:color="auto"/>
          <w:bottom w:val="single" w:sz="4" w:space="1" w:color="auto"/>
          <w:right w:val="single" w:sz="4" w:space="4" w:color="auto"/>
        </w:pBdr>
        <w:jc w:val="both"/>
        <w:rPr>
          <w:rFonts w:ascii="Times New Roman" w:hAnsi="Times New Roman" w:cs="Times New Roman"/>
          <w:i/>
          <w:iCs/>
          <w:noProof/>
          <w:sz w:val="24"/>
          <w:szCs w:val="24"/>
          <w:lang w:val="en-GB"/>
        </w:rPr>
      </w:pPr>
      <w:r w:rsidRPr="1F7CBA1A">
        <w:rPr>
          <w:rFonts w:ascii="Times New Roman" w:hAnsi="Times New Roman" w:cs="Times New Roman"/>
          <w:i/>
          <w:iCs/>
          <w:noProof/>
          <w:sz w:val="24"/>
          <w:szCs w:val="24"/>
          <w:lang w:val="en-GB"/>
        </w:rPr>
        <w:t xml:space="preserve">- </w:t>
      </w:r>
      <w:r w:rsidR="2B3CBD37" w:rsidRPr="1F7CBA1A">
        <w:rPr>
          <w:rFonts w:ascii="Times New Roman" w:hAnsi="Times New Roman" w:cs="Times New Roman"/>
          <w:i/>
          <w:iCs/>
          <w:noProof/>
          <w:sz w:val="24"/>
          <w:szCs w:val="24"/>
          <w:lang w:val="en-GB"/>
        </w:rPr>
        <w:t xml:space="preserve">The </w:t>
      </w:r>
      <w:r w:rsidR="2B3CBD37" w:rsidRPr="1F7CBA1A">
        <w:rPr>
          <w:rFonts w:ascii="Times New Roman" w:hAnsi="Times New Roman" w:cs="Times New Roman"/>
          <w:i/>
          <w:iCs/>
          <w:noProof/>
          <w:sz w:val="24"/>
          <w:szCs w:val="24"/>
          <w:u w:val="single"/>
          <w:lang w:val="en-GB"/>
        </w:rPr>
        <w:t>development</w:t>
      </w:r>
      <w:r w:rsidR="2B3CBD37" w:rsidRPr="1F7CBA1A">
        <w:rPr>
          <w:rFonts w:ascii="Times New Roman" w:hAnsi="Times New Roman" w:cs="Times New Roman"/>
          <w:i/>
          <w:iCs/>
          <w:noProof/>
          <w:sz w:val="24"/>
          <w:szCs w:val="24"/>
          <w:lang w:val="en-GB"/>
        </w:rPr>
        <w:t xml:space="preserve"> of systems is considered less effective, </w:t>
      </w:r>
      <w:r w:rsidR="04961945" w:rsidRPr="1F7CBA1A">
        <w:rPr>
          <w:rFonts w:ascii="Times New Roman" w:hAnsi="Times New Roman" w:cs="Times New Roman"/>
          <w:i/>
          <w:iCs/>
          <w:noProof/>
          <w:sz w:val="24"/>
          <w:szCs w:val="24"/>
          <w:lang w:val="en-GB"/>
        </w:rPr>
        <w:t>a conclusion based on the significant delay</w:t>
      </w:r>
      <w:r w:rsidR="007F494A">
        <w:rPr>
          <w:rFonts w:ascii="Times New Roman" w:hAnsi="Times New Roman" w:cs="Times New Roman"/>
          <w:i/>
          <w:iCs/>
          <w:noProof/>
          <w:sz w:val="24"/>
          <w:szCs w:val="24"/>
          <w:lang w:val="en-GB"/>
        </w:rPr>
        <w:t xml:space="preserve"> in the time to market</w:t>
      </w:r>
      <w:r w:rsidR="04961945" w:rsidRPr="1F7CBA1A">
        <w:rPr>
          <w:rFonts w:ascii="Times New Roman" w:hAnsi="Times New Roman" w:cs="Times New Roman"/>
          <w:i/>
          <w:iCs/>
          <w:noProof/>
          <w:sz w:val="24"/>
          <w:szCs w:val="24"/>
          <w:lang w:val="en-GB"/>
        </w:rPr>
        <w:t>s</w:t>
      </w:r>
      <w:r w:rsidR="00D02806">
        <w:rPr>
          <w:rFonts w:ascii="Times New Roman" w:hAnsi="Times New Roman" w:cs="Times New Roman"/>
          <w:i/>
          <w:iCs/>
          <w:noProof/>
          <w:sz w:val="24"/>
          <w:szCs w:val="24"/>
          <w:lang w:val="en-GB"/>
        </w:rPr>
        <w:t xml:space="preserve">, which originated from </w:t>
      </w:r>
      <w:r w:rsidR="007F494A">
        <w:rPr>
          <w:rFonts w:ascii="Times New Roman" w:hAnsi="Times New Roman" w:cs="Times New Roman"/>
          <w:i/>
          <w:iCs/>
          <w:noProof/>
          <w:sz w:val="24"/>
          <w:szCs w:val="24"/>
          <w:lang w:val="en-GB"/>
        </w:rPr>
        <w:t>quality issued of the intermediary deliverable of the systems</w:t>
      </w:r>
      <w:r w:rsidR="2B3CBD37" w:rsidRPr="1F7CBA1A">
        <w:rPr>
          <w:rFonts w:ascii="Times New Roman" w:hAnsi="Times New Roman" w:cs="Times New Roman"/>
          <w:i/>
          <w:iCs/>
          <w:noProof/>
          <w:sz w:val="24"/>
          <w:szCs w:val="24"/>
          <w:lang w:val="en-GB"/>
        </w:rPr>
        <w:t xml:space="preserve">; </w:t>
      </w:r>
    </w:p>
    <w:p w14:paraId="749EE2AB" w14:textId="5EEC1EE7" w:rsidR="00AE2011" w:rsidRPr="00750A66" w:rsidRDefault="2B3CBD37" w:rsidP="1F7CBA1A">
      <w:pPr>
        <w:pBdr>
          <w:top w:val="single" w:sz="4" w:space="1" w:color="auto"/>
          <w:left w:val="single" w:sz="4" w:space="4" w:color="auto"/>
          <w:bottom w:val="single" w:sz="4" w:space="1" w:color="auto"/>
          <w:right w:val="single" w:sz="4" w:space="4" w:color="auto"/>
        </w:pBdr>
        <w:jc w:val="both"/>
        <w:rPr>
          <w:rFonts w:ascii="Times New Roman" w:hAnsi="Times New Roman" w:cs="Times New Roman"/>
          <w:i/>
          <w:iCs/>
          <w:noProof/>
          <w:sz w:val="24"/>
          <w:szCs w:val="24"/>
          <w:lang w:val="en-IE"/>
        </w:rPr>
      </w:pPr>
      <w:r w:rsidRPr="1F7CBA1A">
        <w:rPr>
          <w:rFonts w:ascii="Times New Roman" w:hAnsi="Times New Roman" w:cs="Times New Roman"/>
          <w:i/>
          <w:iCs/>
          <w:noProof/>
          <w:sz w:val="24"/>
          <w:szCs w:val="24"/>
          <w:lang w:val="en-GB"/>
        </w:rPr>
        <w:t xml:space="preserve">The effectiveness in </w:t>
      </w:r>
      <w:r w:rsidRPr="1F7CBA1A">
        <w:rPr>
          <w:rFonts w:ascii="Times New Roman" w:hAnsi="Times New Roman" w:cs="Times New Roman"/>
          <w:i/>
          <w:iCs/>
          <w:noProof/>
          <w:sz w:val="24"/>
          <w:szCs w:val="24"/>
          <w:u w:val="single"/>
          <w:lang w:val="en-GB"/>
        </w:rPr>
        <w:t>conducting tasks</w:t>
      </w:r>
      <w:r w:rsidR="7AACD254" w:rsidRPr="1F7CBA1A">
        <w:rPr>
          <w:rFonts w:ascii="Times New Roman" w:hAnsi="Times New Roman" w:cs="Times New Roman"/>
          <w:i/>
          <w:iCs/>
          <w:noProof/>
          <w:sz w:val="24"/>
          <w:szCs w:val="24"/>
          <w:u w:val="single"/>
          <w:lang w:val="en-GB"/>
        </w:rPr>
        <w:t xml:space="preserve"> </w:t>
      </w:r>
      <w:r w:rsidRPr="1F7CBA1A">
        <w:rPr>
          <w:rFonts w:ascii="Times New Roman" w:hAnsi="Times New Roman" w:cs="Times New Roman"/>
          <w:i/>
          <w:iCs/>
          <w:noProof/>
          <w:sz w:val="24"/>
          <w:szCs w:val="24"/>
          <w:lang w:val="en-GB"/>
        </w:rPr>
        <w:t xml:space="preserve"> that are not relating to the systems</w:t>
      </w:r>
      <w:r w:rsidR="007F494A">
        <w:rPr>
          <w:rFonts w:ascii="Times New Roman" w:hAnsi="Times New Roman" w:cs="Times New Roman"/>
          <w:i/>
          <w:iCs/>
          <w:noProof/>
          <w:sz w:val="24"/>
          <w:szCs w:val="24"/>
          <w:lang w:val="en-GB"/>
        </w:rPr>
        <w:t>, such as researc</w:t>
      </w:r>
      <w:r w:rsidR="003751FD">
        <w:rPr>
          <w:rFonts w:ascii="Times New Roman" w:hAnsi="Times New Roman" w:cs="Times New Roman"/>
          <w:i/>
          <w:iCs/>
          <w:noProof/>
          <w:sz w:val="24"/>
          <w:szCs w:val="24"/>
          <w:lang w:val="en-GB"/>
        </w:rPr>
        <w:t>h, pilot testing, or ad hoc support to the Member States,</w:t>
      </w:r>
      <w:r w:rsidRPr="1F7CBA1A">
        <w:rPr>
          <w:rFonts w:ascii="Times New Roman" w:hAnsi="Times New Roman" w:cs="Times New Roman"/>
          <w:i/>
          <w:iCs/>
          <w:noProof/>
          <w:sz w:val="24"/>
          <w:szCs w:val="24"/>
          <w:lang w:val="en-GB"/>
        </w:rPr>
        <w:t xml:space="preserve"> is considered mixed</w:t>
      </w:r>
      <w:r w:rsidR="003751FD">
        <w:rPr>
          <w:rFonts w:ascii="Times New Roman" w:hAnsi="Times New Roman" w:cs="Times New Roman"/>
          <w:i/>
          <w:iCs/>
          <w:noProof/>
          <w:sz w:val="24"/>
          <w:szCs w:val="24"/>
          <w:lang w:val="en-GB"/>
        </w:rPr>
        <w:t xml:space="preserve">. While the evaluation has found </w:t>
      </w:r>
      <w:r w:rsidRPr="1F7CBA1A">
        <w:rPr>
          <w:rFonts w:ascii="Times New Roman" w:hAnsi="Times New Roman" w:cs="Times New Roman"/>
          <w:i/>
          <w:iCs/>
          <w:noProof/>
          <w:sz w:val="24"/>
          <w:szCs w:val="24"/>
          <w:lang w:val="en-GB"/>
        </w:rPr>
        <w:t xml:space="preserve"> the positive outputs on research, the</w:t>
      </w:r>
      <w:r w:rsidR="00B83B7B">
        <w:rPr>
          <w:rFonts w:ascii="Times New Roman" w:hAnsi="Times New Roman" w:cs="Times New Roman"/>
          <w:i/>
          <w:iCs/>
          <w:noProof/>
          <w:sz w:val="24"/>
          <w:szCs w:val="24"/>
          <w:lang w:val="en-GB"/>
        </w:rPr>
        <w:t>re has been</w:t>
      </w:r>
      <w:r w:rsidRPr="1F7CBA1A">
        <w:rPr>
          <w:rFonts w:ascii="Times New Roman" w:hAnsi="Times New Roman" w:cs="Times New Roman"/>
          <w:i/>
          <w:iCs/>
          <w:noProof/>
          <w:sz w:val="24"/>
          <w:szCs w:val="24"/>
          <w:lang w:val="en-GB"/>
        </w:rPr>
        <w:t xml:space="preserve"> limited use of Art</w:t>
      </w:r>
      <w:r w:rsidR="2FD8C051" w:rsidRPr="1F7CBA1A">
        <w:rPr>
          <w:rFonts w:ascii="Times New Roman" w:hAnsi="Times New Roman" w:cs="Times New Roman"/>
          <w:i/>
          <w:iCs/>
          <w:noProof/>
          <w:sz w:val="24"/>
          <w:szCs w:val="24"/>
          <w:lang w:val="en-GB"/>
        </w:rPr>
        <w:t>icles</w:t>
      </w:r>
      <w:r w:rsidRPr="1F7CBA1A">
        <w:rPr>
          <w:rFonts w:ascii="Times New Roman" w:hAnsi="Times New Roman" w:cs="Times New Roman"/>
          <w:i/>
          <w:iCs/>
          <w:noProof/>
          <w:sz w:val="24"/>
          <w:szCs w:val="24"/>
          <w:lang w:val="en-GB"/>
        </w:rPr>
        <w:t xml:space="preserve"> 15 and 16 relating to pilot testing and ad hoc support, which is e.g. related to the limited scope of Art</w:t>
      </w:r>
      <w:r w:rsidR="2FD8C051" w:rsidRPr="1F7CBA1A">
        <w:rPr>
          <w:rFonts w:ascii="Times New Roman" w:hAnsi="Times New Roman" w:cs="Times New Roman"/>
          <w:i/>
          <w:iCs/>
          <w:noProof/>
          <w:sz w:val="24"/>
          <w:szCs w:val="24"/>
          <w:lang w:val="en-GB"/>
        </w:rPr>
        <w:t>icle</w:t>
      </w:r>
      <w:r w:rsidRPr="1F7CBA1A">
        <w:rPr>
          <w:rFonts w:ascii="Times New Roman" w:hAnsi="Times New Roman" w:cs="Times New Roman"/>
          <w:i/>
          <w:iCs/>
          <w:noProof/>
          <w:sz w:val="24"/>
          <w:szCs w:val="24"/>
          <w:lang w:val="en-GB"/>
        </w:rPr>
        <w:t xml:space="preserve"> 16(4).</w:t>
      </w:r>
    </w:p>
    <w:p w14:paraId="48E093ED" w14:textId="2D6B22A5" w:rsidR="005C387F" w:rsidRDefault="005C387F" w:rsidP="005C387F">
      <w:pPr>
        <w:jc w:val="both"/>
        <w:rPr>
          <w:rFonts w:ascii="Times New Roman" w:hAnsi="Times New Roman" w:cs="Times New Roman"/>
          <w:noProof/>
          <w:sz w:val="24"/>
          <w:szCs w:val="24"/>
          <w:lang w:val="en-IE"/>
        </w:rPr>
      </w:pPr>
      <w:r>
        <w:rPr>
          <w:rFonts w:ascii="Times New Roman" w:hAnsi="Times New Roman" w:cs="Times New Roman"/>
          <w:noProof/>
          <w:sz w:val="24"/>
          <w:szCs w:val="24"/>
          <w:lang w:val="en-GB"/>
        </w:rPr>
        <w:t>This evaluation criterion examined the extent to which eu-LISA</w:t>
      </w:r>
      <w:r w:rsidR="009A7E4E">
        <w:rPr>
          <w:rFonts w:ascii="Times New Roman" w:hAnsi="Times New Roman" w:cs="Times New Roman"/>
          <w:noProof/>
          <w:sz w:val="24"/>
          <w:szCs w:val="24"/>
          <w:lang w:val="en-GB"/>
        </w:rPr>
        <w:t xml:space="preserve"> has fulfilled its expectations and met its objectives.</w:t>
      </w:r>
      <w:r w:rsidR="00C74248">
        <w:rPr>
          <w:rFonts w:ascii="Times New Roman" w:hAnsi="Times New Roman" w:cs="Times New Roman"/>
          <w:noProof/>
          <w:sz w:val="24"/>
          <w:szCs w:val="24"/>
          <w:lang w:val="en-GB"/>
        </w:rPr>
        <w:t xml:space="preserve"> The evaluation assessed to which extent eu-LISA has contributed to a high level of security within the </w:t>
      </w:r>
      <w:r w:rsidR="00942347" w:rsidRPr="00942347">
        <w:rPr>
          <w:rFonts w:ascii="Times New Roman" w:hAnsi="Times New Roman" w:cs="Times New Roman"/>
          <w:noProof/>
          <w:sz w:val="24"/>
          <w:szCs w:val="24"/>
          <w:lang w:val="en-IE"/>
        </w:rPr>
        <w:t>area of freedom, security and justice</w:t>
      </w:r>
      <w:r w:rsidR="00827696">
        <w:rPr>
          <w:rFonts w:ascii="Times New Roman" w:hAnsi="Times New Roman" w:cs="Times New Roman"/>
          <w:noProof/>
          <w:sz w:val="24"/>
          <w:szCs w:val="24"/>
          <w:lang w:val="en-GB"/>
        </w:rPr>
        <w:t xml:space="preserve">, and in particular, eu-LISA’s contribution a coordinated, cost-effective and coherent IT environment at Union level in the </w:t>
      </w:r>
      <w:r w:rsidR="00942347" w:rsidRPr="00942347">
        <w:rPr>
          <w:rFonts w:ascii="Times New Roman" w:hAnsi="Times New Roman" w:cs="Times New Roman"/>
          <w:noProof/>
          <w:sz w:val="24"/>
          <w:szCs w:val="24"/>
          <w:lang w:val="en-IE"/>
        </w:rPr>
        <w:t>area of freedom, security and justice</w:t>
      </w:r>
      <w:r w:rsidR="00827696">
        <w:rPr>
          <w:rFonts w:ascii="Times New Roman" w:hAnsi="Times New Roman" w:cs="Times New Roman"/>
          <w:noProof/>
          <w:sz w:val="24"/>
          <w:szCs w:val="24"/>
          <w:lang w:val="en-GB"/>
        </w:rPr>
        <w:t xml:space="preserve">, eu-LISA’s contribution to the development of IT-based solutions in the </w:t>
      </w:r>
      <w:r w:rsidR="00942347" w:rsidRPr="00942347">
        <w:rPr>
          <w:rFonts w:ascii="Times New Roman" w:hAnsi="Times New Roman" w:cs="Times New Roman"/>
          <w:noProof/>
          <w:sz w:val="24"/>
          <w:szCs w:val="24"/>
          <w:lang w:val="en-GB"/>
        </w:rPr>
        <w:t>area of freedom, security and justice</w:t>
      </w:r>
      <w:r w:rsidR="00827696">
        <w:rPr>
          <w:rFonts w:ascii="Times New Roman" w:hAnsi="Times New Roman" w:cs="Times New Roman"/>
          <w:noProof/>
          <w:sz w:val="24"/>
          <w:szCs w:val="24"/>
          <w:lang w:val="en-GB"/>
        </w:rPr>
        <w:t xml:space="preserve">, and eu-LISA contribution within the scope of the mandate to </w:t>
      </w:r>
      <w:r w:rsidR="00827696" w:rsidRPr="00D027C1">
        <w:rPr>
          <w:rFonts w:ascii="Times New Roman" w:hAnsi="Times New Roman" w:cs="Times New Roman"/>
          <w:noProof/>
          <w:sz w:val="24"/>
          <w:szCs w:val="24"/>
          <w:lang w:val="en-IE"/>
        </w:rPr>
        <w:t xml:space="preserve">evidence-based Union migration and security policy-making and to the monitoring of the proper functioning of IT systems in the </w:t>
      </w:r>
      <w:r w:rsidR="00942347" w:rsidRPr="00942347">
        <w:rPr>
          <w:rFonts w:ascii="Times New Roman" w:hAnsi="Times New Roman" w:cs="Times New Roman"/>
          <w:noProof/>
          <w:sz w:val="24"/>
          <w:szCs w:val="24"/>
          <w:lang w:val="en-IE"/>
        </w:rPr>
        <w:t>area of freedom, security and justice</w:t>
      </w:r>
      <w:r w:rsidR="00827696">
        <w:rPr>
          <w:rFonts w:ascii="Times New Roman" w:hAnsi="Times New Roman" w:cs="Times New Roman"/>
          <w:noProof/>
          <w:sz w:val="24"/>
          <w:szCs w:val="24"/>
          <w:lang w:val="en-IE"/>
        </w:rPr>
        <w:t>.</w:t>
      </w:r>
    </w:p>
    <w:p w14:paraId="0D4511D4" w14:textId="77777777" w:rsidR="003931C2" w:rsidRPr="00A2617A" w:rsidRDefault="003931C2" w:rsidP="003931C2">
      <w:pPr>
        <w:jc w:val="both"/>
        <w:rPr>
          <w:rFonts w:ascii="Times New Roman" w:hAnsi="Times New Roman" w:cs="Times New Roman"/>
          <w:b/>
          <w:bCs/>
          <w:i/>
          <w:iCs/>
          <w:noProof/>
          <w:sz w:val="24"/>
          <w:szCs w:val="24"/>
          <w:lang w:val="en-GB"/>
        </w:rPr>
      </w:pPr>
      <w:r w:rsidRPr="00A2617A">
        <w:rPr>
          <w:rFonts w:ascii="Times New Roman" w:hAnsi="Times New Roman" w:cs="Times New Roman"/>
          <w:b/>
          <w:bCs/>
          <w:i/>
          <w:iCs/>
          <w:noProof/>
          <w:sz w:val="24"/>
          <w:szCs w:val="24"/>
          <w:lang w:val="en-GB"/>
        </w:rPr>
        <w:t>To what extent are procedures in place to ensure the coherence of eu-LISA’s cooperation activities with the policies and activities of its stakeholders?</w:t>
      </w:r>
    </w:p>
    <w:p w14:paraId="71C362E2" w14:textId="3142ED20" w:rsidR="00640B1D" w:rsidRPr="00640B1D" w:rsidRDefault="00640B1D" w:rsidP="001451CD">
      <w:pPr>
        <w:jc w:val="both"/>
        <w:rPr>
          <w:rFonts w:ascii="Times New Roman" w:hAnsi="Times New Roman"/>
          <w:bCs/>
          <w:iCs/>
          <w:noProof/>
          <w:sz w:val="24"/>
          <w:lang w:val="en-IE"/>
        </w:rPr>
      </w:pPr>
      <w:r w:rsidRPr="00640B1D">
        <w:rPr>
          <w:rFonts w:ascii="Times New Roman" w:hAnsi="Times New Roman"/>
          <w:bCs/>
          <w:iCs/>
          <w:noProof/>
          <w:sz w:val="24"/>
          <w:lang w:val="en-IE"/>
        </w:rPr>
        <w:t>As outlined in the 2018 eu-LISA Regulation, the core objectives of the Agency embody the following:</w:t>
      </w:r>
      <w:r>
        <w:rPr>
          <w:rStyle w:val="FootnoteReference"/>
          <w:rFonts w:ascii="Times New Roman" w:hAnsi="Times New Roman"/>
          <w:bCs/>
          <w:iCs/>
          <w:noProof/>
          <w:lang w:val="en-IE"/>
        </w:rPr>
        <w:footnoteReference w:id="24"/>
      </w:r>
    </w:p>
    <w:p w14:paraId="66F5D260" w14:textId="77777777" w:rsidR="00640B1D" w:rsidRDefault="00640B1D" w:rsidP="004E2424">
      <w:pPr>
        <w:pStyle w:val="ListParagraph"/>
        <w:numPr>
          <w:ilvl w:val="0"/>
          <w:numId w:val="6"/>
        </w:numPr>
        <w:spacing w:line="276" w:lineRule="auto"/>
        <w:rPr>
          <w:bCs/>
          <w:iCs/>
          <w:noProof/>
          <w:szCs w:val="24"/>
          <w:lang w:val="en-IE"/>
        </w:rPr>
      </w:pPr>
      <w:r w:rsidRPr="004E2424">
        <w:rPr>
          <w:bCs/>
          <w:iCs/>
          <w:noProof/>
          <w:szCs w:val="24"/>
          <w:lang w:val="en-IE"/>
        </w:rPr>
        <w:t>The development of large-scale IT systems using an adequate project management structure for efficiently developing such systems;</w:t>
      </w:r>
    </w:p>
    <w:p w14:paraId="6F4AB6B9" w14:textId="77777777" w:rsidR="00640B1D" w:rsidRDefault="00640B1D" w:rsidP="004E2424">
      <w:pPr>
        <w:pStyle w:val="ListParagraph"/>
        <w:numPr>
          <w:ilvl w:val="0"/>
          <w:numId w:val="6"/>
        </w:numPr>
        <w:spacing w:line="276" w:lineRule="auto"/>
        <w:rPr>
          <w:bCs/>
          <w:iCs/>
          <w:noProof/>
          <w:szCs w:val="24"/>
          <w:lang w:val="en-IE"/>
        </w:rPr>
      </w:pPr>
      <w:r w:rsidRPr="004E2424">
        <w:rPr>
          <w:bCs/>
          <w:iCs/>
          <w:noProof/>
          <w:szCs w:val="24"/>
          <w:lang w:val="en-IE"/>
        </w:rPr>
        <w:t>The effective, secure and continuous operation of large-scale IT systems;</w:t>
      </w:r>
    </w:p>
    <w:p w14:paraId="6D511FC4" w14:textId="77777777" w:rsidR="00640B1D" w:rsidRDefault="00640B1D" w:rsidP="004E2424">
      <w:pPr>
        <w:pStyle w:val="ListParagraph"/>
        <w:numPr>
          <w:ilvl w:val="0"/>
          <w:numId w:val="6"/>
        </w:numPr>
        <w:spacing w:line="276" w:lineRule="auto"/>
        <w:rPr>
          <w:bCs/>
          <w:iCs/>
          <w:noProof/>
          <w:szCs w:val="24"/>
          <w:lang w:val="en-IE"/>
        </w:rPr>
      </w:pPr>
      <w:r w:rsidRPr="004E2424">
        <w:rPr>
          <w:bCs/>
          <w:iCs/>
          <w:noProof/>
          <w:szCs w:val="24"/>
          <w:lang w:val="en-IE"/>
        </w:rPr>
        <w:t>The efficient and financially accountable management of large-scale IT systems;</w:t>
      </w:r>
    </w:p>
    <w:p w14:paraId="13BC5F11" w14:textId="77777777" w:rsidR="00640B1D" w:rsidRDefault="00640B1D" w:rsidP="004E2424">
      <w:pPr>
        <w:pStyle w:val="ListParagraph"/>
        <w:numPr>
          <w:ilvl w:val="0"/>
          <w:numId w:val="6"/>
        </w:numPr>
        <w:spacing w:line="276" w:lineRule="auto"/>
        <w:rPr>
          <w:bCs/>
          <w:iCs/>
          <w:noProof/>
          <w:szCs w:val="24"/>
          <w:lang w:val="en-IE"/>
        </w:rPr>
      </w:pPr>
      <w:r w:rsidRPr="004E2424">
        <w:rPr>
          <w:bCs/>
          <w:iCs/>
          <w:noProof/>
          <w:szCs w:val="24"/>
          <w:lang w:val="en-IE"/>
        </w:rPr>
        <w:t>An adequately high quality of service for users of large-scale IT systems;</w:t>
      </w:r>
    </w:p>
    <w:p w14:paraId="1E01F55A" w14:textId="77777777" w:rsidR="00640B1D" w:rsidRDefault="00640B1D" w:rsidP="004E2424">
      <w:pPr>
        <w:pStyle w:val="ListParagraph"/>
        <w:numPr>
          <w:ilvl w:val="0"/>
          <w:numId w:val="6"/>
        </w:numPr>
        <w:spacing w:line="276" w:lineRule="auto"/>
        <w:rPr>
          <w:bCs/>
          <w:iCs/>
          <w:noProof/>
          <w:szCs w:val="24"/>
          <w:lang w:val="en-IE"/>
        </w:rPr>
      </w:pPr>
      <w:r w:rsidRPr="004E2424">
        <w:rPr>
          <w:bCs/>
          <w:iCs/>
          <w:noProof/>
          <w:szCs w:val="24"/>
          <w:lang w:val="en-IE"/>
        </w:rPr>
        <w:t>Continuity and uninterrupted service;</w:t>
      </w:r>
    </w:p>
    <w:p w14:paraId="44AF195A" w14:textId="77777777" w:rsidR="00640B1D" w:rsidRDefault="00640B1D" w:rsidP="004E2424">
      <w:pPr>
        <w:pStyle w:val="ListParagraph"/>
        <w:numPr>
          <w:ilvl w:val="0"/>
          <w:numId w:val="6"/>
        </w:numPr>
        <w:spacing w:line="276" w:lineRule="auto"/>
        <w:rPr>
          <w:bCs/>
          <w:iCs/>
          <w:noProof/>
          <w:szCs w:val="24"/>
          <w:lang w:val="en-IE"/>
        </w:rPr>
      </w:pPr>
      <w:r w:rsidRPr="004E2424">
        <w:rPr>
          <w:bCs/>
          <w:iCs/>
          <w:noProof/>
          <w:szCs w:val="24"/>
          <w:lang w:val="en-IE"/>
        </w:rPr>
        <w:t>A high level of data protection, in accordance with Union data protection law, including specific provisions for each large-scale IT system; and</w:t>
      </w:r>
    </w:p>
    <w:p w14:paraId="23CFC621" w14:textId="0CA58369" w:rsidR="00640B1D" w:rsidRPr="004E2424" w:rsidRDefault="00640B1D" w:rsidP="004E2424">
      <w:pPr>
        <w:pStyle w:val="ListParagraph"/>
        <w:numPr>
          <w:ilvl w:val="0"/>
          <w:numId w:val="6"/>
        </w:numPr>
        <w:spacing w:line="276" w:lineRule="auto"/>
        <w:rPr>
          <w:bCs/>
          <w:iCs/>
          <w:noProof/>
          <w:szCs w:val="24"/>
          <w:lang w:val="en-IE"/>
        </w:rPr>
      </w:pPr>
      <w:r w:rsidRPr="004E2424">
        <w:rPr>
          <w:bCs/>
          <w:iCs/>
          <w:noProof/>
          <w:szCs w:val="24"/>
          <w:lang w:val="en-IE"/>
        </w:rPr>
        <w:t>An appropriate level of data and physical security, in accordance with the applicable rules, including specific provisions for each large-scale IT system.</w:t>
      </w:r>
    </w:p>
    <w:p w14:paraId="1BFBF805" w14:textId="021CD2CF" w:rsidR="004542C6" w:rsidRDefault="00640B1D" w:rsidP="004542C6">
      <w:pPr>
        <w:jc w:val="both"/>
        <w:rPr>
          <w:rFonts w:ascii="Times New Roman" w:hAnsi="Times New Roman" w:cs="Times New Roman"/>
          <w:bCs/>
          <w:iCs/>
          <w:noProof/>
          <w:sz w:val="24"/>
          <w:szCs w:val="24"/>
          <w:lang w:val="en-IE"/>
        </w:rPr>
      </w:pPr>
      <w:r w:rsidRPr="00640B1D">
        <w:rPr>
          <w:rFonts w:ascii="Times New Roman" w:hAnsi="Times New Roman" w:cs="Times New Roman"/>
          <w:bCs/>
          <w:iCs/>
          <w:noProof/>
          <w:sz w:val="24"/>
          <w:szCs w:val="24"/>
          <w:lang w:val="en-IE"/>
        </w:rPr>
        <w:t>Based on the available evidence, the above-mentioned core objectives are met to a moderate- to large extent</w:t>
      </w:r>
      <w:r w:rsidRPr="004E2424">
        <w:rPr>
          <w:rFonts w:ascii="Times New Roman" w:hAnsi="Times New Roman" w:cs="Times New Roman"/>
          <w:b/>
          <w:iCs/>
          <w:noProof/>
          <w:sz w:val="24"/>
          <w:szCs w:val="24"/>
          <w:lang w:val="en-IE"/>
        </w:rPr>
        <w:t>. In regard to safeguarding effective, secure and continuous operation; the continuity of uninterrupted services; the provision of data protection; the provision of high-quality services to users; and ensuring data and physical security, the Agency has met its objective to a large extent</w:t>
      </w:r>
      <w:r w:rsidR="005271D4">
        <w:rPr>
          <w:rFonts w:ascii="Times New Roman" w:hAnsi="Times New Roman" w:cs="Times New Roman"/>
          <w:b/>
          <w:iCs/>
          <w:noProof/>
          <w:sz w:val="24"/>
          <w:szCs w:val="24"/>
          <w:lang w:val="en-IE"/>
        </w:rPr>
        <w:t xml:space="preserve">. </w:t>
      </w:r>
      <w:r w:rsidR="000448DB" w:rsidRPr="002944CA">
        <w:rPr>
          <w:rFonts w:ascii="Times New Roman" w:hAnsi="Times New Roman" w:cs="Times New Roman"/>
          <w:noProof/>
          <w:sz w:val="24"/>
          <w:szCs w:val="24"/>
          <w:lang w:val="en-GB"/>
        </w:rPr>
        <w:t xml:space="preserve">This is backed by the available evidence, both from interviews and from the online surveys. In fact, 24 out of 35 (69%) AG and PMB members who answered this specific question indicated in the online survey that eu-LISA’s management of the systems contributes to a ‘large’ or ‘very large’ extent to a coordinated, cost-effective and coherent IT environment at EU level in the </w:t>
      </w:r>
      <w:r w:rsidR="00942347" w:rsidRPr="00942347">
        <w:rPr>
          <w:rFonts w:ascii="Times New Roman" w:hAnsi="Times New Roman" w:cs="Times New Roman"/>
          <w:noProof/>
          <w:sz w:val="24"/>
          <w:szCs w:val="24"/>
          <w:lang w:val="en-GB"/>
        </w:rPr>
        <w:t>area of freedom, security and justice</w:t>
      </w:r>
      <w:r w:rsidR="000448DB">
        <w:rPr>
          <w:rFonts w:ascii="Times New Roman" w:hAnsi="Times New Roman" w:cs="Times New Roman"/>
          <w:noProof/>
          <w:sz w:val="24"/>
          <w:szCs w:val="24"/>
          <w:lang w:val="en-GB"/>
        </w:rPr>
        <w:t>.</w:t>
      </w:r>
      <w:r w:rsidR="004542C6">
        <w:rPr>
          <w:rFonts w:ascii="Times New Roman" w:hAnsi="Times New Roman" w:cs="Times New Roman"/>
          <w:bCs/>
          <w:iCs/>
          <w:noProof/>
          <w:sz w:val="24"/>
          <w:szCs w:val="24"/>
          <w:lang w:val="en-IE"/>
        </w:rPr>
        <w:t xml:space="preserve"> </w:t>
      </w:r>
    </w:p>
    <w:p w14:paraId="34231D46" w14:textId="5948D006" w:rsidR="005441DA" w:rsidRPr="00EA4173" w:rsidRDefault="00640B1D" w:rsidP="00CB36CE">
      <w:pPr>
        <w:jc w:val="both"/>
        <w:rPr>
          <w:rFonts w:ascii="Times New Roman" w:hAnsi="Times New Roman" w:cs="Times New Roman"/>
          <w:noProof/>
          <w:sz w:val="24"/>
          <w:szCs w:val="24"/>
          <w:lang w:val="en-IE"/>
        </w:rPr>
      </w:pPr>
      <w:r w:rsidRPr="00640B1D">
        <w:rPr>
          <w:rFonts w:ascii="Times New Roman" w:hAnsi="Times New Roman" w:cs="Times New Roman"/>
          <w:bCs/>
          <w:iCs/>
          <w:noProof/>
          <w:sz w:val="24"/>
          <w:szCs w:val="24"/>
          <w:lang w:val="en-IE"/>
        </w:rPr>
        <w:t>As concerns the development of large-scale IT systems as well as the efficient and financially accountable management of IT systems, eu-LISA has met its objectives to a moderate extent due to delays in development processes and lack of accountability</w:t>
      </w:r>
      <w:r w:rsidR="00CB36CE">
        <w:rPr>
          <w:rFonts w:ascii="Times New Roman" w:hAnsi="Times New Roman" w:cs="Times New Roman"/>
          <w:bCs/>
          <w:iCs/>
          <w:noProof/>
          <w:sz w:val="24"/>
          <w:szCs w:val="24"/>
          <w:lang w:val="en-IE"/>
        </w:rPr>
        <w:t>.</w:t>
      </w:r>
    </w:p>
    <w:p w14:paraId="4D89A010" w14:textId="77777777" w:rsidR="00640B1D" w:rsidRDefault="00640B1D" w:rsidP="00640B1D">
      <w:pPr>
        <w:jc w:val="both"/>
        <w:rPr>
          <w:rFonts w:ascii="Times New Roman" w:hAnsi="Times New Roman" w:cs="Times New Roman"/>
          <w:bCs/>
          <w:iCs/>
          <w:noProof/>
          <w:sz w:val="24"/>
          <w:szCs w:val="24"/>
          <w:lang w:val="en-IE"/>
        </w:rPr>
      </w:pPr>
      <w:r w:rsidRPr="00640B1D">
        <w:rPr>
          <w:rFonts w:ascii="Times New Roman" w:hAnsi="Times New Roman" w:cs="Times New Roman"/>
          <w:bCs/>
          <w:iCs/>
          <w:noProof/>
          <w:sz w:val="24"/>
          <w:szCs w:val="24"/>
          <w:lang w:val="en-IE"/>
        </w:rPr>
        <w:t>As concerns the tasks of eu-LISA, we found that system-specific tasks, as well as providing support to Member States are working well. However, according to interviewed stakeholders, there is still room for improvement on communication even within the governance bodies to facilitate more efficient decision-making processes. Nearly half of the respondents of the AG and PMB survey acknowledged that Member States are supported to a “very large” or “large extent”. However, 18% of the respondents did not have a clear opinion on this matter which could indicate a need for eu-LISA to further improve communication and engagement with certain stakeholders to ensure that the benefits of its mandate are fully understood and utilised.</w:t>
      </w:r>
    </w:p>
    <w:p w14:paraId="62326AE9" w14:textId="26D011E3" w:rsidR="00576A82" w:rsidRDefault="7578498F" w:rsidP="1F7CBA1A">
      <w:pPr>
        <w:jc w:val="both"/>
        <w:rPr>
          <w:rFonts w:ascii="Times New Roman" w:hAnsi="Times New Roman" w:cs="Times New Roman"/>
          <w:noProof/>
          <w:sz w:val="24"/>
          <w:szCs w:val="24"/>
          <w:lang w:val="en-IE"/>
        </w:rPr>
      </w:pPr>
      <w:r w:rsidRPr="1F7CBA1A">
        <w:rPr>
          <w:rFonts w:ascii="Times New Roman" w:hAnsi="Times New Roman" w:cs="Times New Roman"/>
          <w:noProof/>
          <w:sz w:val="24"/>
          <w:szCs w:val="24"/>
          <w:lang w:val="en-IE"/>
        </w:rPr>
        <w:t xml:space="preserve">Stakeholder interviews reinforce the perception that eu-LISA is capable of meeting its core objectives. </w:t>
      </w:r>
      <w:r w:rsidR="001D45F4">
        <w:rPr>
          <w:rFonts w:ascii="Times New Roman" w:hAnsi="Times New Roman" w:cs="Times New Roman"/>
          <w:noProof/>
          <w:sz w:val="24"/>
          <w:szCs w:val="24"/>
          <w:lang w:val="en-IE"/>
        </w:rPr>
        <w:t>At the same time</w:t>
      </w:r>
      <w:r w:rsidRPr="1F7CBA1A">
        <w:rPr>
          <w:rFonts w:ascii="Times New Roman" w:hAnsi="Times New Roman" w:cs="Times New Roman"/>
          <w:noProof/>
          <w:sz w:val="24"/>
          <w:szCs w:val="24"/>
          <w:lang w:val="en-IE"/>
        </w:rPr>
        <w:t>,</w:t>
      </w:r>
      <w:r w:rsidR="001D45F4">
        <w:rPr>
          <w:rFonts w:ascii="Times New Roman" w:hAnsi="Times New Roman" w:cs="Times New Roman"/>
          <w:noProof/>
          <w:sz w:val="24"/>
          <w:szCs w:val="24"/>
          <w:lang w:val="en-IE"/>
        </w:rPr>
        <w:t xml:space="preserve"> </w:t>
      </w:r>
      <w:r w:rsidR="00576A82">
        <w:rPr>
          <w:rFonts w:ascii="Times New Roman" w:hAnsi="Times New Roman" w:cs="Times New Roman"/>
          <w:noProof/>
          <w:sz w:val="24"/>
          <w:szCs w:val="24"/>
          <w:lang w:val="en-IE"/>
        </w:rPr>
        <w:t>stakeholders</w:t>
      </w:r>
      <w:r w:rsidR="001D45F4">
        <w:rPr>
          <w:rFonts w:ascii="Times New Roman" w:hAnsi="Times New Roman" w:cs="Times New Roman"/>
          <w:noProof/>
          <w:sz w:val="24"/>
          <w:szCs w:val="24"/>
          <w:lang w:val="en-IE"/>
        </w:rPr>
        <w:t xml:space="preserve"> have been raised</w:t>
      </w:r>
      <w:r w:rsidR="00576A82">
        <w:rPr>
          <w:rFonts w:ascii="Times New Roman" w:hAnsi="Times New Roman" w:cs="Times New Roman"/>
          <w:noProof/>
          <w:sz w:val="24"/>
          <w:szCs w:val="24"/>
          <w:lang w:val="en-IE"/>
        </w:rPr>
        <w:t xml:space="preserve"> concerns</w:t>
      </w:r>
      <w:r w:rsidR="001D45F4">
        <w:rPr>
          <w:rFonts w:ascii="Times New Roman" w:hAnsi="Times New Roman" w:cs="Times New Roman"/>
          <w:noProof/>
          <w:sz w:val="24"/>
          <w:szCs w:val="24"/>
          <w:lang w:val="en-IE"/>
        </w:rPr>
        <w:t xml:space="preserve"> that the br</w:t>
      </w:r>
      <w:r w:rsidR="00264C4E">
        <w:rPr>
          <w:rFonts w:ascii="Times New Roman" w:hAnsi="Times New Roman" w:cs="Times New Roman"/>
          <w:noProof/>
          <w:sz w:val="24"/>
          <w:szCs w:val="24"/>
          <w:lang w:val="en-IE"/>
        </w:rPr>
        <w:t>o</w:t>
      </w:r>
      <w:r w:rsidR="001D45F4">
        <w:rPr>
          <w:rFonts w:ascii="Times New Roman" w:hAnsi="Times New Roman" w:cs="Times New Roman"/>
          <w:noProof/>
          <w:sz w:val="24"/>
          <w:szCs w:val="24"/>
          <w:lang w:val="en-IE"/>
        </w:rPr>
        <w:t>ade</w:t>
      </w:r>
      <w:r w:rsidR="00551D52">
        <w:rPr>
          <w:rFonts w:ascii="Times New Roman" w:hAnsi="Times New Roman" w:cs="Times New Roman"/>
          <w:noProof/>
          <w:sz w:val="24"/>
          <w:szCs w:val="24"/>
          <w:lang w:val="en-IE"/>
        </w:rPr>
        <w:t>ne</w:t>
      </w:r>
      <w:r w:rsidR="001D45F4">
        <w:rPr>
          <w:rFonts w:ascii="Times New Roman" w:hAnsi="Times New Roman" w:cs="Times New Roman"/>
          <w:noProof/>
          <w:sz w:val="24"/>
          <w:szCs w:val="24"/>
          <w:lang w:val="en-IE"/>
        </w:rPr>
        <w:t>d scope</w:t>
      </w:r>
      <w:r w:rsidR="00551D52">
        <w:rPr>
          <w:rFonts w:ascii="Times New Roman" w:hAnsi="Times New Roman" w:cs="Times New Roman"/>
          <w:noProof/>
          <w:sz w:val="24"/>
          <w:szCs w:val="24"/>
          <w:lang w:val="en-IE"/>
        </w:rPr>
        <w:t xml:space="preserve"> of the latest Regulatio</w:t>
      </w:r>
      <w:r w:rsidR="00031363">
        <w:rPr>
          <w:rFonts w:ascii="Times New Roman" w:hAnsi="Times New Roman" w:cs="Times New Roman"/>
          <w:noProof/>
          <w:sz w:val="24"/>
          <w:szCs w:val="24"/>
          <w:lang w:val="en-IE"/>
        </w:rPr>
        <w:t xml:space="preserve">n </w:t>
      </w:r>
      <w:r w:rsidR="00576A82">
        <w:rPr>
          <w:rFonts w:ascii="Times New Roman" w:hAnsi="Times New Roman" w:cs="Times New Roman"/>
          <w:noProof/>
          <w:sz w:val="24"/>
          <w:szCs w:val="24"/>
          <w:lang w:val="en-IE"/>
        </w:rPr>
        <w:t>could risk</w:t>
      </w:r>
      <w:r w:rsidR="00031363">
        <w:rPr>
          <w:rFonts w:ascii="Times New Roman" w:hAnsi="Times New Roman" w:cs="Times New Roman"/>
          <w:noProof/>
          <w:sz w:val="24"/>
          <w:szCs w:val="24"/>
          <w:lang w:val="en-IE"/>
        </w:rPr>
        <w:t xml:space="preserve"> generating a higher workload without a corresponding increase in staff. </w:t>
      </w:r>
      <w:r w:rsidR="00682A62">
        <w:rPr>
          <w:rFonts w:ascii="Times New Roman" w:hAnsi="Times New Roman" w:cs="Times New Roman"/>
          <w:noProof/>
          <w:sz w:val="24"/>
          <w:szCs w:val="24"/>
          <w:lang w:val="en-IE"/>
        </w:rPr>
        <w:t xml:space="preserve">Thee LFS are prepared by the Commission in cooperation with eu-LISA. </w:t>
      </w:r>
    </w:p>
    <w:p w14:paraId="33CE72AF" w14:textId="25D0139B" w:rsidR="00640B1D" w:rsidRPr="00640B1D" w:rsidRDefault="00682A62" w:rsidP="1F7CBA1A">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S</w:t>
      </w:r>
      <w:r w:rsidR="00031363">
        <w:rPr>
          <w:rFonts w:ascii="Times New Roman" w:hAnsi="Times New Roman" w:cs="Times New Roman"/>
          <w:noProof/>
          <w:sz w:val="24"/>
          <w:szCs w:val="24"/>
          <w:lang w:val="en-IE"/>
        </w:rPr>
        <w:t>takeholder</w:t>
      </w:r>
      <w:r>
        <w:rPr>
          <w:rFonts w:ascii="Times New Roman" w:hAnsi="Times New Roman" w:cs="Times New Roman"/>
          <w:noProof/>
          <w:sz w:val="24"/>
          <w:szCs w:val="24"/>
          <w:lang w:val="en-IE"/>
        </w:rPr>
        <w:t>s</w:t>
      </w:r>
      <w:r w:rsidR="00031363">
        <w:rPr>
          <w:rFonts w:ascii="Times New Roman" w:hAnsi="Times New Roman" w:cs="Times New Roman"/>
          <w:noProof/>
          <w:sz w:val="24"/>
          <w:szCs w:val="24"/>
          <w:lang w:val="en-IE"/>
        </w:rPr>
        <w:t xml:space="preserve"> interviewed</w:t>
      </w:r>
      <w:r>
        <w:rPr>
          <w:rFonts w:ascii="Times New Roman" w:hAnsi="Times New Roman" w:cs="Times New Roman"/>
          <w:noProof/>
          <w:sz w:val="24"/>
          <w:szCs w:val="24"/>
          <w:lang w:val="en-IE"/>
        </w:rPr>
        <w:t xml:space="preserve"> also</w:t>
      </w:r>
      <w:r w:rsidR="00031363">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pointed out concer</w:t>
      </w:r>
      <w:r w:rsidR="00533039">
        <w:rPr>
          <w:rFonts w:ascii="Times New Roman" w:hAnsi="Times New Roman" w:cs="Times New Roman"/>
          <w:noProof/>
          <w:sz w:val="24"/>
          <w:szCs w:val="24"/>
          <w:lang w:val="en-IE"/>
        </w:rPr>
        <w:t xml:space="preserve">ns about internal administrative processes within the Agency that delay the effective allocation of staff. This suggests communication issues, as well as </w:t>
      </w:r>
      <w:r w:rsidR="0085320F">
        <w:rPr>
          <w:rFonts w:ascii="Times New Roman" w:hAnsi="Times New Roman" w:cs="Times New Roman"/>
          <w:noProof/>
          <w:sz w:val="24"/>
          <w:szCs w:val="24"/>
          <w:lang w:val="en-IE"/>
        </w:rPr>
        <w:t>an internal organisation that does not evolve in line with the growing responsibilities of the Agency</w:t>
      </w:r>
      <w:r w:rsidR="00942347">
        <w:rPr>
          <w:rFonts w:ascii="Times New Roman" w:hAnsi="Times New Roman" w:cs="Times New Roman"/>
          <w:noProof/>
          <w:sz w:val="24"/>
          <w:szCs w:val="24"/>
          <w:lang w:val="en-IE"/>
        </w:rPr>
        <w:t>.</w:t>
      </w:r>
    </w:p>
    <w:p w14:paraId="23F7F894" w14:textId="26D5CEE4" w:rsidR="00BE41F7" w:rsidRPr="00A2617A" w:rsidRDefault="00BE41F7" w:rsidP="00BE41F7">
      <w:pPr>
        <w:jc w:val="both"/>
        <w:rPr>
          <w:rFonts w:ascii="Times New Roman" w:hAnsi="Times New Roman" w:cs="Times New Roman"/>
          <w:b/>
          <w:bCs/>
          <w:i/>
          <w:iCs/>
          <w:noProof/>
          <w:sz w:val="24"/>
          <w:szCs w:val="24"/>
          <w:lang w:val="en-GB"/>
        </w:rPr>
      </w:pPr>
      <w:r>
        <w:rPr>
          <w:rFonts w:ascii="Times New Roman" w:hAnsi="Times New Roman" w:cs="Times New Roman"/>
          <w:b/>
          <w:bCs/>
          <w:i/>
          <w:iCs/>
          <w:noProof/>
          <w:sz w:val="24"/>
          <w:szCs w:val="24"/>
          <w:lang w:val="en-GB"/>
        </w:rPr>
        <w:t>How has been the performance of eu-LISA in operationally managing large-scale IT systems</w:t>
      </w:r>
      <w:r w:rsidRPr="00A2617A">
        <w:rPr>
          <w:rFonts w:ascii="Times New Roman" w:hAnsi="Times New Roman" w:cs="Times New Roman"/>
          <w:b/>
          <w:bCs/>
          <w:i/>
          <w:iCs/>
          <w:noProof/>
          <w:sz w:val="24"/>
          <w:szCs w:val="24"/>
          <w:lang w:val="en-GB"/>
        </w:rPr>
        <w:t>?</w:t>
      </w:r>
    </w:p>
    <w:p w14:paraId="6A111D53" w14:textId="577BBADB" w:rsidR="00681E52" w:rsidRPr="00681E52" w:rsidRDefault="00681E52" w:rsidP="00681E52">
      <w:pPr>
        <w:jc w:val="both"/>
        <w:rPr>
          <w:rFonts w:ascii="Times New Roman" w:hAnsi="Times New Roman"/>
          <w:bCs/>
          <w:iCs/>
          <w:noProof/>
          <w:sz w:val="24"/>
          <w:lang w:val="en-IE"/>
        </w:rPr>
      </w:pPr>
      <w:r>
        <w:rPr>
          <w:rFonts w:ascii="Times New Roman" w:hAnsi="Times New Roman"/>
          <w:bCs/>
          <w:iCs/>
          <w:noProof/>
          <w:sz w:val="24"/>
          <w:lang w:val="en-IE"/>
        </w:rPr>
        <w:t>For</w:t>
      </w:r>
      <w:r w:rsidRPr="00681E52">
        <w:rPr>
          <w:rFonts w:ascii="Times New Roman" w:hAnsi="Times New Roman"/>
          <w:bCs/>
          <w:iCs/>
          <w:noProof/>
          <w:sz w:val="24"/>
          <w:lang w:val="en-IE"/>
        </w:rPr>
        <w:t xml:space="preserve"> the purpose of addressing this question on operational management performance, it is important to assess several indicators, including systems availability, number of operational incidents, response to incidents, as well as user satisfaction with data quality or the overall IT infrastructure provided.</w:t>
      </w:r>
    </w:p>
    <w:p w14:paraId="2D9EE247" w14:textId="77777777" w:rsidR="00681E52" w:rsidRPr="00681E52" w:rsidRDefault="00681E52" w:rsidP="00681E52">
      <w:pPr>
        <w:jc w:val="both"/>
        <w:rPr>
          <w:rFonts w:ascii="Times New Roman" w:hAnsi="Times New Roman"/>
          <w:bCs/>
          <w:iCs/>
          <w:noProof/>
          <w:sz w:val="24"/>
          <w:lang w:val="en-IE"/>
        </w:rPr>
      </w:pPr>
      <w:r w:rsidRPr="00681E52">
        <w:rPr>
          <w:rFonts w:ascii="Times New Roman" w:hAnsi="Times New Roman"/>
          <w:bCs/>
          <w:iCs/>
          <w:noProof/>
          <w:sz w:val="24"/>
          <w:lang w:val="en-IE"/>
        </w:rPr>
        <w:t>Based on available evidence, the Agency is performing well in the context of operational management of its IT systems with some existing areas for improvement.</w:t>
      </w:r>
    </w:p>
    <w:p w14:paraId="21461D6D" w14:textId="34386036" w:rsidR="008C6BC1" w:rsidRDefault="00681E52" w:rsidP="00681E52">
      <w:pPr>
        <w:jc w:val="both"/>
        <w:rPr>
          <w:rFonts w:ascii="Times New Roman" w:hAnsi="Times New Roman"/>
          <w:bCs/>
          <w:iCs/>
          <w:noProof/>
          <w:sz w:val="24"/>
          <w:lang w:val="en-IE"/>
        </w:rPr>
      </w:pPr>
      <w:r w:rsidRPr="00681E52">
        <w:rPr>
          <w:rFonts w:ascii="Times New Roman" w:hAnsi="Times New Roman"/>
          <w:bCs/>
          <w:iCs/>
          <w:noProof/>
          <w:sz w:val="24"/>
          <w:lang w:val="en-IE"/>
        </w:rPr>
        <w:t>The perception of eu-LISA stakeholders on the Agency’s performance in operationally managing large-scale IT sy</w:t>
      </w:r>
      <w:r w:rsidR="00C02B76">
        <w:rPr>
          <w:rFonts w:ascii="Times New Roman" w:hAnsi="Times New Roman"/>
          <w:bCs/>
          <w:iCs/>
          <w:noProof/>
          <w:sz w:val="24"/>
          <w:lang w:val="en-IE"/>
        </w:rPr>
        <w:t>stems</w:t>
      </w:r>
      <w:r w:rsidR="00C02B76" w:rsidRPr="004E2424">
        <w:rPr>
          <w:noProof/>
          <w:color w:val="000000"/>
          <w:sz w:val="27"/>
          <w:szCs w:val="27"/>
          <w:lang w:val="en-IE"/>
        </w:rPr>
        <w:t xml:space="preserve"> </w:t>
      </w:r>
      <w:r w:rsidR="00C02B76" w:rsidRPr="004E2424">
        <w:rPr>
          <w:rFonts w:ascii="Times New Roman" w:hAnsi="Times New Roman"/>
          <w:bCs/>
          <w:iCs/>
          <w:noProof/>
          <w:sz w:val="24"/>
          <w:lang w:val="en-IE"/>
        </w:rPr>
        <w:t>has been largely positive. The Agency has demonstrated a strong capability in handling</w:t>
      </w:r>
      <w:r w:rsidR="00C02B76">
        <w:rPr>
          <w:rFonts w:ascii="Times New Roman" w:hAnsi="Times New Roman"/>
          <w:bCs/>
          <w:iCs/>
          <w:noProof/>
          <w:sz w:val="24"/>
          <w:lang w:val="en-IE"/>
        </w:rPr>
        <w:t xml:space="preserve"> </w:t>
      </w:r>
      <w:r w:rsidRPr="00681E52">
        <w:rPr>
          <w:rFonts w:ascii="Times New Roman" w:hAnsi="Times New Roman"/>
          <w:bCs/>
          <w:iCs/>
          <w:noProof/>
          <w:sz w:val="24"/>
          <w:lang w:val="en-IE"/>
        </w:rPr>
        <w:t>technical issues, with AG and PMB members expressing satisfaction with response times, incident management, resolution times, and the prevention of operational disruptions.</w:t>
      </w:r>
    </w:p>
    <w:p w14:paraId="6F44F987" w14:textId="5BD65C47" w:rsidR="006415A7" w:rsidRDefault="00681E52" w:rsidP="006415A7">
      <w:pPr>
        <w:jc w:val="both"/>
        <w:rPr>
          <w:rFonts w:ascii="Times New Roman" w:hAnsi="Times New Roman" w:cs="Times New Roman"/>
          <w:noProof/>
          <w:sz w:val="24"/>
          <w:szCs w:val="24"/>
          <w:lang w:val="en-GB"/>
        </w:rPr>
      </w:pPr>
      <w:r w:rsidRPr="00681E52">
        <w:rPr>
          <w:rFonts w:ascii="Times New Roman" w:hAnsi="Times New Roman"/>
          <w:bCs/>
          <w:iCs/>
          <w:noProof/>
          <w:sz w:val="24"/>
          <w:lang w:val="en-IE"/>
        </w:rPr>
        <w:t>Most respondents also recognised eu-LISA's contribution to creating a coordinated, cost-effective, and coherent IT environment within the EU's Area of Security and Justice (62 out of 74, 84%). From the perspectives of users of the IT systems this satisfaction is reflected, too</w:t>
      </w:r>
      <w:r w:rsidR="00F35913">
        <w:rPr>
          <w:rFonts w:ascii="Times New Roman" w:hAnsi="Times New Roman"/>
          <w:bCs/>
          <w:iCs/>
          <w:noProof/>
          <w:sz w:val="24"/>
          <w:lang w:val="en-IE"/>
        </w:rPr>
        <w:t xml:space="preserve">. </w:t>
      </w:r>
      <w:r w:rsidRPr="00681E52">
        <w:rPr>
          <w:rFonts w:ascii="Times New Roman" w:hAnsi="Times New Roman"/>
          <w:bCs/>
          <w:iCs/>
          <w:noProof/>
          <w:sz w:val="24"/>
          <w:lang w:val="en-IE"/>
        </w:rPr>
        <w:t>The management of DubliNet, Eurodac, SIS, and VIS is generally seen as satisfactory, with high marks for system availability and operational support</w:t>
      </w:r>
      <w:r w:rsidR="006415A7">
        <w:rPr>
          <w:rFonts w:ascii="Times New Roman" w:hAnsi="Times New Roman"/>
          <w:bCs/>
          <w:iCs/>
          <w:noProof/>
          <w:sz w:val="24"/>
          <w:lang w:val="en-IE"/>
        </w:rPr>
        <w:t>.</w:t>
      </w:r>
      <w:r w:rsidR="0055286B">
        <w:rPr>
          <w:rFonts w:ascii="Times New Roman" w:hAnsi="Times New Roman" w:cs="Times New Roman"/>
          <w:noProof/>
          <w:sz w:val="24"/>
          <w:szCs w:val="24"/>
          <w:lang w:val="en-GB"/>
        </w:rPr>
        <w:t xml:space="preserve"> </w:t>
      </w:r>
      <w:r w:rsidR="006415A7">
        <w:rPr>
          <w:rFonts w:ascii="Times New Roman" w:hAnsi="Times New Roman" w:cs="Times New Roman"/>
          <w:noProof/>
          <w:sz w:val="24"/>
          <w:szCs w:val="24"/>
          <w:lang w:val="en-GB"/>
        </w:rPr>
        <w:t>T</w:t>
      </w:r>
      <w:r w:rsidR="006415A7" w:rsidRPr="00B436E0">
        <w:rPr>
          <w:rFonts w:ascii="Times New Roman" w:hAnsi="Times New Roman" w:cs="Times New Roman"/>
          <w:noProof/>
          <w:sz w:val="24"/>
          <w:szCs w:val="24"/>
          <w:lang w:val="en-GB"/>
        </w:rPr>
        <w:t>he overall level of satisfaction among AG and PMB members is high: 86% of respondents indicated that they are satisfied or very satisfied</w:t>
      </w:r>
      <w:r w:rsidR="006415A7">
        <w:rPr>
          <w:rFonts w:ascii="Times New Roman" w:hAnsi="Times New Roman" w:cs="Times New Roman"/>
          <w:noProof/>
          <w:sz w:val="24"/>
          <w:szCs w:val="24"/>
          <w:lang w:val="en-GB"/>
        </w:rPr>
        <w:t>.</w:t>
      </w:r>
    </w:p>
    <w:p w14:paraId="2AEC1E00" w14:textId="4955C2F9" w:rsidR="00681E52" w:rsidRPr="004E2424" w:rsidRDefault="6B876D37" w:rsidP="00681E52">
      <w:pPr>
        <w:jc w:val="both"/>
        <w:rPr>
          <w:rFonts w:ascii="Times New Roman" w:hAnsi="Times New Roman" w:cs="Times New Roman"/>
          <w:noProof/>
          <w:sz w:val="24"/>
          <w:szCs w:val="24"/>
          <w:lang w:val="en-GB"/>
        </w:rPr>
      </w:pPr>
      <w:r w:rsidRPr="1F7CBA1A">
        <w:rPr>
          <w:rFonts w:ascii="Times New Roman" w:hAnsi="Times New Roman" w:cs="Times New Roman"/>
          <w:noProof/>
          <w:sz w:val="24"/>
          <w:szCs w:val="24"/>
          <w:lang w:val="en-GB"/>
        </w:rPr>
        <w:t>However, the feedback also shows that the levels of satisfaction vary between different areas: while the level of satisfaction is highest concerning security-related aspects (93% were ‘satisfied’ or ‘very satisfied’), the general level of satisfaction is slightly lower concerning both the Agency’s services (86% were ‘satisfied’ or ‘very satisfied’) and operational requirements for IT systems (77% were ‘satisfied’ or ‘very satisfied’).</w:t>
      </w:r>
      <w:r w:rsidR="3FCF7784" w:rsidRPr="1F7CBA1A">
        <w:rPr>
          <w:rFonts w:ascii="Times New Roman" w:hAnsi="Times New Roman" w:cs="Times New Roman"/>
          <w:noProof/>
          <w:sz w:val="24"/>
          <w:szCs w:val="24"/>
          <w:lang w:val="en-GB"/>
        </w:rPr>
        <w:t xml:space="preserve"> </w:t>
      </w:r>
      <w:r w:rsidR="036A7904" w:rsidRPr="1F7CBA1A">
        <w:rPr>
          <w:rFonts w:ascii="Times New Roman" w:hAnsi="Times New Roman"/>
          <w:noProof/>
          <w:sz w:val="24"/>
          <w:szCs w:val="24"/>
          <w:lang w:val="en-IE"/>
        </w:rPr>
        <w:t>Only a few users have experienced issues such as temporary system unavailability and data entry errors. .</w:t>
      </w:r>
    </w:p>
    <w:p w14:paraId="3F47B3ED" w14:textId="77777777" w:rsidR="00681E52" w:rsidRDefault="00681E52" w:rsidP="00681E52">
      <w:pPr>
        <w:jc w:val="both"/>
        <w:rPr>
          <w:rFonts w:ascii="Times New Roman" w:hAnsi="Times New Roman"/>
          <w:bCs/>
          <w:iCs/>
          <w:noProof/>
          <w:sz w:val="24"/>
          <w:lang w:val="en-IE"/>
        </w:rPr>
      </w:pPr>
      <w:r w:rsidRPr="00681E52">
        <w:rPr>
          <w:rFonts w:ascii="Times New Roman" w:hAnsi="Times New Roman"/>
          <w:bCs/>
          <w:iCs/>
          <w:noProof/>
          <w:sz w:val="24"/>
          <w:lang w:val="en-IE"/>
        </w:rPr>
        <w:t>For users of the IT systems, the efficiency of maintenance work (37 out of 43, 86%), technical development (28 out of 40, 70%), and system availability (39 out of 43, 91%) has been well-received, indicating that eu-LISA is able to ensure its systems to be reliable and up to date.130 However, there are mixed perceptions on the cost-efficiency of communication tools, suggesting a need for eu-LISA to evaluate and possibly optimise the tools used for interacting with Member States.</w:t>
      </w:r>
    </w:p>
    <w:p w14:paraId="04BBBA25" w14:textId="1B9C0811" w:rsidR="00C35C17" w:rsidRDefault="00681E52" w:rsidP="00681E52">
      <w:pPr>
        <w:jc w:val="both"/>
        <w:rPr>
          <w:rFonts w:ascii="Times New Roman" w:hAnsi="Times New Roman"/>
          <w:bCs/>
          <w:iCs/>
          <w:noProof/>
          <w:sz w:val="24"/>
          <w:lang w:val="en-IE"/>
        </w:rPr>
      </w:pPr>
      <w:r w:rsidRPr="00681E52">
        <w:rPr>
          <w:rFonts w:ascii="Times New Roman" w:hAnsi="Times New Roman"/>
          <w:bCs/>
          <w:iCs/>
          <w:noProof/>
          <w:sz w:val="24"/>
          <w:lang w:val="en-IE"/>
        </w:rPr>
        <w:t xml:space="preserve">Despite these successes, stakeholders have identified areas for improvement, such as the use of management systems, tracking of change requests, and communication regarding production issues and test environments. </w:t>
      </w:r>
      <w:r w:rsidR="00C35C17">
        <w:rPr>
          <w:rFonts w:ascii="Times New Roman" w:hAnsi="Times New Roman"/>
          <w:bCs/>
          <w:iCs/>
          <w:noProof/>
          <w:sz w:val="24"/>
          <w:lang w:val="en-IE"/>
        </w:rPr>
        <w:t xml:space="preserve"> In particular:</w:t>
      </w:r>
    </w:p>
    <w:p w14:paraId="32530F56" w14:textId="77777777" w:rsidR="00C35C17" w:rsidRPr="000764F4" w:rsidRDefault="00C35C17" w:rsidP="00C35C17">
      <w:pPr>
        <w:numPr>
          <w:ilvl w:val="0"/>
          <w:numId w:val="6"/>
        </w:numPr>
        <w:jc w:val="both"/>
        <w:rPr>
          <w:rFonts w:ascii="Times New Roman" w:hAnsi="Times New Roman" w:cs="Times New Roman"/>
          <w:noProof/>
          <w:sz w:val="24"/>
          <w:szCs w:val="24"/>
          <w:lang w:val="en-GB"/>
        </w:rPr>
      </w:pPr>
      <w:r w:rsidRPr="004E2424">
        <w:rPr>
          <w:rFonts w:ascii="Times New Roman" w:hAnsi="Times New Roman" w:cs="Times New Roman"/>
          <w:noProof/>
          <w:sz w:val="24"/>
          <w:szCs w:val="24"/>
          <w:lang w:val="en-GB"/>
        </w:rPr>
        <w:t>VIS</w:t>
      </w:r>
      <w:r w:rsidRPr="000764F4">
        <w:rPr>
          <w:rFonts w:ascii="Times New Roman" w:hAnsi="Times New Roman" w:cs="Times New Roman"/>
          <w:noProof/>
          <w:sz w:val="24"/>
          <w:szCs w:val="24"/>
          <w:lang w:val="en-GB"/>
        </w:rPr>
        <w:t>: Limited interoperability, limited scalability of system (due to its age), limited data quality,</w:t>
      </w:r>
      <w:r>
        <w:rPr>
          <w:rFonts w:ascii="Times New Roman" w:hAnsi="Times New Roman" w:cs="Times New Roman"/>
          <w:noProof/>
          <w:sz w:val="24"/>
          <w:szCs w:val="24"/>
          <w:lang w:val="en-GB"/>
        </w:rPr>
        <w:t xml:space="preserve"> and</w:t>
      </w:r>
      <w:r w:rsidRPr="000764F4">
        <w:rPr>
          <w:rFonts w:ascii="Times New Roman" w:hAnsi="Times New Roman" w:cs="Times New Roman"/>
          <w:noProof/>
          <w:sz w:val="24"/>
          <w:szCs w:val="24"/>
          <w:lang w:val="en-GB"/>
        </w:rPr>
        <w:t xml:space="preserve"> limited search functionalities;</w:t>
      </w:r>
    </w:p>
    <w:p w14:paraId="378024C5" w14:textId="77777777" w:rsidR="00C35C17" w:rsidRPr="00E14C76" w:rsidRDefault="00C35C17" w:rsidP="00C35C17">
      <w:pPr>
        <w:numPr>
          <w:ilvl w:val="0"/>
          <w:numId w:val="6"/>
        </w:numPr>
        <w:jc w:val="both"/>
        <w:rPr>
          <w:rFonts w:ascii="Times New Roman" w:hAnsi="Times New Roman" w:cs="Times New Roman"/>
          <w:noProof/>
          <w:sz w:val="24"/>
          <w:szCs w:val="24"/>
          <w:lang w:val="en-IE"/>
        </w:rPr>
      </w:pPr>
      <w:r w:rsidRPr="004E2424">
        <w:rPr>
          <w:rFonts w:ascii="Times New Roman" w:hAnsi="Times New Roman" w:cs="Times New Roman"/>
          <w:noProof/>
          <w:sz w:val="24"/>
          <w:szCs w:val="24"/>
          <w:lang w:val="en-GB"/>
        </w:rPr>
        <w:t>SIS</w:t>
      </w:r>
      <w:r w:rsidRPr="000764F4">
        <w:rPr>
          <w:rFonts w:ascii="Times New Roman" w:hAnsi="Times New Roman" w:cs="Times New Roman"/>
          <w:noProof/>
          <w:sz w:val="24"/>
          <w:szCs w:val="24"/>
          <w:lang w:val="en-GB"/>
        </w:rPr>
        <w:t xml:space="preserve">: Limited capacity of eu-LISA to provide further development and improvements, burdensome administrative processes, limited interoperability with other databases and systems, limited data quantity (i.e. not all information that is </w:t>
      </w:r>
      <w:r w:rsidRPr="00E14C76">
        <w:rPr>
          <w:rFonts w:ascii="Times New Roman" w:hAnsi="Times New Roman" w:cs="Times New Roman"/>
          <w:noProof/>
          <w:sz w:val="24"/>
          <w:szCs w:val="24"/>
          <w:lang w:val="en-IE"/>
        </w:rPr>
        <w:t>available in a particular Member State), limited data quality (e.g. the system contains a very high number of alerts on issued documents without any significant practical effect), limited file sizes, limited extent of automation, downtimes, and limited awareness among users concerning specific (new) types of alerts.</w:t>
      </w:r>
    </w:p>
    <w:p w14:paraId="4A0F5AD4" w14:textId="77777777" w:rsidR="00C35C17" w:rsidRPr="00A94928" w:rsidRDefault="00C35C17" w:rsidP="00C35C17">
      <w:pPr>
        <w:numPr>
          <w:ilvl w:val="0"/>
          <w:numId w:val="6"/>
        </w:numPr>
        <w:jc w:val="both"/>
        <w:rPr>
          <w:rFonts w:ascii="Times New Roman" w:hAnsi="Times New Roman" w:cs="Times New Roman"/>
          <w:noProof/>
          <w:sz w:val="24"/>
          <w:szCs w:val="24"/>
          <w:lang w:val="en-IE"/>
        </w:rPr>
      </w:pPr>
      <w:r w:rsidRPr="004E2424">
        <w:rPr>
          <w:rFonts w:ascii="Times New Roman" w:hAnsi="Times New Roman" w:cs="Times New Roman"/>
          <w:noProof/>
          <w:sz w:val="24"/>
          <w:szCs w:val="24"/>
          <w:lang w:val="en-IE"/>
        </w:rPr>
        <w:t>Eurodac</w:t>
      </w:r>
      <w:r w:rsidRPr="00E14C76">
        <w:rPr>
          <w:rFonts w:ascii="Times New Roman" w:hAnsi="Times New Roman" w:cs="Times New Roman"/>
          <w:noProof/>
          <w:sz w:val="24"/>
          <w:szCs w:val="24"/>
          <w:lang w:val="en-IE"/>
        </w:rPr>
        <w:t xml:space="preserve">: Limited functionalities, limited information exchange after biometric </w:t>
      </w:r>
      <w:r w:rsidRPr="00A94928">
        <w:rPr>
          <w:rFonts w:ascii="Times New Roman" w:hAnsi="Times New Roman" w:cs="Times New Roman"/>
          <w:noProof/>
          <w:sz w:val="24"/>
          <w:szCs w:val="24"/>
          <w:lang w:val="en-IE"/>
        </w:rPr>
        <w:t>correspondence, and limited ability to triangulate with data in case of false positives. There is room for improvement concerning reaction times.</w:t>
      </w:r>
    </w:p>
    <w:p w14:paraId="26403B09" w14:textId="6AF57781" w:rsidR="00640B1D" w:rsidRPr="00C35C17" w:rsidRDefault="00C35C17" w:rsidP="00BE41F7">
      <w:pPr>
        <w:jc w:val="both"/>
        <w:rPr>
          <w:rFonts w:ascii="Times New Roman" w:hAnsi="Times New Roman" w:cs="Times New Roman"/>
          <w:noProof/>
          <w:sz w:val="24"/>
          <w:szCs w:val="24"/>
          <w:lang w:val="en-IE"/>
        </w:rPr>
      </w:pPr>
      <w:r w:rsidRPr="00A94928">
        <w:rPr>
          <w:rFonts w:ascii="Times New Roman" w:hAnsi="Times New Roman" w:cs="Times New Roman"/>
          <w:noProof/>
          <w:sz w:val="24"/>
          <w:szCs w:val="24"/>
          <w:lang w:val="en-IE"/>
        </w:rPr>
        <w:t>At the same time, however, available data from the survey with AG and PMB members shows that the Agency has been responsive to feedback and suggestions for improvement of the systems, at least to a moderate or large extent.</w:t>
      </w:r>
      <w:r w:rsidRPr="00A94928">
        <w:rPr>
          <w:rStyle w:val="FootnoteReference"/>
          <w:rFonts w:ascii="Times New Roman" w:hAnsi="Times New Roman" w:cs="Times New Roman"/>
          <w:noProof/>
          <w:szCs w:val="24"/>
          <w:lang w:val="en-IE"/>
        </w:rPr>
        <w:footnoteReference w:id="25"/>
      </w:r>
      <w:r w:rsidRPr="00A94928">
        <w:rPr>
          <w:rFonts w:ascii="Times New Roman" w:hAnsi="Times New Roman" w:cs="Times New Roman"/>
          <w:noProof/>
          <w:sz w:val="24"/>
          <w:szCs w:val="24"/>
          <w:lang w:val="en-IE"/>
        </w:rPr>
        <w:t xml:space="preserve"> </w:t>
      </w:r>
    </w:p>
    <w:p w14:paraId="5763FF36" w14:textId="1FE14DC2" w:rsidR="00EA7494" w:rsidRPr="00A2617A" w:rsidRDefault="00627685" w:rsidP="00EA7494">
      <w:pPr>
        <w:jc w:val="both"/>
        <w:rPr>
          <w:rFonts w:ascii="Times New Roman" w:hAnsi="Times New Roman" w:cs="Times New Roman"/>
          <w:b/>
          <w:bCs/>
          <w:i/>
          <w:iCs/>
          <w:noProof/>
          <w:sz w:val="24"/>
          <w:szCs w:val="24"/>
          <w:lang w:val="en-GB"/>
        </w:rPr>
      </w:pPr>
      <w:r w:rsidRPr="004E2424">
        <w:rPr>
          <w:rFonts w:ascii="Times New Roman" w:hAnsi="Times New Roman" w:cs="Times New Roman"/>
          <w:b/>
          <w:bCs/>
          <w:i/>
          <w:iCs/>
          <w:noProof/>
          <w:sz w:val="24"/>
          <w:szCs w:val="24"/>
          <w:lang w:val="en-IE"/>
        </w:rPr>
        <w:t>To what extent has eu-LISA been effective in ensuring the secure and continuous operational management of large-scale IT systems entrusted to it?</w:t>
      </w:r>
    </w:p>
    <w:p w14:paraId="52FFAE55" w14:textId="11986CA7" w:rsidR="00B765F4" w:rsidRPr="00B765F4" w:rsidRDefault="00B765F4" w:rsidP="004E2424">
      <w:pPr>
        <w:jc w:val="both"/>
        <w:rPr>
          <w:rFonts w:ascii="Times New Roman" w:hAnsi="Times New Roman"/>
          <w:bCs/>
          <w:iCs/>
          <w:noProof/>
          <w:sz w:val="24"/>
          <w:lang w:val="en-GB"/>
        </w:rPr>
      </w:pPr>
      <w:r w:rsidRPr="00B765F4">
        <w:rPr>
          <w:rFonts w:ascii="Times New Roman" w:hAnsi="Times New Roman"/>
          <w:bCs/>
          <w:iCs/>
          <w:noProof/>
          <w:sz w:val="24"/>
          <w:lang w:val="en-GB"/>
        </w:rPr>
        <w:t xml:space="preserve">Overall, eu-LISA has been very effective in ensuring the secure and continuous operational management of large-scale IT systems during the evaluation period. </w:t>
      </w:r>
    </w:p>
    <w:p w14:paraId="35CFD45D" w14:textId="04CCA645" w:rsidR="00B765F4" w:rsidRDefault="00B765F4" w:rsidP="00B765F4">
      <w:pPr>
        <w:jc w:val="both"/>
        <w:rPr>
          <w:rFonts w:ascii="Times New Roman" w:hAnsi="Times New Roman"/>
          <w:bCs/>
          <w:iCs/>
          <w:noProof/>
          <w:sz w:val="24"/>
          <w:lang w:val="en-GB"/>
        </w:rPr>
      </w:pPr>
      <w:r w:rsidRPr="00B765F4">
        <w:rPr>
          <w:rFonts w:ascii="Times New Roman" w:hAnsi="Times New Roman"/>
          <w:bCs/>
          <w:iCs/>
          <w:noProof/>
          <w:sz w:val="24"/>
          <w:lang w:val="en-GB"/>
        </w:rPr>
        <w:t xml:space="preserve">The IT systems currently under operation and management of eu-LISA (in particular SIS and VIS) have so far worked without any major incidents. They have proven to be highly reliable and capable of delivering uninterrupted operations, effectively handling a significant volume of requests </w:t>
      </w:r>
      <w:r w:rsidRPr="00B765F4">
        <w:rPr>
          <w:rFonts w:ascii="Times New Roman" w:hAnsi="Times New Roman"/>
          <w:bCs/>
          <w:iCs/>
          <w:noProof/>
          <w:sz w:val="24"/>
          <w:vertAlign w:val="superscript"/>
          <w:lang w:val="en-GB"/>
        </w:rPr>
        <w:footnoteReference w:id="26"/>
      </w:r>
      <w:r w:rsidRPr="00B765F4">
        <w:rPr>
          <w:rFonts w:ascii="Times New Roman" w:hAnsi="Times New Roman"/>
          <w:bCs/>
          <w:iCs/>
          <w:noProof/>
          <w:sz w:val="24"/>
          <w:vertAlign w:val="superscript"/>
          <w:lang w:val="en-GB"/>
        </w:rPr>
        <w:footnoteReference w:id="27"/>
      </w:r>
      <w:r w:rsidRPr="00B765F4">
        <w:rPr>
          <w:rFonts w:ascii="Times New Roman" w:hAnsi="Times New Roman"/>
          <w:bCs/>
          <w:iCs/>
          <w:noProof/>
          <w:sz w:val="24"/>
          <w:vertAlign w:val="superscript"/>
          <w:lang w:val="en-GB"/>
        </w:rPr>
        <w:footnoteReference w:id="28"/>
      </w:r>
      <w:r w:rsidRPr="00B765F4">
        <w:rPr>
          <w:rFonts w:ascii="Times New Roman" w:hAnsi="Times New Roman"/>
          <w:bCs/>
          <w:iCs/>
          <w:noProof/>
          <w:sz w:val="24"/>
          <w:vertAlign w:val="superscript"/>
          <w:lang w:val="en-GB"/>
        </w:rPr>
        <w:footnoteReference w:id="29"/>
      </w:r>
      <w:r w:rsidRPr="00B765F4">
        <w:rPr>
          <w:rFonts w:ascii="Times New Roman" w:hAnsi="Times New Roman"/>
          <w:bCs/>
          <w:iCs/>
          <w:noProof/>
          <w:sz w:val="24"/>
          <w:lang w:val="en-GB"/>
        </w:rPr>
        <w:t>. The takeover process of existing IT systems (e.g. e-CODEX) was considered to be efficient to a very large or large extent.</w:t>
      </w:r>
    </w:p>
    <w:p w14:paraId="6DFFF104" w14:textId="11F60919" w:rsidR="009A48B4" w:rsidRPr="004E2424" w:rsidRDefault="00FD6E4F" w:rsidP="004E2424">
      <w:pPr>
        <w:pStyle w:val="BodyText"/>
        <w:pBdr>
          <w:top w:val="single" w:sz="4" w:space="1" w:color="auto"/>
          <w:left w:val="single" w:sz="4" w:space="4" w:color="auto"/>
          <w:bottom w:val="single" w:sz="4" w:space="1" w:color="auto"/>
          <w:right w:val="single" w:sz="4" w:space="4" w:color="auto"/>
        </w:pBdr>
        <w:shd w:val="clear" w:color="auto" w:fill="DDF2FF"/>
        <w:spacing w:before="120" w:line="276" w:lineRule="auto"/>
        <w:rPr>
          <w:rFonts w:ascii="Times New Roman" w:hAnsi="Times New Roman" w:cs="Times New Roman"/>
          <w:b/>
          <w:bCs/>
          <w:i/>
          <w:iCs/>
          <w:noProof/>
          <w:sz w:val="24"/>
          <w:szCs w:val="24"/>
          <w:u w:val="single"/>
        </w:rPr>
      </w:pPr>
      <w:r>
        <w:rPr>
          <w:rFonts w:ascii="Times New Roman" w:hAnsi="Times New Roman" w:cs="Times New Roman"/>
          <w:b/>
          <w:bCs/>
          <w:i/>
          <w:iCs/>
          <w:noProof/>
          <w:sz w:val="24"/>
          <w:szCs w:val="24"/>
          <w:u w:val="single"/>
        </w:rPr>
        <w:t xml:space="preserve">Case study: </w:t>
      </w:r>
      <w:r w:rsidR="009A48B4" w:rsidRPr="004E2424">
        <w:rPr>
          <w:rFonts w:ascii="Times New Roman" w:hAnsi="Times New Roman" w:cs="Times New Roman"/>
          <w:b/>
          <w:bCs/>
          <w:i/>
          <w:iCs/>
          <w:noProof/>
          <w:sz w:val="24"/>
          <w:szCs w:val="24"/>
          <w:u w:val="single"/>
        </w:rPr>
        <w:t>Handover/takeover process for e-CODEX</w:t>
      </w:r>
    </w:p>
    <w:p w14:paraId="0ECE2B28" w14:textId="77777777" w:rsidR="009A48B4" w:rsidRPr="004E2424" w:rsidRDefault="009A48B4" w:rsidP="004E2424">
      <w:pPr>
        <w:pStyle w:val="BodyText"/>
        <w:pBdr>
          <w:top w:val="single" w:sz="4" w:space="1" w:color="auto"/>
          <w:left w:val="single" w:sz="4" w:space="4" w:color="auto"/>
          <w:bottom w:val="single" w:sz="4" w:space="1" w:color="auto"/>
          <w:right w:val="single" w:sz="4" w:space="4" w:color="auto"/>
        </w:pBdr>
        <w:shd w:val="clear" w:color="auto" w:fill="DDF2FF"/>
        <w:spacing w:before="120" w:line="276" w:lineRule="auto"/>
        <w:rPr>
          <w:rFonts w:ascii="Times New Roman" w:hAnsi="Times New Roman" w:cs="Times New Roman"/>
          <w:noProof/>
          <w:sz w:val="24"/>
          <w:szCs w:val="24"/>
        </w:rPr>
      </w:pPr>
      <w:r w:rsidRPr="004E2424">
        <w:rPr>
          <w:rFonts w:ascii="Times New Roman" w:hAnsi="Times New Roman" w:cs="Times New Roman"/>
          <w:noProof/>
          <w:sz w:val="24"/>
          <w:szCs w:val="24"/>
        </w:rPr>
        <w:t>e-CODEX was developed between 2010 and 2016 by 21 EU Member States with the participation of Turkey, Jersey, the Council of Bar Societies of Europe, and the Council of the Notaries of the European Union, under the lead of ministry for justice North-Rhine Westphalia.</w:t>
      </w:r>
      <w:r w:rsidRPr="004E2424">
        <w:rPr>
          <w:rStyle w:val="FootnoteReference"/>
          <w:rFonts w:ascii="Times New Roman" w:hAnsi="Times New Roman" w:cs="Times New Roman"/>
          <w:noProof/>
          <w:sz w:val="24"/>
          <w:szCs w:val="24"/>
        </w:rPr>
        <w:footnoteReference w:id="30"/>
      </w:r>
      <w:r w:rsidRPr="004E2424">
        <w:rPr>
          <w:rFonts w:ascii="Times New Roman" w:hAnsi="Times New Roman" w:cs="Times New Roman"/>
          <w:noProof/>
          <w:sz w:val="24"/>
          <w:szCs w:val="24"/>
        </w:rPr>
        <w:t xml:space="preserve"> Since 2016, the development was maintained through the Me-CODEX and Me-CODEX II projects.</w:t>
      </w:r>
    </w:p>
    <w:p w14:paraId="165A4505" w14:textId="234F28FB" w:rsidR="009A48B4" w:rsidRPr="004E2424" w:rsidRDefault="009A48B4" w:rsidP="004E2424">
      <w:pPr>
        <w:pStyle w:val="BodyText"/>
        <w:pBdr>
          <w:top w:val="single" w:sz="4" w:space="1" w:color="auto"/>
          <w:left w:val="single" w:sz="4" w:space="4" w:color="auto"/>
          <w:bottom w:val="single" w:sz="4" w:space="1" w:color="auto"/>
          <w:right w:val="single" w:sz="4" w:space="4" w:color="auto"/>
        </w:pBdr>
        <w:shd w:val="clear" w:color="auto" w:fill="DDF2FF"/>
        <w:spacing w:before="120" w:line="276" w:lineRule="auto"/>
        <w:rPr>
          <w:rFonts w:ascii="Times New Roman" w:hAnsi="Times New Roman" w:cs="Times New Roman"/>
          <w:noProof/>
          <w:sz w:val="24"/>
          <w:szCs w:val="24"/>
        </w:rPr>
      </w:pPr>
      <w:r w:rsidRPr="004E2424">
        <w:rPr>
          <w:rFonts w:ascii="Times New Roman" w:hAnsi="Times New Roman" w:cs="Times New Roman"/>
          <w:noProof/>
          <w:sz w:val="24"/>
          <w:szCs w:val="24"/>
        </w:rPr>
        <w:t xml:space="preserve">Examining how well the Agency has performed in taking over already existing systems is also relevant for the assessment on how well eu-LISA is contributing to the development of IT-based solutions overall. This is particularly relevant in case of the e-CODEX handover/takeover process, which was transitioned from a managing consortium to eu-LISA in Spring 2024. </w:t>
      </w:r>
    </w:p>
    <w:p w14:paraId="2F1E3578" w14:textId="574B759A" w:rsidR="009A48B4" w:rsidRPr="004E2424" w:rsidRDefault="00A35894" w:rsidP="004E2424">
      <w:pPr>
        <w:pStyle w:val="BodyText"/>
        <w:pBdr>
          <w:top w:val="single" w:sz="4" w:space="1" w:color="auto"/>
          <w:left w:val="single" w:sz="4" w:space="4" w:color="auto"/>
          <w:bottom w:val="single" w:sz="4" w:space="1" w:color="auto"/>
          <w:right w:val="single" w:sz="4" w:space="4" w:color="auto"/>
        </w:pBdr>
        <w:shd w:val="clear" w:color="auto" w:fill="DDF2FF"/>
        <w:spacing w:before="120" w:line="276" w:lineRule="auto"/>
        <w:rPr>
          <w:rFonts w:ascii="Times New Roman" w:hAnsi="Times New Roman" w:cs="Times New Roman"/>
          <w:noProof/>
          <w:sz w:val="24"/>
          <w:szCs w:val="24"/>
        </w:rPr>
      </w:pPr>
      <w:r>
        <w:rPr>
          <w:rFonts w:ascii="Times New Roman" w:hAnsi="Times New Roman" w:cs="Times New Roman"/>
          <w:noProof/>
          <w:sz w:val="24"/>
          <w:szCs w:val="24"/>
        </w:rPr>
        <w:t>The evaluation found that the transition process was efficient</w:t>
      </w:r>
      <w:r w:rsidR="00FD6E4F">
        <w:rPr>
          <w:rFonts w:ascii="Times New Roman" w:hAnsi="Times New Roman" w:cs="Times New Roman"/>
          <w:noProof/>
          <w:sz w:val="24"/>
          <w:szCs w:val="24"/>
        </w:rPr>
        <w:t xml:space="preserve"> and overall positive</w:t>
      </w:r>
      <w:r>
        <w:rPr>
          <w:rFonts w:ascii="Times New Roman" w:hAnsi="Times New Roman" w:cs="Times New Roman"/>
          <w:noProof/>
          <w:sz w:val="24"/>
          <w:szCs w:val="24"/>
        </w:rPr>
        <w:t xml:space="preserve">: </w:t>
      </w:r>
      <w:r w:rsidR="009A48B4" w:rsidRPr="004E2424">
        <w:rPr>
          <w:rFonts w:ascii="Times New Roman" w:hAnsi="Times New Roman" w:cs="Times New Roman"/>
          <w:noProof/>
          <w:sz w:val="24"/>
          <w:szCs w:val="24"/>
        </w:rPr>
        <w:t xml:space="preserve">the process appears </w:t>
      </w:r>
      <w:r>
        <w:rPr>
          <w:rFonts w:ascii="Times New Roman" w:hAnsi="Times New Roman" w:cs="Times New Roman"/>
          <w:noProof/>
          <w:sz w:val="24"/>
          <w:szCs w:val="24"/>
        </w:rPr>
        <w:t>was</w:t>
      </w:r>
      <w:r w:rsidR="009A48B4" w:rsidRPr="004E2424">
        <w:rPr>
          <w:rFonts w:ascii="Times New Roman" w:hAnsi="Times New Roman" w:cs="Times New Roman"/>
          <w:noProof/>
          <w:sz w:val="24"/>
          <w:szCs w:val="24"/>
        </w:rPr>
        <w:t xml:space="preserve"> completed largely within the agreed timeframe with only minor delays, which have been outside of the responsibility/control of eu-LISA. </w:t>
      </w:r>
      <w:r w:rsidR="00DA3D3A">
        <w:rPr>
          <w:rFonts w:ascii="Times New Roman" w:hAnsi="Times New Roman" w:cs="Times New Roman"/>
          <w:noProof/>
          <w:sz w:val="24"/>
          <w:szCs w:val="24"/>
        </w:rPr>
        <w:t>T</w:t>
      </w:r>
      <w:r w:rsidR="009A48B4" w:rsidRPr="004E2424">
        <w:rPr>
          <w:rFonts w:ascii="Times New Roman" w:hAnsi="Times New Roman" w:cs="Times New Roman"/>
          <w:noProof/>
          <w:sz w:val="24"/>
          <w:szCs w:val="24"/>
        </w:rPr>
        <w:t>he expertise of staff involved in the process on the side of eu-LISA</w:t>
      </w:r>
      <w:r w:rsidR="00DA3D3A">
        <w:rPr>
          <w:rFonts w:ascii="Times New Roman" w:hAnsi="Times New Roman" w:cs="Times New Roman"/>
          <w:noProof/>
          <w:sz w:val="24"/>
          <w:szCs w:val="24"/>
        </w:rPr>
        <w:t xml:space="preserve"> was a point underlined by stakeholders</w:t>
      </w:r>
      <w:r w:rsidR="009A48B4" w:rsidRPr="004E2424">
        <w:rPr>
          <w:rFonts w:ascii="Times New Roman" w:hAnsi="Times New Roman" w:cs="Times New Roman"/>
          <w:noProof/>
          <w:sz w:val="24"/>
          <w:szCs w:val="24"/>
        </w:rPr>
        <w:t xml:space="preserve">, </w:t>
      </w:r>
      <w:r w:rsidR="002D03BF">
        <w:rPr>
          <w:rFonts w:ascii="Times New Roman" w:hAnsi="Times New Roman" w:cs="Times New Roman"/>
          <w:noProof/>
          <w:sz w:val="24"/>
          <w:szCs w:val="24"/>
        </w:rPr>
        <w:t xml:space="preserve">pointing to the need </w:t>
      </w:r>
      <w:r w:rsidR="009A48B4" w:rsidRPr="004E2424">
        <w:rPr>
          <w:rFonts w:ascii="Times New Roman" w:hAnsi="Times New Roman" w:cs="Times New Roman"/>
          <w:noProof/>
          <w:sz w:val="24"/>
          <w:szCs w:val="24"/>
        </w:rPr>
        <w:t xml:space="preserve">to include experienced personnel into the handover/takeover of systems; a finding that relevant to consider </w:t>
      </w:r>
      <w:r w:rsidR="002D03BF">
        <w:rPr>
          <w:rFonts w:ascii="Times New Roman" w:hAnsi="Times New Roman" w:cs="Times New Roman"/>
          <w:noProof/>
          <w:sz w:val="24"/>
          <w:szCs w:val="24"/>
        </w:rPr>
        <w:t xml:space="preserve">in </w:t>
      </w:r>
      <w:r w:rsidR="009A48B4" w:rsidRPr="004E2424">
        <w:rPr>
          <w:rFonts w:ascii="Times New Roman" w:hAnsi="Times New Roman" w:cs="Times New Roman"/>
          <w:noProof/>
          <w:sz w:val="24"/>
          <w:szCs w:val="24"/>
        </w:rPr>
        <w:t>the transition of other systems in the future.</w:t>
      </w:r>
    </w:p>
    <w:p w14:paraId="17E946C0" w14:textId="09625383" w:rsidR="00E33AE1" w:rsidRPr="004E2424" w:rsidRDefault="003358A4" w:rsidP="004E2424">
      <w:pPr>
        <w:pStyle w:val="BodyText"/>
        <w:pBdr>
          <w:top w:val="single" w:sz="4" w:space="1" w:color="auto"/>
          <w:left w:val="single" w:sz="4" w:space="4" w:color="auto"/>
          <w:bottom w:val="single" w:sz="4" w:space="1" w:color="auto"/>
          <w:right w:val="single" w:sz="4" w:space="4" w:color="auto"/>
        </w:pBdr>
        <w:shd w:val="clear" w:color="auto" w:fill="DDF2FF"/>
        <w:spacing w:before="120" w:line="276" w:lineRule="auto"/>
        <w:rPr>
          <w:rFonts w:ascii="Times New Roman" w:hAnsi="Times New Roman" w:cs="Times New Roman"/>
          <w:noProof/>
          <w:sz w:val="24"/>
          <w:szCs w:val="24"/>
        </w:rPr>
      </w:pPr>
      <w:r>
        <w:rPr>
          <w:rFonts w:ascii="Times New Roman" w:hAnsi="Times New Roman" w:cs="Times New Roman"/>
          <w:noProof/>
          <w:sz w:val="24"/>
          <w:szCs w:val="24"/>
        </w:rPr>
        <w:t>The evaluation identified some</w:t>
      </w:r>
      <w:r w:rsidR="00337BEA">
        <w:rPr>
          <w:rFonts w:ascii="Times New Roman" w:hAnsi="Times New Roman" w:cs="Times New Roman"/>
          <w:noProof/>
          <w:sz w:val="24"/>
          <w:szCs w:val="24"/>
        </w:rPr>
        <w:t xml:space="preserve"> c</w:t>
      </w:r>
      <w:r w:rsidR="009A48B4" w:rsidRPr="004E2424">
        <w:rPr>
          <w:rFonts w:ascii="Times New Roman" w:hAnsi="Times New Roman" w:cs="Times New Roman"/>
          <w:noProof/>
          <w:sz w:val="24"/>
          <w:szCs w:val="24"/>
        </w:rPr>
        <w:t>hallenges</w:t>
      </w:r>
      <w:r w:rsidR="002D03BF">
        <w:rPr>
          <w:rFonts w:ascii="Times New Roman" w:hAnsi="Times New Roman" w:cs="Times New Roman"/>
          <w:noProof/>
          <w:sz w:val="24"/>
          <w:szCs w:val="24"/>
        </w:rPr>
        <w:t xml:space="preserve"> </w:t>
      </w:r>
      <w:r w:rsidR="009A48B4" w:rsidRPr="004E2424">
        <w:rPr>
          <w:rFonts w:ascii="Times New Roman" w:hAnsi="Times New Roman" w:cs="Times New Roman"/>
          <w:noProof/>
          <w:sz w:val="24"/>
          <w:szCs w:val="24"/>
        </w:rPr>
        <w:t>in the takeover process</w:t>
      </w:r>
      <w:r w:rsidR="002D03BF">
        <w:rPr>
          <w:rFonts w:ascii="Times New Roman" w:hAnsi="Times New Roman" w:cs="Times New Roman"/>
          <w:noProof/>
          <w:sz w:val="24"/>
          <w:szCs w:val="24"/>
        </w:rPr>
        <w:t xml:space="preserve"> </w:t>
      </w:r>
      <w:r>
        <w:rPr>
          <w:rFonts w:ascii="Times New Roman" w:hAnsi="Times New Roman" w:cs="Times New Roman"/>
          <w:noProof/>
          <w:sz w:val="24"/>
          <w:szCs w:val="24"/>
        </w:rPr>
        <w:t>such as</w:t>
      </w:r>
      <w:r w:rsidR="009A48B4" w:rsidRPr="004E2424">
        <w:rPr>
          <w:rFonts w:ascii="Times New Roman" w:hAnsi="Times New Roman" w:cs="Times New Roman"/>
          <w:noProof/>
          <w:sz w:val="24"/>
          <w:szCs w:val="24"/>
        </w:rPr>
        <w:t xml:space="preserve"> the complexity of the system, the granularity and shifting focus of the takeover terms, the bureaucratic process, the unclear responsibility allocation and the communication with the Commission. </w:t>
      </w:r>
    </w:p>
    <w:p w14:paraId="0112B354" w14:textId="3C1C6EB4" w:rsidR="00B765F4" w:rsidRPr="00B765F4" w:rsidRDefault="00B765F4" w:rsidP="00CA1144">
      <w:pPr>
        <w:jc w:val="both"/>
        <w:rPr>
          <w:rFonts w:ascii="Times New Roman" w:hAnsi="Times New Roman"/>
          <w:bCs/>
          <w:iCs/>
          <w:noProof/>
          <w:sz w:val="24"/>
          <w:lang w:val="en-GB"/>
        </w:rPr>
      </w:pPr>
      <w:r w:rsidRPr="00B765F4">
        <w:rPr>
          <w:rFonts w:ascii="Times New Roman" w:hAnsi="Times New Roman"/>
          <w:bCs/>
          <w:iCs/>
          <w:noProof/>
          <w:sz w:val="24"/>
          <w:lang w:val="en-GB"/>
        </w:rPr>
        <w:t>Moreover,</w:t>
      </w:r>
      <w:r w:rsidR="00F426B4">
        <w:rPr>
          <w:rFonts w:ascii="Times New Roman" w:hAnsi="Times New Roman"/>
          <w:bCs/>
          <w:iCs/>
          <w:noProof/>
          <w:sz w:val="24"/>
          <w:lang w:val="en-GB"/>
        </w:rPr>
        <w:t xml:space="preserve"> </w:t>
      </w:r>
      <w:r w:rsidR="000F5EF0">
        <w:rPr>
          <w:rFonts w:ascii="Times New Roman" w:hAnsi="Times New Roman"/>
          <w:bCs/>
          <w:iCs/>
          <w:noProof/>
          <w:sz w:val="24"/>
          <w:lang w:val="en-GB"/>
        </w:rPr>
        <w:t xml:space="preserve">the evaluation </w:t>
      </w:r>
      <w:r w:rsidR="00CA1144">
        <w:rPr>
          <w:rFonts w:ascii="Times New Roman" w:hAnsi="Times New Roman"/>
          <w:bCs/>
          <w:iCs/>
          <w:noProof/>
          <w:sz w:val="24"/>
          <w:lang w:val="en-GB"/>
        </w:rPr>
        <w:t xml:space="preserve">highlighted the high level of user satisfaction regarding </w:t>
      </w:r>
      <w:r w:rsidRPr="00B765F4">
        <w:rPr>
          <w:rFonts w:ascii="Times New Roman" w:hAnsi="Times New Roman"/>
          <w:bCs/>
          <w:iCs/>
          <w:noProof/>
          <w:sz w:val="24"/>
          <w:lang w:val="en-GB"/>
        </w:rPr>
        <w:t xml:space="preserve">several dimensions, such as security, data protection, and service continuity. </w:t>
      </w:r>
      <w:r w:rsidR="007B40C0">
        <w:rPr>
          <w:rFonts w:ascii="Times New Roman" w:hAnsi="Times New Roman"/>
          <w:bCs/>
          <w:iCs/>
          <w:noProof/>
          <w:sz w:val="24"/>
          <w:lang w:val="en-GB"/>
        </w:rPr>
        <w:t>In particular, the evaluation underlined</w:t>
      </w:r>
      <w:r w:rsidRPr="00B765F4">
        <w:rPr>
          <w:rFonts w:ascii="Times New Roman" w:hAnsi="Times New Roman"/>
          <w:bCs/>
          <w:iCs/>
          <w:noProof/>
          <w:sz w:val="24"/>
          <w:lang w:val="en-GB"/>
        </w:rPr>
        <w:t xml:space="preserve"> the service reliability and efficient security measures of the operating systems. However, the</w:t>
      </w:r>
      <w:r w:rsidR="0078148D">
        <w:rPr>
          <w:rFonts w:ascii="Times New Roman" w:hAnsi="Times New Roman"/>
          <w:bCs/>
          <w:iCs/>
          <w:noProof/>
          <w:sz w:val="24"/>
          <w:lang w:val="en-GB"/>
        </w:rPr>
        <w:t xml:space="preserve"> evaluation pointed to </w:t>
      </w:r>
      <w:r w:rsidRPr="00B765F4">
        <w:rPr>
          <w:rFonts w:ascii="Times New Roman" w:hAnsi="Times New Roman"/>
          <w:bCs/>
          <w:iCs/>
          <w:noProof/>
          <w:sz w:val="24"/>
          <w:lang w:val="en-GB"/>
        </w:rPr>
        <w:t xml:space="preserve">differences in the (high) levels of satisfaction between VIS, SIS, and Eurodac </w:t>
      </w:r>
      <w:r w:rsidR="0078148D">
        <w:rPr>
          <w:rFonts w:ascii="Times New Roman" w:hAnsi="Times New Roman"/>
          <w:bCs/>
          <w:iCs/>
          <w:noProof/>
          <w:sz w:val="24"/>
          <w:lang w:val="en-GB"/>
        </w:rPr>
        <w:t>and</w:t>
      </w:r>
      <w:r w:rsidRPr="00B765F4">
        <w:rPr>
          <w:rFonts w:ascii="Times New Roman" w:hAnsi="Times New Roman"/>
          <w:bCs/>
          <w:iCs/>
          <w:noProof/>
          <w:sz w:val="24"/>
          <w:lang w:val="en-GB"/>
        </w:rPr>
        <w:t xml:space="preserve"> less satisfied with eu-LISA’s performance in relation to Eurodac.</w:t>
      </w:r>
    </w:p>
    <w:p w14:paraId="715CA198" w14:textId="7906A764" w:rsidR="003559AE" w:rsidRDefault="00B765F4" w:rsidP="00B765F4">
      <w:pPr>
        <w:jc w:val="both"/>
        <w:rPr>
          <w:rFonts w:ascii="Times New Roman" w:hAnsi="Times New Roman" w:cs="Times New Roman"/>
          <w:bCs/>
          <w:iCs/>
          <w:noProof/>
          <w:sz w:val="24"/>
          <w:szCs w:val="24"/>
          <w:lang w:val="en-IE"/>
        </w:rPr>
      </w:pPr>
      <w:bookmarkStart w:id="26" w:name="_Ref164353425"/>
      <w:r w:rsidRPr="00B765F4">
        <w:rPr>
          <w:rFonts w:ascii="Times New Roman" w:hAnsi="Times New Roman"/>
          <w:bCs/>
          <w:iCs/>
          <w:noProof/>
          <w:sz w:val="24"/>
          <w:lang w:val="en-GB"/>
        </w:rPr>
        <w:t xml:space="preserve">Nevertheless, the evaluation also unveils areas for improvement. </w:t>
      </w:r>
      <w:r w:rsidR="00A00F95">
        <w:rPr>
          <w:rFonts w:ascii="Times New Roman" w:hAnsi="Times New Roman"/>
          <w:bCs/>
          <w:iCs/>
          <w:noProof/>
          <w:sz w:val="24"/>
          <w:lang w:val="en-GB"/>
        </w:rPr>
        <w:t>For example,</w:t>
      </w:r>
      <w:r w:rsidRPr="00B765F4">
        <w:rPr>
          <w:rFonts w:ascii="Times New Roman" w:hAnsi="Times New Roman"/>
          <w:bCs/>
          <w:iCs/>
          <w:noProof/>
          <w:sz w:val="24"/>
          <w:lang w:val="en-GB"/>
        </w:rPr>
        <w:t xml:space="preserve"> response timeliness to incidents and service disruptions</w:t>
      </w:r>
      <w:r w:rsidR="00437039">
        <w:rPr>
          <w:rFonts w:ascii="Times New Roman" w:hAnsi="Times New Roman"/>
          <w:bCs/>
          <w:iCs/>
          <w:noProof/>
          <w:sz w:val="24"/>
          <w:lang w:val="en-GB"/>
        </w:rPr>
        <w:t xml:space="preserve"> could be improved, with the evaluation indicating</w:t>
      </w:r>
      <w:r w:rsidRPr="00B765F4">
        <w:rPr>
          <w:rFonts w:ascii="Times New Roman" w:hAnsi="Times New Roman"/>
          <w:bCs/>
          <w:iCs/>
          <w:noProof/>
          <w:sz w:val="24"/>
          <w:lang w:val="en-GB"/>
        </w:rPr>
        <w:t xml:space="preserve"> a need for enhanced agility and responsiveness. For example, for Eurodac, </w:t>
      </w:r>
      <w:r w:rsidR="00587501">
        <w:rPr>
          <w:rFonts w:ascii="Times New Roman" w:hAnsi="Times New Roman"/>
          <w:bCs/>
          <w:iCs/>
          <w:noProof/>
          <w:sz w:val="24"/>
          <w:lang w:val="en-GB"/>
        </w:rPr>
        <w:t>certain</w:t>
      </w:r>
      <w:r w:rsidRPr="00B765F4">
        <w:rPr>
          <w:rFonts w:ascii="Times New Roman" w:hAnsi="Times New Roman"/>
          <w:bCs/>
          <w:iCs/>
          <w:noProof/>
          <w:sz w:val="24"/>
          <w:lang w:val="en-GB"/>
        </w:rPr>
        <w:t xml:space="preserve"> reported downtimes </w:t>
      </w:r>
      <w:r w:rsidR="00587501">
        <w:rPr>
          <w:rFonts w:ascii="Times New Roman" w:hAnsi="Times New Roman"/>
          <w:bCs/>
          <w:iCs/>
          <w:noProof/>
          <w:sz w:val="24"/>
          <w:lang w:val="en-GB"/>
        </w:rPr>
        <w:t>were</w:t>
      </w:r>
      <w:r w:rsidRPr="00B765F4">
        <w:rPr>
          <w:rFonts w:ascii="Times New Roman" w:hAnsi="Times New Roman"/>
          <w:bCs/>
          <w:iCs/>
          <w:noProof/>
          <w:sz w:val="24"/>
          <w:lang w:val="en-GB"/>
        </w:rPr>
        <w:t xml:space="preserve">, </w:t>
      </w:r>
      <w:r w:rsidR="00587501">
        <w:rPr>
          <w:rFonts w:ascii="Times New Roman" w:hAnsi="Times New Roman"/>
          <w:bCs/>
          <w:iCs/>
          <w:noProof/>
          <w:sz w:val="24"/>
          <w:lang w:val="en-GB"/>
        </w:rPr>
        <w:t>in fact</w:t>
      </w:r>
      <w:r w:rsidRPr="00B765F4">
        <w:rPr>
          <w:rFonts w:ascii="Times New Roman" w:hAnsi="Times New Roman"/>
          <w:bCs/>
          <w:iCs/>
          <w:noProof/>
          <w:sz w:val="24"/>
          <w:lang w:val="en-GB"/>
        </w:rPr>
        <w:t xml:space="preserve">, rather attributed to the national interfaces. </w:t>
      </w:r>
      <w:r w:rsidR="00587501">
        <w:rPr>
          <w:rFonts w:ascii="Times New Roman" w:hAnsi="Times New Roman"/>
          <w:bCs/>
          <w:iCs/>
          <w:noProof/>
          <w:sz w:val="24"/>
          <w:lang w:val="en-GB"/>
        </w:rPr>
        <w:t>the evaluation also pointed to the</w:t>
      </w:r>
      <w:r w:rsidRPr="00B765F4">
        <w:rPr>
          <w:rFonts w:ascii="Times New Roman" w:hAnsi="Times New Roman"/>
          <w:bCs/>
          <w:iCs/>
          <w:noProof/>
          <w:sz w:val="24"/>
          <w:lang w:val="en-GB"/>
        </w:rPr>
        <w:t xml:space="preserve"> lack of information about the origins of outages, likely again attributed to Member States. For the case of the SIS recast, </w:t>
      </w:r>
      <w:r w:rsidR="00D967E5">
        <w:rPr>
          <w:rFonts w:ascii="Times New Roman" w:hAnsi="Times New Roman"/>
          <w:bCs/>
          <w:iCs/>
          <w:noProof/>
          <w:sz w:val="24"/>
          <w:lang w:val="en-GB"/>
        </w:rPr>
        <w:t>the evaluation highlighted</w:t>
      </w:r>
      <w:r w:rsidRPr="00B765F4">
        <w:rPr>
          <w:rFonts w:ascii="Times New Roman" w:hAnsi="Times New Roman"/>
          <w:bCs/>
          <w:iCs/>
          <w:noProof/>
          <w:sz w:val="24"/>
          <w:lang w:val="en-GB"/>
        </w:rPr>
        <w:t xml:space="preserve"> the slow responsiveness of the Agency to questions</w:t>
      </w:r>
      <w:r w:rsidR="00D967E5">
        <w:rPr>
          <w:rFonts w:ascii="Times New Roman" w:hAnsi="Times New Roman"/>
          <w:bCs/>
          <w:iCs/>
          <w:noProof/>
          <w:sz w:val="24"/>
          <w:lang w:val="en-GB"/>
        </w:rPr>
        <w:t xml:space="preserve">, as well as the unavailability of </w:t>
      </w:r>
      <w:r w:rsidRPr="00B765F4">
        <w:rPr>
          <w:rFonts w:ascii="Times New Roman" w:hAnsi="Times New Roman"/>
          <w:bCs/>
          <w:iCs/>
          <w:noProof/>
          <w:sz w:val="24"/>
          <w:lang w:val="en-GB"/>
        </w:rPr>
        <w:t xml:space="preserve">the test or production environment at certain uncalculatable times. The proposed 'software factory' model, employing DevSecOps </w:t>
      </w:r>
      <w:r w:rsidR="00F05085">
        <w:rPr>
          <w:rFonts w:ascii="Times New Roman" w:hAnsi="Times New Roman"/>
          <w:bCs/>
          <w:iCs/>
          <w:noProof/>
          <w:sz w:val="24"/>
          <w:lang w:val="en-GB"/>
        </w:rPr>
        <w:t xml:space="preserve"> (Development, Security, Operations) </w:t>
      </w:r>
      <w:r w:rsidRPr="00B765F4">
        <w:rPr>
          <w:rFonts w:ascii="Times New Roman" w:hAnsi="Times New Roman"/>
          <w:bCs/>
          <w:iCs/>
          <w:noProof/>
          <w:sz w:val="24"/>
          <w:lang w:val="en-GB"/>
        </w:rPr>
        <w:t>principles, underscore</w:t>
      </w:r>
      <w:r w:rsidR="00E219D7">
        <w:rPr>
          <w:rFonts w:ascii="Times New Roman" w:hAnsi="Times New Roman"/>
          <w:bCs/>
          <w:iCs/>
          <w:noProof/>
          <w:sz w:val="24"/>
          <w:lang w:val="en-GB"/>
        </w:rPr>
        <w:t>d</w:t>
      </w:r>
      <w:r w:rsidRPr="00B765F4">
        <w:rPr>
          <w:rFonts w:ascii="Times New Roman" w:hAnsi="Times New Roman"/>
          <w:bCs/>
          <w:iCs/>
          <w:noProof/>
          <w:sz w:val="24"/>
          <w:lang w:val="en-GB"/>
        </w:rPr>
        <w:t xml:space="preserve"> the Agency's efforts to bolstering control and reducing dependencies on external contractors.</w:t>
      </w:r>
      <w:bookmarkEnd w:id="26"/>
    </w:p>
    <w:p w14:paraId="537819B2" w14:textId="4C0EE6B7" w:rsidR="005C7A68" w:rsidRPr="00A2617A" w:rsidRDefault="00CB533B" w:rsidP="2E42B479">
      <w:pPr>
        <w:jc w:val="both"/>
        <w:rPr>
          <w:rFonts w:ascii="Times New Roman" w:hAnsi="Times New Roman" w:cs="Times New Roman"/>
          <w:b/>
          <w:bCs/>
          <w:i/>
          <w:iCs/>
          <w:noProof/>
          <w:sz w:val="24"/>
          <w:szCs w:val="24"/>
          <w:lang w:val="en-GB"/>
        </w:rPr>
      </w:pPr>
      <w:r w:rsidRPr="2E42B479">
        <w:rPr>
          <w:rFonts w:ascii="Times New Roman" w:hAnsi="Times New Roman" w:cs="Times New Roman"/>
          <w:b/>
          <w:bCs/>
          <w:i/>
          <w:iCs/>
          <w:noProof/>
          <w:sz w:val="24"/>
          <w:szCs w:val="24"/>
          <w:lang w:val="en-GB"/>
        </w:rPr>
        <w:t>To what extent has eu-LISA fulfilled its obligation in relation with data protection, data and physical security in accordance with the applicable rules, including specific provisions for each large-scale IT system?</w:t>
      </w:r>
    </w:p>
    <w:p w14:paraId="639B968B" w14:textId="0AE29D48" w:rsidR="001D2D72" w:rsidRPr="004E2424" w:rsidRDefault="001D2D72" w:rsidP="004E2424">
      <w:pPr>
        <w:jc w:val="both"/>
        <w:rPr>
          <w:rFonts w:ascii="Times New Roman" w:hAnsi="Times New Roman"/>
          <w:noProof/>
          <w:sz w:val="24"/>
          <w:szCs w:val="24"/>
          <w:lang w:val="en-IE"/>
        </w:rPr>
      </w:pPr>
      <w:r w:rsidRPr="004E2424">
        <w:rPr>
          <w:rFonts w:ascii="Times New Roman" w:hAnsi="Times New Roman"/>
          <w:noProof/>
          <w:sz w:val="24"/>
          <w:szCs w:val="24"/>
          <w:lang w:val="en-IE"/>
        </w:rPr>
        <w:t>Overall, eu-LISA has fulfilled its obligations reliably concerning data protection, data, and physical security in alignment with applicable rules and specific provisions for each large-scale IT system.</w:t>
      </w:r>
    </w:p>
    <w:p w14:paraId="25621FF6" w14:textId="77777777" w:rsidR="001D2D72" w:rsidRPr="004E2424" w:rsidRDefault="001D2D72" w:rsidP="001D2D72">
      <w:pPr>
        <w:jc w:val="both"/>
        <w:rPr>
          <w:rFonts w:ascii="Times New Roman" w:hAnsi="Times New Roman"/>
          <w:bCs/>
          <w:iCs/>
          <w:noProof/>
          <w:sz w:val="24"/>
          <w:lang w:val="en-IE"/>
        </w:rPr>
      </w:pPr>
      <w:r w:rsidRPr="004E2424">
        <w:rPr>
          <w:rFonts w:ascii="Times New Roman" w:hAnsi="Times New Roman"/>
          <w:bCs/>
          <w:iCs/>
          <w:noProof/>
          <w:sz w:val="24"/>
          <w:lang w:val="en-IE"/>
        </w:rPr>
        <w:t>The Agency's proactive approach to data protection is evidenced by several strengths. Notably, eu-LISA has invested in comprehensive training and awareness initiatives to sensitise personnel, ensuring a culture of compliance with data protection principles</w:t>
      </w:r>
      <w:r w:rsidRPr="004E2424">
        <w:rPr>
          <w:rFonts w:ascii="Times New Roman" w:hAnsi="Times New Roman"/>
          <w:bCs/>
          <w:iCs/>
          <w:noProof/>
          <w:sz w:val="24"/>
          <w:vertAlign w:val="superscript"/>
          <w:lang w:val="en-IE"/>
        </w:rPr>
        <w:footnoteReference w:id="31"/>
      </w:r>
      <w:r w:rsidRPr="004E2424">
        <w:rPr>
          <w:rFonts w:ascii="Times New Roman" w:hAnsi="Times New Roman"/>
          <w:bCs/>
          <w:iCs/>
          <w:noProof/>
          <w:sz w:val="24"/>
          <w:lang w:val="en-IE"/>
        </w:rPr>
        <w:t>. Additionally, the establishment of clear storage limitation rules, categorised into Category 1 and Category 2 data, aligns with GDPR principles, ensuring purpose limitation and data minimisation</w:t>
      </w:r>
      <w:r w:rsidRPr="004E2424">
        <w:rPr>
          <w:rFonts w:ascii="Times New Roman" w:hAnsi="Times New Roman"/>
          <w:bCs/>
          <w:iCs/>
          <w:noProof/>
          <w:sz w:val="24"/>
          <w:vertAlign w:val="superscript"/>
          <w:lang w:val="en-IE"/>
        </w:rPr>
        <w:footnoteReference w:id="32"/>
      </w:r>
      <w:r w:rsidRPr="004E2424">
        <w:rPr>
          <w:rFonts w:ascii="Times New Roman" w:hAnsi="Times New Roman"/>
          <w:bCs/>
          <w:iCs/>
          <w:noProof/>
          <w:sz w:val="24"/>
          <w:lang w:val="en-IE"/>
        </w:rPr>
        <w:t>. The involvement of the Data Protection Officer (DPO) in initiatives such as Change Management reflects a robust commitment to data protection by design and by default</w:t>
      </w:r>
      <w:r w:rsidRPr="004E2424">
        <w:rPr>
          <w:rFonts w:ascii="Times New Roman" w:hAnsi="Times New Roman"/>
          <w:bCs/>
          <w:iCs/>
          <w:noProof/>
          <w:sz w:val="24"/>
          <w:vertAlign w:val="superscript"/>
          <w:lang w:val="en-IE"/>
        </w:rPr>
        <w:footnoteReference w:id="33"/>
      </w:r>
      <w:r w:rsidRPr="004E2424">
        <w:rPr>
          <w:rFonts w:ascii="Times New Roman" w:hAnsi="Times New Roman"/>
          <w:bCs/>
          <w:iCs/>
          <w:noProof/>
          <w:sz w:val="24"/>
          <w:lang w:val="en-IE"/>
        </w:rPr>
        <w:t>. Monthly updates of the Record of Processing Activities (RoPA)</w:t>
      </w:r>
      <w:r w:rsidRPr="004E2424">
        <w:rPr>
          <w:rFonts w:ascii="Times New Roman" w:hAnsi="Times New Roman"/>
          <w:bCs/>
          <w:iCs/>
          <w:noProof/>
          <w:sz w:val="24"/>
          <w:vertAlign w:val="superscript"/>
          <w:lang w:val="en-IE"/>
        </w:rPr>
        <w:footnoteReference w:id="34"/>
      </w:r>
      <w:r w:rsidRPr="004E2424">
        <w:rPr>
          <w:rFonts w:ascii="Times New Roman" w:hAnsi="Times New Roman"/>
          <w:bCs/>
          <w:iCs/>
          <w:noProof/>
          <w:sz w:val="24"/>
          <w:lang w:val="en-IE"/>
        </w:rPr>
        <w:t xml:space="preserve"> and frequent monitoring of the data breach register further underscore eu-LISA's commitment to compliance and proactive risk management.</w:t>
      </w:r>
    </w:p>
    <w:p w14:paraId="4070EFB7" w14:textId="77777777" w:rsidR="001D2D72" w:rsidRPr="004E2424" w:rsidRDefault="001D2D72" w:rsidP="001D2D72">
      <w:pPr>
        <w:jc w:val="both"/>
        <w:rPr>
          <w:rFonts w:ascii="Times New Roman" w:hAnsi="Times New Roman"/>
          <w:bCs/>
          <w:iCs/>
          <w:noProof/>
          <w:sz w:val="24"/>
          <w:lang w:val="en-IE"/>
        </w:rPr>
      </w:pPr>
      <w:r w:rsidRPr="004E2424">
        <w:rPr>
          <w:rFonts w:ascii="Times New Roman" w:hAnsi="Times New Roman"/>
          <w:bCs/>
          <w:iCs/>
          <w:noProof/>
          <w:sz w:val="24"/>
          <w:lang w:val="en-IE"/>
        </w:rPr>
        <w:t>However, the Agency faces significant challenges in the ever-evolving landscape of digital threats and global instabilities. The surge in cybercrime poses a substantial risk, necessitating continuous adaptation to ensure the security of large-scale IT systems</w:t>
      </w:r>
      <w:r w:rsidRPr="004E2424">
        <w:rPr>
          <w:rFonts w:ascii="Times New Roman" w:hAnsi="Times New Roman"/>
          <w:bCs/>
          <w:iCs/>
          <w:noProof/>
          <w:sz w:val="24"/>
          <w:vertAlign w:val="superscript"/>
          <w:lang w:val="en-IE"/>
        </w:rPr>
        <w:footnoteReference w:id="35"/>
      </w:r>
      <w:r w:rsidRPr="004E2424">
        <w:rPr>
          <w:rFonts w:ascii="Times New Roman" w:hAnsi="Times New Roman"/>
          <w:bCs/>
          <w:iCs/>
          <w:noProof/>
          <w:sz w:val="24"/>
          <w:lang w:val="en-IE"/>
        </w:rPr>
        <w:t>. Additionally, the lack of a clear categorisation of incidents, for example, whether or not, they affect system availability poses challenges in implementing adequate mitigating measures promptly</w:t>
      </w:r>
      <w:r w:rsidRPr="004E2424">
        <w:rPr>
          <w:rFonts w:ascii="Times New Roman" w:hAnsi="Times New Roman"/>
          <w:bCs/>
          <w:iCs/>
          <w:noProof/>
          <w:sz w:val="24"/>
          <w:vertAlign w:val="superscript"/>
          <w:lang w:val="en-IE"/>
        </w:rPr>
        <w:footnoteReference w:id="36"/>
      </w:r>
      <w:r w:rsidRPr="004E2424">
        <w:rPr>
          <w:rFonts w:ascii="Times New Roman" w:hAnsi="Times New Roman"/>
          <w:bCs/>
          <w:iCs/>
          <w:noProof/>
          <w:sz w:val="24"/>
          <w:lang w:val="en-IE"/>
        </w:rPr>
        <w:t>.</w:t>
      </w:r>
    </w:p>
    <w:p w14:paraId="47A92708" w14:textId="665B3D23" w:rsidR="001D2D72" w:rsidRPr="004E2424" w:rsidRDefault="39A08CEF" w:rsidP="1F7CBA1A">
      <w:pPr>
        <w:jc w:val="both"/>
        <w:rPr>
          <w:rFonts w:ascii="Times New Roman" w:hAnsi="Times New Roman"/>
          <w:noProof/>
          <w:sz w:val="24"/>
          <w:szCs w:val="24"/>
          <w:lang w:val="en-IE"/>
        </w:rPr>
      </w:pPr>
      <w:r w:rsidRPr="1F7CBA1A">
        <w:rPr>
          <w:rFonts w:ascii="Times New Roman" w:hAnsi="Times New Roman"/>
          <w:noProof/>
          <w:sz w:val="24"/>
          <w:szCs w:val="24"/>
          <w:lang w:val="en-IE"/>
        </w:rPr>
        <w:t xml:space="preserve">Furthermore, the workload on the </w:t>
      </w:r>
      <w:r w:rsidR="00464232">
        <w:rPr>
          <w:rFonts w:ascii="Times New Roman" w:hAnsi="Times New Roman"/>
          <w:noProof/>
          <w:sz w:val="24"/>
          <w:szCs w:val="24"/>
          <w:lang w:val="en-IE"/>
        </w:rPr>
        <w:t>Data Protection Office</w:t>
      </w:r>
      <w:r w:rsidR="00464232" w:rsidRPr="1F7CBA1A">
        <w:rPr>
          <w:rFonts w:ascii="Times New Roman" w:hAnsi="Times New Roman"/>
          <w:noProof/>
          <w:sz w:val="24"/>
          <w:szCs w:val="24"/>
          <w:lang w:val="en-IE"/>
        </w:rPr>
        <w:t xml:space="preserve"> </w:t>
      </w:r>
      <w:r w:rsidRPr="1F7CBA1A">
        <w:rPr>
          <w:rFonts w:ascii="Times New Roman" w:hAnsi="Times New Roman"/>
          <w:noProof/>
          <w:sz w:val="24"/>
          <w:szCs w:val="24"/>
          <w:lang w:val="en-IE"/>
        </w:rPr>
        <w:t xml:space="preserve">raises concerns about the effectiveness of their involvement in various initiatives, </w:t>
      </w:r>
      <w:r w:rsidR="00464232">
        <w:rPr>
          <w:rFonts w:ascii="Times New Roman" w:hAnsi="Times New Roman"/>
          <w:noProof/>
          <w:sz w:val="24"/>
          <w:szCs w:val="24"/>
          <w:lang w:val="en-IE"/>
        </w:rPr>
        <w:t xml:space="preserve">highlighting </w:t>
      </w:r>
      <w:r w:rsidRPr="1F7CBA1A">
        <w:rPr>
          <w:rFonts w:ascii="Times New Roman" w:hAnsi="Times New Roman"/>
          <w:noProof/>
          <w:sz w:val="24"/>
          <w:szCs w:val="24"/>
          <w:lang w:val="en-IE"/>
        </w:rPr>
        <w:t xml:space="preserve">a need for </w:t>
      </w:r>
      <w:r w:rsidR="00194E12">
        <w:rPr>
          <w:rFonts w:ascii="Times New Roman" w:hAnsi="Times New Roman"/>
          <w:noProof/>
          <w:sz w:val="24"/>
          <w:szCs w:val="24"/>
          <w:lang w:val="en-IE"/>
        </w:rPr>
        <w:t xml:space="preserve">internal </w:t>
      </w:r>
      <w:r w:rsidRPr="1F7CBA1A">
        <w:rPr>
          <w:rFonts w:ascii="Times New Roman" w:hAnsi="Times New Roman"/>
          <w:noProof/>
          <w:sz w:val="24"/>
          <w:szCs w:val="24"/>
          <w:lang w:val="en-IE"/>
        </w:rPr>
        <w:t>resource allocation improvements</w:t>
      </w:r>
      <w:r w:rsidR="00194E12">
        <w:rPr>
          <w:rFonts w:ascii="Times New Roman" w:hAnsi="Times New Roman"/>
          <w:noProof/>
          <w:sz w:val="24"/>
          <w:szCs w:val="24"/>
          <w:lang w:val="en-IE"/>
        </w:rPr>
        <w:t xml:space="preserve"> and a clearer definition of priorities. Ensuring that the DPO is adequately resourced </w:t>
      </w:r>
      <w:r w:rsidR="000803DE">
        <w:rPr>
          <w:rFonts w:ascii="Times New Roman" w:hAnsi="Times New Roman"/>
          <w:noProof/>
          <w:sz w:val="24"/>
          <w:szCs w:val="24"/>
          <w:lang w:val="en-IE"/>
        </w:rPr>
        <w:t>and able to focus on the most pressing issues is essential for allowing them to support the Agency in identifying and addressing challenges, thereb</w:t>
      </w:r>
      <w:r w:rsidR="0070609A">
        <w:rPr>
          <w:rFonts w:ascii="Times New Roman" w:hAnsi="Times New Roman"/>
          <w:noProof/>
          <w:sz w:val="24"/>
          <w:szCs w:val="24"/>
          <w:lang w:val="en-IE"/>
        </w:rPr>
        <w:t xml:space="preserve">y reinforcing the Agency’s role in developing the systems. </w:t>
      </w:r>
      <w:r w:rsidRPr="1F7CBA1A">
        <w:rPr>
          <w:rFonts w:ascii="Times New Roman" w:hAnsi="Times New Roman"/>
          <w:noProof/>
          <w:sz w:val="24"/>
          <w:szCs w:val="24"/>
          <w:lang w:val="en-IE"/>
        </w:rPr>
        <w:t>This workload is only expected to increase in the future and technological solutions should be considered according to interviewees. The rapid advancement of disruptive technologies such as AI presents both opportunities and risks, requiring a delicate balance between innovation and data protection</w:t>
      </w:r>
      <w:r w:rsidR="001D2D72" w:rsidRPr="1F7CBA1A">
        <w:rPr>
          <w:rFonts w:ascii="Times New Roman" w:hAnsi="Times New Roman"/>
          <w:noProof/>
          <w:sz w:val="24"/>
          <w:szCs w:val="24"/>
          <w:vertAlign w:val="superscript"/>
          <w:lang w:val="en-IE"/>
        </w:rPr>
        <w:footnoteReference w:id="37"/>
      </w:r>
      <w:r w:rsidRPr="1F7CBA1A">
        <w:rPr>
          <w:rFonts w:ascii="Times New Roman" w:hAnsi="Times New Roman"/>
          <w:noProof/>
          <w:sz w:val="24"/>
          <w:szCs w:val="24"/>
          <w:lang w:val="en-IE"/>
        </w:rPr>
        <w:t>. For example, AI can support the DP by automating routine tasks, identifying potential data privacy issues through advanced analytics, and enhancing compliance efforts through real-time monitoring and predictive analysis.</w:t>
      </w:r>
    </w:p>
    <w:p w14:paraId="3F4B38CB" w14:textId="77777777" w:rsidR="001D2D72" w:rsidRPr="004E2424" w:rsidRDefault="001D2D72" w:rsidP="001D2D72">
      <w:pPr>
        <w:jc w:val="both"/>
        <w:rPr>
          <w:rFonts w:ascii="Times New Roman" w:hAnsi="Times New Roman"/>
          <w:bCs/>
          <w:iCs/>
          <w:noProof/>
          <w:sz w:val="24"/>
          <w:lang w:val="en-IE"/>
        </w:rPr>
      </w:pPr>
      <w:r w:rsidRPr="004E2424">
        <w:rPr>
          <w:rFonts w:ascii="Times New Roman" w:hAnsi="Times New Roman"/>
          <w:bCs/>
          <w:iCs/>
          <w:noProof/>
          <w:sz w:val="24"/>
          <w:lang w:val="en-IE"/>
        </w:rPr>
        <w:t>Despite these challenges, stakeholders generally perceive eu-LISA's work on cybersecurity and data protection positively. The Agency's management of communication infrastructure using TESTA-ng ensures secure data transfer, supporting effective decision-making by national authorities</w:t>
      </w:r>
      <w:r w:rsidRPr="004E2424">
        <w:rPr>
          <w:rFonts w:ascii="Times New Roman" w:hAnsi="Times New Roman"/>
          <w:bCs/>
          <w:iCs/>
          <w:noProof/>
          <w:sz w:val="24"/>
          <w:vertAlign w:val="superscript"/>
          <w:lang w:val="en-IE"/>
        </w:rPr>
        <w:footnoteReference w:id="38"/>
      </w:r>
      <w:r w:rsidRPr="004E2424">
        <w:rPr>
          <w:rFonts w:ascii="Times New Roman" w:hAnsi="Times New Roman"/>
          <w:bCs/>
          <w:iCs/>
          <w:noProof/>
          <w:sz w:val="24"/>
          <w:lang w:val="en-IE"/>
        </w:rPr>
        <w:t>.</w:t>
      </w:r>
    </w:p>
    <w:p w14:paraId="43CEAA40" w14:textId="77777777" w:rsidR="001D2D72" w:rsidRPr="004E2424" w:rsidRDefault="001D2D72" w:rsidP="001D2D72">
      <w:pPr>
        <w:jc w:val="both"/>
        <w:rPr>
          <w:rFonts w:ascii="Times New Roman" w:hAnsi="Times New Roman"/>
          <w:bCs/>
          <w:iCs/>
          <w:noProof/>
          <w:sz w:val="24"/>
          <w:lang w:val="en-IE"/>
        </w:rPr>
      </w:pPr>
      <w:r w:rsidRPr="004E2424">
        <w:rPr>
          <w:rFonts w:ascii="Times New Roman" w:hAnsi="Times New Roman"/>
          <w:bCs/>
          <w:iCs/>
          <w:noProof/>
          <w:sz w:val="24"/>
          <w:lang w:val="en-IE"/>
        </w:rPr>
        <w:t>In conclusion, while eu-LISA has made significant strides in upholding data protection and security obligations, there is always a need for continued vigilance and adaptation to address emerging challenges effectively.</w:t>
      </w:r>
    </w:p>
    <w:p w14:paraId="33F64DFA" w14:textId="3D02507C" w:rsidR="002F0CAD" w:rsidRPr="002F0CAD" w:rsidRDefault="002F0CAD" w:rsidP="002F0CAD">
      <w:pPr>
        <w:jc w:val="both"/>
        <w:rPr>
          <w:rFonts w:ascii="Times New Roman" w:hAnsi="Times New Roman" w:cs="Times New Roman"/>
          <w:b/>
          <w:bCs/>
          <w:i/>
          <w:iCs/>
          <w:noProof/>
          <w:sz w:val="24"/>
          <w:szCs w:val="24"/>
          <w:lang w:val="en-GB"/>
        </w:rPr>
      </w:pPr>
      <w:r w:rsidRPr="002F0CAD">
        <w:rPr>
          <w:rFonts w:ascii="Times New Roman" w:hAnsi="Times New Roman" w:cs="Times New Roman"/>
          <w:b/>
          <w:bCs/>
          <w:i/>
          <w:iCs/>
          <w:noProof/>
          <w:sz w:val="24"/>
          <w:szCs w:val="24"/>
          <w:lang w:val="en-GB"/>
        </w:rPr>
        <w:t>How has eu-LISA performed in the development of new large-scale IT systems?</w:t>
      </w:r>
    </w:p>
    <w:p w14:paraId="754B2CB5" w14:textId="70E0E603" w:rsidR="00B84465" w:rsidRPr="00B84465" w:rsidRDefault="00B84465" w:rsidP="00B84465">
      <w:pPr>
        <w:jc w:val="both"/>
        <w:rPr>
          <w:rFonts w:ascii="Times New Roman" w:hAnsi="Times New Roman"/>
          <w:bCs/>
          <w:iCs/>
          <w:noProof/>
          <w:sz w:val="24"/>
          <w:lang w:val="en-GB"/>
        </w:rPr>
      </w:pPr>
      <w:r w:rsidRPr="00B84465">
        <w:rPr>
          <w:rFonts w:ascii="Times New Roman" w:hAnsi="Times New Roman"/>
          <w:bCs/>
          <w:iCs/>
          <w:noProof/>
          <w:sz w:val="24"/>
          <w:lang w:val="en-GB"/>
        </w:rPr>
        <w:t xml:space="preserve">eu-LISA's performance in developing new large-scale IT systems shows a mixed picture, characterised by successes, but more increasing and pressing challenges with the development of selected new systems such as the EES. </w:t>
      </w:r>
    </w:p>
    <w:p w14:paraId="5FFF015B" w14:textId="58A342DB" w:rsidR="00B84465" w:rsidRPr="00B84465" w:rsidRDefault="00B84465" w:rsidP="00B84465">
      <w:pPr>
        <w:jc w:val="both"/>
        <w:rPr>
          <w:rFonts w:ascii="Times New Roman" w:hAnsi="Times New Roman"/>
          <w:bCs/>
          <w:iCs/>
          <w:noProof/>
          <w:sz w:val="24"/>
          <w:lang w:val="en-GB"/>
        </w:rPr>
      </w:pPr>
      <w:r w:rsidRPr="00B84465">
        <w:rPr>
          <w:rFonts w:ascii="Times New Roman" w:hAnsi="Times New Roman"/>
          <w:bCs/>
          <w:iCs/>
          <w:noProof/>
          <w:sz w:val="24"/>
          <w:lang w:val="en-GB"/>
        </w:rPr>
        <w:t>Notably, while users expressed satisfaction with the efficiency of maintenance work, uninterrupted availability, and responsiveness of eu-LISA in managing existing systems, sentiments by survey respondents and interviewees regarding the development of new systems were less favourable.</w:t>
      </w:r>
      <w:r w:rsidR="003D528D">
        <w:rPr>
          <w:rStyle w:val="FootnoteReference"/>
          <w:rFonts w:ascii="Times New Roman" w:hAnsi="Times New Roman"/>
          <w:bCs/>
          <w:iCs/>
          <w:noProof/>
          <w:lang w:val="en-GB"/>
        </w:rPr>
        <w:footnoteReference w:id="39"/>
      </w:r>
    </w:p>
    <w:p w14:paraId="152CBB55" w14:textId="75918720" w:rsidR="00B84465" w:rsidRDefault="00B84465" w:rsidP="000E5D04">
      <w:pPr>
        <w:jc w:val="both"/>
        <w:rPr>
          <w:rFonts w:ascii="Times New Roman" w:hAnsi="Times New Roman" w:cs="Times New Roman"/>
          <w:noProof/>
          <w:sz w:val="24"/>
          <w:szCs w:val="24"/>
          <w:lang w:val="en-IE"/>
        </w:rPr>
      </w:pPr>
      <w:r w:rsidRPr="00B84465">
        <w:rPr>
          <w:rFonts w:ascii="Times New Roman" w:hAnsi="Times New Roman"/>
          <w:bCs/>
          <w:iCs/>
          <w:noProof/>
          <w:sz w:val="24"/>
          <w:lang w:val="en-GB"/>
        </w:rPr>
        <w:t>Delays in the development of the EES, but also ETIAS</w:t>
      </w:r>
      <w:r w:rsidR="00CD0871">
        <w:rPr>
          <w:rFonts w:ascii="Times New Roman" w:hAnsi="Times New Roman"/>
          <w:bCs/>
          <w:iCs/>
          <w:noProof/>
          <w:sz w:val="24"/>
          <w:lang w:val="en-GB"/>
        </w:rPr>
        <w:t xml:space="preserve"> and ECRIS-TCN,</w:t>
      </w:r>
      <w:r w:rsidRPr="00B84465">
        <w:rPr>
          <w:rFonts w:ascii="Times New Roman" w:hAnsi="Times New Roman"/>
          <w:bCs/>
          <w:iCs/>
          <w:noProof/>
          <w:sz w:val="24"/>
          <w:lang w:val="en-GB"/>
        </w:rPr>
        <w:t xml:space="preserve"> have eroded stakeholders' confidence in eu-LISA's capacity to deliver efficiently in the future as can be seen from consultations with the PMB, the user survey as well as concluded from several interviews from both the operational and management perspective.</w:t>
      </w:r>
      <w:r w:rsidRPr="00B52048">
        <w:rPr>
          <w:rFonts w:ascii="Times New Roman" w:hAnsi="Times New Roman" w:cs="Times New Roman"/>
          <w:noProof/>
          <w:sz w:val="24"/>
          <w:szCs w:val="24"/>
          <w:lang w:val="en-IE"/>
        </w:rPr>
        <w:t xml:space="preserve"> In relation to these systems, significant quality and delivery issues have been encountered which, in turn, resulted in cascading delays that impacted dependent work streams and systems</w:t>
      </w:r>
      <w:r>
        <w:rPr>
          <w:rFonts w:ascii="Times New Roman" w:hAnsi="Times New Roman" w:cs="Times New Roman"/>
          <w:noProof/>
          <w:sz w:val="24"/>
          <w:szCs w:val="24"/>
          <w:lang w:val="en-IE"/>
        </w:rPr>
        <w:t xml:space="preserve"> </w:t>
      </w:r>
      <w:r w:rsidRPr="00E14C76">
        <w:rPr>
          <w:rFonts w:ascii="Times New Roman" w:hAnsi="Times New Roman" w:cs="Times New Roman"/>
          <w:noProof/>
          <w:sz w:val="24"/>
          <w:szCs w:val="24"/>
          <w:lang w:val="en-IE"/>
        </w:rPr>
        <w:t xml:space="preserve">For example, the revised roadmap </w:t>
      </w:r>
      <w:r>
        <w:rPr>
          <w:rFonts w:ascii="Times New Roman" w:hAnsi="Times New Roman" w:cs="Times New Roman"/>
          <w:noProof/>
          <w:sz w:val="24"/>
          <w:szCs w:val="24"/>
          <w:lang w:val="en-IE"/>
        </w:rPr>
        <w:t xml:space="preserve">at the time of the </w:t>
      </w:r>
      <w:r w:rsidR="00282700">
        <w:rPr>
          <w:rFonts w:ascii="Times New Roman" w:hAnsi="Times New Roman" w:cs="Times New Roman"/>
          <w:noProof/>
          <w:sz w:val="24"/>
          <w:szCs w:val="24"/>
          <w:lang w:val="en-IE"/>
        </w:rPr>
        <w:t xml:space="preserve">supporting </w:t>
      </w:r>
      <w:r>
        <w:rPr>
          <w:rFonts w:ascii="Times New Roman" w:hAnsi="Times New Roman" w:cs="Times New Roman"/>
          <w:noProof/>
          <w:sz w:val="24"/>
          <w:szCs w:val="24"/>
          <w:lang w:val="en-IE"/>
        </w:rPr>
        <w:t xml:space="preserve">study </w:t>
      </w:r>
      <w:r w:rsidRPr="00E14C76">
        <w:rPr>
          <w:rFonts w:ascii="Times New Roman" w:hAnsi="Times New Roman" w:cs="Times New Roman"/>
          <w:noProof/>
          <w:sz w:val="24"/>
          <w:szCs w:val="24"/>
          <w:lang w:val="en-IE"/>
        </w:rPr>
        <w:t>indicate</w:t>
      </w:r>
      <w:r>
        <w:rPr>
          <w:rFonts w:ascii="Times New Roman" w:hAnsi="Times New Roman" w:cs="Times New Roman"/>
          <w:noProof/>
          <w:sz w:val="24"/>
          <w:szCs w:val="24"/>
          <w:lang w:val="en-IE"/>
        </w:rPr>
        <w:t>d</w:t>
      </w:r>
      <w:r w:rsidRPr="00E14C76">
        <w:rPr>
          <w:rFonts w:ascii="Times New Roman" w:hAnsi="Times New Roman" w:cs="Times New Roman"/>
          <w:noProof/>
          <w:sz w:val="24"/>
          <w:szCs w:val="24"/>
          <w:lang w:val="en-IE"/>
        </w:rPr>
        <w:t xml:space="preserve"> that EES </w:t>
      </w:r>
      <w:r>
        <w:rPr>
          <w:rFonts w:ascii="Times New Roman" w:hAnsi="Times New Roman" w:cs="Times New Roman"/>
          <w:noProof/>
          <w:sz w:val="24"/>
          <w:szCs w:val="24"/>
          <w:lang w:val="en-IE"/>
        </w:rPr>
        <w:t>was</w:t>
      </w:r>
      <w:r w:rsidRPr="00E14C76">
        <w:rPr>
          <w:rFonts w:ascii="Times New Roman" w:hAnsi="Times New Roman" w:cs="Times New Roman"/>
          <w:noProof/>
          <w:sz w:val="24"/>
          <w:szCs w:val="24"/>
          <w:lang w:val="en-IE"/>
        </w:rPr>
        <w:t xml:space="preserve"> planned to commence operations in late 2024, while ETIAS </w:t>
      </w:r>
      <w:r>
        <w:rPr>
          <w:rFonts w:ascii="Times New Roman" w:hAnsi="Times New Roman" w:cs="Times New Roman"/>
          <w:noProof/>
          <w:sz w:val="24"/>
          <w:szCs w:val="24"/>
          <w:lang w:val="en-IE"/>
        </w:rPr>
        <w:t>was</w:t>
      </w:r>
      <w:r w:rsidRPr="00E14C76">
        <w:rPr>
          <w:rFonts w:ascii="Times New Roman" w:hAnsi="Times New Roman" w:cs="Times New Roman"/>
          <w:noProof/>
          <w:sz w:val="24"/>
          <w:szCs w:val="24"/>
          <w:lang w:val="en-IE"/>
        </w:rPr>
        <w:t xml:space="preserve"> scheduled to become operational in the first half of 2025</w:t>
      </w:r>
      <w:r>
        <w:rPr>
          <w:rFonts w:ascii="Times New Roman" w:hAnsi="Times New Roman" w:cs="Times New Roman"/>
          <w:noProof/>
          <w:sz w:val="24"/>
          <w:szCs w:val="24"/>
          <w:lang w:val="en-IE"/>
        </w:rPr>
        <w:t>. According to the current planning EES is scheduled in late 2025 and ETIAS in late 2026</w:t>
      </w:r>
      <w:r w:rsidRPr="004E2424">
        <w:rPr>
          <w:rFonts w:ascii="Times New Roman" w:hAnsi="Times New Roman" w:cs="Times New Roman"/>
          <w:noProof/>
          <w:sz w:val="24"/>
          <w:szCs w:val="24"/>
          <w:lang w:val="en-IE"/>
        </w:rPr>
        <w:t>.</w:t>
      </w:r>
      <w:r w:rsidRPr="00B52048">
        <w:rPr>
          <w:rFonts w:ascii="Times New Roman" w:hAnsi="Times New Roman" w:cs="Times New Roman"/>
          <w:noProof/>
          <w:sz w:val="24"/>
          <w:szCs w:val="24"/>
          <w:lang w:val="en-IE"/>
        </w:rPr>
        <w:t xml:space="preserve"> </w:t>
      </w:r>
      <w:r w:rsidRPr="00EA4173">
        <w:rPr>
          <w:rFonts w:ascii="Times New Roman" w:hAnsi="Times New Roman" w:cs="Times New Roman"/>
          <w:noProof/>
          <w:sz w:val="24"/>
          <w:szCs w:val="24"/>
          <w:lang w:val="en-IE"/>
        </w:rPr>
        <w:t>It should be noted</w:t>
      </w:r>
      <w:r>
        <w:rPr>
          <w:rFonts w:ascii="Times New Roman" w:hAnsi="Times New Roman" w:cs="Times New Roman"/>
          <w:noProof/>
          <w:sz w:val="24"/>
          <w:szCs w:val="24"/>
          <w:lang w:val="en-IE"/>
        </w:rPr>
        <w:t>, however,</w:t>
      </w:r>
      <w:r w:rsidRPr="00EA4173">
        <w:rPr>
          <w:rFonts w:ascii="Times New Roman" w:hAnsi="Times New Roman" w:cs="Times New Roman"/>
          <w:noProof/>
          <w:sz w:val="24"/>
          <w:szCs w:val="24"/>
          <w:lang w:val="en-IE"/>
        </w:rPr>
        <w:t xml:space="preserve"> that developing a completely new system and revising or transferring an existing one, such as the recast of the VIS, present distinct challenges. While new system development offers possibilities for flexibility and innovation, it requires extensive planning and testing to ensure compatibility and functionality. Recasting an existing system involves modifying existing infrastructure, which can expedite deployment, but may result in complexities in integrating with legacy systems and accommodating evolving requirements. Whereas eu-LISA was less effective with regard to the development of completely new systems, there are good practices and positive lessons learned from the recast of existing systems, such as the SIS.</w:t>
      </w:r>
    </w:p>
    <w:p w14:paraId="701B6A84" w14:textId="6C29CA8F" w:rsidR="00B84465" w:rsidRPr="00B52048" w:rsidRDefault="439A748B" w:rsidP="00B84465">
      <w:pPr>
        <w:jc w:val="both"/>
        <w:rPr>
          <w:rFonts w:ascii="Times New Roman" w:hAnsi="Times New Roman" w:cs="Times New Roman"/>
          <w:noProof/>
          <w:sz w:val="24"/>
          <w:szCs w:val="24"/>
          <w:lang w:val="en-IE"/>
        </w:rPr>
      </w:pPr>
      <w:r w:rsidRPr="1F7CBA1A">
        <w:rPr>
          <w:rFonts w:ascii="Times New Roman" w:hAnsi="Times New Roman"/>
          <w:noProof/>
          <w:sz w:val="24"/>
          <w:szCs w:val="24"/>
          <w:lang w:val="en-GB"/>
        </w:rPr>
        <w:t>Moreover, there have been challenges in taking up new justice-related systems, where functional knowledge had to be built up at eu-LISA such as ECRIS-TCN and the JITs collaboration platform, underscore the complexity of the Agency's mandate.</w:t>
      </w:r>
      <w:r>
        <w:rPr>
          <w:rFonts w:ascii="Times New Roman" w:hAnsi="Times New Roman" w:cs="Times New Roman"/>
          <w:noProof/>
          <w:sz w:val="24"/>
          <w:szCs w:val="24"/>
          <w:lang w:val="en-IE"/>
        </w:rPr>
        <w:t xml:space="preserve"> In particular, </w:t>
      </w:r>
      <w:r w:rsidR="2FBB5898" w:rsidRPr="00B52048">
        <w:rPr>
          <w:rFonts w:ascii="Times New Roman" w:hAnsi="Times New Roman" w:cs="Times New Roman"/>
          <w:noProof/>
          <w:sz w:val="24"/>
          <w:szCs w:val="24"/>
          <w:lang w:val="en-IE"/>
        </w:rPr>
        <w:t>the development and takeover of justice systems such as e-CODEX has also been highlighted as challenging by stakeholders from the justice area</w:t>
      </w:r>
      <w:r w:rsidR="2FBB5898">
        <w:rPr>
          <w:rFonts w:ascii="Times New Roman" w:hAnsi="Times New Roman" w:cs="Times New Roman"/>
          <w:noProof/>
          <w:sz w:val="24"/>
          <w:szCs w:val="24"/>
          <w:lang w:val="en-IE"/>
        </w:rPr>
        <w:t xml:space="preserve">, </w:t>
      </w:r>
      <w:r w:rsidR="2FBB5898" w:rsidRPr="00E14C76">
        <w:rPr>
          <w:rFonts w:ascii="Times New Roman" w:hAnsi="Times New Roman" w:cs="Times New Roman"/>
          <w:noProof/>
          <w:sz w:val="24"/>
          <w:szCs w:val="24"/>
          <w:lang w:val="en-GB"/>
        </w:rPr>
        <w:t>including members of the e-CODEX AG and PMB. This stems from the fact these IT systems are very different in their functionality and (business) processes</w:t>
      </w:r>
      <w:r w:rsidR="2FBB5898" w:rsidRPr="00B52048">
        <w:rPr>
          <w:rFonts w:ascii="Times New Roman" w:hAnsi="Times New Roman" w:cs="Times New Roman"/>
          <w:noProof/>
          <w:sz w:val="24"/>
          <w:szCs w:val="24"/>
          <w:lang w:val="en-IE"/>
        </w:rPr>
        <w:t xml:space="preserve"> from the other systems (such as SIS) that eu-LISA has been managing before. </w:t>
      </w:r>
      <w:r w:rsidR="2FBB5898" w:rsidRPr="00E14C76">
        <w:rPr>
          <w:rFonts w:ascii="Times New Roman" w:hAnsi="Times New Roman" w:cs="Times New Roman"/>
          <w:noProof/>
          <w:sz w:val="24"/>
          <w:szCs w:val="24"/>
          <w:lang w:val="en-IE"/>
        </w:rPr>
        <w:t xml:space="preserve">Hence, the necessary awareness and expertise (e.g. regarding the respect of the principle of the independence of the judiciary) had to be gradually built up in order to ensure that no infringements (e.g. at the technical level) take place. On the positive side, the structured and regular participation of members from the e-CODEX community, including those represented in the PMB, has proven beneficial. According to several interviewees from the justice community and in particular the e-CODEX AG </w:t>
      </w:r>
      <w:r w:rsidR="2FBB5898">
        <w:rPr>
          <w:rFonts w:ascii="Times New Roman" w:hAnsi="Times New Roman" w:cs="Times New Roman"/>
          <w:noProof/>
          <w:sz w:val="24"/>
          <w:szCs w:val="24"/>
          <w:lang w:val="en-IE"/>
        </w:rPr>
        <w:t xml:space="preserve">and </w:t>
      </w:r>
      <w:r w:rsidR="2FBB5898" w:rsidRPr="00E14C76">
        <w:rPr>
          <w:rFonts w:ascii="Times New Roman" w:hAnsi="Times New Roman" w:cs="Times New Roman"/>
          <w:noProof/>
          <w:sz w:val="24"/>
          <w:szCs w:val="24"/>
          <w:lang w:val="en-IE"/>
        </w:rPr>
        <w:t>PMB, the extensive experience with and maturity of e-CODEX when it was handed over have, overall, facilitated a smooth transition. According to their perception, eu-LISA has a strong track record of bringing together various communities and has gained substantial knowledge about e-CODEX over the year during the handover</w:t>
      </w:r>
      <w:r w:rsidR="2FBB5898">
        <w:rPr>
          <w:rFonts w:ascii="Times New Roman" w:hAnsi="Times New Roman" w:cs="Times New Roman"/>
          <w:noProof/>
          <w:sz w:val="24"/>
          <w:szCs w:val="24"/>
          <w:lang w:val="en-IE"/>
        </w:rPr>
        <w:t xml:space="preserve">. </w:t>
      </w:r>
      <w:r w:rsidR="2FBB5898" w:rsidRPr="00B52048">
        <w:rPr>
          <w:rFonts w:ascii="Times New Roman" w:hAnsi="Times New Roman" w:cs="Times New Roman"/>
          <w:noProof/>
          <w:sz w:val="24"/>
          <w:szCs w:val="24"/>
          <w:lang w:val="en-IE"/>
        </w:rPr>
        <w:t xml:space="preserve">Most stakeholders also see various opportunities </w:t>
      </w:r>
      <w:r w:rsidR="2FBB5898">
        <w:rPr>
          <w:rFonts w:ascii="Times New Roman" w:hAnsi="Times New Roman" w:cs="Times New Roman"/>
          <w:noProof/>
          <w:sz w:val="24"/>
          <w:szCs w:val="24"/>
          <w:lang w:val="en-IE"/>
        </w:rPr>
        <w:t>for further involvement</w:t>
      </w:r>
      <w:r w:rsidR="2FBB5898" w:rsidRPr="00B52048">
        <w:rPr>
          <w:rFonts w:ascii="Times New Roman" w:hAnsi="Times New Roman" w:cs="Times New Roman"/>
          <w:noProof/>
          <w:sz w:val="24"/>
          <w:szCs w:val="24"/>
          <w:lang w:val="en-IE"/>
        </w:rPr>
        <w:t xml:space="preserve"> </w:t>
      </w:r>
      <w:r w:rsidR="2FBB5898">
        <w:rPr>
          <w:rFonts w:ascii="Times New Roman" w:hAnsi="Times New Roman" w:cs="Times New Roman"/>
          <w:noProof/>
          <w:sz w:val="24"/>
          <w:szCs w:val="24"/>
          <w:lang w:val="en-IE"/>
        </w:rPr>
        <w:t>in</w:t>
      </w:r>
      <w:r w:rsidR="2FBB5898" w:rsidRPr="00B52048">
        <w:rPr>
          <w:rFonts w:ascii="Times New Roman" w:hAnsi="Times New Roman" w:cs="Times New Roman"/>
          <w:noProof/>
          <w:sz w:val="24"/>
          <w:szCs w:val="24"/>
          <w:lang w:val="en-IE"/>
        </w:rPr>
        <w:t xml:space="preserve"> the management of justice systems within the Agency, such as </w:t>
      </w:r>
      <w:r w:rsidR="2FBB5898" w:rsidRPr="64039A25">
        <w:rPr>
          <w:rFonts w:ascii="Times New Roman" w:hAnsi="Times New Roman" w:cs="Times New Roman"/>
          <w:noProof/>
          <w:sz w:val="24"/>
          <w:szCs w:val="24"/>
          <w:lang w:val="en-IE"/>
        </w:rPr>
        <w:t>the possibility for eu-LISA to contribute with high-level</w:t>
      </w:r>
      <w:r w:rsidR="5A7B42F5">
        <w:rPr>
          <w:rFonts w:ascii="Times New Roman" w:hAnsi="Times New Roman" w:cs="Times New Roman"/>
          <w:noProof/>
          <w:sz w:val="24"/>
          <w:szCs w:val="24"/>
          <w:lang w:val="en-IE"/>
        </w:rPr>
        <w:t xml:space="preserve"> technical</w:t>
      </w:r>
      <w:r w:rsidR="2FBB5898" w:rsidRPr="64039A25">
        <w:rPr>
          <w:rFonts w:ascii="Times New Roman" w:hAnsi="Times New Roman" w:cs="Times New Roman"/>
          <w:noProof/>
          <w:sz w:val="24"/>
          <w:szCs w:val="24"/>
          <w:lang w:val="en-IE"/>
        </w:rPr>
        <w:t xml:space="preserve"> expertise in the comitology</w:t>
      </w:r>
      <w:r w:rsidR="2FBB5898" w:rsidRPr="004E2424">
        <w:rPr>
          <w:rFonts w:ascii="Times New Roman" w:hAnsi="Times New Roman" w:cs="Times New Roman"/>
          <w:noProof/>
          <w:sz w:val="24"/>
          <w:szCs w:val="24"/>
          <w:lang w:val="en-IE"/>
        </w:rPr>
        <w:t>, as it is now the case in the Home Affairs systems</w:t>
      </w:r>
      <w:r w:rsidR="00B84465" w:rsidRPr="1F7CBA1A">
        <w:rPr>
          <w:rStyle w:val="FootnoteReference"/>
          <w:rFonts w:ascii="Times New Roman" w:hAnsi="Times New Roman" w:cs="Times New Roman"/>
          <w:noProof/>
        </w:rPr>
        <w:footnoteReference w:id="40"/>
      </w:r>
      <w:r w:rsidR="2FBB5898" w:rsidRPr="64039A25">
        <w:rPr>
          <w:rFonts w:ascii="Times New Roman" w:hAnsi="Times New Roman" w:cs="Times New Roman"/>
          <w:noProof/>
          <w:sz w:val="24"/>
          <w:szCs w:val="24"/>
          <w:lang w:val="en-IE"/>
        </w:rPr>
        <w:t>,</w:t>
      </w:r>
      <w:r w:rsidR="2FBB5898" w:rsidRPr="00B52048">
        <w:rPr>
          <w:rFonts w:ascii="Times New Roman" w:hAnsi="Times New Roman" w:cs="Times New Roman"/>
          <w:noProof/>
          <w:sz w:val="24"/>
          <w:szCs w:val="24"/>
          <w:lang w:val="en-IE"/>
        </w:rPr>
        <w:t xml:space="preserve"> to become a recognised institution to </w:t>
      </w:r>
      <w:r w:rsidR="00CD0871">
        <w:rPr>
          <w:rFonts w:ascii="Times New Roman" w:hAnsi="Times New Roman" w:cs="Times New Roman"/>
          <w:noProof/>
          <w:sz w:val="24"/>
          <w:szCs w:val="24"/>
          <w:lang w:val="en-IE"/>
        </w:rPr>
        <w:t>align technical</w:t>
      </w:r>
      <w:r w:rsidR="00CD0871" w:rsidRPr="00B52048">
        <w:rPr>
          <w:rFonts w:ascii="Times New Roman" w:hAnsi="Times New Roman" w:cs="Times New Roman"/>
          <w:noProof/>
          <w:sz w:val="24"/>
          <w:szCs w:val="24"/>
          <w:lang w:val="en-IE"/>
        </w:rPr>
        <w:t xml:space="preserve"> </w:t>
      </w:r>
      <w:r w:rsidR="2FBB5898" w:rsidRPr="00B52048">
        <w:rPr>
          <w:rFonts w:ascii="Times New Roman" w:hAnsi="Times New Roman" w:cs="Times New Roman"/>
          <w:noProof/>
          <w:sz w:val="24"/>
          <w:szCs w:val="24"/>
          <w:lang w:val="en-IE"/>
        </w:rPr>
        <w:t xml:space="preserve">approaches between Member States and to become a technical pillar of the justice community. At the current stage, however, it was highlighted that the expertise within the Agency is rather technical/law enforcement-related, still requiring </w:t>
      </w:r>
      <w:r w:rsidR="2FBB5898" w:rsidRPr="64039A25">
        <w:rPr>
          <w:rFonts w:ascii="Times New Roman" w:hAnsi="Times New Roman" w:cs="Times New Roman"/>
          <w:noProof/>
          <w:sz w:val="24"/>
          <w:szCs w:val="24"/>
          <w:lang w:val="en-IE"/>
        </w:rPr>
        <w:t xml:space="preserve">additional expertise in the justice sector </w:t>
      </w:r>
      <w:r w:rsidR="2FBB5898" w:rsidRPr="00B52048">
        <w:rPr>
          <w:rFonts w:ascii="Times New Roman" w:hAnsi="Times New Roman" w:cs="Times New Roman"/>
          <w:noProof/>
          <w:sz w:val="24"/>
          <w:szCs w:val="24"/>
          <w:lang w:val="en-IE"/>
        </w:rPr>
        <w:t xml:space="preserve">before it can </w:t>
      </w:r>
      <w:r w:rsidR="5A7B42F5">
        <w:rPr>
          <w:rFonts w:ascii="Times New Roman" w:hAnsi="Times New Roman" w:cs="Times New Roman"/>
          <w:noProof/>
          <w:sz w:val="24"/>
          <w:szCs w:val="24"/>
          <w:lang w:val="en-IE"/>
        </w:rPr>
        <w:t>participate in</w:t>
      </w:r>
      <w:r w:rsidR="2FBB5898" w:rsidRPr="00B52048">
        <w:rPr>
          <w:rFonts w:ascii="Times New Roman" w:hAnsi="Times New Roman" w:cs="Times New Roman"/>
          <w:noProof/>
          <w:sz w:val="24"/>
          <w:szCs w:val="24"/>
          <w:lang w:val="en-IE"/>
        </w:rPr>
        <w:t xml:space="preserve"> a role as described above. </w:t>
      </w:r>
    </w:p>
    <w:p w14:paraId="45EB8A0D" w14:textId="020DE8CE" w:rsidR="00B84465" w:rsidRPr="00B84465" w:rsidRDefault="00B84465" w:rsidP="00B84465">
      <w:pPr>
        <w:jc w:val="both"/>
        <w:rPr>
          <w:rFonts w:ascii="Times New Roman" w:hAnsi="Times New Roman"/>
          <w:bCs/>
          <w:iCs/>
          <w:noProof/>
          <w:sz w:val="24"/>
          <w:lang w:val="en-GB"/>
        </w:rPr>
      </w:pPr>
      <w:r w:rsidRPr="00B84465">
        <w:rPr>
          <w:rFonts w:ascii="Times New Roman" w:hAnsi="Times New Roman"/>
          <w:bCs/>
          <w:iCs/>
          <w:noProof/>
          <w:sz w:val="24"/>
          <w:lang w:val="en-GB"/>
        </w:rPr>
        <w:t xml:space="preserve">While some specific interoperability systems such as the European Search Portal and Shared Biometric Matching Service are perceived as moderately to largely developed by survey respondents, others such as the Multiple Identity Detector exhibit limited progress. Consequently, the Agency's ability to contribute to the timely development of new systems is, on average, rated as only moderately successful by respondents. </w:t>
      </w:r>
    </w:p>
    <w:p w14:paraId="781BF766" w14:textId="77777777" w:rsidR="00B84465" w:rsidRPr="00B84465" w:rsidRDefault="00B84465" w:rsidP="00B84465">
      <w:pPr>
        <w:jc w:val="both"/>
        <w:rPr>
          <w:rFonts w:ascii="Times New Roman" w:hAnsi="Times New Roman"/>
          <w:bCs/>
          <w:iCs/>
          <w:noProof/>
          <w:sz w:val="24"/>
          <w:lang w:val="en-GB"/>
        </w:rPr>
      </w:pPr>
      <w:r w:rsidRPr="00B84465">
        <w:rPr>
          <w:rFonts w:ascii="Times New Roman" w:hAnsi="Times New Roman"/>
          <w:bCs/>
          <w:iCs/>
          <w:noProof/>
          <w:sz w:val="24"/>
          <w:lang w:val="en-GB"/>
        </w:rPr>
        <w:t xml:space="preserve">A significant concern highlighted by stakeholders is the over-reliance on external contractors for system development. This dependency raises issues of knowledge retention and control over development processes, potentially compromising flexibility and adaptability in the long term. Additionally, resource constraints and shifting priorities contribute to discrepancies between planned and actual activities, posing further challenges to effective system development. Despite these challenges, eu-LISA's introduction of interoperability components such as the CSI programme shows that the Agency is actively addressing historical inefficiencies and enhancing interoperability. The CSI platform aims to streamline operations and improve system scalability, aligning with the Agency's transformative objectives. </w:t>
      </w:r>
    </w:p>
    <w:p w14:paraId="63EF0CB9" w14:textId="462BF640" w:rsidR="00B84465" w:rsidRPr="00B84465" w:rsidRDefault="00B84465" w:rsidP="00B84465">
      <w:pPr>
        <w:jc w:val="both"/>
        <w:rPr>
          <w:rFonts w:ascii="Times New Roman" w:hAnsi="Times New Roman"/>
          <w:bCs/>
          <w:iCs/>
          <w:noProof/>
          <w:sz w:val="24"/>
          <w:lang w:val="en-GB"/>
        </w:rPr>
      </w:pPr>
      <w:r w:rsidRPr="00B84465">
        <w:rPr>
          <w:rFonts w:ascii="Times New Roman" w:hAnsi="Times New Roman"/>
          <w:bCs/>
          <w:iCs/>
          <w:noProof/>
          <w:sz w:val="24"/>
          <w:lang w:val="en-GB"/>
        </w:rPr>
        <w:t>In conclusion, while eu-LISA has been effective in managing existing systems and some new interoperability components, the development of new large-scale IT systems presents distinct challenges that require proactive strategies and collaboration with stakeholders. Overall, this reflects a need for strategic adjustments and a concerted effort to overcome existing challenges.</w:t>
      </w:r>
    </w:p>
    <w:p w14:paraId="5711158C" w14:textId="6948C375" w:rsidR="00403788" w:rsidRPr="002F0CAD" w:rsidRDefault="25469881" w:rsidP="1F7CBA1A">
      <w:pPr>
        <w:jc w:val="both"/>
        <w:rPr>
          <w:rFonts w:ascii="Times New Roman" w:hAnsi="Times New Roman" w:cs="Times New Roman"/>
          <w:b/>
          <w:bCs/>
          <w:i/>
          <w:iCs/>
          <w:noProof/>
          <w:sz w:val="24"/>
          <w:szCs w:val="24"/>
          <w:lang w:val="en-GB"/>
        </w:rPr>
      </w:pPr>
      <w:r w:rsidRPr="1F7CBA1A">
        <w:rPr>
          <w:rFonts w:ascii="Times New Roman" w:hAnsi="Times New Roman" w:cs="Times New Roman"/>
          <w:b/>
          <w:bCs/>
          <w:i/>
          <w:iCs/>
          <w:noProof/>
          <w:sz w:val="24"/>
          <w:szCs w:val="24"/>
          <w:lang w:val="en-GB"/>
        </w:rPr>
        <w:t>To what extent have eu-LISA tripartite set-up and governance structure affected the performance of the Agency in delivering its core tasks?</w:t>
      </w:r>
    </w:p>
    <w:p w14:paraId="2E513D1A" w14:textId="094CC288" w:rsidR="00B03F2F" w:rsidRPr="00B03F2F" w:rsidRDefault="00B03F2F" w:rsidP="00B03F2F">
      <w:pPr>
        <w:jc w:val="both"/>
        <w:rPr>
          <w:rFonts w:ascii="Times New Roman" w:hAnsi="Times New Roman"/>
          <w:bCs/>
          <w:iCs/>
          <w:noProof/>
          <w:sz w:val="24"/>
          <w:lang w:val="en-GB"/>
        </w:rPr>
      </w:pPr>
      <w:r w:rsidRPr="00B03F2F">
        <w:rPr>
          <w:rFonts w:ascii="Times New Roman" w:hAnsi="Times New Roman"/>
          <w:bCs/>
          <w:iCs/>
          <w:noProof/>
          <w:sz w:val="24"/>
          <w:lang w:val="en-GB"/>
        </w:rPr>
        <w:t xml:space="preserve">This question concerns the split-up of eu-LISA over three main locations in Tallinn (Estonia), Strasbourg (France) and St. Johann im Pongau (Austria), and how this set-up affects the performance of the Agency in delivering its core tasks, which are defined as development and operation of the large-scale IT-systems. For this purpose, it is important to (i) analyse the separation of tasks between the three locations and (ii) analyse survey and interview perceptions on the tripartite set-up. </w:t>
      </w:r>
    </w:p>
    <w:p w14:paraId="7DA1D9BF" w14:textId="77777777" w:rsidR="00B03F2F" w:rsidRPr="00B03F2F" w:rsidRDefault="00B03F2F" w:rsidP="00B03F2F">
      <w:pPr>
        <w:jc w:val="both"/>
        <w:rPr>
          <w:rFonts w:ascii="Times New Roman" w:hAnsi="Times New Roman"/>
          <w:bCs/>
          <w:iCs/>
          <w:noProof/>
          <w:sz w:val="24"/>
          <w:lang w:val="en-GB"/>
        </w:rPr>
      </w:pPr>
      <w:r w:rsidRPr="00B03F2F">
        <w:rPr>
          <w:rFonts w:ascii="Times New Roman" w:hAnsi="Times New Roman"/>
          <w:bCs/>
          <w:iCs/>
          <w:noProof/>
          <w:sz w:val="24"/>
          <w:lang w:val="en-GB"/>
        </w:rPr>
        <w:t>Based on literature analysed</w:t>
      </w:r>
      <w:r w:rsidRPr="00B03F2F">
        <w:rPr>
          <w:rFonts w:ascii="Times New Roman" w:hAnsi="Times New Roman"/>
          <w:bCs/>
          <w:iCs/>
          <w:noProof/>
          <w:sz w:val="24"/>
          <w:vertAlign w:val="superscript"/>
          <w:lang w:val="en-GB"/>
        </w:rPr>
        <w:footnoteReference w:id="41"/>
      </w:r>
      <w:r w:rsidRPr="00B03F2F">
        <w:rPr>
          <w:rFonts w:ascii="Times New Roman" w:hAnsi="Times New Roman"/>
          <w:bCs/>
          <w:iCs/>
          <w:noProof/>
          <w:sz w:val="24"/>
          <w:lang w:val="en-GB"/>
        </w:rPr>
        <w:t xml:space="preserve"> and stakeholders consulted, it became apparent the headquarters in Tallinn are hosting more horizontal and managerial tasks, whereas the two operational sites in Strasbourg are concerned with the actual development and operation of the IT-systems. St. Johann im Pongau serves also as an operational set-up, providing a back-up in case the systems in France should not be usable. </w:t>
      </w:r>
    </w:p>
    <w:p w14:paraId="452B6348" w14:textId="77777777" w:rsidR="00B03F2F" w:rsidRPr="00B03F2F" w:rsidRDefault="00B03F2F" w:rsidP="00B03F2F">
      <w:pPr>
        <w:jc w:val="both"/>
        <w:rPr>
          <w:rFonts w:ascii="Times New Roman" w:hAnsi="Times New Roman"/>
          <w:bCs/>
          <w:iCs/>
          <w:noProof/>
          <w:sz w:val="24"/>
          <w:lang w:val="en-GB"/>
        </w:rPr>
      </w:pPr>
      <w:r w:rsidRPr="00B03F2F">
        <w:rPr>
          <w:rFonts w:ascii="Times New Roman" w:hAnsi="Times New Roman"/>
          <w:bCs/>
          <w:iCs/>
          <w:noProof/>
          <w:sz w:val="24"/>
          <w:lang w:val="en-GB"/>
        </w:rPr>
        <w:t xml:space="preserve">In general, most staff show understanding for the separation of locations in Tallinn and Strasbourg, particularly as concerns the political dimension of the Agency. In terms of the operational dimension, given that the different main areas of work are clearly separated between different locations, daily tasks can be usually organised and completed within a single location, reducing the need for administrative coordination between the different locations. In case of a need for cross-location coordination, existing communication channels and methods seem to be sufficient to meet the requirements of eu-LISA staff. The back-up site in Austria is at the current stage only marginally included in coordination activities with the other two sites, allowing for it to perform its tasks effectively by itself. These findings are also underlined by the AG/PMB survey, with roughly 75% of stakeholders pointing out that the tripartite set-up does only to a “moderate” “low” or “no” extent have an effect on the Agency’s efficiency. </w:t>
      </w:r>
    </w:p>
    <w:p w14:paraId="3265B44E" w14:textId="4886AF7A" w:rsidR="00CE6EDC" w:rsidRDefault="2DB9D818" w:rsidP="1F7CBA1A">
      <w:pPr>
        <w:jc w:val="both"/>
        <w:rPr>
          <w:rFonts w:ascii="Times New Roman" w:hAnsi="Times New Roman"/>
          <w:noProof/>
          <w:sz w:val="24"/>
          <w:szCs w:val="24"/>
          <w:lang w:val="en-GB"/>
        </w:rPr>
      </w:pPr>
      <w:r w:rsidRPr="1F7CBA1A">
        <w:rPr>
          <w:rFonts w:ascii="Times New Roman" w:hAnsi="Times New Roman"/>
          <w:noProof/>
          <w:sz w:val="24"/>
          <w:szCs w:val="24"/>
          <w:lang w:val="en-GB"/>
        </w:rPr>
        <w:t xml:space="preserve">However, some stakeholders from within eu-LISA consulted via interviews have pointed out that the </w:t>
      </w:r>
      <w:r w:rsidR="00AD638E">
        <w:rPr>
          <w:rFonts w:ascii="Times New Roman" w:hAnsi="Times New Roman"/>
          <w:noProof/>
          <w:sz w:val="24"/>
          <w:szCs w:val="24"/>
          <w:lang w:val="en-GB"/>
        </w:rPr>
        <w:t xml:space="preserve">geographical </w:t>
      </w:r>
      <w:r w:rsidRPr="1F7CBA1A">
        <w:rPr>
          <w:rFonts w:ascii="Times New Roman" w:hAnsi="Times New Roman"/>
          <w:noProof/>
          <w:sz w:val="24"/>
          <w:szCs w:val="24"/>
          <w:lang w:val="en-GB"/>
        </w:rPr>
        <w:t xml:space="preserve">separation of locations </w:t>
      </w:r>
      <w:r w:rsidR="00AD638E">
        <w:rPr>
          <w:rFonts w:ascii="Times New Roman" w:hAnsi="Times New Roman"/>
          <w:noProof/>
          <w:sz w:val="24"/>
          <w:szCs w:val="24"/>
          <w:lang w:val="en-GB"/>
        </w:rPr>
        <w:t xml:space="preserve">can occasionally hinder mutual understanding between staff </w:t>
      </w:r>
      <w:r w:rsidR="00680A42">
        <w:rPr>
          <w:rFonts w:ascii="Times New Roman" w:hAnsi="Times New Roman"/>
          <w:noProof/>
          <w:sz w:val="24"/>
          <w:szCs w:val="24"/>
          <w:lang w:val="en-GB"/>
        </w:rPr>
        <w:t>regarding the concrete and operational needs of other sites.</w:t>
      </w:r>
      <w:r w:rsidRPr="1F7CBA1A">
        <w:rPr>
          <w:rFonts w:ascii="Times New Roman" w:hAnsi="Times New Roman"/>
          <w:noProof/>
          <w:sz w:val="24"/>
          <w:szCs w:val="24"/>
          <w:lang w:val="en-GB"/>
        </w:rPr>
        <w:t xml:space="preserve">. </w:t>
      </w:r>
      <w:r w:rsidR="00680A42">
        <w:rPr>
          <w:rFonts w:ascii="Times New Roman" w:hAnsi="Times New Roman"/>
          <w:noProof/>
          <w:sz w:val="24"/>
          <w:szCs w:val="24"/>
          <w:lang w:val="en-GB"/>
        </w:rPr>
        <w:t>The physical distance</w:t>
      </w:r>
      <w:r w:rsidRPr="1F7CBA1A">
        <w:rPr>
          <w:rFonts w:ascii="Times New Roman" w:hAnsi="Times New Roman"/>
          <w:noProof/>
          <w:sz w:val="24"/>
          <w:szCs w:val="24"/>
          <w:lang w:val="en-GB"/>
        </w:rPr>
        <w:t xml:space="preserve"> between the sites </w:t>
      </w:r>
      <w:r w:rsidR="00D0335D">
        <w:rPr>
          <w:rFonts w:ascii="Times New Roman" w:hAnsi="Times New Roman"/>
          <w:noProof/>
          <w:sz w:val="24"/>
          <w:szCs w:val="24"/>
          <w:lang w:val="en-GB"/>
        </w:rPr>
        <w:t>may also create technical difficulties, such as ensuring availability, connectivity, latency, maintenance, and regular back-ups of systems between the two technical centres in Strasbourg and St</w:t>
      </w:r>
      <w:r w:rsidR="00CE6EDC">
        <w:rPr>
          <w:rFonts w:ascii="Times New Roman" w:hAnsi="Times New Roman"/>
          <w:noProof/>
          <w:sz w:val="24"/>
          <w:szCs w:val="24"/>
          <w:lang w:val="en-GB"/>
        </w:rPr>
        <w:t xml:space="preserve">. Johann in Pngau. </w:t>
      </w:r>
    </w:p>
    <w:p w14:paraId="2FF2B84B" w14:textId="74B11D97" w:rsidR="00BD0943" w:rsidRDefault="2DB9D818" w:rsidP="1F7CBA1A">
      <w:pPr>
        <w:jc w:val="both"/>
        <w:rPr>
          <w:rFonts w:ascii="Times New Roman" w:hAnsi="Times New Roman"/>
          <w:noProof/>
          <w:sz w:val="24"/>
          <w:szCs w:val="24"/>
          <w:lang w:val="en-GB"/>
        </w:rPr>
      </w:pPr>
      <w:r w:rsidRPr="1F7CBA1A">
        <w:rPr>
          <w:rFonts w:ascii="Times New Roman" w:hAnsi="Times New Roman"/>
          <w:noProof/>
          <w:sz w:val="24"/>
          <w:szCs w:val="24"/>
          <w:lang w:val="en-GB"/>
        </w:rPr>
        <w:t xml:space="preserve">In addition, stakeholders have highlighted that both main locations come with location-specific advantages and disadvantages, leading to particular challenges at the different locations. In particular Tallinn was portrayed as a major obstacle for recruiting, given the comparably low salaries (for IT talent) as well as the attractiveness of Tallinn as a city (remote location, harsh weather conditions, connectivity). The office premises, however, were portrayed as central, inviting and modern. Strasbourg’s premises, on the other hand, have been described as rather outdated and uninviting, whereas the geographical location of the city is considered an asset. </w:t>
      </w:r>
      <w:r w:rsidR="001503C1">
        <w:rPr>
          <w:rFonts w:ascii="Times New Roman" w:hAnsi="Times New Roman"/>
          <w:noProof/>
          <w:sz w:val="24"/>
          <w:szCs w:val="24"/>
          <w:lang w:val="en-GB"/>
        </w:rPr>
        <w:t xml:space="preserve">To ensure that staff feel equally valued across eu-LISA’s main locations, further adaptations and investments should be considered to enhance parity in working conditions, for instance in terms of facilities, infrastructure and overall working environment. </w:t>
      </w:r>
      <w:r w:rsidR="00BD0943">
        <w:rPr>
          <w:rFonts w:ascii="Times New Roman" w:hAnsi="Times New Roman"/>
          <w:noProof/>
          <w:sz w:val="24"/>
          <w:szCs w:val="24"/>
          <w:lang w:val="en-GB"/>
        </w:rPr>
        <w:t xml:space="preserve">In the context of a highly competitive </w:t>
      </w:r>
      <w:r w:rsidR="00BB16CA">
        <w:rPr>
          <w:rFonts w:ascii="Times New Roman" w:hAnsi="Times New Roman"/>
          <w:noProof/>
          <w:sz w:val="24"/>
          <w:szCs w:val="24"/>
          <w:lang w:val="en-GB"/>
        </w:rPr>
        <w:t>IT labour market, where working conditions are key to attracting and retaining skilled professionals, ensuring balanced conditions across sites would help strengthen cohe</w:t>
      </w:r>
      <w:r w:rsidR="001477D2">
        <w:rPr>
          <w:rFonts w:ascii="Times New Roman" w:hAnsi="Times New Roman"/>
          <w:noProof/>
          <w:sz w:val="24"/>
          <w:szCs w:val="24"/>
          <w:lang w:val="en-GB"/>
        </w:rPr>
        <w:t xml:space="preserve">sion, and support staff retention within the Agency. </w:t>
      </w:r>
    </w:p>
    <w:p w14:paraId="55B51BB6" w14:textId="77777777" w:rsidR="00B03F2F" w:rsidRPr="00B03F2F" w:rsidRDefault="00B03F2F" w:rsidP="00B03F2F">
      <w:pPr>
        <w:jc w:val="both"/>
        <w:rPr>
          <w:rFonts w:ascii="Times New Roman" w:hAnsi="Times New Roman"/>
          <w:bCs/>
          <w:iCs/>
          <w:noProof/>
          <w:sz w:val="24"/>
          <w:lang w:val="en-GB"/>
        </w:rPr>
      </w:pPr>
      <w:r w:rsidRPr="00B03F2F">
        <w:rPr>
          <w:rFonts w:ascii="Times New Roman" w:hAnsi="Times New Roman"/>
          <w:bCs/>
          <w:iCs/>
          <w:noProof/>
          <w:sz w:val="24"/>
          <w:lang w:val="en-GB"/>
        </w:rPr>
        <w:t>Nonetheless and only with few exceptions, stakeholders largely agreed that the current set-up as foreseen within eu-LISA’s mandate is overall effective and that no major adaptions are needed within the mandate. Adaptions are rather recommended on the operational and organisational levels, through e.g. increased coordination and teaming efforts.</w:t>
      </w:r>
    </w:p>
    <w:p w14:paraId="73463F56" w14:textId="05DE8B8B" w:rsidR="00C77DF0" w:rsidRDefault="00C8235A" w:rsidP="00C77DF0">
      <w:pPr>
        <w:jc w:val="both"/>
        <w:rPr>
          <w:rFonts w:ascii="Times New Roman" w:hAnsi="Times New Roman" w:cs="Times New Roman"/>
          <w:b/>
          <w:bCs/>
          <w:i/>
          <w:iCs/>
          <w:noProof/>
          <w:sz w:val="24"/>
          <w:szCs w:val="24"/>
          <w:lang w:val="en-GB"/>
        </w:rPr>
      </w:pPr>
      <w:r w:rsidRPr="00AB2371">
        <w:rPr>
          <w:rFonts w:ascii="Times New Roman" w:hAnsi="Times New Roman" w:cs="Times New Roman"/>
          <w:b/>
          <w:bCs/>
          <w:i/>
          <w:iCs/>
          <w:noProof/>
          <w:sz w:val="24"/>
          <w:szCs w:val="24"/>
          <w:lang w:val="en-GB"/>
        </w:rPr>
        <w:t>To what extent have eu-LISA’s management structures and monitoring of external contractors been effective to assure compliance and timely implementation of contracts related to the development and operational management of large-scale IT systems?</w:t>
      </w:r>
    </w:p>
    <w:p w14:paraId="1267FD7C" w14:textId="6B83655C" w:rsidR="00264CF1" w:rsidRPr="00264CF1" w:rsidRDefault="00C77DF0" w:rsidP="00264CF1">
      <w:pPr>
        <w:jc w:val="both"/>
        <w:rPr>
          <w:rFonts w:ascii="Times New Roman" w:hAnsi="Times New Roman"/>
          <w:bCs/>
          <w:iCs/>
          <w:noProof/>
          <w:sz w:val="24"/>
          <w:lang w:val="en-GB"/>
        </w:rPr>
      </w:pPr>
      <w:r w:rsidRPr="00B03F2F">
        <w:rPr>
          <w:rFonts w:ascii="Times New Roman" w:hAnsi="Times New Roman"/>
          <w:bCs/>
          <w:iCs/>
          <w:noProof/>
          <w:sz w:val="24"/>
          <w:lang w:val="en-GB"/>
        </w:rPr>
        <w:t xml:space="preserve">This </w:t>
      </w:r>
      <w:r w:rsidR="00264CF1" w:rsidRPr="00264CF1">
        <w:rPr>
          <w:rFonts w:ascii="Times New Roman" w:hAnsi="Times New Roman"/>
          <w:bCs/>
          <w:iCs/>
          <w:noProof/>
          <w:sz w:val="24"/>
          <w:lang w:val="en-GB"/>
        </w:rPr>
        <w:t xml:space="preserve">question concerns the effectiveness of eu-LISA’s outsourcing approach in particular with regard to management structures and monitoring capabilities of the Agency. For this reason, it is important to analyse not only how the current management structures look like but also how stakeholders assess the performance of the current structures. In the second step, an assessment of the appropriateness of the structures follows. </w:t>
      </w:r>
    </w:p>
    <w:p w14:paraId="3A7428C2" w14:textId="42F0585A" w:rsidR="00264CF1" w:rsidRPr="00264CF1" w:rsidRDefault="1F6AD68A" w:rsidP="1F7CBA1A">
      <w:pPr>
        <w:jc w:val="both"/>
        <w:rPr>
          <w:rFonts w:ascii="Times New Roman" w:hAnsi="Times New Roman"/>
          <w:noProof/>
          <w:sz w:val="24"/>
          <w:szCs w:val="24"/>
          <w:lang w:val="en-GB"/>
        </w:rPr>
      </w:pPr>
      <w:r w:rsidRPr="1F7CBA1A">
        <w:rPr>
          <w:rFonts w:ascii="Times New Roman" w:hAnsi="Times New Roman"/>
          <w:noProof/>
          <w:sz w:val="24"/>
          <w:szCs w:val="24"/>
          <w:lang w:val="en-GB"/>
        </w:rPr>
        <w:t>As concerns eu-LISA’s management structures, eu-LISA has long prolonged a rather system silo-centric outsourcing approach, in which tasks have been outsourced based</w:t>
      </w:r>
      <w:r w:rsidR="46692284" w:rsidRPr="1F7CBA1A">
        <w:rPr>
          <w:rFonts w:ascii="Times New Roman" w:hAnsi="Times New Roman"/>
          <w:noProof/>
          <w:sz w:val="24"/>
          <w:szCs w:val="24"/>
          <w:lang w:val="en-GB"/>
        </w:rPr>
        <w:t xml:space="preserve"> on a system-centric model.</w:t>
      </w:r>
      <w:r w:rsidRPr="1F7CBA1A">
        <w:rPr>
          <w:rFonts w:ascii="Times New Roman" w:hAnsi="Times New Roman"/>
          <w:noProof/>
          <w:sz w:val="24"/>
          <w:szCs w:val="24"/>
          <w:lang w:val="en-GB"/>
        </w:rPr>
        <w:t>.</w:t>
      </w:r>
      <w:r w:rsidR="00264CF1" w:rsidRPr="1F7CBA1A">
        <w:rPr>
          <w:rFonts w:ascii="Times New Roman" w:hAnsi="Times New Roman"/>
          <w:noProof/>
          <w:sz w:val="24"/>
          <w:szCs w:val="24"/>
          <w:vertAlign w:val="superscript"/>
          <w:lang w:val="en-GB"/>
        </w:rPr>
        <w:footnoteReference w:id="42"/>
      </w:r>
      <w:r w:rsidRPr="1F7CBA1A">
        <w:rPr>
          <w:rFonts w:ascii="Times New Roman" w:hAnsi="Times New Roman"/>
          <w:noProof/>
          <w:sz w:val="24"/>
          <w:szCs w:val="24"/>
          <w:lang w:val="en-GB"/>
        </w:rPr>
        <w:t xml:space="preserve"> To overcome this approach, the Agency has established the more horizontal TEF/TOF (Transversal Engineering Framework / Transversal Operation Framework’) outsourcing framework, in which different types of services (related to e.g. operations, infrastructure, application, testing, development, maintenance, etc.) can be provided by different consortia of contractors for each system. Monitoring is conducted by different actors as e.g. the Finance and Budget Sector, the Vendor and Contract Management Sector or the Business Relations Management Sector. Given the split over different departments, it should be noted that responsibilities are sometimes not clearly distributed, which can lead to inefficiencies in the monitoring process. </w:t>
      </w:r>
    </w:p>
    <w:p w14:paraId="154C627C" w14:textId="77777777" w:rsidR="00264CF1" w:rsidRPr="00004DA6" w:rsidRDefault="1F6AD68A" w:rsidP="1F7CBA1A">
      <w:pPr>
        <w:jc w:val="both"/>
        <w:rPr>
          <w:rFonts w:ascii="Times New Roman" w:hAnsi="Times New Roman"/>
          <w:noProof/>
          <w:sz w:val="24"/>
          <w:szCs w:val="24"/>
          <w:lang w:val="en-IE"/>
        </w:rPr>
      </w:pPr>
      <w:r w:rsidRPr="1F7CBA1A">
        <w:rPr>
          <w:rFonts w:ascii="Times New Roman" w:hAnsi="Times New Roman"/>
          <w:noProof/>
          <w:sz w:val="24"/>
          <w:szCs w:val="24"/>
          <w:lang w:val="en-GB"/>
        </w:rPr>
        <w:t xml:space="preserve">As concerns the assessment of stakeholders, most stakeholders confirmed that the outsourcing of certain tasks is necessary and unavoidable, and that eu-LISA is following a collaborative approach, working closely with the external contractors on the </w:t>
      </w:r>
      <w:r w:rsidRPr="00004DA6">
        <w:rPr>
          <w:rFonts w:ascii="Times New Roman" w:hAnsi="Times New Roman"/>
          <w:noProof/>
          <w:sz w:val="24"/>
          <w:szCs w:val="24"/>
          <w:lang w:val="en-IE"/>
        </w:rPr>
        <w:t xml:space="preserve">implementation of existing and planned systems. Nonetheless, the performance of the management structures is considered rather poor. Many stakeholders consider the TEF/TOF model to be too complex, given the different layers of services and still silo-centric focus on single IT-systems. In fact, the framework is so complex that a specific framework contract has been signed with a contractor to manage the delivery in other framework contracts. </w:t>
      </w:r>
    </w:p>
    <w:p w14:paraId="2E6AF7E1" w14:textId="77777777" w:rsidR="00264CF1" w:rsidRPr="00004DA6" w:rsidRDefault="00264CF1" w:rsidP="00264CF1">
      <w:pPr>
        <w:jc w:val="both"/>
        <w:rPr>
          <w:rFonts w:ascii="Times New Roman" w:hAnsi="Times New Roman"/>
          <w:bCs/>
          <w:iCs/>
          <w:noProof/>
          <w:sz w:val="24"/>
          <w:lang w:val="en-IE"/>
        </w:rPr>
      </w:pPr>
      <w:r w:rsidRPr="00004DA6">
        <w:rPr>
          <w:rFonts w:ascii="Times New Roman" w:hAnsi="Times New Roman"/>
          <w:bCs/>
          <w:iCs/>
          <w:noProof/>
          <w:sz w:val="24"/>
          <w:lang w:val="en-IE"/>
        </w:rPr>
        <w:t xml:space="preserve">In addition, the general outsourcing strategy was described as insufficient, which is mirrored by the survey results: more than half of respondents (53%, n=39) consider the current strategy “not at all”, to “a low extent” or to a “moderate extent” successful in delivering new systems. In addition, the following weaknesses could be identified based on the data available: </w:t>
      </w:r>
    </w:p>
    <w:p w14:paraId="7FBC6086" w14:textId="77777777" w:rsidR="00264CF1" w:rsidRPr="004C2B1F" w:rsidRDefault="00264CF1" w:rsidP="66687D7F">
      <w:pPr>
        <w:numPr>
          <w:ilvl w:val="0"/>
          <w:numId w:val="6"/>
        </w:numPr>
        <w:jc w:val="both"/>
        <w:rPr>
          <w:rFonts w:ascii="Times New Roman" w:hAnsi="Times New Roman"/>
          <w:noProof/>
          <w:sz w:val="24"/>
          <w:szCs w:val="24"/>
          <w:lang w:val="en-IE"/>
        </w:rPr>
      </w:pPr>
      <w:r w:rsidRPr="004C2B1F">
        <w:rPr>
          <w:rFonts w:ascii="Times New Roman" w:hAnsi="Times New Roman"/>
          <w:noProof/>
          <w:sz w:val="24"/>
          <w:szCs w:val="24"/>
          <w:lang w:val="en-IE"/>
        </w:rPr>
        <w:t xml:space="preserve">The overall procurement process is described as rather lengthy and administrative, often not pointing out the requirements of the procurement adequately in its full complexity. Moreover, the fixed price and scope of the contracts leave too little flexibility to undertake adaptions needed due to the dynamic developments in fields relevant for the Agency-managed IT-systems (e.g. through technological advancements such as in the field of AI or new EU and national policies in relevant areas); </w:t>
      </w:r>
    </w:p>
    <w:p w14:paraId="155B38ED" w14:textId="77777777" w:rsidR="00264CF1" w:rsidRPr="00004DA6" w:rsidRDefault="00264CF1" w:rsidP="00264CF1">
      <w:pPr>
        <w:numPr>
          <w:ilvl w:val="0"/>
          <w:numId w:val="6"/>
        </w:numPr>
        <w:jc w:val="both"/>
        <w:rPr>
          <w:rFonts w:ascii="Times New Roman" w:hAnsi="Times New Roman"/>
          <w:bCs/>
          <w:iCs/>
          <w:noProof/>
          <w:sz w:val="24"/>
          <w:lang w:val="en-IE"/>
        </w:rPr>
      </w:pPr>
      <w:r w:rsidRPr="00004DA6">
        <w:rPr>
          <w:rFonts w:ascii="Times New Roman" w:hAnsi="Times New Roman"/>
          <w:bCs/>
          <w:iCs/>
          <w:noProof/>
          <w:sz w:val="24"/>
          <w:lang w:val="en-IE"/>
        </w:rPr>
        <w:t xml:space="preserve">It was underlined frequently that the administrative burden of managing the external contracts is very high, as concerns documentation obligations; </w:t>
      </w:r>
    </w:p>
    <w:p w14:paraId="67A3A201" w14:textId="77777777" w:rsidR="00264CF1" w:rsidRPr="00264CF1" w:rsidRDefault="00264CF1" w:rsidP="00264CF1">
      <w:pPr>
        <w:numPr>
          <w:ilvl w:val="0"/>
          <w:numId w:val="6"/>
        </w:numPr>
        <w:jc w:val="both"/>
        <w:rPr>
          <w:rFonts w:ascii="Times New Roman" w:hAnsi="Times New Roman"/>
          <w:bCs/>
          <w:iCs/>
          <w:noProof/>
          <w:sz w:val="24"/>
          <w:lang w:val="en-GB"/>
        </w:rPr>
      </w:pPr>
      <w:r w:rsidRPr="00004DA6">
        <w:rPr>
          <w:rFonts w:ascii="Times New Roman" w:hAnsi="Times New Roman"/>
          <w:bCs/>
          <w:iCs/>
          <w:noProof/>
          <w:sz w:val="24"/>
          <w:lang w:val="en-IE"/>
        </w:rPr>
        <w:t>Most stakeholders pointed</w:t>
      </w:r>
      <w:r w:rsidRPr="00264CF1">
        <w:rPr>
          <w:rFonts w:ascii="Times New Roman" w:hAnsi="Times New Roman"/>
          <w:bCs/>
          <w:iCs/>
          <w:noProof/>
          <w:sz w:val="24"/>
          <w:lang w:val="en-GB"/>
        </w:rPr>
        <w:t xml:space="preserve"> out that through the complexity of the contracts managed, a lack of clearly allocated responsibilities leads to a delusion of responsibilities, strongly affecting the effectiveness of administrative processes and slowing down operations; </w:t>
      </w:r>
    </w:p>
    <w:p w14:paraId="0B8AEC43" w14:textId="73FBDE80" w:rsidR="00264CF1" w:rsidRPr="00264CF1" w:rsidRDefault="1F6AD68A" w:rsidP="1F7CBA1A">
      <w:pPr>
        <w:numPr>
          <w:ilvl w:val="0"/>
          <w:numId w:val="6"/>
        </w:numPr>
        <w:jc w:val="both"/>
        <w:rPr>
          <w:rFonts w:ascii="Times New Roman" w:hAnsi="Times New Roman"/>
          <w:noProof/>
          <w:sz w:val="24"/>
          <w:szCs w:val="24"/>
          <w:lang w:val="en-GB"/>
        </w:rPr>
      </w:pPr>
      <w:r w:rsidRPr="1F7CBA1A">
        <w:rPr>
          <w:rFonts w:ascii="Times New Roman" w:hAnsi="Times New Roman"/>
          <w:noProof/>
          <w:sz w:val="24"/>
          <w:szCs w:val="24"/>
          <w:lang w:val="en-GB"/>
        </w:rPr>
        <w:t xml:space="preserve">Contractors </w:t>
      </w:r>
      <w:r w:rsidR="164A7C2C" w:rsidRPr="1F7CBA1A">
        <w:rPr>
          <w:rFonts w:ascii="Times New Roman" w:hAnsi="Times New Roman"/>
          <w:noProof/>
          <w:sz w:val="24"/>
          <w:szCs w:val="24"/>
          <w:lang w:val="en-GB"/>
        </w:rPr>
        <w:t xml:space="preserve">of the Agency </w:t>
      </w:r>
      <w:r w:rsidRPr="1F7CBA1A">
        <w:rPr>
          <w:rFonts w:ascii="Times New Roman" w:hAnsi="Times New Roman"/>
          <w:noProof/>
          <w:sz w:val="24"/>
          <w:szCs w:val="24"/>
          <w:lang w:val="en-GB"/>
        </w:rPr>
        <w:t>noted that eu-LISA’s current mandate is rather restrictive in terms of using new technologies, such as e.g. cloud technology. Therefore, contractors must fall back on more complex and sometimes outdated technologies. Problems with the current contract system, in particular as concerns the development of new systems, is highlighted by the survey</w:t>
      </w:r>
      <w:r w:rsidR="00521497">
        <w:rPr>
          <w:rFonts w:ascii="Times New Roman" w:hAnsi="Times New Roman"/>
          <w:noProof/>
          <w:sz w:val="24"/>
          <w:szCs w:val="24"/>
          <w:lang w:val="en-GB"/>
        </w:rPr>
        <w:t>.</w:t>
      </w:r>
      <w:r w:rsidRPr="1F7CBA1A">
        <w:rPr>
          <w:rFonts w:ascii="Times New Roman" w:hAnsi="Times New Roman"/>
          <w:noProof/>
          <w:sz w:val="24"/>
          <w:szCs w:val="24"/>
          <w:lang w:val="en-GB"/>
        </w:rPr>
        <w:t xml:space="preserve"> </w:t>
      </w:r>
    </w:p>
    <w:p w14:paraId="6B968F65" w14:textId="77777777" w:rsidR="00264CF1" w:rsidRDefault="00264CF1" w:rsidP="00264CF1">
      <w:pPr>
        <w:jc w:val="both"/>
        <w:rPr>
          <w:rFonts w:ascii="Times New Roman" w:hAnsi="Times New Roman"/>
          <w:bCs/>
          <w:iCs/>
          <w:noProof/>
          <w:sz w:val="24"/>
          <w:lang w:val="en-GB"/>
        </w:rPr>
      </w:pPr>
      <w:r w:rsidRPr="00264CF1">
        <w:rPr>
          <w:rFonts w:ascii="Times New Roman" w:hAnsi="Times New Roman"/>
          <w:bCs/>
          <w:iCs/>
          <w:noProof/>
          <w:sz w:val="24"/>
          <w:lang w:val="en-GB"/>
        </w:rPr>
        <w:t xml:space="preserve">Overall, the management and monitoring of external contractors must be concluded to be rather insufficient, which is also underlined through the number of delays and poor quality of work of external contractors, as is highlighted by most stakeholders consulted. Even though there are positive developments since the arrival of the new Executive Director (investment into co-sourcing strategies, working under ‘one roof’ at the same premises), there seems to be significant room for improvement. </w:t>
      </w:r>
    </w:p>
    <w:p w14:paraId="0F8CDB06" w14:textId="495B4804" w:rsidR="00372A98" w:rsidRPr="004E2424" w:rsidRDefault="00222A17" w:rsidP="00372A98">
      <w:pPr>
        <w:jc w:val="both"/>
        <w:rPr>
          <w:rFonts w:ascii="Times New Roman" w:hAnsi="Times New Roman" w:cs="Times New Roman"/>
          <w:b/>
          <w:bCs/>
          <w:i/>
          <w:iCs/>
          <w:noProof/>
          <w:sz w:val="24"/>
          <w:szCs w:val="24"/>
          <w:lang w:val="en-IE"/>
        </w:rPr>
      </w:pPr>
      <w:r w:rsidRPr="00222A17">
        <w:rPr>
          <w:rFonts w:ascii="Times New Roman" w:hAnsi="Times New Roman" w:cs="Times New Roman"/>
          <w:b/>
          <w:bCs/>
          <w:i/>
          <w:iCs/>
          <w:noProof/>
          <w:sz w:val="24"/>
          <w:szCs w:val="24"/>
          <w:lang w:val="en-GB"/>
        </w:rPr>
        <w:t xml:space="preserve">To what extent has eu-LISA been effective in ensuring the efficient and financially accountable management of large-scale IT systems? To what extent has eu-LISA been effective in managing its budget: could budgets expenditures be related to objectives/expenditures, are accounts compliant with EU budget rules, are discrepancies </w:t>
      </w:r>
      <w:r w:rsidRPr="004E2424">
        <w:rPr>
          <w:rFonts w:ascii="Times New Roman" w:hAnsi="Times New Roman" w:cs="Times New Roman"/>
          <w:b/>
          <w:bCs/>
          <w:i/>
          <w:iCs/>
          <w:noProof/>
          <w:sz w:val="24"/>
          <w:szCs w:val="24"/>
          <w:lang w:val="en-IE"/>
        </w:rPr>
        <w:t>between actuals and budgets explained?</w:t>
      </w:r>
    </w:p>
    <w:p w14:paraId="24C1F4CB" w14:textId="0DD867D0" w:rsidR="00C54194" w:rsidRPr="004E2424" w:rsidRDefault="00C54194" w:rsidP="00C54194">
      <w:pPr>
        <w:rPr>
          <w:rFonts w:ascii="Times New Roman" w:hAnsi="Times New Roman"/>
          <w:bCs/>
          <w:iCs/>
          <w:noProof/>
          <w:sz w:val="24"/>
          <w:lang w:val="en-IE"/>
        </w:rPr>
      </w:pPr>
      <w:r w:rsidRPr="004E2424">
        <w:rPr>
          <w:rFonts w:ascii="Times New Roman" w:hAnsi="Times New Roman"/>
          <w:bCs/>
          <w:iCs/>
          <w:noProof/>
          <w:sz w:val="24"/>
          <w:lang w:val="en-IE"/>
        </w:rPr>
        <w:t xml:space="preserve">eu-LISA has demonstrated an overall effective management of its large-scale IT systems, maintaining a high level of financial accountability. </w:t>
      </w:r>
    </w:p>
    <w:p w14:paraId="3FD8E5C4" w14:textId="48B78FFB" w:rsidR="00C54194" w:rsidRPr="00C54194" w:rsidRDefault="00C54194" w:rsidP="00C54194">
      <w:pPr>
        <w:jc w:val="both"/>
        <w:rPr>
          <w:rFonts w:ascii="Times New Roman" w:hAnsi="Times New Roman"/>
          <w:bCs/>
          <w:iCs/>
          <w:noProof/>
          <w:sz w:val="24"/>
          <w:lang w:val="en-GB"/>
        </w:rPr>
      </w:pPr>
      <w:r w:rsidRPr="00C54194">
        <w:rPr>
          <w:rFonts w:ascii="Times New Roman" w:hAnsi="Times New Roman"/>
          <w:bCs/>
          <w:iCs/>
          <w:noProof/>
          <w:sz w:val="24"/>
          <w:lang w:val="en-GB"/>
        </w:rPr>
        <w:t>The Agency has faced an evolving landscape of challenges, such as complex multi-annual planning and rigorous compliance requirements that have necessitated a micro-management approach to budgeting. These challenges have led to some difficulties, particularly in the flexibility and strategic clarity of outsourcing strategies and agile development practices. Issues with outsourcing strategies, mainly the complexity and strategic approach, have particularly affected the delivery of key IT systems, like the EES.</w:t>
      </w:r>
    </w:p>
    <w:p w14:paraId="7EF357C2" w14:textId="77777777" w:rsidR="00C54194" w:rsidRPr="00C54194" w:rsidRDefault="00C54194" w:rsidP="00C54194">
      <w:pPr>
        <w:jc w:val="both"/>
        <w:rPr>
          <w:rFonts w:ascii="Times New Roman" w:hAnsi="Times New Roman"/>
          <w:bCs/>
          <w:iCs/>
          <w:noProof/>
          <w:sz w:val="24"/>
          <w:lang w:val="en-GB"/>
        </w:rPr>
      </w:pPr>
      <w:r w:rsidRPr="00C54194">
        <w:rPr>
          <w:rFonts w:ascii="Times New Roman" w:hAnsi="Times New Roman"/>
          <w:bCs/>
          <w:iCs/>
          <w:noProof/>
          <w:sz w:val="24"/>
          <w:lang w:val="en-GB"/>
        </w:rPr>
        <w:t>In examining the relationship between budget expenditures and objectives, eu-LISA has put in place mechanisms to align spending with strategic goals. However, the specificity and strictness of legal bases have restricted the organisation’s agility in budget utilisation, making it challenging to swiftly adapt to changing technological and political demands. Despite these constraints, actual expenditures generally correspond to outlined objectives, as supported by eu-LISA's high budget implementation rates.</w:t>
      </w:r>
    </w:p>
    <w:p w14:paraId="587A9939" w14:textId="197A5BA6" w:rsidR="00C54194" w:rsidRPr="00C54194" w:rsidRDefault="2FF5B598" w:rsidP="1F7CBA1A">
      <w:pPr>
        <w:jc w:val="both"/>
        <w:rPr>
          <w:rFonts w:ascii="Times New Roman" w:hAnsi="Times New Roman"/>
          <w:noProof/>
          <w:sz w:val="24"/>
          <w:szCs w:val="24"/>
          <w:lang w:val="en-GB"/>
        </w:rPr>
      </w:pPr>
      <w:r w:rsidRPr="1F7CBA1A">
        <w:rPr>
          <w:rFonts w:ascii="Times New Roman" w:hAnsi="Times New Roman"/>
          <w:noProof/>
          <w:sz w:val="24"/>
          <w:szCs w:val="24"/>
          <w:lang w:val="en-GB"/>
        </w:rPr>
        <w:t xml:space="preserve">Regarding compliance with EU budget rules, eu-LISA follows a structured budgetary process. The Agency submits its budget requests, negotiates the amount with the European Commission and eu-LISA's management, and then adheres to </w:t>
      </w:r>
      <w:r w:rsidR="56837356" w:rsidRPr="1F7CBA1A">
        <w:rPr>
          <w:rFonts w:ascii="Times New Roman" w:hAnsi="Times New Roman"/>
          <w:noProof/>
          <w:sz w:val="24"/>
          <w:szCs w:val="24"/>
          <w:lang w:val="en-GB"/>
        </w:rPr>
        <w:t>EU F</w:t>
      </w:r>
      <w:r w:rsidRPr="1F7CBA1A">
        <w:rPr>
          <w:rFonts w:ascii="Times New Roman" w:hAnsi="Times New Roman"/>
          <w:noProof/>
          <w:sz w:val="24"/>
          <w:szCs w:val="24"/>
          <w:lang w:val="en-GB"/>
        </w:rPr>
        <w:t>inancial Regulations. Interviewees have expressed concerns about the restrictive</w:t>
      </w:r>
      <w:r w:rsidR="2CB87865" w:rsidRPr="1F7CBA1A">
        <w:rPr>
          <w:rFonts w:ascii="Times New Roman" w:hAnsi="Times New Roman"/>
          <w:noProof/>
          <w:sz w:val="24"/>
          <w:szCs w:val="24"/>
          <w:lang w:val="en-GB"/>
        </w:rPr>
        <w:t xml:space="preserve"> </w:t>
      </w:r>
      <w:r w:rsidRPr="1F7CBA1A">
        <w:rPr>
          <w:rFonts w:ascii="Times New Roman" w:hAnsi="Times New Roman"/>
          <w:noProof/>
          <w:sz w:val="24"/>
          <w:szCs w:val="24"/>
          <w:lang w:val="en-GB"/>
        </w:rPr>
        <w:t>nature of this process and the limited involvement of Member States and the Management Board during negotiations. While this might suggest a need for greater transparency, there is no evidence that eu-LISA has failed to comply with EU budget rules. For 2022, the budget accounts provide a comprehensive picture of the budget implementation, and the outstanding budgetary commitments not yet expensed represent the correction of the budgetary RAL (reste à liquider) with estimated costs determined by applying the accrual-based principle. This indicates a structured approach to relating budgets and expenditures to objectives</w:t>
      </w:r>
      <w:r w:rsidR="00C54194" w:rsidRPr="1F7CBA1A">
        <w:rPr>
          <w:rFonts w:ascii="Times New Roman" w:hAnsi="Times New Roman"/>
          <w:noProof/>
          <w:sz w:val="24"/>
          <w:szCs w:val="24"/>
          <w:vertAlign w:val="superscript"/>
          <w:lang w:val="en-GB"/>
        </w:rPr>
        <w:footnoteReference w:id="43"/>
      </w:r>
      <w:r w:rsidRPr="1F7CBA1A">
        <w:rPr>
          <w:rFonts w:ascii="Times New Roman" w:hAnsi="Times New Roman"/>
          <w:noProof/>
          <w:sz w:val="24"/>
          <w:szCs w:val="24"/>
          <w:lang w:val="en-GB"/>
        </w:rPr>
        <w:t>.</w:t>
      </w:r>
    </w:p>
    <w:p w14:paraId="72550156" w14:textId="77777777" w:rsidR="00C54194" w:rsidRPr="00C54194" w:rsidRDefault="00C54194" w:rsidP="00C54194">
      <w:pPr>
        <w:jc w:val="both"/>
        <w:rPr>
          <w:rFonts w:ascii="Times New Roman" w:hAnsi="Times New Roman"/>
          <w:bCs/>
          <w:iCs/>
          <w:noProof/>
          <w:sz w:val="24"/>
          <w:lang w:val="en-GB"/>
        </w:rPr>
      </w:pPr>
      <w:r w:rsidRPr="00C54194">
        <w:rPr>
          <w:rFonts w:ascii="Times New Roman" w:hAnsi="Times New Roman"/>
          <w:bCs/>
          <w:iCs/>
          <w:noProof/>
          <w:sz w:val="24"/>
          <w:lang w:val="en-GB"/>
        </w:rPr>
        <w:t>Discrepancies between actuals and budgets are an inevitable part of financial management, particularly in a rapidly changing IT environment. eu-LISA's financial reports indicate that discrepancies are closely monitored and generally explained by the Agency's adjustments to unforeseen changes and challenges. For instance, interviews highlight the need for improved multi-annual planning capabilities and more flexible budgeting practices to handle such discrepancies proactively.</w:t>
      </w:r>
    </w:p>
    <w:p w14:paraId="42213415" w14:textId="67763D41" w:rsidR="00C54194" w:rsidRPr="00C54194" w:rsidRDefault="00C54194" w:rsidP="00C54194">
      <w:pPr>
        <w:jc w:val="both"/>
        <w:rPr>
          <w:rFonts w:ascii="Times New Roman" w:hAnsi="Times New Roman"/>
          <w:bCs/>
          <w:iCs/>
          <w:noProof/>
          <w:sz w:val="24"/>
          <w:lang w:val="en-GB"/>
        </w:rPr>
      </w:pPr>
      <w:r w:rsidRPr="00C54194">
        <w:rPr>
          <w:rFonts w:ascii="Times New Roman" w:hAnsi="Times New Roman"/>
          <w:bCs/>
          <w:iCs/>
          <w:noProof/>
          <w:sz w:val="24"/>
          <w:lang w:val="en-GB"/>
        </w:rPr>
        <w:t>In 2022, eu-LISA effectively managed significant budget appropriations, with commitment appropriations having a 99.0% implementation rate and payment appropriations a 91.6% rate by year-end. These figures attest to the Agency's financial diligence and ability to achieve defined objectives within established financial frameworks. Financial KPIs are consistently met, further showcasing eu-LISA's commitment to financial accountability</w:t>
      </w:r>
      <w:r w:rsidRPr="00C54194">
        <w:rPr>
          <w:rFonts w:ascii="Times New Roman" w:hAnsi="Times New Roman"/>
          <w:bCs/>
          <w:iCs/>
          <w:noProof/>
          <w:sz w:val="24"/>
          <w:vertAlign w:val="superscript"/>
          <w:lang w:val="en-GB"/>
        </w:rPr>
        <w:footnoteReference w:id="44"/>
      </w:r>
      <w:r w:rsidRPr="00C54194">
        <w:rPr>
          <w:rFonts w:ascii="Times New Roman" w:hAnsi="Times New Roman"/>
          <w:bCs/>
          <w:iCs/>
          <w:noProof/>
          <w:sz w:val="24"/>
          <w:lang w:val="en-GB"/>
        </w:rPr>
        <w:t>.</w:t>
      </w:r>
    </w:p>
    <w:p w14:paraId="0ED7DC94" w14:textId="23C9E10A" w:rsidR="00C54194" w:rsidRPr="00C54194" w:rsidRDefault="00C54194" w:rsidP="00C54194">
      <w:pPr>
        <w:jc w:val="both"/>
        <w:rPr>
          <w:rFonts w:ascii="Times New Roman" w:hAnsi="Times New Roman"/>
          <w:bCs/>
          <w:iCs/>
          <w:noProof/>
          <w:sz w:val="24"/>
          <w:lang w:val="en-GB"/>
        </w:rPr>
      </w:pPr>
      <w:r w:rsidRPr="00C54194">
        <w:rPr>
          <w:rFonts w:ascii="Times New Roman" w:hAnsi="Times New Roman"/>
          <w:bCs/>
          <w:iCs/>
          <w:noProof/>
          <w:sz w:val="24"/>
          <w:lang w:val="en-GB"/>
        </w:rPr>
        <w:t xml:space="preserve">In conclusion, while eu-LISA has faced challenges in refining its financial planning and outsourcing practices, it remains effective in </w:t>
      </w:r>
      <w:r w:rsidR="00721699">
        <w:rPr>
          <w:rFonts w:ascii="Times New Roman" w:hAnsi="Times New Roman"/>
          <w:bCs/>
          <w:iCs/>
          <w:noProof/>
          <w:sz w:val="24"/>
          <w:lang w:val="en-GB"/>
        </w:rPr>
        <w:t>disbursing</w:t>
      </w:r>
      <w:r w:rsidRPr="00C54194">
        <w:rPr>
          <w:rFonts w:ascii="Times New Roman" w:hAnsi="Times New Roman"/>
          <w:bCs/>
          <w:iCs/>
          <w:noProof/>
          <w:sz w:val="24"/>
          <w:lang w:val="en-GB"/>
        </w:rPr>
        <w:t xml:space="preserve"> its budget, ensuring expenditures reflect objectives, and providing accountability for any variances. The Agency's high budget implementation rates, alongside ongoing efforts to enhance budget-related processes and planning, indicates efficiency and financial accountability.</w:t>
      </w:r>
    </w:p>
    <w:p w14:paraId="234106A1" w14:textId="2B661E9F" w:rsidR="003A71AC" w:rsidRPr="003A71AC" w:rsidRDefault="32F5C840" w:rsidP="1F7CBA1A">
      <w:pPr>
        <w:jc w:val="both"/>
        <w:rPr>
          <w:rFonts w:ascii="Times New Roman" w:hAnsi="Times New Roman" w:cs="Times New Roman"/>
          <w:b/>
          <w:bCs/>
          <w:i/>
          <w:iCs/>
          <w:noProof/>
          <w:sz w:val="24"/>
          <w:szCs w:val="24"/>
          <w:lang w:val="en-GB"/>
        </w:rPr>
      </w:pPr>
      <w:r w:rsidRPr="1F7CBA1A">
        <w:rPr>
          <w:rFonts w:ascii="Times New Roman" w:hAnsi="Times New Roman" w:cs="Times New Roman"/>
          <w:b/>
          <w:bCs/>
          <w:i/>
          <w:iCs/>
          <w:noProof/>
          <w:sz w:val="24"/>
          <w:szCs w:val="24"/>
          <w:lang w:val="en-GB"/>
        </w:rPr>
        <w:t>How effective has eu-LISA been in ensuring high quality, continuous and uninterrupted services for users of large-scale IT systems? How effective has eu-LISA been in meeting the Service Level Agreement(s), in particular for availability of service, for each large</w:t>
      </w:r>
      <w:r w:rsidR="009C571D">
        <w:rPr>
          <w:rFonts w:ascii="Times New Roman" w:hAnsi="Times New Roman" w:cs="Times New Roman"/>
          <w:b/>
          <w:bCs/>
          <w:i/>
          <w:iCs/>
          <w:noProof/>
          <w:sz w:val="24"/>
          <w:szCs w:val="24"/>
          <w:lang w:val="en-GB"/>
        </w:rPr>
        <w:t>-</w:t>
      </w:r>
      <w:r w:rsidRPr="1F7CBA1A">
        <w:rPr>
          <w:rFonts w:ascii="Times New Roman" w:hAnsi="Times New Roman" w:cs="Times New Roman"/>
          <w:b/>
          <w:bCs/>
          <w:i/>
          <w:iCs/>
          <w:noProof/>
          <w:sz w:val="24"/>
          <w:szCs w:val="24"/>
          <w:lang w:val="en-GB"/>
        </w:rPr>
        <w:t>scale IT system?</w:t>
      </w:r>
    </w:p>
    <w:p w14:paraId="0732CD9E" w14:textId="1A646D7E" w:rsidR="00961656" w:rsidRPr="00961656" w:rsidRDefault="00961656" w:rsidP="004E2424">
      <w:pPr>
        <w:jc w:val="both"/>
        <w:rPr>
          <w:rFonts w:ascii="Times New Roman" w:hAnsi="Times New Roman"/>
          <w:bCs/>
          <w:iCs/>
          <w:noProof/>
          <w:sz w:val="24"/>
          <w:lang w:val="en-GB"/>
        </w:rPr>
      </w:pPr>
      <w:r w:rsidRPr="00961656">
        <w:rPr>
          <w:rFonts w:ascii="Times New Roman" w:hAnsi="Times New Roman"/>
          <w:bCs/>
          <w:iCs/>
          <w:noProof/>
          <w:sz w:val="24"/>
          <w:lang w:val="en-GB"/>
        </w:rPr>
        <w:t xml:space="preserve">eu-LISA has demonstrated a high level of effectiveness in ensuring the quality and continuity of services provided by its large-scale IT systems, while also fulfilling its obligations under SLAs in terms of service availability. Evidence from desk research and several interviews suggests that </w:t>
      </w:r>
      <w:r w:rsidR="009C571D">
        <w:rPr>
          <w:rFonts w:ascii="Times New Roman" w:hAnsi="Times New Roman"/>
          <w:bCs/>
          <w:iCs/>
          <w:noProof/>
          <w:sz w:val="24"/>
          <w:lang w:val="en-GB"/>
        </w:rPr>
        <w:t>eu-</w:t>
      </w:r>
      <w:r w:rsidRPr="00961656">
        <w:rPr>
          <w:rFonts w:ascii="Times New Roman" w:hAnsi="Times New Roman"/>
          <w:bCs/>
          <w:iCs/>
          <w:noProof/>
          <w:sz w:val="24"/>
          <w:lang w:val="en-GB"/>
        </w:rPr>
        <w:t>LISA has implemented measures to maintain and enhance the data quality across its systems. The Agency has utilised advanced technologies and procedures to ensure accuracy, consistency, and timeliness of the data processed and stored. Regular audits, quality control mechanisms, and feedback loops with Member States contribute to the high data standards eu-LISA upholds. Concrete metrics, such as error rates and correction times, have reportedly been within acceptable thresholds, though specific figures would provide a clearer picture of the performance in this area.</w:t>
      </w:r>
      <w:r w:rsidRPr="00961656">
        <w:rPr>
          <w:rFonts w:ascii="Times New Roman" w:hAnsi="Times New Roman"/>
          <w:bCs/>
          <w:iCs/>
          <w:noProof/>
          <w:sz w:val="24"/>
          <w:vertAlign w:val="superscript"/>
          <w:lang w:val="en-GB"/>
        </w:rPr>
        <w:footnoteReference w:id="45"/>
      </w:r>
    </w:p>
    <w:p w14:paraId="4306D946" w14:textId="4A30BE4E" w:rsidR="00961656" w:rsidRPr="00961656" w:rsidRDefault="00961656" w:rsidP="00961656">
      <w:pPr>
        <w:jc w:val="both"/>
        <w:rPr>
          <w:rFonts w:ascii="Times New Roman" w:hAnsi="Times New Roman"/>
          <w:bCs/>
          <w:iCs/>
          <w:noProof/>
          <w:sz w:val="24"/>
          <w:lang w:val="en-GB"/>
        </w:rPr>
      </w:pPr>
      <w:r w:rsidRPr="00961656">
        <w:rPr>
          <w:rFonts w:ascii="Times New Roman" w:hAnsi="Times New Roman"/>
          <w:bCs/>
          <w:iCs/>
          <w:noProof/>
          <w:sz w:val="24"/>
          <w:lang w:val="en-GB"/>
        </w:rPr>
        <w:t>Further evidence (e.g. from the user survey) shows that the Agency has managed to provide continuous and uninterrupted services through robust infrastructure and redundancy mechanisms designed to minimise downtime. This has resulted in high system availability and reliability for end-users</w:t>
      </w:r>
      <w:r w:rsidR="000A5D31">
        <w:rPr>
          <w:rFonts w:ascii="Times New Roman" w:hAnsi="Times New Roman"/>
          <w:bCs/>
          <w:iCs/>
          <w:noProof/>
          <w:sz w:val="24"/>
          <w:lang w:val="en-GB"/>
        </w:rPr>
        <w:t xml:space="preserve">.  </w:t>
      </w:r>
      <w:r w:rsidR="000B6755">
        <w:rPr>
          <w:rFonts w:ascii="Times New Roman" w:hAnsi="Times New Roman"/>
          <w:bCs/>
          <w:iCs/>
          <w:noProof/>
          <w:sz w:val="24"/>
          <w:lang w:val="en-GB"/>
        </w:rPr>
        <w:t>As the reports</w:t>
      </w:r>
      <w:r w:rsidRPr="00961656">
        <w:rPr>
          <w:rFonts w:ascii="Times New Roman" w:hAnsi="Times New Roman"/>
          <w:bCs/>
          <w:iCs/>
          <w:noProof/>
          <w:sz w:val="24"/>
          <w:lang w:val="en-GB"/>
        </w:rPr>
        <w:t xml:space="preserve"> from operational metrics indicate </w:t>
      </w:r>
      <w:r w:rsidR="000B6755">
        <w:rPr>
          <w:rFonts w:ascii="Times New Roman" w:hAnsi="Times New Roman"/>
          <w:bCs/>
          <w:iCs/>
          <w:noProof/>
          <w:sz w:val="24"/>
          <w:lang w:val="en-GB"/>
        </w:rPr>
        <w:t>the</w:t>
      </w:r>
      <w:r w:rsidR="000B6755" w:rsidRPr="00961656">
        <w:rPr>
          <w:rFonts w:ascii="Times New Roman" w:hAnsi="Times New Roman"/>
          <w:bCs/>
          <w:iCs/>
          <w:noProof/>
          <w:sz w:val="24"/>
          <w:lang w:val="en-GB"/>
        </w:rPr>
        <w:t xml:space="preserve"> </w:t>
      </w:r>
      <w:r w:rsidRPr="00961656">
        <w:rPr>
          <w:rFonts w:ascii="Times New Roman" w:hAnsi="Times New Roman"/>
          <w:bCs/>
          <w:iCs/>
          <w:noProof/>
          <w:sz w:val="24"/>
          <w:lang w:val="en-GB"/>
        </w:rPr>
        <w:t>system uptimes have consistently met or exceeded the targets set forth in the respective SLAs, although exact uptime percentages would offer more substantive evidence.</w:t>
      </w:r>
    </w:p>
    <w:p w14:paraId="78CA3914" w14:textId="77777777" w:rsidR="00961656" w:rsidRPr="00961656" w:rsidRDefault="00961656" w:rsidP="00961656">
      <w:pPr>
        <w:jc w:val="both"/>
        <w:rPr>
          <w:rFonts w:ascii="Times New Roman" w:hAnsi="Times New Roman"/>
          <w:bCs/>
          <w:iCs/>
          <w:noProof/>
          <w:sz w:val="24"/>
          <w:lang w:val="en-GB"/>
        </w:rPr>
      </w:pPr>
      <w:r w:rsidRPr="00961656">
        <w:rPr>
          <w:rFonts w:ascii="Times New Roman" w:hAnsi="Times New Roman"/>
          <w:bCs/>
          <w:iCs/>
          <w:noProof/>
          <w:sz w:val="24"/>
          <w:lang w:val="en-GB"/>
        </w:rPr>
        <w:t>For each IT system managed by eu-LISA, the achievement of SLA objectives, particularly regarding availability of service, is as follows:</w:t>
      </w:r>
    </w:p>
    <w:p w14:paraId="00FCAEA1" w14:textId="77777777" w:rsidR="00961656" w:rsidRPr="00785BDC" w:rsidRDefault="00961656" w:rsidP="004E2424">
      <w:pPr>
        <w:pStyle w:val="ListParagraph"/>
        <w:numPr>
          <w:ilvl w:val="0"/>
          <w:numId w:val="90"/>
        </w:numPr>
        <w:rPr>
          <w:noProof/>
          <w:szCs w:val="24"/>
        </w:rPr>
      </w:pPr>
      <w:r w:rsidRPr="00785BDC">
        <w:rPr>
          <w:noProof/>
          <w:szCs w:val="24"/>
        </w:rPr>
        <w:t>DubliNet: The system has maintained operational continuity with few reported incidents, meeting its SLA target for availability. Downtime has been minimised through effective incident response strategies</w:t>
      </w:r>
      <w:r w:rsidRPr="00961656">
        <w:rPr>
          <w:bCs/>
          <w:iCs/>
          <w:noProof/>
          <w:vertAlign w:val="superscript"/>
        </w:rPr>
        <w:footnoteReference w:id="46"/>
      </w:r>
      <w:r w:rsidRPr="00785BDC">
        <w:rPr>
          <w:noProof/>
          <w:szCs w:val="24"/>
        </w:rPr>
        <w:t>;</w:t>
      </w:r>
    </w:p>
    <w:p w14:paraId="78C3FB6D" w14:textId="77777777" w:rsidR="00961656" w:rsidRPr="00785BDC" w:rsidRDefault="00961656" w:rsidP="004E2424">
      <w:pPr>
        <w:pStyle w:val="ListParagraph"/>
        <w:numPr>
          <w:ilvl w:val="0"/>
          <w:numId w:val="90"/>
        </w:numPr>
        <w:rPr>
          <w:noProof/>
          <w:szCs w:val="24"/>
        </w:rPr>
      </w:pPr>
      <w:r w:rsidRPr="00785BDC">
        <w:rPr>
          <w:noProof/>
          <w:szCs w:val="24"/>
        </w:rPr>
        <w:t>Eurodac: Eurodac has shown high availability rates, aligning with SLA requirements. eu-LISA has addressed technical challenges promptly to ensure the system remains accessible to users</w:t>
      </w:r>
      <w:r w:rsidRPr="00961656">
        <w:rPr>
          <w:bCs/>
          <w:iCs/>
          <w:noProof/>
          <w:vertAlign w:val="superscript"/>
        </w:rPr>
        <w:footnoteReference w:id="47"/>
      </w:r>
      <w:r w:rsidRPr="00961656">
        <w:rPr>
          <w:bCs/>
          <w:iCs/>
          <w:noProof/>
          <w:vertAlign w:val="superscript"/>
        </w:rPr>
        <w:footnoteReference w:id="48"/>
      </w:r>
      <w:r w:rsidRPr="00785BDC">
        <w:rPr>
          <w:noProof/>
          <w:szCs w:val="24"/>
        </w:rPr>
        <w:t>;</w:t>
      </w:r>
    </w:p>
    <w:p w14:paraId="1191737F" w14:textId="77777777" w:rsidR="00961656" w:rsidRPr="00785BDC" w:rsidRDefault="00961656" w:rsidP="004E2424">
      <w:pPr>
        <w:pStyle w:val="ListParagraph"/>
        <w:numPr>
          <w:ilvl w:val="0"/>
          <w:numId w:val="90"/>
        </w:numPr>
        <w:rPr>
          <w:bCs/>
          <w:iCs/>
          <w:noProof/>
        </w:rPr>
      </w:pPr>
      <w:r w:rsidRPr="00785BDC">
        <w:rPr>
          <w:bCs/>
          <w:iCs/>
          <w:noProof/>
        </w:rPr>
        <w:t>SIS (Schengen Information System): SIS has upheld excellent service availability, as eu-LISA has implemented comprehensive monitoring and rapid issue resolution to comply with SLA standards</w:t>
      </w:r>
      <w:r w:rsidRPr="00961656">
        <w:rPr>
          <w:noProof/>
          <w:vertAlign w:val="superscript"/>
        </w:rPr>
        <w:footnoteReference w:id="49"/>
      </w:r>
      <w:r w:rsidRPr="00961656">
        <w:rPr>
          <w:noProof/>
          <w:vertAlign w:val="superscript"/>
        </w:rPr>
        <w:footnoteReference w:id="50"/>
      </w:r>
      <w:r w:rsidRPr="00785BDC">
        <w:rPr>
          <w:bCs/>
          <w:iCs/>
          <w:noProof/>
        </w:rPr>
        <w:t>; and</w:t>
      </w:r>
    </w:p>
    <w:p w14:paraId="14088790" w14:textId="77777777" w:rsidR="00961656" w:rsidRPr="00785BDC" w:rsidRDefault="00961656" w:rsidP="004E2424">
      <w:pPr>
        <w:pStyle w:val="ListParagraph"/>
        <w:numPr>
          <w:ilvl w:val="0"/>
          <w:numId w:val="90"/>
        </w:numPr>
        <w:rPr>
          <w:bCs/>
          <w:iCs/>
          <w:noProof/>
        </w:rPr>
      </w:pPr>
      <w:r w:rsidRPr="00785BDC">
        <w:rPr>
          <w:bCs/>
          <w:iCs/>
          <w:noProof/>
        </w:rPr>
        <w:t>VIS (Visa Information System)</w:t>
      </w:r>
      <w:r w:rsidRPr="00785BDC">
        <w:rPr>
          <w:b/>
          <w:bCs/>
          <w:iCs/>
          <w:noProof/>
        </w:rPr>
        <w:t>:</w:t>
      </w:r>
      <w:r w:rsidRPr="00785BDC">
        <w:rPr>
          <w:bCs/>
          <w:iCs/>
          <w:noProof/>
        </w:rPr>
        <w:t xml:space="preserve"> VIS has similarly maintained high availability, with eu-LISA conducting regular maintenance and upgrades to prevent service disruptions in line with SLA commitments</w:t>
      </w:r>
      <w:r w:rsidRPr="00961656">
        <w:rPr>
          <w:noProof/>
          <w:vertAlign w:val="superscript"/>
        </w:rPr>
        <w:footnoteReference w:id="51"/>
      </w:r>
      <w:r w:rsidRPr="00961656">
        <w:rPr>
          <w:noProof/>
          <w:vertAlign w:val="superscript"/>
        </w:rPr>
        <w:footnoteReference w:id="52"/>
      </w:r>
      <w:r w:rsidRPr="00785BDC">
        <w:rPr>
          <w:bCs/>
          <w:iCs/>
          <w:noProof/>
        </w:rPr>
        <w:t>.</w:t>
      </w:r>
    </w:p>
    <w:p w14:paraId="26454A2C" w14:textId="0E9B2833" w:rsidR="00961656" w:rsidRPr="00961656" w:rsidRDefault="00961656" w:rsidP="00961656">
      <w:pPr>
        <w:jc w:val="both"/>
        <w:rPr>
          <w:rFonts w:ascii="Times New Roman" w:hAnsi="Times New Roman"/>
          <w:bCs/>
          <w:iCs/>
          <w:noProof/>
          <w:sz w:val="24"/>
          <w:lang w:val="en-GB"/>
        </w:rPr>
      </w:pPr>
      <w:r w:rsidRPr="00961656">
        <w:rPr>
          <w:rFonts w:ascii="Times New Roman" w:hAnsi="Times New Roman"/>
          <w:bCs/>
          <w:iCs/>
          <w:noProof/>
          <w:sz w:val="24"/>
          <w:lang w:val="en-GB"/>
        </w:rPr>
        <w:t>Despite these achievements, eu-LISA continues to face challenges, such as ensuring consistent data quality and addressing interoperability requirements. The development and integration of new systems such as EES</w:t>
      </w:r>
      <w:r w:rsidR="00CD0871">
        <w:rPr>
          <w:rFonts w:ascii="Times New Roman" w:hAnsi="Times New Roman"/>
          <w:bCs/>
          <w:iCs/>
          <w:noProof/>
          <w:sz w:val="24"/>
          <w:lang w:val="en-GB"/>
        </w:rPr>
        <w:t>,</w:t>
      </w:r>
      <w:r w:rsidRPr="00961656">
        <w:rPr>
          <w:rFonts w:ascii="Times New Roman" w:hAnsi="Times New Roman"/>
          <w:bCs/>
          <w:iCs/>
          <w:noProof/>
          <w:sz w:val="24"/>
          <w:lang w:val="en-GB"/>
        </w:rPr>
        <w:t>ETIAS</w:t>
      </w:r>
      <w:r w:rsidR="00CD0871">
        <w:rPr>
          <w:rFonts w:ascii="Times New Roman" w:hAnsi="Times New Roman"/>
          <w:bCs/>
          <w:iCs/>
          <w:noProof/>
          <w:sz w:val="24"/>
          <w:lang w:val="en-GB"/>
        </w:rPr>
        <w:t xml:space="preserve"> and ECRIS-TCN </w:t>
      </w:r>
      <w:r w:rsidRPr="00961656">
        <w:rPr>
          <w:rFonts w:ascii="Times New Roman" w:hAnsi="Times New Roman"/>
          <w:bCs/>
          <w:iCs/>
          <w:noProof/>
          <w:sz w:val="24"/>
          <w:lang w:val="en-GB"/>
        </w:rPr>
        <w:t>have experienced delays, but eu-LISA's is actively addressing these issues with task forces and managerial escalation (e.g. through the ED). Continuous efforts to update and refine operational processes, systems enhancements, and stakeholder engagement will be key to further improving service quality and reliability. Despite these challenges in the development of new systems, the Agency's emphasis on interoperability and the introduction of components such as the European Search Portal (ESP) and Common Identity Repository (CIR) demonstrate efforts to enhance operational capabilities and secure data exchange among systems.</w:t>
      </w:r>
    </w:p>
    <w:p w14:paraId="7B8B5501" w14:textId="4B3B4FED" w:rsidR="00372A98" w:rsidRDefault="00961656" w:rsidP="00961656">
      <w:pPr>
        <w:jc w:val="both"/>
        <w:rPr>
          <w:rFonts w:ascii="Times New Roman" w:hAnsi="Times New Roman"/>
          <w:bCs/>
          <w:iCs/>
          <w:noProof/>
          <w:sz w:val="24"/>
          <w:lang w:val="en-GB"/>
        </w:rPr>
      </w:pPr>
      <w:r w:rsidRPr="00961656">
        <w:rPr>
          <w:rFonts w:ascii="Times New Roman" w:hAnsi="Times New Roman"/>
          <w:bCs/>
          <w:iCs/>
          <w:noProof/>
          <w:sz w:val="24"/>
          <w:lang w:val="en-GB"/>
        </w:rPr>
        <w:t>Overall, eu-LISA has demonstrated effectiveness in managing large-scale IT systems, with a focus on ensuring continuous service delivery, meeting SLAs, and addressing user satisfaction. However, ongoing efforts are needed to address identified challenges and enhance operational efficiency, particularly in the development of new systems and improving interoperability across platforms.</w:t>
      </w:r>
    </w:p>
    <w:p w14:paraId="0C9C9382" w14:textId="57093E70" w:rsidR="001A4373" w:rsidRPr="001A4373" w:rsidRDefault="57D7A6B0" w:rsidP="1F7CBA1A">
      <w:pPr>
        <w:jc w:val="both"/>
        <w:rPr>
          <w:rFonts w:ascii="Times New Roman" w:hAnsi="Times New Roman" w:cs="Times New Roman"/>
          <w:b/>
          <w:bCs/>
          <w:i/>
          <w:iCs/>
          <w:noProof/>
          <w:sz w:val="24"/>
          <w:szCs w:val="24"/>
          <w:lang w:val="en-GB"/>
        </w:rPr>
      </w:pPr>
      <w:r w:rsidRPr="1F7CBA1A">
        <w:rPr>
          <w:rFonts w:ascii="Times New Roman" w:hAnsi="Times New Roman" w:cs="Times New Roman"/>
          <w:b/>
          <w:bCs/>
          <w:i/>
          <w:iCs/>
          <w:noProof/>
          <w:sz w:val="24"/>
          <w:szCs w:val="24"/>
          <w:lang w:val="en-GB"/>
        </w:rPr>
        <w:t>To what extent have the research</w:t>
      </w:r>
      <w:r w:rsidR="57AC7896" w:rsidRPr="1F7CBA1A">
        <w:rPr>
          <w:rFonts w:ascii="Times New Roman" w:hAnsi="Times New Roman" w:cs="Times New Roman"/>
          <w:b/>
          <w:bCs/>
          <w:i/>
          <w:iCs/>
          <w:noProof/>
          <w:sz w:val="24"/>
          <w:szCs w:val="24"/>
          <w:lang w:val="en-GB"/>
        </w:rPr>
        <w:t xml:space="preserve"> and monitoring of research</w:t>
      </w:r>
      <w:r w:rsidRPr="1F7CBA1A">
        <w:rPr>
          <w:rFonts w:ascii="Times New Roman" w:hAnsi="Times New Roman" w:cs="Times New Roman"/>
          <w:b/>
          <w:bCs/>
          <w:i/>
          <w:iCs/>
          <w:noProof/>
          <w:sz w:val="24"/>
          <w:szCs w:val="24"/>
          <w:lang w:val="en-GB"/>
        </w:rPr>
        <w:t xml:space="preserve"> activities of eu-LISA contributed to the performance in delivering its core tasks?</w:t>
      </w:r>
    </w:p>
    <w:p w14:paraId="6F5C572A" w14:textId="3A1ED25D" w:rsidR="00A36C11" w:rsidRPr="00A36C11" w:rsidRDefault="00A36C11" w:rsidP="00A36C11">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Since 2018</w:t>
      </w:r>
      <w:r w:rsidRPr="00A36C11">
        <w:rPr>
          <w:rFonts w:ascii="Times New Roman" w:hAnsi="Times New Roman" w:cs="Times New Roman"/>
          <w:noProof/>
          <w:sz w:val="24"/>
          <w:szCs w:val="24"/>
          <w:lang w:val="en-GB"/>
        </w:rPr>
        <w:t>, eu-LISA has ensured regular publication of various research reports and other documentation that are accessible on eu-LISA website.</w:t>
      </w:r>
      <w:r w:rsidRPr="00A36C11">
        <w:rPr>
          <w:rFonts w:ascii="Times New Roman" w:hAnsi="Times New Roman" w:cs="Times New Roman"/>
          <w:noProof/>
          <w:sz w:val="24"/>
          <w:szCs w:val="24"/>
          <w:vertAlign w:val="superscript"/>
          <w:lang w:val="en-GB"/>
        </w:rPr>
        <w:footnoteReference w:id="53"/>
      </w:r>
      <w:r w:rsidRPr="00A36C11">
        <w:rPr>
          <w:rFonts w:ascii="Times New Roman" w:hAnsi="Times New Roman" w:cs="Times New Roman"/>
          <w:noProof/>
          <w:sz w:val="24"/>
          <w:szCs w:val="24"/>
          <w:lang w:val="en-GB"/>
        </w:rPr>
        <w:t xml:space="preserve"> Between 2018 and 2023, the Agency has published 86 reports. These reports include technical reports, statistical documentation, and conference notes. Most thematic report series are published on an annual basis, others are produced irregularly.</w:t>
      </w:r>
    </w:p>
    <w:p w14:paraId="4488C87D" w14:textId="6D490276" w:rsidR="00A36C11" w:rsidRPr="00A36C11" w:rsidRDefault="00A36C11" w:rsidP="00A36C11">
      <w:pPr>
        <w:jc w:val="both"/>
        <w:rPr>
          <w:rFonts w:ascii="Times New Roman" w:hAnsi="Times New Roman" w:cs="Times New Roman"/>
          <w:noProof/>
          <w:sz w:val="24"/>
          <w:szCs w:val="24"/>
          <w:lang w:val="en-GB"/>
        </w:rPr>
      </w:pPr>
      <w:r w:rsidRPr="00A36C11">
        <w:rPr>
          <w:rFonts w:ascii="Times New Roman" w:hAnsi="Times New Roman" w:cs="Times New Roman"/>
          <w:noProof/>
          <w:sz w:val="24"/>
          <w:szCs w:val="24"/>
          <w:lang w:val="en-GB"/>
        </w:rPr>
        <w:t xml:space="preserve">The expansion of eu-LISA’s mandate widened the scope of the Agency from not only managing to also developing large-scale IT systems. The development aspect yields an increase in its role of </w:t>
      </w:r>
      <w:r w:rsidR="009C6AF9">
        <w:rPr>
          <w:rFonts w:ascii="Times New Roman" w:hAnsi="Times New Roman" w:cs="Times New Roman"/>
          <w:noProof/>
          <w:sz w:val="24"/>
          <w:szCs w:val="24"/>
          <w:lang w:val="en-GB"/>
        </w:rPr>
        <w:t>monitoring and conducting</w:t>
      </w:r>
      <w:r w:rsidR="009C6AF9" w:rsidRPr="00A36C11">
        <w:rPr>
          <w:rFonts w:ascii="Times New Roman" w:hAnsi="Times New Roman" w:cs="Times New Roman"/>
          <w:noProof/>
          <w:sz w:val="24"/>
          <w:szCs w:val="24"/>
          <w:lang w:val="en-GB"/>
        </w:rPr>
        <w:t xml:space="preserve"> </w:t>
      </w:r>
      <w:r w:rsidRPr="00A36C11">
        <w:rPr>
          <w:rFonts w:ascii="Times New Roman" w:hAnsi="Times New Roman" w:cs="Times New Roman"/>
          <w:noProof/>
          <w:sz w:val="24"/>
          <w:szCs w:val="24"/>
          <w:lang w:val="en-GB"/>
        </w:rPr>
        <w:t xml:space="preserve">research activities. In general, </w:t>
      </w:r>
      <w:r w:rsidRPr="00C27F98">
        <w:rPr>
          <w:rFonts w:ascii="Times New Roman" w:hAnsi="Times New Roman" w:cs="Times New Roman"/>
          <w:noProof/>
          <w:sz w:val="24"/>
          <w:szCs w:val="24"/>
          <w:lang w:val="en-GB"/>
        </w:rPr>
        <w:t>it is essential for eu-LISA to monitor and assess emerging innovative technologies to guarantee that the Agency can successfully achieve its strategic goals of maintaining secure and efficient external borders</w:t>
      </w:r>
      <w:r w:rsidR="00C27F98" w:rsidRPr="00C27F98">
        <w:rPr>
          <w:rFonts w:ascii="Times New Roman" w:hAnsi="Times New Roman" w:cs="Times New Roman"/>
          <w:noProof/>
          <w:sz w:val="24"/>
          <w:szCs w:val="24"/>
          <w:lang w:val="en-GB"/>
        </w:rPr>
        <w:t>,</w:t>
      </w:r>
      <w:r w:rsidR="00C27F98" w:rsidRPr="00004DA6">
        <w:rPr>
          <w:noProof/>
          <w:lang w:val="en-GB"/>
        </w:rPr>
        <w:t xml:space="preserve"> </w:t>
      </w:r>
      <w:r w:rsidR="00C27F98" w:rsidRPr="00004DA6">
        <w:rPr>
          <w:rFonts w:ascii="Times New Roman" w:hAnsi="Times New Roman" w:cs="Times New Roman"/>
          <w:noProof/>
          <w:sz w:val="24"/>
          <w:szCs w:val="24"/>
          <w:lang w:val="en-GB"/>
        </w:rPr>
        <w:t>and to implement state-of-the-art solutions within its systems.</w:t>
      </w:r>
    </w:p>
    <w:p w14:paraId="297E0921" w14:textId="36B65F99" w:rsidR="00A36C11" w:rsidRPr="00A36C11" w:rsidRDefault="00A36C11" w:rsidP="00A36C11">
      <w:pPr>
        <w:jc w:val="both"/>
        <w:rPr>
          <w:rFonts w:ascii="Times New Roman" w:hAnsi="Times New Roman" w:cs="Times New Roman"/>
          <w:noProof/>
          <w:sz w:val="24"/>
          <w:szCs w:val="24"/>
          <w:lang w:val="en-GB"/>
        </w:rPr>
      </w:pPr>
      <w:r w:rsidRPr="00A36C11">
        <w:rPr>
          <w:rFonts w:ascii="Times New Roman" w:hAnsi="Times New Roman" w:cs="Times New Roman"/>
          <w:noProof/>
          <w:sz w:val="24"/>
          <w:szCs w:val="24"/>
          <w:lang w:val="en-GB"/>
        </w:rPr>
        <w:t xml:space="preserve">However, research activities have arguably contributed to a very limited extent to the performance of delivering eu-LISA’s core tasks. This can be based on the following arguments. As mentioned above, most reports published disclose e.g. technical and statistical information and only 12% of the total reports published between 2018 and 2023 address thematic research topics, including feasibility studies. Hence, the number of reports contributing to the development of new systems is rather limited. Acknowledging the </w:t>
      </w:r>
      <w:r w:rsidR="008E2CD7">
        <w:rPr>
          <w:rFonts w:ascii="Times New Roman" w:hAnsi="Times New Roman" w:cs="Times New Roman"/>
          <w:noProof/>
          <w:sz w:val="24"/>
          <w:szCs w:val="24"/>
          <w:lang w:val="en-GB"/>
        </w:rPr>
        <w:t xml:space="preserve">small </w:t>
      </w:r>
      <w:r w:rsidRPr="00A36C11">
        <w:rPr>
          <w:rFonts w:ascii="Times New Roman" w:hAnsi="Times New Roman" w:cs="Times New Roman"/>
          <w:noProof/>
          <w:sz w:val="24"/>
          <w:szCs w:val="24"/>
          <w:lang w:val="en-GB"/>
        </w:rPr>
        <w:t xml:space="preserve">number of staff </w:t>
      </w:r>
      <w:r w:rsidR="008E2CD7">
        <w:rPr>
          <w:rFonts w:ascii="Times New Roman" w:hAnsi="Times New Roman" w:cs="Times New Roman"/>
          <w:noProof/>
          <w:sz w:val="24"/>
          <w:szCs w:val="24"/>
          <w:lang w:val="en-GB"/>
        </w:rPr>
        <w:t>dedicated to</w:t>
      </w:r>
      <w:r w:rsidRPr="00A36C11">
        <w:rPr>
          <w:rFonts w:ascii="Times New Roman" w:hAnsi="Times New Roman" w:cs="Times New Roman"/>
          <w:noProof/>
          <w:sz w:val="24"/>
          <w:szCs w:val="24"/>
          <w:lang w:val="en-GB"/>
        </w:rPr>
        <w:t xml:space="preserve"> conducting research within eu-LISA</w:t>
      </w:r>
      <w:r w:rsidR="008E2CD7">
        <w:rPr>
          <w:rFonts w:ascii="Times New Roman" w:hAnsi="Times New Roman" w:cs="Times New Roman"/>
          <w:noProof/>
          <w:sz w:val="24"/>
          <w:szCs w:val="24"/>
          <w:lang w:val="en-GB"/>
        </w:rPr>
        <w:t xml:space="preserve">, </w:t>
      </w:r>
      <w:r w:rsidRPr="00A36C11">
        <w:rPr>
          <w:rFonts w:ascii="Times New Roman" w:hAnsi="Times New Roman" w:cs="Times New Roman"/>
          <w:noProof/>
          <w:sz w:val="24"/>
          <w:szCs w:val="24"/>
          <w:lang w:val="en-GB"/>
        </w:rPr>
        <w:t xml:space="preserve"> and </w:t>
      </w:r>
      <w:r w:rsidR="008E2CD7">
        <w:rPr>
          <w:rFonts w:ascii="Times New Roman" w:hAnsi="Times New Roman" w:cs="Times New Roman"/>
          <w:noProof/>
          <w:sz w:val="24"/>
          <w:szCs w:val="24"/>
          <w:lang w:val="en-GB"/>
        </w:rPr>
        <w:t>considering the rapid</w:t>
      </w:r>
      <w:r w:rsidRPr="00A36C11">
        <w:rPr>
          <w:rFonts w:ascii="Times New Roman" w:hAnsi="Times New Roman" w:cs="Times New Roman"/>
          <w:noProof/>
          <w:sz w:val="24"/>
          <w:szCs w:val="24"/>
          <w:lang w:val="en-GB"/>
        </w:rPr>
        <w:t xml:space="preserve"> pace of technological advancements </w:t>
      </w:r>
      <w:r w:rsidR="008E2CD7">
        <w:rPr>
          <w:rFonts w:ascii="Times New Roman" w:hAnsi="Times New Roman" w:cs="Times New Roman"/>
          <w:noProof/>
          <w:sz w:val="24"/>
          <w:szCs w:val="24"/>
          <w:lang w:val="en-GB"/>
        </w:rPr>
        <w:t>and</w:t>
      </w:r>
      <w:r w:rsidRPr="00A36C11">
        <w:rPr>
          <w:rFonts w:ascii="Times New Roman" w:hAnsi="Times New Roman" w:cs="Times New Roman"/>
          <w:noProof/>
          <w:sz w:val="24"/>
          <w:szCs w:val="24"/>
          <w:lang w:val="en-GB"/>
        </w:rPr>
        <w:t xml:space="preserve"> the emergence of new technologies, the overall resources</w:t>
      </w:r>
      <w:r w:rsidR="008E2CD7">
        <w:rPr>
          <w:rFonts w:ascii="Times New Roman" w:hAnsi="Times New Roman" w:cs="Times New Roman"/>
          <w:noProof/>
          <w:sz w:val="24"/>
          <w:szCs w:val="24"/>
          <w:lang w:val="en-GB"/>
        </w:rPr>
        <w:t xml:space="preserve"> -both in terms of staf</w:t>
      </w:r>
      <w:r w:rsidR="00CD704E">
        <w:rPr>
          <w:rFonts w:ascii="Times New Roman" w:hAnsi="Times New Roman" w:cs="Times New Roman"/>
          <w:noProof/>
          <w:sz w:val="24"/>
          <w:szCs w:val="24"/>
          <w:lang w:val="en-GB"/>
        </w:rPr>
        <w:t>f and budget- are relatively limited. Given these constraints</w:t>
      </w:r>
      <w:r w:rsidR="00AA30EE">
        <w:rPr>
          <w:rFonts w:ascii="Times New Roman" w:hAnsi="Times New Roman" w:cs="Times New Roman"/>
          <w:noProof/>
          <w:sz w:val="24"/>
          <w:szCs w:val="24"/>
          <w:lang w:val="en-GB"/>
        </w:rPr>
        <w:t xml:space="preserve">, </w:t>
      </w:r>
      <w:r w:rsidR="00095BB0">
        <w:rPr>
          <w:rFonts w:ascii="Times New Roman" w:hAnsi="Times New Roman" w:cs="Times New Roman"/>
          <w:noProof/>
          <w:sz w:val="24"/>
          <w:szCs w:val="24"/>
          <w:lang w:val="en-GB"/>
        </w:rPr>
        <w:t>eu-LISA’s resources dedicated to monitoring of research</w:t>
      </w:r>
      <w:r w:rsidR="00AA30EE">
        <w:rPr>
          <w:rFonts w:ascii="Times New Roman" w:hAnsi="Times New Roman" w:cs="Times New Roman"/>
          <w:noProof/>
          <w:sz w:val="24"/>
          <w:szCs w:val="24"/>
          <w:lang w:val="en-GB"/>
        </w:rPr>
        <w:t xml:space="preserve"> should be prioritised </w:t>
      </w:r>
      <w:r w:rsidR="00095BB0">
        <w:rPr>
          <w:rFonts w:ascii="Times New Roman" w:hAnsi="Times New Roman" w:cs="Times New Roman"/>
          <w:noProof/>
          <w:sz w:val="24"/>
          <w:szCs w:val="24"/>
          <w:lang w:val="en-GB"/>
        </w:rPr>
        <w:t>on areas directly related to the systems developed and managed by the Agenc</w:t>
      </w:r>
      <w:r w:rsidR="00A6561B">
        <w:rPr>
          <w:rFonts w:ascii="Times New Roman" w:hAnsi="Times New Roman" w:cs="Times New Roman"/>
          <w:noProof/>
          <w:sz w:val="24"/>
          <w:szCs w:val="24"/>
          <w:lang w:val="en-GB"/>
        </w:rPr>
        <w:t>y, thereby generating greater added value.</w:t>
      </w:r>
      <w:r w:rsidR="00987499">
        <w:rPr>
          <w:rFonts w:ascii="Times New Roman" w:hAnsi="Times New Roman" w:cs="Times New Roman"/>
          <w:noProof/>
          <w:sz w:val="24"/>
          <w:szCs w:val="24"/>
          <w:lang w:val="en-GB"/>
        </w:rPr>
        <w:t xml:space="preserve"> </w:t>
      </w:r>
      <w:r w:rsidRPr="00A36C11">
        <w:rPr>
          <w:rFonts w:ascii="Times New Roman" w:hAnsi="Times New Roman" w:cs="Times New Roman"/>
          <w:noProof/>
          <w:sz w:val="24"/>
          <w:szCs w:val="24"/>
          <w:lang w:val="en-GB"/>
        </w:rPr>
        <w:t xml:space="preserve">By </w:t>
      </w:r>
      <w:r w:rsidR="00987499">
        <w:rPr>
          <w:rFonts w:ascii="Times New Roman" w:hAnsi="Times New Roman" w:cs="Times New Roman"/>
          <w:noProof/>
          <w:sz w:val="24"/>
          <w:szCs w:val="24"/>
          <w:lang w:val="en-GB"/>
        </w:rPr>
        <w:t>refocusing</w:t>
      </w:r>
      <w:r w:rsidR="00987499" w:rsidRPr="00A36C11" w:rsidDel="006619E1">
        <w:rPr>
          <w:rFonts w:ascii="Times New Roman" w:hAnsi="Times New Roman" w:cs="Times New Roman"/>
          <w:noProof/>
          <w:sz w:val="24"/>
          <w:szCs w:val="24"/>
          <w:lang w:val="en-GB"/>
        </w:rPr>
        <w:t xml:space="preserve"> </w:t>
      </w:r>
      <w:r w:rsidRPr="00A36C11">
        <w:rPr>
          <w:rFonts w:ascii="Times New Roman" w:hAnsi="Times New Roman" w:cs="Times New Roman"/>
          <w:noProof/>
          <w:sz w:val="24"/>
          <w:szCs w:val="24"/>
          <w:lang w:val="en-GB"/>
        </w:rPr>
        <w:t>its research activities, the Agency could increase its focus on future needs and challenges such as Artificial Intelligence, biometrics, or quantum computation that had been stressed by survey respondents as potential future opportunities.</w:t>
      </w:r>
    </w:p>
    <w:p w14:paraId="64B1211A" w14:textId="60753950" w:rsidR="00CF3A88" w:rsidRPr="001A4373" w:rsidRDefault="38F89FA8" w:rsidP="1F7CBA1A">
      <w:pPr>
        <w:jc w:val="both"/>
        <w:rPr>
          <w:rFonts w:ascii="Times New Roman" w:hAnsi="Times New Roman" w:cs="Times New Roman"/>
          <w:b/>
          <w:bCs/>
          <w:i/>
          <w:iCs/>
          <w:noProof/>
          <w:sz w:val="24"/>
          <w:szCs w:val="24"/>
          <w:lang w:val="en-GB"/>
        </w:rPr>
      </w:pPr>
      <w:r w:rsidRPr="1F7CBA1A">
        <w:rPr>
          <w:rFonts w:ascii="Times New Roman" w:hAnsi="Times New Roman" w:cs="Times New Roman"/>
          <w:b/>
          <w:bCs/>
          <w:i/>
          <w:iCs/>
          <w:noProof/>
          <w:sz w:val="24"/>
          <w:szCs w:val="24"/>
          <w:lang w:val="en-GB"/>
        </w:rPr>
        <w:t>Has the Agency effectively performed its tasks related to developing new systems in line with its current mandate? How effective was the Agency to provide the technical capacity, to develop the systems? How effective was the governance structure provided by the Agency to support the development of the systems?</w:t>
      </w:r>
    </w:p>
    <w:p w14:paraId="62EB5000" w14:textId="0D7E3EE3" w:rsidR="00BB3C39" w:rsidRPr="004E2424" w:rsidRDefault="00BB3C39" w:rsidP="004E2424">
      <w:pPr>
        <w:jc w:val="both"/>
        <w:rPr>
          <w:rFonts w:ascii="Times New Roman" w:hAnsi="Times New Roman" w:cs="Times New Roman"/>
          <w:noProof/>
          <w:sz w:val="24"/>
          <w:szCs w:val="24"/>
          <w:lang w:val="en-IE"/>
        </w:rPr>
      </w:pPr>
      <w:r w:rsidRPr="004E2424">
        <w:rPr>
          <w:rFonts w:ascii="Times New Roman" w:hAnsi="Times New Roman" w:cs="Times New Roman"/>
          <w:noProof/>
          <w:sz w:val="24"/>
          <w:szCs w:val="24"/>
          <w:lang w:val="en-IE"/>
        </w:rPr>
        <w:t xml:space="preserve">Besides the operational management of existing large-scale IT systems, eu-LISA is responsible for the development of systems if requested by the Union. According to the EU Regulation 2018/1726, the Agency is obliged to govern tasks relating to the development of new systems as laid out in specific Union legal acts as well as providing training on the technical system use (Chapter II, </w:t>
      </w:r>
      <w:r w:rsidR="00DC0424" w:rsidRPr="00DC0424">
        <w:rPr>
          <w:rFonts w:ascii="Times New Roman" w:eastAsia="Yu Gothic Light" w:hAnsi="Times New Roman" w:cs="Times New Roman"/>
          <w:noProof/>
          <w:kern w:val="28"/>
          <w:sz w:val="24"/>
          <w:szCs w:val="24"/>
          <w:lang w:val="en-IE" w:eastAsia="de-DE"/>
        </w:rPr>
        <w:t>Article</w:t>
      </w:r>
      <w:r w:rsidRPr="004E2424">
        <w:rPr>
          <w:rFonts w:ascii="Times New Roman" w:hAnsi="Times New Roman" w:cs="Times New Roman"/>
          <w:noProof/>
          <w:sz w:val="24"/>
          <w:szCs w:val="24"/>
          <w:lang w:val="en-IE"/>
        </w:rPr>
        <w:t xml:space="preserve"> 9). This question concerns the effectivity of eu-LISA developing new large-scale IT systems in light of its governance bodies (i.e. Management Board, Programme Management Boards, and Advisory Groups).</w:t>
      </w:r>
    </w:p>
    <w:p w14:paraId="00122553" w14:textId="77777777" w:rsidR="00BB3C39" w:rsidRPr="004E2424" w:rsidRDefault="00BB3C39" w:rsidP="00BB3C39">
      <w:pPr>
        <w:jc w:val="both"/>
        <w:rPr>
          <w:rFonts w:ascii="Times New Roman" w:hAnsi="Times New Roman" w:cs="Times New Roman"/>
          <w:noProof/>
          <w:sz w:val="24"/>
          <w:szCs w:val="24"/>
          <w:lang w:val="en-IE"/>
        </w:rPr>
      </w:pPr>
      <w:r w:rsidRPr="004E2424">
        <w:rPr>
          <w:rFonts w:ascii="Times New Roman" w:hAnsi="Times New Roman" w:cs="Times New Roman"/>
          <w:noProof/>
          <w:sz w:val="24"/>
          <w:szCs w:val="24"/>
          <w:lang w:val="en-IE"/>
        </w:rPr>
        <w:t>Based on evidence, the development of systems is considered less effective. Even though sufficient technical capacity is available, recent developments suffered from significant delays. Moreover, the provision of support from the governance bodies, which became more complex over time, was effective only to a moderate extent.</w:t>
      </w:r>
    </w:p>
    <w:p w14:paraId="532E90CE" w14:textId="77777777" w:rsidR="00BB3C39" w:rsidRPr="004E2424" w:rsidRDefault="00BB3C39" w:rsidP="00BB3C39">
      <w:pPr>
        <w:jc w:val="both"/>
        <w:rPr>
          <w:rFonts w:ascii="Times New Roman" w:hAnsi="Times New Roman" w:cs="Times New Roman"/>
          <w:noProof/>
          <w:sz w:val="24"/>
          <w:szCs w:val="24"/>
          <w:lang w:val="en-IE"/>
        </w:rPr>
      </w:pPr>
      <w:r w:rsidRPr="004E2424">
        <w:rPr>
          <w:rFonts w:ascii="Times New Roman" w:hAnsi="Times New Roman" w:cs="Times New Roman"/>
          <w:noProof/>
          <w:sz w:val="24"/>
          <w:szCs w:val="24"/>
          <w:lang w:val="en-IE"/>
        </w:rPr>
        <w:t xml:space="preserve">The technical capacity to develop these systems has been acknowledged by stakeholders, with a majority indicating that the Agency provided the necessary expertise to a moderate to very large extent. However, the Agency's success in contributing to the </w:t>
      </w:r>
      <w:r w:rsidRPr="004E2424">
        <w:rPr>
          <w:rFonts w:ascii="Times New Roman" w:hAnsi="Times New Roman" w:cs="Times New Roman"/>
          <w:i/>
          <w:noProof/>
          <w:sz w:val="24"/>
          <w:szCs w:val="24"/>
          <w:lang w:val="en-IE"/>
        </w:rPr>
        <w:t>timely</w:t>
      </w:r>
      <w:r w:rsidRPr="004E2424">
        <w:rPr>
          <w:rFonts w:ascii="Times New Roman" w:hAnsi="Times New Roman" w:cs="Times New Roman"/>
          <w:noProof/>
          <w:sz w:val="24"/>
          <w:szCs w:val="24"/>
          <w:lang w:val="en-IE"/>
        </w:rPr>
        <w:t xml:space="preserve"> development of new large-scale IT systems appears to be moderate to low (39 out of 80 respondents, 49%), as per the feedback from the Advisory Group members.</w:t>
      </w:r>
    </w:p>
    <w:p w14:paraId="3C761CC2" w14:textId="77777777" w:rsidR="00BB3C39" w:rsidRPr="00BB3C39" w:rsidRDefault="00BB3C39" w:rsidP="00BB3C39">
      <w:pPr>
        <w:jc w:val="both"/>
        <w:rPr>
          <w:rFonts w:ascii="Times New Roman" w:hAnsi="Times New Roman" w:cs="Times New Roman"/>
          <w:noProof/>
          <w:sz w:val="24"/>
          <w:szCs w:val="24"/>
          <w:lang w:val="en-GB"/>
        </w:rPr>
      </w:pPr>
      <w:r w:rsidRPr="004E2424">
        <w:rPr>
          <w:rFonts w:ascii="Times New Roman" w:hAnsi="Times New Roman" w:cs="Times New Roman"/>
          <w:noProof/>
          <w:sz w:val="24"/>
          <w:szCs w:val="24"/>
          <w:lang w:val="en-IE"/>
        </w:rPr>
        <w:t>Even though the governance bodies of eu-LISA have been evaluated as internally coherent to a large extent, there are identified areas for improvement, particularly in speeding up decision-making processes, ensuring representation from the judicial domain, and enhancing communication and collaboration with the Advisory Group and Member States, including with eu-LISA’s external contractors. This highly resonates with several inputs received from interviewed stakeholders. While the governance structure was described as functioning well overall, there are some issues including, for instance, its complexity. Some interviewees stressed the rising number of different governance bodies in the past years and a resulting increase in workload for different stakeholders. In addition, the inclusion of justice systems into eu-LISA’s portfolio was stated to have contributed</w:t>
      </w:r>
      <w:r w:rsidRPr="00BB3C39">
        <w:rPr>
          <w:rFonts w:ascii="Times New Roman" w:hAnsi="Times New Roman" w:cs="Times New Roman"/>
          <w:noProof/>
          <w:sz w:val="24"/>
          <w:szCs w:val="24"/>
          <w:lang w:val="en-GB"/>
        </w:rPr>
        <w:t xml:space="preserve"> to this complexity, including because the bodies now represent different communities.</w:t>
      </w:r>
    </w:p>
    <w:p w14:paraId="2E4E9C40" w14:textId="4F207542" w:rsidR="00E62917" w:rsidRPr="001A4373" w:rsidRDefault="0032205B" w:rsidP="00E62917">
      <w:pPr>
        <w:jc w:val="both"/>
        <w:rPr>
          <w:rFonts w:ascii="Times New Roman" w:hAnsi="Times New Roman" w:cs="Times New Roman"/>
          <w:b/>
          <w:bCs/>
          <w:i/>
          <w:iCs/>
          <w:noProof/>
          <w:sz w:val="24"/>
          <w:szCs w:val="24"/>
          <w:lang w:val="en-GB"/>
        </w:rPr>
      </w:pPr>
      <w:r w:rsidRPr="0032205B">
        <w:rPr>
          <w:rFonts w:ascii="Times New Roman" w:hAnsi="Times New Roman" w:cs="Times New Roman"/>
          <w:b/>
          <w:bCs/>
          <w:i/>
          <w:iCs/>
          <w:noProof/>
          <w:sz w:val="24"/>
          <w:szCs w:val="24"/>
          <w:lang w:val="en-GB"/>
        </w:rPr>
        <w:t>Has eu-LISA effectively handled incidents on each large-scale IT systems operated by the Agency?</w:t>
      </w:r>
    </w:p>
    <w:p w14:paraId="2FE034F0" w14:textId="5DE0B8CD" w:rsidR="00A60314" w:rsidRPr="00A60314" w:rsidRDefault="00A60314" w:rsidP="00A60314">
      <w:pPr>
        <w:jc w:val="both"/>
        <w:rPr>
          <w:rFonts w:ascii="Times New Roman" w:hAnsi="Times New Roman" w:cs="Times New Roman"/>
          <w:noProof/>
          <w:sz w:val="24"/>
          <w:szCs w:val="24"/>
          <w:lang w:val="en-GB"/>
        </w:rPr>
      </w:pPr>
      <w:r w:rsidRPr="00A60314">
        <w:rPr>
          <w:rFonts w:ascii="Times New Roman" w:hAnsi="Times New Roman" w:cs="Times New Roman"/>
          <w:noProof/>
          <w:sz w:val="24"/>
          <w:szCs w:val="24"/>
          <w:lang w:val="en-GB"/>
        </w:rPr>
        <w:t>eu-LISA's management of incidents across its large-scale IT systems reflects a robust framework with generally positive outcomes, although some challenges have been identified.</w:t>
      </w:r>
    </w:p>
    <w:p w14:paraId="475BBB2C" w14:textId="2185C8EC" w:rsidR="00A60314" w:rsidRPr="00A60314" w:rsidRDefault="00A60314" w:rsidP="00A60314">
      <w:pPr>
        <w:jc w:val="both"/>
        <w:rPr>
          <w:rFonts w:ascii="Times New Roman" w:hAnsi="Times New Roman" w:cs="Times New Roman"/>
          <w:noProof/>
          <w:sz w:val="24"/>
          <w:szCs w:val="24"/>
          <w:lang w:val="en-GB"/>
        </w:rPr>
      </w:pPr>
      <w:r w:rsidRPr="00A60314">
        <w:rPr>
          <w:rFonts w:ascii="Times New Roman" w:hAnsi="Times New Roman" w:cs="Times New Roman"/>
          <w:noProof/>
          <w:sz w:val="24"/>
          <w:szCs w:val="24"/>
          <w:lang w:val="en-GB"/>
        </w:rPr>
        <w:t>Survey responses indicate a high level of satisfaction with the handling of incidents, particularly highlighting fast response times and efficient incident management</w:t>
      </w:r>
      <w:r w:rsidR="00721699">
        <w:rPr>
          <w:rFonts w:ascii="Times New Roman" w:hAnsi="Times New Roman" w:cs="Times New Roman"/>
          <w:noProof/>
          <w:sz w:val="24"/>
          <w:szCs w:val="24"/>
          <w:lang w:val="en-GB"/>
        </w:rPr>
        <w:t xml:space="preserve">. </w:t>
      </w:r>
      <w:r w:rsidRPr="00A60314">
        <w:rPr>
          <w:rFonts w:ascii="Times New Roman" w:hAnsi="Times New Roman" w:cs="Times New Roman"/>
          <w:noProof/>
          <w:sz w:val="24"/>
          <w:szCs w:val="24"/>
          <w:lang w:val="en-GB"/>
        </w:rPr>
        <w:t>However, concerns have been raised regarding system interruptions and data entry problems, highlighting areas for improvement.</w:t>
      </w:r>
    </w:p>
    <w:p w14:paraId="077F2240" w14:textId="77270481" w:rsidR="00522CC1" w:rsidRPr="00522CC1" w:rsidRDefault="00A60314" w:rsidP="00522CC1">
      <w:pPr>
        <w:jc w:val="both"/>
        <w:rPr>
          <w:rFonts w:ascii="Times New Roman" w:hAnsi="Times New Roman" w:cs="Times New Roman"/>
          <w:noProof/>
          <w:sz w:val="24"/>
          <w:szCs w:val="24"/>
          <w:lang w:val="en-GB"/>
        </w:rPr>
      </w:pPr>
      <w:r w:rsidRPr="00A60314">
        <w:rPr>
          <w:rFonts w:ascii="Times New Roman" w:hAnsi="Times New Roman" w:cs="Times New Roman"/>
          <w:noProof/>
          <w:sz w:val="24"/>
          <w:szCs w:val="24"/>
          <w:lang w:val="en-GB"/>
        </w:rPr>
        <w:t xml:space="preserve">Examining specific systems under eu-LISA's operation provides further insights. The SIS and VIS have demonstrated high availability rates, with minimal disruptions to operations </w:t>
      </w:r>
      <w:r w:rsidR="001047B3">
        <w:rPr>
          <w:rFonts w:ascii="Times New Roman" w:hAnsi="Times New Roman" w:cs="Times New Roman"/>
          <w:noProof/>
          <w:sz w:val="24"/>
          <w:szCs w:val="24"/>
          <w:lang w:val="en-GB"/>
        </w:rPr>
        <w:t>For the SIS, i</w:t>
      </w:r>
      <w:r w:rsidR="00522CC1" w:rsidRPr="00522CC1">
        <w:rPr>
          <w:rFonts w:ascii="Times New Roman" w:hAnsi="Times New Roman" w:cs="Times New Roman"/>
          <w:noProof/>
          <w:sz w:val="24"/>
          <w:szCs w:val="24"/>
          <w:lang w:val="en-GB"/>
        </w:rPr>
        <w:t xml:space="preserve">n the year 2022, the system had a high availability rate of 99.94% accompanied by a response time of 98.98%. </w:t>
      </w:r>
    </w:p>
    <w:p w14:paraId="7D86DA59" w14:textId="336B78A4" w:rsidR="004C242F" w:rsidRPr="004C242F" w:rsidRDefault="001047B3" w:rsidP="004F744F">
      <w:pPr>
        <w:jc w:val="both"/>
        <w:rPr>
          <w:rFonts w:ascii="Times New Roman" w:hAnsi="Times New Roman" w:cs="Times New Roman"/>
          <w:noProof/>
          <w:sz w:val="24"/>
          <w:szCs w:val="24"/>
          <w:lang w:val="en-GB"/>
        </w:rPr>
      </w:pPr>
      <w:r w:rsidRPr="004E2424">
        <w:rPr>
          <w:rFonts w:ascii="Times New Roman" w:hAnsi="Times New Roman" w:cs="Times New Roman"/>
          <w:noProof/>
          <w:sz w:val="24"/>
          <w:szCs w:val="24"/>
          <w:lang w:val="en-IE"/>
        </w:rPr>
        <w:t xml:space="preserve">For the VIS, </w:t>
      </w:r>
      <w:r w:rsidR="004C242F" w:rsidRPr="004E2424">
        <w:rPr>
          <w:rFonts w:ascii="Times New Roman" w:hAnsi="Times New Roman" w:cs="Times New Roman"/>
          <w:noProof/>
          <w:sz w:val="24"/>
          <w:szCs w:val="24"/>
          <w:lang w:val="en-IE"/>
        </w:rPr>
        <w:t>it demonstrated a good level of availability, with the central system achieving an availability rate of 99.6%. Moreover, in terms of response time performance, the VIS central system showed a performance indicator of 99.7%.</w:t>
      </w:r>
      <w:r w:rsidR="004F744F">
        <w:rPr>
          <w:rFonts w:ascii="Times New Roman" w:hAnsi="Times New Roman" w:cs="Times New Roman"/>
          <w:noProof/>
          <w:sz w:val="24"/>
          <w:szCs w:val="24"/>
          <w:lang w:val="en-GB"/>
        </w:rPr>
        <w:t xml:space="preserve"> </w:t>
      </w:r>
      <w:r w:rsidR="004C242F" w:rsidRPr="004C242F">
        <w:rPr>
          <w:rFonts w:ascii="Times New Roman" w:hAnsi="Times New Roman" w:cs="Times New Roman"/>
          <w:noProof/>
          <w:sz w:val="24"/>
          <w:szCs w:val="24"/>
          <w:lang w:val="en-GB"/>
        </w:rPr>
        <w:t>Overall, the VIS central system demonstrated a strong level of availability and responded efficiently to user requests.</w:t>
      </w:r>
    </w:p>
    <w:p w14:paraId="1DE85CF0" w14:textId="77777777" w:rsidR="004C242F" w:rsidRPr="004C242F" w:rsidRDefault="004C242F" w:rsidP="005C4D7D">
      <w:pPr>
        <w:jc w:val="both"/>
        <w:rPr>
          <w:rFonts w:ascii="Times New Roman" w:hAnsi="Times New Roman" w:cs="Times New Roman"/>
          <w:noProof/>
          <w:sz w:val="24"/>
          <w:szCs w:val="24"/>
          <w:lang w:val="en-GB"/>
        </w:rPr>
      </w:pPr>
      <w:r w:rsidRPr="004C242F">
        <w:rPr>
          <w:rFonts w:ascii="Times New Roman" w:hAnsi="Times New Roman" w:cs="Times New Roman"/>
          <w:noProof/>
          <w:sz w:val="24"/>
          <w:szCs w:val="24"/>
          <w:lang w:val="en-GB"/>
        </w:rPr>
        <w:t>No critical security incidents occurred during the reporting period. The Agency's security unit continues to maintain and develop security measures, operating its Information Security Management System (ISMS) in compliance with ISMS standards and ISO27001.</w:t>
      </w:r>
    </w:p>
    <w:p w14:paraId="7642147D" w14:textId="271177DE" w:rsidR="004C242F" w:rsidRPr="004C242F" w:rsidRDefault="00397E01" w:rsidP="005C4D7D">
      <w:pPr>
        <w:jc w:val="both"/>
        <w:rPr>
          <w:rFonts w:ascii="Times New Roman" w:hAnsi="Times New Roman" w:cs="Times New Roman"/>
          <w:noProof/>
          <w:sz w:val="24"/>
          <w:szCs w:val="24"/>
          <w:lang w:val="en-GB"/>
        </w:rPr>
      </w:pPr>
      <w:r w:rsidRPr="00397E01">
        <w:rPr>
          <w:rFonts w:ascii="Times New Roman" w:hAnsi="Times New Roman" w:cs="Times New Roman"/>
          <w:noProof/>
          <w:sz w:val="24"/>
          <w:szCs w:val="24"/>
          <w:lang w:val="en-GB"/>
        </w:rPr>
        <w:t xml:space="preserve">The </w:t>
      </w:r>
      <w:r w:rsidR="009314BD" w:rsidRPr="00397E01">
        <w:rPr>
          <w:rFonts w:ascii="Times New Roman" w:hAnsi="Times New Roman" w:cs="Times New Roman"/>
          <w:noProof/>
          <w:sz w:val="24"/>
          <w:szCs w:val="24"/>
          <w:lang w:val="en-GB"/>
        </w:rPr>
        <w:t>VIS experience</w:t>
      </w:r>
      <w:r w:rsidR="00EF6405" w:rsidRPr="00397E01">
        <w:rPr>
          <w:rFonts w:ascii="Times New Roman" w:hAnsi="Times New Roman" w:cs="Times New Roman"/>
          <w:noProof/>
          <w:sz w:val="24"/>
          <w:szCs w:val="24"/>
          <w:lang w:val="en-GB"/>
        </w:rPr>
        <w:t>d</w:t>
      </w:r>
      <w:r w:rsidR="009314BD" w:rsidRPr="00397E01">
        <w:rPr>
          <w:rFonts w:ascii="Times New Roman" w:hAnsi="Times New Roman" w:cs="Times New Roman"/>
          <w:noProof/>
          <w:sz w:val="24"/>
          <w:szCs w:val="24"/>
          <w:lang w:val="en-GB"/>
        </w:rPr>
        <w:t xml:space="preserve"> a major upgrade on </w:t>
      </w:r>
      <w:r w:rsidRPr="00004DA6">
        <w:rPr>
          <w:rFonts w:ascii="Times New Roman" w:hAnsi="Times New Roman" w:cs="Times New Roman"/>
          <w:noProof/>
          <w:sz w:val="24"/>
          <w:szCs w:val="24"/>
          <w:lang w:val="en-GB"/>
        </w:rPr>
        <w:t>20</w:t>
      </w:r>
      <w:r w:rsidR="009314BD" w:rsidRPr="00397E01">
        <w:rPr>
          <w:rFonts w:ascii="Times New Roman" w:hAnsi="Times New Roman" w:cs="Times New Roman"/>
          <w:noProof/>
          <w:sz w:val="24"/>
          <w:szCs w:val="24"/>
          <w:lang w:val="en-GB"/>
        </w:rPr>
        <w:t xml:space="preserve"> May 2025</w:t>
      </w:r>
      <w:r w:rsidR="00F725FE" w:rsidRPr="00397E01">
        <w:rPr>
          <w:rFonts w:ascii="Times New Roman" w:hAnsi="Times New Roman" w:cs="Times New Roman"/>
          <w:noProof/>
          <w:sz w:val="24"/>
          <w:szCs w:val="24"/>
          <w:lang w:val="en-GB"/>
        </w:rPr>
        <w:t xml:space="preserve"> to ensure</w:t>
      </w:r>
      <w:r w:rsidR="00F725FE">
        <w:rPr>
          <w:rFonts w:ascii="Times New Roman" w:hAnsi="Times New Roman" w:cs="Times New Roman"/>
          <w:noProof/>
          <w:sz w:val="24"/>
          <w:szCs w:val="24"/>
          <w:lang w:val="en-GB"/>
        </w:rPr>
        <w:t xml:space="preserve"> </w:t>
      </w:r>
      <w:r w:rsidR="004C242F" w:rsidRPr="004C242F">
        <w:rPr>
          <w:rFonts w:ascii="Times New Roman" w:hAnsi="Times New Roman" w:cs="Times New Roman"/>
          <w:noProof/>
          <w:sz w:val="24"/>
          <w:szCs w:val="24"/>
          <w:lang w:val="en-GB"/>
        </w:rPr>
        <w:t xml:space="preserve">interoperability with the EES, </w:t>
      </w:r>
      <w:r w:rsidR="00E6655C">
        <w:rPr>
          <w:rFonts w:ascii="Times New Roman" w:hAnsi="Times New Roman" w:cs="Times New Roman"/>
          <w:noProof/>
          <w:sz w:val="24"/>
          <w:szCs w:val="24"/>
          <w:lang w:val="en-GB"/>
        </w:rPr>
        <w:t>migration</w:t>
      </w:r>
      <w:r w:rsidR="00E6655C" w:rsidRPr="004C242F">
        <w:rPr>
          <w:rFonts w:ascii="Times New Roman" w:hAnsi="Times New Roman" w:cs="Times New Roman"/>
          <w:noProof/>
          <w:sz w:val="24"/>
          <w:szCs w:val="24"/>
          <w:lang w:val="en-GB"/>
        </w:rPr>
        <w:t xml:space="preserve"> </w:t>
      </w:r>
      <w:r w:rsidR="004C242F" w:rsidRPr="004C242F">
        <w:rPr>
          <w:rFonts w:ascii="Times New Roman" w:hAnsi="Times New Roman" w:cs="Times New Roman"/>
          <w:noProof/>
          <w:sz w:val="24"/>
          <w:szCs w:val="24"/>
          <w:lang w:val="en-GB"/>
        </w:rPr>
        <w:t xml:space="preserve">to a Common Shared Infrastructure, and </w:t>
      </w:r>
      <w:r w:rsidR="00E6655C">
        <w:rPr>
          <w:rFonts w:ascii="Times New Roman" w:hAnsi="Times New Roman" w:cs="Times New Roman"/>
          <w:noProof/>
          <w:sz w:val="24"/>
          <w:szCs w:val="24"/>
          <w:lang w:val="en-GB"/>
        </w:rPr>
        <w:t>integration</w:t>
      </w:r>
      <w:r w:rsidR="00E6655C" w:rsidRPr="004C242F">
        <w:rPr>
          <w:rFonts w:ascii="Times New Roman" w:hAnsi="Times New Roman" w:cs="Times New Roman"/>
          <w:noProof/>
          <w:sz w:val="24"/>
          <w:szCs w:val="24"/>
          <w:lang w:val="en-GB"/>
        </w:rPr>
        <w:t xml:space="preserve"> </w:t>
      </w:r>
      <w:r w:rsidR="004C242F" w:rsidRPr="004C242F">
        <w:rPr>
          <w:rFonts w:ascii="Times New Roman" w:hAnsi="Times New Roman" w:cs="Times New Roman"/>
          <w:noProof/>
          <w:sz w:val="24"/>
          <w:szCs w:val="24"/>
          <w:lang w:val="en-GB"/>
        </w:rPr>
        <w:t xml:space="preserve">with sBMS. These efforts </w:t>
      </w:r>
      <w:r w:rsidR="00F725FE">
        <w:rPr>
          <w:rFonts w:ascii="Times New Roman" w:hAnsi="Times New Roman" w:cs="Times New Roman"/>
          <w:noProof/>
          <w:sz w:val="24"/>
          <w:szCs w:val="24"/>
          <w:lang w:val="en-GB"/>
        </w:rPr>
        <w:t>were</w:t>
      </w:r>
      <w:r w:rsidR="00F725FE" w:rsidRPr="004C242F">
        <w:rPr>
          <w:rFonts w:ascii="Times New Roman" w:hAnsi="Times New Roman" w:cs="Times New Roman"/>
          <w:noProof/>
          <w:sz w:val="24"/>
          <w:szCs w:val="24"/>
          <w:lang w:val="en-GB"/>
        </w:rPr>
        <w:t xml:space="preserve"> </w:t>
      </w:r>
      <w:r w:rsidR="004C242F" w:rsidRPr="004C242F">
        <w:rPr>
          <w:rFonts w:ascii="Times New Roman" w:hAnsi="Times New Roman" w:cs="Times New Roman"/>
          <w:noProof/>
          <w:sz w:val="24"/>
          <w:szCs w:val="24"/>
          <w:lang w:val="en-GB"/>
        </w:rPr>
        <w:t>complemented by a reassessment of security risks and the implementation of new security and business continuity plans.</w:t>
      </w:r>
    </w:p>
    <w:p w14:paraId="2528549D" w14:textId="2C19F6C7" w:rsidR="00A60314" w:rsidRPr="00A60314" w:rsidRDefault="00A60314" w:rsidP="00A60314">
      <w:pPr>
        <w:jc w:val="both"/>
        <w:rPr>
          <w:rFonts w:ascii="Times New Roman" w:hAnsi="Times New Roman" w:cs="Times New Roman"/>
          <w:noProof/>
          <w:sz w:val="24"/>
          <w:szCs w:val="24"/>
          <w:lang w:val="en-GB"/>
        </w:rPr>
      </w:pPr>
      <w:r w:rsidRPr="00A60314">
        <w:rPr>
          <w:rFonts w:ascii="Times New Roman" w:hAnsi="Times New Roman" w:cs="Times New Roman"/>
          <w:noProof/>
          <w:sz w:val="24"/>
          <w:szCs w:val="24"/>
          <w:lang w:val="en-GB"/>
        </w:rPr>
        <w:t>Similarly, the Eurodac system has exhibited exceptional reliability and responsiveness, with an availability rate of 99.9% and efficient response times.</w:t>
      </w:r>
    </w:p>
    <w:p w14:paraId="1742C568" w14:textId="77777777" w:rsidR="00A60314" w:rsidRPr="00A60314" w:rsidRDefault="00A60314" w:rsidP="00A60314">
      <w:pPr>
        <w:jc w:val="both"/>
        <w:rPr>
          <w:rFonts w:ascii="Times New Roman" w:hAnsi="Times New Roman" w:cs="Times New Roman"/>
          <w:noProof/>
          <w:sz w:val="24"/>
          <w:szCs w:val="24"/>
          <w:lang w:val="en-GB"/>
        </w:rPr>
      </w:pPr>
      <w:r w:rsidRPr="00A60314">
        <w:rPr>
          <w:rFonts w:ascii="Times New Roman" w:hAnsi="Times New Roman" w:cs="Times New Roman"/>
          <w:noProof/>
          <w:sz w:val="24"/>
          <w:szCs w:val="24"/>
          <w:lang w:val="en-GB"/>
        </w:rPr>
        <w:t>Interoperability readiness is a key focus for eu-LISA, with integration efforts underway to enhance data exchange and collaboration between systems</w:t>
      </w:r>
      <w:r w:rsidRPr="00A60314">
        <w:rPr>
          <w:rFonts w:ascii="Times New Roman" w:hAnsi="Times New Roman" w:cs="Times New Roman"/>
          <w:noProof/>
          <w:sz w:val="24"/>
          <w:szCs w:val="24"/>
          <w:vertAlign w:val="superscript"/>
          <w:lang w:val="en-GB"/>
        </w:rPr>
        <w:footnoteReference w:id="54"/>
      </w:r>
      <w:r w:rsidRPr="00A60314">
        <w:rPr>
          <w:rFonts w:ascii="Times New Roman" w:hAnsi="Times New Roman" w:cs="Times New Roman"/>
          <w:noProof/>
          <w:sz w:val="24"/>
          <w:szCs w:val="24"/>
          <w:lang w:val="en-GB"/>
        </w:rPr>
        <w:t>. Security measures remain robust, with proactive initiatives like the establishment of a Computer Security Incident Response Team (CSIRT) and cybersecurity exercises to strengthen incident response capabilities.</w:t>
      </w:r>
    </w:p>
    <w:p w14:paraId="779BED5C" w14:textId="77777777" w:rsidR="00A60314" w:rsidRPr="00A60314" w:rsidRDefault="00A60314" w:rsidP="00A60314">
      <w:pPr>
        <w:jc w:val="both"/>
        <w:rPr>
          <w:rFonts w:ascii="Times New Roman" w:hAnsi="Times New Roman" w:cs="Times New Roman"/>
          <w:noProof/>
          <w:sz w:val="24"/>
          <w:szCs w:val="24"/>
          <w:lang w:val="en-GB"/>
        </w:rPr>
      </w:pPr>
      <w:r w:rsidRPr="00A60314">
        <w:rPr>
          <w:rFonts w:ascii="Times New Roman" w:hAnsi="Times New Roman" w:cs="Times New Roman"/>
          <w:noProof/>
          <w:sz w:val="24"/>
          <w:szCs w:val="24"/>
          <w:lang w:val="en-GB"/>
        </w:rPr>
        <w:t>The Agency's support function, including 24/7 monitoring and effective incident resolution, has been lauded by the Member States (e.g. in the SWOT workshops and in several interviews). Additionally, both, end-users as well as Management Board and AGs express satisfaction with the support provided through the survey, underscoring the importance of eu-LISA's role in ensuring the smooth functioning of IT systems at both national and EU levels.</w:t>
      </w:r>
    </w:p>
    <w:p w14:paraId="48B71EE3" w14:textId="77777777" w:rsidR="00A60314" w:rsidRPr="00A60314" w:rsidRDefault="446381AC" w:rsidP="00A60314">
      <w:pPr>
        <w:jc w:val="both"/>
        <w:rPr>
          <w:rFonts w:ascii="Times New Roman" w:hAnsi="Times New Roman" w:cs="Times New Roman"/>
          <w:noProof/>
          <w:sz w:val="24"/>
          <w:szCs w:val="24"/>
          <w:lang w:val="en-GB"/>
        </w:rPr>
      </w:pPr>
      <w:r w:rsidRPr="1F7CBA1A">
        <w:rPr>
          <w:rFonts w:ascii="Times New Roman" w:hAnsi="Times New Roman" w:cs="Times New Roman"/>
          <w:noProof/>
          <w:sz w:val="24"/>
          <w:szCs w:val="24"/>
          <w:lang w:val="en-GB"/>
        </w:rPr>
        <w:t xml:space="preserve">Overall, eu-LISA has showcased a very good track record in incident management, with a focus on timely response, high availability, and proactive security measures. </w:t>
      </w:r>
    </w:p>
    <w:p w14:paraId="24D130E9" w14:textId="660C4C98" w:rsidR="00612061" w:rsidRPr="001A4373" w:rsidRDefault="001F2763" w:rsidP="2E42B479">
      <w:pPr>
        <w:jc w:val="both"/>
        <w:rPr>
          <w:rFonts w:ascii="Times New Roman" w:hAnsi="Times New Roman" w:cs="Times New Roman"/>
          <w:b/>
          <w:bCs/>
          <w:i/>
          <w:iCs/>
          <w:noProof/>
          <w:sz w:val="24"/>
          <w:szCs w:val="24"/>
          <w:lang w:val="en-GB"/>
        </w:rPr>
      </w:pPr>
      <w:r w:rsidRPr="2E42B479">
        <w:rPr>
          <w:rFonts w:ascii="Times New Roman" w:hAnsi="Times New Roman" w:cs="Times New Roman"/>
          <w:b/>
          <w:bCs/>
          <w:i/>
          <w:iCs/>
          <w:noProof/>
          <w:sz w:val="24"/>
          <w:szCs w:val="24"/>
          <w:lang w:val="en-GB"/>
        </w:rPr>
        <w:t>Does eu-LISA Regulation allow the Agency to cooperate with all international organisations, which are relevant for carrying out its tasks efficiently?</w:t>
      </w:r>
    </w:p>
    <w:p w14:paraId="7868F35A" w14:textId="55C49EDF" w:rsidR="00F43587" w:rsidRPr="004E2424" w:rsidRDefault="00F43587" w:rsidP="004E2424">
      <w:pPr>
        <w:jc w:val="both"/>
        <w:rPr>
          <w:rFonts w:ascii="Times New Roman" w:hAnsi="Times New Roman" w:cs="Times New Roman"/>
          <w:noProof/>
          <w:sz w:val="24"/>
          <w:szCs w:val="24"/>
          <w:lang w:val="en-IE"/>
        </w:rPr>
      </w:pPr>
      <w:r w:rsidRPr="004E2424">
        <w:rPr>
          <w:rFonts w:ascii="Times New Roman" w:hAnsi="Times New Roman" w:cs="Times New Roman"/>
          <w:noProof/>
          <w:sz w:val="24"/>
          <w:szCs w:val="24"/>
          <w:lang w:val="en-IE"/>
        </w:rPr>
        <w:t>According to Article 43 of eu-LISA Regulation (2018/1726), the Agency is legally entitled to cooperate with international organisations that are relevant for eu-LISA to carry out its tasks efficiently if certain conditions are met. More specifically, according to Article 43.1, such cooperation must be provided for by a Union legal act. Moreover, the cooperation must be necessary for the performance of eu-LISA’s tasks. For all working arrangements established with international organisations or bodies, Article 43.2. underlines the need to specify terms of scope, nature, purpose, and extent. Furthermore, the working arrangements can only be concluded with the authorisation of the Management Board. Prior to such authorisation, the Management Board is required to receive an official approval by the European Commission.</w:t>
      </w:r>
    </w:p>
    <w:p w14:paraId="2C8337C2" w14:textId="77777777" w:rsidR="00F43587" w:rsidRPr="004E2424" w:rsidRDefault="00F43587" w:rsidP="00F43587">
      <w:pPr>
        <w:jc w:val="both"/>
        <w:rPr>
          <w:rFonts w:ascii="Times New Roman" w:hAnsi="Times New Roman" w:cs="Times New Roman"/>
          <w:noProof/>
          <w:sz w:val="24"/>
          <w:szCs w:val="24"/>
          <w:lang w:val="en-IE"/>
        </w:rPr>
      </w:pPr>
      <w:r w:rsidRPr="004E2424">
        <w:rPr>
          <w:rFonts w:ascii="Times New Roman" w:hAnsi="Times New Roman" w:cs="Times New Roman"/>
          <w:noProof/>
          <w:sz w:val="24"/>
          <w:szCs w:val="24"/>
          <w:lang w:val="en-IE"/>
        </w:rPr>
        <w:t>For cooperations in the context of e-CODEX, technical support shall be allowed to be requested and received by the cooperation parties. This shall be handled by one natural person per organisation.</w:t>
      </w:r>
      <w:r w:rsidRPr="004E2424">
        <w:rPr>
          <w:rFonts w:ascii="Times New Roman" w:hAnsi="Times New Roman" w:cs="Times New Roman"/>
          <w:noProof/>
          <w:sz w:val="24"/>
          <w:szCs w:val="24"/>
          <w:vertAlign w:val="superscript"/>
          <w:lang w:val="en-IE"/>
        </w:rPr>
        <w:footnoteReference w:id="55"/>
      </w:r>
    </w:p>
    <w:p w14:paraId="08ED9153" w14:textId="29E4222E" w:rsidR="009D2A3A" w:rsidRDefault="009D2A3A" w:rsidP="009D2A3A">
      <w:pPr>
        <w:jc w:val="both"/>
        <w:rPr>
          <w:rFonts w:ascii="Times New Roman" w:hAnsi="Times New Roman" w:cs="Times New Roman"/>
          <w:b/>
          <w:bCs/>
          <w:i/>
          <w:iCs/>
          <w:noProof/>
          <w:sz w:val="24"/>
          <w:szCs w:val="24"/>
          <w:lang w:val="en-GB"/>
        </w:rPr>
      </w:pPr>
      <w:r w:rsidRPr="009D2A3A">
        <w:rPr>
          <w:rFonts w:ascii="Times New Roman" w:hAnsi="Times New Roman" w:cs="Times New Roman"/>
          <w:b/>
          <w:bCs/>
          <w:i/>
          <w:iCs/>
          <w:noProof/>
          <w:sz w:val="24"/>
          <w:szCs w:val="24"/>
          <w:lang w:val="en-GB"/>
        </w:rPr>
        <w:t>Has eu-LISA effectively implemented the recommendations of the previous external evaluation completed in 2016?</w:t>
      </w:r>
    </w:p>
    <w:p w14:paraId="7C44AA57" w14:textId="7161DCA1" w:rsidR="00935989" w:rsidRPr="00004DA6" w:rsidRDefault="00935989" w:rsidP="00935989">
      <w:pPr>
        <w:jc w:val="both"/>
        <w:rPr>
          <w:rFonts w:ascii="Times New Roman" w:hAnsi="Times New Roman" w:cs="Times New Roman"/>
          <w:noProof/>
          <w:sz w:val="24"/>
          <w:szCs w:val="24"/>
          <w:lang w:val="en-IE"/>
        </w:rPr>
      </w:pPr>
      <w:r w:rsidRPr="00004DA6">
        <w:rPr>
          <w:rFonts w:ascii="Times New Roman" w:hAnsi="Times New Roman" w:cs="Times New Roman"/>
          <w:noProof/>
          <w:sz w:val="24"/>
          <w:szCs w:val="24"/>
          <w:lang w:val="en-IE"/>
        </w:rPr>
        <w:t>The 201</w:t>
      </w:r>
      <w:r w:rsidR="00F05085">
        <w:rPr>
          <w:rFonts w:ascii="Times New Roman" w:hAnsi="Times New Roman" w:cs="Times New Roman"/>
          <w:noProof/>
          <w:sz w:val="24"/>
          <w:szCs w:val="24"/>
          <w:lang w:val="en-IE"/>
        </w:rPr>
        <w:t>7</w:t>
      </w:r>
      <w:r w:rsidRPr="00004DA6">
        <w:rPr>
          <w:rFonts w:ascii="Times New Roman" w:hAnsi="Times New Roman" w:cs="Times New Roman"/>
          <w:noProof/>
          <w:sz w:val="24"/>
          <w:szCs w:val="24"/>
          <w:lang w:val="en-IE"/>
        </w:rPr>
        <w:t xml:space="preserve"> evaluation of eu-LISA proposed 84 specific recommendations to eu-LISA, particularly on the Agency’s legal framework as well as on structural, organisational changes.</w:t>
      </w:r>
      <w:r w:rsidR="002247A5">
        <w:rPr>
          <w:rStyle w:val="FootnoteReference"/>
          <w:rFonts w:ascii="Times New Roman" w:hAnsi="Times New Roman" w:cs="Times New Roman"/>
          <w:noProof/>
          <w:szCs w:val="24"/>
          <w:lang w:val="en-IE"/>
        </w:rPr>
        <w:footnoteReference w:id="56"/>
      </w:r>
      <w:r w:rsidRPr="00004DA6">
        <w:rPr>
          <w:rFonts w:ascii="Times New Roman" w:hAnsi="Times New Roman" w:cs="Times New Roman"/>
          <w:noProof/>
          <w:sz w:val="24"/>
          <w:szCs w:val="24"/>
          <w:lang w:val="en-IE"/>
        </w:rPr>
        <w:t xml:space="preserve"> The recommendations focused on improving current tasks and addressing possible future needs of the Agency.</w:t>
      </w:r>
    </w:p>
    <w:p w14:paraId="78CFE3F2" w14:textId="00799F59" w:rsidR="00935989" w:rsidRPr="00004DA6" w:rsidRDefault="00935989" w:rsidP="00935989">
      <w:pPr>
        <w:jc w:val="both"/>
        <w:rPr>
          <w:rFonts w:ascii="Times New Roman" w:hAnsi="Times New Roman" w:cs="Times New Roman"/>
          <w:noProof/>
          <w:sz w:val="24"/>
          <w:szCs w:val="24"/>
          <w:lang w:val="en-IE"/>
        </w:rPr>
      </w:pPr>
      <w:r w:rsidRPr="00004DA6">
        <w:rPr>
          <w:rFonts w:ascii="Times New Roman" w:hAnsi="Times New Roman" w:cs="Times New Roman"/>
          <w:noProof/>
          <w:sz w:val="24"/>
          <w:szCs w:val="24"/>
          <w:lang w:val="en-IE"/>
        </w:rPr>
        <w:t>Overall, eu-LISA has incorporated the recommendations of the 2016 evaluation to a mixed extent. In addition, the recently introduced operational restructuring within the Agency aims at further implementing recommendations concerning staff matters</w:t>
      </w:r>
      <w:r w:rsidR="0085234E">
        <w:rPr>
          <w:rFonts w:ascii="Times New Roman" w:hAnsi="Times New Roman" w:cs="Times New Roman"/>
          <w:noProof/>
          <w:sz w:val="24"/>
          <w:szCs w:val="24"/>
          <w:lang w:val="en-IE"/>
        </w:rPr>
        <w:t xml:space="preserve"> </w:t>
      </w:r>
      <w:r w:rsidRPr="00004DA6">
        <w:rPr>
          <w:rFonts w:ascii="Times New Roman" w:hAnsi="Times New Roman" w:cs="Times New Roman"/>
          <w:noProof/>
          <w:sz w:val="24"/>
          <w:szCs w:val="24"/>
          <w:lang w:val="en-IE"/>
        </w:rPr>
        <w:t xml:space="preserve">and agility. Moreover, </w:t>
      </w:r>
      <w:r w:rsidR="0085234E">
        <w:rPr>
          <w:rFonts w:ascii="Times New Roman" w:hAnsi="Times New Roman" w:cs="Times New Roman"/>
          <w:noProof/>
          <w:sz w:val="24"/>
          <w:szCs w:val="24"/>
          <w:lang w:val="en-IE"/>
        </w:rPr>
        <w:t>the management of</w:t>
      </w:r>
      <w:r w:rsidRPr="00004DA6">
        <w:rPr>
          <w:rFonts w:ascii="Times New Roman" w:hAnsi="Times New Roman" w:cs="Times New Roman"/>
          <w:noProof/>
          <w:sz w:val="24"/>
          <w:szCs w:val="24"/>
          <w:lang w:val="en-IE"/>
        </w:rPr>
        <w:t xml:space="preserve"> eu-LISA’s Information Security Management System (ISMS) was strengthened and considerable resources have been invested to bolster information security across its spectrum of activities. The Agency carries out thorough security evaluation </w:t>
      </w:r>
      <w:r w:rsidR="005F29FD">
        <w:rPr>
          <w:rFonts w:ascii="Times New Roman" w:hAnsi="Times New Roman" w:cs="Times New Roman"/>
          <w:noProof/>
          <w:sz w:val="24"/>
          <w:szCs w:val="24"/>
          <w:lang w:val="en-IE"/>
        </w:rPr>
        <w:t>on the systems it manages. In addition,</w:t>
      </w:r>
      <w:r w:rsidRPr="00004DA6">
        <w:rPr>
          <w:rFonts w:ascii="Times New Roman" w:hAnsi="Times New Roman" w:cs="Times New Roman"/>
          <w:noProof/>
          <w:sz w:val="24"/>
          <w:szCs w:val="24"/>
          <w:lang w:val="en-IE"/>
        </w:rPr>
        <w:t xml:space="preserve"> </w:t>
      </w:r>
      <w:r w:rsidR="00EE07B8">
        <w:rPr>
          <w:rFonts w:ascii="Times New Roman" w:hAnsi="Times New Roman" w:cs="Times New Roman"/>
          <w:noProof/>
          <w:sz w:val="24"/>
          <w:szCs w:val="24"/>
          <w:lang w:val="en-IE"/>
        </w:rPr>
        <w:t>with</w:t>
      </w:r>
      <w:r w:rsidRPr="00004DA6">
        <w:rPr>
          <w:rFonts w:ascii="Times New Roman" w:hAnsi="Times New Roman" w:cs="Times New Roman"/>
          <w:noProof/>
          <w:sz w:val="24"/>
          <w:szCs w:val="24"/>
          <w:lang w:val="en-IE"/>
        </w:rPr>
        <w:t xml:space="preserve"> the publication of technical and statistical system reports</w:t>
      </w:r>
      <w:r w:rsidR="00EE07B8">
        <w:rPr>
          <w:rFonts w:ascii="Times New Roman" w:hAnsi="Times New Roman" w:cs="Times New Roman"/>
          <w:noProof/>
          <w:sz w:val="24"/>
          <w:szCs w:val="24"/>
          <w:lang w:val="en-IE"/>
        </w:rPr>
        <w:t>, eu-LISA</w:t>
      </w:r>
      <w:r w:rsidRPr="00004DA6">
        <w:rPr>
          <w:rFonts w:ascii="Times New Roman" w:hAnsi="Times New Roman" w:cs="Times New Roman"/>
          <w:noProof/>
          <w:sz w:val="24"/>
          <w:szCs w:val="24"/>
          <w:lang w:val="en-IE"/>
        </w:rPr>
        <w:t xml:space="preserve"> addresses the 2016 recommendation of regularly reviewing systems’ capacity needs. For instance, since 2018 the Agency published in total 29 reports on technical aspects related to the different IT systems. However, there is still room for improvement in terms of eu-LISA’s research activities and access to Member States system data and audits to ensure adherence to prescribed standards and directives, thereby fortifying the ISMS.</w:t>
      </w:r>
    </w:p>
    <w:p w14:paraId="123A042A" w14:textId="77777777" w:rsidR="00935989" w:rsidRPr="00004DA6" w:rsidRDefault="00935989" w:rsidP="00935989">
      <w:pPr>
        <w:jc w:val="both"/>
        <w:rPr>
          <w:rFonts w:ascii="Times New Roman" w:hAnsi="Times New Roman" w:cs="Times New Roman"/>
          <w:noProof/>
          <w:sz w:val="24"/>
          <w:szCs w:val="24"/>
          <w:lang w:val="en-IE"/>
        </w:rPr>
      </w:pPr>
      <w:r w:rsidRPr="00004DA6">
        <w:rPr>
          <w:rFonts w:ascii="Times New Roman" w:hAnsi="Times New Roman" w:cs="Times New Roman"/>
          <w:noProof/>
          <w:sz w:val="24"/>
          <w:szCs w:val="24"/>
          <w:lang w:val="en-IE"/>
        </w:rPr>
        <w:t>Recommendations, which were considered as “critical” in the previous evaluation, which have not yet been fully addressed, include, for instance, the improvement of a backup site for switch over/switch back sequences between systems, a more detailed accounting system to better manage budgeting of resources or to strengthen the security management competencies.</w:t>
      </w:r>
    </w:p>
    <w:p w14:paraId="5A68B113" w14:textId="77777777" w:rsidR="00935989" w:rsidRPr="00004DA6" w:rsidRDefault="00935989" w:rsidP="00935989">
      <w:pPr>
        <w:jc w:val="both"/>
        <w:rPr>
          <w:rFonts w:ascii="Times New Roman" w:hAnsi="Times New Roman" w:cs="Times New Roman"/>
          <w:noProof/>
          <w:sz w:val="24"/>
          <w:szCs w:val="24"/>
          <w:lang w:val="en-IE"/>
        </w:rPr>
      </w:pPr>
      <w:r w:rsidRPr="00004DA6">
        <w:rPr>
          <w:rFonts w:ascii="Times New Roman" w:hAnsi="Times New Roman" w:cs="Times New Roman"/>
          <w:noProof/>
          <w:sz w:val="24"/>
          <w:szCs w:val="24"/>
          <w:lang w:val="en-IE"/>
        </w:rPr>
        <w:t>Regarding the use of the backup site based in Austria, technical experts stressed during the interviews that due to the physical distance between Strasbourg and St. Johann im Pongau, an uninterrupted service in case of system failure cannot be guaranteed as switching to the backup site is taking too long. Moreover, the recommendation relating to accounting practices have not been addressed to a satisfying extent. The current processes have been criticised by interviewees for their lack of transparency. Another significant concern that remains to be addressed is the absence of a robust accounting and planning framework. This has been pointed out as a critical issue, making it challenging to project and manage finances effectively in the medium and long term.</w:t>
      </w:r>
    </w:p>
    <w:p w14:paraId="7D5E10F9" w14:textId="77777777" w:rsidR="00935989" w:rsidRPr="00004DA6" w:rsidRDefault="00935989" w:rsidP="00935989">
      <w:pPr>
        <w:jc w:val="both"/>
        <w:rPr>
          <w:rFonts w:ascii="Times New Roman" w:hAnsi="Times New Roman" w:cs="Times New Roman"/>
          <w:noProof/>
          <w:sz w:val="24"/>
          <w:szCs w:val="24"/>
          <w:lang w:val="en-IE"/>
        </w:rPr>
      </w:pPr>
      <w:r w:rsidRPr="00004DA6">
        <w:rPr>
          <w:rFonts w:ascii="Times New Roman" w:hAnsi="Times New Roman" w:cs="Times New Roman"/>
          <w:noProof/>
          <w:sz w:val="24"/>
          <w:szCs w:val="24"/>
          <w:lang w:val="en-IE"/>
        </w:rPr>
        <w:t xml:space="preserve">Other recommendations classified as “very important” that have not yet been addressed include, among others, the definition of a sourcing strategy to improve procurement, to leverage the technical expertise in the Advisory Groups or to establish and formalise a review process allowing for a regular review of the systems’ capacity needs. Importantly, the Agency still lacks a common sourcing strategy. </w:t>
      </w:r>
      <w:r w:rsidR="00886BED">
        <w:rPr>
          <w:rFonts w:ascii="Times New Roman" w:hAnsi="Times New Roman" w:cs="Times New Roman"/>
          <w:noProof/>
          <w:sz w:val="24"/>
          <w:szCs w:val="24"/>
          <w:lang w:val="en-IE"/>
        </w:rPr>
        <w:t>A</w:t>
      </w:r>
      <w:r w:rsidRPr="00004DA6">
        <w:rPr>
          <w:rFonts w:ascii="Times New Roman" w:hAnsi="Times New Roman" w:cs="Times New Roman"/>
          <w:noProof/>
          <w:sz w:val="24"/>
          <w:szCs w:val="24"/>
          <w:lang w:val="en-IE"/>
        </w:rPr>
        <w:t xml:space="preserve"> noticeable gap has been identified between the human resources and procurement divisions located in Tallinn and the operations department in Strasbourg. This division has reportedly led to various inefficiencies over recent years up to the present, particularly in the processes of recruitment (e.g. length of procedures) and staff development (e.g. contract prolongation), as well as in overseeing contractors (such as selecting, managing, and monitoring contractor performance). Furthermore, as concerns the technical expertise within the Advisory Groups, stakeholders pointed to slow decision-making processes within the AGs, given that consensus must be reached. Moreover, once a decision is made and communicated to the Management Board, technical expertise is often missing in the latter governance body and an adequate problem assessment is challenging.</w:t>
      </w:r>
    </w:p>
    <w:p w14:paraId="45F32D3F" w14:textId="77777777" w:rsidR="00935989" w:rsidRPr="00004DA6" w:rsidRDefault="00935989" w:rsidP="00935989">
      <w:pPr>
        <w:jc w:val="both"/>
        <w:rPr>
          <w:rFonts w:ascii="Times New Roman" w:hAnsi="Times New Roman" w:cs="Times New Roman"/>
          <w:noProof/>
          <w:sz w:val="24"/>
          <w:szCs w:val="24"/>
          <w:lang w:val="en-IE"/>
        </w:rPr>
      </w:pPr>
      <w:r w:rsidRPr="00004DA6">
        <w:rPr>
          <w:rFonts w:ascii="Times New Roman" w:hAnsi="Times New Roman" w:cs="Times New Roman"/>
          <w:noProof/>
          <w:sz w:val="24"/>
          <w:szCs w:val="24"/>
          <w:lang w:val="en-IE"/>
        </w:rPr>
        <w:t>Hence, to conclude, while many of the recommendations have been addressed, key outstanding recommendations include:</w:t>
      </w:r>
    </w:p>
    <w:p w14:paraId="1D1B96EA" w14:textId="01F5667F" w:rsidR="00935989" w:rsidRPr="00004DA6" w:rsidRDefault="00935989" w:rsidP="00004DA6">
      <w:pPr>
        <w:pStyle w:val="ListParagraph"/>
        <w:numPr>
          <w:ilvl w:val="0"/>
          <w:numId w:val="6"/>
        </w:numPr>
        <w:rPr>
          <w:noProof/>
          <w:szCs w:val="24"/>
          <w:lang w:val="en-IE"/>
        </w:rPr>
      </w:pPr>
      <w:r w:rsidRPr="00004DA6">
        <w:rPr>
          <w:noProof/>
          <w:szCs w:val="24"/>
          <w:lang w:val="en-IE"/>
        </w:rPr>
        <w:t xml:space="preserve">Address technical challenges stemming from the split between the Central Unit in Strasbourg and the backup site in St. Johann im Pongau to ensure uninterrupted services, hence, consider another back-up site in closer </w:t>
      </w:r>
      <w:r w:rsidRPr="00D12683">
        <w:rPr>
          <w:noProof/>
          <w:szCs w:val="24"/>
          <w:lang w:val="en-IE"/>
        </w:rPr>
        <w:t>reach</w:t>
      </w:r>
      <w:r w:rsidR="00D12683" w:rsidRPr="00D12683">
        <w:rPr>
          <w:noProof/>
          <w:szCs w:val="24"/>
          <w:lang w:val="en-IE"/>
        </w:rPr>
        <w:t>.</w:t>
      </w:r>
    </w:p>
    <w:p w14:paraId="46795E5B" w14:textId="68AFB5D6" w:rsidR="00935989" w:rsidRPr="00004DA6" w:rsidRDefault="00935989" w:rsidP="00004DA6">
      <w:pPr>
        <w:pStyle w:val="ListParagraph"/>
        <w:numPr>
          <w:ilvl w:val="0"/>
          <w:numId w:val="6"/>
        </w:numPr>
        <w:rPr>
          <w:noProof/>
          <w:szCs w:val="24"/>
          <w:lang w:val="en-IE"/>
        </w:rPr>
      </w:pPr>
      <w:r w:rsidRPr="00004DA6">
        <w:rPr>
          <w:noProof/>
          <w:szCs w:val="24"/>
          <w:lang w:val="en-IE"/>
        </w:rPr>
        <w:t>Define a sourcing strategy. Based on such as strategy, the procurement strategy and principles for involving outside competences should be defined</w:t>
      </w:r>
      <w:r w:rsidR="00D12683">
        <w:rPr>
          <w:noProof/>
          <w:szCs w:val="24"/>
          <w:lang w:val="en-IE"/>
        </w:rPr>
        <w:t>;</w:t>
      </w:r>
      <w:r w:rsidRPr="00004DA6">
        <w:rPr>
          <w:noProof/>
          <w:szCs w:val="24"/>
          <w:lang w:val="en-IE"/>
        </w:rPr>
        <w:t xml:space="preserve"> and</w:t>
      </w:r>
    </w:p>
    <w:p w14:paraId="0DD0C174" w14:textId="44387F1F" w:rsidR="00935989" w:rsidRDefault="00935989" w:rsidP="009D2A3A">
      <w:pPr>
        <w:pStyle w:val="ListParagraph"/>
        <w:numPr>
          <w:ilvl w:val="0"/>
          <w:numId w:val="6"/>
        </w:numPr>
        <w:rPr>
          <w:noProof/>
          <w:szCs w:val="24"/>
          <w:lang w:val="en-IE"/>
        </w:rPr>
      </w:pPr>
      <w:r w:rsidRPr="00004DA6">
        <w:rPr>
          <w:noProof/>
          <w:szCs w:val="24"/>
          <w:lang w:val="en-IE"/>
        </w:rPr>
        <w:t>Establish and formalise a review process allowing for a regular review of the systems’ capacity needs with Member States based on the statistics generated from the systems and a prospective exercise</w:t>
      </w:r>
      <w:r>
        <w:rPr>
          <w:noProof/>
          <w:szCs w:val="24"/>
          <w:lang w:val="en-IE"/>
        </w:rPr>
        <w:t>.</w:t>
      </w:r>
    </w:p>
    <w:p w14:paraId="6B03D48F" w14:textId="77777777" w:rsidR="00521131" w:rsidRDefault="00521131" w:rsidP="00521131">
      <w:pPr>
        <w:pStyle w:val="ListParagraph"/>
        <w:rPr>
          <w:noProof/>
          <w:szCs w:val="24"/>
          <w:lang w:val="en-IE"/>
        </w:rPr>
      </w:pPr>
    </w:p>
    <w:p w14:paraId="3B9A3272" w14:textId="50F07E44" w:rsidR="00CB1975" w:rsidRPr="00F67E1F" w:rsidRDefault="00CB1975" w:rsidP="00EE061C">
      <w:pPr>
        <w:pStyle w:val="ListParagraph"/>
        <w:numPr>
          <w:ilvl w:val="2"/>
          <w:numId w:val="2"/>
        </w:numPr>
        <w:outlineLvl w:val="2"/>
        <w:rPr>
          <w:b/>
          <w:bCs/>
          <w:iCs/>
          <w:noProof/>
          <w:szCs w:val="24"/>
        </w:rPr>
      </w:pPr>
      <w:bookmarkStart w:id="27" w:name="_Toc207303610"/>
      <w:r w:rsidRPr="00F67E1F">
        <w:rPr>
          <w:b/>
          <w:bCs/>
          <w:iCs/>
          <w:noProof/>
          <w:szCs w:val="24"/>
        </w:rPr>
        <w:t>Efficiency</w:t>
      </w:r>
      <w:bookmarkEnd w:id="27"/>
    </w:p>
    <w:p w14:paraId="0B1E60A7" w14:textId="44864CB0" w:rsidR="0014370F" w:rsidRPr="006D570B" w:rsidRDefault="0014370F" w:rsidP="0014370F">
      <w:pPr>
        <w:pBdr>
          <w:top w:val="single" w:sz="4" w:space="1" w:color="auto"/>
          <w:left w:val="single" w:sz="4" w:space="4" w:color="auto"/>
          <w:bottom w:val="single" w:sz="4" w:space="1" w:color="auto"/>
          <w:right w:val="single" w:sz="4" w:space="4" w:color="auto"/>
        </w:pBdr>
        <w:rPr>
          <w:rFonts w:ascii="Times New Roman" w:hAnsi="Times New Roman" w:cs="Times New Roman"/>
          <w:b/>
          <w:bCs/>
          <w:i/>
          <w:noProof/>
          <w:sz w:val="24"/>
          <w:szCs w:val="24"/>
          <w:lang w:val="en-IE"/>
        </w:rPr>
      </w:pPr>
      <w:r w:rsidRPr="006D570B">
        <w:rPr>
          <w:rFonts w:ascii="Times New Roman" w:hAnsi="Times New Roman" w:cs="Times New Roman"/>
          <w:b/>
          <w:bCs/>
          <w:i/>
          <w:noProof/>
          <w:sz w:val="24"/>
          <w:szCs w:val="24"/>
          <w:lang w:val="en-IE"/>
        </w:rPr>
        <w:t>Key findings</w:t>
      </w:r>
    </w:p>
    <w:p w14:paraId="77B970A0" w14:textId="3EC971AB" w:rsidR="006D570B" w:rsidRPr="006D570B" w:rsidRDefault="006D570B" w:rsidP="006D570B">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lang w:val="en-GB"/>
        </w:rPr>
      </w:pPr>
      <w:r w:rsidRPr="006D570B">
        <w:rPr>
          <w:rFonts w:ascii="Times New Roman" w:hAnsi="Times New Roman" w:cs="Times New Roman"/>
          <w:i/>
          <w:noProof/>
          <w:sz w:val="24"/>
          <w:szCs w:val="24"/>
          <w:lang w:val="en-GB"/>
        </w:rPr>
        <w:t xml:space="preserve">While the Agency seems to be operating efficiently relating to the operational management of existing IT systems, there is room for improvement with regard to the development of new IT systems. Challenges in this regard stem, for example, from difficulties in managing the various contractors involved. </w:t>
      </w:r>
    </w:p>
    <w:p w14:paraId="14D0A8BE" w14:textId="77777777" w:rsidR="00257574" w:rsidRDefault="006D570B" w:rsidP="006D570B">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lang w:val="en-GB"/>
        </w:rPr>
      </w:pPr>
      <w:r w:rsidRPr="006D570B">
        <w:rPr>
          <w:rFonts w:ascii="Times New Roman" w:hAnsi="Times New Roman" w:cs="Times New Roman"/>
          <w:i/>
          <w:noProof/>
          <w:sz w:val="24"/>
          <w:szCs w:val="24"/>
          <w:lang w:val="en-GB"/>
        </w:rPr>
        <w:t xml:space="preserve">Considering the organisational and governance set-up, the evaluation shows that the Agency is working rather efficiently and puts regular efforts in increasing the efficiency of internal processes. Nevertheless, </w:t>
      </w:r>
      <w:r w:rsidR="00BA0E7A">
        <w:rPr>
          <w:rFonts w:ascii="Times New Roman" w:hAnsi="Times New Roman" w:cs="Times New Roman"/>
          <w:i/>
          <w:noProof/>
          <w:sz w:val="24"/>
          <w:szCs w:val="24"/>
          <w:lang w:val="en-GB"/>
        </w:rPr>
        <w:t>challenges</w:t>
      </w:r>
      <w:r w:rsidRPr="006D570B">
        <w:rPr>
          <w:rFonts w:ascii="Times New Roman" w:hAnsi="Times New Roman" w:cs="Times New Roman"/>
          <w:i/>
          <w:noProof/>
          <w:sz w:val="24"/>
          <w:szCs w:val="24"/>
          <w:lang w:val="en-GB"/>
        </w:rPr>
        <w:t xml:space="preserve"> relating to the internal set-up</w:t>
      </w:r>
      <w:r w:rsidR="003F11FE">
        <w:rPr>
          <w:rFonts w:ascii="Times New Roman" w:hAnsi="Times New Roman" w:cs="Times New Roman"/>
          <w:i/>
          <w:noProof/>
          <w:sz w:val="24"/>
          <w:szCs w:val="24"/>
          <w:lang w:val="en-GB"/>
        </w:rPr>
        <w:t xml:space="preserve"> exist</w:t>
      </w:r>
      <w:r w:rsidRPr="006D570B">
        <w:rPr>
          <w:rFonts w:ascii="Times New Roman" w:hAnsi="Times New Roman" w:cs="Times New Roman"/>
          <w:i/>
          <w:noProof/>
          <w:sz w:val="24"/>
          <w:szCs w:val="24"/>
          <w:lang w:val="en-GB"/>
        </w:rPr>
        <w:t xml:space="preserve">, for example, </w:t>
      </w:r>
      <w:r w:rsidR="003F11FE">
        <w:rPr>
          <w:rFonts w:ascii="Times New Roman" w:hAnsi="Times New Roman" w:cs="Times New Roman"/>
          <w:i/>
          <w:noProof/>
          <w:sz w:val="24"/>
          <w:szCs w:val="24"/>
          <w:lang w:val="en-GB"/>
        </w:rPr>
        <w:t xml:space="preserve">concerning </w:t>
      </w:r>
      <w:r w:rsidRPr="006D570B">
        <w:rPr>
          <w:rFonts w:ascii="Times New Roman" w:hAnsi="Times New Roman" w:cs="Times New Roman"/>
          <w:i/>
          <w:noProof/>
          <w:sz w:val="24"/>
          <w:szCs w:val="24"/>
          <w:lang w:val="en-GB"/>
        </w:rPr>
        <w:t xml:space="preserve">the rather rigid unit-based set-up, the large size of some units, overlaps between the units dealing with stakeholder relations as well as a perceived disconnect across different locations that led to inefficiencies, e.g. relating to hiring and the management of contractors. </w:t>
      </w:r>
    </w:p>
    <w:p w14:paraId="7093BA4D" w14:textId="45317134" w:rsidR="0014370F" w:rsidRPr="006D570B" w:rsidRDefault="006D570B" w:rsidP="006D570B">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lang w:val="en-IE"/>
        </w:rPr>
      </w:pPr>
      <w:r w:rsidRPr="006D570B">
        <w:rPr>
          <w:rFonts w:ascii="Times New Roman" w:hAnsi="Times New Roman" w:cs="Times New Roman"/>
          <w:i/>
          <w:noProof/>
          <w:sz w:val="24"/>
          <w:szCs w:val="24"/>
          <w:lang w:val="en-GB"/>
        </w:rPr>
        <w:t>The governance bodies are generally functioning efficiently, although the high workload relating to the organisation of various meetings has been criticised. In addition, there is room for increased efficiency by streamlining and ensuring better coordination of the different governance bodies, which could potentially lead to synergies and reduce the organisational efforts.</w:t>
      </w:r>
    </w:p>
    <w:p w14:paraId="177E57E6" w14:textId="77777777" w:rsidR="00985AF5" w:rsidRPr="002048C6" w:rsidRDefault="003F259E" w:rsidP="0055380A">
      <w:pPr>
        <w:jc w:val="both"/>
        <w:rPr>
          <w:rFonts w:ascii="Times New Roman" w:hAnsi="Times New Roman" w:cs="Times New Roman"/>
          <w:bCs/>
          <w:noProof/>
          <w:sz w:val="24"/>
          <w:szCs w:val="24"/>
          <w:lang w:val="en-IE"/>
        </w:rPr>
      </w:pPr>
      <w:r w:rsidRPr="002048C6">
        <w:rPr>
          <w:rFonts w:ascii="Times New Roman" w:hAnsi="Times New Roman" w:cs="Times New Roman"/>
          <w:noProof/>
          <w:color w:val="000000" w:themeColor="text1"/>
          <w:sz w:val="24"/>
          <w:szCs w:val="24"/>
          <w:lang w:val="en-IE"/>
        </w:rPr>
        <w:t>The assessment of the Agency’s efficiency covers a)</w:t>
      </w:r>
      <w:r w:rsidR="00257574" w:rsidRPr="002048C6">
        <w:rPr>
          <w:rFonts w:ascii="Times New Roman" w:hAnsi="Times New Roman" w:cs="Times New Roman"/>
          <w:noProof/>
          <w:color w:val="000000" w:themeColor="text1"/>
          <w:sz w:val="24"/>
          <w:szCs w:val="24"/>
          <w:lang w:val="en-IE"/>
        </w:rPr>
        <w:t xml:space="preserve"> the financial resources</w:t>
      </w:r>
      <w:r w:rsidR="00D30F3D" w:rsidRPr="002048C6">
        <w:rPr>
          <w:rFonts w:ascii="Times New Roman" w:hAnsi="Times New Roman" w:cs="Times New Roman"/>
          <w:noProof/>
          <w:color w:val="000000" w:themeColor="text1"/>
          <w:sz w:val="24"/>
          <w:szCs w:val="24"/>
          <w:lang w:val="en-IE"/>
        </w:rPr>
        <w:t xml:space="preserve"> and planning</w:t>
      </w:r>
      <w:r w:rsidR="00257574" w:rsidRPr="002048C6">
        <w:rPr>
          <w:rFonts w:ascii="Times New Roman" w:hAnsi="Times New Roman" w:cs="Times New Roman"/>
          <w:noProof/>
          <w:color w:val="000000" w:themeColor="text1"/>
          <w:sz w:val="24"/>
          <w:szCs w:val="24"/>
          <w:lang w:val="en-IE"/>
        </w:rPr>
        <w:t>, b)</w:t>
      </w:r>
      <w:r w:rsidRPr="002048C6">
        <w:rPr>
          <w:rFonts w:ascii="Times New Roman" w:hAnsi="Times New Roman" w:cs="Times New Roman"/>
          <w:noProof/>
          <w:color w:val="000000" w:themeColor="text1"/>
          <w:sz w:val="24"/>
          <w:szCs w:val="24"/>
          <w:lang w:val="en-IE"/>
        </w:rPr>
        <w:t xml:space="preserve"> the </w:t>
      </w:r>
      <w:r w:rsidRPr="0055380A">
        <w:rPr>
          <w:rFonts w:ascii="Times New Roman" w:hAnsi="Times New Roman" w:cs="Times New Roman"/>
          <w:noProof/>
          <w:sz w:val="24"/>
          <w:szCs w:val="24"/>
          <w:lang w:val="en-IE"/>
        </w:rPr>
        <w:t>operational</w:t>
      </w:r>
      <w:r w:rsidRPr="002048C6">
        <w:rPr>
          <w:rFonts w:ascii="Times New Roman" w:hAnsi="Times New Roman" w:cs="Times New Roman"/>
          <w:noProof/>
          <w:sz w:val="24"/>
          <w:szCs w:val="24"/>
          <w:lang w:val="en-IE"/>
        </w:rPr>
        <w:t xml:space="preserve"> management of IT systems</w:t>
      </w:r>
      <w:r w:rsidRPr="002048C6">
        <w:rPr>
          <w:rFonts w:ascii="Times New Roman" w:hAnsi="Times New Roman" w:cs="Times New Roman"/>
          <w:bCs/>
          <w:noProof/>
          <w:sz w:val="24"/>
          <w:szCs w:val="24"/>
          <w:lang w:val="en-IE"/>
        </w:rPr>
        <w:t xml:space="preserve">, </w:t>
      </w:r>
      <w:r w:rsidR="00257574" w:rsidRPr="002048C6">
        <w:rPr>
          <w:rFonts w:ascii="Times New Roman" w:hAnsi="Times New Roman" w:cs="Times New Roman"/>
          <w:bCs/>
          <w:noProof/>
          <w:sz w:val="24"/>
          <w:szCs w:val="24"/>
          <w:lang w:val="en-IE"/>
        </w:rPr>
        <w:t>c</w:t>
      </w:r>
      <w:r w:rsidRPr="002048C6">
        <w:rPr>
          <w:rFonts w:ascii="Times New Roman" w:hAnsi="Times New Roman" w:cs="Times New Roman"/>
          <w:bCs/>
          <w:noProof/>
          <w:sz w:val="24"/>
          <w:szCs w:val="24"/>
          <w:lang w:val="en-IE"/>
        </w:rPr>
        <w:t>) the d</w:t>
      </w:r>
      <w:r w:rsidRPr="002048C6">
        <w:rPr>
          <w:rFonts w:ascii="Times New Roman" w:hAnsi="Times New Roman" w:cs="Times New Roman"/>
          <w:noProof/>
          <w:sz w:val="24"/>
          <w:szCs w:val="24"/>
          <w:lang w:val="en-IE"/>
        </w:rPr>
        <w:t>evelopment of IT systems</w:t>
      </w:r>
      <w:r w:rsidRPr="002048C6">
        <w:rPr>
          <w:rFonts w:ascii="Times New Roman" w:hAnsi="Times New Roman" w:cs="Times New Roman"/>
          <w:bCs/>
          <w:noProof/>
          <w:sz w:val="24"/>
          <w:szCs w:val="24"/>
          <w:lang w:val="en-IE"/>
        </w:rPr>
        <w:t>,</w:t>
      </w:r>
      <w:r w:rsidRPr="002048C6">
        <w:rPr>
          <w:rFonts w:ascii="Times New Roman" w:hAnsi="Times New Roman" w:cs="Times New Roman"/>
          <w:noProof/>
          <w:sz w:val="24"/>
          <w:szCs w:val="24"/>
          <w:lang w:val="en-IE"/>
        </w:rPr>
        <w:t xml:space="preserve"> and</w:t>
      </w:r>
      <w:r w:rsidRPr="002048C6">
        <w:rPr>
          <w:rFonts w:ascii="Times New Roman" w:hAnsi="Times New Roman" w:cs="Times New Roman"/>
          <w:bCs/>
          <w:noProof/>
          <w:sz w:val="24"/>
          <w:szCs w:val="24"/>
          <w:lang w:val="en-IE"/>
        </w:rPr>
        <w:t xml:space="preserve"> </w:t>
      </w:r>
      <w:r w:rsidR="00257574" w:rsidRPr="002048C6">
        <w:rPr>
          <w:rFonts w:ascii="Times New Roman" w:hAnsi="Times New Roman" w:cs="Times New Roman"/>
          <w:bCs/>
          <w:noProof/>
          <w:sz w:val="24"/>
          <w:szCs w:val="24"/>
          <w:lang w:val="en-IE"/>
        </w:rPr>
        <w:t>d</w:t>
      </w:r>
      <w:r w:rsidRPr="002048C6">
        <w:rPr>
          <w:rFonts w:ascii="Times New Roman" w:hAnsi="Times New Roman" w:cs="Times New Roman"/>
          <w:bCs/>
          <w:noProof/>
          <w:sz w:val="24"/>
          <w:szCs w:val="24"/>
          <w:lang w:val="en-IE"/>
        </w:rPr>
        <w:t>) the g</w:t>
      </w:r>
      <w:r w:rsidRPr="002048C6">
        <w:rPr>
          <w:rFonts w:ascii="Times New Roman" w:hAnsi="Times New Roman" w:cs="Times New Roman"/>
          <w:noProof/>
          <w:sz w:val="24"/>
          <w:szCs w:val="24"/>
          <w:lang w:val="en-IE"/>
        </w:rPr>
        <w:t>overnance and organisational set-up</w:t>
      </w:r>
      <w:r w:rsidRPr="002048C6">
        <w:rPr>
          <w:rFonts w:ascii="Times New Roman" w:hAnsi="Times New Roman" w:cs="Times New Roman"/>
          <w:bCs/>
          <w:noProof/>
          <w:sz w:val="24"/>
          <w:szCs w:val="24"/>
          <w:lang w:val="en-IE"/>
        </w:rPr>
        <w:t xml:space="preserve">. </w:t>
      </w:r>
    </w:p>
    <w:p w14:paraId="579DAA74" w14:textId="7604214C" w:rsidR="00D93CD7" w:rsidRPr="00721699" w:rsidRDefault="68297009" w:rsidP="004E2424">
      <w:pPr>
        <w:pStyle w:val="BodyText"/>
        <w:spacing w:before="120"/>
        <w:rPr>
          <w:rFonts w:ascii="Times New Roman" w:hAnsi="Times New Roman" w:cs="Times New Roman"/>
          <w:b/>
          <w:bCs/>
          <w:noProof/>
          <w:sz w:val="24"/>
          <w:szCs w:val="24"/>
        </w:rPr>
      </w:pPr>
      <w:r w:rsidRPr="1F7CBA1A">
        <w:rPr>
          <w:rFonts w:ascii="Times New Roman" w:hAnsi="Times New Roman" w:cs="Times New Roman"/>
          <w:b/>
          <w:bCs/>
          <w:i/>
          <w:iCs/>
          <w:noProof/>
          <w:sz w:val="24"/>
          <w:szCs w:val="24"/>
        </w:rPr>
        <w:t>To what extent has the governance structure of eu-LISA supported its ability to perform its tasks, having regard to its size, composition, organisation and working processes?</w:t>
      </w:r>
    </w:p>
    <w:p w14:paraId="56A10745" w14:textId="77777777" w:rsidR="00D93CD7" w:rsidRPr="002048C6" w:rsidRDefault="00D93CD7" w:rsidP="0055380A">
      <w:pPr>
        <w:jc w:val="both"/>
        <w:rPr>
          <w:rFonts w:ascii="Times New Roman" w:hAnsi="Times New Roman" w:cs="Times New Roman"/>
          <w:noProof/>
          <w:sz w:val="24"/>
          <w:szCs w:val="24"/>
          <w:lang w:val="en-IE" w:eastAsia="de-DE"/>
        </w:rPr>
      </w:pPr>
      <w:r w:rsidRPr="002048C6">
        <w:rPr>
          <w:rFonts w:ascii="Times New Roman" w:hAnsi="Times New Roman" w:cs="Times New Roman"/>
          <w:noProof/>
          <w:sz w:val="24"/>
          <w:szCs w:val="24"/>
          <w:lang w:val="en-IE" w:eastAsia="de-DE"/>
        </w:rPr>
        <w:t xml:space="preserve">As regards the efficiency of eu-LISA’s governance bodies (i.e. its MB, AGs, PMBs) and their </w:t>
      </w:r>
      <w:r w:rsidRPr="0055380A">
        <w:rPr>
          <w:rFonts w:ascii="Times New Roman" w:hAnsi="Times New Roman" w:cs="Times New Roman"/>
          <w:noProof/>
          <w:sz w:val="24"/>
          <w:szCs w:val="24"/>
          <w:lang w:val="en-IE"/>
        </w:rPr>
        <w:t>structure</w:t>
      </w:r>
      <w:r w:rsidRPr="002048C6">
        <w:rPr>
          <w:rFonts w:ascii="Times New Roman" w:hAnsi="Times New Roman" w:cs="Times New Roman"/>
          <w:noProof/>
          <w:sz w:val="24"/>
          <w:szCs w:val="24"/>
          <w:lang w:val="en-IE" w:eastAsia="de-DE"/>
        </w:rPr>
        <w:t xml:space="preserve"> and how this structure has supported the ability of eu-LISA as an organisation to perform its tasks, the evaluation found that the Agency has overall successfully managed to perform its tasks, considering the size, composition, organisation and working processes of eu-LISA’s governance structure.</w:t>
      </w:r>
    </w:p>
    <w:p w14:paraId="7AA0C7D1" w14:textId="77777777" w:rsidR="00D93CD7" w:rsidRPr="002048C6" w:rsidRDefault="00D93CD7" w:rsidP="0055380A">
      <w:pPr>
        <w:jc w:val="both"/>
        <w:rPr>
          <w:rFonts w:ascii="Times New Roman" w:hAnsi="Times New Roman" w:cs="Times New Roman"/>
          <w:noProof/>
          <w:sz w:val="24"/>
          <w:szCs w:val="24"/>
          <w:lang w:val="en-IE" w:eastAsia="de-DE"/>
        </w:rPr>
      </w:pPr>
      <w:r w:rsidRPr="004C2B1F">
        <w:rPr>
          <w:rFonts w:ascii="Times New Roman" w:hAnsi="Times New Roman" w:cs="Times New Roman"/>
          <w:noProof/>
          <w:sz w:val="24"/>
          <w:szCs w:val="24"/>
          <w:lang w:val="en-IE" w:eastAsia="de-DE"/>
        </w:rPr>
        <w:t xml:space="preserve">Concerning the size and composition of the bodies, the evaluation found that Member States were able to contribute to the Advisory Groups and the Management Board. Participation by Member States varies which can lead to an underrepresentation of certain points of view. </w:t>
      </w:r>
      <w:r w:rsidRPr="002048C6">
        <w:rPr>
          <w:rFonts w:ascii="Times New Roman" w:hAnsi="Times New Roman" w:cs="Times New Roman"/>
          <w:noProof/>
          <w:sz w:val="24"/>
          <w:szCs w:val="24"/>
          <w:lang w:val="en-IE" w:eastAsia="de-DE"/>
        </w:rPr>
        <w:t xml:space="preserve">The representation of only some Member States in the PMBs was considered critical, and some Member States pointed to a lack of participation possibilities in terms of upcoming systems. The size of the Advisory Groups and the Management Board was considered by some stakeholders to negatively impact an efficient decision-making, given the need to align multiple different positions among sometimes more than 30 actors. </w:t>
      </w:r>
    </w:p>
    <w:p w14:paraId="051E9065" w14:textId="3362BCF2" w:rsidR="00D93CD7" w:rsidRPr="002048C6" w:rsidRDefault="68297009" w:rsidP="0055380A">
      <w:pPr>
        <w:jc w:val="both"/>
        <w:rPr>
          <w:rFonts w:ascii="Times New Roman" w:hAnsi="Times New Roman" w:cs="Times New Roman"/>
          <w:noProof/>
          <w:sz w:val="24"/>
          <w:szCs w:val="24"/>
          <w:lang w:val="en-IE" w:eastAsia="de-DE"/>
        </w:rPr>
      </w:pPr>
      <w:r w:rsidRPr="004C2B1F">
        <w:rPr>
          <w:rFonts w:ascii="Times New Roman" w:hAnsi="Times New Roman" w:cs="Times New Roman"/>
          <w:noProof/>
          <w:sz w:val="24"/>
          <w:szCs w:val="24"/>
          <w:lang w:val="en-IE" w:eastAsia="de-DE"/>
        </w:rPr>
        <w:t xml:space="preserve">As concerns the organisation and working processes of the different governance bodies, the evaluation found the coordination between the bodies sufficient: while the Advisory Groups discuss the more technical questions, the Management Board is responsible for the overall decision-making and the Programme Management Boards are responsible for the preparation on new systems and acting as an intermediary between the other two bodies. In this context, the e-CODEX PMB is an exception as, unlike other PMBs, it is established as a permanent body, ensuring ongoing support, oversight and guidance for the e-CODEX system's development and long-term sustainability. This permanence is crucial in ensuring the integrity and effectiveness of the e-CODEX system, particularly in safeguarding the </w:t>
      </w:r>
      <w:r w:rsidRPr="004C2B1F">
        <w:rPr>
          <w:rFonts w:ascii="Times New Roman" w:hAnsi="Times New Roman" w:cs="Times New Roman"/>
          <w:noProof/>
          <w:sz w:val="24"/>
          <w:szCs w:val="24"/>
          <w:lang w:val="en-IE"/>
        </w:rPr>
        <w:t xml:space="preserve">respect of the principle of the independence of the judiciary </w:t>
      </w:r>
      <w:r w:rsidRPr="004C2B1F">
        <w:rPr>
          <w:rFonts w:ascii="Times New Roman" w:hAnsi="Times New Roman" w:cs="Times New Roman"/>
          <w:noProof/>
          <w:sz w:val="24"/>
          <w:szCs w:val="24"/>
          <w:lang w:val="en-IE" w:eastAsia="de-DE"/>
        </w:rPr>
        <w:t xml:space="preserve">within its framework. This difference is accentuated by the absence of e-CODEX PMB members in the MB, </w:t>
      </w:r>
      <w:r w:rsidR="00EB1189" w:rsidRPr="004C2B1F">
        <w:rPr>
          <w:rFonts w:ascii="Times New Roman" w:hAnsi="Times New Roman" w:cs="Times New Roman"/>
          <w:noProof/>
          <w:sz w:val="24"/>
          <w:szCs w:val="24"/>
          <w:lang w:val="en-IE" w:eastAsia="de-DE"/>
        </w:rPr>
        <w:t xml:space="preserve">which stems from the decision taken within the e-CODEX PMB </w:t>
      </w:r>
      <w:r w:rsidR="008259BB" w:rsidRPr="004C2B1F">
        <w:rPr>
          <w:rFonts w:ascii="Times New Roman" w:hAnsi="Times New Roman" w:cs="Times New Roman"/>
          <w:noProof/>
          <w:sz w:val="24"/>
          <w:szCs w:val="24"/>
          <w:lang w:val="en-IE" w:eastAsia="de-DE"/>
        </w:rPr>
        <w:t>aiming at</w:t>
      </w:r>
      <w:r w:rsidR="00EB1189" w:rsidRPr="004C2B1F">
        <w:rPr>
          <w:rFonts w:ascii="Times New Roman" w:hAnsi="Times New Roman" w:cs="Times New Roman"/>
          <w:noProof/>
          <w:sz w:val="24"/>
          <w:szCs w:val="24"/>
          <w:lang w:val="en-IE" w:eastAsia="de-DE"/>
        </w:rPr>
        <w:t xml:space="preserve"> safeguard</w:t>
      </w:r>
      <w:r w:rsidR="008259BB" w:rsidRPr="004C2B1F">
        <w:rPr>
          <w:rFonts w:ascii="Times New Roman" w:hAnsi="Times New Roman" w:cs="Times New Roman"/>
          <w:noProof/>
          <w:sz w:val="24"/>
          <w:szCs w:val="24"/>
          <w:lang w:val="en-IE" w:eastAsia="de-DE"/>
        </w:rPr>
        <w:t>ing</w:t>
      </w:r>
      <w:r w:rsidR="00EB1189" w:rsidRPr="004C2B1F">
        <w:rPr>
          <w:rFonts w:ascii="Times New Roman" w:hAnsi="Times New Roman" w:cs="Times New Roman"/>
          <w:noProof/>
          <w:sz w:val="24"/>
          <w:szCs w:val="24"/>
          <w:lang w:val="en-IE" w:eastAsia="de-DE"/>
        </w:rPr>
        <w:t xml:space="preserve"> the prin</w:t>
      </w:r>
      <w:r w:rsidR="008259BB" w:rsidRPr="004C2B1F">
        <w:rPr>
          <w:rFonts w:ascii="Times New Roman" w:hAnsi="Times New Roman" w:cs="Times New Roman"/>
          <w:noProof/>
          <w:sz w:val="24"/>
          <w:szCs w:val="24"/>
          <w:lang w:val="en-IE" w:eastAsia="de-DE"/>
        </w:rPr>
        <w:t>ci</w:t>
      </w:r>
      <w:r w:rsidR="00EB1189" w:rsidRPr="004C2B1F">
        <w:rPr>
          <w:rFonts w:ascii="Times New Roman" w:hAnsi="Times New Roman" w:cs="Times New Roman"/>
          <w:noProof/>
          <w:sz w:val="24"/>
          <w:szCs w:val="24"/>
          <w:lang w:val="en-IE" w:eastAsia="de-DE"/>
        </w:rPr>
        <w:t>ple</w:t>
      </w:r>
      <w:r w:rsidR="008259BB" w:rsidRPr="004C2B1F">
        <w:rPr>
          <w:rFonts w:ascii="Times New Roman" w:hAnsi="Times New Roman" w:cs="Times New Roman"/>
          <w:noProof/>
          <w:sz w:val="24"/>
          <w:szCs w:val="24"/>
          <w:lang w:val="en-IE" w:eastAsia="de-DE"/>
        </w:rPr>
        <w:t xml:space="preserve"> of independence of the judiciary. </w:t>
      </w:r>
      <w:r w:rsidR="000160DC" w:rsidRPr="004C2B1F">
        <w:rPr>
          <w:rFonts w:ascii="Times New Roman" w:hAnsi="Times New Roman" w:cs="Times New Roman"/>
          <w:noProof/>
          <w:sz w:val="24"/>
          <w:szCs w:val="24"/>
          <w:lang w:val="en-IE" w:eastAsia="de-DE"/>
        </w:rPr>
        <w:t>Nevertheless, as a result the e-CODEX PMB Member are</w:t>
      </w:r>
      <w:r w:rsidRPr="004C2B1F">
        <w:rPr>
          <w:rFonts w:ascii="Times New Roman" w:hAnsi="Times New Roman" w:cs="Times New Roman"/>
          <w:noProof/>
          <w:sz w:val="24"/>
          <w:szCs w:val="24"/>
          <w:lang w:val="en-IE" w:eastAsia="de-DE"/>
        </w:rPr>
        <w:t xml:space="preserve"> less familiar with the Agency's </w:t>
      </w:r>
      <w:r w:rsidR="00D93219" w:rsidRPr="004C2B1F">
        <w:rPr>
          <w:rFonts w:ascii="Times New Roman" w:hAnsi="Times New Roman" w:cs="Times New Roman"/>
          <w:noProof/>
          <w:sz w:val="24"/>
          <w:szCs w:val="24"/>
          <w:lang w:val="en-IE" w:eastAsia="de-DE"/>
        </w:rPr>
        <w:t xml:space="preserve">broader </w:t>
      </w:r>
      <w:r w:rsidRPr="004C2B1F">
        <w:rPr>
          <w:rFonts w:ascii="Times New Roman" w:hAnsi="Times New Roman" w:cs="Times New Roman"/>
          <w:noProof/>
          <w:sz w:val="24"/>
          <w:szCs w:val="24"/>
          <w:lang w:val="en-IE" w:eastAsia="de-DE"/>
        </w:rPr>
        <w:t xml:space="preserve">operations. </w:t>
      </w:r>
      <w:r w:rsidRPr="002048C6">
        <w:rPr>
          <w:rFonts w:ascii="Times New Roman" w:hAnsi="Times New Roman" w:cs="Times New Roman"/>
          <w:noProof/>
          <w:sz w:val="24"/>
          <w:szCs w:val="24"/>
          <w:lang w:val="en-IE" w:eastAsia="de-DE"/>
        </w:rPr>
        <w:t>The evaluation pointed possible improvements concerning unclear distribution of responsibilities,</w:t>
      </w:r>
      <w:r w:rsidR="00D93219" w:rsidRPr="002048C6">
        <w:rPr>
          <w:rFonts w:ascii="Times New Roman" w:hAnsi="Times New Roman" w:cs="Times New Roman"/>
          <w:noProof/>
          <w:sz w:val="24"/>
          <w:szCs w:val="24"/>
          <w:lang w:val="en-IE" w:eastAsia="de-DE"/>
        </w:rPr>
        <w:t xml:space="preserve"> as well as the significantly</w:t>
      </w:r>
      <w:r w:rsidRPr="002048C6">
        <w:rPr>
          <w:rFonts w:ascii="Times New Roman" w:hAnsi="Times New Roman" w:cs="Times New Roman"/>
          <w:noProof/>
          <w:sz w:val="24"/>
          <w:szCs w:val="24"/>
          <w:lang w:val="en-IE" w:eastAsia="de-DE"/>
        </w:rPr>
        <w:t xml:space="preserve"> high administrative burdens (e.g. for chairs) </w:t>
      </w:r>
      <w:r w:rsidR="00D93219" w:rsidRPr="002048C6">
        <w:rPr>
          <w:rFonts w:ascii="Times New Roman" w:hAnsi="Times New Roman" w:cs="Times New Roman"/>
          <w:noProof/>
          <w:sz w:val="24"/>
          <w:szCs w:val="24"/>
          <w:lang w:val="en-IE" w:eastAsia="de-DE"/>
        </w:rPr>
        <w:t>resulting from the</w:t>
      </w:r>
      <w:r w:rsidRPr="002048C6">
        <w:rPr>
          <w:rFonts w:ascii="Times New Roman" w:hAnsi="Times New Roman" w:cs="Times New Roman"/>
          <w:noProof/>
          <w:sz w:val="24"/>
          <w:szCs w:val="24"/>
          <w:lang w:val="en-IE" w:eastAsia="de-DE"/>
        </w:rPr>
        <w:t xml:space="preserve"> coordination needs between the bodies.</w:t>
      </w:r>
    </w:p>
    <w:p w14:paraId="009622BA" w14:textId="77777777" w:rsidR="00D93CD7" w:rsidRPr="00721699" w:rsidRDefault="00D93CD7" w:rsidP="004E2424">
      <w:pPr>
        <w:pStyle w:val="BodyText"/>
        <w:spacing w:before="120"/>
        <w:rPr>
          <w:rFonts w:ascii="Times New Roman" w:hAnsi="Times New Roman" w:cs="Times New Roman"/>
          <w:b/>
          <w:bCs/>
          <w:noProof/>
          <w:sz w:val="24"/>
          <w:szCs w:val="24"/>
        </w:rPr>
      </w:pPr>
      <w:r w:rsidRPr="004E2424">
        <w:rPr>
          <w:rFonts w:ascii="Times New Roman" w:hAnsi="Times New Roman" w:cs="Times New Roman"/>
          <w:b/>
          <w:bCs/>
          <w:i/>
          <w:iCs/>
          <w:noProof/>
          <w:sz w:val="24"/>
          <w:szCs w:val="24"/>
        </w:rPr>
        <w:t>How efficient is the Agency governance structure to reach its goals and complete its tasks?</w:t>
      </w:r>
    </w:p>
    <w:p w14:paraId="1ABED73F" w14:textId="77777777" w:rsidR="00D93CD7" w:rsidRPr="002048C6" w:rsidRDefault="00D93CD7" w:rsidP="00EA095C">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eastAsia="de-DE"/>
        </w:rPr>
        <w:t xml:space="preserve">The evaluation assessed the high-level implications of the governance structure of the Agency to reach its targets and </w:t>
      </w:r>
      <w:r w:rsidRPr="002048C6">
        <w:rPr>
          <w:rFonts w:ascii="Times New Roman" w:hAnsi="Times New Roman" w:cs="Times New Roman"/>
          <w:noProof/>
          <w:sz w:val="24"/>
          <w:szCs w:val="24"/>
          <w:lang w:val="en-IE"/>
        </w:rPr>
        <w:t>complete</w:t>
      </w:r>
      <w:r w:rsidRPr="002048C6">
        <w:rPr>
          <w:rFonts w:ascii="Times New Roman" w:hAnsi="Times New Roman" w:cs="Times New Roman"/>
          <w:noProof/>
          <w:sz w:val="24"/>
          <w:szCs w:val="24"/>
          <w:lang w:val="en-IE" w:eastAsia="de-DE"/>
        </w:rPr>
        <w:t xml:space="preserve"> its tasks. The evaluation found the governance structure to be overall efficient. The three primary governance entities – the Management Board, Programme Management Boards, and Advisory Groups </w:t>
      </w:r>
      <w:r w:rsidRPr="002048C6">
        <w:rPr>
          <w:rFonts w:ascii="Times New Roman" w:hAnsi="Times New Roman" w:cs="Times New Roman"/>
          <w:noProof/>
          <w:sz w:val="24"/>
          <w:szCs w:val="24"/>
          <w:lang w:val="en-IE" w:eastAsia="de-DE"/>
        </w:rPr>
        <w:softHyphen/>
        <w:t xml:space="preserve">– were found to be successful and functioning efficiently, with the implementation of decisions made by these bodies operating efficiently. Stakeholders highlighted that the representation of all Member States and EU Agencies using the systems in the Advisory Groups and Management Board to be a major asset, helping the end-beneficiaries of eu-LISA to raise a voice on how the Agency’s overall goals could be reached better. </w:t>
      </w:r>
    </w:p>
    <w:p w14:paraId="26543CAB" w14:textId="4BC9FB62" w:rsidR="00D93CD7" w:rsidRPr="00004DA6" w:rsidRDefault="68297009" w:rsidP="00EA095C">
      <w:pPr>
        <w:jc w:val="both"/>
        <w:rPr>
          <w:rFonts w:ascii="Times New Roman" w:hAnsi="Times New Roman" w:cs="Times New Roman"/>
          <w:noProof/>
          <w:sz w:val="24"/>
          <w:szCs w:val="24"/>
          <w:lang w:val="en-IE" w:eastAsia="de-DE"/>
        </w:rPr>
      </w:pPr>
      <w:r w:rsidRPr="004C2B1F">
        <w:rPr>
          <w:rFonts w:ascii="Times New Roman" w:hAnsi="Times New Roman" w:cs="Times New Roman"/>
          <w:noProof/>
          <w:sz w:val="24"/>
          <w:szCs w:val="24"/>
          <w:lang w:val="en-IE" w:eastAsia="de-DE"/>
        </w:rPr>
        <w:t xml:space="preserve">However, the evaluation pointed to the challenges that the increase of governance bodies – in line with the increasing tasks of the Agency </w:t>
      </w:r>
      <w:r w:rsidRPr="00004DA6">
        <w:rPr>
          <w:rFonts w:ascii="Times New Roman" w:hAnsi="Times New Roman" w:cs="Times New Roman"/>
          <w:noProof/>
          <w:sz w:val="24"/>
          <w:szCs w:val="24"/>
          <w:lang w:val="en-IE" w:eastAsia="de-DE"/>
        </w:rPr>
        <w:t xml:space="preserve">under the new mandate – raised, leading to an increasing complexity of the governance structure in eu-LISA’s overall set-up. </w:t>
      </w:r>
      <w:r w:rsidR="001B3266" w:rsidRPr="00004DA6">
        <w:rPr>
          <w:rFonts w:ascii="Times New Roman" w:hAnsi="Times New Roman" w:cs="Times New Roman"/>
          <w:noProof/>
          <w:sz w:val="24"/>
          <w:szCs w:val="24"/>
          <w:lang w:val="en-IE" w:eastAsia="de-DE"/>
        </w:rPr>
        <w:t xml:space="preserve">In particular, the governance structure was seen as not sufficiently reflecting the interoperability of the systems, as the bodies as well as eu-LISA’s internal organisation continue to operate largely on a </w:t>
      </w:r>
      <w:r w:rsidR="00690F2D" w:rsidRPr="00004DA6">
        <w:rPr>
          <w:rFonts w:ascii="Times New Roman" w:hAnsi="Times New Roman" w:cs="Times New Roman"/>
          <w:noProof/>
          <w:sz w:val="24"/>
          <w:szCs w:val="24"/>
          <w:lang w:val="en-IE" w:eastAsia="de-DE"/>
        </w:rPr>
        <w:t xml:space="preserve">system-centric basis. </w:t>
      </w:r>
      <w:r w:rsidRPr="00004DA6">
        <w:rPr>
          <w:rFonts w:ascii="Times New Roman" w:hAnsi="Times New Roman" w:cs="Times New Roman"/>
          <w:noProof/>
          <w:sz w:val="24"/>
          <w:szCs w:val="24"/>
          <w:lang w:val="en-IE" w:eastAsia="de-DE"/>
        </w:rPr>
        <w:t>These challenges concern:</w:t>
      </w:r>
    </w:p>
    <w:p w14:paraId="08A8349E" w14:textId="77777777" w:rsidR="00D93CD7" w:rsidRPr="00EE54EF" w:rsidRDefault="00D93CD7" w:rsidP="00D93CD7">
      <w:pPr>
        <w:pStyle w:val="Bullet"/>
        <w:numPr>
          <w:ilvl w:val="0"/>
          <w:numId w:val="6"/>
        </w:numPr>
        <w:jc w:val="both"/>
        <w:rPr>
          <w:rFonts w:ascii="Times New Roman" w:hAnsi="Times New Roman" w:cs="Times New Roman"/>
          <w:noProof/>
          <w:sz w:val="24"/>
          <w:szCs w:val="24"/>
          <w:lang w:val="en-GB"/>
        </w:rPr>
      </w:pPr>
      <w:r w:rsidRPr="00004DA6">
        <w:rPr>
          <w:rFonts w:ascii="Times New Roman" w:hAnsi="Times New Roman" w:cs="Times New Roman"/>
          <w:b/>
          <w:bCs/>
          <w:noProof/>
          <w:sz w:val="24"/>
          <w:szCs w:val="24"/>
          <w:lang w:val="en-IE" w:eastAsia="nl-BE"/>
        </w:rPr>
        <w:t>The complexity of the governance structure</w:t>
      </w:r>
      <w:r w:rsidRPr="00004DA6">
        <w:rPr>
          <w:rFonts w:ascii="Times New Roman" w:hAnsi="Times New Roman" w:cs="Times New Roman"/>
          <w:noProof/>
          <w:sz w:val="24"/>
          <w:szCs w:val="24"/>
          <w:lang w:val="en-IE" w:eastAsia="nl-BE"/>
        </w:rPr>
        <w:t xml:space="preserve">: the number of governance bodies has increased exponentially in the past years. The inclusion of justice systems into eu-LISA’s portfolio was stated to have contributed to this complexity, as the governance bodies now represent different communities. This led to a high administrative burden as </w:t>
      </w:r>
      <w:r w:rsidRPr="00004DA6">
        <w:rPr>
          <w:rFonts w:ascii="Times New Roman" w:hAnsi="Times New Roman" w:cs="Times New Roman"/>
          <w:noProof/>
          <w:sz w:val="24"/>
          <w:szCs w:val="24"/>
          <w:lang w:val="en-IE"/>
        </w:rPr>
        <w:t>the coordination between the different bodies can be extremely challenging and time-consuming. In general, the AGs and PMBs meet in different frequencies, varying between monthly meetings (e.g. ECRIS-TCN and EES-ETIAS AG) and four times per year (e.g. SIS AG).</w:t>
      </w:r>
      <w:r w:rsidRPr="00004DA6">
        <w:rPr>
          <w:rStyle w:val="FootnoteReference"/>
          <w:rFonts w:ascii="Times New Roman" w:hAnsi="Times New Roman" w:cs="Times New Roman"/>
          <w:noProof/>
          <w:sz w:val="24"/>
          <w:szCs w:val="24"/>
          <w:lang w:val="en-IE"/>
        </w:rPr>
        <w:footnoteReference w:id="57"/>
      </w:r>
      <w:r w:rsidRPr="00004DA6">
        <w:rPr>
          <w:rFonts w:ascii="Times New Roman" w:hAnsi="Times New Roman" w:cs="Times New Roman"/>
          <w:noProof/>
          <w:sz w:val="24"/>
          <w:szCs w:val="24"/>
          <w:lang w:val="en-IE"/>
        </w:rPr>
        <w:t xml:space="preserve"> For AGs meeting on a monthly basis, there is a constant need to prepare the meetings (agenda, sharing of materials), follow-up on meetings (executive summaries and detailed minutes) communicate, collaborate, and coordinate. Since the expansion</w:t>
      </w:r>
      <w:r w:rsidRPr="00EE54EF">
        <w:rPr>
          <w:rFonts w:ascii="Times New Roman" w:hAnsi="Times New Roman" w:cs="Times New Roman"/>
          <w:noProof/>
          <w:sz w:val="24"/>
          <w:szCs w:val="24"/>
          <w:lang w:val="en-GB"/>
        </w:rPr>
        <w:t xml:space="preserve"> of the Agency’s mandate to the development of new systems, the time and resources needed to deliver on this managerial task has significantly grown</w:t>
      </w:r>
      <w:r w:rsidRPr="004E2424">
        <w:rPr>
          <w:rFonts w:ascii="Times New Roman" w:hAnsi="Times New Roman" w:cs="Times New Roman"/>
          <w:noProof/>
          <w:sz w:val="24"/>
          <w:szCs w:val="24"/>
          <w:lang w:val="en-IE"/>
        </w:rPr>
        <w:t xml:space="preserve">. </w:t>
      </w:r>
      <w:r w:rsidRPr="00EE54EF">
        <w:rPr>
          <w:rFonts w:ascii="Times New Roman" w:hAnsi="Times New Roman" w:cs="Times New Roman"/>
          <w:noProof/>
          <w:sz w:val="24"/>
          <w:szCs w:val="24"/>
          <w:lang w:val="en-GB"/>
        </w:rPr>
        <w:t xml:space="preserve">Overall, there can be up to around </w:t>
      </w:r>
      <w:r w:rsidRPr="00EE54EF">
        <w:rPr>
          <w:rFonts w:ascii="Times New Roman" w:hAnsi="Times New Roman" w:cs="Times New Roman"/>
          <w:b/>
          <w:bCs/>
          <w:noProof/>
          <w:sz w:val="24"/>
          <w:szCs w:val="24"/>
          <w:lang w:val="en-GB"/>
        </w:rPr>
        <w:t>200 different meetings per year</w:t>
      </w:r>
      <w:r w:rsidRPr="004E2424">
        <w:rPr>
          <w:rFonts w:ascii="Times New Roman" w:hAnsi="Times New Roman" w:cs="Times New Roman"/>
          <w:noProof/>
          <w:sz w:val="24"/>
          <w:szCs w:val="24"/>
          <w:lang w:val="en-IE"/>
        </w:rPr>
        <w:t xml:space="preserve">. </w:t>
      </w:r>
    </w:p>
    <w:p w14:paraId="6E3B8D33" w14:textId="05F78C06" w:rsidR="00690F2D" w:rsidRPr="00690F2D" w:rsidRDefault="00D93CD7" w:rsidP="00690F2D">
      <w:pPr>
        <w:pStyle w:val="BodyText"/>
        <w:numPr>
          <w:ilvl w:val="0"/>
          <w:numId w:val="6"/>
        </w:numPr>
        <w:rPr>
          <w:rFonts w:ascii="Times New Roman" w:hAnsi="Times New Roman" w:cs="Times New Roman"/>
          <w:noProof/>
          <w:sz w:val="24"/>
          <w:szCs w:val="24"/>
        </w:rPr>
      </w:pPr>
      <w:r>
        <w:rPr>
          <w:rFonts w:ascii="Times New Roman" w:hAnsi="Times New Roman" w:cs="Times New Roman"/>
          <w:b/>
          <w:bCs/>
          <w:noProof/>
          <w:sz w:val="24"/>
          <w:szCs w:val="24"/>
        </w:rPr>
        <w:t>The p</w:t>
      </w:r>
      <w:r w:rsidRPr="00EE54EF">
        <w:rPr>
          <w:rFonts w:ascii="Times New Roman" w:hAnsi="Times New Roman" w:cs="Times New Roman"/>
          <w:b/>
          <w:bCs/>
          <w:noProof/>
          <w:sz w:val="24"/>
          <w:szCs w:val="24"/>
        </w:rPr>
        <w:t>otential risks of duplications or contradictions</w:t>
      </w:r>
      <w:r w:rsidRPr="00EE54EF">
        <w:rPr>
          <w:rFonts w:ascii="Times New Roman" w:hAnsi="Times New Roman" w:cs="Times New Roman"/>
          <w:noProof/>
          <w:sz w:val="24"/>
          <w:szCs w:val="24"/>
        </w:rPr>
        <w:t>: while eu-LISA’s Regulation allows for the cooperation between the AGs (Article 27(5)), in practice, the different bodies work separately and can lead to instances of inconsistent decisions among bodies, such as contradictory opinions in different AGs about the same matter, and the same topic may be discussed several times. While it is the role of the Chairs and of the Agency to note and react on inconsistencies, such inconsistencies cause additional work. Coherence in the opinions</w:t>
      </w:r>
      <w:r w:rsidRPr="00004DA6">
        <w:rPr>
          <w:rFonts w:ascii="Times New Roman" w:hAnsi="Times New Roman" w:cs="Times New Roman"/>
          <w:noProof/>
          <w:sz w:val="24"/>
          <w:szCs w:val="24"/>
          <w:lang w:val="en-IE"/>
        </w:rPr>
        <w:t xml:space="preserve"> of the AGs is necessary to ensure interoperability between the different IT systems.</w:t>
      </w:r>
      <w:r w:rsidR="00690F2D" w:rsidRPr="00004DA6">
        <w:rPr>
          <w:rFonts w:ascii="Times New Roman" w:hAnsi="Times New Roman" w:cs="Times New Roman"/>
          <w:noProof/>
          <w:sz w:val="24"/>
          <w:szCs w:val="24"/>
          <w:lang w:val="en-IE"/>
        </w:rPr>
        <w:t xml:space="preserve"> </w:t>
      </w:r>
      <w:r w:rsidR="00821A27" w:rsidRPr="00004DA6">
        <w:rPr>
          <w:rFonts w:ascii="Times New Roman" w:hAnsi="Times New Roman" w:cs="Times New Roman"/>
          <w:noProof/>
          <w:sz w:val="24"/>
          <w:szCs w:val="24"/>
          <w:lang w:val="en-IE"/>
        </w:rPr>
        <w:t>Stakeholders also underlined that Programme Management Fora (PMFs) are being requested by Member States even in cases where there is no explicit legal base, highlighting the practical demand for mechanisms to coordinate governance</w:t>
      </w:r>
      <w:r w:rsidR="005F638B">
        <w:rPr>
          <w:rFonts w:ascii="Times New Roman" w:hAnsi="Times New Roman" w:cs="Times New Roman"/>
          <w:noProof/>
          <w:sz w:val="24"/>
          <w:szCs w:val="24"/>
          <w:lang w:val="en-IE"/>
        </w:rPr>
        <w:t xml:space="preserve"> and cross-system developments. </w:t>
      </w:r>
    </w:p>
    <w:p w14:paraId="25775756" w14:textId="1697A08E" w:rsidR="00D93CD7" w:rsidRPr="00EE54EF" w:rsidRDefault="00D93CD7" w:rsidP="00D93CD7">
      <w:pPr>
        <w:pStyle w:val="BodyText"/>
        <w:numPr>
          <w:ilvl w:val="0"/>
          <w:numId w:val="6"/>
        </w:numPr>
        <w:rPr>
          <w:rFonts w:ascii="Times New Roman" w:hAnsi="Times New Roman" w:cs="Times New Roman"/>
          <w:noProof/>
          <w:sz w:val="24"/>
          <w:szCs w:val="24"/>
        </w:rPr>
      </w:pPr>
      <w:r w:rsidRPr="00EE54EF">
        <w:rPr>
          <w:rFonts w:ascii="Times New Roman" w:hAnsi="Times New Roman" w:cs="Times New Roman"/>
          <w:b/>
          <w:bCs/>
          <w:noProof/>
          <w:sz w:val="24"/>
          <w:szCs w:val="24"/>
        </w:rPr>
        <w:t>The practical work of the different governance bodies</w:t>
      </w:r>
      <w:r w:rsidRPr="00EE54EF">
        <w:rPr>
          <w:rFonts w:ascii="Times New Roman" w:hAnsi="Times New Roman" w:cs="Times New Roman"/>
          <w:noProof/>
          <w:sz w:val="24"/>
          <w:szCs w:val="24"/>
        </w:rPr>
        <w:t>: challenges relate to the expertise of the members of the MB and AGs across Member States and thematic fields, misunderstandings of the MB members of eu-LISA’s financial rules or the operational work of eu-LISA.</w:t>
      </w:r>
      <w:r w:rsidR="002F005B">
        <w:rPr>
          <w:rFonts w:ascii="Times New Roman" w:hAnsi="Times New Roman" w:cs="Times New Roman"/>
          <w:noProof/>
          <w:sz w:val="24"/>
          <w:szCs w:val="24"/>
        </w:rPr>
        <w:t xml:space="preserve"> </w:t>
      </w:r>
      <w:r w:rsidR="002F005B" w:rsidRPr="00004DA6">
        <w:rPr>
          <w:rFonts w:ascii="Times New Roman" w:hAnsi="Times New Roman" w:cs="Times New Roman"/>
          <w:noProof/>
          <w:sz w:val="24"/>
          <w:szCs w:val="24"/>
          <w:lang w:val="en-IE"/>
        </w:rPr>
        <w:t xml:space="preserve">This silo approach is reinforced by </w:t>
      </w:r>
      <w:r w:rsidR="00286798">
        <w:rPr>
          <w:rFonts w:ascii="Times New Roman" w:hAnsi="Times New Roman" w:cs="Times New Roman"/>
          <w:noProof/>
          <w:sz w:val="24"/>
          <w:szCs w:val="24"/>
          <w:lang w:val="en-IE"/>
        </w:rPr>
        <w:t>limited</w:t>
      </w:r>
      <w:r w:rsidR="002F005B" w:rsidRPr="00004DA6">
        <w:rPr>
          <w:rFonts w:ascii="Times New Roman" w:hAnsi="Times New Roman" w:cs="Times New Roman"/>
          <w:noProof/>
          <w:sz w:val="24"/>
          <w:szCs w:val="24"/>
          <w:lang w:val="en-IE"/>
        </w:rPr>
        <w:t xml:space="preserve"> coordination between the different silos at Agency level, while at the same time national coordination mechanisms could also be strengthened to ensure more coherent participation and input across governance structures.</w:t>
      </w:r>
    </w:p>
    <w:p w14:paraId="6E5E426D" w14:textId="77777777" w:rsidR="00D93CD7" w:rsidRPr="002048C6" w:rsidRDefault="00D93CD7" w:rsidP="00EA095C">
      <w:pPr>
        <w:jc w:val="both"/>
        <w:rPr>
          <w:rFonts w:ascii="Times New Roman" w:hAnsi="Times New Roman" w:cs="Times New Roman"/>
          <w:noProof/>
          <w:sz w:val="24"/>
          <w:szCs w:val="24"/>
          <w:lang w:val="en-IE" w:eastAsia="de-DE"/>
        </w:rPr>
      </w:pPr>
      <w:r w:rsidRPr="002048C6">
        <w:rPr>
          <w:rFonts w:ascii="Times New Roman" w:hAnsi="Times New Roman" w:cs="Times New Roman"/>
          <w:noProof/>
          <w:sz w:val="24"/>
          <w:szCs w:val="24"/>
          <w:lang w:val="en-IE" w:eastAsia="de-DE"/>
        </w:rPr>
        <w:t xml:space="preserve">The increasing complexity also impacted the administrative burden and potential risks for duplications and/or contradictions in the Agency’s work. While the current governance structure may still be sufficient for eu-LISA to reach its goals at present, a potential change of the mandate on this point could reduce the complexity of the governance structure. </w:t>
      </w:r>
    </w:p>
    <w:p w14:paraId="312734AD" w14:textId="4585E858" w:rsidR="00D93CD7" w:rsidRPr="004C2B1F" w:rsidRDefault="68297009" w:rsidP="00EA095C">
      <w:pPr>
        <w:jc w:val="both"/>
        <w:rPr>
          <w:rFonts w:ascii="Times New Roman" w:hAnsi="Times New Roman" w:cs="Times New Roman"/>
          <w:noProof/>
          <w:sz w:val="24"/>
          <w:szCs w:val="24"/>
          <w:lang w:val="en-IE" w:eastAsia="de-DE"/>
        </w:rPr>
      </w:pPr>
      <w:r w:rsidRPr="004C2B1F">
        <w:rPr>
          <w:rFonts w:ascii="Times New Roman" w:hAnsi="Times New Roman" w:cs="Times New Roman"/>
          <w:noProof/>
          <w:sz w:val="24"/>
          <w:szCs w:val="24"/>
          <w:lang w:val="en-IE" w:eastAsia="nl-BE"/>
        </w:rPr>
        <w:t>Consultations carried out with stakeholders suggested considering reducing the number of separate bodies by moving away from a systems-based approach to a clustered or sectorial approach. Suggestions referred to clustering the governance bodies by area of operation, namely (1) border management, including EES, ETIAS, VIS; (2) migration and asylum, including Eurodac, DubliNet; (3) law enforcement and customs, including SIS</w:t>
      </w:r>
      <w:r w:rsidR="00286798" w:rsidRPr="004C2B1F">
        <w:rPr>
          <w:rFonts w:ascii="Times New Roman" w:hAnsi="Times New Roman" w:cs="Times New Roman"/>
          <w:noProof/>
          <w:sz w:val="24"/>
          <w:szCs w:val="24"/>
          <w:lang w:val="en-IE" w:eastAsia="nl-BE"/>
        </w:rPr>
        <w:t xml:space="preserve">, API and </w:t>
      </w:r>
      <w:r w:rsidR="008D3E5A">
        <w:rPr>
          <w:rFonts w:ascii="Times New Roman" w:hAnsi="Times New Roman" w:cs="Times New Roman"/>
          <w:noProof/>
          <w:sz w:val="24"/>
          <w:szCs w:val="24"/>
          <w:lang w:val="en-IE" w:eastAsia="nl-BE"/>
        </w:rPr>
        <w:t>PNR</w:t>
      </w:r>
      <w:r w:rsidR="00060E23">
        <w:rPr>
          <w:rFonts w:ascii="Times New Roman" w:hAnsi="Times New Roman" w:cs="Times New Roman"/>
          <w:noProof/>
          <w:sz w:val="24"/>
          <w:szCs w:val="24"/>
          <w:lang w:val="en-IE" w:eastAsia="nl-BE"/>
        </w:rPr>
        <w:t>, and Pr</w:t>
      </w:r>
      <w:r w:rsidR="004B7452" w:rsidRPr="004B7452">
        <w:rPr>
          <w:rFonts w:ascii="Times New Roman" w:hAnsi="Times New Roman" w:cs="Times New Roman"/>
          <w:noProof/>
          <w:sz w:val="24"/>
          <w:szCs w:val="24"/>
          <w:lang w:val="en-IE" w:eastAsia="nl-BE"/>
        </w:rPr>
        <w:t>ü</w:t>
      </w:r>
      <w:r w:rsidR="004B7452">
        <w:rPr>
          <w:rFonts w:ascii="Times New Roman" w:hAnsi="Times New Roman" w:cs="Times New Roman"/>
          <w:noProof/>
          <w:sz w:val="24"/>
          <w:szCs w:val="24"/>
          <w:lang w:val="en-IE" w:eastAsia="nl-BE"/>
        </w:rPr>
        <w:t>m</w:t>
      </w:r>
      <w:r w:rsidRPr="004C2B1F">
        <w:rPr>
          <w:rFonts w:ascii="Times New Roman" w:hAnsi="Times New Roman" w:cs="Times New Roman"/>
          <w:noProof/>
          <w:sz w:val="24"/>
          <w:szCs w:val="24"/>
          <w:lang w:val="en-IE" w:eastAsia="nl-BE"/>
        </w:rPr>
        <w:t xml:space="preserve">; and (4) justice, including ECRIS-TCN, e-CODEX and the JITs CP. </w:t>
      </w:r>
      <w:r w:rsidRPr="004C2B1F">
        <w:rPr>
          <w:rFonts w:ascii="Times New Roman" w:hAnsi="Times New Roman" w:cs="Times New Roman"/>
          <w:noProof/>
          <w:sz w:val="24"/>
          <w:szCs w:val="24"/>
          <w:lang w:val="en-IE" w:eastAsia="de-DE"/>
        </w:rPr>
        <w:t xml:space="preserve">In this context, several stakeholders representing their Member State in the governance structure of the Agency highlighted that they currently considered the justice area to be underrepresented within the governance bodies of the Agency, which might reduce the effectiveness and efficiency in the fulfilling eu-LISA’s tasks in the justice sector. </w:t>
      </w:r>
    </w:p>
    <w:p w14:paraId="481CAC09" w14:textId="5F6E690C" w:rsidR="00D93CD7" w:rsidRPr="002048C6" w:rsidRDefault="68297009" w:rsidP="00EA095C">
      <w:pPr>
        <w:jc w:val="both"/>
        <w:rPr>
          <w:rFonts w:ascii="Times New Roman" w:hAnsi="Times New Roman" w:cs="Times New Roman"/>
          <w:noProof/>
          <w:sz w:val="24"/>
          <w:szCs w:val="24"/>
          <w:lang w:val="en-IE" w:eastAsia="nl-BE"/>
        </w:rPr>
      </w:pPr>
      <w:r w:rsidRPr="004C2B1F">
        <w:rPr>
          <w:rFonts w:ascii="Times New Roman" w:hAnsi="Times New Roman" w:cs="Times New Roman"/>
          <w:noProof/>
          <w:sz w:val="24"/>
          <w:szCs w:val="24"/>
          <w:lang w:val="en-IE" w:eastAsia="nl-BE"/>
        </w:rPr>
        <w:t>Other stakeholders highlighted that the governance structure should considered the individual systems’ specificities relating to their set-up and that the profiles responsible for the system at the national level may vary.</w:t>
      </w:r>
      <w:r w:rsidR="00CC240A" w:rsidRPr="004C2B1F">
        <w:rPr>
          <w:rFonts w:ascii="Times New Roman" w:hAnsi="Times New Roman" w:cs="Times New Roman"/>
          <w:noProof/>
          <w:sz w:val="24"/>
          <w:szCs w:val="24"/>
          <w:lang w:val="en-IE" w:eastAsia="nl-BE"/>
        </w:rPr>
        <w:t xml:space="preserve"> At the same time, governance currently reflects a rather decentralised approach to the implementation of systems, with experts </w:t>
      </w:r>
      <w:r w:rsidR="009F3DDB" w:rsidRPr="004C2B1F">
        <w:rPr>
          <w:rFonts w:ascii="Times New Roman" w:hAnsi="Times New Roman" w:cs="Times New Roman"/>
          <w:noProof/>
          <w:sz w:val="24"/>
          <w:szCs w:val="24"/>
          <w:lang w:val="en-IE" w:eastAsia="nl-BE"/>
        </w:rPr>
        <w:t xml:space="preserve">focusing on the priorities </w:t>
      </w:r>
      <w:r w:rsidR="00CC240A" w:rsidRPr="004C2B1F">
        <w:rPr>
          <w:rFonts w:ascii="Times New Roman" w:hAnsi="Times New Roman" w:cs="Times New Roman"/>
          <w:noProof/>
          <w:sz w:val="24"/>
          <w:szCs w:val="24"/>
          <w:lang w:val="en-IE" w:eastAsia="nl-BE"/>
        </w:rPr>
        <w:t xml:space="preserve">of their </w:t>
      </w:r>
      <w:r w:rsidR="009F3DDB" w:rsidRPr="004C2B1F">
        <w:rPr>
          <w:rFonts w:ascii="Times New Roman" w:hAnsi="Times New Roman" w:cs="Times New Roman"/>
          <w:noProof/>
          <w:sz w:val="24"/>
          <w:szCs w:val="24"/>
          <w:lang w:val="en-IE" w:eastAsia="nl-BE"/>
        </w:rPr>
        <w:t>respective</w:t>
      </w:r>
      <w:r w:rsidR="00CC240A" w:rsidRPr="004C2B1F">
        <w:rPr>
          <w:rFonts w:ascii="Times New Roman" w:hAnsi="Times New Roman" w:cs="Times New Roman"/>
          <w:noProof/>
          <w:sz w:val="24"/>
          <w:szCs w:val="24"/>
          <w:lang w:val="en-IE" w:eastAsia="nl-BE"/>
        </w:rPr>
        <w:t xml:space="preserve"> systems</w:t>
      </w:r>
      <w:r w:rsidR="009F3DDB" w:rsidRPr="004C2B1F">
        <w:rPr>
          <w:rFonts w:ascii="Times New Roman" w:hAnsi="Times New Roman" w:cs="Times New Roman"/>
          <w:noProof/>
          <w:sz w:val="24"/>
          <w:szCs w:val="24"/>
          <w:lang w:val="en-IE" w:eastAsia="nl-BE"/>
        </w:rPr>
        <w:t xml:space="preserve">, which may not </w:t>
      </w:r>
      <w:r w:rsidR="00A87163" w:rsidRPr="004C2B1F">
        <w:rPr>
          <w:rFonts w:ascii="Times New Roman" w:hAnsi="Times New Roman" w:cs="Times New Roman"/>
          <w:noProof/>
          <w:sz w:val="24"/>
          <w:szCs w:val="24"/>
          <w:lang w:val="en-IE" w:eastAsia="nl-BE"/>
        </w:rPr>
        <w:t xml:space="preserve">always align with a </w:t>
      </w:r>
      <w:r w:rsidR="00227F08" w:rsidRPr="004C2B1F">
        <w:rPr>
          <w:rFonts w:ascii="Times New Roman" w:hAnsi="Times New Roman" w:cs="Times New Roman"/>
          <w:noProof/>
          <w:sz w:val="24"/>
          <w:szCs w:val="24"/>
          <w:lang w:val="en-IE" w:eastAsia="nl-BE"/>
        </w:rPr>
        <w:t xml:space="preserve">common overarching goal. </w:t>
      </w:r>
      <w:r w:rsidR="00426DA2" w:rsidRPr="002048C6">
        <w:rPr>
          <w:rFonts w:ascii="Times New Roman" w:hAnsi="Times New Roman" w:cs="Times New Roman"/>
          <w:noProof/>
          <w:sz w:val="24"/>
          <w:szCs w:val="24"/>
          <w:lang w:val="en-IE" w:eastAsia="nl-BE"/>
        </w:rPr>
        <w:t>The</w:t>
      </w:r>
      <w:r w:rsidRPr="002048C6">
        <w:rPr>
          <w:rFonts w:ascii="Times New Roman" w:hAnsi="Times New Roman" w:cs="Times New Roman"/>
          <w:noProof/>
          <w:sz w:val="24"/>
          <w:szCs w:val="24"/>
          <w:lang w:val="en-IE" w:eastAsia="nl-BE"/>
        </w:rPr>
        <w:t xml:space="preserve"> evaluation did not find evidence suggesting that the proposed set-up of clustering the governance bodies by area of operation would be more efficient</w:t>
      </w:r>
      <w:r w:rsidR="00426DA2" w:rsidRPr="002048C6">
        <w:rPr>
          <w:rFonts w:ascii="Times New Roman" w:hAnsi="Times New Roman" w:cs="Times New Roman"/>
          <w:noProof/>
          <w:sz w:val="24"/>
          <w:szCs w:val="24"/>
          <w:lang w:val="en-IE" w:eastAsia="nl-BE"/>
        </w:rPr>
        <w:t>. Therefore,</w:t>
      </w:r>
      <w:r w:rsidR="00A87163" w:rsidRPr="002048C6">
        <w:rPr>
          <w:rFonts w:ascii="Times New Roman" w:hAnsi="Times New Roman" w:cs="Times New Roman"/>
          <w:noProof/>
          <w:sz w:val="24"/>
          <w:szCs w:val="24"/>
          <w:lang w:val="en-IE" w:eastAsia="nl-BE"/>
        </w:rPr>
        <w:t xml:space="preserve"> looking forward</w:t>
      </w:r>
      <w:r w:rsidR="00426DA2" w:rsidRPr="002048C6">
        <w:rPr>
          <w:rFonts w:ascii="Times New Roman" w:hAnsi="Times New Roman" w:cs="Times New Roman"/>
          <w:noProof/>
          <w:sz w:val="24"/>
          <w:szCs w:val="24"/>
          <w:lang w:val="en-IE" w:eastAsia="nl-BE"/>
        </w:rPr>
        <w:t>,</w:t>
      </w:r>
      <w:r w:rsidR="00A87163" w:rsidRPr="002048C6">
        <w:rPr>
          <w:rFonts w:ascii="Times New Roman" w:hAnsi="Times New Roman" w:cs="Times New Roman"/>
          <w:noProof/>
          <w:sz w:val="24"/>
          <w:szCs w:val="24"/>
          <w:lang w:val="en-IE" w:eastAsia="nl-BE"/>
        </w:rPr>
        <w:t xml:space="preserve"> i</w:t>
      </w:r>
      <w:r w:rsidR="002D4ABF" w:rsidRPr="002048C6">
        <w:rPr>
          <w:rFonts w:ascii="Times New Roman" w:hAnsi="Times New Roman" w:cs="Times New Roman"/>
          <w:noProof/>
          <w:sz w:val="24"/>
          <w:szCs w:val="24"/>
          <w:lang w:val="en-IE" w:eastAsia="nl-BE"/>
        </w:rPr>
        <w:t xml:space="preserve">t </w:t>
      </w:r>
      <w:r w:rsidR="009B0061" w:rsidRPr="002048C6">
        <w:rPr>
          <w:rFonts w:ascii="Times New Roman" w:hAnsi="Times New Roman" w:cs="Times New Roman"/>
          <w:noProof/>
          <w:sz w:val="24"/>
          <w:szCs w:val="24"/>
          <w:lang w:val="en-IE" w:eastAsia="nl-BE"/>
        </w:rPr>
        <w:t>may be worth exploring</w:t>
      </w:r>
      <w:r w:rsidR="002D4ABF" w:rsidRPr="002048C6">
        <w:rPr>
          <w:rFonts w:ascii="Times New Roman" w:hAnsi="Times New Roman" w:cs="Times New Roman"/>
          <w:noProof/>
          <w:sz w:val="24"/>
          <w:szCs w:val="24"/>
          <w:lang w:val="en-IE" w:eastAsia="nl-BE"/>
        </w:rPr>
        <w:t xml:space="preserve"> an alternative approach to the development of systems, potentially moving towards a more centralised governance model and </w:t>
      </w:r>
      <w:r w:rsidR="00FF3CF5" w:rsidRPr="002048C6">
        <w:rPr>
          <w:rFonts w:ascii="Times New Roman" w:hAnsi="Times New Roman" w:cs="Times New Roman"/>
          <w:noProof/>
          <w:sz w:val="24"/>
          <w:szCs w:val="24"/>
          <w:lang w:val="en-IE" w:eastAsia="nl-BE"/>
        </w:rPr>
        <w:t>considering</w:t>
      </w:r>
      <w:r w:rsidR="002D4ABF" w:rsidRPr="002048C6">
        <w:rPr>
          <w:rFonts w:ascii="Times New Roman" w:hAnsi="Times New Roman" w:cs="Times New Roman"/>
          <w:noProof/>
          <w:sz w:val="24"/>
          <w:szCs w:val="24"/>
          <w:lang w:val="en-IE" w:eastAsia="nl-BE"/>
        </w:rPr>
        <w:t xml:space="preserve"> a different involvement of national bodies to </w:t>
      </w:r>
      <w:r w:rsidR="00FF3CF5" w:rsidRPr="002048C6">
        <w:rPr>
          <w:rFonts w:ascii="Times New Roman" w:hAnsi="Times New Roman" w:cs="Times New Roman"/>
          <w:noProof/>
          <w:sz w:val="24"/>
          <w:szCs w:val="24"/>
          <w:lang w:val="en-IE" w:eastAsia="nl-BE"/>
        </w:rPr>
        <w:t>support</w:t>
      </w:r>
      <w:r w:rsidR="002D4ABF" w:rsidRPr="002048C6">
        <w:rPr>
          <w:rFonts w:ascii="Times New Roman" w:hAnsi="Times New Roman" w:cs="Times New Roman"/>
          <w:noProof/>
          <w:sz w:val="24"/>
          <w:szCs w:val="24"/>
          <w:lang w:val="en-IE" w:eastAsia="nl-BE"/>
        </w:rPr>
        <w:t xml:space="preserve"> more coherent </w:t>
      </w:r>
      <w:r w:rsidR="00426DA2" w:rsidRPr="002048C6">
        <w:rPr>
          <w:rFonts w:ascii="Times New Roman" w:hAnsi="Times New Roman" w:cs="Times New Roman"/>
          <w:noProof/>
          <w:sz w:val="24"/>
          <w:szCs w:val="24"/>
          <w:lang w:val="en-IE" w:eastAsia="nl-BE"/>
        </w:rPr>
        <w:t>decision-making and alignment across systems.</w:t>
      </w:r>
    </w:p>
    <w:p w14:paraId="0F00B149" w14:textId="77777777" w:rsidR="00D93CD7" w:rsidRDefault="00D93CD7" w:rsidP="00D93CD7">
      <w:pPr>
        <w:pStyle w:val="BodyText"/>
        <w:rPr>
          <w:rFonts w:ascii="Times New Roman" w:hAnsi="Times New Roman" w:cs="Times New Roman"/>
          <w:noProof/>
          <w:sz w:val="24"/>
          <w:szCs w:val="24"/>
          <w:lang w:eastAsia="de-DE"/>
        </w:rPr>
      </w:pPr>
    </w:p>
    <w:tbl>
      <w:tblPr>
        <w:tblStyle w:val="Styl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F2FF"/>
        <w:tblLook w:val="0480" w:firstRow="0" w:lastRow="0" w:firstColumn="1" w:lastColumn="0" w:noHBand="0" w:noVBand="1"/>
      </w:tblPr>
      <w:tblGrid>
        <w:gridCol w:w="8607"/>
      </w:tblGrid>
      <w:tr w:rsidR="00D93CD7" w:rsidRPr="003365D6" w14:paraId="2E1AAF0C" w14:textId="77777777" w:rsidTr="00004DA6">
        <w:tc>
          <w:tcPr>
            <w:tcW w:w="0" w:type="pct"/>
            <w:shd w:val="clear" w:color="auto" w:fill="DDF2FF"/>
            <w:vAlign w:val="center"/>
          </w:tcPr>
          <w:p w14:paraId="289DF318" w14:textId="77777777" w:rsidR="00D93CD7" w:rsidRPr="0077071B" w:rsidRDefault="68297009" w:rsidP="00004DA6">
            <w:pPr>
              <w:pStyle w:val="Table"/>
              <w:spacing w:before="60" w:after="60"/>
              <w:rPr>
                <w:rFonts w:ascii="Times New Roman" w:hAnsi="Times New Roman" w:cs="Times New Roman"/>
                <w:b/>
                <w:bCs/>
                <w:i/>
                <w:iCs/>
                <w:noProof/>
                <w:color w:val="000000" w:themeColor="text1"/>
                <w:sz w:val="22"/>
                <w:szCs w:val="22"/>
                <w:u w:val="single"/>
                <w:lang w:val="en-GB"/>
              </w:rPr>
            </w:pPr>
            <w:r w:rsidRPr="1F7CBA1A">
              <w:rPr>
                <w:rFonts w:ascii="Times New Roman" w:hAnsi="Times New Roman" w:cs="Times New Roman"/>
                <w:b/>
                <w:bCs/>
                <w:i/>
                <w:iCs/>
                <w:noProof/>
                <w:color w:val="000000" w:themeColor="text1"/>
                <w:sz w:val="22"/>
                <w:szCs w:val="22"/>
                <w:u w:val="single"/>
                <w:lang w:val="en-GB"/>
              </w:rPr>
              <w:t>Case study: Governance structure and its efficiency</w:t>
            </w:r>
          </w:p>
          <w:p w14:paraId="4E83B4B0" w14:textId="77777777" w:rsidR="00D93CD7" w:rsidRDefault="00D93CD7" w:rsidP="00004DA6">
            <w:pPr>
              <w:pStyle w:val="BodyText"/>
              <w:spacing w:after="60"/>
              <w:rPr>
                <w:rFonts w:ascii="Times New Roman" w:hAnsi="Times New Roman" w:cs="Times New Roman"/>
                <w:b/>
                <w:bCs/>
                <w:noProof/>
                <w:color w:val="000000" w:themeColor="text1"/>
                <w:sz w:val="22"/>
              </w:rPr>
            </w:pPr>
          </w:p>
          <w:p w14:paraId="2DB79D07" w14:textId="77777777" w:rsidR="00D93CD7" w:rsidRPr="0077071B" w:rsidRDefault="68297009" w:rsidP="00004DA6">
            <w:pPr>
              <w:pStyle w:val="BodyText"/>
              <w:spacing w:after="60"/>
              <w:rPr>
                <w:rFonts w:ascii="Times New Roman" w:hAnsi="Times New Roman" w:cs="Times New Roman"/>
                <w:b/>
                <w:bCs/>
                <w:noProof/>
                <w:color w:val="000000" w:themeColor="text1"/>
                <w:sz w:val="22"/>
              </w:rPr>
            </w:pPr>
            <w:r w:rsidRPr="1F7CBA1A">
              <w:rPr>
                <w:rFonts w:ascii="Times New Roman" w:hAnsi="Times New Roman" w:cs="Times New Roman"/>
                <w:b/>
                <w:bCs/>
                <w:noProof/>
                <w:color w:val="000000" w:themeColor="text1"/>
                <w:sz w:val="22"/>
              </w:rPr>
              <w:t>Overall findings</w:t>
            </w:r>
          </w:p>
          <w:p w14:paraId="780FEE41" w14:textId="29C0E2F4" w:rsidR="00D93CD7" w:rsidRPr="0077071B" w:rsidRDefault="68297009" w:rsidP="00004DA6">
            <w:pPr>
              <w:pStyle w:val="BodyText"/>
              <w:rPr>
                <w:rFonts w:ascii="Times New Roman" w:hAnsi="Times New Roman" w:cs="Times New Roman"/>
                <w:noProof/>
                <w:color w:val="000000" w:themeColor="text1"/>
                <w:sz w:val="22"/>
              </w:rPr>
            </w:pPr>
            <w:r w:rsidRPr="1F7CBA1A">
              <w:rPr>
                <w:rFonts w:ascii="Times New Roman" w:hAnsi="Times New Roman" w:cs="Times New Roman"/>
                <w:noProof/>
                <w:color w:val="000000" w:themeColor="text1"/>
                <w:sz w:val="22"/>
              </w:rPr>
              <w:t xml:space="preserve">The evaluation of eu-LISA's governance structure is mixed in terms of efficiency. While the Agency is efficient regarding the operational management of systems, challenges arise in developing new IT systems, notably in outsourcing management. The governance bodies seem to function </w:t>
            </w:r>
            <w:r w:rsidR="0043133B" w:rsidRPr="1F7CBA1A">
              <w:rPr>
                <w:rFonts w:ascii="Times New Roman" w:hAnsi="Times New Roman" w:cs="Times New Roman"/>
                <w:noProof/>
                <w:color w:val="000000" w:themeColor="text1"/>
                <w:sz w:val="22"/>
              </w:rPr>
              <w:t>efficiently,</w:t>
            </w:r>
            <w:r w:rsidRPr="1F7CBA1A">
              <w:rPr>
                <w:rFonts w:ascii="Times New Roman" w:hAnsi="Times New Roman" w:cs="Times New Roman"/>
                <w:noProof/>
                <w:color w:val="000000" w:themeColor="text1"/>
                <w:sz w:val="22"/>
              </w:rPr>
              <w:t xml:space="preserve"> but the analysis revealed concerns regarding the proliferation of governance bodies with the expanding mandate, leading to increased complexity and administrative burden. Proposals for improvement include streamlining governance bodies by operational domain and addressing the underrepresentation of the justice sector perceived by a limited number of stakeholders. Furthermore, evidence suggests that challenges may arise due to the silo-based governance model.</w:t>
            </w:r>
          </w:p>
          <w:p w14:paraId="16343637" w14:textId="77777777" w:rsidR="00D93CD7" w:rsidRPr="0077071B" w:rsidRDefault="68297009" w:rsidP="00004DA6">
            <w:pPr>
              <w:pStyle w:val="BodyText"/>
              <w:spacing w:after="60"/>
              <w:rPr>
                <w:rFonts w:ascii="Times New Roman" w:hAnsi="Times New Roman" w:cs="Times New Roman"/>
                <w:noProof/>
                <w:color w:val="000000" w:themeColor="text1"/>
                <w:sz w:val="22"/>
              </w:rPr>
            </w:pPr>
            <w:r w:rsidRPr="1F7CBA1A">
              <w:rPr>
                <w:rFonts w:ascii="Times New Roman" w:hAnsi="Times New Roman" w:cs="Times New Roman"/>
                <w:b/>
                <w:bCs/>
                <w:noProof/>
                <w:color w:val="000000" w:themeColor="text1"/>
                <w:sz w:val="22"/>
              </w:rPr>
              <w:t>Challenges of silo-based governance</w:t>
            </w:r>
          </w:p>
          <w:p w14:paraId="6C10A688" w14:textId="3A395BE0" w:rsidR="00D93CD7" w:rsidRPr="0077071B" w:rsidRDefault="68297009" w:rsidP="00004DA6">
            <w:pPr>
              <w:pStyle w:val="BodyText"/>
              <w:rPr>
                <w:rFonts w:ascii="Times New Roman" w:hAnsi="Times New Roman" w:cs="Times New Roman"/>
                <w:noProof/>
                <w:color w:val="000000" w:themeColor="text1"/>
                <w:sz w:val="22"/>
              </w:rPr>
            </w:pPr>
            <w:r w:rsidRPr="1F7CBA1A">
              <w:rPr>
                <w:rFonts w:ascii="Times New Roman" w:hAnsi="Times New Roman" w:cs="Times New Roman"/>
                <w:noProof/>
                <w:color w:val="000000" w:themeColor="text1"/>
                <w:sz w:val="22"/>
              </w:rPr>
              <w:t xml:space="preserve">eu-LISA operates within a governance framework tailored to efficiently manage critical IT systems essential for the </w:t>
            </w:r>
            <w:r w:rsidR="00942347" w:rsidRPr="00942347">
              <w:rPr>
                <w:rFonts w:ascii="Times New Roman" w:hAnsi="Times New Roman" w:cs="Times New Roman"/>
                <w:noProof/>
                <w:color w:val="000000" w:themeColor="text1"/>
                <w:sz w:val="22"/>
              </w:rPr>
              <w:t xml:space="preserve">area of freedom, security and justice </w:t>
            </w:r>
            <w:r w:rsidRPr="1F7CBA1A">
              <w:rPr>
                <w:rFonts w:ascii="Times New Roman" w:hAnsi="Times New Roman" w:cs="Times New Roman"/>
                <w:noProof/>
                <w:color w:val="000000" w:themeColor="text1"/>
                <w:sz w:val="22"/>
              </w:rPr>
              <w:t xml:space="preserve">. However, this framework, while effective within the </w:t>
            </w:r>
            <w:r w:rsidR="00942347" w:rsidRPr="00942347">
              <w:rPr>
                <w:rFonts w:ascii="Times New Roman" w:hAnsi="Times New Roman" w:cs="Times New Roman"/>
                <w:noProof/>
                <w:color w:val="000000" w:themeColor="text1"/>
                <w:sz w:val="22"/>
              </w:rPr>
              <w:t>area of freedom, security and justice</w:t>
            </w:r>
            <w:r w:rsidRPr="1F7CBA1A">
              <w:rPr>
                <w:rFonts w:ascii="Times New Roman" w:hAnsi="Times New Roman" w:cs="Times New Roman"/>
                <w:noProof/>
                <w:color w:val="000000" w:themeColor="text1"/>
                <w:sz w:val="22"/>
              </w:rPr>
              <w:t>, faces scrutiny for its adaptability and scalability beyond this domain. One primary concern is the silo-based configuration of eu-LISA's governance model. While suitable for intra-</w:t>
            </w:r>
            <w:r w:rsidR="00942347" w:rsidRPr="00942347">
              <w:rPr>
                <w:rFonts w:ascii="Times New Roman" w:hAnsi="Times New Roman" w:cs="Times New Roman"/>
                <w:noProof/>
                <w:color w:val="000000" w:themeColor="text1"/>
                <w:sz w:val="22"/>
              </w:rPr>
              <w:t xml:space="preserve">area of freedom, security and justice </w:t>
            </w:r>
            <w:r w:rsidRPr="1F7CBA1A">
              <w:rPr>
                <w:rFonts w:ascii="Times New Roman" w:hAnsi="Times New Roman" w:cs="Times New Roman"/>
                <w:noProof/>
                <w:color w:val="000000" w:themeColor="text1"/>
                <w:sz w:val="22"/>
              </w:rPr>
              <w:t xml:space="preserve"> operations, this structure poses limitations when extending the Agency's responsibilities to other policy areas.</w:t>
            </w:r>
          </w:p>
          <w:p w14:paraId="55D1A558" w14:textId="77777777" w:rsidR="00D93CD7" w:rsidRPr="0077071B" w:rsidRDefault="68297009" w:rsidP="00004DA6">
            <w:pPr>
              <w:pStyle w:val="BodyText"/>
              <w:rPr>
                <w:rFonts w:ascii="Times New Roman" w:hAnsi="Times New Roman" w:cs="Times New Roman"/>
                <w:noProof/>
                <w:color w:val="000000" w:themeColor="text1"/>
                <w:sz w:val="22"/>
              </w:rPr>
            </w:pPr>
            <w:r w:rsidRPr="1F7CBA1A">
              <w:rPr>
                <w:rFonts w:ascii="Times New Roman" w:hAnsi="Times New Roman" w:cs="Times New Roman"/>
                <w:noProof/>
                <w:color w:val="000000" w:themeColor="text1"/>
                <w:sz w:val="22"/>
              </w:rPr>
              <w:t>Considering the intricate relationship between border management and migration policies, a comprehensive approach is essential, encompassing aspects of security, human rights, and international cooperation. The current governance model, with its compartmentalised approach, may struggle to facilitate the necessary coordination and collaboration across these diverse policy domains.</w:t>
            </w:r>
          </w:p>
          <w:p w14:paraId="66C0F736" w14:textId="77777777" w:rsidR="00D93CD7" w:rsidRPr="0077071B" w:rsidRDefault="68297009" w:rsidP="00004DA6">
            <w:pPr>
              <w:pStyle w:val="BodyText"/>
              <w:rPr>
                <w:rFonts w:ascii="Times New Roman" w:hAnsi="Times New Roman" w:cs="Times New Roman"/>
                <w:noProof/>
                <w:color w:val="000000" w:themeColor="text1"/>
                <w:sz w:val="22"/>
              </w:rPr>
            </w:pPr>
            <w:r w:rsidRPr="1F7CBA1A">
              <w:rPr>
                <w:rFonts w:ascii="Times New Roman" w:hAnsi="Times New Roman" w:cs="Times New Roman"/>
                <w:noProof/>
                <w:color w:val="000000" w:themeColor="text1"/>
                <w:sz w:val="22"/>
              </w:rPr>
              <w:t>Similarly, in the overall context of law enforcement, seamless integration and interoperability of IT systems are crucial for effective operations. However, the siloed nature of the governance model may hinder the development and implementation of integrated solutions that cater to the specific needs of these interconnected policy areas.</w:t>
            </w:r>
          </w:p>
          <w:p w14:paraId="13D8AF15" w14:textId="77777777" w:rsidR="00D93CD7" w:rsidRPr="0077071B" w:rsidRDefault="68297009" w:rsidP="00004DA6">
            <w:pPr>
              <w:pStyle w:val="BodyText"/>
              <w:rPr>
                <w:rFonts w:ascii="Times New Roman" w:hAnsi="Times New Roman" w:cs="Times New Roman"/>
                <w:noProof/>
                <w:color w:val="000000" w:themeColor="text1"/>
                <w:sz w:val="22"/>
              </w:rPr>
            </w:pPr>
            <w:r w:rsidRPr="1F7CBA1A">
              <w:rPr>
                <w:rFonts w:ascii="Times New Roman" w:hAnsi="Times New Roman" w:cs="Times New Roman"/>
                <w:noProof/>
                <w:color w:val="000000" w:themeColor="text1"/>
                <w:sz w:val="22"/>
              </w:rPr>
              <w:t>Moreover, as new challenges emerge and EU policy priorities evolve, the rigid structure of the current governance model may inhibit the Agency's ability to adapt and respond effectively. The fragmented decision-making processes inherent in silo-based governance could impede timely and coordinated action, potentially jeopardising the Agency's ability to fulfil its mandate in an ever-changing landscape.</w:t>
            </w:r>
          </w:p>
          <w:p w14:paraId="7AC171A5" w14:textId="77777777" w:rsidR="00D93CD7" w:rsidRPr="0077071B" w:rsidRDefault="68297009" w:rsidP="00004DA6">
            <w:pPr>
              <w:pStyle w:val="BodyText"/>
              <w:keepNext/>
              <w:spacing w:after="60"/>
              <w:rPr>
                <w:rFonts w:ascii="Times New Roman" w:hAnsi="Times New Roman" w:cs="Times New Roman"/>
                <w:b/>
                <w:bCs/>
                <w:noProof/>
                <w:color w:val="000000" w:themeColor="text1"/>
                <w:sz w:val="22"/>
              </w:rPr>
            </w:pPr>
            <w:r w:rsidRPr="1F7CBA1A">
              <w:rPr>
                <w:rFonts w:ascii="Times New Roman" w:hAnsi="Times New Roman" w:cs="Times New Roman"/>
                <w:b/>
                <w:bCs/>
                <w:noProof/>
                <w:color w:val="000000" w:themeColor="text1"/>
                <w:sz w:val="22"/>
              </w:rPr>
              <w:t>Potential for improvement</w:t>
            </w:r>
          </w:p>
          <w:p w14:paraId="6A31CFE8" w14:textId="77777777" w:rsidR="00D93CD7" w:rsidRPr="0077071B" w:rsidRDefault="68297009" w:rsidP="00004DA6">
            <w:pPr>
              <w:pStyle w:val="BodyText"/>
              <w:rPr>
                <w:rFonts w:ascii="Times New Roman" w:hAnsi="Times New Roman" w:cs="Times New Roman"/>
                <w:b/>
                <w:bCs/>
                <w:noProof/>
                <w:color w:val="000000" w:themeColor="text1"/>
                <w:sz w:val="22"/>
              </w:rPr>
            </w:pPr>
            <w:r w:rsidRPr="1F7CBA1A">
              <w:rPr>
                <w:rFonts w:ascii="Times New Roman" w:hAnsi="Times New Roman" w:cs="Times New Roman"/>
                <w:noProof/>
                <w:color w:val="000000" w:themeColor="text1"/>
                <w:sz w:val="22"/>
              </w:rPr>
              <w:t>Transitioning towards a sector-specific governance model could facilitate greater coherence and integration across policy areas. Clustering governance bodies by operational domain, such as border management or law enforcement, could promote more targeted decision-making and resource allocation. Strengthening coordination mechanisms between governance bodies is essential for overcoming silo-based inefficiencies. Establishing formalised channels for communication and collaboration, such as joint working groups or inter-body forums, can facilitate information sharing and promote a more cohesive approach to decision-making. Fostering a culture of cross-domain expertise within governance bodies can help bridge silos and facilitate a more comprehensive understanding of interconnected policy issues. Encouraging interdisciplinary collaboration and providing training opportunities on cross-cutting topics can empower stakeholders to navigate complex challenges more effectively.</w:t>
            </w:r>
          </w:p>
          <w:p w14:paraId="1401F8FC" w14:textId="77777777" w:rsidR="00D93CD7" w:rsidRPr="0077071B" w:rsidRDefault="68297009" w:rsidP="00004DA6">
            <w:pPr>
              <w:pStyle w:val="BodyText"/>
              <w:spacing w:after="60"/>
              <w:rPr>
                <w:rFonts w:ascii="Times New Roman" w:hAnsi="Times New Roman" w:cs="Times New Roman"/>
                <w:b/>
                <w:bCs/>
                <w:noProof/>
                <w:color w:val="000000" w:themeColor="text1"/>
                <w:sz w:val="22"/>
              </w:rPr>
            </w:pPr>
            <w:r w:rsidRPr="1F7CBA1A">
              <w:rPr>
                <w:rFonts w:ascii="Times New Roman" w:hAnsi="Times New Roman" w:cs="Times New Roman"/>
                <w:b/>
                <w:bCs/>
                <w:noProof/>
                <w:color w:val="000000" w:themeColor="text1"/>
                <w:sz w:val="22"/>
              </w:rPr>
              <w:t>Pathways for improvement</w:t>
            </w:r>
          </w:p>
          <w:p w14:paraId="2AB99F22" w14:textId="58812569" w:rsidR="00D93CD7" w:rsidRPr="0077071B" w:rsidRDefault="68297009" w:rsidP="00004DA6">
            <w:pPr>
              <w:pStyle w:val="BodyText"/>
              <w:rPr>
                <w:rFonts w:ascii="Times New Roman" w:hAnsi="Times New Roman" w:cs="Times New Roman"/>
                <w:noProof/>
                <w:color w:val="000000" w:themeColor="text1"/>
                <w:sz w:val="22"/>
              </w:rPr>
            </w:pPr>
            <w:r w:rsidRPr="1F7CBA1A">
              <w:rPr>
                <w:rFonts w:ascii="Times New Roman" w:hAnsi="Times New Roman" w:cs="Times New Roman"/>
                <w:noProof/>
                <w:color w:val="000000" w:themeColor="text1"/>
                <w:sz w:val="22"/>
              </w:rPr>
              <w:t>Looking ahead, while the overall state is positive, the findings of the evaluation suggest considering strategic reforms to fortify the governance structure's coherence and efficiency. Ideas for improvement by stakeholders include consolidating bodies by operational domain and fostering closer cooperation mechanisms to streamline decision-making processes. For example, stakeholders have proposed enhancing the efficiency by consolidating governance bodies for both the existing systems and those currently in development, thereby aligning decision-making processes with operational domains</w:t>
            </w:r>
            <w:r w:rsidR="0D7F627F" w:rsidRPr="1F7CBA1A">
              <w:rPr>
                <w:rFonts w:ascii="Times New Roman" w:hAnsi="Times New Roman" w:cs="Times New Roman"/>
                <w:noProof/>
                <w:color w:val="000000" w:themeColor="text1"/>
                <w:sz w:val="22"/>
              </w:rPr>
              <w:t xml:space="preserve">, </w:t>
            </w:r>
            <w:r w:rsidRPr="1F7CBA1A">
              <w:rPr>
                <w:rFonts w:ascii="Times New Roman" w:hAnsi="Times New Roman" w:cs="Times New Roman"/>
                <w:noProof/>
                <w:color w:val="000000" w:themeColor="text1"/>
                <w:sz w:val="22"/>
              </w:rPr>
              <w:t xml:space="preserve">facilitating more agile responses to emerging challenges and opportunities within the organisation. Additionally, implementing cross-functional teams or task forces that include representatives from different governance bodies could facilitate collaboration and ensure alignment of strategies and priorities across the organisation. Additionally, there is a consensus on the need for a more sector-specific orientation within the governance framework, </w:t>
            </w:r>
            <w:r w:rsidR="00F51F61">
              <w:rPr>
                <w:rFonts w:ascii="Times New Roman" w:hAnsi="Times New Roman" w:cs="Times New Roman"/>
                <w:noProof/>
                <w:color w:val="000000" w:themeColor="text1"/>
                <w:sz w:val="22"/>
              </w:rPr>
              <w:t>with some stakeholders noting that the justice sector could benefit from stronger representation</w:t>
            </w:r>
            <w:r w:rsidRPr="1F7CBA1A">
              <w:rPr>
                <w:rFonts w:ascii="Times New Roman" w:hAnsi="Times New Roman" w:cs="Times New Roman"/>
                <w:noProof/>
                <w:color w:val="000000" w:themeColor="text1"/>
                <w:sz w:val="22"/>
              </w:rPr>
              <w:t xml:space="preserve">. To </w:t>
            </w:r>
            <w:r w:rsidR="00F51F61">
              <w:rPr>
                <w:rFonts w:ascii="Times New Roman" w:hAnsi="Times New Roman" w:cs="Times New Roman"/>
                <w:noProof/>
                <w:color w:val="000000" w:themeColor="text1"/>
                <w:sz w:val="22"/>
              </w:rPr>
              <w:t>support this</w:t>
            </w:r>
            <w:r w:rsidRPr="1F7CBA1A">
              <w:rPr>
                <w:rFonts w:ascii="Times New Roman" w:hAnsi="Times New Roman" w:cs="Times New Roman"/>
                <w:noProof/>
                <w:color w:val="000000" w:themeColor="text1"/>
                <w:sz w:val="22"/>
              </w:rPr>
              <w:t xml:space="preserve">, stakeholders suggested establishing ‘liaison officers’ between the predominant governance bodies overseeing the other systems and the relevant justice sector. In essence, while challenges </w:t>
            </w:r>
            <w:r w:rsidR="00CE0292">
              <w:rPr>
                <w:rFonts w:ascii="Times New Roman" w:hAnsi="Times New Roman" w:cs="Times New Roman"/>
                <w:noProof/>
                <w:color w:val="000000" w:themeColor="text1"/>
                <w:sz w:val="22"/>
              </w:rPr>
              <w:t>remain</w:t>
            </w:r>
            <w:r w:rsidRPr="1F7CBA1A">
              <w:rPr>
                <w:rFonts w:ascii="Times New Roman" w:hAnsi="Times New Roman" w:cs="Times New Roman"/>
                <w:noProof/>
                <w:color w:val="000000" w:themeColor="text1"/>
                <w:sz w:val="22"/>
              </w:rPr>
              <w:t>, there is a prevailing sense of optimism regarding the potential for improvement. Strategic reforms guided by stakeholder feedback offer a pathway to enhance eu-LISA's governance efficiency. By embracing these recommendations and adapting to evolving needs, eu-LISA can strengthen its position as a trusted custodian of EU IT systems, poised to navigate the dynamic landscape of the digital era with confidence and efficacy.</w:t>
            </w:r>
          </w:p>
        </w:tc>
      </w:tr>
    </w:tbl>
    <w:p w14:paraId="6FEC533C" w14:textId="77777777" w:rsidR="000857E5" w:rsidRPr="00721699" w:rsidRDefault="74F137B0" w:rsidP="004E2424">
      <w:pPr>
        <w:pStyle w:val="BodyText"/>
        <w:spacing w:before="240" w:after="240"/>
        <w:rPr>
          <w:rFonts w:ascii="Times New Roman" w:hAnsi="Times New Roman" w:cs="Times New Roman"/>
          <w:b/>
          <w:bCs/>
          <w:noProof/>
          <w:sz w:val="24"/>
          <w:szCs w:val="24"/>
        </w:rPr>
      </w:pPr>
      <w:r w:rsidRPr="1F7CBA1A">
        <w:rPr>
          <w:rFonts w:ascii="Times New Roman" w:hAnsi="Times New Roman" w:cs="Times New Roman"/>
          <w:b/>
          <w:bCs/>
          <w:i/>
          <w:iCs/>
          <w:noProof/>
          <w:sz w:val="24"/>
          <w:szCs w:val="24"/>
        </w:rPr>
        <w:t>To what extent have eu-LISA’s organisational solutions, including outsourcing strategies, affect the performance of the Agency in developing the new systems?</w:t>
      </w:r>
    </w:p>
    <w:p w14:paraId="5842151D" w14:textId="77777777" w:rsidR="000857E5" w:rsidRPr="002048C6" w:rsidRDefault="000857E5" w:rsidP="00F02E1B">
      <w:pPr>
        <w:jc w:val="both"/>
        <w:rPr>
          <w:rFonts w:ascii="Times New Roman" w:hAnsi="Times New Roman" w:cs="Times New Roman"/>
          <w:noProof/>
          <w:sz w:val="24"/>
          <w:szCs w:val="24"/>
          <w:lang w:val="en-IE" w:eastAsia="de-DE"/>
        </w:rPr>
      </w:pPr>
      <w:r w:rsidRPr="002048C6">
        <w:rPr>
          <w:rFonts w:ascii="Times New Roman" w:hAnsi="Times New Roman" w:cs="Times New Roman"/>
          <w:noProof/>
          <w:sz w:val="24"/>
          <w:szCs w:val="24"/>
          <w:lang w:val="en-IE" w:eastAsia="de-DE"/>
        </w:rPr>
        <w:t xml:space="preserve">The </w:t>
      </w:r>
      <w:r w:rsidRPr="002048C6">
        <w:rPr>
          <w:rFonts w:ascii="Times New Roman" w:hAnsi="Times New Roman" w:cs="Times New Roman"/>
          <w:noProof/>
          <w:sz w:val="24"/>
          <w:szCs w:val="24"/>
          <w:lang w:val="en-IE" w:eastAsia="nl-BE"/>
        </w:rPr>
        <w:t>evaluation</w:t>
      </w:r>
      <w:r w:rsidRPr="002048C6">
        <w:rPr>
          <w:rFonts w:ascii="Times New Roman" w:hAnsi="Times New Roman" w:cs="Times New Roman"/>
          <w:noProof/>
          <w:sz w:val="24"/>
          <w:szCs w:val="24"/>
          <w:lang w:val="en-IE" w:eastAsia="de-DE"/>
        </w:rPr>
        <w:t xml:space="preserve"> found that the organisational strategies adopted by eu-LISA, ranging from various solutions including outsourcing, have yielded a mixed impact on the Agency's ability to develop new systems. </w:t>
      </w:r>
    </w:p>
    <w:p w14:paraId="7A30DE29" w14:textId="62595D15" w:rsidR="000857E5" w:rsidRPr="004E2424" w:rsidRDefault="000857E5" w:rsidP="00F02E1B">
      <w:pPr>
        <w:jc w:val="both"/>
        <w:rPr>
          <w:rFonts w:ascii="Times New Roman" w:hAnsi="Times New Roman" w:cs="Times New Roman"/>
          <w:iCs/>
          <w:noProof/>
          <w:sz w:val="24"/>
          <w:szCs w:val="24"/>
          <w:highlight w:val="lightGray"/>
          <w:lang w:val="en-IE"/>
        </w:rPr>
      </w:pPr>
      <w:r w:rsidRPr="00E573F5">
        <w:rPr>
          <w:rFonts w:ascii="Times New Roman" w:hAnsi="Times New Roman" w:cs="Times New Roman"/>
          <w:iCs/>
          <w:noProof/>
          <w:sz w:val="24"/>
          <w:szCs w:val="24"/>
          <w:lang w:val="en-GB"/>
        </w:rPr>
        <w:t xml:space="preserve">Over the past years, </w:t>
      </w:r>
      <w:r w:rsidRPr="004E2424">
        <w:rPr>
          <w:rFonts w:ascii="Times New Roman" w:hAnsi="Times New Roman" w:cs="Times New Roman"/>
          <w:iCs/>
          <w:noProof/>
          <w:sz w:val="24"/>
          <w:szCs w:val="24"/>
          <w:lang w:val="en-IE"/>
        </w:rPr>
        <w:t xml:space="preserve">the evaluation found that </w:t>
      </w:r>
      <w:r w:rsidRPr="00E573F5">
        <w:rPr>
          <w:rFonts w:ascii="Times New Roman" w:hAnsi="Times New Roman" w:cs="Times New Roman"/>
          <w:iCs/>
          <w:noProof/>
          <w:sz w:val="24"/>
          <w:szCs w:val="24"/>
          <w:lang w:val="en-GB"/>
        </w:rPr>
        <w:t xml:space="preserve">eu-LISA largely outsourced the work related to the development of </w:t>
      </w:r>
      <w:r w:rsidRPr="004E2424">
        <w:rPr>
          <w:rFonts w:ascii="Times New Roman" w:hAnsi="Times New Roman" w:cs="Times New Roman"/>
          <w:iCs/>
          <w:noProof/>
          <w:sz w:val="24"/>
          <w:szCs w:val="24"/>
          <w:lang w:val="en-IE"/>
        </w:rPr>
        <w:t xml:space="preserve">new </w:t>
      </w:r>
      <w:r w:rsidRPr="00E573F5">
        <w:rPr>
          <w:rFonts w:ascii="Times New Roman" w:hAnsi="Times New Roman" w:cs="Times New Roman"/>
          <w:iCs/>
          <w:noProof/>
          <w:sz w:val="24"/>
          <w:szCs w:val="24"/>
          <w:lang w:val="en-GB"/>
        </w:rPr>
        <w:t xml:space="preserve">IT systems. This resulted in </w:t>
      </w:r>
      <w:r w:rsidRPr="004E2424">
        <w:rPr>
          <w:rFonts w:ascii="Times New Roman" w:hAnsi="Times New Roman" w:cs="Times New Roman"/>
          <w:iCs/>
          <w:noProof/>
          <w:sz w:val="24"/>
          <w:szCs w:val="24"/>
          <w:lang w:val="en-IE"/>
        </w:rPr>
        <w:t xml:space="preserve">a series of </w:t>
      </w:r>
      <w:r w:rsidRPr="00E573F5">
        <w:rPr>
          <w:rFonts w:ascii="Times New Roman" w:hAnsi="Times New Roman" w:cs="Times New Roman"/>
          <w:iCs/>
          <w:noProof/>
          <w:sz w:val="24"/>
          <w:szCs w:val="24"/>
          <w:lang w:val="en-GB"/>
        </w:rPr>
        <w:t>challenges concerning the delivery of these IT systems in appropriate quality and efficiency</w:t>
      </w:r>
      <w:r w:rsidRPr="004E2424">
        <w:rPr>
          <w:rFonts w:ascii="Times New Roman" w:hAnsi="Times New Roman" w:cs="Times New Roman"/>
          <w:iCs/>
          <w:noProof/>
          <w:sz w:val="24"/>
          <w:szCs w:val="24"/>
          <w:lang w:val="en-IE"/>
        </w:rPr>
        <w:t xml:space="preserve">, ranging from </w:t>
      </w:r>
      <w:r w:rsidRPr="00E573F5">
        <w:rPr>
          <w:rFonts w:ascii="Times New Roman" w:hAnsi="Times New Roman" w:cs="Times New Roman"/>
          <w:iCs/>
          <w:noProof/>
          <w:sz w:val="24"/>
          <w:szCs w:val="24"/>
          <w:lang w:val="en-GB"/>
        </w:rPr>
        <w:t xml:space="preserve">the complexity of the </w:t>
      </w:r>
      <w:r w:rsidRPr="004E2424">
        <w:rPr>
          <w:rFonts w:ascii="Times New Roman" w:hAnsi="Times New Roman" w:cs="Times New Roman"/>
          <w:iCs/>
          <w:noProof/>
          <w:sz w:val="24"/>
          <w:szCs w:val="24"/>
          <w:lang w:val="en-IE"/>
        </w:rPr>
        <w:t xml:space="preserve">previous and current </w:t>
      </w:r>
      <w:r w:rsidRPr="00E573F5">
        <w:rPr>
          <w:rFonts w:ascii="Times New Roman" w:hAnsi="Times New Roman" w:cs="Times New Roman"/>
          <w:iCs/>
          <w:noProof/>
          <w:sz w:val="24"/>
          <w:szCs w:val="24"/>
          <w:lang w:val="en-GB"/>
        </w:rPr>
        <w:t xml:space="preserve">outsourcing approach, </w:t>
      </w:r>
      <w:r w:rsidRPr="004E2424">
        <w:rPr>
          <w:rFonts w:ascii="Times New Roman" w:hAnsi="Times New Roman" w:cs="Times New Roman"/>
          <w:iCs/>
          <w:noProof/>
          <w:sz w:val="24"/>
          <w:szCs w:val="24"/>
          <w:lang w:val="en-IE"/>
        </w:rPr>
        <w:t>the division in roles and responsibilities between eu-LISA and external contractors, the</w:t>
      </w:r>
      <w:r w:rsidRPr="00E573F5">
        <w:rPr>
          <w:rFonts w:ascii="Times New Roman" w:hAnsi="Times New Roman" w:cs="Times New Roman"/>
          <w:iCs/>
          <w:noProof/>
          <w:sz w:val="24"/>
          <w:szCs w:val="24"/>
          <w:lang w:val="en-GB"/>
        </w:rPr>
        <w:t xml:space="preserve"> contractual management, </w:t>
      </w:r>
      <w:r w:rsidRPr="004E2424">
        <w:rPr>
          <w:rFonts w:ascii="Times New Roman" w:hAnsi="Times New Roman" w:cs="Times New Roman"/>
          <w:iCs/>
          <w:noProof/>
          <w:sz w:val="24"/>
          <w:szCs w:val="24"/>
          <w:lang w:val="en-IE"/>
        </w:rPr>
        <w:t>to</w:t>
      </w:r>
      <w:r w:rsidRPr="00E573F5">
        <w:rPr>
          <w:rFonts w:ascii="Times New Roman" w:hAnsi="Times New Roman" w:cs="Times New Roman"/>
          <w:iCs/>
          <w:noProof/>
          <w:sz w:val="24"/>
          <w:szCs w:val="24"/>
          <w:lang w:val="en-GB"/>
        </w:rPr>
        <w:t xml:space="preserve"> the volume of outsourcing</w:t>
      </w:r>
      <w:r w:rsidRPr="004E2424">
        <w:rPr>
          <w:rFonts w:ascii="Times New Roman" w:hAnsi="Times New Roman" w:cs="Times New Roman"/>
          <w:iCs/>
          <w:noProof/>
          <w:sz w:val="24"/>
          <w:szCs w:val="24"/>
          <w:lang w:val="en-IE"/>
        </w:rPr>
        <w:t>.</w:t>
      </w:r>
      <w:r w:rsidR="00910920">
        <w:rPr>
          <w:rFonts w:ascii="Times New Roman" w:hAnsi="Times New Roman" w:cs="Times New Roman"/>
          <w:iCs/>
          <w:noProof/>
          <w:sz w:val="24"/>
          <w:szCs w:val="24"/>
          <w:lang w:val="en-IE"/>
        </w:rPr>
        <w:t xml:space="preserve"> Stakeholders note that eu-LISA does not involve contractors in governance meetings with Member States, limiting transparency and exposure to the wider governance bodies.</w:t>
      </w:r>
    </w:p>
    <w:p w14:paraId="3FC7C8ED" w14:textId="77777777" w:rsidR="000857E5" w:rsidRDefault="000857E5" w:rsidP="00F02E1B">
      <w:pPr>
        <w:jc w:val="both"/>
        <w:rPr>
          <w:rFonts w:ascii="Times New Roman" w:hAnsi="Times New Roman" w:cs="Times New Roman"/>
          <w:iCs/>
          <w:noProof/>
          <w:sz w:val="24"/>
          <w:szCs w:val="24"/>
          <w:lang w:val="en-IE"/>
        </w:rPr>
      </w:pPr>
      <w:r w:rsidRPr="00644C42">
        <w:rPr>
          <w:rFonts w:ascii="Times New Roman" w:hAnsi="Times New Roman" w:cs="Times New Roman"/>
          <w:iCs/>
          <w:noProof/>
          <w:sz w:val="24"/>
          <w:szCs w:val="24"/>
          <w:lang w:val="en-IE"/>
        </w:rPr>
        <w:t>The Commission’s Internal Audit Service report of 2020</w:t>
      </w:r>
      <w:r w:rsidRPr="00644C42">
        <w:rPr>
          <w:rFonts w:ascii="Times New Roman" w:hAnsi="Times New Roman" w:cs="Times New Roman"/>
          <w:iCs/>
          <w:noProof/>
          <w:sz w:val="24"/>
          <w:szCs w:val="24"/>
          <w:vertAlign w:val="superscript"/>
        </w:rPr>
        <w:footnoteReference w:id="58"/>
      </w:r>
      <w:r w:rsidRPr="00644C42">
        <w:rPr>
          <w:rFonts w:ascii="Times New Roman" w:hAnsi="Times New Roman" w:cs="Times New Roman"/>
          <w:iCs/>
          <w:noProof/>
          <w:sz w:val="24"/>
          <w:szCs w:val="24"/>
          <w:lang w:val="en-IE"/>
        </w:rPr>
        <w:t xml:space="preserve"> found that, compared to other Agencies, the proportion of structural service providers was high and, in addition, structural service providers were </w:t>
      </w:r>
      <w:r w:rsidRPr="00644C42">
        <w:rPr>
          <w:rFonts w:ascii="Times New Roman" w:hAnsi="Times New Roman" w:cs="Times New Roman"/>
          <w:iCs/>
          <w:noProof/>
          <w:sz w:val="24"/>
          <w:szCs w:val="24"/>
          <w:lang w:val="en-GB"/>
        </w:rPr>
        <w:t>not</w:t>
      </w:r>
      <w:r w:rsidRPr="00644C42">
        <w:rPr>
          <w:rFonts w:ascii="Times New Roman" w:hAnsi="Times New Roman" w:cs="Times New Roman"/>
          <w:iCs/>
          <w:noProof/>
          <w:sz w:val="24"/>
          <w:szCs w:val="24"/>
          <w:lang w:val="en-IE"/>
        </w:rPr>
        <w:t xml:space="preserve"> only used for temporary or </w:t>
      </w:r>
      <w:r w:rsidRPr="00644C42">
        <w:rPr>
          <w:rFonts w:ascii="Times New Roman" w:hAnsi="Times New Roman" w:cs="Times New Roman"/>
          <w:i/>
          <w:iCs/>
          <w:noProof/>
          <w:sz w:val="24"/>
          <w:szCs w:val="24"/>
          <w:lang w:val="en-IE"/>
        </w:rPr>
        <w:t>ad-hoc</w:t>
      </w:r>
      <w:r w:rsidRPr="00644C42">
        <w:rPr>
          <w:rFonts w:ascii="Times New Roman" w:hAnsi="Times New Roman" w:cs="Times New Roman"/>
          <w:iCs/>
          <w:noProof/>
          <w:sz w:val="24"/>
          <w:szCs w:val="24"/>
          <w:lang w:val="en-IE"/>
        </w:rPr>
        <w:t xml:space="preserve"> duties but also for core </w:t>
      </w:r>
      <w:r w:rsidRPr="00F02E1B">
        <w:rPr>
          <w:rFonts w:ascii="Times New Roman" w:hAnsi="Times New Roman" w:cs="Times New Roman"/>
          <w:iCs/>
          <w:noProof/>
          <w:sz w:val="24"/>
          <w:szCs w:val="24"/>
          <w:lang w:val="en-GB"/>
        </w:rPr>
        <w:t>operational</w:t>
      </w:r>
      <w:r w:rsidRPr="00644C42">
        <w:rPr>
          <w:rFonts w:ascii="Times New Roman" w:hAnsi="Times New Roman" w:cs="Times New Roman"/>
          <w:iCs/>
          <w:noProof/>
          <w:sz w:val="24"/>
          <w:szCs w:val="24"/>
          <w:lang w:val="en-IE"/>
        </w:rPr>
        <w:t xml:space="preserve"> and/or administrative tasks. </w:t>
      </w:r>
      <w:r>
        <w:rPr>
          <w:rFonts w:ascii="Times New Roman" w:hAnsi="Times New Roman" w:cs="Times New Roman"/>
          <w:iCs/>
          <w:noProof/>
          <w:sz w:val="24"/>
          <w:szCs w:val="24"/>
          <w:lang w:val="en-IE"/>
        </w:rPr>
        <w:t>While there was a steep rise of eu-LISA staff since the adoption of the legal mandate in 2018, the number of tasks and the complexity related to the development of new large-scale IT systems has also increased, and the evaluation showed that the Agency</w:t>
      </w:r>
      <w:r w:rsidRPr="00644C42">
        <w:rPr>
          <w:rFonts w:ascii="Times New Roman" w:hAnsi="Times New Roman" w:cs="Times New Roman"/>
          <w:iCs/>
          <w:noProof/>
          <w:sz w:val="24"/>
          <w:szCs w:val="24"/>
          <w:lang w:val="en-IE"/>
        </w:rPr>
        <w:t xml:space="preserve"> still did not possess sufficient personnel to handle all these tasks within the Agency itself</w:t>
      </w:r>
      <w:r>
        <w:rPr>
          <w:rFonts w:ascii="Times New Roman" w:hAnsi="Times New Roman" w:cs="Times New Roman"/>
          <w:iCs/>
          <w:noProof/>
          <w:sz w:val="24"/>
          <w:szCs w:val="24"/>
          <w:lang w:val="en-IE"/>
        </w:rPr>
        <w:t xml:space="preserve">. In addition, throughout the evaluation period, eu-LISA was in </w:t>
      </w:r>
      <w:r w:rsidRPr="00644C42">
        <w:rPr>
          <w:rFonts w:ascii="Times New Roman" w:hAnsi="Times New Roman" w:cs="Times New Roman"/>
          <w:iCs/>
          <w:noProof/>
          <w:sz w:val="24"/>
          <w:szCs w:val="24"/>
          <w:lang w:val="en-IE"/>
        </w:rPr>
        <w:t>strong competition with the private sector and other EU institutions as concerns the filling of vacancies for highly skilled IT staff, fuelling the problems to recruit enough staff to fill all open vacancies</w:t>
      </w:r>
      <w:r>
        <w:rPr>
          <w:rFonts w:ascii="Times New Roman" w:hAnsi="Times New Roman" w:cs="Times New Roman"/>
          <w:iCs/>
          <w:noProof/>
          <w:sz w:val="24"/>
          <w:szCs w:val="24"/>
          <w:lang w:val="en-IE"/>
        </w:rPr>
        <w:t xml:space="preserve">. Hence, </w:t>
      </w:r>
      <w:r w:rsidRPr="009E6930">
        <w:rPr>
          <w:rFonts w:ascii="Times New Roman" w:hAnsi="Times New Roman" w:cs="Times New Roman"/>
          <w:iCs/>
          <w:noProof/>
          <w:sz w:val="24"/>
          <w:szCs w:val="24"/>
          <w:lang w:val="en-IE"/>
        </w:rPr>
        <w:t xml:space="preserve">though </w:t>
      </w:r>
      <w:r>
        <w:rPr>
          <w:rFonts w:ascii="Times New Roman" w:hAnsi="Times New Roman" w:cs="Times New Roman"/>
          <w:iCs/>
          <w:noProof/>
          <w:sz w:val="24"/>
          <w:szCs w:val="24"/>
          <w:lang w:val="en-IE"/>
        </w:rPr>
        <w:t>a controversial decision</w:t>
      </w:r>
      <w:r w:rsidRPr="009E6930">
        <w:rPr>
          <w:rFonts w:ascii="Times New Roman" w:hAnsi="Times New Roman" w:cs="Times New Roman"/>
          <w:iCs/>
          <w:noProof/>
          <w:sz w:val="24"/>
          <w:szCs w:val="24"/>
          <w:lang w:val="en-IE"/>
        </w:rPr>
        <w:t xml:space="preserve"> within eu-LISA itself</w:t>
      </w:r>
      <w:r>
        <w:rPr>
          <w:rFonts w:ascii="Times New Roman" w:hAnsi="Times New Roman" w:cs="Times New Roman"/>
          <w:iCs/>
          <w:noProof/>
          <w:sz w:val="24"/>
          <w:szCs w:val="24"/>
          <w:lang w:val="en-IE"/>
        </w:rPr>
        <w:t xml:space="preserve">, </w:t>
      </w:r>
      <w:r w:rsidRPr="00B87B33">
        <w:rPr>
          <w:rFonts w:ascii="Times New Roman" w:hAnsi="Times New Roman" w:cs="Times New Roman"/>
          <w:iCs/>
          <w:noProof/>
          <w:sz w:val="24"/>
          <w:szCs w:val="24"/>
          <w:lang w:val="en-IE"/>
        </w:rPr>
        <w:t>the Agency had to continuously pursue the outsourcing of core tasks to external contractors</w:t>
      </w:r>
      <w:r>
        <w:rPr>
          <w:rFonts w:ascii="Times New Roman" w:hAnsi="Times New Roman" w:cs="Times New Roman"/>
          <w:iCs/>
          <w:noProof/>
          <w:sz w:val="24"/>
          <w:szCs w:val="24"/>
          <w:lang w:val="en-IE"/>
        </w:rPr>
        <w:t>.</w:t>
      </w:r>
    </w:p>
    <w:p w14:paraId="6E73F3A7" w14:textId="77777777" w:rsidR="000857E5" w:rsidRPr="00B87B33" w:rsidRDefault="000857E5" w:rsidP="00F02E1B">
      <w:pPr>
        <w:jc w:val="both"/>
        <w:rPr>
          <w:rFonts w:ascii="Times New Roman" w:hAnsi="Times New Roman" w:cs="Times New Roman"/>
          <w:noProof/>
          <w:sz w:val="24"/>
          <w:szCs w:val="24"/>
          <w:lang w:val="en-IE"/>
        </w:rPr>
      </w:pPr>
      <w:r w:rsidRPr="00B87B33">
        <w:rPr>
          <w:rFonts w:ascii="Times New Roman" w:hAnsi="Times New Roman" w:cs="Times New Roman"/>
          <w:noProof/>
          <w:sz w:val="24"/>
          <w:szCs w:val="24"/>
          <w:lang w:val="en-IE"/>
        </w:rPr>
        <w:t xml:space="preserve">Furthermore, the work conducted by eu-LISA is regulated through the relevant legal instruments. </w:t>
      </w:r>
      <w:r w:rsidRPr="00F02E1B">
        <w:rPr>
          <w:rFonts w:ascii="Times New Roman" w:hAnsi="Times New Roman" w:cs="Times New Roman"/>
          <w:iCs/>
          <w:noProof/>
          <w:sz w:val="24"/>
          <w:szCs w:val="24"/>
          <w:lang w:val="en-GB"/>
        </w:rPr>
        <w:t>The</w:t>
      </w:r>
      <w:r w:rsidRPr="00B87B33">
        <w:rPr>
          <w:rFonts w:ascii="Times New Roman" w:hAnsi="Times New Roman" w:cs="Times New Roman"/>
          <w:noProof/>
          <w:sz w:val="24"/>
          <w:szCs w:val="24"/>
          <w:lang w:val="en-IE"/>
        </w:rPr>
        <w:t xml:space="preserve"> </w:t>
      </w:r>
      <w:r w:rsidRPr="00B87B33">
        <w:rPr>
          <w:rFonts w:ascii="Times New Roman" w:hAnsi="Times New Roman" w:cs="Times New Roman"/>
          <w:iCs/>
          <w:noProof/>
          <w:sz w:val="24"/>
          <w:szCs w:val="24"/>
          <w:lang w:val="en-IE"/>
        </w:rPr>
        <w:t>results</w:t>
      </w:r>
      <w:r w:rsidRPr="00B87B33">
        <w:rPr>
          <w:rFonts w:ascii="Times New Roman" w:hAnsi="Times New Roman" w:cs="Times New Roman"/>
          <w:noProof/>
          <w:sz w:val="24"/>
          <w:szCs w:val="24"/>
          <w:lang w:val="en-IE"/>
        </w:rPr>
        <w:t xml:space="preserve">-focussed perspective of some legal requirements in practice forced the Agency (i.e. not through the legal text itself but through the operational practices chosen by the Agency in response to the legal text) to an outsourcing model in which IT developments were contracted according to the waterfall principle instead in an agile fashion. This resulted in lengthy development cycles and difficulties adapting to changing needs or technological advancements, ultimately impacting project timelines and quality. </w:t>
      </w:r>
    </w:p>
    <w:p w14:paraId="7157396A" w14:textId="34604333" w:rsidR="000857E5" w:rsidRPr="00B87B33" w:rsidRDefault="74F137B0" w:rsidP="006019D6">
      <w:pPr>
        <w:jc w:val="both"/>
        <w:rPr>
          <w:rFonts w:ascii="Times New Roman" w:hAnsi="Times New Roman" w:cs="Times New Roman"/>
          <w:noProof/>
          <w:sz w:val="24"/>
          <w:szCs w:val="24"/>
          <w:lang w:val="en-IE"/>
        </w:rPr>
      </w:pPr>
      <w:r w:rsidRPr="1F7CBA1A">
        <w:rPr>
          <w:rFonts w:ascii="Times New Roman" w:hAnsi="Times New Roman" w:cs="Times New Roman"/>
          <w:noProof/>
          <w:sz w:val="24"/>
          <w:szCs w:val="24"/>
          <w:lang w:val="en-IE"/>
        </w:rPr>
        <w:t xml:space="preserve">The evaluation showed </w:t>
      </w:r>
      <w:r w:rsidRPr="1F7CBA1A">
        <w:rPr>
          <w:rFonts w:ascii="Times New Roman" w:hAnsi="Times New Roman" w:cs="Times New Roman"/>
          <w:b/>
          <w:bCs/>
          <w:noProof/>
          <w:sz w:val="24"/>
          <w:szCs w:val="24"/>
          <w:lang w:val="en-IE"/>
        </w:rPr>
        <w:t>the lack of a strategic approach for the outsourcing of resources</w:t>
      </w:r>
      <w:r w:rsidRPr="1F7CBA1A">
        <w:rPr>
          <w:rFonts w:ascii="Times New Roman" w:hAnsi="Times New Roman" w:cs="Times New Roman"/>
          <w:noProof/>
          <w:sz w:val="24"/>
          <w:szCs w:val="24"/>
          <w:lang w:val="en-IE"/>
        </w:rPr>
        <w:t xml:space="preserve">. Due to the historic development of the Agency and its overall set-up, this has led to a situation in which </w:t>
      </w:r>
      <w:r w:rsidRPr="006019D6">
        <w:rPr>
          <w:rFonts w:ascii="Times New Roman" w:hAnsi="Times New Roman" w:cs="Times New Roman"/>
          <w:iCs/>
          <w:noProof/>
          <w:sz w:val="24"/>
          <w:szCs w:val="24"/>
          <w:lang w:val="en-GB"/>
        </w:rPr>
        <w:t>outsourcing</w:t>
      </w:r>
      <w:r w:rsidRPr="1F7CBA1A">
        <w:rPr>
          <w:rFonts w:ascii="Times New Roman" w:hAnsi="Times New Roman" w:cs="Times New Roman"/>
          <w:noProof/>
          <w:sz w:val="24"/>
          <w:szCs w:val="24"/>
          <w:lang w:val="en-IE"/>
        </w:rPr>
        <w:t xml:space="preserve"> was, and still is, the default </w:t>
      </w:r>
      <w:r w:rsidRPr="1F7CBA1A">
        <w:rPr>
          <w:rFonts w:ascii="Times New Roman" w:hAnsi="Times New Roman" w:cs="Times New Roman"/>
          <w:i/>
          <w:iCs/>
          <w:noProof/>
          <w:sz w:val="24"/>
          <w:szCs w:val="24"/>
          <w:lang w:val="en-IE"/>
        </w:rPr>
        <w:t>modus operandi</w:t>
      </w:r>
      <w:r w:rsidRPr="1F7CBA1A">
        <w:rPr>
          <w:rFonts w:ascii="Times New Roman" w:hAnsi="Times New Roman" w:cs="Times New Roman"/>
          <w:noProof/>
          <w:sz w:val="24"/>
          <w:szCs w:val="24"/>
          <w:lang w:val="en-IE"/>
        </w:rPr>
        <w:t xml:space="preserve"> of the Agency. This has led to challenges with regard to the development and delivery of new systems, such as EES, which was the Agency’s very first own development. </w:t>
      </w:r>
      <w:r w:rsidR="00E0077E" w:rsidRPr="00004DA6">
        <w:rPr>
          <w:rFonts w:ascii="Times New Roman" w:hAnsi="Times New Roman" w:cs="Times New Roman"/>
          <w:noProof/>
          <w:sz w:val="24"/>
          <w:szCs w:val="24"/>
          <w:lang w:val="en-IE"/>
        </w:rPr>
        <w:t>However, in recent months, there has been a noticeable evolution, with eu-LISA taking steps to adapt its approach towards outsourcing, including greater integration and co-location with contractors to improve supervision and control.</w:t>
      </w:r>
    </w:p>
    <w:p w14:paraId="3A427924" w14:textId="77777777" w:rsidR="000857E5" w:rsidRPr="004C2B1F" w:rsidRDefault="000857E5" w:rsidP="006019D6">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SIS, VIS, and Eurodac were systems developed before the creation of the Agency, and the Agency has been </w:t>
      </w:r>
      <w:r w:rsidRPr="006019D6">
        <w:rPr>
          <w:rFonts w:ascii="Times New Roman" w:hAnsi="Times New Roman" w:cs="Times New Roman"/>
          <w:iCs/>
          <w:noProof/>
          <w:sz w:val="24"/>
          <w:szCs w:val="24"/>
          <w:lang w:val="en-GB"/>
        </w:rPr>
        <w:t>entrusted</w:t>
      </w:r>
      <w:r w:rsidRPr="004C2B1F">
        <w:rPr>
          <w:rFonts w:ascii="Times New Roman" w:hAnsi="Times New Roman" w:cs="Times New Roman"/>
          <w:noProof/>
          <w:sz w:val="24"/>
          <w:szCs w:val="24"/>
          <w:lang w:val="en-IE"/>
        </w:rPr>
        <w:t xml:space="preserve"> with the responsibility to manage these three systems operationally. Therefore, originally, the Agency used a system-centric silo approach to outsource work related to SIS, VIS, and Eurodac. The same approach was taken in relation to EES, with the main purpose to externalise any substantial risks. However, stakeholders have pointed out that the Agency was not sufficiently equipped in recent years to manage, guide, and control the EES contractors and that the contractual vehicles themselves were not well-equipped for the development of an IT system.</w:t>
      </w:r>
      <w:r w:rsidRPr="00B87B33">
        <w:rPr>
          <w:rStyle w:val="FootnoteReference"/>
          <w:rFonts w:ascii="Times New Roman" w:hAnsi="Times New Roman" w:cs="Times New Roman"/>
          <w:noProof/>
          <w:sz w:val="24"/>
          <w:szCs w:val="24"/>
        </w:rPr>
        <w:footnoteReference w:id="59"/>
      </w:r>
    </w:p>
    <w:p w14:paraId="232E27A2" w14:textId="77777777" w:rsidR="000857E5" w:rsidRPr="002048C6" w:rsidRDefault="000857E5" w:rsidP="006019D6">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 xml:space="preserve">The Agency changed its outsourcing approach from a system-centric silo approach with a limited number of consortium partners per system to a more horizontal approach of ‘layered’ outsourcing. Under this model, different types of services (related to e.g. operations, infrastructure, </w:t>
      </w:r>
      <w:r w:rsidRPr="006019D6">
        <w:rPr>
          <w:rFonts w:ascii="Times New Roman" w:hAnsi="Times New Roman" w:cs="Times New Roman"/>
          <w:iCs/>
          <w:noProof/>
          <w:sz w:val="24"/>
          <w:szCs w:val="24"/>
          <w:lang w:val="en-GB"/>
        </w:rPr>
        <w:t>application</w:t>
      </w:r>
      <w:r w:rsidRPr="002048C6">
        <w:rPr>
          <w:rFonts w:ascii="Times New Roman" w:hAnsi="Times New Roman" w:cs="Times New Roman"/>
          <w:noProof/>
          <w:sz w:val="24"/>
          <w:szCs w:val="24"/>
          <w:lang w:val="en-IE"/>
        </w:rPr>
        <w:t>, testing, development, maintenance etc.) can be provided by different consortia of contractors for each system. The restructuring indicates a shift from the limitations posed by isolated silos, such as fragmented service provision, lack of standardised operations, and reduced interoperability. The aim is to allow for more agile, standardised, timely, and cost-effective service provision.</w:t>
      </w:r>
    </w:p>
    <w:p w14:paraId="3CB32541" w14:textId="77777777" w:rsidR="000857E5" w:rsidRPr="004C2B1F" w:rsidRDefault="000857E5" w:rsidP="006019D6">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However, the implementation of this approach has encountered some limitations. For example, under this </w:t>
      </w:r>
      <w:r w:rsidRPr="006019D6">
        <w:rPr>
          <w:rFonts w:ascii="Times New Roman" w:hAnsi="Times New Roman" w:cs="Times New Roman"/>
          <w:iCs/>
          <w:noProof/>
          <w:sz w:val="24"/>
          <w:szCs w:val="24"/>
          <w:lang w:val="en-GB"/>
        </w:rPr>
        <w:t>approach</w:t>
      </w:r>
      <w:r w:rsidRPr="004C2B1F">
        <w:rPr>
          <w:rFonts w:ascii="Times New Roman" w:hAnsi="Times New Roman" w:cs="Times New Roman"/>
          <w:noProof/>
          <w:sz w:val="24"/>
          <w:szCs w:val="24"/>
          <w:lang w:val="en-IE"/>
        </w:rPr>
        <w:t>, technical experts who had been hired based on their technical expertise, skills, and experience, have been assigned to contract management roles in which they were not able to apply their specialised skills. Challenges appeared in managing the transitions between different phases of outsourcing contracts (“sunset period”). The absence of dedicated internal transition teams accompanying contractors have contributed to complexities in the handover process (e.g. concerning decisions that still need to be taken, operational developments still outstanding, potential areas of improvement, testing results, bugs in the software, etc.), leading to disruptions and inefficiencies, risking delays in the development processes of large scale-IT systems. The establishment of internal transition teams emerges as a crucial aspect for enhancing eu-LISA's operational efficiency and project management.</w:t>
      </w:r>
    </w:p>
    <w:p w14:paraId="3FA8F951" w14:textId="6D851E5C" w:rsidR="000857E5" w:rsidRDefault="74F137B0" w:rsidP="000857E5">
      <w:pPr>
        <w:pStyle w:val="BodyText"/>
        <w:rPr>
          <w:rFonts w:ascii="Times New Roman" w:hAnsi="Times New Roman" w:cs="Times New Roman"/>
          <w:noProof/>
          <w:sz w:val="24"/>
          <w:szCs w:val="24"/>
          <w:lang w:eastAsia="de-DE"/>
        </w:rPr>
      </w:pPr>
      <w:r w:rsidRPr="1F7CBA1A">
        <w:rPr>
          <w:rFonts w:ascii="Times New Roman" w:hAnsi="Times New Roman" w:cs="Times New Roman"/>
          <w:noProof/>
          <w:sz w:val="24"/>
          <w:szCs w:val="24"/>
          <w:lang w:eastAsia="de-DE"/>
        </w:rPr>
        <w:t xml:space="preserve">Therefore, the evaluation found that the Agency did not strike an appropriate balance in recent years between delivering technical developments inhouse and </w:t>
      </w:r>
      <w:r w:rsidRPr="00004DA6">
        <w:rPr>
          <w:rFonts w:ascii="Times New Roman" w:hAnsi="Times New Roman" w:cs="Times New Roman"/>
          <w:noProof/>
          <w:sz w:val="24"/>
          <w:szCs w:val="24"/>
          <w:lang w:val="en-IE" w:eastAsia="de-DE"/>
        </w:rPr>
        <w:t xml:space="preserve">simultaneously ensuring that contractors deliver on time in the necessary quality. </w:t>
      </w:r>
      <w:r w:rsidR="00535971" w:rsidRPr="00004DA6">
        <w:rPr>
          <w:rFonts w:ascii="Times New Roman" w:hAnsi="Times New Roman" w:cs="Times New Roman"/>
          <w:noProof/>
          <w:sz w:val="24"/>
          <w:szCs w:val="24"/>
          <w:lang w:val="en-IE" w:eastAsia="de-DE"/>
        </w:rPr>
        <w:t xml:space="preserve">The evaluation emphasises that the Agency should maintain strong internal control over system development, keeping key technical expertise </w:t>
      </w:r>
      <w:r w:rsidR="00535971">
        <w:rPr>
          <w:rFonts w:ascii="Times New Roman" w:hAnsi="Times New Roman" w:cs="Times New Roman"/>
          <w:noProof/>
          <w:sz w:val="24"/>
          <w:szCs w:val="24"/>
          <w:lang w:val="en-IE" w:eastAsia="de-DE"/>
        </w:rPr>
        <w:t xml:space="preserve">and developments </w:t>
      </w:r>
      <w:r w:rsidR="00535971" w:rsidRPr="00004DA6">
        <w:rPr>
          <w:rFonts w:ascii="Times New Roman" w:hAnsi="Times New Roman" w:cs="Times New Roman"/>
          <w:noProof/>
          <w:sz w:val="24"/>
          <w:szCs w:val="24"/>
          <w:lang w:val="en-IE" w:eastAsia="de-DE"/>
        </w:rPr>
        <w:t>in-house, even while leveraging external contractors.</w:t>
      </w:r>
    </w:p>
    <w:p w14:paraId="507175F0" w14:textId="26EA9ADF" w:rsidR="000857E5" w:rsidRPr="00B32AF7" w:rsidRDefault="74F137B0" w:rsidP="000857E5">
      <w:pPr>
        <w:pStyle w:val="BodyText"/>
        <w:rPr>
          <w:rFonts w:ascii="Times New Roman" w:hAnsi="Times New Roman" w:cs="Times New Roman"/>
          <w:noProof/>
          <w:sz w:val="24"/>
          <w:szCs w:val="24"/>
          <w:lang w:eastAsia="de-DE"/>
        </w:rPr>
      </w:pPr>
      <w:r w:rsidRPr="1F7CBA1A">
        <w:rPr>
          <w:rFonts w:ascii="Times New Roman" w:hAnsi="Times New Roman" w:cs="Times New Roman"/>
          <w:noProof/>
          <w:sz w:val="24"/>
          <w:szCs w:val="24"/>
          <w:lang w:eastAsia="de-DE"/>
        </w:rPr>
        <w:t>To improve the situation, the evaluation highlighted the importance for the Agency to increase the share of insourced work to reduce dependency on external contractors, and investing in internal capabilities – namely hiring (more) technical staff that is actually tasked with technical work for which their expertise is needed, rather than managing contracts – to enhance efficiency and oversight. A clearer strategic approach to outsourcing and improved contractual management, to mitigate risks and ensure the timely delivery of quality systems, are considered necessary by the evaluation given the escalating complexity of the IT systems entrusted to eu-LISA</w:t>
      </w:r>
      <w:r w:rsidR="51A7B03C" w:rsidRPr="1F7CBA1A">
        <w:rPr>
          <w:rFonts w:ascii="Times New Roman" w:hAnsi="Times New Roman" w:cs="Times New Roman"/>
          <w:noProof/>
          <w:sz w:val="24"/>
          <w:szCs w:val="24"/>
          <w:lang w:eastAsia="de-DE"/>
        </w:rPr>
        <w:t>.</w:t>
      </w:r>
    </w:p>
    <w:p w14:paraId="755B86D3" w14:textId="114422C6" w:rsidR="000D069D" w:rsidRPr="004E2424" w:rsidRDefault="74F137B0" w:rsidP="004E2424">
      <w:pPr>
        <w:pStyle w:val="BodyText"/>
        <w:rPr>
          <w:rFonts w:ascii="Times New Roman" w:hAnsi="Times New Roman" w:cs="Times New Roman"/>
          <w:noProof/>
          <w:sz w:val="24"/>
          <w:szCs w:val="24"/>
          <w:lang w:eastAsia="de-DE"/>
        </w:rPr>
      </w:pPr>
      <w:r w:rsidRPr="1F7CBA1A">
        <w:rPr>
          <w:rFonts w:ascii="Times New Roman" w:hAnsi="Times New Roman" w:cs="Times New Roman"/>
          <w:noProof/>
          <w:sz w:val="24"/>
          <w:szCs w:val="24"/>
        </w:rPr>
        <w:t xml:space="preserve">The evidence gathered for this evaluation showed certain positive developments on this topic. For instance, eu-LISA has </w:t>
      </w:r>
      <w:r w:rsidRPr="1F7CBA1A">
        <w:rPr>
          <w:rFonts w:ascii="Times New Roman" w:hAnsi="Times New Roman" w:cs="Times New Roman"/>
          <w:noProof/>
          <w:sz w:val="24"/>
          <w:szCs w:val="24"/>
          <w:lang w:eastAsia="de-DE"/>
        </w:rPr>
        <w:t xml:space="preserve">transitioning towards a more integrated outsourcing approach and strengthening supervision over </w:t>
      </w:r>
      <w:r w:rsidR="00535971" w:rsidRPr="1F7CBA1A">
        <w:rPr>
          <w:rFonts w:ascii="Times New Roman" w:hAnsi="Times New Roman" w:cs="Times New Roman"/>
          <w:noProof/>
          <w:sz w:val="24"/>
          <w:szCs w:val="24"/>
          <w:lang w:eastAsia="de-DE"/>
        </w:rPr>
        <w:t>contractors and</w:t>
      </w:r>
      <w:r w:rsidRPr="1F7CBA1A">
        <w:rPr>
          <w:rFonts w:ascii="Times New Roman" w:hAnsi="Times New Roman" w:cs="Times New Roman"/>
          <w:noProof/>
          <w:sz w:val="24"/>
          <w:szCs w:val="24"/>
          <w:lang w:eastAsia="de-DE"/>
        </w:rPr>
        <w:t xml:space="preserve"> </w:t>
      </w:r>
      <w:r w:rsidRPr="1F7CBA1A">
        <w:rPr>
          <w:rFonts w:ascii="Times New Roman" w:hAnsi="Times New Roman" w:cs="Times New Roman"/>
          <w:noProof/>
          <w:sz w:val="24"/>
          <w:szCs w:val="24"/>
        </w:rPr>
        <w:t xml:space="preserve">started to invest into co-sourcing with contractors (i.e. a closer, more integrated working relationship with contractors, for instance, on-site alongside eu-LISA staff) and implement the policy that everyone has to work ‘under one roof’. This means that contractors carry out developmental work related to the new system on premise in Strasbourg and provides eu-LISA staff with increased supervision and control possibilities. </w:t>
      </w:r>
      <w:r w:rsidRPr="1F7CBA1A">
        <w:rPr>
          <w:rFonts w:ascii="Times New Roman" w:hAnsi="Times New Roman" w:cs="Times New Roman"/>
          <w:noProof/>
          <w:sz w:val="24"/>
          <w:szCs w:val="24"/>
          <w:lang w:eastAsia="de-DE"/>
        </w:rPr>
        <w:t>However, achieving the optimal balance between in-house development and outsourcing remains a challenge.</w:t>
      </w:r>
    </w:p>
    <w:p w14:paraId="4619A7D5" w14:textId="77777777" w:rsidR="009B44DC" w:rsidRPr="00721699" w:rsidRDefault="009B44DC" w:rsidP="004E2424">
      <w:pPr>
        <w:pStyle w:val="BodyText"/>
        <w:spacing w:before="240" w:after="240"/>
        <w:rPr>
          <w:rFonts w:ascii="Times New Roman" w:hAnsi="Times New Roman" w:cs="Times New Roman"/>
          <w:b/>
          <w:bCs/>
          <w:noProof/>
          <w:sz w:val="24"/>
          <w:szCs w:val="24"/>
        </w:rPr>
      </w:pPr>
      <w:r w:rsidRPr="004E2424">
        <w:rPr>
          <w:rFonts w:ascii="Times New Roman" w:hAnsi="Times New Roman" w:cs="Times New Roman"/>
          <w:b/>
          <w:bCs/>
          <w:i/>
          <w:iCs/>
          <w:noProof/>
          <w:sz w:val="24"/>
          <w:szCs w:val="24"/>
        </w:rPr>
        <w:t>How efficient have been the management of resources by eu-LISA? To what extent has eu-LISA efficiently used its human and financial resources to ensure the development and the effective, secure and continuous operation of large-scale IT systems? To what extent has eu-LISA succeeded in building up in-house capabilities for handling various tasks entrusted to it?</w:t>
      </w:r>
    </w:p>
    <w:p w14:paraId="61485F6F" w14:textId="77777777" w:rsidR="009B44DC" w:rsidRPr="00A52392" w:rsidRDefault="009B44DC" w:rsidP="009B44DC">
      <w:pPr>
        <w:pStyle w:val="BodyText"/>
        <w:rPr>
          <w:rFonts w:ascii="Times New Roman" w:hAnsi="Times New Roman" w:cs="Times New Roman"/>
          <w:noProof/>
          <w:sz w:val="24"/>
          <w:szCs w:val="24"/>
          <w:lang w:eastAsia="de-DE"/>
        </w:rPr>
      </w:pPr>
      <w:r w:rsidRPr="00A52392">
        <w:rPr>
          <w:rFonts w:ascii="Times New Roman" w:hAnsi="Times New Roman" w:cs="Times New Roman"/>
          <w:noProof/>
          <w:sz w:val="24"/>
          <w:szCs w:val="24"/>
          <w:lang w:eastAsia="de-DE"/>
        </w:rPr>
        <w:t>The evaluation</w:t>
      </w:r>
      <w:r>
        <w:rPr>
          <w:rFonts w:ascii="Times New Roman" w:hAnsi="Times New Roman" w:cs="Times New Roman"/>
          <w:noProof/>
          <w:sz w:val="24"/>
          <w:szCs w:val="24"/>
          <w:lang w:eastAsia="de-DE"/>
        </w:rPr>
        <w:t>’s assessment</w:t>
      </w:r>
      <w:r w:rsidRPr="00A52392">
        <w:rPr>
          <w:rFonts w:ascii="Times New Roman" w:hAnsi="Times New Roman" w:cs="Times New Roman"/>
          <w:noProof/>
          <w:sz w:val="24"/>
          <w:szCs w:val="24"/>
          <w:lang w:eastAsia="de-DE"/>
        </w:rPr>
        <w:t xml:space="preserve"> of eu-LISA's management of resources, particularly its human and financial resources, reveal</w:t>
      </w:r>
      <w:r>
        <w:rPr>
          <w:rFonts w:ascii="Times New Roman" w:hAnsi="Times New Roman" w:cs="Times New Roman"/>
          <w:noProof/>
          <w:sz w:val="24"/>
          <w:szCs w:val="24"/>
          <w:lang w:eastAsia="de-DE"/>
        </w:rPr>
        <w:t>ed</w:t>
      </w:r>
      <w:r w:rsidRPr="00A52392">
        <w:rPr>
          <w:rFonts w:ascii="Times New Roman" w:hAnsi="Times New Roman" w:cs="Times New Roman"/>
          <w:noProof/>
          <w:sz w:val="24"/>
          <w:szCs w:val="24"/>
          <w:lang w:eastAsia="de-DE"/>
        </w:rPr>
        <w:t xml:space="preserve"> a mixed picture of efficiency and challenges. </w:t>
      </w:r>
    </w:p>
    <w:p w14:paraId="308202FC" w14:textId="77777777" w:rsidR="009B44DC" w:rsidRPr="00A52392" w:rsidRDefault="009B44DC" w:rsidP="009B44DC">
      <w:pPr>
        <w:pStyle w:val="BodyText"/>
        <w:rPr>
          <w:rFonts w:ascii="Times New Roman" w:hAnsi="Times New Roman" w:cs="Times New Roman"/>
          <w:noProof/>
          <w:sz w:val="24"/>
          <w:szCs w:val="24"/>
          <w:lang w:eastAsia="de-DE"/>
        </w:rPr>
      </w:pPr>
      <w:r w:rsidRPr="00A52392">
        <w:rPr>
          <w:rFonts w:ascii="Times New Roman" w:hAnsi="Times New Roman" w:cs="Times New Roman"/>
          <w:noProof/>
          <w:sz w:val="24"/>
          <w:szCs w:val="24"/>
          <w:lang w:eastAsia="de-DE"/>
        </w:rPr>
        <w:t xml:space="preserve">The </w:t>
      </w:r>
      <w:r>
        <w:rPr>
          <w:rFonts w:ascii="Times New Roman" w:hAnsi="Times New Roman" w:cs="Times New Roman"/>
          <w:noProof/>
          <w:sz w:val="24"/>
          <w:szCs w:val="24"/>
          <w:lang w:eastAsia="de-DE"/>
        </w:rPr>
        <w:t xml:space="preserve">evaluation found that the </w:t>
      </w:r>
      <w:r w:rsidRPr="00A52392">
        <w:rPr>
          <w:rFonts w:ascii="Times New Roman" w:hAnsi="Times New Roman" w:cs="Times New Roman"/>
          <w:noProof/>
          <w:sz w:val="24"/>
          <w:szCs w:val="24"/>
          <w:lang w:eastAsia="de-DE"/>
        </w:rPr>
        <w:t xml:space="preserve">Agency demonstrated success in certain areas, such as utilising advanced technology for central IT systems such as SIS and VIS, ensuring effective, secure and continuous operation, and fostering coordination among Member States and providers. </w:t>
      </w:r>
    </w:p>
    <w:p w14:paraId="06B95956" w14:textId="77777777" w:rsidR="009B44DC" w:rsidRPr="00A52392" w:rsidRDefault="009B44DC" w:rsidP="00056EB7">
      <w:pPr>
        <w:pStyle w:val="BodyText"/>
        <w:rPr>
          <w:rFonts w:ascii="Times New Roman" w:hAnsi="Times New Roman" w:cs="Times New Roman"/>
          <w:noProof/>
          <w:sz w:val="24"/>
          <w:szCs w:val="24"/>
          <w:lang w:eastAsia="de-DE"/>
        </w:rPr>
      </w:pPr>
      <w:r w:rsidRPr="00A52392">
        <w:rPr>
          <w:rFonts w:ascii="Times New Roman" w:hAnsi="Times New Roman" w:cs="Times New Roman"/>
          <w:noProof/>
          <w:sz w:val="24"/>
          <w:szCs w:val="24"/>
          <w:lang w:eastAsia="de-DE"/>
        </w:rPr>
        <w:t xml:space="preserve">However, </w:t>
      </w:r>
      <w:r>
        <w:rPr>
          <w:rFonts w:ascii="Times New Roman" w:hAnsi="Times New Roman" w:cs="Times New Roman"/>
          <w:noProof/>
          <w:sz w:val="24"/>
          <w:szCs w:val="24"/>
          <w:lang w:eastAsia="de-DE"/>
        </w:rPr>
        <w:t>w</w:t>
      </w:r>
      <w:r w:rsidRPr="00A52392">
        <w:rPr>
          <w:rFonts w:ascii="Times New Roman" w:hAnsi="Times New Roman" w:cs="Times New Roman"/>
          <w:noProof/>
          <w:sz w:val="24"/>
          <w:szCs w:val="24"/>
          <w:lang w:eastAsia="de-DE"/>
        </w:rPr>
        <w:t>hile the management of existing IT systems contribute</w:t>
      </w:r>
      <w:r>
        <w:rPr>
          <w:rFonts w:ascii="Times New Roman" w:hAnsi="Times New Roman" w:cs="Times New Roman"/>
          <w:noProof/>
          <w:sz w:val="24"/>
          <w:szCs w:val="24"/>
          <w:lang w:eastAsia="de-DE"/>
        </w:rPr>
        <w:t>d</w:t>
      </w:r>
      <w:r w:rsidRPr="00A52392">
        <w:rPr>
          <w:rFonts w:ascii="Times New Roman" w:hAnsi="Times New Roman" w:cs="Times New Roman"/>
          <w:noProof/>
          <w:sz w:val="24"/>
          <w:szCs w:val="24"/>
          <w:lang w:eastAsia="de-DE"/>
        </w:rPr>
        <w:t xml:space="preserve"> to a coordinated and cost-effective environment, the</w:t>
      </w:r>
      <w:r>
        <w:rPr>
          <w:rFonts w:ascii="Times New Roman" w:hAnsi="Times New Roman" w:cs="Times New Roman"/>
          <w:noProof/>
          <w:sz w:val="24"/>
          <w:szCs w:val="24"/>
          <w:lang w:eastAsia="de-DE"/>
        </w:rPr>
        <w:t xml:space="preserve"> evaluation pointed to</w:t>
      </w:r>
      <w:r w:rsidRPr="00A52392">
        <w:rPr>
          <w:rFonts w:ascii="Times New Roman" w:hAnsi="Times New Roman" w:cs="Times New Roman"/>
          <w:noProof/>
          <w:sz w:val="24"/>
          <w:szCs w:val="24"/>
          <w:lang w:eastAsia="de-DE"/>
        </w:rPr>
        <w:t xml:space="preserve"> moderate successes and challenges associated with the development of new IT systems and the handover/takeover processes. Challenges arising from slow bureaucratic processes and unclear tasks have been identified, indicating inefficiencies in project management.</w:t>
      </w:r>
    </w:p>
    <w:p w14:paraId="0FA4FF47" w14:textId="77777777" w:rsidR="009B44DC" w:rsidRPr="00A52392" w:rsidRDefault="009B44DC" w:rsidP="00056EB7">
      <w:pPr>
        <w:pStyle w:val="BodyText"/>
        <w:rPr>
          <w:rFonts w:ascii="Times New Roman" w:hAnsi="Times New Roman" w:cs="Times New Roman"/>
          <w:noProof/>
          <w:sz w:val="24"/>
          <w:szCs w:val="24"/>
          <w:lang w:eastAsia="de-DE"/>
        </w:rPr>
      </w:pPr>
      <w:r w:rsidRPr="00A52392">
        <w:rPr>
          <w:rFonts w:ascii="Times New Roman" w:hAnsi="Times New Roman" w:cs="Times New Roman"/>
          <w:noProof/>
          <w:sz w:val="24"/>
          <w:szCs w:val="24"/>
          <w:lang w:eastAsia="de-DE"/>
        </w:rPr>
        <w:t xml:space="preserve">Outsourcing practices, although moderately successful, </w:t>
      </w:r>
      <w:r>
        <w:rPr>
          <w:rFonts w:ascii="Times New Roman" w:hAnsi="Times New Roman" w:cs="Times New Roman"/>
          <w:noProof/>
          <w:sz w:val="24"/>
          <w:szCs w:val="24"/>
          <w:lang w:eastAsia="de-DE"/>
        </w:rPr>
        <w:t>were criticised</w:t>
      </w:r>
      <w:r w:rsidRPr="00A52392">
        <w:rPr>
          <w:rFonts w:ascii="Times New Roman" w:hAnsi="Times New Roman" w:cs="Times New Roman"/>
          <w:noProof/>
          <w:sz w:val="24"/>
          <w:szCs w:val="24"/>
          <w:lang w:eastAsia="de-DE"/>
        </w:rPr>
        <w:t xml:space="preserve"> for their complexity, </w:t>
      </w:r>
      <w:r w:rsidRPr="00004DA6">
        <w:rPr>
          <w:rFonts w:ascii="Times New Roman" w:hAnsi="Times New Roman" w:cs="Times New Roman"/>
          <w:noProof/>
          <w:sz w:val="24"/>
          <w:szCs w:val="24"/>
          <w:lang w:val="en-IE"/>
        </w:rPr>
        <w:t>contractual</w:t>
      </w:r>
      <w:r w:rsidRPr="00A52392">
        <w:rPr>
          <w:rFonts w:ascii="Times New Roman" w:hAnsi="Times New Roman" w:cs="Times New Roman"/>
          <w:noProof/>
          <w:sz w:val="24"/>
          <w:szCs w:val="24"/>
          <w:lang w:eastAsia="de-DE"/>
        </w:rPr>
        <w:t xml:space="preserve"> management, limited accountability and volume. The </w:t>
      </w:r>
      <w:r>
        <w:rPr>
          <w:rFonts w:ascii="Times New Roman" w:hAnsi="Times New Roman" w:cs="Times New Roman"/>
          <w:noProof/>
          <w:sz w:val="24"/>
          <w:szCs w:val="24"/>
          <w:lang w:eastAsia="de-DE"/>
        </w:rPr>
        <w:t xml:space="preserve">evaluation found that the </w:t>
      </w:r>
      <w:r w:rsidRPr="00A52392">
        <w:rPr>
          <w:rFonts w:ascii="Times New Roman" w:hAnsi="Times New Roman" w:cs="Times New Roman"/>
          <w:noProof/>
          <w:sz w:val="24"/>
          <w:szCs w:val="24"/>
          <w:lang w:eastAsia="de-DE"/>
        </w:rPr>
        <w:t>Agency's default reliance on outsourcing, without a balanced approach to in-house development,</w:t>
      </w:r>
      <w:r>
        <w:rPr>
          <w:rFonts w:ascii="Times New Roman" w:hAnsi="Times New Roman" w:cs="Times New Roman"/>
          <w:noProof/>
          <w:sz w:val="24"/>
          <w:szCs w:val="24"/>
          <w:lang w:eastAsia="de-DE"/>
        </w:rPr>
        <w:t xml:space="preserve"> </w:t>
      </w:r>
      <w:r w:rsidRPr="00A52392">
        <w:rPr>
          <w:rFonts w:ascii="Times New Roman" w:hAnsi="Times New Roman" w:cs="Times New Roman"/>
          <w:noProof/>
          <w:sz w:val="24"/>
          <w:szCs w:val="24"/>
          <w:lang w:eastAsia="de-DE"/>
        </w:rPr>
        <w:t>resulted in difficulties in delivering tasks related to the development of new systems</w:t>
      </w:r>
      <w:r>
        <w:rPr>
          <w:rFonts w:ascii="Times New Roman" w:hAnsi="Times New Roman" w:cs="Times New Roman"/>
          <w:noProof/>
          <w:sz w:val="24"/>
          <w:szCs w:val="24"/>
          <w:lang w:eastAsia="de-DE"/>
        </w:rPr>
        <w:t xml:space="preserve"> (see previous question)</w:t>
      </w:r>
      <w:r w:rsidRPr="00A52392">
        <w:rPr>
          <w:rFonts w:ascii="Times New Roman" w:hAnsi="Times New Roman" w:cs="Times New Roman"/>
          <w:noProof/>
          <w:sz w:val="24"/>
          <w:szCs w:val="24"/>
          <w:lang w:eastAsia="de-DE"/>
        </w:rPr>
        <w:t>.</w:t>
      </w:r>
    </w:p>
    <w:p w14:paraId="47E201C3" w14:textId="77777777" w:rsidR="009B44DC" w:rsidRPr="00004DA6" w:rsidRDefault="009B44DC" w:rsidP="00004DA6">
      <w:pPr>
        <w:jc w:val="both"/>
        <w:rPr>
          <w:rFonts w:ascii="Times New Roman" w:hAnsi="Times New Roman" w:cs="Times New Roman"/>
          <w:noProof/>
          <w:sz w:val="24"/>
          <w:szCs w:val="24"/>
          <w:lang w:val="en-IE" w:eastAsia="de-DE"/>
        </w:rPr>
      </w:pPr>
      <w:r w:rsidRPr="00004DA6">
        <w:rPr>
          <w:rFonts w:ascii="Times New Roman" w:hAnsi="Times New Roman" w:cs="Times New Roman"/>
          <w:noProof/>
          <w:sz w:val="24"/>
          <w:szCs w:val="24"/>
          <w:lang w:val="en-IE" w:eastAsia="de-DE"/>
        </w:rPr>
        <w:t xml:space="preserve">Nonetheless, the evaluation also found that the Agency made progress in building its in-house capabilities to manage various tasks. Its recruitment efforts and HR processes have been </w:t>
      </w:r>
      <w:r w:rsidRPr="00004DA6">
        <w:rPr>
          <w:rFonts w:ascii="Times New Roman" w:hAnsi="Times New Roman" w:cs="Times New Roman"/>
          <w:noProof/>
          <w:sz w:val="24"/>
          <w:szCs w:val="24"/>
          <w:lang w:val="en-IE"/>
        </w:rPr>
        <w:t>digitalised</w:t>
      </w:r>
      <w:r w:rsidRPr="00004DA6">
        <w:rPr>
          <w:rFonts w:ascii="Times New Roman" w:hAnsi="Times New Roman" w:cs="Times New Roman"/>
          <w:noProof/>
          <w:sz w:val="24"/>
          <w:szCs w:val="24"/>
          <w:lang w:val="en-IE" w:eastAsia="de-DE"/>
        </w:rPr>
        <w:t>, with initiatives like Agile Recruitment and video interviews. However, challenges remain, such as legal constraints on adopting new technologies and an inflexible organisational structure. At the same time, ongoing projects such as the cultural transformation and employer branding show eu-LISA's dedication to improving its capabilities and staying competitive in the IT field.</w:t>
      </w:r>
    </w:p>
    <w:p w14:paraId="446A6DCE" w14:textId="3107D06F" w:rsidR="009B44DC" w:rsidRPr="002048C6" w:rsidRDefault="009B44DC" w:rsidP="00F74774">
      <w:pPr>
        <w:jc w:val="both"/>
        <w:rPr>
          <w:rFonts w:ascii="Times New Roman" w:hAnsi="Times New Roman" w:cs="Times New Roman"/>
          <w:iCs/>
          <w:noProof/>
          <w:sz w:val="24"/>
          <w:szCs w:val="24"/>
          <w:highlight w:val="lightGray"/>
          <w:lang w:val="en-IE"/>
        </w:rPr>
      </w:pPr>
      <w:r w:rsidRPr="002048C6">
        <w:rPr>
          <w:rFonts w:ascii="Times New Roman" w:hAnsi="Times New Roman" w:cs="Times New Roman"/>
          <w:noProof/>
          <w:sz w:val="24"/>
          <w:szCs w:val="24"/>
          <w:lang w:val="en-IE" w:eastAsia="de-DE"/>
        </w:rPr>
        <w:t xml:space="preserve">The </w:t>
      </w:r>
      <w:r w:rsidRPr="00F74774">
        <w:rPr>
          <w:rFonts w:ascii="Times New Roman" w:hAnsi="Times New Roman" w:cs="Times New Roman"/>
          <w:noProof/>
          <w:sz w:val="24"/>
          <w:szCs w:val="24"/>
          <w:lang w:val="en-IE" w:eastAsia="de-DE"/>
        </w:rPr>
        <w:t>evaluation</w:t>
      </w:r>
      <w:r w:rsidRPr="002048C6">
        <w:rPr>
          <w:rFonts w:ascii="Times New Roman" w:hAnsi="Times New Roman" w:cs="Times New Roman"/>
          <w:noProof/>
          <w:sz w:val="24"/>
          <w:szCs w:val="24"/>
          <w:lang w:val="en-IE" w:eastAsia="de-DE"/>
        </w:rPr>
        <w:t xml:space="preserve"> found that </w:t>
      </w:r>
      <w:r w:rsidRPr="002048C6">
        <w:rPr>
          <w:rFonts w:ascii="Times New Roman" w:hAnsi="Times New Roman" w:cs="Times New Roman"/>
          <w:b/>
          <w:bCs/>
          <w:noProof/>
          <w:sz w:val="24"/>
          <w:szCs w:val="24"/>
          <w:u w:val="single"/>
          <w:lang w:val="en-IE" w:eastAsia="de-DE"/>
        </w:rPr>
        <w:t>the financial planning and reporting processes</w:t>
      </w:r>
      <w:r w:rsidRPr="002048C6">
        <w:rPr>
          <w:rFonts w:ascii="Times New Roman" w:hAnsi="Times New Roman" w:cs="Times New Roman"/>
          <w:noProof/>
          <w:sz w:val="24"/>
          <w:szCs w:val="24"/>
          <w:lang w:val="en-IE" w:eastAsia="de-DE"/>
        </w:rPr>
        <w:t xml:space="preserve"> showed improvement over the evaluation period. </w:t>
      </w:r>
    </w:p>
    <w:p w14:paraId="42035B1E" w14:textId="77777777" w:rsidR="009B44DC" w:rsidRPr="00CE42D9" w:rsidRDefault="009B44DC" w:rsidP="00F74774">
      <w:pPr>
        <w:jc w:val="both"/>
        <w:rPr>
          <w:rFonts w:ascii="Times New Roman" w:hAnsi="Times New Roman" w:cs="Times New Roman"/>
          <w:noProof/>
          <w:sz w:val="24"/>
          <w:szCs w:val="24"/>
          <w:lang w:val="en-IE"/>
        </w:rPr>
      </w:pPr>
      <w:r w:rsidRPr="00CE42D9">
        <w:rPr>
          <w:rFonts w:ascii="Times New Roman" w:hAnsi="Times New Roman" w:cs="Times New Roman"/>
          <w:noProof/>
          <w:sz w:val="24"/>
          <w:szCs w:val="24"/>
          <w:lang w:val="en-IE"/>
        </w:rPr>
        <w:t xml:space="preserve">The distribution of resources and, accordingly, competences and responsibilities, is allowed between IT </w:t>
      </w:r>
      <w:r w:rsidRPr="00004DA6">
        <w:rPr>
          <w:rFonts w:ascii="Times New Roman" w:hAnsi="Times New Roman" w:cs="Times New Roman"/>
          <w:noProof/>
          <w:sz w:val="24"/>
          <w:szCs w:val="24"/>
          <w:lang w:val="en-GB" w:eastAsia="de-DE"/>
        </w:rPr>
        <w:t>systems</w:t>
      </w:r>
      <w:r w:rsidRPr="00CE42D9">
        <w:rPr>
          <w:rFonts w:ascii="Times New Roman" w:hAnsi="Times New Roman" w:cs="Times New Roman"/>
          <w:noProof/>
          <w:sz w:val="24"/>
          <w:szCs w:val="24"/>
          <w:lang w:val="en-IE"/>
        </w:rPr>
        <w:t xml:space="preserve"> in relation to staff, as well as infrastructure and operating expenditures (administrative costs). However, the operational expenditures – by far the Agency’s largest budget item – are allocated according to systems.</w:t>
      </w:r>
      <w:r w:rsidRPr="00CE42D9">
        <w:rPr>
          <w:rStyle w:val="FootnoteReference"/>
          <w:rFonts w:ascii="Times New Roman" w:hAnsi="Times New Roman" w:cs="Times New Roman"/>
          <w:noProof/>
          <w:szCs w:val="24"/>
          <w:lang w:val="en-IE"/>
        </w:rPr>
        <w:footnoteReference w:id="60"/>
      </w:r>
      <w:r w:rsidRPr="00CE42D9">
        <w:rPr>
          <w:rFonts w:ascii="Times New Roman" w:hAnsi="Times New Roman" w:cs="Times New Roman"/>
          <w:noProof/>
          <w:sz w:val="24"/>
          <w:szCs w:val="24"/>
          <w:lang w:val="en-IE"/>
        </w:rPr>
        <w:t xml:space="preserve"> This is considered to be a deterrent factor for the distribution of resources across systems and, thus, a challenge to practically respond to </w:t>
      </w:r>
      <w:r w:rsidRPr="00CE42D9">
        <w:rPr>
          <w:rFonts w:ascii="Times New Roman" w:hAnsi="Times New Roman" w:cs="Times New Roman"/>
          <w:i/>
          <w:iCs/>
          <w:noProof/>
          <w:sz w:val="24"/>
          <w:szCs w:val="24"/>
          <w:lang w:val="en-IE"/>
        </w:rPr>
        <w:t>ad hoc</w:t>
      </w:r>
      <w:r w:rsidRPr="00CE42D9">
        <w:rPr>
          <w:rFonts w:ascii="Times New Roman" w:hAnsi="Times New Roman" w:cs="Times New Roman"/>
          <w:noProof/>
          <w:sz w:val="24"/>
          <w:szCs w:val="24"/>
          <w:lang w:val="en-IE"/>
        </w:rPr>
        <w:t xml:space="preserve"> issues and urgent needs. </w:t>
      </w:r>
      <w:r w:rsidRPr="00CE42D9">
        <w:rPr>
          <w:rFonts w:ascii="Times New Roman" w:hAnsi="Times New Roman" w:cs="Times New Roman"/>
          <w:noProof/>
          <w:sz w:val="24"/>
          <w:szCs w:val="24"/>
          <w:lang w:val="en-IE" w:eastAsia="de-DE"/>
        </w:rPr>
        <w:t>Particularly</w:t>
      </w:r>
      <w:r w:rsidRPr="00CE42D9">
        <w:rPr>
          <w:rFonts w:ascii="Times New Roman" w:hAnsi="Times New Roman" w:cs="Times New Roman"/>
          <w:noProof/>
          <w:sz w:val="24"/>
          <w:szCs w:val="24"/>
          <w:lang w:val="en-IE"/>
        </w:rPr>
        <w:t xml:space="preserve"> noteworthy within this context is the role of e-CODEX and the obligation to respect the principle of the independence of the judiciairy.</w:t>
      </w:r>
      <w:r w:rsidRPr="00CE42D9">
        <w:rPr>
          <w:rStyle w:val="FootnoteReference"/>
          <w:rFonts w:ascii="Times New Roman" w:hAnsi="Times New Roman" w:cs="Times New Roman"/>
          <w:noProof/>
          <w:szCs w:val="24"/>
        </w:rPr>
        <w:footnoteReference w:id="61"/>
      </w:r>
      <w:r w:rsidRPr="00CE42D9">
        <w:rPr>
          <w:rFonts w:ascii="Times New Roman" w:hAnsi="Times New Roman" w:cs="Times New Roman"/>
          <w:noProof/>
          <w:sz w:val="24"/>
          <w:szCs w:val="24"/>
          <w:lang w:val="en-IE"/>
        </w:rPr>
        <w:t xml:space="preserve"> Such a full separation of resources can lead to silo-based operational approaches, and eventually cause inefficiencies as concerns knowledge transfers within the Agency. </w:t>
      </w:r>
    </w:p>
    <w:p w14:paraId="15CB5B3A" w14:textId="77777777" w:rsidR="009B44DC" w:rsidRPr="00CE42D9" w:rsidRDefault="009B44DC" w:rsidP="00F74774">
      <w:pPr>
        <w:jc w:val="both"/>
        <w:rPr>
          <w:rFonts w:ascii="Times New Roman" w:hAnsi="Times New Roman" w:cs="Times New Roman"/>
          <w:noProof/>
          <w:sz w:val="24"/>
          <w:szCs w:val="24"/>
          <w:lang w:val="en-IE"/>
        </w:rPr>
      </w:pPr>
      <w:r w:rsidRPr="00CE42D9">
        <w:rPr>
          <w:rFonts w:ascii="Times New Roman" w:hAnsi="Times New Roman" w:cs="Times New Roman"/>
          <w:noProof/>
          <w:sz w:val="24"/>
          <w:szCs w:val="24"/>
          <w:lang w:val="en-IE"/>
        </w:rPr>
        <w:t>The</w:t>
      </w:r>
      <w:r>
        <w:rPr>
          <w:rFonts w:ascii="Times New Roman" w:hAnsi="Times New Roman" w:cs="Times New Roman"/>
          <w:noProof/>
          <w:sz w:val="24"/>
          <w:szCs w:val="24"/>
          <w:lang w:val="en-IE"/>
        </w:rPr>
        <w:t xml:space="preserve"> evaluation found that the increasing number of t</w:t>
      </w:r>
      <w:r w:rsidRPr="00CE42D9">
        <w:rPr>
          <w:rFonts w:ascii="Times New Roman" w:hAnsi="Times New Roman" w:cs="Times New Roman"/>
          <w:noProof/>
          <w:sz w:val="24"/>
          <w:szCs w:val="24"/>
          <w:lang w:val="en-IE"/>
        </w:rPr>
        <w:t xml:space="preserve">asks of the Agency posed particular challenges concerning the planning. While initially eu-LISA was an Agency set up to manage three systems, it has </w:t>
      </w:r>
      <w:r w:rsidRPr="00004DA6">
        <w:rPr>
          <w:rFonts w:ascii="Times New Roman" w:hAnsi="Times New Roman" w:cs="Times New Roman"/>
          <w:noProof/>
          <w:sz w:val="24"/>
          <w:szCs w:val="24"/>
          <w:lang w:val="en-GB" w:eastAsia="de-DE"/>
        </w:rPr>
        <w:t>become</w:t>
      </w:r>
      <w:r w:rsidRPr="00CE42D9">
        <w:rPr>
          <w:rFonts w:ascii="Times New Roman" w:hAnsi="Times New Roman" w:cs="Times New Roman"/>
          <w:noProof/>
          <w:sz w:val="24"/>
          <w:szCs w:val="24"/>
          <w:lang w:val="en-IE"/>
        </w:rPr>
        <w:t xml:space="preserve"> an Agency to manage and update three systems and, in parallel, develop additional new ones from scratch. </w:t>
      </w:r>
      <w:r>
        <w:rPr>
          <w:rFonts w:ascii="Times New Roman" w:hAnsi="Times New Roman" w:cs="Times New Roman"/>
          <w:noProof/>
          <w:sz w:val="24"/>
          <w:szCs w:val="24"/>
          <w:lang w:val="en-IE"/>
        </w:rPr>
        <w:t>While the</w:t>
      </w:r>
      <w:r w:rsidRPr="00CE42D9">
        <w:rPr>
          <w:rFonts w:ascii="Times New Roman" w:hAnsi="Times New Roman" w:cs="Times New Roman"/>
          <w:noProof/>
          <w:sz w:val="24"/>
          <w:szCs w:val="24"/>
          <w:lang w:val="en-IE"/>
        </w:rPr>
        <w:t xml:space="preserve"> appropriate planning capabilities were </w:t>
      </w:r>
      <w:r>
        <w:rPr>
          <w:rFonts w:ascii="Times New Roman" w:hAnsi="Times New Roman" w:cs="Times New Roman"/>
          <w:noProof/>
          <w:sz w:val="24"/>
          <w:szCs w:val="24"/>
          <w:lang w:val="en-IE"/>
        </w:rPr>
        <w:t xml:space="preserve">eventually </w:t>
      </w:r>
      <w:r w:rsidRPr="00CE42D9">
        <w:rPr>
          <w:rFonts w:ascii="Times New Roman" w:hAnsi="Times New Roman" w:cs="Times New Roman"/>
          <w:noProof/>
          <w:sz w:val="24"/>
          <w:szCs w:val="24"/>
          <w:lang w:val="en-IE"/>
        </w:rPr>
        <w:t xml:space="preserve">established, </w:t>
      </w:r>
      <w:r>
        <w:rPr>
          <w:rFonts w:ascii="Times New Roman" w:hAnsi="Times New Roman" w:cs="Times New Roman"/>
          <w:noProof/>
          <w:sz w:val="24"/>
          <w:szCs w:val="24"/>
          <w:lang w:val="en-IE"/>
        </w:rPr>
        <w:t>this</w:t>
      </w:r>
      <w:r w:rsidRPr="00CE42D9">
        <w:rPr>
          <w:rFonts w:ascii="Times New Roman" w:hAnsi="Times New Roman" w:cs="Times New Roman"/>
          <w:noProof/>
          <w:sz w:val="24"/>
          <w:szCs w:val="24"/>
          <w:lang w:val="en-IE"/>
        </w:rPr>
        <w:t xml:space="preserve"> led to gaps between the actual and planned progress over time.</w:t>
      </w:r>
    </w:p>
    <w:p w14:paraId="2CC3FFE3" w14:textId="0B1801DB" w:rsidR="007A3D81" w:rsidRDefault="009B44DC" w:rsidP="00521131">
      <w:pPr>
        <w:jc w:val="both"/>
        <w:rPr>
          <w:rFonts w:ascii="Times New Roman" w:hAnsi="Times New Roman" w:cs="Times New Roman"/>
          <w:noProof/>
          <w:sz w:val="24"/>
          <w:szCs w:val="24"/>
          <w:lang w:val="en-IE"/>
        </w:rPr>
      </w:pPr>
      <w:r w:rsidRPr="00CE42D9">
        <w:rPr>
          <w:rFonts w:ascii="Times New Roman" w:hAnsi="Times New Roman" w:cs="Times New Roman"/>
          <w:noProof/>
          <w:sz w:val="24"/>
          <w:szCs w:val="24"/>
          <w:lang w:val="en-IE"/>
        </w:rPr>
        <w:t xml:space="preserve">The </w:t>
      </w:r>
      <w:r w:rsidR="004D0754">
        <w:rPr>
          <w:rFonts w:ascii="Times New Roman" w:hAnsi="Times New Roman" w:cs="Times New Roman"/>
          <w:noProof/>
          <w:sz w:val="24"/>
          <w:szCs w:val="24"/>
          <w:lang w:val="en-IE"/>
        </w:rPr>
        <w:t>evaluation</w:t>
      </w:r>
      <w:r w:rsidR="004D0754" w:rsidRPr="00CE42D9">
        <w:rPr>
          <w:rFonts w:ascii="Times New Roman" w:hAnsi="Times New Roman" w:cs="Times New Roman"/>
          <w:noProof/>
          <w:sz w:val="24"/>
          <w:szCs w:val="24"/>
          <w:lang w:val="en-IE"/>
        </w:rPr>
        <w:t xml:space="preserve"> </w:t>
      </w:r>
      <w:r w:rsidRPr="00CE42D9">
        <w:rPr>
          <w:rFonts w:ascii="Times New Roman" w:hAnsi="Times New Roman" w:cs="Times New Roman"/>
          <w:noProof/>
          <w:sz w:val="24"/>
          <w:szCs w:val="24"/>
          <w:lang w:val="en-IE"/>
        </w:rPr>
        <w:t xml:space="preserve">pointed to the need for eu-LISA to professionalise its accounting and planning function through the </w:t>
      </w:r>
      <w:r w:rsidRPr="00004DA6">
        <w:rPr>
          <w:rFonts w:ascii="Times New Roman" w:hAnsi="Times New Roman" w:cs="Times New Roman"/>
          <w:noProof/>
          <w:sz w:val="24"/>
          <w:szCs w:val="24"/>
          <w:lang w:val="en-GB" w:eastAsia="de-DE"/>
        </w:rPr>
        <w:t>implementation</w:t>
      </w:r>
      <w:r w:rsidRPr="00CE42D9">
        <w:rPr>
          <w:rFonts w:ascii="Times New Roman" w:hAnsi="Times New Roman" w:cs="Times New Roman"/>
          <w:noProof/>
          <w:sz w:val="24"/>
          <w:szCs w:val="24"/>
          <w:lang w:val="en-IE"/>
        </w:rPr>
        <w:t xml:space="preserve"> of appropriate tools.</w:t>
      </w:r>
      <w:r w:rsidRPr="00CE42D9">
        <w:rPr>
          <w:rStyle w:val="FootnoteReference"/>
          <w:rFonts w:ascii="Times New Roman" w:hAnsi="Times New Roman" w:cs="Times New Roman"/>
          <w:noProof/>
          <w:szCs w:val="24"/>
        </w:rPr>
        <w:footnoteReference w:id="62"/>
      </w:r>
      <w:r w:rsidRPr="00CE42D9">
        <w:rPr>
          <w:rFonts w:ascii="Times New Roman" w:hAnsi="Times New Roman" w:cs="Times New Roman"/>
          <w:noProof/>
          <w:sz w:val="24"/>
          <w:szCs w:val="24"/>
          <w:lang w:val="en-IE"/>
        </w:rPr>
        <w:t xml:space="preserve"> In this regard, multi-annual planning is an area for improvement, both from a strategic perspective and the concrete tooling. Over the previous years, emphasis was given to the annual planning which led in the Agency to ask for too many financial resources, which could, ultimately, not be used entirely. This is reflected in the budgetary absorption rates</w:t>
      </w:r>
      <w:r>
        <w:rPr>
          <w:rFonts w:ascii="Times New Roman" w:hAnsi="Times New Roman" w:cs="Times New Roman"/>
          <w:noProof/>
          <w:sz w:val="24"/>
          <w:szCs w:val="24"/>
          <w:lang w:val="en-IE"/>
        </w:rPr>
        <w:t xml:space="preserve"> (</w:t>
      </w:r>
      <w:r w:rsidRPr="00004DA6">
        <w:rPr>
          <w:rFonts w:ascii="Times New Roman" w:hAnsi="Times New Roman" w:cs="Times New Roman"/>
          <w:noProof/>
          <w:sz w:val="24"/>
          <w:szCs w:val="24"/>
          <w:lang w:val="en-IE"/>
        </w:rPr>
        <w:t xml:space="preserve">see Figure </w:t>
      </w:r>
      <w:r w:rsidR="00404FD9" w:rsidRPr="00004DA6">
        <w:rPr>
          <w:rFonts w:ascii="Times New Roman" w:hAnsi="Times New Roman" w:cs="Times New Roman"/>
          <w:noProof/>
          <w:sz w:val="24"/>
          <w:szCs w:val="24"/>
          <w:lang w:val="en-IE"/>
        </w:rPr>
        <w:t xml:space="preserve">4 </w:t>
      </w:r>
      <w:r w:rsidRPr="00004DA6">
        <w:rPr>
          <w:rFonts w:ascii="Times New Roman" w:hAnsi="Times New Roman" w:cs="Times New Roman"/>
          <w:noProof/>
          <w:sz w:val="24"/>
          <w:szCs w:val="24"/>
          <w:lang w:val="en-IE"/>
        </w:rPr>
        <w:t>below</w:t>
      </w:r>
      <w:r>
        <w:rPr>
          <w:rFonts w:ascii="Times New Roman" w:hAnsi="Times New Roman" w:cs="Times New Roman"/>
          <w:noProof/>
          <w:sz w:val="24"/>
          <w:szCs w:val="24"/>
          <w:lang w:val="en-IE"/>
        </w:rPr>
        <w:t>)</w:t>
      </w:r>
      <w:r w:rsidR="00324267">
        <w:rPr>
          <w:rFonts w:ascii="Times New Roman" w:hAnsi="Times New Roman" w:cs="Times New Roman"/>
          <w:noProof/>
          <w:sz w:val="24"/>
          <w:szCs w:val="24"/>
          <w:lang w:val="en-IE"/>
        </w:rPr>
        <w:t>.</w:t>
      </w:r>
      <w:r>
        <w:rPr>
          <w:rStyle w:val="FootnoteReference"/>
          <w:rFonts w:ascii="Times New Roman" w:hAnsi="Times New Roman"/>
          <w:noProof/>
          <w:sz w:val="24"/>
          <w:lang w:val="en-IE"/>
        </w:rPr>
        <w:footnoteReference w:id="63"/>
      </w:r>
      <w:r w:rsidRPr="00CE42D9">
        <w:rPr>
          <w:rFonts w:ascii="Times New Roman" w:hAnsi="Times New Roman" w:cs="Times New Roman"/>
          <w:noProof/>
          <w:sz w:val="24"/>
          <w:szCs w:val="24"/>
          <w:lang w:val="en-IE"/>
        </w:rPr>
        <w:t xml:space="preserve"> While particularly low absorption rates in the past stemmed from delays in the development of the EES (and sub-sequent delays in the payment of contractors), over the last years, the Agency was able to improve its budgetary absorption. </w:t>
      </w:r>
    </w:p>
    <w:p w14:paraId="45337587" w14:textId="4F11C7C1" w:rsidR="009B44DC" w:rsidRPr="004E2424" w:rsidRDefault="009B44DC" w:rsidP="009B44DC">
      <w:pPr>
        <w:pStyle w:val="Caption"/>
        <w:keepNext/>
        <w:spacing w:after="120"/>
        <w:jc w:val="both"/>
        <w:rPr>
          <w:rFonts w:ascii="Times New Roman" w:hAnsi="Times New Roman" w:cs="Times New Roman"/>
          <w:b w:val="0"/>
          <w:i/>
          <w:iCs/>
          <w:sz w:val="22"/>
        </w:rPr>
      </w:pPr>
      <w:r w:rsidRPr="004E2424">
        <w:rPr>
          <w:rFonts w:ascii="Times New Roman" w:hAnsi="Times New Roman" w:cs="Times New Roman"/>
          <w:i/>
          <w:iCs/>
          <w:sz w:val="22"/>
          <w:szCs w:val="24"/>
        </w:rPr>
        <w:t>Figure</w:t>
      </w:r>
      <w:r w:rsidRPr="004E2424">
        <w:rPr>
          <w:rFonts w:ascii="Times New Roman" w:hAnsi="Times New Roman" w:cs="Times New Roman"/>
          <w:i/>
          <w:iCs/>
          <w:sz w:val="22"/>
        </w:rPr>
        <w:t xml:space="preserve"> </w:t>
      </w:r>
      <w:r w:rsidR="007E684E">
        <w:rPr>
          <w:rFonts w:ascii="Times New Roman" w:hAnsi="Times New Roman" w:cs="Times New Roman"/>
          <w:i/>
          <w:iCs/>
          <w:sz w:val="22"/>
        </w:rPr>
        <w:t>4:</w:t>
      </w:r>
      <w:r w:rsidRPr="004E2424">
        <w:rPr>
          <w:rFonts w:ascii="Times New Roman" w:hAnsi="Times New Roman" w:cs="Times New Roman"/>
          <w:i/>
          <w:iCs/>
          <w:sz w:val="22"/>
        </w:rPr>
        <w:t xml:space="preserve"> Evolution of budgetary absorption of eu-LISA, 2018-</w:t>
      </w:r>
      <w:r w:rsidR="005231CF" w:rsidRPr="004E2424">
        <w:rPr>
          <w:rFonts w:ascii="Times New Roman" w:hAnsi="Times New Roman" w:cs="Times New Roman"/>
          <w:i/>
          <w:iCs/>
          <w:sz w:val="22"/>
        </w:rPr>
        <w:t>202</w:t>
      </w:r>
      <w:r w:rsidR="005231CF">
        <w:rPr>
          <w:rFonts w:ascii="Times New Roman" w:hAnsi="Times New Roman" w:cs="Times New Roman"/>
          <w:i/>
          <w:iCs/>
          <w:sz w:val="22"/>
        </w:rPr>
        <w:t>4</w:t>
      </w:r>
      <w:r w:rsidRPr="004E2424">
        <w:rPr>
          <w:rFonts w:ascii="Times New Roman" w:hAnsi="Times New Roman" w:cs="Times New Roman"/>
          <w:i/>
          <w:iCs/>
          <w:sz w:val="22"/>
        </w:rPr>
        <w:t>, in million EUR</w:t>
      </w:r>
    </w:p>
    <w:p w14:paraId="6230986E" w14:textId="78290CE7" w:rsidR="009B44DC" w:rsidRDefault="009B44DC" w:rsidP="009B44DC">
      <w:pPr>
        <w:pStyle w:val="BodyText"/>
        <w:rPr>
          <w:b/>
          <w:noProof/>
          <w:lang w:eastAsia="nl-BE"/>
        </w:rPr>
      </w:pPr>
    </w:p>
    <w:p w14:paraId="2B66815F" w14:textId="73361E62" w:rsidR="001A42D2" w:rsidRPr="007424D2" w:rsidRDefault="00007E87" w:rsidP="009B44DC">
      <w:pPr>
        <w:pStyle w:val="BodyText"/>
        <w:rPr>
          <w:b/>
          <w:noProof/>
          <w:lang w:eastAsia="nl-BE"/>
        </w:rPr>
      </w:pPr>
      <w:r>
        <w:rPr>
          <w:b/>
          <w:noProof/>
          <w:lang w:eastAsia="en-GB"/>
        </w:rPr>
        <w:drawing>
          <wp:inline distT="0" distB="0" distL="0" distR="0" wp14:anchorId="303E1475" wp14:editId="06852EAD">
            <wp:extent cx="5512601" cy="2943028"/>
            <wp:effectExtent l="0" t="0" r="0" b="0"/>
            <wp:docPr id="11769702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37150" cy="2956134"/>
                    </a:xfrm>
                    <a:prstGeom prst="rect">
                      <a:avLst/>
                    </a:prstGeom>
                    <a:noFill/>
                  </pic:spPr>
                </pic:pic>
              </a:graphicData>
            </a:graphic>
          </wp:inline>
        </w:drawing>
      </w:r>
    </w:p>
    <w:p w14:paraId="7D548C5F" w14:textId="59E0F94B" w:rsidR="009B44DC" w:rsidRPr="007424D2" w:rsidRDefault="009B44DC" w:rsidP="009B44DC">
      <w:pPr>
        <w:pStyle w:val="Source"/>
        <w:spacing w:after="120"/>
        <w:jc w:val="both"/>
        <w:rPr>
          <w:rFonts w:ascii="Times New Roman" w:hAnsi="Times New Roman"/>
          <w:b/>
          <w:noProof/>
          <w:color w:val="auto"/>
          <w:sz w:val="20"/>
          <w:szCs w:val="20"/>
          <w:lang w:val="fr-FR"/>
        </w:rPr>
      </w:pPr>
      <w:r w:rsidRPr="007424D2">
        <w:rPr>
          <w:rFonts w:ascii="Times New Roman" w:hAnsi="Times New Roman"/>
          <w:noProof/>
          <w:color w:val="auto"/>
          <w:sz w:val="20"/>
          <w:szCs w:val="20"/>
          <w:lang w:val="fr-FR"/>
        </w:rPr>
        <w:t>Source: eu-LISA, Annual Accounts, 2018-</w:t>
      </w:r>
      <w:r w:rsidR="00CA50F9" w:rsidRPr="007424D2">
        <w:rPr>
          <w:rFonts w:ascii="Times New Roman" w:hAnsi="Times New Roman"/>
          <w:noProof/>
          <w:color w:val="auto"/>
          <w:sz w:val="20"/>
          <w:szCs w:val="20"/>
          <w:lang w:val="fr-FR"/>
        </w:rPr>
        <w:t>202</w:t>
      </w:r>
      <w:r w:rsidR="00CA50F9">
        <w:rPr>
          <w:rFonts w:ascii="Times New Roman" w:hAnsi="Times New Roman"/>
          <w:noProof/>
          <w:color w:val="auto"/>
          <w:sz w:val="20"/>
          <w:szCs w:val="20"/>
          <w:lang w:val="fr-FR"/>
        </w:rPr>
        <w:t>4</w:t>
      </w:r>
      <w:r w:rsidRPr="007424D2">
        <w:rPr>
          <w:rFonts w:ascii="Times New Roman" w:hAnsi="Times New Roman"/>
          <w:noProof/>
          <w:color w:val="auto"/>
          <w:sz w:val="20"/>
          <w:szCs w:val="20"/>
          <w:lang w:val="fr-FR"/>
        </w:rPr>
        <w:t>.</w:t>
      </w:r>
    </w:p>
    <w:p w14:paraId="2F9A259A" w14:textId="649B10FE" w:rsidR="009B44DC" w:rsidRPr="00721699" w:rsidRDefault="732990A3" w:rsidP="004E2424">
      <w:pPr>
        <w:pStyle w:val="BodyText"/>
        <w:spacing w:before="240" w:after="240"/>
        <w:rPr>
          <w:rFonts w:ascii="Times New Roman" w:hAnsi="Times New Roman" w:cs="Times New Roman"/>
          <w:b/>
          <w:bCs/>
          <w:noProof/>
          <w:sz w:val="24"/>
          <w:szCs w:val="24"/>
        </w:rPr>
      </w:pPr>
      <w:r w:rsidRPr="1F7CBA1A">
        <w:rPr>
          <w:rFonts w:ascii="Times New Roman" w:hAnsi="Times New Roman" w:cs="Times New Roman"/>
          <w:b/>
          <w:bCs/>
          <w:i/>
          <w:iCs/>
          <w:noProof/>
          <w:sz w:val="24"/>
          <w:szCs w:val="24"/>
        </w:rPr>
        <w:t>Are the resources (human, financial and technical) used for the operational management and maintenance of existing systems adequate in comparison with the results achieved? Could the efficiency gains be obtained with a different approach to outsourcing or with different technology choices?</w:t>
      </w:r>
    </w:p>
    <w:p w14:paraId="47A15FFC" w14:textId="76B424FF" w:rsidR="009B44DC" w:rsidRPr="004C2B1F" w:rsidRDefault="009B44DC" w:rsidP="007A3D81">
      <w:pPr>
        <w:jc w:val="both"/>
        <w:rPr>
          <w:rFonts w:ascii="Times New Roman" w:hAnsi="Times New Roman" w:cs="Times New Roman"/>
          <w:noProof/>
          <w:sz w:val="24"/>
          <w:szCs w:val="24"/>
          <w:lang w:val="en-IE" w:eastAsia="de-DE"/>
        </w:rPr>
      </w:pPr>
      <w:r w:rsidRPr="004C2B1F">
        <w:rPr>
          <w:rFonts w:ascii="Times New Roman" w:hAnsi="Times New Roman" w:cs="Times New Roman"/>
          <w:noProof/>
          <w:sz w:val="24"/>
          <w:szCs w:val="24"/>
          <w:lang w:val="en-IE" w:eastAsia="de-DE"/>
        </w:rPr>
        <w:t xml:space="preserve">The evaluation found that the operational management and maintenance of IT systems </w:t>
      </w:r>
      <w:r w:rsidR="007A6C43" w:rsidRPr="007A3D81">
        <w:rPr>
          <w:rFonts w:ascii="Times New Roman" w:hAnsi="Times New Roman" w:cs="Times New Roman"/>
          <w:noProof/>
          <w:sz w:val="24"/>
          <w:szCs w:val="24"/>
          <w:lang w:val="en-GB" w:eastAsia="de-DE"/>
        </w:rPr>
        <w:t>remains</w:t>
      </w:r>
      <w:r w:rsidR="007A6C43" w:rsidRPr="004C2B1F">
        <w:rPr>
          <w:rFonts w:ascii="Times New Roman" w:hAnsi="Times New Roman" w:cs="Times New Roman"/>
          <w:noProof/>
          <w:sz w:val="24"/>
          <w:szCs w:val="24"/>
          <w:lang w:val="en-IE" w:eastAsia="de-DE"/>
        </w:rPr>
        <w:t xml:space="preserve"> one of </w:t>
      </w:r>
      <w:r w:rsidRPr="004C2B1F">
        <w:rPr>
          <w:rFonts w:ascii="Times New Roman" w:hAnsi="Times New Roman" w:cs="Times New Roman"/>
          <w:noProof/>
          <w:sz w:val="24"/>
          <w:szCs w:val="24"/>
          <w:lang w:val="en-IE" w:eastAsia="de-DE"/>
        </w:rPr>
        <w:t xml:space="preserve">the Agency’s strong </w:t>
      </w:r>
      <w:r w:rsidR="007A6C43" w:rsidRPr="004C2B1F">
        <w:rPr>
          <w:rFonts w:ascii="Times New Roman" w:hAnsi="Times New Roman" w:cs="Times New Roman"/>
          <w:noProof/>
          <w:sz w:val="24"/>
          <w:szCs w:val="24"/>
          <w:lang w:val="en-IE" w:eastAsia="de-DE"/>
        </w:rPr>
        <w:t>areas</w:t>
      </w:r>
      <w:r w:rsidRPr="004C2B1F">
        <w:rPr>
          <w:rFonts w:ascii="Times New Roman" w:hAnsi="Times New Roman" w:cs="Times New Roman"/>
          <w:noProof/>
          <w:sz w:val="24"/>
          <w:szCs w:val="24"/>
          <w:lang w:val="en-IE" w:eastAsia="de-DE"/>
        </w:rPr>
        <w:t>. eu-LISA implemented the</w:t>
      </w:r>
      <w:r w:rsidR="007A6C43" w:rsidRPr="004C2B1F">
        <w:rPr>
          <w:rFonts w:ascii="Times New Roman" w:hAnsi="Times New Roman" w:cs="Times New Roman"/>
          <w:noProof/>
          <w:sz w:val="24"/>
          <w:szCs w:val="24"/>
          <w:lang w:val="en-IE" w:eastAsia="de-DE"/>
        </w:rPr>
        <w:t xml:space="preserve">se tasks through a combination of internal capacity and outsourced support (human and financial). </w:t>
      </w:r>
      <w:r w:rsidRPr="004C2B1F">
        <w:rPr>
          <w:rFonts w:ascii="Times New Roman" w:hAnsi="Times New Roman" w:cs="Times New Roman"/>
          <w:noProof/>
          <w:sz w:val="24"/>
          <w:szCs w:val="24"/>
          <w:lang w:val="en-IE" w:eastAsia="de-DE"/>
        </w:rPr>
        <w:t>Whereas the 24/7 management of incidents was done by internal staff, the operational support of users is outsourced to external service providers. This was, in principle, considered adequate by the evaluation: while challenging and security-critical tasks were implemented by staff, the more routine tasks have been outsourced.</w:t>
      </w:r>
    </w:p>
    <w:p w14:paraId="71F459FD" w14:textId="77777777" w:rsidR="00940C02" w:rsidRDefault="009B44DC" w:rsidP="008E361E">
      <w:pPr>
        <w:jc w:val="both"/>
        <w:rPr>
          <w:rFonts w:ascii="Times New Roman" w:hAnsi="Times New Roman" w:cs="Times New Roman"/>
          <w:noProof/>
          <w:sz w:val="24"/>
          <w:szCs w:val="24"/>
          <w:lang w:val="en-IE" w:eastAsia="de-DE"/>
        </w:rPr>
      </w:pPr>
      <w:r w:rsidRPr="004C2B1F">
        <w:rPr>
          <w:rFonts w:ascii="Times New Roman" w:hAnsi="Times New Roman" w:cs="Times New Roman"/>
          <w:noProof/>
          <w:sz w:val="24"/>
          <w:szCs w:val="24"/>
          <w:lang w:val="en-IE" w:eastAsia="de-DE"/>
        </w:rPr>
        <w:t xml:space="preserve">As there only very few incidents occurred during the evaluation period, with existing </w:t>
      </w:r>
      <w:r w:rsidRPr="008E361E">
        <w:rPr>
          <w:rFonts w:ascii="Times New Roman" w:hAnsi="Times New Roman" w:cs="Times New Roman"/>
          <w:noProof/>
          <w:sz w:val="24"/>
          <w:szCs w:val="24"/>
          <w:lang w:val="en-GB" w:eastAsia="de-DE"/>
        </w:rPr>
        <w:t>systems</w:t>
      </w:r>
      <w:r w:rsidRPr="00004DA6">
        <w:rPr>
          <w:rFonts w:ascii="Times New Roman" w:hAnsi="Times New Roman" w:cs="Times New Roman"/>
          <w:noProof/>
          <w:sz w:val="24"/>
          <w:szCs w:val="24"/>
          <w:lang w:val="en-IE" w:eastAsia="de-DE"/>
        </w:rPr>
        <w:t xml:space="preserve"> running smoothly, the evaluation assessed whether or not staffing the 24/7 operational management of the systems with internal resources was the most efficient. </w:t>
      </w:r>
      <w:r w:rsidR="007C3BFC" w:rsidRPr="00004DA6">
        <w:rPr>
          <w:rFonts w:ascii="Times New Roman" w:hAnsi="Times New Roman" w:cs="Times New Roman"/>
          <w:noProof/>
          <w:sz w:val="24"/>
          <w:szCs w:val="24"/>
          <w:lang w:val="en-IE" w:eastAsia="de-DE"/>
        </w:rPr>
        <w:t xml:space="preserve">While such activities are undoubtedly security-critical, they can also become routine, raising the issue of whether internal resources are always the best fit for these functions, particularly in light of challenges in recruiting for round-the-clock services and shortages of staff in system development. In this respect, </w:t>
      </w:r>
      <w:r w:rsidR="007C3BFC">
        <w:rPr>
          <w:rFonts w:ascii="Times New Roman" w:hAnsi="Times New Roman" w:cs="Times New Roman"/>
          <w:noProof/>
          <w:sz w:val="24"/>
          <w:szCs w:val="24"/>
          <w:lang w:val="en-IE" w:eastAsia="de-DE"/>
        </w:rPr>
        <w:t xml:space="preserve">it is key that the Agency carries out </w:t>
      </w:r>
      <w:r w:rsidR="007C3BFC" w:rsidRPr="00004DA6">
        <w:rPr>
          <w:rFonts w:ascii="Times New Roman" w:hAnsi="Times New Roman" w:cs="Times New Roman"/>
          <w:noProof/>
          <w:sz w:val="24"/>
          <w:szCs w:val="24"/>
          <w:lang w:val="en-IE" w:eastAsia="de-DE"/>
        </w:rPr>
        <w:t>a clearer assessment of which tasks should be maintained intramuros and which</w:t>
      </w:r>
      <w:r w:rsidR="007C3BFC">
        <w:rPr>
          <w:rFonts w:ascii="Times New Roman" w:hAnsi="Times New Roman" w:cs="Times New Roman"/>
          <w:noProof/>
          <w:sz w:val="24"/>
          <w:szCs w:val="24"/>
          <w:lang w:val="en-IE" w:eastAsia="de-DE"/>
        </w:rPr>
        <w:t xml:space="preserve"> ones</w:t>
      </w:r>
      <w:r w:rsidR="007C3BFC" w:rsidRPr="00004DA6">
        <w:rPr>
          <w:rFonts w:ascii="Times New Roman" w:hAnsi="Times New Roman" w:cs="Times New Roman"/>
          <w:noProof/>
          <w:sz w:val="24"/>
          <w:szCs w:val="24"/>
          <w:lang w:val="en-IE" w:eastAsia="de-DE"/>
        </w:rPr>
        <w:t xml:space="preserve"> can be more effectively externalised, so as to maximise the use of available resources.</w:t>
      </w:r>
    </w:p>
    <w:p w14:paraId="23DD0681" w14:textId="5EB5D6A2" w:rsidR="00AF3435" w:rsidRDefault="00AF3435" w:rsidP="008E361E">
      <w:pPr>
        <w:jc w:val="both"/>
        <w:rPr>
          <w:rFonts w:ascii="Times New Roman" w:hAnsi="Times New Roman" w:cs="Times New Roman"/>
          <w:noProof/>
          <w:sz w:val="24"/>
          <w:szCs w:val="24"/>
          <w:lang w:val="en-IE" w:eastAsia="de-DE"/>
        </w:rPr>
      </w:pPr>
      <w:r>
        <w:rPr>
          <w:rFonts w:ascii="Times New Roman" w:hAnsi="Times New Roman" w:cs="Times New Roman"/>
          <w:noProof/>
          <w:sz w:val="24"/>
          <w:szCs w:val="24"/>
          <w:lang w:val="en-IE" w:eastAsia="de-DE"/>
        </w:rPr>
        <w:t xml:space="preserve">The </w:t>
      </w:r>
      <w:r w:rsidR="00C54254">
        <w:rPr>
          <w:rFonts w:ascii="Times New Roman" w:hAnsi="Times New Roman" w:cs="Times New Roman"/>
          <w:noProof/>
          <w:sz w:val="24"/>
          <w:szCs w:val="24"/>
          <w:lang w:val="en-IE" w:eastAsia="de-DE"/>
        </w:rPr>
        <w:t xml:space="preserve">Final audit report on staff recruitment, management, and engagement of structural service providers and organisational ethics in eu-LISA, prepared by the European Commission Internal </w:t>
      </w:r>
      <w:r w:rsidR="00C54254" w:rsidRPr="008E361E">
        <w:rPr>
          <w:rFonts w:ascii="Times New Roman" w:hAnsi="Times New Roman" w:cs="Times New Roman"/>
          <w:noProof/>
          <w:sz w:val="24"/>
          <w:szCs w:val="24"/>
          <w:lang w:val="en-GB" w:eastAsia="de-DE"/>
        </w:rPr>
        <w:t>Audit</w:t>
      </w:r>
      <w:r w:rsidR="00C54254">
        <w:rPr>
          <w:rFonts w:ascii="Times New Roman" w:hAnsi="Times New Roman" w:cs="Times New Roman"/>
          <w:noProof/>
          <w:sz w:val="24"/>
          <w:szCs w:val="24"/>
          <w:lang w:val="en-IE" w:eastAsia="de-DE"/>
        </w:rPr>
        <w:t xml:space="preserve"> Service in 2020 expressed similar concerns</w:t>
      </w:r>
      <w:r w:rsidR="009474EC" w:rsidRPr="00DE354F">
        <w:rPr>
          <w:rFonts w:ascii="Times New Roman" w:hAnsi="Times New Roman" w:cs="Times New Roman"/>
          <w:noProof/>
          <w:sz w:val="24"/>
          <w:szCs w:val="24"/>
          <w:lang w:val="en-IE" w:eastAsia="de-DE"/>
        </w:rPr>
        <w:t xml:space="preserve">, noting that </w:t>
      </w:r>
      <w:r w:rsidR="00DE354F" w:rsidRPr="00DE354F">
        <w:rPr>
          <w:rFonts w:ascii="Times New Roman" w:hAnsi="Times New Roman" w:cs="Times New Roman"/>
          <w:noProof/>
          <w:sz w:val="24"/>
          <w:szCs w:val="24"/>
          <w:lang w:val="en-IE" w:eastAsia="de-DE"/>
        </w:rPr>
        <w:t>‘</w:t>
      </w:r>
      <w:r w:rsidR="00DE354F" w:rsidRPr="00004DA6">
        <w:rPr>
          <w:rFonts w:ascii="Times New Roman" w:hAnsi="Times New Roman" w:cs="Times New Roman"/>
          <w:i/>
          <w:iCs/>
          <w:noProof/>
          <w:sz w:val="24"/>
          <w:szCs w:val="24"/>
          <w:lang w:val="en-IE" w:eastAsia="de-DE"/>
        </w:rPr>
        <w:t xml:space="preserve">the Agency needs to improve the methodology on which management and stakeholders reach decisions on the use of its staff versus the use of structural service providers in the production of its deliverables. The documentation of the justification of the current mix (staff versus structural service providers) is still weak. Compared to other agencies, EU-LISA has a relatively high proportion of structural service </w:t>
      </w:r>
      <w:r w:rsidR="00DE354F" w:rsidRPr="00391558">
        <w:rPr>
          <w:rFonts w:ascii="Times New Roman" w:hAnsi="Times New Roman" w:cs="Times New Roman"/>
          <w:i/>
          <w:noProof/>
          <w:sz w:val="24"/>
          <w:szCs w:val="24"/>
          <w:lang w:val="en-IE" w:eastAsia="de-DE"/>
        </w:rPr>
        <w:t>providers</w:t>
      </w:r>
      <w:r w:rsidR="00391558" w:rsidRPr="00391558">
        <w:rPr>
          <w:rFonts w:ascii="Times New Roman" w:hAnsi="Times New Roman" w:cs="Times New Roman"/>
          <w:i/>
          <w:iCs/>
          <w:noProof/>
          <w:sz w:val="24"/>
          <w:szCs w:val="24"/>
          <w:lang w:val="en-IE" w:eastAsia="de-DE"/>
        </w:rPr>
        <w:t>,</w:t>
      </w:r>
      <w:r w:rsidR="00DE354F" w:rsidRPr="00004DA6">
        <w:rPr>
          <w:rFonts w:ascii="Times New Roman" w:hAnsi="Times New Roman" w:cs="Times New Roman"/>
          <w:i/>
          <w:iCs/>
          <w:noProof/>
          <w:sz w:val="24"/>
          <w:szCs w:val="24"/>
          <w:lang w:val="en-IE" w:eastAsia="de-DE"/>
        </w:rPr>
        <w:t xml:space="preserve"> and they are not only used for temporary or ad-hoc duties but also for core operational and/or administrative tasks</w:t>
      </w:r>
      <w:r w:rsidR="00DE354F" w:rsidRPr="00004DA6">
        <w:rPr>
          <w:rFonts w:ascii="Times New Roman" w:hAnsi="Times New Roman" w:cs="Times New Roman"/>
          <w:noProof/>
          <w:sz w:val="24"/>
          <w:szCs w:val="24"/>
          <w:lang w:val="en-IE" w:eastAsia="de-DE"/>
        </w:rPr>
        <w:t>’.</w:t>
      </w:r>
      <w:r w:rsidR="00DE354F">
        <w:rPr>
          <w:rStyle w:val="FootnoteReference"/>
          <w:rFonts w:ascii="Times New Roman" w:hAnsi="Times New Roman" w:cs="Times New Roman"/>
          <w:noProof/>
          <w:szCs w:val="24"/>
          <w:lang w:val="en-IE" w:eastAsia="de-DE"/>
        </w:rPr>
        <w:footnoteReference w:id="64"/>
      </w:r>
      <w:r w:rsidR="00DD05A2">
        <w:rPr>
          <w:rFonts w:ascii="Times New Roman" w:hAnsi="Times New Roman" w:cs="Times New Roman"/>
          <w:noProof/>
          <w:sz w:val="24"/>
          <w:szCs w:val="24"/>
          <w:lang w:val="en-IE" w:eastAsia="de-DE"/>
        </w:rPr>
        <w:t xml:space="preserve"> This remarks were also echoed in 2024 in the Final audit report on procurement and contract management in the European Union </w:t>
      </w:r>
      <w:r w:rsidR="00DD05A2" w:rsidRPr="008E361E">
        <w:rPr>
          <w:rFonts w:ascii="Times New Roman" w:hAnsi="Times New Roman" w:cs="Times New Roman"/>
          <w:noProof/>
          <w:sz w:val="24"/>
          <w:szCs w:val="24"/>
          <w:lang w:val="en-GB" w:eastAsia="de-DE"/>
        </w:rPr>
        <w:t>Agency</w:t>
      </w:r>
      <w:r w:rsidR="00DD05A2">
        <w:rPr>
          <w:rFonts w:ascii="Times New Roman" w:hAnsi="Times New Roman" w:cs="Times New Roman"/>
          <w:noProof/>
          <w:sz w:val="24"/>
          <w:szCs w:val="24"/>
          <w:lang w:val="en-IE" w:eastAsia="de-DE"/>
        </w:rPr>
        <w:t xml:space="preserve"> for the Operational Management of Large-Scale IT Systems in the Area of Freedom, Security and Justice (eu-LISA), </w:t>
      </w:r>
      <w:r w:rsidR="00391558">
        <w:rPr>
          <w:rFonts w:ascii="Times New Roman" w:hAnsi="Times New Roman" w:cs="Times New Roman"/>
          <w:noProof/>
          <w:sz w:val="24"/>
          <w:szCs w:val="24"/>
          <w:lang w:val="en-IE" w:eastAsia="de-DE"/>
        </w:rPr>
        <w:t>noting that, in relation to eu-LISA 2023 Consolidated Annual Activity Report, ‘</w:t>
      </w:r>
      <w:r w:rsidR="00391558" w:rsidRPr="00004DA6">
        <w:rPr>
          <w:rFonts w:ascii="Times New Roman" w:hAnsi="Times New Roman" w:cs="Times New Roman"/>
          <w:i/>
          <w:iCs/>
          <w:noProof/>
          <w:sz w:val="24"/>
          <w:szCs w:val="24"/>
          <w:lang w:val="en-IE" w:eastAsia="de-DE"/>
        </w:rPr>
        <w:t>weakness still exist in the sourcing of human resources, controls over procurement and contract management activities in the context of operational programmes and projects</w:t>
      </w:r>
      <w:r w:rsidR="00391558">
        <w:rPr>
          <w:rFonts w:ascii="Times New Roman" w:hAnsi="Times New Roman" w:cs="Times New Roman"/>
          <w:noProof/>
          <w:sz w:val="24"/>
          <w:szCs w:val="24"/>
          <w:lang w:val="en-IE" w:eastAsia="de-DE"/>
        </w:rPr>
        <w:t>’.</w:t>
      </w:r>
      <w:r w:rsidR="009F20F7">
        <w:rPr>
          <w:rStyle w:val="FootnoteReference"/>
          <w:rFonts w:ascii="Times New Roman" w:hAnsi="Times New Roman" w:cs="Times New Roman"/>
          <w:noProof/>
          <w:szCs w:val="24"/>
          <w:lang w:val="en-IE" w:eastAsia="de-DE"/>
        </w:rPr>
        <w:footnoteReference w:id="65"/>
      </w:r>
      <w:r w:rsidR="00DD05A2">
        <w:rPr>
          <w:rFonts w:ascii="Times New Roman" w:hAnsi="Times New Roman" w:cs="Times New Roman"/>
          <w:noProof/>
          <w:sz w:val="24"/>
          <w:szCs w:val="24"/>
          <w:lang w:val="en-IE" w:eastAsia="de-DE"/>
        </w:rPr>
        <w:t xml:space="preserve"> </w:t>
      </w:r>
    </w:p>
    <w:p w14:paraId="3FDFFBF1" w14:textId="77777777" w:rsidR="009B44DC" w:rsidRPr="002048C6" w:rsidRDefault="732990A3" w:rsidP="008E361E">
      <w:pPr>
        <w:jc w:val="both"/>
        <w:rPr>
          <w:rFonts w:ascii="Times New Roman" w:hAnsi="Times New Roman" w:cs="Times New Roman"/>
          <w:noProof/>
          <w:sz w:val="24"/>
          <w:szCs w:val="24"/>
          <w:lang w:val="en-IE" w:eastAsia="de-DE"/>
        </w:rPr>
      </w:pPr>
      <w:r w:rsidRPr="002048C6">
        <w:rPr>
          <w:rFonts w:ascii="Times New Roman" w:hAnsi="Times New Roman" w:cs="Times New Roman"/>
          <w:noProof/>
          <w:sz w:val="24"/>
          <w:szCs w:val="24"/>
          <w:lang w:val="en-IE" w:eastAsia="de-DE"/>
        </w:rPr>
        <w:t>As concerns the choice of technical resources, the evaluation found that eu-LISA did yet establish a clear strategy and roadmap for the implementation and practical use of artificial intelligence within the operational management of systems (e.g. concerning incident detection and management, as well as the supportive communication with users through chatbots). Tasks were performed manually, blocking financial and human resources that could, eventually, be better used elsewhere. The evaluation therefore found that the technology choices of eu-LISA were considered to be an important lever to increase the efficiency of the Agency in this regard.</w:t>
      </w:r>
    </w:p>
    <w:p w14:paraId="0ED120C6" w14:textId="77777777" w:rsidR="009B44DC" w:rsidRPr="00721699" w:rsidRDefault="009B44DC" w:rsidP="004E2424">
      <w:pPr>
        <w:pStyle w:val="BodyText"/>
        <w:spacing w:before="120"/>
        <w:rPr>
          <w:rFonts w:ascii="Times New Roman" w:hAnsi="Times New Roman" w:cs="Times New Roman"/>
          <w:b/>
          <w:bCs/>
          <w:noProof/>
          <w:sz w:val="24"/>
          <w:szCs w:val="24"/>
        </w:rPr>
      </w:pPr>
      <w:r w:rsidRPr="00004DA6">
        <w:rPr>
          <w:rFonts w:ascii="Times New Roman" w:hAnsi="Times New Roman" w:cs="Times New Roman"/>
          <w:b/>
          <w:bCs/>
          <w:i/>
          <w:iCs/>
          <w:noProof/>
          <w:sz w:val="24"/>
          <w:szCs w:val="24"/>
        </w:rPr>
        <w:t>Are the resources (human, financial and technical) used for the development of new systems adequate in comparison with the results achieved? Could the efficiency gains be obtained with a different approach to outsourcing or with different technology choices?</w:t>
      </w:r>
    </w:p>
    <w:p w14:paraId="07E305B4" w14:textId="77777777" w:rsidR="009B44DC" w:rsidRPr="002048C6" w:rsidRDefault="009B44DC" w:rsidP="008E361E">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In view of the delays and quality-related issues in relation of the delivery of the new systems, the evaluation considered that the resources used for the development of new systems were only partially adequate. Efficiency gains could have been acquired through a larger share of insourcing development work and more proactive investment into new technologies.</w:t>
      </w:r>
    </w:p>
    <w:p w14:paraId="2B5E7F97" w14:textId="77777777" w:rsidR="009B44DC" w:rsidRPr="002048C6" w:rsidRDefault="009B44DC" w:rsidP="008E361E">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 xml:space="preserve">The development of new systems was largely outsourced over the past years. This has led to severe delays and quality concerns, in particular with regard to the delivery of EES. A significant portion of the Agency’s financial resources were spent on external contractors that were not fully able to deliver, while at the same time too few resources were spent of staff guiding contractors or co-developing systems. </w:t>
      </w:r>
    </w:p>
    <w:p w14:paraId="63519C58" w14:textId="1F4F0F07" w:rsidR="009B44DC" w:rsidRPr="002048C6" w:rsidRDefault="732990A3" w:rsidP="008E361E">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In addition, technical eu-LISA staff was mainly in charge of project management tasks contractors rather than performing technical work: A job for which specific expertise and experience, as well as the right internal processes and contractual levers are needed in order to be effective. </w:t>
      </w:r>
      <w:r w:rsidRPr="002048C6">
        <w:rPr>
          <w:rFonts w:ascii="Times New Roman" w:hAnsi="Times New Roman" w:cs="Times New Roman"/>
          <w:noProof/>
          <w:sz w:val="24"/>
          <w:szCs w:val="24"/>
          <w:lang w:val="en-IE"/>
        </w:rPr>
        <w:t>As a consequence, eu-LISA was not fully able to deliver on the task to develop new systems in alignment with the expectations of stakeholders.</w:t>
      </w:r>
    </w:p>
    <w:p w14:paraId="4CE7C9AA" w14:textId="37B7E5F3" w:rsidR="009B44DC" w:rsidRPr="004C2B1F" w:rsidRDefault="009B44DC" w:rsidP="008E361E">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Therefore, eu-LISA could have been more efficient with regard to the development of systems if it had chosen a different approach to outsourcing: Rather than silo-based outsourcing or even using the layered approach under TEF/TOF</w:t>
      </w:r>
      <w:r w:rsidR="002147D6" w:rsidRPr="004C2B1F">
        <w:rPr>
          <w:rFonts w:ascii="Times New Roman" w:hAnsi="Times New Roman" w:cs="Times New Roman"/>
          <w:noProof/>
          <w:sz w:val="24"/>
          <w:szCs w:val="24"/>
          <w:lang w:val="en-IE"/>
        </w:rPr>
        <w:t xml:space="preserve"> (</w:t>
      </w:r>
      <w:r w:rsidR="00F46C56" w:rsidRPr="004C2B1F">
        <w:rPr>
          <w:rFonts w:ascii="Times New Roman" w:hAnsi="Times New Roman" w:cs="Times New Roman"/>
          <w:noProof/>
          <w:sz w:val="24"/>
          <w:szCs w:val="24"/>
          <w:lang w:val="en-IE"/>
        </w:rPr>
        <w:t>Transversal Engineering Framework/Transversal Operation Framework</w:t>
      </w:r>
      <w:r w:rsidR="002147D6" w:rsidRPr="004C2B1F">
        <w:rPr>
          <w:rFonts w:ascii="Times New Roman" w:hAnsi="Times New Roman" w:cs="Times New Roman"/>
          <w:noProof/>
          <w:sz w:val="24"/>
          <w:szCs w:val="24"/>
          <w:lang w:val="en-IE"/>
        </w:rPr>
        <w:t>)</w:t>
      </w:r>
      <w:r w:rsidRPr="004C2B1F">
        <w:rPr>
          <w:rFonts w:ascii="Times New Roman" w:hAnsi="Times New Roman" w:cs="Times New Roman"/>
          <w:noProof/>
          <w:sz w:val="24"/>
          <w:szCs w:val="24"/>
          <w:lang w:val="en-IE"/>
        </w:rPr>
        <w:t>, better results could eventually have been achieved through increased insourcing of resources and better leveraging the technical expertise already available within eu-LISA.</w:t>
      </w:r>
    </w:p>
    <w:p w14:paraId="73305599" w14:textId="77777777" w:rsidR="009B44DC" w:rsidRPr="00A52392" w:rsidRDefault="009B44DC" w:rsidP="009B44DC">
      <w:pPr>
        <w:pStyle w:val="BodyText"/>
        <w:rPr>
          <w:rFonts w:ascii="Times New Roman" w:hAnsi="Times New Roman" w:cs="Times New Roman"/>
          <w:noProof/>
          <w:sz w:val="24"/>
          <w:szCs w:val="24"/>
        </w:rPr>
      </w:pPr>
      <w:r w:rsidRPr="00B407DA">
        <w:rPr>
          <w:rFonts w:ascii="Times New Roman" w:hAnsi="Times New Roman" w:cs="Times New Roman"/>
          <w:noProof/>
          <w:sz w:val="24"/>
          <w:szCs w:val="24"/>
        </w:rPr>
        <w:t>For this purpose, the evaluation identified two crucial factors for future improvement: The introduction of a portfolio management approach within eu-LISA, as well as the definition and execution of a long-term sourcing strategy (‘make and/or buy’).</w:t>
      </w:r>
    </w:p>
    <w:p w14:paraId="2050BC6E" w14:textId="77777777" w:rsidR="009B44DC" w:rsidRPr="00721699" w:rsidRDefault="732990A3" w:rsidP="004E2424">
      <w:pPr>
        <w:pStyle w:val="BodyText"/>
        <w:spacing w:before="120"/>
        <w:rPr>
          <w:rFonts w:ascii="Times New Roman" w:hAnsi="Times New Roman" w:cs="Times New Roman"/>
          <w:b/>
          <w:bCs/>
          <w:noProof/>
          <w:sz w:val="24"/>
          <w:szCs w:val="24"/>
        </w:rPr>
      </w:pPr>
      <w:r w:rsidRPr="1F7CBA1A">
        <w:rPr>
          <w:rFonts w:ascii="Times New Roman" w:hAnsi="Times New Roman" w:cs="Times New Roman"/>
          <w:b/>
          <w:bCs/>
          <w:i/>
          <w:iCs/>
          <w:noProof/>
          <w:sz w:val="24"/>
          <w:szCs w:val="24"/>
        </w:rPr>
        <w:t>To what extent are procurement, finances, personnel and any other corporate services organised efficiently? Are resources commensurate with results achieved?</w:t>
      </w:r>
    </w:p>
    <w:p w14:paraId="54598686" w14:textId="77777777" w:rsidR="009B44DC" w:rsidRPr="002048C6" w:rsidRDefault="009B44DC" w:rsidP="008E361E">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The evaluation of the efficiency and organisation of procurement, finances, personnel, and other corporate services within eu-LISA showed a blend of strengths and areas for enhancement. The Agency's heavy reliance on external resources facilitated the management of workload demands associated with both legacy and planned systems. However, whether resources were commensurate with the results achieved presents a mixed picture.</w:t>
      </w:r>
    </w:p>
    <w:p w14:paraId="098AB639" w14:textId="098D5167" w:rsidR="009B44DC" w:rsidRPr="002048C6" w:rsidRDefault="009B44DC" w:rsidP="008E361E">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 xml:space="preserve">The evaluation highlighted the importance of enhancing compliance and strengthening procurement processes. Main issues identified included the need for additional procurement managers to handle workload demands effectively, for more detailed attention to the technical requirements outlined in the terms of references to ensure successful procurement outcomes, and for clearer processes to navigate the complexity of contractual management. Recommendations from various stakeholders included exploring creative procurement approaches, such as outcome-based contracts, to align with the fast-paced nature of the technology market. </w:t>
      </w:r>
    </w:p>
    <w:p w14:paraId="297D5FA2" w14:textId="6CE1E83A" w:rsidR="009B44DC" w:rsidRPr="00CB6466" w:rsidRDefault="009B44DC" w:rsidP="008E361E">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However, despite ongoing efforts, the evaluation pointed to continuous challenges faced by eu-LISA in its procurement processes. </w:t>
      </w:r>
      <w:r w:rsidRPr="002048C6">
        <w:rPr>
          <w:rFonts w:ascii="Times New Roman" w:hAnsi="Times New Roman" w:cs="Times New Roman"/>
          <w:noProof/>
          <w:sz w:val="24"/>
          <w:szCs w:val="24"/>
          <w:lang w:val="en-IE"/>
        </w:rPr>
        <w:t xml:space="preserve">Inconsistent stakeholder responsiveness and a lack of clearly defined processes were identified as challenging factors. For instance, variations in stakeholder engagement and input can lead to delays and discrepancies in procurement decisions. Without well-defined processes outlining roles, responsibilities, and timelines, a risk of inefficiencies and misunderstandings in the procurement workflow appears. </w:t>
      </w:r>
      <w:r w:rsidRPr="00CB6466">
        <w:rPr>
          <w:rFonts w:ascii="Times New Roman" w:hAnsi="Times New Roman" w:cs="Times New Roman"/>
          <w:noProof/>
          <w:sz w:val="24"/>
          <w:szCs w:val="24"/>
          <w:lang w:val="en-IE"/>
        </w:rPr>
        <w:t>The shift towards alternative procurement models, such as agile delivery, was suggested to address these challenges and increase control over service delivery</w:t>
      </w:r>
      <w:r w:rsidR="00CB6466" w:rsidRPr="00CB6466">
        <w:rPr>
          <w:rFonts w:ascii="Times New Roman" w:hAnsi="Times New Roman" w:cs="Times New Roman"/>
          <w:noProof/>
          <w:sz w:val="24"/>
          <w:szCs w:val="24"/>
          <w:lang w:val="en-IE"/>
        </w:rPr>
        <w:t>.</w:t>
      </w:r>
      <w:r w:rsidRPr="00A52392">
        <w:rPr>
          <w:rStyle w:val="FootnoteReference"/>
          <w:rFonts w:ascii="Times New Roman" w:hAnsi="Times New Roman" w:cs="Times New Roman"/>
          <w:noProof/>
          <w:sz w:val="24"/>
          <w:szCs w:val="24"/>
        </w:rPr>
        <w:footnoteReference w:id="66"/>
      </w:r>
    </w:p>
    <w:p w14:paraId="49CA82CC" w14:textId="338D3A9F" w:rsidR="009B44DC" w:rsidRPr="004C2B1F" w:rsidRDefault="732990A3" w:rsidP="008E361E">
      <w:pPr>
        <w:jc w:val="both"/>
        <w:rPr>
          <w:rFonts w:ascii="Times New Roman" w:hAnsi="Times New Roman" w:cs="Times New Roman"/>
          <w:noProof/>
          <w:sz w:val="24"/>
          <w:szCs w:val="24"/>
          <w:lang w:val="en-IE"/>
        </w:rPr>
      </w:pPr>
      <w:r w:rsidRPr="00CB6466">
        <w:rPr>
          <w:rFonts w:ascii="Times New Roman" w:hAnsi="Times New Roman" w:cs="Times New Roman"/>
          <w:noProof/>
          <w:sz w:val="24"/>
          <w:szCs w:val="24"/>
          <w:lang w:val="en-IE"/>
        </w:rPr>
        <w:t>T</w:t>
      </w:r>
      <w:r w:rsidR="7A0D5D91" w:rsidRPr="00CB6466">
        <w:rPr>
          <w:rFonts w:ascii="Times New Roman" w:hAnsi="Times New Roman" w:cs="Times New Roman"/>
          <w:noProof/>
          <w:sz w:val="24"/>
          <w:szCs w:val="24"/>
          <w:lang w:val="en-IE"/>
        </w:rPr>
        <w:t>h</w:t>
      </w:r>
      <w:r w:rsidRPr="00CB6466">
        <w:rPr>
          <w:rFonts w:ascii="Times New Roman" w:hAnsi="Times New Roman" w:cs="Times New Roman"/>
          <w:noProof/>
          <w:sz w:val="24"/>
          <w:szCs w:val="24"/>
          <w:lang w:val="en-IE"/>
        </w:rPr>
        <w:t>e evaluation pointed to the need for additional human resources</w:t>
      </w:r>
      <w:r w:rsidR="00985DFC" w:rsidRPr="00CB6466">
        <w:rPr>
          <w:rFonts w:ascii="Times New Roman" w:hAnsi="Times New Roman" w:cs="Times New Roman"/>
          <w:noProof/>
          <w:sz w:val="24"/>
          <w:szCs w:val="24"/>
          <w:lang w:val="en-IE"/>
        </w:rPr>
        <w:t xml:space="preserve"> in certain departments</w:t>
      </w:r>
      <w:r w:rsidRPr="00CB6466">
        <w:rPr>
          <w:rFonts w:ascii="Times New Roman" w:hAnsi="Times New Roman" w:cs="Times New Roman"/>
          <w:noProof/>
          <w:sz w:val="24"/>
          <w:szCs w:val="24"/>
          <w:lang w:val="en-IE"/>
        </w:rPr>
        <w:t>, particularly in activities related to the Operations and Corporate Services Departments</w:t>
      </w:r>
      <w:r w:rsidR="00CB6466" w:rsidRPr="00CB6466">
        <w:rPr>
          <w:rFonts w:ascii="Times New Roman" w:hAnsi="Times New Roman" w:cs="Times New Roman"/>
          <w:noProof/>
          <w:sz w:val="24"/>
          <w:szCs w:val="24"/>
          <w:lang w:val="en-IE"/>
        </w:rPr>
        <w:t>.</w:t>
      </w:r>
      <w:r w:rsidR="009B44DC" w:rsidRPr="00A52392">
        <w:rPr>
          <w:rStyle w:val="FootnoteReference"/>
          <w:rFonts w:ascii="Times New Roman" w:hAnsi="Times New Roman" w:cs="Times New Roman"/>
          <w:noProof/>
          <w:sz w:val="24"/>
          <w:szCs w:val="24"/>
        </w:rPr>
        <w:footnoteReference w:id="67"/>
      </w:r>
      <w:r w:rsidRPr="00CB6466">
        <w:rPr>
          <w:rFonts w:ascii="Times New Roman" w:hAnsi="Times New Roman" w:cs="Times New Roman"/>
          <w:noProof/>
          <w:sz w:val="24"/>
          <w:szCs w:val="24"/>
          <w:lang w:val="en-IE"/>
        </w:rPr>
        <w:t xml:space="preserve"> Reporting discrepancies, extreme dependency on contractors, and challenges in recruitment and retention were found by the evaluation to contribute to resource shortages. </w:t>
      </w:r>
      <w:r w:rsidR="00985DFC" w:rsidRPr="004C2B1F">
        <w:rPr>
          <w:rFonts w:ascii="Times New Roman" w:hAnsi="Times New Roman" w:cs="Times New Roman"/>
          <w:noProof/>
          <w:sz w:val="24"/>
          <w:szCs w:val="24"/>
          <w:lang w:val="en-IE"/>
        </w:rPr>
        <w:t>These challenges can be effectively addressed through a more strategic and integrated use of existing resources</w:t>
      </w:r>
      <w:r w:rsidR="007920E4" w:rsidRPr="004C2B1F">
        <w:rPr>
          <w:rFonts w:ascii="Times New Roman" w:hAnsi="Times New Roman" w:cs="Times New Roman"/>
          <w:noProof/>
          <w:sz w:val="24"/>
          <w:szCs w:val="24"/>
          <w:lang w:val="en-IE"/>
        </w:rPr>
        <w:t>.</w:t>
      </w:r>
    </w:p>
    <w:p w14:paraId="7908A7BE" w14:textId="2123C765" w:rsidR="009B44DC" w:rsidRPr="002048C6" w:rsidRDefault="732990A3" w:rsidP="00CB6466">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The evaluation also found that delays and challenges in project delivery are an </w:t>
      </w:r>
      <w:r w:rsidR="75E3A296" w:rsidRPr="004C2B1F">
        <w:rPr>
          <w:rFonts w:ascii="Times New Roman" w:hAnsi="Times New Roman" w:cs="Times New Roman"/>
          <w:noProof/>
          <w:sz w:val="24"/>
          <w:szCs w:val="24"/>
          <w:lang w:val="en-IE"/>
        </w:rPr>
        <w:t>indication</w:t>
      </w:r>
      <w:r w:rsidRPr="004C2B1F">
        <w:rPr>
          <w:rFonts w:ascii="Times New Roman" w:hAnsi="Times New Roman" w:cs="Times New Roman"/>
          <w:noProof/>
          <w:sz w:val="24"/>
          <w:szCs w:val="24"/>
          <w:lang w:val="en-IE"/>
        </w:rPr>
        <w:t xml:space="preserve"> of potential inefficiencies in resource allocation and management. </w:t>
      </w:r>
      <w:r w:rsidRPr="002048C6">
        <w:rPr>
          <w:rFonts w:ascii="Times New Roman" w:hAnsi="Times New Roman" w:cs="Times New Roman"/>
          <w:noProof/>
          <w:sz w:val="24"/>
          <w:szCs w:val="24"/>
          <w:lang w:val="en-IE"/>
        </w:rPr>
        <w:t>Furthermore, complexities within the organisational structure and governance processes highlight the need for streamlining operations to enhance resource efficiency. To address these disparities effectively, resource distribution strategies could be reassessed to ensure optimal outcomes.</w:t>
      </w:r>
      <w:r w:rsidR="00422DC5" w:rsidRPr="002048C6">
        <w:rPr>
          <w:rFonts w:ascii="Times New Roman" w:hAnsi="Times New Roman" w:cs="Times New Roman"/>
          <w:noProof/>
          <w:sz w:val="24"/>
          <w:szCs w:val="24"/>
          <w:lang w:val="en-IE"/>
        </w:rPr>
        <w:t xml:space="preserve"> </w:t>
      </w:r>
      <w:r w:rsidR="00422DC5" w:rsidRPr="00004DA6">
        <w:rPr>
          <w:rFonts w:ascii="Times New Roman" w:hAnsi="Times New Roman" w:cs="Times New Roman"/>
          <w:noProof/>
          <w:sz w:val="24"/>
          <w:szCs w:val="24"/>
          <w:lang w:val="en-IE"/>
        </w:rPr>
        <w:t xml:space="preserve">Overall, the evaluation finds out that that eu-LISA </w:t>
      </w:r>
      <w:r w:rsidR="00422DC5">
        <w:rPr>
          <w:rFonts w:ascii="Times New Roman" w:hAnsi="Times New Roman" w:cs="Times New Roman"/>
          <w:noProof/>
          <w:sz w:val="24"/>
          <w:szCs w:val="24"/>
          <w:lang w:val="en-IE"/>
        </w:rPr>
        <w:t>should optimise internal resource allocation</w:t>
      </w:r>
      <w:r w:rsidR="00422DC5" w:rsidRPr="00004DA6">
        <w:rPr>
          <w:rFonts w:ascii="Times New Roman" w:hAnsi="Times New Roman" w:cs="Times New Roman"/>
          <w:noProof/>
          <w:sz w:val="24"/>
          <w:szCs w:val="24"/>
          <w:lang w:val="en-IE"/>
        </w:rPr>
        <w:t>, avoid over-reliance on external partners, and maintain integrated oversight of project development rather than leaving different aspects to external service providers.</w:t>
      </w:r>
    </w:p>
    <w:p w14:paraId="5C1829D8" w14:textId="4A556369" w:rsidR="009B44DC" w:rsidRPr="002048C6" w:rsidRDefault="009B44DC" w:rsidP="00CB6466">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In this context, challenges related to the organisational split between Tallinn and Strasbourg were also noted in the evaluation as a factor impacting collaboration, communication, and operational efficiency. </w:t>
      </w:r>
      <w:r w:rsidRPr="002048C6">
        <w:rPr>
          <w:rFonts w:ascii="Times New Roman" w:hAnsi="Times New Roman" w:cs="Times New Roman"/>
          <w:noProof/>
          <w:sz w:val="24"/>
          <w:szCs w:val="24"/>
          <w:lang w:val="en-IE"/>
        </w:rPr>
        <w:t>The perceived disconnect</w:t>
      </w:r>
      <w:r w:rsidR="00016EEE" w:rsidRPr="002048C6">
        <w:rPr>
          <w:rFonts w:ascii="Times New Roman" w:hAnsi="Times New Roman" w:cs="Times New Roman"/>
          <w:noProof/>
          <w:sz w:val="24"/>
          <w:szCs w:val="24"/>
          <w:lang w:val="en-IE"/>
        </w:rPr>
        <w:t>ion</w:t>
      </w:r>
      <w:r w:rsidRPr="002048C6">
        <w:rPr>
          <w:rFonts w:ascii="Times New Roman" w:hAnsi="Times New Roman" w:cs="Times New Roman"/>
          <w:noProof/>
          <w:sz w:val="24"/>
          <w:szCs w:val="24"/>
          <w:lang w:val="en-IE"/>
        </w:rPr>
        <w:t xml:space="preserve"> between corporate services and operations highlights the need for improved clarity of roles and responsibilities and closer alignment between units. </w:t>
      </w:r>
    </w:p>
    <w:p w14:paraId="260A2D32" w14:textId="38B1AE34" w:rsidR="009B44DC" w:rsidRPr="002048C6" w:rsidRDefault="009B44DC" w:rsidP="00CB6466">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Additionally, several interviewees expressed concerns about staffing levels and contractual arrangements, which underscores the importance of addressing recruitment and retention challenges, while adapting to evolving work preferences, including remote and flexible working arrangements.</w:t>
      </w:r>
      <w:r w:rsidR="001B6DE6" w:rsidRPr="00004DA6">
        <w:rPr>
          <w:b/>
          <w:bCs/>
          <w:noProof/>
          <w:lang w:val="en-IE"/>
        </w:rPr>
        <w:t xml:space="preserve"> </w:t>
      </w:r>
      <w:r w:rsidR="001B6DE6" w:rsidRPr="00004DA6">
        <w:rPr>
          <w:rFonts w:ascii="Times New Roman" w:hAnsi="Times New Roman" w:cs="Times New Roman"/>
          <w:noProof/>
          <w:sz w:val="24"/>
          <w:szCs w:val="24"/>
          <w:lang w:val="en-IE"/>
        </w:rPr>
        <w:t xml:space="preserve">Stakeholders noted that the Agency tends to keep the individual allocation of resources </w:t>
      </w:r>
      <w:r w:rsidR="008E5BA3">
        <w:rPr>
          <w:rFonts w:ascii="Times New Roman" w:hAnsi="Times New Roman" w:cs="Times New Roman"/>
          <w:noProof/>
          <w:sz w:val="24"/>
          <w:szCs w:val="24"/>
          <w:lang w:val="en-IE"/>
        </w:rPr>
        <w:t xml:space="preserve">and personnel </w:t>
      </w:r>
      <w:r w:rsidR="001B6DE6" w:rsidRPr="00004DA6">
        <w:rPr>
          <w:rFonts w:ascii="Times New Roman" w:hAnsi="Times New Roman" w:cs="Times New Roman"/>
          <w:noProof/>
          <w:sz w:val="24"/>
          <w:szCs w:val="24"/>
          <w:lang w:val="en-IE"/>
        </w:rPr>
        <w:t xml:space="preserve">tied to </w:t>
      </w:r>
      <w:r w:rsidR="003A0D9D">
        <w:rPr>
          <w:rFonts w:ascii="Times New Roman" w:hAnsi="Times New Roman" w:cs="Times New Roman"/>
          <w:noProof/>
          <w:sz w:val="24"/>
          <w:szCs w:val="24"/>
          <w:lang w:val="en-IE"/>
        </w:rPr>
        <w:t>systems</w:t>
      </w:r>
      <w:r w:rsidR="001B6DE6" w:rsidRPr="00004DA6">
        <w:rPr>
          <w:rFonts w:ascii="Times New Roman" w:hAnsi="Times New Roman" w:cs="Times New Roman"/>
          <w:noProof/>
          <w:sz w:val="24"/>
          <w:szCs w:val="24"/>
          <w:lang w:val="en-IE"/>
        </w:rPr>
        <w:t xml:space="preserve"> rather than managing projects in a more integrated </w:t>
      </w:r>
      <w:r w:rsidR="008E5BA3">
        <w:rPr>
          <w:rFonts w:ascii="Times New Roman" w:hAnsi="Times New Roman" w:cs="Times New Roman"/>
          <w:noProof/>
          <w:sz w:val="24"/>
          <w:szCs w:val="24"/>
          <w:lang w:val="en-IE"/>
        </w:rPr>
        <w:t>and coordinated manner</w:t>
      </w:r>
      <w:r w:rsidR="003A0D9D">
        <w:rPr>
          <w:rFonts w:ascii="Times New Roman" w:hAnsi="Times New Roman" w:cs="Times New Roman"/>
          <w:noProof/>
          <w:sz w:val="24"/>
          <w:szCs w:val="24"/>
          <w:lang w:val="en-IE"/>
        </w:rPr>
        <w:t xml:space="preserve">. </w:t>
      </w:r>
    </w:p>
    <w:p w14:paraId="6F7495F4" w14:textId="4481F997" w:rsidR="009B44DC" w:rsidRPr="004C2B1F" w:rsidRDefault="009B44DC" w:rsidP="00CB6466">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Overall, while eu-LISA demonstrated transparency through its published information and efforts to strengthen procurement and </w:t>
      </w:r>
      <w:r w:rsidRPr="00004DA6">
        <w:rPr>
          <w:rFonts w:ascii="Times New Roman" w:hAnsi="Times New Roman" w:cs="Times New Roman"/>
          <w:noProof/>
          <w:sz w:val="24"/>
          <w:szCs w:val="24"/>
          <w:lang w:val="en-IE"/>
        </w:rPr>
        <w:t xml:space="preserve">compliance, whether these resources were </w:t>
      </w:r>
      <w:r w:rsidRPr="004C2B1F">
        <w:rPr>
          <w:rFonts w:ascii="Times New Roman" w:hAnsi="Times New Roman" w:cs="Times New Roman"/>
          <w:noProof/>
          <w:sz w:val="24"/>
          <w:szCs w:val="24"/>
          <w:lang w:val="en-IE"/>
        </w:rPr>
        <w:t>commensurate</w:t>
      </w:r>
      <w:r w:rsidRPr="00004DA6">
        <w:rPr>
          <w:rFonts w:ascii="Times New Roman" w:hAnsi="Times New Roman" w:cs="Times New Roman"/>
          <w:noProof/>
          <w:sz w:val="24"/>
          <w:szCs w:val="24"/>
          <w:lang w:val="en-IE"/>
        </w:rPr>
        <w:t xml:space="preserve"> with results achieved present a mixed picture. </w:t>
      </w:r>
      <w:r w:rsidR="0090452E" w:rsidRPr="00004DA6">
        <w:rPr>
          <w:rFonts w:ascii="Times New Roman" w:hAnsi="Times New Roman" w:cs="Times New Roman"/>
          <w:noProof/>
          <w:sz w:val="24"/>
          <w:szCs w:val="24"/>
          <w:lang w:val="en-IE"/>
        </w:rPr>
        <w:t>Strategic resource management should emphasise optimal internal use, coordination across systems, and retaining control over critical project aspects to ensure efficiency and effectiveness.</w:t>
      </w:r>
      <w:r w:rsidR="006A560C" w:rsidRPr="00004DA6">
        <w:rPr>
          <w:rFonts w:ascii="Times New Roman" w:hAnsi="Times New Roman" w:cs="Times New Roman"/>
          <w:noProof/>
          <w:sz w:val="24"/>
          <w:szCs w:val="24"/>
          <w:lang w:val="en-IE"/>
        </w:rPr>
        <w:t xml:space="preserve"> Additional, a</w:t>
      </w:r>
      <w:r w:rsidRPr="00004DA6">
        <w:rPr>
          <w:rFonts w:ascii="Times New Roman" w:hAnsi="Times New Roman" w:cs="Times New Roman"/>
          <w:noProof/>
          <w:sz w:val="24"/>
          <w:szCs w:val="24"/>
          <w:lang w:val="en-IE"/>
        </w:rPr>
        <w:t xml:space="preserve">ddressing concerns about </w:t>
      </w:r>
      <w:r w:rsidR="00124A0C" w:rsidRPr="00004DA6">
        <w:rPr>
          <w:rFonts w:ascii="Times New Roman" w:hAnsi="Times New Roman" w:cs="Times New Roman"/>
          <w:noProof/>
          <w:sz w:val="24"/>
          <w:szCs w:val="24"/>
          <w:lang w:val="en-IE"/>
        </w:rPr>
        <w:t xml:space="preserve">claimed </w:t>
      </w:r>
      <w:r w:rsidRPr="00004DA6">
        <w:rPr>
          <w:rFonts w:ascii="Times New Roman" w:hAnsi="Times New Roman" w:cs="Times New Roman"/>
          <w:noProof/>
          <w:sz w:val="24"/>
          <w:szCs w:val="24"/>
          <w:lang w:val="en-IE"/>
        </w:rPr>
        <w:t xml:space="preserve">resource shortages, improving organisational effectiveness, and enhancing collaboration between units </w:t>
      </w:r>
      <w:r w:rsidR="00B45C79">
        <w:rPr>
          <w:rFonts w:ascii="Times New Roman" w:hAnsi="Times New Roman" w:cs="Times New Roman"/>
          <w:noProof/>
          <w:sz w:val="24"/>
          <w:szCs w:val="24"/>
          <w:lang w:val="en-IE"/>
        </w:rPr>
        <w:t>are</w:t>
      </w:r>
      <w:r w:rsidR="006A560C" w:rsidRPr="00004DA6">
        <w:rPr>
          <w:rFonts w:ascii="Times New Roman" w:hAnsi="Times New Roman" w:cs="Times New Roman"/>
          <w:noProof/>
          <w:sz w:val="24"/>
          <w:szCs w:val="24"/>
          <w:lang w:val="en-IE"/>
        </w:rPr>
        <w:t xml:space="preserve"> </w:t>
      </w:r>
      <w:r w:rsidRPr="00004DA6">
        <w:rPr>
          <w:rFonts w:ascii="Times New Roman" w:hAnsi="Times New Roman" w:cs="Times New Roman"/>
          <w:noProof/>
          <w:sz w:val="24"/>
          <w:szCs w:val="24"/>
          <w:lang w:val="en-IE"/>
        </w:rPr>
        <w:t xml:space="preserve">critical priorities for optimising efficiency and achieving desired outcomes. This </w:t>
      </w:r>
      <w:r w:rsidR="006A560C">
        <w:rPr>
          <w:rFonts w:ascii="Times New Roman" w:hAnsi="Times New Roman" w:cs="Times New Roman"/>
          <w:noProof/>
          <w:sz w:val="24"/>
          <w:szCs w:val="24"/>
          <w:lang w:val="en-IE"/>
        </w:rPr>
        <w:t>is</w:t>
      </w:r>
      <w:r w:rsidR="006A560C" w:rsidRPr="00004DA6">
        <w:rPr>
          <w:rFonts w:ascii="Times New Roman" w:hAnsi="Times New Roman" w:cs="Times New Roman"/>
          <w:noProof/>
          <w:sz w:val="24"/>
          <w:szCs w:val="24"/>
          <w:lang w:val="en-IE"/>
        </w:rPr>
        <w:t xml:space="preserve"> </w:t>
      </w:r>
      <w:r w:rsidRPr="00004DA6">
        <w:rPr>
          <w:rFonts w:ascii="Times New Roman" w:hAnsi="Times New Roman" w:cs="Times New Roman"/>
          <w:noProof/>
          <w:sz w:val="24"/>
          <w:szCs w:val="24"/>
          <w:lang w:val="en-IE"/>
        </w:rPr>
        <w:t>particularly important for units such as the Corporate Services Unit and Program and Project Delivery Unit</w:t>
      </w:r>
      <w:r w:rsidR="003E258E">
        <w:rPr>
          <w:rFonts w:ascii="Times New Roman" w:hAnsi="Times New Roman" w:cs="Times New Roman"/>
          <w:noProof/>
          <w:sz w:val="24"/>
          <w:szCs w:val="24"/>
          <w:lang w:val="en-IE"/>
        </w:rPr>
        <w:t>, ensuring that allocated resources align effectively with the Agency’s objectives.</w:t>
      </w:r>
      <w:r w:rsidRPr="004C2B1F">
        <w:rPr>
          <w:rFonts w:ascii="Times New Roman" w:hAnsi="Times New Roman" w:cs="Times New Roman"/>
          <w:noProof/>
          <w:sz w:val="24"/>
          <w:szCs w:val="24"/>
          <w:lang w:val="en-IE"/>
        </w:rPr>
        <w:t>.</w:t>
      </w:r>
    </w:p>
    <w:p w14:paraId="66A993B8" w14:textId="77777777" w:rsidR="009B44DC" w:rsidRPr="00721699" w:rsidRDefault="009B44DC" w:rsidP="004E2424">
      <w:pPr>
        <w:pStyle w:val="BodyText"/>
        <w:spacing w:before="120"/>
        <w:rPr>
          <w:rFonts w:ascii="Times New Roman" w:hAnsi="Times New Roman" w:cs="Times New Roman"/>
          <w:b/>
          <w:bCs/>
          <w:noProof/>
          <w:sz w:val="24"/>
          <w:szCs w:val="24"/>
        </w:rPr>
      </w:pPr>
      <w:r w:rsidRPr="00985AF5">
        <w:rPr>
          <w:rFonts w:ascii="Times New Roman" w:hAnsi="Times New Roman" w:cs="Times New Roman"/>
          <w:b/>
          <w:bCs/>
          <w:i/>
          <w:iCs/>
          <w:noProof/>
          <w:sz w:val="24"/>
          <w:szCs w:val="24"/>
        </w:rPr>
        <w:t xml:space="preserve">To what extent </w:t>
      </w:r>
      <w:r w:rsidRPr="004E2424">
        <w:rPr>
          <w:rFonts w:ascii="Times New Roman" w:hAnsi="Times New Roman" w:cs="Times New Roman"/>
          <w:b/>
          <w:bCs/>
          <w:i/>
          <w:iCs/>
          <w:noProof/>
          <w:sz w:val="24"/>
          <w:szCs w:val="24"/>
        </w:rPr>
        <w:t>has the tripartite set-up of eu-LISA affected the efficiency of the use of resources by the Agency? How does eu-LISA's split location affect its activities? How has eu-LISA ensured efficient working on three separate locations?</w:t>
      </w:r>
    </w:p>
    <w:p w14:paraId="1294F135" w14:textId="77777777" w:rsidR="009B44DC" w:rsidRPr="002048C6" w:rsidRDefault="009B44DC" w:rsidP="00CB6466">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 xml:space="preserve">The evaluation did not find the split-up of the Agency to be a major hindrance in terms of resource efficiency. The evaluation noted that the split-up can lead to additional organisational costs, given the need for frequent travelling and the establishment of additional coordination activities, and increased costs for maintenance and office rents. </w:t>
      </w:r>
    </w:p>
    <w:p w14:paraId="76F63F4A" w14:textId="0AE03223" w:rsidR="009B44DC" w:rsidRPr="004C2B1F" w:rsidRDefault="732990A3" w:rsidP="00CB6466">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The evaluation found that, overall, eu-LISA has found a way to efficiently handle the split-up of its locations.</w:t>
      </w:r>
      <w:r w:rsidR="6276D9C8" w:rsidRPr="004C2B1F">
        <w:rPr>
          <w:rFonts w:ascii="Times New Roman" w:hAnsi="Times New Roman" w:cs="Times New Roman"/>
          <w:noProof/>
          <w:sz w:val="24"/>
          <w:szCs w:val="24"/>
          <w:lang w:val="en-IE"/>
        </w:rPr>
        <w:t xml:space="preserve"> </w:t>
      </w:r>
      <w:r w:rsidR="2724A79F" w:rsidRPr="004C2B1F">
        <w:rPr>
          <w:rFonts w:ascii="Times New Roman" w:hAnsi="Times New Roman" w:cs="Times New Roman"/>
          <w:noProof/>
          <w:sz w:val="24"/>
          <w:szCs w:val="24"/>
          <w:lang w:val="en-IE"/>
        </w:rPr>
        <w:t>T</w:t>
      </w:r>
      <w:r w:rsidRPr="004C2B1F">
        <w:rPr>
          <w:rFonts w:ascii="Times New Roman" w:hAnsi="Times New Roman" w:cs="Times New Roman"/>
          <w:noProof/>
          <w:sz w:val="24"/>
          <w:szCs w:val="24"/>
          <w:lang w:val="en-IE"/>
        </w:rPr>
        <w:t xml:space="preserve">he separation of tasks reduced the need for administrative coordination, allowing for the processing of tasks largely within a certain location. Teams are rarely split-up, ensuring connectivity of the team members. </w:t>
      </w:r>
    </w:p>
    <w:p w14:paraId="5FE6ED32" w14:textId="7EFEF419" w:rsidR="009B44DC" w:rsidRPr="002048C6" w:rsidRDefault="009B44DC" w:rsidP="00CB6466">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In summary,</w:t>
      </w:r>
      <w:r w:rsidR="009821CA" w:rsidRPr="002048C6">
        <w:rPr>
          <w:rFonts w:ascii="Times New Roman" w:hAnsi="Times New Roman" w:cs="Times New Roman"/>
          <w:noProof/>
          <w:sz w:val="24"/>
          <w:szCs w:val="24"/>
          <w:lang w:val="en-IE"/>
        </w:rPr>
        <w:t xml:space="preserve"> while</w:t>
      </w:r>
      <w:r w:rsidRPr="002048C6">
        <w:rPr>
          <w:rFonts w:ascii="Times New Roman" w:hAnsi="Times New Roman" w:cs="Times New Roman"/>
          <w:noProof/>
          <w:sz w:val="24"/>
          <w:szCs w:val="24"/>
          <w:lang w:val="en-IE"/>
        </w:rPr>
        <w:t xml:space="preserve"> the evaluation found the Agency’s efficiency is not significantly impacted by the split over different locations</w:t>
      </w:r>
      <w:r w:rsidR="009821CA" w:rsidRPr="002048C6">
        <w:rPr>
          <w:rFonts w:ascii="Times New Roman" w:hAnsi="Times New Roman" w:cs="Times New Roman"/>
          <w:noProof/>
          <w:sz w:val="24"/>
          <w:szCs w:val="24"/>
          <w:lang w:val="en-IE"/>
        </w:rPr>
        <w:t xml:space="preserve">, </w:t>
      </w:r>
      <w:r w:rsidRPr="002048C6">
        <w:rPr>
          <w:rFonts w:ascii="Times New Roman" w:hAnsi="Times New Roman" w:cs="Times New Roman"/>
          <w:noProof/>
          <w:sz w:val="24"/>
          <w:szCs w:val="24"/>
          <w:lang w:val="en-IE"/>
        </w:rPr>
        <w:t xml:space="preserve">improvements in terms of additional teaming activities and better online coordination tools could be implemented to mitigate for certain effects of the tripartite location of the Agency. </w:t>
      </w:r>
    </w:p>
    <w:p w14:paraId="392685FC" w14:textId="77777777" w:rsidR="009B44DC" w:rsidRPr="00721699" w:rsidRDefault="009B44DC" w:rsidP="004E2424">
      <w:pPr>
        <w:pStyle w:val="BodyText"/>
        <w:spacing w:before="120"/>
        <w:rPr>
          <w:rFonts w:ascii="Times New Roman" w:hAnsi="Times New Roman" w:cs="Times New Roman"/>
          <w:b/>
          <w:bCs/>
          <w:noProof/>
          <w:sz w:val="24"/>
          <w:szCs w:val="24"/>
        </w:rPr>
      </w:pPr>
      <w:r w:rsidRPr="004E2424">
        <w:rPr>
          <w:rFonts w:ascii="Times New Roman" w:hAnsi="Times New Roman" w:cs="Times New Roman"/>
          <w:b/>
          <w:bCs/>
          <w:i/>
          <w:iCs/>
          <w:noProof/>
          <w:sz w:val="24"/>
          <w:szCs w:val="24"/>
        </w:rPr>
        <w:t>Having regards to the organigram of the Agency, the distribution of competences, and the sharing of responsibilities between the different entities, to what extent does the internal organisation of the Agency impact the efficiency of eu-LISA to reach its objectives?</w:t>
      </w:r>
    </w:p>
    <w:p w14:paraId="15EEE0D4" w14:textId="15E75CEB" w:rsidR="009B44DC" w:rsidRPr="004C2B1F" w:rsidRDefault="009B44DC" w:rsidP="00CB6466">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The evaluation found that eu-LISA’s internal organisation as satisfactory, with a high approval rate by stakeholders of the efficiency of the internal structures, escalation procedures and decision-making procedures. The evaluation pointed at two aspects of the Agency’s internal organisation which could be improved: (i) the distribution of responsibilities and competencies and (ii) the </w:t>
      </w:r>
      <w:r w:rsidR="0005078E" w:rsidRPr="004C2B1F">
        <w:rPr>
          <w:rFonts w:ascii="Times New Roman" w:hAnsi="Times New Roman" w:cs="Times New Roman"/>
          <w:noProof/>
          <w:sz w:val="24"/>
          <w:szCs w:val="24"/>
          <w:lang w:val="en-IE"/>
        </w:rPr>
        <w:t xml:space="preserve">teaming and coordination </w:t>
      </w:r>
      <w:r w:rsidRPr="004C2B1F">
        <w:rPr>
          <w:rFonts w:ascii="Times New Roman" w:hAnsi="Times New Roman" w:cs="Times New Roman"/>
          <w:noProof/>
          <w:sz w:val="24"/>
          <w:szCs w:val="24"/>
          <w:lang w:val="en-IE"/>
        </w:rPr>
        <w:t xml:space="preserve">between </w:t>
      </w:r>
      <w:r w:rsidR="0005078E" w:rsidRPr="004C2B1F">
        <w:rPr>
          <w:rFonts w:ascii="Times New Roman" w:hAnsi="Times New Roman" w:cs="Times New Roman"/>
          <w:noProof/>
          <w:sz w:val="24"/>
          <w:szCs w:val="24"/>
          <w:lang w:val="en-IE"/>
        </w:rPr>
        <w:t xml:space="preserve">the </w:t>
      </w:r>
      <w:r w:rsidRPr="004C2B1F">
        <w:rPr>
          <w:rFonts w:ascii="Times New Roman" w:hAnsi="Times New Roman" w:cs="Times New Roman"/>
          <w:noProof/>
          <w:sz w:val="24"/>
          <w:szCs w:val="24"/>
          <w:lang w:val="en-IE"/>
        </w:rPr>
        <w:t xml:space="preserve">two locations in Tallinn and Strasbourg. </w:t>
      </w:r>
    </w:p>
    <w:p w14:paraId="0833D50C" w14:textId="3FE9FD3A" w:rsidR="009B44DC" w:rsidRPr="002048C6" w:rsidRDefault="009B44DC" w:rsidP="00CB6466">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The evaluation pointed to unclear roles and overlapping responsibilities and competencies among different units and sectors within the Agency, leading to inefficiencies and coordination issues. </w:t>
      </w:r>
      <w:r w:rsidRPr="002048C6">
        <w:rPr>
          <w:rFonts w:ascii="Times New Roman" w:hAnsi="Times New Roman" w:cs="Times New Roman"/>
          <w:noProof/>
          <w:sz w:val="24"/>
          <w:szCs w:val="24"/>
          <w:lang w:val="en-IE"/>
        </w:rPr>
        <w:t xml:space="preserve">Despite having bottom-up descriptions, there was a lack of clear top-down strategic definitions of roles and responsibilities in several departments. For example, three separate units have governance bodies within their responsibilities, with some overlap between the executive support and stakeholder relations unit and the liaison office in Brussels. In addition, multiple entities are responsible for programme and project management, creating potential for overlap and the need to clarify these roles. </w:t>
      </w:r>
      <w:r w:rsidR="00A2520B" w:rsidRPr="00004DA6">
        <w:rPr>
          <w:rFonts w:ascii="Times New Roman" w:hAnsi="Times New Roman" w:cs="Times New Roman"/>
          <w:noProof/>
          <w:sz w:val="24"/>
          <w:szCs w:val="24"/>
          <w:lang w:val="en-IE"/>
        </w:rPr>
        <w:t>Some of these overlaps and role ambiguities have been addressed and clarified over the course of the evaluation period, contributing to improved coordination and operational clarity.</w:t>
      </w:r>
    </w:p>
    <w:p w14:paraId="4780F165" w14:textId="43ECC30F" w:rsidR="009B44DC" w:rsidRPr="002048C6" w:rsidRDefault="009B44DC" w:rsidP="00CB6466">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The evaluation also pointed to the loss of information that naturally occurs in coordination activities between the two main sites in Strasbourg and Tallinn. This concerned a perceived disconnect between operations (France) and both the HR and procurement units (Estonia). This has led to some inefficiencies in hiring procedures (e.g. length of procedures), development of staff (e.g. contract prolongation), and management of contractors (e.g. responsibility to select, manage, and control contractors). </w:t>
      </w:r>
      <w:r w:rsidRPr="002048C6">
        <w:rPr>
          <w:rFonts w:ascii="Times New Roman" w:hAnsi="Times New Roman" w:cs="Times New Roman"/>
          <w:noProof/>
          <w:sz w:val="24"/>
          <w:szCs w:val="24"/>
          <w:lang w:val="en-IE"/>
        </w:rPr>
        <w:t xml:space="preserve">Moreover, the evaluation also noted that Strasbourg currently hosts more junior staff whereas the more senior staff is located in Tallinn, leading to an unequal distribution of knowledge within the Agency. However, </w:t>
      </w:r>
      <w:r w:rsidR="0005078E" w:rsidRPr="002048C6">
        <w:rPr>
          <w:rFonts w:ascii="Times New Roman" w:hAnsi="Times New Roman" w:cs="Times New Roman"/>
          <w:noProof/>
          <w:sz w:val="24"/>
          <w:szCs w:val="24"/>
          <w:lang w:val="en-IE"/>
        </w:rPr>
        <w:t xml:space="preserve">despite certain hindrances, </w:t>
      </w:r>
      <w:r w:rsidRPr="002048C6">
        <w:rPr>
          <w:rFonts w:ascii="Times New Roman" w:hAnsi="Times New Roman" w:cs="Times New Roman"/>
          <w:noProof/>
          <w:sz w:val="24"/>
          <w:szCs w:val="24"/>
          <w:lang w:val="en-IE"/>
        </w:rPr>
        <w:t>the overall cooperation between the two sites in terms of internal organisation is found overall to be satisfactory.</w:t>
      </w:r>
    </w:p>
    <w:p w14:paraId="38B986D5" w14:textId="77777777" w:rsidR="009B44DC" w:rsidRPr="00721699" w:rsidRDefault="009B44DC" w:rsidP="004E2424">
      <w:pPr>
        <w:pStyle w:val="BodyText"/>
        <w:spacing w:before="240" w:after="240"/>
        <w:rPr>
          <w:rFonts w:ascii="Times New Roman" w:hAnsi="Times New Roman" w:cs="Times New Roman"/>
          <w:b/>
          <w:bCs/>
          <w:noProof/>
          <w:sz w:val="24"/>
          <w:szCs w:val="24"/>
        </w:rPr>
      </w:pPr>
      <w:r w:rsidRPr="004E2424">
        <w:rPr>
          <w:rFonts w:ascii="Times New Roman" w:hAnsi="Times New Roman" w:cs="Times New Roman"/>
          <w:b/>
          <w:bCs/>
          <w:i/>
          <w:iCs/>
          <w:noProof/>
          <w:sz w:val="24"/>
          <w:szCs w:val="24"/>
        </w:rPr>
        <w:t>To what extent were the annual budgets of the Agency implemented in an efficient way and in view on achieving results?</w:t>
      </w:r>
    </w:p>
    <w:p w14:paraId="6D4CBE5A" w14:textId="7AE8C1CA" w:rsidR="009B44DC" w:rsidRDefault="009B44DC" w:rsidP="2E42B479">
      <w:pPr>
        <w:jc w:val="both"/>
        <w:rPr>
          <w:rFonts w:ascii="Times New Roman" w:hAnsi="Times New Roman" w:cs="Times New Roman"/>
          <w:noProof/>
          <w:sz w:val="24"/>
          <w:szCs w:val="24"/>
          <w:lang w:val="en-IE"/>
        </w:rPr>
      </w:pPr>
      <w:r w:rsidRPr="2E42B479">
        <w:rPr>
          <w:rFonts w:ascii="Times New Roman" w:hAnsi="Times New Roman" w:cs="Times New Roman"/>
          <w:noProof/>
          <w:sz w:val="24"/>
          <w:szCs w:val="24"/>
          <w:lang w:val="en-GB"/>
        </w:rPr>
        <w:t>The Agency’s budget is structured in three larger clusters: (1) staff expenditure; (2) infrastructure and operating expenditures; and (3) operational expenditure</w:t>
      </w:r>
      <w:r w:rsidR="007B4033">
        <w:rPr>
          <w:rFonts w:ascii="Times New Roman" w:hAnsi="Times New Roman" w:cs="Times New Roman"/>
          <w:noProof/>
          <w:sz w:val="24"/>
          <w:szCs w:val="24"/>
          <w:lang w:val="en-GB"/>
        </w:rPr>
        <w:t>, as illustrated in Figure 5</w:t>
      </w:r>
      <w:r w:rsidRPr="2E42B479">
        <w:rPr>
          <w:rFonts w:ascii="Times New Roman" w:hAnsi="Times New Roman" w:cs="Times New Roman"/>
          <w:noProof/>
          <w:sz w:val="24"/>
          <w:szCs w:val="24"/>
          <w:lang w:val="en-GB"/>
        </w:rPr>
        <w:t>.</w:t>
      </w:r>
      <w:r w:rsidR="0065662C">
        <w:rPr>
          <w:rFonts w:ascii="Times New Roman" w:hAnsi="Times New Roman" w:cs="Times New Roman"/>
          <w:noProof/>
          <w:sz w:val="24"/>
          <w:szCs w:val="24"/>
          <w:lang w:val="en-GB"/>
        </w:rPr>
        <w:t xml:space="preserve"> </w:t>
      </w:r>
      <w:r w:rsidRPr="2E42B479">
        <w:rPr>
          <w:rFonts w:ascii="Times New Roman" w:hAnsi="Times New Roman" w:cs="Times New Roman"/>
          <w:noProof/>
          <w:sz w:val="24"/>
          <w:szCs w:val="24"/>
          <w:lang w:val="en-GB"/>
        </w:rPr>
        <w:t>Between 2018 and 2024, eu-LISA’s budget</w:t>
      </w:r>
      <w:r w:rsidR="00AC6AC2">
        <w:rPr>
          <w:rFonts w:ascii="Times New Roman" w:hAnsi="Times New Roman" w:cs="Times New Roman"/>
          <w:noProof/>
          <w:sz w:val="24"/>
          <w:szCs w:val="24"/>
          <w:lang w:val="en-GB"/>
        </w:rPr>
        <w:t xml:space="preserve"> </w:t>
      </w:r>
      <w:r w:rsidR="00C91EEA">
        <w:rPr>
          <w:rFonts w:ascii="Times New Roman" w:hAnsi="Times New Roman" w:cs="Times New Roman"/>
          <w:noProof/>
          <w:sz w:val="24"/>
          <w:szCs w:val="24"/>
          <w:lang w:val="en-GB"/>
        </w:rPr>
        <w:t>increased twofold,</w:t>
      </w:r>
      <w:r w:rsidR="002C32FE">
        <w:rPr>
          <w:rFonts w:ascii="Times New Roman" w:hAnsi="Times New Roman" w:cs="Times New Roman"/>
          <w:noProof/>
          <w:sz w:val="24"/>
          <w:szCs w:val="24"/>
          <w:lang w:val="en-GB"/>
        </w:rPr>
        <w:t xml:space="preserve"> </w:t>
      </w:r>
      <w:r w:rsidR="009148E0">
        <w:rPr>
          <w:rFonts w:ascii="Times New Roman" w:hAnsi="Times New Roman" w:cs="Times New Roman"/>
          <w:noProof/>
          <w:sz w:val="24"/>
          <w:szCs w:val="24"/>
          <w:lang w:val="en-GB"/>
        </w:rPr>
        <w:t xml:space="preserve">from </w:t>
      </w:r>
      <w:r w:rsidR="00771617">
        <w:rPr>
          <w:rFonts w:ascii="Times New Roman" w:hAnsi="Times New Roman" w:cs="Times New Roman"/>
          <w:noProof/>
          <w:sz w:val="24"/>
          <w:szCs w:val="24"/>
          <w:lang w:val="en-GB"/>
        </w:rPr>
        <w:t xml:space="preserve">EUR </w:t>
      </w:r>
      <w:r w:rsidR="00D67B7D">
        <w:rPr>
          <w:rFonts w:ascii="Times New Roman" w:hAnsi="Times New Roman" w:cs="Times New Roman"/>
          <w:noProof/>
          <w:sz w:val="24"/>
          <w:szCs w:val="24"/>
          <w:lang w:val="en-GB"/>
        </w:rPr>
        <w:t>152</w:t>
      </w:r>
      <w:r w:rsidR="00771617">
        <w:rPr>
          <w:rFonts w:ascii="Times New Roman" w:hAnsi="Times New Roman" w:cs="Times New Roman"/>
          <w:noProof/>
          <w:sz w:val="24"/>
          <w:szCs w:val="24"/>
          <w:lang w:val="en-GB"/>
        </w:rPr>
        <w:t xml:space="preserve"> </w:t>
      </w:r>
      <w:r w:rsidR="00771617" w:rsidRPr="002048C6">
        <w:rPr>
          <w:rFonts w:ascii="Times New Roman" w:hAnsi="Times New Roman" w:cs="Times New Roman"/>
          <w:noProof/>
          <w:sz w:val="24"/>
          <w:szCs w:val="24"/>
          <w:lang w:val="en-IE"/>
        </w:rPr>
        <w:t>million</w:t>
      </w:r>
      <w:r w:rsidR="00771617">
        <w:rPr>
          <w:rFonts w:ascii="Times New Roman" w:hAnsi="Times New Roman" w:cs="Times New Roman"/>
          <w:noProof/>
          <w:sz w:val="24"/>
          <w:szCs w:val="24"/>
          <w:lang w:val="en-GB"/>
        </w:rPr>
        <w:t xml:space="preserve"> to EUR</w:t>
      </w:r>
      <w:r w:rsidR="001E30F5">
        <w:rPr>
          <w:rFonts w:ascii="Times New Roman" w:hAnsi="Times New Roman" w:cs="Times New Roman"/>
          <w:noProof/>
          <w:sz w:val="24"/>
          <w:szCs w:val="24"/>
          <w:lang w:val="en-GB"/>
        </w:rPr>
        <w:t xml:space="preserve"> 307 million </w:t>
      </w:r>
      <w:r w:rsidRPr="2E42B479">
        <w:rPr>
          <w:rFonts w:ascii="Times New Roman" w:hAnsi="Times New Roman" w:cs="Times New Roman"/>
          <w:noProof/>
          <w:sz w:val="24"/>
          <w:szCs w:val="24"/>
          <w:lang w:val="en-GB"/>
        </w:rPr>
        <w:t>(compound annual growth rate of +</w:t>
      </w:r>
      <w:r w:rsidR="009F64A9">
        <w:rPr>
          <w:rFonts w:ascii="Times New Roman" w:hAnsi="Times New Roman" w:cs="Times New Roman"/>
          <w:noProof/>
          <w:sz w:val="24"/>
          <w:szCs w:val="24"/>
          <w:lang w:val="en-GB"/>
        </w:rPr>
        <w:t>13.8</w:t>
      </w:r>
      <w:r w:rsidRPr="2E42B479">
        <w:rPr>
          <w:rFonts w:ascii="Times New Roman" w:hAnsi="Times New Roman" w:cs="Times New Roman"/>
          <w:noProof/>
          <w:sz w:val="24"/>
          <w:szCs w:val="24"/>
          <w:lang w:val="en-GB"/>
        </w:rPr>
        <w:t>% annually)</w:t>
      </w:r>
      <w:r w:rsidRPr="00B776D8">
        <w:rPr>
          <w:rFonts w:ascii="Times New Roman" w:hAnsi="Times New Roman" w:cs="Times New Roman"/>
          <w:iCs/>
          <w:noProof/>
          <w:sz w:val="24"/>
          <w:szCs w:val="24"/>
          <w:vertAlign w:val="superscript"/>
          <w:lang w:val="en-GB"/>
        </w:rPr>
        <w:footnoteReference w:id="68"/>
      </w:r>
      <w:r w:rsidRPr="2E42B479">
        <w:rPr>
          <w:rFonts w:ascii="Times New Roman" w:hAnsi="Times New Roman" w:cs="Times New Roman"/>
          <w:noProof/>
          <w:sz w:val="24"/>
          <w:szCs w:val="24"/>
          <w:lang w:val="en-GB"/>
        </w:rPr>
        <w:t xml:space="preserve">. </w:t>
      </w:r>
      <w:r w:rsidRPr="008061D0">
        <w:rPr>
          <w:rFonts w:ascii="Times New Roman" w:hAnsi="Times New Roman" w:cs="Times New Roman"/>
          <w:noProof/>
          <w:sz w:val="24"/>
          <w:szCs w:val="24"/>
          <w:lang w:val="en-IE"/>
        </w:rPr>
        <w:t xml:space="preserve">For the financial year </w:t>
      </w:r>
      <w:r w:rsidR="0081443B" w:rsidRPr="008061D0">
        <w:rPr>
          <w:rFonts w:ascii="Times New Roman" w:hAnsi="Times New Roman" w:cs="Times New Roman"/>
          <w:noProof/>
          <w:sz w:val="24"/>
          <w:szCs w:val="24"/>
          <w:lang w:val="en-IE"/>
        </w:rPr>
        <w:t>202</w:t>
      </w:r>
      <w:r w:rsidR="0081443B" w:rsidRPr="00004DA6">
        <w:rPr>
          <w:rFonts w:ascii="Times New Roman" w:hAnsi="Times New Roman" w:cs="Times New Roman"/>
          <w:noProof/>
          <w:sz w:val="24"/>
          <w:szCs w:val="24"/>
          <w:lang w:val="en-IE"/>
        </w:rPr>
        <w:t>4</w:t>
      </w:r>
      <w:r w:rsidRPr="008061D0">
        <w:rPr>
          <w:rFonts w:ascii="Times New Roman" w:hAnsi="Times New Roman" w:cs="Times New Roman"/>
          <w:noProof/>
          <w:sz w:val="24"/>
          <w:szCs w:val="24"/>
          <w:lang w:val="en-IE"/>
        </w:rPr>
        <w:t xml:space="preserve">, staff expenditure accounted for 15% of the Agency’s budget, infrastructure and operating expenditure accounting for </w:t>
      </w:r>
      <w:r w:rsidR="008061D0" w:rsidRPr="00004DA6">
        <w:rPr>
          <w:rFonts w:ascii="Times New Roman" w:hAnsi="Times New Roman" w:cs="Times New Roman"/>
          <w:noProof/>
          <w:sz w:val="24"/>
          <w:szCs w:val="24"/>
          <w:lang w:val="en-IE"/>
        </w:rPr>
        <w:t>8</w:t>
      </w:r>
      <w:r w:rsidRPr="008061D0">
        <w:rPr>
          <w:rFonts w:ascii="Times New Roman" w:hAnsi="Times New Roman" w:cs="Times New Roman"/>
          <w:noProof/>
          <w:sz w:val="24"/>
          <w:szCs w:val="24"/>
          <w:lang w:val="en-IE"/>
        </w:rPr>
        <w:t xml:space="preserve">%, and operational expenditure accounting for </w:t>
      </w:r>
      <w:r w:rsidR="008061D0" w:rsidRPr="008061D0">
        <w:rPr>
          <w:rFonts w:ascii="Times New Roman" w:hAnsi="Times New Roman" w:cs="Times New Roman"/>
          <w:noProof/>
          <w:sz w:val="24"/>
          <w:szCs w:val="24"/>
          <w:lang w:val="en-IE"/>
        </w:rPr>
        <w:t>7</w:t>
      </w:r>
      <w:r w:rsidR="008061D0" w:rsidRPr="00004DA6">
        <w:rPr>
          <w:rFonts w:ascii="Times New Roman" w:hAnsi="Times New Roman" w:cs="Times New Roman"/>
          <w:noProof/>
          <w:sz w:val="24"/>
          <w:szCs w:val="24"/>
          <w:lang w:val="en-IE"/>
        </w:rPr>
        <w:t>7</w:t>
      </w:r>
      <w:r w:rsidRPr="008061D0">
        <w:rPr>
          <w:rFonts w:ascii="Times New Roman" w:hAnsi="Times New Roman" w:cs="Times New Roman"/>
          <w:noProof/>
          <w:sz w:val="24"/>
          <w:szCs w:val="24"/>
          <w:lang w:val="en-IE"/>
        </w:rPr>
        <w:t>%. This distribution indicates a strong emphasis on operational activities, reflecting the Agency’s priority to enhance IT systems and support functions while maintaining relatively lower administrative and infrastructure costs.</w:t>
      </w:r>
    </w:p>
    <w:p w14:paraId="771D49D4" w14:textId="0BED8DEE" w:rsidR="007B4033" w:rsidRPr="00004DA6" w:rsidRDefault="007B4033" w:rsidP="00004DA6">
      <w:pPr>
        <w:pStyle w:val="Caption"/>
        <w:keepNext/>
        <w:spacing w:after="120"/>
        <w:jc w:val="both"/>
        <w:rPr>
          <w:rFonts w:ascii="Times New Roman" w:hAnsi="Times New Roman" w:cs="Times New Roman"/>
          <w:i/>
          <w:sz w:val="22"/>
        </w:rPr>
      </w:pPr>
      <w:r w:rsidRPr="004E2424">
        <w:rPr>
          <w:rFonts w:ascii="Times New Roman" w:hAnsi="Times New Roman" w:cs="Times New Roman"/>
          <w:i/>
          <w:iCs/>
          <w:sz w:val="22"/>
          <w:szCs w:val="24"/>
        </w:rPr>
        <w:t>Figure</w:t>
      </w:r>
      <w:r w:rsidRPr="004E2424">
        <w:rPr>
          <w:rFonts w:ascii="Times New Roman" w:hAnsi="Times New Roman" w:cs="Times New Roman"/>
          <w:i/>
          <w:iCs/>
          <w:sz w:val="22"/>
        </w:rPr>
        <w:t xml:space="preserve"> </w:t>
      </w:r>
      <w:r w:rsidR="00E73DEE">
        <w:rPr>
          <w:rFonts w:ascii="Times New Roman" w:hAnsi="Times New Roman" w:cs="Times New Roman"/>
          <w:i/>
          <w:iCs/>
          <w:sz w:val="22"/>
        </w:rPr>
        <w:t>5</w:t>
      </w:r>
      <w:r>
        <w:rPr>
          <w:rFonts w:ascii="Times New Roman" w:hAnsi="Times New Roman" w:cs="Times New Roman"/>
          <w:i/>
          <w:iCs/>
          <w:sz w:val="22"/>
        </w:rPr>
        <w:t>:</w:t>
      </w:r>
      <w:r w:rsidRPr="004E2424">
        <w:rPr>
          <w:rFonts w:ascii="Times New Roman" w:hAnsi="Times New Roman" w:cs="Times New Roman"/>
          <w:i/>
          <w:iCs/>
          <w:sz w:val="22"/>
        </w:rPr>
        <w:t xml:space="preserve"> Evolution of eu-LISA</w:t>
      </w:r>
      <w:r w:rsidR="00E73DEE">
        <w:rPr>
          <w:rFonts w:ascii="Times New Roman" w:hAnsi="Times New Roman" w:cs="Times New Roman"/>
          <w:i/>
          <w:iCs/>
          <w:sz w:val="22"/>
        </w:rPr>
        <w:t>’s budget</w:t>
      </w:r>
      <w:r w:rsidR="00554572">
        <w:rPr>
          <w:rFonts w:ascii="Times New Roman" w:hAnsi="Times New Roman" w:cs="Times New Roman"/>
          <w:i/>
          <w:iCs/>
          <w:sz w:val="22"/>
        </w:rPr>
        <w:t xml:space="preserve"> from</w:t>
      </w:r>
      <w:r w:rsidRPr="004E2424">
        <w:rPr>
          <w:rFonts w:ascii="Times New Roman" w:hAnsi="Times New Roman" w:cs="Times New Roman"/>
          <w:i/>
          <w:iCs/>
          <w:sz w:val="22"/>
        </w:rPr>
        <w:t xml:space="preserve"> 2018</w:t>
      </w:r>
      <w:r w:rsidR="00554572">
        <w:rPr>
          <w:rFonts w:ascii="Times New Roman" w:hAnsi="Times New Roman" w:cs="Times New Roman"/>
          <w:i/>
          <w:iCs/>
          <w:sz w:val="22"/>
        </w:rPr>
        <w:t xml:space="preserve"> to </w:t>
      </w:r>
      <w:r w:rsidRPr="004E2424">
        <w:rPr>
          <w:rFonts w:ascii="Times New Roman" w:hAnsi="Times New Roman" w:cs="Times New Roman"/>
          <w:i/>
          <w:iCs/>
          <w:sz w:val="22"/>
        </w:rPr>
        <w:t>202</w:t>
      </w:r>
      <w:r>
        <w:rPr>
          <w:rFonts w:ascii="Times New Roman" w:hAnsi="Times New Roman" w:cs="Times New Roman"/>
          <w:i/>
          <w:iCs/>
          <w:sz w:val="22"/>
        </w:rPr>
        <w:t>4</w:t>
      </w:r>
      <w:r w:rsidRPr="004E2424">
        <w:rPr>
          <w:rFonts w:ascii="Times New Roman" w:hAnsi="Times New Roman" w:cs="Times New Roman"/>
          <w:i/>
          <w:iCs/>
          <w:sz w:val="22"/>
        </w:rPr>
        <w:t>, in million EUR</w:t>
      </w:r>
    </w:p>
    <w:p w14:paraId="483198A7" w14:textId="5BDCA27B" w:rsidR="007B4033" w:rsidRDefault="007B4033" w:rsidP="00004DA6">
      <w:pPr>
        <w:spacing w:after="0"/>
        <w:jc w:val="both"/>
        <w:rPr>
          <w:rFonts w:ascii="Times New Roman" w:hAnsi="Times New Roman" w:cs="Times New Roman"/>
          <w:noProof/>
          <w:sz w:val="24"/>
          <w:szCs w:val="24"/>
          <w:lang w:val="en-GB"/>
        </w:rPr>
      </w:pPr>
      <w:r>
        <w:rPr>
          <w:rFonts w:ascii="Times New Roman" w:hAnsi="Times New Roman" w:cs="Times New Roman"/>
          <w:noProof/>
          <w:sz w:val="24"/>
          <w:szCs w:val="24"/>
          <w:lang w:val="en-GB" w:eastAsia="en-GB"/>
        </w:rPr>
        <w:drawing>
          <wp:inline distT="0" distB="0" distL="0" distR="0" wp14:anchorId="3DCA646E" wp14:editId="11DB02AE">
            <wp:extent cx="5448300" cy="3326355"/>
            <wp:effectExtent l="0" t="0" r="0" b="7620"/>
            <wp:docPr id="20496640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67137" cy="3337856"/>
                    </a:xfrm>
                    <a:prstGeom prst="rect">
                      <a:avLst/>
                    </a:prstGeom>
                    <a:noFill/>
                  </pic:spPr>
                </pic:pic>
              </a:graphicData>
            </a:graphic>
          </wp:inline>
        </w:drawing>
      </w:r>
    </w:p>
    <w:p w14:paraId="2C6FC36A" w14:textId="7CDE786E" w:rsidR="00554572" w:rsidRPr="00004DA6" w:rsidRDefault="00554572" w:rsidP="2E42B479">
      <w:pPr>
        <w:jc w:val="both"/>
        <w:rPr>
          <w:rFonts w:ascii="Times New Roman" w:hAnsi="Times New Roman" w:cs="Times New Roman"/>
          <w:i/>
          <w:iCs/>
          <w:noProof/>
          <w:sz w:val="24"/>
          <w:szCs w:val="24"/>
        </w:rPr>
      </w:pPr>
      <w:r w:rsidRPr="00004DA6">
        <w:rPr>
          <w:rFonts w:ascii="Times New Roman" w:hAnsi="Times New Roman"/>
          <w:i/>
          <w:iCs/>
          <w:noProof/>
          <w:sz w:val="20"/>
          <w:szCs w:val="20"/>
          <w:lang w:val="fr-FR"/>
        </w:rPr>
        <w:t>Source: eu-LISA, Annual Accounts, 2018-2024.</w:t>
      </w:r>
    </w:p>
    <w:p w14:paraId="299BE3F5" w14:textId="188C9DAA" w:rsidR="009B44DC" w:rsidRPr="004C2B1F" w:rsidRDefault="009B44DC" w:rsidP="00A3041F">
      <w:pPr>
        <w:jc w:val="both"/>
        <w:rPr>
          <w:rFonts w:ascii="Times New Roman" w:hAnsi="Times New Roman" w:cs="Times New Roman"/>
          <w:iCs/>
          <w:noProof/>
          <w:sz w:val="24"/>
          <w:szCs w:val="24"/>
          <w:lang w:val="en-IE"/>
        </w:rPr>
      </w:pPr>
      <w:r w:rsidRPr="004C2B1F">
        <w:rPr>
          <w:rFonts w:ascii="Times New Roman" w:hAnsi="Times New Roman" w:cs="Times New Roman"/>
          <w:iCs/>
          <w:noProof/>
          <w:sz w:val="24"/>
          <w:szCs w:val="24"/>
          <w:lang w:val="en-IE"/>
        </w:rPr>
        <w:t xml:space="preserve">The analysis of </w:t>
      </w:r>
      <w:r w:rsidRPr="004C2B1F">
        <w:rPr>
          <w:rFonts w:ascii="Times New Roman" w:hAnsi="Times New Roman" w:cs="Times New Roman"/>
          <w:noProof/>
          <w:sz w:val="24"/>
          <w:szCs w:val="24"/>
          <w:lang w:val="en-IE"/>
        </w:rPr>
        <w:t>specific</w:t>
      </w:r>
      <w:r w:rsidRPr="004C2B1F">
        <w:rPr>
          <w:rFonts w:ascii="Times New Roman" w:hAnsi="Times New Roman" w:cs="Times New Roman"/>
          <w:iCs/>
          <w:noProof/>
          <w:sz w:val="24"/>
          <w:szCs w:val="24"/>
          <w:lang w:val="en-IE"/>
        </w:rPr>
        <w:t xml:space="preserve"> budget items from 2018 to </w:t>
      </w:r>
      <w:r w:rsidR="00554572" w:rsidRPr="004C2B1F">
        <w:rPr>
          <w:rFonts w:ascii="Times New Roman" w:hAnsi="Times New Roman" w:cs="Times New Roman"/>
          <w:iCs/>
          <w:noProof/>
          <w:sz w:val="24"/>
          <w:szCs w:val="24"/>
          <w:lang w:val="en-IE"/>
        </w:rPr>
        <w:t xml:space="preserve">2024 </w:t>
      </w:r>
      <w:r w:rsidR="00CB7BB9" w:rsidRPr="004C2B1F">
        <w:rPr>
          <w:rFonts w:ascii="Times New Roman" w:hAnsi="Times New Roman" w:cs="Times New Roman"/>
          <w:iCs/>
          <w:noProof/>
          <w:sz w:val="24"/>
          <w:szCs w:val="24"/>
          <w:lang w:val="en-IE"/>
        </w:rPr>
        <w:t xml:space="preserve">(illustrated in Figure 6) </w:t>
      </w:r>
      <w:r w:rsidRPr="004C2B1F">
        <w:rPr>
          <w:rFonts w:ascii="Times New Roman" w:hAnsi="Times New Roman" w:cs="Times New Roman"/>
          <w:iCs/>
          <w:noProof/>
          <w:sz w:val="24"/>
          <w:szCs w:val="24"/>
          <w:lang w:val="en-IE"/>
        </w:rPr>
        <w:t>indicates that expenditures on:</w:t>
      </w:r>
    </w:p>
    <w:p w14:paraId="1EA6A0C5" w14:textId="259A2CA2" w:rsidR="009B0A12" w:rsidRDefault="009B44DC" w:rsidP="00854151">
      <w:pPr>
        <w:pStyle w:val="BodyText"/>
        <w:numPr>
          <w:ilvl w:val="0"/>
          <w:numId w:val="6"/>
        </w:numPr>
        <w:rPr>
          <w:rFonts w:ascii="Times New Roman" w:hAnsi="Times New Roman" w:cs="Times New Roman"/>
          <w:iCs/>
          <w:noProof/>
          <w:sz w:val="24"/>
          <w:szCs w:val="24"/>
        </w:rPr>
      </w:pPr>
      <w:r w:rsidRPr="00854151">
        <w:rPr>
          <w:rFonts w:ascii="Times New Roman" w:hAnsi="Times New Roman" w:cs="Times New Roman"/>
          <w:i/>
          <w:noProof/>
          <w:sz w:val="24"/>
          <w:szCs w:val="24"/>
        </w:rPr>
        <w:t>IT system development</w:t>
      </w:r>
      <w:r w:rsidRPr="00854151">
        <w:rPr>
          <w:rFonts w:ascii="Times New Roman" w:hAnsi="Times New Roman" w:cs="Times New Roman"/>
          <w:iCs/>
          <w:noProof/>
          <w:sz w:val="24"/>
          <w:szCs w:val="24"/>
        </w:rPr>
        <w:t xml:space="preserve"> increased </w:t>
      </w:r>
      <w:r w:rsidR="00D1572B">
        <w:rPr>
          <w:rFonts w:ascii="Times New Roman" w:hAnsi="Times New Roman" w:cs="Times New Roman"/>
          <w:iCs/>
          <w:noProof/>
          <w:sz w:val="24"/>
          <w:szCs w:val="24"/>
        </w:rPr>
        <w:t xml:space="preserve">by </w:t>
      </w:r>
      <w:r w:rsidR="003244DF">
        <w:rPr>
          <w:rFonts w:ascii="Times New Roman" w:hAnsi="Times New Roman" w:cs="Times New Roman"/>
          <w:iCs/>
          <w:noProof/>
          <w:sz w:val="24"/>
          <w:szCs w:val="24"/>
        </w:rPr>
        <w:t>661</w:t>
      </w:r>
      <w:r w:rsidR="003244DF" w:rsidRPr="00840F3F">
        <w:rPr>
          <w:rFonts w:ascii="Times New Roman" w:hAnsi="Times New Roman" w:cs="Times New Roman"/>
          <w:iCs/>
          <w:noProof/>
          <w:sz w:val="24"/>
          <w:szCs w:val="24"/>
        </w:rPr>
        <w:t>%</w:t>
      </w:r>
      <w:r w:rsidRPr="00854151">
        <w:rPr>
          <w:rFonts w:ascii="Times New Roman" w:hAnsi="Times New Roman" w:cs="Times New Roman"/>
          <w:iCs/>
          <w:noProof/>
          <w:sz w:val="24"/>
          <w:szCs w:val="24"/>
        </w:rPr>
        <w:t xml:space="preserve">, reaching EUR </w:t>
      </w:r>
      <w:r w:rsidR="004A7322">
        <w:rPr>
          <w:rFonts w:ascii="Times New Roman" w:hAnsi="Times New Roman" w:cs="Times New Roman"/>
          <w:iCs/>
          <w:noProof/>
          <w:sz w:val="24"/>
          <w:szCs w:val="24"/>
        </w:rPr>
        <w:t>76.1</w:t>
      </w:r>
      <w:r w:rsidR="004A7322" w:rsidRPr="00854151">
        <w:rPr>
          <w:rFonts w:ascii="Times New Roman" w:hAnsi="Times New Roman" w:cs="Times New Roman"/>
          <w:iCs/>
          <w:noProof/>
          <w:sz w:val="24"/>
          <w:szCs w:val="24"/>
        </w:rPr>
        <w:t xml:space="preserve"> </w:t>
      </w:r>
      <w:r w:rsidRPr="00854151">
        <w:rPr>
          <w:rFonts w:ascii="Times New Roman" w:hAnsi="Times New Roman" w:cs="Times New Roman"/>
          <w:iCs/>
          <w:noProof/>
          <w:sz w:val="24"/>
          <w:szCs w:val="24"/>
        </w:rPr>
        <w:t xml:space="preserve">million in </w:t>
      </w:r>
      <w:r w:rsidR="004A7322" w:rsidRPr="00854151">
        <w:rPr>
          <w:rFonts w:ascii="Times New Roman" w:hAnsi="Times New Roman" w:cs="Times New Roman"/>
          <w:iCs/>
          <w:noProof/>
          <w:sz w:val="24"/>
          <w:szCs w:val="24"/>
        </w:rPr>
        <w:t>202</w:t>
      </w:r>
      <w:r w:rsidR="004A7322">
        <w:rPr>
          <w:rFonts w:ascii="Times New Roman" w:hAnsi="Times New Roman" w:cs="Times New Roman"/>
          <w:iCs/>
          <w:noProof/>
          <w:sz w:val="24"/>
          <w:szCs w:val="24"/>
        </w:rPr>
        <w:t>4</w:t>
      </w:r>
      <w:r w:rsidRPr="00854151">
        <w:rPr>
          <w:rFonts w:ascii="Times New Roman" w:hAnsi="Times New Roman" w:cs="Times New Roman"/>
          <w:iCs/>
          <w:noProof/>
          <w:sz w:val="24"/>
          <w:szCs w:val="24"/>
        </w:rPr>
        <w:t xml:space="preserve">. This substantial increase aligns with the Agency’s expanded mandate to develop IT systems. However, </w:t>
      </w:r>
      <w:r w:rsidR="002719D6">
        <w:rPr>
          <w:rFonts w:ascii="Times New Roman" w:hAnsi="Times New Roman" w:cs="Times New Roman"/>
          <w:iCs/>
          <w:noProof/>
          <w:sz w:val="24"/>
          <w:szCs w:val="24"/>
        </w:rPr>
        <w:t>this increase</w:t>
      </w:r>
      <w:r w:rsidR="00AC487D">
        <w:rPr>
          <w:rFonts w:ascii="Times New Roman" w:hAnsi="Times New Roman" w:cs="Times New Roman"/>
          <w:iCs/>
          <w:noProof/>
          <w:sz w:val="24"/>
          <w:szCs w:val="24"/>
        </w:rPr>
        <w:t xml:space="preserve"> should be </w:t>
      </w:r>
      <w:r w:rsidR="003E63AC">
        <w:rPr>
          <w:rFonts w:ascii="Times New Roman" w:hAnsi="Times New Roman" w:cs="Times New Roman"/>
          <w:iCs/>
          <w:noProof/>
          <w:sz w:val="24"/>
          <w:szCs w:val="24"/>
        </w:rPr>
        <w:t xml:space="preserve">read together with the </w:t>
      </w:r>
      <w:r w:rsidRPr="00854151">
        <w:rPr>
          <w:rFonts w:ascii="Times New Roman" w:hAnsi="Times New Roman" w:cs="Times New Roman"/>
          <w:iCs/>
          <w:noProof/>
          <w:sz w:val="24"/>
          <w:szCs w:val="24"/>
        </w:rPr>
        <w:t>delays and quality issues in output</w:t>
      </w:r>
      <w:r w:rsidR="003E63AC">
        <w:rPr>
          <w:rFonts w:ascii="Times New Roman" w:hAnsi="Times New Roman" w:cs="Times New Roman"/>
          <w:iCs/>
          <w:noProof/>
          <w:sz w:val="24"/>
          <w:szCs w:val="24"/>
        </w:rPr>
        <w:t xml:space="preserve"> (explained in the effectiveness section)</w:t>
      </w:r>
      <w:r w:rsidRPr="00854151">
        <w:rPr>
          <w:rFonts w:ascii="Times New Roman" w:hAnsi="Times New Roman" w:cs="Times New Roman"/>
          <w:iCs/>
          <w:noProof/>
          <w:sz w:val="24"/>
          <w:szCs w:val="24"/>
        </w:rPr>
        <w:t>, indicating inefficienc</w:t>
      </w:r>
      <w:r w:rsidR="002719D6">
        <w:rPr>
          <w:rFonts w:ascii="Times New Roman" w:hAnsi="Times New Roman" w:cs="Times New Roman"/>
          <w:iCs/>
          <w:noProof/>
          <w:sz w:val="24"/>
          <w:szCs w:val="24"/>
        </w:rPr>
        <w:t>ies</w:t>
      </w:r>
      <w:r w:rsidRPr="00854151">
        <w:rPr>
          <w:rFonts w:ascii="Times New Roman" w:hAnsi="Times New Roman" w:cs="Times New Roman"/>
          <w:iCs/>
          <w:noProof/>
          <w:sz w:val="24"/>
          <w:szCs w:val="24"/>
        </w:rPr>
        <w:t xml:space="preserve"> in this area; </w:t>
      </w:r>
      <w:r w:rsidR="00854151" w:rsidRPr="00854151">
        <w:rPr>
          <w:rFonts w:ascii="Times New Roman" w:hAnsi="Times New Roman" w:cs="Times New Roman"/>
          <w:iCs/>
          <w:noProof/>
          <w:sz w:val="24"/>
          <w:szCs w:val="24"/>
        </w:rPr>
        <w:t xml:space="preserve"> </w:t>
      </w:r>
    </w:p>
    <w:p w14:paraId="762EBF47" w14:textId="339EA0D4" w:rsidR="009B44DC" w:rsidRPr="00840F3F" w:rsidRDefault="009B44DC" w:rsidP="00840F3F">
      <w:pPr>
        <w:pStyle w:val="BodyText"/>
        <w:numPr>
          <w:ilvl w:val="0"/>
          <w:numId w:val="6"/>
        </w:numPr>
        <w:rPr>
          <w:rFonts w:ascii="Times New Roman" w:hAnsi="Times New Roman" w:cs="Times New Roman"/>
          <w:iCs/>
          <w:noProof/>
          <w:sz w:val="24"/>
          <w:szCs w:val="24"/>
        </w:rPr>
      </w:pPr>
      <w:r w:rsidRPr="00840F3F">
        <w:rPr>
          <w:rFonts w:ascii="Times New Roman" w:hAnsi="Times New Roman" w:cs="Times New Roman"/>
          <w:i/>
          <w:noProof/>
          <w:sz w:val="24"/>
          <w:szCs w:val="24"/>
        </w:rPr>
        <w:t>Operational management</w:t>
      </w:r>
      <w:r w:rsidRPr="00840F3F">
        <w:rPr>
          <w:rFonts w:ascii="Times New Roman" w:hAnsi="Times New Roman" w:cs="Times New Roman"/>
          <w:iCs/>
          <w:noProof/>
          <w:sz w:val="24"/>
          <w:szCs w:val="24"/>
        </w:rPr>
        <w:t xml:space="preserve"> increased by </w:t>
      </w:r>
      <w:r w:rsidR="00674862">
        <w:rPr>
          <w:rFonts w:ascii="Times New Roman" w:hAnsi="Times New Roman" w:cs="Times New Roman"/>
          <w:iCs/>
          <w:noProof/>
          <w:sz w:val="24"/>
          <w:szCs w:val="24"/>
        </w:rPr>
        <w:t>362</w:t>
      </w:r>
      <w:r w:rsidRPr="00840F3F">
        <w:rPr>
          <w:rFonts w:ascii="Times New Roman" w:hAnsi="Times New Roman" w:cs="Times New Roman"/>
          <w:iCs/>
          <w:noProof/>
          <w:sz w:val="24"/>
          <w:szCs w:val="24"/>
        </w:rPr>
        <w:t xml:space="preserve">%, reflecting an EUR </w:t>
      </w:r>
      <w:r w:rsidR="00382679">
        <w:rPr>
          <w:rFonts w:ascii="Times New Roman" w:hAnsi="Times New Roman" w:cs="Times New Roman"/>
          <w:iCs/>
          <w:noProof/>
          <w:sz w:val="24"/>
          <w:szCs w:val="24"/>
        </w:rPr>
        <w:t>167</w:t>
      </w:r>
      <w:r w:rsidR="00382679" w:rsidRPr="00840F3F">
        <w:rPr>
          <w:rFonts w:ascii="Times New Roman" w:hAnsi="Times New Roman" w:cs="Times New Roman"/>
          <w:iCs/>
          <w:noProof/>
          <w:sz w:val="24"/>
          <w:szCs w:val="24"/>
        </w:rPr>
        <w:t xml:space="preserve"> </w:t>
      </w:r>
      <w:r w:rsidRPr="00840F3F">
        <w:rPr>
          <w:rFonts w:ascii="Times New Roman" w:hAnsi="Times New Roman" w:cs="Times New Roman"/>
          <w:iCs/>
          <w:noProof/>
          <w:sz w:val="24"/>
          <w:szCs w:val="24"/>
        </w:rPr>
        <w:t xml:space="preserve">million increase by </w:t>
      </w:r>
      <w:r w:rsidR="00382679" w:rsidRPr="00840F3F">
        <w:rPr>
          <w:rFonts w:ascii="Times New Roman" w:hAnsi="Times New Roman" w:cs="Times New Roman"/>
          <w:iCs/>
          <w:noProof/>
          <w:sz w:val="24"/>
          <w:szCs w:val="24"/>
        </w:rPr>
        <w:t>202</w:t>
      </w:r>
      <w:r w:rsidR="00382679">
        <w:rPr>
          <w:rFonts w:ascii="Times New Roman" w:hAnsi="Times New Roman" w:cs="Times New Roman"/>
          <w:iCs/>
          <w:noProof/>
          <w:sz w:val="24"/>
          <w:szCs w:val="24"/>
        </w:rPr>
        <w:t>4</w:t>
      </w:r>
      <w:r w:rsidR="00382679" w:rsidRPr="00840F3F">
        <w:rPr>
          <w:rFonts w:ascii="Times New Roman" w:hAnsi="Times New Roman" w:cs="Times New Roman"/>
          <w:iCs/>
          <w:noProof/>
          <w:sz w:val="24"/>
          <w:szCs w:val="24"/>
        </w:rPr>
        <w:t xml:space="preserve"> </w:t>
      </w:r>
      <w:r w:rsidRPr="00840F3F">
        <w:rPr>
          <w:rFonts w:ascii="Times New Roman" w:hAnsi="Times New Roman" w:cs="Times New Roman"/>
          <w:iCs/>
          <w:noProof/>
          <w:sz w:val="24"/>
          <w:szCs w:val="24"/>
        </w:rPr>
        <w:t>compared to 2018. Despite this relative increase, eu-LISA demonstrated successful contributions in operational management, suggesting more efficient resource-use in this field.</w:t>
      </w:r>
    </w:p>
    <w:p w14:paraId="7A6CF0F7" w14:textId="5EEC47F7" w:rsidR="009B44DC" w:rsidRDefault="009B44DC" w:rsidP="009B44DC">
      <w:pPr>
        <w:pStyle w:val="BodyText"/>
        <w:numPr>
          <w:ilvl w:val="0"/>
          <w:numId w:val="6"/>
        </w:numPr>
        <w:rPr>
          <w:rFonts w:ascii="Times New Roman" w:hAnsi="Times New Roman" w:cs="Times New Roman"/>
          <w:iCs/>
          <w:noProof/>
          <w:sz w:val="24"/>
          <w:szCs w:val="24"/>
        </w:rPr>
      </w:pPr>
      <w:r w:rsidRPr="00C060A7">
        <w:rPr>
          <w:rFonts w:ascii="Times New Roman" w:hAnsi="Times New Roman" w:cs="Times New Roman"/>
          <w:i/>
          <w:noProof/>
          <w:sz w:val="24"/>
          <w:szCs w:val="24"/>
        </w:rPr>
        <w:t>System security and business continuity</w:t>
      </w:r>
      <w:r w:rsidRPr="00C060A7">
        <w:rPr>
          <w:rFonts w:ascii="Times New Roman" w:hAnsi="Times New Roman" w:cs="Times New Roman"/>
          <w:iCs/>
          <w:noProof/>
          <w:sz w:val="24"/>
          <w:szCs w:val="24"/>
        </w:rPr>
        <w:t xml:space="preserve">, part of the operational management ledger, increased by </w:t>
      </w:r>
      <w:r w:rsidR="00CC3152">
        <w:rPr>
          <w:rFonts w:ascii="Times New Roman" w:hAnsi="Times New Roman" w:cs="Times New Roman"/>
          <w:iCs/>
          <w:noProof/>
          <w:sz w:val="24"/>
          <w:szCs w:val="24"/>
        </w:rPr>
        <w:t>17</w:t>
      </w:r>
      <w:r w:rsidRPr="00C060A7">
        <w:rPr>
          <w:rFonts w:ascii="Times New Roman" w:hAnsi="Times New Roman" w:cs="Times New Roman"/>
          <w:iCs/>
          <w:noProof/>
          <w:sz w:val="24"/>
          <w:szCs w:val="24"/>
        </w:rPr>
        <w:t xml:space="preserve">%, while </w:t>
      </w:r>
      <w:r w:rsidRPr="00004DA6">
        <w:rPr>
          <w:rFonts w:ascii="Times New Roman" w:hAnsi="Times New Roman" w:cs="Times New Roman"/>
          <w:i/>
          <w:noProof/>
          <w:sz w:val="24"/>
          <w:szCs w:val="24"/>
        </w:rPr>
        <w:t>shared system infrastructure expenditure</w:t>
      </w:r>
      <w:r w:rsidRPr="00C060A7">
        <w:rPr>
          <w:rFonts w:ascii="Times New Roman" w:hAnsi="Times New Roman" w:cs="Times New Roman"/>
          <w:iCs/>
          <w:noProof/>
          <w:sz w:val="24"/>
          <w:szCs w:val="24"/>
        </w:rPr>
        <w:t xml:space="preserve"> decreased by </w:t>
      </w:r>
      <w:r w:rsidR="00CC3152">
        <w:rPr>
          <w:rFonts w:ascii="Times New Roman" w:hAnsi="Times New Roman" w:cs="Times New Roman"/>
          <w:iCs/>
          <w:noProof/>
          <w:sz w:val="24"/>
          <w:szCs w:val="24"/>
        </w:rPr>
        <w:t>297</w:t>
      </w:r>
      <w:r w:rsidRPr="00C060A7">
        <w:rPr>
          <w:rFonts w:ascii="Times New Roman" w:hAnsi="Times New Roman" w:cs="Times New Roman"/>
          <w:iCs/>
          <w:noProof/>
          <w:sz w:val="24"/>
          <w:szCs w:val="24"/>
        </w:rPr>
        <w:t xml:space="preserve">%, totalling EUR </w:t>
      </w:r>
      <w:r w:rsidR="00721FE7">
        <w:rPr>
          <w:rFonts w:ascii="Times New Roman" w:hAnsi="Times New Roman" w:cs="Times New Roman"/>
          <w:iCs/>
          <w:noProof/>
          <w:sz w:val="24"/>
          <w:szCs w:val="24"/>
        </w:rPr>
        <w:t>3.39 million</w:t>
      </w:r>
      <w:r w:rsidRPr="00C060A7">
        <w:rPr>
          <w:rFonts w:ascii="Times New Roman" w:hAnsi="Times New Roman" w:cs="Times New Roman"/>
          <w:iCs/>
          <w:noProof/>
          <w:sz w:val="24"/>
          <w:szCs w:val="24"/>
        </w:rPr>
        <w:t xml:space="preserve"> in </w:t>
      </w:r>
      <w:r w:rsidR="00721FE7" w:rsidRPr="00C060A7">
        <w:rPr>
          <w:rFonts w:ascii="Times New Roman" w:hAnsi="Times New Roman" w:cs="Times New Roman"/>
          <w:iCs/>
          <w:noProof/>
          <w:sz w:val="24"/>
          <w:szCs w:val="24"/>
        </w:rPr>
        <w:t>202</w:t>
      </w:r>
      <w:r w:rsidR="00721FE7">
        <w:rPr>
          <w:rFonts w:ascii="Times New Roman" w:hAnsi="Times New Roman" w:cs="Times New Roman"/>
          <w:iCs/>
          <w:noProof/>
          <w:sz w:val="24"/>
          <w:szCs w:val="24"/>
        </w:rPr>
        <w:t>4</w:t>
      </w:r>
      <w:r w:rsidRPr="00C060A7">
        <w:rPr>
          <w:rFonts w:ascii="Times New Roman" w:hAnsi="Times New Roman" w:cs="Times New Roman"/>
          <w:iCs/>
          <w:noProof/>
          <w:sz w:val="24"/>
          <w:szCs w:val="24"/>
        </w:rPr>
        <w:t>.</w:t>
      </w:r>
    </w:p>
    <w:p w14:paraId="655F1D0B" w14:textId="4F07B25F" w:rsidR="006F1B83" w:rsidRPr="002048C6" w:rsidRDefault="006F1B83" w:rsidP="00A3041F">
      <w:pPr>
        <w:jc w:val="both"/>
        <w:rPr>
          <w:rFonts w:ascii="Times New Roman" w:hAnsi="Times New Roman" w:cs="Times New Roman"/>
          <w:iCs/>
          <w:noProof/>
          <w:sz w:val="24"/>
          <w:szCs w:val="24"/>
          <w:lang w:val="en-IE"/>
        </w:rPr>
      </w:pPr>
      <w:r w:rsidRPr="002048C6">
        <w:rPr>
          <w:rFonts w:ascii="Times New Roman" w:hAnsi="Times New Roman" w:cs="Times New Roman"/>
          <w:iCs/>
          <w:noProof/>
          <w:sz w:val="24"/>
          <w:szCs w:val="24"/>
          <w:lang w:val="en-IE"/>
        </w:rPr>
        <w:t xml:space="preserve">As regards </w:t>
      </w:r>
      <w:r w:rsidRPr="002048C6">
        <w:rPr>
          <w:rFonts w:ascii="Times New Roman" w:hAnsi="Times New Roman" w:cs="Times New Roman"/>
          <w:i/>
          <w:noProof/>
          <w:sz w:val="24"/>
          <w:szCs w:val="24"/>
          <w:lang w:val="en-IE"/>
        </w:rPr>
        <w:t>staff</w:t>
      </w:r>
      <w:r w:rsidRPr="002048C6">
        <w:rPr>
          <w:rFonts w:ascii="Times New Roman" w:hAnsi="Times New Roman" w:cs="Times New Roman"/>
          <w:iCs/>
          <w:noProof/>
          <w:sz w:val="24"/>
          <w:szCs w:val="24"/>
          <w:lang w:val="en-IE"/>
        </w:rPr>
        <w:t xml:space="preserve"> (Figure 7), </w:t>
      </w:r>
      <w:r w:rsidRPr="002048C6">
        <w:rPr>
          <w:rFonts w:ascii="Times New Roman" w:hAnsi="Times New Roman" w:cs="Times New Roman"/>
          <w:noProof/>
          <w:sz w:val="24"/>
          <w:szCs w:val="24"/>
          <w:lang w:val="en-IE"/>
        </w:rPr>
        <w:t>staff</w:t>
      </w:r>
      <w:r w:rsidRPr="002048C6">
        <w:rPr>
          <w:rFonts w:ascii="Times New Roman" w:hAnsi="Times New Roman" w:cs="Times New Roman"/>
          <w:iCs/>
          <w:noProof/>
          <w:sz w:val="24"/>
          <w:szCs w:val="24"/>
          <w:lang w:val="en-IE"/>
        </w:rPr>
        <w:t xml:space="preserve"> expenditure increased by 160%, </w:t>
      </w:r>
      <w:r w:rsidR="00D25DE7" w:rsidRPr="002048C6">
        <w:rPr>
          <w:rFonts w:ascii="Times New Roman" w:hAnsi="Times New Roman" w:cs="Times New Roman"/>
          <w:iCs/>
          <w:noProof/>
          <w:sz w:val="24"/>
          <w:szCs w:val="24"/>
          <w:lang w:val="en-IE"/>
        </w:rPr>
        <w:t xml:space="preserve">an increase </w:t>
      </w:r>
      <w:r w:rsidRPr="002048C6">
        <w:rPr>
          <w:rFonts w:ascii="Times New Roman" w:hAnsi="Times New Roman" w:cs="Times New Roman"/>
          <w:iCs/>
          <w:noProof/>
          <w:sz w:val="24"/>
          <w:szCs w:val="24"/>
          <w:lang w:val="en-IE"/>
        </w:rPr>
        <w:t xml:space="preserve">consistent with the increase in staff numbers. In 2024, eu-LISA had 404 staff, translating to an average cost of EUR 104 207 per staff member. </w:t>
      </w:r>
    </w:p>
    <w:p w14:paraId="39452BE5" w14:textId="77777777" w:rsidR="00773D39" w:rsidRDefault="00773D39" w:rsidP="00773D39">
      <w:pPr>
        <w:pStyle w:val="BodyText"/>
        <w:rPr>
          <w:rFonts w:ascii="Times New Roman" w:hAnsi="Times New Roman" w:cs="Times New Roman"/>
          <w:iCs/>
          <w:noProof/>
          <w:sz w:val="24"/>
          <w:szCs w:val="24"/>
        </w:rPr>
      </w:pPr>
    </w:p>
    <w:p w14:paraId="3CB1A7C6" w14:textId="77777777" w:rsidR="006F1B83" w:rsidRDefault="006F1B83" w:rsidP="00773D39">
      <w:pPr>
        <w:pStyle w:val="BodyText"/>
        <w:rPr>
          <w:rFonts w:ascii="Times New Roman" w:hAnsi="Times New Roman" w:cs="Times New Roman"/>
          <w:iCs/>
          <w:noProof/>
          <w:sz w:val="24"/>
          <w:szCs w:val="24"/>
        </w:rPr>
      </w:pPr>
    </w:p>
    <w:p w14:paraId="38FCDF80" w14:textId="77777777" w:rsidR="006F1B83" w:rsidRDefault="006F1B83" w:rsidP="00773D39">
      <w:pPr>
        <w:pStyle w:val="BodyText"/>
        <w:rPr>
          <w:rFonts w:ascii="Times New Roman" w:hAnsi="Times New Roman" w:cs="Times New Roman"/>
          <w:iCs/>
          <w:noProof/>
          <w:sz w:val="24"/>
          <w:szCs w:val="24"/>
        </w:rPr>
      </w:pPr>
    </w:p>
    <w:p w14:paraId="3AC8A352" w14:textId="77777777" w:rsidR="006F1B83" w:rsidRDefault="006F1B83" w:rsidP="00773D39">
      <w:pPr>
        <w:pStyle w:val="BodyText"/>
        <w:rPr>
          <w:rFonts w:ascii="Times New Roman" w:hAnsi="Times New Roman" w:cs="Times New Roman"/>
          <w:iCs/>
          <w:noProof/>
          <w:sz w:val="24"/>
          <w:szCs w:val="24"/>
        </w:rPr>
      </w:pPr>
    </w:p>
    <w:p w14:paraId="74066AEB" w14:textId="77777777" w:rsidR="006F1B83" w:rsidRDefault="006F1B83" w:rsidP="00773D39">
      <w:pPr>
        <w:pStyle w:val="BodyText"/>
        <w:rPr>
          <w:rFonts w:ascii="Times New Roman" w:hAnsi="Times New Roman" w:cs="Times New Roman"/>
          <w:iCs/>
          <w:noProof/>
          <w:sz w:val="24"/>
          <w:szCs w:val="24"/>
        </w:rPr>
      </w:pPr>
    </w:p>
    <w:p w14:paraId="19B72DC7" w14:textId="0EF8500C" w:rsidR="00CD246B" w:rsidRPr="00004DA6" w:rsidRDefault="00CD246B" w:rsidP="008F60D2">
      <w:pPr>
        <w:pStyle w:val="BodyText"/>
        <w:rPr>
          <w:rFonts w:ascii="Times New Roman" w:hAnsi="Times New Roman" w:cs="Times New Roman"/>
          <w:b/>
          <w:i/>
          <w:iCs/>
          <w:noProof/>
          <w:sz w:val="24"/>
          <w:szCs w:val="24"/>
        </w:rPr>
      </w:pPr>
      <w:r w:rsidRPr="00CD246B">
        <w:rPr>
          <w:rFonts w:ascii="Times New Roman" w:hAnsi="Times New Roman" w:cs="Times New Roman"/>
          <w:b/>
          <w:i/>
          <w:iCs/>
          <w:noProof/>
          <w:sz w:val="24"/>
          <w:szCs w:val="24"/>
        </w:rPr>
        <w:t xml:space="preserve">Figure </w:t>
      </w:r>
      <w:r>
        <w:rPr>
          <w:rFonts w:ascii="Times New Roman" w:hAnsi="Times New Roman" w:cs="Times New Roman"/>
          <w:b/>
          <w:i/>
          <w:iCs/>
          <w:noProof/>
          <w:sz w:val="24"/>
          <w:szCs w:val="24"/>
        </w:rPr>
        <w:t>6</w:t>
      </w:r>
      <w:r w:rsidRPr="00CD246B">
        <w:rPr>
          <w:rFonts w:ascii="Times New Roman" w:hAnsi="Times New Roman" w:cs="Times New Roman"/>
          <w:b/>
          <w:i/>
          <w:iCs/>
          <w:noProof/>
          <w:sz w:val="24"/>
          <w:szCs w:val="24"/>
        </w:rPr>
        <w:t xml:space="preserve">: Evolution of eu-LISA’s </w:t>
      </w:r>
      <w:r>
        <w:rPr>
          <w:rFonts w:ascii="Times New Roman" w:hAnsi="Times New Roman" w:cs="Times New Roman"/>
          <w:b/>
          <w:i/>
          <w:iCs/>
          <w:noProof/>
          <w:sz w:val="24"/>
          <w:szCs w:val="24"/>
        </w:rPr>
        <w:t>expenditure on specific items from</w:t>
      </w:r>
      <w:r w:rsidRPr="00CD246B">
        <w:rPr>
          <w:rFonts w:ascii="Times New Roman" w:hAnsi="Times New Roman" w:cs="Times New Roman"/>
          <w:b/>
          <w:i/>
          <w:iCs/>
          <w:noProof/>
          <w:sz w:val="24"/>
          <w:szCs w:val="24"/>
        </w:rPr>
        <w:t xml:space="preserve"> 2018 to 2024, in million EUR</w:t>
      </w:r>
    </w:p>
    <w:p w14:paraId="033CAC1E" w14:textId="15A9F788" w:rsidR="00CD246B" w:rsidRDefault="00A46C2B" w:rsidP="00004DA6">
      <w:pPr>
        <w:pStyle w:val="BodyText"/>
        <w:jc w:val="left"/>
        <w:rPr>
          <w:rFonts w:ascii="Times New Roman" w:hAnsi="Times New Roman" w:cs="Times New Roman"/>
          <w:iCs/>
          <w:noProof/>
          <w:sz w:val="24"/>
          <w:szCs w:val="24"/>
        </w:rPr>
      </w:pPr>
      <w:r>
        <w:rPr>
          <w:rFonts w:ascii="Times New Roman" w:hAnsi="Times New Roman" w:cs="Times New Roman"/>
          <w:iCs/>
          <w:noProof/>
          <w:sz w:val="24"/>
          <w:szCs w:val="24"/>
          <w:lang w:eastAsia="en-GB"/>
        </w:rPr>
        <w:drawing>
          <wp:inline distT="0" distB="0" distL="0" distR="0" wp14:anchorId="57CE6ED6" wp14:editId="29A2B2D1">
            <wp:extent cx="5461635" cy="3240436"/>
            <wp:effectExtent l="0" t="0" r="0" b="0"/>
            <wp:docPr id="8125242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73266" cy="3247337"/>
                    </a:xfrm>
                    <a:prstGeom prst="rect">
                      <a:avLst/>
                    </a:prstGeom>
                    <a:noFill/>
                  </pic:spPr>
                </pic:pic>
              </a:graphicData>
            </a:graphic>
          </wp:inline>
        </w:drawing>
      </w:r>
    </w:p>
    <w:p w14:paraId="7F250771" w14:textId="17036D54" w:rsidR="00D25DE7" w:rsidRPr="00004DA6" w:rsidRDefault="00567BB5" w:rsidP="009B0A12">
      <w:pPr>
        <w:pStyle w:val="BodyText"/>
        <w:rPr>
          <w:rFonts w:ascii="Times New Roman" w:hAnsi="Times New Roman" w:cs="Times New Roman"/>
          <w:iCs/>
          <w:noProof/>
          <w:sz w:val="24"/>
          <w:szCs w:val="24"/>
          <w:lang w:val="fr-BE"/>
        </w:rPr>
      </w:pPr>
      <w:r w:rsidRPr="00F91B83">
        <w:rPr>
          <w:rFonts w:ascii="Times New Roman" w:hAnsi="Times New Roman"/>
          <w:i/>
          <w:iCs/>
          <w:noProof/>
          <w:szCs w:val="20"/>
          <w:lang w:val="fr-FR"/>
        </w:rPr>
        <w:t>Source: eu-LISA, Annual Accounts, 2018-2024</w:t>
      </w:r>
    </w:p>
    <w:p w14:paraId="3DFBAF45" w14:textId="77777777" w:rsidR="00A3041F" w:rsidRPr="004C2B1F" w:rsidRDefault="00A3041F" w:rsidP="009B0A12">
      <w:pPr>
        <w:pStyle w:val="BodyText"/>
        <w:rPr>
          <w:rFonts w:ascii="Times New Roman" w:hAnsi="Times New Roman" w:cs="Times New Roman"/>
          <w:b/>
          <w:i/>
          <w:iCs/>
          <w:noProof/>
          <w:sz w:val="24"/>
          <w:szCs w:val="24"/>
          <w:lang w:val="fr-BE"/>
        </w:rPr>
      </w:pPr>
    </w:p>
    <w:p w14:paraId="7611A8CE" w14:textId="22EB7531" w:rsidR="00BE510B" w:rsidRPr="00004DA6" w:rsidRDefault="00BE510B" w:rsidP="009B0A12">
      <w:pPr>
        <w:pStyle w:val="BodyText"/>
        <w:rPr>
          <w:rFonts w:ascii="Times New Roman" w:hAnsi="Times New Roman" w:cs="Times New Roman"/>
          <w:b/>
          <w:i/>
          <w:iCs/>
          <w:noProof/>
          <w:sz w:val="24"/>
          <w:szCs w:val="24"/>
        </w:rPr>
      </w:pPr>
      <w:r w:rsidRPr="00CD246B">
        <w:rPr>
          <w:rFonts w:ascii="Times New Roman" w:hAnsi="Times New Roman" w:cs="Times New Roman"/>
          <w:b/>
          <w:i/>
          <w:iCs/>
          <w:noProof/>
          <w:sz w:val="24"/>
          <w:szCs w:val="24"/>
        </w:rPr>
        <w:t xml:space="preserve">Figure </w:t>
      </w:r>
      <w:r>
        <w:rPr>
          <w:rFonts w:ascii="Times New Roman" w:hAnsi="Times New Roman" w:cs="Times New Roman"/>
          <w:b/>
          <w:i/>
          <w:iCs/>
          <w:noProof/>
          <w:sz w:val="24"/>
          <w:szCs w:val="24"/>
        </w:rPr>
        <w:t>7</w:t>
      </w:r>
      <w:r w:rsidRPr="00CD246B">
        <w:rPr>
          <w:rFonts w:ascii="Times New Roman" w:hAnsi="Times New Roman" w:cs="Times New Roman"/>
          <w:b/>
          <w:i/>
          <w:iCs/>
          <w:noProof/>
          <w:sz w:val="24"/>
          <w:szCs w:val="24"/>
        </w:rPr>
        <w:t xml:space="preserve">: Evolution of eu-LISA’s </w:t>
      </w:r>
      <w:r>
        <w:rPr>
          <w:rFonts w:ascii="Times New Roman" w:hAnsi="Times New Roman" w:cs="Times New Roman"/>
          <w:b/>
          <w:i/>
          <w:iCs/>
          <w:noProof/>
          <w:sz w:val="24"/>
          <w:szCs w:val="24"/>
        </w:rPr>
        <w:t>staff and staff expenditure,</w:t>
      </w:r>
      <w:r w:rsidRPr="00CD246B">
        <w:rPr>
          <w:rFonts w:ascii="Times New Roman" w:hAnsi="Times New Roman" w:cs="Times New Roman"/>
          <w:b/>
          <w:i/>
          <w:iCs/>
          <w:noProof/>
          <w:sz w:val="24"/>
          <w:szCs w:val="24"/>
        </w:rPr>
        <w:t xml:space="preserve"> 2018 to 2024, in million EUR</w:t>
      </w:r>
    </w:p>
    <w:p w14:paraId="6EA471A1" w14:textId="7FCCFCF8" w:rsidR="00786E37" w:rsidRDefault="00BE510B" w:rsidP="009B0A12">
      <w:pPr>
        <w:pStyle w:val="BodyText"/>
        <w:rPr>
          <w:rFonts w:ascii="Times New Roman" w:hAnsi="Times New Roman" w:cs="Times New Roman"/>
          <w:iCs/>
          <w:noProof/>
          <w:sz w:val="24"/>
          <w:szCs w:val="24"/>
        </w:rPr>
      </w:pPr>
      <w:r>
        <w:rPr>
          <w:rFonts w:ascii="Times New Roman" w:hAnsi="Times New Roman" w:cs="Times New Roman"/>
          <w:iCs/>
          <w:noProof/>
          <w:sz w:val="24"/>
          <w:szCs w:val="24"/>
          <w:lang w:eastAsia="en-GB"/>
        </w:rPr>
        <w:drawing>
          <wp:inline distT="0" distB="0" distL="0" distR="0" wp14:anchorId="55C65DC8" wp14:editId="406EC567">
            <wp:extent cx="3773805" cy="2749550"/>
            <wp:effectExtent l="0" t="0" r="0" b="0"/>
            <wp:docPr id="5199860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73805" cy="2749550"/>
                    </a:xfrm>
                    <a:prstGeom prst="rect">
                      <a:avLst/>
                    </a:prstGeom>
                    <a:noFill/>
                  </pic:spPr>
                </pic:pic>
              </a:graphicData>
            </a:graphic>
          </wp:inline>
        </w:drawing>
      </w:r>
    </w:p>
    <w:p w14:paraId="47F78F53" w14:textId="77777777" w:rsidR="00BE510B" w:rsidRPr="00F91B83" w:rsidRDefault="00BE510B" w:rsidP="00BE510B">
      <w:pPr>
        <w:pStyle w:val="BodyText"/>
        <w:rPr>
          <w:rFonts w:ascii="Times New Roman" w:hAnsi="Times New Roman" w:cs="Times New Roman"/>
          <w:iCs/>
          <w:noProof/>
          <w:sz w:val="24"/>
          <w:szCs w:val="24"/>
          <w:lang w:val="fr-BE"/>
        </w:rPr>
      </w:pPr>
      <w:r w:rsidRPr="00F91B83">
        <w:rPr>
          <w:rFonts w:ascii="Times New Roman" w:hAnsi="Times New Roman"/>
          <w:i/>
          <w:iCs/>
          <w:noProof/>
          <w:szCs w:val="20"/>
          <w:lang w:val="fr-FR"/>
        </w:rPr>
        <w:t>Source: eu-LISA, Annual Accounts, 2018-2024</w:t>
      </w:r>
    </w:p>
    <w:p w14:paraId="178FB811" w14:textId="77777777" w:rsidR="00BE510B" w:rsidRPr="00004DA6" w:rsidRDefault="00BE510B" w:rsidP="00004DA6">
      <w:pPr>
        <w:pStyle w:val="BodyText"/>
        <w:rPr>
          <w:rFonts w:ascii="Times New Roman" w:hAnsi="Times New Roman" w:cs="Times New Roman"/>
          <w:iCs/>
          <w:noProof/>
          <w:sz w:val="24"/>
          <w:szCs w:val="24"/>
          <w:lang w:val="fr-BE"/>
        </w:rPr>
      </w:pPr>
    </w:p>
    <w:p w14:paraId="01FF922F" w14:textId="4CFD7714" w:rsidR="009B44DC" w:rsidRPr="002048C6" w:rsidRDefault="009B44DC" w:rsidP="00A3041F">
      <w:pPr>
        <w:jc w:val="both"/>
        <w:rPr>
          <w:rFonts w:ascii="Times New Roman" w:hAnsi="Times New Roman" w:cs="Times New Roman"/>
          <w:iCs/>
          <w:noProof/>
          <w:sz w:val="24"/>
          <w:szCs w:val="24"/>
          <w:lang w:val="en-IE"/>
        </w:rPr>
      </w:pPr>
      <w:r w:rsidRPr="002048C6">
        <w:rPr>
          <w:rFonts w:ascii="Times New Roman" w:hAnsi="Times New Roman" w:cs="Times New Roman"/>
          <w:iCs/>
          <w:noProof/>
          <w:sz w:val="24"/>
          <w:szCs w:val="24"/>
          <w:lang w:val="en-IE"/>
        </w:rPr>
        <w:t>Despite high budget implementation rates (</w:t>
      </w:r>
      <w:r w:rsidR="00131BCA" w:rsidRPr="002048C6">
        <w:rPr>
          <w:rFonts w:ascii="Times New Roman" w:hAnsi="Times New Roman" w:cs="Times New Roman"/>
          <w:iCs/>
          <w:noProof/>
          <w:sz w:val="24"/>
          <w:szCs w:val="24"/>
          <w:lang w:val="en-IE"/>
        </w:rPr>
        <w:t>100</w:t>
      </w:r>
      <w:r w:rsidRPr="002048C6">
        <w:rPr>
          <w:rFonts w:ascii="Times New Roman" w:hAnsi="Times New Roman" w:cs="Times New Roman"/>
          <w:iCs/>
          <w:noProof/>
          <w:sz w:val="24"/>
          <w:szCs w:val="24"/>
          <w:lang w:val="en-IE"/>
        </w:rPr>
        <w:t xml:space="preserve">% for commitment appropriations and </w:t>
      </w:r>
      <w:r w:rsidR="000711CB" w:rsidRPr="002048C6">
        <w:rPr>
          <w:rFonts w:ascii="Times New Roman" w:hAnsi="Times New Roman" w:cs="Times New Roman"/>
          <w:iCs/>
          <w:noProof/>
          <w:sz w:val="24"/>
          <w:szCs w:val="24"/>
          <w:lang w:val="en-IE"/>
        </w:rPr>
        <w:t>89</w:t>
      </w:r>
      <w:r w:rsidRPr="002048C6">
        <w:rPr>
          <w:rFonts w:ascii="Times New Roman" w:hAnsi="Times New Roman" w:cs="Times New Roman"/>
          <w:iCs/>
          <w:noProof/>
          <w:sz w:val="24"/>
          <w:szCs w:val="24"/>
          <w:lang w:val="en-IE"/>
        </w:rPr>
        <w:t>.</w:t>
      </w:r>
      <w:r w:rsidR="000711CB" w:rsidRPr="002048C6">
        <w:rPr>
          <w:rFonts w:ascii="Times New Roman" w:hAnsi="Times New Roman" w:cs="Times New Roman"/>
          <w:iCs/>
          <w:noProof/>
          <w:sz w:val="24"/>
          <w:szCs w:val="24"/>
          <w:lang w:val="en-IE"/>
        </w:rPr>
        <w:t>7</w:t>
      </w:r>
      <w:r w:rsidRPr="002048C6">
        <w:rPr>
          <w:rFonts w:ascii="Times New Roman" w:hAnsi="Times New Roman" w:cs="Times New Roman"/>
          <w:iCs/>
          <w:noProof/>
          <w:sz w:val="24"/>
          <w:szCs w:val="24"/>
          <w:lang w:val="en-IE"/>
        </w:rPr>
        <w:t xml:space="preserve">% for payment appropriations in </w:t>
      </w:r>
      <w:r w:rsidR="000711CB" w:rsidRPr="002048C6">
        <w:rPr>
          <w:rFonts w:ascii="Times New Roman" w:hAnsi="Times New Roman" w:cs="Times New Roman"/>
          <w:iCs/>
          <w:noProof/>
          <w:sz w:val="24"/>
          <w:szCs w:val="24"/>
          <w:lang w:val="en-IE"/>
        </w:rPr>
        <w:t>2024</w:t>
      </w:r>
      <w:r w:rsidRPr="002048C6">
        <w:rPr>
          <w:rFonts w:ascii="Times New Roman" w:hAnsi="Times New Roman" w:cs="Times New Roman"/>
          <w:iCs/>
          <w:noProof/>
          <w:sz w:val="24"/>
          <w:szCs w:val="24"/>
          <w:lang w:val="en-IE"/>
        </w:rPr>
        <w:t xml:space="preserve">), the efficiency of budget allocation remains questionable due to the disparity between expenditures and results, particularly in new system development. The increased operational budget was better utilised, reflecting successful contributions, and administrative and infrastructure expenditures remained relatively low compared to other EU agencies, suggesting efficient resource management in these areas. However, bureaucratic barriers delayed budget allocation, leading to rapid and inefficient spending towards the end of </w:t>
      </w:r>
      <w:r w:rsidR="00546FFE" w:rsidRPr="002048C6">
        <w:rPr>
          <w:rFonts w:ascii="Times New Roman" w:hAnsi="Times New Roman" w:cs="Times New Roman"/>
          <w:iCs/>
          <w:noProof/>
          <w:sz w:val="24"/>
          <w:szCs w:val="24"/>
          <w:lang w:val="en-IE"/>
        </w:rPr>
        <w:t xml:space="preserve">budgetary </w:t>
      </w:r>
      <w:r w:rsidRPr="002048C6">
        <w:rPr>
          <w:rFonts w:ascii="Times New Roman" w:hAnsi="Times New Roman" w:cs="Times New Roman"/>
          <w:iCs/>
          <w:noProof/>
          <w:sz w:val="24"/>
          <w:szCs w:val="24"/>
          <w:lang w:val="en-IE"/>
        </w:rPr>
        <w:t>years, indicating a need for more flexible and timely budgeting processes.</w:t>
      </w:r>
    </w:p>
    <w:p w14:paraId="1AB0DDAE" w14:textId="77777777" w:rsidR="009B44DC" w:rsidRPr="00004DA6" w:rsidRDefault="009B44DC" w:rsidP="00A3041F">
      <w:pPr>
        <w:jc w:val="both"/>
        <w:rPr>
          <w:rFonts w:ascii="Times New Roman" w:hAnsi="Times New Roman" w:cs="Times New Roman"/>
          <w:iCs/>
          <w:noProof/>
          <w:sz w:val="24"/>
          <w:szCs w:val="24"/>
          <w:lang w:val="en-IE"/>
        </w:rPr>
      </w:pPr>
      <w:r w:rsidRPr="002048C6">
        <w:rPr>
          <w:rFonts w:ascii="Times New Roman" w:hAnsi="Times New Roman" w:cs="Times New Roman"/>
          <w:iCs/>
          <w:noProof/>
          <w:sz w:val="24"/>
          <w:szCs w:val="24"/>
          <w:lang w:val="en-IE"/>
        </w:rPr>
        <w:t xml:space="preserve">The evaluation also pointed out to the time-consuming nature of the annual budget allocation process, which often led to delayed and rushed spending. More importantly, the evaluation found that the Agency lacks comprehensive multi-annual planning capabilities, hampering efficient budget utilisation, with stakeholders noting the need for more strategic and less compliance-centric budget management. The iterative nature of IT development </w:t>
      </w:r>
      <w:r w:rsidRPr="00004DA6">
        <w:rPr>
          <w:rFonts w:ascii="Times New Roman" w:hAnsi="Times New Roman" w:cs="Times New Roman"/>
          <w:iCs/>
          <w:noProof/>
          <w:sz w:val="24"/>
          <w:szCs w:val="24"/>
          <w:lang w:val="en-IE"/>
        </w:rPr>
        <w:t>requires flexible resource availability, often constrained by rigid budget structures. Legal and structural constraints, such as the e-CODEX Regulation requiring full separation of resources, limit the Agency’s agility and contribute to inefficiencies.</w:t>
      </w:r>
    </w:p>
    <w:p w14:paraId="0D63017F" w14:textId="70EC72A2" w:rsidR="009B44DC" w:rsidRPr="00004DA6" w:rsidRDefault="009B44DC" w:rsidP="00A3041F">
      <w:pPr>
        <w:jc w:val="both"/>
        <w:rPr>
          <w:rFonts w:ascii="Times New Roman" w:hAnsi="Times New Roman" w:cs="Times New Roman"/>
          <w:noProof/>
          <w:sz w:val="24"/>
          <w:szCs w:val="24"/>
          <w:lang w:val="en-IE"/>
        </w:rPr>
      </w:pPr>
      <w:r w:rsidRPr="00004DA6">
        <w:rPr>
          <w:rFonts w:ascii="Times New Roman" w:hAnsi="Times New Roman" w:cs="Times New Roman"/>
          <w:noProof/>
          <w:sz w:val="24"/>
          <w:szCs w:val="24"/>
          <w:lang w:val="en-IE"/>
        </w:rPr>
        <w:t xml:space="preserve">In conclusion, while eu-LISA demonstrated adherence to EU budget rules and displayed financial diligence, there a is need to enhance its financial planning processes to ensure efficient implementation of annual budgets aligned with achieving results. The Agency would need to </w:t>
      </w:r>
      <w:r w:rsidRPr="002048C6">
        <w:rPr>
          <w:rFonts w:ascii="Times New Roman" w:hAnsi="Times New Roman" w:cs="Times New Roman"/>
          <w:iCs/>
          <w:noProof/>
          <w:sz w:val="24"/>
          <w:szCs w:val="24"/>
          <w:lang w:val="en-IE"/>
        </w:rPr>
        <w:t>develop</w:t>
      </w:r>
      <w:r w:rsidRPr="00004DA6">
        <w:rPr>
          <w:rFonts w:ascii="Times New Roman" w:hAnsi="Times New Roman" w:cs="Times New Roman"/>
          <w:noProof/>
          <w:sz w:val="24"/>
          <w:szCs w:val="24"/>
          <w:lang w:val="en-IE"/>
        </w:rPr>
        <w:t xml:space="preserve"> a comprehensive multi-annual overview and planning capability across its entire portfolio of tasks and services to establish a balanced scorecard, portfolio and pipeline management. A shift towards more strategic and flexible planning will better utilise resources, support overcoming bureaucratic barriers, enhance budget efficiency and maximising the Agency's impact.</w:t>
      </w:r>
    </w:p>
    <w:p w14:paraId="2A3D1B29" w14:textId="77777777" w:rsidR="009B44DC" w:rsidRPr="00721699" w:rsidRDefault="009B44DC" w:rsidP="004E2424">
      <w:pPr>
        <w:pStyle w:val="BodyText"/>
        <w:spacing w:before="240" w:after="240"/>
        <w:rPr>
          <w:rFonts w:ascii="Times New Roman" w:hAnsi="Times New Roman" w:cs="Times New Roman"/>
          <w:b/>
          <w:bCs/>
          <w:noProof/>
          <w:sz w:val="24"/>
          <w:szCs w:val="24"/>
        </w:rPr>
      </w:pPr>
      <w:r w:rsidRPr="004E2424">
        <w:rPr>
          <w:rFonts w:ascii="Times New Roman" w:hAnsi="Times New Roman" w:cs="Times New Roman"/>
          <w:b/>
          <w:bCs/>
          <w:i/>
          <w:iCs/>
          <w:noProof/>
          <w:sz w:val="24"/>
          <w:szCs w:val="24"/>
        </w:rPr>
        <w:t>Having regards to the Human Resource strategy, are the allocation of positions especially managerial as well as secretarial positions and the distribution of projects within the Agency’s staff in line with the Agency’s objectives?</w:t>
      </w:r>
    </w:p>
    <w:p w14:paraId="0547CC50" w14:textId="77777777" w:rsidR="009B44DC" w:rsidRPr="002048C6" w:rsidRDefault="009B44DC" w:rsidP="00A3041F">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The evaluation found there was no HR strategy in place by the Agency. eu-LISA used the Single Programming </w:t>
      </w:r>
      <w:r w:rsidRPr="004C2B1F">
        <w:rPr>
          <w:rFonts w:ascii="Times New Roman" w:hAnsi="Times New Roman" w:cs="Times New Roman"/>
          <w:iCs/>
          <w:noProof/>
          <w:sz w:val="24"/>
          <w:szCs w:val="24"/>
          <w:lang w:val="en-IE"/>
        </w:rPr>
        <w:t>Documents</w:t>
      </w:r>
      <w:r w:rsidRPr="004C2B1F">
        <w:rPr>
          <w:rFonts w:ascii="Times New Roman" w:hAnsi="Times New Roman" w:cs="Times New Roman"/>
          <w:noProof/>
          <w:sz w:val="24"/>
          <w:szCs w:val="24"/>
          <w:lang w:val="en-IE"/>
        </w:rPr>
        <w:t xml:space="preserve"> as well as the overall eu-LISA strategy as guidelines on this matter. </w:t>
      </w:r>
      <w:r w:rsidRPr="002048C6">
        <w:rPr>
          <w:rFonts w:ascii="Times New Roman" w:hAnsi="Times New Roman" w:cs="Times New Roman"/>
          <w:noProof/>
          <w:sz w:val="24"/>
          <w:szCs w:val="24"/>
          <w:lang w:val="en-IE"/>
        </w:rPr>
        <w:t>The evaluation pointed to the lack of capacities and resources allocation for the establishment of such strategy.</w:t>
      </w:r>
    </w:p>
    <w:p w14:paraId="4DA378CC" w14:textId="77777777" w:rsidR="002F6FC4" w:rsidRPr="00004DA6" w:rsidRDefault="002F6FC4" w:rsidP="002F6FC4">
      <w:pPr>
        <w:pStyle w:val="Caption"/>
        <w:keepNext/>
        <w:spacing w:after="120"/>
        <w:rPr>
          <w:rFonts w:ascii="Times New Roman" w:hAnsi="Times New Roman" w:cs="Times New Roman"/>
          <w:i/>
          <w:iCs/>
          <w:sz w:val="22"/>
        </w:rPr>
      </w:pPr>
      <w:r w:rsidRPr="00004DA6">
        <w:rPr>
          <w:rFonts w:ascii="Times New Roman" w:hAnsi="Times New Roman" w:cs="Times New Roman"/>
          <w:i/>
          <w:iCs/>
          <w:sz w:val="22"/>
        </w:rPr>
        <w:t>Figure 8: Evolution of posts and vacancy rate (2017-2024)</w:t>
      </w:r>
    </w:p>
    <w:p w14:paraId="135E1722" w14:textId="77777777" w:rsidR="002F6FC4" w:rsidRDefault="002F6FC4" w:rsidP="002F6FC4">
      <w:pPr>
        <w:contextualSpacing/>
        <w:rPr>
          <w:noProof/>
        </w:rPr>
      </w:pPr>
      <w:r>
        <w:rPr>
          <w:noProof/>
          <w:lang w:val="en-GB" w:eastAsia="en-GB"/>
        </w:rPr>
        <w:drawing>
          <wp:inline distT="0" distB="0" distL="0" distR="0" wp14:anchorId="6B46F1AD" wp14:editId="2463AB8D">
            <wp:extent cx="4429125" cy="2214306"/>
            <wp:effectExtent l="0" t="0" r="0" b="0"/>
            <wp:docPr id="1210421863" name="Picture 10" descr="A graph of a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421863" name="Picture 10" descr="A graph of a bar chart&#10;&#10;AI-generated content may be incorrec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29125" cy="2214306"/>
                    </a:xfrm>
                    <a:prstGeom prst="rect">
                      <a:avLst/>
                    </a:prstGeom>
                    <a:noFill/>
                  </pic:spPr>
                </pic:pic>
              </a:graphicData>
            </a:graphic>
          </wp:inline>
        </w:drawing>
      </w:r>
    </w:p>
    <w:p w14:paraId="1BAA31D8" w14:textId="77777777" w:rsidR="002F6FC4" w:rsidRPr="00EA24E0" w:rsidRDefault="002F6FC4" w:rsidP="002F6FC4">
      <w:pPr>
        <w:contextualSpacing/>
        <w:rPr>
          <w:noProof/>
        </w:rPr>
      </w:pPr>
      <w:r w:rsidRPr="00004DA6">
        <w:rPr>
          <w:i/>
          <w:iCs/>
          <w:noProof/>
        </w:rPr>
        <w:t>Source: eu-LISA, Annual Accounts, 2018-2024</w:t>
      </w:r>
    </w:p>
    <w:p w14:paraId="722D4456" w14:textId="77777777" w:rsidR="002F6FC4" w:rsidRDefault="002F6FC4" w:rsidP="00A3041F">
      <w:pPr>
        <w:jc w:val="both"/>
        <w:rPr>
          <w:rFonts w:ascii="Times New Roman" w:hAnsi="Times New Roman" w:cs="Times New Roman"/>
          <w:noProof/>
          <w:sz w:val="24"/>
          <w:szCs w:val="24"/>
        </w:rPr>
      </w:pPr>
    </w:p>
    <w:p w14:paraId="7A23058F" w14:textId="680B69A7" w:rsidR="009B44DC" w:rsidRDefault="009B44DC" w:rsidP="002F6FC4">
      <w:pPr>
        <w:jc w:val="both"/>
        <w:rPr>
          <w:rFonts w:ascii="Times New Roman" w:hAnsi="Times New Roman" w:cs="Times New Roman"/>
          <w:noProof/>
          <w:color w:val="000000" w:themeColor="text1"/>
          <w:sz w:val="24"/>
          <w:szCs w:val="24"/>
          <w:lang w:val="en-GB"/>
        </w:rPr>
      </w:pPr>
      <w:r w:rsidRPr="31F7896F">
        <w:rPr>
          <w:rFonts w:ascii="Times New Roman" w:hAnsi="Times New Roman" w:cs="Times New Roman"/>
          <w:noProof/>
          <w:color w:val="000000" w:themeColor="text1"/>
          <w:sz w:val="24"/>
          <w:szCs w:val="24"/>
          <w:lang w:val="en-GB"/>
        </w:rPr>
        <w:t>The substantial expansion of the Agency’s mandate was accompanied by a sharp increase in the posts available (+46% from 2018 to 2019)</w:t>
      </w:r>
      <w:r w:rsidRPr="008201CB">
        <w:rPr>
          <w:rFonts w:ascii="Times New Roman" w:hAnsi="Times New Roman" w:cs="Times New Roman"/>
          <w:noProof/>
          <w:color w:val="000000" w:themeColor="text1"/>
          <w:sz w:val="24"/>
          <w:szCs w:val="24"/>
          <w:vertAlign w:val="superscript"/>
          <w:lang w:val="en-GB"/>
        </w:rPr>
        <w:footnoteReference w:id="69"/>
      </w:r>
      <w:r w:rsidRPr="31F7896F">
        <w:rPr>
          <w:rFonts w:ascii="Times New Roman" w:hAnsi="Times New Roman" w:cs="Times New Roman"/>
          <w:i/>
          <w:iCs/>
          <w:noProof/>
          <w:color w:val="000000" w:themeColor="text1"/>
          <w:sz w:val="24"/>
          <w:szCs w:val="24"/>
          <w:lang w:val="en-GB"/>
        </w:rPr>
        <w:t xml:space="preserve">. </w:t>
      </w:r>
      <w:r w:rsidRPr="31F7896F">
        <w:rPr>
          <w:rFonts w:ascii="Times New Roman" w:hAnsi="Times New Roman" w:cs="Times New Roman"/>
          <w:noProof/>
          <w:color w:val="000000" w:themeColor="text1"/>
          <w:sz w:val="24"/>
          <w:szCs w:val="24"/>
          <w:lang w:val="en-GB"/>
        </w:rPr>
        <w:t xml:space="preserve">In a similar fashion, the number of posts has increased steadily since </w:t>
      </w:r>
      <w:r w:rsidRPr="002048C6">
        <w:rPr>
          <w:rFonts w:ascii="Times New Roman" w:hAnsi="Times New Roman" w:cs="Times New Roman"/>
          <w:iCs/>
          <w:noProof/>
          <w:sz w:val="24"/>
          <w:szCs w:val="24"/>
          <w:lang w:val="en-IE"/>
        </w:rPr>
        <w:t>then</w:t>
      </w:r>
      <w:r w:rsidRPr="31F7896F">
        <w:rPr>
          <w:rFonts w:ascii="Times New Roman" w:hAnsi="Times New Roman" w:cs="Times New Roman"/>
          <w:noProof/>
          <w:color w:val="000000" w:themeColor="text1"/>
          <w:sz w:val="24"/>
          <w:szCs w:val="24"/>
          <w:lang w:val="en-GB"/>
        </w:rPr>
        <w:t xml:space="preserve"> and more than doubled compared to 2018. At the same time, however,</w:t>
      </w:r>
      <w:r w:rsidR="00FF2B30">
        <w:rPr>
          <w:rFonts w:ascii="Times New Roman" w:hAnsi="Times New Roman" w:cs="Times New Roman"/>
          <w:noProof/>
          <w:color w:val="000000" w:themeColor="text1"/>
          <w:sz w:val="24"/>
          <w:szCs w:val="24"/>
          <w:lang w:val="en-GB"/>
        </w:rPr>
        <w:t xml:space="preserve"> from 2019 to 2023,</w:t>
      </w:r>
      <w:r w:rsidRPr="31F7896F">
        <w:rPr>
          <w:rFonts w:ascii="Times New Roman" w:hAnsi="Times New Roman" w:cs="Times New Roman"/>
          <w:noProof/>
          <w:color w:val="000000" w:themeColor="text1"/>
          <w:sz w:val="24"/>
          <w:szCs w:val="24"/>
          <w:lang w:val="en-GB"/>
        </w:rPr>
        <w:t xml:space="preserve"> eu-LISA </w:t>
      </w:r>
      <w:r w:rsidR="00FF2B30">
        <w:rPr>
          <w:rFonts w:ascii="Times New Roman" w:hAnsi="Times New Roman" w:cs="Times New Roman"/>
          <w:noProof/>
          <w:color w:val="000000" w:themeColor="text1"/>
          <w:sz w:val="24"/>
          <w:szCs w:val="24"/>
          <w:lang w:val="en-GB"/>
        </w:rPr>
        <w:t>faced</w:t>
      </w:r>
      <w:r w:rsidRPr="31F7896F">
        <w:rPr>
          <w:rFonts w:ascii="Times New Roman" w:hAnsi="Times New Roman" w:cs="Times New Roman"/>
          <w:noProof/>
          <w:color w:val="000000" w:themeColor="text1"/>
          <w:sz w:val="24"/>
          <w:szCs w:val="24"/>
          <w:lang w:val="en-GB"/>
        </w:rPr>
        <w:t xml:space="preserve"> challenges concerning the recruitment, retention, and development of human resources, which has led a continuously high number and proportion of vacancies (</w:t>
      </w:r>
      <w:r w:rsidR="008D1228">
        <w:rPr>
          <w:rFonts w:ascii="Times New Roman" w:hAnsi="Times New Roman" w:cs="Times New Roman"/>
          <w:noProof/>
          <w:color w:val="000000" w:themeColor="text1"/>
          <w:sz w:val="24"/>
          <w:szCs w:val="24"/>
          <w:lang w:val="en-GB"/>
        </w:rPr>
        <w:t xml:space="preserve">reaching a high of </w:t>
      </w:r>
      <w:r w:rsidRPr="31F7896F">
        <w:rPr>
          <w:rFonts w:ascii="Times New Roman" w:hAnsi="Times New Roman" w:cs="Times New Roman"/>
          <w:noProof/>
          <w:color w:val="000000" w:themeColor="text1"/>
          <w:sz w:val="24"/>
          <w:szCs w:val="24"/>
          <w:lang w:val="en-GB"/>
        </w:rPr>
        <w:t>18</w:t>
      </w:r>
      <w:r w:rsidR="008D1228">
        <w:rPr>
          <w:rFonts w:ascii="Times New Roman" w:hAnsi="Times New Roman" w:cs="Times New Roman"/>
          <w:noProof/>
          <w:color w:val="000000" w:themeColor="text1"/>
          <w:sz w:val="24"/>
          <w:szCs w:val="24"/>
          <w:lang w:val="en-GB"/>
        </w:rPr>
        <w:t>,2</w:t>
      </w:r>
      <w:r w:rsidRPr="31F7896F">
        <w:rPr>
          <w:rFonts w:ascii="Times New Roman" w:hAnsi="Times New Roman" w:cs="Times New Roman"/>
          <w:noProof/>
          <w:color w:val="000000" w:themeColor="text1"/>
          <w:sz w:val="24"/>
          <w:szCs w:val="24"/>
          <w:lang w:val="en-GB"/>
        </w:rPr>
        <w:t>% in 2022).</w:t>
      </w:r>
    </w:p>
    <w:p w14:paraId="2E1F64B4" w14:textId="77777777" w:rsidR="009B44DC" w:rsidRPr="002048C6" w:rsidRDefault="009B44DC" w:rsidP="002F6FC4">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 xml:space="preserve">The distribution of tasks within the Agency referred to the overall tasks that needed to be performed in order to meet the overarching objectives. This included, among others, the </w:t>
      </w:r>
      <w:r w:rsidRPr="002F6FC4">
        <w:rPr>
          <w:rFonts w:ascii="Times New Roman" w:hAnsi="Times New Roman" w:cs="Times New Roman"/>
          <w:noProof/>
          <w:color w:val="000000" w:themeColor="text1"/>
          <w:sz w:val="24"/>
          <w:szCs w:val="24"/>
          <w:lang w:val="en-GB"/>
        </w:rPr>
        <w:t>management</w:t>
      </w:r>
      <w:r w:rsidRPr="002048C6">
        <w:rPr>
          <w:rFonts w:ascii="Times New Roman" w:hAnsi="Times New Roman" w:cs="Times New Roman"/>
          <w:noProof/>
          <w:sz w:val="24"/>
          <w:szCs w:val="24"/>
          <w:lang w:val="en-IE"/>
        </w:rPr>
        <w:t xml:space="preserve"> of the large-scale IT systems, the development of new systems, or conducting relevant research according to the scope of the mandate. Hence, a clear HR strategy would better align needs and capacities of and within the Agency, decrease individual workload, and improve the hiring of suitable staff.</w:t>
      </w:r>
    </w:p>
    <w:p w14:paraId="05670691" w14:textId="77777777" w:rsidR="009B44DC" w:rsidRPr="007424D2" w:rsidRDefault="009B44DC" w:rsidP="002F6FC4">
      <w:pPr>
        <w:jc w:val="both"/>
        <w:rPr>
          <w:rFonts w:ascii="Times New Roman" w:hAnsi="Times New Roman" w:cs="Times New Roman"/>
          <w:noProof/>
          <w:color w:val="000000" w:themeColor="text1"/>
          <w:sz w:val="24"/>
          <w:szCs w:val="24"/>
          <w:lang w:val="en-GB"/>
        </w:rPr>
      </w:pPr>
      <w:r w:rsidRPr="007424D2">
        <w:rPr>
          <w:rFonts w:ascii="Times New Roman" w:hAnsi="Times New Roman" w:cs="Times New Roman"/>
          <w:noProof/>
          <w:color w:val="000000" w:themeColor="text1"/>
          <w:sz w:val="24"/>
          <w:szCs w:val="24"/>
          <w:lang w:val="en-GB"/>
        </w:rPr>
        <w:t>In the past, the Agency adopted a delivery model where staff was primarily responsible for overseeing and ensuring the delivery of contractors' work (see also section above concerning outsourcing). Concerns have been voiced about the potential dilution of responsibilities, the creation of silos, the lack of accountability and a diminishing focus on in-house development and subsequently the knowledge-base. Hence, according to stakeholders from within the Agency, knowledge management became a challenge, with eu-LISA staff being overloaded with contract management responsibilities and in addition to risking the loss of institutional knowledge.</w:t>
      </w:r>
    </w:p>
    <w:p w14:paraId="5C738C7D" w14:textId="77777777" w:rsidR="009B44DC" w:rsidRPr="007424D2" w:rsidRDefault="009B44DC" w:rsidP="002F6FC4">
      <w:pPr>
        <w:jc w:val="both"/>
        <w:rPr>
          <w:rFonts w:ascii="Times New Roman" w:hAnsi="Times New Roman" w:cs="Times New Roman"/>
          <w:noProof/>
          <w:color w:val="000000" w:themeColor="text1"/>
          <w:sz w:val="24"/>
          <w:szCs w:val="24"/>
          <w:lang w:val="en-GB"/>
        </w:rPr>
      </w:pPr>
      <w:r w:rsidRPr="007424D2">
        <w:rPr>
          <w:rFonts w:ascii="Times New Roman" w:hAnsi="Times New Roman" w:cs="Times New Roman"/>
          <w:noProof/>
          <w:color w:val="000000" w:themeColor="text1"/>
          <w:sz w:val="24"/>
          <w:szCs w:val="24"/>
          <w:lang w:val="en-GB"/>
        </w:rPr>
        <w:t xml:space="preserve">The evaluation found that Agency performed very well with regard to the operational management of existing IT systems, yet it struggled concerning the development of new systems, including due to an inefficient use and management of contractors. </w:t>
      </w:r>
    </w:p>
    <w:p w14:paraId="57E190DE" w14:textId="083DC4A8" w:rsidR="009B44DC" w:rsidRPr="004C2B1F" w:rsidRDefault="009B44DC" w:rsidP="002F6FC4">
      <w:pPr>
        <w:jc w:val="both"/>
        <w:rPr>
          <w:rFonts w:ascii="Times New Roman" w:hAnsi="Times New Roman" w:cs="Times New Roman"/>
          <w:noProof/>
          <w:color w:val="000000" w:themeColor="text1"/>
          <w:sz w:val="24"/>
          <w:szCs w:val="24"/>
          <w:lang w:val="en-IE"/>
        </w:rPr>
      </w:pPr>
      <w:r w:rsidRPr="007424D2">
        <w:rPr>
          <w:rFonts w:ascii="Times New Roman" w:hAnsi="Times New Roman" w:cs="Times New Roman"/>
          <w:noProof/>
          <w:color w:val="000000" w:themeColor="text1"/>
          <w:sz w:val="24"/>
          <w:szCs w:val="24"/>
          <w:lang w:val="en-GB"/>
        </w:rPr>
        <w:t>The ev</w:t>
      </w:r>
      <w:r w:rsidR="00583E4A">
        <w:rPr>
          <w:rFonts w:ascii="Times New Roman" w:hAnsi="Times New Roman" w:cs="Times New Roman"/>
          <w:noProof/>
          <w:color w:val="000000" w:themeColor="text1"/>
          <w:sz w:val="24"/>
          <w:szCs w:val="24"/>
          <w:lang w:val="en-GB"/>
        </w:rPr>
        <w:t>a</w:t>
      </w:r>
      <w:r w:rsidRPr="007424D2">
        <w:rPr>
          <w:rFonts w:ascii="Times New Roman" w:hAnsi="Times New Roman" w:cs="Times New Roman"/>
          <w:noProof/>
          <w:color w:val="000000" w:themeColor="text1"/>
          <w:sz w:val="24"/>
          <w:szCs w:val="24"/>
          <w:lang w:val="en-GB"/>
        </w:rPr>
        <w:t>luation found that the Agency did not a</w:t>
      </w:r>
      <w:r w:rsidRPr="004C2B1F">
        <w:rPr>
          <w:rFonts w:ascii="Times New Roman" w:hAnsi="Times New Roman" w:cs="Times New Roman"/>
          <w:noProof/>
          <w:color w:val="000000" w:themeColor="text1"/>
          <w:sz w:val="24"/>
          <w:szCs w:val="24"/>
          <w:lang w:val="en-IE"/>
        </w:rPr>
        <w:t>pproach the management of human resources from a sufficiently strategic perspective. During the previous growth phase of the Agency, staff was hired to fill an ‘</w:t>
      </w:r>
      <w:r w:rsidRPr="002F6FC4">
        <w:rPr>
          <w:rFonts w:ascii="Times New Roman" w:hAnsi="Times New Roman" w:cs="Times New Roman"/>
          <w:noProof/>
          <w:color w:val="000000" w:themeColor="text1"/>
          <w:sz w:val="24"/>
          <w:szCs w:val="24"/>
          <w:lang w:val="en-GB"/>
        </w:rPr>
        <w:t>ever</w:t>
      </w:r>
      <w:r w:rsidRPr="004C2B1F">
        <w:rPr>
          <w:rFonts w:ascii="Times New Roman" w:hAnsi="Times New Roman" w:cs="Times New Roman"/>
          <w:noProof/>
          <w:color w:val="000000" w:themeColor="text1"/>
          <w:sz w:val="24"/>
          <w:szCs w:val="24"/>
          <w:lang w:val="en-IE"/>
        </w:rPr>
        <w:t>-expanding’ number of vacant positions. The challenges related to the development of new IT systems showed that eu-LISA did not yet possess clear strategic visibility about its human resources’ pipeline and needs.</w:t>
      </w:r>
    </w:p>
    <w:p w14:paraId="037F7F5A" w14:textId="77777777" w:rsidR="009B44DC" w:rsidRPr="002048C6" w:rsidRDefault="009B44DC" w:rsidP="002F6FC4">
      <w:pPr>
        <w:jc w:val="both"/>
        <w:rPr>
          <w:rFonts w:ascii="Times New Roman" w:hAnsi="Times New Roman" w:cs="Times New Roman"/>
          <w:noProof/>
          <w:sz w:val="24"/>
          <w:szCs w:val="24"/>
          <w:lang w:val="en-IE" w:eastAsia="nl-BE"/>
        </w:rPr>
      </w:pPr>
      <w:r w:rsidRPr="00832A9F">
        <w:rPr>
          <w:rFonts w:ascii="Times New Roman" w:hAnsi="Times New Roman" w:cs="Times New Roman"/>
          <w:noProof/>
          <w:sz w:val="24"/>
          <w:szCs w:val="24"/>
          <w:lang w:val="en-US" w:eastAsia="nl-BE"/>
        </w:rPr>
        <w:t>Hence a</w:t>
      </w:r>
      <w:r w:rsidRPr="002048C6">
        <w:rPr>
          <w:rFonts w:ascii="Times New Roman" w:hAnsi="Times New Roman" w:cs="Times New Roman"/>
          <w:b/>
          <w:bCs/>
          <w:noProof/>
          <w:sz w:val="24"/>
          <w:szCs w:val="24"/>
          <w:lang w:val="en-IE" w:eastAsia="nl-BE"/>
        </w:rPr>
        <w:t xml:space="preserve"> holistic HR strategy</w:t>
      </w:r>
      <w:r w:rsidRPr="002048C6">
        <w:rPr>
          <w:rFonts w:ascii="Times New Roman" w:hAnsi="Times New Roman" w:cs="Times New Roman"/>
          <w:noProof/>
          <w:sz w:val="24"/>
          <w:szCs w:val="24"/>
          <w:lang w:val="en-IE" w:eastAsia="nl-BE"/>
        </w:rPr>
        <w:t xml:space="preserve">, as well as the appropriate tooling with which the Agency could effectively plan, prioritise, and steer the allocation of its staff holistically according to functions, roles and profiles </w:t>
      </w:r>
      <w:r w:rsidRPr="002F6FC4">
        <w:rPr>
          <w:rFonts w:ascii="Times New Roman" w:hAnsi="Times New Roman" w:cs="Times New Roman"/>
          <w:noProof/>
          <w:color w:val="000000" w:themeColor="text1"/>
          <w:sz w:val="24"/>
          <w:szCs w:val="24"/>
          <w:lang w:val="en-GB"/>
        </w:rPr>
        <w:t>in</w:t>
      </w:r>
      <w:r w:rsidRPr="002048C6">
        <w:rPr>
          <w:rFonts w:ascii="Times New Roman" w:hAnsi="Times New Roman" w:cs="Times New Roman"/>
          <w:noProof/>
          <w:sz w:val="24"/>
          <w:szCs w:val="24"/>
          <w:lang w:val="en-IE" w:eastAsia="nl-BE"/>
        </w:rPr>
        <w:t xml:space="preserve"> view of existing and future business needs, rather than positions, is missing.</w:t>
      </w:r>
    </w:p>
    <w:p w14:paraId="4D4545FC" w14:textId="017253C7" w:rsidR="009B44DC" w:rsidRPr="004C2B1F" w:rsidRDefault="009B44DC" w:rsidP="002F6FC4">
      <w:pPr>
        <w:jc w:val="both"/>
        <w:rPr>
          <w:rFonts w:ascii="Times New Roman" w:hAnsi="Times New Roman" w:cs="Times New Roman"/>
          <w:noProof/>
          <w:sz w:val="24"/>
          <w:szCs w:val="24"/>
          <w:lang w:val="en-IE" w:eastAsia="nl-BE"/>
        </w:rPr>
      </w:pPr>
      <w:r w:rsidRPr="004C2B1F">
        <w:rPr>
          <w:rFonts w:ascii="Times New Roman" w:hAnsi="Times New Roman" w:cs="Times New Roman"/>
          <w:noProof/>
          <w:sz w:val="24"/>
          <w:szCs w:val="24"/>
          <w:lang w:val="en-IE" w:eastAsia="nl-BE"/>
        </w:rPr>
        <w:t xml:space="preserve">The evaluation also found potential for improvement with regard to the Agency’s </w:t>
      </w:r>
      <w:r w:rsidRPr="004C2B1F">
        <w:rPr>
          <w:rFonts w:ascii="Times New Roman" w:hAnsi="Times New Roman" w:cs="Times New Roman"/>
          <w:b/>
          <w:bCs/>
          <w:noProof/>
          <w:sz w:val="24"/>
          <w:szCs w:val="24"/>
          <w:lang w:val="en-IE" w:eastAsia="nl-BE"/>
        </w:rPr>
        <w:t>internal knowledge management</w:t>
      </w:r>
      <w:r w:rsidRPr="004C2B1F">
        <w:rPr>
          <w:rFonts w:ascii="Times New Roman" w:hAnsi="Times New Roman" w:cs="Times New Roman"/>
          <w:noProof/>
          <w:sz w:val="24"/>
          <w:szCs w:val="24"/>
          <w:lang w:val="en-IE" w:eastAsia="nl-BE"/>
        </w:rPr>
        <w:t xml:space="preserve">. To enhance knowledge management within the Agency, implementing a job rotation programme could prove beneficial. Such initiative would entail periodically rotating staff across diverse roles, systems, or domains, addressing the issue of knowledge silos and fostering knowledge transfer. By exposing staff to various facets of the Agency's operations, this </w:t>
      </w:r>
      <w:r w:rsidRPr="002F6FC4">
        <w:rPr>
          <w:rFonts w:ascii="Times New Roman" w:hAnsi="Times New Roman" w:cs="Times New Roman"/>
          <w:noProof/>
          <w:color w:val="000000" w:themeColor="text1"/>
          <w:sz w:val="24"/>
          <w:szCs w:val="24"/>
          <w:lang w:val="en-GB"/>
        </w:rPr>
        <w:t>approach</w:t>
      </w:r>
      <w:r w:rsidRPr="004C2B1F">
        <w:rPr>
          <w:rFonts w:ascii="Times New Roman" w:hAnsi="Times New Roman" w:cs="Times New Roman"/>
          <w:noProof/>
          <w:sz w:val="24"/>
          <w:szCs w:val="24"/>
          <w:lang w:val="en-IE" w:eastAsia="nl-BE"/>
        </w:rPr>
        <w:t xml:space="preserve"> would cultivate a broader perspective and would equip staff to address technical challenges from multiple angles. Furthermore, job rotation would present new challenges and avenues for skill development.</w:t>
      </w:r>
    </w:p>
    <w:p w14:paraId="491589AA" w14:textId="2FA7BAB1" w:rsidR="009B44DC" w:rsidRPr="002048C6" w:rsidRDefault="009B44DC" w:rsidP="002F6FC4">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eastAsia="nl-BE"/>
        </w:rPr>
        <w:t xml:space="preserve">Lastly, a critical step in developing the Agency’s knowledge management would be a review and </w:t>
      </w:r>
      <w:r w:rsidR="00554729" w:rsidRPr="002048C6">
        <w:rPr>
          <w:rFonts w:ascii="Times New Roman" w:hAnsi="Times New Roman" w:cs="Times New Roman"/>
          <w:noProof/>
          <w:sz w:val="24"/>
          <w:szCs w:val="24"/>
          <w:lang w:val="en-IE" w:eastAsia="nl-BE"/>
        </w:rPr>
        <w:t>assessment</w:t>
      </w:r>
      <w:r w:rsidRPr="002048C6">
        <w:rPr>
          <w:rFonts w:ascii="Times New Roman" w:hAnsi="Times New Roman" w:cs="Times New Roman"/>
          <w:noProof/>
          <w:sz w:val="24"/>
          <w:szCs w:val="24"/>
          <w:lang w:val="en-IE" w:eastAsia="nl-BE"/>
        </w:rPr>
        <w:t xml:space="preserve"> of existing knowledge management processes, thus implementing a </w:t>
      </w:r>
      <w:r w:rsidRPr="002048C6">
        <w:rPr>
          <w:rFonts w:ascii="Times New Roman" w:hAnsi="Times New Roman" w:cs="Times New Roman"/>
          <w:b/>
          <w:bCs/>
          <w:noProof/>
          <w:sz w:val="24"/>
          <w:szCs w:val="24"/>
          <w:lang w:val="en-IE" w:eastAsia="nl-BE"/>
        </w:rPr>
        <w:t>unified Knowledge Management strategy</w:t>
      </w:r>
      <w:r w:rsidRPr="002048C6">
        <w:rPr>
          <w:rFonts w:ascii="Times New Roman" w:hAnsi="Times New Roman" w:cs="Times New Roman"/>
          <w:noProof/>
          <w:sz w:val="24"/>
          <w:szCs w:val="24"/>
          <w:lang w:val="en-IE" w:eastAsia="nl-BE"/>
        </w:rPr>
        <w:t xml:space="preserve">. Such an approach would streamline efforts, mitigate duplication of work, and ensure effective capture, sharing, and utilisation of valuable knowledge throughout the organisation. </w:t>
      </w:r>
    </w:p>
    <w:p w14:paraId="4DF63DA6" w14:textId="0D2BEAF6" w:rsidR="00985AF5" w:rsidRPr="00721699" w:rsidRDefault="009B44DC" w:rsidP="004E2424">
      <w:pPr>
        <w:pStyle w:val="BodyText"/>
        <w:spacing w:before="240" w:after="240"/>
        <w:rPr>
          <w:rFonts w:ascii="Times New Roman" w:hAnsi="Times New Roman" w:cs="Times New Roman"/>
          <w:b/>
          <w:bCs/>
          <w:noProof/>
          <w:sz w:val="24"/>
          <w:szCs w:val="24"/>
        </w:rPr>
      </w:pPr>
      <w:r w:rsidRPr="004E2424">
        <w:rPr>
          <w:rFonts w:ascii="Times New Roman" w:hAnsi="Times New Roman" w:cs="Times New Roman"/>
          <w:b/>
          <w:bCs/>
          <w:i/>
          <w:iCs/>
          <w:noProof/>
          <w:sz w:val="24"/>
          <w:szCs w:val="24"/>
        </w:rPr>
        <w:t>Is the Agency’s Human Resources strategy adequate to attract and retain high-skilled profiles in the context of the IT labour market?</w:t>
      </w:r>
    </w:p>
    <w:p w14:paraId="2752B88D" w14:textId="0C28F962" w:rsidR="009B44DC" w:rsidRPr="004C2B1F" w:rsidRDefault="009B44DC" w:rsidP="002F6FC4">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The evaluation pointed to a lack of a dedicated HR strategy document or roadmap</w:t>
      </w:r>
      <w:r w:rsidR="00AF121B" w:rsidRPr="004C2B1F">
        <w:rPr>
          <w:rFonts w:ascii="Times New Roman" w:hAnsi="Times New Roman" w:cs="Times New Roman"/>
          <w:noProof/>
          <w:sz w:val="24"/>
          <w:szCs w:val="24"/>
          <w:lang w:val="en-IE"/>
        </w:rPr>
        <w:t xml:space="preserve"> </w:t>
      </w:r>
      <w:r w:rsidRPr="004C2B1F">
        <w:rPr>
          <w:rFonts w:ascii="Times New Roman" w:hAnsi="Times New Roman" w:cs="Times New Roman"/>
          <w:noProof/>
          <w:sz w:val="24"/>
          <w:szCs w:val="24"/>
          <w:lang w:val="en-IE"/>
        </w:rPr>
        <w:t xml:space="preserve">and assessed the existing </w:t>
      </w:r>
      <w:r w:rsidRPr="004C2B1F">
        <w:rPr>
          <w:rFonts w:ascii="Times New Roman" w:hAnsi="Times New Roman" w:cs="Times New Roman"/>
          <w:noProof/>
          <w:sz w:val="24"/>
          <w:szCs w:val="24"/>
          <w:lang w:val="en-IE" w:eastAsia="nl-BE"/>
        </w:rPr>
        <w:t>challenges</w:t>
      </w:r>
      <w:r w:rsidRPr="004C2B1F">
        <w:rPr>
          <w:rFonts w:ascii="Times New Roman" w:hAnsi="Times New Roman" w:cs="Times New Roman"/>
          <w:noProof/>
          <w:sz w:val="24"/>
          <w:szCs w:val="24"/>
          <w:lang w:val="en-IE"/>
        </w:rPr>
        <w:t xml:space="preserve"> with regard to IT talent attraction and retention stemming from this gap</w:t>
      </w:r>
      <w:r w:rsidRPr="004C2B1F" w:rsidDel="002070A0">
        <w:rPr>
          <w:rFonts w:ascii="Times New Roman" w:hAnsi="Times New Roman" w:cs="Times New Roman"/>
          <w:noProof/>
          <w:sz w:val="24"/>
          <w:szCs w:val="24"/>
          <w:lang w:val="en-IE"/>
        </w:rPr>
        <w:t>.</w:t>
      </w:r>
      <w:r w:rsidRPr="004C2B1F">
        <w:rPr>
          <w:rFonts w:ascii="Times New Roman" w:hAnsi="Times New Roman" w:cs="Times New Roman"/>
          <w:noProof/>
          <w:sz w:val="24"/>
          <w:szCs w:val="24"/>
          <w:lang w:val="en-IE"/>
        </w:rPr>
        <w:t xml:space="preserve"> The evaluation identified various challenges in relation to the recruitment and staff retention:</w:t>
      </w:r>
    </w:p>
    <w:p w14:paraId="2B7EAF19" w14:textId="77777777" w:rsidR="009B44DC" w:rsidRPr="00A52392" w:rsidRDefault="009B44DC" w:rsidP="009B44DC">
      <w:pPr>
        <w:pStyle w:val="Bullet"/>
        <w:keepNext/>
        <w:numPr>
          <w:ilvl w:val="0"/>
          <w:numId w:val="89"/>
        </w:numPr>
        <w:jc w:val="both"/>
        <w:rPr>
          <w:rFonts w:ascii="Times New Roman" w:hAnsi="Times New Roman" w:cs="Times New Roman"/>
          <w:noProof/>
          <w:sz w:val="24"/>
          <w:szCs w:val="24"/>
          <w:lang w:val="en-GB"/>
        </w:rPr>
      </w:pPr>
      <w:r w:rsidRPr="00832A9F">
        <w:rPr>
          <w:rFonts w:ascii="Times New Roman" w:hAnsi="Times New Roman" w:cs="Times New Roman"/>
          <w:i/>
          <w:iCs/>
          <w:noProof/>
          <w:sz w:val="24"/>
          <w:szCs w:val="24"/>
          <w:lang w:val="en-GB"/>
        </w:rPr>
        <w:t>Strategic factors</w:t>
      </w:r>
      <w:r w:rsidRPr="00A52392">
        <w:rPr>
          <w:rFonts w:ascii="Times New Roman" w:hAnsi="Times New Roman" w:cs="Times New Roman"/>
          <w:noProof/>
          <w:sz w:val="24"/>
          <w:szCs w:val="24"/>
          <w:lang w:val="en-GB"/>
        </w:rPr>
        <w:t>: Availability of positions; Competition with private industry; Purpose and mission of the Agency (i.e. its branding); Location and facilities of the Agency;</w:t>
      </w:r>
    </w:p>
    <w:p w14:paraId="36101C90" w14:textId="19BD9188" w:rsidR="009B44DC" w:rsidRPr="00A52392" w:rsidRDefault="009B44DC" w:rsidP="009B44DC">
      <w:pPr>
        <w:pStyle w:val="Bullet"/>
        <w:numPr>
          <w:ilvl w:val="0"/>
          <w:numId w:val="89"/>
        </w:numPr>
        <w:jc w:val="both"/>
        <w:rPr>
          <w:rFonts w:ascii="Times New Roman" w:hAnsi="Times New Roman" w:cs="Times New Roman"/>
          <w:noProof/>
          <w:sz w:val="24"/>
          <w:szCs w:val="24"/>
          <w:lang w:val="en-GB"/>
        </w:rPr>
      </w:pPr>
      <w:r w:rsidRPr="00832A9F">
        <w:rPr>
          <w:rFonts w:ascii="Times New Roman" w:hAnsi="Times New Roman" w:cs="Times New Roman"/>
          <w:i/>
          <w:iCs/>
          <w:noProof/>
          <w:sz w:val="24"/>
          <w:szCs w:val="24"/>
          <w:lang w:val="en-GB"/>
        </w:rPr>
        <w:t>Contractual factors</w:t>
      </w:r>
      <w:r w:rsidRPr="00A52392">
        <w:rPr>
          <w:rFonts w:ascii="Times New Roman" w:hAnsi="Times New Roman" w:cs="Times New Roman"/>
          <w:noProof/>
          <w:sz w:val="24"/>
          <w:szCs w:val="24"/>
          <w:lang w:val="en-GB"/>
        </w:rPr>
        <w:t xml:space="preserve">: Necessity of security clearance; </w:t>
      </w:r>
      <w:r w:rsidR="00247E45">
        <w:rPr>
          <w:rFonts w:ascii="Times New Roman" w:hAnsi="Times New Roman" w:cs="Times New Roman"/>
          <w:noProof/>
          <w:sz w:val="24"/>
          <w:szCs w:val="24"/>
          <w:lang w:val="en-GB"/>
        </w:rPr>
        <w:t>the need</w:t>
      </w:r>
      <w:r w:rsidR="00247E45" w:rsidRPr="00A52392">
        <w:rPr>
          <w:rFonts w:ascii="Times New Roman" w:hAnsi="Times New Roman" w:cs="Times New Roman"/>
          <w:noProof/>
          <w:sz w:val="24"/>
          <w:szCs w:val="24"/>
          <w:lang w:val="en-GB"/>
        </w:rPr>
        <w:t xml:space="preserve"> </w:t>
      </w:r>
      <w:r w:rsidRPr="00A52392">
        <w:rPr>
          <w:rFonts w:ascii="Times New Roman" w:hAnsi="Times New Roman" w:cs="Times New Roman"/>
          <w:noProof/>
          <w:sz w:val="24"/>
          <w:szCs w:val="24"/>
          <w:lang w:val="en-GB"/>
        </w:rPr>
        <w:t>of short-term contracts; Salary and compensation package</w:t>
      </w:r>
      <w:r w:rsidR="008F49BC">
        <w:rPr>
          <w:rFonts w:ascii="Times New Roman" w:hAnsi="Times New Roman" w:cs="Times New Roman"/>
          <w:noProof/>
          <w:sz w:val="24"/>
          <w:szCs w:val="24"/>
          <w:lang w:val="en-GB"/>
        </w:rPr>
        <w:t>. These issues, however, could be mitigated through strengthened human resource management, including more strategic planning and resource allocation practices</w:t>
      </w:r>
      <w:r w:rsidR="00E33AF5">
        <w:rPr>
          <w:rFonts w:ascii="Times New Roman" w:hAnsi="Times New Roman" w:cs="Times New Roman"/>
          <w:noProof/>
          <w:sz w:val="24"/>
          <w:szCs w:val="24"/>
          <w:lang w:val="en-GB"/>
        </w:rPr>
        <w:t>;</w:t>
      </w:r>
    </w:p>
    <w:p w14:paraId="232488EC" w14:textId="77777777" w:rsidR="009B44DC" w:rsidRPr="0042559B" w:rsidRDefault="009B44DC" w:rsidP="009B44DC">
      <w:pPr>
        <w:pStyle w:val="Bullet"/>
        <w:numPr>
          <w:ilvl w:val="0"/>
          <w:numId w:val="89"/>
        </w:numPr>
        <w:jc w:val="both"/>
        <w:rPr>
          <w:rFonts w:ascii="Times New Roman" w:hAnsi="Times New Roman" w:cs="Times New Roman"/>
          <w:noProof/>
          <w:sz w:val="24"/>
          <w:szCs w:val="24"/>
          <w:lang w:val="en-GB"/>
        </w:rPr>
      </w:pPr>
      <w:r w:rsidRPr="00832A9F">
        <w:rPr>
          <w:rFonts w:ascii="Times New Roman" w:hAnsi="Times New Roman" w:cs="Times New Roman"/>
          <w:i/>
          <w:iCs/>
          <w:noProof/>
          <w:sz w:val="24"/>
          <w:szCs w:val="24"/>
          <w:lang w:val="en-GB"/>
        </w:rPr>
        <w:t>Operational considerations</w:t>
      </w:r>
      <w:r w:rsidRPr="00A52392">
        <w:rPr>
          <w:rFonts w:ascii="Times New Roman" w:hAnsi="Times New Roman" w:cs="Times New Roman"/>
          <w:noProof/>
          <w:sz w:val="24"/>
          <w:szCs w:val="24"/>
          <w:lang w:val="en-GB"/>
        </w:rPr>
        <w:t>: Ability to work with cutting-edge technology; Rigid ways of working.</w:t>
      </w:r>
    </w:p>
    <w:p w14:paraId="4BA57996" w14:textId="77777777" w:rsidR="009B44DC" w:rsidRDefault="009B44DC" w:rsidP="002F6FC4">
      <w:pPr>
        <w:jc w:val="both"/>
        <w:rPr>
          <w:rFonts w:ascii="Times New Roman" w:hAnsi="Times New Roman" w:cs="Times New Roman"/>
          <w:noProof/>
          <w:color w:val="000000" w:themeColor="text1"/>
          <w:sz w:val="24"/>
          <w:szCs w:val="24"/>
          <w:lang w:val="en-GB"/>
        </w:rPr>
      </w:pPr>
      <w:r>
        <w:rPr>
          <w:rFonts w:ascii="Times New Roman" w:hAnsi="Times New Roman" w:cs="Times New Roman"/>
          <w:noProof/>
          <w:color w:val="000000" w:themeColor="text1"/>
          <w:sz w:val="24"/>
          <w:szCs w:val="24"/>
          <w:lang w:val="en-GB"/>
        </w:rPr>
        <w:t>In addition, m</w:t>
      </w:r>
      <w:r w:rsidRPr="003A0ABB">
        <w:rPr>
          <w:rFonts w:ascii="Times New Roman" w:hAnsi="Times New Roman" w:cs="Times New Roman"/>
          <w:noProof/>
          <w:color w:val="000000" w:themeColor="text1"/>
          <w:sz w:val="24"/>
          <w:szCs w:val="24"/>
          <w:lang w:val="en-GB"/>
        </w:rPr>
        <w:t xml:space="preserve">any stakeholders from within the Agency pointed towards process-related, contractual, and </w:t>
      </w:r>
      <w:r w:rsidRPr="002048C6">
        <w:rPr>
          <w:rFonts w:ascii="Times New Roman" w:hAnsi="Times New Roman" w:cs="Times New Roman"/>
          <w:noProof/>
          <w:sz w:val="24"/>
          <w:szCs w:val="24"/>
          <w:lang w:val="en-IE" w:eastAsia="nl-BE"/>
        </w:rPr>
        <w:t>operational</w:t>
      </w:r>
      <w:r w:rsidRPr="003A0ABB">
        <w:rPr>
          <w:rFonts w:ascii="Times New Roman" w:hAnsi="Times New Roman" w:cs="Times New Roman"/>
          <w:noProof/>
          <w:color w:val="000000" w:themeColor="text1"/>
          <w:sz w:val="24"/>
          <w:szCs w:val="24"/>
          <w:lang w:val="en-GB"/>
        </w:rPr>
        <w:t xml:space="preserve"> challenges, </w:t>
      </w:r>
      <w:r>
        <w:rPr>
          <w:rFonts w:ascii="Times New Roman" w:hAnsi="Times New Roman" w:cs="Times New Roman"/>
          <w:noProof/>
          <w:color w:val="000000" w:themeColor="text1"/>
          <w:sz w:val="24"/>
          <w:szCs w:val="24"/>
          <w:lang w:val="en-GB"/>
        </w:rPr>
        <w:t>for example</w:t>
      </w:r>
      <w:r w:rsidRPr="003A0ABB">
        <w:rPr>
          <w:rFonts w:ascii="Times New Roman" w:hAnsi="Times New Roman" w:cs="Times New Roman"/>
          <w:noProof/>
          <w:color w:val="000000" w:themeColor="text1"/>
          <w:sz w:val="24"/>
          <w:szCs w:val="24"/>
          <w:lang w:val="en-GB"/>
        </w:rPr>
        <w:t xml:space="preserve"> the bureaucratic nature and undue length of the hiring processes, types of contracts available to applicants, and the Agency’s limited ability to offer working with cutting-edge technology stack, in particular AI.</w:t>
      </w:r>
    </w:p>
    <w:p w14:paraId="26363DA5" w14:textId="77777777" w:rsidR="009B44DC" w:rsidRPr="004C2B1F" w:rsidRDefault="009B44DC" w:rsidP="002F6FC4">
      <w:pPr>
        <w:jc w:val="both"/>
        <w:rPr>
          <w:rFonts w:ascii="Times New Roman" w:hAnsi="Times New Roman" w:cs="Times New Roman"/>
          <w:noProof/>
          <w:sz w:val="24"/>
          <w:szCs w:val="24"/>
          <w:lang w:val="en-IE"/>
        </w:rPr>
      </w:pPr>
      <w:r w:rsidRPr="004C2B1F">
        <w:rPr>
          <w:rFonts w:ascii="Times New Roman" w:hAnsi="Times New Roman" w:cs="Times New Roman"/>
          <w:noProof/>
          <w:color w:val="000000" w:themeColor="text1"/>
          <w:sz w:val="24"/>
          <w:szCs w:val="24"/>
          <w:lang w:val="en-IE"/>
        </w:rPr>
        <w:t xml:space="preserve">While the evaluation found that the Agency performed well with regard to the operational management of IT systems, it faced challenges concerning the development of new systems (see previous question), which could eventually have been avoided with more strategic workforce planning. </w:t>
      </w:r>
      <w:r w:rsidRPr="004C2B1F">
        <w:rPr>
          <w:rFonts w:ascii="Times New Roman" w:hAnsi="Times New Roman" w:cs="Times New Roman"/>
          <w:noProof/>
          <w:sz w:val="24"/>
          <w:szCs w:val="24"/>
          <w:lang w:val="en-IE"/>
        </w:rPr>
        <w:t>The Agency’s adoption of a delivery model where staff was primarily responsible for overseeing and ensuring the delivery of contractors' work led to knowledge management challenges and had negatively impacted staff retention.</w:t>
      </w:r>
    </w:p>
    <w:p w14:paraId="171A5AAC" w14:textId="3E41827F" w:rsidR="009B44DC" w:rsidRPr="002048C6" w:rsidRDefault="009B44DC" w:rsidP="002F6FC4">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 xml:space="preserve">The evaluation found that eu-LISA did not approach the management of human resources, including of highly-skilled profiles, from a strategic perspective. A clear strategic visibility about the human resource pipeline was missing, as the recruitment was still being performed rather ‘position by </w:t>
      </w:r>
      <w:r w:rsidRPr="002048C6">
        <w:rPr>
          <w:rFonts w:ascii="Times New Roman" w:hAnsi="Times New Roman" w:cs="Times New Roman"/>
          <w:noProof/>
          <w:color w:val="000000" w:themeColor="text1"/>
          <w:sz w:val="24"/>
          <w:szCs w:val="24"/>
          <w:lang w:val="en-IE"/>
        </w:rPr>
        <w:t>position’</w:t>
      </w:r>
      <w:r w:rsidRPr="002048C6">
        <w:rPr>
          <w:rFonts w:ascii="Times New Roman" w:hAnsi="Times New Roman" w:cs="Times New Roman"/>
          <w:noProof/>
          <w:sz w:val="24"/>
          <w:szCs w:val="24"/>
          <w:lang w:val="en-IE"/>
        </w:rPr>
        <w:t xml:space="preserve"> in order to deliver as effectively and efficiently as possible on its tasks while simultaneously avoiding shortages.</w:t>
      </w:r>
    </w:p>
    <w:p w14:paraId="691532A0" w14:textId="77777777" w:rsidR="009B44DC" w:rsidRPr="00721699" w:rsidRDefault="009B44DC" w:rsidP="004E2424">
      <w:pPr>
        <w:pStyle w:val="BodyText"/>
        <w:spacing w:before="240" w:after="240"/>
        <w:rPr>
          <w:rFonts w:ascii="Times New Roman" w:hAnsi="Times New Roman" w:cs="Times New Roman"/>
          <w:b/>
          <w:bCs/>
          <w:noProof/>
          <w:sz w:val="24"/>
          <w:szCs w:val="24"/>
        </w:rPr>
      </w:pPr>
      <w:r w:rsidRPr="004E2424">
        <w:rPr>
          <w:rFonts w:ascii="Times New Roman" w:hAnsi="Times New Roman" w:cs="Times New Roman"/>
          <w:b/>
          <w:bCs/>
          <w:i/>
          <w:iCs/>
          <w:noProof/>
          <w:sz w:val="24"/>
          <w:szCs w:val="24"/>
        </w:rPr>
        <w:t>To what extent does the internal organisation of eu-LISA allow and provide the distribution of resources, competences and sharing of responsibilities between IT systems?</w:t>
      </w:r>
    </w:p>
    <w:p w14:paraId="6D442287" w14:textId="42997969" w:rsidR="009B44DC" w:rsidRPr="004C2B1F" w:rsidRDefault="009B44DC" w:rsidP="002F6FC4">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The evaluation found that the internal organisation of eu-LISA should allow for the distribution of resources, competences and sharing of responsibilities between IT systems. In practice, however, the existing structures within the Agency have led to team allocations specifically tailored for large </w:t>
      </w:r>
      <w:r w:rsidRPr="004C2B1F">
        <w:rPr>
          <w:rFonts w:ascii="Times New Roman" w:hAnsi="Times New Roman" w:cs="Times New Roman"/>
          <w:noProof/>
          <w:color w:val="000000" w:themeColor="text1"/>
          <w:sz w:val="24"/>
          <w:szCs w:val="24"/>
          <w:lang w:val="en-IE"/>
        </w:rPr>
        <w:t>implementation</w:t>
      </w:r>
      <w:r w:rsidRPr="004C2B1F">
        <w:rPr>
          <w:rFonts w:ascii="Times New Roman" w:hAnsi="Times New Roman" w:cs="Times New Roman"/>
          <w:noProof/>
          <w:sz w:val="24"/>
          <w:szCs w:val="24"/>
          <w:lang w:val="en-IE"/>
        </w:rPr>
        <w:t xml:space="preserve"> initiatives. While this approach enabled deep specialisation and holds the promise of optimal IT delivery and improved time to market, it also created knowledge silos and posed risks in terms of sharing expertise. </w:t>
      </w:r>
      <w:r w:rsidR="00BF26DA" w:rsidRPr="004C2B1F">
        <w:rPr>
          <w:rFonts w:ascii="Times New Roman" w:hAnsi="Times New Roman" w:cs="Times New Roman"/>
          <w:noProof/>
          <w:sz w:val="24"/>
          <w:szCs w:val="24"/>
          <w:lang w:val="en-IE"/>
        </w:rPr>
        <w:t xml:space="preserve">This is particularly relevant given that one of the Agency’s core tasks involved ensuring interoperability across large-scale IT systems, yet its internal structure continue to reflect a silo-based approach. </w:t>
      </w:r>
      <w:r w:rsidRPr="004C2B1F">
        <w:rPr>
          <w:rFonts w:ascii="Times New Roman" w:hAnsi="Times New Roman" w:cs="Times New Roman"/>
          <w:noProof/>
          <w:sz w:val="24"/>
          <w:szCs w:val="24"/>
          <w:lang w:val="en-IE"/>
        </w:rPr>
        <w:t xml:space="preserve">Additionally, heavy reliance on outsourcing further aggravated the issue, as it increased the risk of </w:t>
      </w:r>
      <w:r w:rsidR="003007BB" w:rsidRPr="004C2B1F">
        <w:rPr>
          <w:rFonts w:ascii="Times New Roman" w:hAnsi="Times New Roman" w:cs="Times New Roman"/>
          <w:noProof/>
          <w:sz w:val="24"/>
          <w:szCs w:val="24"/>
          <w:lang w:val="en-IE"/>
        </w:rPr>
        <w:t xml:space="preserve">lack of </w:t>
      </w:r>
      <w:r w:rsidRPr="004C2B1F">
        <w:rPr>
          <w:rFonts w:ascii="Times New Roman" w:hAnsi="Times New Roman" w:cs="Times New Roman"/>
          <w:noProof/>
          <w:sz w:val="24"/>
          <w:szCs w:val="24"/>
          <w:lang w:val="en-IE"/>
        </w:rPr>
        <w:t>knowledge-sharing and created dependence on external vendors. At this moment, the Agency depends on essential Subject Matter Experts (SME) and various documents to facilitate the sharing of expertise among the teams.</w:t>
      </w:r>
    </w:p>
    <w:p w14:paraId="69ED7F4A" w14:textId="77777777" w:rsidR="009B44DC" w:rsidRPr="002048C6" w:rsidRDefault="009B44DC" w:rsidP="002F6FC4">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 xml:space="preserve">Enhancing eu-LISA's flexibility implies a conscious shift towards a more interconnected, agile and fluid organisational structure. It is important to mention that the Agency is already adopting agile practices, diminishing its dependence on traditional waterfall project management, which will further enhance teamwork and the exchange of expertise across large-scale programmes. As a consequence, eu-LISA has already introduced and is </w:t>
      </w:r>
      <w:r w:rsidRPr="002048C6">
        <w:rPr>
          <w:rFonts w:ascii="Times New Roman" w:hAnsi="Times New Roman" w:cs="Times New Roman"/>
          <w:noProof/>
          <w:color w:val="000000" w:themeColor="text1"/>
          <w:sz w:val="24"/>
          <w:szCs w:val="24"/>
          <w:lang w:val="en-IE"/>
        </w:rPr>
        <w:t>currently</w:t>
      </w:r>
      <w:r w:rsidRPr="002048C6">
        <w:rPr>
          <w:rFonts w:ascii="Times New Roman" w:hAnsi="Times New Roman" w:cs="Times New Roman"/>
          <w:noProof/>
          <w:sz w:val="24"/>
          <w:szCs w:val="24"/>
          <w:lang w:val="en-IE"/>
        </w:rPr>
        <w:t xml:space="preserve"> scaling the use of more agile squads and waves in order to break up existing silos.</w:t>
      </w:r>
    </w:p>
    <w:p w14:paraId="5739299A" w14:textId="7B4265E8" w:rsidR="009B44DC" w:rsidRPr="002048C6" w:rsidRDefault="009B44DC" w:rsidP="002F6FC4">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 xml:space="preserve">Although operational work in relation to existing systems and systems under development is highly specific to each of the systems, there are also horizontal aspects that need to be aligned across systems. On the one hand, eu-LISA ensures the proper implementation of such </w:t>
      </w:r>
      <w:r w:rsidRPr="002048C6">
        <w:rPr>
          <w:rFonts w:ascii="Times New Roman" w:hAnsi="Times New Roman" w:cs="Times New Roman"/>
          <w:noProof/>
          <w:color w:val="000000" w:themeColor="text1"/>
          <w:sz w:val="24"/>
          <w:szCs w:val="24"/>
          <w:lang w:val="en-IE"/>
        </w:rPr>
        <w:t>aspects</w:t>
      </w:r>
      <w:r w:rsidRPr="002048C6">
        <w:rPr>
          <w:rFonts w:ascii="Times New Roman" w:hAnsi="Times New Roman" w:cs="Times New Roman"/>
          <w:noProof/>
          <w:sz w:val="24"/>
          <w:szCs w:val="24"/>
          <w:lang w:val="en-IE"/>
        </w:rPr>
        <w:t xml:space="preserve"> through allowing functional / horizontal procurement as part of TEF / TOF</w:t>
      </w:r>
      <w:r w:rsidR="008F49BC" w:rsidRPr="002048C6">
        <w:rPr>
          <w:rFonts w:ascii="Times New Roman" w:hAnsi="Times New Roman" w:cs="Times New Roman"/>
          <w:noProof/>
          <w:sz w:val="24"/>
          <w:szCs w:val="24"/>
          <w:lang w:val="en-IE"/>
        </w:rPr>
        <w:t xml:space="preserve"> (</w:t>
      </w:r>
      <w:r w:rsidR="00F46C56" w:rsidRPr="002048C6">
        <w:rPr>
          <w:rFonts w:ascii="Times New Roman" w:hAnsi="Times New Roman" w:cs="Times New Roman"/>
          <w:noProof/>
          <w:sz w:val="24"/>
          <w:szCs w:val="24"/>
          <w:lang w:val="en-IE"/>
        </w:rPr>
        <w:t>Transversal Engineering Framework</w:t>
      </w:r>
      <w:r w:rsidR="008F49BC" w:rsidRPr="002048C6">
        <w:rPr>
          <w:rFonts w:ascii="Times New Roman" w:hAnsi="Times New Roman" w:cs="Times New Roman"/>
          <w:noProof/>
          <w:sz w:val="24"/>
          <w:szCs w:val="24"/>
          <w:lang w:val="en-IE"/>
        </w:rPr>
        <w:t>/</w:t>
      </w:r>
      <w:r w:rsidR="00F46C56" w:rsidRPr="002048C6">
        <w:rPr>
          <w:rFonts w:ascii="Times New Roman" w:hAnsi="Times New Roman" w:cs="Times New Roman"/>
          <w:noProof/>
          <w:sz w:val="24"/>
          <w:szCs w:val="24"/>
          <w:lang w:val="en-IE"/>
        </w:rPr>
        <w:t>Transversal Operation Framework</w:t>
      </w:r>
      <w:r w:rsidR="008F49BC" w:rsidRPr="002048C6">
        <w:rPr>
          <w:rFonts w:ascii="Times New Roman" w:hAnsi="Times New Roman" w:cs="Times New Roman"/>
          <w:noProof/>
          <w:sz w:val="24"/>
          <w:szCs w:val="24"/>
          <w:lang w:val="en-IE"/>
        </w:rPr>
        <w:t>)</w:t>
      </w:r>
      <w:r w:rsidRPr="002048C6">
        <w:rPr>
          <w:rFonts w:ascii="Times New Roman" w:hAnsi="Times New Roman" w:cs="Times New Roman"/>
          <w:noProof/>
          <w:sz w:val="24"/>
          <w:szCs w:val="24"/>
          <w:lang w:val="en-IE"/>
        </w:rPr>
        <w:t>. On the other hand, there seems to be only a practical separation between existing systems and systems under management. Eu-LISA staff only being able to work on one or the other makes sense, given that different skills, expertise and experience are required in relation to both of them.</w:t>
      </w:r>
    </w:p>
    <w:p w14:paraId="46FDCC1E" w14:textId="7CBCED30" w:rsidR="009B44DC" w:rsidRPr="002048C6" w:rsidRDefault="009B44DC" w:rsidP="002F6FC4">
      <w:pPr>
        <w:jc w:val="both"/>
        <w:rPr>
          <w:rFonts w:ascii="Times New Roman" w:hAnsi="Times New Roman" w:cs="Times New Roman"/>
          <w:noProof/>
          <w:color w:val="000000" w:themeColor="text1"/>
          <w:sz w:val="24"/>
          <w:szCs w:val="24"/>
          <w:lang w:val="en-IE"/>
        </w:rPr>
      </w:pPr>
      <w:r w:rsidRPr="004C2B1F">
        <w:rPr>
          <w:rFonts w:ascii="Times New Roman" w:hAnsi="Times New Roman" w:cs="Times New Roman"/>
          <w:noProof/>
          <w:sz w:val="24"/>
          <w:szCs w:val="24"/>
          <w:lang w:val="en-IE"/>
        </w:rPr>
        <w:t xml:space="preserve">However, with e-CODEX, there is also an exception: </w:t>
      </w:r>
      <w:r w:rsidRPr="004C2B1F">
        <w:rPr>
          <w:rFonts w:ascii="Times New Roman" w:hAnsi="Times New Roman" w:cs="Times New Roman"/>
          <w:noProof/>
          <w:color w:val="000000" w:themeColor="text1"/>
          <w:sz w:val="24"/>
          <w:szCs w:val="24"/>
          <w:lang w:val="en-IE"/>
        </w:rPr>
        <w:t>The e-CODEX Regulation specifies that resources devoted to e-CODEX may only conduct work in relation to this system and not to other</w:t>
      </w:r>
      <w:r w:rsidR="003E6E51" w:rsidRPr="004C2B1F">
        <w:rPr>
          <w:rFonts w:ascii="Times New Roman" w:hAnsi="Times New Roman" w:cs="Times New Roman"/>
          <w:noProof/>
          <w:color w:val="000000" w:themeColor="text1"/>
          <w:sz w:val="24"/>
          <w:szCs w:val="24"/>
          <w:lang w:val="en-IE"/>
        </w:rPr>
        <w:t>s</w:t>
      </w:r>
      <w:r w:rsidRPr="004C2B1F">
        <w:rPr>
          <w:rFonts w:ascii="Times New Roman" w:hAnsi="Times New Roman" w:cs="Times New Roman"/>
          <w:noProof/>
          <w:color w:val="000000" w:themeColor="text1"/>
          <w:sz w:val="24"/>
          <w:szCs w:val="24"/>
          <w:lang w:val="en-IE"/>
        </w:rPr>
        <w:t xml:space="preserve">. </w:t>
      </w:r>
      <w:r w:rsidRPr="002048C6">
        <w:rPr>
          <w:rFonts w:ascii="Times New Roman" w:hAnsi="Times New Roman" w:cs="Times New Roman"/>
          <w:noProof/>
          <w:color w:val="000000" w:themeColor="text1"/>
          <w:sz w:val="24"/>
          <w:szCs w:val="24"/>
          <w:lang w:val="en-IE"/>
        </w:rPr>
        <w:t>This is augmented through the e-CODEX Regulation specifying that the operational management of e-CODEX shall take place in Tallinn (which is not consistent with eu-LISA’s organisational set-up, as the IT facilities and relevant staff are based in Strasbourg). Hence, does not allow eu-LISA to apply its tested and proven business model but necessitates changes, both in the organisational structure, processes (including recruitment and budgeting).</w:t>
      </w:r>
    </w:p>
    <w:p w14:paraId="7E9D6030" w14:textId="54DAAEFA" w:rsidR="00D0125A" w:rsidRPr="002048C6" w:rsidRDefault="00D0125A" w:rsidP="002F6FC4">
      <w:pPr>
        <w:jc w:val="both"/>
        <w:rPr>
          <w:rFonts w:ascii="Times New Roman" w:hAnsi="Times New Roman" w:cs="Times New Roman"/>
          <w:noProof/>
          <w:color w:val="000000" w:themeColor="text1"/>
          <w:sz w:val="24"/>
          <w:szCs w:val="24"/>
          <w:lang w:val="en-IE"/>
        </w:rPr>
      </w:pPr>
      <w:r w:rsidRPr="002048C6">
        <w:rPr>
          <w:rFonts w:ascii="Times New Roman" w:hAnsi="Times New Roman" w:cs="Times New Roman"/>
          <w:noProof/>
          <w:color w:val="000000" w:themeColor="text1"/>
          <w:sz w:val="24"/>
          <w:szCs w:val="24"/>
          <w:lang w:val="en-IE"/>
        </w:rPr>
        <w:t xml:space="preserve">Given that the human and financial resources allocated to e-CODEX remain comparatively small, </w:t>
      </w:r>
      <w:r w:rsidR="001F747E" w:rsidRPr="002048C6">
        <w:rPr>
          <w:rFonts w:ascii="Times New Roman" w:hAnsi="Times New Roman" w:cs="Times New Roman"/>
          <w:noProof/>
          <w:color w:val="000000" w:themeColor="text1"/>
          <w:sz w:val="24"/>
          <w:szCs w:val="24"/>
          <w:lang w:val="en-IE"/>
        </w:rPr>
        <w:t xml:space="preserve">these organisational restrictions could create limitations for maximising the system’s potential and, more broadly, for enabling the Agency to fully deliver on its objectives of increased effectiveness and efficiency. </w:t>
      </w:r>
    </w:p>
    <w:p w14:paraId="5239A16C" w14:textId="77777777" w:rsidR="009B44DC" w:rsidRPr="00721699" w:rsidRDefault="009B44DC" w:rsidP="004E2424">
      <w:pPr>
        <w:pStyle w:val="BodyText"/>
        <w:spacing w:before="240" w:after="240"/>
        <w:rPr>
          <w:rFonts w:ascii="Times New Roman" w:hAnsi="Times New Roman" w:cs="Times New Roman"/>
          <w:b/>
          <w:bCs/>
          <w:noProof/>
          <w:sz w:val="24"/>
          <w:szCs w:val="24"/>
        </w:rPr>
      </w:pPr>
      <w:r w:rsidRPr="004E2424">
        <w:rPr>
          <w:rFonts w:ascii="Times New Roman" w:hAnsi="Times New Roman" w:cs="Times New Roman"/>
          <w:b/>
          <w:bCs/>
          <w:i/>
          <w:iCs/>
          <w:noProof/>
          <w:sz w:val="24"/>
          <w:szCs w:val="24"/>
        </w:rPr>
        <w:t>Is the technology used by the Agency the most suitable to deliver its tasks? Is the Agency using the most advanced technology?</w:t>
      </w:r>
    </w:p>
    <w:p w14:paraId="07F27F7C" w14:textId="77777777" w:rsidR="009B44DC" w:rsidRPr="004C2B1F" w:rsidRDefault="009B44DC" w:rsidP="002F6FC4">
      <w:pPr>
        <w:jc w:val="both"/>
        <w:rPr>
          <w:rFonts w:ascii="Times New Roman" w:hAnsi="Times New Roman" w:cs="Times New Roman"/>
          <w:noProof/>
          <w:sz w:val="24"/>
          <w:szCs w:val="24"/>
          <w:lang w:val="en-IE" w:eastAsia="de-DE"/>
        </w:rPr>
      </w:pPr>
      <w:r w:rsidRPr="004C2B1F">
        <w:rPr>
          <w:rFonts w:ascii="Times New Roman" w:hAnsi="Times New Roman" w:cs="Times New Roman"/>
          <w:noProof/>
          <w:sz w:val="24"/>
          <w:szCs w:val="24"/>
          <w:lang w:val="en-IE" w:eastAsia="de-DE"/>
        </w:rPr>
        <w:t xml:space="preserve">The evaluation of whether eu-LISA's technology is the most suitable for its tasks and if the Agency is using the most advanced technology paints a nuanced picture. While the evaluation noted eu-LISA's proactive approach in adopting cutting-edge technologies such as cloud, AI, and DevSecOps, operational constraints and regulatory barriers posed challenges to fully leveraging these innovations. </w:t>
      </w:r>
    </w:p>
    <w:p w14:paraId="7D1163F4" w14:textId="072BE1E0" w:rsidR="009B44DC" w:rsidRPr="004C2B1F" w:rsidRDefault="009B44DC" w:rsidP="002F6FC4">
      <w:pPr>
        <w:jc w:val="both"/>
        <w:rPr>
          <w:rFonts w:ascii="Times New Roman" w:hAnsi="Times New Roman" w:cs="Times New Roman"/>
          <w:noProof/>
          <w:sz w:val="24"/>
          <w:szCs w:val="24"/>
          <w:lang w:val="en-IE" w:eastAsia="de-DE"/>
        </w:rPr>
      </w:pPr>
      <w:r w:rsidRPr="004C2B1F">
        <w:rPr>
          <w:rFonts w:ascii="Times New Roman" w:hAnsi="Times New Roman" w:cs="Times New Roman"/>
          <w:noProof/>
          <w:sz w:val="24"/>
          <w:szCs w:val="24"/>
          <w:lang w:val="en-IE" w:eastAsia="de-DE"/>
        </w:rPr>
        <w:t xml:space="preserve">In particular, the Agency’s mandate and the establishing Regulations of IT systems include legal barriers to working with cutting-edge technologies such as cloud computing, quantum computing, and AI. For example, Article 5 of the </w:t>
      </w:r>
      <w:r w:rsidR="00855F0C" w:rsidRPr="004C2B1F">
        <w:rPr>
          <w:rFonts w:ascii="Times New Roman" w:hAnsi="Times New Roman" w:cs="Times New Roman"/>
          <w:noProof/>
          <w:sz w:val="24"/>
          <w:szCs w:val="24"/>
          <w:lang w:val="en-IE" w:eastAsia="de-DE"/>
        </w:rPr>
        <w:t xml:space="preserve">eu-LISA </w:t>
      </w:r>
      <w:r w:rsidRPr="004C2B1F">
        <w:rPr>
          <w:rFonts w:ascii="Times New Roman" w:hAnsi="Times New Roman" w:cs="Times New Roman"/>
          <w:noProof/>
          <w:sz w:val="24"/>
          <w:szCs w:val="24"/>
          <w:lang w:val="en-IE" w:eastAsia="de-DE"/>
        </w:rPr>
        <w:t xml:space="preserve">Regulation provides requirements to process all data on-premise for all operations, which limits the flexibility in technology choices and introduces challenges common to large-scale IT systems leveraging on-premise solutions. </w:t>
      </w:r>
    </w:p>
    <w:p w14:paraId="1F34726A" w14:textId="64590268" w:rsidR="009B44DC" w:rsidRPr="002048C6" w:rsidRDefault="009B44DC" w:rsidP="002F6FC4">
      <w:pPr>
        <w:jc w:val="both"/>
        <w:rPr>
          <w:rFonts w:ascii="Times New Roman" w:hAnsi="Times New Roman" w:cs="Times New Roman"/>
          <w:noProof/>
          <w:sz w:val="24"/>
          <w:szCs w:val="24"/>
          <w:lang w:val="en-IE" w:eastAsia="de-DE"/>
        </w:rPr>
      </w:pPr>
      <w:r w:rsidRPr="004C2B1F">
        <w:rPr>
          <w:rFonts w:ascii="Times New Roman" w:hAnsi="Times New Roman" w:cs="Times New Roman"/>
          <w:noProof/>
          <w:sz w:val="24"/>
          <w:szCs w:val="24"/>
          <w:lang w:val="en-IE" w:eastAsia="de-DE"/>
        </w:rPr>
        <w:t xml:space="preserve">Despite these challenges, there is recognition of eu-LISA's pursuit of innovation and operational efficiency by key actors of the Agency, who see untapped potential of innovation that they are currently exploring. </w:t>
      </w:r>
      <w:r w:rsidRPr="002048C6">
        <w:rPr>
          <w:rFonts w:ascii="Times New Roman" w:hAnsi="Times New Roman" w:cs="Times New Roman"/>
          <w:noProof/>
          <w:sz w:val="24"/>
          <w:szCs w:val="24"/>
          <w:lang w:val="en-IE" w:eastAsia="de-DE"/>
        </w:rPr>
        <w:t>For example, the Agency is exploring AI-driven analytics for real-time monitoring and the integration of AI-based applications such as chatbots and LLMs</w:t>
      </w:r>
      <w:r w:rsidR="00D67F02" w:rsidRPr="002048C6">
        <w:rPr>
          <w:rFonts w:ascii="Times New Roman" w:hAnsi="Times New Roman" w:cs="Times New Roman"/>
          <w:noProof/>
          <w:sz w:val="24"/>
          <w:szCs w:val="24"/>
          <w:lang w:val="en-IE" w:eastAsia="de-DE"/>
        </w:rPr>
        <w:t xml:space="preserve"> (Large Language Models)</w:t>
      </w:r>
      <w:r w:rsidRPr="002048C6">
        <w:rPr>
          <w:rFonts w:ascii="Times New Roman" w:hAnsi="Times New Roman" w:cs="Times New Roman"/>
          <w:noProof/>
          <w:sz w:val="24"/>
          <w:szCs w:val="24"/>
          <w:lang w:val="en-IE" w:eastAsia="de-DE"/>
        </w:rPr>
        <w:t xml:space="preserve"> for first-level support.</w:t>
      </w:r>
    </w:p>
    <w:p w14:paraId="3A162034" w14:textId="5446573F" w:rsidR="009B44DC" w:rsidRPr="002048C6" w:rsidRDefault="009B44DC" w:rsidP="002F6FC4">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eastAsia="de-DE"/>
        </w:rPr>
        <w:t>Survey responses further provide insights into various aspects of eu-LISA's technological landscape. According to the majority of responses (82%) the Agency has succeeded or largely succeeded inusing the best available technology for core systems SIS and VIS</w:t>
      </w:r>
      <w:r w:rsidR="00855F0C" w:rsidRPr="002048C6">
        <w:rPr>
          <w:rFonts w:ascii="Times New Roman" w:hAnsi="Times New Roman" w:cs="Times New Roman"/>
          <w:noProof/>
          <w:sz w:val="24"/>
          <w:szCs w:val="24"/>
          <w:lang w:val="en-IE" w:eastAsia="de-DE"/>
        </w:rPr>
        <w:t>.</w:t>
      </w:r>
      <w:r w:rsidR="0087742D">
        <w:rPr>
          <w:rStyle w:val="FootnoteReference"/>
          <w:rFonts w:ascii="Times New Roman" w:hAnsi="Times New Roman" w:cs="Times New Roman"/>
          <w:noProof/>
          <w:szCs w:val="24"/>
          <w:lang w:eastAsia="de-DE"/>
        </w:rPr>
        <w:footnoteReference w:id="70"/>
      </w:r>
      <w:r w:rsidR="00855F0C" w:rsidRPr="002048C6">
        <w:rPr>
          <w:rFonts w:ascii="Times New Roman" w:hAnsi="Times New Roman" w:cs="Times New Roman"/>
          <w:noProof/>
          <w:sz w:val="24"/>
          <w:szCs w:val="24"/>
          <w:lang w:val="en-IE" w:eastAsia="de-DE"/>
        </w:rPr>
        <w:t xml:space="preserve"> </w:t>
      </w:r>
      <w:r w:rsidRPr="002048C6">
        <w:rPr>
          <w:rFonts w:ascii="Times New Roman" w:hAnsi="Times New Roman" w:cs="Times New Roman"/>
          <w:noProof/>
          <w:sz w:val="24"/>
          <w:szCs w:val="24"/>
          <w:lang w:val="en-IE" w:eastAsia="de-DE"/>
        </w:rPr>
        <w:t xml:space="preserve">Additionally, there is a recognition of the importance of keeping up with new technologies, increasing research and pilot testing capabilities, implementing stronger feedback and cooperation mechanisms, and addressing new needs such as AI for identification and biometric data, cloud services, cybersecurity, agile workflow, communication, and test environment improvements (e.g. test automation). </w:t>
      </w:r>
    </w:p>
    <w:p w14:paraId="7DDE409B" w14:textId="77777777" w:rsidR="009B44DC" w:rsidRPr="004C2B1F" w:rsidRDefault="009B44DC" w:rsidP="002F6FC4">
      <w:pPr>
        <w:jc w:val="both"/>
        <w:rPr>
          <w:rFonts w:ascii="Times New Roman" w:hAnsi="Times New Roman" w:cs="Times New Roman"/>
          <w:noProof/>
          <w:sz w:val="24"/>
          <w:szCs w:val="24"/>
          <w:lang w:val="en-IE" w:eastAsia="de-DE"/>
        </w:rPr>
      </w:pPr>
      <w:r w:rsidRPr="004C2B1F">
        <w:rPr>
          <w:rFonts w:ascii="Times New Roman" w:hAnsi="Times New Roman" w:cs="Times New Roman"/>
          <w:noProof/>
          <w:sz w:val="24"/>
          <w:szCs w:val="24"/>
          <w:lang w:val="en-IE" w:eastAsia="de-DE"/>
        </w:rPr>
        <w:t>To bridge the gap between aspirations and operational realities, the stakeholder consultations for the evaluation period reveals that the Agency should invest in strategic areas such as infrastructure maintenance and discuss a change of the mandate with DG HOME regarding the usage of sovereign cloud solutions. By enhancing infrastructure maintenance planning, investing in cloud technologies, and cultivating cloud-native teams, the Agency may unlock the full potential of advanced technologies to enhance operational efficiency and effectiveness, which remained an untapped potential in the past.</w:t>
      </w:r>
    </w:p>
    <w:p w14:paraId="526172B8" w14:textId="77777777" w:rsidR="009B44DC" w:rsidRPr="004E2424" w:rsidRDefault="009B44DC" w:rsidP="004E2424">
      <w:pPr>
        <w:pStyle w:val="BodyText"/>
        <w:spacing w:before="240" w:after="240"/>
        <w:rPr>
          <w:rFonts w:ascii="Times New Roman" w:hAnsi="Times New Roman" w:cs="Times New Roman"/>
          <w:b/>
          <w:bCs/>
          <w:noProof/>
          <w:sz w:val="24"/>
          <w:szCs w:val="24"/>
        </w:rPr>
      </w:pPr>
      <w:r w:rsidRPr="004E2424">
        <w:rPr>
          <w:rFonts w:ascii="Times New Roman" w:hAnsi="Times New Roman" w:cs="Times New Roman"/>
          <w:b/>
          <w:bCs/>
          <w:i/>
          <w:iCs/>
          <w:noProof/>
          <w:sz w:val="24"/>
          <w:szCs w:val="24"/>
        </w:rPr>
        <w:t xml:space="preserve">How does the tripartite set up of the Agency affect the allocation of Human Resources?  </w:t>
      </w:r>
    </w:p>
    <w:p w14:paraId="7F7AD2C8" w14:textId="77777777" w:rsidR="009B44DC" w:rsidRPr="002048C6" w:rsidRDefault="009B44DC" w:rsidP="002F6FC4">
      <w:pPr>
        <w:jc w:val="both"/>
        <w:rPr>
          <w:rFonts w:ascii="Times New Roman" w:hAnsi="Times New Roman" w:cs="Times New Roman"/>
          <w:noProof/>
          <w:sz w:val="24"/>
          <w:szCs w:val="24"/>
          <w:lang w:val="en-IE" w:eastAsia="de-DE"/>
        </w:rPr>
      </w:pPr>
      <w:r w:rsidRPr="002048C6">
        <w:rPr>
          <w:rFonts w:ascii="Times New Roman" w:hAnsi="Times New Roman" w:cs="Times New Roman"/>
          <w:noProof/>
          <w:sz w:val="24"/>
          <w:szCs w:val="24"/>
          <w:lang w:val="en-IE" w:eastAsia="de-DE"/>
        </w:rPr>
        <w:t xml:space="preserve">The evaluation assessed in particular how human resources of the Agency were allocated within eu-LISA and how the tasks differ between the different locations. </w:t>
      </w:r>
    </w:p>
    <w:p w14:paraId="25F54FF9" w14:textId="66368868" w:rsidR="009B44DC" w:rsidRPr="002048C6" w:rsidRDefault="009B44DC" w:rsidP="002F6FC4">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eastAsia="de-DE"/>
        </w:rPr>
        <w:t>The evaluation pointed to a general understanding for and acceptance of the decision to locate</w:t>
      </w:r>
      <w:r w:rsidRPr="002048C6">
        <w:rPr>
          <w:rFonts w:ascii="Times New Roman" w:hAnsi="Times New Roman" w:cs="Times New Roman"/>
          <w:noProof/>
          <w:sz w:val="24"/>
          <w:szCs w:val="24"/>
          <w:lang w:val="en-IE"/>
        </w:rPr>
        <w:t xml:space="preserve"> the Agency’s sites in three Member States (with the liaison office being established in Belgium, a fourth Member State). Staff distribution across sites as of 31 December 2022 </w:t>
      </w:r>
      <w:r w:rsidR="000904C4" w:rsidRPr="002048C6">
        <w:rPr>
          <w:rFonts w:ascii="Times New Roman" w:hAnsi="Times New Roman" w:cs="Times New Roman"/>
          <w:noProof/>
          <w:sz w:val="24"/>
          <w:szCs w:val="24"/>
          <w:lang w:val="en-IE"/>
        </w:rPr>
        <w:t>differs</w:t>
      </w:r>
      <w:r w:rsidRPr="002048C6">
        <w:rPr>
          <w:rFonts w:ascii="Times New Roman" w:hAnsi="Times New Roman" w:cs="Times New Roman"/>
          <w:noProof/>
          <w:sz w:val="24"/>
          <w:szCs w:val="24"/>
          <w:lang w:val="en-IE"/>
        </w:rPr>
        <w:t xml:space="preserve"> significantly, with the largest share of staff working in Strasbourg (73%), followed by Tallinn at 26%, while Brussels had a much lower share (1%)</w:t>
      </w:r>
      <w:r w:rsidRPr="002F13E1">
        <w:rPr>
          <w:rFonts w:ascii="Times New Roman" w:hAnsi="Times New Roman" w:cs="Times New Roman"/>
          <w:noProof/>
          <w:sz w:val="24"/>
          <w:szCs w:val="24"/>
          <w:vertAlign w:val="superscript"/>
        </w:rPr>
        <w:footnoteReference w:id="71"/>
      </w:r>
      <w:r w:rsidRPr="002048C6">
        <w:rPr>
          <w:rFonts w:ascii="Times New Roman" w:hAnsi="Times New Roman" w:cs="Times New Roman"/>
          <w:noProof/>
          <w:sz w:val="24"/>
          <w:szCs w:val="24"/>
          <w:lang w:val="en-IE"/>
        </w:rPr>
        <w:t>. The tripartite set-up of the Agency mirrors the distribution of competencies within the Agency, with the site in Tallinn largely working on horizontal and administrative tasks, whereas the locations in Strasbourg hosting the technical staff and resources (e.g. central systems). The back-up site in St. Johann im Pongau is usually staffed on a rotating basis, with staff officially being located at different locations. The rest of staff is located in Brussels (of which most in the liaison office), working on publicity and lobbying-related tasks and ensuring the visibility of the Agency at the relevant institutions.</w:t>
      </w:r>
      <w:r w:rsidRPr="00A52392">
        <w:rPr>
          <w:rStyle w:val="FootnoteReference"/>
          <w:rFonts w:ascii="Times New Roman" w:hAnsi="Times New Roman" w:cs="Times New Roman"/>
          <w:noProof/>
          <w:sz w:val="24"/>
          <w:szCs w:val="24"/>
        </w:rPr>
        <w:footnoteReference w:id="72"/>
      </w:r>
      <w:r w:rsidRPr="002048C6">
        <w:rPr>
          <w:rFonts w:ascii="Times New Roman" w:hAnsi="Times New Roman" w:cs="Times New Roman"/>
          <w:noProof/>
          <w:sz w:val="24"/>
          <w:szCs w:val="24"/>
          <w:lang w:val="en-IE"/>
        </w:rPr>
        <w:t xml:space="preserve"> </w:t>
      </w:r>
    </w:p>
    <w:p w14:paraId="4F09CD1C" w14:textId="54E2C8E9" w:rsidR="009B44DC" w:rsidRPr="002048C6" w:rsidRDefault="009B44DC" w:rsidP="002F6FC4">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While the reasoning of the split and the staff allocation was not challenged, the evaluation noted certain practical challenges, as the split of human resources across the locations could be problematic for example in terms of team spirit and understanding of the tasks of the staff in the other location. </w:t>
      </w:r>
      <w:r w:rsidRPr="004C2B1F">
        <w:rPr>
          <w:rFonts w:ascii="Times New Roman" w:hAnsi="Times New Roman" w:cs="Times New Roman"/>
          <w:noProof/>
          <w:sz w:val="24"/>
          <w:szCs w:val="24"/>
          <w:lang w:val="en-IE" w:eastAsia="nl-BE"/>
        </w:rPr>
        <w:t xml:space="preserve">The most frequently mentioned challenges concerning Tallinn-Strasbourg were: (1) Detachment of corporate services from operations; (2) Remoteness and practical reachability of both Tallinn and Strasbourg; and (3) Secluded location of the Central Unit and the rented office space in Strasbourg. </w:t>
      </w:r>
      <w:r w:rsidRPr="002048C6">
        <w:rPr>
          <w:rFonts w:ascii="Times New Roman" w:hAnsi="Times New Roman" w:cs="Times New Roman"/>
          <w:noProof/>
          <w:sz w:val="24"/>
          <w:szCs w:val="24"/>
          <w:lang w:val="en-IE"/>
        </w:rPr>
        <w:t xml:space="preserve">The evaluation found that </w:t>
      </w:r>
      <w:r w:rsidRPr="002048C6">
        <w:rPr>
          <w:rFonts w:ascii="Times New Roman" w:hAnsi="Times New Roman" w:cs="Times New Roman"/>
          <w:noProof/>
          <w:sz w:val="24"/>
          <w:szCs w:val="24"/>
          <w:lang w:val="en-IE" w:eastAsia="de-DE"/>
        </w:rPr>
        <w:t>the</w:t>
      </w:r>
      <w:r w:rsidRPr="002048C6">
        <w:rPr>
          <w:rFonts w:ascii="Times New Roman" w:hAnsi="Times New Roman" w:cs="Times New Roman"/>
          <w:noProof/>
          <w:sz w:val="24"/>
          <w:szCs w:val="24"/>
          <w:lang w:val="en-IE"/>
        </w:rPr>
        <w:t xml:space="preserve"> location of the Agency across separate sites mainly have had an impact on the hiring (e.g. length of procedures) and development of staff (e.g. contract prolongation), as well as the management of contractors. </w:t>
      </w:r>
    </w:p>
    <w:p w14:paraId="460E9A37" w14:textId="77777777" w:rsidR="009B44DC" w:rsidRPr="002048C6" w:rsidRDefault="009B44DC" w:rsidP="002F6FC4">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eastAsia="nl-BE"/>
        </w:rPr>
        <w:t>T</w:t>
      </w:r>
      <w:r w:rsidRPr="004C2B1F">
        <w:rPr>
          <w:rFonts w:ascii="Times New Roman" w:hAnsi="Times New Roman" w:cs="Times New Roman"/>
          <w:noProof/>
          <w:sz w:val="24"/>
          <w:szCs w:val="24"/>
          <w:lang w:val="en-IE"/>
        </w:rPr>
        <w:t xml:space="preserve">he location of corporate services in Tallinn were perceived to lead to a lack of understanding among staff based in Tallinn for the actual tasks delivered in Strasbourg, as well as the needs and practical challenges of the colleagues there. In addition, the location of control functions in Tallinn (e.g. audit) posed certain practical challenges as there is only limited direct contact to those persons, processes, and data that should be controlled. </w:t>
      </w:r>
      <w:r w:rsidRPr="002048C6">
        <w:rPr>
          <w:rFonts w:ascii="Times New Roman" w:hAnsi="Times New Roman" w:cs="Times New Roman"/>
          <w:noProof/>
          <w:sz w:val="24"/>
          <w:szCs w:val="24"/>
          <w:lang w:val="en-IE"/>
        </w:rPr>
        <w:t xml:space="preserve">While the collaboration between corporate services and operations was generally considered to work well, including </w:t>
      </w:r>
      <w:r w:rsidRPr="002048C6">
        <w:rPr>
          <w:rFonts w:ascii="Times New Roman" w:hAnsi="Times New Roman" w:cs="Times New Roman"/>
          <w:noProof/>
          <w:sz w:val="24"/>
          <w:szCs w:val="24"/>
          <w:lang w:val="en-IE" w:eastAsia="de-DE"/>
        </w:rPr>
        <w:t>through</w:t>
      </w:r>
      <w:r w:rsidRPr="002048C6">
        <w:rPr>
          <w:rFonts w:ascii="Times New Roman" w:hAnsi="Times New Roman" w:cs="Times New Roman"/>
          <w:noProof/>
          <w:sz w:val="24"/>
          <w:szCs w:val="24"/>
          <w:lang w:val="en-IE"/>
        </w:rPr>
        <w:t xml:space="preserve"> frequent (virtual) exchanges and the co-location of some units and sectors at both sites, the physical distance between Strasbourg and Tallinn was regarded as a cause of inefficiencies concerning the operational and financial planning, demand management (e.g. of positions, technical infrastructure and equipment), recruitment of staff, technical implementation of the Agency’s tasks (i.e. management and development of systems), and management of the contractors. </w:t>
      </w:r>
    </w:p>
    <w:p w14:paraId="393F112A" w14:textId="551BF4C4" w:rsidR="009B44DC" w:rsidRPr="002048C6" w:rsidRDefault="009B44DC" w:rsidP="002F6FC4">
      <w:pPr>
        <w:jc w:val="both"/>
        <w:rPr>
          <w:rFonts w:ascii="Times New Roman" w:hAnsi="Times New Roman" w:cs="Times New Roman"/>
          <w:noProof/>
          <w:sz w:val="24"/>
          <w:szCs w:val="24"/>
          <w:lang w:val="en-IE" w:eastAsia="nl-BE"/>
        </w:rPr>
      </w:pPr>
      <w:r w:rsidRPr="004C2B1F">
        <w:rPr>
          <w:rFonts w:ascii="Times New Roman" w:hAnsi="Times New Roman" w:cs="Times New Roman"/>
          <w:noProof/>
          <w:sz w:val="24"/>
          <w:szCs w:val="24"/>
          <w:lang w:val="en-IE"/>
        </w:rPr>
        <w:t xml:space="preserve">As the Agency is located in Strasbourg and Tallinn, with its back-up site in Sankt Johann im Pongau, similar concerns were voiced with regard to the collaboration and communication with the Commission based in Brussels. Specifically, a limited number of stakeholders from outside the Agency have highlighted the challenges stemming from the liaison office's role in Brussels, which, while originally intended to bridge policy-making in Brussels with the Agency's development in Strasbourg/Tallinn, has evolved into a more active and strategic entity (although the Agency does not have a mandate for policy-making). </w:t>
      </w:r>
      <w:r w:rsidRPr="002048C6">
        <w:rPr>
          <w:rFonts w:ascii="Times New Roman" w:hAnsi="Times New Roman" w:cs="Times New Roman"/>
          <w:noProof/>
          <w:sz w:val="24"/>
          <w:szCs w:val="24"/>
          <w:lang w:val="en-IE"/>
        </w:rPr>
        <w:t>This expansion of eu-LISA’s activities, alongside overlaps with other units such as the executive support and stakeholder relations unit, has led to instances of inconsistent communication and increased coordination efforts, impacting operational efficiency.</w:t>
      </w:r>
    </w:p>
    <w:p w14:paraId="43824249" w14:textId="77777777" w:rsidR="009B44DC" w:rsidRPr="004C2B1F" w:rsidRDefault="009B44DC" w:rsidP="002F6FC4">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As concerns the split of the two technical sites – the Central Unit in Strasbourg and the back-up site in St. Johann in Pongau, the distance between both sites brought about technical challenges with regard to the provision of uninterrupted services, particular concerning the availability, connectivity, latency, maintenance, and regular back-ups of the systems. </w:t>
      </w:r>
    </w:p>
    <w:p w14:paraId="7735D60A" w14:textId="0878A00B" w:rsidR="009B44DC" w:rsidRPr="002048C6" w:rsidRDefault="0031364D" w:rsidP="002F6FC4">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The evaluation found that the geographical location of the Agency’s sites posed challenges in terms of attracting and retaining staff. </w:t>
      </w:r>
      <w:r w:rsidRPr="002048C6">
        <w:rPr>
          <w:rFonts w:ascii="Times New Roman" w:hAnsi="Times New Roman" w:cs="Times New Roman"/>
          <w:noProof/>
          <w:sz w:val="24"/>
          <w:szCs w:val="24"/>
          <w:lang w:val="en-IE"/>
        </w:rPr>
        <w:t xml:space="preserve">Tallin, in particular, was frequently highlighted by stakeholders as presenting difficulties for recruitment, while </w:t>
      </w:r>
      <w:r w:rsidR="001E125C" w:rsidRPr="002048C6">
        <w:rPr>
          <w:rFonts w:ascii="Times New Roman" w:hAnsi="Times New Roman" w:cs="Times New Roman"/>
          <w:noProof/>
          <w:sz w:val="24"/>
          <w:szCs w:val="24"/>
          <w:lang w:val="en-IE"/>
        </w:rPr>
        <w:t>in Strasbourg, the Central Unit’s placement on the outskirts of the city was not seen as an asset for attracting talent.</w:t>
      </w:r>
    </w:p>
    <w:p w14:paraId="67613092" w14:textId="16A08B9B" w:rsidR="009B44DC" w:rsidRPr="002048C6" w:rsidRDefault="009B44DC" w:rsidP="002F6FC4">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 xml:space="preserve">As a mitigation action, the evaluation pointed to the possibility for eu-LISA to consider drafting a fully-fledged Human Resources and Procurement Strategy for the future, where the </w:t>
      </w:r>
      <w:r w:rsidR="00434A46" w:rsidRPr="002048C6">
        <w:rPr>
          <w:rFonts w:ascii="Times New Roman" w:hAnsi="Times New Roman" w:cs="Times New Roman"/>
          <w:noProof/>
          <w:sz w:val="24"/>
          <w:szCs w:val="24"/>
          <w:lang w:val="en-IE"/>
        </w:rPr>
        <w:t>above-mentioned</w:t>
      </w:r>
      <w:r w:rsidRPr="002048C6">
        <w:rPr>
          <w:rFonts w:ascii="Times New Roman" w:hAnsi="Times New Roman" w:cs="Times New Roman"/>
          <w:noProof/>
          <w:sz w:val="24"/>
          <w:szCs w:val="24"/>
          <w:lang w:val="en-IE"/>
        </w:rPr>
        <w:t xml:space="preserve"> aspects would find consideration. </w:t>
      </w:r>
    </w:p>
    <w:p w14:paraId="032649C8" w14:textId="77777777" w:rsidR="00CC033E" w:rsidRPr="00A378C0" w:rsidRDefault="00CC033E" w:rsidP="004E2424">
      <w:pPr>
        <w:pStyle w:val="ListParagraph"/>
        <w:rPr>
          <w:iCs/>
          <w:noProof/>
          <w:szCs w:val="24"/>
          <w:lang w:val="en-IE"/>
        </w:rPr>
      </w:pPr>
    </w:p>
    <w:p w14:paraId="7B4AE55A" w14:textId="29A86457" w:rsidR="00CB1975" w:rsidRPr="008D6421" w:rsidRDefault="00CB1975" w:rsidP="00EE061C">
      <w:pPr>
        <w:pStyle w:val="ListParagraph"/>
        <w:numPr>
          <w:ilvl w:val="2"/>
          <w:numId w:val="2"/>
        </w:numPr>
        <w:outlineLvl w:val="2"/>
        <w:rPr>
          <w:b/>
          <w:bCs/>
          <w:iCs/>
          <w:noProof/>
          <w:szCs w:val="24"/>
        </w:rPr>
      </w:pPr>
      <w:bookmarkStart w:id="28" w:name="_Toc207303611"/>
      <w:r w:rsidRPr="008D6421">
        <w:rPr>
          <w:b/>
          <w:bCs/>
          <w:iCs/>
          <w:noProof/>
          <w:szCs w:val="24"/>
        </w:rPr>
        <w:t>Coherence</w:t>
      </w:r>
      <w:bookmarkEnd w:id="28"/>
      <w:r w:rsidRPr="008D6421">
        <w:rPr>
          <w:b/>
          <w:bCs/>
          <w:iCs/>
          <w:noProof/>
          <w:szCs w:val="24"/>
        </w:rPr>
        <w:t xml:space="preserve"> </w:t>
      </w:r>
    </w:p>
    <w:p w14:paraId="6DF165B4" w14:textId="6C3123D9" w:rsidR="00CB1975" w:rsidRPr="00FE6C7F" w:rsidRDefault="0014370F" w:rsidP="7ED1D152">
      <w:pPr>
        <w:pBdr>
          <w:top w:val="single" w:sz="4" w:space="1" w:color="auto"/>
          <w:left w:val="single" w:sz="4" w:space="4" w:color="auto"/>
          <w:bottom w:val="single" w:sz="4" w:space="1" w:color="auto"/>
          <w:right w:val="single" w:sz="4" w:space="4" w:color="auto"/>
        </w:pBdr>
        <w:rPr>
          <w:rFonts w:ascii="Times New Roman" w:hAnsi="Times New Roman" w:cs="Times New Roman"/>
          <w:b/>
          <w:i/>
          <w:noProof/>
          <w:sz w:val="24"/>
          <w:szCs w:val="24"/>
        </w:rPr>
      </w:pPr>
      <w:r w:rsidRPr="00FE6C7F">
        <w:rPr>
          <w:rFonts w:ascii="Times New Roman" w:hAnsi="Times New Roman" w:cs="Times New Roman"/>
          <w:b/>
          <w:i/>
          <w:noProof/>
          <w:sz w:val="24"/>
          <w:szCs w:val="24"/>
        </w:rPr>
        <w:t>Key findings</w:t>
      </w:r>
    </w:p>
    <w:p w14:paraId="4EE4494A" w14:textId="20A42BBC" w:rsidR="0014370F" w:rsidRPr="00FE6C7F" w:rsidRDefault="00CB0170" w:rsidP="0014370F">
      <w:pPr>
        <w:pBdr>
          <w:top w:val="single" w:sz="4" w:space="1" w:color="auto"/>
          <w:left w:val="single" w:sz="4" w:space="4" w:color="auto"/>
          <w:bottom w:val="single" w:sz="4" w:space="1" w:color="auto"/>
          <w:right w:val="single" w:sz="4" w:space="4" w:color="auto"/>
        </w:pBdr>
        <w:rPr>
          <w:rFonts w:ascii="Times New Roman" w:hAnsi="Times New Roman" w:cs="Times New Roman"/>
          <w:i/>
          <w:noProof/>
          <w:sz w:val="24"/>
          <w:szCs w:val="24"/>
          <w:lang w:val="en-IE"/>
        </w:rPr>
      </w:pPr>
      <w:r>
        <w:rPr>
          <w:rFonts w:ascii="Times New Roman" w:hAnsi="Times New Roman" w:cs="Times New Roman"/>
          <w:i/>
          <w:noProof/>
          <w:color w:val="000000" w:themeColor="text1"/>
          <w:sz w:val="24"/>
          <w:szCs w:val="24"/>
          <w:lang w:val="en-GB"/>
        </w:rPr>
        <w:t xml:space="preserve">The </w:t>
      </w:r>
      <w:r w:rsidR="00BB362A" w:rsidRPr="00FE6C7F">
        <w:rPr>
          <w:rFonts w:ascii="Times New Roman" w:hAnsi="Times New Roman" w:cs="Times New Roman"/>
          <w:i/>
          <w:noProof/>
          <w:color w:val="000000" w:themeColor="text1"/>
          <w:sz w:val="24"/>
          <w:szCs w:val="24"/>
          <w:lang w:val="en-GB"/>
        </w:rPr>
        <w:t>eu-LISA Regulation is coherent internally and with other relevant EU and national instruments. No challenges relating to the internal coherence of eu-LISA Regulation itself have been identified and only few challenges relating to the coherence of eu-LISA Regulation with other legal instruments have been found</w:t>
      </w:r>
      <w:r w:rsidR="00FE6C7F" w:rsidRPr="00FE6C7F">
        <w:rPr>
          <w:rFonts w:ascii="Times New Roman" w:hAnsi="Times New Roman" w:cs="Times New Roman"/>
          <w:i/>
          <w:iCs/>
          <w:noProof/>
          <w:color w:val="000000" w:themeColor="text1"/>
          <w:sz w:val="24"/>
          <w:szCs w:val="24"/>
          <w:lang w:val="en-GB"/>
        </w:rPr>
        <w:t>.</w:t>
      </w:r>
    </w:p>
    <w:p w14:paraId="4128980F" w14:textId="4CD2B7CD" w:rsidR="00594262" w:rsidRPr="002523DB" w:rsidRDefault="005235AA" w:rsidP="00DE1A3E">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This evaluation criterion examined the extent to which eu-LISA</w:t>
      </w:r>
      <w:r w:rsidR="00684574">
        <w:rPr>
          <w:rFonts w:ascii="Times New Roman" w:hAnsi="Times New Roman" w:cs="Times New Roman"/>
          <w:noProof/>
          <w:sz w:val="24"/>
          <w:szCs w:val="24"/>
          <w:lang w:val="en-GB"/>
        </w:rPr>
        <w:t>’s activities</w:t>
      </w:r>
      <w:r w:rsidR="005C05A3">
        <w:rPr>
          <w:rFonts w:ascii="Times New Roman" w:hAnsi="Times New Roman" w:cs="Times New Roman"/>
          <w:noProof/>
          <w:sz w:val="24"/>
          <w:szCs w:val="24"/>
          <w:lang w:val="en-GB"/>
        </w:rPr>
        <w:t xml:space="preserve"> were aligned in an effective and efficient way with those </w:t>
      </w:r>
      <w:r w:rsidR="00FE1C86">
        <w:rPr>
          <w:rFonts w:ascii="Times New Roman" w:hAnsi="Times New Roman" w:cs="Times New Roman"/>
          <w:noProof/>
          <w:sz w:val="24"/>
          <w:szCs w:val="24"/>
          <w:lang w:val="en-GB"/>
        </w:rPr>
        <w:t xml:space="preserve">of other </w:t>
      </w:r>
      <w:r w:rsidR="00866C75" w:rsidRPr="002048C6">
        <w:rPr>
          <w:rFonts w:ascii="Times New Roman" w:hAnsi="Times New Roman" w:cs="Times New Roman"/>
          <w:noProof/>
          <w:sz w:val="24"/>
          <w:szCs w:val="24"/>
          <w:lang w:val="en-IE"/>
        </w:rPr>
        <w:t>stakeholders</w:t>
      </w:r>
      <w:r w:rsidR="00FE1C86">
        <w:rPr>
          <w:rFonts w:ascii="Times New Roman" w:hAnsi="Times New Roman" w:cs="Times New Roman"/>
          <w:noProof/>
          <w:sz w:val="24"/>
          <w:szCs w:val="24"/>
          <w:lang w:val="en-GB"/>
        </w:rPr>
        <w:t xml:space="preserve">, including </w:t>
      </w:r>
      <w:r w:rsidR="00116984">
        <w:rPr>
          <w:rFonts w:ascii="Times New Roman" w:hAnsi="Times New Roman" w:cs="Times New Roman"/>
          <w:noProof/>
          <w:sz w:val="24"/>
          <w:szCs w:val="24"/>
          <w:lang w:val="en-GB"/>
        </w:rPr>
        <w:t>the Member States and the Schengen Associated Countries,</w:t>
      </w:r>
      <w:r w:rsidR="00B12512">
        <w:rPr>
          <w:rFonts w:ascii="Times New Roman" w:hAnsi="Times New Roman" w:cs="Times New Roman"/>
          <w:noProof/>
          <w:sz w:val="24"/>
          <w:szCs w:val="24"/>
          <w:lang w:val="en-GB"/>
        </w:rPr>
        <w:t xml:space="preserve"> </w:t>
      </w:r>
      <w:r w:rsidR="00FE1C86">
        <w:rPr>
          <w:rFonts w:ascii="Times New Roman" w:hAnsi="Times New Roman" w:cs="Times New Roman"/>
          <w:noProof/>
          <w:sz w:val="24"/>
          <w:szCs w:val="24"/>
          <w:lang w:val="en-GB"/>
        </w:rPr>
        <w:t xml:space="preserve">the European Commission and other EU </w:t>
      </w:r>
      <w:r w:rsidR="009B2913">
        <w:rPr>
          <w:rFonts w:ascii="Times New Roman" w:hAnsi="Times New Roman" w:cs="Times New Roman"/>
          <w:noProof/>
          <w:sz w:val="24"/>
          <w:szCs w:val="24"/>
          <w:lang w:val="en-GB"/>
        </w:rPr>
        <w:t>institutions and agencies</w:t>
      </w:r>
      <w:r w:rsidR="00FE1C86">
        <w:rPr>
          <w:rFonts w:ascii="Times New Roman" w:hAnsi="Times New Roman" w:cs="Times New Roman"/>
          <w:noProof/>
          <w:sz w:val="24"/>
          <w:szCs w:val="24"/>
          <w:lang w:val="en-GB"/>
        </w:rPr>
        <w:t>,</w:t>
      </w:r>
      <w:r w:rsidR="00B12512">
        <w:rPr>
          <w:rFonts w:ascii="Times New Roman" w:hAnsi="Times New Roman" w:cs="Times New Roman"/>
          <w:noProof/>
          <w:sz w:val="24"/>
          <w:szCs w:val="24"/>
          <w:lang w:val="en-GB"/>
        </w:rPr>
        <w:t xml:space="preserve"> to ensure coherence and avoid duplication of efforts. The evaluation also assessed</w:t>
      </w:r>
      <w:r w:rsidR="00927B5C">
        <w:rPr>
          <w:rFonts w:ascii="Times New Roman" w:hAnsi="Times New Roman" w:cs="Times New Roman"/>
          <w:noProof/>
          <w:sz w:val="24"/>
          <w:szCs w:val="24"/>
          <w:lang w:val="en-GB"/>
        </w:rPr>
        <w:t xml:space="preserve"> the </w:t>
      </w:r>
      <w:r w:rsidR="007D6DFF">
        <w:rPr>
          <w:rFonts w:ascii="Times New Roman" w:hAnsi="Times New Roman" w:cs="Times New Roman"/>
          <w:noProof/>
          <w:sz w:val="24"/>
          <w:szCs w:val="24"/>
          <w:lang w:val="en-GB"/>
        </w:rPr>
        <w:t xml:space="preserve">coherence of </w:t>
      </w:r>
      <w:r w:rsidR="00927B5C">
        <w:rPr>
          <w:rFonts w:ascii="Times New Roman" w:hAnsi="Times New Roman" w:cs="Times New Roman"/>
          <w:noProof/>
          <w:sz w:val="24"/>
          <w:szCs w:val="24"/>
          <w:lang w:val="en-GB"/>
        </w:rPr>
        <w:t xml:space="preserve">eu-LISA’s </w:t>
      </w:r>
      <w:r w:rsidR="00176BA8">
        <w:rPr>
          <w:rFonts w:ascii="Times New Roman" w:hAnsi="Times New Roman" w:cs="Times New Roman"/>
          <w:noProof/>
          <w:sz w:val="24"/>
          <w:szCs w:val="24"/>
          <w:lang w:val="en-GB"/>
        </w:rPr>
        <w:t xml:space="preserve">cooperation activities, </w:t>
      </w:r>
      <w:r w:rsidR="00927B5C">
        <w:rPr>
          <w:rFonts w:ascii="Times New Roman" w:hAnsi="Times New Roman" w:cs="Times New Roman"/>
          <w:noProof/>
          <w:sz w:val="24"/>
          <w:szCs w:val="24"/>
          <w:lang w:val="en-GB"/>
        </w:rPr>
        <w:t>management structure and activities</w:t>
      </w:r>
      <w:r w:rsidR="007D6DFF">
        <w:rPr>
          <w:rFonts w:ascii="Times New Roman" w:hAnsi="Times New Roman" w:cs="Times New Roman"/>
          <w:noProof/>
          <w:sz w:val="24"/>
          <w:szCs w:val="24"/>
          <w:lang w:val="en-GB"/>
        </w:rPr>
        <w:t xml:space="preserve">, </w:t>
      </w:r>
      <w:r w:rsidR="00D92271">
        <w:rPr>
          <w:rFonts w:ascii="Times New Roman" w:hAnsi="Times New Roman" w:cs="Times New Roman"/>
          <w:noProof/>
          <w:sz w:val="24"/>
          <w:szCs w:val="24"/>
          <w:lang w:val="en-GB"/>
        </w:rPr>
        <w:t>whether the Agenc</w:t>
      </w:r>
      <w:r w:rsidR="007F0A8E">
        <w:rPr>
          <w:rFonts w:ascii="Times New Roman" w:hAnsi="Times New Roman" w:cs="Times New Roman"/>
          <w:noProof/>
          <w:sz w:val="24"/>
          <w:szCs w:val="24"/>
          <w:lang w:val="en-GB"/>
        </w:rPr>
        <w:t>y’</w:t>
      </w:r>
      <w:r w:rsidR="00D92271">
        <w:rPr>
          <w:rFonts w:ascii="Times New Roman" w:hAnsi="Times New Roman" w:cs="Times New Roman"/>
          <w:noProof/>
          <w:sz w:val="24"/>
          <w:szCs w:val="24"/>
          <w:lang w:val="en-GB"/>
        </w:rPr>
        <w:t>s services were</w:t>
      </w:r>
      <w:r w:rsidR="00176BA8">
        <w:rPr>
          <w:rFonts w:ascii="Times New Roman" w:hAnsi="Times New Roman" w:cs="Times New Roman"/>
          <w:noProof/>
          <w:sz w:val="24"/>
          <w:szCs w:val="24"/>
          <w:lang w:val="en-GB"/>
        </w:rPr>
        <w:t xml:space="preserve"> coherent with user’s expectations and needs,</w:t>
      </w:r>
      <w:r w:rsidR="007F0A8E">
        <w:rPr>
          <w:rFonts w:ascii="Times New Roman" w:hAnsi="Times New Roman" w:cs="Times New Roman"/>
          <w:noProof/>
          <w:sz w:val="24"/>
          <w:szCs w:val="24"/>
          <w:lang w:val="en-GB"/>
        </w:rPr>
        <w:t xml:space="preserve"> and</w:t>
      </w:r>
      <w:r w:rsidR="00AA4A07">
        <w:rPr>
          <w:rFonts w:ascii="Times New Roman" w:hAnsi="Times New Roman" w:cs="Times New Roman"/>
          <w:noProof/>
          <w:sz w:val="24"/>
          <w:szCs w:val="24"/>
          <w:lang w:val="en-GB"/>
        </w:rPr>
        <w:t xml:space="preserve"> the coherence of the Agency’s mandate with the other legal acts of the information systems it is responsible for.</w:t>
      </w:r>
    </w:p>
    <w:p w14:paraId="7E08596D" w14:textId="77777777" w:rsidR="003F78CB" w:rsidRPr="00A2617A" w:rsidRDefault="003F78CB" w:rsidP="003F78CB">
      <w:pPr>
        <w:jc w:val="both"/>
        <w:rPr>
          <w:rFonts w:ascii="Times New Roman" w:hAnsi="Times New Roman" w:cs="Times New Roman"/>
          <w:b/>
          <w:bCs/>
          <w:i/>
          <w:iCs/>
          <w:noProof/>
          <w:sz w:val="24"/>
          <w:szCs w:val="24"/>
          <w:lang w:val="en-GB"/>
        </w:rPr>
      </w:pPr>
      <w:bookmarkStart w:id="29" w:name="_Hlk164426998"/>
      <w:bookmarkStart w:id="30" w:name="_Hlk164428144"/>
      <w:r w:rsidRPr="00A2617A">
        <w:rPr>
          <w:rFonts w:ascii="Times New Roman" w:hAnsi="Times New Roman" w:cs="Times New Roman"/>
          <w:b/>
          <w:bCs/>
          <w:i/>
          <w:iCs/>
          <w:noProof/>
          <w:sz w:val="24"/>
          <w:szCs w:val="24"/>
          <w:lang w:val="en-GB"/>
        </w:rPr>
        <w:t xml:space="preserve">To what extent is eu-LISA acting in cooperation with the European Commission and other EU </w:t>
      </w:r>
      <w:r>
        <w:rPr>
          <w:rFonts w:ascii="Times New Roman" w:hAnsi="Times New Roman" w:cs="Times New Roman"/>
          <w:b/>
          <w:bCs/>
          <w:i/>
          <w:iCs/>
          <w:noProof/>
          <w:sz w:val="24"/>
          <w:szCs w:val="24"/>
          <w:lang w:val="en-GB"/>
        </w:rPr>
        <w:t>institutions and agencies</w:t>
      </w:r>
      <w:r w:rsidRPr="00A2617A">
        <w:rPr>
          <w:rFonts w:ascii="Times New Roman" w:hAnsi="Times New Roman" w:cs="Times New Roman"/>
          <w:b/>
          <w:bCs/>
          <w:i/>
          <w:iCs/>
          <w:noProof/>
          <w:sz w:val="24"/>
          <w:szCs w:val="24"/>
          <w:lang w:val="en-GB"/>
        </w:rPr>
        <w:t xml:space="preserve">, as well as with Member States and </w:t>
      </w:r>
      <w:r>
        <w:rPr>
          <w:rFonts w:ascii="Times New Roman" w:hAnsi="Times New Roman" w:cs="Times New Roman"/>
          <w:b/>
          <w:bCs/>
          <w:i/>
          <w:iCs/>
          <w:noProof/>
          <w:sz w:val="24"/>
          <w:szCs w:val="24"/>
          <w:lang w:val="en-GB"/>
        </w:rPr>
        <w:t xml:space="preserve">Schengen </w:t>
      </w:r>
      <w:r w:rsidRPr="00A2617A">
        <w:rPr>
          <w:rFonts w:ascii="Times New Roman" w:hAnsi="Times New Roman" w:cs="Times New Roman"/>
          <w:b/>
          <w:bCs/>
          <w:i/>
          <w:iCs/>
          <w:noProof/>
          <w:sz w:val="24"/>
          <w:szCs w:val="24"/>
          <w:lang w:val="en-GB"/>
        </w:rPr>
        <w:t>Associated Countries to ensure coherence and avoid duplication of efforts?</w:t>
      </w:r>
    </w:p>
    <w:bookmarkEnd w:id="29"/>
    <w:p w14:paraId="215B9F90" w14:textId="77777777" w:rsidR="003F78CB" w:rsidRPr="00BD031D" w:rsidRDefault="003F78CB" w:rsidP="003F78CB">
      <w:pPr>
        <w:jc w:val="both"/>
        <w:rPr>
          <w:rFonts w:ascii="Times New Roman" w:hAnsi="Times New Roman" w:cs="Times New Roman"/>
          <w:bCs/>
          <w:iCs/>
          <w:noProof/>
          <w:sz w:val="24"/>
          <w:szCs w:val="24"/>
          <w:lang w:val="en-GB"/>
        </w:rPr>
      </w:pPr>
      <w:r w:rsidRPr="00A2617A">
        <w:rPr>
          <w:rFonts w:ascii="Times New Roman" w:hAnsi="Times New Roman" w:cs="Times New Roman"/>
          <w:bCs/>
          <w:iCs/>
          <w:noProof/>
          <w:sz w:val="24"/>
          <w:szCs w:val="24"/>
          <w:lang w:val="en-GB"/>
        </w:rPr>
        <w:t xml:space="preserve">Ensuring coherence and avoiding duplication is crucial to maintain the effectiveness and efficiency </w:t>
      </w:r>
      <w:r w:rsidRPr="00BD031D">
        <w:rPr>
          <w:rFonts w:ascii="Times New Roman" w:hAnsi="Times New Roman" w:cs="Times New Roman"/>
          <w:bCs/>
          <w:iCs/>
          <w:noProof/>
          <w:sz w:val="24"/>
          <w:szCs w:val="24"/>
          <w:lang w:val="en-GB"/>
        </w:rPr>
        <w:t xml:space="preserve">of eu-LISA, both in relation to the management of operational systems, as well as the development of new systems. </w:t>
      </w:r>
    </w:p>
    <w:p w14:paraId="53051F9E" w14:textId="0F14F409" w:rsidR="003F78CB" w:rsidRDefault="003F78CB" w:rsidP="003F78CB">
      <w:pPr>
        <w:jc w:val="both"/>
        <w:rPr>
          <w:rFonts w:ascii="Times New Roman" w:hAnsi="Times New Roman" w:cs="Times New Roman"/>
          <w:bCs/>
          <w:iCs/>
          <w:noProof/>
          <w:sz w:val="24"/>
          <w:szCs w:val="24"/>
          <w:lang w:val="en-GB"/>
        </w:rPr>
      </w:pPr>
      <w:r w:rsidRPr="00004DA6">
        <w:rPr>
          <w:rFonts w:ascii="Times New Roman" w:hAnsi="Times New Roman" w:cs="Times New Roman"/>
          <w:bCs/>
          <w:iCs/>
          <w:noProof/>
          <w:sz w:val="24"/>
          <w:szCs w:val="24"/>
          <w:lang w:val="en-GB"/>
        </w:rPr>
        <w:t>As regards the systems already implemented</w:t>
      </w:r>
      <w:r w:rsidRPr="00BD031D">
        <w:rPr>
          <w:rFonts w:ascii="Times New Roman" w:hAnsi="Times New Roman" w:cs="Times New Roman"/>
          <w:bCs/>
          <w:iCs/>
          <w:noProof/>
          <w:sz w:val="24"/>
          <w:szCs w:val="24"/>
          <w:lang w:val="en-GB"/>
        </w:rPr>
        <w:t xml:space="preserve">, the evaluation found that eu-LISA’s management of these systems contributes to a coordinated and coherent IT environment, with limited operational cooperation between the Agency and the Commission being necessary. However, as assessed in the </w:t>
      </w:r>
      <w:r w:rsidRPr="00004DA6">
        <w:rPr>
          <w:rFonts w:ascii="Times New Roman" w:hAnsi="Times New Roman" w:cs="Times New Roman"/>
          <w:noProof/>
          <w:sz w:val="24"/>
          <w:szCs w:val="24"/>
          <w:lang w:val="en-GB"/>
        </w:rPr>
        <w:t>efficiency section</w:t>
      </w:r>
      <w:r w:rsidRPr="00BD031D">
        <w:rPr>
          <w:rFonts w:ascii="Times New Roman" w:hAnsi="Times New Roman" w:cs="Times New Roman"/>
          <w:bCs/>
          <w:iCs/>
          <w:noProof/>
          <w:sz w:val="24"/>
          <w:szCs w:val="24"/>
          <w:lang w:val="en-GB"/>
        </w:rPr>
        <w:t xml:space="preserve">, the evaluation found challenges with regard to the strategic and </w:t>
      </w:r>
      <w:r w:rsidR="00BD031D" w:rsidRPr="00BD031D">
        <w:rPr>
          <w:rFonts w:ascii="Times New Roman" w:hAnsi="Times New Roman" w:cs="Times New Roman"/>
          <w:bCs/>
          <w:iCs/>
          <w:noProof/>
          <w:sz w:val="24"/>
          <w:szCs w:val="24"/>
          <w:lang w:val="en-GB"/>
        </w:rPr>
        <w:t>budgetary</w:t>
      </w:r>
      <w:r w:rsidRPr="00BD031D">
        <w:rPr>
          <w:rFonts w:ascii="Times New Roman" w:hAnsi="Times New Roman" w:cs="Times New Roman"/>
          <w:bCs/>
          <w:iCs/>
          <w:noProof/>
          <w:sz w:val="24"/>
          <w:szCs w:val="24"/>
          <w:lang w:val="en-GB"/>
        </w:rPr>
        <w:t xml:space="preserve"> planning and supervision of the Agency by the Commission. Users of the existing systems (Member States and SACs, other EU agencies) have expressed a high level of satisfaction with the Agency’s support and performance. An area for improvement identified by stakeholders is the governance of the agency, notably relating to the administrative burden the governance structure entails, the operation</w:t>
      </w:r>
      <w:r w:rsidR="00532E12" w:rsidRPr="00BD031D">
        <w:rPr>
          <w:rFonts w:ascii="Times New Roman" w:hAnsi="Times New Roman" w:cs="Times New Roman"/>
          <w:bCs/>
          <w:iCs/>
          <w:noProof/>
          <w:sz w:val="24"/>
          <w:szCs w:val="24"/>
          <w:lang w:val="en-GB"/>
        </w:rPr>
        <w:t>,</w:t>
      </w:r>
      <w:r w:rsidRPr="00BD031D">
        <w:rPr>
          <w:rFonts w:ascii="Times New Roman" w:hAnsi="Times New Roman" w:cs="Times New Roman"/>
          <w:bCs/>
          <w:iCs/>
          <w:noProof/>
          <w:sz w:val="24"/>
          <w:szCs w:val="24"/>
          <w:lang w:val="en-GB"/>
        </w:rPr>
        <w:t xml:space="preserve"> cooperation and necessary expertise needed within A</w:t>
      </w:r>
      <w:r w:rsidR="00532E12" w:rsidRPr="00BD031D">
        <w:rPr>
          <w:rFonts w:ascii="Times New Roman" w:hAnsi="Times New Roman" w:cs="Times New Roman"/>
          <w:bCs/>
          <w:iCs/>
          <w:noProof/>
          <w:sz w:val="24"/>
          <w:szCs w:val="24"/>
          <w:lang w:val="en-GB"/>
        </w:rPr>
        <w:t>G</w:t>
      </w:r>
      <w:r w:rsidRPr="00BD031D">
        <w:rPr>
          <w:rFonts w:ascii="Times New Roman" w:hAnsi="Times New Roman" w:cs="Times New Roman"/>
          <w:bCs/>
          <w:iCs/>
          <w:noProof/>
          <w:sz w:val="24"/>
          <w:szCs w:val="24"/>
          <w:lang w:val="en-GB"/>
        </w:rPr>
        <w:t>s an</w:t>
      </w:r>
      <w:r w:rsidR="00C03278" w:rsidRPr="00BD031D">
        <w:rPr>
          <w:rFonts w:ascii="Times New Roman" w:hAnsi="Times New Roman" w:cs="Times New Roman"/>
          <w:bCs/>
          <w:iCs/>
          <w:noProof/>
          <w:sz w:val="24"/>
          <w:szCs w:val="24"/>
          <w:lang w:val="en-GB"/>
        </w:rPr>
        <w:t>d</w:t>
      </w:r>
      <w:r w:rsidRPr="00BD031D">
        <w:rPr>
          <w:rFonts w:ascii="Times New Roman" w:hAnsi="Times New Roman" w:cs="Times New Roman"/>
          <w:bCs/>
          <w:iCs/>
          <w:noProof/>
          <w:sz w:val="24"/>
          <w:szCs w:val="24"/>
          <w:lang w:val="en-GB"/>
        </w:rPr>
        <w:t xml:space="preserve"> PMBs (see section on efficiency on governance). The overall coherence of the governance structures of the Agency could be improved to further enhance the efficient management and operation of the Agency.</w:t>
      </w:r>
    </w:p>
    <w:p w14:paraId="069AD51B" w14:textId="25ABDA71" w:rsidR="003F78CB" w:rsidRDefault="003F78CB" w:rsidP="003F78CB">
      <w:pPr>
        <w:jc w:val="both"/>
        <w:rPr>
          <w:rFonts w:ascii="Times New Roman" w:hAnsi="Times New Roman" w:cs="Times New Roman"/>
          <w:bCs/>
          <w:iCs/>
          <w:noProof/>
          <w:sz w:val="24"/>
          <w:szCs w:val="24"/>
          <w:lang w:val="en-GB"/>
        </w:rPr>
      </w:pPr>
      <w:r w:rsidRPr="00004DA6">
        <w:rPr>
          <w:rFonts w:ascii="Times New Roman" w:hAnsi="Times New Roman" w:cs="Times New Roman"/>
          <w:bCs/>
          <w:iCs/>
          <w:noProof/>
          <w:sz w:val="24"/>
          <w:szCs w:val="24"/>
          <w:lang w:val="en-GB"/>
        </w:rPr>
        <w:t>As regards the development of new systems</w:t>
      </w:r>
      <w:r>
        <w:rPr>
          <w:rFonts w:ascii="Times New Roman" w:hAnsi="Times New Roman" w:cs="Times New Roman"/>
          <w:bCs/>
          <w:iCs/>
          <w:noProof/>
          <w:sz w:val="24"/>
          <w:szCs w:val="24"/>
          <w:lang w:val="en-GB"/>
        </w:rPr>
        <w:t>, the evaluation found that the Agency has showed a constructive collaboration with Member States by being responsive to the feedback and suggestions for improvement of the new systems. The evaluation pointed to the importance of</w:t>
      </w:r>
      <w:r w:rsidRPr="00A2617A">
        <w:rPr>
          <w:rFonts w:ascii="Times New Roman" w:hAnsi="Times New Roman" w:cs="Times New Roman"/>
          <w:bCs/>
          <w:iCs/>
          <w:noProof/>
          <w:sz w:val="24"/>
          <w:szCs w:val="24"/>
          <w:lang w:val="en-GB"/>
        </w:rPr>
        <w:t xml:space="preserve"> strategic and operational cooperation with </w:t>
      </w:r>
      <w:r>
        <w:rPr>
          <w:rFonts w:ascii="Times New Roman" w:hAnsi="Times New Roman" w:cs="Times New Roman"/>
          <w:bCs/>
          <w:iCs/>
          <w:noProof/>
          <w:sz w:val="24"/>
          <w:szCs w:val="24"/>
          <w:lang w:val="en-GB"/>
        </w:rPr>
        <w:t>the Member States, SACs,</w:t>
      </w:r>
      <w:r w:rsidRPr="00A2617A">
        <w:rPr>
          <w:rFonts w:ascii="Times New Roman" w:hAnsi="Times New Roman" w:cs="Times New Roman"/>
          <w:bCs/>
          <w:iCs/>
          <w:noProof/>
          <w:sz w:val="24"/>
          <w:szCs w:val="24"/>
          <w:lang w:val="en-GB"/>
        </w:rPr>
        <w:t xml:space="preserve"> the Commission</w:t>
      </w:r>
      <w:r>
        <w:rPr>
          <w:rFonts w:ascii="Times New Roman" w:hAnsi="Times New Roman" w:cs="Times New Roman"/>
          <w:bCs/>
          <w:iCs/>
          <w:noProof/>
          <w:sz w:val="24"/>
          <w:szCs w:val="24"/>
          <w:lang w:val="en-GB"/>
        </w:rPr>
        <w:t xml:space="preserve"> a</w:t>
      </w:r>
      <w:r w:rsidR="00BD031D">
        <w:rPr>
          <w:rFonts w:ascii="Times New Roman" w:hAnsi="Times New Roman" w:cs="Times New Roman"/>
          <w:bCs/>
          <w:iCs/>
          <w:noProof/>
          <w:sz w:val="24"/>
          <w:szCs w:val="24"/>
          <w:lang w:val="en-GB"/>
        </w:rPr>
        <w:t xml:space="preserve">nd </w:t>
      </w:r>
      <w:r w:rsidRPr="00A2617A">
        <w:rPr>
          <w:rFonts w:ascii="Times New Roman" w:hAnsi="Times New Roman" w:cs="Times New Roman"/>
          <w:bCs/>
          <w:iCs/>
          <w:noProof/>
          <w:sz w:val="24"/>
          <w:szCs w:val="24"/>
          <w:lang w:val="en-GB"/>
        </w:rPr>
        <w:t xml:space="preserve">other EU </w:t>
      </w:r>
      <w:r>
        <w:rPr>
          <w:rFonts w:ascii="Times New Roman" w:hAnsi="Times New Roman" w:cs="Times New Roman"/>
          <w:bCs/>
          <w:iCs/>
          <w:noProof/>
          <w:sz w:val="24"/>
          <w:szCs w:val="24"/>
          <w:lang w:val="en-GB"/>
        </w:rPr>
        <w:t xml:space="preserve">agencies </w:t>
      </w:r>
      <w:r w:rsidRPr="00A2617A">
        <w:rPr>
          <w:rFonts w:ascii="Times New Roman" w:hAnsi="Times New Roman" w:cs="Times New Roman"/>
          <w:bCs/>
          <w:iCs/>
          <w:noProof/>
          <w:sz w:val="24"/>
          <w:szCs w:val="24"/>
          <w:lang w:val="en-GB"/>
        </w:rPr>
        <w:t>to avoid gaps, duplications</w:t>
      </w:r>
      <w:r w:rsidR="00BD031D">
        <w:rPr>
          <w:rFonts w:ascii="Times New Roman" w:hAnsi="Times New Roman" w:cs="Times New Roman"/>
          <w:bCs/>
          <w:iCs/>
          <w:noProof/>
          <w:sz w:val="24"/>
          <w:szCs w:val="24"/>
          <w:lang w:val="en-GB"/>
        </w:rPr>
        <w:t xml:space="preserve"> or grey areas</w:t>
      </w:r>
      <w:r w:rsidRPr="00A2617A">
        <w:rPr>
          <w:rFonts w:ascii="Times New Roman" w:hAnsi="Times New Roman" w:cs="Times New Roman"/>
          <w:bCs/>
          <w:iCs/>
          <w:noProof/>
          <w:sz w:val="24"/>
          <w:szCs w:val="24"/>
          <w:lang w:val="en-GB"/>
        </w:rPr>
        <w:t xml:space="preserve"> in the future</w:t>
      </w:r>
      <w:r>
        <w:rPr>
          <w:rFonts w:ascii="Times New Roman" w:hAnsi="Times New Roman" w:cs="Times New Roman"/>
          <w:bCs/>
          <w:iCs/>
          <w:noProof/>
          <w:sz w:val="24"/>
          <w:szCs w:val="24"/>
          <w:lang w:val="en-GB"/>
        </w:rPr>
        <w:t>.</w:t>
      </w:r>
    </w:p>
    <w:p w14:paraId="652C7370" w14:textId="2F3D4152" w:rsidR="007A5317" w:rsidRDefault="003F78CB" w:rsidP="003F78CB">
      <w:pPr>
        <w:jc w:val="both"/>
        <w:rPr>
          <w:rFonts w:ascii="Times New Roman" w:eastAsia="Times New Roman" w:hAnsi="Times New Roman" w:cs="Times New Roman"/>
          <w:bCs/>
          <w:noProof/>
          <w:sz w:val="24"/>
          <w:szCs w:val="24"/>
          <w:lang w:val="en-IE" w:eastAsia="nl-BE"/>
        </w:rPr>
      </w:pPr>
      <w:r w:rsidRPr="000378BF">
        <w:rPr>
          <w:rFonts w:ascii="Times New Roman" w:eastAsia="Times New Roman" w:hAnsi="Times New Roman" w:cs="Times New Roman"/>
          <w:bCs/>
          <w:noProof/>
          <w:sz w:val="24"/>
          <w:szCs w:val="24"/>
          <w:lang w:val="en-IE" w:eastAsia="nl-BE"/>
        </w:rPr>
        <w:t xml:space="preserve">However, </w:t>
      </w:r>
      <w:r w:rsidR="000378BF">
        <w:rPr>
          <w:rFonts w:ascii="Times New Roman" w:eastAsia="Times New Roman" w:hAnsi="Times New Roman" w:cs="Times New Roman"/>
          <w:bCs/>
          <w:noProof/>
          <w:sz w:val="24"/>
          <w:szCs w:val="24"/>
          <w:lang w:val="en-IE" w:eastAsia="nl-BE"/>
        </w:rPr>
        <w:t>t</w:t>
      </w:r>
      <w:r w:rsidR="000378BF" w:rsidRPr="00004DA6">
        <w:rPr>
          <w:rFonts w:ascii="Times New Roman" w:eastAsia="Times New Roman" w:hAnsi="Times New Roman" w:cs="Times New Roman"/>
          <w:bCs/>
          <w:noProof/>
          <w:sz w:val="24"/>
          <w:szCs w:val="24"/>
          <w:lang w:val="en-IE" w:eastAsia="nl-BE"/>
        </w:rPr>
        <w:t xml:space="preserve">he evaluation found that certain ambiguities persist regarding the division of responsibilities between eu-LISA and other EU institutions, agencies, Member States, and private sector actors (e.g. contractors). In particular, the respective roles of the Agency vis-à-vis the Commission, Frontex, and Member States are not always clearly delineated. These uncertainties are also reflected in the budgetary dimension, notably in relation to the </w:t>
      </w:r>
      <w:r w:rsidR="000378BF" w:rsidRPr="00004DA6">
        <w:rPr>
          <w:rFonts w:ascii="Times New Roman" w:eastAsia="Times New Roman" w:hAnsi="Times New Roman" w:cs="Times New Roman"/>
          <w:noProof/>
          <w:sz w:val="24"/>
          <w:szCs w:val="24"/>
          <w:lang w:val="en-IE" w:eastAsia="nl-BE"/>
        </w:rPr>
        <w:t>Legislative Financial Statements (LFS).</w:t>
      </w:r>
      <w:r w:rsidR="000378BF" w:rsidRPr="00004DA6">
        <w:rPr>
          <w:rFonts w:ascii="Times New Roman" w:eastAsia="Times New Roman" w:hAnsi="Times New Roman" w:cs="Times New Roman"/>
          <w:bCs/>
          <w:noProof/>
          <w:sz w:val="24"/>
          <w:szCs w:val="24"/>
          <w:lang w:val="en-IE" w:eastAsia="nl-BE"/>
        </w:rPr>
        <w:t xml:space="preserve"> While the LFS are negotiated on a year-by-year basis, stakeholders underlined the importance of strengthening </w:t>
      </w:r>
      <w:r w:rsidR="000378BF" w:rsidRPr="00004DA6">
        <w:rPr>
          <w:rFonts w:ascii="Times New Roman" w:eastAsia="Times New Roman" w:hAnsi="Times New Roman" w:cs="Times New Roman"/>
          <w:noProof/>
          <w:sz w:val="24"/>
          <w:szCs w:val="24"/>
          <w:lang w:val="en-IE" w:eastAsia="nl-BE"/>
        </w:rPr>
        <w:t>the Agency’s internal planning for the use of the LFS</w:t>
      </w:r>
      <w:r w:rsidR="000378BF" w:rsidRPr="00004DA6">
        <w:rPr>
          <w:rFonts w:ascii="Times New Roman" w:eastAsia="Times New Roman" w:hAnsi="Times New Roman" w:cs="Times New Roman"/>
          <w:bCs/>
          <w:noProof/>
          <w:sz w:val="24"/>
          <w:szCs w:val="24"/>
          <w:lang w:val="en-IE" w:eastAsia="nl-BE"/>
        </w:rPr>
        <w:t>, ensuring that resources are aligned with long-term strategic needs.</w:t>
      </w:r>
      <w:r w:rsidR="007A5317" w:rsidRPr="007A5317">
        <w:rPr>
          <w:rFonts w:ascii="Times New Roman" w:eastAsia="Times New Roman" w:hAnsi="Times New Roman" w:cs="Times New Roman"/>
          <w:bCs/>
          <w:noProof/>
          <w:sz w:val="24"/>
          <w:szCs w:val="24"/>
          <w:lang w:val="en-IE" w:eastAsia="nl-BE"/>
        </w:rPr>
        <w:t xml:space="preserve"> </w:t>
      </w:r>
      <w:r w:rsidR="007A5317" w:rsidRPr="00004DA6">
        <w:rPr>
          <w:rFonts w:ascii="Times New Roman" w:eastAsia="Times New Roman" w:hAnsi="Times New Roman" w:cs="Times New Roman"/>
          <w:bCs/>
          <w:noProof/>
          <w:sz w:val="24"/>
          <w:szCs w:val="24"/>
          <w:lang w:val="en-IE" w:eastAsia="nl-BE"/>
        </w:rPr>
        <w:t xml:space="preserve">The evaluation noted that eu-LISA currently lacks a dedicated tool or system to effectively support multi-annual planning and resource allocation, which limits the Agency’s ability to anticipate and coordinate needs over several years. Reliance on traditional annual budgetary cycles further constrains the effectiveness of coordination and communication, particularly during the preparatory stages of the LFS. Introducing more structured multi-annual planning mechanisms would help enhance clarity, predictability, and efficiency </w:t>
      </w:r>
      <w:r w:rsidR="007A5317">
        <w:rPr>
          <w:rFonts w:ascii="Times New Roman" w:eastAsia="Times New Roman" w:hAnsi="Times New Roman" w:cs="Times New Roman"/>
          <w:bCs/>
          <w:noProof/>
          <w:sz w:val="24"/>
          <w:szCs w:val="24"/>
          <w:lang w:val="en-IE" w:eastAsia="nl-BE"/>
        </w:rPr>
        <w:t>of</w:t>
      </w:r>
      <w:r w:rsidR="007A5317" w:rsidRPr="00004DA6">
        <w:rPr>
          <w:rFonts w:ascii="Times New Roman" w:eastAsia="Times New Roman" w:hAnsi="Times New Roman" w:cs="Times New Roman"/>
          <w:bCs/>
          <w:noProof/>
          <w:sz w:val="24"/>
          <w:szCs w:val="24"/>
          <w:lang w:val="en-IE" w:eastAsia="nl-BE"/>
        </w:rPr>
        <w:t xml:space="preserve"> the Agency’s </w:t>
      </w:r>
      <w:r w:rsidR="007A5317">
        <w:rPr>
          <w:rFonts w:ascii="Times New Roman" w:eastAsia="Times New Roman" w:hAnsi="Times New Roman" w:cs="Times New Roman"/>
          <w:bCs/>
          <w:noProof/>
          <w:sz w:val="24"/>
          <w:szCs w:val="24"/>
          <w:lang w:val="en-IE" w:eastAsia="nl-BE"/>
        </w:rPr>
        <w:t>resource planning.</w:t>
      </w:r>
      <w:r w:rsidR="000378BF" w:rsidRPr="00004DA6">
        <w:rPr>
          <w:rFonts w:ascii="Times New Roman" w:eastAsia="Times New Roman" w:hAnsi="Times New Roman" w:cs="Times New Roman"/>
          <w:bCs/>
          <w:noProof/>
          <w:sz w:val="24"/>
          <w:szCs w:val="24"/>
          <w:lang w:val="en-IE" w:eastAsia="nl-BE"/>
        </w:rPr>
        <w:t xml:space="preserve"> </w:t>
      </w:r>
    </w:p>
    <w:bookmarkEnd w:id="30"/>
    <w:p w14:paraId="4FB34458" w14:textId="6BFC7C24" w:rsidR="003F78CB" w:rsidRPr="00A2617A" w:rsidRDefault="003F78CB" w:rsidP="003F78CB">
      <w:pPr>
        <w:jc w:val="both"/>
        <w:rPr>
          <w:rFonts w:ascii="Times New Roman" w:hAnsi="Times New Roman" w:cs="Times New Roman"/>
          <w:b/>
          <w:bCs/>
          <w:i/>
          <w:iCs/>
          <w:noProof/>
          <w:sz w:val="24"/>
          <w:szCs w:val="24"/>
          <w:lang w:val="en-GB"/>
        </w:rPr>
      </w:pPr>
      <w:r w:rsidRPr="00A2617A">
        <w:rPr>
          <w:rFonts w:ascii="Times New Roman" w:hAnsi="Times New Roman" w:cs="Times New Roman"/>
          <w:b/>
          <w:bCs/>
          <w:i/>
          <w:iCs/>
          <w:noProof/>
          <w:sz w:val="24"/>
          <w:szCs w:val="24"/>
          <w:lang w:val="en-GB"/>
        </w:rPr>
        <w:t>To what extent are eu-LISA’s management structure and activities internally coherent for an efficient management and operation of the Agency?</w:t>
      </w:r>
    </w:p>
    <w:p w14:paraId="2B51B1BF" w14:textId="3698CFF4" w:rsidR="003F78CB" w:rsidRDefault="003F78CB" w:rsidP="003F78CB">
      <w:pPr>
        <w:jc w:val="both"/>
        <w:rPr>
          <w:rFonts w:ascii="Times New Roman" w:hAnsi="Times New Roman" w:cs="Times New Roman"/>
          <w:bCs/>
          <w:iCs/>
          <w:noProof/>
          <w:sz w:val="24"/>
          <w:szCs w:val="24"/>
          <w:lang w:val="en-GB"/>
        </w:rPr>
      </w:pPr>
      <w:r>
        <w:rPr>
          <w:rFonts w:ascii="Times New Roman" w:hAnsi="Times New Roman" w:cs="Times New Roman"/>
          <w:bCs/>
          <w:iCs/>
          <w:noProof/>
          <w:sz w:val="24"/>
          <w:szCs w:val="24"/>
          <w:lang w:val="en-GB"/>
        </w:rPr>
        <w:t xml:space="preserve">The management structure covers both the Agency’s governance structure, together with its internal organisational set up (i.e. departments, units and sectors). </w:t>
      </w:r>
      <w:r w:rsidRPr="00A2617A">
        <w:rPr>
          <w:rFonts w:ascii="Times New Roman" w:hAnsi="Times New Roman" w:cs="Times New Roman"/>
          <w:bCs/>
          <w:iCs/>
          <w:noProof/>
          <w:sz w:val="24"/>
          <w:szCs w:val="24"/>
          <w:lang w:val="en-GB"/>
        </w:rPr>
        <w:t xml:space="preserve">eu-LISA’s management structure consists of the Management Board (and various sub-bodies), </w:t>
      </w:r>
      <w:r w:rsidR="00060E23">
        <w:rPr>
          <w:rFonts w:ascii="Times New Roman" w:hAnsi="Times New Roman" w:cs="Times New Roman"/>
          <w:bCs/>
          <w:iCs/>
          <w:noProof/>
          <w:sz w:val="24"/>
          <w:szCs w:val="24"/>
          <w:lang w:val="en-GB"/>
        </w:rPr>
        <w:t>nine</w:t>
      </w:r>
      <w:r w:rsidR="00060E23" w:rsidRPr="00A2617A">
        <w:rPr>
          <w:rFonts w:ascii="Times New Roman" w:hAnsi="Times New Roman" w:cs="Times New Roman"/>
          <w:bCs/>
          <w:iCs/>
          <w:noProof/>
          <w:sz w:val="24"/>
          <w:szCs w:val="24"/>
          <w:lang w:val="en-GB"/>
        </w:rPr>
        <w:t xml:space="preserve"> </w:t>
      </w:r>
      <w:r w:rsidRPr="00A2617A">
        <w:rPr>
          <w:rFonts w:ascii="Times New Roman" w:hAnsi="Times New Roman" w:cs="Times New Roman"/>
          <w:bCs/>
          <w:iCs/>
          <w:noProof/>
          <w:sz w:val="24"/>
          <w:szCs w:val="24"/>
          <w:lang w:val="en-GB"/>
        </w:rPr>
        <w:t>Advisory Groups</w:t>
      </w:r>
      <w:r w:rsidR="004B7452">
        <w:rPr>
          <w:rStyle w:val="FootnoteReference"/>
          <w:rFonts w:ascii="Times New Roman" w:hAnsi="Times New Roman" w:cs="Times New Roman"/>
          <w:bCs/>
          <w:iCs/>
          <w:noProof/>
          <w:szCs w:val="24"/>
          <w:lang w:val="en-GB"/>
        </w:rPr>
        <w:footnoteReference w:id="73"/>
      </w:r>
      <w:r w:rsidRPr="00A2617A">
        <w:rPr>
          <w:rFonts w:ascii="Times New Roman" w:hAnsi="Times New Roman" w:cs="Times New Roman"/>
          <w:bCs/>
          <w:iCs/>
          <w:noProof/>
          <w:sz w:val="24"/>
          <w:szCs w:val="24"/>
          <w:lang w:val="en-GB"/>
        </w:rPr>
        <w:t>, as well as five Project Management Boards. In addition, the Management</w:t>
      </w:r>
      <w:r w:rsidRPr="00A2617A" w:rsidDel="00671DC5">
        <w:rPr>
          <w:rFonts w:ascii="Times New Roman" w:hAnsi="Times New Roman" w:cs="Times New Roman"/>
          <w:bCs/>
          <w:iCs/>
          <w:noProof/>
          <w:sz w:val="24"/>
          <w:szCs w:val="24"/>
          <w:lang w:val="en-GB"/>
        </w:rPr>
        <w:t xml:space="preserve"> </w:t>
      </w:r>
      <w:r w:rsidRPr="00A2617A">
        <w:rPr>
          <w:rFonts w:ascii="Times New Roman" w:hAnsi="Times New Roman" w:cs="Times New Roman"/>
          <w:bCs/>
          <w:iCs/>
          <w:noProof/>
          <w:sz w:val="24"/>
          <w:szCs w:val="24"/>
          <w:lang w:val="en-GB"/>
        </w:rPr>
        <w:t xml:space="preserve">Board </w:t>
      </w:r>
      <w:r w:rsidRPr="002048C6">
        <w:rPr>
          <w:rFonts w:ascii="Times New Roman" w:hAnsi="Times New Roman" w:cs="Times New Roman"/>
          <w:noProof/>
          <w:sz w:val="24"/>
          <w:szCs w:val="24"/>
          <w:lang w:val="en-IE"/>
        </w:rPr>
        <w:t>secretariat</w:t>
      </w:r>
      <w:r w:rsidRPr="00A2617A">
        <w:rPr>
          <w:rFonts w:ascii="Times New Roman" w:hAnsi="Times New Roman" w:cs="Times New Roman"/>
          <w:bCs/>
          <w:iCs/>
          <w:noProof/>
          <w:sz w:val="24"/>
          <w:szCs w:val="24"/>
          <w:lang w:val="en-GB"/>
        </w:rPr>
        <w:t xml:space="preserve"> plays a central role in supporting the governance bodies and ensuring their smooth functioning.</w:t>
      </w:r>
    </w:p>
    <w:p w14:paraId="781CB4B0" w14:textId="6E1F2F3E" w:rsidR="003F78CB" w:rsidRDefault="003F78CB" w:rsidP="003F78CB">
      <w:pPr>
        <w:jc w:val="both"/>
        <w:rPr>
          <w:rFonts w:ascii="Times New Roman" w:hAnsi="Times New Roman" w:cs="Times New Roman"/>
          <w:bCs/>
          <w:iCs/>
          <w:noProof/>
          <w:sz w:val="24"/>
          <w:szCs w:val="24"/>
          <w:lang w:val="en-GB"/>
        </w:rPr>
      </w:pPr>
      <w:r>
        <w:rPr>
          <w:rFonts w:ascii="Times New Roman" w:hAnsi="Times New Roman" w:cs="Times New Roman"/>
          <w:bCs/>
          <w:iCs/>
          <w:noProof/>
          <w:sz w:val="24"/>
          <w:szCs w:val="24"/>
          <w:lang w:val="en-GB"/>
        </w:rPr>
        <w:t xml:space="preserve">The evaluation found that the management structure is internally coherent and contributes to the </w:t>
      </w:r>
      <w:r w:rsidRPr="00C97B91">
        <w:rPr>
          <w:rFonts w:ascii="Times New Roman" w:hAnsi="Times New Roman" w:cs="Times New Roman"/>
          <w:bCs/>
          <w:iCs/>
          <w:noProof/>
          <w:sz w:val="24"/>
          <w:szCs w:val="24"/>
          <w:lang w:val="en-GB"/>
        </w:rPr>
        <w:t>Agency’s overall effectiveness and efficiency</w:t>
      </w:r>
      <w:r>
        <w:rPr>
          <w:rFonts w:ascii="Times New Roman" w:hAnsi="Times New Roman" w:cs="Times New Roman"/>
          <w:bCs/>
          <w:iCs/>
          <w:noProof/>
          <w:sz w:val="24"/>
          <w:szCs w:val="24"/>
          <w:lang w:val="en-GB"/>
        </w:rPr>
        <w:t xml:space="preserve">. In particular, the involvement of all stakeholders in multiple governance bodies was underlined as an important success factor by Member States, as the responsibility on the </w:t>
      </w:r>
      <w:r w:rsidRPr="00A2617A">
        <w:rPr>
          <w:rFonts w:ascii="Times New Roman" w:hAnsi="Times New Roman" w:cs="Times New Roman"/>
          <w:bCs/>
          <w:iCs/>
          <w:noProof/>
          <w:sz w:val="24"/>
          <w:szCs w:val="24"/>
          <w:lang w:val="en-GB"/>
        </w:rPr>
        <w:t>on the continuous oversight and improvement of the respective IT system should lie with the “community of Member States”</w:t>
      </w:r>
      <w:r>
        <w:rPr>
          <w:rFonts w:ascii="Times New Roman" w:hAnsi="Times New Roman" w:cs="Times New Roman"/>
          <w:bCs/>
          <w:iCs/>
          <w:noProof/>
          <w:sz w:val="24"/>
          <w:szCs w:val="24"/>
          <w:lang w:val="en-GB"/>
        </w:rPr>
        <w:t xml:space="preserve">. However, the </w:t>
      </w:r>
      <w:r w:rsidRPr="00241CCB">
        <w:rPr>
          <w:rFonts w:ascii="Times New Roman" w:hAnsi="Times New Roman" w:cs="Times New Roman"/>
          <w:bCs/>
          <w:iCs/>
          <w:noProof/>
          <w:sz w:val="24"/>
          <w:szCs w:val="24"/>
          <w:lang w:val="en-GB"/>
        </w:rPr>
        <w:t xml:space="preserve">numerous parallel governance bodies in which all Member States and EU agencies who are users of the systems are represented, </w:t>
      </w:r>
      <w:r>
        <w:rPr>
          <w:rFonts w:ascii="Times New Roman" w:hAnsi="Times New Roman" w:cs="Times New Roman"/>
          <w:bCs/>
          <w:iCs/>
          <w:noProof/>
          <w:sz w:val="24"/>
          <w:szCs w:val="24"/>
          <w:lang w:val="en-GB"/>
        </w:rPr>
        <w:t>brings its own complexities (e.g. high administrative burden), risks of duplications and contradictions,</w:t>
      </w:r>
      <w:r w:rsidRPr="00241CCB">
        <w:rPr>
          <w:rFonts w:ascii="Times New Roman" w:hAnsi="Times New Roman" w:cs="Times New Roman"/>
          <w:bCs/>
          <w:iCs/>
          <w:noProof/>
          <w:sz w:val="24"/>
          <w:szCs w:val="24"/>
          <w:lang w:val="en-GB"/>
        </w:rPr>
        <w:t xml:space="preserve"> and may lead to shortcomings relating to the efficiency of the governance structures</w:t>
      </w:r>
      <w:r w:rsidR="004B7452">
        <w:rPr>
          <w:rFonts w:ascii="Times New Roman" w:hAnsi="Times New Roman" w:cs="Times New Roman"/>
          <w:bCs/>
          <w:iCs/>
          <w:noProof/>
          <w:sz w:val="24"/>
          <w:szCs w:val="24"/>
          <w:lang w:val="en-GB"/>
        </w:rPr>
        <w:t>, as outlined in the efficiency section</w:t>
      </w:r>
      <w:r w:rsidR="004B7452" w:rsidRPr="002C712D">
        <w:rPr>
          <w:rFonts w:ascii="Times New Roman" w:hAnsi="Times New Roman" w:cs="Times New Roman"/>
          <w:bCs/>
          <w:iCs/>
          <w:noProof/>
          <w:sz w:val="24"/>
          <w:szCs w:val="24"/>
          <w:lang w:val="en-GB"/>
        </w:rPr>
        <w:t>.</w:t>
      </w:r>
    </w:p>
    <w:p w14:paraId="004CCF02" w14:textId="1FA850F2" w:rsidR="003F78CB" w:rsidRPr="00A2617A" w:rsidRDefault="003F78CB" w:rsidP="003F78CB">
      <w:pPr>
        <w:jc w:val="both"/>
        <w:rPr>
          <w:rFonts w:ascii="Times New Roman" w:hAnsi="Times New Roman" w:cs="Times New Roman"/>
          <w:bCs/>
          <w:iCs/>
          <w:noProof/>
          <w:sz w:val="24"/>
          <w:szCs w:val="24"/>
          <w:lang w:val="en-GB"/>
        </w:rPr>
      </w:pPr>
      <w:r w:rsidRPr="00A2617A">
        <w:rPr>
          <w:rFonts w:ascii="Times New Roman" w:hAnsi="Times New Roman" w:cs="Times New Roman"/>
          <w:bCs/>
          <w:iCs/>
          <w:noProof/>
          <w:sz w:val="24"/>
          <w:szCs w:val="24"/>
          <w:lang w:val="en-GB"/>
        </w:rPr>
        <w:t>The organisational set-up of the Agency</w:t>
      </w:r>
      <w:r w:rsidR="00757A7F">
        <w:rPr>
          <w:rFonts w:ascii="Times New Roman" w:hAnsi="Times New Roman" w:cs="Times New Roman"/>
          <w:bCs/>
          <w:iCs/>
          <w:noProof/>
          <w:sz w:val="24"/>
          <w:szCs w:val="24"/>
          <w:lang w:val="en-GB"/>
        </w:rPr>
        <w:t xml:space="preserve"> evolved during the evaluation period. The current</w:t>
      </w:r>
      <w:r w:rsidR="00CC70EE">
        <w:rPr>
          <w:rFonts w:ascii="Times New Roman" w:hAnsi="Times New Roman" w:cs="Times New Roman"/>
          <w:bCs/>
          <w:iCs/>
          <w:noProof/>
          <w:sz w:val="24"/>
          <w:szCs w:val="24"/>
          <w:lang w:val="en-GB"/>
        </w:rPr>
        <w:t xml:space="preserve"> organigramme</w:t>
      </w:r>
      <w:r w:rsidRPr="00A2617A">
        <w:rPr>
          <w:rFonts w:ascii="Times New Roman" w:hAnsi="Times New Roman" w:cs="Times New Roman"/>
          <w:bCs/>
          <w:iCs/>
          <w:noProof/>
          <w:sz w:val="24"/>
          <w:szCs w:val="24"/>
          <w:lang w:val="en-GB"/>
        </w:rPr>
        <w:t xml:space="preserve"> with its three departments, as well as sub-sequent 1</w:t>
      </w:r>
      <w:r w:rsidR="00CC70EE">
        <w:rPr>
          <w:rFonts w:ascii="Times New Roman" w:hAnsi="Times New Roman" w:cs="Times New Roman"/>
          <w:bCs/>
          <w:iCs/>
          <w:noProof/>
          <w:sz w:val="24"/>
          <w:szCs w:val="24"/>
          <w:lang w:val="en-GB"/>
        </w:rPr>
        <w:t>1</w:t>
      </w:r>
      <w:r w:rsidRPr="00A2617A">
        <w:rPr>
          <w:rFonts w:ascii="Times New Roman" w:hAnsi="Times New Roman" w:cs="Times New Roman"/>
          <w:bCs/>
          <w:iCs/>
          <w:noProof/>
          <w:sz w:val="24"/>
          <w:szCs w:val="24"/>
          <w:lang w:val="en-GB"/>
        </w:rPr>
        <w:t xml:space="preserve"> units and </w:t>
      </w:r>
      <w:r w:rsidR="00CC70EE">
        <w:rPr>
          <w:rFonts w:ascii="Times New Roman" w:hAnsi="Times New Roman" w:cs="Times New Roman"/>
          <w:bCs/>
          <w:iCs/>
          <w:noProof/>
          <w:sz w:val="24"/>
          <w:szCs w:val="24"/>
          <w:lang w:val="en-GB"/>
        </w:rPr>
        <w:t>35</w:t>
      </w:r>
      <w:r w:rsidRPr="00A2617A">
        <w:rPr>
          <w:rFonts w:ascii="Times New Roman" w:hAnsi="Times New Roman" w:cs="Times New Roman"/>
          <w:bCs/>
          <w:iCs/>
          <w:noProof/>
          <w:sz w:val="24"/>
          <w:szCs w:val="24"/>
          <w:lang w:val="en-GB"/>
        </w:rPr>
        <w:t xml:space="preserve"> sectors </w:t>
      </w:r>
      <w:r w:rsidR="003F519A">
        <w:rPr>
          <w:rFonts w:ascii="Times New Roman" w:hAnsi="Times New Roman" w:cs="Times New Roman"/>
          <w:bCs/>
          <w:iCs/>
          <w:noProof/>
          <w:sz w:val="24"/>
          <w:szCs w:val="24"/>
          <w:lang w:val="en-GB"/>
        </w:rPr>
        <w:t xml:space="preserve"> and</w:t>
      </w:r>
      <w:r w:rsidRPr="00A2617A">
        <w:rPr>
          <w:rFonts w:ascii="Times New Roman" w:hAnsi="Times New Roman" w:cs="Times New Roman"/>
          <w:bCs/>
          <w:iCs/>
          <w:noProof/>
          <w:sz w:val="24"/>
          <w:szCs w:val="24"/>
          <w:lang w:val="en-GB"/>
        </w:rPr>
        <w:t xml:space="preserve"> </w:t>
      </w:r>
      <w:r w:rsidR="00A228E9">
        <w:rPr>
          <w:rFonts w:ascii="Times New Roman" w:hAnsi="Times New Roman" w:cs="Times New Roman"/>
          <w:bCs/>
          <w:iCs/>
          <w:noProof/>
          <w:sz w:val="24"/>
          <w:szCs w:val="24"/>
          <w:lang w:val="en-GB"/>
        </w:rPr>
        <w:t>three</w:t>
      </w:r>
      <w:r w:rsidR="00A228E9" w:rsidRPr="00A2617A">
        <w:rPr>
          <w:rFonts w:ascii="Times New Roman" w:hAnsi="Times New Roman" w:cs="Times New Roman"/>
          <w:bCs/>
          <w:iCs/>
          <w:noProof/>
          <w:sz w:val="24"/>
          <w:szCs w:val="24"/>
          <w:lang w:val="en-GB"/>
        </w:rPr>
        <w:t xml:space="preserve"> </w:t>
      </w:r>
      <w:r w:rsidRPr="00A2617A">
        <w:rPr>
          <w:rFonts w:ascii="Times New Roman" w:hAnsi="Times New Roman" w:cs="Times New Roman"/>
          <w:bCs/>
          <w:iCs/>
          <w:noProof/>
          <w:sz w:val="24"/>
          <w:szCs w:val="24"/>
          <w:lang w:val="en-GB"/>
        </w:rPr>
        <w:t xml:space="preserve">executive units directly </w:t>
      </w:r>
      <w:r w:rsidR="003F519A">
        <w:rPr>
          <w:rFonts w:ascii="Times New Roman" w:hAnsi="Times New Roman" w:cs="Times New Roman"/>
          <w:bCs/>
          <w:iCs/>
          <w:noProof/>
          <w:sz w:val="24"/>
          <w:szCs w:val="24"/>
          <w:lang w:val="en-GB"/>
        </w:rPr>
        <w:t>reporting</w:t>
      </w:r>
      <w:r w:rsidR="003F519A" w:rsidRPr="00A2617A">
        <w:rPr>
          <w:rFonts w:ascii="Times New Roman" w:hAnsi="Times New Roman" w:cs="Times New Roman"/>
          <w:bCs/>
          <w:iCs/>
          <w:noProof/>
          <w:sz w:val="24"/>
          <w:szCs w:val="24"/>
          <w:lang w:val="en-GB"/>
        </w:rPr>
        <w:t xml:space="preserve"> </w:t>
      </w:r>
      <w:r w:rsidRPr="00A2617A">
        <w:rPr>
          <w:rFonts w:ascii="Times New Roman" w:hAnsi="Times New Roman" w:cs="Times New Roman"/>
          <w:bCs/>
          <w:iCs/>
          <w:noProof/>
          <w:sz w:val="24"/>
          <w:szCs w:val="24"/>
          <w:lang w:val="en-GB"/>
        </w:rPr>
        <w:t>to the Executive Director</w:t>
      </w:r>
      <w:r w:rsidR="003F519A">
        <w:rPr>
          <w:rFonts w:ascii="Times New Roman" w:hAnsi="Times New Roman" w:cs="Times New Roman"/>
          <w:bCs/>
          <w:iCs/>
          <w:noProof/>
          <w:sz w:val="24"/>
          <w:szCs w:val="24"/>
          <w:lang w:val="en-GB"/>
        </w:rPr>
        <w:t xml:space="preserve"> was</w:t>
      </w:r>
      <w:r w:rsidRPr="00A2617A">
        <w:rPr>
          <w:rFonts w:ascii="Times New Roman" w:hAnsi="Times New Roman" w:cs="Times New Roman"/>
          <w:bCs/>
          <w:iCs/>
          <w:noProof/>
          <w:sz w:val="24"/>
          <w:szCs w:val="24"/>
          <w:lang w:val="en-GB"/>
        </w:rPr>
        <w:t xml:space="preserve"> developed based on the Commission’s model in mind.</w:t>
      </w:r>
      <w:r>
        <w:rPr>
          <w:rFonts w:ascii="Times New Roman" w:hAnsi="Times New Roman" w:cs="Times New Roman"/>
          <w:bCs/>
          <w:iCs/>
          <w:noProof/>
          <w:sz w:val="24"/>
          <w:szCs w:val="24"/>
          <w:lang w:val="en-GB"/>
        </w:rPr>
        <w:t xml:space="preserve"> </w:t>
      </w:r>
      <w:r w:rsidRPr="00A2617A">
        <w:rPr>
          <w:rFonts w:ascii="Times New Roman" w:hAnsi="Times New Roman" w:cs="Times New Roman"/>
          <w:bCs/>
          <w:iCs/>
          <w:noProof/>
          <w:sz w:val="24"/>
          <w:szCs w:val="24"/>
          <w:lang w:val="en-GB"/>
        </w:rPr>
        <w:t xml:space="preserve">While the organigram does not seem to have any obvious </w:t>
      </w:r>
      <w:r w:rsidR="003F519A">
        <w:rPr>
          <w:rFonts w:ascii="Times New Roman" w:hAnsi="Times New Roman" w:cs="Times New Roman"/>
          <w:bCs/>
          <w:iCs/>
          <w:noProof/>
          <w:sz w:val="24"/>
          <w:szCs w:val="24"/>
          <w:lang w:val="en-GB"/>
        </w:rPr>
        <w:t>structural gaps</w:t>
      </w:r>
      <w:r w:rsidRPr="00A2617A">
        <w:rPr>
          <w:rFonts w:ascii="Times New Roman" w:hAnsi="Times New Roman" w:cs="Times New Roman"/>
          <w:bCs/>
          <w:iCs/>
          <w:noProof/>
          <w:sz w:val="24"/>
          <w:szCs w:val="24"/>
          <w:lang w:val="en-GB"/>
        </w:rPr>
        <w:t xml:space="preserve">, </w:t>
      </w:r>
      <w:r>
        <w:rPr>
          <w:rFonts w:ascii="Times New Roman" w:hAnsi="Times New Roman" w:cs="Times New Roman"/>
          <w:bCs/>
          <w:iCs/>
          <w:noProof/>
          <w:sz w:val="24"/>
          <w:szCs w:val="24"/>
          <w:lang w:val="en-GB"/>
        </w:rPr>
        <w:t xml:space="preserve">the evaluation found there is </w:t>
      </w:r>
      <w:r w:rsidR="002E622D" w:rsidRPr="00004DA6">
        <w:rPr>
          <w:rFonts w:ascii="Times New Roman" w:hAnsi="Times New Roman" w:cs="Times New Roman"/>
          <w:bCs/>
          <w:iCs/>
          <w:noProof/>
          <w:sz w:val="24"/>
          <w:szCs w:val="24"/>
          <w:lang w:val="en-IE"/>
        </w:rPr>
        <w:t>room for</w:t>
      </w:r>
      <w:r w:rsidRPr="00004DA6">
        <w:rPr>
          <w:rFonts w:ascii="Times New Roman" w:hAnsi="Times New Roman" w:cs="Times New Roman"/>
          <w:bCs/>
          <w:iCs/>
          <w:noProof/>
          <w:sz w:val="24"/>
          <w:szCs w:val="24"/>
          <w:lang w:val="en-IE"/>
        </w:rPr>
        <w:t xml:space="preserve"> improvement with regard to the Agency’s organisational effectiveness and efficiency. </w:t>
      </w:r>
      <w:r w:rsidR="003625EF" w:rsidRPr="00004DA6">
        <w:rPr>
          <w:rFonts w:ascii="Times New Roman" w:hAnsi="Times New Roman" w:cs="Times New Roman"/>
          <w:bCs/>
          <w:iCs/>
          <w:noProof/>
          <w:sz w:val="24"/>
          <w:szCs w:val="24"/>
          <w:lang w:val="en-IE"/>
        </w:rPr>
        <w:t xml:space="preserve">For example, past situations were noted in which the practical roles and responsibilities of units and sectors lacked clarity, and instances occurred where multiple units worked on similar tasks without sufficient coordination. During the evaluation period, the organigram was revised, and several of the shortcomings previously identified have been addressed to some extent; however, some inconsistencies and overlaps remain, indicating the need for continued attention to organisational alignment. </w:t>
      </w:r>
    </w:p>
    <w:p w14:paraId="1DAE3800" w14:textId="77777777" w:rsidR="003F78CB" w:rsidRPr="00A2617A" w:rsidRDefault="003F78CB" w:rsidP="003F78CB">
      <w:pPr>
        <w:jc w:val="both"/>
        <w:rPr>
          <w:rFonts w:ascii="Times New Roman" w:hAnsi="Times New Roman" w:cs="Times New Roman"/>
          <w:bCs/>
          <w:iCs/>
          <w:noProof/>
          <w:sz w:val="24"/>
          <w:szCs w:val="24"/>
          <w:lang w:val="en-GB"/>
        </w:rPr>
      </w:pPr>
      <w:r w:rsidRPr="00A2617A">
        <w:rPr>
          <w:rFonts w:ascii="Times New Roman" w:hAnsi="Times New Roman" w:cs="Times New Roman"/>
          <w:bCs/>
          <w:iCs/>
          <w:noProof/>
          <w:sz w:val="24"/>
          <w:szCs w:val="24"/>
          <w:lang w:val="en-GB"/>
        </w:rPr>
        <w:t>In addition, stakeholders from within the Agency pointed out that the organisational split of the Agency between Tallinn and Strasbourg into corporate services and operations is bringing about challenges (e.g. a perceived disconnect between both the HR and procurement units in Tallinn and the operations department in Strasbourg) which have led to inefficiencies concerning the hiring and development of staff, as well as the management of contractors.</w:t>
      </w:r>
    </w:p>
    <w:p w14:paraId="3B6BCCAB" w14:textId="60597E25" w:rsidR="0030391A" w:rsidRDefault="00A24C5B" w:rsidP="003F78CB">
      <w:pPr>
        <w:jc w:val="both"/>
        <w:rPr>
          <w:rFonts w:ascii="Times New Roman" w:hAnsi="Times New Roman" w:cs="Times New Roman"/>
          <w:bCs/>
          <w:iCs/>
          <w:noProof/>
          <w:sz w:val="24"/>
          <w:szCs w:val="24"/>
          <w:lang w:val="en-GB"/>
        </w:rPr>
      </w:pPr>
      <w:r w:rsidRPr="00004DA6">
        <w:rPr>
          <w:rFonts w:ascii="Times New Roman" w:hAnsi="Times New Roman" w:cs="Times New Roman"/>
          <w:bCs/>
          <w:iCs/>
          <w:noProof/>
          <w:sz w:val="24"/>
          <w:szCs w:val="24"/>
          <w:lang w:val="en-IE"/>
        </w:rPr>
        <w:t>The evaluation found that, overall, the Agency’s management structure and activities are internally coherent. At the same time, opportunities exist to further enhance the management and operational effectiveness of the Agency, which is already actively pursuing a transformation aimed at increasing efficiency</w:t>
      </w:r>
      <w:r>
        <w:rPr>
          <w:rFonts w:ascii="Times New Roman" w:hAnsi="Times New Roman" w:cs="Times New Roman"/>
          <w:bCs/>
          <w:iCs/>
          <w:noProof/>
          <w:sz w:val="24"/>
          <w:szCs w:val="24"/>
          <w:lang w:val="en-IE"/>
        </w:rPr>
        <w:t xml:space="preserve">. </w:t>
      </w:r>
    </w:p>
    <w:p w14:paraId="08CEAC18" w14:textId="77777777" w:rsidR="003F78CB" w:rsidRPr="00A2617A" w:rsidRDefault="003F78CB" w:rsidP="003F78CB">
      <w:pPr>
        <w:jc w:val="both"/>
        <w:rPr>
          <w:rFonts w:ascii="Times New Roman" w:hAnsi="Times New Roman" w:cs="Times New Roman"/>
          <w:b/>
          <w:bCs/>
          <w:i/>
          <w:iCs/>
          <w:noProof/>
          <w:sz w:val="24"/>
          <w:szCs w:val="24"/>
          <w:lang w:val="en-GB"/>
        </w:rPr>
      </w:pPr>
      <w:r w:rsidRPr="00A2617A">
        <w:rPr>
          <w:rFonts w:ascii="Times New Roman" w:hAnsi="Times New Roman" w:cs="Times New Roman"/>
          <w:b/>
          <w:bCs/>
          <w:i/>
          <w:iCs/>
          <w:noProof/>
          <w:sz w:val="24"/>
          <w:szCs w:val="24"/>
          <w:lang w:val="en-GB"/>
        </w:rPr>
        <w:t>To what extent have eu-LISA’s services been coherent with the expectations of the users of large-scale IT-systems? How does the Agency’s service correspond to the needs and expectations of the Member States as users of the systems?</w:t>
      </w:r>
    </w:p>
    <w:p w14:paraId="7BACCFC2" w14:textId="77777777" w:rsidR="003F78CB" w:rsidRDefault="003F78CB" w:rsidP="003F78CB">
      <w:pPr>
        <w:jc w:val="both"/>
        <w:rPr>
          <w:rFonts w:ascii="Times New Roman" w:hAnsi="Times New Roman" w:cs="Times New Roman"/>
          <w:bCs/>
          <w:iCs/>
          <w:noProof/>
          <w:sz w:val="24"/>
          <w:szCs w:val="24"/>
          <w:lang w:val="en-GB"/>
        </w:rPr>
      </w:pPr>
      <w:r w:rsidRPr="00A2617A">
        <w:rPr>
          <w:rFonts w:ascii="Times New Roman" w:hAnsi="Times New Roman" w:cs="Times New Roman"/>
          <w:bCs/>
          <w:iCs/>
          <w:noProof/>
          <w:sz w:val="24"/>
          <w:szCs w:val="24"/>
          <w:lang w:val="en-GB"/>
        </w:rPr>
        <w:t>Services provided by eu-LISA include, among others, the development and operational management of large-scare IT systems in the area of freedom, security, and justice, creating an effective and coherent IT environment, or ensuring system continuity and security.</w:t>
      </w:r>
      <w:r>
        <w:rPr>
          <w:rFonts w:ascii="Times New Roman" w:hAnsi="Times New Roman" w:cs="Times New Roman"/>
          <w:bCs/>
          <w:iCs/>
          <w:noProof/>
          <w:sz w:val="24"/>
          <w:szCs w:val="24"/>
          <w:lang w:val="en-GB"/>
        </w:rPr>
        <w:t xml:space="preserve"> The evaluation found that eu-LISA </w:t>
      </w:r>
      <w:r w:rsidRPr="00A2617A">
        <w:rPr>
          <w:rFonts w:ascii="Times New Roman" w:hAnsi="Times New Roman" w:cs="Times New Roman"/>
          <w:bCs/>
          <w:iCs/>
          <w:noProof/>
          <w:sz w:val="24"/>
          <w:szCs w:val="24"/>
          <w:lang w:val="en-GB"/>
        </w:rPr>
        <w:t>has met</w:t>
      </w:r>
      <w:r>
        <w:rPr>
          <w:rFonts w:ascii="Times New Roman" w:hAnsi="Times New Roman" w:cs="Times New Roman"/>
          <w:bCs/>
          <w:iCs/>
          <w:noProof/>
          <w:sz w:val="24"/>
          <w:szCs w:val="24"/>
          <w:lang w:val="en-GB"/>
        </w:rPr>
        <w:t>, to a large extent,</w:t>
      </w:r>
      <w:r w:rsidRPr="00A2617A">
        <w:rPr>
          <w:rFonts w:ascii="Times New Roman" w:hAnsi="Times New Roman" w:cs="Times New Roman"/>
          <w:bCs/>
          <w:iCs/>
          <w:noProof/>
          <w:sz w:val="24"/>
          <w:szCs w:val="24"/>
          <w:lang w:val="en-GB"/>
        </w:rPr>
        <w:t xml:space="preserve"> user</w:t>
      </w:r>
      <w:r>
        <w:rPr>
          <w:rFonts w:ascii="Times New Roman" w:hAnsi="Times New Roman" w:cs="Times New Roman"/>
          <w:bCs/>
          <w:iCs/>
          <w:noProof/>
          <w:sz w:val="24"/>
          <w:szCs w:val="24"/>
          <w:lang w:val="en-GB"/>
        </w:rPr>
        <w:t>s’</w:t>
      </w:r>
      <w:r w:rsidRPr="00A2617A">
        <w:rPr>
          <w:rFonts w:ascii="Times New Roman" w:hAnsi="Times New Roman" w:cs="Times New Roman"/>
          <w:bCs/>
          <w:iCs/>
          <w:noProof/>
          <w:sz w:val="24"/>
          <w:szCs w:val="24"/>
          <w:lang w:val="en-GB"/>
        </w:rPr>
        <w:t xml:space="preserve"> needs, including strong system availability, incident responsiveness, or operational support, with the provided large-scale IT systems within the scope of eu-LISA’s Regulation. </w:t>
      </w:r>
    </w:p>
    <w:p w14:paraId="2FAB4AC6" w14:textId="6656F4DA" w:rsidR="003F78CB" w:rsidRPr="00A2617A" w:rsidRDefault="003F78CB" w:rsidP="003F78CB">
      <w:pPr>
        <w:jc w:val="both"/>
        <w:rPr>
          <w:rFonts w:ascii="Times New Roman" w:hAnsi="Times New Roman" w:cs="Times New Roman"/>
          <w:bCs/>
          <w:iCs/>
          <w:noProof/>
          <w:sz w:val="24"/>
          <w:szCs w:val="24"/>
          <w:lang w:val="en-GB"/>
        </w:rPr>
      </w:pPr>
      <w:r>
        <w:rPr>
          <w:rFonts w:ascii="Times New Roman" w:hAnsi="Times New Roman" w:cs="Times New Roman"/>
          <w:bCs/>
          <w:iCs/>
          <w:noProof/>
          <w:sz w:val="24"/>
          <w:szCs w:val="24"/>
          <w:lang w:val="en-GB"/>
        </w:rPr>
        <w:t xml:space="preserve">The evaluation identified areas </w:t>
      </w:r>
      <w:r w:rsidRPr="00A2617A">
        <w:rPr>
          <w:rFonts w:ascii="Times New Roman" w:hAnsi="Times New Roman" w:cs="Times New Roman"/>
          <w:bCs/>
          <w:iCs/>
          <w:noProof/>
          <w:sz w:val="24"/>
          <w:szCs w:val="24"/>
          <w:lang w:val="en-GB"/>
        </w:rPr>
        <w:t xml:space="preserve">requiring </w:t>
      </w:r>
      <w:r>
        <w:rPr>
          <w:rFonts w:ascii="Times New Roman" w:hAnsi="Times New Roman" w:cs="Times New Roman"/>
          <w:bCs/>
          <w:iCs/>
          <w:noProof/>
          <w:sz w:val="24"/>
          <w:szCs w:val="24"/>
          <w:lang w:val="en-GB"/>
        </w:rPr>
        <w:t xml:space="preserve">further </w:t>
      </w:r>
      <w:r w:rsidRPr="00A2617A">
        <w:rPr>
          <w:rFonts w:ascii="Times New Roman" w:hAnsi="Times New Roman" w:cs="Times New Roman"/>
          <w:bCs/>
          <w:iCs/>
          <w:noProof/>
          <w:sz w:val="24"/>
          <w:szCs w:val="24"/>
          <w:lang w:val="en-GB"/>
        </w:rPr>
        <w:t>attention</w:t>
      </w:r>
      <w:r>
        <w:rPr>
          <w:rFonts w:ascii="Times New Roman" w:hAnsi="Times New Roman" w:cs="Times New Roman"/>
          <w:bCs/>
          <w:iCs/>
          <w:noProof/>
          <w:sz w:val="24"/>
          <w:szCs w:val="24"/>
          <w:lang w:val="en-GB"/>
        </w:rPr>
        <w:t xml:space="preserve"> by the Agency</w:t>
      </w:r>
      <w:r w:rsidRPr="00A2617A">
        <w:rPr>
          <w:rFonts w:ascii="Times New Roman" w:hAnsi="Times New Roman" w:cs="Times New Roman"/>
          <w:bCs/>
          <w:iCs/>
          <w:noProof/>
          <w:sz w:val="24"/>
          <w:szCs w:val="24"/>
          <w:lang w:val="en-GB"/>
        </w:rPr>
        <w:t xml:space="preserve">, such as improved search capabilities and interactivity in DubliNet, and addressing issues related to false positives, system scalability, interoperability, and search functionalities in Eurodac, VIS, and SIS. The need for enhanced pilot testing, stronger feedback mechanisms, and ensuring adequate resources and system security to meet future demands </w:t>
      </w:r>
      <w:r>
        <w:rPr>
          <w:rFonts w:ascii="Times New Roman" w:hAnsi="Times New Roman" w:cs="Times New Roman"/>
          <w:bCs/>
          <w:iCs/>
          <w:noProof/>
          <w:sz w:val="24"/>
          <w:szCs w:val="24"/>
          <w:lang w:val="en-GB"/>
        </w:rPr>
        <w:t>were other areas highlighted by stakeholders</w:t>
      </w:r>
      <w:r w:rsidRPr="00A2617A">
        <w:rPr>
          <w:rFonts w:ascii="Times New Roman" w:hAnsi="Times New Roman" w:cs="Times New Roman"/>
          <w:bCs/>
          <w:iCs/>
          <w:noProof/>
          <w:sz w:val="24"/>
          <w:szCs w:val="24"/>
          <w:lang w:val="en-GB"/>
        </w:rPr>
        <w:t xml:space="preserve">. Some stakeholders have expressed concerns regarding system usability improvements and data quality. </w:t>
      </w:r>
    </w:p>
    <w:p w14:paraId="59606D2A" w14:textId="77777777" w:rsidR="003F78CB" w:rsidRPr="00A2617A" w:rsidRDefault="003F78CB" w:rsidP="003F78CB">
      <w:pPr>
        <w:jc w:val="both"/>
        <w:rPr>
          <w:rFonts w:ascii="Times New Roman" w:hAnsi="Times New Roman" w:cs="Times New Roman"/>
          <w:b/>
          <w:bCs/>
          <w:i/>
          <w:iCs/>
          <w:noProof/>
          <w:sz w:val="24"/>
          <w:szCs w:val="24"/>
          <w:lang w:val="en-GB"/>
        </w:rPr>
      </w:pPr>
      <w:r w:rsidRPr="00A2617A">
        <w:rPr>
          <w:rFonts w:ascii="Times New Roman" w:hAnsi="Times New Roman" w:cs="Times New Roman"/>
          <w:b/>
          <w:bCs/>
          <w:i/>
          <w:iCs/>
          <w:noProof/>
          <w:sz w:val="24"/>
          <w:szCs w:val="24"/>
          <w:lang w:val="en-GB"/>
        </w:rPr>
        <w:t>To what extent are procedures in place to ensure the coherence of eu-LISA’s cooperation activities with the policies and activities of its stakeholders?</w:t>
      </w:r>
    </w:p>
    <w:p w14:paraId="6348B8ED" w14:textId="77777777" w:rsidR="003F78CB" w:rsidRPr="00A2617A" w:rsidRDefault="003F78CB" w:rsidP="003F78CB">
      <w:pPr>
        <w:jc w:val="both"/>
        <w:rPr>
          <w:rFonts w:ascii="Times New Roman" w:hAnsi="Times New Roman" w:cs="Times New Roman"/>
          <w:bCs/>
          <w:iCs/>
          <w:noProof/>
          <w:sz w:val="24"/>
          <w:szCs w:val="24"/>
          <w:lang w:val="en-GB"/>
        </w:rPr>
      </w:pPr>
      <w:r w:rsidRPr="00A2617A">
        <w:rPr>
          <w:rFonts w:ascii="Times New Roman" w:hAnsi="Times New Roman" w:cs="Times New Roman"/>
          <w:bCs/>
          <w:iCs/>
          <w:noProof/>
          <w:sz w:val="24"/>
          <w:szCs w:val="24"/>
          <w:lang w:val="en-GB"/>
        </w:rPr>
        <w:t>The strategic direction of eu-LISA is encapsulated in its 2021-2027 agenda</w:t>
      </w:r>
      <w:r w:rsidRPr="00A2617A">
        <w:rPr>
          <w:rFonts w:ascii="Times New Roman" w:hAnsi="Times New Roman" w:cs="Times New Roman"/>
          <w:bCs/>
          <w:iCs/>
          <w:noProof/>
          <w:sz w:val="24"/>
          <w:szCs w:val="24"/>
          <w:vertAlign w:val="superscript"/>
          <w:lang w:val="en-GB"/>
        </w:rPr>
        <w:footnoteReference w:id="74"/>
      </w:r>
      <w:r w:rsidRPr="00A2617A">
        <w:rPr>
          <w:rFonts w:ascii="Times New Roman" w:hAnsi="Times New Roman" w:cs="Times New Roman"/>
          <w:bCs/>
          <w:iCs/>
          <w:noProof/>
          <w:sz w:val="24"/>
          <w:szCs w:val="24"/>
          <w:lang w:val="en-GB"/>
        </w:rPr>
        <w:t xml:space="preserve">, emphasising the importance of coherent interactions with stakeholders to meet the operational needs of essential systems such as SIS II, VIS, and Eurodac, while also undertaking the development of new systems such as EES, ETIAS, and ECRIS-TCN. These tasks are projected to shape eu-LISA's role as a holistic IT service provider across the entire JHA landscape. </w:t>
      </w:r>
    </w:p>
    <w:p w14:paraId="77EB3FAD" w14:textId="77777777" w:rsidR="003F78CB" w:rsidRPr="00A2617A" w:rsidRDefault="003F78CB" w:rsidP="003F78CB">
      <w:pPr>
        <w:jc w:val="both"/>
        <w:rPr>
          <w:rFonts w:ascii="Times New Roman" w:hAnsi="Times New Roman" w:cs="Times New Roman"/>
          <w:bCs/>
          <w:iCs/>
          <w:noProof/>
          <w:sz w:val="24"/>
          <w:szCs w:val="24"/>
          <w:lang w:val="en-GB"/>
        </w:rPr>
      </w:pPr>
      <w:r>
        <w:rPr>
          <w:rFonts w:ascii="Times New Roman" w:hAnsi="Times New Roman" w:cs="Times New Roman"/>
          <w:bCs/>
          <w:iCs/>
          <w:noProof/>
          <w:sz w:val="24"/>
          <w:szCs w:val="24"/>
          <w:lang w:val="en-GB"/>
        </w:rPr>
        <w:t xml:space="preserve">The evaluation found that the </w:t>
      </w:r>
      <w:r w:rsidRPr="00A2617A">
        <w:rPr>
          <w:rFonts w:ascii="Times New Roman" w:hAnsi="Times New Roman" w:cs="Times New Roman"/>
          <w:bCs/>
          <w:iCs/>
          <w:noProof/>
          <w:sz w:val="24"/>
          <w:szCs w:val="24"/>
          <w:lang w:val="en-GB"/>
        </w:rPr>
        <w:t xml:space="preserve">procedures ensuring the coherence of eu-LISA’s cooperation activities with stakeholder policies and activities </w:t>
      </w:r>
      <w:r>
        <w:rPr>
          <w:rFonts w:ascii="Times New Roman" w:hAnsi="Times New Roman" w:cs="Times New Roman"/>
          <w:bCs/>
          <w:iCs/>
          <w:noProof/>
          <w:sz w:val="24"/>
          <w:szCs w:val="24"/>
          <w:lang w:val="en-GB"/>
        </w:rPr>
        <w:t>demonstrate</w:t>
      </w:r>
      <w:r w:rsidRPr="00A2617A">
        <w:rPr>
          <w:rFonts w:ascii="Times New Roman" w:hAnsi="Times New Roman" w:cs="Times New Roman"/>
          <w:bCs/>
          <w:iCs/>
          <w:noProof/>
          <w:sz w:val="24"/>
          <w:szCs w:val="24"/>
          <w:lang w:val="en-GB"/>
        </w:rPr>
        <w:t xml:space="preserve"> a structured approach aimed at aligning with stakeholder expectations and operational need</w:t>
      </w:r>
      <w:r>
        <w:rPr>
          <w:rFonts w:ascii="Times New Roman" w:hAnsi="Times New Roman" w:cs="Times New Roman"/>
          <w:bCs/>
          <w:iCs/>
          <w:noProof/>
          <w:sz w:val="24"/>
          <w:szCs w:val="24"/>
          <w:lang w:val="en-GB"/>
        </w:rPr>
        <w:t>s</w:t>
      </w:r>
      <w:r w:rsidRPr="00A2617A">
        <w:rPr>
          <w:rFonts w:ascii="Times New Roman" w:hAnsi="Times New Roman" w:cs="Times New Roman"/>
          <w:bCs/>
          <w:iCs/>
          <w:noProof/>
          <w:sz w:val="24"/>
          <w:szCs w:val="24"/>
          <w:lang w:val="en-GB"/>
        </w:rPr>
        <w:t>.</w:t>
      </w:r>
      <w:r>
        <w:rPr>
          <w:rFonts w:ascii="Times New Roman" w:hAnsi="Times New Roman" w:cs="Times New Roman"/>
          <w:bCs/>
          <w:iCs/>
          <w:noProof/>
          <w:sz w:val="24"/>
          <w:szCs w:val="24"/>
          <w:lang w:val="en-GB"/>
        </w:rPr>
        <w:t xml:space="preserve"> </w:t>
      </w:r>
    </w:p>
    <w:p w14:paraId="16F6B90D" w14:textId="77777777" w:rsidR="003F78CB" w:rsidRPr="00A2617A" w:rsidRDefault="003F78CB" w:rsidP="003F78CB">
      <w:pPr>
        <w:jc w:val="both"/>
        <w:rPr>
          <w:rFonts w:ascii="Times New Roman" w:hAnsi="Times New Roman" w:cs="Times New Roman"/>
          <w:bCs/>
          <w:iCs/>
          <w:noProof/>
          <w:sz w:val="24"/>
          <w:szCs w:val="24"/>
          <w:lang w:val="en-GB"/>
        </w:rPr>
      </w:pPr>
      <w:r w:rsidRPr="00A2617A">
        <w:rPr>
          <w:rFonts w:ascii="Times New Roman" w:hAnsi="Times New Roman" w:cs="Times New Roman"/>
          <w:bCs/>
          <w:iCs/>
          <w:noProof/>
          <w:sz w:val="24"/>
          <w:szCs w:val="24"/>
          <w:lang w:val="en-GB"/>
        </w:rPr>
        <w:t xml:space="preserve">The </w:t>
      </w:r>
      <w:r>
        <w:rPr>
          <w:rFonts w:ascii="Times New Roman" w:hAnsi="Times New Roman" w:cs="Times New Roman"/>
          <w:bCs/>
          <w:iCs/>
          <w:noProof/>
          <w:sz w:val="24"/>
          <w:szCs w:val="24"/>
          <w:lang w:val="en-GB"/>
        </w:rPr>
        <w:t xml:space="preserve">evaluation showed that the </w:t>
      </w:r>
      <w:r w:rsidRPr="00A2617A">
        <w:rPr>
          <w:rFonts w:ascii="Times New Roman" w:hAnsi="Times New Roman" w:cs="Times New Roman"/>
          <w:bCs/>
          <w:iCs/>
          <w:noProof/>
          <w:sz w:val="24"/>
          <w:szCs w:val="24"/>
          <w:lang w:val="en-GB"/>
        </w:rPr>
        <w:t>Agency employ</w:t>
      </w:r>
      <w:r>
        <w:rPr>
          <w:rFonts w:ascii="Times New Roman" w:hAnsi="Times New Roman" w:cs="Times New Roman"/>
          <w:bCs/>
          <w:iCs/>
          <w:noProof/>
          <w:sz w:val="24"/>
          <w:szCs w:val="24"/>
          <w:lang w:val="en-GB"/>
        </w:rPr>
        <w:t>ed</w:t>
      </w:r>
      <w:r w:rsidRPr="00A2617A">
        <w:rPr>
          <w:rFonts w:ascii="Times New Roman" w:hAnsi="Times New Roman" w:cs="Times New Roman"/>
          <w:bCs/>
          <w:iCs/>
          <w:noProof/>
          <w:sz w:val="24"/>
          <w:szCs w:val="24"/>
          <w:lang w:val="en-GB"/>
        </w:rPr>
        <w:t xml:space="preserve"> a multifaceted approach to ensure alignment with both stakeholder policies and activities. This </w:t>
      </w:r>
      <w:r>
        <w:rPr>
          <w:rFonts w:ascii="Times New Roman" w:hAnsi="Times New Roman" w:cs="Times New Roman"/>
          <w:bCs/>
          <w:iCs/>
          <w:noProof/>
          <w:sz w:val="24"/>
          <w:szCs w:val="24"/>
          <w:lang w:val="en-GB"/>
        </w:rPr>
        <w:t>entailed</w:t>
      </w:r>
      <w:r w:rsidRPr="00A2617A">
        <w:rPr>
          <w:rFonts w:ascii="Times New Roman" w:hAnsi="Times New Roman" w:cs="Times New Roman"/>
          <w:bCs/>
          <w:iCs/>
          <w:noProof/>
          <w:sz w:val="24"/>
          <w:szCs w:val="24"/>
          <w:lang w:val="en-GB"/>
        </w:rPr>
        <w:t xml:space="preserve"> engaging in day-to-day operational activities </w:t>
      </w:r>
      <w:r>
        <w:rPr>
          <w:rFonts w:ascii="Times New Roman" w:hAnsi="Times New Roman" w:cs="Times New Roman"/>
          <w:bCs/>
          <w:iCs/>
          <w:noProof/>
          <w:sz w:val="24"/>
          <w:szCs w:val="24"/>
          <w:lang w:val="en-GB"/>
        </w:rPr>
        <w:t>and</w:t>
      </w:r>
      <w:r w:rsidRPr="00A2617A">
        <w:rPr>
          <w:rFonts w:ascii="Times New Roman" w:hAnsi="Times New Roman" w:cs="Times New Roman"/>
          <w:bCs/>
          <w:iCs/>
          <w:noProof/>
          <w:sz w:val="24"/>
          <w:szCs w:val="24"/>
          <w:lang w:val="en-GB"/>
        </w:rPr>
        <w:t xml:space="preserve"> actively participating in policy dialogues and strategic planning exercises with key stakeholders. By embedding itself within the policymaking process, eu-LISA can better anticipate and adapt to evolving policy frameworks, ensuring that its cooperation activities remain coherent with stakeholder policies. An enhanced coordination especially with the European Commission, is essential to ensure eu-LISA's activities are firmly aligned with its mandate</w:t>
      </w:r>
      <w:r w:rsidRPr="00A2617A">
        <w:rPr>
          <w:rFonts w:ascii="Times New Roman" w:hAnsi="Times New Roman" w:cs="Times New Roman"/>
          <w:bCs/>
          <w:iCs/>
          <w:noProof/>
          <w:sz w:val="24"/>
          <w:szCs w:val="24"/>
          <w:vertAlign w:val="superscript"/>
          <w:lang w:val="en-GB"/>
        </w:rPr>
        <w:footnoteReference w:id="75"/>
      </w:r>
      <w:r w:rsidRPr="00A2617A">
        <w:rPr>
          <w:rFonts w:ascii="Times New Roman" w:hAnsi="Times New Roman" w:cs="Times New Roman"/>
          <w:bCs/>
          <w:iCs/>
          <w:noProof/>
          <w:sz w:val="24"/>
          <w:szCs w:val="24"/>
          <w:lang w:val="en-GB"/>
        </w:rPr>
        <w:t>. Additionally, the Agency implements robust feedback mechanisms to gather insights from stakeholders, enabling it to fine-tune its activities in line with their expectations and requirements through the governance bodies. This proactive approach not only enhance</w:t>
      </w:r>
      <w:r>
        <w:rPr>
          <w:rFonts w:ascii="Times New Roman" w:hAnsi="Times New Roman" w:cs="Times New Roman"/>
          <w:bCs/>
          <w:iCs/>
          <w:noProof/>
          <w:sz w:val="24"/>
          <w:szCs w:val="24"/>
          <w:lang w:val="en-GB"/>
        </w:rPr>
        <w:t>d</w:t>
      </w:r>
      <w:r w:rsidRPr="00A2617A">
        <w:rPr>
          <w:rFonts w:ascii="Times New Roman" w:hAnsi="Times New Roman" w:cs="Times New Roman"/>
          <w:bCs/>
          <w:iCs/>
          <w:noProof/>
          <w:sz w:val="24"/>
          <w:szCs w:val="24"/>
          <w:lang w:val="en-GB"/>
        </w:rPr>
        <w:t xml:space="preserve"> coherence but also fosters a collaborative environment conducive to achieving shared objectives. </w:t>
      </w:r>
    </w:p>
    <w:p w14:paraId="1225DC1A" w14:textId="77777777" w:rsidR="003F78CB" w:rsidRPr="00A2617A" w:rsidRDefault="003F78CB" w:rsidP="003F78CB">
      <w:pPr>
        <w:jc w:val="both"/>
        <w:rPr>
          <w:rFonts w:ascii="Times New Roman" w:hAnsi="Times New Roman" w:cs="Times New Roman"/>
          <w:bCs/>
          <w:iCs/>
          <w:noProof/>
          <w:sz w:val="24"/>
          <w:szCs w:val="24"/>
          <w:lang w:val="en-GB"/>
        </w:rPr>
      </w:pPr>
      <w:r>
        <w:rPr>
          <w:rFonts w:ascii="Times New Roman" w:hAnsi="Times New Roman" w:cs="Times New Roman"/>
          <w:bCs/>
          <w:iCs/>
          <w:noProof/>
          <w:sz w:val="24"/>
          <w:szCs w:val="24"/>
          <w:lang w:val="en-GB"/>
        </w:rPr>
        <w:t>In addition</w:t>
      </w:r>
      <w:r w:rsidRPr="00A2617A">
        <w:rPr>
          <w:rFonts w:ascii="Times New Roman" w:hAnsi="Times New Roman" w:cs="Times New Roman"/>
          <w:bCs/>
          <w:iCs/>
          <w:noProof/>
          <w:sz w:val="24"/>
          <w:szCs w:val="24"/>
          <w:lang w:val="en-GB"/>
        </w:rPr>
        <w:t>,</w:t>
      </w:r>
      <w:r>
        <w:rPr>
          <w:rFonts w:ascii="Times New Roman" w:hAnsi="Times New Roman" w:cs="Times New Roman"/>
          <w:bCs/>
          <w:iCs/>
          <w:noProof/>
          <w:sz w:val="24"/>
          <w:szCs w:val="24"/>
          <w:lang w:val="en-GB"/>
        </w:rPr>
        <w:t xml:space="preserve"> the evaluation found that</w:t>
      </w:r>
      <w:r w:rsidRPr="00A2617A">
        <w:rPr>
          <w:rFonts w:ascii="Times New Roman" w:hAnsi="Times New Roman" w:cs="Times New Roman"/>
          <w:bCs/>
          <w:iCs/>
          <w:noProof/>
          <w:sz w:val="24"/>
          <w:szCs w:val="24"/>
          <w:lang w:val="en-GB"/>
        </w:rPr>
        <w:t xml:space="preserve"> the Agency</w:t>
      </w:r>
      <w:r>
        <w:rPr>
          <w:rFonts w:ascii="Times New Roman" w:hAnsi="Times New Roman" w:cs="Times New Roman"/>
          <w:bCs/>
          <w:iCs/>
          <w:noProof/>
          <w:sz w:val="24"/>
          <w:szCs w:val="24"/>
          <w:lang w:val="en-GB"/>
        </w:rPr>
        <w:t xml:space="preserve">’s </w:t>
      </w:r>
      <w:r w:rsidRPr="00A2617A">
        <w:rPr>
          <w:rFonts w:ascii="Times New Roman" w:hAnsi="Times New Roman" w:cs="Times New Roman"/>
          <w:bCs/>
          <w:iCs/>
          <w:noProof/>
          <w:sz w:val="24"/>
          <w:szCs w:val="24"/>
          <w:lang w:val="en-GB"/>
        </w:rPr>
        <w:t>ongoing efforts to enhance stakeholder management strategies and improve the efficiency of service delivery, align with the Agency's strategic objectives and solidifying the coherence of eu-LISA's cooperations</w:t>
      </w:r>
      <w:r w:rsidRPr="00A2617A">
        <w:rPr>
          <w:rFonts w:ascii="Times New Roman" w:hAnsi="Times New Roman" w:cs="Times New Roman"/>
          <w:bCs/>
          <w:iCs/>
          <w:noProof/>
          <w:sz w:val="24"/>
          <w:szCs w:val="24"/>
          <w:vertAlign w:val="superscript"/>
          <w:lang w:val="en-GB"/>
        </w:rPr>
        <w:footnoteReference w:id="76"/>
      </w:r>
      <w:r w:rsidRPr="00A2617A">
        <w:rPr>
          <w:rFonts w:ascii="Times New Roman" w:hAnsi="Times New Roman" w:cs="Times New Roman"/>
          <w:bCs/>
          <w:iCs/>
          <w:noProof/>
          <w:sz w:val="24"/>
          <w:szCs w:val="24"/>
          <w:lang w:val="en-GB"/>
        </w:rPr>
        <w:t>.</w:t>
      </w:r>
    </w:p>
    <w:p w14:paraId="517983A6" w14:textId="77777777" w:rsidR="003F78CB" w:rsidRPr="00A2617A" w:rsidRDefault="003F78CB" w:rsidP="003F78CB">
      <w:pPr>
        <w:jc w:val="both"/>
        <w:rPr>
          <w:rFonts w:ascii="Times New Roman" w:hAnsi="Times New Roman" w:cs="Times New Roman"/>
          <w:b/>
          <w:bCs/>
          <w:i/>
          <w:iCs/>
          <w:noProof/>
          <w:sz w:val="24"/>
          <w:szCs w:val="24"/>
          <w:lang w:val="en-GB"/>
        </w:rPr>
      </w:pPr>
      <w:r w:rsidRPr="00A2617A">
        <w:rPr>
          <w:rFonts w:ascii="Times New Roman" w:hAnsi="Times New Roman" w:cs="Times New Roman"/>
          <w:b/>
          <w:bCs/>
          <w:i/>
          <w:iCs/>
          <w:noProof/>
          <w:sz w:val="24"/>
          <w:szCs w:val="24"/>
          <w:lang w:val="en-GB"/>
        </w:rPr>
        <w:t>To what extent are the activities of the Agency as well as the scope of its mandate coherent with the legal act governing the Information Systems the Agency is responsible for?</w:t>
      </w:r>
    </w:p>
    <w:p w14:paraId="3DBC459B" w14:textId="474FAEEC" w:rsidR="003F78CB" w:rsidRPr="00004DA6" w:rsidRDefault="003F78CB" w:rsidP="003F78CB">
      <w:pPr>
        <w:jc w:val="both"/>
        <w:rPr>
          <w:rFonts w:ascii="Times New Roman" w:hAnsi="Times New Roman" w:cs="Times New Roman"/>
          <w:bCs/>
          <w:iCs/>
          <w:noProof/>
          <w:sz w:val="24"/>
          <w:szCs w:val="24"/>
          <w:lang w:val="en-IE"/>
        </w:rPr>
      </w:pPr>
      <w:r w:rsidRPr="00A2617A">
        <w:rPr>
          <w:rFonts w:ascii="Times New Roman" w:hAnsi="Times New Roman" w:cs="Times New Roman"/>
          <w:bCs/>
          <w:iCs/>
          <w:noProof/>
          <w:sz w:val="24"/>
          <w:szCs w:val="24"/>
          <w:lang w:val="en-GB"/>
        </w:rPr>
        <w:t xml:space="preserve">Albeit not impacting negatively on the coherence, </w:t>
      </w:r>
      <w:r>
        <w:rPr>
          <w:rFonts w:ascii="Times New Roman" w:hAnsi="Times New Roman" w:cs="Times New Roman"/>
          <w:bCs/>
          <w:iCs/>
          <w:noProof/>
          <w:sz w:val="24"/>
          <w:szCs w:val="24"/>
          <w:lang w:val="en-GB"/>
        </w:rPr>
        <w:t>the evaluation found that</w:t>
      </w:r>
      <w:r w:rsidRPr="00A2617A">
        <w:rPr>
          <w:rFonts w:ascii="Times New Roman" w:hAnsi="Times New Roman" w:cs="Times New Roman"/>
          <w:bCs/>
          <w:iCs/>
          <w:noProof/>
          <w:sz w:val="24"/>
          <w:szCs w:val="24"/>
          <w:lang w:val="en-GB"/>
        </w:rPr>
        <w:t xml:space="preserve"> the </w:t>
      </w:r>
      <w:r w:rsidRPr="002523DB">
        <w:rPr>
          <w:rFonts w:ascii="Times New Roman" w:hAnsi="Times New Roman" w:cs="Times New Roman"/>
          <w:noProof/>
          <w:sz w:val="24"/>
          <w:szCs w:val="24"/>
          <w:lang w:val="en-GB"/>
        </w:rPr>
        <w:t>complexity of the legal framework</w:t>
      </w:r>
      <w:r w:rsidR="00A268EF">
        <w:rPr>
          <w:rFonts w:ascii="Times New Roman" w:hAnsi="Times New Roman" w:cs="Times New Roman"/>
          <w:noProof/>
          <w:sz w:val="24"/>
          <w:szCs w:val="24"/>
          <w:lang w:val="en-GB"/>
        </w:rPr>
        <w:t xml:space="preserve"> in which</w:t>
      </w:r>
      <w:r w:rsidRPr="002523DB">
        <w:rPr>
          <w:rFonts w:ascii="Times New Roman" w:hAnsi="Times New Roman" w:cs="Times New Roman"/>
          <w:noProof/>
          <w:sz w:val="24"/>
          <w:szCs w:val="24"/>
          <w:lang w:val="en-GB"/>
        </w:rPr>
        <w:t xml:space="preserve"> eu-LISA operates </w:t>
      </w:r>
      <w:r w:rsidR="00A268EF">
        <w:rPr>
          <w:rFonts w:ascii="Times New Roman" w:hAnsi="Times New Roman" w:cs="Times New Roman"/>
          <w:noProof/>
          <w:sz w:val="24"/>
          <w:szCs w:val="24"/>
          <w:lang w:val="en-GB"/>
        </w:rPr>
        <w:t xml:space="preserve">presents a </w:t>
      </w:r>
      <w:r w:rsidR="00A268EF" w:rsidRPr="00004DA6">
        <w:rPr>
          <w:rFonts w:ascii="Times New Roman" w:hAnsi="Times New Roman" w:cs="Times New Roman"/>
          <w:noProof/>
          <w:sz w:val="24"/>
          <w:szCs w:val="24"/>
          <w:lang w:val="en-IE"/>
        </w:rPr>
        <w:t>significant challenge. This framework comprises the various Regulations governing each of the large-scale IT systems managed by the Agency and the eu-LISA Regulation itself</w:t>
      </w:r>
      <w:r w:rsidR="00A57A17" w:rsidRPr="00004DA6">
        <w:rPr>
          <w:rFonts w:ascii="Times New Roman" w:hAnsi="Times New Roman" w:cs="Times New Roman"/>
          <w:noProof/>
          <w:sz w:val="24"/>
          <w:szCs w:val="24"/>
          <w:lang w:val="en-IE"/>
        </w:rPr>
        <w:t>.</w:t>
      </w:r>
      <w:r w:rsidRPr="00004DA6">
        <w:rPr>
          <w:rFonts w:ascii="Times New Roman" w:hAnsi="Times New Roman" w:cs="Times New Roman"/>
          <w:noProof/>
          <w:sz w:val="24"/>
          <w:szCs w:val="24"/>
          <w:lang w:val="en-IE"/>
        </w:rPr>
        <w:t xml:space="preserve"> </w:t>
      </w:r>
      <w:r w:rsidR="00A57A17" w:rsidRPr="00004DA6">
        <w:rPr>
          <w:rFonts w:ascii="Times New Roman" w:hAnsi="Times New Roman" w:cs="Times New Roman"/>
          <w:noProof/>
          <w:sz w:val="24"/>
          <w:szCs w:val="24"/>
          <w:lang w:val="en-IE"/>
        </w:rPr>
        <w:t>Interpreting these Regulations, and successfully developing, implementing, and operating the systems within the accompanying regulatory, budgetary, and organisational constraints, has proven to be a demanding task.</w:t>
      </w:r>
    </w:p>
    <w:p w14:paraId="2FDD0F5F" w14:textId="2D5DCBF9" w:rsidR="00756474" w:rsidRPr="00A2617A" w:rsidRDefault="003F78CB" w:rsidP="003F78CB">
      <w:pPr>
        <w:jc w:val="both"/>
        <w:rPr>
          <w:rFonts w:ascii="Times New Roman" w:hAnsi="Times New Roman" w:cs="Times New Roman"/>
          <w:bCs/>
          <w:iCs/>
          <w:noProof/>
          <w:sz w:val="24"/>
          <w:szCs w:val="24"/>
          <w:lang w:val="en-GB"/>
        </w:rPr>
      </w:pPr>
      <w:r w:rsidRPr="00A2617A">
        <w:rPr>
          <w:rFonts w:ascii="Times New Roman" w:hAnsi="Times New Roman" w:cs="Times New Roman"/>
          <w:bCs/>
          <w:iCs/>
          <w:noProof/>
          <w:sz w:val="24"/>
          <w:szCs w:val="24"/>
          <w:lang w:val="en-GB"/>
        </w:rPr>
        <w:t xml:space="preserve">The evaluation has not found major incoherences between eu-LISA Regulation and the Regulations governing the systems the Agency is responsible for. </w:t>
      </w:r>
      <w:r w:rsidR="001F07F4">
        <w:rPr>
          <w:rFonts w:ascii="Times New Roman" w:hAnsi="Times New Roman" w:cs="Times New Roman"/>
          <w:bCs/>
          <w:iCs/>
          <w:noProof/>
          <w:sz w:val="24"/>
          <w:szCs w:val="24"/>
          <w:lang w:val="en-GB"/>
        </w:rPr>
        <w:t>One exception relat</w:t>
      </w:r>
      <w:r w:rsidR="00756474">
        <w:rPr>
          <w:rFonts w:ascii="Times New Roman" w:hAnsi="Times New Roman" w:cs="Times New Roman"/>
          <w:bCs/>
          <w:iCs/>
          <w:noProof/>
          <w:sz w:val="24"/>
          <w:szCs w:val="24"/>
          <w:lang w:val="en-GB"/>
        </w:rPr>
        <w:t xml:space="preserve">es to the e-CODEZ Regulation, which presents certain specific features that merit attention: </w:t>
      </w:r>
    </w:p>
    <w:p w14:paraId="488D7919" w14:textId="3DBE0090" w:rsidR="001416A9" w:rsidRPr="00636F19" w:rsidRDefault="00C7558E" w:rsidP="00636F19">
      <w:pPr>
        <w:pStyle w:val="ListParagraph"/>
        <w:numPr>
          <w:ilvl w:val="0"/>
          <w:numId w:val="87"/>
        </w:numPr>
        <w:rPr>
          <w:noProof/>
          <w:szCs w:val="24"/>
        </w:rPr>
      </w:pPr>
      <w:r w:rsidRPr="00636F19">
        <w:rPr>
          <w:noProof/>
          <w:szCs w:val="24"/>
        </w:rPr>
        <w:t xml:space="preserve">The e-CODEX Regulation </w:t>
      </w:r>
      <w:r w:rsidR="00756474">
        <w:rPr>
          <w:noProof/>
          <w:szCs w:val="24"/>
        </w:rPr>
        <w:t xml:space="preserve">specifies that the </w:t>
      </w:r>
      <w:r w:rsidRPr="00636F19">
        <w:rPr>
          <w:noProof/>
          <w:szCs w:val="24"/>
        </w:rPr>
        <w:t>operational management of e-CODEX shall take place in Tallinn</w:t>
      </w:r>
      <w:r w:rsidRPr="002523DB">
        <w:rPr>
          <w:noProof/>
          <w:vertAlign w:val="superscript"/>
        </w:rPr>
        <w:footnoteReference w:id="77"/>
      </w:r>
      <w:r w:rsidRPr="00636F19">
        <w:rPr>
          <w:noProof/>
          <w:szCs w:val="24"/>
        </w:rPr>
        <w:t xml:space="preserve">. </w:t>
      </w:r>
      <w:r w:rsidR="006D3613">
        <w:rPr>
          <w:noProof/>
          <w:szCs w:val="24"/>
        </w:rPr>
        <w:t>While this provision is intended to safeguard the respect of the principle of independence of the judiciary</w:t>
      </w:r>
      <w:r w:rsidR="002B3743">
        <w:rPr>
          <w:noProof/>
          <w:szCs w:val="24"/>
        </w:rPr>
        <w:t>, it is not entirely coherent with eu-LISA’s organisational set-up, as</w:t>
      </w:r>
      <w:r w:rsidR="00FA17B5">
        <w:rPr>
          <w:noProof/>
          <w:szCs w:val="24"/>
        </w:rPr>
        <w:t xml:space="preserve"> the relevant IT facilities and staff are based in Strasbourg.</w:t>
      </w:r>
    </w:p>
    <w:p w14:paraId="3931E59C" w14:textId="492219AF" w:rsidR="001416A9" w:rsidRPr="00636F19" w:rsidRDefault="00C7558E" w:rsidP="00636F19">
      <w:pPr>
        <w:pStyle w:val="ListParagraph"/>
        <w:numPr>
          <w:ilvl w:val="0"/>
          <w:numId w:val="87"/>
        </w:numPr>
        <w:rPr>
          <w:noProof/>
          <w:szCs w:val="24"/>
        </w:rPr>
      </w:pPr>
      <w:r w:rsidRPr="00636F19">
        <w:rPr>
          <w:noProof/>
          <w:szCs w:val="24"/>
        </w:rPr>
        <w:t>The e-CODEX PMB is institutionalised as a permanent body with members that are not part of the MB. This</w:t>
      </w:r>
      <w:r w:rsidR="00045B75">
        <w:rPr>
          <w:noProof/>
          <w:szCs w:val="24"/>
        </w:rPr>
        <w:t xml:space="preserve"> arrangement differs from </w:t>
      </w:r>
      <w:r w:rsidR="009F69C2">
        <w:rPr>
          <w:noProof/>
          <w:szCs w:val="24"/>
        </w:rPr>
        <w:t>the other system’s PMB and may require additional efforts to align priorities and</w:t>
      </w:r>
      <w:r w:rsidR="004A3FD6">
        <w:rPr>
          <w:noProof/>
          <w:szCs w:val="24"/>
        </w:rPr>
        <w:t xml:space="preserve"> decisions between the MB and the e-CODEX PMB. Moreover, as e-CODEX PMB members are not part of the MB, they do not always have an overarching view of the Agency’s management and prio</w:t>
      </w:r>
      <w:r w:rsidR="00A566B0">
        <w:rPr>
          <w:noProof/>
          <w:szCs w:val="24"/>
        </w:rPr>
        <w:t xml:space="preserve">rities. </w:t>
      </w:r>
      <w:r w:rsidRPr="00636F19">
        <w:rPr>
          <w:noProof/>
          <w:szCs w:val="24"/>
        </w:rPr>
        <w:t xml:space="preserve"> </w:t>
      </w:r>
    </w:p>
    <w:p w14:paraId="15D97226" w14:textId="6CE8FB96" w:rsidR="00B24047" w:rsidRPr="009D503C" w:rsidRDefault="00C7558E" w:rsidP="003063E9">
      <w:pPr>
        <w:pStyle w:val="ListParagraph"/>
        <w:numPr>
          <w:ilvl w:val="0"/>
          <w:numId w:val="87"/>
        </w:numPr>
        <w:rPr>
          <w:iCs/>
          <w:noProof/>
          <w:szCs w:val="24"/>
          <w:lang w:val="en-IE"/>
        </w:rPr>
      </w:pPr>
      <w:r w:rsidRPr="00636F19">
        <w:rPr>
          <w:noProof/>
          <w:szCs w:val="24"/>
        </w:rPr>
        <w:t xml:space="preserve">The e-CODEX Regulation specifies that resources </w:t>
      </w:r>
      <w:r w:rsidR="00A566B0">
        <w:rPr>
          <w:noProof/>
          <w:szCs w:val="24"/>
        </w:rPr>
        <w:t>dedicated</w:t>
      </w:r>
      <w:r w:rsidR="00A566B0" w:rsidRPr="00636F19">
        <w:rPr>
          <w:noProof/>
          <w:szCs w:val="24"/>
        </w:rPr>
        <w:t xml:space="preserve"> </w:t>
      </w:r>
      <w:r w:rsidRPr="00636F19">
        <w:rPr>
          <w:noProof/>
          <w:szCs w:val="24"/>
        </w:rPr>
        <w:t xml:space="preserve">to e-CODEX </w:t>
      </w:r>
      <w:r w:rsidR="00A566B0">
        <w:rPr>
          <w:noProof/>
          <w:szCs w:val="24"/>
        </w:rPr>
        <w:t>should focus exclusively on this system</w:t>
      </w:r>
      <w:r w:rsidRPr="00636F19">
        <w:rPr>
          <w:noProof/>
          <w:szCs w:val="24"/>
        </w:rPr>
        <w:t>. This</w:t>
      </w:r>
      <w:r w:rsidR="00036741">
        <w:rPr>
          <w:noProof/>
          <w:szCs w:val="24"/>
        </w:rPr>
        <w:t xml:space="preserve"> creates constraints for the Agency’s overall resource management. In practice, this approach may limit eu-LISA’s capac</w:t>
      </w:r>
      <w:r w:rsidR="007C3FAF">
        <w:rPr>
          <w:noProof/>
          <w:szCs w:val="24"/>
        </w:rPr>
        <w:t>ity to mobilise additional specialised expertise for the management of e-CODEX when needed, thereby reducing flexibility and potentially affecting the efficiency of its operational management.</w:t>
      </w:r>
    </w:p>
    <w:p w14:paraId="281E8AC6" w14:textId="62C7BC74" w:rsidR="00147D71" w:rsidRPr="0038355E" w:rsidRDefault="009610DF" w:rsidP="00EE061C">
      <w:pPr>
        <w:pStyle w:val="Heading2"/>
        <w:numPr>
          <w:ilvl w:val="1"/>
          <w:numId w:val="2"/>
        </w:numPr>
        <w:rPr>
          <w:rFonts w:ascii="Times New Roman Bold" w:hAnsi="Times New Roman Bold"/>
          <w:b w:val="0"/>
          <w:smallCaps/>
          <w:noProof/>
          <w:szCs w:val="24"/>
        </w:rPr>
      </w:pPr>
      <w:bookmarkStart w:id="31" w:name="_Toc82789915"/>
      <w:bookmarkStart w:id="32" w:name="_Toc207303612"/>
      <w:r w:rsidRPr="0038355E">
        <w:rPr>
          <w:rFonts w:ascii="Times New Roman Bold" w:hAnsi="Times New Roman Bold"/>
          <w:b w:val="0"/>
          <w:noProof/>
          <w:szCs w:val="24"/>
        </w:rPr>
        <w:t>How did the EU</w:t>
      </w:r>
      <w:r w:rsidR="00147D71" w:rsidRPr="0038355E">
        <w:rPr>
          <w:rFonts w:ascii="Times New Roman Bold" w:hAnsi="Times New Roman Bold"/>
          <w:b w:val="0"/>
          <w:noProof/>
          <w:szCs w:val="24"/>
        </w:rPr>
        <w:t xml:space="preserve"> inter</w:t>
      </w:r>
      <w:r w:rsidR="00E71F52" w:rsidRPr="0038355E">
        <w:rPr>
          <w:rFonts w:ascii="Times New Roman Bold" w:hAnsi="Times New Roman Bold"/>
          <w:b w:val="0"/>
          <w:noProof/>
          <w:szCs w:val="24"/>
        </w:rPr>
        <w:t>vention make a difference</w:t>
      </w:r>
      <w:r w:rsidR="00E64BC8">
        <w:rPr>
          <w:rFonts w:ascii="Times New Roman Bold" w:hAnsi="Times New Roman Bold"/>
          <w:b w:val="0"/>
          <w:noProof/>
          <w:szCs w:val="24"/>
        </w:rPr>
        <w:t xml:space="preserve"> and to whom</w:t>
      </w:r>
      <w:r w:rsidR="00147D71" w:rsidRPr="0038355E">
        <w:rPr>
          <w:rFonts w:ascii="Times New Roman Bold" w:hAnsi="Times New Roman Bold"/>
          <w:b w:val="0"/>
          <w:noProof/>
          <w:szCs w:val="24"/>
        </w:rPr>
        <w:t>?</w:t>
      </w:r>
      <w:bookmarkEnd w:id="31"/>
      <w:bookmarkEnd w:id="32"/>
    </w:p>
    <w:p w14:paraId="5937B320" w14:textId="0C86757C" w:rsidR="00605174" w:rsidRPr="00CC033E" w:rsidRDefault="00605174" w:rsidP="00605174">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i/>
          <w:noProof/>
          <w:sz w:val="24"/>
          <w:szCs w:val="24"/>
          <w:lang w:val="en-IE"/>
        </w:rPr>
      </w:pPr>
      <w:r w:rsidRPr="00CC033E">
        <w:rPr>
          <w:rFonts w:ascii="Times New Roman" w:hAnsi="Times New Roman" w:cs="Times New Roman"/>
          <w:b/>
          <w:bCs/>
          <w:i/>
          <w:noProof/>
          <w:sz w:val="24"/>
          <w:szCs w:val="24"/>
          <w:lang w:val="en-IE"/>
        </w:rPr>
        <w:t>Key findings</w:t>
      </w:r>
    </w:p>
    <w:p w14:paraId="0985801C" w14:textId="020FDE1C" w:rsidR="00E81876" w:rsidRPr="00CC033E" w:rsidRDefault="00E81876" w:rsidP="00605174">
      <w:pPr>
        <w:pBdr>
          <w:top w:val="single" w:sz="4" w:space="1" w:color="auto"/>
          <w:left w:val="single" w:sz="4" w:space="4" w:color="auto"/>
          <w:bottom w:val="single" w:sz="4" w:space="1" w:color="auto"/>
          <w:right w:val="single" w:sz="4" w:space="4" w:color="auto"/>
        </w:pBdr>
        <w:jc w:val="both"/>
        <w:rPr>
          <w:rFonts w:ascii="Times New Roman" w:hAnsi="Times New Roman" w:cs="Times New Roman"/>
          <w:i/>
          <w:iCs/>
          <w:noProof/>
          <w:sz w:val="24"/>
          <w:szCs w:val="24"/>
          <w:lang w:val="en-IE"/>
        </w:rPr>
      </w:pPr>
      <w:r w:rsidRPr="00CC033E">
        <w:rPr>
          <w:rFonts w:ascii="Times New Roman" w:hAnsi="Times New Roman" w:cs="Times New Roman"/>
          <w:i/>
          <w:iCs/>
          <w:noProof/>
          <w:sz w:val="24"/>
          <w:szCs w:val="24"/>
          <w:lang w:val="en-GB"/>
        </w:rPr>
        <w:t xml:space="preserve">The added value of the eu-LISA Regulation compared to what Member States could have achieved alone has clearly been confirmed in this evaluation. </w:t>
      </w:r>
      <w:r w:rsidR="0084366D">
        <w:rPr>
          <w:rFonts w:ascii="Times New Roman" w:hAnsi="Times New Roman" w:cs="Times New Roman"/>
          <w:i/>
          <w:iCs/>
          <w:noProof/>
          <w:sz w:val="24"/>
          <w:szCs w:val="24"/>
          <w:lang w:val="en-GB"/>
        </w:rPr>
        <w:t>The main conclusion is that w</w:t>
      </w:r>
      <w:r w:rsidR="0084366D" w:rsidRPr="00CC033E">
        <w:rPr>
          <w:rFonts w:ascii="Times New Roman" w:hAnsi="Times New Roman" w:cs="Times New Roman"/>
          <w:i/>
          <w:iCs/>
          <w:noProof/>
          <w:sz w:val="24"/>
          <w:szCs w:val="24"/>
          <w:lang w:val="en-GB"/>
        </w:rPr>
        <w:t xml:space="preserve">ithout </w:t>
      </w:r>
      <w:r w:rsidRPr="00CC033E">
        <w:rPr>
          <w:rFonts w:ascii="Times New Roman" w:hAnsi="Times New Roman" w:cs="Times New Roman"/>
          <w:i/>
          <w:iCs/>
          <w:noProof/>
          <w:sz w:val="24"/>
          <w:szCs w:val="24"/>
          <w:lang w:val="en-GB"/>
        </w:rPr>
        <w:t xml:space="preserve">a single body such as eu-LISA responsible for several IT systems in the </w:t>
      </w:r>
      <w:r w:rsidR="00942347" w:rsidRPr="00942347">
        <w:rPr>
          <w:rFonts w:ascii="Times New Roman" w:hAnsi="Times New Roman" w:cs="Times New Roman"/>
          <w:i/>
          <w:iCs/>
          <w:noProof/>
          <w:sz w:val="24"/>
          <w:szCs w:val="24"/>
          <w:lang w:val="en-GB"/>
        </w:rPr>
        <w:t>area of freedom, security and justice</w:t>
      </w:r>
      <w:r w:rsidRPr="00CC033E">
        <w:rPr>
          <w:rFonts w:ascii="Times New Roman" w:hAnsi="Times New Roman" w:cs="Times New Roman"/>
          <w:i/>
          <w:iCs/>
          <w:noProof/>
          <w:sz w:val="24"/>
          <w:szCs w:val="24"/>
          <w:lang w:val="en-GB"/>
        </w:rPr>
        <w:t xml:space="preserve">, the current IT landscape would be drastically more fragmented and it would likely be more challenging to ensure security. </w:t>
      </w:r>
    </w:p>
    <w:p w14:paraId="019014C3" w14:textId="0C91162A" w:rsidR="0086190C" w:rsidRDefault="00E4437B" w:rsidP="002A12E6">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This</w:t>
      </w:r>
      <w:r w:rsidR="00CB5F8A">
        <w:rPr>
          <w:rFonts w:ascii="Times New Roman" w:hAnsi="Times New Roman" w:cs="Times New Roman"/>
          <w:noProof/>
          <w:sz w:val="24"/>
          <w:szCs w:val="24"/>
          <w:lang w:val="en-GB"/>
        </w:rPr>
        <w:t xml:space="preserve"> section assesses the extent to which the Agency’s </w:t>
      </w:r>
      <w:r w:rsidR="009C7FBD">
        <w:rPr>
          <w:rFonts w:ascii="Times New Roman" w:hAnsi="Times New Roman" w:cs="Times New Roman"/>
          <w:noProof/>
          <w:sz w:val="24"/>
          <w:szCs w:val="24"/>
          <w:lang w:val="en-GB"/>
        </w:rPr>
        <w:t>mandate has</w:t>
      </w:r>
      <w:r w:rsidR="00882911">
        <w:rPr>
          <w:rFonts w:ascii="Times New Roman" w:hAnsi="Times New Roman" w:cs="Times New Roman"/>
          <w:noProof/>
          <w:sz w:val="24"/>
          <w:szCs w:val="24"/>
          <w:lang w:val="en-GB"/>
        </w:rPr>
        <w:t xml:space="preserve"> brought added value and benefits</w:t>
      </w:r>
      <w:r w:rsidR="009C7FBD">
        <w:rPr>
          <w:rFonts w:ascii="Times New Roman" w:hAnsi="Times New Roman" w:cs="Times New Roman"/>
          <w:noProof/>
          <w:sz w:val="24"/>
          <w:szCs w:val="24"/>
          <w:lang w:val="en-GB"/>
        </w:rPr>
        <w:t xml:space="preserve"> compared with those that Member States </w:t>
      </w:r>
      <w:r w:rsidR="009D503C">
        <w:rPr>
          <w:rFonts w:ascii="Times New Roman" w:hAnsi="Times New Roman" w:cs="Times New Roman"/>
          <w:noProof/>
          <w:sz w:val="24"/>
          <w:szCs w:val="24"/>
          <w:lang w:val="en-GB"/>
        </w:rPr>
        <w:t>w</w:t>
      </w:r>
      <w:r w:rsidR="009C7FBD">
        <w:rPr>
          <w:rFonts w:ascii="Times New Roman" w:hAnsi="Times New Roman" w:cs="Times New Roman"/>
          <w:noProof/>
          <w:sz w:val="24"/>
          <w:szCs w:val="24"/>
          <w:lang w:val="en-GB"/>
        </w:rPr>
        <w:t>ould have achieved alone.</w:t>
      </w:r>
    </w:p>
    <w:p w14:paraId="7D917A43" w14:textId="0FA93266" w:rsidR="0086190C" w:rsidRPr="0086190C" w:rsidRDefault="0086190C" w:rsidP="0086190C">
      <w:pPr>
        <w:jc w:val="both"/>
        <w:rPr>
          <w:rFonts w:ascii="Times New Roman" w:hAnsi="Times New Roman" w:cs="Times New Roman"/>
          <w:b/>
          <w:bCs/>
          <w:i/>
          <w:iCs/>
          <w:noProof/>
          <w:sz w:val="24"/>
          <w:szCs w:val="24"/>
          <w:lang w:val="en-GB"/>
        </w:rPr>
      </w:pPr>
      <w:r w:rsidRPr="0086190C">
        <w:rPr>
          <w:rFonts w:ascii="Times New Roman" w:hAnsi="Times New Roman" w:cs="Times New Roman"/>
          <w:b/>
          <w:bCs/>
          <w:i/>
          <w:iCs/>
          <w:noProof/>
          <w:sz w:val="24"/>
          <w:szCs w:val="24"/>
          <w:lang w:val="en-GB"/>
        </w:rPr>
        <w:t>Could the objectives set up in eu-LISA Regulation have been achieved without EU intervention?</w:t>
      </w:r>
    </w:p>
    <w:p w14:paraId="1B6978F7" w14:textId="70BE2588" w:rsidR="0063739D" w:rsidRDefault="0063739D" w:rsidP="0086190C">
      <w:pPr>
        <w:jc w:val="both"/>
        <w:rPr>
          <w:rFonts w:ascii="Times New Roman" w:hAnsi="Times New Roman" w:cs="Times New Roman"/>
          <w:iCs/>
          <w:noProof/>
          <w:sz w:val="24"/>
          <w:szCs w:val="24"/>
          <w:lang w:val="en-GB"/>
        </w:rPr>
      </w:pPr>
      <w:r>
        <w:rPr>
          <w:rFonts w:ascii="Times New Roman" w:hAnsi="Times New Roman" w:cs="Times New Roman"/>
          <w:iCs/>
          <w:noProof/>
          <w:sz w:val="24"/>
          <w:szCs w:val="24"/>
          <w:lang w:val="en-GB"/>
        </w:rPr>
        <w:t xml:space="preserve">The evaluation has found that the Agency is </w:t>
      </w:r>
      <w:r w:rsidRPr="0063739D">
        <w:rPr>
          <w:rFonts w:ascii="Times New Roman" w:hAnsi="Times New Roman" w:cs="Times New Roman"/>
          <w:iCs/>
          <w:noProof/>
          <w:sz w:val="24"/>
          <w:szCs w:val="24"/>
          <w:lang w:val="en-GB"/>
        </w:rPr>
        <w:t xml:space="preserve">playing a crucial role </w:t>
      </w:r>
      <w:r w:rsidR="0057463C">
        <w:rPr>
          <w:rFonts w:ascii="Times New Roman" w:hAnsi="Times New Roman" w:cs="Times New Roman"/>
          <w:iCs/>
          <w:noProof/>
          <w:sz w:val="24"/>
          <w:szCs w:val="24"/>
          <w:lang w:val="en-GB"/>
        </w:rPr>
        <w:t>in</w:t>
      </w:r>
      <w:r w:rsidRPr="0063739D">
        <w:rPr>
          <w:rFonts w:ascii="Times New Roman" w:hAnsi="Times New Roman" w:cs="Times New Roman"/>
          <w:iCs/>
          <w:noProof/>
          <w:sz w:val="24"/>
          <w:szCs w:val="24"/>
          <w:lang w:val="en-GB"/>
        </w:rPr>
        <w:t xml:space="preserve"> contributi</w:t>
      </w:r>
      <w:r w:rsidR="0057463C">
        <w:rPr>
          <w:rFonts w:ascii="Times New Roman" w:hAnsi="Times New Roman" w:cs="Times New Roman"/>
          <w:iCs/>
          <w:noProof/>
          <w:sz w:val="24"/>
          <w:szCs w:val="24"/>
          <w:lang w:val="en-GB"/>
        </w:rPr>
        <w:t>ng</w:t>
      </w:r>
      <w:r w:rsidRPr="0063739D">
        <w:rPr>
          <w:rFonts w:ascii="Times New Roman" w:hAnsi="Times New Roman" w:cs="Times New Roman"/>
          <w:iCs/>
          <w:noProof/>
          <w:sz w:val="24"/>
          <w:szCs w:val="24"/>
          <w:lang w:val="en-GB"/>
        </w:rPr>
        <w:t xml:space="preserve"> to high levels of security within the </w:t>
      </w:r>
      <w:r w:rsidR="00942347" w:rsidRPr="00942347">
        <w:rPr>
          <w:rFonts w:ascii="Times New Roman" w:hAnsi="Times New Roman" w:cs="Times New Roman"/>
          <w:iCs/>
          <w:noProof/>
          <w:sz w:val="24"/>
          <w:szCs w:val="24"/>
          <w:lang w:val="en-GB"/>
        </w:rPr>
        <w:t>area of freedom, security and justice</w:t>
      </w:r>
      <w:r w:rsidRPr="0063739D">
        <w:rPr>
          <w:rFonts w:ascii="Times New Roman" w:hAnsi="Times New Roman" w:cs="Times New Roman"/>
          <w:iCs/>
          <w:noProof/>
          <w:sz w:val="24"/>
          <w:szCs w:val="24"/>
          <w:lang w:val="en-GB"/>
        </w:rPr>
        <w:t xml:space="preserve"> </w:t>
      </w:r>
      <w:r w:rsidR="0057463C">
        <w:rPr>
          <w:rFonts w:ascii="Times New Roman" w:hAnsi="Times New Roman" w:cs="Times New Roman"/>
          <w:iCs/>
          <w:noProof/>
          <w:sz w:val="24"/>
          <w:szCs w:val="24"/>
          <w:lang w:val="en-GB"/>
        </w:rPr>
        <w:t>and that such degree of security</w:t>
      </w:r>
      <w:r w:rsidRPr="0063739D">
        <w:rPr>
          <w:rFonts w:ascii="Times New Roman" w:hAnsi="Times New Roman" w:cs="Times New Roman"/>
          <w:iCs/>
          <w:noProof/>
          <w:sz w:val="24"/>
          <w:szCs w:val="24"/>
          <w:lang w:val="en-GB"/>
        </w:rPr>
        <w:t xml:space="preserve"> could have not been achieved without a central EU Agency</w:t>
      </w:r>
      <w:r>
        <w:rPr>
          <w:rFonts w:ascii="Times New Roman" w:hAnsi="Times New Roman" w:cs="Times New Roman"/>
          <w:iCs/>
          <w:noProof/>
          <w:sz w:val="24"/>
          <w:szCs w:val="24"/>
          <w:lang w:val="en-GB"/>
        </w:rPr>
        <w:t>.</w:t>
      </w:r>
      <w:r w:rsidR="00951D76">
        <w:rPr>
          <w:rFonts w:ascii="Times New Roman" w:hAnsi="Times New Roman" w:cs="Times New Roman"/>
          <w:iCs/>
          <w:noProof/>
          <w:sz w:val="24"/>
          <w:szCs w:val="24"/>
          <w:lang w:val="en-GB"/>
        </w:rPr>
        <w:t xml:space="preserve"> </w:t>
      </w:r>
      <w:r w:rsidR="00D02477">
        <w:rPr>
          <w:rFonts w:ascii="Times New Roman" w:hAnsi="Times New Roman" w:cs="Times New Roman"/>
          <w:iCs/>
          <w:noProof/>
          <w:sz w:val="24"/>
          <w:szCs w:val="24"/>
          <w:lang w:val="en-GB"/>
        </w:rPr>
        <w:t>T</w:t>
      </w:r>
      <w:r w:rsidR="00951D76" w:rsidRPr="00951D76">
        <w:rPr>
          <w:rFonts w:ascii="Times New Roman" w:hAnsi="Times New Roman" w:cs="Times New Roman"/>
          <w:iCs/>
          <w:noProof/>
          <w:sz w:val="24"/>
          <w:szCs w:val="24"/>
          <w:lang w:val="en-GB"/>
        </w:rPr>
        <w:t xml:space="preserve">he systems that are centrally managed by eu-LISA are the precondition for the existence of the Schengen </w:t>
      </w:r>
      <w:r w:rsidR="00D02477">
        <w:rPr>
          <w:rFonts w:ascii="Times New Roman" w:hAnsi="Times New Roman" w:cs="Times New Roman"/>
          <w:iCs/>
          <w:noProof/>
          <w:sz w:val="24"/>
          <w:szCs w:val="24"/>
          <w:lang w:val="en-GB"/>
        </w:rPr>
        <w:t>a</w:t>
      </w:r>
      <w:r w:rsidR="00951D76" w:rsidRPr="00951D76">
        <w:rPr>
          <w:rFonts w:ascii="Times New Roman" w:hAnsi="Times New Roman" w:cs="Times New Roman"/>
          <w:iCs/>
          <w:noProof/>
          <w:sz w:val="24"/>
          <w:szCs w:val="24"/>
          <w:lang w:val="en-GB"/>
        </w:rPr>
        <w:t>rea and are needed to ensure that the external Schengen borders</w:t>
      </w:r>
      <w:r w:rsidR="00D02477">
        <w:rPr>
          <w:rFonts w:ascii="Times New Roman" w:hAnsi="Times New Roman" w:cs="Times New Roman"/>
          <w:iCs/>
          <w:noProof/>
          <w:sz w:val="24"/>
          <w:szCs w:val="24"/>
          <w:lang w:val="en-GB"/>
        </w:rPr>
        <w:t>,</w:t>
      </w:r>
      <w:r w:rsidR="00951D76" w:rsidRPr="00951D76">
        <w:rPr>
          <w:rFonts w:ascii="Times New Roman" w:hAnsi="Times New Roman" w:cs="Times New Roman"/>
          <w:iCs/>
          <w:noProof/>
          <w:sz w:val="24"/>
          <w:szCs w:val="24"/>
          <w:lang w:val="en-GB"/>
        </w:rPr>
        <w:t xml:space="preserve"> as well as the free movement of citizens and objects within Schengen</w:t>
      </w:r>
      <w:r w:rsidR="00D02477">
        <w:rPr>
          <w:rFonts w:ascii="Times New Roman" w:hAnsi="Times New Roman" w:cs="Times New Roman"/>
          <w:iCs/>
          <w:noProof/>
          <w:sz w:val="24"/>
          <w:szCs w:val="24"/>
          <w:lang w:val="en-GB"/>
        </w:rPr>
        <w:t>,</w:t>
      </w:r>
      <w:r w:rsidR="00951D76" w:rsidRPr="00951D76">
        <w:rPr>
          <w:rFonts w:ascii="Times New Roman" w:hAnsi="Times New Roman" w:cs="Times New Roman"/>
          <w:iCs/>
          <w:noProof/>
          <w:sz w:val="24"/>
          <w:szCs w:val="24"/>
          <w:lang w:val="en-GB"/>
        </w:rPr>
        <w:t xml:space="preserve"> all take place within a uniformly secure, lawful and well-coordinated manner</w:t>
      </w:r>
      <w:r w:rsidR="00DF13AA">
        <w:rPr>
          <w:rFonts w:ascii="Times New Roman" w:hAnsi="Times New Roman" w:cs="Times New Roman"/>
          <w:iCs/>
          <w:noProof/>
          <w:sz w:val="24"/>
          <w:szCs w:val="24"/>
          <w:lang w:val="en-GB"/>
        </w:rPr>
        <w:t>.</w:t>
      </w:r>
    </w:p>
    <w:p w14:paraId="2577D4A6" w14:textId="49B2B6F6" w:rsidR="00B50DBB" w:rsidRPr="004E2424" w:rsidRDefault="00470D1B" w:rsidP="0086190C">
      <w:pPr>
        <w:jc w:val="both"/>
        <w:rPr>
          <w:rFonts w:ascii="Times New Roman" w:hAnsi="Times New Roman" w:cs="Times New Roman"/>
          <w:b/>
          <w:bCs/>
          <w:iCs/>
          <w:noProof/>
          <w:sz w:val="24"/>
          <w:szCs w:val="24"/>
          <w:lang w:val="en-GB"/>
        </w:rPr>
      </w:pPr>
      <w:r>
        <w:rPr>
          <w:rFonts w:ascii="Times New Roman" w:hAnsi="Times New Roman" w:cs="Times New Roman"/>
          <w:iCs/>
          <w:noProof/>
          <w:sz w:val="24"/>
          <w:szCs w:val="24"/>
          <w:lang w:val="en-GB"/>
        </w:rPr>
        <w:t xml:space="preserve">The </w:t>
      </w:r>
      <w:r w:rsidR="00F8713E">
        <w:rPr>
          <w:rFonts w:ascii="Times New Roman" w:hAnsi="Times New Roman" w:cs="Times New Roman"/>
          <w:iCs/>
          <w:noProof/>
          <w:sz w:val="24"/>
          <w:szCs w:val="24"/>
          <w:lang w:val="en-GB"/>
        </w:rPr>
        <w:t xml:space="preserve">evaluation confirmed that the </w:t>
      </w:r>
      <w:r>
        <w:rPr>
          <w:rFonts w:ascii="Times New Roman" w:hAnsi="Times New Roman" w:cs="Times New Roman"/>
          <w:iCs/>
          <w:noProof/>
          <w:sz w:val="24"/>
          <w:szCs w:val="24"/>
          <w:lang w:val="en-GB"/>
        </w:rPr>
        <w:t>development</w:t>
      </w:r>
      <w:r w:rsidR="00311718">
        <w:rPr>
          <w:rFonts w:ascii="Times New Roman" w:hAnsi="Times New Roman" w:cs="Times New Roman"/>
          <w:iCs/>
          <w:noProof/>
          <w:sz w:val="24"/>
          <w:szCs w:val="24"/>
          <w:lang w:val="en-GB"/>
        </w:rPr>
        <w:t xml:space="preserve"> and management</w:t>
      </w:r>
      <w:r>
        <w:rPr>
          <w:rFonts w:ascii="Times New Roman" w:hAnsi="Times New Roman" w:cs="Times New Roman"/>
          <w:iCs/>
          <w:noProof/>
          <w:sz w:val="24"/>
          <w:szCs w:val="24"/>
          <w:lang w:val="en-GB"/>
        </w:rPr>
        <w:t xml:space="preserve"> of systems only at the national level by</w:t>
      </w:r>
      <w:r w:rsidR="0086190C" w:rsidRPr="0086190C">
        <w:rPr>
          <w:rFonts w:ascii="Times New Roman" w:hAnsi="Times New Roman" w:cs="Times New Roman"/>
          <w:iCs/>
          <w:noProof/>
          <w:sz w:val="24"/>
          <w:szCs w:val="24"/>
          <w:lang w:val="en-GB"/>
        </w:rPr>
        <w:t xml:space="preserve"> Member States</w:t>
      </w:r>
      <w:r w:rsidR="00311718">
        <w:rPr>
          <w:rFonts w:ascii="Times New Roman" w:hAnsi="Times New Roman" w:cs="Times New Roman"/>
          <w:iCs/>
          <w:noProof/>
          <w:sz w:val="24"/>
          <w:szCs w:val="24"/>
          <w:lang w:val="en-GB"/>
        </w:rPr>
        <w:t xml:space="preserve"> and/or </w:t>
      </w:r>
      <w:r w:rsidR="00F8713E">
        <w:rPr>
          <w:rFonts w:ascii="Times New Roman" w:hAnsi="Times New Roman" w:cs="Times New Roman"/>
          <w:iCs/>
          <w:noProof/>
          <w:sz w:val="24"/>
          <w:szCs w:val="24"/>
          <w:lang w:val="en-GB"/>
        </w:rPr>
        <w:t xml:space="preserve">by </w:t>
      </w:r>
      <w:r w:rsidR="0086190C" w:rsidRPr="0086190C">
        <w:rPr>
          <w:rFonts w:ascii="Times New Roman" w:hAnsi="Times New Roman" w:cs="Times New Roman"/>
          <w:iCs/>
          <w:noProof/>
          <w:sz w:val="24"/>
          <w:szCs w:val="24"/>
          <w:lang w:val="en-GB"/>
        </w:rPr>
        <w:t>Schengen Associated</w:t>
      </w:r>
      <w:r w:rsidR="0086190C" w:rsidRPr="0086190C" w:rsidDel="002B69C9">
        <w:rPr>
          <w:rFonts w:ascii="Times New Roman" w:hAnsi="Times New Roman" w:cs="Times New Roman"/>
          <w:iCs/>
          <w:noProof/>
          <w:sz w:val="24"/>
          <w:szCs w:val="24"/>
          <w:lang w:val="en-GB"/>
        </w:rPr>
        <w:t xml:space="preserve"> </w:t>
      </w:r>
      <w:r w:rsidR="0086190C" w:rsidRPr="0086190C">
        <w:rPr>
          <w:rFonts w:ascii="Times New Roman" w:hAnsi="Times New Roman" w:cs="Times New Roman"/>
          <w:iCs/>
          <w:noProof/>
          <w:sz w:val="24"/>
          <w:szCs w:val="24"/>
          <w:lang w:val="en-GB"/>
        </w:rPr>
        <w:t xml:space="preserve">Countries </w:t>
      </w:r>
      <w:r w:rsidR="00311718">
        <w:rPr>
          <w:rFonts w:ascii="Times New Roman" w:hAnsi="Times New Roman" w:cs="Times New Roman"/>
          <w:iCs/>
          <w:noProof/>
          <w:sz w:val="24"/>
          <w:szCs w:val="24"/>
          <w:lang w:val="en-GB"/>
        </w:rPr>
        <w:t>would be a</w:t>
      </w:r>
      <w:r w:rsidR="0086190C" w:rsidRPr="0086190C">
        <w:rPr>
          <w:rFonts w:ascii="Times New Roman" w:hAnsi="Times New Roman" w:cs="Times New Roman"/>
          <w:iCs/>
          <w:noProof/>
          <w:sz w:val="24"/>
          <w:szCs w:val="24"/>
          <w:lang w:val="en-GB"/>
        </w:rPr>
        <w:t xml:space="preserve"> considerably less cost-effective approach, </w:t>
      </w:r>
      <w:r w:rsidR="00311718">
        <w:rPr>
          <w:rFonts w:ascii="Times New Roman" w:hAnsi="Times New Roman" w:cs="Times New Roman"/>
          <w:iCs/>
          <w:noProof/>
          <w:sz w:val="24"/>
          <w:szCs w:val="24"/>
          <w:lang w:val="en-GB"/>
        </w:rPr>
        <w:t>and would</w:t>
      </w:r>
      <w:r w:rsidR="0086190C" w:rsidRPr="0086190C">
        <w:rPr>
          <w:rFonts w:ascii="Times New Roman" w:hAnsi="Times New Roman" w:cs="Times New Roman"/>
          <w:iCs/>
          <w:noProof/>
          <w:sz w:val="24"/>
          <w:szCs w:val="24"/>
          <w:lang w:val="en-GB"/>
        </w:rPr>
        <w:t xml:space="preserve"> highly increase the need for coordination activities between Member States/Schengen Associated Countries, which is prone to misunderstandings and likely creating additional administrative and financial burden. </w:t>
      </w:r>
      <w:r w:rsidR="006C6649">
        <w:rPr>
          <w:rFonts w:ascii="Times New Roman" w:hAnsi="Times New Roman" w:cs="Times New Roman"/>
          <w:iCs/>
          <w:noProof/>
          <w:sz w:val="24"/>
          <w:szCs w:val="24"/>
          <w:lang w:val="en-GB"/>
        </w:rPr>
        <w:t xml:space="preserve">In addition, the level of information </w:t>
      </w:r>
      <w:r w:rsidR="00925131">
        <w:rPr>
          <w:rFonts w:ascii="Times New Roman" w:hAnsi="Times New Roman" w:cs="Times New Roman"/>
          <w:iCs/>
          <w:noProof/>
          <w:sz w:val="24"/>
          <w:szCs w:val="24"/>
          <w:lang w:val="en-GB"/>
        </w:rPr>
        <w:t>exchanges between competent authorities of the Member States would</w:t>
      </w:r>
      <w:r w:rsidR="00CC2F00">
        <w:rPr>
          <w:rFonts w:ascii="Times New Roman" w:hAnsi="Times New Roman" w:cs="Times New Roman"/>
          <w:iCs/>
          <w:noProof/>
          <w:sz w:val="24"/>
          <w:szCs w:val="24"/>
          <w:lang w:val="en-GB"/>
        </w:rPr>
        <w:t xml:space="preserve"> have likely been low</w:t>
      </w:r>
      <w:r w:rsidR="001007A9">
        <w:rPr>
          <w:rFonts w:ascii="Times New Roman" w:hAnsi="Times New Roman" w:cs="Times New Roman"/>
          <w:iCs/>
          <w:noProof/>
          <w:sz w:val="24"/>
          <w:szCs w:val="24"/>
          <w:lang w:val="en-GB"/>
        </w:rPr>
        <w:t xml:space="preserve">er, </w:t>
      </w:r>
      <w:r w:rsidR="00941E46" w:rsidRPr="007E2A2B">
        <w:rPr>
          <w:rFonts w:ascii="Times New Roman" w:hAnsi="Times New Roman" w:cs="Times New Roman"/>
          <w:iCs/>
          <w:noProof/>
          <w:sz w:val="24"/>
          <w:szCs w:val="24"/>
          <w:lang w:val="en-GB"/>
        </w:rPr>
        <w:t>encroaching on Member States’ cooperation.</w:t>
      </w:r>
      <w:r w:rsidR="00BB46A6" w:rsidRPr="007E2A2B">
        <w:rPr>
          <w:rFonts w:ascii="Times New Roman" w:hAnsi="Times New Roman" w:cs="Times New Roman"/>
          <w:iCs/>
          <w:noProof/>
          <w:sz w:val="24"/>
          <w:szCs w:val="24"/>
          <w:lang w:val="en-GB"/>
        </w:rPr>
        <w:t xml:space="preserve"> This would lead to a more fragmented IT landscape and more prone to security challenges, increasing the risks of unlawful </w:t>
      </w:r>
      <w:r w:rsidR="00BB46A6" w:rsidRPr="004E2424">
        <w:rPr>
          <w:rFonts w:ascii="Times New Roman" w:hAnsi="Times New Roman" w:cs="Times New Roman"/>
          <w:noProof/>
          <w:sz w:val="24"/>
          <w:szCs w:val="24"/>
          <w:lang w:val="en-GB"/>
        </w:rPr>
        <w:t xml:space="preserve">Schengen border crossings or </w:t>
      </w:r>
      <w:r w:rsidR="007E2A2B" w:rsidRPr="004E2424">
        <w:rPr>
          <w:rFonts w:ascii="Times New Roman" w:hAnsi="Times New Roman" w:cs="Times New Roman"/>
          <w:noProof/>
          <w:sz w:val="24"/>
          <w:szCs w:val="24"/>
          <w:lang w:val="en-GB"/>
        </w:rPr>
        <w:t xml:space="preserve">complicating the </w:t>
      </w:r>
      <w:r w:rsidR="00BB46A6" w:rsidRPr="004E2424">
        <w:rPr>
          <w:rFonts w:ascii="Times New Roman" w:hAnsi="Times New Roman" w:cs="Times New Roman"/>
          <w:noProof/>
          <w:sz w:val="24"/>
          <w:szCs w:val="24"/>
          <w:lang w:val="en-GB"/>
        </w:rPr>
        <w:t xml:space="preserve">search for criminals or missed persons within </w:t>
      </w:r>
      <w:r w:rsidR="007E2A2B" w:rsidRPr="004E2424">
        <w:rPr>
          <w:rFonts w:ascii="Times New Roman" w:hAnsi="Times New Roman" w:cs="Times New Roman"/>
          <w:noProof/>
          <w:sz w:val="24"/>
          <w:szCs w:val="24"/>
          <w:lang w:val="en-GB"/>
        </w:rPr>
        <w:t xml:space="preserve">the </w:t>
      </w:r>
      <w:r w:rsidR="00BB46A6" w:rsidRPr="004E2424">
        <w:rPr>
          <w:rFonts w:ascii="Times New Roman" w:hAnsi="Times New Roman" w:cs="Times New Roman"/>
          <w:noProof/>
          <w:sz w:val="24"/>
          <w:szCs w:val="24"/>
          <w:lang w:val="en-GB"/>
        </w:rPr>
        <w:t>Schengen</w:t>
      </w:r>
      <w:r w:rsidR="007E2A2B" w:rsidRPr="00BF603A">
        <w:rPr>
          <w:rFonts w:ascii="Times New Roman" w:hAnsi="Times New Roman" w:cs="Times New Roman"/>
          <w:noProof/>
          <w:sz w:val="24"/>
          <w:szCs w:val="24"/>
          <w:lang w:val="en-GB"/>
        </w:rPr>
        <w:t xml:space="preserve"> area.</w:t>
      </w:r>
    </w:p>
    <w:p w14:paraId="0C974831" w14:textId="35DC8872" w:rsidR="0086190C" w:rsidRPr="00BF603A" w:rsidRDefault="00EE1C4D" w:rsidP="0086190C">
      <w:pPr>
        <w:jc w:val="both"/>
        <w:rPr>
          <w:rFonts w:ascii="Times New Roman" w:hAnsi="Times New Roman" w:cs="Times New Roman"/>
          <w:noProof/>
          <w:sz w:val="24"/>
          <w:szCs w:val="24"/>
          <w:lang w:val="en-GB"/>
        </w:rPr>
      </w:pPr>
      <w:r w:rsidRPr="004E2424">
        <w:rPr>
          <w:rFonts w:ascii="Times New Roman" w:hAnsi="Times New Roman" w:cs="Times New Roman"/>
          <w:noProof/>
          <w:sz w:val="24"/>
          <w:szCs w:val="24"/>
          <w:lang w:val="en-GB"/>
        </w:rPr>
        <w:t xml:space="preserve">However, the evaluation </w:t>
      </w:r>
      <w:r w:rsidR="004928DA" w:rsidRPr="004E2424">
        <w:rPr>
          <w:rFonts w:ascii="Times New Roman" w:hAnsi="Times New Roman" w:cs="Times New Roman"/>
          <w:noProof/>
          <w:sz w:val="24"/>
          <w:szCs w:val="24"/>
          <w:lang w:val="en-GB"/>
        </w:rPr>
        <w:t xml:space="preserve">underlined the need for the Agency to </w:t>
      </w:r>
      <w:r w:rsidR="0086190C" w:rsidRPr="00BF603A">
        <w:rPr>
          <w:rFonts w:ascii="Times New Roman" w:hAnsi="Times New Roman" w:cs="Times New Roman"/>
          <w:noProof/>
          <w:sz w:val="24"/>
          <w:szCs w:val="24"/>
          <w:lang w:val="en-GB"/>
        </w:rPr>
        <w:t>remain flexible and adaptive, in order to continue to fulfil its mandate in accordance with the objectives underpinning its existence. This would include, amongst others</w:t>
      </w:r>
      <w:r w:rsidR="0086190C" w:rsidRPr="00BF603A">
        <w:rPr>
          <w:rFonts w:ascii="Times New Roman" w:hAnsi="Times New Roman" w:cs="Times New Roman"/>
          <w:i/>
          <w:noProof/>
          <w:sz w:val="24"/>
          <w:szCs w:val="24"/>
          <w:lang w:val="en-GB"/>
        </w:rPr>
        <w:t xml:space="preserve">, </w:t>
      </w:r>
      <w:r w:rsidR="0086190C" w:rsidRPr="00BF603A">
        <w:rPr>
          <w:rFonts w:ascii="Times New Roman" w:hAnsi="Times New Roman" w:cs="Times New Roman"/>
          <w:noProof/>
          <w:sz w:val="24"/>
          <w:szCs w:val="24"/>
          <w:lang w:val="en-GB"/>
        </w:rPr>
        <w:t>the strengthening of the</w:t>
      </w:r>
      <w:r w:rsidR="009E7E7F">
        <w:rPr>
          <w:rFonts w:ascii="Times New Roman" w:hAnsi="Times New Roman" w:cs="Times New Roman"/>
          <w:noProof/>
          <w:sz w:val="24"/>
          <w:szCs w:val="24"/>
          <w:lang w:val="en-GB"/>
        </w:rPr>
        <w:t xml:space="preserve"> tasks in</w:t>
      </w:r>
      <w:r w:rsidR="0086190C" w:rsidRPr="00BF603A">
        <w:rPr>
          <w:rFonts w:ascii="Times New Roman" w:hAnsi="Times New Roman" w:cs="Times New Roman"/>
          <w:noProof/>
          <w:sz w:val="24"/>
          <w:szCs w:val="24"/>
          <w:lang w:val="en-GB"/>
        </w:rPr>
        <w:t xml:space="preserve"> research</w:t>
      </w:r>
      <w:r w:rsidR="009E7E7F">
        <w:rPr>
          <w:rFonts w:ascii="Times New Roman" w:hAnsi="Times New Roman" w:cs="Times New Roman"/>
          <w:noProof/>
          <w:sz w:val="24"/>
          <w:szCs w:val="24"/>
          <w:lang w:val="en-GB"/>
        </w:rPr>
        <w:t xml:space="preserve"> monitoring</w:t>
      </w:r>
      <w:r w:rsidR="0086190C" w:rsidRPr="00BF603A">
        <w:rPr>
          <w:rFonts w:ascii="Times New Roman" w:hAnsi="Times New Roman" w:cs="Times New Roman"/>
          <w:noProof/>
          <w:sz w:val="24"/>
          <w:szCs w:val="24"/>
          <w:lang w:val="en-GB"/>
        </w:rPr>
        <w:t xml:space="preserve"> and development function to contribute to the development of IT-based solutions in the </w:t>
      </w:r>
      <w:r w:rsidR="00942347" w:rsidRPr="00942347">
        <w:rPr>
          <w:rFonts w:ascii="Times New Roman" w:hAnsi="Times New Roman" w:cs="Times New Roman"/>
          <w:noProof/>
          <w:sz w:val="24"/>
          <w:szCs w:val="24"/>
          <w:lang w:val="en-GB"/>
        </w:rPr>
        <w:t>area of freedom, security and justice</w:t>
      </w:r>
      <w:r w:rsidR="009E7E7F">
        <w:rPr>
          <w:rFonts w:ascii="Times New Roman" w:hAnsi="Times New Roman" w:cs="Times New Roman"/>
          <w:noProof/>
          <w:sz w:val="24"/>
          <w:szCs w:val="24"/>
          <w:lang w:val="en-GB"/>
        </w:rPr>
        <w:t xml:space="preserve">. In this respect, eu-LISA should not carry out pure research activities, but rather strengthen </w:t>
      </w:r>
      <w:r w:rsidR="000A74F4">
        <w:rPr>
          <w:rFonts w:ascii="Times New Roman" w:hAnsi="Times New Roman" w:cs="Times New Roman"/>
          <w:noProof/>
          <w:sz w:val="24"/>
          <w:szCs w:val="24"/>
          <w:lang w:val="en-GB"/>
        </w:rPr>
        <w:t>its capacity to monitor technological and research developments, establishing a robust technological watch function, which will allow them to identify emerging solution that may be relevant for the systems it manages.</w:t>
      </w:r>
      <w:r w:rsidR="009B7BDB">
        <w:rPr>
          <w:rFonts w:ascii="Times New Roman" w:hAnsi="Times New Roman" w:cs="Times New Roman"/>
          <w:noProof/>
          <w:sz w:val="24"/>
          <w:szCs w:val="24"/>
          <w:lang w:val="en-GB"/>
        </w:rPr>
        <w:t xml:space="preserve"> This would enable the Agency to ensure that innovative technologies are not only ide</w:t>
      </w:r>
      <w:r w:rsidR="00AC0B43">
        <w:rPr>
          <w:rFonts w:ascii="Times New Roman" w:hAnsi="Times New Roman" w:cs="Times New Roman"/>
          <w:noProof/>
          <w:sz w:val="24"/>
          <w:szCs w:val="24"/>
          <w:lang w:val="en-GB"/>
        </w:rPr>
        <w:t>ntified at an early stage, but also assessed in terms of their applicability and integrated swiftly and efficiently into the systems where relevant.</w:t>
      </w:r>
      <w:r w:rsidR="005D0CBA">
        <w:rPr>
          <w:rFonts w:ascii="Times New Roman" w:hAnsi="Times New Roman" w:cs="Times New Roman"/>
          <w:noProof/>
          <w:sz w:val="24"/>
          <w:szCs w:val="24"/>
          <w:lang w:val="en-GB"/>
        </w:rPr>
        <w:t xml:space="preserve"> In parallel, enhancing</w:t>
      </w:r>
      <w:r w:rsidR="009532DA">
        <w:rPr>
          <w:rFonts w:ascii="Times New Roman" w:hAnsi="Times New Roman" w:cs="Times New Roman"/>
          <w:noProof/>
          <w:sz w:val="24"/>
          <w:szCs w:val="24"/>
          <w:lang w:val="en-GB"/>
        </w:rPr>
        <w:t xml:space="preserve"> </w:t>
      </w:r>
      <w:r w:rsidR="0086190C" w:rsidRPr="00004DA6">
        <w:rPr>
          <w:rFonts w:ascii="Times New Roman" w:hAnsi="Times New Roman" w:cs="Times New Roman"/>
          <w:noProof/>
          <w:sz w:val="24"/>
          <w:szCs w:val="24"/>
          <w:lang w:val="en-GB"/>
        </w:rPr>
        <w:t>cooperation with third-country actors and international organisations</w:t>
      </w:r>
      <w:r w:rsidR="00EF615E" w:rsidRPr="00004DA6">
        <w:rPr>
          <w:rFonts w:ascii="Times New Roman" w:hAnsi="Times New Roman" w:cs="Times New Roman"/>
          <w:noProof/>
          <w:sz w:val="24"/>
          <w:szCs w:val="24"/>
          <w:lang w:val="en-GB"/>
        </w:rPr>
        <w:t xml:space="preserve">, as well as further refining its internal organisation, will allow eu-LISA </w:t>
      </w:r>
      <w:r w:rsidR="0086190C" w:rsidRPr="00004DA6">
        <w:rPr>
          <w:rFonts w:ascii="Times New Roman" w:hAnsi="Times New Roman" w:cs="Times New Roman"/>
          <w:noProof/>
          <w:sz w:val="24"/>
          <w:szCs w:val="24"/>
          <w:lang w:val="en-GB"/>
        </w:rPr>
        <w:t>to remain efficient and effective</w:t>
      </w:r>
      <w:r w:rsidR="00EF615E" w:rsidRPr="00004DA6">
        <w:rPr>
          <w:rFonts w:ascii="Times New Roman" w:hAnsi="Times New Roman" w:cs="Times New Roman"/>
          <w:noProof/>
          <w:sz w:val="24"/>
          <w:szCs w:val="24"/>
          <w:lang w:val="en-GB"/>
        </w:rPr>
        <w:t>.</w:t>
      </w:r>
      <w:r w:rsidR="0086190C" w:rsidRPr="00BF603A">
        <w:rPr>
          <w:rFonts w:ascii="Times New Roman" w:hAnsi="Times New Roman" w:cs="Times New Roman"/>
          <w:noProof/>
          <w:sz w:val="24"/>
          <w:szCs w:val="24"/>
          <w:lang w:val="en-GB"/>
        </w:rPr>
        <w:t xml:space="preserve"> </w:t>
      </w:r>
    </w:p>
    <w:p w14:paraId="37AEEEB4" w14:textId="6A2ECE95" w:rsidR="0086190C" w:rsidRPr="00B17BDB" w:rsidRDefault="0086190C" w:rsidP="0086190C">
      <w:pPr>
        <w:jc w:val="both"/>
        <w:rPr>
          <w:rFonts w:ascii="Times New Roman" w:hAnsi="Times New Roman" w:cs="Times New Roman"/>
          <w:b/>
          <w:i/>
          <w:noProof/>
          <w:sz w:val="24"/>
          <w:szCs w:val="24"/>
          <w:lang w:val="en-GB"/>
        </w:rPr>
      </w:pPr>
      <w:r w:rsidRPr="00B17BDB">
        <w:rPr>
          <w:rFonts w:ascii="Times New Roman" w:hAnsi="Times New Roman" w:cs="Times New Roman"/>
          <w:b/>
          <w:i/>
          <w:noProof/>
          <w:sz w:val="24"/>
          <w:szCs w:val="24"/>
          <w:lang w:val="en-GB"/>
        </w:rPr>
        <w:t>How has the new mandate of the Agency contributed to supporting Member States in developing the information systems at national level?</w:t>
      </w:r>
    </w:p>
    <w:p w14:paraId="1B22AB0A" w14:textId="7655E8EF" w:rsidR="00712986" w:rsidRPr="00287DD0" w:rsidRDefault="00A950B5" w:rsidP="002A12E6">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Concerning the effects of</w:t>
      </w:r>
      <w:r w:rsidR="0086190C" w:rsidRPr="00756C1A">
        <w:rPr>
          <w:rFonts w:ascii="Times New Roman" w:hAnsi="Times New Roman" w:cs="Times New Roman"/>
          <w:noProof/>
          <w:sz w:val="24"/>
          <w:szCs w:val="24"/>
          <w:lang w:val="en-GB"/>
        </w:rPr>
        <w:t xml:space="preserve"> Article 16 of the 2018 eu-LISA Regulation, concerning </w:t>
      </w:r>
      <w:r w:rsidR="00EA5B7B" w:rsidRPr="004E2424">
        <w:rPr>
          <w:rFonts w:ascii="Times New Roman" w:hAnsi="Times New Roman" w:cs="Times New Roman"/>
          <w:noProof/>
          <w:sz w:val="24"/>
          <w:szCs w:val="24"/>
          <w:lang w:val="en-GB"/>
        </w:rPr>
        <w:t>the</w:t>
      </w:r>
      <w:r w:rsidR="0086190C" w:rsidRPr="00756C1A">
        <w:rPr>
          <w:rFonts w:ascii="Times New Roman" w:hAnsi="Times New Roman" w:cs="Times New Roman"/>
          <w:noProof/>
          <w:sz w:val="24"/>
          <w:szCs w:val="24"/>
          <w:lang w:val="en-GB"/>
        </w:rPr>
        <w:t xml:space="preserve"> advice, requests of ad hoc support, or the development of IT components to assist Member States in implementing technical aspects of obligations deriving from Union law</w:t>
      </w:r>
      <w:r>
        <w:rPr>
          <w:rFonts w:ascii="Times New Roman" w:hAnsi="Times New Roman" w:cs="Times New Roman"/>
          <w:noProof/>
          <w:sz w:val="24"/>
          <w:szCs w:val="24"/>
          <w:lang w:val="en-GB"/>
        </w:rPr>
        <w:t xml:space="preserve">, the findings of the evaluation can be read in </w:t>
      </w:r>
      <w:r w:rsidR="00865791" w:rsidRPr="00004DA6">
        <w:rPr>
          <w:rFonts w:ascii="Times New Roman" w:hAnsi="Times New Roman" w:cs="Times New Roman"/>
          <w:noProof/>
          <w:sz w:val="24"/>
          <w:szCs w:val="24"/>
          <w:lang w:val="en-GB"/>
        </w:rPr>
        <w:t>the relevance section</w:t>
      </w:r>
      <w:r w:rsidR="00865791">
        <w:rPr>
          <w:rFonts w:ascii="Times New Roman" w:hAnsi="Times New Roman" w:cs="Times New Roman"/>
          <w:noProof/>
          <w:sz w:val="24"/>
          <w:szCs w:val="24"/>
          <w:lang w:val="en-GB"/>
        </w:rPr>
        <w:t>.</w:t>
      </w:r>
      <w:r w:rsidR="00287DD0">
        <w:rPr>
          <w:rFonts w:ascii="Times New Roman" w:hAnsi="Times New Roman" w:cs="Times New Roman"/>
          <w:noProof/>
          <w:sz w:val="24"/>
          <w:szCs w:val="24"/>
          <w:lang w:val="en-GB"/>
        </w:rPr>
        <w:t xml:space="preserve"> In particular, the evaluation found that the </w:t>
      </w:r>
      <w:r w:rsidR="00287DD0" w:rsidRPr="00287DD0">
        <w:rPr>
          <w:rFonts w:ascii="Times New Roman" w:hAnsi="Times New Roman" w:cs="Times New Roman"/>
          <w:noProof/>
          <w:sz w:val="24"/>
          <w:szCs w:val="24"/>
          <w:lang w:val="en-GB"/>
        </w:rPr>
        <w:t>the requesting procedure for IT-components under Article 16(4) of the current Regulation is rather lengthy and complicated, which has led to the Article not being invoked. In addition, as to the hand-in of the reports, no cases of support for testing procedures on the MS-level were known, also pointing to significant room for improvement</w:t>
      </w:r>
      <w:r w:rsidR="00287DD0">
        <w:rPr>
          <w:rFonts w:ascii="Times New Roman" w:hAnsi="Times New Roman" w:cs="Times New Roman"/>
          <w:noProof/>
          <w:sz w:val="24"/>
          <w:szCs w:val="24"/>
          <w:lang w:val="en-GB"/>
        </w:rPr>
        <w:t>.</w:t>
      </w:r>
    </w:p>
    <w:p w14:paraId="6BC56E54" w14:textId="655D823B" w:rsidR="00147D71" w:rsidRPr="00691B39" w:rsidRDefault="00147D71" w:rsidP="00EE061C">
      <w:pPr>
        <w:pStyle w:val="Heading2"/>
        <w:numPr>
          <w:ilvl w:val="1"/>
          <w:numId w:val="2"/>
        </w:numPr>
        <w:rPr>
          <w:rFonts w:ascii="Times New Roman Bold" w:hAnsi="Times New Roman Bold"/>
          <w:b w:val="0"/>
          <w:smallCaps/>
          <w:noProof/>
          <w:szCs w:val="24"/>
        </w:rPr>
      </w:pPr>
      <w:bookmarkStart w:id="33" w:name="_Toc82789916"/>
      <w:bookmarkStart w:id="34" w:name="_Toc207303613"/>
      <w:r w:rsidRPr="00691B39">
        <w:rPr>
          <w:rFonts w:ascii="Times New Roman Bold" w:hAnsi="Times New Roman Bold"/>
          <w:b w:val="0"/>
          <w:noProof/>
          <w:szCs w:val="24"/>
        </w:rPr>
        <w:t>Is the intervention still relevant?</w:t>
      </w:r>
      <w:bookmarkEnd w:id="33"/>
      <w:bookmarkEnd w:id="34"/>
    </w:p>
    <w:p w14:paraId="66F981D7" w14:textId="3CE77961" w:rsidR="00605174" w:rsidRPr="005E66FA" w:rsidRDefault="0045713C" w:rsidP="0045713C">
      <w:pPr>
        <w:pBdr>
          <w:top w:val="single" w:sz="4" w:space="1" w:color="auto"/>
          <w:left w:val="single" w:sz="4" w:space="4" w:color="auto"/>
          <w:bottom w:val="single" w:sz="4" w:space="1" w:color="auto"/>
          <w:right w:val="single" w:sz="4" w:space="4" w:color="auto"/>
        </w:pBdr>
        <w:jc w:val="both"/>
        <w:rPr>
          <w:rFonts w:ascii="Times New Roman" w:hAnsi="Times New Roman" w:cs="Times New Roman"/>
          <w:b/>
          <w:bCs/>
          <w:i/>
          <w:noProof/>
          <w:sz w:val="24"/>
          <w:szCs w:val="24"/>
          <w:lang w:val="en-IE"/>
        </w:rPr>
      </w:pPr>
      <w:r w:rsidRPr="005E66FA">
        <w:rPr>
          <w:rFonts w:ascii="Times New Roman" w:hAnsi="Times New Roman" w:cs="Times New Roman"/>
          <w:b/>
          <w:bCs/>
          <w:i/>
          <w:noProof/>
          <w:sz w:val="24"/>
          <w:szCs w:val="24"/>
          <w:lang w:val="en-IE"/>
        </w:rPr>
        <w:t>Key findings</w:t>
      </w:r>
    </w:p>
    <w:p w14:paraId="7C18C7AA" w14:textId="6529597D" w:rsidR="00667213" w:rsidRPr="005E66FA" w:rsidRDefault="00495433" w:rsidP="0045713C">
      <w:pPr>
        <w:pBdr>
          <w:top w:val="single" w:sz="4" w:space="1" w:color="auto"/>
          <w:left w:val="single" w:sz="4" w:space="4" w:color="auto"/>
          <w:bottom w:val="single" w:sz="4" w:space="1" w:color="auto"/>
          <w:right w:val="single" w:sz="4" w:space="4" w:color="auto"/>
        </w:pBdr>
        <w:jc w:val="both"/>
        <w:rPr>
          <w:rFonts w:ascii="Times New Roman" w:hAnsi="Times New Roman" w:cs="Times New Roman"/>
          <w:i/>
          <w:iCs/>
          <w:noProof/>
          <w:sz w:val="24"/>
          <w:szCs w:val="24"/>
          <w:lang w:val="en-IE"/>
        </w:rPr>
      </w:pPr>
      <w:r w:rsidRPr="005E66FA">
        <w:rPr>
          <w:rFonts w:ascii="Times New Roman" w:hAnsi="Times New Roman" w:cs="Times New Roman"/>
          <w:i/>
          <w:iCs/>
          <w:noProof/>
          <w:sz w:val="24"/>
          <w:szCs w:val="24"/>
          <w:lang w:val="en-GB"/>
        </w:rPr>
        <w:t>The continued overall relevance of eu-LISA’s mandate and objectives has been confirmed in this evaluation. Indeed, the relevance of the Agency has become even more important, considering external developments such as the increased mobility of EU citizens and third-country nationals, technological developments and increased risks from cyber-attacks as well as threats from ongoing geopolitical developments and conflicts (e.g. in Ukraine and the Middle East).</w:t>
      </w:r>
    </w:p>
    <w:p w14:paraId="25DDAB76" w14:textId="4F8AD658" w:rsidR="00137012" w:rsidRDefault="00866C75" w:rsidP="005E66FA">
      <w:pPr>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This evaluation criteri</w:t>
      </w:r>
      <w:r w:rsidR="00BA3DCD">
        <w:rPr>
          <w:rFonts w:ascii="Times New Roman" w:hAnsi="Times New Roman" w:cs="Times New Roman"/>
          <w:noProof/>
          <w:sz w:val="24"/>
          <w:szCs w:val="24"/>
          <w:lang w:val="en-GB"/>
        </w:rPr>
        <w:t>on</w:t>
      </w:r>
      <w:r>
        <w:rPr>
          <w:rFonts w:ascii="Times New Roman" w:hAnsi="Times New Roman" w:cs="Times New Roman"/>
          <w:noProof/>
          <w:sz w:val="24"/>
          <w:szCs w:val="24"/>
          <w:lang w:val="en-GB"/>
        </w:rPr>
        <w:t xml:space="preserve"> assesse</w:t>
      </w:r>
      <w:r w:rsidR="006D4769">
        <w:rPr>
          <w:rFonts w:ascii="Times New Roman" w:hAnsi="Times New Roman" w:cs="Times New Roman"/>
          <w:noProof/>
          <w:sz w:val="24"/>
          <w:szCs w:val="24"/>
          <w:lang w:val="en-GB"/>
        </w:rPr>
        <w:t xml:space="preserve">d </w:t>
      </w:r>
      <w:r w:rsidR="00667213" w:rsidRPr="005E66FA">
        <w:rPr>
          <w:rFonts w:ascii="Times New Roman" w:hAnsi="Times New Roman" w:cs="Times New Roman"/>
          <w:noProof/>
          <w:sz w:val="24"/>
          <w:szCs w:val="24"/>
          <w:lang w:val="en-GB"/>
        </w:rPr>
        <w:t xml:space="preserve">the relationship between the needs and problems at the time of </w:t>
      </w:r>
      <w:r w:rsidR="001E73E7">
        <w:rPr>
          <w:rFonts w:ascii="Times New Roman" w:hAnsi="Times New Roman" w:cs="Times New Roman"/>
          <w:noProof/>
          <w:sz w:val="24"/>
          <w:szCs w:val="24"/>
          <w:lang w:val="en-GB"/>
        </w:rPr>
        <w:t>the adoption of the new mandate of the Agency</w:t>
      </w:r>
      <w:r w:rsidR="00667213" w:rsidRPr="005E66FA">
        <w:rPr>
          <w:rFonts w:ascii="Times New Roman" w:hAnsi="Times New Roman" w:cs="Times New Roman"/>
          <w:noProof/>
          <w:sz w:val="24"/>
          <w:szCs w:val="24"/>
          <w:lang w:val="en-GB"/>
        </w:rPr>
        <w:t xml:space="preserve"> and during its implementation, as well as the relationship between the current and future needs and problems in the EU.</w:t>
      </w:r>
      <w:r w:rsidR="00137012">
        <w:rPr>
          <w:rFonts w:ascii="Times New Roman" w:hAnsi="Times New Roman" w:cs="Times New Roman"/>
          <w:noProof/>
          <w:sz w:val="24"/>
          <w:szCs w:val="24"/>
          <w:lang w:val="en-GB"/>
        </w:rPr>
        <w:t xml:space="preserve"> </w:t>
      </w:r>
    </w:p>
    <w:p w14:paraId="7FCC17B6" w14:textId="06054630" w:rsidR="00354183" w:rsidRPr="004E2424" w:rsidRDefault="00354183" w:rsidP="004E2424">
      <w:pPr>
        <w:pStyle w:val="Heading4"/>
        <w:spacing w:after="120"/>
        <w:rPr>
          <w:rFonts w:ascii="Times New Roman" w:hAnsi="Times New Roman" w:cs="Times New Roman"/>
          <w:b/>
          <w:bCs/>
          <w:noProof/>
          <w:color w:val="auto"/>
          <w:sz w:val="24"/>
          <w:szCs w:val="24"/>
          <w:lang w:val="en-GB"/>
        </w:rPr>
      </w:pPr>
      <w:r w:rsidRPr="004E2424">
        <w:rPr>
          <w:rFonts w:ascii="Times New Roman" w:hAnsi="Times New Roman" w:cs="Times New Roman"/>
          <w:b/>
          <w:bCs/>
          <w:noProof/>
          <w:color w:val="auto"/>
          <w:sz w:val="24"/>
          <w:szCs w:val="24"/>
          <w:lang w:val="en-GB"/>
        </w:rPr>
        <w:t>To what extent did the scope of the mandate and the objectives of eu-LISA Regulation remain relevant over the implementation period?</w:t>
      </w:r>
    </w:p>
    <w:p w14:paraId="53B6AFA1" w14:textId="70F0E2E1" w:rsidR="00354183" w:rsidRPr="002048C6" w:rsidRDefault="00354183" w:rsidP="00BA3DCD">
      <w:pPr>
        <w:jc w:val="both"/>
        <w:rPr>
          <w:rFonts w:ascii="Times New Roman" w:eastAsiaTheme="majorEastAsia" w:hAnsi="Times New Roman" w:cs="Times New Roman"/>
          <w:noProof/>
          <w:sz w:val="24"/>
          <w:szCs w:val="24"/>
          <w:lang w:val="en-IE" w:eastAsia="de-DE"/>
        </w:rPr>
      </w:pPr>
      <w:r w:rsidRPr="004C2B1F">
        <w:rPr>
          <w:rFonts w:ascii="Times New Roman" w:eastAsiaTheme="majorEastAsia" w:hAnsi="Times New Roman" w:cs="Times New Roman"/>
          <w:noProof/>
          <w:sz w:val="24"/>
          <w:szCs w:val="24"/>
          <w:lang w:val="en-IE" w:eastAsia="de-DE"/>
        </w:rPr>
        <w:t xml:space="preserve">The evaluation found that, overall, the scope of the mandate and the objectives of eu-LISA Regulation (see </w:t>
      </w:r>
      <w:r w:rsidR="008379BF" w:rsidRPr="004C2B1F">
        <w:rPr>
          <w:rFonts w:ascii="Times New Roman" w:eastAsiaTheme="majorEastAsia" w:hAnsi="Times New Roman" w:cs="Times New Roman"/>
          <w:noProof/>
          <w:sz w:val="24"/>
          <w:szCs w:val="24"/>
          <w:lang w:val="en-IE" w:eastAsia="de-DE"/>
        </w:rPr>
        <w:t xml:space="preserve">the effectiveness </w:t>
      </w:r>
      <w:r w:rsidRPr="004C2B1F">
        <w:rPr>
          <w:rFonts w:ascii="Times New Roman" w:eastAsiaTheme="majorEastAsia" w:hAnsi="Times New Roman" w:cs="Times New Roman"/>
          <w:noProof/>
          <w:sz w:val="24"/>
          <w:szCs w:val="24"/>
          <w:lang w:val="en-IE" w:eastAsia="de-DE"/>
        </w:rPr>
        <w:t xml:space="preserve">section on </w:t>
      </w:r>
      <w:r w:rsidR="008379BF" w:rsidRPr="004C2B1F">
        <w:rPr>
          <w:rFonts w:ascii="Times New Roman" w:eastAsiaTheme="majorEastAsia" w:hAnsi="Times New Roman" w:cs="Times New Roman"/>
          <w:noProof/>
          <w:sz w:val="24"/>
          <w:szCs w:val="24"/>
          <w:lang w:val="en-IE" w:eastAsia="de-DE"/>
        </w:rPr>
        <w:t xml:space="preserve">the </w:t>
      </w:r>
      <w:r w:rsidRPr="004C2B1F">
        <w:rPr>
          <w:rFonts w:ascii="Times New Roman" w:eastAsiaTheme="majorEastAsia" w:hAnsi="Times New Roman" w:cs="Times New Roman"/>
          <w:noProof/>
          <w:sz w:val="24"/>
          <w:szCs w:val="24"/>
          <w:lang w:val="en-IE" w:eastAsia="de-DE"/>
        </w:rPr>
        <w:t xml:space="preserve">definitions of general and specific objectives) remained relevant. Throughout the evaluation period, the systems managed by eu-LISA functioned appropriately in view of political, social and other external challenges. </w:t>
      </w:r>
      <w:r w:rsidRPr="002048C6">
        <w:rPr>
          <w:rFonts w:ascii="Times New Roman" w:eastAsiaTheme="majorEastAsia" w:hAnsi="Times New Roman" w:cs="Times New Roman"/>
          <w:noProof/>
          <w:sz w:val="24"/>
          <w:szCs w:val="24"/>
          <w:lang w:val="en-IE" w:eastAsia="de-DE"/>
        </w:rPr>
        <w:t>However, the evaluation showed that the operational management of the systems could be improved to maintain a high relevance from an operational perspective. This concerned, for example, the extent to which the Agency was able to adapt its IT systems and operations to the technological progress. With particular regard to the development o</w:t>
      </w:r>
      <w:r w:rsidR="006D4769" w:rsidRPr="002048C6">
        <w:rPr>
          <w:rFonts w:ascii="Times New Roman" w:eastAsiaTheme="majorEastAsia" w:hAnsi="Times New Roman" w:cs="Times New Roman"/>
          <w:noProof/>
          <w:sz w:val="24"/>
          <w:szCs w:val="24"/>
          <w:lang w:val="en-IE" w:eastAsia="de-DE"/>
        </w:rPr>
        <w:t xml:space="preserve">f </w:t>
      </w:r>
      <w:r w:rsidRPr="002048C6">
        <w:rPr>
          <w:rFonts w:ascii="Times New Roman" w:eastAsiaTheme="majorEastAsia" w:hAnsi="Times New Roman" w:cs="Times New Roman"/>
          <w:noProof/>
          <w:sz w:val="24"/>
          <w:szCs w:val="24"/>
          <w:lang w:val="en-IE" w:eastAsia="de-DE"/>
        </w:rPr>
        <w:t xml:space="preserve">new systems, the evaluation showed that the </w:t>
      </w:r>
      <w:r w:rsidRPr="00BA3DCD">
        <w:rPr>
          <w:rFonts w:ascii="Times New Roman" w:hAnsi="Times New Roman" w:cs="Times New Roman"/>
          <w:noProof/>
          <w:sz w:val="24"/>
          <w:szCs w:val="24"/>
          <w:lang w:val="en-GB"/>
        </w:rPr>
        <w:t>Agency’s</w:t>
      </w:r>
      <w:r w:rsidRPr="002048C6">
        <w:rPr>
          <w:rFonts w:ascii="Times New Roman" w:eastAsiaTheme="majorEastAsia" w:hAnsi="Times New Roman" w:cs="Times New Roman"/>
          <w:noProof/>
          <w:sz w:val="24"/>
          <w:szCs w:val="24"/>
          <w:lang w:val="en-IE" w:eastAsia="de-DE"/>
        </w:rPr>
        <w:t xml:space="preserve"> mandate also stayed relevant across the implementation period. </w:t>
      </w:r>
    </w:p>
    <w:p w14:paraId="227C9FE9" w14:textId="6934C608" w:rsidR="00354183" w:rsidRPr="004C2B1F" w:rsidRDefault="00354183" w:rsidP="00BA3DCD">
      <w:pPr>
        <w:jc w:val="both"/>
        <w:rPr>
          <w:rFonts w:ascii="Times New Roman" w:eastAsiaTheme="majorEastAsia" w:hAnsi="Times New Roman" w:cs="Times New Roman"/>
          <w:noProof/>
          <w:sz w:val="24"/>
          <w:szCs w:val="24"/>
          <w:lang w:val="en-IE" w:eastAsia="de-DE"/>
        </w:rPr>
      </w:pPr>
      <w:r w:rsidRPr="004C2B1F">
        <w:rPr>
          <w:rFonts w:ascii="Times New Roman" w:eastAsiaTheme="majorEastAsia" w:hAnsi="Times New Roman" w:cs="Times New Roman"/>
          <w:noProof/>
          <w:sz w:val="24"/>
          <w:szCs w:val="24"/>
          <w:lang w:val="en-IE" w:eastAsia="de-DE"/>
        </w:rPr>
        <w:t xml:space="preserve">While certain stakeholders expressed less satisfaction in this regard compared to the operational management of existing systems, the Agency’s mandate remains nonetheless relevant. In particular with regard to existing security and migratory challenges, the operational performance </w:t>
      </w:r>
      <w:r w:rsidRPr="00BA3DCD">
        <w:rPr>
          <w:rFonts w:ascii="Times New Roman" w:hAnsi="Times New Roman" w:cs="Times New Roman"/>
          <w:noProof/>
          <w:sz w:val="24"/>
          <w:szCs w:val="24"/>
          <w:lang w:val="en-GB"/>
        </w:rPr>
        <w:t>of</w:t>
      </w:r>
      <w:r w:rsidRPr="004C2B1F">
        <w:rPr>
          <w:rFonts w:ascii="Times New Roman" w:eastAsiaTheme="majorEastAsia" w:hAnsi="Times New Roman" w:cs="Times New Roman"/>
          <w:noProof/>
          <w:sz w:val="24"/>
          <w:szCs w:val="24"/>
          <w:lang w:val="en-IE" w:eastAsia="de-DE"/>
        </w:rPr>
        <w:t xml:space="preserve"> the Agency is a key success factor for the Agency to remain relevant in the future.</w:t>
      </w:r>
    </w:p>
    <w:p w14:paraId="220F811E" w14:textId="77777777" w:rsidR="00354183" w:rsidRPr="004E2424" w:rsidRDefault="00354183" w:rsidP="004E2424">
      <w:pPr>
        <w:pStyle w:val="Heading4"/>
        <w:spacing w:after="120"/>
        <w:rPr>
          <w:rFonts w:ascii="Times New Roman" w:hAnsi="Times New Roman" w:cs="Times New Roman"/>
          <w:b/>
          <w:bCs/>
          <w:noProof/>
          <w:color w:val="auto"/>
          <w:sz w:val="24"/>
          <w:szCs w:val="24"/>
          <w:lang w:val="en-GB"/>
        </w:rPr>
      </w:pPr>
      <w:r w:rsidRPr="004E2424">
        <w:rPr>
          <w:rFonts w:ascii="Times New Roman" w:hAnsi="Times New Roman" w:cs="Times New Roman"/>
          <w:b/>
          <w:bCs/>
          <w:noProof/>
          <w:color w:val="auto"/>
          <w:sz w:val="24"/>
          <w:szCs w:val="24"/>
          <w:lang w:val="en-GB"/>
        </w:rPr>
        <w:t>How did the objectives of eu-LISA Regulation correspond to wider EU policy goals and priorities?</w:t>
      </w:r>
    </w:p>
    <w:p w14:paraId="47D91CB6" w14:textId="2551875B" w:rsidR="00354183" w:rsidRPr="002048C6" w:rsidRDefault="00354183" w:rsidP="00BA3DCD">
      <w:pPr>
        <w:jc w:val="both"/>
        <w:rPr>
          <w:rFonts w:ascii="Times New Roman" w:eastAsiaTheme="majorEastAsia" w:hAnsi="Times New Roman" w:cs="Times New Roman"/>
          <w:bCs/>
          <w:noProof/>
          <w:sz w:val="24"/>
          <w:szCs w:val="24"/>
          <w:lang w:val="en-IE" w:eastAsia="de-DE"/>
        </w:rPr>
      </w:pPr>
      <w:r w:rsidRPr="002048C6">
        <w:rPr>
          <w:rFonts w:ascii="Times New Roman" w:eastAsiaTheme="majorEastAsia" w:hAnsi="Times New Roman" w:cs="Times New Roman"/>
          <w:bCs/>
          <w:noProof/>
          <w:sz w:val="24"/>
          <w:szCs w:val="24"/>
          <w:lang w:val="en-IE" w:eastAsia="de-DE"/>
        </w:rPr>
        <w:t xml:space="preserve">The wider EU policy goals and priorities considered by the evaluation concern those of the Union in the area of </w:t>
      </w:r>
      <w:r w:rsidRPr="00BA3DCD">
        <w:rPr>
          <w:rFonts w:ascii="Times New Roman" w:hAnsi="Times New Roman" w:cs="Times New Roman"/>
          <w:noProof/>
          <w:sz w:val="24"/>
          <w:szCs w:val="24"/>
          <w:lang w:val="en-GB"/>
        </w:rPr>
        <w:t>freedom</w:t>
      </w:r>
      <w:r w:rsidRPr="002048C6">
        <w:rPr>
          <w:rFonts w:ascii="Times New Roman" w:eastAsiaTheme="majorEastAsia" w:hAnsi="Times New Roman" w:cs="Times New Roman"/>
          <w:bCs/>
          <w:noProof/>
          <w:sz w:val="24"/>
          <w:szCs w:val="24"/>
          <w:lang w:val="en-IE" w:eastAsia="de-DE"/>
        </w:rPr>
        <w:t xml:space="preserve">, security and justice. The evaluation found that the general, specific and operational policy objectives of eu-LISA Regulation are aligned with the </w:t>
      </w:r>
      <w:r w:rsidRPr="002048C6">
        <w:rPr>
          <w:rFonts w:ascii="Times New Roman" w:hAnsi="Times New Roman" w:cs="Times New Roman"/>
          <w:noProof/>
          <w:sz w:val="24"/>
          <w:szCs w:val="24"/>
          <w:lang w:val="en-IE"/>
        </w:rPr>
        <w:t xml:space="preserve">wider EU policy goals and priorities in the </w:t>
      </w:r>
      <w:r w:rsidR="00942347" w:rsidRPr="002048C6">
        <w:rPr>
          <w:rFonts w:ascii="Times New Roman" w:hAnsi="Times New Roman" w:cs="Times New Roman"/>
          <w:noProof/>
          <w:sz w:val="24"/>
          <w:szCs w:val="24"/>
          <w:lang w:val="en-IE"/>
        </w:rPr>
        <w:t>area of freedom, security and justice</w:t>
      </w:r>
      <w:r w:rsidRPr="002048C6">
        <w:rPr>
          <w:rFonts w:ascii="Times New Roman" w:hAnsi="Times New Roman" w:cs="Times New Roman"/>
          <w:noProof/>
          <w:sz w:val="24"/>
          <w:szCs w:val="24"/>
          <w:lang w:val="en-IE"/>
        </w:rPr>
        <w:t xml:space="preserve">. </w:t>
      </w:r>
    </w:p>
    <w:p w14:paraId="6F2F5086" w14:textId="43C278FD" w:rsidR="00354183" w:rsidRPr="002048C6" w:rsidRDefault="00354183" w:rsidP="00BA3DCD">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The eu-LISA Regulation and the specific establishing Regulations enable the Agency to develop and manage operational IT systems aimed at delivering on the specific objectives in these three areas of the </w:t>
      </w:r>
      <w:r w:rsidR="00942347" w:rsidRPr="004C2B1F">
        <w:rPr>
          <w:rFonts w:ascii="Times New Roman" w:hAnsi="Times New Roman" w:cs="Times New Roman"/>
          <w:noProof/>
          <w:sz w:val="24"/>
          <w:szCs w:val="24"/>
          <w:lang w:val="en-IE"/>
        </w:rPr>
        <w:t>area of freedom, security and justice</w:t>
      </w:r>
      <w:r w:rsidRPr="004C2B1F">
        <w:rPr>
          <w:rFonts w:ascii="Times New Roman" w:hAnsi="Times New Roman" w:cs="Times New Roman"/>
          <w:noProof/>
          <w:sz w:val="24"/>
          <w:szCs w:val="24"/>
          <w:lang w:val="en-IE"/>
        </w:rPr>
        <w:t>, namely, b</w:t>
      </w:r>
      <w:r w:rsidRPr="004C2B1F">
        <w:rPr>
          <w:rFonts w:ascii="Times New Roman" w:hAnsi="Times New Roman" w:cs="Times New Roman"/>
          <w:bCs/>
          <w:noProof/>
          <w:sz w:val="24"/>
          <w:szCs w:val="24"/>
          <w:lang w:val="en-IE"/>
        </w:rPr>
        <w:t xml:space="preserve">order checks, asylum and </w:t>
      </w:r>
      <w:r w:rsidRPr="00BA3DCD">
        <w:rPr>
          <w:rFonts w:ascii="Times New Roman" w:hAnsi="Times New Roman" w:cs="Times New Roman"/>
          <w:noProof/>
          <w:sz w:val="24"/>
          <w:szCs w:val="24"/>
          <w:lang w:val="en-GB"/>
        </w:rPr>
        <w:t>immigration</w:t>
      </w:r>
      <w:r w:rsidRPr="004C2B1F">
        <w:rPr>
          <w:rFonts w:ascii="Times New Roman" w:hAnsi="Times New Roman" w:cs="Times New Roman"/>
          <w:bCs/>
          <w:noProof/>
          <w:sz w:val="24"/>
          <w:szCs w:val="24"/>
          <w:lang w:val="en-IE"/>
        </w:rPr>
        <w:t xml:space="preserve">, police cooperation, and judicial cooperation in civil and criminal matters. </w:t>
      </w:r>
      <w:r w:rsidRPr="002048C6">
        <w:rPr>
          <w:rFonts w:ascii="Times New Roman" w:hAnsi="Times New Roman" w:cs="Times New Roman"/>
          <w:noProof/>
          <w:sz w:val="24"/>
          <w:szCs w:val="24"/>
          <w:lang w:val="en-IE"/>
        </w:rPr>
        <w:t>While the IT systems concerning border checks, asylum and immigration were already mentioned in the 2018 eu-LISA Regulation, the systems concerning judicial and police cooperation were added by later amendments in 2019, 2022 and 2023 triggered through the systems’ establishing Regulations.</w:t>
      </w:r>
    </w:p>
    <w:p w14:paraId="05311FCA" w14:textId="16A84DF7" w:rsidR="00354183" w:rsidRPr="002048C6" w:rsidRDefault="00354183" w:rsidP="00BA3DCD">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 xml:space="preserve">The evaluation </w:t>
      </w:r>
      <w:r w:rsidRPr="00BA3DCD">
        <w:rPr>
          <w:rFonts w:ascii="Times New Roman" w:hAnsi="Times New Roman" w:cs="Times New Roman"/>
          <w:noProof/>
          <w:sz w:val="24"/>
          <w:szCs w:val="24"/>
          <w:lang w:val="en-GB"/>
        </w:rPr>
        <w:t>confirmed</w:t>
      </w:r>
      <w:r w:rsidRPr="002048C6">
        <w:rPr>
          <w:rFonts w:ascii="Times New Roman" w:hAnsi="Times New Roman" w:cs="Times New Roman"/>
          <w:noProof/>
          <w:sz w:val="24"/>
          <w:szCs w:val="24"/>
          <w:lang w:val="en-IE"/>
        </w:rPr>
        <w:t xml:space="preserve"> that the objectives of the eu-LISA Regulation positively enhance overarching goals of the EU in the </w:t>
      </w:r>
      <w:r w:rsidR="00942347" w:rsidRPr="002048C6">
        <w:rPr>
          <w:rFonts w:ascii="Times New Roman" w:hAnsi="Times New Roman" w:cs="Times New Roman"/>
          <w:noProof/>
          <w:sz w:val="24"/>
          <w:szCs w:val="24"/>
          <w:lang w:val="en-IE"/>
        </w:rPr>
        <w:t>area of freedom, security and justice</w:t>
      </w:r>
      <w:r w:rsidRPr="002048C6">
        <w:rPr>
          <w:rFonts w:ascii="Times New Roman" w:hAnsi="Times New Roman" w:cs="Times New Roman"/>
          <w:noProof/>
          <w:sz w:val="24"/>
          <w:szCs w:val="24"/>
          <w:lang w:val="en-IE"/>
        </w:rPr>
        <w:t>.</w:t>
      </w:r>
    </w:p>
    <w:p w14:paraId="489D4CA4" w14:textId="56F640DA" w:rsidR="00354183" w:rsidRPr="004E2424" w:rsidRDefault="00354183" w:rsidP="004E2424">
      <w:pPr>
        <w:pStyle w:val="Heading4"/>
        <w:spacing w:after="120"/>
        <w:rPr>
          <w:rFonts w:ascii="Times New Roman" w:hAnsi="Times New Roman" w:cs="Times New Roman"/>
          <w:b/>
          <w:bCs/>
          <w:noProof/>
          <w:color w:val="auto"/>
          <w:sz w:val="24"/>
          <w:szCs w:val="24"/>
          <w:lang w:val="en-GB"/>
        </w:rPr>
      </w:pPr>
      <w:r w:rsidRPr="004E2424">
        <w:rPr>
          <w:rFonts w:ascii="Times New Roman" w:hAnsi="Times New Roman" w:cs="Times New Roman"/>
          <w:b/>
          <w:bCs/>
          <w:noProof/>
          <w:color w:val="auto"/>
          <w:sz w:val="24"/>
          <w:szCs w:val="24"/>
          <w:lang w:val="en-GB"/>
        </w:rPr>
        <w:t>To what extent has eu-LISA adapted to the new needs and challenges, in particular to the technological or scientific progress since the adoption of eu-LISA Regulation?</w:t>
      </w:r>
    </w:p>
    <w:p w14:paraId="19FD6E80" w14:textId="16F60F74" w:rsidR="00354183" w:rsidRPr="002048C6" w:rsidRDefault="00354183" w:rsidP="00BA3DCD">
      <w:pPr>
        <w:jc w:val="both"/>
        <w:rPr>
          <w:rFonts w:ascii="Times New Roman" w:hAnsi="Times New Roman" w:cs="Times New Roman"/>
          <w:noProof/>
          <w:sz w:val="24"/>
          <w:szCs w:val="24"/>
          <w:lang w:val="en-IE" w:eastAsia="de-DE"/>
        </w:rPr>
      </w:pPr>
      <w:r w:rsidRPr="004C2B1F">
        <w:rPr>
          <w:rFonts w:ascii="Times New Roman" w:hAnsi="Times New Roman" w:cs="Times New Roman"/>
          <w:noProof/>
          <w:sz w:val="24"/>
          <w:szCs w:val="24"/>
          <w:lang w:val="en-IE" w:eastAsia="de-DE"/>
        </w:rPr>
        <w:t xml:space="preserve">Since the adoption of the new eu-LISA Regulation in 2018, new needs and challenges emerged for the Agency. </w:t>
      </w:r>
      <w:r w:rsidRPr="002048C6">
        <w:rPr>
          <w:rFonts w:ascii="Times New Roman" w:hAnsi="Times New Roman" w:cs="Times New Roman"/>
          <w:noProof/>
          <w:sz w:val="24"/>
          <w:szCs w:val="24"/>
          <w:lang w:val="en-IE" w:eastAsia="de-DE"/>
        </w:rPr>
        <w:t>This included new technological advancements such as cloud computing, artificial intelligence, improved cybersecurity measures, or blockchain technology which the Agency has not integrated into its operations. On a broader scale, the Agency was also impacted by the increase in global migration flows that affected Member States.</w:t>
      </w:r>
    </w:p>
    <w:p w14:paraId="2A84D9DA" w14:textId="0D8567C1" w:rsidR="00354183" w:rsidRPr="002048C6" w:rsidRDefault="00354183" w:rsidP="00BA3DCD">
      <w:pPr>
        <w:jc w:val="both"/>
        <w:rPr>
          <w:rFonts w:ascii="Times New Roman" w:hAnsi="Times New Roman" w:cs="Times New Roman"/>
          <w:noProof/>
          <w:sz w:val="24"/>
          <w:szCs w:val="24"/>
          <w:lang w:val="en-IE" w:eastAsia="de-DE"/>
        </w:rPr>
      </w:pPr>
      <w:r w:rsidRPr="004C2B1F">
        <w:rPr>
          <w:rFonts w:ascii="Times New Roman" w:hAnsi="Times New Roman" w:cs="Times New Roman"/>
          <w:noProof/>
          <w:sz w:val="24"/>
          <w:szCs w:val="24"/>
          <w:lang w:val="en-IE" w:eastAsia="de-DE"/>
        </w:rPr>
        <w:t xml:space="preserve">The evaluation found that, as concerns the technological advancements, the Agency has adapted to the new technological environment to a moderate extent. On the other hand however, eu-LISA was able to deal to a large extent with the challenges to its activities as a follow up to the increase in global migration flows. </w:t>
      </w:r>
      <w:r w:rsidRPr="002048C6">
        <w:rPr>
          <w:rFonts w:ascii="Times New Roman" w:hAnsi="Times New Roman" w:cs="Times New Roman"/>
          <w:noProof/>
          <w:sz w:val="24"/>
          <w:szCs w:val="24"/>
          <w:lang w:val="en-IE" w:eastAsia="de-DE"/>
        </w:rPr>
        <w:t>For this purpose, the evaluation assessed the number of incidents for the respective large-scale IT systems. In regard to the number of incidents, SIS maintained an availability rate of 99.9% in 2022 with a response rate of 99.0%. The same stable picture holds for other large-scale IT systems that are linked to migration flows.</w:t>
      </w:r>
    </w:p>
    <w:p w14:paraId="45A64042" w14:textId="17FFDA19" w:rsidR="00354183" w:rsidRPr="004C2B1F" w:rsidRDefault="00354183" w:rsidP="00BA3DCD">
      <w:pPr>
        <w:jc w:val="both"/>
        <w:rPr>
          <w:rFonts w:ascii="Times New Roman" w:hAnsi="Times New Roman" w:cs="Times New Roman"/>
          <w:noProof/>
          <w:sz w:val="24"/>
          <w:szCs w:val="24"/>
          <w:lang w:val="en-IE" w:eastAsia="de-DE"/>
        </w:rPr>
      </w:pPr>
      <w:r w:rsidRPr="004C2B1F">
        <w:rPr>
          <w:rFonts w:ascii="Times New Roman" w:hAnsi="Times New Roman" w:cs="Times New Roman"/>
          <w:noProof/>
          <w:sz w:val="24"/>
          <w:szCs w:val="24"/>
          <w:lang w:val="en-IE" w:eastAsia="de-DE"/>
        </w:rPr>
        <w:t xml:space="preserve">Overall, the evaluation underlined the importance of intensifying research activities within the Agency and pilot testing to be able to address technological or scientific progress. New needs and challenges identified during consultations include AI for identification, biometric data, more services for judiciary, cloud services, cybersecurity, agile workflow, and improvement regarding communication and test environments. This holds for potential challenges for DubliNet, Eurodac, SIS, and VIS, as these systems must be kept up to date as well as deal with increasing flows of migration. </w:t>
      </w:r>
    </w:p>
    <w:p w14:paraId="6D93C93B" w14:textId="77777777" w:rsidR="00354183" w:rsidRPr="004E2424" w:rsidRDefault="00354183" w:rsidP="004E2424">
      <w:pPr>
        <w:pStyle w:val="Heading4"/>
        <w:spacing w:after="120"/>
        <w:rPr>
          <w:rFonts w:ascii="Times New Roman" w:hAnsi="Times New Roman" w:cs="Times New Roman"/>
          <w:b/>
          <w:bCs/>
          <w:noProof/>
          <w:color w:val="auto"/>
          <w:sz w:val="24"/>
          <w:szCs w:val="24"/>
          <w:lang w:val="en-GB"/>
        </w:rPr>
      </w:pPr>
      <w:r w:rsidRPr="004E2424">
        <w:rPr>
          <w:rFonts w:ascii="Times New Roman" w:hAnsi="Times New Roman" w:cs="Times New Roman"/>
          <w:b/>
          <w:bCs/>
          <w:noProof/>
          <w:color w:val="auto"/>
          <w:sz w:val="24"/>
          <w:szCs w:val="24"/>
          <w:lang w:val="en-GB"/>
        </w:rPr>
        <w:t>Has the nature of the work of eu-LISA experienced such a change that a change of mandate/ objectives is needed?</w:t>
      </w:r>
    </w:p>
    <w:p w14:paraId="599BC1BC" w14:textId="67E3C6D7" w:rsidR="00354183" w:rsidRPr="004C2B1F" w:rsidRDefault="00354183" w:rsidP="007454CE">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Through the implementation of the revised Regulation since 2018, the Agency experienced a pressure to not only deliver on the operational management of existing systems but to develop new systems. The evaluation underlined specific challenges with regard to parts and the flexibility of the mandate (see effectiveness section). </w:t>
      </w:r>
    </w:p>
    <w:p w14:paraId="0102988E" w14:textId="33D1833E" w:rsidR="00354183" w:rsidRPr="002048C6" w:rsidRDefault="00354183" w:rsidP="007454CE">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 xml:space="preserve">The evaluation looked into reasons both in favour and against a change in the mandate of the Agency. An update of the mandate could enhance the Agency's adaptability to evolving needs and technological advancements, potentially fostering innovation and efficiency. However, a change in the mandate could bring disruptions to ongoing operations at a moment where stability is needed to fulfill current objectives. In addition, changes to the current mandate would introduce additional complexities and administrative burdens, potentially diverting resources and attention away from critical operational priorities. Thus, a careful consideration and evaluation of the ‘pro and cons’ arguments are essential in determining the best course of action that balances adaptability with operational continuity. </w:t>
      </w:r>
    </w:p>
    <w:p w14:paraId="6AF7A11B" w14:textId="0B2EB968" w:rsidR="00354183" w:rsidRPr="004E2424" w:rsidRDefault="00354183" w:rsidP="00354183">
      <w:pPr>
        <w:pStyle w:val="BodyText"/>
        <w:rPr>
          <w:rFonts w:ascii="Times New Roman" w:hAnsi="Times New Roman" w:cs="Times New Roman"/>
          <w:noProof/>
          <w:sz w:val="24"/>
          <w:szCs w:val="24"/>
        </w:rPr>
      </w:pPr>
      <w:r w:rsidRPr="004E2424">
        <w:rPr>
          <w:rFonts w:ascii="Times New Roman" w:hAnsi="Times New Roman" w:cs="Times New Roman"/>
          <w:noProof/>
          <w:sz w:val="24"/>
          <w:szCs w:val="24"/>
        </w:rPr>
        <w:t>The evaluation also noted that the Agency has recognised and acknowledged that the change of the nature of its work has brought about challenges and, thus, proactively initiated a transformation process</w:t>
      </w:r>
      <w:r w:rsidR="00866C75">
        <w:rPr>
          <w:rFonts w:ascii="Times New Roman" w:hAnsi="Times New Roman" w:cs="Times New Roman"/>
          <w:noProof/>
          <w:sz w:val="24"/>
          <w:szCs w:val="24"/>
        </w:rPr>
        <w:t>.</w:t>
      </w:r>
    </w:p>
    <w:p w14:paraId="38EC69FE" w14:textId="77777777" w:rsidR="00354183" w:rsidRPr="004E2424" w:rsidRDefault="00354183" w:rsidP="004E2424">
      <w:pPr>
        <w:pStyle w:val="Heading4"/>
        <w:spacing w:after="120"/>
        <w:rPr>
          <w:rFonts w:ascii="Times New Roman" w:hAnsi="Times New Roman" w:cs="Times New Roman"/>
          <w:b/>
          <w:bCs/>
          <w:noProof/>
          <w:color w:val="auto"/>
          <w:sz w:val="24"/>
          <w:szCs w:val="24"/>
          <w:lang w:val="en-GB"/>
        </w:rPr>
      </w:pPr>
      <w:r w:rsidRPr="004E2424">
        <w:rPr>
          <w:rFonts w:ascii="Times New Roman" w:hAnsi="Times New Roman" w:cs="Times New Roman"/>
          <w:b/>
          <w:bCs/>
          <w:noProof/>
          <w:color w:val="auto"/>
          <w:sz w:val="24"/>
          <w:szCs w:val="24"/>
          <w:lang w:val="en-GB"/>
        </w:rPr>
        <w:t>Has eu-LISA’s mandate provided the necessary flexibility to address unexpected challenges?</w:t>
      </w:r>
    </w:p>
    <w:p w14:paraId="60AAFF60" w14:textId="77777777" w:rsidR="00354183" w:rsidRPr="002048C6" w:rsidRDefault="00354183" w:rsidP="007454CE">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 xml:space="preserve">The evaluation found that the </w:t>
      </w:r>
      <w:r w:rsidRPr="002048C6">
        <w:rPr>
          <w:rFonts w:ascii="Times New Roman" w:hAnsi="Times New Roman" w:cs="Times New Roman"/>
          <w:noProof/>
          <w:sz w:val="24"/>
          <w:szCs w:val="24"/>
          <w:u w:val="single"/>
          <w:lang w:val="en-IE"/>
        </w:rPr>
        <w:t>overall mandate</w:t>
      </w:r>
      <w:r w:rsidRPr="002048C6">
        <w:rPr>
          <w:rFonts w:ascii="Times New Roman" w:hAnsi="Times New Roman" w:cs="Times New Roman"/>
          <w:noProof/>
          <w:sz w:val="24"/>
          <w:szCs w:val="24"/>
          <w:lang w:val="en-IE"/>
        </w:rPr>
        <w:t xml:space="preserve"> did not leave significant flexibility for the Agency to be entrusted with new tasks without amending the legal framework. </w:t>
      </w:r>
    </w:p>
    <w:p w14:paraId="1B13F85E" w14:textId="4808D219" w:rsidR="00354183" w:rsidRPr="002048C6" w:rsidRDefault="00354183" w:rsidP="007454CE">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While Article 1(5) and Article 9 of eu-LISA Regulation explicitly refer to the possibility for eu-LISA to be entrusted with the preparation, development and operational management of additional large-scale IT systems not yet referred to in the Regulation, this is only possible if ‘</w:t>
      </w:r>
      <w:r w:rsidRPr="002048C6">
        <w:rPr>
          <w:rFonts w:ascii="Times New Roman" w:hAnsi="Times New Roman" w:cs="Times New Roman"/>
          <w:i/>
          <w:iCs/>
          <w:noProof/>
          <w:sz w:val="24"/>
          <w:szCs w:val="24"/>
          <w:lang w:val="en-IE"/>
        </w:rPr>
        <w:t>provided by relevant Union legal acts governing those systems</w:t>
      </w:r>
      <w:r w:rsidRPr="002048C6">
        <w:rPr>
          <w:rFonts w:ascii="Times New Roman" w:hAnsi="Times New Roman" w:cs="Times New Roman"/>
          <w:noProof/>
          <w:sz w:val="24"/>
          <w:szCs w:val="24"/>
          <w:lang w:val="en-IE"/>
        </w:rPr>
        <w:t xml:space="preserve">’ (Article 1.5 of eu-LISA Regulation). In practice, this triggers an amendment of eu-LISA Regulation, a procedure which has taken time based on the based on the timeline of an ordinary legislative procedure (around one to two years). </w:t>
      </w:r>
    </w:p>
    <w:p w14:paraId="5BA34006" w14:textId="73E98593" w:rsidR="00354183" w:rsidRPr="002048C6" w:rsidRDefault="00354183" w:rsidP="007454CE">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Article 16(4) could present another potential source of flexibility, as it provides the possibility for a group of at least five Member State to entrust the Agency with developing, managing or hosting a common IT component. This provision has not been used, based on its limited scope and rigid procedures. Therefore, the evaluation found that this provision has not contributed to the flexibility of the Agency in taking on additional tasks.</w:t>
      </w:r>
    </w:p>
    <w:p w14:paraId="399AB8B3" w14:textId="65139E93" w:rsidR="00354183" w:rsidRPr="004C2B1F" w:rsidRDefault="00354183" w:rsidP="007454CE">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The evaluation also found limitations relating to the </w:t>
      </w:r>
      <w:r w:rsidRPr="004C2B1F">
        <w:rPr>
          <w:rFonts w:ascii="Times New Roman" w:hAnsi="Times New Roman" w:cs="Times New Roman"/>
          <w:bCs/>
          <w:noProof/>
          <w:sz w:val="24"/>
          <w:szCs w:val="24"/>
          <w:u w:val="single"/>
          <w:lang w:val="en-IE"/>
        </w:rPr>
        <w:t>flexibility in implementing existing tasks</w:t>
      </w:r>
      <w:r w:rsidRPr="004C2B1F">
        <w:rPr>
          <w:rFonts w:ascii="Times New Roman" w:hAnsi="Times New Roman" w:cs="Times New Roman"/>
          <w:noProof/>
          <w:sz w:val="24"/>
          <w:szCs w:val="24"/>
          <w:lang w:val="en-IE"/>
        </w:rPr>
        <w:t>. In particular, the evaluation pointed to the to the legal framework of the  establishing Regulations of the individual IT systems as highly prescriptive with regard to the technical implementation of the IT systems, impacting the development and testing of the IT systems as well as the choice of potential IT solutions. While these separate Regulations are not the focus of this evaluation, these are relevant to consider to the extent to which they impact on eu-LISA’s activities and may interact with eu-LISA Regulation.</w:t>
      </w:r>
      <w:r w:rsidR="007E1C16" w:rsidRPr="004C2B1F" w:rsidDel="007E1C16">
        <w:rPr>
          <w:rFonts w:ascii="Times New Roman" w:hAnsi="Times New Roman" w:cs="Times New Roman"/>
          <w:noProof/>
          <w:sz w:val="24"/>
          <w:szCs w:val="24"/>
          <w:lang w:val="en-IE"/>
        </w:rPr>
        <w:t xml:space="preserve"> </w:t>
      </w:r>
    </w:p>
    <w:p w14:paraId="193FA4E3" w14:textId="3CB74E6F" w:rsidR="00354183" w:rsidRPr="002048C6" w:rsidRDefault="00354183" w:rsidP="007454CE">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For example, the </w:t>
      </w:r>
      <w:r w:rsidR="00F568B3" w:rsidRPr="004C2B1F">
        <w:rPr>
          <w:rFonts w:ascii="Times New Roman" w:hAnsi="Times New Roman" w:cs="Times New Roman"/>
          <w:noProof/>
          <w:sz w:val="24"/>
          <w:szCs w:val="24"/>
          <w:lang w:val="en-IE"/>
        </w:rPr>
        <w:t xml:space="preserve">establishing </w:t>
      </w:r>
      <w:r w:rsidRPr="004C2B1F">
        <w:rPr>
          <w:rFonts w:ascii="Times New Roman" w:hAnsi="Times New Roman" w:cs="Times New Roman"/>
          <w:noProof/>
          <w:sz w:val="24"/>
          <w:szCs w:val="24"/>
          <w:lang w:val="en-IE"/>
        </w:rPr>
        <w:t>EES Regulation specifie</w:t>
      </w:r>
      <w:r w:rsidR="00F568B3" w:rsidRPr="004C2B1F">
        <w:rPr>
          <w:rFonts w:ascii="Times New Roman" w:hAnsi="Times New Roman" w:cs="Times New Roman"/>
          <w:noProof/>
          <w:sz w:val="24"/>
          <w:szCs w:val="24"/>
          <w:lang w:val="en-IE"/>
        </w:rPr>
        <w:t>d</w:t>
      </w:r>
      <w:r w:rsidRPr="004C2B1F">
        <w:rPr>
          <w:rFonts w:ascii="Times New Roman" w:hAnsi="Times New Roman" w:cs="Times New Roman"/>
          <w:noProof/>
          <w:sz w:val="24"/>
          <w:szCs w:val="24"/>
          <w:lang w:val="en-IE"/>
        </w:rPr>
        <w:t xml:space="preserve"> that the system must go live in all Member States at the same time.</w:t>
      </w:r>
      <w:r w:rsidRPr="00004DA6">
        <w:rPr>
          <w:rStyle w:val="FootnoteReference"/>
          <w:rFonts w:ascii="Times New Roman" w:hAnsi="Times New Roman" w:cs="Times New Roman"/>
          <w:noProof/>
          <w:sz w:val="24"/>
          <w:szCs w:val="24"/>
        </w:rPr>
        <w:footnoteReference w:id="78"/>
      </w:r>
      <w:r w:rsidRPr="004C2B1F">
        <w:rPr>
          <w:rFonts w:ascii="Times New Roman" w:hAnsi="Times New Roman" w:cs="Times New Roman"/>
          <w:noProof/>
          <w:sz w:val="24"/>
          <w:szCs w:val="24"/>
          <w:lang w:val="en-IE"/>
        </w:rPr>
        <w:t xml:space="preserve"> </w:t>
      </w:r>
      <w:r w:rsidRPr="002048C6">
        <w:rPr>
          <w:rFonts w:ascii="Times New Roman" w:hAnsi="Times New Roman" w:cs="Times New Roman"/>
          <w:noProof/>
          <w:sz w:val="24"/>
          <w:szCs w:val="24"/>
          <w:lang w:val="en-IE"/>
        </w:rPr>
        <w:t xml:space="preserve">As a consequence, eu-LISA was not able to test the system in a beta version, for example, at a small number of selected border points, which is common practice in comparable projects. </w:t>
      </w:r>
      <w:r w:rsidR="00C97860" w:rsidRPr="002048C6">
        <w:rPr>
          <w:rFonts w:ascii="Times New Roman" w:hAnsi="Times New Roman" w:cs="Times New Roman"/>
          <w:noProof/>
          <w:sz w:val="24"/>
          <w:szCs w:val="24"/>
          <w:lang w:val="en-IE"/>
        </w:rPr>
        <w:t xml:space="preserve">However, </w:t>
      </w:r>
      <w:r w:rsidR="00DE659A" w:rsidRPr="002048C6">
        <w:rPr>
          <w:rFonts w:ascii="Times New Roman" w:hAnsi="Times New Roman" w:cs="Times New Roman"/>
          <w:noProof/>
          <w:sz w:val="24"/>
          <w:szCs w:val="24"/>
          <w:lang w:val="en-IE"/>
        </w:rPr>
        <w:t xml:space="preserve">it must be noted that </w:t>
      </w:r>
      <w:r w:rsidR="00C97860" w:rsidRPr="002048C6">
        <w:rPr>
          <w:rFonts w:ascii="Times New Roman" w:hAnsi="Times New Roman" w:cs="Times New Roman"/>
          <w:noProof/>
          <w:sz w:val="24"/>
          <w:szCs w:val="24"/>
          <w:lang w:val="en-IE"/>
        </w:rPr>
        <w:t>in 2025, the European Parliament and the Council adopted Regulation (EU) 2025/1534</w:t>
      </w:r>
      <w:r w:rsidR="00036379" w:rsidRPr="00004DA6">
        <w:rPr>
          <w:rStyle w:val="FootnoteReference"/>
          <w:rFonts w:ascii="Times New Roman" w:hAnsi="Times New Roman" w:cs="Times New Roman"/>
          <w:noProof/>
          <w:szCs w:val="24"/>
        </w:rPr>
        <w:footnoteReference w:id="79"/>
      </w:r>
      <w:r w:rsidR="00036379" w:rsidRPr="002048C6">
        <w:rPr>
          <w:rFonts w:ascii="Times New Roman" w:hAnsi="Times New Roman" w:cs="Times New Roman"/>
          <w:noProof/>
          <w:sz w:val="24"/>
          <w:szCs w:val="24"/>
          <w:lang w:val="en-IE"/>
        </w:rPr>
        <w:t xml:space="preserve"> enabling a progressive start of operations of the EES, which allows Member States to start operating the system gradually.</w:t>
      </w:r>
    </w:p>
    <w:p w14:paraId="39A55C93" w14:textId="08FDF810" w:rsidR="00354183" w:rsidRPr="004C2B1F" w:rsidRDefault="00354183" w:rsidP="007454CE">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In addition, there are requirements in establishing Regulations of IT systems that the systems should be hosted by eu-LISA in its technical sites (e.g. </w:t>
      </w:r>
      <w:r w:rsidR="009D5108" w:rsidRPr="00DC0424">
        <w:rPr>
          <w:rFonts w:ascii="Times New Roman" w:eastAsia="Yu Gothic Light" w:hAnsi="Times New Roman" w:cs="Times New Roman"/>
          <w:noProof/>
          <w:kern w:val="28"/>
          <w:sz w:val="24"/>
          <w:szCs w:val="24"/>
          <w:lang w:val="en-IE" w:eastAsia="de-DE"/>
        </w:rPr>
        <w:t>Article</w:t>
      </w:r>
      <w:r w:rsidRPr="004C2B1F">
        <w:rPr>
          <w:rFonts w:ascii="Times New Roman" w:hAnsi="Times New Roman" w:cs="Times New Roman"/>
          <w:noProof/>
          <w:sz w:val="24"/>
          <w:szCs w:val="24"/>
          <w:lang w:val="en-IE"/>
        </w:rPr>
        <w:t xml:space="preserve"> 7.2 of the EES Regulation</w:t>
      </w:r>
      <w:r w:rsidRPr="00004DA6">
        <w:rPr>
          <w:rStyle w:val="FootnoteReference"/>
          <w:rFonts w:ascii="Times New Roman" w:hAnsi="Times New Roman" w:cs="Times New Roman"/>
          <w:noProof/>
          <w:sz w:val="24"/>
          <w:szCs w:val="24"/>
        </w:rPr>
        <w:footnoteReference w:id="80"/>
      </w:r>
      <w:r w:rsidRPr="004C2B1F">
        <w:rPr>
          <w:rFonts w:ascii="Times New Roman" w:hAnsi="Times New Roman" w:cs="Times New Roman"/>
          <w:noProof/>
          <w:sz w:val="24"/>
          <w:szCs w:val="24"/>
          <w:lang w:val="en-IE"/>
        </w:rPr>
        <w:t xml:space="preserve">; </w:t>
      </w:r>
      <w:r w:rsidR="009D5108" w:rsidRPr="00DC0424">
        <w:rPr>
          <w:rFonts w:ascii="Times New Roman" w:eastAsia="Yu Gothic Light" w:hAnsi="Times New Roman" w:cs="Times New Roman"/>
          <w:noProof/>
          <w:kern w:val="28"/>
          <w:sz w:val="24"/>
          <w:szCs w:val="24"/>
          <w:lang w:val="en-IE" w:eastAsia="de-DE"/>
        </w:rPr>
        <w:t>Article</w:t>
      </w:r>
      <w:r w:rsidRPr="004C2B1F">
        <w:rPr>
          <w:rFonts w:ascii="Times New Roman" w:hAnsi="Times New Roman" w:cs="Times New Roman"/>
          <w:noProof/>
          <w:sz w:val="24"/>
          <w:szCs w:val="24"/>
          <w:lang w:val="en-IE"/>
        </w:rPr>
        <w:t xml:space="preserve"> 8 of the amending Regulation</w:t>
      </w:r>
      <w:r w:rsidRPr="00004DA6">
        <w:rPr>
          <w:rStyle w:val="FootnoteReference"/>
          <w:rFonts w:ascii="Times New Roman" w:hAnsi="Times New Roman" w:cs="Times New Roman"/>
          <w:noProof/>
          <w:sz w:val="24"/>
          <w:szCs w:val="24"/>
        </w:rPr>
        <w:footnoteReference w:id="81"/>
      </w:r>
      <w:r w:rsidRPr="004C2B1F">
        <w:rPr>
          <w:rFonts w:ascii="Times New Roman" w:hAnsi="Times New Roman" w:cs="Times New Roman"/>
          <w:noProof/>
          <w:sz w:val="24"/>
          <w:szCs w:val="24"/>
          <w:lang w:val="en-IE"/>
        </w:rPr>
        <w:t>). As a consequence, eu-LISA could not consider the use of cloud services, which could be more cost efficient and would save server capacity in eu-LISA’s technical site</w:t>
      </w:r>
      <w:r w:rsidR="00DE659A" w:rsidRPr="004C2B1F">
        <w:rPr>
          <w:rFonts w:ascii="Times New Roman" w:hAnsi="Times New Roman" w:cs="Times New Roman"/>
          <w:noProof/>
          <w:sz w:val="24"/>
          <w:szCs w:val="24"/>
          <w:lang w:val="en-IE"/>
        </w:rPr>
        <w:t>, decreasing pressure on eu-LISA’s data centres</w:t>
      </w:r>
      <w:r w:rsidRPr="004C2B1F">
        <w:rPr>
          <w:rFonts w:ascii="Times New Roman" w:hAnsi="Times New Roman" w:cs="Times New Roman"/>
          <w:noProof/>
          <w:sz w:val="24"/>
          <w:szCs w:val="24"/>
          <w:lang w:val="en-IE"/>
        </w:rPr>
        <w:t xml:space="preserve">. </w:t>
      </w:r>
    </w:p>
    <w:p w14:paraId="17DD5184" w14:textId="0851E989" w:rsidR="00354183" w:rsidRPr="002048C6" w:rsidRDefault="00354183" w:rsidP="007454CE">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With regard to specific unexpected challenges, the evaluation found tha</w:t>
      </w:r>
      <w:r w:rsidR="00256EB4" w:rsidRPr="002048C6">
        <w:rPr>
          <w:rFonts w:ascii="Times New Roman" w:hAnsi="Times New Roman" w:cs="Times New Roman"/>
          <w:noProof/>
          <w:sz w:val="24"/>
          <w:szCs w:val="24"/>
          <w:lang w:val="en-IE"/>
        </w:rPr>
        <w:t>t</w:t>
      </w:r>
      <w:r w:rsidRPr="002048C6">
        <w:rPr>
          <w:rFonts w:ascii="Times New Roman" w:hAnsi="Times New Roman" w:cs="Times New Roman"/>
          <w:noProof/>
          <w:sz w:val="24"/>
          <w:szCs w:val="24"/>
          <w:lang w:val="en-IE"/>
        </w:rPr>
        <w:t xml:space="preserve"> the Agency’s (in-) ability to directly and effectively respond to the Ukraine refugee crisis within the range of its core expertise – IT development – is in large part due to the limited flexibility of its mandate: </w:t>
      </w:r>
      <w:r w:rsidRPr="002048C6">
        <w:rPr>
          <w:rFonts w:ascii="Times New Roman" w:hAnsi="Times New Roman" w:cs="Times New Roman"/>
          <w:noProof/>
          <w:color w:val="000000" w:themeColor="text1"/>
          <w:sz w:val="24"/>
          <w:szCs w:val="24"/>
          <w:lang w:val="en-IE"/>
        </w:rPr>
        <w:t xml:space="preserve">1) In a time of crisis, eu-LISA’s mandate was not flexible enough to support within the range of its core expertise; and 2) the processes governing potentially amending eu-LISA’s mandate are not </w:t>
      </w:r>
      <w:r w:rsidRPr="002048C6">
        <w:rPr>
          <w:rFonts w:ascii="Times New Roman" w:hAnsi="Times New Roman" w:cs="Times New Roman"/>
          <w:noProof/>
          <w:sz w:val="24"/>
          <w:szCs w:val="24"/>
          <w:lang w:val="en-IE"/>
        </w:rPr>
        <w:t>swift</w:t>
      </w:r>
      <w:r w:rsidRPr="002048C6">
        <w:rPr>
          <w:rFonts w:ascii="Times New Roman" w:hAnsi="Times New Roman" w:cs="Times New Roman"/>
          <w:noProof/>
          <w:color w:val="000000" w:themeColor="text1"/>
          <w:sz w:val="24"/>
          <w:szCs w:val="24"/>
          <w:lang w:val="en-IE"/>
        </w:rPr>
        <w:t xml:space="preserve"> enough in order to enable the Agency to provide operational support. As a result, despite eu-LISA being </w:t>
      </w:r>
      <w:r w:rsidRPr="002048C6">
        <w:rPr>
          <w:rFonts w:ascii="Times New Roman" w:hAnsi="Times New Roman" w:cs="Times New Roman"/>
          <w:i/>
          <w:noProof/>
          <w:color w:val="000000" w:themeColor="text1"/>
          <w:sz w:val="24"/>
          <w:szCs w:val="24"/>
          <w:lang w:val="en-IE"/>
        </w:rPr>
        <w:t>the</w:t>
      </w:r>
      <w:r w:rsidRPr="002048C6">
        <w:rPr>
          <w:rFonts w:ascii="Times New Roman" w:hAnsi="Times New Roman" w:cs="Times New Roman"/>
          <w:noProof/>
          <w:color w:val="000000" w:themeColor="text1"/>
          <w:sz w:val="24"/>
          <w:szCs w:val="24"/>
          <w:lang w:val="en-IE"/>
        </w:rPr>
        <w:t xml:space="preserve"> IT agency of the EU, it was not able to effectively respond to one of the most challenging crises and security threats in recent history.</w:t>
      </w:r>
    </w:p>
    <w:p w14:paraId="208CEDD3" w14:textId="63EE2074" w:rsidR="00354183" w:rsidRPr="004E2424" w:rsidRDefault="00354183" w:rsidP="004E2424">
      <w:pPr>
        <w:pStyle w:val="Heading4"/>
        <w:spacing w:after="120"/>
        <w:rPr>
          <w:rFonts w:ascii="Times New Roman" w:hAnsi="Times New Roman" w:cs="Times New Roman"/>
          <w:b/>
          <w:bCs/>
          <w:noProof/>
          <w:color w:val="auto"/>
          <w:sz w:val="24"/>
          <w:szCs w:val="24"/>
          <w:lang w:val="en-GB"/>
        </w:rPr>
      </w:pPr>
      <w:r w:rsidRPr="004E2424">
        <w:rPr>
          <w:rFonts w:ascii="Times New Roman" w:hAnsi="Times New Roman" w:cs="Times New Roman"/>
          <w:b/>
          <w:bCs/>
          <w:noProof/>
          <w:color w:val="auto"/>
          <w:sz w:val="24"/>
          <w:szCs w:val="24"/>
          <w:lang w:val="en-GB"/>
        </w:rPr>
        <w:t>To what extent has the Agency been able to undertake additional tasks established in legal acts adopted after the entry into force of eu-LISA Regulation? To what extent does the Agency’s mandate enable eu-LISA to undertake new responsibilities?</w:t>
      </w:r>
    </w:p>
    <w:p w14:paraId="598C8C52" w14:textId="16D60030" w:rsidR="00354183" w:rsidRPr="004C2B1F" w:rsidRDefault="00354183" w:rsidP="007454CE">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 xml:space="preserve">As regards additional tasks eu-LISA established outside of the 2018 eu-LISA Regulation, the major block of additional tasks was delegated to eu-LISA by the establishment of new large-scale IT system Regulations, in particular for ECRIS-TCN (in 2019), the new e-CODEX Regulation (in 2022) and the adoption of the JITs CP Regulation (in 2023). Within these Regulations, eu-LISA was transferred the responsibility for the development and operational management of the systems, as well as related tasks (such as e.g. ensuring data security, training on use, providing support services, etc.). </w:t>
      </w:r>
      <w:r w:rsidR="0015665E" w:rsidRPr="004C2B1F">
        <w:rPr>
          <w:rFonts w:ascii="Times New Roman" w:hAnsi="Times New Roman" w:cs="Times New Roman"/>
          <w:noProof/>
          <w:sz w:val="24"/>
          <w:szCs w:val="24"/>
          <w:lang w:val="en-IE"/>
        </w:rPr>
        <w:t>The situation with the</w:t>
      </w:r>
      <w:r w:rsidRPr="004C2B1F">
        <w:rPr>
          <w:rFonts w:ascii="Times New Roman" w:hAnsi="Times New Roman" w:cs="Times New Roman"/>
          <w:noProof/>
          <w:sz w:val="24"/>
          <w:szCs w:val="24"/>
          <w:lang w:val="en-IE"/>
        </w:rPr>
        <w:t xml:space="preserve"> e-CODEX Regulation</w:t>
      </w:r>
      <w:r w:rsidR="0015665E" w:rsidRPr="004C2B1F">
        <w:rPr>
          <w:rFonts w:ascii="Times New Roman" w:hAnsi="Times New Roman" w:cs="Times New Roman"/>
          <w:noProof/>
          <w:sz w:val="24"/>
          <w:szCs w:val="24"/>
          <w:lang w:val="en-IE"/>
        </w:rPr>
        <w:t xml:space="preserve"> was different</w:t>
      </w:r>
      <w:r w:rsidRPr="004C2B1F">
        <w:rPr>
          <w:rFonts w:ascii="Times New Roman" w:hAnsi="Times New Roman" w:cs="Times New Roman"/>
          <w:noProof/>
          <w:sz w:val="24"/>
          <w:szCs w:val="24"/>
          <w:lang w:val="en-IE"/>
        </w:rPr>
        <w:t>,</w:t>
      </w:r>
      <w:r w:rsidR="0015665E" w:rsidRPr="004C2B1F">
        <w:rPr>
          <w:rFonts w:ascii="Times New Roman" w:hAnsi="Times New Roman" w:cs="Times New Roman"/>
          <w:noProof/>
          <w:sz w:val="24"/>
          <w:szCs w:val="24"/>
          <w:lang w:val="en-IE"/>
        </w:rPr>
        <w:t xml:space="preserve"> as it</w:t>
      </w:r>
      <w:r w:rsidRPr="004C2B1F">
        <w:rPr>
          <w:rFonts w:ascii="Times New Roman" w:hAnsi="Times New Roman" w:cs="Times New Roman"/>
          <w:noProof/>
          <w:sz w:val="24"/>
          <w:szCs w:val="24"/>
          <w:lang w:val="en-IE"/>
        </w:rPr>
        <w:t xml:space="preserve"> was an already established and operable system, managed by a consortium of </w:t>
      </w:r>
      <w:r w:rsidRPr="004C2B1F">
        <w:rPr>
          <w:rFonts w:ascii="Times New Roman" w:hAnsi="Times New Roman" w:cs="Times New Roman"/>
          <w:iCs/>
          <w:noProof/>
          <w:sz w:val="24"/>
          <w:szCs w:val="24"/>
          <w:lang w:val="en-IE"/>
        </w:rPr>
        <w:t>Member States</w:t>
      </w:r>
      <w:r w:rsidRPr="004C2B1F">
        <w:rPr>
          <w:rFonts w:ascii="Times New Roman" w:hAnsi="Times New Roman" w:cs="Times New Roman"/>
          <w:noProof/>
          <w:sz w:val="24"/>
          <w:szCs w:val="24"/>
          <w:lang w:val="en-IE"/>
        </w:rPr>
        <w:t xml:space="preserve"> and organisations</w:t>
      </w:r>
      <w:r w:rsidR="0033182B" w:rsidRPr="004C2B1F">
        <w:rPr>
          <w:rFonts w:ascii="Times New Roman" w:hAnsi="Times New Roman" w:cs="Times New Roman"/>
          <w:noProof/>
          <w:sz w:val="24"/>
          <w:szCs w:val="24"/>
          <w:lang w:val="en-IE"/>
        </w:rPr>
        <w:t>. During the evaluation period, the takeover by eu-LISA was completed. eu-LISA will continue to further develop the system, including through technical updates and the integration of new components.</w:t>
      </w:r>
    </w:p>
    <w:p w14:paraId="7FAC8F5A" w14:textId="52C6057A" w:rsidR="00354183" w:rsidRPr="002048C6" w:rsidRDefault="00354183" w:rsidP="007454CE">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 xml:space="preserve">In addition to the new systems’ Regulations, Regulation (EU) 2021/1134 on VIS and the Regulations on the </w:t>
      </w:r>
      <w:r w:rsidR="00E025F0" w:rsidRPr="002048C6">
        <w:rPr>
          <w:rFonts w:ascii="Times New Roman" w:hAnsi="Times New Roman" w:cs="Times New Roman"/>
          <w:noProof/>
          <w:sz w:val="24"/>
          <w:szCs w:val="24"/>
          <w:lang w:val="en-IE"/>
        </w:rPr>
        <w:t xml:space="preserve">renewed </w:t>
      </w:r>
      <w:r w:rsidRPr="002048C6">
        <w:rPr>
          <w:rFonts w:ascii="Times New Roman" w:hAnsi="Times New Roman" w:cs="Times New Roman"/>
          <w:noProof/>
          <w:sz w:val="24"/>
          <w:szCs w:val="24"/>
          <w:lang w:val="en-IE"/>
        </w:rPr>
        <w:t>SIS from November 2018</w:t>
      </w:r>
      <w:r w:rsidRPr="004E2424">
        <w:rPr>
          <w:rStyle w:val="FootnoteReference"/>
          <w:rFonts w:ascii="Times New Roman" w:hAnsi="Times New Roman" w:cs="Times New Roman"/>
          <w:noProof/>
          <w:sz w:val="24"/>
          <w:szCs w:val="24"/>
        </w:rPr>
        <w:footnoteReference w:id="82"/>
      </w:r>
      <w:r w:rsidRPr="002048C6">
        <w:rPr>
          <w:rFonts w:ascii="Times New Roman" w:hAnsi="Times New Roman" w:cs="Times New Roman"/>
          <w:noProof/>
          <w:sz w:val="24"/>
          <w:szCs w:val="24"/>
          <w:lang w:val="en-IE"/>
        </w:rPr>
        <w:t>, as well as the 2019 Interoperability Regulation (Regulation (EU) 2019/817)</w:t>
      </w:r>
      <w:r w:rsidR="00E025F0" w:rsidRPr="002048C6">
        <w:rPr>
          <w:rFonts w:ascii="Times New Roman" w:hAnsi="Times New Roman" w:cs="Times New Roman"/>
          <w:noProof/>
          <w:sz w:val="24"/>
          <w:szCs w:val="24"/>
          <w:lang w:val="en-IE"/>
        </w:rPr>
        <w:t>, adding new functionalities to existing systems,</w:t>
      </w:r>
      <w:r w:rsidRPr="002048C6">
        <w:rPr>
          <w:rFonts w:ascii="Times New Roman" w:hAnsi="Times New Roman" w:cs="Times New Roman"/>
          <w:noProof/>
          <w:sz w:val="24"/>
          <w:szCs w:val="24"/>
          <w:lang w:val="en-IE"/>
        </w:rPr>
        <w:t xml:space="preserve"> brought about significant changes in the form of additional tasks of the Agency. These tasks include in particular the preparation and development of the SIS’s and VIS’s new components and adding of additional access rights, as well as </w:t>
      </w:r>
      <w:r w:rsidR="00E04D24" w:rsidRPr="002048C6">
        <w:rPr>
          <w:rFonts w:ascii="Times New Roman" w:hAnsi="Times New Roman" w:cs="Times New Roman"/>
          <w:noProof/>
          <w:sz w:val="24"/>
          <w:szCs w:val="24"/>
          <w:lang w:val="en-IE"/>
        </w:rPr>
        <w:t xml:space="preserve">monitoring of </w:t>
      </w:r>
      <w:r w:rsidRPr="002048C6">
        <w:rPr>
          <w:rFonts w:ascii="Times New Roman" w:hAnsi="Times New Roman" w:cs="Times New Roman"/>
          <w:noProof/>
          <w:sz w:val="24"/>
          <w:szCs w:val="24"/>
          <w:lang w:val="en-IE"/>
        </w:rPr>
        <w:t>research and development efforts with regard to interoperability components such as the Common Identity Repository (CIR), Common Repository for Reporting and Statistics (CRRS), European Search Portal (ESP), Multiple Identity Detector (MID) and shared Biometric Matching Service (sBMS).</w:t>
      </w:r>
    </w:p>
    <w:p w14:paraId="1A047838" w14:textId="146379AD" w:rsidR="00354183" w:rsidRPr="002048C6" w:rsidRDefault="00BD575F" w:rsidP="007454CE">
      <w:pPr>
        <w:jc w:val="both"/>
        <w:rPr>
          <w:rFonts w:ascii="Times New Roman" w:hAnsi="Times New Roman" w:cs="Times New Roman"/>
          <w:noProof/>
          <w:sz w:val="24"/>
          <w:szCs w:val="24"/>
          <w:lang w:val="en-IE"/>
        </w:rPr>
      </w:pPr>
      <w:r w:rsidRPr="00004DA6">
        <w:rPr>
          <w:rFonts w:ascii="Times New Roman" w:hAnsi="Times New Roman" w:cs="Times New Roman"/>
          <w:noProof/>
          <w:sz w:val="24"/>
          <w:szCs w:val="24"/>
          <w:lang w:val="en-IE"/>
        </w:rPr>
        <w:t xml:space="preserve">The evaluation found that, overall, the Agency has been able to successfully take on and manage the growing number and variety of tasks assigned to it. </w:t>
      </w:r>
      <w:r w:rsidR="00354183" w:rsidRPr="002048C6">
        <w:rPr>
          <w:rFonts w:ascii="Times New Roman" w:hAnsi="Times New Roman" w:cs="Times New Roman"/>
          <w:noProof/>
          <w:sz w:val="24"/>
          <w:szCs w:val="24"/>
          <w:lang w:val="en-IE"/>
        </w:rPr>
        <w:t>The Agency has established additional governance bodies (such as AGs and PMBs) concerned with preparing and working out specifications of the new systems and has slowly and steadily progressed towards the implementation of the systems and of the interoperability components, for which a separate AG has been established. As for other IT systems, external contractors have been included, ensuring that all necessary technical skills are represented to implement the tasks. In particular, the evaluation found that the work in the governance bodies, eu-LISA’s professional and well-developed technical environment, as well as the Agency’s secure environment were major assets of the Agency.</w:t>
      </w:r>
    </w:p>
    <w:p w14:paraId="05A7B4BE" w14:textId="72669EC1" w:rsidR="00F77E62" w:rsidRPr="002048C6" w:rsidRDefault="00354183" w:rsidP="007454CE">
      <w:pPr>
        <w:jc w:val="both"/>
        <w:rPr>
          <w:rFonts w:ascii="Times New Roman" w:hAnsi="Times New Roman" w:cs="Times New Roman"/>
          <w:noProof/>
          <w:sz w:val="24"/>
          <w:szCs w:val="24"/>
          <w:lang w:val="en-IE"/>
        </w:rPr>
      </w:pPr>
      <w:r w:rsidRPr="002048C6">
        <w:rPr>
          <w:rFonts w:ascii="Times New Roman" w:hAnsi="Times New Roman" w:cs="Times New Roman"/>
          <w:noProof/>
          <w:sz w:val="24"/>
          <w:szCs w:val="24"/>
          <w:lang w:val="en-IE"/>
        </w:rPr>
        <w:t>However,</w:t>
      </w:r>
      <w:r w:rsidR="00F77E62" w:rsidRPr="002048C6">
        <w:rPr>
          <w:rFonts w:ascii="Times New Roman" w:hAnsi="Times New Roman" w:cs="Times New Roman"/>
          <w:noProof/>
          <w:sz w:val="24"/>
          <w:szCs w:val="24"/>
          <w:lang w:val="en-IE"/>
        </w:rPr>
        <w:t xml:space="preserve"> compared to the work on already operational systems, the evaluation found that the Agency</w:t>
      </w:r>
      <w:r w:rsidR="00AE5A1B" w:rsidRPr="002048C6">
        <w:rPr>
          <w:rFonts w:ascii="Times New Roman" w:hAnsi="Times New Roman" w:cs="Times New Roman"/>
          <w:noProof/>
          <w:sz w:val="24"/>
          <w:szCs w:val="24"/>
          <w:lang w:val="en-IE"/>
        </w:rPr>
        <w:t xml:space="preserve"> need stronger management of external contractors, better planning and project management, as well as more comprehensive project and technical documentation in order to carry out these tasks successfully. </w:t>
      </w:r>
    </w:p>
    <w:p w14:paraId="5D6B261B" w14:textId="746B7F22" w:rsidR="00354183" w:rsidRPr="002048C6" w:rsidRDefault="00354183" w:rsidP="007454CE">
      <w:pPr>
        <w:jc w:val="both"/>
        <w:rPr>
          <w:rFonts w:ascii="Times New Roman" w:hAnsi="Times New Roman" w:cs="Times New Roman"/>
          <w:noProof/>
          <w:sz w:val="24"/>
          <w:szCs w:val="24"/>
          <w:lang w:val="en-IE"/>
        </w:rPr>
      </w:pPr>
      <w:r w:rsidRPr="004C2B1F">
        <w:rPr>
          <w:rFonts w:ascii="Times New Roman" w:hAnsi="Times New Roman" w:cs="Times New Roman"/>
          <w:noProof/>
          <w:sz w:val="24"/>
          <w:szCs w:val="24"/>
          <w:lang w:val="en-IE"/>
        </w:rPr>
        <w:t>However, challenges in relation to new tasks d</w:t>
      </w:r>
      <w:r w:rsidR="00100034" w:rsidRPr="004C2B1F">
        <w:rPr>
          <w:rFonts w:ascii="Times New Roman" w:hAnsi="Times New Roman" w:cs="Times New Roman"/>
          <w:noProof/>
          <w:sz w:val="24"/>
          <w:szCs w:val="24"/>
          <w:lang w:val="en-IE"/>
        </w:rPr>
        <w:t>id</w:t>
      </w:r>
      <w:r w:rsidRPr="004C2B1F">
        <w:rPr>
          <w:rFonts w:ascii="Times New Roman" w:hAnsi="Times New Roman" w:cs="Times New Roman"/>
          <w:noProof/>
          <w:sz w:val="24"/>
          <w:szCs w:val="24"/>
          <w:lang w:val="en-IE"/>
        </w:rPr>
        <w:t xml:space="preserve"> not only stem from eu-LISA Regulation itself: although it may be possible undertake new responsibilities from a legal perspective,</w:t>
      </w:r>
      <w:r w:rsidR="00A629EF" w:rsidRPr="004C2B1F">
        <w:rPr>
          <w:rFonts w:ascii="Times New Roman" w:hAnsi="Times New Roman" w:cs="Times New Roman"/>
          <w:noProof/>
          <w:sz w:val="24"/>
          <w:szCs w:val="24"/>
          <w:lang w:val="en-IE"/>
        </w:rPr>
        <w:t xml:space="preserve"> the evaluation found that</w:t>
      </w:r>
      <w:r w:rsidRPr="004C2B1F">
        <w:rPr>
          <w:rFonts w:ascii="Times New Roman" w:hAnsi="Times New Roman" w:cs="Times New Roman"/>
          <w:noProof/>
          <w:sz w:val="24"/>
          <w:szCs w:val="24"/>
          <w:lang w:val="en-IE"/>
        </w:rPr>
        <w:t xml:space="preserve"> the extent to which this is possible also depends on the practical constraints of the Agency concerning its operation (budget, positions, prioritisation of tasks, available technology, timeframe etc.).</w:t>
      </w:r>
      <w:r w:rsidR="00100034" w:rsidRPr="004C2B1F">
        <w:rPr>
          <w:rFonts w:ascii="Times New Roman" w:hAnsi="Times New Roman" w:cs="Times New Roman"/>
          <w:noProof/>
          <w:sz w:val="24"/>
          <w:szCs w:val="24"/>
          <w:lang w:val="en-IE"/>
        </w:rPr>
        <w:t xml:space="preserve"> </w:t>
      </w:r>
      <w:r w:rsidRPr="002048C6">
        <w:rPr>
          <w:rFonts w:ascii="Times New Roman" w:hAnsi="Times New Roman" w:cs="Times New Roman"/>
          <w:noProof/>
          <w:sz w:val="24"/>
          <w:szCs w:val="24"/>
          <w:lang w:val="en-IE"/>
        </w:rPr>
        <w:t>Hence, undertaking new responsibilities successfully is a matter of aligning legislation and its practical implementation.</w:t>
      </w:r>
    </w:p>
    <w:p w14:paraId="72A1D2E4" w14:textId="77777777" w:rsidR="00354183" w:rsidRPr="00004DA6" w:rsidRDefault="00354183" w:rsidP="004E2424">
      <w:pPr>
        <w:pStyle w:val="Heading4"/>
        <w:spacing w:after="120"/>
        <w:rPr>
          <w:rFonts w:ascii="Times New Roman" w:hAnsi="Times New Roman" w:cs="Times New Roman"/>
          <w:b/>
          <w:noProof/>
          <w:color w:val="auto"/>
          <w:sz w:val="24"/>
          <w:szCs w:val="24"/>
          <w:lang w:val="en-IE"/>
        </w:rPr>
      </w:pPr>
      <w:r w:rsidRPr="004E2424">
        <w:rPr>
          <w:rFonts w:ascii="Times New Roman" w:hAnsi="Times New Roman" w:cs="Times New Roman"/>
          <w:b/>
          <w:bCs/>
          <w:noProof/>
          <w:color w:val="auto"/>
          <w:sz w:val="24"/>
          <w:szCs w:val="24"/>
          <w:lang w:val="en-GB"/>
        </w:rPr>
        <w:t xml:space="preserve">To what extent would the Agency be capable to play a role in the governance of the </w:t>
      </w:r>
      <w:r w:rsidRPr="00004DA6">
        <w:rPr>
          <w:rFonts w:ascii="Times New Roman" w:hAnsi="Times New Roman" w:cs="Times New Roman"/>
          <w:b/>
          <w:noProof/>
          <w:color w:val="auto"/>
          <w:sz w:val="24"/>
          <w:szCs w:val="24"/>
          <w:lang w:val="en-IE"/>
        </w:rPr>
        <w:t>systems from a business perspective?</w:t>
      </w:r>
    </w:p>
    <w:p w14:paraId="113B5BC8" w14:textId="34C49338" w:rsidR="00757DCC" w:rsidRDefault="00757DCC" w:rsidP="007454CE">
      <w:pPr>
        <w:jc w:val="both"/>
        <w:rPr>
          <w:rFonts w:ascii="Times New Roman" w:hAnsi="Times New Roman" w:cs="Times New Roman"/>
          <w:noProof/>
          <w:sz w:val="24"/>
          <w:szCs w:val="24"/>
          <w:lang w:val="en-IE"/>
        </w:rPr>
      </w:pPr>
      <w:r w:rsidRPr="00004DA6">
        <w:rPr>
          <w:rFonts w:ascii="Times New Roman" w:hAnsi="Times New Roman" w:cs="Times New Roman"/>
          <w:noProof/>
          <w:sz w:val="24"/>
          <w:szCs w:val="24"/>
          <w:lang w:val="en-IE"/>
        </w:rPr>
        <w:t xml:space="preserve">The expansion of the Agency’s mandate, together with the increasing scope and complexity of its tasks, has required eu-LISA to gradually evolve from a service provider into an </w:t>
      </w:r>
      <w:r w:rsidRPr="004C2B1F">
        <w:rPr>
          <w:rFonts w:ascii="Times New Roman" w:hAnsi="Times New Roman" w:cs="Times New Roman"/>
          <w:noProof/>
          <w:sz w:val="24"/>
          <w:szCs w:val="24"/>
          <w:lang w:val="en-IE"/>
        </w:rPr>
        <w:t>organisation</w:t>
      </w:r>
      <w:r w:rsidRPr="00004DA6">
        <w:rPr>
          <w:rFonts w:ascii="Times New Roman" w:hAnsi="Times New Roman" w:cs="Times New Roman"/>
          <w:noProof/>
          <w:sz w:val="24"/>
          <w:szCs w:val="24"/>
          <w:lang w:val="en-IE"/>
        </w:rPr>
        <w:t xml:space="preserve"> that addresses the broader business dimensions of large-scale IT systems, including their development, implementation, and management in the area of freedom, security and justice.</w:t>
      </w:r>
    </w:p>
    <w:p w14:paraId="145137E4" w14:textId="082191B6" w:rsidR="005A241C" w:rsidRDefault="005A241C" w:rsidP="007454CE">
      <w:pPr>
        <w:jc w:val="both"/>
        <w:rPr>
          <w:rFonts w:ascii="Times New Roman" w:hAnsi="Times New Roman" w:cs="Times New Roman"/>
          <w:noProof/>
          <w:sz w:val="24"/>
          <w:szCs w:val="24"/>
          <w:lang w:val="en-IE"/>
        </w:rPr>
      </w:pPr>
      <w:r w:rsidRPr="00004DA6">
        <w:rPr>
          <w:rFonts w:ascii="Times New Roman" w:hAnsi="Times New Roman" w:cs="Times New Roman"/>
          <w:noProof/>
          <w:sz w:val="24"/>
          <w:szCs w:val="24"/>
          <w:lang w:val="en-IE"/>
        </w:rPr>
        <w:t xml:space="preserve">The evaluation found that under the current governance structure, the conduct of business analysis could benefit from further strengthening. Business analysis encompasses both the software development perspective of IT systems and the practical implementation of new systems at </w:t>
      </w:r>
      <w:r w:rsidRPr="004C2B1F">
        <w:rPr>
          <w:rFonts w:ascii="Times New Roman" w:hAnsi="Times New Roman" w:cs="Times New Roman"/>
          <w:noProof/>
          <w:sz w:val="24"/>
          <w:szCs w:val="24"/>
          <w:lang w:val="en-IE"/>
        </w:rPr>
        <w:t>national</w:t>
      </w:r>
      <w:r w:rsidRPr="00004DA6">
        <w:rPr>
          <w:rFonts w:ascii="Times New Roman" w:hAnsi="Times New Roman" w:cs="Times New Roman"/>
          <w:noProof/>
          <w:sz w:val="24"/>
          <w:szCs w:val="24"/>
          <w:lang w:val="en-IE"/>
        </w:rPr>
        <w:t xml:space="preserve"> level, taking into account the diverse conditions and capabilities across Member States. At present, the Management Board’s responsibilities do not extend to certain business-related issues – such as staffing and financial resources linked to system development, monitoring, or workflow management – which suggests that additional consideration in this area could be beneficial.</w:t>
      </w:r>
    </w:p>
    <w:p w14:paraId="40B0133A" w14:textId="77777777" w:rsidR="0026784E" w:rsidRPr="0026784E" w:rsidRDefault="0026784E" w:rsidP="007454CE">
      <w:pPr>
        <w:jc w:val="both"/>
        <w:rPr>
          <w:rFonts w:ascii="Times New Roman" w:hAnsi="Times New Roman" w:cs="Times New Roman"/>
          <w:noProof/>
          <w:sz w:val="24"/>
          <w:szCs w:val="24"/>
          <w:lang w:val="en-IE"/>
        </w:rPr>
      </w:pPr>
      <w:r w:rsidRPr="0026784E">
        <w:rPr>
          <w:rFonts w:ascii="Times New Roman" w:hAnsi="Times New Roman" w:cs="Times New Roman"/>
          <w:noProof/>
          <w:sz w:val="24"/>
          <w:szCs w:val="24"/>
          <w:lang w:val="en-IE"/>
        </w:rPr>
        <w:t xml:space="preserve">In addition, the evaluation noted that the limited scope of business analysis also affects the monitoring of tasks performed by external contractors. Given the Agency’s significant reliance on contractors, it is important for eu-LISA to maintain strong oversight of the delivery of their work. </w:t>
      </w:r>
      <w:r w:rsidRPr="002048C6">
        <w:rPr>
          <w:rFonts w:ascii="Times New Roman" w:hAnsi="Times New Roman" w:cs="Times New Roman"/>
          <w:noProof/>
          <w:sz w:val="24"/>
          <w:szCs w:val="24"/>
          <w:lang w:val="en-IE"/>
        </w:rPr>
        <w:t>While</w:t>
      </w:r>
      <w:r w:rsidRPr="0026784E">
        <w:rPr>
          <w:rFonts w:ascii="Times New Roman" w:hAnsi="Times New Roman" w:cs="Times New Roman"/>
          <w:noProof/>
          <w:sz w:val="24"/>
          <w:szCs w:val="24"/>
          <w:lang w:val="en-IE"/>
        </w:rPr>
        <w:t xml:space="preserve"> contractors carry out essential functions, their participation in the meetings of governance bodies has so far been limited, which may reduce opportunities for alignment and information exchange.</w:t>
      </w:r>
    </w:p>
    <w:p w14:paraId="3DDE76EE" w14:textId="77777777" w:rsidR="0026784E" w:rsidRPr="0026784E" w:rsidRDefault="0026784E" w:rsidP="007454CE">
      <w:pPr>
        <w:jc w:val="both"/>
        <w:rPr>
          <w:rFonts w:ascii="Times New Roman" w:hAnsi="Times New Roman" w:cs="Times New Roman"/>
          <w:noProof/>
          <w:sz w:val="24"/>
          <w:szCs w:val="24"/>
          <w:lang w:val="en-IE"/>
        </w:rPr>
      </w:pPr>
      <w:r w:rsidRPr="0026784E">
        <w:rPr>
          <w:rFonts w:ascii="Times New Roman" w:hAnsi="Times New Roman" w:cs="Times New Roman"/>
          <w:noProof/>
          <w:sz w:val="24"/>
          <w:szCs w:val="24"/>
          <w:lang w:val="en-IE"/>
        </w:rPr>
        <w:t>Overall, the evaluation suggests that, in light of the Agency’s expanded mandate, further reflection on business-related aspects of development projects would be valuable. A stronger business-oriented approach could help ensure that governance structures are fully aligned with the Agency’s evolving objectives and scope, thereby reinforcing control over operations and development processes.</w:t>
      </w:r>
    </w:p>
    <w:p w14:paraId="32BBBA35" w14:textId="066C577A" w:rsidR="00354183" w:rsidRPr="004E2424" w:rsidRDefault="00354183" w:rsidP="004E2424">
      <w:pPr>
        <w:pStyle w:val="Heading4"/>
        <w:spacing w:after="120"/>
        <w:rPr>
          <w:rFonts w:ascii="Times New Roman" w:hAnsi="Times New Roman" w:cs="Times New Roman"/>
          <w:b/>
          <w:bCs/>
          <w:noProof/>
          <w:color w:val="auto"/>
          <w:sz w:val="24"/>
          <w:szCs w:val="24"/>
          <w:lang w:val="en-GB"/>
        </w:rPr>
      </w:pPr>
      <w:r w:rsidRPr="004E2424">
        <w:rPr>
          <w:rFonts w:ascii="Times New Roman" w:hAnsi="Times New Roman" w:cs="Times New Roman"/>
          <w:b/>
          <w:bCs/>
          <w:noProof/>
          <w:color w:val="auto"/>
          <w:sz w:val="24"/>
          <w:szCs w:val="24"/>
          <w:lang w:val="en-GB"/>
        </w:rPr>
        <w:t>Is the current mandate and organisation of the Agency correctly reflecting the need to respect the principle of independence of the judiciary?</w:t>
      </w:r>
    </w:p>
    <w:p w14:paraId="5DFC85CA" w14:textId="77777777" w:rsidR="00354183" w:rsidRPr="004C2B1F" w:rsidRDefault="00354183" w:rsidP="007454CE">
      <w:pPr>
        <w:jc w:val="both"/>
        <w:rPr>
          <w:rFonts w:ascii="Times New Roman" w:hAnsi="Times New Roman" w:cs="Times New Roman"/>
          <w:noProof/>
          <w:sz w:val="24"/>
          <w:szCs w:val="24"/>
          <w:lang w:val="en-IE" w:eastAsia="de-DE"/>
        </w:rPr>
      </w:pPr>
      <w:r w:rsidRPr="004C2B1F">
        <w:rPr>
          <w:rFonts w:ascii="Times New Roman" w:hAnsi="Times New Roman" w:cs="Times New Roman"/>
          <w:noProof/>
          <w:sz w:val="24"/>
          <w:szCs w:val="24"/>
          <w:lang w:val="en-IE" w:eastAsia="de-DE"/>
        </w:rPr>
        <w:t xml:space="preserve">eu-LISA Regulation states </w:t>
      </w:r>
      <w:r w:rsidRPr="007454CE">
        <w:rPr>
          <w:rFonts w:ascii="Times New Roman" w:hAnsi="Times New Roman" w:cs="Times New Roman"/>
          <w:noProof/>
          <w:sz w:val="24"/>
          <w:szCs w:val="24"/>
          <w:lang w:val="en-IE"/>
        </w:rPr>
        <w:t>in</w:t>
      </w:r>
      <w:r w:rsidRPr="004C2B1F">
        <w:rPr>
          <w:rFonts w:ascii="Times New Roman" w:hAnsi="Times New Roman" w:cs="Times New Roman"/>
          <w:noProof/>
          <w:sz w:val="24"/>
          <w:szCs w:val="24"/>
          <w:lang w:val="en-IE" w:eastAsia="de-DE"/>
        </w:rPr>
        <w:t xml:space="preserve"> its Article 19 that the Management Board shall “</w:t>
      </w:r>
      <w:r w:rsidRPr="004C2B1F">
        <w:rPr>
          <w:rFonts w:ascii="Times New Roman" w:hAnsi="Times New Roman" w:cs="Times New Roman"/>
          <w:i/>
          <w:iCs/>
          <w:noProof/>
          <w:sz w:val="24"/>
          <w:szCs w:val="24"/>
          <w:lang w:val="en-IE" w:eastAsia="de-DE"/>
        </w:rPr>
        <w:t>ensure that all decisions and actions of the Agency affecting large-scale IT systems in the area of freedom, security and justice respect to the principle of independence of the judiciary</w:t>
      </w:r>
      <w:r w:rsidRPr="004C2B1F">
        <w:rPr>
          <w:rFonts w:ascii="Times New Roman" w:hAnsi="Times New Roman" w:cs="Times New Roman"/>
          <w:noProof/>
          <w:sz w:val="24"/>
          <w:szCs w:val="24"/>
          <w:lang w:val="en-IE" w:eastAsia="de-DE"/>
        </w:rPr>
        <w:t>”.</w:t>
      </w:r>
      <w:r w:rsidRPr="3956CA19">
        <w:rPr>
          <w:rStyle w:val="FootnoteReference"/>
          <w:rFonts w:ascii="Times New Roman" w:hAnsi="Times New Roman" w:cs="Times New Roman"/>
          <w:noProof/>
          <w:sz w:val="24"/>
          <w:szCs w:val="24"/>
          <w:lang w:val="en-GB"/>
        </w:rPr>
        <w:footnoteReference w:id="83"/>
      </w:r>
      <w:r w:rsidRPr="004C2B1F">
        <w:rPr>
          <w:rFonts w:ascii="Times New Roman" w:hAnsi="Times New Roman" w:cs="Times New Roman"/>
          <w:noProof/>
          <w:sz w:val="24"/>
          <w:szCs w:val="24"/>
          <w:lang w:val="en-IE" w:eastAsia="de-DE"/>
        </w:rPr>
        <w:t xml:space="preserve"> </w:t>
      </w:r>
    </w:p>
    <w:p w14:paraId="63EED222" w14:textId="1B42799A" w:rsidR="00397DBA" w:rsidRPr="00004DA6" w:rsidRDefault="00354183" w:rsidP="007454CE">
      <w:pPr>
        <w:jc w:val="both"/>
        <w:rPr>
          <w:rFonts w:ascii="Times New Roman" w:hAnsi="Times New Roman" w:cs="Times New Roman"/>
          <w:noProof/>
          <w:sz w:val="24"/>
          <w:szCs w:val="24"/>
          <w:lang w:val="en-IE" w:eastAsia="de-DE"/>
        </w:rPr>
      </w:pPr>
      <w:r w:rsidRPr="00004DA6">
        <w:rPr>
          <w:rFonts w:ascii="Times New Roman" w:hAnsi="Times New Roman" w:cs="Times New Roman"/>
          <w:noProof/>
          <w:sz w:val="24"/>
          <w:szCs w:val="24"/>
          <w:lang w:val="en-IE" w:eastAsia="de-DE"/>
        </w:rPr>
        <w:t xml:space="preserve">The evaluation analysed instances related to eu-LISA’s work where this principle could be at risk or was </w:t>
      </w:r>
      <w:r w:rsidRPr="00004DA6">
        <w:rPr>
          <w:rFonts w:ascii="Times New Roman" w:hAnsi="Times New Roman" w:cs="Times New Roman"/>
          <w:noProof/>
          <w:sz w:val="24"/>
          <w:szCs w:val="24"/>
          <w:lang w:val="en-IE"/>
        </w:rPr>
        <w:t>compromised</w:t>
      </w:r>
      <w:r w:rsidRPr="00004DA6">
        <w:rPr>
          <w:rFonts w:ascii="Times New Roman" w:hAnsi="Times New Roman" w:cs="Times New Roman"/>
          <w:noProof/>
          <w:sz w:val="24"/>
          <w:szCs w:val="24"/>
          <w:lang w:val="en-IE" w:eastAsia="de-DE"/>
        </w:rPr>
        <w:t xml:space="preserve"> and found that eu-LISA has complied this principle. The organisational setup of the Agency favours this principle of independence: the Agency's current structure, encompassing both management and governance as well as operational functions, ensures the judiciary's independence is upheld from a broad perspective as the Agency deals with the technical architecture and infrastructure of large-scale IT systems and does not interfere with transmitted data within the systems. </w:t>
      </w:r>
      <w:r w:rsidR="00AF7454" w:rsidRPr="00004DA6">
        <w:rPr>
          <w:rFonts w:ascii="Times New Roman" w:hAnsi="Times New Roman" w:cs="Times New Roman"/>
          <w:noProof/>
          <w:sz w:val="24"/>
          <w:szCs w:val="24"/>
          <w:lang w:val="en-IE" w:eastAsia="de-DE"/>
        </w:rPr>
        <w:t xml:space="preserve">In line with this principle, eu-LISA’s staff </w:t>
      </w:r>
      <w:r w:rsidR="00AF7454" w:rsidRPr="00004DA6">
        <w:rPr>
          <w:rFonts w:ascii="Times New Roman" w:hAnsi="Times New Roman" w:cs="Times New Roman"/>
          <w:noProof/>
          <w:sz w:val="24"/>
          <w:szCs w:val="24"/>
          <w:lang w:val="en-IE"/>
        </w:rPr>
        <w:t>does</w:t>
      </w:r>
      <w:r w:rsidR="00AF7454" w:rsidRPr="00004DA6">
        <w:rPr>
          <w:rFonts w:ascii="Times New Roman" w:hAnsi="Times New Roman" w:cs="Times New Roman"/>
          <w:noProof/>
          <w:sz w:val="24"/>
          <w:szCs w:val="24"/>
          <w:lang w:val="en-IE" w:eastAsia="de-DE"/>
        </w:rPr>
        <w:t xml:space="preserve"> not have access to the operational data contained in the systems.</w:t>
      </w:r>
      <w:r w:rsidR="00AE0A3C" w:rsidRPr="00004DA6">
        <w:rPr>
          <w:rFonts w:ascii="Times New Roman" w:hAnsi="Times New Roman" w:cs="Times New Roman"/>
          <w:noProof/>
          <w:sz w:val="24"/>
          <w:szCs w:val="24"/>
          <w:lang w:val="en-IE" w:eastAsia="de-DE"/>
        </w:rPr>
        <w:t xml:space="preserve"> </w:t>
      </w:r>
      <w:r w:rsidRPr="00004DA6">
        <w:rPr>
          <w:rFonts w:ascii="Times New Roman" w:hAnsi="Times New Roman" w:cs="Times New Roman"/>
          <w:noProof/>
          <w:sz w:val="24"/>
          <w:szCs w:val="24"/>
          <w:lang w:val="en-IE" w:eastAsia="de-DE"/>
        </w:rPr>
        <w:t>In addition, eu-LISA implemented security measures such as security clearance of staff and separating the individual systems on a technical level. In the context of e-CODEX, Article 14 (2) of the establishing Regulation restricts the Agency to only commit resources for the IT system in its entirety. The Agency dedicated five staff to work exclusively on e-CODEX topics to further respect the principle of independence of the judiciary.</w:t>
      </w:r>
      <w:r w:rsidR="00D03104" w:rsidRPr="00004DA6">
        <w:rPr>
          <w:rFonts w:ascii="Times New Roman" w:hAnsi="Times New Roman" w:cs="Times New Roman"/>
          <w:noProof/>
          <w:sz w:val="24"/>
          <w:szCs w:val="24"/>
          <w:lang w:val="en-IE" w:eastAsia="de-DE"/>
        </w:rPr>
        <w:t xml:space="preserve"> </w:t>
      </w:r>
      <w:r w:rsidR="00397DBA" w:rsidRPr="00004DA6">
        <w:rPr>
          <w:rFonts w:ascii="Times New Roman" w:hAnsi="Times New Roman" w:cs="Times New Roman"/>
          <w:noProof/>
          <w:sz w:val="24"/>
          <w:szCs w:val="24"/>
          <w:lang w:val="en-IE"/>
        </w:rPr>
        <w:br w:type="page"/>
      </w:r>
    </w:p>
    <w:p w14:paraId="1EFB5627" w14:textId="24CB4F70" w:rsidR="008530D4" w:rsidRPr="00E71F52" w:rsidRDefault="00147D71" w:rsidP="00050793">
      <w:pPr>
        <w:pStyle w:val="Heading1"/>
        <w:numPr>
          <w:ilvl w:val="0"/>
          <w:numId w:val="2"/>
        </w:numPr>
        <w:pBdr>
          <w:top w:val="single" w:sz="4" w:space="1" w:color="auto"/>
          <w:left w:val="single" w:sz="4" w:space="4" w:color="auto"/>
          <w:bottom w:val="single" w:sz="4" w:space="1" w:color="auto"/>
          <w:right w:val="single" w:sz="4" w:space="4" w:color="auto"/>
        </w:pBdr>
        <w:shd w:val="clear" w:color="auto" w:fill="BBDAFD" w:themeFill="text2" w:themeFillTint="33"/>
        <w:rPr>
          <w:noProof/>
          <w:szCs w:val="24"/>
        </w:rPr>
      </w:pPr>
      <w:bookmarkStart w:id="35" w:name="_Toc207303614"/>
      <w:r w:rsidRPr="00147D71">
        <w:rPr>
          <w:noProof/>
          <w:szCs w:val="24"/>
        </w:rPr>
        <w:t>What are the conclusions and lessons learned?</w:t>
      </w:r>
      <w:bookmarkEnd w:id="35"/>
    </w:p>
    <w:p w14:paraId="4593A101" w14:textId="1A397560" w:rsidR="00EC517C" w:rsidRDefault="00EC517C" w:rsidP="00EE061C">
      <w:pPr>
        <w:pStyle w:val="Heading2"/>
        <w:numPr>
          <w:ilvl w:val="1"/>
          <w:numId w:val="2"/>
        </w:numPr>
        <w:rPr>
          <w:rFonts w:ascii="Times New Roman Bold" w:hAnsi="Times New Roman Bold"/>
          <w:b w:val="0"/>
          <w:smallCaps/>
          <w:noProof/>
          <w:szCs w:val="24"/>
        </w:rPr>
      </w:pPr>
      <w:bookmarkStart w:id="36" w:name="_Toc207303615"/>
      <w:r>
        <w:rPr>
          <w:rFonts w:ascii="Times New Roman Bold" w:hAnsi="Times New Roman Bold"/>
          <w:b w:val="0"/>
          <w:noProof/>
          <w:szCs w:val="24"/>
        </w:rPr>
        <w:t>Conclusions</w:t>
      </w:r>
      <w:bookmarkEnd w:id="36"/>
    </w:p>
    <w:p w14:paraId="7E410C6B" w14:textId="33F65A75" w:rsidR="00C37B64" w:rsidRPr="00C37B64" w:rsidRDefault="0058570F" w:rsidP="00C37B64">
      <w:pPr>
        <w:jc w:val="both"/>
        <w:rPr>
          <w:rFonts w:ascii="Times New Roman" w:hAnsi="Times New Roman" w:cs="Times New Roman"/>
          <w:noProof/>
          <w:sz w:val="24"/>
          <w:szCs w:val="24"/>
          <w:lang w:val="en-IE"/>
        </w:rPr>
      </w:pPr>
      <w:r w:rsidRPr="00873DBA">
        <w:rPr>
          <w:rFonts w:ascii="Times New Roman" w:hAnsi="Times New Roman" w:cs="Times New Roman"/>
          <w:noProof/>
          <w:sz w:val="24"/>
          <w:szCs w:val="24"/>
          <w:lang w:val="en-IE"/>
        </w:rPr>
        <w:t xml:space="preserve">Overall, </w:t>
      </w:r>
      <w:r w:rsidR="00C37B64">
        <w:rPr>
          <w:rFonts w:ascii="Times New Roman" w:hAnsi="Times New Roman" w:cs="Times New Roman"/>
          <w:noProof/>
          <w:sz w:val="24"/>
          <w:szCs w:val="24"/>
          <w:lang w:val="en-IE"/>
        </w:rPr>
        <w:t>d</w:t>
      </w:r>
      <w:r w:rsidR="00C37B64" w:rsidRPr="00C37B64">
        <w:rPr>
          <w:rFonts w:ascii="Times New Roman" w:hAnsi="Times New Roman" w:cs="Times New Roman"/>
          <w:noProof/>
          <w:sz w:val="24"/>
          <w:szCs w:val="24"/>
          <w:lang w:val="en-IE"/>
        </w:rPr>
        <w:t>espite a complex operational and policy environment—marked by accelerating digitalisation, rising security threats, and geopolitical instability—this evaluation concludes with a broadly positive assessment of the performance, relevance, coherence, efficiency, and EU added value of eu-LISA. The Agency has proven indispensable for the implementation and operational management of large-scale IT systems in the area of freedom, security and justice, supporting Member States and EU institutions in delivering coordinated, secure, and effective digital infrastructure.</w:t>
      </w:r>
    </w:p>
    <w:p w14:paraId="64617C82" w14:textId="6F5A9A77" w:rsidR="00E32730" w:rsidRPr="00873DBA" w:rsidRDefault="00C37B64" w:rsidP="0058570F">
      <w:pPr>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w:t>
      </w:r>
      <w:r w:rsidR="0058570F" w:rsidRPr="00873DBA">
        <w:rPr>
          <w:rFonts w:ascii="Times New Roman" w:hAnsi="Times New Roman" w:cs="Times New Roman"/>
          <w:noProof/>
          <w:sz w:val="24"/>
          <w:szCs w:val="24"/>
          <w:lang w:val="en-IE"/>
        </w:rPr>
        <w:t>he eu-LISA Regulation remains</w:t>
      </w:r>
      <w:r>
        <w:rPr>
          <w:rFonts w:ascii="Times New Roman" w:hAnsi="Times New Roman" w:cs="Times New Roman"/>
          <w:noProof/>
          <w:sz w:val="24"/>
          <w:szCs w:val="24"/>
          <w:lang w:val="en-IE"/>
        </w:rPr>
        <w:t xml:space="preserve"> highly</w:t>
      </w:r>
      <w:r w:rsidR="0058570F" w:rsidRPr="00873DBA">
        <w:rPr>
          <w:rFonts w:ascii="Times New Roman" w:hAnsi="Times New Roman" w:cs="Times New Roman"/>
          <w:noProof/>
          <w:sz w:val="24"/>
          <w:szCs w:val="24"/>
          <w:lang w:val="en-IE"/>
        </w:rPr>
        <w:t xml:space="preserve"> relevant to addressing current and future challenges. The Agency</w:t>
      </w:r>
      <w:r>
        <w:rPr>
          <w:rFonts w:ascii="Times New Roman" w:hAnsi="Times New Roman" w:cs="Times New Roman"/>
          <w:noProof/>
          <w:sz w:val="24"/>
          <w:szCs w:val="24"/>
          <w:lang w:val="en-IE"/>
        </w:rPr>
        <w:t>’s importance has increased in light of</w:t>
      </w:r>
      <w:r w:rsidR="0058570F" w:rsidRPr="00873DBA">
        <w:rPr>
          <w:rFonts w:ascii="Times New Roman" w:hAnsi="Times New Roman" w:cs="Times New Roman"/>
          <w:noProof/>
          <w:sz w:val="24"/>
          <w:szCs w:val="24"/>
          <w:lang w:val="en-IE"/>
        </w:rPr>
        <w:t xml:space="preserve"> developments such as increased mobility of EU citizens and third-country nationals,</w:t>
      </w:r>
      <w:r>
        <w:rPr>
          <w:rFonts w:ascii="Times New Roman" w:hAnsi="Times New Roman" w:cs="Times New Roman"/>
          <w:noProof/>
          <w:sz w:val="24"/>
          <w:szCs w:val="24"/>
          <w:lang w:val="en-IE"/>
        </w:rPr>
        <w:t xml:space="preserve"> rapid</w:t>
      </w:r>
      <w:r w:rsidR="0058570F" w:rsidRPr="00873DBA">
        <w:rPr>
          <w:rFonts w:ascii="Times New Roman" w:hAnsi="Times New Roman" w:cs="Times New Roman"/>
          <w:noProof/>
          <w:sz w:val="24"/>
          <w:szCs w:val="24"/>
          <w:lang w:val="en-IE"/>
        </w:rPr>
        <w:t xml:space="preserve"> technological </w:t>
      </w:r>
      <w:r>
        <w:rPr>
          <w:rFonts w:ascii="Times New Roman" w:hAnsi="Times New Roman" w:cs="Times New Roman"/>
          <w:noProof/>
          <w:sz w:val="24"/>
          <w:szCs w:val="24"/>
          <w:lang w:val="en-IE"/>
        </w:rPr>
        <w:t>advancements</w:t>
      </w:r>
      <w:r w:rsidRPr="00873DBA">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heightened</w:t>
      </w:r>
      <w:r w:rsidR="0058570F" w:rsidRPr="00873DBA">
        <w:rPr>
          <w:rFonts w:ascii="Times New Roman" w:hAnsi="Times New Roman" w:cs="Times New Roman"/>
          <w:noProof/>
          <w:sz w:val="24"/>
          <w:szCs w:val="24"/>
          <w:lang w:val="en-IE"/>
        </w:rPr>
        <w:t xml:space="preserve"> cyber-attacks</w:t>
      </w:r>
      <w:r>
        <w:rPr>
          <w:rFonts w:ascii="Times New Roman" w:hAnsi="Times New Roman" w:cs="Times New Roman"/>
          <w:noProof/>
          <w:sz w:val="24"/>
          <w:szCs w:val="24"/>
          <w:lang w:val="en-IE"/>
        </w:rPr>
        <w:t xml:space="preserve"> risks, and ongoing</w:t>
      </w:r>
      <w:r w:rsidR="0058570F" w:rsidRPr="00873DBA">
        <w:rPr>
          <w:rFonts w:ascii="Times New Roman" w:hAnsi="Times New Roman" w:cs="Times New Roman"/>
          <w:noProof/>
          <w:sz w:val="24"/>
          <w:szCs w:val="24"/>
          <w:lang w:val="en-IE"/>
        </w:rPr>
        <w:t xml:space="preserve"> geopolitical </w:t>
      </w:r>
      <w:r>
        <w:rPr>
          <w:rFonts w:ascii="Times New Roman" w:hAnsi="Times New Roman" w:cs="Times New Roman"/>
          <w:noProof/>
          <w:sz w:val="24"/>
          <w:szCs w:val="24"/>
          <w:lang w:val="en-IE"/>
        </w:rPr>
        <w:t>tensions, particularly those linked to the Russian war of aggression against Ukraine and the conflicts in the Middle East</w:t>
      </w:r>
      <w:r w:rsidR="0058570F" w:rsidRPr="00873DBA">
        <w:rPr>
          <w:rFonts w:ascii="Times New Roman" w:hAnsi="Times New Roman" w:cs="Times New Roman"/>
          <w:noProof/>
          <w:sz w:val="24"/>
          <w:szCs w:val="24"/>
          <w:lang w:val="en-IE"/>
        </w:rPr>
        <w:t xml:space="preserve">. The digitalisation of the </w:t>
      </w:r>
      <w:r w:rsidR="00942347" w:rsidRPr="00942347">
        <w:rPr>
          <w:rFonts w:ascii="Times New Roman" w:hAnsi="Times New Roman" w:cs="Times New Roman"/>
          <w:noProof/>
          <w:sz w:val="24"/>
          <w:szCs w:val="24"/>
          <w:lang w:val="en-IE"/>
        </w:rPr>
        <w:t>area of freedom, security and justice</w:t>
      </w:r>
      <w:r w:rsidR="0058570F" w:rsidRPr="00873DBA">
        <w:rPr>
          <w:rFonts w:ascii="Times New Roman" w:hAnsi="Times New Roman" w:cs="Times New Roman"/>
          <w:noProof/>
          <w:sz w:val="24"/>
          <w:szCs w:val="24"/>
          <w:lang w:val="en-IE"/>
        </w:rPr>
        <w:t xml:space="preserve"> </w:t>
      </w:r>
      <w:r w:rsidR="00AC5327">
        <w:rPr>
          <w:rFonts w:ascii="Times New Roman" w:hAnsi="Times New Roman" w:cs="Times New Roman"/>
          <w:noProof/>
          <w:sz w:val="24"/>
          <w:szCs w:val="24"/>
          <w:lang w:val="en-IE"/>
        </w:rPr>
        <w:t>constitutes</w:t>
      </w:r>
      <w:r w:rsidR="0058570F" w:rsidRPr="00873DBA">
        <w:rPr>
          <w:rFonts w:ascii="Times New Roman" w:hAnsi="Times New Roman" w:cs="Times New Roman"/>
          <w:noProof/>
          <w:sz w:val="24"/>
          <w:szCs w:val="24"/>
          <w:lang w:val="en-IE"/>
        </w:rPr>
        <w:t xml:space="preserve"> a major objective of the European Union, and it is at the top of EU’s policy and political agendas, requiring a common and coordinated response by all Member States. </w:t>
      </w:r>
    </w:p>
    <w:p w14:paraId="5839597A" w14:textId="52D493AF" w:rsidR="0058570F" w:rsidRPr="00901F6E" w:rsidRDefault="00113DB6" w:rsidP="0058570F">
      <w:pPr>
        <w:jc w:val="both"/>
        <w:rPr>
          <w:rFonts w:ascii="Times New Roman" w:hAnsi="Times New Roman" w:cs="Times New Roman"/>
          <w:noProof/>
          <w:sz w:val="24"/>
          <w:szCs w:val="24"/>
          <w:lang w:val="en-IE"/>
        </w:rPr>
      </w:pPr>
      <w:r>
        <w:rPr>
          <w:rFonts w:ascii="Times New Roman" w:hAnsi="Times New Roman" w:cs="Times New Roman"/>
          <w:b/>
          <w:bCs/>
          <w:noProof/>
          <w:sz w:val="24"/>
          <w:szCs w:val="24"/>
          <w:lang w:val="en-IE"/>
        </w:rPr>
        <w:t>T</w:t>
      </w:r>
      <w:r w:rsidR="0058570F" w:rsidRPr="00DB5F92">
        <w:rPr>
          <w:rFonts w:ascii="Times New Roman" w:hAnsi="Times New Roman" w:cs="Times New Roman"/>
          <w:b/>
          <w:bCs/>
          <w:noProof/>
          <w:sz w:val="24"/>
          <w:szCs w:val="24"/>
          <w:lang w:val="en-IE"/>
        </w:rPr>
        <w:t xml:space="preserve">he </w:t>
      </w:r>
      <w:r w:rsidR="00B7051D">
        <w:rPr>
          <w:rFonts w:ascii="Times New Roman" w:hAnsi="Times New Roman" w:cs="Times New Roman"/>
          <w:b/>
          <w:bCs/>
          <w:noProof/>
          <w:sz w:val="24"/>
          <w:szCs w:val="24"/>
          <w:lang w:val="en-IE"/>
        </w:rPr>
        <w:t xml:space="preserve">objectives of the </w:t>
      </w:r>
      <w:r w:rsidR="0058570F" w:rsidRPr="00DB5F92">
        <w:rPr>
          <w:rFonts w:ascii="Times New Roman" w:hAnsi="Times New Roman" w:cs="Times New Roman"/>
          <w:b/>
          <w:bCs/>
          <w:noProof/>
          <w:sz w:val="24"/>
          <w:szCs w:val="24"/>
          <w:lang w:val="en-IE"/>
        </w:rPr>
        <w:t>eu-LISA Regulation could have not been achieved sufficiently by Member States acting alone</w:t>
      </w:r>
      <w:r w:rsidR="0058570F" w:rsidRPr="00873DBA">
        <w:rPr>
          <w:rFonts w:ascii="Times New Roman" w:hAnsi="Times New Roman" w:cs="Times New Roman"/>
          <w:noProof/>
          <w:sz w:val="24"/>
          <w:szCs w:val="24"/>
          <w:lang w:val="en-IE"/>
        </w:rPr>
        <w:t xml:space="preserve">. </w:t>
      </w:r>
      <w:r w:rsidR="0058570F">
        <w:rPr>
          <w:rFonts w:ascii="Times New Roman" w:hAnsi="Times New Roman" w:cs="Times New Roman"/>
          <w:noProof/>
          <w:sz w:val="24"/>
          <w:szCs w:val="24"/>
          <w:lang w:val="en-IE"/>
        </w:rPr>
        <w:t xml:space="preserve">The </w:t>
      </w:r>
      <w:r w:rsidR="001D6C98">
        <w:rPr>
          <w:rFonts w:ascii="Times New Roman" w:hAnsi="Times New Roman" w:cs="Times New Roman"/>
          <w:noProof/>
          <w:sz w:val="24"/>
          <w:szCs w:val="24"/>
          <w:lang w:val="en-IE"/>
        </w:rPr>
        <w:t xml:space="preserve">current </w:t>
      </w:r>
      <w:r w:rsidR="0058570F">
        <w:rPr>
          <w:rFonts w:ascii="Times New Roman" w:hAnsi="Times New Roman" w:cs="Times New Roman"/>
          <w:noProof/>
          <w:sz w:val="24"/>
          <w:szCs w:val="24"/>
          <w:lang w:val="en-IE"/>
        </w:rPr>
        <w:t>mandate of eu-LISA</w:t>
      </w:r>
      <w:r w:rsidR="0058570F" w:rsidRPr="00873DBA">
        <w:rPr>
          <w:rFonts w:ascii="Times New Roman" w:hAnsi="Times New Roman" w:cs="Times New Roman"/>
          <w:noProof/>
          <w:sz w:val="24"/>
          <w:szCs w:val="24"/>
          <w:lang w:val="en-IE"/>
        </w:rPr>
        <w:t>, as introduced by Regulation</w:t>
      </w:r>
      <w:r w:rsidR="0058570F">
        <w:rPr>
          <w:rFonts w:ascii="Times New Roman" w:hAnsi="Times New Roman" w:cs="Times New Roman"/>
          <w:noProof/>
          <w:sz w:val="24"/>
          <w:szCs w:val="24"/>
          <w:lang w:val="en-IE"/>
        </w:rPr>
        <w:t xml:space="preserve"> (EU) 2018/1726</w:t>
      </w:r>
      <w:r w:rsidR="0058570F" w:rsidRPr="00873DBA">
        <w:rPr>
          <w:rFonts w:ascii="Times New Roman" w:hAnsi="Times New Roman" w:cs="Times New Roman"/>
          <w:noProof/>
          <w:sz w:val="24"/>
          <w:szCs w:val="24"/>
          <w:lang w:val="en-IE"/>
        </w:rPr>
        <w:t xml:space="preserve">, </w:t>
      </w:r>
      <w:r w:rsidR="001D6C98">
        <w:rPr>
          <w:rFonts w:ascii="Times New Roman" w:hAnsi="Times New Roman" w:cs="Times New Roman"/>
          <w:noProof/>
          <w:sz w:val="24"/>
          <w:szCs w:val="24"/>
          <w:lang w:val="en-IE"/>
        </w:rPr>
        <w:t>plays a pi</w:t>
      </w:r>
      <w:r w:rsidR="00286FB5">
        <w:rPr>
          <w:rFonts w:ascii="Times New Roman" w:hAnsi="Times New Roman" w:cs="Times New Roman"/>
          <w:noProof/>
          <w:sz w:val="24"/>
          <w:szCs w:val="24"/>
          <w:lang w:val="en-IE"/>
        </w:rPr>
        <w:t>votal role in advancing the Agency’s mission</w:t>
      </w:r>
      <w:r w:rsidR="0058570F" w:rsidRPr="00873DBA">
        <w:rPr>
          <w:rFonts w:ascii="Times New Roman" w:hAnsi="Times New Roman" w:cs="Times New Roman"/>
          <w:noProof/>
          <w:sz w:val="24"/>
          <w:szCs w:val="24"/>
          <w:lang w:val="en-IE"/>
        </w:rPr>
        <w:t xml:space="preserve"> to “</w:t>
      </w:r>
      <w:r w:rsidR="0058570F" w:rsidRPr="00873DBA">
        <w:rPr>
          <w:rFonts w:ascii="Times New Roman" w:hAnsi="Times New Roman" w:cs="Times New Roman"/>
          <w:i/>
          <w:iCs/>
          <w:noProof/>
          <w:sz w:val="24"/>
          <w:szCs w:val="24"/>
          <w:lang w:val="en-IE"/>
        </w:rPr>
        <w:t>contribute to a high-level security within the area of freedom, security and justice, including by facilitating border management and law enforcement</w:t>
      </w:r>
      <w:r w:rsidR="0058570F" w:rsidRPr="00873DBA">
        <w:rPr>
          <w:rFonts w:ascii="Times New Roman" w:hAnsi="Times New Roman" w:cs="Times New Roman"/>
          <w:noProof/>
          <w:sz w:val="24"/>
          <w:szCs w:val="24"/>
          <w:lang w:val="en-IE"/>
        </w:rPr>
        <w:t>”</w:t>
      </w:r>
      <w:r w:rsidR="006312AD">
        <w:rPr>
          <w:rFonts w:ascii="Times New Roman" w:hAnsi="Times New Roman" w:cs="Times New Roman"/>
          <w:noProof/>
          <w:sz w:val="24"/>
          <w:szCs w:val="24"/>
          <w:lang w:val="en-IE"/>
        </w:rPr>
        <w:t>.</w:t>
      </w:r>
      <w:r w:rsidR="003E5717">
        <w:rPr>
          <w:rFonts w:ascii="Times New Roman" w:hAnsi="Times New Roman" w:cs="Times New Roman"/>
          <w:noProof/>
          <w:sz w:val="24"/>
          <w:szCs w:val="24"/>
          <w:lang w:val="en-IE"/>
        </w:rPr>
        <w:t xml:space="preserve"> </w:t>
      </w:r>
      <w:r w:rsidR="003E5717" w:rsidRPr="006041F7">
        <w:rPr>
          <w:rFonts w:ascii="Times New Roman" w:hAnsi="Times New Roman" w:cs="Times New Roman"/>
          <w:noProof/>
          <w:sz w:val="24"/>
          <w:szCs w:val="24"/>
          <w:lang w:val="en-IE"/>
        </w:rPr>
        <w:t>By centralising the operational management of multiple large-scale IT systems, eu-LISA not only supports Member States in their implementation efforts but also leverages significant economies of scale, fostering greater efficiency and consistency across the Union.</w:t>
      </w:r>
      <w:r w:rsidR="0058570F" w:rsidRPr="00901F6E">
        <w:rPr>
          <w:rFonts w:ascii="Times New Roman" w:hAnsi="Times New Roman" w:cs="Times New Roman"/>
          <w:noProof/>
          <w:sz w:val="24"/>
          <w:szCs w:val="24"/>
          <w:lang w:val="en-IE"/>
        </w:rPr>
        <w:t xml:space="preserve"> The evaluation concludes that, while there is room for improvement in the development of new systems, </w:t>
      </w:r>
      <w:r w:rsidR="003E5717" w:rsidRPr="00901F6E">
        <w:rPr>
          <w:rFonts w:ascii="Times New Roman" w:hAnsi="Times New Roman" w:cs="Times New Roman"/>
          <w:noProof/>
          <w:sz w:val="24"/>
          <w:szCs w:val="24"/>
          <w:lang w:val="en-IE"/>
        </w:rPr>
        <w:t xml:space="preserve">the absence of an EU level Agency like eu-LISA </w:t>
      </w:r>
      <w:r w:rsidR="00901F6E" w:rsidRPr="00901F6E">
        <w:rPr>
          <w:rFonts w:ascii="Times New Roman" w:hAnsi="Times New Roman" w:cs="Times New Roman"/>
          <w:noProof/>
          <w:sz w:val="24"/>
          <w:szCs w:val="24"/>
          <w:lang w:val="en-IE"/>
        </w:rPr>
        <w:t>would</w:t>
      </w:r>
      <w:r w:rsidR="003E5717" w:rsidRPr="00901F6E">
        <w:rPr>
          <w:rFonts w:ascii="Times New Roman" w:hAnsi="Times New Roman" w:cs="Times New Roman"/>
          <w:noProof/>
          <w:sz w:val="24"/>
          <w:szCs w:val="24"/>
          <w:lang w:val="en-IE"/>
        </w:rPr>
        <w:t xml:space="preserve"> lead to a drastically more fragment</w:t>
      </w:r>
      <w:r w:rsidR="0058570F" w:rsidRPr="00901F6E">
        <w:rPr>
          <w:rFonts w:ascii="Times New Roman" w:hAnsi="Times New Roman" w:cs="Times New Roman"/>
          <w:noProof/>
          <w:sz w:val="24"/>
          <w:szCs w:val="24"/>
          <w:lang w:val="en-IE"/>
        </w:rPr>
        <w:t xml:space="preserve"> </w:t>
      </w:r>
      <w:r w:rsidR="003E5717" w:rsidRPr="00901F6E">
        <w:rPr>
          <w:rFonts w:ascii="Times New Roman" w:hAnsi="Times New Roman" w:cs="Times New Roman"/>
          <w:noProof/>
          <w:sz w:val="24"/>
          <w:szCs w:val="24"/>
          <w:lang w:val="en-IE"/>
        </w:rPr>
        <w:t>IT landscape, compromising the security and interoperability</w:t>
      </w:r>
      <w:r w:rsidR="00901F6E" w:rsidRPr="00901F6E">
        <w:rPr>
          <w:rFonts w:ascii="Times New Roman" w:hAnsi="Times New Roman" w:cs="Times New Roman"/>
          <w:noProof/>
          <w:sz w:val="24"/>
          <w:szCs w:val="24"/>
          <w:lang w:val="en-IE"/>
        </w:rPr>
        <w:t xml:space="preserve"> essential to the justice and home affairs domains</w:t>
      </w:r>
      <w:r w:rsidR="0058570F" w:rsidRPr="00901F6E">
        <w:rPr>
          <w:rFonts w:ascii="Times New Roman" w:hAnsi="Times New Roman" w:cs="Times New Roman"/>
          <w:noProof/>
          <w:sz w:val="24"/>
          <w:szCs w:val="24"/>
          <w:lang w:val="en-IE"/>
        </w:rPr>
        <w:t xml:space="preserve">. </w:t>
      </w:r>
      <w:r w:rsidR="00901F6E" w:rsidRPr="00901F6E">
        <w:rPr>
          <w:rFonts w:ascii="Times New Roman" w:hAnsi="Times New Roman" w:cs="Times New Roman"/>
          <w:noProof/>
          <w:sz w:val="24"/>
          <w:szCs w:val="24"/>
          <w:lang w:val="en-IE"/>
        </w:rPr>
        <w:t>Accordingly</w:t>
      </w:r>
      <w:r w:rsidR="0058570F" w:rsidRPr="00901F6E">
        <w:rPr>
          <w:rFonts w:ascii="Times New Roman" w:hAnsi="Times New Roman" w:cs="Times New Roman"/>
          <w:noProof/>
          <w:sz w:val="24"/>
          <w:szCs w:val="24"/>
          <w:lang w:val="en-IE"/>
        </w:rPr>
        <w:t>, the evaluation confirms the EU added value of the Regulation.</w:t>
      </w:r>
    </w:p>
    <w:p w14:paraId="080C374F" w14:textId="04D445E7" w:rsidR="0096770F" w:rsidRDefault="0058570F" w:rsidP="0058570F">
      <w:pPr>
        <w:jc w:val="both"/>
        <w:rPr>
          <w:rFonts w:ascii="Times New Roman" w:hAnsi="Times New Roman" w:cs="Times New Roman"/>
          <w:noProof/>
          <w:sz w:val="24"/>
          <w:szCs w:val="24"/>
          <w:lang w:val="en-IE"/>
        </w:rPr>
      </w:pPr>
      <w:r w:rsidRPr="1CFB8477">
        <w:rPr>
          <w:rFonts w:ascii="Times New Roman" w:hAnsi="Times New Roman" w:cs="Times New Roman"/>
          <w:b/>
          <w:bCs/>
          <w:noProof/>
          <w:sz w:val="24"/>
          <w:szCs w:val="24"/>
          <w:lang w:val="en-IE"/>
        </w:rPr>
        <w:t xml:space="preserve">The </w:t>
      </w:r>
      <w:r w:rsidR="00CD3D9C">
        <w:rPr>
          <w:rFonts w:ascii="Times New Roman" w:hAnsi="Times New Roman" w:cs="Times New Roman"/>
          <w:b/>
          <w:bCs/>
          <w:noProof/>
          <w:sz w:val="24"/>
          <w:szCs w:val="24"/>
          <w:lang w:val="en-IE"/>
        </w:rPr>
        <w:t xml:space="preserve">current </w:t>
      </w:r>
      <w:r w:rsidRPr="1CFB8477">
        <w:rPr>
          <w:rFonts w:ascii="Times New Roman" w:hAnsi="Times New Roman" w:cs="Times New Roman"/>
          <w:b/>
          <w:bCs/>
          <w:noProof/>
          <w:sz w:val="24"/>
          <w:szCs w:val="24"/>
          <w:lang w:val="en-IE"/>
        </w:rPr>
        <w:t>eu-LISA Regulation is to a large extent legally coherent both internally and externally</w:t>
      </w:r>
      <w:r w:rsidRPr="1CFB8477">
        <w:rPr>
          <w:rFonts w:ascii="Times New Roman" w:hAnsi="Times New Roman" w:cs="Times New Roman"/>
          <w:noProof/>
          <w:sz w:val="24"/>
          <w:szCs w:val="24"/>
          <w:lang w:val="en-IE"/>
        </w:rPr>
        <w:t xml:space="preserve">. </w:t>
      </w:r>
      <w:r w:rsidR="00A21E33" w:rsidRPr="1CFB8477">
        <w:rPr>
          <w:rFonts w:ascii="Times New Roman" w:hAnsi="Times New Roman" w:cs="Times New Roman"/>
          <w:noProof/>
          <w:sz w:val="24"/>
          <w:szCs w:val="24"/>
          <w:lang w:val="en-IE"/>
        </w:rPr>
        <w:t xml:space="preserve">Only </w:t>
      </w:r>
      <w:r w:rsidR="00F2592D">
        <w:rPr>
          <w:rFonts w:ascii="Times New Roman" w:hAnsi="Times New Roman" w:cs="Times New Roman"/>
          <w:noProof/>
          <w:sz w:val="24"/>
          <w:szCs w:val="24"/>
          <w:lang w:val="en-IE"/>
        </w:rPr>
        <w:t>a limited number of</w:t>
      </w:r>
      <w:r w:rsidR="00F2592D" w:rsidRPr="1CFB8477">
        <w:rPr>
          <w:rFonts w:ascii="Times New Roman" w:hAnsi="Times New Roman" w:cs="Times New Roman"/>
          <w:noProof/>
          <w:sz w:val="24"/>
          <w:szCs w:val="24"/>
          <w:lang w:val="en-IE"/>
        </w:rPr>
        <w:t xml:space="preserve"> </w:t>
      </w:r>
      <w:r w:rsidR="00A21E33" w:rsidRPr="1CFB8477">
        <w:rPr>
          <w:rFonts w:ascii="Times New Roman" w:hAnsi="Times New Roman" w:cs="Times New Roman"/>
          <w:noProof/>
          <w:sz w:val="24"/>
          <w:szCs w:val="24"/>
          <w:lang w:val="en-IE"/>
        </w:rPr>
        <w:t xml:space="preserve">challenges </w:t>
      </w:r>
      <w:r w:rsidR="00F2592D">
        <w:rPr>
          <w:rFonts w:ascii="Times New Roman" w:hAnsi="Times New Roman" w:cs="Times New Roman"/>
          <w:noProof/>
          <w:sz w:val="24"/>
          <w:szCs w:val="24"/>
          <w:lang w:val="en-IE"/>
        </w:rPr>
        <w:t>have been identified in relation</w:t>
      </w:r>
      <w:r w:rsidR="003A5E9A">
        <w:rPr>
          <w:rFonts w:ascii="Times New Roman" w:hAnsi="Times New Roman" w:cs="Times New Roman"/>
          <w:noProof/>
          <w:sz w:val="24"/>
          <w:szCs w:val="24"/>
          <w:lang w:val="en-IE"/>
        </w:rPr>
        <w:t xml:space="preserve"> </w:t>
      </w:r>
      <w:r w:rsidR="00A21E33" w:rsidRPr="1CFB8477">
        <w:rPr>
          <w:rFonts w:ascii="Times New Roman" w:hAnsi="Times New Roman" w:cs="Times New Roman"/>
          <w:noProof/>
          <w:sz w:val="24"/>
          <w:szCs w:val="24"/>
          <w:lang w:val="en-IE"/>
        </w:rPr>
        <w:t xml:space="preserve">to </w:t>
      </w:r>
      <w:r w:rsidR="003A5E9A">
        <w:rPr>
          <w:rFonts w:ascii="Times New Roman" w:hAnsi="Times New Roman" w:cs="Times New Roman"/>
          <w:noProof/>
          <w:sz w:val="24"/>
          <w:szCs w:val="24"/>
          <w:lang w:val="en-IE"/>
        </w:rPr>
        <w:t>its</w:t>
      </w:r>
      <w:r w:rsidR="00A21E33" w:rsidRPr="1CFB8477">
        <w:rPr>
          <w:rFonts w:ascii="Times New Roman" w:hAnsi="Times New Roman" w:cs="Times New Roman"/>
          <w:noProof/>
          <w:sz w:val="24"/>
          <w:szCs w:val="24"/>
          <w:lang w:val="en-IE"/>
        </w:rPr>
        <w:t xml:space="preserve"> coherence with other legal </w:t>
      </w:r>
      <w:r w:rsidR="003A5E9A">
        <w:rPr>
          <w:rFonts w:ascii="Times New Roman" w:hAnsi="Times New Roman" w:cs="Times New Roman"/>
          <w:noProof/>
          <w:sz w:val="24"/>
          <w:szCs w:val="24"/>
          <w:lang w:val="en-IE"/>
        </w:rPr>
        <w:t>ac</w:t>
      </w:r>
      <w:r w:rsidR="0096770F">
        <w:rPr>
          <w:rFonts w:ascii="Times New Roman" w:hAnsi="Times New Roman" w:cs="Times New Roman"/>
          <w:noProof/>
          <w:sz w:val="24"/>
          <w:szCs w:val="24"/>
          <w:lang w:val="en-IE"/>
        </w:rPr>
        <w:t>ts</w:t>
      </w:r>
      <w:r w:rsidR="00A21E33" w:rsidRPr="1CFB8477">
        <w:rPr>
          <w:rFonts w:ascii="Times New Roman" w:hAnsi="Times New Roman" w:cs="Times New Roman"/>
          <w:noProof/>
          <w:sz w:val="24"/>
          <w:szCs w:val="24"/>
          <w:lang w:val="en-IE"/>
        </w:rPr>
        <w:t xml:space="preserve">, </w:t>
      </w:r>
      <w:r w:rsidR="0096770F">
        <w:rPr>
          <w:rFonts w:ascii="Times New Roman" w:hAnsi="Times New Roman" w:cs="Times New Roman"/>
          <w:noProof/>
          <w:sz w:val="24"/>
          <w:szCs w:val="24"/>
          <w:lang w:val="en-IE"/>
        </w:rPr>
        <w:t>most</w:t>
      </w:r>
      <w:r w:rsidR="00A21E33" w:rsidRPr="1CFB8477">
        <w:rPr>
          <w:rFonts w:ascii="Times New Roman" w:hAnsi="Times New Roman" w:cs="Times New Roman"/>
          <w:noProof/>
          <w:sz w:val="24"/>
          <w:szCs w:val="24"/>
          <w:lang w:val="en-IE"/>
        </w:rPr>
        <w:t xml:space="preserve"> notably </w:t>
      </w:r>
      <w:r w:rsidR="0096770F">
        <w:rPr>
          <w:rFonts w:ascii="Times New Roman" w:hAnsi="Times New Roman" w:cs="Times New Roman"/>
          <w:noProof/>
          <w:sz w:val="24"/>
          <w:szCs w:val="24"/>
          <w:lang w:val="en-IE"/>
        </w:rPr>
        <w:t>concerning its interaction with</w:t>
      </w:r>
      <w:r w:rsidR="0096770F" w:rsidRPr="1CFB8477">
        <w:rPr>
          <w:rFonts w:ascii="Times New Roman" w:hAnsi="Times New Roman" w:cs="Times New Roman"/>
          <w:noProof/>
          <w:sz w:val="24"/>
          <w:szCs w:val="24"/>
          <w:lang w:val="en-IE"/>
        </w:rPr>
        <w:t xml:space="preserve"> </w:t>
      </w:r>
      <w:r w:rsidR="00A21E33" w:rsidRPr="1CFB8477">
        <w:rPr>
          <w:rFonts w:ascii="Times New Roman" w:hAnsi="Times New Roman" w:cs="Times New Roman"/>
          <w:noProof/>
          <w:sz w:val="24"/>
          <w:szCs w:val="24"/>
          <w:lang w:val="en-IE"/>
        </w:rPr>
        <w:t>the e-CODEX Regulation</w:t>
      </w:r>
      <w:r w:rsidR="00911451" w:rsidRPr="1CFB8477">
        <w:rPr>
          <w:rFonts w:ascii="Times New Roman" w:hAnsi="Times New Roman" w:cs="Times New Roman"/>
          <w:noProof/>
          <w:sz w:val="24"/>
          <w:szCs w:val="24"/>
          <w:lang w:val="en-IE"/>
        </w:rPr>
        <w:t xml:space="preserve">. As </w:t>
      </w:r>
      <w:r w:rsidR="0096770F">
        <w:rPr>
          <w:rFonts w:ascii="Times New Roman" w:hAnsi="Times New Roman" w:cs="Times New Roman"/>
          <w:noProof/>
          <w:sz w:val="24"/>
          <w:szCs w:val="24"/>
          <w:lang w:val="en-IE"/>
        </w:rPr>
        <w:t>detailed</w:t>
      </w:r>
      <w:r w:rsidR="00911451" w:rsidRPr="1CFB8477">
        <w:rPr>
          <w:rFonts w:ascii="Times New Roman" w:hAnsi="Times New Roman" w:cs="Times New Roman"/>
          <w:noProof/>
          <w:sz w:val="24"/>
          <w:szCs w:val="24"/>
          <w:lang w:val="en-IE"/>
        </w:rPr>
        <w:t xml:space="preserve"> in Section 4.1.3, </w:t>
      </w:r>
      <w:r w:rsidR="00773C9D" w:rsidRPr="1CFB8477">
        <w:rPr>
          <w:rFonts w:ascii="Times New Roman" w:hAnsi="Times New Roman" w:cs="Times New Roman"/>
          <w:noProof/>
          <w:sz w:val="24"/>
          <w:szCs w:val="24"/>
          <w:lang w:val="en-IE"/>
        </w:rPr>
        <w:t xml:space="preserve">the e-CODEX </w:t>
      </w:r>
      <w:r w:rsidR="0096770F">
        <w:rPr>
          <w:rFonts w:ascii="Times New Roman" w:hAnsi="Times New Roman" w:cs="Times New Roman"/>
          <w:noProof/>
          <w:sz w:val="24"/>
          <w:szCs w:val="24"/>
          <w:lang w:val="en-IE"/>
        </w:rPr>
        <w:t>Regulation imposes specific o</w:t>
      </w:r>
      <w:r w:rsidR="00FC3503">
        <w:rPr>
          <w:rFonts w:ascii="Times New Roman" w:hAnsi="Times New Roman" w:cs="Times New Roman"/>
          <w:noProof/>
          <w:sz w:val="24"/>
          <w:szCs w:val="24"/>
          <w:lang w:val="en-IE"/>
        </w:rPr>
        <w:t>peration</w:t>
      </w:r>
      <w:r w:rsidR="00944AA8">
        <w:rPr>
          <w:rFonts w:ascii="Times New Roman" w:hAnsi="Times New Roman" w:cs="Times New Roman"/>
          <w:noProof/>
          <w:sz w:val="24"/>
          <w:szCs w:val="24"/>
          <w:lang w:val="en-IE"/>
        </w:rPr>
        <w:t>al constraints -such as mandating</w:t>
      </w:r>
      <w:r w:rsidR="003E769A">
        <w:rPr>
          <w:rFonts w:ascii="Times New Roman" w:hAnsi="Times New Roman" w:cs="Times New Roman"/>
          <w:noProof/>
          <w:sz w:val="24"/>
          <w:szCs w:val="24"/>
          <w:lang w:val="en-IE"/>
        </w:rPr>
        <w:t xml:space="preserve"> that is management must be conducted exclusively in Tallinn, and restricting the resources provided for the e-CODEC to be committed in their en</w:t>
      </w:r>
      <w:r w:rsidR="00877DC6">
        <w:rPr>
          <w:rFonts w:ascii="Times New Roman" w:hAnsi="Times New Roman" w:cs="Times New Roman"/>
          <w:noProof/>
          <w:sz w:val="24"/>
          <w:szCs w:val="24"/>
          <w:lang w:val="en-IE"/>
        </w:rPr>
        <w:t xml:space="preserve">tirety to that system, in order to provide for the respect of the principle of the independence of the judiciary. </w:t>
      </w:r>
      <w:r w:rsidR="00012CCB">
        <w:rPr>
          <w:rFonts w:ascii="Times New Roman" w:hAnsi="Times New Roman" w:cs="Times New Roman"/>
          <w:noProof/>
          <w:sz w:val="24"/>
          <w:szCs w:val="24"/>
          <w:lang w:val="en-IE"/>
        </w:rPr>
        <w:t xml:space="preserve">These </w:t>
      </w:r>
      <w:r w:rsidR="00877DC6">
        <w:rPr>
          <w:rFonts w:ascii="Times New Roman" w:hAnsi="Times New Roman" w:cs="Times New Roman"/>
          <w:noProof/>
          <w:sz w:val="24"/>
          <w:szCs w:val="24"/>
          <w:lang w:val="en-IE"/>
        </w:rPr>
        <w:t xml:space="preserve">provisions </w:t>
      </w:r>
      <w:r w:rsidR="00012CCB">
        <w:rPr>
          <w:rFonts w:ascii="Times New Roman" w:hAnsi="Times New Roman" w:cs="Times New Roman"/>
          <w:noProof/>
          <w:sz w:val="24"/>
          <w:szCs w:val="24"/>
          <w:lang w:val="en-IE"/>
        </w:rPr>
        <w:t xml:space="preserve">hamper </w:t>
      </w:r>
      <w:r w:rsidR="00F9633D">
        <w:rPr>
          <w:rFonts w:ascii="Times New Roman" w:hAnsi="Times New Roman" w:cs="Times New Roman"/>
          <w:noProof/>
          <w:sz w:val="24"/>
          <w:szCs w:val="24"/>
          <w:lang w:val="en-IE"/>
        </w:rPr>
        <w:t xml:space="preserve">the efficient operational management of the system by eu-LISA, </w:t>
      </w:r>
      <w:r w:rsidR="00C921A0">
        <w:rPr>
          <w:rFonts w:ascii="Times New Roman" w:hAnsi="Times New Roman" w:cs="Times New Roman"/>
          <w:noProof/>
          <w:sz w:val="24"/>
          <w:szCs w:val="24"/>
          <w:lang w:val="en-IE"/>
        </w:rPr>
        <w:t xml:space="preserve">showing </w:t>
      </w:r>
      <w:r w:rsidR="00F9633D">
        <w:rPr>
          <w:rFonts w:ascii="Times New Roman" w:hAnsi="Times New Roman" w:cs="Times New Roman"/>
          <w:noProof/>
          <w:sz w:val="24"/>
          <w:szCs w:val="24"/>
          <w:lang w:val="en-IE"/>
        </w:rPr>
        <w:t xml:space="preserve">areas where regulatory adjustments could enhance administrative flexibility and operational synergies. </w:t>
      </w:r>
    </w:p>
    <w:p w14:paraId="1849A4A3" w14:textId="3AB5B777" w:rsidR="0058570F" w:rsidRPr="00873DBA" w:rsidRDefault="00D06CF7" w:rsidP="0058570F">
      <w:pPr>
        <w:jc w:val="both"/>
        <w:rPr>
          <w:rFonts w:ascii="Times New Roman" w:hAnsi="Times New Roman" w:cs="Times New Roman"/>
          <w:noProof/>
          <w:sz w:val="24"/>
          <w:szCs w:val="24"/>
          <w:lang w:val="en-IE"/>
        </w:rPr>
      </w:pPr>
      <w:r w:rsidRPr="00DB5F92">
        <w:rPr>
          <w:rFonts w:ascii="Times New Roman" w:hAnsi="Times New Roman" w:cs="Times New Roman"/>
          <w:noProof/>
          <w:sz w:val="24"/>
          <w:szCs w:val="24"/>
          <w:lang w:val="en-IE"/>
        </w:rPr>
        <w:t>No challenges relating to the internal coherence of the eu-LISA Regulation were identified.</w:t>
      </w:r>
      <w:r w:rsidRPr="00873DBA">
        <w:rPr>
          <w:rFonts w:ascii="Times New Roman" w:hAnsi="Times New Roman" w:cs="Times New Roman"/>
          <w:noProof/>
          <w:sz w:val="24"/>
          <w:szCs w:val="24"/>
          <w:lang w:val="en-IE"/>
        </w:rPr>
        <w:t xml:space="preserve"> </w:t>
      </w:r>
      <w:r w:rsidR="0058570F" w:rsidRPr="00873DBA">
        <w:rPr>
          <w:rFonts w:ascii="Times New Roman" w:hAnsi="Times New Roman" w:cs="Times New Roman"/>
          <w:noProof/>
          <w:sz w:val="24"/>
          <w:szCs w:val="24"/>
          <w:lang w:val="en-IE"/>
        </w:rPr>
        <w:t xml:space="preserve">The evaluation analysed the extent to which the current structure of the eu-LISA Management Board is coherent with safeguarding the respect of the principle of independence of the judiciary. eu-LISA is a technical Agency that is responsible for the management and development of IT systems, which means that it deals with the technical architecture and infrastructure, but eu-LISA’s staff does not have access to the data transmitted via the systems they manage. While there is still a risk that there might be (criminal) incidents of infringements, the Agency has taken preventative measures. The evaluation concluded that, at this stage, </w:t>
      </w:r>
      <w:r w:rsidR="00B82954">
        <w:rPr>
          <w:rFonts w:ascii="Times New Roman" w:hAnsi="Times New Roman" w:cs="Times New Roman"/>
          <w:noProof/>
          <w:sz w:val="24"/>
          <w:szCs w:val="24"/>
          <w:lang w:val="en-IE"/>
        </w:rPr>
        <w:t>it is not expected that t</w:t>
      </w:r>
      <w:r w:rsidR="0058570F" w:rsidRPr="00873DBA">
        <w:rPr>
          <w:rFonts w:ascii="Times New Roman" w:hAnsi="Times New Roman" w:cs="Times New Roman"/>
          <w:noProof/>
          <w:sz w:val="24"/>
          <w:szCs w:val="24"/>
          <w:lang w:val="en-IE"/>
        </w:rPr>
        <w:t xml:space="preserve">he current organisational and governance set-up of eu-LISA </w:t>
      </w:r>
      <w:r w:rsidR="00B82954">
        <w:rPr>
          <w:rFonts w:ascii="Times New Roman" w:hAnsi="Times New Roman" w:cs="Times New Roman"/>
          <w:noProof/>
          <w:sz w:val="24"/>
          <w:szCs w:val="24"/>
          <w:lang w:val="en-IE"/>
        </w:rPr>
        <w:t xml:space="preserve">would </w:t>
      </w:r>
      <w:r w:rsidR="0058570F" w:rsidRPr="00873DBA">
        <w:rPr>
          <w:rFonts w:ascii="Times New Roman" w:hAnsi="Times New Roman" w:cs="Times New Roman"/>
          <w:noProof/>
          <w:sz w:val="24"/>
          <w:szCs w:val="24"/>
          <w:lang w:val="en-IE"/>
        </w:rPr>
        <w:t xml:space="preserve">interfere with the respect of the principle of the independence of the judiciary. </w:t>
      </w:r>
    </w:p>
    <w:p w14:paraId="5C3DBE21" w14:textId="6D290062" w:rsidR="0058570F" w:rsidRDefault="00D61AA1" w:rsidP="0058570F">
      <w:pPr>
        <w:jc w:val="both"/>
        <w:rPr>
          <w:rFonts w:ascii="Times New Roman" w:hAnsi="Times New Roman" w:cs="Times New Roman"/>
          <w:noProof/>
          <w:sz w:val="24"/>
          <w:szCs w:val="24"/>
          <w:lang w:val="en-IE"/>
        </w:rPr>
      </w:pPr>
      <w:r w:rsidRPr="006041F7">
        <w:rPr>
          <w:rFonts w:ascii="Times New Roman" w:hAnsi="Times New Roman" w:cs="Times New Roman"/>
          <w:b/>
          <w:bCs/>
          <w:noProof/>
          <w:sz w:val="24"/>
          <w:szCs w:val="24"/>
          <w:lang w:val="en-IE"/>
        </w:rPr>
        <w:t>The assessment of eu-LISA’s effectiveness is mixed</w:t>
      </w:r>
      <w:r>
        <w:rPr>
          <w:rFonts w:ascii="Times New Roman" w:hAnsi="Times New Roman" w:cs="Times New Roman"/>
          <w:noProof/>
          <w:sz w:val="24"/>
          <w:szCs w:val="24"/>
          <w:lang w:val="en-IE"/>
        </w:rPr>
        <w:t>.</w:t>
      </w:r>
      <w:r w:rsidR="0058570F" w:rsidRPr="00293B54">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 While eu-LISA performs well in the management of existing large-scale IT systems, with positive stakeholder feedback on service continuity and incident response, there is an important scope for improvement concerning the development of new systems.</w:t>
      </w:r>
    </w:p>
    <w:p w14:paraId="4BABA67C" w14:textId="1A5DEC61" w:rsidR="00D61AA1" w:rsidRPr="00293B54" w:rsidRDefault="00D61AA1" w:rsidP="0058570F">
      <w:pPr>
        <w:jc w:val="both"/>
        <w:rPr>
          <w:rFonts w:ascii="Times New Roman" w:hAnsi="Times New Roman" w:cs="Times New Roman"/>
          <w:noProof/>
          <w:sz w:val="24"/>
          <w:szCs w:val="24"/>
          <w:lang w:val="en-IE"/>
        </w:rPr>
      </w:pPr>
      <w:r w:rsidRPr="00293B54">
        <w:rPr>
          <w:rFonts w:ascii="Times New Roman" w:hAnsi="Times New Roman" w:cs="Times New Roman"/>
          <w:noProof/>
          <w:sz w:val="24"/>
          <w:szCs w:val="24"/>
          <w:lang w:val="en-IE"/>
        </w:rPr>
        <w:t>The effectiveness of the eu-LISA Regulation in achieving its objectives differs between task</w:t>
      </w:r>
      <w:r>
        <w:rPr>
          <w:rFonts w:ascii="Times New Roman" w:hAnsi="Times New Roman" w:cs="Times New Roman"/>
          <w:noProof/>
          <w:sz w:val="24"/>
          <w:szCs w:val="24"/>
          <w:lang w:val="en-IE"/>
        </w:rPr>
        <w:t>s:</w:t>
      </w:r>
    </w:p>
    <w:p w14:paraId="47B3EBAD" w14:textId="5900A77C" w:rsidR="0058570F" w:rsidRPr="00293B54" w:rsidRDefault="0058570F" w:rsidP="00050793">
      <w:pPr>
        <w:pStyle w:val="ListParagraph"/>
        <w:numPr>
          <w:ilvl w:val="0"/>
          <w:numId w:val="9"/>
        </w:numPr>
        <w:spacing w:after="160" w:line="259" w:lineRule="auto"/>
        <w:rPr>
          <w:noProof/>
          <w:szCs w:val="24"/>
          <w:lang w:val="en-IE"/>
        </w:rPr>
      </w:pPr>
      <w:r w:rsidRPr="00293B54">
        <w:rPr>
          <w:noProof/>
          <w:szCs w:val="24"/>
          <w:lang w:val="en-IE"/>
        </w:rPr>
        <w:t>The operational management of existing systems is generally very effective, and it has been identified as a strength</w:t>
      </w:r>
      <w:r w:rsidR="009B6B2D">
        <w:rPr>
          <w:noProof/>
          <w:szCs w:val="24"/>
          <w:lang w:val="en-IE"/>
        </w:rPr>
        <w:t>.</w:t>
      </w:r>
    </w:p>
    <w:p w14:paraId="6446B8E8" w14:textId="0014065A" w:rsidR="009B6B2D" w:rsidRPr="009B6B2D" w:rsidRDefault="009B6B2D" w:rsidP="009B6B2D">
      <w:pPr>
        <w:pStyle w:val="ListParagraph"/>
        <w:numPr>
          <w:ilvl w:val="0"/>
          <w:numId w:val="9"/>
        </w:numPr>
        <w:spacing w:after="160" w:line="259" w:lineRule="auto"/>
        <w:rPr>
          <w:noProof/>
          <w:szCs w:val="24"/>
          <w:lang w:val="en-IE"/>
        </w:rPr>
      </w:pPr>
      <w:r w:rsidRPr="009B6B2D">
        <w:rPr>
          <w:noProof/>
          <w:szCs w:val="24"/>
          <w:lang w:val="en-IE"/>
        </w:rPr>
        <w:t>The development of new systems is less effective, with the Agency encountering challenges related to, for example, contractor management, internal coordination, and resource allocation. These challenges have resulted in significant delays, notably in relation to the EES, ETIAS</w:t>
      </w:r>
      <w:r w:rsidR="008B00F7">
        <w:rPr>
          <w:noProof/>
          <w:szCs w:val="24"/>
          <w:lang w:val="en-IE"/>
        </w:rPr>
        <w:t>, ECRIS-TCN</w:t>
      </w:r>
      <w:r w:rsidRPr="009B6B2D">
        <w:rPr>
          <w:noProof/>
          <w:szCs w:val="24"/>
          <w:lang w:val="en-IE"/>
        </w:rPr>
        <w:t>, and revised VIS.</w:t>
      </w:r>
    </w:p>
    <w:p w14:paraId="08309897" w14:textId="77777777" w:rsidR="009B6B2D" w:rsidRPr="009B6B2D" w:rsidRDefault="009B6B2D" w:rsidP="009B6B2D">
      <w:pPr>
        <w:pStyle w:val="ListParagraph"/>
        <w:numPr>
          <w:ilvl w:val="0"/>
          <w:numId w:val="9"/>
        </w:numPr>
        <w:spacing w:after="160" w:line="259" w:lineRule="auto"/>
        <w:rPr>
          <w:noProof/>
          <w:szCs w:val="24"/>
          <w:lang w:val="en-IE"/>
        </w:rPr>
      </w:pPr>
      <w:r w:rsidRPr="009B6B2D">
        <w:rPr>
          <w:noProof/>
          <w:szCs w:val="24"/>
          <w:lang w:val="en-IE"/>
        </w:rPr>
        <w:t>The effectiveness of the Agency in conducting tasks that are not related to the systems is mixed, with positive outputs in research monitoring, but the limited use of pilot testing and ad hoc support to the European Commission and Member States, as provided in Articles 15 and 16 of the current eu-LISA Regulation.</w:t>
      </w:r>
    </w:p>
    <w:p w14:paraId="0C320AB3" w14:textId="216E86E5" w:rsidR="0058570F" w:rsidRPr="00DC11A7" w:rsidRDefault="0058570F" w:rsidP="0058570F">
      <w:pPr>
        <w:jc w:val="both"/>
        <w:rPr>
          <w:rFonts w:ascii="Times New Roman" w:hAnsi="Times New Roman" w:cs="Times New Roman"/>
          <w:noProof/>
          <w:sz w:val="24"/>
          <w:szCs w:val="24"/>
          <w:lang w:val="en-IE"/>
        </w:rPr>
      </w:pPr>
      <w:r w:rsidRPr="00D071CB">
        <w:rPr>
          <w:rFonts w:ascii="Times New Roman" w:hAnsi="Times New Roman" w:cs="Times New Roman"/>
          <w:noProof/>
          <w:sz w:val="24"/>
          <w:szCs w:val="24"/>
          <w:lang w:val="en-IE"/>
        </w:rPr>
        <w:t xml:space="preserve">With its achievements relating to the development, management and operation of IT systems as well as to </w:t>
      </w:r>
      <w:r w:rsidR="00A2246F">
        <w:rPr>
          <w:rFonts w:ascii="Times New Roman" w:hAnsi="Times New Roman" w:cs="Times New Roman"/>
          <w:noProof/>
          <w:sz w:val="24"/>
          <w:szCs w:val="24"/>
          <w:lang w:val="en-IE"/>
        </w:rPr>
        <w:t xml:space="preserve">monitoring of </w:t>
      </w:r>
      <w:r w:rsidRPr="00D071CB">
        <w:rPr>
          <w:rFonts w:ascii="Times New Roman" w:hAnsi="Times New Roman" w:cs="Times New Roman"/>
          <w:noProof/>
          <w:sz w:val="24"/>
          <w:szCs w:val="24"/>
          <w:lang w:val="en-IE"/>
        </w:rPr>
        <w:t xml:space="preserve">research, piloting and testing, eu-LISA was able to contribute to a coordinated, cost-effective and coherent IT environment at Union level in the </w:t>
      </w:r>
      <w:r w:rsidR="00942347" w:rsidRPr="00942347">
        <w:rPr>
          <w:rFonts w:ascii="Times New Roman" w:hAnsi="Times New Roman" w:cs="Times New Roman"/>
          <w:noProof/>
          <w:sz w:val="24"/>
          <w:szCs w:val="24"/>
          <w:lang w:val="en-IE"/>
        </w:rPr>
        <w:t>area of freedom, security and justice</w:t>
      </w:r>
      <w:r w:rsidRPr="00D071CB">
        <w:rPr>
          <w:rFonts w:ascii="Times New Roman" w:hAnsi="Times New Roman" w:cs="Times New Roman"/>
          <w:noProof/>
          <w:sz w:val="24"/>
          <w:szCs w:val="24"/>
          <w:lang w:val="en-IE"/>
        </w:rPr>
        <w:t xml:space="preserve">, the development of IT-based solutions in the </w:t>
      </w:r>
      <w:r w:rsidR="008670D3" w:rsidRPr="008670D3">
        <w:rPr>
          <w:rFonts w:ascii="Times New Roman" w:hAnsi="Times New Roman" w:cs="Times New Roman"/>
          <w:noProof/>
          <w:sz w:val="24"/>
          <w:szCs w:val="24"/>
          <w:lang w:val="en-IE"/>
        </w:rPr>
        <w:t>area of freedom, security and justice</w:t>
      </w:r>
      <w:r w:rsidRPr="00D071CB">
        <w:rPr>
          <w:rFonts w:ascii="Times New Roman" w:hAnsi="Times New Roman" w:cs="Times New Roman"/>
          <w:noProof/>
          <w:sz w:val="24"/>
          <w:szCs w:val="24"/>
          <w:lang w:val="en-IE"/>
        </w:rPr>
        <w:t xml:space="preserve"> as well as </w:t>
      </w:r>
      <w:r w:rsidR="00A2246F">
        <w:rPr>
          <w:rFonts w:ascii="Times New Roman" w:hAnsi="Times New Roman" w:cs="Times New Roman"/>
          <w:noProof/>
          <w:sz w:val="24"/>
          <w:szCs w:val="24"/>
          <w:lang w:val="en-IE"/>
        </w:rPr>
        <w:t xml:space="preserve">the implementation of </w:t>
      </w:r>
      <w:r w:rsidRPr="00D071CB">
        <w:rPr>
          <w:rFonts w:ascii="Times New Roman" w:hAnsi="Times New Roman" w:cs="Times New Roman"/>
          <w:noProof/>
          <w:sz w:val="24"/>
          <w:szCs w:val="24"/>
          <w:lang w:val="en-IE"/>
        </w:rPr>
        <w:t xml:space="preserve">evidence-based policy-making in this field. Thereby, the Agency </w:t>
      </w:r>
      <w:r w:rsidR="00853C5C">
        <w:rPr>
          <w:rFonts w:ascii="Times New Roman" w:hAnsi="Times New Roman" w:cs="Times New Roman"/>
          <w:noProof/>
          <w:sz w:val="24"/>
          <w:szCs w:val="24"/>
          <w:lang w:val="en-IE"/>
        </w:rPr>
        <w:t>contributed to</w:t>
      </w:r>
      <w:r w:rsidRPr="00DC11A7">
        <w:rPr>
          <w:rFonts w:ascii="Times New Roman" w:hAnsi="Times New Roman" w:cs="Times New Roman"/>
          <w:noProof/>
          <w:sz w:val="24"/>
          <w:szCs w:val="24"/>
          <w:lang w:val="en-IE"/>
        </w:rPr>
        <w:t xml:space="preserve"> a high-level security within the </w:t>
      </w:r>
      <w:r w:rsidR="008670D3" w:rsidRPr="008670D3">
        <w:rPr>
          <w:rFonts w:ascii="Times New Roman" w:hAnsi="Times New Roman" w:cs="Times New Roman"/>
          <w:noProof/>
          <w:sz w:val="24"/>
          <w:szCs w:val="24"/>
          <w:lang w:val="en-IE"/>
        </w:rPr>
        <w:t>area of freedom, security and justice</w:t>
      </w:r>
      <w:r w:rsidRPr="00DC11A7">
        <w:rPr>
          <w:rFonts w:ascii="Times New Roman" w:hAnsi="Times New Roman" w:cs="Times New Roman"/>
          <w:noProof/>
          <w:sz w:val="24"/>
          <w:szCs w:val="24"/>
          <w:lang w:val="en-IE"/>
        </w:rPr>
        <w:t>. However, there is room for improvement based on the shortcomings relating to the development of the systems</w:t>
      </w:r>
      <w:r w:rsidR="00A97D52">
        <w:rPr>
          <w:rFonts w:ascii="Times New Roman" w:hAnsi="Times New Roman" w:cs="Times New Roman"/>
          <w:noProof/>
          <w:sz w:val="24"/>
          <w:szCs w:val="24"/>
          <w:lang w:val="en-IE"/>
        </w:rPr>
        <w:t>.</w:t>
      </w:r>
    </w:p>
    <w:p w14:paraId="76D12714" w14:textId="2839BCB6" w:rsidR="0058570F" w:rsidRPr="00C36A11" w:rsidRDefault="0058570F" w:rsidP="0058570F">
      <w:pPr>
        <w:jc w:val="both"/>
        <w:rPr>
          <w:rFonts w:ascii="Times New Roman" w:hAnsi="Times New Roman" w:cs="Times New Roman"/>
          <w:noProof/>
          <w:sz w:val="24"/>
          <w:szCs w:val="24"/>
          <w:lang w:val="en-IE"/>
        </w:rPr>
      </w:pPr>
      <w:r w:rsidRPr="00DC11A7">
        <w:rPr>
          <w:rFonts w:ascii="Times New Roman" w:hAnsi="Times New Roman" w:cs="Times New Roman"/>
          <w:noProof/>
          <w:sz w:val="24"/>
          <w:szCs w:val="24"/>
          <w:lang w:val="en-IE"/>
        </w:rPr>
        <w:t xml:space="preserve">In </w:t>
      </w:r>
      <w:r>
        <w:rPr>
          <w:rFonts w:ascii="Times New Roman" w:hAnsi="Times New Roman" w:cs="Times New Roman"/>
          <w:noProof/>
          <w:sz w:val="24"/>
          <w:szCs w:val="24"/>
          <w:lang w:val="en-IE"/>
        </w:rPr>
        <w:t>regard to</w:t>
      </w:r>
      <w:r w:rsidRPr="00DC11A7">
        <w:rPr>
          <w:rFonts w:ascii="Times New Roman" w:hAnsi="Times New Roman" w:cs="Times New Roman"/>
          <w:noProof/>
          <w:sz w:val="24"/>
          <w:szCs w:val="24"/>
          <w:lang w:val="en-IE"/>
        </w:rPr>
        <w:t xml:space="preserve"> the objective of contributing to a coordinated, cost-effective and coherent IT environment at Union level in the </w:t>
      </w:r>
      <w:r w:rsidR="00942347" w:rsidRPr="00942347">
        <w:rPr>
          <w:rFonts w:ascii="Times New Roman" w:hAnsi="Times New Roman" w:cs="Times New Roman"/>
          <w:noProof/>
          <w:sz w:val="24"/>
          <w:szCs w:val="24"/>
          <w:lang w:val="en-IE"/>
        </w:rPr>
        <w:t>area of freedom, security and justice</w:t>
      </w:r>
      <w:r w:rsidRPr="00DC11A7">
        <w:rPr>
          <w:rFonts w:ascii="Times New Roman" w:hAnsi="Times New Roman" w:cs="Times New Roman"/>
          <w:noProof/>
          <w:sz w:val="24"/>
          <w:szCs w:val="24"/>
          <w:lang w:val="en-IE"/>
        </w:rPr>
        <w:t xml:space="preserve">, eu-LISA is, to a large-extent, effective. The management of existing IT systems has been eu-LISA’s core strength over the past years. Stakeholders’ satisfaction with the performance of the Agency is high in particular with regard to the services the Agency offers concerning </w:t>
      </w:r>
      <w:r w:rsidR="00D71436">
        <w:rPr>
          <w:rFonts w:ascii="Times New Roman" w:hAnsi="Times New Roman" w:cs="Times New Roman"/>
          <w:noProof/>
          <w:sz w:val="24"/>
          <w:szCs w:val="24"/>
          <w:lang w:val="en-IE"/>
        </w:rPr>
        <w:t>the</w:t>
      </w:r>
      <w:r w:rsidR="00D71436" w:rsidRPr="00DC11A7">
        <w:rPr>
          <w:rFonts w:ascii="Times New Roman" w:hAnsi="Times New Roman" w:cs="Times New Roman"/>
          <w:noProof/>
          <w:sz w:val="24"/>
          <w:szCs w:val="24"/>
          <w:lang w:val="en-IE"/>
        </w:rPr>
        <w:t xml:space="preserve"> </w:t>
      </w:r>
      <w:r w:rsidRPr="00DC11A7">
        <w:rPr>
          <w:rFonts w:ascii="Times New Roman" w:hAnsi="Times New Roman" w:cs="Times New Roman"/>
          <w:noProof/>
          <w:sz w:val="24"/>
          <w:szCs w:val="24"/>
          <w:lang w:val="en-IE"/>
        </w:rPr>
        <w:t>system</w:t>
      </w:r>
      <w:r w:rsidR="00D71436">
        <w:rPr>
          <w:rFonts w:ascii="Times New Roman" w:hAnsi="Times New Roman" w:cs="Times New Roman"/>
          <w:noProof/>
          <w:sz w:val="24"/>
          <w:szCs w:val="24"/>
          <w:lang w:val="en-IE"/>
        </w:rPr>
        <w:t xml:space="preserve"> operated by the Agency</w:t>
      </w:r>
      <w:r w:rsidRPr="00DC11A7">
        <w:rPr>
          <w:rFonts w:ascii="Times New Roman" w:hAnsi="Times New Roman" w:cs="Times New Roman"/>
          <w:noProof/>
          <w:sz w:val="24"/>
          <w:szCs w:val="24"/>
          <w:lang w:val="en-IE"/>
        </w:rPr>
        <w:t xml:space="preserve">, as well as their security. Evidence suggests that there is </w:t>
      </w:r>
      <w:r w:rsidRPr="00C36A11">
        <w:rPr>
          <w:rFonts w:ascii="Times New Roman" w:hAnsi="Times New Roman" w:cs="Times New Roman"/>
          <w:noProof/>
          <w:sz w:val="24"/>
          <w:szCs w:val="24"/>
          <w:lang w:val="en-IE"/>
        </w:rPr>
        <w:t>small room for improvement with regard to operational requirements.</w:t>
      </w:r>
    </w:p>
    <w:p w14:paraId="50D510FE" w14:textId="32781010" w:rsidR="0058570F" w:rsidRPr="00D639A3" w:rsidRDefault="0058570F" w:rsidP="0058570F">
      <w:pPr>
        <w:jc w:val="both"/>
        <w:rPr>
          <w:rFonts w:ascii="Times New Roman" w:hAnsi="Times New Roman" w:cs="Times New Roman"/>
          <w:noProof/>
          <w:sz w:val="24"/>
          <w:szCs w:val="24"/>
          <w:lang w:val="en-IE"/>
        </w:rPr>
      </w:pPr>
      <w:r w:rsidRPr="00C36A11">
        <w:rPr>
          <w:rFonts w:ascii="Times New Roman" w:hAnsi="Times New Roman" w:cs="Times New Roman"/>
          <w:noProof/>
          <w:sz w:val="24"/>
          <w:szCs w:val="24"/>
          <w:lang w:val="en-IE"/>
        </w:rPr>
        <w:t>eu-LISA</w:t>
      </w:r>
      <w:r w:rsidR="00354B9E">
        <w:rPr>
          <w:rFonts w:ascii="Times New Roman" w:hAnsi="Times New Roman" w:cs="Times New Roman"/>
          <w:noProof/>
          <w:sz w:val="24"/>
          <w:szCs w:val="24"/>
          <w:lang w:val="en-IE"/>
        </w:rPr>
        <w:t>’s</w:t>
      </w:r>
      <w:r w:rsidRPr="00C36A11">
        <w:rPr>
          <w:rFonts w:ascii="Times New Roman" w:hAnsi="Times New Roman" w:cs="Times New Roman"/>
          <w:noProof/>
          <w:sz w:val="24"/>
          <w:szCs w:val="24"/>
          <w:lang w:val="en-IE"/>
        </w:rPr>
        <w:t xml:space="preserve"> </w:t>
      </w:r>
      <w:r w:rsidR="00354B9E" w:rsidRPr="00C36A11">
        <w:rPr>
          <w:rFonts w:ascii="Times New Roman" w:hAnsi="Times New Roman" w:cs="Times New Roman"/>
          <w:noProof/>
          <w:sz w:val="24"/>
          <w:szCs w:val="24"/>
          <w:lang w:val="en-IE"/>
        </w:rPr>
        <w:t>effectiv</w:t>
      </w:r>
      <w:r w:rsidR="00354B9E">
        <w:rPr>
          <w:rFonts w:ascii="Times New Roman" w:hAnsi="Times New Roman" w:cs="Times New Roman"/>
          <w:noProof/>
          <w:sz w:val="24"/>
          <w:szCs w:val="24"/>
          <w:lang w:val="en-IE"/>
        </w:rPr>
        <w:t>ene</w:t>
      </w:r>
      <w:r w:rsidR="00354B9E" w:rsidRPr="00C36A11">
        <w:rPr>
          <w:rFonts w:ascii="Times New Roman" w:hAnsi="Times New Roman" w:cs="Times New Roman"/>
          <w:noProof/>
          <w:sz w:val="24"/>
          <w:szCs w:val="24"/>
          <w:lang w:val="en-IE"/>
        </w:rPr>
        <w:t>ss</w:t>
      </w:r>
      <w:r w:rsidRPr="00C36A11">
        <w:rPr>
          <w:rFonts w:ascii="Times New Roman" w:hAnsi="Times New Roman" w:cs="Times New Roman"/>
          <w:noProof/>
          <w:sz w:val="24"/>
          <w:szCs w:val="24"/>
          <w:lang w:val="en-IE"/>
        </w:rPr>
        <w:t xml:space="preserve"> with regard to the development of IT-based solutions in the ASFJ is positive but there is ample room for improvement for the Agency as a whole, in particular with regard to the Agency’s overall operating model and strategy and concerning the organisation and resource </w:t>
      </w:r>
      <w:r w:rsidRPr="00D639A3">
        <w:rPr>
          <w:rFonts w:ascii="Times New Roman" w:hAnsi="Times New Roman" w:cs="Times New Roman"/>
          <w:noProof/>
          <w:sz w:val="24"/>
          <w:szCs w:val="24"/>
          <w:lang w:val="en-IE"/>
        </w:rPr>
        <w:t>management of the Agency.</w:t>
      </w:r>
    </w:p>
    <w:p w14:paraId="18F9BB50" w14:textId="13DEE073" w:rsidR="0058570F" w:rsidRPr="00FE52E3" w:rsidRDefault="0058570F" w:rsidP="0058570F">
      <w:pPr>
        <w:jc w:val="both"/>
        <w:rPr>
          <w:rFonts w:ascii="Times New Roman" w:hAnsi="Times New Roman" w:cs="Times New Roman"/>
          <w:noProof/>
          <w:sz w:val="24"/>
          <w:szCs w:val="24"/>
          <w:lang w:val="en-IE"/>
        </w:rPr>
      </w:pPr>
      <w:r w:rsidRPr="00D639A3">
        <w:rPr>
          <w:rFonts w:ascii="Times New Roman" w:hAnsi="Times New Roman" w:cs="Times New Roman"/>
          <w:noProof/>
          <w:sz w:val="24"/>
          <w:szCs w:val="24"/>
          <w:lang w:val="en-IE"/>
        </w:rPr>
        <w:t>Finally, the effectiveness with regard to</w:t>
      </w:r>
      <w:r w:rsidR="008032E3">
        <w:rPr>
          <w:rFonts w:ascii="Times New Roman" w:hAnsi="Times New Roman" w:cs="Times New Roman"/>
          <w:noProof/>
          <w:sz w:val="24"/>
          <w:szCs w:val="24"/>
          <w:lang w:val="en-IE"/>
        </w:rPr>
        <w:t xml:space="preserve"> the implementation of</w:t>
      </w:r>
      <w:r w:rsidRPr="00D639A3">
        <w:rPr>
          <w:rFonts w:ascii="Times New Roman" w:hAnsi="Times New Roman" w:cs="Times New Roman"/>
          <w:noProof/>
          <w:sz w:val="24"/>
          <w:szCs w:val="24"/>
          <w:lang w:val="en-IE"/>
        </w:rPr>
        <w:t xml:space="preserve"> evidence-based Union migration and security policy is limited. While the Agency is compiling and publishing relevant statistics and produces statistical reports, and the website of eu-LISA contains links to relevant documentation about the Agency’s and the governance bodies’ activities, the accessibility and user-friendliness of these publications is limited. This </w:t>
      </w:r>
      <w:r>
        <w:rPr>
          <w:rFonts w:ascii="Times New Roman" w:hAnsi="Times New Roman" w:cs="Times New Roman"/>
          <w:noProof/>
          <w:sz w:val="24"/>
          <w:szCs w:val="24"/>
          <w:lang w:val="en-IE"/>
        </w:rPr>
        <w:t xml:space="preserve">negatively </w:t>
      </w:r>
      <w:r w:rsidRPr="00D639A3">
        <w:rPr>
          <w:rFonts w:ascii="Times New Roman" w:hAnsi="Times New Roman" w:cs="Times New Roman"/>
          <w:noProof/>
          <w:sz w:val="24"/>
          <w:szCs w:val="24"/>
          <w:lang w:val="en-IE"/>
        </w:rPr>
        <w:t xml:space="preserve">impacts on the </w:t>
      </w:r>
      <w:r w:rsidRPr="00FE52E3">
        <w:rPr>
          <w:rFonts w:ascii="Times New Roman" w:hAnsi="Times New Roman" w:cs="Times New Roman"/>
          <w:noProof/>
          <w:sz w:val="24"/>
          <w:szCs w:val="24"/>
          <w:lang w:val="en-IE"/>
        </w:rPr>
        <w:t>extent to which the information can be used in practice and, therefore, the transparency of the Agency’s activities overall.</w:t>
      </w:r>
    </w:p>
    <w:p w14:paraId="168D8B71" w14:textId="2D07788A" w:rsidR="00712C9D" w:rsidRPr="00EA5066" w:rsidRDefault="0058570F" w:rsidP="0058570F">
      <w:pPr>
        <w:jc w:val="both"/>
        <w:rPr>
          <w:rFonts w:ascii="Times New Roman" w:hAnsi="Times New Roman" w:cs="Times New Roman"/>
          <w:noProof/>
          <w:sz w:val="24"/>
          <w:szCs w:val="24"/>
          <w:lang w:val="en-IE"/>
        </w:rPr>
      </w:pPr>
      <w:r w:rsidRPr="00FE52E3">
        <w:rPr>
          <w:rFonts w:ascii="Times New Roman" w:hAnsi="Times New Roman" w:cs="Times New Roman"/>
          <w:b/>
          <w:bCs/>
          <w:noProof/>
          <w:sz w:val="24"/>
          <w:szCs w:val="24"/>
          <w:lang w:val="en-IE"/>
        </w:rPr>
        <w:t xml:space="preserve">The assessment </w:t>
      </w:r>
      <w:r w:rsidR="0014330A" w:rsidRPr="00FE52E3">
        <w:rPr>
          <w:rFonts w:ascii="Times New Roman" w:hAnsi="Times New Roman" w:cs="Times New Roman"/>
          <w:b/>
          <w:bCs/>
          <w:noProof/>
          <w:sz w:val="24"/>
          <w:szCs w:val="24"/>
          <w:lang w:val="en-IE"/>
        </w:rPr>
        <w:t>of eu-LISA’s efficiency presents a nuanced picture</w:t>
      </w:r>
      <w:r w:rsidR="00FE52E3" w:rsidRPr="006041F7">
        <w:rPr>
          <w:rFonts w:ascii="Times New Roman" w:hAnsi="Times New Roman" w:cs="Times New Roman"/>
          <w:noProof/>
          <w:sz w:val="24"/>
          <w:szCs w:val="24"/>
          <w:lang w:val="en-IE"/>
        </w:rPr>
        <w:t xml:space="preserve"> While the Agency has demonstrated strong efficiency in the operational management of existing large-scale IT systems, there remains considerable scope for improvement in the development and delivery of new systems.</w:t>
      </w:r>
      <w:r w:rsidRPr="00FE52E3">
        <w:rPr>
          <w:rFonts w:ascii="Times New Roman" w:hAnsi="Times New Roman" w:cs="Times New Roman"/>
          <w:noProof/>
          <w:sz w:val="24"/>
          <w:szCs w:val="24"/>
          <w:lang w:val="en-IE"/>
        </w:rPr>
        <w:t xml:space="preserve"> Challenges in this regard</w:t>
      </w:r>
      <w:r w:rsidR="00FE52E3">
        <w:rPr>
          <w:rFonts w:ascii="Times New Roman" w:hAnsi="Times New Roman" w:cs="Times New Roman"/>
          <w:noProof/>
          <w:sz w:val="24"/>
          <w:szCs w:val="24"/>
          <w:lang w:val="en-IE"/>
        </w:rPr>
        <w:t xml:space="preserve"> largely</w:t>
      </w:r>
      <w:r w:rsidRPr="00FE52E3">
        <w:rPr>
          <w:rFonts w:ascii="Times New Roman" w:hAnsi="Times New Roman" w:cs="Times New Roman"/>
          <w:noProof/>
          <w:sz w:val="24"/>
          <w:szCs w:val="24"/>
          <w:lang w:val="en-IE"/>
        </w:rPr>
        <w:t xml:space="preserve"> stem</w:t>
      </w:r>
      <w:r w:rsidR="00FE52E3">
        <w:rPr>
          <w:rFonts w:ascii="Times New Roman" w:hAnsi="Times New Roman" w:cs="Times New Roman"/>
          <w:noProof/>
          <w:sz w:val="24"/>
          <w:szCs w:val="24"/>
          <w:lang w:val="en-IE"/>
        </w:rPr>
        <w:t xml:space="preserve"> from</w:t>
      </w:r>
      <w:r w:rsidRPr="00FE52E3">
        <w:rPr>
          <w:rFonts w:ascii="Times New Roman" w:hAnsi="Times New Roman" w:cs="Times New Roman"/>
          <w:noProof/>
          <w:sz w:val="24"/>
          <w:szCs w:val="24"/>
          <w:lang w:val="en-IE"/>
        </w:rPr>
        <w:t xml:space="preserve"> difficulties in </w:t>
      </w:r>
      <w:r w:rsidR="00FE52E3">
        <w:rPr>
          <w:rFonts w:ascii="Times New Roman" w:hAnsi="Times New Roman" w:cs="Times New Roman"/>
          <w:noProof/>
          <w:sz w:val="24"/>
          <w:szCs w:val="24"/>
          <w:lang w:val="en-IE"/>
        </w:rPr>
        <w:t>contractor management and difficulties adhering to timelines for major projects, such as the EES and ETIAS</w:t>
      </w:r>
      <w:r w:rsidRPr="00385739">
        <w:rPr>
          <w:rFonts w:ascii="Times New Roman" w:hAnsi="Times New Roman" w:cs="Times New Roman"/>
          <w:noProof/>
          <w:sz w:val="24"/>
          <w:szCs w:val="24"/>
          <w:lang w:val="en-IE"/>
        </w:rPr>
        <w:t xml:space="preserve">. </w:t>
      </w:r>
      <w:r w:rsidR="00FE52E3">
        <w:rPr>
          <w:rFonts w:ascii="Times New Roman" w:hAnsi="Times New Roman" w:cs="Times New Roman"/>
          <w:noProof/>
          <w:sz w:val="24"/>
          <w:szCs w:val="24"/>
          <w:lang w:val="en-IE"/>
        </w:rPr>
        <w:t xml:space="preserve">From an organisational and </w:t>
      </w:r>
      <w:r w:rsidR="001567EC">
        <w:rPr>
          <w:rFonts w:ascii="Times New Roman" w:hAnsi="Times New Roman" w:cs="Times New Roman"/>
          <w:noProof/>
          <w:sz w:val="24"/>
          <w:szCs w:val="24"/>
          <w:lang w:val="en-IE"/>
        </w:rPr>
        <w:t xml:space="preserve">governance perspective, </w:t>
      </w:r>
      <w:r w:rsidR="001567EC" w:rsidRPr="00EA5066">
        <w:rPr>
          <w:rFonts w:ascii="Times New Roman" w:hAnsi="Times New Roman" w:cs="Times New Roman"/>
          <w:noProof/>
          <w:sz w:val="24"/>
          <w:szCs w:val="24"/>
          <w:lang w:val="en-IE"/>
        </w:rPr>
        <w:t xml:space="preserve">eu-LISA operates efficiently and </w:t>
      </w:r>
      <w:r w:rsidR="00A415B2" w:rsidRPr="00EA5066">
        <w:rPr>
          <w:rFonts w:ascii="Times New Roman" w:hAnsi="Times New Roman" w:cs="Times New Roman"/>
          <w:noProof/>
          <w:sz w:val="24"/>
          <w:szCs w:val="24"/>
          <w:lang w:val="en-IE"/>
        </w:rPr>
        <w:t>continuously strives to optimise its internal processes</w:t>
      </w:r>
      <w:r w:rsidRPr="00EA5066">
        <w:rPr>
          <w:rFonts w:ascii="Times New Roman" w:hAnsi="Times New Roman" w:cs="Times New Roman"/>
          <w:noProof/>
          <w:sz w:val="24"/>
          <w:szCs w:val="24"/>
          <w:lang w:val="en-IE"/>
        </w:rPr>
        <w:t xml:space="preserve">. Nevertheless, </w:t>
      </w:r>
      <w:r w:rsidR="00A415B2" w:rsidRPr="00EA5066">
        <w:rPr>
          <w:rFonts w:ascii="Times New Roman" w:hAnsi="Times New Roman" w:cs="Times New Roman"/>
          <w:noProof/>
          <w:sz w:val="24"/>
          <w:szCs w:val="24"/>
          <w:lang w:val="en-IE"/>
        </w:rPr>
        <w:t>certain structural issues have been identified that hinger the Agency’s optimal performance</w:t>
      </w:r>
      <w:r w:rsidRPr="00EA5066">
        <w:rPr>
          <w:rFonts w:ascii="Times New Roman" w:hAnsi="Times New Roman" w:cs="Times New Roman"/>
          <w:noProof/>
          <w:sz w:val="24"/>
          <w:szCs w:val="24"/>
          <w:lang w:val="en-IE"/>
        </w:rPr>
        <w:t xml:space="preserve">, for </w:t>
      </w:r>
      <w:r w:rsidR="00A415B2" w:rsidRPr="00EA5066">
        <w:rPr>
          <w:rFonts w:ascii="Times New Roman" w:hAnsi="Times New Roman" w:cs="Times New Roman"/>
          <w:noProof/>
          <w:sz w:val="24"/>
          <w:szCs w:val="24"/>
          <w:lang w:val="en-IE"/>
        </w:rPr>
        <w:t>instance</w:t>
      </w:r>
      <w:r w:rsidRPr="00EA5066">
        <w:rPr>
          <w:rFonts w:ascii="Times New Roman" w:hAnsi="Times New Roman" w:cs="Times New Roman"/>
          <w:noProof/>
          <w:sz w:val="24"/>
          <w:szCs w:val="24"/>
          <w:lang w:val="en-IE"/>
        </w:rPr>
        <w:t xml:space="preserve">, the rigid unit-based set-up, </w:t>
      </w:r>
      <w:r w:rsidR="001A2C95" w:rsidRPr="00EA5066">
        <w:rPr>
          <w:rFonts w:ascii="Times New Roman" w:hAnsi="Times New Roman" w:cs="Times New Roman"/>
          <w:noProof/>
          <w:sz w:val="24"/>
          <w:szCs w:val="24"/>
          <w:lang w:val="en-IE"/>
        </w:rPr>
        <w:t>oversized teams and overlapping responsibilities, particularly in stakeholder engagement</w:t>
      </w:r>
      <w:r w:rsidRPr="00EA5066">
        <w:rPr>
          <w:rFonts w:ascii="Times New Roman" w:hAnsi="Times New Roman" w:cs="Times New Roman"/>
          <w:noProof/>
          <w:sz w:val="24"/>
          <w:szCs w:val="24"/>
          <w:lang w:val="en-IE"/>
        </w:rPr>
        <w:t xml:space="preserve">. </w:t>
      </w:r>
    </w:p>
    <w:p w14:paraId="4BF0C70B" w14:textId="4A11E6D0" w:rsidR="00675CAF" w:rsidRPr="00EA5066" w:rsidRDefault="00675CAF" w:rsidP="0058570F">
      <w:pPr>
        <w:jc w:val="both"/>
        <w:rPr>
          <w:rFonts w:ascii="Times New Roman" w:hAnsi="Times New Roman" w:cs="Times New Roman"/>
          <w:noProof/>
          <w:sz w:val="24"/>
          <w:szCs w:val="24"/>
          <w:lang w:val="en-IE"/>
        </w:rPr>
      </w:pPr>
      <w:r w:rsidRPr="006041F7">
        <w:rPr>
          <w:rFonts w:ascii="Times New Roman" w:hAnsi="Times New Roman" w:cs="Times New Roman"/>
          <w:noProof/>
          <w:sz w:val="24"/>
          <w:szCs w:val="24"/>
          <w:lang w:val="en-IE"/>
        </w:rPr>
        <w:t>Additionally, eu-LISA’s operations are fragmented across different locations in Tallinn, Strasbourg and Sankt Johann im Pongau. These factors have, at times, contributed to inefficiencies, notably in contract management and oversight, as well as recruitment of the Agency’s staff</w:t>
      </w:r>
      <w:r w:rsidR="00EA5066" w:rsidRPr="006041F7">
        <w:rPr>
          <w:rFonts w:ascii="Times New Roman" w:hAnsi="Times New Roman" w:cs="Times New Roman"/>
          <w:noProof/>
          <w:sz w:val="24"/>
          <w:szCs w:val="24"/>
          <w:lang w:val="en-IE"/>
        </w:rPr>
        <w:t>. The Agency’s governance framework is inherently complex and can generate substantial administrative overhead. While this complexity is to some extent justified by the need to ensure robust coordination across Member States and EU institutions concerns have been raised about the administrative burden resulting from meeting-heavy schedules. The evaluation concludes that streamlining governance mechanisms and enhancing coordination among governance bodies could generate valuable synergies, reducing organisational overhead. At the same time, eu-LISA’s excessive reliance on external contractors for technical delivery poses persistent challenges, limiting its ability to effectively oversee complex IT projects. Addressing this dependency by boosting internal knowledge, improving talent retention, and strengthening project ownership is essential for ensuring long-term organisational resilience.</w:t>
      </w:r>
    </w:p>
    <w:p w14:paraId="737F6DFF" w14:textId="473466E7" w:rsidR="006E3993" w:rsidRPr="00D30AC0" w:rsidRDefault="0058570F" w:rsidP="006E3993">
      <w:pPr>
        <w:jc w:val="both"/>
        <w:rPr>
          <w:rFonts w:ascii="Times New Roman" w:hAnsi="Times New Roman" w:cs="Times New Roman"/>
          <w:noProof/>
          <w:sz w:val="24"/>
          <w:szCs w:val="24"/>
          <w:lang w:val="en-IE"/>
        </w:rPr>
      </w:pPr>
      <w:r w:rsidRPr="00D30AC0">
        <w:rPr>
          <w:rFonts w:ascii="Times New Roman" w:hAnsi="Times New Roman" w:cs="Times New Roman"/>
          <w:noProof/>
          <w:sz w:val="24"/>
          <w:szCs w:val="24"/>
          <w:lang w:val="en-IE"/>
        </w:rPr>
        <w:t xml:space="preserve"> eu-LISA</w:t>
      </w:r>
      <w:r w:rsidR="00EA5066" w:rsidRPr="00D30AC0">
        <w:rPr>
          <w:rFonts w:ascii="Times New Roman" w:hAnsi="Times New Roman" w:cs="Times New Roman"/>
          <w:noProof/>
          <w:sz w:val="24"/>
          <w:szCs w:val="24"/>
          <w:lang w:val="en-IE"/>
        </w:rPr>
        <w:t xml:space="preserve"> is recognised for its </w:t>
      </w:r>
      <w:r w:rsidR="002C6B87" w:rsidRPr="00D30AC0">
        <w:rPr>
          <w:rFonts w:ascii="Times New Roman" w:hAnsi="Times New Roman" w:cs="Times New Roman"/>
          <w:noProof/>
          <w:sz w:val="24"/>
          <w:szCs w:val="24"/>
          <w:lang w:val="en-IE"/>
        </w:rPr>
        <w:t>competent</w:t>
      </w:r>
      <w:r w:rsidR="00EA5066" w:rsidRPr="00D30AC0">
        <w:rPr>
          <w:rFonts w:ascii="Times New Roman" w:hAnsi="Times New Roman" w:cs="Times New Roman"/>
          <w:noProof/>
          <w:sz w:val="24"/>
          <w:szCs w:val="24"/>
          <w:lang w:val="en-IE"/>
        </w:rPr>
        <w:t xml:space="preserve"> and efficien</w:t>
      </w:r>
      <w:r w:rsidR="002C6B87" w:rsidRPr="00D30AC0">
        <w:rPr>
          <w:rFonts w:ascii="Times New Roman" w:hAnsi="Times New Roman" w:cs="Times New Roman"/>
          <w:noProof/>
          <w:sz w:val="24"/>
          <w:szCs w:val="24"/>
          <w:lang w:val="en-IE"/>
        </w:rPr>
        <w:t>t operational management of IT systems.</w:t>
      </w:r>
      <w:r w:rsidRPr="00D30AC0">
        <w:rPr>
          <w:rFonts w:ascii="Times New Roman" w:hAnsi="Times New Roman" w:cs="Times New Roman"/>
          <w:noProof/>
          <w:sz w:val="24"/>
          <w:szCs w:val="24"/>
          <w:lang w:val="en-IE"/>
        </w:rPr>
        <w:t xml:space="preserve"> Stakeholders’ perception of eu-LISA’s performance in this regard is positive: in the limited number of incidences or service disruptions that have taken place, the Agency was able to swiftly implement mitigating actions to ensure the continuity of service. </w:t>
      </w:r>
      <w:r w:rsidR="002C6B87" w:rsidRPr="00D30AC0">
        <w:rPr>
          <w:rFonts w:ascii="Times New Roman" w:hAnsi="Times New Roman" w:cs="Times New Roman"/>
          <w:noProof/>
          <w:sz w:val="24"/>
          <w:szCs w:val="24"/>
          <w:lang w:val="en-IE"/>
        </w:rPr>
        <w:t xml:space="preserve">However, there is </w:t>
      </w:r>
      <w:r w:rsidRPr="00D30AC0">
        <w:rPr>
          <w:rFonts w:ascii="Times New Roman" w:hAnsi="Times New Roman" w:cs="Times New Roman"/>
          <w:noProof/>
          <w:sz w:val="24"/>
          <w:szCs w:val="24"/>
          <w:lang w:val="en-IE"/>
        </w:rPr>
        <w:t xml:space="preserve">room for improvement </w:t>
      </w:r>
      <w:r w:rsidR="004F0AA4" w:rsidRPr="006041F7">
        <w:rPr>
          <w:rFonts w:ascii="Times New Roman" w:hAnsi="Times New Roman" w:cs="Times New Roman"/>
          <w:noProof/>
          <w:sz w:val="24"/>
          <w:szCs w:val="24"/>
          <w:lang w:val="en-IE"/>
        </w:rPr>
        <w:t>to enhance efficiency through finding a strategic balance between handling support functions in-house and outsourcing them to external providers</w:t>
      </w:r>
      <w:r w:rsidR="004F0AA4" w:rsidRPr="00D30AC0">
        <w:rPr>
          <w:rFonts w:ascii="Times New Roman" w:hAnsi="Times New Roman" w:cs="Times New Roman"/>
          <w:noProof/>
          <w:sz w:val="24"/>
          <w:szCs w:val="24"/>
          <w:lang w:val="en-IE"/>
        </w:rPr>
        <w:t xml:space="preserve">. </w:t>
      </w:r>
      <w:r w:rsidR="006E3993" w:rsidRPr="00D30AC0">
        <w:rPr>
          <w:rFonts w:ascii="Times New Roman" w:hAnsi="Times New Roman" w:cs="Times New Roman"/>
          <w:noProof/>
          <w:sz w:val="24"/>
          <w:szCs w:val="24"/>
          <w:lang w:val="en-IE"/>
        </w:rPr>
        <w:t xml:space="preserve">In contacts, the efficiency of new system development is more limited. The development of the EES, for instance, was subject to multiple delays and, therefore, was ultimately not developed within the foreseen schedule. Although </w:t>
      </w:r>
      <w:r w:rsidR="00D30AC0" w:rsidRPr="00D30AC0">
        <w:rPr>
          <w:rFonts w:ascii="Times New Roman" w:hAnsi="Times New Roman" w:cs="Times New Roman"/>
          <w:noProof/>
          <w:sz w:val="24"/>
          <w:szCs w:val="24"/>
          <w:lang w:val="en-IE"/>
        </w:rPr>
        <w:t xml:space="preserve">stakeholder feedback is not overly critical, satisfaction levels of the Agency’s efficiency in terms of system development lag behind those for operational management. </w:t>
      </w:r>
    </w:p>
    <w:p w14:paraId="1A9F850C" w14:textId="227732E4" w:rsidR="00EC517C" w:rsidRPr="006041F7" w:rsidRDefault="00EC517C" w:rsidP="00EE061C">
      <w:pPr>
        <w:pStyle w:val="Heading2"/>
        <w:numPr>
          <w:ilvl w:val="1"/>
          <w:numId w:val="2"/>
        </w:numPr>
        <w:rPr>
          <w:bCs/>
          <w:smallCaps/>
          <w:noProof/>
          <w:szCs w:val="24"/>
          <w:lang w:val="en-IE"/>
        </w:rPr>
      </w:pPr>
      <w:bookmarkStart w:id="37" w:name="_Toc207303616"/>
      <w:r w:rsidRPr="006041F7">
        <w:rPr>
          <w:bCs/>
          <w:noProof/>
          <w:szCs w:val="24"/>
          <w:lang w:val="en-IE"/>
        </w:rPr>
        <w:t>Lesson</w:t>
      </w:r>
      <w:r w:rsidR="0038355E" w:rsidRPr="006041F7">
        <w:rPr>
          <w:bCs/>
          <w:noProof/>
          <w:szCs w:val="24"/>
          <w:lang w:val="en-IE"/>
        </w:rPr>
        <w:t>s</w:t>
      </w:r>
      <w:r w:rsidRPr="006041F7">
        <w:rPr>
          <w:bCs/>
          <w:noProof/>
          <w:szCs w:val="24"/>
          <w:lang w:val="en-IE"/>
        </w:rPr>
        <w:t xml:space="preserve"> learned</w:t>
      </w:r>
      <w:bookmarkEnd w:id="37"/>
    </w:p>
    <w:p w14:paraId="42F8E3D2" w14:textId="0F2FD9B8" w:rsidR="001932A5" w:rsidRPr="00966D72" w:rsidRDefault="00D30AC0" w:rsidP="001932A5">
      <w:pPr>
        <w:jc w:val="both"/>
        <w:rPr>
          <w:rFonts w:ascii="Times New Roman" w:hAnsi="Times New Roman" w:cs="Times New Roman"/>
          <w:noProof/>
          <w:sz w:val="24"/>
          <w:szCs w:val="24"/>
          <w:lang w:val="en-IE"/>
        </w:rPr>
      </w:pPr>
      <w:r w:rsidRPr="00966D72">
        <w:rPr>
          <w:rFonts w:ascii="Times New Roman" w:hAnsi="Times New Roman" w:cs="Times New Roman"/>
          <w:noProof/>
          <w:sz w:val="24"/>
          <w:szCs w:val="24"/>
          <w:lang w:val="en-IE"/>
        </w:rPr>
        <w:t>T</w:t>
      </w:r>
      <w:r w:rsidR="007E5219" w:rsidRPr="00966D72">
        <w:rPr>
          <w:rFonts w:ascii="Times New Roman" w:hAnsi="Times New Roman" w:cs="Times New Roman"/>
          <w:noProof/>
          <w:sz w:val="24"/>
          <w:szCs w:val="24"/>
          <w:lang w:val="en-IE"/>
        </w:rPr>
        <w:t xml:space="preserve">he evaluation concluded that the current mandate and objectives of the Agency </w:t>
      </w:r>
      <w:r w:rsidR="00CD24EB" w:rsidRPr="00966D72">
        <w:rPr>
          <w:rFonts w:ascii="Times New Roman" w:hAnsi="Times New Roman" w:cs="Times New Roman"/>
          <w:noProof/>
          <w:sz w:val="24"/>
          <w:szCs w:val="24"/>
          <w:lang w:val="en-IE"/>
        </w:rPr>
        <w:t xml:space="preserve">remain </w:t>
      </w:r>
      <w:r w:rsidR="006A5194" w:rsidRPr="00966D72">
        <w:rPr>
          <w:rFonts w:ascii="Times New Roman" w:hAnsi="Times New Roman" w:cs="Times New Roman"/>
          <w:noProof/>
          <w:sz w:val="24"/>
          <w:szCs w:val="24"/>
          <w:lang w:val="en-IE"/>
        </w:rPr>
        <w:t>largely adequate</w:t>
      </w:r>
      <w:r w:rsidR="007E5219" w:rsidRPr="00966D72">
        <w:rPr>
          <w:rFonts w:ascii="Times New Roman" w:hAnsi="Times New Roman" w:cs="Times New Roman"/>
          <w:noProof/>
          <w:sz w:val="24"/>
          <w:szCs w:val="24"/>
          <w:lang w:val="en-IE"/>
        </w:rPr>
        <w:t xml:space="preserve">. </w:t>
      </w:r>
      <w:r w:rsidR="003D36C2" w:rsidRPr="00966D72">
        <w:rPr>
          <w:rFonts w:ascii="Times New Roman" w:hAnsi="Times New Roman" w:cs="Times New Roman"/>
          <w:noProof/>
          <w:sz w:val="24"/>
          <w:szCs w:val="24"/>
          <w:lang w:val="en-IE"/>
        </w:rPr>
        <w:t>While</w:t>
      </w:r>
      <w:r w:rsidR="007E5219" w:rsidRPr="00966D72">
        <w:rPr>
          <w:rFonts w:ascii="Times New Roman" w:hAnsi="Times New Roman" w:cs="Times New Roman"/>
          <w:noProof/>
          <w:sz w:val="24"/>
          <w:szCs w:val="24"/>
          <w:lang w:val="en-IE"/>
        </w:rPr>
        <w:t xml:space="preserve"> </w:t>
      </w:r>
      <w:r w:rsidR="006A5194" w:rsidRPr="00966D72">
        <w:rPr>
          <w:rFonts w:ascii="Times New Roman" w:hAnsi="Times New Roman" w:cs="Times New Roman"/>
          <w:noProof/>
          <w:sz w:val="24"/>
          <w:szCs w:val="24"/>
          <w:lang w:val="en-IE"/>
        </w:rPr>
        <w:t xml:space="preserve">the Agency has demonstrated effective performance in fulfilling </w:t>
      </w:r>
      <w:r w:rsidR="00B67EB7" w:rsidRPr="00966D72">
        <w:rPr>
          <w:rFonts w:ascii="Times New Roman" w:hAnsi="Times New Roman" w:cs="Times New Roman"/>
          <w:noProof/>
          <w:sz w:val="24"/>
          <w:szCs w:val="24"/>
          <w:lang w:val="en-IE"/>
        </w:rPr>
        <w:t>several aspects of its mandate, there remain opportunities for improvements in the areas</w:t>
      </w:r>
      <w:r w:rsidR="00857171" w:rsidRPr="00966D72">
        <w:rPr>
          <w:rFonts w:ascii="Times New Roman" w:hAnsi="Times New Roman" w:cs="Times New Roman"/>
          <w:noProof/>
          <w:sz w:val="24"/>
          <w:szCs w:val="24"/>
          <w:lang w:val="en-IE"/>
        </w:rPr>
        <w:t xml:space="preserve"> of effectiveness, efficiency and coherence.</w:t>
      </w:r>
    </w:p>
    <w:p w14:paraId="34D8184B" w14:textId="637CCE80" w:rsidR="004B6109" w:rsidRPr="00966D72" w:rsidRDefault="00D30AC0" w:rsidP="00443316">
      <w:pPr>
        <w:jc w:val="both"/>
        <w:rPr>
          <w:rFonts w:ascii="Times New Roman" w:hAnsi="Times New Roman" w:cs="Times New Roman"/>
          <w:noProof/>
          <w:sz w:val="24"/>
          <w:szCs w:val="24"/>
          <w:lang w:val="en-IE"/>
        </w:rPr>
      </w:pPr>
      <w:r w:rsidRPr="00966D72">
        <w:rPr>
          <w:rFonts w:ascii="Times New Roman" w:hAnsi="Times New Roman" w:cs="Times New Roman"/>
          <w:noProof/>
          <w:sz w:val="24"/>
          <w:szCs w:val="24"/>
          <w:lang w:val="en-IE"/>
        </w:rPr>
        <w:t>C</w:t>
      </w:r>
      <w:r w:rsidR="00B67EB7" w:rsidRPr="00966D72">
        <w:rPr>
          <w:rFonts w:ascii="Times New Roman" w:hAnsi="Times New Roman" w:cs="Times New Roman"/>
          <w:noProof/>
          <w:sz w:val="24"/>
          <w:szCs w:val="24"/>
          <w:lang w:val="en-IE"/>
        </w:rPr>
        <w:t xml:space="preserve">hallenges persist, particularly concerning </w:t>
      </w:r>
      <w:r w:rsidR="001932A5" w:rsidRPr="00966D72">
        <w:rPr>
          <w:rFonts w:ascii="Times New Roman" w:hAnsi="Times New Roman" w:cs="Times New Roman"/>
          <w:noProof/>
          <w:sz w:val="24"/>
          <w:szCs w:val="24"/>
          <w:lang w:val="en-IE"/>
        </w:rPr>
        <w:t>the development of IT systems</w:t>
      </w:r>
      <w:r w:rsidRPr="00966D72">
        <w:rPr>
          <w:rFonts w:ascii="Times New Roman" w:hAnsi="Times New Roman" w:cs="Times New Roman"/>
          <w:noProof/>
          <w:sz w:val="24"/>
          <w:szCs w:val="24"/>
          <w:lang w:val="en-IE"/>
        </w:rPr>
        <w:t xml:space="preserve">. There is also scope for improvement in as regards </w:t>
      </w:r>
      <w:r w:rsidR="005A191B" w:rsidRPr="00966D72">
        <w:rPr>
          <w:rFonts w:ascii="Times New Roman" w:hAnsi="Times New Roman" w:cs="Times New Roman"/>
          <w:noProof/>
          <w:sz w:val="24"/>
          <w:szCs w:val="24"/>
          <w:lang w:val="en-IE"/>
        </w:rPr>
        <w:t xml:space="preserve">the alignment of the current eu-LISA Regulation with other relevant legal instruments, cooperation with international organisations, </w:t>
      </w:r>
      <w:r w:rsidRPr="00966D72">
        <w:rPr>
          <w:rFonts w:ascii="Times New Roman" w:hAnsi="Times New Roman" w:cs="Times New Roman"/>
          <w:noProof/>
          <w:sz w:val="24"/>
          <w:szCs w:val="24"/>
          <w:lang w:val="en-IE"/>
        </w:rPr>
        <w:t xml:space="preserve">as well as </w:t>
      </w:r>
      <w:r w:rsidR="005A191B" w:rsidRPr="00966D72">
        <w:rPr>
          <w:rFonts w:ascii="Times New Roman" w:hAnsi="Times New Roman" w:cs="Times New Roman"/>
          <w:noProof/>
          <w:sz w:val="24"/>
          <w:szCs w:val="24"/>
          <w:lang w:val="en-IE"/>
        </w:rPr>
        <w:t>piloting, testing, and ad hoc support to Member States.</w:t>
      </w:r>
      <w:r w:rsidR="005A191B" w:rsidRPr="00966D72">
        <w:rPr>
          <w:noProof/>
          <w:color w:val="000000"/>
          <w:shd w:val="clear" w:color="auto" w:fill="FFFFFF"/>
          <w:lang w:val="en-IE"/>
        </w:rPr>
        <w:t xml:space="preserve"> </w:t>
      </w:r>
      <w:r w:rsidR="005F7208" w:rsidRPr="00966D72">
        <w:rPr>
          <w:rFonts w:ascii="Times New Roman" w:hAnsi="Times New Roman" w:cs="Times New Roman"/>
          <w:noProof/>
          <w:sz w:val="24"/>
          <w:szCs w:val="24"/>
          <w:lang w:val="en-IE"/>
        </w:rPr>
        <w:t>These challenges are linked to a range of internal factors, including strategic planning, budget and human resources management, technology infrastructure, contractor oversight, and aspects of the Agency’s organisational and governance structure.</w:t>
      </w:r>
    </w:p>
    <w:p w14:paraId="67F7FC15" w14:textId="19787100" w:rsidR="008D0021" w:rsidRPr="00966D72" w:rsidRDefault="008D0021" w:rsidP="008D0021">
      <w:pPr>
        <w:jc w:val="both"/>
        <w:rPr>
          <w:rFonts w:ascii="Times New Roman" w:hAnsi="Times New Roman" w:cs="Times New Roman"/>
          <w:noProof/>
          <w:sz w:val="24"/>
          <w:szCs w:val="24"/>
          <w:lang w:val="en-IE"/>
        </w:rPr>
      </w:pPr>
      <w:r w:rsidRPr="00966D72">
        <w:rPr>
          <w:rFonts w:ascii="Times New Roman" w:hAnsi="Times New Roman" w:cs="Times New Roman"/>
          <w:noProof/>
          <w:sz w:val="24"/>
          <w:szCs w:val="24"/>
          <w:lang w:val="en-IE"/>
        </w:rPr>
        <w:t xml:space="preserve">Taking these findings and the complex operating environment into account, the evaluation confirms that, at this stage, eu-LISA’s mandate remains appropriate. Since the adoption of the current eu-LISA Regulation, </w:t>
      </w:r>
      <w:r w:rsidR="001D1A7C" w:rsidRPr="00966D72">
        <w:rPr>
          <w:rFonts w:ascii="Times New Roman" w:hAnsi="Times New Roman" w:cs="Times New Roman"/>
          <w:noProof/>
          <w:sz w:val="24"/>
          <w:szCs w:val="24"/>
          <w:lang w:val="en-IE"/>
        </w:rPr>
        <w:t>two</w:t>
      </w:r>
      <w:r w:rsidRPr="00966D72">
        <w:rPr>
          <w:rFonts w:ascii="Times New Roman" w:hAnsi="Times New Roman" w:cs="Times New Roman"/>
          <w:noProof/>
          <w:sz w:val="24"/>
          <w:szCs w:val="24"/>
          <w:lang w:val="en-IE"/>
        </w:rPr>
        <w:t xml:space="preserve"> of the critical systems, the renewed Schengen Information System</w:t>
      </w:r>
      <w:r w:rsidR="001D1A7C" w:rsidRPr="00966D72">
        <w:rPr>
          <w:rFonts w:ascii="Times New Roman" w:hAnsi="Times New Roman" w:cs="Times New Roman"/>
          <w:noProof/>
          <w:sz w:val="24"/>
          <w:szCs w:val="24"/>
          <w:lang w:val="en-IE"/>
        </w:rPr>
        <w:t xml:space="preserve"> and the Entry/Exit System</w:t>
      </w:r>
      <w:r w:rsidRPr="00966D72">
        <w:rPr>
          <w:rFonts w:ascii="Times New Roman" w:hAnsi="Times New Roman" w:cs="Times New Roman"/>
          <w:noProof/>
          <w:sz w:val="24"/>
          <w:szCs w:val="24"/>
          <w:lang w:val="en-IE"/>
        </w:rPr>
        <w:t xml:space="preserve">, </w:t>
      </w:r>
      <w:r w:rsidR="00924D28" w:rsidRPr="00966D72">
        <w:rPr>
          <w:rFonts w:ascii="Times New Roman" w:hAnsi="Times New Roman" w:cs="Times New Roman"/>
          <w:noProof/>
          <w:sz w:val="24"/>
          <w:szCs w:val="24"/>
          <w:lang w:val="en-IE"/>
        </w:rPr>
        <w:t xml:space="preserve">as well as </w:t>
      </w:r>
      <w:r w:rsidRPr="00966D72">
        <w:rPr>
          <w:rFonts w:ascii="Times New Roman" w:hAnsi="Times New Roman" w:cs="Times New Roman"/>
          <w:noProof/>
          <w:sz w:val="24"/>
          <w:szCs w:val="24"/>
          <w:lang w:val="en-IE"/>
        </w:rPr>
        <w:t xml:space="preserve">the first component of the Interoperability framework, the shared Biometric Matching Service, while four others (ECRIS-TCN, Eurodac, ETIAS and the Communion Identity Repository) are scheduled for operational launch in 2025-2026. </w:t>
      </w:r>
      <w:r w:rsidR="00924D28" w:rsidRPr="00966D72">
        <w:rPr>
          <w:rFonts w:ascii="Times New Roman" w:hAnsi="Times New Roman" w:cs="Times New Roman"/>
          <w:noProof/>
          <w:sz w:val="24"/>
          <w:szCs w:val="24"/>
          <w:lang w:val="en-IE"/>
        </w:rPr>
        <w:t xml:space="preserve">Although modifications to </w:t>
      </w:r>
      <w:r w:rsidR="007102AC" w:rsidRPr="00966D72">
        <w:rPr>
          <w:rFonts w:ascii="Times New Roman" w:hAnsi="Times New Roman" w:cs="Times New Roman"/>
          <w:noProof/>
          <w:sz w:val="24"/>
          <w:szCs w:val="24"/>
          <w:lang w:val="en-IE"/>
        </w:rPr>
        <w:t>eu-LISA’s current mandate could be beneficial in some areas, any significant alterations to the mandate at this stage could divert the Agency from its core objectives and jeopardise its capacity to deliver the planned priority IT systems on time, resulting in further delays</w:t>
      </w:r>
      <w:r w:rsidR="00D7181A" w:rsidRPr="00966D72">
        <w:rPr>
          <w:rFonts w:ascii="Times New Roman" w:hAnsi="Times New Roman" w:cs="Times New Roman"/>
          <w:noProof/>
          <w:sz w:val="24"/>
          <w:szCs w:val="24"/>
          <w:lang w:val="en-IE"/>
        </w:rPr>
        <w:t xml:space="preserve"> in </w:t>
      </w:r>
      <w:r w:rsidRPr="00966D72">
        <w:rPr>
          <w:rFonts w:ascii="Times New Roman" w:hAnsi="Times New Roman" w:cs="Times New Roman"/>
          <w:noProof/>
          <w:sz w:val="24"/>
          <w:szCs w:val="24"/>
          <w:lang w:val="en-IE"/>
        </w:rPr>
        <w:t>the rollout of the Interoperability Framework.  </w:t>
      </w:r>
    </w:p>
    <w:p w14:paraId="3CB7C386" w14:textId="07717551" w:rsidR="00966D72" w:rsidRPr="006041F7" w:rsidRDefault="00966D72" w:rsidP="00966D72">
      <w:pPr>
        <w:spacing w:after="120" w:line="240" w:lineRule="auto"/>
        <w:jc w:val="both"/>
        <w:rPr>
          <w:rFonts w:ascii="Times New Roman" w:hAnsi="Times New Roman" w:cs="Times New Roman"/>
          <w:noProof/>
          <w:sz w:val="24"/>
          <w:szCs w:val="24"/>
          <w:lang w:val="en-IE"/>
        </w:rPr>
      </w:pPr>
      <w:r w:rsidRPr="006041F7">
        <w:rPr>
          <w:rFonts w:ascii="Times New Roman" w:hAnsi="Times New Roman" w:cs="Times New Roman"/>
          <w:noProof/>
          <w:sz w:val="24"/>
          <w:szCs w:val="24"/>
          <w:lang w:val="en-IE"/>
        </w:rPr>
        <w:t xml:space="preserve">In particular, </w:t>
      </w:r>
      <w:r w:rsidR="007E3AAF">
        <w:rPr>
          <w:rFonts w:ascii="Times New Roman" w:hAnsi="Times New Roman" w:cs="Times New Roman"/>
          <w:noProof/>
          <w:sz w:val="24"/>
          <w:szCs w:val="24"/>
          <w:lang w:val="en-IE"/>
        </w:rPr>
        <w:t>modifying</w:t>
      </w:r>
      <w:r w:rsidRPr="006041F7">
        <w:rPr>
          <w:rFonts w:ascii="Times New Roman" w:hAnsi="Times New Roman" w:cs="Times New Roman"/>
          <w:noProof/>
          <w:sz w:val="24"/>
          <w:szCs w:val="24"/>
          <w:lang w:val="en-IE"/>
        </w:rPr>
        <w:t xml:space="preserve"> eu-LISA's mandate </w:t>
      </w:r>
      <w:r w:rsidR="007E3AAF">
        <w:rPr>
          <w:rFonts w:ascii="Times New Roman" w:hAnsi="Times New Roman" w:cs="Times New Roman"/>
          <w:noProof/>
          <w:sz w:val="24"/>
          <w:szCs w:val="24"/>
          <w:lang w:val="en-IE"/>
        </w:rPr>
        <w:t xml:space="preserve">by amending the current eu-LISA Regulation, in the near future, </w:t>
      </w:r>
      <w:r w:rsidRPr="006041F7">
        <w:rPr>
          <w:rFonts w:ascii="Times New Roman" w:hAnsi="Times New Roman" w:cs="Times New Roman"/>
          <w:noProof/>
          <w:sz w:val="24"/>
          <w:szCs w:val="24"/>
          <w:lang w:val="en-IE"/>
        </w:rPr>
        <w:t>would pose significant challenges at both strategic and operational levels:</w:t>
      </w:r>
    </w:p>
    <w:p w14:paraId="24AC4EAC" w14:textId="26AE56C8" w:rsidR="000A3BD1" w:rsidRPr="000A3BD1" w:rsidRDefault="00966D72" w:rsidP="000A3BD1">
      <w:pPr>
        <w:numPr>
          <w:ilvl w:val="0"/>
          <w:numId w:val="98"/>
        </w:numPr>
        <w:jc w:val="both"/>
        <w:rPr>
          <w:rFonts w:ascii="Times New Roman" w:hAnsi="Times New Roman" w:cs="Times New Roman"/>
          <w:noProof/>
          <w:sz w:val="24"/>
          <w:szCs w:val="24"/>
          <w:lang w:val="en-IE"/>
        </w:rPr>
      </w:pPr>
      <w:r w:rsidRPr="006041F7">
        <w:rPr>
          <w:rFonts w:ascii="Times New Roman" w:hAnsi="Times New Roman" w:cs="Times New Roman"/>
          <w:b/>
          <w:bCs/>
          <w:noProof/>
          <w:sz w:val="24"/>
          <w:szCs w:val="24"/>
          <w:lang w:val="en-IE"/>
        </w:rPr>
        <w:t>Increased risk exposure</w:t>
      </w:r>
      <w:r>
        <w:rPr>
          <w:rFonts w:ascii="Times New Roman" w:hAnsi="Times New Roman" w:cs="Times New Roman"/>
          <w:noProof/>
          <w:sz w:val="24"/>
          <w:szCs w:val="24"/>
          <w:lang w:val="en-IE"/>
        </w:rPr>
        <w:t xml:space="preserve">: </w:t>
      </w:r>
      <w:r w:rsidR="00525DBA">
        <w:rPr>
          <w:rFonts w:ascii="Times New Roman" w:hAnsi="Times New Roman" w:cs="Times New Roman"/>
          <w:noProof/>
          <w:sz w:val="24"/>
          <w:szCs w:val="24"/>
          <w:lang w:val="en-IE"/>
        </w:rPr>
        <w:t xml:space="preserve">modifying the </w:t>
      </w:r>
      <w:r w:rsidR="006041F7">
        <w:rPr>
          <w:rFonts w:ascii="Times New Roman" w:hAnsi="Times New Roman" w:cs="Times New Roman"/>
          <w:noProof/>
          <w:sz w:val="24"/>
          <w:szCs w:val="24"/>
          <w:lang w:val="en-IE"/>
        </w:rPr>
        <w:t>mandate,</w:t>
      </w:r>
      <w:r w:rsidR="000A3BD1" w:rsidRPr="000A3BD1">
        <w:rPr>
          <w:rFonts w:ascii="Times New Roman" w:hAnsi="Times New Roman" w:cs="Times New Roman"/>
          <w:noProof/>
          <w:sz w:val="24"/>
          <w:szCs w:val="24"/>
          <w:lang w:val="en-IE"/>
        </w:rPr>
        <w:t xml:space="preserve"> in particular changes to Article 16(4) of the current eu-LISA Regulation</w:t>
      </w:r>
      <w:r w:rsidR="00525DBA">
        <w:rPr>
          <w:rFonts w:ascii="Times New Roman" w:hAnsi="Times New Roman" w:cs="Times New Roman"/>
          <w:noProof/>
          <w:sz w:val="24"/>
          <w:szCs w:val="24"/>
          <w:lang w:val="en-IE"/>
        </w:rPr>
        <w:t>, regarding ad hoc support to Member States, could heighten the Agency’s risk exposure</w:t>
      </w:r>
      <w:r w:rsidR="000A3BD1" w:rsidRPr="000A3BD1">
        <w:rPr>
          <w:rFonts w:ascii="Times New Roman" w:hAnsi="Times New Roman" w:cs="Times New Roman"/>
          <w:noProof/>
          <w:sz w:val="24"/>
          <w:szCs w:val="24"/>
          <w:lang w:val="en-IE"/>
        </w:rPr>
        <w:t xml:space="preserve">. While </w:t>
      </w:r>
      <w:r w:rsidR="00057C83">
        <w:rPr>
          <w:rFonts w:ascii="Times New Roman" w:hAnsi="Times New Roman" w:cs="Times New Roman"/>
          <w:noProof/>
          <w:sz w:val="24"/>
          <w:szCs w:val="24"/>
          <w:lang w:val="en-IE"/>
        </w:rPr>
        <w:t>greater flexibility in this area</w:t>
      </w:r>
      <w:r w:rsidR="00C36284">
        <w:rPr>
          <w:rFonts w:ascii="Times New Roman" w:hAnsi="Times New Roman" w:cs="Times New Roman"/>
          <w:noProof/>
          <w:sz w:val="24"/>
          <w:szCs w:val="24"/>
          <w:lang w:val="en-IE"/>
        </w:rPr>
        <w:t xml:space="preserve"> </w:t>
      </w:r>
      <w:r w:rsidR="00606B77">
        <w:rPr>
          <w:rFonts w:ascii="Times New Roman" w:hAnsi="Times New Roman" w:cs="Times New Roman"/>
          <w:noProof/>
          <w:sz w:val="24"/>
          <w:szCs w:val="24"/>
          <w:lang w:val="en-IE"/>
        </w:rPr>
        <w:t>could be desirable</w:t>
      </w:r>
      <w:r w:rsidR="000A3BD1" w:rsidRPr="000A3BD1">
        <w:rPr>
          <w:rFonts w:ascii="Times New Roman" w:hAnsi="Times New Roman" w:cs="Times New Roman"/>
          <w:noProof/>
          <w:sz w:val="24"/>
          <w:szCs w:val="24"/>
          <w:lang w:val="en-IE"/>
        </w:rPr>
        <w:t xml:space="preserve">, the evaluation </w:t>
      </w:r>
      <w:r w:rsidR="00C36284">
        <w:rPr>
          <w:rFonts w:ascii="Times New Roman" w:hAnsi="Times New Roman" w:cs="Times New Roman"/>
          <w:noProof/>
          <w:sz w:val="24"/>
          <w:szCs w:val="24"/>
          <w:lang w:val="en-IE"/>
        </w:rPr>
        <w:t>suggests</w:t>
      </w:r>
      <w:r w:rsidR="00C36284" w:rsidRPr="000A3BD1">
        <w:rPr>
          <w:rFonts w:ascii="Times New Roman" w:hAnsi="Times New Roman" w:cs="Times New Roman"/>
          <w:noProof/>
          <w:sz w:val="24"/>
          <w:szCs w:val="24"/>
          <w:lang w:val="en-IE"/>
        </w:rPr>
        <w:t xml:space="preserve"> </w:t>
      </w:r>
      <w:r w:rsidR="000A3BD1" w:rsidRPr="000A3BD1">
        <w:rPr>
          <w:rFonts w:ascii="Times New Roman" w:hAnsi="Times New Roman" w:cs="Times New Roman"/>
          <w:noProof/>
          <w:sz w:val="24"/>
          <w:szCs w:val="24"/>
          <w:lang w:val="en-IE"/>
        </w:rPr>
        <w:t xml:space="preserve">that eu-LISA should </w:t>
      </w:r>
      <w:r w:rsidR="00C36284">
        <w:rPr>
          <w:rFonts w:ascii="Times New Roman" w:hAnsi="Times New Roman" w:cs="Times New Roman"/>
          <w:noProof/>
          <w:sz w:val="24"/>
          <w:szCs w:val="24"/>
          <w:lang w:val="en-IE"/>
        </w:rPr>
        <w:t xml:space="preserve">completing </w:t>
      </w:r>
      <w:r w:rsidR="000A3BD1" w:rsidRPr="000A3BD1">
        <w:rPr>
          <w:rFonts w:ascii="Times New Roman" w:hAnsi="Times New Roman" w:cs="Times New Roman"/>
          <w:noProof/>
          <w:sz w:val="24"/>
          <w:szCs w:val="24"/>
          <w:lang w:val="en-IE"/>
        </w:rPr>
        <w:t>the current on-going projects before undertaking additional tasks. Any additional tasks entrusted to eu-LISA through a modification of Article 16(4) would increase the risks of further delays in the Interoperability Project.   </w:t>
      </w:r>
    </w:p>
    <w:p w14:paraId="0152E1A6" w14:textId="0943EC89" w:rsidR="000A3BD1" w:rsidRPr="000A3BD1" w:rsidRDefault="00966D72" w:rsidP="000A3BD1">
      <w:pPr>
        <w:numPr>
          <w:ilvl w:val="0"/>
          <w:numId w:val="99"/>
        </w:numPr>
        <w:jc w:val="both"/>
        <w:rPr>
          <w:rFonts w:ascii="Times New Roman" w:hAnsi="Times New Roman" w:cs="Times New Roman"/>
          <w:noProof/>
          <w:sz w:val="24"/>
          <w:szCs w:val="24"/>
          <w:lang w:val="en-IE"/>
        </w:rPr>
      </w:pPr>
      <w:r w:rsidRPr="006041F7">
        <w:rPr>
          <w:rFonts w:ascii="Times New Roman" w:hAnsi="Times New Roman" w:cs="Times New Roman"/>
          <w:b/>
          <w:bCs/>
          <w:noProof/>
          <w:sz w:val="24"/>
          <w:szCs w:val="24"/>
          <w:lang w:val="en-IE"/>
        </w:rPr>
        <w:t>Instability and delays</w:t>
      </w:r>
      <w:r>
        <w:rPr>
          <w:rFonts w:ascii="Times New Roman" w:hAnsi="Times New Roman" w:cs="Times New Roman"/>
          <w:noProof/>
          <w:sz w:val="24"/>
          <w:szCs w:val="24"/>
          <w:lang w:val="en-IE"/>
        </w:rPr>
        <w:t xml:space="preserve">: </w:t>
      </w:r>
      <w:r w:rsidR="00A0035C">
        <w:rPr>
          <w:rFonts w:ascii="Times New Roman" w:hAnsi="Times New Roman" w:cs="Times New Roman"/>
          <w:noProof/>
          <w:sz w:val="24"/>
          <w:szCs w:val="24"/>
          <w:lang w:val="en-IE"/>
        </w:rPr>
        <w:t xml:space="preserve">introducing a </w:t>
      </w:r>
      <w:r w:rsidR="007E3AAF">
        <w:rPr>
          <w:rFonts w:ascii="Times New Roman" w:hAnsi="Times New Roman" w:cs="Times New Roman"/>
          <w:noProof/>
          <w:sz w:val="24"/>
          <w:szCs w:val="24"/>
          <w:lang w:val="en-IE"/>
        </w:rPr>
        <w:t>revised</w:t>
      </w:r>
      <w:r w:rsidR="007E3AAF" w:rsidRPr="000A3BD1">
        <w:rPr>
          <w:rFonts w:ascii="Times New Roman" w:hAnsi="Times New Roman" w:cs="Times New Roman"/>
          <w:noProof/>
          <w:sz w:val="24"/>
          <w:szCs w:val="24"/>
          <w:lang w:val="en-IE"/>
        </w:rPr>
        <w:t xml:space="preserve"> </w:t>
      </w:r>
      <w:r w:rsidR="000A3BD1" w:rsidRPr="000A3BD1">
        <w:rPr>
          <w:rFonts w:ascii="Times New Roman" w:hAnsi="Times New Roman" w:cs="Times New Roman"/>
          <w:noProof/>
          <w:sz w:val="24"/>
          <w:szCs w:val="24"/>
          <w:lang w:val="en-IE"/>
        </w:rPr>
        <w:t>mandate</w:t>
      </w:r>
      <w:r w:rsidR="00A0035C">
        <w:rPr>
          <w:rFonts w:ascii="Times New Roman" w:hAnsi="Times New Roman" w:cs="Times New Roman"/>
          <w:noProof/>
          <w:sz w:val="24"/>
          <w:szCs w:val="24"/>
          <w:lang w:val="en-IE"/>
        </w:rPr>
        <w:t xml:space="preserve"> at this time could create instability given the Agency’s commitment and task to deliver four systems and one interoperability component within the next two years. </w:t>
      </w:r>
      <w:r w:rsidR="002E3B10">
        <w:rPr>
          <w:rFonts w:ascii="Times New Roman" w:hAnsi="Times New Roman" w:cs="Times New Roman"/>
          <w:noProof/>
          <w:sz w:val="24"/>
          <w:szCs w:val="24"/>
          <w:lang w:val="en-IE"/>
        </w:rPr>
        <w:t>A change of the mandate at this moment would likely increase the risk of delays.</w:t>
      </w:r>
      <w:r w:rsidR="000A3BD1" w:rsidRPr="000A3BD1">
        <w:rPr>
          <w:rFonts w:ascii="Times New Roman" w:hAnsi="Times New Roman" w:cs="Times New Roman"/>
          <w:noProof/>
          <w:sz w:val="24"/>
          <w:szCs w:val="24"/>
          <w:lang w:val="en-IE"/>
        </w:rPr>
        <w:t xml:space="preserve"> . </w:t>
      </w:r>
    </w:p>
    <w:p w14:paraId="63A74384" w14:textId="622DB812" w:rsidR="000A3BD1" w:rsidRPr="000A3BD1" w:rsidRDefault="000A3BD1" w:rsidP="000A3BD1">
      <w:pPr>
        <w:numPr>
          <w:ilvl w:val="0"/>
          <w:numId w:val="100"/>
        </w:numPr>
        <w:jc w:val="both"/>
        <w:rPr>
          <w:rFonts w:ascii="Times New Roman" w:hAnsi="Times New Roman" w:cs="Times New Roman"/>
          <w:noProof/>
          <w:sz w:val="24"/>
          <w:szCs w:val="24"/>
          <w:lang w:val="en-IE"/>
        </w:rPr>
      </w:pPr>
      <w:r w:rsidRPr="006041F7">
        <w:rPr>
          <w:rFonts w:ascii="Times New Roman" w:hAnsi="Times New Roman" w:cs="Times New Roman"/>
          <w:b/>
          <w:bCs/>
          <w:noProof/>
          <w:sz w:val="24"/>
          <w:szCs w:val="24"/>
          <w:lang w:val="en-IE"/>
        </w:rPr>
        <w:t>Budgetary constraints</w:t>
      </w:r>
      <w:r w:rsidR="00966D72">
        <w:rPr>
          <w:rFonts w:ascii="Times New Roman" w:hAnsi="Times New Roman" w:cs="Times New Roman"/>
          <w:noProof/>
          <w:sz w:val="24"/>
          <w:szCs w:val="24"/>
          <w:lang w:val="en-IE"/>
        </w:rPr>
        <w:t>:</w:t>
      </w:r>
      <w:r w:rsidRPr="000A3BD1">
        <w:rPr>
          <w:rFonts w:ascii="Times New Roman" w:hAnsi="Times New Roman" w:cs="Times New Roman"/>
          <w:noProof/>
          <w:sz w:val="24"/>
          <w:szCs w:val="24"/>
          <w:lang w:val="en-IE"/>
        </w:rPr>
        <w:t xml:space="preserve"> </w:t>
      </w:r>
      <w:r w:rsidR="00C4493C">
        <w:rPr>
          <w:rFonts w:ascii="Times New Roman" w:hAnsi="Times New Roman" w:cs="Times New Roman"/>
          <w:noProof/>
          <w:sz w:val="24"/>
          <w:szCs w:val="24"/>
          <w:lang w:val="en-IE"/>
        </w:rPr>
        <w:t>a</w:t>
      </w:r>
      <w:r w:rsidR="007E3AAF">
        <w:rPr>
          <w:rFonts w:ascii="Times New Roman" w:hAnsi="Times New Roman" w:cs="Times New Roman"/>
          <w:noProof/>
          <w:sz w:val="24"/>
          <w:szCs w:val="24"/>
          <w:lang w:val="en-IE"/>
        </w:rPr>
        <w:t>n</w:t>
      </w:r>
      <w:r w:rsidRPr="000A3BD1">
        <w:rPr>
          <w:rFonts w:ascii="Times New Roman" w:hAnsi="Times New Roman" w:cs="Times New Roman"/>
          <w:noProof/>
          <w:sz w:val="24"/>
          <w:szCs w:val="24"/>
          <w:lang w:val="en-IE"/>
        </w:rPr>
        <w:t xml:space="preserve"> </w:t>
      </w:r>
      <w:r w:rsidR="001E091E">
        <w:rPr>
          <w:rFonts w:ascii="Times New Roman" w:hAnsi="Times New Roman" w:cs="Times New Roman"/>
          <w:noProof/>
          <w:sz w:val="24"/>
          <w:szCs w:val="24"/>
          <w:lang w:val="en-IE"/>
        </w:rPr>
        <w:t>amendment</w:t>
      </w:r>
      <w:r w:rsidR="001E091E" w:rsidRPr="000A3BD1">
        <w:rPr>
          <w:rFonts w:ascii="Times New Roman" w:hAnsi="Times New Roman" w:cs="Times New Roman"/>
          <w:noProof/>
          <w:sz w:val="24"/>
          <w:szCs w:val="24"/>
          <w:lang w:val="en-IE"/>
        </w:rPr>
        <w:t xml:space="preserve"> </w:t>
      </w:r>
      <w:r w:rsidR="001E091E">
        <w:rPr>
          <w:rFonts w:ascii="Times New Roman" w:hAnsi="Times New Roman" w:cs="Times New Roman"/>
          <w:noProof/>
          <w:sz w:val="24"/>
          <w:szCs w:val="24"/>
          <w:lang w:val="en-IE"/>
        </w:rPr>
        <w:t>to</w:t>
      </w:r>
      <w:r w:rsidRPr="000A3BD1">
        <w:rPr>
          <w:rFonts w:ascii="Times New Roman" w:hAnsi="Times New Roman" w:cs="Times New Roman"/>
          <w:noProof/>
          <w:sz w:val="24"/>
          <w:szCs w:val="24"/>
          <w:lang w:val="en-IE"/>
        </w:rPr>
        <w:t xml:space="preserve"> the mandate does not </w:t>
      </w:r>
      <w:r w:rsidR="00C4493C">
        <w:rPr>
          <w:rFonts w:ascii="Times New Roman" w:hAnsi="Times New Roman" w:cs="Times New Roman"/>
          <w:noProof/>
          <w:sz w:val="24"/>
          <w:szCs w:val="24"/>
          <w:lang w:val="en-IE"/>
        </w:rPr>
        <w:t>automatically</w:t>
      </w:r>
      <w:r w:rsidR="00C4493C" w:rsidRPr="000A3BD1">
        <w:rPr>
          <w:rFonts w:ascii="Times New Roman" w:hAnsi="Times New Roman" w:cs="Times New Roman"/>
          <w:noProof/>
          <w:sz w:val="24"/>
          <w:szCs w:val="24"/>
          <w:lang w:val="en-IE"/>
        </w:rPr>
        <w:t xml:space="preserve"> </w:t>
      </w:r>
      <w:r w:rsidRPr="000A3BD1">
        <w:rPr>
          <w:rFonts w:ascii="Times New Roman" w:hAnsi="Times New Roman" w:cs="Times New Roman"/>
          <w:noProof/>
          <w:sz w:val="24"/>
          <w:szCs w:val="24"/>
          <w:lang w:val="en-IE"/>
        </w:rPr>
        <w:t>mean additional resources</w:t>
      </w:r>
      <w:r w:rsidR="00737D07">
        <w:rPr>
          <w:rFonts w:ascii="Times New Roman" w:hAnsi="Times New Roman" w:cs="Times New Roman"/>
          <w:noProof/>
          <w:sz w:val="24"/>
          <w:szCs w:val="24"/>
          <w:lang w:val="en-IE"/>
        </w:rPr>
        <w:t>.</w:t>
      </w:r>
      <w:r w:rsidR="00737D07" w:rsidRPr="000A3BD1">
        <w:rPr>
          <w:rFonts w:ascii="Times New Roman" w:hAnsi="Times New Roman" w:cs="Times New Roman"/>
          <w:noProof/>
          <w:sz w:val="24"/>
          <w:szCs w:val="24"/>
          <w:lang w:val="en-IE"/>
        </w:rPr>
        <w:t xml:space="preserve"> </w:t>
      </w:r>
      <w:r w:rsidR="00737D07">
        <w:rPr>
          <w:rFonts w:ascii="Times New Roman" w:hAnsi="Times New Roman" w:cs="Times New Roman"/>
          <w:noProof/>
          <w:sz w:val="24"/>
          <w:szCs w:val="24"/>
          <w:lang w:val="en-IE"/>
        </w:rPr>
        <w:t>T</w:t>
      </w:r>
      <w:r w:rsidRPr="000A3BD1">
        <w:rPr>
          <w:rFonts w:ascii="Times New Roman" w:hAnsi="Times New Roman" w:cs="Times New Roman"/>
          <w:noProof/>
          <w:sz w:val="24"/>
          <w:szCs w:val="24"/>
          <w:lang w:val="en-IE"/>
        </w:rPr>
        <w:t>herefore, any increase in tasks would necessitate commensurate financial support, including a new Legislative and Financial Statement, which would also increase financial instability.  </w:t>
      </w:r>
    </w:p>
    <w:p w14:paraId="22D61139" w14:textId="6E3BC372" w:rsidR="000A3BD1" w:rsidRPr="000A3BD1" w:rsidRDefault="000A3BD1" w:rsidP="000A3BD1">
      <w:pPr>
        <w:jc w:val="both"/>
        <w:rPr>
          <w:rFonts w:ascii="Times New Roman" w:hAnsi="Times New Roman" w:cs="Times New Roman"/>
          <w:noProof/>
          <w:sz w:val="24"/>
          <w:szCs w:val="24"/>
          <w:lang w:val="en-IE"/>
        </w:rPr>
      </w:pPr>
      <w:r w:rsidRPr="000A3BD1">
        <w:rPr>
          <w:rFonts w:ascii="Times New Roman" w:hAnsi="Times New Roman" w:cs="Times New Roman"/>
          <w:noProof/>
          <w:sz w:val="24"/>
          <w:szCs w:val="24"/>
          <w:lang w:val="en-IE"/>
        </w:rPr>
        <w:t xml:space="preserve">Certain weaknesses identified in the evaluation, such as the cooperation with third-countries or the use of innovative technological solutions for the operation and management of the system, including the use of cloud technology, would require a change of eu-LISA’s mandate. </w:t>
      </w:r>
      <w:r w:rsidR="00D06A2D">
        <w:rPr>
          <w:rFonts w:ascii="Times New Roman" w:hAnsi="Times New Roman" w:cs="Times New Roman"/>
          <w:noProof/>
          <w:sz w:val="24"/>
          <w:szCs w:val="24"/>
          <w:lang w:val="en-IE"/>
        </w:rPr>
        <w:t>In contrast</w:t>
      </w:r>
      <w:r w:rsidRPr="000A3BD1">
        <w:rPr>
          <w:rFonts w:ascii="Times New Roman" w:hAnsi="Times New Roman" w:cs="Times New Roman"/>
          <w:noProof/>
          <w:sz w:val="24"/>
          <w:szCs w:val="24"/>
          <w:lang w:val="en-IE"/>
        </w:rPr>
        <w:t xml:space="preserve">, a large number of </w:t>
      </w:r>
      <w:r w:rsidR="00D06A2D">
        <w:rPr>
          <w:rFonts w:ascii="Times New Roman" w:hAnsi="Times New Roman" w:cs="Times New Roman"/>
          <w:noProof/>
          <w:sz w:val="24"/>
          <w:szCs w:val="24"/>
          <w:lang w:val="en-IE"/>
        </w:rPr>
        <w:t>other</w:t>
      </w:r>
      <w:r w:rsidR="00D06A2D" w:rsidRPr="000A3BD1">
        <w:rPr>
          <w:rFonts w:ascii="Times New Roman" w:hAnsi="Times New Roman" w:cs="Times New Roman"/>
          <w:noProof/>
          <w:sz w:val="24"/>
          <w:szCs w:val="24"/>
          <w:lang w:val="en-IE"/>
        </w:rPr>
        <w:t xml:space="preserve"> </w:t>
      </w:r>
      <w:r w:rsidRPr="000A3BD1">
        <w:rPr>
          <w:rFonts w:ascii="Times New Roman" w:hAnsi="Times New Roman" w:cs="Times New Roman"/>
          <w:noProof/>
          <w:sz w:val="24"/>
          <w:szCs w:val="24"/>
          <w:lang w:val="en-IE"/>
        </w:rPr>
        <w:t>issues identified can be addressed</w:t>
      </w:r>
      <w:r w:rsidR="00D06A2D">
        <w:rPr>
          <w:rFonts w:ascii="Times New Roman" w:hAnsi="Times New Roman" w:cs="Times New Roman"/>
          <w:noProof/>
          <w:sz w:val="24"/>
          <w:szCs w:val="24"/>
          <w:lang w:val="en-IE"/>
        </w:rPr>
        <w:t xml:space="preserve"> operationally</w:t>
      </w:r>
      <w:r w:rsidRPr="000A3BD1">
        <w:rPr>
          <w:rFonts w:ascii="Times New Roman" w:hAnsi="Times New Roman" w:cs="Times New Roman"/>
          <w:noProof/>
          <w:sz w:val="24"/>
          <w:szCs w:val="24"/>
          <w:lang w:val="en-IE"/>
        </w:rPr>
        <w:t xml:space="preserve"> without an immediate mandate change. Therefore, while the Agency would benefit from a change in the mandate, most of the immediate shortcoming</w:t>
      </w:r>
      <w:r w:rsidR="00836B96">
        <w:rPr>
          <w:rFonts w:ascii="Times New Roman" w:hAnsi="Times New Roman" w:cs="Times New Roman"/>
          <w:noProof/>
          <w:sz w:val="24"/>
          <w:szCs w:val="24"/>
          <w:lang w:val="en-IE"/>
        </w:rPr>
        <w:t xml:space="preserve"> identified</w:t>
      </w:r>
      <w:r w:rsidRPr="000A3BD1">
        <w:rPr>
          <w:rFonts w:ascii="Times New Roman" w:hAnsi="Times New Roman" w:cs="Times New Roman"/>
          <w:noProof/>
          <w:sz w:val="24"/>
          <w:szCs w:val="24"/>
          <w:lang w:val="en-IE"/>
        </w:rPr>
        <w:t xml:space="preserve"> can be addressed through operational changes, providing the Agency with the necessary stability to deliver on the more time pressing projects. </w:t>
      </w:r>
    </w:p>
    <w:p w14:paraId="095F76BA" w14:textId="5FF28A82" w:rsidR="000A3BD1" w:rsidRPr="000A3BD1" w:rsidRDefault="00760E17" w:rsidP="000A3BD1">
      <w:pPr>
        <w:jc w:val="both"/>
        <w:rPr>
          <w:rFonts w:ascii="Times New Roman" w:hAnsi="Times New Roman" w:cs="Times New Roman"/>
          <w:noProof/>
          <w:sz w:val="24"/>
          <w:szCs w:val="24"/>
          <w:lang w:val="en-IE"/>
        </w:rPr>
      </w:pPr>
      <w:r w:rsidRPr="000A3BD1">
        <w:rPr>
          <w:rFonts w:ascii="Times New Roman" w:hAnsi="Times New Roman" w:cs="Times New Roman"/>
          <w:b/>
          <w:bCs/>
          <w:noProof/>
          <w:sz w:val="24"/>
          <w:szCs w:val="24"/>
          <w:lang w:val="en-IE"/>
        </w:rPr>
        <w:t>The evaluation finds that</w:t>
      </w:r>
      <w:r w:rsidRPr="000A3BD1">
        <w:rPr>
          <w:rFonts w:ascii="Times New Roman" w:hAnsi="Times New Roman" w:cs="Times New Roman"/>
          <w:noProof/>
          <w:sz w:val="24"/>
          <w:szCs w:val="24"/>
          <w:lang w:val="en-IE"/>
        </w:rPr>
        <w:t xml:space="preserve"> </w:t>
      </w:r>
      <w:r w:rsidRPr="000A3BD1">
        <w:rPr>
          <w:rFonts w:ascii="Times New Roman" w:hAnsi="Times New Roman" w:cs="Times New Roman"/>
          <w:b/>
          <w:bCs/>
          <w:noProof/>
          <w:sz w:val="24"/>
          <w:szCs w:val="24"/>
          <w:lang w:val="en-IE"/>
        </w:rPr>
        <w:t xml:space="preserve">not amending the mandate </w:t>
      </w:r>
      <w:r w:rsidR="00F05085">
        <w:rPr>
          <w:rFonts w:ascii="Times New Roman" w:hAnsi="Times New Roman" w:cs="Times New Roman"/>
          <w:b/>
          <w:bCs/>
          <w:noProof/>
          <w:sz w:val="24"/>
          <w:szCs w:val="24"/>
          <w:lang w:val="en-IE"/>
        </w:rPr>
        <w:t>at this stage</w:t>
      </w:r>
      <w:r w:rsidR="00F05085" w:rsidRPr="000A3BD1">
        <w:rPr>
          <w:rFonts w:ascii="Times New Roman" w:hAnsi="Times New Roman" w:cs="Times New Roman"/>
          <w:b/>
          <w:bCs/>
          <w:noProof/>
          <w:sz w:val="24"/>
          <w:szCs w:val="24"/>
          <w:lang w:val="en-IE"/>
        </w:rPr>
        <w:t xml:space="preserve"> </w:t>
      </w:r>
      <w:r w:rsidRPr="000A3BD1">
        <w:rPr>
          <w:rFonts w:ascii="Times New Roman" w:hAnsi="Times New Roman" w:cs="Times New Roman"/>
          <w:b/>
          <w:bCs/>
          <w:noProof/>
          <w:sz w:val="24"/>
          <w:szCs w:val="24"/>
          <w:lang w:val="en-IE"/>
        </w:rPr>
        <w:t>could for now better serve eu-LISA to deliver effectively and efficiently on its ongoing tasks</w:t>
      </w:r>
      <w:r w:rsidRPr="000A3BD1">
        <w:rPr>
          <w:rFonts w:ascii="Times New Roman" w:hAnsi="Times New Roman" w:cs="Times New Roman"/>
          <w:noProof/>
          <w:sz w:val="24"/>
          <w:szCs w:val="24"/>
          <w:lang w:val="en-IE"/>
        </w:rPr>
        <w:t>.</w:t>
      </w:r>
      <w:r>
        <w:rPr>
          <w:rFonts w:ascii="Times New Roman" w:hAnsi="Times New Roman" w:cs="Times New Roman"/>
          <w:noProof/>
          <w:sz w:val="24"/>
          <w:szCs w:val="24"/>
          <w:lang w:val="en-IE"/>
        </w:rPr>
        <w:t xml:space="preserve"> Therefore, eu-LISA should prioritise </w:t>
      </w:r>
      <w:r w:rsidR="000A3BD1" w:rsidRPr="000A3BD1">
        <w:rPr>
          <w:rFonts w:ascii="Times New Roman" w:hAnsi="Times New Roman" w:cs="Times New Roman"/>
          <w:noProof/>
          <w:sz w:val="24"/>
          <w:szCs w:val="24"/>
          <w:lang w:val="en-IE"/>
        </w:rPr>
        <w:t xml:space="preserve">organisational stability and strategic operational </w:t>
      </w:r>
      <w:r>
        <w:rPr>
          <w:rFonts w:ascii="Times New Roman" w:hAnsi="Times New Roman" w:cs="Times New Roman"/>
          <w:noProof/>
          <w:sz w:val="24"/>
          <w:szCs w:val="24"/>
          <w:lang w:val="en-IE"/>
        </w:rPr>
        <w:t>improvement</w:t>
      </w:r>
      <w:r w:rsidRPr="000A3BD1">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over</w:t>
      </w:r>
      <w:r w:rsidR="000A3BD1" w:rsidRPr="000A3BD1">
        <w:rPr>
          <w:rFonts w:ascii="Times New Roman" w:hAnsi="Times New Roman" w:cs="Times New Roman"/>
          <w:noProof/>
          <w:sz w:val="24"/>
          <w:szCs w:val="24"/>
          <w:lang w:val="en-IE"/>
        </w:rPr>
        <w:t xml:space="preserve"> immediate changes to its mandate. The challenges identified by the </w:t>
      </w:r>
      <w:r w:rsidR="007E3AAF">
        <w:rPr>
          <w:rFonts w:ascii="Times New Roman" w:hAnsi="Times New Roman" w:cs="Times New Roman"/>
          <w:noProof/>
          <w:sz w:val="24"/>
          <w:szCs w:val="24"/>
          <w:lang w:val="en-IE"/>
        </w:rPr>
        <w:t>evaluation</w:t>
      </w:r>
      <w:r w:rsidR="007E3AAF" w:rsidRPr="000A3BD1">
        <w:rPr>
          <w:rFonts w:ascii="Times New Roman" w:hAnsi="Times New Roman" w:cs="Times New Roman"/>
          <w:noProof/>
          <w:sz w:val="24"/>
          <w:szCs w:val="24"/>
          <w:lang w:val="en-IE"/>
        </w:rPr>
        <w:t xml:space="preserve"> </w:t>
      </w:r>
      <w:r w:rsidR="000A3BD1" w:rsidRPr="000A3BD1">
        <w:rPr>
          <w:rFonts w:ascii="Times New Roman" w:hAnsi="Times New Roman" w:cs="Times New Roman"/>
          <w:noProof/>
          <w:sz w:val="24"/>
          <w:szCs w:val="24"/>
          <w:lang w:val="en-IE"/>
        </w:rPr>
        <w:t xml:space="preserve">that </w:t>
      </w:r>
      <w:r>
        <w:rPr>
          <w:rFonts w:ascii="Times New Roman" w:hAnsi="Times New Roman" w:cs="Times New Roman"/>
          <w:noProof/>
          <w:sz w:val="24"/>
          <w:szCs w:val="24"/>
          <w:lang w:val="en-IE"/>
        </w:rPr>
        <w:t>may</w:t>
      </w:r>
      <w:r w:rsidRPr="000A3BD1">
        <w:rPr>
          <w:rFonts w:ascii="Times New Roman" w:hAnsi="Times New Roman" w:cs="Times New Roman"/>
          <w:noProof/>
          <w:sz w:val="24"/>
          <w:szCs w:val="24"/>
          <w:lang w:val="en-IE"/>
        </w:rPr>
        <w:t xml:space="preserve"> </w:t>
      </w:r>
      <w:r w:rsidR="000A3BD1" w:rsidRPr="000A3BD1">
        <w:rPr>
          <w:rFonts w:ascii="Times New Roman" w:hAnsi="Times New Roman" w:cs="Times New Roman"/>
          <w:noProof/>
          <w:sz w:val="24"/>
          <w:szCs w:val="24"/>
          <w:lang w:val="en-IE"/>
        </w:rPr>
        <w:t xml:space="preserve">require a mandate </w:t>
      </w:r>
      <w:r w:rsidR="007E3AAF">
        <w:rPr>
          <w:rFonts w:ascii="Times New Roman" w:hAnsi="Times New Roman" w:cs="Times New Roman"/>
          <w:noProof/>
          <w:sz w:val="24"/>
          <w:szCs w:val="24"/>
          <w:lang w:val="en-IE"/>
        </w:rPr>
        <w:t>revision</w:t>
      </w:r>
      <w:r w:rsidR="007E3AAF" w:rsidRPr="000A3BD1">
        <w:rPr>
          <w:rFonts w:ascii="Times New Roman" w:hAnsi="Times New Roman" w:cs="Times New Roman"/>
          <w:noProof/>
          <w:sz w:val="24"/>
          <w:szCs w:val="24"/>
          <w:lang w:val="en-IE"/>
        </w:rPr>
        <w:t xml:space="preserve"> </w:t>
      </w:r>
      <w:r>
        <w:rPr>
          <w:rFonts w:ascii="Times New Roman" w:hAnsi="Times New Roman" w:cs="Times New Roman"/>
          <w:noProof/>
          <w:sz w:val="24"/>
          <w:szCs w:val="24"/>
          <w:lang w:val="en-IE"/>
        </w:rPr>
        <w:t xml:space="preserve">can be addressed </w:t>
      </w:r>
      <w:r w:rsidR="007E3AAF">
        <w:rPr>
          <w:rFonts w:ascii="Times New Roman" w:hAnsi="Times New Roman" w:cs="Times New Roman"/>
          <w:noProof/>
          <w:sz w:val="24"/>
          <w:szCs w:val="24"/>
          <w:lang w:val="en-IE"/>
        </w:rPr>
        <w:t xml:space="preserve">once </w:t>
      </w:r>
      <w:r w:rsidR="000A3BD1" w:rsidRPr="000A3BD1">
        <w:rPr>
          <w:rFonts w:ascii="Times New Roman" w:hAnsi="Times New Roman" w:cs="Times New Roman"/>
          <w:noProof/>
          <w:sz w:val="24"/>
          <w:szCs w:val="24"/>
          <w:lang w:val="en-IE"/>
        </w:rPr>
        <w:t>eu-LISA</w:t>
      </w:r>
      <w:r>
        <w:rPr>
          <w:rFonts w:ascii="Times New Roman" w:hAnsi="Times New Roman" w:cs="Times New Roman"/>
          <w:noProof/>
          <w:sz w:val="24"/>
          <w:szCs w:val="24"/>
          <w:lang w:val="en-IE"/>
        </w:rPr>
        <w:t xml:space="preserve"> has completed its most pressing tasks such as delivering the planned IT systems and implementing the interoperability architecture. </w:t>
      </w:r>
      <w:r w:rsidR="000A3BD1" w:rsidRPr="000A3BD1">
        <w:rPr>
          <w:rFonts w:ascii="Times New Roman" w:hAnsi="Times New Roman" w:cs="Times New Roman"/>
          <w:noProof/>
          <w:sz w:val="24"/>
          <w:szCs w:val="24"/>
          <w:lang w:val="en-IE"/>
        </w:rPr>
        <w:t> </w:t>
      </w:r>
    </w:p>
    <w:p w14:paraId="45CBEE83" w14:textId="3DBB6691" w:rsidR="00795BBF" w:rsidRPr="006041F7" w:rsidRDefault="000A3BD1" w:rsidP="00795BBF">
      <w:pPr>
        <w:jc w:val="both"/>
        <w:rPr>
          <w:rFonts w:ascii="Times New Roman" w:hAnsi="Times New Roman" w:cs="Times New Roman"/>
          <w:noProof/>
          <w:sz w:val="24"/>
          <w:szCs w:val="24"/>
          <w:lang w:val="en-IE"/>
        </w:rPr>
      </w:pPr>
      <w:r w:rsidRPr="000A3BD1">
        <w:rPr>
          <w:rFonts w:ascii="Times New Roman" w:hAnsi="Times New Roman" w:cs="Times New Roman"/>
          <w:noProof/>
          <w:sz w:val="24"/>
          <w:szCs w:val="24"/>
          <w:lang w:val="en-IE"/>
        </w:rPr>
        <w:t xml:space="preserve">Based on this conclusion, </w:t>
      </w:r>
      <w:r w:rsidR="00F05085">
        <w:rPr>
          <w:rFonts w:ascii="Times New Roman" w:hAnsi="Times New Roman" w:cs="Times New Roman"/>
          <w:noProof/>
          <w:sz w:val="24"/>
          <w:szCs w:val="24"/>
          <w:lang w:val="en-IE"/>
        </w:rPr>
        <w:t>the evaluation includes</w:t>
      </w:r>
      <w:r w:rsidR="00EC76A9">
        <w:rPr>
          <w:rFonts w:ascii="Times New Roman" w:hAnsi="Times New Roman" w:cs="Times New Roman"/>
          <w:noProof/>
          <w:sz w:val="24"/>
          <w:szCs w:val="24"/>
          <w:lang w:val="en-IE"/>
        </w:rPr>
        <w:t xml:space="preserve"> a</w:t>
      </w:r>
      <w:r w:rsidR="00EC76A9" w:rsidRPr="000A3BD1">
        <w:rPr>
          <w:rFonts w:ascii="Times New Roman" w:hAnsi="Times New Roman" w:cs="Times New Roman"/>
          <w:noProof/>
          <w:sz w:val="24"/>
          <w:szCs w:val="24"/>
          <w:lang w:val="en-IE"/>
        </w:rPr>
        <w:t xml:space="preserve"> </w:t>
      </w:r>
      <w:r w:rsidRPr="000A3BD1">
        <w:rPr>
          <w:rFonts w:ascii="Times New Roman" w:hAnsi="Times New Roman" w:cs="Times New Roman"/>
          <w:noProof/>
          <w:sz w:val="24"/>
          <w:szCs w:val="24"/>
          <w:lang w:val="en-IE"/>
        </w:rPr>
        <w:t>list of 54 recommendations (</w:t>
      </w:r>
      <w:r w:rsidR="007E3AAF">
        <w:rPr>
          <w:rFonts w:ascii="Times New Roman" w:hAnsi="Times New Roman" w:cs="Times New Roman"/>
          <w:noProof/>
          <w:sz w:val="24"/>
          <w:szCs w:val="24"/>
          <w:lang w:val="en-IE"/>
        </w:rPr>
        <w:t xml:space="preserve">under the heading </w:t>
      </w:r>
      <w:r w:rsidRPr="000A3BD1">
        <w:rPr>
          <w:rFonts w:ascii="Times New Roman" w:hAnsi="Times New Roman" w:cs="Times New Roman"/>
          <w:noProof/>
          <w:sz w:val="24"/>
          <w:szCs w:val="24"/>
          <w:lang w:val="en-IE"/>
        </w:rPr>
        <w:t>‘global assessment of the areas of attention’) have been prepared. The priority order of the recomm</w:t>
      </w:r>
      <w:r w:rsidRPr="005D14F7">
        <w:rPr>
          <w:rFonts w:ascii="Times New Roman" w:hAnsi="Times New Roman" w:cs="Times New Roman"/>
          <w:noProof/>
          <w:sz w:val="24"/>
          <w:szCs w:val="24"/>
          <w:lang w:val="en-IE"/>
        </w:rPr>
        <w:t xml:space="preserve">endations in the list is based on (1) </w:t>
      </w:r>
      <w:r w:rsidR="007E3AAF">
        <w:rPr>
          <w:rFonts w:ascii="Times New Roman" w:hAnsi="Times New Roman" w:cs="Times New Roman"/>
          <w:noProof/>
          <w:sz w:val="24"/>
          <w:szCs w:val="24"/>
          <w:lang w:val="en-IE"/>
        </w:rPr>
        <w:t xml:space="preserve">their </w:t>
      </w:r>
      <w:r w:rsidRPr="005D14F7">
        <w:rPr>
          <w:rFonts w:ascii="Times New Roman" w:hAnsi="Times New Roman" w:cs="Times New Roman"/>
          <w:noProof/>
          <w:sz w:val="24"/>
          <w:szCs w:val="24"/>
          <w:lang w:val="en-IE"/>
        </w:rPr>
        <w:t xml:space="preserve">urgency; (2) </w:t>
      </w:r>
      <w:r w:rsidR="007E3AAF">
        <w:rPr>
          <w:rFonts w:ascii="Times New Roman" w:hAnsi="Times New Roman" w:cs="Times New Roman"/>
          <w:noProof/>
          <w:sz w:val="24"/>
          <w:szCs w:val="24"/>
          <w:lang w:val="en-IE"/>
        </w:rPr>
        <w:t xml:space="preserve">their </w:t>
      </w:r>
      <w:r w:rsidRPr="005D14F7">
        <w:rPr>
          <w:rFonts w:ascii="Times New Roman" w:hAnsi="Times New Roman" w:cs="Times New Roman"/>
          <w:noProof/>
          <w:sz w:val="24"/>
          <w:szCs w:val="24"/>
          <w:lang w:val="en-IE"/>
        </w:rPr>
        <w:t>feasibility; and (3)</w:t>
      </w:r>
      <w:r w:rsidR="007E3AAF">
        <w:rPr>
          <w:rFonts w:ascii="Times New Roman" w:hAnsi="Times New Roman" w:cs="Times New Roman"/>
          <w:noProof/>
          <w:sz w:val="24"/>
          <w:szCs w:val="24"/>
          <w:lang w:val="en-IE"/>
        </w:rPr>
        <w:t xml:space="preserve"> the</w:t>
      </w:r>
      <w:r w:rsidRPr="005D14F7">
        <w:rPr>
          <w:rFonts w:ascii="Times New Roman" w:hAnsi="Times New Roman" w:cs="Times New Roman"/>
          <w:noProof/>
          <w:sz w:val="24"/>
          <w:szCs w:val="24"/>
          <w:lang w:val="en-IE"/>
        </w:rPr>
        <w:t xml:space="preserve"> evaluation criteria. </w:t>
      </w:r>
      <w:r w:rsidR="00795BBF" w:rsidRPr="006041F7">
        <w:rPr>
          <w:rFonts w:ascii="Times New Roman" w:hAnsi="Times New Roman" w:cs="Times New Roman"/>
          <w:noProof/>
          <w:sz w:val="24"/>
          <w:szCs w:val="24"/>
          <w:lang w:val="en-IE"/>
        </w:rPr>
        <w:t xml:space="preserve">Considering the evaluation’s finding that mandate changes could create further </w:t>
      </w:r>
      <w:r w:rsidR="00C01D56">
        <w:rPr>
          <w:rFonts w:ascii="Times New Roman" w:hAnsi="Times New Roman" w:cs="Times New Roman"/>
          <w:noProof/>
          <w:sz w:val="24"/>
          <w:szCs w:val="24"/>
          <w:lang w:val="en-IE"/>
        </w:rPr>
        <w:t>risks and impediments</w:t>
      </w:r>
      <w:r w:rsidR="00795BBF" w:rsidRPr="006041F7">
        <w:rPr>
          <w:rFonts w:ascii="Times New Roman" w:hAnsi="Times New Roman" w:cs="Times New Roman"/>
          <w:noProof/>
          <w:sz w:val="24"/>
          <w:szCs w:val="24"/>
          <w:lang w:val="en-IE"/>
        </w:rPr>
        <w:t xml:space="preserve"> for eu-LISA in the current context, mandate-related recommendations have been de-prioritised in the short term. </w:t>
      </w:r>
    </w:p>
    <w:p w14:paraId="0C4BFCA0" w14:textId="03A6A450" w:rsidR="001932A5" w:rsidRPr="00784FFF" w:rsidRDefault="00606B77" w:rsidP="001932A5">
      <w:pPr>
        <w:jc w:val="both"/>
        <w:rPr>
          <w:rFonts w:ascii="Times New Roman" w:hAnsi="Times New Roman" w:cs="Times New Roman"/>
          <w:noProof/>
          <w:sz w:val="24"/>
          <w:szCs w:val="24"/>
          <w:lang w:val="en-IE"/>
        </w:rPr>
      </w:pPr>
      <w:r w:rsidRPr="006041F7">
        <w:rPr>
          <w:rFonts w:ascii="Times New Roman" w:hAnsi="Times New Roman" w:cs="Times New Roman"/>
          <w:noProof/>
          <w:sz w:val="24"/>
          <w:szCs w:val="24"/>
          <w:lang w:val="en-IE"/>
        </w:rPr>
        <w:t xml:space="preserve">On this basis, the </w:t>
      </w:r>
      <w:r w:rsidR="00F05085">
        <w:rPr>
          <w:rFonts w:ascii="Times New Roman" w:hAnsi="Times New Roman" w:cs="Times New Roman"/>
          <w:noProof/>
          <w:sz w:val="24"/>
          <w:szCs w:val="24"/>
          <w:lang w:val="en-IE"/>
        </w:rPr>
        <w:t>evaluation</w:t>
      </w:r>
      <w:r w:rsidR="00F05085" w:rsidRPr="006041F7">
        <w:rPr>
          <w:rFonts w:ascii="Times New Roman" w:hAnsi="Times New Roman" w:cs="Times New Roman"/>
          <w:noProof/>
          <w:sz w:val="24"/>
          <w:szCs w:val="24"/>
          <w:lang w:val="en-IE"/>
        </w:rPr>
        <w:t xml:space="preserve"> </w:t>
      </w:r>
      <w:r w:rsidRPr="006041F7">
        <w:rPr>
          <w:rFonts w:ascii="Times New Roman" w:hAnsi="Times New Roman" w:cs="Times New Roman"/>
          <w:noProof/>
          <w:sz w:val="24"/>
          <w:szCs w:val="24"/>
          <w:lang w:val="en-IE"/>
        </w:rPr>
        <w:t>has identified the following 11 recommendations</w:t>
      </w:r>
      <w:r w:rsidR="007E3AAF">
        <w:rPr>
          <w:rFonts w:ascii="Times New Roman" w:hAnsi="Times New Roman" w:cs="Times New Roman"/>
          <w:noProof/>
          <w:sz w:val="24"/>
          <w:szCs w:val="24"/>
          <w:lang w:val="en-IE"/>
        </w:rPr>
        <w:t>, to be implemented by eu-LISA,</w:t>
      </w:r>
      <w:r w:rsidRPr="006041F7">
        <w:rPr>
          <w:rFonts w:ascii="Times New Roman" w:hAnsi="Times New Roman" w:cs="Times New Roman"/>
          <w:noProof/>
          <w:sz w:val="24"/>
          <w:szCs w:val="24"/>
          <w:lang w:val="en-IE"/>
        </w:rPr>
        <w:t xml:space="preserve"> as the most </w:t>
      </w:r>
      <w:r w:rsidR="00D13E33">
        <w:rPr>
          <w:rFonts w:ascii="Times New Roman" w:hAnsi="Times New Roman" w:cs="Times New Roman"/>
          <w:noProof/>
          <w:sz w:val="24"/>
          <w:szCs w:val="24"/>
          <w:lang w:val="en-IE"/>
        </w:rPr>
        <w:t>important</w:t>
      </w:r>
      <w:r w:rsidRPr="006041F7">
        <w:rPr>
          <w:rFonts w:ascii="Times New Roman" w:hAnsi="Times New Roman" w:cs="Times New Roman"/>
          <w:noProof/>
          <w:sz w:val="24"/>
          <w:szCs w:val="24"/>
          <w:lang w:val="en-IE"/>
        </w:rPr>
        <w:t xml:space="preserve">, as they can be implemented without changes to the current eu-LISA mandate and will contribute </w:t>
      </w:r>
      <w:r w:rsidR="007E3AAF">
        <w:rPr>
          <w:rFonts w:ascii="Times New Roman" w:hAnsi="Times New Roman" w:cs="Times New Roman"/>
          <w:noProof/>
          <w:sz w:val="24"/>
          <w:szCs w:val="24"/>
          <w:lang w:val="en-IE"/>
        </w:rPr>
        <w:t xml:space="preserve">directly </w:t>
      </w:r>
      <w:r w:rsidRPr="006041F7">
        <w:rPr>
          <w:rFonts w:ascii="Times New Roman" w:hAnsi="Times New Roman" w:cs="Times New Roman"/>
          <w:noProof/>
          <w:sz w:val="24"/>
          <w:szCs w:val="24"/>
          <w:lang w:val="en-IE"/>
        </w:rPr>
        <w:t>to organisational stability and the timely delivery of the Agency’s tasks:</w:t>
      </w:r>
    </w:p>
    <w:p w14:paraId="5A273601" w14:textId="77777777" w:rsidR="001932A5" w:rsidRPr="00784FFF" w:rsidRDefault="001932A5" w:rsidP="00050793">
      <w:pPr>
        <w:pStyle w:val="ListParagraph"/>
        <w:numPr>
          <w:ilvl w:val="0"/>
          <w:numId w:val="9"/>
        </w:numPr>
        <w:spacing w:after="160" w:line="259" w:lineRule="auto"/>
        <w:rPr>
          <w:noProof/>
          <w:szCs w:val="24"/>
          <w:lang w:val="en-IE"/>
        </w:rPr>
      </w:pPr>
      <w:r w:rsidRPr="00784FFF">
        <w:rPr>
          <w:noProof/>
          <w:szCs w:val="24"/>
          <w:lang w:val="en-IE"/>
        </w:rPr>
        <w:t>Develop a Target Operating Model (TOM) to help eu-LISA operate effectively while managing risks, making decisions quickly, and ensuring clarity in responsibilities, in particular, in case of incidents or emergencies.</w:t>
      </w:r>
    </w:p>
    <w:p w14:paraId="2D4FA0D4" w14:textId="77777777" w:rsidR="001932A5" w:rsidRPr="00784FFF" w:rsidRDefault="001932A5" w:rsidP="00050793">
      <w:pPr>
        <w:pStyle w:val="ListParagraph"/>
        <w:numPr>
          <w:ilvl w:val="0"/>
          <w:numId w:val="9"/>
        </w:numPr>
        <w:spacing w:after="160" w:line="259" w:lineRule="auto"/>
        <w:rPr>
          <w:noProof/>
          <w:szCs w:val="24"/>
          <w:lang w:val="en-IE"/>
        </w:rPr>
      </w:pPr>
      <w:r w:rsidRPr="00784FFF">
        <w:rPr>
          <w:noProof/>
          <w:szCs w:val="24"/>
          <w:lang w:val="en-IE"/>
        </w:rPr>
        <w:t>Develop and implement a comprehensive medium-term HR strategy.</w:t>
      </w:r>
    </w:p>
    <w:p w14:paraId="62D99E09" w14:textId="77777777" w:rsidR="001932A5" w:rsidRPr="00784FFF" w:rsidRDefault="001932A5" w:rsidP="00050793">
      <w:pPr>
        <w:pStyle w:val="ListParagraph"/>
        <w:numPr>
          <w:ilvl w:val="0"/>
          <w:numId w:val="9"/>
        </w:numPr>
        <w:spacing w:after="160" w:line="259" w:lineRule="auto"/>
        <w:rPr>
          <w:noProof/>
          <w:szCs w:val="24"/>
          <w:lang w:val="en-IE"/>
        </w:rPr>
      </w:pPr>
      <w:r w:rsidRPr="00784FFF">
        <w:rPr>
          <w:noProof/>
          <w:szCs w:val="24"/>
          <w:lang w:val="en-IE"/>
        </w:rPr>
        <w:t>Establish and implement a medium to long-term technology strategy.</w:t>
      </w:r>
    </w:p>
    <w:p w14:paraId="5190A1E0" w14:textId="77777777" w:rsidR="001932A5" w:rsidRPr="00784FFF" w:rsidRDefault="001932A5" w:rsidP="00050793">
      <w:pPr>
        <w:pStyle w:val="ListParagraph"/>
        <w:numPr>
          <w:ilvl w:val="0"/>
          <w:numId w:val="9"/>
        </w:numPr>
        <w:spacing w:after="160" w:line="259" w:lineRule="auto"/>
        <w:rPr>
          <w:noProof/>
          <w:szCs w:val="24"/>
          <w:lang w:val="en-IE"/>
        </w:rPr>
      </w:pPr>
      <w:r w:rsidRPr="00784FFF">
        <w:rPr>
          <w:noProof/>
          <w:szCs w:val="24"/>
          <w:lang w:val="en-IE"/>
        </w:rPr>
        <w:t>Implement a multiannual portfolio management approach.</w:t>
      </w:r>
    </w:p>
    <w:p w14:paraId="349EE9B7" w14:textId="77777777" w:rsidR="001932A5" w:rsidRPr="00784FFF" w:rsidRDefault="001932A5" w:rsidP="00050793">
      <w:pPr>
        <w:pStyle w:val="ListParagraph"/>
        <w:numPr>
          <w:ilvl w:val="0"/>
          <w:numId w:val="9"/>
        </w:numPr>
        <w:spacing w:after="160" w:line="259" w:lineRule="auto"/>
        <w:rPr>
          <w:noProof/>
          <w:szCs w:val="24"/>
          <w:lang w:val="en-IE"/>
        </w:rPr>
      </w:pPr>
      <w:r w:rsidRPr="00784FFF">
        <w:rPr>
          <w:noProof/>
          <w:szCs w:val="24"/>
          <w:lang w:val="en-IE"/>
        </w:rPr>
        <w:t>Improve resource planning functionalities, e.g. through establishing processes and using appropriate tools to address incomplete view of staff allocation and steering.</w:t>
      </w:r>
    </w:p>
    <w:p w14:paraId="4F78D511" w14:textId="77777777" w:rsidR="001932A5" w:rsidRPr="00784FFF" w:rsidRDefault="001932A5" w:rsidP="00050793">
      <w:pPr>
        <w:pStyle w:val="ListParagraph"/>
        <w:numPr>
          <w:ilvl w:val="0"/>
          <w:numId w:val="9"/>
        </w:numPr>
        <w:spacing w:after="160" w:line="259" w:lineRule="auto"/>
        <w:rPr>
          <w:noProof/>
          <w:szCs w:val="24"/>
          <w:lang w:val="en-IE"/>
        </w:rPr>
      </w:pPr>
      <w:r w:rsidRPr="00784FFF">
        <w:rPr>
          <w:noProof/>
          <w:szCs w:val="24"/>
          <w:lang w:val="en-IE"/>
        </w:rPr>
        <w:t>D</w:t>
      </w:r>
      <w:r w:rsidRPr="00046AB8">
        <w:rPr>
          <w:noProof/>
          <w:szCs w:val="24"/>
          <w:lang w:val="en-IE"/>
        </w:rPr>
        <w:t>e</w:t>
      </w:r>
      <w:r w:rsidRPr="00784FFF">
        <w:rPr>
          <w:noProof/>
          <w:szCs w:val="24"/>
          <w:lang w:val="en-IE"/>
        </w:rPr>
        <w:t>ploy an integrated tool for the development cycle (such as JIRA) across eu-LISA and contractors to streamline project management and collaboration, minimising disruptions, optimising workflows, and ensuring relevance.</w:t>
      </w:r>
    </w:p>
    <w:p w14:paraId="6992C0DE" w14:textId="77777777" w:rsidR="001932A5" w:rsidRPr="00784FFF" w:rsidRDefault="001932A5" w:rsidP="00050793">
      <w:pPr>
        <w:pStyle w:val="ListParagraph"/>
        <w:numPr>
          <w:ilvl w:val="0"/>
          <w:numId w:val="9"/>
        </w:numPr>
        <w:spacing w:after="160" w:line="259" w:lineRule="auto"/>
        <w:rPr>
          <w:noProof/>
          <w:szCs w:val="24"/>
          <w:lang w:val="en-IE"/>
        </w:rPr>
      </w:pPr>
      <w:r w:rsidRPr="00784FFF">
        <w:rPr>
          <w:noProof/>
          <w:szCs w:val="24"/>
          <w:lang w:val="en-IE"/>
        </w:rPr>
        <w:t>Establish and implement a medium-term sourcing and outsourcing strategy.</w:t>
      </w:r>
    </w:p>
    <w:p w14:paraId="3DFE00BB" w14:textId="77777777" w:rsidR="001932A5" w:rsidRPr="00784FFF" w:rsidRDefault="001932A5" w:rsidP="00050793">
      <w:pPr>
        <w:pStyle w:val="ListParagraph"/>
        <w:numPr>
          <w:ilvl w:val="0"/>
          <w:numId w:val="9"/>
        </w:numPr>
        <w:spacing w:after="160" w:line="259" w:lineRule="auto"/>
        <w:rPr>
          <w:noProof/>
          <w:szCs w:val="24"/>
          <w:lang w:val="en-IE"/>
        </w:rPr>
      </w:pPr>
      <w:r w:rsidRPr="00784FFF">
        <w:rPr>
          <w:noProof/>
          <w:szCs w:val="24"/>
          <w:lang w:val="en-IE"/>
        </w:rPr>
        <w:t>Strengthen existing capacities concerning in-house legal services.</w:t>
      </w:r>
    </w:p>
    <w:p w14:paraId="546ED7FB" w14:textId="77777777" w:rsidR="001932A5" w:rsidRPr="00784FFF" w:rsidRDefault="001932A5" w:rsidP="00050793">
      <w:pPr>
        <w:pStyle w:val="ListParagraph"/>
        <w:numPr>
          <w:ilvl w:val="0"/>
          <w:numId w:val="9"/>
        </w:numPr>
        <w:spacing w:after="160" w:line="259" w:lineRule="auto"/>
        <w:rPr>
          <w:noProof/>
          <w:szCs w:val="24"/>
          <w:lang w:val="en-IE"/>
        </w:rPr>
      </w:pPr>
      <w:r w:rsidRPr="00784FFF">
        <w:rPr>
          <w:noProof/>
          <w:szCs w:val="24"/>
          <w:lang w:val="en-IE"/>
        </w:rPr>
        <w:t>Update the service catalogue with full descriptions of services and define clear roles and responsibilities for service owners and managers.</w:t>
      </w:r>
    </w:p>
    <w:p w14:paraId="3B608E0D" w14:textId="77777777" w:rsidR="001932A5" w:rsidRDefault="001932A5" w:rsidP="00050793">
      <w:pPr>
        <w:pStyle w:val="ListParagraph"/>
        <w:numPr>
          <w:ilvl w:val="0"/>
          <w:numId w:val="9"/>
        </w:numPr>
        <w:spacing w:after="160" w:line="259" w:lineRule="auto"/>
        <w:rPr>
          <w:noProof/>
          <w:szCs w:val="24"/>
          <w:lang w:val="en-IE"/>
        </w:rPr>
      </w:pPr>
      <w:r w:rsidRPr="00784FFF">
        <w:rPr>
          <w:noProof/>
          <w:szCs w:val="24"/>
          <w:lang w:val="en-IE"/>
        </w:rPr>
        <w:t>Improve visibility about current resource allocation, project status, processes, bottlenecks, shortages, in order to enable more informed discussion about the prioritisation of projects, also at political level.</w:t>
      </w:r>
    </w:p>
    <w:p w14:paraId="75BE30FD" w14:textId="28EA3ADE" w:rsidR="00BD1BEF" w:rsidRPr="00BD1BEF" w:rsidRDefault="00BD1BEF" w:rsidP="00050793">
      <w:pPr>
        <w:pStyle w:val="ListParagraph"/>
        <w:numPr>
          <w:ilvl w:val="0"/>
          <w:numId w:val="9"/>
        </w:numPr>
        <w:spacing w:after="160" w:line="259" w:lineRule="auto"/>
        <w:rPr>
          <w:noProof/>
          <w:szCs w:val="24"/>
          <w:lang w:val="en-IE"/>
        </w:rPr>
      </w:pPr>
      <w:r w:rsidRPr="00004DA6">
        <w:rPr>
          <w:noProof/>
          <w:szCs w:val="24"/>
          <w:lang w:val="en-IE"/>
        </w:rPr>
        <w:t>Decrease dependency from external contractors, while increasing project ownership and knowledge retention. </w:t>
      </w:r>
    </w:p>
    <w:p w14:paraId="5CA33E0A" w14:textId="4BA395B9" w:rsidR="007454CE" w:rsidRPr="00004DA6" w:rsidRDefault="007454CE" w:rsidP="00004DA6">
      <w:pPr>
        <w:pStyle w:val="Text1"/>
        <w:rPr>
          <w:noProof/>
        </w:rPr>
        <w:sectPr w:rsidR="007454CE" w:rsidRPr="00004DA6" w:rsidSect="00907D40">
          <w:headerReference w:type="default" r:id="rId42"/>
          <w:footerReference w:type="default" r:id="rId43"/>
          <w:headerReference w:type="first" r:id="rId44"/>
          <w:footerReference w:type="first" r:id="rId45"/>
          <w:pgSz w:w="11906" w:h="16838"/>
          <w:pgMar w:top="1021" w:right="1701" w:bottom="1021" w:left="1588" w:header="601" w:footer="354" w:gutter="0"/>
          <w:cols w:space="720"/>
          <w:titlePg/>
        </w:sectPr>
      </w:pPr>
    </w:p>
    <w:p w14:paraId="33F15230" w14:textId="4F9BD2E6" w:rsidR="008530D4" w:rsidRPr="00855E06" w:rsidRDefault="008530D4" w:rsidP="004E2424">
      <w:pPr>
        <w:pStyle w:val="Heading1"/>
        <w:pBdr>
          <w:top w:val="single" w:sz="4" w:space="1" w:color="auto"/>
          <w:left w:val="single" w:sz="4" w:space="4" w:color="auto"/>
          <w:bottom w:val="single" w:sz="4" w:space="1" w:color="auto"/>
          <w:right w:val="single" w:sz="4" w:space="4" w:color="auto"/>
        </w:pBdr>
        <w:shd w:val="clear" w:color="auto" w:fill="BBDAFD" w:themeFill="text2" w:themeFillTint="33"/>
        <w:spacing w:before="0" w:after="0"/>
        <w:rPr>
          <w:noProof/>
        </w:rPr>
      </w:pPr>
      <w:bookmarkStart w:id="38" w:name="_Toc481484483"/>
      <w:bookmarkStart w:id="39" w:name="_Toc207303617"/>
      <w:r w:rsidRPr="00855E06">
        <w:rPr>
          <w:noProof/>
          <w:szCs w:val="24"/>
        </w:rPr>
        <w:t xml:space="preserve">Annex </w:t>
      </w:r>
      <w:r w:rsidR="00E71F52" w:rsidRPr="00855E06">
        <w:rPr>
          <w:noProof/>
          <w:szCs w:val="24"/>
        </w:rPr>
        <w:t>I</w:t>
      </w:r>
      <w:r w:rsidR="00147D71" w:rsidRPr="00855E06">
        <w:rPr>
          <w:noProof/>
          <w:szCs w:val="24"/>
        </w:rPr>
        <w:t xml:space="preserve">:   </w:t>
      </w:r>
      <w:r w:rsidRPr="00855E06">
        <w:rPr>
          <w:noProof/>
          <w:szCs w:val="24"/>
        </w:rPr>
        <w:t xml:space="preserve">Procedural </w:t>
      </w:r>
      <w:r w:rsidR="00147D71" w:rsidRPr="00855E06">
        <w:rPr>
          <w:noProof/>
          <w:szCs w:val="24"/>
        </w:rPr>
        <w:t>Information</w:t>
      </w:r>
      <w:bookmarkEnd w:id="38"/>
      <w:bookmarkEnd w:id="39"/>
    </w:p>
    <w:p w14:paraId="28C99BD0" w14:textId="77777777" w:rsidR="00275C95" w:rsidRPr="004E2424" w:rsidRDefault="00275C95" w:rsidP="004E2424">
      <w:pPr>
        <w:spacing w:after="0"/>
        <w:rPr>
          <w:b/>
          <w:bCs/>
          <w:iCs/>
          <w:noProof/>
          <w:szCs w:val="24"/>
          <w:lang w:val="en-IE"/>
        </w:rPr>
      </w:pPr>
    </w:p>
    <w:p w14:paraId="0D3CB75C" w14:textId="2DB807C2" w:rsidR="00515E94" w:rsidRPr="00004DA6" w:rsidRDefault="0044546A" w:rsidP="00004DA6">
      <w:pPr>
        <w:pStyle w:val="ListParagraph"/>
        <w:numPr>
          <w:ilvl w:val="0"/>
          <w:numId w:val="3"/>
        </w:numPr>
        <w:spacing w:after="0"/>
        <w:rPr>
          <w:iCs/>
          <w:noProof/>
          <w:szCs w:val="24"/>
          <w:lang w:val="en-IE"/>
        </w:rPr>
      </w:pPr>
      <w:r w:rsidRPr="00855E06">
        <w:rPr>
          <w:b/>
          <w:bCs/>
          <w:iCs/>
          <w:noProof/>
          <w:szCs w:val="24"/>
          <w:lang w:val="en-IE"/>
        </w:rPr>
        <w:t>L</w:t>
      </w:r>
      <w:r w:rsidR="00A81AA7" w:rsidRPr="00855E06">
        <w:rPr>
          <w:b/>
          <w:bCs/>
          <w:iCs/>
          <w:noProof/>
          <w:szCs w:val="24"/>
          <w:lang w:val="en-IE"/>
        </w:rPr>
        <w:t xml:space="preserve">ead DG, </w:t>
      </w:r>
      <w:r w:rsidRPr="00855E06">
        <w:rPr>
          <w:b/>
          <w:bCs/>
          <w:iCs/>
          <w:noProof/>
          <w:szCs w:val="24"/>
          <w:lang w:val="en-IE"/>
        </w:rPr>
        <w:t>Decide reference and</w:t>
      </w:r>
      <w:r w:rsidR="00A247C9" w:rsidRPr="00855E06">
        <w:rPr>
          <w:b/>
          <w:bCs/>
          <w:iCs/>
          <w:noProof/>
          <w:szCs w:val="24"/>
          <w:lang w:val="en-IE"/>
        </w:rPr>
        <w:t xml:space="preserve"> </w:t>
      </w:r>
      <w:r w:rsidRPr="00855E06">
        <w:rPr>
          <w:b/>
          <w:bCs/>
          <w:iCs/>
          <w:noProof/>
          <w:szCs w:val="24"/>
          <w:lang w:val="en-IE"/>
        </w:rPr>
        <w:t>Work Programme reference</w:t>
      </w:r>
    </w:p>
    <w:p w14:paraId="462114F3" w14:textId="77777777" w:rsidR="00515E94" w:rsidRDefault="00515E94" w:rsidP="00855E06">
      <w:pPr>
        <w:spacing w:after="0"/>
        <w:jc w:val="both"/>
        <w:rPr>
          <w:rFonts w:ascii="Times New Roman" w:hAnsi="Times New Roman" w:cs="Times New Roman"/>
          <w:iCs/>
          <w:noProof/>
          <w:sz w:val="24"/>
          <w:szCs w:val="24"/>
          <w:lang w:val="en-IE"/>
        </w:rPr>
      </w:pPr>
    </w:p>
    <w:p w14:paraId="314EF814" w14:textId="4E3E8D85" w:rsidR="00B62BD9" w:rsidRDefault="00784E1D" w:rsidP="00855E06">
      <w:pPr>
        <w:spacing w:after="0"/>
        <w:jc w:val="both"/>
        <w:rPr>
          <w:rFonts w:ascii="Times New Roman" w:hAnsi="Times New Roman" w:cs="Times New Roman"/>
          <w:iCs/>
          <w:noProof/>
          <w:sz w:val="24"/>
          <w:szCs w:val="24"/>
          <w:lang w:val="en-IE"/>
        </w:rPr>
      </w:pPr>
      <w:r w:rsidRPr="00855E06">
        <w:rPr>
          <w:rFonts w:ascii="Times New Roman" w:hAnsi="Times New Roman" w:cs="Times New Roman"/>
          <w:iCs/>
          <w:noProof/>
          <w:sz w:val="24"/>
          <w:szCs w:val="24"/>
          <w:lang w:val="en-IE"/>
        </w:rPr>
        <w:t>DG Migration and Home Affairs (DG HOME) is the lead DG. There is no reference to the evaluation and the review in the Commission Work Programme 202</w:t>
      </w:r>
      <w:r w:rsidR="00E739A3" w:rsidRPr="00E739A3">
        <w:rPr>
          <w:rFonts w:ascii="Times New Roman" w:hAnsi="Times New Roman" w:cs="Times New Roman"/>
          <w:iCs/>
          <w:noProof/>
          <w:sz w:val="24"/>
          <w:szCs w:val="24"/>
          <w:lang w:val="en-IE"/>
        </w:rPr>
        <w:t>4</w:t>
      </w:r>
      <w:r w:rsidRPr="00855E06">
        <w:rPr>
          <w:rFonts w:ascii="Times New Roman" w:hAnsi="Times New Roman" w:cs="Times New Roman"/>
          <w:iCs/>
          <w:noProof/>
          <w:sz w:val="24"/>
          <w:szCs w:val="24"/>
          <w:lang w:val="en-IE"/>
        </w:rPr>
        <w:t>.</w:t>
      </w:r>
    </w:p>
    <w:p w14:paraId="40D5C1B1" w14:textId="77777777" w:rsidR="00275C95" w:rsidRPr="00855E06" w:rsidRDefault="00275C95" w:rsidP="004E2424">
      <w:pPr>
        <w:spacing w:after="0"/>
        <w:jc w:val="both"/>
        <w:rPr>
          <w:rFonts w:ascii="Times New Roman" w:hAnsi="Times New Roman" w:cs="Times New Roman"/>
          <w:iCs/>
          <w:noProof/>
          <w:sz w:val="24"/>
          <w:szCs w:val="24"/>
          <w:lang w:val="en-IE"/>
        </w:rPr>
      </w:pPr>
    </w:p>
    <w:p w14:paraId="65E25872" w14:textId="3709F6FF" w:rsidR="0044546A" w:rsidRPr="00004DA6" w:rsidRDefault="0044546A" w:rsidP="004E2424">
      <w:pPr>
        <w:pStyle w:val="ListParagraph"/>
        <w:numPr>
          <w:ilvl w:val="0"/>
          <w:numId w:val="3"/>
        </w:numPr>
        <w:spacing w:after="0"/>
        <w:rPr>
          <w:b/>
          <w:noProof/>
          <w:szCs w:val="24"/>
          <w:lang w:val="en-IE"/>
        </w:rPr>
      </w:pPr>
      <w:r w:rsidRPr="00004DA6">
        <w:rPr>
          <w:b/>
          <w:noProof/>
          <w:szCs w:val="24"/>
          <w:lang w:val="en-IE"/>
        </w:rPr>
        <w:t>Derogations granted</w:t>
      </w:r>
      <w:r w:rsidR="00A81AA7" w:rsidRPr="00004DA6">
        <w:rPr>
          <w:b/>
          <w:noProof/>
          <w:szCs w:val="24"/>
          <w:lang w:val="en-IE"/>
        </w:rPr>
        <w:t xml:space="preserve"> and justification</w:t>
      </w:r>
    </w:p>
    <w:p w14:paraId="00D61DD3" w14:textId="77777777" w:rsidR="00515E94" w:rsidRDefault="00515E94" w:rsidP="00855E06">
      <w:pPr>
        <w:spacing w:after="0"/>
        <w:jc w:val="both"/>
        <w:rPr>
          <w:rFonts w:ascii="Times New Roman" w:hAnsi="Times New Roman" w:cs="Times New Roman"/>
          <w:iCs/>
          <w:noProof/>
          <w:sz w:val="24"/>
          <w:szCs w:val="24"/>
          <w:lang w:val="en-IE"/>
        </w:rPr>
      </w:pPr>
    </w:p>
    <w:p w14:paraId="42F9E538" w14:textId="3E33508F" w:rsidR="00B62BD9" w:rsidRDefault="00B43423" w:rsidP="00855E06">
      <w:pPr>
        <w:spacing w:after="0"/>
        <w:jc w:val="both"/>
        <w:rPr>
          <w:rFonts w:ascii="Times New Roman" w:hAnsi="Times New Roman" w:cs="Times New Roman"/>
          <w:iCs/>
          <w:noProof/>
          <w:sz w:val="24"/>
          <w:szCs w:val="24"/>
          <w:lang w:val="en-IE"/>
        </w:rPr>
      </w:pPr>
      <w:r w:rsidRPr="00855E06">
        <w:rPr>
          <w:rFonts w:ascii="Times New Roman" w:hAnsi="Times New Roman" w:cs="Times New Roman"/>
          <w:iCs/>
          <w:noProof/>
          <w:sz w:val="24"/>
          <w:szCs w:val="24"/>
          <w:lang w:val="en-IE"/>
        </w:rPr>
        <w:t xml:space="preserve">In conducting the evaluation, no exceptions from the usual procedural requirements described in the Better Regulation Guidelines were required. Public consultation did not take place as </w:t>
      </w:r>
      <w:r w:rsidR="00E739A3" w:rsidRPr="00E739A3">
        <w:rPr>
          <w:rFonts w:ascii="Times New Roman" w:hAnsi="Times New Roman" w:cs="Times New Roman"/>
          <w:iCs/>
          <w:noProof/>
          <w:sz w:val="24"/>
          <w:szCs w:val="24"/>
          <w:lang w:val="en-IE"/>
        </w:rPr>
        <w:t xml:space="preserve">eu-LISA’s core tasks are highly technical, sensitive and of confidential nature </w:t>
      </w:r>
      <w:r w:rsidRPr="00855E06">
        <w:rPr>
          <w:rFonts w:ascii="Times New Roman" w:hAnsi="Times New Roman" w:cs="Times New Roman"/>
          <w:iCs/>
          <w:noProof/>
          <w:sz w:val="24"/>
          <w:szCs w:val="24"/>
          <w:lang w:val="en-IE"/>
        </w:rPr>
        <w:t>and it was concluded that a public consultation would not bring specific added value. However, as part of the evaluation, the public was given the possibility to respond to the call for evidence. Furthermore, extensive targeted consultation of relevant stakeholders was planned and took place during the evaluation process</w:t>
      </w:r>
      <w:r w:rsidR="000813FA" w:rsidRPr="00855E06">
        <w:rPr>
          <w:rFonts w:ascii="Times New Roman" w:hAnsi="Times New Roman" w:cs="Times New Roman"/>
          <w:iCs/>
          <w:noProof/>
          <w:sz w:val="24"/>
          <w:szCs w:val="24"/>
          <w:lang w:val="en-IE"/>
        </w:rPr>
        <w:t xml:space="preserve"> (as described in Annex </w:t>
      </w:r>
      <w:r w:rsidR="00E06C78">
        <w:rPr>
          <w:rFonts w:ascii="Times New Roman" w:hAnsi="Times New Roman" w:cs="Times New Roman"/>
          <w:iCs/>
          <w:noProof/>
          <w:sz w:val="24"/>
          <w:szCs w:val="24"/>
          <w:lang w:val="en-IE"/>
        </w:rPr>
        <w:t>V</w:t>
      </w:r>
      <w:r w:rsidR="000813FA" w:rsidRPr="00855E06">
        <w:rPr>
          <w:rFonts w:ascii="Times New Roman" w:hAnsi="Times New Roman" w:cs="Times New Roman"/>
          <w:iCs/>
          <w:noProof/>
          <w:sz w:val="24"/>
          <w:szCs w:val="24"/>
          <w:lang w:val="en-IE"/>
        </w:rPr>
        <w:t>)</w:t>
      </w:r>
      <w:r w:rsidRPr="00855E06">
        <w:rPr>
          <w:rFonts w:ascii="Times New Roman" w:hAnsi="Times New Roman" w:cs="Times New Roman"/>
          <w:iCs/>
          <w:noProof/>
          <w:sz w:val="24"/>
          <w:szCs w:val="24"/>
          <w:lang w:val="en-IE"/>
        </w:rPr>
        <w:t>.</w:t>
      </w:r>
    </w:p>
    <w:p w14:paraId="7036A31E" w14:textId="77777777" w:rsidR="00275C95" w:rsidRPr="00855E06" w:rsidRDefault="00275C95" w:rsidP="004E2424">
      <w:pPr>
        <w:spacing w:after="0"/>
        <w:jc w:val="both"/>
        <w:rPr>
          <w:rFonts w:ascii="Times New Roman" w:hAnsi="Times New Roman" w:cs="Times New Roman"/>
          <w:iCs/>
          <w:noProof/>
          <w:sz w:val="24"/>
          <w:szCs w:val="24"/>
          <w:lang w:val="en-IE"/>
        </w:rPr>
      </w:pPr>
    </w:p>
    <w:p w14:paraId="4F1CB9BA" w14:textId="3931F61B" w:rsidR="0044546A" w:rsidRPr="00855E06" w:rsidRDefault="0044546A" w:rsidP="004E2424">
      <w:pPr>
        <w:pStyle w:val="ListParagraph"/>
        <w:numPr>
          <w:ilvl w:val="0"/>
          <w:numId w:val="3"/>
        </w:numPr>
        <w:spacing w:after="0"/>
        <w:rPr>
          <w:b/>
          <w:bCs/>
          <w:iCs/>
          <w:noProof/>
          <w:szCs w:val="24"/>
          <w:lang w:val="en-IE"/>
        </w:rPr>
      </w:pPr>
      <w:r w:rsidRPr="00855E06">
        <w:rPr>
          <w:b/>
          <w:bCs/>
          <w:iCs/>
          <w:noProof/>
          <w:szCs w:val="24"/>
          <w:lang w:val="en-IE"/>
        </w:rPr>
        <w:t>Organisation and timing</w:t>
      </w:r>
    </w:p>
    <w:p w14:paraId="4F3AD5E0" w14:textId="77777777" w:rsidR="003A35A8" w:rsidRDefault="003A35A8" w:rsidP="00855E06">
      <w:pPr>
        <w:spacing w:after="0"/>
        <w:jc w:val="both"/>
        <w:rPr>
          <w:rFonts w:ascii="Times New Roman" w:hAnsi="Times New Roman" w:cs="Times New Roman"/>
          <w:iCs/>
          <w:noProof/>
          <w:sz w:val="24"/>
          <w:szCs w:val="24"/>
          <w:lang w:val="en-IE"/>
        </w:rPr>
      </w:pPr>
    </w:p>
    <w:p w14:paraId="481FF702" w14:textId="61B96947" w:rsidR="00C84F5A" w:rsidRPr="00855E06" w:rsidRDefault="003D7696" w:rsidP="004E2424">
      <w:pPr>
        <w:spacing w:after="0"/>
        <w:jc w:val="both"/>
        <w:rPr>
          <w:rFonts w:ascii="Times New Roman" w:hAnsi="Times New Roman" w:cs="Times New Roman"/>
          <w:iCs/>
          <w:noProof/>
          <w:sz w:val="24"/>
          <w:szCs w:val="24"/>
          <w:lang w:val="en-IE"/>
        </w:rPr>
      </w:pPr>
      <w:r w:rsidRPr="00855E06">
        <w:rPr>
          <w:rFonts w:ascii="Times New Roman" w:hAnsi="Times New Roman" w:cs="Times New Roman"/>
          <w:iCs/>
          <w:noProof/>
          <w:sz w:val="24"/>
          <w:szCs w:val="24"/>
          <w:lang w:val="en-IE"/>
        </w:rPr>
        <w:t xml:space="preserve">The Terms of Reference (ToR) for engaging an external contractor to carry out the study to support the evaluation of the </w:t>
      </w:r>
      <w:r w:rsidR="007E5953">
        <w:rPr>
          <w:rFonts w:ascii="Times New Roman" w:hAnsi="Times New Roman" w:cs="Times New Roman"/>
          <w:iCs/>
          <w:noProof/>
          <w:sz w:val="24"/>
          <w:szCs w:val="24"/>
          <w:lang w:val="en-IE"/>
        </w:rPr>
        <w:t>European Union Agency for the Operational Management of Large-Scale IT Systems in the Area of Freedom, Security and Justice (eu-LISA)</w:t>
      </w:r>
      <w:r w:rsidR="007E5953" w:rsidRPr="00855E06">
        <w:rPr>
          <w:rFonts w:ascii="Times New Roman" w:hAnsi="Times New Roman" w:cs="Times New Roman"/>
          <w:iCs/>
          <w:noProof/>
          <w:sz w:val="24"/>
          <w:szCs w:val="24"/>
          <w:lang w:val="en-IE"/>
        </w:rPr>
        <w:t xml:space="preserve"> </w:t>
      </w:r>
      <w:r w:rsidRPr="00855E06">
        <w:rPr>
          <w:rFonts w:ascii="Times New Roman" w:hAnsi="Times New Roman" w:cs="Times New Roman"/>
          <w:iCs/>
          <w:noProof/>
          <w:sz w:val="24"/>
          <w:szCs w:val="24"/>
          <w:lang w:val="en-IE"/>
        </w:rPr>
        <w:t xml:space="preserve">were drawn up in </w:t>
      </w:r>
      <w:r w:rsidR="009E0C6F">
        <w:rPr>
          <w:rFonts w:ascii="Times New Roman" w:hAnsi="Times New Roman" w:cs="Times New Roman"/>
          <w:iCs/>
          <w:noProof/>
          <w:sz w:val="24"/>
          <w:szCs w:val="24"/>
          <w:lang w:val="en-IE"/>
        </w:rPr>
        <w:t>June</w:t>
      </w:r>
      <w:r w:rsidR="00AB459E">
        <w:rPr>
          <w:rFonts w:ascii="Times New Roman" w:hAnsi="Times New Roman" w:cs="Times New Roman"/>
          <w:iCs/>
          <w:noProof/>
          <w:sz w:val="24"/>
          <w:szCs w:val="24"/>
          <w:lang w:val="en-IE"/>
        </w:rPr>
        <w:t xml:space="preserve"> 2023</w:t>
      </w:r>
      <w:r w:rsidRPr="00855E06">
        <w:rPr>
          <w:rFonts w:ascii="Times New Roman" w:hAnsi="Times New Roman" w:cs="Times New Roman"/>
          <w:iCs/>
          <w:noProof/>
          <w:sz w:val="24"/>
          <w:szCs w:val="24"/>
          <w:lang w:val="en-IE"/>
        </w:rPr>
        <w:t xml:space="preserve">. A request for service was issued on </w:t>
      </w:r>
      <w:r w:rsidR="00A50E0A">
        <w:rPr>
          <w:rFonts w:ascii="Times New Roman" w:hAnsi="Times New Roman" w:cs="Times New Roman"/>
          <w:iCs/>
          <w:noProof/>
          <w:sz w:val="24"/>
          <w:szCs w:val="24"/>
          <w:lang w:val="en-IE"/>
        </w:rPr>
        <w:t>3 August 2023</w:t>
      </w:r>
      <w:r w:rsidRPr="00855E06">
        <w:rPr>
          <w:rFonts w:ascii="Times New Roman" w:hAnsi="Times New Roman" w:cs="Times New Roman"/>
          <w:iCs/>
          <w:noProof/>
          <w:sz w:val="24"/>
          <w:szCs w:val="24"/>
          <w:lang w:val="en-IE"/>
        </w:rPr>
        <w:t xml:space="preserve">, and a contractor selected by an evaluation committee consisting of staff from DG HOME in </w:t>
      </w:r>
      <w:r w:rsidR="00E91CAA">
        <w:rPr>
          <w:rFonts w:ascii="Times New Roman" w:hAnsi="Times New Roman" w:cs="Times New Roman"/>
          <w:iCs/>
          <w:noProof/>
          <w:sz w:val="24"/>
          <w:szCs w:val="24"/>
          <w:lang w:val="en-IE"/>
        </w:rPr>
        <w:t>October</w:t>
      </w:r>
      <w:r w:rsidR="00090FFD">
        <w:rPr>
          <w:rFonts w:ascii="Times New Roman" w:hAnsi="Times New Roman" w:cs="Times New Roman"/>
          <w:iCs/>
          <w:noProof/>
          <w:sz w:val="24"/>
          <w:szCs w:val="24"/>
          <w:lang w:val="en-IE"/>
        </w:rPr>
        <w:t xml:space="preserve"> 2023</w:t>
      </w:r>
      <w:r w:rsidR="00C84F5A" w:rsidRPr="00855E06">
        <w:rPr>
          <w:rFonts w:ascii="Times New Roman" w:hAnsi="Times New Roman" w:cs="Times New Roman"/>
          <w:iCs/>
          <w:noProof/>
          <w:sz w:val="24"/>
          <w:szCs w:val="24"/>
          <w:lang w:val="en-IE"/>
        </w:rPr>
        <w:t xml:space="preserve">. </w:t>
      </w:r>
      <w:r w:rsidRPr="00855E06">
        <w:rPr>
          <w:rFonts w:ascii="Times New Roman" w:hAnsi="Times New Roman" w:cs="Times New Roman"/>
          <w:iCs/>
          <w:noProof/>
          <w:sz w:val="24"/>
          <w:szCs w:val="24"/>
          <w:lang w:val="en-IE"/>
        </w:rPr>
        <w:t xml:space="preserve">The kick-off meeting for the study took place on </w:t>
      </w:r>
      <w:r w:rsidR="00CE19F7">
        <w:rPr>
          <w:rFonts w:ascii="Times New Roman" w:hAnsi="Times New Roman" w:cs="Times New Roman"/>
          <w:iCs/>
          <w:noProof/>
          <w:sz w:val="24"/>
          <w:szCs w:val="24"/>
          <w:lang w:val="en-IE"/>
        </w:rPr>
        <w:t>6 November 2023</w:t>
      </w:r>
      <w:r w:rsidR="00CE19F7" w:rsidRPr="00855E06">
        <w:rPr>
          <w:rFonts w:ascii="Times New Roman" w:hAnsi="Times New Roman" w:cs="Times New Roman"/>
          <w:iCs/>
          <w:noProof/>
          <w:sz w:val="24"/>
          <w:szCs w:val="24"/>
          <w:lang w:val="en-IE"/>
        </w:rPr>
        <w:t xml:space="preserve"> </w:t>
      </w:r>
      <w:r w:rsidRPr="00855E06">
        <w:rPr>
          <w:rFonts w:ascii="Times New Roman" w:hAnsi="Times New Roman" w:cs="Times New Roman"/>
          <w:iCs/>
          <w:noProof/>
          <w:sz w:val="24"/>
          <w:szCs w:val="24"/>
          <w:lang w:val="en-IE"/>
        </w:rPr>
        <w:t>and the final report was submitted</w:t>
      </w:r>
      <w:r w:rsidR="00FA236E" w:rsidRPr="00855E06">
        <w:rPr>
          <w:rFonts w:ascii="Times New Roman" w:hAnsi="Times New Roman" w:cs="Times New Roman"/>
          <w:iCs/>
          <w:noProof/>
          <w:sz w:val="24"/>
          <w:szCs w:val="24"/>
          <w:lang w:val="en-IE"/>
        </w:rPr>
        <w:t xml:space="preserve"> </w:t>
      </w:r>
      <w:r w:rsidRPr="00855E06">
        <w:rPr>
          <w:rFonts w:ascii="Times New Roman" w:hAnsi="Times New Roman" w:cs="Times New Roman"/>
          <w:iCs/>
          <w:noProof/>
          <w:sz w:val="24"/>
          <w:szCs w:val="24"/>
          <w:lang w:val="en-IE"/>
        </w:rPr>
        <w:t xml:space="preserve">on </w:t>
      </w:r>
      <w:r w:rsidR="00AB459E">
        <w:rPr>
          <w:rFonts w:ascii="Times New Roman" w:hAnsi="Times New Roman" w:cs="Times New Roman"/>
          <w:iCs/>
          <w:noProof/>
          <w:sz w:val="24"/>
          <w:szCs w:val="24"/>
          <w:lang w:val="en-IE"/>
        </w:rPr>
        <w:t>14 June 2024</w:t>
      </w:r>
      <w:r w:rsidRPr="00855E06">
        <w:rPr>
          <w:rFonts w:ascii="Times New Roman" w:hAnsi="Times New Roman" w:cs="Times New Roman"/>
          <w:iCs/>
          <w:noProof/>
          <w:sz w:val="24"/>
          <w:szCs w:val="24"/>
          <w:lang w:val="en-IE"/>
        </w:rPr>
        <w:t xml:space="preserve">. </w:t>
      </w:r>
    </w:p>
    <w:p w14:paraId="633E3AFB" w14:textId="2108A52F" w:rsidR="00C84F5A" w:rsidRPr="00855E06" w:rsidRDefault="00C84F5A" w:rsidP="004E2424">
      <w:pPr>
        <w:spacing w:after="0"/>
        <w:jc w:val="both"/>
        <w:rPr>
          <w:rFonts w:ascii="Times New Roman" w:hAnsi="Times New Roman" w:cs="Times New Roman"/>
          <w:iCs/>
          <w:noProof/>
          <w:sz w:val="24"/>
          <w:szCs w:val="24"/>
          <w:lang w:val="en-IE"/>
        </w:rPr>
      </w:pPr>
      <w:r w:rsidRPr="00855E06">
        <w:rPr>
          <w:rFonts w:ascii="Times New Roman" w:hAnsi="Times New Roman" w:cs="Times New Roman"/>
          <w:iCs/>
          <w:noProof/>
          <w:sz w:val="24"/>
          <w:szCs w:val="24"/>
          <w:lang w:val="en-IE"/>
        </w:rPr>
        <w:t>In line with the Better Regulation Guidelines, an Inter-Service Group (ISG) was set up within the Commission to accompany the evaluation process. Several Directorates-General (DGs) within the Commission were invited to nominate representatives to the ISG. DG HOME chaired the ISG meetings. The ISG was regularly consulted over the course of the evaluation process, typically in conjunction with the submission of specific draft reports by the contractor responsible for carrying out the external study. These consultations took place both in regular meetings, and via written consultations. The following list provides an overview of the ISG’s work over the course of the evaluation and review process:</w:t>
      </w:r>
    </w:p>
    <w:p w14:paraId="0D77A815" w14:textId="4BE5E85A" w:rsidR="004441E4" w:rsidRPr="00855E06" w:rsidRDefault="004441E4" w:rsidP="004E2424">
      <w:pPr>
        <w:pStyle w:val="ListParagraph"/>
        <w:numPr>
          <w:ilvl w:val="0"/>
          <w:numId w:val="6"/>
        </w:numPr>
        <w:spacing w:after="0"/>
        <w:rPr>
          <w:iCs/>
          <w:noProof/>
          <w:szCs w:val="24"/>
          <w:lang w:val="en-IE"/>
        </w:rPr>
      </w:pPr>
      <w:r w:rsidRPr="00855E06">
        <w:rPr>
          <w:iCs/>
          <w:noProof/>
          <w:szCs w:val="24"/>
          <w:lang w:val="en-IE"/>
        </w:rPr>
        <w:t xml:space="preserve">The ISG was convened for the first time on </w:t>
      </w:r>
      <w:r w:rsidR="009E77C1">
        <w:rPr>
          <w:iCs/>
          <w:noProof/>
          <w:szCs w:val="24"/>
          <w:lang w:val="en-IE"/>
        </w:rPr>
        <w:t>19 July 2023</w:t>
      </w:r>
      <w:r w:rsidRPr="00855E06">
        <w:rPr>
          <w:iCs/>
          <w:noProof/>
          <w:szCs w:val="24"/>
          <w:lang w:val="en-IE"/>
        </w:rPr>
        <w:t xml:space="preserve"> in order to receive a presentation of the evaluation of </w:t>
      </w:r>
      <w:r w:rsidR="00CC702E" w:rsidRPr="00855E06">
        <w:rPr>
          <w:iCs/>
          <w:noProof/>
          <w:szCs w:val="24"/>
          <w:lang w:val="en-IE"/>
        </w:rPr>
        <w:t>eu-LISA’s</w:t>
      </w:r>
      <w:r w:rsidRPr="00855E06">
        <w:rPr>
          <w:iCs/>
          <w:noProof/>
          <w:szCs w:val="24"/>
          <w:lang w:val="en-IE"/>
        </w:rPr>
        <w:t xml:space="preserve"> Regulation and to discuss and provide feedback on the draft ToR prepared for the external contractor. The meeting also served as an opportunity to discuss and comment on the call for evidence and the draft consultation strategy, which e.g. described how the external contractor should carry out targeted consultations with relevant stakeholders in the context of the study, in cooperation with and under the supervision of DG HOME and the ISG. The participants were invited to provide additional written feedback after the meeting.</w:t>
      </w:r>
    </w:p>
    <w:p w14:paraId="54029B6D" w14:textId="4E0F9FA8" w:rsidR="004441E4" w:rsidRPr="00855E06" w:rsidRDefault="004441E4" w:rsidP="004E2424">
      <w:pPr>
        <w:pStyle w:val="ListParagraph"/>
        <w:numPr>
          <w:ilvl w:val="0"/>
          <w:numId w:val="6"/>
        </w:numPr>
        <w:spacing w:after="0"/>
        <w:rPr>
          <w:iCs/>
          <w:noProof/>
          <w:szCs w:val="24"/>
          <w:lang w:val="en-IE"/>
        </w:rPr>
      </w:pPr>
      <w:r w:rsidRPr="00855E06">
        <w:rPr>
          <w:noProof/>
          <w:szCs w:val="24"/>
        </w:rPr>
        <w:t xml:space="preserve">On </w:t>
      </w:r>
      <w:r w:rsidR="00780364">
        <w:rPr>
          <w:noProof/>
          <w:szCs w:val="24"/>
        </w:rPr>
        <w:t>1 December 2023</w:t>
      </w:r>
      <w:r w:rsidRPr="00855E06">
        <w:rPr>
          <w:noProof/>
          <w:szCs w:val="24"/>
        </w:rPr>
        <w:t>, the ISG received the draft Inception Report for written comments and subsequent approval.</w:t>
      </w:r>
      <w:r>
        <w:rPr>
          <w:noProof/>
          <w:szCs w:val="24"/>
          <w:lang w:val="en-IE"/>
        </w:rPr>
        <w:t xml:space="preserve"> </w:t>
      </w:r>
      <w:r w:rsidR="00CF14CE" w:rsidRPr="00855E06">
        <w:rPr>
          <w:noProof/>
          <w:szCs w:val="24"/>
          <w:lang w:val="en-IE"/>
        </w:rPr>
        <w:t>On the basis of the ISG’s written feedback, the draft Inception Report was further revised by the external contractor</w:t>
      </w:r>
      <w:r w:rsidR="009432A3" w:rsidRPr="00855E06">
        <w:rPr>
          <w:noProof/>
          <w:szCs w:val="24"/>
          <w:lang w:val="en-IE"/>
        </w:rPr>
        <w:t>.</w:t>
      </w:r>
      <w:r w:rsidR="00CF14CE" w:rsidRPr="00855E06">
        <w:rPr>
          <w:noProof/>
          <w:szCs w:val="24"/>
          <w:lang w:val="en-IE"/>
        </w:rPr>
        <w:t xml:space="preserve"> </w:t>
      </w:r>
    </w:p>
    <w:p w14:paraId="4A44505C" w14:textId="486CDD80" w:rsidR="00C06AD5" w:rsidRPr="00855E06" w:rsidRDefault="00780364" w:rsidP="004E2424">
      <w:pPr>
        <w:pStyle w:val="ListParagraph"/>
        <w:numPr>
          <w:ilvl w:val="0"/>
          <w:numId w:val="6"/>
        </w:numPr>
        <w:spacing w:after="0"/>
        <w:rPr>
          <w:iCs/>
          <w:noProof/>
          <w:szCs w:val="24"/>
          <w:lang w:val="en-IE"/>
        </w:rPr>
      </w:pPr>
      <w:r>
        <w:rPr>
          <w:iCs/>
          <w:noProof/>
          <w:szCs w:val="24"/>
          <w:lang w:val="en-IE"/>
        </w:rPr>
        <w:t xml:space="preserve">On </w:t>
      </w:r>
      <w:r w:rsidR="00652031">
        <w:rPr>
          <w:iCs/>
          <w:noProof/>
          <w:szCs w:val="24"/>
          <w:lang w:val="en-IE"/>
        </w:rPr>
        <w:t xml:space="preserve">1 February 2024, the ISG received the draft Interim Report for written comments and subsequent approval. The Interim meeting with the ISG and the external contractor took place on </w:t>
      </w:r>
      <w:r w:rsidR="00271847">
        <w:rPr>
          <w:iCs/>
          <w:noProof/>
          <w:szCs w:val="24"/>
          <w:lang w:val="en-IE"/>
        </w:rPr>
        <w:t>13 February. On the basis of the ISG’s written feedback, the draft Interim Report was further revised by the external contractor.</w:t>
      </w:r>
    </w:p>
    <w:p w14:paraId="4788CFB2" w14:textId="137A5FCE" w:rsidR="00CF14CE" w:rsidRPr="00855E06" w:rsidRDefault="00CF14CE" w:rsidP="004E2424">
      <w:pPr>
        <w:pStyle w:val="ListParagraph"/>
        <w:numPr>
          <w:ilvl w:val="0"/>
          <w:numId w:val="6"/>
        </w:numPr>
        <w:spacing w:after="0"/>
        <w:rPr>
          <w:iCs/>
          <w:noProof/>
          <w:szCs w:val="24"/>
          <w:lang w:val="en-IE"/>
        </w:rPr>
      </w:pPr>
      <w:r w:rsidRPr="00855E06">
        <w:rPr>
          <w:iCs/>
          <w:noProof/>
          <w:szCs w:val="24"/>
          <w:lang w:val="en-IE"/>
        </w:rPr>
        <w:t xml:space="preserve">The Commission accepted the Final Report </w:t>
      </w:r>
      <w:r w:rsidR="00C06AD5" w:rsidRPr="00855E06">
        <w:rPr>
          <w:iCs/>
          <w:noProof/>
          <w:szCs w:val="24"/>
          <w:lang w:val="en-IE"/>
        </w:rPr>
        <w:t xml:space="preserve">on </w:t>
      </w:r>
      <w:r w:rsidR="009432A3">
        <w:rPr>
          <w:iCs/>
          <w:noProof/>
          <w:szCs w:val="24"/>
          <w:lang w:val="en-IE"/>
        </w:rPr>
        <w:t>10 July 2024</w:t>
      </w:r>
      <w:r w:rsidRPr="00855E06">
        <w:rPr>
          <w:iCs/>
          <w:noProof/>
          <w:szCs w:val="24"/>
          <w:lang w:val="en-IE"/>
        </w:rPr>
        <w:t>.</w:t>
      </w:r>
    </w:p>
    <w:p w14:paraId="62A5B9AD" w14:textId="77777777" w:rsidR="00EC75B7" w:rsidRPr="00855E06" w:rsidRDefault="00CF14CE" w:rsidP="004E2424">
      <w:pPr>
        <w:pStyle w:val="ListParagraph"/>
        <w:numPr>
          <w:ilvl w:val="0"/>
          <w:numId w:val="6"/>
        </w:numPr>
        <w:spacing w:after="0"/>
        <w:rPr>
          <w:iCs/>
          <w:noProof/>
          <w:szCs w:val="24"/>
          <w:lang w:val="en-IE"/>
        </w:rPr>
      </w:pPr>
      <w:r w:rsidRPr="00855E06">
        <w:rPr>
          <w:iCs/>
          <w:noProof/>
          <w:szCs w:val="24"/>
          <w:lang w:val="en-IE"/>
        </w:rPr>
        <w:t>The ISG was consulted during the drafting of this Staff Working Document.</w:t>
      </w:r>
    </w:p>
    <w:p w14:paraId="308886FF" w14:textId="3E83D596" w:rsidR="00EC75B7" w:rsidRPr="004E2424" w:rsidRDefault="00EC75B7" w:rsidP="004E2424">
      <w:pPr>
        <w:spacing w:after="0"/>
        <w:jc w:val="both"/>
        <w:rPr>
          <w:rFonts w:ascii="Times New Roman" w:hAnsi="Times New Roman" w:cs="Times New Roman"/>
          <w:iCs/>
          <w:noProof/>
          <w:sz w:val="24"/>
          <w:szCs w:val="24"/>
          <w:lang w:val="en-IE"/>
        </w:rPr>
      </w:pPr>
      <w:r w:rsidRPr="004E2424">
        <w:rPr>
          <w:rFonts w:ascii="Times New Roman" w:hAnsi="Times New Roman" w:cs="Times New Roman"/>
          <w:noProof/>
          <w:sz w:val="24"/>
          <w:szCs w:val="24"/>
          <w:lang w:val="en-IE"/>
        </w:rPr>
        <w:t xml:space="preserve">In line with the Better Regulation Guidelines, an Inter-Service Group (ISG) was set up within the Commission to accompany the evaluation process. In addition, an extended steering group was set-up, composed by the representatives of Belgium and Estonia in the eu-LISA Management Board, and tasked with providing advice to the Commission during the evaluation.  </w:t>
      </w:r>
    </w:p>
    <w:p w14:paraId="003E3605" w14:textId="77777777" w:rsidR="00C84F5A" w:rsidRPr="00855E06" w:rsidRDefault="00C84F5A" w:rsidP="004E2424">
      <w:pPr>
        <w:spacing w:after="0"/>
        <w:jc w:val="both"/>
        <w:rPr>
          <w:rFonts w:ascii="Times New Roman" w:hAnsi="Times New Roman" w:cs="Times New Roman"/>
          <w:iCs/>
          <w:noProof/>
          <w:sz w:val="24"/>
          <w:szCs w:val="24"/>
          <w:lang w:val="en-IE"/>
        </w:rPr>
      </w:pPr>
    </w:p>
    <w:p w14:paraId="2841F8BC" w14:textId="7D4EEFFE" w:rsidR="0044546A" w:rsidRPr="00855E06" w:rsidRDefault="0044546A" w:rsidP="004E2424">
      <w:pPr>
        <w:pStyle w:val="ListParagraph"/>
        <w:numPr>
          <w:ilvl w:val="0"/>
          <w:numId w:val="3"/>
        </w:numPr>
        <w:spacing w:after="0"/>
        <w:rPr>
          <w:b/>
          <w:bCs/>
          <w:iCs/>
          <w:noProof/>
          <w:szCs w:val="24"/>
          <w:lang w:val="en-IE"/>
        </w:rPr>
      </w:pPr>
      <w:r w:rsidRPr="00855E06">
        <w:rPr>
          <w:b/>
          <w:bCs/>
          <w:iCs/>
          <w:noProof/>
          <w:szCs w:val="24"/>
          <w:lang w:val="en-IE"/>
        </w:rPr>
        <w:t xml:space="preserve">Consultation of the Regulatory Scrutiny Board </w:t>
      </w:r>
    </w:p>
    <w:p w14:paraId="00A4F8BB" w14:textId="77777777" w:rsidR="00515E94" w:rsidRDefault="00515E94" w:rsidP="00855E06">
      <w:pPr>
        <w:spacing w:after="0"/>
        <w:jc w:val="both"/>
        <w:rPr>
          <w:rFonts w:ascii="Times New Roman" w:hAnsi="Times New Roman" w:cs="Times New Roman"/>
          <w:iCs/>
          <w:noProof/>
          <w:sz w:val="24"/>
          <w:szCs w:val="24"/>
          <w:lang w:val="en-IE"/>
        </w:rPr>
      </w:pPr>
    </w:p>
    <w:p w14:paraId="7AA63572" w14:textId="1B83B7E9" w:rsidR="00B62BD9" w:rsidRDefault="00CF14CE" w:rsidP="00855E06">
      <w:pPr>
        <w:spacing w:after="0"/>
        <w:jc w:val="both"/>
        <w:rPr>
          <w:rFonts w:ascii="Times New Roman" w:hAnsi="Times New Roman" w:cs="Times New Roman"/>
          <w:iCs/>
          <w:noProof/>
          <w:sz w:val="24"/>
          <w:szCs w:val="24"/>
          <w:lang w:val="en-IE"/>
        </w:rPr>
      </w:pPr>
      <w:r w:rsidRPr="00855E06">
        <w:rPr>
          <w:rFonts w:ascii="Times New Roman" w:hAnsi="Times New Roman" w:cs="Times New Roman"/>
          <w:iCs/>
          <w:noProof/>
          <w:sz w:val="24"/>
          <w:szCs w:val="24"/>
          <w:lang w:val="en-IE"/>
        </w:rPr>
        <w:t>Not applicable, as this evaluation was not subject to consultation and scrutiny of the Regulatory Scrutiny Board.</w:t>
      </w:r>
    </w:p>
    <w:p w14:paraId="04511C6F" w14:textId="77777777" w:rsidR="003A35A8" w:rsidRPr="00855E06" w:rsidRDefault="003A35A8" w:rsidP="004E2424">
      <w:pPr>
        <w:spacing w:after="0"/>
        <w:jc w:val="both"/>
        <w:rPr>
          <w:rFonts w:ascii="Times New Roman" w:hAnsi="Times New Roman" w:cs="Times New Roman"/>
          <w:i/>
          <w:noProof/>
          <w:sz w:val="24"/>
          <w:szCs w:val="24"/>
          <w:lang w:val="en-IE"/>
        </w:rPr>
      </w:pPr>
    </w:p>
    <w:p w14:paraId="05F0129A" w14:textId="5859E56C" w:rsidR="0044546A" w:rsidRPr="00855E06" w:rsidRDefault="0044546A" w:rsidP="004E2424">
      <w:pPr>
        <w:pStyle w:val="ListParagraph"/>
        <w:numPr>
          <w:ilvl w:val="0"/>
          <w:numId w:val="3"/>
        </w:numPr>
        <w:spacing w:after="0"/>
        <w:rPr>
          <w:b/>
          <w:bCs/>
          <w:iCs/>
          <w:noProof/>
          <w:szCs w:val="24"/>
          <w:lang w:val="en-IE"/>
        </w:rPr>
      </w:pPr>
      <w:r w:rsidRPr="00855E06">
        <w:rPr>
          <w:b/>
          <w:bCs/>
          <w:iCs/>
          <w:noProof/>
          <w:szCs w:val="24"/>
          <w:lang w:val="en-IE"/>
        </w:rPr>
        <w:t xml:space="preserve">Evidence used together with sources and any issues regarding its quality </w:t>
      </w:r>
    </w:p>
    <w:p w14:paraId="5F3B1058" w14:textId="77777777" w:rsidR="00515E94" w:rsidRDefault="00515E94" w:rsidP="004E2424">
      <w:pPr>
        <w:spacing w:after="0"/>
        <w:jc w:val="both"/>
        <w:rPr>
          <w:rFonts w:ascii="Times New Roman" w:hAnsi="Times New Roman" w:cs="Times New Roman"/>
          <w:iCs/>
          <w:noProof/>
          <w:sz w:val="24"/>
          <w:szCs w:val="24"/>
          <w:lang w:val="en-IE"/>
        </w:rPr>
      </w:pPr>
    </w:p>
    <w:p w14:paraId="2B33D13E" w14:textId="1D1FBC76" w:rsidR="00A247C9" w:rsidRPr="00855E06" w:rsidRDefault="006918A1" w:rsidP="004E2424">
      <w:pPr>
        <w:spacing w:after="0"/>
        <w:jc w:val="both"/>
        <w:rPr>
          <w:rFonts w:ascii="Times New Roman" w:hAnsi="Times New Roman" w:cs="Times New Roman"/>
          <w:iCs/>
          <w:noProof/>
          <w:sz w:val="24"/>
          <w:szCs w:val="24"/>
          <w:lang w:val="en-IE"/>
        </w:rPr>
      </w:pPr>
      <w:r w:rsidRPr="00855E06">
        <w:rPr>
          <w:rFonts w:ascii="Times New Roman" w:hAnsi="Times New Roman" w:cs="Times New Roman"/>
          <w:iCs/>
          <w:noProof/>
          <w:sz w:val="24"/>
          <w:szCs w:val="24"/>
          <w:lang w:val="en-IE"/>
        </w:rPr>
        <w:t xml:space="preserve">The evaluation and the review primarily drew on the supporting study entitled “Study to support the evaluation </w:t>
      </w:r>
      <w:r w:rsidR="00A85A22">
        <w:rPr>
          <w:rFonts w:ascii="Times New Roman" w:hAnsi="Times New Roman" w:cs="Times New Roman"/>
          <w:iCs/>
          <w:noProof/>
          <w:sz w:val="24"/>
          <w:szCs w:val="24"/>
          <w:lang w:val="en-IE"/>
        </w:rPr>
        <w:t>of Regulation (EU) 2018/1726 of the European Parliament and of the Council of 14 November 2018 on eu-LISA</w:t>
      </w:r>
      <w:r w:rsidRPr="00855E06">
        <w:rPr>
          <w:rFonts w:ascii="Times New Roman" w:hAnsi="Times New Roman" w:cs="Times New Roman"/>
          <w:iCs/>
          <w:noProof/>
          <w:sz w:val="24"/>
          <w:szCs w:val="24"/>
          <w:lang w:val="en-IE"/>
        </w:rPr>
        <w:t xml:space="preserve">”, commissioned by DG HOME in </w:t>
      </w:r>
      <w:r w:rsidR="002E77A3">
        <w:rPr>
          <w:rFonts w:ascii="Times New Roman" w:hAnsi="Times New Roman" w:cs="Times New Roman"/>
          <w:iCs/>
          <w:noProof/>
          <w:sz w:val="24"/>
          <w:szCs w:val="24"/>
          <w:lang w:val="en-IE"/>
        </w:rPr>
        <w:t>August 2023</w:t>
      </w:r>
      <w:r w:rsidR="002E77A3" w:rsidRPr="00855E06">
        <w:rPr>
          <w:rFonts w:ascii="Times New Roman" w:hAnsi="Times New Roman" w:cs="Times New Roman"/>
          <w:iCs/>
          <w:noProof/>
          <w:sz w:val="24"/>
          <w:szCs w:val="24"/>
          <w:lang w:val="en-IE"/>
        </w:rPr>
        <w:t xml:space="preserve"> </w:t>
      </w:r>
      <w:r w:rsidRPr="00855E06">
        <w:rPr>
          <w:rFonts w:ascii="Times New Roman" w:hAnsi="Times New Roman" w:cs="Times New Roman"/>
          <w:iCs/>
          <w:noProof/>
          <w:sz w:val="24"/>
          <w:szCs w:val="24"/>
          <w:lang w:val="en-IE"/>
        </w:rPr>
        <w:t>and carried</w:t>
      </w:r>
      <w:r w:rsidR="00C06AD5" w:rsidRPr="00855E06">
        <w:rPr>
          <w:rFonts w:ascii="Times New Roman" w:hAnsi="Times New Roman" w:cs="Times New Roman"/>
          <w:iCs/>
          <w:noProof/>
          <w:sz w:val="24"/>
          <w:szCs w:val="24"/>
          <w:lang w:val="en-IE"/>
        </w:rPr>
        <w:t xml:space="preserve"> </w:t>
      </w:r>
      <w:r w:rsidRPr="00855E06">
        <w:rPr>
          <w:rFonts w:ascii="Times New Roman" w:hAnsi="Times New Roman" w:cs="Times New Roman"/>
          <w:iCs/>
          <w:noProof/>
          <w:sz w:val="24"/>
          <w:szCs w:val="24"/>
          <w:lang w:val="en-IE"/>
        </w:rPr>
        <w:t>out by the external contractor (</w:t>
      </w:r>
      <w:r w:rsidR="00C06AD5" w:rsidRPr="00855E06">
        <w:rPr>
          <w:rFonts w:ascii="Times New Roman" w:hAnsi="Times New Roman" w:cs="Times New Roman"/>
          <w:iCs/>
          <w:noProof/>
          <w:sz w:val="24"/>
          <w:szCs w:val="24"/>
          <w:lang w:val="en-IE"/>
        </w:rPr>
        <w:t>EY</w:t>
      </w:r>
      <w:r w:rsidRPr="00855E06">
        <w:rPr>
          <w:rFonts w:ascii="Times New Roman" w:hAnsi="Times New Roman" w:cs="Times New Roman"/>
          <w:iCs/>
          <w:noProof/>
          <w:sz w:val="24"/>
          <w:szCs w:val="24"/>
          <w:lang w:val="en-IE"/>
        </w:rPr>
        <w:t xml:space="preserve">). The objectives of the study were to </w:t>
      </w:r>
      <w:r w:rsidR="00516170">
        <w:rPr>
          <w:rFonts w:ascii="Times New Roman" w:hAnsi="Times New Roman" w:cs="Times New Roman"/>
          <w:iCs/>
          <w:noProof/>
          <w:sz w:val="24"/>
          <w:szCs w:val="24"/>
          <w:lang w:val="en-IE"/>
        </w:rPr>
        <w:t xml:space="preserve">assess the performance of eu-LISA in relation to </w:t>
      </w:r>
      <w:r w:rsidR="00516170">
        <w:rPr>
          <w:rFonts w:ascii="Times New Roman" w:hAnsi="Times New Roman" w:cs="Times New Roman"/>
          <w:noProof/>
          <w:sz w:val="24"/>
          <w:szCs w:val="24"/>
          <w:lang w:val="en-IE"/>
        </w:rPr>
        <w:t>objectives, mandate, locations and tasks with a view of identifying potential areas for improvements</w:t>
      </w:r>
      <w:r w:rsidRPr="00855E06">
        <w:rPr>
          <w:rFonts w:ascii="Times New Roman" w:hAnsi="Times New Roman" w:cs="Times New Roman"/>
          <w:iCs/>
          <w:noProof/>
          <w:sz w:val="24"/>
          <w:szCs w:val="24"/>
          <w:lang w:val="en-IE"/>
        </w:rPr>
        <w:t xml:space="preserve">. The study assessed the relevance, effectiveness, efficiency, coherence, and EU added value of the </w:t>
      </w:r>
      <w:r w:rsidR="00516170">
        <w:rPr>
          <w:rFonts w:ascii="Times New Roman" w:hAnsi="Times New Roman" w:cs="Times New Roman"/>
          <w:iCs/>
          <w:noProof/>
          <w:sz w:val="24"/>
          <w:szCs w:val="24"/>
          <w:lang w:val="en-IE"/>
        </w:rPr>
        <w:t>eu-LISA Regulation</w:t>
      </w:r>
      <w:r w:rsidRPr="00855E06">
        <w:rPr>
          <w:rFonts w:ascii="Times New Roman" w:hAnsi="Times New Roman" w:cs="Times New Roman"/>
          <w:iCs/>
          <w:noProof/>
          <w:sz w:val="24"/>
          <w:szCs w:val="24"/>
          <w:lang w:val="en-IE"/>
        </w:rPr>
        <w:t xml:space="preserve">. Beside an in-depth review of relevant documentation, including legal documents, policy and strategic documents, programming and internal business documents, Agency’s outputs and publications, financial and other documents. the study also relied on extensive targeted consultations in the form of surveys and interviews with relevant stakeholders. More specifically, the external contractor conducted </w:t>
      </w:r>
      <w:r w:rsidR="00516170">
        <w:rPr>
          <w:rFonts w:ascii="Times New Roman" w:hAnsi="Times New Roman" w:cs="Times New Roman"/>
          <w:iCs/>
          <w:noProof/>
          <w:sz w:val="24"/>
          <w:szCs w:val="24"/>
          <w:lang w:val="en-IE"/>
        </w:rPr>
        <w:t>3</w:t>
      </w:r>
      <w:r w:rsidR="00516170" w:rsidRPr="00855E06">
        <w:rPr>
          <w:rFonts w:ascii="Times New Roman" w:hAnsi="Times New Roman" w:cs="Times New Roman"/>
          <w:iCs/>
          <w:noProof/>
          <w:sz w:val="24"/>
          <w:szCs w:val="24"/>
          <w:lang w:val="en-IE"/>
        </w:rPr>
        <w:t xml:space="preserve"> </w:t>
      </w:r>
      <w:r w:rsidRPr="00855E06">
        <w:rPr>
          <w:rFonts w:ascii="Times New Roman" w:hAnsi="Times New Roman" w:cs="Times New Roman"/>
          <w:iCs/>
          <w:noProof/>
          <w:sz w:val="24"/>
          <w:szCs w:val="24"/>
          <w:lang w:val="en-IE"/>
        </w:rPr>
        <w:t xml:space="preserve">surveys targeting Member States, </w:t>
      </w:r>
      <w:r w:rsidR="00516170">
        <w:rPr>
          <w:rFonts w:ascii="Times New Roman" w:hAnsi="Times New Roman" w:cs="Times New Roman"/>
          <w:iCs/>
          <w:noProof/>
          <w:sz w:val="24"/>
          <w:szCs w:val="24"/>
          <w:lang w:val="en-IE"/>
        </w:rPr>
        <w:t>and EU Agencies and bodies, with 353 replies</w:t>
      </w:r>
      <w:r w:rsidRPr="00855E06">
        <w:rPr>
          <w:rFonts w:ascii="Times New Roman" w:hAnsi="Times New Roman" w:cs="Times New Roman"/>
          <w:iCs/>
          <w:noProof/>
          <w:sz w:val="24"/>
          <w:szCs w:val="24"/>
          <w:lang w:val="en-IE"/>
        </w:rPr>
        <w:t xml:space="preserve">. </w:t>
      </w:r>
      <w:r w:rsidR="00F53306" w:rsidRPr="00855E06">
        <w:rPr>
          <w:rFonts w:ascii="Times New Roman" w:hAnsi="Times New Roman" w:cs="Times New Roman"/>
          <w:iCs/>
          <w:noProof/>
          <w:sz w:val="24"/>
          <w:szCs w:val="24"/>
          <w:lang w:val="en-IE"/>
        </w:rPr>
        <w:t>EY</w:t>
      </w:r>
      <w:r w:rsidRPr="00855E06">
        <w:rPr>
          <w:rFonts w:ascii="Times New Roman" w:hAnsi="Times New Roman" w:cs="Times New Roman"/>
          <w:iCs/>
          <w:noProof/>
          <w:sz w:val="24"/>
          <w:szCs w:val="24"/>
          <w:lang w:val="en-IE"/>
        </w:rPr>
        <w:t xml:space="preserve"> also conducted </w:t>
      </w:r>
      <w:r w:rsidR="00516170">
        <w:rPr>
          <w:rFonts w:ascii="Times New Roman" w:hAnsi="Times New Roman" w:cs="Times New Roman"/>
          <w:iCs/>
          <w:noProof/>
          <w:sz w:val="24"/>
          <w:szCs w:val="24"/>
          <w:lang w:val="en-IE"/>
        </w:rPr>
        <w:t>111</w:t>
      </w:r>
      <w:r w:rsidR="00516170" w:rsidRPr="00855E06">
        <w:rPr>
          <w:rFonts w:ascii="Times New Roman" w:hAnsi="Times New Roman" w:cs="Times New Roman"/>
          <w:iCs/>
          <w:noProof/>
          <w:sz w:val="24"/>
          <w:szCs w:val="24"/>
          <w:lang w:val="en-IE"/>
        </w:rPr>
        <w:t xml:space="preserve"> </w:t>
      </w:r>
      <w:r w:rsidRPr="00855E06">
        <w:rPr>
          <w:rFonts w:ascii="Times New Roman" w:hAnsi="Times New Roman" w:cs="Times New Roman"/>
          <w:iCs/>
          <w:noProof/>
          <w:sz w:val="24"/>
          <w:szCs w:val="24"/>
          <w:lang w:val="en-IE"/>
        </w:rPr>
        <w:t>interviews with stakeholders</w:t>
      </w:r>
      <w:r w:rsidR="00516170">
        <w:rPr>
          <w:rFonts w:ascii="Times New Roman" w:hAnsi="Times New Roman" w:cs="Times New Roman"/>
          <w:iCs/>
          <w:noProof/>
          <w:sz w:val="24"/>
          <w:szCs w:val="24"/>
          <w:lang w:val="en-IE"/>
        </w:rPr>
        <w:t>.</w:t>
      </w:r>
    </w:p>
    <w:p w14:paraId="39BA37EB" w14:textId="2E92775D" w:rsidR="00F53306" w:rsidRPr="00855E06" w:rsidRDefault="006918A1" w:rsidP="004E2424">
      <w:pPr>
        <w:spacing w:after="0"/>
        <w:jc w:val="both"/>
        <w:rPr>
          <w:rFonts w:ascii="Times New Roman" w:hAnsi="Times New Roman" w:cs="Times New Roman"/>
          <w:iCs/>
          <w:noProof/>
          <w:sz w:val="24"/>
          <w:szCs w:val="24"/>
          <w:lang w:val="en-IE"/>
        </w:rPr>
      </w:pPr>
      <w:r w:rsidRPr="00855E06">
        <w:rPr>
          <w:rFonts w:ascii="Times New Roman" w:hAnsi="Times New Roman" w:cs="Times New Roman"/>
          <w:iCs/>
          <w:noProof/>
          <w:sz w:val="24"/>
          <w:szCs w:val="24"/>
          <w:lang w:val="en-IE"/>
        </w:rPr>
        <w:t xml:space="preserve">During the process, the Commission provided updates and consulted Member States in the </w:t>
      </w:r>
      <w:r w:rsidR="00F6479D">
        <w:rPr>
          <w:rFonts w:ascii="Times New Roman" w:hAnsi="Times New Roman" w:cs="Times New Roman"/>
          <w:iCs/>
          <w:noProof/>
          <w:sz w:val="24"/>
          <w:szCs w:val="24"/>
          <w:lang w:val="en-IE"/>
        </w:rPr>
        <w:t>eu-LISA Management Board meetings</w:t>
      </w:r>
      <w:r w:rsidRPr="00855E06">
        <w:rPr>
          <w:rFonts w:ascii="Times New Roman" w:hAnsi="Times New Roman" w:cs="Times New Roman"/>
          <w:iCs/>
          <w:noProof/>
          <w:sz w:val="24"/>
          <w:szCs w:val="24"/>
          <w:lang w:val="en-IE"/>
        </w:rPr>
        <w:t xml:space="preserve">. </w:t>
      </w:r>
    </w:p>
    <w:p w14:paraId="0365443E" w14:textId="77777777" w:rsidR="003A35A8" w:rsidRPr="00855E06" w:rsidRDefault="003A35A8" w:rsidP="004E2424">
      <w:pPr>
        <w:spacing w:after="0"/>
        <w:jc w:val="both"/>
        <w:rPr>
          <w:rFonts w:ascii="Times New Roman" w:hAnsi="Times New Roman" w:cs="Times New Roman"/>
          <w:iCs/>
          <w:noProof/>
          <w:sz w:val="24"/>
          <w:szCs w:val="24"/>
          <w:lang w:val="en-IE"/>
        </w:rPr>
      </w:pPr>
    </w:p>
    <w:p w14:paraId="6BF4195A" w14:textId="12374A24" w:rsidR="000C7EB2" w:rsidRPr="00855E06" w:rsidRDefault="0044546A" w:rsidP="004E2424">
      <w:pPr>
        <w:pStyle w:val="ListParagraph"/>
        <w:numPr>
          <w:ilvl w:val="0"/>
          <w:numId w:val="3"/>
        </w:numPr>
        <w:spacing w:after="0"/>
        <w:rPr>
          <w:b/>
          <w:bCs/>
          <w:iCs/>
          <w:noProof/>
          <w:szCs w:val="24"/>
          <w:lang w:val="en-IE"/>
        </w:rPr>
      </w:pPr>
      <w:r w:rsidRPr="00855E06">
        <w:rPr>
          <w:b/>
          <w:bCs/>
          <w:iCs/>
          <w:noProof/>
          <w:szCs w:val="24"/>
          <w:lang w:val="en-IE"/>
        </w:rPr>
        <w:t>Use of external expertise</w:t>
      </w:r>
    </w:p>
    <w:p w14:paraId="2BF582B3" w14:textId="77777777" w:rsidR="00515E94" w:rsidRDefault="00515E94" w:rsidP="004E2424">
      <w:pPr>
        <w:spacing w:after="0"/>
        <w:jc w:val="both"/>
        <w:rPr>
          <w:rFonts w:ascii="Times New Roman" w:hAnsi="Times New Roman" w:cs="Times New Roman"/>
          <w:noProof/>
          <w:sz w:val="24"/>
          <w:szCs w:val="24"/>
          <w:lang w:val="en-IE"/>
        </w:rPr>
      </w:pPr>
    </w:p>
    <w:p w14:paraId="4EBD37C3" w14:textId="013C1ED2" w:rsidR="00882F6C" w:rsidRPr="00855E06" w:rsidRDefault="00306EA3" w:rsidP="004E2424">
      <w:pPr>
        <w:spacing w:after="0"/>
        <w:jc w:val="both"/>
        <w:rPr>
          <w:rFonts w:ascii="Times New Roman" w:hAnsi="Times New Roman" w:cs="Times New Roman"/>
          <w:noProof/>
          <w:sz w:val="24"/>
          <w:szCs w:val="24"/>
          <w:lang w:val="en-IE"/>
        </w:rPr>
      </w:pPr>
      <w:r w:rsidRPr="00855E06">
        <w:rPr>
          <w:rFonts w:ascii="Times New Roman" w:hAnsi="Times New Roman" w:cs="Times New Roman"/>
          <w:noProof/>
          <w:sz w:val="24"/>
          <w:szCs w:val="24"/>
          <w:lang w:val="en-IE"/>
        </w:rPr>
        <w:t xml:space="preserve">Apart from the study carried out by the external contractor, </w:t>
      </w:r>
      <w:r w:rsidR="00F6479D">
        <w:rPr>
          <w:rFonts w:ascii="Times New Roman" w:hAnsi="Times New Roman" w:cs="Times New Roman"/>
          <w:noProof/>
          <w:sz w:val="24"/>
          <w:szCs w:val="24"/>
          <w:lang w:val="en-IE"/>
        </w:rPr>
        <w:t>no other groups were consulted.</w:t>
      </w:r>
      <w:r w:rsidRPr="00855E06">
        <w:rPr>
          <w:rFonts w:ascii="Times New Roman" w:hAnsi="Times New Roman" w:cs="Times New Roman"/>
          <w:noProof/>
          <w:sz w:val="24"/>
          <w:szCs w:val="24"/>
          <w:lang w:val="en-IE"/>
        </w:rPr>
        <w:t xml:space="preserve"> </w:t>
      </w:r>
    </w:p>
    <w:p w14:paraId="13C03884" w14:textId="455F5FDE" w:rsidR="003A35A8" w:rsidRDefault="00307B9C" w:rsidP="00004DA6">
      <w:pPr>
        <w:spacing w:after="0"/>
        <w:jc w:val="both"/>
        <w:rPr>
          <w:rFonts w:ascii="Times New Roman" w:hAnsi="Times New Roman" w:cs="Times New Roman"/>
          <w:noProof/>
          <w:sz w:val="24"/>
          <w:szCs w:val="24"/>
          <w:lang w:val="en-IE"/>
        </w:rPr>
      </w:pPr>
      <w:r w:rsidRPr="00855E06">
        <w:rPr>
          <w:rFonts w:ascii="Times New Roman" w:hAnsi="Times New Roman" w:cs="Times New Roman"/>
          <w:noProof/>
          <w:sz w:val="24"/>
          <w:szCs w:val="24"/>
          <w:lang w:val="en-IE"/>
        </w:rPr>
        <w:t>Additional information on the stakeholder consultation is provided in Annex V.</w:t>
      </w:r>
      <w:r w:rsidR="003A35A8">
        <w:rPr>
          <w:rFonts w:ascii="Times New Roman" w:hAnsi="Times New Roman" w:cs="Times New Roman"/>
          <w:noProof/>
          <w:sz w:val="24"/>
          <w:szCs w:val="24"/>
          <w:lang w:val="en-IE"/>
        </w:rPr>
        <w:br w:type="page"/>
      </w:r>
    </w:p>
    <w:p w14:paraId="140C1A43" w14:textId="352C6240" w:rsidR="008530D4" w:rsidRPr="00855E06" w:rsidRDefault="006A4E17" w:rsidP="004E2424">
      <w:pPr>
        <w:pStyle w:val="Heading1"/>
        <w:pBdr>
          <w:top w:val="single" w:sz="4" w:space="1" w:color="auto"/>
          <w:left w:val="single" w:sz="4" w:space="4" w:color="auto"/>
          <w:bottom w:val="single" w:sz="4" w:space="1" w:color="auto"/>
          <w:right w:val="single" w:sz="4" w:space="4" w:color="auto"/>
        </w:pBdr>
        <w:shd w:val="clear" w:color="auto" w:fill="BBDAFD" w:themeFill="text2" w:themeFillTint="33"/>
        <w:spacing w:before="0" w:after="0"/>
        <w:rPr>
          <w:noProof/>
        </w:rPr>
      </w:pPr>
      <w:bookmarkStart w:id="40" w:name="_Toc207303618"/>
      <w:r w:rsidRPr="00855E06">
        <w:rPr>
          <w:noProof/>
          <w:szCs w:val="24"/>
        </w:rPr>
        <w:t>Annex II. Methodology and A</w:t>
      </w:r>
      <w:r w:rsidR="00147D71" w:rsidRPr="00855E06">
        <w:rPr>
          <w:noProof/>
          <w:szCs w:val="24"/>
        </w:rPr>
        <w:t>nalytical models used</w:t>
      </w:r>
      <w:bookmarkEnd w:id="40"/>
    </w:p>
    <w:p w14:paraId="43033260" w14:textId="77777777" w:rsidR="003A35A8" w:rsidRDefault="003A35A8" w:rsidP="00855E06">
      <w:pPr>
        <w:pStyle w:val="BodyText"/>
        <w:spacing w:after="0"/>
        <w:rPr>
          <w:rFonts w:ascii="Times New Roman" w:hAnsi="Times New Roman" w:cs="Times New Roman"/>
          <w:noProof/>
          <w:sz w:val="24"/>
          <w:szCs w:val="24"/>
        </w:rPr>
      </w:pPr>
      <w:bookmarkStart w:id="41" w:name="_Toc481484489"/>
    </w:p>
    <w:p w14:paraId="1D7995A6" w14:textId="7D5F1059" w:rsidR="001F244E" w:rsidRDefault="001F244E" w:rsidP="00855E06">
      <w:pPr>
        <w:pStyle w:val="BodyText"/>
        <w:spacing w:after="0"/>
        <w:rPr>
          <w:rFonts w:ascii="Times New Roman" w:hAnsi="Times New Roman" w:cs="Times New Roman"/>
          <w:noProof/>
          <w:sz w:val="24"/>
          <w:szCs w:val="24"/>
        </w:rPr>
      </w:pPr>
      <w:r w:rsidRPr="00855E06">
        <w:rPr>
          <w:rFonts w:ascii="Times New Roman" w:hAnsi="Times New Roman" w:cs="Times New Roman"/>
          <w:noProof/>
          <w:sz w:val="24"/>
          <w:szCs w:val="24"/>
        </w:rPr>
        <w:t>In line with the ToR, the work plan was structured into four Tasks: (i) Preparation, (ii) Fieldwork, (iii) Analysis and (iv) Finalisation of the evaluation. The following figure presents an overview of these tasks, their main objectives, activities and outputs.</w:t>
      </w:r>
    </w:p>
    <w:p w14:paraId="6C9E851D" w14:textId="77777777" w:rsidR="003A35A8" w:rsidRPr="00855E06" w:rsidRDefault="003A35A8" w:rsidP="004E2424">
      <w:pPr>
        <w:pStyle w:val="BodyText"/>
        <w:spacing w:after="0"/>
        <w:rPr>
          <w:rFonts w:ascii="Times New Roman" w:hAnsi="Times New Roman" w:cs="Times New Roman"/>
          <w:noProof/>
          <w:sz w:val="24"/>
          <w:szCs w:val="24"/>
        </w:rPr>
      </w:pPr>
    </w:p>
    <w:p w14:paraId="5C6ECC15" w14:textId="2B70F163" w:rsidR="001F244E" w:rsidRPr="004E2424" w:rsidRDefault="001F244E" w:rsidP="004E2424">
      <w:pPr>
        <w:pStyle w:val="Caption"/>
        <w:keepNext/>
        <w:spacing w:after="0"/>
        <w:rPr>
          <w:rFonts w:ascii="Times New Roman" w:hAnsi="Times New Roman" w:cs="Times New Roman"/>
          <w:i/>
          <w:iCs/>
          <w:sz w:val="24"/>
          <w:szCs w:val="24"/>
        </w:rPr>
      </w:pPr>
      <w:bookmarkStart w:id="42" w:name="_Toc146287759"/>
      <w:bookmarkStart w:id="43" w:name="_Toc152236108"/>
      <w:bookmarkStart w:id="44" w:name="_Toc154040545"/>
      <w:bookmarkStart w:id="45" w:name="_Toc167205903"/>
      <w:r w:rsidRPr="004E2424">
        <w:rPr>
          <w:rFonts w:ascii="Times New Roman" w:hAnsi="Times New Roman" w:cs="Times New Roman"/>
          <w:i/>
          <w:iCs/>
          <w:sz w:val="24"/>
          <w:szCs w:val="24"/>
        </w:rPr>
        <w:t xml:space="preserve">Figure </w:t>
      </w:r>
      <w:r w:rsidR="00A55ACC">
        <w:rPr>
          <w:rFonts w:ascii="Times New Roman" w:hAnsi="Times New Roman" w:cs="Times New Roman"/>
          <w:i/>
          <w:iCs/>
          <w:sz w:val="24"/>
          <w:szCs w:val="24"/>
        </w:rPr>
        <w:t>1</w:t>
      </w:r>
      <w:r w:rsidRPr="004E2424">
        <w:rPr>
          <w:rFonts w:ascii="Times New Roman" w:hAnsi="Times New Roman" w:cs="Times New Roman"/>
          <w:i/>
          <w:iCs/>
          <w:sz w:val="24"/>
          <w:szCs w:val="24"/>
        </w:rPr>
        <w:t xml:space="preserve"> – Overview of Tasks, activities and outputs</w:t>
      </w:r>
      <w:bookmarkEnd w:id="42"/>
      <w:bookmarkEnd w:id="43"/>
      <w:bookmarkEnd w:id="44"/>
      <w:bookmarkEnd w:id="45"/>
    </w:p>
    <w:p w14:paraId="2198261C" w14:textId="77777777" w:rsidR="001F244E" w:rsidRPr="00855E06" w:rsidRDefault="001F244E" w:rsidP="004E2424">
      <w:pPr>
        <w:spacing w:after="0"/>
        <w:jc w:val="center"/>
        <w:rPr>
          <w:rFonts w:ascii="Times New Roman" w:hAnsi="Times New Roman" w:cs="Times New Roman"/>
          <w:noProof/>
          <w:sz w:val="24"/>
          <w:szCs w:val="24"/>
        </w:rPr>
      </w:pPr>
      <w:r w:rsidRPr="00855E06">
        <w:rPr>
          <w:rFonts w:ascii="Times New Roman" w:hAnsi="Times New Roman" w:cs="Times New Roman"/>
          <w:noProof/>
          <w:sz w:val="24"/>
          <w:szCs w:val="24"/>
          <w:lang w:val="en-GB" w:eastAsia="en-GB"/>
        </w:rPr>
        <w:drawing>
          <wp:inline distT="0" distB="0" distL="0" distR="0" wp14:anchorId="262E1970" wp14:editId="59E8BB55">
            <wp:extent cx="7633205" cy="4305782"/>
            <wp:effectExtent l="0" t="0" r="635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7702149" cy="4344672"/>
                    </a:xfrm>
                    <a:prstGeom prst="rect">
                      <a:avLst/>
                    </a:prstGeom>
                    <a:noFill/>
                  </pic:spPr>
                </pic:pic>
              </a:graphicData>
            </a:graphic>
          </wp:inline>
        </w:drawing>
      </w:r>
    </w:p>
    <w:p w14:paraId="0ADF451E" w14:textId="77777777" w:rsidR="003A35A8" w:rsidRPr="00855E06" w:rsidRDefault="003A35A8" w:rsidP="004E2424">
      <w:pPr>
        <w:pStyle w:val="Source"/>
        <w:spacing w:after="0"/>
        <w:rPr>
          <w:rFonts w:ascii="Times New Roman" w:hAnsi="Times New Roman"/>
          <w:noProof/>
          <w:color w:val="000000" w:themeColor="text1"/>
          <w:sz w:val="24"/>
          <w:szCs w:val="24"/>
          <w:lang w:val="en-GB"/>
        </w:rPr>
      </w:pPr>
    </w:p>
    <w:p w14:paraId="04207292" w14:textId="77777777" w:rsidR="001F244E" w:rsidRDefault="001F244E" w:rsidP="00855E06">
      <w:pPr>
        <w:pStyle w:val="BodyText"/>
        <w:spacing w:after="0"/>
        <w:rPr>
          <w:rFonts w:ascii="Times New Roman" w:hAnsi="Times New Roman" w:cs="Times New Roman"/>
          <w:noProof/>
          <w:sz w:val="24"/>
          <w:szCs w:val="24"/>
        </w:rPr>
      </w:pPr>
      <w:r w:rsidRPr="00855E06">
        <w:rPr>
          <w:rFonts w:ascii="Times New Roman" w:hAnsi="Times New Roman" w:cs="Times New Roman"/>
          <w:noProof/>
          <w:sz w:val="24"/>
          <w:szCs w:val="24"/>
        </w:rPr>
        <w:t>During the kick-off meeting for this project, DG HOME indicated that the open public consultation initially proposed by the study team should not be carried out for this project in line with the Better Regulation Guidelines. In line with the suggestions from DG HOME, the study team devoted the resources initially foreseen for this activity to conduct an additional survey with the Advisory Group members (Activity 2.3).</w:t>
      </w:r>
    </w:p>
    <w:p w14:paraId="385FE038" w14:textId="77777777" w:rsidR="003A35A8" w:rsidRPr="00855E06" w:rsidRDefault="003A35A8" w:rsidP="004E2424">
      <w:pPr>
        <w:pStyle w:val="BodyText"/>
        <w:spacing w:after="0"/>
        <w:rPr>
          <w:rFonts w:ascii="Times New Roman" w:hAnsi="Times New Roman" w:cs="Times New Roman"/>
          <w:noProof/>
          <w:sz w:val="24"/>
          <w:szCs w:val="24"/>
        </w:rPr>
      </w:pPr>
    </w:p>
    <w:p w14:paraId="6BD801BC" w14:textId="77777777" w:rsidR="001F244E" w:rsidRPr="004E2424" w:rsidRDefault="001F244E" w:rsidP="004E2424">
      <w:pPr>
        <w:spacing w:after="0"/>
        <w:rPr>
          <w:rFonts w:ascii="Times New Roman" w:hAnsi="Times New Roman" w:cs="Times New Roman"/>
          <w:i/>
          <w:iCs/>
          <w:noProof/>
          <w:u w:val="single"/>
          <w:lang w:val="en-GB"/>
        </w:rPr>
      </w:pPr>
      <w:bookmarkStart w:id="46" w:name="_Toc164075792"/>
      <w:bookmarkStart w:id="47" w:name="_Ref164155324"/>
      <w:bookmarkStart w:id="48" w:name="_Toc164372838"/>
      <w:bookmarkStart w:id="49" w:name="_Toc164376047"/>
      <w:bookmarkStart w:id="50" w:name="_Toc164547385"/>
      <w:bookmarkStart w:id="51" w:name="_Toc164680878"/>
      <w:bookmarkStart w:id="52" w:name="_Toc164682609"/>
      <w:bookmarkStart w:id="53" w:name="_Toc167205602"/>
      <w:bookmarkStart w:id="54" w:name="_Toc167208501"/>
      <w:r w:rsidRPr="004E2424">
        <w:rPr>
          <w:rFonts w:ascii="Times New Roman" w:hAnsi="Times New Roman" w:cs="Times New Roman"/>
          <w:i/>
          <w:iCs/>
          <w:noProof/>
          <w:sz w:val="24"/>
          <w:szCs w:val="24"/>
          <w:u w:val="single"/>
          <w:lang w:val="en-IE"/>
        </w:rPr>
        <w:t>Data collection strategy</w:t>
      </w:r>
      <w:bookmarkEnd w:id="46"/>
      <w:bookmarkEnd w:id="47"/>
      <w:bookmarkEnd w:id="48"/>
      <w:bookmarkEnd w:id="49"/>
      <w:bookmarkEnd w:id="50"/>
      <w:bookmarkEnd w:id="51"/>
      <w:bookmarkEnd w:id="52"/>
      <w:bookmarkEnd w:id="53"/>
      <w:bookmarkEnd w:id="54"/>
    </w:p>
    <w:p w14:paraId="58C77A10" w14:textId="77777777" w:rsidR="001F244E" w:rsidRPr="003D092F" w:rsidRDefault="001F244E" w:rsidP="004E2424">
      <w:pPr>
        <w:spacing w:after="0"/>
        <w:rPr>
          <w:rFonts w:ascii="Times New Roman" w:hAnsi="Times New Roman" w:cs="Times New Roman"/>
          <w:noProof/>
          <w:sz w:val="24"/>
          <w:szCs w:val="24"/>
          <w:lang w:val="en-IE"/>
        </w:rPr>
      </w:pPr>
      <w:r w:rsidRPr="003D092F">
        <w:rPr>
          <w:rFonts w:ascii="Times New Roman" w:hAnsi="Times New Roman" w:cs="Times New Roman"/>
          <w:noProof/>
          <w:sz w:val="24"/>
          <w:szCs w:val="24"/>
          <w:lang w:val="en-IE"/>
        </w:rPr>
        <w:t>As part of the assignment, we collected various types of primary and secondary data using the appropriate analysis techniques to assess each type of data and each piece of information:</w:t>
      </w:r>
    </w:p>
    <w:p w14:paraId="77A29FE3" w14:textId="77777777" w:rsidR="001F244E" w:rsidRPr="003D092F" w:rsidRDefault="001F244E" w:rsidP="004E2424">
      <w:pPr>
        <w:pStyle w:val="ListParagraph"/>
        <w:numPr>
          <w:ilvl w:val="0"/>
          <w:numId w:val="12"/>
        </w:numPr>
        <w:spacing w:after="0"/>
        <w:contextualSpacing w:val="0"/>
        <w:rPr>
          <w:noProof/>
          <w:szCs w:val="24"/>
        </w:rPr>
      </w:pPr>
      <w:r w:rsidRPr="004E2424">
        <w:rPr>
          <w:rStyle w:val="HighlightChar"/>
          <w:rFonts w:ascii="Times New Roman" w:hAnsi="Times New Roman"/>
          <w:noProof/>
          <w:sz w:val="24"/>
          <w:szCs w:val="24"/>
        </w:rPr>
        <w:t>Qualitative information</w:t>
      </w:r>
      <w:r w:rsidRPr="003D092F">
        <w:rPr>
          <w:noProof/>
          <w:szCs w:val="24"/>
        </w:rPr>
        <w:t xml:space="preserve"> was coded and thoroughly cross-analysed. This involved searching for common themes, or areas where opinions differ across the data;</w:t>
      </w:r>
    </w:p>
    <w:p w14:paraId="34DCACC5" w14:textId="77777777" w:rsidR="001F244E" w:rsidRPr="003D092F" w:rsidRDefault="001F244E" w:rsidP="004E2424">
      <w:pPr>
        <w:pStyle w:val="ListParagraph"/>
        <w:numPr>
          <w:ilvl w:val="0"/>
          <w:numId w:val="12"/>
        </w:numPr>
        <w:spacing w:after="0"/>
        <w:contextualSpacing w:val="0"/>
        <w:rPr>
          <w:noProof/>
          <w:szCs w:val="24"/>
        </w:rPr>
      </w:pPr>
      <w:r w:rsidRPr="004E2424">
        <w:rPr>
          <w:rStyle w:val="HighlightChar"/>
          <w:rFonts w:ascii="Times New Roman" w:hAnsi="Times New Roman"/>
          <w:noProof/>
          <w:sz w:val="24"/>
          <w:szCs w:val="24"/>
        </w:rPr>
        <w:t>Quantitative data</w:t>
      </w:r>
      <w:r w:rsidRPr="003D092F">
        <w:rPr>
          <w:noProof/>
          <w:szCs w:val="24"/>
        </w:rPr>
        <w:t xml:space="preserve"> collected was checked for quality and coherence, and structured for quantitative analysis, including: (1) Producing descriptive statistics (counts, cross-tabulations); (2) Producing graphs and charts to visualise trends over time and comparisons; and (3) Exploring the data to detect trends, for example, in relation to different stakeholders, different activities; and</w:t>
      </w:r>
    </w:p>
    <w:p w14:paraId="10DCCB39" w14:textId="77777777" w:rsidR="001F244E" w:rsidRPr="003D092F" w:rsidRDefault="001F244E" w:rsidP="004E2424">
      <w:pPr>
        <w:pStyle w:val="ListParagraph"/>
        <w:numPr>
          <w:ilvl w:val="0"/>
          <w:numId w:val="12"/>
        </w:numPr>
        <w:spacing w:after="0"/>
        <w:contextualSpacing w:val="0"/>
        <w:rPr>
          <w:noProof/>
          <w:szCs w:val="24"/>
        </w:rPr>
      </w:pPr>
      <w:r w:rsidRPr="004E2424">
        <w:rPr>
          <w:rStyle w:val="HighlightChar"/>
          <w:rFonts w:ascii="Times New Roman" w:hAnsi="Times New Roman"/>
          <w:noProof/>
          <w:sz w:val="24"/>
          <w:szCs w:val="24"/>
        </w:rPr>
        <w:t>Cost data</w:t>
      </w:r>
      <w:r w:rsidRPr="003D092F">
        <w:rPr>
          <w:noProof/>
          <w:szCs w:val="24"/>
        </w:rPr>
        <w:t xml:space="preserve"> in line with the Better Regulation Toolbox (BRG), Tools #56 and #57.</w:t>
      </w:r>
    </w:p>
    <w:p w14:paraId="016D1264" w14:textId="77777777" w:rsidR="001F244E" w:rsidRPr="004E2424" w:rsidRDefault="001F244E" w:rsidP="004E2424">
      <w:pPr>
        <w:pStyle w:val="Bullet10"/>
        <w:numPr>
          <w:ilvl w:val="0"/>
          <w:numId w:val="0"/>
        </w:numPr>
        <w:spacing w:before="0" w:after="0"/>
        <w:jc w:val="both"/>
        <w:rPr>
          <w:rFonts w:ascii="Times New Roman" w:hAnsi="Times New Roman"/>
          <w:noProof/>
          <w:sz w:val="24"/>
          <w:lang w:val="en-IE"/>
        </w:rPr>
      </w:pPr>
      <w:r w:rsidRPr="004E2424">
        <w:rPr>
          <w:rFonts w:ascii="Times New Roman" w:hAnsi="Times New Roman"/>
          <w:noProof/>
          <w:sz w:val="24"/>
          <w:lang w:val="en-IE"/>
        </w:rPr>
        <w:t xml:space="preserve">We conducted the evaluation using a multi-criteria analysis, including a cost-benefit assessment and assessment of the administrative impacts under the "one-in-one-out" approach. Data undergone a </w:t>
      </w:r>
      <w:r w:rsidRPr="004E2424">
        <w:rPr>
          <w:rStyle w:val="HighlightChar"/>
          <w:rFonts w:ascii="Times New Roman" w:hAnsi="Times New Roman"/>
          <w:noProof/>
          <w:sz w:val="24"/>
          <w:szCs w:val="24"/>
          <w:lang w:val="en-IE"/>
        </w:rPr>
        <w:t>critical assessment</w:t>
      </w:r>
      <w:r w:rsidRPr="004E2424">
        <w:rPr>
          <w:rFonts w:ascii="Times New Roman" w:hAnsi="Times New Roman"/>
          <w:noProof/>
          <w:sz w:val="24"/>
          <w:lang w:val="en-IE"/>
        </w:rPr>
        <w:t xml:space="preserve"> for quality, limitations, and strengths. We systematised information aligned with the evaluation matrix, which is structured according to the evaluation criteria / questions and covers all three dimensions as defined by the Commission in the ToR. We emphasised comprehensive coverage and employed</w:t>
      </w:r>
      <w:r w:rsidRPr="004E2424">
        <w:rPr>
          <w:rStyle w:val="HighlightChar"/>
          <w:rFonts w:ascii="Times New Roman" w:hAnsi="Times New Roman"/>
          <w:noProof/>
          <w:sz w:val="24"/>
          <w:szCs w:val="24"/>
          <w:lang w:val="en-IE"/>
        </w:rPr>
        <w:t xml:space="preserve"> triangulation of data</w:t>
      </w:r>
      <w:r w:rsidRPr="004E2424">
        <w:rPr>
          <w:rFonts w:ascii="Times New Roman" w:hAnsi="Times New Roman"/>
          <w:noProof/>
          <w:sz w:val="24"/>
          <w:lang w:val="en-IE"/>
        </w:rPr>
        <w:t xml:space="preserve"> between different stakeholders and across desk and field research. In summary, our analysis involved two steps: data collection based on the evaluation criteria and questions, and dimension-specific analysis. Triangulation iteratively verifies data, fostering nuanced answers through pattern identification and differences examination. We collected the data both via (i) desk research and (ii) field research, which is described in the following.</w:t>
      </w:r>
    </w:p>
    <w:p w14:paraId="50674125" w14:textId="77777777" w:rsidR="001F244E" w:rsidRPr="004E2424" w:rsidRDefault="001F244E" w:rsidP="004E2424">
      <w:pPr>
        <w:pStyle w:val="Heading50"/>
        <w:spacing w:before="0" w:after="0"/>
        <w:rPr>
          <w:rFonts w:ascii="Times New Roman" w:hAnsi="Times New Roman" w:cs="Times New Roman"/>
          <w:color w:val="auto"/>
          <w:sz w:val="24"/>
          <w:szCs w:val="24"/>
        </w:rPr>
      </w:pPr>
      <w:r w:rsidRPr="004E2424">
        <w:rPr>
          <w:rFonts w:ascii="Times New Roman" w:hAnsi="Times New Roman" w:cs="Times New Roman"/>
          <w:color w:val="auto"/>
          <w:sz w:val="24"/>
          <w:szCs w:val="24"/>
        </w:rPr>
        <w:t>Desk research</w:t>
      </w:r>
    </w:p>
    <w:p w14:paraId="243B18D6" w14:textId="77777777" w:rsidR="001F244E" w:rsidRDefault="001F244E" w:rsidP="00855E06">
      <w:pPr>
        <w:pStyle w:val="BodyText1"/>
        <w:spacing w:before="0" w:after="0"/>
        <w:jc w:val="both"/>
        <w:rPr>
          <w:rFonts w:ascii="Times New Roman" w:hAnsi="Times New Roman"/>
          <w:sz w:val="24"/>
          <w:szCs w:val="24"/>
          <w:lang w:val="en-GB"/>
        </w:rPr>
      </w:pPr>
      <w:r w:rsidRPr="003D092F">
        <w:rPr>
          <w:rFonts w:ascii="Times New Roman" w:hAnsi="Times New Roman"/>
          <w:sz w:val="24"/>
          <w:szCs w:val="24"/>
          <w:lang w:val="en-GB"/>
        </w:rPr>
        <w:t xml:space="preserve">Desk research was integral to our approach in evaluating the Agency’s performance. It served as a foundational data source, informing the assessment of the Regulation's implementation, eu-LISA's functioning and performance, and (future) needs related to its activities. We mapped existing information, in order to identify gaps for potential field research, and ensured that all team members had a thorough understanding of eu-LISA's mandate and activities. Our research covered various document types, detailed in the table below and extended by the data the Commission has e.g. provided through CircaBC. </w:t>
      </w:r>
    </w:p>
    <w:p w14:paraId="635F7BF6" w14:textId="77777777" w:rsidR="003D092F" w:rsidRPr="003D092F" w:rsidRDefault="003D092F" w:rsidP="004E2424">
      <w:pPr>
        <w:pStyle w:val="BodyText1"/>
        <w:spacing w:before="0" w:after="0"/>
        <w:jc w:val="both"/>
        <w:rPr>
          <w:rFonts w:ascii="Times New Roman" w:hAnsi="Times New Roman"/>
          <w:sz w:val="24"/>
          <w:szCs w:val="24"/>
          <w:lang w:val="en-GB"/>
        </w:rPr>
      </w:pPr>
    </w:p>
    <w:p w14:paraId="0A349A5E" w14:textId="15DC8754" w:rsidR="001F244E" w:rsidRPr="004E2424" w:rsidRDefault="001F244E" w:rsidP="004E2424">
      <w:pPr>
        <w:pStyle w:val="Caption"/>
        <w:keepNext/>
        <w:spacing w:after="0"/>
        <w:rPr>
          <w:rFonts w:ascii="Times New Roman" w:hAnsi="Times New Roman" w:cs="Times New Roman"/>
          <w:i/>
          <w:iCs/>
          <w:sz w:val="24"/>
          <w:szCs w:val="24"/>
        </w:rPr>
      </w:pPr>
      <w:bookmarkStart w:id="55" w:name="_Toc154041751"/>
      <w:bookmarkStart w:id="56" w:name="_Toc167205835"/>
      <w:r w:rsidRPr="004E2424">
        <w:rPr>
          <w:rFonts w:ascii="Times New Roman" w:hAnsi="Times New Roman" w:cs="Times New Roman"/>
          <w:i/>
          <w:iCs/>
          <w:sz w:val="24"/>
          <w:szCs w:val="24"/>
        </w:rPr>
        <w:t xml:space="preserve">Table </w:t>
      </w:r>
      <w:r w:rsidR="00A55ACC">
        <w:rPr>
          <w:rFonts w:ascii="Times New Roman" w:hAnsi="Times New Roman" w:cs="Times New Roman"/>
          <w:i/>
          <w:iCs/>
          <w:sz w:val="24"/>
          <w:szCs w:val="24"/>
        </w:rPr>
        <w:t>1</w:t>
      </w:r>
      <w:r w:rsidRPr="004E2424">
        <w:rPr>
          <w:rFonts w:ascii="Times New Roman" w:hAnsi="Times New Roman" w:cs="Times New Roman"/>
          <w:i/>
          <w:iCs/>
          <w:sz w:val="24"/>
          <w:szCs w:val="24"/>
        </w:rPr>
        <w:t xml:space="preserve"> – Selected categories of sources covered by desk research</w:t>
      </w:r>
      <w:bookmarkEnd w:id="55"/>
      <w:bookmarkEnd w:id="56"/>
    </w:p>
    <w:tbl>
      <w:tblPr>
        <w:tblStyle w:val="Table-standard1"/>
        <w:tblW w:w="15446" w:type="dxa"/>
        <w:tblLook w:val="04A0" w:firstRow="1" w:lastRow="0" w:firstColumn="1" w:lastColumn="0" w:noHBand="0" w:noVBand="1"/>
      </w:tblPr>
      <w:tblGrid>
        <w:gridCol w:w="1891"/>
        <w:gridCol w:w="13555"/>
      </w:tblGrid>
      <w:tr w:rsidR="001F244E" w:rsidRPr="00A55ACC" w14:paraId="63254C91" w14:textId="77777777" w:rsidTr="004E242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dxa"/>
            <w:shd w:val="clear" w:color="auto" w:fill="034EA2" w:themeFill="text2"/>
            <w:hideMark/>
          </w:tcPr>
          <w:p w14:paraId="1F12CCB6" w14:textId="77777777" w:rsidR="001F244E" w:rsidRPr="00A55ACC" w:rsidRDefault="001F244E" w:rsidP="004E2424">
            <w:pPr>
              <w:pStyle w:val="Boxtable"/>
              <w:keepNext/>
              <w:spacing w:before="0" w:after="0"/>
              <w:jc w:val="both"/>
              <w:rPr>
                <w:rFonts w:ascii="Arial" w:hAnsi="Arial" w:cs="Arial"/>
                <w:noProof/>
                <w:color w:val="FFFFFF" w:themeColor="background1"/>
                <w:sz w:val="20"/>
              </w:rPr>
            </w:pPr>
            <w:r w:rsidRPr="00A55ACC">
              <w:rPr>
                <w:rFonts w:ascii="Arial" w:hAnsi="Arial" w:cs="Arial"/>
                <w:noProof/>
                <w:color w:val="FFFFFF" w:themeColor="background1"/>
                <w:sz w:val="20"/>
              </w:rPr>
              <w:t>Types of documents</w:t>
            </w:r>
          </w:p>
        </w:tc>
        <w:tc>
          <w:tcPr>
            <w:tcW w:w="11198" w:type="dxa"/>
            <w:shd w:val="clear" w:color="auto" w:fill="034EA2" w:themeFill="text2"/>
            <w:hideMark/>
          </w:tcPr>
          <w:p w14:paraId="2F441D50" w14:textId="77777777" w:rsidR="001F244E" w:rsidRPr="00A55ACC" w:rsidRDefault="001F244E" w:rsidP="004E2424">
            <w:pPr>
              <w:pStyle w:val="Boxtable"/>
              <w:spacing w:before="0" w:after="0"/>
              <w:jc w:val="both"/>
              <w:cnfStyle w:val="100000000000" w:firstRow="1" w:lastRow="0" w:firstColumn="0" w:lastColumn="0" w:oddVBand="0" w:evenVBand="0" w:oddHBand="0" w:evenHBand="0" w:firstRowFirstColumn="0" w:firstRowLastColumn="0" w:lastRowFirstColumn="0" w:lastRowLastColumn="0"/>
              <w:rPr>
                <w:rFonts w:ascii="Arial" w:hAnsi="Arial" w:cs="Arial"/>
                <w:noProof/>
                <w:color w:val="FFFFFF" w:themeColor="background1"/>
                <w:sz w:val="20"/>
              </w:rPr>
            </w:pPr>
            <w:r w:rsidRPr="00A55ACC">
              <w:rPr>
                <w:rFonts w:ascii="Arial" w:hAnsi="Arial" w:cs="Arial"/>
                <w:noProof/>
                <w:color w:val="FFFFFF" w:themeColor="background1"/>
                <w:sz w:val="20"/>
              </w:rPr>
              <w:t>Main objectives</w:t>
            </w:r>
          </w:p>
        </w:tc>
      </w:tr>
      <w:tr w:rsidR="00F00390" w:rsidRPr="003365D6" w14:paraId="0550BECD" w14:textId="77777777" w:rsidTr="004E24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8F753F5" w14:textId="77777777" w:rsidR="001F244E" w:rsidRPr="00A55ACC" w:rsidRDefault="001F244E" w:rsidP="004E2424">
            <w:pPr>
              <w:pStyle w:val="Boxtable"/>
              <w:spacing w:before="0" w:after="0"/>
              <w:jc w:val="both"/>
              <w:rPr>
                <w:rFonts w:ascii="Arial" w:hAnsi="Arial" w:cs="Arial"/>
                <w:noProof/>
                <w:sz w:val="20"/>
              </w:rPr>
            </w:pPr>
            <w:r w:rsidRPr="00A55ACC">
              <w:rPr>
                <w:rFonts w:ascii="Arial" w:hAnsi="Arial" w:cs="Arial"/>
                <w:noProof/>
                <w:sz w:val="20"/>
              </w:rPr>
              <w:t>Academic and grey literature on activities of eu-LISA</w:t>
            </w:r>
          </w:p>
        </w:tc>
        <w:tc>
          <w:tcPr>
            <w:tcW w:w="11198" w:type="dxa"/>
          </w:tcPr>
          <w:p w14:paraId="335CAC74" w14:textId="77777777" w:rsidR="001F244E" w:rsidRPr="00A55ACC" w:rsidRDefault="001F244E" w:rsidP="004E2424">
            <w:pPr>
              <w:pStyle w:val="Boxtable"/>
              <w:spacing w:before="0" w:after="0"/>
              <w:jc w:val="both"/>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r w:rsidRPr="00A55ACC">
              <w:rPr>
                <w:rFonts w:ascii="Arial" w:hAnsi="Arial" w:cs="Arial"/>
                <w:noProof/>
                <w:sz w:val="20"/>
              </w:rPr>
              <w:t xml:space="preserve">Assessment of the context and functioning of the Agency as well as existing needs with regard to eu-LISA’s role </w:t>
            </w:r>
          </w:p>
        </w:tc>
      </w:tr>
      <w:tr w:rsidR="00F00390" w:rsidRPr="002048C6" w14:paraId="147E6DF5" w14:textId="77777777" w:rsidTr="004E24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5B47E17" w14:textId="77777777" w:rsidR="001F244E" w:rsidRPr="00A55ACC" w:rsidRDefault="001F244E" w:rsidP="004E2424">
            <w:pPr>
              <w:pStyle w:val="Boxtable"/>
              <w:spacing w:before="0" w:after="0"/>
              <w:jc w:val="both"/>
              <w:rPr>
                <w:rFonts w:ascii="Arial" w:hAnsi="Arial" w:cs="Arial"/>
                <w:noProof/>
                <w:sz w:val="20"/>
              </w:rPr>
            </w:pPr>
            <w:r w:rsidRPr="00A55ACC">
              <w:rPr>
                <w:rFonts w:ascii="Arial" w:hAnsi="Arial" w:cs="Arial"/>
                <w:noProof/>
                <w:sz w:val="20"/>
              </w:rPr>
              <w:t>Policy and legislative documents</w:t>
            </w:r>
          </w:p>
        </w:tc>
        <w:tc>
          <w:tcPr>
            <w:tcW w:w="11198" w:type="dxa"/>
          </w:tcPr>
          <w:p w14:paraId="7855F3FF" w14:textId="77777777" w:rsidR="001F244E" w:rsidRPr="00A55ACC" w:rsidRDefault="001F244E" w:rsidP="004E2424">
            <w:pPr>
              <w:pStyle w:val="Boxtable"/>
              <w:spacing w:before="0" w:after="0"/>
              <w:jc w:val="both"/>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r w:rsidRPr="00A55ACC">
              <w:rPr>
                <w:rFonts w:ascii="Arial" w:hAnsi="Arial" w:cs="Arial"/>
                <w:noProof/>
                <w:sz w:val="20"/>
              </w:rPr>
              <w:t xml:space="preserve">Analysis of the policy and legislative framework the Agency operates in, for example, to understand overall policy objectives. </w:t>
            </w:r>
          </w:p>
        </w:tc>
      </w:tr>
      <w:tr w:rsidR="00F00390" w:rsidRPr="002048C6" w14:paraId="0E3EA7B5" w14:textId="77777777" w:rsidTr="004E24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14D0E45" w14:textId="77777777" w:rsidR="001F244E" w:rsidRPr="00A55ACC" w:rsidRDefault="001F244E" w:rsidP="004E2424">
            <w:pPr>
              <w:pStyle w:val="Boxtable"/>
              <w:spacing w:before="0" w:after="0"/>
              <w:jc w:val="both"/>
              <w:rPr>
                <w:rFonts w:ascii="Arial" w:hAnsi="Arial" w:cs="Arial"/>
                <w:noProof/>
                <w:sz w:val="20"/>
              </w:rPr>
            </w:pPr>
            <w:r w:rsidRPr="00A55ACC">
              <w:rPr>
                <w:rFonts w:ascii="Arial" w:hAnsi="Arial" w:cs="Arial"/>
                <w:noProof/>
                <w:sz w:val="20"/>
              </w:rPr>
              <w:t>Documents relating to the monitoring and evaluation of eu-LISA’s activities</w:t>
            </w:r>
          </w:p>
        </w:tc>
        <w:tc>
          <w:tcPr>
            <w:tcW w:w="11198" w:type="dxa"/>
          </w:tcPr>
          <w:p w14:paraId="142944BC" w14:textId="77777777" w:rsidR="001F244E" w:rsidRPr="00A55ACC" w:rsidRDefault="001F244E" w:rsidP="004E2424">
            <w:pPr>
              <w:pStyle w:val="Boxtable"/>
              <w:spacing w:before="0" w:after="0"/>
              <w:jc w:val="both"/>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r w:rsidRPr="00A55ACC">
              <w:rPr>
                <w:rFonts w:ascii="Arial" w:hAnsi="Arial" w:cs="Arial"/>
                <w:noProof/>
                <w:sz w:val="20"/>
              </w:rPr>
              <w:t>Assessment of the functioning of the Agency and the implementation of eu-LISA Regulation</w:t>
            </w:r>
          </w:p>
        </w:tc>
      </w:tr>
      <w:tr w:rsidR="00F00390" w:rsidRPr="002048C6" w14:paraId="02562468" w14:textId="77777777" w:rsidTr="004E24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14B48234" w14:textId="77777777" w:rsidR="001F244E" w:rsidRPr="00A55ACC" w:rsidRDefault="001F244E" w:rsidP="004E2424">
            <w:pPr>
              <w:pStyle w:val="Boxtable"/>
              <w:spacing w:before="0" w:after="0"/>
              <w:jc w:val="both"/>
              <w:rPr>
                <w:rFonts w:ascii="Arial" w:hAnsi="Arial" w:cs="Arial"/>
                <w:noProof/>
                <w:sz w:val="20"/>
              </w:rPr>
            </w:pPr>
            <w:r w:rsidRPr="00A55ACC">
              <w:rPr>
                <w:rFonts w:ascii="Arial" w:hAnsi="Arial" w:cs="Arial"/>
                <w:noProof/>
                <w:sz w:val="20"/>
              </w:rPr>
              <w:t>Documents relating to the governance and structures of eu-LISA</w:t>
            </w:r>
          </w:p>
        </w:tc>
        <w:tc>
          <w:tcPr>
            <w:tcW w:w="11198" w:type="dxa"/>
          </w:tcPr>
          <w:p w14:paraId="6BF3C840" w14:textId="77777777" w:rsidR="001F244E" w:rsidRPr="00A55ACC" w:rsidRDefault="001F244E" w:rsidP="004E2424">
            <w:pPr>
              <w:pStyle w:val="Boxtable"/>
              <w:spacing w:before="0" w:after="0"/>
              <w:jc w:val="both"/>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r w:rsidRPr="00A55ACC">
              <w:rPr>
                <w:rFonts w:ascii="Arial" w:hAnsi="Arial" w:cs="Arial"/>
                <w:noProof/>
                <w:sz w:val="20"/>
              </w:rPr>
              <w:t xml:space="preserve">Examination of eu-LISA’s governance and internal functioning </w:t>
            </w:r>
          </w:p>
        </w:tc>
      </w:tr>
      <w:tr w:rsidR="00F00390" w:rsidRPr="002048C6" w14:paraId="35FAEA74" w14:textId="77777777" w:rsidTr="004E24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3DBF65A6" w14:textId="77777777" w:rsidR="001F244E" w:rsidRPr="00A55ACC" w:rsidRDefault="001F244E" w:rsidP="004E2424">
            <w:pPr>
              <w:pStyle w:val="Boxtable"/>
              <w:spacing w:before="0" w:after="0"/>
              <w:jc w:val="both"/>
              <w:rPr>
                <w:rFonts w:ascii="Arial" w:hAnsi="Arial" w:cs="Arial"/>
                <w:noProof/>
                <w:sz w:val="20"/>
              </w:rPr>
            </w:pPr>
            <w:r w:rsidRPr="00A55ACC">
              <w:rPr>
                <w:rFonts w:ascii="Arial" w:hAnsi="Arial" w:cs="Arial"/>
                <w:noProof/>
                <w:sz w:val="20"/>
              </w:rPr>
              <w:t xml:space="preserve">Documents relating to the performance of eu-LISA’s tasks </w:t>
            </w:r>
          </w:p>
        </w:tc>
        <w:tc>
          <w:tcPr>
            <w:tcW w:w="11198" w:type="dxa"/>
          </w:tcPr>
          <w:p w14:paraId="72AB702A" w14:textId="77777777" w:rsidR="001F244E" w:rsidRPr="00A55ACC" w:rsidRDefault="001F244E" w:rsidP="004E2424">
            <w:pPr>
              <w:pStyle w:val="Boxtable"/>
              <w:spacing w:before="0" w:after="0"/>
              <w:jc w:val="both"/>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r w:rsidRPr="00A55ACC">
              <w:rPr>
                <w:rFonts w:ascii="Arial" w:hAnsi="Arial" w:cs="Arial"/>
                <w:noProof/>
                <w:sz w:val="20"/>
              </w:rPr>
              <w:t>Examination of the performance of eu-LISA in relation to its different tasks</w:t>
            </w:r>
          </w:p>
        </w:tc>
      </w:tr>
      <w:tr w:rsidR="00F00390" w:rsidRPr="002048C6" w14:paraId="561F3707" w14:textId="77777777" w:rsidTr="004E24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76012CE5" w14:textId="77777777" w:rsidR="001F244E" w:rsidRPr="00A55ACC" w:rsidRDefault="001F244E" w:rsidP="004E2424">
            <w:pPr>
              <w:pStyle w:val="Boxtable"/>
              <w:spacing w:before="0" w:after="0"/>
              <w:jc w:val="both"/>
              <w:rPr>
                <w:rFonts w:ascii="Arial" w:hAnsi="Arial" w:cs="Arial"/>
                <w:noProof/>
                <w:sz w:val="20"/>
              </w:rPr>
            </w:pPr>
            <w:r w:rsidRPr="00A55ACC">
              <w:rPr>
                <w:rFonts w:ascii="Arial" w:hAnsi="Arial" w:cs="Arial"/>
                <w:noProof/>
                <w:sz w:val="20"/>
              </w:rPr>
              <w:t>Documents relating to the technical performance of the IT systems</w:t>
            </w:r>
          </w:p>
        </w:tc>
        <w:tc>
          <w:tcPr>
            <w:tcW w:w="11198" w:type="dxa"/>
          </w:tcPr>
          <w:p w14:paraId="26243558" w14:textId="77777777" w:rsidR="001F244E" w:rsidRPr="00A55ACC" w:rsidRDefault="001F244E" w:rsidP="004E2424">
            <w:pPr>
              <w:pStyle w:val="Boxtable"/>
              <w:spacing w:before="0" w:after="0"/>
              <w:jc w:val="both"/>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r w:rsidRPr="00A55ACC">
              <w:rPr>
                <w:rFonts w:ascii="Arial" w:hAnsi="Arial" w:cs="Arial"/>
                <w:noProof/>
                <w:sz w:val="20"/>
              </w:rPr>
              <w:t xml:space="preserve">Examination of the adequacy of the technical solutions applied eu-LISA </w:t>
            </w:r>
          </w:p>
        </w:tc>
      </w:tr>
      <w:tr w:rsidR="00F00390" w:rsidRPr="002048C6" w14:paraId="6D25B41C" w14:textId="77777777" w:rsidTr="004E24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68EDB04" w14:textId="77777777" w:rsidR="001F244E" w:rsidRPr="00A55ACC" w:rsidRDefault="001F244E" w:rsidP="004E2424">
            <w:pPr>
              <w:pStyle w:val="Boxtable"/>
              <w:spacing w:before="0" w:after="0"/>
              <w:jc w:val="both"/>
              <w:rPr>
                <w:rFonts w:ascii="Arial" w:hAnsi="Arial" w:cs="Arial"/>
                <w:noProof/>
                <w:sz w:val="20"/>
              </w:rPr>
            </w:pPr>
            <w:r w:rsidRPr="00A55ACC">
              <w:rPr>
                <w:rFonts w:ascii="Arial" w:hAnsi="Arial" w:cs="Arial"/>
                <w:noProof/>
                <w:sz w:val="20"/>
              </w:rPr>
              <w:t xml:space="preserve">Cost data </w:t>
            </w:r>
          </w:p>
        </w:tc>
        <w:tc>
          <w:tcPr>
            <w:tcW w:w="11198" w:type="dxa"/>
          </w:tcPr>
          <w:p w14:paraId="3174E944" w14:textId="77777777" w:rsidR="001F244E" w:rsidRPr="00A55ACC" w:rsidRDefault="001F244E" w:rsidP="004E2424">
            <w:pPr>
              <w:pStyle w:val="Boxtable"/>
              <w:spacing w:before="0" w:after="0"/>
              <w:jc w:val="both"/>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r w:rsidRPr="00A55ACC">
              <w:rPr>
                <w:rFonts w:ascii="Arial" w:hAnsi="Arial" w:cs="Arial"/>
                <w:noProof/>
                <w:sz w:val="20"/>
              </w:rPr>
              <w:t xml:space="preserve">Analysis of the management of financial resources and the cost-effectiveness </w:t>
            </w:r>
          </w:p>
        </w:tc>
      </w:tr>
      <w:tr w:rsidR="00F00390" w:rsidRPr="002048C6" w14:paraId="65D13D8D" w14:textId="77777777" w:rsidTr="004E24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5A7B9147" w14:textId="77777777" w:rsidR="001F244E" w:rsidRPr="00A55ACC" w:rsidRDefault="001F244E" w:rsidP="004E2424">
            <w:pPr>
              <w:pStyle w:val="Boxtable"/>
              <w:spacing w:before="0" w:after="0"/>
              <w:jc w:val="both"/>
              <w:rPr>
                <w:rFonts w:ascii="Arial" w:hAnsi="Arial" w:cs="Arial"/>
                <w:noProof/>
                <w:sz w:val="20"/>
              </w:rPr>
            </w:pPr>
            <w:r w:rsidRPr="00A55ACC">
              <w:rPr>
                <w:rFonts w:ascii="Arial" w:hAnsi="Arial" w:cs="Arial"/>
                <w:noProof/>
                <w:sz w:val="20"/>
              </w:rPr>
              <w:t>Documentation of supervision of eu-LISA (e.g. reports by the EDPS)</w:t>
            </w:r>
          </w:p>
        </w:tc>
        <w:tc>
          <w:tcPr>
            <w:tcW w:w="11198" w:type="dxa"/>
          </w:tcPr>
          <w:p w14:paraId="51813B6A" w14:textId="77777777" w:rsidR="001F244E" w:rsidRPr="00A55ACC" w:rsidRDefault="001F244E" w:rsidP="004E2424">
            <w:pPr>
              <w:pStyle w:val="Boxtable"/>
              <w:spacing w:before="0" w:after="0"/>
              <w:jc w:val="both"/>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r w:rsidRPr="00A55ACC">
              <w:rPr>
                <w:rFonts w:ascii="Arial" w:hAnsi="Arial" w:cs="Arial"/>
                <w:noProof/>
                <w:sz w:val="20"/>
              </w:rPr>
              <w:t xml:space="preserve">Examination of the extent to which eu-LISA is working within legal boundaries and identification of any issues in this respect </w:t>
            </w:r>
          </w:p>
        </w:tc>
      </w:tr>
    </w:tbl>
    <w:p w14:paraId="3057D0B7" w14:textId="77777777" w:rsidR="003D092F" w:rsidRPr="00855E06" w:rsidRDefault="003D092F" w:rsidP="004E2424">
      <w:pPr>
        <w:pStyle w:val="Normal0"/>
        <w:spacing w:after="0"/>
        <w:rPr>
          <w:rFonts w:ascii="Times New Roman" w:hAnsi="Times New Roman"/>
          <w:noProof/>
          <w:sz w:val="24"/>
          <w:lang w:val="en-GB"/>
        </w:rPr>
      </w:pPr>
    </w:p>
    <w:p w14:paraId="754DCE2E" w14:textId="45F65024" w:rsidR="001F244E" w:rsidRDefault="001F244E" w:rsidP="00855E06">
      <w:pPr>
        <w:pStyle w:val="Normal0"/>
        <w:spacing w:after="0"/>
        <w:rPr>
          <w:rFonts w:ascii="Times New Roman" w:hAnsi="Times New Roman"/>
          <w:noProof/>
          <w:sz w:val="24"/>
          <w:lang w:val="en-GB"/>
        </w:rPr>
      </w:pPr>
      <w:r w:rsidRPr="00855E06">
        <w:rPr>
          <w:rFonts w:ascii="Times New Roman" w:hAnsi="Times New Roman"/>
          <w:noProof/>
          <w:sz w:val="24"/>
          <w:lang w:val="en-GB"/>
        </w:rPr>
        <w:t xml:space="preserve">At the end of the project, the study team has gathered and analysed around 140 documents. Given the sheer number of documents, the study team prepared a well-structured approach on registering and assessing the documents in an overview Excel, thus enabling all members to easily gain access to sources relevant to them. </w:t>
      </w:r>
    </w:p>
    <w:p w14:paraId="327F1592" w14:textId="77777777" w:rsidR="003D092F" w:rsidRPr="00855E06" w:rsidRDefault="003D092F" w:rsidP="004E2424">
      <w:pPr>
        <w:pStyle w:val="Normal0"/>
        <w:spacing w:after="0"/>
        <w:rPr>
          <w:rFonts w:ascii="Times New Roman" w:hAnsi="Times New Roman"/>
          <w:noProof/>
          <w:sz w:val="24"/>
          <w:lang w:val="en-GB"/>
        </w:rPr>
      </w:pPr>
    </w:p>
    <w:p w14:paraId="44EBBD9C" w14:textId="77777777" w:rsidR="001F244E" w:rsidRPr="004E2424" w:rsidRDefault="001F244E" w:rsidP="004E2424">
      <w:pPr>
        <w:pStyle w:val="BodyText"/>
        <w:spacing w:after="0"/>
        <w:rPr>
          <w:rFonts w:ascii="Times New Roman" w:hAnsi="Times New Roman" w:cs="Times New Roman"/>
          <w:noProof/>
          <w:sz w:val="24"/>
          <w:szCs w:val="24"/>
          <w:u w:val="single"/>
        </w:rPr>
      </w:pPr>
      <w:bookmarkStart w:id="57" w:name="_Toc152270696"/>
      <w:r w:rsidRPr="004E2424">
        <w:rPr>
          <w:rFonts w:ascii="Times New Roman" w:hAnsi="Times New Roman" w:cs="Times New Roman"/>
          <w:i/>
          <w:iCs/>
          <w:noProof/>
          <w:sz w:val="24"/>
          <w:szCs w:val="24"/>
          <w:u w:val="single"/>
        </w:rPr>
        <w:t>Field research</w:t>
      </w:r>
      <w:bookmarkEnd w:id="57"/>
      <w:r w:rsidRPr="004E2424">
        <w:rPr>
          <w:rFonts w:ascii="Times New Roman" w:hAnsi="Times New Roman" w:cs="Times New Roman"/>
          <w:i/>
          <w:iCs/>
          <w:noProof/>
          <w:sz w:val="24"/>
          <w:szCs w:val="24"/>
          <w:u w:val="single"/>
        </w:rPr>
        <w:t xml:space="preserve"> </w:t>
      </w:r>
    </w:p>
    <w:p w14:paraId="22D5F01A" w14:textId="370D0C2E" w:rsidR="001F244E" w:rsidRPr="003D092F" w:rsidRDefault="003D092F" w:rsidP="004E2424">
      <w:pPr>
        <w:pStyle w:val="BodyText"/>
        <w:spacing w:after="0"/>
        <w:rPr>
          <w:rFonts w:ascii="Times New Roman" w:hAnsi="Times New Roman" w:cs="Times New Roman"/>
          <w:noProof/>
          <w:sz w:val="24"/>
          <w:szCs w:val="24"/>
        </w:rPr>
      </w:pPr>
      <w:r>
        <w:rPr>
          <w:rFonts w:ascii="Times New Roman" w:hAnsi="Times New Roman" w:cs="Times New Roman"/>
          <w:noProof/>
          <w:sz w:val="24"/>
          <w:szCs w:val="24"/>
        </w:rPr>
        <w:t>The</w:t>
      </w:r>
      <w:r w:rsidR="001F244E" w:rsidRPr="003D092F">
        <w:rPr>
          <w:rFonts w:ascii="Times New Roman" w:hAnsi="Times New Roman" w:cs="Times New Roman"/>
          <w:noProof/>
          <w:sz w:val="24"/>
          <w:szCs w:val="24"/>
        </w:rPr>
        <w:t xml:space="preserve"> consultation strategy followed a mixed-method approach (see </w:t>
      </w:r>
      <w:r w:rsidR="001F244E" w:rsidRPr="003D092F">
        <w:rPr>
          <w:rFonts w:ascii="Times New Roman" w:hAnsi="Times New Roman" w:cs="Times New Roman"/>
          <w:noProof/>
          <w:sz w:val="24"/>
          <w:szCs w:val="24"/>
        </w:rPr>
        <w:fldChar w:fldCharType="begin"/>
      </w:r>
      <w:r w:rsidR="001F244E" w:rsidRPr="003D092F">
        <w:rPr>
          <w:rFonts w:ascii="Times New Roman" w:hAnsi="Times New Roman" w:cs="Times New Roman"/>
          <w:noProof/>
          <w:sz w:val="24"/>
          <w:szCs w:val="24"/>
        </w:rPr>
        <w:instrText xml:space="preserve"> REF _Ref153310295 \h  \* MERGEFORMAT </w:instrText>
      </w:r>
      <w:r w:rsidR="001F244E" w:rsidRPr="003D092F">
        <w:rPr>
          <w:rFonts w:ascii="Times New Roman" w:hAnsi="Times New Roman" w:cs="Times New Roman"/>
          <w:noProof/>
          <w:sz w:val="24"/>
          <w:szCs w:val="24"/>
        </w:rPr>
      </w:r>
      <w:r w:rsidR="001F244E" w:rsidRPr="003D092F">
        <w:rPr>
          <w:rFonts w:ascii="Times New Roman" w:hAnsi="Times New Roman" w:cs="Times New Roman"/>
          <w:noProof/>
          <w:sz w:val="24"/>
          <w:szCs w:val="24"/>
        </w:rPr>
        <w:fldChar w:fldCharType="separate"/>
      </w:r>
      <w:r w:rsidR="004E2424" w:rsidRPr="004E2424">
        <w:rPr>
          <w:rFonts w:ascii="Times New Roman" w:hAnsi="Times New Roman" w:cs="Times New Roman"/>
          <w:noProof/>
          <w:sz w:val="24"/>
          <w:szCs w:val="24"/>
        </w:rPr>
        <w:t xml:space="preserve">Table </w:t>
      </w:r>
      <w:r w:rsidR="001F244E" w:rsidRPr="003D092F">
        <w:rPr>
          <w:rFonts w:ascii="Times New Roman" w:hAnsi="Times New Roman" w:cs="Times New Roman"/>
          <w:noProof/>
          <w:sz w:val="24"/>
          <w:szCs w:val="24"/>
        </w:rPr>
        <w:fldChar w:fldCharType="end"/>
      </w:r>
      <w:r w:rsidR="001F244E" w:rsidRPr="003D092F">
        <w:rPr>
          <w:rFonts w:ascii="Times New Roman" w:hAnsi="Times New Roman" w:cs="Times New Roman"/>
          <w:noProof/>
          <w:sz w:val="24"/>
          <w:szCs w:val="24"/>
        </w:rPr>
        <w:t xml:space="preserve"> below) that ensured an extensive coverage (written surveys) with targeted tools that allowed collecting more detailed information and having in-depth discussions with relevant stakeholders (interviews, focus groups and workshops). We aimed for a profound integration of relevant stakeholders, which was crucial to ensure access to relevant information (</w:t>
      </w:r>
      <w:r w:rsidR="001F244E" w:rsidRPr="004E2424">
        <w:rPr>
          <w:rStyle w:val="HighlightChar"/>
          <w:rFonts w:ascii="Times New Roman" w:hAnsi="Times New Roman" w:cs="Times New Roman"/>
          <w:noProof/>
          <w:sz w:val="24"/>
          <w:szCs w:val="24"/>
        </w:rPr>
        <w:t>validity of findings</w:t>
      </w:r>
      <w:r w:rsidR="001F244E" w:rsidRPr="003D092F">
        <w:rPr>
          <w:rFonts w:ascii="Times New Roman" w:hAnsi="Times New Roman" w:cs="Times New Roman"/>
          <w:noProof/>
          <w:sz w:val="24"/>
          <w:szCs w:val="24"/>
        </w:rPr>
        <w:t>) and a high level of credibility of the results (</w:t>
      </w:r>
      <w:r w:rsidR="001F244E" w:rsidRPr="004E2424">
        <w:rPr>
          <w:rStyle w:val="HighlightChar"/>
          <w:rFonts w:ascii="Times New Roman" w:hAnsi="Times New Roman" w:cs="Times New Roman"/>
          <w:noProof/>
          <w:sz w:val="24"/>
          <w:szCs w:val="24"/>
        </w:rPr>
        <w:t>acceptance</w:t>
      </w:r>
      <w:r w:rsidR="001F244E" w:rsidRPr="003D092F">
        <w:rPr>
          <w:rFonts w:ascii="Times New Roman" w:hAnsi="Times New Roman" w:cs="Times New Roman"/>
          <w:noProof/>
          <w:sz w:val="24"/>
          <w:szCs w:val="24"/>
        </w:rPr>
        <w:t xml:space="preserve">). </w:t>
      </w:r>
      <w:r w:rsidR="008B366F">
        <w:rPr>
          <w:rFonts w:ascii="Times New Roman" w:hAnsi="Times New Roman" w:cs="Times New Roman"/>
          <w:noProof/>
          <w:sz w:val="24"/>
          <w:szCs w:val="24"/>
        </w:rPr>
        <w:t>The</w:t>
      </w:r>
      <w:r w:rsidR="008B366F" w:rsidRPr="003D092F">
        <w:rPr>
          <w:rFonts w:ascii="Times New Roman" w:hAnsi="Times New Roman" w:cs="Times New Roman"/>
          <w:noProof/>
          <w:sz w:val="24"/>
          <w:szCs w:val="24"/>
        </w:rPr>
        <w:t xml:space="preserve"> </w:t>
      </w:r>
      <w:r w:rsidR="001F244E" w:rsidRPr="003D092F">
        <w:rPr>
          <w:rFonts w:ascii="Times New Roman" w:hAnsi="Times New Roman" w:cs="Times New Roman"/>
          <w:noProof/>
          <w:sz w:val="24"/>
          <w:szCs w:val="24"/>
        </w:rPr>
        <w:t>approach was based on a careful analysis of the objectives and context of this evaluation and ensured an active engagement of both eu-LISA and relevant external stakeholders at the EU and national levels.</w:t>
      </w:r>
    </w:p>
    <w:p w14:paraId="0468D48A" w14:textId="4DC1E999" w:rsidR="001F244E" w:rsidRDefault="001F244E" w:rsidP="00855E06">
      <w:pPr>
        <w:pStyle w:val="BodyText"/>
        <w:spacing w:after="0"/>
        <w:rPr>
          <w:rFonts w:ascii="Times New Roman" w:hAnsi="Times New Roman" w:cs="Times New Roman"/>
          <w:noProof/>
          <w:sz w:val="24"/>
          <w:szCs w:val="24"/>
        </w:rPr>
      </w:pPr>
      <w:r w:rsidRPr="003D092F">
        <w:rPr>
          <w:rFonts w:ascii="Times New Roman" w:hAnsi="Times New Roman" w:cs="Times New Roman"/>
          <w:noProof/>
          <w:sz w:val="24"/>
          <w:szCs w:val="24"/>
        </w:rPr>
        <w:t xml:space="preserve">While the </w:t>
      </w:r>
      <w:r w:rsidRPr="004E2424">
        <w:rPr>
          <w:rStyle w:val="HighlightChar"/>
          <w:rFonts w:ascii="Times New Roman" w:hAnsi="Times New Roman" w:cs="Times New Roman"/>
          <w:noProof/>
          <w:sz w:val="24"/>
          <w:szCs w:val="24"/>
        </w:rPr>
        <w:t>burden on stakeholders</w:t>
      </w:r>
      <w:r w:rsidRPr="003D092F">
        <w:rPr>
          <w:rFonts w:ascii="Times New Roman" w:hAnsi="Times New Roman" w:cs="Times New Roman"/>
          <w:noProof/>
          <w:sz w:val="24"/>
          <w:szCs w:val="24"/>
        </w:rPr>
        <w:t xml:space="preserve"> was kept to a minimum and engaging each stakeholder only to the extent necessary and with the suitable tools, our strategy involved a </w:t>
      </w:r>
      <w:r w:rsidRPr="004E2424">
        <w:rPr>
          <w:rStyle w:val="HighlightChar"/>
          <w:rFonts w:ascii="Times New Roman" w:hAnsi="Times New Roman" w:cs="Times New Roman"/>
          <w:noProof/>
          <w:sz w:val="24"/>
          <w:szCs w:val="24"/>
        </w:rPr>
        <w:t>wide range of stakeholders</w:t>
      </w:r>
      <w:r w:rsidRPr="003D092F">
        <w:rPr>
          <w:rStyle w:val="HighlightChar"/>
          <w:rFonts w:ascii="Times New Roman" w:hAnsi="Times New Roman" w:cs="Times New Roman"/>
          <w:noProof/>
          <w:sz w:val="24"/>
          <w:szCs w:val="24"/>
        </w:rPr>
        <w:t xml:space="preserve"> </w:t>
      </w:r>
      <w:r w:rsidRPr="003D092F">
        <w:rPr>
          <w:rFonts w:ascii="Times New Roman" w:hAnsi="Times New Roman" w:cs="Times New Roman"/>
          <w:noProof/>
          <w:sz w:val="24"/>
          <w:szCs w:val="24"/>
        </w:rPr>
        <w:t xml:space="preserve">within the Agency’s units (including e.g. the advisory groups), systems’ users, other relevant </w:t>
      </w:r>
      <w:r w:rsidR="009803CB" w:rsidRPr="009803CB">
        <w:rPr>
          <w:rFonts w:ascii="Times New Roman" w:hAnsi="Times New Roman" w:cs="Times New Roman"/>
          <w:noProof/>
          <w:sz w:val="24"/>
          <w:szCs w:val="24"/>
          <w:lang w:val="en-IE"/>
        </w:rPr>
        <w:t>EU institutions, bodies, offices and agencies</w:t>
      </w:r>
      <w:r w:rsidR="009803CB">
        <w:rPr>
          <w:rFonts w:ascii="Times New Roman" w:hAnsi="Times New Roman" w:cs="Times New Roman"/>
          <w:noProof/>
          <w:sz w:val="24"/>
          <w:szCs w:val="24"/>
          <w:lang w:val="en-IE"/>
        </w:rPr>
        <w:t xml:space="preserve"> </w:t>
      </w:r>
      <w:r w:rsidRPr="003D092F">
        <w:rPr>
          <w:rFonts w:ascii="Times New Roman" w:hAnsi="Times New Roman" w:cs="Times New Roman"/>
          <w:noProof/>
          <w:sz w:val="24"/>
          <w:szCs w:val="24"/>
        </w:rPr>
        <w:t>and different political stakeholders.</w:t>
      </w:r>
    </w:p>
    <w:p w14:paraId="759FDAAA" w14:textId="77777777" w:rsidR="008B366F" w:rsidRPr="003D092F" w:rsidRDefault="008B366F" w:rsidP="004E2424">
      <w:pPr>
        <w:pStyle w:val="BodyText"/>
        <w:spacing w:after="0"/>
        <w:rPr>
          <w:rFonts w:ascii="Times New Roman" w:hAnsi="Times New Roman" w:cs="Times New Roman"/>
          <w:noProof/>
          <w:sz w:val="24"/>
          <w:szCs w:val="24"/>
        </w:rPr>
      </w:pPr>
    </w:p>
    <w:p w14:paraId="44AE635C" w14:textId="64148BE3" w:rsidR="001F244E" w:rsidRPr="004E2424" w:rsidRDefault="001F244E" w:rsidP="004E2424">
      <w:pPr>
        <w:pStyle w:val="Caption"/>
        <w:keepNext/>
        <w:spacing w:after="0"/>
        <w:rPr>
          <w:rFonts w:ascii="Times New Roman" w:hAnsi="Times New Roman" w:cs="Times New Roman"/>
          <w:i/>
          <w:iCs/>
          <w:sz w:val="24"/>
          <w:szCs w:val="24"/>
        </w:rPr>
      </w:pPr>
      <w:bookmarkStart w:id="58" w:name="_Ref153310295"/>
      <w:bookmarkStart w:id="59" w:name="_Toc154041752"/>
      <w:bookmarkStart w:id="60" w:name="_Toc167205836"/>
      <w:r w:rsidRPr="004E2424">
        <w:rPr>
          <w:rFonts w:ascii="Times New Roman" w:hAnsi="Times New Roman" w:cs="Times New Roman"/>
          <w:i/>
          <w:iCs/>
          <w:sz w:val="24"/>
          <w:szCs w:val="24"/>
        </w:rPr>
        <w:t xml:space="preserve">Table </w:t>
      </w:r>
      <w:bookmarkEnd w:id="58"/>
      <w:r w:rsidR="00A55ACC">
        <w:rPr>
          <w:rFonts w:ascii="Times New Roman" w:hAnsi="Times New Roman" w:cs="Times New Roman"/>
          <w:i/>
          <w:iCs/>
          <w:sz w:val="24"/>
          <w:szCs w:val="24"/>
        </w:rPr>
        <w:t>2</w:t>
      </w:r>
      <w:r w:rsidRPr="004E2424">
        <w:rPr>
          <w:rFonts w:ascii="Times New Roman" w:hAnsi="Times New Roman" w:cs="Times New Roman"/>
          <w:i/>
          <w:iCs/>
          <w:sz w:val="24"/>
          <w:szCs w:val="24"/>
        </w:rPr>
        <w:t xml:space="preserve"> – Consultation tools used </w:t>
      </w:r>
      <w:bookmarkEnd w:id="59"/>
      <w:bookmarkEnd w:id="60"/>
    </w:p>
    <w:tbl>
      <w:tblPr>
        <w:tblStyle w:val="Table-standard1"/>
        <w:tblW w:w="5000" w:type="pct"/>
        <w:tblLook w:val="04A0" w:firstRow="1" w:lastRow="0" w:firstColumn="1" w:lastColumn="0" w:noHBand="0" w:noVBand="1"/>
      </w:tblPr>
      <w:tblGrid>
        <w:gridCol w:w="2924"/>
        <w:gridCol w:w="12464"/>
      </w:tblGrid>
      <w:tr w:rsidR="001F244E" w:rsidRPr="00A55ACC" w14:paraId="1999B1A4" w14:textId="77777777" w:rsidTr="004E2424">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pct"/>
            <w:shd w:val="clear" w:color="auto" w:fill="034EA2" w:themeFill="text2"/>
            <w:hideMark/>
          </w:tcPr>
          <w:p w14:paraId="7126A739" w14:textId="77777777" w:rsidR="001F244E" w:rsidRPr="00A55ACC" w:rsidRDefault="001F244E" w:rsidP="004E2424">
            <w:pPr>
              <w:pStyle w:val="Boxtable"/>
              <w:keepNext/>
              <w:spacing w:before="0" w:after="0"/>
              <w:jc w:val="both"/>
              <w:rPr>
                <w:rFonts w:ascii="Arial" w:hAnsi="Arial" w:cs="Arial"/>
                <w:noProof/>
                <w:color w:val="FFFFFF" w:themeColor="background1"/>
                <w:sz w:val="20"/>
              </w:rPr>
            </w:pPr>
            <w:r w:rsidRPr="00A55ACC">
              <w:rPr>
                <w:rFonts w:ascii="Arial" w:hAnsi="Arial" w:cs="Arial"/>
                <w:noProof/>
                <w:color w:val="FFFFFF" w:themeColor="background1"/>
                <w:sz w:val="20"/>
              </w:rPr>
              <w:t xml:space="preserve">Tools </w:t>
            </w:r>
          </w:p>
        </w:tc>
        <w:tc>
          <w:tcPr>
            <w:tcW w:w="0" w:type="pct"/>
            <w:shd w:val="clear" w:color="auto" w:fill="034EA2" w:themeFill="text2"/>
            <w:hideMark/>
          </w:tcPr>
          <w:p w14:paraId="72EA17A3" w14:textId="77777777" w:rsidR="001F244E" w:rsidRPr="00A55ACC" w:rsidRDefault="001F244E" w:rsidP="004E2424">
            <w:pPr>
              <w:pStyle w:val="Boxtable"/>
              <w:spacing w:before="0" w:after="0"/>
              <w:jc w:val="both"/>
              <w:cnfStyle w:val="100000000000" w:firstRow="1" w:lastRow="0" w:firstColumn="0" w:lastColumn="0" w:oddVBand="0" w:evenVBand="0" w:oddHBand="0" w:evenHBand="0" w:firstRowFirstColumn="0" w:firstRowLastColumn="0" w:lastRowFirstColumn="0" w:lastRowLastColumn="0"/>
              <w:rPr>
                <w:rFonts w:ascii="Arial" w:hAnsi="Arial" w:cs="Arial"/>
                <w:noProof/>
                <w:color w:val="FFFFFF" w:themeColor="background1"/>
                <w:sz w:val="20"/>
              </w:rPr>
            </w:pPr>
            <w:r w:rsidRPr="00A55ACC">
              <w:rPr>
                <w:rFonts w:ascii="Arial" w:hAnsi="Arial" w:cs="Arial"/>
                <w:noProof/>
                <w:color w:val="FFFFFF" w:themeColor="background1"/>
                <w:sz w:val="20"/>
              </w:rPr>
              <w:t xml:space="preserve">Main objectives and justification </w:t>
            </w:r>
          </w:p>
        </w:tc>
      </w:tr>
      <w:tr w:rsidR="001F244E" w:rsidRPr="00A55ACC" w14:paraId="23C408FF" w14:textId="77777777" w:rsidTr="00FE1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840A9EF" w14:textId="77777777" w:rsidR="001F244E" w:rsidRPr="00A55ACC" w:rsidRDefault="001F244E" w:rsidP="004E2424">
            <w:pPr>
              <w:pStyle w:val="Boxtable"/>
              <w:keepNext/>
              <w:spacing w:before="0" w:after="0"/>
              <w:jc w:val="both"/>
              <w:rPr>
                <w:rFonts w:ascii="Arial" w:hAnsi="Arial" w:cs="Arial"/>
                <w:noProof/>
                <w:sz w:val="20"/>
              </w:rPr>
            </w:pPr>
            <w:r w:rsidRPr="00A55ACC">
              <w:rPr>
                <w:rFonts w:ascii="Arial" w:hAnsi="Arial" w:cs="Arial"/>
                <w:b/>
                <w:noProof/>
                <w:sz w:val="20"/>
              </w:rPr>
              <w:t xml:space="preserve">Task 1 – Preparation </w:t>
            </w:r>
          </w:p>
        </w:tc>
      </w:tr>
      <w:tr w:rsidR="00F00390" w:rsidRPr="003365D6" w14:paraId="70D477DF" w14:textId="77777777" w:rsidTr="00FE1F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pct"/>
          </w:tcPr>
          <w:p w14:paraId="3299E9F1" w14:textId="77777777" w:rsidR="001F244E" w:rsidRPr="00A55ACC" w:rsidRDefault="001F244E" w:rsidP="004E2424">
            <w:pPr>
              <w:pStyle w:val="Boxtable"/>
              <w:spacing w:before="0" w:after="0"/>
              <w:jc w:val="both"/>
              <w:rPr>
                <w:rFonts w:ascii="Arial" w:hAnsi="Arial" w:cs="Arial"/>
                <w:noProof/>
                <w:sz w:val="20"/>
              </w:rPr>
            </w:pPr>
            <w:r w:rsidRPr="00A55ACC">
              <w:rPr>
                <w:rFonts w:ascii="Arial" w:hAnsi="Arial" w:cs="Arial"/>
                <w:noProof/>
                <w:sz w:val="20"/>
              </w:rPr>
              <w:t>Exploratory visit to eu-LISA</w:t>
            </w:r>
          </w:p>
        </w:tc>
        <w:tc>
          <w:tcPr>
            <w:tcW w:w="4050" w:type="pct"/>
          </w:tcPr>
          <w:p w14:paraId="55B08B15" w14:textId="77777777" w:rsidR="001F244E" w:rsidRPr="00A55ACC" w:rsidRDefault="001F244E" w:rsidP="004E2424">
            <w:pPr>
              <w:pStyle w:val="Boxtable"/>
              <w:spacing w:before="0" w:after="0"/>
              <w:jc w:val="both"/>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r w:rsidRPr="00A55ACC">
              <w:rPr>
                <w:rFonts w:ascii="Arial" w:hAnsi="Arial" w:cs="Arial"/>
                <w:noProof/>
                <w:sz w:val="20"/>
              </w:rPr>
              <w:t xml:space="preserve">Two exploratory visits to eu-LISA's main seats in Tallinn and Strasbourg were conducted in the initial phase of the study – postponed due to scheduling issues to mid-January. The visits served a dual purpose: (i) establishing a working relationship with eu-LISA for successful cooperation in the evaluation, and (ii) gathering insights to refine the methodological approach, including practical aspects for later consultations, and confirming access to written sources, incl. internal documents. The visits were, in addition, used to get in contact with relevant stakeholders (in particular eu-LISA staff) in order to gather first qualitative insight into the operation mechanisms of the Agency. </w:t>
            </w:r>
          </w:p>
        </w:tc>
      </w:tr>
      <w:tr w:rsidR="001F244E" w:rsidRPr="00A55ACC" w14:paraId="195E0ADE" w14:textId="77777777" w:rsidTr="00FE1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22079EA6" w14:textId="77777777" w:rsidR="001F244E" w:rsidRPr="00A55ACC" w:rsidRDefault="001F244E" w:rsidP="004E2424">
            <w:pPr>
              <w:pStyle w:val="Boxtable"/>
              <w:keepNext/>
              <w:spacing w:before="0" w:after="0"/>
              <w:jc w:val="both"/>
              <w:rPr>
                <w:rFonts w:ascii="Arial" w:hAnsi="Arial" w:cs="Arial"/>
                <w:noProof/>
                <w:sz w:val="20"/>
              </w:rPr>
            </w:pPr>
            <w:r w:rsidRPr="00A55ACC">
              <w:rPr>
                <w:rFonts w:ascii="Arial" w:hAnsi="Arial" w:cs="Arial"/>
                <w:b/>
                <w:noProof/>
                <w:sz w:val="20"/>
              </w:rPr>
              <w:t xml:space="preserve">Task 2 – Fieldwork </w:t>
            </w:r>
          </w:p>
        </w:tc>
      </w:tr>
      <w:tr w:rsidR="005B381F" w:rsidRPr="003365D6" w14:paraId="6FF6CABC" w14:textId="77777777" w:rsidTr="00FE1F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pct"/>
          </w:tcPr>
          <w:p w14:paraId="47D3A1D7" w14:textId="77777777" w:rsidR="001F244E" w:rsidRPr="00A55ACC" w:rsidRDefault="001F244E" w:rsidP="004E2424">
            <w:pPr>
              <w:pStyle w:val="Boxtable"/>
              <w:spacing w:before="0" w:after="0"/>
              <w:rPr>
                <w:rFonts w:ascii="Arial" w:hAnsi="Arial" w:cs="Arial"/>
                <w:noProof/>
                <w:sz w:val="20"/>
              </w:rPr>
            </w:pPr>
            <w:r w:rsidRPr="00A55ACC">
              <w:rPr>
                <w:rFonts w:ascii="Arial" w:hAnsi="Arial" w:cs="Arial"/>
                <w:noProof/>
                <w:sz w:val="20"/>
              </w:rPr>
              <w:t>Targeted written surveys</w:t>
            </w:r>
          </w:p>
        </w:tc>
        <w:tc>
          <w:tcPr>
            <w:tcW w:w="4050" w:type="pct"/>
            <w:vAlign w:val="top"/>
          </w:tcPr>
          <w:p w14:paraId="1CF4A1FB" w14:textId="77777777" w:rsidR="001F244E" w:rsidRPr="00A55ACC" w:rsidRDefault="001F244E" w:rsidP="004E2424">
            <w:pPr>
              <w:pStyle w:val="Boxtable"/>
              <w:spacing w:before="0" w:after="0"/>
              <w:jc w:val="both"/>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r w:rsidRPr="00A55ACC">
              <w:rPr>
                <w:rFonts w:ascii="Arial" w:hAnsi="Arial" w:cs="Arial"/>
                <w:noProof/>
                <w:sz w:val="20"/>
              </w:rPr>
              <w:t xml:space="preserve">We conducted three written surveys targeting diverse groups efficiently: (i) users of various IT systems, (ii) advisory boards, and (iii) supervisory authorities. The surveys included tailored questions relevant to each group, ensuring standardised and comparable evidence collection and engaging users and authorities with role-specific perspectives. The participation in the survey can be assessed as successful, with 175 responses registered for the AG survey, 132 responses registered for the users and 46 responses registered for the supervisory authorities. Even though the surveys included some unit and item non-responses, overall participation was very well, and most questions posed could be analysed based on a sufficient amount of respondents. </w:t>
            </w:r>
          </w:p>
        </w:tc>
      </w:tr>
      <w:tr w:rsidR="00F00390" w:rsidRPr="002048C6" w14:paraId="4458EFDD" w14:textId="77777777" w:rsidTr="00FE1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pct"/>
          </w:tcPr>
          <w:p w14:paraId="69CC831C" w14:textId="77777777" w:rsidR="001F244E" w:rsidRPr="00A55ACC" w:rsidRDefault="001F244E" w:rsidP="004E2424">
            <w:pPr>
              <w:pStyle w:val="Boxtable"/>
              <w:spacing w:before="0" w:after="0"/>
              <w:rPr>
                <w:rFonts w:ascii="Arial" w:hAnsi="Arial" w:cs="Arial"/>
                <w:noProof/>
                <w:sz w:val="20"/>
              </w:rPr>
            </w:pPr>
            <w:r w:rsidRPr="00A55ACC">
              <w:rPr>
                <w:rFonts w:ascii="Arial" w:hAnsi="Arial" w:cs="Arial"/>
                <w:noProof/>
                <w:sz w:val="20"/>
              </w:rPr>
              <w:t>Interviews &amp; focus groups with eu-LISA staff, the Advisory Groups, the PMBs and the Management Board</w:t>
            </w:r>
          </w:p>
        </w:tc>
        <w:tc>
          <w:tcPr>
            <w:tcW w:w="4050" w:type="pct"/>
          </w:tcPr>
          <w:p w14:paraId="65CEA9E7" w14:textId="77777777" w:rsidR="001F244E" w:rsidRPr="00A55ACC" w:rsidRDefault="001F244E" w:rsidP="004E2424">
            <w:pPr>
              <w:pStyle w:val="Boxtable"/>
              <w:spacing w:before="0" w:after="0"/>
              <w:jc w:val="both"/>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r w:rsidRPr="00A55ACC">
              <w:rPr>
                <w:rFonts w:ascii="Arial" w:hAnsi="Arial" w:cs="Arial"/>
                <w:noProof/>
                <w:sz w:val="20"/>
              </w:rPr>
              <w:t>To comprehend eu-LISA's internal operations, we contacted 69 stakeholders via interviews and focus groups within key departments, gathering detailed insights. Additionally, engaging with Advisory Groups for each eu-LISA system was crucial for understanding business-critical processes, including governance structures, roadmap evolution, and system training plans. The Management Board, a key governance body with representatives from Member States, Eurojust, Europol, Frontex, and the EPPO, were consulted to capture diverse perspectives on the functioning of eu-LISA and its governance set-up.</w:t>
            </w:r>
          </w:p>
        </w:tc>
      </w:tr>
      <w:tr w:rsidR="00F00390" w:rsidRPr="002048C6" w14:paraId="6D4AFF18" w14:textId="77777777" w:rsidTr="00FE1F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pct"/>
          </w:tcPr>
          <w:p w14:paraId="22F6CF2C" w14:textId="77777777" w:rsidR="001F244E" w:rsidRPr="00A55ACC" w:rsidRDefault="001F244E" w:rsidP="004E2424">
            <w:pPr>
              <w:pStyle w:val="Boxtable"/>
              <w:spacing w:before="0" w:after="0"/>
              <w:rPr>
                <w:rFonts w:ascii="Arial" w:hAnsi="Arial" w:cs="Arial"/>
                <w:noProof/>
                <w:sz w:val="20"/>
              </w:rPr>
            </w:pPr>
            <w:r w:rsidRPr="00A55ACC">
              <w:rPr>
                <w:rFonts w:ascii="Arial" w:hAnsi="Arial" w:cs="Arial"/>
                <w:noProof/>
                <w:sz w:val="20"/>
              </w:rPr>
              <w:t>Interviews with stakeholders at the EU level</w:t>
            </w:r>
          </w:p>
        </w:tc>
        <w:tc>
          <w:tcPr>
            <w:tcW w:w="4050" w:type="pct"/>
          </w:tcPr>
          <w:p w14:paraId="71769550" w14:textId="77777777" w:rsidR="001F244E" w:rsidRPr="00A55ACC" w:rsidRDefault="001F244E" w:rsidP="004E2424">
            <w:pPr>
              <w:pStyle w:val="Boxtable"/>
              <w:spacing w:before="0" w:after="0"/>
              <w:jc w:val="both"/>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r w:rsidRPr="00A55ACC">
              <w:rPr>
                <w:rFonts w:ascii="Arial" w:hAnsi="Arial" w:cs="Arial"/>
                <w:noProof/>
                <w:sz w:val="20"/>
              </w:rPr>
              <w:t>We conducted interviews with external stakeholders, such as additional Commission DGs, EU agencies, and cooperation partners to gather diverse perspectives on eu-LISA. This approach allowed us to obtain detailed insights from each stakeholder, considering the unique perspectives they offer on the functioning of eu-LISA.</w:t>
            </w:r>
          </w:p>
        </w:tc>
      </w:tr>
      <w:tr w:rsidR="00F00390" w:rsidRPr="002048C6" w14:paraId="5C9CE86A" w14:textId="77777777" w:rsidTr="00FE1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pct"/>
          </w:tcPr>
          <w:p w14:paraId="71291E3F" w14:textId="77777777" w:rsidR="001F244E" w:rsidRPr="00A55ACC" w:rsidRDefault="001F244E" w:rsidP="004E2424">
            <w:pPr>
              <w:pStyle w:val="Boxtable"/>
              <w:spacing w:before="0" w:after="0"/>
              <w:rPr>
                <w:rFonts w:ascii="Arial" w:hAnsi="Arial" w:cs="Arial"/>
                <w:noProof/>
                <w:sz w:val="20"/>
              </w:rPr>
            </w:pPr>
            <w:r w:rsidRPr="00A55ACC">
              <w:rPr>
                <w:rFonts w:ascii="Arial" w:hAnsi="Arial" w:cs="Arial"/>
                <w:noProof/>
                <w:sz w:val="20"/>
              </w:rPr>
              <w:t>Interviews and focus group with private sector actors (contractors of eu-LISA, carriers)</w:t>
            </w:r>
          </w:p>
        </w:tc>
        <w:tc>
          <w:tcPr>
            <w:tcW w:w="4050" w:type="pct"/>
          </w:tcPr>
          <w:p w14:paraId="517A51B2" w14:textId="77777777" w:rsidR="001F244E" w:rsidRPr="00A55ACC" w:rsidRDefault="001F244E" w:rsidP="004E2424">
            <w:pPr>
              <w:pStyle w:val="Boxtable"/>
              <w:spacing w:before="0" w:after="0"/>
              <w:jc w:val="both"/>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r w:rsidRPr="00A55ACC">
              <w:rPr>
                <w:rFonts w:ascii="Arial" w:hAnsi="Arial" w:cs="Arial"/>
                <w:noProof/>
                <w:sz w:val="20"/>
              </w:rPr>
              <w:t xml:space="preserve">In order to assess how the private sector perceives the work of eu-LISA, 4 interviews with external contractors of eu-LISA and a focus group was conducted. As part of the focus group, air, land and sea carriers were invited to share their view on eu-LISA and the obligations stemming from the work of eu-LISA. Overall, twenty stakeholders participated in the virtual focus group, and were able to share their experiences in two breakout sessions. Both formats helped understanding how eu-LISA is perceived by the private sector and which recommendations they would have for the Agency. </w:t>
            </w:r>
          </w:p>
        </w:tc>
      </w:tr>
      <w:tr w:rsidR="00F00390" w:rsidRPr="002048C6" w14:paraId="1AAF671D" w14:textId="77777777" w:rsidTr="00FE1F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pct"/>
          </w:tcPr>
          <w:p w14:paraId="0A8D00AE" w14:textId="77777777" w:rsidR="001F244E" w:rsidRPr="00A55ACC" w:rsidRDefault="001F244E" w:rsidP="004E2424">
            <w:pPr>
              <w:pStyle w:val="Boxtable"/>
              <w:spacing w:before="0" w:after="0"/>
              <w:rPr>
                <w:rFonts w:ascii="Arial" w:hAnsi="Arial" w:cs="Arial"/>
                <w:noProof/>
                <w:sz w:val="20"/>
              </w:rPr>
            </w:pPr>
            <w:r w:rsidRPr="00A55ACC">
              <w:rPr>
                <w:rFonts w:ascii="Arial" w:hAnsi="Arial" w:cs="Arial"/>
                <w:noProof/>
                <w:sz w:val="20"/>
              </w:rPr>
              <w:t xml:space="preserve">SWOT workshops on the different systems </w:t>
            </w:r>
          </w:p>
        </w:tc>
        <w:tc>
          <w:tcPr>
            <w:tcW w:w="4050" w:type="pct"/>
          </w:tcPr>
          <w:p w14:paraId="5E5FC257" w14:textId="77777777" w:rsidR="001F244E" w:rsidRPr="00A55ACC" w:rsidRDefault="001F244E" w:rsidP="004E2424">
            <w:pPr>
              <w:pStyle w:val="Boxtable"/>
              <w:spacing w:before="0" w:after="0"/>
              <w:jc w:val="both"/>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r w:rsidRPr="00A55ACC">
              <w:rPr>
                <w:rFonts w:ascii="Arial" w:hAnsi="Arial" w:cs="Arial"/>
                <w:noProof/>
                <w:sz w:val="20"/>
              </w:rPr>
              <w:t>To comprehensively assess eu-LISA's overall functioning and performance across its diverse tasks and IT systems, we conducted 6 SWOT workshops with system users and other national stakeholders working with the systems in different ways. These workshops helped identify strengths, weaknesses, current challenges, and future opportunities. Most workshops focused on a single system (e.g. for SIS, VIS, Eurodac) or on the overall topic of interoperability. Some workshops were clustered for comparable systems (e.g. EES &amp; ETIAS or ECRIS-TCN &amp; e-CODEX) and conducted for both systems simultaneously, also allowing stakeholders to point out to synergies or shared challenges. In general, the workshops followed the clustering of eu-LISA’s AGs. On average, roughly eight participants participated in the workshops. Regardless of the number of participants, all workshops helped gathering important evidence thanks to the active participation of most participants.</w:t>
            </w:r>
          </w:p>
        </w:tc>
      </w:tr>
      <w:tr w:rsidR="00F00390" w:rsidRPr="002048C6" w14:paraId="7ED3AE62" w14:textId="77777777" w:rsidTr="00FE1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pct"/>
          </w:tcPr>
          <w:p w14:paraId="56137F67" w14:textId="77777777" w:rsidR="001F244E" w:rsidRPr="00A55ACC" w:rsidRDefault="001F244E" w:rsidP="004E2424">
            <w:pPr>
              <w:pStyle w:val="Boxtable"/>
              <w:spacing w:before="0" w:after="0"/>
              <w:rPr>
                <w:rFonts w:ascii="Arial" w:hAnsi="Arial" w:cs="Arial"/>
                <w:noProof/>
                <w:sz w:val="20"/>
              </w:rPr>
            </w:pPr>
            <w:r w:rsidRPr="00A55ACC">
              <w:rPr>
                <w:rFonts w:ascii="Arial" w:hAnsi="Arial" w:cs="Arial"/>
                <w:noProof/>
                <w:sz w:val="20"/>
              </w:rPr>
              <w:t>Case studies on key activities / projects</w:t>
            </w:r>
          </w:p>
        </w:tc>
        <w:tc>
          <w:tcPr>
            <w:tcW w:w="4050" w:type="pct"/>
          </w:tcPr>
          <w:p w14:paraId="450B7147" w14:textId="77777777" w:rsidR="001F244E" w:rsidRPr="00A55ACC" w:rsidRDefault="001F244E" w:rsidP="004E2424">
            <w:pPr>
              <w:pStyle w:val="Boxtable"/>
              <w:spacing w:before="0" w:after="0"/>
              <w:jc w:val="both"/>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r w:rsidRPr="00A55ACC">
              <w:rPr>
                <w:rFonts w:ascii="Arial" w:hAnsi="Arial" w:cs="Arial"/>
                <w:noProof/>
                <w:sz w:val="20"/>
              </w:rPr>
              <w:t xml:space="preserve">We conducted six case studies to explore crucial aspects of eu-LISA's functioning. These included the following topics: </w:t>
            </w:r>
          </w:p>
          <w:p w14:paraId="630588FB" w14:textId="77777777" w:rsidR="001F244E" w:rsidRPr="00A55ACC" w:rsidRDefault="001F244E" w:rsidP="004E2424">
            <w:pPr>
              <w:pStyle w:val="2bullet"/>
              <w:spacing w:before="0" w:after="0"/>
              <w:cnfStyle w:val="000000100000" w:firstRow="0" w:lastRow="0" w:firstColumn="0" w:lastColumn="0" w:oddVBand="0" w:evenVBand="0" w:oddHBand="1" w:evenHBand="0" w:firstRowFirstColumn="0" w:firstRowLastColumn="0" w:lastRowFirstColumn="0" w:lastRowLastColumn="0"/>
              <w:rPr>
                <w:rFonts w:ascii="Arial" w:hAnsi="Arial" w:cs="Arial"/>
                <w:noProof/>
                <w:lang w:val="en-GB"/>
              </w:rPr>
            </w:pPr>
            <w:r w:rsidRPr="00A55ACC">
              <w:rPr>
                <w:rFonts w:ascii="Arial" w:hAnsi="Arial" w:cs="Arial"/>
                <w:noProof/>
                <w:lang w:val="en-GB"/>
              </w:rPr>
              <w:t>The flexibility of eu-LISA’s mandate;</w:t>
            </w:r>
          </w:p>
          <w:p w14:paraId="6664FD5E" w14:textId="77777777" w:rsidR="001F244E" w:rsidRPr="00A55ACC" w:rsidRDefault="001F244E" w:rsidP="004E2424">
            <w:pPr>
              <w:pStyle w:val="2bullet"/>
              <w:spacing w:before="0" w:after="0"/>
              <w:cnfStyle w:val="000000100000" w:firstRow="0" w:lastRow="0" w:firstColumn="0" w:lastColumn="0" w:oddVBand="0" w:evenVBand="0" w:oddHBand="1" w:evenHBand="0" w:firstRowFirstColumn="0" w:firstRowLastColumn="0" w:lastRowFirstColumn="0" w:lastRowLastColumn="0"/>
              <w:rPr>
                <w:rFonts w:ascii="Arial" w:hAnsi="Arial" w:cs="Arial"/>
                <w:noProof/>
                <w:lang w:val="en-GB"/>
              </w:rPr>
            </w:pPr>
            <w:r w:rsidRPr="00A55ACC">
              <w:rPr>
                <w:rFonts w:ascii="Arial" w:hAnsi="Arial" w:cs="Arial"/>
                <w:noProof/>
                <w:lang w:val="en-GB"/>
              </w:rPr>
              <w:t>Respect of the principle of the independence of the judiciary;</w:t>
            </w:r>
          </w:p>
          <w:p w14:paraId="4B58E679" w14:textId="77777777" w:rsidR="001F244E" w:rsidRPr="00A55ACC" w:rsidRDefault="001F244E" w:rsidP="004E2424">
            <w:pPr>
              <w:pStyle w:val="2bullet"/>
              <w:spacing w:before="0" w:after="0"/>
              <w:cnfStyle w:val="000000100000" w:firstRow="0" w:lastRow="0" w:firstColumn="0" w:lastColumn="0" w:oddVBand="0" w:evenVBand="0" w:oddHBand="1" w:evenHBand="0" w:firstRowFirstColumn="0" w:firstRowLastColumn="0" w:lastRowFirstColumn="0" w:lastRowLastColumn="0"/>
              <w:rPr>
                <w:rFonts w:ascii="Arial" w:hAnsi="Arial" w:cs="Arial"/>
                <w:noProof/>
                <w:lang w:val="en-GB"/>
              </w:rPr>
            </w:pPr>
            <w:r w:rsidRPr="00A55ACC">
              <w:rPr>
                <w:rFonts w:ascii="Arial" w:hAnsi="Arial" w:cs="Arial"/>
                <w:noProof/>
                <w:lang w:val="en-GB"/>
              </w:rPr>
              <w:t>Lessons learned from the go-live of the renewed SIS;</w:t>
            </w:r>
          </w:p>
          <w:p w14:paraId="2C8E9C4E" w14:textId="77777777" w:rsidR="001F244E" w:rsidRPr="00A55ACC" w:rsidRDefault="001F244E" w:rsidP="004E2424">
            <w:pPr>
              <w:pStyle w:val="2bullet"/>
              <w:spacing w:before="0" w:after="0"/>
              <w:cnfStyle w:val="000000100000" w:firstRow="0" w:lastRow="0" w:firstColumn="0" w:lastColumn="0" w:oddVBand="0" w:evenVBand="0" w:oddHBand="1" w:evenHBand="0" w:firstRowFirstColumn="0" w:firstRowLastColumn="0" w:lastRowFirstColumn="0" w:lastRowLastColumn="0"/>
              <w:rPr>
                <w:rFonts w:ascii="Arial" w:hAnsi="Arial" w:cs="Arial"/>
                <w:noProof/>
                <w:lang w:val="en-GB"/>
              </w:rPr>
            </w:pPr>
            <w:r w:rsidRPr="00A55ACC">
              <w:rPr>
                <w:rFonts w:ascii="Arial" w:hAnsi="Arial" w:cs="Arial"/>
                <w:noProof/>
                <w:lang w:val="en-GB"/>
              </w:rPr>
              <w:t>The efficiency of eu-LISA’s governance structure;</w:t>
            </w:r>
          </w:p>
          <w:p w14:paraId="760F28D6" w14:textId="77777777" w:rsidR="001F244E" w:rsidRPr="00A55ACC" w:rsidRDefault="001F244E" w:rsidP="004E2424">
            <w:pPr>
              <w:pStyle w:val="2bullet"/>
              <w:spacing w:before="0" w:after="0"/>
              <w:cnfStyle w:val="000000100000" w:firstRow="0" w:lastRow="0" w:firstColumn="0" w:lastColumn="0" w:oddVBand="0" w:evenVBand="0" w:oddHBand="1" w:evenHBand="0" w:firstRowFirstColumn="0" w:firstRowLastColumn="0" w:lastRowFirstColumn="0" w:lastRowLastColumn="0"/>
              <w:rPr>
                <w:rFonts w:ascii="Arial" w:hAnsi="Arial" w:cs="Arial"/>
                <w:noProof/>
                <w:lang w:val="en-GB"/>
              </w:rPr>
            </w:pPr>
            <w:r w:rsidRPr="00A55ACC">
              <w:rPr>
                <w:rFonts w:ascii="Arial" w:hAnsi="Arial" w:cs="Arial"/>
                <w:noProof/>
                <w:lang w:val="en-GB"/>
              </w:rPr>
              <w:t xml:space="preserve">The introduction of squads; and </w:t>
            </w:r>
          </w:p>
          <w:p w14:paraId="3E9E850A" w14:textId="77777777" w:rsidR="001F244E" w:rsidRPr="00A55ACC" w:rsidRDefault="001F244E" w:rsidP="004E2424">
            <w:pPr>
              <w:pStyle w:val="2bullet"/>
              <w:spacing w:before="0" w:after="0"/>
              <w:cnfStyle w:val="000000100000" w:firstRow="0" w:lastRow="0" w:firstColumn="0" w:lastColumn="0" w:oddVBand="0" w:evenVBand="0" w:oddHBand="1" w:evenHBand="0" w:firstRowFirstColumn="0" w:firstRowLastColumn="0" w:lastRowFirstColumn="0" w:lastRowLastColumn="0"/>
              <w:rPr>
                <w:rFonts w:ascii="Arial" w:hAnsi="Arial" w:cs="Arial"/>
                <w:noProof/>
                <w:lang w:val="en-GB"/>
              </w:rPr>
            </w:pPr>
            <w:r w:rsidRPr="00A55ACC">
              <w:rPr>
                <w:rFonts w:ascii="Arial" w:hAnsi="Arial" w:cs="Arial"/>
                <w:noProof/>
                <w:lang w:val="en-GB"/>
              </w:rPr>
              <w:t xml:space="preserve">The impact of age structure and organisation membership on the functioning of the Agency. </w:t>
            </w:r>
          </w:p>
          <w:p w14:paraId="6262AEAB" w14:textId="77777777" w:rsidR="001F244E" w:rsidRPr="00A55ACC" w:rsidRDefault="001F244E" w:rsidP="004E2424">
            <w:pPr>
              <w:pStyle w:val="Normal0"/>
              <w:spacing w:after="0"/>
              <w:cnfStyle w:val="000000100000" w:firstRow="0" w:lastRow="0" w:firstColumn="0" w:lastColumn="0" w:oddVBand="0" w:evenVBand="0" w:oddHBand="1" w:evenHBand="0" w:firstRowFirstColumn="0" w:firstRowLastColumn="0" w:lastRowFirstColumn="0" w:lastRowLastColumn="0"/>
              <w:rPr>
                <w:rFonts w:ascii="Arial" w:hAnsi="Arial" w:cs="Arial"/>
                <w:noProof/>
                <w:szCs w:val="20"/>
                <w:lang w:val="en-GB"/>
              </w:rPr>
            </w:pPr>
            <w:r w:rsidRPr="00A55ACC">
              <w:rPr>
                <w:rFonts w:ascii="Arial" w:hAnsi="Arial" w:cs="Arial"/>
                <w:noProof/>
                <w:szCs w:val="20"/>
                <w:lang w:val="en-GB"/>
              </w:rPr>
              <w:t>The case studies served to strengthen and underline insights from prior consultations and involved additional interviews (depending on the case) and an in-depth analysis of existing data and desk research. The case studies were scheduled for the conclusion of Task 2, integrating insights from earlier consultation activities.</w:t>
            </w:r>
          </w:p>
        </w:tc>
      </w:tr>
      <w:tr w:rsidR="001F244E" w:rsidRPr="00A55ACC" w14:paraId="3DB5A365" w14:textId="77777777" w:rsidTr="00FE1F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19D5E4C2" w14:textId="77777777" w:rsidR="001F244E" w:rsidRPr="00A55ACC" w:rsidRDefault="001F244E" w:rsidP="004E2424">
            <w:pPr>
              <w:pStyle w:val="Boxtable"/>
              <w:spacing w:before="0" w:after="0"/>
              <w:jc w:val="both"/>
              <w:rPr>
                <w:rFonts w:ascii="Arial" w:hAnsi="Arial" w:cs="Arial"/>
                <w:noProof/>
                <w:sz w:val="20"/>
              </w:rPr>
            </w:pPr>
            <w:r w:rsidRPr="00A55ACC">
              <w:rPr>
                <w:rFonts w:ascii="Arial" w:hAnsi="Arial" w:cs="Arial"/>
                <w:b/>
                <w:noProof/>
                <w:sz w:val="20"/>
              </w:rPr>
              <w:t xml:space="preserve">Task 3 – Analysis </w:t>
            </w:r>
          </w:p>
        </w:tc>
      </w:tr>
      <w:tr w:rsidR="00F00390" w:rsidRPr="002048C6" w14:paraId="5EAB56FD" w14:textId="77777777" w:rsidTr="00FE1F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pct"/>
          </w:tcPr>
          <w:p w14:paraId="7C4A2704" w14:textId="77777777" w:rsidR="001F244E" w:rsidRPr="00A55ACC" w:rsidRDefault="001F244E" w:rsidP="004E2424">
            <w:pPr>
              <w:pStyle w:val="Boxtable"/>
              <w:spacing w:before="0" w:after="0"/>
              <w:rPr>
                <w:rFonts w:ascii="Arial" w:hAnsi="Arial" w:cs="Arial"/>
                <w:noProof/>
                <w:sz w:val="20"/>
              </w:rPr>
            </w:pPr>
            <w:r w:rsidRPr="00A55ACC">
              <w:rPr>
                <w:rFonts w:ascii="Arial" w:hAnsi="Arial" w:cs="Arial"/>
                <w:noProof/>
                <w:sz w:val="20"/>
              </w:rPr>
              <w:t>Design thinking workshop</w:t>
            </w:r>
          </w:p>
        </w:tc>
        <w:tc>
          <w:tcPr>
            <w:tcW w:w="4050" w:type="pct"/>
          </w:tcPr>
          <w:p w14:paraId="43C7AFAD" w14:textId="77777777" w:rsidR="001F244E" w:rsidRPr="00A55ACC" w:rsidRDefault="001F244E" w:rsidP="004E2424">
            <w:pPr>
              <w:pStyle w:val="Boxtable"/>
              <w:spacing w:before="0" w:after="0"/>
              <w:jc w:val="both"/>
              <w:cnfStyle w:val="000000100000" w:firstRow="0" w:lastRow="0" w:firstColumn="0" w:lastColumn="0" w:oddVBand="0" w:evenVBand="0" w:oddHBand="1" w:evenHBand="0" w:firstRowFirstColumn="0" w:firstRowLastColumn="0" w:lastRowFirstColumn="0" w:lastRowLastColumn="0"/>
              <w:rPr>
                <w:rFonts w:ascii="Arial" w:hAnsi="Arial" w:cs="Arial"/>
                <w:noProof/>
                <w:sz w:val="20"/>
              </w:rPr>
            </w:pPr>
            <w:r w:rsidRPr="00A55ACC">
              <w:rPr>
                <w:rFonts w:ascii="Arial" w:hAnsi="Arial" w:cs="Arial"/>
                <w:noProof/>
                <w:sz w:val="20"/>
              </w:rPr>
              <w:t xml:space="preserve">The design thinking workshop will be conducted in unison with the interservice steering group meeting on 6 May 2024. </w:t>
            </w:r>
          </w:p>
        </w:tc>
      </w:tr>
      <w:tr w:rsidR="00F00390" w:rsidRPr="002048C6" w14:paraId="42EC34D0" w14:textId="77777777" w:rsidTr="00FE1F1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0" w:type="pct"/>
          </w:tcPr>
          <w:p w14:paraId="6E350B43" w14:textId="77777777" w:rsidR="001F244E" w:rsidRPr="00A55ACC" w:rsidRDefault="001F244E" w:rsidP="004E2424">
            <w:pPr>
              <w:pStyle w:val="Boxtable"/>
              <w:spacing w:before="0" w:after="0"/>
              <w:rPr>
                <w:rFonts w:ascii="Arial" w:hAnsi="Arial" w:cs="Arial"/>
                <w:noProof/>
                <w:sz w:val="20"/>
              </w:rPr>
            </w:pPr>
            <w:r w:rsidRPr="00A55ACC">
              <w:rPr>
                <w:rFonts w:ascii="Arial" w:hAnsi="Arial" w:cs="Arial"/>
                <w:noProof/>
                <w:sz w:val="20"/>
              </w:rPr>
              <w:t>Presentation of the final report</w:t>
            </w:r>
          </w:p>
        </w:tc>
        <w:tc>
          <w:tcPr>
            <w:tcW w:w="4050" w:type="pct"/>
          </w:tcPr>
          <w:p w14:paraId="03FE0400" w14:textId="77777777" w:rsidR="001F244E" w:rsidRPr="00A55ACC" w:rsidRDefault="001F244E" w:rsidP="004E2424">
            <w:pPr>
              <w:pStyle w:val="Boxtable"/>
              <w:spacing w:before="0" w:after="0"/>
              <w:jc w:val="both"/>
              <w:cnfStyle w:val="000000010000" w:firstRow="0" w:lastRow="0" w:firstColumn="0" w:lastColumn="0" w:oddVBand="0" w:evenVBand="0" w:oddHBand="0" w:evenHBand="1" w:firstRowFirstColumn="0" w:firstRowLastColumn="0" w:lastRowFirstColumn="0" w:lastRowLastColumn="0"/>
              <w:rPr>
                <w:rFonts w:ascii="Arial" w:hAnsi="Arial" w:cs="Arial"/>
                <w:noProof/>
                <w:sz w:val="20"/>
              </w:rPr>
            </w:pPr>
            <w:r w:rsidRPr="00A55ACC">
              <w:rPr>
                <w:rFonts w:ascii="Arial" w:hAnsi="Arial" w:cs="Arial"/>
                <w:noProof/>
                <w:sz w:val="20"/>
              </w:rPr>
              <w:t>On 11 June, we will hold a presentation of the final report to the Commission as well as the Management Board of eu-LISA to inform about the main conclusions and recommendations of the evaluation and provide them the possibility to ask questions concerning the evaluation.</w:t>
            </w:r>
          </w:p>
        </w:tc>
      </w:tr>
    </w:tbl>
    <w:p w14:paraId="44DF72B5" w14:textId="77777777" w:rsidR="008B366F" w:rsidRPr="004E2424" w:rsidRDefault="008B366F" w:rsidP="004E2424">
      <w:pPr>
        <w:spacing w:after="0" w:line="259" w:lineRule="auto"/>
        <w:rPr>
          <w:rFonts w:ascii="Times New Roman" w:hAnsi="Times New Roman"/>
          <w:noProof/>
          <w:sz w:val="24"/>
          <w:szCs w:val="24"/>
          <w:lang w:val="en-IE"/>
        </w:rPr>
      </w:pPr>
    </w:p>
    <w:p w14:paraId="3D603E34" w14:textId="77777777" w:rsidR="001F244E" w:rsidRPr="004E2424" w:rsidRDefault="001F244E" w:rsidP="004E2424">
      <w:pPr>
        <w:spacing w:after="0" w:line="259" w:lineRule="auto"/>
        <w:rPr>
          <w:rFonts w:ascii="Times New Roman" w:hAnsi="Times New Roman" w:cs="Times New Roman"/>
          <w:i/>
          <w:noProof/>
          <w:u w:val="single"/>
          <w:lang w:val="en-IE"/>
        </w:rPr>
      </w:pPr>
      <w:bookmarkStart w:id="61" w:name="_Toc159930781"/>
      <w:bookmarkStart w:id="62" w:name="_Toc164075793"/>
      <w:bookmarkStart w:id="63" w:name="_Toc164372839"/>
      <w:bookmarkStart w:id="64" w:name="_Toc164376048"/>
      <w:bookmarkStart w:id="65" w:name="_Toc164547386"/>
      <w:bookmarkStart w:id="66" w:name="_Toc164680879"/>
      <w:bookmarkStart w:id="67" w:name="_Toc164682610"/>
      <w:bookmarkStart w:id="68" w:name="_Toc167205603"/>
      <w:bookmarkStart w:id="69" w:name="_Toc167208502"/>
      <w:r w:rsidRPr="004E2424">
        <w:rPr>
          <w:rFonts w:ascii="Times New Roman" w:hAnsi="Times New Roman" w:cs="Times New Roman"/>
          <w:i/>
          <w:iCs/>
          <w:noProof/>
          <w:sz w:val="24"/>
          <w:szCs w:val="24"/>
          <w:u w:val="single"/>
          <w:lang w:val="en-IE"/>
        </w:rPr>
        <w:t>Quality of information and data collected</w:t>
      </w:r>
      <w:bookmarkEnd w:id="61"/>
      <w:bookmarkEnd w:id="62"/>
      <w:bookmarkEnd w:id="63"/>
      <w:bookmarkEnd w:id="64"/>
      <w:bookmarkEnd w:id="65"/>
      <w:bookmarkEnd w:id="66"/>
      <w:bookmarkEnd w:id="67"/>
      <w:bookmarkEnd w:id="68"/>
      <w:bookmarkEnd w:id="69"/>
    </w:p>
    <w:p w14:paraId="303F1527" w14:textId="0AB18807" w:rsidR="001F244E" w:rsidRPr="00855E06" w:rsidRDefault="008B366F" w:rsidP="004E2424">
      <w:pPr>
        <w:spacing w:after="0" w:line="259" w:lineRule="auto"/>
        <w:rPr>
          <w:rFonts w:ascii="Times New Roman" w:hAnsi="Times New Roman" w:cs="Times New Roman"/>
          <w:noProof/>
          <w:sz w:val="24"/>
          <w:szCs w:val="24"/>
          <w:lang w:val="en-IE"/>
        </w:rPr>
      </w:pPr>
      <w:r>
        <w:rPr>
          <w:rFonts w:ascii="Times New Roman" w:hAnsi="Times New Roman" w:cs="Times New Roman"/>
          <w:noProof/>
          <w:sz w:val="24"/>
          <w:szCs w:val="24"/>
          <w:lang w:val="en-IE"/>
        </w:rPr>
        <w:t>T</w:t>
      </w:r>
      <w:r w:rsidR="001F244E" w:rsidRPr="00855E06">
        <w:rPr>
          <w:rFonts w:ascii="Times New Roman" w:hAnsi="Times New Roman" w:cs="Times New Roman"/>
          <w:noProof/>
          <w:sz w:val="24"/>
          <w:szCs w:val="24"/>
          <w:lang w:val="en-IE"/>
        </w:rPr>
        <w:t xml:space="preserve">he data collected for the completion of this </w:t>
      </w:r>
      <w:r>
        <w:rPr>
          <w:rFonts w:ascii="Times New Roman" w:hAnsi="Times New Roman" w:cs="Times New Roman"/>
          <w:noProof/>
          <w:sz w:val="24"/>
          <w:szCs w:val="24"/>
          <w:lang w:val="en-IE"/>
        </w:rPr>
        <w:t>evaluation</w:t>
      </w:r>
      <w:r w:rsidRPr="00855E06">
        <w:rPr>
          <w:rFonts w:ascii="Times New Roman" w:hAnsi="Times New Roman" w:cs="Times New Roman"/>
          <w:noProof/>
          <w:sz w:val="24"/>
          <w:szCs w:val="24"/>
          <w:lang w:val="en-IE"/>
        </w:rPr>
        <w:t xml:space="preserve"> </w:t>
      </w:r>
      <w:r w:rsidR="001F244E" w:rsidRPr="00855E06">
        <w:rPr>
          <w:rFonts w:ascii="Times New Roman" w:hAnsi="Times New Roman" w:cs="Times New Roman"/>
          <w:noProof/>
          <w:sz w:val="24"/>
          <w:szCs w:val="24"/>
          <w:lang w:val="en-IE"/>
        </w:rPr>
        <w:t>included:</w:t>
      </w:r>
    </w:p>
    <w:p w14:paraId="7F1B3ED9" w14:textId="77777777" w:rsidR="001F244E" w:rsidRPr="00855E06" w:rsidRDefault="001F244E" w:rsidP="004E2424">
      <w:pPr>
        <w:pStyle w:val="Bullet"/>
        <w:numPr>
          <w:ilvl w:val="0"/>
          <w:numId w:val="6"/>
        </w:numPr>
        <w:spacing w:before="0" w:after="0"/>
        <w:jc w:val="both"/>
        <w:rPr>
          <w:rFonts w:ascii="Times New Roman" w:hAnsi="Times New Roman" w:cs="Times New Roman"/>
          <w:noProof/>
          <w:sz w:val="24"/>
          <w:szCs w:val="24"/>
          <w:lang w:val="en-GB"/>
        </w:rPr>
      </w:pPr>
      <w:r w:rsidRPr="00855E06">
        <w:rPr>
          <w:rFonts w:ascii="Times New Roman" w:hAnsi="Times New Roman" w:cs="Times New Roman"/>
          <w:noProof/>
          <w:sz w:val="24"/>
          <w:szCs w:val="24"/>
          <w:lang w:val="en-GB"/>
        </w:rPr>
        <w:t>Documents analysed as part of desk research;</w:t>
      </w:r>
    </w:p>
    <w:p w14:paraId="53470830" w14:textId="57BC3727" w:rsidR="001F244E" w:rsidRPr="00855E06" w:rsidRDefault="001F244E" w:rsidP="004E2424">
      <w:pPr>
        <w:pStyle w:val="Bullet"/>
        <w:numPr>
          <w:ilvl w:val="0"/>
          <w:numId w:val="6"/>
        </w:numPr>
        <w:spacing w:before="0" w:after="0"/>
        <w:jc w:val="both"/>
        <w:rPr>
          <w:rFonts w:ascii="Times New Roman" w:hAnsi="Times New Roman" w:cs="Times New Roman"/>
          <w:noProof/>
          <w:sz w:val="24"/>
          <w:szCs w:val="24"/>
          <w:lang w:val="en-GB"/>
        </w:rPr>
      </w:pPr>
      <w:r w:rsidRPr="00855E06">
        <w:rPr>
          <w:rFonts w:ascii="Times New Roman" w:hAnsi="Times New Roman" w:cs="Times New Roman"/>
          <w:noProof/>
          <w:sz w:val="24"/>
          <w:szCs w:val="24"/>
          <w:lang w:val="en-GB"/>
        </w:rPr>
        <w:t xml:space="preserve">Exploratory interviews with the </w:t>
      </w:r>
      <w:r w:rsidR="007C5685">
        <w:rPr>
          <w:rFonts w:ascii="Times New Roman" w:hAnsi="Times New Roman" w:cs="Times New Roman"/>
          <w:noProof/>
          <w:sz w:val="24"/>
          <w:szCs w:val="24"/>
          <w:lang w:val="en-GB"/>
        </w:rPr>
        <w:t>European</w:t>
      </w:r>
      <w:r w:rsidR="007C5685" w:rsidRPr="00855E06">
        <w:rPr>
          <w:rFonts w:ascii="Times New Roman" w:hAnsi="Times New Roman" w:cs="Times New Roman"/>
          <w:noProof/>
          <w:sz w:val="24"/>
          <w:szCs w:val="24"/>
          <w:lang w:val="en-GB"/>
        </w:rPr>
        <w:t xml:space="preserve"> </w:t>
      </w:r>
      <w:r w:rsidRPr="00855E06">
        <w:rPr>
          <w:rFonts w:ascii="Times New Roman" w:hAnsi="Times New Roman" w:cs="Times New Roman"/>
          <w:noProof/>
          <w:sz w:val="24"/>
          <w:szCs w:val="24"/>
          <w:lang w:val="en-GB"/>
        </w:rPr>
        <w:t>Commission;</w:t>
      </w:r>
    </w:p>
    <w:p w14:paraId="6711EEEE" w14:textId="77777777" w:rsidR="001F244E" w:rsidRPr="00855E06" w:rsidRDefault="001F244E" w:rsidP="004E2424">
      <w:pPr>
        <w:pStyle w:val="Bullet"/>
        <w:numPr>
          <w:ilvl w:val="0"/>
          <w:numId w:val="6"/>
        </w:numPr>
        <w:spacing w:before="0" w:after="0"/>
        <w:jc w:val="both"/>
        <w:rPr>
          <w:rFonts w:ascii="Times New Roman" w:hAnsi="Times New Roman" w:cs="Times New Roman"/>
          <w:noProof/>
          <w:sz w:val="24"/>
          <w:szCs w:val="24"/>
          <w:lang w:val="en-GB"/>
        </w:rPr>
      </w:pPr>
      <w:r w:rsidRPr="00855E06">
        <w:rPr>
          <w:rFonts w:ascii="Times New Roman" w:hAnsi="Times New Roman" w:cs="Times New Roman"/>
          <w:noProof/>
          <w:sz w:val="24"/>
          <w:szCs w:val="24"/>
          <w:lang w:val="en-GB"/>
        </w:rPr>
        <w:t>(Group) interviews with eu-LISA management, staff and governance bodies, some conducted during the visits to Tallinn and Strasbourg that also included tours of the premises;</w:t>
      </w:r>
    </w:p>
    <w:p w14:paraId="360803F7" w14:textId="77777777" w:rsidR="001F244E" w:rsidRPr="00855E06" w:rsidRDefault="001F244E" w:rsidP="004E2424">
      <w:pPr>
        <w:pStyle w:val="Bullet"/>
        <w:numPr>
          <w:ilvl w:val="0"/>
          <w:numId w:val="6"/>
        </w:numPr>
        <w:spacing w:before="0" w:after="0"/>
        <w:jc w:val="both"/>
        <w:rPr>
          <w:rFonts w:ascii="Times New Roman" w:hAnsi="Times New Roman" w:cs="Times New Roman"/>
          <w:noProof/>
          <w:sz w:val="24"/>
          <w:szCs w:val="24"/>
          <w:lang w:val="en-GB"/>
        </w:rPr>
      </w:pPr>
      <w:r w:rsidRPr="00855E06">
        <w:rPr>
          <w:rFonts w:ascii="Times New Roman" w:hAnsi="Times New Roman" w:cs="Times New Roman"/>
          <w:noProof/>
          <w:sz w:val="24"/>
          <w:szCs w:val="24"/>
          <w:lang w:val="en-GB"/>
        </w:rPr>
        <w:t>Interviews and focus groups with private sector actors;</w:t>
      </w:r>
    </w:p>
    <w:p w14:paraId="6C8CFCF6" w14:textId="77777777" w:rsidR="001F244E" w:rsidRPr="00855E06" w:rsidRDefault="001F244E" w:rsidP="004E2424">
      <w:pPr>
        <w:pStyle w:val="Bullet"/>
        <w:numPr>
          <w:ilvl w:val="0"/>
          <w:numId w:val="6"/>
        </w:numPr>
        <w:spacing w:before="0" w:after="0"/>
        <w:jc w:val="both"/>
        <w:rPr>
          <w:rFonts w:ascii="Times New Roman" w:eastAsia="Times New Roman" w:hAnsi="Times New Roman" w:cs="Times New Roman"/>
          <w:noProof/>
          <w:kern w:val="0"/>
          <w:sz w:val="24"/>
          <w:szCs w:val="24"/>
          <w:lang w:val="en-GB" w:eastAsia="nl-BE"/>
        </w:rPr>
      </w:pPr>
      <w:r w:rsidRPr="00855E06">
        <w:rPr>
          <w:rFonts w:ascii="Times New Roman" w:hAnsi="Times New Roman" w:cs="Times New Roman"/>
          <w:noProof/>
          <w:sz w:val="24"/>
          <w:szCs w:val="24"/>
          <w:lang w:val="en-GB"/>
        </w:rPr>
        <w:t>Three targeted written</w:t>
      </w:r>
      <w:r w:rsidRPr="00855E06">
        <w:rPr>
          <w:rFonts w:ascii="Times New Roman" w:eastAsia="Times New Roman" w:hAnsi="Times New Roman" w:cs="Times New Roman"/>
          <w:noProof/>
          <w:kern w:val="0"/>
          <w:sz w:val="24"/>
          <w:szCs w:val="24"/>
          <w:lang w:val="en-GB" w:eastAsia="nl-BE"/>
        </w:rPr>
        <w:t xml:space="preserve"> surveys for Member States representatives, users of the IT systems and data protection authorities; and</w:t>
      </w:r>
    </w:p>
    <w:p w14:paraId="77D14839" w14:textId="77777777" w:rsidR="001F244E" w:rsidRPr="00855E06" w:rsidRDefault="001F244E" w:rsidP="004E2424">
      <w:pPr>
        <w:pStyle w:val="Bullet"/>
        <w:numPr>
          <w:ilvl w:val="0"/>
          <w:numId w:val="6"/>
        </w:numPr>
        <w:spacing w:before="0" w:after="0"/>
        <w:jc w:val="both"/>
        <w:rPr>
          <w:rFonts w:ascii="Times New Roman" w:eastAsia="Times New Roman" w:hAnsi="Times New Roman" w:cs="Times New Roman"/>
          <w:noProof/>
          <w:kern w:val="0"/>
          <w:sz w:val="24"/>
          <w:szCs w:val="24"/>
          <w:lang w:val="en-GB" w:eastAsia="nl-BE"/>
        </w:rPr>
      </w:pPr>
      <w:r w:rsidRPr="00855E06">
        <w:rPr>
          <w:rFonts w:ascii="Times New Roman" w:hAnsi="Times New Roman" w:cs="Times New Roman"/>
          <w:noProof/>
          <w:sz w:val="24"/>
          <w:szCs w:val="24"/>
          <w:lang w:val="en-GB"/>
        </w:rPr>
        <w:t>Six SWOT Workshops with national experts of individual systems and interoperability.</w:t>
      </w:r>
    </w:p>
    <w:p w14:paraId="4AEED91A" w14:textId="77777777" w:rsidR="007C5685" w:rsidRDefault="007C5685" w:rsidP="00855E06">
      <w:pPr>
        <w:pStyle w:val="BodyText"/>
        <w:spacing w:after="0"/>
        <w:rPr>
          <w:rFonts w:ascii="Times New Roman" w:hAnsi="Times New Roman" w:cs="Times New Roman"/>
          <w:noProof/>
          <w:sz w:val="24"/>
          <w:szCs w:val="24"/>
        </w:rPr>
      </w:pPr>
    </w:p>
    <w:p w14:paraId="32CCB169" w14:textId="64A8021E" w:rsidR="001F244E" w:rsidRDefault="001F244E" w:rsidP="00855E06">
      <w:pPr>
        <w:pStyle w:val="BodyText"/>
        <w:spacing w:after="0"/>
        <w:rPr>
          <w:rFonts w:ascii="Times New Roman" w:hAnsi="Times New Roman" w:cs="Times New Roman"/>
          <w:noProof/>
          <w:sz w:val="24"/>
          <w:szCs w:val="24"/>
        </w:rPr>
      </w:pPr>
      <w:r w:rsidRPr="00855E06">
        <w:rPr>
          <w:rFonts w:ascii="Times New Roman" w:hAnsi="Times New Roman" w:cs="Times New Roman"/>
          <w:noProof/>
          <w:sz w:val="24"/>
          <w:szCs w:val="24"/>
        </w:rPr>
        <w:t xml:space="preserve">Concerning the </w:t>
      </w:r>
      <w:r w:rsidRPr="00855E06">
        <w:rPr>
          <w:rFonts w:ascii="Times New Roman" w:hAnsi="Times New Roman" w:cs="Times New Roman"/>
          <w:b/>
          <w:noProof/>
          <w:sz w:val="24"/>
          <w:szCs w:val="24"/>
        </w:rPr>
        <w:t>document review</w:t>
      </w:r>
      <w:r w:rsidRPr="00855E06">
        <w:rPr>
          <w:rFonts w:ascii="Times New Roman" w:hAnsi="Times New Roman" w:cs="Times New Roman"/>
          <w:noProof/>
          <w:sz w:val="24"/>
          <w:szCs w:val="24"/>
        </w:rPr>
        <w:t>, around 140 documents</w:t>
      </w:r>
      <w:r w:rsidR="007C5685">
        <w:rPr>
          <w:rFonts w:ascii="Times New Roman" w:hAnsi="Times New Roman" w:cs="Times New Roman"/>
          <w:noProof/>
          <w:sz w:val="24"/>
          <w:szCs w:val="24"/>
        </w:rPr>
        <w:t xml:space="preserve"> were analysed</w:t>
      </w:r>
      <w:r w:rsidR="00F47AEE">
        <w:rPr>
          <w:rFonts w:ascii="Times New Roman" w:hAnsi="Times New Roman" w:cs="Times New Roman"/>
          <w:noProof/>
          <w:sz w:val="24"/>
          <w:szCs w:val="24"/>
        </w:rPr>
        <w:t xml:space="preserve"> (public and not public)</w:t>
      </w:r>
      <w:r w:rsidRPr="00855E06">
        <w:rPr>
          <w:rFonts w:ascii="Times New Roman" w:hAnsi="Times New Roman" w:cs="Times New Roman"/>
          <w:noProof/>
          <w:sz w:val="24"/>
          <w:szCs w:val="24"/>
        </w:rPr>
        <w:t xml:space="preserve">. These documents include legal provisions applicable to eu-LISA and those regulating other EU large-scale IT systems, technical documentation, system reports, documents related to projects and studies, strategic documents, governance-, or human resources related information, among others. The quality of these documents was satisfying and met our expectations, contributing to a sound basis for the evaluation relating to all three dimensions covered. Nevertheless, the information was not fully complete. In particular, the Study Team did not receive documentation regarding information requested. For around 10 (types of) documents, including, among others, statistics on data protection, exit-survey outcomes with former staff, training evaluation forms, statistics on job advertisements (e.g. numbers of application, number of rejections, etc.), documentation on the volume of outsourcing, the Study Team had not had access. A list of documents received from eu-LISA is presented in the Annex (section </w:t>
      </w:r>
      <w:r w:rsidRPr="00855E06">
        <w:rPr>
          <w:rFonts w:ascii="Times New Roman" w:hAnsi="Times New Roman" w:cs="Times New Roman"/>
          <w:noProof/>
          <w:sz w:val="24"/>
          <w:szCs w:val="24"/>
        </w:rPr>
        <w:fldChar w:fldCharType="begin"/>
      </w:r>
      <w:r w:rsidRPr="00855E06">
        <w:rPr>
          <w:rFonts w:ascii="Times New Roman" w:hAnsi="Times New Roman" w:cs="Times New Roman"/>
          <w:noProof/>
          <w:sz w:val="24"/>
          <w:szCs w:val="24"/>
        </w:rPr>
        <w:instrText xml:space="preserve"> REF _Ref164376306 \r \h  \* MERGEFORMAT </w:instrText>
      </w:r>
      <w:r w:rsidRPr="00855E06">
        <w:rPr>
          <w:rFonts w:ascii="Times New Roman" w:hAnsi="Times New Roman" w:cs="Times New Roman"/>
          <w:noProof/>
          <w:sz w:val="24"/>
          <w:szCs w:val="24"/>
        </w:rPr>
      </w:r>
      <w:r w:rsidRPr="00855E06">
        <w:rPr>
          <w:rFonts w:ascii="Times New Roman" w:hAnsi="Times New Roman" w:cs="Times New Roman"/>
          <w:noProof/>
          <w:sz w:val="24"/>
          <w:szCs w:val="24"/>
        </w:rPr>
        <w:fldChar w:fldCharType="separate"/>
      </w:r>
      <w:r w:rsidR="004E2424">
        <w:rPr>
          <w:rFonts w:ascii="Times New Roman" w:hAnsi="Times New Roman" w:cs="Times New Roman"/>
          <w:b/>
          <w:bCs/>
          <w:noProof/>
          <w:sz w:val="24"/>
          <w:szCs w:val="24"/>
          <w:lang w:val="en-US"/>
        </w:rPr>
        <w:t>Error! Reference source not found.</w:t>
      </w:r>
      <w:r w:rsidRPr="00855E06">
        <w:rPr>
          <w:rFonts w:ascii="Times New Roman" w:hAnsi="Times New Roman" w:cs="Times New Roman"/>
          <w:noProof/>
          <w:sz w:val="24"/>
          <w:szCs w:val="24"/>
        </w:rPr>
        <w:fldChar w:fldCharType="end"/>
      </w:r>
      <w:r w:rsidRPr="00855E06">
        <w:rPr>
          <w:rFonts w:ascii="Times New Roman" w:hAnsi="Times New Roman" w:cs="Times New Roman"/>
          <w:noProof/>
          <w:sz w:val="24"/>
          <w:szCs w:val="24"/>
        </w:rPr>
        <w:t>).</w:t>
      </w:r>
    </w:p>
    <w:p w14:paraId="632260FA" w14:textId="77777777" w:rsidR="00F47AEE" w:rsidRPr="00855E06" w:rsidRDefault="00F47AEE" w:rsidP="004E2424">
      <w:pPr>
        <w:pStyle w:val="BodyText"/>
        <w:spacing w:after="0"/>
        <w:rPr>
          <w:rFonts w:ascii="Times New Roman" w:hAnsi="Times New Roman" w:cs="Times New Roman"/>
          <w:noProof/>
          <w:sz w:val="24"/>
          <w:szCs w:val="24"/>
        </w:rPr>
      </w:pPr>
    </w:p>
    <w:p w14:paraId="71BEE8FA" w14:textId="5E7434A8" w:rsidR="001F244E" w:rsidRPr="00855E06" w:rsidRDefault="001F244E" w:rsidP="004E2424">
      <w:pPr>
        <w:pStyle w:val="BodyText"/>
        <w:spacing w:after="0"/>
        <w:rPr>
          <w:rFonts w:ascii="Times New Roman" w:hAnsi="Times New Roman" w:cs="Times New Roman"/>
          <w:noProof/>
          <w:sz w:val="24"/>
          <w:szCs w:val="24"/>
        </w:rPr>
      </w:pPr>
      <w:r w:rsidRPr="00855E06">
        <w:rPr>
          <w:rFonts w:ascii="Times New Roman" w:hAnsi="Times New Roman" w:cs="Times New Roman"/>
          <w:noProof/>
          <w:sz w:val="24"/>
          <w:szCs w:val="24"/>
        </w:rPr>
        <w:t xml:space="preserve">The </w:t>
      </w:r>
      <w:r w:rsidRPr="00855E06">
        <w:rPr>
          <w:rFonts w:ascii="Times New Roman" w:hAnsi="Times New Roman" w:cs="Times New Roman"/>
          <w:b/>
          <w:bCs/>
          <w:noProof/>
          <w:sz w:val="24"/>
          <w:szCs w:val="24"/>
        </w:rPr>
        <w:t>interviews</w:t>
      </w:r>
      <w:r w:rsidRPr="00855E06">
        <w:rPr>
          <w:rFonts w:ascii="Times New Roman" w:hAnsi="Times New Roman" w:cs="Times New Roman"/>
          <w:noProof/>
          <w:sz w:val="24"/>
          <w:szCs w:val="24"/>
        </w:rPr>
        <w:t xml:space="preserve"> conducted have provided insights from various perspectives. Overall, the vast majority of interviewees were very responsive in the scheduling of the interviews and were forthcoming with providing helpful and constructive information, openly sharing their experiences and opinions. Several persons indeed highlighted the importance of the evaluation from their perspective. As concerns the interviewees with eu-LISA, some of them tended to focus on their personal challenges and making suggestions for future improvements. While this is highly relevant, efforts have been put in ensuring that the interviews were balanced in (1) covering not only challenges, but also strengths relating to the current performance of eu-LISA; and (2) focusing on the past five years (retrospective view).</w:t>
      </w:r>
    </w:p>
    <w:p w14:paraId="43FCA4DF" w14:textId="77777777" w:rsidR="001F244E" w:rsidRPr="00855E06" w:rsidRDefault="001F244E" w:rsidP="004E2424">
      <w:pPr>
        <w:pStyle w:val="BodyText"/>
        <w:spacing w:after="0"/>
        <w:rPr>
          <w:rFonts w:ascii="Times New Roman" w:hAnsi="Times New Roman" w:cs="Times New Roman"/>
          <w:noProof/>
          <w:sz w:val="24"/>
          <w:szCs w:val="24"/>
        </w:rPr>
      </w:pPr>
      <w:r w:rsidRPr="00855E06">
        <w:rPr>
          <w:rFonts w:ascii="Times New Roman" w:hAnsi="Times New Roman" w:cs="Times New Roman"/>
          <w:noProof/>
          <w:sz w:val="24"/>
          <w:szCs w:val="24"/>
        </w:rPr>
        <w:t xml:space="preserve">With the completion of this tasks, we conducted </w:t>
      </w:r>
      <w:r w:rsidRPr="00855E06">
        <w:rPr>
          <w:rFonts w:ascii="Times New Roman" w:hAnsi="Times New Roman" w:cs="Times New Roman"/>
          <w:b/>
          <w:bCs/>
          <w:noProof/>
          <w:sz w:val="24"/>
          <w:szCs w:val="24"/>
        </w:rPr>
        <w:t>interviews with 106 different stakeholders</w:t>
      </w:r>
      <w:r w:rsidRPr="00855E06">
        <w:rPr>
          <w:rFonts w:ascii="Times New Roman" w:hAnsi="Times New Roman" w:cs="Times New Roman"/>
          <w:noProof/>
          <w:sz w:val="24"/>
          <w:szCs w:val="24"/>
        </w:rPr>
        <w:t>. This includes eu-LISA management staff, eu-LISA governance bodies, national authorities, contractors, sea-, land-, and air carrier, as well as other EU Agencies and bodies. The interviews and focus group conducted were scheduled for up to one hour each. The content derived from the interviews as well as specific information of interviewees was encrypted to ensure complete anonymity of participants.</w:t>
      </w:r>
    </w:p>
    <w:p w14:paraId="4E4DE823" w14:textId="77777777" w:rsidR="001F244E" w:rsidRPr="00855E06" w:rsidRDefault="001F244E" w:rsidP="004E2424">
      <w:pPr>
        <w:pStyle w:val="BodyText"/>
        <w:spacing w:after="0"/>
        <w:rPr>
          <w:rFonts w:ascii="Times New Roman" w:hAnsi="Times New Roman" w:cs="Times New Roman"/>
          <w:noProof/>
          <w:sz w:val="24"/>
          <w:szCs w:val="24"/>
        </w:rPr>
      </w:pPr>
      <w:r w:rsidRPr="00855E06">
        <w:rPr>
          <w:rFonts w:ascii="Times New Roman" w:hAnsi="Times New Roman" w:cs="Times New Roman"/>
          <w:noProof/>
          <w:sz w:val="24"/>
          <w:szCs w:val="24"/>
        </w:rPr>
        <w:t xml:space="preserve">Apart from the insights received from the virtual and on-site interviews, the </w:t>
      </w:r>
      <w:r w:rsidRPr="00855E06">
        <w:rPr>
          <w:rFonts w:ascii="Times New Roman" w:hAnsi="Times New Roman" w:cs="Times New Roman"/>
          <w:b/>
          <w:noProof/>
          <w:sz w:val="24"/>
          <w:szCs w:val="24"/>
        </w:rPr>
        <w:t xml:space="preserve">visits of eu-LISA sites </w:t>
      </w:r>
      <w:r w:rsidRPr="00855E06">
        <w:rPr>
          <w:rFonts w:ascii="Times New Roman" w:hAnsi="Times New Roman" w:cs="Times New Roman"/>
          <w:bCs/>
          <w:noProof/>
          <w:sz w:val="24"/>
          <w:szCs w:val="24"/>
        </w:rPr>
        <w:t>also</w:t>
      </w:r>
      <w:r w:rsidRPr="00855E06">
        <w:rPr>
          <w:rFonts w:ascii="Times New Roman" w:hAnsi="Times New Roman" w:cs="Times New Roman"/>
          <w:noProof/>
          <w:sz w:val="24"/>
          <w:szCs w:val="24"/>
        </w:rPr>
        <w:t xml:space="preserve"> provided highly valuable insights for the evaluation based on well-organised tours of the premises. In particular, they contributed significantly to the understanding of the work of the Agency, including the Agency’s tasks as well as work culture and atmosphere at the different sites.</w:t>
      </w:r>
    </w:p>
    <w:p w14:paraId="1DCF5A7D" w14:textId="554398ED" w:rsidR="001F244E" w:rsidRDefault="001F244E" w:rsidP="00855E06">
      <w:pPr>
        <w:pStyle w:val="BodyText"/>
        <w:spacing w:after="0"/>
        <w:rPr>
          <w:rFonts w:ascii="Times New Roman" w:hAnsi="Times New Roman" w:cs="Times New Roman"/>
          <w:noProof/>
          <w:sz w:val="24"/>
          <w:szCs w:val="24"/>
        </w:rPr>
      </w:pPr>
      <w:r w:rsidRPr="00855E06">
        <w:rPr>
          <w:rFonts w:ascii="Times New Roman" w:hAnsi="Times New Roman" w:cs="Times New Roman"/>
          <w:noProof/>
          <w:sz w:val="24"/>
          <w:szCs w:val="24"/>
        </w:rPr>
        <w:t xml:space="preserve">The </w:t>
      </w:r>
      <w:r w:rsidRPr="00855E06">
        <w:rPr>
          <w:rFonts w:ascii="Times New Roman" w:hAnsi="Times New Roman" w:cs="Times New Roman"/>
          <w:b/>
          <w:noProof/>
          <w:sz w:val="24"/>
          <w:szCs w:val="24"/>
        </w:rPr>
        <w:t>targeted written surveys</w:t>
      </w:r>
      <w:r w:rsidRPr="00855E06">
        <w:rPr>
          <w:rFonts w:ascii="Times New Roman" w:hAnsi="Times New Roman" w:cs="Times New Roman"/>
          <w:noProof/>
          <w:sz w:val="24"/>
          <w:szCs w:val="24"/>
        </w:rPr>
        <w:t xml:space="preserve"> were open from the end of January 2024 until 29 February 2024. In total, the Study Team has received 353 completed responses, including 175 for the survey with Advisory Group members, 132 for the survey with users and 46 for the survey with data protection authorities as presented in section </w:t>
      </w:r>
      <w:r w:rsidRPr="00855E06">
        <w:rPr>
          <w:rFonts w:ascii="Times New Roman" w:hAnsi="Times New Roman" w:cs="Times New Roman"/>
          <w:noProof/>
          <w:sz w:val="24"/>
          <w:szCs w:val="24"/>
        </w:rPr>
        <w:fldChar w:fldCharType="begin"/>
      </w:r>
      <w:r w:rsidRPr="00855E06">
        <w:rPr>
          <w:rFonts w:ascii="Times New Roman" w:hAnsi="Times New Roman" w:cs="Times New Roman"/>
          <w:noProof/>
          <w:sz w:val="24"/>
          <w:szCs w:val="24"/>
        </w:rPr>
        <w:instrText xml:space="preserve"> REF _Ref164155324 \r \h  \* MERGEFORMAT </w:instrText>
      </w:r>
      <w:r w:rsidRPr="00855E06">
        <w:rPr>
          <w:rFonts w:ascii="Times New Roman" w:hAnsi="Times New Roman" w:cs="Times New Roman"/>
          <w:noProof/>
          <w:sz w:val="24"/>
          <w:szCs w:val="24"/>
        </w:rPr>
      </w:r>
      <w:r w:rsidRPr="00855E06">
        <w:rPr>
          <w:rFonts w:ascii="Times New Roman" w:hAnsi="Times New Roman" w:cs="Times New Roman"/>
          <w:noProof/>
          <w:sz w:val="24"/>
          <w:szCs w:val="24"/>
        </w:rPr>
        <w:fldChar w:fldCharType="separate"/>
      </w:r>
      <w:r w:rsidR="004E2424">
        <w:rPr>
          <w:rFonts w:ascii="Times New Roman" w:hAnsi="Times New Roman" w:cs="Times New Roman"/>
          <w:noProof/>
          <w:sz w:val="24"/>
          <w:szCs w:val="24"/>
        </w:rPr>
        <w:t>0</w:t>
      </w:r>
      <w:r w:rsidRPr="00855E06">
        <w:rPr>
          <w:rFonts w:ascii="Times New Roman" w:hAnsi="Times New Roman" w:cs="Times New Roman"/>
          <w:noProof/>
          <w:sz w:val="24"/>
          <w:szCs w:val="24"/>
        </w:rPr>
        <w:fldChar w:fldCharType="end"/>
      </w:r>
      <w:r w:rsidRPr="00855E06">
        <w:rPr>
          <w:rFonts w:ascii="Times New Roman" w:hAnsi="Times New Roman" w:cs="Times New Roman"/>
          <w:noProof/>
          <w:sz w:val="24"/>
          <w:szCs w:val="24"/>
        </w:rPr>
        <w:t xml:space="preserve">. The quality of the responses received is adequate considering that 41% of all respondents completed the full survey and 57% of all respondents across the three surveys completed the survey to at least 50%. </w:t>
      </w:r>
      <w:r w:rsidRPr="00855E06">
        <w:rPr>
          <w:rFonts w:ascii="Times New Roman" w:hAnsi="Times New Roman" w:cs="Times New Roman"/>
          <w:noProof/>
          <w:sz w:val="24"/>
          <w:szCs w:val="24"/>
        </w:rPr>
        <w:fldChar w:fldCharType="begin"/>
      </w:r>
      <w:r w:rsidRPr="00855E06">
        <w:rPr>
          <w:rFonts w:ascii="Times New Roman" w:hAnsi="Times New Roman" w:cs="Times New Roman"/>
          <w:noProof/>
          <w:sz w:val="24"/>
          <w:szCs w:val="24"/>
        </w:rPr>
        <w:instrText xml:space="preserve"> REF _Ref164155947 \h  \* MERGEFORMAT </w:instrText>
      </w:r>
      <w:r w:rsidRPr="00855E06">
        <w:rPr>
          <w:rFonts w:ascii="Times New Roman" w:hAnsi="Times New Roman" w:cs="Times New Roman"/>
          <w:noProof/>
          <w:sz w:val="24"/>
          <w:szCs w:val="24"/>
        </w:rPr>
      </w:r>
      <w:r w:rsidRPr="00855E06">
        <w:rPr>
          <w:rFonts w:ascii="Times New Roman" w:hAnsi="Times New Roman" w:cs="Times New Roman"/>
          <w:noProof/>
          <w:sz w:val="24"/>
          <w:szCs w:val="24"/>
        </w:rPr>
        <w:fldChar w:fldCharType="separate"/>
      </w:r>
      <w:r w:rsidR="004E2424" w:rsidRPr="004E2424">
        <w:rPr>
          <w:rFonts w:ascii="Times New Roman" w:hAnsi="Times New Roman" w:cs="Times New Roman"/>
          <w:noProof/>
          <w:sz w:val="24"/>
          <w:szCs w:val="24"/>
        </w:rPr>
        <w:t xml:space="preserve">Table </w:t>
      </w:r>
      <w:r w:rsidRPr="00855E06">
        <w:rPr>
          <w:rFonts w:ascii="Times New Roman" w:hAnsi="Times New Roman" w:cs="Times New Roman"/>
          <w:noProof/>
          <w:sz w:val="24"/>
          <w:szCs w:val="24"/>
        </w:rPr>
        <w:fldChar w:fldCharType="end"/>
      </w:r>
      <w:r w:rsidRPr="00855E06">
        <w:rPr>
          <w:rFonts w:ascii="Times New Roman" w:hAnsi="Times New Roman" w:cs="Times New Roman"/>
          <w:noProof/>
          <w:sz w:val="24"/>
          <w:szCs w:val="24"/>
        </w:rPr>
        <w:t xml:space="preserve"> below shows the statistical outcomes of the three individual surveys. </w:t>
      </w:r>
    </w:p>
    <w:p w14:paraId="0B648B26" w14:textId="77777777" w:rsidR="00BD1AF7" w:rsidRPr="00855E06" w:rsidRDefault="00BD1AF7" w:rsidP="004E2424">
      <w:pPr>
        <w:pStyle w:val="BodyText"/>
        <w:spacing w:after="0"/>
        <w:rPr>
          <w:rFonts w:ascii="Times New Roman" w:hAnsi="Times New Roman" w:cs="Times New Roman"/>
          <w:noProof/>
          <w:sz w:val="24"/>
          <w:szCs w:val="24"/>
        </w:rPr>
      </w:pPr>
    </w:p>
    <w:p w14:paraId="36CF23BC" w14:textId="353A25E2" w:rsidR="001F244E" w:rsidRPr="004E2424" w:rsidRDefault="001F244E" w:rsidP="004E2424">
      <w:pPr>
        <w:pStyle w:val="Caption"/>
        <w:keepNext/>
        <w:spacing w:after="0"/>
        <w:rPr>
          <w:rFonts w:ascii="Times New Roman" w:hAnsi="Times New Roman" w:cs="Times New Roman"/>
          <w:i/>
          <w:iCs/>
          <w:sz w:val="24"/>
          <w:szCs w:val="24"/>
        </w:rPr>
      </w:pPr>
      <w:bookmarkStart w:id="70" w:name="_Ref164155947"/>
      <w:bookmarkStart w:id="71" w:name="_Ref164155939"/>
      <w:bookmarkStart w:id="72" w:name="_Toc167205837"/>
      <w:r w:rsidRPr="004E2424">
        <w:rPr>
          <w:rFonts w:ascii="Times New Roman" w:hAnsi="Times New Roman" w:cs="Times New Roman"/>
          <w:i/>
          <w:iCs/>
          <w:sz w:val="24"/>
          <w:szCs w:val="24"/>
        </w:rPr>
        <w:t xml:space="preserve">Table </w:t>
      </w:r>
      <w:bookmarkEnd w:id="70"/>
      <w:r w:rsidR="00A55ACC">
        <w:rPr>
          <w:rFonts w:ascii="Times New Roman" w:hAnsi="Times New Roman" w:cs="Times New Roman"/>
          <w:i/>
          <w:iCs/>
          <w:sz w:val="24"/>
          <w:szCs w:val="24"/>
        </w:rPr>
        <w:t>3</w:t>
      </w:r>
      <w:r w:rsidRPr="004E2424">
        <w:rPr>
          <w:rFonts w:ascii="Times New Roman" w:hAnsi="Times New Roman" w:cs="Times New Roman"/>
          <w:i/>
          <w:iCs/>
          <w:sz w:val="24"/>
          <w:szCs w:val="24"/>
        </w:rPr>
        <w:t xml:space="preserve"> – Overview of reponses to the targeted written survey</w:t>
      </w:r>
      <w:bookmarkEnd w:id="71"/>
      <w:r w:rsidRPr="004E2424">
        <w:rPr>
          <w:rFonts w:ascii="Times New Roman" w:hAnsi="Times New Roman" w:cs="Times New Roman"/>
          <w:i/>
          <w:iCs/>
          <w:sz w:val="24"/>
          <w:szCs w:val="24"/>
        </w:rPr>
        <w:t>s</w:t>
      </w:r>
      <w:bookmarkEnd w:id="72"/>
    </w:p>
    <w:tbl>
      <w:tblPr>
        <w:tblStyle w:val="Style12"/>
        <w:tblW w:w="0" w:type="auto"/>
        <w:tblLook w:val="04A0" w:firstRow="1" w:lastRow="0" w:firstColumn="1" w:lastColumn="0" w:noHBand="0" w:noVBand="1"/>
      </w:tblPr>
      <w:tblGrid>
        <w:gridCol w:w="1737"/>
        <w:gridCol w:w="1739"/>
        <w:gridCol w:w="1740"/>
        <w:gridCol w:w="1740"/>
        <w:gridCol w:w="1740"/>
        <w:gridCol w:w="1283"/>
        <w:gridCol w:w="1740"/>
      </w:tblGrid>
      <w:tr w:rsidR="001F460A" w:rsidRPr="00A55ACC" w14:paraId="232E01FF" w14:textId="77777777" w:rsidTr="00A55ACC">
        <w:trPr>
          <w:gridAfter w:val="1"/>
          <w:cnfStyle w:val="100000000000" w:firstRow="1" w:lastRow="0" w:firstColumn="0" w:lastColumn="0" w:oddVBand="0" w:evenVBand="0" w:oddHBand="0" w:evenHBand="0" w:firstRowFirstColumn="0" w:firstRowLastColumn="0" w:lastRowFirstColumn="0" w:lastRowLastColumn="0"/>
          <w:wAfter w:w="38" w:type="dxa"/>
          <w:tblHeader/>
        </w:trPr>
        <w:tc>
          <w:tcPr>
            <w:tcW w:w="0" w:type="dxa"/>
            <w:shd w:val="clear" w:color="auto" w:fill="1B7BCA" w:themeFill="background2" w:themeFillShade="80"/>
          </w:tcPr>
          <w:p w14:paraId="439AB139" w14:textId="77777777" w:rsidR="001F244E" w:rsidRPr="004E2424" w:rsidRDefault="001F244E" w:rsidP="004E2424">
            <w:pPr>
              <w:pStyle w:val="BodyText"/>
              <w:spacing w:after="0"/>
              <w:jc w:val="left"/>
              <w:rPr>
                <w:rFonts w:ascii="Arial" w:hAnsi="Arial" w:cs="Arial"/>
                <w:noProof/>
                <w:szCs w:val="20"/>
              </w:rPr>
            </w:pPr>
            <w:r w:rsidRPr="004E2424">
              <w:rPr>
                <w:rFonts w:ascii="Arial" w:hAnsi="Arial" w:cs="Arial"/>
                <w:noProof/>
                <w:szCs w:val="20"/>
              </w:rPr>
              <w:t>Survey</w:t>
            </w:r>
          </w:p>
        </w:tc>
        <w:tc>
          <w:tcPr>
            <w:tcW w:w="0" w:type="dxa"/>
            <w:shd w:val="clear" w:color="auto" w:fill="1B7BCA" w:themeFill="background2" w:themeFillShade="80"/>
          </w:tcPr>
          <w:p w14:paraId="208DADF4" w14:textId="77777777" w:rsidR="001F244E" w:rsidRPr="004E2424" w:rsidRDefault="001F244E" w:rsidP="004E2424">
            <w:pPr>
              <w:pStyle w:val="BodyText"/>
              <w:spacing w:after="0"/>
              <w:jc w:val="left"/>
              <w:rPr>
                <w:rFonts w:ascii="Arial" w:hAnsi="Arial" w:cs="Arial"/>
                <w:noProof/>
                <w:szCs w:val="20"/>
              </w:rPr>
            </w:pPr>
            <w:r w:rsidRPr="004E2424">
              <w:rPr>
                <w:rFonts w:ascii="Arial" w:hAnsi="Arial" w:cs="Arial"/>
                <w:noProof/>
                <w:szCs w:val="20"/>
              </w:rPr>
              <w:t>Responses received</w:t>
            </w:r>
          </w:p>
        </w:tc>
        <w:tc>
          <w:tcPr>
            <w:tcW w:w="0" w:type="dxa"/>
            <w:shd w:val="clear" w:color="auto" w:fill="1B7BCA" w:themeFill="background2" w:themeFillShade="80"/>
          </w:tcPr>
          <w:p w14:paraId="76571FBC" w14:textId="77777777" w:rsidR="001F244E" w:rsidRPr="004E2424" w:rsidRDefault="001F244E" w:rsidP="004E2424">
            <w:pPr>
              <w:pStyle w:val="BodyText"/>
              <w:spacing w:after="0"/>
              <w:jc w:val="left"/>
              <w:rPr>
                <w:rFonts w:ascii="Arial" w:hAnsi="Arial" w:cs="Arial"/>
                <w:noProof/>
                <w:szCs w:val="20"/>
              </w:rPr>
            </w:pPr>
            <w:r w:rsidRPr="004E2424">
              <w:rPr>
                <w:rFonts w:ascii="Arial" w:hAnsi="Arial" w:cs="Arial"/>
                <w:noProof/>
                <w:szCs w:val="20"/>
              </w:rPr>
              <w:t>Number of responses 100% completed</w:t>
            </w:r>
          </w:p>
        </w:tc>
        <w:tc>
          <w:tcPr>
            <w:tcW w:w="0" w:type="dxa"/>
            <w:shd w:val="clear" w:color="auto" w:fill="1B7BCA" w:themeFill="background2" w:themeFillShade="80"/>
          </w:tcPr>
          <w:p w14:paraId="0769750C" w14:textId="77777777" w:rsidR="001F244E" w:rsidRPr="004E2424" w:rsidRDefault="001F244E" w:rsidP="004E2424">
            <w:pPr>
              <w:pStyle w:val="BodyText"/>
              <w:spacing w:after="0"/>
              <w:jc w:val="left"/>
              <w:rPr>
                <w:rFonts w:ascii="Arial" w:hAnsi="Arial" w:cs="Arial"/>
                <w:noProof/>
                <w:szCs w:val="20"/>
              </w:rPr>
            </w:pPr>
            <w:r w:rsidRPr="004E2424">
              <w:rPr>
                <w:rFonts w:ascii="Arial" w:hAnsi="Arial" w:cs="Arial"/>
                <w:noProof/>
                <w:szCs w:val="20"/>
              </w:rPr>
              <w:t>100% completion rate</w:t>
            </w:r>
          </w:p>
        </w:tc>
        <w:tc>
          <w:tcPr>
            <w:tcW w:w="0" w:type="dxa"/>
            <w:shd w:val="clear" w:color="auto" w:fill="1B7BCA" w:themeFill="background2" w:themeFillShade="80"/>
          </w:tcPr>
          <w:p w14:paraId="73BC09AC" w14:textId="77777777" w:rsidR="001F244E" w:rsidRPr="004E2424" w:rsidRDefault="001F244E" w:rsidP="004E2424">
            <w:pPr>
              <w:pStyle w:val="BodyText"/>
              <w:spacing w:after="0"/>
              <w:jc w:val="left"/>
              <w:rPr>
                <w:rFonts w:ascii="Arial" w:hAnsi="Arial" w:cs="Arial"/>
                <w:noProof/>
                <w:szCs w:val="20"/>
              </w:rPr>
            </w:pPr>
            <w:r w:rsidRPr="004E2424">
              <w:rPr>
                <w:rFonts w:ascii="Arial" w:hAnsi="Arial" w:cs="Arial"/>
                <w:noProof/>
                <w:szCs w:val="20"/>
              </w:rPr>
              <w:t>Number of responses &gt;=50% completed</w:t>
            </w:r>
          </w:p>
        </w:tc>
        <w:tc>
          <w:tcPr>
            <w:tcW w:w="0" w:type="dxa"/>
            <w:shd w:val="clear" w:color="auto" w:fill="1B7BCA" w:themeFill="background2" w:themeFillShade="80"/>
          </w:tcPr>
          <w:p w14:paraId="0FCC1428" w14:textId="77777777" w:rsidR="001F244E" w:rsidRPr="004E2424" w:rsidRDefault="001F244E" w:rsidP="004E2424">
            <w:pPr>
              <w:pStyle w:val="BodyText"/>
              <w:spacing w:after="0"/>
              <w:rPr>
                <w:rFonts w:ascii="Arial" w:hAnsi="Arial" w:cs="Arial"/>
                <w:noProof/>
                <w:szCs w:val="20"/>
              </w:rPr>
            </w:pPr>
            <w:r w:rsidRPr="004E2424">
              <w:rPr>
                <w:rFonts w:ascii="Arial" w:hAnsi="Arial" w:cs="Arial"/>
                <w:noProof/>
                <w:szCs w:val="20"/>
              </w:rPr>
              <w:t>&gt;=50% completion rate</w:t>
            </w:r>
          </w:p>
        </w:tc>
      </w:tr>
      <w:tr w:rsidR="00907D40" w:rsidRPr="00A55ACC" w14:paraId="2871CD02" w14:textId="77777777" w:rsidTr="00A55ACC">
        <w:tc>
          <w:tcPr>
            <w:tcW w:w="1737" w:type="dxa"/>
          </w:tcPr>
          <w:p w14:paraId="370F67B5" w14:textId="77777777" w:rsidR="001F244E" w:rsidRPr="004E2424" w:rsidRDefault="001F244E" w:rsidP="004E2424">
            <w:pPr>
              <w:pStyle w:val="BodyText"/>
              <w:spacing w:after="0"/>
              <w:jc w:val="left"/>
              <w:rPr>
                <w:rFonts w:ascii="Arial" w:hAnsi="Arial" w:cs="Arial"/>
                <w:noProof/>
                <w:szCs w:val="20"/>
              </w:rPr>
            </w:pPr>
            <w:r w:rsidRPr="004E2424">
              <w:rPr>
                <w:rFonts w:ascii="Arial" w:hAnsi="Arial" w:cs="Arial"/>
                <w:noProof/>
                <w:szCs w:val="20"/>
              </w:rPr>
              <w:t>AG &amp; PMB members</w:t>
            </w:r>
          </w:p>
        </w:tc>
        <w:tc>
          <w:tcPr>
            <w:tcW w:w="1739" w:type="dxa"/>
            <w:vAlign w:val="center"/>
          </w:tcPr>
          <w:p w14:paraId="650A5CF3"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175</w:t>
            </w:r>
          </w:p>
        </w:tc>
        <w:tc>
          <w:tcPr>
            <w:tcW w:w="1740" w:type="dxa"/>
            <w:vAlign w:val="center"/>
          </w:tcPr>
          <w:p w14:paraId="599CBA15"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67</w:t>
            </w:r>
          </w:p>
        </w:tc>
        <w:tc>
          <w:tcPr>
            <w:tcW w:w="1740" w:type="dxa"/>
            <w:vAlign w:val="center"/>
          </w:tcPr>
          <w:p w14:paraId="6C9B8F5E"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43%</w:t>
            </w:r>
          </w:p>
        </w:tc>
        <w:tc>
          <w:tcPr>
            <w:tcW w:w="1740" w:type="dxa"/>
            <w:vAlign w:val="center"/>
          </w:tcPr>
          <w:p w14:paraId="26D7FDE3"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101</w:t>
            </w:r>
          </w:p>
        </w:tc>
        <w:tc>
          <w:tcPr>
            <w:tcW w:w="1740" w:type="dxa"/>
            <w:gridSpan w:val="2"/>
            <w:vAlign w:val="center"/>
          </w:tcPr>
          <w:p w14:paraId="4733C74E"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64%</w:t>
            </w:r>
          </w:p>
        </w:tc>
      </w:tr>
      <w:tr w:rsidR="00907D40" w:rsidRPr="00A55ACC" w14:paraId="7E6FC042" w14:textId="77777777" w:rsidTr="00A55ACC">
        <w:tc>
          <w:tcPr>
            <w:tcW w:w="1737" w:type="dxa"/>
          </w:tcPr>
          <w:p w14:paraId="30D29F1E" w14:textId="77777777" w:rsidR="001F244E" w:rsidRPr="004E2424" w:rsidRDefault="001F244E" w:rsidP="004E2424">
            <w:pPr>
              <w:pStyle w:val="BodyText"/>
              <w:spacing w:after="0"/>
              <w:jc w:val="left"/>
              <w:rPr>
                <w:rFonts w:ascii="Arial" w:hAnsi="Arial" w:cs="Arial"/>
                <w:noProof/>
                <w:szCs w:val="20"/>
              </w:rPr>
            </w:pPr>
            <w:r w:rsidRPr="004E2424">
              <w:rPr>
                <w:rFonts w:ascii="Arial" w:hAnsi="Arial" w:cs="Arial"/>
                <w:noProof/>
                <w:szCs w:val="20"/>
              </w:rPr>
              <w:t>Users of IT systems</w:t>
            </w:r>
          </w:p>
        </w:tc>
        <w:tc>
          <w:tcPr>
            <w:tcW w:w="1739" w:type="dxa"/>
            <w:vAlign w:val="center"/>
          </w:tcPr>
          <w:p w14:paraId="1B2F1020"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132</w:t>
            </w:r>
          </w:p>
        </w:tc>
        <w:tc>
          <w:tcPr>
            <w:tcW w:w="1740" w:type="dxa"/>
            <w:vAlign w:val="center"/>
          </w:tcPr>
          <w:p w14:paraId="778A6760"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55</w:t>
            </w:r>
          </w:p>
        </w:tc>
        <w:tc>
          <w:tcPr>
            <w:tcW w:w="1740" w:type="dxa"/>
            <w:vAlign w:val="center"/>
          </w:tcPr>
          <w:p w14:paraId="13ACC038"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42%</w:t>
            </w:r>
          </w:p>
        </w:tc>
        <w:tc>
          <w:tcPr>
            <w:tcW w:w="1740" w:type="dxa"/>
            <w:vAlign w:val="center"/>
          </w:tcPr>
          <w:p w14:paraId="6556DF03"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68</w:t>
            </w:r>
          </w:p>
        </w:tc>
        <w:tc>
          <w:tcPr>
            <w:tcW w:w="1740" w:type="dxa"/>
            <w:gridSpan w:val="2"/>
            <w:vAlign w:val="center"/>
          </w:tcPr>
          <w:p w14:paraId="50B6588C"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52%</w:t>
            </w:r>
          </w:p>
        </w:tc>
      </w:tr>
      <w:tr w:rsidR="00907D40" w:rsidRPr="00A55ACC" w14:paraId="119D13DC" w14:textId="77777777" w:rsidTr="00A55ACC">
        <w:tc>
          <w:tcPr>
            <w:tcW w:w="1737" w:type="dxa"/>
          </w:tcPr>
          <w:p w14:paraId="202F962B" w14:textId="77777777" w:rsidR="001F244E" w:rsidRPr="004E2424" w:rsidRDefault="001F244E" w:rsidP="004E2424">
            <w:pPr>
              <w:pStyle w:val="BodyText"/>
              <w:spacing w:after="0"/>
              <w:jc w:val="left"/>
              <w:rPr>
                <w:rFonts w:ascii="Arial" w:hAnsi="Arial" w:cs="Arial"/>
                <w:noProof/>
                <w:szCs w:val="20"/>
              </w:rPr>
            </w:pPr>
            <w:r w:rsidRPr="004E2424">
              <w:rPr>
                <w:rFonts w:ascii="Arial" w:hAnsi="Arial" w:cs="Arial"/>
                <w:noProof/>
                <w:szCs w:val="20"/>
              </w:rPr>
              <w:t>Data protection authorities</w:t>
            </w:r>
          </w:p>
        </w:tc>
        <w:tc>
          <w:tcPr>
            <w:tcW w:w="1739" w:type="dxa"/>
            <w:vAlign w:val="center"/>
          </w:tcPr>
          <w:p w14:paraId="5CA0C291"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46</w:t>
            </w:r>
          </w:p>
        </w:tc>
        <w:tc>
          <w:tcPr>
            <w:tcW w:w="1740" w:type="dxa"/>
            <w:vAlign w:val="center"/>
          </w:tcPr>
          <w:p w14:paraId="1E551170"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17</w:t>
            </w:r>
          </w:p>
        </w:tc>
        <w:tc>
          <w:tcPr>
            <w:tcW w:w="1740" w:type="dxa"/>
            <w:vAlign w:val="center"/>
          </w:tcPr>
          <w:p w14:paraId="408ACA95"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37%</w:t>
            </w:r>
          </w:p>
        </w:tc>
        <w:tc>
          <w:tcPr>
            <w:tcW w:w="1740" w:type="dxa"/>
            <w:vAlign w:val="center"/>
          </w:tcPr>
          <w:p w14:paraId="278A8841"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22</w:t>
            </w:r>
          </w:p>
        </w:tc>
        <w:tc>
          <w:tcPr>
            <w:tcW w:w="1740" w:type="dxa"/>
            <w:gridSpan w:val="2"/>
            <w:vAlign w:val="center"/>
          </w:tcPr>
          <w:p w14:paraId="0899DC17" w14:textId="77777777" w:rsidR="001F244E" w:rsidRPr="004E2424" w:rsidRDefault="001F244E" w:rsidP="004E2424">
            <w:pPr>
              <w:pStyle w:val="BodyText"/>
              <w:spacing w:after="0"/>
              <w:jc w:val="center"/>
              <w:rPr>
                <w:rFonts w:ascii="Arial" w:hAnsi="Arial" w:cs="Arial"/>
                <w:noProof/>
                <w:szCs w:val="20"/>
              </w:rPr>
            </w:pPr>
            <w:r w:rsidRPr="004E2424">
              <w:rPr>
                <w:rFonts w:ascii="Arial" w:hAnsi="Arial" w:cs="Arial"/>
                <w:noProof/>
                <w:szCs w:val="20"/>
              </w:rPr>
              <w:t>48%</w:t>
            </w:r>
          </w:p>
        </w:tc>
      </w:tr>
      <w:tr w:rsidR="00B758A1" w:rsidRPr="00A55ACC" w14:paraId="13076F96" w14:textId="77777777" w:rsidTr="00A55ACC">
        <w:tc>
          <w:tcPr>
            <w:tcW w:w="1737" w:type="dxa"/>
            <w:shd w:val="clear" w:color="auto" w:fill="D3E8F9" w:themeFill="background2"/>
          </w:tcPr>
          <w:p w14:paraId="520F868F" w14:textId="77777777" w:rsidR="001F244E" w:rsidRPr="004E2424" w:rsidRDefault="001F244E" w:rsidP="004E2424">
            <w:pPr>
              <w:pStyle w:val="BodyText"/>
              <w:spacing w:after="0"/>
              <w:rPr>
                <w:rFonts w:ascii="Arial" w:hAnsi="Arial" w:cs="Arial"/>
                <w:b/>
                <w:noProof/>
                <w:szCs w:val="20"/>
              </w:rPr>
            </w:pPr>
            <w:r w:rsidRPr="004E2424">
              <w:rPr>
                <w:rFonts w:ascii="Arial" w:hAnsi="Arial" w:cs="Arial"/>
                <w:b/>
                <w:noProof/>
                <w:szCs w:val="20"/>
              </w:rPr>
              <w:t>Total</w:t>
            </w:r>
          </w:p>
        </w:tc>
        <w:tc>
          <w:tcPr>
            <w:tcW w:w="1739" w:type="dxa"/>
            <w:shd w:val="clear" w:color="auto" w:fill="D3E8F9" w:themeFill="background2"/>
            <w:vAlign w:val="center"/>
          </w:tcPr>
          <w:p w14:paraId="38A9F929" w14:textId="77777777" w:rsidR="001F244E" w:rsidRPr="004E2424" w:rsidRDefault="001F244E" w:rsidP="004E2424">
            <w:pPr>
              <w:pStyle w:val="BodyText"/>
              <w:spacing w:after="0"/>
              <w:jc w:val="center"/>
              <w:rPr>
                <w:rFonts w:ascii="Arial" w:hAnsi="Arial" w:cs="Arial"/>
                <w:b/>
                <w:noProof/>
                <w:szCs w:val="20"/>
              </w:rPr>
            </w:pPr>
            <w:r w:rsidRPr="004E2424">
              <w:rPr>
                <w:rFonts w:ascii="Arial" w:hAnsi="Arial" w:cs="Arial"/>
                <w:b/>
                <w:noProof/>
                <w:szCs w:val="20"/>
              </w:rPr>
              <w:t>335</w:t>
            </w:r>
          </w:p>
        </w:tc>
        <w:tc>
          <w:tcPr>
            <w:tcW w:w="1740" w:type="dxa"/>
            <w:shd w:val="clear" w:color="auto" w:fill="D3E8F9" w:themeFill="background2"/>
            <w:vAlign w:val="center"/>
          </w:tcPr>
          <w:p w14:paraId="6BC8723C" w14:textId="77777777" w:rsidR="001F244E" w:rsidRPr="004E2424" w:rsidRDefault="001F244E" w:rsidP="004E2424">
            <w:pPr>
              <w:pStyle w:val="BodyText"/>
              <w:spacing w:after="0"/>
              <w:jc w:val="center"/>
              <w:rPr>
                <w:rFonts w:ascii="Arial" w:hAnsi="Arial" w:cs="Arial"/>
                <w:b/>
                <w:noProof/>
                <w:szCs w:val="20"/>
              </w:rPr>
            </w:pPr>
            <w:r w:rsidRPr="004E2424">
              <w:rPr>
                <w:rFonts w:ascii="Arial" w:hAnsi="Arial" w:cs="Arial"/>
                <w:b/>
                <w:noProof/>
                <w:szCs w:val="20"/>
              </w:rPr>
              <w:t>139</w:t>
            </w:r>
          </w:p>
        </w:tc>
        <w:tc>
          <w:tcPr>
            <w:tcW w:w="1740" w:type="dxa"/>
            <w:shd w:val="clear" w:color="auto" w:fill="D3E8F9" w:themeFill="background2"/>
            <w:vAlign w:val="center"/>
          </w:tcPr>
          <w:p w14:paraId="03D3478F" w14:textId="77777777" w:rsidR="001F244E" w:rsidRPr="004E2424" w:rsidRDefault="001F244E" w:rsidP="004E2424">
            <w:pPr>
              <w:pStyle w:val="BodyText"/>
              <w:spacing w:after="0"/>
              <w:jc w:val="center"/>
              <w:rPr>
                <w:rFonts w:ascii="Arial" w:hAnsi="Arial" w:cs="Arial"/>
                <w:b/>
                <w:noProof/>
                <w:szCs w:val="20"/>
              </w:rPr>
            </w:pPr>
            <w:r w:rsidRPr="004E2424">
              <w:rPr>
                <w:rFonts w:ascii="Arial" w:hAnsi="Arial" w:cs="Arial"/>
                <w:b/>
                <w:noProof/>
                <w:szCs w:val="20"/>
              </w:rPr>
              <w:t>41%</w:t>
            </w:r>
          </w:p>
        </w:tc>
        <w:tc>
          <w:tcPr>
            <w:tcW w:w="1740" w:type="dxa"/>
            <w:shd w:val="clear" w:color="auto" w:fill="D3E8F9" w:themeFill="background2"/>
            <w:vAlign w:val="center"/>
          </w:tcPr>
          <w:p w14:paraId="5B6CF1D2" w14:textId="77777777" w:rsidR="001F244E" w:rsidRPr="004E2424" w:rsidRDefault="001F244E" w:rsidP="004E2424">
            <w:pPr>
              <w:pStyle w:val="BodyText"/>
              <w:spacing w:after="0"/>
              <w:jc w:val="center"/>
              <w:rPr>
                <w:rFonts w:ascii="Arial" w:hAnsi="Arial" w:cs="Arial"/>
                <w:b/>
                <w:noProof/>
                <w:szCs w:val="20"/>
              </w:rPr>
            </w:pPr>
            <w:r w:rsidRPr="004E2424">
              <w:rPr>
                <w:rFonts w:ascii="Arial" w:hAnsi="Arial" w:cs="Arial"/>
                <w:b/>
                <w:noProof/>
                <w:szCs w:val="20"/>
              </w:rPr>
              <w:t>191</w:t>
            </w:r>
          </w:p>
        </w:tc>
        <w:tc>
          <w:tcPr>
            <w:tcW w:w="1740" w:type="dxa"/>
            <w:gridSpan w:val="2"/>
            <w:shd w:val="clear" w:color="auto" w:fill="D3E8F9" w:themeFill="background2"/>
            <w:vAlign w:val="center"/>
          </w:tcPr>
          <w:p w14:paraId="7D85D9F4" w14:textId="77777777" w:rsidR="001F244E" w:rsidRPr="004E2424" w:rsidRDefault="001F244E" w:rsidP="004E2424">
            <w:pPr>
              <w:pStyle w:val="BodyText"/>
              <w:spacing w:after="0"/>
              <w:jc w:val="center"/>
              <w:rPr>
                <w:rFonts w:ascii="Arial" w:hAnsi="Arial" w:cs="Arial"/>
                <w:b/>
                <w:noProof/>
                <w:szCs w:val="20"/>
              </w:rPr>
            </w:pPr>
            <w:r w:rsidRPr="004E2424">
              <w:rPr>
                <w:rFonts w:ascii="Arial" w:hAnsi="Arial" w:cs="Arial"/>
                <w:b/>
                <w:noProof/>
                <w:szCs w:val="20"/>
              </w:rPr>
              <w:t>57%</w:t>
            </w:r>
          </w:p>
        </w:tc>
      </w:tr>
    </w:tbl>
    <w:p w14:paraId="1F509068" w14:textId="5C8F4963" w:rsidR="001F244E" w:rsidRPr="00855E06" w:rsidRDefault="001F244E" w:rsidP="004E2424">
      <w:pPr>
        <w:pStyle w:val="BodyText"/>
        <w:spacing w:after="0"/>
        <w:jc w:val="center"/>
        <w:rPr>
          <w:rFonts w:ascii="Times New Roman" w:hAnsi="Times New Roman" w:cs="Times New Roman"/>
          <w:noProof/>
          <w:sz w:val="24"/>
          <w:szCs w:val="24"/>
        </w:rPr>
      </w:pPr>
      <w:r w:rsidRPr="00855E06">
        <w:rPr>
          <w:rFonts w:ascii="Times New Roman" w:hAnsi="Times New Roman" w:cs="Times New Roman"/>
          <w:i/>
          <w:noProof/>
          <w:spacing w:val="-12"/>
          <w:sz w:val="24"/>
          <w:szCs w:val="24"/>
        </w:rPr>
        <w:t xml:space="preserve">Source: </w:t>
      </w:r>
      <w:r w:rsidR="008A6E0F" w:rsidRPr="00855E06">
        <w:rPr>
          <w:rFonts w:ascii="Times New Roman" w:hAnsi="Times New Roman" w:cs="Times New Roman"/>
          <w:i/>
          <w:noProof/>
          <w:spacing w:val="-12"/>
          <w:sz w:val="24"/>
          <w:szCs w:val="24"/>
        </w:rPr>
        <w:t>External Study</w:t>
      </w:r>
      <w:r w:rsidRPr="00855E06">
        <w:rPr>
          <w:rFonts w:ascii="Times New Roman" w:hAnsi="Times New Roman" w:cs="Times New Roman"/>
          <w:i/>
          <w:noProof/>
          <w:spacing w:val="-12"/>
          <w:sz w:val="24"/>
          <w:szCs w:val="24"/>
        </w:rPr>
        <w:t>.</w:t>
      </w:r>
    </w:p>
    <w:p w14:paraId="70C0A11F" w14:textId="77777777" w:rsidR="001F244E" w:rsidRDefault="001F244E" w:rsidP="00855E06">
      <w:pPr>
        <w:pStyle w:val="BodyText"/>
        <w:spacing w:after="0"/>
        <w:rPr>
          <w:rFonts w:ascii="Times New Roman" w:hAnsi="Times New Roman" w:cs="Times New Roman"/>
          <w:noProof/>
          <w:sz w:val="24"/>
          <w:szCs w:val="24"/>
        </w:rPr>
      </w:pPr>
      <w:r w:rsidRPr="00855E06">
        <w:rPr>
          <w:rFonts w:ascii="Times New Roman" w:hAnsi="Times New Roman" w:cs="Times New Roman"/>
          <w:noProof/>
          <w:sz w:val="24"/>
          <w:szCs w:val="24"/>
        </w:rPr>
        <w:t>Participants also used the open questions within the surveys to provide additional qualitative input, including e.g. valuable insights relating to areas for improvement (e.g. tasks outsourced, governance structure or the operational management improvements). In addition, numerous participants voluntarily flagged their availability for a follow-up interview. Throughout the process, the Study Team has been constantly monitoring response rates and quality of the responses and implemented the planned mitigation actions (e.g. sending out reminders) as needed.</w:t>
      </w:r>
    </w:p>
    <w:p w14:paraId="2A28A58A" w14:textId="77777777" w:rsidR="00BD1AF7" w:rsidRPr="00855E06" w:rsidRDefault="00BD1AF7" w:rsidP="004E2424">
      <w:pPr>
        <w:pStyle w:val="BodyText"/>
        <w:spacing w:after="0"/>
        <w:rPr>
          <w:rFonts w:ascii="Times New Roman" w:hAnsi="Times New Roman" w:cs="Times New Roman"/>
          <w:noProof/>
          <w:sz w:val="24"/>
          <w:szCs w:val="24"/>
        </w:rPr>
      </w:pPr>
    </w:p>
    <w:p w14:paraId="28F21D12" w14:textId="77777777" w:rsidR="001F244E" w:rsidRDefault="001F244E" w:rsidP="00855E06">
      <w:pPr>
        <w:pStyle w:val="BodyText"/>
        <w:spacing w:after="0"/>
        <w:rPr>
          <w:rFonts w:ascii="Times New Roman" w:hAnsi="Times New Roman" w:cs="Times New Roman"/>
          <w:noProof/>
          <w:sz w:val="24"/>
          <w:szCs w:val="24"/>
        </w:rPr>
      </w:pPr>
      <w:r w:rsidRPr="00855E06">
        <w:rPr>
          <w:rFonts w:ascii="Times New Roman" w:hAnsi="Times New Roman" w:cs="Times New Roman"/>
          <w:noProof/>
          <w:sz w:val="24"/>
          <w:szCs w:val="24"/>
        </w:rPr>
        <w:t xml:space="preserve">As an additional part of the data collection exercise, we conducted </w:t>
      </w:r>
      <w:r w:rsidRPr="00855E06">
        <w:rPr>
          <w:rFonts w:ascii="Times New Roman" w:hAnsi="Times New Roman" w:cs="Times New Roman"/>
          <w:b/>
          <w:bCs/>
          <w:noProof/>
          <w:sz w:val="24"/>
          <w:szCs w:val="24"/>
        </w:rPr>
        <w:t>six different SWOT Workshops</w:t>
      </w:r>
      <w:r w:rsidRPr="00855E06">
        <w:rPr>
          <w:rFonts w:ascii="Times New Roman" w:hAnsi="Times New Roman" w:cs="Times New Roman"/>
          <w:noProof/>
          <w:sz w:val="24"/>
          <w:szCs w:val="24"/>
        </w:rPr>
        <w:t xml:space="preserve"> on the different large-scale IT systems as well as on interoperability between 21 February 2024 and 7 March 2024.</w:t>
      </w:r>
      <w:r w:rsidRPr="00855E06">
        <w:rPr>
          <w:rStyle w:val="FootnoteReference"/>
          <w:rFonts w:ascii="Times New Roman" w:hAnsi="Times New Roman" w:cs="Times New Roman"/>
          <w:noProof/>
          <w:sz w:val="24"/>
          <w:szCs w:val="24"/>
        </w:rPr>
        <w:footnoteReference w:id="84"/>
      </w:r>
      <w:r w:rsidRPr="00855E06">
        <w:rPr>
          <w:rFonts w:ascii="Times New Roman" w:hAnsi="Times New Roman" w:cs="Times New Roman"/>
          <w:noProof/>
          <w:sz w:val="24"/>
          <w:szCs w:val="24"/>
        </w:rPr>
        <w:t xml:space="preserve"> These workshops were prepared for national users and members of the respective Advisory Groups of the different systems who provided us information about the strengths, weaknesses, opportunities and threats of the specific systems from their national perspectives. Across all SWOT workshops, participants represented a wide range of Member States and Schengen Associated Countries. An average session was joined by eight diverse participants. This number allowed to obtain in-depth details about system-related aspects. For collection information in an interactive manner, the Study Team prepared session-specific Mural boards on which inputs, thoughts and ideas were collected. Once the strengths, opportunities, weaknesses, and threats were collected and ranked by prioritisation, participants derived potential recommendations and assessed their individual impact and feasibility.</w:t>
      </w:r>
    </w:p>
    <w:p w14:paraId="36ADD51A" w14:textId="77777777" w:rsidR="00BD1AF7" w:rsidRPr="00855E06" w:rsidRDefault="00BD1AF7" w:rsidP="004E2424">
      <w:pPr>
        <w:pStyle w:val="BodyText"/>
        <w:spacing w:after="0"/>
        <w:rPr>
          <w:rFonts w:ascii="Times New Roman" w:hAnsi="Times New Roman" w:cs="Times New Roman"/>
          <w:noProof/>
          <w:sz w:val="24"/>
          <w:szCs w:val="24"/>
        </w:rPr>
      </w:pPr>
    </w:p>
    <w:p w14:paraId="6B520A49" w14:textId="77777777" w:rsidR="001F244E" w:rsidRPr="004E2424" w:rsidRDefault="001F244E" w:rsidP="004E2424">
      <w:pPr>
        <w:pStyle w:val="BodyText"/>
        <w:spacing w:after="0"/>
        <w:rPr>
          <w:rFonts w:ascii="Times New Roman" w:hAnsi="Times New Roman" w:cs="Times New Roman"/>
          <w:i/>
          <w:iCs/>
          <w:noProof/>
          <w:u w:val="single"/>
        </w:rPr>
      </w:pPr>
      <w:bookmarkStart w:id="73" w:name="_Toc159930782"/>
      <w:bookmarkStart w:id="74" w:name="_Toc164075794"/>
      <w:bookmarkStart w:id="75" w:name="_Toc164372840"/>
      <w:bookmarkStart w:id="76" w:name="_Toc164376049"/>
      <w:bookmarkStart w:id="77" w:name="_Toc164547387"/>
      <w:bookmarkStart w:id="78" w:name="_Toc164680880"/>
      <w:bookmarkStart w:id="79" w:name="_Toc164682611"/>
      <w:bookmarkStart w:id="80" w:name="_Toc167205604"/>
      <w:bookmarkStart w:id="81" w:name="_Toc167208503"/>
      <w:r w:rsidRPr="004E2424">
        <w:rPr>
          <w:rFonts w:ascii="Times New Roman" w:hAnsi="Times New Roman" w:cs="Times New Roman"/>
          <w:i/>
          <w:iCs/>
          <w:noProof/>
          <w:sz w:val="24"/>
          <w:szCs w:val="24"/>
          <w:u w:val="single"/>
        </w:rPr>
        <w:t>Description of problems encountered and mitigation actions</w:t>
      </w:r>
      <w:bookmarkEnd w:id="73"/>
      <w:bookmarkEnd w:id="74"/>
      <w:bookmarkEnd w:id="75"/>
      <w:bookmarkEnd w:id="76"/>
      <w:bookmarkEnd w:id="77"/>
      <w:bookmarkEnd w:id="78"/>
      <w:bookmarkEnd w:id="79"/>
      <w:bookmarkEnd w:id="80"/>
      <w:bookmarkEnd w:id="81"/>
      <w:r w:rsidRPr="004E2424">
        <w:rPr>
          <w:rFonts w:ascii="Times New Roman" w:hAnsi="Times New Roman" w:cs="Times New Roman"/>
          <w:i/>
          <w:iCs/>
          <w:noProof/>
          <w:sz w:val="24"/>
          <w:szCs w:val="24"/>
          <w:u w:val="single"/>
        </w:rPr>
        <w:t xml:space="preserve"> </w:t>
      </w:r>
    </w:p>
    <w:p w14:paraId="45618F0D" w14:textId="77777777" w:rsidR="001F244E" w:rsidRPr="00855E06" w:rsidRDefault="001F244E" w:rsidP="004E2424">
      <w:pPr>
        <w:spacing w:after="0"/>
        <w:rPr>
          <w:rFonts w:ascii="Times New Roman" w:hAnsi="Times New Roman" w:cs="Times New Roman"/>
          <w:noProof/>
          <w:sz w:val="24"/>
          <w:szCs w:val="24"/>
          <w:lang w:val="en-IE"/>
        </w:rPr>
      </w:pPr>
      <w:r w:rsidRPr="00855E06">
        <w:rPr>
          <w:rFonts w:ascii="Times New Roman" w:hAnsi="Times New Roman" w:cs="Times New Roman"/>
          <w:noProof/>
          <w:sz w:val="24"/>
          <w:szCs w:val="24"/>
          <w:lang w:val="en-IE"/>
        </w:rPr>
        <w:t xml:space="preserve">The identification of potential risks and/or problems encountered, and the development of mitigation actions is an integral part of the quality control measures. The following table presents the problems encountered. </w:t>
      </w:r>
    </w:p>
    <w:p w14:paraId="4AB9BB5E" w14:textId="2B14EE52" w:rsidR="001F244E" w:rsidRPr="00855E06" w:rsidRDefault="001F244E" w:rsidP="004E2424">
      <w:pPr>
        <w:pStyle w:val="BodyText"/>
        <w:spacing w:after="0"/>
        <w:rPr>
          <w:rFonts w:ascii="Times New Roman" w:hAnsi="Times New Roman" w:cs="Times New Roman"/>
          <w:noProof/>
          <w:sz w:val="24"/>
          <w:szCs w:val="24"/>
        </w:rPr>
      </w:pPr>
    </w:p>
    <w:p w14:paraId="5255D03A" w14:textId="0FF4FF4D" w:rsidR="001F244E" w:rsidRPr="004E2424" w:rsidRDefault="001F244E" w:rsidP="004E2424">
      <w:pPr>
        <w:pStyle w:val="Caption"/>
        <w:keepNext/>
        <w:spacing w:after="0"/>
        <w:rPr>
          <w:rFonts w:ascii="Times New Roman" w:hAnsi="Times New Roman" w:cs="Times New Roman"/>
          <w:i/>
          <w:iCs/>
          <w:sz w:val="24"/>
          <w:szCs w:val="24"/>
        </w:rPr>
      </w:pPr>
      <w:bookmarkStart w:id="82" w:name="_Toc159930965"/>
      <w:bookmarkStart w:id="83" w:name="_Toc167205838"/>
      <w:r w:rsidRPr="004E2424">
        <w:rPr>
          <w:rFonts w:ascii="Times New Roman" w:hAnsi="Times New Roman" w:cs="Times New Roman"/>
          <w:i/>
          <w:iCs/>
          <w:sz w:val="24"/>
          <w:szCs w:val="24"/>
        </w:rPr>
        <w:t xml:space="preserve">Table </w:t>
      </w:r>
      <w:r w:rsidRPr="004E2424">
        <w:rPr>
          <w:rFonts w:ascii="Times New Roman" w:hAnsi="Times New Roman" w:cs="Times New Roman"/>
          <w:i/>
          <w:iCs/>
          <w:sz w:val="24"/>
          <w:szCs w:val="24"/>
        </w:rPr>
        <w:fldChar w:fldCharType="begin"/>
      </w:r>
      <w:r w:rsidRPr="004E2424">
        <w:rPr>
          <w:rFonts w:ascii="Times New Roman" w:hAnsi="Times New Roman" w:cs="Times New Roman"/>
          <w:i/>
          <w:iCs/>
          <w:sz w:val="24"/>
          <w:szCs w:val="24"/>
        </w:rPr>
        <w:instrText xml:space="preserve"> SEQ Table \* ARABIC </w:instrText>
      </w:r>
      <w:r w:rsidRPr="004E2424">
        <w:rPr>
          <w:rFonts w:ascii="Times New Roman" w:hAnsi="Times New Roman" w:cs="Times New Roman"/>
          <w:i/>
          <w:iCs/>
          <w:sz w:val="24"/>
          <w:szCs w:val="24"/>
        </w:rPr>
        <w:fldChar w:fldCharType="separate"/>
      </w:r>
      <w:r w:rsidR="004E2424">
        <w:rPr>
          <w:rFonts w:ascii="Times New Roman" w:hAnsi="Times New Roman" w:cs="Times New Roman"/>
          <w:i/>
          <w:iCs/>
          <w:sz w:val="24"/>
          <w:szCs w:val="24"/>
        </w:rPr>
        <w:t>1</w:t>
      </w:r>
      <w:r w:rsidRPr="004E2424">
        <w:rPr>
          <w:rFonts w:ascii="Times New Roman" w:hAnsi="Times New Roman" w:cs="Times New Roman"/>
          <w:i/>
          <w:iCs/>
          <w:sz w:val="24"/>
          <w:szCs w:val="24"/>
        </w:rPr>
        <w:fldChar w:fldCharType="end"/>
      </w:r>
      <w:r w:rsidRPr="004E2424">
        <w:rPr>
          <w:rFonts w:ascii="Times New Roman" w:hAnsi="Times New Roman" w:cs="Times New Roman"/>
          <w:i/>
          <w:iCs/>
          <w:sz w:val="24"/>
          <w:szCs w:val="24"/>
        </w:rPr>
        <w:t xml:space="preserve"> – Problems encountered and mitigation actions</w:t>
      </w:r>
      <w:bookmarkEnd w:id="82"/>
      <w:bookmarkEnd w:id="83"/>
    </w:p>
    <w:tbl>
      <w:tblPr>
        <w:tblStyle w:val="Style1"/>
        <w:tblW w:w="0" w:type="auto"/>
        <w:tblLook w:val="04A0" w:firstRow="1" w:lastRow="0" w:firstColumn="1" w:lastColumn="0" w:noHBand="0" w:noVBand="1"/>
      </w:tblPr>
      <w:tblGrid>
        <w:gridCol w:w="4096"/>
        <w:gridCol w:w="11198"/>
      </w:tblGrid>
      <w:tr w:rsidR="003B5156" w:rsidRPr="003B5156" w14:paraId="61816A8E" w14:textId="77777777" w:rsidTr="003B5156">
        <w:trPr>
          <w:cnfStyle w:val="100000000000" w:firstRow="1" w:lastRow="0" w:firstColumn="0" w:lastColumn="0" w:oddVBand="0" w:evenVBand="0" w:oddHBand="0" w:evenHBand="0" w:firstRowFirstColumn="0" w:firstRowLastColumn="0" w:lastRowFirstColumn="0" w:lastRowLastColumn="0"/>
          <w:tblHeader/>
        </w:trPr>
        <w:tc>
          <w:tcPr>
            <w:tcW w:w="4096" w:type="dxa"/>
            <w:shd w:val="clear" w:color="auto" w:fill="1B7BCA" w:themeFill="background2" w:themeFillShade="80"/>
          </w:tcPr>
          <w:p w14:paraId="41221B0F" w14:textId="77777777" w:rsidR="003B5156" w:rsidRPr="003B5156" w:rsidRDefault="003B5156" w:rsidP="004E2424">
            <w:pPr>
              <w:pStyle w:val="BodyText1"/>
              <w:spacing w:before="0" w:after="0"/>
              <w:jc w:val="both"/>
              <w:rPr>
                <w:rFonts w:ascii="Arial" w:hAnsi="Arial" w:cs="Arial"/>
                <w:sz w:val="20"/>
                <w:lang w:val="en-GB"/>
              </w:rPr>
            </w:pPr>
            <w:r w:rsidRPr="003B5156">
              <w:rPr>
                <w:rFonts w:ascii="Arial" w:hAnsi="Arial" w:cs="Arial"/>
                <w:sz w:val="20"/>
                <w:lang w:val="en-GB"/>
              </w:rPr>
              <w:t>Problems encountered</w:t>
            </w:r>
          </w:p>
        </w:tc>
        <w:tc>
          <w:tcPr>
            <w:tcW w:w="11198" w:type="dxa"/>
            <w:shd w:val="clear" w:color="auto" w:fill="1B7BCA" w:themeFill="background2" w:themeFillShade="80"/>
          </w:tcPr>
          <w:p w14:paraId="5474EE0F" w14:textId="77777777" w:rsidR="003B5156" w:rsidRPr="003B5156" w:rsidRDefault="003B5156" w:rsidP="004E2424">
            <w:pPr>
              <w:pStyle w:val="BodyText1"/>
              <w:spacing w:before="0" w:after="0"/>
              <w:jc w:val="both"/>
              <w:rPr>
                <w:rFonts w:ascii="Arial" w:hAnsi="Arial" w:cs="Arial"/>
                <w:sz w:val="20"/>
                <w:lang w:val="en-GB"/>
              </w:rPr>
            </w:pPr>
            <w:r w:rsidRPr="003B5156">
              <w:rPr>
                <w:rFonts w:ascii="Arial" w:hAnsi="Arial" w:cs="Arial"/>
                <w:sz w:val="20"/>
                <w:lang w:val="en-GB"/>
              </w:rPr>
              <w:t>Mitigation actions</w:t>
            </w:r>
          </w:p>
        </w:tc>
      </w:tr>
      <w:tr w:rsidR="003B5156" w:rsidRPr="002048C6" w14:paraId="13A9A35E" w14:textId="77777777" w:rsidTr="003B5156">
        <w:tc>
          <w:tcPr>
            <w:tcW w:w="4096" w:type="dxa"/>
          </w:tcPr>
          <w:p w14:paraId="3CE1B4A9" w14:textId="77777777" w:rsidR="003B5156" w:rsidRPr="003B5156" w:rsidRDefault="003B5156" w:rsidP="004E2424">
            <w:pPr>
              <w:pStyle w:val="BodyText1"/>
              <w:spacing w:before="0" w:after="0"/>
              <w:rPr>
                <w:rFonts w:ascii="Arial" w:hAnsi="Arial" w:cs="Arial"/>
                <w:b/>
                <w:sz w:val="20"/>
                <w:lang w:val="en-GB"/>
              </w:rPr>
            </w:pPr>
            <w:r w:rsidRPr="003B5156">
              <w:rPr>
                <w:rFonts w:ascii="Arial" w:hAnsi="Arial" w:cs="Arial"/>
                <w:b/>
                <w:sz w:val="20"/>
                <w:lang w:val="en-GB"/>
              </w:rPr>
              <w:t>Facing a wealth of information, potentially hindering the review process</w:t>
            </w:r>
          </w:p>
        </w:tc>
        <w:tc>
          <w:tcPr>
            <w:tcW w:w="11198" w:type="dxa"/>
          </w:tcPr>
          <w:p w14:paraId="39DC8086" w14:textId="77777777" w:rsidR="003B5156" w:rsidRPr="003B5156" w:rsidRDefault="003B5156" w:rsidP="004E2424">
            <w:pPr>
              <w:pStyle w:val="BodyText1"/>
              <w:spacing w:before="0" w:after="0"/>
              <w:jc w:val="both"/>
              <w:rPr>
                <w:rFonts w:ascii="Arial" w:hAnsi="Arial" w:cs="Arial"/>
                <w:sz w:val="20"/>
                <w:lang w:val="en-GB"/>
              </w:rPr>
            </w:pPr>
            <w:r w:rsidRPr="003B5156">
              <w:rPr>
                <w:rFonts w:ascii="Arial" w:hAnsi="Arial" w:cs="Arial"/>
                <w:sz w:val="20"/>
                <w:lang w:val="en-GB"/>
              </w:rPr>
              <w:t xml:space="preserve">The Study Team has prepared an overview of around 140 documents that were made available. This overview structures our analysis, as it includes the main contents of each document and the review status. In addition, we have clearly allocated each document to a specific team member to spread the work across the team. </w:t>
            </w:r>
          </w:p>
        </w:tc>
      </w:tr>
      <w:tr w:rsidR="003B5156" w:rsidRPr="002048C6" w14:paraId="157694AA" w14:textId="77777777" w:rsidTr="003B5156">
        <w:tc>
          <w:tcPr>
            <w:tcW w:w="4096" w:type="dxa"/>
          </w:tcPr>
          <w:p w14:paraId="6DED148D" w14:textId="77777777" w:rsidR="003B5156" w:rsidRPr="003B5156" w:rsidRDefault="003B5156" w:rsidP="004E2424">
            <w:pPr>
              <w:pStyle w:val="BodyText1"/>
              <w:spacing w:before="0" w:after="0"/>
              <w:rPr>
                <w:rFonts w:ascii="Arial" w:hAnsi="Arial" w:cs="Arial"/>
                <w:b/>
                <w:sz w:val="20"/>
                <w:lang w:val="en-GB"/>
              </w:rPr>
            </w:pPr>
            <w:r w:rsidRPr="003B5156">
              <w:rPr>
                <w:rFonts w:ascii="Arial" w:hAnsi="Arial" w:cs="Arial"/>
                <w:b/>
                <w:sz w:val="20"/>
                <w:lang w:val="en-GB"/>
              </w:rPr>
              <w:t xml:space="preserve">Challenges and delays in scheduling and coordinating visits at eu-LISA </w:t>
            </w:r>
          </w:p>
        </w:tc>
        <w:tc>
          <w:tcPr>
            <w:tcW w:w="11198" w:type="dxa"/>
          </w:tcPr>
          <w:p w14:paraId="3B3A6966" w14:textId="77777777" w:rsidR="003B5156" w:rsidRPr="003B5156" w:rsidRDefault="003B5156" w:rsidP="004E2424">
            <w:pPr>
              <w:pStyle w:val="BodyText1"/>
              <w:spacing w:before="0" w:after="0"/>
              <w:jc w:val="both"/>
              <w:rPr>
                <w:rFonts w:ascii="Arial" w:hAnsi="Arial" w:cs="Arial"/>
                <w:sz w:val="20"/>
                <w:lang w:val="en-GB"/>
              </w:rPr>
            </w:pPr>
            <w:r w:rsidRPr="003B5156">
              <w:rPr>
                <w:rFonts w:ascii="Arial" w:hAnsi="Arial" w:cs="Arial"/>
                <w:sz w:val="20"/>
                <w:lang w:val="en-GB"/>
              </w:rPr>
              <w:t xml:space="preserve">While it was challenging to identify suitable dates for the visits of the two eu-LISA sites in Tallinn and Strasbourg, this was solved via a close coordination with the dedicated contact point within eu-LISA. Together with the contact point, two weeks, in which the majority of relevant staff was available were identified, so that we were able to conduct a high number of interviews in a short time frame. Staff who was not available during those days has been contacted after the visits to schedule virtual interviews. </w:t>
            </w:r>
          </w:p>
        </w:tc>
      </w:tr>
      <w:tr w:rsidR="003B5156" w:rsidRPr="002048C6" w14:paraId="6FDC53B0" w14:textId="77777777" w:rsidTr="003B5156">
        <w:tc>
          <w:tcPr>
            <w:tcW w:w="4096" w:type="dxa"/>
          </w:tcPr>
          <w:p w14:paraId="0131F97B" w14:textId="77777777" w:rsidR="003B5156" w:rsidRPr="003B5156" w:rsidRDefault="003B5156" w:rsidP="004E2424">
            <w:pPr>
              <w:pStyle w:val="BodyText1"/>
              <w:spacing w:before="0" w:after="0"/>
              <w:rPr>
                <w:rFonts w:ascii="Arial" w:hAnsi="Arial" w:cs="Arial"/>
                <w:b/>
                <w:sz w:val="20"/>
                <w:lang w:val="en-GB"/>
              </w:rPr>
            </w:pPr>
            <w:r w:rsidRPr="003B5156">
              <w:rPr>
                <w:rFonts w:ascii="Arial" w:hAnsi="Arial" w:cs="Arial"/>
                <w:b/>
                <w:sz w:val="20"/>
                <w:lang w:val="en-GB"/>
              </w:rPr>
              <w:t xml:space="preserve">High number of interviews planned, several data collection efforts going on in parallel </w:t>
            </w:r>
          </w:p>
        </w:tc>
        <w:tc>
          <w:tcPr>
            <w:tcW w:w="11198" w:type="dxa"/>
          </w:tcPr>
          <w:p w14:paraId="753C8E3D" w14:textId="77777777" w:rsidR="003B5156" w:rsidRPr="003B5156" w:rsidRDefault="003B5156" w:rsidP="004E2424">
            <w:pPr>
              <w:pStyle w:val="BodyText1"/>
              <w:spacing w:before="0" w:after="0"/>
              <w:jc w:val="both"/>
              <w:rPr>
                <w:rFonts w:ascii="Arial" w:hAnsi="Arial" w:cs="Arial"/>
                <w:sz w:val="20"/>
                <w:lang w:val="en-GB"/>
              </w:rPr>
            </w:pPr>
            <w:r w:rsidRPr="003B5156">
              <w:rPr>
                <w:rFonts w:ascii="Arial" w:hAnsi="Arial" w:cs="Arial"/>
                <w:sz w:val="20"/>
                <w:lang w:val="en-GB"/>
              </w:rPr>
              <w:t>The Study Team has taken deliberate decisions on which activities and stakeholders to focus on in the beginning of Task 2. In particular, the activities that are more challenging to organise (eu-LISA visits, online surveys, SWOT-Workshops) and stakeholders that provide essential inputs for the content of the evaluation and/or act a important multipliers (e.g. eu-LISA, MB, AGs) were prioritised.</w:t>
            </w:r>
          </w:p>
        </w:tc>
      </w:tr>
      <w:tr w:rsidR="003B5156" w:rsidRPr="002048C6" w14:paraId="5A9C0EEF" w14:textId="77777777" w:rsidTr="003B5156">
        <w:tc>
          <w:tcPr>
            <w:tcW w:w="4096" w:type="dxa"/>
          </w:tcPr>
          <w:p w14:paraId="72837B39" w14:textId="77777777" w:rsidR="003B5156" w:rsidRPr="003B5156" w:rsidRDefault="003B5156" w:rsidP="004E2424">
            <w:pPr>
              <w:pStyle w:val="BodyText1"/>
              <w:spacing w:before="0" w:after="0"/>
              <w:rPr>
                <w:rFonts w:ascii="Arial" w:hAnsi="Arial" w:cs="Arial"/>
                <w:b/>
                <w:sz w:val="20"/>
                <w:lang w:val="en-GB"/>
              </w:rPr>
            </w:pPr>
            <w:r w:rsidRPr="003B5156">
              <w:rPr>
                <w:rFonts w:ascii="Arial" w:hAnsi="Arial" w:cs="Arial"/>
                <w:b/>
                <w:sz w:val="20"/>
                <w:lang w:val="en-GB"/>
              </w:rPr>
              <w:t xml:space="preserve">Reliance on multipliers for distributing online surveys </w:t>
            </w:r>
          </w:p>
        </w:tc>
        <w:tc>
          <w:tcPr>
            <w:tcW w:w="11198" w:type="dxa"/>
          </w:tcPr>
          <w:p w14:paraId="391B3650" w14:textId="77777777" w:rsidR="003B5156" w:rsidRPr="003B5156" w:rsidRDefault="003B5156" w:rsidP="004E2424">
            <w:pPr>
              <w:pStyle w:val="BodyText1"/>
              <w:spacing w:before="0" w:after="0"/>
              <w:jc w:val="both"/>
              <w:rPr>
                <w:rFonts w:ascii="Arial" w:hAnsi="Arial" w:cs="Arial"/>
                <w:sz w:val="20"/>
                <w:lang w:val="en-GB"/>
              </w:rPr>
            </w:pPr>
            <w:r w:rsidRPr="003B5156">
              <w:rPr>
                <w:rFonts w:ascii="Arial" w:hAnsi="Arial" w:cs="Arial"/>
                <w:sz w:val="20"/>
                <w:lang w:val="en-GB"/>
              </w:rPr>
              <w:t>For the distribution of online surveys, the Study Team relied on the Advisory Group chairs and members as well as on members of the EDPB. Based on the efforts put into clearly communicating the added-value of the surveys and actively following up with the contact points, the distribution of the surveys functioned well and led to satisfying response rates.</w:t>
            </w:r>
          </w:p>
        </w:tc>
      </w:tr>
      <w:tr w:rsidR="003B5156" w:rsidRPr="002048C6" w14:paraId="55183B7E" w14:textId="77777777" w:rsidTr="003B5156">
        <w:tc>
          <w:tcPr>
            <w:tcW w:w="4096" w:type="dxa"/>
          </w:tcPr>
          <w:p w14:paraId="2FF5C54F" w14:textId="77777777" w:rsidR="003B5156" w:rsidRPr="003B5156" w:rsidRDefault="003B5156" w:rsidP="004E2424">
            <w:pPr>
              <w:pStyle w:val="BodyText1"/>
              <w:spacing w:before="0" w:after="0"/>
              <w:rPr>
                <w:rFonts w:ascii="Arial" w:hAnsi="Arial" w:cs="Arial"/>
                <w:b/>
                <w:sz w:val="20"/>
                <w:lang w:val="en-GB"/>
              </w:rPr>
            </w:pPr>
            <w:r w:rsidRPr="003B5156">
              <w:rPr>
                <w:rFonts w:ascii="Arial" w:hAnsi="Arial" w:cs="Arial"/>
                <w:b/>
                <w:sz w:val="20"/>
                <w:lang w:val="en-GB"/>
              </w:rPr>
              <w:t>Coordination of SWOT workshops</w:t>
            </w:r>
          </w:p>
        </w:tc>
        <w:tc>
          <w:tcPr>
            <w:tcW w:w="11198" w:type="dxa"/>
          </w:tcPr>
          <w:p w14:paraId="029F436A" w14:textId="77777777" w:rsidR="003B5156" w:rsidRPr="003B5156" w:rsidRDefault="003B5156" w:rsidP="004E2424">
            <w:pPr>
              <w:pStyle w:val="BodyText1"/>
              <w:spacing w:before="0" w:after="0"/>
              <w:jc w:val="both"/>
              <w:rPr>
                <w:rFonts w:ascii="Arial" w:hAnsi="Arial" w:cs="Arial"/>
                <w:sz w:val="20"/>
                <w:lang w:val="en-GB"/>
              </w:rPr>
            </w:pPr>
            <w:r w:rsidRPr="003B5156">
              <w:rPr>
                <w:rFonts w:ascii="Arial" w:hAnsi="Arial" w:cs="Arial"/>
                <w:sz w:val="20"/>
                <w:lang w:val="en-GB"/>
              </w:rPr>
              <w:t xml:space="preserve">Setting up the SWOT workshops has been challenging, considering that we had to find suitable time slots for a large group of persons. Our approach to ensuring a high participating rate includes: (1) planning with ample time ahead, in particular for sessions involving (super-) users who still needed to be identified; (2) being flexible relating to the participants to be involved and time slots; and (3) proactively following up with the contact points. </w:t>
            </w:r>
          </w:p>
        </w:tc>
      </w:tr>
      <w:tr w:rsidR="003B5156" w:rsidRPr="002048C6" w14:paraId="50DD80D5" w14:textId="77777777" w:rsidTr="003B5156">
        <w:tc>
          <w:tcPr>
            <w:tcW w:w="4096" w:type="dxa"/>
          </w:tcPr>
          <w:p w14:paraId="1DAF3F5F" w14:textId="77777777" w:rsidR="003B5156" w:rsidRPr="003B5156" w:rsidRDefault="003B5156" w:rsidP="004E2424">
            <w:pPr>
              <w:pStyle w:val="BodyText1"/>
              <w:spacing w:before="0" w:after="0"/>
              <w:rPr>
                <w:rFonts w:ascii="Arial" w:hAnsi="Arial" w:cs="Arial"/>
                <w:b/>
                <w:sz w:val="20"/>
                <w:lang w:val="en-GB"/>
              </w:rPr>
            </w:pPr>
            <w:r w:rsidRPr="003B5156">
              <w:rPr>
                <w:rFonts w:ascii="Arial" w:hAnsi="Arial" w:cs="Arial"/>
                <w:b/>
                <w:sz w:val="20"/>
                <w:lang w:val="en-GB"/>
              </w:rPr>
              <w:t>Low survey response rates</w:t>
            </w:r>
          </w:p>
        </w:tc>
        <w:tc>
          <w:tcPr>
            <w:tcW w:w="11198" w:type="dxa"/>
          </w:tcPr>
          <w:p w14:paraId="671ED6E2" w14:textId="77777777" w:rsidR="003B5156" w:rsidRPr="003B5156" w:rsidRDefault="003B5156" w:rsidP="004E2424">
            <w:pPr>
              <w:pStyle w:val="BodyText1"/>
              <w:spacing w:before="0" w:after="0"/>
              <w:jc w:val="both"/>
              <w:rPr>
                <w:rFonts w:ascii="Arial" w:hAnsi="Arial" w:cs="Arial"/>
                <w:sz w:val="20"/>
                <w:lang w:val="en-GB"/>
              </w:rPr>
            </w:pPr>
            <w:r w:rsidRPr="003B5156">
              <w:rPr>
                <w:rFonts w:ascii="Arial" w:hAnsi="Arial" w:cs="Arial"/>
                <w:sz w:val="20"/>
                <w:lang w:val="en-GB"/>
              </w:rPr>
              <w:t>Low response rates to online surveys can impact the quality of data collected. Based on the efforts put into clearly communicating the added-value of the surveys and actively following up with the contact points, the response rate was satisfying.</w:t>
            </w:r>
          </w:p>
        </w:tc>
      </w:tr>
    </w:tbl>
    <w:p w14:paraId="1B53FAD4" w14:textId="50E1DC2E" w:rsidR="000806A5" w:rsidRPr="00855E06" w:rsidRDefault="000806A5" w:rsidP="004E2424">
      <w:pPr>
        <w:spacing w:after="0"/>
        <w:rPr>
          <w:rFonts w:ascii="Times New Roman" w:hAnsi="Times New Roman" w:cs="Times New Roman"/>
          <w:iCs/>
          <w:noProof/>
          <w:sz w:val="24"/>
          <w:szCs w:val="24"/>
          <w:lang w:val="en-GB"/>
        </w:rPr>
      </w:pPr>
      <w:r w:rsidRPr="004E2424">
        <w:rPr>
          <w:rFonts w:ascii="Times New Roman" w:hAnsi="Times New Roman" w:cs="Times New Roman"/>
          <w:iCs/>
          <w:noProof/>
          <w:sz w:val="24"/>
          <w:szCs w:val="24"/>
          <w:lang w:val="en-IE"/>
        </w:rPr>
        <w:br w:type="page"/>
      </w:r>
    </w:p>
    <w:p w14:paraId="1E3BD5D6" w14:textId="4430D779" w:rsidR="00147D71" w:rsidRPr="00855E06" w:rsidRDefault="00147D71" w:rsidP="004E2424">
      <w:pPr>
        <w:pStyle w:val="Heading1"/>
        <w:pBdr>
          <w:top w:val="single" w:sz="4" w:space="1" w:color="auto"/>
          <w:left w:val="single" w:sz="4" w:space="4" w:color="auto"/>
          <w:bottom w:val="single" w:sz="4" w:space="1" w:color="auto"/>
          <w:right w:val="single" w:sz="4" w:space="4" w:color="auto"/>
        </w:pBdr>
        <w:shd w:val="clear" w:color="auto" w:fill="BBDAFD" w:themeFill="text2" w:themeFillTint="33"/>
        <w:spacing w:before="0" w:after="0"/>
        <w:rPr>
          <w:noProof/>
          <w:szCs w:val="24"/>
        </w:rPr>
      </w:pPr>
      <w:bookmarkStart w:id="84" w:name="_Toc207303619"/>
      <w:r w:rsidRPr="00855E06">
        <w:rPr>
          <w:noProof/>
          <w:szCs w:val="24"/>
        </w:rPr>
        <w:t xml:space="preserve">Annex III. Evaluation </w:t>
      </w:r>
      <w:r w:rsidR="006A4E17" w:rsidRPr="00855E06">
        <w:rPr>
          <w:noProof/>
          <w:szCs w:val="24"/>
        </w:rPr>
        <w:t>m</w:t>
      </w:r>
      <w:r w:rsidR="00167A34" w:rsidRPr="00855E06">
        <w:rPr>
          <w:noProof/>
          <w:szCs w:val="24"/>
        </w:rPr>
        <w:t>atrix</w:t>
      </w:r>
      <w:bookmarkEnd w:id="84"/>
    </w:p>
    <w:p w14:paraId="437DA9B5" w14:textId="77777777" w:rsidR="00233273" w:rsidRPr="00855E06" w:rsidRDefault="00233273" w:rsidP="004E2424">
      <w:pPr>
        <w:spacing w:after="0"/>
        <w:jc w:val="both"/>
        <w:rPr>
          <w:rFonts w:ascii="Times New Roman" w:hAnsi="Times New Roman" w:cs="Times New Roman"/>
          <w:iCs/>
          <w:noProof/>
          <w:sz w:val="24"/>
          <w:szCs w:val="24"/>
          <w:lang w:val="en-IE"/>
        </w:rPr>
      </w:pPr>
    </w:p>
    <w:p w14:paraId="46E46B1B" w14:textId="2864DB19" w:rsidR="00233273" w:rsidRDefault="00233273" w:rsidP="00233273">
      <w:pPr>
        <w:spacing w:after="0"/>
        <w:jc w:val="both"/>
        <w:rPr>
          <w:rFonts w:ascii="Times New Roman" w:hAnsi="Times New Roman" w:cs="Times New Roman"/>
          <w:noProof/>
          <w:lang w:val="en-IE"/>
        </w:rPr>
      </w:pPr>
      <w:r w:rsidRPr="00855E06">
        <w:rPr>
          <w:rFonts w:ascii="Times New Roman" w:hAnsi="Times New Roman" w:cs="Times New Roman"/>
          <w:iCs/>
          <w:noProof/>
          <w:sz w:val="24"/>
          <w:szCs w:val="24"/>
          <w:lang w:val="en-IE"/>
        </w:rPr>
        <w:t>T</w:t>
      </w:r>
      <w:r w:rsidRPr="004E2424">
        <w:rPr>
          <w:rFonts w:ascii="Times New Roman" w:hAnsi="Times New Roman" w:cs="Times New Roman"/>
          <w:noProof/>
          <w:lang w:val="en-IE"/>
        </w:rPr>
        <w:t xml:space="preserve">he following tables present the evaluation matrix, consisting of separate tables for each evaluation criterion. </w:t>
      </w:r>
    </w:p>
    <w:p w14:paraId="43EDC94B" w14:textId="77777777" w:rsidR="00233273" w:rsidRPr="004E2424" w:rsidRDefault="00233273" w:rsidP="004E2424">
      <w:pPr>
        <w:spacing w:after="0"/>
        <w:jc w:val="both"/>
        <w:rPr>
          <w:rFonts w:ascii="Times New Roman" w:hAnsi="Times New Roman" w:cs="Times New Roman"/>
          <w:noProof/>
          <w:lang w:val="en-IE"/>
        </w:rPr>
      </w:pPr>
    </w:p>
    <w:p w14:paraId="14501DF6" w14:textId="77777777" w:rsidR="00233273" w:rsidRDefault="00233273" w:rsidP="00233273">
      <w:pPr>
        <w:spacing w:after="0" w:line="240" w:lineRule="auto"/>
        <w:rPr>
          <w:rFonts w:ascii="Times New Roman" w:hAnsi="Times New Roman" w:cs="Times New Roman"/>
          <w:b/>
          <w:bCs/>
          <w:noProof/>
          <w:u w:val="single"/>
          <w:lang w:val="en-IE"/>
        </w:rPr>
      </w:pPr>
      <w:bookmarkStart w:id="85" w:name="_Toc164075798"/>
      <w:bookmarkStart w:id="86" w:name="_Toc164372844"/>
      <w:bookmarkStart w:id="87" w:name="_Toc164376053"/>
      <w:bookmarkStart w:id="88" w:name="_Toc164547391"/>
      <w:bookmarkStart w:id="89" w:name="_Toc164680885"/>
      <w:bookmarkStart w:id="90" w:name="_Toc164682616"/>
      <w:bookmarkStart w:id="91" w:name="_Toc167205609"/>
      <w:bookmarkStart w:id="92" w:name="_Toc167208508"/>
      <w:r w:rsidRPr="004E2424">
        <w:rPr>
          <w:rFonts w:ascii="Times New Roman" w:hAnsi="Times New Roman" w:cs="Times New Roman"/>
          <w:b/>
          <w:bCs/>
          <w:noProof/>
          <w:u w:val="single"/>
          <w:lang w:val="en-IE"/>
        </w:rPr>
        <w:t>Relevance</w:t>
      </w:r>
      <w:bookmarkEnd w:id="85"/>
      <w:bookmarkEnd w:id="86"/>
      <w:bookmarkEnd w:id="87"/>
      <w:bookmarkEnd w:id="88"/>
      <w:bookmarkEnd w:id="89"/>
      <w:bookmarkEnd w:id="90"/>
      <w:bookmarkEnd w:id="91"/>
      <w:bookmarkEnd w:id="92"/>
    </w:p>
    <w:p w14:paraId="609A266E" w14:textId="77777777" w:rsidR="00233273" w:rsidRPr="004E2424" w:rsidRDefault="00233273" w:rsidP="00233273">
      <w:pPr>
        <w:spacing w:after="0" w:line="240" w:lineRule="auto"/>
        <w:rPr>
          <w:rFonts w:ascii="Times New Roman" w:hAnsi="Times New Roman" w:cs="Times New Roman"/>
          <w:b/>
          <w:bCs/>
          <w:noProof/>
          <w:u w:val="single"/>
          <w:lang w:val="en-IE"/>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487"/>
        <w:gridCol w:w="12901"/>
      </w:tblGrid>
      <w:tr w:rsidR="00233273" w:rsidRPr="002048C6" w14:paraId="62EC6A41" w14:textId="77777777">
        <w:tc>
          <w:tcPr>
            <w:tcW w:w="808" w:type="pct"/>
            <w:shd w:val="clear" w:color="auto" w:fill="1B7BCA" w:themeFill="background2" w:themeFillShade="80"/>
            <w:vAlign w:val="center"/>
          </w:tcPr>
          <w:p w14:paraId="14C12F6B"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Understanding </w:t>
            </w:r>
          </w:p>
        </w:tc>
        <w:tc>
          <w:tcPr>
            <w:tcW w:w="4192" w:type="pct"/>
          </w:tcPr>
          <w:p w14:paraId="5244CD1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Alignment of eu-LISA Regulation's scope and mandate with the needs of the Member States, the EU, and external stakeholders;</w:t>
            </w:r>
          </w:p>
          <w:p w14:paraId="347D1EE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Degree to which the Regulation's objectives and purpose are relevant in view of existing and future problems observed; </w:t>
            </w:r>
          </w:p>
          <w:p w14:paraId="3F16A60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Evaluation of the extent to which the Regulation remains relevant in addressing the evolving demands of its stakeholders and the changing landscape of technology and security.</w:t>
            </w:r>
          </w:p>
        </w:tc>
      </w:tr>
      <w:tr w:rsidR="00233273" w:rsidRPr="002048C6" w14:paraId="3C525576" w14:textId="77777777">
        <w:tc>
          <w:tcPr>
            <w:tcW w:w="808" w:type="pct"/>
            <w:shd w:val="clear" w:color="auto" w:fill="1B7BCA" w:themeFill="background2" w:themeFillShade="80"/>
            <w:vAlign w:val="center"/>
          </w:tcPr>
          <w:p w14:paraId="22B5284A"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Analytical and methodological approach</w:t>
            </w:r>
          </w:p>
        </w:tc>
        <w:tc>
          <w:tcPr>
            <w:tcW w:w="4192" w:type="pct"/>
          </w:tcPr>
          <w:p w14:paraId="1AD76F3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eu-LISA Regulation's objectives and mandate vis-à-vis existing problems and evolving demands, as well as any relevant EU policy goals and priorities, ensuring a thorough understanding of their scope and evolution;</w:t>
            </w:r>
          </w:p>
          <w:p w14:paraId="55D2134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Data collection through desk research, written surveys, and interviews with EU institutions, stakeholders, and experts to assess the alignment between eu-LISA's objectives and broader EU policy needs;</w:t>
            </w:r>
          </w:p>
          <w:p w14:paraId="773B630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Comparative Analysis to determine the extent to which eu-LISA's objectives correspond to evolving trends, challenges, and emerging needs, especially in fields such as technology, law enforcement, and other relevant areas.</w:t>
            </w:r>
          </w:p>
        </w:tc>
      </w:tr>
      <w:tr w:rsidR="00233273" w:rsidRPr="002048C6" w14:paraId="2310F18A" w14:textId="77777777">
        <w:tc>
          <w:tcPr>
            <w:tcW w:w="808" w:type="pct"/>
            <w:shd w:val="clear" w:color="auto" w:fill="1B7BCA" w:themeFill="background2" w:themeFillShade="80"/>
            <w:vAlign w:val="center"/>
          </w:tcPr>
          <w:p w14:paraId="3DA574F2"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Potential limitations </w:t>
            </w:r>
          </w:p>
        </w:tc>
        <w:tc>
          <w:tcPr>
            <w:tcW w:w="4192" w:type="pct"/>
          </w:tcPr>
          <w:p w14:paraId="0F84430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Assessing “relevance” may involve subjective judgments, as perceptions of what is relevant can vary among stakeholders and over time;</w:t>
            </w:r>
          </w:p>
          <w:p w14:paraId="600C389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Subjective judgments will be made transparent and discussed with DG HOME;</w:t>
            </w:r>
          </w:p>
          <w:p w14:paraId="4FE3B28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Stakeholders’ inputs potentially biased due conflicts of interest. Project team will scrutinise evidence for potential bias;</w:t>
            </w:r>
          </w:p>
          <w:p w14:paraId="6D459FD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Potentially limited availability and accuracy of data, especially when assessing the alignment with broader EU policy goals and priorities. Besides, some information may be confidential or difficult to access (project team has an expert with security clearance involved).</w:t>
            </w:r>
          </w:p>
        </w:tc>
      </w:tr>
    </w:tbl>
    <w:p w14:paraId="5C0F0217" w14:textId="77777777" w:rsidR="00233273" w:rsidRDefault="00233273" w:rsidP="00233273">
      <w:pPr>
        <w:spacing w:after="0" w:line="240" w:lineRule="auto"/>
        <w:rPr>
          <w:rFonts w:ascii="Times New Roman" w:hAnsi="Times New Roman" w:cs="Times New Roman"/>
          <w:noProof/>
          <w:lang w:val="en-IE"/>
        </w:rPr>
      </w:pPr>
      <w:bookmarkStart w:id="93" w:name="_Toc154041757"/>
      <w:bookmarkStart w:id="94" w:name="_Toc167205841"/>
    </w:p>
    <w:p w14:paraId="46D006B8" w14:textId="77777777" w:rsidR="00233273" w:rsidRPr="004E2424" w:rsidRDefault="00233273" w:rsidP="004E2424">
      <w:pPr>
        <w:spacing w:after="0" w:line="240" w:lineRule="auto"/>
        <w:rPr>
          <w:rFonts w:ascii="Times New Roman" w:hAnsi="Times New Roman" w:cs="Times New Roman"/>
          <w:i/>
          <w:iCs/>
          <w:noProof/>
          <w:lang w:val="en-IE"/>
        </w:rPr>
      </w:pPr>
      <w:r w:rsidRPr="004E2424">
        <w:rPr>
          <w:rFonts w:ascii="Times New Roman" w:hAnsi="Times New Roman" w:cs="Times New Roman"/>
          <w:i/>
          <w:iCs/>
          <w:noProof/>
          <w:lang w:val="en-IE"/>
        </w:rPr>
        <w:t xml:space="preserve">Table </w:t>
      </w:r>
      <w:r>
        <w:rPr>
          <w:rFonts w:ascii="Times New Roman" w:hAnsi="Times New Roman" w:cs="Times New Roman"/>
          <w:i/>
          <w:iCs/>
          <w:noProof/>
        </w:rPr>
        <w:t>1</w:t>
      </w:r>
      <w:r w:rsidRPr="004E2424">
        <w:rPr>
          <w:rFonts w:ascii="Times New Roman" w:hAnsi="Times New Roman" w:cs="Times New Roman"/>
          <w:i/>
          <w:iCs/>
          <w:noProof/>
          <w:lang w:val="en-IE"/>
        </w:rPr>
        <w:t>- Relevance – Evaluation matrix</w:t>
      </w:r>
      <w:bookmarkEnd w:id="93"/>
      <w:bookmarkEnd w:id="94"/>
    </w:p>
    <w:tbl>
      <w:tblPr>
        <w:tblpPr w:leftFromText="141" w:rightFromText="141" w:vertAnchor="text" w:tblpY="1"/>
        <w:tblOverlap w:val="never"/>
        <w:tblW w:w="4973"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980"/>
        <w:gridCol w:w="12"/>
        <w:gridCol w:w="1996"/>
        <w:gridCol w:w="2954"/>
        <w:gridCol w:w="5669"/>
        <w:gridCol w:w="2694"/>
      </w:tblGrid>
      <w:tr w:rsidR="00233273" w:rsidRPr="00772B2A" w14:paraId="08B78437" w14:textId="77777777">
        <w:trPr>
          <w:trHeight w:val="509"/>
          <w:tblHeader/>
        </w:trPr>
        <w:tc>
          <w:tcPr>
            <w:tcW w:w="651" w:type="pct"/>
            <w:gridSpan w:val="2"/>
            <w:vMerge w:val="restart"/>
            <w:shd w:val="clear" w:color="auto" w:fill="1B7BCA" w:themeFill="background2" w:themeFillShade="80"/>
            <w:vAlign w:val="center"/>
            <w:hideMark/>
          </w:tcPr>
          <w:p w14:paraId="359E9CEE"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Evaluation question</w:t>
            </w:r>
          </w:p>
        </w:tc>
        <w:tc>
          <w:tcPr>
            <w:tcW w:w="652" w:type="pct"/>
            <w:vMerge w:val="restart"/>
            <w:shd w:val="clear" w:color="auto" w:fill="1B7BCA" w:themeFill="background2" w:themeFillShade="80"/>
            <w:vAlign w:val="center"/>
          </w:tcPr>
          <w:p w14:paraId="20F7395E"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Sub-questions (if applicable)</w:t>
            </w:r>
          </w:p>
        </w:tc>
        <w:tc>
          <w:tcPr>
            <w:tcW w:w="965" w:type="pct"/>
            <w:vMerge w:val="restart"/>
            <w:shd w:val="clear" w:color="auto" w:fill="1B7BCA" w:themeFill="background2" w:themeFillShade="80"/>
            <w:vAlign w:val="center"/>
            <w:hideMark/>
          </w:tcPr>
          <w:p w14:paraId="47609BFF"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Judgement criteria </w:t>
            </w:r>
          </w:p>
        </w:tc>
        <w:tc>
          <w:tcPr>
            <w:tcW w:w="1852" w:type="pct"/>
            <w:vMerge w:val="restart"/>
            <w:shd w:val="clear" w:color="auto" w:fill="1B7BCA" w:themeFill="background2" w:themeFillShade="80"/>
            <w:vAlign w:val="center"/>
            <w:hideMark/>
          </w:tcPr>
          <w:p w14:paraId="604D5F19"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Indicators / information needs (examples) </w:t>
            </w:r>
          </w:p>
        </w:tc>
        <w:tc>
          <w:tcPr>
            <w:tcW w:w="880" w:type="pct"/>
            <w:vMerge w:val="restart"/>
            <w:shd w:val="clear" w:color="auto" w:fill="1B7BCA" w:themeFill="background2" w:themeFillShade="80"/>
            <w:vAlign w:val="center"/>
            <w:hideMark/>
          </w:tcPr>
          <w:p w14:paraId="13463DA4"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Information sources (indicative)</w:t>
            </w:r>
          </w:p>
        </w:tc>
      </w:tr>
      <w:tr w:rsidR="00233273" w:rsidRPr="00BD1AF7" w14:paraId="44DC4329" w14:textId="77777777">
        <w:trPr>
          <w:trHeight w:val="336"/>
          <w:tblHeader/>
        </w:trPr>
        <w:tc>
          <w:tcPr>
            <w:tcW w:w="651" w:type="pct"/>
            <w:gridSpan w:val="2"/>
            <w:vMerge/>
            <w:shd w:val="clear" w:color="auto" w:fill="1B7BCA" w:themeFill="background2" w:themeFillShade="80"/>
          </w:tcPr>
          <w:p w14:paraId="0357D7F9" w14:textId="77777777" w:rsidR="00233273" w:rsidRPr="004E2424" w:rsidRDefault="00233273" w:rsidP="004E2424">
            <w:pPr>
              <w:spacing w:after="0" w:line="240" w:lineRule="auto"/>
              <w:rPr>
                <w:rFonts w:ascii="Arial" w:hAnsi="Arial" w:cs="Arial"/>
                <w:noProof/>
                <w:sz w:val="20"/>
                <w:szCs w:val="20"/>
              </w:rPr>
            </w:pPr>
          </w:p>
        </w:tc>
        <w:tc>
          <w:tcPr>
            <w:tcW w:w="652" w:type="pct"/>
            <w:vMerge/>
            <w:shd w:val="clear" w:color="auto" w:fill="1B7BCA" w:themeFill="background2" w:themeFillShade="80"/>
          </w:tcPr>
          <w:p w14:paraId="5C052274" w14:textId="77777777" w:rsidR="00233273" w:rsidRPr="004E2424" w:rsidRDefault="00233273" w:rsidP="004E2424">
            <w:pPr>
              <w:spacing w:after="0" w:line="240" w:lineRule="auto"/>
              <w:rPr>
                <w:rFonts w:ascii="Arial" w:hAnsi="Arial" w:cs="Arial"/>
                <w:noProof/>
                <w:sz w:val="20"/>
                <w:szCs w:val="20"/>
              </w:rPr>
            </w:pPr>
          </w:p>
        </w:tc>
        <w:tc>
          <w:tcPr>
            <w:tcW w:w="965" w:type="pct"/>
            <w:vMerge/>
            <w:shd w:val="clear" w:color="auto" w:fill="1B7BCA" w:themeFill="background2" w:themeFillShade="80"/>
          </w:tcPr>
          <w:p w14:paraId="4C07A26B" w14:textId="77777777" w:rsidR="00233273" w:rsidRPr="004E2424" w:rsidRDefault="00233273" w:rsidP="004E2424">
            <w:pPr>
              <w:spacing w:after="0" w:line="240" w:lineRule="auto"/>
              <w:rPr>
                <w:rFonts w:ascii="Arial" w:hAnsi="Arial" w:cs="Arial"/>
                <w:noProof/>
                <w:sz w:val="20"/>
                <w:szCs w:val="20"/>
              </w:rPr>
            </w:pPr>
          </w:p>
        </w:tc>
        <w:tc>
          <w:tcPr>
            <w:tcW w:w="1852" w:type="pct"/>
            <w:vMerge/>
            <w:shd w:val="clear" w:color="auto" w:fill="1B7BCA" w:themeFill="background2" w:themeFillShade="80"/>
          </w:tcPr>
          <w:p w14:paraId="5BEEBA63" w14:textId="77777777" w:rsidR="00233273" w:rsidRPr="004E2424" w:rsidRDefault="00233273" w:rsidP="004E2424">
            <w:pPr>
              <w:spacing w:after="0" w:line="240" w:lineRule="auto"/>
              <w:rPr>
                <w:rFonts w:ascii="Arial" w:hAnsi="Arial" w:cs="Arial"/>
                <w:noProof/>
                <w:sz w:val="20"/>
                <w:szCs w:val="20"/>
              </w:rPr>
            </w:pPr>
          </w:p>
        </w:tc>
        <w:tc>
          <w:tcPr>
            <w:tcW w:w="880" w:type="pct"/>
            <w:vMerge/>
            <w:shd w:val="clear" w:color="auto" w:fill="1B7BCA" w:themeFill="background2" w:themeFillShade="80"/>
          </w:tcPr>
          <w:p w14:paraId="707147CC" w14:textId="77777777" w:rsidR="00233273" w:rsidRPr="004E2424" w:rsidRDefault="00233273" w:rsidP="004E2424">
            <w:pPr>
              <w:spacing w:after="0" w:line="240" w:lineRule="auto"/>
              <w:rPr>
                <w:rFonts w:ascii="Arial" w:hAnsi="Arial" w:cs="Arial"/>
                <w:noProof/>
                <w:sz w:val="20"/>
                <w:szCs w:val="20"/>
              </w:rPr>
            </w:pPr>
          </w:p>
        </w:tc>
      </w:tr>
      <w:tr w:rsidR="000F1C89" w:rsidRPr="002048C6" w14:paraId="7D53C7BD" w14:textId="77777777">
        <w:tc>
          <w:tcPr>
            <w:tcW w:w="1303" w:type="pct"/>
            <w:gridSpan w:val="3"/>
            <w:shd w:val="clear" w:color="auto" w:fill="F2F2F2" w:themeFill="background1" w:themeFillShade="F2"/>
            <w:hideMark/>
          </w:tcPr>
          <w:p w14:paraId="5109650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1: To what extent did the scope of the mandate and the objectives of eu-LISA Regulation remain relevant over the implementation period?</w:t>
            </w:r>
          </w:p>
        </w:tc>
        <w:tc>
          <w:tcPr>
            <w:tcW w:w="965" w:type="pct"/>
            <w:hideMark/>
          </w:tcPr>
          <w:p w14:paraId="7075449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scope and objectives of eu-LISA Regulation have remained relevant throughout the implementation period.</w:t>
            </w:r>
          </w:p>
        </w:tc>
        <w:tc>
          <w:tcPr>
            <w:tcW w:w="1852" w:type="pct"/>
            <w:hideMark/>
          </w:tcPr>
          <w:p w14:paraId="5DD50B2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eu-LISA's scope of mandate and objectives</w:t>
            </w:r>
          </w:p>
          <w:p w14:paraId="511AB1B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key developments, new needs and challenges during the implementation period, as well as threats to be addressed</w:t>
            </w:r>
          </w:p>
          <w:p w14:paraId="0820705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and comparison of eu-LISA's scope and objectives with emerging trends, needs and challenges</w:t>
            </w:r>
          </w:p>
        </w:tc>
        <w:tc>
          <w:tcPr>
            <w:tcW w:w="880" w:type="pct"/>
          </w:tcPr>
          <w:p w14:paraId="5F821ED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1DE6975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Regulation</w:t>
            </w:r>
          </w:p>
          <w:p w14:paraId="3247DD8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Online literature and sources on key trends, needs and challenges etc.</w:t>
            </w:r>
          </w:p>
          <w:p w14:paraId="0A09B15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Targeted written surveys</w:t>
            </w:r>
          </w:p>
          <w:p w14:paraId="30E4829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 institutions, eu-LISA stakeholders, national authorities</w:t>
            </w:r>
          </w:p>
        </w:tc>
      </w:tr>
      <w:tr w:rsidR="00233273" w:rsidRPr="00BD1AF7" w14:paraId="45F397E1" w14:textId="77777777">
        <w:tc>
          <w:tcPr>
            <w:tcW w:w="1303" w:type="pct"/>
            <w:gridSpan w:val="3"/>
            <w:shd w:val="clear" w:color="auto" w:fill="F2F2F2" w:themeFill="background1" w:themeFillShade="F2"/>
          </w:tcPr>
          <w:p w14:paraId="6F7A1E0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2: How did the objectives of eu-LISA Regulation correspond to wider EU policy goals and priorities?</w:t>
            </w:r>
          </w:p>
        </w:tc>
        <w:tc>
          <w:tcPr>
            <w:tcW w:w="965" w:type="pct"/>
          </w:tcPr>
          <w:p w14:paraId="3ADF676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objectives of eu-LISA Regulation corresponded to wider EU policy goals and priorities</w:t>
            </w:r>
          </w:p>
        </w:tc>
        <w:tc>
          <w:tcPr>
            <w:tcW w:w="1852" w:type="pct"/>
          </w:tcPr>
          <w:p w14:paraId="278EF1B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the objectives of eu-LISA Regulation</w:t>
            </w:r>
          </w:p>
          <w:p w14:paraId="31DB2F9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other relevant EU policy goals and priorities (e.g. GDPR Digitalisation and IT policies, or initiatives like the European Counter Terrorism Centre (ECTC))</w:t>
            </w:r>
          </w:p>
          <w:p w14:paraId="40BDFD0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and comparison of eu-LISA's objectives with the EU's broader policy priorities, e.g. in the field of technology, law enforcement cooperation etc.</w:t>
            </w:r>
          </w:p>
          <w:p w14:paraId="53A1372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Extent to which eu-LISA's objectives have supported or been contradictory to wider EU goals</w:t>
            </w:r>
          </w:p>
        </w:tc>
        <w:tc>
          <w:tcPr>
            <w:tcW w:w="880" w:type="pct"/>
          </w:tcPr>
          <w:p w14:paraId="6ACDE12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77439D62" w14:textId="77777777" w:rsidR="00233273" w:rsidRPr="004E2424" w:rsidRDefault="00233273" w:rsidP="004E2424">
            <w:pPr>
              <w:spacing w:after="0" w:line="240" w:lineRule="auto"/>
              <w:rPr>
                <w:rFonts w:ascii="Arial" w:hAnsi="Arial" w:cs="Arial"/>
                <w:i/>
                <w:iCs/>
                <w:noProof/>
                <w:sz w:val="20"/>
                <w:szCs w:val="20"/>
                <w:lang w:val="en-IE"/>
              </w:rPr>
            </w:pPr>
            <w:r w:rsidRPr="004E2424">
              <w:rPr>
                <w:rFonts w:ascii="Arial" w:hAnsi="Arial" w:cs="Arial"/>
                <w:i/>
                <w:iCs/>
                <w:noProof/>
                <w:sz w:val="20"/>
                <w:szCs w:val="20"/>
                <w:lang w:val="en-IE"/>
              </w:rPr>
              <w:t>Legal documents of eu-LISA regulation</w:t>
            </w:r>
          </w:p>
          <w:p w14:paraId="77F9C17E" w14:textId="77777777" w:rsidR="00233273" w:rsidRPr="004E2424" w:rsidRDefault="00233273" w:rsidP="004E2424">
            <w:pPr>
              <w:spacing w:after="0" w:line="240" w:lineRule="auto"/>
              <w:rPr>
                <w:rFonts w:ascii="Arial" w:hAnsi="Arial" w:cs="Arial"/>
                <w:i/>
                <w:iCs/>
                <w:noProof/>
                <w:sz w:val="20"/>
                <w:szCs w:val="20"/>
              </w:rPr>
            </w:pPr>
            <w:r w:rsidRPr="004E2424">
              <w:rPr>
                <w:rFonts w:ascii="Arial" w:hAnsi="Arial" w:cs="Arial"/>
                <w:i/>
                <w:iCs/>
                <w:noProof/>
                <w:sz w:val="20"/>
                <w:szCs w:val="20"/>
              </w:rPr>
              <w:t>Other EU policy documentations</w:t>
            </w:r>
          </w:p>
          <w:p w14:paraId="4380F995"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Interviews with EU institutions, and eu-LISA stakeholders</w:t>
            </w:r>
          </w:p>
        </w:tc>
      </w:tr>
      <w:tr w:rsidR="000F1C89" w:rsidRPr="00BD1AF7" w14:paraId="05443561" w14:textId="77777777">
        <w:tc>
          <w:tcPr>
            <w:tcW w:w="1303" w:type="pct"/>
            <w:gridSpan w:val="3"/>
            <w:shd w:val="clear" w:color="auto" w:fill="F2F2F2" w:themeFill="background1" w:themeFillShade="F2"/>
          </w:tcPr>
          <w:p w14:paraId="2D1668E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 To what extent has eu-LISA adapted to the new needs and challenges, in particular to the technological or scientific progress since the adoption of eu-LISA Regulation?</w:t>
            </w:r>
          </w:p>
        </w:tc>
        <w:tc>
          <w:tcPr>
            <w:tcW w:w="965" w:type="pct"/>
          </w:tcPr>
          <w:p w14:paraId="4FC361C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has adapted to new needs and challenges, including technological and scientific progress.</w:t>
            </w:r>
          </w:p>
        </w:tc>
        <w:tc>
          <w:tcPr>
            <w:tcW w:w="1852" w:type="pct"/>
          </w:tcPr>
          <w:p w14:paraId="158ACC7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key new trends, needs and challenges since the adoption of eu-LISA Regulation</w:t>
            </w:r>
          </w:p>
          <w:p w14:paraId="08D1A08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Mapping of actions taken by eu-LISA to adapt to the identified new trends, needs and challenges, such as: </w:t>
            </w:r>
          </w:p>
          <w:p w14:paraId="6D09467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any actions taken by eu-LISA to adapt to emerging technologies (such as cloud computing, artificial intelligence, or blockchain) and challenges (e.g. refugee crises) in its IT systems and operations</w:t>
            </w:r>
          </w:p>
          <w:p w14:paraId="17E05B9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Collecting any actions taken by eu-LISA to adapt its IT infrastructure to accommodate new technological trends (e.g. the integration of modern cybersecurity measures, data encryption protocols, and alignment with data protection regulations)</w:t>
            </w:r>
          </w:p>
          <w:p w14:paraId="15271B3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Identification of any key new trends, needs or developments in relation to which eu-LISA has not yet taken any action</w:t>
            </w:r>
          </w:p>
          <w:p w14:paraId="184B883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Assessment of the extent to which the IT infrastructures employed by eu-LISA correspond to recent standards, e.g. based on the identification of better suited technologies (e.g. more secured and advanced technologies)</w:t>
            </w:r>
          </w:p>
        </w:tc>
        <w:tc>
          <w:tcPr>
            <w:tcW w:w="880" w:type="pct"/>
          </w:tcPr>
          <w:p w14:paraId="24B45B4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361F65DA" w14:textId="77777777" w:rsidR="00233273" w:rsidRPr="004E2424" w:rsidRDefault="00233273" w:rsidP="004E2424">
            <w:pPr>
              <w:spacing w:after="0" w:line="240" w:lineRule="auto"/>
              <w:rPr>
                <w:rFonts w:ascii="Arial" w:hAnsi="Arial" w:cs="Arial"/>
                <w:i/>
                <w:iCs/>
                <w:noProof/>
                <w:sz w:val="20"/>
                <w:szCs w:val="20"/>
                <w:lang w:val="en-IE"/>
              </w:rPr>
            </w:pPr>
            <w:r w:rsidRPr="004E2424">
              <w:rPr>
                <w:rFonts w:ascii="Arial" w:hAnsi="Arial" w:cs="Arial"/>
                <w:i/>
                <w:iCs/>
                <w:noProof/>
                <w:sz w:val="20"/>
                <w:szCs w:val="20"/>
                <w:lang w:val="en-IE"/>
              </w:rPr>
              <w:t>Online sources concerning key new trends, needs and challenges</w:t>
            </w:r>
          </w:p>
          <w:p w14:paraId="6D931D9B" w14:textId="77777777" w:rsidR="00233273" w:rsidRPr="004E2424" w:rsidRDefault="00233273" w:rsidP="004E2424">
            <w:pPr>
              <w:spacing w:after="0" w:line="240" w:lineRule="auto"/>
              <w:rPr>
                <w:rFonts w:ascii="Arial" w:hAnsi="Arial" w:cs="Arial"/>
                <w:i/>
                <w:iCs/>
                <w:noProof/>
                <w:sz w:val="20"/>
                <w:szCs w:val="20"/>
                <w:lang w:val="en-IE"/>
              </w:rPr>
            </w:pPr>
            <w:r w:rsidRPr="004E2424">
              <w:rPr>
                <w:rFonts w:ascii="Arial" w:hAnsi="Arial" w:cs="Arial"/>
                <w:i/>
                <w:iCs/>
                <w:noProof/>
                <w:sz w:val="20"/>
                <w:szCs w:val="20"/>
                <w:lang w:val="en-IE"/>
              </w:rPr>
              <w:t>Data analysis of technical documents, system updates, and security measures</w:t>
            </w:r>
          </w:p>
          <w:p w14:paraId="3FE3B31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Targeted written surveys with eu-LISA users from the MS</w:t>
            </w:r>
          </w:p>
          <w:p w14:paraId="1D5AC69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 staff, including technical experts and management</w:t>
            </w:r>
          </w:p>
          <w:p w14:paraId="3E812FAD"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SWOT workshops</w:t>
            </w:r>
          </w:p>
        </w:tc>
      </w:tr>
      <w:tr w:rsidR="001F460A" w:rsidRPr="002048C6" w14:paraId="2BB470D1" w14:textId="77777777">
        <w:tc>
          <w:tcPr>
            <w:tcW w:w="647" w:type="pct"/>
            <w:vMerge w:val="restart"/>
            <w:shd w:val="clear" w:color="auto" w:fill="F2F2F2" w:themeFill="background1" w:themeFillShade="F2"/>
          </w:tcPr>
          <w:p w14:paraId="3B3863D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 To what extent have the Agency’s tasks evolved since the adoption of eu-LISA Regulation, and, has eu-LISA been able to cope with the increasing number of tasks?</w:t>
            </w:r>
          </w:p>
        </w:tc>
        <w:tc>
          <w:tcPr>
            <w:tcW w:w="656" w:type="pct"/>
            <w:gridSpan w:val="2"/>
            <w:shd w:val="clear" w:color="auto" w:fill="F2F2F2" w:themeFill="background1" w:themeFillShade="F2"/>
          </w:tcPr>
          <w:p w14:paraId="7D5AECC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4.1. To what extent have the Agency’s tasks evolved since the adoption of eu-LISA Regulation</w:t>
            </w:r>
          </w:p>
        </w:tc>
        <w:tc>
          <w:tcPr>
            <w:tcW w:w="965" w:type="pct"/>
          </w:tcPr>
          <w:p w14:paraId="243A2E37"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 xml:space="preserve">n.a. </w:t>
            </w:r>
          </w:p>
          <w:p w14:paraId="670BB624" w14:textId="77777777" w:rsidR="00233273" w:rsidRPr="004E2424" w:rsidRDefault="00233273" w:rsidP="004E2424">
            <w:pPr>
              <w:spacing w:after="0" w:line="240" w:lineRule="auto"/>
              <w:rPr>
                <w:rFonts w:ascii="Arial" w:hAnsi="Arial" w:cs="Arial"/>
                <w:noProof/>
                <w:sz w:val="20"/>
                <w:szCs w:val="20"/>
              </w:rPr>
            </w:pPr>
          </w:p>
        </w:tc>
        <w:tc>
          <w:tcPr>
            <w:tcW w:w="1852" w:type="pct"/>
          </w:tcPr>
          <w:p w14:paraId="47576BD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changes in eu-LISA's tasks since the adoption of eu-LISA Regulation (by year and type of task), including the number of new or adapted tasks per area</w:t>
            </w:r>
          </w:p>
          <w:p w14:paraId="7FD07B4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Comparison of the previous tasks with current responsibilities to identify any shifts, including complexity, volume, and variety of new or adapted tasks compared to the original mandate</w:t>
            </w:r>
          </w:p>
        </w:tc>
        <w:tc>
          <w:tcPr>
            <w:tcW w:w="880" w:type="pct"/>
          </w:tcPr>
          <w:p w14:paraId="7C1750A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257CFC8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 staff</w:t>
            </w:r>
          </w:p>
          <w:p w14:paraId="46F1220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stakeholders</w:t>
            </w:r>
          </w:p>
        </w:tc>
      </w:tr>
      <w:tr w:rsidR="001F460A" w:rsidRPr="002048C6" w14:paraId="775A7381" w14:textId="77777777">
        <w:tc>
          <w:tcPr>
            <w:tcW w:w="647" w:type="pct"/>
            <w:vMerge/>
            <w:shd w:val="clear" w:color="auto" w:fill="F2F2F2" w:themeFill="background1" w:themeFillShade="F2"/>
          </w:tcPr>
          <w:p w14:paraId="4458D3D3" w14:textId="77777777" w:rsidR="00233273" w:rsidRPr="004E2424" w:rsidRDefault="00233273" w:rsidP="004E2424">
            <w:pPr>
              <w:spacing w:after="0" w:line="240" w:lineRule="auto"/>
              <w:rPr>
                <w:rFonts w:ascii="Arial" w:hAnsi="Arial" w:cs="Arial"/>
                <w:noProof/>
                <w:sz w:val="20"/>
                <w:szCs w:val="20"/>
                <w:lang w:val="en-IE"/>
              </w:rPr>
            </w:pPr>
          </w:p>
        </w:tc>
        <w:tc>
          <w:tcPr>
            <w:tcW w:w="656" w:type="pct"/>
            <w:gridSpan w:val="2"/>
            <w:shd w:val="clear" w:color="auto" w:fill="F2F2F2" w:themeFill="background1" w:themeFillShade="F2"/>
          </w:tcPr>
          <w:p w14:paraId="1EC30D9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4.2: Has eu-LISA been able to cope with the increasing number of tasks?</w:t>
            </w:r>
          </w:p>
        </w:tc>
        <w:tc>
          <w:tcPr>
            <w:tcW w:w="965" w:type="pct"/>
          </w:tcPr>
          <w:p w14:paraId="3BECF55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Agency coped well with new or adapted tasks, both from a qualitative and a quantitative perspective</w:t>
            </w:r>
          </w:p>
        </w:tc>
        <w:tc>
          <w:tcPr>
            <w:tcW w:w="1852" w:type="pct"/>
          </w:tcPr>
          <w:p w14:paraId="0C8D70F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Historical workload data, including the number of projects, tasks, and associated timelines</w:t>
            </w:r>
          </w:p>
          <w:p w14:paraId="2932689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Allocation of additional human and technical resources in response to the growing workload, including the possibility for/flexibility of existing resources to efficiently take on/deal with an increasing number of tasks</w:t>
            </w:r>
          </w:p>
          <w:p w14:paraId="0DE3A56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Measurement of the efficiency of task execution through key performance indicators (KPIs) such as project completion time, error rates, or cost-effectiveness</w:t>
            </w:r>
          </w:p>
          <w:p w14:paraId="714C2E0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Identification of resource gaps, such as staffing, infrastructure, or technology, that have hindered eu-LISA's ability to manage the increased workload effectively</w:t>
            </w:r>
          </w:p>
        </w:tc>
        <w:tc>
          <w:tcPr>
            <w:tcW w:w="880" w:type="pct"/>
          </w:tcPr>
          <w:p w14:paraId="128E16A3" w14:textId="77777777" w:rsidR="00233273" w:rsidRPr="004E2424" w:rsidRDefault="00233273" w:rsidP="004E2424">
            <w:pPr>
              <w:spacing w:after="0" w:line="240" w:lineRule="auto"/>
              <w:rPr>
                <w:rFonts w:ascii="Arial" w:hAnsi="Arial" w:cs="Arial"/>
                <w:i/>
                <w:iCs/>
                <w:noProof/>
                <w:sz w:val="20"/>
                <w:szCs w:val="20"/>
                <w:lang w:val="en-IE"/>
              </w:rPr>
            </w:pPr>
            <w:r w:rsidRPr="004E2424">
              <w:rPr>
                <w:rFonts w:ascii="Arial" w:hAnsi="Arial" w:cs="Arial"/>
                <w:noProof/>
                <w:sz w:val="20"/>
                <w:szCs w:val="20"/>
                <w:lang w:val="en-IE"/>
              </w:rPr>
              <w:t xml:space="preserve">Desk research: </w:t>
            </w:r>
            <w:r w:rsidRPr="004E2424">
              <w:rPr>
                <w:rFonts w:ascii="Arial" w:hAnsi="Arial" w:cs="Arial"/>
                <w:i/>
                <w:iCs/>
                <w:noProof/>
                <w:sz w:val="20"/>
                <w:szCs w:val="20"/>
                <w:lang w:val="en-IE"/>
              </w:rPr>
              <w:t>Key Performance Indicators (e.g. from eu-LISA’s KPI reports) which measure the efficiency of task execution such as project completion times, cost effectiveness, or resource utilisation</w:t>
            </w:r>
          </w:p>
          <w:p w14:paraId="7007344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 staff</w:t>
            </w:r>
          </w:p>
          <w:p w14:paraId="5F6D18B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stakeholders</w:t>
            </w:r>
          </w:p>
        </w:tc>
      </w:tr>
      <w:tr w:rsidR="000F1C89" w:rsidRPr="002048C6" w14:paraId="14CDB474" w14:textId="77777777">
        <w:tc>
          <w:tcPr>
            <w:tcW w:w="1303" w:type="pct"/>
            <w:gridSpan w:val="3"/>
            <w:shd w:val="clear" w:color="auto" w:fill="F2F2F2" w:themeFill="background1" w:themeFillShade="F2"/>
          </w:tcPr>
          <w:p w14:paraId="640E173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5: Has the nature of the work of eu-LISA experienced such a change that a change of mandate/objectives is needed?</w:t>
            </w:r>
          </w:p>
        </w:tc>
        <w:tc>
          <w:tcPr>
            <w:tcW w:w="965" w:type="pct"/>
          </w:tcPr>
          <w:p w14:paraId="0B9CB268"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n.a.</w:t>
            </w:r>
          </w:p>
          <w:p w14:paraId="15750013" w14:textId="77777777" w:rsidR="00233273" w:rsidRPr="004E2424" w:rsidRDefault="00233273" w:rsidP="004E2424">
            <w:pPr>
              <w:spacing w:after="0" w:line="240" w:lineRule="auto"/>
              <w:rPr>
                <w:rFonts w:ascii="Arial" w:hAnsi="Arial" w:cs="Arial"/>
                <w:noProof/>
                <w:sz w:val="20"/>
                <w:szCs w:val="20"/>
              </w:rPr>
            </w:pPr>
          </w:p>
        </w:tc>
        <w:tc>
          <w:tcPr>
            <w:tcW w:w="1852" w:type="pct"/>
          </w:tcPr>
          <w:p w14:paraId="4490868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changes in the nature of tasks performed by eu-LISA over time (e.g. complexity index based on factors such as skill requirements, technical intricacy, and resource intensity)</w:t>
            </w:r>
          </w:p>
          <w:p w14:paraId="778600F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Share of emerging technologies effectively incorporated into task execution</w:t>
            </w:r>
          </w:p>
          <w:p w14:paraId="6AE11E8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Evidence that eu-LISA has not been able to executive all relevant types of tasks required due to limitations in the scope of the mandate or objectives of eu-LISA (e.g. new tasks associated with emerging challenges and needs)</w:t>
            </w:r>
          </w:p>
        </w:tc>
        <w:tc>
          <w:tcPr>
            <w:tcW w:w="880" w:type="pct"/>
          </w:tcPr>
          <w:p w14:paraId="595E51C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 staff and other EU-level stakeholders on the evolving nature of tasks and alignment with the current mandate</w:t>
            </w:r>
          </w:p>
          <w:p w14:paraId="1273320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68540DDD" w14:textId="77777777" w:rsidR="00233273" w:rsidRPr="004E2424" w:rsidRDefault="00233273" w:rsidP="004E2424">
            <w:pPr>
              <w:spacing w:after="0" w:line="240" w:lineRule="auto"/>
              <w:rPr>
                <w:rFonts w:ascii="Arial" w:hAnsi="Arial" w:cs="Arial"/>
                <w:i/>
                <w:iCs/>
                <w:noProof/>
                <w:sz w:val="20"/>
                <w:szCs w:val="20"/>
                <w:lang w:val="en-IE"/>
              </w:rPr>
            </w:pPr>
            <w:r w:rsidRPr="004E2424">
              <w:rPr>
                <w:rFonts w:ascii="Arial" w:hAnsi="Arial" w:cs="Arial"/>
                <w:i/>
                <w:iCs/>
                <w:noProof/>
                <w:sz w:val="20"/>
                <w:szCs w:val="20"/>
                <w:lang w:val="en-IE"/>
              </w:rPr>
              <w:t>Examination of legal documents and regulations to assess the capability of the existing mandate with emerging needs. Legal documents of eu-LISA regulation</w:t>
            </w:r>
          </w:p>
          <w:p w14:paraId="7BA4BBC3" w14:textId="77777777" w:rsidR="00233273" w:rsidRPr="004E2424" w:rsidRDefault="00233273" w:rsidP="004E2424">
            <w:pPr>
              <w:spacing w:after="0" w:line="240" w:lineRule="auto"/>
              <w:rPr>
                <w:rFonts w:ascii="Arial" w:hAnsi="Arial" w:cs="Arial"/>
                <w:i/>
                <w:iCs/>
                <w:noProof/>
                <w:sz w:val="20"/>
                <w:szCs w:val="20"/>
                <w:lang w:val="en-IE"/>
              </w:rPr>
            </w:pPr>
            <w:r w:rsidRPr="004E2424">
              <w:rPr>
                <w:rFonts w:ascii="Arial" w:hAnsi="Arial" w:cs="Arial"/>
                <w:i/>
                <w:iCs/>
                <w:noProof/>
                <w:sz w:val="20"/>
                <w:szCs w:val="20"/>
                <w:lang w:val="en-IE"/>
              </w:rPr>
              <w:t>Review of eu-LISA's internal reports, strategic</w:t>
            </w:r>
            <w:r w:rsidRPr="004E2424">
              <w:rPr>
                <w:rFonts w:ascii="Arial" w:hAnsi="Arial" w:cs="Arial"/>
                <w:noProof/>
                <w:sz w:val="20"/>
                <w:szCs w:val="20"/>
                <w:lang w:val="en-IE"/>
              </w:rPr>
              <w:t xml:space="preserve"> </w:t>
            </w:r>
            <w:r w:rsidRPr="004E2424">
              <w:rPr>
                <w:rFonts w:ascii="Arial" w:hAnsi="Arial" w:cs="Arial"/>
                <w:i/>
                <w:iCs/>
                <w:noProof/>
                <w:sz w:val="20"/>
                <w:szCs w:val="20"/>
                <w:lang w:val="en-IE"/>
              </w:rPr>
              <w:t>plans, and task records related to evolving tasks</w:t>
            </w:r>
          </w:p>
          <w:p w14:paraId="79C417E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i/>
                <w:iCs/>
                <w:noProof/>
                <w:sz w:val="20"/>
                <w:szCs w:val="20"/>
                <w:lang w:val="en-IE"/>
              </w:rPr>
              <w:t>Interviews with EU-level stakeholders</w:t>
            </w:r>
          </w:p>
        </w:tc>
      </w:tr>
      <w:tr w:rsidR="000F1C89" w:rsidRPr="002048C6" w14:paraId="35E420C4" w14:textId="77777777">
        <w:tc>
          <w:tcPr>
            <w:tcW w:w="1303" w:type="pct"/>
            <w:gridSpan w:val="3"/>
            <w:shd w:val="clear" w:color="auto" w:fill="F2F2F2" w:themeFill="background1" w:themeFillShade="F2"/>
          </w:tcPr>
          <w:p w14:paraId="3C7A2E1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6: Has eu-LISA’s mandate provided the necessary flexibility to address unexpected challenges?</w:t>
            </w:r>
          </w:p>
        </w:tc>
        <w:tc>
          <w:tcPr>
            <w:tcW w:w="965" w:type="pct"/>
          </w:tcPr>
          <w:p w14:paraId="3647202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Eu-LISA’s mandate has provided the necessary flexibility to address unexpected challenges</w:t>
            </w:r>
          </w:p>
        </w:tc>
        <w:tc>
          <w:tcPr>
            <w:tcW w:w="1852" w:type="pct"/>
          </w:tcPr>
          <w:p w14:paraId="61A9D61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Timeliness and effectiveness of responses to unexpected challenges, measured by response time and outcomes (both immediate/short-term and long-term challenges)</w:t>
            </w:r>
          </w:p>
          <w:p w14:paraId="4B87A46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Evidence of situations where unexpected challenges could not be addressed based on restrictions in the mandate and reasons for these</w:t>
            </w:r>
          </w:p>
          <w:p w14:paraId="2DBAA7A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need and adequacy of Article 16(4) of eu-LISA Regulation</w:t>
            </w:r>
          </w:p>
        </w:tc>
        <w:tc>
          <w:tcPr>
            <w:tcW w:w="880" w:type="pct"/>
          </w:tcPr>
          <w:p w14:paraId="6CBFBB1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 and Document review:</w:t>
            </w:r>
          </w:p>
          <w:p w14:paraId="127A3FE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Examination of legal documents to assess the compatibility of the existing mandate with emerging needs</w:t>
            </w:r>
          </w:p>
          <w:p w14:paraId="76F11D0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Analysis of documents related to the adaptation of eu-LISA's mandate in response to crises or emerging needs</w:t>
            </w:r>
          </w:p>
          <w:p w14:paraId="1AF4BA7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 staff</w:t>
            </w:r>
          </w:p>
          <w:p w14:paraId="39A338E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w:t>
            </w:r>
          </w:p>
        </w:tc>
      </w:tr>
      <w:tr w:rsidR="00233273" w:rsidRPr="00BD1AF7" w14:paraId="4EEC7B8A" w14:textId="77777777">
        <w:tc>
          <w:tcPr>
            <w:tcW w:w="1303" w:type="pct"/>
            <w:gridSpan w:val="3"/>
            <w:shd w:val="clear" w:color="auto" w:fill="F2F2F2" w:themeFill="background1" w:themeFillShade="F2"/>
          </w:tcPr>
          <w:p w14:paraId="3C923C5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7: To what extent has the Agency been able to undertake additional tasks established in legal acts adopted after the entry into force of eu-LISA Regulation?</w:t>
            </w:r>
          </w:p>
        </w:tc>
        <w:tc>
          <w:tcPr>
            <w:tcW w:w="965" w:type="pct"/>
          </w:tcPr>
          <w:p w14:paraId="5120EFB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Agency has effectively taken on additional tasks and responsibilities in line with the legal acts adopted post-enactment of eu-LISA Regulation</w:t>
            </w:r>
          </w:p>
        </w:tc>
        <w:tc>
          <w:tcPr>
            <w:tcW w:w="1852" w:type="pct"/>
          </w:tcPr>
          <w:p w14:paraId="7798A50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relevant legal acts adopted post-enactment of eu-LISA Regulation and identification of new and additional tasks for eu-LISA stemming from these acts</w:t>
            </w:r>
          </w:p>
          <w:p w14:paraId="35FFF92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Processes within eu-LISA to identify any additional tasks to be conducted based on the legal acts</w:t>
            </w:r>
          </w:p>
          <w:p w14:paraId="3807021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Time taken to initiate and fully implement additional tasks mandated by the relevant legal acts</w:t>
            </w:r>
          </w:p>
          <w:p w14:paraId="7FE84F3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Identification of any additional tasks stemming from the relevant legal acts that have not (yet) been taken on by eu-LISA including the respective reasons for delays or barriers/roadblocks, e.g. based on eu-LISA's capacities to take on additional tasks relating to system operation, management and development </w:t>
            </w:r>
          </w:p>
          <w:p w14:paraId="0E351FB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Resource allocation efficiency, measured by the alignment of resources with the demands of new tasks </w:t>
            </w:r>
          </w:p>
          <w:p w14:paraId="270F9F9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Stakeholder satisfaction and feedback regarding the Agency's ability to handle additional responsibilities and tasks</w:t>
            </w:r>
          </w:p>
        </w:tc>
        <w:tc>
          <w:tcPr>
            <w:tcW w:w="880" w:type="pct"/>
          </w:tcPr>
          <w:p w14:paraId="1D6AC02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235A262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Review of Agency reports, task implementation plans, and records of resource allocation for tasks established by new legal acts</w:t>
            </w:r>
          </w:p>
          <w:p w14:paraId="54778B4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Analysis of records demonstrating the Agency's adherence to legal acts and their requirements in relation to new tasks</w:t>
            </w:r>
          </w:p>
          <w:p w14:paraId="0926F11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 staff</w:t>
            </w:r>
          </w:p>
          <w:p w14:paraId="35FBF87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w:t>
            </w:r>
          </w:p>
          <w:p w14:paraId="1E76CEE9"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SWOT workshops</w:t>
            </w:r>
          </w:p>
        </w:tc>
      </w:tr>
      <w:tr w:rsidR="00233273" w:rsidRPr="00BD1AF7" w14:paraId="72812EE2" w14:textId="77777777">
        <w:tc>
          <w:tcPr>
            <w:tcW w:w="1303" w:type="pct"/>
            <w:gridSpan w:val="3"/>
            <w:shd w:val="clear" w:color="auto" w:fill="F2F2F2" w:themeFill="background1" w:themeFillShade="F2"/>
          </w:tcPr>
          <w:p w14:paraId="614C2E2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8: To what extent would the Agency be capable to play a role in the governance of the systems from a business perspective?</w:t>
            </w:r>
          </w:p>
        </w:tc>
        <w:tc>
          <w:tcPr>
            <w:tcW w:w="965" w:type="pct"/>
          </w:tcPr>
          <w:p w14:paraId="42928F6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Agency would be capable of playing a role in the governance of new systems from a business perspective.</w:t>
            </w:r>
          </w:p>
        </w:tc>
        <w:tc>
          <w:tcPr>
            <w:tcW w:w="1852" w:type="pct"/>
          </w:tcPr>
          <w:p w14:paraId="0B93BC4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Comparison of the governance models of the different IT systems and identification of patterns</w:t>
            </w:r>
          </w:p>
          <w:p w14:paraId="3DAADE8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Needs of each system in terms of business processes</w:t>
            </w:r>
          </w:p>
          <w:p w14:paraId="5F28197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Analysis of the difference in the governance models as regards to the business models</w:t>
            </w:r>
          </w:p>
          <w:p w14:paraId="2064DE9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Identification of the role of the Agency in designing the business processes</w:t>
            </w:r>
          </w:p>
          <w:p w14:paraId="58BB245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Effectiveness of the Agency in designing the business processes, including based on an identification of processes that have been designed, their implementation and perception by stakeholders</w:t>
            </w:r>
          </w:p>
          <w:p w14:paraId="1E6DD1E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Presence of a clearly defined business governance structure for new systems</w:t>
            </w:r>
          </w:p>
          <w:p w14:paraId="761A82E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Qualifications and relevant experience of personnel</w:t>
            </w:r>
          </w:p>
        </w:tc>
        <w:tc>
          <w:tcPr>
            <w:tcW w:w="880" w:type="pct"/>
          </w:tcPr>
          <w:p w14:paraId="721BC428" w14:textId="77777777" w:rsidR="00233273" w:rsidRPr="004E2424" w:rsidRDefault="00233273" w:rsidP="004E2424">
            <w:pPr>
              <w:spacing w:after="0" w:line="240" w:lineRule="auto"/>
              <w:rPr>
                <w:rFonts w:ascii="Arial" w:hAnsi="Arial" w:cs="Arial"/>
                <w:i/>
                <w:iCs/>
                <w:noProof/>
                <w:sz w:val="20"/>
                <w:szCs w:val="20"/>
                <w:lang w:val="en-IE"/>
              </w:rPr>
            </w:pPr>
            <w:r w:rsidRPr="004E2424">
              <w:rPr>
                <w:rFonts w:ascii="Arial" w:hAnsi="Arial" w:cs="Arial"/>
                <w:noProof/>
                <w:sz w:val="20"/>
                <w:szCs w:val="20"/>
                <w:lang w:val="en-IE"/>
              </w:rPr>
              <w:t xml:space="preserve">Desk research, </w:t>
            </w:r>
            <w:r w:rsidRPr="004E2424">
              <w:rPr>
                <w:rFonts w:ascii="Arial" w:hAnsi="Arial" w:cs="Arial"/>
                <w:i/>
                <w:iCs/>
                <w:noProof/>
                <w:sz w:val="20"/>
                <w:szCs w:val="20"/>
                <w:lang w:val="en-IE"/>
              </w:rPr>
              <w:t>e.g. eu-LISA’s strategic plan;</w:t>
            </w:r>
          </w:p>
          <w:p w14:paraId="2E412B3E" w14:textId="77777777" w:rsidR="00233273" w:rsidRPr="004E2424" w:rsidRDefault="00233273" w:rsidP="004E2424">
            <w:pPr>
              <w:spacing w:after="0" w:line="240" w:lineRule="auto"/>
              <w:rPr>
                <w:rFonts w:ascii="Arial" w:hAnsi="Arial" w:cs="Arial"/>
                <w:i/>
                <w:iCs/>
                <w:noProof/>
                <w:sz w:val="20"/>
                <w:szCs w:val="20"/>
                <w:lang w:val="en-IE"/>
              </w:rPr>
            </w:pPr>
            <w:r w:rsidRPr="004E2424">
              <w:rPr>
                <w:rFonts w:ascii="Arial" w:hAnsi="Arial" w:cs="Arial"/>
                <w:i/>
                <w:iCs/>
                <w:noProof/>
                <w:sz w:val="20"/>
                <w:szCs w:val="20"/>
                <w:lang w:val="en-IE"/>
              </w:rPr>
              <w:t>Interviews and focus groups with eu-LISA staff;</w:t>
            </w:r>
          </w:p>
          <w:p w14:paraId="1524B4FB" w14:textId="77777777" w:rsidR="00233273" w:rsidRPr="004E2424" w:rsidRDefault="00233273" w:rsidP="004E2424">
            <w:pPr>
              <w:spacing w:after="0" w:line="240" w:lineRule="auto"/>
              <w:rPr>
                <w:rFonts w:ascii="Arial" w:hAnsi="Arial" w:cs="Arial"/>
                <w:i/>
                <w:iCs/>
                <w:noProof/>
                <w:sz w:val="20"/>
                <w:szCs w:val="20"/>
                <w:lang w:val="en-IE"/>
              </w:rPr>
            </w:pPr>
            <w:r w:rsidRPr="004E2424">
              <w:rPr>
                <w:rFonts w:ascii="Arial" w:hAnsi="Arial" w:cs="Arial"/>
                <w:i/>
                <w:iCs/>
                <w:noProof/>
                <w:sz w:val="20"/>
                <w:szCs w:val="20"/>
                <w:lang w:val="en-IE"/>
              </w:rPr>
              <w:t>Interviews with EU-level and national stakeholders</w:t>
            </w:r>
          </w:p>
          <w:p w14:paraId="3C3FB14A"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SWOT workshops.</w:t>
            </w:r>
          </w:p>
        </w:tc>
      </w:tr>
      <w:tr w:rsidR="001F460A" w:rsidRPr="002048C6" w14:paraId="145D5F81" w14:textId="77777777">
        <w:tc>
          <w:tcPr>
            <w:tcW w:w="651" w:type="pct"/>
            <w:gridSpan w:val="2"/>
            <w:vMerge w:val="restart"/>
            <w:shd w:val="clear" w:color="auto" w:fill="F2F2F2" w:themeFill="background1" w:themeFillShade="F2"/>
          </w:tcPr>
          <w:p w14:paraId="60F08D7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9: To what extent does the Agency’s mandate enable eu-LISA to undertake new responsibilities?</w:t>
            </w:r>
          </w:p>
        </w:tc>
        <w:tc>
          <w:tcPr>
            <w:tcW w:w="652" w:type="pct"/>
            <w:shd w:val="clear" w:color="auto" w:fill="F2F2F2" w:themeFill="background1" w:themeFillShade="F2"/>
          </w:tcPr>
          <w:p w14:paraId="0770B1C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9.1.: Does the Agency’s mandate enable it to undertake new responsibilities?</w:t>
            </w:r>
          </w:p>
        </w:tc>
        <w:tc>
          <w:tcPr>
            <w:tcW w:w="965" w:type="pct"/>
          </w:tcPr>
          <w:p w14:paraId="0960F01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Regulation is set up in such a way that it is sufficiently flexible to accommodate new responsibilities, ensuring adaptability to evolving needs</w:t>
            </w:r>
          </w:p>
        </w:tc>
        <w:tc>
          <w:tcPr>
            <w:tcW w:w="1852" w:type="pct"/>
          </w:tcPr>
          <w:p w14:paraId="66E68EA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Processes within eu-LISA for identifying new responsibilities eu-LISA should take on</w:t>
            </w:r>
          </w:p>
          <w:p w14:paraId="35FC35C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and identification of any new key responsibilities that eu-LISA has taken on within the current scope of its legal mandate</w:t>
            </w:r>
          </w:p>
          <w:p w14:paraId="27A8C0B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and identification of any new key factors that eu-LISA has not been able to take on due to restrictions and limitations based on its legal mandate</w:t>
            </w:r>
          </w:p>
        </w:tc>
        <w:tc>
          <w:tcPr>
            <w:tcW w:w="880" w:type="pct"/>
          </w:tcPr>
          <w:p w14:paraId="0FF695C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 in particular eu-LISA Regulation</w:t>
            </w:r>
          </w:p>
          <w:p w14:paraId="01DDF1C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stakeholders</w:t>
            </w:r>
          </w:p>
          <w:p w14:paraId="3A9229E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 staff</w:t>
            </w:r>
          </w:p>
        </w:tc>
      </w:tr>
      <w:tr w:rsidR="001F460A" w:rsidRPr="00BD1AF7" w14:paraId="2ADC4785" w14:textId="77777777">
        <w:tc>
          <w:tcPr>
            <w:tcW w:w="651" w:type="pct"/>
            <w:gridSpan w:val="2"/>
            <w:vMerge/>
            <w:shd w:val="clear" w:color="auto" w:fill="F2F2F2" w:themeFill="background1" w:themeFillShade="F2"/>
          </w:tcPr>
          <w:p w14:paraId="5D259C45" w14:textId="77777777" w:rsidR="00233273" w:rsidRPr="004E2424" w:rsidRDefault="00233273" w:rsidP="004E2424">
            <w:pPr>
              <w:spacing w:after="0" w:line="240" w:lineRule="auto"/>
              <w:rPr>
                <w:rFonts w:ascii="Arial" w:hAnsi="Arial" w:cs="Arial"/>
                <w:noProof/>
                <w:sz w:val="20"/>
                <w:szCs w:val="20"/>
                <w:lang w:val="en-IE"/>
              </w:rPr>
            </w:pPr>
          </w:p>
        </w:tc>
        <w:tc>
          <w:tcPr>
            <w:tcW w:w="652" w:type="pct"/>
            <w:shd w:val="clear" w:color="auto" w:fill="F2F2F2" w:themeFill="background1" w:themeFillShade="F2"/>
          </w:tcPr>
          <w:p w14:paraId="06E8FD0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9.2.: Is the current mandate legally sufficient for new tasks?</w:t>
            </w:r>
          </w:p>
        </w:tc>
        <w:tc>
          <w:tcPr>
            <w:tcW w:w="965" w:type="pct"/>
          </w:tcPr>
          <w:p w14:paraId="3340AA7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Regulation provides a well-defined legal framework that is sufficiently flexible for eu-LISA to take on key new tasks when necessary</w:t>
            </w:r>
          </w:p>
          <w:p w14:paraId="52D8BA20" w14:textId="77777777" w:rsidR="00233273" w:rsidRPr="004E2424" w:rsidRDefault="00233273" w:rsidP="004E2424">
            <w:pPr>
              <w:spacing w:after="0" w:line="240" w:lineRule="auto"/>
              <w:rPr>
                <w:rFonts w:ascii="Arial" w:hAnsi="Arial" w:cs="Arial"/>
                <w:noProof/>
                <w:sz w:val="20"/>
                <w:szCs w:val="20"/>
                <w:lang w:val="en-IE"/>
              </w:rPr>
            </w:pPr>
          </w:p>
        </w:tc>
        <w:tc>
          <w:tcPr>
            <w:tcW w:w="1852" w:type="pct"/>
          </w:tcPr>
          <w:p w14:paraId="5F69331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Comparison of eu-LISA Regulation to similar regulations in other EU agencies (e.g. Frontex Regulation (EU) 2016/1624, or Eurojust Regulation (EU) 2018/1727) to identify common features related to legal flexibility</w:t>
            </w:r>
          </w:p>
          <w:p w14:paraId="61DAE96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Analysis of the language and provisions in eu-LISA Regulation</w:t>
            </w:r>
          </w:p>
          <w:p w14:paraId="2638F6A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Evidence where the mandate of the Agency limits its role in supporting IT-based border management and law enforcement</w:t>
            </w:r>
          </w:p>
          <w:p w14:paraId="725B1D2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Stakeholders' perceptions on whether eu-LISA’s role should remain to be purely IT development and management, or whether this should be broadened with new tasks and responsibilities beyond IT</w:t>
            </w:r>
          </w:p>
          <w:p w14:paraId="2C7AAC7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Analysis of the extent to which the current mandate is sufficient to take on new responsibilities beyond IT</w:t>
            </w:r>
          </w:p>
        </w:tc>
        <w:tc>
          <w:tcPr>
            <w:tcW w:w="880" w:type="pct"/>
          </w:tcPr>
          <w:p w14:paraId="793689A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3C4C79C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Legal documents on eu-LISA Regulation</w:t>
            </w:r>
          </w:p>
          <w:p w14:paraId="5CE8AF8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Legal documents of similar EU regulations (e.g. Frontex Regulation 2016/1624)</w:t>
            </w:r>
          </w:p>
          <w:p w14:paraId="65A24E3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 legal frameworks</w:t>
            </w:r>
          </w:p>
          <w:p w14:paraId="1E9E959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stakeholders</w:t>
            </w:r>
          </w:p>
          <w:p w14:paraId="44DD183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 staff</w:t>
            </w:r>
          </w:p>
          <w:p w14:paraId="70F6104D"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SWOT workshops</w:t>
            </w:r>
          </w:p>
        </w:tc>
      </w:tr>
      <w:tr w:rsidR="000F1C89" w:rsidRPr="002048C6" w14:paraId="012ED7CA" w14:textId="77777777">
        <w:tc>
          <w:tcPr>
            <w:tcW w:w="1303" w:type="pct"/>
            <w:gridSpan w:val="3"/>
            <w:shd w:val="clear" w:color="auto" w:fill="F2F2F2" w:themeFill="background1" w:themeFillShade="F2"/>
          </w:tcPr>
          <w:p w14:paraId="5FB0825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10: Are all activities performed by eu-LISA relevant and necessary considering the mandate of the Agency?</w:t>
            </w:r>
          </w:p>
        </w:tc>
        <w:tc>
          <w:tcPr>
            <w:tcW w:w="965" w:type="pct"/>
          </w:tcPr>
          <w:p w14:paraId="1186542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All activities performed by eu-LISA are relevant and necessary considering the mandate of the Agency.</w:t>
            </w:r>
          </w:p>
        </w:tc>
        <w:tc>
          <w:tcPr>
            <w:tcW w:w="1852" w:type="pct"/>
          </w:tcPr>
          <w:p w14:paraId="6957F7C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eu-LISA's key activities to the objectives and scope defined in eu-LISA Regulation</w:t>
            </w:r>
          </w:p>
          <w:p w14:paraId="6EC92DF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Identification of any activities that are currently executed by eu-LISA that cannot clearly be connected to its mandate</w:t>
            </w:r>
          </w:p>
          <w:p w14:paraId="36F517B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Stakeholder perceptions of the relevance and necessity of eu-LISA's current activities in fulfilling its mandate</w:t>
            </w:r>
          </w:p>
        </w:tc>
        <w:tc>
          <w:tcPr>
            <w:tcW w:w="880" w:type="pct"/>
          </w:tcPr>
          <w:p w14:paraId="739B061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1D44A46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 management</w:t>
            </w:r>
          </w:p>
          <w:p w14:paraId="6D64B2F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w:t>
            </w:r>
          </w:p>
        </w:tc>
      </w:tr>
      <w:tr w:rsidR="000F1C89" w:rsidRPr="002048C6" w14:paraId="579689B0" w14:textId="77777777">
        <w:tc>
          <w:tcPr>
            <w:tcW w:w="1303" w:type="pct"/>
            <w:gridSpan w:val="3"/>
            <w:shd w:val="clear" w:color="auto" w:fill="F2F2F2" w:themeFill="background1" w:themeFillShade="F2"/>
          </w:tcPr>
          <w:p w14:paraId="5A48B00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11: Is the current mandate and organisation of the Agency correctly reflecting the need to respect the principle of independence of the judiciary?</w:t>
            </w:r>
          </w:p>
        </w:tc>
        <w:tc>
          <w:tcPr>
            <w:tcW w:w="965" w:type="pct"/>
          </w:tcPr>
          <w:p w14:paraId="31955FE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eu-LISA's current mandate and organisational structure respect the principle of independence of the judiciary. </w:t>
            </w:r>
          </w:p>
        </w:tc>
        <w:tc>
          <w:tcPr>
            <w:tcW w:w="1852" w:type="pct"/>
          </w:tcPr>
          <w:p w14:paraId="4A8DABB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Identification of any decisions and actions of the Agency affecting large-scale IT systems in AFSJ that may compromise the independence of the judiciary, including based on views from relevant stakeholders, such as judicial authorities, legal experts, and supervisory authorities</w:t>
            </w:r>
          </w:p>
          <w:p w14:paraId="380244A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Description of the approach of the Management Board to ensure that eu-LISA’s decisions and actions do not compromise the independence of the judiciary, e.g. any processes established, discussions on these aspects in the meetings</w:t>
            </w:r>
          </w:p>
        </w:tc>
        <w:tc>
          <w:tcPr>
            <w:tcW w:w="880" w:type="pct"/>
          </w:tcPr>
          <w:p w14:paraId="4A11AAF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 including e.g. internal documents on relevant governance procedures, minutes of the MB meetings</w:t>
            </w:r>
          </w:p>
          <w:p w14:paraId="22D7B05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Targeted written surveys</w:t>
            </w:r>
          </w:p>
          <w:p w14:paraId="479432A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w:t>
            </w:r>
          </w:p>
          <w:p w14:paraId="1B67E39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national stakeholders and others</w:t>
            </w:r>
          </w:p>
        </w:tc>
      </w:tr>
    </w:tbl>
    <w:p w14:paraId="7A8419B0" w14:textId="77777777" w:rsidR="00233273" w:rsidRPr="004E2424" w:rsidRDefault="00233273" w:rsidP="00233273">
      <w:pPr>
        <w:rPr>
          <w:rFonts w:ascii="Times New Roman" w:hAnsi="Times New Roman" w:cs="Times New Roman"/>
          <w:b/>
          <w:bCs/>
          <w:noProof/>
          <w:lang w:val="en-IE"/>
        </w:rPr>
      </w:pPr>
      <w:bookmarkStart w:id="95" w:name="_Toc164075799"/>
      <w:bookmarkStart w:id="96" w:name="_Toc164372845"/>
      <w:bookmarkStart w:id="97" w:name="_Toc164376054"/>
      <w:bookmarkStart w:id="98" w:name="_Toc164547392"/>
      <w:bookmarkStart w:id="99" w:name="_Toc164680886"/>
      <w:bookmarkStart w:id="100" w:name="_Toc164682617"/>
      <w:bookmarkStart w:id="101" w:name="_Toc167205610"/>
      <w:bookmarkStart w:id="102" w:name="_Toc167208509"/>
    </w:p>
    <w:p w14:paraId="38DA670E" w14:textId="77777777" w:rsidR="00233273" w:rsidRPr="004E2424" w:rsidRDefault="00233273" w:rsidP="004E2424">
      <w:pPr>
        <w:spacing w:after="0" w:line="240" w:lineRule="auto"/>
        <w:rPr>
          <w:rFonts w:ascii="Times New Roman" w:hAnsi="Times New Roman" w:cs="Times New Roman"/>
          <w:b/>
          <w:bCs/>
          <w:noProof/>
          <w:u w:val="single"/>
        </w:rPr>
      </w:pPr>
      <w:r w:rsidRPr="004E2424">
        <w:rPr>
          <w:rFonts w:ascii="Times New Roman" w:hAnsi="Times New Roman" w:cs="Times New Roman"/>
          <w:b/>
          <w:bCs/>
          <w:noProof/>
          <w:u w:val="single"/>
        </w:rPr>
        <w:t>Effectiveness</w:t>
      </w:r>
      <w:bookmarkEnd w:id="95"/>
      <w:bookmarkEnd w:id="96"/>
      <w:bookmarkEnd w:id="97"/>
      <w:bookmarkEnd w:id="98"/>
      <w:bookmarkEnd w:id="99"/>
      <w:bookmarkEnd w:id="100"/>
      <w:bookmarkEnd w:id="101"/>
      <w:bookmarkEnd w:id="102"/>
    </w:p>
    <w:p w14:paraId="2DB05024" w14:textId="77777777" w:rsidR="00233273" w:rsidRPr="004E2424" w:rsidRDefault="00233273" w:rsidP="004E2424">
      <w:pPr>
        <w:spacing w:after="0" w:line="240" w:lineRule="auto"/>
        <w:rPr>
          <w:rFonts w:ascii="Times New Roman" w:hAnsi="Times New Roman" w:cs="Times New Roman"/>
          <w:noProof/>
          <w:lang w:val="en-IE"/>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840"/>
        <w:gridCol w:w="13548"/>
      </w:tblGrid>
      <w:tr w:rsidR="00233273" w:rsidRPr="002048C6" w14:paraId="2932DEA2" w14:textId="77777777">
        <w:tc>
          <w:tcPr>
            <w:tcW w:w="598" w:type="pct"/>
            <w:shd w:val="clear" w:color="auto" w:fill="1B7BCA" w:themeFill="background2" w:themeFillShade="80"/>
            <w:vAlign w:val="center"/>
          </w:tcPr>
          <w:p w14:paraId="5FFF3690"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Understanding </w:t>
            </w:r>
          </w:p>
        </w:tc>
        <w:tc>
          <w:tcPr>
            <w:tcW w:w="4402" w:type="pct"/>
            <w:vAlign w:val="center"/>
          </w:tcPr>
          <w:p w14:paraId="5CDD291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Assessment of the degree to which eu-LISA Regulation's objectives have been achieved or progress been made towards their achievement, including general, specific, and operational objectives;</w:t>
            </w:r>
          </w:p>
          <w:p w14:paraId="2B7D93E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Investigation of the factors contributing to the success or failure of achieving these objectives, providing insights into what has worked and what has not;</w:t>
            </w:r>
          </w:p>
          <w:p w14:paraId="0BA08C4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Examination of the impact of eu-LISA's activities concerning different users and purposes, offering a nuanced understanding of their effectiveness.</w:t>
            </w:r>
          </w:p>
        </w:tc>
      </w:tr>
      <w:tr w:rsidR="00233273" w:rsidRPr="00233273" w14:paraId="16E2251F" w14:textId="77777777">
        <w:tc>
          <w:tcPr>
            <w:tcW w:w="598" w:type="pct"/>
            <w:shd w:val="clear" w:color="auto" w:fill="1B7BCA" w:themeFill="background2" w:themeFillShade="80"/>
            <w:vAlign w:val="center"/>
          </w:tcPr>
          <w:p w14:paraId="1F93A7F9"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Analytical and methodological approach</w:t>
            </w:r>
          </w:p>
        </w:tc>
        <w:tc>
          <w:tcPr>
            <w:tcW w:w="4402" w:type="pct"/>
            <w:vAlign w:val="center"/>
          </w:tcPr>
          <w:p w14:paraId="7E9FBAF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Variety of methods, including desk research, interviews, focus groups, (SWOT) workshops, written surveys, and case studies;</w:t>
            </w:r>
          </w:p>
          <w:p w14:paraId="50D5A3A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Evaluation of multiple dimensions of eu-LISA's performance and objectives, addressing a wide range of criteria;</w:t>
            </w:r>
          </w:p>
          <w:p w14:paraId="2EF4F20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Gathering and analysis data from internal sources (documents, records) and internal as well as external stakeholders (interviews, written surveys, focus groups, workshops) to ensure a comprehensive assessment;</w:t>
            </w:r>
          </w:p>
          <w:p w14:paraId="05F4AECA"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Utilisation of combination of quantitative (metrics, KPIs) and qualitative (perceptions, opinions) indicators.</w:t>
            </w:r>
          </w:p>
        </w:tc>
      </w:tr>
      <w:tr w:rsidR="00233273" w:rsidRPr="002048C6" w14:paraId="590B17DA" w14:textId="77777777">
        <w:tc>
          <w:tcPr>
            <w:tcW w:w="598" w:type="pct"/>
            <w:shd w:val="clear" w:color="auto" w:fill="1B7BCA" w:themeFill="background2" w:themeFillShade="80"/>
            <w:vAlign w:val="center"/>
          </w:tcPr>
          <w:p w14:paraId="7CB6D067"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Potential limitations </w:t>
            </w:r>
          </w:p>
        </w:tc>
        <w:tc>
          <w:tcPr>
            <w:tcW w:w="4402" w:type="pct"/>
            <w:vAlign w:val="center"/>
          </w:tcPr>
          <w:p w14:paraId="0C65FDD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Reliance on self-reported data and perceptions from stakeholders may introduce bias. Project team will carefully scrutinise for bias and be transparent about it in the deliverables;</w:t>
            </w:r>
          </w:p>
          <w:p w14:paraId="3FC74B9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Potentially limited accuracy and completeness of historical data, especially in terms of incident reports and budget records. Will be discussed with Commission and mitigated through use of multiple data collection methods and analytical approaches;</w:t>
            </w:r>
          </w:p>
          <w:p w14:paraId="5BAC963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Interpretation of qualitative data and the assessment of subjective indicators might be influenced by individual perspectives. Project team is very experienced in this regard and will make any subjective judgments transparent to the Commission;</w:t>
            </w:r>
          </w:p>
          <w:p w14:paraId="070B56B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Influence of external factors on eu-LISA's performance may not be fully isolatable from internal factors.</w:t>
            </w:r>
          </w:p>
        </w:tc>
      </w:tr>
    </w:tbl>
    <w:p w14:paraId="199EF0D2" w14:textId="77777777" w:rsidR="00233273" w:rsidRDefault="00233273" w:rsidP="00233273">
      <w:pPr>
        <w:spacing w:after="0" w:line="240" w:lineRule="auto"/>
        <w:rPr>
          <w:rFonts w:ascii="Times New Roman" w:hAnsi="Times New Roman" w:cs="Times New Roman"/>
          <w:noProof/>
          <w:lang w:val="en-IE"/>
        </w:rPr>
      </w:pPr>
    </w:p>
    <w:p w14:paraId="01896DFA" w14:textId="77777777" w:rsidR="00233273" w:rsidRDefault="00233273" w:rsidP="00233273">
      <w:pPr>
        <w:spacing w:after="0" w:line="240" w:lineRule="auto"/>
        <w:rPr>
          <w:rFonts w:ascii="Times New Roman" w:hAnsi="Times New Roman" w:cs="Times New Roman"/>
          <w:noProof/>
          <w:lang w:val="en-IE"/>
        </w:rPr>
      </w:pPr>
    </w:p>
    <w:p w14:paraId="104CC074" w14:textId="77777777" w:rsidR="00233273" w:rsidRPr="004E2424" w:rsidRDefault="00233273" w:rsidP="004E2424">
      <w:pPr>
        <w:spacing w:after="0" w:line="240" w:lineRule="auto"/>
        <w:rPr>
          <w:rFonts w:ascii="Times New Roman" w:hAnsi="Times New Roman" w:cs="Times New Roman"/>
          <w:noProof/>
          <w:lang w:val="en-IE"/>
        </w:rPr>
      </w:pPr>
    </w:p>
    <w:p w14:paraId="6B7FD132" w14:textId="77777777" w:rsidR="00233273" w:rsidRDefault="00233273" w:rsidP="00233273">
      <w:pPr>
        <w:spacing w:after="0" w:line="240" w:lineRule="auto"/>
        <w:rPr>
          <w:rFonts w:ascii="Times New Roman" w:hAnsi="Times New Roman" w:cs="Times New Roman"/>
          <w:i/>
          <w:iCs/>
          <w:noProof/>
          <w:lang w:val="en-IE"/>
        </w:rPr>
      </w:pPr>
      <w:bookmarkStart w:id="103" w:name="_Toc154041759"/>
      <w:bookmarkStart w:id="104" w:name="_Toc167205843"/>
      <w:r w:rsidRPr="004E2424">
        <w:rPr>
          <w:rFonts w:ascii="Times New Roman" w:hAnsi="Times New Roman" w:cs="Times New Roman"/>
          <w:i/>
          <w:iCs/>
          <w:noProof/>
          <w:lang w:val="en-IE"/>
        </w:rPr>
        <w:t xml:space="preserve">Table </w:t>
      </w:r>
      <w:r>
        <w:rPr>
          <w:rFonts w:ascii="Times New Roman" w:hAnsi="Times New Roman" w:cs="Times New Roman"/>
          <w:i/>
          <w:iCs/>
          <w:noProof/>
        </w:rPr>
        <w:t>2</w:t>
      </w:r>
      <w:r w:rsidRPr="004E2424">
        <w:rPr>
          <w:rFonts w:ascii="Times New Roman" w:hAnsi="Times New Roman" w:cs="Times New Roman"/>
          <w:i/>
          <w:iCs/>
          <w:noProof/>
          <w:lang w:val="en-IE"/>
        </w:rPr>
        <w:t xml:space="preserve"> - Effectiveness – Evaluation matrix</w:t>
      </w:r>
      <w:bookmarkEnd w:id="103"/>
      <w:bookmarkEnd w:id="104"/>
    </w:p>
    <w:p w14:paraId="21895334" w14:textId="77777777" w:rsidR="00233273" w:rsidRPr="004E2424" w:rsidRDefault="00233273" w:rsidP="00233273">
      <w:pPr>
        <w:spacing w:after="0" w:line="240" w:lineRule="auto"/>
        <w:rPr>
          <w:rFonts w:ascii="Times New Roman" w:hAnsi="Times New Roman" w:cs="Times New Roman"/>
          <w:i/>
          <w:iCs/>
          <w:noProof/>
          <w:lang w:val="en-IE"/>
        </w:rPr>
      </w:pPr>
    </w:p>
    <w:tbl>
      <w:tblPr>
        <w:tblpPr w:leftFromText="141" w:rightFromText="141" w:vertAnchor="text" w:tblpY="1"/>
        <w:tblOverlap w:val="neve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120"/>
        <w:gridCol w:w="2410"/>
        <w:gridCol w:w="3121"/>
        <w:gridCol w:w="4961"/>
        <w:gridCol w:w="2776"/>
      </w:tblGrid>
      <w:tr w:rsidR="00233273" w:rsidRPr="00772B2A" w14:paraId="284636F9" w14:textId="77777777" w:rsidTr="2E42B479">
        <w:trPr>
          <w:trHeight w:val="509"/>
          <w:tblHeader/>
        </w:trPr>
        <w:tc>
          <w:tcPr>
            <w:tcW w:w="689" w:type="pct"/>
            <w:vMerge w:val="restart"/>
            <w:shd w:val="clear" w:color="auto" w:fill="1B7BCA" w:themeFill="background2" w:themeFillShade="80"/>
            <w:vAlign w:val="center"/>
            <w:hideMark/>
          </w:tcPr>
          <w:p w14:paraId="2C49C0A4"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Evaluation question</w:t>
            </w:r>
          </w:p>
        </w:tc>
        <w:tc>
          <w:tcPr>
            <w:tcW w:w="783" w:type="pct"/>
            <w:vMerge w:val="restart"/>
            <w:shd w:val="clear" w:color="auto" w:fill="1B7BCA" w:themeFill="background2" w:themeFillShade="80"/>
            <w:vAlign w:val="center"/>
          </w:tcPr>
          <w:p w14:paraId="247029BF"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Sub-questions</w:t>
            </w:r>
          </w:p>
        </w:tc>
        <w:tc>
          <w:tcPr>
            <w:tcW w:w="1014" w:type="pct"/>
            <w:vMerge w:val="restart"/>
            <w:shd w:val="clear" w:color="auto" w:fill="1B7BCA" w:themeFill="background2" w:themeFillShade="80"/>
            <w:vAlign w:val="center"/>
            <w:hideMark/>
          </w:tcPr>
          <w:p w14:paraId="7DFE59E0"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Judgement criteria </w:t>
            </w:r>
          </w:p>
        </w:tc>
        <w:tc>
          <w:tcPr>
            <w:tcW w:w="1612" w:type="pct"/>
            <w:vMerge w:val="restart"/>
            <w:shd w:val="clear" w:color="auto" w:fill="1B7BCA" w:themeFill="background2" w:themeFillShade="80"/>
            <w:vAlign w:val="center"/>
            <w:hideMark/>
          </w:tcPr>
          <w:p w14:paraId="21CAF03F"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Indicators / information needs (examples)</w:t>
            </w:r>
          </w:p>
        </w:tc>
        <w:tc>
          <w:tcPr>
            <w:tcW w:w="902" w:type="pct"/>
            <w:vMerge w:val="restart"/>
            <w:shd w:val="clear" w:color="auto" w:fill="1B7BCA" w:themeFill="background2" w:themeFillShade="80"/>
            <w:vAlign w:val="center"/>
            <w:hideMark/>
          </w:tcPr>
          <w:p w14:paraId="016F5CC2"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Information sources (indicative)</w:t>
            </w:r>
          </w:p>
        </w:tc>
      </w:tr>
      <w:tr w:rsidR="00233273" w:rsidRPr="00EB00F7" w14:paraId="36E90680" w14:textId="77777777" w:rsidTr="2E42B479">
        <w:trPr>
          <w:trHeight w:val="253"/>
          <w:tblHeader/>
        </w:trPr>
        <w:tc>
          <w:tcPr>
            <w:tcW w:w="689" w:type="pct"/>
            <w:vMerge/>
          </w:tcPr>
          <w:p w14:paraId="28B7C6A7" w14:textId="77777777" w:rsidR="00233273" w:rsidRPr="004E2424" w:rsidRDefault="00233273" w:rsidP="004E2424">
            <w:pPr>
              <w:spacing w:after="0" w:line="240" w:lineRule="auto"/>
              <w:rPr>
                <w:rFonts w:ascii="Arial" w:hAnsi="Arial" w:cs="Arial"/>
                <w:noProof/>
                <w:sz w:val="20"/>
                <w:szCs w:val="20"/>
              </w:rPr>
            </w:pPr>
          </w:p>
        </w:tc>
        <w:tc>
          <w:tcPr>
            <w:tcW w:w="783" w:type="pct"/>
            <w:vMerge/>
          </w:tcPr>
          <w:p w14:paraId="2D4CABA1" w14:textId="77777777" w:rsidR="00233273" w:rsidRPr="004E2424" w:rsidRDefault="00233273" w:rsidP="004E2424">
            <w:pPr>
              <w:spacing w:after="0" w:line="240" w:lineRule="auto"/>
              <w:rPr>
                <w:rFonts w:ascii="Arial" w:hAnsi="Arial" w:cs="Arial"/>
                <w:noProof/>
                <w:sz w:val="20"/>
                <w:szCs w:val="20"/>
              </w:rPr>
            </w:pPr>
          </w:p>
        </w:tc>
        <w:tc>
          <w:tcPr>
            <w:tcW w:w="1014" w:type="pct"/>
            <w:vMerge/>
          </w:tcPr>
          <w:p w14:paraId="71610F19" w14:textId="77777777" w:rsidR="00233273" w:rsidRPr="004E2424" w:rsidRDefault="00233273" w:rsidP="004E2424">
            <w:pPr>
              <w:spacing w:after="0" w:line="240" w:lineRule="auto"/>
              <w:rPr>
                <w:rFonts w:ascii="Arial" w:hAnsi="Arial" w:cs="Arial"/>
                <w:noProof/>
                <w:sz w:val="20"/>
                <w:szCs w:val="20"/>
              </w:rPr>
            </w:pPr>
          </w:p>
        </w:tc>
        <w:tc>
          <w:tcPr>
            <w:tcW w:w="1612" w:type="pct"/>
            <w:vMerge/>
          </w:tcPr>
          <w:p w14:paraId="338D1ED7" w14:textId="77777777" w:rsidR="00233273" w:rsidRPr="004E2424" w:rsidRDefault="00233273" w:rsidP="004E2424">
            <w:pPr>
              <w:spacing w:after="0" w:line="240" w:lineRule="auto"/>
              <w:rPr>
                <w:rFonts w:ascii="Arial" w:hAnsi="Arial" w:cs="Arial"/>
                <w:noProof/>
                <w:sz w:val="20"/>
                <w:szCs w:val="20"/>
              </w:rPr>
            </w:pPr>
          </w:p>
        </w:tc>
        <w:tc>
          <w:tcPr>
            <w:tcW w:w="902" w:type="pct"/>
            <w:vMerge/>
          </w:tcPr>
          <w:p w14:paraId="47E4FDCA" w14:textId="77777777" w:rsidR="00233273" w:rsidRPr="004E2424" w:rsidRDefault="00233273" w:rsidP="004E2424">
            <w:pPr>
              <w:spacing w:after="0" w:line="240" w:lineRule="auto"/>
              <w:rPr>
                <w:rFonts w:ascii="Arial" w:hAnsi="Arial" w:cs="Arial"/>
                <w:noProof/>
                <w:sz w:val="20"/>
                <w:szCs w:val="20"/>
              </w:rPr>
            </w:pPr>
          </w:p>
        </w:tc>
      </w:tr>
      <w:tr w:rsidR="00233273" w:rsidRPr="00EB00F7" w14:paraId="4F210A3E" w14:textId="77777777" w:rsidTr="2E42B479">
        <w:tc>
          <w:tcPr>
            <w:tcW w:w="689" w:type="pct"/>
            <w:vMerge w:val="restart"/>
            <w:shd w:val="clear" w:color="auto" w:fill="F2F2F2" w:themeFill="background1" w:themeFillShade="F2"/>
          </w:tcPr>
          <w:p w14:paraId="24AB275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12: How and to what extent did eu-LISA meet its core objectives and tasks set out in eu-LISA Regulation?</w:t>
            </w:r>
          </w:p>
        </w:tc>
        <w:tc>
          <w:tcPr>
            <w:tcW w:w="783" w:type="pct"/>
            <w:shd w:val="clear" w:color="auto" w:fill="F2F2F2" w:themeFill="background1" w:themeFillShade="F2"/>
          </w:tcPr>
          <w:p w14:paraId="5511932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[see sub-questions below as well as more detailed evaluation questions 13 ff.]</w:t>
            </w:r>
          </w:p>
        </w:tc>
        <w:tc>
          <w:tcPr>
            <w:tcW w:w="1014" w:type="pct"/>
          </w:tcPr>
          <w:p w14:paraId="1E46B80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Eu-LISA has achieved its objectives and tasks as defined in eu-LISA Regulation </w:t>
            </w:r>
          </w:p>
        </w:tc>
        <w:tc>
          <w:tcPr>
            <w:tcW w:w="1612" w:type="pct"/>
          </w:tcPr>
          <w:p w14:paraId="1A0F9AC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Extent to which each of the objectives have been achieved or progress been made towards the achievement of the objectives </w:t>
            </w:r>
          </w:p>
          <w:p w14:paraId="63B06AE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Identification of internal or external factors hindering progress </w:t>
            </w:r>
          </w:p>
          <w:p w14:paraId="0202E24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Stakeholder’s perception of the Agency's progress towards achieving the operational objectives.</w:t>
            </w:r>
          </w:p>
        </w:tc>
        <w:tc>
          <w:tcPr>
            <w:tcW w:w="902" w:type="pct"/>
            <w:vMerge w:val="restart"/>
          </w:tcPr>
          <w:p w14:paraId="43AEE7D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w:t>
            </w:r>
          </w:p>
          <w:p w14:paraId="280162E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Targeted written surveys </w:t>
            </w:r>
          </w:p>
          <w:p w14:paraId="583CE89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&amp; focus groups with eu-LISA staff and MB</w:t>
            </w:r>
          </w:p>
          <w:p w14:paraId="33B33E5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w:t>
            </w:r>
          </w:p>
          <w:p w14:paraId="7E6C9CB9"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SWOT workshops</w:t>
            </w:r>
          </w:p>
          <w:p w14:paraId="27C559B9"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Case studies</w:t>
            </w:r>
          </w:p>
          <w:p w14:paraId="590FD311" w14:textId="77777777" w:rsidR="00233273" w:rsidRPr="004E2424" w:rsidRDefault="00233273" w:rsidP="004E2424">
            <w:pPr>
              <w:spacing w:after="0" w:line="240" w:lineRule="auto"/>
              <w:rPr>
                <w:rFonts w:ascii="Arial" w:hAnsi="Arial" w:cs="Arial"/>
                <w:noProof/>
                <w:sz w:val="20"/>
                <w:szCs w:val="20"/>
              </w:rPr>
            </w:pPr>
          </w:p>
        </w:tc>
      </w:tr>
      <w:tr w:rsidR="00233273" w:rsidRPr="002048C6" w14:paraId="694DAE2D" w14:textId="77777777" w:rsidTr="2E42B479">
        <w:tc>
          <w:tcPr>
            <w:tcW w:w="689" w:type="pct"/>
            <w:vMerge/>
          </w:tcPr>
          <w:p w14:paraId="4192C8E9" w14:textId="77777777" w:rsidR="00233273" w:rsidRPr="004E2424" w:rsidRDefault="00233273" w:rsidP="004E2424">
            <w:pPr>
              <w:spacing w:after="0" w:line="240" w:lineRule="auto"/>
              <w:rPr>
                <w:rFonts w:ascii="Arial" w:hAnsi="Arial" w:cs="Arial"/>
                <w:noProof/>
                <w:sz w:val="20"/>
                <w:szCs w:val="20"/>
              </w:rPr>
            </w:pPr>
          </w:p>
        </w:tc>
        <w:tc>
          <w:tcPr>
            <w:tcW w:w="783" w:type="pct"/>
            <w:shd w:val="clear" w:color="auto" w:fill="F2F2F2" w:themeFill="background1" w:themeFillShade="F2"/>
          </w:tcPr>
          <w:p w14:paraId="37326B1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12.1 Operational Objectives:</w:t>
            </w:r>
          </w:p>
          <w:p w14:paraId="2442052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carry out the operational management of relevant large-scale IT systems and the related communication infrastructure </w:t>
            </w:r>
          </w:p>
          <w:p w14:paraId="13CD6A5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develop the IT systems in an efficient manner </w:t>
            </w:r>
          </w:p>
          <w:p w14:paraId="4A74462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ensure the effective, secure and continuous functioning of the IT systems </w:t>
            </w:r>
          </w:p>
          <w:p w14:paraId="69B4C7E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ensure interoperability between different IT systems </w:t>
            </w:r>
          </w:p>
          <w:p w14:paraId="57667C9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ensure a high service quality for users </w:t>
            </w:r>
          </w:p>
          <w:p w14:paraId="11C61D6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ensure a high level of data protection </w:t>
            </w:r>
          </w:p>
          <w:p w14:paraId="7863820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implement an appropriate level of data and physical security </w:t>
            </w:r>
          </w:p>
          <w:p w14:paraId="1C80904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manage the systems in an efficient and financially accountable manner </w:t>
            </w:r>
          </w:p>
          <w:p w14:paraId="0B2AC03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provide advice and support to MS and the EC </w:t>
            </w:r>
          </w:p>
          <w:p w14:paraId="021BE29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contribute to training and awareness for users of the IT systems </w:t>
            </w:r>
          </w:p>
          <w:p w14:paraId="02D02C4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compile and publish statistics and produce statistical reports </w:t>
            </w:r>
          </w:p>
          <w:p w14:paraId="073E369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make suggestions for necessary technical changes to the IT systems </w:t>
            </w:r>
          </w:p>
          <w:p w14:paraId="78C2320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engage in research and pilot projects </w:t>
            </w:r>
          </w:p>
          <w:p w14:paraId="4D06C2BB"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To ensure transparency on eu-LISA’s activities.</w:t>
            </w:r>
          </w:p>
        </w:tc>
        <w:tc>
          <w:tcPr>
            <w:tcW w:w="1014" w:type="pct"/>
          </w:tcPr>
          <w:p w14:paraId="1769559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eu-LISA effectively operates large-scale IT systems and the related communication infrastructure </w:t>
            </w:r>
          </w:p>
          <w:p w14:paraId="3F04D9D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Upon request, new IT systems are developed efficiently </w:t>
            </w:r>
          </w:p>
          <w:p w14:paraId="38260D7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The IT systems are constantly and securely available </w:t>
            </w:r>
          </w:p>
          <w:p w14:paraId="26DF211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Where applicable, data can be exchanged seamlessly between different IT systems </w:t>
            </w:r>
          </w:p>
          <w:p w14:paraId="590626A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Users can easily navigate the IT systems and identify and use all functions relevant </w:t>
            </w:r>
          </w:p>
          <w:p w14:paraId="5C06D68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Information is processed within legal boundaries and respect of fundamental rights </w:t>
            </w:r>
          </w:p>
          <w:p w14:paraId="0D61A3E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Data and eu-LISA premises are sufficiently protected </w:t>
            </w:r>
          </w:p>
          <w:p w14:paraId="75DAD0F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The systems are managed in an efficient manner and eu-LISA is held accountable in case of any concerns in this respect </w:t>
            </w:r>
          </w:p>
          <w:p w14:paraId="668F054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Member States and the EC receive useful advice and support in relation to specific requests in a timely manner </w:t>
            </w:r>
          </w:p>
          <w:p w14:paraId="17C9FFC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Users are sufficiently competent in using the IT systems </w:t>
            </w:r>
          </w:p>
          <w:p w14:paraId="3B67769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Statistics on eu-LISA fulfil quality standards and are published timely in a lucid manner </w:t>
            </w:r>
          </w:p>
          <w:p w14:paraId="0B3CBF1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The IT systems are constantly re-assessed and where applicable improved </w:t>
            </w:r>
          </w:p>
          <w:p w14:paraId="347BBF7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Relevant trends in research are recorded sufficiently and, where applicable, research and pilot projects are actively supported </w:t>
            </w:r>
          </w:p>
          <w:p w14:paraId="0A6CA6C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Interested stakeholders and the public are able to access information on eu-LISA’s activities.</w:t>
            </w:r>
          </w:p>
        </w:tc>
        <w:tc>
          <w:tcPr>
            <w:tcW w:w="1612" w:type="pct"/>
            <w:hideMark/>
          </w:tcPr>
          <w:p w14:paraId="0546C76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Performance of eu-LISA in relation to the operational management of relevant large-scale IT systems and the related communication infrastructure </w:t>
            </w:r>
          </w:p>
          <w:p w14:paraId="075CB39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Performance of eu-LISA in relation to the development of IT systems </w:t>
            </w:r>
          </w:p>
          <w:p w14:paraId="0A62039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Performance of eu-LISA in relation to ensuring the effective, secure and continuous functioning of the IT systems </w:t>
            </w:r>
          </w:p>
          <w:p w14:paraId="6D3094F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Performance of eu-LISA in relation to ensuring interoperability </w:t>
            </w:r>
          </w:p>
          <w:p w14:paraId="7BD0A5A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Performance of eu-LISA in relation to ensuring a high service quality for users </w:t>
            </w:r>
          </w:p>
          <w:p w14:paraId="0E6F8EF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Performance of eu-LISA in relation to ensuring a high level of data protection </w:t>
            </w:r>
          </w:p>
          <w:p w14:paraId="68CCACD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Performance of eu-LISA in relation to implementing an appropriate level of data and physical security </w:t>
            </w:r>
          </w:p>
          <w:p w14:paraId="0F0E96E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Performance of eu-LISA in relation to managing the systems in an efficient and financially accountable manner </w:t>
            </w:r>
          </w:p>
          <w:p w14:paraId="3DC018F9" w14:textId="1AE24A04"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Performance of eu-LISA in relation to providing advice and support to MS and the EC </w:t>
            </w:r>
          </w:p>
          <w:p w14:paraId="66E342DE" w14:textId="2FEB874D"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Performance of eu-LISA in relation to contributing to training for users of the IT systems, including based on: the methodology pursued by the Agency to provide training on the technical use of the systems and the experiences of participants with such training the establishment of different forums by the Agency to communicate with end-users and the efficiency of these forums in the context of preparation, exchange of good-practice and trainings assessment if the chosen forums are adequate to the targeted audience </w:t>
            </w:r>
          </w:p>
          <w:p w14:paraId="250124C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Performance of eu-LISA in relation to compiling and publishing statistics and producing statistical reports </w:t>
            </w:r>
          </w:p>
          <w:p w14:paraId="37EDD7B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Performance of eu-LISA in relation to compiling and publishing statistics and producing statistical reports </w:t>
            </w:r>
          </w:p>
          <w:p w14:paraId="3A78678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Performance of eu-LISA in relation to research and pilot projects </w:t>
            </w:r>
          </w:p>
          <w:p w14:paraId="3827C7A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Performance of eu-LISA in relation to ensuring transparency on its activities.</w:t>
            </w:r>
          </w:p>
        </w:tc>
        <w:tc>
          <w:tcPr>
            <w:tcW w:w="902" w:type="pct"/>
            <w:vMerge/>
          </w:tcPr>
          <w:p w14:paraId="692270C9" w14:textId="77777777" w:rsidR="00233273" w:rsidRPr="004E2424" w:rsidRDefault="00233273" w:rsidP="004E2424">
            <w:pPr>
              <w:spacing w:after="0" w:line="240" w:lineRule="auto"/>
              <w:rPr>
                <w:rFonts w:ascii="Arial" w:hAnsi="Arial" w:cs="Arial"/>
                <w:noProof/>
                <w:sz w:val="20"/>
                <w:szCs w:val="20"/>
                <w:lang w:val="en-IE"/>
              </w:rPr>
            </w:pPr>
          </w:p>
        </w:tc>
      </w:tr>
      <w:tr w:rsidR="00233273" w:rsidRPr="002048C6" w14:paraId="7153AC0F" w14:textId="77777777" w:rsidTr="2E42B479">
        <w:tc>
          <w:tcPr>
            <w:tcW w:w="689" w:type="pct"/>
            <w:vMerge/>
          </w:tcPr>
          <w:p w14:paraId="641FE869" w14:textId="77777777" w:rsidR="00233273" w:rsidRPr="004E2424" w:rsidRDefault="00233273" w:rsidP="004E2424">
            <w:pPr>
              <w:spacing w:after="0" w:line="240" w:lineRule="auto"/>
              <w:rPr>
                <w:rFonts w:ascii="Arial" w:hAnsi="Arial" w:cs="Arial"/>
                <w:noProof/>
                <w:sz w:val="20"/>
                <w:szCs w:val="20"/>
                <w:lang w:val="en-IE"/>
              </w:rPr>
            </w:pPr>
          </w:p>
        </w:tc>
        <w:tc>
          <w:tcPr>
            <w:tcW w:w="783" w:type="pct"/>
            <w:shd w:val="clear" w:color="auto" w:fill="F2F2F2" w:themeFill="background1" w:themeFillShade="F2"/>
          </w:tcPr>
          <w:p w14:paraId="3723EBD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EQ 12.2 Specific Objectives: </w:t>
            </w:r>
          </w:p>
          <w:p w14:paraId="781BA64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contribute to a coordinated, cost-effective and coherent IT environment at Union level in the AFSJ that is in line with fundamental rights </w:t>
            </w:r>
          </w:p>
          <w:p w14:paraId="57C7698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To contribute within the scope of its mandate to evidence-based Union migration and security policy-making and to the monitoring of the proper functioning of IT systems in the AFSJ </w:t>
            </w:r>
          </w:p>
          <w:p w14:paraId="1827673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To contribute to the development of IT-based solutions in the AFSJ.</w:t>
            </w:r>
          </w:p>
        </w:tc>
        <w:tc>
          <w:tcPr>
            <w:tcW w:w="1014" w:type="pct"/>
          </w:tcPr>
          <w:p w14:paraId="3AAE507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The Union level IT environment is operated in a coordinated, cost-effective and coherent way and in line with fundamental rights </w:t>
            </w:r>
          </w:p>
          <w:p w14:paraId="4C50B4C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eu-LISA’s provides input to evidence-based Union migration and security policy-making and to the monitoring of the IT systems </w:t>
            </w:r>
          </w:p>
          <w:p w14:paraId="4F33F2D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contributes significantly to the development of IT-based solutions in the AFSJ.</w:t>
            </w:r>
          </w:p>
        </w:tc>
        <w:tc>
          <w:tcPr>
            <w:tcW w:w="1612" w:type="pct"/>
          </w:tcPr>
          <w:p w14:paraId="16F7CC9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Contributions of eu-LISA to a coordinated, cost-effective and coherent IT environment at Union level in the AFSJ that is in line with fundamental rights </w:t>
            </w:r>
          </w:p>
          <w:p w14:paraId="3B70965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Contributions of eu-LISA to evidence-based Union migration and security policy-making and to the monitoring of the proper functioning of IT systems in the AFSJ </w:t>
            </w:r>
          </w:p>
          <w:p w14:paraId="69439CF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Contributions of eu-LISA to the development of IT-based solutions in the AFSJ.</w:t>
            </w:r>
          </w:p>
        </w:tc>
        <w:tc>
          <w:tcPr>
            <w:tcW w:w="902" w:type="pct"/>
            <w:vMerge/>
          </w:tcPr>
          <w:p w14:paraId="61EA372D" w14:textId="77777777" w:rsidR="00233273" w:rsidRPr="004E2424" w:rsidRDefault="00233273" w:rsidP="004E2424">
            <w:pPr>
              <w:spacing w:after="0" w:line="240" w:lineRule="auto"/>
              <w:rPr>
                <w:rFonts w:ascii="Arial" w:hAnsi="Arial" w:cs="Arial"/>
                <w:noProof/>
                <w:sz w:val="20"/>
                <w:szCs w:val="20"/>
                <w:lang w:val="en-IE"/>
              </w:rPr>
            </w:pPr>
          </w:p>
        </w:tc>
      </w:tr>
      <w:tr w:rsidR="00233273" w:rsidRPr="002048C6" w14:paraId="2157D8A1" w14:textId="77777777" w:rsidTr="2E42B479">
        <w:tc>
          <w:tcPr>
            <w:tcW w:w="689" w:type="pct"/>
            <w:vMerge/>
          </w:tcPr>
          <w:p w14:paraId="31FCBF2D" w14:textId="77777777" w:rsidR="00233273" w:rsidRPr="004E2424" w:rsidRDefault="00233273" w:rsidP="004E2424">
            <w:pPr>
              <w:spacing w:after="0" w:line="240" w:lineRule="auto"/>
              <w:rPr>
                <w:rFonts w:ascii="Arial" w:hAnsi="Arial" w:cs="Arial"/>
                <w:noProof/>
                <w:sz w:val="20"/>
                <w:szCs w:val="20"/>
                <w:lang w:val="en-IE"/>
              </w:rPr>
            </w:pPr>
          </w:p>
        </w:tc>
        <w:tc>
          <w:tcPr>
            <w:tcW w:w="783" w:type="pct"/>
            <w:shd w:val="clear" w:color="auto" w:fill="F2F2F2" w:themeFill="background1" w:themeFillShade="F2"/>
          </w:tcPr>
          <w:p w14:paraId="483EE16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12.3 General Objectives</w:t>
            </w:r>
          </w:p>
          <w:p w14:paraId="2F5A5E9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To contribute to a high level of security within the AFSJ, including by facilitating border management and law enforcement within the AFSJ</w:t>
            </w:r>
          </w:p>
        </w:tc>
        <w:tc>
          <w:tcPr>
            <w:tcW w:w="1014" w:type="pct"/>
          </w:tcPr>
          <w:p w14:paraId="38EBEB2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contributes to a high level of security in the AFSJ by facilitating border management and law enforcement within the AFSJ through the development, management and operation of large-scale IT systems in these fields</w:t>
            </w:r>
          </w:p>
        </w:tc>
        <w:tc>
          <w:tcPr>
            <w:tcW w:w="1612" w:type="pct"/>
          </w:tcPr>
          <w:p w14:paraId="4DA9DDC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Contributions of eu-LISA to a high level of security in the AFSJ </w:t>
            </w:r>
          </w:p>
        </w:tc>
        <w:tc>
          <w:tcPr>
            <w:tcW w:w="902" w:type="pct"/>
            <w:vMerge/>
          </w:tcPr>
          <w:p w14:paraId="08AE49F4" w14:textId="77777777" w:rsidR="00233273" w:rsidRPr="004E2424" w:rsidRDefault="00233273" w:rsidP="004E2424">
            <w:pPr>
              <w:spacing w:after="0" w:line="240" w:lineRule="auto"/>
              <w:rPr>
                <w:rFonts w:ascii="Arial" w:hAnsi="Arial" w:cs="Arial"/>
                <w:noProof/>
                <w:sz w:val="20"/>
                <w:szCs w:val="20"/>
                <w:lang w:val="en-IE"/>
              </w:rPr>
            </w:pPr>
          </w:p>
        </w:tc>
      </w:tr>
      <w:tr w:rsidR="00233273" w:rsidRPr="002048C6" w14:paraId="2ACE7508" w14:textId="77777777" w:rsidTr="2E42B479">
        <w:tc>
          <w:tcPr>
            <w:tcW w:w="1472" w:type="pct"/>
            <w:gridSpan w:val="2"/>
            <w:shd w:val="clear" w:color="auto" w:fill="F2F2F2" w:themeFill="background1" w:themeFillShade="F2"/>
          </w:tcPr>
          <w:p w14:paraId="421E5AC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13: How has the performance of eu-LISA been in operationally managing the large-scale IT systems?</w:t>
            </w:r>
          </w:p>
        </w:tc>
        <w:tc>
          <w:tcPr>
            <w:tcW w:w="1014" w:type="pct"/>
          </w:tcPr>
          <w:p w14:paraId="218E3AC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has ensured system availability, effectively minimised operational incidents, adhered to Service Level Agreements (SLAs), and efficiently resolved operational incidents of the managed large-scale IT systems.</w:t>
            </w:r>
          </w:p>
        </w:tc>
        <w:tc>
          <w:tcPr>
            <w:tcW w:w="1612" w:type="pct"/>
          </w:tcPr>
          <w:p w14:paraId="6872732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Average system availability over a specified period</w:t>
            </w:r>
          </w:p>
          <w:p w14:paraId="09B8B79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Pro-active actions and strategy taken to minimise and address operational incidents </w:t>
            </w:r>
          </w:p>
          <w:p w14:paraId="0E67476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Number of operational incidents and their impact on system performance </w:t>
            </w:r>
          </w:p>
          <w:p w14:paraId="2B2B6C2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Actions and time taken to address operational incidents (taking into account the complexity of the incidents) </w:t>
            </w:r>
          </w:p>
          <w:p w14:paraId="3BE0C1F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Level of correspondence with Service Level Agreements (SLAs) for each large-scale IT system (including any deviations and explanations of the reasons for this and how / how timely they were addressed) </w:t>
            </w:r>
          </w:p>
          <w:p w14:paraId="387D607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Compliance with data quality criteria set up in the legal act governing each system</w:t>
            </w:r>
          </w:p>
          <w:p w14:paraId="3CE9AEB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User satisfaction with:</w:t>
            </w:r>
          </w:p>
          <w:p w14:paraId="6BE13A6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IT infrastructure</w:t>
            </w:r>
          </w:p>
          <w:p w14:paraId="3A8ABF5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The system availability </w:t>
            </w:r>
          </w:p>
          <w:p w14:paraId="77DC17F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Data quality</w:t>
            </w:r>
          </w:p>
          <w:p w14:paraId="518F6B7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The number of operational incidents </w:t>
            </w:r>
          </w:p>
          <w:p w14:paraId="061B8CD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The time and actions taken to address incidents </w:t>
            </w:r>
          </w:p>
          <w:p w14:paraId="69F6628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level of adherence with SLAs.</w:t>
            </w:r>
          </w:p>
        </w:tc>
        <w:tc>
          <w:tcPr>
            <w:tcW w:w="902" w:type="pct"/>
          </w:tcPr>
          <w:p w14:paraId="2C2DBF4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w:t>
            </w:r>
          </w:p>
          <w:p w14:paraId="720F435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Targeted written surveys for users </w:t>
            </w:r>
          </w:p>
          <w:p w14:paraId="4E97E7F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w:t>
            </w:r>
          </w:p>
          <w:p w14:paraId="34AB4DA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w:t>
            </w:r>
          </w:p>
        </w:tc>
      </w:tr>
      <w:tr w:rsidR="00233273" w:rsidRPr="00EB00F7" w14:paraId="0B1E8B35" w14:textId="77777777" w:rsidTr="2E42B479">
        <w:tc>
          <w:tcPr>
            <w:tcW w:w="1472" w:type="pct"/>
            <w:gridSpan w:val="2"/>
            <w:shd w:val="clear" w:color="auto" w:fill="F2F2F2" w:themeFill="background1" w:themeFillShade="F2"/>
          </w:tcPr>
          <w:p w14:paraId="4D6C6F5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14: To what extent has eu-LISA been effective in ensuring the secure and continuous operational management of large-scale IT systems entrusted to it?</w:t>
            </w:r>
          </w:p>
        </w:tc>
        <w:tc>
          <w:tcPr>
            <w:tcW w:w="1014" w:type="pct"/>
          </w:tcPr>
          <w:p w14:paraId="53F79E9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has been effective in ensuring the secure and continuous operational management of the entrusted large-scale IT systems.</w:t>
            </w:r>
          </w:p>
        </w:tc>
        <w:tc>
          <w:tcPr>
            <w:tcW w:w="1612" w:type="pct"/>
          </w:tcPr>
          <w:p w14:paraId="5D8AEB3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Number of security breaches or data incidents over time</w:t>
            </w:r>
          </w:p>
          <w:p w14:paraId="356F060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Comprehensiveness and adequacy of security measures and protocols (i) in place and (ii) their implementation in practice</w:t>
            </w:r>
          </w:p>
          <w:p w14:paraId="7F4650D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User satisfaction regarding system security and continuous operational management</w:t>
            </w:r>
          </w:p>
          <w:p w14:paraId="479756D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Frequency and impact of system interruptions due to security issues (including time taken to address the interruptions, taking into account their complexity)</w:t>
            </w:r>
          </w:p>
        </w:tc>
        <w:tc>
          <w:tcPr>
            <w:tcW w:w="902" w:type="pct"/>
          </w:tcPr>
          <w:p w14:paraId="13EA513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1F39804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Incident reports related to security breaches </w:t>
            </w:r>
          </w:p>
          <w:p w14:paraId="7BFB9FA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Security audit reports </w:t>
            </w:r>
          </w:p>
          <w:p w14:paraId="7F27A9E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Records of system interruptions and their causes </w:t>
            </w:r>
          </w:p>
          <w:p w14:paraId="2FAE92A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Targeted written surveys </w:t>
            </w:r>
          </w:p>
          <w:p w14:paraId="573E163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w:t>
            </w:r>
          </w:p>
          <w:p w14:paraId="03E7499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with EU-level and national stakeholders </w:t>
            </w:r>
          </w:p>
          <w:p w14:paraId="5AFF3198"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SWOT workshops.</w:t>
            </w:r>
          </w:p>
        </w:tc>
      </w:tr>
      <w:tr w:rsidR="00233273" w:rsidRPr="00EB00F7" w14:paraId="1405D86B" w14:textId="77777777" w:rsidTr="2E42B479">
        <w:tc>
          <w:tcPr>
            <w:tcW w:w="1472" w:type="pct"/>
            <w:gridSpan w:val="2"/>
            <w:shd w:val="clear" w:color="auto" w:fill="F2F2F2" w:themeFill="background1" w:themeFillShade="F2"/>
          </w:tcPr>
          <w:p w14:paraId="2DCF34D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15: To what extent has eu-LISA fulfilled its obligation in relation to data protection, data and physical security in accordance with the applicable rules, including specific provisions for each large-scale IT system?</w:t>
            </w:r>
          </w:p>
        </w:tc>
        <w:tc>
          <w:tcPr>
            <w:tcW w:w="1014" w:type="pct"/>
          </w:tcPr>
          <w:p w14:paraId="0129F12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has fulfilled its obligation in relation to data protection, data and physical security in accordance with the applicable rules, including specific provisions for each large-scale IT system.</w:t>
            </w:r>
          </w:p>
        </w:tc>
        <w:tc>
          <w:tcPr>
            <w:tcW w:w="1612" w:type="pct"/>
          </w:tcPr>
          <w:p w14:paraId="4113F8C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For each large-scale IT system:</w:t>
            </w:r>
          </w:p>
          <w:p w14:paraId="363B747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Adequacy and alignment of security strategies and measures with operational needs and applicable rules, including specific provisions for each large-scale IT system</w:t>
            </w:r>
          </w:p>
          <w:p w14:paraId="21F092F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Level of preparedness for physical and IT security risks</w:t>
            </w:r>
          </w:p>
          <w:p w14:paraId="2542C00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Type and relevance of implemented physical and IT security controls</w:t>
            </w:r>
          </w:p>
          <w:p w14:paraId="0CCCE20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Number of recorded security issues and incidents</w:t>
            </w:r>
          </w:p>
          <w:p w14:paraId="2B06C23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Type and relevance of security guidelines and trainings for staff</w:t>
            </w:r>
          </w:p>
          <w:p w14:paraId="3D56666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Notification of security incidents to the security officer</w:t>
            </w:r>
          </w:p>
          <w:p w14:paraId="36A2E81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Notification of security incidents to users</w:t>
            </w:r>
          </w:p>
          <w:p w14:paraId="22AD909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Assessment of risks related to data protection</w:t>
            </w:r>
          </w:p>
          <w:p w14:paraId="778FF3F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Strategy adopted by the Agency to comply with data protection law</w:t>
            </w:r>
          </w:p>
          <w:p w14:paraId="688E92F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Type and relevance of implemented data protection measures</w:t>
            </w:r>
          </w:p>
          <w:p w14:paraId="40A9A1F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Number of recorded data protection issues and incidents, including measures taken to address these and prevent that they take place again</w:t>
            </w:r>
          </w:p>
          <w:p w14:paraId="46B85BF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Type and relevance of data protection guidelines and training for staff</w:t>
            </w:r>
          </w:p>
          <w:p w14:paraId="29AC487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Notification of data protection incidents to the DPO</w:t>
            </w:r>
          </w:p>
          <w:p w14:paraId="516549E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Existence of business continuity and recovery procedures</w:t>
            </w:r>
          </w:p>
          <w:p w14:paraId="35D238F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Efficiency of business continuity and recovery plan</w:t>
            </w:r>
          </w:p>
          <w:p w14:paraId="5CDFCE6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User satisfaction with data protection, data and physical security</w:t>
            </w:r>
          </w:p>
        </w:tc>
        <w:tc>
          <w:tcPr>
            <w:tcW w:w="902" w:type="pct"/>
          </w:tcPr>
          <w:p w14:paraId="10FDC5C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7299D31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Security procedures and guidelines </w:t>
            </w:r>
          </w:p>
          <w:p w14:paraId="1242F03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Data protection procedures and guidelines </w:t>
            </w:r>
          </w:p>
          <w:p w14:paraId="2D0755D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Previous security and data protection risk assessments’ results </w:t>
            </w:r>
          </w:p>
          <w:p w14:paraId="0D75C2E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Identified security measures’ implementation roadmap and advancement documents </w:t>
            </w:r>
          </w:p>
          <w:p w14:paraId="79C1B8B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staff </w:t>
            </w:r>
          </w:p>
          <w:p w14:paraId="17D7CD7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Targeted written survey with eu-LISA users </w:t>
            </w:r>
          </w:p>
          <w:p w14:paraId="4CF26D0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with EU-level and national stakeholders </w:t>
            </w:r>
          </w:p>
          <w:p w14:paraId="0B4C953C"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SWOT workshops.</w:t>
            </w:r>
          </w:p>
        </w:tc>
      </w:tr>
      <w:tr w:rsidR="00233273" w:rsidRPr="00EB00F7" w14:paraId="0E0BFDC5" w14:textId="77777777" w:rsidTr="2E42B479">
        <w:tc>
          <w:tcPr>
            <w:tcW w:w="1472" w:type="pct"/>
            <w:gridSpan w:val="2"/>
            <w:shd w:val="clear" w:color="auto" w:fill="F2F2F2" w:themeFill="background1" w:themeFillShade="F2"/>
          </w:tcPr>
          <w:p w14:paraId="3F4C4E7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16: How has eu-LISA performed in the development of new large-scale IT systems?</w:t>
            </w:r>
          </w:p>
        </w:tc>
        <w:tc>
          <w:tcPr>
            <w:tcW w:w="1014" w:type="pct"/>
          </w:tcPr>
          <w:p w14:paraId="6D6C3ED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provided important inputs for the development of new large-scale IT systems, meeting project goals, timelines, and quality standards</w:t>
            </w:r>
          </w:p>
        </w:tc>
        <w:tc>
          <w:tcPr>
            <w:tcW w:w="1612" w:type="pct"/>
          </w:tcPr>
          <w:p w14:paraId="6CB4B79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Degree to which new large-scale IT systems have been launched and successfully developed and deployed on schedule, including relevant, necessary and timely inputs from eu-LISA </w:t>
            </w:r>
          </w:p>
          <w:p w14:paraId="6BF4204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Assessment of the cost-effectiveness of system development, including e.g. based on adherence to projected budgets </w:t>
            </w:r>
          </w:p>
          <w:p w14:paraId="0F8635F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Assessment of the quality of work in relation to the development of new IT systems, including e.g. based on timely delivery, number of critical system defects or issues identified post-launch, user feedback</w:t>
            </w:r>
          </w:p>
          <w:p w14:paraId="2AD0B17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Technical capacity of eu-LISA to comply with readiness criteria required for the start of operation by the legal acts governing the systems in development or being taken over</w:t>
            </w:r>
          </w:p>
        </w:tc>
        <w:tc>
          <w:tcPr>
            <w:tcW w:w="902" w:type="pct"/>
          </w:tcPr>
          <w:p w14:paraId="2335550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500B16B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Project management records and documentation </w:t>
            </w:r>
          </w:p>
          <w:p w14:paraId="5472BD3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Records of system testing and quality assurance processes </w:t>
            </w:r>
          </w:p>
          <w:p w14:paraId="50D218A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Targeted written surveys </w:t>
            </w:r>
          </w:p>
          <w:p w14:paraId="2707F26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&amp; focus groups with eu-LISA staff and MB </w:t>
            </w:r>
          </w:p>
          <w:p w14:paraId="76EAC39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with EU-level and national stakeholders </w:t>
            </w:r>
          </w:p>
          <w:p w14:paraId="275F3D59"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SWOT workshops.</w:t>
            </w:r>
          </w:p>
          <w:p w14:paraId="0BC1349C" w14:textId="77777777" w:rsidR="00233273" w:rsidRPr="004E2424" w:rsidRDefault="00233273" w:rsidP="004E2424">
            <w:pPr>
              <w:spacing w:after="0" w:line="240" w:lineRule="auto"/>
              <w:rPr>
                <w:rFonts w:ascii="Arial" w:hAnsi="Arial" w:cs="Arial"/>
                <w:noProof/>
                <w:sz w:val="20"/>
                <w:szCs w:val="20"/>
              </w:rPr>
            </w:pPr>
          </w:p>
        </w:tc>
      </w:tr>
      <w:tr w:rsidR="00233273" w:rsidRPr="002048C6" w14:paraId="51231609" w14:textId="77777777" w:rsidTr="2E42B479">
        <w:tc>
          <w:tcPr>
            <w:tcW w:w="1472" w:type="pct"/>
            <w:gridSpan w:val="2"/>
            <w:shd w:val="clear" w:color="auto" w:fill="F2F2F2" w:themeFill="background1" w:themeFillShade="F2"/>
          </w:tcPr>
          <w:p w14:paraId="7D1331C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17: To what extent have eu-LISA tripartite set-up and governance structure affected the performance of the Agency in delivering its core tasks?</w:t>
            </w:r>
          </w:p>
        </w:tc>
        <w:tc>
          <w:tcPr>
            <w:tcW w:w="1014" w:type="pct"/>
          </w:tcPr>
          <w:p w14:paraId="6469768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tripartite set-up and governance structure have positively contributed to eu-LISA's performance in delivering its core tasks, ensuring efficient decision-making and collaboration among stakeholders.</w:t>
            </w:r>
          </w:p>
        </w:tc>
        <w:tc>
          <w:tcPr>
            <w:tcW w:w="1612" w:type="pct"/>
          </w:tcPr>
          <w:p w14:paraId="3CF4438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Frequency and effectiveness of communication and collaboration among the three parties (European Commission, Member States, eu-LISA)</w:t>
            </w:r>
          </w:p>
          <w:p w14:paraId="01D0486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Description of the role of the Management Board, Programme Management Board, Advisory Groups, Project Management fora and the working groups established under the auspices of eu-LISA, including an identification of the division of tasks and responsibilities and/or shared responsibilities</w:t>
            </w:r>
          </w:p>
          <w:p w14:paraId="2E76322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Existence of coordination between the different fora, including e.g. based on identifying formal and informal processes of communication</w:t>
            </w:r>
          </w:p>
          <w:p w14:paraId="076F6F8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Existence of synergies, contradictions and overlaps between the work of the different fora</w:t>
            </w:r>
          </w:p>
          <w:p w14:paraId="591702C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Timeliness of decision-making processes related to core tasks and system development</w:t>
            </w:r>
          </w:p>
          <w:p w14:paraId="62D1AF7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Level of alignment between governance structure activities and Agency performance</w:t>
            </w:r>
          </w:p>
          <w:p w14:paraId="2144F35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Stakeholder satisfaction with the tripartite set-up and governance structure</w:t>
            </w:r>
          </w:p>
          <w:p w14:paraId="6D37662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Types and frequency of reported challenges or bottlenecks related to the governance structure</w:t>
            </w:r>
          </w:p>
        </w:tc>
        <w:tc>
          <w:tcPr>
            <w:tcW w:w="902" w:type="pct"/>
          </w:tcPr>
          <w:p w14:paraId="0155FBE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 / document review:</w:t>
            </w:r>
          </w:p>
          <w:p w14:paraId="5AAE50F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Meeting minutes, communication records, and collaboration reports </w:t>
            </w:r>
          </w:p>
          <w:p w14:paraId="6C660C5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Timelines and records of decision-making processes </w:t>
            </w:r>
          </w:p>
          <w:p w14:paraId="21F3883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Reports on the alignment of governance activities with performance </w:t>
            </w:r>
          </w:p>
          <w:p w14:paraId="16BEA67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Documentation of challenges or issues related to the governance structure </w:t>
            </w:r>
          </w:p>
          <w:p w14:paraId="2B03F07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&amp; focus groups with eu-LISA staff, MB, AGs and PMB </w:t>
            </w:r>
          </w:p>
          <w:p w14:paraId="512C5CD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w:t>
            </w:r>
          </w:p>
          <w:p w14:paraId="2DF2A7FB" w14:textId="77777777" w:rsidR="00233273" w:rsidRPr="004E2424" w:rsidRDefault="00233273" w:rsidP="004E2424">
            <w:pPr>
              <w:spacing w:after="0" w:line="240" w:lineRule="auto"/>
              <w:rPr>
                <w:rFonts w:ascii="Arial" w:hAnsi="Arial" w:cs="Arial"/>
                <w:noProof/>
                <w:sz w:val="20"/>
                <w:szCs w:val="20"/>
                <w:lang w:val="en-IE"/>
              </w:rPr>
            </w:pPr>
          </w:p>
        </w:tc>
      </w:tr>
      <w:tr w:rsidR="00233273" w:rsidRPr="002048C6" w14:paraId="0FDBB58B" w14:textId="77777777" w:rsidTr="2E42B479">
        <w:tc>
          <w:tcPr>
            <w:tcW w:w="1472" w:type="pct"/>
            <w:gridSpan w:val="2"/>
            <w:shd w:val="clear" w:color="auto" w:fill="F2F2F2" w:themeFill="background1" w:themeFillShade="F2"/>
          </w:tcPr>
          <w:p w14:paraId="4A11268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18: To what extent have eu-LISA’s management structures and monitoring of external contractors been effective to assure compliance and timely implementation of contracts related to the development and operational management of large-scale IT systems?</w:t>
            </w:r>
          </w:p>
        </w:tc>
        <w:tc>
          <w:tcPr>
            <w:tcW w:w="1014" w:type="pct"/>
          </w:tcPr>
          <w:p w14:paraId="0F00831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Eu-LISA's management structures and monitoring of external contractors have effectively ensured compliance and timely implementation of contracts, contributing to the successful development and operational management of large-scale IT systems.</w:t>
            </w:r>
          </w:p>
        </w:tc>
        <w:tc>
          <w:tcPr>
            <w:tcW w:w="1612" w:type="pct"/>
          </w:tcPr>
          <w:p w14:paraId="21B1754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Percentage of contracts completed on time and within budget</w:t>
            </w:r>
          </w:p>
          <w:p w14:paraId="2FECE48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Frequency and effectiveness of contract monitoring activities</w:t>
            </w:r>
          </w:p>
          <w:p w14:paraId="2E090B8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Number of reported contractual issues and their resolution</w:t>
            </w:r>
          </w:p>
          <w:p w14:paraId="2C0C221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Stakeholder satisfaction with contract management and implementation</w:t>
            </w:r>
          </w:p>
        </w:tc>
        <w:tc>
          <w:tcPr>
            <w:tcW w:w="902" w:type="pct"/>
          </w:tcPr>
          <w:p w14:paraId="6885BE3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including management and internal services </w:t>
            </w:r>
          </w:p>
          <w:p w14:paraId="6DDE9A8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 including contractors.</w:t>
            </w:r>
          </w:p>
        </w:tc>
      </w:tr>
      <w:tr w:rsidR="00233273" w:rsidRPr="002048C6" w14:paraId="4FA658BA" w14:textId="77777777" w:rsidTr="2E42B479">
        <w:tc>
          <w:tcPr>
            <w:tcW w:w="1472" w:type="pct"/>
            <w:gridSpan w:val="2"/>
            <w:shd w:val="clear" w:color="auto" w:fill="F2F2F2" w:themeFill="background1" w:themeFillShade="F2"/>
          </w:tcPr>
          <w:p w14:paraId="7AD0507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19: To what extent has eu-LISA been effective in ensuring the efficient and financially accountable management of large-scale IT systems? To what extent has eu-LISA been effective in managing its budget: could budgets expenditures be related to objectives/expenditures, are accounts compliant with EU budget rules, are discrepancies between actuals and budgets explained?</w:t>
            </w:r>
          </w:p>
        </w:tc>
        <w:tc>
          <w:tcPr>
            <w:tcW w:w="1014" w:type="pct"/>
          </w:tcPr>
          <w:p w14:paraId="13E23240" w14:textId="77777777" w:rsidR="00233273" w:rsidRPr="000F1C89" w:rsidRDefault="00233273" w:rsidP="009D503C">
            <w:pPr>
              <w:spacing w:after="0" w:line="240" w:lineRule="auto"/>
              <w:rPr>
                <w:rFonts w:ascii="Arial" w:hAnsi="Arial" w:cs="Arial"/>
                <w:noProof/>
                <w:sz w:val="20"/>
                <w:szCs w:val="20"/>
                <w:lang w:val="en-IE"/>
              </w:rPr>
            </w:pPr>
            <w:r w:rsidRPr="004E2424">
              <w:rPr>
                <w:rFonts w:ascii="Arial" w:hAnsi="Arial" w:cs="Arial"/>
                <w:noProof/>
                <w:sz w:val="20"/>
                <w:szCs w:val="20"/>
                <w:lang w:val="en-IE"/>
              </w:rPr>
              <w:t>eu-LISA has effectively managed large-scale IT systems and its budget, ensuring efficiency, financial accountability, correspondence with EU budget rules, and clear explanations for discrepancies between actual expenditures and budgets</w:t>
            </w:r>
          </w:p>
        </w:tc>
        <w:tc>
          <w:tcPr>
            <w:tcW w:w="1612" w:type="pct"/>
          </w:tcPr>
          <w:p w14:paraId="6B860A9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Budget allocated to the operational management of large-scale IT systems, broken down by cost items and objectives </w:t>
            </w:r>
          </w:p>
          <w:p w14:paraId="1051447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Budget utilisation/absorption rate for large-scale IT systems compared to allocated funds, broken down by cost items and objectives </w:t>
            </w:r>
          </w:p>
          <w:p w14:paraId="18BD05D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Evidence of any budget expenditure that could not clearly be related to objectives/expenditures </w:t>
            </w:r>
          </w:p>
          <w:p w14:paraId="2694E25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Correspondence with EU budget rules and regulations </w:t>
            </w:r>
          </w:p>
          <w:p w14:paraId="38BB0A8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Existence and adequacy of explanations for discrepancies between actual and budgeted expenditures </w:t>
            </w:r>
          </w:p>
          <w:p w14:paraId="7A8FB35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Transparency of eu-LISA's financial planning and documentation</w:t>
            </w:r>
          </w:p>
          <w:p w14:paraId="75E0B3D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Stakeholder satisfaction with financial management practices</w:t>
            </w:r>
          </w:p>
        </w:tc>
        <w:tc>
          <w:tcPr>
            <w:tcW w:w="902" w:type="pct"/>
          </w:tcPr>
          <w:p w14:paraId="48608D8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3B22846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Financial records and reports, including budget allocations and expenditures </w:t>
            </w:r>
          </w:p>
          <w:p w14:paraId="363F4AA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Audits and financial performance assessments </w:t>
            </w:r>
          </w:p>
          <w:p w14:paraId="351EADB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Documentation on EU budget rules </w:t>
            </w:r>
          </w:p>
          <w:p w14:paraId="74FB64A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Reports explaining discrepancies in expenditures </w:t>
            </w:r>
          </w:p>
          <w:p w14:paraId="6B5046D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w:t>
            </w:r>
          </w:p>
          <w:p w14:paraId="01BA4B3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stakeholders and supervisors.</w:t>
            </w:r>
          </w:p>
          <w:p w14:paraId="62E393B4" w14:textId="77777777" w:rsidR="00233273" w:rsidRPr="004E2424" w:rsidRDefault="00233273" w:rsidP="004E2424">
            <w:pPr>
              <w:spacing w:after="0" w:line="240" w:lineRule="auto"/>
              <w:rPr>
                <w:rFonts w:ascii="Arial" w:hAnsi="Arial" w:cs="Arial"/>
                <w:noProof/>
                <w:sz w:val="20"/>
                <w:szCs w:val="20"/>
                <w:lang w:val="en-IE"/>
              </w:rPr>
            </w:pPr>
          </w:p>
        </w:tc>
      </w:tr>
      <w:tr w:rsidR="00233273" w:rsidRPr="002048C6" w14:paraId="13FFCCC3" w14:textId="77777777" w:rsidTr="2E42B479">
        <w:tc>
          <w:tcPr>
            <w:tcW w:w="1472" w:type="pct"/>
            <w:gridSpan w:val="2"/>
            <w:shd w:val="clear" w:color="auto" w:fill="F2F2F2" w:themeFill="background1" w:themeFillShade="F2"/>
          </w:tcPr>
          <w:p w14:paraId="3BA6BD7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20: How effective has eu-LISA been in ensuring high quality, continuous and uninterrupted services for users of large-scale IT systems? How effective has eu-LISA been in meeting the Service Level Agreement(s), in particular for availability of service, for each large-scale IT system?</w:t>
            </w:r>
          </w:p>
        </w:tc>
        <w:tc>
          <w:tcPr>
            <w:tcW w:w="1014" w:type="pct"/>
          </w:tcPr>
          <w:p w14:paraId="06BFA60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has effectively ensured high-quality, continuous, and uninterrupted services for users of large-scale IT systems and consistently met Service Level Agreements (SLAs), especially for system availability.</w:t>
            </w:r>
          </w:p>
        </w:tc>
        <w:tc>
          <w:tcPr>
            <w:tcW w:w="1612" w:type="pct"/>
          </w:tcPr>
          <w:p w14:paraId="014FF5B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Percentage of system availability compared to SLA targets </w:t>
            </w:r>
          </w:p>
          <w:p w14:paraId="73922B4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Frequency and duration of system downtime or interruptions </w:t>
            </w:r>
          </w:p>
          <w:p w14:paraId="4993D6D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Timeliness and relevance of actions taken to address any service interruption </w:t>
            </w:r>
          </w:p>
          <w:p w14:paraId="47A56EB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Correspondence with SLA requirements, including response times and problem resolution </w:t>
            </w:r>
          </w:p>
          <w:p w14:paraId="3094307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Records of system incidents and their impact on operations</w:t>
            </w:r>
          </w:p>
        </w:tc>
        <w:tc>
          <w:tcPr>
            <w:tcW w:w="902" w:type="pct"/>
          </w:tcPr>
          <w:p w14:paraId="401395C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4A66B42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SLA reports and performance metrics </w:t>
            </w:r>
          </w:p>
          <w:p w14:paraId="6119744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Incident logs and records of system downtime </w:t>
            </w:r>
          </w:p>
          <w:p w14:paraId="288FF37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Internal performance monitoring and reporting </w:t>
            </w:r>
          </w:p>
          <w:p w14:paraId="357CAE6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Targeted written surveys with users,</w:t>
            </w:r>
          </w:p>
          <w:p w14:paraId="0B3B241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w:t>
            </w:r>
          </w:p>
          <w:p w14:paraId="76E3960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w:t>
            </w:r>
          </w:p>
        </w:tc>
      </w:tr>
      <w:tr w:rsidR="00233273" w:rsidRPr="002048C6" w14:paraId="0EE0A7EF" w14:textId="77777777" w:rsidTr="2E42B479">
        <w:tc>
          <w:tcPr>
            <w:tcW w:w="1472" w:type="pct"/>
            <w:gridSpan w:val="2"/>
            <w:shd w:val="clear" w:color="auto" w:fill="F2F2F2" w:themeFill="background1" w:themeFillShade="F2"/>
          </w:tcPr>
          <w:p w14:paraId="575F011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21: To what extent have the research activities of eu-LISA contributed to the performance in delivering its core tasks?</w:t>
            </w:r>
          </w:p>
        </w:tc>
        <w:tc>
          <w:tcPr>
            <w:tcW w:w="1014" w:type="pct"/>
          </w:tcPr>
          <w:p w14:paraId="72BAE98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eu-LISA's research activities have significantly contributed to enhancing the performance of delivering its core tasks and objectives</w:t>
            </w:r>
          </w:p>
        </w:tc>
        <w:tc>
          <w:tcPr>
            <w:tcW w:w="1612" w:type="pct"/>
          </w:tcPr>
          <w:p w14:paraId="079D2BF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Number of research initiatives and projects undertaken by eu-LISA (linked to the objectives of the Agency) </w:t>
            </w:r>
          </w:p>
          <w:p w14:paraId="33AC99C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Comparison of the research activities conducted by the Agency against the technological needs of the Agency to manage and the develop the Union’s IT systems as well to anticipate future needs</w:t>
            </w:r>
          </w:p>
          <w:p w14:paraId="7F94CC4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Resources spent on research initiatives in total, as a range and on average </w:t>
            </w:r>
          </w:p>
          <w:p w14:paraId="0A6D76D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Demonstrable impact of research findings on improving the efficiency or effectiveness of core tasks, including reduction of costs or more efficient working arrangements </w:t>
            </w:r>
          </w:p>
          <w:p w14:paraId="2475E99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Integration of research outcomes into operational practices and decision-making processes.</w:t>
            </w:r>
          </w:p>
        </w:tc>
        <w:tc>
          <w:tcPr>
            <w:tcW w:w="902" w:type="pct"/>
          </w:tcPr>
          <w:p w14:paraId="5A8FB9A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56D2D79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Documentation of research projects, reports, and publications </w:t>
            </w:r>
          </w:p>
          <w:p w14:paraId="71A4DEF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Records of actions taken based on research recommendations</w:t>
            </w:r>
          </w:p>
          <w:p w14:paraId="5D09BAC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Internal assessments of the influence of research on operational tasks </w:t>
            </w:r>
          </w:p>
          <w:p w14:paraId="594EA46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w:t>
            </w:r>
          </w:p>
          <w:p w14:paraId="3904F967" w14:textId="77777777" w:rsidR="00233273" w:rsidRPr="004E2424" w:rsidRDefault="00233273" w:rsidP="004E2424">
            <w:pPr>
              <w:spacing w:after="0" w:line="240" w:lineRule="auto"/>
              <w:rPr>
                <w:rFonts w:ascii="Arial" w:hAnsi="Arial" w:cs="Arial"/>
                <w:noProof/>
                <w:sz w:val="20"/>
                <w:szCs w:val="20"/>
                <w:lang w:val="en-IE"/>
              </w:rPr>
            </w:pPr>
          </w:p>
        </w:tc>
      </w:tr>
      <w:tr w:rsidR="00233273" w:rsidRPr="00EB00F7" w14:paraId="572F0BC4" w14:textId="77777777" w:rsidTr="2E42B479">
        <w:tc>
          <w:tcPr>
            <w:tcW w:w="689" w:type="pct"/>
            <w:vMerge w:val="restart"/>
            <w:shd w:val="clear" w:color="auto" w:fill="F2F2F2" w:themeFill="background1" w:themeFillShade="F2"/>
          </w:tcPr>
          <w:p w14:paraId="5B97223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22: Has the Agency effectively performed its tasks related to developing new systems in line with its current mandate? How effective was the Agency to provide the technical capacity, to develop the systems? How effective was the governance structure provided by the Agency to support the development of the systems?</w:t>
            </w:r>
          </w:p>
        </w:tc>
        <w:tc>
          <w:tcPr>
            <w:tcW w:w="783" w:type="pct"/>
            <w:shd w:val="clear" w:color="auto" w:fill="F2F2F2" w:themeFill="background1" w:themeFillShade="F2"/>
          </w:tcPr>
          <w:p w14:paraId="5007654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22.1: Has the Agency effectively performed its tasks related to developing new systems in line with its current mandate?</w:t>
            </w:r>
          </w:p>
        </w:tc>
        <w:tc>
          <w:tcPr>
            <w:tcW w:w="1014" w:type="pct"/>
          </w:tcPr>
          <w:p w14:paraId="46C5267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Agency has effectively performed its tasks in developing new systems, in line with its current mandate</w:t>
            </w:r>
          </w:p>
        </w:tc>
        <w:tc>
          <w:tcPr>
            <w:tcW w:w="1612" w:type="pct"/>
          </w:tcPr>
          <w:p w14:paraId="14617C9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Types of tasks performed in connection with the development of new systems </w:t>
            </w:r>
          </w:p>
          <w:p w14:paraId="7AF6ADF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Timeliness of new system development projects in accordance with its mandate </w:t>
            </w:r>
          </w:p>
          <w:p w14:paraId="647D8EA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Budget adherence and cost-effectiveness in developing new systems </w:t>
            </w:r>
          </w:p>
          <w:p w14:paraId="3FD6DBC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Capacity to address technical challenges and changes during system development.</w:t>
            </w:r>
          </w:p>
        </w:tc>
        <w:tc>
          <w:tcPr>
            <w:tcW w:w="902" w:type="pct"/>
          </w:tcPr>
          <w:p w14:paraId="30BB7C0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in particular on project reports, timelines and milestones </w:t>
            </w:r>
          </w:p>
          <w:p w14:paraId="2392CF1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Targeted written surveys with advisory groups </w:t>
            </w:r>
          </w:p>
          <w:p w14:paraId="5220AE4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stakeholders with eu-LISA </w:t>
            </w:r>
          </w:p>
          <w:p w14:paraId="4ACAC7B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with EU-level and national stakeholders </w:t>
            </w:r>
          </w:p>
          <w:p w14:paraId="605C7CDD"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SWOT workshops.</w:t>
            </w:r>
          </w:p>
        </w:tc>
      </w:tr>
      <w:tr w:rsidR="00233273" w:rsidRPr="00EB00F7" w14:paraId="252B9ED5" w14:textId="77777777" w:rsidTr="2E42B479">
        <w:tc>
          <w:tcPr>
            <w:tcW w:w="689" w:type="pct"/>
            <w:vMerge/>
          </w:tcPr>
          <w:p w14:paraId="42E3441B" w14:textId="77777777" w:rsidR="00233273" w:rsidRPr="004E2424" w:rsidRDefault="00233273" w:rsidP="004E2424">
            <w:pPr>
              <w:spacing w:after="0" w:line="240" w:lineRule="auto"/>
              <w:rPr>
                <w:rFonts w:ascii="Arial" w:hAnsi="Arial" w:cs="Arial"/>
                <w:noProof/>
                <w:sz w:val="20"/>
                <w:szCs w:val="20"/>
              </w:rPr>
            </w:pPr>
          </w:p>
        </w:tc>
        <w:tc>
          <w:tcPr>
            <w:tcW w:w="783" w:type="pct"/>
            <w:shd w:val="clear" w:color="auto" w:fill="F2F2F2" w:themeFill="background1" w:themeFillShade="F2"/>
          </w:tcPr>
          <w:p w14:paraId="23B89AD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22.2: How effective was the Agency in providing the technical capacity to develop the systems? How effective was the governance structure provided by the Agency to support the development of the systems?</w:t>
            </w:r>
          </w:p>
        </w:tc>
        <w:tc>
          <w:tcPr>
            <w:tcW w:w="1014" w:type="pct"/>
          </w:tcPr>
          <w:p w14:paraId="7C1944E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Agency effectively provided the necessary technical capacity for system development</w:t>
            </w:r>
          </w:p>
        </w:tc>
        <w:tc>
          <w:tcPr>
            <w:tcW w:w="1612" w:type="pct"/>
          </w:tcPr>
          <w:p w14:paraId="70755C7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Appropriateness of the type and volume of technical expertise and resources provided </w:t>
            </w:r>
          </w:p>
          <w:p w14:paraId="6168EF2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Alignment between technical resources and system development needs </w:t>
            </w:r>
          </w:p>
          <w:p w14:paraId="11ABDF1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Timely completion of system development tasks </w:t>
            </w:r>
          </w:p>
          <w:p w14:paraId="099993F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Adequate quality of different aspects of system development </w:t>
            </w:r>
          </w:p>
          <w:p w14:paraId="63CDA60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User feedback on system development </w:t>
            </w:r>
          </w:p>
        </w:tc>
        <w:tc>
          <w:tcPr>
            <w:tcW w:w="902" w:type="pct"/>
          </w:tcPr>
          <w:p w14:paraId="6366F85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in particular on project reports, timelines, resource allocation, and milestones </w:t>
            </w:r>
          </w:p>
          <w:p w14:paraId="0052ECD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Targeted written survey with users </w:t>
            </w:r>
          </w:p>
          <w:p w14:paraId="0855B56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w:t>
            </w:r>
          </w:p>
          <w:p w14:paraId="5B1CDF1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with EU-level and national stakeholders </w:t>
            </w:r>
          </w:p>
          <w:p w14:paraId="7DA7B083"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SWOT workshops.</w:t>
            </w:r>
          </w:p>
        </w:tc>
      </w:tr>
      <w:tr w:rsidR="00233273" w:rsidRPr="002048C6" w14:paraId="7DFC9974" w14:textId="77777777" w:rsidTr="2E42B479">
        <w:tc>
          <w:tcPr>
            <w:tcW w:w="689" w:type="pct"/>
            <w:vMerge/>
          </w:tcPr>
          <w:p w14:paraId="157913FE" w14:textId="77777777" w:rsidR="00233273" w:rsidRPr="004E2424" w:rsidRDefault="00233273" w:rsidP="004E2424">
            <w:pPr>
              <w:spacing w:after="0" w:line="240" w:lineRule="auto"/>
              <w:rPr>
                <w:rFonts w:ascii="Arial" w:hAnsi="Arial" w:cs="Arial"/>
                <w:noProof/>
                <w:sz w:val="20"/>
                <w:szCs w:val="20"/>
              </w:rPr>
            </w:pPr>
          </w:p>
        </w:tc>
        <w:tc>
          <w:tcPr>
            <w:tcW w:w="783" w:type="pct"/>
            <w:shd w:val="clear" w:color="auto" w:fill="F2F2F2" w:themeFill="background1" w:themeFillShade="F2"/>
          </w:tcPr>
          <w:p w14:paraId="6100BD1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22.3: How effective was the governance structure provided by the Agency in supporting the development of the systems?</w:t>
            </w:r>
          </w:p>
        </w:tc>
        <w:tc>
          <w:tcPr>
            <w:tcW w:w="1014" w:type="pct"/>
          </w:tcPr>
          <w:p w14:paraId="746399B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governance structure provided by the Agency effectively supported the development of systems</w:t>
            </w:r>
          </w:p>
        </w:tc>
        <w:tc>
          <w:tcPr>
            <w:tcW w:w="1612" w:type="pct"/>
          </w:tcPr>
          <w:p w14:paraId="2C0DB4D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Evidence that the different eu-LISA governance bodies have executed their role in relation to the development of systems in an adequate and timely fashion </w:t>
            </w:r>
          </w:p>
          <w:p w14:paraId="24DF532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Evidence of delays, roadblocks and barriers with regard to the involvement of the different governance bodies of eu-LISA in the system development </w:t>
            </w:r>
          </w:p>
          <w:p w14:paraId="2686D29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Stakeholder engagement and collaboration within the governance structure.</w:t>
            </w:r>
          </w:p>
        </w:tc>
        <w:tc>
          <w:tcPr>
            <w:tcW w:w="902" w:type="pct"/>
          </w:tcPr>
          <w:p w14:paraId="1D49E49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in particular, governance structure assessments and reports </w:t>
            </w:r>
          </w:p>
          <w:p w14:paraId="36D43B3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management </w:t>
            </w:r>
          </w:p>
          <w:p w14:paraId="06F19C0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 including monitoring.</w:t>
            </w:r>
          </w:p>
        </w:tc>
      </w:tr>
      <w:tr w:rsidR="00233273" w:rsidRPr="00EB00F7" w14:paraId="3309D235" w14:textId="77777777" w:rsidTr="2E42B479">
        <w:tc>
          <w:tcPr>
            <w:tcW w:w="1472" w:type="pct"/>
            <w:gridSpan w:val="2"/>
            <w:shd w:val="clear" w:color="auto" w:fill="F2F2F2" w:themeFill="background1" w:themeFillShade="F2"/>
          </w:tcPr>
          <w:p w14:paraId="5E97E53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23: Has eu-LISA effectively handled incidents on each large-scale IT systems operated by the Agency?</w:t>
            </w:r>
          </w:p>
        </w:tc>
        <w:tc>
          <w:tcPr>
            <w:tcW w:w="1014" w:type="pct"/>
          </w:tcPr>
          <w:p w14:paraId="04411C0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has effectively managed and resolved incidents on each large-scale IT system, ensuring minimal disruption and adherence to incident management procedures.</w:t>
            </w:r>
          </w:p>
        </w:tc>
        <w:tc>
          <w:tcPr>
            <w:tcW w:w="1612" w:type="pct"/>
          </w:tcPr>
          <w:p w14:paraId="50DC7F4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Per large-scale IT system:</w:t>
            </w:r>
          </w:p>
          <w:p w14:paraId="360C692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Number and severity of incidents over time </w:t>
            </w:r>
          </w:p>
          <w:p w14:paraId="152A5E7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Incident response time </w:t>
            </w:r>
          </w:p>
          <w:p w14:paraId="1576297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Incident resolution time </w:t>
            </w:r>
          </w:p>
          <w:p w14:paraId="71224D5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Impact on operations of incidents </w:t>
            </w:r>
          </w:p>
          <w:p w14:paraId="4BFEE86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Number of cases where minimal disruptions was not ensured, including the reasons for this and any actions taken to prevent reoccurrence in the future </w:t>
            </w:r>
          </w:p>
          <w:p w14:paraId="0D2604B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Incident management procedures and their implementation </w:t>
            </w:r>
          </w:p>
          <w:p w14:paraId="068ED54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Improvements of incident management procedures </w:t>
            </w:r>
          </w:p>
          <w:p w14:paraId="309858D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User satisfaction with incident handling.</w:t>
            </w:r>
          </w:p>
        </w:tc>
        <w:tc>
          <w:tcPr>
            <w:tcW w:w="902" w:type="pct"/>
          </w:tcPr>
          <w:p w14:paraId="5F93E57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e.g. review of Incident logs and records maintained by eu-LISA </w:t>
            </w:r>
          </w:p>
          <w:p w14:paraId="47D8335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Targeted written surveys with users </w:t>
            </w:r>
          </w:p>
          <w:p w14:paraId="4C369A9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w:t>
            </w:r>
          </w:p>
          <w:p w14:paraId="65D6B5E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with EU-level and national stakeholders </w:t>
            </w:r>
          </w:p>
          <w:p w14:paraId="790E4213"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SWOT workshop</w:t>
            </w:r>
          </w:p>
        </w:tc>
      </w:tr>
      <w:tr w:rsidR="00233273" w:rsidRPr="002048C6" w14:paraId="1829F9AF" w14:textId="77777777" w:rsidTr="2E42B479">
        <w:tc>
          <w:tcPr>
            <w:tcW w:w="1472" w:type="pct"/>
            <w:gridSpan w:val="2"/>
            <w:shd w:val="clear" w:color="auto" w:fill="F2F2F2" w:themeFill="background1" w:themeFillShade="F2"/>
          </w:tcPr>
          <w:p w14:paraId="1AD2061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24 Has eu-LISA effectively implemented the recommendations of the previous external evaluation completed in 2016?</w:t>
            </w:r>
          </w:p>
        </w:tc>
        <w:tc>
          <w:tcPr>
            <w:tcW w:w="1014" w:type="pct"/>
          </w:tcPr>
          <w:p w14:paraId="0641254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has effectively implemented the recommendations from the 2016 external evaluation, resulting in improved performance.</w:t>
            </w:r>
          </w:p>
        </w:tc>
        <w:tc>
          <w:tcPr>
            <w:tcW w:w="1612" w:type="pct"/>
          </w:tcPr>
          <w:p w14:paraId="0C3F1A9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Timely implementation of recommendations from the 2016 external evaluation (by recommendation) </w:t>
            </w:r>
          </w:p>
          <w:p w14:paraId="6BEBBC8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Adherence to budget and cost-effectiveness in implementing recommendations </w:t>
            </w:r>
          </w:p>
          <w:p w14:paraId="4DABED7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Identification of any recommendations that were no longer relevant following the adoption of the 2018 Regulation </w:t>
            </w:r>
          </w:p>
          <w:p w14:paraId="57C2D70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Alignment of eu-LISA's action plan with the goals of the 2016 external evaluation</w:t>
            </w:r>
          </w:p>
        </w:tc>
        <w:tc>
          <w:tcPr>
            <w:tcW w:w="902" w:type="pct"/>
          </w:tcPr>
          <w:p w14:paraId="68BF589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e.g. review of the 2016 evaluation report </w:t>
            </w:r>
          </w:p>
          <w:p w14:paraId="0FB5A1A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w:t>
            </w:r>
          </w:p>
          <w:p w14:paraId="4607112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 especially supervisors.</w:t>
            </w:r>
          </w:p>
        </w:tc>
      </w:tr>
      <w:tr w:rsidR="00233273" w:rsidRPr="002048C6" w14:paraId="01FDAED4" w14:textId="77777777" w:rsidTr="2E42B479">
        <w:tc>
          <w:tcPr>
            <w:tcW w:w="1472" w:type="pct"/>
            <w:gridSpan w:val="2"/>
            <w:shd w:val="clear" w:color="auto" w:fill="F2F2F2" w:themeFill="background1" w:themeFillShade="F2"/>
          </w:tcPr>
          <w:p w14:paraId="1D5C735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25: How successful has the Agency been in progressing towards the objective set up in eu-LISA Regulation?</w:t>
            </w:r>
          </w:p>
        </w:tc>
        <w:tc>
          <w:tcPr>
            <w:tcW w:w="3528" w:type="pct"/>
            <w:gridSpan w:val="3"/>
          </w:tcPr>
          <w:p w14:paraId="7EC2608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[see detailed judgement criteria and indicators for EQ12]</w:t>
            </w:r>
          </w:p>
        </w:tc>
      </w:tr>
      <w:tr w:rsidR="00233273" w:rsidRPr="00EB00F7" w14:paraId="6D4EA9A9" w14:textId="77777777" w:rsidTr="2E42B479">
        <w:tc>
          <w:tcPr>
            <w:tcW w:w="1472" w:type="pct"/>
            <w:gridSpan w:val="2"/>
            <w:shd w:val="clear" w:color="auto" w:fill="F2F2F2" w:themeFill="background1" w:themeFillShade="F2"/>
          </w:tcPr>
          <w:p w14:paraId="7C28ACB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26: What external factors have affected progress towards the objectives and how are they linked to the performance of the Agency and the implementation of eu-LISA Regulation?</w:t>
            </w:r>
          </w:p>
        </w:tc>
        <w:tc>
          <w:tcPr>
            <w:tcW w:w="1014" w:type="pct"/>
          </w:tcPr>
          <w:p w14:paraId="3F75EC8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External factors affecting progress towards the objectives of eu-LISA Regulation are identified and their impact on the Agency's performance and Regulation implementation is understood.</w:t>
            </w:r>
          </w:p>
        </w:tc>
        <w:tc>
          <w:tcPr>
            <w:tcW w:w="1612" w:type="pct"/>
          </w:tcPr>
          <w:p w14:paraId="2A00BD8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Identification of key external factors having a positive or negative impact on eu-LISA’s performance </w:t>
            </w:r>
          </w:p>
          <w:p w14:paraId="7972E75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Assessment of how external factors have affected the achievement of specific objectives outlined in eu-LISA Regulation </w:t>
            </w:r>
          </w:p>
          <w:p w14:paraId="4822AB0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Analysis of the Agency's adaptability and responsiveness to external factors.</w:t>
            </w:r>
          </w:p>
        </w:tc>
        <w:tc>
          <w:tcPr>
            <w:tcW w:w="902" w:type="pct"/>
          </w:tcPr>
          <w:p w14:paraId="7508406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 focus groups with eu-LISA staff and EU and national stakeholders</w:t>
            </w:r>
          </w:p>
          <w:p w14:paraId="589C6C5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Targeted written surveys </w:t>
            </w:r>
          </w:p>
          <w:p w14:paraId="03F612D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w:t>
            </w:r>
          </w:p>
          <w:p w14:paraId="123C860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with EU-level and national stakeholder groups </w:t>
            </w:r>
          </w:p>
          <w:p w14:paraId="36EEE44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 document review </w:t>
            </w:r>
          </w:p>
          <w:p w14:paraId="05B77B6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SWOT workshop </w:t>
            </w:r>
          </w:p>
          <w:p w14:paraId="6B065744"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Case studies.</w:t>
            </w:r>
          </w:p>
        </w:tc>
      </w:tr>
      <w:tr w:rsidR="00233273" w:rsidRPr="002048C6" w14:paraId="2888F2AC" w14:textId="77777777" w:rsidTr="2E42B479">
        <w:tc>
          <w:tcPr>
            <w:tcW w:w="1472" w:type="pct"/>
            <w:gridSpan w:val="2"/>
            <w:shd w:val="clear" w:color="auto" w:fill="F2F2F2" w:themeFill="background1" w:themeFillShade="F2"/>
          </w:tcPr>
          <w:p w14:paraId="7DCFB03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27: Does eu-LISA Regulation allow the Agency to cooperate with all international organisations, which are relevant for carrying out its tasks efficiently?</w:t>
            </w:r>
          </w:p>
        </w:tc>
        <w:tc>
          <w:tcPr>
            <w:tcW w:w="1014" w:type="pct"/>
          </w:tcPr>
          <w:p w14:paraId="23A7A5D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Regulation enables the Agency to efficiently cooperate with all relevant international organisations for the effective execution of its tasks.</w:t>
            </w:r>
          </w:p>
        </w:tc>
        <w:tc>
          <w:tcPr>
            <w:tcW w:w="1612" w:type="pct"/>
          </w:tcPr>
          <w:p w14:paraId="7190FE3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Analysis of the legal framework and provisions within eu-LISA Regulation related to international cooperation, including limitations with regard to cooperation with specific stakeholders </w:t>
            </w:r>
          </w:p>
          <w:p w14:paraId="627491A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Identification of international organisations that are relevant for the Agency's tasks and objectives </w:t>
            </w:r>
          </w:p>
          <w:p w14:paraId="2D04138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Assessment of the Agency's ability to engage in cooperation and collaboration with international organisations based on eu-LISA regulation </w:t>
            </w:r>
          </w:p>
          <w:p w14:paraId="106DD87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Evidence that cooperation with certain key organisations is currently not possible based on eu-LISA Regulation.</w:t>
            </w:r>
          </w:p>
        </w:tc>
        <w:tc>
          <w:tcPr>
            <w:tcW w:w="902" w:type="pct"/>
          </w:tcPr>
          <w:p w14:paraId="61153BF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e.g. review of eu-LISA Regulation and relevant legal documents </w:t>
            </w:r>
          </w:p>
          <w:p w14:paraId="06A9850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w:t>
            </w:r>
          </w:p>
          <w:p w14:paraId="3061871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stakeholders.</w:t>
            </w:r>
          </w:p>
        </w:tc>
      </w:tr>
    </w:tbl>
    <w:p w14:paraId="28D27E7D" w14:textId="77777777" w:rsidR="00233273" w:rsidRPr="004E2424" w:rsidRDefault="00233273" w:rsidP="004E2424">
      <w:pPr>
        <w:spacing w:after="0" w:line="240" w:lineRule="auto"/>
        <w:rPr>
          <w:rFonts w:ascii="Times New Roman" w:hAnsi="Times New Roman" w:cs="Times New Roman"/>
          <w:noProof/>
          <w:lang w:val="en-IE"/>
        </w:rPr>
      </w:pPr>
      <w:r w:rsidRPr="004E2424">
        <w:rPr>
          <w:rFonts w:ascii="Times New Roman" w:hAnsi="Times New Roman" w:cs="Times New Roman"/>
          <w:noProof/>
          <w:lang w:val="en-IE"/>
        </w:rPr>
        <w:br w:type="page"/>
      </w:r>
    </w:p>
    <w:p w14:paraId="2E4B3842" w14:textId="77777777" w:rsidR="00233273" w:rsidRPr="004E2424" w:rsidRDefault="00233273" w:rsidP="004E2424">
      <w:pPr>
        <w:spacing w:after="0" w:line="240" w:lineRule="auto"/>
        <w:rPr>
          <w:rFonts w:ascii="Times New Roman" w:hAnsi="Times New Roman" w:cs="Times New Roman"/>
          <w:b/>
          <w:bCs/>
          <w:noProof/>
          <w:u w:val="single"/>
        </w:rPr>
      </w:pPr>
      <w:bookmarkStart w:id="105" w:name="_Toc164075800"/>
      <w:bookmarkStart w:id="106" w:name="_Toc164372846"/>
      <w:bookmarkStart w:id="107" w:name="_Toc164376055"/>
      <w:bookmarkStart w:id="108" w:name="_Toc164547393"/>
      <w:bookmarkStart w:id="109" w:name="_Toc164680887"/>
      <w:bookmarkStart w:id="110" w:name="_Toc164682618"/>
      <w:bookmarkStart w:id="111" w:name="_Toc167205611"/>
      <w:bookmarkStart w:id="112" w:name="_Toc167208510"/>
      <w:r w:rsidRPr="004E2424">
        <w:rPr>
          <w:rFonts w:ascii="Times New Roman" w:hAnsi="Times New Roman" w:cs="Times New Roman"/>
          <w:b/>
          <w:bCs/>
          <w:noProof/>
          <w:u w:val="single"/>
        </w:rPr>
        <w:t>Efficiency</w:t>
      </w:r>
      <w:bookmarkEnd w:id="105"/>
      <w:bookmarkEnd w:id="106"/>
      <w:bookmarkEnd w:id="107"/>
      <w:bookmarkEnd w:id="108"/>
      <w:bookmarkEnd w:id="109"/>
      <w:bookmarkEnd w:id="110"/>
      <w:bookmarkEnd w:id="111"/>
      <w:bookmarkEnd w:id="112"/>
      <w:r w:rsidRPr="004E2424">
        <w:rPr>
          <w:rFonts w:ascii="Times New Roman" w:hAnsi="Times New Roman" w:cs="Times New Roman"/>
          <w:b/>
          <w:bCs/>
          <w:noProof/>
          <w:u w:val="single"/>
        </w:rPr>
        <w:t xml:space="preserve"> </w:t>
      </w:r>
    </w:p>
    <w:p w14:paraId="16BA1452" w14:textId="77777777" w:rsidR="00233273" w:rsidRPr="004E2424" w:rsidRDefault="00233273" w:rsidP="004E2424">
      <w:pPr>
        <w:spacing w:after="0" w:line="240" w:lineRule="auto"/>
        <w:rPr>
          <w:rFonts w:ascii="Times New Roman" w:hAnsi="Times New Roman" w:cs="Times New Roman"/>
          <w:noProof/>
          <w:lang w:val="en-IE"/>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782"/>
        <w:gridCol w:w="12606"/>
      </w:tblGrid>
      <w:tr w:rsidR="00233273" w:rsidRPr="002048C6" w14:paraId="3AFED341" w14:textId="77777777" w:rsidTr="66687D7F">
        <w:tc>
          <w:tcPr>
            <w:tcW w:w="904" w:type="pct"/>
            <w:shd w:val="clear" w:color="auto" w:fill="1B7BCA" w:themeFill="background2" w:themeFillShade="80"/>
            <w:vAlign w:val="center"/>
          </w:tcPr>
          <w:p w14:paraId="7BAA472E"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Understanding </w:t>
            </w:r>
          </w:p>
        </w:tc>
        <w:tc>
          <w:tcPr>
            <w:tcW w:w="4096" w:type="pct"/>
          </w:tcPr>
          <w:p w14:paraId="4E79B528" w14:textId="77777777" w:rsidR="00233273" w:rsidRPr="004C2B1F" w:rsidRDefault="00233273" w:rsidP="66687D7F">
            <w:pPr>
              <w:spacing w:after="0" w:line="240" w:lineRule="auto"/>
              <w:rPr>
                <w:rFonts w:ascii="Arial" w:hAnsi="Arial" w:cs="Arial"/>
                <w:noProof/>
                <w:sz w:val="20"/>
                <w:szCs w:val="20"/>
                <w:lang w:val="en-IE"/>
              </w:rPr>
            </w:pPr>
            <w:r w:rsidRPr="004C2B1F">
              <w:rPr>
                <w:rFonts w:ascii="Arial" w:hAnsi="Arial" w:cs="Arial"/>
                <w:noProof/>
                <w:sz w:val="20"/>
                <w:szCs w:val="20"/>
                <w:lang w:val="en-IE"/>
              </w:rPr>
              <w:t>Evaluation of the efficient translation of resources into results (such as, funds, human resources, expertise, and time);</w:t>
            </w:r>
          </w:p>
          <w:p w14:paraId="2E27ACB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Analysis of the cost-effectiveness of operating eu-LISA's systems, considering the benefits and costs incurred by end-users and other beneficiaries;</w:t>
            </w:r>
          </w:p>
          <w:p w14:paraId="431941D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Assessment of the overall relationship between resource allocation and the outcomes achieved, identifying areas where improvements in efficiency are possible.</w:t>
            </w:r>
          </w:p>
        </w:tc>
      </w:tr>
      <w:tr w:rsidR="00233273" w:rsidRPr="002048C6" w14:paraId="3F010479" w14:textId="77777777" w:rsidTr="66687D7F">
        <w:tc>
          <w:tcPr>
            <w:tcW w:w="904" w:type="pct"/>
            <w:shd w:val="clear" w:color="auto" w:fill="1B7BCA" w:themeFill="background2" w:themeFillShade="80"/>
            <w:vAlign w:val="center"/>
          </w:tcPr>
          <w:p w14:paraId="5CFB46C5"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Analytical and methodological approach</w:t>
            </w:r>
          </w:p>
        </w:tc>
        <w:tc>
          <w:tcPr>
            <w:tcW w:w="4096" w:type="pct"/>
          </w:tcPr>
          <w:p w14:paraId="2ED6CB7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Data is gathered from diverse sources such as document reviews, stakeholder interviews, focus groups, SWOT workshops, and targeted written surveys;</w:t>
            </w:r>
          </w:p>
          <w:p w14:paraId="014823D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Assessment of a multitude of aspects related to eu-LISA's efficiency, encompassing resource management (including outsourcing strategy), organisational structure, governance, technology, and HR strategies;</w:t>
            </w:r>
          </w:p>
          <w:p w14:paraId="4792DA5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Application of a blend of quantitative metrics (e.g. budget allocation, cost-effectiveness) and qualitative indicators (e.g. stakeholder opinions, organisational policies) for a holistic evaluation;</w:t>
            </w:r>
          </w:p>
          <w:p w14:paraId="67D0595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Deployment of comparative analysis techniques, including benchmarking and cost-benefit assessments, to provide insights into eu-LISA's performance in relation to industry standards and best practices.</w:t>
            </w:r>
          </w:p>
        </w:tc>
      </w:tr>
      <w:tr w:rsidR="00233273" w:rsidRPr="002048C6" w14:paraId="413998C8" w14:textId="77777777" w:rsidTr="66687D7F">
        <w:tc>
          <w:tcPr>
            <w:tcW w:w="904" w:type="pct"/>
            <w:shd w:val="clear" w:color="auto" w:fill="1B7BCA" w:themeFill="background2" w:themeFillShade="80"/>
            <w:vAlign w:val="center"/>
          </w:tcPr>
          <w:p w14:paraId="25157EEF"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Limitations </w:t>
            </w:r>
          </w:p>
        </w:tc>
        <w:tc>
          <w:tcPr>
            <w:tcW w:w="4096" w:type="pct"/>
          </w:tcPr>
          <w:p w14:paraId="44B35CA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Potentially limited data accuracy that heavily relies on the availability and completeness of data from various sources. Will be discussed with Commission and mitigated through use of multiple data collection methods and analytical approaches;</w:t>
            </w:r>
          </w:p>
          <w:p w14:paraId="2FF67DF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Stakeholder interviews, surveys, and focus groups involve subjective opinions, potentially introducing bias; Project team will carefully scrutinise for bias and be transparent about it in the deliverables;</w:t>
            </w:r>
          </w:p>
          <w:p w14:paraId="1E4B138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Efficiency may be influenced by external factors beyond eu-LISA's control, such as changes in EU policies or international events.</w:t>
            </w:r>
          </w:p>
        </w:tc>
      </w:tr>
    </w:tbl>
    <w:p w14:paraId="59A70FF7" w14:textId="77777777" w:rsidR="00233273" w:rsidRPr="004E2424" w:rsidRDefault="00233273" w:rsidP="004E2424">
      <w:pPr>
        <w:spacing w:after="0" w:line="240" w:lineRule="auto"/>
        <w:rPr>
          <w:rFonts w:ascii="Times New Roman" w:hAnsi="Times New Roman" w:cs="Times New Roman"/>
          <w:noProof/>
          <w:lang w:val="en-IE"/>
        </w:rPr>
      </w:pPr>
    </w:p>
    <w:p w14:paraId="791C525D" w14:textId="77777777" w:rsidR="00233273" w:rsidRDefault="00233273" w:rsidP="00233273">
      <w:pPr>
        <w:spacing w:after="0" w:line="240" w:lineRule="auto"/>
        <w:rPr>
          <w:rFonts w:ascii="Times New Roman" w:hAnsi="Times New Roman" w:cs="Times New Roman"/>
          <w:b/>
          <w:bCs/>
          <w:i/>
          <w:iCs/>
          <w:noProof/>
          <w:lang w:val="en-IE"/>
        </w:rPr>
      </w:pPr>
      <w:bookmarkStart w:id="113" w:name="_Toc154041761"/>
      <w:bookmarkStart w:id="114" w:name="_Toc167205845"/>
      <w:r w:rsidRPr="004E2424">
        <w:rPr>
          <w:rFonts w:ascii="Times New Roman" w:hAnsi="Times New Roman" w:cs="Times New Roman"/>
          <w:b/>
          <w:bCs/>
          <w:i/>
          <w:iCs/>
          <w:noProof/>
          <w:lang w:val="en-IE"/>
        </w:rPr>
        <w:t xml:space="preserve">Table </w:t>
      </w:r>
      <w:r w:rsidRPr="00AC046A">
        <w:rPr>
          <w:rFonts w:ascii="Times New Roman" w:hAnsi="Times New Roman" w:cs="Times New Roman"/>
          <w:b/>
          <w:bCs/>
          <w:i/>
          <w:iCs/>
          <w:noProof/>
          <w:lang w:val="en-IE"/>
        </w:rPr>
        <w:t>3</w:t>
      </w:r>
      <w:r w:rsidRPr="004E2424">
        <w:rPr>
          <w:rFonts w:ascii="Times New Roman" w:hAnsi="Times New Roman" w:cs="Times New Roman"/>
          <w:b/>
          <w:bCs/>
          <w:i/>
          <w:iCs/>
          <w:noProof/>
          <w:lang w:val="en-IE"/>
        </w:rPr>
        <w:t xml:space="preserve"> - Efficiency – Evaluation matrix</w:t>
      </w:r>
      <w:bookmarkEnd w:id="113"/>
      <w:bookmarkEnd w:id="114"/>
    </w:p>
    <w:p w14:paraId="4E90BF9B" w14:textId="77777777" w:rsidR="00233273" w:rsidRPr="004E2424" w:rsidRDefault="00233273" w:rsidP="00233273">
      <w:pPr>
        <w:spacing w:after="0" w:line="240" w:lineRule="auto"/>
        <w:rPr>
          <w:rFonts w:ascii="Times New Roman" w:hAnsi="Times New Roman" w:cs="Times New Roman"/>
          <w:b/>
          <w:bCs/>
          <w:i/>
          <w:iCs/>
          <w:noProof/>
          <w:lang w:val="en-IE"/>
        </w:rPr>
      </w:pPr>
    </w:p>
    <w:tbl>
      <w:tblPr>
        <w:tblpPr w:leftFromText="141" w:rightFromText="141" w:vertAnchor="text" w:tblpY="1"/>
        <w:tblOverlap w:val="neve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158"/>
        <w:gridCol w:w="1934"/>
        <w:gridCol w:w="4309"/>
        <w:gridCol w:w="4309"/>
        <w:gridCol w:w="2678"/>
      </w:tblGrid>
      <w:tr w:rsidR="00233273" w:rsidRPr="00AC046A" w14:paraId="4B64936D" w14:textId="77777777">
        <w:trPr>
          <w:trHeight w:val="509"/>
          <w:tblHeader/>
        </w:trPr>
        <w:tc>
          <w:tcPr>
            <w:tcW w:w="701" w:type="pct"/>
            <w:vMerge w:val="restart"/>
            <w:shd w:val="clear" w:color="auto" w:fill="1B7BCA" w:themeFill="background2" w:themeFillShade="80"/>
            <w:vAlign w:val="center"/>
            <w:hideMark/>
          </w:tcPr>
          <w:p w14:paraId="22138709"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Evaluation question</w:t>
            </w:r>
          </w:p>
        </w:tc>
        <w:tc>
          <w:tcPr>
            <w:tcW w:w="628" w:type="pct"/>
            <w:vMerge w:val="restart"/>
            <w:shd w:val="clear" w:color="auto" w:fill="1B7BCA" w:themeFill="background2" w:themeFillShade="80"/>
            <w:vAlign w:val="center"/>
          </w:tcPr>
          <w:p w14:paraId="6230230F"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Sub-questions</w:t>
            </w:r>
          </w:p>
        </w:tc>
        <w:tc>
          <w:tcPr>
            <w:tcW w:w="1400" w:type="pct"/>
            <w:vMerge w:val="restart"/>
            <w:shd w:val="clear" w:color="auto" w:fill="1B7BCA" w:themeFill="background2" w:themeFillShade="80"/>
            <w:vAlign w:val="center"/>
            <w:hideMark/>
          </w:tcPr>
          <w:p w14:paraId="6BBDD887"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Judgement criteria </w:t>
            </w:r>
          </w:p>
        </w:tc>
        <w:tc>
          <w:tcPr>
            <w:tcW w:w="1400" w:type="pct"/>
            <w:vMerge w:val="restart"/>
            <w:shd w:val="clear" w:color="auto" w:fill="1B7BCA" w:themeFill="background2" w:themeFillShade="80"/>
            <w:vAlign w:val="center"/>
          </w:tcPr>
          <w:p w14:paraId="6D28AA54"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Indicators / information needs (examples)</w:t>
            </w:r>
          </w:p>
        </w:tc>
        <w:tc>
          <w:tcPr>
            <w:tcW w:w="870" w:type="pct"/>
            <w:vMerge w:val="restart"/>
            <w:shd w:val="clear" w:color="auto" w:fill="1B7BCA" w:themeFill="background2" w:themeFillShade="80"/>
            <w:vAlign w:val="center"/>
            <w:hideMark/>
          </w:tcPr>
          <w:p w14:paraId="4C1B38F3"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Information sources (indicative)</w:t>
            </w:r>
          </w:p>
        </w:tc>
      </w:tr>
      <w:tr w:rsidR="00233273" w:rsidRPr="00AC046A" w14:paraId="08F9E577" w14:textId="77777777">
        <w:trPr>
          <w:trHeight w:val="283"/>
          <w:tblHeader/>
        </w:trPr>
        <w:tc>
          <w:tcPr>
            <w:tcW w:w="701" w:type="pct"/>
            <w:vMerge/>
            <w:shd w:val="clear" w:color="auto" w:fill="1B7BCA" w:themeFill="background2" w:themeFillShade="80"/>
          </w:tcPr>
          <w:p w14:paraId="6C788B92" w14:textId="77777777" w:rsidR="00233273" w:rsidRPr="004E2424" w:rsidRDefault="00233273" w:rsidP="004E2424">
            <w:pPr>
              <w:spacing w:after="0" w:line="240" w:lineRule="auto"/>
              <w:rPr>
                <w:rFonts w:ascii="Arial" w:hAnsi="Arial" w:cs="Arial"/>
                <w:noProof/>
                <w:sz w:val="20"/>
                <w:szCs w:val="20"/>
              </w:rPr>
            </w:pPr>
          </w:p>
        </w:tc>
        <w:tc>
          <w:tcPr>
            <w:tcW w:w="628" w:type="pct"/>
            <w:vMerge/>
            <w:shd w:val="clear" w:color="auto" w:fill="1B7BCA" w:themeFill="background2" w:themeFillShade="80"/>
          </w:tcPr>
          <w:p w14:paraId="678F4B1C" w14:textId="77777777" w:rsidR="00233273" w:rsidRPr="004E2424" w:rsidRDefault="00233273" w:rsidP="004E2424">
            <w:pPr>
              <w:spacing w:after="0" w:line="240" w:lineRule="auto"/>
              <w:rPr>
                <w:rFonts w:ascii="Arial" w:hAnsi="Arial" w:cs="Arial"/>
                <w:noProof/>
                <w:sz w:val="20"/>
                <w:szCs w:val="20"/>
              </w:rPr>
            </w:pPr>
          </w:p>
        </w:tc>
        <w:tc>
          <w:tcPr>
            <w:tcW w:w="1400" w:type="pct"/>
            <w:vMerge/>
            <w:shd w:val="clear" w:color="auto" w:fill="1B7BCA" w:themeFill="background2" w:themeFillShade="80"/>
          </w:tcPr>
          <w:p w14:paraId="7F4160BD" w14:textId="77777777" w:rsidR="00233273" w:rsidRPr="004E2424" w:rsidRDefault="00233273" w:rsidP="004E2424">
            <w:pPr>
              <w:spacing w:after="0" w:line="240" w:lineRule="auto"/>
              <w:rPr>
                <w:rFonts w:ascii="Arial" w:hAnsi="Arial" w:cs="Arial"/>
                <w:noProof/>
                <w:sz w:val="20"/>
                <w:szCs w:val="20"/>
              </w:rPr>
            </w:pPr>
          </w:p>
        </w:tc>
        <w:tc>
          <w:tcPr>
            <w:tcW w:w="1400" w:type="pct"/>
            <w:vMerge/>
            <w:shd w:val="clear" w:color="auto" w:fill="1B7BCA" w:themeFill="background2" w:themeFillShade="80"/>
          </w:tcPr>
          <w:p w14:paraId="0A291E43" w14:textId="77777777" w:rsidR="00233273" w:rsidRPr="004E2424" w:rsidRDefault="00233273" w:rsidP="004E2424">
            <w:pPr>
              <w:spacing w:after="0" w:line="240" w:lineRule="auto"/>
              <w:rPr>
                <w:rFonts w:ascii="Arial" w:hAnsi="Arial" w:cs="Arial"/>
                <w:noProof/>
                <w:sz w:val="20"/>
                <w:szCs w:val="20"/>
              </w:rPr>
            </w:pPr>
          </w:p>
        </w:tc>
        <w:tc>
          <w:tcPr>
            <w:tcW w:w="870" w:type="pct"/>
            <w:vMerge/>
            <w:shd w:val="clear" w:color="auto" w:fill="1B7BCA" w:themeFill="background2" w:themeFillShade="80"/>
          </w:tcPr>
          <w:p w14:paraId="667A9D85" w14:textId="77777777" w:rsidR="00233273" w:rsidRPr="004E2424" w:rsidRDefault="00233273" w:rsidP="004E2424">
            <w:pPr>
              <w:spacing w:after="0" w:line="240" w:lineRule="auto"/>
              <w:rPr>
                <w:rFonts w:ascii="Arial" w:hAnsi="Arial" w:cs="Arial"/>
                <w:noProof/>
                <w:sz w:val="20"/>
                <w:szCs w:val="20"/>
              </w:rPr>
            </w:pPr>
          </w:p>
        </w:tc>
      </w:tr>
      <w:tr w:rsidR="00233273" w:rsidRPr="002048C6" w14:paraId="3A8AC298" w14:textId="77777777">
        <w:tc>
          <w:tcPr>
            <w:tcW w:w="1329" w:type="pct"/>
            <w:gridSpan w:val="2"/>
            <w:shd w:val="clear" w:color="auto" w:fill="F2F2F2" w:themeFill="background1" w:themeFillShade="F2"/>
          </w:tcPr>
          <w:p w14:paraId="75E4BA27" w14:textId="77777777" w:rsidR="00233273" w:rsidRPr="004E2424" w:rsidRDefault="00233273" w:rsidP="004E2424">
            <w:pPr>
              <w:spacing w:after="0" w:line="240" w:lineRule="auto"/>
              <w:rPr>
                <w:rFonts w:ascii="Arial" w:hAnsi="Arial" w:cs="Arial"/>
                <w:noProof/>
                <w:sz w:val="20"/>
                <w:szCs w:val="20"/>
                <w:highlight w:val="yellow"/>
                <w:lang w:val="en-IE"/>
              </w:rPr>
            </w:pPr>
            <w:r w:rsidRPr="004E2424">
              <w:rPr>
                <w:rFonts w:ascii="Arial" w:hAnsi="Arial" w:cs="Arial"/>
                <w:noProof/>
                <w:sz w:val="20"/>
                <w:szCs w:val="20"/>
                <w:lang w:val="en-IE"/>
              </w:rPr>
              <w:t>EQ 28: To what extent have eu-LISA’s organisational solutions, including outsourcing strategies affected the performance of the Agency in developing the new systems?</w:t>
            </w:r>
          </w:p>
        </w:tc>
        <w:tc>
          <w:tcPr>
            <w:tcW w:w="1400" w:type="pct"/>
            <w:hideMark/>
          </w:tcPr>
          <w:p w14:paraId="62C665A6" w14:textId="77777777" w:rsidR="00233273" w:rsidRPr="004E2424" w:rsidRDefault="00233273" w:rsidP="004E2424">
            <w:pPr>
              <w:spacing w:after="0" w:line="240" w:lineRule="auto"/>
              <w:rPr>
                <w:rFonts w:ascii="Arial" w:hAnsi="Arial" w:cs="Arial"/>
                <w:noProof/>
                <w:sz w:val="20"/>
                <w:szCs w:val="20"/>
                <w:highlight w:val="yellow"/>
                <w:lang w:val="en-IE"/>
              </w:rPr>
            </w:pPr>
            <w:r w:rsidRPr="004E2424">
              <w:rPr>
                <w:rFonts w:ascii="Arial" w:hAnsi="Arial" w:cs="Arial"/>
                <w:noProof/>
                <w:sz w:val="20"/>
                <w:szCs w:val="20"/>
                <w:lang w:val="en-IE"/>
              </w:rPr>
              <w:t>The organisational solutions and outsourcing strategies implemented by eu-LISA have positively affected the performance of the Agency in developing new systems, resulting in improved efficiency and effectiveness.</w:t>
            </w:r>
          </w:p>
        </w:tc>
        <w:tc>
          <w:tcPr>
            <w:tcW w:w="1400" w:type="pct"/>
          </w:tcPr>
          <w:p w14:paraId="7036785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Role of eu-LISA’s own organisational solutions in developing new systems </w:t>
            </w:r>
          </w:p>
          <w:p w14:paraId="74B3255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Types of solutions development outsourced over time </w:t>
            </w:r>
          </w:p>
          <w:p w14:paraId="17ACCAD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Indications that outsourcing is happening strategically or tactically </w:t>
            </w:r>
          </w:p>
          <w:p w14:paraId="5AEE1ED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Criteria and processes used for selecting outsourcing partners </w:t>
            </w:r>
          </w:p>
          <w:p w14:paraId="7C216F7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Flexibility and scalability of outsourcing strategy </w:t>
            </w:r>
          </w:p>
          <w:p w14:paraId="29BF5C1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If available: eu-LISA outsourcing performance data (e.g. success, quality) </w:t>
            </w:r>
          </w:p>
          <w:p w14:paraId="2D3CA90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Direct and indirect costs and benefits of outsourcing (overall and per solution/item outsourced), including compared to:</w:t>
            </w:r>
          </w:p>
          <w:p w14:paraId="0B2E81F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Inhouse alternatives </w:t>
            </w:r>
          </w:p>
          <w:p w14:paraId="123C883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Industry standards </w:t>
            </w:r>
          </w:p>
          <w:p w14:paraId="37429B9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Benchmarks from other private and public organisations</w:t>
            </w:r>
          </w:p>
          <w:p w14:paraId="1158DCF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Cost-effectiveness of outsourcing strategies and implementation, and organisational solutions in new system development (‘value for money’, ‘return on investment’) </w:t>
            </w:r>
          </w:p>
          <w:p w14:paraId="1922683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Identification of tasks the Agency is outsourcing in the context of developing new systems, takeover or renewal of existing systems</w:t>
            </w:r>
          </w:p>
          <w:p w14:paraId="580405E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Effects of the outsourcing strategy and practice on the timeliness and effectiveness of developing new systems, e.g. based on the quality and success of new systems developed within the scope of outsourcing arrangements vs. own organisational solutions (“value for money”) and the impact on the Agency's internal knowledge of the systems in development</w:t>
            </w:r>
          </w:p>
        </w:tc>
        <w:tc>
          <w:tcPr>
            <w:tcW w:w="870" w:type="pct"/>
          </w:tcPr>
          <w:p w14:paraId="2D64450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7AB978B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Review of organisational and outsourcing policies and strategies within eu-LISA </w:t>
            </w:r>
          </w:p>
          <w:p w14:paraId="38589D0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Examination of project timelines and budget allocation for new system development </w:t>
            </w:r>
          </w:p>
          <w:p w14:paraId="3A8E121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staff </w:t>
            </w:r>
          </w:p>
          <w:p w14:paraId="77595E7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w:t>
            </w:r>
          </w:p>
        </w:tc>
      </w:tr>
      <w:tr w:rsidR="00233273" w:rsidRPr="002048C6" w14:paraId="273FE342" w14:textId="77777777">
        <w:tc>
          <w:tcPr>
            <w:tcW w:w="1329" w:type="pct"/>
            <w:gridSpan w:val="2"/>
            <w:shd w:val="clear" w:color="auto" w:fill="F2F2F2" w:themeFill="background1" w:themeFillShade="F2"/>
          </w:tcPr>
          <w:p w14:paraId="78580B5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29: To what extent has the governance structure of eu-LISA supported its ability to perform its tasks, having regard to its size, composition, organisation and working processes?</w:t>
            </w:r>
          </w:p>
        </w:tc>
        <w:tc>
          <w:tcPr>
            <w:tcW w:w="1400" w:type="pct"/>
          </w:tcPr>
          <w:p w14:paraId="64B73B4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governance structure of eu-LISA has effectively supported the Agency's ability to perform its tasks in alignment with its size, composition, organisation, and working processes.</w:t>
            </w:r>
          </w:p>
        </w:tc>
        <w:tc>
          <w:tcPr>
            <w:tcW w:w="1400" w:type="pct"/>
          </w:tcPr>
          <w:p w14:paraId="646A019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Mapping of the key roles and tasks of the different governance bodies, including their competencies and mandate </w:t>
            </w:r>
          </w:p>
          <w:p w14:paraId="51CCB05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Mapping of the number, types and functions of stakeholders involved in the different governance bodies </w:t>
            </w:r>
          </w:p>
          <w:p w14:paraId="3494C37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Mapping of the key processes of the different governance bodies </w:t>
            </w:r>
          </w:p>
          <w:p w14:paraId="4A1B238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Clarity of internal processes to employees and key stakeholders </w:t>
            </w:r>
          </w:p>
          <w:p w14:paraId="0E2F3C4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Efficiency of key decision-making and other key processes within the governance structure, including replacement procedures of key staff, e.g.:</w:t>
            </w:r>
          </w:p>
          <w:p w14:paraId="45282CC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Time taken for decisions </w:t>
            </w:r>
          </w:p>
          <w:p w14:paraId="314AEF5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Frequency and length of high-level decision meetings </w:t>
            </w:r>
          </w:p>
          <w:p w14:paraId="22CBB72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Existence and application of processes and procedures to involve the management board in the decisions regarding the operational management of the large-scale IT systems </w:t>
            </w:r>
          </w:p>
          <w:p w14:paraId="7C3E9DB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Efficiency of escalation procedures </w:t>
            </w:r>
          </w:p>
          <w:p w14:paraId="0934B4E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Level of specialisation versus generalisation of the bodies and stakeholders involved in the governance structure.</w:t>
            </w:r>
          </w:p>
          <w:p w14:paraId="460C792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Correspondence of the governance structure with eu-LISA's strategic objectives and tasks </w:t>
            </w:r>
          </w:p>
          <w:p w14:paraId="67909D5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Responsiveness of the governance structure to emerging challenges in (home) security and needs.</w:t>
            </w:r>
          </w:p>
        </w:tc>
        <w:tc>
          <w:tcPr>
            <w:tcW w:w="870" w:type="pct"/>
          </w:tcPr>
          <w:p w14:paraId="31F0FA1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04B6CB8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eu-LISA's governance documentation </w:t>
            </w:r>
          </w:p>
          <w:p w14:paraId="73ABA47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organisational charts and policies </w:t>
            </w:r>
          </w:p>
          <w:p w14:paraId="1AD1EEB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w:t>
            </w:r>
          </w:p>
          <w:p w14:paraId="02C0531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w:t>
            </w:r>
          </w:p>
        </w:tc>
      </w:tr>
      <w:tr w:rsidR="00233273" w:rsidRPr="002048C6" w14:paraId="6DCE5F9C" w14:textId="77777777">
        <w:tc>
          <w:tcPr>
            <w:tcW w:w="1329" w:type="pct"/>
            <w:gridSpan w:val="2"/>
            <w:shd w:val="clear" w:color="auto" w:fill="F2F2F2" w:themeFill="background1" w:themeFillShade="F2"/>
          </w:tcPr>
          <w:p w14:paraId="58FE2F4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30: How efficient is the Agency governance structure to reach its goals and complete its tasks?</w:t>
            </w:r>
          </w:p>
        </w:tc>
        <w:tc>
          <w:tcPr>
            <w:tcW w:w="1400" w:type="pct"/>
          </w:tcPr>
          <w:p w14:paraId="2A68682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governance structure of the Agency demonstrates efficiency in facilitating the achievement of its goals and successful completion of tasks.</w:t>
            </w:r>
          </w:p>
        </w:tc>
        <w:tc>
          <w:tcPr>
            <w:tcW w:w="1400" w:type="pct"/>
          </w:tcPr>
          <w:p w14:paraId="02712E5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See the indicators regarding EQ29. In addition:</w:t>
            </w:r>
          </w:p>
          <w:p w14:paraId="4B0C591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Potential redundancies of structures, processes, including across locations </w:t>
            </w:r>
          </w:p>
          <w:p w14:paraId="33C3714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Resource allocation and utilisation within the governance structure, including the efficiency and flexibility to address “business as usual” tasks and objectives, as well as changing needs, challenging, tasks and responsibilities</w:t>
            </w:r>
          </w:p>
        </w:tc>
        <w:tc>
          <w:tcPr>
            <w:tcW w:w="870" w:type="pct"/>
          </w:tcPr>
          <w:p w14:paraId="6BDD5CB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263A29C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Governance documentation </w:t>
            </w:r>
          </w:p>
          <w:p w14:paraId="2062712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Records of decision-making timeline </w:t>
            </w:r>
          </w:p>
          <w:p w14:paraId="7B9C545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with EU-level and supervising stakeholders </w:t>
            </w:r>
          </w:p>
          <w:p w14:paraId="375C5FA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w:t>
            </w:r>
          </w:p>
        </w:tc>
      </w:tr>
      <w:tr w:rsidR="00233273" w:rsidRPr="002048C6" w14:paraId="16DBCA43" w14:textId="77777777">
        <w:tc>
          <w:tcPr>
            <w:tcW w:w="701" w:type="pct"/>
            <w:vMerge w:val="restart"/>
            <w:shd w:val="clear" w:color="auto" w:fill="F2F2F2" w:themeFill="background1" w:themeFillShade="F2"/>
          </w:tcPr>
          <w:p w14:paraId="2136CAA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31: How efficient the management of resources by eu-LISA has been? To what extent has eu-LISA efficiently used its human and financial resources to ensure the development and the effective, secure and continuous operation of large-scale IT systems? To what extent has eu-LISA succeeded in building up in-house capabilities for handling various tasks entrusted to it?</w:t>
            </w:r>
          </w:p>
        </w:tc>
        <w:tc>
          <w:tcPr>
            <w:tcW w:w="628" w:type="pct"/>
            <w:shd w:val="clear" w:color="auto" w:fill="F2F2F2" w:themeFill="background1" w:themeFillShade="F2"/>
          </w:tcPr>
          <w:p w14:paraId="67AE71CD" w14:textId="77777777" w:rsidR="00233273" w:rsidRPr="000F1C89" w:rsidRDefault="00233273" w:rsidP="009D503C">
            <w:pPr>
              <w:spacing w:after="0" w:line="240" w:lineRule="auto"/>
              <w:rPr>
                <w:rFonts w:ascii="Arial" w:hAnsi="Arial" w:cs="Arial"/>
                <w:noProof/>
                <w:sz w:val="20"/>
                <w:szCs w:val="20"/>
                <w:lang w:val="en-IE"/>
              </w:rPr>
            </w:pPr>
            <w:r w:rsidRPr="004E2424">
              <w:rPr>
                <w:rFonts w:ascii="Arial" w:hAnsi="Arial" w:cs="Arial"/>
                <w:noProof/>
                <w:sz w:val="20"/>
                <w:szCs w:val="20"/>
                <w:lang w:val="en-IE"/>
              </w:rPr>
              <w:t>EQ 31.1: How efficiently has eu-LISA managed its financial and budgetary resources to support the development and operation of large-scale IT systems?</w:t>
            </w:r>
          </w:p>
        </w:tc>
        <w:tc>
          <w:tcPr>
            <w:tcW w:w="1400" w:type="pct"/>
          </w:tcPr>
          <w:p w14:paraId="299E325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has efficiently managed its financial resources, demonstrating adherence to budgets and cost-effectiveness.</w:t>
            </w:r>
          </w:p>
        </w:tc>
        <w:tc>
          <w:tcPr>
            <w:tcW w:w="1400" w:type="pct"/>
          </w:tcPr>
          <w:p w14:paraId="34FDEE6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Budget allocation and absorption overall and per cost item (direct and indirect) relating to the operation and management of large-scale IT systems, broken down by year, system etc., e.g.:</w:t>
            </w:r>
          </w:p>
          <w:p w14:paraId="0CB095A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Capital investments in IT (hardware, software, cloud / data storage infrastructure) </w:t>
            </w:r>
          </w:p>
          <w:p w14:paraId="6D6906A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Ongoing maintenance of systems (hard- and software), including through outsourced services, licenses, and subscriptions to services </w:t>
            </w:r>
          </w:p>
          <w:p w14:paraId="7130DAE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Communication costs (network and telecom costs) </w:t>
            </w:r>
          </w:p>
          <w:p w14:paraId="7A49DC2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Energy costs (power, utilities, water)</w:t>
            </w:r>
          </w:p>
          <w:p w14:paraId="7E8FAC1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Training of staff </w:t>
            </w:r>
          </w:p>
          <w:p w14:paraId="68C9EC2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Awareness raising, info, and training of users </w:t>
            </w:r>
          </w:p>
          <w:p w14:paraId="2575B9D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Recruiting costs </w:t>
            </w:r>
          </w:p>
          <w:p w14:paraId="3067118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Staff salaries </w:t>
            </w:r>
          </w:p>
          <w:p w14:paraId="7D17FFC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Budget adherence and cost-effectiveness in managing financial resources, including reasons for any changes compared to plan</w:t>
            </w:r>
          </w:p>
          <w:p w14:paraId="1CBCFED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Timeliness and effectiveness of resource allocation for system development and operation</w:t>
            </w:r>
          </w:p>
          <w:p w14:paraId="19894DC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Efficiency in procurement processes for external services</w:t>
            </w:r>
          </w:p>
          <w:p w14:paraId="4378C22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Flexibility in shifting resources based on emerging needs or obtaining additional resources and constraints imposed by the procedures on the management of resources</w:t>
            </w:r>
          </w:p>
          <w:p w14:paraId="0ABE02C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User satisfaction with the (perceived) cost-effectiveness of the support provided by eu-LISA in relation to the development and operation of the large-scale IT systems </w:t>
            </w:r>
          </w:p>
        </w:tc>
        <w:tc>
          <w:tcPr>
            <w:tcW w:w="870" w:type="pct"/>
          </w:tcPr>
          <w:p w14:paraId="367C67C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5DA50F1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Financial reports and budget analysis </w:t>
            </w:r>
          </w:p>
          <w:p w14:paraId="20408CC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Records on procurement and resource allocation </w:t>
            </w:r>
          </w:p>
          <w:p w14:paraId="676529D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Targeted written surveys with users </w:t>
            </w:r>
          </w:p>
          <w:p w14:paraId="2F0434B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 focus groups with eu-LISA staff </w:t>
            </w:r>
          </w:p>
          <w:p w14:paraId="4F672F1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stakeholders, including supervisors.</w:t>
            </w:r>
          </w:p>
          <w:p w14:paraId="4487552F" w14:textId="77777777" w:rsidR="00233273" w:rsidRPr="004E2424" w:rsidRDefault="00233273" w:rsidP="004E2424">
            <w:pPr>
              <w:spacing w:after="0" w:line="240" w:lineRule="auto"/>
              <w:rPr>
                <w:rFonts w:ascii="Arial" w:hAnsi="Arial" w:cs="Arial"/>
                <w:noProof/>
                <w:sz w:val="20"/>
                <w:szCs w:val="20"/>
                <w:lang w:val="en-IE"/>
              </w:rPr>
            </w:pPr>
          </w:p>
        </w:tc>
      </w:tr>
      <w:tr w:rsidR="00233273" w:rsidRPr="002048C6" w14:paraId="339D4799" w14:textId="77777777">
        <w:tc>
          <w:tcPr>
            <w:tcW w:w="701" w:type="pct"/>
            <w:vMerge/>
            <w:shd w:val="clear" w:color="auto" w:fill="F2F2F2" w:themeFill="background1" w:themeFillShade="F2"/>
          </w:tcPr>
          <w:p w14:paraId="08EB2C2F" w14:textId="77777777" w:rsidR="00233273" w:rsidRPr="004E2424" w:rsidRDefault="00233273" w:rsidP="004E2424">
            <w:pPr>
              <w:spacing w:after="0" w:line="240" w:lineRule="auto"/>
              <w:rPr>
                <w:rFonts w:ascii="Arial" w:hAnsi="Arial" w:cs="Arial"/>
                <w:noProof/>
                <w:sz w:val="20"/>
                <w:szCs w:val="20"/>
                <w:lang w:val="en-IE"/>
              </w:rPr>
            </w:pPr>
          </w:p>
        </w:tc>
        <w:tc>
          <w:tcPr>
            <w:tcW w:w="628" w:type="pct"/>
            <w:shd w:val="clear" w:color="auto" w:fill="F2F2F2" w:themeFill="background1" w:themeFillShade="F2"/>
          </w:tcPr>
          <w:p w14:paraId="410AB14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31.2: To what extent has eu-LISA efficiently developed in-house capabilities for handling various tasks entrusted to it?</w:t>
            </w:r>
          </w:p>
        </w:tc>
        <w:tc>
          <w:tcPr>
            <w:tcW w:w="1400" w:type="pct"/>
          </w:tcPr>
          <w:p w14:paraId="523F14E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 has successfully built in-house capabilities for handling various tasks.</w:t>
            </w:r>
          </w:p>
        </w:tc>
        <w:tc>
          <w:tcPr>
            <w:tcW w:w="1400" w:type="pct"/>
          </w:tcPr>
          <w:p w14:paraId="5912D42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Types of in-house capabilities and skills, including development over the years, by type of key task to be performed (including the mix of senior and junior profiles)</w:t>
            </w:r>
          </w:p>
          <w:p w14:paraId="42612F3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Development and retention of human resources, including unfilled positions per year, by type of key task</w:t>
            </w:r>
          </w:p>
          <w:p w14:paraId="255D050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Number and % of staff with permanent contracts vs. temporary staff, by type of key task</w:t>
            </w:r>
          </w:p>
          <w:p w14:paraId="7C97CD2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Evidence of specific skills gaps over time, and how these have hampered the efficient execution of tasks</w:t>
            </w:r>
          </w:p>
          <w:p w14:paraId="66A5BCD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Comparison of in-house capacity with external outsourcing</w:t>
            </w:r>
          </w:p>
          <w:p w14:paraId="7F4B3B9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Success in recruiting and retention of different staff categories</w:t>
            </w:r>
          </w:p>
        </w:tc>
        <w:tc>
          <w:tcPr>
            <w:tcW w:w="870" w:type="pct"/>
          </w:tcPr>
          <w:p w14:paraId="0439A00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31BD827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Internal assessments of in-house capabilities </w:t>
            </w:r>
          </w:p>
          <w:p w14:paraId="4E42D91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Recruitment and retention records </w:t>
            </w:r>
          </w:p>
          <w:p w14:paraId="758FE4C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Human resources statistics provided by eu-LISA </w:t>
            </w:r>
          </w:p>
          <w:p w14:paraId="2C47BB4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management and internal services </w:t>
            </w:r>
          </w:p>
          <w:p w14:paraId="56E91DC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stakeholders, including supervisors.</w:t>
            </w:r>
          </w:p>
          <w:p w14:paraId="4827A2CC" w14:textId="77777777" w:rsidR="00233273" w:rsidRPr="004E2424" w:rsidRDefault="00233273" w:rsidP="004E2424">
            <w:pPr>
              <w:spacing w:after="0" w:line="240" w:lineRule="auto"/>
              <w:rPr>
                <w:rFonts w:ascii="Arial" w:hAnsi="Arial" w:cs="Arial"/>
                <w:noProof/>
                <w:sz w:val="20"/>
                <w:szCs w:val="20"/>
                <w:lang w:val="en-IE"/>
              </w:rPr>
            </w:pPr>
          </w:p>
        </w:tc>
      </w:tr>
      <w:tr w:rsidR="00233273" w:rsidRPr="002048C6" w14:paraId="6AB253CE" w14:textId="77777777">
        <w:tc>
          <w:tcPr>
            <w:tcW w:w="701" w:type="pct"/>
            <w:vMerge w:val="restart"/>
            <w:shd w:val="clear" w:color="auto" w:fill="F2F2F2" w:themeFill="background1" w:themeFillShade="F2"/>
          </w:tcPr>
          <w:p w14:paraId="33D08A1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32: Are the resources (human, financial and technical) used for the operational management and maintenance of existing systems adequate in comparison with the results achieved? Could the efficiency gains be obtained with a different approach to outsourcing or with different technology choices?</w:t>
            </w:r>
          </w:p>
        </w:tc>
        <w:tc>
          <w:tcPr>
            <w:tcW w:w="628" w:type="pct"/>
            <w:shd w:val="clear" w:color="auto" w:fill="F2F2F2" w:themeFill="background1" w:themeFillShade="F2"/>
          </w:tcPr>
          <w:p w14:paraId="624EF94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32.1: Are the resources (human, financial, and technical) used for the operational management and maintenance of existing systems adequate in comparison with the results achieved?</w:t>
            </w:r>
          </w:p>
        </w:tc>
        <w:tc>
          <w:tcPr>
            <w:tcW w:w="1400" w:type="pct"/>
          </w:tcPr>
          <w:p w14:paraId="0ABD55D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resources allocated for operational management and maintenance are adequate in achieving the desired result</w:t>
            </w:r>
          </w:p>
        </w:tc>
        <w:tc>
          <w:tcPr>
            <w:tcW w:w="1400" w:type="pct"/>
          </w:tcPr>
          <w:p w14:paraId="1C91B13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For the operational management and maintenance of existing systems:</w:t>
            </w:r>
          </w:p>
          <w:p w14:paraId="1C47EAE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Budget allocation and absorption overall and per cost item, broken down by year, system etc.</w:t>
            </w:r>
          </w:p>
          <w:p w14:paraId="0E0BD06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Evidence that the desired results were achieved within the allocated budget and allocated human and technical resources </w:t>
            </w:r>
          </w:p>
          <w:p w14:paraId="7645C3A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Evidence that the volume and skills (including the level of seniority) of the human resources involved in the operational management and maintenance of existing systems were adequate to achieve the intended targets </w:t>
            </w:r>
          </w:p>
          <w:p w14:paraId="6D6F89C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Evidence that the technical resources for the operational management and maintenance of existing systems functioned adequately</w:t>
            </w:r>
          </w:p>
          <w:p w14:paraId="6B0656D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Evidence that certain tasks were not possible to execute in a timely fashion to the required quality, volume etc. due to a lack of appropriately qualified staff</w:t>
            </w:r>
          </w:p>
          <w:p w14:paraId="6D3F2A9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Reasons for any major divergences with regard to the budget allocated and absorbed for the operational management and maintenance of existing systems</w:t>
            </w:r>
          </w:p>
          <w:p w14:paraId="2B518F4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Resource adequacy for operational management</w:t>
            </w:r>
          </w:p>
          <w:p w14:paraId="72F2D8C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Identification of efficiency gains through alternative outsourcing approaches or technology choices</w:t>
            </w:r>
          </w:p>
          <w:p w14:paraId="697354C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Identification of tools and forums used / established by the Agency to communicate with the Member States authorities and others having access to or participating to the systems as well as related benefits and costs</w:t>
            </w:r>
          </w:p>
        </w:tc>
        <w:tc>
          <w:tcPr>
            <w:tcW w:w="870" w:type="pct"/>
          </w:tcPr>
          <w:p w14:paraId="08878A1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w:t>
            </w:r>
          </w:p>
          <w:p w14:paraId="52C9789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w:t>
            </w:r>
          </w:p>
          <w:p w14:paraId="1624D3D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with EU-level stakeholders </w:t>
            </w:r>
          </w:p>
          <w:p w14:paraId="1DE07AF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SWOT workshop.</w:t>
            </w:r>
          </w:p>
          <w:p w14:paraId="47D8FEC3" w14:textId="77777777" w:rsidR="00233273" w:rsidRPr="004E2424" w:rsidRDefault="00233273" w:rsidP="004E2424">
            <w:pPr>
              <w:spacing w:after="0" w:line="240" w:lineRule="auto"/>
              <w:rPr>
                <w:rFonts w:ascii="Arial" w:hAnsi="Arial" w:cs="Arial"/>
                <w:noProof/>
                <w:sz w:val="20"/>
                <w:szCs w:val="20"/>
                <w:lang w:val="en-IE"/>
              </w:rPr>
            </w:pPr>
          </w:p>
        </w:tc>
      </w:tr>
      <w:tr w:rsidR="00233273" w:rsidRPr="002048C6" w14:paraId="2108E69C" w14:textId="77777777">
        <w:tc>
          <w:tcPr>
            <w:tcW w:w="701" w:type="pct"/>
            <w:vMerge/>
            <w:shd w:val="clear" w:color="auto" w:fill="F2F2F2" w:themeFill="background1" w:themeFillShade="F2"/>
          </w:tcPr>
          <w:p w14:paraId="5646054A" w14:textId="77777777" w:rsidR="00233273" w:rsidRPr="004E2424" w:rsidRDefault="00233273" w:rsidP="004E2424">
            <w:pPr>
              <w:spacing w:after="0" w:line="240" w:lineRule="auto"/>
              <w:rPr>
                <w:rFonts w:ascii="Arial" w:hAnsi="Arial" w:cs="Arial"/>
                <w:noProof/>
                <w:sz w:val="20"/>
                <w:szCs w:val="20"/>
                <w:lang w:val="en-IE"/>
              </w:rPr>
            </w:pPr>
          </w:p>
        </w:tc>
        <w:tc>
          <w:tcPr>
            <w:tcW w:w="628" w:type="pct"/>
            <w:shd w:val="clear" w:color="auto" w:fill="F2F2F2" w:themeFill="background1" w:themeFillShade="F2"/>
          </w:tcPr>
          <w:p w14:paraId="5745C09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32.2: Could these efficiency gains be obtained with a different approach to outsourcing or with different technology choices?</w:t>
            </w:r>
          </w:p>
        </w:tc>
        <w:tc>
          <w:tcPr>
            <w:tcW w:w="1400" w:type="pct"/>
          </w:tcPr>
          <w:p w14:paraId="29FA89D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Efficiency gains are possible through alternative outsourcing approaches or technology choices.</w:t>
            </w:r>
          </w:p>
        </w:tc>
        <w:tc>
          <w:tcPr>
            <w:tcW w:w="1400" w:type="pct"/>
          </w:tcPr>
          <w:p w14:paraId="0B8607C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Identification of potential efficiency improvements, particularly related to increased use of outsourcing and alternative technology choices</w:t>
            </w:r>
          </w:p>
          <w:p w14:paraId="2FE4D92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Comparative analysis / Benchmarking of costs and benefits.</w:t>
            </w:r>
          </w:p>
        </w:tc>
        <w:tc>
          <w:tcPr>
            <w:tcW w:w="870" w:type="pct"/>
          </w:tcPr>
          <w:p w14:paraId="796C473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e.g. review of cost analysis reports </w:t>
            </w:r>
          </w:p>
          <w:p w14:paraId="49F43DA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staff </w:t>
            </w:r>
          </w:p>
          <w:p w14:paraId="39EF011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 particularly supervision.</w:t>
            </w:r>
          </w:p>
        </w:tc>
      </w:tr>
      <w:tr w:rsidR="00233273" w:rsidRPr="002048C6" w14:paraId="1F17FD8D" w14:textId="77777777">
        <w:tc>
          <w:tcPr>
            <w:tcW w:w="701" w:type="pct"/>
            <w:vMerge w:val="restart"/>
            <w:shd w:val="clear" w:color="auto" w:fill="F2F2F2" w:themeFill="background1" w:themeFillShade="F2"/>
          </w:tcPr>
          <w:p w14:paraId="6D83A4B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33: Are the resources (human, financial and technical) used for the development of new systems adequate in comparison with the results achieved? Could the efficiency gains be obtained with a different approach to outsourcing or with different technology choices?</w:t>
            </w:r>
          </w:p>
        </w:tc>
        <w:tc>
          <w:tcPr>
            <w:tcW w:w="628" w:type="pct"/>
            <w:shd w:val="clear" w:color="auto" w:fill="F2F2F2" w:themeFill="background1" w:themeFillShade="F2"/>
          </w:tcPr>
          <w:p w14:paraId="6E52191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33.1: Are the resources (human, financial, and technical) used for the development of new systems adequate in comparison with the results achieved?</w:t>
            </w:r>
          </w:p>
        </w:tc>
        <w:tc>
          <w:tcPr>
            <w:tcW w:w="1400" w:type="pct"/>
            <w:shd w:val="clear" w:color="auto" w:fill="FFFFFF" w:themeFill="background1"/>
          </w:tcPr>
          <w:p w14:paraId="5E98FAF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Resources allocated for system development are adequate in achieving the desired results.</w:t>
            </w:r>
          </w:p>
        </w:tc>
        <w:tc>
          <w:tcPr>
            <w:tcW w:w="1400" w:type="pct"/>
          </w:tcPr>
          <w:p w14:paraId="2DE1BD5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For the development of new systems:</w:t>
            </w:r>
          </w:p>
          <w:p w14:paraId="4828742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Budget allocation and absorption overall and per cost item, broken down by year, system etc. </w:t>
            </w:r>
          </w:p>
          <w:p w14:paraId="52FC46E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Evidence that the desired results were achieved within the allocated budget and allocated human and technical resources </w:t>
            </w:r>
          </w:p>
          <w:p w14:paraId="3338936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Evidence that the volume and skills (including the level of seniority) of the human resources involved in the development of new systems were adequate to achieve the intended targets </w:t>
            </w:r>
          </w:p>
          <w:p w14:paraId="1C7C034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Evidence that the technical resources for the development of new systems functioned adequately </w:t>
            </w:r>
          </w:p>
          <w:p w14:paraId="5C96965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Evidence that certain tasks were not possible to execute in a timely fashion to the required quality, volume etc. due to a lack of appropriately qualified staff </w:t>
            </w:r>
          </w:p>
          <w:p w14:paraId="1812F98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Reasons for any major divergences with regard to the budget allocated and absorbed for the development of new systems </w:t>
            </w:r>
          </w:p>
          <w:p w14:paraId="2AFC5D8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Resource adequacy for the development of new systems </w:t>
            </w:r>
          </w:p>
          <w:p w14:paraId="2E9DE76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Identification of efficiency gains through alternative outsourcing approaches or technology choices.</w:t>
            </w:r>
          </w:p>
        </w:tc>
        <w:tc>
          <w:tcPr>
            <w:tcW w:w="870" w:type="pct"/>
          </w:tcPr>
          <w:p w14:paraId="7AC42E7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e.g. review of cost analysis reports </w:t>
            </w:r>
          </w:p>
          <w:p w14:paraId="533689D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w:t>
            </w:r>
          </w:p>
          <w:p w14:paraId="6E526FB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stakeholders, including supervision.</w:t>
            </w:r>
          </w:p>
          <w:p w14:paraId="6B93C5CB" w14:textId="77777777" w:rsidR="00233273" w:rsidRPr="004E2424" w:rsidRDefault="00233273" w:rsidP="004E2424">
            <w:pPr>
              <w:spacing w:after="0" w:line="240" w:lineRule="auto"/>
              <w:rPr>
                <w:rFonts w:ascii="Arial" w:hAnsi="Arial" w:cs="Arial"/>
                <w:noProof/>
                <w:sz w:val="20"/>
                <w:szCs w:val="20"/>
                <w:lang w:val="en-IE"/>
              </w:rPr>
            </w:pPr>
          </w:p>
        </w:tc>
      </w:tr>
      <w:tr w:rsidR="00233273" w:rsidRPr="002048C6" w14:paraId="3B72A1E0" w14:textId="77777777">
        <w:tc>
          <w:tcPr>
            <w:tcW w:w="701" w:type="pct"/>
            <w:vMerge/>
            <w:shd w:val="clear" w:color="auto" w:fill="F2F2F2" w:themeFill="background1" w:themeFillShade="F2"/>
          </w:tcPr>
          <w:p w14:paraId="7666C6FD" w14:textId="77777777" w:rsidR="00233273" w:rsidRPr="004E2424" w:rsidRDefault="00233273" w:rsidP="004E2424">
            <w:pPr>
              <w:spacing w:after="0" w:line="240" w:lineRule="auto"/>
              <w:rPr>
                <w:rFonts w:ascii="Arial" w:hAnsi="Arial" w:cs="Arial"/>
                <w:noProof/>
                <w:sz w:val="20"/>
                <w:szCs w:val="20"/>
                <w:lang w:val="en-IE"/>
              </w:rPr>
            </w:pPr>
          </w:p>
        </w:tc>
        <w:tc>
          <w:tcPr>
            <w:tcW w:w="628" w:type="pct"/>
            <w:shd w:val="clear" w:color="auto" w:fill="F2F2F2" w:themeFill="background1" w:themeFillShade="F2"/>
          </w:tcPr>
          <w:p w14:paraId="5FECBDA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33.2: Could these efficiency gains be obtained with a different approach to outsourcing or with different technology choices?</w:t>
            </w:r>
          </w:p>
        </w:tc>
        <w:tc>
          <w:tcPr>
            <w:tcW w:w="1400" w:type="pct"/>
          </w:tcPr>
          <w:p w14:paraId="1834F00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Evaluation of potential efficiency gains through alternative outsourcing approaches or technology choices</w:t>
            </w:r>
          </w:p>
        </w:tc>
        <w:tc>
          <w:tcPr>
            <w:tcW w:w="1400" w:type="pct"/>
          </w:tcPr>
          <w:p w14:paraId="41E860F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Identification of potential efficiency improvements, particularly related to different approaches to outsourcing, collaboration with external partners, and alternative technology choices</w:t>
            </w:r>
          </w:p>
          <w:p w14:paraId="0ADD586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Identification of potential draw-backs of different outsourcing approaches and collaboration with external partners</w:t>
            </w:r>
          </w:p>
          <w:p w14:paraId="6894108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Comparative analysis of costs and benefits</w:t>
            </w:r>
          </w:p>
        </w:tc>
        <w:tc>
          <w:tcPr>
            <w:tcW w:w="870" w:type="pct"/>
          </w:tcPr>
          <w:p w14:paraId="134AC09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e.g. review of cost analysis reports </w:t>
            </w:r>
          </w:p>
          <w:p w14:paraId="35CC425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management and internal services </w:t>
            </w:r>
          </w:p>
          <w:p w14:paraId="781AE93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Stakeholder interviews with supervision stakeholders.</w:t>
            </w:r>
          </w:p>
        </w:tc>
      </w:tr>
      <w:tr w:rsidR="00233273" w:rsidRPr="00AC046A" w14:paraId="00A7DDE0" w14:textId="77777777">
        <w:tc>
          <w:tcPr>
            <w:tcW w:w="701" w:type="pct"/>
            <w:vMerge w:val="restart"/>
            <w:shd w:val="clear" w:color="auto" w:fill="F2F2F2" w:themeFill="background1" w:themeFillShade="F2"/>
          </w:tcPr>
          <w:p w14:paraId="37B8EA9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34: To what extent are procurement, finances, personnel and any other corporate services organised efficiently? Are resources commensurate with results achieved?</w:t>
            </w:r>
          </w:p>
        </w:tc>
        <w:tc>
          <w:tcPr>
            <w:tcW w:w="628" w:type="pct"/>
            <w:shd w:val="clear" w:color="auto" w:fill="F2F2F2" w:themeFill="background1" w:themeFillShade="F2"/>
          </w:tcPr>
          <w:p w14:paraId="4C0D538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34.1: To what extent are procurement, finances, and corporate services organised efficiently?</w:t>
            </w:r>
          </w:p>
        </w:tc>
        <w:tc>
          <w:tcPr>
            <w:tcW w:w="1400" w:type="pct"/>
          </w:tcPr>
          <w:p w14:paraId="3649B78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organisation of procurement, financial management, and corporate services has been efficient.</w:t>
            </w:r>
          </w:p>
        </w:tc>
        <w:tc>
          <w:tcPr>
            <w:tcW w:w="1400" w:type="pct"/>
          </w:tcPr>
          <w:p w14:paraId="4513C32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Evidence of procurement and financial management efficiency, e.g.:</w:t>
            </w:r>
          </w:p>
          <w:p w14:paraId="2232F06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Variance between budgeted and actual expenses </w:t>
            </w:r>
          </w:p>
          <w:p w14:paraId="173DB0E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Time it takes to complete procurement processes from initiation to contract award </w:t>
            </w:r>
          </w:p>
          <w:p w14:paraId="34B96A8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Cost of procurement (e.g. administrative costs) as a percentage of the total procurement value </w:t>
            </w:r>
          </w:p>
          <w:p w14:paraId="4839D07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Percentage of contracts managed within agreed-upon terms and timelines </w:t>
            </w:r>
          </w:p>
          <w:p w14:paraId="6CFEF08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Alignment with efficiency standards and benchmarks </w:t>
            </w:r>
          </w:p>
          <w:p w14:paraId="0B5EEEB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Resource allocation compared to service efficiency.</w:t>
            </w:r>
          </w:p>
        </w:tc>
        <w:tc>
          <w:tcPr>
            <w:tcW w:w="870" w:type="pct"/>
          </w:tcPr>
          <w:p w14:paraId="53F9DEB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e.g. review of efficiency benchmarking reports </w:t>
            </w:r>
          </w:p>
          <w:p w14:paraId="33E2F23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staff </w:t>
            </w:r>
          </w:p>
          <w:p w14:paraId="24723378"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Interviews with supervision stakeholders.</w:t>
            </w:r>
          </w:p>
          <w:p w14:paraId="4C2D4B20" w14:textId="77777777" w:rsidR="00233273" w:rsidRPr="004E2424" w:rsidRDefault="00233273" w:rsidP="004E2424">
            <w:pPr>
              <w:spacing w:after="0" w:line="240" w:lineRule="auto"/>
              <w:rPr>
                <w:rFonts w:ascii="Arial" w:hAnsi="Arial" w:cs="Arial"/>
                <w:noProof/>
                <w:sz w:val="20"/>
                <w:szCs w:val="20"/>
              </w:rPr>
            </w:pPr>
          </w:p>
        </w:tc>
      </w:tr>
      <w:tr w:rsidR="00233273" w:rsidRPr="00AC046A" w14:paraId="3C5BD939" w14:textId="77777777">
        <w:tc>
          <w:tcPr>
            <w:tcW w:w="701" w:type="pct"/>
            <w:vMerge/>
            <w:shd w:val="clear" w:color="auto" w:fill="F2F2F2" w:themeFill="background1" w:themeFillShade="F2"/>
          </w:tcPr>
          <w:p w14:paraId="42F78648" w14:textId="77777777" w:rsidR="00233273" w:rsidRPr="004E2424" w:rsidRDefault="00233273" w:rsidP="004E2424">
            <w:pPr>
              <w:spacing w:after="0" w:line="240" w:lineRule="auto"/>
              <w:rPr>
                <w:rFonts w:ascii="Arial" w:hAnsi="Arial" w:cs="Arial"/>
                <w:noProof/>
                <w:sz w:val="20"/>
                <w:szCs w:val="20"/>
              </w:rPr>
            </w:pPr>
          </w:p>
        </w:tc>
        <w:tc>
          <w:tcPr>
            <w:tcW w:w="628" w:type="pct"/>
            <w:shd w:val="clear" w:color="auto" w:fill="F2F2F2" w:themeFill="background1" w:themeFillShade="F2"/>
          </w:tcPr>
          <w:p w14:paraId="2CE762E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34.2: Are human resources efficiently managed to achieve commensurate results?</w:t>
            </w:r>
          </w:p>
        </w:tc>
        <w:tc>
          <w:tcPr>
            <w:tcW w:w="1400" w:type="pct"/>
          </w:tcPr>
          <w:p w14:paraId="43CB238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Human resources are efficiently managed and compliant with established efficiency standards and benchmarks for human resource management.</w:t>
            </w:r>
          </w:p>
        </w:tc>
        <w:tc>
          <w:tcPr>
            <w:tcW w:w="1400" w:type="pct"/>
          </w:tcPr>
          <w:p w14:paraId="631F789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Evidence of human resource management efficiency:</w:t>
            </w:r>
          </w:p>
          <w:p w14:paraId="496224A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Number of HR staff per employee</w:t>
            </w:r>
          </w:p>
          <w:p w14:paraId="5525E94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Percentage of employees who leave the organisation within a specified period </w:t>
            </w:r>
          </w:p>
          <w:p w14:paraId="2A73EA6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Average time taken to fill job vacancies and the time it takes for new hires to become fully productive </w:t>
            </w:r>
          </w:p>
          <w:p w14:paraId="3BF3D9B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Investment in employee training and development programs as a percentage of the HR budget </w:t>
            </w:r>
          </w:p>
          <w:p w14:paraId="14F5189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Readiness of employees to fill key roles, as assessed through succession planning </w:t>
            </w:r>
          </w:p>
          <w:p w14:paraId="19BCB55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approach adopted by the Agency to negotiate contracts with external contractors</w:t>
            </w:r>
          </w:p>
          <w:p w14:paraId="7785A0B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Comparison of results achieved with workforce size.</w:t>
            </w:r>
          </w:p>
        </w:tc>
        <w:tc>
          <w:tcPr>
            <w:tcW w:w="870" w:type="pct"/>
          </w:tcPr>
          <w:p w14:paraId="5C72C18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e.g. review of efficiency benchmarking reports and HR statistics provided by eu-LISA </w:t>
            </w:r>
          </w:p>
          <w:p w14:paraId="397825D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w:t>
            </w:r>
          </w:p>
          <w:p w14:paraId="5150D7B0"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Interviews with supervising stakeholders.</w:t>
            </w:r>
          </w:p>
          <w:p w14:paraId="256F5D52" w14:textId="77777777" w:rsidR="00233273" w:rsidRPr="004E2424" w:rsidRDefault="00233273" w:rsidP="004E2424">
            <w:pPr>
              <w:spacing w:after="0" w:line="240" w:lineRule="auto"/>
              <w:rPr>
                <w:rFonts w:ascii="Arial" w:hAnsi="Arial" w:cs="Arial"/>
                <w:noProof/>
                <w:sz w:val="20"/>
                <w:szCs w:val="20"/>
              </w:rPr>
            </w:pPr>
          </w:p>
        </w:tc>
      </w:tr>
      <w:tr w:rsidR="00233273" w:rsidRPr="002048C6" w14:paraId="099E34BB" w14:textId="77777777">
        <w:tc>
          <w:tcPr>
            <w:tcW w:w="1329" w:type="pct"/>
            <w:gridSpan w:val="2"/>
            <w:shd w:val="clear" w:color="auto" w:fill="F2F2F2" w:themeFill="background1" w:themeFillShade="F2"/>
          </w:tcPr>
          <w:p w14:paraId="2AA92FA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35: To what extent has the tripartite set-up of eu-LISA affected the efficiency of the use of resources by the Agency? How does eu-LISA's split location affect its activities? How has eu-LISA ensured efficient working on three separate locations?</w:t>
            </w:r>
          </w:p>
        </w:tc>
        <w:tc>
          <w:tcPr>
            <w:tcW w:w="1400" w:type="pct"/>
          </w:tcPr>
          <w:p w14:paraId="3796129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tripartite set-up of eu-LISA and its split location do not negatively impact the efficiency of resource utilisation, enabling the Agency to effectively carry out its activities across three separate locations.</w:t>
            </w:r>
          </w:p>
        </w:tc>
        <w:tc>
          <w:tcPr>
            <w:tcW w:w="1400" w:type="pct"/>
          </w:tcPr>
          <w:p w14:paraId="13547E3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Measures taken by eu-LISA to ensure efficient working within and across its split locations </w:t>
            </w:r>
          </w:p>
          <w:p w14:paraId="2B7B609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Consequences of the tripartite location on the performance of the Agency to deliver its core tasks, including based on evidence of additional costs and duplication of work, resources etc. due to the tri-partite set-up</w:t>
            </w:r>
          </w:p>
          <w:p w14:paraId="3734914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Consequences of the tripartite location on the internal organisation and management of eu-LISA, e.g. based on the communication dynamics between the managerial and operation levels</w:t>
            </w:r>
          </w:p>
          <w:p w14:paraId="76B68BF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Consequences of the tripartite location on the management of resources, e.g. based on the efficiency of resource allocation and utilisation in relation to the tripartite set-up</w:t>
            </w:r>
          </w:p>
          <w:p w14:paraId="5424528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Efficiency of resource allocation and utilisation across eu-LISA's three separate locations</w:t>
            </w:r>
          </w:p>
        </w:tc>
        <w:tc>
          <w:tcPr>
            <w:tcW w:w="870" w:type="pct"/>
          </w:tcPr>
          <w:p w14:paraId="107EF01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w:t>
            </w:r>
          </w:p>
          <w:p w14:paraId="70CE780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w:t>
            </w:r>
          </w:p>
          <w:p w14:paraId="3BDF892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supervising stakeholders.</w:t>
            </w:r>
          </w:p>
        </w:tc>
      </w:tr>
      <w:tr w:rsidR="00233273" w:rsidRPr="002048C6" w14:paraId="46706811" w14:textId="77777777">
        <w:tc>
          <w:tcPr>
            <w:tcW w:w="1329" w:type="pct"/>
            <w:gridSpan w:val="2"/>
            <w:shd w:val="clear" w:color="auto" w:fill="F2F2F2" w:themeFill="background1" w:themeFillShade="F2"/>
          </w:tcPr>
          <w:p w14:paraId="155991F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36: Having regards to the organigramme of the Agency, the distribution of competences, and the sharing of responsibilities between the different entities, to what extent does the internal organisation of the Agency impact the efficiency of eu-LISA to reach its objectives? To what extent does it impact the Agency's accountability?</w:t>
            </w:r>
          </w:p>
        </w:tc>
        <w:tc>
          <w:tcPr>
            <w:tcW w:w="1400" w:type="pct"/>
          </w:tcPr>
          <w:p w14:paraId="2840CA9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internal organisation of eu-LISA is structured and managed in a way that enhances efficiency, facilitates decision-making, and contributes to the achievement of the Agency's objectives.</w:t>
            </w:r>
          </w:p>
        </w:tc>
        <w:tc>
          <w:tcPr>
            <w:tcW w:w="1400" w:type="pct"/>
          </w:tcPr>
          <w:p w14:paraId="58A9600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the key roles and tasks along key positions of the organigram</w:t>
            </w:r>
          </w:p>
          <w:p w14:paraId="74D667A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the relations between different parts of the organigramme and the distribution of competences and responsibilities</w:t>
            </w:r>
          </w:p>
          <w:p w14:paraId="605258F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the number, types, functions and required competencies for key positions according to the organigram of the Agency</w:t>
            </w:r>
          </w:p>
          <w:p w14:paraId="522BCEA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Mapping of key processes and functions, including the sharing of responsibilities between different entities</w:t>
            </w:r>
          </w:p>
          <w:p w14:paraId="75A49F9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Efficiency of key decision-making and other key processes within the internal organisation </w:t>
            </w:r>
          </w:p>
          <w:p w14:paraId="478BF89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Adequacy of the internal organisation with a view to facilitating the performance of eu-LISA, e.g. based on evidence of roadblocks and delays in relation to key decision-making and other processes, hampering the Agency to reach its objectives in an efficient fashion</w:t>
            </w:r>
          </w:p>
          <w:p w14:paraId="5FCBA4D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Existence and application of processes and procedures to involve the management board in the decisions regarding the operational management of the large-scale IT systems</w:t>
            </w:r>
          </w:p>
          <w:p w14:paraId="2280E2D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Efficiency of escalation procedures</w:t>
            </w:r>
          </w:p>
          <w:p w14:paraId="458A43A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Level of specialisation vs. generalisation of the bodies and stakeholders involved </w:t>
            </w:r>
          </w:p>
          <w:p w14:paraId="6452C57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Effects of the internal structures and division of tasks on the accountability of the Agency, e.g. based on the existence of mechanisms to ensure accountability, instances where responsibility for an activity cannot clearly be attributed</w:t>
            </w:r>
          </w:p>
          <w:p w14:paraId="566F72D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Responsiveness of the internal organisation to emerging challenges in (home) security and needs</w:t>
            </w:r>
          </w:p>
        </w:tc>
        <w:tc>
          <w:tcPr>
            <w:tcW w:w="870" w:type="pct"/>
          </w:tcPr>
          <w:p w14:paraId="0C94F2C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4931916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Current organisational structure adopted by the Management Board on 21 March 2018 </w:t>
            </w:r>
          </w:p>
          <w:p w14:paraId="0DA32A1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Records of organisational changes and improvements implemented </w:t>
            </w:r>
          </w:p>
          <w:p w14:paraId="4792141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Internal reports and assessments of decision-making processes and workflow.</w:t>
            </w:r>
          </w:p>
          <w:p w14:paraId="4A1878A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staff </w:t>
            </w:r>
          </w:p>
          <w:p w14:paraId="27D8E25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supervising stakeholders.</w:t>
            </w:r>
          </w:p>
        </w:tc>
      </w:tr>
      <w:tr w:rsidR="00233273" w:rsidRPr="002048C6" w14:paraId="3A867AA2" w14:textId="77777777">
        <w:tc>
          <w:tcPr>
            <w:tcW w:w="1329" w:type="pct"/>
            <w:gridSpan w:val="2"/>
            <w:shd w:val="clear" w:color="auto" w:fill="F2F2F2" w:themeFill="background1" w:themeFillShade="F2"/>
          </w:tcPr>
          <w:p w14:paraId="6155380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37: To what extent were the annual budgets of the Agency implemented in an efficient way and in view on achieving results?</w:t>
            </w:r>
          </w:p>
        </w:tc>
        <w:tc>
          <w:tcPr>
            <w:tcW w:w="1400" w:type="pct"/>
          </w:tcPr>
          <w:p w14:paraId="1D544FC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annual budgets of eu-LISA are efficiently implemented in a manner that aligns with the achievement of results and objectives outlined in the budget.</w:t>
            </w:r>
          </w:p>
          <w:p w14:paraId="46860F5D" w14:textId="77777777" w:rsidR="00233273" w:rsidRPr="004E2424" w:rsidRDefault="00233273" w:rsidP="004E2424">
            <w:pPr>
              <w:spacing w:after="0" w:line="240" w:lineRule="auto"/>
              <w:rPr>
                <w:rFonts w:ascii="Arial" w:hAnsi="Arial" w:cs="Arial"/>
                <w:noProof/>
                <w:sz w:val="20"/>
                <w:szCs w:val="20"/>
                <w:lang w:val="en-IE"/>
              </w:rPr>
            </w:pPr>
          </w:p>
        </w:tc>
        <w:tc>
          <w:tcPr>
            <w:tcW w:w="1400" w:type="pct"/>
          </w:tcPr>
          <w:p w14:paraId="20083CD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Comparison of actual budget expenditure (budget absorption) with planned budget allocations, and explanations of the reasons for any discrepancies / changes</w:t>
            </w:r>
          </w:p>
          <w:p w14:paraId="7713376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Relationship between budget implementation and the attainment of specified results</w:t>
            </w:r>
          </w:p>
          <w:p w14:paraId="3741842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Evidence of objectives and targets being achieved within the planned and absorbed budget</w:t>
            </w:r>
          </w:p>
          <w:p w14:paraId="67785B5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Efficiency gains achieved through budget management practices</w:t>
            </w:r>
          </w:p>
          <w:p w14:paraId="0F54B36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Evidence that benefits have outweighed costs</w:t>
            </w:r>
          </w:p>
        </w:tc>
        <w:tc>
          <w:tcPr>
            <w:tcW w:w="870" w:type="pct"/>
          </w:tcPr>
          <w:p w14:paraId="3F745DD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6E41345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eu-LISA's annual budget reports and financial statements </w:t>
            </w:r>
          </w:p>
          <w:p w14:paraId="56818D4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Internal financial management documents and records </w:t>
            </w:r>
          </w:p>
          <w:p w14:paraId="4316968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Reports on budget execution and financial performance </w:t>
            </w:r>
          </w:p>
          <w:p w14:paraId="5499341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staff </w:t>
            </w:r>
          </w:p>
          <w:p w14:paraId="14707D6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w:t>
            </w:r>
          </w:p>
        </w:tc>
      </w:tr>
      <w:tr w:rsidR="00233273" w:rsidRPr="002048C6" w14:paraId="43AF58A9" w14:textId="77777777">
        <w:tc>
          <w:tcPr>
            <w:tcW w:w="1329" w:type="pct"/>
            <w:gridSpan w:val="2"/>
            <w:shd w:val="clear" w:color="auto" w:fill="F2F2F2" w:themeFill="background1" w:themeFillShade="F2"/>
          </w:tcPr>
          <w:p w14:paraId="541B598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38: Is the Agency’s Human Resources strategy adequate to attract and retain high-skilled profiles in the context of the IT labour market?</w:t>
            </w:r>
          </w:p>
        </w:tc>
        <w:tc>
          <w:tcPr>
            <w:tcW w:w="1400" w:type="pct"/>
          </w:tcPr>
          <w:p w14:paraId="3845ED6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Agency's Human Resources strategy is effective in attracting and retaining high-skilled profiles in the competitive IT labour market.</w:t>
            </w:r>
          </w:p>
        </w:tc>
        <w:tc>
          <w:tcPr>
            <w:tcW w:w="1400" w:type="pct"/>
          </w:tcPr>
          <w:p w14:paraId="6DB24B9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Recruitment success rate for high-skilled positions</w:t>
            </w:r>
          </w:p>
          <w:p w14:paraId="6C0A7CE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Retention rates for high-skilled employees</w:t>
            </w:r>
          </w:p>
          <w:p w14:paraId="69677C3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Number and % of positions not filled, where high-skilled employees are required over time</w:t>
            </w:r>
          </w:p>
          <w:p w14:paraId="42154E6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Comparison of eu-LISA's compensation and benefits packages with industry standards</w:t>
            </w:r>
          </w:p>
          <w:p w14:paraId="466CB78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Evidence from existing employee satisfaction and engagement surveys (if available)</w:t>
            </w:r>
          </w:p>
        </w:tc>
        <w:tc>
          <w:tcPr>
            <w:tcW w:w="870" w:type="pct"/>
          </w:tcPr>
          <w:p w14:paraId="53C8A8A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w:t>
            </w:r>
          </w:p>
          <w:p w14:paraId="53FAF1D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Documents relating to the overall monitoring and evaluation of eu-LISA’s activities, including e.g. evaluation reports, statistics” and “Cost data</w:t>
            </w:r>
          </w:p>
          <w:p w14:paraId="5D1DE4B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eu-LISA's recruitment and retention records and reports </w:t>
            </w:r>
          </w:p>
          <w:p w14:paraId="5EDCC94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Any available employee surveys and feedback mechanisms </w:t>
            </w:r>
          </w:p>
          <w:p w14:paraId="57227F7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Analysis of Compensation and benefits data and benchmarking studies </w:t>
            </w:r>
          </w:p>
          <w:p w14:paraId="618197F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staff. </w:t>
            </w:r>
          </w:p>
        </w:tc>
      </w:tr>
      <w:tr w:rsidR="00233273" w:rsidRPr="002048C6" w14:paraId="3D20C51E" w14:textId="77777777">
        <w:tc>
          <w:tcPr>
            <w:tcW w:w="1329" w:type="pct"/>
            <w:gridSpan w:val="2"/>
            <w:shd w:val="clear" w:color="auto" w:fill="F2F2F2" w:themeFill="background1" w:themeFillShade="F2"/>
          </w:tcPr>
          <w:p w14:paraId="38E9304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39: To what extent does the internal organisation of eu-LISA allow and provide distribution of resources, competences and sharing of responsibilities between IT systems?</w:t>
            </w:r>
          </w:p>
        </w:tc>
        <w:tc>
          <w:tcPr>
            <w:tcW w:w="1400" w:type="pct"/>
          </w:tcPr>
          <w:p w14:paraId="64ECCD7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internal organisation of eu-LISA effectively facilitates the distribution of resources, competences, and sharing of responsibilities between IT systems, leading to optimised operational performance and efficiency.</w:t>
            </w:r>
          </w:p>
        </w:tc>
        <w:tc>
          <w:tcPr>
            <w:tcW w:w="1400" w:type="pct"/>
          </w:tcPr>
          <w:p w14:paraId="6B92E2E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Identification of synergies and overlaps of the resources and skills required for the different IT systems</w:t>
            </w:r>
          </w:p>
          <w:p w14:paraId="7D17E39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Evidence of flexible and coordinated management and use of resources (budget, staff, infrastructure) among IT systems</w:t>
            </w:r>
          </w:p>
          <w:p w14:paraId="1882840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Allocation of responsibilities and roles among different units within the organisation</w:t>
            </w:r>
          </w:p>
          <w:p w14:paraId="620EC8B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Coordination mechanisms for managing cross-system activities</w:t>
            </w:r>
          </w:p>
        </w:tc>
        <w:tc>
          <w:tcPr>
            <w:tcW w:w="870" w:type="pct"/>
          </w:tcPr>
          <w:p w14:paraId="6C380B9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 staff.</w:t>
            </w:r>
          </w:p>
        </w:tc>
      </w:tr>
      <w:tr w:rsidR="00233273" w:rsidRPr="00AC046A" w14:paraId="7CD561A4" w14:textId="77777777">
        <w:tc>
          <w:tcPr>
            <w:tcW w:w="1329" w:type="pct"/>
            <w:gridSpan w:val="2"/>
            <w:shd w:val="clear" w:color="auto" w:fill="F2F2F2" w:themeFill="background1" w:themeFillShade="F2"/>
          </w:tcPr>
          <w:p w14:paraId="2D36EB1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40: Is the technology used by the Agency the most suitable to deliver its tasks? Is the Agency using the most advanced technology?</w:t>
            </w:r>
          </w:p>
        </w:tc>
        <w:tc>
          <w:tcPr>
            <w:tcW w:w="1400" w:type="pct"/>
          </w:tcPr>
          <w:p w14:paraId="2EE5870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technology used by the Agency is well-suited for delivering its tasks efficiently and effectively, and it aligns with state-of-the-art solutions to maximise performance</w:t>
            </w:r>
          </w:p>
        </w:tc>
        <w:tc>
          <w:tcPr>
            <w:tcW w:w="1400" w:type="pct"/>
          </w:tcPr>
          <w:p w14:paraId="36790D4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Compatibility of existing technology with the Agency's tasks</w:t>
            </w:r>
          </w:p>
          <w:p w14:paraId="5D0017F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Evidence of use and effective application of emerging technologies in eu-LISA’s systems (AI, blockchain. Cloud Computing, IoT, etc.), taking into account the possibilities to use such technology within the budget allocation limits</w:t>
            </w:r>
          </w:p>
          <w:p w14:paraId="67A351A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Evaluation of the technology's capability to adapt to evolving IT challenges</w:t>
            </w:r>
          </w:p>
          <w:p w14:paraId="7F7FD94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Benchmarking of the Agency's deployed technologies against industry standards and best practices, taking into account the possibilities to use such technology within the budget allocation limits</w:t>
            </w:r>
          </w:p>
          <w:p w14:paraId="66BFEE7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Analysis of the Agency's investment in research and development for technological advancements, including outsourcing practices</w:t>
            </w:r>
          </w:p>
        </w:tc>
        <w:tc>
          <w:tcPr>
            <w:tcW w:w="870" w:type="pct"/>
          </w:tcPr>
          <w:p w14:paraId="6C2CD59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0F0B448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Industry benchmarks and comparative studies </w:t>
            </w:r>
          </w:p>
          <w:p w14:paraId="3E50788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Documentation of R&amp;D initiatives and outcomes </w:t>
            </w:r>
          </w:p>
          <w:p w14:paraId="302DE26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staff </w:t>
            </w:r>
          </w:p>
          <w:p w14:paraId="6B53B58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with EU-level and national stakeholders </w:t>
            </w:r>
          </w:p>
          <w:p w14:paraId="0567DEA7"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SWOT workshops.</w:t>
            </w:r>
          </w:p>
        </w:tc>
      </w:tr>
      <w:tr w:rsidR="00233273" w:rsidRPr="002048C6" w14:paraId="643B241F" w14:textId="77777777">
        <w:tc>
          <w:tcPr>
            <w:tcW w:w="1329" w:type="pct"/>
            <w:gridSpan w:val="2"/>
            <w:shd w:val="clear" w:color="auto" w:fill="F2F2F2" w:themeFill="background1" w:themeFillShade="F2"/>
          </w:tcPr>
          <w:p w14:paraId="210FBA8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41: Having regards to the HR strategy, are the allocation of positions especially managerial as well as secretarial positions and the distribution of projects within the Agency’s staff in line with the Agency’s objectives?</w:t>
            </w:r>
          </w:p>
        </w:tc>
        <w:tc>
          <w:tcPr>
            <w:tcW w:w="1400" w:type="pct"/>
          </w:tcPr>
          <w:p w14:paraId="7373A0E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allocation of positions, including managerial and secretarial positions, as well as the distribution of projects within the Agency's staff, align with the objectives and priorities set forth in the HR strategy.</w:t>
            </w:r>
          </w:p>
        </w:tc>
        <w:tc>
          <w:tcPr>
            <w:tcW w:w="1400" w:type="pct"/>
          </w:tcPr>
          <w:p w14:paraId="35F0081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Alignment of managerial positions with strategic objectives and needs</w:t>
            </w:r>
          </w:p>
          <w:p w14:paraId="5474573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Distribution of projects and tasks to staff based on their expertise and skills</w:t>
            </w:r>
          </w:p>
          <w:p w14:paraId="0E42BD8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Assessment of the HR strategy's effectiveness in achieving organisational goals, including e.g. the conditions of employment, the distribution of responsibility within the teams, career evolution perspective, practices of grade allocation and the approach to advertise vacancies</w:t>
            </w:r>
          </w:p>
        </w:tc>
        <w:tc>
          <w:tcPr>
            <w:tcW w:w="870" w:type="pct"/>
          </w:tcPr>
          <w:p w14:paraId="316E017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w:t>
            </w:r>
          </w:p>
        </w:tc>
      </w:tr>
      <w:tr w:rsidR="00233273" w:rsidRPr="002048C6" w14:paraId="2F7EFECC" w14:textId="77777777">
        <w:tc>
          <w:tcPr>
            <w:tcW w:w="1329" w:type="pct"/>
            <w:gridSpan w:val="2"/>
            <w:shd w:val="clear" w:color="auto" w:fill="F2F2F2" w:themeFill="background1" w:themeFillShade="F2"/>
          </w:tcPr>
          <w:p w14:paraId="4BE596B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42: Are the job descriptions coherent with the actual tasks executed by the staff?</w:t>
            </w:r>
          </w:p>
        </w:tc>
        <w:tc>
          <w:tcPr>
            <w:tcW w:w="1400" w:type="pct"/>
          </w:tcPr>
          <w:p w14:paraId="41D317E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Job descriptions accurately reflect the tasks and responsibilities carried out by staff members, ensuring coherence and alignment with their actual roles.</w:t>
            </w:r>
          </w:p>
        </w:tc>
        <w:tc>
          <w:tcPr>
            <w:tcW w:w="1400" w:type="pct"/>
          </w:tcPr>
          <w:p w14:paraId="5A49190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For selected, key profiles/ roles/ functions:</w:t>
            </w:r>
          </w:p>
          <w:p w14:paraId="415274D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Correspondence and discrepancies between job descriptions and actual job responsibilities, including based on a review of job descriptions against documented tasks and assignments</w:t>
            </w:r>
          </w:p>
          <w:p w14:paraId="13593EA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HR policies and procedures related to job descriptions</w:t>
            </w:r>
          </w:p>
        </w:tc>
        <w:tc>
          <w:tcPr>
            <w:tcW w:w="870" w:type="pct"/>
          </w:tcPr>
          <w:p w14:paraId="61C4C79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55298D3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Job descriptions and staff assignments </w:t>
            </w:r>
          </w:p>
          <w:p w14:paraId="361AB0D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Documented task and project assignments </w:t>
            </w:r>
          </w:p>
          <w:p w14:paraId="38FF4E1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HR policies and guidelines </w:t>
            </w:r>
          </w:p>
          <w:p w14:paraId="3562EF3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 staff.</w:t>
            </w:r>
          </w:p>
        </w:tc>
      </w:tr>
      <w:tr w:rsidR="00233273" w:rsidRPr="002048C6" w14:paraId="4F6F6147" w14:textId="77777777">
        <w:tc>
          <w:tcPr>
            <w:tcW w:w="1329" w:type="pct"/>
            <w:gridSpan w:val="2"/>
            <w:shd w:val="clear" w:color="auto" w:fill="F2F2F2" w:themeFill="background1" w:themeFillShade="F2"/>
          </w:tcPr>
          <w:p w14:paraId="3601A35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43: How does the tripartite set up of the Agency affect the allocation of Human Resources?</w:t>
            </w:r>
          </w:p>
        </w:tc>
        <w:tc>
          <w:tcPr>
            <w:tcW w:w="1400" w:type="pct"/>
          </w:tcPr>
          <w:p w14:paraId="77E4022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tripartite set-up of the Agency has a clear impact on the allocation of human resources, and this impact is well-understood and effectively managed.</w:t>
            </w:r>
          </w:p>
        </w:tc>
        <w:tc>
          <w:tcPr>
            <w:tcW w:w="1400" w:type="pct"/>
          </w:tcPr>
          <w:p w14:paraId="013402F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Allocation of human resources across the three locations (Tallinn, Strasbourg, and Brussels), including synergies, coordination and duplication of roles and functions</w:t>
            </w:r>
          </w:p>
          <w:p w14:paraId="436375F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Staff management strategies and implementation</w:t>
            </w:r>
          </w:p>
          <w:p w14:paraId="59B10DD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Distribution of staff roles and responsibilities in relation to the tripartite set-up</w:t>
            </w:r>
          </w:p>
          <w:p w14:paraId="786E0F7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Recruitment and retention strategies specific to each location</w:t>
            </w:r>
          </w:p>
        </w:tc>
        <w:tc>
          <w:tcPr>
            <w:tcW w:w="870" w:type="pct"/>
          </w:tcPr>
          <w:p w14:paraId="3153E77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e.g. HR allocation records and reports </w:t>
            </w:r>
          </w:p>
          <w:p w14:paraId="7AE4036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 focus groups with eu-LISA staff.</w:t>
            </w:r>
          </w:p>
          <w:p w14:paraId="18640062" w14:textId="77777777" w:rsidR="00233273" w:rsidRPr="004E2424" w:rsidRDefault="00233273" w:rsidP="004E2424">
            <w:pPr>
              <w:spacing w:after="0" w:line="240" w:lineRule="auto"/>
              <w:rPr>
                <w:rFonts w:ascii="Arial" w:hAnsi="Arial" w:cs="Arial"/>
                <w:noProof/>
                <w:sz w:val="20"/>
                <w:szCs w:val="20"/>
                <w:lang w:val="en-IE"/>
              </w:rPr>
            </w:pPr>
          </w:p>
        </w:tc>
      </w:tr>
    </w:tbl>
    <w:p w14:paraId="7EF3CB0A" w14:textId="77777777" w:rsidR="00233273" w:rsidRPr="004E2424" w:rsidRDefault="00233273" w:rsidP="004E2424">
      <w:pPr>
        <w:spacing w:after="0" w:line="240" w:lineRule="auto"/>
        <w:rPr>
          <w:rFonts w:ascii="Times New Roman" w:hAnsi="Times New Roman" w:cs="Times New Roman"/>
          <w:noProof/>
          <w:lang w:val="en-IE"/>
        </w:rPr>
      </w:pPr>
    </w:p>
    <w:p w14:paraId="69C12E33" w14:textId="77777777" w:rsidR="00233273" w:rsidRPr="004E2424" w:rsidRDefault="00233273" w:rsidP="004E2424">
      <w:pPr>
        <w:spacing w:after="0" w:line="240" w:lineRule="auto"/>
        <w:rPr>
          <w:rFonts w:ascii="Times New Roman" w:hAnsi="Times New Roman" w:cs="Times New Roman"/>
          <w:b/>
          <w:bCs/>
          <w:noProof/>
          <w:u w:val="single"/>
        </w:rPr>
      </w:pPr>
      <w:bookmarkStart w:id="115" w:name="_Toc164075801"/>
      <w:bookmarkStart w:id="116" w:name="_Toc164372847"/>
      <w:bookmarkStart w:id="117" w:name="_Toc164376056"/>
      <w:bookmarkStart w:id="118" w:name="_Toc164547394"/>
      <w:bookmarkStart w:id="119" w:name="_Toc164680888"/>
      <w:bookmarkStart w:id="120" w:name="_Toc164682619"/>
      <w:bookmarkStart w:id="121" w:name="_Toc167205612"/>
      <w:bookmarkStart w:id="122" w:name="_Toc167208511"/>
      <w:r w:rsidRPr="004E2424">
        <w:rPr>
          <w:rFonts w:ascii="Times New Roman" w:hAnsi="Times New Roman" w:cs="Times New Roman"/>
          <w:b/>
          <w:bCs/>
          <w:noProof/>
          <w:u w:val="single"/>
        </w:rPr>
        <w:t>Coherence</w:t>
      </w:r>
      <w:bookmarkEnd w:id="115"/>
      <w:bookmarkEnd w:id="116"/>
      <w:bookmarkEnd w:id="117"/>
      <w:bookmarkEnd w:id="118"/>
      <w:bookmarkEnd w:id="119"/>
      <w:bookmarkEnd w:id="120"/>
      <w:bookmarkEnd w:id="121"/>
      <w:bookmarkEnd w:id="122"/>
    </w:p>
    <w:p w14:paraId="33164633" w14:textId="77777777" w:rsidR="00233273" w:rsidRPr="004E2424" w:rsidRDefault="00233273" w:rsidP="004E2424">
      <w:pPr>
        <w:spacing w:after="0" w:line="240" w:lineRule="auto"/>
        <w:rPr>
          <w:rFonts w:ascii="Times New Roman" w:hAnsi="Times New Roman" w:cs="Times New Roman"/>
          <w:noProof/>
          <w:lang w:val="en-IE"/>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782"/>
        <w:gridCol w:w="12606"/>
      </w:tblGrid>
      <w:tr w:rsidR="00233273" w:rsidRPr="002048C6" w14:paraId="2A9C15A7" w14:textId="77777777" w:rsidTr="66687D7F">
        <w:trPr>
          <w:trHeight w:val="376"/>
        </w:trPr>
        <w:tc>
          <w:tcPr>
            <w:tcW w:w="904" w:type="pct"/>
            <w:shd w:val="clear" w:color="auto" w:fill="1B7BCA" w:themeFill="background2" w:themeFillShade="80"/>
            <w:vAlign w:val="center"/>
          </w:tcPr>
          <w:p w14:paraId="788FED0A"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Understanding </w:t>
            </w:r>
          </w:p>
        </w:tc>
        <w:tc>
          <w:tcPr>
            <w:tcW w:w="4096" w:type="pct"/>
          </w:tcPr>
          <w:p w14:paraId="448582A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Assessment of internal coherence (i.e. within the Regulation itself), ensuring that it avoids internal overlaps, gaps, grey areas, or inconsistencies;</w:t>
            </w:r>
          </w:p>
          <w:p w14:paraId="50F241C5" w14:textId="77777777" w:rsidR="00233273" w:rsidRPr="004C2B1F" w:rsidRDefault="00233273" w:rsidP="66687D7F">
            <w:pPr>
              <w:spacing w:after="0" w:line="240" w:lineRule="auto"/>
              <w:rPr>
                <w:rFonts w:ascii="Arial" w:hAnsi="Arial" w:cs="Arial"/>
                <w:noProof/>
                <w:sz w:val="20"/>
                <w:szCs w:val="20"/>
                <w:lang w:val="en-IE"/>
              </w:rPr>
            </w:pPr>
            <w:r w:rsidRPr="004C2B1F">
              <w:rPr>
                <w:rFonts w:ascii="Arial" w:hAnsi="Arial" w:cs="Arial"/>
                <w:noProof/>
                <w:sz w:val="20"/>
                <w:szCs w:val="20"/>
                <w:lang w:val="en-IE"/>
              </w:rPr>
              <w:t>Assessment of external coherence (alignment of the Regulation's activities and objectives with those of other legal instruments and perceptions of external stakeholders, including Member States, the European Commission, EU Agencies, and non-EU entities);</w:t>
            </w:r>
          </w:p>
          <w:p w14:paraId="78D1FB2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Analysis to which degree the Regulation's goals are harmonised with broader European and international initiatives and interventions in the field.</w:t>
            </w:r>
          </w:p>
        </w:tc>
      </w:tr>
      <w:tr w:rsidR="00233273" w:rsidRPr="002048C6" w14:paraId="26B02B0B" w14:textId="77777777" w:rsidTr="66687D7F">
        <w:tc>
          <w:tcPr>
            <w:tcW w:w="904" w:type="pct"/>
            <w:shd w:val="clear" w:color="auto" w:fill="1B7BCA" w:themeFill="background2" w:themeFillShade="80"/>
            <w:vAlign w:val="center"/>
          </w:tcPr>
          <w:p w14:paraId="40F77A77"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Analytical and methodological approach</w:t>
            </w:r>
          </w:p>
        </w:tc>
        <w:tc>
          <w:tcPr>
            <w:tcW w:w="4096" w:type="pct"/>
          </w:tcPr>
          <w:p w14:paraId="7121F60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EU-level stakeholders, stakeholders from Member States, and other key actors;</w:t>
            </w:r>
          </w:p>
          <w:p w14:paraId="3EE9543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Documentary Review of relevant documents, including eu-LISA's organisational charts, strategic plans, policy documents, and management decisions;</w:t>
            </w:r>
          </w:p>
          <w:p w14:paraId="1850E02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Review of eu-LISA's procedures for stakeholder engagement and cooperation and assessment the alignment between eu-LISA's cooperation activities and the policies and objectives of its stakeholders. </w:t>
            </w:r>
          </w:p>
          <w:p w14:paraId="71B4230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Analysis of the legal act governing the Information Systems for alignment with eu-LISA's mandate and objectives (including reviews of legal texts, regulations, and reports related to the implementation of the legal act)</w:t>
            </w:r>
          </w:p>
        </w:tc>
      </w:tr>
      <w:tr w:rsidR="00233273" w:rsidRPr="002048C6" w14:paraId="27BB32FC" w14:textId="77777777" w:rsidTr="66687D7F">
        <w:tc>
          <w:tcPr>
            <w:tcW w:w="904" w:type="pct"/>
            <w:shd w:val="clear" w:color="auto" w:fill="1B7BCA" w:themeFill="background2" w:themeFillShade="80"/>
            <w:vAlign w:val="center"/>
          </w:tcPr>
          <w:p w14:paraId="4F700FB3"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Potential limitations </w:t>
            </w:r>
          </w:p>
        </w:tc>
        <w:tc>
          <w:tcPr>
            <w:tcW w:w="4096" w:type="pct"/>
          </w:tcPr>
          <w:p w14:paraId="1917238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Stakeholder interviews and focus groups involve subjective opinions and perspectives which can translate into biases. Project team will carefully scrutinise for bias and be transparent about it in the deliverables.</w:t>
            </w:r>
          </w:p>
        </w:tc>
      </w:tr>
    </w:tbl>
    <w:p w14:paraId="539FBCD2" w14:textId="77777777" w:rsidR="00233273" w:rsidRDefault="00233273" w:rsidP="00233273">
      <w:pPr>
        <w:spacing w:after="0" w:line="240" w:lineRule="auto"/>
        <w:rPr>
          <w:rFonts w:ascii="Times New Roman" w:hAnsi="Times New Roman" w:cs="Times New Roman"/>
          <w:noProof/>
          <w:lang w:val="en-IE"/>
        </w:rPr>
      </w:pPr>
    </w:p>
    <w:p w14:paraId="321BA4DF" w14:textId="77777777" w:rsidR="00233273" w:rsidRDefault="00233273" w:rsidP="00233273">
      <w:pPr>
        <w:spacing w:after="0" w:line="240" w:lineRule="auto"/>
        <w:rPr>
          <w:rFonts w:ascii="Times New Roman" w:hAnsi="Times New Roman" w:cs="Times New Roman"/>
          <w:noProof/>
          <w:lang w:val="en-IE"/>
        </w:rPr>
      </w:pPr>
    </w:p>
    <w:p w14:paraId="6990DE05" w14:textId="77777777" w:rsidR="00233273" w:rsidRDefault="00233273" w:rsidP="00233273">
      <w:pPr>
        <w:spacing w:after="0" w:line="240" w:lineRule="auto"/>
        <w:rPr>
          <w:rFonts w:ascii="Times New Roman" w:hAnsi="Times New Roman" w:cs="Times New Roman"/>
          <w:noProof/>
          <w:lang w:val="en-IE"/>
        </w:rPr>
      </w:pPr>
    </w:p>
    <w:p w14:paraId="75A24BF1" w14:textId="77777777" w:rsidR="00233273" w:rsidRDefault="00233273" w:rsidP="00233273">
      <w:pPr>
        <w:spacing w:after="0" w:line="240" w:lineRule="auto"/>
        <w:rPr>
          <w:rFonts w:ascii="Times New Roman" w:hAnsi="Times New Roman" w:cs="Times New Roman"/>
          <w:noProof/>
          <w:lang w:val="en-IE"/>
        </w:rPr>
      </w:pPr>
    </w:p>
    <w:p w14:paraId="6E484C7E" w14:textId="77777777" w:rsidR="00233273" w:rsidRPr="004E2424" w:rsidRDefault="00233273" w:rsidP="004E2424">
      <w:pPr>
        <w:spacing w:after="0" w:line="240" w:lineRule="auto"/>
        <w:rPr>
          <w:rFonts w:ascii="Times New Roman" w:hAnsi="Times New Roman" w:cs="Times New Roman"/>
          <w:noProof/>
          <w:lang w:val="en-IE"/>
        </w:rPr>
      </w:pPr>
    </w:p>
    <w:p w14:paraId="66AB65FF" w14:textId="77777777" w:rsidR="00233273" w:rsidRDefault="00233273" w:rsidP="00233273">
      <w:pPr>
        <w:spacing w:after="0" w:line="240" w:lineRule="auto"/>
        <w:rPr>
          <w:rFonts w:ascii="Times New Roman" w:hAnsi="Times New Roman" w:cs="Times New Roman"/>
          <w:b/>
          <w:bCs/>
          <w:i/>
          <w:iCs/>
          <w:noProof/>
          <w:lang w:val="en-IE"/>
        </w:rPr>
      </w:pPr>
      <w:bookmarkStart w:id="123" w:name="_Toc154041763"/>
      <w:bookmarkStart w:id="124" w:name="_Toc167205847"/>
      <w:r w:rsidRPr="004E2424">
        <w:rPr>
          <w:rFonts w:ascii="Times New Roman" w:hAnsi="Times New Roman" w:cs="Times New Roman"/>
          <w:b/>
          <w:bCs/>
          <w:i/>
          <w:iCs/>
          <w:noProof/>
          <w:lang w:val="en-IE"/>
        </w:rPr>
        <w:t xml:space="preserve">Table </w:t>
      </w:r>
      <w:r>
        <w:rPr>
          <w:rFonts w:ascii="Times New Roman" w:hAnsi="Times New Roman" w:cs="Times New Roman"/>
          <w:b/>
          <w:bCs/>
          <w:i/>
          <w:iCs/>
          <w:noProof/>
        </w:rPr>
        <w:t>4</w:t>
      </w:r>
      <w:r w:rsidRPr="004E2424">
        <w:rPr>
          <w:rFonts w:ascii="Times New Roman" w:hAnsi="Times New Roman" w:cs="Times New Roman"/>
          <w:b/>
          <w:bCs/>
          <w:i/>
          <w:iCs/>
          <w:noProof/>
          <w:lang w:val="en-IE"/>
        </w:rPr>
        <w:t xml:space="preserve"> - Coherence – evaluation matrix</w:t>
      </w:r>
      <w:bookmarkEnd w:id="123"/>
      <w:bookmarkEnd w:id="124"/>
    </w:p>
    <w:p w14:paraId="5874DAF3" w14:textId="77777777" w:rsidR="00233273" w:rsidRPr="004E2424" w:rsidRDefault="00233273" w:rsidP="004E2424">
      <w:pPr>
        <w:spacing w:after="0" w:line="240" w:lineRule="auto"/>
        <w:rPr>
          <w:rFonts w:ascii="Times New Roman" w:hAnsi="Times New Roman" w:cs="Times New Roman"/>
          <w:b/>
          <w:bCs/>
          <w:i/>
          <w:iCs/>
          <w:noProof/>
          <w:lang w:val="en-IE"/>
        </w:rPr>
      </w:pPr>
    </w:p>
    <w:tbl>
      <w:tblPr>
        <w:tblW w:w="4973"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983"/>
        <w:gridCol w:w="1984"/>
        <w:gridCol w:w="3401"/>
        <w:gridCol w:w="5243"/>
        <w:gridCol w:w="2694"/>
      </w:tblGrid>
      <w:tr w:rsidR="00233273" w:rsidRPr="00233273" w14:paraId="605E41D3" w14:textId="77777777">
        <w:trPr>
          <w:trHeight w:val="509"/>
          <w:tblHeader/>
        </w:trPr>
        <w:tc>
          <w:tcPr>
            <w:tcW w:w="648" w:type="pct"/>
            <w:vMerge w:val="restart"/>
            <w:shd w:val="clear" w:color="auto" w:fill="1B7BCA" w:themeFill="background2" w:themeFillShade="80"/>
            <w:hideMark/>
          </w:tcPr>
          <w:p w14:paraId="16008B06"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Evaluation question</w:t>
            </w:r>
          </w:p>
        </w:tc>
        <w:tc>
          <w:tcPr>
            <w:tcW w:w="648" w:type="pct"/>
            <w:vMerge w:val="restart"/>
            <w:shd w:val="clear" w:color="auto" w:fill="1B7BCA" w:themeFill="background2" w:themeFillShade="80"/>
          </w:tcPr>
          <w:p w14:paraId="2DE22A7D"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Sub-questions</w:t>
            </w:r>
          </w:p>
        </w:tc>
        <w:tc>
          <w:tcPr>
            <w:tcW w:w="1111" w:type="pct"/>
            <w:vMerge w:val="restart"/>
            <w:shd w:val="clear" w:color="auto" w:fill="1B7BCA" w:themeFill="background2" w:themeFillShade="80"/>
            <w:hideMark/>
          </w:tcPr>
          <w:p w14:paraId="5884D7EC"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Judgement criteria </w:t>
            </w:r>
          </w:p>
        </w:tc>
        <w:tc>
          <w:tcPr>
            <w:tcW w:w="1713" w:type="pct"/>
            <w:vMerge w:val="restart"/>
            <w:shd w:val="clear" w:color="auto" w:fill="1B7BCA" w:themeFill="background2" w:themeFillShade="80"/>
            <w:hideMark/>
          </w:tcPr>
          <w:p w14:paraId="7B5C62C1"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Indicators / information needs (examples)</w:t>
            </w:r>
          </w:p>
        </w:tc>
        <w:tc>
          <w:tcPr>
            <w:tcW w:w="880" w:type="pct"/>
            <w:vMerge w:val="restart"/>
            <w:shd w:val="clear" w:color="auto" w:fill="1B7BCA" w:themeFill="background2" w:themeFillShade="80"/>
            <w:hideMark/>
          </w:tcPr>
          <w:p w14:paraId="22458724"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Information sources (indicative)</w:t>
            </w:r>
          </w:p>
        </w:tc>
      </w:tr>
      <w:tr w:rsidR="00233273" w:rsidRPr="00233273" w14:paraId="6F6FFF62" w14:textId="77777777">
        <w:trPr>
          <w:trHeight w:val="253"/>
          <w:tblHeader/>
        </w:trPr>
        <w:tc>
          <w:tcPr>
            <w:tcW w:w="648" w:type="pct"/>
            <w:vMerge/>
          </w:tcPr>
          <w:p w14:paraId="1B101C03" w14:textId="77777777" w:rsidR="00233273" w:rsidRPr="004E2424" w:rsidRDefault="00233273" w:rsidP="004E2424">
            <w:pPr>
              <w:spacing w:after="0" w:line="240" w:lineRule="auto"/>
              <w:rPr>
                <w:rFonts w:ascii="Arial" w:hAnsi="Arial" w:cs="Arial"/>
                <w:noProof/>
                <w:sz w:val="20"/>
                <w:szCs w:val="20"/>
              </w:rPr>
            </w:pPr>
          </w:p>
        </w:tc>
        <w:tc>
          <w:tcPr>
            <w:tcW w:w="648" w:type="pct"/>
            <w:vMerge/>
          </w:tcPr>
          <w:p w14:paraId="540F6931" w14:textId="77777777" w:rsidR="00233273" w:rsidRPr="004E2424" w:rsidRDefault="00233273" w:rsidP="004E2424">
            <w:pPr>
              <w:spacing w:after="0" w:line="240" w:lineRule="auto"/>
              <w:rPr>
                <w:rFonts w:ascii="Arial" w:hAnsi="Arial" w:cs="Arial"/>
                <w:noProof/>
                <w:sz w:val="20"/>
                <w:szCs w:val="20"/>
              </w:rPr>
            </w:pPr>
          </w:p>
        </w:tc>
        <w:tc>
          <w:tcPr>
            <w:tcW w:w="1111" w:type="pct"/>
            <w:vMerge/>
          </w:tcPr>
          <w:p w14:paraId="6E436F4A" w14:textId="77777777" w:rsidR="00233273" w:rsidRPr="004E2424" w:rsidRDefault="00233273" w:rsidP="004E2424">
            <w:pPr>
              <w:spacing w:after="0" w:line="240" w:lineRule="auto"/>
              <w:rPr>
                <w:rFonts w:ascii="Arial" w:hAnsi="Arial" w:cs="Arial"/>
                <w:noProof/>
                <w:sz w:val="20"/>
                <w:szCs w:val="20"/>
              </w:rPr>
            </w:pPr>
          </w:p>
        </w:tc>
        <w:tc>
          <w:tcPr>
            <w:tcW w:w="1713" w:type="pct"/>
            <w:vMerge/>
          </w:tcPr>
          <w:p w14:paraId="2C1158B4" w14:textId="77777777" w:rsidR="00233273" w:rsidRPr="004E2424" w:rsidRDefault="00233273" w:rsidP="004E2424">
            <w:pPr>
              <w:spacing w:after="0" w:line="240" w:lineRule="auto"/>
              <w:rPr>
                <w:rFonts w:ascii="Arial" w:hAnsi="Arial" w:cs="Arial"/>
                <w:noProof/>
                <w:sz w:val="20"/>
                <w:szCs w:val="20"/>
              </w:rPr>
            </w:pPr>
          </w:p>
        </w:tc>
        <w:tc>
          <w:tcPr>
            <w:tcW w:w="880" w:type="pct"/>
            <w:vMerge/>
          </w:tcPr>
          <w:p w14:paraId="3084BDBE" w14:textId="77777777" w:rsidR="00233273" w:rsidRPr="004E2424" w:rsidRDefault="00233273" w:rsidP="004E2424">
            <w:pPr>
              <w:spacing w:after="0" w:line="240" w:lineRule="auto"/>
              <w:rPr>
                <w:rFonts w:ascii="Arial" w:hAnsi="Arial" w:cs="Arial"/>
                <w:noProof/>
                <w:sz w:val="20"/>
                <w:szCs w:val="20"/>
              </w:rPr>
            </w:pPr>
          </w:p>
        </w:tc>
      </w:tr>
      <w:tr w:rsidR="000F1C89" w:rsidRPr="002048C6" w14:paraId="557DAC98" w14:textId="77777777">
        <w:tc>
          <w:tcPr>
            <w:tcW w:w="1296" w:type="pct"/>
            <w:gridSpan w:val="2"/>
            <w:shd w:val="clear" w:color="auto" w:fill="F2F2F2" w:themeFill="background1" w:themeFillShade="F2"/>
          </w:tcPr>
          <w:p w14:paraId="36A538E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44: To what extent is eu-LISA acting in cooperation with the European Commission and other EU bodies, as well as with Member States and Associated Countries to ensure coherence and avoid duplication of efforts?</w:t>
            </w:r>
          </w:p>
        </w:tc>
        <w:tc>
          <w:tcPr>
            <w:tcW w:w="1111" w:type="pct"/>
            <w:hideMark/>
          </w:tcPr>
          <w:p w14:paraId="7B83E753" w14:textId="77777777" w:rsidR="00233273" w:rsidRPr="004E2424" w:rsidRDefault="00233273" w:rsidP="004E2424">
            <w:pPr>
              <w:spacing w:after="0" w:line="240" w:lineRule="auto"/>
              <w:rPr>
                <w:rFonts w:ascii="Arial" w:hAnsi="Arial" w:cs="Arial"/>
                <w:noProof/>
                <w:sz w:val="20"/>
                <w:szCs w:val="20"/>
                <w:highlight w:val="yellow"/>
                <w:lang w:val="en-IE"/>
              </w:rPr>
            </w:pPr>
            <w:r w:rsidRPr="004E2424">
              <w:rPr>
                <w:rFonts w:ascii="Arial" w:hAnsi="Arial" w:cs="Arial"/>
                <w:noProof/>
                <w:sz w:val="20"/>
                <w:szCs w:val="20"/>
                <w:lang w:val="en-IE"/>
              </w:rPr>
              <w:t>eu-LISA's actions and collaborations demonstrate a commitment to coherence with the European Commission, EU bodies, Member States, and Associated Countries, resulting in effective coordination and avoidance of duplicative efforts</w:t>
            </w:r>
          </w:p>
        </w:tc>
        <w:tc>
          <w:tcPr>
            <w:tcW w:w="1713" w:type="pct"/>
            <w:hideMark/>
          </w:tcPr>
          <w:p w14:paraId="0E4E685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Types and quality of relationships </w:t>
            </w:r>
          </w:p>
          <w:p w14:paraId="7104CD5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Allocation of responsibilities between eu-LISA and Member States, SAC, as well as other EU bodies </w:t>
            </w:r>
          </w:p>
          <w:p w14:paraId="6047056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Evidence of collaboration agreements and memoranda of understanding with relevant stakeholders </w:t>
            </w:r>
          </w:p>
          <w:p w14:paraId="1FA74F9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Assessment of the extent of information exchange and coordination with the European Commission, EU bodies, Member States, and SAC </w:t>
            </w:r>
          </w:p>
          <w:p w14:paraId="70A5CB9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Monitoring of overlapping or duplicate initiatives and efforts in the field </w:t>
            </w:r>
          </w:p>
          <w:p w14:paraId="237F66D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Feedback and perceptions of stakeholders on the effectiveness of eu-LISA's efforts in ensuring coherence and coordination.</w:t>
            </w:r>
          </w:p>
        </w:tc>
        <w:tc>
          <w:tcPr>
            <w:tcW w:w="880" w:type="pct"/>
          </w:tcPr>
          <w:p w14:paraId="69995F5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Desk research: Regulations and implementing rules, internal processes and procedures </w:t>
            </w:r>
          </w:p>
          <w:p w14:paraId="3BEB2B2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with EU-level and national stakeholders </w:t>
            </w:r>
          </w:p>
          <w:p w14:paraId="47E43B6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and focus groups with eu-LISA staff.</w:t>
            </w:r>
          </w:p>
          <w:p w14:paraId="19C6F6DF" w14:textId="77777777" w:rsidR="00233273" w:rsidRPr="004E2424" w:rsidRDefault="00233273" w:rsidP="004E2424">
            <w:pPr>
              <w:spacing w:after="0" w:line="240" w:lineRule="auto"/>
              <w:rPr>
                <w:rFonts w:ascii="Arial" w:hAnsi="Arial" w:cs="Arial"/>
                <w:noProof/>
                <w:sz w:val="20"/>
                <w:szCs w:val="20"/>
                <w:lang w:val="en-IE"/>
              </w:rPr>
            </w:pPr>
          </w:p>
        </w:tc>
      </w:tr>
      <w:tr w:rsidR="00832F28" w:rsidRPr="002048C6" w14:paraId="3B337924" w14:textId="77777777">
        <w:tc>
          <w:tcPr>
            <w:tcW w:w="1296" w:type="pct"/>
            <w:gridSpan w:val="2"/>
            <w:shd w:val="clear" w:color="auto" w:fill="F2F2F2" w:themeFill="background1" w:themeFillShade="F2"/>
          </w:tcPr>
          <w:p w14:paraId="7E015AE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45: To what extent are eu-LISA’s management structure and activities internally coherent for an efficient management and operation of the Agency?</w:t>
            </w:r>
          </w:p>
        </w:tc>
        <w:tc>
          <w:tcPr>
            <w:tcW w:w="1111" w:type="pct"/>
          </w:tcPr>
          <w:p w14:paraId="1508C98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eu-LISA's management structure and activities demonstrate a high degree of internal coherence, facilitating efficient management and operation of the Agency.</w:t>
            </w:r>
          </w:p>
        </w:tc>
        <w:tc>
          <w:tcPr>
            <w:tcW w:w="1713" w:type="pct"/>
          </w:tcPr>
          <w:p w14:paraId="0D28FAD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Level of correspondence of eu-LISA's management and organisational structure with its strategic goals and objectives </w:t>
            </w:r>
          </w:p>
          <w:p w14:paraId="782B008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Interdepartmental coordination and collaboration within the Agency </w:t>
            </w:r>
          </w:p>
          <w:p w14:paraId="24C0751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Effectiveness of communication channels and information sharing within the Agency.</w:t>
            </w:r>
          </w:p>
        </w:tc>
        <w:tc>
          <w:tcPr>
            <w:tcW w:w="880" w:type="pct"/>
          </w:tcPr>
          <w:p w14:paraId="0658CDC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17DBC7C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eu-LISA's organisational charts and strategic plans </w:t>
            </w:r>
          </w:p>
          <w:p w14:paraId="658CE24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Policy documents and management decisions </w:t>
            </w:r>
          </w:p>
          <w:p w14:paraId="68D0CF3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staff </w:t>
            </w:r>
          </w:p>
          <w:p w14:paraId="2DA9AD7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w:t>
            </w:r>
          </w:p>
        </w:tc>
      </w:tr>
      <w:tr w:rsidR="00233273" w:rsidRPr="00233273" w14:paraId="6FAEA425" w14:textId="77777777">
        <w:tc>
          <w:tcPr>
            <w:tcW w:w="648" w:type="pct"/>
            <w:vMerge w:val="restart"/>
            <w:shd w:val="clear" w:color="auto" w:fill="F2F2F2" w:themeFill="background1" w:themeFillShade="F2"/>
          </w:tcPr>
          <w:p w14:paraId="3CD7B35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46: To what extent have eu-LISA’s services been coherent with the expectations of the users of large-scale IT-systems? How does the Agency’s service correspond to the needs and expectations of the Member States as users of the systems?</w:t>
            </w:r>
          </w:p>
        </w:tc>
        <w:tc>
          <w:tcPr>
            <w:tcW w:w="648" w:type="pct"/>
            <w:shd w:val="clear" w:color="auto" w:fill="F2F2F2" w:themeFill="background1" w:themeFillShade="F2"/>
          </w:tcPr>
          <w:p w14:paraId="3A08D7E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46.1: To what extent have eu-LISA’s services been coherent with the expectations of the users of large-scale IT-systems</w:t>
            </w:r>
          </w:p>
        </w:tc>
        <w:tc>
          <w:tcPr>
            <w:tcW w:w="1111" w:type="pct"/>
          </w:tcPr>
          <w:p w14:paraId="004F2F4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eu-LISA's services align with the expectations and requirements of the users of large-scale IT systems, ensuring efficiency and satisfaction.</w:t>
            </w:r>
          </w:p>
        </w:tc>
        <w:tc>
          <w:tcPr>
            <w:tcW w:w="1713" w:type="pct"/>
          </w:tcPr>
          <w:p w14:paraId="78D499E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Level of user satisfaction regarding the functionality and usability of eu-LISA’s large-scale IT systems </w:t>
            </w:r>
          </w:p>
          <w:p w14:paraId="0F20B26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Timeliness and responsiveness of eu-LISA's support in addressing user needs and issues </w:t>
            </w:r>
          </w:p>
          <w:p w14:paraId="7468AA9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Correspondence of eu-LISA's services with the operational requirements and workflows of users.</w:t>
            </w:r>
          </w:p>
        </w:tc>
        <w:tc>
          <w:tcPr>
            <w:tcW w:w="880" w:type="pct"/>
          </w:tcPr>
          <w:p w14:paraId="6E64BA1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Targeted survey with eu-LISA advisory groups and users </w:t>
            </w:r>
          </w:p>
          <w:p w14:paraId="29440BC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advisory groups </w:t>
            </w:r>
          </w:p>
          <w:p w14:paraId="3283A74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with EU-level and national stakeholders </w:t>
            </w:r>
          </w:p>
          <w:p w14:paraId="7FB54986"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SWOT workshops.</w:t>
            </w:r>
          </w:p>
          <w:p w14:paraId="68D287BF" w14:textId="77777777" w:rsidR="00233273" w:rsidRPr="004E2424" w:rsidRDefault="00233273" w:rsidP="004E2424">
            <w:pPr>
              <w:spacing w:after="0" w:line="240" w:lineRule="auto"/>
              <w:rPr>
                <w:rFonts w:ascii="Arial" w:hAnsi="Arial" w:cs="Arial"/>
                <w:noProof/>
                <w:sz w:val="20"/>
                <w:szCs w:val="20"/>
              </w:rPr>
            </w:pPr>
          </w:p>
        </w:tc>
      </w:tr>
      <w:tr w:rsidR="00233273" w:rsidRPr="002048C6" w14:paraId="09E90186" w14:textId="77777777">
        <w:tc>
          <w:tcPr>
            <w:tcW w:w="648" w:type="pct"/>
            <w:vMerge/>
            <w:shd w:val="clear" w:color="auto" w:fill="F2F2F2" w:themeFill="background1" w:themeFillShade="F2"/>
          </w:tcPr>
          <w:p w14:paraId="19DBFFA7" w14:textId="77777777" w:rsidR="00233273" w:rsidRPr="004E2424" w:rsidRDefault="00233273" w:rsidP="004E2424">
            <w:pPr>
              <w:spacing w:after="0" w:line="240" w:lineRule="auto"/>
              <w:rPr>
                <w:rFonts w:ascii="Arial" w:hAnsi="Arial" w:cs="Arial"/>
                <w:noProof/>
                <w:sz w:val="20"/>
                <w:szCs w:val="20"/>
              </w:rPr>
            </w:pPr>
          </w:p>
        </w:tc>
        <w:tc>
          <w:tcPr>
            <w:tcW w:w="648" w:type="pct"/>
            <w:shd w:val="clear" w:color="auto" w:fill="F2F2F2" w:themeFill="background1" w:themeFillShade="F2"/>
          </w:tcPr>
          <w:p w14:paraId="27EB65D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46.2: How does the Agency’s service correspond to the needs and expectations of the Member States as users of the system?</w:t>
            </w:r>
          </w:p>
        </w:tc>
        <w:tc>
          <w:tcPr>
            <w:tcW w:w="1111" w:type="pct"/>
          </w:tcPr>
          <w:p w14:paraId="0CAE971D"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eu-LISA's services meet the needs and expectations of Member States as users of large-scale IT systems, facilitating efficient cross-border cooperation.</w:t>
            </w:r>
          </w:p>
        </w:tc>
        <w:tc>
          <w:tcPr>
            <w:tcW w:w="1713" w:type="pct"/>
          </w:tcPr>
          <w:p w14:paraId="20E7FB3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Relevance and effectiveness of eu-LISA's services in supporting MS’ operational requirements </w:t>
            </w:r>
          </w:p>
          <w:p w14:paraId="7E9E4CD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Contribution of eu-LISA to enhanced cross-border information exchange and cooperation among MS </w:t>
            </w:r>
          </w:p>
          <w:p w14:paraId="19F6D3B6"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Improvements in the interoperability and effectiveness of MS' systems.</w:t>
            </w:r>
          </w:p>
        </w:tc>
        <w:tc>
          <w:tcPr>
            <w:tcW w:w="880" w:type="pct"/>
          </w:tcPr>
          <w:p w14:paraId="2D24AD7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Targeted written surveys with advisory groups and users </w:t>
            </w:r>
          </w:p>
          <w:p w14:paraId="732022A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eu-LISA’s advisory groups </w:t>
            </w:r>
          </w:p>
          <w:p w14:paraId="32DE016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Interviews with EU-level and national stakeholders.</w:t>
            </w:r>
          </w:p>
        </w:tc>
      </w:tr>
      <w:tr w:rsidR="000F1C89" w:rsidRPr="002048C6" w14:paraId="0093C6D2" w14:textId="77777777">
        <w:tc>
          <w:tcPr>
            <w:tcW w:w="1296" w:type="pct"/>
            <w:gridSpan w:val="2"/>
            <w:shd w:val="clear" w:color="auto" w:fill="F2F2F2" w:themeFill="background1" w:themeFillShade="F2"/>
          </w:tcPr>
          <w:p w14:paraId="4AEC262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47: To what extent the procedures in place ensure the coherence of eu-LISA’s cooperation activities with the policies and activities of its stakeholders?</w:t>
            </w:r>
          </w:p>
        </w:tc>
        <w:tc>
          <w:tcPr>
            <w:tcW w:w="1111" w:type="pct"/>
          </w:tcPr>
          <w:p w14:paraId="607F9F8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Procedures in place effectively ensure the coherence of eu-LISA’s cooperation activities with the policies and activities of its stakeholders.</w:t>
            </w:r>
          </w:p>
        </w:tc>
        <w:tc>
          <w:tcPr>
            <w:tcW w:w="1713" w:type="pct"/>
          </w:tcPr>
          <w:p w14:paraId="1B17A1D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Review of eu-LISA’s procedures for stakeholder engagement and cooperation </w:t>
            </w:r>
          </w:p>
          <w:p w14:paraId="74A9480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Correspondence between eu-LISA’s cooperation activities and the policies and objectives of its stakeholders.</w:t>
            </w:r>
          </w:p>
        </w:tc>
        <w:tc>
          <w:tcPr>
            <w:tcW w:w="880" w:type="pct"/>
          </w:tcPr>
          <w:p w14:paraId="1D3CAC2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management, implementation, and internal services </w:t>
            </w:r>
          </w:p>
          <w:p w14:paraId="3BA520D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Stakeholder interviews with EU-level and national stakeholders.</w:t>
            </w:r>
          </w:p>
        </w:tc>
      </w:tr>
      <w:tr w:rsidR="000F1C89" w:rsidRPr="002048C6" w14:paraId="4DA9F6A2" w14:textId="77777777">
        <w:tc>
          <w:tcPr>
            <w:tcW w:w="1296" w:type="pct"/>
            <w:gridSpan w:val="2"/>
            <w:shd w:val="clear" w:color="auto" w:fill="F2F2F2" w:themeFill="background1" w:themeFillShade="F2"/>
          </w:tcPr>
          <w:p w14:paraId="2A9259B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48: To what extent are the activities of the Agency as well as the scope of its mandate coherent with the legal act governing the Information Systems the Agency is responsible for?</w:t>
            </w:r>
          </w:p>
        </w:tc>
        <w:tc>
          <w:tcPr>
            <w:tcW w:w="1111" w:type="pct"/>
          </w:tcPr>
          <w:p w14:paraId="4B878DF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activities of the Agency and the scope of its mandate align effectively with the legal act governing the Information Systems it is responsible for.</w:t>
            </w:r>
          </w:p>
        </w:tc>
        <w:tc>
          <w:tcPr>
            <w:tcW w:w="1713" w:type="pct"/>
          </w:tcPr>
          <w:p w14:paraId="2A5D9B6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Analysis of the Agency's mandate and objectives as defined in the legal act </w:t>
            </w:r>
          </w:p>
          <w:p w14:paraId="641F055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Review of the legal framework governing the information systems </w:t>
            </w:r>
          </w:p>
          <w:p w14:paraId="151C0B4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Consistency between the Agency's activities and the provisions of the legal act.</w:t>
            </w:r>
          </w:p>
        </w:tc>
        <w:tc>
          <w:tcPr>
            <w:tcW w:w="880" w:type="pct"/>
          </w:tcPr>
          <w:p w14:paraId="6FE8AF1A"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4C92674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eu-LISA's mandate documents and strategic plans </w:t>
            </w:r>
          </w:p>
          <w:p w14:paraId="2790680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Documentations of eu-LISA’s IT systems</w:t>
            </w:r>
          </w:p>
          <w:p w14:paraId="69F4BE7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Legal texts and regulations </w:t>
            </w:r>
          </w:p>
          <w:p w14:paraId="6D3B01B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Reports and documentation related to the implementation of the legal act </w:t>
            </w:r>
          </w:p>
          <w:p w14:paraId="0BBCBAD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Records of any legal reviews or assessments conducted by relevant authorities.</w:t>
            </w:r>
          </w:p>
        </w:tc>
      </w:tr>
    </w:tbl>
    <w:p w14:paraId="5BFDCF87" w14:textId="77777777" w:rsidR="00233273" w:rsidRDefault="00233273" w:rsidP="00233273">
      <w:pPr>
        <w:spacing w:after="0" w:line="240" w:lineRule="auto"/>
        <w:rPr>
          <w:rFonts w:ascii="Times New Roman" w:hAnsi="Times New Roman" w:cs="Times New Roman"/>
          <w:noProof/>
          <w:lang w:val="en-IE"/>
        </w:rPr>
      </w:pPr>
    </w:p>
    <w:p w14:paraId="330F5705" w14:textId="77777777" w:rsidR="00233273" w:rsidRDefault="00233273" w:rsidP="00233273">
      <w:pPr>
        <w:spacing w:after="0" w:line="240" w:lineRule="auto"/>
        <w:rPr>
          <w:rFonts w:ascii="Times New Roman" w:hAnsi="Times New Roman" w:cs="Times New Roman"/>
          <w:noProof/>
          <w:lang w:val="en-IE"/>
        </w:rPr>
      </w:pPr>
    </w:p>
    <w:p w14:paraId="6E8A20A6" w14:textId="77777777" w:rsidR="00233273" w:rsidRDefault="00233273" w:rsidP="00233273">
      <w:pPr>
        <w:spacing w:after="0" w:line="240" w:lineRule="auto"/>
        <w:rPr>
          <w:rFonts w:ascii="Times New Roman" w:hAnsi="Times New Roman" w:cs="Times New Roman"/>
          <w:noProof/>
          <w:lang w:val="en-IE"/>
        </w:rPr>
      </w:pPr>
    </w:p>
    <w:p w14:paraId="4413653C" w14:textId="77777777" w:rsidR="00233273" w:rsidRDefault="00233273" w:rsidP="00233273">
      <w:pPr>
        <w:spacing w:after="0" w:line="240" w:lineRule="auto"/>
        <w:rPr>
          <w:rFonts w:ascii="Times New Roman" w:hAnsi="Times New Roman" w:cs="Times New Roman"/>
          <w:noProof/>
          <w:lang w:val="en-IE"/>
        </w:rPr>
      </w:pPr>
    </w:p>
    <w:p w14:paraId="371F7C0C" w14:textId="77777777" w:rsidR="00233273" w:rsidRPr="004E2424" w:rsidRDefault="00233273" w:rsidP="004E2424">
      <w:pPr>
        <w:spacing w:after="0" w:line="240" w:lineRule="auto"/>
        <w:rPr>
          <w:rFonts w:ascii="Times New Roman" w:hAnsi="Times New Roman" w:cs="Times New Roman"/>
          <w:noProof/>
          <w:lang w:val="en-IE"/>
        </w:rPr>
      </w:pPr>
    </w:p>
    <w:p w14:paraId="4DE6BC9D" w14:textId="77777777" w:rsidR="00233273" w:rsidRPr="004E2424" w:rsidRDefault="00233273" w:rsidP="004E2424">
      <w:pPr>
        <w:spacing w:after="0" w:line="240" w:lineRule="auto"/>
        <w:rPr>
          <w:rFonts w:ascii="Times New Roman" w:hAnsi="Times New Roman" w:cs="Times New Roman"/>
          <w:b/>
          <w:bCs/>
          <w:noProof/>
          <w:u w:val="single"/>
          <w:lang w:val="en-IE"/>
        </w:rPr>
      </w:pPr>
      <w:bookmarkStart w:id="125" w:name="_Toc164075802"/>
      <w:bookmarkStart w:id="126" w:name="_Toc164372848"/>
      <w:bookmarkStart w:id="127" w:name="_Toc164376057"/>
      <w:bookmarkStart w:id="128" w:name="_Toc164547395"/>
      <w:bookmarkStart w:id="129" w:name="_Toc164680889"/>
      <w:bookmarkStart w:id="130" w:name="_Toc164682620"/>
      <w:bookmarkStart w:id="131" w:name="_Toc167205613"/>
      <w:bookmarkStart w:id="132" w:name="_Toc167208512"/>
      <w:r w:rsidRPr="004E2424">
        <w:rPr>
          <w:rFonts w:ascii="Times New Roman" w:hAnsi="Times New Roman" w:cs="Times New Roman"/>
          <w:b/>
          <w:bCs/>
          <w:noProof/>
          <w:u w:val="single"/>
          <w:lang w:val="en-IE"/>
        </w:rPr>
        <w:t>EU Added Value</w:t>
      </w:r>
      <w:bookmarkEnd w:id="125"/>
      <w:bookmarkEnd w:id="126"/>
      <w:bookmarkEnd w:id="127"/>
      <w:bookmarkEnd w:id="128"/>
      <w:bookmarkEnd w:id="129"/>
      <w:bookmarkEnd w:id="130"/>
      <w:bookmarkEnd w:id="131"/>
      <w:bookmarkEnd w:id="132"/>
    </w:p>
    <w:p w14:paraId="27DEAE3A" w14:textId="77777777" w:rsidR="00233273" w:rsidRPr="004E2424" w:rsidRDefault="00233273" w:rsidP="004E2424">
      <w:pPr>
        <w:spacing w:after="0" w:line="240" w:lineRule="auto"/>
        <w:rPr>
          <w:rFonts w:ascii="Times New Roman" w:hAnsi="Times New Roman" w:cs="Times New Roman"/>
          <w:noProof/>
          <w:lang w:val="en-IE"/>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610"/>
        <w:gridCol w:w="12778"/>
      </w:tblGrid>
      <w:tr w:rsidR="00233273" w:rsidRPr="002048C6" w14:paraId="44E734B2" w14:textId="77777777">
        <w:tc>
          <w:tcPr>
            <w:tcW w:w="848" w:type="pct"/>
            <w:shd w:val="clear" w:color="auto" w:fill="1B7BCA" w:themeFill="background2" w:themeFillShade="80"/>
            <w:vAlign w:val="center"/>
          </w:tcPr>
          <w:p w14:paraId="24CE9CB9"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Understanding </w:t>
            </w:r>
          </w:p>
        </w:tc>
        <w:tc>
          <w:tcPr>
            <w:tcW w:w="4152" w:type="pct"/>
          </w:tcPr>
          <w:p w14:paraId="255F1AC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Assessment of the added value brought by eu-LISA Regulation in comparison to what could have been achieved without EU intervention </w:t>
            </w:r>
          </w:p>
          <w:p w14:paraId="4C933FA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Examination of the extent to which the Regulation has enhanced cross-border cooperation among national competent authorities, particularly in terms of information exchange and security </w:t>
            </w:r>
          </w:p>
          <w:p w14:paraId="47FCB63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Evaluation of the tangible benefits, e.g. in terms of operational efficiency and security, that have been realised at the European level through the activities and mandates of eu-LISA.</w:t>
            </w:r>
          </w:p>
        </w:tc>
      </w:tr>
      <w:tr w:rsidR="00233273" w:rsidRPr="002048C6" w14:paraId="783CC879" w14:textId="77777777">
        <w:tc>
          <w:tcPr>
            <w:tcW w:w="848" w:type="pct"/>
            <w:shd w:val="clear" w:color="auto" w:fill="1B7BCA" w:themeFill="background2" w:themeFillShade="80"/>
            <w:vAlign w:val="center"/>
          </w:tcPr>
          <w:p w14:paraId="74DD6CE6"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Analytical and methodological approach</w:t>
            </w:r>
          </w:p>
        </w:tc>
        <w:tc>
          <w:tcPr>
            <w:tcW w:w="4152" w:type="pct"/>
          </w:tcPr>
          <w:p w14:paraId="6DA7A46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Extensive review of relevant documents, including eu-LISA Regulation, legislative documents, national-level assessments, reports on Member States' capabilities, and records of cross-border cooperation activities </w:t>
            </w:r>
          </w:p>
          <w:p w14:paraId="535AA5C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Stakeholder Interviews to gain deeper insights and perspectives with key actors involved in eu-LISA's activities, including representatives from Member States, eu-LISA itself, and other relevant stakeholders </w:t>
            </w:r>
          </w:p>
          <w:p w14:paraId="5797DE6C"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Focus Groups as forums for structured discussions among stakeholders.</w:t>
            </w:r>
          </w:p>
        </w:tc>
      </w:tr>
      <w:tr w:rsidR="00233273" w:rsidRPr="002048C6" w14:paraId="72BCE714" w14:textId="77777777">
        <w:tc>
          <w:tcPr>
            <w:tcW w:w="848" w:type="pct"/>
            <w:shd w:val="clear" w:color="auto" w:fill="1B7BCA" w:themeFill="background2" w:themeFillShade="80"/>
            <w:vAlign w:val="center"/>
          </w:tcPr>
          <w:p w14:paraId="4EE3B1BB"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Potential limitations </w:t>
            </w:r>
          </w:p>
        </w:tc>
        <w:tc>
          <w:tcPr>
            <w:tcW w:w="4152" w:type="pct"/>
          </w:tcPr>
          <w:p w14:paraId="102642CE"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Potentially limited data availability, time constraints, and data confidentiality. Will be discussed with Commission and mitigated through use of multiple data collection methods and analytical approaches. Team includes expert with security clearance </w:t>
            </w:r>
          </w:p>
          <w:p w14:paraId="2A50BA4A" w14:textId="6436A121"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Potential for biases and limitation of specific data sources, such as varying levels of detail and reliability in national-level reports and feedback. Project team is very experienced in this regard and will make any subjective judgments transparent to the Co</w:t>
            </w:r>
          </w:p>
          <w:p w14:paraId="26DD939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mission </w:t>
            </w:r>
          </w:p>
          <w:p w14:paraId="1D737E31"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Inherent challenges in quantifying EU added value, particularly in assessing intangible benefits, may limit the precision of the evaluation's findings.</w:t>
            </w:r>
          </w:p>
        </w:tc>
      </w:tr>
    </w:tbl>
    <w:p w14:paraId="53F9DCD5" w14:textId="77777777" w:rsidR="00233273" w:rsidRPr="004E2424" w:rsidRDefault="00233273" w:rsidP="004E2424">
      <w:pPr>
        <w:spacing w:after="0" w:line="240" w:lineRule="auto"/>
        <w:rPr>
          <w:rFonts w:ascii="Times New Roman" w:hAnsi="Times New Roman" w:cs="Times New Roman"/>
          <w:noProof/>
          <w:lang w:val="en-IE"/>
        </w:rPr>
      </w:pPr>
    </w:p>
    <w:p w14:paraId="3399A6E1" w14:textId="0F0053B4" w:rsidR="00233273" w:rsidRDefault="00233273" w:rsidP="00233273">
      <w:pPr>
        <w:spacing w:after="0" w:line="240" w:lineRule="auto"/>
        <w:rPr>
          <w:rFonts w:ascii="Times New Roman" w:hAnsi="Times New Roman" w:cs="Times New Roman"/>
          <w:b/>
          <w:bCs/>
          <w:i/>
          <w:iCs/>
          <w:noProof/>
          <w:lang w:val="en-IE"/>
        </w:rPr>
      </w:pPr>
      <w:bookmarkStart w:id="133" w:name="_Toc154041765"/>
      <w:bookmarkStart w:id="134" w:name="_Toc167205849"/>
      <w:r w:rsidRPr="004E2424">
        <w:rPr>
          <w:rFonts w:ascii="Times New Roman" w:hAnsi="Times New Roman" w:cs="Times New Roman"/>
          <w:b/>
          <w:bCs/>
          <w:i/>
          <w:iCs/>
          <w:noProof/>
          <w:lang w:val="en-IE"/>
        </w:rPr>
        <w:t xml:space="preserve">Table </w:t>
      </w:r>
      <w:r w:rsidR="00C452EB" w:rsidRPr="00004DA6">
        <w:rPr>
          <w:rFonts w:ascii="Times New Roman" w:hAnsi="Times New Roman" w:cs="Times New Roman"/>
          <w:b/>
          <w:bCs/>
          <w:i/>
          <w:iCs/>
          <w:noProof/>
          <w:lang w:val="en-IE"/>
        </w:rPr>
        <w:t>5</w:t>
      </w:r>
      <w:r w:rsidR="00C452EB" w:rsidRPr="004E2424">
        <w:rPr>
          <w:rFonts w:ascii="Times New Roman" w:hAnsi="Times New Roman" w:cs="Times New Roman"/>
          <w:b/>
          <w:bCs/>
          <w:i/>
          <w:iCs/>
          <w:noProof/>
          <w:lang w:val="en-IE"/>
        </w:rPr>
        <w:t xml:space="preserve"> </w:t>
      </w:r>
      <w:r w:rsidRPr="004E2424">
        <w:rPr>
          <w:rFonts w:ascii="Times New Roman" w:hAnsi="Times New Roman" w:cs="Times New Roman"/>
          <w:b/>
          <w:bCs/>
          <w:i/>
          <w:iCs/>
          <w:noProof/>
          <w:lang w:val="en-IE"/>
        </w:rPr>
        <w:t>– EU Added Value – Evaluation matrix</w:t>
      </w:r>
      <w:bookmarkEnd w:id="133"/>
      <w:bookmarkEnd w:id="134"/>
    </w:p>
    <w:p w14:paraId="28A3D4DD" w14:textId="77777777" w:rsidR="00233273" w:rsidRPr="004E2424" w:rsidRDefault="00233273" w:rsidP="004E2424">
      <w:pPr>
        <w:spacing w:after="0" w:line="240" w:lineRule="auto"/>
        <w:rPr>
          <w:rFonts w:ascii="Times New Roman" w:hAnsi="Times New Roman" w:cs="Times New Roman"/>
          <w:b/>
          <w:bCs/>
          <w:i/>
          <w:iCs/>
          <w:noProof/>
          <w:lang w:val="en-IE"/>
        </w:rPr>
      </w:pPr>
    </w:p>
    <w:tbl>
      <w:tblPr>
        <w:tblpPr w:leftFromText="141" w:rightFromText="141" w:vertAnchor="text" w:tblpY="1"/>
        <w:tblOverlap w:val="neve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921"/>
        <w:gridCol w:w="1920"/>
        <w:gridCol w:w="3244"/>
        <w:gridCol w:w="5527"/>
        <w:gridCol w:w="2776"/>
      </w:tblGrid>
      <w:tr w:rsidR="001F460A" w:rsidRPr="006163F5" w14:paraId="20C8C79D" w14:textId="77777777">
        <w:trPr>
          <w:trHeight w:val="509"/>
          <w:tblHeader/>
        </w:trPr>
        <w:tc>
          <w:tcPr>
            <w:tcW w:w="624" w:type="pct"/>
            <w:vMerge w:val="restart"/>
            <w:shd w:val="clear" w:color="auto" w:fill="1B7BCA" w:themeFill="background2" w:themeFillShade="80"/>
            <w:vAlign w:val="center"/>
            <w:hideMark/>
          </w:tcPr>
          <w:p w14:paraId="3029F4EF"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Evaluation question</w:t>
            </w:r>
          </w:p>
        </w:tc>
        <w:tc>
          <w:tcPr>
            <w:tcW w:w="624" w:type="pct"/>
            <w:vMerge w:val="restart"/>
            <w:shd w:val="clear" w:color="auto" w:fill="1B7BCA" w:themeFill="background2" w:themeFillShade="80"/>
            <w:vAlign w:val="center"/>
          </w:tcPr>
          <w:p w14:paraId="54A635B6"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Sub-questions</w:t>
            </w:r>
          </w:p>
        </w:tc>
        <w:tc>
          <w:tcPr>
            <w:tcW w:w="1054" w:type="pct"/>
            <w:vMerge w:val="restart"/>
            <w:shd w:val="clear" w:color="auto" w:fill="1B7BCA" w:themeFill="background2" w:themeFillShade="80"/>
            <w:vAlign w:val="center"/>
            <w:hideMark/>
          </w:tcPr>
          <w:p w14:paraId="07676C80"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 xml:space="preserve">Judgement criteria </w:t>
            </w:r>
          </w:p>
        </w:tc>
        <w:tc>
          <w:tcPr>
            <w:tcW w:w="1796" w:type="pct"/>
            <w:vMerge w:val="restart"/>
            <w:shd w:val="clear" w:color="auto" w:fill="1B7BCA" w:themeFill="background2" w:themeFillShade="80"/>
            <w:vAlign w:val="center"/>
            <w:hideMark/>
          </w:tcPr>
          <w:p w14:paraId="25BA14C3"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Indicators / information needs (examples)</w:t>
            </w:r>
          </w:p>
        </w:tc>
        <w:tc>
          <w:tcPr>
            <w:tcW w:w="902" w:type="pct"/>
            <w:vMerge w:val="restart"/>
            <w:shd w:val="clear" w:color="auto" w:fill="1B7BCA" w:themeFill="background2" w:themeFillShade="80"/>
            <w:vAlign w:val="center"/>
            <w:hideMark/>
          </w:tcPr>
          <w:p w14:paraId="6EBB4166" w14:textId="77777777" w:rsidR="00233273" w:rsidRPr="004E2424" w:rsidRDefault="00233273" w:rsidP="004E2424">
            <w:pPr>
              <w:spacing w:after="0" w:line="240" w:lineRule="auto"/>
              <w:rPr>
                <w:rFonts w:ascii="Arial" w:hAnsi="Arial" w:cs="Arial"/>
                <w:b/>
                <w:bCs/>
                <w:noProof/>
                <w:color w:val="FFFFFF" w:themeColor="background1"/>
                <w:sz w:val="20"/>
                <w:szCs w:val="20"/>
              </w:rPr>
            </w:pPr>
            <w:r w:rsidRPr="004E2424">
              <w:rPr>
                <w:rFonts w:ascii="Arial" w:hAnsi="Arial" w:cs="Arial"/>
                <w:b/>
                <w:bCs/>
                <w:noProof/>
                <w:color w:val="FFFFFF" w:themeColor="background1"/>
                <w:sz w:val="20"/>
                <w:szCs w:val="20"/>
              </w:rPr>
              <w:t>Information sources (indicative)</w:t>
            </w:r>
          </w:p>
        </w:tc>
      </w:tr>
      <w:tr w:rsidR="001F460A" w:rsidRPr="006163F5" w14:paraId="3F76AB55" w14:textId="77777777">
        <w:trPr>
          <w:trHeight w:val="253"/>
          <w:tblHeader/>
        </w:trPr>
        <w:tc>
          <w:tcPr>
            <w:tcW w:w="624" w:type="pct"/>
            <w:vMerge/>
            <w:shd w:val="clear" w:color="auto" w:fill="1B7BCA" w:themeFill="background2" w:themeFillShade="80"/>
          </w:tcPr>
          <w:p w14:paraId="519E98B1" w14:textId="77777777" w:rsidR="00233273" w:rsidRPr="004E2424" w:rsidRDefault="00233273" w:rsidP="004E2424">
            <w:pPr>
              <w:spacing w:after="0" w:line="240" w:lineRule="auto"/>
              <w:rPr>
                <w:rFonts w:ascii="Arial" w:hAnsi="Arial" w:cs="Arial"/>
                <w:noProof/>
                <w:sz w:val="20"/>
                <w:szCs w:val="20"/>
              </w:rPr>
            </w:pPr>
          </w:p>
        </w:tc>
        <w:tc>
          <w:tcPr>
            <w:tcW w:w="624" w:type="pct"/>
            <w:vMerge/>
            <w:shd w:val="clear" w:color="auto" w:fill="1B7BCA" w:themeFill="background2" w:themeFillShade="80"/>
          </w:tcPr>
          <w:p w14:paraId="4C54A327" w14:textId="77777777" w:rsidR="00233273" w:rsidRPr="004E2424" w:rsidRDefault="00233273" w:rsidP="004E2424">
            <w:pPr>
              <w:spacing w:after="0" w:line="240" w:lineRule="auto"/>
              <w:rPr>
                <w:rFonts w:ascii="Arial" w:hAnsi="Arial" w:cs="Arial"/>
                <w:noProof/>
                <w:sz w:val="20"/>
                <w:szCs w:val="20"/>
              </w:rPr>
            </w:pPr>
          </w:p>
        </w:tc>
        <w:tc>
          <w:tcPr>
            <w:tcW w:w="1054" w:type="pct"/>
            <w:vMerge/>
            <w:shd w:val="clear" w:color="auto" w:fill="1B7BCA" w:themeFill="background2" w:themeFillShade="80"/>
          </w:tcPr>
          <w:p w14:paraId="6603FBBD" w14:textId="77777777" w:rsidR="00233273" w:rsidRPr="004E2424" w:rsidRDefault="00233273" w:rsidP="004E2424">
            <w:pPr>
              <w:spacing w:after="0" w:line="240" w:lineRule="auto"/>
              <w:rPr>
                <w:rFonts w:ascii="Arial" w:hAnsi="Arial" w:cs="Arial"/>
                <w:noProof/>
                <w:sz w:val="20"/>
                <w:szCs w:val="20"/>
              </w:rPr>
            </w:pPr>
          </w:p>
        </w:tc>
        <w:tc>
          <w:tcPr>
            <w:tcW w:w="1796" w:type="pct"/>
            <w:vMerge/>
            <w:shd w:val="clear" w:color="auto" w:fill="1B7BCA" w:themeFill="background2" w:themeFillShade="80"/>
          </w:tcPr>
          <w:p w14:paraId="41DD6311" w14:textId="77777777" w:rsidR="00233273" w:rsidRPr="004E2424" w:rsidRDefault="00233273" w:rsidP="004E2424">
            <w:pPr>
              <w:spacing w:after="0" w:line="240" w:lineRule="auto"/>
              <w:rPr>
                <w:rFonts w:ascii="Arial" w:hAnsi="Arial" w:cs="Arial"/>
                <w:noProof/>
                <w:sz w:val="20"/>
                <w:szCs w:val="20"/>
              </w:rPr>
            </w:pPr>
          </w:p>
        </w:tc>
        <w:tc>
          <w:tcPr>
            <w:tcW w:w="902" w:type="pct"/>
            <w:vMerge/>
            <w:shd w:val="clear" w:color="auto" w:fill="1B7BCA" w:themeFill="background2" w:themeFillShade="80"/>
          </w:tcPr>
          <w:p w14:paraId="652E621C" w14:textId="77777777" w:rsidR="00233273" w:rsidRPr="004E2424" w:rsidRDefault="00233273" w:rsidP="004E2424">
            <w:pPr>
              <w:spacing w:after="0" w:line="240" w:lineRule="auto"/>
              <w:rPr>
                <w:rFonts w:ascii="Arial" w:hAnsi="Arial" w:cs="Arial"/>
                <w:noProof/>
                <w:sz w:val="20"/>
                <w:szCs w:val="20"/>
              </w:rPr>
            </w:pPr>
          </w:p>
        </w:tc>
      </w:tr>
      <w:tr w:rsidR="00233273" w:rsidRPr="00204FC3" w14:paraId="66DBE9F3" w14:textId="77777777">
        <w:tc>
          <w:tcPr>
            <w:tcW w:w="1247" w:type="pct"/>
            <w:gridSpan w:val="2"/>
            <w:shd w:val="clear" w:color="auto" w:fill="F2F2F2" w:themeFill="background1" w:themeFillShade="F2"/>
          </w:tcPr>
          <w:p w14:paraId="4697A994"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49: Could the objectives set up in eu-LISA Regulation have been achieved without EU intervention?</w:t>
            </w:r>
          </w:p>
        </w:tc>
        <w:tc>
          <w:tcPr>
            <w:tcW w:w="1054" w:type="pct"/>
            <w:hideMark/>
          </w:tcPr>
          <w:p w14:paraId="43517A7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objectives outlined in eu-LISA Regulation could not have been effectively achieved through national-level initiatives alone, demonstrating the added value of EU intervention.</w:t>
            </w:r>
          </w:p>
        </w:tc>
        <w:tc>
          <w:tcPr>
            <w:tcW w:w="1796" w:type="pct"/>
            <w:hideMark/>
          </w:tcPr>
          <w:p w14:paraId="27D4100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Extent of cross-border cooperation and information exchange facilitated by the Regulation </w:t>
            </w:r>
          </w:p>
          <w:p w14:paraId="0D78C759"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Analysis of the tangible benefits, in terms of operational efficiency and security, that have been realised at the EU level (see also above).</w:t>
            </w:r>
          </w:p>
        </w:tc>
        <w:tc>
          <w:tcPr>
            <w:tcW w:w="902" w:type="pct"/>
          </w:tcPr>
          <w:p w14:paraId="6D846823"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Desk research:</w:t>
            </w:r>
          </w:p>
          <w:p w14:paraId="0B9BF98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eu-LISA Regulation and related legislative documents </w:t>
            </w:r>
          </w:p>
          <w:p w14:paraId="79BFAE3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National-level assessments and reports on capabilities and initiatives of Member States </w:t>
            </w:r>
          </w:p>
          <w:p w14:paraId="498A6FF5"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Records of cross-border cooperation and information exchange activities </w:t>
            </w:r>
          </w:p>
          <w:p w14:paraId="5EF5E20B"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advisory groups </w:t>
            </w:r>
          </w:p>
          <w:p w14:paraId="19EDAA3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with EU-level and national stakeholders </w:t>
            </w:r>
          </w:p>
          <w:p w14:paraId="4DA8FC17"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SWOT workshops.</w:t>
            </w:r>
          </w:p>
        </w:tc>
      </w:tr>
      <w:tr w:rsidR="00233273" w:rsidRPr="00204FC3" w14:paraId="046D7EF4" w14:textId="77777777">
        <w:tc>
          <w:tcPr>
            <w:tcW w:w="1247" w:type="pct"/>
            <w:gridSpan w:val="2"/>
            <w:shd w:val="clear" w:color="auto" w:fill="F2F2F2" w:themeFill="background1" w:themeFillShade="F2"/>
          </w:tcPr>
          <w:p w14:paraId="1DAB0930"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EQ 50: How has the new mandate of the Agency contributed to supporting Member States in developing the information systems at national level?</w:t>
            </w:r>
          </w:p>
        </w:tc>
        <w:tc>
          <w:tcPr>
            <w:tcW w:w="1054" w:type="pct"/>
          </w:tcPr>
          <w:p w14:paraId="458C3E38"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The new mandate of the Agency has demonstrably contributed to supporting Member States in the development of information systems at the national level, thus fulfilling its role in enhancing cooperation and capacity-building.</w:t>
            </w:r>
          </w:p>
        </w:tc>
        <w:tc>
          <w:tcPr>
            <w:tcW w:w="1796" w:type="pct"/>
          </w:tcPr>
          <w:p w14:paraId="303BC4A2"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Identification of specific new tasks and activities mandated to eu-LISA in support of MS’ information system development </w:t>
            </w:r>
          </w:p>
          <w:p w14:paraId="7FF34FF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Extent to which MS have actively engaged with eu-LISA in seeking assistance and collaboration </w:t>
            </w:r>
          </w:p>
          <w:p w14:paraId="344FC41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Outcomes and impacts of eu-LISA's involvement in supporting national-level information systems development </w:t>
            </w:r>
          </w:p>
          <w:p w14:paraId="7323A9C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Reported improvements in the capacity and efficiency of MS' information systems.</w:t>
            </w:r>
          </w:p>
        </w:tc>
        <w:tc>
          <w:tcPr>
            <w:tcW w:w="902" w:type="pct"/>
          </w:tcPr>
          <w:p w14:paraId="3A364E27"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and focus groups with eu-LISA implementation </w:t>
            </w:r>
          </w:p>
          <w:p w14:paraId="506113FF" w14:textId="77777777" w:rsidR="00233273" w:rsidRPr="004E2424" w:rsidRDefault="00233273" w:rsidP="004E2424">
            <w:pPr>
              <w:spacing w:after="0" w:line="240" w:lineRule="auto"/>
              <w:rPr>
                <w:rFonts w:ascii="Arial" w:hAnsi="Arial" w:cs="Arial"/>
                <w:noProof/>
                <w:sz w:val="20"/>
                <w:szCs w:val="20"/>
                <w:lang w:val="en-IE"/>
              </w:rPr>
            </w:pPr>
            <w:r w:rsidRPr="004E2424">
              <w:rPr>
                <w:rFonts w:ascii="Arial" w:hAnsi="Arial" w:cs="Arial"/>
                <w:noProof/>
                <w:sz w:val="20"/>
                <w:szCs w:val="20"/>
                <w:lang w:val="en-IE"/>
              </w:rPr>
              <w:t xml:space="preserve">Interviews with EU-level and national stakeholders </w:t>
            </w:r>
          </w:p>
          <w:p w14:paraId="3748F1B5" w14:textId="77777777" w:rsidR="00233273" w:rsidRPr="004E2424" w:rsidRDefault="00233273" w:rsidP="004E2424">
            <w:pPr>
              <w:spacing w:after="0" w:line="240" w:lineRule="auto"/>
              <w:rPr>
                <w:rFonts w:ascii="Arial" w:hAnsi="Arial" w:cs="Arial"/>
                <w:noProof/>
                <w:sz w:val="20"/>
                <w:szCs w:val="20"/>
              </w:rPr>
            </w:pPr>
            <w:r w:rsidRPr="004E2424">
              <w:rPr>
                <w:rFonts w:ascii="Arial" w:hAnsi="Arial" w:cs="Arial"/>
                <w:noProof/>
                <w:sz w:val="20"/>
                <w:szCs w:val="20"/>
              </w:rPr>
              <w:t>Case studies.</w:t>
            </w:r>
          </w:p>
        </w:tc>
      </w:tr>
    </w:tbl>
    <w:p w14:paraId="77AC1414" w14:textId="77777777" w:rsidR="00233273" w:rsidRPr="004E2424" w:rsidRDefault="00233273" w:rsidP="004E2424">
      <w:pPr>
        <w:spacing w:after="0" w:line="240" w:lineRule="auto"/>
        <w:jc w:val="both"/>
        <w:rPr>
          <w:rFonts w:ascii="Times New Roman" w:hAnsi="Times New Roman" w:cs="Times New Roman"/>
          <w:iCs/>
          <w:noProof/>
          <w:sz w:val="24"/>
          <w:szCs w:val="24"/>
          <w:lang w:val="en-IE"/>
        </w:rPr>
      </w:pPr>
    </w:p>
    <w:p w14:paraId="1F8B415F" w14:textId="77777777" w:rsidR="00233273" w:rsidRPr="00855E06" w:rsidRDefault="00233273" w:rsidP="004E2424">
      <w:pPr>
        <w:spacing w:after="0" w:line="240" w:lineRule="auto"/>
        <w:rPr>
          <w:rFonts w:ascii="Times New Roman" w:hAnsi="Times New Roman" w:cs="Times New Roman"/>
          <w:i/>
          <w:noProof/>
          <w:sz w:val="24"/>
          <w:szCs w:val="24"/>
          <w:lang w:val="en-IE"/>
        </w:rPr>
      </w:pPr>
      <w:r w:rsidRPr="00855E06">
        <w:rPr>
          <w:rFonts w:ascii="Times New Roman" w:hAnsi="Times New Roman" w:cs="Times New Roman"/>
          <w:i/>
          <w:noProof/>
          <w:sz w:val="24"/>
          <w:szCs w:val="24"/>
          <w:lang w:val="en-IE"/>
        </w:rPr>
        <w:br w:type="page"/>
      </w:r>
    </w:p>
    <w:p w14:paraId="3C57A7F6" w14:textId="403619C3" w:rsidR="00233273" w:rsidRPr="00855E06" w:rsidRDefault="00233273" w:rsidP="004E2424">
      <w:pPr>
        <w:pStyle w:val="Heading1"/>
        <w:pBdr>
          <w:top w:val="single" w:sz="4" w:space="1" w:color="auto"/>
          <w:left w:val="single" w:sz="4" w:space="4" w:color="auto"/>
          <w:bottom w:val="single" w:sz="4" w:space="1" w:color="auto"/>
          <w:right w:val="single" w:sz="4" w:space="6" w:color="auto"/>
        </w:pBdr>
        <w:shd w:val="clear" w:color="auto" w:fill="BBDAFD" w:themeFill="text2" w:themeFillTint="33"/>
        <w:spacing w:before="0" w:after="0"/>
        <w:rPr>
          <w:noProof/>
          <w:szCs w:val="24"/>
          <w:lang w:val="en-IE"/>
        </w:rPr>
      </w:pPr>
      <w:bookmarkStart w:id="135" w:name="_Toc207303620"/>
      <w:r w:rsidRPr="00855E06">
        <w:rPr>
          <w:noProof/>
          <w:szCs w:val="24"/>
          <w:lang w:val="en-IE"/>
        </w:rPr>
        <w:t xml:space="preserve">Annex </w:t>
      </w:r>
      <w:r w:rsidRPr="00004DA6">
        <w:rPr>
          <w:noProof/>
          <w:szCs w:val="24"/>
          <w:lang w:val="en-IE"/>
        </w:rPr>
        <w:t>I</w:t>
      </w:r>
      <w:r w:rsidR="00435621">
        <w:rPr>
          <w:noProof/>
          <w:szCs w:val="24"/>
          <w:lang w:val="en-IE"/>
        </w:rPr>
        <w:t>V</w:t>
      </w:r>
      <w:r w:rsidRPr="00855E06">
        <w:rPr>
          <w:noProof/>
          <w:szCs w:val="24"/>
          <w:lang w:val="en-IE"/>
        </w:rPr>
        <w:t>. Overview of benefits and costs</w:t>
      </w:r>
      <w:bookmarkEnd w:id="135"/>
      <w:r w:rsidRPr="00855E06">
        <w:rPr>
          <w:noProof/>
          <w:szCs w:val="24"/>
          <w:lang w:val="en-IE"/>
        </w:rPr>
        <w:t xml:space="preserve"> </w:t>
      </w:r>
    </w:p>
    <w:p w14:paraId="09D36907" w14:textId="77777777" w:rsidR="00233273" w:rsidRDefault="00233273" w:rsidP="00233273">
      <w:pPr>
        <w:spacing w:after="0"/>
        <w:rPr>
          <w:rFonts w:ascii="Times New Roman" w:hAnsi="Times New Roman" w:cs="Times New Roman"/>
          <w:noProof/>
          <w:lang w:val="en-IE"/>
        </w:rPr>
      </w:pPr>
    </w:p>
    <w:p w14:paraId="17FB41ED" w14:textId="77777777" w:rsidR="00852B4D" w:rsidRDefault="00852B4D" w:rsidP="00233273">
      <w:pPr>
        <w:spacing w:after="0"/>
        <w:rPr>
          <w:rFonts w:ascii="Times New Roman" w:hAnsi="Times New Roman" w:cs="Times New Roman"/>
          <w:noProof/>
          <w:lang w:val="en-IE"/>
        </w:rPr>
      </w:pPr>
    </w:p>
    <w:tbl>
      <w:tblPr>
        <w:tblStyle w:val="CV112"/>
        <w:tblW w:w="5067" w:type="pct"/>
        <w:tblInd w:w="-147" w:type="dxa"/>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851"/>
        <w:gridCol w:w="1559"/>
        <w:gridCol w:w="992"/>
        <w:gridCol w:w="2127"/>
        <w:gridCol w:w="1984"/>
        <w:gridCol w:w="1984"/>
        <w:gridCol w:w="2411"/>
        <w:gridCol w:w="1771"/>
        <w:gridCol w:w="1915"/>
      </w:tblGrid>
      <w:tr w:rsidR="00233273" w:rsidRPr="002048C6" w14:paraId="1DE06D8A" w14:textId="77777777" w:rsidTr="0005455E">
        <w:tc>
          <w:tcPr>
            <w:tcW w:w="5000" w:type="pct"/>
            <w:gridSpan w:val="9"/>
            <w:tcBorders>
              <w:top w:val="single" w:sz="4" w:space="0" w:color="auto"/>
              <w:left w:val="single" w:sz="4" w:space="0" w:color="auto"/>
              <w:bottom w:val="single" w:sz="4" w:space="0" w:color="auto"/>
              <w:right w:val="single" w:sz="4" w:space="0" w:color="auto"/>
            </w:tcBorders>
            <w:shd w:val="clear" w:color="auto" w:fill="BBDAFD" w:themeFill="text2" w:themeFillTint="33"/>
          </w:tcPr>
          <w:p w14:paraId="0E70F129" w14:textId="77777777" w:rsidR="00233273" w:rsidRPr="00855E06" w:rsidRDefault="00233273" w:rsidP="00435621">
            <w:pPr>
              <w:tabs>
                <w:tab w:val="num" w:pos="425"/>
              </w:tabs>
              <w:jc w:val="center"/>
              <w:rPr>
                <w:b/>
                <w:i/>
                <w:noProof/>
                <w:lang w:val="en-IE"/>
              </w:rPr>
            </w:pPr>
            <w:r w:rsidRPr="00855E06">
              <w:rPr>
                <w:b/>
                <w:i/>
                <w:noProof/>
                <w:lang w:val="en-IE"/>
              </w:rPr>
              <w:t>Table 1. Overview of costs and benefits identified in the evaluation</w:t>
            </w:r>
          </w:p>
        </w:tc>
      </w:tr>
      <w:tr w:rsidR="00004DA6" w:rsidRPr="00C45ABE" w14:paraId="29A80EC2" w14:textId="77777777" w:rsidTr="00004DA6">
        <w:tc>
          <w:tcPr>
            <w:tcW w:w="1091" w:type="pct"/>
            <w:gridSpan w:val="3"/>
            <w:vMerge w:val="restart"/>
            <w:tcBorders>
              <w:top w:val="single" w:sz="4" w:space="0" w:color="auto"/>
              <w:left w:val="single" w:sz="4" w:space="0" w:color="auto"/>
              <w:bottom w:val="single" w:sz="4" w:space="0" w:color="auto"/>
              <w:right w:val="single" w:sz="4" w:space="0" w:color="auto"/>
              <w:tl2br w:val="nil"/>
            </w:tcBorders>
          </w:tcPr>
          <w:p w14:paraId="45D71116" w14:textId="77777777" w:rsidR="00233273" w:rsidRPr="00855E06" w:rsidRDefault="00233273" w:rsidP="00435621">
            <w:pPr>
              <w:tabs>
                <w:tab w:val="num" w:pos="425"/>
              </w:tabs>
              <w:rPr>
                <w:noProof/>
                <w:lang w:val="en-IE"/>
              </w:rPr>
            </w:pPr>
            <w:r w:rsidRPr="00855E06">
              <w:rPr>
                <w:b/>
                <w:noProof/>
                <w:lang w:val="en-IE"/>
              </w:rPr>
              <w:t xml:space="preserve">                       </w:t>
            </w:r>
          </w:p>
        </w:tc>
        <w:tc>
          <w:tcPr>
            <w:tcW w:w="1318" w:type="pct"/>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6B75D8B" w14:textId="77777777" w:rsidR="00233273" w:rsidRPr="0005455E" w:rsidRDefault="00233273" w:rsidP="00435621">
            <w:pPr>
              <w:tabs>
                <w:tab w:val="num" w:pos="425"/>
              </w:tabs>
              <w:jc w:val="center"/>
              <w:rPr>
                <w:b/>
                <w:bCs/>
                <w:noProof/>
              </w:rPr>
            </w:pPr>
            <w:r w:rsidRPr="0005455E">
              <w:rPr>
                <w:b/>
                <w:bCs/>
                <w:noProof/>
                <w:lang w:val="fr-BE"/>
              </w:rPr>
              <w:t xml:space="preserve">EU institutions </w:t>
            </w:r>
          </w:p>
        </w:tc>
        <w:tc>
          <w:tcPr>
            <w:tcW w:w="1409" w:type="pct"/>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38C948F" w14:textId="77777777" w:rsidR="00233273" w:rsidRPr="0005455E" w:rsidRDefault="00233273" w:rsidP="00435621">
            <w:pPr>
              <w:tabs>
                <w:tab w:val="num" w:pos="425"/>
              </w:tabs>
              <w:jc w:val="center"/>
              <w:rPr>
                <w:b/>
                <w:bCs/>
                <w:noProof/>
              </w:rPr>
            </w:pPr>
            <w:r w:rsidRPr="0005455E">
              <w:rPr>
                <w:b/>
                <w:bCs/>
                <w:noProof/>
                <w:lang w:val="fr-BE"/>
              </w:rPr>
              <w:t xml:space="preserve">MS administrations </w:t>
            </w:r>
          </w:p>
        </w:tc>
        <w:tc>
          <w:tcPr>
            <w:tcW w:w="1182" w:type="pct"/>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32BFD7A" w14:textId="77777777" w:rsidR="00233273" w:rsidRPr="0005455E" w:rsidRDefault="00233273" w:rsidP="00435621">
            <w:pPr>
              <w:tabs>
                <w:tab w:val="num" w:pos="425"/>
              </w:tabs>
              <w:jc w:val="center"/>
              <w:rPr>
                <w:b/>
                <w:bCs/>
                <w:noProof/>
              </w:rPr>
            </w:pPr>
            <w:r w:rsidRPr="0005455E">
              <w:rPr>
                <w:b/>
                <w:bCs/>
                <w:noProof/>
              </w:rPr>
              <w:t>Businesses and citizens</w:t>
            </w:r>
          </w:p>
        </w:tc>
      </w:tr>
      <w:tr w:rsidR="004A37FE" w:rsidRPr="00C45ABE" w14:paraId="3E2079F3" w14:textId="77777777" w:rsidTr="00004DA6">
        <w:trPr>
          <w:trHeight w:val="313"/>
        </w:trPr>
        <w:tc>
          <w:tcPr>
            <w:tcW w:w="1091" w:type="pct"/>
            <w:gridSpan w:val="3"/>
            <w:vMerge/>
            <w:tcBorders>
              <w:tl2br w:val="nil"/>
            </w:tcBorders>
          </w:tcPr>
          <w:p w14:paraId="2F4AEF5C" w14:textId="77777777" w:rsidR="00233273" w:rsidRPr="00855E06" w:rsidRDefault="00233273" w:rsidP="00435621">
            <w:pPr>
              <w:tabs>
                <w:tab w:val="num" w:pos="425"/>
              </w:tabs>
              <w:jc w:val="center"/>
              <w:rPr>
                <w:noProof/>
              </w:rPr>
            </w:pPr>
          </w:p>
        </w:tc>
        <w:tc>
          <w:tcPr>
            <w:tcW w:w="68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C478523" w14:textId="00789647" w:rsidR="00233273" w:rsidRPr="00484FF5" w:rsidRDefault="00233273" w:rsidP="00232C9E">
            <w:pPr>
              <w:tabs>
                <w:tab w:val="num" w:pos="425"/>
              </w:tabs>
              <w:jc w:val="center"/>
              <w:rPr>
                <w:i/>
                <w:iCs/>
                <w:noProof/>
                <w:lang w:val="en-IE"/>
              </w:rPr>
            </w:pPr>
            <w:r w:rsidRPr="00004DA6">
              <w:rPr>
                <w:i/>
                <w:iCs/>
                <w:noProof/>
              </w:rPr>
              <w:t xml:space="preserve">Quantitative </w:t>
            </w:r>
          </w:p>
        </w:tc>
        <w:tc>
          <w:tcPr>
            <w:tcW w:w="63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82AF178" w14:textId="621865F8" w:rsidR="00233273" w:rsidRPr="00484FF5" w:rsidRDefault="00233273" w:rsidP="00232C9E">
            <w:pPr>
              <w:tabs>
                <w:tab w:val="num" w:pos="425"/>
              </w:tabs>
              <w:jc w:val="center"/>
              <w:rPr>
                <w:i/>
                <w:iCs/>
                <w:noProof/>
              </w:rPr>
            </w:pPr>
            <w:r w:rsidRPr="00004DA6">
              <w:rPr>
                <w:i/>
                <w:iCs/>
                <w:noProof/>
              </w:rPr>
              <w:t>Comment</w:t>
            </w:r>
          </w:p>
        </w:tc>
        <w:tc>
          <w:tcPr>
            <w:tcW w:w="63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27E76AA" w14:textId="77777777" w:rsidR="00233273" w:rsidRPr="00004DA6" w:rsidRDefault="00233273" w:rsidP="00435621">
            <w:pPr>
              <w:tabs>
                <w:tab w:val="num" w:pos="425"/>
              </w:tabs>
              <w:jc w:val="center"/>
              <w:rPr>
                <w:i/>
                <w:iCs/>
                <w:noProof/>
              </w:rPr>
            </w:pPr>
            <w:r w:rsidRPr="00004DA6">
              <w:rPr>
                <w:i/>
                <w:iCs/>
                <w:noProof/>
              </w:rPr>
              <w:t xml:space="preserve">Quantitative </w:t>
            </w:r>
          </w:p>
        </w:tc>
        <w:tc>
          <w:tcPr>
            <w:tcW w:w="77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89B2B14" w14:textId="77777777" w:rsidR="00233273" w:rsidRPr="00004DA6" w:rsidRDefault="00233273" w:rsidP="00435621">
            <w:pPr>
              <w:tabs>
                <w:tab w:val="num" w:pos="425"/>
              </w:tabs>
              <w:jc w:val="center"/>
              <w:rPr>
                <w:i/>
                <w:iCs/>
                <w:noProof/>
              </w:rPr>
            </w:pPr>
            <w:r w:rsidRPr="00004DA6">
              <w:rPr>
                <w:i/>
                <w:iCs/>
                <w:noProof/>
              </w:rPr>
              <w:t>Comment</w:t>
            </w:r>
          </w:p>
        </w:tc>
        <w:tc>
          <w:tcPr>
            <w:tcW w:w="56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3D07781" w14:textId="77777777" w:rsidR="00233273" w:rsidRPr="00004DA6" w:rsidRDefault="00233273" w:rsidP="00435621">
            <w:pPr>
              <w:tabs>
                <w:tab w:val="num" w:pos="425"/>
              </w:tabs>
              <w:jc w:val="center"/>
              <w:rPr>
                <w:i/>
                <w:iCs/>
                <w:noProof/>
              </w:rPr>
            </w:pPr>
            <w:r w:rsidRPr="00004DA6">
              <w:rPr>
                <w:i/>
                <w:iCs/>
                <w:noProof/>
              </w:rPr>
              <w:t>Quantitative</w:t>
            </w:r>
          </w:p>
        </w:tc>
        <w:tc>
          <w:tcPr>
            <w:tcW w:w="614"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F857683" w14:textId="77777777" w:rsidR="00233273" w:rsidRPr="00004DA6" w:rsidRDefault="00233273" w:rsidP="00435621">
            <w:pPr>
              <w:tabs>
                <w:tab w:val="num" w:pos="425"/>
              </w:tabs>
              <w:jc w:val="center"/>
              <w:rPr>
                <w:i/>
                <w:iCs/>
                <w:noProof/>
              </w:rPr>
            </w:pPr>
            <w:r w:rsidRPr="00004DA6">
              <w:rPr>
                <w:i/>
                <w:iCs/>
                <w:noProof/>
              </w:rPr>
              <w:t>Comment</w:t>
            </w:r>
            <w:r w:rsidRPr="00004DA6" w:rsidDel="00754A9D">
              <w:rPr>
                <w:i/>
                <w:iCs/>
                <w:noProof/>
              </w:rPr>
              <w:t xml:space="preserve"> </w:t>
            </w:r>
          </w:p>
        </w:tc>
      </w:tr>
      <w:tr w:rsidR="004A37FE" w:rsidRPr="00004DA6" w14:paraId="3C5EEBFD" w14:textId="77777777" w:rsidTr="00004DA6">
        <w:trPr>
          <w:trHeight w:val="440"/>
        </w:trPr>
        <w:tc>
          <w:tcPr>
            <w:tcW w:w="273" w:type="pct"/>
            <w:vMerge w:val="restart"/>
            <w:tcBorders>
              <w:top w:val="single" w:sz="4" w:space="0" w:color="auto"/>
              <w:left w:val="single" w:sz="4" w:space="0" w:color="auto"/>
              <w:right w:val="single" w:sz="4" w:space="0" w:color="auto"/>
            </w:tcBorders>
          </w:tcPr>
          <w:p w14:paraId="7EF32A94" w14:textId="77777777" w:rsidR="003B52F5" w:rsidRPr="00855E06" w:rsidRDefault="003B52F5" w:rsidP="00435621">
            <w:pPr>
              <w:tabs>
                <w:tab w:val="num" w:pos="425"/>
              </w:tabs>
              <w:rPr>
                <w:b/>
                <w:noProof/>
                <w:lang w:val="en-IE"/>
              </w:rPr>
            </w:pPr>
            <w:r>
              <w:rPr>
                <w:b/>
                <w:noProof/>
                <w:lang w:val="en-IE"/>
              </w:rPr>
              <w:t>Costs</w:t>
            </w:r>
          </w:p>
        </w:tc>
        <w:tc>
          <w:tcPr>
            <w:tcW w:w="50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35FD4CA4" w14:textId="710E1C5A" w:rsidR="003B52F5" w:rsidRPr="00855E06" w:rsidRDefault="003B52F5" w:rsidP="00B767C2">
            <w:pPr>
              <w:tabs>
                <w:tab w:val="num" w:pos="425"/>
              </w:tabs>
              <w:rPr>
                <w:b/>
                <w:noProof/>
                <w:lang w:val="en-IE"/>
              </w:rPr>
            </w:pPr>
            <w:r w:rsidRPr="00855E06">
              <w:rPr>
                <w:b/>
                <w:noProof/>
                <w:lang w:val="en-IE"/>
              </w:rPr>
              <w:t>Direct compliance costs</w:t>
            </w:r>
          </w:p>
        </w:tc>
        <w:tc>
          <w:tcPr>
            <w:tcW w:w="31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17201D9" w14:textId="0EE6907F" w:rsidR="003B52F5" w:rsidRPr="00855E06" w:rsidRDefault="003B52F5" w:rsidP="00435621">
            <w:pPr>
              <w:tabs>
                <w:tab w:val="num" w:pos="425"/>
              </w:tabs>
              <w:rPr>
                <w:b/>
                <w:noProof/>
                <w:lang w:val="en-IE"/>
              </w:rPr>
            </w:pPr>
            <w:r w:rsidRPr="00004DA6">
              <w:rPr>
                <w:b/>
                <w:noProof/>
                <w:lang w:val="en-IE"/>
              </w:rPr>
              <w:t>recurrent</w:t>
            </w:r>
            <w:r w:rsidR="00DA1CA5">
              <w:rPr>
                <w:b/>
                <w:noProof/>
                <w:lang w:val="en-IE"/>
              </w:rPr>
              <w:t xml:space="preserve"> </w:t>
            </w:r>
          </w:p>
        </w:tc>
        <w:tc>
          <w:tcPr>
            <w:tcW w:w="68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DBDCC9B" w14:textId="77777777" w:rsidR="003B52F5" w:rsidRDefault="003B52F5" w:rsidP="00435621">
            <w:pPr>
              <w:tabs>
                <w:tab w:val="num" w:pos="425"/>
              </w:tabs>
              <w:rPr>
                <w:noProof/>
              </w:rPr>
            </w:pPr>
            <w:r>
              <w:rPr>
                <w:noProof/>
              </w:rPr>
              <w:t>Overall contribution to eu-LISA budget</w:t>
            </w:r>
          </w:p>
          <w:p w14:paraId="2BE15193" w14:textId="77777777" w:rsidR="003B52F5" w:rsidRDefault="003B52F5" w:rsidP="00435621">
            <w:pPr>
              <w:tabs>
                <w:tab w:val="num" w:pos="425"/>
              </w:tabs>
              <w:rPr>
                <w:noProof/>
              </w:rPr>
            </w:pPr>
          </w:p>
          <w:p w14:paraId="155F29EE" w14:textId="77777777" w:rsidR="003B52F5" w:rsidRDefault="003B52F5" w:rsidP="00435621">
            <w:pPr>
              <w:tabs>
                <w:tab w:val="num" w:pos="425"/>
              </w:tabs>
              <w:rPr>
                <w:noProof/>
              </w:rPr>
            </w:pPr>
            <w:r>
              <w:rPr>
                <w:i/>
                <w:iCs/>
                <w:noProof/>
              </w:rPr>
              <w:t>Opening EU contribution</w:t>
            </w:r>
            <w:r>
              <w:rPr>
                <w:noProof/>
              </w:rPr>
              <w:t xml:space="preserve"> </w:t>
            </w:r>
          </w:p>
          <w:p w14:paraId="7ED85E35" w14:textId="3EFCE3E2" w:rsidR="003B52F5" w:rsidRDefault="003B52F5" w:rsidP="00435621">
            <w:pPr>
              <w:tabs>
                <w:tab w:val="num" w:pos="425"/>
              </w:tabs>
              <w:rPr>
                <w:noProof/>
              </w:rPr>
            </w:pPr>
            <w:r>
              <w:rPr>
                <w:noProof/>
              </w:rPr>
              <w:t>In 2018: EUR 92.7 mil</w:t>
            </w:r>
            <w:r w:rsidR="00C86628">
              <w:rPr>
                <w:noProof/>
              </w:rPr>
              <w:t>.</w:t>
            </w:r>
          </w:p>
          <w:p w14:paraId="4DA313C9" w14:textId="1AA5DD91" w:rsidR="003B52F5" w:rsidRDefault="003B52F5" w:rsidP="00435621">
            <w:pPr>
              <w:tabs>
                <w:tab w:val="num" w:pos="425"/>
              </w:tabs>
              <w:rPr>
                <w:noProof/>
              </w:rPr>
            </w:pPr>
            <w:r>
              <w:rPr>
                <w:noProof/>
              </w:rPr>
              <w:t>In 2019</w:t>
            </w:r>
            <w:r w:rsidR="00D906B3">
              <w:rPr>
                <w:noProof/>
              </w:rPr>
              <w:t xml:space="preserve">: EUR </w:t>
            </w:r>
            <w:r w:rsidR="00FB09ED">
              <w:rPr>
                <w:noProof/>
              </w:rPr>
              <w:t>13</w:t>
            </w:r>
            <w:r w:rsidR="001C14A5">
              <w:rPr>
                <w:noProof/>
              </w:rPr>
              <w:t>6.4</w:t>
            </w:r>
            <w:r w:rsidR="00FB09ED">
              <w:rPr>
                <w:noProof/>
              </w:rPr>
              <w:t xml:space="preserve"> </w:t>
            </w:r>
            <w:r w:rsidR="00C86628">
              <w:rPr>
                <w:noProof/>
              </w:rPr>
              <w:t>mil.</w:t>
            </w:r>
          </w:p>
          <w:p w14:paraId="043ADBAB" w14:textId="3BBC5A89" w:rsidR="003B52F5" w:rsidRDefault="003B52F5" w:rsidP="00435621">
            <w:pPr>
              <w:tabs>
                <w:tab w:val="num" w:pos="425"/>
              </w:tabs>
              <w:rPr>
                <w:noProof/>
              </w:rPr>
            </w:pPr>
            <w:r>
              <w:rPr>
                <w:noProof/>
              </w:rPr>
              <w:t>In 2020</w:t>
            </w:r>
            <w:r w:rsidR="00FB09ED">
              <w:rPr>
                <w:noProof/>
              </w:rPr>
              <w:t xml:space="preserve">: EUR </w:t>
            </w:r>
            <w:r w:rsidR="004B3B97">
              <w:rPr>
                <w:noProof/>
              </w:rPr>
              <w:t>2</w:t>
            </w:r>
            <w:r w:rsidR="00F02196">
              <w:rPr>
                <w:noProof/>
              </w:rPr>
              <w:t>29.8</w:t>
            </w:r>
            <w:r w:rsidR="004B3B97">
              <w:rPr>
                <w:noProof/>
              </w:rPr>
              <w:t xml:space="preserve"> </w:t>
            </w:r>
            <w:r w:rsidR="00C86628">
              <w:rPr>
                <w:noProof/>
              </w:rPr>
              <w:t>mil.</w:t>
            </w:r>
          </w:p>
          <w:p w14:paraId="6109D3D6" w14:textId="41153441" w:rsidR="003B52F5" w:rsidRDefault="003B52F5" w:rsidP="00435621">
            <w:pPr>
              <w:tabs>
                <w:tab w:val="num" w:pos="425"/>
              </w:tabs>
              <w:rPr>
                <w:noProof/>
              </w:rPr>
            </w:pPr>
            <w:r>
              <w:rPr>
                <w:noProof/>
              </w:rPr>
              <w:t>In 2021</w:t>
            </w:r>
            <w:r w:rsidR="004B3B97">
              <w:rPr>
                <w:noProof/>
              </w:rPr>
              <w:t xml:space="preserve">: EUR </w:t>
            </w:r>
            <w:r w:rsidR="004856BE">
              <w:rPr>
                <w:noProof/>
              </w:rPr>
              <w:t>26</w:t>
            </w:r>
            <w:r w:rsidR="001363AF">
              <w:rPr>
                <w:noProof/>
              </w:rPr>
              <w:t>0.8</w:t>
            </w:r>
            <w:r w:rsidR="004856BE">
              <w:rPr>
                <w:noProof/>
              </w:rPr>
              <w:t xml:space="preserve"> </w:t>
            </w:r>
            <w:r w:rsidR="00C86628">
              <w:rPr>
                <w:noProof/>
              </w:rPr>
              <w:t>mil.</w:t>
            </w:r>
          </w:p>
          <w:p w14:paraId="12BBE2E9" w14:textId="370E3DFF" w:rsidR="00C86628" w:rsidRDefault="003B52F5" w:rsidP="00435621">
            <w:pPr>
              <w:tabs>
                <w:tab w:val="num" w:pos="425"/>
              </w:tabs>
              <w:rPr>
                <w:noProof/>
              </w:rPr>
            </w:pPr>
            <w:r>
              <w:rPr>
                <w:noProof/>
              </w:rPr>
              <w:t>In 2022</w:t>
            </w:r>
            <w:r w:rsidR="004856BE">
              <w:rPr>
                <w:noProof/>
              </w:rPr>
              <w:t xml:space="preserve">: EUR </w:t>
            </w:r>
            <w:r w:rsidR="006557DD">
              <w:rPr>
                <w:noProof/>
              </w:rPr>
              <w:t xml:space="preserve">270.2 </w:t>
            </w:r>
            <w:r w:rsidR="00C86628">
              <w:rPr>
                <w:noProof/>
              </w:rPr>
              <w:t>mil.</w:t>
            </w:r>
          </w:p>
          <w:p w14:paraId="03D9EF8C" w14:textId="25412EED" w:rsidR="003B52F5" w:rsidRDefault="003B52F5" w:rsidP="00435621">
            <w:pPr>
              <w:tabs>
                <w:tab w:val="num" w:pos="425"/>
              </w:tabs>
              <w:rPr>
                <w:noProof/>
              </w:rPr>
            </w:pPr>
            <w:r>
              <w:rPr>
                <w:noProof/>
              </w:rPr>
              <w:t>In 2023</w:t>
            </w:r>
            <w:r w:rsidR="004856BE">
              <w:rPr>
                <w:noProof/>
              </w:rPr>
              <w:t>: EUR</w:t>
            </w:r>
            <w:r w:rsidR="006557DD">
              <w:rPr>
                <w:noProof/>
              </w:rPr>
              <w:t xml:space="preserve"> </w:t>
            </w:r>
            <w:r w:rsidR="004C579A">
              <w:rPr>
                <w:noProof/>
              </w:rPr>
              <w:t xml:space="preserve">293 </w:t>
            </w:r>
            <w:r w:rsidR="00C86628">
              <w:rPr>
                <w:noProof/>
              </w:rPr>
              <w:t>mil.</w:t>
            </w:r>
          </w:p>
          <w:p w14:paraId="11FA588B" w14:textId="350D63D3" w:rsidR="00C86628" w:rsidRDefault="004856BE" w:rsidP="00435621">
            <w:pPr>
              <w:tabs>
                <w:tab w:val="num" w:pos="425"/>
              </w:tabs>
              <w:rPr>
                <w:noProof/>
              </w:rPr>
            </w:pPr>
            <w:r>
              <w:rPr>
                <w:noProof/>
              </w:rPr>
              <w:t>In 2024: EUR</w:t>
            </w:r>
            <w:r w:rsidR="001C018E">
              <w:rPr>
                <w:noProof/>
              </w:rPr>
              <w:t xml:space="preserve"> 258.4 </w:t>
            </w:r>
            <w:r w:rsidR="00C86628">
              <w:rPr>
                <w:noProof/>
              </w:rPr>
              <w:t>mil.</w:t>
            </w:r>
          </w:p>
          <w:p w14:paraId="5AC778A4" w14:textId="77777777" w:rsidR="003B52F5" w:rsidRDefault="003B52F5" w:rsidP="00435621">
            <w:pPr>
              <w:tabs>
                <w:tab w:val="num" w:pos="425"/>
              </w:tabs>
              <w:rPr>
                <w:noProof/>
              </w:rPr>
            </w:pPr>
          </w:p>
          <w:p w14:paraId="316C20EB" w14:textId="77777777" w:rsidR="003B52F5" w:rsidRPr="00004DA6" w:rsidRDefault="003B52F5" w:rsidP="00435621">
            <w:pPr>
              <w:tabs>
                <w:tab w:val="num" w:pos="425"/>
              </w:tabs>
              <w:rPr>
                <w:i/>
                <w:iCs/>
                <w:noProof/>
              </w:rPr>
            </w:pPr>
            <w:r w:rsidRPr="00004DA6">
              <w:rPr>
                <w:i/>
                <w:iCs/>
                <w:noProof/>
              </w:rPr>
              <w:t>Closing EU contribution:</w:t>
            </w:r>
          </w:p>
          <w:p w14:paraId="1C379C15" w14:textId="49662CEC" w:rsidR="003B52F5" w:rsidRDefault="003B52F5" w:rsidP="00435621">
            <w:pPr>
              <w:tabs>
                <w:tab w:val="num" w:pos="425"/>
              </w:tabs>
              <w:rPr>
                <w:noProof/>
              </w:rPr>
            </w:pPr>
            <w:r>
              <w:rPr>
                <w:noProof/>
              </w:rPr>
              <w:t>In 2018</w:t>
            </w:r>
            <w:r w:rsidR="001C018E">
              <w:rPr>
                <w:noProof/>
              </w:rPr>
              <w:t xml:space="preserve">: </w:t>
            </w:r>
            <w:r w:rsidR="0049742B">
              <w:rPr>
                <w:noProof/>
              </w:rPr>
              <w:t xml:space="preserve">EUR </w:t>
            </w:r>
            <w:r w:rsidR="002322AB">
              <w:rPr>
                <w:noProof/>
              </w:rPr>
              <w:t>93.6</w:t>
            </w:r>
            <w:r w:rsidR="00C86628">
              <w:rPr>
                <w:noProof/>
              </w:rPr>
              <w:t xml:space="preserve"> mil.</w:t>
            </w:r>
          </w:p>
          <w:p w14:paraId="1C6B9AC3" w14:textId="0056E982" w:rsidR="003B52F5" w:rsidRDefault="003B52F5" w:rsidP="00435621">
            <w:pPr>
              <w:tabs>
                <w:tab w:val="num" w:pos="425"/>
              </w:tabs>
              <w:rPr>
                <w:noProof/>
              </w:rPr>
            </w:pPr>
            <w:r>
              <w:rPr>
                <w:noProof/>
              </w:rPr>
              <w:t>In 2019</w:t>
            </w:r>
            <w:r w:rsidR="001C018E">
              <w:rPr>
                <w:noProof/>
              </w:rPr>
              <w:t>:</w:t>
            </w:r>
            <w:r w:rsidR="0049742B">
              <w:rPr>
                <w:noProof/>
              </w:rPr>
              <w:t xml:space="preserve"> EUR</w:t>
            </w:r>
            <w:r w:rsidR="001C018E">
              <w:rPr>
                <w:noProof/>
              </w:rPr>
              <w:t xml:space="preserve"> </w:t>
            </w:r>
            <w:r w:rsidR="00153C4D">
              <w:rPr>
                <w:noProof/>
              </w:rPr>
              <w:t>138</w:t>
            </w:r>
            <w:r w:rsidR="00C86628">
              <w:rPr>
                <w:noProof/>
              </w:rPr>
              <w:t xml:space="preserve"> mil.</w:t>
            </w:r>
          </w:p>
          <w:p w14:paraId="671CE91A" w14:textId="3232A0EF" w:rsidR="003B52F5" w:rsidRDefault="003B52F5" w:rsidP="00435621">
            <w:pPr>
              <w:tabs>
                <w:tab w:val="num" w:pos="425"/>
              </w:tabs>
              <w:rPr>
                <w:noProof/>
              </w:rPr>
            </w:pPr>
            <w:r>
              <w:rPr>
                <w:noProof/>
              </w:rPr>
              <w:t>In 2020</w:t>
            </w:r>
            <w:r w:rsidR="001C018E">
              <w:rPr>
                <w:noProof/>
              </w:rPr>
              <w:t xml:space="preserve">: </w:t>
            </w:r>
            <w:r w:rsidR="0049742B">
              <w:rPr>
                <w:noProof/>
              </w:rPr>
              <w:t xml:space="preserve">EUR </w:t>
            </w:r>
            <w:r w:rsidR="00153C4D">
              <w:rPr>
                <w:noProof/>
              </w:rPr>
              <w:t>233.4</w:t>
            </w:r>
            <w:r w:rsidR="00C86628">
              <w:rPr>
                <w:noProof/>
              </w:rPr>
              <w:t xml:space="preserve"> mil.</w:t>
            </w:r>
          </w:p>
          <w:p w14:paraId="5B278879" w14:textId="2F0BDF66" w:rsidR="003B52F5" w:rsidRDefault="003B52F5" w:rsidP="00435621">
            <w:pPr>
              <w:tabs>
                <w:tab w:val="num" w:pos="425"/>
              </w:tabs>
              <w:rPr>
                <w:noProof/>
              </w:rPr>
            </w:pPr>
            <w:r>
              <w:rPr>
                <w:noProof/>
              </w:rPr>
              <w:t>In 2021</w:t>
            </w:r>
            <w:r w:rsidR="001C018E">
              <w:rPr>
                <w:noProof/>
              </w:rPr>
              <w:t>:</w:t>
            </w:r>
            <w:r w:rsidR="0049742B">
              <w:rPr>
                <w:noProof/>
              </w:rPr>
              <w:t xml:space="preserve"> EUR</w:t>
            </w:r>
            <w:r w:rsidR="001C018E">
              <w:rPr>
                <w:noProof/>
              </w:rPr>
              <w:t xml:space="preserve"> </w:t>
            </w:r>
            <w:r w:rsidR="006340A3">
              <w:rPr>
                <w:noProof/>
              </w:rPr>
              <w:t>263.9</w:t>
            </w:r>
            <w:r w:rsidR="00C86628">
              <w:rPr>
                <w:noProof/>
              </w:rPr>
              <w:t xml:space="preserve"> mil.</w:t>
            </w:r>
          </w:p>
          <w:p w14:paraId="16AB77BB" w14:textId="024074B1" w:rsidR="003B52F5" w:rsidRDefault="003B52F5" w:rsidP="00435621">
            <w:pPr>
              <w:tabs>
                <w:tab w:val="num" w:pos="425"/>
              </w:tabs>
              <w:rPr>
                <w:noProof/>
              </w:rPr>
            </w:pPr>
            <w:r>
              <w:rPr>
                <w:noProof/>
              </w:rPr>
              <w:t>In 2022</w:t>
            </w:r>
            <w:r w:rsidR="001C018E">
              <w:rPr>
                <w:noProof/>
              </w:rPr>
              <w:t xml:space="preserve">: </w:t>
            </w:r>
            <w:r w:rsidR="0049742B">
              <w:rPr>
                <w:noProof/>
              </w:rPr>
              <w:t xml:space="preserve">EUR </w:t>
            </w:r>
            <w:r w:rsidR="004312DF">
              <w:rPr>
                <w:noProof/>
              </w:rPr>
              <w:t>296.5</w:t>
            </w:r>
            <w:r w:rsidR="00C86628">
              <w:rPr>
                <w:noProof/>
              </w:rPr>
              <w:t xml:space="preserve"> mil.</w:t>
            </w:r>
          </w:p>
          <w:p w14:paraId="5E9C0FCF" w14:textId="1807BA1A" w:rsidR="003B52F5" w:rsidRDefault="003B52F5" w:rsidP="00435621">
            <w:pPr>
              <w:tabs>
                <w:tab w:val="num" w:pos="425"/>
              </w:tabs>
              <w:rPr>
                <w:noProof/>
              </w:rPr>
            </w:pPr>
            <w:r>
              <w:rPr>
                <w:noProof/>
              </w:rPr>
              <w:t>In 2023</w:t>
            </w:r>
            <w:r w:rsidR="001C018E">
              <w:rPr>
                <w:noProof/>
              </w:rPr>
              <w:t xml:space="preserve">: </w:t>
            </w:r>
            <w:r w:rsidR="0049742B">
              <w:rPr>
                <w:noProof/>
              </w:rPr>
              <w:t xml:space="preserve">EUR </w:t>
            </w:r>
            <w:r w:rsidR="00987584">
              <w:rPr>
                <w:noProof/>
              </w:rPr>
              <w:t>294.2</w:t>
            </w:r>
            <w:r w:rsidR="00C86628">
              <w:rPr>
                <w:noProof/>
              </w:rPr>
              <w:t xml:space="preserve"> mil.</w:t>
            </w:r>
          </w:p>
          <w:p w14:paraId="4B1CF861" w14:textId="32907B2A" w:rsidR="006340A3" w:rsidRPr="00FB7691" w:rsidRDefault="006340A3" w:rsidP="00435621">
            <w:pPr>
              <w:tabs>
                <w:tab w:val="num" w:pos="425"/>
              </w:tabs>
              <w:rPr>
                <w:noProof/>
              </w:rPr>
            </w:pPr>
            <w:r>
              <w:rPr>
                <w:noProof/>
              </w:rPr>
              <w:t>In 2024:</w:t>
            </w:r>
            <w:r w:rsidR="00987584">
              <w:rPr>
                <w:noProof/>
              </w:rPr>
              <w:t xml:space="preserve"> </w:t>
            </w:r>
            <w:r w:rsidR="0049742B">
              <w:rPr>
                <w:noProof/>
              </w:rPr>
              <w:t xml:space="preserve">EUR </w:t>
            </w:r>
            <w:r w:rsidR="00987584">
              <w:rPr>
                <w:noProof/>
              </w:rPr>
              <w:t>260.</w:t>
            </w:r>
            <w:r w:rsidR="0049742B">
              <w:rPr>
                <w:noProof/>
              </w:rPr>
              <w:t>1</w:t>
            </w:r>
            <w:r w:rsidR="00C86628">
              <w:rPr>
                <w:noProof/>
              </w:rPr>
              <w:t xml:space="preserve"> mil.</w:t>
            </w:r>
          </w:p>
        </w:tc>
        <w:tc>
          <w:tcPr>
            <w:tcW w:w="63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1718AF7" w14:textId="3648CF54" w:rsidR="003B52F5" w:rsidRDefault="003B52F5" w:rsidP="00435621">
            <w:pPr>
              <w:tabs>
                <w:tab w:val="num" w:pos="425"/>
              </w:tabs>
              <w:rPr>
                <w:noProof/>
                <w:lang w:val="en-IE"/>
              </w:rPr>
            </w:pPr>
            <w:r w:rsidRPr="00BC70C5">
              <w:rPr>
                <w:noProof/>
                <w:lang w:val="en-IE"/>
              </w:rPr>
              <w:t>Year-to-year increase in opening contribution in 20</w:t>
            </w:r>
            <w:r>
              <w:rPr>
                <w:noProof/>
                <w:lang w:val="en-IE"/>
              </w:rPr>
              <w:t>18</w:t>
            </w:r>
            <w:r w:rsidR="004805FB">
              <w:rPr>
                <w:noProof/>
                <w:lang w:val="en-IE"/>
              </w:rPr>
              <w:t xml:space="preserve"> </w:t>
            </w:r>
            <w:r w:rsidRPr="00BC70C5">
              <w:rPr>
                <w:noProof/>
                <w:lang w:val="en-IE"/>
              </w:rPr>
              <w:t xml:space="preserve">- </w:t>
            </w:r>
            <w:r w:rsidR="00BA1AA3" w:rsidRPr="00BC70C5">
              <w:rPr>
                <w:noProof/>
                <w:lang w:val="en-IE"/>
              </w:rPr>
              <w:t>202</w:t>
            </w:r>
            <w:r w:rsidR="00BA1AA3">
              <w:rPr>
                <w:noProof/>
                <w:lang w:val="en-IE"/>
              </w:rPr>
              <w:t>4</w:t>
            </w:r>
            <w:r w:rsidR="00BA1AA3" w:rsidRPr="00BC70C5">
              <w:rPr>
                <w:noProof/>
                <w:lang w:val="en-IE"/>
              </w:rPr>
              <w:t xml:space="preserve"> </w:t>
            </w:r>
            <w:r w:rsidRPr="00BC70C5">
              <w:rPr>
                <w:noProof/>
                <w:lang w:val="en-IE"/>
              </w:rPr>
              <w:t>of appr</w:t>
            </w:r>
            <w:r w:rsidR="00BA1AA3">
              <w:rPr>
                <w:noProof/>
                <w:lang w:val="en-IE"/>
              </w:rPr>
              <w:t xml:space="preserve">oximately </w:t>
            </w:r>
            <w:r w:rsidR="004805FB">
              <w:rPr>
                <w:noProof/>
                <w:lang w:val="en-IE"/>
              </w:rPr>
              <w:t>107</w:t>
            </w:r>
            <w:r w:rsidR="00C5472B">
              <w:rPr>
                <w:noProof/>
                <w:lang w:val="en-IE"/>
              </w:rPr>
              <w:t>%</w:t>
            </w:r>
          </w:p>
          <w:p w14:paraId="6BECE485" w14:textId="77777777" w:rsidR="003B52F5" w:rsidRDefault="003B52F5" w:rsidP="00435621">
            <w:pPr>
              <w:tabs>
                <w:tab w:val="num" w:pos="425"/>
              </w:tabs>
              <w:rPr>
                <w:noProof/>
                <w:lang w:val="en-IE"/>
              </w:rPr>
            </w:pPr>
          </w:p>
          <w:p w14:paraId="7A07A465" w14:textId="0C45FC9A" w:rsidR="003B52F5" w:rsidRPr="00BC70C5" w:rsidRDefault="003B52F5" w:rsidP="00435621">
            <w:pPr>
              <w:tabs>
                <w:tab w:val="num" w:pos="425"/>
              </w:tabs>
              <w:rPr>
                <w:noProof/>
                <w:lang w:val="en-IE"/>
              </w:rPr>
            </w:pPr>
            <w:r w:rsidRPr="00BC70C5">
              <w:rPr>
                <w:noProof/>
                <w:lang w:val="en-IE"/>
              </w:rPr>
              <w:t xml:space="preserve">Difference between opening and closing contribution in general between </w:t>
            </w:r>
            <w:r w:rsidR="00D919DA">
              <w:rPr>
                <w:noProof/>
                <w:lang w:val="en-IE"/>
              </w:rPr>
              <w:t>0.41</w:t>
            </w:r>
            <w:r w:rsidRPr="00BC70C5">
              <w:rPr>
                <w:noProof/>
                <w:lang w:val="en-IE"/>
              </w:rPr>
              <w:t xml:space="preserve">% and </w:t>
            </w:r>
            <w:r w:rsidR="00D919DA">
              <w:rPr>
                <w:noProof/>
                <w:lang w:val="en-IE"/>
              </w:rPr>
              <w:t>9.73</w:t>
            </w:r>
            <w:r w:rsidRPr="00BC70C5">
              <w:rPr>
                <w:noProof/>
                <w:lang w:val="en-IE"/>
              </w:rPr>
              <w:t>%</w:t>
            </w:r>
            <w:r w:rsidR="004A37FE">
              <w:rPr>
                <w:noProof/>
                <w:lang w:val="en-IE"/>
              </w:rPr>
              <w:t>.</w:t>
            </w:r>
            <w:r w:rsidR="009B795C">
              <w:rPr>
                <w:noProof/>
                <w:lang w:val="en-IE"/>
              </w:rPr>
              <w:t xml:space="preserve"> </w:t>
            </w:r>
          </w:p>
        </w:tc>
        <w:tc>
          <w:tcPr>
            <w:tcW w:w="63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E7B3D45" w14:textId="73F86387" w:rsidR="003B52F5" w:rsidRDefault="00C86628" w:rsidP="31F7896F">
            <w:pPr>
              <w:tabs>
                <w:tab w:val="num" w:pos="425"/>
              </w:tabs>
              <w:rPr>
                <w:i/>
                <w:iCs/>
                <w:noProof/>
                <w:lang w:val="en-IE"/>
              </w:rPr>
            </w:pPr>
            <w:r>
              <w:rPr>
                <w:i/>
                <w:iCs/>
                <w:noProof/>
                <w:lang w:val="en-IE"/>
              </w:rPr>
              <w:t xml:space="preserve">Contribution from </w:t>
            </w:r>
            <w:r w:rsidRPr="00004DA6">
              <w:rPr>
                <w:b/>
                <w:bCs/>
                <w:i/>
                <w:iCs/>
                <w:noProof/>
                <w:u w:val="single"/>
                <w:lang w:val="en-IE"/>
              </w:rPr>
              <w:t>associated countries</w:t>
            </w:r>
          </w:p>
          <w:p w14:paraId="328A58C9" w14:textId="77777777" w:rsidR="00C86628" w:rsidRDefault="00C86628" w:rsidP="31F7896F">
            <w:pPr>
              <w:tabs>
                <w:tab w:val="num" w:pos="425"/>
              </w:tabs>
              <w:rPr>
                <w:i/>
                <w:iCs/>
                <w:noProof/>
                <w:lang w:val="en-IE"/>
              </w:rPr>
            </w:pPr>
          </w:p>
          <w:p w14:paraId="45CA1178" w14:textId="5DA9ABF0" w:rsidR="00C86628" w:rsidRDefault="00C86628" w:rsidP="00C86628">
            <w:pPr>
              <w:tabs>
                <w:tab w:val="num" w:pos="425"/>
              </w:tabs>
              <w:rPr>
                <w:noProof/>
              </w:rPr>
            </w:pPr>
            <w:r>
              <w:rPr>
                <w:noProof/>
              </w:rPr>
              <w:t xml:space="preserve">In 2018: EUR </w:t>
            </w:r>
            <w:r w:rsidR="00816D09">
              <w:rPr>
                <w:noProof/>
              </w:rPr>
              <w:t>2.2</w:t>
            </w:r>
            <w:r>
              <w:rPr>
                <w:noProof/>
              </w:rPr>
              <w:t xml:space="preserve"> mil. </w:t>
            </w:r>
          </w:p>
          <w:p w14:paraId="740CF76A" w14:textId="19D106DC" w:rsidR="00C86628" w:rsidRDefault="00C86628" w:rsidP="00C86628">
            <w:pPr>
              <w:tabs>
                <w:tab w:val="num" w:pos="425"/>
              </w:tabs>
              <w:rPr>
                <w:noProof/>
              </w:rPr>
            </w:pPr>
            <w:r>
              <w:rPr>
                <w:noProof/>
              </w:rPr>
              <w:t xml:space="preserve">In 2019: EUR </w:t>
            </w:r>
            <w:r w:rsidR="001F2533">
              <w:rPr>
                <w:noProof/>
              </w:rPr>
              <w:t>3.7</w:t>
            </w:r>
            <w:r>
              <w:rPr>
                <w:noProof/>
              </w:rPr>
              <w:t xml:space="preserve"> mil.</w:t>
            </w:r>
          </w:p>
          <w:p w14:paraId="45DB8D30" w14:textId="1DDA6F3E" w:rsidR="001F2533" w:rsidRDefault="00C86628" w:rsidP="00C86628">
            <w:pPr>
              <w:tabs>
                <w:tab w:val="num" w:pos="425"/>
              </w:tabs>
              <w:rPr>
                <w:noProof/>
              </w:rPr>
            </w:pPr>
            <w:r>
              <w:rPr>
                <w:noProof/>
              </w:rPr>
              <w:t xml:space="preserve">In 2020: EUR </w:t>
            </w:r>
            <w:r w:rsidR="00F376BC">
              <w:rPr>
                <w:noProof/>
              </w:rPr>
              <w:t>4</w:t>
            </w:r>
            <w:r>
              <w:rPr>
                <w:noProof/>
              </w:rPr>
              <w:t xml:space="preserve"> mil.</w:t>
            </w:r>
          </w:p>
          <w:p w14:paraId="0DFB0727" w14:textId="1DD2494E" w:rsidR="00C86628" w:rsidRDefault="00C86628" w:rsidP="00C86628">
            <w:pPr>
              <w:tabs>
                <w:tab w:val="num" w:pos="425"/>
              </w:tabs>
              <w:rPr>
                <w:noProof/>
              </w:rPr>
            </w:pPr>
            <w:r>
              <w:rPr>
                <w:noProof/>
              </w:rPr>
              <w:t xml:space="preserve">In 2021: EUR </w:t>
            </w:r>
            <w:r w:rsidR="00242934">
              <w:rPr>
                <w:noProof/>
              </w:rPr>
              <w:t>32</w:t>
            </w:r>
            <w:r>
              <w:rPr>
                <w:noProof/>
              </w:rPr>
              <w:t xml:space="preserve"> mil.</w:t>
            </w:r>
          </w:p>
          <w:p w14:paraId="1502D1D6" w14:textId="16C7F902" w:rsidR="00C86628" w:rsidRDefault="00C86628" w:rsidP="00C86628">
            <w:pPr>
              <w:tabs>
                <w:tab w:val="num" w:pos="425"/>
              </w:tabs>
              <w:rPr>
                <w:noProof/>
              </w:rPr>
            </w:pPr>
            <w:r>
              <w:rPr>
                <w:noProof/>
              </w:rPr>
              <w:t xml:space="preserve">In 2022: EUR </w:t>
            </w:r>
            <w:r w:rsidR="00E041DA">
              <w:rPr>
                <w:noProof/>
              </w:rPr>
              <w:t>16.4</w:t>
            </w:r>
            <w:r>
              <w:rPr>
                <w:noProof/>
              </w:rPr>
              <w:t xml:space="preserve"> mil.</w:t>
            </w:r>
          </w:p>
          <w:p w14:paraId="2838B2F8" w14:textId="56394BB0" w:rsidR="00C86628" w:rsidRDefault="00C86628" w:rsidP="00C86628">
            <w:pPr>
              <w:tabs>
                <w:tab w:val="num" w:pos="425"/>
              </w:tabs>
              <w:rPr>
                <w:noProof/>
              </w:rPr>
            </w:pPr>
            <w:r>
              <w:rPr>
                <w:noProof/>
              </w:rPr>
              <w:t xml:space="preserve">In 2023: EUR </w:t>
            </w:r>
            <w:r w:rsidR="00E041DA">
              <w:rPr>
                <w:noProof/>
              </w:rPr>
              <w:t>21</w:t>
            </w:r>
            <w:r>
              <w:rPr>
                <w:noProof/>
              </w:rPr>
              <w:t xml:space="preserve"> mil.</w:t>
            </w:r>
          </w:p>
          <w:p w14:paraId="123AAE0E" w14:textId="6C05417F" w:rsidR="00C86628" w:rsidRPr="00BF0B2C" w:rsidRDefault="00C86628" w:rsidP="00C86628">
            <w:pPr>
              <w:tabs>
                <w:tab w:val="num" w:pos="425"/>
              </w:tabs>
              <w:rPr>
                <w:i/>
                <w:iCs/>
                <w:noProof/>
                <w:lang w:val="en-IE"/>
              </w:rPr>
            </w:pPr>
            <w:r>
              <w:rPr>
                <w:noProof/>
              </w:rPr>
              <w:t xml:space="preserve">In 2024: EUR </w:t>
            </w:r>
            <w:r w:rsidR="00B7547E">
              <w:rPr>
                <w:noProof/>
              </w:rPr>
              <w:t>23</w:t>
            </w:r>
            <w:r>
              <w:rPr>
                <w:noProof/>
              </w:rPr>
              <w:t xml:space="preserve"> mil.</w:t>
            </w:r>
          </w:p>
        </w:tc>
        <w:tc>
          <w:tcPr>
            <w:tcW w:w="77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DB616A5" w14:textId="5D72981A" w:rsidR="006414F6" w:rsidRDefault="006414F6" w:rsidP="00435621">
            <w:pPr>
              <w:tabs>
                <w:tab w:val="num" w:pos="425"/>
              </w:tabs>
              <w:rPr>
                <w:bCs/>
                <w:noProof/>
                <w:lang w:val="en-IE"/>
              </w:rPr>
            </w:pPr>
            <w:r>
              <w:rPr>
                <w:bCs/>
                <w:noProof/>
                <w:lang w:val="en-IE"/>
              </w:rPr>
              <w:t>Member State</w:t>
            </w:r>
            <w:r w:rsidR="00F01871">
              <w:rPr>
                <w:bCs/>
                <w:noProof/>
                <w:lang w:val="en-IE"/>
              </w:rPr>
              <w:t>s</w:t>
            </w:r>
            <w:r w:rsidR="00DC72DD">
              <w:rPr>
                <w:bCs/>
                <w:noProof/>
                <w:lang w:val="en-IE"/>
              </w:rPr>
              <w:t xml:space="preserve"> costs related to the implementation </w:t>
            </w:r>
            <w:r w:rsidR="00331A00">
              <w:rPr>
                <w:bCs/>
                <w:noProof/>
                <w:lang w:val="en-IE"/>
              </w:rPr>
              <w:t>of</w:t>
            </w:r>
            <w:r w:rsidR="00C9553E">
              <w:rPr>
                <w:bCs/>
                <w:noProof/>
                <w:lang w:val="en-IE"/>
              </w:rPr>
              <w:t xml:space="preserve"> the EU IT systems at national level</w:t>
            </w:r>
            <w:r w:rsidR="00331A00">
              <w:rPr>
                <w:bCs/>
                <w:noProof/>
                <w:lang w:val="en-IE"/>
              </w:rPr>
              <w:t xml:space="preserve"> (e.g. costs related to the connection of national systems to EU IT systems)</w:t>
            </w:r>
            <w:r w:rsidR="00C9553E">
              <w:rPr>
                <w:bCs/>
                <w:noProof/>
                <w:lang w:val="en-IE"/>
              </w:rPr>
              <w:t>. These costs could not be quantified</w:t>
            </w:r>
            <w:r w:rsidR="00D8048E">
              <w:rPr>
                <w:bCs/>
                <w:noProof/>
                <w:lang w:val="en-IE"/>
              </w:rPr>
              <w:t xml:space="preserve"> </w:t>
            </w:r>
            <w:r w:rsidR="000A5AEB">
              <w:rPr>
                <w:bCs/>
                <w:noProof/>
                <w:lang w:val="en-IE"/>
              </w:rPr>
              <w:t xml:space="preserve">due to limited available information. </w:t>
            </w:r>
            <w:r w:rsidR="00C43427">
              <w:rPr>
                <w:bCs/>
                <w:noProof/>
                <w:lang w:val="en-IE"/>
              </w:rPr>
              <w:t xml:space="preserve">However, the use of common IT tools </w:t>
            </w:r>
            <w:r w:rsidR="00D24654">
              <w:rPr>
                <w:bCs/>
                <w:noProof/>
                <w:lang w:val="en-IE"/>
              </w:rPr>
              <w:t>lead to a reduction of administrative costs and burden on individual Member States.</w:t>
            </w:r>
          </w:p>
          <w:p w14:paraId="63C5E1D8" w14:textId="77777777" w:rsidR="006414F6" w:rsidRDefault="006414F6" w:rsidP="00435621">
            <w:pPr>
              <w:tabs>
                <w:tab w:val="num" w:pos="425"/>
              </w:tabs>
              <w:rPr>
                <w:bCs/>
                <w:noProof/>
                <w:lang w:val="en-IE"/>
              </w:rPr>
            </w:pPr>
          </w:p>
          <w:p w14:paraId="21E2D31E" w14:textId="4DF8FB1A" w:rsidR="003B52F5" w:rsidRDefault="001B3493" w:rsidP="00435621">
            <w:pPr>
              <w:tabs>
                <w:tab w:val="num" w:pos="425"/>
              </w:tabs>
              <w:rPr>
                <w:bCs/>
                <w:noProof/>
                <w:lang w:val="en-IE"/>
              </w:rPr>
            </w:pPr>
            <w:r>
              <w:rPr>
                <w:bCs/>
                <w:noProof/>
                <w:lang w:val="en-IE"/>
              </w:rPr>
              <w:t xml:space="preserve">The Agency also receives contributions from </w:t>
            </w:r>
            <w:r w:rsidRPr="00004DA6">
              <w:rPr>
                <w:bCs/>
                <w:i/>
                <w:iCs/>
                <w:noProof/>
                <w:u w:val="single"/>
                <w:lang w:val="en-IE"/>
              </w:rPr>
              <w:t>associated countries</w:t>
            </w:r>
            <w:r>
              <w:rPr>
                <w:bCs/>
                <w:noProof/>
                <w:lang w:val="en-IE"/>
              </w:rPr>
              <w:t xml:space="preserve"> </w:t>
            </w:r>
            <w:r w:rsidR="00B7547E">
              <w:rPr>
                <w:bCs/>
                <w:noProof/>
                <w:lang w:val="en-IE"/>
              </w:rPr>
              <w:t xml:space="preserve">to the Schengen area, namely Norway, Switzerland, Iceland and Liechtenstein </w:t>
            </w:r>
            <w:r>
              <w:rPr>
                <w:bCs/>
                <w:noProof/>
                <w:lang w:val="en-IE"/>
              </w:rPr>
              <w:t>(due to their use of some IT systems managed by the Agency).</w:t>
            </w:r>
          </w:p>
          <w:p w14:paraId="70341032" w14:textId="57BFF0D1" w:rsidR="006414F6" w:rsidRPr="00004DA6" w:rsidRDefault="00D43B29" w:rsidP="00435621">
            <w:pPr>
              <w:tabs>
                <w:tab w:val="num" w:pos="425"/>
              </w:tabs>
              <w:rPr>
                <w:bCs/>
                <w:noProof/>
                <w:lang w:val="en-IE"/>
              </w:rPr>
            </w:pPr>
            <w:r>
              <w:rPr>
                <w:bCs/>
                <w:noProof/>
                <w:lang w:val="en-IE"/>
              </w:rPr>
              <w:t xml:space="preserve">The contributions of the associated countries </w:t>
            </w:r>
            <w:r w:rsidR="009F6912">
              <w:rPr>
                <w:bCs/>
                <w:noProof/>
                <w:lang w:val="en-IE"/>
              </w:rPr>
              <w:t xml:space="preserve">nearly increased 10 times during the evaluation period, in line with the increase of </w:t>
            </w:r>
            <w:r w:rsidR="000A5AEB">
              <w:rPr>
                <w:bCs/>
                <w:noProof/>
                <w:lang w:val="en-IE"/>
              </w:rPr>
              <w:t>the mandate of the Agency.</w:t>
            </w:r>
          </w:p>
        </w:tc>
        <w:tc>
          <w:tcPr>
            <w:tcW w:w="568" w:type="pct"/>
            <w:tcBorders>
              <w:top w:val="single" w:sz="4" w:space="0" w:color="auto"/>
              <w:left w:val="single" w:sz="4" w:space="0" w:color="auto"/>
              <w:bottom w:val="single" w:sz="4" w:space="0" w:color="auto"/>
              <w:right w:val="single" w:sz="4" w:space="0" w:color="auto"/>
              <w:tl2br w:val="nil"/>
            </w:tcBorders>
            <w:tcMar>
              <w:top w:w="57" w:type="dxa"/>
              <w:left w:w="57" w:type="dxa"/>
              <w:bottom w:w="57" w:type="dxa"/>
              <w:right w:w="57" w:type="dxa"/>
            </w:tcMar>
          </w:tcPr>
          <w:p w14:paraId="185E4873" w14:textId="3A3A4696" w:rsidR="003B52F5" w:rsidRPr="00004DA6" w:rsidRDefault="00A37FA6" w:rsidP="00435621">
            <w:pPr>
              <w:tabs>
                <w:tab w:val="num" w:pos="425"/>
              </w:tabs>
              <w:rPr>
                <w:noProof/>
                <w:lang w:val="en-IE"/>
              </w:rPr>
            </w:pPr>
            <w:r w:rsidRPr="00004DA6">
              <w:rPr>
                <w:noProof/>
                <w:lang w:val="en-IE"/>
              </w:rPr>
              <w:t>N/A</w:t>
            </w:r>
          </w:p>
        </w:tc>
        <w:tc>
          <w:tcPr>
            <w:tcW w:w="614" w:type="pct"/>
            <w:tcBorders>
              <w:top w:val="single" w:sz="4" w:space="0" w:color="auto"/>
              <w:left w:val="single" w:sz="4" w:space="0" w:color="auto"/>
              <w:bottom w:val="single" w:sz="4" w:space="0" w:color="auto"/>
              <w:right w:val="single" w:sz="4" w:space="0" w:color="auto"/>
              <w:tl2br w:val="nil"/>
            </w:tcBorders>
            <w:tcMar>
              <w:top w:w="57" w:type="dxa"/>
              <w:left w:w="57" w:type="dxa"/>
              <w:bottom w:w="57" w:type="dxa"/>
              <w:right w:w="57" w:type="dxa"/>
            </w:tcMar>
          </w:tcPr>
          <w:p w14:paraId="740E2809" w14:textId="0CC8F126" w:rsidR="003B52F5" w:rsidRPr="00004DA6" w:rsidRDefault="00BE6F65" w:rsidP="00435621">
            <w:pPr>
              <w:tabs>
                <w:tab w:val="num" w:pos="425"/>
              </w:tabs>
              <w:rPr>
                <w:bCs/>
                <w:noProof/>
                <w:lang w:val="en-IE"/>
              </w:rPr>
            </w:pPr>
            <w:r>
              <w:rPr>
                <w:bCs/>
                <w:noProof/>
                <w:lang w:val="en-IE"/>
              </w:rPr>
              <w:t>N/A</w:t>
            </w:r>
          </w:p>
        </w:tc>
      </w:tr>
      <w:tr w:rsidR="004A37FE" w:rsidRPr="00DA1863" w14:paraId="7AEC2CAC" w14:textId="77777777" w:rsidTr="00004DA6">
        <w:trPr>
          <w:trHeight w:val="307"/>
        </w:trPr>
        <w:tc>
          <w:tcPr>
            <w:tcW w:w="273" w:type="pct"/>
            <w:vMerge/>
            <w:tcBorders>
              <w:left w:val="single" w:sz="4" w:space="0" w:color="auto"/>
              <w:right w:val="single" w:sz="4" w:space="0" w:color="auto"/>
            </w:tcBorders>
          </w:tcPr>
          <w:p w14:paraId="782B7390" w14:textId="77777777" w:rsidR="003B52F5" w:rsidRDefault="003B52F5" w:rsidP="00435621">
            <w:pPr>
              <w:tabs>
                <w:tab w:val="num" w:pos="425"/>
              </w:tabs>
              <w:rPr>
                <w:b/>
                <w:noProof/>
                <w:lang w:val="en-IE"/>
              </w:rPr>
            </w:pPr>
          </w:p>
        </w:tc>
        <w:tc>
          <w:tcPr>
            <w:tcW w:w="50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519B859" w14:textId="53A39661" w:rsidR="003B52F5" w:rsidRDefault="003B52F5" w:rsidP="00435621">
            <w:pPr>
              <w:tabs>
                <w:tab w:val="num" w:pos="425"/>
              </w:tabs>
              <w:rPr>
                <w:b/>
                <w:noProof/>
                <w:lang w:val="en-IE"/>
              </w:rPr>
            </w:pPr>
            <w:r w:rsidRPr="00855E06">
              <w:rPr>
                <w:b/>
                <w:noProof/>
                <w:lang w:val="en-IE"/>
              </w:rPr>
              <w:t>Enforcement costs</w:t>
            </w:r>
          </w:p>
        </w:tc>
        <w:tc>
          <w:tcPr>
            <w:tcW w:w="31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6C2235E" w14:textId="728B5AFD" w:rsidR="003B52F5" w:rsidRPr="00855E06" w:rsidRDefault="003B52F5" w:rsidP="00435621">
            <w:pPr>
              <w:tabs>
                <w:tab w:val="num" w:pos="425"/>
              </w:tabs>
              <w:rPr>
                <w:b/>
                <w:noProof/>
                <w:lang w:val="en-IE"/>
              </w:rPr>
            </w:pPr>
          </w:p>
        </w:tc>
        <w:tc>
          <w:tcPr>
            <w:tcW w:w="68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0D3C2B5" w14:textId="77777777" w:rsidR="003B52F5" w:rsidRPr="00855E06" w:rsidRDefault="003B52F5" w:rsidP="00435621">
            <w:pPr>
              <w:tabs>
                <w:tab w:val="num" w:pos="425"/>
              </w:tabs>
              <w:rPr>
                <w:noProof/>
              </w:rPr>
            </w:pPr>
            <w:r>
              <w:rPr>
                <w:noProof/>
              </w:rPr>
              <w:t>N/A</w:t>
            </w:r>
          </w:p>
        </w:tc>
        <w:tc>
          <w:tcPr>
            <w:tcW w:w="63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F81291B" w14:textId="672E8376" w:rsidR="003B52F5" w:rsidRDefault="00BE6F65" w:rsidP="00435621">
            <w:pPr>
              <w:tabs>
                <w:tab w:val="num" w:pos="425"/>
              </w:tabs>
              <w:rPr>
                <w:noProof/>
                <w:lang w:val="en-IE"/>
              </w:rPr>
            </w:pPr>
            <w:r>
              <w:rPr>
                <w:noProof/>
                <w:lang w:val="en-IE"/>
              </w:rPr>
              <w:t>No enforcement costs (e.g. monitoring generally carried out the EU institutions).</w:t>
            </w:r>
          </w:p>
          <w:p w14:paraId="06E199BC" w14:textId="3CF00F38" w:rsidR="00A37FA6" w:rsidRPr="00855E06" w:rsidRDefault="00A37FA6" w:rsidP="00435621">
            <w:pPr>
              <w:tabs>
                <w:tab w:val="num" w:pos="425"/>
              </w:tabs>
              <w:rPr>
                <w:noProof/>
                <w:lang w:val="en-IE"/>
              </w:rPr>
            </w:pPr>
          </w:p>
        </w:tc>
        <w:tc>
          <w:tcPr>
            <w:tcW w:w="63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7D37E11" w14:textId="77777777" w:rsidR="003B52F5" w:rsidRPr="00855E06" w:rsidRDefault="003B52F5" w:rsidP="00435621">
            <w:pPr>
              <w:tabs>
                <w:tab w:val="num" w:pos="425"/>
              </w:tabs>
              <w:rPr>
                <w:noProof/>
              </w:rPr>
            </w:pPr>
            <w:r>
              <w:rPr>
                <w:noProof/>
              </w:rPr>
              <w:t>N/A</w:t>
            </w:r>
          </w:p>
        </w:tc>
        <w:tc>
          <w:tcPr>
            <w:tcW w:w="77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7981191" w14:textId="77777777" w:rsidR="003B52F5" w:rsidRPr="00855E06" w:rsidRDefault="003B52F5" w:rsidP="00435621">
            <w:pPr>
              <w:tabs>
                <w:tab w:val="num" w:pos="425"/>
              </w:tabs>
              <w:rPr>
                <w:noProof/>
                <w:lang w:val="en-IE"/>
              </w:rPr>
            </w:pPr>
            <w:r>
              <w:rPr>
                <w:noProof/>
                <w:lang w:val="en-IE"/>
              </w:rPr>
              <w:t>N/A</w:t>
            </w:r>
          </w:p>
        </w:tc>
        <w:tc>
          <w:tcPr>
            <w:tcW w:w="568" w:type="pct"/>
            <w:tcBorders>
              <w:top w:val="single" w:sz="4" w:space="0" w:color="auto"/>
              <w:left w:val="single" w:sz="4" w:space="0" w:color="auto"/>
              <w:bottom w:val="single" w:sz="4" w:space="0" w:color="auto"/>
              <w:right w:val="single" w:sz="4" w:space="0" w:color="auto"/>
              <w:tl2br w:val="nil"/>
            </w:tcBorders>
            <w:tcMar>
              <w:top w:w="57" w:type="dxa"/>
              <w:left w:w="57" w:type="dxa"/>
              <w:bottom w:w="57" w:type="dxa"/>
              <w:right w:w="57" w:type="dxa"/>
            </w:tcMar>
          </w:tcPr>
          <w:p w14:paraId="0FE6B4C8" w14:textId="5DFEC250" w:rsidR="003B52F5" w:rsidRPr="00855E06" w:rsidRDefault="00A37FA6" w:rsidP="00435621">
            <w:pPr>
              <w:tabs>
                <w:tab w:val="num" w:pos="425"/>
              </w:tabs>
              <w:rPr>
                <w:noProof/>
              </w:rPr>
            </w:pPr>
            <w:r>
              <w:rPr>
                <w:noProof/>
              </w:rPr>
              <w:t>N/A</w:t>
            </w:r>
          </w:p>
        </w:tc>
        <w:tc>
          <w:tcPr>
            <w:tcW w:w="614" w:type="pct"/>
            <w:tcBorders>
              <w:top w:val="single" w:sz="4" w:space="0" w:color="auto"/>
              <w:left w:val="single" w:sz="4" w:space="0" w:color="auto"/>
              <w:bottom w:val="single" w:sz="4" w:space="0" w:color="auto"/>
              <w:right w:val="single" w:sz="4" w:space="0" w:color="auto"/>
              <w:tl2br w:val="nil"/>
            </w:tcBorders>
            <w:tcMar>
              <w:top w:w="57" w:type="dxa"/>
              <w:left w:w="57" w:type="dxa"/>
              <w:bottom w:w="57" w:type="dxa"/>
              <w:right w:w="57" w:type="dxa"/>
            </w:tcMar>
          </w:tcPr>
          <w:p w14:paraId="20B20C9D" w14:textId="3676E7D4" w:rsidR="003B52F5" w:rsidRPr="00855E06" w:rsidRDefault="00BE6F65" w:rsidP="00435621">
            <w:pPr>
              <w:tabs>
                <w:tab w:val="num" w:pos="425"/>
              </w:tabs>
              <w:rPr>
                <w:noProof/>
                <w:lang w:val="en-IE"/>
              </w:rPr>
            </w:pPr>
            <w:r>
              <w:rPr>
                <w:noProof/>
              </w:rPr>
              <w:t>N/A</w:t>
            </w:r>
          </w:p>
        </w:tc>
      </w:tr>
      <w:tr w:rsidR="004A37FE" w:rsidRPr="00DA1863" w14:paraId="516DA447" w14:textId="77777777" w:rsidTr="00004DA6">
        <w:trPr>
          <w:trHeight w:val="307"/>
        </w:trPr>
        <w:tc>
          <w:tcPr>
            <w:tcW w:w="273" w:type="pct"/>
            <w:vMerge/>
            <w:tcBorders>
              <w:left w:val="single" w:sz="4" w:space="0" w:color="auto"/>
              <w:bottom w:val="single" w:sz="4" w:space="0" w:color="auto"/>
              <w:right w:val="single" w:sz="4" w:space="0" w:color="auto"/>
            </w:tcBorders>
          </w:tcPr>
          <w:p w14:paraId="6BFCE0B5" w14:textId="77777777" w:rsidR="003B52F5" w:rsidRDefault="003B52F5" w:rsidP="00435621">
            <w:pPr>
              <w:tabs>
                <w:tab w:val="num" w:pos="425"/>
              </w:tabs>
              <w:rPr>
                <w:b/>
                <w:noProof/>
                <w:lang w:val="en-IE"/>
              </w:rPr>
            </w:pPr>
          </w:p>
        </w:tc>
        <w:tc>
          <w:tcPr>
            <w:tcW w:w="50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5F4562BC" w14:textId="6B6DB163" w:rsidR="003B52F5" w:rsidRPr="002A2020" w:rsidRDefault="003B52F5" w:rsidP="00435621">
            <w:pPr>
              <w:tabs>
                <w:tab w:val="num" w:pos="425"/>
              </w:tabs>
              <w:rPr>
                <w:b/>
                <w:i/>
                <w:iCs/>
                <w:noProof/>
                <w:lang w:val="en-IE"/>
              </w:rPr>
            </w:pPr>
            <w:r>
              <w:rPr>
                <w:b/>
                <w:noProof/>
                <w:lang w:val="en-IE"/>
              </w:rPr>
              <w:t>Indiect costs</w:t>
            </w:r>
          </w:p>
        </w:tc>
        <w:tc>
          <w:tcPr>
            <w:tcW w:w="31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03E99E31" w14:textId="77777777" w:rsidR="003B52F5" w:rsidRPr="00855E06" w:rsidRDefault="003B52F5" w:rsidP="00435621">
            <w:pPr>
              <w:tabs>
                <w:tab w:val="num" w:pos="425"/>
              </w:tabs>
              <w:rPr>
                <w:b/>
                <w:noProof/>
                <w:lang w:val="en-IE"/>
              </w:rPr>
            </w:pPr>
          </w:p>
        </w:tc>
        <w:tc>
          <w:tcPr>
            <w:tcW w:w="68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46673C0" w14:textId="77777777" w:rsidR="003B52F5" w:rsidRPr="00855E06" w:rsidRDefault="003B52F5" w:rsidP="00435621">
            <w:pPr>
              <w:tabs>
                <w:tab w:val="num" w:pos="425"/>
              </w:tabs>
              <w:rPr>
                <w:noProof/>
              </w:rPr>
            </w:pPr>
            <w:r>
              <w:rPr>
                <w:noProof/>
              </w:rPr>
              <w:t>N/A</w:t>
            </w:r>
          </w:p>
        </w:tc>
        <w:tc>
          <w:tcPr>
            <w:tcW w:w="63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9735E32" w14:textId="77777777" w:rsidR="003B52F5" w:rsidRPr="00855E06" w:rsidRDefault="003B52F5" w:rsidP="00435621">
            <w:pPr>
              <w:tabs>
                <w:tab w:val="num" w:pos="425"/>
              </w:tabs>
              <w:rPr>
                <w:noProof/>
                <w:lang w:val="en-IE"/>
              </w:rPr>
            </w:pPr>
            <w:r>
              <w:rPr>
                <w:noProof/>
                <w:lang w:val="en-IE"/>
              </w:rPr>
              <w:t>N/A</w:t>
            </w:r>
          </w:p>
        </w:tc>
        <w:tc>
          <w:tcPr>
            <w:tcW w:w="63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9F18F03" w14:textId="77777777" w:rsidR="003B52F5" w:rsidRPr="00855E06" w:rsidRDefault="003B52F5" w:rsidP="00435621">
            <w:pPr>
              <w:tabs>
                <w:tab w:val="num" w:pos="425"/>
              </w:tabs>
              <w:rPr>
                <w:noProof/>
              </w:rPr>
            </w:pPr>
            <w:r>
              <w:rPr>
                <w:noProof/>
              </w:rPr>
              <w:t>N/A</w:t>
            </w:r>
          </w:p>
        </w:tc>
        <w:tc>
          <w:tcPr>
            <w:tcW w:w="77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30840AF" w14:textId="77777777" w:rsidR="003B52F5" w:rsidRPr="00855E06" w:rsidRDefault="003B52F5" w:rsidP="00435621">
            <w:pPr>
              <w:tabs>
                <w:tab w:val="num" w:pos="425"/>
              </w:tabs>
              <w:rPr>
                <w:noProof/>
                <w:lang w:val="en-IE"/>
              </w:rPr>
            </w:pPr>
            <w:r>
              <w:rPr>
                <w:noProof/>
                <w:lang w:val="en-IE"/>
              </w:rPr>
              <w:t>N/A</w:t>
            </w:r>
          </w:p>
        </w:tc>
        <w:tc>
          <w:tcPr>
            <w:tcW w:w="568" w:type="pct"/>
            <w:tcBorders>
              <w:top w:val="single" w:sz="4" w:space="0" w:color="auto"/>
              <w:left w:val="single" w:sz="4" w:space="0" w:color="auto"/>
              <w:bottom w:val="single" w:sz="4" w:space="0" w:color="auto"/>
              <w:right w:val="single" w:sz="4" w:space="0" w:color="auto"/>
              <w:tl2br w:val="nil"/>
            </w:tcBorders>
            <w:tcMar>
              <w:top w:w="57" w:type="dxa"/>
              <w:left w:w="57" w:type="dxa"/>
              <w:bottom w:w="57" w:type="dxa"/>
              <w:right w:w="57" w:type="dxa"/>
            </w:tcMar>
          </w:tcPr>
          <w:p w14:paraId="6EA61DD6" w14:textId="4D69A2B7" w:rsidR="003B52F5" w:rsidRPr="00855E06" w:rsidRDefault="00A37FA6" w:rsidP="00435621">
            <w:pPr>
              <w:tabs>
                <w:tab w:val="num" w:pos="425"/>
              </w:tabs>
              <w:rPr>
                <w:noProof/>
              </w:rPr>
            </w:pPr>
            <w:r>
              <w:rPr>
                <w:noProof/>
              </w:rPr>
              <w:t>N/A</w:t>
            </w:r>
          </w:p>
        </w:tc>
        <w:tc>
          <w:tcPr>
            <w:tcW w:w="614" w:type="pct"/>
            <w:tcBorders>
              <w:top w:val="single" w:sz="4" w:space="0" w:color="auto"/>
              <w:left w:val="single" w:sz="4" w:space="0" w:color="auto"/>
              <w:bottom w:val="single" w:sz="4" w:space="0" w:color="auto"/>
              <w:right w:val="single" w:sz="4" w:space="0" w:color="auto"/>
              <w:tl2br w:val="nil"/>
            </w:tcBorders>
            <w:tcMar>
              <w:top w:w="57" w:type="dxa"/>
              <w:left w:w="57" w:type="dxa"/>
              <w:bottom w:w="57" w:type="dxa"/>
              <w:right w:w="57" w:type="dxa"/>
            </w:tcMar>
          </w:tcPr>
          <w:p w14:paraId="75D397A6" w14:textId="00831FE6" w:rsidR="003B52F5" w:rsidRPr="00855E06" w:rsidRDefault="00BE6F65" w:rsidP="00435621">
            <w:pPr>
              <w:tabs>
                <w:tab w:val="num" w:pos="425"/>
              </w:tabs>
              <w:rPr>
                <w:noProof/>
                <w:lang w:val="en-IE"/>
              </w:rPr>
            </w:pPr>
            <w:r>
              <w:rPr>
                <w:noProof/>
              </w:rPr>
              <w:t>N/A</w:t>
            </w:r>
          </w:p>
        </w:tc>
      </w:tr>
      <w:tr w:rsidR="004A37FE" w:rsidRPr="003365D6" w14:paraId="56AD1FF9" w14:textId="77777777" w:rsidTr="00004DA6">
        <w:trPr>
          <w:trHeight w:val="307"/>
        </w:trPr>
        <w:tc>
          <w:tcPr>
            <w:tcW w:w="273" w:type="pct"/>
            <w:vMerge w:val="restart"/>
            <w:tcBorders>
              <w:top w:val="single" w:sz="4" w:space="0" w:color="auto"/>
              <w:left w:val="single" w:sz="4" w:space="0" w:color="auto"/>
              <w:bottom w:val="single" w:sz="4" w:space="0" w:color="auto"/>
              <w:right w:val="single" w:sz="4" w:space="0" w:color="auto"/>
            </w:tcBorders>
            <w:vAlign w:val="center"/>
          </w:tcPr>
          <w:p w14:paraId="76442410" w14:textId="77777777" w:rsidR="00233273" w:rsidRDefault="00233273" w:rsidP="00510EC4">
            <w:pPr>
              <w:tabs>
                <w:tab w:val="num" w:pos="425"/>
              </w:tabs>
              <w:rPr>
                <w:b/>
                <w:noProof/>
                <w:lang w:val="en-IE"/>
              </w:rPr>
            </w:pPr>
            <w:r>
              <w:rPr>
                <w:b/>
                <w:noProof/>
                <w:lang w:val="en-IE"/>
              </w:rPr>
              <w:t>Benefits</w:t>
            </w:r>
          </w:p>
        </w:tc>
        <w:tc>
          <w:tcPr>
            <w:tcW w:w="50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1F2335A6" w14:textId="3901A5D1" w:rsidR="00233273" w:rsidRDefault="00233273" w:rsidP="00435621">
            <w:pPr>
              <w:tabs>
                <w:tab w:val="num" w:pos="425"/>
              </w:tabs>
              <w:rPr>
                <w:b/>
                <w:noProof/>
                <w:lang w:val="en-IE"/>
              </w:rPr>
            </w:pPr>
            <w:r>
              <w:rPr>
                <w:b/>
                <w:noProof/>
                <w:lang w:val="en-IE"/>
              </w:rPr>
              <w:t>Direct benefits</w:t>
            </w:r>
          </w:p>
        </w:tc>
        <w:tc>
          <w:tcPr>
            <w:tcW w:w="31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4CDD6BB" w14:textId="5A5D85D0" w:rsidR="00233273" w:rsidRPr="00855E06" w:rsidRDefault="00233273" w:rsidP="00435621">
            <w:pPr>
              <w:tabs>
                <w:tab w:val="num" w:pos="425"/>
              </w:tabs>
              <w:rPr>
                <w:b/>
                <w:noProof/>
                <w:lang w:val="en-IE"/>
              </w:rPr>
            </w:pPr>
            <w:r w:rsidRPr="00855E06">
              <w:rPr>
                <w:b/>
                <w:noProof/>
                <w:lang w:val="en-IE"/>
              </w:rPr>
              <w:t>recurrent</w:t>
            </w:r>
          </w:p>
        </w:tc>
        <w:tc>
          <w:tcPr>
            <w:tcW w:w="68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7B38AF8" w14:textId="5C4DF2D6" w:rsidR="00233273" w:rsidRPr="00855E06" w:rsidRDefault="008704AE" w:rsidP="00435621">
            <w:pPr>
              <w:tabs>
                <w:tab w:val="num" w:pos="425"/>
              </w:tabs>
              <w:rPr>
                <w:noProof/>
              </w:rPr>
            </w:pPr>
            <w:r>
              <w:rPr>
                <w:noProof/>
              </w:rPr>
              <w:t>N/A</w:t>
            </w:r>
            <w:r w:rsidR="003E20B1">
              <w:rPr>
                <w:noProof/>
              </w:rPr>
              <w:t xml:space="preserve"> </w:t>
            </w:r>
          </w:p>
        </w:tc>
        <w:tc>
          <w:tcPr>
            <w:tcW w:w="63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DE70711" w14:textId="77777777" w:rsidR="00233273" w:rsidRPr="00004DA6" w:rsidRDefault="00233273" w:rsidP="00435621">
            <w:pPr>
              <w:tabs>
                <w:tab w:val="num" w:pos="425"/>
              </w:tabs>
              <w:rPr>
                <w:noProof/>
                <w:lang w:val="en-IE"/>
              </w:rPr>
            </w:pPr>
            <w:r w:rsidRPr="00004DA6">
              <w:rPr>
                <w:noProof/>
                <w:lang w:val="en-IE"/>
              </w:rPr>
              <w:t>Differences in EU opening and closing contributions (see above) represent an increase in EU budget available for other uses.</w:t>
            </w:r>
          </w:p>
          <w:p w14:paraId="7306C8C7" w14:textId="4713E7E2" w:rsidR="00233273" w:rsidRPr="00064AA8" w:rsidRDefault="00233273" w:rsidP="00435621">
            <w:pPr>
              <w:tabs>
                <w:tab w:val="num" w:pos="425"/>
              </w:tabs>
              <w:rPr>
                <w:i/>
                <w:iCs/>
                <w:noProof/>
                <w:lang w:val="en-IE"/>
              </w:rPr>
            </w:pPr>
            <w:r w:rsidRPr="00004DA6">
              <w:rPr>
                <w:noProof/>
                <w:lang w:val="en-IE"/>
              </w:rPr>
              <w:t>On the other hand, cancellations can be signal of issues with planning of resources and activities and/or inefficiencies in implementation</w:t>
            </w:r>
            <w:r w:rsidR="008B1B95" w:rsidRPr="00004DA6">
              <w:rPr>
                <w:noProof/>
                <w:lang w:val="en-IE"/>
              </w:rPr>
              <w:t>.</w:t>
            </w:r>
          </w:p>
        </w:tc>
        <w:tc>
          <w:tcPr>
            <w:tcW w:w="63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6515D92" w14:textId="116307D2" w:rsidR="00233273" w:rsidRPr="00855E06" w:rsidRDefault="00DF5B40" w:rsidP="00435621">
            <w:pPr>
              <w:tabs>
                <w:tab w:val="num" w:pos="425"/>
              </w:tabs>
              <w:rPr>
                <w:noProof/>
              </w:rPr>
            </w:pPr>
            <w:r>
              <w:rPr>
                <w:noProof/>
              </w:rPr>
              <w:t>N/A</w:t>
            </w:r>
          </w:p>
        </w:tc>
        <w:tc>
          <w:tcPr>
            <w:tcW w:w="77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5D5A53B4" w14:textId="17F51AE8" w:rsidR="00233273" w:rsidRPr="006841CE" w:rsidRDefault="00DF5B40" w:rsidP="00435621">
            <w:pPr>
              <w:tabs>
                <w:tab w:val="num" w:pos="425"/>
              </w:tabs>
              <w:rPr>
                <w:noProof/>
              </w:rPr>
            </w:pPr>
            <w:r w:rsidRPr="00004DA6">
              <w:rPr>
                <w:noProof/>
              </w:rPr>
              <w:t xml:space="preserve">The development and management of </w:t>
            </w:r>
            <w:r w:rsidR="00704AB3">
              <w:rPr>
                <w:noProof/>
              </w:rPr>
              <w:t xml:space="preserve">large scale IT </w:t>
            </w:r>
            <w:r w:rsidRPr="00004DA6">
              <w:rPr>
                <w:noProof/>
              </w:rPr>
              <w:t>systems at EU level contribute</w:t>
            </w:r>
            <w:r w:rsidR="00515355">
              <w:rPr>
                <w:noProof/>
              </w:rPr>
              <w:t>d</w:t>
            </w:r>
            <w:r w:rsidRPr="00004DA6">
              <w:rPr>
                <w:noProof/>
              </w:rPr>
              <w:t xml:space="preserve"> to a more efficient pooling of resources</w:t>
            </w:r>
            <w:r w:rsidR="00FE0D6F" w:rsidRPr="00004DA6">
              <w:rPr>
                <w:noProof/>
              </w:rPr>
              <w:t xml:space="preserve">, </w:t>
            </w:r>
            <w:r w:rsidR="00515355">
              <w:rPr>
                <w:noProof/>
              </w:rPr>
              <w:t>exchange of information</w:t>
            </w:r>
            <w:r w:rsidR="00F6181A">
              <w:rPr>
                <w:noProof/>
              </w:rPr>
              <w:t>, increased cooperation</w:t>
            </w:r>
            <w:r w:rsidR="00515355">
              <w:rPr>
                <w:noProof/>
              </w:rPr>
              <w:t xml:space="preserve"> </w:t>
            </w:r>
            <w:r w:rsidR="00FE0D6F" w:rsidRPr="00004DA6">
              <w:rPr>
                <w:noProof/>
              </w:rPr>
              <w:t>and coordination of activities among Member States and associated countries.</w:t>
            </w:r>
            <w:r w:rsidR="00704AB3">
              <w:rPr>
                <w:noProof/>
              </w:rPr>
              <w:t xml:space="preserve"> </w:t>
            </w:r>
          </w:p>
        </w:tc>
        <w:tc>
          <w:tcPr>
            <w:tcW w:w="568" w:type="pct"/>
            <w:tcBorders>
              <w:top w:val="single" w:sz="4" w:space="0" w:color="auto"/>
              <w:left w:val="single" w:sz="4" w:space="0" w:color="auto"/>
              <w:bottom w:val="single" w:sz="4" w:space="0" w:color="auto"/>
              <w:right w:val="single" w:sz="4" w:space="0" w:color="auto"/>
              <w:tl2br w:val="nil"/>
            </w:tcBorders>
            <w:tcMar>
              <w:top w:w="57" w:type="dxa"/>
              <w:left w:w="57" w:type="dxa"/>
              <w:bottom w:w="57" w:type="dxa"/>
              <w:right w:w="57" w:type="dxa"/>
            </w:tcMar>
          </w:tcPr>
          <w:p w14:paraId="6D49FD39" w14:textId="77777777" w:rsidR="00233273" w:rsidRPr="00855E06" w:rsidRDefault="00233273" w:rsidP="00435621">
            <w:pPr>
              <w:tabs>
                <w:tab w:val="num" w:pos="425"/>
              </w:tabs>
              <w:rPr>
                <w:noProof/>
              </w:rPr>
            </w:pPr>
          </w:p>
        </w:tc>
        <w:tc>
          <w:tcPr>
            <w:tcW w:w="614" w:type="pct"/>
            <w:tcBorders>
              <w:top w:val="single" w:sz="4" w:space="0" w:color="auto"/>
              <w:left w:val="single" w:sz="4" w:space="0" w:color="auto"/>
              <w:bottom w:val="single" w:sz="4" w:space="0" w:color="auto"/>
              <w:right w:val="single" w:sz="4" w:space="0" w:color="auto"/>
              <w:tl2br w:val="nil"/>
            </w:tcBorders>
            <w:tcMar>
              <w:top w:w="57" w:type="dxa"/>
              <w:left w:w="57" w:type="dxa"/>
              <w:bottom w:w="57" w:type="dxa"/>
              <w:right w:w="57" w:type="dxa"/>
            </w:tcMar>
          </w:tcPr>
          <w:p w14:paraId="4A8475EF" w14:textId="77777777" w:rsidR="00233273" w:rsidRPr="00855E06" w:rsidRDefault="00233273" w:rsidP="00435621">
            <w:pPr>
              <w:tabs>
                <w:tab w:val="num" w:pos="425"/>
              </w:tabs>
              <w:rPr>
                <w:noProof/>
                <w:lang w:val="en-IE"/>
              </w:rPr>
            </w:pPr>
          </w:p>
        </w:tc>
      </w:tr>
      <w:tr w:rsidR="004A37FE" w:rsidRPr="003365D6" w14:paraId="012FF51E" w14:textId="77777777" w:rsidTr="00004DA6">
        <w:trPr>
          <w:trHeight w:val="738"/>
        </w:trPr>
        <w:tc>
          <w:tcPr>
            <w:tcW w:w="273" w:type="pct"/>
            <w:vMerge/>
          </w:tcPr>
          <w:p w14:paraId="67B88CDF" w14:textId="77777777" w:rsidR="00233273" w:rsidRDefault="00233273" w:rsidP="00435621">
            <w:pPr>
              <w:tabs>
                <w:tab w:val="num" w:pos="425"/>
              </w:tabs>
              <w:rPr>
                <w:b/>
                <w:noProof/>
                <w:lang w:val="en-IE"/>
              </w:rPr>
            </w:pPr>
          </w:p>
        </w:tc>
        <w:tc>
          <w:tcPr>
            <w:tcW w:w="500"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2E012ABE" w14:textId="53E8AE40" w:rsidR="00233273" w:rsidRPr="00855E06" w:rsidRDefault="00233273" w:rsidP="00435621">
            <w:pPr>
              <w:tabs>
                <w:tab w:val="num" w:pos="425"/>
              </w:tabs>
              <w:rPr>
                <w:b/>
                <w:noProof/>
                <w:lang w:val="en-IE"/>
              </w:rPr>
            </w:pPr>
            <w:r w:rsidRPr="00855E06">
              <w:rPr>
                <w:b/>
                <w:noProof/>
                <w:lang w:val="en-IE"/>
              </w:rPr>
              <w:t>Indirect benefits</w:t>
            </w:r>
          </w:p>
        </w:tc>
        <w:tc>
          <w:tcPr>
            <w:tcW w:w="318"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vAlign w:val="center"/>
          </w:tcPr>
          <w:p w14:paraId="7DD18BCB" w14:textId="1937D5FD" w:rsidR="00233273" w:rsidRPr="00855E06" w:rsidRDefault="00233273" w:rsidP="00435621">
            <w:pPr>
              <w:tabs>
                <w:tab w:val="num" w:pos="425"/>
              </w:tabs>
              <w:rPr>
                <w:b/>
                <w:noProof/>
                <w:lang w:val="en-IE"/>
              </w:rPr>
            </w:pPr>
            <w:r w:rsidRPr="00855E06">
              <w:rPr>
                <w:b/>
                <w:noProof/>
                <w:lang w:val="en-IE"/>
              </w:rPr>
              <w:t>recurrent</w:t>
            </w:r>
          </w:p>
        </w:tc>
        <w:tc>
          <w:tcPr>
            <w:tcW w:w="682"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6AECE39A" w14:textId="2115661D" w:rsidR="00233273" w:rsidRPr="00855E06" w:rsidRDefault="00197018" w:rsidP="00435621">
            <w:pPr>
              <w:tabs>
                <w:tab w:val="num" w:pos="425"/>
              </w:tabs>
              <w:rPr>
                <w:noProof/>
              </w:rPr>
            </w:pPr>
            <w:r>
              <w:rPr>
                <w:noProof/>
              </w:rPr>
              <w:t>N/A</w:t>
            </w:r>
          </w:p>
        </w:tc>
        <w:tc>
          <w:tcPr>
            <w:tcW w:w="63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CE48AB3" w14:textId="789F2FF0" w:rsidR="00233273" w:rsidRPr="00855E06" w:rsidRDefault="00CB152E" w:rsidP="00435621">
            <w:pPr>
              <w:tabs>
                <w:tab w:val="num" w:pos="425"/>
              </w:tabs>
              <w:rPr>
                <w:noProof/>
                <w:lang w:val="en-IE"/>
              </w:rPr>
            </w:pPr>
            <w:r>
              <w:rPr>
                <w:noProof/>
                <w:lang w:val="en-IE"/>
              </w:rPr>
              <w:t xml:space="preserve">The development and management of EU level IT large scale systems contribute to </w:t>
            </w:r>
            <w:r w:rsidR="007E7F53">
              <w:rPr>
                <w:noProof/>
                <w:lang w:val="en-IE"/>
              </w:rPr>
              <w:t>a high</w:t>
            </w:r>
            <w:r>
              <w:rPr>
                <w:noProof/>
                <w:lang w:val="en-IE"/>
              </w:rPr>
              <w:t xml:space="preserve"> level of security within the</w:t>
            </w:r>
            <w:r w:rsidR="007E7F53">
              <w:rPr>
                <w:noProof/>
                <w:lang w:val="en-IE"/>
              </w:rPr>
              <w:t xml:space="preserve"> EU and the Schengen area.</w:t>
            </w:r>
          </w:p>
        </w:tc>
        <w:tc>
          <w:tcPr>
            <w:tcW w:w="636"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06A9C355" w14:textId="5997497F" w:rsidR="00233273" w:rsidRPr="00004DA6" w:rsidRDefault="00DF5B40" w:rsidP="00435621">
            <w:pPr>
              <w:tabs>
                <w:tab w:val="num" w:pos="425"/>
              </w:tabs>
              <w:rPr>
                <w:noProof/>
                <w:lang w:val="en-IE"/>
              </w:rPr>
            </w:pPr>
            <w:r>
              <w:rPr>
                <w:noProof/>
                <w:lang w:val="en-IE"/>
              </w:rPr>
              <w:t>N/A</w:t>
            </w:r>
          </w:p>
        </w:tc>
        <w:tc>
          <w:tcPr>
            <w:tcW w:w="773"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9B7403D" w14:textId="2DFFE420" w:rsidR="00233273" w:rsidRPr="00855E06" w:rsidRDefault="00E165D7" w:rsidP="00435621">
            <w:pPr>
              <w:tabs>
                <w:tab w:val="num" w:pos="425"/>
              </w:tabs>
              <w:rPr>
                <w:noProof/>
                <w:lang w:val="en-IE"/>
              </w:rPr>
            </w:pPr>
            <w:r>
              <w:rPr>
                <w:noProof/>
                <w:lang w:val="en-IE"/>
              </w:rPr>
              <w:t xml:space="preserve">A centralised management of large scale IT systems in the area of </w:t>
            </w:r>
            <w:r w:rsidR="00047E9D">
              <w:rPr>
                <w:noProof/>
                <w:lang w:val="en-IE"/>
              </w:rPr>
              <w:t xml:space="preserve">freedom, security and justice benefits </w:t>
            </w:r>
            <w:r w:rsidR="009B06E7">
              <w:rPr>
                <w:noProof/>
                <w:lang w:val="en-IE"/>
              </w:rPr>
              <w:t xml:space="preserve">Member States and associated countries indirectly </w:t>
            </w:r>
            <w:r w:rsidR="00047E9D">
              <w:rPr>
                <w:noProof/>
                <w:lang w:val="en-IE"/>
              </w:rPr>
              <w:t>by creating a more harmonised IT landscape</w:t>
            </w:r>
            <w:r w:rsidR="00774389">
              <w:rPr>
                <w:noProof/>
                <w:lang w:val="en-IE"/>
              </w:rPr>
              <w:t xml:space="preserve">, with competent authorities having access </w:t>
            </w:r>
            <w:r w:rsidR="00F6181A">
              <w:rPr>
                <w:noProof/>
                <w:lang w:val="en-IE"/>
              </w:rPr>
              <w:t>to</w:t>
            </w:r>
            <w:r>
              <w:rPr>
                <w:noProof/>
                <w:lang w:val="en-IE"/>
              </w:rPr>
              <w:t xml:space="preserve"> </w:t>
            </w:r>
            <w:r w:rsidR="0081526F">
              <w:rPr>
                <w:noProof/>
                <w:lang w:val="en-IE"/>
              </w:rPr>
              <w:t>timely information.</w:t>
            </w:r>
          </w:p>
        </w:tc>
        <w:tc>
          <w:tcPr>
            <w:tcW w:w="568" w:type="pct"/>
            <w:tcBorders>
              <w:top w:val="single" w:sz="4" w:space="0" w:color="auto"/>
              <w:left w:val="single" w:sz="4" w:space="0" w:color="auto"/>
              <w:bottom w:val="single" w:sz="4" w:space="0" w:color="auto"/>
              <w:right w:val="single" w:sz="4" w:space="0" w:color="auto"/>
              <w:tl2br w:val="nil"/>
            </w:tcBorders>
            <w:tcMar>
              <w:top w:w="57" w:type="dxa"/>
              <w:left w:w="57" w:type="dxa"/>
              <w:bottom w:w="57" w:type="dxa"/>
              <w:right w:w="57" w:type="dxa"/>
            </w:tcMar>
          </w:tcPr>
          <w:p w14:paraId="46282C04" w14:textId="5870B0CC" w:rsidR="00233273" w:rsidRPr="00004DA6" w:rsidRDefault="00DD1C19" w:rsidP="00435621">
            <w:pPr>
              <w:tabs>
                <w:tab w:val="num" w:pos="425"/>
              </w:tabs>
              <w:rPr>
                <w:noProof/>
              </w:rPr>
            </w:pPr>
            <w:r>
              <w:rPr>
                <w:noProof/>
              </w:rPr>
              <w:t>N/A</w:t>
            </w:r>
          </w:p>
        </w:tc>
        <w:tc>
          <w:tcPr>
            <w:tcW w:w="614" w:type="pct"/>
            <w:tcBorders>
              <w:top w:val="single" w:sz="4" w:space="0" w:color="auto"/>
              <w:left w:val="single" w:sz="4" w:space="0" w:color="auto"/>
              <w:bottom w:val="single" w:sz="4" w:space="0" w:color="auto"/>
              <w:right w:val="single" w:sz="4" w:space="0" w:color="auto"/>
              <w:tl2br w:val="nil"/>
            </w:tcBorders>
            <w:tcMar>
              <w:top w:w="57" w:type="dxa"/>
              <w:left w:w="57" w:type="dxa"/>
              <w:bottom w:w="57" w:type="dxa"/>
              <w:right w:w="57" w:type="dxa"/>
            </w:tcMar>
          </w:tcPr>
          <w:p w14:paraId="33604048" w14:textId="51163ECD" w:rsidR="00DD1C19" w:rsidRDefault="00DD1C19" w:rsidP="00435621">
            <w:pPr>
              <w:tabs>
                <w:tab w:val="num" w:pos="425"/>
              </w:tabs>
              <w:rPr>
                <w:noProof/>
                <w:lang w:val="en-IE"/>
              </w:rPr>
            </w:pPr>
            <w:r w:rsidRPr="004A358E">
              <w:rPr>
                <w:noProof/>
              </w:rPr>
              <w:t xml:space="preserve">Businesses and citizens operating in areas relevant to eu-LISA activities (IT equipment) </w:t>
            </w:r>
            <w:r w:rsidR="00F6181A">
              <w:rPr>
                <w:noProof/>
              </w:rPr>
              <w:t xml:space="preserve">indirectly </w:t>
            </w:r>
            <w:r w:rsidRPr="004A358E">
              <w:rPr>
                <w:noProof/>
              </w:rPr>
              <w:t>benefit</w:t>
            </w:r>
            <w:r w:rsidR="00F6181A">
              <w:rPr>
                <w:noProof/>
              </w:rPr>
              <w:t>ted</w:t>
            </w:r>
            <w:r w:rsidRPr="004A358E">
              <w:rPr>
                <w:noProof/>
              </w:rPr>
              <w:t xml:space="preserve"> from centralised management of IT systems by the Agency</w:t>
            </w:r>
            <w:r w:rsidR="00F6181A">
              <w:rPr>
                <w:noProof/>
              </w:rPr>
              <w:t>,</w:t>
            </w:r>
            <w:r w:rsidR="005C402D">
              <w:rPr>
                <w:noProof/>
              </w:rPr>
              <w:t xml:space="preserve"> i.e. </w:t>
            </w:r>
            <w:r w:rsidR="00217649">
              <w:rPr>
                <w:noProof/>
              </w:rPr>
              <w:t>from the increased security within the Schengen area.</w:t>
            </w:r>
          </w:p>
          <w:p w14:paraId="0E2D76B7" w14:textId="078C7B3B" w:rsidR="00233273" w:rsidRPr="00004DA6" w:rsidRDefault="00233273" w:rsidP="00435621">
            <w:pPr>
              <w:tabs>
                <w:tab w:val="num" w:pos="425"/>
              </w:tabs>
              <w:rPr>
                <w:noProof/>
                <w:lang w:val="en-IE"/>
              </w:rPr>
            </w:pPr>
            <w:r w:rsidRPr="00004DA6">
              <w:rPr>
                <w:noProof/>
                <w:lang w:val="en-IE"/>
              </w:rPr>
              <w:t>These are indirect effects hard to assess.</w:t>
            </w:r>
          </w:p>
        </w:tc>
      </w:tr>
    </w:tbl>
    <w:p w14:paraId="265F0980" w14:textId="77777777" w:rsidR="00183CC0" w:rsidRDefault="00183CC0">
      <w:pPr>
        <w:rPr>
          <w:rFonts w:ascii="Times New Roman" w:eastAsia="Times New Roman" w:hAnsi="Times New Roman" w:cs="Times New Roman"/>
          <w:b/>
          <w:smallCaps/>
          <w:noProof/>
          <w:sz w:val="24"/>
          <w:szCs w:val="24"/>
          <w:lang w:val="en-GB"/>
        </w:rPr>
      </w:pPr>
      <w:r w:rsidRPr="00183CC0">
        <w:rPr>
          <w:noProof/>
          <w:szCs w:val="24"/>
          <w:lang w:val="en-IE"/>
        </w:rPr>
        <w:br w:type="page"/>
      </w:r>
    </w:p>
    <w:p w14:paraId="5616772F" w14:textId="1A7F72AD" w:rsidR="00B623C0" w:rsidRPr="00855E06" w:rsidRDefault="00B623C0" w:rsidP="004E2424">
      <w:pPr>
        <w:pStyle w:val="Heading1"/>
        <w:pBdr>
          <w:top w:val="single" w:sz="4" w:space="1" w:color="auto"/>
          <w:left w:val="single" w:sz="4" w:space="4" w:color="auto"/>
          <w:bottom w:val="single" w:sz="4" w:space="1" w:color="auto"/>
          <w:right w:val="single" w:sz="4" w:space="4" w:color="auto"/>
        </w:pBdr>
        <w:shd w:val="clear" w:color="auto" w:fill="BBDAFD" w:themeFill="text2" w:themeFillTint="33"/>
        <w:spacing w:before="0" w:after="0"/>
        <w:rPr>
          <w:noProof/>
          <w:szCs w:val="24"/>
        </w:rPr>
      </w:pPr>
      <w:bookmarkStart w:id="136" w:name="_Toc207303621"/>
      <w:r w:rsidRPr="00855E06">
        <w:rPr>
          <w:noProof/>
          <w:szCs w:val="24"/>
        </w:rPr>
        <w:t xml:space="preserve">Annex V. Stakeholders </w:t>
      </w:r>
      <w:r w:rsidRPr="00855E06">
        <w:rPr>
          <w:noProof/>
          <w:color w:val="000000" w:themeColor="text1"/>
          <w:szCs w:val="24"/>
        </w:rPr>
        <w:t>consultation - Synopsis report</w:t>
      </w:r>
      <w:bookmarkEnd w:id="136"/>
      <w:r w:rsidRPr="00855E06">
        <w:rPr>
          <w:noProof/>
          <w:color w:val="000000" w:themeColor="text1"/>
          <w:szCs w:val="24"/>
        </w:rPr>
        <w:t xml:space="preserve"> </w:t>
      </w:r>
    </w:p>
    <w:bookmarkEnd w:id="41"/>
    <w:p w14:paraId="17DF59B2" w14:textId="77777777" w:rsidR="00632E95" w:rsidRDefault="00632E95" w:rsidP="00275C95">
      <w:pPr>
        <w:spacing w:after="0"/>
        <w:jc w:val="both"/>
        <w:rPr>
          <w:rFonts w:ascii="Times New Roman" w:hAnsi="Times New Roman" w:cs="Times New Roman"/>
          <w:iCs/>
          <w:noProof/>
          <w:sz w:val="24"/>
          <w:szCs w:val="24"/>
          <w:lang w:val="en-GB"/>
        </w:rPr>
      </w:pPr>
    </w:p>
    <w:p w14:paraId="13941D2C" w14:textId="3110533B"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This Annex provides a concise summary of all consultation activities conducted in the context of the “</w:t>
      </w:r>
      <w:r w:rsidRPr="00855E06">
        <w:rPr>
          <w:rFonts w:ascii="Times New Roman" w:hAnsi="Times New Roman" w:cs="Times New Roman"/>
          <w:b/>
          <w:bCs/>
          <w:iCs/>
          <w:noProof/>
          <w:sz w:val="24"/>
          <w:szCs w:val="24"/>
          <w:lang w:val="en-GB"/>
        </w:rPr>
        <w:t>Study to support the evaluation of Regulation (EU) 2018/1726 on eu-LISA</w:t>
      </w:r>
      <w:r w:rsidRPr="00855E06">
        <w:rPr>
          <w:rFonts w:ascii="Times New Roman" w:hAnsi="Times New Roman" w:cs="Times New Roman"/>
          <w:iCs/>
          <w:noProof/>
          <w:sz w:val="24"/>
          <w:szCs w:val="24"/>
          <w:lang w:val="en-GB"/>
        </w:rPr>
        <w:t>”.</w:t>
      </w:r>
    </w:p>
    <w:p w14:paraId="342FE8FE" w14:textId="71B2E286"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Specifically, the present synopsis report offers an overview of the consultation process, including the stakeholder clusters targeted and key topics addressed through each consultation activity. Moreover, it provides a concise summary of the main results of each consultation activity, aggregating relevant information as appropriate. An overview on the methodology and analytical models and tools used. </w:t>
      </w:r>
    </w:p>
    <w:p w14:paraId="2662468D" w14:textId="77777777" w:rsidR="00403FEB" w:rsidRPr="00855E06" w:rsidRDefault="00403FEB" w:rsidP="00275C95">
      <w:pPr>
        <w:spacing w:after="0"/>
        <w:jc w:val="both"/>
        <w:rPr>
          <w:rFonts w:ascii="Times New Roman" w:hAnsi="Times New Roman" w:cs="Times New Roman"/>
          <w:iCs/>
          <w:noProof/>
          <w:sz w:val="24"/>
          <w:szCs w:val="24"/>
          <w:lang w:val="en-GB"/>
        </w:rPr>
      </w:pPr>
    </w:p>
    <w:p w14:paraId="781D31B4" w14:textId="77777777" w:rsidR="00FA1448" w:rsidRPr="00855E06" w:rsidRDefault="00FA1448" w:rsidP="00275C95">
      <w:pPr>
        <w:spacing w:after="0"/>
        <w:jc w:val="both"/>
        <w:rPr>
          <w:rFonts w:ascii="Times New Roman" w:hAnsi="Times New Roman" w:cs="Times New Roman"/>
          <w:b/>
          <w:noProof/>
          <w:sz w:val="24"/>
          <w:szCs w:val="24"/>
          <w:lang w:val="en-GB"/>
        </w:rPr>
      </w:pPr>
      <w:bookmarkStart w:id="137" w:name="_Toc168044100"/>
      <w:r w:rsidRPr="00004DA6">
        <w:rPr>
          <w:rFonts w:ascii="Times New Roman" w:hAnsi="Times New Roman" w:cs="Times New Roman"/>
          <w:b/>
          <w:noProof/>
          <w:sz w:val="24"/>
          <w:szCs w:val="24"/>
          <w:lang w:val="en-GB"/>
        </w:rPr>
        <w:t>Call for evidence</w:t>
      </w:r>
      <w:r w:rsidRPr="00855E06">
        <w:rPr>
          <w:rFonts w:ascii="Times New Roman" w:hAnsi="Times New Roman" w:cs="Times New Roman"/>
          <w:b/>
          <w:noProof/>
          <w:sz w:val="24"/>
          <w:szCs w:val="24"/>
          <w:lang w:val="en-GB"/>
        </w:rPr>
        <w:t xml:space="preserve"> </w:t>
      </w:r>
    </w:p>
    <w:p w14:paraId="4F0E7120" w14:textId="77777777" w:rsidR="00FA1448" w:rsidRPr="00855E06" w:rsidRDefault="00FA1448"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The feedbacks received on the call for evidence differed widely in their thematic orientation, length and attention to detail. </w:t>
      </w:r>
    </w:p>
    <w:p w14:paraId="7816B9BB" w14:textId="77777777" w:rsidR="00FA1448" w:rsidRPr="00855E06" w:rsidRDefault="00FA1448"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Stakeholders from within or representing the interests of the airlines particularly focused their feedback on the implementation of the EES and ETIAS systems. The professional organisations expressed support for the objectives of the EES and ETIAS systems but raised concerns about the lack of effective preparedness by eu-LISA, which could risk EU connectivity, hamper the passenger experience, and disrupt industry operations. They emphasized the need for operational readiness before implementation and offered to work closely with eu-LISA for smooth system implementation. The airlines themselves highlighted the need for eu-LISA to allocate well-qualified staff, establish mechanisms to address inefficiencies, and streamline implementation processes. They recommended improving communication methods and project management to ensure successful IT system operations. </w:t>
      </w:r>
    </w:p>
    <w:p w14:paraId="1AE0245C" w14:textId="77777777" w:rsidR="00FA1448" w:rsidRPr="00855E06" w:rsidRDefault="00FA1448"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Feedback from the public sector, represented only by the Ministry of the Interior of Estonia, focused on  potential amendments to the Agency's current legal basis. The recommendations were not included in the feedback itself but in an additional attached document, which included an analysis prepared for the Ministry.</w:t>
      </w:r>
      <w:r w:rsidRPr="00855E06">
        <w:rPr>
          <w:rFonts w:ascii="Times New Roman" w:hAnsi="Times New Roman" w:cs="Times New Roman"/>
          <w:iCs/>
          <w:noProof/>
          <w:sz w:val="24"/>
          <w:szCs w:val="24"/>
          <w:vertAlign w:val="superscript"/>
          <w:lang w:val="en-GB"/>
        </w:rPr>
        <w:footnoteReference w:id="85"/>
      </w:r>
    </w:p>
    <w:p w14:paraId="23DFA6C7" w14:textId="77777777" w:rsidR="00FA1448" w:rsidRPr="00855E06" w:rsidRDefault="00FA1448"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Feedback received from the EU and non-EU citizens covered a wide range of different topics, including (i) the good performance of eu-LISA in managing systems like VIS, SIS, and Eurodac, (ii) suggestions that the Agency's activities might become insufficient given the current migration and security challenges, (iii) the need for improved project management and better stakeholder integration, and (vi) recommendations for enhanced operational readiness to address the challenges faced by eu-LISA in managing the large-scale IT systems. </w:t>
      </w:r>
    </w:p>
    <w:p w14:paraId="560DF376" w14:textId="77777777" w:rsidR="00FA1448" w:rsidRPr="00855E06" w:rsidRDefault="00FA1448"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The feedback was noted within the context of the study but did not provide significant additional inputs for the study team. The main findings were rather derived from the other consultation methods outlined above, also including many of the stakeholder groups who have answered to the call for evidence. </w:t>
      </w:r>
    </w:p>
    <w:bookmarkEnd w:id="137"/>
    <w:p w14:paraId="6544017A" w14:textId="77777777" w:rsidR="00FA1448" w:rsidRPr="00855E06" w:rsidRDefault="00FA1448" w:rsidP="00275C95">
      <w:pPr>
        <w:spacing w:after="0"/>
        <w:jc w:val="both"/>
        <w:rPr>
          <w:rFonts w:ascii="Times New Roman" w:hAnsi="Times New Roman" w:cs="Times New Roman"/>
          <w:iCs/>
          <w:noProof/>
          <w:sz w:val="24"/>
          <w:szCs w:val="24"/>
          <w:lang w:val="en-GB"/>
        </w:rPr>
      </w:pPr>
    </w:p>
    <w:p w14:paraId="102A5277" w14:textId="77777777" w:rsidR="00066E21" w:rsidRPr="00855E06" w:rsidRDefault="00066E21" w:rsidP="00275C95">
      <w:pPr>
        <w:spacing w:after="0"/>
        <w:jc w:val="both"/>
        <w:rPr>
          <w:rFonts w:ascii="Times New Roman" w:hAnsi="Times New Roman" w:cs="Times New Roman"/>
          <w:iCs/>
          <w:noProof/>
          <w:sz w:val="24"/>
          <w:szCs w:val="24"/>
          <w:lang w:val="en-GB"/>
        </w:rPr>
      </w:pPr>
    </w:p>
    <w:p w14:paraId="2D0A211B" w14:textId="77777777" w:rsidR="00B758A1" w:rsidRPr="00855E06" w:rsidRDefault="00B758A1" w:rsidP="00275C95">
      <w:pPr>
        <w:spacing w:after="0"/>
        <w:jc w:val="both"/>
        <w:rPr>
          <w:rFonts w:ascii="Times New Roman" w:hAnsi="Times New Roman" w:cs="Times New Roman"/>
          <w:b/>
          <w:iCs/>
          <w:noProof/>
          <w:sz w:val="24"/>
          <w:szCs w:val="24"/>
          <w:lang w:val="en-GB"/>
        </w:rPr>
      </w:pPr>
      <w:bookmarkStart w:id="138" w:name="_Toc167205617"/>
      <w:bookmarkStart w:id="139" w:name="_Toc167208516"/>
      <w:r w:rsidRPr="00855E06">
        <w:rPr>
          <w:rFonts w:ascii="Times New Roman" w:hAnsi="Times New Roman" w:cs="Times New Roman"/>
          <w:b/>
          <w:iCs/>
          <w:noProof/>
          <w:sz w:val="24"/>
          <w:szCs w:val="24"/>
          <w:lang w:val="en-GB"/>
        </w:rPr>
        <w:t>Consultation methods and stakeholders consulted</w:t>
      </w:r>
      <w:bookmarkEnd w:id="138"/>
      <w:bookmarkEnd w:id="139"/>
      <w:r w:rsidRPr="00855E06">
        <w:rPr>
          <w:rFonts w:ascii="Times New Roman" w:hAnsi="Times New Roman" w:cs="Times New Roman"/>
          <w:b/>
          <w:iCs/>
          <w:noProof/>
          <w:sz w:val="24"/>
          <w:szCs w:val="24"/>
          <w:lang w:val="en-GB"/>
        </w:rPr>
        <w:t xml:space="preserve"> </w:t>
      </w:r>
    </w:p>
    <w:p w14:paraId="78A4D190"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The consultation activities performed in the context of the present Evaluation Study include exploratory and expert interviews (individual and in focus groups), workshops and a survey. Overall, consultation activities reached </w:t>
      </w:r>
      <w:r w:rsidRPr="00855E06">
        <w:rPr>
          <w:rFonts w:ascii="Times New Roman" w:hAnsi="Times New Roman" w:cs="Times New Roman"/>
          <w:b/>
          <w:bCs/>
          <w:iCs/>
          <w:noProof/>
          <w:sz w:val="24"/>
          <w:szCs w:val="24"/>
          <w:lang w:val="en-GB"/>
        </w:rPr>
        <w:t>around 500 stakeholders</w:t>
      </w:r>
      <w:r w:rsidRPr="00855E06">
        <w:rPr>
          <w:rFonts w:ascii="Times New Roman" w:hAnsi="Times New Roman" w:cs="Times New Roman"/>
          <w:iCs/>
          <w:noProof/>
          <w:sz w:val="24"/>
          <w:szCs w:val="24"/>
          <w:lang w:val="en-GB"/>
        </w:rPr>
        <w:t xml:space="preserve">, including more than 114 contributors via interviews/focus groups (including exploratory interviews), roughly 40 participants in SWOT-workshops, and 353 respondents via the online survey. The overall objective of the consultations conducted was to better understand the current functioning of eu-LISA, and where challenges arise or where the performance of the Agency could be improved with regard to its current mandate. </w:t>
      </w:r>
    </w:p>
    <w:p w14:paraId="66086976"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The table below provides an overview of the involvement of each stakeholder category into the consultation activities conducted. The stakeholder groups consulted include: officials from the European Commission; stakeholders from within eu-LISA’s staff and the Agency’s governance bodies (Management Board, Advisory Groups, Programme Management Boards); stakeholders within other EU institutions and bodies; private sector carrier organisations (air, land, sea) affected by the systems managed by eu-LISA; contractors of eu-LISA; national data protection authorities; and finally users of the large-scale IT-systems. </w:t>
      </w:r>
    </w:p>
    <w:p w14:paraId="6ACB7024" w14:textId="77777777" w:rsidR="00403FEB" w:rsidRPr="00855E06" w:rsidRDefault="00403FEB" w:rsidP="00275C95">
      <w:pPr>
        <w:spacing w:after="0"/>
        <w:jc w:val="both"/>
        <w:rPr>
          <w:rFonts w:ascii="Times New Roman" w:hAnsi="Times New Roman" w:cs="Times New Roman"/>
          <w:iCs/>
          <w:noProof/>
          <w:sz w:val="24"/>
          <w:szCs w:val="24"/>
          <w:lang w:val="en-GB"/>
        </w:rPr>
      </w:pPr>
    </w:p>
    <w:p w14:paraId="6BC2C049" w14:textId="3A54E8FA" w:rsidR="00B758A1" w:rsidRPr="00855E06" w:rsidRDefault="00B758A1" w:rsidP="00275C95">
      <w:pPr>
        <w:spacing w:after="0"/>
        <w:jc w:val="both"/>
        <w:rPr>
          <w:rFonts w:ascii="Times New Roman" w:hAnsi="Times New Roman" w:cs="Times New Roman"/>
          <w:b/>
          <w:i/>
          <w:noProof/>
          <w:lang w:val="en-GB"/>
        </w:rPr>
      </w:pPr>
      <w:bookmarkStart w:id="140" w:name="_Toc167205851"/>
      <w:r w:rsidRPr="00855E06">
        <w:rPr>
          <w:rFonts w:ascii="Times New Roman" w:hAnsi="Times New Roman" w:cs="Times New Roman"/>
          <w:b/>
          <w:i/>
          <w:noProof/>
          <w:lang w:val="en-GB"/>
        </w:rPr>
        <w:t xml:space="preserve">Table </w:t>
      </w:r>
      <w:r w:rsidR="00AA29BC">
        <w:rPr>
          <w:rFonts w:ascii="Times New Roman" w:hAnsi="Times New Roman" w:cs="Times New Roman"/>
          <w:b/>
          <w:i/>
          <w:noProof/>
          <w:lang w:val="en-GB"/>
        </w:rPr>
        <w:t>1</w:t>
      </w:r>
      <w:r w:rsidR="00AA29BC" w:rsidRPr="00855E06">
        <w:rPr>
          <w:rFonts w:ascii="Times New Roman" w:hAnsi="Times New Roman" w:cs="Times New Roman"/>
          <w:b/>
          <w:i/>
          <w:noProof/>
          <w:lang w:val="en-GB"/>
        </w:rPr>
        <w:t xml:space="preserve"> </w:t>
      </w:r>
      <w:r w:rsidRPr="00855E06">
        <w:rPr>
          <w:rFonts w:ascii="Times New Roman" w:hAnsi="Times New Roman" w:cs="Times New Roman"/>
          <w:b/>
          <w:i/>
          <w:noProof/>
          <w:lang w:val="en-GB"/>
        </w:rPr>
        <w:t>- Overview on consultations conducted by stakeholder group</w:t>
      </w:r>
      <w:bookmarkEnd w:id="140"/>
    </w:p>
    <w:tbl>
      <w:tblPr>
        <w:tblStyle w:val="Table1"/>
        <w:tblW w:w="5013" w:type="pct"/>
        <w:jc w:val="center"/>
        <w:tblLook w:val="04A0" w:firstRow="1" w:lastRow="0" w:firstColumn="1" w:lastColumn="0" w:noHBand="0" w:noVBand="1"/>
      </w:tblPr>
      <w:tblGrid>
        <w:gridCol w:w="2337"/>
        <w:gridCol w:w="2101"/>
        <w:gridCol w:w="2144"/>
        <w:gridCol w:w="2336"/>
        <w:gridCol w:w="2360"/>
        <w:gridCol w:w="2055"/>
        <w:gridCol w:w="2095"/>
      </w:tblGrid>
      <w:tr w:rsidR="003C080C" w:rsidRPr="003C080C" w14:paraId="551FD96D" w14:textId="77777777" w:rsidTr="003C080C">
        <w:trPr>
          <w:cnfStyle w:val="100000000000" w:firstRow="1" w:lastRow="0" w:firstColumn="0" w:lastColumn="0" w:oddVBand="0" w:evenVBand="0" w:oddHBand="0" w:evenHBand="0" w:firstRowFirstColumn="0" w:firstRowLastColumn="0" w:lastRowFirstColumn="0" w:lastRowLastColumn="0"/>
          <w:trHeight w:val="1041"/>
          <w:jc w:val="center"/>
        </w:trPr>
        <w:tc>
          <w:tcPr>
            <w:tcW w:w="757" w:type="pct"/>
            <w:shd w:val="clear" w:color="auto" w:fill="1B7BCA" w:themeFill="background2" w:themeFillShade="80"/>
          </w:tcPr>
          <w:p w14:paraId="2957AA5B" w14:textId="77777777" w:rsidR="00B758A1" w:rsidRPr="003C080C" w:rsidRDefault="00B758A1" w:rsidP="00275C95">
            <w:pPr>
              <w:spacing w:before="0" w:after="0" w:line="276" w:lineRule="auto"/>
              <w:jc w:val="both"/>
              <w:rPr>
                <w:rFonts w:ascii="Arial" w:eastAsiaTheme="minorHAnsi" w:hAnsi="Arial" w:cs="Arial"/>
                <w:iCs/>
                <w:noProof/>
                <w:color w:val="FFFFFF" w:themeColor="background1"/>
                <w:sz w:val="20"/>
                <w:lang w:val="en-GB" w:eastAsia="en-US"/>
              </w:rPr>
            </w:pPr>
            <w:r w:rsidRPr="003C080C">
              <w:rPr>
                <w:rFonts w:ascii="Arial" w:eastAsiaTheme="minorHAnsi" w:hAnsi="Arial" w:cs="Arial"/>
                <w:iCs/>
                <w:noProof/>
                <w:color w:val="FFFFFF" w:themeColor="background1"/>
                <w:sz w:val="20"/>
                <w:lang w:val="en-GB" w:eastAsia="en-US"/>
              </w:rPr>
              <w:t>Activity</w:t>
            </w:r>
          </w:p>
        </w:tc>
        <w:tc>
          <w:tcPr>
            <w:tcW w:w="681" w:type="pct"/>
            <w:shd w:val="clear" w:color="auto" w:fill="1B7BCA" w:themeFill="background2" w:themeFillShade="80"/>
          </w:tcPr>
          <w:p w14:paraId="232F2606" w14:textId="77777777" w:rsidR="00B758A1" w:rsidRPr="003C080C" w:rsidRDefault="00B758A1" w:rsidP="00275C95">
            <w:pPr>
              <w:spacing w:before="0" w:after="0" w:line="276" w:lineRule="auto"/>
              <w:jc w:val="both"/>
              <w:rPr>
                <w:rFonts w:ascii="Arial" w:eastAsiaTheme="minorHAnsi" w:hAnsi="Arial" w:cs="Arial"/>
                <w:iCs/>
                <w:noProof/>
                <w:color w:val="FFFFFF" w:themeColor="background1"/>
                <w:sz w:val="20"/>
                <w:lang w:val="en-GB" w:eastAsia="en-US"/>
              </w:rPr>
            </w:pPr>
            <w:r w:rsidRPr="003C080C">
              <w:rPr>
                <w:rFonts w:ascii="Arial" w:eastAsiaTheme="minorHAnsi" w:hAnsi="Arial" w:cs="Arial"/>
                <w:iCs/>
                <w:noProof/>
                <w:color w:val="FFFFFF" w:themeColor="background1"/>
                <w:sz w:val="20"/>
                <w:lang w:val="en-GB" w:eastAsia="en-US"/>
              </w:rPr>
              <w:t xml:space="preserve">Officials from COM </w:t>
            </w:r>
          </w:p>
        </w:tc>
        <w:tc>
          <w:tcPr>
            <w:tcW w:w="695" w:type="pct"/>
            <w:shd w:val="clear" w:color="auto" w:fill="1B7BCA" w:themeFill="background2" w:themeFillShade="80"/>
          </w:tcPr>
          <w:p w14:paraId="62D27A29" w14:textId="77777777" w:rsidR="00B758A1" w:rsidRPr="003C080C" w:rsidRDefault="00B758A1" w:rsidP="00275C95">
            <w:pPr>
              <w:spacing w:before="0" w:after="0" w:line="276" w:lineRule="auto"/>
              <w:jc w:val="both"/>
              <w:rPr>
                <w:rFonts w:ascii="Arial" w:eastAsiaTheme="minorHAnsi" w:hAnsi="Arial" w:cs="Arial"/>
                <w:iCs/>
                <w:noProof/>
                <w:color w:val="FFFFFF" w:themeColor="background1"/>
                <w:sz w:val="20"/>
                <w:lang w:val="en-GB" w:eastAsia="en-US"/>
              </w:rPr>
            </w:pPr>
            <w:r w:rsidRPr="003C080C">
              <w:rPr>
                <w:rFonts w:ascii="Arial" w:eastAsiaTheme="minorHAnsi" w:hAnsi="Arial" w:cs="Arial"/>
                <w:iCs/>
                <w:noProof/>
                <w:color w:val="FFFFFF" w:themeColor="background1"/>
                <w:sz w:val="20"/>
                <w:lang w:val="en-GB" w:eastAsia="en-US"/>
              </w:rPr>
              <w:t>eu-LISA staff and governance bodies</w:t>
            </w:r>
          </w:p>
        </w:tc>
        <w:tc>
          <w:tcPr>
            <w:tcW w:w="757" w:type="pct"/>
            <w:shd w:val="clear" w:color="auto" w:fill="1B7BCA" w:themeFill="background2" w:themeFillShade="80"/>
          </w:tcPr>
          <w:p w14:paraId="3FA569C3" w14:textId="77777777" w:rsidR="00B758A1" w:rsidRPr="003C080C" w:rsidRDefault="00B758A1" w:rsidP="00275C95">
            <w:pPr>
              <w:spacing w:before="0" w:after="0" w:line="276" w:lineRule="auto"/>
              <w:jc w:val="both"/>
              <w:rPr>
                <w:rFonts w:ascii="Arial" w:eastAsiaTheme="minorHAnsi" w:hAnsi="Arial" w:cs="Arial"/>
                <w:iCs/>
                <w:noProof/>
                <w:color w:val="FFFFFF" w:themeColor="background1"/>
                <w:sz w:val="20"/>
                <w:lang w:val="en-GB" w:eastAsia="en-US"/>
              </w:rPr>
            </w:pPr>
            <w:r w:rsidRPr="003C080C">
              <w:rPr>
                <w:rFonts w:ascii="Arial" w:eastAsiaTheme="minorHAnsi" w:hAnsi="Arial" w:cs="Arial"/>
                <w:iCs/>
                <w:noProof/>
                <w:color w:val="FFFFFF" w:themeColor="background1"/>
                <w:sz w:val="20"/>
                <w:lang w:val="en-GB" w:eastAsia="en-US"/>
              </w:rPr>
              <w:t>Users of the IT-systems</w:t>
            </w:r>
          </w:p>
        </w:tc>
        <w:tc>
          <w:tcPr>
            <w:tcW w:w="765" w:type="pct"/>
            <w:shd w:val="clear" w:color="auto" w:fill="1B7BCA" w:themeFill="background2" w:themeFillShade="80"/>
          </w:tcPr>
          <w:p w14:paraId="47D722C6" w14:textId="77777777" w:rsidR="00B758A1" w:rsidRPr="003C080C" w:rsidRDefault="00B758A1" w:rsidP="00275C95">
            <w:pPr>
              <w:spacing w:before="0" w:after="0" w:line="276" w:lineRule="auto"/>
              <w:jc w:val="both"/>
              <w:rPr>
                <w:rFonts w:ascii="Arial" w:eastAsiaTheme="minorHAnsi" w:hAnsi="Arial" w:cs="Arial"/>
                <w:iCs/>
                <w:noProof/>
                <w:color w:val="FFFFFF" w:themeColor="background1"/>
                <w:sz w:val="20"/>
                <w:lang w:val="en-GB" w:eastAsia="en-US"/>
              </w:rPr>
            </w:pPr>
            <w:r w:rsidRPr="003C080C">
              <w:rPr>
                <w:rFonts w:ascii="Arial" w:eastAsiaTheme="minorHAnsi" w:hAnsi="Arial" w:cs="Arial"/>
                <w:iCs/>
                <w:noProof/>
                <w:color w:val="FFFFFF" w:themeColor="background1"/>
                <w:sz w:val="20"/>
                <w:lang w:val="en-GB" w:eastAsia="en-US"/>
              </w:rPr>
              <w:t>Other EU level stakeholders (e.g. agencies)</w:t>
            </w:r>
          </w:p>
        </w:tc>
        <w:tc>
          <w:tcPr>
            <w:tcW w:w="666" w:type="pct"/>
            <w:shd w:val="clear" w:color="auto" w:fill="1B7BCA" w:themeFill="background2" w:themeFillShade="80"/>
          </w:tcPr>
          <w:p w14:paraId="235DE3F7" w14:textId="77777777" w:rsidR="00B758A1" w:rsidRPr="003C080C" w:rsidRDefault="00B758A1" w:rsidP="00275C95">
            <w:pPr>
              <w:spacing w:before="0" w:after="0" w:line="276" w:lineRule="auto"/>
              <w:jc w:val="both"/>
              <w:rPr>
                <w:rFonts w:ascii="Arial" w:eastAsiaTheme="minorHAnsi" w:hAnsi="Arial" w:cs="Arial"/>
                <w:iCs/>
                <w:noProof/>
                <w:color w:val="FFFFFF" w:themeColor="background1"/>
                <w:sz w:val="20"/>
                <w:lang w:val="en-GB" w:eastAsia="en-US"/>
              </w:rPr>
            </w:pPr>
            <w:r w:rsidRPr="003C080C">
              <w:rPr>
                <w:rFonts w:ascii="Arial" w:eastAsiaTheme="minorHAnsi" w:hAnsi="Arial" w:cs="Arial"/>
                <w:iCs/>
                <w:noProof/>
                <w:color w:val="FFFFFF" w:themeColor="background1"/>
                <w:sz w:val="20"/>
                <w:lang w:val="en-GB" w:eastAsia="en-US"/>
              </w:rPr>
              <w:t>Private sector actors (contractors, carriers)</w:t>
            </w:r>
          </w:p>
        </w:tc>
        <w:tc>
          <w:tcPr>
            <w:tcW w:w="679" w:type="pct"/>
            <w:shd w:val="clear" w:color="auto" w:fill="1B7BCA" w:themeFill="background2" w:themeFillShade="80"/>
          </w:tcPr>
          <w:p w14:paraId="63FF52FE" w14:textId="77777777" w:rsidR="00B758A1" w:rsidRPr="003C080C" w:rsidRDefault="00B758A1" w:rsidP="00275C95">
            <w:pPr>
              <w:spacing w:before="0" w:after="0" w:line="276" w:lineRule="auto"/>
              <w:jc w:val="both"/>
              <w:rPr>
                <w:rFonts w:ascii="Arial" w:eastAsiaTheme="minorHAnsi" w:hAnsi="Arial" w:cs="Arial"/>
                <w:iCs/>
                <w:noProof/>
                <w:color w:val="FFFFFF" w:themeColor="background1"/>
                <w:sz w:val="20"/>
                <w:lang w:val="en-GB" w:eastAsia="en-US"/>
              </w:rPr>
            </w:pPr>
            <w:r w:rsidRPr="003C080C">
              <w:rPr>
                <w:rFonts w:ascii="Arial" w:eastAsiaTheme="minorHAnsi" w:hAnsi="Arial" w:cs="Arial"/>
                <w:iCs/>
                <w:noProof/>
                <w:color w:val="FFFFFF" w:themeColor="background1"/>
                <w:sz w:val="20"/>
                <w:lang w:val="en-GB" w:eastAsia="en-US"/>
              </w:rPr>
              <w:t>National data protection authorities</w:t>
            </w:r>
          </w:p>
        </w:tc>
      </w:tr>
      <w:tr w:rsidR="007B735D" w:rsidRPr="003C080C" w14:paraId="400BDA2F" w14:textId="77777777" w:rsidTr="00FE1F1A">
        <w:trPr>
          <w:jc w:val="center"/>
        </w:trPr>
        <w:tc>
          <w:tcPr>
            <w:tcW w:w="757" w:type="pct"/>
            <w:shd w:val="clear" w:color="auto" w:fill="CDCDCD"/>
          </w:tcPr>
          <w:p w14:paraId="41E50DCE" w14:textId="77777777" w:rsidR="00B758A1" w:rsidRPr="003C080C" w:rsidRDefault="00B758A1" w:rsidP="00275C95">
            <w:pPr>
              <w:spacing w:before="0" w:after="0" w:line="276" w:lineRule="auto"/>
              <w:jc w:val="both"/>
              <w:rPr>
                <w:rFonts w:ascii="Arial" w:eastAsiaTheme="minorHAnsi" w:hAnsi="Arial" w:cs="Arial"/>
                <w:b/>
                <w:bCs/>
                <w:iCs/>
                <w:noProof/>
                <w:sz w:val="20"/>
                <w:lang w:val="en-GB" w:eastAsia="en-US"/>
              </w:rPr>
            </w:pPr>
            <w:r w:rsidRPr="003C080C">
              <w:rPr>
                <w:rFonts w:ascii="Arial" w:eastAsiaTheme="minorHAnsi" w:hAnsi="Arial" w:cs="Arial"/>
                <w:b/>
                <w:bCs/>
                <w:iCs/>
                <w:noProof/>
                <w:sz w:val="20"/>
                <w:lang w:val="en-GB" w:eastAsia="en-US"/>
              </w:rPr>
              <w:t>Exploratory interviews</w:t>
            </w:r>
          </w:p>
        </w:tc>
        <w:tc>
          <w:tcPr>
            <w:tcW w:w="681" w:type="pct"/>
            <w:shd w:val="clear" w:color="auto" w:fill="F5C3B9" w:themeFill="accent6" w:themeFillTint="66"/>
          </w:tcPr>
          <w:p w14:paraId="0B4F5E32"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r w:rsidRPr="003C080C">
              <w:rPr>
                <w:rFonts w:ascii="Wingdings" w:eastAsiaTheme="minorHAnsi" w:hAnsi="Wingdings" w:cs="Arial"/>
                <w:iCs/>
                <w:noProof/>
                <w:sz w:val="20"/>
                <w:lang w:val="en-GB" w:eastAsia="en-US"/>
              </w:rPr>
              <w:t></w:t>
            </w:r>
          </w:p>
        </w:tc>
        <w:tc>
          <w:tcPr>
            <w:tcW w:w="695" w:type="pct"/>
          </w:tcPr>
          <w:p w14:paraId="7EDD6D24"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757" w:type="pct"/>
          </w:tcPr>
          <w:p w14:paraId="0FB0FB23"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765" w:type="pct"/>
          </w:tcPr>
          <w:p w14:paraId="139F2756"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666" w:type="pct"/>
          </w:tcPr>
          <w:p w14:paraId="5BB4DBDE"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679" w:type="pct"/>
          </w:tcPr>
          <w:p w14:paraId="4463B462"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r>
      <w:tr w:rsidR="007B735D" w:rsidRPr="003C080C" w14:paraId="0BE8BE87" w14:textId="77777777" w:rsidTr="00FE1F1A">
        <w:trPr>
          <w:jc w:val="center"/>
        </w:trPr>
        <w:tc>
          <w:tcPr>
            <w:tcW w:w="757" w:type="pct"/>
            <w:shd w:val="clear" w:color="auto" w:fill="CDCDCD"/>
          </w:tcPr>
          <w:p w14:paraId="21BE1AF6" w14:textId="77777777" w:rsidR="00B758A1" w:rsidRPr="003C080C" w:rsidRDefault="00B758A1" w:rsidP="00275C95">
            <w:pPr>
              <w:spacing w:before="0" w:after="0" w:line="276" w:lineRule="auto"/>
              <w:jc w:val="both"/>
              <w:rPr>
                <w:rFonts w:ascii="Arial" w:eastAsiaTheme="minorHAnsi" w:hAnsi="Arial" w:cs="Arial"/>
                <w:b/>
                <w:bCs/>
                <w:iCs/>
                <w:noProof/>
                <w:sz w:val="20"/>
                <w:lang w:val="en-GB" w:eastAsia="en-US"/>
              </w:rPr>
            </w:pPr>
            <w:r w:rsidRPr="003C080C">
              <w:rPr>
                <w:rFonts w:ascii="Arial" w:eastAsiaTheme="minorHAnsi" w:hAnsi="Arial" w:cs="Arial"/>
                <w:b/>
                <w:bCs/>
                <w:iCs/>
                <w:noProof/>
                <w:sz w:val="20"/>
                <w:lang w:val="en-GB" w:eastAsia="en-US"/>
              </w:rPr>
              <w:t>Interviews with eu-LISA staff and governance bodies</w:t>
            </w:r>
          </w:p>
        </w:tc>
        <w:tc>
          <w:tcPr>
            <w:tcW w:w="681" w:type="pct"/>
            <w:shd w:val="clear" w:color="auto" w:fill="F2F2F2" w:themeFill="background1" w:themeFillShade="F2"/>
          </w:tcPr>
          <w:p w14:paraId="151D19B3"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695" w:type="pct"/>
            <w:shd w:val="clear" w:color="auto" w:fill="F5C3B9" w:themeFill="accent6" w:themeFillTint="66"/>
          </w:tcPr>
          <w:p w14:paraId="186FA2B3"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r w:rsidRPr="003C080C">
              <w:rPr>
                <w:rFonts w:ascii="Wingdings" w:eastAsiaTheme="minorHAnsi" w:hAnsi="Wingdings" w:cs="Arial"/>
                <w:iCs/>
                <w:noProof/>
                <w:sz w:val="20"/>
                <w:lang w:val="en-GB" w:eastAsia="en-US"/>
              </w:rPr>
              <w:t></w:t>
            </w:r>
          </w:p>
        </w:tc>
        <w:tc>
          <w:tcPr>
            <w:tcW w:w="757" w:type="pct"/>
            <w:shd w:val="clear" w:color="auto" w:fill="F2F2F2" w:themeFill="background1" w:themeFillShade="F2"/>
          </w:tcPr>
          <w:p w14:paraId="0DC16920"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765" w:type="pct"/>
            <w:shd w:val="clear" w:color="auto" w:fill="F2F2F2" w:themeFill="background1" w:themeFillShade="F2"/>
          </w:tcPr>
          <w:p w14:paraId="4FEA97A9"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666" w:type="pct"/>
            <w:shd w:val="clear" w:color="auto" w:fill="F2F2F2" w:themeFill="background1" w:themeFillShade="F2"/>
          </w:tcPr>
          <w:p w14:paraId="75C92095"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679" w:type="pct"/>
            <w:shd w:val="clear" w:color="auto" w:fill="F2F2F2" w:themeFill="background1" w:themeFillShade="F2"/>
          </w:tcPr>
          <w:p w14:paraId="3FF3ED70"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r>
      <w:tr w:rsidR="007B735D" w:rsidRPr="003C080C" w14:paraId="6B7BC725" w14:textId="77777777" w:rsidTr="00FE1F1A">
        <w:trPr>
          <w:jc w:val="center"/>
        </w:trPr>
        <w:tc>
          <w:tcPr>
            <w:tcW w:w="757" w:type="pct"/>
            <w:shd w:val="clear" w:color="auto" w:fill="CDCDCD"/>
          </w:tcPr>
          <w:p w14:paraId="7AE1F68A" w14:textId="77777777" w:rsidR="00B758A1" w:rsidRPr="003C080C" w:rsidRDefault="00B758A1" w:rsidP="00275C95">
            <w:pPr>
              <w:spacing w:before="0" w:after="0" w:line="276" w:lineRule="auto"/>
              <w:jc w:val="both"/>
              <w:rPr>
                <w:rFonts w:ascii="Arial" w:eastAsiaTheme="minorHAnsi" w:hAnsi="Arial" w:cs="Arial"/>
                <w:b/>
                <w:bCs/>
                <w:iCs/>
                <w:noProof/>
                <w:sz w:val="20"/>
                <w:lang w:val="en-GB" w:eastAsia="en-US"/>
              </w:rPr>
            </w:pPr>
            <w:r w:rsidRPr="003C080C">
              <w:rPr>
                <w:rFonts w:ascii="Arial" w:eastAsiaTheme="minorHAnsi" w:hAnsi="Arial" w:cs="Arial"/>
                <w:b/>
                <w:bCs/>
                <w:iCs/>
                <w:noProof/>
                <w:sz w:val="20"/>
                <w:lang w:val="en-GB" w:eastAsia="en-US"/>
              </w:rPr>
              <w:t>Interviews / focus groups with EU and national level stakeholders</w:t>
            </w:r>
          </w:p>
        </w:tc>
        <w:tc>
          <w:tcPr>
            <w:tcW w:w="681" w:type="pct"/>
            <w:shd w:val="clear" w:color="auto" w:fill="F5C3B9" w:themeFill="accent6" w:themeFillTint="66"/>
          </w:tcPr>
          <w:p w14:paraId="49BC007F"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r w:rsidRPr="003C080C">
              <w:rPr>
                <w:rFonts w:ascii="Wingdings" w:eastAsiaTheme="minorHAnsi" w:hAnsi="Wingdings" w:cs="Arial"/>
                <w:iCs/>
                <w:noProof/>
                <w:sz w:val="20"/>
                <w:lang w:val="en-GB" w:eastAsia="en-US"/>
              </w:rPr>
              <w:t></w:t>
            </w:r>
          </w:p>
        </w:tc>
        <w:tc>
          <w:tcPr>
            <w:tcW w:w="695" w:type="pct"/>
            <w:shd w:val="clear" w:color="auto" w:fill="F2F2F2" w:themeFill="background1" w:themeFillShade="F2"/>
          </w:tcPr>
          <w:p w14:paraId="4C6BE56C"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757" w:type="pct"/>
            <w:shd w:val="clear" w:color="auto" w:fill="F2F2F2" w:themeFill="background1" w:themeFillShade="F2"/>
          </w:tcPr>
          <w:p w14:paraId="624D3F8B"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765" w:type="pct"/>
            <w:shd w:val="clear" w:color="auto" w:fill="F5C3B9" w:themeFill="accent6" w:themeFillTint="66"/>
          </w:tcPr>
          <w:p w14:paraId="488B9322"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r w:rsidRPr="003C080C">
              <w:rPr>
                <w:rFonts w:ascii="Wingdings" w:eastAsiaTheme="minorHAnsi" w:hAnsi="Wingdings" w:cs="Arial"/>
                <w:iCs/>
                <w:noProof/>
                <w:sz w:val="20"/>
                <w:lang w:val="en-GB" w:eastAsia="en-US"/>
              </w:rPr>
              <w:t></w:t>
            </w:r>
          </w:p>
        </w:tc>
        <w:tc>
          <w:tcPr>
            <w:tcW w:w="666" w:type="pct"/>
            <w:shd w:val="clear" w:color="auto" w:fill="F5C3B9" w:themeFill="accent6" w:themeFillTint="66"/>
          </w:tcPr>
          <w:p w14:paraId="2D985ED0"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r w:rsidRPr="003C080C">
              <w:rPr>
                <w:rFonts w:ascii="Wingdings" w:eastAsiaTheme="minorHAnsi" w:hAnsi="Wingdings" w:cs="Arial"/>
                <w:iCs/>
                <w:noProof/>
                <w:sz w:val="20"/>
                <w:lang w:val="en-GB" w:eastAsia="en-US"/>
              </w:rPr>
              <w:t></w:t>
            </w:r>
          </w:p>
        </w:tc>
        <w:tc>
          <w:tcPr>
            <w:tcW w:w="679" w:type="pct"/>
            <w:shd w:val="clear" w:color="auto" w:fill="F2F2F2" w:themeFill="background1" w:themeFillShade="F2"/>
          </w:tcPr>
          <w:p w14:paraId="497A14C6"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r>
      <w:tr w:rsidR="007B735D" w:rsidRPr="003C080C" w14:paraId="2D42E54A" w14:textId="77777777" w:rsidTr="00FE1F1A">
        <w:trPr>
          <w:jc w:val="center"/>
        </w:trPr>
        <w:tc>
          <w:tcPr>
            <w:tcW w:w="757" w:type="pct"/>
            <w:shd w:val="clear" w:color="auto" w:fill="CDCDCD"/>
          </w:tcPr>
          <w:p w14:paraId="0693C0C5" w14:textId="77777777" w:rsidR="00B758A1" w:rsidRPr="003C080C" w:rsidRDefault="00B758A1" w:rsidP="00275C95">
            <w:pPr>
              <w:spacing w:before="0" w:after="0" w:line="276" w:lineRule="auto"/>
              <w:jc w:val="both"/>
              <w:rPr>
                <w:rFonts w:ascii="Arial" w:eastAsiaTheme="minorHAnsi" w:hAnsi="Arial" w:cs="Arial"/>
                <w:b/>
                <w:bCs/>
                <w:iCs/>
                <w:noProof/>
                <w:sz w:val="20"/>
                <w:lang w:val="en-GB" w:eastAsia="en-US"/>
              </w:rPr>
            </w:pPr>
            <w:r w:rsidRPr="003C080C">
              <w:rPr>
                <w:rFonts w:ascii="Arial" w:eastAsiaTheme="minorHAnsi" w:hAnsi="Arial" w:cs="Arial"/>
                <w:b/>
                <w:bCs/>
                <w:iCs/>
                <w:noProof/>
                <w:sz w:val="20"/>
                <w:lang w:val="en-GB" w:eastAsia="en-US"/>
              </w:rPr>
              <w:t>Online survey</w:t>
            </w:r>
          </w:p>
        </w:tc>
        <w:tc>
          <w:tcPr>
            <w:tcW w:w="681" w:type="pct"/>
          </w:tcPr>
          <w:p w14:paraId="6D56EF73"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695" w:type="pct"/>
            <w:shd w:val="clear" w:color="auto" w:fill="F5C3B9" w:themeFill="accent6" w:themeFillTint="66"/>
          </w:tcPr>
          <w:p w14:paraId="3B2CFD39"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r w:rsidRPr="003C080C">
              <w:rPr>
                <w:rFonts w:ascii="Wingdings" w:eastAsiaTheme="minorHAnsi" w:hAnsi="Wingdings" w:cs="Arial"/>
                <w:iCs/>
                <w:noProof/>
                <w:sz w:val="20"/>
                <w:lang w:val="en-GB" w:eastAsia="en-US"/>
              </w:rPr>
              <w:t></w:t>
            </w:r>
          </w:p>
        </w:tc>
        <w:tc>
          <w:tcPr>
            <w:tcW w:w="757" w:type="pct"/>
            <w:shd w:val="clear" w:color="auto" w:fill="F5C3B9" w:themeFill="accent6" w:themeFillTint="66"/>
          </w:tcPr>
          <w:p w14:paraId="47FB43A8"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r w:rsidRPr="003C080C">
              <w:rPr>
                <w:rFonts w:ascii="Wingdings" w:eastAsiaTheme="minorHAnsi" w:hAnsi="Wingdings" w:cs="Arial"/>
                <w:iCs/>
                <w:noProof/>
                <w:sz w:val="20"/>
                <w:lang w:val="en-GB" w:eastAsia="en-US"/>
              </w:rPr>
              <w:t></w:t>
            </w:r>
          </w:p>
        </w:tc>
        <w:tc>
          <w:tcPr>
            <w:tcW w:w="765" w:type="pct"/>
            <w:shd w:val="clear" w:color="auto" w:fill="F2F2F2" w:themeFill="background1" w:themeFillShade="F2"/>
          </w:tcPr>
          <w:p w14:paraId="0D5F569B"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666" w:type="pct"/>
            <w:shd w:val="clear" w:color="auto" w:fill="F2F2F2" w:themeFill="background1" w:themeFillShade="F2"/>
          </w:tcPr>
          <w:p w14:paraId="1D8A323B"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679" w:type="pct"/>
            <w:shd w:val="clear" w:color="auto" w:fill="F5C3B9" w:themeFill="accent6" w:themeFillTint="66"/>
          </w:tcPr>
          <w:p w14:paraId="59B5C491"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r w:rsidRPr="003C080C">
              <w:rPr>
                <w:rFonts w:ascii="Wingdings" w:eastAsiaTheme="minorHAnsi" w:hAnsi="Wingdings" w:cs="Arial"/>
                <w:iCs/>
                <w:noProof/>
                <w:sz w:val="20"/>
                <w:lang w:val="en-GB" w:eastAsia="en-US"/>
              </w:rPr>
              <w:t></w:t>
            </w:r>
          </w:p>
        </w:tc>
      </w:tr>
      <w:tr w:rsidR="007B735D" w:rsidRPr="003C080C" w14:paraId="43DD34B6" w14:textId="77777777" w:rsidTr="00FE1F1A">
        <w:trPr>
          <w:jc w:val="center"/>
        </w:trPr>
        <w:tc>
          <w:tcPr>
            <w:tcW w:w="757" w:type="pct"/>
            <w:shd w:val="clear" w:color="auto" w:fill="CDCDCD"/>
          </w:tcPr>
          <w:p w14:paraId="7A630FF6" w14:textId="77777777" w:rsidR="00B758A1" w:rsidRPr="003C080C" w:rsidRDefault="00B758A1" w:rsidP="00275C95">
            <w:pPr>
              <w:spacing w:before="0" w:after="0" w:line="276" w:lineRule="auto"/>
              <w:jc w:val="both"/>
              <w:rPr>
                <w:rFonts w:ascii="Arial" w:eastAsiaTheme="minorHAnsi" w:hAnsi="Arial" w:cs="Arial"/>
                <w:b/>
                <w:bCs/>
                <w:iCs/>
                <w:noProof/>
                <w:sz w:val="20"/>
                <w:lang w:val="en-GB" w:eastAsia="en-US"/>
              </w:rPr>
            </w:pPr>
            <w:r w:rsidRPr="003C080C">
              <w:rPr>
                <w:rFonts w:ascii="Arial" w:eastAsiaTheme="minorHAnsi" w:hAnsi="Arial" w:cs="Arial"/>
                <w:b/>
                <w:bCs/>
                <w:iCs/>
                <w:noProof/>
                <w:sz w:val="20"/>
                <w:lang w:val="en-GB" w:eastAsia="en-US"/>
              </w:rPr>
              <w:t>SWOT-Workshops</w:t>
            </w:r>
          </w:p>
        </w:tc>
        <w:tc>
          <w:tcPr>
            <w:tcW w:w="681" w:type="pct"/>
          </w:tcPr>
          <w:p w14:paraId="45684687"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695" w:type="pct"/>
            <w:shd w:val="clear" w:color="auto" w:fill="F5C3B9" w:themeFill="accent6" w:themeFillTint="66"/>
          </w:tcPr>
          <w:p w14:paraId="4C66941D"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r w:rsidRPr="003C080C">
              <w:rPr>
                <w:rFonts w:ascii="Wingdings" w:eastAsiaTheme="minorHAnsi" w:hAnsi="Wingdings" w:cs="Arial"/>
                <w:iCs/>
                <w:noProof/>
                <w:sz w:val="20"/>
                <w:lang w:val="en-GB" w:eastAsia="en-US"/>
              </w:rPr>
              <w:t></w:t>
            </w:r>
          </w:p>
        </w:tc>
        <w:tc>
          <w:tcPr>
            <w:tcW w:w="757" w:type="pct"/>
            <w:shd w:val="clear" w:color="auto" w:fill="F5C3B9" w:themeFill="accent6" w:themeFillTint="66"/>
          </w:tcPr>
          <w:p w14:paraId="164D0C08"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r w:rsidRPr="003C080C">
              <w:rPr>
                <w:rFonts w:ascii="Wingdings" w:eastAsiaTheme="minorHAnsi" w:hAnsi="Wingdings" w:cs="Arial"/>
                <w:iCs/>
                <w:noProof/>
                <w:sz w:val="20"/>
                <w:lang w:val="en-GB" w:eastAsia="en-US"/>
              </w:rPr>
              <w:t></w:t>
            </w:r>
          </w:p>
        </w:tc>
        <w:tc>
          <w:tcPr>
            <w:tcW w:w="765" w:type="pct"/>
            <w:shd w:val="clear" w:color="auto" w:fill="F2F2F2" w:themeFill="background1" w:themeFillShade="F2"/>
          </w:tcPr>
          <w:p w14:paraId="24D34D2C"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666" w:type="pct"/>
            <w:shd w:val="clear" w:color="auto" w:fill="F2F2F2" w:themeFill="background1" w:themeFillShade="F2"/>
          </w:tcPr>
          <w:p w14:paraId="594468A6"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c>
          <w:tcPr>
            <w:tcW w:w="679" w:type="pct"/>
            <w:shd w:val="clear" w:color="auto" w:fill="F2F2F2" w:themeFill="background1" w:themeFillShade="F2"/>
          </w:tcPr>
          <w:p w14:paraId="306F9613" w14:textId="77777777" w:rsidR="00B758A1" w:rsidRPr="003C080C" w:rsidRDefault="00B758A1" w:rsidP="00275C95">
            <w:pPr>
              <w:spacing w:before="0" w:after="0" w:line="276" w:lineRule="auto"/>
              <w:jc w:val="center"/>
              <w:rPr>
                <w:rFonts w:ascii="Wingdings" w:eastAsiaTheme="minorHAnsi" w:hAnsi="Wingdings" w:cs="Arial"/>
                <w:iCs/>
                <w:noProof/>
                <w:sz w:val="20"/>
                <w:lang w:val="en-GB" w:eastAsia="en-US"/>
              </w:rPr>
            </w:pPr>
          </w:p>
        </w:tc>
      </w:tr>
    </w:tbl>
    <w:p w14:paraId="506CE525" w14:textId="77777777" w:rsidR="003C080C" w:rsidRDefault="003C080C" w:rsidP="00275C95">
      <w:pPr>
        <w:spacing w:after="0"/>
        <w:jc w:val="both"/>
        <w:rPr>
          <w:rFonts w:ascii="Times New Roman" w:hAnsi="Times New Roman" w:cs="Times New Roman"/>
          <w:i/>
          <w:iCs/>
          <w:noProof/>
          <w:lang w:val="en-GB"/>
        </w:rPr>
      </w:pPr>
    </w:p>
    <w:p w14:paraId="53D20442" w14:textId="732AEA56" w:rsidR="00B758A1" w:rsidRPr="00855E06" w:rsidRDefault="00B758A1" w:rsidP="00275C95">
      <w:pPr>
        <w:spacing w:after="0"/>
        <w:jc w:val="both"/>
        <w:rPr>
          <w:rFonts w:ascii="Times New Roman" w:hAnsi="Times New Roman" w:cs="Times New Roman"/>
          <w:b/>
          <w:i/>
          <w:iCs/>
          <w:noProof/>
          <w:sz w:val="24"/>
          <w:szCs w:val="24"/>
          <w:lang w:val="en-GB"/>
        </w:rPr>
      </w:pPr>
      <w:r w:rsidRPr="00855E06">
        <w:rPr>
          <w:rFonts w:ascii="Times New Roman" w:hAnsi="Times New Roman" w:cs="Times New Roman"/>
          <w:b/>
          <w:i/>
          <w:iCs/>
          <w:noProof/>
          <w:sz w:val="24"/>
          <w:szCs w:val="24"/>
          <w:lang w:val="en-GB"/>
        </w:rPr>
        <w:t xml:space="preserve">Interviews </w:t>
      </w:r>
    </w:p>
    <w:p w14:paraId="3AFA3A0F"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Throughout the project, the Study Team performed </w:t>
      </w:r>
      <w:r w:rsidRPr="00855E06">
        <w:rPr>
          <w:rFonts w:ascii="Times New Roman" w:hAnsi="Times New Roman" w:cs="Times New Roman"/>
          <w:b/>
          <w:iCs/>
          <w:noProof/>
          <w:sz w:val="24"/>
          <w:szCs w:val="24"/>
          <w:lang w:val="en-GB"/>
        </w:rPr>
        <w:t>two rounds of interviews</w:t>
      </w:r>
      <w:r w:rsidRPr="00855E06">
        <w:rPr>
          <w:rFonts w:ascii="Times New Roman" w:hAnsi="Times New Roman" w:cs="Times New Roman"/>
          <w:iCs/>
          <w:noProof/>
          <w:sz w:val="24"/>
          <w:szCs w:val="24"/>
          <w:lang w:val="en-GB"/>
        </w:rPr>
        <w:t>, namely (</w:t>
      </w:r>
      <w:r w:rsidRPr="00855E06">
        <w:rPr>
          <w:rFonts w:ascii="Times New Roman" w:hAnsi="Times New Roman" w:cs="Times New Roman"/>
          <w:i/>
          <w:iCs/>
          <w:noProof/>
          <w:sz w:val="24"/>
          <w:szCs w:val="24"/>
          <w:lang w:val="en-GB"/>
        </w:rPr>
        <w:t>i</w:t>
      </w:r>
      <w:r w:rsidRPr="00855E06">
        <w:rPr>
          <w:rFonts w:ascii="Times New Roman" w:hAnsi="Times New Roman" w:cs="Times New Roman"/>
          <w:iCs/>
          <w:noProof/>
          <w:sz w:val="24"/>
          <w:szCs w:val="24"/>
          <w:lang w:val="en-GB"/>
        </w:rPr>
        <w:t xml:space="preserve">) </w:t>
      </w:r>
      <w:r w:rsidRPr="00855E06">
        <w:rPr>
          <w:rFonts w:ascii="Times New Roman" w:hAnsi="Times New Roman" w:cs="Times New Roman"/>
          <w:b/>
          <w:bCs/>
          <w:iCs/>
          <w:noProof/>
          <w:sz w:val="24"/>
          <w:szCs w:val="24"/>
          <w:lang w:val="en-GB"/>
        </w:rPr>
        <w:t>six exploratory interviews</w:t>
      </w:r>
      <w:r w:rsidRPr="00855E06">
        <w:rPr>
          <w:rFonts w:ascii="Times New Roman" w:hAnsi="Times New Roman" w:cs="Times New Roman"/>
          <w:iCs/>
          <w:noProof/>
          <w:sz w:val="24"/>
          <w:szCs w:val="24"/>
          <w:lang w:val="en-GB"/>
        </w:rPr>
        <w:t xml:space="preserve"> with officials from the European Commission (DG HOME AND DG JUST) (</w:t>
      </w:r>
      <w:r w:rsidRPr="00855E06">
        <w:rPr>
          <w:rFonts w:ascii="Times New Roman" w:hAnsi="Times New Roman" w:cs="Times New Roman"/>
          <w:i/>
          <w:iCs/>
          <w:noProof/>
          <w:sz w:val="24"/>
          <w:szCs w:val="24"/>
          <w:lang w:val="en-GB"/>
        </w:rPr>
        <w:t>ii</w:t>
      </w:r>
      <w:r w:rsidRPr="00855E06">
        <w:rPr>
          <w:rFonts w:ascii="Times New Roman" w:hAnsi="Times New Roman" w:cs="Times New Roman"/>
          <w:iCs/>
          <w:noProof/>
          <w:sz w:val="24"/>
          <w:szCs w:val="24"/>
          <w:lang w:val="en-GB"/>
        </w:rPr>
        <w:t xml:space="preserve">) </w:t>
      </w:r>
      <w:r w:rsidRPr="00855E06">
        <w:rPr>
          <w:rFonts w:ascii="Times New Roman" w:hAnsi="Times New Roman" w:cs="Times New Roman"/>
          <w:b/>
          <w:bCs/>
          <w:iCs/>
          <w:noProof/>
          <w:sz w:val="24"/>
          <w:szCs w:val="24"/>
          <w:lang w:val="en-GB"/>
        </w:rPr>
        <w:t>108 expert interviews</w:t>
      </w:r>
      <w:r w:rsidRPr="00855E06">
        <w:rPr>
          <w:rFonts w:ascii="Times New Roman" w:hAnsi="Times New Roman" w:cs="Times New Roman"/>
          <w:iCs/>
          <w:noProof/>
          <w:sz w:val="24"/>
          <w:szCs w:val="24"/>
          <w:lang w:val="en-GB"/>
        </w:rPr>
        <w:t xml:space="preserve"> with stakeholders from within (i) eu-LISA staff, and the governance bodies of eu-LISA, and (ii) EU-level and national level stakeholders, comprising the European Commission (in particular DG HOME), other EU-level institutions and agencies, including Frontex, Europol, and the EPPO, as well as private sector actors, in particular contractors of eu-LISA. All interviews were semi-structured and conducted by means of interview guides that were approved by the Commission as part of the preparation of the inception report and coined towards the respective stakeholder group.</w:t>
      </w:r>
    </w:p>
    <w:p w14:paraId="6E1E9706" w14:textId="77777777" w:rsidR="00E52E28" w:rsidRPr="00855E06" w:rsidRDefault="00E52E28" w:rsidP="00275C95">
      <w:pPr>
        <w:spacing w:after="0"/>
        <w:jc w:val="both"/>
        <w:rPr>
          <w:rFonts w:ascii="Times New Roman" w:hAnsi="Times New Roman" w:cs="Times New Roman"/>
          <w:iCs/>
          <w:noProof/>
          <w:sz w:val="24"/>
          <w:szCs w:val="24"/>
          <w:lang w:val="en-GB"/>
        </w:rPr>
      </w:pPr>
    </w:p>
    <w:p w14:paraId="2C922260" w14:textId="77777777" w:rsidR="00B758A1" w:rsidRPr="00855E06" w:rsidRDefault="00B758A1" w:rsidP="00275C95">
      <w:pPr>
        <w:spacing w:after="0"/>
        <w:jc w:val="both"/>
        <w:rPr>
          <w:rFonts w:ascii="Times New Roman" w:hAnsi="Times New Roman" w:cs="Times New Roman"/>
          <w:i/>
          <w:iCs/>
          <w:noProof/>
          <w:sz w:val="24"/>
          <w:szCs w:val="24"/>
          <w:u w:val="single"/>
          <w:lang w:val="en-GB"/>
        </w:rPr>
      </w:pPr>
      <w:r w:rsidRPr="00855E06">
        <w:rPr>
          <w:rFonts w:ascii="Times New Roman" w:hAnsi="Times New Roman" w:cs="Times New Roman"/>
          <w:i/>
          <w:iCs/>
          <w:noProof/>
          <w:sz w:val="24"/>
          <w:szCs w:val="24"/>
          <w:u w:val="single"/>
          <w:lang w:val="en-GB"/>
        </w:rPr>
        <w:t>Exploratory interviews</w:t>
      </w:r>
    </w:p>
    <w:p w14:paraId="7D3D76F1"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In the inception phase of the study, the study team conducted six one-hour exploratory interviews with stakeholders from within the European Commission. This included stakeholders from, </w:t>
      </w:r>
      <w:r w:rsidRPr="00855E06">
        <w:rPr>
          <w:rFonts w:ascii="Times New Roman" w:hAnsi="Times New Roman" w:cs="Times New Roman"/>
          <w:i/>
          <w:iCs/>
          <w:noProof/>
          <w:sz w:val="24"/>
          <w:szCs w:val="24"/>
          <w:lang w:val="en-GB"/>
        </w:rPr>
        <w:t>amongst others</w:t>
      </w:r>
      <w:r w:rsidRPr="00855E06">
        <w:rPr>
          <w:rFonts w:ascii="Times New Roman" w:hAnsi="Times New Roman" w:cs="Times New Roman"/>
          <w:iCs/>
          <w:noProof/>
          <w:sz w:val="24"/>
          <w:szCs w:val="24"/>
          <w:lang w:val="en-GB"/>
        </w:rPr>
        <w:t>, the following units of DG HOME and DG JUST:</w:t>
      </w:r>
      <w:r w:rsidRPr="00855E06">
        <w:rPr>
          <w:rFonts w:ascii="Times New Roman" w:hAnsi="Times New Roman" w:cs="Times New Roman"/>
          <w:b/>
          <w:iCs/>
          <w:noProof/>
          <w:sz w:val="24"/>
          <w:szCs w:val="24"/>
          <w:lang w:val="en-GB"/>
        </w:rPr>
        <w:t xml:space="preserve"> </w:t>
      </w:r>
      <w:r w:rsidRPr="00855E06">
        <w:rPr>
          <w:rFonts w:ascii="Times New Roman" w:hAnsi="Times New Roman" w:cs="Times New Roman"/>
          <w:b/>
          <w:bCs/>
          <w:iCs/>
          <w:noProof/>
          <w:sz w:val="24"/>
          <w:szCs w:val="24"/>
          <w:lang w:val="en-GB"/>
        </w:rPr>
        <w:t>DG HOME Directorate B (i.e. DG HOME B3, DG HOME E1) and DG JUST H4 and DG JUST A4</w:t>
      </w:r>
      <w:r w:rsidRPr="00855E06">
        <w:rPr>
          <w:rFonts w:ascii="Times New Roman" w:hAnsi="Times New Roman" w:cs="Times New Roman"/>
          <w:iCs/>
          <w:noProof/>
          <w:sz w:val="24"/>
          <w:szCs w:val="24"/>
          <w:lang w:val="en-GB"/>
        </w:rPr>
        <w:t xml:space="preserve">. Most interviews were conducted virtually via MS-Teams, with one exception where the interview was held in-person. </w:t>
      </w:r>
    </w:p>
    <w:p w14:paraId="3A08F2FD"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The interviews aimed at deepening the study team’s understanding of the functioning of eu-LISA, and to finalise the evaluation framework, intervention logic and data collection instruments. Moreover, the interviews allowed the study team to collect further documentation and identify additional data sources. </w:t>
      </w:r>
    </w:p>
    <w:p w14:paraId="045E9C12"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The interviews followed a semi-structured approach to provide sufficient guidance, ensuring that the relevant aspects were covered while leaving sufficient flexibility to tailor each conversation to the focus area and expertise of the interviewee. To allow for the semi-structuring of the interviews, the study team prepared interview guidelines in advance of the consultations, which followed the five evaluation criteria provided in the EU Commission’s Better Regulation Guidelines</w:t>
      </w:r>
      <w:r w:rsidRPr="00855E06">
        <w:rPr>
          <w:rFonts w:ascii="Times New Roman" w:hAnsi="Times New Roman" w:cs="Times New Roman"/>
          <w:iCs/>
          <w:noProof/>
          <w:sz w:val="24"/>
          <w:szCs w:val="24"/>
          <w:vertAlign w:val="superscript"/>
          <w:lang w:val="en-GB"/>
        </w:rPr>
        <w:footnoteReference w:id="86"/>
      </w:r>
      <w:r w:rsidRPr="00855E06">
        <w:rPr>
          <w:rFonts w:ascii="Times New Roman" w:hAnsi="Times New Roman" w:cs="Times New Roman"/>
          <w:iCs/>
          <w:noProof/>
          <w:sz w:val="24"/>
          <w:szCs w:val="24"/>
          <w:lang w:val="en-GB"/>
        </w:rPr>
        <w:t xml:space="preserve">: Effectiveness, Efficiency, Relevance, Coherence, and EU Added Value. In addition, the study team prepared questions following-up on the recommendations provided in the previous evaluation of the eu-LISA Regulation conducted in 2016/2017, as well as on lessons learned and the way forward. </w:t>
      </w:r>
    </w:p>
    <w:p w14:paraId="32B7AAC4" w14:textId="77777777" w:rsidR="00E52E28" w:rsidRPr="00855E06" w:rsidRDefault="00E52E28" w:rsidP="00275C95">
      <w:pPr>
        <w:spacing w:after="0"/>
        <w:jc w:val="both"/>
        <w:rPr>
          <w:rFonts w:ascii="Times New Roman" w:hAnsi="Times New Roman" w:cs="Times New Roman"/>
          <w:iCs/>
          <w:noProof/>
          <w:sz w:val="24"/>
          <w:szCs w:val="24"/>
          <w:lang w:val="en-GB"/>
        </w:rPr>
      </w:pPr>
    </w:p>
    <w:p w14:paraId="3C960EF1" w14:textId="77777777" w:rsidR="00B758A1" w:rsidRPr="00855E06" w:rsidRDefault="00B758A1" w:rsidP="00275C95">
      <w:pPr>
        <w:spacing w:after="0"/>
        <w:jc w:val="both"/>
        <w:rPr>
          <w:rFonts w:ascii="Times New Roman" w:hAnsi="Times New Roman" w:cs="Times New Roman"/>
          <w:i/>
          <w:iCs/>
          <w:noProof/>
          <w:sz w:val="24"/>
          <w:szCs w:val="24"/>
          <w:u w:val="single"/>
          <w:lang w:val="en-GB"/>
        </w:rPr>
      </w:pPr>
      <w:r w:rsidRPr="00855E06">
        <w:rPr>
          <w:rFonts w:ascii="Times New Roman" w:hAnsi="Times New Roman" w:cs="Times New Roman"/>
          <w:i/>
          <w:iCs/>
          <w:noProof/>
          <w:sz w:val="24"/>
          <w:szCs w:val="24"/>
          <w:u w:val="single"/>
          <w:lang w:val="en-GB"/>
        </w:rPr>
        <w:t>Expert interviews</w:t>
      </w:r>
    </w:p>
    <w:p w14:paraId="63C81A6D" w14:textId="55C1D8AC"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During the fieldwork phase of the study, </w:t>
      </w:r>
      <w:r w:rsidR="00AC1442" w:rsidRPr="00855E06">
        <w:rPr>
          <w:rFonts w:ascii="Times New Roman" w:hAnsi="Times New Roman" w:cs="Times New Roman"/>
          <w:iCs/>
          <w:noProof/>
          <w:sz w:val="24"/>
          <w:szCs w:val="24"/>
          <w:lang w:val="en-GB"/>
        </w:rPr>
        <w:t>overall,</w:t>
      </w:r>
      <w:r w:rsidRPr="00855E06">
        <w:rPr>
          <w:rFonts w:ascii="Times New Roman" w:hAnsi="Times New Roman" w:cs="Times New Roman"/>
          <w:iCs/>
          <w:noProof/>
          <w:sz w:val="24"/>
          <w:szCs w:val="24"/>
          <w:lang w:val="en-GB"/>
        </w:rPr>
        <w:t xml:space="preserve"> </w:t>
      </w:r>
      <w:r w:rsidRPr="00855E06">
        <w:rPr>
          <w:rFonts w:ascii="Times New Roman" w:hAnsi="Times New Roman" w:cs="Times New Roman"/>
          <w:b/>
          <w:bCs/>
          <w:iCs/>
          <w:noProof/>
          <w:sz w:val="24"/>
          <w:szCs w:val="24"/>
          <w:lang w:val="en-GB"/>
        </w:rPr>
        <w:t xml:space="preserve">108 </w:t>
      </w:r>
      <w:r w:rsidRPr="00855E06">
        <w:rPr>
          <w:rFonts w:ascii="Times New Roman" w:hAnsi="Times New Roman" w:cs="Times New Roman"/>
          <w:iCs/>
          <w:noProof/>
          <w:sz w:val="24"/>
          <w:szCs w:val="24"/>
          <w:lang w:val="en-GB"/>
        </w:rPr>
        <w:t xml:space="preserve">interviews </w:t>
      </w:r>
      <w:r w:rsidR="00DC5770">
        <w:rPr>
          <w:rFonts w:ascii="Times New Roman" w:hAnsi="Times New Roman" w:cs="Times New Roman"/>
          <w:iCs/>
          <w:noProof/>
          <w:sz w:val="24"/>
          <w:szCs w:val="24"/>
          <w:lang w:val="en-GB"/>
        </w:rPr>
        <w:t xml:space="preserve">were conducted </w:t>
      </w:r>
      <w:r w:rsidRPr="00855E06">
        <w:rPr>
          <w:rFonts w:ascii="Times New Roman" w:hAnsi="Times New Roman" w:cs="Times New Roman"/>
          <w:iCs/>
          <w:noProof/>
          <w:sz w:val="24"/>
          <w:szCs w:val="24"/>
          <w:lang w:val="en-GB"/>
        </w:rPr>
        <w:t xml:space="preserve">with (i) stakeholders within eu-LISA and the governance bodies; and (ii) EU-level and national level stakeholders. Most of the interviews were conducted virtually via MS-Teams, however, the study team used the opportunity of the exploratory visits to Tallinn and Strasbourg to also conduct interviews with eu-LISA staff in-person (overall 28 interviews were conducted in-person). The main goal of these interviews was to gather detailed insights into the views of eu-LISA staff and members of the governance bodies, to better understand the current functioning of the Agency as well as existing challenges and areas where room for improvement exist. </w:t>
      </w:r>
    </w:p>
    <w:p w14:paraId="0EAAB080"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In total 70 interviews (of the overall 108 conducted interviews, i.e. roughly 65% of all expert interviews) were conducted with stakeholders within eu-LISA and its governance bodies. Of the 70 interviews, 46 interviews (66%) were conducted with eu-LISA staff whereas 24 interviews (34%) were conducted with representatives from the governance bodies. An overview on the number of interviews per department/unit is found below in the table.</w:t>
      </w:r>
    </w:p>
    <w:p w14:paraId="7B97E8F0" w14:textId="77777777" w:rsidR="00E52E28" w:rsidRPr="00855E06" w:rsidRDefault="00E52E28" w:rsidP="00275C95">
      <w:pPr>
        <w:spacing w:after="0"/>
        <w:jc w:val="both"/>
        <w:rPr>
          <w:rFonts w:ascii="Times New Roman" w:hAnsi="Times New Roman" w:cs="Times New Roman"/>
          <w:iCs/>
          <w:noProof/>
          <w:sz w:val="24"/>
          <w:szCs w:val="24"/>
          <w:lang w:val="en-GB"/>
        </w:rPr>
      </w:pPr>
    </w:p>
    <w:p w14:paraId="4541DD5D" w14:textId="5151CE5F" w:rsidR="00B758A1" w:rsidRPr="00855E06" w:rsidRDefault="00B758A1" w:rsidP="00275C95">
      <w:pPr>
        <w:spacing w:after="0"/>
        <w:jc w:val="both"/>
        <w:rPr>
          <w:rFonts w:ascii="Times New Roman" w:hAnsi="Times New Roman" w:cs="Times New Roman"/>
          <w:b/>
          <w:i/>
          <w:noProof/>
          <w:lang w:val="en-GB"/>
        </w:rPr>
      </w:pPr>
      <w:bookmarkStart w:id="141" w:name="_Toc167205852"/>
      <w:r w:rsidRPr="00855E06">
        <w:rPr>
          <w:rFonts w:ascii="Times New Roman" w:hAnsi="Times New Roman" w:cs="Times New Roman"/>
          <w:b/>
          <w:i/>
          <w:noProof/>
          <w:lang w:val="en-GB"/>
        </w:rPr>
        <w:t xml:space="preserve">Table </w:t>
      </w:r>
      <w:r w:rsidR="00CB5A08">
        <w:rPr>
          <w:rFonts w:ascii="Times New Roman" w:hAnsi="Times New Roman" w:cs="Times New Roman"/>
          <w:b/>
          <w:i/>
          <w:noProof/>
          <w:lang w:val="en-GB"/>
        </w:rPr>
        <w:t>2</w:t>
      </w:r>
      <w:r w:rsidR="00CB5A08" w:rsidRPr="00855E06">
        <w:rPr>
          <w:rFonts w:ascii="Times New Roman" w:hAnsi="Times New Roman" w:cs="Times New Roman"/>
          <w:b/>
          <w:i/>
          <w:noProof/>
          <w:lang w:val="en-GB"/>
        </w:rPr>
        <w:t xml:space="preserve"> </w:t>
      </w:r>
      <w:r w:rsidRPr="00855E06">
        <w:rPr>
          <w:rFonts w:ascii="Times New Roman" w:hAnsi="Times New Roman" w:cs="Times New Roman"/>
          <w:b/>
          <w:i/>
          <w:noProof/>
          <w:lang w:val="en-GB"/>
        </w:rPr>
        <w:t>- Stakeholders reached within eu-LISA staff</w:t>
      </w:r>
      <w:bookmarkEnd w:id="141"/>
    </w:p>
    <w:tbl>
      <w:tblPr>
        <w:tblStyle w:val="TableGrid"/>
        <w:tblW w:w="15437" w:type="dxa"/>
        <w:tblInd w:w="9" w:type="dxa"/>
        <w:tblLook w:val="04A0" w:firstRow="1" w:lastRow="0" w:firstColumn="1" w:lastColumn="0" w:noHBand="0" w:noVBand="1"/>
      </w:tblPr>
      <w:tblGrid>
        <w:gridCol w:w="9484"/>
        <w:gridCol w:w="5953"/>
      </w:tblGrid>
      <w:tr w:rsidR="00DC5770" w:rsidRPr="002048C6" w14:paraId="5ADF444D" w14:textId="77777777" w:rsidTr="00DC5770">
        <w:trPr>
          <w:trHeight w:val="420"/>
          <w:tblHeader/>
        </w:trPr>
        <w:tc>
          <w:tcPr>
            <w:tcW w:w="9484" w:type="dxa"/>
            <w:shd w:val="clear" w:color="auto" w:fill="1B7BCA" w:themeFill="background2" w:themeFillShade="80"/>
            <w:vAlign w:val="center"/>
          </w:tcPr>
          <w:p w14:paraId="0AD621D7" w14:textId="77777777" w:rsidR="00B758A1" w:rsidRPr="00DC5770" w:rsidRDefault="00B758A1" w:rsidP="00DC5770">
            <w:pPr>
              <w:spacing w:line="276" w:lineRule="auto"/>
              <w:rPr>
                <w:rFonts w:ascii="Arial" w:eastAsiaTheme="minorEastAsia" w:hAnsi="Arial" w:cs="Arial"/>
                <w:b/>
                <w:noProof/>
                <w:color w:val="FFFFFF" w:themeColor="background1"/>
                <w:lang w:val="en-IE"/>
              </w:rPr>
            </w:pPr>
            <w:r w:rsidRPr="00DC5770">
              <w:rPr>
                <w:rFonts w:ascii="Arial" w:eastAsiaTheme="minorEastAsia" w:hAnsi="Arial" w:cs="Arial"/>
                <w:b/>
                <w:noProof/>
                <w:color w:val="FFFFFF" w:themeColor="background1"/>
                <w:lang w:val="en-IE"/>
              </w:rPr>
              <w:t>Department/unit/type of stakeholder</w:t>
            </w:r>
          </w:p>
        </w:tc>
        <w:tc>
          <w:tcPr>
            <w:tcW w:w="5953" w:type="dxa"/>
            <w:shd w:val="clear" w:color="auto" w:fill="1B7BCA" w:themeFill="background2" w:themeFillShade="80"/>
            <w:vAlign w:val="center"/>
          </w:tcPr>
          <w:p w14:paraId="53DCDB8B" w14:textId="77777777" w:rsidR="00B758A1" w:rsidRPr="00DC5770" w:rsidRDefault="00B758A1" w:rsidP="00DC5770">
            <w:pPr>
              <w:spacing w:line="276" w:lineRule="auto"/>
              <w:rPr>
                <w:rFonts w:ascii="Arial" w:eastAsiaTheme="minorEastAsia" w:hAnsi="Arial" w:cs="Arial"/>
                <w:b/>
                <w:noProof/>
                <w:color w:val="FFFFFF" w:themeColor="background1"/>
                <w:lang w:val="en-IE"/>
              </w:rPr>
            </w:pPr>
            <w:r w:rsidRPr="00DC5770">
              <w:rPr>
                <w:rFonts w:ascii="Arial" w:eastAsiaTheme="minorEastAsia" w:hAnsi="Arial" w:cs="Arial"/>
                <w:b/>
                <w:noProof/>
                <w:color w:val="FFFFFF" w:themeColor="background1"/>
                <w:lang w:val="en-IE"/>
              </w:rPr>
              <w:t>Total number of stakeholders with whom interviews were conducted</w:t>
            </w:r>
          </w:p>
        </w:tc>
      </w:tr>
      <w:tr w:rsidR="00B758A1" w:rsidRPr="00DC5770" w14:paraId="4D0FC123" w14:textId="77777777" w:rsidTr="00DC5770">
        <w:tc>
          <w:tcPr>
            <w:tcW w:w="9484" w:type="dxa"/>
          </w:tcPr>
          <w:p w14:paraId="424C31E3" w14:textId="77777777" w:rsidR="00B758A1" w:rsidRPr="00DC5770" w:rsidRDefault="00B758A1" w:rsidP="00275C95">
            <w:pPr>
              <w:spacing w:line="276" w:lineRule="auto"/>
              <w:jc w:val="both"/>
              <w:rPr>
                <w:rFonts w:ascii="Arial" w:eastAsiaTheme="minorEastAsia" w:hAnsi="Arial" w:cs="Arial"/>
                <w:noProof/>
                <w:lang w:val="en-IE"/>
              </w:rPr>
            </w:pPr>
            <w:r w:rsidRPr="00DC5770">
              <w:rPr>
                <w:rFonts w:ascii="Arial" w:eastAsiaTheme="minorEastAsia" w:hAnsi="Arial" w:cs="Arial"/>
                <w:noProof/>
                <w:lang w:val="en-IE"/>
              </w:rPr>
              <w:t>Management (Executive Director, Deputy Executive Director)</w:t>
            </w:r>
          </w:p>
        </w:tc>
        <w:tc>
          <w:tcPr>
            <w:tcW w:w="5953" w:type="dxa"/>
          </w:tcPr>
          <w:p w14:paraId="0022AB3C"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2</w:t>
            </w:r>
          </w:p>
        </w:tc>
      </w:tr>
      <w:tr w:rsidR="00B758A1" w:rsidRPr="00DC5770" w14:paraId="0BD59B42" w14:textId="77777777" w:rsidTr="00DC5770">
        <w:tc>
          <w:tcPr>
            <w:tcW w:w="9484" w:type="dxa"/>
          </w:tcPr>
          <w:p w14:paraId="70713939" w14:textId="77777777" w:rsidR="00B758A1" w:rsidRPr="00DC5770" w:rsidRDefault="00B758A1" w:rsidP="00275C95">
            <w:pPr>
              <w:spacing w:line="276" w:lineRule="auto"/>
              <w:jc w:val="both"/>
              <w:rPr>
                <w:rFonts w:ascii="Arial" w:eastAsiaTheme="minorEastAsia" w:hAnsi="Arial" w:cs="Arial"/>
                <w:noProof/>
                <w:lang w:val="fr-BE"/>
              </w:rPr>
            </w:pPr>
            <w:r w:rsidRPr="00DC5770">
              <w:rPr>
                <w:rFonts w:ascii="Arial" w:eastAsiaTheme="minorEastAsia" w:hAnsi="Arial" w:cs="Arial"/>
                <w:noProof/>
                <w:lang w:val="fr-BE"/>
              </w:rPr>
              <w:t>Data Protection Officer</w:t>
            </w:r>
          </w:p>
        </w:tc>
        <w:tc>
          <w:tcPr>
            <w:tcW w:w="5953" w:type="dxa"/>
          </w:tcPr>
          <w:p w14:paraId="42AD424F"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1</w:t>
            </w:r>
          </w:p>
        </w:tc>
      </w:tr>
      <w:tr w:rsidR="00B758A1" w:rsidRPr="00DC5770" w14:paraId="658376EE" w14:textId="77777777" w:rsidTr="00DC5770">
        <w:tc>
          <w:tcPr>
            <w:tcW w:w="9484" w:type="dxa"/>
          </w:tcPr>
          <w:p w14:paraId="1CB1DC31" w14:textId="77777777" w:rsidR="00B758A1" w:rsidRPr="00DC5770" w:rsidRDefault="00B758A1" w:rsidP="00275C95">
            <w:pPr>
              <w:spacing w:line="276" w:lineRule="auto"/>
              <w:jc w:val="both"/>
              <w:rPr>
                <w:rFonts w:ascii="Arial" w:eastAsiaTheme="minorEastAsia" w:hAnsi="Arial" w:cs="Arial"/>
                <w:noProof/>
                <w:lang w:val="fr-BE"/>
              </w:rPr>
            </w:pPr>
            <w:r w:rsidRPr="00DC5770">
              <w:rPr>
                <w:rFonts w:ascii="Arial" w:eastAsiaTheme="minorEastAsia" w:hAnsi="Arial" w:cs="Arial"/>
                <w:noProof/>
                <w:lang w:val="fr-BE"/>
              </w:rPr>
              <w:t>Internal Audit Capability</w:t>
            </w:r>
          </w:p>
        </w:tc>
        <w:tc>
          <w:tcPr>
            <w:tcW w:w="5953" w:type="dxa"/>
          </w:tcPr>
          <w:p w14:paraId="6E58F387"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1</w:t>
            </w:r>
          </w:p>
        </w:tc>
      </w:tr>
      <w:tr w:rsidR="00B758A1" w:rsidRPr="00DC5770" w14:paraId="6B69B05C" w14:textId="77777777" w:rsidTr="00DC5770">
        <w:tc>
          <w:tcPr>
            <w:tcW w:w="9484" w:type="dxa"/>
          </w:tcPr>
          <w:p w14:paraId="7F767015"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 xml:space="preserve">Security Unit </w:t>
            </w:r>
          </w:p>
        </w:tc>
        <w:tc>
          <w:tcPr>
            <w:tcW w:w="5953" w:type="dxa"/>
          </w:tcPr>
          <w:p w14:paraId="7DB6DDD8"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1</w:t>
            </w:r>
          </w:p>
        </w:tc>
      </w:tr>
      <w:tr w:rsidR="00B758A1" w:rsidRPr="00DC5770" w14:paraId="29DD833E" w14:textId="77777777" w:rsidTr="00DC5770">
        <w:tc>
          <w:tcPr>
            <w:tcW w:w="9484" w:type="dxa"/>
          </w:tcPr>
          <w:p w14:paraId="509FB43B" w14:textId="77777777" w:rsidR="00B758A1" w:rsidRPr="00DC5770" w:rsidRDefault="00B758A1" w:rsidP="00275C95">
            <w:pPr>
              <w:spacing w:line="276" w:lineRule="auto"/>
              <w:jc w:val="both"/>
              <w:rPr>
                <w:rFonts w:ascii="Arial" w:eastAsiaTheme="minorEastAsia" w:hAnsi="Arial" w:cs="Arial"/>
                <w:noProof/>
                <w:lang w:val="fr-BE"/>
              </w:rPr>
            </w:pPr>
            <w:r w:rsidRPr="00DC5770">
              <w:rPr>
                <w:rFonts w:ascii="Arial" w:eastAsiaTheme="minorEastAsia" w:hAnsi="Arial" w:cs="Arial"/>
                <w:noProof/>
                <w:lang w:val="fr-BE"/>
              </w:rPr>
              <w:t xml:space="preserve">Corporate Governance Department </w:t>
            </w:r>
          </w:p>
        </w:tc>
        <w:tc>
          <w:tcPr>
            <w:tcW w:w="5953" w:type="dxa"/>
          </w:tcPr>
          <w:p w14:paraId="19D20A30"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5</w:t>
            </w:r>
          </w:p>
        </w:tc>
      </w:tr>
      <w:tr w:rsidR="00B758A1" w:rsidRPr="00DC5770" w14:paraId="422A543C" w14:textId="77777777" w:rsidTr="00DC5770">
        <w:tc>
          <w:tcPr>
            <w:tcW w:w="9484" w:type="dxa"/>
          </w:tcPr>
          <w:p w14:paraId="3200B705" w14:textId="77777777" w:rsidR="00B758A1" w:rsidRPr="00DC5770" w:rsidRDefault="00B758A1" w:rsidP="00275C95">
            <w:pPr>
              <w:spacing w:line="276" w:lineRule="auto"/>
              <w:jc w:val="both"/>
              <w:rPr>
                <w:rFonts w:ascii="Arial" w:eastAsiaTheme="minorEastAsia" w:hAnsi="Arial" w:cs="Arial"/>
                <w:noProof/>
                <w:lang w:val="fr-BE"/>
              </w:rPr>
            </w:pPr>
            <w:r w:rsidRPr="00DC5770">
              <w:rPr>
                <w:rFonts w:ascii="Arial" w:eastAsiaTheme="minorEastAsia" w:hAnsi="Arial" w:cs="Arial"/>
                <w:noProof/>
                <w:lang w:val="fr-BE"/>
              </w:rPr>
              <w:t xml:space="preserve">Corporate Services Department </w:t>
            </w:r>
          </w:p>
        </w:tc>
        <w:tc>
          <w:tcPr>
            <w:tcW w:w="5953" w:type="dxa"/>
          </w:tcPr>
          <w:p w14:paraId="6079F7F5"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9</w:t>
            </w:r>
          </w:p>
        </w:tc>
      </w:tr>
      <w:tr w:rsidR="00B758A1" w:rsidRPr="00DC5770" w14:paraId="40AC8D9B" w14:textId="77777777" w:rsidTr="00DC5770">
        <w:tc>
          <w:tcPr>
            <w:tcW w:w="9484" w:type="dxa"/>
          </w:tcPr>
          <w:p w14:paraId="6CEE60A7" w14:textId="77777777" w:rsidR="00B758A1" w:rsidRPr="00DC5770" w:rsidRDefault="00B758A1" w:rsidP="00275C95">
            <w:pPr>
              <w:spacing w:line="276" w:lineRule="auto"/>
              <w:jc w:val="both"/>
              <w:rPr>
                <w:rFonts w:ascii="Arial" w:eastAsiaTheme="minorEastAsia" w:hAnsi="Arial" w:cs="Arial"/>
                <w:noProof/>
                <w:lang w:val="fr-BE"/>
              </w:rPr>
            </w:pPr>
            <w:r w:rsidRPr="00DC5770">
              <w:rPr>
                <w:rFonts w:ascii="Arial" w:eastAsiaTheme="minorEastAsia" w:hAnsi="Arial" w:cs="Arial"/>
                <w:noProof/>
                <w:lang w:val="fr-BE"/>
              </w:rPr>
              <w:t xml:space="preserve">Operations Department </w:t>
            </w:r>
          </w:p>
        </w:tc>
        <w:tc>
          <w:tcPr>
            <w:tcW w:w="5953" w:type="dxa"/>
          </w:tcPr>
          <w:p w14:paraId="0FFEE53A"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18</w:t>
            </w:r>
          </w:p>
        </w:tc>
      </w:tr>
      <w:tr w:rsidR="00B758A1" w:rsidRPr="00DC5770" w14:paraId="632C51D7" w14:textId="77777777" w:rsidTr="00DC5770">
        <w:tc>
          <w:tcPr>
            <w:tcW w:w="9484" w:type="dxa"/>
          </w:tcPr>
          <w:p w14:paraId="36C13B3E"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 xml:space="preserve">Liaison Office </w:t>
            </w:r>
          </w:p>
        </w:tc>
        <w:tc>
          <w:tcPr>
            <w:tcW w:w="5953" w:type="dxa"/>
          </w:tcPr>
          <w:p w14:paraId="2E0A7B63"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3</w:t>
            </w:r>
          </w:p>
        </w:tc>
      </w:tr>
      <w:tr w:rsidR="00B758A1" w:rsidRPr="00DC5770" w14:paraId="0153D28D" w14:textId="77777777" w:rsidTr="00DC5770">
        <w:tc>
          <w:tcPr>
            <w:tcW w:w="9484" w:type="dxa"/>
          </w:tcPr>
          <w:p w14:paraId="364C8CE2" w14:textId="77777777" w:rsidR="00B758A1" w:rsidRPr="00DC5770" w:rsidRDefault="00B758A1" w:rsidP="00275C95">
            <w:pPr>
              <w:spacing w:line="276" w:lineRule="auto"/>
              <w:jc w:val="both"/>
              <w:rPr>
                <w:rFonts w:ascii="Arial" w:eastAsiaTheme="minorEastAsia" w:hAnsi="Arial" w:cs="Arial"/>
                <w:noProof/>
                <w:lang w:val="fr-BE"/>
              </w:rPr>
            </w:pPr>
            <w:r w:rsidRPr="00DC5770">
              <w:rPr>
                <w:rFonts w:ascii="Arial" w:eastAsiaTheme="minorEastAsia" w:hAnsi="Arial" w:cs="Arial"/>
                <w:noProof/>
                <w:lang w:val="fr-BE"/>
              </w:rPr>
              <w:t xml:space="preserve">eu-LISA staff representation </w:t>
            </w:r>
          </w:p>
        </w:tc>
        <w:tc>
          <w:tcPr>
            <w:tcW w:w="5953" w:type="dxa"/>
          </w:tcPr>
          <w:p w14:paraId="31C58388"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6</w:t>
            </w:r>
          </w:p>
        </w:tc>
      </w:tr>
      <w:tr w:rsidR="00B758A1" w:rsidRPr="00DC5770" w14:paraId="242FDB25" w14:textId="77777777" w:rsidTr="00DC5770">
        <w:tc>
          <w:tcPr>
            <w:tcW w:w="9484" w:type="dxa"/>
            <w:shd w:val="clear" w:color="auto" w:fill="D3E8F9" w:themeFill="background2"/>
          </w:tcPr>
          <w:p w14:paraId="07C10C0C" w14:textId="77777777" w:rsidR="00B758A1" w:rsidRPr="00DC5770" w:rsidRDefault="00B758A1" w:rsidP="00275C95">
            <w:pPr>
              <w:spacing w:line="276" w:lineRule="auto"/>
              <w:jc w:val="both"/>
              <w:rPr>
                <w:rFonts w:ascii="Arial" w:eastAsiaTheme="minorEastAsia" w:hAnsi="Arial" w:cs="Arial"/>
                <w:i/>
                <w:iCs/>
                <w:noProof/>
                <w:lang w:val="fr-BE"/>
              </w:rPr>
            </w:pPr>
            <w:r w:rsidRPr="00DC5770">
              <w:rPr>
                <w:rFonts w:ascii="Arial" w:eastAsiaTheme="minorEastAsia" w:hAnsi="Arial" w:cs="Arial"/>
                <w:i/>
                <w:iCs/>
                <w:noProof/>
                <w:lang w:val="fr-BE"/>
              </w:rPr>
              <w:t xml:space="preserve">SUM: </w:t>
            </w:r>
          </w:p>
        </w:tc>
        <w:tc>
          <w:tcPr>
            <w:tcW w:w="5953" w:type="dxa"/>
            <w:shd w:val="clear" w:color="auto" w:fill="D3E8F9" w:themeFill="background2"/>
          </w:tcPr>
          <w:p w14:paraId="13F7CAE8" w14:textId="77777777" w:rsidR="00B758A1" w:rsidRPr="00DC5770" w:rsidRDefault="00B758A1" w:rsidP="00275C95">
            <w:pPr>
              <w:spacing w:line="276" w:lineRule="auto"/>
              <w:jc w:val="both"/>
              <w:rPr>
                <w:rFonts w:ascii="Arial" w:eastAsiaTheme="minorHAnsi" w:hAnsi="Arial" w:cs="Arial"/>
                <w:i/>
                <w:iCs/>
                <w:noProof/>
              </w:rPr>
            </w:pPr>
            <w:r w:rsidRPr="00DC5770">
              <w:rPr>
                <w:rFonts w:ascii="Arial" w:eastAsiaTheme="minorHAnsi" w:hAnsi="Arial" w:cs="Arial"/>
                <w:i/>
                <w:iCs/>
                <w:noProof/>
              </w:rPr>
              <w:t>46</w:t>
            </w:r>
          </w:p>
        </w:tc>
      </w:tr>
    </w:tbl>
    <w:p w14:paraId="05FAB516" w14:textId="77777777" w:rsidR="00E52E28" w:rsidRPr="00855E06" w:rsidRDefault="00E52E28" w:rsidP="00275C95">
      <w:pPr>
        <w:spacing w:after="0"/>
        <w:jc w:val="both"/>
        <w:rPr>
          <w:rFonts w:ascii="Times New Roman" w:hAnsi="Times New Roman" w:cs="Times New Roman"/>
          <w:iCs/>
          <w:noProof/>
          <w:sz w:val="24"/>
          <w:szCs w:val="24"/>
          <w:lang w:val="en-GB"/>
        </w:rPr>
      </w:pPr>
    </w:p>
    <w:p w14:paraId="4CFF672C" w14:textId="0DD02A7D"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On the side of the governance bodies, the remaining 24 stakeholders contacted were either from the </w:t>
      </w:r>
      <w:r w:rsidRPr="00855E06">
        <w:rPr>
          <w:rFonts w:ascii="Times New Roman" w:hAnsi="Times New Roman" w:cs="Times New Roman"/>
          <w:b/>
          <w:bCs/>
          <w:iCs/>
          <w:noProof/>
          <w:sz w:val="24"/>
          <w:szCs w:val="24"/>
          <w:lang w:val="en-GB"/>
        </w:rPr>
        <w:t xml:space="preserve">Management Board </w:t>
      </w:r>
      <w:r w:rsidRPr="00855E06">
        <w:rPr>
          <w:rFonts w:ascii="Times New Roman" w:hAnsi="Times New Roman" w:cs="Times New Roman"/>
          <w:iCs/>
          <w:noProof/>
          <w:sz w:val="24"/>
          <w:szCs w:val="24"/>
          <w:lang w:val="en-GB"/>
        </w:rPr>
        <w:t xml:space="preserve">or from the </w:t>
      </w:r>
      <w:r w:rsidRPr="00855E06">
        <w:rPr>
          <w:rFonts w:ascii="Times New Roman" w:hAnsi="Times New Roman" w:cs="Times New Roman"/>
          <w:b/>
          <w:bCs/>
          <w:iCs/>
          <w:noProof/>
          <w:sz w:val="24"/>
          <w:szCs w:val="24"/>
          <w:lang w:val="en-GB"/>
        </w:rPr>
        <w:t>Advisory Groups and the e-CODEX PMB</w:t>
      </w:r>
      <w:r w:rsidRPr="00855E06">
        <w:rPr>
          <w:rFonts w:ascii="Times New Roman" w:hAnsi="Times New Roman" w:cs="Times New Roman"/>
          <w:iCs/>
          <w:noProof/>
          <w:sz w:val="24"/>
          <w:szCs w:val="24"/>
          <w:lang w:val="en-GB"/>
        </w:rPr>
        <w:t xml:space="preserve">. Overall, 12 stakeholders were contacted respectively for each of the two bodies, covering different Member State perspectives. As concerns the Advisory Groups and e-CODEX PMB, at least one stakeholder could be reached for each AG and for the e-CODEX PMB. Given that a maximum of two to three interviews per AG and e-CODEX PMB were initially planned and that the same stakeholder groups were also contacted via the online survey, this is a satisfactory result. </w:t>
      </w:r>
    </w:p>
    <w:p w14:paraId="7D25D819"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As for the exploratory interviews, the one-hour interviews were conducted following a semi-structured approach, following pre-agreed upon interview guidelines. For all interviews, questions were clustered by the three main dimensions covered by the evaluation, which were provided in the ToR. These included (i) the mandate, tasks and objectives of the Agency, (ii) the governance and location of the Agency, and (iii) the management of resources. In addition, the study team drafted specific question blocks for each stakeholder group to allow for deep-dives concerning specific topics according to the expertise of the interviewees. Before the interviews, team members were briefed to ensure familiarity with the interview guides and approach to conducting the interviews.</w:t>
      </w:r>
    </w:p>
    <w:p w14:paraId="2FE04479"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As concerns the remaining 38 EU and national stakeholders reached via interviews/one focus group, an overview of the stakeholders contacted can be found in the table below. </w:t>
      </w:r>
    </w:p>
    <w:p w14:paraId="72A56816" w14:textId="77777777" w:rsidR="00E52E28" w:rsidRPr="00855E06" w:rsidRDefault="00E52E28" w:rsidP="00275C95">
      <w:pPr>
        <w:spacing w:after="0"/>
        <w:jc w:val="both"/>
        <w:rPr>
          <w:rFonts w:ascii="Times New Roman" w:hAnsi="Times New Roman" w:cs="Times New Roman"/>
          <w:iCs/>
          <w:noProof/>
          <w:sz w:val="24"/>
          <w:szCs w:val="24"/>
          <w:lang w:val="en-GB"/>
        </w:rPr>
      </w:pPr>
    </w:p>
    <w:p w14:paraId="4EBE0E41" w14:textId="48F0E870" w:rsidR="00E52E28" w:rsidRPr="00DC5770" w:rsidRDefault="00B758A1" w:rsidP="00275C95">
      <w:pPr>
        <w:spacing w:after="0"/>
        <w:jc w:val="both"/>
        <w:rPr>
          <w:rFonts w:ascii="Times New Roman" w:hAnsi="Times New Roman" w:cs="Times New Roman"/>
          <w:b/>
          <w:i/>
          <w:noProof/>
          <w:sz w:val="24"/>
          <w:szCs w:val="24"/>
          <w:lang w:val="en-GB"/>
        </w:rPr>
      </w:pPr>
      <w:bookmarkStart w:id="142" w:name="_Toc167205853"/>
      <w:r w:rsidRPr="00DC5770">
        <w:rPr>
          <w:rFonts w:ascii="Times New Roman" w:hAnsi="Times New Roman" w:cs="Times New Roman"/>
          <w:b/>
          <w:i/>
          <w:noProof/>
          <w:sz w:val="24"/>
          <w:szCs w:val="24"/>
          <w:lang w:val="en-GB"/>
        </w:rPr>
        <w:t xml:space="preserve">Table </w:t>
      </w:r>
      <w:r w:rsidR="00CB5A08">
        <w:rPr>
          <w:rFonts w:ascii="Times New Roman" w:hAnsi="Times New Roman" w:cs="Times New Roman"/>
          <w:b/>
          <w:i/>
          <w:noProof/>
          <w:sz w:val="24"/>
          <w:szCs w:val="24"/>
          <w:lang w:val="en-GB"/>
        </w:rPr>
        <w:t>3</w:t>
      </w:r>
      <w:r w:rsidR="00CB5A08" w:rsidRPr="00DC5770">
        <w:rPr>
          <w:rFonts w:ascii="Times New Roman" w:hAnsi="Times New Roman" w:cs="Times New Roman"/>
          <w:b/>
          <w:i/>
          <w:noProof/>
          <w:sz w:val="24"/>
          <w:szCs w:val="24"/>
          <w:lang w:val="en-GB"/>
        </w:rPr>
        <w:t xml:space="preserve"> </w:t>
      </w:r>
      <w:r w:rsidRPr="00DC5770">
        <w:rPr>
          <w:rFonts w:ascii="Times New Roman" w:hAnsi="Times New Roman" w:cs="Times New Roman"/>
          <w:b/>
          <w:i/>
          <w:noProof/>
          <w:sz w:val="24"/>
          <w:szCs w:val="24"/>
          <w:lang w:val="en-GB"/>
        </w:rPr>
        <w:t>– EU and national level stakeholders reached</w:t>
      </w:r>
      <w:bookmarkEnd w:id="142"/>
    </w:p>
    <w:tbl>
      <w:tblPr>
        <w:tblStyle w:val="TableGrid"/>
        <w:tblW w:w="15437" w:type="dxa"/>
        <w:tblInd w:w="9" w:type="dxa"/>
        <w:tblLook w:val="04A0" w:firstRow="1" w:lastRow="0" w:firstColumn="1" w:lastColumn="0" w:noHBand="0" w:noVBand="1"/>
      </w:tblPr>
      <w:tblGrid>
        <w:gridCol w:w="7216"/>
        <w:gridCol w:w="8221"/>
      </w:tblGrid>
      <w:tr w:rsidR="00DC5770" w:rsidRPr="002048C6" w14:paraId="64203184" w14:textId="77777777" w:rsidTr="00DC5770">
        <w:trPr>
          <w:trHeight w:val="420"/>
          <w:tblHeader/>
        </w:trPr>
        <w:tc>
          <w:tcPr>
            <w:tcW w:w="7216" w:type="dxa"/>
            <w:shd w:val="clear" w:color="auto" w:fill="1B7BCA" w:themeFill="background2" w:themeFillShade="80"/>
            <w:vAlign w:val="center"/>
          </w:tcPr>
          <w:p w14:paraId="729386D1" w14:textId="77777777" w:rsidR="00B758A1" w:rsidRPr="00DC5770" w:rsidRDefault="00B758A1" w:rsidP="00DC5770">
            <w:pPr>
              <w:spacing w:line="276" w:lineRule="auto"/>
              <w:rPr>
                <w:rFonts w:ascii="Arial" w:eastAsiaTheme="minorHAnsi" w:hAnsi="Arial" w:cs="Arial"/>
                <w:b/>
                <w:bCs/>
                <w:iCs/>
                <w:noProof/>
                <w:color w:val="FFFFFF" w:themeColor="background1"/>
              </w:rPr>
            </w:pPr>
            <w:r w:rsidRPr="00DC5770">
              <w:rPr>
                <w:rFonts w:ascii="Arial" w:eastAsiaTheme="minorHAnsi" w:hAnsi="Arial" w:cs="Arial"/>
                <w:b/>
                <w:bCs/>
                <w:iCs/>
                <w:noProof/>
                <w:color w:val="FFFFFF" w:themeColor="background1"/>
              </w:rPr>
              <w:t>Type of stakeholder</w:t>
            </w:r>
          </w:p>
        </w:tc>
        <w:tc>
          <w:tcPr>
            <w:tcW w:w="8221" w:type="dxa"/>
            <w:shd w:val="clear" w:color="auto" w:fill="1B7BCA" w:themeFill="background2" w:themeFillShade="80"/>
            <w:vAlign w:val="center"/>
          </w:tcPr>
          <w:p w14:paraId="20A7E59B" w14:textId="6B0DEC01" w:rsidR="00B758A1" w:rsidRPr="00DC5770" w:rsidRDefault="00B758A1" w:rsidP="00DC5770">
            <w:pPr>
              <w:spacing w:line="276" w:lineRule="auto"/>
              <w:rPr>
                <w:rFonts w:ascii="Arial" w:eastAsiaTheme="minorEastAsia" w:hAnsi="Arial" w:cs="Arial"/>
                <w:b/>
                <w:noProof/>
                <w:color w:val="FFFFFF" w:themeColor="background1"/>
                <w:lang w:val="en-IE"/>
              </w:rPr>
            </w:pPr>
            <w:r w:rsidRPr="00DC5770">
              <w:rPr>
                <w:rFonts w:ascii="Arial" w:eastAsiaTheme="minorEastAsia" w:hAnsi="Arial" w:cs="Arial"/>
                <w:b/>
                <w:noProof/>
                <w:color w:val="FFFFFF" w:themeColor="background1"/>
                <w:lang w:val="en-IE"/>
              </w:rPr>
              <w:t>Total number of stakeholders with whom interviews were conducted</w:t>
            </w:r>
          </w:p>
        </w:tc>
      </w:tr>
      <w:tr w:rsidR="00B758A1" w:rsidRPr="00DC5770" w14:paraId="3F81865B" w14:textId="77777777" w:rsidTr="00DC5770">
        <w:tc>
          <w:tcPr>
            <w:tcW w:w="15437" w:type="dxa"/>
            <w:gridSpan w:val="2"/>
            <w:shd w:val="clear" w:color="auto" w:fill="F2F2F2" w:themeFill="background1" w:themeFillShade="F2"/>
          </w:tcPr>
          <w:p w14:paraId="4218765C" w14:textId="4797AD68" w:rsidR="00B758A1" w:rsidRPr="00DC5770" w:rsidRDefault="00B758A1" w:rsidP="00275C95">
            <w:pPr>
              <w:spacing w:line="276" w:lineRule="auto"/>
              <w:jc w:val="both"/>
              <w:rPr>
                <w:rFonts w:ascii="Arial" w:eastAsiaTheme="minorEastAsia" w:hAnsi="Arial" w:cs="Arial"/>
                <w:b/>
                <w:noProof/>
                <w:lang w:val="fr-BE"/>
              </w:rPr>
            </w:pPr>
            <w:r w:rsidRPr="00DC5770">
              <w:rPr>
                <w:rFonts w:ascii="Arial" w:eastAsiaTheme="minorEastAsia" w:hAnsi="Arial" w:cs="Arial"/>
                <w:b/>
                <w:noProof/>
                <w:lang w:val="fr-BE"/>
              </w:rPr>
              <w:t>EU agencies and bodies</w:t>
            </w:r>
          </w:p>
        </w:tc>
      </w:tr>
      <w:tr w:rsidR="00B758A1" w:rsidRPr="00DC5770" w14:paraId="4F2F67B2" w14:textId="77777777" w:rsidTr="00DC5770">
        <w:tc>
          <w:tcPr>
            <w:tcW w:w="7216" w:type="dxa"/>
          </w:tcPr>
          <w:p w14:paraId="670C3037" w14:textId="01853741" w:rsidR="00B758A1" w:rsidRPr="00DC5770" w:rsidRDefault="00B758A1" w:rsidP="00275C95">
            <w:pPr>
              <w:spacing w:line="276" w:lineRule="auto"/>
              <w:jc w:val="both"/>
              <w:rPr>
                <w:rFonts w:ascii="Arial" w:eastAsiaTheme="minorEastAsia" w:hAnsi="Arial" w:cs="Arial"/>
                <w:noProof/>
                <w:lang w:val="fr-BE"/>
              </w:rPr>
            </w:pPr>
            <w:r w:rsidRPr="00DC5770">
              <w:rPr>
                <w:rFonts w:ascii="Arial" w:eastAsiaTheme="minorEastAsia" w:hAnsi="Arial" w:cs="Arial"/>
                <w:noProof/>
                <w:lang w:val="fr-BE"/>
              </w:rPr>
              <w:t>EU Commission (DG HOME units A4, B3, B4, C3, H4)</w:t>
            </w:r>
          </w:p>
        </w:tc>
        <w:tc>
          <w:tcPr>
            <w:tcW w:w="8221" w:type="dxa"/>
          </w:tcPr>
          <w:p w14:paraId="59A2A20B"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6</w:t>
            </w:r>
          </w:p>
        </w:tc>
      </w:tr>
      <w:tr w:rsidR="00B758A1" w:rsidRPr="00DC5770" w14:paraId="55D1224A" w14:textId="77777777" w:rsidTr="00DC5770">
        <w:tc>
          <w:tcPr>
            <w:tcW w:w="7216" w:type="dxa"/>
          </w:tcPr>
          <w:p w14:paraId="68AA007D"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 xml:space="preserve">Europol </w:t>
            </w:r>
          </w:p>
        </w:tc>
        <w:tc>
          <w:tcPr>
            <w:tcW w:w="8221" w:type="dxa"/>
          </w:tcPr>
          <w:p w14:paraId="5CE199AB"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3</w:t>
            </w:r>
          </w:p>
        </w:tc>
      </w:tr>
      <w:tr w:rsidR="00B758A1" w:rsidRPr="00DC5770" w14:paraId="069D8AB9" w14:textId="77777777" w:rsidTr="00DC5770">
        <w:tc>
          <w:tcPr>
            <w:tcW w:w="7216" w:type="dxa"/>
          </w:tcPr>
          <w:p w14:paraId="531D63AC"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 xml:space="preserve">Frontex </w:t>
            </w:r>
          </w:p>
        </w:tc>
        <w:tc>
          <w:tcPr>
            <w:tcW w:w="8221" w:type="dxa"/>
          </w:tcPr>
          <w:p w14:paraId="2985A1D1"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4</w:t>
            </w:r>
          </w:p>
        </w:tc>
      </w:tr>
      <w:tr w:rsidR="00B758A1" w:rsidRPr="00DC5770" w14:paraId="421D061E" w14:textId="77777777" w:rsidTr="00DC5770">
        <w:tc>
          <w:tcPr>
            <w:tcW w:w="7216" w:type="dxa"/>
          </w:tcPr>
          <w:p w14:paraId="64DF8CBC"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 xml:space="preserve">EPPO </w:t>
            </w:r>
          </w:p>
        </w:tc>
        <w:tc>
          <w:tcPr>
            <w:tcW w:w="8221" w:type="dxa"/>
          </w:tcPr>
          <w:p w14:paraId="6F26E49B"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1</w:t>
            </w:r>
          </w:p>
        </w:tc>
      </w:tr>
      <w:tr w:rsidR="00B758A1" w:rsidRPr="00DC5770" w14:paraId="564D34D8" w14:textId="77777777" w:rsidTr="00DC5770">
        <w:tc>
          <w:tcPr>
            <w:tcW w:w="15437" w:type="dxa"/>
            <w:gridSpan w:val="2"/>
            <w:shd w:val="clear" w:color="auto" w:fill="F2F2F2" w:themeFill="background1" w:themeFillShade="F2"/>
          </w:tcPr>
          <w:p w14:paraId="6E8097D2" w14:textId="77777777" w:rsidR="00B758A1" w:rsidRPr="00DC5770" w:rsidRDefault="00B758A1" w:rsidP="00275C95">
            <w:pPr>
              <w:spacing w:line="276" w:lineRule="auto"/>
              <w:jc w:val="both"/>
              <w:rPr>
                <w:rFonts w:ascii="Arial" w:eastAsiaTheme="minorEastAsia" w:hAnsi="Arial" w:cs="Arial"/>
                <w:b/>
                <w:bCs/>
                <w:noProof/>
                <w:lang w:val="fr-BE"/>
              </w:rPr>
            </w:pPr>
            <w:r w:rsidRPr="00DC5770">
              <w:rPr>
                <w:rFonts w:ascii="Arial" w:eastAsiaTheme="minorEastAsia" w:hAnsi="Arial" w:cs="Arial"/>
                <w:b/>
                <w:bCs/>
                <w:noProof/>
                <w:lang w:val="fr-BE"/>
              </w:rPr>
              <w:t xml:space="preserve">National level stakeholders </w:t>
            </w:r>
          </w:p>
        </w:tc>
      </w:tr>
      <w:tr w:rsidR="00B758A1" w:rsidRPr="00DC5770" w14:paraId="3F64FE10" w14:textId="77777777" w:rsidTr="00DC5770">
        <w:tc>
          <w:tcPr>
            <w:tcW w:w="7216" w:type="dxa"/>
          </w:tcPr>
          <w:p w14:paraId="6AF12F7D" w14:textId="77777777" w:rsidR="00B758A1" w:rsidRPr="00DC5770" w:rsidRDefault="00B758A1" w:rsidP="00275C95">
            <w:pPr>
              <w:spacing w:line="276" w:lineRule="auto"/>
              <w:jc w:val="both"/>
              <w:rPr>
                <w:rFonts w:ascii="Arial" w:eastAsiaTheme="minorEastAsia" w:hAnsi="Arial" w:cs="Arial"/>
                <w:noProof/>
                <w:lang w:val="fr-BE"/>
              </w:rPr>
            </w:pPr>
            <w:r w:rsidRPr="00DC5770">
              <w:rPr>
                <w:rFonts w:ascii="Arial" w:eastAsiaTheme="minorEastAsia" w:hAnsi="Arial" w:cs="Arial"/>
                <w:noProof/>
                <w:lang w:val="fr-BE"/>
              </w:rPr>
              <w:t xml:space="preserve">Contractors of eu-LISA </w:t>
            </w:r>
          </w:p>
        </w:tc>
        <w:tc>
          <w:tcPr>
            <w:tcW w:w="8221" w:type="dxa"/>
          </w:tcPr>
          <w:p w14:paraId="41B7B344"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4</w:t>
            </w:r>
          </w:p>
        </w:tc>
      </w:tr>
      <w:tr w:rsidR="00B758A1" w:rsidRPr="00DC5770" w14:paraId="28EAB699" w14:textId="77777777" w:rsidTr="00DC5770">
        <w:tc>
          <w:tcPr>
            <w:tcW w:w="7216" w:type="dxa"/>
          </w:tcPr>
          <w:p w14:paraId="207374CB" w14:textId="77777777" w:rsidR="00B758A1" w:rsidRPr="00DC5770" w:rsidRDefault="00B758A1" w:rsidP="00275C95">
            <w:pPr>
              <w:spacing w:line="276" w:lineRule="auto"/>
              <w:jc w:val="both"/>
              <w:rPr>
                <w:rFonts w:ascii="Arial" w:eastAsiaTheme="minorEastAsia" w:hAnsi="Arial" w:cs="Arial"/>
                <w:noProof/>
                <w:lang w:val="en-IE"/>
              </w:rPr>
            </w:pPr>
            <w:r w:rsidRPr="00DC5770">
              <w:rPr>
                <w:rFonts w:ascii="Arial" w:eastAsiaTheme="minorEastAsia" w:hAnsi="Arial" w:cs="Arial"/>
                <w:noProof/>
                <w:lang w:val="en-IE"/>
              </w:rPr>
              <w:t xml:space="preserve">Carriers (air, land, sea) – </w:t>
            </w:r>
            <w:r w:rsidRPr="00DC5770">
              <w:rPr>
                <w:rFonts w:ascii="Arial" w:eastAsiaTheme="minorEastAsia" w:hAnsi="Arial" w:cs="Arial"/>
                <w:i/>
                <w:iCs/>
                <w:noProof/>
                <w:lang w:val="en-IE"/>
              </w:rPr>
              <w:t>conducted in one focus group</w:t>
            </w:r>
          </w:p>
        </w:tc>
        <w:tc>
          <w:tcPr>
            <w:tcW w:w="8221" w:type="dxa"/>
          </w:tcPr>
          <w:p w14:paraId="08546671" w14:textId="77777777" w:rsidR="00B758A1" w:rsidRPr="00DC5770" w:rsidRDefault="00B758A1" w:rsidP="00275C95">
            <w:pPr>
              <w:spacing w:line="276" w:lineRule="auto"/>
              <w:jc w:val="both"/>
              <w:rPr>
                <w:rFonts w:ascii="Arial" w:eastAsiaTheme="minorHAnsi" w:hAnsi="Arial" w:cs="Arial"/>
                <w:iCs/>
                <w:noProof/>
              </w:rPr>
            </w:pPr>
            <w:r w:rsidRPr="00DC5770">
              <w:rPr>
                <w:rFonts w:ascii="Arial" w:eastAsiaTheme="minorHAnsi" w:hAnsi="Arial" w:cs="Arial"/>
                <w:iCs/>
                <w:noProof/>
              </w:rPr>
              <w:t>20</w:t>
            </w:r>
          </w:p>
        </w:tc>
      </w:tr>
      <w:tr w:rsidR="00B758A1" w:rsidRPr="00DC5770" w14:paraId="5B1686A9" w14:textId="77777777" w:rsidTr="00DC5770">
        <w:tc>
          <w:tcPr>
            <w:tcW w:w="7216" w:type="dxa"/>
            <w:shd w:val="clear" w:color="auto" w:fill="D3E8F9" w:themeFill="background2"/>
          </w:tcPr>
          <w:p w14:paraId="4F6BD23D" w14:textId="77777777" w:rsidR="00B758A1" w:rsidRPr="00DC5770" w:rsidRDefault="00B758A1" w:rsidP="00275C95">
            <w:pPr>
              <w:spacing w:line="276" w:lineRule="auto"/>
              <w:jc w:val="both"/>
              <w:rPr>
                <w:rFonts w:ascii="Arial" w:eastAsiaTheme="minorHAnsi" w:hAnsi="Arial" w:cs="Arial"/>
                <w:i/>
                <w:iCs/>
                <w:noProof/>
              </w:rPr>
            </w:pPr>
            <w:r w:rsidRPr="00DC5770">
              <w:rPr>
                <w:rFonts w:ascii="Arial" w:eastAsiaTheme="minorHAnsi" w:hAnsi="Arial" w:cs="Arial"/>
                <w:i/>
                <w:iCs/>
                <w:noProof/>
              </w:rPr>
              <w:t xml:space="preserve">SUM </w:t>
            </w:r>
          </w:p>
        </w:tc>
        <w:tc>
          <w:tcPr>
            <w:tcW w:w="8221" w:type="dxa"/>
            <w:shd w:val="clear" w:color="auto" w:fill="D3E8F9" w:themeFill="background2"/>
          </w:tcPr>
          <w:p w14:paraId="766D5303" w14:textId="77777777" w:rsidR="00B758A1" w:rsidRPr="00DC5770" w:rsidRDefault="00B758A1" w:rsidP="00275C95">
            <w:pPr>
              <w:spacing w:line="276" w:lineRule="auto"/>
              <w:jc w:val="both"/>
              <w:rPr>
                <w:rFonts w:ascii="Arial" w:eastAsiaTheme="minorHAnsi" w:hAnsi="Arial" w:cs="Arial"/>
                <w:i/>
                <w:iCs/>
                <w:noProof/>
              </w:rPr>
            </w:pPr>
            <w:r w:rsidRPr="00DC5770">
              <w:rPr>
                <w:rFonts w:ascii="Arial" w:eastAsiaTheme="minorHAnsi" w:hAnsi="Arial" w:cs="Arial"/>
                <w:i/>
                <w:iCs/>
                <w:noProof/>
              </w:rPr>
              <w:t>38</w:t>
            </w:r>
          </w:p>
        </w:tc>
      </w:tr>
    </w:tbl>
    <w:p w14:paraId="6100E792" w14:textId="77777777" w:rsidR="00E52E28" w:rsidRPr="00855E06" w:rsidRDefault="00E52E28" w:rsidP="00275C95">
      <w:pPr>
        <w:spacing w:after="0"/>
        <w:jc w:val="both"/>
        <w:rPr>
          <w:rFonts w:ascii="Times New Roman" w:hAnsi="Times New Roman" w:cs="Times New Roman"/>
          <w:iCs/>
          <w:noProof/>
          <w:sz w:val="24"/>
          <w:szCs w:val="24"/>
          <w:lang w:val="en-GB"/>
        </w:rPr>
      </w:pPr>
    </w:p>
    <w:p w14:paraId="43649147" w14:textId="613FA099"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For the interviews with EU Agencies and bodies as well as the contractors, interview guidelines were drafted. Similar to the above interviews, the interview guides were approved by the Commission as part of the submission of the inception report and coined towards the respective stakeholder group, covering aspects such as administrative procedures, cooperation with eu-LISA, questions about eu-LISA’s current operations as well as future needs and developments to consider. As for the other interviews, the study team’s interviewers were briefed prior to the start of the fieldwork phase to ensure compliance with the guidelines. </w:t>
      </w:r>
    </w:p>
    <w:p w14:paraId="04262BD6"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The one-hour focus group was conducted on 22 February 2024 via MS-Teams with 20 participants representing air (five representatives), land (one representative) and sea carriers (11 representatives), as well as three other representatives from other carrier groups. The focus group was conducted with the help of the online whiteboard tool MURAL, which allowed the participants to contribute their ideas and perceptions live during the focus group. In addition, the study team allowed for more detailed exchanges in two break-out sessions. In order to foster the discussions, the study team prepared a number of guiding questions prior to the focus group. </w:t>
      </w:r>
    </w:p>
    <w:p w14:paraId="4C85D074" w14:textId="77777777" w:rsidR="00E52E28" w:rsidRPr="00855E06" w:rsidRDefault="00E52E28" w:rsidP="00275C95">
      <w:pPr>
        <w:spacing w:after="0"/>
        <w:jc w:val="both"/>
        <w:rPr>
          <w:rFonts w:ascii="Times New Roman" w:hAnsi="Times New Roman" w:cs="Times New Roman"/>
          <w:iCs/>
          <w:noProof/>
          <w:sz w:val="24"/>
          <w:szCs w:val="24"/>
          <w:lang w:val="en-GB"/>
        </w:rPr>
      </w:pPr>
    </w:p>
    <w:p w14:paraId="476C5874" w14:textId="77777777" w:rsidR="00B758A1" w:rsidRPr="00855E06" w:rsidRDefault="00B758A1" w:rsidP="00275C95">
      <w:pPr>
        <w:spacing w:after="0"/>
        <w:jc w:val="both"/>
        <w:rPr>
          <w:rFonts w:ascii="Times New Roman" w:hAnsi="Times New Roman" w:cs="Times New Roman"/>
          <w:b/>
          <w:bCs/>
          <w:i/>
          <w:iCs/>
          <w:noProof/>
          <w:sz w:val="24"/>
          <w:szCs w:val="24"/>
          <w:lang w:val="en-GB"/>
        </w:rPr>
      </w:pPr>
      <w:r w:rsidRPr="00855E06">
        <w:rPr>
          <w:rFonts w:ascii="Times New Roman" w:hAnsi="Times New Roman" w:cs="Times New Roman"/>
          <w:b/>
          <w:i/>
          <w:iCs/>
          <w:noProof/>
          <w:sz w:val="24"/>
          <w:szCs w:val="24"/>
          <w:lang w:val="en-GB"/>
        </w:rPr>
        <w:t>Online survey</w:t>
      </w:r>
    </w:p>
    <w:p w14:paraId="228A3E52" w14:textId="346658C4"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A written online survey was distributed among three different stakeholder groups in order to gather information on the functioning of eu-LISA, experiences made with the large-scale IT-systems operated by the Agency, and on the Agency’s adherence to data protection standards and guidelines. Stakeholders contacted comprised: (i) Advisory Group members and the e-CODEX PMB; (ii) The current and future users of the different IT systems (i.e. national competent authorities (NCAs), such as national law enforcement authorities, border control authorities and immigration authorities as well as the judiciary); and (iii) national supervisory authorities. The surveys covered aspects relevant to these groups, containing filter questions to ensure that only relevant questions were posed to the stakeholders. The different surveys were approved by DG HOME as part of the submission of the inception report. Overall, 353 answers were recorded through the survey. An overview of the quality of responses to the targeted written surveys can be found in the main body of the report in </w:t>
      </w:r>
      <w:r w:rsidRPr="00855E06">
        <w:rPr>
          <w:rFonts w:ascii="Times New Roman" w:hAnsi="Times New Roman" w:cs="Times New Roman"/>
          <w:iCs/>
          <w:noProof/>
          <w:sz w:val="24"/>
          <w:szCs w:val="24"/>
          <w:lang w:val="en-GB"/>
        </w:rPr>
        <w:fldChar w:fldCharType="begin"/>
      </w:r>
      <w:r w:rsidRPr="00855E06">
        <w:rPr>
          <w:rFonts w:ascii="Times New Roman" w:hAnsi="Times New Roman" w:cs="Times New Roman"/>
          <w:iCs/>
          <w:noProof/>
          <w:sz w:val="24"/>
          <w:szCs w:val="24"/>
          <w:lang w:val="en-GB"/>
        </w:rPr>
        <w:instrText xml:space="preserve"> REF _Ref164155947 \h </w:instrText>
      </w:r>
      <w:r w:rsidR="007B735D" w:rsidRPr="00855E06">
        <w:rPr>
          <w:rFonts w:ascii="Times New Roman" w:hAnsi="Times New Roman" w:cs="Times New Roman"/>
          <w:iCs/>
          <w:noProof/>
          <w:sz w:val="24"/>
          <w:szCs w:val="24"/>
          <w:lang w:val="en-GB"/>
        </w:rPr>
        <w:instrText xml:space="preserve"> \* MERGEFORMAT </w:instrText>
      </w:r>
      <w:r w:rsidRPr="00855E06">
        <w:rPr>
          <w:rFonts w:ascii="Times New Roman" w:hAnsi="Times New Roman" w:cs="Times New Roman"/>
          <w:iCs/>
          <w:noProof/>
          <w:sz w:val="24"/>
          <w:szCs w:val="24"/>
          <w:lang w:val="en-GB"/>
        </w:rPr>
      </w:r>
      <w:r w:rsidRPr="00855E06">
        <w:rPr>
          <w:rFonts w:ascii="Times New Roman" w:hAnsi="Times New Roman" w:cs="Times New Roman"/>
          <w:iCs/>
          <w:noProof/>
          <w:sz w:val="24"/>
          <w:szCs w:val="24"/>
          <w:lang w:val="en-GB"/>
        </w:rPr>
        <w:fldChar w:fldCharType="separate"/>
      </w:r>
      <w:r w:rsidR="004E2424" w:rsidRPr="004E2424">
        <w:rPr>
          <w:rFonts w:ascii="Times New Roman" w:hAnsi="Times New Roman" w:cs="Times New Roman"/>
          <w:iCs/>
          <w:noProof/>
          <w:sz w:val="24"/>
          <w:szCs w:val="24"/>
          <w:lang w:val="en-GB"/>
        </w:rPr>
        <w:t xml:space="preserve">Table </w:t>
      </w:r>
      <w:r w:rsidRPr="00855E06">
        <w:rPr>
          <w:rFonts w:ascii="Times New Roman" w:hAnsi="Times New Roman" w:cs="Times New Roman"/>
          <w:iCs/>
          <w:noProof/>
          <w:sz w:val="24"/>
          <w:szCs w:val="24"/>
          <w:lang w:val="en-GB"/>
        </w:rPr>
        <w:fldChar w:fldCharType="end"/>
      </w:r>
      <w:r w:rsidRPr="00855E06">
        <w:rPr>
          <w:rFonts w:ascii="Times New Roman" w:hAnsi="Times New Roman" w:cs="Times New Roman"/>
          <w:iCs/>
          <w:noProof/>
          <w:sz w:val="24"/>
          <w:szCs w:val="24"/>
          <w:lang w:val="en-GB"/>
        </w:rPr>
        <w:t>.</w:t>
      </w:r>
    </w:p>
    <w:p w14:paraId="7FF2407A" w14:textId="77777777" w:rsidR="00E52E28" w:rsidRPr="00855E06" w:rsidRDefault="00E52E28" w:rsidP="00275C95">
      <w:pPr>
        <w:spacing w:after="0"/>
        <w:jc w:val="both"/>
        <w:rPr>
          <w:rFonts w:ascii="Times New Roman" w:hAnsi="Times New Roman" w:cs="Times New Roman"/>
          <w:iCs/>
          <w:noProof/>
          <w:sz w:val="24"/>
          <w:szCs w:val="24"/>
          <w:lang w:val="en-GB"/>
        </w:rPr>
      </w:pPr>
    </w:p>
    <w:p w14:paraId="2C85A403"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As concerns the </w:t>
      </w:r>
      <w:r w:rsidRPr="00855E06">
        <w:rPr>
          <w:rFonts w:ascii="Times New Roman" w:hAnsi="Times New Roman" w:cs="Times New Roman"/>
          <w:b/>
          <w:bCs/>
          <w:iCs/>
          <w:noProof/>
          <w:sz w:val="24"/>
          <w:szCs w:val="24"/>
          <w:lang w:val="en-GB"/>
        </w:rPr>
        <w:t>survey distributed among AG members and the e-CODEX PMB</w:t>
      </w:r>
      <w:r w:rsidRPr="00855E06">
        <w:rPr>
          <w:rFonts w:ascii="Times New Roman" w:hAnsi="Times New Roman" w:cs="Times New Roman"/>
          <w:iCs/>
          <w:noProof/>
          <w:sz w:val="24"/>
          <w:szCs w:val="24"/>
          <w:lang w:val="en-GB"/>
        </w:rPr>
        <w:t>, the study team reached 175 stakeholders via the survey. The figure below provides an overview on the distribution of respondents within the AGs and the e-CODEX PMB. Most answers were received from members of the EES-ETIAS Advisory Group whereas the e-CODEX PMB, as to be expected due to its size, provides the smallest number of answers. It should be noted that the survey participants were able to provide multiple answers to this question, which is why the number of respondents in this specific question is higher than the overall number of stakeholders reached (175, see above).</w:t>
      </w:r>
    </w:p>
    <w:p w14:paraId="25833262" w14:textId="77777777" w:rsidR="00E52E28" w:rsidRPr="00855E06" w:rsidRDefault="00E52E28" w:rsidP="00275C95">
      <w:pPr>
        <w:spacing w:after="0"/>
        <w:jc w:val="both"/>
        <w:rPr>
          <w:rFonts w:ascii="Times New Roman" w:hAnsi="Times New Roman" w:cs="Times New Roman"/>
          <w:iCs/>
          <w:noProof/>
          <w:sz w:val="24"/>
          <w:szCs w:val="24"/>
          <w:lang w:val="en-GB"/>
        </w:rPr>
      </w:pPr>
    </w:p>
    <w:p w14:paraId="1DF1C0DD" w14:textId="79A0769A" w:rsidR="00B758A1" w:rsidRPr="00DC5770" w:rsidRDefault="00B758A1" w:rsidP="00275C95">
      <w:pPr>
        <w:spacing w:after="0"/>
        <w:jc w:val="both"/>
        <w:rPr>
          <w:rFonts w:ascii="Times New Roman" w:hAnsi="Times New Roman" w:cs="Times New Roman"/>
          <w:b/>
          <w:i/>
          <w:noProof/>
          <w:sz w:val="24"/>
          <w:szCs w:val="24"/>
          <w:lang w:val="en-GB"/>
        </w:rPr>
      </w:pPr>
      <w:bookmarkStart w:id="143" w:name="_Toc167205904"/>
      <w:r w:rsidRPr="00DC5770">
        <w:rPr>
          <w:rFonts w:ascii="Times New Roman" w:hAnsi="Times New Roman" w:cs="Times New Roman"/>
          <w:b/>
          <w:i/>
          <w:noProof/>
          <w:sz w:val="24"/>
          <w:szCs w:val="24"/>
          <w:lang w:val="en-GB"/>
        </w:rPr>
        <w:t xml:space="preserve">Figure </w:t>
      </w:r>
      <w:r w:rsidR="00AA29BC">
        <w:rPr>
          <w:rFonts w:ascii="Times New Roman" w:hAnsi="Times New Roman" w:cs="Times New Roman"/>
          <w:b/>
          <w:i/>
          <w:noProof/>
          <w:sz w:val="24"/>
          <w:szCs w:val="24"/>
          <w:lang w:val="en-GB"/>
        </w:rPr>
        <w:t xml:space="preserve">1 </w:t>
      </w:r>
      <w:r w:rsidRPr="00DC5770">
        <w:rPr>
          <w:rFonts w:ascii="Times New Roman" w:hAnsi="Times New Roman" w:cs="Times New Roman"/>
          <w:b/>
          <w:i/>
          <w:noProof/>
          <w:sz w:val="24"/>
          <w:szCs w:val="24"/>
          <w:lang w:val="en-GB"/>
        </w:rPr>
        <w:t>- Share of AG and e-CODEX PMB survey participants by AG/PMB (n=179)</w:t>
      </w:r>
      <w:bookmarkEnd w:id="143"/>
    </w:p>
    <w:p w14:paraId="5E80937C"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eastAsia="en-GB"/>
        </w:rPr>
        <w:drawing>
          <wp:inline distT="0" distB="0" distL="0" distR="0" wp14:anchorId="1A5613A6" wp14:editId="78FE0FBC">
            <wp:extent cx="4057650" cy="2434251"/>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86691" cy="2451673"/>
                    </a:xfrm>
                    <a:prstGeom prst="rect">
                      <a:avLst/>
                    </a:prstGeom>
                    <a:noFill/>
                  </pic:spPr>
                </pic:pic>
              </a:graphicData>
            </a:graphic>
          </wp:inline>
        </w:drawing>
      </w:r>
    </w:p>
    <w:p w14:paraId="57DBFB3A" w14:textId="77777777" w:rsidR="00E52E28" w:rsidRPr="00855E06" w:rsidRDefault="00E52E28" w:rsidP="00275C95">
      <w:pPr>
        <w:spacing w:after="0"/>
        <w:jc w:val="both"/>
        <w:rPr>
          <w:rFonts w:ascii="Times New Roman" w:hAnsi="Times New Roman" w:cs="Times New Roman"/>
          <w:i/>
          <w:iCs/>
          <w:noProof/>
          <w:sz w:val="24"/>
          <w:szCs w:val="24"/>
          <w:lang w:val="en-GB"/>
        </w:rPr>
      </w:pPr>
    </w:p>
    <w:p w14:paraId="6C347976"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For SIS, VIS and Eurodac, the questions focused on the operation and functioning of the systems, whereas the questions for ECRIS-TCN, EES-ETIAS and e-CODEX had a more forward-looking focus on development-related aspects of eu-LISA’s work. For participants of the surveys related to the judicial systems, there were additional questions on the principle of the respect of the independence of the judiciary and the handover / takeover process of e-CODEX from a consortium to eu-LISA. For all respondents, the survey concluded with a block of questions on organisational matters and governance, as well as future challenges and needs. </w:t>
      </w:r>
    </w:p>
    <w:p w14:paraId="3424A113"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Regarding the </w:t>
      </w:r>
      <w:r w:rsidRPr="00855E06">
        <w:rPr>
          <w:rFonts w:ascii="Times New Roman" w:hAnsi="Times New Roman" w:cs="Times New Roman"/>
          <w:b/>
          <w:bCs/>
          <w:iCs/>
          <w:noProof/>
          <w:sz w:val="24"/>
          <w:szCs w:val="24"/>
          <w:lang w:val="en-GB"/>
        </w:rPr>
        <w:t>survey distributed among current and future users of the large-scale IT-systems</w:t>
      </w:r>
      <w:r w:rsidRPr="00855E06">
        <w:rPr>
          <w:rFonts w:ascii="Times New Roman" w:hAnsi="Times New Roman" w:cs="Times New Roman"/>
          <w:iCs/>
          <w:noProof/>
          <w:sz w:val="24"/>
          <w:szCs w:val="24"/>
          <w:lang w:val="en-GB"/>
        </w:rPr>
        <w:t>,</w:t>
      </w:r>
      <w:r w:rsidRPr="00855E06">
        <w:rPr>
          <w:rFonts w:ascii="Times New Roman" w:hAnsi="Times New Roman" w:cs="Times New Roman"/>
          <w:b/>
          <w:bCs/>
          <w:iCs/>
          <w:noProof/>
          <w:sz w:val="24"/>
          <w:szCs w:val="24"/>
          <w:lang w:val="en-GB"/>
        </w:rPr>
        <w:t xml:space="preserve"> </w:t>
      </w:r>
      <w:r w:rsidRPr="00855E06">
        <w:rPr>
          <w:rFonts w:ascii="Times New Roman" w:hAnsi="Times New Roman" w:cs="Times New Roman"/>
          <w:iCs/>
          <w:noProof/>
          <w:sz w:val="24"/>
          <w:szCs w:val="24"/>
          <w:lang w:val="en-GB"/>
        </w:rPr>
        <w:t xml:space="preserve">the study team reached overall 132 stakeholders via the survey. Even though not all EU Member States and Schengen-Associated Countries (SACs) were reached via the survey, the study team roughly reached respondents in three quarters of the countries contacted (77%, 24 of 31). An overview of the participating countries and the number of responses recorded can be found below. </w:t>
      </w:r>
    </w:p>
    <w:p w14:paraId="5065683A" w14:textId="77777777" w:rsidR="00E52E28" w:rsidRDefault="00E52E28" w:rsidP="00275C95">
      <w:pPr>
        <w:spacing w:after="0"/>
        <w:jc w:val="both"/>
        <w:rPr>
          <w:rFonts w:ascii="Times New Roman" w:hAnsi="Times New Roman" w:cs="Times New Roman"/>
          <w:iCs/>
          <w:noProof/>
          <w:sz w:val="24"/>
          <w:szCs w:val="24"/>
          <w:lang w:val="en-GB"/>
        </w:rPr>
      </w:pPr>
    </w:p>
    <w:p w14:paraId="17C225DA" w14:textId="77777777" w:rsidR="00AA29BC" w:rsidRDefault="00AA29BC" w:rsidP="00275C95">
      <w:pPr>
        <w:spacing w:after="0"/>
        <w:jc w:val="both"/>
        <w:rPr>
          <w:rFonts w:ascii="Times New Roman" w:hAnsi="Times New Roman" w:cs="Times New Roman"/>
          <w:iCs/>
          <w:noProof/>
          <w:sz w:val="24"/>
          <w:szCs w:val="24"/>
          <w:lang w:val="en-GB"/>
        </w:rPr>
      </w:pPr>
    </w:p>
    <w:p w14:paraId="7A43D53C" w14:textId="77777777" w:rsidR="00AA29BC" w:rsidRPr="00855E06" w:rsidRDefault="00AA29BC" w:rsidP="00275C95">
      <w:pPr>
        <w:spacing w:after="0"/>
        <w:jc w:val="both"/>
        <w:rPr>
          <w:rFonts w:ascii="Times New Roman" w:hAnsi="Times New Roman" w:cs="Times New Roman"/>
          <w:iCs/>
          <w:noProof/>
          <w:sz w:val="24"/>
          <w:szCs w:val="24"/>
          <w:lang w:val="en-GB"/>
        </w:rPr>
      </w:pPr>
    </w:p>
    <w:p w14:paraId="7C441D75" w14:textId="5DE9AC3A" w:rsidR="00B758A1" w:rsidRPr="00DC5770" w:rsidRDefault="00B758A1" w:rsidP="00275C95">
      <w:pPr>
        <w:spacing w:after="0"/>
        <w:jc w:val="both"/>
        <w:rPr>
          <w:rFonts w:ascii="Times New Roman" w:hAnsi="Times New Roman" w:cs="Times New Roman"/>
          <w:b/>
          <w:i/>
          <w:noProof/>
          <w:sz w:val="24"/>
          <w:szCs w:val="24"/>
          <w:lang w:val="en-GB"/>
        </w:rPr>
      </w:pPr>
      <w:bookmarkStart w:id="144" w:name="_Toc167205905"/>
      <w:r w:rsidRPr="00DC5770">
        <w:rPr>
          <w:rFonts w:ascii="Times New Roman" w:hAnsi="Times New Roman" w:cs="Times New Roman"/>
          <w:b/>
          <w:i/>
          <w:noProof/>
          <w:sz w:val="24"/>
          <w:szCs w:val="24"/>
          <w:lang w:val="en-GB"/>
        </w:rPr>
        <w:t xml:space="preserve">Figure </w:t>
      </w:r>
      <w:r w:rsidR="00AA29BC">
        <w:rPr>
          <w:rFonts w:ascii="Times New Roman" w:hAnsi="Times New Roman" w:cs="Times New Roman"/>
          <w:b/>
          <w:i/>
          <w:noProof/>
          <w:sz w:val="24"/>
          <w:szCs w:val="24"/>
          <w:lang w:val="en-GB"/>
        </w:rPr>
        <w:t>2</w:t>
      </w:r>
      <w:r w:rsidR="00AA29BC" w:rsidRPr="00DC5770">
        <w:rPr>
          <w:rFonts w:ascii="Times New Roman" w:hAnsi="Times New Roman" w:cs="Times New Roman"/>
          <w:b/>
          <w:i/>
          <w:noProof/>
          <w:sz w:val="24"/>
          <w:szCs w:val="24"/>
          <w:lang w:val="en-GB"/>
        </w:rPr>
        <w:t xml:space="preserve"> </w:t>
      </w:r>
      <w:r w:rsidRPr="00DC5770">
        <w:rPr>
          <w:rFonts w:ascii="Times New Roman" w:hAnsi="Times New Roman" w:cs="Times New Roman"/>
          <w:b/>
          <w:i/>
          <w:noProof/>
          <w:sz w:val="24"/>
          <w:szCs w:val="24"/>
          <w:lang w:val="en-GB"/>
        </w:rPr>
        <w:t>- Share of user survey participants by country (n=90)</w:t>
      </w:r>
      <w:bookmarkEnd w:id="144"/>
    </w:p>
    <w:p w14:paraId="5C2AFD40"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eastAsia="en-GB"/>
        </w:rPr>
        <w:drawing>
          <wp:inline distT="0" distB="0" distL="0" distR="0" wp14:anchorId="7347906D" wp14:editId="6E72862E">
            <wp:extent cx="5238750" cy="3019912"/>
            <wp:effectExtent l="0" t="0" r="0"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66517" cy="3035919"/>
                    </a:xfrm>
                    <a:prstGeom prst="rect">
                      <a:avLst/>
                    </a:prstGeom>
                    <a:noFill/>
                  </pic:spPr>
                </pic:pic>
              </a:graphicData>
            </a:graphic>
          </wp:inline>
        </w:drawing>
      </w:r>
    </w:p>
    <w:p w14:paraId="25B1E894"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The overwhelming majority of participants were members of national SIRENE Bureaux (33%, 30 of 90 respondents who answered the question), followed by police officials (27%, 24 of 90), immigration, naturalisation and visa issuing authorities (9%, 8 of 90), border control (7%, 6 of 90) and asylum authorities (4%, 4 of 90). In addition, stakeholders from judicial authorities (2), other national law enforcement authorities (2), Europol (2) and the EPPO (1) were reached. </w:t>
      </w:r>
    </w:p>
    <w:p w14:paraId="353448B6"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Given that the survey focused on currently operational systems, participants were asked which system they wish to provide answers for. The majority of respondents indicated that they would like to answer questions for SIS (71%, 64 of 90 respondents who answered the question). Second most answers were provided for VIS (24%, 22 of 90), followed by Eurodac (18%, 16 of 90) and lastly DubliNet (6%, 5 out of 90). It should be noted that respondents had the opportunity to provide answers for multiple systems, which is why the percentages do not add up to 100%. The questions within the survey focused on the use and satisfaction of the respondents with the IT-systems and also included additional questions on system development and the respect of the principle of the independence of the judiciary where applicable. As for the AG and e-CODEX PMB survey, the user survey concluded with a block on future challenges and needs. </w:t>
      </w:r>
    </w:p>
    <w:p w14:paraId="31D64AE1"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Lastly, the study team distributed a </w:t>
      </w:r>
      <w:r w:rsidRPr="00855E06">
        <w:rPr>
          <w:rFonts w:ascii="Times New Roman" w:hAnsi="Times New Roman" w:cs="Times New Roman"/>
          <w:b/>
          <w:bCs/>
          <w:iCs/>
          <w:noProof/>
          <w:sz w:val="24"/>
          <w:szCs w:val="24"/>
          <w:lang w:val="en-GB"/>
        </w:rPr>
        <w:t>survey among national supervisory authorities</w:t>
      </w:r>
      <w:r w:rsidRPr="00855E06">
        <w:rPr>
          <w:rFonts w:ascii="Times New Roman" w:hAnsi="Times New Roman" w:cs="Times New Roman"/>
          <w:iCs/>
          <w:noProof/>
          <w:sz w:val="24"/>
          <w:szCs w:val="24"/>
          <w:lang w:val="en-GB"/>
        </w:rPr>
        <w:t>, which reached 46 stakeholders. Stakeholders were able to provide answers to questions concerning the General Data Protection Regulation (GDPR)</w:t>
      </w:r>
      <w:r w:rsidRPr="00855E06">
        <w:rPr>
          <w:rFonts w:ascii="Times New Roman" w:hAnsi="Times New Roman" w:cs="Times New Roman"/>
          <w:iCs/>
          <w:noProof/>
          <w:sz w:val="24"/>
          <w:szCs w:val="24"/>
          <w:vertAlign w:val="superscript"/>
          <w:lang w:val="en-GB"/>
        </w:rPr>
        <w:footnoteReference w:id="87"/>
      </w:r>
      <w:r w:rsidRPr="00855E06">
        <w:rPr>
          <w:rFonts w:ascii="Times New Roman" w:hAnsi="Times New Roman" w:cs="Times New Roman"/>
          <w:iCs/>
          <w:noProof/>
          <w:sz w:val="24"/>
          <w:szCs w:val="24"/>
          <w:lang w:val="en-GB"/>
        </w:rPr>
        <w:t xml:space="preserve"> other legislation, as well as specific questions as concerns the data protection requirements and challenges of the single operational IT-systems (SIS, VIS, Eurodac, DubliNet). Overall, 65% (20 of 31) of contacted Member States and SACs provided at least one answer to the survey. Answers differed between one and three per country, with respondents from Germany providing most answers as a single country. In terms of expertise, most participants indicated to have core expertise for the SIS (83%, 24 of 29), followed by the VIS (65%, 19 of 29), Eurodac (45%, 13 of 29) and DubliNet (only one participant indicated to have core expertise for this system). As above, the percentage does not up add to 100% due to participants’ possibility to choose multiple answers. </w:t>
      </w:r>
    </w:p>
    <w:p w14:paraId="242F0BED" w14:textId="77777777" w:rsidR="00E52E28" w:rsidRPr="00855E06" w:rsidRDefault="00E52E28" w:rsidP="00275C95">
      <w:pPr>
        <w:spacing w:after="0"/>
        <w:jc w:val="both"/>
        <w:rPr>
          <w:rFonts w:ascii="Times New Roman" w:hAnsi="Times New Roman" w:cs="Times New Roman"/>
          <w:iCs/>
          <w:noProof/>
          <w:sz w:val="24"/>
          <w:szCs w:val="24"/>
          <w:lang w:val="en-GB"/>
        </w:rPr>
      </w:pPr>
    </w:p>
    <w:p w14:paraId="05036EA3" w14:textId="77777777" w:rsidR="00B758A1" w:rsidRPr="00855E06" w:rsidRDefault="00B758A1" w:rsidP="00275C95">
      <w:pPr>
        <w:spacing w:after="0"/>
        <w:jc w:val="both"/>
        <w:rPr>
          <w:rFonts w:ascii="Times New Roman" w:hAnsi="Times New Roman" w:cs="Times New Roman"/>
          <w:b/>
          <w:bCs/>
          <w:i/>
          <w:iCs/>
          <w:noProof/>
          <w:sz w:val="24"/>
          <w:szCs w:val="24"/>
          <w:lang w:val="en-GB"/>
        </w:rPr>
      </w:pPr>
      <w:r w:rsidRPr="00855E06">
        <w:rPr>
          <w:rFonts w:ascii="Times New Roman" w:hAnsi="Times New Roman" w:cs="Times New Roman"/>
          <w:b/>
          <w:i/>
          <w:iCs/>
          <w:noProof/>
          <w:sz w:val="24"/>
          <w:szCs w:val="24"/>
          <w:lang w:val="en-GB"/>
        </w:rPr>
        <w:t xml:space="preserve">SWOT-workshops </w:t>
      </w:r>
    </w:p>
    <w:p w14:paraId="6FB80EF8"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The last consultation method used in the study constituted the conducting of six SWOT workshops, aiming at identifying current </w:t>
      </w:r>
      <w:r w:rsidRPr="00855E06">
        <w:rPr>
          <w:rFonts w:ascii="Times New Roman" w:hAnsi="Times New Roman" w:cs="Times New Roman"/>
          <w:b/>
          <w:bCs/>
          <w:iCs/>
          <w:noProof/>
          <w:sz w:val="24"/>
          <w:szCs w:val="24"/>
          <w:lang w:val="en-GB"/>
        </w:rPr>
        <w:t>S</w:t>
      </w:r>
      <w:r w:rsidRPr="00855E06">
        <w:rPr>
          <w:rFonts w:ascii="Times New Roman" w:hAnsi="Times New Roman" w:cs="Times New Roman"/>
          <w:iCs/>
          <w:noProof/>
          <w:sz w:val="24"/>
          <w:szCs w:val="24"/>
          <w:lang w:val="en-GB"/>
        </w:rPr>
        <w:t xml:space="preserve">trengths, </w:t>
      </w:r>
      <w:r w:rsidRPr="00855E06">
        <w:rPr>
          <w:rFonts w:ascii="Times New Roman" w:hAnsi="Times New Roman" w:cs="Times New Roman"/>
          <w:b/>
          <w:bCs/>
          <w:iCs/>
          <w:noProof/>
          <w:sz w:val="24"/>
          <w:szCs w:val="24"/>
          <w:lang w:val="en-GB"/>
        </w:rPr>
        <w:t>W</w:t>
      </w:r>
      <w:r w:rsidRPr="00855E06">
        <w:rPr>
          <w:rFonts w:ascii="Times New Roman" w:hAnsi="Times New Roman" w:cs="Times New Roman"/>
          <w:iCs/>
          <w:noProof/>
          <w:sz w:val="24"/>
          <w:szCs w:val="24"/>
          <w:lang w:val="en-GB"/>
        </w:rPr>
        <w:t xml:space="preserve">eaknesses, </w:t>
      </w:r>
      <w:r w:rsidRPr="00855E06">
        <w:rPr>
          <w:rFonts w:ascii="Times New Roman" w:hAnsi="Times New Roman" w:cs="Times New Roman"/>
          <w:b/>
          <w:bCs/>
          <w:iCs/>
          <w:noProof/>
          <w:sz w:val="24"/>
          <w:szCs w:val="24"/>
          <w:lang w:val="en-GB"/>
        </w:rPr>
        <w:t>O</w:t>
      </w:r>
      <w:r w:rsidRPr="00855E06">
        <w:rPr>
          <w:rFonts w:ascii="Times New Roman" w:hAnsi="Times New Roman" w:cs="Times New Roman"/>
          <w:iCs/>
          <w:noProof/>
          <w:sz w:val="24"/>
          <w:szCs w:val="24"/>
          <w:lang w:val="en-GB"/>
        </w:rPr>
        <w:t xml:space="preserve">pportunities and </w:t>
      </w:r>
      <w:r w:rsidRPr="00855E06">
        <w:rPr>
          <w:rFonts w:ascii="Times New Roman" w:hAnsi="Times New Roman" w:cs="Times New Roman"/>
          <w:b/>
          <w:bCs/>
          <w:iCs/>
          <w:noProof/>
          <w:sz w:val="24"/>
          <w:szCs w:val="24"/>
          <w:lang w:val="en-GB"/>
        </w:rPr>
        <w:t>T</w:t>
      </w:r>
      <w:r w:rsidRPr="00855E06">
        <w:rPr>
          <w:rFonts w:ascii="Times New Roman" w:hAnsi="Times New Roman" w:cs="Times New Roman"/>
          <w:iCs/>
          <w:noProof/>
          <w:sz w:val="24"/>
          <w:szCs w:val="24"/>
          <w:lang w:val="en-GB"/>
        </w:rPr>
        <w:t xml:space="preserve">hreats within eu-LISA’s operations. The thematic focus of the single workshops was clustered by eu-LISA’s Advisory Group structure, the operational status and the overall domain of the topics addressed in the respective workshop, leading to the following overall clustering of workshops conducted: </w:t>
      </w:r>
    </w:p>
    <w:p w14:paraId="0323434C" w14:textId="77777777" w:rsidR="00B758A1" w:rsidRPr="00855E06" w:rsidRDefault="00B758A1" w:rsidP="00275C95">
      <w:pPr>
        <w:pStyle w:val="ListParagraph"/>
        <w:numPr>
          <w:ilvl w:val="0"/>
          <w:numId w:val="44"/>
        </w:numPr>
        <w:spacing w:after="0"/>
        <w:rPr>
          <w:iCs/>
          <w:noProof/>
          <w:szCs w:val="24"/>
        </w:rPr>
      </w:pPr>
      <w:r w:rsidRPr="00855E06">
        <w:rPr>
          <w:iCs/>
          <w:noProof/>
          <w:szCs w:val="24"/>
        </w:rPr>
        <w:t>ECRIS-RI, ECRIS-TCN and e-CODEX (21.02.2024)</w:t>
      </w:r>
    </w:p>
    <w:p w14:paraId="7AD9702E" w14:textId="77777777" w:rsidR="00B758A1" w:rsidRPr="00855E06" w:rsidRDefault="00B758A1" w:rsidP="00275C95">
      <w:pPr>
        <w:pStyle w:val="ListParagraph"/>
        <w:numPr>
          <w:ilvl w:val="0"/>
          <w:numId w:val="44"/>
        </w:numPr>
        <w:spacing w:after="0"/>
        <w:rPr>
          <w:iCs/>
          <w:noProof/>
          <w:szCs w:val="24"/>
        </w:rPr>
      </w:pPr>
      <w:r w:rsidRPr="00855E06">
        <w:rPr>
          <w:iCs/>
          <w:noProof/>
          <w:szCs w:val="24"/>
        </w:rPr>
        <w:t>SIS (26.02.2024)</w:t>
      </w:r>
    </w:p>
    <w:p w14:paraId="02B1900D" w14:textId="77777777" w:rsidR="00B758A1" w:rsidRPr="00855E06" w:rsidRDefault="00B758A1" w:rsidP="00275C95">
      <w:pPr>
        <w:pStyle w:val="ListParagraph"/>
        <w:numPr>
          <w:ilvl w:val="0"/>
          <w:numId w:val="44"/>
        </w:numPr>
        <w:spacing w:after="0"/>
        <w:rPr>
          <w:iCs/>
          <w:noProof/>
          <w:szCs w:val="24"/>
        </w:rPr>
      </w:pPr>
      <w:r w:rsidRPr="00855E06">
        <w:rPr>
          <w:iCs/>
          <w:noProof/>
          <w:szCs w:val="24"/>
        </w:rPr>
        <w:t>VIS (28.02.2024)</w:t>
      </w:r>
    </w:p>
    <w:p w14:paraId="70EFE629" w14:textId="77777777" w:rsidR="00B758A1" w:rsidRPr="00855E06" w:rsidRDefault="00B758A1" w:rsidP="00275C95">
      <w:pPr>
        <w:pStyle w:val="ListParagraph"/>
        <w:numPr>
          <w:ilvl w:val="0"/>
          <w:numId w:val="44"/>
        </w:numPr>
        <w:spacing w:after="0"/>
        <w:rPr>
          <w:iCs/>
          <w:noProof/>
          <w:szCs w:val="24"/>
        </w:rPr>
      </w:pPr>
      <w:r w:rsidRPr="00855E06">
        <w:rPr>
          <w:iCs/>
          <w:noProof/>
          <w:szCs w:val="24"/>
        </w:rPr>
        <w:t>Eurodac and DubliNet (01.03.2024)</w:t>
      </w:r>
    </w:p>
    <w:p w14:paraId="3E5DAFE1" w14:textId="77777777" w:rsidR="00B758A1" w:rsidRPr="00855E06" w:rsidRDefault="00B758A1" w:rsidP="00275C95">
      <w:pPr>
        <w:pStyle w:val="ListParagraph"/>
        <w:numPr>
          <w:ilvl w:val="0"/>
          <w:numId w:val="44"/>
        </w:numPr>
        <w:spacing w:after="0"/>
        <w:rPr>
          <w:iCs/>
          <w:noProof/>
          <w:szCs w:val="24"/>
        </w:rPr>
      </w:pPr>
      <w:r w:rsidRPr="00855E06">
        <w:rPr>
          <w:iCs/>
          <w:noProof/>
          <w:szCs w:val="24"/>
        </w:rPr>
        <w:t>Interoperability (04.03.2024)</w:t>
      </w:r>
    </w:p>
    <w:p w14:paraId="2B311465" w14:textId="77777777" w:rsidR="00B758A1" w:rsidRPr="00855E06" w:rsidRDefault="00B758A1" w:rsidP="00275C95">
      <w:pPr>
        <w:pStyle w:val="ListParagraph"/>
        <w:numPr>
          <w:ilvl w:val="0"/>
          <w:numId w:val="44"/>
        </w:numPr>
        <w:spacing w:after="0"/>
        <w:rPr>
          <w:iCs/>
          <w:noProof/>
          <w:szCs w:val="24"/>
        </w:rPr>
      </w:pPr>
      <w:r w:rsidRPr="00855E06">
        <w:rPr>
          <w:iCs/>
          <w:noProof/>
          <w:szCs w:val="24"/>
        </w:rPr>
        <w:t>EES and ETIAS (07.03.2024)</w:t>
      </w:r>
    </w:p>
    <w:p w14:paraId="14E82F60"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Overall, roughly 40 stakeholders were reached within the context of the workshops, with differing participation rates depending on the workshop. Participation rates were particularly strong within Western and Middle European countries, including multiple participants from Austria, Czechia, Hungary, Germany, and the Netherlands. In addition, participants from France, Iceland, Italy, Lithuania, Luxembourg, Malta, Norway, Poland, Portugal, Slovakia, Spain, and Switzerland also participated in some of the workshops respectively. </w:t>
      </w:r>
    </w:p>
    <w:p w14:paraId="2A6E30B2"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The workshops were all conducted virtually via MS-Teams with the help of the online whiteboard tool MURAL, which served as a platform to collect inputs from the participants and structure the outputs derived. All workshops followed the same structure: First, the study team provided a short overview of the contents of the study, sharing a PowerPoint presentation with participants via screen share. Following the introduction, participants received instructions on how to use MURAL and a short tour de table were held. Afterwards, participants were able to contribute to the SWOT analysis by adding notes (“post-its”) where they saw specific strengths, weaknesses, opportunities and threats in a number of different overall categories such as technology, user perspective, governance, fundamental rights, processes, or other aspects. Lastly, the notes rated most important by participants were used to derive recommendations on how eu-LISA could further foster its strengths and upcoming opportunities as well as how to mitigate the effects of weaknesses and threats. Each workshop was concluded with a short summary by the study team. </w:t>
      </w:r>
    </w:p>
    <w:p w14:paraId="2DFB6777" w14:textId="77777777" w:rsidR="00E52E28" w:rsidRPr="00855E06" w:rsidRDefault="00E52E28" w:rsidP="00275C95">
      <w:pPr>
        <w:spacing w:after="0"/>
        <w:jc w:val="both"/>
        <w:rPr>
          <w:rFonts w:ascii="Times New Roman" w:hAnsi="Times New Roman" w:cs="Times New Roman"/>
          <w:iCs/>
          <w:noProof/>
          <w:sz w:val="24"/>
          <w:szCs w:val="24"/>
          <w:lang w:val="en-GB"/>
        </w:rPr>
      </w:pPr>
    </w:p>
    <w:p w14:paraId="604EE6B1" w14:textId="77777777" w:rsidR="00B758A1" w:rsidRPr="00855E06" w:rsidRDefault="00B758A1" w:rsidP="00275C95">
      <w:pPr>
        <w:spacing w:after="0"/>
        <w:jc w:val="both"/>
        <w:rPr>
          <w:rFonts w:ascii="Times New Roman" w:hAnsi="Times New Roman" w:cs="Times New Roman"/>
          <w:b/>
          <w:i/>
          <w:iCs/>
          <w:noProof/>
          <w:sz w:val="24"/>
          <w:szCs w:val="24"/>
          <w:lang w:val="en-GB"/>
        </w:rPr>
      </w:pPr>
      <w:bookmarkStart w:id="145" w:name="_Toc168044095"/>
      <w:r w:rsidRPr="00855E06">
        <w:rPr>
          <w:rFonts w:ascii="Times New Roman" w:hAnsi="Times New Roman" w:cs="Times New Roman"/>
          <w:b/>
          <w:i/>
          <w:iCs/>
          <w:noProof/>
          <w:sz w:val="24"/>
          <w:szCs w:val="24"/>
          <w:lang w:val="en-GB"/>
        </w:rPr>
        <w:t>Call for evidence</w:t>
      </w:r>
      <w:bookmarkEnd w:id="145"/>
      <w:r w:rsidRPr="00855E06">
        <w:rPr>
          <w:rFonts w:ascii="Times New Roman" w:hAnsi="Times New Roman" w:cs="Times New Roman"/>
          <w:b/>
          <w:i/>
          <w:iCs/>
          <w:noProof/>
          <w:sz w:val="24"/>
          <w:szCs w:val="24"/>
          <w:lang w:val="en-GB"/>
        </w:rPr>
        <w:t xml:space="preserve"> </w:t>
      </w:r>
    </w:p>
    <w:p w14:paraId="4DF4FFD3"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In the context of the study, the Commission has launched a call for evidence. Calls for evidence are used in the context of planning and preparing law and describe the problem to be tackled and objectives to be met, explains why EU action is needed, outlines policy options and, where applicable, describes the main features of the consultation strategy. In response to the call for evidence, private actors are able to provide feedback and recommendations on the current status of the proposed law.</w:t>
      </w:r>
    </w:p>
    <w:p w14:paraId="4B070E3B"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The call for evidence concerning the evaluation of eu-LISA’s mandate started on 18 August 2023 and was open for roughly a month until 15 September 2023. Overall, the Commission received feedback from 15 people, of which 14 feedbacks were published and one remained unpublished. Feedback givers were able to file their feedback online via the Better Regulation Portal. </w:t>
      </w:r>
    </w:p>
    <w:p w14:paraId="68B9B955"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The sources of the feedback included in particular actors from the carrier sector (exclusively airlines or professional organisations representing airlines, 6 of the 15 feedbacks). In addition, a number of private persons (EU and non-EU citizens) have provided feedback, without closer defining which organisation they belong to (7 of 15 feedbacks). Lastly, one actor from the Ministry of the Interior in Estonia and a Spanish non-governmental organisation have participated in the call. In general, the feedback received covered a wide range of EU and non-EU countries, including actors from Austria, Belgium, Czechia, Estonia, Germany (2 actors), Israel, Romania, Slovakia, Spain (3 actors), Sweden, and the United States of America (2 actors).</w:t>
      </w:r>
    </w:p>
    <w:p w14:paraId="11983679" w14:textId="77777777" w:rsidR="00E52E28" w:rsidRPr="00855E06" w:rsidRDefault="00E52E28" w:rsidP="00275C95">
      <w:pPr>
        <w:spacing w:after="0"/>
        <w:jc w:val="both"/>
        <w:rPr>
          <w:rFonts w:ascii="Times New Roman" w:hAnsi="Times New Roman" w:cs="Times New Roman"/>
          <w:iCs/>
          <w:noProof/>
          <w:sz w:val="24"/>
          <w:szCs w:val="24"/>
          <w:lang w:val="en-GB"/>
        </w:rPr>
      </w:pPr>
    </w:p>
    <w:p w14:paraId="3807F228" w14:textId="77777777" w:rsidR="00B758A1" w:rsidRPr="00855E06" w:rsidRDefault="00B758A1" w:rsidP="00275C95">
      <w:pPr>
        <w:spacing w:after="0"/>
        <w:jc w:val="both"/>
        <w:rPr>
          <w:rFonts w:ascii="Times New Roman" w:hAnsi="Times New Roman" w:cs="Times New Roman"/>
          <w:b/>
          <w:iCs/>
          <w:noProof/>
          <w:sz w:val="24"/>
          <w:szCs w:val="24"/>
          <w:lang w:val="en-GB"/>
        </w:rPr>
      </w:pPr>
      <w:bookmarkStart w:id="146" w:name="_Toc167205618"/>
      <w:bookmarkStart w:id="147" w:name="_Toc167208517"/>
      <w:r w:rsidRPr="00855E06">
        <w:rPr>
          <w:rFonts w:ascii="Times New Roman" w:hAnsi="Times New Roman" w:cs="Times New Roman"/>
          <w:b/>
          <w:iCs/>
          <w:noProof/>
          <w:sz w:val="24"/>
          <w:szCs w:val="24"/>
          <w:lang w:val="en-GB"/>
        </w:rPr>
        <w:t>Results of the consultation activities</w:t>
      </w:r>
      <w:bookmarkEnd w:id="146"/>
      <w:bookmarkEnd w:id="147"/>
      <w:r w:rsidRPr="00855E06">
        <w:rPr>
          <w:rFonts w:ascii="Times New Roman" w:hAnsi="Times New Roman" w:cs="Times New Roman"/>
          <w:b/>
          <w:iCs/>
          <w:noProof/>
          <w:sz w:val="24"/>
          <w:szCs w:val="24"/>
          <w:lang w:val="en-GB"/>
        </w:rPr>
        <w:t xml:space="preserve"> </w:t>
      </w:r>
    </w:p>
    <w:p w14:paraId="23E1C12C"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The following part of the synopsis report provides a high-level overview of the main results of the consultation activities. </w:t>
      </w:r>
    </w:p>
    <w:p w14:paraId="70A9B3B1" w14:textId="77777777" w:rsidR="00E52E28" w:rsidRPr="00855E06" w:rsidRDefault="00E52E28" w:rsidP="00275C95">
      <w:pPr>
        <w:spacing w:after="0"/>
        <w:jc w:val="both"/>
        <w:rPr>
          <w:rFonts w:ascii="Times New Roman" w:hAnsi="Times New Roman" w:cs="Times New Roman"/>
          <w:iCs/>
          <w:noProof/>
          <w:sz w:val="24"/>
          <w:szCs w:val="24"/>
          <w:lang w:val="en-GB"/>
        </w:rPr>
      </w:pPr>
    </w:p>
    <w:p w14:paraId="26BC8A41" w14:textId="77777777" w:rsidR="00B758A1" w:rsidRPr="00855E06" w:rsidRDefault="00B758A1" w:rsidP="00275C95">
      <w:pPr>
        <w:spacing w:after="0"/>
        <w:jc w:val="both"/>
        <w:rPr>
          <w:rFonts w:ascii="Times New Roman" w:hAnsi="Times New Roman" w:cs="Times New Roman"/>
          <w:b/>
          <w:i/>
          <w:iCs/>
          <w:noProof/>
          <w:sz w:val="24"/>
          <w:szCs w:val="24"/>
          <w:lang w:val="en-GB"/>
        </w:rPr>
      </w:pPr>
      <w:r w:rsidRPr="00855E06">
        <w:rPr>
          <w:rFonts w:ascii="Times New Roman" w:hAnsi="Times New Roman" w:cs="Times New Roman"/>
          <w:b/>
          <w:i/>
          <w:iCs/>
          <w:noProof/>
          <w:sz w:val="24"/>
          <w:szCs w:val="24"/>
          <w:lang w:val="en-GB"/>
        </w:rPr>
        <w:t>Interviews</w:t>
      </w:r>
    </w:p>
    <w:p w14:paraId="0B7F4BBA" w14:textId="77777777" w:rsidR="00E52E28" w:rsidRPr="00855E06" w:rsidRDefault="00E52E28" w:rsidP="00275C95">
      <w:pPr>
        <w:spacing w:after="0"/>
        <w:jc w:val="both"/>
        <w:rPr>
          <w:rFonts w:ascii="Times New Roman" w:hAnsi="Times New Roman" w:cs="Times New Roman"/>
          <w:i/>
          <w:iCs/>
          <w:noProof/>
          <w:sz w:val="24"/>
          <w:szCs w:val="24"/>
          <w:u w:val="single"/>
          <w:lang w:val="en-GB"/>
        </w:rPr>
      </w:pPr>
    </w:p>
    <w:p w14:paraId="2A10AE37" w14:textId="30C833FD" w:rsidR="00B758A1" w:rsidRPr="00855E06" w:rsidRDefault="00B758A1" w:rsidP="00275C95">
      <w:pPr>
        <w:spacing w:after="0"/>
        <w:jc w:val="both"/>
        <w:rPr>
          <w:rFonts w:ascii="Times New Roman" w:hAnsi="Times New Roman" w:cs="Times New Roman"/>
          <w:i/>
          <w:iCs/>
          <w:noProof/>
          <w:sz w:val="24"/>
          <w:szCs w:val="24"/>
          <w:u w:val="single"/>
          <w:lang w:val="en-GB"/>
        </w:rPr>
      </w:pPr>
      <w:r w:rsidRPr="00855E06">
        <w:rPr>
          <w:rFonts w:ascii="Times New Roman" w:hAnsi="Times New Roman" w:cs="Times New Roman"/>
          <w:i/>
          <w:iCs/>
          <w:noProof/>
          <w:sz w:val="24"/>
          <w:szCs w:val="24"/>
          <w:u w:val="single"/>
          <w:lang w:val="en-GB"/>
        </w:rPr>
        <w:t>Exploratory interviews</w:t>
      </w:r>
    </w:p>
    <w:p w14:paraId="5CF83C36"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The exploratory interviews aimed at deepening the study team’s understanding of the functioning of eu-LISA, and to finalise the evaluation framework, intervention logic and data collection instruments. The main take-aways comprised: </w:t>
      </w:r>
    </w:p>
    <w:p w14:paraId="3A2AC15A" w14:textId="77777777" w:rsidR="00B758A1" w:rsidRPr="00855E06" w:rsidRDefault="00B758A1" w:rsidP="00275C95">
      <w:pPr>
        <w:pStyle w:val="ListParagraph"/>
        <w:numPr>
          <w:ilvl w:val="0"/>
          <w:numId w:val="45"/>
        </w:numPr>
        <w:spacing w:after="0"/>
        <w:rPr>
          <w:iCs/>
          <w:noProof/>
          <w:szCs w:val="24"/>
        </w:rPr>
      </w:pPr>
      <w:r w:rsidRPr="00855E06">
        <w:rPr>
          <w:iCs/>
          <w:noProof/>
          <w:szCs w:val="24"/>
        </w:rPr>
        <w:t xml:space="preserve">The </w:t>
      </w:r>
      <w:r w:rsidRPr="00855E06">
        <w:rPr>
          <w:b/>
          <w:bCs/>
          <w:iCs/>
          <w:noProof/>
          <w:szCs w:val="24"/>
        </w:rPr>
        <w:t>rise in migration</w:t>
      </w:r>
      <w:r w:rsidRPr="00855E06">
        <w:rPr>
          <w:iCs/>
          <w:noProof/>
          <w:szCs w:val="24"/>
        </w:rPr>
        <w:t xml:space="preserve"> to the EU and the </w:t>
      </w:r>
      <w:r w:rsidRPr="00855E06">
        <w:rPr>
          <w:b/>
          <w:bCs/>
          <w:iCs/>
          <w:noProof/>
          <w:szCs w:val="24"/>
        </w:rPr>
        <w:t xml:space="preserve">international character of organised crime </w:t>
      </w:r>
      <w:r w:rsidRPr="00855E06">
        <w:rPr>
          <w:iCs/>
          <w:noProof/>
          <w:szCs w:val="24"/>
        </w:rPr>
        <w:t xml:space="preserve">continuously underline the importance of the Agency. </w:t>
      </w:r>
    </w:p>
    <w:p w14:paraId="15487C74" w14:textId="77777777" w:rsidR="00B758A1" w:rsidRPr="00855E06" w:rsidRDefault="00B758A1" w:rsidP="00275C95">
      <w:pPr>
        <w:pStyle w:val="ListParagraph"/>
        <w:numPr>
          <w:ilvl w:val="0"/>
          <w:numId w:val="45"/>
        </w:numPr>
        <w:spacing w:after="0"/>
        <w:rPr>
          <w:iCs/>
          <w:noProof/>
          <w:szCs w:val="24"/>
        </w:rPr>
      </w:pPr>
      <w:r w:rsidRPr="00855E06">
        <w:rPr>
          <w:iCs/>
          <w:noProof/>
          <w:szCs w:val="24"/>
        </w:rPr>
        <w:t xml:space="preserve">The Agency provides </w:t>
      </w:r>
      <w:r w:rsidRPr="00855E06">
        <w:rPr>
          <w:b/>
          <w:bCs/>
          <w:iCs/>
          <w:noProof/>
          <w:szCs w:val="24"/>
        </w:rPr>
        <w:t>considerable EU Added Value</w:t>
      </w:r>
      <w:r w:rsidRPr="00855E06">
        <w:rPr>
          <w:iCs/>
          <w:noProof/>
          <w:szCs w:val="24"/>
        </w:rPr>
        <w:t xml:space="preserve">, given that single Member States’ approaches would create significant administrative and cooperation burden. </w:t>
      </w:r>
    </w:p>
    <w:p w14:paraId="18DB310E" w14:textId="77777777" w:rsidR="00B758A1" w:rsidRPr="00855E06" w:rsidRDefault="00B758A1" w:rsidP="00275C95">
      <w:pPr>
        <w:pStyle w:val="ListParagraph"/>
        <w:numPr>
          <w:ilvl w:val="0"/>
          <w:numId w:val="45"/>
        </w:numPr>
        <w:spacing w:after="0"/>
        <w:rPr>
          <w:iCs/>
          <w:noProof/>
          <w:szCs w:val="24"/>
        </w:rPr>
      </w:pPr>
      <w:r w:rsidRPr="00855E06">
        <w:rPr>
          <w:iCs/>
          <w:noProof/>
          <w:szCs w:val="24"/>
        </w:rPr>
        <w:t xml:space="preserve">The Agency is overall perceived as professional and effectively </w:t>
      </w:r>
      <w:r w:rsidRPr="00855E06">
        <w:rPr>
          <w:b/>
          <w:bCs/>
          <w:iCs/>
          <w:noProof/>
          <w:szCs w:val="24"/>
        </w:rPr>
        <w:t>aligns its objectives with its operations.</w:t>
      </w:r>
      <w:r w:rsidRPr="00855E06">
        <w:rPr>
          <w:iCs/>
          <w:noProof/>
          <w:szCs w:val="24"/>
        </w:rPr>
        <w:t xml:space="preserve"> Its core business, the operation of the large-scale IT system, works smoothly and without major technical incidents. </w:t>
      </w:r>
    </w:p>
    <w:p w14:paraId="2BF5A16E" w14:textId="77777777" w:rsidR="00B758A1" w:rsidRPr="00855E06" w:rsidRDefault="00B758A1" w:rsidP="00275C95">
      <w:pPr>
        <w:pStyle w:val="ListParagraph"/>
        <w:numPr>
          <w:ilvl w:val="0"/>
          <w:numId w:val="45"/>
        </w:numPr>
        <w:spacing w:after="0"/>
        <w:rPr>
          <w:iCs/>
          <w:noProof/>
          <w:szCs w:val="24"/>
        </w:rPr>
      </w:pPr>
      <w:r w:rsidRPr="00855E06">
        <w:rPr>
          <w:iCs/>
          <w:noProof/>
          <w:szCs w:val="24"/>
        </w:rPr>
        <w:t xml:space="preserve">The transparency and insufficient long-term planning of budgetary and organisational procedures were considered areas for improvement. </w:t>
      </w:r>
    </w:p>
    <w:p w14:paraId="093ECD69" w14:textId="77777777" w:rsidR="00B758A1" w:rsidRPr="00855E06" w:rsidRDefault="00B758A1" w:rsidP="00275C95">
      <w:pPr>
        <w:pStyle w:val="ListParagraph"/>
        <w:numPr>
          <w:ilvl w:val="0"/>
          <w:numId w:val="45"/>
        </w:numPr>
        <w:spacing w:after="0"/>
        <w:rPr>
          <w:iCs/>
          <w:noProof/>
          <w:szCs w:val="24"/>
        </w:rPr>
      </w:pPr>
      <w:r w:rsidRPr="00855E06">
        <w:rPr>
          <w:iCs/>
          <w:noProof/>
          <w:szCs w:val="24"/>
        </w:rPr>
        <w:t xml:space="preserve">The </w:t>
      </w:r>
      <w:r w:rsidRPr="00855E06">
        <w:rPr>
          <w:b/>
          <w:bCs/>
          <w:iCs/>
          <w:noProof/>
          <w:szCs w:val="24"/>
        </w:rPr>
        <w:t>development of new IT systems</w:t>
      </w:r>
      <w:r w:rsidRPr="00855E06">
        <w:rPr>
          <w:iCs/>
          <w:noProof/>
          <w:szCs w:val="24"/>
        </w:rPr>
        <w:t xml:space="preserve"> through the Agency as well as the </w:t>
      </w:r>
      <w:r w:rsidRPr="00855E06">
        <w:rPr>
          <w:b/>
          <w:bCs/>
          <w:iCs/>
          <w:noProof/>
          <w:szCs w:val="24"/>
        </w:rPr>
        <w:t>current outsourcing approach were considered to be key challenges</w:t>
      </w:r>
      <w:r w:rsidRPr="00855E06">
        <w:rPr>
          <w:iCs/>
          <w:noProof/>
          <w:szCs w:val="24"/>
        </w:rPr>
        <w:t xml:space="preserve"> by most interviewees. </w:t>
      </w:r>
    </w:p>
    <w:p w14:paraId="495ADD75" w14:textId="77777777" w:rsidR="00B758A1" w:rsidRPr="00855E06" w:rsidRDefault="00B758A1" w:rsidP="00275C95">
      <w:pPr>
        <w:pStyle w:val="ListParagraph"/>
        <w:numPr>
          <w:ilvl w:val="0"/>
          <w:numId w:val="45"/>
        </w:numPr>
        <w:spacing w:after="0"/>
        <w:rPr>
          <w:iCs/>
          <w:noProof/>
          <w:szCs w:val="24"/>
        </w:rPr>
      </w:pPr>
      <w:r w:rsidRPr="00855E06">
        <w:rPr>
          <w:iCs/>
          <w:noProof/>
          <w:szCs w:val="24"/>
        </w:rPr>
        <w:t xml:space="preserve">The difference between the traditional eu-LISA systems in the area of home affairs compared to the justice systems was emphasised. Questions were raised on how effective eu-LISA will be in transferring the current e-CODEX system from a consortium to the Agency. </w:t>
      </w:r>
    </w:p>
    <w:p w14:paraId="75C95E33" w14:textId="77777777" w:rsidR="00E52E28" w:rsidRPr="00855E06" w:rsidRDefault="00E52E28" w:rsidP="00275C95">
      <w:pPr>
        <w:spacing w:after="0"/>
        <w:jc w:val="both"/>
        <w:rPr>
          <w:rFonts w:ascii="Times New Roman" w:hAnsi="Times New Roman" w:cs="Times New Roman"/>
          <w:i/>
          <w:iCs/>
          <w:noProof/>
          <w:sz w:val="24"/>
          <w:szCs w:val="24"/>
          <w:u w:val="single"/>
          <w:lang w:val="en-GB"/>
        </w:rPr>
      </w:pPr>
    </w:p>
    <w:p w14:paraId="3DEEA0B4" w14:textId="2D88D7BE" w:rsidR="00B758A1" w:rsidRPr="00855E06" w:rsidRDefault="00B758A1" w:rsidP="00275C95">
      <w:pPr>
        <w:spacing w:after="0"/>
        <w:jc w:val="both"/>
        <w:rPr>
          <w:rFonts w:ascii="Times New Roman" w:hAnsi="Times New Roman" w:cs="Times New Roman"/>
          <w:i/>
          <w:iCs/>
          <w:noProof/>
          <w:sz w:val="24"/>
          <w:szCs w:val="24"/>
          <w:u w:val="single"/>
          <w:lang w:val="en-GB"/>
        </w:rPr>
      </w:pPr>
      <w:r w:rsidRPr="00855E06">
        <w:rPr>
          <w:rFonts w:ascii="Times New Roman" w:hAnsi="Times New Roman" w:cs="Times New Roman"/>
          <w:i/>
          <w:iCs/>
          <w:noProof/>
          <w:sz w:val="24"/>
          <w:szCs w:val="24"/>
          <w:u w:val="single"/>
          <w:lang w:val="en-GB"/>
        </w:rPr>
        <w:t>Expert interviews</w:t>
      </w:r>
    </w:p>
    <w:p w14:paraId="0697F302"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The main findings of the expert interviews are as follows: </w:t>
      </w:r>
    </w:p>
    <w:p w14:paraId="487E8552" w14:textId="77777777" w:rsidR="00E52E28" w:rsidRPr="00855E06" w:rsidRDefault="00E52E28" w:rsidP="00275C95">
      <w:pPr>
        <w:spacing w:after="0"/>
        <w:jc w:val="both"/>
        <w:rPr>
          <w:rFonts w:ascii="Times New Roman" w:hAnsi="Times New Roman" w:cs="Times New Roman"/>
          <w:b/>
          <w:bCs/>
          <w:iCs/>
          <w:noProof/>
          <w:sz w:val="24"/>
          <w:szCs w:val="24"/>
          <w:lang w:val="en-GB"/>
        </w:rPr>
      </w:pPr>
    </w:p>
    <w:p w14:paraId="0E52507F" w14:textId="492FC3FC" w:rsidR="00B758A1" w:rsidRPr="00855E06" w:rsidRDefault="00B758A1" w:rsidP="00275C95">
      <w:pPr>
        <w:spacing w:after="0"/>
        <w:jc w:val="both"/>
        <w:rPr>
          <w:rFonts w:ascii="Times New Roman" w:hAnsi="Times New Roman" w:cs="Times New Roman"/>
          <w:b/>
          <w:bCs/>
          <w:iCs/>
          <w:noProof/>
          <w:sz w:val="24"/>
          <w:szCs w:val="24"/>
          <w:lang w:val="en-GB"/>
        </w:rPr>
      </w:pPr>
      <w:r w:rsidRPr="00BB7E5D">
        <w:rPr>
          <w:rFonts w:ascii="Times New Roman" w:hAnsi="Times New Roman" w:cs="Times New Roman"/>
          <w:b/>
          <w:bCs/>
          <w:iCs/>
          <w:noProof/>
          <w:sz w:val="24"/>
          <w:szCs w:val="24"/>
          <w:lang w:val="en-GB"/>
        </w:rPr>
        <w:t>Dimension 1: Mandate, tasks and objectives of the Agency</w:t>
      </w:r>
      <w:r w:rsidRPr="00855E06">
        <w:rPr>
          <w:rFonts w:ascii="Times New Roman" w:hAnsi="Times New Roman" w:cs="Times New Roman"/>
          <w:b/>
          <w:bCs/>
          <w:iCs/>
          <w:noProof/>
          <w:sz w:val="24"/>
          <w:szCs w:val="24"/>
          <w:lang w:val="en-GB"/>
        </w:rPr>
        <w:t xml:space="preserve"> </w:t>
      </w:r>
    </w:p>
    <w:p w14:paraId="06E6D788" w14:textId="38CD6E69"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Mandate and objectives:</w:t>
      </w:r>
    </w:p>
    <w:p w14:paraId="60E72324" w14:textId="77777777" w:rsidR="00B758A1" w:rsidRPr="00855E06" w:rsidRDefault="00B758A1" w:rsidP="00275C95">
      <w:pPr>
        <w:pStyle w:val="ListParagraph"/>
        <w:numPr>
          <w:ilvl w:val="0"/>
          <w:numId w:val="46"/>
        </w:numPr>
        <w:spacing w:after="0"/>
        <w:rPr>
          <w:iCs/>
          <w:noProof/>
          <w:szCs w:val="24"/>
        </w:rPr>
      </w:pPr>
      <w:r w:rsidRPr="00855E06">
        <w:rPr>
          <w:iCs/>
          <w:noProof/>
          <w:szCs w:val="24"/>
        </w:rPr>
        <w:t xml:space="preserve">Most stakeholders confirmed the </w:t>
      </w:r>
      <w:r w:rsidRPr="00855E06">
        <w:rPr>
          <w:b/>
          <w:bCs/>
          <w:iCs/>
          <w:noProof/>
          <w:szCs w:val="24"/>
        </w:rPr>
        <w:t>overall adequacy of the mandate</w:t>
      </w:r>
      <w:r w:rsidRPr="00855E06">
        <w:rPr>
          <w:iCs/>
          <w:noProof/>
          <w:szCs w:val="24"/>
        </w:rPr>
        <w:t xml:space="preserve"> of eu-LISA. In particular for eu-LISA staff, the mandate and objectives tended to be considered as “given” and the focus lies on fulfilling the mandate. </w:t>
      </w:r>
    </w:p>
    <w:p w14:paraId="1E3C18C3" w14:textId="77777777" w:rsidR="00B758A1" w:rsidRPr="00855E06" w:rsidRDefault="00B758A1" w:rsidP="00275C95">
      <w:pPr>
        <w:pStyle w:val="ListParagraph"/>
        <w:numPr>
          <w:ilvl w:val="0"/>
          <w:numId w:val="46"/>
        </w:numPr>
        <w:spacing w:after="0"/>
        <w:rPr>
          <w:iCs/>
          <w:noProof/>
          <w:szCs w:val="24"/>
        </w:rPr>
      </w:pPr>
      <w:r w:rsidRPr="00855E06">
        <w:rPr>
          <w:iCs/>
          <w:noProof/>
          <w:szCs w:val="24"/>
        </w:rPr>
        <w:t xml:space="preserve">The </w:t>
      </w:r>
      <w:r w:rsidRPr="00855E06">
        <w:rPr>
          <w:b/>
          <w:bCs/>
          <w:iCs/>
          <w:noProof/>
          <w:szCs w:val="24"/>
        </w:rPr>
        <w:t xml:space="preserve">flexibility of the mandate </w:t>
      </w:r>
      <w:r w:rsidRPr="00855E06">
        <w:rPr>
          <w:iCs/>
          <w:noProof/>
          <w:szCs w:val="24"/>
        </w:rPr>
        <w:t xml:space="preserve">was considered to be rather restrictive by most interviewees within eu-LISA who addressed this topic, which was stated to potentially lead to problems in terms of timely and appropriate reactions to unforeseen circumstances. </w:t>
      </w:r>
    </w:p>
    <w:p w14:paraId="028EADE9" w14:textId="54C1CEAE" w:rsidR="00B758A1" w:rsidRPr="00855E06" w:rsidRDefault="00B758A1" w:rsidP="00275C95">
      <w:pPr>
        <w:pStyle w:val="ListParagraph"/>
        <w:numPr>
          <w:ilvl w:val="0"/>
          <w:numId w:val="46"/>
        </w:numPr>
        <w:spacing w:after="0"/>
        <w:rPr>
          <w:iCs/>
          <w:noProof/>
          <w:szCs w:val="24"/>
        </w:rPr>
      </w:pPr>
      <w:r w:rsidRPr="00855E06">
        <w:rPr>
          <w:iCs/>
          <w:noProof/>
          <w:szCs w:val="24"/>
        </w:rPr>
        <w:t>Concerning the cooperation with international organisations (</w:t>
      </w:r>
      <w:r w:rsidR="009D5108" w:rsidRPr="00DC0424">
        <w:rPr>
          <w:rFonts w:eastAsia="Yu Gothic Light"/>
          <w:noProof/>
          <w:kern w:val="28"/>
          <w:szCs w:val="24"/>
          <w:lang w:val="en-IE" w:eastAsia="de-DE"/>
        </w:rPr>
        <w:t>Article</w:t>
      </w:r>
      <w:r w:rsidRPr="00855E06">
        <w:rPr>
          <w:iCs/>
          <w:noProof/>
          <w:szCs w:val="24"/>
        </w:rPr>
        <w:t xml:space="preserve"> 43 of the eu-LISA Regulation) and third countries, some stakeholders from the Agency voiced that this provision has not been used successfully. The provision specifies that such a collaboration can only take place if provided by a Union legal act and following the approval process that involves the Management Board (MB) and the Commission. However, based on the current provision, past attempts have not been successful.</w:t>
      </w:r>
    </w:p>
    <w:p w14:paraId="36B2788B" w14:textId="63358229" w:rsidR="00B758A1" w:rsidRPr="00855E06" w:rsidRDefault="00B758A1" w:rsidP="00275C95">
      <w:pPr>
        <w:pStyle w:val="ListParagraph"/>
        <w:numPr>
          <w:ilvl w:val="0"/>
          <w:numId w:val="46"/>
        </w:numPr>
        <w:spacing w:after="0"/>
        <w:rPr>
          <w:iCs/>
          <w:noProof/>
          <w:szCs w:val="24"/>
        </w:rPr>
      </w:pPr>
      <w:r w:rsidRPr="00855E06">
        <w:rPr>
          <w:iCs/>
          <w:noProof/>
          <w:szCs w:val="24"/>
        </w:rPr>
        <w:t xml:space="preserve">A majority of the justice stakeholders confirmed that the mandate is adequate for the justice systems, however, they voiced concerns as regards the respect of the principle of the independence of the judiciary, given that eu-LISA might serve as a </w:t>
      </w:r>
      <w:r w:rsidRPr="00855E06">
        <w:rPr>
          <w:b/>
          <w:bCs/>
          <w:iCs/>
          <w:noProof/>
          <w:szCs w:val="24"/>
        </w:rPr>
        <w:t>connector between the executive branch and the judiciary</w:t>
      </w:r>
      <w:r w:rsidRPr="00855E06">
        <w:rPr>
          <w:iCs/>
          <w:noProof/>
          <w:szCs w:val="24"/>
        </w:rPr>
        <w:t xml:space="preserve">, thus not fully respecting the principle. In addition, justice stakeholders emphasised their </w:t>
      </w:r>
      <w:r w:rsidR="00435621">
        <w:rPr>
          <w:iCs/>
          <w:noProof/>
          <w:szCs w:val="24"/>
        </w:rPr>
        <w:t>wish</w:t>
      </w:r>
      <w:r w:rsidR="00435621" w:rsidRPr="00855E06">
        <w:rPr>
          <w:iCs/>
          <w:noProof/>
          <w:szCs w:val="24"/>
        </w:rPr>
        <w:t xml:space="preserve"> </w:t>
      </w:r>
      <w:r w:rsidRPr="00855E06">
        <w:rPr>
          <w:iCs/>
          <w:noProof/>
          <w:szCs w:val="24"/>
        </w:rPr>
        <w:t>to be more strongly represented in the Agency’s governance bodies.</w:t>
      </w:r>
    </w:p>
    <w:p w14:paraId="77C74F7A" w14:textId="068AA75D"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Tasks:</w:t>
      </w:r>
    </w:p>
    <w:p w14:paraId="3440EA24" w14:textId="2A22BA6F" w:rsidR="00B758A1" w:rsidRPr="00855E06" w:rsidRDefault="00B758A1" w:rsidP="00275C95">
      <w:pPr>
        <w:pStyle w:val="ListParagraph"/>
        <w:numPr>
          <w:ilvl w:val="0"/>
          <w:numId w:val="47"/>
        </w:numPr>
        <w:spacing w:after="0"/>
        <w:rPr>
          <w:iCs/>
          <w:noProof/>
          <w:szCs w:val="24"/>
        </w:rPr>
      </w:pPr>
      <w:r w:rsidRPr="00855E06">
        <w:rPr>
          <w:iCs/>
          <w:noProof/>
          <w:szCs w:val="24"/>
        </w:rPr>
        <w:t xml:space="preserve">Article 15 on piloting and testing and </w:t>
      </w:r>
      <w:r w:rsidR="009D5108" w:rsidRPr="00DC0424">
        <w:rPr>
          <w:rFonts w:eastAsia="Yu Gothic Light"/>
          <w:noProof/>
          <w:kern w:val="28"/>
          <w:szCs w:val="24"/>
          <w:lang w:val="en-IE" w:eastAsia="de-DE"/>
        </w:rPr>
        <w:t>Article</w:t>
      </w:r>
      <w:r w:rsidRPr="00855E06">
        <w:rPr>
          <w:iCs/>
          <w:noProof/>
          <w:szCs w:val="24"/>
        </w:rPr>
        <w:t xml:space="preserve"> 16(4) on </w:t>
      </w:r>
      <w:r w:rsidRPr="00855E06">
        <w:rPr>
          <w:i/>
          <w:iCs/>
          <w:noProof/>
          <w:szCs w:val="24"/>
        </w:rPr>
        <w:t xml:space="preserve">ad hoc </w:t>
      </w:r>
      <w:r w:rsidRPr="00855E06">
        <w:rPr>
          <w:iCs/>
          <w:noProof/>
          <w:szCs w:val="24"/>
        </w:rPr>
        <w:t>support to Member States were considered very relevant by most interviewees who answered questions on topic, based on that several requests were made by different Member States according to these Articles in the past years. However, some interviewees from eu-LISA noted that the implementation of these provisions was hindered due to the complex and time-consuming approval processes specified in the provisions. On this basis, the requesting Member States in the past changed their mind and found other solutions, as it took too long to secure the needed support by eu-LISA.</w:t>
      </w:r>
    </w:p>
    <w:p w14:paraId="3963336E" w14:textId="77777777" w:rsidR="00B758A1" w:rsidRPr="00855E06" w:rsidRDefault="00B758A1" w:rsidP="00275C95">
      <w:pPr>
        <w:pStyle w:val="ListParagraph"/>
        <w:numPr>
          <w:ilvl w:val="0"/>
          <w:numId w:val="47"/>
        </w:numPr>
        <w:spacing w:after="0"/>
        <w:rPr>
          <w:iCs/>
          <w:noProof/>
          <w:szCs w:val="24"/>
        </w:rPr>
      </w:pPr>
      <w:r w:rsidRPr="00855E06">
        <w:rPr>
          <w:iCs/>
          <w:noProof/>
          <w:szCs w:val="24"/>
        </w:rPr>
        <w:t xml:space="preserve">As concerns the </w:t>
      </w:r>
      <w:r w:rsidRPr="00855E06">
        <w:rPr>
          <w:b/>
          <w:bCs/>
          <w:iCs/>
          <w:noProof/>
          <w:szCs w:val="24"/>
        </w:rPr>
        <w:t>implementation of its tasks</w:t>
      </w:r>
      <w:r w:rsidRPr="00855E06">
        <w:rPr>
          <w:iCs/>
          <w:noProof/>
          <w:szCs w:val="24"/>
        </w:rPr>
        <w:t xml:space="preserve">, a majority of stakeholders from eu-LISA and governance bodies noted that the management of existing system and communication infrastructure as well as the provision of training works relatively well. Significant room for improvement was identified with regard to the development of new systems (delays, extensive outsourcing), the monitoring of research and support function to the Member States. </w:t>
      </w:r>
    </w:p>
    <w:p w14:paraId="027D78D3" w14:textId="77777777" w:rsidR="00E52E28" w:rsidRPr="00855E06" w:rsidRDefault="00E52E28" w:rsidP="00275C95">
      <w:pPr>
        <w:spacing w:after="0"/>
        <w:jc w:val="both"/>
        <w:rPr>
          <w:rFonts w:ascii="Times New Roman" w:hAnsi="Times New Roman" w:cs="Times New Roman"/>
          <w:b/>
          <w:bCs/>
          <w:iCs/>
          <w:noProof/>
          <w:sz w:val="24"/>
          <w:szCs w:val="24"/>
          <w:lang w:val="en-GB"/>
        </w:rPr>
      </w:pPr>
    </w:p>
    <w:p w14:paraId="2DB8E053" w14:textId="00777984" w:rsidR="00B758A1" w:rsidRPr="00855E06" w:rsidRDefault="00B758A1" w:rsidP="00275C95">
      <w:pPr>
        <w:spacing w:after="0"/>
        <w:jc w:val="both"/>
        <w:rPr>
          <w:rFonts w:ascii="Times New Roman" w:hAnsi="Times New Roman" w:cs="Times New Roman"/>
          <w:b/>
          <w:bCs/>
          <w:iCs/>
          <w:noProof/>
          <w:sz w:val="24"/>
          <w:szCs w:val="24"/>
          <w:lang w:val="en-GB"/>
        </w:rPr>
      </w:pPr>
      <w:r w:rsidRPr="00BB7E5D">
        <w:rPr>
          <w:rFonts w:ascii="Times New Roman" w:hAnsi="Times New Roman" w:cs="Times New Roman"/>
          <w:b/>
          <w:bCs/>
          <w:iCs/>
          <w:noProof/>
          <w:sz w:val="24"/>
          <w:szCs w:val="24"/>
          <w:lang w:val="en-GB"/>
        </w:rPr>
        <w:t>Dimension 2: Governance, location and organisation of the Agency</w:t>
      </w:r>
      <w:r w:rsidRPr="00855E06">
        <w:rPr>
          <w:rFonts w:ascii="Times New Roman" w:hAnsi="Times New Roman" w:cs="Times New Roman"/>
          <w:b/>
          <w:bCs/>
          <w:iCs/>
          <w:noProof/>
          <w:sz w:val="24"/>
          <w:szCs w:val="24"/>
          <w:lang w:val="en-GB"/>
        </w:rPr>
        <w:t xml:space="preserve"> </w:t>
      </w:r>
    </w:p>
    <w:p w14:paraId="2D33687F" w14:textId="77777777" w:rsidR="00E52E28" w:rsidRPr="00855E06" w:rsidRDefault="00E52E28" w:rsidP="00275C95">
      <w:pPr>
        <w:spacing w:after="0"/>
        <w:jc w:val="both"/>
        <w:rPr>
          <w:rFonts w:ascii="Times New Roman" w:hAnsi="Times New Roman" w:cs="Times New Roman"/>
          <w:iCs/>
          <w:noProof/>
          <w:sz w:val="24"/>
          <w:szCs w:val="24"/>
          <w:u w:val="single"/>
          <w:lang w:val="en-GB"/>
        </w:rPr>
      </w:pPr>
    </w:p>
    <w:p w14:paraId="28829011" w14:textId="2290EF2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Governance: </w:t>
      </w:r>
    </w:p>
    <w:p w14:paraId="33DDB3B1" w14:textId="77777777" w:rsidR="00B758A1" w:rsidRPr="00855E06" w:rsidRDefault="00B758A1" w:rsidP="00275C95">
      <w:pPr>
        <w:pStyle w:val="ListParagraph"/>
        <w:numPr>
          <w:ilvl w:val="0"/>
          <w:numId w:val="48"/>
        </w:numPr>
        <w:spacing w:after="0"/>
        <w:rPr>
          <w:iCs/>
          <w:noProof/>
          <w:szCs w:val="24"/>
        </w:rPr>
      </w:pPr>
      <w:r w:rsidRPr="00855E06">
        <w:rPr>
          <w:iCs/>
          <w:noProof/>
          <w:szCs w:val="24"/>
        </w:rPr>
        <w:t xml:space="preserve">Overall, the work of the governance bodies is considered important and running smoothly by a majority of stakeholders within and outside of the Agency, including the cooperation between different bodies and with eu-LISA. </w:t>
      </w:r>
    </w:p>
    <w:p w14:paraId="5B436D22" w14:textId="77777777" w:rsidR="00B758A1" w:rsidRPr="00855E06" w:rsidRDefault="00B758A1" w:rsidP="00275C95">
      <w:pPr>
        <w:pStyle w:val="ListParagraph"/>
        <w:numPr>
          <w:ilvl w:val="0"/>
          <w:numId w:val="48"/>
        </w:numPr>
        <w:spacing w:after="0"/>
        <w:rPr>
          <w:iCs/>
          <w:noProof/>
          <w:szCs w:val="24"/>
        </w:rPr>
      </w:pPr>
      <w:r w:rsidRPr="00855E06">
        <w:rPr>
          <w:iCs/>
          <w:noProof/>
          <w:szCs w:val="24"/>
        </w:rPr>
        <w:t xml:space="preserve">As concerns areas where room for improvement was identified, many interviewees highlighted </w:t>
      </w:r>
      <w:r w:rsidRPr="00855E06">
        <w:rPr>
          <w:b/>
          <w:bCs/>
          <w:iCs/>
          <w:noProof/>
          <w:szCs w:val="24"/>
        </w:rPr>
        <w:t xml:space="preserve">a high administrative burden </w:t>
      </w:r>
      <w:r w:rsidRPr="00855E06">
        <w:rPr>
          <w:iCs/>
          <w:noProof/>
          <w:szCs w:val="24"/>
        </w:rPr>
        <w:t xml:space="preserve">of each governance body as well as </w:t>
      </w:r>
      <w:r w:rsidRPr="00855E06">
        <w:rPr>
          <w:b/>
          <w:bCs/>
          <w:iCs/>
          <w:noProof/>
          <w:szCs w:val="24"/>
        </w:rPr>
        <w:t xml:space="preserve">potential risks of duplications and/or contradictions </w:t>
      </w:r>
      <w:r w:rsidRPr="00855E06">
        <w:rPr>
          <w:iCs/>
          <w:noProof/>
          <w:szCs w:val="24"/>
        </w:rPr>
        <w:t xml:space="preserve">as key challenges for the Agency. </w:t>
      </w:r>
    </w:p>
    <w:p w14:paraId="44BE9767" w14:textId="77777777" w:rsidR="00B758A1" w:rsidRPr="00855E06" w:rsidRDefault="00B758A1" w:rsidP="00275C95">
      <w:pPr>
        <w:pStyle w:val="ListParagraph"/>
        <w:numPr>
          <w:ilvl w:val="0"/>
          <w:numId w:val="48"/>
        </w:numPr>
        <w:spacing w:after="0"/>
        <w:rPr>
          <w:iCs/>
          <w:noProof/>
          <w:szCs w:val="24"/>
        </w:rPr>
      </w:pPr>
      <w:r w:rsidRPr="00855E06">
        <w:rPr>
          <w:iCs/>
          <w:noProof/>
          <w:szCs w:val="24"/>
        </w:rPr>
        <w:t xml:space="preserve">In addition, many stakeholders from the governance bodies raised that the practical work of the governance bodies is sometimes challenging due to the varying levels of expertise of its members. </w:t>
      </w:r>
    </w:p>
    <w:p w14:paraId="5EC33364" w14:textId="77777777" w:rsidR="00B758A1" w:rsidRPr="00855E06" w:rsidRDefault="00B758A1" w:rsidP="00275C95">
      <w:pPr>
        <w:pStyle w:val="ListParagraph"/>
        <w:numPr>
          <w:ilvl w:val="0"/>
          <w:numId w:val="48"/>
        </w:numPr>
        <w:spacing w:after="0"/>
        <w:rPr>
          <w:iCs/>
          <w:noProof/>
          <w:szCs w:val="24"/>
        </w:rPr>
      </w:pPr>
      <w:r w:rsidRPr="00855E06">
        <w:rPr>
          <w:iCs/>
          <w:noProof/>
          <w:szCs w:val="24"/>
        </w:rPr>
        <w:t xml:space="preserve">As concerns </w:t>
      </w:r>
      <w:r w:rsidRPr="00855E06">
        <w:rPr>
          <w:b/>
          <w:bCs/>
          <w:iCs/>
          <w:noProof/>
          <w:szCs w:val="24"/>
        </w:rPr>
        <w:t>coordination with the Member States</w:t>
      </w:r>
      <w:r w:rsidRPr="00855E06">
        <w:rPr>
          <w:iCs/>
          <w:noProof/>
          <w:szCs w:val="24"/>
        </w:rPr>
        <w:t xml:space="preserve">, most stakeholders confirmed well-working coordination mechanisms, with only very few exceptions highlighted. </w:t>
      </w:r>
    </w:p>
    <w:p w14:paraId="01976F87" w14:textId="77777777" w:rsidR="00B758A1" w:rsidRPr="00855E06" w:rsidRDefault="00B758A1" w:rsidP="00275C95">
      <w:pPr>
        <w:pStyle w:val="ListParagraph"/>
        <w:numPr>
          <w:ilvl w:val="0"/>
          <w:numId w:val="48"/>
        </w:numPr>
        <w:spacing w:after="0"/>
        <w:rPr>
          <w:iCs/>
          <w:noProof/>
          <w:szCs w:val="24"/>
        </w:rPr>
      </w:pPr>
      <w:r w:rsidRPr="00855E06">
        <w:rPr>
          <w:iCs/>
          <w:noProof/>
          <w:szCs w:val="24"/>
        </w:rPr>
        <w:t xml:space="preserve">Finally, several interviewees from the justice area indicated that increasing challenges are expected to arise in the </w:t>
      </w:r>
      <w:r w:rsidRPr="00855E06">
        <w:rPr>
          <w:b/>
          <w:bCs/>
          <w:iCs/>
          <w:noProof/>
          <w:szCs w:val="24"/>
        </w:rPr>
        <w:t>MB due to the increased future importance of the justice area</w:t>
      </w:r>
      <w:r w:rsidRPr="00855E06">
        <w:rPr>
          <w:iCs/>
          <w:noProof/>
          <w:szCs w:val="24"/>
        </w:rPr>
        <w:t>. In particular, this has brought up questions relating to the potential inclusion of justice profiles into the so far mainly home affairs focused MB.</w:t>
      </w:r>
    </w:p>
    <w:p w14:paraId="299E4C9C" w14:textId="77777777" w:rsidR="00B758A1" w:rsidRPr="00855E06" w:rsidRDefault="00B758A1" w:rsidP="00275C95">
      <w:pPr>
        <w:pStyle w:val="ListParagraph"/>
        <w:numPr>
          <w:ilvl w:val="0"/>
          <w:numId w:val="48"/>
        </w:numPr>
        <w:spacing w:after="0"/>
        <w:rPr>
          <w:iCs/>
          <w:noProof/>
          <w:szCs w:val="24"/>
        </w:rPr>
      </w:pPr>
      <w:r w:rsidRPr="00855E06">
        <w:rPr>
          <w:iCs/>
          <w:noProof/>
          <w:szCs w:val="24"/>
        </w:rPr>
        <w:t xml:space="preserve">The efficiency of governance could be improved through shifting from the current silo-based governance approach towards a sector-specific governance model, by clustering governance bodies, and establishing formalised channels for communication and collaboration. </w:t>
      </w:r>
    </w:p>
    <w:p w14:paraId="38EDC9DA" w14:textId="283C999B"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Location: </w:t>
      </w:r>
    </w:p>
    <w:p w14:paraId="1565729F" w14:textId="77777777" w:rsidR="00B758A1" w:rsidRPr="00855E06" w:rsidRDefault="00B758A1" w:rsidP="00275C95">
      <w:pPr>
        <w:pStyle w:val="ListParagraph"/>
        <w:numPr>
          <w:ilvl w:val="0"/>
          <w:numId w:val="49"/>
        </w:numPr>
        <w:spacing w:after="0"/>
        <w:rPr>
          <w:iCs/>
          <w:noProof/>
          <w:szCs w:val="24"/>
        </w:rPr>
      </w:pPr>
      <w:r w:rsidRPr="00855E06">
        <w:rPr>
          <w:iCs/>
          <w:noProof/>
          <w:szCs w:val="24"/>
        </w:rPr>
        <w:t xml:space="preserve">As concerns the </w:t>
      </w:r>
      <w:r w:rsidRPr="00855E06">
        <w:rPr>
          <w:b/>
          <w:bCs/>
          <w:iCs/>
          <w:noProof/>
          <w:szCs w:val="24"/>
        </w:rPr>
        <w:t>political dimension</w:t>
      </w:r>
      <w:r w:rsidRPr="00855E06">
        <w:rPr>
          <w:iCs/>
          <w:noProof/>
          <w:szCs w:val="24"/>
        </w:rPr>
        <w:t>, most stakeholders from the Agency and its governance bodies showed a general understanding for and acceptance of the decision to locate the Agency’s sites in three Member States (with the liaison office being established in Belgium, a fourth Member State).</w:t>
      </w:r>
    </w:p>
    <w:p w14:paraId="6FEB0564" w14:textId="77777777" w:rsidR="00B758A1" w:rsidRPr="00855E06" w:rsidRDefault="00B758A1" w:rsidP="00275C95">
      <w:pPr>
        <w:pStyle w:val="ListParagraph"/>
        <w:numPr>
          <w:ilvl w:val="0"/>
          <w:numId w:val="49"/>
        </w:numPr>
        <w:spacing w:after="0"/>
        <w:rPr>
          <w:iCs/>
          <w:noProof/>
          <w:szCs w:val="24"/>
        </w:rPr>
      </w:pPr>
      <w:r w:rsidRPr="00855E06">
        <w:rPr>
          <w:iCs/>
          <w:noProof/>
          <w:szCs w:val="24"/>
        </w:rPr>
        <w:t xml:space="preserve">With regard to the </w:t>
      </w:r>
      <w:r w:rsidRPr="00855E06">
        <w:rPr>
          <w:b/>
          <w:bCs/>
          <w:iCs/>
          <w:noProof/>
          <w:szCs w:val="24"/>
        </w:rPr>
        <w:t>operational dimension</w:t>
      </w:r>
      <w:r w:rsidRPr="00855E06">
        <w:rPr>
          <w:iCs/>
          <w:noProof/>
          <w:szCs w:val="24"/>
        </w:rPr>
        <w:t xml:space="preserve">, a large majority of interviewees stated that in particular the split of the locations between Tallinn and Strasbourg, as well as between Strasbourg and St. Johann im Pongau, has </w:t>
      </w:r>
      <w:r w:rsidRPr="00855E06">
        <w:rPr>
          <w:i/>
          <w:iCs/>
          <w:noProof/>
          <w:szCs w:val="24"/>
        </w:rPr>
        <w:t>de facto</w:t>
      </w:r>
      <w:r w:rsidRPr="00855E06">
        <w:rPr>
          <w:iCs/>
          <w:noProof/>
          <w:szCs w:val="24"/>
        </w:rPr>
        <w:t xml:space="preserve"> caused operational challenges and roadblocks over the past five years. The most frequently mentioned challenges concerning Tallinn-Strasbourg were: (1) Detachment of the corporate services from the operations; (2) Remoteness and practical reachability of both Tallinn and Strasbourg; and (3) The secluded location of the Central Unit and the rented office space in Strasbourg.</w:t>
      </w:r>
    </w:p>
    <w:p w14:paraId="263AC00C" w14:textId="77777777" w:rsidR="00B758A1" w:rsidRPr="00855E06" w:rsidRDefault="00B758A1" w:rsidP="00275C95">
      <w:pPr>
        <w:pStyle w:val="ListParagraph"/>
        <w:numPr>
          <w:ilvl w:val="0"/>
          <w:numId w:val="49"/>
        </w:numPr>
        <w:spacing w:after="0"/>
        <w:rPr>
          <w:iCs/>
          <w:noProof/>
          <w:szCs w:val="24"/>
        </w:rPr>
      </w:pPr>
      <w:r w:rsidRPr="00855E06">
        <w:rPr>
          <w:iCs/>
          <w:noProof/>
          <w:szCs w:val="24"/>
        </w:rPr>
        <w:t xml:space="preserve">Addressing the </w:t>
      </w:r>
      <w:r w:rsidRPr="00855E06">
        <w:rPr>
          <w:b/>
          <w:bCs/>
          <w:iCs/>
          <w:noProof/>
          <w:szCs w:val="24"/>
        </w:rPr>
        <w:t>attractiveness dimension</w:t>
      </w:r>
      <w:r w:rsidRPr="00855E06">
        <w:rPr>
          <w:iCs/>
          <w:noProof/>
          <w:szCs w:val="24"/>
        </w:rPr>
        <w:t>, the location of the Agency’s sites was criticised by some interviewees from eu-LISA as a major reason for a comparatively limited attractiveness of eu-LISA to potential applicants. Tallinn was considered unattractive due to its location far north and the cold weather conditions. In Strasbourg, the Central Unit is located at the southern outskirts of the city in a residential neighbourhood at the end of a street next to a farmland with very limited lunching/dining options or opportunities to run errands.</w:t>
      </w:r>
    </w:p>
    <w:p w14:paraId="36E6436F" w14:textId="4B60330D"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Organisation: </w:t>
      </w:r>
    </w:p>
    <w:p w14:paraId="3AB5C035" w14:textId="77777777" w:rsidR="00B758A1" w:rsidRPr="00855E06" w:rsidRDefault="00B758A1" w:rsidP="00275C95">
      <w:pPr>
        <w:pStyle w:val="ListParagraph"/>
        <w:numPr>
          <w:ilvl w:val="0"/>
          <w:numId w:val="50"/>
        </w:numPr>
        <w:spacing w:after="0"/>
        <w:rPr>
          <w:iCs/>
          <w:noProof/>
          <w:szCs w:val="24"/>
        </w:rPr>
      </w:pPr>
      <w:r w:rsidRPr="00855E06">
        <w:rPr>
          <w:iCs/>
          <w:noProof/>
          <w:szCs w:val="24"/>
        </w:rPr>
        <w:t xml:space="preserve">The </w:t>
      </w:r>
      <w:r w:rsidRPr="00855E06">
        <w:rPr>
          <w:b/>
          <w:bCs/>
          <w:iCs/>
          <w:noProof/>
          <w:szCs w:val="24"/>
        </w:rPr>
        <w:t xml:space="preserve">clarity of the organisational set-up </w:t>
      </w:r>
      <w:r w:rsidRPr="00855E06">
        <w:rPr>
          <w:iCs/>
          <w:noProof/>
          <w:szCs w:val="24"/>
        </w:rPr>
        <w:t xml:space="preserve">and structure of the Agency within departments, units and sectors was considered by stakeholders within and outside of the Agency as acceptable. </w:t>
      </w:r>
    </w:p>
    <w:p w14:paraId="699B84A6" w14:textId="77777777" w:rsidR="00B758A1" w:rsidRPr="00855E06" w:rsidRDefault="00B758A1" w:rsidP="00275C95">
      <w:pPr>
        <w:pStyle w:val="ListParagraph"/>
        <w:numPr>
          <w:ilvl w:val="0"/>
          <w:numId w:val="50"/>
        </w:numPr>
        <w:spacing w:after="0"/>
        <w:rPr>
          <w:iCs/>
          <w:noProof/>
          <w:szCs w:val="24"/>
        </w:rPr>
      </w:pPr>
      <w:r w:rsidRPr="00855E06">
        <w:rPr>
          <w:iCs/>
          <w:noProof/>
          <w:szCs w:val="24"/>
        </w:rPr>
        <w:t xml:space="preserve">At the same time, the perceived disconnect between corporate services (in Tallinn) and operations (in Strasbourg) were viewed as problematic, creating communication and cooperation difficulties between both departments. </w:t>
      </w:r>
    </w:p>
    <w:p w14:paraId="0E3CB484" w14:textId="77777777" w:rsidR="00B758A1" w:rsidRPr="00855E06" w:rsidRDefault="00B758A1" w:rsidP="00275C95">
      <w:pPr>
        <w:pStyle w:val="ListParagraph"/>
        <w:numPr>
          <w:ilvl w:val="0"/>
          <w:numId w:val="50"/>
        </w:numPr>
        <w:spacing w:after="0"/>
        <w:rPr>
          <w:iCs/>
          <w:noProof/>
          <w:szCs w:val="24"/>
        </w:rPr>
      </w:pPr>
      <w:r w:rsidRPr="00855E06">
        <w:rPr>
          <w:iCs/>
          <w:noProof/>
          <w:szCs w:val="24"/>
        </w:rPr>
        <w:t xml:space="preserve">Some stakeholders from the Agency criticised the lack of clear role descriptions and responsibilities, which might lead to overlaps in the work of eu-LISA. </w:t>
      </w:r>
    </w:p>
    <w:p w14:paraId="49E5E81F" w14:textId="77777777" w:rsidR="00B758A1" w:rsidRPr="00855E06" w:rsidRDefault="00B758A1" w:rsidP="00275C95">
      <w:pPr>
        <w:pStyle w:val="ListParagraph"/>
        <w:numPr>
          <w:ilvl w:val="0"/>
          <w:numId w:val="50"/>
        </w:numPr>
        <w:spacing w:after="0"/>
        <w:rPr>
          <w:iCs/>
          <w:noProof/>
          <w:szCs w:val="24"/>
        </w:rPr>
      </w:pPr>
      <w:r w:rsidRPr="00855E06">
        <w:rPr>
          <w:iCs/>
          <w:noProof/>
          <w:szCs w:val="24"/>
        </w:rPr>
        <w:t xml:space="preserve">As concerns the </w:t>
      </w:r>
      <w:r w:rsidRPr="00855E06">
        <w:rPr>
          <w:b/>
          <w:bCs/>
          <w:iCs/>
          <w:noProof/>
          <w:szCs w:val="24"/>
        </w:rPr>
        <w:t>size of the organisational entities</w:t>
      </w:r>
      <w:r w:rsidRPr="00855E06">
        <w:rPr>
          <w:iCs/>
          <w:noProof/>
          <w:szCs w:val="24"/>
        </w:rPr>
        <w:t>, several stakeholders from eu-LISA, but also from the governance bodies voiced concerns about the current organisational structure, which may not be adequately capable of managing the number of staff allocated to each of the units and sectors. From a practical perspective, interviewees argued that the size of the units and sectors is too large to be managed efficiently.</w:t>
      </w:r>
    </w:p>
    <w:p w14:paraId="1406C1A2" w14:textId="77777777" w:rsidR="00B758A1" w:rsidRPr="00855E06" w:rsidRDefault="00B758A1" w:rsidP="00275C95">
      <w:pPr>
        <w:spacing w:after="0"/>
        <w:jc w:val="both"/>
        <w:rPr>
          <w:rFonts w:ascii="Times New Roman" w:hAnsi="Times New Roman" w:cs="Times New Roman"/>
          <w:iCs/>
          <w:noProof/>
          <w:sz w:val="24"/>
          <w:szCs w:val="24"/>
          <w:lang w:val="en-GB"/>
        </w:rPr>
      </w:pPr>
    </w:p>
    <w:p w14:paraId="623F2B8E" w14:textId="77777777" w:rsidR="00B758A1" w:rsidRPr="00855E06" w:rsidRDefault="00B758A1" w:rsidP="00275C95">
      <w:pPr>
        <w:spacing w:after="0"/>
        <w:jc w:val="both"/>
        <w:rPr>
          <w:rFonts w:ascii="Times New Roman" w:hAnsi="Times New Roman" w:cs="Times New Roman"/>
          <w:b/>
          <w:bCs/>
          <w:iCs/>
          <w:noProof/>
          <w:sz w:val="24"/>
          <w:szCs w:val="24"/>
          <w:lang w:val="en-GB"/>
        </w:rPr>
      </w:pPr>
      <w:r w:rsidRPr="00BB7E5D">
        <w:rPr>
          <w:rFonts w:ascii="Times New Roman" w:hAnsi="Times New Roman" w:cs="Times New Roman"/>
          <w:b/>
          <w:bCs/>
          <w:iCs/>
          <w:noProof/>
          <w:sz w:val="24"/>
          <w:szCs w:val="24"/>
          <w:lang w:val="en-GB"/>
        </w:rPr>
        <w:t>Dimension 3: Management of human, technical, and financial resources</w:t>
      </w:r>
    </w:p>
    <w:p w14:paraId="2C76E045" w14:textId="77777777" w:rsidR="00B758A1" w:rsidRPr="00855E06" w:rsidRDefault="00B758A1" w:rsidP="00275C95">
      <w:pPr>
        <w:spacing w:after="0"/>
        <w:jc w:val="both"/>
        <w:rPr>
          <w:rFonts w:ascii="Times New Roman" w:hAnsi="Times New Roman" w:cs="Times New Roman"/>
          <w:b/>
          <w:bCs/>
          <w:iCs/>
          <w:noProof/>
          <w:sz w:val="24"/>
          <w:szCs w:val="24"/>
          <w:u w:val="single"/>
          <w:lang w:val="en-GB"/>
        </w:rPr>
      </w:pPr>
      <w:r w:rsidRPr="00855E06">
        <w:rPr>
          <w:rFonts w:ascii="Times New Roman" w:hAnsi="Times New Roman" w:cs="Times New Roman"/>
          <w:iCs/>
          <w:noProof/>
          <w:sz w:val="24"/>
          <w:szCs w:val="24"/>
          <w:u w:val="single"/>
          <w:lang w:val="en-GB"/>
        </w:rPr>
        <w:t>Human resources</w:t>
      </w:r>
    </w:p>
    <w:p w14:paraId="6786904E" w14:textId="77777777" w:rsidR="00B758A1" w:rsidRPr="00855E06" w:rsidRDefault="00B758A1" w:rsidP="00275C95">
      <w:pPr>
        <w:pStyle w:val="ListParagraph"/>
        <w:numPr>
          <w:ilvl w:val="0"/>
          <w:numId w:val="51"/>
        </w:numPr>
        <w:spacing w:after="0"/>
        <w:rPr>
          <w:iCs/>
          <w:noProof/>
          <w:szCs w:val="24"/>
        </w:rPr>
      </w:pPr>
      <w:r w:rsidRPr="00855E06">
        <w:rPr>
          <w:iCs/>
          <w:noProof/>
          <w:szCs w:val="24"/>
        </w:rPr>
        <w:t xml:space="preserve">The available human resources are the Agency’s most important asset. This was also acknowledged by several interviewees within the Agency, who specifically pointed out that the collaboration with their colleagues and peers is one of their most </w:t>
      </w:r>
      <w:r w:rsidRPr="00855E06">
        <w:rPr>
          <w:b/>
          <w:bCs/>
          <w:iCs/>
          <w:noProof/>
          <w:szCs w:val="24"/>
        </w:rPr>
        <w:t>important sources of motivation</w:t>
      </w:r>
      <w:r w:rsidRPr="00855E06">
        <w:rPr>
          <w:iCs/>
          <w:noProof/>
          <w:szCs w:val="24"/>
        </w:rPr>
        <w:t xml:space="preserve"> to work at eu-LISA.</w:t>
      </w:r>
    </w:p>
    <w:p w14:paraId="305AE6FD" w14:textId="77777777" w:rsidR="00B758A1" w:rsidRPr="00855E06" w:rsidRDefault="00B758A1" w:rsidP="00275C95">
      <w:pPr>
        <w:pStyle w:val="ListParagraph"/>
        <w:numPr>
          <w:ilvl w:val="0"/>
          <w:numId w:val="51"/>
        </w:numPr>
        <w:spacing w:after="0"/>
        <w:rPr>
          <w:iCs/>
          <w:noProof/>
          <w:szCs w:val="24"/>
        </w:rPr>
      </w:pPr>
      <w:r w:rsidRPr="00855E06">
        <w:rPr>
          <w:iCs/>
          <w:noProof/>
          <w:szCs w:val="24"/>
        </w:rPr>
        <w:t xml:space="preserve">Based on the interviews conducted, there are </w:t>
      </w:r>
      <w:r w:rsidRPr="00855E06">
        <w:rPr>
          <w:b/>
          <w:bCs/>
          <w:iCs/>
          <w:noProof/>
          <w:szCs w:val="24"/>
        </w:rPr>
        <w:t xml:space="preserve">challenges with regard to the career development </w:t>
      </w:r>
      <w:r w:rsidRPr="00855E06">
        <w:rPr>
          <w:iCs/>
          <w:noProof/>
          <w:szCs w:val="24"/>
        </w:rPr>
        <w:t>within eu-LISA: With only a finite number of positions available at different levels, it seems that challenges exist for staff to ‘climb up’ the career ladder.</w:t>
      </w:r>
    </w:p>
    <w:p w14:paraId="2A5C4BE8" w14:textId="77777777" w:rsidR="00B758A1" w:rsidRPr="00855E06" w:rsidRDefault="00B758A1" w:rsidP="00275C95">
      <w:pPr>
        <w:pStyle w:val="ListParagraph"/>
        <w:numPr>
          <w:ilvl w:val="0"/>
          <w:numId w:val="51"/>
        </w:numPr>
        <w:spacing w:after="0"/>
        <w:rPr>
          <w:iCs/>
          <w:noProof/>
          <w:szCs w:val="24"/>
        </w:rPr>
      </w:pPr>
      <w:r w:rsidRPr="00855E06">
        <w:rPr>
          <w:iCs/>
          <w:noProof/>
          <w:szCs w:val="24"/>
        </w:rPr>
        <w:t xml:space="preserve">With regard to the challenges in recruitment, retention and development of HR, the following factors were mentioned most frequently by interviewees within eu-LISA and in the governance bodies: </w:t>
      </w:r>
    </w:p>
    <w:p w14:paraId="31D8CE83" w14:textId="77777777" w:rsidR="00B758A1" w:rsidRPr="00855E06" w:rsidRDefault="00B758A1" w:rsidP="00275C95">
      <w:pPr>
        <w:numPr>
          <w:ilvl w:val="1"/>
          <w:numId w:val="10"/>
        </w:num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Strategic factors: Availability of positions; Competition with private industry; Purpose and mission of the Agency (i.e. its branding); Location and facilities of the Agency;</w:t>
      </w:r>
    </w:p>
    <w:p w14:paraId="65773926" w14:textId="77777777" w:rsidR="00B758A1" w:rsidRPr="00855E06" w:rsidRDefault="00B758A1" w:rsidP="00275C95">
      <w:pPr>
        <w:numPr>
          <w:ilvl w:val="1"/>
          <w:numId w:val="10"/>
        </w:num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Contractual factors: Necessity of security clearance; Necessity of short-term contracts; Salary and compensation package;</w:t>
      </w:r>
    </w:p>
    <w:p w14:paraId="29D86489" w14:textId="77777777" w:rsidR="00B758A1" w:rsidRPr="00855E06" w:rsidRDefault="00B758A1" w:rsidP="00275C95">
      <w:pPr>
        <w:numPr>
          <w:ilvl w:val="1"/>
          <w:numId w:val="10"/>
        </w:num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Operational considerations: Ability to work with cutting-edge technology; Rigid ways of working.</w:t>
      </w:r>
    </w:p>
    <w:p w14:paraId="6D95ADAA" w14:textId="77777777" w:rsidR="00B758A1" w:rsidRPr="00855E06" w:rsidRDefault="00B758A1" w:rsidP="00275C95">
      <w:pPr>
        <w:pStyle w:val="ListParagraph"/>
        <w:numPr>
          <w:ilvl w:val="0"/>
          <w:numId w:val="51"/>
        </w:numPr>
        <w:spacing w:after="0"/>
        <w:rPr>
          <w:iCs/>
          <w:noProof/>
          <w:szCs w:val="24"/>
        </w:rPr>
      </w:pPr>
      <w:r w:rsidRPr="00855E06">
        <w:rPr>
          <w:iCs/>
          <w:noProof/>
          <w:szCs w:val="24"/>
        </w:rPr>
        <w:t xml:space="preserve">Most stakeholders consulted also noted that the Agency has undertaken efforts to mitigate the HR-related challenges, comprising e.g. the digitalisation of the HR process, a restructuring of the organisation of HR management, changes in the organisational development (launch of cultural transformation projects, updating of existing role descriptions), as well as improved employer branding. </w:t>
      </w:r>
    </w:p>
    <w:p w14:paraId="2234410E" w14:textId="77777777" w:rsidR="00B758A1" w:rsidRPr="00855E06" w:rsidRDefault="00B758A1" w:rsidP="00275C95">
      <w:pPr>
        <w:pStyle w:val="ListParagraph"/>
        <w:numPr>
          <w:ilvl w:val="0"/>
          <w:numId w:val="51"/>
        </w:numPr>
        <w:spacing w:after="0"/>
        <w:rPr>
          <w:iCs/>
          <w:noProof/>
          <w:szCs w:val="24"/>
        </w:rPr>
      </w:pPr>
      <w:r w:rsidRPr="00855E06">
        <w:rPr>
          <w:iCs/>
          <w:noProof/>
          <w:szCs w:val="24"/>
        </w:rPr>
        <w:t xml:space="preserve">Lastly, it was noted by some stakeholders within eu-LISA that the Agency must provide a fully-fledged </w:t>
      </w:r>
      <w:r w:rsidRPr="00855E06">
        <w:rPr>
          <w:b/>
          <w:bCs/>
          <w:iCs/>
          <w:noProof/>
          <w:szCs w:val="24"/>
        </w:rPr>
        <w:t xml:space="preserve">HR strategy </w:t>
      </w:r>
      <w:r w:rsidRPr="00855E06">
        <w:rPr>
          <w:iCs/>
          <w:noProof/>
          <w:szCs w:val="24"/>
        </w:rPr>
        <w:t xml:space="preserve">in the future. </w:t>
      </w:r>
    </w:p>
    <w:p w14:paraId="49B077F3" w14:textId="77777777" w:rsidR="00B758A1" w:rsidRPr="00855E06" w:rsidRDefault="00B758A1" w:rsidP="00275C95">
      <w:pPr>
        <w:spacing w:after="0"/>
        <w:jc w:val="both"/>
        <w:rPr>
          <w:rFonts w:ascii="Times New Roman" w:hAnsi="Times New Roman" w:cs="Times New Roman"/>
          <w:b/>
          <w:bCs/>
          <w:iCs/>
          <w:noProof/>
          <w:sz w:val="24"/>
          <w:szCs w:val="24"/>
          <w:u w:val="single"/>
          <w:lang w:val="en-GB"/>
        </w:rPr>
      </w:pPr>
      <w:r w:rsidRPr="00855E06">
        <w:rPr>
          <w:rFonts w:ascii="Times New Roman" w:hAnsi="Times New Roman" w:cs="Times New Roman"/>
          <w:iCs/>
          <w:noProof/>
          <w:sz w:val="24"/>
          <w:szCs w:val="24"/>
          <w:u w:val="single"/>
          <w:lang w:val="en-GB"/>
        </w:rPr>
        <w:t xml:space="preserve">Technical resources </w:t>
      </w:r>
    </w:p>
    <w:p w14:paraId="11F67228" w14:textId="77777777" w:rsidR="00B758A1" w:rsidRPr="00855E06" w:rsidRDefault="00B758A1" w:rsidP="00275C95">
      <w:pPr>
        <w:pStyle w:val="ListParagraph"/>
        <w:numPr>
          <w:ilvl w:val="0"/>
          <w:numId w:val="52"/>
        </w:numPr>
        <w:spacing w:after="0"/>
        <w:rPr>
          <w:iCs/>
          <w:noProof/>
          <w:szCs w:val="24"/>
        </w:rPr>
      </w:pPr>
      <w:r w:rsidRPr="00855E06">
        <w:rPr>
          <w:iCs/>
          <w:noProof/>
          <w:szCs w:val="24"/>
        </w:rPr>
        <w:t xml:space="preserve">According to various stakeholders from within and outside the Agency, eu-LISA is aims at adopting </w:t>
      </w:r>
      <w:r w:rsidRPr="00855E06">
        <w:rPr>
          <w:b/>
          <w:bCs/>
          <w:iCs/>
          <w:noProof/>
          <w:szCs w:val="24"/>
        </w:rPr>
        <w:t>state-of-the-art technologies</w:t>
      </w:r>
      <w:r w:rsidRPr="00855E06">
        <w:rPr>
          <w:iCs/>
          <w:noProof/>
          <w:szCs w:val="24"/>
        </w:rPr>
        <w:t xml:space="preserve">, signifying a noteworthy pursuit of innovation and operational efficiency. </w:t>
      </w:r>
    </w:p>
    <w:p w14:paraId="368629F2" w14:textId="77777777" w:rsidR="00B758A1" w:rsidRPr="00855E06" w:rsidRDefault="00B758A1" w:rsidP="00275C95">
      <w:pPr>
        <w:pStyle w:val="ListParagraph"/>
        <w:numPr>
          <w:ilvl w:val="0"/>
          <w:numId w:val="52"/>
        </w:numPr>
        <w:spacing w:after="0"/>
        <w:rPr>
          <w:iCs/>
          <w:noProof/>
          <w:szCs w:val="24"/>
        </w:rPr>
      </w:pPr>
      <w:r w:rsidRPr="00855E06">
        <w:rPr>
          <w:iCs/>
          <w:noProof/>
          <w:szCs w:val="24"/>
        </w:rPr>
        <w:t xml:space="preserve">This being said, many stakeholders noted that there is untapped potential in the fields of AI-based applications and cloud technologies, notably due to restrictions in the mandate. </w:t>
      </w:r>
    </w:p>
    <w:p w14:paraId="5403F258" w14:textId="77777777" w:rsidR="00B758A1" w:rsidRPr="00855E06" w:rsidRDefault="00B758A1" w:rsidP="00275C95">
      <w:pPr>
        <w:pStyle w:val="ListParagraph"/>
        <w:numPr>
          <w:ilvl w:val="0"/>
          <w:numId w:val="52"/>
        </w:numPr>
        <w:spacing w:after="0"/>
        <w:rPr>
          <w:iCs/>
          <w:noProof/>
          <w:szCs w:val="24"/>
        </w:rPr>
      </w:pPr>
      <w:r w:rsidRPr="00855E06">
        <w:rPr>
          <w:iCs/>
          <w:noProof/>
          <w:szCs w:val="24"/>
        </w:rPr>
        <w:t xml:space="preserve">Stakeholders from within the Agency and its governance bodies also identified challenges in the </w:t>
      </w:r>
      <w:r w:rsidRPr="00855E06">
        <w:rPr>
          <w:b/>
          <w:bCs/>
          <w:iCs/>
          <w:noProof/>
          <w:szCs w:val="24"/>
        </w:rPr>
        <w:t xml:space="preserve">software development life cycle. </w:t>
      </w:r>
      <w:r w:rsidRPr="00855E06">
        <w:rPr>
          <w:iCs/>
          <w:noProof/>
          <w:szCs w:val="24"/>
        </w:rPr>
        <w:t xml:space="preserve">The layered approach where testing, delivery, and application maintenance emerge as distinct layers managed by different contractors under various framework contracts, introduces complexities in coordination and communication across the different phases of the SDLC. This exacerbates the challenge of achieving seamless end-to-end delivery and needs to be addressed with specific approaches and tooling. </w:t>
      </w:r>
    </w:p>
    <w:p w14:paraId="3674F41C" w14:textId="77777777" w:rsidR="00B758A1" w:rsidRPr="00855E06" w:rsidRDefault="00B758A1" w:rsidP="00275C95">
      <w:pPr>
        <w:pStyle w:val="ListParagraph"/>
        <w:numPr>
          <w:ilvl w:val="0"/>
          <w:numId w:val="52"/>
        </w:numPr>
        <w:spacing w:after="0"/>
        <w:rPr>
          <w:iCs/>
          <w:noProof/>
          <w:szCs w:val="24"/>
        </w:rPr>
      </w:pPr>
      <w:r w:rsidRPr="00855E06">
        <w:rPr>
          <w:iCs/>
          <w:noProof/>
          <w:szCs w:val="24"/>
        </w:rPr>
        <w:t xml:space="preserve">In addressing these problems, eu-LISA has shifted from a more traditional waterfall model towards more agile, iterative and collaborative methods. At the heart of agile implementation at eu-LISA is </w:t>
      </w:r>
      <w:r w:rsidRPr="00855E06">
        <w:rPr>
          <w:b/>
          <w:bCs/>
          <w:iCs/>
          <w:noProof/>
          <w:szCs w:val="24"/>
        </w:rPr>
        <w:t>the strategic formation of 'squads</w:t>
      </w:r>
      <w:r w:rsidRPr="00855E06">
        <w:rPr>
          <w:iCs/>
          <w:noProof/>
          <w:szCs w:val="24"/>
        </w:rPr>
        <w:t>.' These squads are not only cross-functional teams; they are a dynamic fusion of diverse expertise and experience that operate with focused objectives, autonomy, and collective ownership.</w:t>
      </w:r>
    </w:p>
    <w:p w14:paraId="3FC59D5B" w14:textId="77777777" w:rsidR="00B758A1" w:rsidRPr="00855E06" w:rsidRDefault="00B758A1" w:rsidP="00275C95">
      <w:pPr>
        <w:pStyle w:val="ListParagraph"/>
        <w:numPr>
          <w:ilvl w:val="0"/>
          <w:numId w:val="52"/>
        </w:numPr>
        <w:spacing w:after="0"/>
        <w:rPr>
          <w:iCs/>
          <w:noProof/>
          <w:szCs w:val="24"/>
        </w:rPr>
      </w:pPr>
      <w:r w:rsidRPr="00855E06">
        <w:rPr>
          <w:iCs/>
          <w:noProof/>
          <w:szCs w:val="24"/>
        </w:rPr>
        <w:t xml:space="preserve">Given its extensive outsourcing, the Agency sometimes struggles with the </w:t>
      </w:r>
      <w:r w:rsidRPr="00855E06">
        <w:rPr>
          <w:b/>
          <w:bCs/>
          <w:iCs/>
          <w:noProof/>
          <w:szCs w:val="24"/>
        </w:rPr>
        <w:t>retention of technical expertise and experience</w:t>
      </w:r>
      <w:r w:rsidRPr="00855E06">
        <w:rPr>
          <w:iCs/>
          <w:noProof/>
          <w:szCs w:val="24"/>
        </w:rPr>
        <w:t xml:space="preserve"> within eu-LISA. </w:t>
      </w:r>
    </w:p>
    <w:p w14:paraId="1B3274F7"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Financial resources</w:t>
      </w:r>
    </w:p>
    <w:p w14:paraId="79BDF773" w14:textId="77777777" w:rsidR="00B758A1" w:rsidRPr="00855E06" w:rsidRDefault="00B758A1" w:rsidP="00275C95">
      <w:pPr>
        <w:pStyle w:val="ListParagraph"/>
        <w:numPr>
          <w:ilvl w:val="0"/>
          <w:numId w:val="53"/>
        </w:numPr>
        <w:spacing w:after="0"/>
        <w:rPr>
          <w:iCs/>
          <w:noProof/>
          <w:szCs w:val="24"/>
        </w:rPr>
      </w:pPr>
      <w:r w:rsidRPr="00855E06">
        <w:rPr>
          <w:iCs/>
          <w:noProof/>
          <w:szCs w:val="24"/>
        </w:rPr>
        <w:t xml:space="preserve">The </w:t>
      </w:r>
      <w:r w:rsidRPr="00855E06">
        <w:rPr>
          <w:b/>
          <w:bCs/>
          <w:iCs/>
          <w:noProof/>
          <w:szCs w:val="24"/>
        </w:rPr>
        <w:t xml:space="preserve">financial planning and reporting </w:t>
      </w:r>
      <w:r w:rsidRPr="00855E06">
        <w:rPr>
          <w:iCs/>
          <w:noProof/>
          <w:szCs w:val="24"/>
        </w:rPr>
        <w:t xml:space="preserve">are based on traditional year-by-year public budgetary processes. Within this context, many stakeholders with expertise in the area highlighted that the collaboration between the Commission (in particular DG HOME) and the Agency has positively improved over the last years, but it has still sometimes been challenging for eu-LISA to provide the Commission with the requested information in time. </w:t>
      </w:r>
    </w:p>
    <w:p w14:paraId="07CB012C" w14:textId="77777777" w:rsidR="00B758A1" w:rsidRPr="00855E06" w:rsidRDefault="00B758A1" w:rsidP="00275C95">
      <w:pPr>
        <w:pStyle w:val="ListParagraph"/>
        <w:numPr>
          <w:ilvl w:val="0"/>
          <w:numId w:val="53"/>
        </w:numPr>
        <w:spacing w:after="0"/>
        <w:rPr>
          <w:iCs/>
          <w:noProof/>
          <w:szCs w:val="24"/>
        </w:rPr>
      </w:pPr>
      <w:r w:rsidRPr="00855E06">
        <w:rPr>
          <w:iCs/>
          <w:noProof/>
          <w:szCs w:val="24"/>
        </w:rPr>
        <w:t xml:space="preserve">The </w:t>
      </w:r>
      <w:r w:rsidRPr="00855E06">
        <w:rPr>
          <w:b/>
          <w:bCs/>
          <w:iCs/>
          <w:noProof/>
          <w:szCs w:val="24"/>
        </w:rPr>
        <w:t>growth of tasks</w:t>
      </w:r>
      <w:r w:rsidRPr="00855E06">
        <w:rPr>
          <w:iCs/>
          <w:noProof/>
          <w:szCs w:val="24"/>
        </w:rPr>
        <w:t xml:space="preserve"> of the Agency has also led to the situation of managing and updating three systems and, in parallel, develop additional new ones from scratch. It seems that appropriate planning capabilities were only established over time, which led to gaps between the actual and planned progress over time.</w:t>
      </w:r>
    </w:p>
    <w:p w14:paraId="11F8BB58" w14:textId="77777777" w:rsidR="00B758A1" w:rsidRPr="00855E06" w:rsidRDefault="00B758A1" w:rsidP="00275C95">
      <w:pPr>
        <w:pStyle w:val="ListParagraph"/>
        <w:numPr>
          <w:ilvl w:val="0"/>
          <w:numId w:val="53"/>
        </w:numPr>
        <w:spacing w:after="0"/>
        <w:rPr>
          <w:iCs/>
          <w:noProof/>
          <w:szCs w:val="24"/>
        </w:rPr>
      </w:pPr>
      <w:r w:rsidRPr="00855E06">
        <w:rPr>
          <w:iCs/>
          <w:noProof/>
          <w:szCs w:val="24"/>
        </w:rPr>
        <w:t xml:space="preserve">With specific regard </w:t>
      </w:r>
      <w:r w:rsidRPr="00855E06">
        <w:rPr>
          <w:b/>
          <w:bCs/>
          <w:iCs/>
          <w:noProof/>
          <w:szCs w:val="24"/>
        </w:rPr>
        <w:t>to multi-annual planning</w:t>
      </w:r>
      <w:r w:rsidRPr="00855E06">
        <w:rPr>
          <w:iCs/>
          <w:noProof/>
          <w:szCs w:val="24"/>
        </w:rPr>
        <w:t>, stakeholders with specific expertise in the field pointed out that this is an area for improvement, both from a strategic perspective and the concrete tooling. Over the previous years, too much emphasis was given to the annual planning, which, in turn, led to a lack of strategic planning of resources over time. This led in the past to the Agency having asked for too many financial resources, which could, ultimately, not be used entirely.</w:t>
      </w:r>
    </w:p>
    <w:p w14:paraId="0E37E7F4" w14:textId="77777777" w:rsidR="00B758A1" w:rsidRPr="00855E06" w:rsidRDefault="00B758A1" w:rsidP="00275C95">
      <w:pPr>
        <w:pStyle w:val="ListParagraph"/>
        <w:numPr>
          <w:ilvl w:val="0"/>
          <w:numId w:val="53"/>
        </w:numPr>
        <w:spacing w:after="0"/>
        <w:rPr>
          <w:iCs/>
          <w:noProof/>
          <w:szCs w:val="24"/>
        </w:rPr>
      </w:pPr>
      <w:r w:rsidRPr="00855E06">
        <w:rPr>
          <w:iCs/>
          <w:noProof/>
          <w:szCs w:val="24"/>
        </w:rPr>
        <w:t xml:space="preserve">As concerns the Agency’s </w:t>
      </w:r>
      <w:r w:rsidRPr="00855E06">
        <w:rPr>
          <w:b/>
          <w:bCs/>
          <w:iCs/>
          <w:noProof/>
          <w:szCs w:val="24"/>
        </w:rPr>
        <w:t>outsourcing practices</w:t>
      </w:r>
      <w:r w:rsidRPr="00855E06">
        <w:rPr>
          <w:iCs/>
          <w:noProof/>
          <w:szCs w:val="24"/>
        </w:rPr>
        <w:t xml:space="preserve">, many stakeholders within the Agency and even on the side of external contractors themselves criticised aspects such as legislative predicament, the outsourcing strategy (or lack thereof), the complexity of the outsourcing approach, the contractual management, and the volume of outsourcing. </w:t>
      </w:r>
    </w:p>
    <w:p w14:paraId="11CA2BF9" w14:textId="77777777" w:rsidR="00B758A1" w:rsidRPr="00855E06" w:rsidRDefault="00B758A1" w:rsidP="00275C95">
      <w:pPr>
        <w:pStyle w:val="ListParagraph"/>
        <w:numPr>
          <w:ilvl w:val="0"/>
          <w:numId w:val="53"/>
        </w:numPr>
        <w:spacing w:after="0"/>
        <w:rPr>
          <w:iCs/>
          <w:noProof/>
          <w:szCs w:val="24"/>
        </w:rPr>
      </w:pPr>
      <w:r w:rsidRPr="00855E06">
        <w:rPr>
          <w:iCs/>
          <w:noProof/>
          <w:szCs w:val="24"/>
        </w:rPr>
        <w:t>In particular justice stakeholders noted, that in the context of e-CODEX, the respective Regulation states that “eu-LISA shall commit the resources provided (…) for the e-CODEX system in their entirety to its operation” (Article 14(2) of the e-CODEX Regulation). Hence, eu-LISA resources allocated to e-CODEX are solely focused on this specific IT system itself in order to ensure the respect of the principle of the independence of the judiciary. However, (i) currently there are five FTE working on e-CODEX which is insufficient and (ii) the legal mandate impedes efficiency as resources are rigid.</w:t>
      </w:r>
    </w:p>
    <w:p w14:paraId="4A3C4FAF" w14:textId="77777777" w:rsidR="00CB5A08" w:rsidRDefault="00CB5A08" w:rsidP="00275C95">
      <w:pPr>
        <w:spacing w:after="0"/>
        <w:jc w:val="both"/>
        <w:rPr>
          <w:rFonts w:ascii="Times New Roman" w:hAnsi="Times New Roman" w:cs="Times New Roman"/>
          <w:b/>
          <w:i/>
          <w:iCs/>
          <w:noProof/>
          <w:sz w:val="24"/>
          <w:szCs w:val="24"/>
          <w:lang w:val="en-GB"/>
        </w:rPr>
      </w:pPr>
    </w:p>
    <w:p w14:paraId="1405A901" w14:textId="522400B7" w:rsidR="00B758A1" w:rsidRPr="00855E06" w:rsidRDefault="00B758A1" w:rsidP="00275C95">
      <w:pPr>
        <w:spacing w:after="0"/>
        <w:jc w:val="both"/>
        <w:rPr>
          <w:rFonts w:ascii="Times New Roman" w:hAnsi="Times New Roman" w:cs="Times New Roman"/>
          <w:b/>
          <w:bCs/>
          <w:i/>
          <w:iCs/>
          <w:noProof/>
          <w:sz w:val="24"/>
          <w:szCs w:val="24"/>
          <w:lang w:val="en-GB"/>
        </w:rPr>
      </w:pPr>
      <w:r w:rsidRPr="00855E06">
        <w:rPr>
          <w:rFonts w:ascii="Times New Roman" w:hAnsi="Times New Roman" w:cs="Times New Roman"/>
          <w:b/>
          <w:i/>
          <w:iCs/>
          <w:noProof/>
          <w:sz w:val="24"/>
          <w:szCs w:val="24"/>
          <w:lang w:val="en-GB"/>
        </w:rPr>
        <w:t>Online survey</w:t>
      </w:r>
    </w:p>
    <w:p w14:paraId="38315205" w14:textId="11570A45"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Below, an overview of the main findings clustered by the </w:t>
      </w:r>
      <w:r w:rsidR="00E92715">
        <w:rPr>
          <w:rFonts w:ascii="Times New Roman" w:hAnsi="Times New Roman" w:cs="Times New Roman"/>
          <w:iCs/>
          <w:noProof/>
          <w:sz w:val="24"/>
          <w:szCs w:val="24"/>
          <w:lang w:val="en-GB"/>
        </w:rPr>
        <w:t>Better Regulation Guideleines</w:t>
      </w:r>
      <w:r w:rsidR="00CB5A08">
        <w:rPr>
          <w:rFonts w:ascii="Times New Roman" w:hAnsi="Times New Roman" w:cs="Times New Roman"/>
          <w:iCs/>
          <w:noProof/>
          <w:sz w:val="24"/>
          <w:szCs w:val="24"/>
          <w:lang w:val="en-GB"/>
        </w:rPr>
        <w:t>’</w:t>
      </w:r>
      <w:r w:rsidR="00E92715" w:rsidRPr="00855E06">
        <w:rPr>
          <w:rFonts w:ascii="Times New Roman" w:hAnsi="Times New Roman" w:cs="Times New Roman"/>
          <w:iCs/>
          <w:noProof/>
          <w:sz w:val="24"/>
          <w:szCs w:val="24"/>
          <w:lang w:val="en-GB"/>
        </w:rPr>
        <w:t xml:space="preserve"> </w:t>
      </w:r>
      <w:r w:rsidRPr="00855E06">
        <w:rPr>
          <w:rFonts w:ascii="Times New Roman" w:hAnsi="Times New Roman" w:cs="Times New Roman"/>
          <w:iCs/>
          <w:noProof/>
          <w:sz w:val="24"/>
          <w:szCs w:val="24"/>
          <w:lang w:val="en-GB"/>
        </w:rPr>
        <w:t>evaluation criteria is found.</w:t>
      </w:r>
    </w:p>
    <w:p w14:paraId="6CF3A4A1" w14:textId="77777777" w:rsidR="00E50352" w:rsidRPr="00855E06" w:rsidRDefault="00E50352" w:rsidP="00275C95">
      <w:pPr>
        <w:spacing w:after="0"/>
        <w:jc w:val="both"/>
        <w:rPr>
          <w:rFonts w:ascii="Times New Roman" w:hAnsi="Times New Roman" w:cs="Times New Roman"/>
          <w:iCs/>
          <w:noProof/>
          <w:sz w:val="24"/>
          <w:szCs w:val="24"/>
          <w:lang w:val="en-GB"/>
        </w:rPr>
      </w:pPr>
    </w:p>
    <w:p w14:paraId="57246EAB" w14:textId="77777777" w:rsidR="00B758A1" w:rsidRPr="00855E06" w:rsidRDefault="00B758A1" w:rsidP="00275C95">
      <w:pPr>
        <w:spacing w:after="0"/>
        <w:jc w:val="both"/>
        <w:rPr>
          <w:rFonts w:ascii="Times New Roman" w:hAnsi="Times New Roman" w:cs="Times New Roman"/>
          <w:i/>
          <w:iCs/>
          <w:noProof/>
          <w:sz w:val="24"/>
          <w:szCs w:val="24"/>
          <w:u w:val="single"/>
          <w:lang w:val="en-GB"/>
        </w:rPr>
      </w:pPr>
      <w:r w:rsidRPr="00855E06">
        <w:rPr>
          <w:rFonts w:ascii="Times New Roman" w:hAnsi="Times New Roman" w:cs="Times New Roman"/>
          <w:i/>
          <w:iCs/>
          <w:noProof/>
          <w:sz w:val="24"/>
          <w:szCs w:val="24"/>
          <w:u w:val="single"/>
          <w:lang w:val="en-GB"/>
        </w:rPr>
        <w:t>Effectiveness</w:t>
      </w:r>
    </w:p>
    <w:p w14:paraId="2BB682B2" w14:textId="77777777" w:rsidR="00B758A1" w:rsidRPr="00855E06" w:rsidRDefault="00B758A1" w:rsidP="00275C95">
      <w:pPr>
        <w:pStyle w:val="ListParagraph"/>
        <w:numPr>
          <w:ilvl w:val="0"/>
          <w:numId w:val="54"/>
        </w:numPr>
        <w:spacing w:after="0"/>
        <w:rPr>
          <w:iCs/>
          <w:noProof/>
          <w:szCs w:val="24"/>
        </w:rPr>
      </w:pPr>
      <w:r w:rsidRPr="00855E06">
        <w:rPr>
          <w:iCs/>
          <w:noProof/>
          <w:szCs w:val="24"/>
        </w:rPr>
        <w:t xml:space="preserve">As concerns eu-LISA’s general objective, the Agency is </w:t>
      </w:r>
      <w:r w:rsidRPr="00855E06">
        <w:rPr>
          <w:b/>
          <w:iCs/>
          <w:noProof/>
          <w:szCs w:val="24"/>
        </w:rPr>
        <w:t>considered effective in contributing to a high-level of security within the AFSJ</w:t>
      </w:r>
      <w:r w:rsidRPr="00855E06">
        <w:rPr>
          <w:iCs/>
          <w:noProof/>
          <w:szCs w:val="24"/>
        </w:rPr>
        <w:t>. The primary reason for this assessment is the smooth functioning of the existing IT systems. However, in view of the current room for improvement concerning the development of new IT systems, the effectiveness of the Agency could be even higher.</w:t>
      </w:r>
    </w:p>
    <w:p w14:paraId="13C0A1B6" w14:textId="77777777" w:rsidR="00B758A1" w:rsidRPr="00855E06" w:rsidRDefault="00B758A1" w:rsidP="00275C95">
      <w:pPr>
        <w:pStyle w:val="ListParagraph"/>
        <w:numPr>
          <w:ilvl w:val="0"/>
          <w:numId w:val="54"/>
        </w:numPr>
        <w:spacing w:after="0"/>
        <w:rPr>
          <w:i/>
          <w:iCs/>
          <w:noProof/>
          <w:szCs w:val="24"/>
        </w:rPr>
      </w:pPr>
      <w:r w:rsidRPr="00855E06">
        <w:rPr>
          <w:iCs/>
          <w:noProof/>
          <w:szCs w:val="24"/>
        </w:rPr>
        <w:t>As concerns eu-LISA’s effective management of the large-scale IT-systems, a majority of respondents</w:t>
      </w:r>
      <w:r w:rsidRPr="00855E06">
        <w:rPr>
          <w:b/>
          <w:bCs/>
          <w:iCs/>
          <w:noProof/>
          <w:szCs w:val="24"/>
        </w:rPr>
        <w:t xml:space="preserve"> </w:t>
      </w:r>
      <w:r w:rsidRPr="00855E06">
        <w:rPr>
          <w:iCs/>
          <w:noProof/>
          <w:szCs w:val="24"/>
        </w:rPr>
        <w:t xml:space="preserve">consider eu-LISA to contribute to a coordinated, cost-effective and coherent IT environment at Union level. 24 out of 35 (69%) AG and PMB members who answered this specific question indicated in the online survey that eu-LISA’s management of the systems contributes to a ‘large’ or ‘very large’ extent to a coordinated, cost-effective and coherent IT environment. </w:t>
      </w:r>
    </w:p>
    <w:p w14:paraId="60087BB0" w14:textId="77777777" w:rsidR="00B758A1" w:rsidRPr="00855E06" w:rsidRDefault="00B758A1" w:rsidP="00275C95">
      <w:pPr>
        <w:numPr>
          <w:ilvl w:val="1"/>
          <w:numId w:val="10"/>
        </w:numPr>
        <w:spacing w:after="0"/>
        <w:jc w:val="both"/>
        <w:rPr>
          <w:rFonts w:ascii="Times New Roman" w:hAnsi="Times New Roman" w:cs="Times New Roman"/>
          <w:i/>
          <w:iCs/>
          <w:noProof/>
          <w:sz w:val="24"/>
          <w:szCs w:val="24"/>
          <w:lang w:val="en-GB"/>
        </w:rPr>
      </w:pPr>
      <w:r w:rsidRPr="00855E06">
        <w:rPr>
          <w:rFonts w:ascii="Times New Roman" w:hAnsi="Times New Roman" w:cs="Times New Roman"/>
          <w:iCs/>
          <w:noProof/>
          <w:sz w:val="24"/>
          <w:szCs w:val="24"/>
          <w:lang w:val="en-GB"/>
        </w:rPr>
        <w:t xml:space="preserve">As concerns the overall levels of performance, 86% (64 out of 74) of respondents from eu-LISA have said to be ‘very satisfied’ or ‘satisfied’ with the performance. Users’ assessment resembles this largely, with 85% (65 out of 75) of respondents indicating they are ‘very satisfied’ or ‘satisfied’ with the performance </w:t>
      </w:r>
    </w:p>
    <w:p w14:paraId="407DEE19" w14:textId="77777777" w:rsidR="00B758A1" w:rsidRPr="00855E06" w:rsidRDefault="00B758A1" w:rsidP="00275C95">
      <w:pPr>
        <w:numPr>
          <w:ilvl w:val="1"/>
          <w:numId w:val="10"/>
        </w:numPr>
        <w:spacing w:after="0"/>
        <w:jc w:val="both"/>
        <w:rPr>
          <w:rFonts w:ascii="Times New Roman" w:hAnsi="Times New Roman" w:cs="Times New Roman"/>
          <w:i/>
          <w:iCs/>
          <w:noProof/>
          <w:sz w:val="24"/>
          <w:szCs w:val="24"/>
          <w:lang w:val="en-GB"/>
        </w:rPr>
      </w:pPr>
      <w:r w:rsidRPr="00855E06">
        <w:rPr>
          <w:rFonts w:ascii="Times New Roman" w:hAnsi="Times New Roman" w:cs="Times New Roman"/>
          <w:iCs/>
          <w:noProof/>
          <w:sz w:val="24"/>
          <w:szCs w:val="24"/>
          <w:lang w:val="en-GB"/>
        </w:rPr>
        <w:t xml:space="preserve">Within the single systems, performance of SIS and VIS are rated best among AG and e-CODEX PMB members (for both roughly 50% very satisfied), whereas Eurodac only receives 40% (29 of 74) ‘very satisfied’-ratings. </w:t>
      </w:r>
    </w:p>
    <w:p w14:paraId="3A2402C9" w14:textId="77777777" w:rsidR="00B758A1" w:rsidRPr="00855E06" w:rsidRDefault="00B758A1" w:rsidP="00275C95">
      <w:pPr>
        <w:numPr>
          <w:ilvl w:val="1"/>
          <w:numId w:val="10"/>
        </w:numPr>
        <w:spacing w:after="0"/>
        <w:jc w:val="both"/>
        <w:rPr>
          <w:rFonts w:ascii="Times New Roman" w:hAnsi="Times New Roman" w:cs="Times New Roman"/>
          <w:i/>
          <w:iCs/>
          <w:noProof/>
          <w:sz w:val="24"/>
          <w:szCs w:val="24"/>
          <w:lang w:val="en-GB"/>
        </w:rPr>
      </w:pPr>
      <w:r w:rsidRPr="00855E06">
        <w:rPr>
          <w:rFonts w:ascii="Times New Roman" w:hAnsi="Times New Roman" w:cs="Times New Roman"/>
          <w:iCs/>
          <w:noProof/>
          <w:sz w:val="24"/>
          <w:szCs w:val="24"/>
          <w:lang w:val="en-GB"/>
        </w:rPr>
        <w:t>Openness to feedback is also considered sufficient, however, the overall ratings are not as good as for system performance with only 53% of respondents (19 of 36) considering eu-LISA to be open to feedback to a ‘large’ or ‘very large’ extent.</w:t>
      </w:r>
    </w:p>
    <w:p w14:paraId="128B9A5C" w14:textId="77777777" w:rsidR="00B758A1" w:rsidRPr="00855E06" w:rsidRDefault="00B758A1" w:rsidP="00275C95">
      <w:pPr>
        <w:numPr>
          <w:ilvl w:val="1"/>
          <w:numId w:val="10"/>
        </w:numPr>
        <w:spacing w:after="0"/>
        <w:jc w:val="both"/>
        <w:rPr>
          <w:rFonts w:ascii="Times New Roman" w:hAnsi="Times New Roman" w:cs="Times New Roman"/>
          <w:i/>
          <w:iCs/>
          <w:noProof/>
          <w:sz w:val="24"/>
          <w:szCs w:val="24"/>
          <w:lang w:val="en-GB"/>
        </w:rPr>
      </w:pPr>
      <w:r w:rsidRPr="00855E06">
        <w:rPr>
          <w:rFonts w:ascii="Times New Roman" w:hAnsi="Times New Roman" w:cs="Times New Roman"/>
          <w:iCs/>
          <w:noProof/>
          <w:sz w:val="24"/>
          <w:szCs w:val="24"/>
          <w:lang w:val="en-GB"/>
        </w:rPr>
        <w:t>The takeover of e-CODEX was handled successfully to a ‘very large’ or ‘large’ extent according to 65% (17 of 26) of stakeholders from the AGs and e-CODEX PMB consulted.</w:t>
      </w:r>
    </w:p>
    <w:p w14:paraId="10AD7DE3" w14:textId="77777777" w:rsidR="00B758A1" w:rsidRPr="00855E06" w:rsidRDefault="00B758A1" w:rsidP="00275C95">
      <w:pPr>
        <w:numPr>
          <w:ilvl w:val="1"/>
          <w:numId w:val="10"/>
        </w:numPr>
        <w:spacing w:after="0"/>
        <w:jc w:val="both"/>
        <w:rPr>
          <w:rFonts w:ascii="Times New Roman" w:hAnsi="Times New Roman" w:cs="Times New Roman"/>
          <w:i/>
          <w:iCs/>
          <w:noProof/>
          <w:sz w:val="24"/>
          <w:szCs w:val="24"/>
          <w:lang w:val="en-GB"/>
        </w:rPr>
      </w:pPr>
      <w:r w:rsidRPr="00855E06">
        <w:rPr>
          <w:rFonts w:ascii="Times New Roman" w:hAnsi="Times New Roman" w:cs="Times New Roman"/>
          <w:iCs/>
          <w:noProof/>
          <w:sz w:val="24"/>
          <w:szCs w:val="24"/>
          <w:lang w:val="en-GB"/>
        </w:rPr>
        <w:t>Ratings for data protection by consulted national supervisory authorities were also largely positive, with 80% (19 of 24) of respondents considering eu-LISA to be largely in accordance with the GDPR</w:t>
      </w:r>
      <w:r w:rsidRPr="00855E06">
        <w:rPr>
          <w:rFonts w:ascii="Times New Roman" w:hAnsi="Times New Roman" w:cs="Times New Roman"/>
          <w:iCs/>
          <w:noProof/>
          <w:sz w:val="24"/>
          <w:szCs w:val="24"/>
          <w:vertAlign w:val="superscript"/>
          <w:lang w:val="en-GB"/>
        </w:rPr>
        <w:footnoteReference w:id="88"/>
      </w:r>
      <w:r w:rsidRPr="00855E06">
        <w:rPr>
          <w:rFonts w:ascii="Times New Roman" w:hAnsi="Times New Roman" w:cs="Times New Roman"/>
          <w:iCs/>
          <w:noProof/>
          <w:sz w:val="24"/>
          <w:szCs w:val="24"/>
          <w:lang w:val="en-GB"/>
        </w:rPr>
        <w:t>, and 75% (18 of 24) of respondents considering eu-LISA to be largely in accordance with the Law Enforcement Directive.</w:t>
      </w:r>
      <w:r w:rsidRPr="00855E06">
        <w:rPr>
          <w:rFonts w:ascii="Times New Roman" w:hAnsi="Times New Roman" w:cs="Times New Roman"/>
          <w:iCs/>
          <w:noProof/>
          <w:sz w:val="24"/>
          <w:szCs w:val="24"/>
          <w:vertAlign w:val="superscript"/>
          <w:lang w:val="en-GB"/>
        </w:rPr>
        <w:footnoteReference w:id="89"/>
      </w:r>
    </w:p>
    <w:p w14:paraId="3E1AA635" w14:textId="77777777" w:rsidR="00E50352" w:rsidRPr="00855E06" w:rsidRDefault="00E50352" w:rsidP="00275C95">
      <w:pPr>
        <w:spacing w:after="0"/>
        <w:jc w:val="both"/>
        <w:rPr>
          <w:rFonts w:ascii="Times New Roman" w:hAnsi="Times New Roman" w:cs="Times New Roman"/>
          <w:i/>
          <w:iCs/>
          <w:noProof/>
          <w:sz w:val="24"/>
          <w:szCs w:val="24"/>
          <w:u w:val="single"/>
          <w:lang w:val="en-GB"/>
        </w:rPr>
      </w:pPr>
    </w:p>
    <w:p w14:paraId="6AC3255C" w14:textId="59FF9C43" w:rsidR="00B758A1" w:rsidRPr="00855E06" w:rsidRDefault="00B758A1" w:rsidP="00275C95">
      <w:pPr>
        <w:spacing w:after="0"/>
        <w:jc w:val="both"/>
        <w:rPr>
          <w:rFonts w:ascii="Times New Roman" w:hAnsi="Times New Roman" w:cs="Times New Roman"/>
          <w:i/>
          <w:iCs/>
          <w:noProof/>
          <w:sz w:val="24"/>
          <w:szCs w:val="24"/>
          <w:u w:val="single"/>
          <w:lang w:val="en-GB"/>
        </w:rPr>
      </w:pPr>
      <w:r w:rsidRPr="00855E06">
        <w:rPr>
          <w:rFonts w:ascii="Times New Roman" w:hAnsi="Times New Roman" w:cs="Times New Roman"/>
          <w:i/>
          <w:iCs/>
          <w:noProof/>
          <w:sz w:val="24"/>
          <w:szCs w:val="24"/>
          <w:u w:val="single"/>
          <w:lang w:val="en-GB"/>
        </w:rPr>
        <w:t>Efficiency</w:t>
      </w:r>
    </w:p>
    <w:p w14:paraId="5B7D2797" w14:textId="77777777" w:rsidR="00B758A1" w:rsidRPr="00855E06" w:rsidRDefault="00B758A1" w:rsidP="00275C95">
      <w:pPr>
        <w:pStyle w:val="ListParagraph"/>
        <w:numPr>
          <w:ilvl w:val="0"/>
          <w:numId w:val="55"/>
        </w:numPr>
        <w:spacing w:after="0"/>
        <w:rPr>
          <w:iCs/>
          <w:noProof/>
          <w:szCs w:val="24"/>
        </w:rPr>
      </w:pPr>
      <w:r w:rsidRPr="00855E06">
        <w:rPr>
          <w:iCs/>
          <w:noProof/>
          <w:szCs w:val="24"/>
        </w:rPr>
        <w:t xml:space="preserve">With regard to its efficiency, the </w:t>
      </w:r>
      <w:r w:rsidRPr="00855E06">
        <w:rPr>
          <w:b/>
          <w:bCs/>
          <w:iCs/>
          <w:noProof/>
          <w:szCs w:val="24"/>
        </w:rPr>
        <w:t>operational management of existing IT-systems</w:t>
      </w:r>
      <w:r w:rsidRPr="00855E06">
        <w:rPr>
          <w:iCs/>
          <w:noProof/>
          <w:szCs w:val="24"/>
        </w:rPr>
        <w:t xml:space="preserve"> on the side of eu-LISA was rated positively by most respondents from the AGs and e-CODEX PMB consulted, with ‘very satisfied’ and ‘satisfied’ ratings accounting for at least 70% (n=74) in all categories asked (e.g. system availability, continuity of services, timeliness of service delivery, support responsiveness, quality and frequency of communication, reaction times to security issues)</w:t>
      </w:r>
    </w:p>
    <w:p w14:paraId="6B64BEA5" w14:textId="77777777" w:rsidR="00B758A1" w:rsidRPr="00855E06" w:rsidRDefault="00B758A1" w:rsidP="00275C95">
      <w:pPr>
        <w:pStyle w:val="ListParagraph"/>
        <w:numPr>
          <w:ilvl w:val="0"/>
          <w:numId w:val="55"/>
        </w:numPr>
        <w:spacing w:after="0"/>
        <w:rPr>
          <w:iCs/>
          <w:noProof/>
          <w:szCs w:val="24"/>
        </w:rPr>
      </w:pPr>
      <w:r w:rsidRPr="00855E06">
        <w:rPr>
          <w:iCs/>
          <w:noProof/>
          <w:szCs w:val="24"/>
        </w:rPr>
        <w:t xml:space="preserve">As concerns the </w:t>
      </w:r>
      <w:r w:rsidRPr="00855E06">
        <w:rPr>
          <w:b/>
          <w:bCs/>
          <w:iCs/>
          <w:noProof/>
          <w:szCs w:val="24"/>
        </w:rPr>
        <w:t>performance of eu-LISA’s contractors</w:t>
      </w:r>
      <w:r w:rsidRPr="00855E06">
        <w:rPr>
          <w:iCs/>
          <w:noProof/>
          <w:szCs w:val="24"/>
        </w:rPr>
        <w:t xml:space="preserve">, most respondents from the AGs and the e-CODEX PMB are ‘very satisfied’ or ‘satisfied’ (for each category asked at least 70% of respondents, n=38) with the performance, even though differences were seen between the categories. Respondents were comparably strongly or moderately dissatisfied with the response time (23%, 9 of 38) and limitations of impact on the operations (26%, 10 of 38) on the side of the contractors. Best scores were reached for incident management, with an overall 84% (32 of 38) of respondents being either ‘very satisfied’ or ‘satisfied’ with the work of the contractors. Even though work of the contractors was rated comparably high, it is notable that the Agency’s overall </w:t>
      </w:r>
      <w:r w:rsidRPr="00855E06">
        <w:rPr>
          <w:b/>
          <w:bCs/>
          <w:iCs/>
          <w:noProof/>
          <w:szCs w:val="24"/>
        </w:rPr>
        <w:t xml:space="preserve">outsourcing strategy </w:t>
      </w:r>
      <w:r w:rsidRPr="00855E06">
        <w:rPr>
          <w:iCs/>
          <w:noProof/>
          <w:szCs w:val="24"/>
        </w:rPr>
        <w:t xml:space="preserve">is rather rated unfit to deliver its tasks sufficiently, with 74% (44 of 60) of AG and e-CODEX PMB respondents rating the strategy successful to ‘a moderate extent’, ‘low extent’, or ‘not at all’. </w:t>
      </w:r>
    </w:p>
    <w:p w14:paraId="12F2A446" w14:textId="77777777" w:rsidR="00B758A1" w:rsidRPr="00855E06" w:rsidRDefault="00B758A1" w:rsidP="00275C95">
      <w:pPr>
        <w:pStyle w:val="ListParagraph"/>
        <w:numPr>
          <w:ilvl w:val="0"/>
          <w:numId w:val="55"/>
        </w:numPr>
        <w:spacing w:after="0"/>
        <w:rPr>
          <w:iCs/>
          <w:noProof/>
          <w:szCs w:val="24"/>
        </w:rPr>
      </w:pPr>
      <w:r w:rsidRPr="00855E06">
        <w:rPr>
          <w:iCs/>
          <w:noProof/>
          <w:szCs w:val="24"/>
        </w:rPr>
        <w:t xml:space="preserve">In general, the stakeholders in the AGs and e-CODEX PMB wished for eu-LISA take over more responsibilities from external contractors, with 45% of respondents (21 of 47) thinking to a ‘very large’ or ‘large’ extent that the Agency should do so. </w:t>
      </w:r>
    </w:p>
    <w:p w14:paraId="0194CD4D" w14:textId="77777777" w:rsidR="00B758A1" w:rsidRPr="00855E06" w:rsidRDefault="00B758A1" w:rsidP="00275C95">
      <w:pPr>
        <w:pStyle w:val="ListParagraph"/>
        <w:numPr>
          <w:ilvl w:val="0"/>
          <w:numId w:val="55"/>
        </w:numPr>
        <w:spacing w:after="0"/>
        <w:rPr>
          <w:iCs/>
          <w:noProof/>
          <w:szCs w:val="24"/>
        </w:rPr>
      </w:pPr>
      <w:r w:rsidRPr="00855E06">
        <w:rPr>
          <w:iCs/>
          <w:noProof/>
          <w:szCs w:val="24"/>
        </w:rPr>
        <w:t xml:space="preserve">As concerns the </w:t>
      </w:r>
      <w:r w:rsidRPr="00855E06">
        <w:rPr>
          <w:b/>
          <w:bCs/>
          <w:iCs/>
          <w:noProof/>
          <w:szCs w:val="24"/>
        </w:rPr>
        <w:t>development of new systems</w:t>
      </w:r>
      <w:r w:rsidRPr="00855E06">
        <w:rPr>
          <w:iCs/>
          <w:noProof/>
          <w:szCs w:val="24"/>
        </w:rPr>
        <w:t xml:space="preserve">, the AG and e-CODEX PMB members participating in the survey painted a mixed picture of eu-LISA’s efficiency. Roughly 30% of respondents (14 of 68) were either ‘very satisfied’ or ‘satisfied’ with the work of eu-LISA, whereas nearly half of respondents (45%, 30 of 68) were only satisfied to a moderate extent. 25% of respondents (17 of 68) were either ‘dissatisfied’ or ‘not at all’ satisfied with the performance of the Agency. </w:t>
      </w:r>
    </w:p>
    <w:p w14:paraId="4494BB78" w14:textId="77777777" w:rsidR="00B758A1" w:rsidRPr="00855E06" w:rsidRDefault="00B758A1" w:rsidP="00275C95">
      <w:pPr>
        <w:pStyle w:val="ListParagraph"/>
        <w:numPr>
          <w:ilvl w:val="0"/>
          <w:numId w:val="55"/>
        </w:numPr>
        <w:spacing w:after="0"/>
        <w:rPr>
          <w:iCs/>
          <w:noProof/>
          <w:szCs w:val="24"/>
        </w:rPr>
      </w:pPr>
      <w:r w:rsidRPr="00855E06">
        <w:rPr>
          <w:iCs/>
          <w:noProof/>
          <w:szCs w:val="24"/>
        </w:rPr>
        <w:t xml:space="preserve">In terms of </w:t>
      </w:r>
      <w:r w:rsidRPr="00855E06">
        <w:rPr>
          <w:b/>
          <w:bCs/>
          <w:iCs/>
          <w:noProof/>
          <w:szCs w:val="24"/>
        </w:rPr>
        <w:t xml:space="preserve">staff covering the required competencies </w:t>
      </w:r>
      <w:r w:rsidRPr="00855E06">
        <w:rPr>
          <w:iCs/>
          <w:noProof/>
          <w:szCs w:val="24"/>
        </w:rPr>
        <w:t xml:space="preserve">to make the Agency work efficiently, most respondents (76%, 55 of 72) from the AGs and e-CODEX PMB agree that the staff qualifications available satisfy the needs of eu-LISA to ‘a very large’ or ‘large’ extent’, thus painting a positive picture on the recruitment practices of the Agency. </w:t>
      </w:r>
    </w:p>
    <w:p w14:paraId="18E8C2CA" w14:textId="77777777" w:rsidR="00B758A1" w:rsidRPr="00855E06" w:rsidRDefault="00B758A1" w:rsidP="00275C95">
      <w:pPr>
        <w:pStyle w:val="ListParagraph"/>
        <w:numPr>
          <w:ilvl w:val="0"/>
          <w:numId w:val="55"/>
        </w:numPr>
        <w:spacing w:after="0"/>
        <w:rPr>
          <w:iCs/>
          <w:noProof/>
          <w:szCs w:val="24"/>
        </w:rPr>
      </w:pPr>
      <w:r w:rsidRPr="00855E06">
        <w:rPr>
          <w:iCs/>
          <w:noProof/>
          <w:szCs w:val="24"/>
        </w:rPr>
        <w:t xml:space="preserve">Asking about </w:t>
      </w:r>
      <w:r w:rsidRPr="00855E06">
        <w:rPr>
          <w:b/>
          <w:bCs/>
          <w:iCs/>
          <w:noProof/>
          <w:szCs w:val="24"/>
        </w:rPr>
        <w:t>the efficiency of the governance set-up</w:t>
      </w:r>
      <w:r w:rsidRPr="00855E06">
        <w:rPr>
          <w:iCs/>
          <w:noProof/>
          <w:szCs w:val="24"/>
        </w:rPr>
        <w:t xml:space="preserve"> of the Agency, stakeholders from the AGs and the e-CODEX PMB paint a mixed picture. Even though very low and low ratings remain an exception, roughly a third of respondents (20 of 59) consider the set-up only to a ‘moderate’ extent efficiently. Nonetheless, a majority of 34 of 59 stakeholders (58%) answered the question with a positive result (‘very large’ or ‘large’ extent). A more nuanced picture is painted by stakeholders as regards the functioning of the internal organisation, with decision-making procedures and escalation procedures highlighted by at least 30% of respondents as only ‘partially’ or ‘not at all’ appropriate. </w:t>
      </w:r>
    </w:p>
    <w:p w14:paraId="525152D8" w14:textId="77777777" w:rsidR="00E50352" w:rsidRPr="00855E06" w:rsidRDefault="00E50352" w:rsidP="00275C95">
      <w:pPr>
        <w:spacing w:after="0"/>
        <w:jc w:val="both"/>
        <w:rPr>
          <w:rFonts w:ascii="Times New Roman" w:hAnsi="Times New Roman" w:cs="Times New Roman"/>
          <w:i/>
          <w:iCs/>
          <w:noProof/>
          <w:sz w:val="24"/>
          <w:szCs w:val="24"/>
          <w:u w:val="single"/>
          <w:lang w:val="en-GB"/>
        </w:rPr>
      </w:pPr>
    </w:p>
    <w:p w14:paraId="3485764E" w14:textId="1F67205D" w:rsidR="00B758A1" w:rsidRPr="00855E06" w:rsidRDefault="00B758A1" w:rsidP="00275C95">
      <w:pPr>
        <w:spacing w:after="0"/>
        <w:jc w:val="both"/>
        <w:rPr>
          <w:rFonts w:ascii="Times New Roman" w:hAnsi="Times New Roman" w:cs="Times New Roman"/>
          <w:i/>
          <w:iCs/>
          <w:noProof/>
          <w:sz w:val="24"/>
          <w:szCs w:val="24"/>
          <w:u w:val="single"/>
          <w:lang w:val="en-GB"/>
        </w:rPr>
      </w:pPr>
      <w:r w:rsidRPr="00855E06">
        <w:rPr>
          <w:rFonts w:ascii="Times New Roman" w:hAnsi="Times New Roman" w:cs="Times New Roman"/>
          <w:i/>
          <w:iCs/>
          <w:noProof/>
          <w:sz w:val="24"/>
          <w:szCs w:val="24"/>
          <w:u w:val="single"/>
          <w:lang w:val="en-GB"/>
        </w:rPr>
        <w:t>Coherence</w:t>
      </w:r>
    </w:p>
    <w:p w14:paraId="7F186DA4"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
          <w:iCs/>
          <w:noProof/>
          <w:sz w:val="24"/>
          <w:szCs w:val="24"/>
          <w:lang w:val="en-GB"/>
        </w:rPr>
        <w:t>The internal and external coherence of the eu-LISA Regulation was assessed entirely through qualitative methods, which is why no survey item is included here.</w:t>
      </w:r>
    </w:p>
    <w:p w14:paraId="0D7DDCBE" w14:textId="77777777" w:rsidR="00E50352" w:rsidRPr="00855E06" w:rsidRDefault="00E50352" w:rsidP="00275C95">
      <w:pPr>
        <w:spacing w:after="0"/>
        <w:jc w:val="both"/>
        <w:rPr>
          <w:rFonts w:ascii="Times New Roman" w:hAnsi="Times New Roman" w:cs="Times New Roman"/>
          <w:i/>
          <w:iCs/>
          <w:noProof/>
          <w:sz w:val="24"/>
          <w:szCs w:val="24"/>
          <w:u w:val="single"/>
          <w:lang w:val="en-GB"/>
        </w:rPr>
      </w:pPr>
    </w:p>
    <w:p w14:paraId="67332E94" w14:textId="14E4181D" w:rsidR="00B758A1" w:rsidRPr="00855E06" w:rsidRDefault="00B758A1" w:rsidP="00275C95">
      <w:pPr>
        <w:spacing w:after="0"/>
        <w:jc w:val="both"/>
        <w:rPr>
          <w:rFonts w:ascii="Times New Roman" w:hAnsi="Times New Roman" w:cs="Times New Roman"/>
          <w:i/>
          <w:iCs/>
          <w:noProof/>
          <w:sz w:val="24"/>
          <w:szCs w:val="24"/>
          <w:u w:val="single"/>
          <w:lang w:val="en-GB"/>
        </w:rPr>
      </w:pPr>
      <w:r w:rsidRPr="00855E06">
        <w:rPr>
          <w:rFonts w:ascii="Times New Roman" w:hAnsi="Times New Roman" w:cs="Times New Roman"/>
          <w:i/>
          <w:iCs/>
          <w:noProof/>
          <w:sz w:val="24"/>
          <w:szCs w:val="24"/>
          <w:u w:val="single"/>
          <w:lang w:val="en-GB"/>
        </w:rPr>
        <w:t xml:space="preserve">EU Added Value </w:t>
      </w:r>
    </w:p>
    <w:p w14:paraId="318EC34D" w14:textId="77777777" w:rsidR="00B758A1" w:rsidRPr="00855E06" w:rsidRDefault="00B758A1" w:rsidP="00275C95">
      <w:pPr>
        <w:pStyle w:val="ListParagraph"/>
        <w:numPr>
          <w:ilvl w:val="0"/>
          <w:numId w:val="56"/>
        </w:numPr>
        <w:spacing w:after="0"/>
        <w:rPr>
          <w:iCs/>
          <w:noProof/>
          <w:szCs w:val="24"/>
        </w:rPr>
      </w:pPr>
      <w:r w:rsidRPr="00855E06">
        <w:rPr>
          <w:iCs/>
          <w:noProof/>
          <w:szCs w:val="24"/>
        </w:rPr>
        <w:t xml:space="preserve">The added value of the eu-LISA Regulation compared to what Member States could have achieved alone has clearly </w:t>
      </w:r>
      <w:r w:rsidRPr="00855E06">
        <w:rPr>
          <w:b/>
          <w:bCs/>
          <w:iCs/>
          <w:noProof/>
          <w:szCs w:val="24"/>
        </w:rPr>
        <w:t>been confirmed in this evaluation</w:t>
      </w:r>
      <w:r w:rsidRPr="00855E06">
        <w:rPr>
          <w:iCs/>
          <w:noProof/>
          <w:szCs w:val="24"/>
        </w:rPr>
        <w:t>. Without a single body such as eu-LISA responsible for several IT systems in the AFSJ, the current IT landscape would be drastically more fragmented, and it would likely be more challenging to ensure security.</w:t>
      </w:r>
    </w:p>
    <w:p w14:paraId="4CE72B27" w14:textId="77777777" w:rsidR="00B758A1" w:rsidRPr="00855E06" w:rsidRDefault="00B758A1" w:rsidP="00275C95">
      <w:pPr>
        <w:pStyle w:val="ListParagraph"/>
        <w:numPr>
          <w:ilvl w:val="0"/>
          <w:numId w:val="56"/>
        </w:numPr>
        <w:spacing w:after="0"/>
        <w:rPr>
          <w:i/>
          <w:iCs/>
          <w:noProof/>
          <w:szCs w:val="24"/>
        </w:rPr>
      </w:pPr>
      <w:r w:rsidRPr="00855E06">
        <w:rPr>
          <w:iCs/>
          <w:noProof/>
          <w:szCs w:val="24"/>
        </w:rPr>
        <w:t>As already presented above, 69% of the surveyed AG and e-CODEX PMB indicated that eu-LISA’s management of the systems contributes to a large or very large extent to a coordinated, cost-effective and coherent IT environment at EU level in the AFSJ, which the Member States could not have achieved alone.</w:t>
      </w:r>
    </w:p>
    <w:p w14:paraId="5B6F4A43" w14:textId="77777777" w:rsidR="00B758A1" w:rsidRPr="00855E06" w:rsidRDefault="00B758A1" w:rsidP="00275C95">
      <w:pPr>
        <w:pStyle w:val="ListParagraph"/>
        <w:numPr>
          <w:ilvl w:val="0"/>
          <w:numId w:val="56"/>
        </w:numPr>
        <w:spacing w:after="0"/>
        <w:rPr>
          <w:iCs/>
          <w:noProof/>
          <w:szCs w:val="24"/>
        </w:rPr>
      </w:pPr>
      <w:r w:rsidRPr="00855E06">
        <w:rPr>
          <w:iCs/>
          <w:noProof/>
          <w:szCs w:val="24"/>
        </w:rPr>
        <w:t xml:space="preserve">In terms of support for the MS in developing the information systems on the national level, the AG and e-CODEX PMB members paint a more mixed picture, with only 45% (26 of 58) of respondents indicating that eu-LISA supports the MS to a ‘very large’ or ‘large’ extent. </w:t>
      </w:r>
    </w:p>
    <w:p w14:paraId="3B4B2A26" w14:textId="77777777" w:rsidR="00E50352" w:rsidRPr="00855E06" w:rsidRDefault="00E50352" w:rsidP="00275C95">
      <w:pPr>
        <w:spacing w:after="0"/>
        <w:jc w:val="both"/>
        <w:rPr>
          <w:rFonts w:ascii="Times New Roman" w:hAnsi="Times New Roman" w:cs="Times New Roman"/>
          <w:i/>
          <w:iCs/>
          <w:noProof/>
          <w:sz w:val="24"/>
          <w:szCs w:val="24"/>
          <w:u w:val="single"/>
          <w:lang w:val="en-GB"/>
        </w:rPr>
      </w:pPr>
    </w:p>
    <w:p w14:paraId="5780D709" w14:textId="308A0E16" w:rsidR="00B758A1" w:rsidRPr="00855E06" w:rsidRDefault="00B758A1" w:rsidP="00275C95">
      <w:pPr>
        <w:spacing w:after="0"/>
        <w:jc w:val="both"/>
        <w:rPr>
          <w:rFonts w:ascii="Times New Roman" w:hAnsi="Times New Roman" w:cs="Times New Roman"/>
          <w:i/>
          <w:iCs/>
          <w:noProof/>
          <w:sz w:val="24"/>
          <w:szCs w:val="24"/>
          <w:u w:val="single"/>
          <w:lang w:val="en-GB"/>
        </w:rPr>
      </w:pPr>
      <w:r w:rsidRPr="00855E06">
        <w:rPr>
          <w:rFonts w:ascii="Times New Roman" w:hAnsi="Times New Roman" w:cs="Times New Roman"/>
          <w:i/>
          <w:iCs/>
          <w:noProof/>
          <w:sz w:val="24"/>
          <w:szCs w:val="24"/>
          <w:u w:val="single"/>
          <w:lang w:val="en-GB"/>
        </w:rPr>
        <w:t>Relevance</w:t>
      </w:r>
    </w:p>
    <w:p w14:paraId="04C6674A" w14:textId="77777777" w:rsidR="00B758A1" w:rsidRPr="00855E06" w:rsidRDefault="00B758A1" w:rsidP="00275C95">
      <w:pPr>
        <w:pStyle w:val="ListParagraph"/>
        <w:numPr>
          <w:ilvl w:val="0"/>
          <w:numId w:val="57"/>
        </w:numPr>
        <w:spacing w:after="0"/>
        <w:rPr>
          <w:iCs/>
          <w:noProof/>
          <w:szCs w:val="24"/>
        </w:rPr>
      </w:pPr>
      <w:r w:rsidRPr="00855E06">
        <w:rPr>
          <w:iCs/>
          <w:noProof/>
          <w:szCs w:val="24"/>
        </w:rPr>
        <w:t xml:space="preserve">The </w:t>
      </w:r>
      <w:r w:rsidRPr="00855E06">
        <w:rPr>
          <w:b/>
          <w:bCs/>
          <w:iCs/>
          <w:noProof/>
          <w:szCs w:val="24"/>
        </w:rPr>
        <w:t>continued overall relevance of eu-LISA’s mandate and objectives has been confirmed</w:t>
      </w:r>
      <w:r w:rsidRPr="00855E06">
        <w:rPr>
          <w:iCs/>
          <w:noProof/>
          <w:szCs w:val="24"/>
        </w:rPr>
        <w:t xml:space="preserve"> in this evaluation. Indeed, the relevance of the Agency has become even more important, considering external developments such as the increased mobility of EU citizens and third-country nationals, technological developments and increased risks from cyber-attacks as well as threats from ongoing geopolitical developments and conflicts (e.g. in Ukraine and the Middle East).</w:t>
      </w:r>
    </w:p>
    <w:p w14:paraId="4A752E64" w14:textId="77777777" w:rsidR="00B758A1" w:rsidRPr="00855E06" w:rsidRDefault="00B758A1" w:rsidP="00275C95">
      <w:pPr>
        <w:pStyle w:val="ListParagraph"/>
        <w:numPr>
          <w:ilvl w:val="0"/>
          <w:numId w:val="57"/>
        </w:numPr>
        <w:spacing w:after="0"/>
        <w:rPr>
          <w:iCs/>
          <w:noProof/>
          <w:szCs w:val="24"/>
        </w:rPr>
      </w:pPr>
      <w:r w:rsidRPr="00855E06">
        <w:rPr>
          <w:iCs/>
          <w:noProof/>
          <w:szCs w:val="24"/>
        </w:rPr>
        <w:t xml:space="preserve">As concerns how well eu-LISA performed in view of existing challenges, 71% of respondents (27 of 38) replied that eu-LISA performs well to a ‘very large’ or ‘large’ extent, underlining the relevance of the Agency with a view to upcoming challenges. </w:t>
      </w:r>
    </w:p>
    <w:p w14:paraId="0C818820" w14:textId="77777777" w:rsidR="00B758A1" w:rsidRPr="00855E06" w:rsidRDefault="00B758A1" w:rsidP="00275C95">
      <w:pPr>
        <w:pStyle w:val="ListParagraph"/>
        <w:numPr>
          <w:ilvl w:val="0"/>
          <w:numId w:val="57"/>
        </w:numPr>
        <w:spacing w:after="0"/>
        <w:rPr>
          <w:iCs/>
          <w:noProof/>
          <w:szCs w:val="24"/>
        </w:rPr>
      </w:pPr>
      <w:r w:rsidRPr="00855E06">
        <w:rPr>
          <w:iCs/>
          <w:noProof/>
          <w:szCs w:val="24"/>
        </w:rPr>
        <w:t xml:space="preserve">As concerns which challenges are considered particularly important, stakeholders from the AGs and the e-CODEX PMB pointed out the expansion of eu-LISA’s responsibilities (54%, 43 of 79), the ‘war for talent’ (45%, 36 of 79) and ensuring sufficient budget and financing (43%, 34 of 79) as ‘very important’ challenges. </w:t>
      </w:r>
    </w:p>
    <w:p w14:paraId="604FE646" w14:textId="77777777" w:rsidR="00B758A1" w:rsidRPr="00855E06" w:rsidRDefault="00B758A1" w:rsidP="00275C95">
      <w:pPr>
        <w:pStyle w:val="ListParagraph"/>
        <w:numPr>
          <w:ilvl w:val="0"/>
          <w:numId w:val="57"/>
        </w:numPr>
        <w:spacing w:after="0"/>
        <w:rPr>
          <w:iCs/>
          <w:noProof/>
          <w:szCs w:val="24"/>
        </w:rPr>
      </w:pPr>
      <w:r w:rsidRPr="00855E06">
        <w:rPr>
          <w:iCs/>
          <w:noProof/>
          <w:szCs w:val="24"/>
        </w:rPr>
        <w:t xml:space="preserve">In order to keep up its current relevance, stakeholders highlighted the need to implement stronger feedback and cooperation mechanisms, increasing eu-LISA’s attractiveness as an employer, increasing the Agency’s pilot testing capabilities and adapting the current organisational structure (all considered at least to 70% ‘very important’ or ‘important’). </w:t>
      </w:r>
    </w:p>
    <w:p w14:paraId="74420389" w14:textId="77777777" w:rsidR="00B758A1" w:rsidRPr="00855E06" w:rsidRDefault="00B758A1" w:rsidP="00275C95">
      <w:pPr>
        <w:pStyle w:val="ListParagraph"/>
        <w:numPr>
          <w:ilvl w:val="0"/>
          <w:numId w:val="57"/>
        </w:numPr>
        <w:spacing w:after="0"/>
        <w:rPr>
          <w:iCs/>
          <w:noProof/>
          <w:szCs w:val="24"/>
        </w:rPr>
      </w:pPr>
      <w:r w:rsidRPr="00855E06">
        <w:rPr>
          <w:iCs/>
          <w:noProof/>
          <w:szCs w:val="24"/>
        </w:rPr>
        <w:t xml:space="preserve">To improve its current relevance, 53% of respondents from the AGs and e-CODEX PMB currently consider eu-LISA to take feedback provided into consideration to a ‘very large’ or ‘large’ extent, pointing out the need for eu-LISA strengthen its current feedback mechanisms. </w:t>
      </w:r>
    </w:p>
    <w:p w14:paraId="2C445EE1" w14:textId="77777777" w:rsidR="00B64E34" w:rsidRPr="004E2424" w:rsidRDefault="00B64E34" w:rsidP="00275C95">
      <w:pPr>
        <w:spacing w:after="0"/>
        <w:rPr>
          <w:rFonts w:ascii="Times New Roman" w:hAnsi="Times New Roman" w:cs="Times New Roman"/>
          <w:iCs/>
          <w:noProof/>
          <w:szCs w:val="24"/>
          <w:lang w:val="en-IE"/>
        </w:rPr>
      </w:pPr>
    </w:p>
    <w:p w14:paraId="238EA57E" w14:textId="77777777" w:rsidR="00B758A1" w:rsidRPr="00855E06" w:rsidRDefault="00B758A1" w:rsidP="00275C95">
      <w:pPr>
        <w:spacing w:after="0"/>
        <w:jc w:val="both"/>
        <w:rPr>
          <w:rFonts w:ascii="Times New Roman" w:hAnsi="Times New Roman" w:cs="Times New Roman"/>
          <w:b/>
          <w:bCs/>
          <w:i/>
          <w:iCs/>
          <w:noProof/>
          <w:sz w:val="24"/>
          <w:szCs w:val="24"/>
          <w:lang w:val="en-GB"/>
        </w:rPr>
      </w:pPr>
      <w:r w:rsidRPr="00855E06">
        <w:rPr>
          <w:rFonts w:ascii="Times New Roman" w:hAnsi="Times New Roman" w:cs="Times New Roman"/>
          <w:b/>
          <w:i/>
          <w:iCs/>
          <w:noProof/>
          <w:sz w:val="24"/>
          <w:szCs w:val="24"/>
          <w:lang w:val="en-GB"/>
        </w:rPr>
        <w:t xml:space="preserve">SWOT-workshops </w:t>
      </w:r>
    </w:p>
    <w:p w14:paraId="326F9D07" w14:textId="6E0DC253"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rPr>
        <w:t xml:space="preserve">The study team conducted six SWOT workshops, focussing on the experiences eu-LISA governance body members and national users made with eu-LISA’s large-scale IT systems. The results are presented in in the following (clustered by workshop). After finalising the SWOT analysis, the participants derived recommendations based on challenges identified. An overview on the results is given in </w:t>
      </w:r>
      <w:r w:rsidRPr="00855E06">
        <w:rPr>
          <w:rFonts w:ascii="Times New Roman" w:hAnsi="Times New Roman" w:cs="Times New Roman"/>
          <w:iCs/>
          <w:noProof/>
          <w:sz w:val="24"/>
          <w:szCs w:val="24"/>
          <w:lang w:val="en-GB"/>
        </w:rPr>
        <w:fldChar w:fldCharType="begin"/>
      </w:r>
      <w:r w:rsidRPr="00855E06">
        <w:rPr>
          <w:rFonts w:ascii="Times New Roman" w:hAnsi="Times New Roman" w:cs="Times New Roman"/>
          <w:iCs/>
          <w:noProof/>
          <w:sz w:val="24"/>
          <w:szCs w:val="24"/>
          <w:lang w:val="en-GB"/>
        </w:rPr>
        <w:instrText xml:space="preserve"> REF _Ref166777541 \h </w:instrText>
      </w:r>
      <w:r w:rsidR="007B735D" w:rsidRPr="00855E06">
        <w:rPr>
          <w:rFonts w:ascii="Times New Roman" w:hAnsi="Times New Roman" w:cs="Times New Roman"/>
          <w:iCs/>
          <w:noProof/>
          <w:sz w:val="24"/>
          <w:szCs w:val="24"/>
          <w:lang w:val="en-GB"/>
        </w:rPr>
        <w:instrText xml:space="preserve"> \* MERGEFORMAT </w:instrText>
      </w:r>
      <w:r w:rsidRPr="00855E06">
        <w:rPr>
          <w:rFonts w:ascii="Times New Roman" w:hAnsi="Times New Roman" w:cs="Times New Roman"/>
          <w:iCs/>
          <w:noProof/>
          <w:sz w:val="24"/>
          <w:szCs w:val="24"/>
          <w:lang w:val="en-GB"/>
        </w:rPr>
      </w:r>
      <w:r w:rsidRPr="00855E06">
        <w:rPr>
          <w:rFonts w:ascii="Times New Roman" w:hAnsi="Times New Roman" w:cs="Times New Roman"/>
          <w:iCs/>
          <w:noProof/>
          <w:sz w:val="24"/>
          <w:szCs w:val="24"/>
          <w:lang w:val="en-GB"/>
        </w:rPr>
        <w:fldChar w:fldCharType="separate"/>
      </w:r>
      <w:r w:rsidR="004E2424" w:rsidRPr="004E2424">
        <w:rPr>
          <w:rFonts w:ascii="Times New Roman" w:hAnsi="Times New Roman" w:cs="Times New Roman"/>
          <w:iCs/>
          <w:noProof/>
          <w:sz w:val="24"/>
          <w:szCs w:val="24"/>
          <w:lang w:val="en-GB"/>
        </w:rPr>
        <w:t xml:space="preserve">Figure </w:t>
      </w:r>
      <w:r w:rsidRPr="00855E06">
        <w:rPr>
          <w:rFonts w:ascii="Times New Roman" w:hAnsi="Times New Roman" w:cs="Times New Roman"/>
          <w:iCs/>
          <w:noProof/>
          <w:sz w:val="24"/>
          <w:szCs w:val="24"/>
          <w:lang w:val="en-GB"/>
        </w:rPr>
        <w:fldChar w:fldCharType="end"/>
      </w:r>
      <w:r w:rsidRPr="00855E06">
        <w:rPr>
          <w:rFonts w:ascii="Times New Roman" w:hAnsi="Times New Roman" w:cs="Times New Roman"/>
          <w:iCs/>
          <w:noProof/>
          <w:sz w:val="24"/>
          <w:szCs w:val="24"/>
          <w:lang w:val="en-GB"/>
        </w:rPr>
        <w:t xml:space="preserve"> at the end of this chapter. </w:t>
      </w:r>
    </w:p>
    <w:p w14:paraId="131429EB" w14:textId="77777777" w:rsidR="00E50352" w:rsidRPr="00855E06" w:rsidRDefault="00E50352" w:rsidP="00275C95">
      <w:pPr>
        <w:spacing w:after="0"/>
        <w:jc w:val="both"/>
        <w:rPr>
          <w:rFonts w:ascii="Times New Roman" w:hAnsi="Times New Roman" w:cs="Times New Roman"/>
          <w:i/>
          <w:iCs/>
          <w:noProof/>
          <w:sz w:val="24"/>
          <w:szCs w:val="24"/>
          <w:u w:val="single"/>
          <w:lang w:val="en-IE"/>
        </w:rPr>
      </w:pPr>
    </w:p>
    <w:p w14:paraId="7EE7EF9A" w14:textId="4D9CCA92" w:rsidR="00B758A1" w:rsidRPr="00855E06" w:rsidRDefault="00B758A1" w:rsidP="00275C95">
      <w:pPr>
        <w:spacing w:after="0"/>
        <w:jc w:val="both"/>
        <w:rPr>
          <w:rFonts w:ascii="Times New Roman" w:hAnsi="Times New Roman" w:cs="Times New Roman"/>
          <w:i/>
          <w:iCs/>
          <w:noProof/>
          <w:sz w:val="24"/>
          <w:szCs w:val="24"/>
          <w:u w:val="single"/>
        </w:rPr>
      </w:pPr>
      <w:r w:rsidRPr="00855E06">
        <w:rPr>
          <w:rFonts w:ascii="Times New Roman" w:hAnsi="Times New Roman" w:cs="Times New Roman"/>
          <w:i/>
          <w:iCs/>
          <w:noProof/>
          <w:sz w:val="24"/>
          <w:szCs w:val="24"/>
          <w:u w:val="single"/>
        </w:rPr>
        <w:t>ECRIS-RI, ECRIS-TCN &amp; e-CODEX</w:t>
      </w:r>
    </w:p>
    <w:p w14:paraId="22DFF3E3"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Strengths</w:t>
      </w:r>
    </w:p>
    <w:p w14:paraId="049C1892" w14:textId="77777777" w:rsidR="00B758A1" w:rsidRPr="00855E06" w:rsidRDefault="00B758A1" w:rsidP="00275C95">
      <w:pPr>
        <w:pStyle w:val="ListParagraph"/>
        <w:numPr>
          <w:ilvl w:val="0"/>
          <w:numId w:val="58"/>
        </w:numPr>
        <w:spacing w:after="0"/>
        <w:rPr>
          <w:iCs/>
          <w:noProof/>
          <w:szCs w:val="24"/>
        </w:rPr>
      </w:pPr>
      <w:r w:rsidRPr="00855E06">
        <w:rPr>
          <w:iCs/>
          <w:noProof/>
          <w:szCs w:val="24"/>
        </w:rPr>
        <w:t xml:space="preserve">Strong regulative framework, structure and organisation capable to deal with the complex framework </w:t>
      </w:r>
    </w:p>
    <w:p w14:paraId="736748FE" w14:textId="77777777" w:rsidR="00B758A1" w:rsidRPr="00855E06" w:rsidRDefault="00B758A1" w:rsidP="00275C95">
      <w:pPr>
        <w:pStyle w:val="ListParagraph"/>
        <w:numPr>
          <w:ilvl w:val="0"/>
          <w:numId w:val="58"/>
        </w:numPr>
        <w:spacing w:after="0"/>
        <w:rPr>
          <w:iCs/>
          <w:noProof/>
          <w:szCs w:val="24"/>
        </w:rPr>
      </w:pPr>
      <w:r w:rsidRPr="00855E06">
        <w:rPr>
          <w:iCs/>
          <w:noProof/>
          <w:szCs w:val="24"/>
        </w:rPr>
        <w:t xml:space="preserve">Secure and reliable environment provided by eu-LISA </w:t>
      </w:r>
    </w:p>
    <w:p w14:paraId="5C681BB4" w14:textId="77777777" w:rsidR="00B758A1" w:rsidRPr="00855E06" w:rsidRDefault="00B758A1" w:rsidP="00275C95">
      <w:pPr>
        <w:pStyle w:val="ListParagraph"/>
        <w:numPr>
          <w:ilvl w:val="0"/>
          <w:numId w:val="58"/>
        </w:numPr>
        <w:spacing w:after="0"/>
        <w:rPr>
          <w:iCs/>
          <w:noProof/>
          <w:szCs w:val="24"/>
        </w:rPr>
      </w:pPr>
      <w:r w:rsidRPr="00855E06">
        <w:rPr>
          <w:iCs/>
          <w:noProof/>
          <w:szCs w:val="24"/>
        </w:rPr>
        <w:t xml:space="preserve">Centrally positioned, professional and skilled support on the side of eu-LISA for the entire product </w:t>
      </w:r>
    </w:p>
    <w:p w14:paraId="20FBA3BB" w14:textId="77777777" w:rsidR="00B758A1" w:rsidRPr="00855E06" w:rsidRDefault="00B758A1" w:rsidP="00275C95">
      <w:pPr>
        <w:pStyle w:val="ListParagraph"/>
        <w:numPr>
          <w:ilvl w:val="0"/>
          <w:numId w:val="58"/>
        </w:numPr>
        <w:spacing w:after="0"/>
        <w:rPr>
          <w:iCs/>
          <w:noProof/>
          <w:szCs w:val="24"/>
        </w:rPr>
      </w:pPr>
      <w:r w:rsidRPr="00855E06">
        <w:rPr>
          <w:iCs/>
          <w:noProof/>
          <w:szCs w:val="24"/>
        </w:rPr>
        <w:t xml:space="preserve">Well-equipped premises for meetings </w:t>
      </w:r>
    </w:p>
    <w:p w14:paraId="70C50084" w14:textId="77777777" w:rsidR="00B758A1" w:rsidRPr="00855E06" w:rsidRDefault="00B758A1" w:rsidP="00275C95">
      <w:pPr>
        <w:pStyle w:val="ListParagraph"/>
        <w:numPr>
          <w:ilvl w:val="0"/>
          <w:numId w:val="58"/>
        </w:numPr>
        <w:spacing w:after="0"/>
        <w:rPr>
          <w:iCs/>
          <w:noProof/>
          <w:szCs w:val="24"/>
        </w:rPr>
      </w:pPr>
      <w:r w:rsidRPr="00855E06">
        <w:rPr>
          <w:iCs/>
          <w:noProof/>
          <w:szCs w:val="24"/>
        </w:rPr>
        <w:t>Use of state-of-the-art technology and access to standardised tools and applications</w:t>
      </w:r>
    </w:p>
    <w:p w14:paraId="50B1C203"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Weaknesses</w:t>
      </w:r>
    </w:p>
    <w:p w14:paraId="4E6CC2E2" w14:textId="77777777" w:rsidR="00B758A1" w:rsidRPr="00855E06" w:rsidRDefault="00B758A1" w:rsidP="00275C95">
      <w:pPr>
        <w:pStyle w:val="ListParagraph"/>
        <w:numPr>
          <w:ilvl w:val="0"/>
          <w:numId w:val="59"/>
        </w:numPr>
        <w:spacing w:after="0"/>
        <w:rPr>
          <w:iCs/>
          <w:noProof/>
          <w:szCs w:val="24"/>
        </w:rPr>
      </w:pPr>
      <w:r w:rsidRPr="00855E06">
        <w:rPr>
          <w:iCs/>
          <w:noProof/>
          <w:szCs w:val="24"/>
        </w:rPr>
        <w:t>Strictly defined role of eu-LISA within its mandate</w:t>
      </w:r>
    </w:p>
    <w:p w14:paraId="3D7D311E" w14:textId="77777777" w:rsidR="00B758A1" w:rsidRPr="00855E06" w:rsidRDefault="00B758A1" w:rsidP="00275C95">
      <w:pPr>
        <w:pStyle w:val="ListParagraph"/>
        <w:numPr>
          <w:ilvl w:val="0"/>
          <w:numId w:val="59"/>
        </w:numPr>
        <w:spacing w:after="0"/>
        <w:rPr>
          <w:iCs/>
          <w:noProof/>
          <w:szCs w:val="24"/>
        </w:rPr>
      </w:pPr>
      <w:r w:rsidRPr="00855E06">
        <w:rPr>
          <w:iCs/>
          <w:noProof/>
          <w:szCs w:val="24"/>
        </w:rPr>
        <w:t xml:space="preserve">Lack of exchange of documentation documents (and general lack thereof) between different projects </w:t>
      </w:r>
    </w:p>
    <w:p w14:paraId="06D21DA6" w14:textId="77777777" w:rsidR="00B758A1" w:rsidRPr="00855E06" w:rsidRDefault="00B758A1" w:rsidP="00275C95">
      <w:pPr>
        <w:pStyle w:val="ListParagraph"/>
        <w:numPr>
          <w:ilvl w:val="0"/>
          <w:numId w:val="59"/>
        </w:numPr>
        <w:spacing w:after="0"/>
        <w:rPr>
          <w:iCs/>
          <w:noProof/>
          <w:szCs w:val="24"/>
        </w:rPr>
      </w:pPr>
      <w:r w:rsidRPr="00855E06">
        <w:rPr>
          <w:iCs/>
          <w:noProof/>
          <w:szCs w:val="24"/>
        </w:rPr>
        <w:t xml:space="preserve">Long decision-making procedures within the Agency </w:t>
      </w:r>
    </w:p>
    <w:p w14:paraId="45C8234D" w14:textId="77777777" w:rsidR="00B758A1" w:rsidRPr="00855E06" w:rsidRDefault="00B758A1" w:rsidP="00275C95">
      <w:pPr>
        <w:pStyle w:val="ListParagraph"/>
        <w:numPr>
          <w:ilvl w:val="0"/>
          <w:numId w:val="59"/>
        </w:numPr>
        <w:spacing w:after="0"/>
        <w:rPr>
          <w:iCs/>
          <w:noProof/>
          <w:szCs w:val="24"/>
        </w:rPr>
      </w:pPr>
      <w:r w:rsidRPr="00855E06">
        <w:rPr>
          <w:iCs/>
          <w:noProof/>
          <w:szCs w:val="24"/>
        </w:rPr>
        <w:t xml:space="preserve">Differing knowledge between different Member States, eu-LISA, and Commission </w:t>
      </w:r>
    </w:p>
    <w:p w14:paraId="29FF0B14"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Opportunities</w:t>
      </w:r>
    </w:p>
    <w:p w14:paraId="3858CA65" w14:textId="77777777" w:rsidR="00B758A1" w:rsidRPr="00855E06" w:rsidRDefault="00B758A1" w:rsidP="00275C95">
      <w:pPr>
        <w:pStyle w:val="ListParagraph"/>
        <w:numPr>
          <w:ilvl w:val="0"/>
          <w:numId w:val="60"/>
        </w:numPr>
        <w:spacing w:after="0"/>
        <w:rPr>
          <w:iCs/>
          <w:noProof/>
          <w:szCs w:val="24"/>
        </w:rPr>
      </w:pPr>
      <w:r w:rsidRPr="00855E06">
        <w:rPr>
          <w:iCs/>
          <w:noProof/>
          <w:szCs w:val="24"/>
        </w:rPr>
        <w:t xml:space="preserve">eu-LISA should contribute more strongly within the Commission comitology </w:t>
      </w:r>
    </w:p>
    <w:p w14:paraId="41594D26" w14:textId="77777777" w:rsidR="00B758A1" w:rsidRPr="00855E06" w:rsidRDefault="00B758A1" w:rsidP="00275C95">
      <w:pPr>
        <w:pStyle w:val="ListParagraph"/>
        <w:numPr>
          <w:ilvl w:val="0"/>
          <w:numId w:val="60"/>
        </w:numPr>
        <w:spacing w:after="0"/>
        <w:rPr>
          <w:iCs/>
          <w:noProof/>
          <w:szCs w:val="24"/>
        </w:rPr>
      </w:pPr>
      <w:r w:rsidRPr="00855E06">
        <w:rPr>
          <w:iCs/>
          <w:noProof/>
          <w:szCs w:val="24"/>
        </w:rPr>
        <w:t>eu-LISA can become a main pillar of the e-CODEX community</w:t>
      </w:r>
    </w:p>
    <w:p w14:paraId="19F17716" w14:textId="77777777" w:rsidR="00B758A1" w:rsidRPr="00855E06" w:rsidRDefault="00B758A1" w:rsidP="00275C95">
      <w:pPr>
        <w:pStyle w:val="ListParagraph"/>
        <w:numPr>
          <w:ilvl w:val="0"/>
          <w:numId w:val="60"/>
        </w:numPr>
        <w:spacing w:after="0"/>
        <w:rPr>
          <w:iCs/>
          <w:noProof/>
          <w:szCs w:val="24"/>
        </w:rPr>
      </w:pPr>
      <w:r w:rsidRPr="00855E06">
        <w:rPr>
          <w:iCs/>
          <w:noProof/>
          <w:szCs w:val="24"/>
        </w:rPr>
        <w:t>It is recommended to strengthen the role of the AGs and PMBs</w:t>
      </w:r>
    </w:p>
    <w:p w14:paraId="5F723705" w14:textId="77777777" w:rsidR="00B758A1" w:rsidRPr="00855E06" w:rsidRDefault="00B758A1" w:rsidP="00275C95">
      <w:pPr>
        <w:pStyle w:val="ListParagraph"/>
        <w:numPr>
          <w:ilvl w:val="0"/>
          <w:numId w:val="60"/>
        </w:numPr>
        <w:spacing w:after="0"/>
        <w:rPr>
          <w:iCs/>
          <w:noProof/>
          <w:szCs w:val="24"/>
        </w:rPr>
      </w:pPr>
      <w:r w:rsidRPr="00855E06">
        <w:rPr>
          <w:iCs/>
          <w:noProof/>
          <w:szCs w:val="24"/>
        </w:rPr>
        <w:t>The Agency can become a stronger actor in providing standardisation and harmonise the approaches between the different Member States</w:t>
      </w:r>
    </w:p>
    <w:p w14:paraId="3BB5A537" w14:textId="77777777" w:rsidR="00B758A1" w:rsidRPr="00855E06" w:rsidRDefault="00B758A1" w:rsidP="00275C95">
      <w:pPr>
        <w:pStyle w:val="ListParagraph"/>
        <w:numPr>
          <w:ilvl w:val="0"/>
          <w:numId w:val="60"/>
        </w:numPr>
        <w:spacing w:after="0"/>
        <w:rPr>
          <w:iCs/>
          <w:noProof/>
          <w:szCs w:val="24"/>
        </w:rPr>
      </w:pPr>
      <w:r w:rsidRPr="00855E06">
        <w:rPr>
          <w:iCs/>
          <w:noProof/>
          <w:szCs w:val="24"/>
        </w:rPr>
        <w:t xml:space="preserve">eu-LISA should also try to include new target groups of the systems </w:t>
      </w:r>
    </w:p>
    <w:p w14:paraId="4290061F" w14:textId="77777777" w:rsidR="00B758A1" w:rsidRPr="00855E06" w:rsidRDefault="00B758A1" w:rsidP="00275C95">
      <w:pPr>
        <w:pStyle w:val="ListParagraph"/>
        <w:numPr>
          <w:ilvl w:val="0"/>
          <w:numId w:val="60"/>
        </w:numPr>
        <w:spacing w:after="0"/>
        <w:rPr>
          <w:iCs/>
          <w:noProof/>
          <w:szCs w:val="24"/>
        </w:rPr>
      </w:pPr>
      <w:r w:rsidRPr="00855E06">
        <w:rPr>
          <w:iCs/>
          <w:noProof/>
          <w:szCs w:val="24"/>
        </w:rPr>
        <w:t>The Agency can ensure the respect of the principle of the independence of the judiciary</w:t>
      </w:r>
    </w:p>
    <w:p w14:paraId="2A47B69E"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Threats </w:t>
      </w:r>
    </w:p>
    <w:p w14:paraId="1C359FB2" w14:textId="77777777" w:rsidR="00B758A1" w:rsidRPr="00855E06" w:rsidRDefault="00B758A1" w:rsidP="00275C95">
      <w:pPr>
        <w:pStyle w:val="ListParagraph"/>
        <w:numPr>
          <w:ilvl w:val="0"/>
          <w:numId w:val="61"/>
        </w:numPr>
        <w:spacing w:after="0"/>
        <w:rPr>
          <w:iCs/>
          <w:noProof/>
          <w:szCs w:val="24"/>
        </w:rPr>
      </w:pPr>
      <w:r w:rsidRPr="00855E06">
        <w:rPr>
          <w:iCs/>
          <w:noProof/>
          <w:szCs w:val="24"/>
        </w:rPr>
        <w:t xml:space="preserve">The heterogenous governance structure can lead to diffusions </w:t>
      </w:r>
    </w:p>
    <w:p w14:paraId="503C3067" w14:textId="77777777" w:rsidR="00B758A1" w:rsidRPr="00855E06" w:rsidRDefault="00B758A1" w:rsidP="00275C95">
      <w:pPr>
        <w:pStyle w:val="ListParagraph"/>
        <w:numPr>
          <w:ilvl w:val="0"/>
          <w:numId w:val="61"/>
        </w:numPr>
        <w:spacing w:after="0"/>
        <w:rPr>
          <w:iCs/>
          <w:noProof/>
          <w:szCs w:val="24"/>
        </w:rPr>
      </w:pPr>
      <w:r w:rsidRPr="00855E06">
        <w:rPr>
          <w:iCs/>
          <w:noProof/>
          <w:szCs w:val="24"/>
        </w:rPr>
        <w:t xml:space="preserve">The complexity of e-CODEX might not be well understood by many members of the community </w:t>
      </w:r>
    </w:p>
    <w:p w14:paraId="3019B6DC" w14:textId="77777777" w:rsidR="00B758A1" w:rsidRPr="00855E06" w:rsidRDefault="00B758A1" w:rsidP="00275C95">
      <w:pPr>
        <w:pStyle w:val="ListParagraph"/>
        <w:numPr>
          <w:ilvl w:val="0"/>
          <w:numId w:val="61"/>
        </w:numPr>
        <w:spacing w:after="0"/>
        <w:rPr>
          <w:iCs/>
          <w:noProof/>
          <w:szCs w:val="24"/>
        </w:rPr>
      </w:pPr>
      <w:r w:rsidRPr="00855E06">
        <w:rPr>
          <w:iCs/>
          <w:noProof/>
          <w:szCs w:val="24"/>
        </w:rPr>
        <w:t xml:space="preserve">The speed of developments is too fast for eu-LISA to cope with </w:t>
      </w:r>
    </w:p>
    <w:p w14:paraId="6588EEC9" w14:textId="77777777" w:rsidR="00B758A1" w:rsidRPr="00855E06" w:rsidRDefault="00B758A1" w:rsidP="00275C95">
      <w:pPr>
        <w:pStyle w:val="ListParagraph"/>
        <w:numPr>
          <w:ilvl w:val="0"/>
          <w:numId w:val="61"/>
        </w:numPr>
        <w:spacing w:after="0"/>
        <w:rPr>
          <w:iCs/>
          <w:noProof/>
          <w:szCs w:val="24"/>
        </w:rPr>
      </w:pPr>
      <w:r w:rsidRPr="00855E06">
        <w:rPr>
          <w:iCs/>
          <w:noProof/>
          <w:szCs w:val="24"/>
        </w:rPr>
        <w:t xml:space="preserve">There might be a shortage of funding and resources </w:t>
      </w:r>
    </w:p>
    <w:p w14:paraId="513D7F31" w14:textId="77777777" w:rsidR="00B758A1" w:rsidRPr="00855E06" w:rsidRDefault="00B758A1" w:rsidP="00275C95">
      <w:pPr>
        <w:pStyle w:val="ListParagraph"/>
        <w:numPr>
          <w:ilvl w:val="0"/>
          <w:numId w:val="61"/>
        </w:numPr>
        <w:spacing w:after="0"/>
        <w:rPr>
          <w:iCs/>
          <w:noProof/>
          <w:szCs w:val="24"/>
        </w:rPr>
      </w:pPr>
      <w:r w:rsidRPr="00855E06">
        <w:rPr>
          <w:iCs/>
          <w:noProof/>
          <w:szCs w:val="24"/>
        </w:rPr>
        <w:t xml:space="preserve">The Member States might not be able to implement all necessary technical infrastructures and need more time than expected to implement all measures necessary </w:t>
      </w:r>
    </w:p>
    <w:p w14:paraId="0EAC4F83" w14:textId="77777777" w:rsidR="00E50352" w:rsidRPr="00855E06" w:rsidRDefault="00E50352" w:rsidP="00275C95">
      <w:pPr>
        <w:spacing w:after="0"/>
        <w:jc w:val="both"/>
        <w:rPr>
          <w:rFonts w:ascii="Times New Roman" w:hAnsi="Times New Roman" w:cs="Times New Roman"/>
          <w:i/>
          <w:iCs/>
          <w:noProof/>
          <w:sz w:val="24"/>
          <w:szCs w:val="24"/>
          <w:u w:val="single"/>
          <w:lang w:val="en-GB"/>
        </w:rPr>
      </w:pPr>
    </w:p>
    <w:p w14:paraId="3F456367" w14:textId="0798DEE9" w:rsidR="00B758A1" w:rsidRPr="00855E06" w:rsidRDefault="00B758A1" w:rsidP="00275C95">
      <w:pPr>
        <w:spacing w:after="0"/>
        <w:jc w:val="both"/>
        <w:rPr>
          <w:rFonts w:ascii="Times New Roman" w:hAnsi="Times New Roman" w:cs="Times New Roman"/>
          <w:i/>
          <w:iCs/>
          <w:noProof/>
          <w:sz w:val="24"/>
          <w:szCs w:val="24"/>
          <w:u w:val="single"/>
          <w:lang w:val="en-GB"/>
        </w:rPr>
      </w:pPr>
      <w:r w:rsidRPr="00855E06">
        <w:rPr>
          <w:rFonts w:ascii="Times New Roman" w:hAnsi="Times New Roman" w:cs="Times New Roman"/>
          <w:i/>
          <w:iCs/>
          <w:noProof/>
          <w:sz w:val="24"/>
          <w:szCs w:val="24"/>
          <w:u w:val="single"/>
          <w:lang w:val="en-GB"/>
        </w:rPr>
        <w:t xml:space="preserve">Schengen Information System (SIS) </w:t>
      </w:r>
    </w:p>
    <w:p w14:paraId="64032FC5"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Strengths</w:t>
      </w:r>
    </w:p>
    <w:p w14:paraId="694C9219" w14:textId="77777777" w:rsidR="00B758A1" w:rsidRPr="00855E06" w:rsidRDefault="00B758A1" w:rsidP="00275C95">
      <w:pPr>
        <w:pStyle w:val="ListParagraph"/>
        <w:numPr>
          <w:ilvl w:val="0"/>
          <w:numId w:val="62"/>
        </w:numPr>
        <w:spacing w:after="0"/>
        <w:rPr>
          <w:iCs/>
          <w:noProof/>
          <w:szCs w:val="24"/>
        </w:rPr>
      </w:pPr>
      <w:r w:rsidRPr="00855E06">
        <w:rPr>
          <w:iCs/>
          <w:noProof/>
          <w:szCs w:val="24"/>
        </w:rPr>
        <w:t xml:space="preserve">Centralised technology and centralised solutions for the whole system </w:t>
      </w:r>
    </w:p>
    <w:p w14:paraId="398DBAC0" w14:textId="77777777" w:rsidR="00B758A1" w:rsidRPr="00855E06" w:rsidRDefault="00B758A1" w:rsidP="00275C95">
      <w:pPr>
        <w:pStyle w:val="ListParagraph"/>
        <w:numPr>
          <w:ilvl w:val="0"/>
          <w:numId w:val="62"/>
        </w:numPr>
        <w:spacing w:after="0"/>
        <w:rPr>
          <w:iCs/>
          <w:noProof/>
          <w:szCs w:val="24"/>
        </w:rPr>
      </w:pPr>
      <w:r w:rsidRPr="00855E06">
        <w:rPr>
          <w:iCs/>
          <w:noProof/>
          <w:szCs w:val="24"/>
        </w:rPr>
        <w:t xml:space="preserve">Good service by the Service Desk </w:t>
      </w:r>
    </w:p>
    <w:p w14:paraId="0D422049" w14:textId="77777777" w:rsidR="00B758A1" w:rsidRPr="00855E06" w:rsidRDefault="00B758A1" w:rsidP="00275C95">
      <w:pPr>
        <w:pStyle w:val="ListParagraph"/>
        <w:numPr>
          <w:ilvl w:val="0"/>
          <w:numId w:val="62"/>
        </w:numPr>
        <w:spacing w:after="0"/>
        <w:rPr>
          <w:iCs/>
          <w:noProof/>
          <w:szCs w:val="24"/>
        </w:rPr>
      </w:pPr>
      <w:r w:rsidRPr="00855E06">
        <w:rPr>
          <w:iCs/>
          <w:noProof/>
          <w:szCs w:val="24"/>
        </w:rPr>
        <w:t xml:space="preserve">A very supportive eu-LISA team and very pragmatic and realistically thinking staff on the ground </w:t>
      </w:r>
    </w:p>
    <w:p w14:paraId="3CDD3D67" w14:textId="77777777" w:rsidR="00B758A1" w:rsidRPr="00855E06" w:rsidRDefault="00B758A1" w:rsidP="00275C95">
      <w:pPr>
        <w:pStyle w:val="ListParagraph"/>
        <w:numPr>
          <w:ilvl w:val="0"/>
          <w:numId w:val="62"/>
        </w:numPr>
        <w:spacing w:after="0"/>
        <w:rPr>
          <w:iCs/>
          <w:noProof/>
          <w:szCs w:val="24"/>
        </w:rPr>
      </w:pPr>
      <w:r w:rsidRPr="00855E06">
        <w:rPr>
          <w:iCs/>
          <w:noProof/>
          <w:szCs w:val="24"/>
        </w:rPr>
        <w:t xml:space="preserve">Strong systems for training Member States </w:t>
      </w:r>
    </w:p>
    <w:p w14:paraId="0E896AB1" w14:textId="77777777" w:rsidR="00B758A1" w:rsidRPr="00855E06" w:rsidRDefault="00B758A1" w:rsidP="00275C95">
      <w:pPr>
        <w:pStyle w:val="ListParagraph"/>
        <w:numPr>
          <w:ilvl w:val="0"/>
          <w:numId w:val="62"/>
        </w:numPr>
        <w:spacing w:after="0"/>
        <w:rPr>
          <w:iCs/>
          <w:noProof/>
          <w:szCs w:val="24"/>
        </w:rPr>
      </w:pPr>
      <w:r w:rsidRPr="00855E06">
        <w:rPr>
          <w:iCs/>
          <w:noProof/>
          <w:szCs w:val="24"/>
        </w:rPr>
        <w:t xml:space="preserve">Good data protection measures, conformant to legal base </w:t>
      </w:r>
    </w:p>
    <w:p w14:paraId="409035BD"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Weaknesses </w:t>
      </w:r>
    </w:p>
    <w:p w14:paraId="776A6268" w14:textId="77777777" w:rsidR="00B758A1" w:rsidRPr="00855E06" w:rsidRDefault="00B758A1" w:rsidP="00275C95">
      <w:pPr>
        <w:pStyle w:val="ListParagraph"/>
        <w:numPr>
          <w:ilvl w:val="0"/>
          <w:numId w:val="63"/>
        </w:numPr>
        <w:spacing w:after="0"/>
        <w:rPr>
          <w:iCs/>
          <w:noProof/>
          <w:szCs w:val="24"/>
        </w:rPr>
      </w:pPr>
      <w:r w:rsidRPr="00855E06">
        <w:rPr>
          <w:iCs/>
          <w:noProof/>
          <w:szCs w:val="24"/>
        </w:rPr>
        <w:t xml:space="preserve">Limited information for end-users / limited resources in general and extensive outsourcing on the side of eu-LISA </w:t>
      </w:r>
    </w:p>
    <w:p w14:paraId="474E2C50" w14:textId="77777777" w:rsidR="00B758A1" w:rsidRPr="00855E06" w:rsidRDefault="00B758A1" w:rsidP="00275C95">
      <w:pPr>
        <w:pStyle w:val="ListParagraph"/>
        <w:numPr>
          <w:ilvl w:val="0"/>
          <w:numId w:val="63"/>
        </w:numPr>
        <w:spacing w:after="0"/>
        <w:rPr>
          <w:iCs/>
          <w:noProof/>
          <w:szCs w:val="24"/>
        </w:rPr>
      </w:pPr>
      <w:r w:rsidRPr="00855E06">
        <w:rPr>
          <w:iCs/>
          <w:noProof/>
          <w:szCs w:val="24"/>
        </w:rPr>
        <w:t xml:space="preserve">Sometimes issues in availability </w:t>
      </w:r>
    </w:p>
    <w:p w14:paraId="1D06CEB5" w14:textId="77777777" w:rsidR="00B758A1" w:rsidRPr="00855E06" w:rsidRDefault="00B758A1" w:rsidP="00275C95">
      <w:pPr>
        <w:pStyle w:val="ListParagraph"/>
        <w:numPr>
          <w:ilvl w:val="0"/>
          <w:numId w:val="63"/>
        </w:numPr>
        <w:spacing w:after="0"/>
        <w:rPr>
          <w:iCs/>
          <w:noProof/>
          <w:szCs w:val="24"/>
        </w:rPr>
      </w:pPr>
      <w:r w:rsidRPr="00855E06">
        <w:rPr>
          <w:iCs/>
          <w:noProof/>
          <w:szCs w:val="24"/>
        </w:rPr>
        <w:t>It takes a long time to implement updates or changes. Overall change management is considered inefficient</w:t>
      </w:r>
    </w:p>
    <w:p w14:paraId="2934C0D5" w14:textId="77777777" w:rsidR="00B758A1" w:rsidRPr="00855E06" w:rsidRDefault="00B758A1" w:rsidP="00275C95">
      <w:pPr>
        <w:pStyle w:val="ListParagraph"/>
        <w:numPr>
          <w:ilvl w:val="0"/>
          <w:numId w:val="63"/>
        </w:numPr>
        <w:spacing w:after="0"/>
        <w:rPr>
          <w:iCs/>
          <w:noProof/>
          <w:szCs w:val="24"/>
        </w:rPr>
      </w:pPr>
      <w:r w:rsidRPr="00855E06">
        <w:rPr>
          <w:iCs/>
          <w:noProof/>
          <w:szCs w:val="24"/>
        </w:rPr>
        <w:t xml:space="preserve">Testing performed is often too limited and strict, leading to the identification of errors when it is already too late </w:t>
      </w:r>
    </w:p>
    <w:p w14:paraId="67D6855E" w14:textId="77777777" w:rsidR="00B758A1" w:rsidRPr="00855E06" w:rsidRDefault="00B758A1" w:rsidP="00275C95">
      <w:pPr>
        <w:pStyle w:val="ListParagraph"/>
        <w:numPr>
          <w:ilvl w:val="0"/>
          <w:numId w:val="63"/>
        </w:numPr>
        <w:spacing w:after="0"/>
        <w:rPr>
          <w:iCs/>
          <w:noProof/>
          <w:szCs w:val="24"/>
        </w:rPr>
      </w:pPr>
      <w:r w:rsidRPr="00855E06">
        <w:rPr>
          <w:iCs/>
          <w:noProof/>
          <w:szCs w:val="24"/>
        </w:rPr>
        <w:t xml:space="preserve">Member States’ positions are not considered sufficiently by eu-LISA </w:t>
      </w:r>
    </w:p>
    <w:p w14:paraId="2BC746C2" w14:textId="77777777" w:rsidR="00B758A1" w:rsidRPr="00855E06" w:rsidRDefault="00B758A1" w:rsidP="00275C95">
      <w:pPr>
        <w:pStyle w:val="ListParagraph"/>
        <w:numPr>
          <w:ilvl w:val="0"/>
          <w:numId w:val="63"/>
        </w:numPr>
        <w:spacing w:after="0"/>
        <w:rPr>
          <w:iCs/>
          <w:noProof/>
          <w:szCs w:val="24"/>
        </w:rPr>
      </w:pPr>
      <w:r w:rsidRPr="00855E06">
        <w:rPr>
          <w:iCs/>
          <w:noProof/>
          <w:szCs w:val="24"/>
        </w:rPr>
        <w:t xml:space="preserve">Timelines set as concerns changes in the system are too ambitious and optimistic </w:t>
      </w:r>
    </w:p>
    <w:p w14:paraId="16F251A0" w14:textId="77777777" w:rsidR="00B758A1" w:rsidRPr="00855E06" w:rsidRDefault="00B758A1" w:rsidP="00275C95">
      <w:pPr>
        <w:pStyle w:val="ListParagraph"/>
        <w:numPr>
          <w:ilvl w:val="0"/>
          <w:numId w:val="63"/>
        </w:numPr>
        <w:spacing w:after="0"/>
        <w:rPr>
          <w:iCs/>
          <w:noProof/>
          <w:szCs w:val="24"/>
        </w:rPr>
      </w:pPr>
      <w:r w:rsidRPr="00855E06">
        <w:rPr>
          <w:iCs/>
          <w:noProof/>
          <w:szCs w:val="24"/>
        </w:rPr>
        <w:t xml:space="preserve">Participant management for meetings need to be improved (contacting the right people, sending invitations timelier, etc.) </w:t>
      </w:r>
    </w:p>
    <w:p w14:paraId="69323619"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Opportunities </w:t>
      </w:r>
    </w:p>
    <w:p w14:paraId="46524828" w14:textId="77777777" w:rsidR="00B758A1" w:rsidRPr="00855E06" w:rsidRDefault="00B758A1" w:rsidP="00275C95">
      <w:pPr>
        <w:pStyle w:val="ListParagraph"/>
        <w:numPr>
          <w:ilvl w:val="0"/>
          <w:numId w:val="64"/>
        </w:numPr>
        <w:spacing w:after="0"/>
        <w:rPr>
          <w:iCs/>
          <w:noProof/>
          <w:szCs w:val="24"/>
        </w:rPr>
      </w:pPr>
      <w:r w:rsidRPr="00855E06">
        <w:rPr>
          <w:iCs/>
          <w:noProof/>
          <w:szCs w:val="24"/>
        </w:rPr>
        <w:t xml:space="preserve">Insourcing of more developers, to keep knowledge within the Agency </w:t>
      </w:r>
    </w:p>
    <w:p w14:paraId="5DA6EFA9" w14:textId="77777777" w:rsidR="00B758A1" w:rsidRPr="00855E06" w:rsidRDefault="00B758A1" w:rsidP="00275C95">
      <w:pPr>
        <w:pStyle w:val="ListParagraph"/>
        <w:numPr>
          <w:ilvl w:val="0"/>
          <w:numId w:val="64"/>
        </w:numPr>
        <w:spacing w:after="0"/>
        <w:rPr>
          <w:iCs/>
          <w:noProof/>
          <w:szCs w:val="24"/>
        </w:rPr>
      </w:pPr>
      <w:r w:rsidRPr="00855E06">
        <w:rPr>
          <w:iCs/>
          <w:noProof/>
          <w:szCs w:val="24"/>
        </w:rPr>
        <w:t xml:space="preserve">Improving the quality and stability of technical documents </w:t>
      </w:r>
    </w:p>
    <w:p w14:paraId="68450B05" w14:textId="77777777" w:rsidR="00B758A1" w:rsidRPr="00855E06" w:rsidRDefault="00B758A1" w:rsidP="00275C95">
      <w:pPr>
        <w:pStyle w:val="ListParagraph"/>
        <w:numPr>
          <w:ilvl w:val="0"/>
          <w:numId w:val="64"/>
        </w:numPr>
        <w:spacing w:after="0"/>
        <w:rPr>
          <w:iCs/>
          <w:noProof/>
          <w:szCs w:val="24"/>
        </w:rPr>
      </w:pPr>
      <w:r w:rsidRPr="00855E06">
        <w:rPr>
          <w:iCs/>
          <w:noProof/>
          <w:szCs w:val="24"/>
        </w:rPr>
        <w:t xml:space="preserve">Increase the sharing of best practices </w:t>
      </w:r>
    </w:p>
    <w:p w14:paraId="3BC4BCD9" w14:textId="77777777" w:rsidR="00B758A1" w:rsidRPr="00855E06" w:rsidRDefault="00B758A1" w:rsidP="00275C95">
      <w:pPr>
        <w:pStyle w:val="ListParagraph"/>
        <w:numPr>
          <w:ilvl w:val="0"/>
          <w:numId w:val="64"/>
        </w:numPr>
        <w:spacing w:after="0"/>
        <w:rPr>
          <w:iCs/>
          <w:noProof/>
          <w:szCs w:val="24"/>
        </w:rPr>
      </w:pPr>
      <w:r w:rsidRPr="00855E06">
        <w:rPr>
          <w:iCs/>
          <w:noProof/>
          <w:szCs w:val="24"/>
        </w:rPr>
        <w:t xml:space="preserve">Take Member States’ concerns stronger into consideration and better communicate with MS upcoming changes or problems </w:t>
      </w:r>
    </w:p>
    <w:p w14:paraId="058D983E" w14:textId="77777777" w:rsidR="00B758A1" w:rsidRPr="00855E06" w:rsidRDefault="00B758A1" w:rsidP="00275C95">
      <w:pPr>
        <w:pStyle w:val="ListParagraph"/>
        <w:numPr>
          <w:ilvl w:val="0"/>
          <w:numId w:val="64"/>
        </w:numPr>
        <w:spacing w:after="0"/>
        <w:rPr>
          <w:iCs/>
          <w:noProof/>
          <w:szCs w:val="24"/>
        </w:rPr>
      </w:pPr>
      <w:r w:rsidRPr="00855E06">
        <w:rPr>
          <w:iCs/>
          <w:noProof/>
          <w:szCs w:val="24"/>
        </w:rPr>
        <w:t xml:space="preserve">Build more partnerships (e.g. with Europol) </w:t>
      </w:r>
    </w:p>
    <w:p w14:paraId="241639F9"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Threats </w:t>
      </w:r>
    </w:p>
    <w:p w14:paraId="03BAC8D2" w14:textId="77777777" w:rsidR="00B758A1" w:rsidRPr="00855E06" w:rsidRDefault="00B758A1" w:rsidP="00275C95">
      <w:pPr>
        <w:pStyle w:val="ListParagraph"/>
        <w:numPr>
          <w:ilvl w:val="0"/>
          <w:numId w:val="65"/>
        </w:numPr>
        <w:spacing w:after="0"/>
        <w:rPr>
          <w:iCs/>
          <w:noProof/>
          <w:szCs w:val="24"/>
        </w:rPr>
      </w:pPr>
      <w:r w:rsidRPr="00855E06">
        <w:rPr>
          <w:iCs/>
          <w:noProof/>
          <w:szCs w:val="24"/>
        </w:rPr>
        <w:t xml:space="preserve">Lack of resources can hinder the proper development and keeping of knowledge within the Agency </w:t>
      </w:r>
    </w:p>
    <w:p w14:paraId="2FB6DF15" w14:textId="77777777" w:rsidR="00B758A1" w:rsidRPr="00855E06" w:rsidRDefault="00B758A1" w:rsidP="00275C95">
      <w:pPr>
        <w:pStyle w:val="ListParagraph"/>
        <w:numPr>
          <w:ilvl w:val="0"/>
          <w:numId w:val="65"/>
        </w:numPr>
        <w:spacing w:after="0"/>
        <w:rPr>
          <w:iCs/>
          <w:noProof/>
          <w:szCs w:val="24"/>
        </w:rPr>
      </w:pPr>
      <w:r w:rsidRPr="00855E06">
        <w:rPr>
          <w:iCs/>
          <w:noProof/>
          <w:szCs w:val="24"/>
        </w:rPr>
        <w:t xml:space="preserve">Lack of proper communication might in the long-term hinder the effective and efficient cooperation with Member States </w:t>
      </w:r>
    </w:p>
    <w:p w14:paraId="1598E45A" w14:textId="77777777" w:rsidR="00B758A1" w:rsidRPr="00855E06" w:rsidRDefault="00B758A1" w:rsidP="00275C95">
      <w:pPr>
        <w:pStyle w:val="ListParagraph"/>
        <w:numPr>
          <w:ilvl w:val="0"/>
          <w:numId w:val="65"/>
        </w:numPr>
        <w:spacing w:after="0"/>
        <w:rPr>
          <w:iCs/>
          <w:noProof/>
          <w:szCs w:val="24"/>
        </w:rPr>
      </w:pPr>
      <w:r w:rsidRPr="00855E06">
        <w:rPr>
          <w:iCs/>
          <w:noProof/>
          <w:szCs w:val="24"/>
        </w:rPr>
        <w:t xml:space="preserve">The Agency might be too political, not considering Member States’ needs sufficiently in the future </w:t>
      </w:r>
    </w:p>
    <w:p w14:paraId="55404518" w14:textId="77777777" w:rsidR="00E50352" w:rsidRPr="00855E06" w:rsidRDefault="00E50352" w:rsidP="00275C95">
      <w:pPr>
        <w:spacing w:after="0"/>
        <w:jc w:val="both"/>
        <w:rPr>
          <w:rFonts w:ascii="Times New Roman" w:hAnsi="Times New Roman" w:cs="Times New Roman"/>
          <w:i/>
          <w:iCs/>
          <w:noProof/>
          <w:sz w:val="24"/>
          <w:szCs w:val="24"/>
          <w:u w:val="single"/>
          <w:lang w:val="en-GB"/>
        </w:rPr>
      </w:pPr>
    </w:p>
    <w:p w14:paraId="257CFB42" w14:textId="439F6707" w:rsidR="00B758A1" w:rsidRPr="00855E06" w:rsidRDefault="00B758A1" w:rsidP="00275C95">
      <w:pPr>
        <w:spacing w:after="0"/>
        <w:jc w:val="both"/>
        <w:rPr>
          <w:rFonts w:ascii="Times New Roman" w:hAnsi="Times New Roman" w:cs="Times New Roman"/>
          <w:i/>
          <w:iCs/>
          <w:noProof/>
          <w:sz w:val="24"/>
          <w:szCs w:val="24"/>
          <w:u w:val="single"/>
          <w:lang w:val="en-GB"/>
        </w:rPr>
      </w:pPr>
      <w:r w:rsidRPr="00855E06">
        <w:rPr>
          <w:rFonts w:ascii="Times New Roman" w:hAnsi="Times New Roman" w:cs="Times New Roman"/>
          <w:i/>
          <w:iCs/>
          <w:noProof/>
          <w:sz w:val="24"/>
          <w:szCs w:val="24"/>
          <w:u w:val="single"/>
          <w:lang w:val="en-GB"/>
        </w:rPr>
        <w:t xml:space="preserve">Visa Information System (VIS) </w:t>
      </w:r>
    </w:p>
    <w:p w14:paraId="46BFCD0C"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Strengths</w:t>
      </w:r>
    </w:p>
    <w:p w14:paraId="472A166F" w14:textId="77777777" w:rsidR="00B758A1" w:rsidRPr="00855E06" w:rsidRDefault="00B758A1" w:rsidP="00275C95">
      <w:pPr>
        <w:pStyle w:val="ListParagraph"/>
        <w:numPr>
          <w:ilvl w:val="0"/>
          <w:numId w:val="66"/>
        </w:numPr>
        <w:spacing w:after="0"/>
        <w:rPr>
          <w:iCs/>
          <w:noProof/>
          <w:szCs w:val="24"/>
        </w:rPr>
      </w:pPr>
      <w:r w:rsidRPr="00855E06">
        <w:rPr>
          <w:iCs/>
          <w:noProof/>
          <w:szCs w:val="24"/>
        </w:rPr>
        <w:t xml:space="preserve">The VIS is robust and reliable </w:t>
      </w:r>
    </w:p>
    <w:p w14:paraId="34AB6855" w14:textId="77777777" w:rsidR="00B758A1" w:rsidRPr="00855E06" w:rsidRDefault="00B758A1" w:rsidP="00275C95">
      <w:pPr>
        <w:pStyle w:val="ListParagraph"/>
        <w:numPr>
          <w:ilvl w:val="0"/>
          <w:numId w:val="66"/>
        </w:numPr>
        <w:spacing w:after="0"/>
        <w:rPr>
          <w:iCs/>
          <w:noProof/>
          <w:szCs w:val="24"/>
        </w:rPr>
      </w:pPr>
      <w:r w:rsidRPr="00855E06">
        <w:rPr>
          <w:iCs/>
          <w:noProof/>
          <w:szCs w:val="24"/>
        </w:rPr>
        <w:t xml:space="preserve">Member States can use their own applications </w:t>
      </w:r>
    </w:p>
    <w:p w14:paraId="2ECE4DB6" w14:textId="77777777" w:rsidR="00B758A1" w:rsidRPr="00855E06" w:rsidRDefault="00B758A1" w:rsidP="00275C95">
      <w:pPr>
        <w:pStyle w:val="ListParagraph"/>
        <w:numPr>
          <w:ilvl w:val="0"/>
          <w:numId w:val="66"/>
        </w:numPr>
        <w:spacing w:after="0"/>
        <w:rPr>
          <w:iCs/>
          <w:noProof/>
          <w:szCs w:val="24"/>
        </w:rPr>
      </w:pPr>
      <w:r w:rsidRPr="00855E06">
        <w:rPr>
          <w:iCs/>
          <w:noProof/>
          <w:szCs w:val="24"/>
        </w:rPr>
        <w:t xml:space="preserve">The VIS provides a helpful communication tool via VIS mail </w:t>
      </w:r>
    </w:p>
    <w:p w14:paraId="3B8807E0" w14:textId="77777777" w:rsidR="00B758A1" w:rsidRPr="00855E06" w:rsidRDefault="00B758A1" w:rsidP="00275C95">
      <w:pPr>
        <w:pStyle w:val="ListParagraph"/>
        <w:numPr>
          <w:ilvl w:val="0"/>
          <w:numId w:val="66"/>
        </w:numPr>
        <w:spacing w:after="0"/>
        <w:rPr>
          <w:iCs/>
          <w:noProof/>
          <w:szCs w:val="24"/>
        </w:rPr>
      </w:pPr>
      <w:r w:rsidRPr="00855E06">
        <w:rPr>
          <w:iCs/>
          <w:noProof/>
          <w:szCs w:val="24"/>
        </w:rPr>
        <w:t xml:space="preserve">Strong data protection framework </w:t>
      </w:r>
    </w:p>
    <w:p w14:paraId="6CA2DE29" w14:textId="77777777" w:rsidR="00B758A1" w:rsidRPr="00855E06" w:rsidRDefault="00B758A1" w:rsidP="00275C95">
      <w:pPr>
        <w:pStyle w:val="ListParagraph"/>
        <w:numPr>
          <w:ilvl w:val="0"/>
          <w:numId w:val="66"/>
        </w:numPr>
        <w:spacing w:after="0"/>
        <w:rPr>
          <w:iCs/>
          <w:noProof/>
          <w:szCs w:val="24"/>
        </w:rPr>
      </w:pPr>
      <w:r w:rsidRPr="00855E06">
        <w:rPr>
          <w:iCs/>
          <w:noProof/>
          <w:szCs w:val="24"/>
        </w:rPr>
        <w:t xml:space="preserve">Good knowledge about relevant legislation in the VIS team </w:t>
      </w:r>
    </w:p>
    <w:p w14:paraId="3F31B72B"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Weakness </w:t>
      </w:r>
    </w:p>
    <w:p w14:paraId="714CB23A" w14:textId="77777777" w:rsidR="00B758A1" w:rsidRPr="00855E06" w:rsidRDefault="00B758A1" w:rsidP="00275C95">
      <w:pPr>
        <w:pStyle w:val="ListParagraph"/>
        <w:numPr>
          <w:ilvl w:val="0"/>
          <w:numId w:val="67"/>
        </w:numPr>
        <w:spacing w:after="0"/>
        <w:rPr>
          <w:iCs/>
          <w:noProof/>
          <w:szCs w:val="24"/>
        </w:rPr>
      </w:pPr>
      <w:r w:rsidRPr="00855E06">
        <w:rPr>
          <w:iCs/>
          <w:noProof/>
          <w:szCs w:val="24"/>
        </w:rPr>
        <w:t xml:space="preserve">Insufficient knowledge management (e.g. via a SharePoint) </w:t>
      </w:r>
    </w:p>
    <w:p w14:paraId="265E5175" w14:textId="77777777" w:rsidR="00B758A1" w:rsidRPr="00855E06" w:rsidRDefault="00B758A1" w:rsidP="00275C95">
      <w:pPr>
        <w:pStyle w:val="ListParagraph"/>
        <w:numPr>
          <w:ilvl w:val="0"/>
          <w:numId w:val="67"/>
        </w:numPr>
        <w:spacing w:after="0"/>
        <w:rPr>
          <w:iCs/>
          <w:noProof/>
          <w:szCs w:val="24"/>
        </w:rPr>
      </w:pPr>
      <w:r w:rsidRPr="00855E06">
        <w:rPr>
          <w:iCs/>
          <w:noProof/>
          <w:szCs w:val="24"/>
        </w:rPr>
        <w:t xml:space="preserve">eu-LISA takes too much time to process requests and questions </w:t>
      </w:r>
    </w:p>
    <w:p w14:paraId="0B67CF0C" w14:textId="77777777" w:rsidR="00B758A1" w:rsidRPr="00855E06" w:rsidRDefault="00B758A1" w:rsidP="00275C95">
      <w:pPr>
        <w:pStyle w:val="ListParagraph"/>
        <w:numPr>
          <w:ilvl w:val="0"/>
          <w:numId w:val="67"/>
        </w:numPr>
        <w:spacing w:after="0"/>
        <w:rPr>
          <w:iCs/>
          <w:noProof/>
          <w:szCs w:val="24"/>
        </w:rPr>
      </w:pPr>
      <w:r w:rsidRPr="00855E06">
        <w:rPr>
          <w:iCs/>
          <w:noProof/>
          <w:szCs w:val="24"/>
        </w:rPr>
        <w:t xml:space="preserve">Internal and external communication with eu-LISA is not good; there are too many working groups increasing the administrative burden of communication </w:t>
      </w:r>
    </w:p>
    <w:p w14:paraId="287EB529" w14:textId="77777777" w:rsidR="00B758A1" w:rsidRPr="00855E06" w:rsidRDefault="00B758A1" w:rsidP="00275C95">
      <w:pPr>
        <w:pStyle w:val="ListParagraph"/>
        <w:numPr>
          <w:ilvl w:val="0"/>
          <w:numId w:val="67"/>
        </w:numPr>
        <w:spacing w:after="0"/>
        <w:rPr>
          <w:iCs/>
          <w:noProof/>
          <w:szCs w:val="24"/>
        </w:rPr>
      </w:pPr>
      <w:r w:rsidRPr="00855E06">
        <w:rPr>
          <w:iCs/>
          <w:noProof/>
          <w:szCs w:val="24"/>
        </w:rPr>
        <w:t xml:space="preserve">eu-LISA should be stronger involved in drafting of legal basis </w:t>
      </w:r>
    </w:p>
    <w:p w14:paraId="1FF8A968" w14:textId="77777777" w:rsidR="00B758A1" w:rsidRPr="00855E06" w:rsidRDefault="00B758A1" w:rsidP="00275C95">
      <w:pPr>
        <w:pStyle w:val="ListParagraph"/>
        <w:numPr>
          <w:ilvl w:val="0"/>
          <w:numId w:val="67"/>
        </w:numPr>
        <w:spacing w:after="0"/>
        <w:rPr>
          <w:iCs/>
          <w:noProof/>
          <w:szCs w:val="24"/>
        </w:rPr>
      </w:pPr>
      <w:r w:rsidRPr="00855E06">
        <w:rPr>
          <w:iCs/>
          <w:noProof/>
          <w:szCs w:val="24"/>
        </w:rPr>
        <w:t xml:space="preserve">Access rights are considered quite strict </w:t>
      </w:r>
    </w:p>
    <w:p w14:paraId="2187C783" w14:textId="77777777" w:rsidR="00B758A1" w:rsidRPr="00855E06" w:rsidRDefault="00B758A1" w:rsidP="00275C95">
      <w:pPr>
        <w:pStyle w:val="ListParagraph"/>
        <w:numPr>
          <w:ilvl w:val="0"/>
          <w:numId w:val="67"/>
        </w:numPr>
        <w:spacing w:after="0"/>
        <w:rPr>
          <w:iCs/>
          <w:noProof/>
          <w:szCs w:val="24"/>
        </w:rPr>
      </w:pPr>
      <w:r w:rsidRPr="00855E06">
        <w:rPr>
          <w:iCs/>
          <w:noProof/>
          <w:szCs w:val="24"/>
        </w:rPr>
        <w:t xml:space="preserve">Too many Interface Control Documents (ICDs) are used to achieve a usable result </w:t>
      </w:r>
    </w:p>
    <w:p w14:paraId="70FDA010"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Opportunities </w:t>
      </w:r>
    </w:p>
    <w:p w14:paraId="4CF27DD9" w14:textId="77777777" w:rsidR="00B758A1" w:rsidRPr="00855E06" w:rsidRDefault="00B758A1" w:rsidP="00275C95">
      <w:pPr>
        <w:pStyle w:val="ListParagraph"/>
        <w:numPr>
          <w:ilvl w:val="0"/>
          <w:numId w:val="68"/>
        </w:numPr>
        <w:spacing w:after="0"/>
        <w:rPr>
          <w:iCs/>
          <w:noProof/>
          <w:szCs w:val="24"/>
        </w:rPr>
      </w:pPr>
      <w:r w:rsidRPr="00855E06">
        <w:rPr>
          <w:iCs/>
          <w:noProof/>
          <w:szCs w:val="24"/>
        </w:rPr>
        <w:t xml:space="preserve">Recommended to make documentation available via an own wiki page or something comparable </w:t>
      </w:r>
    </w:p>
    <w:p w14:paraId="0DD2C760" w14:textId="77777777" w:rsidR="00B758A1" w:rsidRPr="00855E06" w:rsidRDefault="00B758A1" w:rsidP="00275C95">
      <w:pPr>
        <w:pStyle w:val="ListParagraph"/>
        <w:numPr>
          <w:ilvl w:val="0"/>
          <w:numId w:val="68"/>
        </w:numPr>
        <w:spacing w:after="0"/>
        <w:rPr>
          <w:iCs/>
          <w:noProof/>
          <w:szCs w:val="24"/>
        </w:rPr>
      </w:pPr>
      <w:r w:rsidRPr="00855E06">
        <w:rPr>
          <w:iCs/>
          <w:noProof/>
          <w:szCs w:val="24"/>
        </w:rPr>
        <w:t xml:space="preserve">Include more national experts and, in general, include the Member States in further decisions </w:t>
      </w:r>
    </w:p>
    <w:p w14:paraId="6A3763AC" w14:textId="77777777" w:rsidR="00B758A1" w:rsidRPr="00855E06" w:rsidRDefault="00B758A1" w:rsidP="00275C95">
      <w:pPr>
        <w:pStyle w:val="ListParagraph"/>
        <w:numPr>
          <w:ilvl w:val="0"/>
          <w:numId w:val="68"/>
        </w:numPr>
        <w:spacing w:after="0"/>
        <w:rPr>
          <w:iCs/>
          <w:noProof/>
          <w:szCs w:val="24"/>
        </w:rPr>
      </w:pPr>
      <w:r w:rsidRPr="00855E06">
        <w:rPr>
          <w:iCs/>
          <w:noProof/>
          <w:szCs w:val="24"/>
        </w:rPr>
        <w:t xml:space="preserve">eu-LISA should get more flexibility in design (e.g. technical and functional specifications of the system) </w:t>
      </w:r>
    </w:p>
    <w:p w14:paraId="69F7A75B"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Threats</w:t>
      </w:r>
    </w:p>
    <w:p w14:paraId="5CDC4126" w14:textId="77777777" w:rsidR="00B758A1" w:rsidRPr="00855E06" w:rsidRDefault="00B758A1" w:rsidP="00275C95">
      <w:pPr>
        <w:pStyle w:val="ListParagraph"/>
        <w:numPr>
          <w:ilvl w:val="0"/>
          <w:numId w:val="69"/>
        </w:numPr>
        <w:spacing w:after="0"/>
        <w:rPr>
          <w:iCs/>
          <w:noProof/>
          <w:szCs w:val="24"/>
        </w:rPr>
      </w:pPr>
      <w:r w:rsidRPr="00855E06">
        <w:rPr>
          <w:iCs/>
          <w:noProof/>
          <w:szCs w:val="24"/>
        </w:rPr>
        <w:t>The dynamic environment and frequent changes of the IT environment are not considered and addressed timely</w:t>
      </w:r>
    </w:p>
    <w:p w14:paraId="08BC28A6" w14:textId="77777777" w:rsidR="00B758A1" w:rsidRPr="00855E06" w:rsidRDefault="00B758A1" w:rsidP="00275C95">
      <w:pPr>
        <w:pStyle w:val="ListParagraph"/>
        <w:numPr>
          <w:ilvl w:val="0"/>
          <w:numId w:val="69"/>
        </w:numPr>
        <w:spacing w:after="0"/>
        <w:rPr>
          <w:iCs/>
          <w:noProof/>
          <w:szCs w:val="24"/>
        </w:rPr>
      </w:pPr>
      <w:r w:rsidRPr="00855E06">
        <w:rPr>
          <w:iCs/>
          <w:noProof/>
          <w:szCs w:val="24"/>
        </w:rPr>
        <w:t xml:space="preserve">Interoperability with other systems is not implemented successfully </w:t>
      </w:r>
    </w:p>
    <w:p w14:paraId="3570139D" w14:textId="77777777" w:rsidR="00B758A1" w:rsidRPr="00855E06" w:rsidRDefault="00B758A1" w:rsidP="00275C95">
      <w:pPr>
        <w:pStyle w:val="ListParagraph"/>
        <w:numPr>
          <w:ilvl w:val="0"/>
          <w:numId w:val="69"/>
        </w:numPr>
        <w:spacing w:after="0"/>
        <w:rPr>
          <w:iCs/>
          <w:noProof/>
          <w:szCs w:val="24"/>
        </w:rPr>
      </w:pPr>
      <w:r w:rsidRPr="00855E06">
        <w:rPr>
          <w:iCs/>
          <w:noProof/>
          <w:szCs w:val="24"/>
        </w:rPr>
        <w:t>Too ambitious implementation plans might lead to delays in the long-term</w:t>
      </w:r>
    </w:p>
    <w:p w14:paraId="27AD476D" w14:textId="77777777" w:rsidR="00B758A1" w:rsidRPr="00855E06" w:rsidRDefault="00B758A1" w:rsidP="00275C95">
      <w:pPr>
        <w:pStyle w:val="ListParagraph"/>
        <w:numPr>
          <w:ilvl w:val="0"/>
          <w:numId w:val="69"/>
        </w:numPr>
        <w:spacing w:after="0"/>
        <w:rPr>
          <w:iCs/>
          <w:noProof/>
          <w:szCs w:val="24"/>
        </w:rPr>
      </w:pPr>
      <w:r w:rsidRPr="00855E06">
        <w:rPr>
          <w:iCs/>
          <w:noProof/>
          <w:szCs w:val="24"/>
        </w:rPr>
        <w:t>The skill shortage in IT might lead to recruitment problems for the Agency</w:t>
      </w:r>
    </w:p>
    <w:p w14:paraId="3D99EED3" w14:textId="77777777" w:rsidR="00B758A1" w:rsidRPr="00855E06" w:rsidRDefault="00B758A1" w:rsidP="00275C95">
      <w:pPr>
        <w:pStyle w:val="ListParagraph"/>
        <w:numPr>
          <w:ilvl w:val="0"/>
          <w:numId w:val="69"/>
        </w:numPr>
        <w:spacing w:after="0"/>
        <w:rPr>
          <w:iCs/>
          <w:noProof/>
          <w:szCs w:val="24"/>
        </w:rPr>
      </w:pPr>
      <w:r w:rsidRPr="00855E06">
        <w:rPr>
          <w:iCs/>
          <w:noProof/>
          <w:szCs w:val="24"/>
        </w:rPr>
        <w:t xml:space="preserve">Pressure from the side of the Commission might lead to unfinished problems being published </w:t>
      </w:r>
    </w:p>
    <w:p w14:paraId="26170130" w14:textId="77777777" w:rsidR="00B64E34" w:rsidRPr="00855E06" w:rsidRDefault="00B64E34" w:rsidP="00275C95">
      <w:pPr>
        <w:spacing w:after="0"/>
        <w:jc w:val="both"/>
        <w:rPr>
          <w:rFonts w:ascii="Times New Roman" w:hAnsi="Times New Roman" w:cs="Times New Roman"/>
          <w:i/>
          <w:iCs/>
          <w:noProof/>
          <w:sz w:val="24"/>
          <w:szCs w:val="24"/>
          <w:u w:val="single"/>
          <w:lang w:val="en-GB"/>
        </w:rPr>
      </w:pPr>
    </w:p>
    <w:p w14:paraId="556BE067" w14:textId="1DAD8D6B" w:rsidR="00B758A1" w:rsidRPr="00855E06" w:rsidRDefault="00B758A1" w:rsidP="00275C95">
      <w:pPr>
        <w:spacing w:after="0"/>
        <w:jc w:val="both"/>
        <w:rPr>
          <w:rFonts w:ascii="Times New Roman" w:hAnsi="Times New Roman" w:cs="Times New Roman"/>
          <w:i/>
          <w:iCs/>
          <w:noProof/>
          <w:sz w:val="24"/>
          <w:szCs w:val="24"/>
          <w:u w:val="single"/>
          <w:lang w:val="en-GB"/>
        </w:rPr>
      </w:pPr>
      <w:r w:rsidRPr="00855E06">
        <w:rPr>
          <w:rFonts w:ascii="Times New Roman" w:hAnsi="Times New Roman" w:cs="Times New Roman"/>
          <w:i/>
          <w:iCs/>
          <w:noProof/>
          <w:sz w:val="24"/>
          <w:szCs w:val="24"/>
          <w:u w:val="single"/>
          <w:lang w:val="en-GB"/>
        </w:rPr>
        <w:t xml:space="preserve">Eurodac &amp; DubliNet </w:t>
      </w:r>
    </w:p>
    <w:p w14:paraId="268CC1C3"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Strengths </w:t>
      </w:r>
    </w:p>
    <w:p w14:paraId="00F2105D" w14:textId="77777777" w:rsidR="00B758A1" w:rsidRPr="00855E06" w:rsidRDefault="00B758A1" w:rsidP="00275C95">
      <w:pPr>
        <w:pStyle w:val="ListParagraph"/>
        <w:numPr>
          <w:ilvl w:val="0"/>
          <w:numId w:val="70"/>
        </w:numPr>
        <w:spacing w:after="0"/>
        <w:rPr>
          <w:iCs/>
          <w:noProof/>
          <w:szCs w:val="24"/>
        </w:rPr>
      </w:pPr>
      <w:r w:rsidRPr="00855E06">
        <w:rPr>
          <w:iCs/>
          <w:noProof/>
          <w:szCs w:val="24"/>
        </w:rPr>
        <w:t xml:space="preserve">The system is user-friendly </w:t>
      </w:r>
    </w:p>
    <w:p w14:paraId="616A6DF0" w14:textId="77777777" w:rsidR="00B758A1" w:rsidRPr="00855E06" w:rsidRDefault="00B758A1" w:rsidP="00275C95">
      <w:pPr>
        <w:pStyle w:val="ListParagraph"/>
        <w:numPr>
          <w:ilvl w:val="0"/>
          <w:numId w:val="70"/>
        </w:numPr>
        <w:spacing w:after="0"/>
        <w:rPr>
          <w:iCs/>
          <w:noProof/>
          <w:szCs w:val="24"/>
        </w:rPr>
      </w:pPr>
      <w:r w:rsidRPr="00855E06">
        <w:rPr>
          <w:iCs/>
          <w:noProof/>
          <w:szCs w:val="24"/>
        </w:rPr>
        <w:t xml:space="preserve">Good service by the Service Desk </w:t>
      </w:r>
    </w:p>
    <w:p w14:paraId="4B088C32" w14:textId="77777777" w:rsidR="00B758A1" w:rsidRPr="00855E06" w:rsidRDefault="00B758A1" w:rsidP="00275C95">
      <w:pPr>
        <w:pStyle w:val="ListParagraph"/>
        <w:numPr>
          <w:ilvl w:val="0"/>
          <w:numId w:val="70"/>
        </w:numPr>
        <w:spacing w:after="0"/>
        <w:rPr>
          <w:iCs/>
          <w:noProof/>
          <w:szCs w:val="24"/>
        </w:rPr>
      </w:pPr>
      <w:r w:rsidRPr="00855E06">
        <w:rPr>
          <w:iCs/>
          <w:noProof/>
          <w:szCs w:val="24"/>
        </w:rPr>
        <w:t xml:space="preserve">The system is considered safe and efficient </w:t>
      </w:r>
    </w:p>
    <w:p w14:paraId="21F730B5" w14:textId="77777777" w:rsidR="00B758A1" w:rsidRPr="00855E06" w:rsidRDefault="00B758A1" w:rsidP="00275C95">
      <w:pPr>
        <w:pStyle w:val="ListParagraph"/>
        <w:numPr>
          <w:ilvl w:val="0"/>
          <w:numId w:val="70"/>
        </w:numPr>
        <w:spacing w:after="0"/>
        <w:rPr>
          <w:iCs/>
          <w:noProof/>
          <w:szCs w:val="24"/>
        </w:rPr>
      </w:pPr>
      <w:r w:rsidRPr="00855E06">
        <w:rPr>
          <w:iCs/>
          <w:noProof/>
          <w:szCs w:val="24"/>
        </w:rPr>
        <w:t xml:space="preserve">The data on Eurodac is very limited, which reduces the risk of data pollution </w:t>
      </w:r>
    </w:p>
    <w:p w14:paraId="231461BA" w14:textId="77777777" w:rsidR="00B758A1" w:rsidRPr="00855E06" w:rsidRDefault="00B758A1" w:rsidP="00275C95">
      <w:pPr>
        <w:pStyle w:val="ListParagraph"/>
        <w:numPr>
          <w:ilvl w:val="0"/>
          <w:numId w:val="70"/>
        </w:numPr>
        <w:spacing w:after="0"/>
        <w:rPr>
          <w:iCs/>
          <w:noProof/>
          <w:szCs w:val="24"/>
        </w:rPr>
      </w:pPr>
      <w:r w:rsidRPr="00855E06">
        <w:rPr>
          <w:iCs/>
          <w:noProof/>
          <w:szCs w:val="24"/>
        </w:rPr>
        <w:t xml:space="preserve">The roles of the AG and PMB are highlighted very positively as supportive to Member States’ cooperation </w:t>
      </w:r>
    </w:p>
    <w:p w14:paraId="5FF5EB78"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Weaknesses </w:t>
      </w:r>
    </w:p>
    <w:p w14:paraId="78573EB2" w14:textId="77777777" w:rsidR="00B758A1" w:rsidRPr="00855E06" w:rsidRDefault="00B758A1" w:rsidP="00275C95">
      <w:pPr>
        <w:pStyle w:val="ListParagraph"/>
        <w:numPr>
          <w:ilvl w:val="0"/>
          <w:numId w:val="71"/>
        </w:numPr>
        <w:spacing w:after="0"/>
        <w:rPr>
          <w:iCs/>
          <w:noProof/>
          <w:szCs w:val="24"/>
        </w:rPr>
      </w:pPr>
      <w:r w:rsidRPr="00855E06">
        <w:rPr>
          <w:iCs/>
          <w:noProof/>
          <w:szCs w:val="24"/>
        </w:rPr>
        <w:t xml:space="preserve">Renewal of certificates (every two years) is labour intensive and disturbs the work flow </w:t>
      </w:r>
    </w:p>
    <w:p w14:paraId="460D2647" w14:textId="77777777" w:rsidR="00B758A1" w:rsidRPr="00855E06" w:rsidRDefault="00B758A1" w:rsidP="00275C95">
      <w:pPr>
        <w:pStyle w:val="ListParagraph"/>
        <w:numPr>
          <w:ilvl w:val="0"/>
          <w:numId w:val="71"/>
        </w:numPr>
        <w:spacing w:after="0"/>
        <w:rPr>
          <w:iCs/>
          <w:noProof/>
          <w:szCs w:val="24"/>
        </w:rPr>
      </w:pPr>
      <w:r w:rsidRPr="00855E06">
        <w:rPr>
          <w:iCs/>
          <w:noProof/>
          <w:szCs w:val="24"/>
        </w:rPr>
        <w:t xml:space="preserve">New certificates are often linked to old accounts, sometimes preventing Member States to open attachments sent with new certificates </w:t>
      </w:r>
    </w:p>
    <w:p w14:paraId="01825620" w14:textId="77777777" w:rsidR="00B758A1" w:rsidRPr="00855E06" w:rsidRDefault="00B758A1" w:rsidP="00275C95">
      <w:pPr>
        <w:pStyle w:val="ListParagraph"/>
        <w:numPr>
          <w:ilvl w:val="0"/>
          <w:numId w:val="71"/>
        </w:numPr>
        <w:spacing w:after="0"/>
        <w:rPr>
          <w:iCs/>
          <w:noProof/>
          <w:szCs w:val="24"/>
        </w:rPr>
      </w:pPr>
      <w:r w:rsidRPr="00855E06">
        <w:rPr>
          <w:iCs/>
          <w:noProof/>
          <w:szCs w:val="24"/>
        </w:rPr>
        <w:t xml:space="preserve">There is no properly established change management procedure </w:t>
      </w:r>
    </w:p>
    <w:p w14:paraId="002EC56C" w14:textId="77777777" w:rsidR="00B758A1" w:rsidRPr="00855E06" w:rsidRDefault="00B758A1" w:rsidP="00275C95">
      <w:pPr>
        <w:pStyle w:val="ListParagraph"/>
        <w:numPr>
          <w:ilvl w:val="0"/>
          <w:numId w:val="71"/>
        </w:numPr>
        <w:spacing w:after="0"/>
        <w:rPr>
          <w:iCs/>
          <w:noProof/>
          <w:szCs w:val="24"/>
        </w:rPr>
      </w:pPr>
      <w:r w:rsidRPr="00855E06">
        <w:rPr>
          <w:iCs/>
          <w:noProof/>
          <w:szCs w:val="24"/>
        </w:rPr>
        <w:t xml:space="preserve">There is a lack of formal communication with the Member States; preparation of AG meetings’ communication (e.g. sending around relevant files) could be improved </w:t>
      </w:r>
    </w:p>
    <w:p w14:paraId="1D5871C4" w14:textId="77777777" w:rsidR="00B758A1" w:rsidRPr="00855E06" w:rsidRDefault="00B758A1" w:rsidP="00275C95">
      <w:pPr>
        <w:pStyle w:val="ListParagraph"/>
        <w:numPr>
          <w:ilvl w:val="0"/>
          <w:numId w:val="71"/>
        </w:numPr>
        <w:spacing w:after="0"/>
        <w:rPr>
          <w:iCs/>
          <w:noProof/>
          <w:szCs w:val="24"/>
        </w:rPr>
      </w:pPr>
      <w:r w:rsidRPr="00855E06">
        <w:rPr>
          <w:iCs/>
          <w:noProof/>
          <w:szCs w:val="24"/>
        </w:rPr>
        <w:t xml:space="preserve">Changing incorrect information in Eurodac is a very complicated and lengthy process </w:t>
      </w:r>
    </w:p>
    <w:p w14:paraId="65112DA6" w14:textId="77777777" w:rsidR="00B758A1" w:rsidRPr="00855E06" w:rsidRDefault="00B758A1" w:rsidP="00275C95">
      <w:pPr>
        <w:pStyle w:val="ListParagraph"/>
        <w:numPr>
          <w:ilvl w:val="0"/>
          <w:numId w:val="71"/>
        </w:numPr>
        <w:spacing w:after="0"/>
        <w:rPr>
          <w:iCs/>
          <w:noProof/>
          <w:szCs w:val="24"/>
        </w:rPr>
      </w:pPr>
      <w:r w:rsidRPr="00855E06">
        <w:rPr>
          <w:iCs/>
          <w:noProof/>
          <w:szCs w:val="24"/>
        </w:rPr>
        <w:t xml:space="preserve">End-users sometimes lack knowledge on how to use the system properly </w:t>
      </w:r>
    </w:p>
    <w:p w14:paraId="5F112BA5"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Opportunities </w:t>
      </w:r>
    </w:p>
    <w:p w14:paraId="30C439D3" w14:textId="77777777" w:rsidR="00B758A1" w:rsidRPr="00855E06" w:rsidRDefault="00B758A1" w:rsidP="00275C95">
      <w:pPr>
        <w:pStyle w:val="ListParagraph"/>
        <w:numPr>
          <w:ilvl w:val="0"/>
          <w:numId w:val="72"/>
        </w:numPr>
        <w:spacing w:after="0"/>
        <w:rPr>
          <w:iCs/>
          <w:noProof/>
          <w:szCs w:val="24"/>
        </w:rPr>
      </w:pPr>
      <w:r w:rsidRPr="00855E06">
        <w:rPr>
          <w:iCs/>
          <w:noProof/>
          <w:szCs w:val="24"/>
        </w:rPr>
        <w:t xml:space="preserve">Include Eurodac in the European interoperability framework </w:t>
      </w:r>
    </w:p>
    <w:p w14:paraId="72EB282B" w14:textId="77777777" w:rsidR="00B758A1" w:rsidRPr="00855E06" w:rsidRDefault="00B758A1" w:rsidP="00275C95">
      <w:pPr>
        <w:pStyle w:val="ListParagraph"/>
        <w:numPr>
          <w:ilvl w:val="0"/>
          <w:numId w:val="72"/>
        </w:numPr>
        <w:spacing w:after="0"/>
        <w:rPr>
          <w:iCs/>
          <w:noProof/>
          <w:szCs w:val="24"/>
        </w:rPr>
      </w:pPr>
      <w:r w:rsidRPr="00855E06">
        <w:rPr>
          <w:iCs/>
          <w:noProof/>
          <w:szCs w:val="24"/>
        </w:rPr>
        <w:t xml:space="preserve">DubliNet is quite old, therefore a more modern, user-friendly communication system can be developed </w:t>
      </w:r>
    </w:p>
    <w:p w14:paraId="4270F5A1" w14:textId="77777777" w:rsidR="00B758A1" w:rsidRPr="00855E06" w:rsidRDefault="00B758A1" w:rsidP="00275C95">
      <w:pPr>
        <w:pStyle w:val="ListParagraph"/>
        <w:numPr>
          <w:ilvl w:val="0"/>
          <w:numId w:val="72"/>
        </w:numPr>
        <w:spacing w:after="0"/>
        <w:rPr>
          <w:iCs/>
          <w:noProof/>
          <w:szCs w:val="24"/>
        </w:rPr>
      </w:pPr>
      <w:r w:rsidRPr="00855E06">
        <w:rPr>
          <w:iCs/>
          <w:noProof/>
          <w:szCs w:val="24"/>
        </w:rPr>
        <w:t xml:space="preserve">Increase the piloting, testing and innovation activities around DubliNet and Eurodac (e.g. use of other kinds of data capturing technology) </w:t>
      </w:r>
    </w:p>
    <w:p w14:paraId="028BECA5" w14:textId="77777777" w:rsidR="00B758A1" w:rsidRPr="00855E06" w:rsidRDefault="00B758A1" w:rsidP="00275C95">
      <w:pPr>
        <w:pStyle w:val="ListParagraph"/>
        <w:numPr>
          <w:ilvl w:val="0"/>
          <w:numId w:val="72"/>
        </w:numPr>
        <w:spacing w:after="0"/>
        <w:rPr>
          <w:iCs/>
          <w:noProof/>
          <w:szCs w:val="24"/>
        </w:rPr>
      </w:pPr>
      <w:r w:rsidRPr="00855E06">
        <w:rPr>
          <w:iCs/>
          <w:noProof/>
          <w:szCs w:val="24"/>
        </w:rPr>
        <w:t>Improve the preparation of the AG meetings (e.g. timely sharing of presentations, papers, etc.)</w:t>
      </w:r>
    </w:p>
    <w:p w14:paraId="4D023089" w14:textId="77777777" w:rsidR="00B758A1" w:rsidRPr="00855E06" w:rsidRDefault="00B758A1" w:rsidP="00275C95">
      <w:pPr>
        <w:pStyle w:val="ListParagraph"/>
        <w:numPr>
          <w:ilvl w:val="0"/>
          <w:numId w:val="72"/>
        </w:numPr>
        <w:spacing w:after="0"/>
        <w:rPr>
          <w:iCs/>
          <w:noProof/>
          <w:szCs w:val="24"/>
        </w:rPr>
      </w:pPr>
      <w:r w:rsidRPr="00855E06">
        <w:rPr>
          <w:iCs/>
          <w:noProof/>
          <w:szCs w:val="24"/>
        </w:rPr>
        <w:t>Setting up and finalising the new Eurodac Regulation</w:t>
      </w:r>
    </w:p>
    <w:p w14:paraId="680CD342" w14:textId="77777777" w:rsidR="00B758A1" w:rsidRPr="00855E06" w:rsidRDefault="00B758A1" w:rsidP="00275C95">
      <w:pPr>
        <w:pStyle w:val="ListParagraph"/>
        <w:numPr>
          <w:ilvl w:val="0"/>
          <w:numId w:val="72"/>
        </w:numPr>
        <w:spacing w:after="0"/>
        <w:rPr>
          <w:iCs/>
          <w:noProof/>
          <w:szCs w:val="24"/>
        </w:rPr>
      </w:pPr>
      <w:r w:rsidRPr="00855E06">
        <w:rPr>
          <w:iCs/>
          <w:noProof/>
          <w:szCs w:val="24"/>
        </w:rPr>
        <w:t xml:space="preserve">Increase eu-LISA’s role in standardisation </w:t>
      </w:r>
    </w:p>
    <w:p w14:paraId="4F117380"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u w:val="single"/>
          <w:lang w:val="en-GB"/>
        </w:rPr>
        <w:t>Threats</w:t>
      </w:r>
    </w:p>
    <w:p w14:paraId="6B88DE3F" w14:textId="77777777" w:rsidR="00B758A1" w:rsidRPr="00855E06" w:rsidRDefault="00B758A1" w:rsidP="00275C95">
      <w:pPr>
        <w:pStyle w:val="ListParagraph"/>
        <w:numPr>
          <w:ilvl w:val="0"/>
          <w:numId w:val="73"/>
        </w:numPr>
        <w:spacing w:after="0"/>
        <w:rPr>
          <w:iCs/>
          <w:noProof/>
          <w:szCs w:val="24"/>
        </w:rPr>
      </w:pPr>
      <w:r w:rsidRPr="00855E06">
        <w:rPr>
          <w:iCs/>
          <w:noProof/>
          <w:szCs w:val="24"/>
        </w:rPr>
        <w:t xml:space="preserve">The deadline for the revised Eurodac Regulation might not be kept, which could lead to delays </w:t>
      </w:r>
    </w:p>
    <w:p w14:paraId="7CC3148A" w14:textId="77777777" w:rsidR="00B758A1" w:rsidRPr="00855E06" w:rsidRDefault="00B758A1" w:rsidP="00275C95">
      <w:pPr>
        <w:pStyle w:val="ListParagraph"/>
        <w:numPr>
          <w:ilvl w:val="0"/>
          <w:numId w:val="73"/>
        </w:numPr>
        <w:spacing w:after="0"/>
        <w:rPr>
          <w:iCs/>
          <w:noProof/>
          <w:szCs w:val="24"/>
        </w:rPr>
      </w:pPr>
      <w:r w:rsidRPr="00855E06">
        <w:rPr>
          <w:iCs/>
          <w:noProof/>
          <w:szCs w:val="24"/>
        </w:rPr>
        <w:t xml:space="preserve">There are no clear guidelines on how to deal with the use of facial images </w:t>
      </w:r>
    </w:p>
    <w:p w14:paraId="62F7E37F" w14:textId="77777777" w:rsidR="00B758A1" w:rsidRPr="00855E06" w:rsidRDefault="00B758A1" w:rsidP="00275C95">
      <w:pPr>
        <w:pStyle w:val="ListParagraph"/>
        <w:numPr>
          <w:ilvl w:val="0"/>
          <w:numId w:val="73"/>
        </w:numPr>
        <w:spacing w:after="0"/>
        <w:rPr>
          <w:iCs/>
          <w:noProof/>
          <w:szCs w:val="24"/>
        </w:rPr>
      </w:pPr>
      <w:r w:rsidRPr="00855E06">
        <w:rPr>
          <w:iCs/>
          <w:noProof/>
          <w:szCs w:val="24"/>
        </w:rPr>
        <w:t xml:space="preserve">The connecting of the systems through interoperability components with other systems might not work sufficiently </w:t>
      </w:r>
    </w:p>
    <w:p w14:paraId="36ACF6DD" w14:textId="77777777" w:rsidR="00B64E34" w:rsidRPr="00855E06" w:rsidRDefault="00B64E34" w:rsidP="00275C95">
      <w:pPr>
        <w:spacing w:after="0"/>
        <w:jc w:val="both"/>
        <w:rPr>
          <w:rFonts w:ascii="Times New Roman" w:hAnsi="Times New Roman" w:cs="Times New Roman"/>
          <w:i/>
          <w:iCs/>
          <w:noProof/>
          <w:sz w:val="24"/>
          <w:szCs w:val="24"/>
          <w:u w:val="single"/>
          <w:lang w:val="en-GB"/>
        </w:rPr>
      </w:pPr>
      <w:bookmarkStart w:id="148" w:name="_Hlk166835038"/>
      <w:bookmarkStart w:id="149" w:name="_Hlk166835053"/>
    </w:p>
    <w:p w14:paraId="5ADF7898" w14:textId="4D790476" w:rsidR="00B758A1" w:rsidRPr="00855E06" w:rsidRDefault="00B758A1" w:rsidP="00275C95">
      <w:pPr>
        <w:spacing w:after="0"/>
        <w:jc w:val="both"/>
        <w:rPr>
          <w:rFonts w:ascii="Times New Roman" w:hAnsi="Times New Roman" w:cs="Times New Roman"/>
          <w:i/>
          <w:iCs/>
          <w:noProof/>
          <w:sz w:val="24"/>
          <w:szCs w:val="24"/>
          <w:u w:val="single"/>
          <w:lang w:val="en-GB"/>
        </w:rPr>
      </w:pPr>
      <w:r w:rsidRPr="00855E06">
        <w:rPr>
          <w:rFonts w:ascii="Times New Roman" w:hAnsi="Times New Roman" w:cs="Times New Roman"/>
          <w:i/>
          <w:iCs/>
          <w:noProof/>
          <w:sz w:val="24"/>
          <w:szCs w:val="24"/>
          <w:u w:val="single"/>
          <w:lang w:val="en-GB"/>
        </w:rPr>
        <w:t>Interoperability</w:t>
      </w:r>
      <w:bookmarkEnd w:id="148"/>
      <w:r w:rsidRPr="00855E06">
        <w:rPr>
          <w:rFonts w:ascii="Times New Roman" w:hAnsi="Times New Roman" w:cs="Times New Roman"/>
          <w:i/>
          <w:iCs/>
          <w:noProof/>
          <w:sz w:val="24"/>
          <w:szCs w:val="24"/>
          <w:u w:val="single"/>
          <w:lang w:val="en-GB"/>
        </w:rPr>
        <w:t xml:space="preserve"> </w:t>
      </w:r>
    </w:p>
    <w:bookmarkEnd w:id="149"/>
    <w:p w14:paraId="4A2249EB"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Strengths </w:t>
      </w:r>
    </w:p>
    <w:p w14:paraId="207A8906" w14:textId="77777777" w:rsidR="00B758A1" w:rsidRPr="00855E06" w:rsidRDefault="00B758A1" w:rsidP="00275C95">
      <w:pPr>
        <w:pStyle w:val="ListParagraph"/>
        <w:numPr>
          <w:ilvl w:val="0"/>
          <w:numId w:val="74"/>
        </w:numPr>
        <w:spacing w:after="0"/>
        <w:rPr>
          <w:iCs/>
          <w:noProof/>
          <w:szCs w:val="24"/>
        </w:rPr>
      </w:pPr>
      <w:r w:rsidRPr="00855E06">
        <w:rPr>
          <w:iCs/>
          <w:noProof/>
          <w:szCs w:val="24"/>
        </w:rPr>
        <w:t>eu-LISA’s high level architecture environment seems flexible and scalable for future enhancements</w:t>
      </w:r>
    </w:p>
    <w:p w14:paraId="17E77E0E" w14:textId="77777777" w:rsidR="00B758A1" w:rsidRPr="00855E06" w:rsidRDefault="00B758A1" w:rsidP="00275C95">
      <w:pPr>
        <w:pStyle w:val="ListParagraph"/>
        <w:numPr>
          <w:ilvl w:val="0"/>
          <w:numId w:val="74"/>
        </w:numPr>
        <w:spacing w:after="0"/>
        <w:rPr>
          <w:iCs/>
          <w:noProof/>
          <w:szCs w:val="24"/>
        </w:rPr>
      </w:pPr>
      <w:r w:rsidRPr="00855E06">
        <w:rPr>
          <w:iCs/>
          <w:noProof/>
          <w:szCs w:val="24"/>
        </w:rPr>
        <w:t>Good support for training</w:t>
      </w:r>
    </w:p>
    <w:p w14:paraId="26DB8E84" w14:textId="77777777" w:rsidR="00B758A1" w:rsidRPr="00855E06" w:rsidRDefault="00B758A1" w:rsidP="00275C95">
      <w:pPr>
        <w:pStyle w:val="ListParagraph"/>
        <w:numPr>
          <w:ilvl w:val="0"/>
          <w:numId w:val="74"/>
        </w:numPr>
        <w:spacing w:after="0"/>
        <w:rPr>
          <w:iCs/>
          <w:noProof/>
          <w:szCs w:val="24"/>
        </w:rPr>
      </w:pPr>
      <w:r w:rsidRPr="00855E06">
        <w:rPr>
          <w:iCs/>
          <w:noProof/>
          <w:szCs w:val="24"/>
        </w:rPr>
        <w:t xml:space="preserve">eu-LISA has the necessary competencies to support the Member States </w:t>
      </w:r>
    </w:p>
    <w:p w14:paraId="4FF736F8" w14:textId="77777777" w:rsidR="00B758A1" w:rsidRPr="00855E06" w:rsidRDefault="00B758A1" w:rsidP="00275C95">
      <w:pPr>
        <w:pStyle w:val="ListParagraph"/>
        <w:numPr>
          <w:ilvl w:val="0"/>
          <w:numId w:val="74"/>
        </w:numPr>
        <w:spacing w:after="0"/>
        <w:rPr>
          <w:iCs/>
          <w:noProof/>
          <w:szCs w:val="24"/>
        </w:rPr>
      </w:pPr>
      <w:r w:rsidRPr="00855E06">
        <w:rPr>
          <w:iCs/>
          <w:noProof/>
          <w:szCs w:val="24"/>
        </w:rPr>
        <w:t xml:space="preserve">The work of the Interoperability AG is quite efficient </w:t>
      </w:r>
    </w:p>
    <w:p w14:paraId="5A0499D7" w14:textId="77777777" w:rsidR="00B758A1" w:rsidRPr="00855E06" w:rsidRDefault="00B758A1" w:rsidP="00275C95">
      <w:pPr>
        <w:pStyle w:val="ListParagraph"/>
        <w:numPr>
          <w:ilvl w:val="0"/>
          <w:numId w:val="74"/>
        </w:numPr>
        <w:spacing w:after="0"/>
        <w:rPr>
          <w:iCs/>
          <w:noProof/>
          <w:szCs w:val="24"/>
        </w:rPr>
      </w:pPr>
      <w:r w:rsidRPr="00855E06">
        <w:rPr>
          <w:iCs/>
          <w:noProof/>
          <w:szCs w:val="24"/>
        </w:rPr>
        <w:t>The interoperability roadmap was very well communicated from eu-LISA to the Commission and, thereafter, approved</w:t>
      </w:r>
    </w:p>
    <w:p w14:paraId="7D8EAD76"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Weaknesses</w:t>
      </w:r>
    </w:p>
    <w:p w14:paraId="65A17855" w14:textId="77777777" w:rsidR="00B758A1" w:rsidRPr="00855E06" w:rsidRDefault="00B758A1" w:rsidP="00275C95">
      <w:pPr>
        <w:pStyle w:val="ListParagraph"/>
        <w:numPr>
          <w:ilvl w:val="0"/>
          <w:numId w:val="75"/>
        </w:numPr>
        <w:spacing w:after="0"/>
        <w:rPr>
          <w:iCs/>
          <w:noProof/>
          <w:szCs w:val="24"/>
        </w:rPr>
      </w:pPr>
      <w:r w:rsidRPr="00855E06">
        <w:rPr>
          <w:iCs/>
          <w:noProof/>
          <w:szCs w:val="24"/>
        </w:rPr>
        <w:t xml:space="preserve">The planning of interface control documents (ICDs) was poor; they were not developed according to best practices for technical specifications. </w:t>
      </w:r>
    </w:p>
    <w:p w14:paraId="7E924771" w14:textId="77777777" w:rsidR="00B758A1" w:rsidRPr="00855E06" w:rsidRDefault="00B758A1" w:rsidP="00275C95">
      <w:pPr>
        <w:pStyle w:val="ListParagraph"/>
        <w:numPr>
          <w:ilvl w:val="0"/>
          <w:numId w:val="75"/>
        </w:numPr>
        <w:spacing w:after="0"/>
        <w:rPr>
          <w:iCs/>
          <w:noProof/>
          <w:szCs w:val="24"/>
        </w:rPr>
      </w:pPr>
      <w:r w:rsidRPr="00855E06">
        <w:rPr>
          <w:iCs/>
          <w:noProof/>
          <w:szCs w:val="24"/>
        </w:rPr>
        <w:t>Technology decisions are not always documented and described well on the side of eu-LISA; making it hard for Member States to understand how decisions were made (not user-friendly)</w:t>
      </w:r>
    </w:p>
    <w:p w14:paraId="4CCBAFD6" w14:textId="77777777" w:rsidR="00B758A1" w:rsidRPr="00855E06" w:rsidRDefault="00B758A1" w:rsidP="00275C95">
      <w:pPr>
        <w:pStyle w:val="ListParagraph"/>
        <w:numPr>
          <w:ilvl w:val="0"/>
          <w:numId w:val="75"/>
        </w:numPr>
        <w:spacing w:after="0"/>
        <w:rPr>
          <w:iCs/>
          <w:noProof/>
          <w:szCs w:val="24"/>
        </w:rPr>
      </w:pPr>
      <w:r w:rsidRPr="00855E06">
        <w:rPr>
          <w:iCs/>
          <w:noProof/>
          <w:szCs w:val="24"/>
        </w:rPr>
        <w:t>Lack of communication overall (with eu-LISA, sub-contractors)</w:t>
      </w:r>
    </w:p>
    <w:p w14:paraId="3D259343" w14:textId="77777777" w:rsidR="00B758A1" w:rsidRPr="00855E06" w:rsidRDefault="00B758A1" w:rsidP="00275C95">
      <w:pPr>
        <w:pStyle w:val="ListParagraph"/>
        <w:numPr>
          <w:ilvl w:val="0"/>
          <w:numId w:val="75"/>
        </w:numPr>
        <w:spacing w:after="0"/>
        <w:rPr>
          <w:iCs/>
          <w:noProof/>
          <w:szCs w:val="24"/>
        </w:rPr>
      </w:pPr>
      <w:r w:rsidRPr="00855E06">
        <w:rPr>
          <w:iCs/>
          <w:noProof/>
          <w:szCs w:val="24"/>
        </w:rPr>
        <w:t>The necessary framework for standardisation across the IT systems is not well developed</w:t>
      </w:r>
    </w:p>
    <w:p w14:paraId="658F481B" w14:textId="77777777" w:rsidR="00B758A1" w:rsidRPr="00855E06" w:rsidRDefault="00B758A1" w:rsidP="00275C95">
      <w:pPr>
        <w:pStyle w:val="ListParagraph"/>
        <w:numPr>
          <w:ilvl w:val="0"/>
          <w:numId w:val="75"/>
        </w:numPr>
        <w:spacing w:after="0"/>
        <w:rPr>
          <w:iCs/>
          <w:noProof/>
          <w:szCs w:val="24"/>
        </w:rPr>
      </w:pPr>
      <w:r w:rsidRPr="00855E06">
        <w:rPr>
          <w:iCs/>
          <w:noProof/>
          <w:szCs w:val="24"/>
        </w:rPr>
        <w:t xml:space="preserve">The timeline for the component development is too tight </w:t>
      </w:r>
    </w:p>
    <w:p w14:paraId="44CE1AAF" w14:textId="77777777" w:rsidR="00B758A1" w:rsidRPr="00855E06" w:rsidRDefault="00B758A1" w:rsidP="00275C95">
      <w:pPr>
        <w:pStyle w:val="ListParagraph"/>
        <w:numPr>
          <w:ilvl w:val="0"/>
          <w:numId w:val="75"/>
        </w:numPr>
        <w:spacing w:after="0"/>
        <w:rPr>
          <w:iCs/>
          <w:noProof/>
          <w:szCs w:val="24"/>
        </w:rPr>
      </w:pPr>
      <w:r w:rsidRPr="00855E06">
        <w:rPr>
          <w:iCs/>
          <w:noProof/>
          <w:szCs w:val="24"/>
        </w:rPr>
        <w:t xml:space="preserve">The simulators provided by eu-LISA have not proven to be as useful as expected; the Member States have started using their own simulators </w:t>
      </w:r>
    </w:p>
    <w:p w14:paraId="31E2947A" w14:textId="77777777" w:rsidR="00B758A1" w:rsidRPr="00855E06" w:rsidRDefault="00B758A1" w:rsidP="00275C95">
      <w:pPr>
        <w:pStyle w:val="ListParagraph"/>
        <w:numPr>
          <w:ilvl w:val="0"/>
          <w:numId w:val="75"/>
        </w:numPr>
        <w:spacing w:after="0"/>
        <w:rPr>
          <w:iCs/>
          <w:noProof/>
          <w:szCs w:val="24"/>
        </w:rPr>
      </w:pPr>
      <w:r w:rsidRPr="00855E06">
        <w:rPr>
          <w:iCs/>
          <w:noProof/>
          <w:szCs w:val="24"/>
        </w:rPr>
        <w:t xml:space="preserve">eu-LISA does not properly listen to the Member States but is rather focused on the feedback they receive from the Commission and the contractors </w:t>
      </w:r>
    </w:p>
    <w:p w14:paraId="5C66CB2F" w14:textId="77777777" w:rsidR="00B758A1" w:rsidRPr="00855E06" w:rsidRDefault="00B758A1" w:rsidP="00275C95">
      <w:pPr>
        <w:pStyle w:val="ListParagraph"/>
        <w:numPr>
          <w:ilvl w:val="0"/>
          <w:numId w:val="75"/>
        </w:numPr>
        <w:spacing w:after="0"/>
        <w:rPr>
          <w:iCs/>
          <w:noProof/>
          <w:szCs w:val="24"/>
        </w:rPr>
      </w:pPr>
      <w:r w:rsidRPr="00855E06">
        <w:rPr>
          <w:iCs/>
          <w:noProof/>
          <w:szCs w:val="24"/>
        </w:rPr>
        <w:t xml:space="preserve">The demand process is too time-consuming </w:t>
      </w:r>
    </w:p>
    <w:p w14:paraId="6E8DB31F" w14:textId="77777777" w:rsidR="00B758A1" w:rsidRPr="00855E06" w:rsidRDefault="00B758A1" w:rsidP="00275C95">
      <w:pPr>
        <w:pStyle w:val="ListParagraph"/>
        <w:numPr>
          <w:ilvl w:val="0"/>
          <w:numId w:val="75"/>
        </w:numPr>
        <w:spacing w:after="0"/>
        <w:rPr>
          <w:iCs/>
          <w:noProof/>
          <w:szCs w:val="24"/>
        </w:rPr>
      </w:pPr>
      <w:r w:rsidRPr="00855E06">
        <w:rPr>
          <w:iCs/>
          <w:noProof/>
          <w:szCs w:val="24"/>
        </w:rPr>
        <w:t xml:space="preserve">The AG is not chaired by a Member State but by eu-LISA, which Member States assess as a weakening of the interests of the Member States </w:t>
      </w:r>
    </w:p>
    <w:p w14:paraId="4D1D9F6D" w14:textId="77777777" w:rsidR="00B758A1" w:rsidRPr="00855E06" w:rsidRDefault="00B758A1" w:rsidP="00275C95">
      <w:pPr>
        <w:pStyle w:val="ListParagraph"/>
        <w:numPr>
          <w:ilvl w:val="0"/>
          <w:numId w:val="75"/>
        </w:numPr>
        <w:spacing w:after="0"/>
        <w:rPr>
          <w:iCs/>
          <w:noProof/>
          <w:szCs w:val="24"/>
        </w:rPr>
      </w:pPr>
      <w:r w:rsidRPr="00855E06">
        <w:rPr>
          <w:iCs/>
          <w:noProof/>
          <w:szCs w:val="24"/>
        </w:rPr>
        <w:t xml:space="preserve">eu-LISA’s project management could be improved and be more agile </w:t>
      </w:r>
    </w:p>
    <w:p w14:paraId="0479F97C" w14:textId="77777777" w:rsidR="00B758A1" w:rsidRPr="00855E06" w:rsidRDefault="00B758A1" w:rsidP="00275C95">
      <w:pPr>
        <w:pStyle w:val="ListParagraph"/>
        <w:numPr>
          <w:ilvl w:val="0"/>
          <w:numId w:val="75"/>
        </w:numPr>
        <w:spacing w:after="0"/>
        <w:rPr>
          <w:iCs/>
          <w:noProof/>
          <w:szCs w:val="24"/>
        </w:rPr>
      </w:pPr>
      <w:r w:rsidRPr="00855E06">
        <w:rPr>
          <w:iCs/>
          <w:noProof/>
          <w:szCs w:val="24"/>
        </w:rPr>
        <w:t>Responsibilities are not clearly allocated (e.g. for testing activities) between the Member States and eu-LISA</w:t>
      </w:r>
    </w:p>
    <w:p w14:paraId="5664B834"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u w:val="single"/>
          <w:lang w:val="en-GB"/>
        </w:rPr>
        <w:t xml:space="preserve">Opportunities </w:t>
      </w:r>
    </w:p>
    <w:p w14:paraId="70FB7888" w14:textId="77777777" w:rsidR="00B758A1" w:rsidRPr="00855E06" w:rsidRDefault="00B758A1" w:rsidP="00275C95">
      <w:pPr>
        <w:pStyle w:val="ListParagraph"/>
        <w:numPr>
          <w:ilvl w:val="0"/>
          <w:numId w:val="76"/>
        </w:numPr>
        <w:spacing w:after="0"/>
        <w:rPr>
          <w:iCs/>
          <w:noProof/>
          <w:szCs w:val="24"/>
        </w:rPr>
      </w:pPr>
      <w:r w:rsidRPr="00855E06">
        <w:rPr>
          <w:iCs/>
          <w:noProof/>
          <w:szCs w:val="24"/>
        </w:rPr>
        <w:t xml:space="preserve">Development of an open-source strategy, in which between Member States could be included </w:t>
      </w:r>
    </w:p>
    <w:p w14:paraId="7A4BEAD8" w14:textId="77777777" w:rsidR="00B758A1" w:rsidRPr="00855E06" w:rsidRDefault="00B758A1" w:rsidP="00275C95">
      <w:pPr>
        <w:pStyle w:val="ListParagraph"/>
        <w:numPr>
          <w:ilvl w:val="0"/>
          <w:numId w:val="76"/>
        </w:numPr>
        <w:spacing w:after="0"/>
        <w:rPr>
          <w:iCs/>
          <w:noProof/>
          <w:szCs w:val="24"/>
        </w:rPr>
      </w:pPr>
      <w:r w:rsidRPr="00855E06">
        <w:rPr>
          <w:iCs/>
          <w:noProof/>
          <w:szCs w:val="24"/>
        </w:rPr>
        <w:t xml:space="preserve">Improvement of the ICDs quality </w:t>
      </w:r>
    </w:p>
    <w:p w14:paraId="4D7D60F8" w14:textId="77777777" w:rsidR="00B758A1" w:rsidRPr="00855E06" w:rsidRDefault="00B758A1" w:rsidP="00275C95">
      <w:pPr>
        <w:pStyle w:val="ListParagraph"/>
        <w:numPr>
          <w:ilvl w:val="0"/>
          <w:numId w:val="76"/>
        </w:numPr>
        <w:spacing w:after="0"/>
        <w:rPr>
          <w:iCs/>
          <w:noProof/>
          <w:szCs w:val="24"/>
        </w:rPr>
      </w:pPr>
      <w:r w:rsidRPr="00855E06">
        <w:rPr>
          <w:iCs/>
          <w:noProof/>
          <w:szCs w:val="24"/>
        </w:rPr>
        <w:t xml:space="preserve">Establishment of pilot development of new systems by a small group of volunteering Member States, who would prepare stable environments for all Member States </w:t>
      </w:r>
    </w:p>
    <w:p w14:paraId="5DFDF7B6" w14:textId="77777777" w:rsidR="00B758A1" w:rsidRPr="00855E06" w:rsidRDefault="00B758A1" w:rsidP="00275C95">
      <w:pPr>
        <w:pStyle w:val="ListParagraph"/>
        <w:numPr>
          <w:ilvl w:val="0"/>
          <w:numId w:val="76"/>
        </w:numPr>
        <w:spacing w:after="0"/>
        <w:rPr>
          <w:iCs/>
          <w:noProof/>
          <w:szCs w:val="24"/>
        </w:rPr>
      </w:pPr>
      <w:r w:rsidRPr="00855E06">
        <w:rPr>
          <w:iCs/>
          <w:noProof/>
          <w:szCs w:val="24"/>
        </w:rPr>
        <w:t>Strengthening of eu-LISA’s role from a passive system integrator to a more self-confident, proactive actor</w:t>
      </w:r>
    </w:p>
    <w:p w14:paraId="7314F75A" w14:textId="77777777" w:rsidR="00B758A1" w:rsidRPr="00855E06" w:rsidRDefault="00B758A1" w:rsidP="00275C95">
      <w:pPr>
        <w:pStyle w:val="ListParagraph"/>
        <w:numPr>
          <w:ilvl w:val="0"/>
          <w:numId w:val="76"/>
        </w:numPr>
        <w:spacing w:after="0"/>
        <w:rPr>
          <w:iCs/>
          <w:noProof/>
          <w:szCs w:val="24"/>
        </w:rPr>
      </w:pPr>
      <w:r w:rsidRPr="00855E06">
        <w:rPr>
          <w:iCs/>
          <w:noProof/>
          <w:szCs w:val="24"/>
        </w:rPr>
        <w:t>Establishment of more interactive, transparent, modern and available communication</w:t>
      </w:r>
    </w:p>
    <w:p w14:paraId="066229AA"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Threats</w:t>
      </w:r>
    </w:p>
    <w:p w14:paraId="7EE51CDF" w14:textId="77777777" w:rsidR="00B758A1" w:rsidRPr="00855E06" w:rsidRDefault="00B758A1" w:rsidP="00275C95">
      <w:pPr>
        <w:pStyle w:val="ListParagraph"/>
        <w:numPr>
          <w:ilvl w:val="0"/>
          <w:numId w:val="77"/>
        </w:numPr>
        <w:spacing w:after="0"/>
        <w:rPr>
          <w:iCs/>
          <w:noProof/>
          <w:szCs w:val="24"/>
        </w:rPr>
      </w:pPr>
      <w:r w:rsidRPr="00855E06">
        <w:rPr>
          <w:iCs/>
          <w:noProof/>
          <w:szCs w:val="24"/>
        </w:rPr>
        <w:t xml:space="preserve">Further delays in the implementation of components can affect eu-LISA’s reputation and Member States’ good will </w:t>
      </w:r>
    </w:p>
    <w:p w14:paraId="3691871B" w14:textId="77777777" w:rsidR="00B758A1" w:rsidRPr="00855E06" w:rsidRDefault="00B758A1" w:rsidP="00275C95">
      <w:pPr>
        <w:pStyle w:val="ListParagraph"/>
        <w:numPr>
          <w:ilvl w:val="0"/>
          <w:numId w:val="77"/>
        </w:numPr>
        <w:spacing w:after="0"/>
        <w:rPr>
          <w:iCs/>
          <w:noProof/>
          <w:szCs w:val="24"/>
        </w:rPr>
      </w:pPr>
      <w:r w:rsidRPr="00855E06">
        <w:rPr>
          <w:iCs/>
          <w:noProof/>
          <w:szCs w:val="24"/>
        </w:rPr>
        <w:t xml:space="preserve">Limited amount of testing might lead to implementation of faulty components </w:t>
      </w:r>
    </w:p>
    <w:p w14:paraId="07F8E676" w14:textId="77777777" w:rsidR="00B758A1" w:rsidRPr="00855E06" w:rsidRDefault="00B758A1" w:rsidP="00275C95">
      <w:pPr>
        <w:pStyle w:val="ListParagraph"/>
        <w:numPr>
          <w:ilvl w:val="0"/>
          <w:numId w:val="77"/>
        </w:numPr>
        <w:spacing w:after="0"/>
        <w:rPr>
          <w:iCs/>
          <w:noProof/>
          <w:szCs w:val="24"/>
        </w:rPr>
      </w:pPr>
      <w:r w:rsidRPr="00855E06">
        <w:rPr>
          <w:iCs/>
          <w:noProof/>
          <w:szCs w:val="24"/>
        </w:rPr>
        <w:t xml:space="preserve">Other developments within eu-LISA might move focus away from the interoperability components, given that eu-LISA has limited resources </w:t>
      </w:r>
    </w:p>
    <w:p w14:paraId="72ADF390" w14:textId="77777777" w:rsidR="00B758A1" w:rsidRPr="00855E06" w:rsidRDefault="00B758A1" w:rsidP="00275C95">
      <w:pPr>
        <w:pStyle w:val="ListParagraph"/>
        <w:numPr>
          <w:ilvl w:val="0"/>
          <w:numId w:val="77"/>
        </w:numPr>
        <w:spacing w:after="0"/>
        <w:rPr>
          <w:iCs/>
          <w:noProof/>
          <w:szCs w:val="24"/>
        </w:rPr>
      </w:pPr>
      <w:r w:rsidRPr="00855E06">
        <w:rPr>
          <w:iCs/>
          <w:noProof/>
          <w:szCs w:val="24"/>
        </w:rPr>
        <w:t xml:space="preserve">Lack of consulting eu-LISA on side of the Commission, EP and Council of the EU when new legislative proposals are drafted </w:t>
      </w:r>
    </w:p>
    <w:p w14:paraId="1665CC15" w14:textId="77777777" w:rsidR="00B758A1" w:rsidRPr="00855E06" w:rsidRDefault="00B758A1" w:rsidP="00275C95">
      <w:pPr>
        <w:pStyle w:val="ListParagraph"/>
        <w:numPr>
          <w:ilvl w:val="0"/>
          <w:numId w:val="77"/>
        </w:numPr>
        <w:spacing w:after="0"/>
        <w:rPr>
          <w:iCs/>
          <w:noProof/>
          <w:szCs w:val="24"/>
        </w:rPr>
      </w:pPr>
      <w:r w:rsidRPr="00855E06">
        <w:rPr>
          <w:iCs/>
          <w:noProof/>
          <w:szCs w:val="24"/>
        </w:rPr>
        <w:t xml:space="preserve">“Big bang go live” strategies are considered to be quite risky (e.g. entry into operations is more likely to be delayed due to errors) </w:t>
      </w:r>
    </w:p>
    <w:p w14:paraId="5AC6D3F8" w14:textId="77777777" w:rsidR="00B64E34" w:rsidRPr="004E2424" w:rsidRDefault="00B64E34" w:rsidP="00275C95">
      <w:pPr>
        <w:spacing w:after="0"/>
        <w:rPr>
          <w:rFonts w:ascii="Times New Roman" w:hAnsi="Times New Roman" w:cs="Times New Roman"/>
          <w:iCs/>
          <w:noProof/>
          <w:szCs w:val="24"/>
          <w:lang w:val="en-IE"/>
        </w:rPr>
      </w:pPr>
    </w:p>
    <w:p w14:paraId="5A530357" w14:textId="77777777" w:rsidR="00B758A1" w:rsidRPr="00855E06" w:rsidRDefault="00B758A1" w:rsidP="00275C95">
      <w:pPr>
        <w:spacing w:after="0"/>
        <w:jc w:val="both"/>
        <w:rPr>
          <w:rFonts w:ascii="Times New Roman" w:hAnsi="Times New Roman" w:cs="Times New Roman"/>
          <w:i/>
          <w:iCs/>
          <w:noProof/>
          <w:sz w:val="24"/>
          <w:szCs w:val="24"/>
          <w:u w:val="single"/>
          <w:lang w:val="en-GB"/>
        </w:rPr>
      </w:pPr>
      <w:r w:rsidRPr="00855E06">
        <w:rPr>
          <w:rFonts w:ascii="Times New Roman" w:hAnsi="Times New Roman" w:cs="Times New Roman"/>
          <w:i/>
          <w:iCs/>
          <w:noProof/>
          <w:sz w:val="24"/>
          <w:szCs w:val="24"/>
          <w:u w:val="single"/>
          <w:lang w:val="en-GB"/>
        </w:rPr>
        <w:t>EES &amp; ETIAS</w:t>
      </w:r>
    </w:p>
    <w:p w14:paraId="3DB405E9" w14:textId="77777777" w:rsidR="00B758A1" w:rsidRPr="00855E06"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u w:val="single"/>
          <w:lang w:val="en-GB"/>
        </w:rPr>
        <w:t>Strengths</w:t>
      </w:r>
      <w:r w:rsidRPr="00855E06">
        <w:rPr>
          <w:rFonts w:ascii="Times New Roman" w:hAnsi="Times New Roman" w:cs="Times New Roman"/>
          <w:iCs/>
          <w:noProof/>
          <w:sz w:val="24"/>
          <w:szCs w:val="24"/>
          <w:lang w:val="en-GB"/>
        </w:rPr>
        <w:t xml:space="preserve">: </w:t>
      </w:r>
    </w:p>
    <w:p w14:paraId="3E53854D" w14:textId="77777777" w:rsidR="00B758A1" w:rsidRPr="00855E06" w:rsidRDefault="00B758A1" w:rsidP="00275C95">
      <w:pPr>
        <w:pStyle w:val="ListParagraph"/>
        <w:numPr>
          <w:ilvl w:val="0"/>
          <w:numId w:val="78"/>
        </w:numPr>
        <w:spacing w:after="0"/>
        <w:rPr>
          <w:iCs/>
          <w:noProof/>
          <w:szCs w:val="24"/>
        </w:rPr>
      </w:pPr>
      <w:r w:rsidRPr="00855E06">
        <w:rPr>
          <w:iCs/>
          <w:noProof/>
          <w:szCs w:val="24"/>
        </w:rPr>
        <w:t xml:space="preserve">The work of the AGs is structured and well-organised </w:t>
      </w:r>
    </w:p>
    <w:p w14:paraId="252DA3A8" w14:textId="77777777" w:rsidR="00B758A1" w:rsidRPr="00855E06" w:rsidRDefault="00B758A1" w:rsidP="00275C95">
      <w:pPr>
        <w:pStyle w:val="ListParagraph"/>
        <w:numPr>
          <w:ilvl w:val="0"/>
          <w:numId w:val="78"/>
        </w:numPr>
        <w:spacing w:after="0"/>
        <w:rPr>
          <w:iCs/>
          <w:noProof/>
          <w:szCs w:val="24"/>
        </w:rPr>
      </w:pPr>
      <w:r w:rsidRPr="00855E06">
        <w:rPr>
          <w:iCs/>
          <w:noProof/>
          <w:szCs w:val="24"/>
        </w:rPr>
        <w:t xml:space="preserve">Technical documents (such as e.g. the ICDs) are well-structured and provide a clear vision of how systems shall work in the future </w:t>
      </w:r>
    </w:p>
    <w:p w14:paraId="62EC1ED9" w14:textId="77777777" w:rsidR="00B758A1" w:rsidRPr="00855E06" w:rsidRDefault="00B758A1" w:rsidP="00275C95">
      <w:pPr>
        <w:pStyle w:val="ListParagraph"/>
        <w:numPr>
          <w:ilvl w:val="0"/>
          <w:numId w:val="78"/>
        </w:numPr>
        <w:spacing w:after="0"/>
        <w:rPr>
          <w:iCs/>
          <w:noProof/>
          <w:szCs w:val="24"/>
        </w:rPr>
      </w:pPr>
      <w:r w:rsidRPr="00855E06">
        <w:rPr>
          <w:iCs/>
          <w:noProof/>
          <w:szCs w:val="24"/>
        </w:rPr>
        <w:t>Member States’ and users’ needs are considered sufficiently in the process</w:t>
      </w:r>
    </w:p>
    <w:p w14:paraId="17685B3A"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Weaknesses </w:t>
      </w:r>
    </w:p>
    <w:p w14:paraId="1980853B" w14:textId="77777777" w:rsidR="00B758A1" w:rsidRPr="00855E06" w:rsidRDefault="00B758A1" w:rsidP="00275C95">
      <w:pPr>
        <w:pStyle w:val="ListParagraph"/>
        <w:numPr>
          <w:ilvl w:val="0"/>
          <w:numId w:val="79"/>
        </w:numPr>
        <w:spacing w:after="0"/>
        <w:rPr>
          <w:iCs/>
          <w:noProof/>
          <w:szCs w:val="24"/>
        </w:rPr>
      </w:pPr>
      <w:r w:rsidRPr="00855E06">
        <w:rPr>
          <w:iCs/>
          <w:noProof/>
          <w:szCs w:val="24"/>
        </w:rPr>
        <w:t xml:space="preserve">Communication on the side of eu-LISA could be better, information is sometimes received too late and in an unclear manner </w:t>
      </w:r>
    </w:p>
    <w:p w14:paraId="7283F502" w14:textId="77777777" w:rsidR="00B758A1" w:rsidRPr="00855E06" w:rsidRDefault="00B758A1" w:rsidP="00275C95">
      <w:pPr>
        <w:pStyle w:val="ListParagraph"/>
        <w:numPr>
          <w:ilvl w:val="0"/>
          <w:numId w:val="79"/>
        </w:numPr>
        <w:spacing w:after="0"/>
        <w:rPr>
          <w:iCs/>
          <w:noProof/>
          <w:szCs w:val="24"/>
        </w:rPr>
      </w:pPr>
      <w:r w:rsidRPr="00855E06">
        <w:rPr>
          <w:iCs/>
          <w:noProof/>
          <w:szCs w:val="24"/>
        </w:rPr>
        <w:t xml:space="preserve">There are significant shortcomings in the management of external contractors, leading to delays in the systems’ implementation </w:t>
      </w:r>
    </w:p>
    <w:p w14:paraId="4B5B3FFE" w14:textId="77777777" w:rsidR="00B758A1" w:rsidRPr="00855E06" w:rsidRDefault="00B758A1" w:rsidP="00275C95">
      <w:pPr>
        <w:pStyle w:val="ListParagraph"/>
        <w:numPr>
          <w:ilvl w:val="0"/>
          <w:numId w:val="79"/>
        </w:numPr>
        <w:spacing w:after="0"/>
        <w:rPr>
          <w:iCs/>
          <w:noProof/>
          <w:szCs w:val="24"/>
        </w:rPr>
      </w:pPr>
      <w:r w:rsidRPr="00855E06">
        <w:rPr>
          <w:iCs/>
          <w:noProof/>
          <w:szCs w:val="24"/>
        </w:rPr>
        <w:t xml:space="preserve">Lack of transparency on how important products (e.g. ICDs, mock-ups) are produced </w:t>
      </w:r>
    </w:p>
    <w:p w14:paraId="06B2CD44" w14:textId="77777777" w:rsidR="00B758A1" w:rsidRPr="00855E06" w:rsidRDefault="00B758A1" w:rsidP="00275C95">
      <w:pPr>
        <w:pStyle w:val="ListParagraph"/>
        <w:numPr>
          <w:ilvl w:val="0"/>
          <w:numId w:val="79"/>
        </w:numPr>
        <w:spacing w:after="0"/>
        <w:rPr>
          <w:iCs/>
          <w:noProof/>
          <w:szCs w:val="24"/>
        </w:rPr>
      </w:pPr>
      <w:r w:rsidRPr="00855E06">
        <w:rPr>
          <w:iCs/>
          <w:noProof/>
          <w:szCs w:val="24"/>
        </w:rPr>
        <w:t>Even though well structured, ICDs and other documentation are in different formats, making it difficult to process them for the single MS</w:t>
      </w:r>
    </w:p>
    <w:p w14:paraId="147962F4" w14:textId="77777777" w:rsidR="00B758A1" w:rsidRPr="00855E06" w:rsidRDefault="00B758A1" w:rsidP="00275C95">
      <w:pPr>
        <w:pStyle w:val="ListParagraph"/>
        <w:numPr>
          <w:ilvl w:val="0"/>
          <w:numId w:val="79"/>
        </w:numPr>
        <w:spacing w:after="0"/>
        <w:rPr>
          <w:iCs/>
          <w:noProof/>
          <w:szCs w:val="24"/>
        </w:rPr>
      </w:pPr>
      <w:r w:rsidRPr="00855E06">
        <w:rPr>
          <w:iCs/>
          <w:noProof/>
          <w:szCs w:val="24"/>
        </w:rPr>
        <w:t xml:space="preserve">The planning of eu-LISA lacks a user perspective and is too much focused on the provisions of the regulations </w:t>
      </w:r>
    </w:p>
    <w:p w14:paraId="0FD5D56E"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 xml:space="preserve">Opportunities </w:t>
      </w:r>
    </w:p>
    <w:p w14:paraId="19698593" w14:textId="77777777" w:rsidR="00B758A1" w:rsidRPr="00855E06" w:rsidRDefault="00B758A1" w:rsidP="00275C95">
      <w:pPr>
        <w:pStyle w:val="ListParagraph"/>
        <w:numPr>
          <w:ilvl w:val="0"/>
          <w:numId w:val="80"/>
        </w:numPr>
        <w:spacing w:after="0"/>
        <w:rPr>
          <w:iCs/>
          <w:noProof/>
          <w:szCs w:val="24"/>
        </w:rPr>
      </w:pPr>
      <w:r w:rsidRPr="00855E06">
        <w:rPr>
          <w:iCs/>
          <w:noProof/>
          <w:szCs w:val="24"/>
        </w:rPr>
        <w:t xml:space="preserve">Improve stakeholder communication </w:t>
      </w:r>
    </w:p>
    <w:p w14:paraId="00361D1E" w14:textId="77777777" w:rsidR="00B758A1" w:rsidRPr="00855E06" w:rsidRDefault="00B758A1" w:rsidP="00275C95">
      <w:pPr>
        <w:pStyle w:val="ListParagraph"/>
        <w:numPr>
          <w:ilvl w:val="0"/>
          <w:numId w:val="80"/>
        </w:numPr>
        <w:spacing w:after="0"/>
        <w:rPr>
          <w:iCs/>
          <w:noProof/>
          <w:szCs w:val="24"/>
        </w:rPr>
      </w:pPr>
      <w:r w:rsidRPr="00855E06">
        <w:rPr>
          <w:iCs/>
          <w:noProof/>
          <w:szCs w:val="24"/>
        </w:rPr>
        <w:t xml:space="preserve">eu-LISA could facilitate more discussions in the AG, which can help the Member States to more strongly support each other </w:t>
      </w:r>
    </w:p>
    <w:p w14:paraId="3707AAAB" w14:textId="77777777" w:rsidR="00B758A1" w:rsidRPr="00855E06" w:rsidRDefault="00B758A1" w:rsidP="00275C95">
      <w:pPr>
        <w:pStyle w:val="ListParagraph"/>
        <w:numPr>
          <w:ilvl w:val="0"/>
          <w:numId w:val="80"/>
        </w:numPr>
        <w:spacing w:after="0"/>
        <w:rPr>
          <w:iCs/>
          <w:noProof/>
          <w:szCs w:val="24"/>
        </w:rPr>
      </w:pPr>
      <w:r w:rsidRPr="00855E06">
        <w:rPr>
          <w:iCs/>
          <w:noProof/>
          <w:szCs w:val="24"/>
        </w:rPr>
        <w:t xml:space="preserve">More work could be moved from external contractors to eu-LISA </w:t>
      </w:r>
    </w:p>
    <w:p w14:paraId="3C2B2063" w14:textId="77777777" w:rsidR="00B758A1" w:rsidRPr="00855E06" w:rsidRDefault="00B758A1" w:rsidP="00275C95">
      <w:pPr>
        <w:pStyle w:val="ListParagraph"/>
        <w:numPr>
          <w:ilvl w:val="0"/>
          <w:numId w:val="80"/>
        </w:numPr>
        <w:spacing w:after="0"/>
        <w:rPr>
          <w:iCs/>
          <w:noProof/>
          <w:szCs w:val="24"/>
        </w:rPr>
      </w:pPr>
      <w:r w:rsidRPr="00855E06">
        <w:rPr>
          <w:iCs/>
          <w:noProof/>
          <w:szCs w:val="24"/>
        </w:rPr>
        <w:t xml:space="preserve">National experts should be more strongly involved into the drafting of solutions </w:t>
      </w:r>
    </w:p>
    <w:p w14:paraId="5D865C04" w14:textId="77777777" w:rsidR="00B758A1" w:rsidRPr="00855E06" w:rsidRDefault="00B758A1" w:rsidP="00275C95">
      <w:pPr>
        <w:spacing w:after="0"/>
        <w:jc w:val="both"/>
        <w:rPr>
          <w:rFonts w:ascii="Times New Roman" w:hAnsi="Times New Roman" w:cs="Times New Roman"/>
          <w:iCs/>
          <w:noProof/>
          <w:sz w:val="24"/>
          <w:szCs w:val="24"/>
          <w:u w:val="single"/>
          <w:lang w:val="en-GB"/>
        </w:rPr>
      </w:pPr>
      <w:r w:rsidRPr="00855E06">
        <w:rPr>
          <w:rFonts w:ascii="Times New Roman" w:hAnsi="Times New Roman" w:cs="Times New Roman"/>
          <w:iCs/>
          <w:noProof/>
          <w:sz w:val="24"/>
          <w:szCs w:val="24"/>
          <w:u w:val="single"/>
          <w:lang w:val="en-GB"/>
        </w:rPr>
        <w:t>Threats</w:t>
      </w:r>
    </w:p>
    <w:p w14:paraId="0684EE6E" w14:textId="77777777" w:rsidR="00B758A1" w:rsidRPr="00855E06" w:rsidRDefault="00B758A1" w:rsidP="00275C95">
      <w:pPr>
        <w:pStyle w:val="ListParagraph"/>
        <w:numPr>
          <w:ilvl w:val="0"/>
          <w:numId w:val="81"/>
        </w:numPr>
        <w:spacing w:after="0"/>
        <w:rPr>
          <w:iCs/>
          <w:noProof/>
          <w:szCs w:val="24"/>
        </w:rPr>
      </w:pPr>
      <w:r w:rsidRPr="00855E06">
        <w:rPr>
          <w:iCs/>
          <w:noProof/>
          <w:szCs w:val="24"/>
        </w:rPr>
        <w:t xml:space="preserve">Lack of standardisation might come with serious problems in implementing the systems </w:t>
      </w:r>
    </w:p>
    <w:p w14:paraId="34BBB7CC" w14:textId="77777777" w:rsidR="00B758A1" w:rsidRPr="00855E06" w:rsidRDefault="00B758A1" w:rsidP="00275C95">
      <w:pPr>
        <w:pStyle w:val="ListParagraph"/>
        <w:numPr>
          <w:ilvl w:val="0"/>
          <w:numId w:val="81"/>
        </w:numPr>
        <w:spacing w:after="0"/>
        <w:rPr>
          <w:iCs/>
          <w:noProof/>
          <w:szCs w:val="24"/>
        </w:rPr>
      </w:pPr>
      <w:r w:rsidRPr="00855E06">
        <w:rPr>
          <w:iCs/>
          <w:noProof/>
          <w:szCs w:val="24"/>
        </w:rPr>
        <w:t>Improper implementation and lack of enough testing might lead to long waiting times at airports, ferry terminals, etc.</w:t>
      </w:r>
    </w:p>
    <w:p w14:paraId="2086CBAD" w14:textId="77777777" w:rsidR="00B758A1" w:rsidRPr="00855E06" w:rsidRDefault="00B758A1" w:rsidP="00275C95">
      <w:pPr>
        <w:pStyle w:val="ListParagraph"/>
        <w:numPr>
          <w:ilvl w:val="0"/>
          <w:numId w:val="81"/>
        </w:numPr>
        <w:spacing w:after="0"/>
        <w:rPr>
          <w:iCs/>
          <w:noProof/>
          <w:szCs w:val="24"/>
        </w:rPr>
      </w:pPr>
      <w:r w:rsidRPr="00855E06">
        <w:rPr>
          <w:iCs/>
          <w:noProof/>
          <w:szCs w:val="24"/>
        </w:rPr>
        <w:t xml:space="preserve">Unrealistic time planning on the side of the Commission might reduce time for testing </w:t>
      </w:r>
    </w:p>
    <w:p w14:paraId="6E407905" w14:textId="77777777" w:rsidR="00B758A1" w:rsidRPr="00855E06" w:rsidRDefault="00B758A1" w:rsidP="00275C95">
      <w:pPr>
        <w:spacing w:after="0"/>
        <w:jc w:val="both"/>
        <w:rPr>
          <w:rFonts w:ascii="Times New Roman" w:hAnsi="Times New Roman" w:cs="Times New Roman"/>
          <w:iCs/>
          <w:noProof/>
          <w:sz w:val="24"/>
          <w:szCs w:val="24"/>
          <w:u w:val="single"/>
          <w:lang w:val="en-GB"/>
        </w:rPr>
      </w:pPr>
    </w:p>
    <w:p w14:paraId="3A6FB877" w14:textId="77777777" w:rsidR="00B758A1" w:rsidRPr="00855E06" w:rsidRDefault="00B758A1" w:rsidP="00275C95">
      <w:pPr>
        <w:spacing w:after="0"/>
        <w:jc w:val="both"/>
        <w:rPr>
          <w:rFonts w:ascii="Times New Roman" w:hAnsi="Times New Roman" w:cs="Times New Roman"/>
          <w:iCs/>
          <w:noProof/>
          <w:sz w:val="24"/>
          <w:szCs w:val="24"/>
          <w:u w:val="single"/>
          <w:lang w:val="en-GB"/>
        </w:rPr>
        <w:sectPr w:rsidR="00B758A1" w:rsidRPr="00855E06" w:rsidSect="00907D40">
          <w:headerReference w:type="default" r:id="rId49"/>
          <w:footerReference w:type="default" r:id="rId50"/>
          <w:pgSz w:w="16838" w:h="11906" w:orient="landscape"/>
          <w:pgMar w:top="720" w:right="720" w:bottom="720" w:left="720" w:header="708" w:footer="708" w:gutter="0"/>
          <w:cols w:space="708"/>
          <w:docGrid w:linePitch="360"/>
        </w:sectPr>
      </w:pPr>
    </w:p>
    <w:p w14:paraId="6B048C9D" w14:textId="269817C8" w:rsidR="00B758A1" w:rsidRPr="00A55ACC" w:rsidRDefault="00B758A1" w:rsidP="00275C95">
      <w:pPr>
        <w:spacing w:after="0"/>
        <w:jc w:val="both"/>
        <w:rPr>
          <w:rFonts w:ascii="Times New Roman" w:hAnsi="Times New Roman" w:cs="Times New Roman"/>
          <w:b/>
          <w:i/>
          <w:noProof/>
          <w:sz w:val="24"/>
          <w:szCs w:val="24"/>
          <w:lang w:val="en-GB"/>
        </w:rPr>
      </w:pPr>
      <w:bookmarkStart w:id="150" w:name="_Ref166777541"/>
      <w:bookmarkStart w:id="151" w:name="_Toc167205906"/>
      <w:r w:rsidRPr="00A55ACC">
        <w:rPr>
          <w:rFonts w:ascii="Times New Roman" w:hAnsi="Times New Roman" w:cs="Times New Roman"/>
          <w:b/>
          <w:i/>
          <w:noProof/>
          <w:sz w:val="24"/>
          <w:szCs w:val="24"/>
          <w:lang w:val="en-GB"/>
        </w:rPr>
        <w:t xml:space="preserve">Figure </w:t>
      </w:r>
      <w:bookmarkEnd w:id="150"/>
      <w:r w:rsidR="00AA29BC">
        <w:rPr>
          <w:rFonts w:ascii="Times New Roman" w:hAnsi="Times New Roman" w:cs="Times New Roman"/>
          <w:b/>
          <w:i/>
          <w:noProof/>
          <w:sz w:val="24"/>
          <w:szCs w:val="24"/>
          <w:lang w:val="en-GB"/>
        </w:rPr>
        <w:t>3</w:t>
      </w:r>
      <w:r w:rsidR="00AA29BC" w:rsidRPr="00A55ACC">
        <w:rPr>
          <w:rFonts w:ascii="Times New Roman" w:hAnsi="Times New Roman" w:cs="Times New Roman"/>
          <w:b/>
          <w:i/>
          <w:noProof/>
          <w:sz w:val="24"/>
          <w:szCs w:val="24"/>
          <w:lang w:val="en-GB"/>
        </w:rPr>
        <w:t xml:space="preserve"> </w:t>
      </w:r>
      <w:r w:rsidRPr="00A55ACC">
        <w:rPr>
          <w:rFonts w:ascii="Times New Roman" w:hAnsi="Times New Roman" w:cs="Times New Roman"/>
          <w:b/>
          <w:i/>
          <w:noProof/>
          <w:sz w:val="24"/>
          <w:szCs w:val="24"/>
          <w:lang w:val="en-GB"/>
        </w:rPr>
        <w:t>- Overview on recommendations derived in the workshops</w:t>
      </w:r>
      <w:bookmarkEnd w:id="151"/>
    </w:p>
    <w:p w14:paraId="251AA9EF" w14:textId="17D7AC39" w:rsidR="00D9480D" w:rsidRPr="004E2424" w:rsidRDefault="00B758A1" w:rsidP="00275C95">
      <w:pPr>
        <w:spacing w:after="0"/>
        <w:jc w:val="both"/>
        <w:rPr>
          <w:rFonts w:ascii="Times New Roman" w:hAnsi="Times New Roman" w:cs="Times New Roman"/>
          <w:iCs/>
          <w:noProof/>
          <w:sz w:val="24"/>
          <w:szCs w:val="24"/>
          <w:lang w:val="en-GB"/>
        </w:rPr>
      </w:pPr>
      <w:r w:rsidRPr="00855E06">
        <w:rPr>
          <w:rFonts w:ascii="Times New Roman" w:hAnsi="Times New Roman" w:cs="Times New Roman"/>
          <w:iCs/>
          <w:noProof/>
          <w:sz w:val="24"/>
          <w:szCs w:val="24"/>
          <w:lang w:val="en-GB" w:eastAsia="en-GB"/>
        </w:rPr>
        <w:drawing>
          <wp:inline distT="0" distB="0" distL="0" distR="0" wp14:anchorId="189273FB" wp14:editId="244D7982">
            <wp:extent cx="9560949" cy="517207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582194" cy="5183568"/>
                    </a:xfrm>
                    <a:prstGeom prst="rect">
                      <a:avLst/>
                    </a:prstGeom>
                    <a:noFill/>
                  </pic:spPr>
                </pic:pic>
              </a:graphicData>
            </a:graphic>
          </wp:inline>
        </w:drawing>
      </w:r>
    </w:p>
    <w:sectPr w:rsidR="00D9480D" w:rsidRPr="004E2424" w:rsidSect="00907D40">
      <w:headerReference w:type="even" r:id="rId52"/>
      <w:headerReference w:type="default" r:id="rId53"/>
      <w:footerReference w:type="even" r:id="rId54"/>
      <w:footerReference w:type="default" r:id="rId55"/>
      <w:headerReference w:type="first" r:id="rId56"/>
      <w:footerReference w:type="first" r:id="rId57"/>
      <w:pgSz w:w="16838" w:h="11906" w:orient="landscape"/>
      <w:pgMar w:top="720" w:right="720" w:bottom="720" w:left="720"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FDBD1" w14:textId="77777777" w:rsidR="00271066" w:rsidRDefault="00271066" w:rsidP="006A5F73">
      <w:pPr>
        <w:spacing w:after="0" w:line="240" w:lineRule="auto"/>
      </w:pPr>
      <w:r>
        <w:separator/>
      </w:r>
    </w:p>
  </w:endnote>
  <w:endnote w:type="continuationSeparator" w:id="0">
    <w:p w14:paraId="52E0CC3E" w14:textId="77777777" w:rsidR="00271066" w:rsidRDefault="00271066" w:rsidP="006A5F73">
      <w:pPr>
        <w:spacing w:after="0" w:line="240" w:lineRule="auto"/>
      </w:pPr>
      <w:r>
        <w:continuationSeparator/>
      </w:r>
    </w:p>
  </w:endnote>
  <w:endnote w:type="continuationNotice" w:id="1">
    <w:p w14:paraId="79B0D4E9" w14:textId="77777777" w:rsidR="00271066" w:rsidRDefault="002710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Gothic UI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Aptos">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EYInterstate Light">
    <w:altName w:val="Calibri"/>
    <w:charset w:val="00"/>
    <w:family w:val="auto"/>
    <w:pitch w:val="variable"/>
    <w:sig w:usb0="A00002AF" w:usb1="5000206A"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hnschrift Condensed">
    <w:panose1 w:val="020B0502040204020203"/>
    <w:charset w:val="00"/>
    <w:family w:val="swiss"/>
    <w:pitch w:val="variable"/>
    <w:sig w:usb0="A00002C7" w:usb1="00000002" w:usb2="00000000" w:usb3="00000000" w:csb0="0000019F" w:csb1="00000000"/>
  </w:font>
  <w:font w:name="Roboto">
    <w:charset w:val="00"/>
    <w:family w:val="auto"/>
    <w:pitch w:val="variable"/>
    <w:sig w:usb0="E0000AFF" w:usb1="5000217F" w:usb2="00000021"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22173" w14:textId="44AFFC6A" w:rsidR="00F37363" w:rsidRPr="00F37363" w:rsidRDefault="00F37363" w:rsidP="00F37363">
    <w:pPr>
      <w:pStyle w:val="FooterCoverPage"/>
      <w:rPr>
        <w:rFonts w:ascii="Arial" w:hAnsi="Arial" w:cs="Arial"/>
        <w:b/>
        <w:sz w:val="48"/>
      </w:rPr>
    </w:pPr>
    <w:r w:rsidRPr="00F37363">
      <w:rPr>
        <w:rFonts w:ascii="Arial" w:hAnsi="Arial" w:cs="Arial"/>
        <w:b/>
        <w:sz w:val="48"/>
      </w:rPr>
      <w:t>EN</w:t>
    </w:r>
    <w:r w:rsidRPr="00F37363">
      <w:rPr>
        <w:rFonts w:ascii="Arial" w:hAnsi="Arial" w:cs="Arial"/>
        <w:b/>
        <w:sz w:val="48"/>
      </w:rPr>
      <w:tab/>
    </w:r>
    <w:r w:rsidRPr="00F37363">
      <w:rPr>
        <w:rFonts w:ascii="Arial" w:hAnsi="Arial" w:cs="Arial"/>
        <w:b/>
        <w:sz w:val="48"/>
      </w:rPr>
      <w:tab/>
    </w:r>
    <w:r w:rsidRPr="00F37363">
      <w:tab/>
    </w:r>
    <w:r w:rsidRPr="00F3736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E771B" w14:textId="2965657A" w:rsidR="00F37363" w:rsidRPr="00F37363" w:rsidRDefault="00F37363" w:rsidP="00F37363">
    <w:pPr>
      <w:pStyle w:val="FooterCoverPage"/>
      <w:rPr>
        <w:rFonts w:ascii="Arial" w:hAnsi="Arial" w:cs="Arial"/>
        <w:b/>
        <w:sz w:val="48"/>
      </w:rPr>
    </w:pPr>
    <w:r w:rsidRPr="00F37363">
      <w:rPr>
        <w:rFonts w:ascii="Arial" w:hAnsi="Arial" w:cs="Arial"/>
        <w:b/>
        <w:sz w:val="48"/>
      </w:rPr>
      <w:t>EN</w:t>
    </w:r>
    <w:r w:rsidRPr="00F37363">
      <w:rPr>
        <w:rFonts w:ascii="Arial" w:hAnsi="Arial" w:cs="Arial"/>
        <w:b/>
        <w:sz w:val="48"/>
      </w:rPr>
      <w:tab/>
    </w:r>
    <w:r w:rsidRPr="00F37363">
      <w:rPr>
        <w:rFonts w:ascii="Arial" w:hAnsi="Arial" w:cs="Arial"/>
        <w:b/>
        <w:sz w:val="48"/>
      </w:rPr>
      <w:tab/>
    </w:r>
    <w:r w:rsidRPr="00F37363">
      <w:tab/>
    </w:r>
    <w:r w:rsidRPr="00F3736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E154C" w14:textId="77777777" w:rsidR="00F37363" w:rsidRPr="00F37363" w:rsidRDefault="00F37363" w:rsidP="00F3736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8D6D9" w14:textId="77777777" w:rsidR="00CD412A" w:rsidRDefault="00CD41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2E035" w14:textId="73594CD4" w:rsidR="00CD412A" w:rsidRDefault="00CD412A">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4078036"/>
      <w:docPartObj>
        <w:docPartGallery w:val="Page Numbers (Bottom of Page)"/>
        <w:docPartUnique/>
      </w:docPartObj>
    </w:sdtPr>
    <w:sdtEndPr>
      <w:rPr>
        <w:noProof/>
      </w:rPr>
    </w:sdtEndPr>
    <w:sdtContent>
      <w:p w14:paraId="2724783B" w14:textId="31D27E1A" w:rsidR="00CD412A" w:rsidRDefault="00F37363">
        <w:pPr>
          <w:pStyle w:val="Footer"/>
          <w:jc w:val="center"/>
        </w:pPr>
      </w:p>
    </w:sdtContent>
  </w:sdt>
  <w:p w14:paraId="3D253FFB" w14:textId="77777777" w:rsidR="00CD412A" w:rsidRDefault="00CD412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0FCEE" w14:textId="77777777" w:rsidR="00CD412A" w:rsidRDefault="00CD412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79A83" w14:textId="17596ABD" w:rsidR="00CD412A" w:rsidRDefault="00CD412A">
    <w:pPr>
      <w:pStyle w:val="Footer"/>
      <w:jc w:val="center"/>
    </w:pPr>
    <w:r>
      <w:fldChar w:fldCharType="begin"/>
    </w:r>
    <w:r>
      <w:instrText>PAGE</w:instrText>
    </w:r>
    <w:r>
      <w:fldChar w:fldCharType="separate"/>
    </w:r>
    <w:r w:rsidR="00C87486">
      <w:rPr>
        <w:noProof/>
      </w:rPr>
      <w:t>6</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532199"/>
      <w:docPartObj>
        <w:docPartGallery w:val="Page Numbers (Bottom of Page)"/>
        <w:docPartUnique/>
      </w:docPartObj>
    </w:sdtPr>
    <w:sdtEndPr>
      <w:rPr>
        <w:noProof/>
      </w:rPr>
    </w:sdtEndPr>
    <w:sdtContent>
      <w:p w14:paraId="6E0D3DB3" w14:textId="4EB86C19" w:rsidR="00CD412A" w:rsidRDefault="00B52048">
        <w:pPr>
          <w:pStyle w:val="Footer"/>
          <w:jc w:val="center"/>
        </w:pPr>
        <w:r>
          <w:fldChar w:fldCharType="begin"/>
        </w:r>
        <w:r>
          <w:instrText xml:space="preserve"> PAGE  \* Arabic  \* MERGEFORMAT </w:instrText>
        </w:r>
        <w:r>
          <w:fldChar w:fldCharType="separate"/>
        </w:r>
        <w:r w:rsidR="00F37363">
          <w:rPr>
            <w:noProof/>
          </w:rPr>
          <w:t>1</w:t>
        </w:r>
        <w:r>
          <w:fldChar w:fldCharType="end"/>
        </w:r>
      </w:p>
    </w:sdtContent>
  </w:sdt>
  <w:p w14:paraId="0D04E84D" w14:textId="77777777" w:rsidR="00CD412A" w:rsidRDefault="00CD412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61079" w14:textId="77777777" w:rsidR="00F0191D" w:rsidRDefault="008D036F">
    <w:pPr>
      <w:pStyle w:val="Footer"/>
      <w:jc w:val="center"/>
    </w:pPr>
    <w:r>
      <w:fldChar w:fldCharType="begin"/>
    </w:r>
    <w:r>
      <w:instrText>PAGE</w:instrText>
    </w:r>
    <w:r>
      <w:fldChar w:fldCharType="separate"/>
    </w:r>
    <w:r>
      <w:rPr>
        <w:noProof/>
      </w:rP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2923815"/>
      <w:docPartObj>
        <w:docPartGallery w:val="Page Numbers (Bottom of Page)"/>
        <w:docPartUnique/>
      </w:docPartObj>
    </w:sdtPr>
    <w:sdtEndPr>
      <w:rPr>
        <w:noProof/>
      </w:rPr>
    </w:sdtEndPr>
    <w:sdtContent>
      <w:p w14:paraId="6CFD1A0D" w14:textId="77777777" w:rsidR="008D036F" w:rsidRDefault="008D036F">
        <w:pPr>
          <w:pStyle w:val="Footer"/>
          <w:jc w:val="center"/>
        </w:pPr>
        <w:r>
          <w:fldChar w:fldCharType="begin"/>
        </w:r>
        <w:r>
          <w:instrText xml:space="preserve"> PAGE  \* Arabic  \* MERGEFORMAT </w:instrText>
        </w:r>
        <w:r>
          <w:fldChar w:fldCharType="separate"/>
        </w:r>
        <w:r>
          <w:rPr>
            <w:noProof/>
          </w:rPr>
          <w:t>1</w:t>
        </w:r>
        <w:r>
          <w:fldChar w:fldCharType="end"/>
        </w:r>
      </w:p>
    </w:sdtContent>
  </w:sdt>
  <w:p w14:paraId="44DD477A" w14:textId="77777777" w:rsidR="00F0191D" w:rsidRDefault="00F0191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878A6" w14:textId="77777777" w:rsidR="00F0191D" w:rsidRDefault="008D036F">
    <w:pPr>
      <w:pStyle w:val="Footer"/>
      <w:jc w:val="center"/>
    </w:pPr>
    <w:r>
      <w:fldChar w:fldCharType="begin"/>
    </w:r>
    <w:r>
      <w:instrText>PAGE</w:instrText>
    </w:r>
    <w:r>
      <w:fldChar w:fldCharType="separate"/>
    </w:r>
    <w:r>
      <w:rPr>
        <w:noProof/>
      </w:rPr>
      <w:t>2</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417232"/>
      <w:docPartObj>
        <w:docPartGallery w:val="Page Numbers (Bottom of Page)"/>
        <w:docPartUnique/>
      </w:docPartObj>
    </w:sdtPr>
    <w:sdtEndPr>
      <w:rPr>
        <w:noProof/>
      </w:rPr>
    </w:sdtEndPr>
    <w:sdtContent>
      <w:p w14:paraId="20C9C26F" w14:textId="77777777" w:rsidR="008D036F" w:rsidRDefault="008D036F">
        <w:pPr>
          <w:pStyle w:val="Footer"/>
          <w:jc w:val="center"/>
        </w:pPr>
        <w:r>
          <w:fldChar w:fldCharType="begin"/>
        </w:r>
        <w:r>
          <w:instrText xml:space="preserve"> PAGE  \* Arabic  \* MERGEFORMAT </w:instrText>
        </w:r>
        <w:r>
          <w:fldChar w:fldCharType="separate"/>
        </w:r>
        <w:r>
          <w:rPr>
            <w:noProof/>
          </w:rPr>
          <w:t>1</w:t>
        </w:r>
        <w:r>
          <w:fldChar w:fldCharType="end"/>
        </w:r>
      </w:p>
    </w:sdtContent>
  </w:sdt>
  <w:p w14:paraId="7734EFA4" w14:textId="77777777" w:rsidR="00F0191D" w:rsidRDefault="00F0191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6BC47" w14:textId="77777777" w:rsidR="00F0191D" w:rsidRDefault="008D036F">
    <w:pPr>
      <w:pStyle w:val="Footer"/>
      <w:jc w:val="center"/>
    </w:pPr>
    <w:r>
      <w:fldChar w:fldCharType="begin"/>
    </w:r>
    <w:r>
      <w:instrText>PAGE</w:instrText>
    </w:r>
    <w:r>
      <w:fldChar w:fldCharType="separate"/>
    </w:r>
    <w:r>
      <w:rPr>
        <w:noProof/>
      </w:rPr>
      <w:t>2</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9DD3B" w14:textId="77777777" w:rsidR="00CD412A" w:rsidRDefault="00CD412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3C3C3" w14:textId="4A345407" w:rsidR="00CD412A" w:rsidRDefault="00CD412A">
    <w:pPr>
      <w:pStyle w:val="Footer"/>
      <w:jc w:val="center"/>
    </w:pPr>
    <w:r>
      <w:fldChar w:fldCharType="begin"/>
    </w:r>
    <w:r>
      <w:instrText>PAGE</w:instrText>
    </w:r>
    <w:r>
      <w:fldChar w:fldCharType="separate"/>
    </w:r>
    <w:r w:rsidR="00A5304B">
      <w:rPr>
        <w:noProof/>
      </w:rPr>
      <w:t>17</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281269"/>
      <w:docPartObj>
        <w:docPartGallery w:val="Page Numbers (Bottom of Page)"/>
        <w:docPartUnique/>
      </w:docPartObj>
    </w:sdtPr>
    <w:sdtEndPr>
      <w:rPr>
        <w:noProof/>
      </w:rPr>
    </w:sdtEndPr>
    <w:sdtContent>
      <w:p w14:paraId="4595A54A" w14:textId="74BB5219" w:rsidR="00CD412A" w:rsidRDefault="00CD412A">
        <w:pPr>
          <w:pStyle w:val="Footer"/>
          <w:jc w:val="center"/>
        </w:pPr>
        <w:r>
          <w:fldChar w:fldCharType="begin"/>
        </w:r>
        <w:r>
          <w:instrText xml:space="preserve"> PAGE   \* MERGEFORMAT </w:instrText>
        </w:r>
        <w:r>
          <w:fldChar w:fldCharType="separate"/>
        </w:r>
        <w:r w:rsidR="00A5304B">
          <w:rPr>
            <w:noProof/>
          </w:rPr>
          <w:t>8</w:t>
        </w:r>
        <w:r>
          <w:rPr>
            <w:noProof/>
          </w:rPr>
          <w:fldChar w:fldCharType="end"/>
        </w:r>
      </w:p>
    </w:sdtContent>
  </w:sdt>
  <w:p w14:paraId="18F2DE6D" w14:textId="77777777" w:rsidR="00CD412A" w:rsidRDefault="00CD4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FF09B9" w14:textId="77777777" w:rsidR="00271066" w:rsidRDefault="00271066" w:rsidP="006A5F73">
      <w:pPr>
        <w:spacing w:after="0" w:line="240" w:lineRule="auto"/>
      </w:pPr>
      <w:r>
        <w:separator/>
      </w:r>
    </w:p>
  </w:footnote>
  <w:footnote w:type="continuationSeparator" w:id="0">
    <w:p w14:paraId="3E4CD5D4" w14:textId="77777777" w:rsidR="00271066" w:rsidRDefault="00271066" w:rsidP="006A5F73">
      <w:pPr>
        <w:spacing w:after="0" w:line="240" w:lineRule="auto"/>
      </w:pPr>
      <w:r>
        <w:continuationSeparator/>
      </w:r>
    </w:p>
  </w:footnote>
  <w:footnote w:type="continuationNotice" w:id="1">
    <w:p w14:paraId="29CCD653" w14:textId="77777777" w:rsidR="00271066" w:rsidRDefault="00271066">
      <w:pPr>
        <w:spacing w:after="0" w:line="240" w:lineRule="auto"/>
      </w:pPr>
    </w:p>
  </w:footnote>
  <w:footnote w:id="2">
    <w:p w14:paraId="270346F1" w14:textId="77777777" w:rsidR="00B82E5C" w:rsidRPr="00865DDD" w:rsidRDefault="00B82E5C" w:rsidP="00AF5D12">
      <w:pPr>
        <w:pStyle w:val="FootnoteText"/>
        <w:spacing w:after="0"/>
        <w:ind w:left="284" w:hanging="284"/>
        <w:rPr>
          <w:lang w:val="en-IE"/>
        </w:rPr>
      </w:pPr>
      <w:r w:rsidRPr="002E372F">
        <w:rPr>
          <w:rStyle w:val="FootnoteReference"/>
          <w:lang w:val="en-IE"/>
        </w:rPr>
        <w:footnoteRef/>
      </w:r>
      <w:r w:rsidRPr="00865DDD">
        <w:rPr>
          <w:lang w:val="en-IE"/>
        </w:rPr>
        <w:t xml:space="preserve"> Regulation (EU) No 1077/2011 of the European Parliament and the Council of 25 October 2011 establishing a European Union Agency for the operational management of large-scale IT systems in the area of freedom, security and justice, </w:t>
      </w:r>
      <w:r w:rsidRPr="00865DDD">
        <w:rPr>
          <w:i/>
          <w:iCs/>
          <w:lang w:val="en-IE"/>
        </w:rPr>
        <w:t>OJ L 286/1, 01.11.2011.</w:t>
      </w:r>
      <w:r w:rsidRPr="00865DDD">
        <w:rPr>
          <w:lang w:val="en-IE"/>
        </w:rPr>
        <w:t xml:space="preserve"> </w:t>
      </w:r>
    </w:p>
  </w:footnote>
  <w:footnote w:id="3">
    <w:p w14:paraId="57B0646F" w14:textId="4757707D" w:rsidR="00865DDD" w:rsidRPr="002E372F" w:rsidRDefault="00865DDD" w:rsidP="002E372F">
      <w:pPr>
        <w:pStyle w:val="FootnoteText"/>
        <w:spacing w:after="0"/>
        <w:rPr>
          <w:lang w:val="en-IE"/>
        </w:rPr>
      </w:pPr>
      <w:r w:rsidRPr="002E372F">
        <w:rPr>
          <w:rStyle w:val="FootnoteReference"/>
          <w:lang w:val="en-IE"/>
        </w:rPr>
        <w:footnoteRef/>
      </w:r>
      <w:r w:rsidRPr="002E372F">
        <w:rPr>
          <w:lang w:val="en-IE"/>
        </w:rPr>
        <w:t xml:space="preserve"> Regulation (EU) No 603/2013 of the European Parliament and of the Council of 26 June 2013 on the establishment of 'Eurodac' for the comparison of fingerprints for the effective application of Regulation (EU) No 604/2013 establishing the criteria and mechanisms for determining the Member State responsible for examining an application for international protection lodged in one of the Member States by a third-country national or a stateless person and on requests for the comparison with Eurodac data by Member States' law enforcement authorities and Europol for law enforcement purposes, and amending Regulation (EU) No 1077/2011 establishing a European Agency for the operational management of large-scale IT systems in the area of freedom, security and justice (recast), </w:t>
      </w:r>
      <w:r w:rsidRPr="00F85950">
        <w:rPr>
          <w:lang w:val="en-IE"/>
        </w:rPr>
        <w:t>OJ L 180, 29.6.2013, p.1-30</w:t>
      </w:r>
    </w:p>
  </w:footnote>
  <w:footnote w:id="4">
    <w:p w14:paraId="43C554D5" w14:textId="77777777" w:rsidR="00B82E5C" w:rsidRPr="00D01350" w:rsidRDefault="00B82E5C" w:rsidP="00AF5D12">
      <w:pPr>
        <w:pStyle w:val="FootnoteText"/>
        <w:spacing w:after="0"/>
        <w:ind w:left="284" w:hanging="284"/>
        <w:rPr>
          <w:lang w:val="en-IE"/>
        </w:rPr>
      </w:pPr>
      <w:r w:rsidRPr="00865DDD">
        <w:rPr>
          <w:rStyle w:val="FootnoteReference"/>
          <w:lang w:val="en-IE"/>
        </w:rPr>
        <w:footnoteRef/>
      </w:r>
      <w:r w:rsidRPr="00865DDD">
        <w:rPr>
          <w:lang w:val="en-IE"/>
        </w:rPr>
        <w:t xml:space="preserve"> European Commission 2017, </w:t>
      </w:r>
      <w:r w:rsidRPr="00865DDD">
        <w:rPr>
          <w:i/>
          <w:iCs/>
          <w:lang w:val="en-IE"/>
        </w:rPr>
        <w:t xml:space="preserve">Report from the Commission to the European Parliament and the Council on the functioning of the European Agency for the operational management of largescale IT systems in the area of freedom, security and justice (eu-LISA), </w:t>
      </w:r>
      <w:r w:rsidRPr="00865DDD">
        <w:rPr>
          <w:lang w:val="en-IE"/>
        </w:rPr>
        <w:t>COM(2017) 346 final, Brussels</w:t>
      </w:r>
      <w:r w:rsidRPr="00D01350">
        <w:rPr>
          <w:lang w:val="en-IE"/>
        </w:rPr>
        <w:t>.</w:t>
      </w:r>
    </w:p>
  </w:footnote>
  <w:footnote w:id="5">
    <w:p w14:paraId="04543B96" w14:textId="77777777" w:rsidR="00B82E5C" w:rsidRPr="00D01350" w:rsidRDefault="00B82E5C" w:rsidP="00AF5D12">
      <w:pPr>
        <w:pStyle w:val="FootnoteText"/>
        <w:spacing w:after="0"/>
        <w:ind w:left="284" w:hanging="284"/>
        <w:rPr>
          <w:lang w:val="en-IE"/>
        </w:rPr>
      </w:pPr>
      <w:r w:rsidRPr="00D01350">
        <w:rPr>
          <w:rStyle w:val="FootnoteReference"/>
          <w:lang w:val="en-IE"/>
        </w:rPr>
        <w:footnoteRef/>
      </w:r>
      <w:r w:rsidRPr="00D01350">
        <w:rPr>
          <w:lang w:val="en-IE"/>
        </w:rPr>
        <w:t xml:space="preserve"> Regulation (EU) 2018/1726 of the European Parliament and of the Council of 14 November 2018 on the European Union Agency for the Operational Management of Large-Scale IT Systems in the Area of Freedom, Security and Justice (eu-LISA), and amending Regulation (EC) No 1987/2006 and Council Decision 2007/533/JHA and repealing Regulation (EU) No 1077/2011, </w:t>
      </w:r>
      <w:r w:rsidRPr="00D01350">
        <w:rPr>
          <w:i/>
          <w:iCs/>
          <w:lang w:val="en-IE"/>
        </w:rPr>
        <w:t>OJ L 295, 21.11.2018, p. 99–137</w:t>
      </w:r>
    </w:p>
  </w:footnote>
  <w:footnote w:id="6">
    <w:p w14:paraId="2DA4933D" w14:textId="0A4056CC" w:rsidR="00225958" w:rsidRPr="003C1D81" w:rsidRDefault="00225958" w:rsidP="00225958">
      <w:pPr>
        <w:pStyle w:val="FootnoteText"/>
        <w:rPr>
          <w:lang w:val="en-IE"/>
        </w:rPr>
      </w:pPr>
      <w:r>
        <w:rPr>
          <w:rStyle w:val="FootnoteReference"/>
        </w:rPr>
        <w:footnoteRef/>
      </w:r>
      <w:r>
        <w:t xml:space="preserve"> </w:t>
      </w:r>
      <w:r w:rsidR="00521131" w:rsidRPr="00AE1B03">
        <w:rPr>
          <w:lang w:val="en-IE"/>
        </w:rPr>
        <w:t>Study to support the evaluation of Regulation (EU) 2018/1726 of the European Parliament and of the Council of 14 November 2018 on eu-LISA. ISBN: 978-92-68-34401-9</w:t>
      </w:r>
    </w:p>
  </w:footnote>
  <w:footnote w:id="7">
    <w:p w14:paraId="6F34D02E" w14:textId="77777777" w:rsidR="005D693A" w:rsidRPr="00D01350" w:rsidRDefault="005D693A" w:rsidP="00AF5D12">
      <w:pPr>
        <w:pStyle w:val="FootnoteText"/>
        <w:spacing w:after="0"/>
        <w:ind w:left="284" w:hanging="284"/>
        <w:rPr>
          <w:lang w:val="en-IE"/>
        </w:rPr>
      </w:pPr>
      <w:r w:rsidRPr="00D01350">
        <w:rPr>
          <w:rStyle w:val="FootnoteReference"/>
        </w:rPr>
        <w:footnoteRef/>
      </w:r>
      <w:r w:rsidRPr="00D01350">
        <w:rPr>
          <w:lang w:val="en-IE"/>
        </w:rPr>
        <w:t xml:space="preserve"> European Commission 2017, Report on the functioning of the European Agency for the operational management of large-scale IT systems in the area of freedom, security and justice (eu-LISA), COM (2017) 346 final, Brussels.</w:t>
      </w:r>
    </w:p>
  </w:footnote>
  <w:footnote w:id="8">
    <w:p w14:paraId="259A3143" w14:textId="77777777" w:rsidR="00AF4CBD" w:rsidRPr="00D01350" w:rsidRDefault="00AF4CBD" w:rsidP="00AF4CBD">
      <w:pPr>
        <w:pStyle w:val="FootnoteText"/>
        <w:spacing w:after="0"/>
        <w:ind w:left="284" w:hanging="284"/>
        <w:rPr>
          <w:lang w:val="en-IE"/>
        </w:rPr>
      </w:pPr>
      <w:r w:rsidRPr="00D01350">
        <w:rPr>
          <w:rStyle w:val="FootnoteReference"/>
        </w:rPr>
        <w:footnoteRef/>
      </w:r>
      <w:r w:rsidRPr="00D01350">
        <w:rPr>
          <w:lang w:val="en-IE"/>
        </w:rPr>
        <w:t xml:space="preserve"> Regulation (EU) 2018/1726 of 14 November 2018 on the European Union Agency for the Operational Management of Large-Scale IT Systems in the Area of Freedom, Security and Justice (eu-LISA), and amending Regulation (EC) No 1987/2006 and Council Decision 2007/533/JHA and repealing Regulation (EU) No 1077/2011, Official Journal of the European Union. L295/99, 21.11.2018.</w:t>
      </w:r>
    </w:p>
  </w:footnote>
  <w:footnote w:id="9">
    <w:p w14:paraId="18FD47BB" w14:textId="77777777" w:rsidR="003E6E16" w:rsidRPr="00D01350" w:rsidRDefault="003E6E16" w:rsidP="003E6E16">
      <w:pPr>
        <w:pStyle w:val="FootnoteText"/>
        <w:spacing w:after="0"/>
        <w:ind w:left="284" w:hanging="284"/>
        <w:rPr>
          <w:lang w:val="en-IE"/>
        </w:rPr>
      </w:pPr>
      <w:r w:rsidRPr="00D01350">
        <w:rPr>
          <w:rStyle w:val="FootnoteReference"/>
        </w:rPr>
        <w:footnoteRef/>
      </w:r>
      <w:r w:rsidRPr="00D01350">
        <w:rPr>
          <w:lang w:val="en-IE"/>
        </w:rPr>
        <w:t xml:space="preserve"> Regulation (EU) 2018/1726 of the European Parliament and of the Council of 14 November 2018 on the European Union Agency for the Operational Management of Large-Scale IT Systems in the Area of Freedom, Security and Justice (eu-LISA), and amending Regulation (EC) No 1987/2006 and Council Decision 2007/533/JHA and repealing Regulation (EU) No 1077/2011.</w:t>
      </w:r>
    </w:p>
  </w:footnote>
  <w:footnote w:id="10">
    <w:p w14:paraId="19A05A1D" w14:textId="07973D36" w:rsidR="003F4225" w:rsidRPr="004E2424" w:rsidRDefault="003F4225">
      <w:pPr>
        <w:pStyle w:val="FootnoteText"/>
        <w:rPr>
          <w:lang w:val="en-IE"/>
        </w:rPr>
      </w:pPr>
      <w:r>
        <w:rPr>
          <w:rStyle w:val="FootnoteReference"/>
        </w:rPr>
        <w:footnoteRef/>
      </w:r>
      <w:r w:rsidRPr="004E2424">
        <w:rPr>
          <w:lang w:val="en-IE"/>
        </w:rPr>
        <w:t xml:space="preserve"> </w:t>
      </w:r>
      <w:r w:rsidRPr="003F4225">
        <w:rPr>
          <w:lang w:val="en-IE"/>
        </w:rPr>
        <w:t>The eu-LISA Regulation ex</w:t>
      </w:r>
      <w:r w:rsidRPr="004E2424">
        <w:rPr>
          <w:lang w:val="en-IE"/>
        </w:rPr>
        <w:t>tend th</w:t>
      </w:r>
      <w:r>
        <w:rPr>
          <w:lang w:val="en-IE"/>
        </w:rPr>
        <w:t xml:space="preserve">e mandate of eu-LISA. However, some of the tasks entrusted by the establishing regulation remain. Therefore, while the primary focus of the evaluation is to assess the changes since the introduction of the eu-LISA Regulation, it is also important to </w:t>
      </w:r>
      <w:r w:rsidR="00E84236">
        <w:rPr>
          <w:lang w:val="en-IE"/>
        </w:rPr>
        <w:t>consider</w:t>
      </w:r>
      <w:r>
        <w:rPr>
          <w:lang w:val="en-IE"/>
        </w:rPr>
        <w:t xml:space="preserve"> the aspects of eu-LISA that have not significantly changes since its establishment. </w:t>
      </w:r>
    </w:p>
  </w:footnote>
  <w:footnote w:id="11">
    <w:p w14:paraId="77FE1062" w14:textId="77777777" w:rsidR="002D1522" w:rsidRPr="00D01350" w:rsidRDefault="002D1522" w:rsidP="002D1522">
      <w:pPr>
        <w:pStyle w:val="FootnoteText"/>
        <w:spacing w:after="0"/>
        <w:ind w:left="284" w:hanging="284"/>
        <w:rPr>
          <w:lang w:val="en-IE"/>
        </w:rPr>
      </w:pPr>
      <w:r w:rsidRPr="00D01350">
        <w:rPr>
          <w:rStyle w:val="FootnoteReference"/>
        </w:rPr>
        <w:footnoteRef/>
      </w:r>
      <w:r w:rsidRPr="00D01350">
        <w:rPr>
          <w:lang w:val="en-IE"/>
        </w:rPr>
        <w:t xml:space="preserve"> Regulation (EU) No 1077/2011 of the European Parliament and the Council of 25 October 2011 establishing a European Union Agency for the operational management of large-scale IT systems in the area of freedom, security and justice, </w:t>
      </w:r>
      <w:r w:rsidRPr="00D01350">
        <w:rPr>
          <w:i/>
          <w:iCs/>
          <w:lang w:val="en-IE"/>
        </w:rPr>
        <w:t>OJ L 286/1, 01.11.2011.</w:t>
      </w:r>
      <w:r w:rsidRPr="00D01350">
        <w:rPr>
          <w:lang w:val="en-IE"/>
        </w:rPr>
        <w:t xml:space="preserve"> </w:t>
      </w:r>
    </w:p>
  </w:footnote>
  <w:footnote w:id="12">
    <w:p w14:paraId="71AE0DE7" w14:textId="4C004DB1" w:rsidR="005E1AC1" w:rsidRDefault="00D23BAF" w:rsidP="004E2424">
      <w:pPr>
        <w:pStyle w:val="FootnoteText"/>
        <w:spacing w:after="0"/>
        <w:rPr>
          <w:lang w:val="en-IE"/>
        </w:rPr>
      </w:pPr>
      <w:r w:rsidRPr="004E2424">
        <w:rPr>
          <w:rStyle w:val="FootnoteReference"/>
          <w:lang w:val="en-IE"/>
        </w:rPr>
        <w:footnoteRef/>
      </w:r>
      <w:r w:rsidRPr="004E2424">
        <w:rPr>
          <w:lang w:val="en-IE"/>
        </w:rPr>
        <w:t xml:space="preserve"> </w:t>
      </w:r>
      <w:r w:rsidRPr="005E1AC1">
        <w:rPr>
          <w:lang w:val="en-IE"/>
        </w:rPr>
        <w:t>The</w:t>
      </w:r>
      <w:r w:rsidR="00FC7233">
        <w:rPr>
          <w:lang w:val="en-IE"/>
        </w:rPr>
        <w:t xml:space="preserve"> 2018</w:t>
      </w:r>
      <w:r w:rsidRPr="005E1AC1">
        <w:rPr>
          <w:lang w:val="en-IE"/>
        </w:rPr>
        <w:t xml:space="preserve"> eu-LISA Regulation was amended in 2019</w:t>
      </w:r>
      <w:r w:rsidR="005E1AC1">
        <w:rPr>
          <w:lang w:val="en-IE"/>
        </w:rPr>
        <w:t xml:space="preserve">, 2022, 2023, </w:t>
      </w:r>
      <w:r w:rsidR="003A324E">
        <w:rPr>
          <w:lang w:val="en-IE"/>
        </w:rPr>
        <w:t xml:space="preserve">and </w:t>
      </w:r>
      <w:r w:rsidR="005E1AC1">
        <w:rPr>
          <w:lang w:val="en-IE"/>
        </w:rPr>
        <w:t>2024</w:t>
      </w:r>
      <w:r w:rsidR="003A324E">
        <w:rPr>
          <w:lang w:val="en-IE"/>
        </w:rPr>
        <w:t xml:space="preserve"> </w:t>
      </w:r>
      <w:r w:rsidRPr="005E1AC1">
        <w:rPr>
          <w:lang w:val="en-IE"/>
        </w:rPr>
        <w:t>by</w:t>
      </w:r>
      <w:r w:rsidR="005E1AC1" w:rsidRPr="005E1AC1">
        <w:rPr>
          <w:lang w:val="en-IE"/>
        </w:rPr>
        <w:t>:</w:t>
      </w:r>
      <w:r w:rsidRPr="005E1AC1">
        <w:rPr>
          <w:lang w:val="en-IE"/>
        </w:rPr>
        <w:t xml:space="preserve"> </w:t>
      </w:r>
    </w:p>
    <w:p w14:paraId="57A2727D" w14:textId="77777777" w:rsidR="005E1AC1" w:rsidRDefault="00D23BAF" w:rsidP="004E2424">
      <w:pPr>
        <w:pStyle w:val="FootnoteText"/>
        <w:numPr>
          <w:ilvl w:val="0"/>
          <w:numId w:val="84"/>
        </w:numPr>
        <w:spacing w:after="0"/>
        <w:rPr>
          <w:lang w:val="en-IE"/>
        </w:rPr>
      </w:pPr>
      <w:r w:rsidRPr="005E1AC1">
        <w:rPr>
          <w:lang w:val="en-IE"/>
        </w:rPr>
        <w:t>Regulation (EU) 2018/1816</w:t>
      </w:r>
      <w:r w:rsidR="005E1AC1" w:rsidRPr="004E2424">
        <w:rPr>
          <w:rFonts w:ascii="Roboto" w:eastAsiaTheme="minorHAnsi" w:hAnsi="Roboto" w:cstheme="minorBidi"/>
          <w:b/>
          <w:bCs/>
          <w:color w:val="333333"/>
          <w:sz w:val="21"/>
          <w:szCs w:val="21"/>
          <w:shd w:val="clear" w:color="auto" w:fill="FFFFFF"/>
          <w:lang w:val="en-IE"/>
        </w:rPr>
        <w:t xml:space="preserve"> </w:t>
      </w:r>
      <w:r w:rsidR="005E1AC1" w:rsidRPr="004E2424">
        <w:rPr>
          <w:lang w:val="en-IE"/>
        </w:rPr>
        <w:t xml:space="preserve">of the European Parliament and of the Council of 17 April 2019 establishing a centralised system for the identification of Member States holding conviction information on third-country nationals and stateless persons (ECRIS-TCN) to supplement the European Criminal Records Information System and amending Regulation (EU) 2018/1726 ; </w:t>
      </w:r>
    </w:p>
    <w:p w14:paraId="2E2F7532" w14:textId="50196442" w:rsidR="005E1AC1" w:rsidRDefault="005E1AC1" w:rsidP="004E2424">
      <w:pPr>
        <w:pStyle w:val="FootnoteText"/>
        <w:numPr>
          <w:ilvl w:val="0"/>
          <w:numId w:val="84"/>
        </w:numPr>
        <w:spacing w:after="0"/>
        <w:rPr>
          <w:lang w:val="en-IE"/>
        </w:rPr>
      </w:pPr>
      <w:r w:rsidRPr="004E2424">
        <w:rPr>
          <w:lang w:val="en-IE"/>
        </w:rPr>
        <w:t xml:space="preserve">Regulation (EU) 2019/817 of the European Parliament and of the Council of 20 May 2019 on establishing a framework for interoperability between EU information systems in the field of borders and visa and amending Regulations (EC) No 767/2008, (EU) 2016/399, (EU) 2017/2226, (EU) 2018/1240, (EU) 2018/1726 and (EU) 2018/1861 of the European Parliament and of the Council and Council Decisions 2004/512/EC and 2008/633/JHA; </w:t>
      </w:r>
    </w:p>
    <w:p w14:paraId="5FBD906D" w14:textId="01E0A653" w:rsidR="00D23BAF" w:rsidRDefault="005E1AC1" w:rsidP="004E2424">
      <w:pPr>
        <w:pStyle w:val="FootnoteText"/>
        <w:numPr>
          <w:ilvl w:val="0"/>
          <w:numId w:val="84"/>
        </w:numPr>
        <w:spacing w:after="0"/>
        <w:rPr>
          <w:lang w:val="en-IE"/>
        </w:rPr>
      </w:pPr>
      <w:r w:rsidRPr="004E2424">
        <w:rPr>
          <w:lang w:val="en-IE"/>
        </w:rPr>
        <w:t>Regulation (EU) 2019/818 of the European Parliament and of the Council of 20 May 2019 on establishing a framework for interoperability between EU information systems in the field of police and judicial cooperation, asylum and migration and amending Regulations (EU) 2018/1726, (EU) 2018/1862 and (EU) 2019/816</w:t>
      </w:r>
      <w:r w:rsidR="00FC7233">
        <w:rPr>
          <w:lang w:val="en-IE"/>
        </w:rPr>
        <w:t>;</w:t>
      </w:r>
    </w:p>
    <w:p w14:paraId="6855B612" w14:textId="21F12746" w:rsidR="005E1AC1" w:rsidRPr="004E2424" w:rsidRDefault="005E1AC1" w:rsidP="004E2424">
      <w:pPr>
        <w:pStyle w:val="FootnoteText"/>
        <w:numPr>
          <w:ilvl w:val="0"/>
          <w:numId w:val="84"/>
        </w:numPr>
        <w:spacing w:after="0"/>
        <w:rPr>
          <w:lang w:val="en-IE"/>
        </w:rPr>
      </w:pPr>
      <w:r w:rsidRPr="004E2424">
        <w:rPr>
          <w:lang w:val="en-IE"/>
        </w:rPr>
        <w:t>Regulation (EU) 2022/850 of the European Parliament and of the Council of 30 May 2022 on a computerised system for the cross-border electronic exchange of data in the area of judicial cooperation in civil and criminal matters (e-CODEX system), and amending Regulation (EU) 2018/1726 (Text with EEA relevance)</w:t>
      </w:r>
      <w:r w:rsidR="00FC7233">
        <w:rPr>
          <w:lang w:val="en-IE"/>
        </w:rPr>
        <w:t>;</w:t>
      </w:r>
    </w:p>
    <w:p w14:paraId="728604DE" w14:textId="1396BABD" w:rsidR="005E1AC1" w:rsidRPr="004E2424" w:rsidRDefault="005E1AC1" w:rsidP="004E2424">
      <w:pPr>
        <w:pStyle w:val="FootnoteText"/>
        <w:numPr>
          <w:ilvl w:val="0"/>
          <w:numId w:val="84"/>
        </w:numPr>
        <w:spacing w:after="0"/>
        <w:rPr>
          <w:lang w:val="en-IE"/>
        </w:rPr>
      </w:pPr>
      <w:r w:rsidRPr="004E2424">
        <w:rPr>
          <w:lang w:val="en-IE"/>
        </w:rPr>
        <w:t>Regulation (EU) 2023/969 of the European Parliament and of the Council of 10 May 2023 establishing a collaboration platform to support the functioning of joint investigation teams and amending Regulation (EU) 2018/1726</w:t>
      </w:r>
      <w:r w:rsidR="00FC7233">
        <w:rPr>
          <w:lang w:val="en-IE"/>
        </w:rPr>
        <w:t>;</w:t>
      </w:r>
    </w:p>
    <w:p w14:paraId="6C4C3BC2" w14:textId="447CAE13" w:rsidR="005E1AC1" w:rsidRPr="004E2424" w:rsidRDefault="005E1AC1" w:rsidP="004E2424">
      <w:pPr>
        <w:pStyle w:val="FootnoteText"/>
        <w:numPr>
          <w:ilvl w:val="0"/>
          <w:numId w:val="84"/>
        </w:numPr>
        <w:spacing w:after="0"/>
        <w:rPr>
          <w:lang w:val="en-IE"/>
        </w:rPr>
      </w:pPr>
      <w:r w:rsidRPr="004E2424">
        <w:rPr>
          <w:lang w:val="en-IE"/>
        </w:rPr>
        <w:t>Regulation (EU) 2024/982 of the European Parliament and of the Council of 13 March 2024 on the automated search and exchange of data for police cooperation, and amending Council Decisions 2008/615/JHA and 2008/616/JHA and Regulations (EU) 2018/1726, (EU) No 2019/817 and (EU) 2019/818 of the Europe</w:t>
      </w:r>
      <w:r w:rsidR="001A57DF" w:rsidRPr="004E2424">
        <w:rPr>
          <w:lang w:val="en-IE"/>
        </w:rPr>
        <w:t xml:space="preserve"> </w:t>
      </w:r>
      <w:r w:rsidRPr="004E2424">
        <w:rPr>
          <w:lang w:val="en-IE"/>
        </w:rPr>
        <w:t>an Parliament and of the Council (the Prüm II Regulation)</w:t>
      </w:r>
      <w:r w:rsidR="00FC7233">
        <w:rPr>
          <w:lang w:val="en-IE"/>
        </w:rPr>
        <w:t>; and</w:t>
      </w:r>
    </w:p>
    <w:p w14:paraId="6F5A4941" w14:textId="10FAF03A" w:rsidR="005E1AC1" w:rsidRPr="005E1AC1" w:rsidRDefault="005E1AC1" w:rsidP="004E2424">
      <w:pPr>
        <w:pStyle w:val="FootnoteText"/>
        <w:numPr>
          <w:ilvl w:val="0"/>
          <w:numId w:val="84"/>
        </w:numPr>
        <w:spacing w:after="0"/>
        <w:rPr>
          <w:lang w:val="en-IE"/>
        </w:rPr>
      </w:pPr>
      <w:r w:rsidRPr="004E2424">
        <w:rPr>
          <w:lang w:val="en-IE"/>
        </w:rPr>
        <w:t>Regulation (EU) 2025/12 of the European Parliament and of the Council of 19 December 2024 on the collection and transfer of advance passenger information for enhancing and facilitating external border checks, amending Regulations (EU) 2018/1726 and (EU) 2019/817, and repealing Council Directive 2004/82/EC</w:t>
      </w:r>
      <w:r w:rsidR="00B44BDB">
        <w:rPr>
          <w:lang w:val="en-IE"/>
        </w:rPr>
        <w:t xml:space="preserve">; and </w:t>
      </w:r>
      <w:r w:rsidR="00B44BDB" w:rsidRPr="00B44BDB">
        <w:rPr>
          <w:lang w:val="en-IE"/>
        </w:rPr>
        <w:t>Regulation (EU) 2025/13 of the European Parliament and of the Council of 19 December 2024 on the collection and transfer of advance passenger information for the prevention, detection, investigation and prosecution of terrorist offences and serious crime, and amending Regulation (EU) 2019/818</w:t>
      </w:r>
      <w:r w:rsidR="00B44BDB">
        <w:rPr>
          <w:lang w:val="en-IE"/>
        </w:rPr>
        <w:t>.</w:t>
      </w:r>
    </w:p>
    <w:p w14:paraId="5C743CED" w14:textId="12BCA97B" w:rsidR="005E1AC1" w:rsidRPr="004E2424" w:rsidRDefault="005E1AC1" w:rsidP="004E2424">
      <w:pPr>
        <w:pStyle w:val="FootnoteText"/>
        <w:ind w:left="0" w:firstLine="0"/>
        <w:rPr>
          <w:lang w:val="en-IE"/>
        </w:rPr>
      </w:pPr>
    </w:p>
  </w:footnote>
  <w:footnote w:id="13">
    <w:p w14:paraId="4307AE2D" w14:textId="5769F06A" w:rsidR="00F05085" w:rsidRPr="00F05085" w:rsidRDefault="00F05085">
      <w:pPr>
        <w:pStyle w:val="FootnoteText"/>
      </w:pPr>
      <w:r>
        <w:rPr>
          <w:rStyle w:val="FootnoteReference"/>
        </w:rPr>
        <w:footnoteRef/>
      </w:r>
      <w:r>
        <w:t xml:space="preserve"> </w:t>
      </w:r>
      <w:r w:rsidRPr="002048C6">
        <w:rPr>
          <w:lang w:val="en-IE"/>
        </w:rPr>
        <w:t>The "Prüm II router" is a central, secure point for EU member states to automatically exchange police and criminal data under the new Prüm II Regulation. It acts as a central "message broker" that connects national databases, eliminating the need for each member state to establish direct connections with every other country. This new router facilitates faster and more efficient searches of data like fingerprints, facial images, and police records for law enforcement purposes. </w:t>
      </w:r>
    </w:p>
  </w:footnote>
  <w:footnote w:id="14">
    <w:p w14:paraId="1610C843" w14:textId="4A2594E5" w:rsidR="008E1B15" w:rsidRPr="004E2424" w:rsidRDefault="008E1B15" w:rsidP="004E2424">
      <w:pPr>
        <w:pStyle w:val="FootnoteText"/>
        <w:spacing w:after="0"/>
        <w:rPr>
          <w:lang w:val="en-IE"/>
        </w:rPr>
      </w:pPr>
      <w:r>
        <w:rPr>
          <w:rStyle w:val="FootnoteReference"/>
        </w:rPr>
        <w:footnoteRef/>
      </w:r>
      <w:r>
        <w:t xml:space="preserve"> </w:t>
      </w:r>
      <w:r>
        <w:rPr>
          <w:lang w:val="en-IE"/>
        </w:rPr>
        <w:t xml:space="preserve">The Schengen Associated countries have approved the Arrangement of their participation in eu-LISA. They have voting rights limited to the systems in which they participate, and to the items listed in Article 2(2) of the Arrangements. </w:t>
      </w:r>
    </w:p>
  </w:footnote>
  <w:footnote w:id="15">
    <w:p w14:paraId="30465D15" w14:textId="05DE9DD7" w:rsidR="00717D15" w:rsidRPr="00004DA6" w:rsidRDefault="00717D15" w:rsidP="00AF5D12">
      <w:pPr>
        <w:pStyle w:val="FootnoteText"/>
        <w:spacing w:after="0"/>
        <w:ind w:left="284" w:hanging="284"/>
        <w:rPr>
          <w:lang w:val="fr-BE"/>
        </w:rPr>
      </w:pPr>
      <w:r w:rsidRPr="00D01350">
        <w:rPr>
          <w:rStyle w:val="FootnoteReference"/>
        </w:rPr>
        <w:footnoteRef/>
      </w:r>
      <w:r w:rsidRPr="00004DA6">
        <w:rPr>
          <w:lang w:val="fr-BE"/>
        </w:rPr>
        <w:t xml:space="preserve"> Regulation (EU) 2018/1240, </w:t>
      </w:r>
      <w:r w:rsidR="009D5108" w:rsidRPr="00004DA6">
        <w:rPr>
          <w:lang w:val="fr-BE"/>
        </w:rPr>
        <w:t>Article</w:t>
      </w:r>
      <w:r w:rsidRPr="00004DA6">
        <w:rPr>
          <w:lang w:val="fr-BE"/>
        </w:rPr>
        <w:t xml:space="preserve"> 73.</w:t>
      </w:r>
    </w:p>
  </w:footnote>
  <w:footnote w:id="16">
    <w:p w14:paraId="166DBAAF" w14:textId="485A007F" w:rsidR="00717D15" w:rsidRPr="00004DA6" w:rsidRDefault="00717D15" w:rsidP="00AF5D12">
      <w:pPr>
        <w:pStyle w:val="FootnoteText"/>
        <w:spacing w:after="0"/>
        <w:ind w:left="284" w:hanging="284"/>
        <w:rPr>
          <w:lang w:val="fr-BE"/>
        </w:rPr>
      </w:pPr>
      <w:r w:rsidRPr="00D01350">
        <w:rPr>
          <w:rStyle w:val="FootnoteReference"/>
        </w:rPr>
        <w:footnoteRef/>
      </w:r>
      <w:r w:rsidRPr="00004DA6">
        <w:rPr>
          <w:lang w:val="fr-BE"/>
        </w:rPr>
        <w:t xml:space="preserve"> Regulation (EU) 2017/2226, </w:t>
      </w:r>
      <w:r w:rsidR="009D5108" w:rsidRPr="00004DA6">
        <w:rPr>
          <w:lang w:val="fr-BE"/>
        </w:rPr>
        <w:t>Article</w:t>
      </w:r>
      <w:r w:rsidRPr="00004DA6">
        <w:rPr>
          <w:lang w:val="fr-BE"/>
        </w:rPr>
        <w:t xml:space="preserve"> 37.</w:t>
      </w:r>
    </w:p>
  </w:footnote>
  <w:footnote w:id="17">
    <w:p w14:paraId="0A9F8D11" w14:textId="3FD1D53D" w:rsidR="00717D15" w:rsidRPr="00004DA6" w:rsidRDefault="00717D15" w:rsidP="00AF5D12">
      <w:pPr>
        <w:pStyle w:val="FootnoteText"/>
        <w:spacing w:after="0"/>
        <w:ind w:left="284" w:hanging="284"/>
        <w:rPr>
          <w:lang w:val="fr-BE"/>
        </w:rPr>
      </w:pPr>
      <w:r w:rsidRPr="00D01350">
        <w:rPr>
          <w:rStyle w:val="FootnoteReference"/>
        </w:rPr>
        <w:footnoteRef/>
      </w:r>
      <w:r w:rsidRPr="00004DA6">
        <w:rPr>
          <w:lang w:val="fr-BE"/>
        </w:rPr>
        <w:t xml:space="preserve"> Regulation (EU) 2019/816, </w:t>
      </w:r>
      <w:r w:rsidR="009D5108" w:rsidRPr="00004DA6">
        <w:rPr>
          <w:lang w:val="fr-BE"/>
        </w:rPr>
        <w:t>Article</w:t>
      </w:r>
      <w:r w:rsidRPr="00004DA6">
        <w:rPr>
          <w:lang w:val="fr-BE"/>
        </w:rPr>
        <w:t xml:space="preserve"> 11.</w:t>
      </w:r>
    </w:p>
  </w:footnote>
  <w:footnote w:id="18">
    <w:p w14:paraId="25F36F36" w14:textId="6FEE5B7A" w:rsidR="00717D15" w:rsidRPr="00004DA6" w:rsidRDefault="00717D15" w:rsidP="00AF5D12">
      <w:pPr>
        <w:pStyle w:val="FootnoteText"/>
        <w:spacing w:after="0"/>
        <w:ind w:left="284" w:hanging="284"/>
        <w:rPr>
          <w:lang w:val="fr-BE"/>
        </w:rPr>
      </w:pPr>
      <w:r w:rsidRPr="00D01350">
        <w:rPr>
          <w:rStyle w:val="FootnoteReference"/>
        </w:rPr>
        <w:footnoteRef/>
      </w:r>
      <w:r w:rsidRPr="00004DA6">
        <w:rPr>
          <w:lang w:val="fr-BE"/>
        </w:rPr>
        <w:t xml:space="preserve"> Regulation (EU) 2022/850, </w:t>
      </w:r>
      <w:r w:rsidR="009D5108" w:rsidRPr="00004DA6">
        <w:rPr>
          <w:lang w:val="fr-BE"/>
        </w:rPr>
        <w:t>Article</w:t>
      </w:r>
      <w:r w:rsidRPr="00004DA6">
        <w:rPr>
          <w:lang w:val="fr-BE"/>
        </w:rPr>
        <w:t xml:space="preserve"> 13.</w:t>
      </w:r>
    </w:p>
  </w:footnote>
  <w:footnote w:id="19">
    <w:p w14:paraId="06FE40A4" w14:textId="26383AC1" w:rsidR="00717D15" w:rsidRPr="00D01350" w:rsidRDefault="00717D15" w:rsidP="00AF5D12">
      <w:pPr>
        <w:pStyle w:val="FootnoteText"/>
        <w:spacing w:after="0"/>
        <w:ind w:left="284" w:hanging="284"/>
        <w:rPr>
          <w:lang w:val="en-IE"/>
        </w:rPr>
      </w:pPr>
      <w:r w:rsidRPr="00D01350">
        <w:rPr>
          <w:rStyle w:val="FootnoteReference"/>
        </w:rPr>
        <w:footnoteRef/>
      </w:r>
      <w:r w:rsidRPr="00D01350">
        <w:rPr>
          <w:lang w:val="en-IE"/>
        </w:rPr>
        <w:t xml:space="preserve"> Regulation (EU) 2023/696, </w:t>
      </w:r>
      <w:r w:rsidR="009D5108" w:rsidRPr="009D5108">
        <w:rPr>
          <w:lang w:val="en-IE"/>
        </w:rPr>
        <w:t>Article</w:t>
      </w:r>
      <w:r w:rsidRPr="00D01350">
        <w:rPr>
          <w:lang w:val="en-IE"/>
        </w:rPr>
        <w:t xml:space="preserve"> 11.</w:t>
      </w:r>
    </w:p>
  </w:footnote>
  <w:footnote w:id="20">
    <w:p w14:paraId="630274C5" w14:textId="77777777" w:rsidR="00717D15" w:rsidRPr="00D01350" w:rsidRDefault="00717D15" w:rsidP="00AF5D12">
      <w:pPr>
        <w:pStyle w:val="FootnoteText"/>
        <w:spacing w:after="0"/>
        <w:ind w:left="284" w:hanging="284"/>
        <w:rPr>
          <w:lang w:val="en-IE"/>
        </w:rPr>
      </w:pPr>
      <w:r w:rsidRPr="00D01350">
        <w:rPr>
          <w:rStyle w:val="FootnoteReference"/>
        </w:rPr>
        <w:footnoteRef/>
      </w:r>
      <w:r w:rsidRPr="00D01350">
        <w:rPr>
          <w:lang w:val="en-IE"/>
        </w:rPr>
        <w:t xml:space="preserve"> Regulation (EU) 2022/850 of the European Parliament and of the Council of 30 May 2022 on a computerised system for the cross-border electronic exchange of data in the area of judicial cooperation in civil and criminal matters (e-CODEX system) and amending Regulation (EU) 2018/1726 (Text with EEA relevance), OJ L 150, 1.6.2022, p. 1–19. </w:t>
      </w:r>
    </w:p>
  </w:footnote>
  <w:footnote w:id="21">
    <w:p w14:paraId="70469550" w14:textId="77777777" w:rsidR="00717D15" w:rsidRPr="00D01350" w:rsidRDefault="00717D15" w:rsidP="00AF5D12">
      <w:pPr>
        <w:pStyle w:val="FootnoteText"/>
        <w:spacing w:after="0"/>
        <w:ind w:left="284" w:hanging="284"/>
        <w:rPr>
          <w:lang w:val="en-IE"/>
        </w:rPr>
      </w:pPr>
      <w:r w:rsidRPr="00D01350">
        <w:rPr>
          <w:rStyle w:val="FootnoteReference"/>
        </w:rPr>
        <w:footnoteRef/>
      </w:r>
      <w:r w:rsidRPr="00D01350">
        <w:rPr>
          <w:lang w:val="en-IE"/>
        </w:rPr>
        <w:t xml:space="preserve"> PMBs are established as sub-groups of the MB. Their members are also attending the MB.</w:t>
      </w:r>
    </w:p>
  </w:footnote>
  <w:footnote w:id="22">
    <w:p w14:paraId="5EDAFF8B" w14:textId="6BE99650" w:rsidR="00717D15" w:rsidRPr="00D01350" w:rsidRDefault="00717D15" w:rsidP="00AF5D12">
      <w:pPr>
        <w:pStyle w:val="FootnoteText"/>
        <w:tabs>
          <w:tab w:val="left" w:pos="5850"/>
        </w:tabs>
        <w:spacing w:after="0"/>
        <w:ind w:left="284" w:hanging="284"/>
        <w:rPr>
          <w:lang w:val="en-IE"/>
        </w:rPr>
      </w:pPr>
      <w:r w:rsidRPr="00D01350">
        <w:rPr>
          <w:rStyle w:val="FootnoteReference"/>
        </w:rPr>
        <w:footnoteRef/>
      </w:r>
      <w:r w:rsidRPr="00D01350">
        <w:rPr>
          <w:lang w:val="en-IE"/>
        </w:rPr>
        <w:t xml:space="preserve"> eu-LISA, 2022, Annual Activity Report 2021, p. 63. </w:t>
      </w:r>
      <w:r w:rsidRPr="00D01350">
        <w:rPr>
          <w:lang w:val="en-IE"/>
        </w:rPr>
        <w:tab/>
      </w:r>
    </w:p>
  </w:footnote>
  <w:footnote w:id="23">
    <w:p w14:paraId="698CB302" w14:textId="229820BF" w:rsidR="008B00F7" w:rsidRPr="008B00F7" w:rsidRDefault="008B00F7">
      <w:pPr>
        <w:pStyle w:val="FootnoteText"/>
      </w:pPr>
      <w:r>
        <w:rPr>
          <w:rStyle w:val="FootnoteReference"/>
        </w:rPr>
        <w:footnoteRef/>
      </w:r>
      <w:r>
        <w:t xml:space="preserve"> Article 17(3) of the e-CODEX Regulation provides that the tasks relating to the development and operational management of the e-CODEX shall be carried out in Tallinn, Estonia.</w:t>
      </w:r>
    </w:p>
  </w:footnote>
  <w:footnote w:id="24">
    <w:p w14:paraId="65BF5824" w14:textId="1904FE12" w:rsidR="00640B1D" w:rsidRPr="004E2424" w:rsidRDefault="00640B1D">
      <w:pPr>
        <w:pStyle w:val="FootnoteText"/>
        <w:rPr>
          <w:lang w:val="en-IE"/>
        </w:rPr>
      </w:pPr>
      <w:r>
        <w:rPr>
          <w:rStyle w:val="FootnoteReference"/>
        </w:rPr>
        <w:footnoteRef/>
      </w:r>
      <w:r>
        <w:t xml:space="preserve"> </w:t>
      </w:r>
      <w:r w:rsidRPr="004E2424">
        <w:rPr>
          <w:lang w:val="en-IE"/>
        </w:rPr>
        <w:t>See Regulation</w:t>
      </w:r>
      <w:r w:rsidR="00A4600D">
        <w:rPr>
          <w:lang w:val="en-IE"/>
        </w:rPr>
        <w:t xml:space="preserve"> (</w:t>
      </w:r>
      <w:r w:rsidR="00A4600D" w:rsidRPr="004E2424">
        <w:rPr>
          <w:lang w:val="en-IE"/>
        </w:rPr>
        <w:t>EU</w:t>
      </w:r>
      <w:r w:rsidR="00A4600D">
        <w:rPr>
          <w:lang w:val="en-IE"/>
        </w:rPr>
        <w:t>)</w:t>
      </w:r>
      <w:r w:rsidRPr="004E2424">
        <w:rPr>
          <w:lang w:val="en-IE"/>
        </w:rPr>
        <w:t xml:space="preserve"> 2018/1726 of the European Parliament and the Council of 14 November 2018 on eu-LISA</w:t>
      </w:r>
      <w:r w:rsidR="00A4600D">
        <w:rPr>
          <w:lang w:val="en-IE"/>
        </w:rPr>
        <w:t xml:space="preserve">, </w:t>
      </w:r>
      <w:hyperlink r:id="rId1" w:tooltip="Gives access to this document through its ELI URI." w:history="1">
        <w:r w:rsidR="00A4600D" w:rsidRPr="00A4600D">
          <w:rPr>
            <w:rStyle w:val="Hyperlink"/>
            <w:lang w:val="en-IE"/>
          </w:rPr>
          <w:t>http://data.europa.eu/eli/reg/2018/1726/2025-01-28</w:t>
        </w:r>
      </w:hyperlink>
      <w:r w:rsidRPr="004E2424">
        <w:rPr>
          <w:lang w:val="en-IE"/>
        </w:rPr>
        <w:t>.</w:t>
      </w:r>
    </w:p>
  </w:footnote>
  <w:footnote w:id="25">
    <w:p w14:paraId="3C8A4565" w14:textId="20DC6F81" w:rsidR="00C35C17" w:rsidRPr="00721699" w:rsidRDefault="00C35C17" w:rsidP="00C35C17">
      <w:pPr>
        <w:pStyle w:val="FootnoteText"/>
        <w:spacing w:after="0"/>
        <w:rPr>
          <w:lang w:val="en-IE"/>
        </w:rPr>
      </w:pPr>
      <w:r w:rsidRPr="00D01350">
        <w:rPr>
          <w:rStyle w:val="FootnoteReference"/>
        </w:rPr>
        <w:footnoteRef/>
      </w:r>
      <w:r w:rsidRPr="004E2424">
        <w:rPr>
          <w:lang w:val="en-IE"/>
        </w:rPr>
        <w:t xml:space="preserve"> </w:t>
      </w:r>
      <w:r w:rsidR="00521131" w:rsidRPr="00AE1B03">
        <w:rPr>
          <w:lang w:val="en-IE"/>
        </w:rPr>
        <w:t>Study to support the evaluation of Regulation (EU) 2018/1726 of the European Parliament and of the Council of 14 November 2018 on eu-LISA. ISBN: 978-92-68-34401-9</w:t>
      </w:r>
      <w:r w:rsidR="00521131">
        <w:rPr>
          <w:lang w:val="en-IE"/>
        </w:rPr>
        <w:t xml:space="preserve">, page. </w:t>
      </w:r>
      <w:r w:rsidRPr="004E2424">
        <w:rPr>
          <w:lang w:val="en-IE"/>
        </w:rPr>
        <w:t>60</w:t>
      </w:r>
    </w:p>
  </w:footnote>
  <w:footnote w:id="26">
    <w:p w14:paraId="673BEFE0" w14:textId="77777777" w:rsidR="00B765F4" w:rsidRPr="00665CE8" w:rsidRDefault="00B765F4" w:rsidP="00B765F4">
      <w:pPr>
        <w:pStyle w:val="FootnoteText"/>
        <w:spacing w:after="0"/>
        <w:jc w:val="left"/>
      </w:pPr>
      <w:r>
        <w:rPr>
          <w:rStyle w:val="FootnoteReference"/>
          <w:rFonts w:eastAsiaTheme="minorHAnsi"/>
        </w:rPr>
        <w:footnoteRef/>
      </w:r>
      <w:r>
        <w:t xml:space="preserve"> </w:t>
      </w:r>
      <w:r w:rsidRPr="00F83FAC">
        <w:rPr>
          <w:szCs w:val="16"/>
        </w:rPr>
        <w:t>eu-LISA, 2023, Annual Activity Report 2022.</w:t>
      </w:r>
    </w:p>
  </w:footnote>
  <w:footnote w:id="27">
    <w:p w14:paraId="016E5406" w14:textId="77777777" w:rsidR="00B765F4" w:rsidRPr="00F83FAC" w:rsidRDefault="00B765F4" w:rsidP="00B765F4">
      <w:pPr>
        <w:pStyle w:val="FootnoteText"/>
        <w:spacing w:after="0"/>
        <w:jc w:val="left"/>
        <w:rPr>
          <w:szCs w:val="16"/>
        </w:rPr>
      </w:pPr>
      <w:r>
        <w:rPr>
          <w:rStyle w:val="FootnoteReference"/>
          <w:rFonts w:eastAsiaTheme="minorHAnsi"/>
        </w:rPr>
        <w:footnoteRef/>
      </w:r>
      <w:r w:rsidRPr="00F83FAC">
        <w:rPr>
          <w:szCs w:val="16"/>
        </w:rPr>
        <w:t xml:space="preserve"> eu-LISA, 2023, Report on the technical functioning of central SIS II 2021-2022. </w:t>
      </w:r>
    </w:p>
  </w:footnote>
  <w:footnote w:id="28">
    <w:p w14:paraId="009A1006" w14:textId="77777777" w:rsidR="00B765F4" w:rsidRPr="00F83FAC" w:rsidRDefault="00B765F4" w:rsidP="00B765F4">
      <w:pPr>
        <w:pStyle w:val="FootnoteText"/>
        <w:spacing w:after="0"/>
        <w:jc w:val="left"/>
        <w:rPr>
          <w:szCs w:val="16"/>
        </w:rPr>
      </w:pPr>
      <w:r>
        <w:rPr>
          <w:rStyle w:val="FootnoteReference"/>
          <w:rFonts w:eastAsiaTheme="minorHAnsi"/>
        </w:rPr>
        <w:footnoteRef/>
      </w:r>
      <w:r>
        <w:t xml:space="preserve"> </w:t>
      </w:r>
      <w:r w:rsidRPr="00F83FAC">
        <w:rPr>
          <w:szCs w:val="16"/>
        </w:rPr>
        <w:t>eu-LISA, 2022, Report on the technical functioning of the Visa Information System (VIS).</w:t>
      </w:r>
    </w:p>
  </w:footnote>
  <w:footnote w:id="29">
    <w:p w14:paraId="31655F3E" w14:textId="77777777" w:rsidR="00B765F4" w:rsidRPr="00B82E3E" w:rsidRDefault="00B765F4" w:rsidP="00B765F4">
      <w:pPr>
        <w:pStyle w:val="FootnoteText"/>
        <w:spacing w:after="0"/>
        <w:jc w:val="left"/>
        <w:rPr>
          <w:lang w:val="es-ES"/>
        </w:rPr>
      </w:pPr>
      <w:r>
        <w:rPr>
          <w:rStyle w:val="FootnoteReference"/>
          <w:rFonts w:eastAsiaTheme="minorHAnsi"/>
        </w:rPr>
        <w:footnoteRef/>
      </w:r>
      <w:r w:rsidRPr="00B82E3E">
        <w:rPr>
          <w:lang w:val="es-ES"/>
        </w:rPr>
        <w:t xml:space="preserve"> eu-LISA, 2023 Eurodac Annual Report 2022.</w:t>
      </w:r>
    </w:p>
  </w:footnote>
  <w:footnote w:id="30">
    <w:p w14:paraId="49AEA98B" w14:textId="77777777" w:rsidR="009A48B4" w:rsidRPr="004B2BA7" w:rsidRDefault="009A48B4" w:rsidP="009A48B4">
      <w:pPr>
        <w:pStyle w:val="FootnoteText"/>
        <w:rPr>
          <w:lang w:val="en-US"/>
        </w:rPr>
      </w:pPr>
      <w:r>
        <w:rPr>
          <w:rStyle w:val="FootnoteReference"/>
          <w:rFonts w:eastAsiaTheme="minorHAnsi"/>
        </w:rPr>
        <w:footnoteRef/>
      </w:r>
      <w:r>
        <w:t xml:space="preserve"> The development was financed h</w:t>
      </w:r>
      <w:r w:rsidRPr="004B2BA7">
        <w:t>alf financed by EU grants from the competitiveness and innovation framework programme of DG CNECT and through an action grant administered by DG JUST the Commission's Directorate-General for Justice and Consumers(DG JUST) under the Justice programme, and half by the Member States that participated in the project.</w:t>
      </w:r>
    </w:p>
  </w:footnote>
  <w:footnote w:id="31">
    <w:p w14:paraId="6ACBED2B" w14:textId="77777777" w:rsidR="001D2D72" w:rsidRPr="002048C6" w:rsidRDefault="001D2D72" w:rsidP="001D2D72">
      <w:pPr>
        <w:pStyle w:val="FootnoteText"/>
        <w:spacing w:after="0"/>
        <w:jc w:val="left"/>
        <w:rPr>
          <w:lang w:val="pt-BR"/>
        </w:rPr>
      </w:pPr>
      <w:r>
        <w:rPr>
          <w:rStyle w:val="FootnoteReference"/>
          <w:rFonts w:eastAsiaTheme="minorHAnsi"/>
        </w:rPr>
        <w:footnoteRef/>
      </w:r>
      <w:r w:rsidRPr="00F4231D">
        <w:t xml:space="preserve"> </w:t>
      </w:r>
      <w:r w:rsidRPr="00F4231D">
        <w:rPr>
          <w:szCs w:val="16"/>
        </w:rPr>
        <w:t xml:space="preserve">eu-LISA, 2022, </w:t>
      </w:r>
      <w:r w:rsidRPr="00F4231D">
        <w:rPr>
          <w:rFonts w:cstheme="minorHAnsi"/>
          <w:szCs w:val="16"/>
        </w:rPr>
        <w:t xml:space="preserve">Consolidated Annual Activity Reports. </w:t>
      </w:r>
      <w:r w:rsidRPr="002048C6">
        <w:rPr>
          <w:rFonts w:cstheme="minorHAnsi"/>
          <w:szCs w:val="16"/>
          <w:lang w:val="pt-BR"/>
        </w:rPr>
        <w:t xml:space="preserve">2018-2022. </w:t>
      </w:r>
    </w:p>
  </w:footnote>
  <w:footnote w:id="32">
    <w:p w14:paraId="2C5671CD" w14:textId="77777777" w:rsidR="001D2D72" w:rsidRPr="002048C6" w:rsidRDefault="001D2D72" w:rsidP="001D2D72">
      <w:pPr>
        <w:pStyle w:val="FootnoteText"/>
        <w:spacing w:after="0"/>
        <w:jc w:val="left"/>
        <w:rPr>
          <w:lang w:val="pt-BR"/>
        </w:rPr>
      </w:pPr>
      <w:r>
        <w:rPr>
          <w:rStyle w:val="FootnoteReference"/>
          <w:rFonts w:eastAsiaTheme="minorHAnsi"/>
        </w:rPr>
        <w:footnoteRef/>
      </w:r>
      <w:r w:rsidRPr="002048C6">
        <w:rPr>
          <w:lang w:val="pt-BR"/>
        </w:rPr>
        <w:t xml:space="preserve"> </w:t>
      </w:r>
      <w:r w:rsidRPr="002048C6">
        <w:rPr>
          <w:szCs w:val="16"/>
          <w:lang w:val="pt-BR"/>
        </w:rPr>
        <w:t>eu-LISA, 2023, Eurodac 2022 Annual Report</w:t>
      </w:r>
    </w:p>
  </w:footnote>
  <w:footnote w:id="33">
    <w:p w14:paraId="0B587D99" w14:textId="77777777" w:rsidR="001D2D72" w:rsidRPr="00453117" w:rsidRDefault="001D2D72" w:rsidP="001D2D72">
      <w:pPr>
        <w:pStyle w:val="FootnoteText"/>
        <w:spacing w:after="0"/>
        <w:jc w:val="left"/>
        <w:rPr>
          <w:lang w:val="en-IE"/>
        </w:rPr>
      </w:pPr>
      <w:r>
        <w:rPr>
          <w:rStyle w:val="FootnoteReference"/>
          <w:rFonts w:eastAsiaTheme="minorHAnsi"/>
        </w:rPr>
        <w:footnoteRef/>
      </w:r>
      <w:r w:rsidRPr="002048C6">
        <w:rPr>
          <w:lang w:val="pt-BR"/>
        </w:rPr>
        <w:t xml:space="preserve"> </w:t>
      </w:r>
      <w:r w:rsidRPr="002048C6">
        <w:rPr>
          <w:szCs w:val="16"/>
          <w:lang w:val="pt-BR"/>
        </w:rPr>
        <w:t xml:space="preserve">eu-LISA, 2023 DPO Annual Work Report. </w:t>
      </w:r>
      <w:r w:rsidRPr="00453117">
        <w:rPr>
          <w:lang w:val="en-IE"/>
        </w:rPr>
        <w:t>2022</w:t>
      </w:r>
    </w:p>
  </w:footnote>
  <w:footnote w:id="34">
    <w:p w14:paraId="5CD70BEE" w14:textId="77777777" w:rsidR="001D2D72" w:rsidRPr="00665CE8" w:rsidRDefault="001D2D72" w:rsidP="001D2D72">
      <w:pPr>
        <w:pStyle w:val="FootnoteText"/>
        <w:spacing w:after="0"/>
        <w:jc w:val="left"/>
      </w:pPr>
      <w:r>
        <w:rPr>
          <w:rStyle w:val="FootnoteReference"/>
          <w:rFonts w:eastAsiaTheme="minorHAnsi"/>
        </w:rPr>
        <w:footnoteRef/>
      </w:r>
      <w:r w:rsidRPr="00453117">
        <w:rPr>
          <w:lang w:val="en-IE"/>
        </w:rPr>
        <w:t xml:space="preserve"> eu-LISA, 2022, Consolidated Annual Activity Reports. </w:t>
      </w:r>
      <w:r w:rsidRPr="00F83FAC">
        <w:rPr>
          <w:rFonts w:cstheme="minorHAnsi"/>
          <w:szCs w:val="16"/>
        </w:rPr>
        <w:t>2018-2022.</w:t>
      </w:r>
    </w:p>
  </w:footnote>
  <w:footnote w:id="35">
    <w:p w14:paraId="40F18FE3" w14:textId="77777777" w:rsidR="001D2D72" w:rsidRPr="00665CE8" w:rsidRDefault="001D2D72" w:rsidP="001D2D72">
      <w:pPr>
        <w:pStyle w:val="FootnoteText"/>
        <w:spacing w:after="0"/>
        <w:jc w:val="left"/>
      </w:pPr>
      <w:r>
        <w:rPr>
          <w:rStyle w:val="FootnoteReference"/>
          <w:rFonts w:eastAsiaTheme="minorHAnsi"/>
        </w:rPr>
        <w:footnoteRef/>
      </w:r>
      <w:r>
        <w:t xml:space="preserve"> </w:t>
      </w:r>
      <w:r w:rsidRPr="00F83FAC">
        <w:rPr>
          <w:rFonts w:cstheme="minorHAnsi"/>
          <w:szCs w:val="16"/>
        </w:rPr>
        <w:t>EU Parliament, 2023, High common level of cybersecurity at the institutions, bodies, offices, and agencies of the Union.</w:t>
      </w:r>
    </w:p>
  </w:footnote>
  <w:footnote w:id="36">
    <w:p w14:paraId="0E29DCEC" w14:textId="77777777" w:rsidR="001D2D72" w:rsidRPr="002048C6" w:rsidRDefault="001D2D72" w:rsidP="001D2D72">
      <w:pPr>
        <w:pStyle w:val="FootnoteText"/>
        <w:spacing w:after="0"/>
        <w:jc w:val="left"/>
        <w:rPr>
          <w:lang w:val="en-IE"/>
        </w:rPr>
      </w:pPr>
      <w:r>
        <w:rPr>
          <w:rStyle w:val="FootnoteReference"/>
          <w:rFonts w:eastAsiaTheme="minorHAnsi"/>
        </w:rPr>
        <w:footnoteRef/>
      </w:r>
      <w:r w:rsidRPr="002048C6">
        <w:rPr>
          <w:lang w:val="en-IE"/>
        </w:rPr>
        <w:t xml:space="preserve"> eu-LISA, 2023 EDPS Report. </w:t>
      </w:r>
    </w:p>
  </w:footnote>
  <w:footnote w:id="37">
    <w:p w14:paraId="770CFAF6" w14:textId="77777777" w:rsidR="001D2D72" w:rsidRPr="002048C6" w:rsidRDefault="001D2D72" w:rsidP="001D2D72">
      <w:pPr>
        <w:pStyle w:val="FootnoteText"/>
        <w:spacing w:after="0"/>
        <w:jc w:val="left"/>
        <w:rPr>
          <w:lang w:val="en-IE"/>
        </w:rPr>
      </w:pPr>
      <w:r>
        <w:rPr>
          <w:rStyle w:val="FootnoteReference"/>
          <w:rFonts w:eastAsiaTheme="minorHAnsi"/>
        </w:rPr>
        <w:footnoteRef/>
      </w:r>
      <w:r w:rsidRPr="002048C6">
        <w:rPr>
          <w:lang w:val="en-IE"/>
        </w:rPr>
        <w:t xml:space="preserve"> eu-LISA, 2022, DPO Annual Work Reports. 2018- 2021.</w:t>
      </w:r>
    </w:p>
  </w:footnote>
  <w:footnote w:id="38">
    <w:p w14:paraId="4804962B" w14:textId="77777777" w:rsidR="001D2D72" w:rsidRPr="002048C6" w:rsidRDefault="001D2D72" w:rsidP="001D2D72">
      <w:pPr>
        <w:pStyle w:val="FootnoteText"/>
        <w:spacing w:after="0"/>
        <w:jc w:val="left"/>
        <w:rPr>
          <w:lang w:val="en-IE"/>
        </w:rPr>
      </w:pPr>
      <w:r>
        <w:rPr>
          <w:rStyle w:val="FootnoteReference"/>
          <w:rFonts w:eastAsiaTheme="minorHAnsi"/>
        </w:rPr>
        <w:footnoteRef/>
      </w:r>
      <w:r w:rsidRPr="002048C6">
        <w:rPr>
          <w:lang w:val="en-IE"/>
        </w:rPr>
        <w:t xml:space="preserve"> eu-LISA, 2020, Single Programming Document 2022–2024.</w:t>
      </w:r>
    </w:p>
  </w:footnote>
  <w:footnote w:id="39">
    <w:p w14:paraId="4A035429" w14:textId="13B0A1BF" w:rsidR="003D528D" w:rsidRPr="003D528D" w:rsidRDefault="003D528D">
      <w:pPr>
        <w:pStyle w:val="FootnoteText"/>
      </w:pPr>
      <w:r>
        <w:rPr>
          <w:rStyle w:val="FootnoteReference"/>
        </w:rPr>
        <w:footnoteRef/>
      </w:r>
      <w:r>
        <w:t xml:space="preserve"> </w:t>
      </w:r>
      <w:r w:rsidR="00521131" w:rsidRPr="00AE1B03">
        <w:rPr>
          <w:lang w:val="en-IE"/>
        </w:rPr>
        <w:t>Study to support the evaluation of Regulation (EU) 2018/1726 of the European Parliament and of the Council of 14 November 2018 on eu-LISA. ISBN: 978-92-68-34401-9</w:t>
      </w:r>
      <w:r w:rsidR="008A71E1">
        <w:t>, section 5.1.2.5.</w:t>
      </w:r>
    </w:p>
  </w:footnote>
  <w:footnote w:id="40">
    <w:p w14:paraId="13F4F685" w14:textId="77777777" w:rsidR="00B84465" w:rsidRPr="004E2424" w:rsidRDefault="00B84465" w:rsidP="00B84465">
      <w:pPr>
        <w:pStyle w:val="FootnoteText"/>
        <w:rPr>
          <w:lang w:val="en-IE"/>
        </w:rPr>
      </w:pPr>
      <w:r>
        <w:rPr>
          <w:rStyle w:val="FootnoteReference"/>
        </w:rPr>
        <w:footnoteRef/>
      </w:r>
      <w:r w:rsidRPr="004E2424">
        <w:rPr>
          <w:lang w:val="en-IE"/>
        </w:rPr>
        <w:t xml:space="preserve"> eu-LISA participated in the SIS SIRENE Committee, Smart Borders Committee, Interoperability Committee and Visa Committee. </w:t>
      </w:r>
    </w:p>
  </w:footnote>
  <w:footnote w:id="41">
    <w:p w14:paraId="1191696A" w14:textId="77777777" w:rsidR="00B03F2F" w:rsidRPr="00711B9A" w:rsidRDefault="00B03F2F" w:rsidP="00B03F2F">
      <w:pPr>
        <w:pStyle w:val="FootnoteText"/>
        <w:spacing w:after="0"/>
        <w:jc w:val="left"/>
      </w:pPr>
      <w:r>
        <w:rPr>
          <w:rStyle w:val="FootnoteReference"/>
          <w:rFonts w:eastAsiaTheme="minorHAnsi"/>
        </w:rPr>
        <w:footnoteRef/>
      </w:r>
      <w:r>
        <w:t xml:space="preserve"> </w:t>
      </w:r>
      <w:r w:rsidRPr="00711B9A">
        <w:t xml:space="preserve">E.g. </w:t>
      </w:r>
      <w:r>
        <w:t xml:space="preserve">PwC (2020). Future analysis “Governance model for the European Union IT Agency (eu-LISA)” </w:t>
      </w:r>
    </w:p>
  </w:footnote>
  <w:footnote w:id="42">
    <w:p w14:paraId="6E0F9FA1" w14:textId="77777777" w:rsidR="00264CF1" w:rsidRPr="005D23A1" w:rsidRDefault="00264CF1" w:rsidP="00264CF1">
      <w:pPr>
        <w:pStyle w:val="FootnoteText"/>
        <w:spacing w:after="0"/>
        <w:jc w:val="left"/>
      </w:pPr>
      <w:r>
        <w:rPr>
          <w:rStyle w:val="FootnoteReference"/>
          <w:rFonts w:eastAsiaTheme="minorHAnsi"/>
        </w:rPr>
        <w:footnoteRef/>
      </w:r>
      <w:r>
        <w:t xml:space="preserve"> Government Office of Estonia (2020). Future analysis “Governance model for the European Union IT Agency (eu-LISA)”, p.38-39. </w:t>
      </w:r>
    </w:p>
  </w:footnote>
  <w:footnote w:id="43">
    <w:p w14:paraId="4D7FB027" w14:textId="0756E263" w:rsidR="00C54194" w:rsidRPr="00665CE8" w:rsidRDefault="00C54194" w:rsidP="00C54194">
      <w:pPr>
        <w:pStyle w:val="FootnoteText"/>
        <w:spacing w:after="0"/>
        <w:jc w:val="left"/>
      </w:pPr>
      <w:r>
        <w:rPr>
          <w:rStyle w:val="FootnoteReference"/>
          <w:rFonts w:eastAsiaTheme="minorHAnsi"/>
        </w:rPr>
        <w:footnoteRef/>
      </w:r>
      <w:r>
        <w:t xml:space="preserve"> eu-LISA, 2023, Annual Budget Report 2022, p.27</w:t>
      </w:r>
      <w:r w:rsidR="00521497">
        <w:t>.</w:t>
      </w:r>
    </w:p>
  </w:footnote>
  <w:footnote w:id="44">
    <w:p w14:paraId="36959A4A" w14:textId="2B379D99" w:rsidR="00C54194" w:rsidRPr="00665CE8" w:rsidRDefault="00C54194" w:rsidP="00C54194">
      <w:pPr>
        <w:pStyle w:val="FootnoteText"/>
        <w:spacing w:after="0"/>
        <w:jc w:val="left"/>
      </w:pPr>
      <w:r>
        <w:rPr>
          <w:rStyle w:val="FootnoteReference"/>
          <w:rFonts w:eastAsiaTheme="minorHAnsi"/>
        </w:rPr>
        <w:footnoteRef/>
      </w:r>
      <w:r>
        <w:t xml:space="preserve"> eu-LISA, 2023, Annual Budget Report 2022, p.3</w:t>
      </w:r>
      <w:r w:rsidR="00521497">
        <w:t>.</w:t>
      </w:r>
    </w:p>
  </w:footnote>
  <w:footnote w:id="45">
    <w:p w14:paraId="3D761E0D" w14:textId="0FA5C1D0" w:rsidR="00961656" w:rsidRPr="00665CE8" w:rsidRDefault="00961656" w:rsidP="00961656">
      <w:pPr>
        <w:pStyle w:val="FootnoteText"/>
        <w:spacing w:after="0"/>
        <w:jc w:val="left"/>
      </w:pPr>
      <w:r>
        <w:rPr>
          <w:rStyle w:val="FootnoteReference"/>
          <w:rFonts w:eastAsiaTheme="minorHAnsi"/>
        </w:rPr>
        <w:footnoteRef/>
      </w:r>
      <w:r>
        <w:t xml:space="preserve"> </w:t>
      </w:r>
      <w:r w:rsidRPr="00D25A6F">
        <w:t>eu-LISA, 2023, Annual Activity Report 2022</w:t>
      </w:r>
      <w:r>
        <w:t>,</w:t>
      </w:r>
      <w:r w:rsidRPr="00D25A6F">
        <w:t xml:space="preserve"> </w:t>
      </w:r>
      <w:r>
        <w:t>pp. 24</w:t>
      </w:r>
      <w:r w:rsidR="00521497">
        <w:t xml:space="preserve"> </w:t>
      </w:r>
      <w:r>
        <w:t xml:space="preserve">ff. </w:t>
      </w:r>
    </w:p>
  </w:footnote>
  <w:footnote w:id="46">
    <w:p w14:paraId="776BA239" w14:textId="77777777" w:rsidR="00961656" w:rsidRPr="00F83FAC" w:rsidRDefault="00961656" w:rsidP="00961656">
      <w:pPr>
        <w:pStyle w:val="FootnoteText"/>
        <w:spacing w:after="0"/>
        <w:jc w:val="left"/>
        <w:rPr>
          <w:szCs w:val="16"/>
        </w:rPr>
      </w:pPr>
      <w:r>
        <w:rPr>
          <w:rStyle w:val="FootnoteReference"/>
          <w:rFonts w:eastAsiaTheme="minorHAnsi"/>
        </w:rPr>
        <w:footnoteRef/>
      </w:r>
      <w:r>
        <w:t xml:space="preserve"> </w:t>
      </w:r>
      <w:r w:rsidRPr="00D25A6F">
        <w:t>eu-LISA, 2023, Annual Activity Report 2022</w:t>
      </w:r>
      <w:r>
        <w:t>, p.35</w:t>
      </w:r>
      <w:r w:rsidRPr="00D25A6F">
        <w:t xml:space="preserve">. </w:t>
      </w:r>
    </w:p>
  </w:footnote>
  <w:footnote w:id="47">
    <w:p w14:paraId="773B6C2D" w14:textId="65090A1F" w:rsidR="00961656" w:rsidRPr="002048C6" w:rsidRDefault="00961656" w:rsidP="00961656">
      <w:pPr>
        <w:pStyle w:val="FootnoteText"/>
        <w:spacing w:after="0"/>
        <w:jc w:val="left"/>
        <w:rPr>
          <w:lang w:val="pt-BR"/>
        </w:rPr>
      </w:pPr>
      <w:r>
        <w:rPr>
          <w:rStyle w:val="FootnoteReference"/>
          <w:rFonts w:eastAsiaTheme="minorHAnsi"/>
        </w:rPr>
        <w:footnoteRef/>
      </w:r>
      <w:r w:rsidRPr="002048C6">
        <w:rPr>
          <w:lang w:val="pt-BR"/>
        </w:rPr>
        <w:t xml:space="preserve"> Eu-LISA, 2023, Eurodac Annual Report 2022</w:t>
      </w:r>
      <w:r w:rsidR="00521497" w:rsidRPr="002048C6">
        <w:rPr>
          <w:lang w:val="pt-BR"/>
        </w:rPr>
        <w:t>.</w:t>
      </w:r>
    </w:p>
  </w:footnote>
  <w:footnote w:id="48">
    <w:p w14:paraId="3DB1E3C6" w14:textId="77777777" w:rsidR="00961656" w:rsidRPr="002048C6" w:rsidRDefault="00961656" w:rsidP="00961656">
      <w:pPr>
        <w:pStyle w:val="FootnoteText"/>
        <w:spacing w:after="0"/>
        <w:jc w:val="left"/>
        <w:rPr>
          <w:szCs w:val="16"/>
          <w:lang w:val="pt-BR"/>
        </w:rPr>
      </w:pPr>
      <w:r>
        <w:rPr>
          <w:rStyle w:val="FootnoteReference"/>
          <w:rFonts w:eastAsiaTheme="minorHAnsi"/>
        </w:rPr>
        <w:footnoteRef/>
      </w:r>
      <w:r w:rsidRPr="002048C6">
        <w:rPr>
          <w:lang w:val="pt-BR"/>
        </w:rPr>
        <w:t xml:space="preserve"> eu-LISA, 2023, Annual Activity Report 2022, p.35. </w:t>
      </w:r>
    </w:p>
  </w:footnote>
  <w:footnote w:id="49">
    <w:p w14:paraId="6C7BEC48" w14:textId="6F3B3E90" w:rsidR="00961656" w:rsidRPr="002048C6" w:rsidRDefault="00961656" w:rsidP="00961656">
      <w:pPr>
        <w:pStyle w:val="FootnoteText"/>
        <w:spacing w:after="0"/>
        <w:jc w:val="left"/>
        <w:rPr>
          <w:lang w:val="pt-BR"/>
        </w:rPr>
      </w:pPr>
      <w:r>
        <w:rPr>
          <w:rStyle w:val="FootnoteReference"/>
          <w:rFonts w:eastAsiaTheme="minorHAnsi"/>
        </w:rPr>
        <w:footnoteRef/>
      </w:r>
      <w:r w:rsidRPr="002048C6">
        <w:rPr>
          <w:lang w:val="pt-BR"/>
        </w:rPr>
        <w:t xml:space="preserve"> eu-LISA 2023, SIS II technical functioning 2021-2022 Factsheet, </w:t>
      </w:r>
      <w:hyperlink r:id="rId2" w:history="1">
        <w:r w:rsidR="00D26FC5" w:rsidRPr="002048C6">
          <w:rPr>
            <w:rStyle w:val="Hyperlink"/>
            <w:lang w:val="pt-BR"/>
          </w:rPr>
          <w:t>https://www.eulisa.europa.eu/Publications/Reports/Factsheet%20SIS%20II%20technical%20functioning%202021-2022.pdf</w:t>
        </w:r>
      </w:hyperlink>
      <w:r w:rsidR="00D26FC5" w:rsidRPr="002048C6">
        <w:rPr>
          <w:lang w:val="pt-BR"/>
        </w:rPr>
        <w:t xml:space="preserve">. </w:t>
      </w:r>
      <w:r w:rsidRPr="002048C6">
        <w:rPr>
          <w:lang w:val="pt-BR"/>
        </w:rPr>
        <w:t xml:space="preserve"> </w:t>
      </w:r>
    </w:p>
  </w:footnote>
  <w:footnote w:id="50">
    <w:p w14:paraId="69247FB0" w14:textId="01BA7E1B" w:rsidR="00961656" w:rsidRPr="00665CE8" w:rsidRDefault="00961656" w:rsidP="00961656">
      <w:pPr>
        <w:pStyle w:val="FootnoteText"/>
        <w:spacing w:after="0"/>
        <w:jc w:val="left"/>
      </w:pPr>
      <w:r>
        <w:rPr>
          <w:rStyle w:val="FootnoteReference"/>
          <w:rFonts w:eastAsiaTheme="minorHAnsi"/>
        </w:rPr>
        <w:footnoteRef/>
      </w:r>
      <w:r>
        <w:t>eu-LISA 2023, Report on the technical functioning of central SIS II 2021-2022</w:t>
      </w:r>
      <w:r w:rsidR="000A55D7">
        <w:t>.</w:t>
      </w:r>
    </w:p>
  </w:footnote>
  <w:footnote w:id="51">
    <w:p w14:paraId="384374C1" w14:textId="6A8477B8" w:rsidR="00961656" w:rsidRPr="00665CE8" w:rsidRDefault="00961656" w:rsidP="00961656">
      <w:pPr>
        <w:pStyle w:val="FootnoteText"/>
        <w:spacing w:after="0"/>
        <w:jc w:val="left"/>
      </w:pPr>
      <w:r>
        <w:rPr>
          <w:rStyle w:val="FootnoteReference"/>
          <w:rFonts w:eastAsiaTheme="minorHAnsi"/>
        </w:rPr>
        <w:footnoteRef/>
      </w:r>
      <w:r>
        <w:t xml:space="preserve"> </w:t>
      </w:r>
      <w:r w:rsidRPr="00D25A6F">
        <w:t>eu-LISA, 2023, Annual Activity Report 2022.</w:t>
      </w:r>
      <w:r>
        <w:t>, p.31</w:t>
      </w:r>
      <w:r w:rsidR="000A55D7">
        <w:t>.</w:t>
      </w:r>
    </w:p>
  </w:footnote>
  <w:footnote w:id="52">
    <w:p w14:paraId="0EE2E695" w14:textId="76F1CA99" w:rsidR="00961656" w:rsidRPr="00665CE8" w:rsidRDefault="00961656" w:rsidP="00961656">
      <w:pPr>
        <w:pStyle w:val="FootnoteText"/>
        <w:spacing w:after="0"/>
        <w:jc w:val="left"/>
      </w:pPr>
      <w:r>
        <w:rPr>
          <w:rStyle w:val="FootnoteReference"/>
          <w:rFonts w:eastAsiaTheme="minorHAnsi"/>
        </w:rPr>
        <w:footnoteRef/>
      </w:r>
      <w:r>
        <w:t xml:space="preserve"> </w:t>
      </w:r>
      <w:r w:rsidRPr="00C85137">
        <w:t>eu-LISA, 2022, Report on the technical functioning of the Visa Information System (VIS)</w:t>
      </w:r>
      <w:r w:rsidR="000A55D7">
        <w:t>.</w:t>
      </w:r>
    </w:p>
  </w:footnote>
  <w:footnote w:id="53">
    <w:p w14:paraId="6A8DBBA3" w14:textId="0ED5045C" w:rsidR="00A36C11" w:rsidRPr="00665CE8" w:rsidRDefault="00A36C11" w:rsidP="00A36C11">
      <w:pPr>
        <w:pStyle w:val="FootnoteText"/>
        <w:spacing w:after="0"/>
        <w:jc w:val="left"/>
      </w:pPr>
      <w:r>
        <w:rPr>
          <w:rStyle w:val="FootnoteReference"/>
          <w:rFonts w:eastAsiaTheme="minorHAnsi"/>
        </w:rPr>
        <w:footnoteRef/>
      </w:r>
      <w:r>
        <w:t xml:space="preserve"> </w:t>
      </w:r>
      <w:hyperlink r:id="rId3" w:history="1">
        <w:r w:rsidR="000A55D7" w:rsidRPr="007747BE">
          <w:rPr>
            <w:rStyle w:val="Hyperlink"/>
          </w:rPr>
          <w:t>https://www.eulisa.europa.eu/our-publications/reports</w:t>
        </w:r>
      </w:hyperlink>
      <w:r w:rsidR="000A55D7">
        <w:t xml:space="preserve">. </w:t>
      </w:r>
    </w:p>
  </w:footnote>
  <w:footnote w:id="54">
    <w:p w14:paraId="1D1EFD91" w14:textId="62590B2F" w:rsidR="00A60314" w:rsidRPr="002048C6" w:rsidRDefault="00A60314" w:rsidP="00A60314">
      <w:pPr>
        <w:pStyle w:val="FootnoteText"/>
        <w:spacing w:after="0"/>
        <w:jc w:val="left"/>
        <w:rPr>
          <w:lang w:val="pt-BR"/>
        </w:rPr>
      </w:pPr>
      <w:r>
        <w:rPr>
          <w:rStyle w:val="FootnoteReference"/>
          <w:rFonts w:eastAsiaTheme="minorHAnsi"/>
        </w:rPr>
        <w:footnoteRef/>
      </w:r>
      <w:r w:rsidRPr="002048C6">
        <w:rPr>
          <w:lang w:val="pt-BR"/>
        </w:rPr>
        <w:t xml:space="preserve"> eu-LISA, 2021, eu-LISA Strategy 2021-2027, </w:t>
      </w:r>
      <w:hyperlink r:id="rId4" w:history="1">
        <w:r w:rsidR="000A55D7" w:rsidRPr="002048C6">
          <w:rPr>
            <w:rStyle w:val="Hyperlink"/>
            <w:lang w:val="pt-BR"/>
          </w:rPr>
          <w:t>https://www.eulisa.europa.eu/Publications/Corporate/eu-LISA%20Strategy%202021-2027.pdf</w:t>
        </w:r>
      </w:hyperlink>
      <w:r w:rsidR="000A55D7" w:rsidRPr="002048C6">
        <w:rPr>
          <w:lang w:val="pt-BR"/>
        </w:rPr>
        <w:t xml:space="preserve">. </w:t>
      </w:r>
    </w:p>
  </w:footnote>
  <w:footnote w:id="55">
    <w:p w14:paraId="0B425F87" w14:textId="77777777" w:rsidR="00F43587" w:rsidRPr="00AF5496" w:rsidRDefault="00F43587" w:rsidP="00004DA6">
      <w:pPr>
        <w:pStyle w:val="FootnoteText"/>
        <w:spacing w:after="0"/>
        <w:rPr>
          <w:lang w:val="en-US"/>
        </w:rPr>
      </w:pPr>
      <w:r>
        <w:rPr>
          <w:rStyle w:val="FootnoteReference"/>
          <w:rFonts w:eastAsiaTheme="minorHAnsi"/>
        </w:rPr>
        <w:footnoteRef/>
      </w:r>
      <w:r>
        <w:t xml:space="preserve"> See Article 17 of Regulation 2022/850 of the European Parliament and of the Council of 30 May 2022.</w:t>
      </w:r>
    </w:p>
  </w:footnote>
  <w:footnote w:id="56">
    <w:p w14:paraId="00A9373A" w14:textId="7F86D3BE" w:rsidR="002247A5" w:rsidRPr="00004DA6" w:rsidRDefault="002247A5" w:rsidP="00004DA6">
      <w:pPr>
        <w:pStyle w:val="FootnoteText"/>
        <w:spacing w:after="0"/>
        <w:rPr>
          <w:lang w:val="en-IE"/>
        </w:rPr>
      </w:pPr>
      <w:r>
        <w:rPr>
          <w:rStyle w:val="FootnoteReference"/>
        </w:rPr>
        <w:footnoteRef/>
      </w:r>
      <w:r>
        <w:t xml:space="preserve"> </w:t>
      </w:r>
      <w:r w:rsidRPr="00004DA6">
        <w:rPr>
          <w:lang w:val="en-IE"/>
        </w:rPr>
        <w:t>See European Commission, 2016, Independent external evaluation of the European Agency for the operational management of large-scale IT systems in the area of freedom, security and justice – eu-LISA, Final evaluation report.</w:t>
      </w:r>
    </w:p>
  </w:footnote>
  <w:footnote w:id="57">
    <w:p w14:paraId="2175FD5E" w14:textId="437672C4" w:rsidR="00D93CD7" w:rsidRPr="002048C6" w:rsidRDefault="00D93CD7" w:rsidP="00D93CD7">
      <w:pPr>
        <w:pStyle w:val="FootnoteText"/>
        <w:spacing w:after="0"/>
        <w:jc w:val="left"/>
        <w:rPr>
          <w:lang w:val="en-IE"/>
        </w:rPr>
      </w:pPr>
      <w:r w:rsidRPr="00D01350">
        <w:rPr>
          <w:rStyle w:val="FootnoteReference"/>
          <w:rFonts w:eastAsiaTheme="minorHAnsi"/>
        </w:rPr>
        <w:footnoteRef/>
      </w:r>
      <w:r w:rsidRPr="002048C6">
        <w:rPr>
          <w:lang w:val="en-IE"/>
        </w:rPr>
        <w:t xml:space="preserve"> </w:t>
      </w:r>
      <w:r w:rsidR="00521131" w:rsidRPr="00AE1B03">
        <w:rPr>
          <w:lang w:val="en-IE"/>
        </w:rPr>
        <w:t>Study to support the evaluation of Regulation (EU) 2018/1726 of the European Parliament and of the Council of 14 November 2018 on eu-LISA. ISBN: 978-92-68-34401-9</w:t>
      </w:r>
      <w:r w:rsidR="00FD2D94" w:rsidRPr="002048C6">
        <w:rPr>
          <w:lang w:val="en-IE"/>
        </w:rPr>
        <w:t>, section 2.2.1.</w:t>
      </w:r>
    </w:p>
  </w:footnote>
  <w:footnote w:id="58">
    <w:p w14:paraId="7079BCE8" w14:textId="77777777" w:rsidR="000857E5" w:rsidRPr="002048C6" w:rsidRDefault="000857E5" w:rsidP="000857E5">
      <w:pPr>
        <w:pStyle w:val="FootnoteText"/>
        <w:spacing w:after="0"/>
        <w:jc w:val="left"/>
        <w:rPr>
          <w:lang w:val="en-IE"/>
        </w:rPr>
      </w:pPr>
      <w:r w:rsidRPr="00D01350">
        <w:rPr>
          <w:rStyle w:val="FootnoteReference"/>
          <w:rFonts w:eastAsiaTheme="minorHAnsi"/>
        </w:rPr>
        <w:footnoteRef/>
      </w:r>
      <w:r w:rsidRPr="002048C6">
        <w:rPr>
          <w:lang w:val="en-IE"/>
        </w:rPr>
        <w:t xml:space="preserve"> Audit report: IAS.A2-2019-EU-LISA-001, 5 June 2020.</w:t>
      </w:r>
    </w:p>
  </w:footnote>
  <w:footnote w:id="59">
    <w:p w14:paraId="0950F0DE" w14:textId="0190A2A9" w:rsidR="000857E5" w:rsidRPr="001448A1" w:rsidRDefault="000857E5" w:rsidP="000857E5">
      <w:pPr>
        <w:pStyle w:val="FootnoteText"/>
        <w:spacing w:after="0"/>
        <w:rPr>
          <w:lang w:val="en-IE"/>
        </w:rPr>
      </w:pPr>
      <w:r>
        <w:rPr>
          <w:rStyle w:val="FootnoteReference"/>
        </w:rPr>
        <w:footnoteRef/>
      </w:r>
      <w:r w:rsidRPr="001448A1">
        <w:rPr>
          <w:lang w:val="en-IE"/>
        </w:rPr>
        <w:t xml:space="preserve"> </w:t>
      </w:r>
      <w:r w:rsidR="00521131" w:rsidRPr="00AE1B03">
        <w:rPr>
          <w:lang w:val="en-IE"/>
        </w:rPr>
        <w:t>Study to support the evaluation of Regulation (EU) 2018/1726 of the European Parliament and of the Council of 14 November 2018 on eu-LISA. ISBN: 978-92-68-34401-9</w:t>
      </w:r>
      <w:r w:rsidR="00A8547A" w:rsidRPr="00A8547A">
        <w:t>, section 2.</w:t>
      </w:r>
      <w:r w:rsidR="00A8547A">
        <w:t>3</w:t>
      </w:r>
      <w:r w:rsidR="00A8547A" w:rsidRPr="00A8547A">
        <w:t>.</w:t>
      </w:r>
      <w:r w:rsidR="00A8547A">
        <w:t>3</w:t>
      </w:r>
      <w:r w:rsidR="00A8547A" w:rsidRPr="00A8547A">
        <w:t>.</w:t>
      </w:r>
    </w:p>
  </w:footnote>
  <w:footnote w:id="60">
    <w:p w14:paraId="685098C0" w14:textId="00E7BD40" w:rsidR="009B44DC" w:rsidRPr="00ED1FAF" w:rsidRDefault="009B44DC" w:rsidP="009B44DC">
      <w:pPr>
        <w:pStyle w:val="FootnoteText"/>
        <w:spacing w:after="0"/>
      </w:pPr>
      <w:r>
        <w:rPr>
          <w:rStyle w:val="FootnoteReference"/>
        </w:rPr>
        <w:footnoteRef/>
      </w:r>
      <w:r>
        <w:t xml:space="preserve"> </w:t>
      </w:r>
      <w:r w:rsidR="00BF6CC3">
        <w:t xml:space="preserve">See </w:t>
      </w:r>
      <w:r w:rsidR="00BF6CC3" w:rsidRPr="00004DA6">
        <w:rPr>
          <w:lang w:val="en-IE"/>
        </w:rPr>
        <w:t>eu-LISA, Annual Accounts, 2018-2024.</w:t>
      </w:r>
    </w:p>
  </w:footnote>
  <w:footnote w:id="61">
    <w:p w14:paraId="7700DCAE" w14:textId="77777777" w:rsidR="009B44DC" w:rsidRPr="00F166F6" w:rsidRDefault="009B44DC" w:rsidP="009B44DC">
      <w:pPr>
        <w:pStyle w:val="FootnoteText"/>
        <w:spacing w:after="0"/>
        <w:ind w:left="0" w:firstLine="0"/>
      </w:pPr>
      <w:r>
        <w:rPr>
          <w:rStyle w:val="FootnoteReference"/>
        </w:rPr>
        <w:footnoteRef/>
      </w:r>
      <w:r>
        <w:t xml:space="preserve"> </w:t>
      </w:r>
      <w:r w:rsidRPr="00F166F6">
        <w:t xml:space="preserve">Article 14(2) of the e-CODEX Regulation </w:t>
      </w:r>
      <w:r>
        <w:t>provides</w:t>
      </w:r>
      <w:r w:rsidRPr="00F166F6">
        <w:t xml:space="preserve"> that in order to respect the principle of the independence of the judiciary “</w:t>
      </w:r>
      <w:r w:rsidRPr="00F166F6">
        <w:rPr>
          <w:i/>
          <w:iCs/>
        </w:rPr>
        <w:t>eu-LISA shall commit the resources provided to it for the e-CODEX system in their entirety to its operation under the Regulation and shall ensure the involvement of justice representatives in the management of the e-CODEX system</w:t>
      </w:r>
      <w:r w:rsidRPr="00F166F6">
        <w:t>”</w:t>
      </w:r>
      <w:r>
        <w:t>.</w:t>
      </w:r>
    </w:p>
  </w:footnote>
  <w:footnote w:id="62">
    <w:p w14:paraId="771F04BB" w14:textId="51E5FEC2" w:rsidR="009B44DC" w:rsidRPr="00AB1BD0" w:rsidRDefault="009B44DC" w:rsidP="009B44DC">
      <w:pPr>
        <w:pStyle w:val="FootnoteText"/>
        <w:spacing w:after="0"/>
        <w:rPr>
          <w:lang w:val="en-IE"/>
        </w:rPr>
      </w:pPr>
      <w:r>
        <w:rPr>
          <w:rStyle w:val="FootnoteReference"/>
        </w:rPr>
        <w:footnoteRef/>
      </w:r>
      <w:r w:rsidRPr="00AB1BD0">
        <w:rPr>
          <w:lang w:val="en-IE"/>
        </w:rPr>
        <w:t xml:space="preserve"> </w:t>
      </w:r>
      <w:r w:rsidR="00521131" w:rsidRPr="00AE1B03">
        <w:rPr>
          <w:lang w:val="en-IE"/>
        </w:rPr>
        <w:t>Study to support the evaluation of Regulation (EU) 2018/1726 of the European Parliament and of the Council of 14 November 2018 on eu-LISA. ISBN: 978-92-68-34401-9</w:t>
      </w:r>
      <w:r w:rsidR="00A36D5D">
        <w:t xml:space="preserve">, </w:t>
      </w:r>
      <w:r w:rsidR="00EC0D19">
        <w:t>section 2.3.3.</w:t>
      </w:r>
    </w:p>
  </w:footnote>
  <w:footnote w:id="63">
    <w:p w14:paraId="7C056E25" w14:textId="0E6F2FFE" w:rsidR="009B44DC" w:rsidRPr="005B7A11" w:rsidRDefault="009B44DC" w:rsidP="009B44DC">
      <w:pPr>
        <w:pStyle w:val="FootnoteText"/>
      </w:pPr>
      <w:r>
        <w:rPr>
          <w:rStyle w:val="FootnoteReference"/>
        </w:rPr>
        <w:footnoteRef/>
      </w:r>
      <w:r>
        <w:t xml:space="preserve"> </w:t>
      </w:r>
      <w:r w:rsidRPr="005B7A11">
        <w:t xml:space="preserve">Figure </w:t>
      </w:r>
      <w:r w:rsidR="008908AD">
        <w:t>4</w:t>
      </w:r>
      <w:r w:rsidR="008908AD" w:rsidRPr="005B7A11">
        <w:t xml:space="preserve"> </w:t>
      </w:r>
      <w:r w:rsidRPr="005B7A11">
        <w:t xml:space="preserve">shows the annual absorption rate as well as the amount of financial means received and spent from 2018 until </w:t>
      </w:r>
      <w:r w:rsidR="008908AD" w:rsidRPr="005B7A11">
        <w:t>202</w:t>
      </w:r>
      <w:r w:rsidR="008908AD">
        <w:t>4</w:t>
      </w:r>
      <w:r w:rsidRPr="005B7A11">
        <w:t xml:space="preserve">. The revenue consists of subsidies from the European Commission, financial contributions from </w:t>
      </w:r>
      <w:r w:rsidR="00A36D5D">
        <w:t>associated</w:t>
      </w:r>
      <w:r w:rsidR="00A36D5D" w:rsidRPr="005B7A11">
        <w:t xml:space="preserve"> </w:t>
      </w:r>
      <w:r w:rsidRPr="005B7A11">
        <w:t>countries and the transfer of assets. The expenses incorporate various costs such as fixed asset related expenses, staff expenses, external service provide expenses, or administrative and IT expenses</w:t>
      </w:r>
      <w:r w:rsidR="00955DB7">
        <w:t>.</w:t>
      </w:r>
    </w:p>
  </w:footnote>
  <w:footnote w:id="64">
    <w:p w14:paraId="62A5A99C" w14:textId="1536EE1A" w:rsidR="00DE354F" w:rsidRPr="00004DA6" w:rsidRDefault="00DE354F" w:rsidP="00004DA6">
      <w:pPr>
        <w:pStyle w:val="FootnoteText"/>
        <w:spacing w:after="0"/>
        <w:rPr>
          <w:lang w:val="en-IE"/>
        </w:rPr>
      </w:pPr>
      <w:r>
        <w:rPr>
          <w:rStyle w:val="FootnoteReference"/>
        </w:rPr>
        <w:footnoteRef/>
      </w:r>
      <w:r>
        <w:t xml:space="preserve"> </w:t>
      </w:r>
      <w:r w:rsidR="005F17E9" w:rsidRPr="00004DA6">
        <w:rPr>
          <w:lang w:val="en-IE"/>
        </w:rPr>
        <w:t>Final audit report on staff recruitment, management and engagement of structural service providers and organisational ethics in the European Agency for the Operational Management of Large-Scale IT systems in the area of Freedom, Security and Justice (eu-LISA)</w:t>
      </w:r>
      <w:r w:rsidR="00131C6C">
        <w:rPr>
          <w:lang w:val="en-IE"/>
        </w:rPr>
        <w:t>.</w:t>
      </w:r>
    </w:p>
  </w:footnote>
  <w:footnote w:id="65">
    <w:p w14:paraId="00F7FA58" w14:textId="4DC82E5F" w:rsidR="009F20F7" w:rsidRPr="009F20F7" w:rsidRDefault="009F20F7" w:rsidP="00004DA6">
      <w:pPr>
        <w:pStyle w:val="FootnoteText"/>
        <w:spacing w:after="0"/>
      </w:pPr>
      <w:r w:rsidRPr="00004DA6">
        <w:rPr>
          <w:rStyle w:val="FootnoteReference"/>
          <w:lang w:val="en-IE"/>
        </w:rPr>
        <w:footnoteRef/>
      </w:r>
      <w:r w:rsidRPr="00004DA6">
        <w:rPr>
          <w:lang w:val="en-IE"/>
        </w:rPr>
        <w:t xml:space="preserve"> </w:t>
      </w:r>
      <w:r w:rsidR="005242EB" w:rsidRPr="00004DA6">
        <w:rPr>
          <w:lang w:val="en-IE"/>
        </w:rPr>
        <w:t>Final audit report on procurement and contract management in the European Union Agency for the Operational Management of Large-Scale IT Systems in the Area of Freedom, Security and Justice (eu-LISA)</w:t>
      </w:r>
      <w:r w:rsidR="00131C6C">
        <w:rPr>
          <w:lang w:val="en-IE"/>
        </w:rPr>
        <w:t>.</w:t>
      </w:r>
    </w:p>
  </w:footnote>
  <w:footnote w:id="66">
    <w:p w14:paraId="246AFACC" w14:textId="4997374B" w:rsidR="009B44DC" w:rsidRPr="00665CE8" w:rsidRDefault="009B44DC" w:rsidP="009B44DC">
      <w:pPr>
        <w:pStyle w:val="FootnoteText"/>
        <w:spacing w:after="0"/>
        <w:jc w:val="left"/>
      </w:pPr>
      <w:r>
        <w:rPr>
          <w:rStyle w:val="FootnoteReference"/>
          <w:rFonts w:eastAsiaTheme="minorHAnsi"/>
        </w:rPr>
        <w:footnoteRef/>
      </w:r>
      <w:r w:rsidR="00CB6466">
        <w:t xml:space="preserve"> </w:t>
      </w:r>
      <w:r w:rsidRPr="00665CE8">
        <w:t>Deloitte (2024): Study on the Operational Management of eu-LISA: Preparation for the Evaluation of the Agency</w:t>
      </w:r>
      <w:r w:rsidR="00CB6466">
        <w:t>.</w:t>
      </w:r>
    </w:p>
  </w:footnote>
  <w:footnote w:id="67">
    <w:p w14:paraId="37241FAE" w14:textId="6B983787" w:rsidR="009B44DC" w:rsidRPr="00665CE8" w:rsidRDefault="009B44DC" w:rsidP="009B44DC">
      <w:pPr>
        <w:pStyle w:val="FootnoteText"/>
        <w:spacing w:after="0"/>
        <w:jc w:val="left"/>
      </w:pPr>
      <w:r>
        <w:rPr>
          <w:rStyle w:val="FootnoteReference"/>
          <w:rFonts w:eastAsiaTheme="minorHAnsi"/>
        </w:rPr>
        <w:footnoteRef/>
      </w:r>
      <w:r w:rsidR="00CB6466">
        <w:t xml:space="preserve"> </w:t>
      </w:r>
      <w:r w:rsidRPr="00665CE8">
        <w:t>Deloitte (2024): Study on the Operational Management of eu-LISA: Preparation for the Evaluation of the Agency</w:t>
      </w:r>
      <w:r w:rsidR="00CB6466">
        <w:t>.</w:t>
      </w:r>
    </w:p>
  </w:footnote>
  <w:footnote w:id="68">
    <w:p w14:paraId="53337BD7" w14:textId="008ADC88" w:rsidR="009B44DC" w:rsidRPr="00004DA6" w:rsidRDefault="009B44DC" w:rsidP="009B44DC">
      <w:pPr>
        <w:pStyle w:val="FootnoteText"/>
        <w:spacing w:after="0"/>
        <w:ind w:left="0" w:firstLine="0"/>
        <w:rPr>
          <w:lang w:val="fr-BE"/>
        </w:rPr>
      </w:pPr>
      <w:r w:rsidRPr="00D01350">
        <w:rPr>
          <w:rStyle w:val="FootnoteReference"/>
          <w:rFonts w:eastAsiaTheme="minorHAnsi"/>
        </w:rPr>
        <w:footnoteRef/>
      </w:r>
      <w:r w:rsidRPr="00004DA6">
        <w:rPr>
          <w:lang w:val="fr-BE"/>
        </w:rPr>
        <w:t xml:space="preserve"> eu-LISA (2024)</w:t>
      </w:r>
      <w:r w:rsidR="00336574" w:rsidRPr="00004DA6">
        <w:rPr>
          <w:lang w:val="fr-BE"/>
        </w:rPr>
        <w:t xml:space="preserve">, Annual accounts </w:t>
      </w:r>
      <w:r w:rsidR="00336574">
        <w:rPr>
          <w:lang w:val="fr-BE"/>
        </w:rPr>
        <w:t>(</w:t>
      </w:r>
      <w:hyperlink r:id="rId5" w:history="1">
        <w:r w:rsidR="006F0477" w:rsidRPr="000A6BC5">
          <w:rPr>
            <w:rStyle w:val="Hyperlink"/>
            <w:lang w:val="fr-BE"/>
          </w:rPr>
          <w:t>https://www.eulisa.europa.eu/about-us/finance</w:t>
        </w:r>
      </w:hyperlink>
      <w:r w:rsidR="006F0477">
        <w:rPr>
          <w:lang w:val="fr-BE"/>
        </w:rPr>
        <w:t xml:space="preserve">). </w:t>
      </w:r>
    </w:p>
  </w:footnote>
  <w:footnote w:id="69">
    <w:p w14:paraId="7922B780" w14:textId="77777777" w:rsidR="009B44DC" w:rsidRPr="00D01350" w:rsidRDefault="009B44DC" w:rsidP="009B44DC">
      <w:pPr>
        <w:pStyle w:val="FootnoteText"/>
        <w:spacing w:after="0"/>
        <w:jc w:val="left"/>
        <w:rPr>
          <w:lang w:val="fr-BE"/>
        </w:rPr>
      </w:pPr>
      <w:r w:rsidRPr="00D01350">
        <w:rPr>
          <w:rStyle w:val="FootnoteReference"/>
          <w:rFonts w:eastAsiaTheme="minorHAnsi"/>
        </w:rPr>
        <w:footnoteRef/>
      </w:r>
      <w:r w:rsidRPr="00D01350">
        <w:rPr>
          <w:lang w:val="fr-BE"/>
        </w:rPr>
        <w:t xml:space="preserve"> </w:t>
      </w:r>
      <w:r w:rsidRPr="00D01350">
        <w:rPr>
          <w:spacing w:val="-12"/>
          <w:lang w:val="fr-BE"/>
        </w:rPr>
        <w:t>eu-LISA, Staffing situation of eu-LISA, 2021-369.</w:t>
      </w:r>
    </w:p>
  </w:footnote>
  <w:footnote w:id="70">
    <w:p w14:paraId="56AEEB0C" w14:textId="6A6F7EFD" w:rsidR="0087742D" w:rsidRPr="00004DA6" w:rsidRDefault="0087742D" w:rsidP="00004DA6">
      <w:pPr>
        <w:pStyle w:val="FootnoteText"/>
        <w:spacing w:after="0"/>
        <w:rPr>
          <w:lang w:val="en-IE"/>
        </w:rPr>
      </w:pPr>
      <w:r>
        <w:rPr>
          <w:rStyle w:val="FootnoteReference"/>
        </w:rPr>
        <w:footnoteRef/>
      </w:r>
      <w:r>
        <w:t xml:space="preserve"> </w:t>
      </w:r>
      <w:r w:rsidR="00521131" w:rsidRPr="00AE1B03">
        <w:rPr>
          <w:lang w:val="en-IE"/>
        </w:rPr>
        <w:t>Study to support the evaluation of Regulation (EU) 2018/1726 of the European Parliament and of the Council of 14 November 2018 on eu-LISA. ISBN: 978-92-68-34401-9</w:t>
      </w:r>
      <w:r w:rsidR="00A56978">
        <w:t xml:space="preserve">, </w:t>
      </w:r>
      <w:r w:rsidR="0069449C">
        <w:t>section 5.1.3.13.</w:t>
      </w:r>
    </w:p>
  </w:footnote>
  <w:footnote w:id="71">
    <w:p w14:paraId="43E6A5E2" w14:textId="77777777" w:rsidR="009B44DC" w:rsidRPr="00D01350" w:rsidRDefault="009B44DC" w:rsidP="009B44DC">
      <w:pPr>
        <w:pStyle w:val="FootnoteText"/>
        <w:spacing w:after="0"/>
        <w:ind w:left="0" w:firstLine="0"/>
      </w:pPr>
      <w:r w:rsidRPr="00D01350">
        <w:rPr>
          <w:rStyle w:val="FootnoteReference"/>
          <w:rFonts w:eastAsiaTheme="minorHAnsi"/>
        </w:rPr>
        <w:footnoteRef/>
      </w:r>
      <w:r w:rsidRPr="00D01350">
        <w:t xml:space="preserve"> eu-LISA (2023): Internal document on the retrospective staff overview</w:t>
      </w:r>
      <w:r>
        <w:t>.</w:t>
      </w:r>
    </w:p>
  </w:footnote>
  <w:footnote w:id="72">
    <w:p w14:paraId="027696AA" w14:textId="77777777" w:rsidR="009B44DC" w:rsidRPr="00176F7E" w:rsidRDefault="009B44DC" w:rsidP="009B44DC">
      <w:pPr>
        <w:pStyle w:val="FootnoteText"/>
        <w:spacing w:after="0"/>
        <w:jc w:val="left"/>
      </w:pPr>
      <w:r>
        <w:rPr>
          <w:rStyle w:val="FootnoteReference"/>
          <w:rFonts w:eastAsiaTheme="minorHAnsi"/>
        </w:rPr>
        <w:footnoteRef/>
      </w:r>
      <w:r w:rsidRPr="00176F7E">
        <w:t xml:space="preserve"> Information based on </w:t>
      </w:r>
      <w:r>
        <w:t xml:space="preserve">2023 note to the MB concerning a retrospective staff overview. </w:t>
      </w:r>
    </w:p>
  </w:footnote>
  <w:footnote w:id="73">
    <w:p w14:paraId="6ACAEC02" w14:textId="494BE455" w:rsidR="004B7452" w:rsidRPr="00004DA6" w:rsidRDefault="004B7452">
      <w:pPr>
        <w:pStyle w:val="FootnoteText"/>
        <w:rPr>
          <w:lang w:val="en-IE"/>
        </w:rPr>
      </w:pPr>
      <w:r>
        <w:rPr>
          <w:rStyle w:val="FootnoteReference"/>
        </w:rPr>
        <w:footnoteRef/>
      </w:r>
      <w:r w:rsidRPr="00004DA6">
        <w:rPr>
          <w:lang w:val="en-IE"/>
        </w:rPr>
        <w:t xml:space="preserve"> </w:t>
      </w:r>
      <w:r w:rsidR="00AE7FC4">
        <w:rPr>
          <w:lang w:val="en-IE"/>
        </w:rPr>
        <w:t>The</w:t>
      </w:r>
      <w:r w:rsidRPr="00004DA6">
        <w:rPr>
          <w:lang w:val="en-IE"/>
        </w:rPr>
        <w:t xml:space="preserve"> </w:t>
      </w:r>
      <w:r>
        <w:rPr>
          <w:lang w:val="en-IE"/>
        </w:rPr>
        <w:t>API-PNR Advisory Group was established</w:t>
      </w:r>
      <w:r w:rsidR="00AE7FC4">
        <w:rPr>
          <w:lang w:val="en-IE"/>
        </w:rPr>
        <w:t xml:space="preserve"> during the evaluation period.</w:t>
      </w:r>
    </w:p>
  </w:footnote>
  <w:footnote w:id="74">
    <w:p w14:paraId="43D7E0C3" w14:textId="77777777" w:rsidR="003F78CB" w:rsidRPr="002048C6" w:rsidRDefault="003F78CB" w:rsidP="003F78CB">
      <w:pPr>
        <w:pStyle w:val="FootnoteText"/>
        <w:spacing w:after="0"/>
        <w:jc w:val="left"/>
        <w:rPr>
          <w:lang w:val="pt-BR"/>
        </w:rPr>
      </w:pPr>
      <w:r>
        <w:rPr>
          <w:rStyle w:val="FootnoteReference"/>
          <w:rFonts w:eastAsiaTheme="minorHAnsi"/>
        </w:rPr>
        <w:footnoteRef/>
      </w:r>
      <w:r w:rsidRPr="002048C6">
        <w:rPr>
          <w:lang w:val="pt-BR"/>
        </w:rPr>
        <w:t xml:space="preserve"> eu-LISA, 2021, eu-LISA Strategy 2021-2027, </w:t>
      </w:r>
      <w:hyperlink r:id="rId6" w:history="1">
        <w:r w:rsidRPr="002048C6">
          <w:rPr>
            <w:rStyle w:val="Hyperlink"/>
            <w:lang w:val="pt-BR"/>
          </w:rPr>
          <w:t>https://www.eulisa.europa.eu/Publications/Corporate/eu-LISA%20Strategy%202021-2027.pdf</w:t>
        </w:r>
      </w:hyperlink>
      <w:r w:rsidRPr="002048C6">
        <w:rPr>
          <w:lang w:val="pt-BR"/>
        </w:rPr>
        <w:t xml:space="preserve">. </w:t>
      </w:r>
    </w:p>
  </w:footnote>
  <w:footnote w:id="75">
    <w:p w14:paraId="4BD67A2C" w14:textId="77777777" w:rsidR="003F78CB" w:rsidRPr="003402A5" w:rsidRDefault="003F78CB" w:rsidP="003F78CB">
      <w:pPr>
        <w:pStyle w:val="FootnoteText"/>
        <w:spacing w:after="0"/>
        <w:jc w:val="left"/>
      </w:pPr>
      <w:r>
        <w:rPr>
          <w:rStyle w:val="FootnoteReference"/>
          <w:rFonts w:eastAsiaTheme="minorHAnsi"/>
        </w:rPr>
        <w:footnoteRef/>
      </w:r>
      <w:r>
        <w:t xml:space="preserve"> Government Office of Estonia and PWC, 2020, Future analysis Governance model for the European Union IT Agency (eu-LISA)</w:t>
      </w:r>
    </w:p>
  </w:footnote>
  <w:footnote w:id="76">
    <w:p w14:paraId="7E19C1F2" w14:textId="77777777" w:rsidR="003F78CB" w:rsidRPr="00075A69" w:rsidRDefault="003F78CB" w:rsidP="003F78CB">
      <w:pPr>
        <w:pStyle w:val="FootnoteText"/>
        <w:spacing w:after="0"/>
        <w:jc w:val="left"/>
      </w:pPr>
      <w:r>
        <w:rPr>
          <w:rStyle w:val="FootnoteReference"/>
          <w:rFonts w:eastAsiaTheme="minorHAnsi"/>
        </w:rPr>
        <w:footnoteRef/>
      </w:r>
      <w:r>
        <w:t xml:space="preserve"> Ibid.</w:t>
      </w:r>
    </w:p>
  </w:footnote>
  <w:footnote w:id="77">
    <w:p w14:paraId="771E8BF5" w14:textId="23DCA2FF" w:rsidR="00C7558E" w:rsidRPr="00D01350" w:rsidRDefault="00C7558E" w:rsidP="00C7558E">
      <w:pPr>
        <w:pStyle w:val="FootnoteText"/>
        <w:spacing w:after="0"/>
        <w:rPr>
          <w:lang w:val="en-IE"/>
        </w:rPr>
      </w:pPr>
      <w:r w:rsidRPr="001B1F6F">
        <w:rPr>
          <w:rStyle w:val="FootnoteReference"/>
        </w:rPr>
        <w:footnoteRef/>
      </w:r>
      <w:r w:rsidRPr="001B1F6F">
        <w:rPr>
          <w:lang w:val="en-IE"/>
        </w:rPr>
        <w:t xml:space="preserve"> </w:t>
      </w:r>
      <w:r w:rsidR="00C37A69" w:rsidRPr="00004DA6">
        <w:rPr>
          <w:lang w:val="en-IE"/>
        </w:rPr>
        <w:t>Article 14(2) of Regulation (EU) 2022/850 of the European Parliament and of the Council of 30 May 2022 on a computerised system for the cross-border electronic exchange of data in the area of judicial cooperation in civil and criminal matters (e-CODEX system), and amending Regulation (EU) 2018/1726 (OJ L 150/1, 01.06.2012).</w:t>
      </w:r>
    </w:p>
  </w:footnote>
  <w:footnote w:id="78">
    <w:p w14:paraId="703CECA3" w14:textId="6A3AFFAE" w:rsidR="00354183" w:rsidRPr="00004DA6" w:rsidRDefault="00354183" w:rsidP="00004DA6">
      <w:pPr>
        <w:pStyle w:val="FootnoteText"/>
        <w:spacing w:after="0"/>
        <w:rPr>
          <w:szCs w:val="16"/>
          <w:lang w:val="en-IE"/>
        </w:rPr>
      </w:pPr>
      <w:r w:rsidRPr="00F83FAC">
        <w:rPr>
          <w:rStyle w:val="FootnoteReference"/>
          <w:rFonts w:eastAsiaTheme="minorHAnsi"/>
          <w:szCs w:val="16"/>
        </w:rPr>
        <w:footnoteRef/>
      </w:r>
      <w:r w:rsidRPr="00F83FAC">
        <w:rPr>
          <w:szCs w:val="16"/>
        </w:rPr>
        <w:t xml:space="preserve"> </w:t>
      </w:r>
      <w:r w:rsidR="009D5108" w:rsidRPr="009D5108">
        <w:rPr>
          <w:lang w:val="en-IE"/>
        </w:rPr>
        <w:t>Article</w:t>
      </w:r>
      <w:r w:rsidRPr="00004DA6">
        <w:rPr>
          <w:szCs w:val="16"/>
          <w:lang w:val="en-IE"/>
        </w:rPr>
        <w:t xml:space="preserve"> 66 of Regulation (EU) 2017/2226 of the European Parliament and of the Council of 30 November 2017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 Official Journal of the European Union, L327/20, 09.12.2017 (EES-Regulation). </w:t>
      </w:r>
    </w:p>
  </w:footnote>
  <w:footnote w:id="79">
    <w:p w14:paraId="75BA6959" w14:textId="5F04F641" w:rsidR="00036379" w:rsidRPr="00004DA6" w:rsidRDefault="00036379" w:rsidP="00004DA6">
      <w:pPr>
        <w:pStyle w:val="FootnoteText"/>
        <w:spacing w:after="0"/>
        <w:rPr>
          <w:lang w:val="en-IE"/>
        </w:rPr>
      </w:pPr>
      <w:r w:rsidRPr="00004DA6">
        <w:rPr>
          <w:rStyle w:val="FootnoteReference"/>
          <w:lang w:val="en-IE"/>
        </w:rPr>
        <w:footnoteRef/>
      </w:r>
      <w:r w:rsidRPr="00004DA6">
        <w:rPr>
          <w:lang w:val="en-IE"/>
        </w:rPr>
        <w:t xml:space="preserve"> </w:t>
      </w:r>
      <w:r w:rsidR="00DE659A" w:rsidRPr="00004DA6">
        <w:rPr>
          <w:lang w:val="en-IE"/>
        </w:rPr>
        <w:t>Regulation (EU) 2025/1534 of the European Parliament and of the Council of 18 July 2025 on temporary derogations from certain provisions of Regulations (EU) 2017/2226 and (EU) 2016/399 as regards the progressive start of operations of the Entry/Exit System</w:t>
      </w:r>
    </w:p>
  </w:footnote>
  <w:footnote w:id="80">
    <w:p w14:paraId="6C4F21EC" w14:textId="77777777" w:rsidR="00354183" w:rsidRPr="00004DA6" w:rsidRDefault="00354183" w:rsidP="00004DA6">
      <w:pPr>
        <w:pStyle w:val="FootnoteText"/>
        <w:spacing w:after="0"/>
        <w:rPr>
          <w:szCs w:val="16"/>
          <w:lang w:val="en-IE"/>
        </w:rPr>
      </w:pPr>
      <w:r w:rsidRPr="00004DA6">
        <w:rPr>
          <w:rStyle w:val="FootnoteReference"/>
          <w:rFonts w:eastAsiaTheme="minorHAnsi"/>
          <w:szCs w:val="16"/>
          <w:lang w:val="en-IE"/>
        </w:rPr>
        <w:footnoteRef/>
      </w:r>
      <w:r w:rsidRPr="00004DA6">
        <w:rPr>
          <w:szCs w:val="16"/>
          <w:lang w:val="en-IE"/>
        </w:rPr>
        <w:t xml:space="preserve"> Article 66 of the EES-Regulation. </w:t>
      </w:r>
    </w:p>
  </w:footnote>
  <w:footnote w:id="81">
    <w:p w14:paraId="32D54C8D" w14:textId="77777777" w:rsidR="00354183" w:rsidRPr="00004DA6" w:rsidRDefault="00354183" w:rsidP="00004DA6">
      <w:pPr>
        <w:pStyle w:val="FootnoteText"/>
        <w:spacing w:after="0"/>
        <w:rPr>
          <w:szCs w:val="16"/>
          <w:lang w:val="en-IE"/>
        </w:rPr>
      </w:pPr>
      <w:r w:rsidRPr="00004DA6">
        <w:rPr>
          <w:rStyle w:val="FootnoteReference"/>
          <w:rFonts w:eastAsiaTheme="minorHAnsi"/>
          <w:szCs w:val="16"/>
          <w:lang w:val="en-IE"/>
        </w:rPr>
        <w:footnoteRef/>
      </w:r>
      <w:r w:rsidRPr="00004DA6">
        <w:rPr>
          <w:szCs w:val="16"/>
          <w:lang w:val="en-IE"/>
        </w:rPr>
        <w:t xml:space="preserve"> Article 8 of Regulation (EU) 2021/1134 of the European Parliament and of the Council of 7 July 2021 amending Regulations (EC) No 767/2008, (EC) No 810/2009, (EU) 2016/399, (EU) 2017/2226, (EU) 2018/1860, (EU) 2018/1861, (EU) 2019/817 and (EU) 2019/1896 of the European Parliament and of the Council and repealing Council Decisions 2004/512/EC and 2008/633/JHA, for the purpose of reforming the Visa Information System, Official Journal of the European Union, L248/11, 13.07.2021 (VIS-Regulation). </w:t>
      </w:r>
    </w:p>
  </w:footnote>
  <w:footnote w:id="82">
    <w:p w14:paraId="3BE693C4" w14:textId="77777777" w:rsidR="00354183" w:rsidRPr="0098621F" w:rsidRDefault="00354183" w:rsidP="00354183">
      <w:pPr>
        <w:pStyle w:val="FootnoteText"/>
        <w:spacing w:after="0"/>
        <w:jc w:val="left"/>
      </w:pPr>
      <w:r>
        <w:rPr>
          <w:rStyle w:val="FootnoteReference"/>
          <w:rFonts w:eastAsiaTheme="minorHAnsi"/>
        </w:rPr>
        <w:footnoteRef/>
      </w:r>
      <w:r>
        <w:t xml:space="preserve"> Regulation (EU) 2018/1860, Official Journal of the European Union, L312, 07.12.2018; Regulation (EU) 2018/1861, Official Journal of the European Union, L312, 07.12.2018; Regulation (EU) 2018/1862, Official Journal of the European Union, L312, 07.12.2018</w:t>
      </w:r>
    </w:p>
  </w:footnote>
  <w:footnote w:id="83">
    <w:p w14:paraId="17BF982D" w14:textId="77777777" w:rsidR="00354183" w:rsidRPr="009A1B99" w:rsidRDefault="00354183" w:rsidP="00354183">
      <w:pPr>
        <w:pStyle w:val="FootnoteText"/>
        <w:rPr>
          <w:lang w:val="en-US"/>
        </w:rPr>
      </w:pPr>
      <w:r>
        <w:rPr>
          <w:rStyle w:val="FootnoteReference"/>
          <w:rFonts w:eastAsiaTheme="minorHAnsi"/>
        </w:rPr>
        <w:footnoteRef/>
      </w:r>
      <w:r>
        <w:t xml:space="preserve"> Article 14 of EU Regulation 2022/850 emphasises the respect of the principle of independence of the judiciary in the context of e-CODEX.</w:t>
      </w:r>
    </w:p>
  </w:footnote>
  <w:footnote w:id="84">
    <w:p w14:paraId="02EB3AFD" w14:textId="77777777" w:rsidR="001F244E" w:rsidRPr="00D01350" w:rsidRDefault="001F244E" w:rsidP="00AF5D12">
      <w:pPr>
        <w:pStyle w:val="FootnoteText"/>
        <w:spacing w:after="0"/>
        <w:jc w:val="left"/>
      </w:pPr>
      <w:r w:rsidRPr="00D01350">
        <w:rPr>
          <w:rStyle w:val="FootnoteReference"/>
          <w:rFonts w:eastAsiaTheme="minorHAnsi"/>
        </w:rPr>
        <w:footnoteRef/>
      </w:r>
      <w:r w:rsidRPr="00D01350">
        <w:t xml:space="preserve"> The workshops were clustered according to eu-LISA’s Advisory Group setups.</w:t>
      </w:r>
    </w:p>
  </w:footnote>
  <w:footnote w:id="85">
    <w:p w14:paraId="7041E788" w14:textId="77777777" w:rsidR="00FA1448" w:rsidRPr="00D01350" w:rsidRDefault="00FA1448" w:rsidP="00FA1448">
      <w:pPr>
        <w:pStyle w:val="FootnoteText"/>
        <w:spacing w:after="0"/>
      </w:pPr>
      <w:r w:rsidRPr="00D01350">
        <w:rPr>
          <w:rStyle w:val="FootnoteReference"/>
          <w:rFonts w:eastAsiaTheme="minorHAnsi"/>
        </w:rPr>
        <w:footnoteRef/>
      </w:r>
      <w:r w:rsidRPr="00D01350">
        <w:t xml:space="preserve"> PwC (2020). Future analysis “Governance model for the European Union IT Agency (eu-LISA)”. Government Office of Estonia, </w:t>
      </w:r>
    </w:p>
  </w:footnote>
  <w:footnote w:id="86">
    <w:p w14:paraId="2C1395DA" w14:textId="77777777" w:rsidR="00B758A1" w:rsidRPr="00D01350" w:rsidRDefault="00B758A1" w:rsidP="00AF5D12">
      <w:pPr>
        <w:pStyle w:val="FootnoteText"/>
        <w:spacing w:after="0"/>
      </w:pPr>
      <w:r w:rsidRPr="00D01350">
        <w:rPr>
          <w:rStyle w:val="FootnoteReference"/>
          <w:rFonts w:eastAsiaTheme="minorHAnsi"/>
        </w:rPr>
        <w:footnoteRef/>
      </w:r>
      <w:r w:rsidRPr="00D01350">
        <w:t xml:space="preserve"> European Commission (2021) Better Regulation Guidelines: Available at: </w:t>
      </w:r>
      <w:hyperlink r:id="rId7" w:history="1">
        <w:r w:rsidRPr="00D01350">
          <w:rPr>
            <w:rStyle w:val="Hyperlink"/>
          </w:rPr>
          <w:t>https://commission.europa.eu/law/law-making-process/planning-and-proposing-law/better-regulation/better-regulation-guidelines-and-toolbox_en</w:t>
        </w:r>
      </w:hyperlink>
      <w:r w:rsidRPr="00D01350">
        <w:t xml:space="preserve">, lastly accessed 13 May 2024. </w:t>
      </w:r>
    </w:p>
  </w:footnote>
  <w:footnote w:id="87">
    <w:p w14:paraId="066892EE" w14:textId="77777777" w:rsidR="00B758A1" w:rsidRPr="00D01350" w:rsidRDefault="00B758A1" w:rsidP="00AF5D12">
      <w:pPr>
        <w:pStyle w:val="FootnoteText"/>
        <w:spacing w:after="0"/>
      </w:pPr>
      <w:r w:rsidRPr="00D01350">
        <w:rPr>
          <w:rStyle w:val="FootnoteReference"/>
          <w:rFonts w:eastAsiaTheme="minorHAnsi"/>
        </w:rPr>
        <w:footnoteRef/>
      </w:r>
      <w:r w:rsidRPr="00D01350">
        <w:t xml:space="preserve"> Regulation (EU) 2016/679 of the European Parliament and the Council of 27 April 2016 on the protection of natural persons with regard to the processing of personal data and on the free movement of such data, and repealing Directive 95/46/EC (General Data Protection Regulation), 4.5.2016, L119/1. </w:t>
      </w:r>
    </w:p>
  </w:footnote>
  <w:footnote w:id="88">
    <w:p w14:paraId="74D979EB" w14:textId="77777777" w:rsidR="00B758A1" w:rsidRPr="00D01350" w:rsidRDefault="00B758A1" w:rsidP="00AF5D12">
      <w:pPr>
        <w:pStyle w:val="FootnoteText"/>
        <w:spacing w:after="0"/>
      </w:pPr>
      <w:r w:rsidRPr="00D01350">
        <w:rPr>
          <w:rStyle w:val="FootnoteReference"/>
          <w:rFonts w:eastAsiaTheme="minorHAnsi"/>
        </w:rPr>
        <w:footnoteRef/>
      </w:r>
      <w:r w:rsidRPr="00D01350">
        <w:t xml:space="preserve"> Regulation (EU) 2016/679</w:t>
      </w:r>
    </w:p>
  </w:footnote>
  <w:footnote w:id="89">
    <w:p w14:paraId="562714D2" w14:textId="77777777" w:rsidR="00B758A1" w:rsidRPr="00D01350" w:rsidRDefault="00B758A1" w:rsidP="00AF5D12">
      <w:pPr>
        <w:pStyle w:val="FootnoteText"/>
        <w:spacing w:after="0"/>
      </w:pPr>
      <w:r w:rsidRPr="00D01350">
        <w:rPr>
          <w:rStyle w:val="FootnoteReference"/>
          <w:rFonts w:eastAsiaTheme="minorHAnsi"/>
        </w:rPr>
        <w:footnoteRef/>
      </w:r>
      <w:r w:rsidRPr="00D01350">
        <w:t xml:space="preserve"> Directive (EU) 2016/860 of the European Parliament and the Council of 27 April 2016 on the protection of natural persons with regard to the processing of personal data by competent authorities for the purposes of the prevention, investigation, detection or prosecution of criminal offences or the execution of criminal penalties, and on the free movement of such data, and repealing Council Framework Decision 2008/977/JHA, 4.5.2016, L119/89.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25D69" w14:textId="77777777" w:rsidR="00F37363" w:rsidRPr="00F37363" w:rsidRDefault="00F37363" w:rsidP="00F3736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EDE74" w14:textId="77777777" w:rsidR="00F37363" w:rsidRPr="00F37363" w:rsidRDefault="00F37363" w:rsidP="00F3736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32247" w14:textId="77777777" w:rsidR="00F37363" w:rsidRPr="00F37363" w:rsidRDefault="00F37363" w:rsidP="00F3736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1389" w14:textId="77777777" w:rsidR="00CD412A" w:rsidRDefault="00CD41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13A37" w14:textId="77777777" w:rsidR="00CD412A" w:rsidRDefault="00CD41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A4354" w14:textId="77777777" w:rsidR="00CD412A" w:rsidRDefault="00CD41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27864" w14:textId="77777777" w:rsidR="00CD412A" w:rsidRDefault="00CD412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7F918" w14:textId="77777777" w:rsidR="00CD412A" w:rsidRDefault="00CD412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CADEF" w14:textId="77777777" w:rsidR="00CD412A" w:rsidRDefault="00CD412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7D201" w14:textId="77777777" w:rsidR="00F0191D" w:rsidRDefault="00F0191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693A1" w14:textId="77777777" w:rsidR="00F0191D" w:rsidRDefault="00F0191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0FC5F" w14:textId="77777777" w:rsidR="00F0191D" w:rsidRDefault="00F0191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406CD" w14:textId="77777777" w:rsidR="00F0191D" w:rsidRDefault="00F0191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A75FB" w14:textId="77777777" w:rsidR="00B758A1" w:rsidRPr="00B758A1" w:rsidRDefault="00B758A1">
    <w:pPr>
      <w:rPr>
        <w:lang w:val="en-IE"/>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7465F" w14:textId="77777777" w:rsidR="00CD412A" w:rsidRDefault="00CD412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36DD3" w14:textId="77777777" w:rsidR="00CD412A" w:rsidRDefault="00CD412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4985E" w14:textId="77777777" w:rsidR="00CD412A" w:rsidRDefault="00CD4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B42D7C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BC8F8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A48313A"/>
    <w:lvl w:ilvl="0">
      <w:start w:val="1"/>
      <w:numFmt w:val="decimal"/>
      <w:pStyle w:val="ListNumber2"/>
      <w:lvlText w:val="%1."/>
      <w:lvlJc w:val="left"/>
      <w:pPr>
        <w:ind w:left="720" w:hanging="360"/>
      </w:pPr>
    </w:lvl>
  </w:abstractNum>
  <w:abstractNum w:abstractNumId="3" w15:restartNumberingAfterBreak="0">
    <w:nsid w:val="FFFFFF82"/>
    <w:multiLevelType w:val="singleLevel"/>
    <w:tmpl w:val="41DC08EC"/>
    <w:lvl w:ilvl="0">
      <w:start w:val="1"/>
      <w:numFmt w:val="bullet"/>
      <w:pStyle w:val="ListBullet3"/>
      <w:lvlText w:val=""/>
      <w:lvlJc w:val="left"/>
      <w:pPr>
        <w:tabs>
          <w:tab w:val="num" w:pos="926"/>
        </w:tabs>
        <w:ind w:left="926" w:hanging="360"/>
      </w:pPr>
      <w:rPr>
        <w:rFonts w:ascii="Verdana" w:hAnsi="Verdana" w:hint="default"/>
      </w:rPr>
    </w:lvl>
  </w:abstractNum>
  <w:abstractNum w:abstractNumId="4" w15:restartNumberingAfterBreak="0">
    <w:nsid w:val="FFFFFF83"/>
    <w:multiLevelType w:val="singleLevel"/>
    <w:tmpl w:val="609CCA1E"/>
    <w:lvl w:ilvl="0">
      <w:start w:val="1"/>
      <w:numFmt w:val="bullet"/>
      <w:pStyle w:val="ListBullet2"/>
      <w:lvlText w:val="-"/>
      <w:lvlJc w:val="left"/>
      <w:pPr>
        <w:ind w:left="643" w:hanging="360"/>
      </w:pPr>
      <w:rPr>
        <w:rFonts w:ascii="Wingdings 3" w:eastAsiaTheme="minorEastAsia" w:hAnsi="Wingdings 3" w:cstheme="minorBidi" w:hint="default"/>
        <w:color w:val="FFC000"/>
      </w:rPr>
    </w:lvl>
  </w:abstractNum>
  <w:abstractNum w:abstractNumId="5" w15:restartNumberingAfterBreak="0">
    <w:nsid w:val="FFFFFF88"/>
    <w:multiLevelType w:val="singleLevel"/>
    <w:tmpl w:val="EFAEA952"/>
    <w:lvl w:ilvl="0">
      <w:start w:val="1"/>
      <w:numFmt w:val="decimal"/>
      <w:pStyle w:val="ListNumber"/>
      <w:lvlText w:val="%1."/>
      <w:lvlJc w:val="left"/>
      <w:pPr>
        <w:tabs>
          <w:tab w:val="num" w:pos="360"/>
        </w:tabs>
        <w:ind w:left="360" w:hanging="360"/>
      </w:pPr>
    </w:lvl>
  </w:abstractNum>
  <w:abstractNum w:abstractNumId="6" w15:restartNumberingAfterBreak="0">
    <w:nsid w:val="02070090"/>
    <w:multiLevelType w:val="hybridMultilevel"/>
    <w:tmpl w:val="6D108414"/>
    <w:lvl w:ilvl="0" w:tplc="64F4822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21F15A8"/>
    <w:multiLevelType w:val="hybridMultilevel"/>
    <w:tmpl w:val="EEE2E0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2343FC3"/>
    <w:multiLevelType w:val="hybridMultilevel"/>
    <w:tmpl w:val="C1461F4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9" w15:restartNumberingAfterBreak="0">
    <w:nsid w:val="07322E98"/>
    <w:multiLevelType w:val="hybridMultilevel"/>
    <w:tmpl w:val="E12E248E"/>
    <w:lvl w:ilvl="0" w:tplc="B548299E">
      <w:start w:val="1"/>
      <w:numFmt w:val="decimal"/>
      <w:pStyle w:val="Tablebulletn"/>
      <w:lvlText w:val="%1."/>
      <w:lvlJc w:val="left"/>
      <w:pPr>
        <w:ind w:left="360" w:hanging="360"/>
      </w:pPr>
      <w:rPr>
        <w:rFonts w:hint="default"/>
      </w:rPr>
    </w:lvl>
    <w:lvl w:ilvl="1" w:tplc="04100019" w:tentative="1">
      <w:start w:val="1"/>
      <w:numFmt w:val="lowerLetter"/>
      <w:lvlText w:val="%2."/>
      <w:lvlJc w:val="left"/>
      <w:pPr>
        <w:ind w:left="590" w:hanging="360"/>
      </w:pPr>
    </w:lvl>
    <w:lvl w:ilvl="2" w:tplc="0410001B" w:tentative="1">
      <w:start w:val="1"/>
      <w:numFmt w:val="lowerRoman"/>
      <w:lvlText w:val="%3."/>
      <w:lvlJc w:val="right"/>
      <w:pPr>
        <w:ind w:left="1310" w:hanging="180"/>
      </w:pPr>
    </w:lvl>
    <w:lvl w:ilvl="3" w:tplc="0410000F" w:tentative="1">
      <w:start w:val="1"/>
      <w:numFmt w:val="decimal"/>
      <w:lvlText w:val="%4."/>
      <w:lvlJc w:val="left"/>
      <w:pPr>
        <w:ind w:left="2030" w:hanging="360"/>
      </w:pPr>
    </w:lvl>
    <w:lvl w:ilvl="4" w:tplc="04100019" w:tentative="1">
      <w:start w:val="1"/>
      <w:numFmt w:val="lowerLetter"/>
      <w:lvlText w:val="%5."/>
      <w:lvlJc w:val="left"/>
      <w:pPr>
        <w:ind w:left="2750" w:hanging="360"/>
      </w:pPr>
    </w:lvl>
    <w:lvl w:ilvl="5" w:tplc="0410001B" w:tentative="1">
      <w:start w:val="1"/>
      <w:numFmt w:val="lowerRoman"/>
      <w:lvlText w:val="%6."/>
      <w:lvlJc w:val="right"/>
      <w:pPr>
        <w:ind w:left="3470" w:hanging="180"/>
      </w:pPr>
    </w:lvl>
    <w:lvl w:ilvl="6" w:tplc="0410000F" w:tentative="1">
      <w:start w:val="1"/>
      <w:numFmt w:val="decimal"/>
      <w:lvlText w:val="%7."/>
      <w:lvlJc w:val="left"/>
      <w:pPr>
        <w:ind w:left="4190" w:hanging="360"/>
      </w:pPr>
    </w:lvl>
    <w:lvl w:ilvl="7" w:tplc="04100019" w:tentative="1">
      <w:start w:val="1"/>
      <w:numFmt w:val="lowerLetter"/>
      <w:lvlText w:val="%8."/>
      <w:lvlJc w:val="left"/>
      <w:pPr>
        <w:ind w:left="4910" w:hanging="360"/>
      </w:pPr>
    </w:lvl>
    <w:lvl w:ilvl="8" w:tplc="0410001B" w:tentative="1">
      <w:start w:val="1"/>
      <w:numFmt w:val="lowerRoman"/>
      <w:lvlText w:val="%9."/>
      <w:lvlJc w:val="right"/>
      <w:pPr>
        <w:ind w:left="5630" w:hanging="180"/>
      </w:pPr>
    </w:lvl>
  </w:abstractNum>
  <w:abstractNum w:abstractNumId="10" w15:restartNumberingAfterBreak="0">
    <w:nsid w:val="07794A7B"/>
    <w:multiLevelType w:val="hybridMultilevel"/>
    <w:tmpl w:val="381CFA7A"/>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E1F68A5"/>
    <w:multiLevelType w:val="multilevel"/>
    <w:tmpl w:val="ABD6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E796F52"/>
    <w:multiLevelType w:val="hybridMultilevel"/>
    <w:tmpl w:val="DC6A66A0"/>
    <w:lvl w:ilvl="0" w:tplc="DB2225EC">
      <w:start w:val="1"/>
      <w:numFmt w:val="bullet"/>
      <w:pStyle w:val="Bullettable2"/>
      <w:lvlText w:val=""/>
      <w:lvlJc w:val="left"/>
      <w:pPr>
        <w:ind w:left="2160" w:hanging="360"/>
      </w:pPr>
      <w:rPr>
        <w:rFonts w:ascii="Yu Gothic UI Light" w:hAnsi="Yu Gothic UI Light" w:hint="default"/>
      </w:rPr>
    </w:lvl>
    <w:lvl w:ilvl="1" w:tplc="04100003" w:tentative="1">
      <w:start w:val="1"/>
      <w:numFmt w:val="bullet"/>
      <w:lvlText w:val="o"/>
      <w:lvlJc w:val="left"/>
      <w:pPr>
        <w:ind w:left="2880" w:hanging="360"/>
      </w:pPr>
      <w:rPr>
        <w:rFonts w:ascii="Cambria Math" w:hAnsi="Cambria Math" w:cs="Cambria Math" w:hint="default"/>
      </w:rPr>
    </w:lvl>
    <w:lvl w:ilvl="2" w:tplc="04100005" w:tentative="1">
      <w:start w:val="1"/>
      <w:numFmt w:val="bullet"/>
      <w:lvlText w:val=""/>
      <w:lvlJc w:val="left"/>
      <w:pPr>
        <w:ind w:left="3600" w:hanging="360"/>
      </w:pPr>
      <w:rPr>
        <w:rFonts w:ascii="Yu Gothic UI Light" w:hAnsi="Yu Gothic UI Light" w:hint="default"/>
      </w:rPr>
    </w:lvl>
    <w:lvl w:ilvl="3" w:tplc="04100001" w:tentative="1">
      <w:start w:val="1"/>
      <w:numFmt w:val="bullet"/>
      <w:lvlText w:val=""/>
      <w:lvlJc w:val="left"/>
      <w:pPr>
        <w:ind w:left="4320" w:hanging="360"/>
      </w:pPr>
      <w:rPr>
        <w:rFonts w:ascii="Verdana" w:hAnsi="Verdana" w:hint="default"/>
      </w:rPr>
    </w:lvl>
    <w:lvl w:ilvl="4" w:tplc="04100003" w:tentative="1">
      <w:start w:val="1"/>
      <w:numFmt w:val="bullet"/>
      <w:lvlText w:val="o"/>
      <w:lvlJc w:val="left"/>
      <w:pPr>
        <w:ind w:left="5040" w:hanging="360"/>
      </w:pPr>
      <w:rPr>
        <w:rFonts w:ascii="Cambria Math" w:hAnsi="Cambria Math" w:cs="Cambria Math" w:hint="default"/>
      </w:rPr>
    </w:lvl>
    <w:lvl w:ilvl="5" w:tplc="04100005" w:tentative="1">
      <w:start w:val="1"/>
      <w:numFmt w:val="bullet"/>
      <w:lvlText w:val=""/>
      <w:lvlJc w:val="left"/>
      <w:pPr>
        <w:ind w:left="5760" w:hanging="360"/>
      </w:pPr>
      <w:rPr>
        <w:rFonts w:ascii="Yu Gothic UI Light" w:hAnsi="Yu Gothic UI Light" w:hint="default"/>
      </w:rPr>
    </w:lvl>
    <w:lvl w:ilvl="6" w:tplc="04100001" w:tentative="1">
      <w:start w:val="1"/>
      <w:numFmt w:val="bullet"/>
      <w:lvlText w:val=""/>
      <w:lvlJc w:val="left"/>
      <w:pPr>
        <w:ind w:left="6480" w:hanging="360"/>
      </w:pPr>
      <w:rPr>
        <w:rFonts w:ascii="Verdana" w:hAnsi="Verdana" w:hint="default"/>
      </w:rPr>
    </w:lvl>
    <w:lvl w:ilvl="7" w:tplc="04100003" w:tentative="1">
      <w:start w:val="1"/>
      <w:numFmt w:val="bullet"/>
      <w:lvlText w:val="o"/>
      <w:lvlJc w:val="left"/>
      <w:pPr>
        <w:ind w:left="7200" w:hanging="360"/>
      </w:pPr>
      <w:rPr>
        <w:rFonts w:ascii="Cambria Math" w:hAnsi="Cambria Math" w:cs="Cambria Math" w:hint="default"/>
      </w:rPr>
    </w:lvl>
    <w:lvl w:ilvl="8" w:tplc="04100005" w:tentative="1">
      <w:start w:val="1"/>
      <w:numFmt w:val="bullet"/>
      <w:lvlText w:val=""/>
      <w:lvlJc w:val="left"/>
      <w:pPr>
        <w:ind w:left="7920" w:hanging="360"/>
      </w:pPr>
      <w:rPr>
        <w:rFonts w:ascii="Yu Gothic UI Light" w:hAnsi="Yu Gothic UI Light" w:hint="default"/>
      </w:rPr>
    </w:lvl>
  </w:abstractNum>
  <w:abstractNum w:abstractNumId="13" w15:restartNumberingAfterBreak="0">
    <w:nsid w:val="1048426E"/>
    <w:multiLevelType w:val="hybridMultilevel"/>
    <w:tmpl w:val="ED22DCEA"/>
    <w:lvl w:ilvl="0" w:tplc="BB044236">
      <w:start w:val="1"/>
      <w:numFmt w:val="bullet"/>
      <w:pStyle w:val="Tablebullet"/>
      <w:lvlText w:val=""/>
      <w:lvlJc w:val="left"/>
      <w:pPr>
        <w:ind w:left="360" w:hanging="360"/>
      </w:pPr>
      <w:rPr>
        <w:rFonts w:ascii="Verdana" w:hAnsi="Verdana" w:hint="default"/>
        <w:color w:val="00AEF0"/>
        <w:lang w:val="fr-FR"/>
      </w:rPr>
    </w:lvl>
    <w:lvl w:ilvl="1" w:tplc="04090003">
      <w:start w:val="1"/>
      <w:numFmt w:val="bullet"/>
      <w:lvlText w:val="o"/>
      <w:lvlJc w:val="left"/>
      <w:pPr>
        <w:ind w:left="1083" w:hanging="360"/>
      </w:pPr>
      <w:rPr>
        <w:rFonts w:ascii="Cambria Math" w:hAnsi="Cambria Math" w:cs="Cambria Math" w:hint="default"/>
      </w:rPr>
    </w:lvl>
    <w:lvl w:ilvl="2" w:tplc="04090005">
      <w:start w:val="1"/>
      <w:numFmt w:val="bullet"/>
      <w:lvlText w:val=""/>
      <w:lvlJc w:val="left"/>
      <w:pPr>
        <w:ind w:left="1803" w:hanging="360"/>
      </w:pPr>
      <w:rPr>
        <w:rFonts w:ascii="Yu Gothic UI Light" w:hAnsi="Yu Gothic UI Light" w:hint="default"/>
      </w:rPr>
    </w:lvl>
    <w:lvl w:ilvl="3" w:tplc="04090001">
      <w:start w:val="1"/>
      <w:numFmt w:val="bullet"/>
      <w:lvlText w:val=""/>
      <w:lvlJc w:val="left"/>
      <w:pPr>
        <w:ind w:left="2523" w:hanging="360"/>
      </w:pPr>
      <w:rPr>
        <w:rFonts w:ascii="Verdana" w:hAnsi="Verdana" w:hint="default"/>
      </w:rPr>
    </w:lvl>
    <w:lvl w:ilvl="4" w:tplc="04090003">
      <w:start w:val="1"/>
      <w:numFmt w:val="bullet"/>
      <w:lvlText w:val="o"/>
      <w:lvlJc w:val="left"/>
      <w:pPr>
        <w:ind w:left="3243" w:hanging="360"/>
      </w:pPr>
      <w:rPr>
        <w:rFonts w:ascii="Cambria Math" w:hAnsi="Cambria Math" w:cs="Cambria Math" w:hint="default"/>
      </w:rPr>
    </w:lvl>
    <w:lvl w:ilvl="5" w:tplc="04090005">
      <w:start w:val="1"/>
      <w:numFmt w:val="bullet"/>
      <w:lvlText w:val=""/>
      <w:lvlJc w:val="left"/>
      <w:pPr>
        <w:ind w:left="3963" w:hanging="360"/>
      </w:pPr>
      <w:rPr>
        <w:rFonts w:ascii="Yu Gothic UI Light" w:hAnsi="Yu Gothic UI Light" w:hint="default"/>
      </w:rPr>
    </w:lvl>
    <w:lvl w:ilvl="6" w:tplc="04090001">
      <w:start w:val="1"/>
      <w:numFmt w:val="bullet"/>
      <w:lvlText w:val=""/>
      <w:lvlJc w:val="left"/>
      <w:pPr>
        <w:ind w:left="4683" w:hanging="360"/>
      </w:pPr>
      <w:rPr>
        <w:rFonts w:ascii="Verdana" w:hAnsi="Verdana" w:hint="default"/>
      </w:rPr>
    </w:lvl>
    <w:lvl w:ilvl="7" w:tplc="04090003">
      <w:start w:val="1"/>
      <w:numFmt w:val="bullet"/>
      <w:lvlText w:val="o"/>
      <w:lvlJc w:val="left"/>
      <w:pPr>
        <w:ind w:left="5403" w:hanging="360"/>
      </w:pPr>
      <w:rPr>
        <w:rFonts w:ascii="Cambria Math" w:hAnsi="Cambria Math" w:cs="Cambria Math" w:hint="default"/>
      </w:rPr>
    </w:lvl>
    <w:lvl w:ilvl="8" w:tplc="04090005">
      <w:start w:val="1"/>
      <w:numFmt w:val="bullet"/>
      <w:lvlText w:val=""/>
      <w:lvlJc w:val="left"/>
      <w:pPr>
        <w:ind w:left="6123" w:hanging="360"/>
      </w:pPr>
      <w:rPr>
        <w:rFonts w:ascii="Yu Gothic UI Light" w:hAnsi="Yu Gothic UI Light" w:hint="default"/>
      </w:rPr>
    </w:lvl>
  </w:abstractNum>
  <w:abstractNum w:abstractNumId="14" w15:restartNumberingAfterBreak="0">
    <w:nsid w:val="11FB0101"/>
    <w:multiLevelType w:val="hybridMultilevel"/>
    <w:tmpl w:val="808CF338"/>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4151CD9"/>
    <w:multiLevelType w:val="hybridMultilevel"/>
    <w:tmpl w:val="B5B8F9A2"/>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5754FE4"/>
    <w:multiLevelType w:val="hybridMultilevel"/>
    <w:tmpl w:val="67EE8E00"/>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81A613A"/>
    <w:multiLevelType w:val="hybridMultilevel"/>
    <w:tmpl w:val="716EEF72"/>
    <w:lvl w:ilvl="0" w:tplc="04070013">
      <w:start w:val="1"/>
      <w:numFmt w:val="upperRoman"/>
      <w:pStyle w:val="43abc"/>
      <w:lvlText w:val="%1."/>
      <w:lvlJc w:val="right"/>
      <w:pPr>
        <w:ind w:left="1428" w:hanging="360"/>
      </w:pPr>
    </w:lvl>
    <w:lvl w:ilvl="1" w:tplc="0407001B">
      <w:start w:val="1"/>
      <w:numFmt w:val="lowerRoman"/>
      <w:pStyle w:val="43abc"/>
      <w:lvlText w:val="%2."/>
      <w:lvlJc w:val="right"/>
      <w:pPr>
        <w:ind w:left="2148" w:hanging="360"/>
      </w:pPr>
    </w:lvl>
    <w:lvl w:ilvl="2" w:tplc="33ACD998">
      <w:start w:val="1"/>
      <w:numFmt w:val="lowerLetter"/>
      <w:lvlText w:val="%3)"/>
      <w:lvlJc w:val="left"/>
      <w:pPr>
        <w:ind w:left="3048" w:hanging="360"/>
      </w:pPr>
      <w:rPr>
        <w:rFonts w:hint="default"/>
      </w:rPr>
    </w:lvl>
    <w:lvl w:ilvl="3" w:tplc="D254A10C">
      <w:start w:val="22"/>
      <w:numFmt w:val="bullet"/>
      <w:lvlText w:val="-"/>
      <w:lvlJc w:val="left"/>
      <w:pPr>
        <w:ind w:left="3588" w:hanging="360"/>
      </w:pPr>
      <w:rPr>
        <w:rFonts w:ascii="Arial" w:eastAsia="Verdana" w:hAnsi="Arial" w:cs="Verdana" w:hint="default"/>
      </w:rPr>
    </w:lvl>
    <w:lvl w:ilvl="4" w:tplc="04070019">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18" w15:restartNumberingAfterBreak="0">
    <w:nsid w:val="1AF617C0"/>
    <w:multiLevelType w:val="hybridMultilevel"/>
    <w:tmpl w:val="BCC0B1D6"/>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B861ABB"/>
    <w:multiLevelType w:val="hybridMultilevel"/>
    <w:tmpl w:val="7A907E40"/>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D673D33"/>
    <w:multiLevelType w:val="hybridMultilevel"/>
    <w:tmpl w:val="90E06E52"/>
    <w:lvl w:ilvl="0" w:tplc="F7F89940">
      <w:start w:val="1"/>
      <w:numFmt w:val="decimal"/>
      <w:lvlText w:val="(%1)"/>
      <w:lvlJc w:val="left"/>
      <w:pPr>
        <w:ind w:left="780" w:hanging="4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1EE609D6"/>
    <w:multiLevelType w:val="hybridMultilevel"/>
    <w:tmpl w:val="1DA001B6"/>
    <w:lvl w:ilvl="0" w:tplc="93103E1C">
      <w:start w:val="1"/>
      <w:numFmt w:val="lowerRoman"/>
      <w:pStyle w:val="Tablenumber2"/>
      <w:lvlText w:val="%1)"/>
      <w:lvlJc w:val="left"/>
      <w:pPr>
        <w:ind w:left="1800" w:hanging="36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250019" w:tentative="1">
      <w:start w:val="1"/>
      <w:numFmt w:val="lowerLetter"/>
      <w:lvlText w:val="%2."/>
      <w:lvlJc w:val="left"/>
      <w:pPr>
        <w:ind w:left="2520" w:hanging="360"/>
      </w:pPr>
    </w:lvl>
    <w:lvl w:ilvl="2" w:tplc="FAEAAD48">
      <w:start w:val="1"/>
      <w:numFmt w:val="lowerRoman"/>
      <w:lvlText w:val="%3."/>
      <w:lvlJc w:val="right"/>
      <w:pPr>
        <w:ind w:left="3240" w:hanging="180"/>
      </w:pPr>
    </w:lvl>
    <w:lvl w:ilvl="3" w:tplc="0425000F" w:tentative="1">
      <w:start w:val="1"/>
      <w:numFmt w:val="decimal"/>
      <w:lvlText w:val="%4."/>
      <w:lvlJc w:val="left"/>
      <w:pPr>
        <w:ind w:left="3960" w:hanging="360"/>
      </w:pPr>
    </w:lvl>
    <w:lvl w:ilvl="4" w:tplc="04250019" w:tentative="1">
      <w:start w:val="1"/>
      <w:numFmt w:val="lowerLetter"/>
      <w:lvlText w:val="%5."/>
      <w:lvlJc w:val="left"/>
      <w:pPr>
        <w:ind w:left="4680" w:hanging="360"/>
      </w:pPr>
    </w:lvl>
    <w:lvl w:ilvl="5" w:tplc="0425001B" w:tentative="1">
      <w:start w:val="1"/>
      <w:numFmt w:val="lowerRoman"/>
      <w:lvlText w:val="%6."/>
      <w:lvlJc w:val="right"/>
      <w:pPr>
        <w:ind w:left="5400" w:hanging="180"/>
      </w:pPr>
    </w:lvl>
    <w:lvl w:ilvl="6" w:tplc="0425000F" w:tentative="1">
      <w:start w:val="1"/>
      <w:numFmt w:val="decimal"/>
      <w:lvlText w:val="%7."/>
      <w:lvlJc w:val="left"/>
      <w:pPr>
        <w:ind w:left="6120" w:hanging="360"/>
      </w:pPr>
    </w:lvl>
    <w:lvl w:ilvl="7" w:tplc="04250019" w:tentative="1">
      <w:start w:val="1"/>
      <w:numFmt w:val="lowerLetter"/>
      <w:lvlText w:val="%8."/>
      <w:lvlJc w:val="left"/>
      <w:pPr>
        <w:ind w:left="6840" w:hanging="360"/>
      </w:pPr>
    </w:lvl>
    <w:lvl w:ilvl="8" w:tplc="0425001B" w:tentative="1">
      <w:start w:val="1"/>
      <w:numFmt w:val="lowerRoman"/>
      <w:lvlText w:val="%9."/>
      <w:lvlJc w:val="right"/>
      <w:pPr>
        <w:ind w:left="7560" w:hanging="180"/>
      </w:pPr>
    </w:lvl>
  </w:abstractNum>
  <w:abstractNum w:abstractNumId="22" w15:restartNumberingAfterBreak="0">
    <w:nsid w:val="1F734306"/>
    <w:multiLevelType w:val="multilevel"/>
    <w:tmpl w:val="D266108E"/>
    <w:lvl w:ilvl="0">
      <w:start w:val="1"/>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1854"/>
        </w:tabs>
        <w:ind w:left="1854"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1FD43C57"/>
    <w:multiLevelType w:val="hybridMultilevel"/>
    <w:tmpl w:val="4CB418C4"/>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22D44ED"/>
    <w:multiLevelType w:val="hybridMultilevel"/>
    <w:tmpl w:val="14208706"/>
    <w:lvl w:ilvl="0" w:tplc="18090001">
      <w:start w:val="1"/>
      <w:numFmt w:val="bullet"/>
      <w:lvlText w:val=""/>
      <w:lvlJc w:val="left"/>
      <w:pPr>
        <w:ind w:left="700" w:hanging="360"/>
      </w:pPr>
      <w:rPr>
        <w:rFonts w:ascii="Symbol" w:hAnsi="Symbol" w:hint="default"/>
      </w:rPr>
    </w:lvl>
    <w:lvl w:ilvl="1" w:tplc="18090003" w:tentative="1">
      <w:start w:val="1"/>
      <w:numFmt w:val="bullet"/>
      <w:lvlText w:val="o"/>
      <w:lvlJc w:val="left"/>
      <w:pPr>
        <w:ind w:left="1420" w:hanging="360"/>
      </w:pPr>
      <w:rPr>
        <w:rFonts w:ascii="Courier New" w:hAnsi="Courier New" w:cs="Courier New" w:hint="default"/>
      </w:rPr>
    </w:lvl>
    <w:lvl w:ilvl="2" w:tplc="18090005" w:tentative="1">
      <w:start w:val="1"/>
      <w:numFmt w:val="bullet"/>
      <w:lvlText w:val=""/>
      <w:lvlJc w:val="left"/>
      <w:pPr>
        <w:ind w:left="2140" w:hanging="360"/>
      </w:pPr>
      <w:rPr>
        <w:rFonts w:ascii="Wingdings" w:hAnsi="Wingdings" w:hint="default"/>
      </w:rPr>
    </w:lvl>
    <w:lvl w:ilvl="3" w:tplc="18090001" w:tentative="1">
      <w:start w:val="1"/>
      <w:numFmt w:val="bullet"/>
      <w:lvlText w:val=""/>
      <w:lvlJc w:val="left"/>
      <w:pPr>
        <w:ind w:left="2860" w:hanging="360"/>
      </w:pPr>
      <w:rPr>
        <w:rFonts w:ascii="Symbol" w:hAnsi="Symbol" w:hint="default"/>
      </w:rPr>
    </w:lvl>
    <w:lvl w:ilvl="4" w:tplc="18090003" w:tentative="1">
      <w:start w:val="1"/>
      <w:numFmt w:val="bullet"/>
      <w:lvlText w:val="o"/>
      <w:lvlJc w:val="left"/>
      <w:pPr>
        <w:ind w:left="3580" w:hanging="360"/>
      </w:pPr>
      <w:rPr>
        <w:rFonts w:ascii="Courier New" w:hAnsi="Courier New" w:cs="Courier New" w:hint="default"/>
      </w:rPr>
    </w:lvl>
    <w:lvl w:ilvl="5" w:tplc="18090005" w:tentative="1">
      <w:start w:val="1"/>
      <w:numFmt w:val="bullet"/>
      <w:lvlText w:val=""/>
      <w:lvlJc w:val="left"/>
      <w:pPr>
        <w:ind w:left="4300" w:hanging="360"/>
      </w:pPr>
      <w:rPr>
        <w:rFonts w:ascii="Wingdings" w:hAnsi="Wingdings" w:hint="default"/>
      </w:rPr>
    </w:lvl>
    <w:lvl w:ilvl="6" w:tplc="18090001" w:tentative="1">
      <w:start w:val="1"/>
      <w:numFmt w:val="bullet"/>
      <w:lvlText w:val=""/>
      <w:lvlJc w:val="left"/>
      <w:pPr>
        <w:ind w:left="5020" w:hanging="360"/>
      </w:pPr>
      <w:rPr>
        <w:rFonts w:ascii="Symbol" w:hAnsi="Symbol" w:hint="default"/>
      </w:rPr>
    </w:lvl>
    <w:lvl w:ilvl="7" w:tplc="18090003" w:tentative="1">
      <w:start w:val="1"/>
      <w:numFmt w:val="bullet"/>
      <w:lvlText w:val="o"/>
      <w:lvlJc w:val="left"/>
      <w:pPr>
        <w:ind w:left="5740" w:hanging="360"/>
      </w:pPr>
      <w:rPr>
        <w:rFonts w:ascii="Courier New" w:hAnsi="Courier New" w:cs="Courier New" w:hint="default"/>
      </w:rPr>
    </w:lvl>
    <w:lvl w:ilvl="8" w:tplc="18090005" w:tentative="1">
      <w:start w:val="1"/>
      <w:numFmt w:val="bullet"/>
      <w:lvlText w:val=""/>
      <w:lvlJc w:val="left"/>
      <w:pPr>
        <w:ind w:left="6460" w:hanging="360"/>
      </w:pPr>
      <w:rPr>
        <w:rFonts w:ascii="Wingdings" w:hAnsi="Wingdings" w:hint="default"/>
      </w:rPr>
    </w:lvl>
  </w:abstractNum>
  <w:abstractNum w:abstractNumId="25" w15:restartNumberingAfterBreak="0">
    <w:nsid w:val="22A67E1C"/>
    <w:multiLevelType w:val="hybridMultilevel"/>
    <w:tmpl w:val="9C46B7FC"/>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240E6A59"/>
    <w:multiLevelType w:val="hybridMultilevel"/>
    <w:tmpl w:val="4422320E"/>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2549207B"/>
    <w:multiLevelType w:val="hybridMultilevel"/>
    <w:tmpl w:val="B2B2C7E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25BE219F"/>
    <w:multiLevelType w:val="hybridMultilevel"/>
    <w:tmpl w:val="6F6ABB62"/>
    <w:lvl w:ilvl="0" w:tplc="9B0CB3C4">
      <w:start w:val="42"/>
      <w:numFmt w:val="bullet"/>
      <w:lvlText w:val="-"/>
      <w:lvlJc w:val="left"/>
      <w:pPr>
        <w:ind w:left="720" w:hanging="360"/>
      </w:pPr>
      <w:rPr>
        <w:rFonts w:ascii="Verdana" w:eastAsiaTheme="minorHAnsi" w:hAnsi="Verdana" w:cstheme="minorBidi"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272D1045"/>
    <w:multiLevelType w:val="hybridMultilevel"/>
    <w:tmpl w:val="5D5606B6"/>
    <w:lvl w:ilvl="0" w:tplc="A412F5F4">
      <w:start w:val="1"/>
      <w:numFmt w:val="bullet"/>
      <w:pStyle w:val="bullet1"/>
      <w:lvlText w:val="►"/>
      <w:lvlJc w:val="left"/>
      <w:pPr>
        <w:ind w:left="786" w:hanging="360"/>
      </w:pPr>
      <w:rPr>
        <w:rFonts w:ascii="Wingdings 3" w:hAnsi="Wingdings 3" w:cs="Verdana" w:hint="default"/>
        <w:b w:val="0"/>
        <w:i w:val="0"/>
        <w:color w:val="FFC000"/>
        <w:sz w:val="16"/>
        <w:szCs w:val="16"/>
      </w:rPr>
    </w:lvl>
    <w:lvl w:ilvl="1" w:tplc="04070003">
      <w:start w:val="1"/>
      <w:numFmt w:val="bullet"/>
      <w:lvlText w:val="o"/>
      <w:lvlJc w:val="left"/>
      <w:pPr>
        <w:ind w:left="1440" w:hanging="360"/>
      </w:pPr>
      <w:rPr>
        <w:rFonts w:ascii="Cambria Math" w:hAnsi="Cambria Math" w:cs="Cambria Math" w:hint="default"/>
      </w:rPr>
    </w:lvl>
    <w:lvl w:ilvl="2" w:tplc="04070005">
      <w:start w:val="1"/>
      <w:numFmt w:val="bullet"/>
      <w:lvlText w:val=""/>
      <w:lvlJc w:val="left"/>
      <w:pPr>
        <w:ind w:left="2160" w:hanging="360"/>
      </w:pPr>
      <w:rPr>
        <w:rFonts w:ascii="Yu Gothic UI Light" w:hAnsi="Yu Gothic UI Light" w:hint="default"/>
      </w:rPr>
    </w:lvl>
    <w:lvl w:ilvl="3" w:tplc="04070001" w:tentative="1">
      <w:start w:val="1"/>
      <w:numFmt w:val="bullet"/>
      <w:lvlText w:val=""/>
      <w:lvlJc w:val="left"/>
      <w:pPr>
        <w:ind w:left="2880" w:hanging="360"/>
      </w:pPr>
      <w:rPr>
        <w:rFonts w:ascii="Verdana" w:hAnsi="Verdana" w:hint="default"/>
      </w:rPr>
    </w:lvl>
    <w:lvl w:ilvl="4" w:tplc="04070003" w:tentative="1">
      <w:start w:val="1"/>
      <w:numFmt w:val="bullet"/>
      <w:lvlText w:val="o"/>
      <w:lvlJc w:val="left"/>
      <w:pPr>
        <w:ind w:left="3600" w:hanging="360"/>
      </w:pPr>
      <w:rPr>
        <w:rFonts w:ascii="Cambria Math" w:hAnsi="Cambria Math" w:cs="Cambria Math" w:hint="default"/>
      </w:rPr>
    </w:lvl>
    <w:lvl w:ilvl="5" w:tplc="04070005" w:tentative="1">
      <w:start w:val="1"/>
      <w:numFmt w:val="bullet"/>
      <w:lvlText w:val=""/>
      <w:lvlJc w:val="left"/>
      <w:pPr>
        <w:ind w:left="4320" w:hanging="360"/>
      </w:pPr>
      <w:rPr>
        <w:rFonts w:ascii="Yu Gothic UI Light" w:hAnsi="Yu Gothic UI Light" w:hint="default"/>
      </w:rPr>
    </w:lvl>
    <w:lvl w:ilvl="6" w:tplc="04070001" w:tentative="1">
      <w:start w:val="1"/>
      <w:numFmt w:val="bullet"/>
      <w:lvlText w:val=""/>
      <w:lvlJc w:val="left"/>
      <w:pPr>
        <w:ind w:left="5040" w:hanging="360"/>
      </w:pPr>
      <w:rPr>
        <w:rFonts w:ascii="Verdana" w:hAnsi="Verdana" w:hint="default"/>
      </w:rPr>
    </w:lvl>
    <w:lvl w:ilvl="7" w:tplc="04070003" w:tentative="1">
      <w:start w:val="1"/>
      <w:numFmt w:val="bullet"/>
      <w:lvlText w:val="o"/>
      <w:lvlJc w:val="left"/>
      <w:pPr>
        <w:ind w:left="5760" w:hanging="360"/>
      </w:pPr>
      <w:rPr>
        <w:rFonts w:ascii="Cambria Math" w:hAnsi="Cambria Math" w:cs="Cambria Math" w:hint="default"/>
      </w:rPr>
    </w:lvl>
    <w:lvl w:ilvl="8" w:tplc="04070005" w:tentative="1">
      <w:start w:val="1"/>
      <w:numFmt w:val="bullet"/>
      <w:lvlText w:val=""/>
      <w:lvlJc w:val="left"/>
      <w:pPr>
        <w:ind w:left="6480" w:hanging="360"/>
      </w:pPr>
      <w:rPr>
        <w:rFonts w:ascii="Yu Gothic UI Light" w:hAnsi="Yu Gothic UI Light" w:hint="default"/>
      </w:rPr>
    </w:lvl>
  </w:abstractNum>
  <w:abstractNum w:abstractNumId="30" w15:restartNumberingAfterBreak="0">
    <w:nsid w:val="2831263F"/>
    <w:multiLevelType w:val="hybridMultilevel"/>
    <w:tmpl w:val="C05C3E44"/>
    <w:lvl w:ilvl="0" w:tplc="2C68D9EA">
      <w:start w:val="1"/>
      <w:numFmt w:val="bullet"/>
      <w:pStyle w:val="HeadingBody"/>
      <w:lvlText w:val=""/>
      <w:lvlJc w:val="left"/>
      <w:pPr>
        <w:ind w:left="1287" w:hanging="360"/>
      </w:pPr>
      <w:rPr>
        <w:rFonts w:ascii="Verdana" w:hAnsi="Verdana" w:hint="default"/>
        <w:color w:val="00B0F0"/>
      </w:rPr>
    </w:lvl>
    <w:lvl w:ilvl="1" w:tplc="04100003" w:tentative="1">
      <w:start w:val="1"/>
      <w:numFmt w:val="bullet"/>
      <w:lvlText w:val="o"/>
      <w:lvlJc w:val="left"/>
      <w:pPr>
        <w:ind w:left="2007" w:hanging="360"/>
      </w:pPr>
      <w:rPr>
        <w:rFonts w:ascii="Cambria Math" w:hAnsi="Cambria Math" w:cs="Cambria Math" w:hint="default"/>
      </w:rPr>
    </w:lvl>
    <w:lvl w:ilvl="2" w:tplc="04100005">
      <w:start w:val="1"/>
      <w:numFmt w:val="bullet"/>
      <w:lvlText w:val=""/>
      <w:lvlJc w:val="left"/>
      <w:pPr>
        <w:ind w:left="2727" w:hanging="360"/>
      </w:pPr>
      <w:rPr>
        <w:rFonts w:ascii="Yu Gothic UI Light" w:hAnsi="Yu Gothic UI Light" w:hint="default"/>
      </w:rPr>
    </w:lvl>
    <w:lvl w:ilvl="3" w:tplc="04100001" w:tentative="1">
      <w:start w:val="1"/>
      <w:numFmt w:val="bullet"/>
      <w:lvlText w:val=""/>
      <w:lvlJc w:val="left"/>
      <w:pPr>
        <w:ind w:left="3447" w:hanging="360"/>
      </w:pPr>
      <w:rPr>
        <w:rFonts w:ascii="Verdana" w:hAnsi="Verdana" w:hint="default"/>
      </w:rPr>
    </w:lvl>
    <w:lvl w:ilvl="4" w:tplc="04100003" w:tentative="1">
      <w:start w:val="1"/>
      <w:numFmt w:val="bullet"/>
      <w:lvlText w:val="o"/>
      <w:lvlJc w:val="left"/>
      <w:pPr>
        <w:ind w:left="4167" w:hanging="360"/>
      </w:pPr>
      <w:rPr>
        <w:rFonts w:ascii="Cambria Math" w:hAnsi="Cambria Math" w:cs="Cambria Math" w:hint="default"/>
      </w:rPr>
    </w:lvl>
    <w:lvl w:ilvl="5" w:tplc="04100005" w:tentative="1">
      <w:start w:val="1"/>
      <w:numFmt w:val="bullet"/>
      <w:lvlText w:val=""/>
      <w:lvlJc w:val="left"/>
      <w:pPr>
        <w:ind w:left="4887" w:hanging="360"/>
      </w:pPr>
      <w:rPr>
        <w:rFonts w:ascii="Yu Gothic UI Light" w:hAnsi="Yu Gothic UI Light" w:hint="default"/>
      </w:rPr>
    </w:lvl>
    <w:lvl w:ilvl="6" w:tplc="04100001" w:tentative="1">
      <w:start w:val="1"/>
      <w:numFmt w:val="bullet"/>
      <w:lvlText w:val=""/>
      <w:lvlJc w:val="left"/>
      <w:pPr>
        <w:ind w:left="5607" w:hanging="360"/>
      </w:pPr>
      <w:rPr>
        <w:rFonts w:ascii="Verdana" w:hAnsi="Verdana" w:hint="default"/>
      </w:rPr>
    </w:lvl>
    <w:lvl w:ilvl="7" w:tplc="04100003" w:tentative="1">
      <w:start w:val="1"/>
      <w:numFmt w:val="bullet"/>
      <w:lvlText w:val="o"/>
      <w:lvlJc w:val="left"/>
      <w:pPr>
        <w:ind w:left="6327" w:hanging="360"/>
      </w:pPr>
      <w:rPr>
        <w:rFonts w:ascii="Cambria Math" w:hAnsi="Cambria Math" w:cs="Cambria Math" w:hint="default"/>
      </w:rPr>
    </w:lvl>
    <w:lvl w:ilvl="8" w:tplc="04100005" w:tentative="1">
      <w:start w:val="1"/>
      <w:numFmt w:val="bullet"/>
      <w:lvlText w:val=""/>
      <w:lvlJc w:val="left"/>
      <w:pPr>
        <w:ind w:left="7047" w:hanging="360"/>
      </w:pPr>
      <w:rPr>
        <w:rFonts w:ascii="Yu Gothic UI Light" w:hAnsi="Yu Gothic UI Light" w:hint="default"/>
      </w:rPr>
    </w:lvl>
  </w:abstractNum>
  <w:abstractNum w:abstractNumId="31" w15:restartNumberingAfterBreak="0">
    <w:nsid w:val="2A6D5432"/>
    <w:multiLevelType w:val="hybridMultilevel"/>
    <w:tmpl w:val="B31E2FFA"/>
    <w:lvl w:ilvl="0" w:tplc="098C7A44">
      <w:start w:val="1"/>
      <w:numFmt w:val="bullet"/>
      <w:pStyle w:val="EDC-Bullettabelle"/>
      <w:lvlText w:val=""/>
      <w:lvlJc w:val="left"/>
      <w:pPr>
        <w:ind w:left="360" w:hanging="360"/>
      </w:pPr>
      <w:rPr>
        <w:rFonts w:ascii="Verdana" w:hAnsi="Verdana" w:hint="default"/>
        <w:b/>
        <w:i w:val="0"/>
        <w:color w:val="325BAA"/>
        <w:sz w:val="18"/>
      </w:rPr>
    </w:lvl>
    <w:lvl w:ilvl="1" w:tplc="04100003">
      <w:start w:val="1"/>
      <w:numFmt w:val="bullet"/>
      <w:lvlText w:val="o"/>
      <w:lvlJc w:val="left"/>
      <w:pPr>
        <w:ind w:left="1080" w:hanging="360"/>
      </w:pPr>
      <w:rPr>
        <w:rFonts w:ascii="Cambria Math" w:hAnsi="Cambria Math" w:cs="Cambria Math" w:hint="default"/>
      </w:rPr>
    </w:lvl>
    <w:lvl w:ilvl="2" w:tplc="04100005">
      <w:start w:val="1"/>
      <w:numFmt w:val="bullet"/>
      <w:lvlText w:val=""/>
      <w:lvlJc w:val="left"/>
      <w:pPr>
        <w:ind w:left="1800" w:hanging="360"/>
      </w:pPr>
      <w:rPr>
        <w:rFonts w:ascii="Yu Gothic UI Light" w:hAnsi="Yu Gothic UI Light" w:hint="default"/>
      </w:rPr>
    </w:lvl>
    <w:lvl w:ilvl="3" w:tplc="04100001" w:tentative="1">
      <w:start w:val="1"/>
      <w:numFmt w:val="bullet"/>
      <w:lvlText w:val=""/>
      <w:lvlJc w:val="left"/>
      <w:pPr>
        <w:ind w:left="2520" w:hanging="360"/>
      </w:pPr>
      <w:rPr>
        <w:rFonts w:ascii="Verdana" w:hAnsi="Verdana" w:hint="default"/>
      </w:rPr>
    </w:lvl>
    <w:lvl w:ilvl="4" w:tplc="04100003" w:tentative="1">
      <w:start w:val="1"/>
      <w:numFmt w:val="bullet"/>
      <w:lvlText w:val="o"/>
      <w:lvlJc w:val="left"/>
      <w:pPr>
        <w:ind w:left="3240" w:hanging="360"/>
      </w:pPr>
      <w:rPr>
        <w:rFonts w:ascii="Cambria Math" w:hAnsi="Cambria Math" w:cs="Cambria Math" w:hint="default"/>
      </w:rPr>
    </w:lvl>
    <w:lvl w:ilvl="5" w:tplc="04100005" w:tentative="1">
      <w:start w:val="1"/>
      <w:numFmt w:val="bullet"/>
      <w:lvlText w:val=""/>
      <w:lvlJc w:val="left"/>
      <w:pPr>
        <w:ind w:left="3960" w:hanging="360"/>
      </w:pPr>
      <w:rPr>
        <w:rFonts w:ascii="Yu Gothic UI Light" w:hAnsi="Yu Gothic UI Light" w:hint="default"/>
      </w:rPr>
    </w:lvl>
    <w:lvl w:ilvl="6" w:tplc="04100001" w:tentative="1">
      <w:start w:val="1"/>
      <w:numFmt w:val="bullet"/>
      <w:lvlText w:val=""/>
      <w:lvlJc w:val="left"/>
      <w:pPr>
        <w:ind w:left="4680" w:hanging="360"/>
      </w:pPr>
      <w:rPr>
        <w:rFonts w:ascii="Verdana" w:hAnsi="Verdana" w:hint="default"/>
      </w:rPr>
    </w:lvl>
    <w:lvl w:ilvl="7" w:tplc="04100003" w:tentative="1">
      <w:start w:val="1"/>
      <w:numFmt w:val="bullet"/>
      <w:lvlText w:val="o"/>
      <w:lvlJc w:val="left"/>
      <w:pPr>
        <w:ind w:left="5400" w:hanging="360"/>
      </w:pPr>
      <w:rPr>
        <w:rFonts w:ascii="Cambria Math" w:hAnsi="Cambria Math" w:cs="Cambria Math" w:hint="default"/>
      </w:rPr>
    </w:lvl>
    <w:lvl w:ilvl="8" w:tplc="04100005" w:tentative="1">
      <w:start w:val="1"/>
      <w:numFmt w:val="bullet"/>
      <w:lvlText w:val=""/>
      <w:lvlJc w:val="left"/>
      <w:pPr>
        <w:ind w:left="6120" w:hanging="360"/>
      </w:pPr>
      <w:rPr>
        <w:rFonts w:ascii="Yu Gothic UI Light" w:hAnsi="Yu Gothic UI Light" w:hint="default"/>
      </w:rPr>
    </w:lvl>
  </w:abstractNum>
  <w:abstractNum w:abstractNumId="32" w15:restartNumberingAfterBreak="0">
    <w:nsid w:val="2AD971E8"/>
    <w:multiLevelType w:val="hybridMultilevel"/>
    <w:tmpl w:val="44BEB1A8"/>
    <w:lvl w:ilvl="0" w:tplc="CD6679BA">
      <w:start w:val="1"/>
      <w:numFmt w:val="lowerLetter"/>
      <w:pStyle w:val="Tablenumber3"/>
      <w:lvlText w:val="%1."/>
      <w:lvlJc w:val="left"/>
      <w:pPr>
        <w:ind w:left="1060" w:hanging="360"/>
      </w:pPr>
    </w:lvl>
    <w:lvl w:ilvl="1" w:tplc="04250019" w:tentative="1">
      <w:start w:val="1"/>
      <w:numFmt w:val="lowerLetter"/>
      <w:lvlText w:val="%2."/>
      <w:lvlJc w:val="left"/>
      <w:pPr>
        <w:ind w:left="1780" w:hanging="360"/>
      </w:pPr>
    </w:lvl>
    <w:lvl w:ilvl="2" w:tplc="0425001B" w:tentative="1">
      <w:start w:val="1"/>
      <w:numFmt w:val="lowerRoman"/>
      <w:lvlText w:val="%3."/>
      <w:lvlJc w:val="right"/>
      <w:pPr>
        <w:ind w:left="2500" w:hanging="180"/>
      </w:pPr>
    </w:lvl>
    <w:lvl w:ilvl="3" w:tplc="0425000F" w:tentative="1">
      <w:start w:val="1"/>
      <w:numFmt w:val="decimal"/>
      <w:lvlText w:val="%4."/>
      <w:lvlJc w:val="left"/>
      <w:pPr>
        <w:ind w:left="3220" w:hanging="360"/>
      </w:pPr>
    </w:lvl>
    <w:lvl w:ilvl="4" w:tplc="04250019" w:tentative="1">
      <w:start w:val="1"/>
      <w:numFmt w:val="lowerLetter"/>
      <w:lvlText w:val="%5."/>
      <w:lvlJc w:val="left"/>
      <w:pPr>
        <w:ind w:left="3940" w:hanging="360"/>
      </w:pPr>
    </w:lvl>
    <w:lvl w:ilvl="5" w:tplc="0425001B" w:tentative="1">
      <w:start w:val="1"/>
      <w:numFmt w:val="lowerRoman"/>
      <w:lvlText w:val="%6."/>
      <w:lvlJc w:val="right"/>
      <w:pPr>
        <w:ind w:left="4660" w:hanging="180"/>
      </w:pPr>
    </w:lvl>
    <w:lvl w:ilvl="6" w:tplc="0425000F" w:tentative="1">
      <w:start w:val="1"/>
      <w:numFmt w:val="decimal"/>
      <w:lvlText w:val="%7."/>
      <w:lvlJc w:val="left"/>
      <w:pPr>
        <w:ind w:left="5380" w:hanging="360"/>
      </w:pPr>
    </w:lvl>
    <w:lvl w:ilvl="7" w:tplc="04250019" w:tentative="1">
      <w:start w:val="1"/>
      <w:numFmt w:val="lowerLetter"/>
      <w:lvlText w:val="%8."/>
      <w:lvlJc w:val="left"/>
      <w:pPr>
        <w:ind w:left="6100" w:hanging="360"/>
      </w:pPr>
    </w:lvl>
    <w:lvl w:ilvl="8" w:tplc="0425001B" w:tentative="1">
      <w:start w:val="1"/>
      <w:numFmt w:val="lowerRoman"/>
      <w:lvlText w:val="%9."/>
      <w:lvlJc w:val="right"/>
      <w:pPr>
        <w:ind w:left="6820" w:hanging="180"/>
      </w:pPr>
    </w:lvl>
  </w:abstractNum>
  <w:abstractNum w:abstractNumId="33" w15:restartNumberingAfterBreak="0">
    <w:nsid w:val="2AF83917"/>
    <w:multiLevelType w:val="hybridMultilevel"/>
    <w:tmpl w:val="0E8A013E"/>
    <w:lvl w:ilvl="0" w:tplc="9B0CB3C4">
      <w:start w:val="42"/>
      <w:numFmt w:val="bullet"/>
      <w:lvlText w:val="-"/>
      <w:lvlJc w:val="left"/>
      <w:pPr>
        <w:ind w:left="700" w:hanging="360"/>
      </w:pPr>
      <w:rPr>
        <w:rFonts w:ascii="Verdana" w:eastAsiaTheme="minorHAnsi" w:hAnsi="Verdana" w:cstheme="minorBidi" w:hint="default"/>
      </w:rPr>
    </w:lvl>
    <w:lvl w:ilvl="1" w:tplc="FFFFFFFF" w:tentative="1">
      <w:start w:val="1"/>
      <w:numFmt w:val="bullet"/>
      <w:lvlText w:val="o"/>
      <w:lvlJc w:val="left"/>
      <w:pPr>
        <w:ind w:left="340" w:hanging="360"/>
      </w:pPr>
      <w:rPr>
        <w:rFonts w:ascii="Courier New" w:hAnsi="Courier New" w:cs="Courier New" w:hint="default"/>
      </w:rPr>
    </w:lvl>
    <w:lvl w:ilvl="2" w:tplc="FFFFFFFF" w:tentative="1">
      <w:start w:val="1"/>
      <w:numFmt w:val="bullet"/>
      <w:lvlText w:val=""/>
      <w:lvlJc w:val="left"/>
      <w:pPr>
        <w:ind w:left="1060" w:hanging="360"/>
      </w:pPr>
      <w:rPr>
        <w:rFonts w:ascii="Wingdings" w:hAnsi="Wingdings" w:hint="default"/>
      </w:rPr>
    </w:lvl>
    <w:lvl w:ilvl="3" w:tplc="FFFFFFFF" w:tentative="1">
      <w:start w:val="1"/>
      <w:numFmt w:val="bullet"/>
      <w:lvlText w:val=""/>
      <w:lvlJc w:val="left"/>
      <w:pPr>
        <w:ind w:left="1780" w:hanging="360"/>
      </w:pPr>
      <w:rPr>
        <w:rFonts w:ascii="Symbol" w:hAnsi="Symbol" w:hint="default"/>
      </w:rPr>
    </w:lvl>
    <w:lvl w:ilvl="4" w:tplc="FFFFFFFF" w:tentative="1">
      <w:start w:val="1"/>
      <w:numFmt w:val="bullet"/>
      <w:lvlText w:val="o"/>
      <w:lvlJc w:val="left"/>
      <w:pPr>
        <w:ind w:left="2500" w:hanging="360"/>
      </w:pPr>
      <w:rPr>
        <w:rFonts w:ascii="Courier New" w:hAnsi="Courier New" w:cs="Courier New" w:hint="default"/>
      </w:rPr>
    </w:lvl>
    <w:lvl w:ilvl="5" w:tplc="FFFFFFFF" w:tentative="1">
      <w:start w:val="1"/>
      <w:numFmt w:val="bullet"/>
      <w:lvlText w:val=""/>
      <w:lvlJc w:val="left"/>
      <w:pPr>
        <w:ind w:left="3220" w:hanging="360"/>
      </w:pPr>
      <w:rPr>
        <w:rFonts w:ascii="Wingdings" w:hAnsi="Wingdings" w:hint="default"/>
      </w:rPr>
    </w:lvl>
    <w:lvl w:ilvl="6" w:tplc="FFFFFFFF" w:tentative="1">
      <w:start w:val="1"/>
      <w:numFmt w:val="bullet"/>
      <w:lvlText w:val=""/>
      <w:lvlJc w:val="left"/>
      <w:pPr>
        <w:ind w:left="3940" w:hanging="360"/>
      </w:pPr>
      <w:rPr>
        <w:rFonts w:ascii="Symbol" w:hAnsi="Symbol" w:hint="default"/>
      </w:rPr>
    </w:lvl>
    <w:lvl w:ilvl="7" w:tplc="FFFFFFFF" w:tentative="1">
      <w:start w:val="1"/>
      <w:numFmt w:val="bullet"/>
      <w:lvlText w:val="o"/>
      <w:lvlJc w:val="left"/>
      <w:pPr>
        <w:ind w:left="4660" w:hanging="360"/>
      </w:pPr>
      <w:rPr>
        <w:rFonts w:ascii="Courier New" w:hAnsi="Courier New" w:cs="Courier New" w:hint="default"/>
      </w:rPr>
    </w:lvl>
    <w:lvl w:ilvl="8" w:tplc="FFFFFFFF" w:tentative="1">
      <w:start w:val="1"/>
      <w:numFmt w:val="bullet"/>
      <w:lvlText w:val=""/>
      <w:lvlJc w:val="left"/>
      <w:pPr>
        <w:ind w:left="5380" w:hanging="360"/>
      </w:pPr>
      <w:rPr>
        <w:rFonts w:ascii="Wingdings" w:hAnsi="Wingdings" w:hint="default"/>
      </w:rPr>
    </w:lvl>
  </w:abstractNum>
  <w:abstractNum w:abstractNumId="34" w15:restartNumberingAfterBreak="0">
    <w:nsid w:val="2C284442"/>
    <w:multiLevelType w:val="hybridMultilevel"/>
    <w:tmpl w:val="98546968"/>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2C3A6561"/>
    <w:multiLevelType w:val="hybridMultilevel"/>
    <w:tmpl w:val="5DA4B2A0"/>
    <w:lvl w:ilvl="0" w:tplc="31EA345C">
      <w:start w:val="1"/>
      <w:numFmt w:val="bullet"/>
      <w:lvlText w:val=""/>
      <w:lvlJc w:val="left"/>
      <w:pPr>
        <w:ind w:left="720" w:hanging="360"/>
      </w:pPr>
      <w:rPr>
        <w:rFonts w:ascii="Symbol" w:hAnsi="Symbol" w:hint="default"/>
        <w:color w:val="00B0F0"/>
        <w:sz w:val="22"/>
        <w:szCs w:val="32"/>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2DD21E92"/>
    <w:multiLevelType w:val="hybridMultilevel"/>
    <w:tmpl w:val="D2C0C712"/>
    <w:lvl w:ilvl="0" w:tplc="A686CDC8">
      <w:start w:val="1"/>
      <w:numFmt w:val="bullet"/>
      <w:pStyle w:val="Index4"/>
      <w:lvlText w:val="►"/>
      <w:lvlJc w:val="left"/>
      <w:pPr>
        <w:ind w:left="1080" w:hanging="360"/>
      </w:pPr>
      <w:rPr>
        <w:rFonts w:ascii="Wingdings 3" w:hAnsi="Wingdings 3" w:hint="default"/>
        <w:b w:val="0"/>
        <w:i w:val="0"/>
        <w:color w:val="FFCC00"/>
        <w:sz w:val="16"/>
        <w:szCs w:val="16"/>
        <w:u w:color="FFC000"/>
        <w:lang w:val="en-US"/>
      </w:rPr>
    </w:lvl>
    <w:lvl w:ilvl="1" w:tplc="04100003" w:tentative="1">
      <w:start w:val="1"/>
      <w:numFmt w:val="bullet"/>
      <w:lvlText w:val="o"/>
      <w:lvlJc w:val="left"/>
      <w:pPr>
        <w:ind w:left="1800" w:hanging="360"/>
      </w:pPr>
      <w:rPr>
        <w:rFonts w:ascii="Cambria Math" w:hAnsi="Cambria Math" w:cs="Cambria Math" w:hint="default"/>
      </w:rPr>
    </w:lvl>
    <w:lvl w:ilvl="2" w:tplc="04100005" w:tentative="1">
      <w:start w:val="1"/>
      <w:numFmt w:val="bullet"/>
      <w:lvlText w:val=""/>
      <w:lvlJc w:val="left"/>
      <w:pPr>
        <w:ind w:left="2520" w:hanging="360"/>
      </w:pPr>
      <w:rPr>
        <w:rFonts w:ascii="Yu Gothic UI Light" w:hAnsi="Yu Gothic UI Light" w:hint="default"/>
      </w:rPr>
    </w:lvl>
    <w:lvl w:ilvl="3" w:tplc="04100001" w:tentative="1">
      <w:start w:val="1"/>
      <w:numFmt w:val="bullet"/>
      <w:lvlText w:val=""/>
      <w:lvlJc w:val="left"/>
      <w:pPr>
        <w:ind w:left="3240" w:hanging="360"/>
      </w:pPr>
      <w:rPr>
        <w:rFonts w:ascii="Verdana" w:hAnsi="Verdana" w:hint="default"/>
      </w:rPr>
    </w:lvl>
    <w:lvl w:ilvl="4" w:tplc="04100003" w:tentative="1">
      <w:start w:val="1"/>
      <w:numFmt w:val="bullet"/>
      <w:lvlText w:val="o"/>
      <w:lvlJc w:val="left"/>
      <w:pPr>
        <w:ind w:left="3960" w:hanging="360"/>
      </w:pPr>
      <w:rPr>
        <w:rFonts w:ascii="Cambria Math" w:hAnsi="Cambria Math" w:cs="Cambria Math" w:hint="default"/>
      </w:rPr>
    </w:lvl>
    <w:lvl w:ilvl="5" w:tplc="04100005" w:tentative="1">
      <w:start w:val="1"/>
      <w:numFmt w:val="bullet"/>
      <w:lvlText w:val=""/>
      <w:lvlJc w:val="left"/>
      <w:pPr>
        <w:ind w:left="4680" w:hanging="360"/>
      </w:pPr>
      <w:rPr>
        <w:rFonts w:ascii="Yu Gothic UI Light" w:hAnsi="Yu Gothic UI Light" w:hint="default"/>
      </w:rPr>
    </w:lvl>
    <w:lvl w:ilvl="6" w:tplc="04100001" w:tentative="1">
      <w:start w:val="1"/>
      <w:numFmt w:val="bullet"/>
      <w:lvlText w:val=""/>
      <w:lvlJc w:val="left"/>
      <w:pPr>
        <w:ind w:left="5400" w:hanging="360"/>
      </w:pPr>
      <w:rPr>
        <w:rFonts w:ascii="Verdana" w:hAnsi="Verdana" w:hint="default"/>
      </w:rPr>
    </w:lvl>
    <w:lvl w:ilvl="7" w:tplc="04100003" w:tentative="1">
      <w:start w:val="1"/>
      <w:numFmt w:val="bullet"/>
      <w:lvlText w:val="o"/>
      <w:lvlJc w:val="left"/>
      <w:pPr>
        <w:ind w:left="6120" w:hanging="360"/>
      </w:pPr>
      <w:rPr>
        <w:rFonts w:ascii="Cambria Math" w:hAnsi="Cambria Math" w:cs="Cambria Math" w:hint="default"/>
      </w:rPr>
    </w:lvl>
    <w:lvl w:ilvl="8" w:tplc="04100005" w:tentative="1">
      <w:start w:val="1"/>
      <w:numFmt w:val="bullet"/>
      <w:lvlText w:val=""/>
      <w:lvlJc w:val="left"/>
      <w:pPr>
        <w:ind w:left="6840" w:hanging="360"/>
      </w:pPr>
      <w:rPr>
        <w:rFonts w:ascii="Yu Gothic UI Light" w:hAnsi="Yu Gothic UI Light" w:hint="default"/>
      </w:rPr>
    </w:lvl>
  </w:abstractNum>
  <w:abstractNum w:abstractNumId="37" w15:restartNumberingAfterBreak="0">
    <w:nsid w:val="2DE1468B"/>
    <w:multiLevelType w:val="hybridMultilevel"/>
    <w:tmpl w:val="FA8A4D42"/>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2F411943"/>
    <w:multiLevelType w:val="multilevel"/>
    <w:tmpl w:val="88048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3C0110E"/>
    <w:multiLevelType w:val="multilevel"/>
    <w:tmpl w:val="2F10C8C6"/>
    <w:lvl w:ilvl="0">
      <w:start w:val="1"/>
      <w:numFmt w:val="upperLetter"/>
      <w:suff w:val="space"/>
      <w:lvlText w:val="Appendix %1"/>
      <w:lvlJc w:val="left"/>
      <w:pPr>
        <w:ind w:left="0" w:firstLine="0"/>
      </w:pPr>
      <w:rPr>
        <w:rFonts w:hint="default"/>
      </w:rPr>
    </w:lvl>
    <w:lvl w:ilvl="1">
      <w:start w:val="1"/>
      <w:numFmt w:val="decimal"/>
      <w:pStyle w:val="AppendixHeading2"/>
      <w:suff w:val="space"/>
      <w:lvlText w:val="%1.%2  "/>
      <w:lvlJc w:val="left"/>
      <w:pPr>
        <w:ind w:left="0" w:firstLine="0"/>
      </w:pPr>
      <w:rPr>
        <w:rFonts w:hint="default"/>
      </w:rPr>
    </w:lvl>
    <w:lvl w:ilvl="2">
      <w:start w:val="1"/>
      <w:numFmt w:val="decimal"/>
      <w:pStyle w:val="AppendixHeading3"/>
      <w:suff w:val="space"/>
      <w:lvlText w:val="%1.%2.%3  "/>
      <w:lvlJc w:val="left"/>
      <w:pPr>
        <w:ind w:left="0" w:firstLine="0"/>
      </w:pPr>
      <w:rPr>
        <w:rFonts w:hint="default"/>
        <w:color w:val="333333"/>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0" w15:restartNumberingAfterBreak="0">
    <w:nsid w:val="343C30A0"/>
    <w:multiLevelType w:val="hybridMultilevel"/>
    <w:tmpl w:val="5F0E0C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344032CB"/>
    <w:multiLevelType w:val="hybridMultilevel"/>
    <w:tmpl w:val="EEE4498A"/>
    <w:lvl w:ilvl="0" w:tplc="26FCFD32">
      <w:start w:val="1"/>
      <w:numFmt w:val="bullet"/>
      <w:pStyle w:val="2bullet"/>
      <w:lvlText w:val=""/>
      <w:lvlJc w:val="left"/>
      <w:pPr>
        <w:ind w:left="1080" w:hanging="360"/>
      </w:pPr>
      <w:rPr>
        <w:rFonts w:ascii="Symbol" w:hAnsi="Symbol" w:hint="default"/>
        <w:color w:val="00B0F0"/>
      </w:rPr>
    </w:lvl>
    <w:lvl w:ilvl="1" w:tplc="04100003">
      <w:start w:val="1"/>
      <w:numFmt w:val="bullet"/>
      <w:lvlText w:val="o"/>
      <w:lvlJc w:val="left"/>
      <w:pPr>
        <w:ind w:left="1800" w:hanging="360"/>
      </w:pPr>
      <w:rPr>
        <w:rFonts w:ascii="Cambria Math" w:hAnsi="Cambria Math" w:cs="Cambria Math" w:hint="default"/>
      </w:rPr>
    </w:lvl>
    <w:lvl w:ilvl="2" w:tplc="04100005">
      <w:start w:val="1"/>
      <w:numFmt w:val="bullet"/>
      <w:lvlText w:val=""/>
      <w:lvlJc w:val="left"/>
      <w:pPr>
        <w:ind w:left="2520" w:hanging="360"/>
      </w:pPr>
      <w:rPr>
        <w:rFonts w:ascii="Yu Gothic UI Light" w:hAnsi="Yu Gothic UI Light" w:hint="default"/>
      </w:rPr>
    </w:lvl>
    <w:lvl w:ilvl="3" w:tplc="04100001" w:tentative="1">
      <w:start w:val="1"/>
      <w:numFmt w:val="bullet"/>
      <w:lvlText w:val=""/>
      <w:lvlJc w:val="left"/>
      <w:pPr>
        <w:ind w:left="3240" w:hanging="360"/>
      </w:pPr>
      <w:rPr>
        <w:rFonts w:ascii="Verdana" w:hAnsi="Verdana" w:hint="default"/>
      </w:rPr>
    </w:lvl>
    <w:lvl w:ilvl="4" w:tplc="04100003" w:tentative="1">
      <w:start w:val="1"/>
      <w:numFmt w:val="bullet"/>
      <w:lvlText w:val="o"/>
      <w:lvlJc w:val="left"/>
      <w:pPr>
        <w:ind w:left="3960" w:hanging="360"/>
      </w:pPr>
      <w:rPr>
        <w:rFonts w:ascii="Cambria Math" w:hAnsi="Cambria Math" w:cs="Cambria Math" w:hint="default"/>
      </w:rPr>
    </w:lvl>
    <w:lvl w:ilvl="5" w:tplc="04100005" w:tentative="1">
      <w:start w:val="1"/>
      <w:numFmt w:val="bullet"/>
      <w:lvlText w:val=""/>
      <w:lvlJc w:val="left"/>
      <w:pPr>
        <w:ind w:left="4680" w:hanging="360"/>
      </w:pPr>
      <w:rPr>
        <w:rFonts w:ascii="Yu Gothic UI Light" w:hAnsi="Yu Gothic UI Light" w:hint="default"/>
      </w:rPr>
    </w:lvl>
    <w:lvl w:ilvl="6" w:tplc="04100001" w:tentative="1">
      <w:start w:val="1"/>
      <w:numFmt w:val="bullet"/>
      <w:lvlText w:val=""/>
      <w:lvlJc w:val="left"/>
      <w:pPr>
        <w:ind w:left="5400" w:hanging="360"/>
      </w:pPr>
      <w:rPr>
        <w:rFonts w:ascii="Verdana" w:hAnsi="Verdana" w:hint="default"/>
      </w:rPr>
    </w:lvl>
    <w:lvl w:ilvl="7" w:tplc="04100003" w:tentative="1">
      <w:start w:val="1"/>
      <w:numFmt w:val="bullet"/>
      <w:lvlText w:val="o"/>
      <w:lvlJc w:val="left"/>
      <w:pPr>
        <w:ind w:left="6120" w:hanging="360"/>
      </w:pPr>
      <w:rPr>
        <w:rFonts w:ascii="Cambria Math" w:hAnsi="Cambria Math" w:cs="Cambria Math" w:hint="default"/>
      </w:rPr>
    </w:lvl>
    <w:lvl w:ilvl="8" w:tplc="04100005" w:tentative="1">
      <w:start w:val="1"/>
      <w:numFmt w:val="bullet"/>
      <w:lvlText w:val=""/>
      <w:lvlJc w:val="left"/>
      <w:pPr>
        <w:ind w:left="6840" w:hanging="360"/>
      </w:pPr>
      <w:rPr>
        <w:rFonts w:ascii="Yu Gothic UI Light" w:hAnsi="Yu Gothic UI Light" w:hint="default"/>
      </w:rPr>
    </w:lvl>
  </w:abstractNum>
  <w:abstractNum w:abstractNumId="42" w15:restartNumberingAfterBreak="0">
    <w:nsid w:val="36256464"/>
    <w:multiLevelType w:val="hybridMultilevel"/>
    <w:tmpl w:val="5616154C"/>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39A665DD"/>
    <w:multiLevelType w:val="hybridMultilevel"/>
    <w:tmpl w:val="95EABEC4"/>
    <w:lvl w:ilvl="0" w:tplc="09322B30">
      <w:start w:val="1"/>
      <w:numFmt w:val="bullet"/>
      <w:pStyle w:val="Bulletpointtable"/>
      <w:lvlText w:val=""/>
      <w:lvlJc w:val="left"/>
      <w:pPr>
        <w:ind w:left="720" w:hanging="360"/>
      </w:pPr>
      <w:rPr>
        <w:rFonts w:ascii="Yu Gothic UI Light" w:hAnsi="Yu Gothic UI Light" w:hint="default"/>
        <w:color w:val="000000" w:themeColor="text1"/>
      </w:rPr>
    </w:lvl>
    <w:lvl w:ilvl="1" w:tplc="FFFFFFFF" w:tentative="1">
      <w:start w:val="1"/>
      <w:numFmt w:val="bullet"/>
      <w:lvlText w:val="o"/>
      <w:lvlJc w:val="left"/>
      <w:pPr>
        <w:ind w:left="1440" w:hanging="360"/>
      </w:pPr>
      <w:rPr>
        <w:rFonts w:ascii="Cambria Math" w:hAnsi="Cambria Math" w:cs="Cambria Math" w:hint="default"/>
      </w:rPr>
    </w:lvl>
    <w:lvl w:ilvl="2" w:tplc="FFFFFFFF" w:tentative="1">
      <w:start w:val="1"/>
      <w:numFmt w:val="bullet"/>
      <w:lvlText w:val=""/>
      <w:lvlJc w:val="left"/>
      <w:pPr>
        <w:ind w:left="2160" w:hanging="360"/>
      </w:pPr>
      <w:rPr>
        <w:rFonts w:ascii="Yu Gothic UI Light" w:hAnsi="Yu Gothic UI Light" w:hint="default"/>
      </w:rPr>
    </w:lvl>
    <w:lvl w:ilvl="3" w:tplc="FFFFFFFF" w:tentative="1">
      <w:start w:val="1"/>
      <w:numFmt w:val="bullet"/>
      <w:lvlText w:val=""/>
      <w:lvlJc w:val="left"/>
      <w:pPr>
        <w:ind w:left="2880" w:hanging="360"/>
      </w:pPr>
      <w:rPr>
        <w:rFonts w:ascii="Verdana" w:hAnsi="Verdana" w:hint="default"/>
      </w:rPr>
    </w:lvl>
    <w:lvl w:ilvl="4" w:tplc="FFFFFFFF" w:tentative="1">
      <w:start w:val="1"/>
      <w:numFmt w:val="bullet"/>
      <w:lvlText w:val="o"/>
      <w:lvlJc w:val="left"/>
      <w:pPr>
        <w:ind w:left="3600" w:hanging="360"/>
      </w:pPr>
      <w:rPr>
        <w:rFonts w:ascii="Cambria Math" w:hAnsi="Cambria Math" w:cs="Cambria Math" w:hint="default"/>
      </w:rPr>
    </w:lvl>
    <w:lvl w:ilvl="5" w:tplc="FFFFFFFF" w:tentative="1">
      <w:start w:val="1"/>
      <w:numFmt w:val="bullet"/>
      <w:lvlText w:val=""/>
      <w:lvlJc w:val="left"/>
      <w:pPr>
        <w:ind w:left="4320" w:hanging="360"/>
      </w:pPr>
      <w:rPr>
        <w:rFonts w:ascii="Yu Gothic UI Light" w:hAnsi="Yu Gothic UI Light" w:hint="default"/>
      </w:rPr>
    </w:lvl>
    <w:lvl w:ilvl="6" w:tplc="FFFFFFFF" w:tentative="1">
      <w:start w:val="1"/>
      <w:numFmt w:val="bullet"/>
      <w:lvlText w:val=""/>
      <w:lvlJc w:val="left"/>
      <w:pPr>
        <w:ind w:left="5040" w:hanging="360"/>
      </w:pPr>
      <w:rPr>
        <w:rFonts w:ascii="Verdana" w:hAnsi="Verdana" w:hint="default"/>
      </w:rPr>
    </w:lvl>
    <w:lvl w:ilvl="7" w:tplc="FFFFFFFF" w:tentative="1">
      <w:start w:val="1"/>
      <w:numFmt w:val="bullet"/>
      <w:lvlText w:val="o"/>
      <w:lvlJc w:val="left"/>
      <w:pPr>
        <w:ind w:left="5760" w:hanging="360"/>
      </w:pPr>
      <w:rPr>
        <w:rFonts w:ascii="Cambria Math" w:hAnsi="Cambria Math" w:cs="Cambria Math" w:hint="default"/>
      </w:rPr>
    </w:lvl>
    <w:lvl w:ilvl="8" w:tplc="FFFFFFFF" w:tentative="1">
      <w:start w:val="1"/>
      <w:numFmt w:val="bullet"/>
      <w:lvlText w:val=""/>
      <w:lvlJc w:val="left"/>
      <w:pPr>
        <w:ind w:left="6480" w:hanging="360"/>
      </w:pPr>
      <w:rPr>
        <w:rFonts w:ascii="Yu Gothic UI Light" w:hAnsi="Yu Gothic UI Light" w:hint="default"/>
      </w:rPr>
    </w:lvl>
  </w:abstractNum>
  <w:abstractNum w:abstractNumId="44" w15:restartNumberingAfterBreak="0">
    <w:nsid w:val="39DC7D2B"/>
    <w:multiLevelType w:val="hybridMultilevel"/>
    <w:tmpl w:val="7C1467EE"/>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3A771CE5"/>
    <w:multiLevelType w:val="hybridMultilevel"/>
    <w:tmpl w:val="2A1E18C0"/>
    <w:lvl w:ilvl="0" w:tplc="FE72EC8A">
      <w:start w:val="39"/>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B6A0C6D"/>
    <w:multiLevelType w:val="hybridMultilevel"/>
    <w:tmpl w:val="D7161DD2"/>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3D1D430B"/>
    <w:multiLevelType w:val="multilevel"/>
    <w:tmpl w:val="9DF406CC"/>
    <w:lvl w:ilvl="0">
      <w:start w:val="2"/>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8" w15:restartNumberingAfterBreak="0">
    <w:nsid w:val="3D4B1CBD"/>
    <w:multiLevelType w:val="hybridMultilevel"/>
    <w:tmpl w:val="7C2E724C"/>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3DE07AA0"/>
    <w:multiLevelType w:val="hybridMultilevel"/>
    <w:tmpl w:val="50C4E0C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0" w15:restartNumberingAfterBreak="0">
    <w:nsid w:val="3E1B483B"/>
    <w:multiLevelType w:val="hybridMultilevel"/>
    <w:tmpl w:val="62085D24"/>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0AA7C07"/>
    <w:multiLevelType w:val="hybridMultilevel"/>
    <w:tmpl w:val="E314FF6E"/>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41CE3E03"/>
    <w:multiLevelType w:val="hybridMultilevel"/>
    <w:tmpl w:val="5512E92E"/>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43F6666A"/>
    <w:multiLevelType w:val="multilevel"/>
    <w:tmpl w:val="F7565790"/>
    <w:lvl w:ilvl="0">
      <w:start w:val="1"/>
      <w:numFmt w:val="decimal"/>
      <w:pStyle w:val="AppendixHeading1"/>
      <w:lvlText w:val="Annex %1."/>
      <w:lvlJc w:val="left"/>
      <w:pPr>
        <w:ind w:left="8015"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ascii="Verdana" w:hAnsi="Verdana" w:cs="Verdana"/>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47152B47"/>
    <w:multiLevelType w:val="hybridMultilevel"/>
    <w:tmpl w:val="CE485B60"/>
    <w:lvl w:ilvl="0" w:tplc="0FF0B1D6">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83F4B44"/>
    <w:multiLevelType w:val="hybridMultilevel"/>
    <w:tmpl w:val="549E8808"/>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498F2FD7"/>
    <w:multiLevelType w:val="hybridMultilevel"/>
    <w:tmpl w:val="1054BC1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50453BC2"/>
    <w:multiLevelType w:val="hybridMultilevel"/>
    <w:tmpl w:val="A41EB5BE"/>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51C66A4C"/>
    <w:multiLevelType w:val="hybridMultilevel"/>
    <w:tmpl w:val="4E56BF28"/>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529203E6"/>
    <w:multiLevelType w:val="hybridMultilevel"/>
    <w:tmpl w:val="73646194"/>
    <w:lvl w:ilvl="0" w:tplc="CFAA64A0">
      <w:start w:val="1"/>
      <w:numFmt w:val="decimal"/>
      <w:pStyle w:val="numbering"/>
      <w:lvlText w:val="%1."/>
      <w:lvlJc w:val="left"/>
      <w:pPr>
        <w:ind w:left="1069" w:hanging="360"/>
      </w:pPr>
      <w:rPr>
        <w:rFonts w:hint="default"/>
        <w:b w:val="0"/>
        <w:i w:val="0"/>
        <w:color w:val="FFC000"/>
        <w:sz w:val="18"/>
        <w:szCs w:val="16"/>
      </w:rPr>
    </w:lvl>
    <w:lvl w:ilvl="1" w:tplc="04100003">
      <w:start w:val="1"/>
      <w:numFmt w:val="bullet"/>
      <w:pStyle w:val="numbering"/>
      <w:lvlText w:val="o"/>
      <w:lvlJc w:val="left"/>
      <w:pPr>
        <w:ind w:left="1789" w:hanging="360"/>
      </w:pPr>
      <w:rPr>
        <w:rFonts w:ascii="Cambria Math" w:hAnsi="Cambria Math" w:cs="Cambria Math" w:hint="default"/>
      </w:rPr>
    </w:lvl>
    <w:lvl w:ilvl="2" w:tplc="04100005" w:tentative="1">
      <w:start w:val="1"/>
      <w:numFmt w:val="bullet"/>
      <w:lvlText w:val=""/>
      <w:lvlJc w:val="left"/>
      <w:pPr>
        <w:ind w:left="2509" w:hanging="360"/>
      </w:pPr>
      <w:rPr>
        <w:rFonts w:ascii="Yu Gothic UI Light" w:hAnsi="Yu Gothic UI Light" w:hint="default"/>
      </w:rPr>
    </w:lvl>
    <w:lvl w:ilvl="3" w:tplc="04100001" w:tentative="1">
      <w:start w:val="1"/>
      <w:numFmt w:val="bullet"/>
      <w:lvlText w:val=""/>
      <w:lvlJc w:val="left"/>
      <w:pPr>
        <w:ind w:left="3229" w:hanging="360"/>
      </w:pPr>
      <w:rPr>
        <w:rFonts w:ascii="Verdana" w:hAnsi="Verdana" w:hint="default"/>
      </w:rPr>
    </w:lvl>
    <w:lvl w:ilvl="4" w:tplc="04100003" w:tentative="1">
      <w:start w:val="1"/>
      <w:numFmt w:val="bullet"/>
      <w:lvlText w:val="o"/>
      <w:lvlJc w:val="left"/>
      <w:pPr>
        <w:ind w:left="3949" w:hanging="360"/>
      </w:pPr>
      <w:rPr>
        <w:rFonts w:ascii="Cambria Math" w:hAnsi="Cambria Math" w:cs="Cambria Math" w:hint="default"/>
      </w:rPr>
    </w:lvl>
    <w:lvl w:ilvl="5" w:tplc="04100005" w:tentative="1">
      <w:start w:val="1"/>
      <w:numFmt w:val="bullet"/>
      <w:lvlText w:val=""/>
      <w:lvlJc w:val="left"/>
      <w:pPr>
        <w:ind w:left="4669" w:hanging="360"/>
      </w:pPr>
      <w:rPr>
        <w:rFonts w:ascii="Yu Gothic UI Light" w:hAnsi="Yu Gothic UI Light" w:hint="default"/>
      </w:rPr>
    </w:lvl>
    <w:lvl w:ilvl="6" w:tplc="04100001" w:tentative="1">
      <w:start w:val="1"/>
      <w:numFmt w:val="bullet"/>
      <w:lvlText w:val=""/>
      <w:lvlJc w:val="left"/>
      <w:pPr>
        <w:ind w:left="5389" w:hanging="360"/>
      </w:pPr>
      <w:rPr>
        <w:rFonts w:ascii="Verdana" w:hAnsi="Verdana" w:hint="default"/>
      </w:rPr>
    </w:lvl>
    <w:lvl w:ilvl="7" w:tplc="04100003" w:tentative="1">
      <w:start w:val="1"/>
      <w:numFmt w:val="bullet"/>
      <w:lvlText w:val="o"/>
      <w:lvlJc w:val="left"/>
      <w:pPr>
        <w:ind w:left="6109" w:hanging="360"/>
      </w:pPr>
      <w:rPr>
        <w:rFonts w:ascii="Cambria Math" w:hAnsi="Cambria Math" w:cs="Cambria Math" w:hint="default"/>
      </w:rPr>
    </w:lvl>
    <w:lvl w:ilvl="8" w:tplc="04100005" w:tentative="1">
      <w:start w:val="1"/>
      <w:numFmt w:val="bullet"/>
      <w:lvlText w:val=""/>
      <w:lvlJc w:val="left"/>
      <w:pPr>
        <w:ind w:left="6829" w:hanging="360"/>
      </w:pPr>
      <w:rPr>
        <w:rFonts w:ascii="Yu Gothic UI Light" w:hAnsi="Yu Gothic UI Light" w:hint="default"/>
      </w:rPr>
    </w:lvl>
  </w:abstractNum>
  <w:abstractNum w:abstractNumId="60" w15:restartNumberingAfterBreak="0">
    <w:nsid w:val="550F584D"/>
    <w:multiLevelType w:val="hybridMultilevel"/>
    <w:tmpl w:val="B3A09FE4"/>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5719200B"/>
    <w:multiLevelType w:val="hybridMultilevel"/>
    <w:tmpl w:val="D82EE3EE"/>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57F8069D"/>
    <w:multiLevelType w:val="hybridMultilevel"/>
    <w:tmpl w:val="E7FC760E"/>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594E4A67"/>
    <w:multiLevelType w:val="hybridMultilevel"/>
    <w:tmpl w:val="41A25966"/>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59FB4A6B"/>
    <w:multiLevelType w:val="hybridMultilevel"/>
    <w:tmpl w:val="59429D9E"/>
    <w:lvl w:ilvl="0" w:tplc="5A06EA72">
      <w:start w:val="1"/>
      <w:numFmt w:val="bullet"/>
      <w:pStyle w:val="Bulletbody"/>
      <w:lvlText w:val="►"/>
      <w:lvlJc w:val="left"/>
      <w:pPr>
        <w:ind w:left="1080" w:hanging="360"/>
      </w:pPr>
      <w:rPr>
        <w:rFonts w:ascii="Wingdings 3" w:hAnsi="Wingdings 3" w:cs="Verdana" w:hint="default"/>
        <w:b w:val="0"/>
        <w:i w:val="0"/>
        <w:color w:val="FFC000"/>
        <w:sz w:val="16"/>
        <w:szCs w:val="16"/>
      </w:rPr>
    </w:lvl>
    <w:lvl w:ilvl="1" w:tplc="04100003">
      <w:start w:val="1"/>
      <w:numFmt w:val="bullet"/>
      <w:pStyle w:val="Bulletbody"/>
      <w:lvlText w:val="o"/>
      <w:lvlJc w:val="left"/>
      <w:pPr>
        <w:ind w:left="1800" w:hanging="360"/>
      </w:pPr>
      <w:rPr>
        <w:rFonts w:ascii="Cambria Math" w:hAnsi="Cambria Math" w:cs="Cambria Math" w:hint="default"/>
      </w:rPr>
    </w:lvl>
    <w:lvl w:ilvl="2" w:tplc="04100005">
      <w:start w:val="1"/>
      <w:numFmt w:val="bullet"/>
      <w:lvlText w:val=""/>
      <w:lvlJc w:val="left"/>
      <w:pPr>
        <w:ind w:left="2520" w:hanging="360"/>
      </w:pPr>
      <w:rPr>
        <w:rFonts w:ascii="Yu Gothic UI Light" w:hAnsi="Yu Gothic UI Light" w:hint="default"/>
      </w:rPr>
    </w:lvl>
    <w:lvl w:ilvl="3" w:tplc="04100001" w:tentative="1">
      <w:start w:val="1"/>
      <w:numFmt w:val="bullet"/>
      <w:lvlText w:val=""/>
      <w:lvlJc w:val="left"/>
      <w:pPr>
        <w:ind w:left="3240" w:hanging="360"/>
      </w:pPr>
      <w:rPr>
        <w:rFonts w:ascii="Verdana" w:hAnsi="Verdana" w:hint="default"/>
      </w:rPr>
    </w:lvl>
    <w:lvl w:ilvl="4" w:tplc="04100003" w:tentative="1">
      <w:start w:val="1"/>
      <w:numFmt w:val="bullet"/>
      <w:lvlText w:val="o"/>
      <w:lvlJc w:val="left"/>
      <w:pPr>
        <w:ind w:left="3960" w:hanging="360"/>
      </w:pPr>
      <w:rPr>
        <w:rFonts w:ascii="Cambria Math" w:hAnsi="Cambria Math" w:cs="Cambria Math" w:hint="default"/>
      </w:rPr>
    </w:lvl>
    <w:lvl w:ilvl="5" w:tplc="04100005" w:tentative="1">
      <w:start w:val="1"/>
      <w:numFmt w:val="bullet"/>
      <w:lvlText w:val=""/>
      <w:lvlJc w:val="left"/>
      <w:pPr>
        <w:ind w:left="4680" w:hanging="360"/>
      </w:pPr>
      <w:rPr>
        <w:rFonts w:ascii="Yu Gothic UI Light" w:hAnsi="Yu Gothic UI Light" w:hint="default"/>
      </w:rPr>
    </w:lvl>
    <w:lvl w:ilvl="6" w:tplc="04100001" w:tentative="1">
      <w:start w:val="1"/>
      <w:numFmt w:val="bullet"/>
      <w:lvlText w:val=""/>
      <w:lvlJc w:val="left"/>
      <w:pPr>
        <w:ind w:left="5400" w:hanging="360"/>
      </w:pPr>
      <w:rPr>
        <w:rFonts w:ascii="Verdana" w:hAnsi="Verdana" w:hint="default"/>
      </w:rPr>
    </w:lvl>
    <w:lvl w:ilvl="7" w:tplc="04100003" w:tentative="1">
      <w:start w:val="1"/>
      <w:numFmt w:val="bullet"/>
      <w:lvlText w:val="o"/>
      <w:lvlJc w:val="left"/>
      <w:pPr>
        <w:ind w:left="6120" w:hanging="360"/>
      </w:pPr>
      <w:rPr>
        <w:rFonts w:ascii="Cambria Math" w:hAnsi="Cambria Math" w:cs="Cambria Math" w:hint="default"/>
      </w:rPr>
    </w:lvl>
    <w:lvl w:ilvl="8" w:tplc="04100005" w:tentative="1">
      <w:start w:val="1"/>
      <w:numFmt w:val="bullet"/>
      <w:lvlText w:val=""/>
      <w:lvlJc w:val="left"/>
      <w:pPr>
        <w:ind w:left="6840" w:hanging="360"/>
      </w:pPr>
      <w:rPr>
        <w:rFonts w:ascii="Yu Gothic UI Light" w:hAnsi="Yu Gothic UI Light" w:hint="default"/>
      </w:rPr>
    </w:lvl>
  </w:abstractNum>
  <w:abstractNum w:abstractNumId="65" w15:restartNumberingAfterBreak="0">
    <w:nsid w:val="5ADC6ACA"/>
    <w:multiLevelType w:val="hybridMultilevel"/>
    <w:tmpl w:val="2FE2719A"/>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6" w15:restartNumberingAfterBreak="0">
    <w:nsid w:val="5B6A4468"/>
    <w:multiLevelType w:val="hybridMultilevel"/>
    <w:tmpl w:val="0916144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7" w15:restartNumberingAfterBreak="0">
    <w:nsid w:val="5BFE562A"/>
    <w:multiLevelType w:val="hybridMultilevel"/>
    <w:tmpl w:val="1362EDBC"/>
    <w:styleLink w:val="Formatvorlage3"/>
    <w:lvl w:ilvl="0" w:tplc="E370F388">
      <w:start w:val="1"/>
      <w:numFmt w:val="bullet"/>
      <w:lvlText w:val=""/>
      <w:lvlJc w:val="left"/>
      <w:pPr>
        <w:ind w:left="720" w:hanging="360"/>
      </w:pPr>
      <w:rPr>
        <w:rFonts w:ascii="Symbol" w:hAnsi="Symbol" w:hint="default"/>
        <w:color w:val="00B0F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8" w15:restartNumberingAfterBreak="0">
    <w:nsid w:val="5D0A0928"/>
    <w:multiLevelType w:val="hybridMultilevel"/>
    <w:tmpl w:val="03A414CC"/>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5EBB6AEC"/>
    <w:multiLevelType w:val="hybridMultilevel"/>
    <w:tmpl w:val="5AB2EF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0" w15:restartNumberingAfterBreak="0">
    <w:nsid w:val="5F080A0A"/>
    <w:multiLevelType w:val="multilevel"/>
    <w:tmpl w:val="9038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72" w15:restartNumberingAfterBreak="0">
    <w:nsid w:val="607C395A"/>
    <w:multiLevelType w:val="hybridMultilevel"/>
    <w:tmpl w:val="5DB207CC"/>
    <w:lvl w:ilvl="0" w:tplc="1F926C66">
      <w:start w:val="1"/>
      <w:numFmt w:val="bullet"/>
      <w:pStyle w:val="Boxbullet"/>
      <w:lvlText w:val=""/>
      <w:lvlJc w:val="left"/>
      <w:pPr>
        <w:ind w:left="360" w:hanging="360"/>
      </w:pPr>
      <w:rPr>
        <w:rFonts w:ascii="Yu Gothic UI Light" w:hAnsi="Yu Gothic UI Light" w:hint="default"/>
        <w:color w:val="FFC000"/>
      </w:rPr>
    </w:lvl>
    <w:lvl w:ilvl="1" w:tplc="04070003">
      <w:start w:val="1"/>
      <w:numFmt w:val="bullet"/>
      <w:lvlText w:val="o"/>
      <w:lvlJc w:val="left"/>
      <w:pPr>
        <w:ind w:left="1440" w:hanging="360"/>
      </w:pPr>
      <w:rPr>
        <w:rFonts w:ascii="Cambria Math" w:hAnsi="Cambria Math" w:cs="Cambria Math" w:hint="default"/>
      </w:rPr>
    </w:lvl>
    <w:lvl w:ilvl="2" w:tplc="04070005" w:tentative="1">
      <w:start w:val="1"/>
      <w:numFmt w:val="bullet"/>
      <w:lvlText w:val=""/>
      <w:lvlJc w:val="left"/>
      <w:pPr>
        <w:ind w:left="2160" w:hanging="360"/>
      </w:pPr>
      <w:rPr>
        <w:rFonts w:ascii="Yu Gothic UI Light" w:hAnsi="Yu Gothic UI Light" w:hint="default"/>
      </w:rPr>
    </w:lvl>
    <w:lvl w:ilvl="3" w:tplc="04070001" w:tentative="1">
      <w:start w:val="1"/>
      <w:numFmt w:val="bullet"/>
      <w:lvlText w:val=""/>
      <w:lvlJc w:val="left"/>
      <w:pPr>
        <w:ind w:left="2880" w:hanging="360"/>
      </w:pPr>
      <w:rPr>
        <w:rFonts w:ascii="Verdana" w:hAnsi="Verdana" w:hint="default"/>
      </w:rPr>
    </w:lvl>
    <w:lvl w:ilvl="4" w:tplc="04070003" w:tentative="1">
      <w:start w:val="1"/>
      <w:numFmt w:val="bullet"/>
      <w:lvlText w:val="o"/>
      <w:lvlJc w:val="left"/>
      <w:pPr>
        <w:ind w:left="3600" w:hanging="360"/>
      </w:pPr>
      <w:rPr>
        <w:rFonts w:ascii="Cambria Math" w:hAnsi="Cambria Math" w:cs="Cambria Math" w:hint="default"/>
      </w:rPr>
    </w:lvl>
    <w:lvl w:ilvl="5" w:tplc="04070005" w:tentative="1">
      <w:start w:val="1"/>
      <w:numFmt w:val="bullet"/>
      <w:lvlText w:val=""/>
      <w:lvlJc w:val="left"/>
      <w:pPr>
        <w:ind w:left="4320" w:hanging="360"/>
      </w:pPr>
      <w:rPr>
        <w:rFonts w:ascii="Yu Gothic UI Light" w:hAnsi="Yu Gothic UI Light" w:hint="default"/>
      </w:rPr>
    </w:lvl>
    <w:lvl w:ilvl="6" w:tplc="04070001" w:tentative="1">
      <w:start w:val="1"/>
      <w:numFmt w:val="bullet"/>
      <w:lvlText w:val=""/>
      <w:lvlJc w:val="left"/>
      <w:pPr>
        <w:ind w:left="5040" w:hanging="360"/>
      </w:pPr>
      <w:rPr>
        <w:rFonts w:ascii="Verdana" w:hAnsi="Verdana" w:hint="default"/>
      </w:rPr>
    </w:lvl>
    <w:lvl w:ilvl="7" w:tplc="04070003" w:tentative="1">
      <w:start w:val="1"/>
      <w:numFmt w:val="bullet"/>
      <w:lvlText w:val="o"/>
      <w:lvlJc w:val="left"/>
      <w:pPr>
        <w:ind w:left="5760" w:hanging="360"/>
      </w:pPr>
      <w:rPr>
        <w:rFonts w:ascii="Cambria Math" w:hAnsi="Cambria Math" w:cs="Cambria Math" w:hint="default"/>
      </w:rPr>
    </w:lvl>
    <w:lvl w:ilvl="8" w:tplc="04070005" w:tentative="1">
      <w:start w:val="1"/>
      <w:numFmt w:val="bullet"/>
      <w:lvlText w:val=""/>
      <w:lvlJc w:val="left"/>
      <w:pPr>
        <w:ind w:left="6480" w:hanging="360"/>
      </w:pPr>
      <w:rPr>
        <w:rFonts w:ascii="Yu Gothic UI Light" w:hAnsi="Yu Gothic UI Light" w:hint="default"/>
      </w:rPr>
    </w:lvl>
  </w:abstractNum>
  <w:abstractNum w:abstractNumId="73" w15:restartNumberingAfterBreak="0">
    <w:nsid w:val="616A5D09"/>
    <w:multiLevelType w:val="hybridMultilevel"/>
    <w:tmpl w:val="C07E4D6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643D3D1D"/>
    <w:multiLevelType w:val="hybridMultilevel"/>
    <w:tmpl w:val="9A9492D8"/>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65861CED"/>
    <w:multiLevelType w:val="hybridMultilevel"/>
    <w:tmpl w:val="A9FEEB30"/>
    <w:lvl w:ilvl="0" w:tplc="18090005">
      <w:start w:val="1"/>
      <w:numFmt w:val="bullet"/>
      <w:lvlText w:val=""/>
      <w:lvlJc w:val="left"/>
      <w:pPr>
        <w:ind w:left="700" w:hanging="360"/>
      </w:pPr>
      <w:rPr>
        <w:rFonts w:ascii="Wingdings" w:hAnsi="Wingdings" w:hint="default"/>
      </w:rPr>
    </w:lvl>
    <w:lvl w:ilvl="1" w:tplc="18090003" w:tentative="1">
      <w:start w:val="1"/>
      <w:numFmt w:val="bullet"/>
      <w:lvlText w:val="o"/>
      <w:lvlJc w:val="left"/>
      <w:pPr>
        <w:ind w:left="1420" w:hanging="360"/>
      </w:pPr>
      <w:rPr>
        <w:rFonts w:ascii="Courier New" w:hAnsi="Courier New" w:cs="Courier New" w:hint="default"/>
      </w:rPr>
    </w:lvl>
    <w:lvl w:ilvl="2" w:tplc="18090005" w:tentative="1">
      <w:start w:val="1"/>
      <w:numFmt w:val="bullet"/>
      <w:lvlText w:val=""/>
      <w:lvlJc w:val="left"/>
      <w:pPr>
        <w:ind w:left="2140" w:hanging="360"/>
      </w:pPr>
      <w:rPr>
        <w:rFonts w:ascii="Wingdings" w:hAnsi="Wingdings" w:hint="default"/>
      </w:rPr>
    </w:lvl>
    <w:lvl w:ilvl="3" w:tplc="18090001" w:tentative="1">
      <w:start w:val="1"/>
      <w:numFmt w:val="bullet"/>
      <w:lvlText w:val=""/>
      <w:lvlJc w:val="left"/>
      <w:pPr>
        <w:ind w:left="2860" w:hanging="360"/>
      </w:pPr>
      <w:rPr>
        <w:rFonts w:ascii="Symbol" w:hAnsi="Symbol" w:hint="default"/>
      </w:rPr>
    </w:lvl>
    <w:lvl w:ilvl="4" w:tplc="18090003" w:tentative="1">
      <w:start w:val="1"/>
      <w:numFmt w:val="bullet"/>
      <w:lvlText w:val="o"/>
      <w:lvlJc w:val="left"/>
      <w:pPr>
        <w:ind w:left="3580" w:hanging="360"/>
      </w:pPr>
      <w:rPr>
        <w:rFonts w:ascii="Courier New" w:hAnsi="Courier New" w:cs="Courier New" w:hint="default"/>
      </w:rPr>
    </w:lvl>
    <w:lvl w:ilvl="5" w:tplc="18090005" w:tentative="1">
      <w:start w:val="1"/>
      <w:numFmt w:val="bullet"/>
      <w:lvlText w:val=""/>
      <w:lvlJc w:val="left"/>
      <w:pPr>
        <w:ind w:left="4300" w:hanging="360"/>
      </w:pPr>
      <w:rPr>
        <w:rFonts w:ascii="Wingdings" w:hAnsi="Wingdings" w:hint="default"/>
      </w:rPr>
    </w:lvl>
    <w:lvl w:ilvl="6" w:tplc="18090001" w:tentative="1">
      <w:start w:val="1"/>
      <w:numFmt w:val="bullet"/>
      <w:lvlText w:val=""/>
      <w:lvlJc w:val="left"/>
      <w:pPr>
        <w:ind w:left="5020" w:hanging="360"/>
      </w:pPr>
      <w:rPr>
        <w:rFonts w:ascii="Symbol" w:hAnsi="Symbol" w:hint="default"/>
      </w:rPr>
    </w:lvl>
    <w:lvl w:ilvl="7" w:tplc="18090003" w:tentative="1">
      <w:start w:val="1"/>
      <w:numFmt w:val="bullet"/>
      <w:lvlText w:val="o"/>
      <w:lvlJc w:val="left"/>
      <w:pPr>
        <w:ind w:left="5740" w:hanging="360"/>
      </w:pPr>
      <w:rPr>
        <w:rFonts w:ascii="Courier New" w:hAnsi="Courier New" w:cs="Courier New" w:hint="default"/>
      </w:rPr>
    </w:lvl>
    <w:lvl w:ilvl="8" w:tplc="18090005" w:tentative="1">
      <w:start w:val="1"/>
      <w:numFmt w:val="bullet"/>
      <w:lvlText w:val=""/>
      <w:lvlJc w:val="left"/>
      <w:pPr>
        <w:ind w:left="6460" w:hanging="360"/>
      </w:pPr>
      <w:rPr>
        <w:rFonts w:ascii="Wingdings" w:hAnsi="Wingdings" w:hint="default"/>
      </w:rPr>
    </w:lvl>
  </w:abstractNum>
  <w:abstractNum w:abstractNumId="76" w15:restartNumberingAfterBreak="0">
    <w:nsid w:val="65D9050B"/>
    <w:multiLevelType w:val="hybridMultilevel"/>
    <w:tmpl w:val="38EE92F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7" w15:restartNumberingAfterBreak="0">
    <w:nsid w:val="662E2F2D"/>
    <w:multiLevelType w:val="hybridMultilevel"/>
    <w:tmpl w:val="3D345E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73239E5"/>
    <w:multiLevelType w:val="hybridMultilevel"/>
    <w:tmpl w:val="A216A1EC"/>
    <w:lvl w:ilvl="0" w:tplc="18090001">
      <w:start w:val="1"/>
      <w:numFmt w:val="bullet"/>
      <w:lvlText w:val=""/>
      <w:lvlJc w:val="left"/>
      <w:pPr>
        <w:ind w:left="700" w:hanging="360"/>
      </w:pPr>
      <w:rPr>
        <w:rFonts w:ascii="Symbol" w:hAnsi="Symbol" w:hint="default"/>
      </w:rPr>
    </w:lvl>
    <w:lvl w:ilvl="1" w:tplc="FFFFFFFF">
      <w:start w:val="1"/>
      <w:numFmt w:val="bullet"/>
      <w:lvlText w:val="o"/>
      <w:lvlJc w:val="left"/>
      <w:pPr>
        <w:ind w:left="1420" w:hanging="360"/>
      </w:pPr>
      <w:rPr>
        <w:rFonts w:ascii="Courier New" w:hAnsi="Courier New" w:cs="Courier New" w:hint="default"/>
      </w:rPr>
    </w:lvl>
    <w:lvl w:ilvl="2" w:tplc="FFFFFFFF" w:tentative="1">
      <w:start w:val="1"/>
      <w:numFmt w:val="bullet"/>
      <w:lvlText w:val=""/>
      <w:lvlJc w:val="left"/>
      <w:pPr>
        <w:ind w:left="2140" w:hanging="360"/>
      </w:pPr>
      <w:rPr>
        <w:rFonts w:ascii="Wingdings" w:hAnsi="Wingdings" w:hint="default"/>
      </w:rPr>
    </w:lvl>
    <w:lvl w:ilvl="3" w:tplc="FFFFFFFF" w:tentative="1">
      <w:start w:val="1"/>
      <w:numFmt w:val="bullet"/>
      <w:lvlText w:val=""/>
      <w:lvlJc w:val="left"/>
      <w:pPr>
        <w:ind w:left="2860" w:hanging="360"/>
      </w:pPr>
      <w:rPr>
        <w:rFonts w:ascii="Symbol" w:hAnsi="Symbol" w:hint="default"/>
      </w:rPr>
    </w:lvl>
    <w:lvl w:ilvl="4" w:tplc="FFFFFFFF" w:tentative="1">
      <w:start w:val="1"/>
      <w:numFmt w:val="bullet"/>
      <w:lvlText w:val="o"/>
      <w:lvlJc w:val="left"/>
      <w:pPr>
        <w:ind w:left="3580" w:hanging="360"/>
      </w:pPr>
      <w:rPr>
        <w:rFonts w:ascii="Courier New" w:hAnsi="Courier New" w:cs="Courier New" w:hint="default"/>
      </w:rPr>
    </w:lvl>
    <w:lvl w:ilvl="5" w:tplc="FFFFFFFF" w:tentative="1">
      <w:start w:val="1"/>
      <w:numFmt w:val="bullet"/>
      <w:lvlText w:val=""/>
      <w:lvlJc w:val="left"/>
      <w:pPr>
        <w:ind w:left="4300" w:hanging="360"/>
      </w:pPr>
      <w:rPr>
        <w:rFonts w:ascii="Wingdings" w:hAnsi="Wingdings" w:hint="default"/>
      </w:rPr>
    </w:lvl>
    <w:lvl w:ilvl="6" w:tplc="FFFFFFFF" w:tentative="1">
      <w:start w:val="1"/>
      <w:numFmt w:val="bullet"/>
      <w:lvlText w:val=""/>
      <w:lvlJc w:val="left"/>
      <w:pPr>
        <w:ind w:left="5020" w:hanging="360"/>
      </w:pPr>
      <w:rPr>
        <w:rFonts w:ascii="Symbol" w:hAnsi="Symbol" w:hint="default"/>
      </w:rPr>
    </w:lvl>
    <w:lvl w:ilvl="7" w:tplc="FFFFFFFF" w:tentative="1">
      <w:start w:val="1"/>
      <w:numFmt w:val="bullet"/>
      <w:lvlText w:val="o"/>
      <w:lvlJc w:val="left"/>
      <w:pPr>
        <w:ind w:left="5740" w:hanging="360"/>
      </w:pPr>
      <w:rPr>
        <w:rFonts w:ascii="Courier New" w:hAnsi="Courier New" w:cs="Courier New" w:hint="default"/>
      </w:rPr>
    </w:lvl>
    <w:lvl w:ilvl="8" w:tplc="FFFFFFFF" w:tentative="1">
      <w:start w:val="1"/>
      <w:numFmt w:val="bullet"/>
      <w:lvlText w:val=""/>
      <w:lvlJc w:val="left"/>
      <w:pPr>
        <w:ind w:left="6460" w:hanging="360"/>
      </w:pPr>
      <w:rPr>
        <w:rFonts w:ascii="Wingdings" w:hAnsi="Wingdings" w:hint="default"/>
      </w:rPr>
    </w:lvl>
  </w:abstractNum>
  <w:abstractNum w:abstractNumId="79" w15:restartNumberingAfterBreak="0">
    <w:nsid w:val="6A162CEF"/>
    <w:multiLevelType w:val="multilevel"/>
    <w:tmpl w:val="F55E9B26"/>
    <w:lvl w:ilvl="0">
      <w:start w:val="1"/>
      <w:numFmt w:val="bullet"/>
      <w:pStyle w:val="BulletPSP"/>
      <w:lvlText w:val=""/>
      <w:lvlJc w:val="left"/>
      <w:pPr>
        <w:ind w:left="567" w:hanging="283"/>
      </w:pPr>
      <w:rPr>
        <w:rFonts w:ascii="Verdana" w:hAnsi="Verdana" w:hint="default"/>
        <w:color w:val="1E858B" w:themeColor="accent1"/>
      </w:rPr>
    </w:lvl>
    <w:lvl w:ilvl="1">
      <w:start w:val="1"/>
      <w:numFmt w:val="bullet"/>
      <w:lvlText w:val=""/>
      <w:lvlJc w:val="left"/>
      <w:pPr>
        <w:ind w:left="709" w:hanging="283"/>
      </w:pPr>
      <w:rPr>
        <w:rFonts w:ascii="Verdana" w:hAnsi="Verdana" w:hint="default"/>
        <w:color w:val="034EA2" w:themeColor="text2"/>
      </w:rPr>
    </w:lvl>
    <w:lvl w:ilvl="2">
      <w:start w:val="1"/>
      <w:numFmt w:val="bullet"/>
      <w:lvlText w:val=""/>
      <w:lvlJc w:val="left"/>
      <w:pPr>
        <w:ind w:left="1135" w:hanging="283"/>
      </w:pPr>
      <w:rPr>
        <w:rFonts w:ascii="Verdana" w:hAnsi="Verdana" w:hint="default"/>
        <w:color w:val="FFC000" w:themeColor="accent5"/>
      </w:rPr>
    </w:lvl>
    <w:lvl w:ilvl="3">
      <w:start w:val="1"/>
      <w:numFmt w:val="bullet"/>
      <w:lvlText w:val=""/>
      <w:lvlJc w:val="left"/>
      <w:pPr>
        <w:ind w:left="1419" w:hanging="283"/>
      </w:pPr>
      <w:rPr>
        <w:rFonts w:ascii="Verdana" w:hAnsi="Verdana" w:hint="default"/>
        <w:color w:val="4BC5DE" w:themeColor="accent2"/>
      </w:rPr>
    </w:lvl>
    <w:lvl w:ilvl="4">
      <w:start w:val="1"/>
      <w:numFmt w:val="bullet"/>
      <w:lvlText w:val=""/>
      <w:lvlJc w:val="left"/>
      <w:pPr>
        <w:ind w:left="1703" w:hanging="283"/>
      </w:pPr>
      <w:rPr>
        <w:rFonts w:ascii="Verdana" w:hAnsi="Verdana" w:hint="default"/>
        <w:color w:val="000000" w:themeColor="text1"/>
      </w:rPr>
    </w:lvl>
    <w:lvl w:ilvl="5">
      <w:start w:val="1"/>
      <w:numFmt w:val="bullet"/>
      <w:lvlText w:val=""/>
      <w:lvlJc w:val="left"/>
      <w:pPr>
        <w:ind w:left="1987" w:hanging="283"/>
      </w:pPr>
      <w:rPr>
        <w:rFonts w:ascii="Verdana" w:hAnsi="Verdana" w:hint="default"/>
        <w:color w:val="ED8D2F" w:themeColor="accent4"/>
      </w:rPr>
    </w:lvl>
    <w:lvl w:ilvl="6">
      <w:start w:val="1"/>
      <w:numFmt w:val="bullet"/>
      <w:lvlText w:val=""/>
      <w:lvlJc w:val="left"/>
      <w:pPr>
        <w:ind w:left="2271" w:hanging="283"/>
      </w:pPr>
      <w:rPr>
        <w:rFonts w:ascii="Verdana" w:hAnsi="Verdana" w:hint="default"/>
      </w:rPr>
    </w:lvl>
    <w:lvl w:ilvl="7">
      <w:start w:val="1"/>
      <w:numFmt w:val="bullet"/>
      <w:lvlText w:val="o"/>
      <w:lvlJc w:val="left"/>
      <w:pPr>
        <w:ind w:left="2555" w:hanging="283"/>
      </w:pPr>
      <w:rPr>
        <w:rFonts w:ascii="Cambria Math" w:hAnsi="Cambria Math" w:hint="default"/>
      </w:rPr>
    </w:lvl>
    <w:lvl w:ilvl="8">
      <w:start w:val="1"/>
      <w:numFmt w:val="bullet"/>
      <w:lvlText w:val=""/>
      <w:lvlJc w:val="left"/>
      <w:pPr>
        <w:ind w:left="2839" w:hanging="283"/>
      </w:pPr>
      <w:rPr>
        <w:rFonts w:ascii="Yu Gothic UI Light" w:hAnsi="Yu Gothic UI Light" w:hint="default"/>
      </w:rPr>
    </w:lvl>
  </w:abstractNum>
  <w:abstractNum w:abstractNumId="80" w15:restartNumberingAfterBreak="0">
    <w:nsid w:val="6A982274"/>
    <w:multiLevelType w:val="hybridMultilevel"/>
    <w:tmpl w:val="07E2EA62"/>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1" w15:restartNumberingAfterBreak="0">
    <w:nsid w:val="6AC00ACD"/>
    <w:multiLevelType w:val="hybridMultilevel"/>
    <w:tmpl w:val="2E5E515E"/>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2" w15:restartNumberingAfterBreak="0">
    <w:nsid w:val="6B3B089E"/>
    <w:multiLevelType w:val="hybridMultilevel"/>
    <w:tmpl w:val="85E8A80C"/>
    <w:lvl w:ilvl="0" w:tplc="C97ACCF8">
      <w:start w:val="1"/>
      <w:numFmt w:val="bullet"/>
      <w:pStyle w:val="OPAboutEU-list"/>
      <w:lvlText w:val="–"/>
      <w:lvlJc w:val="left"/>
      <w:pPr>
        <w:ind w:left="1571" w:hanging="360"/>
      </w:pPr>
      <w:rPr>
        <w:rFonts w:ascii="Arial" w:hAnsi="Arial" w:hint="default"/>
      </w:rPr>
    </w:lvl>
    <w:lvl w:ilvl="1" w:tplc="08090003" w:tentative="1">
      <w:start w:val="1"/>
      <w:numFmt w:val="bullet"/>
      <w:lvlText w:val="o"/>
      <w:lvlJc w:val="left"/>
      <w:pPr>
        <w:ind w:left="2291" w:hanging="360"/>
      </w:pPr>
      <w:rPr>
        <w:rFonts w:ascii="Cambria Math" w:hAnsi="Cambria Math" w:cs="Cambria Math" w:hint="default"/>
      </w:rPr>
    </w:lvl>
    <w:lvl w:ilvl="2" w:tplc="08090005" w:tentative="1">
      <w:start w:val="1"/>
      <w:numFmt w:val="bullet"/>
      <w:lvlText w:val=""/>
      <w:lvlJc w:val="left"/>
      <w:pPr>
        <w:ind w:left="3011" w:hanging="360"/>
      </w:pPr>
      <w:rPr>
        <w:rFonts w:ascii="Yu Gothic UI Light" w:hAnsi="Yu Gothic UI Light" w:hint="default"/>
      </w:rPr>
    </w:lvl>
    <w:lvl w:ilvl="3" w:tplc="08090001" w:tentative="1">
      <w:start w:val="1"/>
      <w:numFmt w:val="bullet"/>
      <w:lvlText w:val=""/>
      <w:lvlJc w:val="left"/>
      <w:pPr>
        <w:ind w:left="3731" w:hanging="360"/>
      </w:pPr>
      <w:rPr>
        <w:rFonts w:ascii="Verdana" w:hAnsi="Verdana" w:hint="default"/>
      </w:rPr>
    </w:lvl>
    <w:lvl w:ilvl="4" w:tplc="08090003" w:tentative="1">
      <w:start w:val="1"/>
      <w:numFmt w:val="bullet"/>
      <w:lvlText w:val="o"/>
      <w:lvlJc w:val="left"/>
      <w:pPr>
        <w:ind w:left="4451" w:hanging="360"/>
      </w:pPr>
      <w:rPr>
        <w:rFonts w:ascii="Cambria Math" w:hAnsi="Cambria Math" w:cs="Cambria Math" w:hint="default"/>
      </w:rPr>
    </w:lvl>
    <w:lvl w:ilvl="5" w:tplc="08090005" w:tentative="1">
      <w:start w:val="1"/>
      <w:numFmt w:val="bullet"/>
      <w:lvlText w:val=""/>
      <w:lvlJc w:val="left"/>
      <w:pPr>
        <w:ind w:left="5171" w:hanging="360"/>
      </w:pPr>
      <w:rPr>
        <w:rFonts w:ascii="Yu Gothic UI Light" w:hAnsi="Yu Gothic UI Light" w:hint="default"/>
      </w:rPr>
    </w:lvl>
    <w:lvl w:ilvl="6" w:tplc="08090001" w:tentative="1">
      <w:start w:val="1"/>
      <w:numFmt w:val="bullet"/>
      <w:lvlText w:val=""/>
      <w:lvlJc w:val="left"/>
      <w:pPr>
        <w:ind w:left="5891" w:hanging="360"/>
      </w:pPr>
      <w:rPr>
        <w:rFonts w:ascii="Verdana" w:hAnsi="Verdana" w:hint="default"/>
      </w:rPr>
    </w:lvl>
    <w:lvl w:ilvl="7" w:tplc="08090003" w:tentative="1">
      <w:start w:val="1"/>
      <w:numFmt w:val="bullet"/>
      <w:lvlText w:val="o"/>
      <w:lvlJc w:val="left"/>
      <w:pPr>
        <w:ind w:left="6611" w:hanging="360"/>
      </w:pPr>
      <w:rPr>
        <w:rFonts w:ascii="Cambria Math" w:hAnsi="Cambria Math" w:cs="Cambria Math" w:hint="default"/>
      </w:rPr>
    </w:lvl>
    <w:lvl w:ilvl="8" w:tplc="08090005" w:tentative="1">
      <w:start w:val="1"/>
      <w:numFmt w:val="bullet"/>
      <w:lvlText w:val=""/>
      <w:lvlJc w:val="left"/>
      <w:pPr>
        <w:ind w:left="7331" w:hanging="360"/>
      </w:pPr>
      <w:rPr>
        <w:rFonts w:ascii="Yu Gothic UI Light" w:hAnsi="Yu Gothic UI Light" w:hint="default"/>
      </w:rPr>
    </w:lvl>
  </w:abstractNum>
  <w:abstractNum w:abstractNumId="83" w15:restartNumberingAfterBreak="0">
    <w:nsid w:val="6E2C666B"/>
    <w:multiLevelType w:val="hybridMultilevel"/>
    <w:tmpl w:val="65FABBDA"/>
    <w:lvl w:ilvl="0" w:tplc="9B0CB3C4">
      <w:start w:val="42"/>
      <w:numFmt w:val="bullet"/>
      <w:lvlText w:val="-"/>
      <w:lvlJc w:val="left"/>
      <w:pPr>
        <w:ind w:left="720" w:hanging="360"/>
      </w:pPr>
      <w:rPr>
        <w:rFonts w:ascii="Verdana" w:eastAsiaTheme="minorHAnsi" w:hAnsi="Verdana" w:cstheme="minorBidi"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6FF9019F"/>
    <w:multiLevelType w:val="hybridMultilevel"/>
    <w:tmpl w:val="B7D86AB6"/>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5" w15:restartNumberingAfterBreak="0">
    <w:nsid w:val="7080329D"/>
    <w:multiLevelType w:val="multilevel"/>
    <w:tmpl w:val="D266108E"/>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6" w15:restartNumberingAfterBreak="0">
    <w:nsid w:val="708741CA"/>
    <w:multiLevelType w:val="hybridMultilevel"/>
    <w:tmpl w:val="5832EDB6"/>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7" w15:restartNumberingAfterBreak="0">
    <w:nsid w:val="723C48AA"/>
    <w:multiLevelType w:val="multilevel"/>
    <w:tmpl w:val="123E3678"/>
    <w:lvl w:ilvl="0">
      <w:start w:val="1"/>
      <w:numFmt w:val="decimal"/>
      <w:lvlRestart w:val="0"/>
      <w:pStyle w:val="EYHeading1"/>
      <w:lvlText w:val="%1."/>
      <w:lvlJc w:val="left"/>
      <w:pPr>
        <w:tabs>
          <w:tab w:val="num" w:pos="0"/>
        </w:tabs>
        <w:ind w:left="0" w:hanging="850"/>
      </w:pPr>
      <w:rPr>
        <w:rFonts w:hint="default"/>
        <w:b/>
        <w:color w:val="7F7E82"/>
        <w:sz w:val="32"/>
      </w:rPr>
    </w:lvl>
    <w:lvl w:ilvl="1">
      <w:start w:val="1"/>
      <w:numFmt w:val="decimal"/>
      <w:pStyle w:val="EYHeading2"/>
      <w:lvlText w:val="%1.%2"/>
      <w:lvlJc w:val="left"/>
      <w:pPr>
        <w:tabs>
          <w:tab w:val="num" w:pos="0"/>
        </w:tabs>
        <w:ind w:left="0" w:hanging="850"/>
      </w:pPr>
      <w:rPr>
        <w:rFonts w:hint="default"/>
        <w:b/>
        <w:i w:val="0"/>
        <w:color w:val="000000"/>
        <w:sz w:val="28"/>
      </w:rPr>
    </w:lvl>
    <w:lvl w:ilvl="2">
      <w:start w:val="1"/>
      <w:numFmt w:val="decimal"/>
      <w:pStyle w:val="EYHeading3"/>
      <w:lvlText w:val="%1.%2.%3"/>
      <w:lvlJc w:val="left"/>
      <w:pPr>
        <w:tabs>
          <w:tab w:val="num" w:pos="0"/>
        </w:tabs>
        <w:ind w:left="0" w:hanging="850"/>
      </w:pPr>
      <w:rPr>
        <w:rFonts w:hint="default"/>
        <w:b/>
        <w:i w:val="0"/>
        <w:color w:val="000000"/>
        <w:sz w:val="24"/>
      </w:rPr>
    </w:lvl>
    <w:lvl w:ilvl="3">
      <w:start w:val="1"/>
      <w:numFmt w:val="decimal"/>
      <w:pStyle w:val="EYHeading4"/>
      <w:lvlText w:val="%1.%2.%3.%4"/>
      <w:lvlJc w:val="left"/>
      <w:pPr>
        <w:tabs>
          <w:tab w:val="num" w:pos="0"/>
        </w:tabs>
        <w:ind w:left="0" w:hanging="850"/>
      </w:pPr>
      <w:rPr>
        <w:rFonts w:hint="default"/>
        <w:b w:val="0"/>
        <w:i w:val="0"/>
        <w:color w:val="000000"/>
        <w:sz w:val="2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88" w15:restartNumberingAfterBreak="0">
    <w:nsid w:val="75063A33"/>
    <w:multiLevelType w:val="hybridMultilevel"/>
    <w:tmpl w:val="C3645E58"/>
    <w:lvl w:ilvl="0" w:tplc="ABA0A088">
      <w:start w:val="1"/>
      <w:numFmt w:val="bullet"/>
      <w:pStyle w:val="Style13-TABLEBULLET"/>
      <w:lvlText w:val=""/>
      <w:lvlJc w:val="left"/>
      <w:pPr>
        <w:ind w:left="360" w:hanging="360"/>
      </w:pPr>
      <w:rPr>
        <w:rFonts w:ascii="Verdana" w:hAnsi="Verdana" w:hint="default"/>
        <w:color w:val="00B0F0"/>
      </w:rPr>
    </w:lvl>
    <w:lvl w:ilvl="1" w:tplc="04100003">
      <w:start w:val="1"/>
      <w:numFmt w:val="bullet"/>
      <w:lvlText w:val="o"/>
      <w:lvlJc w:val="left"/>
      <w:pPr>
        <w:ind w:left="1080" w:hanging="360"/>
      </w:pPr>
      <w:rPr>
        <w:rFonts w:ascii="Cambria Math" w:hAnsi="Cambria Math" w:cs="Cambria Math" w:hint="default"/>
      </w:rPr>
    </w:lvl>
    <w:lvl w:ilvl="2" w:tplc="04100005" w:tentative="1">
      <w:start w:val="1"/>
      <w:numFmt w:val="bullet"/>
      <w:lvlText w:val=""/>
      <w:lvlJc w:val="left"/>
      <w:pPr>
        <w:ind w:left="1800" w:hanging="360"/>
      </w:pPr>
      <w:rPr>
        <w:rFonts w:ascii="Yu Gothic UI Light" w:hAnsi="Yu Gothic UI Light" w:hint="default"/>
      </w:rPr>
    </w:lvl>
    <w:lvl w:ilvl="3" w:tplc="04100001" w:tentative="1">
      <w:start w:val="1"/>
      <w:numFmt w:val="bullet"/>
      <w:lvlText w:val=""/>
      <w:lvlJc w:val="left"/>
      <w:pPr>
        <w:ind w:left="2520" w:hanging="360"/>
      </w:pPr>
      <w:rPr>
        <w:rFonts w:ascii="Verdana" w:hAnsi="Verdana" w:hint="default"/>
      </w:rPr>
    </w:lvl>
    <w:lvl w:ilvl="4" w:tplc="04100003" w:tentative="1">
      <w:start w:val="1"/>
      <w:numFmt w:val="bullet"/>
      <w:lvlText w:val="o"/>
      <w:lvlJc w:val="left"/>
      <w:pPr>
        <w:ind w:left="3240" w:hanging="360"/>
      </w:pPr>
      <w:rPr>
        <w:rFonts w:ascii="Cambria Math" w:hAnsi="Cambria Math" w:cs="Cambria Math" w:hint="default"/>
      </w:rPr>
    </w:lvl>
    <w:lvl w:ilvl="5" w:tplc="04100005" w:tentative="1">
      <w:start w:val="1"/>
      <w:numFmt w:val="bullet"/>
      <w:lvlText w:val=""/>
      <w:lvlJc w:val="left"/>
      <w:pPr>
        <w:ind w:left="3960" w:hanging="360"/>
      </w:pPr>
      <w:rPr>
        <w:rFonts w:ascii="Yu Gothic UI Light" w:hAnsi="Yu Gothic UI Light" w:hint="default"/>
      </w:rPr>
    </w:lvl>
    <w:lvl w:ilvl="6" w:tplc="04100001" w:tentative="1">
      <w:start w:val="1"/>
      <w:numFmt w:val="bullet"/>
      <w:lvlText w:val=""/>
      <w:lvlJc w:val="left"/>
      <w:pPr>
        <w:ind w:left="4680" w:hanging="360"/>
      </w:pPr>
      <w:rPr>
        <w:rFonts w:ascii="Verdana" w:hAnsi="Verdana" w:hint="default"/>
      </w:rPr>
    </w:lvl>
    <w:lvl w:ilvl="7" w:tplc="04100003" w:tentative="1">
      <w:start w:val="1"/>
      <w:numFmt w:val="bullet"/>
      <w:lvlText w:val="o"/>
      <w:lvlJc w:val="left"/>
      <w:pPr>
        <w:ind w:left="5400" w:hanging="360"/>
      </w:pPr>
      <w:rPr>
        <w:rFonts w:ascii="Cambria Math" w:hAnsi="Cambria Math" w:cs="Cambria Math" w:hint="default"/>
      </w:rPr>
    </w:lvl>
    <w:lvl w:ilvl="8" w:tplc="04100005" w:tentative="1">
      <w:start w:val="1"/>
      <w:numFmt w:val="bullet"/>
      <w:lvlText w:val=""/>
      <w:lvlJc w:val="left"/>
      <w:pPr>
        <w:ind w:left="6120" w:hanging="360"/>
      </w:pPr>
      <w:rPr>
        <w:rFonts w:ascii="Yu Gothic UI Light" w:hAnsi="Yu Gothic UI Light" w:hint="default"/>
      </w:rPr>
    </w:lvl>
  </w:abstractNum>
  <w:abstractNum w:abstractNumId="89" w15:restartNumberingAfterBreak="0">
    <w:nsid w:val="76865265"/>
    <w:multiLevelType w:val="hybridMultilevel"/>
    <w:tmpl w:val="516E5578"/>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0" w15:restartNumberingAfterBreak="0">
    <w:nsid w:val="78011794"/>
    <w:multiLevelType w:val="hybridMultilevel"/>
    <w:tmpl w:val="A2C6187A"/>
    <w:lvl w:ilvl="0" w:tplc="0F7425CE">
      <w:start w:val="2"/>
      <w:numFmt w:val="bullet"/>
      <w:lvlText w:val="-"/>
      <w:lvlJc w:val="left"/>
      <w:pPr>
        <w:ind w:left="720" w:hanging="360"/>
      </w:pPr>
      <w:rPr>
        <w:rFonts w:ascii="Times New Roman" w:eastAsia="Calibri"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1" w15:restartNumberingAfterBreak="0">
    <w:nsid w:val="78E7777B"/>
    <w:multiLevelType w:val="hybridMultilevel"/>
    <w:tmpl w:val="E9423328"/>
    <w:lvl w:ilvl="0" w:tplc="050E5998">
      <w:start w:val="1"/>
      <w:numFmt w:val="decimal"/>
      <w:pStyle w:val="ListNumberR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2" w15:restartNumberingAfterBreak="0">
    <w:nsid w:val="78F6415E"/>
    <w:multiLevelType w:val="hybridMultilevel"/>
    <w:tmpl w:val="D3B2DA18"/>
    <w:lvl w:ilvl="0" w:tplc="80D8538E">
      <w:start w:val="1"/>
      <w:numFmt w:val="bullet"/>
      <w:pStyle w:val="Bulletcoretext"/>
      <w:lvlText w:val="►"/>
      <w:lvlJc w:val="left"/>
      <w:pPr>
        <w:ind w:left="947" w:hanging="360"/>
      </w:pPr>
      <w:rPr>
        <w:rFonts w:ascii="Wingdings 3" w:hAnsi="Wingdings 3" w:hint="default"/>
        <w:b/>
        <w:color w:val="FFD200"/>
        <w:sz w:val="18"/>
        <w:szCs w:val="18"/>
      </w:rPr>
    </w:lvl>
    <w:lvl w:ilvl="1" w:tplc="04100003">
      <w:start w:val="1"/>
      <w:numFmt w:val="bullet"/>
      <w:pStyle w:val="Bulletcoretext"/>
      <w:lvlText w:val="o"/>
      <w:lvlJc w:val="left"/>
      <w:pPr>
        <w:ind w:left="1667" w:hanging="360"/>
      </w:pPr>
      <w:rPr>
        <w:rFonts w:ascii="Cambria Math" w:hAnsi="Cambria Math" w:cs="Cambria Math" w:hint="default"/>
      </w:rPr>
    </w:lvl>
    <w:lvl w:ilvl="2" w:tplc="04100005" w:tentative="1">
      <w:start w:val="1"/>
      <w:numFmt w:val="bullet"/>
      <w:lvlText w:val=""/>
      <w:lvlJc w:val="left"/>
      <w:pPr>
        <w:ind w:left="2387" w:hanging="360"/>
      </w:pPr>
      <w:rPr>
        <w:rFonts w:ascii="Yu Gothic UI Light" w:hAnsi="Yu Gothic UI Light" w:hint="default"/>
      </w:rPr>
    </w:lvl>
    <w:lvl w:ilvl="3" w:tplc="04100001" w:tentative="1">
      <w:start w:val="1"/>
      <w:numFmt w:val="bullet"/>
      <w:lvlText w:val=""/>
      <w:lvlJc w:val="left"/>
      <w:pPr>
        <w:ind w:left="3107" w:hanging="360"/>
      </w:pPr>
      <w:rPr>
        <w:rFonts w:ascii="Verdana" w:hAnsi="Verdana" w:hint="default"/>
      </w:rPr>
    </w:lvl>
    <w:lvl w:ilvl="4" w:tplc="04100003" w:tentative="1">
      <w:start w:val="1"/>
      <w:numFmt w:val="bullet"/>
      <w:lvlText w:val="o"/>
      <w:lvlJc w:val="left"/>
      <w:pPr>
        <w:ind w:left="3827" w:hanging="360"/>
      </w:pPr>
      <w:rPr>
        <w:rFonts w:ascii="Cambria Math" w:hAnsi="Cambria Math" w:cs="Cambria Math" w:hint="default"/>
      </w:rPr>
    </w:lvl>
    <w:lvl w:ilvl="5" w:tplc="04100005" w:tentative="1">
      <w:start w:val="1"/>
      <w:numFmt w:val="bullet"/>
      <w:lvlText w:val=""/>
      <w:lvlJc w:val="left"/>
      <w:pPr>
        <w:ind w:left="4547" w:hanging="360"/>
      </w:pPr>
      <w:rPr>
        <w:rFonts w:ascii="Yu Gothic UI Light" w:hAnsi="Yu Gothic UI Light" w:hint="default"/>
      </w:rPr>
    </w:lvl>
    <w:lvl w:ilvl="6" w:tplc="04100001" w:tentative="1">
      <w:start w:val="1"/>
      <w:numFmt w:val="bullet"/>
      <w:lvlText w:val=""/>
      <w:lvlJc w:val="left"/>
      <w:pPr>
        <w:ind w:left="5267" w:hanging="360"/>
      </w:pPr>
      <w:rPr>
        <w:rFonts w:ascii="Verdana" w:hAnsi="Verdana" w:hint="default"/>
      </w:rPr>
    </w:lvl>
    <w:lvl w:ilvl="7" w:tplc="04100003" w:tentative="1">
      <w:start w:val="1"/>
      <w:numFmt w:val="bullet"/>
      <w:lvlText w:val="o"/>
      <w:lvlJc w:val="left"/>
      <w:pPr>
        <w:ind w:left="5987" w:hanging="360"/>
      </w:pPr>
      <w:rPr>
        <w:rFonts w:ascii="Cambria Math" w:hAnsi="Cambria Math" w:cs="Cambria Math" w:hint="default"/>
      </w:rPr>
    </w:lvl>
    <w:lvl w:ilvl="8" w:tplc="04100005" w:tentative="1">
      <w:start w:val="1"/>
      <w:numFmt w:val="bullet"/>
      <w:lvlText w:val=""/>
      <w:lvlJc w:val="left"/>
      <w:pPr>
        <w:ind w:left="6707" w:hanging="360"/>
      </w:pPr>
      <w:rPr>
        <w:rFonts w:ascii="Yu Gothic UI Light" w:hAnsi="Yu Gothic UI Light" w:hint="default"/>
      </w:rPr>
    </w:lvl>
  </w:abstractNum>
  <w:abstractNum w:abstractNumId="93" w15:restartNumberingAfterBreak="0">
    <w:nsid w:val="79422394"/>
    <w:multiLevelType w:val="hybridMultilevel"/>
    <w:tmpl w:val="3D2085EC"/>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79D00423"/>
    <w:multiLevelType w:val="hybridMultilevel"/>
    <w:tmpl w:val="D75C88DA"/>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5" w15:restartNumberingAfterBreak="0">
    <w:nsid w:val="7C84182A"/>
    <w:multiLevelType w:val="hybridMultilevel"/>
    <w:tmpl w:val="922AEB4E"/>
    <w:lvl w:ilvl="0" w:tplc="9B0CB3C4">
      <w:start w:val="42"/>
      <w:numFmt w:val="bullet"/>
      <w:lvlText w:val="-"/>
      <w:lvlJc w:val="left"/>
      <w:pPr>
        <w:ind w:left="720" w:hanging="360"/>
      </w:pPr>
      <w:rPr>
        <w:rFonts w:ascii="Verdana" w:eastAsiaTheme="minorHAnsi" w:hAnsi="Verdan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6" w15:restartNumberingAfterBreak="0">
    <w:nsid w:val="7CA52524"/>
    <w:multiLevelType w:val="hybridMultilevel"/>
    <w:tmpl w:val="5F9AFA46"/>
    <w:lvl w:ilvl="0" w:tplc="41A2651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7" w15:restartNumberingAfterBreak="0">
    <w:nsid w:val="7EE02DE1"/>
    <w:multiLevelType w:val="multilevel"/>
    <w:tmpl w:val="B8EE0726"/>
    <w:lvl w:ilvl="0">
      <w:start w:val="1"/>
      <w:numFmt w:val="bullet"/>
      <w:pStyle w:val="TableBullet0"/>
      <w:lvlText w:val="►"/>
      <w:lvlJc w:val="left"/>
      <w:pPr>
        <w:tabs>
          <w:tab w:val="num" w:pos="0"/>
        </w:tabs>
        <w:ind w:left="284" w:hanging="284"/>
      </w:pPr>
      <w:rPr>
        <w:rFonts w:ascii="Wingdings 3" w:hAnsi="Wingdings 3" w:hint="default"/>
        <w:b w:val="0"/>
        <w:i w:val="0"/>
        <w:color w:val="FFD200"/>
        <w:sz w:val="2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8" w15:restartNumberingAfterBreak="0">
    <w:nsid w:val="7F1477DA"/>
    <w:multiLevelType w:val="hybridMultilevel"/>
    <w:tmpl w:val="E2FA28F8"/>
    <w:lvl w:ilvl="0" w:tplc="20002224">
      <w:start w:val="1"/>
      <w:numFmt w:val="bullet"/>
      <w:pStyle w:val="Bullet10"/>
      <w:lvlText w:val=""/>
      <w:lvlJc w:val="left"/>
      <w:pPr>
        <w:ind w:left="720" w:hanging="360"/>
      </w:pPr>
      <w:rPr>
        <w:rFonts w:ascii="Verdana" w:hAnsi="Verdana" w:hint="default"/>
      </w:rPr>
    </w:lvl>
    <w:lvl w:ilvl="1" w:tplc="08090003">
      <w:start w:val="1"/>
      <w:numFmt w:val="bullet"/>
      <w:lvlText w:val="o"/>
      <w:lvlJc w:val="left"/>
      <w:pPr>
        <w:ind w:left="1440" w:hanging="360"/>
      </w:pPr>
      <w:rPr>
        <w:rFonts w:ascii="Cambria Math" w:hAnsi="Cambria Math" w:cs="Cambria Math" w:hint="default"/>
      </w:rPr>
    </w:lvl>
    <w:lvl w:ilvl="2" w:tplc="08090005">
      <w:start w:val="1"/>
      <w:numFmt w:val="bullet"/>
      <w:lvlText w:val=""/>
      <w:lvlJc w:val="left"/>
      <w:pPr>
        <w:ind w:left="2160" w:hanging="360"/>
      </w:pPr>
      <w:rPr>
        <w:rFonts w:ascii="Yu Gothic UI Light" w:hAnsi="Yu Gothic UI Light" w:hint="default"/>
      </w:rPr>
    </w:lvl>
    <w:lvl w:ilvl="3" w:tplc="08090001" w:tentative="1">
      <w:start w:val="1"/>
      <w:numFmt w:val="bullet"/>
      <w:lvlText w:val=""/>
      <w:lvlJc w:val="left"/>
      <w:pPr>
        <w:ind w:left="2880" w:hanging="360"/>
      </w:pPr>
      <w:rPr>
        <w:rFonts w:ascii="Verdana" w:hAnsi="Verdana" w:hint="default"/>
      </w:rPr>
    </w:lvl>
    <w:lvl w:ilvl="4" w:tplc="08090003" w:tentative="1">
      <w:start w:val="1"/>
      <w:numFmt w:val="bullet"/>
      <w:lvlText w:val="o"/>
      <w:lvlJc w:val="left"/>
      <w:pPr>
        <w:ind w:left="3600" w:hanging="360"/>
      </w:pPr>
      <w:rPr>
        <w:rFonts w:ascii="Cambria Math" w:hAnsi="Cambria Math" w:cs="Cambria Math" w:hint="default"/>
      </w:rPr>
    </w:lvl>
    <w:lvl w:ilvl="5" w:tplc="08090005" w:tentative="1">
      <w:start w:val="1"/>
      <w:numFmt w:val="bullet"/>
      <w:lvlText w:val=""/>
      <w:lvlJc w:val="left"/>
      <w:pPr>
        <w:ind w:left="4320" w:hanging="360"/>
      </w:pPr>
      <w:rPr>
        <w:rFonts w:ascii="Yu Gothic UI Light" w:hAnsi="Yu Gothic UI Light" w:hint="default"/>
      </w:rPr>
    </w:lvl>
    <w:lvl w:ilvl="6" w:tplc="08090001" w:tentative="1">
      <w:start w:val="1"/>
      <w:numFmt w:val="bullet"/>
      <w:lvlText w:val=""/>
      <w:lvlJc w:val="left"/>
      <w:pPr>
        <w:ind w:left="5040" w:hanging="360"/>
      </w:pPr>
      <w:rPr>
        <w:rFonts w:ascii="Verdana" w:hAnsi="Verdana" w:hint="default"/>
      </w:rPr>
    </w:lvl>
    <w:lvl w:ilvl="7" w:tplc="08090003" w:tentative="1">
      <w:start w:val="1"/>
      <w:numFmt w:val="bullet"/>
      <w:lvlText w:val="o"/>
      <w:lvlJc w:val="left"/>
      <w:pPr>
        <w:ind w:left="5760" w:hanging="360"/>
      </w:pPr>
      <w:rPr>
        <w:rFonts w:ascii="Cambria Math" w:hAnsi="Cambria Math" w:cs="Cambria Math" w:hint="default"/>
      </w:rPr>
    </w:lvl>
    <w:lvl w:ilvl="8" w:tplc="08090005" w:tentative="1">
      <w:start w:val="1"/>
      <w:numFmt w:val="bullet"/>
      <w:lvlText w:val=""/>
      <w:lvlJc w:val="left"/>
      <w:pPr>
        <w:ind w:left="6480" w:hanging="360"/>
      </w:pPr>
      <w:rPr>
        <w:rFonts w:ascii="Yu Gothic UI Light" w:hAnsi="Yu Gothic UI Light" w:hint="default"/>
      </w:rPr>
    </w:lvl>
  </w:abstractNum>
  <w:abstractNum w:abstractNumId="99" w15:restartNumberingAfterBreak="0">
    <w:nsid w:val="7F5B176B"/>
    <w:multiLevelType w:val="hybridMultilevel"/>
    <w:tmpl w:val="34AC1C4C"/>
    <w:lvl w:ilvl="0" w:tplc="0410000F">
      <w:start w:val="1"/>
      <w:numFmt w:val="decimal"/>
      <w:lvlText w:val="%1."/>
      <w:lvlJc w:val="left"/>
      <w:pPr>
        <w:ind w:left="360" w:hanging="360"/>
      </w:pPr>
      <w:rPr>
        <w:b/>
        <w:color w:val="FFD200"/>
        <w:sz w:val="18"/>
        <w:szCs w:val="18"/>
      </w:rPr>
    </w:lvl>
    <w:lvl w:ilvl="1" w:tplc="04100003">
      <w:start w:val="1"/>
      <w:numFmt w:val="bullet"/>
      <w:lvlText w:val="o"/>
      <w:lvlJc w:val="left"/>
      <w:pPr>
        <w:ind w:left="1080" w:hanging="360"/>
      </w:pPr>
      <w:rPr>
        <w:rFonts w:ascii="Cambria Math" w:hAnsi="Cambria Math" w:cs="Cambria Math" w:hint="default"/>
      </w:rPr>
    </w:lvl>
    <w:lvl w:ilvl="2" w:tplc="04100005">
      <w:start w:val="1"/>
      <w:numFmt w:val="bullet"/>
      <w:lvlText w:val=""/>
      <w:lvlJc w:val="left"/>
      <w:pPr>
        <w:ind w:left="1800" w:hanging="360"/>
      </w:pPr>
      <w:rPr>
        <w:rFonts w:ascii="Yu Gothic UI Light" w:hAnsi="Yu Gothic UI Light" w:hint="default"/>
      </w:rPr>
    </w:lvl>
    <w:lvl w:ilvl="3" w:tplc="04100001">
      <w:start w:val="1"/>
      <w:numFmt w:val="bullet"/>
      <w:lvlText w:val=""/>
      <w:lvlJc w:val="left"/>
      <w:pPr>
        <w:ind w:left="2520" w:hanging="360"/>
      </w:pPr>
      <w:rPr>
        <w:rFonts w:ascii="Verdana" w:hAnsi="Verdana" w:hint="default"/>
      </w:rPr>
    </w:lvl>
    <w:lvl w:ilvl="4" w:tplc="04100003">
      <w:start w:val="1"/>
      <w:numFmt w:val="bullet"/>
      <w:lvlText w:val="o"/>
      <w:lvlJc w:val="left"/>
      <w:pPr>
        <w:ind w:left="3240" w:hanging="360"/>
      </w:pPr>
      <w:rPr>
        <w:rFonts w:ascii="Cambria Math" w:hAnsi="Cambria Math" w:cs="Cambria Math" w:hint="default"/>
      </w:rPr>
    </w:lvl>
    <w:lvl w:ilvl="5" w:tplc="04100005">
      <w:start w:val="1"/>
      <w:numFmt w:val="bullet"/>
      <w:pStyle w:val="Style8"/>
      <w:lvlText w:val=""/>
      <w:lvlJc w:val="left"/>
      <w:pPr>
        <w:ind w:left="3960" w:hanging="360"/>
      </w:pPr>
      <w:rPr>
        <w:rFonts w:ascii="Yu Gothic UI Light" w:hAnsi="Yu Gothic UI Light" w:hint="default"/>
      </w:rPr>
    </w:lvl>
    <w:lvl w:ilvl="6" w:tplc="04100001">
      <w:start w:val="1"/>
      <w:numFmt w:val="bullet"/>
      <w:lvlText w:val=""/>
      <w:lvlJc w:val="left"/>
      <w:pPr>
        <w:ind w:left="4680" w:hanging="360"/>
      </w:pPr>
      <w:rPr>
        <w:rFonts w:ascii="Verdana" w:hAnsi="Verdana" w:hint="default"/>
      </w:rPr>
    </w:lvl>
    <w:lvl w:ilvl="7" w:tplc="04100003">
      <w:start w:val="1"/>
      <w:numFmt w:val="bullet"/>
      <w:lvlText w:val="o"/>
      <w:lvlJc w:val="left"/>
      <w:pPr>
        <w:ind w:left="5400" w:hanging="360"/>
      </w:pPr>
      <w:rPr>
        <w:rFonts w:ascii="Cambria Math" w:hAnsi="Cambria Math" w:cs="Cambria Math" w:hint="default"/>
      </w:rPr>
    </w:lvl>
    <w:lvl w:ilvl="8" w:tplc="04100005">
      <w:start w:val="1"/>
      <w:numFmt w:val="bullet"/>
      <w:lvlText w:val=""/>
      <w:lvlJc w:val="left"/>
      <w:pPr>
        <w:ind w:left="6120" w:hanging="360"/>
      </w:pPr>
      <w:rPr>
        <w:rFonts w:ascii="Yu Gothic UI Light" w:hAnsi="Yu Gothic UI Light" w:hint="default"/>
      </w:rPr>
    </w:lvl>
  </w:abstractNum>
  <w:num w:numId="1">
    <w:abstractNumId w:val="71"/>
  </w:num>
  <w:num w:numId="2">
    <w:abstractNumId w:val="22"/>
  </w:num>
  <w:num w:numId="3">
    <w:abstractNumId w:val="85"/>
  </w:num>
  <w:num w:numId="4">
    <w:abstractNumId w:val="47"/>
  </w:num>
  <w:num w:numId="5">
    <w:abstractNumId w:val="77"/>
  </w:num>
  <w:num w:numId="6">
    <w:abstractNumId w:val="28"/>
  </w:num>
  <w:num w:numId="7">
    <w:abstractNumId w:val="90"/>
  </w:num>
  <w:num w:numId="8">
    <w:abstractNumId w:val="73"/>
  </w:num>
  <w:num w:numId="9">
    <w:abstractNumId w:val="45"/>
  </w:num>
  <w:num w:numId="10">
    <w:abstractNumId w:val="41"/>
  </w:num>
  <w:num w:numId="11">
    <w:abstractNumId w:val="98"/>
  </w:num>
  <w:num w:numId="12">
    <w:abstractNumId w:val="35"/>
  </w:num>
  <w:num w:numId="13">
    <w:abstractNumId w:val="13"/>
  </w:num>
  <w:num w:numId="14">
    <w:abstractNumId w:val="30"/>
  </w:num>
  <w:num w:numId="15">
    <w:abstractNumId w:val="36"/>
  </w:num>
  <w:num w:numId="16">
    <w:abstractNumId w:val="2"/>
  </w:num>
  <w:num w:numId="17">
    <w:abstractNumId w:val="97"/>
  </w:num>
  <w:num w:numId="18">
    <w:abstractNumId w:val="53"/>
  </w:num>
  <w:num w:numId="19">
    <w:abstractNumId w:val="39"/>
  </w:num>
  <w:num w:numId="20">
    <w:abstractNumId w:val="5"/>
  </w:num>
  <w:num w:numId="21">
    <w:abstractNumId w:val="4"/>
  </w:num>
  <w:num w:numId="22">
    <w:abstractNumId w:val="1"/>
  </w:num>
  <w:num w:numId="23">
    <w:abstractNumId w:val="0"/>
  </w:num>
  <w:num w:numId="24">
    <w:abstractNumId w:val="12"/>
  </w:num>
  <w:num w:numId="25">
    <w:abstractNumId w:val="99"/>
    <w:lvlOverride w:ilvl="0">
      <w:startOverride w:val="1"/>
    </w:lvlOverride>
    <w:lvlOverride w:ilvl="1"/>
    <w:lvlOverride w:ilvl="2"/>
    <w:lvlOverride w:ilvl="3"/>
    <w:lvlOverride w:ilvl="4"/>
    <w:lvlOverride w:ilvl="5"/>
    <w:lvlOverride w:ilvl="6"/>
    <w:lvlOverride w:ilvl="7"/>
    <w:lvlOverride w:ilvl="8"/>
  </w:num>
  <w:num w:numId="26">
    <w:abstractNumId w:val="92"/>
  </w:num>
  <w:num w:numId="27">
    <w:abstractNumId w:val="32"/>
  </w:num>
  <w:num w:numId="28">
    <w:abstractNumId w:val="21"/>
  </w:num>
  <w:num w:numId="29">
    <w:abstractNumId w:val="3"/>
  </w:num>
  <w:num w:numId="30">
    <w:abstractNumId w:val="87"/>
  </w:num>
  <w:num w:numId="31">
    <w:abstractNumId w:val="64"/>
  </w:num>
  <w:num w:numId="32">
    <w:abstractNumId w:val="91"/>
  </w:num>
  <w:num w:numId="33">
    <w:abstractNumId w:val="59"/>
  </w:num>
  <w:num w:numId="34">
    <w:abstractNumId w:val="79"/>
  </w:num>
  <w:num w:numId="35">
    <w:abstractNumId w:val="17"/>
  </w:num>
  <w:num w:numId="36">
    <w:abstractNumId w:val="31"/>
  </w:num>
  <w:num w:numId="37">
    <w:abstractNumId w:val="72"/>
  </w:num>
  <w:num w:numId="38">
    <w:abstractNumId w:val="9"/>
  </w:num>
  <w:num w:numId="39">
    <w:abstractNumId w:val="88"/>
  </w:num>
  <w:num w:numId="40">
    <w:abstractNumId w:val="82"/>
  </w:num>
  <w:num w:numId="41">
    <w:abstractNumId w:val="43"/>
  </w:num>
  <w:num w:numId="42">
    <w:abstractNumId w:val="29"/>
  </w:num>
  <w:num w:numId="43">
    <w:abstractNumId w:val="67"/>
  </w:num>
  <w:num w:numId="44">
    <w:abstractNumId w:val="83"/>
  </w:num>
  <w:num w:numId="45">
    <w:abstractNumId w:val="74"/>
  </w:num>
  <w:num w:numId="46">
    <w:abstractNumId w:val="48"/>
  </w:num>
  <w:num w:numId="47">
    <w:abstractNumId w:val="46"/>
  </w:num>
  <w:num w:numId="48">
    <w:abstractNumId w:val="68"/>
  </w:num>
  <w:num w:numId="49">
    <w:abstractNumId w:val="94"/>
  </w:num>
  <w:num w:numId="50">
    <w:abstractNumId w:val="61"/>
  </w:num>
  <w:num w:numId="51">
    <w:abstractNumId w:val="33"/>
  </w:num>
  <w:num w:numId="52">
    <w:abstractNumId w:val="65"/>
  </w:num>
  <w:num w:numId="53">
    <w:abstractNumId w:val="15"/>
  </w:num>
  <w:num w:numId="54">
    <w:abstractNumId w:val="80"/>
  </w:num>
  <w:num w:numId="55">
    <w:abstractNumId w:val="60"/>
  </w:num>
  <w:num w:numId="56">
    <w:abstractNumId w:val="95"/>
  </w:num>
  <w:num w:numId="57">
    <w:abstractNumId w:val="86"/>
  </w:num>
  <w:num w:numId="58">
    <w:abstractNumId w:val="81"/>
  </w:num>
  <w:num w:numId="59">
    <w:abstractNumId w:val="52"/>
  </w:num>
  <w:num w:numId="60">
    <w:abstractNumId w:val="16"/>
  </w:num>
  <w:num w:numId="61">
    <w:abstractNumId w:val="51"/>
  </w:num>
  <w:num w:numId="62">
    <w:abstractNumId w:val="34"/>
  </w:num>
  <w:num w:numId="63">
    <w:abstractNumId w:val="62"/>
  </w:num>
  <w:num w:numId="64">
    <w:abstractNumId w:val="14"/>
  </w:num>
  <w:num w:numId="65">
    <w:abstractNumId w:val="26"/>
  </w:num>
  <w:num w:numId="66">
    <w:abstractNumId w:val="50"/>
  </w:num>
  <w:num w:numId="67">
    <w:abstractNumId w:val="89"/>
  </w:num>
  <w:num w:numId="68">
    <w:abstractNumId w:val="58"/>
  </w:num>
  <w:num w:numId="69">
    <w:abstractNumId w:val="57"/>
  </w:num>
  <w:num w:numId="70">
    <w:abstractNumId w:val="93"/>
  </w:num>
  <w:num w:numId="71">
    <w:abstractNumId w:val="42"/>
  </w:num>
  <w:num w:numId="72">
    <w:abstractNumId w:val="84"/>
  </w:num>
  <w:num w:numId="73">
    <w:abstractNumId w:val="19"/>
  </w:num>
  <w:num w:numId="74">
    <w:abstractNumId w:val="55"/>
  </w:num>
  <w:num w:numId="75">
    <w:abstractNumId w:val="25"/>
  </w:num>
  <w:num w:numId="76">
    <w:abstractNumId w:val="44"/>
  </w:num>
  <w:num w:numId="77">
    <w:abstractNumId w:val="23"/>
  </w:num>
  <w:num w:numId="78">
    <w:abstractNumId w:val="37"/>
  </w:num>
  <w:num w:numId="79">
    <w:abstractNumId w:val="63"/>
  </w:num>
  <w:num w:numId="80">
    <w:abstractNumId w:val="10"/>
  </w:num>
  <w:num w:numId="81">
    <w:abstractNumId w:val="18"/>
  </w:num>
  <w:num w:numId="82">
    <w:abstractNumId w:val="69"/>
  </w:num>
  <w:num w:numId="83">
    <w:abstractNumId w:val="54"/>
  </w:num>
  <w:num w:numId="84">
    <w:abstractNumId w:val="6"/>
  </w:num>
  <w:num w:numId="85">
    <w:abstractNumId w:val="24"/>
  </w:num>
  <w:num w:numId="86">
    <w:abstractNumId w:val="56"/>
  </w:num>
  <w:num w:numId="87">
    <w:abstractNumId w:val="20"/>
  </w:num>
  <w:num w:numId="88">
    <w:abstractNumId w:val="96"/>
  </w:num>
  <w:num w:numId="89">
    <w:abstractNumId w:val="27"/>
  </w:num>
  <w:num w:numId="90">
    <w:abstractNumId w:val="66"/>
  </w:num>
  <w:num w:numId="91">
    <w:abstractNumId w:val="8"/>
  </w:num>
  <w:num w:numId="92">
    <w:abstractNumId w:val="76"/>
  </w:num>
  <w:num w:numId="93">
    <w:abstractNumId w:val="49"/>
  </w:num>
  <w:num w:numId="94">
    <w:abstractNumId w:val="7"/>
  </w:num>
  <w:num w:numId="95">
    <w:abstractNumId w:val="40"/>
  </w:num>
  <w:num w:numId="96">
    <w:abstractNumId w:val="75"/>
  </w:num>
  <w:num w:numId="97">
    <w:abstractNumId w:val="78"/>
  </w:num>
  <w:num w:numId="98">
    <w:abstractNumId w:val="70"/>
  </w:num>
  <w:num w:numId="99">
    <w:abstractNumId w:val="38"/>
  </w:num>
  <w:num w:numId="100">
    <w:abstractNumId w:val="11"/>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34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52DC279A-124C-4FD5-9CA2-482BE0328D8A"/>
    <w:docVar w:name="LW_COVERPAGE_TYPE" w:val="1"/>
    <w:docVar w:name="LW_CROSSREFERENCE" w:val="{COM(2026) 32 final}"/>
    <w:docVar w:name="LW_DocType" w:val="NORMAL"/>
    <w:docVar w:name="LW_EMISSION" w:val="26.1.2026"/>
    <w:docVar w:name="LW_EMISSION_ISODATE" w:val="2026-01-26"/>
    <w:docVar w:name="LW_EMISSION_LOCATION" w:val="BRX"/>
    <w:docVar w:name="LW_EMISSION_PREFIX" w:val="Brussels, "/>
    <w:docVar w:name="LW_EMISSION_SUFFIX" w:val=" "/>
    <w:docVar w:name="LW_ID_DOCTYPE_NONLW" w:val="CP-053"/>
    <w:docVar w:name="LW_LANGUE" w:val="EN"/>
    <w:docVar w:name="LW_LEVEL_OF_SENSITIVITY" w:val="Standard treatment"/>
    <w:docVar w:name="LW_NOM.INST" w:val="EUROPEAN COMMISSION"/>
    <w:docVar w:name="LW_NOM.INST_JOINTDOC" w:val="&lt;EMPTY&gt;"/>
    <w:docVar w:name="LW_OBJETACTEPRINCIPAL.CP" w:val="on the evaluation of the European Union Agency for the Operational Management of Large-Scale IT Systems in the Area of Freedom, Security and Justice (eu-LISA) in accordance with Article 39 of Regulation (EU) 2018/1726"/>
    <w:docVar w:name="LW_PART_NBR" w:val="1"/>
    <w:docVar w:name="LW_PART_NBR_TOTAL" w:val="1"/>
    <w:docVar w:name="LW_REF.INST.NEW" w:val="SWD"/>
    <w:docVar w:name="LW_REF.INST.NEW_ADOPTED" w:val="final"/>
    <w:docVar w:name="LW_REF.INST.NEW_TEXT" w:val="(2026) 9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of the European Union Agency for the Operational Management of Large-Scale IT Systems in the Area of Freedom, Security and Justice (eu-LISA) in accordance with Article 39 of Regulation (EU) 2018/1726"/>
    <w:docVar w:name="LW_TYPE.DOC.CP" w:val="COMMISSION STAFF WORKING DOCUMENT_x000b__x000b_EVALUATION_x000b_"/>
    <w:docVar w:name="LW_TYPEACTEPRINCIPAL.CP" w:val="Report from the Commission to the European Parliament and the Council"/>
    <w:docVar w:name="LwApiVersions" w:val="LW4CoDe 1.24.5.0; LW 9.2, Build 20251112"/>
  </w:docVars>
  <w:rsids>
    <w:rsidRoot w:val="006A5F73"/>
    <w:rsid w:val="000003D7"/>
    <w:rsid w:val="00001669"/>
    <w:rsid w:val="000022BD"/>
    <w:rsid w:val="00002768"/>
    <w:rsid w:val="00003208"/>
    <w:rsid w:val="00004A63"/>
    <w:rsid w:val="00004DA6"/>
    <w:rsid w:val="00004DC7"/>
    <w:rsid w:val="0000559E"/>
    <w:rsid w:val="00006242"/>
    <w:rsid w:val="000062C5"/>
    <w:rsid w:val="00007C40"/>
    <w:rsid w:val="00007E4D"/>
    <w:rsid w:val="00007E87"/>
    <w:rsid w:val="00010A26"/>
    <w:rsid w:val="00010DF8"/>
    <w:rsid w:val="00010EB4"/>
    <w:rsid w:val="0001117B"/>
    <w:rsid w:val="0001182D"/>
    <w:rsid w:val="00011D55"/>
    <w:rsid w:val="00012CCB"/>
    <w:rsid w:val="00013211"/>
    <w:rsid w:val="00014FA3"/>
    <w:rsid w:val="00015388"/>
    <w:rsid w:val="000160DC"/>
    <w:rsid w:val="0001647C"/>
    <w:rsid w:val="00016EEE"/>
    <w:rsid w:val="000201B7"/>
    <w:rsid w:val="00020DA2"/>
    <w:rsid w:val="00022305"/>
    <w:rsid w:val="00022CC3"/>
    <w:rsid w:val="00023062"/>
    <w:rsid w:val="00023685"/>
    <w:rsid w:val="00024B57"/>
    <w:rsid w:val="0002652C"/>
    <w:rsid w:val="00030B6C"/>
    <w:rsid w:val="00030CD2"/>
    <w:rsid w:val="00030EC0"/>
    <w:rsid w:val="00031328"/>
    <w:rsid w:val="00031363"/>
    <w:rsid w:val="000335C2"/>
    <w:rsid w:val="00033896"/>
    <w:rsid w:val="00033A6D"/>
    <w:rsid w:val="00033C6E"/>
    <w:rsid w:val="00033FAA"/>
    <w:rsid w:val="000347DD"/>
    <w:rsid w:val="000350DD"/>
    <w:rsid w:val="0003525B"/>
    <w:rsid w:val="00035C1E"/>
    <w:rsid w:val="000360FE"/>
    <w:rsid w:val="00036377"/>
    <w:rsid w:val="00036379"/>
    <w:rsid w:val="00036741"/>
    <w:rsid w:val="0003684A"/>
    <w:rsid w:val="000378BF"/>
    <w:rsid w:val="000412A9"/>
    <w:rsid w:val="00042131"/>
    <w:rsid w:val="000448DB"/>
    <w:rsid w:val="0004505A"/>
    <w:rsid w:val="00045B75"/>
    <w:rsid w:val="000461E3"/>
    <w:rsid w:val="000465DF"/>
    <w:rsid w:val="00046601"/>
    <w:rsid w:val="00046AB8"/>
    <w:rsid w:val="00046C0C"/>
    <w:rsid w:val="00047E9D"/>
    <w:rsid w:val="0005078E"/>
    <w:rsid w:val="00050793"/>
    <w:rsid w:val="000515AD"/>
    <w:rsid w:val="00052080"/>
    <w:rsid w:val="000525DF"/>
    <w:rsid w:val="00052610"/>
    <w:rsid w:val="00054302"/>
    <w:rsid w:val="0005455E"/>
    <w:rsid w:val="00055975"/>
    <w:rsid w:val="00056C6A"/>
    <w:rsid w:val="00056EB7"/>
    <w:rsid w:val="00057B5D"/>
    <w:rsid w:val="00057C83"/>
    <w:rsid w:val="00060DA6"/>
    <w:rsid w:val="00060E23"/>
    <w:rsid w:val="00061B37"/>
    <w:rsid w:val="000624D7"/>
    <w:rsid w:val="000628D7"/>
    <w:rsid w:val="000630B1"/>
    <w:rsid w:val="00063309"/>
    <w:rsid w:val="00064AA8"/>
    <w:rsid w:val="00065A04"/>
    <w:rsid w:val="00066E21"/>
    <w:rsid w:val="00067716"/>
    <w:rsid w:val="00070A64"/>
    <w:rsid w:val="000711CB"/>
    <w:rsid w:val="000711FD"/>
    <w:rsid w:val="00071446"/>
    <w:rsid w:val="00071A49"/>
    <w:rsid w:val="000739C7"/>
    <w:rsid w:val="00074E41"/>
    <w:rsid w:val="00075156"/>
    <w:rsid w:val="00075D6C"/>
    <w:rsid w:val="00076385"/>
    <w:rsid w:val="000764F4"/>
    <w:rsid w:val="00076A72"/>
    <w:rsid w:val="000775B5"/>
    <w:rsid w:val="000803DE"/>
    <w:rsid w:val="000806A5"/>
    <w:rsid w:val="000807C9"/>
    <w:rsid w:val="000813F4"/>
    <w:rsid w:val="000813FA"/>
    <w:rsid w:val="00083348"/>
    <w:rsid w:val="000857E5"/>
    <w:rsid w:val="000858A0"/>
    <w:rsid w:val="0008593E"/>
    <w:rsid w:val="00085B34"/>
    <w:rsid w:val="00086211"/>
    <w:rsid w:val="000904C4"/>
    <w:rsid w:val="00090FFD"/>
    <w:rsid w:val="0009257D"/>
    <w:rsid w:val="00092F5B"/>
    <w:rsid w:val="000934DE"/>
    <w:rsid w:val="000954A1"/>
    <w:rsid w:val="00095541"/>
    <w:rsid w:val="00095BB0"/>
    <w:rsid w:val="00096F3E"/>
    <w:rsid w:val="000973F4"/>
    <w:rsid w:val="00097B1E"/>
    <w:rsid w:val="000A0891"/>
    <w:rsid w:val="000A0DA4"/>
    <w:rsid w:val="000A2F28"/>
    <w:rsid w:val="000A3763"/>
    <w:rsid w:val="000A3BD1"/>
    <w:rsid w:val="000A4C2C"/>
    <w:rsid w:val="000A4EFA"/>
    <w:rsid w:val="000A4F0E"/>
    <w:rsid w:val="000A551E"/>
    <w:rsid w:val="000A5549"/>
    <w:rsid w:val="000A55D7"/>
    <w:rsid w:val="000A5AEB"/>
    <w:rsid w:val="000A5D31"/>
    <w:rsid w:val="000A6CA8"/>
    <w:rsid w:val="000A6E9F"/>
    <w:rsid w:val="000A721E"/>
    <w:rsid w:val="000A74F4"/>
    <w:rsid w:val="000B0297"/>
    <w:rsid w:val="000B1104"/>
    <w:rsid w:val="000B284F"/>
    <w:rsid w:val="000B5003"/>
    <w:rsid w:val="000B6755"/>
    <w:rsid w:val="000B69C8"/>
    <w:rsid w:val="000B712F"/>
    <w:rsid w:val="000B79E4"/>
    <w:rsid w:val="000B7F89"/>
    <w:rsid w:val="000C0782"/>
    <w:rsid w:val="000C0F9F"/>
    <w:rsid w:val="000C1E63"/>
    <w:rsid w:val="000C1FDC"/>
    <w:rsid w:val="000C2962"/>
    <w:rsid w:val="000C374B"/>
    <w:rsid w:val="000C38D2"/>
    <w:rsid w:val="000C3A3B"/>
    <w:rsid w:val="000C4922"/>
    <w:rsid w:val="000C49C4"/>
    <w:rsid w:val="000C4C73"/>
    <w:rsid w:val="000C5634"/>
    <w:rsid w:val="000C5897"/>
    <w:rsid w:val="000C5E4E"/>
    <w:rsid w:val="000C6089"/>
    <w:rsid w:val="000C6702"/>
    <w:rsid w:val="000C74AE"/>
    <w:rsid w:val="000C7EB2"/>
    <w:rsid w:val="000D00BC"/>
    <w:rsid w:val="000D0316"/>
    <w:rsid w:val="000D069D"/>
    <w:rsid w:val="000D1F75"/>
    <w:rsid w:val="000D203A"/>
    <w:rsid w:val="000D2A1E"/>
    <w:rsid w:val="000D3FC4"/>
    <w:rsid w:val="000D5B3D"/>
    <w:rsid w:val="000D60AF"/>
    <w:rsid w:val="000D7F37"/>
    <w:rsid w:val="000E0B2F"/>
    <w:rsid w:val="000E19BA"/>
    <w:rsid w:val="000E32DC"/>
    <w:rsid w:val="000E36FC"/>
    <w:rsid w:val="000E382A"/>
    <w:rsid w:val="000E4678"/>
    <w:rsid w:val="000E5D04"/>
    <w:rsid w:val="000E68EF"/>
    <w:rsid w:val="000E70B5"/>
    <w:rsid w:val="000F0560"/>
    <w:rsid w:val="000F066C"/>
    <w:rsid w:val="000F0F94"/>
    <w:rsid w:val="000F1C89"/>
    <w:rsid w:val="000F1FC5"/>
    <w:rsid w:val="000F46EE"/>
    <w:rsid w:val="000F4C81"/>
    <w:rsid w:val="000F4E1D"/>
    <w:rsid w:val="000F5E71"/>
    <w:rsid w:val="000F5EF0"/>
    <w:rsid w:val="000F7D37"/>
    <w:rsid w:val="00100034"/>
    <w:rsid w:val="001007A9"/>
    <w:rsid w:val="00100F94"/>
    <w:rsid w:val="00102931"/>
    <w:rsid w:val="00102BAE"/>
    <w:rsid w:val="00102D4D"/>
    <w:rsid w:val="00103F83"/>
    <w:rsid w:val="001044A9"/>
    <w:rsid w:val="00104541"/>
    <w:rsid w:val="00104737"/>
    <w:rsid w:val="001047B3"/>
    <w:rsid w:val="00104DAD"/>
    <w:rsid w:val="00105458"/>
    <w:rsid w:val="0010572A"/>
    <w:rsid w:val="00106F2D"/>
    <w:rsid w:val="001114CC"/>
    <w:rsid w:val="0011219C"/>
    <w:rsid w:val="00112482"/>
    <w:rsid w:val="0011284B"/>
    <w:rsid w:val="00112A3B"/>
    <w:rsid w:val="00113437"/>
    <w:rsid w:val="00113B04"/>
    <w:rsid w:val="00113D83"/>
    <w:rsid w:val="00113DB6"/>
    <w:rsid w:val="00113FB7"/>
    <w:rsid w:val="00115766"/>
    <w:rsid w:val="00116984"/>
    <w:rsid w:val="00116A6A"/>
    <w:rsid w:val="00116FAF"/>
    <w:rsid w:val="00117C5D"/>
    <w:rsid w:val="001208BC"/>
    <w:rsid w:val="00121B14"/>
    <w:rsid w:val="00122118"/>
    <w:rsid w:val="00123599"/>
    <w:rsid w:val="00124A0C"/>
    <w:rsid w:val="00124ED7"/>
    <w:rsid w:val="00125263"/>
    <w:rsid w:val="00125AAD"/>
    <w:rsid w:val="00125DAB"/>
    <w:rsid w:val="00126100"/>
    <w:rsid w:val="0012663B"/>
    <w:rsid w:val="001274FF"/>
    <w:rsid w:val="001275B7"/>
    <w:rsid w:val="00127D27"/>
    <w:rsid w:val="00130861"/>
    <w:rsid w:val="00130AEC"/>
    <w:rsid w:val="001312A7"/>
    <w:rsid w:val="0013166B"/>
    <w:rsid w:val="001317C2"/>
    <w:rsid w:val="00131BCA"/>
    <w:rsid w:val="00131C6C"/>
    <w:rsid w:val="00132443"/>
    <w:rsid w:val="00133695"/>
    <w:rsid w:val="00133A6C"/>
    <w:rsid w:val="001340B6"/>
    <w:rsid w:val="001345FC"/>
    <w:rsid w:val="0013482D"/>
    <w:rsid w:val="00134DD3"/>
    <w:rsid w:val="00134E5B"/>
    <w:rsid w:val="0013506B"/>
    <w:rsid w:val="001361AB"/>
    <w:rsid w:val="001363AF"/>
    <w:rsid w:val="00136437"/>
    <w:rsid w:val="00137012"/>
    <w:rsid w:val="0014106C"/>
    <w:rsid w:val="001412F8"/>
    <w:rsid w:val="00141556"/>
    <w:rsid w:val="001416A9"/>
    <w:rsid w:val="00141846"/>
    <w:rsid w:val="0014330A"/>
    <w:rsid w:val="0014370F"/>
    <w:rsid w:val="00143D3A"/>
    <w:rsid w:val="001448A1"/>
    <w:rsid w:val="00144ED1"/>
    <w:rsid w:val="001451CD"/>
    <w:rsid w:val="00145842"/>
    <w:rsid w:val="00146B25"/>
    <w:rsid w:val="001472ED"/>
    <w:rsid w:val="001477D2"/>
    <w:rsid w:val="001478F9"/>
    <w:rsid w:val="00147C41"/>
    <w:rsid w:val="00147D71"/>
    <w:rsid w:val="00147F30"/>
    <w:rsid w:val="0015015A"/>
    <w:rsid w:val="001502FD"/>
    <w:rsid w:val="001503C1"/>
    <w:rsid w:val="001515C5"/>
    <w:rsid w:val="001529DD"/>
    <w:rsid w:val="00152BEB"/>
    <w:rsid w:val="00153C4D"/>
    <w:rsid w:val="00154C04"/>
    <w:rsid w:val="00154F5C"/>
    <w:rsid w:val="0015665E"/>
    <w:rsid w:val="001567EC"/>
    <w:rsid w:val="00156950"/>
    <w:rsid w:val="00161808"/>
    <w:rsid w:val="00161A26"/>
    <w:rsid w:val="00165320"/>
    <w:rsid w:val="001667BC"/>
    <w:rsid w:val="0016698B"/>
    <w:rsid w:val="00167A34"/>
    <w:rsid w:val="00167CBF"/>
    <w:rsid w:val="00170810"/>
    <w:rsid w:val="00171816"/>
    <w:rsid w:val="00172161"/>
    <w:rsid w:val="001725C2"/>
    <w:rsid w:val="001738EB"/>
    <w:rsid w:val="00173F31"/>
    <w:rsid w:val="00174DD7"/>
    <w:rsid w:val="0017507C"/>
    <w:rsid w:val="0017561F"/>
    <w:rsid w:val="00175D0A"/>
    <w:rsid w:val="00176BA8"/>
    <w:rsid w:val="00176C0B"/>
    <w:rsid w:val="00177250"/>
    <w:rsid w:val="00177FE6"/>
    <w:rsid w:val="0018081F"/>
    <w:rsid w:val="00180A74"/>
    <w:rsid w:val="001836E3"/>
    <w:rsid w:val="00183C2B"/>
    <w:rsid w:val="00183CC0"/>
    <w:rsid w:val="00184852"/>
    <w:rsid w:val="00184DAC"/>
    <w:rsid w:val="0018534D"/>
    <w:rsid w:val="00185A37"/>
    <w:rsid w:val="00186B95"/>
    <w:rsid w:val="001906F8"/>
    <w:rsid w:val="00191996"/>
    <w:rsid w:val="00192294"/>
    <w:rsid w:val="00192946"/>
    <w:rsid w:val="001932A5"/>
    <w:rsid w:val="001933B8"/>
    <w:rsid w:val="001937C5"/>
    <w:rsid w:val="00193AAB"/>
    <w:rsid w:val="001942AE"/>
    <w:rsid w:val="001948BD"/>
    <w:rsid w:val="00194E12"/>
    <w:rsid w:val="001959CD"/>
    <w:rsid w:val="00196A9D"/>
    <w:rsid w:val="00197018"/>
    <w:rsid w:val="00197598"/>
    <w:rsid w:val="001979F0"/>
    <w:rsid w:val="001A0063"/>
    <w:rsid w:val="001A00CB"/>
    <w:rsid w:val="001A19DD"/>
    <w:rsid w:val="001A1D35"/>
    <w:rsid w:val="001A239F"/>
    <w:rsid w:val="001A2C95"/>
    <w:rsid w:val="001A3ADA"/>
    <w:rsid w:val="001A40A2"/>
    <w:rsid w:val="001A4241"/>
    <w:rsid w:val="001A42D2"/>
    <w:rsid w:val="001A4373"/>
    <w:rsid w:val="001A4B81"/>
    <w:rsid w:val="001A4BD7"/>
    <w:rsid w:val="001A4D8E"/>
    <w:rsid w:val="001A57DF"/>
    <w:rsid w:val="001A66B6"/>
    <w:rsid w:val="001A756D"/>
    <w:rsid w:val="001A7AB1"/>
    <w:rsid w:val="001B01E1"/>
    <w:rsid w:val="001B1F6F"/>
    <w:rsid w:val="001B209F"/>
    <w:rsid w:val="001B3084"/>
    <w:rsid w:val="001B3266"/>
    <w:rsid w:val="001B3493"/>
    <w:rsid w:val="001B3A09"/>
    <w:rsid w:val="001B3FA5"/>
    <w:rsid w:val="001B547C"/>
    <w:rsid w:val="001B6BD1"/>
    <w:rsid w:val="001B6DE6"/>
    <w:rsid w:val="001C018E"/>
    <w:rsid w:val="001C14A5"/>
    <w:rsid w:val="001C2B70"/>
    <w:rsid w:val="001C2EB4"/>
    <w:rsid w:val="001C3EBC"/>
    <w:rsid w:val="001C45A9"/>
    <w:rsid w:val="001C4989"/>
    <w:rsid w:val="001C546E"/>
    <w:rsid w:val="001C6656"/>
    <w:rsid w:val="001C6B48"/>
    <w:rsid w:val="001C7206"/>
    <w:rsid w:val="001C7C0B"/>
    <w:rsid w:val="001D00E8"/>
    <w:rsid w:val="001D04E5"/>
    <w:rsid w:val="001D0742"/>
    <w:rsid w:val="001D0923"/>
    <w:rsid w:val="001D1A7C"/>
    <w:rsid w:val="001D1B28"/>
    <w:rsid w:val="001D2D72"/>
    <w:rsid w:val="001D3488"/>
    <w:rsid w:val="001D4316"/>
    <w:rsid w:val="001D45F4"/>
    <w:rsid w:val="001D4B20"/>
    <w:rsid w:val="001D4F0A"/>
    <w:rsid w:val="001D54D2"/>
    <w:rsid w:val="001D6018"/>
    <w:rsid w:val="001D6C98"/>
    <w:rsid w:val="001D7252"/>
    <w:rsid w:val="001D728F"/>
    <w:rsid w:val="001D780F"/>
    <w:rsid w:val="001D7D03"/>
    <w:rsid w:val="001E091E"/>
    <w:rsid w:val="001E0EDE"/>
    <w:rsid w:val="001E125C"/>
    <w:rsid w:val="001E1415"/>
    <w:rsid w:val="001E18DA"/>
    <w:rsid w:val="001E2069"/>
    <w:rsid w:val="001E30F5"/>
    <w:rsid w:val="001E44B8"/>
    <w:rsid w:val="001E45C3"/>
    <w:rsid w:val="001E5238"/>
    <w:rsid w:val="001E6DD8"/>
    <w:rsid w:val="001E732C"/>
    <w:rsid w:val="001E73E7"/>
    <w:rsid w:val="001E769D"/>
    <w:rsid w:val="001F0186"/>
    <w:rsid w:val="001F01EC"/>
    <w:rsid w:val="001F07F4"/>
    <w:rsid w:val="001F244E"/>
    <w:rsid w:val="001F2533"/>
    <w:rsid w:val="001F2763"/>
    <w:rsid w:val="001F31D9"/>
    <w:rsid w:val="001F460A"/>
    <w:rsid w:val="001F5130"/>
    <w:rsid w:val="001F5F11"/>
    <w:rsid w:val="001F6F26"/>
    <w:rsid w:val="001F7198"/>
    <w:rsid w:val="001F7262"/>
    <w:rsid w:val="001F747E"/>
    <w:rsid w:val="001F751F"/>
    <w:rsid w:val="001F7DE2"/>
    <w:rsid w:val="00200BAC"/>
    <w:rsid w:val="00201180"/>
    <w:rsid w:val="00201275"/>
    <w:rsid w:val="00201789"/>
    <w:rsid w:val="00202823"/>
    <w:rsid w:val="002028D2"/>
    <w:rsid w:val="002030C7"/>
    <w:rsid w:val="00204361"/>
    <w:rsid w:val="002048C6"/>
    <w:rsid w:val="00204FC3"/>
    <w:rsid w:val="00207F24"/>
    <w:rsid w:val="0021000E"/>
    <w:rsid w:val="0021251E"/>
    <w:rsid w:val="002133D4"/>
    <w:rsid w:val="002147D6"/>
    <w:rsid w:val="00215505"/>
    <w:rsid w:val="00215B94"/>
    <w:rsid w:val="00215E51"/>
    <w:rsid w:val="00216B25"/>
    <w:rsid w:val="00216E87"/>
    <w:rsid w:val="002172B6"/>
    <w:rsid w:val="00217649"/>
    <w:rsid w:val="002178CC"/>
    <w:rsid w:val="00217A8B"/>
    <w:rsid w:val="00217C7D"/>
    <w:rsid w:val="00217DB7"/>
    <w:rsid w:val="00220BB7"/>
    <w:rsid w:val="00220F00"/>
    <w:rsid w:val="00221874"/>
    <w:rsid w:val="00221BC5"/>
    <w:rsid w:val="002220E6"/>
    <w:rsid w:val="00222A17"/>
    <w:rsid w:val="00223537"/>
    <w:rsid w:val="002243B9"/>
    <w:rsid w:val="002247A5"/>
    <w:rsid w:val="00224E73"/>
    <w:rsid w:val="00225958"/>
    <w:rsid w:val="002264DE"/>
    <w:rsid w:val="00227903"/>
    <w:rsid w:val="00227B39"/>
    <w:rsid w:val="00227F08"/>
    <w:rsid w:val="00230189"/>
    <w:rsid w:val="00231541"/>
    <w:rsid w:val="002322AB"/>
    <w:rsid w:val="00232519"/>
    <w:rsid w:val="00232C9E"/>
    <w:rsid w:val="00233273"/>
    <w:rsid w:val="00233A5F"/>
    <w:rsid w:val="00234F36"/>
    <w:rsid w:val="00236139"/>
    <w:rsid w:val="002375F4"/>
    <w:rsid w:val="00237CB6"/>
    <w:rsid w:val="002422B3"/>
    <w:rsid w:val="0024267E"/>
    <w:rsid w:val="00242934"/>
    <w:rsid w:val="00243086"/>
    <w:rsid w:val="002431D6"/>
    <w:rsid w:val="0024408A"/>
    <w:rsid w:val="0024425F"/>
    <w:rsid w:val="0024428D"/>
    <w:rsid w:val="00245F04"/>
    <w:rsid w:val="00246870"/>
    <w:rsid w:val="00247381"/>
    <w:rsid w:val="002479C9"/>
    <w:rsid w:val="00247A0A"/>
    <w:rsid w:val="00247AB8"/>
    <w:rsid w:val="00247D99"/>
    <w:rsid w:val="00247E3D"/>
    <w:rsid w:val="00247E45"/>
    <w:rsid w:val="0025090C"/>
    <w:rsid w:val="00250953"/>
    <w:rsid w:val="00250C17"/>
    <w:rsid w:val="00250DB8"/>
    <w:rsid w:val="002514DD"/>
    <w:rsid w:val="002515DD"/>
    <w:rsid w:val="0025173A"/>
    <w:rsid w:val="00252627"/>
    <w:rsid w:val="00252851"/>
    <w:rsid w:val="00252CF2"/>
    <w:rsid w:val="00253BAC"/>
    <w:rsid w:val="00253F29"/>
    <w:rsid w:val="002558DC"/>
    <w:rsid w:val="00256EB4"/>
    <w:rsid w:val="00257574"/>
    <w:rsid w:val="00257CBB"/>
    <w:rsid w:val="00260D7F"/>
    <w:rsid w:val="00261600"/>
    <w:rsid w:val="00261C7A"/>
    <w:rsid w:val="002641F7"/>
    <w:rsid w:val="00264C4E"/>
    <w:rsid w:val="00264CF1"/>
    <w:rsid w:val="00266205"/>
    <w:rsid w:val="00266529"/>
    <w:rsid w:val="00266766"/>
    <w:rsid w:val="002667BD"/>
    <w:rsid w:val="0026784E"/>
    <w:rsid w:val="00270074"/>
    <w:rsid w:val="00270708"/>
    <w:rsid w:val="00270B84"/>
    <w:rsid w:val="00270C0D"/>
    <w:rsid w:val="00270C6B"/>
    <w:rsid w:val="00270C8B"/>
    <w:rsid w:val="00271066"/>
    <w:rsid w:val="00271847"/>
    <w:rsid w:val="002719D6"/>
    <w:rsid w:val="00271A96"/>
    <w:rsid w:val="00271D05"/>
    <w:rsid w:val="00271DEA"/>
    <w:rsid w:val="00272C5C"/>
    <w:rsid w:val="002731F8"/>
    <w:rsid w:val="00273700"/>
    <w:rsid w:val="0027374D"/>
    <w:rsid w:val="00273D23"/>
    <w:rsid w:val="00274608"/>
    <w:rsid w:val="00275C95"/>
    <w:rsid w:val="00276836"/>
    <w:rsid w:val="002777AA"/>
    <w:rsid w:val="002802CE"/>
    <w:rsid w:val="002806B3"/>
    <w:rsid w:val="00281B17"/>
    <w:rsid w:val="00281F1E"/>
    <w:rsid w:val="00282008"/>
    <w:rsid w:val="00282342"/>
    <w:rsid w:val="00282700"/>
    <w:rsid w:val="0028440B"/>
    <w:rsid w:val="002853F1"/>
    <w:rsid w:val="0028619E"/>
    <w:rsid w:val="002865E2"/>
    <w:rsid w:val="00286798"/>
    <w:rsid w:val="00286FB5"/>
    <w:rsid w:val="002877B5"/>
    <w:rsid w:val="002877D9"/>
    <w:rsid w:val="002879A8"/>
    <w:rsid w:val="00287DD0"/>
    <w:rsid w:val="002903E1"/>
    <w:rsid w:val="002905B2"/>
    <w:rsid w:val="0029406B"/>
    <w:rsid w:val="002944CA"/>
    <w:rsid w:val="00296E6D"/>
    <w:rsid w:val="00297928"/>
    <w:rsid w:val="002A0B07"/>
    <w:rsid w:val="002A12E6"/>
    <w:rsid w:val="002A2020"/>
    <w:rsid w:val="002A2093"/>
    <w:rsid w:val="002A340E"/>
    <w:rsid w:val="002A49CD"/>
    <w:rsid w:val="002A5BF0"/>
    <w:rsid w:val="002A7A03"/>
    <w:rsid w:val="002A7D97"/>
    <w:rsid w:val="002B0609"/>
    <w:rsid w:val="002B359B"/>
    <w:rsid w:val="002B3743"/>
    <w:rsid w:val="002B3F7B"/>
    <w:rsid w:val="002B4046"/>
    <w:rsid w:val="002B41D8"/>
    <w:rsid w:val="002B4714"/>
    <w:rsid w:val="002B481F"/>
    <w:rsid w:val="002B5954"/>
    <w:rsid w:val="002B60BF"/>
    <w:rsid w:val="002B678A"/>
    <w:rsid w:val="002C19CB"/>
    <w:rsid w:val="002C2273"/>
    <w:rsid w:val="002C2381"/>
    <w:rsid w:val="002C2661"/>
    <w:rsid w:val="002C2EAF"/>
    <w:rsid w:val="002C32FE"/>
    <w:rsid w:val="002C3885"/>
    <w:rsid w:val="002C3B12"/>
    <w:rsid w:val="002C4769"/>
    <w:rsid w:val="002C4D00"/>
    <w:rsid w:val="002C5165"/>
    <w:rsid w:val="002C6B87"/>
    <w:rsid w:val="002C712D"/>
    <w:rsid w:val="002C7432"/>
    <w:rsid w:val="002D03BF"/>
    <w:rsid w:val="002D04D6"/>
    <w:rsid w:val="002D12F2"/>
    <w:rsid w:val="002D1522"/>
    <w:rsid w:val="002D1BCE"/>
    <w:rsid w:val="002D1ED3"/>
    <w:rsid w:val="002D2369"/>
    <w:rsid w:val="002D36E1"/>
    <w:rsid w:val="002D4ABF"/>
    <w:rsid w:val="002D6B32"/>
    <w:rsid w:val="002D7D37"/>
    <w:rsid w:val="002E0CC1"/>
    <w:rsid w:val="002E1D43"/>
    <w:rsid w:val="002E3624"/>
    <w:rsid w:val="002E372F"/>
    <w:rsid w:val="002E3B10"/>
    <w:rsid w:val="002E416D"/>
    <w:rsid w:val="002E431C"/>
    <w:rsid w:val="002E468A"/>
    <w:rsid w:val="002E46CA"/>
    <w:rsid w:val="002E5053"/>
    <w:rsid w:val="002E622D"/>
    <w:rsid w:val="002E77A3"/>
    <w:rsid w:val="002F005B"/>
    <w:rsid w:val="002F0CAD"/>
    <w:rsid w:val="002F17F7"/>
    <w:rsid w:val="002F1FB9"/>
    <w:rsid w:val="002F2D8E"/>
    <w:rsid w:val="002F2F27"/>
    <w:rsid w:val="002F3337"/>
    <w:rsid w:val="002F3367"/>
    <w:rsid w:val="002F3522"/>
    <w:rsid w:val="002F3CD9"/>
    <w:rsid w:val="002F4F37"/>
    <w:rsid w:val="002F55DB"/>
    <w:rsid w:val="002F5B53"/>
    <w:rsid w:val="002F5D4A"/>
    <w:rsid w:val="002F6B28"/>
    <w:rsid w:val="002F6FC4"/>
    <w:rsid w:val="002F7533"/>
    <w:rsid w:val="002F7A0F"/>
    <w:rsid w:val="003007BB"/>
    <w:rsid w:val="00300F07"/>
    <w:rsid w:val="003020F6"/>
    <w:rsid w:val="0030239C"/>
    <w:rsid w:val="003035D0"/>
    <w:rsid w:val="003037AB"/>
    <w:rsid w:val="0030391A"/>
    <w:rsid w:val="0030489D"/>
    <w:rsid w:val="003052C6"/>
    <w:rsid w:val="0030577F"/>
    <w:rsid w:val="00305853"/>
    <w:rsid w:val="003063E9"/>
    <w:rsid w:val="00306EA3"/>
    <w:rsid w:val="00307B9C"/>
    <w:rsid w:val="00307BDF"/>
    <w:rsid w:val="0031089A"/>
    <w:rsid w:val="00310B16"/>
    <w:rsid w:val="00310ED9"/>
    <w:rsid w:val="00310F97"/>
    <w:rsid w:val="0031112A"/>
    <w:rsid w:val="00311177"/>
    <w:rsid w:val="00311718"/>
    <w:rsid w:val="00311F11"/>
    <w:rsid w:val="0031364D"/>
    <w:rsid w:val="0031458A"/>
    <w:rsid w:val="0031469F"/>
    <w:rsid w:val="00316D46"/>
    <w:rsid w:val="00316DE3"/>
    <w:rsid w:val="003173DF"/>
    <w:rsid w:val="00320C63"/>
    <w:rsid w:val="00320C86"/>
    <w:rsid w:val="00320EA1"/>
    <w:rsid w:val="003218BC"/>
    <w:rsid w:val="0032205B"/>
    <w:rsid w:val="003226D9"/>
    <w:rsid w:val="00322969"/>
    <w:rsid w:val="003232A1"/>
    <w:rsid w:val="00323C5B"/>
    <w:rsid w:val="00323D62"/>
    <w:rsid w:val="00324267"/>
    <w:rsid w:val="003244DF"/>
    <w:rsid w:val="003245AA"/>
    <w:rsid w:val="00324DCA"/>
    <w:rsid w:val="00327BF0"/>
    <w:rsid w:val="003300B2"/>
    <w:rsid w:val="00330524"/>
    <w:rsid w:val="003312E8"/>
    <w:rsid w:val="0033182B"/>
    <w:rsid w:val="00331A00"/>
    <w:rsid w:val="00332A5F"/>
    <w:rsid w:val="003335CA"/>
    <w:rsid w:val="003335FD"/>
    <w:rsid w:val="00333615"/>
    <w:rsid w:val="00333E63"/>
    <w:rsid w:val="003358A4"/>
    <w:rsid w:val="00336574"/>
    <w:rsid w:val="003365D6"/>
    <w:rsid w:val="00336950"/>
    <w:rsid w:val="0033753A"/>
    <w:rsid w:val="00337BEA"/>
    <w:rsid w:val="003411A7"/>
    <w:rsid w:val="00341871"/>
    <w:rsid w:val="00342297"/>
    <w:rsid w:val="0034257B"/>
    <w:rsid w:val="003429B6"/>
    <w:rsid w:val="00343D76"/>
    <w:rsid w:val="00344AAF"/>
    <w:rsid w:val="00345142"/>
    <w:rsid w:val="00345588"/>
    <w:rsid w:val="00345AD8"/>
    <w:rsid w:val="00345C00"/>
    <w:rsid w:val="00346EDD"/>
    <w:rsid w:val="00347254"/>
    <w:rsid w:val="00347AAD"/>
    <w:rsid w:val="00347D41"/>
    <w:rsid w:val="00347FEF"/>
    <w:rsid w:val="00350420"/>
    <w:rsid w:val="003512BD"/>
    <w:rsid w:val="00352337"/>
    <w:rsid w:val="00352CA2"/>
    <w:rsid w:val="00353BF5"/>
    <w:rsid w:val="00354183"/>
    <w:rsid w:val="00354B9E"/>
    <w:rsid w:val="00354CB6"/>
    <w:rsid w:val="003558CF"/>
    <w:rsid w:val="003559AE"/>
    <w:rsid w:val="00355CFD"/>
    <w:rsid w:val="0035760C"/>
    <w:rsid w:val="00357E87"/>
    <w:rsid w:val="00357F17"/>
    <w:rsid w:val="0036057A"/>
    <w:rsid w:val="00361334"/>
    <w:rsid w:val="00361736"/>
    <w:rsid w:val="0036238E"/>
    <w:rsid w:val="003625EF"/>
    <w:rsid w:val="00362ADE"/>
    <w:rsid w:val="00362F34"/>
    <w:rsid w:val="003640AA"/>
    <w:rsid w:val="00364246"/>
    <w:rsid w:val="00364AFE"/>
    <w:rsid w:val="0037017A"/>
    <w:rsid w:val="00370550"/>
    <w:rsid w:val="003718D1"/>
    <w:rsid w:val="003719C2"/>
    <w:rsid w:val="00371B11"/>
    <w:rsid w:val="003729E4"/>
    <w:rsid w:val="00372A98"/>
    <w:rsid w:val="00373A0D"/>
    <w:rsid w:val="00374023"/>
    <w:rsid w:val="00374817"/>
    <w:rsid w:val="003751FD"/>
    <w:rsid w:val="00375B32"/>
    <w:rsid w:val="00375D3C"/>
    <w:rsid w:val="00376898"/>
    <w:rsid w:val="00376CB7"/>
    <w:rsid w:val="00377103"/>
    <w:rsid w:val="003804AE"/>
    <w:rsid w:val="003816D0"/>
    <w:rsid w:val="00381D90"/>
    <w:rsid w:val="00382020"/>
    <w:rsid w:val="0038250C"/>
    <w:rsid w:val="00382679"/>
    <w:rsid w:val="00382BDE"/>
    <w:rsid w:val="00382CE9"/>
    <w:rsid w:val="003831E6"/>
    <w:rsid w:val="003832BE"/>
    <w:rsid w:val="0038355E"/>
    <w:rsid w:val="00383A93"/>
    <w:rsid w:val="00383E99"/>
    <w:rsid w:val="00384AB5"/>
    <w:rsid w:val="003860A1"/>
    <w:rsid w:val="00387768"/>
    <w:rsid w:val="00390828"/>
    <w:rsid w:val="00391558"/>
    <w:rsid w:val="003915EC"/>
    <w:rsid w:val="00391A66"/>
    <w:rsid w:val="00392172"/>
    <w:rsid w:val="0039298D"/>
    <w:rsid w:val="003931C2"/>
    <w:rsid w:val="00393560"/>
    <w:rsid w:val="003937D6"/>
    <w:rsid w:val="00393BAD"/>
    <w:rsid w:val="003941B7"/>
    <w:rsid w:val="003946EE"/>
    <w:rsid w:val="00394C94"/>
    <w:rsid w:val="003958FA"/>
    <w:rsid w:val="003966AF"/>
    <w:rsid w:val="003971FB"/>
    <w:rsid w:val="00397BA8"/>
    <w:rsid w:val="00397DBA"/>
    <w:rsid w:val="00397E01"/>
    <w:rsid w:val="003A02DE"/>
    <w:rsid w:val="003A036F"/>
    <w:rsid w:val="003A0ABB"/>
    <w:rsid w:val="003A0AF5"/>
    <w:rsid w:val="003A0D9D"/>
    <w:rsid w:val="003A162C"/>
    <w:rsid w:val="003A324E"/>
    <w:rsid w:val="003A34E5"/>
    <w:rsid w:val="003A35A8"/>
    <w:rsid w:val="003A430B"/>
    <w:rsid w:val="003A4A44"/>
    <w:rsid w:val="003A5809"/>
    <w:rsid w:val="003A5D64"/>
    <w:rsid w:val="003A5E9A"/>
    <w:rsid w:val="003A5FA6"/>
    <w:rsid w:val="003A6574"/>
    <w:rsid w:val="003A666A"/>
    <w:rsid w:val="003A71AC"/>
    <w:rsid w:val="003A73C7"/>
    <w:rsid w:val="003B07CF"/>
    <w:rsid w:val="003B258A"/>
    <w:rsid w:val="003B29E6"/>
    <w:rsid w:val="003B2F96"/>
    <w:rsid w:val="003B41A9"/>
    <w:rsid w:val="003B4E52"/>
    <w:rsid w:val="003B5156"/>
    <w:rsid w:val="003B52F5"/>
    <w:rsid w:val="003B5B0A"/>
    <w:rsid w:val="003B7B28"/>
    <w:rsid w:val="003C048E"/>
    <w:rsid w:val="003C052D"/>
    <w:rsid w:val="003C080C"/>
    <w:rsid w:val="003C0837"/>
    <w:rsid w:val="003C0C02"/>
    <w:rsid w:val="003C113A"/>
    <w:rsid w:val="003C1BBB"/>
    <w:rsid w:val="003C1D10"/>
    <w:rsid w:val="003C2441"/>
    <w:rsid w:val="003C259E"/>
    <w:rsid w:val="003C4559"/>
    <w:rsid w:val="003C45B6"/>
    <w:rsid w:val="003C47CD"/>
    <w:rsid w:val="003C4FC6"/>
    <w:rsid w:val="003C576A"/>
    <w:rsid w:val="003C579A"/>
    <w:rsid w:val="003C722C"/>
    <w:rsid w:val="003D092F"/>
    <w:rsid w:val="003D2127"/>
    <w:rsid w:val="003D2ED9"/>
    <w:rsid w:val="003D32A7"/>
    <w:rsid w:val="003D3435"/>
    <w:rsid w:val="003D362E"/>
    <w:rsid w:val="003D36C2"/>
    <w:rsid w:val="003D3FB5"/>
    <w:rsid w:val="003D480E"/>
    <w:rsid w:val="003D4EA2"/>
    <w:rsid w:val="003D528D"/>
    <w:rsid w:val="003D5820"/>
    <w:rsid w:val="003D7696"/>
    <w:rsid w:val="003D7B3D"/>
    <w:rsid w:val="003E01F3"/>
    <w:rsid w:val="003E12BA"/>
    <w:rsid w:val="003E189A"/>
    <w:rsid w:val="003E20B1"/>
    <w:rsid w:val="003E258E"/>
    <w:rsid w:val="003E3C93"/>
    <w:rsid w:val="003E4814"/>
    <w:rsid w:val="003E4E3C"/>
    <w:rsid w:val="003E5717"/>
    <w:rsid w:val="003E5D7F"/>
    <w:rsid w:val="003E6026"/>
    <w:rsid w:val="003E63AC"/>
    <w:rsid w:val="003E6E16"/>
    <w:rsid w:val="003E6E51"/>
    <w:rsid w:val="003E72F0"/>
    <w:rsid w:val="003E769A"/>
    <w:rsid w:val="003E7A37"/>
    <w:rsid w:val="003F1105"/>
    <w:rsid w:val="003F11FE"/>
    <w:rsid w:val="003F156A"/>
    <w:rsid w:val="003F1DFD"/>
    <w:rsid w:val="003F259E"/>
    <w:rsid w:val="003F3590"/>
    <w:rsid w:val="003F4225"/>
    <w:rsid w:val="003F4700"/>
    <w:rsid w:val="003F4E9A"/>
    <w:rsid w:val="003F519A"/>
    <w:rsid w:val="003F53F9"/>
    <w:rsid w:val="003F78CB"/>
    <w:rsid w:val="003F7D9E"/>
    <w:rsid w:val="0040081B"/>
    <w:rsid w:val="00400E1B"/>
    <w:rsid w:val="00401341"/>
    <w:rsid w:val="004018A5"/>
    <w:rsid w:val="00402EA4"/>
    <w:rsid w:val="00403788"/>
    <w:rsid w:val="00403FEB"/>
    <w:rsid w:val="00404FD9"/>
    <w:rsid w:val="00405B82"/>
    <w:rsid w:val="00406FE4"/>
    <w:rsid w:val="004105FC"/>
    <w:rsid w:val="00410981"/>
    <w:rsid w:val="00413709"/>
    <w:rsid w:val="00413AC8"/>
    <w:rsid w:val="004147E3"/>
    <w:rsid w:val="00414EDD"/>
    <w:rsid w:val="00415406"/>
    <w:rsid w:val="00415BE3"/>
    <w:rsid w:val="0041626A"/>
    <w:rsid w:val="004178E9"/>
    <w:rsid w:val="00417D92"/>
    <w:rsid w:val="00420AED"/>
    <w:rsid w:val="00421EE9"/>
    <w:rsid w:val="00422DC5"/>
    <w:rsid w:val="00423DC8"/>
    <w:rsid w:val="0042461E"/>
    <w:rsid w:val="004248D4"/>
    <w:rsid w:val="00425305"/>
    <w:rsid w:val="00425EBA"/>
    <w:rsid w:val="004262E5"/>
    <w:rsid w:val="004262EA"/>
    <w:rsid w:val="00426826"/>
    <w:rsid w:val="00426DA2"/>
    <w:rsid w:val="004312DF"/>
    <w:rsid w:val="0043133B"/>
    <w:rsid w:val="004318D8"/>
    <w:rsid w:val="00432B52"/>
    <w:rsid w:val="00433E8B"/>
    <w:rsid w:val="00434A46"/>
    <w:rsid w:val="00434BB5"/>
    <w:rsid w:val="00435167"/>
    <w:rsid w:val="0043530A"/>
    <w:rsid w:val="00435621"/>
    <w:rsid w:val="00436659"/>
    <w:rsid w:val="00436A14"/>
    <w:rsid w:val="00437039"/>
    <w:rsid w:val="004401DD"/>
    <w:rsid w:val="004410C0"/>
    <w:rsid w:val="00441127"/>
    <w:rsid w:val="00441191"/>
    <w:rsid w:val="00441BFC"/>
    <w:rsid w:val="00441EFE"/>
    <w:rsid w:val="00442F84"/>
    <w:rsid w:val="00443316"/>
    <w:rsid w:val="004441E4"/>
    <w:rsid w:val="0044472A"/>
    <w:rsid w:val="0044546A"/>
    <w:rsid w:val="004455DE"/>
    <w:rsid w:val="00445EF1"/>
    <w:rsid w:val="0044691F"/>
    <w:rsid w:val="0044702D"/>
    <w:rsid w:val="0044722B"/>
    <w:rsid w:val="004508D1"/>
    <w:rsid w:val="004509E1"/>
    <w:rsid w:val="00450F57"/>
    <w:rsid w:val="0045249D"/>
    <w:rsid w:val="00452C71"/>
    <w:rsid w:val="0045315D"/>
    <w:rsid w:val="004536E8"/>
    <w:rsid w:val="00453F23"/>
    <w:rsid w:val="004542C6"/>
    <w:rsid w:val="0045556E"/>
    <w:rsid w:val="0045570B"/>
    <w:rsid w:val="0045713C"/>
    <w:rsid w:val="00457E21"/>
    <w:rsid w:val="004608E4"/>
    <w:rsid w:val="00460EED"/>
    <w:rsid w:val="00461BFA"/>
    <w:rsid w:val="00461DDC"/>
    <w:rsid w:val="0046206E"/>
    <w:rsid w:val="0046241D"/>
    <w:rsid w:val="00463B75"/>
    <w:rsid w:val="00464232"/>
    <w:rsid w:val="0046489A"/>
    <w:rsid w:val="00464A9B"/>
    <w:rsid w:val="00465ACD"/>
    <w:rsid w:val="00465FA8"/>
    <w:rsid w:val="00467533"/>
    <w:rsid w:val="004704AC"/>
    <w:rsid w:val="00470A00"/>
    <w:rsid w:val="00470D1B"/>
    <w:rsid w:val="0047241D"/>
    <w:rsid w:val="00472E80"/>
    <w:rsid w:val="00472FB7"/>
    <w:rsid w:val="004739F1"/>
    <w:rsid w:val="00473F48"/>
    <w:rsid w:val="00476CBD"/>
    <w:rsid w:val="004778BE"/>
    <w:rsid w:val="00480320"/>
    <w:rsid w:val="004805FB"/>
    <w:rsid w:val="00480628"/>
    <w:rsid w:val="004806CD"/>
    <w:rsid w:val="0048194C"/>
    <w:rsid w:val="00481FF4"/>
    <w:rsid w:val="00482FED"/>
    <w:rsid w:val="0048408E"/>
    <w:rsid w:val="0048425B"/>
    <w:rsid w:val="00484FF5"/>
    <w:rsid w:val="004856BE"/>
    <w:rsid w:val="004862C8"/>
    <w:rsid w:val="004867EC"/>
    <w:rsid w:val="004874C1"/>
    <w:rsid w:val="00490CBF"/>
    <w:rsid w:val="0049161D"/>
    <w:rsid w:val="00491B6C"/>
    <w:rsid w:val="004928DA"/>
    <w:rsid w:val="004930D4"/>
    <w:rsid w:val="0049315B"/>
    <w:rsid w:val="00494C97"/>
    <w:rsid w:val="00495433"/>
    <w:rsid w:val="004955BC"/>
    <w:rsid w:val="0049577B"/>
    <w:rsid w:val="0049580D"/>
    <w:rsid w:val="00495854"/>
    <w:rsid w:val="0049625F"/>
    <w:rsid w:val="0049712B"/>
    <w:rsid w:val="0049742B"/>
    <w:rsid w:val="00497A14"/>
    <w:rsid w:val="004A025A"/>
    <w:rsid w:val="004A0314"/>
    <w:rsid w:val="004A0467"/>
    <w:rsid w:val="004A0BEB"/>
    <w:rsid w:val="004A0FB7"/>
    <w:rsid w:val="004A0FBA"/>
    <w:rsid w:val="004A37FE"/>
    <w:rsid w:val="004A3AF6"/>
    <w:rsid w:val="004A3FD6"/>
    <w:rsid w:val="004A5059"/>
    <w:rsid w:val="004A713D"/>
    <w:rsid w:val="004A7322"/>
    <w:rsid w:val="004A73E1"/>
    <w:rsid w:val="004A7DE2"/>
    <w:rsid w:val="004B01E4"/>
    <w:rsid w:val="004B0796"/>
    <w:rsid w:val="004B0986"/>
    <w:rsid w:val="004B3132"/>
    <w:rsid w:val="004B3566"/>
    <w:rsid w:val="004B374F"/>
    <w:rsid w:val="004B3B97"/>
    <w:rsid w:val="004B460A"/>
    <w:rsid w:val="004B4EA7"/>
    <w:rsid w:val="004B5014"/>
    <w:rsid w:val="004B6109"/>
    <w:rsid w:val="004B67CC"/>
    <w:rsid w:val="004B6920"/>
    <w:rsid w:val="004B6D04"/>
    <w:rsid w:val="004B6F26"/>
    <w:rsid w:val="004B7249"/>
    <w:rsid w:val="004B7452"/>
    <w:rsid w:val="004B7607"/>
    <w:rsid w:val="004C10EA"/>
    <w:rsid w:val="004C2081"/>
    <w:rsid w:val="004C242F"/>
    <w:rsid w:val="004C2B1F"/>
    <w:rsid w:val="004C3291"/>
    <w:rsid w:val="004C3D84"/>
    <w:rsid w:val="004C4CA4"/>
    <w:rsid w:val="004C4FF3"/>
    <w:rsid w:val="004C579A"/>
    <w:rsid w:val="004C595C"/>
    <w:rsid w:val="004C5A99"/>
    <w:rsid w:val="004C6F62"/>
    <w:rsid w:val="004C78C6"/>
    <w:rsid w:val="004D0754"/>
    <w:rsid w:val="004D2892"/>
    <w:rsid w:val="004D42B2"/>
    <w:rsid w:val="004D58D8"/>
    <w:rsid w:val="004D5D10"/>
    <w:rsid w:val="004D5F49"/>
    <w:rsid w:val="004D6054"/>
    <w:rsid w:val="004D6127"/>
    <w:rsid w:val="004D6F7D"/>
    <w:rsid w:val="004D728E"/>
    <w:rsid w:val="004D740A"/>
    <w:rsid w:val="004E00E8"/>
    <w:rsid w:val="004E0210"/>
    <w:rsid w:val="004E065A"/>
    <w:rsid w:val="004E0F2F"/>
    <w:rsid w:val="004E12ED"/>
    <w:rsid w:val="004E20FB"/>
    <w:rsid w:val="004E2424"/>
    <w:rsid w:val="004E3333"/>
    <w:rsid w:val="004E3800"/>
    <w:rsid w:val="004E3DA5"/>
    <w:rsid w:val="004E3F6D"/>
    <w:rsid w:val="004E4C0A"/>
    <w:rsid w:val="004F0240"/>
    <w:rsid w:val="004F0AA4"/>
    <w:rsid w:val="004F1F2C"/>
    <w:rsid w:val="004F2756"/>
    <w:rsid w:val="004F405C"/>
    <w:rsid w:val="004F4616"/>
    <w:rsid w:val="004F51AF"/>
    <w:rsid w:val="004F59CF"/>
    <w:rsid w:val="004F604A"/>
    <w:rsid w:val="004F744F"/>
    <w:rsid w:val="00503772"/>
    <w:rsid w:val="00503B4F"/>
    <w:rsid w:val="00504CE2"/>
    <w:rsid w:val="0050792C"/>
    <w:rsid w:val="00510EC4"/>
    <w:rsid w:val="00511E61"/>
    <w:rsid w:val="005123DF"/>
    <w:rsid w:val="00512B98"/>
    <w:rsid w:val="00513156"/>
    <w:rsid w:val="00513212"/>
    <w:rsid w:val="0051414C"/>
    <w:rsid w:val="00514A62"/>
    <w:rsid w:val="00515355"/>
    <w:rsid w:val="005157A1"/>
    <w:rsid w:val="00515E94"/>
    <w:rsid w:val="00516170"/>
    <w:rsid w:val="0051689A"/>
    <w:rsid w:val="0051745B"/>
    <w:rsid w:val="0051771C"/>
    <w:rsid w:val="00520032"/>
    <w:rsid w:val="0052049C"/>
    <w:rsid w:val="00521131"/>
    <w:rsid w:val="005213A1"/>
    <w:rsid w:val="00521481"/>
    <w:rsid w:val="00521497"/>
    <w:rsid w:val="00521DB7"/>
    <w:rsid w:val="0052246D"/>
    <w:rsid w:val="00522783"/>
    <w:rsid w:val="00522CC1"/>
    <w:rsid w:val="005231CF"/>
    <w:rsid w:val="005235AA"/>
    <w:rsid w:val="00523AAC"/>
    <w:rsid w:val="005242EB"/>
    <w:rsid w:val="00524803"/>
    <w:rsid w:val="00524C9F"/>
    <w:rsid w:val="00525A61"/>
    <w:rsid w:val="00525DBA"/>
    <w:rsid w:val="00525E40"/>
    <w:rsid w:val="005271D4"/>
    <w:rsid w:val="00530FC0"/>
    <w:rsid w:val="00531970"/>
    <w:rsid w:val="00531D40"/>
    <w:rsid w:val="00532881"/>
    <w:rsid w:val="00532E12"/>
    <w:rsid w:val="00533039"/>
    <w:rsid w:val="0053395C"/>
    <w:rsid w:val="00535971"/>
    <w:rsid w:val="00535EAB"/>
    <w:rsid w:val="0053684C"/>
    <w:rsid w:val="005370ED"/>
    <w:rsid w:val="005371B1"/>
    <w:rsid w:val="005400CD"/>
    <w:rsid w:val="00540BD4"/>
    <w:rsid w:val="0054265E"/>
    <w:rsid w:val="00542695"/>
    <w:rsid w:val="005440A6"/>
    <w:rsid w:val="005441DA"/>
    <w:rsid w:val="00545AA0"/>
    <w:rsid w:val="00546107"/>
    <w:rsid w:val="0054625E"/>
    <w:rsid w:val="00546A72"/>
    <w:rsid w:val="00546FFE"/>
    <w:rsid w:val="0055087F"/>
    <w:rsid w:val="00550DD8"/>
    <w:rsid w:val="00551D52"/>
    <w:rsid w:val="005525FD"/>
    <w:rsid w:val="0055286B"/>
    <w:rsid w:val="005528A6"/>
    <w:rsid w:val="00552957"/>
    <w:rsid w:val="0055380A"/>
    <w:rsid w:val="00554572"/>
    <w:rsid w:val="00554729"/>
    <w:rsid w:val="0055505D"/>
    <w:rsid w:val="005552BA"/>
    <w:rsid w:val="0055542E"/>
    <w:rsid w:val="0055615F"/>
    <w:rsid w:val="0055784C"/>
    <w:rsid w:val="005600A0"/>
    <w:rsid w:val="005604A5"/>
    <w:rsid w:val="00562202"/>
    <w:rsid w:val="0056227C"/>
    <w:rsid w:val="00562E7B"/>
    <w:rsid w:val="00563369"/>
    <w:rsid w:val="005635F9"/>
    <w:rsid w:val="00563A2E"/>
    <w:rsid w:val="0056471B"/>
    <w:rsid w:val="00564AD8"/>
    <w:rsid w:val="005651F4"/>
    <w:rsid w:val="00565C31"/>
    <w:rsid w:val="00565DFB"/>
    <w:rsid w:val="00565F46"/>
    <w:rsid w:val="0056735D"/>
    <w:rsid w:val="00567BB5"/>
    <w:rsid w:val="00570147"/>
    <w:rsid w:val="00570DCC"/>
    <w:rsid w:val="0057162D"/>
    <w:rsid w:val="005718C4"/>
    <w:rsid w:val="00573784"/>
    <w:rsid w:val="00573CF6"/>
    <w:rsid w:val="005744DD"/>
    <w:rsid w:val="0057463C"/>
    <w:rsid w:val="00574AA5"/>
    <w:rsid w:val="00575E77"/>
    <w:rsid w:val="00576A82"/>
    <w:rsid w:val="00576EBA"/>
    <w:rsid w:val="00577251"/>
    <w:rsid w:val="00583619"/>
    <w:rsid w:val="00583D81"/>
    <w:rsid w:val="00583E4A"/>
    <w:rsid w:val="0058570F"/>
    <w:rsid w:val="00585BD0"/>
    <w:rsid w:val="00586B96"/>
    <w:rsid w:val="00587501"/>
    <w:rsid w:val="00587AF2"/>
    <w:rsid w:val="00591215"/>
    <w:rsid w:val="00592781"/>
    <w:rsid w:val="005928EE"/>
    <w:rsid w:val="005933CE"/>
    <w:rsid w:val="00594172"/>
    <w:rsid w:val="00594262"/>
    <w:rsid w:val="00594612"/>
    <w:rsid w:val="005946D0"/>
    <w:rsid w:val="00594CBC"/>
    <w:rsid w:val="005967B8"/>
    <w:rsid w:val="00596A59"/>
    <w:rsid w:val="005A0028"/>
    <w:rsid w:val="005A00FE"/>
    <w:rsid w:val="005A1693"/>
    <w:rsid w:val="005A191B"/>
    <w:rsid w:val="005A1A10"/>
    <w:rsid w:val="005A241C"/>
    <w:rsid w:val="005A3CE4"/>
    <w:rsid w:val="005A4A3A"/>
    <w:rsid w:val="005A574F"/>
    <w:rsid w:val="005A5D70"/>
    <w:rsid w:val="005A64D0"/>
    <w:rsid w:val="005B2487"/>
    <w:rsid w:val="005B381F"/>
    <w:rsid w:val="005B38BC"/>
    <w:rsid w:val="005B4FEF"/>
    <w:rsid w:val="005B5B56"/>
    <w:rsid w:val="005B6104"/>
    <w:rsid w:val="005B7932"/>
    <w:rsid w:val="005C05A3"/>
    <w:rsid w:val="005C067C"/>
    <w:rsid w:val="005C17E4"/>
    <w:rsid w:val="005C387F"/>
    <w:rsid w:val="005C401F"/>
    <w:rsid w:val="005C402D"/>
    <w:rsid w:val="005C4D7D"/>
    <w:rsid w:val="005C501C"/>
    <w:rsid w:val="005C5D10"/>
    <w:rsid w:val="005C5D66"/>
    <w:rsid w:val="005C5FC2"/>
    <w:rsid w:val="005C65CE"/>
    <w:rsid w:val="005C7A58"/>
    <w:rsid w:val="005C7A68"/>
    <w:rsid w:val="005C7FD9"/>
    <w:rsid w:val="005D0CBA"/>
    <w:rsid w:val="005D0D34"/>
    <w:rsid w:val="005D14F7"/>
    <w:rsid w:val="005D2D4A"/>
    <w:rsid w:val="005D31F5"/>
    <w:rsid w:val="005D3CE8"/>
    <w:rsid w:val="005D4150"/>
    <w:rsid w:val="005D46CA"/>
    <w:rsid w:val="005D693A"/>
    <w:rsid w:val="005D7C21"/>
    <w:rsid w:val="005D7DA9"/>
    <w:rsid w:val="005E05C2"/>
    <w:rsid w:val="005E1190"/>
    <w:rsid w:val="005E11FF"/>
    <w:rsid w:val="005E1AC1"/>
    <w:rsid w:val="005E1F0D"/>
    <w:rsid w:val="005E3E40"/>
    <w:rsid w:val="005E4DFC"/>
    <w:rsid w:val="005E6558"/>
    <w:rsid w:val="005E66FA"/>
    <w:rsid w:val="005F021B"/>
    <w:rsid w:val="005F1040"/>
    <w:rsid w:val="005F17E9"/>
    <w:rsid w:val="005F199D"/>
    <w:rsid w:val="005F21E9"/>
    <w:rsid w:val="005F29FD"/>
    <w:rsid w:val="005F2A49"/>
    <w:rsid w:val="005F30AD"/>
    <w:rsid w:val="005F45F5"/>
    <w:rsid w:val="005F4E34"/>
    <w:rsid w:val="005F4F5E"/>
    <w:rsid w:val="005F5B39"/>
    <w:rsid w:val="005F5F3F"/>
    <w:rsid w:val="005F638B"/>
    <w:rsid w:val="005F68D7"/>
    <w:rsid w:val="005F7208"/>
    <w:rsid w:val="005F75F1"/>
    <w:rsid w:val="005F77DA"/>
    <w:rsid w:val="006001A4"/>
    <w:rsid w:val="0060097B"/>
    <w:rsid w:val="00600DE8"/>
    <w:rsid w:val="006019D6"/>
    <w:rsid w:val="006020C4"/>
    <w:rsid w:val="0060301D"/>
    <w:rsid w:val="0060304A"/>
    <w:rsid w:val="006041F7"/>
    <w:rsid w:val="00604430"/>
    <w:rsid w:val="0060450B"/>
    <w:rsid w:val="00605150"/>
    <w:rsid w:val="00605174"/>
    <w:rsid w:val="00605909"/>
    <w:rsid w:val="006062FF"/>
    <w:rsid w:val="00606B77"/>
    <w:rsid w:val="00607430"/>
    <w:rsid w:val="00607D32"/>
    <w:rsid w:val="0061160A"/>
    <w:rsid w:val="00611A7A"/>
    <w:rsid w:val="00612061"/>
    <w:rsid w:val="00614A8A"/>
    <w:rsid w:val="006163F5"/>
    <w:rsid w:val="00617C02"/>
    <w:rsid w:val="00620A81"/>
    <w:rsid w:val="00620E88"/>
    <w:rsid w:val="00621206"/>
    <w:rsid w:val="00622054"/>
    <w:rsid w:val="006241B0"/>
    <w:rsid w:val="00624410"/>
    <w:rsid w:val="00625762"/>
    <w:rsid w:val="00626BB0"/>
    <w:rsid w:val="0062756B"/>
    <w:rsid w:val="00627685"/>
    <w:rsid w:val="00630062"/>
    <w:rsid w:val="006307F9"/>
    <w:rsid w:val="00630879"/>
    <w:rsid w:val="00630991"/>
    <w:rsid w:val="00630BFD"/>
    <w:rsid w:val="00630C5D"/>
    <w:rsid w:val="00630CB8"/>
    <w:rsid w:val="006312AD"/>
    <w:rsid w:val="00631E58"/>
    <w:rsid w:val="006328D3"/>
    <w:rsid w:val="006329AB"/>
    <w:rsid w:val="00632E95"/>
    <w:rsid w:val="00633221"/>
    <w:rsid w:val="006340A3"/>
    <w:rsid w:val="00634B9A"/>
    <w:rsid w:val="0063644F"/>
    <w:rsid w:val="006366C6"/>
    <w:rsid w:val="00636A03"/>
    <w:rsid w:val="00636F19"/>
    <w:rsid w:val="0063725A"/>
    <w:rsid w:val="0063739D"/>
    <w:rsid w:val="00640AF5"/>
    <w:rsid w:val="00640B1D"/>
    <w:rsid w:val="006414F6"/>
    <w:rsid w:val="00641586"/>
    <w:rsid w:val="006415A7"/>
    <w:rsid w:val="00643728"/>
    <w:rsid w:val="006447AC"/>
    <w:rsid w:val="006447B6"/>
    <w:rsid w:val="00645BD7"/>
    <w:rsid w:val="0064728B"/>
    <w:rsid w:val="00647398"/>
    <w:rsid w:val="006474CD"/>
    <w:rsid w:val="006479A3"/>
    <w:rsid w:val="00647B09"/>
    <w:rsid w:val="00650237"/>
    <w:rsid w:val="00650519"/>
    <w:rsid w:val="00651405"/>
    <w:rsid w:val="00652031"/>
    <w:rsid w:val="0065399A"/>
    <w:rsid w:val="00653B86"/>
    <w:rsid w:val="00653F86"/>
    <w:rsid w:val="00654706"/>
    <w:rsid w:val="0065471B"/>
    <w:rsid w:val="006557DD"/>
    <w:rsid w:val="006558D1"/>
    <w:rsid w:val="00655AA8"/>
    <w:rsid w:val="00656018"/>
    <w:rsid w:val="0065662C"/>
    <w:rsid w:val="0065668E"/>
    <w:rsid w:val="00660158"/>
    <w:rsid w:val="0066180B"/>
    <w:rsid w:val="00661A87"/>
    <w:rsid w:val="00661D72"/>
    <w:rsid w:val="0066237C"/>
    <w:rsid w:val="00662616"/>
    <w:rsid w:val="00662B40"/>
    <w:rsid w:val="00663CD5"/>
    <w:rsid w:val="00663D57"/>
    <w:rsid w:val="0066400A"/>
    <w:rsid w:val="00664861"/>
    <w:rsid w:val="00665358"/>
    <w:rsid w:val="006657B1"/>
    <w:rsid w:val="00666217"/>
    <w:rsid w:val="00666416"/>
    <w:rsid w:val="006665D0"/>
    <w:rsid w:val="00667213"/>
    <w:rsid w:val="00667958"/>
    <w:rsid w:val="006705C4"/>
    <w:rsid w:val="00673774"/>
    <w:rsid w:val="00673BD3"/>
    <w:rsid w:val="00673D73"/>
    <w:rsid w:val="00673EF6"/>
    <w:rsid w:val="006746FD"/>
    <w:rsid w:val="00674862"/>
    <w:rsid w:val="00675185"/>
    <w:rsid w:val="0067585D"/>
    <w:rsid w:val="00675CAF"/>
    <w:rsid w:val="006776A1"/>
    <w:rsid w:val="00680037"/>
    <w:rsid w:val="006806BE"/>
    <w:rsid w:val="00680A42"/>
    <w:rsid w:val="00681133"/>
    <w:rsid w:val="00681A4C"/>
    <w:rsid w:val="00681E52"/>
    <w:rsid w:val="00681E5D"/>
    <w:rsid w:val="00682A62"/>
    <w:rsid w:val="00683160"/>
    <w:rsid w:val="006837CF"/>
    <w:rsid w:val="00683866"/>
    <w:rsid w:val="006841CE"/>
    <w:rsid w:val="00684574"/>
    <w:rsid w:val="00684647"/>
    <w:rsid w:val="0068573C"/>
    <w:rsid w:val="006857A7"/>
    <w:rsid w:val="00686AF3"/>
    <w:rsid w:val="00686B8D"/>
    <w:rsid w:val="006876C1"/>
    <w:rsid w:val="006876DD"/>
    <w:rsid w:val="006902EE"/>
    <w:rsid w:val="0069090E"/>
    <w:rsid w:val="00690D69"/>
    <w:rsid w:val="00690F2D"/>
    <w:rsid w:val="006918A1"/>
    <w:rsid w:val="00691B39"/>
    <w:rsid w:val="006926E6"/>
    <w:rsid w:val="00692AF2"/>
    <w:rsid w:val="00692E46"/>
    <w:rsid w:val="006931F3"/>
    <w:rsid w:val="006939C6"/>
    <w:rsid w:val="00693E00"/>
    <w:rsid w:val="0069449C"/>
    <w:rsid w:val="006944FB"/>
    <w:rsid w:val="00694994"/>
    <w:rsid w:val="00696273"/>
    <w:rsid w:val="00696774"/>
    <w:rsid w:val="00696C3F"/>
    <w:rsid w:val="00697110"/>
    <w:rsid w:val="006A0C84"/>
    <w:rsid w:val="006A10DD"/>
    <w:rsid w:val="006A208E"/>
    <w:rsid w:val="006A3B4B"/>
    <w:rsid w:val="006A427B"/>
    <w:rsid w:val="006A4E17"/>
    <w:rsid w:val="006A4FF5"/>
    <w:rsid w:val="006A5121"/>
    <w:rsid w:val="006A5194"/>
    <w:rsid w:val="006A54E4"/>
    <w:rsid w:val="006A5575"/>
    <w:rsid w:val="006A560C"/>
    <w:rsid w:val="006A5F73"/>
    <w:rsid w:val="006A710D"/>
    <w:rsid w:val="006A7443"/>
    <w:rsid w:val="006B0F38"/>
    <w:rsid w:val="006B1355"/>
    <w:rsid w:val="006B2CD8"/>
    <w:rsid w:val="006B2EE7"/>
    <w:rsid w:val="006B321F"/>
    <w:rsid w:val="006B3FE8"/>
    <w:rsid w:val="006B460D"/>
    <w:rsid w:val="006B6113"/>
    <w:rsid w:val="006C093F"/>
    <w:rsid w:val="006C1796"/>
    <w:rsid w:val="006C2427"/>
    <w:rsid w:val="006C3AEE"/>
    <w:rsid w:val="006C3E7A"/>
    <w:rsid w:val="006C4E75"/>
    <w:rsid w:val="006C5DDD"/>
    <w:rsid w:val="006C6649"/>
    <w:rsid w:val="006D02DB"/>
    <w:rsid w:val="006D0802"/>
    <w:rsid w:val="006D0DD5"/>
    <w:rsid w:val="006D1EA6"/>
    <w:rsid w:val="006D2A51"/>
    <w:rsid w:val="006D2CCC"/>
    <w:rsid w:val="006D3613"/>
    <w:rsid w:val="006D36C6"/>
    <w:rsid w:val="006D46B6"/>
    <w:rsid w:val="006D475B"/>
    <w:rsid w:val="006D4769"/>
    <w:rsid w:val="006D4C18"/>
    <w:rsid w:val="006D5034"/>
    <w:rsid w:val="006D570B"/>
    <w:rsid w:val="006D64C6"/>
    <w:rsid w:val="006D672D"/>
    <w:rsid w:val="006D69ED"/>
    <w:rsid w:val="006D7A30"/>
    <w:rsid w:val="006E0BD7"/>
    <w:rsid w:val="006E29ED"/>
    <w:rsid w:val="006E2FEB"/>
    <w:rsid w:val="006E302A"/>
    <w:rsid w:val="006E37BF"/>
    <w:rsid w:val="006E3878"/>
    <w:rsid w:val="006E3993"/>
    <w:rsid w:val="006E3FED"/>
    <w:rsid w:val="006E408A"/>
    <w:rsid w:val="006E4243"/>
    <w:rsid w:val="006E4775"/>
    <w:rsid w:val="006E5C06"/>
    <w:rsid w:val="006E5E33"/>
    <w:rsid w:val="006E614D"/>
    <w:rsid w:val="006E669B"/>
    <w:rsid w:val="006E6759"/>
    <w:rsid w:val="006E6D39"/>
    <w:rsid w:val="006E7277"/>
    <w:rsid w:val="006E779A"/>
    <w:rsid w:val="006F0477"/>
    <w:rsid w:val="006F0952"/>
    <w:rsid w:val="006F1B83"/>
    <w:rsid w:val="006F401B"/>
    <w:rsid w:val="006F4202"/>
    <w:rsid w:val="006F4335"/>
    <w:rsid w:val="006F5A87"/>
    <w:rsid w:val="006F6080"/>
    <w:rsid w:val="006F63BC"/>
    <w:rsid w:val="006F6504"/>
    <w:rsid w:val="006F65DF"/>
    <w:rsid w:val="006F6EC1"/>
    <w:rsid w:val="006F73C1"/>
    <w:rsid w:val="00701D34"/>
    <w:rsid w:val="00704AB3"/>
    <w:rsid w:val="00704DBD"/>
    <w:rsid w:val="00705C52"/>
    <w:rsid w:val="00705F16"/>
    <w:rsid w:val="0070609A"/>
    <w:rsid w:val="00707632"/>
    <w:rsid w:val="007102AC"/>
    <w:rsid w:val="007109DD"/>
    <w:rsid w:val="00710D08"/>
    <w:rsid w:val="00710DCF"/>
    <w:rsid w:val="00711812"/>
    <w:rsid w:val="007125D0"/>
    <w:rsid w:val="0071297F"/>
    <w:rsid w:val="00712986"/>
    <w:rsid w:val="00712C9D"/>
    <w:rsid w:val="00712F1A"/>
    <w:rsid w:val="0071472C"/>
    <w:rsid w:val="00714B0E"/>
    <w:rsid w:val="00714E98"/>
    <w:rsid w:val="0071529E"/>
    <w:rsid w:val="00717D15"/>
    <w:rsid w:val="007211E6"/>
    <w:rsid w:val="00721699"/>
    <w:rsid w:val="00721FE7"/>
    <w:rsid w:val="00722EB4"/>
    <w:rsid w:val="007241E5"/>
    <w:rsid w:val="00724A15"/>
    <w:rsid w:val="00724A8E"/>
    <w:rsid w:val="00725200"/>
    <w:rsid w:val="0072714C"/>
    <w:rsid w:val="007276C6"/>
    <w:rsid w:val="00727964"/>
    <w:rsid w:val="0073013D"/>
    <w:rsid w:val="00730C53"/>
    <w:rsid w:val="00730D5E"/>
    <w:rsid w:val="0073199E"/>
    <w:rsid w:val="00731A03"/>
    <w:rsid w:val="007322EB"/>
    <w:rsid w:val="00733FA5"/>
    <w:rsid w:val="007342CD"/>
    <w:rsid w:val="007350F8"/>
    <w:rsid w:val="00735DE4"/>
    <w:rsid w:val="0073642D"/>
    <w:rsid w:val="00736CC4"/>
    <w:rsid w:val="00737D07"/>
    <w:rsid w:val="007404E6"/>
    <w:rsid w:val="00740FA5"/>
    <w:rsid w:val="007419CC"/>
    <w:rsid w:val="00742488"/>
    <w:rsid w:val="007430E5"/>
    <w:rsid w:val="00744D7F"/>
    <w:rsid w:val="007454CE"/>
    <w:rsid w:val="00745D2F"/>
    <w:rsid w:val="0074604F"/>
    <w:rsid w:val="0074668E"/>
    <w:rsid w:val="0074669B"/>
    <w:rsid w:val="00746F9C"/>
    <w:rsid w:val="007474DD"/>
    <w:rsid w:val="0074767C"/>
    <w:rsid w:val="0075042B"/>
    <w:rsid w:val="00750472"/>
    <w:rsid w:val="00750A66"/>
    <w:rsid w:val="007517B2"/>
    <w:rsid w:val="00751A37"/>
    <w:rsid w:val="007522A1"/>
    <w:rsid w:val="007525FB"/>
    <w:rsid w:val="00752662"/>
    <w:rsid w:val="00752A3D"/>
    <w:rsid w:val="00752CB8"/>
    <w:rsid w:val="00752F32"/>
    <w:rsid w:val="00754E39"/>
    <w:rsid w:val="0075517E"/>
    <w:rsid w:val="007555C5"/>
    <w:rsid w:val="00756474"/>
    <w:rsid w:val="00756C1A"/>
    <w:rsid w:val="007576F4"/>
    <w:rsid w:val="00757A7F"/>
    <w:rsid w:val="00757AFC"/>
    <w:rsid w:val="00757DCC"/>
    <w:rsid w:val="00760E17"/>
    <w:rsid w:val="007613C3"/>
    <w:rsid w:val="007620A6"/>
    <w:rsid w:val="007623E4"/>
    <w:rsid w:val="007630A8"/>
    <w:rsid w:val="007642FA"/>
    <w:rsid w:val="007646B2"/>
    <w:rsid w:val="00764EEE"/>
    <w:rsid w:val="00764F3B"/>
    <w:rsid w:val="00766454"/>
    <w:rsid w:val="00766681"/>
    <w:rsid w:val="00767BC5"/>
    <w:rsid w:val="0077071B"/>
    <w:rsid w:val="00770FF0"/>
    <w:rsid w:val="00771617"/>
    <w:rsid w:val="00772B2A"/>
    <w:rsid w:val="00772FE1"/>
    <w:rsid w:val="00773743"/>
    <w:rsid w:val="00773C9D"/>
    <w:rsid w:val="00773D39"/>
    <w:rsid w:val="00774389"/>
    <w:rsid w:val="0077573A"/>
    <w:rsid w:val="007765C6"/>
    <w:rsid w:val="00777483"/>
    <w:rsid w:val="00777AEE"/>
    <w:rsid w:val="00780364"/>
    <w:rsid w:val="0078148D"/>
    <w:rsid w:val="007817C8"/>
    <w:rsid w:val="00781C14"/>
    <w:rsid w:val="00782B18"/>
    <w:rsid w:val="00783A4A"/>
    <w:rsid w:val="00783C4A"/>
    <w:rsid w:val="00783F74"/>
    <w:rsid w:val="00784E1D"/>
    <w:rsid w:val="00785579"/>
    <w:rsid w:val="00785BDC"/>
    <w:rsid w:val="00785F76"/>
    <w:rsid w:val="00786E37"/>
    <w:rsid w:val="00790E5F"/>
    <w:rsid w:val="00791250"/>
    <w:rsid w:val="007914DA"/>
    <w:rsid w:val="007915C2"/>
    <w:rsid w:val="007920E4"/>
    <w:rsid w:val="007925DE"/>
    <w:rsid w:val="00792F30"/>
    <w:rsid w:val="00794309"/>
    <w:rsid w:val="007946FD"/>
    <w:rsid w:val="00794FBD"/>
    <w:rsid w:val="007951F2"/>
    <w:rsid w:val="00795BBF"/>
    <w:rsid w:val="0079715D"/>
    <w:rsid w:val="00797F0C"/>
    <w:rsid w:val="00797F56"/>
    <w:rsid w:val="007A2F77"/>
    <w:rsid w:val="007A3D81"/>
    <w:rsid w:val="007A5317"/>
    <w:rsid w:val="007A5A86"/>
    <w:rsid w:val="007A5C57"/>
    <w:rsid w:val="007A6174"/>
    <w:rsid w:val="007A690C"/>
    <w:rsid w:val="007A6C43"/>
    <w:rsid w:val="007B0C08"/>
    <w:rsid w:val="007B1109"/>
    <w:rsid w:val="007B188D"/>
    <w:rsid w:val="007B35DC"/>
    <w:rsid w:val="007B36EC"/>
    <w:rsid w:val="007B38A1"/>
    <w:rsid w:val="007B3A38"/>
    <w:rsid w:val="007B4033"/>
    <w:rsid w:val="007B40C0"/>
    <w:rsid w:val="007B4E3B"/>
    <w:rsid w:val="007B4FC1"/>
    <w:rsid w:val="007B59FE"/>
    <w:rsid w:val="007B5AFD"/>
    <w:rsid w:val="007B5DC6"/>
    <w:rsid w:val="007B5DF0"/>
    <w:rsid w:val="007B6B27"/>
    <w:rsid w:val="007B7161"/>
    <w:rsid w:val="007B735D"/>
    <w:rsid w:val="007C0B4F"/>
    <w:rsid w:val="007C291C"/>
    <w:rsid w:val="007C362B"/>
    <w:rsid w:val="007C3B85"/>
    <w:rsid w:val="007C3BFC"/>
    <w:rsid w:val="007C3FAF"/>
    <w:rsid w:val="007C44DF"/>
    <w:rsid w:val="007C4BDE"/>
    <w:rsid w:val="007C524E"/>
    <w:rsid w:val="007C5685"/>
    <w:rsid w:val="007C679A"/>
    <w:rsid w:val="007C729A"/>
    <w:rsid w:val="007C78FA"/>
    <w:rsid w:val="007D1CB0"/>
    <w:rsid w:val="007D230E"/>
    <w:rsid w:val="007D2E36"/>
    <w:rsid w:val="007D4313"/>
    <w:rsid w:val="007D5171"/>
    <w:rsid w:val="007D6738"/>
    <w:rsid w:val="007D6DFF"/>
    <w:rsid w:val="007D779F"/>
    <w:rsid w:val="007D7B37"/>
    <w:rsid w:val="007E1C16"/>
    <w:rsid w:val="007E2822"/>
    <w:rsid w:val="007E2A2B"/>
    <w:rsid w:val="007E2FCC"/>
    <w:rsid w:val="007E3AAF"/>
    <w:rsid w:val="007E3E7E"/>
    <w:rsid w:val="007E4AB9"/>
    <w:rsid w:val="007E4E9C"/>
    <w:rsid w:val="007E4EE4"/>
    <w:rsid w:val="007E50D9"/>
    <w:rsid w:val="007E5219"/>
    <w:rsid w:val="007E5953"/>
    <w:rsid w:val="007E648C"/>
    <w:rsid w:val="007E684E"/>
    <w:rsid w:val="007E7669"/>
    <w:rsid w:val="007E786D"/>
    <w:rsid w:val="007E7F53"/>
    <w:rsid w:val="007F04C6"/>
    <w:rsid w:val="007F0A8E"/>
    <w:rsid w:val="007F0E1C"/>
    <w:rsid w:val="007F233B"/>
    <w:rsid w:val="007F2B31"/>
    <w:rsid w:val="007F34A0"/>
    <w:rsid w:val="007F3A0A"/>
    <w:rsid w:val="007F494A"/>
    <w:rsid w:val="007F50B9"/>
    <w:rsid w:val="007F5B23"/>
    <w:rsid w:val="007F6B71"/>
    <w:rsid w:val="007F6FA9"/>
    <w:rsid w:val="007F71EC"/>
    <w:rsid w:val="00800DAB"/>
    <w:rsid w:val="00801679"/>
    <w:rsid w:val="008024D2"/>
    <w:rsid w:val="008032E3"/>
    <w:rsid w:val="00803364"/>
    <w:rsid w:val="008038FA"/>
    <w:rsid w:val="00804217"/>
    <w:rsid w:val="0080434B"/>
    <w:rsid w:val="00804A4F"/>
    <w:rsid w:val="008061D0"/>
    <w:rsid w:val="00806C76"/>
    <w:rsid w:val="008076DA"/>
    <w:rsid w:val="008079D3"/>
    <w:rsid w:val="008131F4"/>
    <w:rsid w:val="00813528"/>
    <w:rsid w:val="00814165"/>
    <w:rsid w:val="0081443B"/>
    <w:rsid w:val="008150B7"/>
    <w:rsid w:val="0081526F"/>
    <w:rsid w:val="00815835"/>
    <w:rsid w:val="00815DA3"/>
    <w:rsid w:val="00815E2D"/>
    <w:rsid w:val="008165CF"/>
    <w:rsid w:val="00816D09"/>
    <w:rsid w:val="008201CB"/>
    <w:rsid w:val="0082097D"/>
    <w:rsid w:val="00821A27"/>
    <w:rsid w:val="00822A70"/>
    <w:rsid w:val="008235EA"/>
    <w:rsid w:val="00824F87"/>
    <w:rsid w:val="00825042"/>
    <w:rsid w:val="008259BB"/>
    <w:rsid w:val="00825D0C"/>
    <w:rsid w:val="008273E7"/>
    <w:rsid w:val="00827696"/>
    <w:rsid w:val="00830987"/>
    <w:rsid w:val="008322CF"/>
    <w:rsid w:val="00832820"/>
    <w:rsid w:val="00832F28"/>
    <w:rsid w:val="008344AF"/>
    <w:rsid w:val="00834558"/>
    <w:rsid w:val="00835EA0"/>
    <w:rsid w:val="00836B96"/>
    <w:rsid w:val="00837562"/>
    <w:rsid w:val="008379BF"/>
    <w:rsid w:val="00840F3F"/>
    <w:rsid w:val="008412C1"/>
    <w:rsid w:val="0084366D"/>
    <w:rsid w:val="00844A4A"/>
    <w:rsid w:val="00846060"/>
    <w:rsid w:val="00846971"/>
    <w:rsid w:val="008469FC"/>
    <w:rsid w:val="00847AA7"/>
    <w:rsid w:val="00850E4C"/>
    <w:rsid w:val="008515BF"/>
    <w:rsid w:val="0085234E"/>
    <w:rsid w:val="008526D3"/>
    <w:rsid w:val="00852B4D"/>
    <w:rsid w:val="008530D4"/>
    <w:rsid w:val="0085320F"/>
    <w:rsid w:val="00853967"/>
    <w:rsid w:val="00853B4A"/>
    <w:rsid w:val="00853C5C"/>
    <w:rsid w:val="00854151"/>
    <w:rsid w:val="00854C76"/>
    <w:rsid w:val="00854C98"/>
    <w:rsid w:val="00854D82"/>
    <w:rsid w:val="008552CC"/>
    <w:rsid w:val="00855E06"/>
    <w:rsid w:val="00855EE9"/>
    <w:rsid w:val="00855F0C"/>
    <w:rsid w:val="0085621E"/>
    <w:rsid w:val="00856F0C"/>
    <w:rsid w:val="00857171"/>
    <w:rsid w:val="0085749B"/>
    <w:rsid w:val="00857E57"/>
    <w:rsid w:val="0086066D"/>
    <w:rsid w:val="00860898"/>
    <w:rsid w:val="0086190C"/>
    <w:rsid w:val="00861D5C"/>
    <w:rsid w:val="008629BB"/>
    <w:rsid w:val="00863D54"/>
    <w:rsid w:val="00865791"/>
    <w:rsid w:val="00865B2D"/>
    <w:rsid w:val="00865DDD"/>
    <w:rsid w:val="00866C75"/>
    <w:rsid w:val="008670A5"/>
    <w:rsid w:val="008670D3"/>
    <w:rsid w:val="008673EE"/>
    <w:rsid w:val="00867664"/>
    <w:rsid w:val="00867A26"/>
    <w:rsid w:val="008704AE"/>
    <w:rsid w:val="008707C4"/>
    <w:rsid w:val="0087150B"/>
    <w:rsid w:val="00872070"/>
    <w:rsid w:val="008721D7"/>
    <w:rsid w:val="0087340C"/>
    <w:rsid w:val="00873ECD"/>
    <w:rsid w:val="00874E5C"/>
    <w:rsid w:val="00875B44"/>
    <w:rsid w:val="008764CA"/>
    <w:rsid w:val="008768FA"/>
    <w:rsid w:val="00876F6C"/>
    <w:rsid w:val="0087742D"/>
    <w:rsid w:val="00877B90"/>
    <w:rsid w:val="00877D2A"/>
    <w:rsid w:val="00877DC6"/>
    <w:rsid w:val="0088001A"/>
    <w:rsid w:val="0088064C"/>
    <w:rsid w:val="00882911"/>
    <w:rsid w:val="00882F6C"/>
    <w:rsid w:val="00884112"/>
    <w:rsid w:val="008849D3"/>
    <w:rsid w:val="00884AF5"/>
    <w:rsid w:val="008854F3"/>
    <w:rsid w:val="00885CA1"/>
    <w:rsid w:val="008861DC"/>
    <w:rsid w:val="00886528"/>
    <w:rsid w:val="0088668A"/>
    <w:rsid w:val="008866C9"/>
    <w:rsid w:val="00886BED"/>
    <w:rsid w:val="008873F4"/>
    <w:rsid w:val="008873F6"/>
    <w:rsid w:val="00887C7E"/>
    <w:rsid w:val="00887CE1"/>
    <w:rsid w:val="00890006"/>
    <w:rsid w:val="008908AD"/>
    <w:rsid w:val="00891150"/>
    <w:rsid w:val="00891213"/>
    <w:rsid w:val="00892A60"/>
    <w:rsid w:val="00893103"/>
    <w:rsid w:val="00893EFB"/>
    <w:rsid w:val="008943ED"/>
    <w:rsid w:val="00895F04"/>
    <w:rsid w:val="008979B7"/>
    <w:rsid w:val="008A03DE"/>
    <w:rsid w:val="008A16A0"/>
    <w:rsid w:val="008A22AE"/>
    <w:rsid w:val="008A40D8"/>
    <w:rsid w:val="008A41B4"/>
    <w:rsid w:val="008A46D3"/>
    <w:rsid w:val="008A4B66"/>
    <w:rsid w:val="008A6D71"/>
    <w:rsid w:val="008A6E0F"/>
    <w:rsid w:val="008A71E1"/>
    <w:rsid w:val="008A7691"/>
    <w:rsid w:val="008A7F40"/>
    <w:rsid w:val="008B00F7"/>
    <w:rsid w:val="008B065F"/>
    <w:rsid w:val="008B11A4"/>
    <w:rsid w:val="008B179D"/>
    <w:rsid w:val="008B1814"/>
    <w:rsid w:val="008B1B95"/>
    <w:rsid w:val="008B2291"/>
    <w:rsid w:val="008B366F"/>
    <w:rsid w:val="008B3F38"/>
    <w:rsid w:val="008B4748"/>
    <w:rsid w:val="008B54E1"/>
    <w:rsid w:val="008B5E48"/>
    <w:rsid w:val="008B6737"/>
    <w:rsid w:val="008B6B3F"/>
    <w:rsid w:val="008C1B14"/>
    <w:rsid w:val="008C1B29"/>
    <w:rsid w:val="008C2B9D"/>
    <w:rsid w:val="008C32DA"/>
    <w:rsid w:val="008C38C8"/>
    <w:rsid w:val="008C3B7A"/>
    <w:rsid w:val="008C5D12"/>
    <w:rsid w:val="008C6159"/>
    <w:rsid w:val="008C65C6"/>
    <w:rsid w:val="008C6781"/>
    <w:rsid w:val="008C6BC1"/>
    <w:rsid w:val="008C7308"/>
    <w:rsid w:val="008D0021"/>
    <w:rsid w:val="008D036F"/>
    <w:rsid w:val="008D1192"/>
    <w:rsid w:val="008D1228"/>
    <w:rsid w:val="008D18C8"/>
    <w:rsid w:val="008D2E5B"/>
    <w:rsid w:val="008D30C4"/>
    <w:rsid w:val="008D3662"/>
    <w:rsid w:val="008D3E5A"/>
    <w:rsid w:val="008D4CE9"/>
    <w:rsid w:val="008D4E94"/>
    <w:rsid w:val="008D5A1B"/>
    <w:rsid w:val="008D6421"/>
    <w:rsid w:val="008E0127"/>
    <w:rsid w:val="008E0597"/>
    <w:rsid w:val="008E0F68"/>
    <w:rsid w:val="008E16EF"/>
    <w:rsid w:val="008E1B15"/>
    <w:rsid w:val="008E1D5D"/>
    <w:rsid w:val="008E1E0E"/>
    <w:rsid w:val="008E212F"/>
    <w:rsid w:val="008E257F"/>
    <w:rsid w:val="008E27F7"/>
    <w:rsid w:val="008E2CD7"/>
    <w:rsid w:val="008E361E"/>
    <w:rsid w:val="008E368D"/>
    <w:rsid w:val="008E3B22"/>
    <w:rsid w:val="008E49FF"/>
    <w:rsid w:val="008E53B8"/>
    <w:rsid w:val="008E581F"/>
    <w:rsid w:val="008E5BA3"/>
    <w:rsid w:val="008E6035"/>
    <w:rsid w:val="008E69E7"/>
    <w:rsid w:val="008E6A5B"/>
    <w:rsid w:val="008E7CD7"/>
    <w:rsid w:val="008F2BCE"/>
    <w:rsid w:val="008F2D05"/>
    <w:rsid w:val="008F37F8"/>
    <w:rsid w:val="008F3A2C"/>
    <w:rsid w:val="008F41C2"/>
    <w:rsid w:val="008F49BC"/>
    <w:rsid w:val="008F4A6A"/>
    <w:rsid w:val="008F5B26"/>
    <w:rsid w:val="008F60D2"/>
    <w:rsid w:val="008F6206"/>
    <w:rsid w:val="008F65D8"/>
    <w:rsid w:val="008F7866"/>
    <w:rsid w:val="008F7EF6"/>
    <w:rsid w:val="00900653"/>
    <w:rsid w:val="00900CFF"/>
    <w:rsid w:val="00900ECE"/>
    <w:rsid w:val="00901D86"/>
    <w:rsid w:val="00901F6E"/>
    <w:rsid w:val="0090313D"/>
    <w:rsid w:val="009032F6"/>
    <w:rsid w:val="00904010"/>
    <w:rsid w:val="009043BA"/>
    <w:rsid w:val="0090452E"/>
    <w:rsid w:val="00904A9E"/>
    <w:rsid w:val="00904FEC"/>
    <w:rsid w:val="0090686A"/>
    <w:rsid w:val="009076EF"/>
    <w:rsid w:val="00907D40"/>
    <w:rsid w:val="009105D5"/>
    <w:rsid w:val="00910920"/>
    <w:rsid w:val="00911451"/>
    <w:rsid w:val="0091171B"/>
    <w:rsid w:val="009118AA"/>
    <w:rsid w:val="0091200A"/>
    <w:rsid w:val="009138BE"/>
    <w:rsid w:val="00913F84"/>
    <w:rsid w:val="0091408C"/>
    <w:rsid w:val="009148E0"/>
    <w:rsid w:val="00915615"/>
    <w:rsid w:val="00915738"/>
    <w:rsid w:val="009161BF"/>
    <w:rsid w:val="009166D5"/>
    <w:rsid w:val="009167E2"/>
    <w:rsid w:val="0092003E"/>
    <w:rsid w:val="009207B6"/>
    <w:rsid w:val="00921FD1"/>
    <w:rsid w:val="0092298A"/>
    <w:rsid w:val="00922B43"/>
    <w:rsid w:val="009232A0"/>
    <w:rsid w:val="00924617"/>
    <w:rsid w:val="00924D28"/>
    <w:rsid w:val="00925131"/>
    <w:rsid w:val="009251B9"/>
    <w:rsid w:val="0092535E"/>
    <w:rsid w:val="009256D9"/>
    <w:rsid w:val="009258EE"/>
    <w:rsid w:val="00925A93"/>
    <w:rsid w:val="00925C94"/>
    <w:rsid w:val="00925D64"/>
    <w:rsid w:val="00926BD7"/>
    <w:rsid w:val="00926CD5"/>
    <w:rsid w:val="009272B2"/>
    <w:rsid w:val="009273C8"/>
    <w:rsid w:val="00927B5C"/>
    <w:rsid w:val="009314BD"/>
    <w:rsid w:val="00931951"/>
    <w:rsid w:val="00931CCF"/>
    <w:rsid w:val="00932926"/>
    <w:rsid w:val="00932929"/>
    <w:rsid w:val="00932C6E"/>
    <w:rsid w:val="00935989"/>
    <w:rsid w:val="00935A34"/>
    <w:rsid w:val="00935FD4"/>
    <w:rsid w:val="00936195"/>
    <w:rsid w:val="009363D4"/>
    <w:rsid w:val="00937363"/>
    <w:rsid w:val="0093751A"/>
    <w:rsid w:val="00940C02"/>
    <w:rsid w:val="00941D2C"/>
    <w:rsid w:val="00941D55"/>
    <w:rsid w:val="00941E46"/>
    <w:rsid w:val="0094211D"/>
    <w:rsid w:val="00942347"/>
    <w:rsid w:val="009432A3"/>
    <w:rsid w:val="0094435C"/>
    <w:rsid w:val="00944AA8"/>
    <w:rsid w:val="00945010"/>
    <w:rsid w:val="00946167"/>
    <w:rsid w:val="00946236"/>
    <w:rsid w:val="00946357"/>
    <w:rsid w:val="009474EC"/>
    <w:rsid w:val="00950464"/>
    <w:rsid w:val="00950CAC"/>
    <w:rsid w:val="009513FF"/>
    <w:rsid w:val="00951873"/>
    <w:rsid w:val="009518B3"/>
    <w:rsid w:val="00951B19"/>
    <w:rsid w:val="00951D2C"/>
    <w:rsid w:val="00951D76"/>
    <w:rsid w:val="0095218F"/>
    <w:rsid w:val="00952695"/>
    <w:rsid w:val="009532DA"/>
    <w:rsid w:val="0095422F"/>
    <w:rsid w:val="0095493F"/>
    <w:rsid w:val="00954DDE"/>
    <w:rsid w:val="00955099"/>
    <w:rsid w:val="00955DB7"/>
    <w:rsid w:val="00960CCB"/>
    <w:rsid w:val="009610DF"/>
    <w:rsid w:val="00961167"/>
    <w:rsid w:val="00961656"/>
    <w:rsid w:val="00961A63"/>
    <w:rsid w:val="0096249E"/>
    <w:rsid w:val="00963B79"/>
    <w:rsid w:val="00964B7A"/>
    <w:rsid w:val="00965491"/>
    <w:rsid w:val="009659F5"/>
    <w:rsid w:val="009660CF"/>
    <w:rsid w:val="00966501"/>
    <w:rsid w:val="00966ACD"/>
    <w:rsid w:val="00966B8F"/>
    <w:rsid w:val="00966D72"/>
    <w:rsid w:val="0096770F"/>
    <w:rsid w:val="00970C2A"/>
    <w:rsid w:val="009713D9"/>
    <w:rsid w:val="00971889"/>
    <w:rsid w:val="00972D30"/>
    <w:rsid w:val="00976ECB"/>
    <w:rsid w:val="00977A08"/>
    <w:rsid w:val="0098033D"/>
    <w:rsid w:val="009803CB"/>
    <w:rsid w:val="00980B02"/>
    <w:rsid w:val="00980E4C"/>
    <w:rsid w:val="00981F8E"/>
    <w:rsid w:val="009821CA"/>
    <w:rsid w:val="0098246C"/>
    <w:rsid w:val="00982CC8"/>
    <w:rsid w:val="00983514"/>
    <w:rsid w:val="00984755"/>
    <w:rsid w:val="00984FC6"/>
    <w:rsid w:val="00985A47"/>
    <w:rsid w:val="00985AF5"/>
    <w:rsid w:val="00985DE4"/>
    <w:rsid w:val="00985DFC"/>
    <w:rsid w:val="00986A83"/>
    <w:rsid w:val="00986AC6"/>
    <w:rsid w:val="00987499"/>
    <w:rsid w:val="00987584"/>
    <w:rsid w:val="00987B48"/>
    <w:rsid w:val="00987E51"/>
    <w:rsid w:val="009904A6"/>
    <w:rsid w:val="0099055A"/>
    <w:rsid w:val="0099112F"/>
    <w:rsid w:val="00991803"/>
    <w:rsid w:val="009941D6"/>
    <w:rsid w:val="00994641"/>
    <w:rsid w:val="00995301"/>
    <w:rsid w:val="00995E23"/>
    <w:rsid w:val="0099692C"/>
    <w:rsid w:val="009979F0"/>
    <w:rsid w:val="00997F48"/>
    <w:rsid w:val="009A0D23"/>
    <w:rsid w:val="009A226D"/>
    <w:rsid w:val="009A2EA4"/>
    <w:rsid w:val="009A3270"/>
    <w:rsid w:val="009A4888"/>
    <w:rsid w:val="009A48B4"/>
    <w:rsid w:val="009A4B6F"/>
    <w:rsid w:val="009A5C2E"/>
    <w:rsid w:val="009A7E4E"/>
    <w:rsid w:val="009B0061"/>
    <w:rsid w:val="009B0282"/>
    <w:rsid w:val="009B06E7"/>
    <w:rsid w:val="009B0A12"/>
    <w:rsid w:val="009B0E7F"/>
    <w:rsid w:val="009B2913"/>
    <w:rsid w:val="009B360A"/>
    <w:rsid w:val="009B43A4"/>
    <w:rsid w:val="009B44DC"/>
    <w:rsid w:val="009B5BD2"/>
    <w:rsid w:val="009B63DB"/>
    <w:rsid w:val="009B6B2D"/>
    <w:rsid w:val="009B7075"/>
    <w:rsid w:val="009B74BF"/>
    <w:rsid w:val="009B795C"/>
    <w:rsid w:val="009B7BDB"/>
    <w:rsid w:val="009C004F"/>
    <w:rsid w:val="009C01AD"/>
    <w:rsid w:val="009C0AE1"/>
    <w:rsid w:val="009C11B5"/>
    <w:rsid w:val="009C28FA"/>
    <w:rsid w:val="009C336E"/>
    <w:rsid w:val="009C356F"/>
    <w:rsid w:val="009C4BEE"/>
    <w:rsid w:val="009C571D"/>
    <w:rsid w:val="009C5B26"/>
    <w:rsid w:val="009C5C35"/>
    <w:rsid w:val="009C63EC"/>
    <w:rsid w:val="009C6AE4"/>
    <w:rsid w:val="009C6AF9"/>
    <w:rsid w:val="009C6C23"/>
    <w:rsid w:val="009C7D07"/>
    <w:rsid w:val="009C7FBD"/>
    <w:rsid w:val="009D2A3A"/>
    <w:rsid w:val="009D3B2B"/>
    <w:rsid w:val="009D503C"/>
    <w:rsid w:val="009D5108"/>
    <w:rsid w:val="009D57C4"/>
    <w:rsid w:val="009D6C3F"/>
    <w:rsid w:val="009D7AF7"/>
    <w:rsid w:val="009E0C6F"/>
    <w:rsid w:val="009E0F0C"/>
    <w:rsid w:val="009E0F7B"/>
    <w:rsid w:val="009E1870"/>
    <w:rsid w:val="009E1C1C"/>
    <w:rsid w:val="009E26DA"/>
    <w:rsid w:val="009E2800"/>
    <w:rsid w:val="009E38AB"/>
    <w:rsid w:val="009E426E"/>
    <w:rsid w:val="009E58DF"/>
    <w:rsid w:val="009E5D15"/>
    <w:rsid w:val="009E6930"/>
    <w:rsid w:val="009E6AF1"/>
    <w:rsid w:val="009E7383"/>
    <w:rsid w:val="009E766D"/>
    <w:rsid w:val="009E77C1"/>
    <w:rsid w:val="009E7AA9"/>
    <w:rsid w:val="009E7E7F"/>
    <w:rsid w:val="009F04D9"/>
    <w:rsid w:val="009F05EE"/>
    <w:rsid w:val="009F20F7"/>
    <w:rsid w:val="009F345B"/>
    <w:rsid w:val="009F3DDB"/>
    <w:rsid w:val="009F424A"/>
    <w:rsid w:val="009F51E8"/>
    <w:rsid w:val="009F54B2"/>
    <w:rsid w:val="009F64A9"/>
    <w:rsid w:val="009F6758"/>
    <w:rsid w:val="009F6912"/>
    <w:rsid w:val="009F69C2"/>
    <w:rsid w:val="009F7F2F"/>
    <w:rsid w:val="00A0035C"/>
    <w:rsid w:val="00A00F95"/>
    <w:rsid w:val="00A015E0"/>
    <w:rsid w:val="00A01C22"/>
    <w:rsid w:val="00A032B1"/>
    <w:rsid w:val="00A04BFA"/>
    <w:rsid w:val="00A06E2A"/>
    <w:rsid w:val="00A07337"/>
    <w:rsid w:val="00A07A12"/>
    <w:rsid w:val="00A07E24"/>
    <w:rsid w:val="00A10711"/>
    <w:rsid w:val="00A10764"/>
    <w:rsid w:val="00A10B77"/>
    <w:rsid w:val="00A1188D"/>
    <w:rsid w:val="00A120AA"/>
    <w:rsid w:val="00A12305"/>
    <w:rsid w:val="00A12ACA"/>
    <w:rsid w:val="00A12D73"/>
    <w:rsid w:val="00A131BB"/>
    <w:rsid w:val="00A13937"/>
    <w:rsid w:val="00A142FE"/>
    <w:rsid w:val="00A144F3"/>
    <w:rsid w:val="00A14768"/>
    <w:rsid w:val="00A14C9A"/>
    <w:rsid w:val="00A1758A"/>
    <w:rsid w:val="00A207DA"/>
    <w:rsid w:val="00A21113"/>
    <w:rsid w:val="00A21E33"/>
    <w:rsid w:val="00A2246F"/>
    <w:rsid w:val="00A228E9"/>
    <w:rsid w:val="00A22F98"/>
    <w:rsid w:val="00A23688"/>
    <w:rsid w:val="00A24322"/>
    <w:rsid w:val="00A247C9"/>
    <w:rsid w:val="00A24B04"/>
    <w:rsid w:val="00A24C5B"/>
    <w:rsid w:val="00A2520B"/>
    <w:rsid w:val="00A25482"/>
    <w:rsid w:val="00A25773"/>
    <w:rsid w:val="00A26625"/>
    <w:rsid w:val="00A268EF"/>
    <w:rsid w:val="00A26F92"/>
    <w:rsid w:val="00A26FE2"/>
    <w:rsid w:val="00A27461"/>
    <w:rsid w:val="00A3041F"/>
    <w:rsid w:val="00A30E29"/>
    <w:rsid w:val="00A32584"/>
    <w:rsid w:val="00A32A43"/>
    <w:rsid w:val="00A34039"/>
    <w:rsid w:val="00A34238"/>
    <w:rsid w:val="00A34C04"/>
    <w:rsid w:val="00A35058"/>
    <w:rsid w:val="00A357F2"/>
    <w:rsid w:val="00A35894"/>
    <w:rsid w:val="00A35E87"/>
    <w:rsid w:val="00A364E6"/>
    <w:rsid w:val="00A36669"/>
    <w:rsid w:val="00A368F6"/>
    <w:rsid w:val="00A36C11"/>
    <w:rsid w:val="00A36C5B"/>
    <w:rsid w:val="00A36D5D"/>
    <w:rsid w:val="00A37061"/>
    <w:rsid w:val="00A3714E"/>
    <w:rsid w:val="00A378C0"/>
    <w:rsid w:val="00A379C3"/>
    <w:rsid w:val="00A37D3F"/>
    <w:rsid w:val="00A37E2C"/>
    <w:rsid w:val="00A37E4F"/>
    <w:rsid w:val="00A37FA6"/>
    <w:rsid w:val="00A40630"/>
    <w:rsid w:val="00A40C39"/>
    <w:rsid w:val="00A415B2"/>
    <w:rsid w:val="00A43F77"/>
    <w:rsid w:val="00A44108"/>
    <w:rsid w:val="00A44471"/>
    <w:rsid w:val="00A44F5E"/>
    <w:rsid w:val="00A44FBD"/>
    <w:rsid w:val="00A4538F"/>
    <w:rsid w:val="00A4600D"/>
    <w:rsid w:val="00A46C2B"/>
    <w:rsid w:val="00A46EBF"/>
    <w:rsid w:val="00A47860"/>
    <w:rsid w:val="00A50429"/>
    <w:rsid w:val="00A50E0A"/>
    <w:rsid w:val="00A517B9"/>
    <w:rsid w:val="00A51B1E"/>
    <w:rsid w:val="00A5304B"/>
    <w:rsid w:val="00A5380B"/>
    <w:rsid w:val="00A53BC1"/>
    <w:rsid w:val="00A5569D"/>
    <w:rsid w:val="00A55ACC"/>
    <w:rsid w:val="00A55FD0"/>
    <w:rsid w:val="00A56396"/>
    <w:rsid w:val="00A563E7"/>
    <w:rsid w:val="00A566B0"/>
    <w:rsid w:val="00A56978"/>
    <w:rsid w:val="00A572D5"/>
    <w:rsid w:val="00A57605"/>
    <w:rsid w:val="00A57A17"/>
    <w:rsid w:val="00A57F14"/>
    <w:rsid w:val="00A60314"/>
    <w:rsid w:val="00A605A4"/>
    <w:rsid w:val="00A607DF"/>
    <w:rsid w:val="00A60AB9"/>
    <w:rsid w:val="00A60E5A"/>
    <w:rsid w:val="00A60F99"/>
    <w:rsid w:val="00A61274"/>
    <w:rsid w:val="00A613F4"/>
    <w:rsid w:val="00A6157A"/>
    <w:rsid w:val="00A617AF"/>
    <w:rsid w:val="00A61A2E"/>
    <w:rsid w:val="00A6227B"/>
    <w:rsid w:val="00A629EF"/>
    <w:rsid w:val="00A63C0C"/>
    <w:rsid w:val="00A646AD"/>
    <w:rsid w:val="00A64F95"/>
    <w:rsid w:val="00A650A7"/>
    <w:rsid w:val="00A650D7"/>
    <w:rsid w:val="00A6561B"/>
    <w:rsid w:val="00A65824"/>
    <w:rsid w:val="00A659D1"/>
    <w:rsid w:val="00A660C0"/>
    <w:rsid w:val="00A66D0F"/>
    <w:rsid w:val="00A67CE4"/>
    <w:rsid w:val="00A67EF1"/>
    <w:rsid w:val="00A71CC0"/>
    <w:rsid w:val="00A73944"/>
    <w:rsid w:val="00A73B4A"/>
    <w:rsid w:val="00A750B5"/>
    <w:rsid w:val="00A75802"/>
    <w:rsid w:val="00A75A23"/>
    <w:rsid w:val="00A77D27"/>
    <w:rsid w:val="00A80E08"/>
    <w:rsid w:val="00A80E7D"/>
    <w:rsid w:val="00A812DF"/>
    <w:rsid w:val="00A81796"/>
    <w:rsid w:val="00A817B7"/>
    <w:rsid w:val="00A81AA7"/>
    <w:rsid w:val="00A8212D"/>
    <w:rsid w:val="00A82C7B"/>
    <w:rsid w:val="00A83866"/>
    <w:rsid w:val="00A8387E"/>
    <w:rsid w:val="00A8547A"/>
    <w:rsid w:val="00A85A22"/>
    <w:rsid w:val="00A85E4B"/>
    <w:rsid w:val="00A85FF0"/>
    <w:rsid w:val="00A86583"/>
    <w:rsid w:val="00A86ADF"/>
    <w:rsid w:val="00A86BBE"/>
    <w:rsid w:val="00A87163"/>
    <w:rsid w:val="00A87FF1"/>
    <w:rsid w:val="00A90DFF"/>
    <w:rsid w:val="00A92AAC"/>
    <w:rsid w:val="00A92AB2"/>
    <w:rsid w:val="00A94350"/>
    <w:rsid w:val="00A9479E"/>
    <w:rsid w:val="00A947A6"/>
    <w:rsid w:val="00A94826"/>
    <w:rsid w:val="00A94928"/>
    <w:rsid w:val="00A94FDF"/>
    <w:rsid w:val="00A950B5"/>
    <w:rsid w:val="00A96A3E"/>
    <w:rsid w:val="00A96E77"/>
    <w:rsid w:val="00A97BC5"/>
    <w:rsid w:val="00A97D52"/>
    <w:rsid w:val="00AA02F6"/>
    <w:rsid w:val="00AA0EC5"/>
    <w:rsid w:val="00AA1693"/>
    <w:rsid w:val="00AA1A6E"/>
    <w:rsid w:val="00AA1DAF"/>
    <w:rsid w:val="00AA287E"/>
    <w:rsid w:val="00AA29BC"/>
    <w:rsid w:val="00AA30EE"/>
    <w:rsid w:val="00AA4A07"/>
    <w:rsid w:val="00AA4B7E"/>
    <w:rsid w:val="00AA4BDE"/>
    <w:rsid w:val="00AA74BF"/>
    <w:rsid w:val="00AB05C7"/>
    <w:rsid w:val="00AB1BD0"/>
    <w:rsid w:val="00AB2371"/>
    <w:rsid w:val="00AB246D"/>
    <w:rsid w:val="00AB2470"/>
    <w:rsid w:val="00AB3FF0"/>
    <w:rsid w:val="00AB459E"/>
    <w:rsid w:val="00AB5DBA"/>
    <w:rsid w:val="00AB5E25"/>
    <w:rsid w:val="00AB7205"/>
    <w:rsid w:val="00AB7A55"/>
    <w:rsid w:val="00AC046A"/>
    <w:rsid w:val="00AC0752"/>
    <w:rsid w:val="00AC0B43"/>
    <w:rsid w:val="00AC1442"/>
    <w:rsid w:val="00AC18D0"/>
    <w:rsid w:val="00AC2667"/>
    <w:rsid w:val="00AC28AE"/>
    <w:rsid w:val="00AC2EBB"/>
    <w:rsid w:val="00AC3306"/>
    <w:rsid w:val="00AC33F7"/>
    <w:rsid w:val="00AC487D"/>
    <w:rsid w:val="00AC4E44"/>
    <w:rsid w:val="00AC5327"/>
    <w:rsid w:val="00AC6991"/>
    <w:rsid w:val="00AC6AC2"/>
    <w:rsid w:val="00AC6C0A"/>
    <w:rsid w:val="00AC7350"/>
    <w:rsid w:val="00AD1921"/>
    <w:rsid w:val="00AD1BD8"/>
    <w:rsid w:val="00AD3CB3"/>
    <w:rsid w:val="00AD3DD0"/>
    <w:rsid w:val="00AD4140"/>
    <w:rsid w:val="00AD47D3"/>
    <w:rsid w:val="00AD4DD9"/>
    <w:rsid w:val="00AD5003"/>
    <w:rsid w:val="00AD5EE7"/>
    <w:rsid w:val="00AD61C1"/>
    <w:rsid w:val="00AD638E"/>
    <w:rsid w:val="00AE0A3C"/>
    <w:rsid w:val="00AE19D3"/>
    <w:rsid w:val="00AE2011"/>
    <w:rsid w:val="00AE201C"/>
    <w:rsid w:val="00AE2401"/>
    <w:rsid w:val="00AE4141"/>
    <w:rsid w:val="00AE490B"/>
    <w:rsid w:val="00AE51F0"/>
    <w:rsid w:val="00AE5A1B"/>
    <w:rsid w:val="00AE6313"/>
    <w:rsid w:val="00AE6D1C"/>
    <w:rsid w:val="00AE75B6"/>
    <w:rsid w:val="00AE7D3C"/>
    <w:rsid w:val="00AE7FC4"/>
    <w:rsid w:val="00AF06E4"/>
    <w:rsid w:val="00AF121B"/>
    <w:rsid w:val="00AF14D6"/>
    <w:rsid w:val="00AF2E5B"/>
    <w:rsid w:val="00AF3435"/>
    <w:rsid w:val="00AF4B0F"/>
    <w:rsid w:val="00AF4CBD"/>
    <w:rsid w:val="00AF557D"/>
    <w:rsid w:val="00AF5ADA"/>
    <w:rsid w:val="00AF5C43"/>
    <w:rsid w:val="00AF5D12"/>
    <w:rsid w:val="00AF664D"/>
    <w:rsid w:val="00AF7454"/>
    <w:rsid w:val="00AF7A98"/>
    <w:rsid w:val="00AF7AFF"/>
    <w:rsid w:val="00B01810"/>
    <w:rsid w:val="00B025D0"/>
    <w:rsid w:val="00B0298A"/>
    <w:rsid w:val="00B03F2F"/>
    <w:rsid w:val="00B046C4"/>
    <w:rsid w:val="00B04F22"/>
    <w:rsid w:val="00B056F8"/>
    <w:rsid w:val="00B05B30"/>
    <w:rsid w:val="00B05EB2"/>
    <w:rsid w:val="00B061A3"/>
    <w:rsid w:val="00B066A8"/>
    <w:rsid w:val="00B06B15"/>
    <w:rsid w:val="00B07772"/>
    <w:rsid w:val="00B10445"/>
    <w:rsid w:val="00B12512"/>
    <w:rsid w:val="00B12E29"/>
    <w:rsid w:val="00B12E88"/>
    <w:rsid w:val="00B13F0D"/>
    <w:rsid w:val="00B142C2"/>
    <w:rsid w:val="00B15BA0"/>
    <w:rsid w:val="00B16063"/>
    <w:rsid w:val="00B174A0"/>
    <w:rsid w:val="00B17BDB"/>
    <w:rsid w:val="00B20366"/>
    <w:rsid w:val="00B21396"/>
    <w:rsid w:val="00B22371"/>
    <w:rsid w:val="00B22508"/>
    <w:rsid w:val="00B22A9E"/>
    <w:rsid w:val="00B22BEA"/>
    <w:rsid w:val="00B2351F"/>
    <w:rsid w:val="00B23AC7"/>
    <w:rsid w:val="00B24047"/>
    <w:rsid w:val="00B2426F"/>
    <w:rsid w:val="00B24774"/>
    <w:rsid w:val="00B2479F"/>
    <w:rsid w:val="00B24F84"/>
    <w:rsid w:val="00B25974"/>
    <w:rsid w:val="00B26551"/>
    <w:rsid w:val="00B278F4"/>
    <w:rsid w:val="00B27D39"/>
    <w:rsid w:val="00B303F0"/>
    <w:rsid w:val="00B3110A"/>
    <w:rsid w:val="00B31AF2"/>
    <w:rsid w:val="00B32140"/>
    <w:rsid w:val="00B325D1"/>
    <w:rsid w:val="00B32A76"/>
    <w:rsid w:val="00B339A6"/>
    <w:rsid w:val="00B3407D"/>
    <w:rsid w:val="00B35061"/>
    <w:rsid w:val="00B3567B"/>
    <w:rsid w:val="00B36632"/>
    <w:rsid w:val="00B36D6B"/>
    <w:rsid w:val="00B3779E"/>
    <w:rsid w:val="00B37D45"/>
    <w:rsid w:val="00B421DE"/>
    <w:rsid w:val="00B42863"/>
    <w:rsid w:val="00B429DD"/>
    <w:rsid w:val="00B43423"/>
    <w:rsid w:val="00B436E0"/>
    <w:rsid w:val="00B43C27"/>
    <w:rsid w:val="00B440F8"/>
    <w:rsid w:val="00B4436B"/>
    <w:rsid w:val="00B44849"/>
    <w:rsid w:val="00B44BDB"/>
    <w:rsid w:val="00B450CB"/>
    <w:rsid w:val="00B45C79"/>
    <w:rsid w:val="00B4637A"/>
    <w:rsid w:val="00B463AD"/>
    <w:rsid w:val="00B46630"/>
    <w:rsid w:val="00B466F1"/>
    <w:rsid w:val="00B46FE1"/>
    <w:rsid w:val="00B50091"/>
    <w:rsid w:val="00B50DBB"/>
    <w:rsid w:val="00B50F1A"/>
    <w:rsid w:val="00B514DB"/>
    <w:rsid w:val="00B52048"/>
    <w:rsid w:val="00B531C0"/>
    <w:rsid w:val="00B5421C"/>
    <w:rsid w:val="00B55279"/>
    <w:rsid w:val="00B5645A"/>
    <w:rsid w:val="00B6023B"/>
    <w:rsid w:val="00B623C0"/>
    <w:rsid w:val="00B62BD9"/>
    <w:rsid w:val="00B62D74"/>
    <w:rsid w:val="00B62D8E"/>
    <w:rsid w:val="00B62F5A"/>
    <w:rsid w:val="00B62F74"/>
    <w:rsid w:val="00B6325F"/>
    <w:rsid w:val="00B633FE"/>
    <w:rsid w:val="00B64E34"/>
    <w:rsid w:val="00B64ED9"/>
    <w:rsid w:val="00B65DE5"/>
    <w:rsid w:val="00B65E9C"/>
    <w:rsid w:val="00B67482"/>
    <w:rsid w:val="00B67EB7"/>
    <w:rsid w:val="00B70031"/>
    <w:rsid w:val="00B7051D"/>
    <w:rsid w:val="00B711F9"/>
    <w:rsid w:val="00B718C8"/>
    <w:rsid w:val="00B71ABD"/>
    <w:rsid w:val="00B73E51"/>
    <w:rsid w:val="00B74E57"/>
    <w:rsid w:val="00B7547E"/>
    <w:rsid w:val="00B758A1"/>
    <w:rsid w:val="00B758D4"/>
    <w:rsid w:val="00B765F4"/>
    <w:rsid w:val="00B767C2"/>
    <w:rsid w:val="00B772EA"/>
    <w:rsid w:val="00B774DC"/>
    <w:rsid w:val="00B776D8"/>
    <w:rsid w:val="00B80501"/>
    <w:rsid w:val="00B809DF"/>
    <w:rsid w:val="00B80A55"/>
    <w:rsid w:val="00B81CEF"/>
    <w:rsid w:val="00B82601"/>
    <w:rsid w:val="00B82954"/>
    <w:rsid w:val="00B82E5C"/>
    <w:rsid w:val="00B8372D"/>
    <w:rsid w:val="00B83B7B"/>
    <w:rsid w:val="00B843B7"/>
    <w:rsid w:val="00B84465"/>
    <w:rsid w:val="00B84859"/>
    <w:rsid w:val="00B84E2E"/>
    <w:rsid w:val="00B85615"/>
    <w:rsid w:val="00B85AB9"/>
    <w:rsid w:val="00B85C7B"/>
    <w:rsid w:val="00B85EDD"/>
    <w:rsid w:val="00B86622"/>
    <w:rsid w:val="00B866AE"/>
    <w:rsid w:val="00B86F3A"/>
    <w:rsid w:val="00B871D1"/>
    <w:rsid w:val="00B901B2"/>
    <w:rsid w:val="00B90C14"/>
    <w:rsid w:val="00B90FF5"/>
    <w:rsid w:val="00B9119F"/>
    <w:rsid w:val="00B92C74"/>
    <w:rsid w:val="00B92CED"/>
    <w:rsid w:val="00B93239"/>
    <w:rsid w:val="00B94DEA"/>
    <w:rsid w:val="00B94ED4"/>
    <w:rsid w:val="00B96635"/>
    <w:rsid w:val="00BA0E7A"/>
    <w:rsid w:val="00BA1AA3"/>
    <w:rsid w:val="00BA2B36"/>
    <w:rsid w:val="00BA3C16"/>
    <w:rsid w:val="00BA3DCD"/>
    <w:rsid w:val="00BA4E8F"/>
    <w:rsid w:val="00BA564E"/>
    <w:rsid w:val="00BA647B"/>
    <w:rsid w:val="00BA6487"/>
    <w:rsid w:val="00BA6A2C"/>
    <w:rsid w:val="00BB16CA"/>
    <w:rsid w:val="00BB1E3A"/>
    <w:rsid w:val="00BB20C2"/>
    <w:rsid w:val="00BB362A"/>
    <w:rsid w:val="00BB3A65"/>
    <w:rsid w:val="00BB3C39"/>
    <w:rsid w:val="00BB432D"/>
    <w:rsid w:val="00BB46A6"/>
    <w:rsid w:val="00BB5D6B"/>
    <w:rsid w:val="00BB6630"/>
    <w:rsid w:val="00BB7E5D"/>
    <w:rsid w:val="00BC2BEC"/>
    <w:rsid w:val="00BC3723"/>
    <w:rsid w:val="00BC4B57"/>
    <w:rsid w:val="00BC504D"/>
    <w:rsid w:val="00BC5E9A"/>
    <w:rsid w:val="00BC606E"/>
    <w:rsid w:val="00BC6814"/>
    <w:rsid w:val="00BC70C5"/>
    <w:rsid w:val="00BD021C"/>
    <w:rsid w:val="00BD031D"/>
    <w:rsid w:val="00BD0943"/>
    <w:rsid w:val="00BD0BDA"/>
    <w:rsid w:val="00BD164C"/>
    <w:rsid w:val="00BD1AF7"/>
    <w:rsid w:val="00BD1BEF"/>
    <w:rsid w:val="00BD2055"/>
    <w:rsid w:val="00BD2071"/>
    <w:rsid w:val="00BD2C8A"/>
    <w:rsid w:val="00BD3068"/>
    <w:rsid w:val="00BD3CAE"/>
    <w:rsid w:val="00BD3CF9"/>
    <w:rsid w:val="00BD4F12"/>
    <w:rsid w:val="00BD575F"/>
    <w:rsid w:val="00BD5FD6"/>
    <w:rsid w:val="00BD605E"/>
    <w:rsid w:val="00BD66F2"/>
    <w:rsid w:val="00BD6CC8"/>
    <w:rsid w:val="00BD764B"/>
    <w:rsid w:val="00BD7E99"/>
    <w:rsid w:val="00BE06FE"/>
    <w:rsid w:val="00BE14C2"/>
    <w:rsid w:val="00BE2177"/>
    <w:rsid w:val="00BE26BC"/>
    <w:rsid w:val="00BE29DB"/>
    <w:rsid w:val="00BE30C5"/>
    <w:rsid w:val="00BE313C"/>
    <w:rsid w:val="00BE41F7"/>
    <w:rsid w:val="00BE43CB"/>
    <w:rsid w:val="00BE4C69"/>
    <w:rsid w:val="00BE510B"/>
    <w:rsid w:val="00BE57C4"/>
    <w:rsid w:val="00BE61EE"/>
    <w:rsid w:val="00BE6F65"/>
    <w:rsid w:val="00BE6FB7"/>
    <w:rsid w:val="00BE7678"/>
    <w:rsid w:val="00BF02A1"/>
    <w:rsid w:val="00BF0B2C"/>
    <w:rsid w:val="00BF1E80"/>
    <w:rsid w:val="00BF22EB"/>
    <w:rsid w:val="00BF26DA"/>
    <w:rsid w:val="00BF2CE0"/>
    <w:rsid w:val="00BF3E13"/>
    <w:rsid w:val="00BF4343"/>
    <w:rsid w:val="00BF5DAC"/>
    <w:rsid w:val="00BF603A"/>
    <w:rsid w:val="00BF62CE"/>
    <w:rsid w:val="00BF6CC3"/>
    <w:rsid w:val="00BF77D4"/>
    <w:rsid w:val="00BF7824"/>
    <w:rsid w:val="00C00AD6"/>
    <w:rsid w:val="00C01132"/>
    <w:rsid w:val="00C016AD"/>
    <w:rsid w:val="00C01CB9"/>
    <w:rsid w:val="00C01D56"/>
    <w:rsid w:val="00C01E83"/>
    <w:rsid w:val="00C02B76"/>
    <w:rsid w:val="00C02F96"/>
    <w:rsid w:val="00C03278"/>
    <w:rsid w:val="00C03FC0"/>
    <w:rsid w:val="00C043E2"/>
    <w:rsid w:val="00C048C2"/>
    <w:rsid w:val="00C05763"/>
    <w:rsid w:val="00C05A17"/>
    <w:rsid w:val="00C0654A"/>
    <w:rsid w:val="00C06AD5"/>
    <w:rsid w:val="00C06B5A"/>
    <w:rsid w:val="00C06EE7"/>
    <w:rsid w:val="00C10AF5"/>
    <w:rsid w:val="00C1104B"/>
    <w:rsid w:val="00C121F8"/>
    <w:rsid w:val="00C133EA"/>
    <w:rsid w:val="00C1351A"/>
    <w:rsid w:val="00C15099"/>
    <w:rsid w:val="00C15443"/>
    <w:rsid w:val="00C15F9E"/>
    <w:rsid w:val="00C16073"/>
    <w:rsid w:val="00C16643"/>
    <w:rsid w:val="00C16FD9"/>
    <w:rsid w:val="00C17C41"/>
    <w:rsid w:val="00C205E2"/>
    <w:rsid w:val="00C20AE1"/>
    <w:rsid w:val="00C20F39"/>
    <w:rsid w:val="00C21088"/>
    <w:rsid w:val="00C216FF"/>
    <w:rsid w:val="00C22210"/>
    <w:rsid w:val="00C22E2A"/>
    <w:rsid w:val="00C2489E"/>
    <w:rsid w:val="00C26E4E"/>
    <w:rsid w:val="00C27F98"/>
    <w:rsid w:val="00C30F7C"/>
    <w:rsid w:val="00C31581"/>
    <w:rsid w:val="00C31BB2"/>
    <w:rsid w:val="00C32F36"/>
    <w:rsid w:val="00C33242"/>
    <w:rsid w:val="00C34EC9"/>
    <w:rsid w:val="00C35022"/>
    <w:rsid w:val="00C3534B"/>
    <w:rsid w:val="00C353B7"/>
    <w:rsid w:val="00C35512"/>
    <w:rsid w:val="00C357F8"/>
    <w:rsid w:val="00C35C17"/>
    <w:rsid w:val="00C36284"/>
    <w:rsid w:val="00C362EE"/>
    <w:rsid w:val="00C3658B"/>
    <w:rsid w:val="00C37A69"/>
    <w:rsid w:val="00C37B64"/>
    <w:rsid w:val="00C4060D"/>
    <w:rsid w:val="00C4122E"/>
    <w:rsid w:val="00C416D9"/>
    <w:rsid w:val="00C42137"/>
    <w:rsid w:val="00C422D3"/>
    <w:rsid w:val="00C43187"/>
    <w:rsid w:val="00C43427"/>
    <w:rsid w:val="00C4493C"/>
    <w:rsid w:val="00C44BF8"/>
    <w:rsid w:val="00C452EB"/>
    <w:rsid w:val="00C45ABE"/>
    <w:rsid w:val="00C46B36"/>
    <w:rsid w:val="00C47B5E"/>
    <w:rsid w:val="00C47C90"/>
    <w:rsid w:val="00C50608"/>
    <w:rsid w:val="00C50858"/>
    <w:rsid w:val="00C50A0A"/>
    <w:rsid w:val="00C50C88"/>
    <w:rsid w:val="00C51087"/>
    <w:rsid w:val="00C514D9"/>
    <w:rsid w:val="00C5179B"/>
    <w:rsid w:val="00C51E55"/>
    <w:rsid w:val="00C51FCD"/>
    <w:rsid w:val="00C52CC4"/>
    <w:rsid w:val="00C53D15"/>
    <w:rsid w:val="00C53E93"/>
    <w:rsid w:val="00C54194"/>
    <w:rsid w:val="00C54254"/>
    <w:rsid w:val="00C5472B"/>
    <w:rsid w:val="00C553FA"/>
    <w:rsid w:val="00C55B35"/>
    <w:rsid w:val="00C562AC"/>
    <w:rsid w:val="00C574AF"/>
    <w:rsid w:val="00C60BA6"/>
    <w:rsid w:val="00C60D77"/>
    <w:rsid w:val="00C6159F"/>
    <w:rsid w:val="00C616F6"/>
    <w:rsid w:val="00C61AB6"/>
    <w:rsid w:val="00C61FE7"/>
    <w:rsid w:val="00C62320"/>
    <w:rsid w:val="00C6276E"/>
    <w:rsid w:val="00C627D8"/>
    <w:rsid w:val="00C62870"/>
    <w:rsid w:val="00C629D4"/>
    <w:rsid w:val="00C639D2"/>
    <w:rsid w:val="00C63A1D"/>
    <w:rsid w:val="00C63D91"/>
    <w:rsid w:val="00C651E8"/>
    <w:rsid w:val="00C65250"/>
    <w:rsid w:val="00C6734F"/>
    <w:rsid w:val="00C6757D"/>
    <w:rsid w:val="00C67D85"/>
    <w:rsid w:val="00C70341"/>
    <w:rsid w:val="00C703AE"/>
    <w:rsid w:val="00C725A2"/>
    <w:rsid w:val="00C72826"/>
    <w:rsid w:val="00C734E5"/>
    <w:rsid w:val="00C7408A"/>
    <w:rsid w:val="00C740D3"/>
    <w:rsid w:val="00C74248"/>
    <w:rsid w:val="00C74565"/>
    <w:rsid w:val="00C7476C"/>
    <w:rsid w:val="00C74773"/>
    <w:rsid w:val="00C7558E"/>
    <w:rsid w:val="00C7569C"/>
    <w:rsid w:val="00C76DAC"/>
    <w:rsid w:val="00C77C4E"/>
    <w:rsid w:val="00C77DF0"/>
    <w:rsid w:val="00C81005"/>
    <w:rsid w:val="00C81BB4"/>
    <w:rsid w:val="00C8235A"/>
    <w:rsid w:val="00C8277A"/>
    <w:rsid w:val="00C8291A"/>
    <w:rsid w:val="00C82AF6"/>
    <w:rsid w:val="00C82C37"/>
    <w:rsid w:val="00C83677"/>
    <w:rsid w:val="00C844E2"/>
    <w:rsid w:val="00C84818"/>
    <w:rsid w:val="00C84F5A"/>
    <w:rsid w:val="00C858EE"/>
    <w:rsid w:val="00C85A3F"/>
    <w:rsid w:val="00C86628"/>
    <w:rsid w:val="00C86B42"/>
    <w:rsid w:val="00C87141"/>
    <w:rsid w:val="00C87486"/>
    <w:rsid w:val="00C87713"/>
    <w:rsid w:val="00C91073"/>
    <w:rsid w:val="00C91155"/>
    <w:rsid w:val="00C91EEA"/>
    <w:rsid w:val="00C921A0"/>
    <w:rsid w:val="00C922FB"/>
    <w:rsid w:val="00C935A3"/>
    <w:rsid w:val="00C93712"/>
    <w:rsid w:val="00C943BE"/>
    <w:rsid w:val="00C945E0"/>
    <w:rsid w:val="00C952FE"/>
    <w:rsid w:val="00C9553E"/>
    <w:rsid w:val="00C967DD"/>
    <w:rsid w:val="00C9744D"/>
    <w:rsid w:val="00C97860"/>
    <w:rsid w:val="00CA0ED1"/>
    <w:rsid w:val="00CA1144"/>
    <w:rsid w:val="00CA1BD5"/>
    <w:rsid w:val="00CA1E9B"/>
    <w:rsid w:val="00CA356D"/>
    <w:rsid w:val="00CA3A6E"/>
    <w:rsid w:val="00CA3F67"/>
    <w:rsid w:val="00CA4233"/>
    <w:rsid w:val="00CA50F9"/>
    <w:rsid w:val="00CA59DC"/>
    <w:rsid w:val="00CA6281"/>
    <w:rsid w:val="00CA6544"/>
    <w:rsid w:val="00CA6E0F"/>
    <w:rsid w:val="00CA71D0"/>
    <w:rsid w:val="00CB0135"/>
    <w:rsid w:val="00CB0170"/>
    <w:rsid w:val="00CB0AF7"/>
    <w:rsid w:val="00CB10DB"/>
    <w:rsid w:val="00CB152E"/>
    <w:rsid w:val="00CB1975"/>
    <w:rsid w:val="00CB36CE"/>
    <w:rsid w:val="00CB3E05"/>
    <w:rsid w:val="00CB533B"/>
    <w:rsid w:val="00CB53CA"/>
    <w:rsid w:val="00CB56A4"/>
    <w:rsid w:val="00CB5A08"/>
    <w:rsid w:val="00CB5F8A"/>
    <w:rsid w:val="00CB6466"/>
    <w:rsid w:val="00CB64B5"/>
    <w:rsid w:val="00CB7251"/>
    <w:rsid w:val="00CB7745"/>
    <w:rsid w:val="00CB7BB9"/>
    <w:rsid w:val="00CC033E"/>
    <w:rsid w:val="00CC240A"/>
    <w:rsid w:val="00CC2EF8"/>
    <w:rsid w:val="00CC2F00"/>
    <w:rsid w:val="00CC3152"/>
    <w:rsid w:val="00CC386D"/>
    <w:rsid w:val="00CC3C76"/>
    <w:rsid w:val="00CC41AB"/>
    <w:rsid w:val="00CC4795"/>
    <w:rsid w:val="00CC51E7"/>
    <w:rsid w:val="00CC6789"/>
    <w:rsid w:val="00CC702E"/>
    <w:rsid w:val="00CC70EE"/>
    <w:rsid w:val="00CC7D73"/>
    <w:rsid w:val="00CC7EC9"/>
    <w:rsid w:val="00CD0871"/>
    <w:rsid w:val="00CD246B"/>
    <w:rsid w:val="00CD24EB"/>
    <w:rsid w:val="00CD25C0"/>
    <w:rsid w:val="00CD2F9F"/>
    <w:rsid w:val="00CD3C56"/>
    <w:rsid w:val="00CD3D9C"/>
    <w:rsid w:val="00CD3E40"/>
    <w:rsid w:val="00CD3F14"/>
    <w:rsid w:val="00CD4012"/>
    <w:rsid w:val="00CD412A"/>
    <w:rsid w:val="00CD5001"/>
    <w:rsid w:val="00CD5537"/>
    <w:rsid w:val="00CD66C1"/>
    <w:rsid w:val="00CD704E"/>
    <w:rsid w:val="00CE0292"/>
    <w:rsid w:val="00CE15A8"/>
    <w:rsid w:val="00CE19F7"/>
    <w:rsid w:val="00CE1C3D"/>
    <w:rsid w:val="00CE4006"/>
    <w:rsid w:val="00CE4144"/>
    <w:rsid w:val="00CE4BBA"/>
    <w:rsid w:val="00CE4CBD"/>
    <w:rsid w:val="00CE5B23"/>
    <w:rsid w:val="00CE62D1"/>
    <w:rsid w:val="00CE681E"/>
    <w:rsid w:val="00CE682F"/>
    <w:rsid w:val="00CE68E7"/>
    <w:rsid w:val="00CE6EDC"/>
    <w:rsid w:val="00CE7183"/>
    <w:rsid w:val="00CF14CE"/>
    <w:rsid w:val="00CF16EA"/>
    <w:rsid w:val="00CF2408"/>
    <w:rsid w:val="00CF3005"/>
    <w:rsid w:val="00CF3132"/>
    <w:rsid w:val="00CF3827"/>
    <w:rsid w:val="00CF3A88"/>
    <w:rsid w:val="00CF4D20"/>
    <w:rsid w:val="00CF6504"/>
    <w:rsid w:val="00CF6DF3"/>
    <w:rsid w:val="00CF7816"/>
    <w:rsid w:val="00CF7BED"/>
    <w:rsid w:val="00D005C8"/>
    <w:rsid w:val="00D0125A"/>
    <w:rsid w:val="00D01350"/>
    <w:rsid w:val="00D02477"/>
    <w:rsid w:val="00D025E2"/>
    <w:rsid w:val="00D027C1"/>
    <w:rsid w:val="00D02806"/>
    <w:rsid w:val="00D03104"/>
    <w:rsid w:val="00D0335D"/>
    <w:rsid w:val="00D03CF5"/>
    <w:rsid w:val="00D03DD7"/>
    <w:rsid w:val="00D04B05"/>
    <w:rsid w:val="00D04E91"/>
    <w:rsid w:val="00D05A12"/>
    <w:rsid w:val="00D06A2D"/>
    <w:rsid w:val="00D06CF7"/>
    <w:rsid w:val="00D06E7B"/>
    <w:rsid w:val="00D071BB"/>
    <w:rsid w:val="00D07993"/>
    <w:rsid w:val="00D1021B"/>
    <w:rsid w:val="00D1108D"/>
    <w:rsid w:val="00D112C0"/>
    <w:rsid w:val="00D123D4"/>
    <w:rsid w:val="00D12683"/>
    <w:rsid w:val="00D12B77"/>
    <w:rsid w:val="00D13E33"/>
    <w:rsid w:val="00D14419"/>
    <w:rsid w:val="00D14F5B"/>
    <w:rsid w:val="00D155A6"/>
    <w:rsid w:val="00D1572B"/>
    <w:rsid w:val="00D15FEB"/>
    <w:rsid w:val="00D1679E"/>
    <w:rsid w:val="00D2163F"/>
    <w:rsid w:val="00D21752"/>
    <w:rsid w:val="00D21911"/>
    <w:rsid w:val="00D21961"/>
    <w:rsid w:val="00D21ACD"/>
    <w:rsid w:val="00D21D99"/>
    <w:rsid w:val="00D236BD"/>
    <w:rsid w:val="00D23BAF"/>
    <w:rsid w:val="00D23D07"/>
    <w:rsid w:val="00D23F4A"/>
    <w:rsid w:val="00D240AA"/>
    <w:rsid w:val="00D24358"/>
    <w:rsid w:val="00D24654"/>
    <w:rsid w:val="00D24D41"/>
    <w:rsid w:val="00D25BF1"/>
    <w:rsid w:val="00D25DE7"/>
    <w:rsid w:val="00D26114"/>
    <w:rsid w:val="00D26523"/>
    <w:rsid w:val="00D26FC5"/>
    <w:rsid w:val="00D30AC0"/>
    <w:rsid w:val="00D30F3D"/>
    <w:rsid w:val="00D31C6A"/>
    <w:rsid w:val="00D32BE6"/>
    <w:rsid w:val="00D33007"/>
    <w:rsid w:val="00D33FB1"/>
    <w:rsid w:val="00D34BCB"/>
    <w:rsid w:val="00D35054"/>
    <w:rsid w:val="00D35259"/>
    <w:rsid w:val="00D354B2"/>
    <w:rsid w:val="00D35B8E"/>
    <w:rsid w:val="00D35FF8"/>
    <w:rsid w:val="00D3734F"/>
    <w:rsid w:val="00D4020D"/>
    <w:rsid w:val="00D40401"/>
    <w:rsid w:val="00D406AD"/>
    <w:rsid w:val="00D40EB3"/>
    <w:rsid w:val="00D413B8"/>
    <w:rsid w:val="00D413D2"/>
    <w:rsid w:val="00D437B8"/>
    <w:rsid w:val="00D43B29"/>
    <w:rsid w:val="00D44B15"/>
    <w:rsid w:val="00D44F65"/>
    <w:rsid w:val="00D451F0"/>
    <w:rsid w:val="00D45439"/>
    <w:rsid w:val="00D45B57"/>
    <w:rsid w:val="00D45CD1"/>
    <w:rsid w:val="00D46638"/>
    <w:rsid w:val="00D47424"/>
    <w:rsid w:val="00D474C0"/>
    <w:rsid w:val="00D47630"/>
    <w:rsid w:val="00D479D8"/>
    <w:rsid w:val="00D47B0C"/>
    <w:rsid w:val="00D500E3"/>
    <w:rsid w:val="00D500F8"/>
    <w:rsid w:val="00D513CA"/>
    <w:rsid w:val="00D51691"/>
    <w:rsid w:val="00D51D49"/>
    <w:rsid w:val="00D51E6A"/>
    <w:rsid w:val="00D51EBA"/>
    <w:rsid w:val="00D5205D"/>
    <w:rsid w:val="00D5208F"/>
    <w:rsid w:val="00D5210D"/>
    <w:rsid w:val="00D52448"/>
    <w:rsid w:val="00D53214"/>
    <w:rsid w:val="00D5357B"/>
    <w:rsid w:val="00D54282"/>
    <w:rsid w:val="00D546A4"/>
    <w:rsid w:val="00D55D09"/>
    <w:rsid w:val="00D5685A"/>
    <w:rsid w:val="00D5720C"/>
    <w:rsid w:val="00D57864"/>
    <w:rsid w:val="00D6088F"/>
    <w:rsid w:val="00D60ED7"/>
    <w:rsid w:val="00D6104E"/>
    <w:rsid w:val="00D61A06"/>
    <w:rsid w:val="00D61AA1"/>
    <w:rsid w:val="00D61F2A"/>
    <w:rsid w:val="00D627F7"/>
    <w:rsid w:val="00D638EE"/>
    <w:rsid w:val="00D63BB8"/>
    <w:rsid w:val="00D6422A"/>
    <w:rsid w:val="00D65A0F"/>
    <w:rsid w:val="00D66168"/>
    <w:rsid w:val="00D6631E"/>
    <w:rsid w:val="00D6786E"/>
    <w:rsid w:val="00D679A2"/>
    <w:rsid w:val="00D67B7D"/>
    <w:rsid w:val="00D67F02"/>
    <w:rsid w:val="00D701F6"/>
    <w:rsid w:val="00D71436"/>
    <w:rsid w:val="00D7181A"/>
    <w:rsid w:val="00D71EC1"/>
    <w:rsid w:val="00D735AC"/>
    <w:rsid w:val="00D73DEA"/>
    <w:rsid w:val="00D73F04"/>
    <w:rsid w:val="00D745E1"/>
    <w:rsid w:val="00D750AD"/>
    <w:rsid w:val="00D7635D"/>
    <w:rsid w:val="00D769F3"/>
    <w:rsid w:val="00D77424"/>
    <w:rsid w:val="00D77D44"/>
    <w:rsid w:val="00D80154"/>
    <w:rsid w:val="00D8048E"/>
    <w:rsid w:val="00D805E2"/>
    <w:rsid w:val="00D806E4"/>
    <w:rsid w:val="00D808C9"/>
    <w:rsid w:val="00D80B06"/>
    <w:rsid w:val="00D80C4D"/>
    <w:rsid w:val="00D81245"/>
    <w:rsid w:val="00D81BE7"/>
    <w:rsid w:val="00D82636"/>
    <w:rsid w:val="00D82F35"/>
    <w:rsid w:val="00D84082"/>
    <w:rsid w:val="00D84980"/>
    <w:rsid w:val="00D84A82"/>
    <w:rsid w:val="00D86A40"/>
    <w:rsid w:val="00D87BFC"/>
    <w:rsid w:val="00D906B3"/>
    <w:rsid w:val="00D90B22"/>
    <w:rsid w:val="00D90FCE"/>
    <w:rsid w:val="00D91521"/>
    <w:rsid w:val="00D915C5"/>
    <w:rsid w:val="00D919DA"/>
    <w:rsid w:val="00D92271"/>
    <w:rsid w:val="00D93219"/>
    <w:rsid w:val="00D93CD7"/>
    <w:rsid w:val="00D94122"/>
    <w:rsid w:val="00D9480D"/>
    <w:rsid w:val="00D960ED"/>
    <w:rsid w:val="00D96320"/>
    <w:rsid w:val="00D967E5"/>
    <w:rsid w:val="00D96DC2"/>
    <w:rsid w:val="00D96F79"/>
    <w:rsid w:val="00D97C1D"/>
    <w:rsid w:val="00DA0A04"/>
    <w:rsid w:val="00DA1863"/>
    <w:rsid w:val="00DA1C16"/>
    <w:rsid w:val="00DA1CA5"/>
    <w:rsid w:val="00DA3D3A"/>
    <w:rsid w:val="00DA677D"/>
    <w:rsid w:val="00DA6E5E"/>
    <w:rsid w:val="00DA75A4"/>
    <w:rsid w:val="00DA7B20"/>
    <w:rsid w:val="00DB074F"/>
    <w:rsid w:val="00DB14AE"/>
    <w:rsid w:val="00DB1CA0"/>
    <w:rsid w:val="00DB273D"/>
    <w:rsid w:val="00DB2C6E"/>
    <w:rsid w:val="00DB3374"/>
    <w:rsid w:val="00DB3BC0"/>
    <w:rsid w:val="00DB3BE2"/>
    <w:rsid w:val="00DB3EC9"/>
    <w:rsid w:val="00DB43F8"/>
    <w:rsid w:val="00DB44C4"/>
    <w:rsid w:val="00DB454A"/>
    <w:rsid w:val="00DB50F9"/>
    <w:rsid w:val="00DB5909"/>
    <w:rsid w:val="00DB5B13"/>
    <w:rsid w:val="00DB6072"/>
    <w:rsid w:val="00DB7D9F"/>
    <w:rsid w:val="00DC0424"/>
    <w:rsid w:val="00DC248D"/>
    <w:rsid w:val="00DC2CFF"/>
    <w:rsid w:val="00DC31B1"/>
    <w:rsid w:val="00DC3950"/>
    <w:rsid w:val="00DC4318"/>
    <w:rsid w:val="00DC5770"/>
    <w:rsid w:val="00DC6661"/>
    <w:rsid w:val="00DC69A5"/>
    <w:rsid w:val="00DC72DD"/>
    <w:rsid w:val="00DC7B7A"/>
    <w:rsid w:val="00DC7D48"/>
    <w:rsid w:val="00DD0299"/>
    <w:rsid w:val="00DD04FF"/>
    <w:rsid w:val="00DD05A2"/>
    <w:rsid w:val="00DD0DEF"/>
    <w:rsid w:val="00DD19DF"/>
    <w:rsid w:val="00DD1C19"/>
    <w:rsid w:val="00DD1DE8"/>
    <w:rsid w:val="00DD1FCF"/>
    <w:rsid w:val="00DD27A8"/>
    <w:rsid w:val="00DD283D"/>
    <w:rsid w:val="00DD336D"/>
    <w:rsid w:val="00DD494D"/>
    <w:rsid w:val="00DD4A7B"/>
    <w:rsid w:val="00DD5BB8"/>
    <w:rsid w:val="00DD614D"/>
    <w:rsid w:val="00DD61D9"/>
    <w:rsid w:val="00DD68BF"/>
    <w:rsid w:val="00DD6A46"/>
    <w:rsid w:val="00DD7962"/>
    <w:rsid w:val="00DE0210"/>
    <w:rsid w:val="00DE0673"/>
    <w:rsid w:val="00DE0C19"/>
    <w:rsid w:val="00DE1331"/>
    <w:rsid w:val="00DE1A14"/>
    <w:rsid w:val="00DE1A3E"/>
    <w:rsid w:val="00DE2142"/>
    <w:rsid w:val="00DE2271"/>
    <w:rsid w:val="00DE301F"/>
    <w:rsid w:val="00DE354F"/>
    <w:rsid w:val="00DE4F63"/>
    <w:rsid w:val="00DE50A1"/>
    <w:rsid w:val="00DE6350"/>
    <w:rsid w:val="00DE659A"/>
    <w:rsid w:val="00DE6F5C"/>
    <w:rsid w:val="00DE7D15"/>
    <w:rsid w:val="00DE7E95"/>
    <w:rsid w:val="00DF13AA"/>
    <w:rsid w:val="00DF1BB4"/>
    <w:rsid w:val="00DF208F"/>
    <w:rsid w:val="00DF33A4"/>
    <w:rsid w:val="00DF4738"/>
    <w:rsid w:val="00DF4FDC"/>
    <w:rsid w:val="00DF5B40"/>
    <w:rsid w:val="00DF5C23"/>
    <w:rsid w:val="00DF5E34"/>
    <w:rsid w:val="00DF6554"/>
    <w:rsid w:val="00DF6D1C"/>
    <w:rsid w:val="00DF7329"/>
    <w:rsid w:val="00E0077E"/>
    <w:rsid w:val="00E00EB9"/>
    <w:rsid w:val="00E01420"/>
    <w:rsid w:val="00E02179"/>
    <w:rsid w:val="00E0240B"/>
    <w:rsid w:val="00E025F0"/>
    <w:rsid w:val="00E0288A"/>
    <w:rsid w:val="00E03533"/>
    <w:rsid w:val="00E041DA"/>
    <w:rsid w:val="00E0463F"/>
    <w:rsid w:val="00E04D24"/>
    <w:rsid w:val="00E05E84"/>
    <w:rsid w:val="00E062ED"/>
    <w:rsid w:val="00E0650C"/>
    <w:rsid w:val="00E06C78"/>
    <w:rsid w:val="00E10A1F"/>
    <w:rsid w:val="00E116A7"/>
    <w:rsid w:val="00E12D22"/>
    <w:rsid w:val="00E13980"/>
    <w:rsid w:val="00E14CE4"/>
    <w:rsid w:val="00E156EA"/>
    <w:rsid w:val="00E15B5A"/>
    <w:rsid w:val="00E15E93"/>
    <w:rsid w:val="00E163EB"/>
    <w:rsid w:val="00E165D7"/>
    <w:rsid w:val="00E17485"/>
    <w:rsid w:val="00E17E3E"/>
    <w:rsid w:val="00E20ABE"/>
    <w:rsid w:val="00E20AD8"/>
    <w:rsid w:val="00E213F6"/>
    <w:rsid w:val="00E219D7"/>
    <w:rsid w:val="00E223D3"/>
    <w:rsid w:val="00E22D7C"/>
    <w:rsid w:val="00E22D97"/>
    <w:rsid w:val="00E25D6B"/>
    <w:rsid w:val="00E26708"/>
    <w:rsid w:val="00E26E79"/>
    <w:rsid w:val="00E26E8F"/>
    <w:rsid w:val="00E27150"/>
    <w:rsid w:val="00E271E6"/>
    <w:rsid w:val="00E27E0B"/>
    <w:rsid w:val="00E3004F"/>
    <w:rsid w:val="00E30AA0"/>
    <w:rsid w:val="00E32730"/>
    <w:rsid w:val="00E33AE1"/>
    <w:rsid w:val="00E33AF5"/>
    <w:rsid w:val="00E34843"/>
    <w:rsid w:val="00E35325"/>
    <w:rsid w:val="00E35F7E"/>
    <w:rsid w:val="00E37F48"/>
    <w:rsid w:val="00E427C1"/>
    <w:rsid w:val="00E42D74"/>
    <w:rsid w:val="00E4437B"/>
    <w:rsid w:val="00E4550B"/>
    <w:rsid w:val="00E47FFD"/>
    <w:rsid w:val="00E50352"/>
    <w:rsid w:val="00E50BB4"/>
    <w:rsid w:val="00E51172"/>
    <w:rsid w:val="00E51502"/>
    <w:rsid w:val="00E51521"/>
    <w:rsid w:val="00E52B9E"/>
    <w:rsid w:val="00E52E28"/>
    <w:rsid w:val="00E53040"/>
    <w:rsid w:val="00E53A2B"/>
    <w:rsid w:val="00E53C05"/>
    <w:rsid w:val="00E53F1D"/>
    <w:rsid w:val="00E5531B"/>
    <w:rsid w:val="00E5538F"/>
    <w:rsid w:val="00E55EB8"/>
    <w:rsid w:val="00E55EF3"/>
    <w:rsid w:val="00E56EA6"/>
    <w:rsid w:val="00E57496"/>
    <w:rsid w:val="00E57BFE"/>
    <w:rsid w:val="00E61E59"/>
    <w:rsid w:val="00E62917"/>
    <w:rsid w:val="00E63147"/>
    <w:rsid w:val="00E6391B"/>
    <w:rsid w:val="00E6401F"/>
    <w:rsid w:val="00E64182"/>
    <w:rsid w:val="00E643C1"/>
    <w:rsid w:val="00E648F5"/>
    <w:rsid w:val="00E64BC8"/>
    <w:rsid w:val="00E6546B"/>
    <w:rsid w:val="00E661F7"/>
    <w:rsid w:val="00E6655C"/>
    <w:rsid w:val="00E667AE"/>
    <w:rsid w:val="00E7033F"/>
    <w:rsid w:val="00E7195F"/>
    <w:rsid w:val="00E71D98"/>
    <w:rsid w:val="00E71F52"/>
    <w:rsid w:val="00E739A3"/>
    <w:rsid w:val="00E73DEE"/>
    <w:rsid w:val="00E74D40"/>
    <w:rsid w:val="00E7591D"/>
    <w:rsid w:val="00E75993"/>
    <w:rsid w:val="00E75A35"/>
    <w:rsid w:val="00E7634E"/>
    <w:rsid w:val="00E7694C"/>
    <w:rsid w:val="00E776AA"/>
    <w:rsid w:val="00E8048A"/>
    <w:rsid w:val="00E80B47"/>
    <w:rsid w:val="00E810C8"/>
    <w:rsid w:val="00E81876"/>
    <w:rsid w:val="00E823BF"/>
    <w:rsid w:val="00E8272D"/>
    <w:rsid w:val="00E83B00"/>
    <w:rsid w:val="00E84018"/>
    <w:rsid w:val="00E84236"/>
    <w:rsid w:val="00E854A6"/>
    <w:rsid w:val="00E86336"/>
    <w:rsid w:val="00E86DA0"/>
    <w:rsid w:val="00E86FEC"/>
    <w:rsid w:val="00E8710A"/>
    <w:rsid w:val="00E8779C"/>
    <w:rsid w:val="00E901F5"/>
    <w:rsid w:val="00E91CAA"/>
    <w:rsid w:val="00E91E1E"/>
    <w:rsid w:val="00E924DE"/>
    <w:rsid w:val="00E92636"/>
    <w:rsid w:val="00E92715"/>
    <w:rsid w:val="00E92AF2"/>
    <w:rsid w:val="00E93228"/>
    <w:rsid w:val="00E93232"/>
    <w:rsid w:val="00E939EB"/>
    <w:rsid w:val="00E93F1E"/>
    <w:rsid w:val="00E9496F"/>
    <w:rsid w:val="00E949DF"/>
    <w:rsid w:val="00E9561B"/>
    <w:rsid w:val="00E95F60"/>
    <w:rsid w:val="00E970D3"/>
    <w:rsid w:val="00E975F7"/>
    <w:rsid w:val="00EA095C"/>
    <w:rsid w:val="00EA20EE"/>
    <w:rsid w:val="00EA29FC"/>
    <w:rsid w:val="00EA305A"/>
    <w:rsid w:val="00EA3572"/>
    <w:rsid w:val="00EA3ADC"/>
    <w:rsid w:val="00EA3EE1"/>
    <w:rsid w:val="00EA4173"/>
    <w:rsid w:val="00EA434F"/>
    <w:rsid w:val="00EA4BA0"/>
    <w:rsid w:val="00EA5066"/>
    <w:rsid w:val="00EA5B7B"/>
    <w:rsid w:val="00EA620F"/>
    <w:rsid w:val="00EA67A3"/>
    <w:rsid w:val="00EA7494"/>
    <w:rsid w:val="00EB0033"/>
    <w:rsid w:val="00EB00F7"/>
    <w:rsid w:val="00EB0147"/>
    <w:rsid w:val="00EB1189"/>
    <w:rsid w:val="00EB3203"/>
    <w:rsid w:val="00EB50BE"/>
    <w:rsid w:val="00EB540F"/>
    <w:rsid w:val="00EB5EAC"/>
    <w:rsid w:val="00EB78AE"/>
    <w:rsid w:val="00EC0021"/>
    <w:rsid w:val="00EC0D19"/>
    <w:rsid w:val="00EC130B"/>
    <w:rsid w:val="00EC4696"/>
    <w:rsid w:val="00EC5064"/>
    <w:rsid w:val="00EC517C"/>
    <w:rsid w:val="00EC5914"/>
    <w:rsid w:val="00EC5CDE"/>
    <w:rsid w:val="00EC5D33"/>
    <w:rsid w:val="00EC6676"/>
    <w:rsid w:val="00EC672A"/>
    <w:rsid w:val="00EC7306"/>
    <w:rsid w:val="00EC746A"/>
    <w:rsid w:val="00EC75A5"/>
    <w:rsid w:val="00EC75B7"/>
    <w:rsid w:val="00EC76A9"/>
    <w:rsid w:val="00EC7EA4"/>
    <w:rsid w:val="00ED1B5A"/>
    <w:rsid w:val="00ED1FAF"/>
    <w:rsid w:val="00ED2755"/>
    <w:rsid w:val="00ED3D4D"/>
    <w:rsid w:val="00ED56B5"/>
    <w:rsid w:val="00ED58BA"/>
    <w:rsid w:val="00ED6406"/>
    <w:rsid w:val="00EE061C"/>
    <w:rsid w:val="00EE07B8"/>
    <w:rsid w:val="00EE1860"/>
    <w:rsid w:val="00EE1A39"/>
    <w:rsid w:val="00EE1C4D"/>
    <w:rsid w:val="00EE22E5"/>
    <w:rsid w:val="00EE319D"/>
    <w:rsid w:val="00EE3ABD"/>
    <w:rsid w:val="00EE3E22"/>
    <w:rsid w:val="00EE656D"/>
    <w:rsid w:val="00EE6E12"/>
    <w:rsid w:val="00EF2108"/>
    <w:rsid w:val="00EF2769"/>
    <w:rsid w:val="00EF279F"/>
    <w:rsid w:val="00EF291A"/>
    <w:rsid w:val="00EF6002"/>
    <w:rsid w:val="00EF615E"/>
    <w:rsid w:val="00EF6405"/>
    <w:rsid w:val="00EF67EA"/>
    <w:rsid w:val="00EF6F51"/>
    <w:rsid w:val="00F00390"/>
    <w:rsid w:val="00F01871"/>
    <w:rsid w:val="00F0191D"/>
    <w:rsid w:val="00F019D8"/>
    <w:rsid w:val="00F020C3"/>
    <w:rsid w:val="00F02196"/>
    <w:rsid w:val="00F02E1B"/>
    <w:rsid w:val="00F02E4E"/>
    <w:rsid w:val="00F03195"/>
    <w:rsid w:val="00F047EF"/>
    <w:rsid w:val="00F05085"/>
    <w:rsid w:val="00F06649"/>
    <w:rsid w:val="00F06A12"/>
    <w:rsid w:val="00F06F9C"/>
    <w:rsid w:val="00F100F2"/>
    <w:rsid w:val="00F12A52"/>
    <w:rsid w:val="00F12BF5"/>
    <w:rsid w:val="00F12C4F"/>
    <w:rsid w:val="00F13D11"/>
    <w:rsid w:val="00F13DD0"/>
    <w:rsid w:val="00F14DE8"/>
    <w:rsid w:val="00F155E1"/>
    <w:rsid w:val="00F166F6"/>
    <w:rsid w:val="00F16B66"/>
    <w:rsid w:val="00F16C52"/>
    <w:rsid w:val="00F176FD"/>
    <w:rsid w:val="00F20AFF"/>
    <w:rsid w:val="00F21997"/>
    <w:rsid w:val="00F22828"/>
    <w:rsid w:val="00F229B8"/>
    <w:rsid w:val="00F2349B"/>
    <w:rsid w:val="00F24264"/>
    <w:rsid w:val="00F24AB5"/>
    <w:rsid w:val="00F253CA"/>
    <w:rsid w:val="00F2592D"/>
    <w:rsid w:val="00F25CA3"/>
    <w:rsid w:val="00F302B0"/>
    <w:rsid w:val="00F30CC3"/>
    <w:rsid w:val="00F318E8"/>
    <w:rsid w:val="00F33E9D"/>
    <w:rsid w:val="00F3545D"/>
    <w:rsid w:val="00F35832"/>
    <w:rsid w:val="00F35913"/>
    <w:rsid w:val="00F35A78"/>
    <w:rsid w:val="00F35F27"/>
    <w:rsid w:val="00F360BA"/>
    <w:rsid w:val="00F36181"/>
    <w:rsid w:val="00F365A6"/>
    <w:rsid w:val="00F371EC"/>
    <w:rsid w:val="00F37363"/>
    <w:rsid w:val="00F376BC"/>
    <w:rsid w:val="00F4027F"/>
    <w:rsid w:val="00F40EE9"/>
    <w:rsid w:val="00F426B4"/>
    <w:rsid w:val="00F43306"/>
    <w:rsid w:val="00F43369"/>
    <w:rsid w:val="00F43587"/>
    <w:rsid w:val="00F439DA"/>
    <w:rsid w:val="00F4420D"/>
    <w:rsid w:val="00F453AD"/>
    <w:rsid w:val="00F46C56"/>
    <w:rsid w:val="00F46D12"/>
    <w:rsid w:val="00F46DF4"/>
    <w:rsid w:val="00F4742E"/>
    <w:rsid w:val="00F47AEE"/>
    <w:rsid w:val="00F51142"/>
    <w:rsid w:val="00F5117B"/>
    <w:rsid w:val="00F5162B"/>
    <w:rsid w:val="00F51F61"/>
    <w:rsid w:val="00F52CCD"/>
    <w:rsid w:val="00F53306"/>
    <w:rsid w:val="00F53BB0"/>
    <w:rsid w:val="00F540EE"/>
    <w:rsid w:val="00F545A1"/>
    <w:rsid w:val="00F55147"/>
    <w:rsid w:val="00F568B3"/>
    <w:rsid w:val="00F60D57"/>
    <w:rsid w:val="00F61510"/>
    <w:rsid w:val="00F6181A"/>
    <w:rsid w:val="00F619A0"/>
    <w:rsid w:val="00F6274A"/>
    <w:rsid w:val="00F62DEA"/>
    <w:rsid w:val="00F63F07"/>
    <w:rsid w:val="00F6479D"/>
    <w:rsid w:val="00F64D8A"/>
    <w:rsid w:val="00F65261"/>
    <w:rsid w:val="00F656A7"/>
    <w:rsid w:val="00F67E1F"/>
    <w:rsid w:val="00F70A16"/>
    <w:rsid w:val="00F725FE"/>
    <w:rsid w:val="00F72E8C"/>
    <w:rsid w:val="00F74774"/>
    <w:rsid w:val="00F74A6C"/>
    <w:rsid w:val="00F75860"/>
    <w:rsid w:val="00F759DD"/>
    <w:rsid w:val="00F76B8C"/>
    <w:rsid w:val="00F77E62"/>
    <w:rsid w:val="00F80280"/>
    <w:rsid w:val="00F80325"/>
    <w:rsid w:val="00F81CCE"/>
    <w:rsid w:val="00F82A9C"/>
    <w:rsid w:val="00F8386D"/>
    <w:rsid w:val="00F854AE"/>
    <w:rsid w:val="00F85950"/>
    <w:rsid w:val="00F85D0E"/>
    <w:rsid w:val="00F86A0B"/>
    <w:rsid w:val="00F8713E"/>
    <w:rsid w:val="00F87FF3"/>
    <w:rsid w:val="00F906DC"/>
    <w:rsid w:val="00F91297"/>
    <w:rsid w:val="00F914BC"/>
    <w:rsid w:val="00F91A5F"/>
    <w:rsid w:val="00F91EA1"/>
    <w:rsid w:val="00F92444"/>
    <w:rsid w:val="00F92584"/>
    <w:rsid w:val="00F92760"/>
    <w:rsid w:val="00F93349"/>
    <w:rsid w:val="00F93832"/>
    <w:rsid w:val="00F93D31"/>
    <w:rsid w:val="00F942FF"/>
    <w:rsid w:val="00F9633D"/>
    <w:rsid w:val="00F9642C"/>
    <w:rsid w:val="00F96DFA"/>
    <w:rsid w:val="00F97664"/>
    <w:rsid w:val="00FA0F93"/>
    <w:rsid w:val="00FA1042"/>
    <w:rsid w:val="00FA1448"/>
    <w:rsid w:val="00FA17B5"/>
    <w:rsid w:val="00FA236E"/>
    <w:rsid w:val="00FA2D5D"/>
    <w:rsid w:val="00FA2D85"/>
    <w:rsid w:val="00FA4583"/>
    <w:rsid w:val="00FA4651"/>
    <w:rsid w:val="00FA4A20"/>
    <w:rsid w:val="00FA5F8E"/>
    <w:rsid w:val="00FA769C"/>
    <w:rsid w:val="00FA7760"/>
    <w:rsid w:val="00FB09ED"/>
    <w:rsid w:val="00FB0BD6"/>
    <w:rsid w:val="00FB0C95"/>
    <w:rsid w:val="00FB1DD8"/>
    <w:rsid w:val="00FB28DD"/>
    <w:rsid w:val="00FB29B6"/>
    <w:rsid w:val="00FB2FA3"/>
    <w:rsid w:val="00FB346C"/>
    <w:rsid w:val="00FB454E"/>
    <w:rsid w:val="00FB52D9"/>
    <w:rsid w:val="00FB5AFF"/>
    <w:rsid w:val="00FB6314"/>
    <w:rsid w:val="00FB65C6"/>
    <w:rsid w:val="00FB6E02"/>
    <w:rsid w:val="00FB7333"/>
    <w:rsid w:val="00FB7691"/>
    <w:rsid w:val="00FB7848"/>
    <w:rsid w:val="00FC06AC"/>
    <w:rsid w:val="00FC09A4"/>
    <w:rsid w:val="00FC27FE"/>
    <w:rsid w:val="00FC2B2E"/>
    <w:rsid w:val="00FC3147"/>
    <w:rsid w:val="00FC3503"/>
    <w:rsid w:val="00FC4306"/>
    <w:rsid w:val="00FC4479"/>
    <w:rsid w:val="00FC57C6"/>
    <w:rsid w:val="00FC590A"/>
    <w:rsid w:val="00FC7233"/>
    <w:rsid w:val="00FC74CA"/>
    <w:rsid w:val="00FD014D"/>
    <w:rsid w:val="00FD257E"/>
    <w:rsid w:val="00FD2D94"/>
    <w:rsid w:val="00FD3BAC"/>
    <w:rsid w:val="00FD49C8"/>
    <w:rsid w:val="00FD53FE"/>
    <w:rsid w:val="00FD6291"/>
    <w:rsid w:val="00FD6E4F"/>
    <w:rsid w:val="00FD6FA2"/>
    <w:rsid w:val="00FE0D6F"/>
    <w:rsid w:val="00FE0F1E"/>
    <w:rsid w:val="00FE1288"/>
    <w:rsid w:val="00FE1C86"/>
    <w:rsid w:val="00FE1F1A"/>
    <w:rsid w:val="00FE2360"/>
    <w:rsid w:val="00FE27C5"/>
    <w:rsid w:val="00FE3441"/>
    <w:rsid w:val="00FE47F2"/>
    <w:rsid w:val="00FE4BD1"/>
    <w:rsid w:val="00FE52E3"/>
    <w:rsid w:val="00FE6793"/>
    <w:rsid w:val="00FE6C7F"/>
    <w:rsid w:val="00FE79ED"/>
    <w:rsid w:val="00FF1F9D"/>
    <w:rsid w:val="00FF2969"/>
    <w:rsid w:val="00FF2B30"/>
    <w:rsid w:val="00FF38C5"/>
    <w:rsid w:val="00FF3CF5"/>
    <w:rsid w:val="00FF4439"/>
    <w:rsid w:val="00FF458D"/>
    <w:rsid w:val="00FF4FBE"/>
    <w:rsid w:val="00FF52B1"/>
    <w:rsid w:val="00FF567C"/>
    <w:rsid w:val="00FF66EF"/>
    <w:rsid w:val="00FF67CC"/>
    <w:rsid w:val="00FF74A2"/>
    <w:rsid w:val="00FF766B"/>
    <w:rsid w:val="00FF7726"/>
    <w:rsid w:val="00FF77AD"/>
    <w:rsid w:val="01F9E196"/>
    <w:rsid w:val="036A7904"/>
    <w:rsid w:val="038E6DB2"/>
    <w:rsid w:val="03C60689"/>
    <w:rsid w:val="03CAD0C9"/>
    <w:rsid w:val="04474AA2"/>
    <w:rsid w:val="044D9EC3"/>
    <w:rsid w:val="04961945"/>
    <w:rsid w:val="057A7A0F"/>
    <w:rsid w:val="05CD7110"/>
    <w:rsid w:val="06EC0BF7"/>
    <w:rsid w:val="0705390B"/>
    <w:rsid w:val="0791DDBD"/>
    <w:rsid w:val="07DF097F"/>
    <w:rsid w:val="0825BB14"/>
    <w:rsid w:val="08CB34D2"/>
    <w:rsid w:val="094584B9"/>
    <w:rsid w:val="0A0421B2"/>
    <w:rsid w:val="0A9C399E"/>
    <w:rsid w:val="0B16C108"/>
    <w:rsid w:val="0C2A1F75"/>
    <w:rsid w:val="0D7F627F"/>
    <w:rsid w:val="0F214689"/>
    <w:rsid w:val="106B7BC2"/>
    <w:rsid w:val="10BFF546"/>
    <w:rsid w:val="11C774A2"/>
    <w:rsid w:val="137FF43B"/>
    <w:rsid w:val="138C6096"/>
    <w:rsid w:val="1468AE23"/>
    <w:rsid w:val="15357834"/>
    <w:rsid w:val="164A7C2C"/>
    <w:rsid w:val="166FC173"/>
    <w:rsid w:val="168E1E25"/>
    <w:rsid w:val="16ED7DF2"/>
    <w:rsid w:val="173FDDA9"/>
    <w:rsid w:val="17408EE8"/>
    <w:rsid w:val="17962CFF"/>
    <w:rsid w:val="19C95C7E"/>
    <w:rsid w:val="1AE92D55"/>
    <w:rsid w:val="1BD82760"/>
    <w:rsid w:val="1CEB6B5F"/>
    <w:rsid w:val="1CFB8477"/>
    <w:rsid w:val="1D5880F8"/>
    <w:rsid w:val="1D7E9B41"/>
    <w:rsid w:val="1DEA2055"/>
    <w:rsid w:val="1EF3B128"/>
    <w:rsid w:val="1F145A22"/>
    <w:rsid w:val="1F6AD68A"/>
    <w:rsid w:val="1F7CBA1A"/>
    <w:rsid w:val="20496A4D"/>
    <w:rsid w:val="20C67BB9"/>
    <w:rsid w:val="214AC949"/>
    <w:rsid w:val="21622982"/>
    <w:rsid w:val="21B29050"/>
    <w:rsid w:val="2261AE59"/>
    <w:rsid w:val="249B90AF"/>
    <w:rsid w:val="24D0824F"/>
    <w:rsid w:val="2522010D"/>
    <w:rsid w:val="25469881"/>
    <w:rsid w:val="2573D818"/>
    <w:rsid w:val="25D18ABC"/>
    <w:rsid w:val="26171AC7"/>
    <w:rsid w:val="2724A79F"/>
    <w:rsid w:val="27F5727F"/>
    <w:rsid w:val="283AED3A"/>
    <w:rsid w:val="28DD5AEB"/>
    <w:rsid w:val="29C67955"/>
    <w:rsid w:val="2B0696A0"/>
    <w:rsid w:val="2B3CBD37"/>
    <w:rsid w:val="2B98F480"/>
    <w:rsid w:val="2C0C8264"/>
    <w:rsid w:val="2CB87865"/>
    <w:rsid w:val="2CC05F5B"/>
    <w:rsid w:val="2DB9D818"/>
    <w:rsid w:val="2E42B479"/>
    <w:rsid w:val="2FBB5898"/>
    <w:rsid w:val="2FD8C051"/>
    <w:rsid w:val="2FF5B598"/>
    <w:rsid w:val="30A6280B"/>
    <w:rsid w:val="318BDE2D"/>
    <w:rsid w:val="31ABB78F"/>
    <w:rsid w:val="31F7896F"/>
    <w:rsid w:val="32378756"/>
    <w:rsid w:val="32911314"/>
    <w:rsid w:val="32F5C840"/>
    <w:rsid w:val="336D2905"/>
    <w:rsid w:val="3452EAD5"/>
    <w:rsid w:val="34DAAA7B"/>
    <w:rsid w:val="356B2034"/>
    <w:rsid w:val="3626622C"/>
    <w:rsid w:val="36A9BFE8"/>
    <w:rsid w:val="36F60649"/>
    <w:rsid w:val="370FEA74"/>
    <w:rsid w:val="3710D605"/>
    <w:rsid w:val="3743E18A"/>
    <w:rsid w:val="38D5C742"/>
    <w:rsid w:val="38F89FA8"/>
    <w:rsid w:val="3901AB73"/>
    <w:rsid w:val="3906F421"/>
    <w:rsid w:val="3947CAF9"/>
    <w:rsid w:val="3956CA19"/>
    <w:rsid w:val="39A08CEF"/>
    <w:rsid w:val="3B534921"/>
    <w:rsid w:val="3C0AF797"/>
    <w:rsid w:val="3C0C0CA1"/>
    <w:rsid w:val="3E0572D5"/>
    <w:rsid w:val="3F2EA9ED"/>
    <w:rsid w:val="3FCF7784"/>
    <w:rsid w:val="40044F1B"/>
    <w:rsid w:val="41C8CDDE"/>
    <w:rsid w:val="4290F4FD"/>
    <w:rsid w:val="435DECC3"/>
    <w:rsid w:val="4381BC8A"/>
    <w:rsid w:val="439A748B"/>
    <w:rsid w:val="43BDBD58"/>
    <w:rsid w:val="43DC6BCE"/>
    <w:rsid w:val="43EEA7D8"/>
    <w:rsid w:val="446381AC"/>
    <w:rsid w:val="4468BBA8"/>
    <w:rsid w:val="4547795D"/>
    <w:rsid w:val="46692284"/>
    <w:rsid w:val="471D2F56"/>
    <w:rsid w:val="480B9E40"/>
    <w:rsid w:val="4922A462"/>
    <w:rsid w:val="49AD87AB"/>
    <w:rsid w:val="4AC904A7"/>
    <w:rsid w:val="4AEAC86A"/>
    <w:rsid w:val="4B4E4E8D"/>
    <w:rsid w:val="4BEC4963"/>
    <w:rsid w:val="4BEE96A0"/>
    <w:rsid w:val="4C0326EA"/>
    <w:rsid w:val="4CB89746"/>
    <w:rsid w:val="4D3BE287"/>
    <w:rsid w:val="4D3FCC72"/>
    <w:rsid w:val="4DE10727"/>
    <w:rsid w:val="4E89C673"/>
    <w:rsid w:val="4EB11198"/>
    <w:rsid w:val="4F06B5D9"/>
    <w:rsid w:val="4F131E30"/>
    <w:rsid w:val="50122BC7"/>
    <w:rsid w:val="5099DD6E"/>
    <w:rsid w:val="517F3050"/>
    <w:rsid w:val="51A7B03C"/>
    <w:rsid w:val="52644E1F"/>
    <w:rsid w:val="527E7B4C"/>
    <w:rsid w:val="53E366DC"/>
    <w:rsid w:val="549EEDC7"/>
    <w:rsid w:val="56837356"/>
    <w:rsid w:val="57AC7896"/>
    <w:rsid w:val="57C46AFA"/>
    <w:rsid w:val="57D7A6B0"/>
    <w:rsid w:val="5823B9BA"/>
    <w:rsid w:val="59DFEBA7"/>
    <w:rsid w:val="59E213B1"/>
    <w:rsid w:val="5A7B42F5"/>
    <w:rsid w:val="5B2D6741"/>
    <w:rsid w:val="5B319293"/>
    <w:rsid w:val="5BAB29C7"/>
    <w:rsid w:val="5BBDB5F0"/>
    <w:rsid w:val="5CA66177"/>
    <w:rsid w:val="5CD0F37B"/>
    <w:rsid w:val="5D45AF54"/>
    <w:rsid w:val="5E588E2C"/>
    <w:rsid w:val="5FB9AFAA"/>
    <w:rsid w:val="5FCAAF27"/>
    <w:rsid w:val="61EB8E3D"/>
    <w:rsid w:val="6276D9C8"/>
    <w:rsid w:val="6277308D"/>
    <w:rsid w:val="62A885CC"/>
    <w:rsid w:val="62B96CF7"/>
    <w:rsid w:val="65419460"/>
    <w:rsid w:val="65B4811D"/>
    <w:rsid w:val="66687D7F"/>
    <w:rsid w:val="66CFF415"/>
    <w:rsid w:val="67C534AE"/>
    <w:rsid w:val="67FD6B88"/>
    <w:rsid w:val="68297009"/>
    <w:rsid w:val="686B65A3"/>
    <w:rsid w:val="68DF832C"/>
    <w:rsid w:val="690B5C2D"/>
    <w:rsid w:val="69F96361"/>
    <w:rsid w:val="6B0F1106"/>
    <w:rsid w:val="6B876D37"/>
    <w:rsid w:val="6B937701"/>
    <w:rsid w:val="6CD3E4DA"/>
    <w:rsid w:val="6D45B179"/>
    <w:rsid w:val="6DC0B738"/>
    <w:rsid w:val="6ED74214"/>
    <w:rsid w:val="6F422D9C"/>
    <w:rsid w:val="716D4B76"/>
    <w:rsid w:val="728AB458"/>
    <w:rsid w:val="72EE0013"/>
    <w:rsid w:val="73170AEB"/>
    <w:rsid w:val="7323B6D8"/>
    <w:rsid w:val="732990A3"/>
    <w:rsid w:val="7346D817"/>
    <w:rsid w:val="742D0708"/>
    <w:rsid w:val="74B54A05"/>
    <w:rsid w:val="74F137B0"/>
    <w:rsid w:val="7505AB3E"/>
    <w:rsid w:val="7531A8AA"/>
    <w:rsid w:val="7578498F"/>
    <w:rsid w:val="75CC1299"/>
    <w:rsid w:val="75E3A296"/>
    <w:rsid w:val="760329E1"/>
    <w:rsid w:val="786C5DBA"/>
    <w:rsid w:val="7877EC08"/>
    <w:rsid w:val="78972171"/>
    <w:rsid w:val="7979A81D"/>
    <w:rsid w:val="79D54D3F"/>
    <w:rsid w:val="79DEB5D8"/>
    <w:rsid w:val="7A0D5D91"/>
    <w:rsid w:val="7A24E727"/>
    <w:rsid w:val="7A808429"/>
    <w:rsid w:val="7AACD254"/>
    <w:rsid w:val="7B0E619D"/>
    <w:rsid w:val="7B649DB8"/>
    <w:rsid w:val="7BE2852C"/>
    <w:rsid w:val="7D633720"/>
    <w:rsid w:val="7D6EA428"/>
    <w:rsid w:val="7D9458C3"/>
    <w:rsid w:val="7E162AE3"/>
    <w:rsid w:val="7E1B8A7C"/>
    <w:rsid w:val="7E9EB985"/>
    <w:rsid w:val="7ED1D152"/>
    <w:rsid w:val="7EEED41D"/>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8E2FE10"/>
  <w15:docId w15:val="{6C7BD3D4-E7FE-42CA-B77E-356FC6C93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2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iPriority="1" w:unhideWhenUsed="1"/>
    <w:lsdException w:name="index 9" w:semiHidden="1" w:uiPriority="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1" w:unhideWhenUsed="1"/>
    <w:lsdException w:name="footer" w:semiHidden="1" w:unhideWhenUsed="1"/>
    <w:lsdException w:name="index heading" w:semiHidden="1" w:uiPriority="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iPriority="0" w:unhideWhenUsed="1"/>
    <w:lsdException w:name="List Bullet 4" w:semiHidden="1" w:unhideWhenUsed="1"/>
    <w:lsdException w:name="List Bullet 5" w:semiHidden="1" w:uiPriority="0" w:unhideWhenUsed="1"/>
    <w:lsdException w:name="List Number 2" w:semiHidden="1" w:uiPriority="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iPriority="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lsdException w:name="Body Text 3" w:semiHidden="1" w:unhideWhenUsed="1"/>
    <w:lsdException w:name="Body Text Indent 2" w:semiHidden="1" w:uiPriority="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408C"/>
  </w:style>
  <w:style w:type="paragraph" w:styleId="Heading1">
    <w:name w:val="heading 1"/>
    <w:aliases w:val="(Section),cover1,intoduction,head1,h1,Heading 1a,H1,1,Header 1,Heading 1 CFMU,Para 1,OS1,Headline,Numbered 1 (SBC),Arial 14 Fett,Arial 14 Fett1,Arial 14 Fett2,Heading 1- SBC,l1,Head1,Heading apps,Opening,BMS Heading 1,Heading 0,VIS"/>
    <w:basedOn w:val="Normal"/>
    <w:next w:val="Text1"/>
    <w:link w:val="Heading1Char"/>
    <w:uiPriority w:val="9"/>
    <w:qFormat/>
    <w:rsid w:val="008530D4"/>
    <w:pPr>
      <w:keepNext/>
      <w:spacing w:before="240" w:after="240" w:line="240" w:lineRule="auto"/>
      <w:jc w:val="both"/>
      <w:outlineLvl w:val="0"/>
    </w:pPr>
    <w:rPr>
      <w:rFonts w:ascii="Times New Roman" w:eastAsia="Times New Roman" w:hAnsi="Times New Roman" w:cs="Times New Roman"/>
      <w:b/>
      <w:smallCaps/>
      <w:sz w:val="24"/>
      <w:szCs w:val="20"/>
      <w:lang w:val="en-GB"/>
    </w:rPr>
  </w:style>
  <w:style w:type="paragraph" w:styleId="Heading2">
    <w:name w:val="heading 2"/>
    <w:aliases w:val="Contrat 2,Sub Topic,Body text 2,Chapter Number/Appendix Letter,chn,h2,2,Header 2,l2,H2,Punt 2,Normal 2,Subheading,2 headline,Heading 2 CFMU,Para 2,head 2,header2,h21,head 21,header21,h22,head 22,header22,h23,head 23,header23,h211,H21"/>
    <w:basedOn w:val="Normal"/>
    <w:next w:val="Normal"/>
    <w:link w:val="Heading2Char"/>
    <w:uiPriority w:val="99"/>
    <w:qFormat/>
    <w:rsid w:val="008530D4"/>
    <w:pPr>
      <w:keepNext/>
      <w:spacing w:after="240" w:line="240" w:lineRule="auto"/>
      <w:jc w:val="both"/>
      <w:outlineLvl w:val="1"/>
    </w:pPr>
    <w:rPr>
      <w:rFonts w:ascii="Times New Roman" w:eastAsia="Times New Roman" w:hAnsi="Times New Roman" w:cs="Times New Roman"/>
      <w:b/>
      <w:sz w:val="24"/>
      <w:szCs w:val="20"/>
      <w:lang w:val="en-GB"/>
    </w:rPr>
  </w:style>
  <w:style w:type="paragraph" w:styleId="Heading3">
    <w:name w:val="heading 3"/>
    <w:aliases w:val="Titolo 3,h3,Punt 3,H3,Heading 3 CFMU,Para 3,Punt 3 Char,Arial 12 Fett,1.1.1 Heading 3,Numbered 3 (SBC),Sub-Title,Heading 3 - SBC,V_Head3,Podkapitola2,h3 sub heading,(Alt+3),Table Attribute Heading,Heading C,sub Italic,proj3,proj31,H31,l3"/>
    <w:basedOn w:val="Normal"/>
    <w:next w:val="Normal"/>
    <w:link w:val="Heading3Char"/>
    <w:uiPriority w:val="99"/>
    <w:unhideWhenUsed/>
    <w:qFormat/>
    <w:rsid w:val="00147D71"/>
    <w:pPr>
      <w:keepNext/>
      <w:keepLines/>
      <w:spacing w:before="40" w:after="0"/>
      <w:outlineLvl w:val="2"/>
    </w:pPr>
    <w:rPr>
      <w:rFonts w:asciiTheme="majorHAnsi" w:eastAsiaTheme="majorEastAsia" w:hAnsiTheme="majorHAnsi" w:cstheme="majorBidi"/>
      <w:color w:val="0F4145" w:themeColor="accent1" w:themeShade="7F"/>
      <w:sz w:val="24"/>
      <w:szCs w:val="24"/>
    </w:rPr>
  </w:style>
  <w:style w:type="paragraph" w:styleId="Heading4">
    <w:name w:val="heading 4"/>
    <w:aliases w:val="Figures Only,Heading 4 CFMU,h4,Header 4,Numbered 4 (SBC),Heading 4 - SBC,dash,Map Title,H4,Topic Major,RFQ3,l4,4,4heading,heading4,heading,Subhead C,FigureHead,Level 2 - a,Sub Sub Paragraph,Titre 4-esis,mh,subhead 3,subhead 31,h41,subhead"/>
    <w:basedOn w:val="Normal"/>
    <w:next w:val="Normal"/>
    <w:link w:val="Heading4Char"/>
    <w:uiPriority w:val="99"/>
    <w:unhideWhenUsed/>
    <w:qFormat/>
    <w:rsid w:val="00B52048"/>
    <w:pPr>
      <w:keepNext/>
      <w:keepLines/>
      <w:spacing w:before="40" w:after="0"/>
      <w:outlineLvl w:val="3"/>
    </w:pPr>
    <w:rPr>
      <w:rFonts w:asciiTheme="majorHAnsi" w:eastAsiaTheme="majorEastAsia" w:hAnsiTheme="majorHAnsi" w:cstheme="majorBidi"/>
      <w:i/>
      <w:iCs/>
      <w:color w:val="166367" w:themeColor="accent1" w:themeShade="BF"/>
    </w:rPr>
  </w:style>
  <w:style w:type="paragraph" w:styleId="Heading5">
    <w:name w:val="heading 5"/>
    <w:aliases w:val="Titolo 5,sub1,Roman list,5,H5,Heading 5 CFMU,Para 5,h5,Header 5,Numbered 5 (SBC),UEH5,Subhead 1"/>
    <w:basedOn w:val="Normal"/>
    <w:next w:val="Normal"/>
    <w:link w:val="Heading5Char"/>
    <w:uiPriority w:val="20"/>
    <w:unhideWhenUsed/>
    <w:qFormat/>
    <w:rsid w:val="00B758A1"/>
    <w:pPr>
      <w:keepNext/>
      <w:keepLines/>
      <w:spacing w:before="80" w:after="40" w:line="240" w:lineRule="auto"/>
      <w:jc w:val="both"/>
      <w:outlineLvl w:val="4"/>
    </w:pPr>
    <w:rPr>
      <w:rFonts w:ascii="Verdana" w:eastAsiaTheme="majorEastAsia" w:hAnsi="Verdana" w:cstheme="majorBidi"/>
      <w:b/>
      <w:sz w:val="20"/>
      <w:u w:val="single"/>
      <w:lang w:val="en-GB"/>
    </w:rPr>
  </w:style>
  <w:style w:type="paragraph" w:styleId="Heading6">
    <w:name w:val="heading 6"/>
    <w:aliases w:val="sub2,b,Heading 6 CFMU,h6,Header 6,UEH6,Heading 6 CFMU1,Heading 6 CFMU2,Heading 6 CFMU3,Heading 6 CFMU4,Heading 6 CFMU5,Para 6,H6,Legal Level 1.,Heading 6  Appendix Y &amp; Z"/>
    <w:basedOn w:val="Normal"/>
    <w:next w:val="Normal"/>
    <w:link w:val="Heading6Char"/>
    <w:uiPriority w:val="9"/>
    <w:unhideWhenUsed/>
    <w:qFormat/>
    <w:rsid w:val="00B758A1"/>
    <w:pPr>
      <w:keepNext/>
      <w:keepLines/>
      <w:spacing w:before="40" w:after="0" w:line="240" w:lineRule="auto"/>
      <w:jc w:val="both"/>
      <w:outlineLvl w:val="5"/>
    </w:pPr>
    <w:rPr>
      <w:rFonts w:ascii="Verdana" w:eastAsiaTheme="majorEastAsia" w:hAnsi="Verdana" w:cstheme="majorBidi"/>
      <w:b/>
      <w:i/>
      <w:color w:val="7F7F7F" w:themeColor="text1" w:themeTint="80"/>
      <w:sz w:val="20"/>
      <w:lang w:val="en-GB"/>
    </w:rPr>
  </w:style>
  <w:style w:type="paragraph" w:styleId="Heading7">
    <w:name w:val="heading 7"/>
    <w:aliases w:val="letter list,lettered list,Heading 7 CFMU,h7,Header 7,Legal Level 1.1.,sub3,Heading 7 (do not use),Para 7,H7,TITRE PARTIE"/>
    <w:basedOn w:val="Normal"/>
    <w:next w:val="Normal"/>
    <w:link w:val="Heading7Char"/>
    <w:uiPriority w:val="9"/>
    <w:unhideWhenUsed/>
    <w:qFormat/>
    <w:rsid w:val="00B758A1"/>
    <w:pPr>
      <w:keepNext/>
      <w:keepLines/>
      <w:spacing w:before="40" w:after="0" w:line="240" w:lineRule="auto"/>
      <w:ind w:left="1296" w:hanging="1296"/>
      <w:outlineLvl w:val="6"/>
    </w:pPr>
    <w:rPr>
      <w:rFonts w:asciiTheme="majorHAnsi" w:eastAsiaTheme="majorEastAsia" w:hAnsiTheme="majorHAnsi" w:cstheme="majorBidi"/>
      <w:i/>
      <w:iCs/>
      <w:color w:val="0F4145" w:themeColor="accent1" w:themeShade="7F"/>
      <w:szCs w:val="24"/>
      <w:lang w:val="de-DE" w:eastAsia="de-DE"/>
    </w:rPr>
  </w:style>
  <w:style w:type="paragraph" w:styleId="Heading8">
    <w:name w:val="heading 8"/>
    <w:aliases w:val="sub4,Heading 8 (do not use),Heading 8 CFMU,h8,Header 8,ASAPHeading 8,8,Titolo8,action,action1,action2,action11,action3,action4,action5,action6,action7,action12,action21,action111,action31,action8,action13,action22,action112,action32"/>
    <w:basedOn w:val="Normal"/>
    <w:next w:val="Normal"/>
    <w:link w:val="Heading8Char"/>
    <w:uiPriority w:val="9"/>
    <w:unhideWhenUsed/>
    <w:qFormat/>
    <w:rsid w:val="00B758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sub5,Heading 9 (do not use),App Heading,Heading 9 CFMU,h9,Header 9,ASAPHeading 9,Appendix,9,Titolo9,progress,progress1,progress2,progress11,progress3,progress4,progress5,progress6,progress7,progress12,progress21,progress111,progress31,App1"/>
    <w:basedOn w:val="Normal"/>
    <w:next w:val="Normal"/>
    <w:link w:val="Heading9Char"/>
    <w:uiPriority w:val="9"/>
    <w:unhideWhenUsed/>
    <w:qFormat/>
    <w:rsid w:val="00B758A1"/>
    <w:pPr>
      <w:keepNext/>
      <w:keepLines/>
      <w:spacing w:before="40" w:after="0" w:line="240" w:lineRule="auto"/>
      <w:ind w:left="1584" w:hanging="1584"/>
      <w:jc w:val="both"/>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6A5F73"/>
    <w:rPr>
      <w:color w:val="0000FF"/>
      <w:shd w:val="clear" w:color="auto" w:fill="auto"/>
    </w:rPr>
  </w:style>
  <w:style w:type="paragraph" w:customStyle="1" w:styleId="Pagedecouverture">
    <w:name w:val="Page de couverture"/>
    <w:basedOn w:val="Normal"/>
    <w:next w:val="Normal"/>
    <w:rsid w:val="006A5F73"/>
    <w:pPr>
      <w:spacing w:after="0" w:line="240" w:lineRule="auto"/>
      <w:jc w:val="both"/>
    </w:pPr>
    <w:rPr>
      <w:rFonts w:ascii="Times New Roman" w:hAnsi="Times New Roman" w:cs="Times New Roman"/>
      <w:sz w:val="24"/>
    </w:rPr>
  </w:style>
  <w:style w:type="paragraph" w:styleId="Header">
    <w:name w:val="header"/>
    <w:basedOn w:val="Normal"/>
    <w:link w:val="HeaderChar"/>
    <w:uiPriority w:val="1"/>
    <w:unhideWhenUsed/>
    <w:rsid w:val="00DD4A7B"/>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1"/>
    <w:rsid w:val="00DD4A7B"/>
    <w:rPr>
      <w:rFonts w:ascii="Times New Roman" w:hAnsi="Times New Roman" w:cs="Times New Roman"/>
      <w:sz w:val="24"/>
    </w:rPr>
  </w:style>
  <w:style w:type="paragraph" w:styleId="Footer">
    <w:name w:val="footer"/>
    <w:basedOn w:val="Normal"/>
    <w:link w:val="FooterChar"/>
    <w:uiPriority w:val="99"/>
    <w:unhideWhenUsed/>
    <w:rsid w:val="00DD4A7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DD4A7B"/>
    <w:rPr>
      <w:rFonts w:ascii="Times New Roman" w:hAnsi="Times New Roman" w:cs="Times New Roman"/>
      <w:sz w:val="24"/>
    </w:rPr>
  </w:style>
  <w:style w:type="paragraph" w:customStyle="1" w:styleId="FooterCoverPage">
    <w:name w:val="Footer Cover Page"/>
    <w:basedOn w:val="Normal"/>
    <w:link w:val="FooterCoverPageChar"/>
    <w:rsid w:val="006A5F7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6A5F73"/>
    <w:rPr>
      <w:rFonts w:ascii="Times New Roman" w:hAnsi="Times New Roman" w:cs="Times New Roman"/>
      <w:sz w:val="24"/>
    </w:rPr>
  </w:style>
  <w:style w:type="paragraph" w:customStyle="1" w:styleId="HeaderCoverPage">
    <w:name w:val="Header Cover Page"/>
    <w:basedOn w:val="Normal"/>
    <w:link w:val="HeaderCoverPageChar"/>
    <w:rsid w:val="006A5F7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6A5F73"/>
    <w:rPr>
      <w:rFonts w:ascii="Times New Roman" w:hAnsi="Times New Roman" w:cs="Times New Roman"/>
      <w:sz w:val="24"/>
    </w:rPr>
  </w:style>
  <w:style w:type="character" w:customStyle="1" w:styleId="Heading1Char">
    <w:name w:val="Heading 1 Char"/>
    <w:aliases w:val="(Section) Char,cover1 Char,intoduction Char,head1 Char,h1 Char,Heading 1a Char,H1 Char,1 Char,Header 1 Char,Heading 1 CFMU Char,Para 1 Char,OS1 Char,Headline Char,Numbered 1 (SBC) Char,Arial 14 Fett Char,Arial 14 Fett1 Char,l1 Char"/>
    <w:basedOn w:val="DefaultParagraphFont"/>
    <w:link w:val="Heading1"/>
    <w:uiPriority w:val="9"/>
    <w:rsid w:val="008530D4"/>
    <w:rPr>
      <w:rFonts w:ascii="Times New Roman" w:eastAsia="Times New Roman" w:hAnsi="Times New Roman" w:cs="Times New Roman"/>
      <w:b/>
      <w:smallCaps/>
      <w:sz w:val="24"/>
      <w:szCs w:val="20"/>
      <w:lang w:val="en-GB"/>
    </w:rPr>
  </w:style>
  <w:style w:type="character" w:customStyle="1" w:styleId="Heading2Char">
    <w:name w:val="Heading 2 Char"/>
    <w:aliases w:val="Contrat 2 Char,Sub Topic Char,Body text 2 Char,Chapter Number/Appendix Letter Char,chn Char,h2 Char,2 Char,Header 2 Char,l2 Char,H2 Char,Punt 2 Char,Normal 2 Char,Subheading Char,2 headline Char,Heading 2 CFMU Char,Para 2 Char,head 2 Char"/>
    <w:basedOn w:val="DefaultParagraphFont"/>
    <w:link w:val="Heading2"/>
    <w:uiPriority w:val="99"/>
    <w:rsid w:val="008530D4"/>
    <w:rPr>
      <w:rFonts w:ascii="Times New Roman" w:eastAsia="Times New Roman" w:hAnsi="Times New Roman" w:cs="Times New Roman"/>
      <w:b/>
      <w:sz w:val="24"/>
      <w:szCs w:val="20"/>
      <w:lang w:val="en-GB"/>
    </w:rPr>
  </w:style>
  <w:style w:type="paragraph" w:customStyle="1" w:styleId="Text1">
    <w:name w:val="Text 1"/>
    <w:basedOn w:val="Normal"/>
    <w:rsid w:val="008530D4"/>
    <w:pPr>
      <w:spacing w:after="240" w:line="240" w:lineRule="auto"/>
      <w:ind w:left="482"/>
      <w:jc w:val="both"/>
    </w:pPr>
    <w:rPr>
      <w:rFonts w:ascii="Times New Roman" w:eastAsia="Times New Roman" w:hAnsi="Times New Roman" w:cs="Times New Roman"/>
      <w:sz w:val="24"/>
      <w:szCs w:val="20"/>
      <w:lang w:val="en-GB"/>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8530D4"/>
    <w:pPr>
      <w:spacing w:after="240" w:line="240" w:lineRule="auto"/>
      <w:ind w:left="357" w:hanging="357"/>
      <w:jc w:val="both"/>
    </w:pPr>
    <w:rPr>
      <w:rFonts w:ascii="Times New Roman" w:eastAsia="Times New Roman" w:hAnsi="Times New Roman" w:cs="Times New Roman"/>
      <w:sz w:val="20"/>
      <w:szCs w:val="20"/>
      <w:lang w:val="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8530D4"/>
    <w:rPr>
      <w:rFonts w:ascii="Times New Roman" w:eastAsia="Times New Roman" w:hAnsi="Times New Roman" w:cs="Times New Roman"/>
      <w:sz w:val="20"/>
      <w:szCs w:val="20"/>
      <w:lang w:val="en-GB"/>
    </w:rPr>
  </w:style>
  <w:style w:type="paragraph" w:styleId="ListBullet">
    <w:name w:val="List Bullet"/>
    <w:aliases w:val="First Tier Bullet,résumé,UL,List Bullet2,List Bullet Char1 Char,List Bullet Char Char Char,List Bullet Char1 Char Char Char,List Bullet Char Char Char Char Char,List Bullet Char Char1"/>
    <w:basedOn w:val="Normal"/>
    <w:uiPriority w:val="1"/>
    <w:qFormat/>
    <w:rsid w:val="008530D4"/>
    <w:pPr>
      <w:spacing w:after="240" w:line="240" w:lineRule="auto"/>
      <w:jc w:val="both"/>
    </w:pPr>
    <w:rPr>
      <w:rFonts w:ascii="Times New Roman" w:eastAsia="Times New Roman" w:hAnsi="Times New Roman" w:cs="Times New Roman"/>
      <w:sz w:val="24"/>
      <w:szCs w:val="20"/>
      <w:lang w:val="en-GB"/>
    </w:rPr>
  </w:style>
  <w:style w:type="paragraph" w:customStyle="1" w:styleId="NumPar1">
    <w:name w:val="NumPar 1"/>
    <w:basedOn w:val="Heading1"/>
    <w:next w:val="Text1"/>
    <w:rsid w:val="008530D4"/>
    <w:pPr>
      <w:keepNext w:val="0"/>
      <w:spacing w:before="0"/>
      <w:outlineLvl w:val="9"/>
    </w:pPr>
    <w:rPr>
      <w:b w:val="0"/>
      <w:smallCaps w:val="0"/>
    </w:rPr>
  </w:style>
  <w:style w:type="paragraph" w:customStyle="1" w:styleId="SubTitle1">
    <w:name w:val="SubTitle 1"/>
    <w:basedOn w:val="Normal"/>
    <w:next w:val="Normal"/>
    <w:rsid w:val="008530D4"/>
    <w:pPr>
      <w:spacing w:after="240" w:line="240" w:lineRule="auto"/>
      <w:jc w:val="center"/>
    </w:pPr>
    <w:rPr>
      <w:rFonts w:ascii="Times New Roman" w:eastAsia="Times New Roman" w:hAnsi="Times New Roman" w:cs="Times New Roman"/>
      <w:b/>
      <w:sz w:val="40"/>
      <w:szCs w:val="20"/>
      <w:lang w:val="en-GB"/>
    </w:rPr>
  </w:style>
  <w:style w:type="paragraph" w:styleId="Title">
    <w:name w:val="Title"/>
    <w:basedOn w:val="Normal"/>
    <w:next w:val="SubTitle1"/>
    <w:link w:val="TitleChar"/>
    <w:uiPriority w:val="10"/>
    <w:qFormat/>
    <w:rsid w:val="008530D4"/>
    <w:pPr>
      <w:spacing w:after="480" w:line="240" w:lineRule="auto"/>
      <w:jc w:val="center"/>
    </w:pPr>
    <w:rPr>
      <w:rFonts w:ascii="Times New Roman" w:eastAsia="Times New Roman" w:hAnsi="Times New Roman" w:cs="Times New Roman"/>
      <w:b/>
      <w:kern w:val="28"/>
      <w:sz w:val="48"/>
      <w:szCs w:val="20"/>
      <w:lang w:val="en-GB"/>
    </w:rPr>
  </w:style>
  <w:style w:type="character" w:customStyle="1" w:styleId="TitleChar">
    <w:name w:val="Title Char"/>
    <w:basedOn w:val="DefaultParagraphFont"/>
    <w:link w:val="Title"/>
    <w:uiPriority w:val="10"/>
    <w:rsid w:val="008530D4"/>
    <w:rPr>
      <w:rFonts w:ascii="Times New Roman" w:eastAsia="Times New Roman" w:hAnsi="Times New Roman" w:cs="Times New Roman"/>
      <w:b/>
      <w:kern w:val="28"/>
      <w:sz w:val="48"/>
      <w:szCs w:val="20"/>
      <w:lang w:val="en-GB"/>
    </w:rPr>
  </w:style>
  <w:style w:type="paragraph" w:styleId="TOC1">
    <w:name w:val="toc 1"/>
    <w:basedOn w:val="Normal"/>
    <w:next w:val="Normal"/>
    <w:link w:val="TOC1Char"/>
    <w:uiPriority w:val="39"/>
    <w:qFormat/>
    <w:rsid w:val="008530D4"/>
    <w:pPr>
      <w:tabs>
        <w:tab w:val="right" w:leader="dot" w:pos="8640"/>
      </w:tabs>
      <w:spacing w:before="120" w:after="120" w:line="240" w:lineRule="auto"/>
      <w:ind w:left="482" w:right="720" w:hanging="482"/>
      <w:jc w:val="both"/>
    </w:pPr>
    <w:rPr>
      <w:rFonts w:ascii="Times New Roman" w:eastAsia="Times New Roman" w:hAnsi="Times New Roman" w:cs="Times New Roman"/>
      <w:caps/>
      <w:sz w:val="20"/>
      <w:szCs w:val="20"/>
      <w:lang w:val="en-GB"/>
    </w:rPr>
  </w:style>
  <w:style w:type="paragraph" w:customStyle="1" w:styleId="ListDash1">
    <w:name w:val="List Dash 1"/>
    <w:basedOn w:val="Text1"/>
    <w:rsid w:val="008530D4"/>
    <w:pPr>
      <w:numPr>
        <w:numId w:val="1"/>
      </w:numPr>
    </w:pPr>
  </w:style>
  <w:style w:type="paragraph" w:styleId="TOCHeading">
    <w:name w:val="TOC Heading"/>
    <w:basedOn w:val="Normal"/>
    <w:next w:val="Normal"/>
    <w:uiPriority w:val="39"/>
    <w:qFormat/>
    <w:rsid w:val="008530D4"/>
    <w:pPr>
      <w:keepNext/>
      <w:spacing w:before="240" w:after="240" w:line="240" w:lineRule="auto"/>
      <w:jc w:val="center"/>
    </w:pPr>
    <w:rPr>
      <w:rFonts w:ascii="Times New Roman" w:eastAsia="Times New Roman" w:hAnsi="Times New Roman" w:cs="Times New Roman"/>
      <w:b/>
      <w:sz w:val="24"/>
      <w:szCs w:val="20"/>
      <w:lang w:val="en-GB"/>
    </w:rPr>
  </w:style>
  <w:style w:type="table" w:styleId="TableGrid">
    <w:name w:val="Table Grid"/>
    <w:aliases w:val="Document Table,CV1,TabelEcorys,CV table,Deloitte,Table Grid IDEA,Table EY,none,Simple table,simple table,tableau 1,chiffres,Tableau D,Table Grid Green IRG,Griglia tabella,HTG,Table Finalité,EY Question Table"/>
    <w:basedOn w:val="TableNormal"/>
    <w:uiPriority w:val="39"/>
    <w:qFormat/>
    <w:rsid w:val="008530D4"/>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Normal"/>
    <w:next w:val="Normal"/>
    <w:link w:val="AnnexTitleChar"/>
    <w:qFormat/>
    <w:rsid w:val="008530D4"/>
    <w:pPr>
      <w:keepNext/>
      <w:spacing w:after="480" w:line="240" w:lineRule="auto"/>
      <w:jc w:val="center"/>
    </w:pPr>
    <w:rPr>
      <w:rFonts w:ascii="Times New Roman" w:eastAsia="Times New Roman" w:hAnsi="Times New Roman" w:cs="Times New Roman"/>
      <w:b/>
      <w:sz w:val="32"/>
      <w:szCs w:val="20"/>
      <w:lang w:val="en-GB"/>
    </w:rPr>
  </w:style>
  <w:style w:type="character" w:styleId="Hyperlink">
    <w:name w:val="Hyperlink"/>
    <w:basedOn w:val="DefaultParagraphFont"/>
    <w:uiPriority w:val="99"/>
    <w:unhideWhenUsed/>
    <w:rsid w:val="008530D4"/>
    <w:rPr>
      <w:color w:val="034EA2" w:themeColor="hyperlink"/>
      <w:u w:val="single"/>
    </w:rPr>
  </w:style>
  <w:style w:type="character" w:customStyle="1" w:styleId="AnnexTitleChar">
    <w:name w:val="Annex Title Char"/>
    <w:basedOn w:val="DefaultParagraphFont"/>
    <w:link w:val="AnnexTitle"/>
    <w:rsid w:val="008530D4"/>
    <w:rPr>
      <w:rFonts w:ascii="Times New Roman" w:eastAsia="Times New Roman" w:hAnsi="Times New Roman" w:cs="Times New Roman"/>
      <w:b/>
      <w:sz w:val="32"/>
      <w:szCs w:val="20"/>
      <w:lang w:val="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SUPERSCharCharCharCharCharCharCharChar"/>
    <w:uiPriority w:val="99"/>
    <w:unhideWhenUsed/>
    <w:qFormat/>
    <w:rsid w:val="008530D4"/>
    <w:rPr>
      <w:sz w:val="20"/>
      <w:vertAlign w:val="superscript"/>
    </w:rPr>
  </w:style>
  <w:style w:type="paragraph" w:styleId="ListParagraph">
    <w:name w:val="List Paragraph"/>
    <w:aliases w:val="List Paragraph_Sections,Paragraphe EI,Paragraphe de liste1,EC,Normal bullet 2,Bullet list,Numbered List,List Paragraph1,1st level - Bullet List Paragraph,Lettre d'introduction,Paragraph,Bullet EY,List Paragraph11,Normal bullet 21,Bullets"/>
    <w:basedOn w:val="Normal"/>
    <w:link w:val="ListParagraphChar"/>
    <w:uiPriority w:val="34"/>
    <w:qFormat/>
    <w:rsid w:val="008530D4"/>
    <w:pPr>
      <w:spacing w:after="240" w:line="240" w:lineRule="auto"/>
      <w:ind w:left="720"/>
      <w:contextualSpacing/>
      <w:jc w:val="both"/>
    </w:pPr>
    <w:rPr>
      <w:rFonts w:ascii="Times New Roman" w:eastAsia="Times New Roman" w:hAnsi="Times New Roman" w:cs="Times New Roman"/>
      <w:sz w:val="24"/>
      <w:szCs w:val="20"/>
      <w:lang w:val="en-GB"/>
    </w:rPr>
  </w:style>
  <w:style w:type="table" w:customStyle="1" w:styleId="CV11">
    <w:name w:val="CV11"/>
    <w:basedOn w:val="TableNormal"/>
    <w:next w:val="TableGrid"/>
    <w:uiPriority w:val="39"/>
    <w:rsid w:val="008530D4"/>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530D4"/>
    <w:rPr>
      <w:b/>
      <w:bCs/>
    </w:rPr>
  </w:style>
  <w:style w:type="paragraph" w:customStyle="1" w:styleId="Declassification">
    <w:name w:val="Declassification"/>
    <w:basedOn w:val="Normal"/>
    <w:next w:val="Normal"/>
    <w:rsid w:val="00DD4A7B"/>
    <w:pPr>
      <w:spacing w:after="0" w:line="240" w:lineRule="auto"/>
      <w:jc w:val="both"/>
    </w:pPr>
    <w:rPr>
      <w:rFonts w:ascii="Times New Roman" w:hAnsi="Times New Roman" w:cs="Times New Roman"/>
      <w:sz w:val="24"/>
    </w:rPr>
  </w:style>
  <w:style w:type="paragraph" w:customStyle="1" w:styleId="HeaderLandscape">
    <w:name w:val="HeaderLandscape"/>
    <w:basedOn w:val="Normal"/>
    <w:rsid w:val="00DD4A7B"/>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link w:val="HeaderSensitivityChar"/>
    <w:rsid w:val="00DD4A7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rsid w:val="00DD4A7B"/>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rsid w:val="00DD4A7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Heading3Char">
    <w:name w:val="Heading 3 Char"/>
    <w:aliases w:val="Titolo 3 Char,h3 Char,Punt 3 Char1,H3 Char,Heading 3 CFMU Char,Para 3 Char,Punt 3 Char Char,Arial 12 Fett Char,1.1.1 Heading 3 Char,Numbered 3 (SBC) Char,Sub-Title Char,Heading 3 - SBC Char,V_Head3 Char,Podkapitola2 Char,(Alt+3) Char"/>
    <w:basedOn w:val="DefaultParagraphFont"/>
    <w:link w:val="Heading3"/>
    <w:uiPriority w:val="99"/>
    <w:rsid w:val="00147D71"/>
    <w:rPr>
      <w:rFonts w:asciiTheme="majorHAnsi" w:eastAsiaTheme="majorEastAsia" w:hAnsiTheme="majorHAnsi" w:cstheme="majorBidi"/>
      <w:color w:val="0F4145" w:themeColor="accent1" w:themeShade="7F"/>
      <w:sz w:val="24"/>
      <w:szCs w:val="24"/>
    </w:rPr>
  </w:style>
  <w:style w:type="paragraph" w:styleId="TOC2">
    <w:name w:val="toc 2"/>
    <w:basedOn w:val="Normal"/>
    <w:next w:val="Normal"/>
    <w:autoRedefine/>
    <w:uiPriority w:val="39"/>
    <w:unhideWhenUsed/>
    <w:qFormat/>
    <w:rsid w:val="00004DA6"/>
    <w:pPr>
      <w:tabs>
        <w:tab w:val="left" w:pos="998"/>
        <w:tab w:val="right" w:leader="dot" w:pos="8618"/>
      </w:tabs>
      <w:spacing w:after="100"/>
      <w:ind w:left="220"/>
      <w:jc w:val="both"/>
    </w:pPr>
  </w:style>
  <w:style w:type="paragraph" w:styleId="TOC3">
    <w:name w:val="toc 3"/>
    <w:basedOn w:val="Normal"/>
    <w:next w:val="Normal"/>
    <w:autoRedefine/>
    <w:uiPriority w:val="39"/>
    <w:unhideWhenUsed/>
    <w:rsid w:val="00147D71"/>
    <w:pPr>
      <w:spacing w:after="100" w:line="259" w:lineRule="auto"/>
      <w:ind w:left="440"/>
    </w:pPr>
    <w:rPr>
      <w:rFonts w:eastAsiaTheme="minorEastAsia" w:cs="Times New Roman"/>
      <w:lang w:val="en-US"/>
    </w:rPr>
  </w:style>
  <w:style w:type="character" w:styleId="CommentReference">
    <w:name w:val="annotation reference"/>
    <w:basedOn w:val="DefaultParagraphFont"/>
    <w:uiPriority w:val="99"/>
    <w:unhideWhenUsed/>
    <w:rsid w:val="00E26E79"/>
    <w:rPr>
      <w:sz w:val="16"/>
      <w:szCs w:val="16"/>
    </w:rPr>
  </w:style>
  <w:style w:type="paragraph" w:styleId="CommentText">
    <w:name w:val="annotation text"/>
    <w:basedOn w:val="Normal"/>
    <w:link w:val="CommentTextChar"/>
    <w:uiPriority w:val="99"/>
    <w:unhideWhenUsed/>
    <w:rsid w:val="00E26E79"/>
    <w:pPr>
      <w:spacing w:line="240" w:lineRule="auto"/>
    </w:pPr>
    <w:rPr>
      <w:sz w:val="20"/>
      <w:szCs w:val="20"/>
    </w:rPr>
  </w:style>
  <w:style w:type="character" w:customStyle="1" w:styleId="CommentTextChar">
    <w:name w:val="Comment Text Char"/>
    <w:basedOn w:val="DefaultParagraphFont"/>
    <w:link w:val="CommentText"/>
    <w:uiPriority w:val="99"/>
    <w:rsid w:val="00E26E79"/>
    <w:rPr>
      <w:sz w:val="20"/>
      <w:szCs w:val="20"/>
    </w:rPr>
  </w:style>
  <w:style w:type="paragraph" w:styleId="CommentSubject">
    <w:name w:val="annotation subject"/>
    <w:basedOn w:val="CommentText"/>
    <w:next w:val="CommentText"/>
    <w:link w:val="CommentSubjectChar"/>
    <w:uiPriority w:val="1"/>
    <w:unhideWhenUsed/>
    <w:rsid w:val="00E26E79"/>
    <w:rPr>
      <w:b/>
      <w:bCs/>
    </w:rPr>
  </w:style>
  <w:style w:type="character" w:customStyle="1" w:styleId="CommentSubjectChar">
    <w:name w:val="Comment Subject Char"/>
    <w:basedOn w:val="CommentTextChar"/>
    <w:link w:val="CommentSubject"/>
    <w:uiPriority w:val="1"/>
    <w:rsid w:val="00E26E79"/>
    <w:rPr>
      <w:b/>
      <w:bCs/>
      <w:sz w:val="20"/>
      <w:szCs w:val="20"/>
    </w:rPr>
  </w:style>
  <w:style w:type="paragraph" w:styleId="Revision">
    <w:name w:val="Revision"/>
    <w:hidden/>
    <w:uiPriority w:val="99"/>
    <w:semiHidden/>
    <w:rsid w:val="00E26E79"/>
    <w:pPr>
      <w:spacing w:after="0" w:line="240" w:lineRule="auto"/>
    </w:pPr>
  </w:style>
  <w:style w:type="paragraph" w:styleId="BalloonText">
    <w:name w:val="Balloon Text"/>
    <w:basedOn w:val="Normal"/>
    <w:link w:val="BalloonTextChar"/>
    <w:uiPriority w:val="99"/>
    <w:unhideWhenUsed/>
    <w:rsid w:val="00E26E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E26E79"/>
    <w:rPr>
      <w:rFonts w:ascii="Segoe UI" w:hAnsi="Segoe UI" w:cs="Segoe UI"/>
      <w:sz w:val="18"/>
      <w:szCs w:val="18"/>
    </w:rPr>
  </w:style>
  <w:style w:type="character" w:customStyle="1" w:styleId="ListParagraphChar">
    <w:name w:val="List Paragraph Char"/>
    <w:aliases w:val="List Paragraph_Sections Char,Paragraphe EI Char,Paragraphe de liste1 Char,EC Char,Normal bullet 2 Char,Bullet list Char,Numbered List Char,List Paragraph1 Char,1st level - Bullet List Paragraph Char,Lettre d'introduction Char"/>
    <w:basedOn w:val="DefaultParagraphFont"/>
    <w:link w:val="ListParagraph"/>
    <w:uiPriority w:val="34"/>
    <w:qFormat/>
    <w:rsid w:val="007522A1"/>
    <w:rPr>
      <w:rFonts w:ascii="Times New Roman" w:eastAsia="Times New Roman" w:hAnsi="Times New Roman" w:cs="Times New Roman"/>
      <w:sz w:val="24"/>
      <w:szCs w:val="20"/>
      <w:lang w:val="en-GB"/>
    </w:rPr>
  </w:style>
  <w:style w:type="table" w:customStyle="1" w:styleId="CV111">
    <w:name w:val="CV111"/>
    <w:basedOn w:val="TableNormal"/>
    <w:next w:val="TableGrid"/>
    <w:rsid w:val="00161A26"/>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2">
    <w:name w:val="CV112"/>
    <w:basedOn w:val="TableNormal"/>
    <w:next w:val="TableGrid"/>
    <w:uiPriority w:val="39"/>
    <w:rsid w:val="008A6D71"/>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3">
    <w:name w:val="CV113"/>
    <w:basedOn w:val="TableNormal"/>
    <w:next w:val="TableGrid"/>
    <w:uiPriority w:val="39"/>
    <w:rsid w:val="008A6D71"/>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rsid w:val="001E6DD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1E6DD8"/>
    <w:pPr>
      <w:spacing w:after="0"/>
      <w:ind w:left="5103"/>
    </w:pPr>
    <w:rPr>
      <w:rFonts w:ascii="Times New Roman" w:hAnsi="Times New Roman" w:cs="Times New Roman"/>
      <w:sz w:val="28"/>
    </w:rPr>
  </w:style>
  <w:style w:type="paragraph" w:customStyle="1" w:styleId="DateMarking">
    <w:name w:val="DateMarking"/>
    <w:basedOn w:val="Normal"/>
    <w:rsid w:val="001E6DD8"/>
    <w:pPr>
      <w:spacing w:after="0"/>
      <w:ind w:left="5103"/>
    </w:pPr>
    <w:rPr>
      <w:rFonts w:ascii="Times New Roman" w:hAnsi="Times New Roman" w:cs="Times New Roman"/>
      <w:i/>
      <w:sz w:val="28"/>
    </w:rPr>
  </w:style>
  <w:style w:type="paragraph" w:customStyle="1" w:styleId="ReleasableTo">
    <w:name w:val="ReleasableTo"/>
    <w:basedOn w:val="Normal"/>
    <w:rsid w:val="001E6DD8"/>
    <w:pPr>
      <w:spacing w:after="0"/>
      <w:ind w:left="5103"/>
    </w:pPr>
    <w:rPr>
      <w:rFonts w:ascii="Times New Roman" w:hAnsi="Times New Roman" w:cs="Times New Roman"/>
      <w:i/>
      <w:sz w:val="28"/>
    </w:rPr>
  </w:style>
  <w:style w:type="paragraph" w:customStyle="1" w:styleId="HeaderSensitivityRight">
    <w:name w:val="Header Sensitivity Right"/>
    <w:basedOn w:val="Normal"/>
    <w:rsid w:val="001E6DD8"/>
    <w:pPr>
      <w:spacing w:after="120" w:line="240" w:lineRule="auto"/>
      <w:jc w:val="right"/>
    </w:pPr>
    <w:rPr>
      <w:rFonts w:ascii="Times New Roman" w:hAnsi="Times New Roman" w:cs="Times New Roman"/>
      <w:sz w:val="2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B82E5C"/>
    <w:pPr>
      <w:tabs>
        <w:tab w:val="left" w:pos="907"/>
      </w:tabs>
      <w:spacing w:before="120" w:after="160" w:line="240" w:lineRule="exact"/>
    </w:pPr>
    <w:rPr>
      <w:sz w:val="20"/>
      <w:vertAlign w:val="superscript"/>
    </w:rPr>
  </w:style>
  <w:style w:type="paragraph" w:styleId="BodyText">
    <w:name w:val="Body Text"/>
    <w:basedOn w:val="Normal"/>
    <w:link w:val="BodyTextChar"/>
    <w:unhideWhenUsed/>
    <w:qFormat/>
    <w:rsid w:val="005D693A"/>
    <w:pPr>
      <w:spacing w:after="120" w:line="240" w:lineRule="auto"/>
      <w:jc w:val="both"/>
    </w:pPr>
    <w:rPr>
      <w:rFonts w:ascii="Verdana" w:hAnsi="Verdana"/>
      <w:sz w:val="20"/>
      <w:lang w:val="en-GB"/>
    </w:rPr>
  </w:style>
  <w:style w:type="character" w:customStyle="1" w:styleId="BodyTextChar">
    <w:name w:val="Body Text Char"/>
    <w:basedOn w:val="DefaultParagraphFont"/>
    <w:link w:val="BodyText"/>
    <w:rsid w:val="005D693A"/>
    <w:rPr>
      <w:rFonts w:ascii="Verdana" w:hAnsi="Verdana"/>
      <w:sz w:val="20"/>
      <w:lang w:val="en-GB"/>
    </w:rPr>
  </w:style>
  <w:style w:type="character" w:customStyle="1" w:styleId="BodyTextZchn">
    <w:name w:val="Body Text Zchn"/>
    <w:link w:val="BodyText1"/>
    <w:uiPriority w:val="99"/>
    <w:rsid w:val="005D693A"/>
    <w:rPr>
      <w:rFonts w:ascii="Yu Gothic UI Light" w:eastAsia="Times New Roman" w:hAnsi="Yu Gothic UI Light" w:cs="Times New Roman"/>
      <w:noProof/>
      <w:szCs w:val="20"/>
      <w:lang w:eastAsia="nl-BE"/>
    </w:rPr>
  </w:style>
  <w:style w:type="paragraph" w:customStyle="1" w:styleId="BodyText1">
    <w:name w:val="Body Text1"/>
    <w:basedOn w:val="Normal"/>
    <w:link w:val="BodyTextZchn"/>
    <w:uiPriority w:val="99"/>
    <w:qFormat/>
    <w:rsid w:val="005D693A"/>
    <w:pPr>
      <w:spacing w:before="60" w:after="60" w:line="240" w:lineRule="auto"/>
    </w:pPr>
    <w:rPr>
      <w:rFonts w:ascii="Yu Gothic UI Light" w:eastAsia="Times New Roman" w:hAnsi="Yu Gothic UI Light" w:cs="Times New Roman"/>
      <w:noProof/>
      <w:szCs w:val="20"/>
      <w:lang w:eastAsia="nl-BE"/>
    </w:rPr>
  </w:style>
  <w:style w:type="paragraph" w:customStyle="1" w:styleId="Bullet">
    <w:name w:val="Bullet"/>
    <w:basedOn w:val="Normal"/>
    <w:link w:val="BulletChar"/>
    <w:qFormat/>
    <w:rsid w:val="005D693A"/>
    <w:pPr>
      <w:spacing w:before="120" w:after="120" w:line="240" w:lineRule="auto"/>
      <w:contextualSpacing/>
    </w:pPr>
    <w:rPr>
      <w:rFonts w:ascii="Verdana" w:eastAsiaTheme="majorEastAsia" w:hAnsi="Verdana" w:cstheme="majorBidi"/>
      <w:kern w:val="28"/>
      <w:szCs w:val="56"/>
      <w:lang w:val="de-DE" w:eastAsia="de-DE"/>
    </w:rPr>
  </w:style>
  <w:style w:type="character" w:customStyle="1" w:styleId="BulletChar">
    <w:name w:val="Bullet Char"/>
    <w:basedOn w:val="DefaultParagraphFont"/>
    <w:link w:val="Bullet"/>
    <w:rsid w:val="005D693A"/>
    <w:rPr>
      <w:rFonts w:ascii="Verdana" w:eastAsiaTheme="majorEastAsia" w:hAnsi="Verdana" w:cstheme="majorBidi"/>
      <w:kern w:val="28"/>
      <w:szCs w:val="56"/>
      <w:lang w:val="de-DE" w:eastAsia="de-DE"/>
    </w:rPr>
  </w:style>
  <w:style w:type="paragraph" w:customStyle="1" w:styleId="Highlight">
    <w:name w:val="Highlight"/>
    <w:basedOn w:val="Normal"/>
    <w:link w:val="HighlightChar"/>
    <w:autoRedefine/>
    <w:qFormat/>
    <w:rsid w:val="00511E61"/>
    <w:pPr>
      <w:spacing w:before="60" w:after="20" w:line="240" w:lineRule="auto"/>
      <w:jc w:val="both"/>
    </w:pPr>
    <w:rPr>
      <w:rFonts w:ascii="Verdana" w:hAnsi="Verdana"/>
      <w:b/>
      <w:sz w:val="20"/>
      <w:szCs w:val="20"/>
      <w:lang w:val="en-GB" w:eastAsia="en-GB"/>
    </w:rPr>
  </w:style>
  <w:style w:type="character" w:customStyle="1" w:styleId="HighlightChar">
    <w:name w:val="Highlight Char"/>
    <w:basedOn w:val="DefaultParagraphFont"/>
    <w:link w:val="Highlight"/>
    <w:rsid w:val="00511E61"/>
    <w:rPr>
      <w:rFonts w:ascii="Verdana" w:hAnsi="Verdana"/>
      <w:b/>
      <w:sz w:val="20"/>
      <w:szCs w:val="20"/>
      <w:lang w:val="en-GB" w:eastAsia="en-GB"/>
    </w:rPr>
  </w:style>
  <w:style w:type="paragraph" w:customStyle="1" w:styleId="Table">
    <w:name w:val="Table"/>
    <w:basedOn w:val="Normal"/>
    <w:link w:val="TableChar"/>
    <w:uiPriority w:val="1"/>
    <w:qFormat/>
    <w:rsid w:val="00511E61"/>
    <w:pPr>
      <w:spacing w:after="0" w:line="240" w:lineRule="auto"/>
      <w:jc w:val="both"/>
    </w:pPr>
    <w:rPr>
      <w:rFonts w:ascii="Verdana" w:hAnsi="Verdana"/>
      <w:sz w:val="18"/>
      <w:szCs w:val="20"/>
      <w:lang w:val="en-US"/>
    </w:rPr>
  </w:style>
  <w:style w:type="character" w:customStyle="1" w:styleId="TableChar">
    <w:name w:val="Table Char"/>
    <w:basedOn w:val="DefaultParagraphFont"/>
    <w:link w:val="Table"/>
    <w:uiPriority w:val="1"/>
    <w:rsid w:val="00511E61"/>
    <w:rPr>
      <w:rFonts w:ascii="Verdana" w:hAnsi="Verdana"/>
      <w:sz w:val="18"/>
      <w:szCs w:val="20"/>
      <w:lang w:val="en-US"/>
    </w:rPr>
  </w:style>
  <w:style w:type="character" w:customStyle="1" w:styleId="CaptionChar">
    <w:name w:val="Caption Char"/>
    <w:aliases w:val="Caption (ALL) Char,Caption - Centre Graphic Char,Caption (all) Char,Inscription Char,Beschriftung Char Char Char Char,Beschriftung Char Char,Caption2 Char,figura Char,figura1 Char,figura2 Char,ITT d Char,Table Title Char,cp + Justified Char"/>
    <w:basedOn w:val="DefaultParagraphFont"/>
    <w:link w:val="Caption"/>
    <w:uiPriority w:val="35"/>
    <w:qFormat/>
    <w:rsid w:val="000D2A1E"/>
    <w:rPr>
      <w:rFonts w:ascii="Verdana" w:hAnsi="Verdana"/>
      <w:b/>
      <w:noProof/>
      <w:sz w:val="20"/>
      <w:lang w:val="en-GB"/>
    </w:rPr>
  </w:style>
  <w:style w:type="paragraph" w:styleId="Caption">
    <w:name w:val="caption"/>
    <w:aliases w:val="Caption (ALL),Caption - Centre Graphic,Caption (all),Inscription,Beschriftung Char Char Char,Beschriftung Char,Caption2,figura,figura1,figura2,ITT d,Table Title,cp + Justified,Left:  2,5 cm,First ...,cp,ref,Fig &amp; Table Title,CaptionCFMU,Ca"/>
    <w:basedOn w:val="Normal"/>
    <w:next w:val="Normal"/>
    <w:link w:val="CaptionChar"/>
    <w:uiPriority w:val="35"/>
    <w:unhideWhenUsed/>
    <w:qFormat/>
    <w:rsid w:val="000D2A1E"/>
    <w:pPr>
      <w:spacing w:line="240" w:lineRule="auto"/>
    </w:pPr>
    <w:rPr>
      <w:rFonts w:ascii="Verdana" w:hAnsi="Verdana"/>
      <w:b/>
      <w:noProof/>
      <w:sz w:val="20"/>
      <w:lang w:val="en-GB"/>
    </w:rPr>
  </w:style>
  <w:style w:type="character" w:customStyle="1" w:styleId="Heading4Char">
    <w:name w:val="Heading 4 Char"/>
    <w:aliases w:val="Figures Only Char,Heading 4 CFMU Char,h4 Char,Header 4 Char,Numbered 4 (SBC) Char,Heading 4 - SBC Char,dash Char,Map Title Char,H4 Char,Topic Major Char,RFQ3 Char,l4 Char,4 Char,4heading Char,heading4 Char,heading Char,Subhead C Char"/>
    <w:basedOn w:val="DefaultParagraphFont"/>
    <w:link w:val="Heading4"/>
    <w:uiPriority w:val="99"/>
    <w:rsid w:val="00B52048"/>
    <w:rPr>
      <w:rFonts w:asciiTheme="majorHAnsi" w:eastAsiaTheme="majorEastAsia" w:hAnsiTheme="majorHAnsi" w:cstheme="majorBidi"/>
      <w:i/>
      <w:iCs/>
      <w:color w:val="166367" w:themeColor="accent1" w:themeShade="BF"/>
    </w:rPr>
  </w:style>
  <w:style w:type="character" w:customStyle="1" w:styleId="HeaderSensitivityChar">
    <w:name w:val="Header Sensitivity Char"/>
    <w:basedOn w:val="DefaultParagraphFont"/>
    <w:link w:val="HeaderSensitivity"/>
    <w:rsid w:val="0058570F"/>
    <w:rPr>
      <w:rFonts w:ascii="Times New Roman" w:hAnsi="Times New Roman" w:cs="Times New Roman"/>
      <w:b/>
      <w:sz w:val="32"/>
    </w:rPr>
  </w:style>
  <w:style w:type="table" w:customStyle="1" w:styleId="Style1">
    <w:name w:val="Style1"/>
    <w:basedOn w:val="TableNormal"/>
    <w:uiPriority w:val="99"/>
    <w:rsid w:val="001F244E"/>
    <w:pPr>
      <w:spacing w:after="0" w:line="240" w:lineRule="auto"/>
    </w:pPr>
    <w:rPr>
      <w:rFonts w:ascii="Yu Gothic UI Light" w:hAnsi="Yu Gothic UI Light"/>
      <w:sz w:val="18"/>
      <w:lang w:val="it-IT"/>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E7E6E6"/>
    </w:tcPr>
    <w:tblStylePr w:type="firstRow">
      <w:pPr>
        <w:jc w:val="left"/>
      </w:pPr>
      <w:rPr>
        <w:rFonts w:ascii="Verdana" w:hAnsi="Verdana"/>
        <w:b/>
        <w:color w:val="FFFFFF" w:themeColor="background1"/>
        <w:sz w:val="18"/>
      </w:rPr>
      <w:tblPr/>
      <w:tcPr>
        <w:shd w:val="clear" w:color="auto" w:fill="00B0F0"/>
        <w:vAlign w:val="center"/>
      </w:tcPr>
    </w:tblStylePr>
  </w:style>
  <w:style w:type="paragraph" w:customStyle="1" w:styleId="Source">
    <w:name w:val="Source"/>
    <w:aliases w:val="Source1"/>
    <w:basedOn w:val="Normal"/>
    <w:link w:val="SourceChar"/>
    <w:qFormat/>
    <w:rsid w:val="001F244E"/>
    <w:pPr>
      <w:spacing w:after="60" w:line="240" w:lineRule="auto"/>
      <w:jc w:val="center"/>
    </w:pPr>
    <w:rPr>
      <w:rFonts w:ascii="Verdana" w:eastAsia="Times New Roman" w:hAnsi="Verdana" w:cs="Times New Roman"/>
      <w:i/>
      <w:iCs/>
      <w:color w:val="646464"/>
      <w:sz w:val="18"/>
      <w:szCs w:val="18"/>
      <w:lang w:val="de-DE" w:eastAsia="nl-BE"/>
    </w:rPr>
  </w:style>
  <w:style w:type="character" w:customStyle="1" w:styleId="SourceChar">
    <w:name w:val="Source Char"/>
    <w:basedOn w:val="DefaultParagraphFont"/>
    <w:link w:val="Source"/>
    <w:rsid w:val="001F244E"/>
    <w:rPr>
      <w:rFonts w:ascii="Verdana" w:eastAsia="Times New Roman" w:hAnsi="Verdana" w:cs="Times New Roman"/>
      <w:i/>
      <w:iCs/>
      <w:color w:val="646464"/>
      <w:sz w:val="18"/>
      <w:szCs w:val="18"/>
      <w:lang w:val="de-DE" w:eastAsia="nl-BE"/>
    </w:rPr>
  </w:style>
  <w:style w:type="paragraph" w:customStyle="1" w:styleId="Bullet10">
    <w:name w:val="Bullet 1"/>
    <w:basedOn w:val="Normal"/>
    <w:link w:val="Bullet1Char"/>
    <w:qFormat/>
    <w:rsid w:val="001F244E"/>
    <w:pPr>
      <w:numPr>
        <w:numId w:val="11"/>
      </w:numPr>
      <w:spacing w:before="120" w:after="120" w:line="240" w:lineRule="auto"/>
      <w:contextualSpacing/>
    </w:pPr>
    <w:rPr>
      <w:rFonts w:ascii="Verdana" w:eastAsia="Times New Roman" w:hAnsi="Verdana" w:cs="Times New Roman"/>
      <w:bCs/>
      <w:szCs w:val="24"/>
      <w:lang w:val="de-DE" w:eastAsia="de-DE"/>
    </w:rPr>
  </w:style>
  <w:style w:type="table" w:customStyle="1" w:styleId="Style12">
    <w:name w:val="Style12"/>
    <w:basedOn w:val="TableNormal"/>
    <w:uiPriority w:val="99"/>
    <w:rsid w:val="001F244E"/>
    <w:pPr>
      <w:spacing w:after="0" w:line="240" w:lineRule="auto"/>
    </w:pPr>
    <w:rPr>
      <w:rFonts w:ascii="Yu Gothic UI Light" w:hAnsi="Yu Gothic UI Light"/>
      <w:sz w:val="18"/>
      <w:lang w:val="it-IT"/>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shd w:val="clear" w:color="auto" w:fill="E7E6E6"/>
    </w:tcPr>
    <w:tblStylePr w:type="firstRow">
      <w:pPr>
        <w:jc w:val="left"/>
      </w:pPr>
      <w:rPr>
        <w:rFonts w:ascii="Verdana" w:hAnsi="Verdana"/>
        <w:b/>
        <w:color w:val="FFFFFF"/>
        <w:sz w:val="18"/>
      </w:rPr>
      <w:tblPr/>
      <w:tcPr>
        <w:shd w:val="clear" w:color="auto" w:fill="00B0F0"/>
        <w:vAlign w:val="center"/>
      </w:tcPr>
    </w:tblStylePr>
  </w:style>
  <w:style w:type="table" w:customStyle="1" w:styleId="Table-standard1">
    <w:name w:val="Table - standard1"/>
    <w:basedOn w:val="TableNormal"/>
    <w:rsid w:val="001F244E"/>
    <w:pPr>
      <w:spacing w:after="0" w:line="240" w:lineRule="auto"/>
    </w:pPr>
    <w:rPr>
      <w:rFonts w:ascii="Arial" w:eastAsia="Times New Roman" w:hAnsi="Arial" w:cs="Times New Roman"/>
      <w:sz w:val="18"/>
      <w:szCs w:val="20"/>
      <w:lang w:val="fr-FR" w:eastAsia="fr-F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7E6E6"/>
      <w:vAlign w:val="center"/>
    </w:tcPr>
    <w:tblStylePr w:type="firstRow">
      <w:pPr>
        <w:jc w:val="left"/>
      </w:pPr>
      <w:rPr>
        <w:rFonts w:ascii="Yu Mincho" w:hAnsi="Yu Mincho"/>
        <w:b/>
        <w:color w:val="auto"/>
        <w:sz w:val="18"/>
      </w:rPr>
      <w:tblPr/>
      <w:tcPr>
        <w:shd w:val="clear" w:color="auto" w:fill="FFE600"/>
      </w:tcPr>
    </w:tblStylePr>
    <w:tblStylePr w:type="lastRow">
      <w:rPr>
        <w:rFonts w:ascii="Yu Mincho" w:hAnsi="Yu Mincho"/>
      </w:rPr>
    </w:tblStylePr>
    <w:tblStylePr w:type="firstCol">
      <w:rPr>
        <w:rFonts w:ascii="Yu Mincho" w:hAnsi="Yu Mincho"/>
      </w:rPr>
      <w:tblPr/>
      <w:tcPr>
        <w:shd w:val="clear" w:color="auto" w:fill="D0CECE"/>
      </w:tcPr>
    </w:tblStylePr>
    <w:tblStylePr w:type="lastCol">
      <w:rPr>
        <w:rFonts w:ascii="Yu Mincho" w:hAnsi="Yu Mincho"/>
        <w:sz w:val="18"/>
      </w:rPr>
    </w:tblStylePr>
    <w:tblStylePr w:type="band1Vert">
      <w:rPr>
        <w:rFonts w:ascii="Yu Mincho" w:hAnsi="Yu Mincho"/>
      </w:rPr>
    </w:tblStylePr>
    <w:tblStylePr w:type="band2Vert">
      <w:rPr>
        <w:rFonts w:ascii="Yu Mincho" w:hAnsi="Yu Mincho"/>
      </w:rPr>
    </w:tblStylePr>
    <w:tblStylePr w:type="band1Horz">
      <w:rPr>
        <w:rFonts w:ascii="Yu Mincho" w:hAnsi="Yu Mincho"/>
      </w:rPr>
    </w:tblStylePr>
    <w:tblStylePr w:type="band2Horz">
      <w:rPr>
        <w:rFonts w:ascii="Yu Mincho" w:hAnsi="Yu Mincho"/>
      </w:rPr>
    </w:tblStylePr>
    <w:tblStylePr w:type="neCell">
      <w:rPr>
        <w:rFonts w:ascii="Yu Mincho" w:hAnsi="Yu Mincho"/>
      </w:rPr>
    </w:tblStylePr>
    <w:tblStylePr w:type="nwCell">
      <w:rPr>
        <w:rFonts w:ascii="Yu Mincho" w:hAnsi="Yu Mincho"/>
      </w:rPr>
    </w:tblStylePr>
    <w:tblStylePr w:type="seCell">
      <w:rPr>
        <w:rFonts w:ascii="Yu Mincho" w:hAnsi="Yu Mincho"/>
      </w:rPr>
    </w:tblStylePr>
    <w:tblStylePr w:type="swCell">
      <w:rPr>
        <w:rFonts w:ascii="Yu Mincho" w:hAnsi="Yu Mincho"/>
      </w:rPr>
    </w:tblStylePr>
  </w:style>
  <w:style w:type="character" w:customStyle="1" w:styleId="Bullet1Char">
    <w:name w:val="Bullet 1 Char"/>
    <w:basedOn w:val="DefaultParagraphFont"/>
    <w:link w:val="Bullet10"/>
    <w:rsid w:val="001F244E"/>
    <w:rPr>
      <w:rFonts w:ascii="Verdana" w:eastAsia="Times New Roman" w:hAnsi="Verdana" w:cs="Times New Roman"/>
      <w:bCs/>
      <w:szCs w:val="24"/>
      <w:lang w:val="de-DE" w:eastAsia="de-DE"/>
    </w:rPr>
  </w:style>
  <w:style w:type="paragraph" w:customStyle="1" w:styleId="Heading50">
    <w:name w:val="Heading 5.0"/>
    <w:basedOn w:val="Normal"/>
    <w:next w:val="Normal"/>
    <w:link w:val="Heading50Char"/>
    <w:autoRedefine/>
    <w:qFormat/>
    <w:rsid w:val="001F244E"/>
    <w:pPr>
      <w:keepNext/>
      <w:spacing w:before="120" w:after="120" w:line="240" w:lineRule="atLeast"/>
      <w:jc w:val="both"/>
      <w:outlineLvl w:val="5"/>
    </w:pPr>
    <w:rPr>
      <w:rFonts w:ascii="Verdana" w:eastAsia="Times New Roman" w:hAnsi="Verdana" w:cstheme="majorBidi"/>
      <w:b/>
      <w:i/>
      <w:noProof/>
      <w:color w:val="00B0F0"/>
      <w:sz w:val="20"/>
      <w:szCs w:val="20"/>
      <w:lang w:val="en-GB" w:eastAsia="nl-BE"/>
    </w:rPr>
  </w:style>
  <w:style w:type="character" w:customStyle="1" w:styleId="Heading50Char">
    <w:name w:val="Heading 5.0 Char"/>
    <w:basedOn w:val="DefaultParagraphFont"/>
    <w:link w:val="Heading50"/>
    <w:rsid w:val="001F244E"/>
    <w:rPr>
      <w:rFonts w:ascii="Verdana" w:eastAsia="Times New Roman" w:hAnsi="Verdana" w:cstheme="majorBidi"/>
      <w:b/>
      <w:i/>
      <w:noProof/>
      <w:color w:val="00B0F0"/>
      <w:sz w:val="20"/>
      <w:szCs w:val="20"/>
      <w:lang w:val="en-GB" w:eastAsia="nl-BE"/>
    </w:rPr>
  </w:style>
  <w:style w:type="paragraph" w:customStyle="1" w:styleId="Boxtable">
    <w:name w:val="Box table"/>
    <w:basedOn w:val="Table"/>
    <w:link w:val="BoxtableChar"/>
    <w:qFormat/>
    <w:rsid w:val="001F244E"/>
    <w:pPr>
      <w:spacing w:before="60" w:after="60"/>
      <w:jc w:val="left"/>
    </w:pPr>
    <w:rPr>
      <w:rFonts w:eastAsia="Times New Roman" w:cs="Times New Roman"/>
      <w:lang w:val="en-GB" w:eastAsia="fr-FR"/>
    </w:rPr>
  </w:style>
  <w:style w:type="character" w:customStyle="1" w:styleId="BoxtableChar">
    <w:name w:val="Box table Char"/>
    <w:basedOn w:val="DefaultParagraphFont"/>
    <w:link w:val="Boxtable"/>
    <w:rsid w:val="001F244E"/>
    <w:rPr>
      <w:rFonts w:ascii="Verdana" w:eastAsia="Times New Roman" w:hAnsi="Verdana" w:cs="Times New Roman"/>
      <w:sz w:val="18"/>
      <w:szCs w:val="20"/>
      <w:lang w:val="en-GB" w:eastAsia="fr-FR"/>
    </w:rPr>
  </w:style>
  <w:style w:type="paragraph" w:customStyle="1" w:styleId="2bullet">
    <w:name w:val="2 bullet"/>
    <w:basedOn w:val="Normal"/>
    <w:link w:val="2bulletChar"/>
    <w:qFormat/>
    <w:rsid w:val="001F244E"/>
    <w:pPr>
      <w:numPr>
        <w:numId w:val="10"/>
      </w:numPr>
      <w:spacing w:before="60" w:after="60" w:line="240" w:lineRule="auto"/>
      <w:contextualSpacing/>
    </w:pPr>
    <w:rPr>
      <w:rFonts w:ascii="Verdana" w:eastAsia="Times New Roman" w:hAnsi="Verdana" w:cs="Times New Roman"/>
      <w:sz w:val="20"/>
      <w:szCs w:val="20"/>
      <w:lang w:val="en-US" w:eastAsia="fr-FR"/>
    </w:rPr>
  </w:style>
  <w:style w:type="character" w:customStyle="1" w:styleId="2bulletChar">
    <w:name w:val="2 bullet Char"/>
    <w:basedOn w:val="DefaultParagraphFont"/>
    <w:link w:val="2bullet"/>
    <w:rsid w:val="001F244E"/>
    <w:rPr>
      <w:rFonts w:ascii="Verdana" w:eastAsia="Times New Roman" w:hAnsi="Verdana" w:cs="Times New Roman"/>
      <w:sz w:val="20"/>
      <w:szCs w:val="20"/>
      <w:lang w:val="en-US" w:eastAsia="fr-FR"/>
    </w:rPr>
  </w:style>
  <w:style w:type="character" w:customStyle="1" w:styleId="NormalChar">
    <w:name w:val="***Normal Char"/>
    <w:link w:val="Normal0"/>
    <w:locked/>
    <w:rsid w:val="001F244E"/>
    <w:rPr>
      <w:rFonts w:ascii="Verdana" w:eastAsia="Times New Roman" w:hAnsi="Verdana" w:cs="Times New Roman"/>
      <w:sz w:val="20"/>
      <w:szCs w:val="24"/>
      <w:lang w:eastAsia="de-DE"/>
    </w:rPr>
  </w:style>
  <w:style w:type="paragraph" w:customStyle="1" w:styleId="Normal0">
    <w:name w:val="***Normal"/>
    <w:basedOn w:val="Normal"/>
    <w:link w:val="NormalChar"/>
    <w:qFormat/>
    <w:rsid w:val="001F244E"/>
    <w:pPr>
      <w:spacing w:after="120" w:line="240" w:lineRule="auto"/>
      <w:jc w:val="both"/>
    </w:pPr>
    <w:rPr>
      <w:rFonts w:ascii="Verdana" w:eastAsia="Times New Roman" w:hAnsi="Verdana" w:cs="Times New Roman"/>
      <w:sz w:val="20"/>
      <w:szCs w:val="24"/>
      <w:lang w:eastAsia="de-DE"/>
    </w:rPr>
  </w:style>
  <w:style w:type="character" w:customStyle="1" w:styleId="Heading8Char">
    <w:name w:val="Heading 8 Char"/>
    <w:aliases w:val="sub4 Char,Heading 8 (do not use) Char,Heading 8 CFMU Char,h8 Char,Header 8 Char,ASAPHeading 8 Char,8 Char,Titolo8 Char,action Char,action1 Char,action2 Char,action11 Char,action3 Char,action4 Char,action5 Char,action6 Char,action7 Char"/>
    <w:basedOn w:val="DefaultParagraphFont"/>
    <w:link w:val="Heading8"/>
    <w:uiPriority w:val="9"/>
    <w:rsid w:val="00B758A1"/>
    <w:rPr>
      <w:rFonts w:asciiTheme="majorHAnsi" w:eastAsiaTheme="majorEastAsia" w:hAnsiTheme="majorHAnsi" w:cstheme="majorBidi"/>
      <w:color w:val="272727" w:themeColor="text1" w:themeTint="D8"/>
      <w:sz w:val="21"/>
      <w:szCs w:val="21"/>
    </w:rPr>
  </w:style>
  <w:style w:type="character" w:customStyle="1" w:styleId="Heading5Char">
    <w:name w:val="Heading 5 Char"/>
    <w:aliases w:val="Titolo 5 Char,sub1 Char,Roman list Char,5 Char,H5 Char,Heading 5 CFMU Char,Para 5 Char,h5 Char,Header 5 Char,Numbered 5 (SBC) Char,UEH5 Char,Subhead 1 Char"/>
    <w:basedOn w:val="DefaultParagraphFont"/>
    <w:link w:val="Heading5"/>
    <w:uiPriority w:val="20"/>
    <w:rsid w:val="00B758A1"/>
    <w:rPr>
      <w:rFonts w:ascii="Verdana" w:eastAsiaTheme="majorEastAsia" w:hAnsi="Verdana" w:cstheme="majorBidi"/>
      <w:b/>
      <w:sz w:val="20"/>
      <w:u w:val="single"/>
      <w:lang w:val="en-GB"/>
    </w:rPr>
  </w:style>
  <w:style w:type="character" w:customStyle="1" w:styleId="Heading6Char">
    <w:name w:val="Heading 6 Char"/>
    <w:aliases w:val="sub2 Char,b Char,Heading 6 CFMU Char,h6 Char,Header 6 Char,UEH6 Char,Heading 6 CFMU1 Char,Heading 6 CFMU2 Char,Heading 6 CFMU3 Char,Heading 6 CFMU4 Char,Heading 6 CFMU5 Char,Para 6 Char,H6 Char,Legal Level 1. Char"/>
    <w:basedOn w:val="DefaultParagraphFont"/>
    <w:link w:val="Heading6"/>
    <w:uiPriority w:val="9"/>
    <w:rsid w:val="00B758A1"/>
    <w:rPr>
      <w:rFonts w:ascii="Verdana" w:eastAsiaTheme="majorEastAsia" w:hAnsi="Verdana" w:cstheme="majorBidi"/>
      <w:b/>
      <w:i/>
      <w:color w:val="7F7F7F" w:themeColor="text1" w:themeTint="80"/>
      <w:sz w:val="20"/>
      <w:lang w:val="en-GB"/>
    </w:rPr>
  </w:style>
  <w:style w:type="character" w:customStyle="1" w:styleId="Heading7Char">
    <w:name w:val="Heading 7 Char"/>
    <w:aliases w:val="letter list Char,lettered list Char,Heading 7 CFMU Char,h7 Char,Header 7 Char,Legal Level 1.1. Char,sub3 Char,Heading 7 (do not use) Char,Para 7 Char,H7 Char,TITRE PARTIE Char"/>
    <w:basedOn w:val="DefaultParagraphFont"/>
    <w:link w:val="Heading7"/>
    <w:uiPriority w:val="9"/>
    <w:rsid w:val="00B758A1"/>
    <w:rPr>
      <w:rFonts w:asciiTheme="majorHAnsi" w:eastAsiaTheme="majorEastAsia" w:hAnsiTheme="majorHAnsi" w:cstheme="majorBidi"/>
      <w:i/>
      <w:iCs/>
      <w:color w:val="0F4145" w:themeColor="accent1" w:themeShade="7F"/>
      <w:szCs w:val="24"/>
      <w:lang w:val="de-DE" w:eastAsia="de-DE"/>
    </w:rPr>
  </w:style>
  <w:style w:type="character" w:customStyle="1" w:styleId="Heading9Char">
    <w:name w:val="Heading 9 Char"/>
    <w:aliases w:val="sub5 Char,Heading 9 (do not use) Char,App Heading Char,Heading 9 CFMU Char,h9 Char,Header 9 Char,ASAPHeading 9 Char,Appendix Char,9 Char,Titolo9 Char,progress Char,progress1 Char,progress2 Char,progress11 Char,progress3 Char,App1 Char"/>
    <w:basedOn w:val="DefaultParagraphFont"/>
    <w:link w:val="Heading9"/>
    <w:uiPriority w:val="9"/>
    <w:rsid w:val="00B758A1"/>
    <w:rPr>
      <w:rFonts w:asciiTheme="majorHAnsi" w:eastAsiaTheme="majorEastAsia" w:hAnsiTheme="majorHAnsi" w:cstheme="majorBidi"/>
      <w:i/>
      <w:iCs/>
      <w:color w:val="272727" w:themeColor="text1" w:themeTint="D8"/>
      <w:sz w:val="21"/>
      <w:szCs w:val="21"/>
      <w:lang w:val="en-GB"/>
    </w:rPr>
  </w:style>
  <w:style w:type="numbering" w:customStyle="1" w:styleId="Formatvorlage2">
    <w:name w:val="Formatvorlage2"/>
    <w:uiPriority w:val="99"/>
    <w:rsid w:val="00B758A1"/>
  </w:style>
  <w:style w:type="numbering" w:customStyle="1" w:styleId="Formatvorlage3">
    <w:name w:val="Formatvorlage3"/>
    <w:uiPriority w:val="99"/>
    <w:rsid w:val="00B758A1"/>
    <w:pPr>
      <w:numPr>
        <w:numId w:val="43"/>
      </w:numPr>
    </w:pPr>
  </w:style>
  <w:style w:type="character" w:customStyle="1" w:styleId="FunotentextfChar1">
    <w:name w:val="Fußnotentextf Char1"/>
    <w:aliases w:val="Note de bas de page Car Car Char1,Note de bas de page Car Car Car Car Car Char1,Note de bas de page Car Car Car Car Char1,Note de bas de page Car Car Car Char1,stile 1 Char1,Footnote Char1,Footnote1 Char1,ft Char"/>
    <w:basedOn w:val="DefaultParagraphFont"/>
    <w:uiPriority w:val="99"/>
    <w:semiHidden/>
    <w:rsid w:val="00B758A1"/>
    <w:rPr>
      <w:rFonts w:ascii="Verdana" w:hAnsi="Verdana"/>
      <w:sz w:val="20"/>
      <w:szCs w:val="20"/>
      <w:lang w:val="en-GB"/>
    </w:rPr>
  </w:style>
  <w:style w:type="character" w:customStyle="1" w:styleId="TablebulletChar">
    <w:name w:val="Table bullet Char"/>
    <w:basedOn w:val="DefaultParagraphFont"/>
    <w:link w:val="Tablebullet"/>
    <w:uiPriority w:val="99"/>
    <w:locked/>
    <w:rsid w:val="00B758A1"/>
    <w:rPr>
      <w:rFonts w:ascii="Verdana" w:eastAsia="Times New Roman" w:hAnsi="Verdana" w:cs="Calibri"/>
      <w:sz w:val="18"/>
      <w:szCs w:val="18"/>
      <w:lang w:eastAsia="de-DE"/>
    </w:rPr>
  </w:style>
  <w:style w:type="paragraph" w:customStyle="1" w:styleId="Tablebullet">
    <w:name w:val="Table bullet"/>
    <w:basedOn w:val="Normal"/>
    <w:link w:val="TablebulletChar"/>
    <w:uiPriority w:val="99"/>
    <w:rsid w:val="00B758A1"/>
    <w:pPr>
      <w:numPr>
        <w:numId w:val="13"/>
      </w:numPr>
      <w:spacing w:after="0" w:line="240" w:lineRule="auto"/>
    </w:pPr>
    <w:rPr>
      <w:rFonts w:ascii="Verdana" w:eastAsia="Times New Roman" w:hAnsi="Verdana" w:cs="Calibri"/>
      <w:sz w:val="18"/>
      <w:szCs w:val="18"/>
      <w:lang w:eastAsia="de-DE"/>
    </w:rPr>
  </w:style>
  <w:style w:type="paragraph" w:styleId="TableofFigures">
    <w:name w:val="table of figures"/>
    <w:basedOn w:val="Normal"/>
    <w:next w:val="Normal"/>
    <w:uiPriority w:val="99"/>
    <w:unhideWhenUsed/>
    <w:qFormat/>
    <w:rsid w:val="00B758A1"/>
    <w:pPr>
      <w:spacing w:after="0" w:line="240" w:lineRule="auto"/>
      <w:jc w:val="both"/>
    </w:pPr>
    <w:rPr>
      <w:rFonts w:ascii="Verdana" w:hAnsi="Verdana"/>
      <w:sz w:val="20"/>
      <w:lang w:val="en-GB"/>
    </w:rPr>
  </w:style>
  <w:style w:type="table" w:styleId="PlainTable5">
    <w:name w:val="Plain Table 5"/>
    <w:basedOn w:val="TableNormal"/>
    <w:uiPriority w:val="45"/>
    <w:rsid w:val="00B758A1"/>
    <w:pPr>
      <w:spacing w:after="0" w:line="240" w:lineRule="auto"/>
    </w:pPr>
    <w:rPr>
      <w:lang w:val="it-IT"/>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ullet1Zchn">
    <w:name w:val="bullet 1 Zchn"/>
    <w:rsid w:val="00B758A1"/>
    <w:rPr>
      <w:rFonts w:ascii="Yu Gothic UI Light" w:eastAsia="Times New Roman" w:hAnsi="Yu Gothic UI Light" w:cs="Times New Roman"/>
      <w:sz w:val="20"/>
      <w:szCs w:val="24"/>
      <w:lang w:val="en-GB"/>
    </w:rPr>
  </w:style>
  <w:style w:type="paragraph" w:customStyle="1" w:styleId="HeadingBody">
    <w:name w:val="Heading Body"/>
    <w:basedOn w:val="Heading1"/>
    <w:next w:val="Normal"/>
    <w:link w:val="HeadingBodyChar"/>
    <w:rsid w:val="00B758A1"/>
    <w:pPr>
      <w:keepNext w:val="0"/>
      <w:numPr>
        <w:numId w:val="14"/>
      </w:numPr>
      <w:jc w:val="left"/>
    </w:pPr>
    <w:rPr>
      <w:rFonts w:ascii="Verdana" w:hAnsi="Verdana"/>
      <w:smallCaps w:val="0"/>
      <w:sz w:val="26"/>
      <w:szCs w:val="24"/>
      <w:lang w:val="de-DE" w:eastAsia="de-DE"/>
    </w:rPr>
  </w:style>
  <w:style w:type="character" w:customStyle="1" w:styleId="HeadingBodyChar">
    <w:name w:val="Heading Body Char"/>
    <w:basedOn w:val="DefaultParagraphFont"/>
    <w:link w:val="HeadingBody"/>
    <w:rsid w:val="00B758A1"/>
    <w:rPr>
      <w:rFonts w:ascii="Verdana" w:eastAsia="Times New Roman" w:hAnsi="Verdana" w:cs="Times New Roman"/>
      <w:b/>
      <w:sz w:val="26"/>
      <w:szCs w:val="24"/>
      <w:lang w:val="de-DE" w:eastAsia="de-DE"/>
    </w:rPr>
  </w:style>
  <w:style w:type="paragraph" w:customStyle="1" w:styleId="TableText">
    <w:name w:val="Table Text"/>
    <w:basedOn w:val="Normal"/>
    <w:uiPriority w:val="1"/>
    <w:qFormat/>
    <w:rsid w:val="00B758A1"/>
    <w:pPr>
      <w:tabs>
        <w:tab w:val="num" w:pos="360"/>
        <w:tab w:val="left" w:pos="907"/>
      </w:tabs>
      <w:suppressAutoHyphens/>
      <w:spacing w:before="60" w:after="60" w:line="240" w:lineRule="auto"/>
      <w:ind w:left="24"/>
      <w:jc w:val="both"/>
    </w:pPr>
    <w:rPr>
      <w:rFonts w:ascii="Arial" w:eastAsia="Times New Roman" w:hAnsi="Arial" w:cs="Times New Roman"/>
      <w:spacing w:val="-10"/>
      <w:kern w:val="12"/>
      <w:sz w:val="18"/>
      <w:szCs w:val="18"/>
      <w:lang w:val="en-US" w:eastAsia="ar-SA"/>
    </w:rPr>
  </w:style>
  <w:style w:type="paragraph" w:customStyle="1" w:styleId="Heading60">
    <w:name w:val="Heading6"/>
    <w:basedOn w:val="Normal"/>
    <w:link w:val="Heading6Char0"/>
    <w:rsid w:val="00B758A1"/>
    <w:pPr>
      <w:keepNext/>
      <w:tabs>
        <w:tab w:val="left" w:pos="0"/>
        <w:tab w:val="left" w:pos="1701"/>
      </w:tabs>
      <w:spacing w:before="120" w:after="60" w:line="240" w:lineRule="auto"/>
      <w:jc w:val="both"/>
      <w:outlineLvl w:val="5"/>
    </w:pPr>
    <w:rPr>
      <w:rFonts w:ascii="Verdana" w:eastAsiaTheme="majorEastAsia" w:hAnsi="Verdana" w:cstheme="majorBidi"/>
      <w:b/>
      <w:i/>
      <w:iCs/>
      <w:color w:val="595959" w:themeColor="text1" w:themeTint="A6"/>
      <w:sz w:val="20"/>
      <w:u w:val="single"/>
      <w:lang w:val="en-GB"/>
    </w:rPr>
  </w:style>
  <w:style w:type="character" w:customStyle="1" w:styleId="Heading6Char0">
    <w:name w:val="Heading6 Char"/>
    <w:basedOn w:val="DefaultParagraphFont"/>
    <w:link w:val="Heading60"/>
    <w:rsid w:val="00B758A1"/>
    <w:rPr>
      <w:rFonts w:ascii="Verdana" w:eastAsiaTheme="majorEastAsia" w:hAnsi="Verdana" w:cstheme="majorBidi"/>
      <w:b/>
      <w:i/>
      <w:iCs/>
      <w:color w:val="595959" w:themeColor="text1" w:themeTint="A6"/>
      <w:sz w:val="20"/>
      <w:u w:val="single"/>
      <w:lang w:val="en-GB"/>
    </w:rPr>
  </w:style>
  <w:style w:type="paragraph" w:customStyle="1" w:styleId="Box">
    <w:name w:val="Box"/>
    <w:basedOn w:val="Normal"/>
    <w:link w:val="BoxChar"/>
    <w:rsid w:val="00B758A1"/>
    <w:pPr>
      <w:spacing w:after="0" w:line="240" w:lineRule="auto"/>
      <w:jc w:val="both"/>
    </w:pPr>
    <w:rPr>
      <w:rFonts w:ascii="Verdana" w:hAnsi="Verdana"/>
      <w:sz w:val="20"/>
      <w:lang w:val="en-GB"/>
    </w:rPr>
  </w:style>
  <w:style w:type="paragraph" w:customStyle="1" w:styleId="Bulletpointtable">
    <w:name w:val="Bullet point table"/>
    <w:basedOn w:val="Normal"/>
    <w:link w:val="BulletpointtableChar"/>
    <w:uiPriority w:val="1"/>
    <w:qFormat/>
    <w:rsid w:val="00B758A1"/>
    <w:pPr>
      <w:numPr>
        <w:numId w:val="41"/>
      </w:numPr>
      <w:spacing w:after="0" w:line="240" w:lineRule="auto"/>
    </w:pPr>
    <w:rPr>
      <w:rFonts w:ascii="Verdana" w:eastAsia="Times New Roman" w:hAnsi="Verdana" w:cs="Times New Roman"/>
      <w:sz w:val="18"/>
      <w:szCs w:val="18"/>
      <w:lang w:val="de-DE" w:eastAsia="de-DE"/>
    </w:rPr>
  </w:style>
  <w:style w:type="character" w:customStyle="1" w:styleId="BulletpointtableChar">
    <w:name w:val="Bullet point table Char"/>
    <w:basedOn w:val="DefaultParagraphFont"/>
    <w:link w:val="Bulletpointtable"/>
    <w:uiPriority w:val="1"/>
    <w:rsid w:val="00B758A1"/>
    <w:rPr>
      <w:rFonts w:ascii="Verdana" w:eastAsia="Times New Roman" w:hAnsi="Verdana" w:cs="Times New Roman"/>
      <w:sz w:val="18"/>
      <w:szCs w:val="18"/>
      <w:lang w:val="de-DE" w:eastAsia="de-DE"/>
    </w:rPr>
  </w:style>
  <w:style w:type="character" w:customStyle="1" w:styleId="BoxChar">
    <w:name w:val="Box Char"/>
    <w:basedOn w:val="DefaultParagraphFont"/>
    <w:link w:val="Box"/>
    <w:rsid w:val="00B758A1"/>
    <w:rPr>
      <w:rFonts w:ascii="Verdana" w:hAnsi="Verdana"/>
      <w:sz w:val="20"/>
      <w:lang w:val="en-GB"/>
    </w:rPr>
  </w:style>
  <w:style w:type="paragraph" w:customStyle="1" w:styleId="PageNumber1">
    <w:name w:val="Page Number1"/>
    <w:basedOn w:val="Footer"/>
    <w:link w:val="PagenumberChar"/>
    <w:rsid w:val="00B758A1"/>
    <w:pPr>
      <w:tabs>
        <w:tab w:val="clear" w:pos="4535"/>
        <w:tab w:val="clear" w:pos="9071"/>
        <w:tab w:val="clear" w:pos="9921"/>
        <w:tab w:val="right" w:pos="9240"/>
      </w:tabs>
      <w:spacing w:before="120"/>
      <w:ind w:left="0" w:right="-622"/>
      <w:jc w:val="both"/>
    </w:pPr>
    <w:rPr>
      <w:rFonts w:ascii="Verdana" w:eastAsia="Times New Roman" w:hAnsi="Verdana"/>
      <w:sz w:val="16"/>
      <w:szCs w:val="20"/>
      <w:lang w:eastAsia="nl-BE"/>
    </w:rPr>
  </w:style>
  <w:style w:type="character" w:customStyle="1" w:styleId="PagenumberChar">
    <w:name w:val="Page number Char"/>
    <w:link w:val="PageNumber1"/>
    <w:rsid w:val="00B758A1"/>
    <w:rPr>
      <w:rFonts w:ascii="Verdana" w:eastAsia="Times New Roman" w:hAnsi="Verdana" w:cs="Times New Roman"/>
      <w:sz w:val="16"/>
      <w:szCs w:val="20"/>
      <w:lang w:eastAsia="nl-BE"/>
    </w:rPr>
  </w:style>
  <w:style w:type="paragraph" w:customStyle="1" w:styleId="HeaderTitle">
    <w:name w:val="Header Title"/>
    <w:basedOn w:val="Normal"/>
    <w:link w:val="HeaderTitleChar"/>
    <w:rsid w:val="00B758A1"/>
    <w:pPr>
      <w:spacing w:before="120" w:after="120" w:line="240" w:lineRule="auto"/>
      <w:jc w:val="center"/>
    </w:pPr>
    <w:rPr>
      <w:rFonts w:ascii="Verdana" w:eastAsia="Times New Roman" w:hAnsi="Verdana" w:cs="Times New Roman"/>
      <w:b/>
      <w:color w:val="808080"/>
      <w:sz w:val="18"/>
      <w:szCs w:val="18"/>
      <w:lang w:val="de-DE" w:eastAsia="nl-BE"/>
    </w:rPr>
  </w:style>
  <w:style w:type="character" w:customStyle="1" w:styleId="HeaderTitleChar">
    <w:name w:val="Header Title Char"/>
    <w:link w:val="HeaderTitle"/>
    <w:rsid w:val="00B758A1"/>
    <w:rPr>
      <w:rFonts w:ascii="Verdana" w:eastAsia="Times New Roman" w:hAnsi="Verdana" w:cs="Times New Roman"/>
      <w:b/>
      <w:color w:val="808080"/>
      <w:sz w:val="18"/>
      <w:szCs w:val="18"/>
      <w:lang w:val="de-DE" w:eastAsia="nl-BE"/>
    </w:rPr>
  </w:style>
  <w:style w:type="paragraph" w:customStyle="1" w:styleId="Heading">
    <w:name w:val="Heading"/>
    <w:basedOn w:val="HeadingBody"/>
    <w:link w:val="HeadingChar"/>
    <w:rsid w:val="00B758A1"/>
    <w:pPr>
      <w:numPr>
        <w:numId w:val="0"/>
      </w:numPr>
      <w:spacing w:after="120"/>
      <w:ind w:left="432" w:hanging="432"/>
      <w:outlineLvl w:val="9"/>
    </w:pPr>
    <w:rPr>
      <w:sz w:val="18"/>
      <w:szCs w:val="18"/>
    </w:rPr>
  </w:style>
  <w:style w:type="character" w:customStyle="1" w:styleId="HeadingChar">
    <w:name w:val="Heading Char"/>
    <w:link w:val="Heading"/>
    <w:rsid w:val="00B758A1"/>
    <w:rPr>
      <w:rFonts w:ascii="Verdana" w:eastAsia="Times New Roman" w:hAnsi="Verdana" w:cs="Times New Roman"/>
      <w:b/>
      <w:sz w:val="18"/>
      <w:szCs w:val="18"/>
      <w:lang w:val="de-DE" w:eastAsia="de-DE"/>
    </w:rPr>
  </w:style>
  <w:style w:type="paragraph" w:customStyle="1" w:styleId="Tabletext0">
    <w:name w:val="Table text"/>
    <w:basedOn w:val="BodyText"/>
    <w:qFormat/>
    <w:rsid w:val="00B758A1"/>
    <w:pPr>
      <w:spacing w:before="60" w:after="0"/>
      <w:ind w:left="360" w:hanging="360"/>
      <w:jc w:val="left"/>
    </w:pPr>
    <w:rPr>
      <w:rFonts w:eastAsia="Times New Roman" w:cs="Times New Roman"/>
      <w:spacing w:val="-10"/>
      <w:sz w:val="16"/>
      <w:szCs w:val="24"/>
      <w:lang w:val="de-DE" w:eastAsia="de-DE"/>
    </w:rPr>
  </w:style>
  <w:style w:type="paragraph" w:customStyle="1" w:styleId="Tableboxtext">
    <w:name w:val="Table/box text"/>
    <w:basedOn w:val="Normal"/>
    <w:link w:val="TableboxtextChar"/>
    <w:uiPriority w:val="99"/>
    <w:qFormat/>
    <w:rsid w:val="00B758A1"/>
    <w:pPr>
      <w:spacing w:before="60" w:after="0" w:line="240" w:lineRule="auto"/>
      <w:jc w:val="both"/>
    </w:pPr>
    <w:rPr>
      <w:rFonts w:ascii="Arial" w:eastAsia="Wingdings 3" w:hAnsi="Arial" w:cs="Verdana"/>
      <w:spacing w:val="-10"/>
      <w:sz w:val="18"/>
      <w:szCs w:val="20"/>
      <w:lang w:val="en-GB"/>
    </w:rPr>
  </w:style>
  <w:style w:type="character" w:customStyle="1" w:styleId="TableboxtextChar">
    <w:name w:val="Table/box text Char"/>
    <w:basedOn w:val="DefaultParagraphFont"/>
    <w:link w:val="Tableboxtext"/>
    <w:uiPriority w:val="99"/>
    <w:rsid w:val="00B758A1"/>
    <w:rPr>
      <w:rFonts w:ascii="Arial" w:eastAsia="Wingdings 3" w:hAnsi="Arial" w:cs="Verdana"/>
      <w:spacing w:val="-10"/>
      <w:sz w:val="18"/>
      <w:szCs w:val="20"/>
      <w:lang w:val="en-GB"/>
    </w:rPr>
  </w:style>
  <w:style w:type="character" w:customStyle="1" w:styleId="TableBox-txtChar">
    <w:name w:val="Table/Box - txt Char"/>
    <w:basedOn w:val="DefaultParagraphFont"/>
    <w:link w:val="TableBox-txt"/>
    <w:uiPriority w:val="1"/>
    <w:rsid w:val="00B758A1"/>
    <w:rPr>
      <w:rFonts w:eastAsia="Times New Roman" w:cs="Times New Roman"/>
      <w:sz w:val="18"/>
      <w:szCs w:val="18"/>
      <w:lang w:val="fr-FR" w:eastAsia="de-DE"/>
    </w:rPr>
  </w:style>
  <w:style w:type="paragraph" w:customStyle="1" w:styleId="TableBox-txt">
    <w:name w:val="Table/Box - txt"/>
    <w:basedOn w:val="Normal"/>
    <w:link w:val="TableBox-txtChar"/>
    <w:uiPriority w:val="1"/>
    <w:qFormat/>
    <w:rsid w:val="00B758A1"/>
    <w:pPr>
      <w:tabs>
        <w:tab w:val="left" w:pos="651"/>
        <w:tab w:val="left" w:pos="907"/>
      </w:tabs>
      <w:spacing w:before="60" w:after="60" w:line="200" w:lineRule="atLeast"/>
    </w:pPr>
    <w:rPr>
      <w:rFonts w:eastAsia="Times New Roman" w:cs="Times New Roman"/>
      <w:sz w:val="18"/>
      <w:szCs w:val="18"/>
      <w:lang w:val="fr-FR" w:eastAsia="de-DE"/>
    </w:rPr>
  </w:style>
  <w:style w:type="paragraph" w:customStyle="1" w:styleId="Tableboxlist">
    <w:name w:val="Table/box list"/>
    <w:basedOn w:val="Normal"/>
    <w:uiPriority w:val="99"/>
    <w:qFormat/>
    <w:rsid w:val="00B758A1"/>
    <w:pPr>
      <w:tabs>
        <w:tab w:val="left" w:pos="907"/>
      </w:tabs>
      <w:spacing w:before="60" w:after="60" w:line="240" w:lineRule="auto"/>
      <w:ind w:left="720" w:hanging="360"/>
      <w:jc w:val="both"/>
    </w:pPr>
    <w:rPr>
      <w:rFonts w:ascii="Arial" w:eastAsia="Wingdings 3" w:hAnsi="Arial" w:cs="Verdana"/>
      <w:spacing w:val="-10"/>
      <w:kern w:val="12"/>
      <w:sz w:val="18"/>
      <w:lang w:val="en-GB"/>
    </w:rPr>
  </w:style>
  <w:style w:type="paragraph" w:customStyle="1" w:styleId="Bullettable">
    <w:name w:val="Bullet table"/>
    <w:basedOn w:val="Normal"/>
    <w:link w:val="BullettableChar"/>
    <w:qFormat/>
    <w:rsid w:val="00B758A1"/>
    <w:pPr>
      <w:tabs>
        <w:tab w:val="left" w:pos="907"/>
      </w:tabs>
      <w:spacing w:after="0" w:line="240" w:lineRule="auto"/>
      <w:ind w:left="720" w:hanging="360"/>
      <w:jc w:val="both"/>
    </w:pPr>
    <w:rPr>
      <w:rFonts w:ascii="Arial" w:eastAsia="Wingdings 3" w:hAnsi="Arial" w:cs="Verdana"/>
      <w:spacing w:val="-10"/>
      <w:kern w:val="12"/>
      <w:sz w:val="18"/>
      <w:szCs w:val="18"/>
      <w:lang w:val="en-GB" w:eastAsia="it-IT"/>
    </w:rPr>
  </w:style>
  <w:style w:type="character" w:customStyle="1" w:styleId="BullettableChar">
    <w:name w:val="Bullet table Char"/>
    <w:basedOn w:val="DefaultParagraphFont"/>
    <w:link w:val="Bullettable"/>
    <w:rsid w:val="00B758A1"/>
    <w:rPr>
      <w:rFonts w:ascii="Arial" w:eastAsia="Wingdings 3" w:hAnsi="Arial" w:cs="Verdana"/>
      <w:spacing w:val="-10"/>
      <w:kern w:val="12"/>
      <w:sz w:val="18"/>
      <w:szCs w:val="18"/>
      <w:lang w:val="en-GB" w:eastAsia="it-IT"/>
    </w:rPr>
  </w:style>
  <w:style w:type="paragraph" w:customStyle="1" w:styleId="tablebullet1">
    <w:name w:val="table bullet"/>
    <w:basedOn w:val="Normal"/>
    <w:link w:val="tablebulletChar0"/>
    <w:rsid w:val="00B758A1"/>
    <w:pPr>
      <w:spacing w:after="0" w:line="240" w:lineRule="auto"/>
      <w:ind w:left="360" w:hanging="360"/>
    </w:pPr>
    <w:rPr>
      <w:rFonts w:ascii="Verdana" w:eastAsia="Times New Roman" w:hAnsi="Verdana" w:cs="Times New Roman"/>
      <w:sz w:val="18"/>
      <w:szCs w:val="24"/>
      <w:lang w:val="de-DE" w:eastAsia="fr-FR"/>
    </w:rPr>
  </w:style>
  <w:style w:type="character" w:customStyle="1" w:styleId="tablebulletChar0">
    <w:name w:val="table bullet Char"/>
    <w:basedOn w:val="DefaultParagraphFont"/>
    <w:link w:val="tablebullet1"/>
    <w:rsid w:val="00B758A1"/>
    <w:rPr>
      <w:rFonts w:ascii="Verdana" w:eastAsia="Times New Roman" w:hAnsi="Verdana" w:cs="Times New Roman"/>
      <w:sz w:val="18"/>
      <w:szCs w:val="24"/>
      <w:lang w:val="de-DE" w:eastAsia="fr-FR"/>
    </w:rPr>
  </w:style>
  <w:style w:type="paragraph" w:customStyle="1" w:styleId="TableHeader">
    <w:name w:val="Table Header"/>
    <w:basedOn w:val="Normal"/>
    <w:uiPriority w:val="39"/>
    <w:rsid w:val="00B758A1"/>
    <w:pPr>
      <w:spacing w:after="80" w:line="288" w:lineRule="auto"/>
    </w:pPr>
    <w:rPr>
      <w:rFonts w:ascii="Verdana" w:eastAsia="Times New Roman" w:hAnsi="Verdana" w:cs="Times New Roman"/>
      <w:b/>
      <w:sz w:val="18"/>
      <w:szCs w:val="18"/>
      <w:lang w:val="de-DE" w:eastAsia="de-DE"/>
    </w:rPr>
  </w:style>
  <w:style w:type="character" w:customStyle="1" w:styleId="TestonotaapidipaginaCarattere">
    <w:name w:val="Testo nota a piè di pagina Carattere"/>
    <w:aliases w:val="Fußnotentextf Carattere,Note de bas de page Car Car Carattere,Note de bas de page Car Car Car Car Car Carattere,Note de bas de page Car Car Car Car Carattere,Note de bas de page Car Car Car Carattere"/>
    <w:basedOn w:val="DefaultParagraphFont"/>
    <w:uiPriority w:val="99"/>
    <w:locked/>
    <w:rsid w:val="00B758A1"/>
  </w:style>
  <w:style w:type="paragraph" w:customStyle="1" w:styleId="Tabletitle1">
    <w:name w:val="Table title 1"/>
    <w:basedOn w:val="TableBox-txt"/>
    <w:next w:val="Normal"/>
    <w:autoRedefine/>
    <w:uiPriority w:val="1"/>
    <w:qFormat/>
    <w:rsid w:val="00B758A1"/>
    <w:rPr>
      <w:rFonts w:ascii="Arial" w:hAnsi="Arial"/>
      <w:color w:val="000000" w:themeColor="text1"/>
      <w:spacing w:val="-5"/>
      <w:lang w:val="en-GB" w:eastAsia="it-IT"/>
    </w:rPr>
  </w:style>
  <w:style w:type="character" w:customStyle="1" w:styleId="Heading6Char1">
    <w:name w:val="Heading 6 Char1"/>
    <w:aliases w:val="sub2 Char1,b Char1,Heading 6 CFMU Char1,h6 Char1,Header 6 Char1,UEH6 Char1,Heading 6 CFMU1 Char1,Heading 6 CFMU2 Char1,Heading 6 CFMU3 Char1,Heading 6 CFMU4 Char1,Heading 6 CFMU5 Char1,Para 6 Char1,H6 Char1,Legal Level 1. Char1"/>
    <w:basedOn w:val="DefaultParagraphFont"/>
    <w:uiPriority w:val="9"/>
    <w:semiHidden/>
    <w:rsid w:val="00B758A1"/>
    <w:rPr>
      <w:rFonts w:asciiTheme="majorHAnsi" w:eastAsiaTheme="majorEastAsia" w:hAnsiTheme="majorHAnsi" w:cstheme="majorBidi"/>
      <w:color w:val="0F4145" w:themeColor="accent1" w:themeShade="7F"/>
    </w:rPr>
  </w:style>
  <w:style w:type="character" w:customStyle="1" w:styleId="Heading7Char1">
    <w:name w:val="Heading 7 Char1"/>
    <w:aliases w:val="letter list Char1,lettered list Char1,Heading 7 CFMU Char1,h7 Char1,Header 7 Char1,Legal Level 1.1. Char1,sub3 Char1,Heading 7 (do not use) Char1,Para 7 Char1,H7 Char1,TITRE PARTIE Char1"/>
    <w:basedOn w:val="DefaultParagraphFont"/>
    <w:uiPriority w:val="9"/>
    <w:semiHidden/>
    <w:rsid w:val="00B758A1"/>
    <w:rPr>
      <w:rFonts w:asciiTheme="majorHAnsi" w:eastAsiaTheme="majorEastAsia" w:hAnsiTheme="majorHAnsi" w:cstheme="majorBidi"/>
      <w:i/>
      <w:iCs/>
      <w:color w:val="0F4145" w:themeColor="accent1" w:themeShade="7F"/>
    </w:rPr>
  </w:style>
  <w:style w:type="character" w:customStyle="1" w:styleId="Heading8Char1">
    <w:name w:val="Heading 8 Char1"/>
    <w:aliases w:val="sub4 Char1,Heading 8 (do not use) Char1,Heading 8 CFMU Char1,h8 Char1,Header 8 Char1,ASAPHeading 8 Char1,8 Char1,Titolo8 Char1,action Char1,action1 Char1,action2 Char1,action11 Char1,action3 Char1,action4 Char1,action5 Char1,action8 Char"/>
    <w:basedOn w:val="DefaultParagraphFont"/>
    <w:uiPriority w:val="9"/>
    <w:semiHidden/>
    <w:rsid w:val="00B758A1"/>
    <w:rPr>
      <w:rFonts w:asciiTheme="majorHAnsi" w:eastAsiaTheme="majorEastAsia" w:hAnsiTheme="majorHAnsi" w:cstheme="majorBidi"/>
      <w:color w:val="272727" w:themeColor="text1" w:themeTint="D8"/>
      <w:sz w:val="21"/>
      <w:szCs w:val="21"/>
    </w:rPr>
  </w:style>
  <w:style w:type="character" w:customStyle="1" w:styleId="Heading9Char1">
    <w:name w:val="Heading 9 Char1"/>
    <w:aliases w:val="sub5 Char1,Heading 9 (do not use) Char1,App Heading Char1,Heading 9 CFMU Char1,h9 Char1,Header 9 Char1,ASAPHeading 9 Char1,Appendix Char1,9 Char1,Titolo9 Char1,progress Char1,progress1 Char1,progress2 Char1,progress11 Char1,App1 Char1"/>
    <w:basedOn w:val="DefaultParagraphFont"/>
    <w:uiPriority w:val="9"/>
    <w:semiHidden/>
    <w:rsid w:val="00B758A1"/>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DefaultParagraphFont"/>
    <w:uiPriority w:val="99"/>
    <w:unhideWhenUsed/>
    <w:rsid w:val="00B758A1"/>
    <w:rPr>
      <w:color w:val="605E5C"/>
      <w:shd w:val="clear" w:color="auto" w:fill="E1DFDD"/>
    </w:rPr>
  </w:style>
  <w:style w:type="character" w:customStyle="1" w:styleId="Mention1">
    <w:name w:val="Mention1"/>
    <w:basedOn w:val="DefaultParagraphFont"/>
    <w:uiPriority w:val="99"/>
    <w:unhideWhenUsed/>
    <w:rsid w:val="00B758A1"/>
    <w:rPr>
      <w:color w:val="2B579A"/>
      <w:shd w:val="clear" w:color="auto" w:fill="E1DFDD"/>
    </w:rPr>
  </w:style>
  <w:style w:type="paragraph" w:customStyle="1" w:styleId="Link">
    <w:name w:val="Link"/>
    <w:basedOn w:val="Normal"/>
    <w:link w:val="LinkChar"/>
    <w:qFormat/>
    <w:rsid w:val="00B758A1"/>
    <w:pPr>
      <w:spacing w:after="160" w:line="259" w:lineRule="auto"/>
    </w:pPr>
    <w:rPr>
      <w:rFonts w:ascii="Verdana" w:eastAsia="Times New Roman" w:hAnsi="Verdana" w:cs="Times New Roman"/>
      <w:color w:val="0070C0"/>
      <w:sz w:val="16"/>
      <w:szCs w:val="24"/>
      <w:u w:val="single"/>
      <w:lang w:val="de-DE" w:eastAsia="de-DE"/>
    </w:rPr>
  </w:style>
  <w:style w:type="character" w:customStyle="1" w:styleId="LinkChar">
    <w:name w:val="Link Char"/>
    <w:basedOn w:val="DefaultParagraphFont"/>
    <w:link w:val="Link"/>
    <w:rsid w:val="00B758A1"/>
    <w:rPr>
      <w:rFonts w:ascii="Verdana" w:eastAsia="Times New Roman" w:hAnsi="Verdana" w:cs="Times New Roman"/>
      <w:color w:val="0070C0"/>
      <w:sz w:val="16"/>
      <w:szCs w:val="24"/>
      <w:u w:val="single"/>
      <w:lang w:val="de-DE" w:eastAsia="de-DE"/>
    </w:rPr>
  </w:style>
  <w:style w:type="paragraph" w:customStyle="1" w:styleId="TableBullet10">
    <w:name w:val="Table Bullet 1"/>
    <w:basedOn w:val="Normal"/>
    <w:uiPriority w:val="1"/>
    <w:qFormat/>
    <w:rsid w:val="00B758A1"/>
    <w:pPr>
      <w:widowControl w:val="0"/>
      <w:autoSpaceDE w:val="0"/>
      <w:autoSpaceDN w:val="0"/>
      <w:spacing w:after="0" w:line="240" w:lineRule="auto"/>
      <w:ind w:left="238" w:hanging="238"/>
      <w:jc w:val="both"/>
    </w:pPr>
    <w:rPr>
      <w:rFonts w:ascii="Verdana" w:eastAsia="Trebuchet MS" w:hAnsi="Verdana" w:cs="Trebuchet MS"/>
      <w:w w:val="105"/>
      <w:sz w:val="18"/>
      <w:szCs w:val="18"/>
      <w:lang w:val="en-GB" w:eastAsia="fr-FR"/>
    </w:rPr>
  </w:style>
  <w:style w:type="table" w:customStyle="1" w:styleId="Table-standard8">
    <w:name w:val="Table - standard8"/>
    <w:basedOn w:val="TableNormal"/>
    <w:rsid w:val="00B758A1"/>
    <w:pPr>
      <w:spacing w:after="0" w:line="240" w:lineRule="auto"/>
    </w:pPr>
    <w:rPr>
      <w:rFonts w:ascii="Yu Gothic UI Light" w:eastAsia="Times New Roman" w:hAnsi="Yu Gothic UI Light" w:cs="Times New Roman"/>
      <w:sz w:val="18"/>
      <w:szCs w:val="20"/>
      <w:lang w:val="fr-FR" w:eastAsia="fr-F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7E6E6"/>
      <w:vAlign w:val="center"/>
    </w:tcPr>
    <w:tblStylePr w:type="firstRow">
      <w:pPr>
        <w:jc w:val="left"/>
      </w:pPr>
      <w:rPr>
        <w:rFonts w:ascii="Yu Mincho" w:hAnsi="Yu Mincho"/>
        <w:b/>
        <w:color w:val="FFFFFF" w:themeColor="background1"/>
        <w:sz w:val="18"/>
      </w:rPr>
      <w:tblPr/>
      <w:tcPr>
        <w:shd w:val="clear" w:color="auto" w:fill="00B0F0"/>
      </w:tcPr>
    </w:tblStylePr>
    <w:tblStylePr w:type="lastRow">
      <w:rPr>
        <w:rFonts w:ascii="Yu Mincho" w:hAnsi="Yu Mincho"/>
      </w:rPr>
    </w:tblStylePr>
    <w:tblStylePr w:type="firstCol">
      <w:rPr>
        <w:rFonts w:ascii="Yu Mincho" w:hAnsi="Yu Mincho"/>
      </w:rPr>
      <w:tblPr/>
      <w:tcPr>
        <w:shd w:val="clear" w:color="auto" w:fill="D0CECE"/>
      </w:tcPr>
    </w:tblStylePr>
    <w:tblStylePr w:type="lastCol">
      <w:rPr>
        <w:rFonts w:ascii="Yu Mincho" w:hAnsi="Yu Mincho"/>
      </w:rPr>
    </w:tblStylePr>
    <w:tblStylePr w:type="band1Vert">
      <w:rPr>
        <w:rFonts w:ascii="Yu Mincho" w:hAnsi="Yu Mincho"/>
      </w:rPr>
    </w:tblStylePr>
    <w:tblStylePr w:type="band2Vert">
      <w:rPr>
        <w:rFonts w:ascii="Yu Mincho" w:hAnsi="Yu Mincho"/>
      </w:rPr>
    </w:tblStylePr>
    <w:tblStylePr w:type="band1Horz">
      <w:rPr>
        <w:rFonts w:ascii="Yu Mincho" w:hAnsi="Yu Mincho"/>
      </w:rPr>
    </w:tblStylePr>
    <w:tblStylePr w:type="band2Horz">
      <w:rPr>
        <w:rFonts w:ascii="Yu Mincho" w:hAnsi="Yu Mincho"/>
      </w:rPr>
    </w:tblStylePr>
    <w:tblStylePr w:type="neCell">
      <w:rPr>
        <w:rFonts w:ascii="Yu Mincho" w:hAnsi="Yu Mincho"/>
      </w:rPr>
    </w:tblStylePr>
    <w:tblStylePr w:type="nwCell">
      <w:rPr>
        <w:rFonts w:ascii="Yu Mincho" w:hAnsi="Yu Mincho"/>
      </w:rPr>
    </w:tblStylePr>
    <w:tblStylePr w:type="seCell">
      <w:rPr>
        <w:rFonts w:ascii="Yu Mincho" w:hAnsi="Yu Mincho"/>
      </w:rPr>
    </w:tblStylePr>
    <w:tblStylePr w:type="swCell">
      <w:rPr>
        <w:rFonts w:ascii="Yu Mincho" w:hAnsi="Yu Mincho"/>
      </w:rPr>
    </w:tblStylePr>
  </w:style>
  <w:style w:type="character" w:customStyle="1" w:styleId="cf11">
    <w:name w:val="cf11"/>
    <w:basedOn w:val="DefaultParagraphFont"/>
    <w:rsid w:val="00B758A1"/>
    <w:rPr>
      <w:rFonts w:ascii="Cambria Math" w:hAnsi="Cambria Math" w:cs="Cambria Math" w:hint="default"/>
      <w:sz w:val="18"/>
      <w:szCs w:val="18"/>
      <w:u w:val="single"/>
    </w:rPr>
  </w:style>
  <w:style w:type="character" w:customStyle="1" w:styleId="UnresolvedMention10">
    <w:name w:val="Unresolved Mention10"/>
    <w:basedOn w:val="DefaultParagraphFont"/>
    <w:uiPriority w:val="99"/>
    <w:unhideWhenUsed/>
    <w:rsid w:val="00B758A1"/>
    <w:rPr>
      <w:color w:val="605E5C"/>
      <w:shd w:val="clear" w:color="auto" w:fill="E1DFDD"/>
    </w:rPr>
  </w:style>
  <w:style w:type="character" w:customStyle="1" w:styleId="Mention10">
    <w:name w:val="Mention10"/>
    <w:basedOn w:val="DefaultParagraphFont"/>
    <w:uiPriority w:val="99"/>
    <w:unhideWhenUsed/>
    <w:rsid w:val="00B758A1"/>
    <w:rPr>
      <w:color w:val="2B579A"/>
      <w:shd w:val="clear" w:color="auto" w:fill="E1DFDD"/>
    </w:rPr>
  </w:style>
  <w:style w:type="character" w:styleId="FollowedHyperlink">
    <w:name w:val="FollowedHyperlink"/>
    <w:basedOn w:val="DefaultParagraphFont"/>
    <w:uiPriority w:val="99"/>
    <w:unhideWhenUsed/>
    <w:rsid w:val="00B758A1"/>
    <w:rPr>
      <w:color w:val="034EA2" w:themeColor="followedHyperlink"/>
      <w:u w:val="single"/>
    </w:rPr>
  </w:style>
  <w:style w:type="paragraph" w:customStyle="1" w:styleId="msonormal0">
    <w:name w:val="msonormal"/>
    <w:basedOn w:val="Normal"/>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font5">
    <w:name w:val="font5"/>
    <w:basedOn w:val="Normal"/>
    <w:uiPriority w:val="1"/>
    <w:rsid w:val="00B758A1"/>
    <w:pPr>
      <w:spacing w:before="100" w:beforeAutospacing="1" w:after="100" w:afterAutospacing="1" w:line="240" w:lineRule="auto"/>
    </w:pPr>
    <w:rPr>
      <w:rFonts w:ascii="Verdana" w:eastAsia="Times New Roman" w:hAnsi="Verdana" w:cs="Times New Roman"/>
      <w:b/>
      <w:bCs/>
      <w:color w:val="000000"/>
      <w:sz w:val="16"/>
      <w:szCs w:val="16"/>
      <w:lang w:val="de-DE" w:eastAsia="it-IT"/>
    </w:rPr>
  </w:style>
  <w:style w:type="paragraph" w:customStyle="1" w:styleId="font6">
    <w:name w:val="font6"/>
    <w:basedOn w:val="Normal"/>
    <w:uiPriority w:val="1"/>
    <w:rsid w:val="00B758A1"/>
    <w:pPr>
      <w:spacing w:before="100" w:beforeAutospacing="1" w:after="100" w:afterAutospacing="1" w:line="240" w:lineRule="auto"/>
    </w:pPr>
    <w:rPr>
      <w:rFonts w:ascii="Verdana" w:eastAsia="Times New Roman" w:hAnsi="Verdana" w:cs="Times New Roman"/>
      <w:color w:val="000000"/>
      <w:sz w:val="16"/>
      <w:szCs w:val="16"/>
      <w:lang w:val="de-DE" w:eastAsia="it-IT"/>
    </w:rPr>
  </w:style>
  <w:style w:type="paragraph" w:customStyle="1" w:styleId="font7">
    <w:name w:val="font7"/>
    <w:basedOn w:val="Normal"/>
    <w:uiPriority w:val="1"/>
    <w:rsid w:val="00B758A1"/>
    <w:pPr>
      <w:spacing w:before="100" w:beforeAutospacing="1" w:after="100" w:afterAutospacing="1" w:line="240" w:lineRule="auto"/>
    </w:pPr>
    <w:rPr>
      <w:rFonts w:ascii="Verdana" w:eastAsia="Times New Roman" w:hAnsi="Verdana" w:cs="Times New Roman"/>
      <w:color w:val="000000"/>
      <w:sz w:val="16"/>
      <w:szCs w:val="16"/>
      <w:lang w:val="de-DE" w:eastAsia="it-IT"/>
    </w:rPr>
  </w:style>
  <w:style w:type="paragraph" w:customStyle="1" w:styleId="font8">
    <w:name w:val="font8"/>
    <w:basedOn w:val="Normal"/>
    <w:uiPriority w:val="1"/>
    <w:rsid w:val="00B758A1"/>
    <w:pPr>
      <w:spacing w:before="100" w:beforeAutospacing="1" w:after="100" w:afterAutospacing="1" w:line="240" w:lineRule="auto"/>
    </w:pPr>
    <w:rPr>
      <w:rFonts w:ascii="Verdana" w:eastAsia="Times New Roman" w:hAnsi="Verdana" w:cs="Times New Roman"/>
      <w:b/>
      <w:bCs/>
      <w:sz w:val="16"/>
      <w:szCs w:val="16"/>
      <w:lang w:val="de-DE" w:eastAsia="it-IT"/>
    </w:rPr>
  </w:style>
  <w:style w:type="paragraph" w:customStyle="1" w:styleId="font9">
    <w:name w:val="font9"/>
    <w:basedOn w:val="Normal"/>
    <w:uiPriority w:val="1"/>
    <w:rsid w:val="00B758A1"/>
    <w:pPr>
      <w:spacing w:before="100" w:beforeAutospacing="1" w:after="100" w:afterAutospacing="1" w:line="240" w:lineRule="auto"/>
    </w:pPr>
    <w:rPr>
      <w:rFonts w:ascii="Verdana" w:eastAsia="Times New Roman" w:hAnsi="Verdana" w:cs="Times New Roman"/>
      <w:b/>
      <w:bCs/>
      <w:color w:val="000000"/>
      <w:sz w:val="16"/>
      <w:szCs w:val="16"/>
      <w:lang w:val="de-DE" w:eastAsia="it-IT"/>
    </w:rPr>
  </w:style>
  <w:style w:type="paragraph" w:customStyle="1" w:styleId="font10">
    <w:name w:val="font10"/>
    <w:basedOn w:val="Normal"/>
    <w:uiPriority w:val="1"/>
    <w:rsid w:val="00B758A1"/>
    <w:pPr>
      <w:spacing w:before="100" w:beforeAutospacing="1" w:after="100" w:afterAutospacing="1" w:line="240" w:lineRule="auto"/>
    </w:pPr>
    <w:rPr>
      <w:rFonts w:ascii="Verdana" w:eastAsia="Times New Roman" w:hAnsi="Verdana" w:cs="Times New Roman"/>
      <w:sz w:val="16"/>
      <w:szCs w:val="16"/>
      <w:lang w:val="de-DE" w:eastAsia="it-IT"/>
    </w:rPr>
  </w:style>
  <w:style w:type="paragraph" w:customStyle="1" w:styleId="xl65">
    <w:name w:val="xl65"/>
    <w:basedOn w:val="Normal"/>
    <w:uiPriority w:val="1"/>
    <w:rsid w:val="00B758A1"/>
    <w:pPr>
      <w:pBdr>
        <w:top w:val="single" w:sz="8" w:space="0" w:color="FFFFFF"/>
        <w:left w:val="single" w:sz="8" w:space="0" w:color="FFFFFF"/>
        <w:bottom w:val="single" w:sz="8" w:space="0" w:color="FFFFFF"/>
        <w:right w:val="single" w:sz="8" w:space="0" w:color="FFFFFF"/>
      </w:pBdr>
      <w:shd w:val="clear" w:color="000000" w:fill="00B0F0"/>
      <w:spacing w:before="100" w:beforeAutospacing="1" w:after="100" w:afterAutospacing="1" w:line="240" w:lineRule="auto"/>
      <w:textAlignment w:val="top"/>
    </w:pPr>
    <w:rPr>
      <w:rFonts w:ascii="Verdana" w:eastAsia="Times New Roman" w:hAnsi="Verdana" w:cs="Times New Roman"/>
      <w:b/>
      <w:bCs/>
      <w:color w:val="FFFFFF"/>
      <w:sz w:val="16"/>
      <w:szCs w:val="16"/>
      <w:lang w:val="de-DE" w:eastAsia="it-IT"/>
    </w:rPr>
  </w:style>
  <w:style w:type="paragraph" w:customStyle="1" w:styleId="xl66">
    <w:name w:val="xl66"/>
    <w:basedOn w:val="Normal"/>
    <w:rsid w:val="00B758A1"/>
    <w:pPr>
      <w:pBdr>
        <w:top w:val="single" w:sz="8" w:space="0" w:color="FFFFFF"/>
        <w:left w:val="single" w:sz="8" w:space="0" w:color="FFFFFF"/>
        <w:bottom w:val="single" w:sz="8" w:space="0" w:color="FFFFFF"/>
        <w:right w:val="single" w:sz="8" w:space="0" w:color="FFFFFF"/>
      </w:pBdr>
      <w:shd w:val="clear" w:color="000000" w:fill="00B0F0"/>
      <w:spacing w:before="100" w:beforeAutospacing="1" w:after="100" w:afterAutospacing="1" w:line="240" w:lineRule="auto"/>
      <w:jc w:val="center"/>
      <w:textAlignment w:val="top"/>
    </w:pPr>
    <w:rPr>
      <w:rFonts w:ascii="Verdana" w:eastAsia="Times New Roman" w:hAnsi="Verdana" w:cs="Times New Roman"/>
      <w:b/>
      <w:bCs/>
      <w:color w:val="FFFFFF"/>
      <w:sz w:val="16"/>
      <w:szCs w:val="16"/>
      <w:lang w:val="de-DE" w:eastAsia="it-IT"/>
    </w:rPr>
  </w:style>
  <w:style w:type="paragraph" w:customStyle="1" w:styleId="xl67">
    <w:name w:val="xl67"/>
    <w:basedOn w:val="Normal"/>
    <w:rsid w:val="00B758A1"/>
    <w:pPr>
      <w:pBdr>
        <w:top w:val="single" w:sz="8" w:space="0" w:color="FFFFFF"/>
        <w:left w:val="single" w:sz="8" w:space="0" w:color="FFFFFF"/>
        <w:bottom w:val="single" w:sz="8" w:space="0" w:color="FFFFFF"/>
        <w:right w:val="single" w:sz="8" w:space="0" w:color="FFFFFF"/>
      </w:pBdr>
      <w:shd w:val="clear" w:color="000000" w:fill="00B0F0"/>
      <w:spacing w:before="100" w:beforeAutospacing="1" w:after="100" w:afterAutospacing="1" w:line="240" w:lineRule="auto"/>
      <w:textAlignment w:val="center"/>
    </w:pPr>
    <w:rPr>
      <w:rFonts w:ascii="Verdana" w:eastAsia="Times New Roman" w:hAnsi="Verdana" w:cs="Times New Roman"/>
      <w:b/>
      <w:bCs/>
      <w:color w:val="FFFFFF"/>
      <w:sz w:val="16"/>
      <w:szCs w:val="16"/>
      <w:lang w:val="de-DE" w:eastAsia="it-IT"/>
    </w:rPr>
  </w:style>
  <w:style w:type="paragraph" w:customStyle="1" w:styleId="xl68">
    <w:name w:val="xl68"/>
    <w:basedOn w:val="Normal"/>
    <w:rsid w:val="00B758A1"/>
    <w:pPr>
      <w:pBdr>
        <w:top w:val="single" w:sz="8" w:space="0" w:color="FFFFFF"/>
        <w:left w:val="single" w:sz="8" w:space="0" w:color="FFFFFF"/>
        <w:bottom w:val="single" w:sz="8" w:space="0" w:color="FFFFFF"/>
        <w:right w:val="single" w:sz="8" w:space="0" w:color="FFFFFF"/>
      </w:pBdr>
      <w:shd w:val="clear" w:color="000000" w:fill="FFFFFF"/>
      <w:spacing w:before="100" w:beforeAutospacing="1" w:after="100" w:afterAutospacing="1" w:line="240" w:lineRule="auto"/>
      <w:textAlignment w:val="center"/>
    </w:pPr>
    <w:rPr>
      <w:rFonts w:ascii="Verdana" w:eastAsia="Times New Roman" w:hAnsi="Verdana" w:cs="Times New Roman"/>
      <w:color w:val="FFFFFF"/>
      <w:sz w:val="16"/>
      <w:szCs w:val="16"/>
      <w:lang w:val="de-DE" w:eastAsia="it-IT"/>
    </w:rPr>
  </w:style>
  <w:style w:type="paragraph" w:customStyle="1" w:styleId="xl69">
    <w:name w:val="xl69"/>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color w:val="000000"/>
      <w:sz w:val="16"/>
      <w:szCs w:val="16"/>
      <w:lang w:val="de-DE" w:eastAsia="it-IT"/>
    </w:rPr>
  </w:style>
  <w:style w:type="paragraph" w:customStyle="1" w:styleId="xl70">
    <w:name w:val="xl70"/>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color w:val="000000"/>
      <w:sz w:val="16"/>
      <w:szCs w:val="16"/>
      <w:lang w:val="de-DE" w:eastAsia="it-IT"/>
    </w:rPr>
  </w:style>
  <w:style w:type="paragraph" w:customStyle="1" w:styleId="xl71">
    <w:name w:val="xl71"/>
    <w:basedOn w:val="Normal"/>
    <w:rsid w:val="00B758A1"/>
    <w:pPr>
      <w:pBdr>
        <w:top w:val="single" w:sz="8" w:space="0" w:color="FFFFFF"/>
        <w:left w:val="single" w:sz="8" w:space="0" w:color="FFFFFF"/>
        <w:bottom w:val="single" w:sz="8" w:space="0" w:color="FFFFFF"/>
        <w:right w:val="single" w:sz="8" w:space="0" w:color="FFFFFF"/>
      </w:pBdr>
      <w:shd w:val="clear" w:color="000000" w:fill="FFFFFF"/>
      <w:spacing w:before="100" w:beforeAutospacing="1" w:after="100" w:afterAutospacing="1" w:line="240" w:lineRule="auto"/>
    </w:pPr>
    <w:rPr>
      <w:rFonts w:ascii="Verdana" w:eastAsia="Times New Roman" w:hAnsi="Verdana" w:cs="Times New Roman"/>
      <w:sz w:val="16"/>
      <w:szCs w:val="16"/>
      <w:lang w:val="de-DE" w:eastAsia="it-IT"/>
    </w:rPr>
  </w:style>
  <w:style w:type="paragraph" w:customStyle="1" w:styleId="xl72">
    <w:name w:val="xl72"/>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color w:val="000000"/>
      <w:sz w:val="16"/>
      <w:szCs w:val="16"/>
      <w:lang w:val="de-DE" w:eastAsia="it-IT"/>
    </w:rPr>
  </w:style>
  <w:style w:type="paragraph" w:customStyle="1" w:styleId="xl73">
    <w:name w:val="xl73"/>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b/>
      <w:bCs/>
      <w:color w:val="000000"/>
      <w:sz w:val="16"/>
      <w:szCs w:val="16"/>
      <w:lang w:val="de-DE" w:eastAsia="it-IT"/>
    </w:rPr>
  </w:style>
  <w:style w:type="paragraph" w:customStyle="1" w:styleId="xl74">
    <w:name w:val="xl74"/>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color w:val="000000"/>
      <w:sz w:val="16"/>
      <w:szCs w:val="16"/>
      <w:lang w:val="de-DE" w:eastAsia="it-IT"/>
    </w:rPr>
  </w:style>
  <w:style w:type="paragraph" w:customStyle="1" w:styleId="xl75">
    <w:name w:val="xl75"/>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jc w:val="center"/>
      <w:textAlignment w:val="top"/>
    </w:pPr>
    <w:rPr>
      <w:rFonts w:ascii="Verdana" w:eastAsia="Times New Roman" w:hAnsi="Verdana" w:cs="Times New Roman"/>
      <w:b/>
      <w:bCs/>
      <w:color w:val="000000"/>
      <w:sz w:val="16"/>
      <w:szCs w:val="16"/>
      <w:lang w:val="de-DE" w:eastAsia="it-IT"/>
    </w:rPr>
  </w:style>
  <w:style w:type="paragraph" w:customStyle="1" w:styleId="xl76">
    <w:name w:val="xl76"/>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b/>
      <w:bCs/>
      <w:color w:val="000000"/>
      <w:sz w:val="16"/>
      <w:szCs w:val="16"/>
      <w:lang w:val="de-DE" w:eastAsia="it-IT"/>
    </w:rPr>
  </w:style>
  <w:style w:type="paragraph" w:customStyle="1" w:styleId="xl77">
    <w:name w:val="xl77"/>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sz w:val="16"/>
      <w:szCs w:val="16"/>
      <w:lang w:val="de-DE" w:eastAsia="it-IT"/>
    </w:rPr>
  </w:style>
  <w:style w:type="paragraph" w:customStyle="1" w:styleId="xl78">
    <w:name w:val="xl78"/>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b/>
      <w:bCs/>
      <w:sz w:val="16"/>
      <w:szCs w:val="16"/>
      <w:lang w:val="de-DE" w:eastAsia="it-IT"/>
    </w:rPr>
  </w:style>
  <w:style w:type="paragraph" w:customStyle="1" w:styleId="xl79">
    <w:name w:val="xl79"/>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b/>
      <w:bCs/>
      <w:sz w:val="16"/>
      <w:szCs w:val="16"/>
      <w:lang w:val="de-DE" w:eastAsia="it-IT"/>
    </w:rPr>
  </w:style>
  <w:style w:type="paragraph" w:customStyle="1" w:styleId="xl80">
    <w:name w:val="xl80"/>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jc w:val="center"/>
      <w:textAlignment w:val="top"/>
    </w:pPr>
    <w:rPr>
      <w:rFonts w:ascii="Verdana" w:eastAsia="Times New Roman" w:hAnsi="Verdana" w:cs="Times New Roman"/>
      <w:b/>
      <w:bCs/>
      <w:color w:val="000000"/>
      <w:sz w:val="16"/>
      <w:szCs w:val="16"/>
      <w:lang w:val="de-DE" w:eastAsia="it-IT"/>
    </w:rPr>
  </w:style>
  <w:style w:type="paragraph" w:customStyle="1" w:styleId="xl81">
    <w:name w:val="xl81"/>
    <w:basedOn w:val="Normal"/>
    <w:rsid w:val="00B758A1"/>
    <w:pPr>
      <w:pBdr>
        <w:top w:val="single" w:sz="8" w:space="0" w:color="FFFFFF"/>
        <w:left w:val="single" w:sz="8" w:space="0" w:color="FFFFFF"/>
        <w:bottom w:val="single" w:sz="8" w:space="0" w:color="FFFFFF"/>
        <w:right w:val="single" w:sz="8" w:space="0" w:color="FFFFFF"/>
      </w:pBdr>
      <w:spacing w:before="100" w:beforeAutospacing="1" w:after="100" w:afterAutospacing="1" w:line="240" w:lineRule="auto"/>
      <w:textAlignment w:val="top"/>
    </w:pPr>
    <w:rPr>
      <w:rFonts w:ascii="Verdana" w:eastAsia="Times New Roman" w:hAnsi="Verdana" w:cs="Times New Roman"/>
      <w:b/>
      <w:bCs/>
      <w:sz w:val="16"/>
      <w:szCs w:val="16"/>
      <w:lang w:val="de-DE" w:eastAsia="it-IT"/>
    </w:rPr>
  </w:style>
  <w:style w:type="paragraph" w:customStyle="1" w:styleId="xl82">
    <w:name w:val="xl82"/>
    <w:basedOn w:val="Normal"/>
    <w:rsid w:val="00B758A1"/>
    <w:pPr>
      <w:pBdr>
        <w:top w:val="single" w:sz="8" w:space="0" w:color="FFFFFF"/>
        <w:left w:val="single" w:sz="8" w:space="0" w:color="FFFFFF"/>
        <w:bottom w:val="single" w:sz="8" w:space="0" w:color="FFFFFF"/>
        <w:right w:val="single" w:sz="8" w:space="0" w:color="FFFFFF"/>
      </w:pBdr>
      <w:spacing w:before="100" w:beforeAutospacing="1" w:after="100" w:afterAutospacing="1" w:line="240" w:lineRule="auto"/>
      <w:jc w:val="center"/>
      <w:textAlignment w:val="top"/>
    </w:pPr>
    <w:rPr>
      <w:rFonts w:ascii="Verdana" w:eastAsia="Times New Roman" w:hAnsi="Verdana" w:cs="Times New Roman"/>
      <w:b/>
      <w:bCs/>
      <w:sz w:val="16"/>
      <w:szCs w:val="16"/>
      <w:lang w:val="de-DE" w:eastAsia="it-IT"/>
    </w:rPr>
  </w:style>
  <w:style w:type="paragraph" w:customStyle="1" w:styleId="xl83">
    <w:name w:val="xl83"/>
    <w:basedOn w:val="Normal"/>
    <w:rsid w:val="00B758A1"/>
    <w:pPr>
      <w:pBdr>
        <w:top w:val="single" w:sz="8" w:space="0" w:color="FFFFFF"/>
        <w:left w:val="single" w:sz="8" w:space="0" w:color="FFFFFF"/>
        <w:bottom w:val="single" w:sz="8" w:space="0" w:color="FFFFFF"/>
        <w:right w:val="single" w:sz="8" w:space="0" w:color="FFFFFF"/>
      </w:pBdr>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84">
    <w:name w:val="xl84"/>
    <w:basedOn w:val="Normal"/>
    <w:rsid w:val="00B758A1"/>
    <w:pPr>
      <w:pBdr>
        <w:top w:val="single" w:sz="8" w:space="0" w:color="FFFFFF"/>
        <w:left w:val="single" w:sz="8" w:space="0" w:color="FFFFFF"/>
        <w:bottom w:val="single" w:sz="8" w:space="0" w:color="FFFFFF"/>
        <w:right w:val="single" w:sz="8" w:space="0" w:color="FFFFFF"/>
      </w:pBdr>
      <w:spacing w:before="100" w:beforeAutospacing="1" w:after="100" w:afterAutospacing="1" w:line="240" w:lineRule="auto"/>
    </w:pPr>
    <w:rPr>
      <w:rFonts w:ascii="Verdana" w:eastAsia="Times New Roman" w:hAnsi="Verdana" w:cs="Times New Roman"/>
      <w:sz w:val="16"/>
      <w:szCs w:val="16"/>
      <w:lang w:val="de-DE" w:eastAsia="it-IT"/>
    </w:rPr>
  </w:style>
  <w:style w:type="paragraph" w:customStyle="1" w:styleId="xl85">
    <w:name w:val="xl85"/>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86">
    <w:name w:val="xl86"/>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87">
    <w:name w:val="xl87"/>
    <w:basedOn w:val="Normal"/>
    <w:rsid w:val="00B758A1"/>
    <w:pPr>
      <w:pBdr>
        <w:top w:val="single" w:sz="8" w:space="0" w:color="FFFFFF"/>
        <w:left w:val="single" w:sz="8" w:space="0" w:color="FFFFFF"/>
        <w:right w:val="single" w:sz="8" w:space="0" w:color="FFFFFF"/>
      </w:pBdr>
      <w:shd w:val="clear" w:color="000000" w:fill="D9D9D9"/>
      <w:spacing w:before="100" w:beforeAutospacing="1" w:after="100" w:afterAutospacing="1" w:line="240" w:lineRule="auto"/>
      <w:jc w:val="center"/>
      <w:textAlignment w:val="top"/>
    </w:pPr>
    <w:rPr>
      <w:rFonts w:ascii="Verdana" w:eastAsia="Times New Roman" w:hAnsi="Verdana" w:cs="Times New Roman"/>
      <w:b/>
      <w:bCs/>
      <w:color w:val="000000"/>
      <w:sz w:val="16"/>
      <w:szCs w:val="16"/>
      <w:lang w:val="de-DE" w:eastAsia="it-IT"/>
    </w:rPr>
  </w:style>
  <w:style w:type="paragraph" w:customStyle="1" w:styleId="xl88">
    <w:name w:val="xl88"/>
    <w:basedOn w:val="Normal"/>
    <w:rsid w:val="00B758A1"/>
    <w:pPr>
      <w:pBdr>
        <w:top w:val="single" w:sz="8" w:space="0" w:color="FFFFFF"/>
        <w:left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color w:val="000000"/>
      <w:sz w:val="16"/>
      <w:szCs w:val="16"/>
      <w:lang w:val="de-DE" w:eastAsia="it-IT"/>
    </w:rPr>
  </w:style>
  <w:style w:type="paragraph" w:customStyle="1" w:styleId="xl89">
    <w:name w:val="xl89"/>
    <w:basedOn w:val="Normal"/>
    <w:rsid w:val="00B758A1"/>
    <w:pPr>
      <w:shd w:val="clear" w:color="000000" w:fill="FFFFFF"/>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90">
    <w:name w:val="xl90"/>
    <w:basedOn w:val="Normal"/>
    <w:rsid w:val="00B758A1"/>
    <w:pPr>
      <w:pBdr>
        <w:top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color w:val="000000"/>
      <w:sz w:val="16"/>
      <w:szCs w:val="16"/>
      <w:lang w:val="de-DE" w:eastAsia="it-IT"/>
    </w:rPr>
  </w:style>
  <w:style w:type="paragraph" w:customStyle="1" w:styleId="xl91">
    <w:name w:val="xl91"/>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jc w:val="center"/>
      <w:textAlignment w:val="top"/>
    </w:pPr>
    <w:rPr>
      <w:rFonts w:ascii="Verdana" w:eastAsia="Times New Roman" w:hAnsi="Verdana" w:cs="Times New Roman"/>
      <w:b/>
      <w:bCs/>
      <w:sz w:val="16"/>
      <w:szCs w:val="16"/>
      <w:lang w:val="de-DE" w:eastAsia="it-IT"/>
    </w:rPr>
  </w:style>
  <w:style w:type="paragraph" w:customStyle="1" w:styleId="xl92">
    <w:name w:val="xl92"/>
    <w:basedOn w:val="Normal"/>
    <w:rsid w:val="00B758A1"/>
    <w:pPr>
      <w:pBdr>
        <w:top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b/>
      <w:bCs/>
      <w:sz w:val="16"/>
      <w:szCs w:val="16"/>
      <w:lang w:val="de-DE" w:eastAsia="it-IT"/>
    </w:rPr>
  </w:style>
  <w:style w:type="paragraph" w:customStyle="1" w:styleId="xl93">
    <w:name w:val="xl93"/>
    <w:basedOn w:val="Normal"/>
    <w:rsid w:val="00B758A1"/>
    <w:pPr>
      <w:pBdr>
        <w:top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sz w:val="16"/>
      <w:szCs w:val="16"/>
      <w:lang w:val="de-DE" w:eastAsia="it-IT"/>
    </w:rPr>
  </w:style>
  <w:style w:type="paragraph" w:customStyle="1" w:styleId="xl94">
    <w:name w:val="xl94"/>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95">
    <w:name w:val="xl95"/>
    <w:basedOn w:val="Normal"/>
    <w:rsid w:val="00B758A1"/>
    <w:pPr>
      <w:pBdr>
        <w:top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sz w:val="16"/>
      <w:szCs w:val="16"/>
      <w:lang w:val="de-DE" w:eastAsia="it-IT"/>
    </w:rPr>
  </w:style>
  <w:style w:type="paragraph" w:customStyle="1" w:styleId="xl96">
    <w:name w:val="xl96"/>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b/>
      <w:bCs/>
      <w:sz w:val="16"/>
      <w:szCs w:val="16"/>
      <w:lang w:val="de-DE" w:eastAsia="it-IT"/>
    </w:rPr>
  </w:style>
  <w:style w:type="paragraph" w:customStyle="1" w:styleId="xl97">
    <w:name w:val="xl97"/>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sz w:val="16"/>
      <w:szCs w:val="16"/>
      <w:lang w:val="de-DE" w:eastAsia="it-IT"/>
    </w:rPr>
  </w:style>
  <w:style w:type="paragraph" w:customStyle="1" w:styleId="xl98">
    <w:name w:val="xl98"/>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sz w:val="16"/>
      <w:szCs w:val="16"/>
      <w:lang w:val="de-DE" w:eastAsia="it-IT"/>
    </w:rPr>
  </w:style>
  <w:style w:type="paragraph" w:customStyle="1" w:styleId="xl99">
    <w:name w:val="xl99"/>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sz w:val="16"/>
      <w:szCs w:val="16"/>
      <w:lang w:val="de-DE" w:eastAsia="it-IT"/>
    </w:rPr>
  </w:style>
  <w:style w:type="paragraph" w:customStyle="1" w:styleId="xl100">
    <w:name w:val="xl100"/>
    <w:basedOn w:val="Normal"/>
    <w:rsid w:val="00B758A1"/>
    <w:pPr>
      <w:pBdr>
        <w:top w:val="single" w:sz="8" w:space="0" w:color="FFFFFF"/>
        <w:left w:val="single" w:sz="8" w:space="0" w:color="FFFFFF"/>
        <w:right w:val="single" w:sz="8" w:space="0" w:color="FFFFFF"/>
      </w:pBdr>
      <w:shd w:val="clear" w:color="000000" w:fill="D9D9D9"/>
      <w:spacing w:before="100" w:beforeAutospacing="1" w:after="100" w:afterAutospacing="1" w:line="240" w:lineRule="auto"/>
      <w:jc w:val="center"/>
      <w:textAlignment w:val="center"/>
    </w:pPr>
    <w:rPr>
      <w:rFonts w:ascii="Verdana" w:eastAsia="Times New Roman" w:hAnsi="Verdana" w:cs="Times New Roman"/>
      <w:b/>
      <w:bCs/>
      <w:sz w:val="16"/>
      <w:szCs w:val="16"/>
      <w:lang w:val="de-DE" w:eastAsia="it-IT"/>
    </w:rPr>
  </w:style>
  <w:style w:type="paragraph" w:customStyle="1" w:styleId="xl101">
    <w:name w:val="xl101"/>
    <w:basedOn w:val="Normal"/>
    <w:rsid w:val="00B758A1"/>
    <w:pPr>
      <w:pBdr>
        <w:left w:val="single" w:sz="8" w:space="0" w:color="FFFFFF"/>
        <w:right w:val="single" w:sz="8" w:space="0" w:color="FFFFFF"/>
      </w:pBdr>
      <w:shd w:val="clear" w:color="000000" w:fill="D9D9D9"/>
      <w:spacing w:before="100" w:beforeAutospacing="1" w:after="100" w:afterAutospacing="1" w:line="240" w:lineRule="auto"/>
      <w:jc w:val="center"/>
      <w:textAlignment w:val="center"/>
    </w:pPr>
    <w:rPr>
      <w:rFonts w:ascii="Verdana" w:eastAsia="Times New Roman" w:hAnsi="Verdana" w:cs="Times New Roman"/>
      <w:b/>
      <w:bCs/>
      <w:sz w:val="16"/>
      <w:szCs w:val="16"/>
      <w:lang w:val="de-DE" w:eastAsia="it-IT"/>
    </w:rPr>
  </w:style>
  <w:style w:type="paragraph" w:customStyle="1" w:styleId="xl102">
    <w:name w:val="xl102"/>
    <w:basedOn w:val="Normal"/>
    <w:rsid w:val="00B758A1"/>
    <w:pPr>
      <w:pBdr>
        <w:left w:val="single" w:sz="8" w:space="0" w:color="FFFFFF"/>
        <w:bottom w:val="single" w:sz="8" w:space="0" w:color="FFFFFF"/>
        <w:right w:val="single" w:sz="8" w:space="0" w:color="FFFFFF"/>
      </w:pBdr>
      <w:shd w:val="clear" w:color="000000" w:fill="D9D9D9"/>
      <w:spacing w:before="100" w:beforeAutospacing="1" w:after="100" w:afterAutospacing="1" w:line="240" w:lineRule="auto"/>
      <w:jc w:val="center"/>
      <w:textAlignment w:val="center"/>
    </w:pPr>
    <w:rPr>
      <w:rFonts w:ascii="Verdana" w:eastAsia="Times New Roman" w:hAnsi="Verdana" w:cs="Times New Roman"/>
      <w:b/>
      <w:bCs/>
      <w:sz w:val="16"/>
      <w:szCs w:val="16"/>
      <w:lang w:val="de-DE" w:eastAsia="it-IT"/>
    </w:rPr>
  </w:style>
  <w:style w:type="paragraph" w:customStyle="1" w:styleId="xl103">
    <w:name w:val="xl103"/>
    <w:basedOn w:val="Normal"/>
    <w:rsid w:val="00B758A1"/>
    <w:pPr>
      <w:pBdr>
        <w:top w:val="single" w:sz="8" w:space="0" w:color="FFFFFF"/>
        <w:left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104">
    <w:name w:val="xl104"/>
    <w:basedOn w:val="Normal"/>
    <w:rsid w:val="00B758A1"/>
    <w:pPr>
      <w:pBdr>
        <w:left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105">
    <w:name w:val="xl105"/>
    <w:basedOn w:val="Normal"/>
    <w:rsid w:val="00B758A1"/>
    <w:pPr>
      <w:pBdr>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106">
    <w:name w:val="xl106"/>
    <w:basedOn w:val="Normal"/>
    <w:rsid w:val="00B758A1"/>
    <w:pPr>
      <w:pBdr>
        <w:top w:val="single" w:sz="8" w:space="0" w:color="FFFFFF"/>
        <w:left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b/>
      <w:bCs/>
      <w:sz w:val="16"/>
      <w:szCs w:val="16"/>
      <w:lang w:val="de-DE" w:eastAsia="it-IT"/>
    </w:rPr>
  </w:style>
  <w:style w:type="paragraph" w:customStyle="1" w:styleId="xl107">
    <w:name w:val="xl107"/>
    <w:basedOn w:val="Normal"/>
    <w:rsid w:val="00B758A1"/>
    <w:pPr>
      <w:pBdr>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center"/>
    </w:pPr>
    <w:rPr>
      <w:rFonts w:ascii="Verdana" w:eastAsia="Times New Roman" w:hAnsi="Verdana" w:cs="Times New Roman"/>
      <w:b/>
      <w:bCs/>
      <w:sz w:val="16"/>
      <w:szCs w:val="16"/>
      <w:lang w:val="de-DE" w:eastAsia="it-IT"/>
    </w:rPr>
  </w:style>
  <w:style w:type="paragraph" w:customStyle="1" w:styleId="xl108">
    <w:name w:val="xl108"/>
    <w:basedOn w:val="Normal"/>
    <w:rsid w:val="00B758A1"/>
    <w:pPr>
      <w:pBdr>
        <w:top w:val="single" w:sz="8" w:space="0" w:color="FFFFFF"/>
        <w:left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109">
    <w:name w:val="xl109"/>
    <w:basedOn w:val="Normal"/>
    <w:rsid w:val="00B758A1"/>
    <w:pPr>
      <w:pBdr>
        <w:left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110">
    <w:name w:val="xl110"/>
    <w:basedOn w:val="Normal"/>
    <w:rsid w:val="00B758A1"/>
    <w:pPr>
      <w:pBdr>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111">
    <w:name w:val="xl111"/>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jc w:val="center"/>
      <w:textAlignment w:val="center"/>
    </w:pPr>
    <w:rPr>
      <w:rFonts w:ascii="Verdana" w:eastAsia="Times New Roman" w:hAnsi="Verdana" w:cs="Times New Roman"/>
      <w:b/>
      <w:bCs/>
      <w:color w:val="000000"/>
      <w:sz w:val="16"/>
      <w:szCs w:val="16"/>
      <w:lang w:val="de-DE" w:eastAsia="it-IT"/>
    </w:rPr>
  </w:style>
  <w:style w:type="paragraph" w:customStyle="1" w:styleId="xl112">
    <w:name w:val="xl112"/>
    <w:basedOn w:val="Normal"/>
    <w:rsid w:val="00B758A1"/>
    <w:pPr>
      <w:pBdr>
        <w:top w:val="single" w:sz="8" w:space="0" w:color="FFFFFF"/>
        <w:left w:val="single" w:sz="8" w:space="0" w:color="FFFFFF"/>
        <w:right w:val="single" w:sz="8" w:space="0" w:color="FFFFFF"/>
      </w:pBdr>
      <w:shd w:val="clear" w:color="000000" w:fill="D9D9D9"/>
      <w:spacing w:before="100" w:beforeAutospacing="1" w:after="100" w:afterAutospacing="1" w:line="240" w:lineRule="auto"/>
      <w:jc w:val="center"/>
      <w:textAlignment w:val="top"/>
    </w:pPr>
    <w:rPr>
      <w:rFonts w:ascii="Verdana" w:eastAsia="Times New Roman" w:hAnsi="Verdana" w:cs="Times New Roman"/>
      <w:b/>
      <w:bCs/>
      <w:sz w:val="16"/>
      <w:szCs w:val="16"/>
      <w:lang w:val="de-DE" w:eastAsia="it-IT"/>
    </w:rPr>
  </w:style>
  <w:style w:type="paragraph" w:customStyle="1" w:styleId="xl113">
    <w:name w:val="xl113"/>
    <w:basedOn w:val="Normal"/>
    <w:rsid w:val="00B758A1"/>
    <w:pPr>
      <w:pBdr>
        <w:left w:val="single" w:sz="8" w:space="0" w:color="FFFFFF"/>
        <w:right w:val="single" w:sz="8" w:space="0" w:color="FFFFFF"/>
      </w:pBdr>
      <w:shd w:val="clear" w:color="000000" w:fill="D9D9D9"/>
      <w:spacing w:before="100" w:beforeAutospacing="1" w:after="100" w:afterAutospacing="1" w:line="240" w:lineRule="auto"/>
      <w:jc w:val="center"/>
      <w:textAlignment w:val="top"/>
    </w:pPr>
    <w:rPr>
      <w:rFonts w:ascii="Verdana" w:eastAsia="Times New Roman" w:hAnsi="Verdana" w:cs="Times New Roman"/>
      <w:b/>
      <w:bCs/>
      <w:sz w:val="16"/>
      <w:szCs w:val="16"/>
      <w:lang w:val="de-DE" w:eastAsia="it-IT"/>
    </w:rPr>
  </w:style>
  <w:style w:type="paragraph" w:customStyle="1" w:styleId="xl114">
    <w:name w:val="xl114"/>
    <w:basedOn w:val="Normal"/>
    <w:rsid w:val="00B758A1"/>
    <w:pPr>
      <w:pBdr>
        <w:left w:val="single" w:sz="8" w:space="0" w:color="FFFFFF"/>
        <w:bottom w:val="single" w:sz="8" w:space="0" w:color="FFFFFF"/>
        <w:right w:val="single" w:sz="8" w:space="0" w:color="FFFFFF"/>
      </w:pBdr>
      <w:shd w:val="clear" w:color="000000" w:fill="D9D9D9"/>
      <w:spacing w:before="100" w:beforeAutospacing="1" w:after="100" w:afterAutospacing="1" w:line="240" w:lineRule="auto"/>
      <w:jc w:val="center"/>
      <w:textAlignment w:val="top"/>
    </w:pPr>
    <w:rPr>
      <w:rFonts w:ascii="Verdana" w:eastAsia="Times New Roman" w:hAnsi="Verdana" w:cs="Times New Roman"/>
      <w:b/>
      <w:bCs/>
      <w:sz w:val="16"/>
      <w:szCs w:val="16"/>
      <w:lang w:val="de-DE" w:eastAsia="it-IT"/>
    </w:rPr>
  </w:style>
  <w:style w:type="paragraph" w:customStyle="1" w:styleId="xl115">
    <w:name w:val="xl115"/>
    <w:basedOn w:val="Normal"/>
    <w:rsid w:val="00B758A1"/>
    <w:pPr>
      <w:pBdr>
        <w:top w:val="single" w:sz="8" w:space="0" w:color="FFFFFF"/>
        <w:left w:val="single" w:sz="8" w:space="0" w:color="FFFFFF"/>
        <w:right w:val="single" w:sz="8" w:space="0" w:color="FFFFFF"/>
      </w:pBdr>
      <w:shd w:val="clear" w:color="000000" w:fill="D9D9D9"/>
      <w:spacing w:before="100" w:beforeAutospacing="1" w:after="100" w:afterAutospacing="1" w:line="240" w:lineRule="auto"/>
      <w:jc w:val="center"/>
      <w:textAlignment w:val="center"/>
    </w:pPr>
    <w:rPr>
      <w:rFonts w:ascii="Verdana" w:eastAsia="Times New Roman" w:hAnsi="Verdana" w:cs="Times New Roman"/>
      <w:b/>
      <w:bCs/>
      <w:color w:val="000000"/>
      <w:sz w:val="16"/>
      <w:szCs w:val="16"/>
      <w:lang w:val="de-DE" w:eastAsia="it-IT"/>
    </w:rPr>
  </w:style>
  <w:style w:type="paragraph" w:customStyle="1" w:styleId="xl116">
    <w:name w:val="xl116"/>
    <w:basedOn w:val="Normal"/>
    <w:rsid w:val="00B758A1"/>
    <w:pPr>
      <w:pBdr>
        <w:left w:val="single" w:sz="8" w:space="0" w:color="FFFFFF"/>
        <w:right w:val="single" w:sz="8" w:space="0" w:color="FFFFFF"/>
      </w:pBdr>
      <w:shd w:val="clear" w:color="000000" w:fill="D9D9D9"/>
      <w:spacing w:before="100" w:beforeAutospacing="1" w:after="100" w:afterAutospacing="1" w:line="240" w:lineRule="auto"/>
      <w:jc w:val="center"/>
      <w:textAlignment w:val="center"/>
    </w:pPr>
    <w:rPr>
      <w:rFonts w:ascii="Verdana" w:eastAsia="Times New Roman" w:hAnsi="Verdana" w:cs="Times New Roman"/>
      <w:b/>
      <w:bCs/>
      <w:color w:val="000000"/>
      <w:sz w:val="16"/>
      <w:szCs w:val="16"/>
      <w:lang w:val="de-DE" w:eastAsia="it-IT"/>
    </w:rPr>
  </w:style>
  <w:style w:type="paragraph" w:customStyle="1" w:styleId="xl117">
    <w:name w:val="xl117"/>
    <w:basedOn w:val="Normal"/>
    <w:rsid w:val="00B758A1"/>
    <w:pPr>
      <w:pBdr>
        <w:left w:val="single" w:sz="8" w:space="0" w:color="FFFFFF"/>
        <w:bottom w:val="single" w:sz="8" w:space="0" w:color="FFFFFF"/>
        <w:right w:val="single" w:sz="8" w:space="0" w:color="FFFFFF"/>
      </w:pBdr>
      <w:shd w:val="clear" w:color="000000" w:fill="D9D9D9"/>
      <w:spacing w:before="100" w:beforeAutospacing="1" w:after="100" w:afterAutospacing="1" w:line="240" w:lineRule="auto"/>
      <w:jc w:val="center"/>
      <w:textAlignment w:val="center"/>
    </w:pPr>
    <w:rPr>
      <w:rFonts w:ascii="Verdana" w:eastAsia="Times New Roman" w:hAnsi="Verdana" w:cs="Times New Roman"/>
      <w:b/>
      <w:bCs/>
      <w:color w:val="000000"/>
      <w:sz w:val="16"/>
      <w:szCs w:val="16"/>
      <w:lang w:val="de-DE" w:eastAsia="it-IT"/>
    </w:rPr>
  </w:style>
  <w:style w:type="paragraph" w:customStyle="1" w:styleId="xl118">
    <w:name w:val="xl118"/>
    <w:basedOn w:val="Normal"/>
    <w:rsid w:val="00B758A1"/>
    <w:pPr>
      <w:pBdr>
        <w:left w:val="single" w:sz="8" w:space="0" w:color="FFFFFF"/>
        <w:right w:val="single" w:sz="8" w:space="0" w:color="FFFFFF"/>
      </w:pBdr>
      <w:shd w:val="clear" w:color="000000" w:fill="D9D9D9"/>
      <w:spacing w:before="100" w:beforeAutospacing="1" w:after="100" w:afterAutospacing="1" w:line="240" w:lineRule="auto"/>
      <w:jc w:val="center"/>
      <w:textAlignment w:val="top"/>
    </w:pPr>
    <w:rPr>
      <w:rFonts w:ascii="Verdana" w:eastAsia="Times New Roman" w:hAnsi="Verdana" w:cs="Times New Roman"/>
      <w:b/>
      <w:bCs/>
      <w:color w:val="000000"/>
      <w:sz w:val="16"/>
      <w:szCs w:val="16"/>
      <w:lang w:val="de-DE" w:eastAsia="it-IT"/>
    </w:rPr>
  </w:style>
  <w:style w:type="paragraph" w:customStyle="1" w:styleId="xl119">
    <w:name w:val="xl119"/>
    <w:basedOn w:val="Normal"/>
    <w:rsid w:val="00B758A1"/>
    <w:pPr>
      <w:pBdr>
        <w:left w:val="single" w:sz="8" w:space="0" w:color="FFFFFF"/>
        <w:bottom w:val="single" w:sz="8" w:space="0" w:color="FFFFFF"/>
        <w:right w:val="single" w:sz="8" w:space="0" w:color="FFFFFF"/>
      </w:pBdr>
      <w:shd w:val="clear" w:color="000000" w:fill="D9D9D9"/>
      <w:spacing w:before="100" w:beforeAutospacing="1" w:after="100" w:afterAutospacing="1" w:line="240" w:lineRule="auto"/>
      <w:jc w:val="center"/>
      <w:textAlignment w:val="top"/>
    </w:pPr>
    <w:rPr>
      <w:rFonts w:ascii="Verdana" w:eastAsia="Times New Roman" w:hAnsi="Verdana" w:cs="Times New Roman"/>
      <w:b/>
      <w:bCs/>
      <w:color w:val="000000"/>
      <w:sz w:val="16"/>
      <w:szCs w:val="16"/>
      <w:lang w:val="de-DE" w:eastAsia="it-IT"/>
    </w:rPr>
  </w:style>
  <w:style w:type="paragraph" w:customStyle="1" w:styleId="xl120">
    <w:name w:val="xl120"/>
    <w:basedOn w:val="Normal"/>
    <w:rsid w:val="00B758A1"/>
    <w:pPr>
      <w:pBdr>
        <w:left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color w:val="000000"/>
      <w:sz w:val="16"/>
      <w:szCs w:val="16"/>
      <w:lang w:val="de-DE" w:eastAsia="it-IT"/>
    </w:rPr>
  </w:style>
  <w:style w:type="paragraph" w:customStyle="1" w:styleId="xl121">
    <w:name w:val="xl121"/>
    <w:basedOn w:val="Normal"/>
    <w:rsid w:val="00B758A1"/>
    <w:pPr>
      <w:pBdr>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color w:val="000000"/>
      <w:sz w:val="16"/>
      <w:szCs w:val="16"/>
      <w:lang w:val="de-DE" w:eastAsia="it-IT"/>
    </w:rPr>
  </w:style>
  <w:style w:type="paragraph" w:customStyle="1" w:styleId="xl122">
    <w:name w:val="xl122"/>
    <w:basedOn w:val="Normal"/>
    <w:rsid w:val="00B758A1"/>
    <w:pPr>
      <w:pBdr>
        <w:top w:val="single" w:sz="8" w:space="0" w:color="FFFFFF"/>
        <w:left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color w:val="000000"/>
      <w:sz w:val="16"/>
      <w:szCs w:val="16"/>
      <w:lang w:val="de-DE" w:eastAsia="it-IT"/>
    </w:rPr>
  </w:style>
  <w:style w:type="paragraph" w:customStyle="1" w:styleId="xl123">
    <w:name w:val="xl123"/>
    <w:basedOn w:val="Normal"/>
    <w:rsid w:val="00B758A1"/>
    <w:pPr>
      <w:pBdr>
        <w:top w:val="single" w:sz="8" w:space="0" w:color="FFFFFF"/>
        <w:left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124">
    <w:name w:val="xl124"/>
    <w:basedOn w:val="Normal"/>
    <w:rsid w:val="00B758A1"/>
    <w:pPr>
      <w:pBdr>
        <w:left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125">
    <w:name w:val="xl125"/>
    <w:basedOn w:val="Normal"/>
    <w:rsid w:val="00B758A1"/>
    <w:pPr>
      <w:pBdr>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126">
    <w:name w:val="xl126"/>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jc w:val="center"/>
      <w:textAlignment w:val="center"/>
    </w:pPr>
    <w:rPr>
      <w:rFonts w:ascii="Verdana" w:eastAsia="Times New Roman" w:hAnsi="Verdana" w:cs="Times New Roman"/>
      <w:b/>
      <w:bCs/>
      <w:sz w:val="16"/>
      <w:szCs w:val="16"/>
      <w:lang w:val="de-DE" w:eastAsia="it-IT"/>
    </w:rPr>
  </w:style>
  <w:style w:type="paragraph" w:customStyle="1" w:styleId="xl127">
    <w:name w:val="xl127"/>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sz w:val="16"/>
      <w:szCs w:val="16"/>
      <w:lang w:val="de-DE" w:eastAsia="it-IT"/>
    </w:rPr>
  </w:style>
  <w:style w:type="paragraph" w:customStyle="1" w:styleId="xl128">
    <w:name w:val="xl128"/>
    <w:basedOn w:val="Normal"/>
    <w:rsid w:val="00B758A1"/>
    <w:pPr>
      <w:pBdr>
        <w:top w:val="single" w:sz="8" w:space="0" w:color="FFFFFF"/>
        <w:left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b/>
      <w:bCs/>
      <w:sz w:val="16"/>
      <w:szCs w:val="16"/>
      <w:lang w:val="de-DE" w:eastAsia="it-IT"/>
    </w:rPr>
  </w:style>
  <w:style w:type="paragraph" w:customStyle="1" w:styleId="xl129">
    <w:name w:val="xl129"/>
    <w:basedOn w:val="Normal"/>
    <w:rsid w:val="00B758A1"/>
    <w:pPr>
      <w:pBdr>
        <w:left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b/>
      <w:bCs/>
      <w:sz w:val="16"/>
      <w:szCs w:val="16"/>
      <w:lang w:val="de-DE" w:eastAsia="it-IT"/>
    </w:rPr>
  </w:style>
  <w:style w:type="paragraph" w:customStyle="1" w:styleId="xl130">
    <w:name w:val="xl130"/>
    <w:basedOn w:val="Normal"/>
    <w:rsid w:val="00B758A1"/>
    <w:pPr>
      <w:pBdr>
        <w:left w:val="single" w:sz="8" w:space="0" w:color="FFFFFF"/>
        <w:bottom w:val="single" w:sz="8" w:space="0" w:color="FFFFFF"/>
        <w:right w:val="single" w:sz="8" w:space="0" w:color="FFFFFF"/>
      </w:pBdr>
      <w:shd w:val="clear" w:color="000000" w:fill="D9D9D9"/>
      <w:spacing w:before="100" w:beforeAutospacing="1" w:after="100" w:afterAutospacing="1" w:line="240" w:lineRule="auto"/>
      <w:textAlignment w:val="top"/>
    </w:pPr>
    <w:rPr>
      <w:rFonts w:ascii="Verdana" w:eastAsia="Times New Roman" w:hAnsi="Verdana" w:cs="Times New Roman"/>
      <w:b/>
      <w:bCs/>
      <w:sz w:val="16"/>
      <w:szCs w:val="16"/>
      <w:lang w:val="de-DE" w:eastAsia="it-IT"/>
    </w:rPr>
  </w:style>
  <w:style w:type="paragraph" w:customStyle="1" w:styleId="xl131">
    <w:name w:val="xl131"/>
    <w:basedOn w:val="Normal"/>
    <w:rsid w:val="00B758A1"/>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line="240" w:lineRule="auto"/>
      <w:jc w:val="center"/>
      <w:textAlignment w:val="center"/>
    </w:pPr>
    <w:rPr>
      <w:rFonts w:ascii="Verdana" w:eastAsia="Times New Roman" w:hAnsi="Verdana" w:cs="Times New Roman"/>
      <w:b/>
      <w:bCs/>
      <w:color w:val="000000"/>
      <w:sz w:val="16"/>
      <w:szCs w:val="16"/>
      <w:lang w:val="de-DE" w:eastAsia="it-IT"/>
    </w:rPr>
  </w:style>
  <w:style w:type="paragraph" w:customStyle="1" w:styleId="xl63">
    <w:name w:val="xl63"/>
    <w:basedOn w:val="Normal"/>
    <w:uiPriority w:val="1"/>
    <w:rsid w:val="00B758A1"/>
    <w:pPr>
      <w:pBdr>
        <w:top w:val="single" w:sz="8" w:space="0" w:color="FFFFFF"/>
        <w:left w:val="single" w:sz="8" w:space="0" w:color="FFFFFF"/>
        <w:bottom w:val="single" w:sz="8" w:space="0" w:color="FFFFFF"/>
        <w:right w:val="single" w:sz="8" w:space="0" w:color="FFFFFF"/>
      </w:pBdr>
      <w:shd w:val="clear" w:color="000000" w:fill="00B0F0"/>
      <w:spacing w:before="100" w:beforeAutospacing="1" w:after="100" w:afterAutospacing="1" w:line="240" w:lineRule="auto"/>
      <w:textAlignment w:val="top"/>
    </w:pPr>
    <w:rPr>
      <w:rFonts w:ascii="Verdana" w:eastAsia="Times New Roman" w:hAnsi="Verdana" w:cs="Times New Roman"/>
      <w:b/>
      <w:bCs/>
      <w:color w:val="FFFFFF"/>
      <w:sz w:val="16"/>
      <w:szCs w:val="16"/>
      <w:lang w:val="de-DE" w:eastAsia="it-IT"/>
    </w:rPr>
  </w:style>
  <w:style w:type="paragraph" w:customStyle="1" w:styleId="xl64">
    <w:name w:val="xl64"/>
    <w:basedOn w:val="Normal"/>
    <w:uiPriority w:val="1"/>
    <w:rsid w:val="00B758A1"/>
    <w:pPr>
      <w:pBdr>
        <w:top w:val="single" w:sz="8" w:space="0" w:color="FFFFFF"/>
        <w:left w:val="single" w:sz="8" w:space="0" w:color="FFFFFF"/>
        <w:bottom w:val="single" w:sz="8" w:space="0" w:color="FFFFFF"/>
        <w:right w:val="single" w:sz="8" w:space="0" w:color="FFFFFF"/>
      </w:pBdr>
      <w:shd w:val="clear" w:color="000000" w:fill="00B0F0"/>
      <w:spacing w:before="100" w:beforeAutospacing="1" w:after="100" w:afterAutospacing="1" w:line="240" w:lineRule="auto"/>
      <w:jc w:val="center"/>
      <w:textAlignment w:val="top"/>
    </w:pPr>
    <w:rPr>
      <w:rFonts w:ascii="Verdana" w:eastAsia="Times New Roman" w:hAnsi="Verdana" w:cs="Times New Roman"/>
      <w:b/>
      <w:bCs/>
      <w:color w:val="FFFFFF"/>
      <w:sz w:val="16"/>
      <w:szCs w:val="16"/>
      <w:lang w:val="de-DE" w:eastAsia="it-IT"/>
    </w:rPr>
  </w:style>
  <w:style w:type="character" w:styleId="PlaceholderText">
    <w:name w:val="Placeholder Text"/>
    <w:basedOn w:val="DefaultParagraphFont"/>
    <w:uiPriority w:val="99"/>
    <w:rsid w:val="00B758A1"/>
    <w:rPr>
      <w:color w:val="808080"/>
    </w:rPr>
  </w:style>
  <w:style w:type="paragraph" w:customStyle="1" w:styleId="DocumentSubtitle">
    <w:name w:val="Document Subtitle"/>
    <w:basedOn w:val="Normal"/>
    <w:link w:val="DocumentSubtitleChar"/>
    <w:qFormat/>
    <w:rsid w:val="00B758A1"/>
    <w:pPr>
      <w:spacing w:after="240" w:line="240" w:lineRule="auto"/>
      <w:jc w:val="center"/>
    </w:pPr>
    <w:rPr>
      <w:rFonts w:ascii="Verdana" w:eastAsia="Times New Roman" w:hAnsi="Verdana" w:cs="Times New Roman"/>
      <w:sz w:val="32"/>
      <w:szCs w:val="36"/>
      <w:lang w:val="de-DE" w:eastAsia="de-DE"/>
    </w:rPr>
  </w:style>
  <w:style w:type="character" w:customStyle="1" w:styleId="DocumentSubtitleChar">
    <w:name w:val="Document Subtitle Char"/>
    <w:link w:val="DocumentSubtitle"/>
    <w:rsid w:val="00B758A1"/>
    <w:rPr>
      <w:rFonts w:ascii="Verdana" w:eastAsia="Times New Roman" w:hAnsi="Verdana" w:cs="Times New Roman"/>
      <w:sz w:val="32"/>
      <w:szCs w:val="36"/>
      <w:lang w:val="de-DE" w:eastAsia="de-DE"/>
    </w:rPr>
  </w:style>
  <w:style w:type="paragraph" w:customStyle="1" w:styleId="DocumentTitle">
    <w:name w:val="Document Title"/>
    <w:basedOn w:val="Normal"/>
    <w:link w:val="DocumentTitleChar"/>
    <w:qFormat/>
    <w:rsid w:val="00B758A1"/>
    <w:pPr>
      <w:spacing w:after="240" w:line="240" w:lineRule="auto"/>
      <w:jc w:val="center"/>
    </w:pPr>
    <w:rPr>
      <w:rFonts w:ascii="Verdana" w:eastAsia="Times New Roman" w:hAnsi="Verdana" w:cs="Times New Roman"/>
      <w:b/>
      <w:sz w:val="52"/>
      <w:szCs w:val="20"/>
      <w:lang w:val="fr-FR" w:eastAsia="de-DE"/>
    </w:rPr>
  </w:style>
  <w:style w:type="character" w:customStyle="1" w:styleId="DocumentTitleChar">
    <w:name w:val="Document Title Char"/>
    <w:link w:val="DocumentTitle"/>
    <w:rsid w:val="00B758A1"/>
    <w:rPr>
      <w:rFonts w:ascii="Verdana" w:eastAsia="Times New Roman" w:hAnsi="Verdana" w:cs="Times New Roman"/>
      <w:b/>
      <w:sz w:val="52"/>
      <w:szCs w:val="20"/>
      <w:lang w:val="fr-FR" w:eastAsia="de-DE"/>
    </w:rPr>
  </w:style>
  <w:style w:type="paragraph" w:styleId="ListBullet5">
    <w:name w:val="List Bullet 5"/>
    <w:basedOn w:val="Normal"/>
    <w:autoRedefine/>
    <w:rsid w:val="00B758A1"/>
    <w:pPr>
      <w:tabs>
        <w:tab w:val="num" w:pos="1699"/>
      </w:tabs>
      <w:spacing w:before="120" w:after="120" w:line="240" w:lineRule="auto"/>
      <w:ind w:left="1699" w:hanging="360"/>
    </w:pPr>
    <w:rPr>
      <w:rFonts w:ascii="Verdana" w:eastAsia="Times New Roman" w:hAnsi="Verdana" w:cs="Times New Roman"/>
      <w:szCs w:val="20"/>
      <w:lang w:val="de-DE" w:eastAsia="nl-BE"/>
    </w:rPr>
  </w:style>
  <w:style w:type="paragraph" w:customStyle="1" w:styleId="Bulletpoint1">
    <w:name w:val="Bullet point1"/>
    <w:basedOn w:val="NormalIndent"/>
    <w:link w:val="Bulletpoint1Char"/>
    <w:rsid w:val="00B758A1"/>
    <w:pPr>
      <w:spacing w:before="0" w:after="40"/>
      <w:ind w:left="717" w:hanging="360"/>
      <w:jc w:val="left"/>
    </w:pPr>
    <w:rPr>
      <w:rFonts w:eastAsia="Times New Roman" w:cs="Times New Roman"/>
      <w:sz w:val="22"/>
      <w:lang w:val="de-DE" w:eastAsia="nl-BE"/>
    </w:rPr>
  </w:style>
  <w:style w:type="character" w:customStyle="1" w:styleId="Bulletpoint1Char">
    <w:name w:val="Bullet point1 Char"/>
    <w:basedOn w:val="DefaultParagraphFont"/>
    <w:link w:val="Bulletpoint1"/>
    <w:rsid w:val="00B758A1"/>
    <w:rPr>
      <w:rFonts w:ascii="Verdana" w:eastAsia="Times New Roman" w:hAnsi="Verdana" w:cs="Times New Roman"/>
      <w:szCs w:val="20"/>
      <w:lang w:val="de-DE" w:eastAsia="nl-BE"/>
    </w:rPr>
  </w:style>
  <w:style w:type="paragraph" w:styleId="NormalIndent">
    <w:name w:val="Normal Indent"/>
    <w:basedOn w:val="Normal"/>
    <w:uiPriority w:val="99"/>
    <w:semiHidden/>
    <w:unhideWhenUsed/>
    <w:rsid w:val="00B758A1"/>
    <w:pPr>
      <w:spacing w:before="60" w:after="60" w:line="240" w:lineRule="auto"/>
      <w:ind w:left="720"/>
      <w:jc w:val="both"/>
    </w:pPr>
    <w:rPr>
      <w:rFonts w:ascii="Verdana" w:hAnsi="Verdana"/>
      <w:sz w:val="20"/>
      <w:szCs w:val="20"/>
      <w:lang w:val="en-GB"/>
    </w:rPr>
  </w:style>
  <w:style w:type="paragraph" w:customStyle="1" w:styleId="Default">
    <w:name w:val="Default"/>
    <w:rsid w:val="00B758A1"/>
    <w:pPr>
      <w:autoSpaceDE w:val="0"/>
      <w:autoSpaceDN w:val="0"/>
      <w:adjustRightInd w:val="0"/>
      <w:spacing w:after="0" w:line="240" w:lineRule="auto"/>
    </w:pPr>
    <w:rPr>
      <w:rFonts w:ascii="Wingdings 3" w:eastAsia="Times New Roman" w:hAnsi="Wingdings 3" w:cs="Wingdings 3"/>
      <w:color w:val="000000"/>
      <w:sz w:val="24"/>
      <w:szCs w:val="24"/>
      <w:lang w:val="en-GB" w:eastAsia="en-GB"/>
    </w:rPr>
  </w:style>
  <w:style w:type="character" w:customStyle="1" w:styleId="UnresolvedMention2">
    <w:name w:val="Unresolved Mention2"/>
    <w:basedOn w:val="DefaultParagraphFont"/>
    <w:uiPriority w:val="99"/>
    <w:unhideWhenUsed/>
    <w:rsid w:val="00B758A1"/>
    <w:rPr>
      <w:color w:val="605E5C"/>
      <w:shd w:val="clear" w:color="auto" w:fill="E1DFDD"/>
    </w:rPr>
  </w:style>
  <w:style w:type="character" w:customStyle="1" w:styleId="Mention2">
    <w:name w:val="Mention2"/>
    <w:basedOn w:val="DefaultParagraphFont"/>
    <w:uiPriority w:val="99"/>
    <w:unhideWhenUsed/>
    <w:rsid w:val="00B758A1"/>
    <w:rPr>
      <w:color w:val="2B579A"/>
      <w:shd w:val="clear" w:color="auto" w:fill="E1DFDD"/>
    </w:rPr>
  </w:style>
  <w:style w:type="character" w:customStyle="1" w:styleId="UnresolvedMention100">
    <w:name w:val="Unresolved Mention100"/>
    <w:basedOn w:val="DefaultParagraphFont"/>
    <w:uiPriority w:val="99"/>
    <w:unhideWhenUsed/>
    <w:rsid w:val="00B758A1"/>
    <w:rPr>
      <w:color w:val="605E5C"/>
      <w:shd w:val="clear" w:color="auto" w:fill="E1DFDD"/>
    </w:rPr>
  </w:style>
  <w:style w:type="character" w:customStyle="1" w:styleId="Mention100">
    <w:name w:val="Mention100"/>
    <w:basedOn w:val="DefaultParagraphFont"/>
    <w:uiPriority w:val="99"/>
    <w:unhideWhenUsed/>
    <w:rsid w:val="00B758A1"/>
    <w:rPr>
      <w:color w:val="2B579A"/>
      <w:shd w:val="clear" w:color="auto" w:fill="E1DFDD"/>
    </w:rPr>
  </w:style>
  <w:style w:type="character" w:customStyle="1" w:styleId="UnresolvedMention1000">
    <w:name w:val="Unresolved Mention1000"/>
    <w:basedOn w:val="DefaultParagraphFont"/>
    <w:uiPriority w:val="99"/>
    <w:unhideWhenUsed/>
    <w:rsid w:val="00B758A1"/>
    <w:rPr>
      <w:color w:val="605E5C"/>
      <w:shd w:val="clear" w:color="auto" w:fill="E1DFDD"/>
    </w:rPr>
  </w:style>
  <w:style w:type="character" w:customStyle="1" w:styleId="Mention1000">
    <w:name w:val="Mention1000"/>
    <w:basedOn w:val="DefaultParagraphFont"/>
    <w:uiPriority w:val="99"/>
    <w:unhideWhenUsed/>
    <w:rsid w:val="00B758A1"/>
    <w:rPr>
      <w:color w:val="2B579A"/>
      <w:shd w:val="clear" w:color="auto" w:fill="E1DFDD"/>
    </w:rPr>
  </w:style>
  <w:style w:type="character" w:customStyle="1" w:styleId="UnresolvedMention10000">
    <w:name w:val="Unresolved Mention10000"/>
    <w:basedOn w:val="DefaultParagraphFont"/>
    <w:uiPriority w:val="99"/>
    <w:unhideWhenUsed/>
    <w:rsid w:val="00B758A1"/>
    <w:rPr>
      <w:color w:val="605E5C"/>
      <w:shd w:val="clear" w:color="auto" w:fill="E1DFDD"/>
    </w:rPr>
  </w:style>
  <w:style w:type="character" w:customStyle="1" w:styleId="Mention10000">
    <w:name w:val="Mention10000"/>
    <w:basedOn w:val="DefaultParagraphFont"/>
    <w:uiPriority w:val="99"/>
    <w:unhideWhenUsed/>
    <w:rsid w:val="00B758A1"/>
    <w:rPr>
      <w:color w:val="2B579A"/>
      <w:shd w:val="clear" w:color="auto" w:fill="E1DFDD"/>
    </w:rPr>
  </w:style>
  <w:style w:type="character" w:customStyle="1" w:styleId="UnresolvedMention100000">
    <w:name w:val="Unresolved Mention100000"/>
    <w:basedOn w:val="DefaultParagraphFont"/>
    <w:uiPriority w:val="99"/>
    <w:unhideWhenUsed/>
    <w:rsid w:val="00B758A1"/>
    <w:rPr>
      <w:color w:val="605E5C"/>
      <w:shd w:val="clear" w:color="auto" w:fill="E1DFDD"/>
    </w:rPr>
  </w:style>
  <w:style w:type="character" w:customStyle="1" w:styleId="Mention100000">
    <w:name w:val="Mention100000"/>
    <w:basedOn w:val="DefaultParagraphFont"/>
    <w:uiPriority w:val="99"/>
    <w:unhideWhenUsed/>
    <w:rsid w:val="00B758A1"/>
    <w:rPr>
      <w:color w:val="2B579A"/>
      <w:shd w:val="clear" w:color="auto" w:fill="E1DFDD"/>
    </w:rPr>
  </w:style>
  <w:style w:type="character" w:customStyle="1" w:styleId="UnresolvedMention1000000">
    <w:name w:val="Unresolved Mention1000000"/>
    <w:basedOn w:val="DefaultParagraphFont"/>
    <w:uiPriority w:val="99"/>
    <w:unhideWhenUsed/>
    <w:rsid w:val="00B758A1"/>
    <w:rPr>
      <w:color w:val="605E5C"/>
      <w:shd w:val="clear" w:color="auto" w:fill="E1DFDD"/>
    </w:rPr>
  </w:style>
  <w:style w:type="character" w:customStyle="1" w:styleId="Mention1000000">
    <w:name w:val="Mention1000000"/>
    <w:basedOn w:val="DefaultParagraphFont"/>
    <w:uiPriority w:val="99"/>
    <w:unhideWhenUsed/>
    <w:rsid w:val="00B758A1"/>
    <w:rPr>
      <w:color w:val="2B579A"/>
      <w:shd w:val="clear" w:color="auto" w:fill="E1DFDD"/>
    </w:rPr>
  </w:style>
  <w:style w:type="character" w:styleId="Emphasis">
    <w:name w:val="Emphasis"/>
    <w:basedOn w:val="DefaultParagraphFont"/>
    <w:uiPriority w:val="20"/>
    <w:qFormat/>
    <w:rsid w:val="00B758A1"/>
    <w:rPr>
      <w:i/>
      <w:iCs/>
    </w:rPr>
  </w:style>
  <w:style w:type="character" w:customStyle="1" w:styleId="UnresolvedMention10000000">
    <w:name w:val="Unresolved Mention10000000"/>
    <w:basedOn w:val="DefaultParagraphFont"/>
    <w:uiPriority w:val="99"/>
    <w:unhideWhenUsed/>
    <w:rsid w:val="00B758A1"/>
    <w:rPr>
      <w:color w:val="605E5C"/>
      <w:shd w:val="clear" w:color="auto" w:fill="E1DFDD"/>
    </w:rPr>
  </w:style>
  <w:style w:type="character" w:customStyle="1" w:styleId="Mention10000000">
    <w:name w:val="Mention10000000"/>
    <w:basedOn w:val="DefaultParagraphFont"/>
    <w:uiPriority w:val="99"/>
    <w:unhideWhenUsed/>
    <w:rsid w:val="00B758A1"/>
    <w:rPr>
      <w:color w:val="2B579A"/>
      <w:shd w:val="clear" w:color="auto" w:fill="E1DFDD"/>
    </w:rPr>
  </w:style>
  <w:style w:type="character" w:customStyle="1" w:styleId="UnresolvedMention100000000">
    <w:name w:val="Unresolved Mention100000000"/>
    <w:basedOn w:val="DefaultParagraphFont"/>
    <w:uiPriority w:val="99"/>
    <w:unhideWhenUsed/>
    <w:rsid w:val="00B758A1"/>
    <w:rPr>
      <w:color w:val="605E5C"/>
      <w:shd w:val="clear" w:color="auto" w:fill="E1DFDD"/>
    </w:rPr>
  </w:style>
  <w:style w:type="character" w:customStyle="1" w:styleId="Mention100000000">
    <w:name w:val="Mention100000000"/>
    <w:basedOn w:val="DefaultParagraphFont"/>
    <w:uiPriority w:val="99"/>
    <w:unhideWhenUsed/>
    <w:rsid w:val="00B758A1"/>
    <w:rPr>
      <w:color w:val="2B579A"/>
      <w:shd w:val="clear" w:color="auto" w:fill="E1DFDD"/>
    </w:rPr>
  </w:style>
  <w:style w:type="character" w:customStyle="1" w:styleId="UnresolvedMention1000000000">
    <w:name w:val="Unresolved Mention1000000000"/>
    <w:basedOn w:val="DefaultParagraphFont"/>
    <w:uiPriority w:val="99"/>
    <w:unhideWhenUsed/>
    <w:rsid w:val="00B758A1"/>
    <w:rPr>
      <w:color w:val="605E5C"/>
      <w:shd w:val="clear" w:color="auto" w:fill="E1DFDD"/>
    </w:rPr>
  </w:style>
  <w:style w:type="character" w:customStyle="1" w:styleId="Mention1000000000">
    <w:name w:val="Mention1000000000"/>
    <w:basedOn w:val="DefaultParagraphFont"/>
    <w:uiPriority w:val="99"/>
    <w:unhideWhenUsed/>
    <w:rsid w:val="00B758A1"/>
    <w:rPr>
      <w:color w:val="2B579A"/>
      <w:shd w:val="clear" w:color="auto" w:fill="E1DFDD"/>
    </w:rPr>
  </w:style>
  <w:style w:type="character" w:customStyle="1" w:styleId="UnresolvedMention10000000000">
    <w:name w:val="Unresolved Mention10000000000"/>
    <w:basedOn w:val="DefaultParagraphFont"/>
    <w:uiPriority w:val="99"/>
    <w:unhideWhenUsed/>
    <w:rsid w:val="00B758A1"/>
    <w:rPr>
      <w:color w:val="605E5C"/>
      <w:shd w:val="clear" w:color="auto" w:fill="E1DFDD"/>
    </w:rPr>
  </w:style>
  <w:style w:type="character" w:customStyle="1" w:styleId="Mention10000000000">
    <w:name w:val="Mention10000000000"/>
    <w:basedOn w:val="DefaultParagraphFont"/>
    <w:uiPriority w:val="99"/>
    <w:unhideWhenUsed/>
    <w:rsid w:val="00B758A1"/>
    <w:rPr>
      <w:color w:val="2B579A"/>
      <w:shd w:val="clear" w:color="auto" w:fill="E1DFDD"/>
    </w:rPr>
  </w:style>
  <w:style w:type="character" w:customStyle="1" w:styleId="UnresolvedMention100000000000">
    <w:name w:val="Unresolved Mention100000000000"/>
    <w:basedOn w:val="DefaultParagraphFont"/>
    <w:uiPriority w:val="99"/>
    <w:unhideWhenUsed/>
    <w:rsid w:val="00B758A1"/>
    <w:rPr>
      <w:color w:val="605E5C"/>
      <w:shd w:val="clear" w:color="auto" w:fill="E1DFDD"/>
    </w:rPr>
  </w:style>
  <w:style w:type="character" w:customStyle="1" w:styleId="Mention100000000000">
    <w:name w:val="Mention100000000000"/>
    <w:basedOn w:val="DefaultParagraphFont"/>
    <w:uiPriority w:val="99"/>
    <w:unhideWhenUsed/>
    <w:rsid w:val="00B758A1"/>
    <w:rPr>
      <w:color w:val="2B579A"/>
      <w:shd w:val="clear" w:color="auto" w:fill="E1DFDD"/>
    </w:rPr>
  </w:style>
  <w:style w:type="character" w:customStyle="1" w:styleId="UnresolvedMention1000000000000">
    <w:name w:val="Unresolved Mention1000000000000"/>
    <w:basedOn w:val="DefaultParagraphFont"/>
    <w:uiPriority w:val="99"/>
    <w:unhideWhenUsed/>
    <w:rsid w:val="00B758A1"/>
    <w:rPr>
      <w:color w:val="605E5C"/>
      <w:shd w:val="clear" w:color="auto" w:fill="E1DFDD"/>
    </w:rPr>
  </w:style>
  <w:style w:type="character" w:customStyle="1" w:styleId="Mention1000000000000">
    <w:name w:val="Mention1000000000000"/>
    <w:basedOn w:val="DefaultParagraphFont"/>
    <w:uiPriority w:val="99"/>
    <w:unhideWhenUsed/>
    <w:rsid w:val="00B758A1"/>
    <w:rPr>
      <w:color w:val="2B579A"/>
      <w:shd w:val="clear" w:color="auto" w:fill="E1DFDD"/>
    </w:rPr>
  </w:style>
  <w:style w:type="character" w:customStyle="1" w:styleId="UnresolvedMention10000000000000">
    <w:name w:val="Unresolved Mention10000000000000"/>
    <w:basedOn w:val="DefaultParagraphFont"/>
    <w:uiPriority w:val="99"/>
    <w:unhideWhenUsed/>
    <w:rsid w:val="00B758A1"/>
    <w:rPr>
      <w:color w:val="605E5C"/>
      <w:shd w:val="clear" w:color="auto" w:fill="E1DFDD"/>
    </w:rPr>
  </w:style>
  <w:style w:type="character" w:customStyle="1" w:styleId="Mention10000000000000">
    <w:name w:val="Mention10000000000000"/>
    <w:basedOn w:val="DefaultParagraphFont"/>
    <w:uiPriority w:val="99"/>
    <w:unhideWhenUsed/>
    <w:rsid w:val="00B758A1"/>
    <w:rPr>
      <w:color w:val="2B579A"/>
      <w:shd w:val="clear" w:color="auto" w:fill="E1DFDD"/>
    </w:rPr>
  </w:style>
  <w:style w:type="character" w:customStyle="1" w:styleId="UnresolvedMention100000000000000">
    <w:name w:val="Unresolved Mention100000000000000"/>
    <w:basedOn w:val="DefaultParagraphFont"/>
    <w:uiPriority w:val="99"/>
    <w:unhideWhenUsed/>
    <w:rsid w:val="00B758A1"/>
    <w:rPr>
      <w:color w:val="605E5C"/>
      <w:shd w:val="clear" w:color="auto" w:fill="E1DFDD"/>
    </w:rPr>
  </w:style>
  <w:style w:type="character" w:customStyle="1" w:styleId="Mention100000000000000">
    <w:name w:val="Mention100000000000000"/>
    <w:basedOn w:val="DefaultParagraphFont"/>
    <w:uiPriority w:val="99"/>
    <w:unhideWhenUsed/>
    <w:rsid w:val="00B758A1"/>
    <w:rPr>
      <w:color w:val="2B579A"/>
      <w:shd w:val="clear" w:color="auto" w:fill="E1DFDD"/>
    </w:rPr>
  </w:style>
  <w:style w:type="character" w:customStyle="1" w:styleId="UnresolvedMention1000000000000000">
    <w:name w:val="Unresolved Mention1000000000000000"/>
    <w:basedOn w:val="DefaultParagraphFont"/>
    <w:uiPriority w:val="99"/>
    <w:unhideWhenUsed/>
    <w:rsid w:val="00B758A1"/>
    <w:rPr>
      <w:color w:val="605E5C"/>
      <w:shd w:val="clear" w:color="auto" w:fill="E1DFDD"/>
    </w:rPr>
  </w:style>
  <w:style w:type="character" w:customStyle="1" w:styleId="Mention1000000000000000">
    <w:name w:val="Mention1000000000000000"/>
    <w:basedOn w:val="DefaultParagraphFont"/>
    <w:uiPriority w:val="99"/>
    <w:unhideWhenUsed/>
    <w:rsid w:val="00B758A1"/>
    <w:rPr>
      <w:color w:val="2B579A"/>
      <w:shd w:val="clear" w:color="auto" w:fill="E1DFDD"/>
    </w:rPr>
  </w:style>
  <w:style w:type="table" w:customStyle="1" w:styleId="Table-standard81">
    <w:name w:val="Table - standard81"/>
    <w:basedOn w:val="TableNormal"/>
    <w:rsid w:val="00B758A1"/>
    <w:pPr>
      <w:spacing w:after="0" w:line="240" w:lineRule="auto"/>
    </w:pPr>
    <w:rPr>
      <w:rFonts w:ascii="Yu Gothic UI Light" w:eastAsia="Times New Roman" w:hAnsi="Yu Gothic UI Light" w:cs="Times New Roman"/>
      <w:sz w:val="18"/>
      <w:szCs w:val="20"/>
      <w:lang w:val="fr-FR" w:eastAsia="fr-F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7E6E6"/>
      <w:vAlign w:val="center"/>
    </w:tcPr>
    <w:tblStylePr w:type="firstRow">
      <w:pPr>
        <w:jc w:val="left"/>
      </w:pPr>
      <w:rPr>
        <w:rFonts w:ascii="Yu Mincho" w:hAnsi="Yu Mincho"/>
        <w:b/>
        <w:color w:val="FFFFFF"/>
        <w:sz w:val="18"/>
      </w:rPr>
      <w:tblPr/>
      <w:tcPr>
        <w:shd w:val="clear" w:color="auto" w:fill="00B0F0"/>
      </w:tcPr>
    </w:tblStylePr>
    <w:tblStylePr w:type="lastRow">
      <w:rPr>
        <w:rFonts w:ascii="Yu Mincho" w:hAnsi="Yu Mincho"/>
      </w:rPr>
    </w:tblStylePr>
    <w:tblStylePr w:type="firstCol">
      <w:rPr>
        <w:rFonts w:ascii="Yu Mincho" w:hAnsi="Yu Mincho"/>
      </w:rPr>
      <w:tblPr/>
      <w:tcPr>
        <w:shd w:val="clear" w:color="auto" w:fill="D0CECE"/>
      </w:tcPr>
    </w:tblStylePr>
    <w:tblStylePr w:type="lastCol">
      <w:rPr>
        <w:rFonts w:ascii="Yu Mincho" w:hAnsi="Yu Mincho"/>
      </w:rPr>
    </w:tblStylePr>
    <w:tblStylePr w:type="band1Vert">
      <w:rPr>
        <w:rFonts w:ascii="Yu Mincho" w:hAnsi="Yu Mincho"/>
      </w:rPr>
    </w:tblStylePr>
    <w:tblStylePr w:type="band2Vert">
      <w:rPr>
        <w:rFonts w:ascii="Yu Mincho" w:hAnsi="Yu Mincho"/>
      </w:rPr>
    </w:tblStylePr>
    <w:tblStylePr w:type="band1Horz">
      <w:rPr>
        <w:rFonts w:ascii="Yu Mincho" w:hAnsi="Yu Mincho"/>
      </w:rPr>
    </w:tblStylePr>
    <w:tblStylePr w:type="band2Horz">
      <w:rPr>
        <w:rFonts w:ascii="Yu Mincho" w:hAnsi="Yu Mincho"/>
      </w:rPr>
    </w:tblStylePr>
    <w:tblStylePr w:type="neCell">
      <w:rPr>
        <w:rFonts w:ascii="Yu Mincho" w:hAnsi="Yu Mincho"/>
      </w:rPr>
    </w:tblStylePr>
    <w:tblStylePr w:type="nwCell">
      <w:rPr>
        <w:rFonts w:ascii="Yu Mincho" w:hAnsi="Yu Mincho"/>
      </w:rPr>
    </w:tblStylePr>
    <w:tblStylePr w:type="seCell">
      <w:rPr>
        <w:rFonts w:ascii="Yu Mincho" w:hAnsi="Yu Mincho"/>
      </w:rPr>
    </w:tblStylePr>
    <w:tblStylePr w:type="swCell">
      <w:rPr>
        <w:rFonts w:ascii="Yu Mincho" w:hAnsi="Yu Mincho"/>
      </w:rPr>
    </w:tblStylePr>
  </w:style>
  <w:style w:type="character" w:customStyle="1" w:styleId="UnresolvedMention10000000000000000">
    <w:name w:val="Unresolved Mention10000000000000000"/>
    <w:basedOn w:val="DefaultParagraphFont"/>
    <w:uiPriority w:val="99"/>
    <w:unhideWhenUsed/>
    <w:rsid w:val="00B758A1"/>
    <w:rPr>
      <w:color w:val="605E5C"/>
      <w:shd w:val="clear" w:color="auto" w:fill="E1DFDD"/>
    </w:rPr>
  </w:style>
  <w:style w:type="character" w:customStyle="1" w:styleId="Mention10000000000000000">
    <w:name w:val="Mention10000000000000000"/>
    <w:basedOn w:val="DefaultParagraphFont"/>
    <w:uiPriority w:val="99"/>
    <w:unhideWhenUsed/>
    <w:rsid w:val="00B758A1"/>
    <w:rPr>
      <w:color w:val="2B579A"/>
      <w:shd w:val="clear" w:color="auto" w:fill="E1DFDD"/>
    </w:rPr>
  </w:style>
  <w:style w:type="character" w:customStyle="1" w:styleId="UnresolvedMention100000000000000000">
    <w:name w:val="Unresolved Mention100000000000000000"/>
    <w:basedOn w:val="DefaultParagraphFont"/>
    <w:uiPriority w:val="99"/>
    <w:unhideWhenUsed/>
    <w:rsid w:val="00B758A1"/>
    <w:rPr>
      <w:color w:val="605E5C"/>
      <w:shd w:val="clear" w:color="auto" w:fill="E1DFDD"/>
    </w:rPr>
  </w:style>
  <w:style w:type="character" w:customStyle="1" w:styleId="Mention100000000000000000">
    <w:name w:val="Mention100000000000000000"/>
    <w:basedOn w:val="DefaultParagraphFont"/>
    <w:uiPriority w:val="99"/>
    <w:unhideWhenUsed/>
    <w:rsid w:val="00B758A1"/>
    <w:rPr>
      <w:color w:val="2B579A"/>
      <w:shd w:val="clear" w:color="auto" w:fill="E1DFDD"/>
    </w:rPr>
  </w:style>
  <w:style w:type="character" w:customStyle="1" w:styleId="UnresolvedMention1000000000000000000">
    <w:name w:val="Unresolved Mention1000000000000000000"/>
    <w:basedOn w:val="DefaultParagraphFont"/>
    <w:uiPriority w:val="99"/>
    <w:unhideWhenUsed/>
    <w:rsid w:val="00B758A1"/>
    <w:rPr>
      <w:color w:val="605E5C"/>
      <w:shd w:val="clear" w:color="auto" w:fill="E1DFDD"/>
    </w:rPr>
  </w:style>
  <w:style w:type="character" w:customStyle="1" w:styleId="Mention1000000000000000000">
    <w:name w:val="Mention1000000000000000000"/>
    <w:basedOn w:val="DefaultParagraphFont"/>
    <w:uiPriority w:val="99"/>
    <w:unhideWhenUsed/>
    <w:rsid w:val="00B758A1"/>
    <w:rPr>
      <w:color w:val="2B579A"/>
      <w:shd w:val="clear" w:color="auto" w:fill="E1DFDD"/>
    </w:rPr>
  </w:style>
  <w:style w:type="table" w:customStyle="1" w:styleId="TableEY3">
    <w:name w:val="Table EY3"/>
    <w:basedOn w:val="TableNormal"/>
    <w:next w:val="TableGrid"/>
    <w:uiPriority w:val="59"/>
    <w:rsid w:val="00B758A1"/>
    <w:pPr>
      <w:spacing w:after="0" w:line="240" w:lineRule="auto"/>
    </w:pPr>
    <w:rPr>
      <w:rFonts w:ascii="Yu Gothic UI Light" w:eastAsia="Times New Roman" w:hAnsi="Yu Gothic UI Light" w:cs="Times New Roman"/>
      <w:sz w:val="18"/>
      <w:szCs w:val="20"/>
      <w:lang w:val="nl-BE" w:eastAsia="nl-BE"/>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b/>
        <w:color w:val="FFFFFF" w:themeColor="background1"/>
        <w:sz w:val="18"/>
      </w:rPr>
      <w:tblPr/>
      <w:tcPr>
        <w:shd w:val="clear" w:color="auto" w:fill="00AEF0"/>
      </w:tcPr>
    </w:tblStylePr>
    <w:tblStylePr w:type="band1Horz">
      <w:rPr>
        <w:sz w:val="18"/>
      </w:rPr>
    </w:tblStylePr>
  </w:style>
  <w:style w:type="character" w:customStyle="1" w:styleId="UnresolvedMention10000000000000000000">
    <w:name w:val="Unresolved Mention10000000000000000000"/>
    <w:basedOn w:val="DefaultParagraphFont"/>
    <w:uiPriority w:val="99"/>
    <w:unhideWhenUsed/>
    <w:rsid w:val="00B758A1"/>
    <w:rPr>
      <w:color w:val="605E5C"/>
      <w:shd w:val="clear" w:color="auto" w:fill="E1DFDD"/>
    </w:rPr>
  </w:style>
  <w:style w:type="character" w:customStyle="1" w:styleId="Mention10000000000000000000">
    <w:name w:val="Mention10000000000000000000"/>
    <w:basedOn w:val="DefaultParagraphFont"/>
    <w:uiPriority w:val="99"/>
    <w:unhideWhenUsed/>
    <w:rsid w:val="00B758A1"/>
    <w:rPr>
      <w:color w:val="2B579A"/>
      <w:shd w:val="clear" w:color="auto" w:fill="E1DFDD"/>
    </w:rPr>
  </w:style>
  <w:style w:type="character" w:customStyle="1" w:styleId="UnresolvedMention100000000000000000000">
    <w:name w:val="Unresolved Mention100000000000000000000"/>
    <w:basedOn w:val="DefaultParagraphFont"/>
    <w:uiPriority w:val="99"/>
    <w:unhideWhenUsed/>
    <w:rsid w:val="00B758A1"/>
    <w:rPr>
      <w:color w:val="605E5C"/>
      <w:shd w:val="clear" w:color="auto" w:fill="E1DFDD"/>
    </w:rPr>
  </w:style>
  <w:style w:type="character" w:customStyle="1" w:styleId="Mention100000000000000000000">
    <w:name w:val="Mention100000000000000000000"/>
    <w:basedOn w:val="DefaultParagraphFont"/>
    <w:uiPriority w:val="99"/>
    <w:unhideWhenUsed/>
    <w:rsid w:val="00B758A1"/>
    <w:rPr>
      <w:color w:val="2B579A"/>
      <w:shd w:val="clear" w:color="auto" w:fill="E1DFDD"/>
    </w:rPr>
  </w:style>
  <w:style w:type="paragraph" w:styleId="NormalWeb">
    <w:name w:val="Normal (Web)"/>
    <w:aliases w:val=" webb"/>
    <w:basedOn w:val="Normal"/>
    <w:uiPriority w:val="99"/>
    <w:unhideWhenUsed/>
    <w:rsid w:val="00B758A1"/>
    <w:pPr>
      <w:spacing w:before="100" w:beforeAutospacing="1" w:after="100" w:afterAutospacing="1" w:line="240" w:lineRule="auto"/>
    </w:pPr>
    <w:rPr>
      <w:rFonts w:ascii="Verdana" w:eastAsia="Times New Roman" w:hAnsi="Verdana" w:cs="Times New Roman"/>
      <w:szCs w:val="24"/>
      <w:lang w:val="de-DE" w:eastAsia="en-GB"/>
    </w:rPr>
  </w:style>
  <w:style w:type="paragraph" w:styleId="NoSpacing">
    <w:name w:val="No Spacing"/>
    <w:uiPriority w:val="1"/>
    <w:qFormat/>
    <w:rsid w:val="00B758A1"/>
    <w:pPr>
      <w:spacing w:after="0" w:line="240" w:lineRule="auto"/>
      <w:jc w:val="both"/>
    </w:pPr>
    <w:rPr>
      <w:rFonts w:ascii="Yu Gothic UI Light" w:hAnsi="Yu Gothic UI Light"/>
      <w:sz w:val="20"/>
      <w:lang w:val="pl-PL"/>
    </w:rPr>
  </w:style>
  <w:style w:type="table" w:customStyle="1" w:styleId="none1">
    <w:name w:val="none1"/>
    <w:basedOn w:val="TableNormal"/>
    <w:next w:val="TableGrid"/>
    <w:uiPriority w:val="59"/>
    <w:rsid w:val="00B758A1"/>
    <w:pPr>
      <w:spacing w:after="0" w:line="240" w:lineRule="auto"/>
    </w:pPr>
    <w:rPr>
      <w:rFonts w:ascii="Yu Gothic UI Light" w:eastAsia="Times New Roman" w:hAnsi="Yu Gothic UI Light" w:cs="Times New Roman"/>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themeColor="background1"/>
        <w:sz w:val="18"/>
      </w:rPr>
      <w:tblPr/>
      <w:tcPr>
        <w:shd w:val="clear" w:color="auto" w:fill="00AEF0"/>
      </w:tcPr>
    </w:tblStylePr>
  </w:style>
  <w:style w:type="paragraph" w:customStyle="1" w:styleId="Bullet2">
    <w:name w:val="Bullet 2"/>
    <w:basedOn w:val="Normal"/>
    <w:uiPriority w:val="1"/>
    <w:qFormat/>
    <w:rsid w:val="00B758A1"/>
    <w:pPr>
      <w:spacing w:after="0" w:line="240" w:lineRule="auto"/>
      <w:ind w:left="1440"/>
      <w:jc w:val="both"/>
    </w:pPr>
    <w:rPr>
      <w:rFonts w:ascii="Arial" w:hAnsi="Arial"/>
      <w:sz w:val="20"/>
      <w:lang w:val="en-GB"/>
    </w:rPr>
  </w:style>
  <w:style w:type="table" w:customStyle="1" w:styleId="none2">
    <w:name w:val="none2"/>
    <w:basedOn w:val="TableNormal"/>
    <w:next w:val="TableGrid"/>
    <w:uiPriority w:val="39"/>
    <w:rsid w:val="00B758A1"/>
    <w:pPr>
      <w:spacing w:after="0" w:line="240" w:lineRule="auto"/>
    </w:pPr>
    <w:rPr>
      <w:rFonts w:ascii="Arial" w:hAnsi="Arial"/>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B758A1"/>
    <w:rPr>
      <w:rFonts w:ascii="Arial" w:hAnsi="Arial"/>
      <w:b/>
      <w:i/>
      <w:iCs/>
      <w:color w:val="1E858B" w:themeColor="accent1"/>
      <w:sz w:val="20"/>
    </w:rPr>
  </w:style>
  <w:style w:type="paragraph" w:customStyle="1" w:styleId="sub2">
    <w:name w:val="sub 2"/>
    <w:basedOn w:val="Heading6"/>
    <w:link w:val="sub2Char"/>
    <w:autoRedefine/>
    <w:qFormat/>
    <w:rsid w:val="00B758A1"/>
    <w:pPr>
      <w:keepLines w:val="0"/>
      <w:tabs>
        <w:tab w:val="left" w:pos="1701"/>
      </w:tabs>
      <w:spacing w:before="120" w:after="60"/>
    </w:pPr>
    <w:rPr>
      <w:bCs/>
      <w:i w:val="0"/>
      <w:color w:val="00B0F0"/>
    </w:rPr>
  </w:style>
  <w:style w:type="character" w:customStyle="1" w:styleId="sub2Char">
    <w:name w:val="sub 2 Char"/>
    <w:basedOn w:val="DefaultParagraphFont"/>
    <w:link w:val="sub2"/>
    <w:rsid w:val="00B758A1"/>
    <w:rPr>
      <w:rFonts w:ascii="Verdana" w:eastAsiaTheme="majorEastAsia" w:hAnsi="Verdana" w:cstheme="majorBidi"/>
      <w:b/>
      <w:bCs/>
      <w:color w:val="00B0F0"/>
      <w:sz w:val="20"/>
      <w:lang w:val="en-GB"/>
    </w:rPr>
  </w:style>
  <w:style w:type="paragraph" w:styleId="Subtitle">
    <w:name w:val="Subtitle"/>
    <w:basedOn w:val="Normal"/>
    <w:next w:val="Normal"/>
    <w:link w:val="SubtitleChar"/>
    <w:uiPriority w:val="11"/>
    <w:qFormat/>
    <w:rsid w:val="00B758A1"/>
    <w:pPr>
      <w:keepNext/>
      <w:numPr>
        <w:ilvl w:val="1"/>
      </w:numPr>
      <w:spacing w:before="60" w:after="60" w:line="240" w:lineRule="auto"/>
      <w:jc w:val="both"/>
      <w:outlineLvl w:val="4"/>
    </w:pPr>
    <w:rPr>
      <w:rFonts w:ascii="Verdana" w:eastAsiaTheme="minorEastAsia" w:hAnsi="Verdana"/>
      <w:b/>
      <w:color w:val="000000" w:themeColor="text1"/>
      <w:spacing w:val="15"/>
      <w:sz w:val="20"/>
      <w:lang w:val="en-GB"/>
    </w:rPr>
  </w:style>
  <w:style w:type="character" w:customStyle="1" w:styleId="SubtitleChar">
    <w:name w:val="Subtitle Char"/>
    <w:basedOn w:val="DefaultParagraphFont"/>
    <w:link w:val="Subtitle"/>
    <w:uiPriority w:val="11"/>
    <w:rsid w:val="00B758A1"/>
    <w:rPr>
      <w:rFonts w:ascii="Verdana" w:eastAsiaTheme="minorEastAsia" w:hAnsi="Verdana"/>
      <w:b/>
      <w:color w:val="000000" w:themeColor="text1"/>
      <w:spacing w:val="15"/>
      <w:sz w:val="20"/>
      <w:lang w:val="en-GB"/>
    </w:rPr>
  </w:style>
  <w:style w:type="table" w:customStyle="1" w:styleId="Table-standard">
    <w:name w:val="Table - standard"/>
    <w:basedOn w:val="TableNormal"/>
    <w:rsid w:val="00B758A1"/>
    <w:pPr>
      <w:spacing w:after="0" w:line="240" w:lineRule="auto"/>
    </w:pPr>
    <w:rPr>
      <w:rFonts w:ascii="Arial" w:eastAsia="Times New Roman" w:hAnsi="Arial" w:cs="Times New Roman"/>
      <w:sz w:val="18"/>
      <w:szCs w:val="20"/>
      <w:lang w:val="fr-FR" w:eastAsia="fr-FR"/>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8F9" w:themeFill="background2"/>
      <w:vAlign w:val="center"/>
    </w:tcPr>
    <w:tblStylePr w:type="firstRow">
      <w:pPr>
        <w:jc w:val="left"/>
      </w:pPr>
      <w:rPr>
        <w:rFonts w:ascii="Yu Mincho" w:hAnsi="Yu Mincho"/>
        <w:b/>
        <w:color w:val="auto"/>
        <w:sz w:val="18"/>
      </w:rPr>
      <w:tblPr/>
      <w:tcPr>
        <w:shd w:val="clear" w:color="auto" w:fill="FFE600"/>
      </w:tcPr>
    </w:tblStylePr>
    <w:tblStylePr w:type="lastRow">
      <w:rPr>
        <w:rFonts w:ascii="Yu Mincho" w:hAnsi="Yu Mincho"/>
      </w:rPr>
    </w:tblStylePr>
    <w:tblStylePr w:type="firstCol">
      <w:rPr>
        <w:rFonts w:ascii="Yu Mincho" w:hAnsi="Yu Mincho"/>
      </w:rPr>
      <w:tblPr/>
      <w:tcPr>
        <w:shd w:val="clear" w:color="auto" w:fill="ABD2F3" w:themeFill="background2" w:themeFillShade="E6"/>
      </w:tcPr>
    </w:tblStylePr>
    <w:tblStylePr w:type="lastCol">
      <w:rPr>
        <w:rFonts w:ascii="Yu Mincho" w:hAnsi="Yu Mincho"/>
        <w:sz w:val="18"/>
      </w:rPr>
    </w:tblStylePr>
    <w:tblStylePr w:type="band1Vert">
      <w:rPr>
        <w:rFonts w:ascii="Yu Mincho" w:hAnsi="Yu Mincho"/>
      </w:rPr>
    </w:tblStylePr>
    <w:tblStylePr w:type="band2Vert">
      <w:rPr>
        <w:rFonts w:ascii="Yu Mincho" w:hAnsi="Yu Mincho"/>
      </w:rPr>
    </w:tblStylePr>
    <w:tblStylePr w:type="band1Horz">
      <w:rPr>
        <w:rFonts w:ascii="Yu Mincho" w:hAnsi="Yu Mincho"/>
      </w:rPr>
    </w:tblStylePr>
    <w:tblStylePr w:type="band2Horz">
      <w:rPr>
        <w:rFonts w:ascii="Yu Mincho" w:hAnsi="Yu Mincho"/>
      </w:rPr>
    </w:tblStylePr>
    <w:tblStylePr w:type="neCell">
      <w:rPr>
        <w:rFonts w:ascii="Yu Mincho" w:hAnsi="Yu Mincho"/>
      </w:rPr>
    </w:tblStylePr>
    <w:tblStylePr w:type="nwCell">
      <w:rPr>
        <w:rFonts w:ascii="Yu Mincho" w:hAnsi="Yu Mincho"/>
      </w:rPr>
    </w:tblStylePr>
    <w:tblStylePr w:type="seCell">
      <w:rPr>
        <w:rFonts w:ascii="Yu Mincho" w:hAnsi="Yu Mincho"/>
      </w:rPr>
    </w:tblStylePr>
    <w:tblStylePr w:type="swCell">
      <w:rPr>
        <w:rFonts w:ascii="Yu Mincho" w:hAnsi="Yu Mincho"/>
      </w:rPr>
    </w:tblStylePr>
  </w:style>
  <w:style w:type="character" w:customStyle="1" w:styleId="UnresolvedMention1000000000000000000000">
    <w:name w:val="Unresolved Mention1000000000000000000000"/>
    <w:basedOn w:val="DefaultParagraphFont"/>
    <w:uiPriority w:val="99"/>
    <w:unhideWhenUsed/>
    <w:rsid w:val="00B758A1"/>
    <w:rPr>
      <w:color w:val="605E5C"/>
      <w:shd w:val="clear" w:color="auto" w:fill="E1DFDD"/>
    </w:rPr>
  </w:style>
  <w:style w:type="character" w:customStyle="1" w:styleId="Mention1000000000000000000000">
    <w:name w:val="Mention1000000000000000000000"/>
    <w:basedOn w:val="DefaultParagraphFont"/>
    <w:uiPriority w:val="99"/>
    <w:unhideWhenUsed/>
    <w:rsid w:val="00B758A1"/>
    <w:rPr>
      <w:color w:val="2B579A"/>
      <w:shd w:val="clear" w:color="auto" w:fill="E1DFDD"/>
    </w:rPr>
  </w:style>
  <w:style w:type="character" w:customStyle="1" w:styleId="UnresolvedMention10000000000000000000000">
    <w:name w:val="Unresolved Mention10000000000000000000000"/>
    <w:basedOn w:val="DefaultParagraphFont"/>
    <w:uiPriority w:val="99"/>
    <w:unhideWhenUsed/>
    <w:rsid w:val="00B758A1"/>
    <w:rPr>
      <w:color w:val="605E5C"/>
      <w:shd w:val="clear" w:color="auto" w:fill="E1DFDD"/>
    </w:rPr>
  </w:style>
  <w:style w:type="character" w:customStyle="1" w:styleId="Mention10000000000000000000000">
    <w:name w:val="Mention10000000000000000000000"/>
    <w:basedOn w:val="DefaultParagraphFont"/>
    <w:uiPriority w:val="99"/>
    <w:unhideWhenUsed/>
    <w:rsid w:val="00B758A1"/>
    <w:rPr>
      <w:color w:val="2B579A"/>
      <w:shd w:val="clear" w:color="auto" w:fill="E1DFDD"/>
    </w:rPr>
  </w:style>
  <w:style w:type="character" w:customStyle="1" w:styleId="UnresolvedMention100000000000000000000000">
    <w:name w:val="Unresolved Mention100000000000000000000000"/>
    <w:basedOn w:val="DefaultParagraphFont"/>
    <w:uiPriority w:val="99"/>
    <w:unhideWhenUsed/>
    <w:rsid w:val="00B758A1"/>
    <w:rPr>
      <w:color w:val="605E5C"/>
      <w:shd w:val="clear" w:color="auto" w:fill="E1DFDD"/>
    </w:rPr>
  </w:style>
  <w:style w:type="character" w:customStyle="1" w:styleId="Mention100000000000000000000000">
    <w:name w:val="Mention100000000000000000000000"/>
    <w:basedOn w:val="DefaultParagraphFont"/>
    <w:uiPriority w:val="99"/>
    <w:unhideWhenUsed/>
    <w:rsid w:val="00B758A1"/>
    <w:rPr>
      <w:color w:val="2B579A"/>
      <w:shd w:val="clear" w:color="auto" w:fill="E1DFDD"/>
    </w:rPr>
  </w:style>
  <w:style w:type="table" w:customStyle="1" w:styleId="Table-standard4">
    <w:name w:val="Table - standard4"/>
    <w:basedOn w:val="TableNormal"/>
    <w:rsid w:val="00B758A1"/>
    <w:pPr>
      <w:spacing w:after="0" w:line="240" w:lineRule="auto"/>
    </w:pPr>
    <w:rPr>
      <w:rFonts w:ascii="Arial" w:eastAsia="Times New Roman" w:hAnsi="Arial"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Table-standard11">
    <w:name w:val="Table - standard11"/>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LightShading-Accent311">
    <w:name w:val="Light Shading - Accent 311"/>
    <w:basedOn w:val="TableNormal"/>
    <w:next w:val="LightShading-Accent3"/>
    <w:uiPriority w:val="60"/>
    <w:rsid w:val="00B758A1"/>
    <w:pPr>
      <w:spacing w:after="0" w:line="240" w:lineRule="auto"/>
    </w:pPr>
    <w:rPr>
      <w:rFonts w:ascii="Arial" w:hAnsi="Arial"/>
      <w:color w:val="727272"/>
      <w:sz w:val="20"/>
      <w:szCs w:val="20"/>
      <w:lang w:val="nl-BE"/>
    </w:rPr>
    <w:tblPr>
      <w:tblStyleRowBandSize w:val="1"/>
      <w:tblStyleColBandSize w:val="1"/>
      <w:tblBorders>
        <w:top w:val="single" w:sz="8" w:space="0" w:color="999999"/>
        <w:bottom w:val="single" w:sz="8" w:space="0" w:color="999999"/>
      </w:tblBorders>
    </w:tblPr>
    <w:tblStylePr w:type="firstRow">
      <w:pPr>
        <w:spacing w:before="0" w:after="0" w:line="240" w:lineRule="auto"/>
      </w:pPr>
      <w:rPr>
        <w:b/>
        <w:bCs/>
      </w:rPr>
      <w:tblPr/>
      <w:tcPr>
        <w:tcBorders>
          <w:top w:val="single" w:sz="8" w:space="0" w:color="999999"/>
          <w:left w:val="nil"/>
          <w:bottom w:val="single" w:sz="8" w:space="0" w:color="999999"/>
          <w:right w:val="nil"/>
          <w:insideH w:val="nil"/>
          <w:insideV w:val="nil"/>
        </w:tcBorders>
      </w:tcPr>
    </w:tblStylePr>
    <w:tblStylePr w:type="lastRow">
      <w:pPr>
        <w:spacing w:before="0" w:after="0" w:line="240" w:lineRule="auto"/>
      </w:pPr>
      <w:rPr>
        <w:b/>
        <w:bCs/>
      </w:rPr>
      <w:tblPr/>
      <w:tcPr>
        <w:tcBorders>
          <w:top w:val="single" w:sz="8" w:space="0" w:color="999999"/>
          <w:left w:val="nil"/>
          <w:bottom w:val="single" w:sz="8" w:space="0" w:color="99999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Table-standard5">
    <w:name w:val="Table - standard5"/>
    <w:basedOn w:val="TableNormal"/>
    <w:rsid w:val="00B758A1"/>
    <w:pPr>
      <w:spacing w:after="0" w:line="240" w:lineRule="auto"/>
    </w:pPr>
    <w:rPr>
      <w:rFonts w:ascii="Arial" w:eastAsia="Times New Roman" w:hAnsi="Arial"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Table-standard6">
    <w:name w:val="Table - standard6"/>
    <w:basedOn w:val="TableNormal"/>
    <w:rsid w:val="00B758A1"/>
    <w:pPr>
      <w:spacing w:after="0" w:line="240" w:lineRule="auto"/>
    </w:pPr>
    <w:rPr>
      <w:rFonts w:ascii="Arial" w:eastAsia="Times New Roman" w:hAnsi="Arial"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Table-standard7">
    <w:name w:val="Table - standard7"/>
    <w:basedOn w:val="TableNormal"/>
    <w:rsid w:val="00B758A1"/>
    <w:pPr>
      <w:spacing w:after="0" w:line="240" w:lineRule="auto"/>
    </w:pPr>
    <w:rPr>
      <w:rFonts w:ascii="Arial" w:eastAsia="Times New Roman" w:hAnsi="Arial"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styleId="LightShading-Accent3">
    <w:name w:val="Light Shading Accent 3"/>
    <w:basedOn w:val="TableNormal"/>
    <w:uiPriority w:val="60"/>
    <w:unhideWhenUsed/>
    <w:rsid w:val="00B758A1"/>
    <w:pPr>
      <w:spacing w:after="0" w:line="240" w:lineRule="auto"/>
    </w:pPr>
    <w:rPr>
      <w:color w:val="168F67" w:themeColor="accent3" w:themeShade="BF"/>
      <w:lang w:val="it-IT"/>
    </w:rPr>
    <w:tblPr>
      <w:tblStyleRowBandSize w:val="1"/>
      <w:tblStyleColBandSize w:val="1"/>
      <w:tblBorders>
        <w:top w:val="single" w:sz="8" w:space="0" w:color="1EC08A" w:themeColor="accent3"/>
        <w:bottom w:val="single" w:sz="8" w:space="0" w:color="1EC08A" w:themeColor="accent3"/>
      </w:tblBorders>
    </w:tblPr>
    <w:tblStylePr w:type="firstRow">
      <w:pPr>
        <w:spacing w:before="0" w:after="0" w:line="240" w:lineRule="auto"/>
      </w:pPr>
      <w:rPr>
        <w:b/>
        <w:bCs/>
      </w:rPr>
      <w:tblPr/>
      <w:tcPr>
        <w:tcBorders>
          <w:top w:val="single" w:sz="8" w:space="0" w:color="1EC08A" w:themeColor="accent3"/>
          <w:left w:val="nil"/>
          <w:bottom w:val="single" w:sz="8" w:space="0" w:color="1EC08A" w:themeColor="accent3"/>
          <w:right w:val="nil"/>
          <w:insideH w:val="nil"/>
          <w:insideV w:val="nil"/>
        </w:tcBorders>
      </w:tcPr>
    </w:tblStylePr>
    <w:tblStylePr w:type="lastRow">
      <w:pPr>
        <w:spacing w:before="0" w:after="0" w:line="240" w:lineRule="auto"/>
      </w:pPr>
      <w:rPr>
        <w:b/>
        <w:bCs/>
      </w:rPr>
      <w:tblPr/>
      <w:tcPr>
        <w:tcBorders>
          <w:top w:val="single" w:sz="8" w:space="0" w:color="1EC08A" w:themeColor="accent3"/>
          <w:left w:val="nil"/>
          <w:bottom w:val="single" w:sz="8" w:space="0" w:color="1EC08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F5E4" w:themeFill="accent3" w:themeFillTint="3F"/>
      </w:tcPr>
    </w:tblStylePr>
    <w:tblStylePr w:type="band1Horz">
      <w:tblPr/>
      <w:tcPr>
        <w:tcBorders>
          <w:left w:val="nil"/>
          <w:right w:val="nil"/>
          <w:insideH w:val="nil"/>
          <w:insideV w:val="nil"/>
        </w:tcBorders>
        <w:shd w:val="clear" w:color="auto" w:fill="C1F5E4" w:themeFill="accent3" w:themeFillTint="3F"/>
      </w:tcPr>
    </w:tblStylePr>
  </w:style>
  <w:style w:type="character" w:customStyle="1" w:styleId="normaltextrun">
    <w:name w:val="normaltextrun"/>
    <w:basedOn w:val="DefaultParagraphFont"/>
    <w:rsid w:val="00B758A1"/>
  </w:style>
  <w:style w:type="character" w:customStyle="1" w:styleId="UnresolvedMention1000000000000000000000000">
    <w:name w:val="Unresolved Mention1000000000000000000000000"/>
    <w:basedOn w:val="DefaultParagraphFont"/>
    <w:uiPriority w:val="99"/>
    <w:unhideWhenUsed/>
    <w:rsid w:val="00B758A1"/>
    <w:rPr>
      <w:color w:val="605E5C"/>
      <w:shd w:val="clear" w:color="auto" w:fill="E1DFDD"/>
    </w:rPr>
  </w:style>
  <w:style w:type="character" w:customStyle="1" w:styleId="Mention1000000000000000000000000">
    <w:name w:val="Mention1000000000000000000000000"/>
    <w:basedOn w:val="DefaultParagraphFont"/>
    <w:uiPriority w:val="99"/>
    <w:unhideWhenUsed/>
    <w:rsid w:val="00B758A1"/>
    <w:rPr>
      <w:color w:val="2B579A"/>
      <w:shd w:val="clear" w:color="auto" w:fill="E1DFDD"/>
    </w:rPr>
  </w:style>
  <w:style w:type="character" w:customStyle="1" w:styleId="TOC1Char">
    <w:name w:val="TOC 1 Char"/>
    <w:basedOn w:val="DefaultParagraphFont"/>
    <w:link w:val="TOC1"/>
    <w:uiPriority w:val="39"/>
    <w:rsid w:val="00B758A1"/>
    <w:rPr>
      <w:rFonts w:ascii="Times New Roman" w:eastAsia="Times New Roman" w:hAnsi="Times New Roman" w:cs="Times New Roman"/>
      <w:caps/>
      <w:sz w:val="20"/>
      <w:szCs w:val="20"/>
      <w:lang w:val="en-GB"/>
    </w:rPr>
  </w:style>
  <w:style w:type="table" w:customStyle="1" w:styleId="none3">
    <w:name w:val="none3"/>
    <w:basedOn w:val="TableNormal"/>
    <w:next w:val="TableGrid"/>
    <w:uiPriority w:val="59"/>
    <w:rsid w:val="00B758A1"/>
    <w:pPr>
      <w:spacing w:after="0" w:line="240" w:lineRule="auto"/>
    </w:pPr>
    <w:rPr>
      <w:rFonts w:ascii="Arial" w:hAnsi="Arial"/>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andard82">
    <w:name w:val="Table - standard82"/>
    <w:basedOn w:val="TableNormal"/>
    <w:rsid w:val="00B758A1"/>
    <w:pPr>
      <w:spacing w:after="0" w:line="240" w:lineRule="auto"/>
    </w:pPr>
    <w:rPr>
      <w:rFonts w:ascii="Arial" w:eastAsia="Times New Roman" w:hAnsi="Arial" w:cs="Times New Roman"/>
      <w:sz w:val="18"/>
      <w:szCs w:val="20"/>
      <w:lang w:val="fr-FR" w:eastAsia="fr-F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7E6E6"/>
      <w:vAlign w:val="center"/>
    </w:tcPr>
    <w:tblStylePr w:type="firstRow">
      <w:pPr>
        <w:jc w:val="left"/>
      </w:pPr>
      <w:rPr>
        <w:rFonts w:ascii="Yu Mincho" w:hAnsi="Yu Mincho"/>
        <w:b/>
        <w:color w:val="auto"/>
        <w:sz w:val="18"/>
      </w:rPr>
      <w:tblPr/>
      <w:tcPr>
        <w:shd w:val="clear" w:color="auto" w:fill="FFE600"/>
      </w:tcPr>
    </w:tblStylePr>
    <w:tblStylePr w:type="lastRow">
      <w:rPr>
        <w:rFonts w:ascii="Yu Mincho" w:hAnsi="Yu Mincho"/>
      </w:rPr>
    </w:tblStylePr>
    <w:tblStylePr w:type="firstCol">
      <w:rPr>
        <w:rFonts w:ascii="Yu Mincho" w:hAnsi="Yu Mincho"/>
      </w:rPr>
      <w:tblPr/>
      <w:tcPr>
        <w:shd w:val="clear" w:color="auto" w:fill="D0CECE"/>
      </w:tcPr>
    </w:tblStylePr>
    <w:tblStylePr w:type="lastCol">
      <w:rPr>
        <w:rFonts w:ascii="Yu Mincho" w:hAnsi="Yu Mincho"/>
      </w:rPr>
    </w:tblStylePr>
    <w:tblStylePr w:type="band1Vert">
      <w:rPr>
        <w:rFonts w:ascii="Yu Mincho" w:hAnsi="Yu Mincho"/>
      </w:rPr>
    </w:tblStylePr>
    <w:tblStylePr w:type="band2Vert">
      <w:rPr>
        <w:rFonts w:ascii="Yu Mincho" w:hAnsi="Yu Mincho"/>
      </w:rPr>
    </w:tblStylePr>
    <w:tblStylePr w:type="band1Horz">
      <w:rPr>
        <w:rFonts w:ascii="Yu Mincho" w:hAnsi="Yu Mincho"/>
      </w:rPr>
    </w:tblStylePr>
    <w:tblStylePr w:type="band2Horz">
      <w:rPr>
        <w:rFonts w:ascii="Yu Mincho" w:hAnsi="Yu Mincho"/>
      </w:rPr>
    </w:tblStylePr>
    <w:tblStylePr w:type="neCell">
      <w:rPr>
        <w:rFonts w:ascii="Yu Mincho" w:hAnsi="Yu Mincho"/>
      </w:rPr>
    </w:tblStylePr>
    <w:tblStylePr w:type="nwCell">
      <w:rPr>
        <w:rFonts w:ascii="Yu Mincho" w:hAnsi="Yu Mincho"/>
      </w:rPr>
    </w:tblStylePr>
    <w:tblStylePr w:type="seCell">
      <w:rPr>
        <w:rFonts w:ascii="Yu Mincho" w:hAnsi="Yu Mincho"/>
      </w:rPr>
    </w:tblStylePr>
    <w:tblStylePr w:type="swCell">
      <w:rPr>
        <w:rFonts w:ascii="Yu Mincho" w:hAnsi="Yu Mincho"/>
      </w:rPr>
    </w:tblStylePr>
  </w:style>
  <w:style w:type="paragraph" w:customStyle="1" w:styleId="table0">
    <w:name w:val="table"/>
    <w:basedOn w:val="Normal"/>
    <w:uiPriority w:val="1"/>
    <w:qFormat/>
    <w:rsid w:val="00B758A1"/>
    <w:pPr>
      <w:spacing w:before="120" w:after="120" w:line="240" w:lineRule="auto"/>
      <w:contextualSpacing/>
    </w:pPr>
    <w:rPr>
      <w:rFonts w:ascii="Arial" w:eastAsia="Times New Roman" w:hAnsi="Arial" w:cs="Times New Roman"/>
      <w:spacing w:val="-10"/>
      <w:sz w:val="18"/>
      <w:szCs w:val="18"/>
      <w:lang w:val="en-US" w:eastAsia="de-DE"/>
    </w:rPr>
  </w:style>
  <w:style w:type="table" w:customStyle="1" w:styleId="Table-standard12">
    <w:name w:val="Table - standard12"/>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Table-standard13">
    <w:name w:val="Table - standard13"/>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Table-standard14">
    <w:name w:val="Table - standard14"/>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CV2">
    <w:name w:val="CV2"/>
    <w:basedOn w:val="TableNormal"/>
    <w:rsid w:val="00B758A1"/>
    <w:pPr>
      <w:spacing w:after="0" w:line="240" w:lineRule="auto"/>
    </w:pPr>
    <w:rPr>
      <w:rFonts w:ascii="Arial" w:eastAsia="Verdana" w:hAnsi="Arial" w:cs="Verdana"/>
      <w:sz w:val="16"/>
      <w:szCs w:val="16"/>
      <w:lang w:val="fr-FR" w:eastAsia="fr-FR"/>
    </w:rPr>
    <w:tblPr>
      <w:tblBorders>
        <w:top w:val="single" w:sz="8" w:space="0" w:color="808080"/>
        <w:bottom w:val="single" w:sz="8" w:space="0" w:color="808080"/>
        <w:insideH w:val="single" w:sz="2" w:space="0" w:color="808080"/>
      </w:tblBorders>
      <w:tblCellMar>
        <w:top w:w="85" w:type="dxa"/>
      </w:tblCellMar>
    </w:tblPr>
    <w:tcPr>
      <w:shd w:val="clear" w:color="auto" w:fill="auto"/>
    </w:tcPr>
    <w:tblStylePr w:type="firstRow">
      <w:pPr>
        <w:wordWrap/>
        <w:spacing w:line="240" w:lineRule="auto"/>
      </w:pPr>
      <w:rPr>
        <w:rFonts w:ascii="Yu Mincho" w:hAnsi="Yu Mincho"/>
        <w:b w:val="0"/>
        <w:bCs/>
        <w:color w:val="auto"/>
        <w:sz w:val="16"/>
      </w:rPr>
      <w:tblPr/>
      <w:tcPr>
        <w:tcBorders>
          <w:top w:val="nil"/>
          <w:left w:val="nil"/>
          <w:bottom w:val="nil"/>
          <w:right w:val="nil"/>
          <w:insideH w:val="nil"/>
          <w:insideV w:val="nil"/>
          <w:tl2br w:val="nil"/>
          <w:tr2bl w:val="nil"/>
        </w:tcBorders>
        <w:shd w:val="clear" w:color="auto" w:fill="FFD200"/>
      </w:tcPr>
    </w:tblStylePr>
    <w:tblStylePr w:type="nwCell">
      <w:pPr>
        <w:wordWrap/>
        <w:spacing w:line="240" w:lineRule="auto"/>
      </w:pPr>
      <w:rPr>
        <w:rFonts w:ascii="Yu Mincho" w:hAnsi="Yu Mincho"/>
      </w:rPr>
      <w:tblPr/>
      <w:tcPr>
        <w:tcBorders>
          <w:top w:val="nil"/>
          <w:left w:val="nil"/>
          <w:bottom w:val="nil"/>
          <w:right w:val="nil"/>
          <w:insideH w:val="nil"/>
          <w:insideV w:val="nil"/>
          <w:tl2br w:val="nil"/>
          <w:tr2bl w:val="nil"/>
        </w:tcBorders>
        <w:shd w:val="clear" w:color="auto" w:fill="FFD200"/>
      </w:tcPr>
    </w:tblStylePr>
  </w:style>
  <w:style w:type="paragraph" w:customStyle="1" w:styleId="Tableautitre">
    <w:name w:val="Tableau titre"/>
    <w:basedOn w:val="Normal"/>
    <w:link w:val="TableautitreChar"/>
    <w:rsid w:val="00B758A1"/>
    <w:pPr>
      <w:spacing w:after="0" w:line="240" w:lineRule="exact"/>
    </w:pPr>
    <w:rPr>
      <w:rFonts w:ascii="Verdana" w:eastAsia="Times New Roman" w:hAnsi="Verdana" w:cs="Times New Roman"/>
      <w:spacing w:val="-10"/>
      <w:sz w:val="16"/>
      <w:szCs w:val="16"/>
      <w:lang w:val="de-DE" w:eastAsia="de-DE"/>
    </w:rPr>
  </w:style>
  <w:style w:type="character" w:customStyle="1" w:styleId="TableautitreChar">
    <w:name w:val="Tableau titre Char"/>
    <w:basedOn w:val="DefaultParagraphFont"/>
    <w:link w:val="Tableautitre"/>
    <w:locked/>
    <w:rsid w:val="00B758A1"/>
    <w:rPr>
      <w:rFonts w:ascii="Verdana" w:eastAsia="Times New Roman" w:hAnsi="Verdana" w:cs="Times New Roman"/>
      <w:spacing w:val="-10"/>
      <w:sz w:val="16"/>
      <w:szCs w:val="16"/>
      <w:lang w:val="de-DE" w:eastAsia="de-DE"/>
    </w:rPr>
  </w:style>
  <w:style w:type="paragraph" w:customStyle="1" w:styleId="Bulletcoretext">
    <w:name w:val="Bullet core text"/>
    <w:basedOn w:val="ListParagraph"/>
    <w:link w:val="BulletcoretextChar"/>
    <w:qFormat/>
    <w:rsid w:val="00B758A1"/>
    <w:pPr>
      <w:numPr>
        <w:ilvl w:val="1"/>
        <w:numId w:val="26"/>
      </w:numPr>
      <w:tabs>
        <w:tab w:val="num" w:pos="360"/>
      </w:tabs>
      <w:spacing w:before="120" w:after="120"/>
      <w:contextualSpacing w:val="0"/>
      <w:jc w:val="left"/>
    </w:pPr>
    <w:rPr>
      <w:rFonts w:ascii="Arial" w:hAnsi="Arial" w:cs="Verdana"/>
      <w:iCs/>
      <w:spacing w:val="-10"/>
      <w:sz w:val="22"/>
      <w:szCs w:val="24"/>
      <w:lang w:val="de-DE" w:eastAsia="de-DE"/>
    </w:rPr>
  </w:style>
  <w:style w:type="character" w:customStyle="1" w:styleId="BulletcoretextChar">
    <w:name w:val="Bullet core text Char"/>
    <w:basedOn w:val="DefaultParagraphFont"/>
    <w:link w:val="Bulletcoretext"/>
    <w:rsid w:val="00B758A1"/>
    <w:rPr>
      <w:rFonts w:ascii="Arial" w:eastAsia="Times New Roman" w:hAnsi="Arial" w:cs="Verdana"/>
      <w:iCs/>
      <w:spacing w:val="-10"/>
      <w:szCs w:val="24"/>
      <w:lang w:val="de-DE" w:eastAsia="de-DE"/>
    </w:rPr>
  </w:style>
  <w:style w:type="paragraph" w:customStyle="1" w:styleId="czentm">
    <w:name w:val="cze_ntm"/>
    <w:basedOn w:val="Normal"/>
    <w:uiPriority w:val="1"/>
    <w:rsid w:val="00B758A1"/>
    <w:pPr>
      <w:spacing w:before="100" w:beforeAutospacing="1" w:after="100" w:afterAutospacing="1" w:line="240" w:lineRule="auto"/>
      <w:ind w:left="720" w:hanging="360"/>
    </w:pPr>
    <w:rPr>
      <w:rFonts w:ascii="Verdana" w:eastAsia="Times New Roman" w:hAnsi="Verdana" w:cs="Times New Roman"/>
      <w:szCs w:val="24"/>
      <w:lang w:val="de-DE" w:eastAsia="it-IT"/>
    </w:rPr>
  </w:style>
  <w:style w:type="character" w:styleId="BookTitle">
    <w:name w:val="Book Title"/>
    <w:basedOn w:val="DefaultParagraphFont"/>
    <w:uiPriority w:val="33"/>
    <w:qFormat/>
    <w:rsid w:val="00B758A1"/>
    <w:rPr>
      <w:b/>
      <w:bCs/>
      <w:i/>
      <w:iCs/>
      <w:spacing w:val="5"/>
    </w:rPr>
  </w:style>
  <w:style w:type="paragraph" w:customStyle="1" w:styleId="BOXCAPTION">
    <w:name w:val="BOX CAPTION"/>
    <w:basedOn w:val="Caption"/>
    <w:uiPriority w:val="1"/>
    <w:qFormat/>
    <w:rsid w:val="00B758A1"/>
    <w:pPr>
      <w:keepLines/>
      <w:tabs>
        <w:tab w:val="right" w:leader="dot" w:pos="9629"/>
      </w:tabs>
      <w:spacing w:after="0" w:line="360" w:lineRule="auto"/>
      <w:jc w:val="center"/>
    </w:pPr>
    <w:rPr>
      <w:rFonts w:eastAsia="Segoe UI" w:cs="Verdana"/>
      <w:iCs/>
      <w:szCs w:val="20"/>
    </w:rPr>
  </w:style>
  <w:style w:type="paragraph" w:customStyle="1" w:styleId="StyleListParagraphNormalbullet2BulletlistNumberedList1st">
    <w:name w:val="Style List ParagraphNormal bullet 2Bullet listNumbered List1st ..."/>
    <w:basedOn w:val="ListParagraph"/>
    <w:uiPriority w:val="1"/>
    <w:rsid w:val="00B758A1"/>
    <w:pPr>
      <w:spacing w:before="120" w:after="120"/>
      <w:ind w:left="0" w:right="113"/>
      <w:contextualSpacing w:val="0"/>
      <w:jc w:val="left"/>
    </w:pPr>
    <w:rPr>
      <w:rFonts w:ascii="Verdana" w:hAnsi="Verdana"/>
      <w:i/>
      <w:sz w:val="16"/>
      <w:lang w:val="de-DE" w:eastAsia="de-DE"/>
    </w:rPr>
  </w:style>
  <w:style w:type="paragraph" w:customStyle="1" w:styleId="Style8ptItalicLeft02cmRight02cm">
    <w:name w:val="Style 8 pt Italic Left:  0.2 cm Right:  0.2 cm"/>
    <w:basedOn w:val="Normal"/>
    <w:uiPriority w:val="1"/>
    <w:rsid w:val="00B758A1"/>
    <w:pPr>
      <w:spacing w:after="240" w:line="240" w:lineRule="auto"/>
      <w:ind w:left="113" w:right="113"/>
    </w:pPr>
    <w:rPr>
      <w:rFonts w:ascii="Verdana" w:eastAsia="Times New Roman" w:hAnsi="Verdana" w:cs="Times New Roman"/>
      <w:i/>
      <w:iCs/>
      <w:sz w:val="16"/>
      <w:szCs w:val="20"/>
      <w:lang w:val="de-DE" w:eastAsia="de-DE"/>
    </w:rPr>
  </w:style>
  <w:style w:type="paragraph" w:styleId="ListNumber2">
    <w:name w:val="List Number 2"/>
    <w:basedOn w:val="Normal"/>
    <w:uiPriority w:val="1"/>
    <w:rsid w:val="00B758A1"/>
    <w:pPr>
      <w:numPr>
        <w:numId w:val="16"/>
      </w:numPr>
      <w:tabs>
        <w:tab w:val="num" w:pos="360"/>
      </w:tabs>
      <w:spacing w:before="60" w:after="20" w:line="240" w:lineRule="auto"/>
      <w:contextualSpacing/>
    </w:pPr>
    <w:rPr>
      <w:rFonts w:ascii="Arial" w:eastAsia="Times New Roman" w:hAnsi="Arial" w:cs="Times New Roman"/>
      <w:szCs w:val="20"/>
      <w:lang w:val="de-DE" w:eastAsia="de-DE"/>
    </w:rPr>
  </w:style>
  <w:style w:type="paragraph" w:styleId="EndnoteText">
    <w:name w:val="endnote text"/>
    <w:basedOn w:val="Normal"/>
    <w:link w:val="EndnoteTextChar"/>
    <w:uiPriority w:val="99"/>
    <w:rsid w:val="00B758A1"/>
    <w:pPr>
      <w:spacing w:before="60" w:after="0" w:line="240" w:lineRule="auto"/>
      <w:jc w:val="both"/>
    </w:pPr>
    <w:rPr>
      <w:rFonts w:ascii="Arial" w:hAnsi="Arial"/>
      <w:sz w:val="20"/>
      <w:szCs w:val="20"/>
      <w:lang w:val="en-GB"/>
    </w:rPr>
  </w:style>
  <w:style w:type="character" w:customStyle="1" w:styleId="EndnoteTextChar">
    <w:name w:val="Endnote Text Char"/>
    <w:basedOn w:val="DefaultParagraphFont"/>
    <w:link w:val="EndnoteText"/>
    <w:uiPriority w:val="99"/>
    <w:rsid w:val="00B758A1"/>
    <w:rPr>
      <w:rFonts w:ascii="Arial" w:hAnsi="Arial"/>
      <w:sz w:val="20"/>
      <w:szCs w:val="20"/>
      <w:lang w:val="en-GB"/>
    </w:rPr>
  </w:style>
  <w:style w:type="paragraph" w:customStyle="1" w:styleId="TableBullet0">
    <w:name w:val="Table Bullet"/>
    <w:basedOn w:val="Normal"/>
    <w:uiPriority w:val="1"/>
    <w:rsid w:val="00B758A1"/>
    <w:pPr>
      <w:numPr>
        <w:numId w:val="17"/>
      </w:numPr>
      <w:tabs>
        <w:tab w:val="num" w:pos="360"/>
      </w:tabs>
      <w:suppressAutoHyphens/>
      <w:spacing w:after="0" w:line="240" w:lineRule="auto"/>
    </w:pPr>
    <w:rPr>
      <w:rFonts w:ascii="Arial" w:eastAsia="Times New Roman" w:hAnsi="Arial" w:cs="Times New Roman"/>
      <w:spacing w:val="-10"/>
      <w:sz w:val="18"/>
      <w:szCs w:val="20"/>
      <w:lang w:val="en-US" w:eastAsia="ar-SA"/>
    </w:rPr>
  </w:style>
  <w:style w:type="table" w:customStyle="1" w:styleId="Table-standard15">
    <w:name w:val="Table - standard15"/>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ED7D31"/>
      </w:tcPr>
    </w:tblStylePr>
    <w:tblStylePr w:type="lastRow">
      <w:rPr>
        <w:rFonts w:ascii="Yu Mincho" w:hAnsi="Yu Mincho"/>
      </w:rPr>
    </w:tblStylePr>
    <w:tblStylePr w:type="firstCol">
      <w:tblPr/>
      <w:tcPr>
        <w:tcBorders>
          <w:insideH w:val="single" w:sz="4" w:space="0" w:color="auto"/>
        </w:tcBorders>
        <w:shd w:val="clear" w:color="auto" w:fill="404F64"/>
      </w:tcPr>
    </w:tblStylePr>
  </w:style>
  <w:style w:type="paragraph" w:customStyle="1" w:styleId="bullet1">
    <w:name w:val="bullet 1"/>
    <w:basedOn w:val="ListParagraph"/>
    <w:link w:val="bullet1Char0"/>
    <w:qFormat/>
    <w:rsid w:val="00B758A1"/>
    <w:pPr>
      <w:numPr>
        <w:numId w:val="42"/>
      </w:numPr>
      <w:tabs>
        <w:tab w:val="num" w:pos="360"/>
      </w:tabs>
      <w:spacing w:before="120" w:after="120"/>
    </w:pPr>
    <w:rPr>
      <w:rFonts w:ascii="Arial" w:hAnsi="Arial" w:cstheme="minorBidi"/>
      <w:sz w:val="22"/>
      <w:lang w:val="de-DE" w:eastAsia="de-DE"/>
    </w:rPr>
  </w:style>
  <w:style w:type="table" w:customStyle="1" w:styleId="Table-standard3">
    <w:name w:val="Table - standard3"/>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ED7D31"/>
      </w:tcPr>
    </w:tblStylePr>
    <w:tblStylePr w:type="lastRow">
      <w:rPr>
        <w:rFonts w:ascii="Yu Mincho" w:hAnsi="Yu Mincho"/>
      </w:rPr>
    </w:tblStylePr>
    <w:tblStylePr w:type="firstCol">
      <w:tblPr/>
      <w:tcPr>
        <w:tcBorders>
          <w:insideH w:val="single" w:sz="4" w:space="0" w:color="auto"/>
        </w:tcBorders>
        <w:shd w:val="clear" w:color="auto" w:fill="404F64"/>
      </w:tcPr>
    </w:tblStylePr>
  </w:style>
  <w:style w:type="table" w:customStyle="1" w:styleId="Style11">
    <w:name w:val="Style11"/>
    <w:basedOn w:val="TableNormal"/>
    <w:uiPriority w:val="99"/>
    <w:rsid w:val="00B758A1"/>
    <w:pPr>
      <w:spacing w:after="0" w:line="240" w:lineRule="auto"/>
    </w:pPr>
    <w:rPr>
      <w:rFonts w:ascii="Arial" w:hAnsi="Arial"/>
      <w:sz w:val="20"/>
      <w:szCs w:val="20"/>
      <w:lang w:val="en-GB"/>
    </w:rPr>
    <w:tblPr/>
    <w:tblStylePr w:type="firstRow">
      <w:rPr>
        <w:rFonts w:ascii="Yu Mincho" w:hAnsi="Yu Mincho"/>
      </w:rPr>
    </w:tblStylePr>
  </w:style>
  <w:style w:type="character" w:customStyle="1" w:styleId="Subtitle21">
    <w:name w:val="Subtitle 21"/>
    <w:basedOn w:val="DefaultParagraphFont"/>
    <w:uiPriority w:val="19"/>
    <w:rsid w:val="00B758A1"/>
    <w:rPr>
      <w:i/>
      <w:iCs/>
      <w:color w:val="404040"/>
    </w:rPr>
  </w:style>
  <w:style w:type="paragraph" w:customStyle="1" w:styleId="FootnoteReference1">
    <w:name w:val="Footnote Reference1"/>
    <w:basedOn w:val="EndnoteText"/>
    <w:qFormat/>
    <w:rsid w:val="00B758A1"/>
    <w:pPr>
      <w:spacing w:before="0"/>
    </w:pPr>
    <w:rPr>
      <w:spacing w:val="-10"/>
      <w:vertAlign w:val="superscript"/>
      <w:lang w:val="nl-BE"/>
    </w:rPr>
  </w:style>
  <w:style w:type="paragraph" w:styleId="ListContinue">
    <w:name w:val="List Continue"/>
    <w:basedOn w:val="Normal"/>
    <w:uiPriority w:val="99"/>
    <w:rsid w:val="00B758A1"/>
    <w:pPr>
      <w:spacing w:after="120" w:line="240" w:lineRule="auto"/>
      <w:ind w:left="283"/>
      <w:contextualSpacing/>
      <w:jc w:val="both"/>
    </w:pPr>
    <w:rPr>
      <w:rFonts w:ascii="Arial" w:hAnsi="Arial"/>
      <w:spacing w:val="-10"/>
      <w:sz w:val="20"/>
      <w:szCs w:val="20"/>
      <w:lang w:val="nl-BE"/>
    </w:rPr>
  </w:style>
  <w:style w:type="paragraph" w:customStyle="1" w:styleId="IntenseQuote1">
    <w:name w:val="Intense Quote1"/>
    <w:basedOn w:val="Normal"/>
    <w:next w:val="Normal"/>
    <w:uiPriority w:val="30"/>
    <w:rsid w:val="00B758A1"/>
    <w:pPr>
      <w:pBdr>
        <w:bottom w:val="single" w:sz="4" w:space="4" w:color="4472C4"/>
      </w:pBdr>
      <w:spacing w:before="200" w:after="280" w:line="240" w:lineRule="auto"/>
      <w:ind w:left="936" w:right="936"/>
      <w:jc w:val="both"/>
    </w:pPr>
    <w:rPr>
      <w:rFonts w:ascii="Arial" w:hAnsi="Arial"/>
      <w:b/>
      <w:bCs/>
      <w:i/>
      <w:iCs/>
      <w:color w:val="4472C4"/>
      <w:spacing w:val="-10"/>
      <w:sz w:val="20"/>
      <w:szCs w:val="20"/>
      <w:lang w:val="nl-BE"/>
    </w:rPr>
  </w:style>
  <w:style w:type="character" w:customStyle="1" w:styleId="IntenseQuoteChar">
    <w:name w:val="Intense Quote Char"/>
    <w:basedOn w:val="DefaultParagraphFont"/>
    <w:link w:val="IntenseQuote"/>
    <w:uiPriority w:val="30"/>
    <w:rsid w:val="00B758A1"/>
    <w:rPr>
      <w:rFonts w:ascii="Arial" w:hAnsi="Arial"/>
      <w:b/>
      <w:bCs/>
      <w:i/>
      <w:iCs/>
      <w:color w:val="4472C4"/>
      <w:spacing w:val="-10"/>
      <w:sz w:val="20"/>
      <w:szCs w:val="20"/>
      <w:lang w:val="nl-BE"/>
    </w:rPr>
  </w:style>
  <w:style w:type="table" w:customStyle="1" w:styleId="LightShading-Accent31">
    <w:name w:val="Light Shading - Accent 31"/>
    <w:basedOn w:val="TableNormal"/>
    <w:next w:val="LightShading-Accent3"/>
    <w:uiPriority w:val="60"/>
    <w:rsid w:val="00B758A1"/>
    <w:pPr>
      <w:spacing w:before="40" w:after="40" w:line="240" w:lineRule="auto"/>
    </w:pPr>
    <w:rPr>
      <w:rFonts w:ascii="Arial" w:hAnsi="Arial"/>
      <w:color w:val="7B7B7B"/>
      <w:sz w:val="18"/>
      <w:szCs w:val="20"/>
      <w:lang w:val="nl-BE"/>
    </w:rPr>
    <w:tblPr>
      <w:tblStyleRowBandSize w:val="1"/>
      <w:tblStyleColBandSize w:val="1"/>
      <w:tblBorders>
        <w:top w:val="single" w:sz="18" w:space="0" w:color="4472C4"/>
      </w:tblBorders>
    </w:tblPr>
    <w:tblStylePr w:type="firstRow">
      <w:pPr>
        <w:spacing w:before="0" w:after="0" w:line="240" w:lineRule="auto"/>
      </w:pPr>
      <w:rPr>
        <w:rFonts w:ascii="Yu Mincho" w:hAnsi="Yu Mincho"/>
        <w:b/>
        <w:bCs/>
        <w:sz w:val="18"/>
      </w:rPr>
      <w:tblPr/>
      <w:tcPr>
        <w:shd w:val="clear" w:color="auto" w:fill="FFC000"/>
      </w:tcPr>
    </w:tblStylePr>
    <w:tblStylePr w:type="lastRow">
      <w:pPr>
        <w:spacing w:before="0" w:after="0" w:line="240" w:lineRule="auto"/>
      </w:pPr>
      <w:rPr>
        <w:rFonts w:ascii="Yu Mincho" w:hAnsi="Yu Mincho"/>
        <w:b/>
        <w:bCs/>
      </w:rPr>
      <w:tblPr/>
      <w:tcPr>
        <w:tcBorders>
          <w:top w:val="single" w:sz="4" w:space="0" w:color="44546A"/>
          <w:left w:val="single" w:sz="4" w:space="0" w:color="44546A"/>
          <w:bottom w:val="single" w:sz="12" w:space="0" w:color="FFFFFF"/>
          <w:right w:val="single" w:sz="4" w:space="0" w:color="44546A"/>
          <w:insideH w:val="single" w:sz="4" w:space="0" w:color="44546A"/>
          <w:insideV w:val="single" w:sz="4" w:space="0" w:color="44546A"/>
        </w:tcBorders>
      </w:tcPr>
    </w:tblStylePr>
    <w:tblStylePr w:type="firstCol">
      <w:rPr>
        <w:b/>
        <w:bCs/>
      </w:rPr>
    </w:tblStylePr>
    <w:tblStylePr w:type="lastCol">
      <w:rPr>
        <w:b/>
        <w:bCs/>
      </w:rPr>
    </w:tblStylePr>
    <w:tblStylePr w:type="band2Vert">
      <w:rPr>
        <w:rFonts w:ascii="Yu Mincho" w:hAnsi="Yu Mincho"/>
      </w:rPr>
    </w:tblStylePr>
    <w:tblStylePr w:type="band1Horz">
      <w:tblPr/>
      <w:tcPr>
        <w:tcBorders>
          <w:left w:val="nil"/>
          <w:right w:val="nil"/>
          <w:insideH w:val="nil"/>
          <w:insideV w:val="nil"/>
        </w:tcBorders>
        <w:shd w:val="clear" w:color="auto" w:fill="E8E8E8"/>
      </w:tcPr>
    </w:tblStylePr>
  </w:style>
  <w:style w:type="table" w:customStyle="1" w:styleId="LightList-Accent31">
    <w:name w:val="Light List - Accent 31"/>
    <w:basedOn w:val="TableNormal"/>
    <w:next w:val="LightList-Accent3"/>
    <w:uiPriority w:val="99"/>
    <w:rsid w:val="00B758A1"/>
    <w:pPr>
      <w:spacing w:after="0" w:line="240" w:lineRule="auto"/>
    </w:pPr>
    <w:rPr>
      <w:rFonts w:ascii="Arial" w:hAnsi="Arial"/>
      <w:sz w:val="20"/>
      <w:szCs w:val="20"/>
      <w:lang w:val="nl-BE"/>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MediumShading1-Accent21">
    <w:name w:val="Medium Shading 1 - Accent 21"/>
    <w:basedOn w:val="TableNormal"/>
    <w:next w:val="MediumShading1-Accent2"/>
    <w:uiPriority w:val="63"/>
    <w:rsid w:val="00B758A1"/>
    <w:pPr>
      <w:spacing w:after="0" w:line="240" w:lineRule="auto"/>
    </w:pPr>
    <w:rPr>
      <w:rFonts w:ascii="Arial" w:hAnsi="Arial"/>
      <w:sz w:val="20"/>
      <w:szCs w:val="20"/>
      <w:lang w:val="nl-BE"/>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99"/>
    <w:rsid w:val="00B758A1"/>
    <w:pPr>
      <w:spacing w:after="0" w:line="240" w:lineRule="auto"/>
    </w:pPr>
    <w:rPr>
      <w:rFonts w:ascii="Arial" w:hAnsi="Arial"/>
      <w:sz w:val="20"/>
      <w:szCs w:val="20"/>
      <w:lang w:val="nl-BE"/>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customStyle="1" w:styleId="MediumList2-Accent21">
    <w:name w:val="Medium List 2 - Accent 21"/>
    <w:basedOn w:val="TableNormal"/>
    <w:next w:val="MediumList2-Accent2"/>
    <w:uiPriority w:val="99"/>
    <w:rsid w:val="00B758A1"/>
    <w:pPr>
      <w:spacing w:after="0" w:line="240" w:lineRule="auto"/>
    </w:pPr>
    <w:rPr>
      <w:rFonts w:ascii="Wingdings 3" w:eastAsia="Cambria Math" w:hAnsi="Wingdings 3" w:cs="Times New Roman"/>
      <w:color w:val="000000"/>
      <w:sz w:val="20"/>
      <w:szCs w:val="20"/>
      <w:lang w:val="nl-BE"/>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character" w:customStyle="1" w:styleId="SubtleReference1">
    <w:name w:val="Subtle Reference1"/>
    <w:basedOn w:val="DefaultParagraphFont"/>
    <w:uiPriority w:val="31"/>
    <w:rsid w:val="00B758A1"/>
    <w:rPr>
      <w:smallCaps/>
      <w:color w:val="BFBFBF"/>
      <w:u w:val="single"/>
    </w:rPr>
  </w:style>
  <w:style w:type="character" w:customStyle="1" w:styleId="IntenseReference1">
    <w:name w:val="Intense Reference1"/>
    <w:basedOn w:val="DefaultParagraphFont"/>
    <w:uiPriority w:val="32"/>
    <w:rsid w:val="00B758A1"/>
    <w:rPr>
      <w:b/>
      <w:bCs/>
      <w:smallCaps/>
      <w:color w:val="BFBFBF"/>
      <w:spacing w:val="5"/>
      <w:u w:val="single"/>
    </w:rPr>
  </w:style>
  <w:style w:type="table" w:customStyle="1" w:styleId="ColorfulList-Accent31">
    <w:name w:val="Colorful List - Accent 31"/>
    <w:basedOn w:val="TableNormal"/>
    <w:next w:val="ColorfulList-Accent3"/>
    <w:uiPriority w:val="72"/>
    <w:rsid w:val="00B758A1"/>
    <w:pPr>
      <w:spacing w:after="0" w:line="240" w:lineRule="auto"/>
    </w:pPr>
    <w:rPr>
      <w:rFonts w:ascii="Arial" w:hAnsi="Arial"/>
      <w:color w:val="000000"/>
      <w:sz w:val="20"/>
      <w:szCs w:val="20"/>
      <w:lang w:val="nl-BE"/>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paragraph" w:styleId="BodyText2">
    <w:name w:val="Body Text 2"/>
    <w:basedOn w:val="Normal"/>
    <w:link w:val="BodyText2Char"/>
    <w:uiPriority w:val="1"/>
    <w:rsid w:val="00B758A1"/>
    <w:pPr>
      <w:spacing w:after="120" w:line="480" w:lineRule="auto"/>
      <w:jc w:val="both"/>
    </w:pPr>
    <w:rPr>
      <w:rFonts w:ascii="Arial" w:hAnsi="Arial"/>
      <w:spacing w:val="-10"/>
      <w:sz w:val="20"/>
      <w:szCs w:val="20"/>
      <w:lang w:val="nl-BE"/>
    </w:rPr>
  </w:style>
  <w:style w:type="character" w:customStyle="1" w:styleId="BodyText2Char">
    <w:name w:val="Body Text 2 Char"/>
    <w:basedOn w:val="DefaultParagraphFont"/>
    <w:link w:val="BodyText2"/>
    <w:uiPriority w:val="1"/>
    <w:rsid w:val="00B758A1"/>
    <w:rPr>
      <w:rFonts w:ascii="Arial" w:hAnsi="Arial"/>
      <w:spacing w:val="-10"/>
      <w:sz w:val="20"/>
      <w:szCs w:val="20"/>
      <w:lang w:val="nl-BE"/>
    </w:rPr>
  </w:style>
  <w:style w:type="paragraph" w:styleId="BodyTextIndent">
    <w:name w:val="Body Text Indent"/>
    <w:basedOn w:val="Normal"/>
    <w:link w:val="BodyTextIndentChar"/>
    <w:uiPriority w:val="1"/>
    <w:rsid w:val="00B758A1"/>
    <w:pPr>
      <w:spacing w:after="120" w:line="240" w:lineRule="auto"/>
      <w:ind w:left="283"/>
      <w:jc w:val="both"/>
    </w:pPr>
    <w:rPr>
      <w:rFonts w:ascii="Arial" w:hAnsi="Arial"/>
      <w:spacing w:val="-10"/>
      <w:sz w:val="20"/>
      <w:szCs w:val="20"/>
      <w:lang w:val="nl-BE"/>
    </w:rPr>
  </w:style>
  <w:style w:type="character" w:customStyle="1" w:styleId="BodyTextIndentChar">
    <w:name w:val="Body Text Indent Char"/>
    <w:basedOn w:val="DefaultParagraphFont"/>
    <w:link w:val="BodyTextIndent"/>
    <w:uiPriority w:val="1"/>
    <w:rsid w:val="00B758A1"/>
    <w:rPr>
      <w:rFonts w:ascii="Arial" w:hAnsi="Arial"/>
      <w:spacing w:val="-10"/>
      <w:sz w:val="20"/>
      <w:szCs w:val="20"/>
      <w:lang w:val="nl-BE"/>
    </w:rPr>
  </w:style>
  <w:style w:type="paragraph" w:styleId="ListNumber">
    <w:name w:val="List Number"/>
    <w:basedOn w:val="Normal"/>
    <w:uiPriority w:val="99"/>
    <w:rsid w:val="00B758A1"/>
    <w:pPr>
      <w:numPr>
        <w:numId w:val="20"/>
      </w:numPr>
      <w:spacing w:after="60" w:line="240" w:lineRule="auto"/>
      <w:contextualSpacing/>
    </w:pPr>
    <w:rPr>
      <w:rFonts w:ascii="Arial" w:eastAsia="Times New Roman" w:hAnsi="Arial" w:cs="Times New Roman"/>
      <w:spacing w:val="-10"/>
      <w:szCs w:val="20"/>
      <w:lang w:val="nl-BE" w:eastAsia="de-DE"/>
    </w:rPr>
  </w:style>
  <w:style w:type="paragraph" w:styleId="ListBullet2">
    <w:name w:val="List Bullet 2"/>
    <w:basedOn w:val="Normal"/>
    <w:uiPriority w:val="99"/>
    <w:qFormat/>
    <w:rsid w:val="00B758A1"/>
    <w:pPr>
      <w:numPr>
        <w:numId w:val="21"/>
      </w:numPr>
      <w:spacing w:after="60" w:line="240" w:lineRule="auto"/>
      <w:contextualSpacing/>
    </w:pPr>
    <w:rPr>
      <w:rFonts w:ascii="Arial" w:eastAsia="Times New Roman" w:hAnsi="Arial" w:cs="Times New Roman"/>
      <w:spacing w:val="-10"/>
      <w:szCs w:val="20"/>
      <w:lang w:val="nl-BE" w:eastAsia="de-DE"/>
    </w:rPr>
  </w:style>
  <w:style w:type="paragraph" w:styleId="ListContinue2">
    <w:name w:val="List Continue 2"/>
    <w:basedOn w:val="Normal"/>
    <w:uiPriority w:val="99"/>
    <w:rsid w:val="00B758A1"/>
    <w:pPr>
      <w:spacing w:after="120" w:line="240" w:lineRule="auto"/>
      <w:ind w:left="566"/>
      <w:contextualSpacing/>
      <w:jc w:val="both"/>
    </w:pPr>
    <w:rPr>
      <w:rFonts w:ascii="Arial" w:hAnsi="Arial"/>
      <w:spacing w:val="-10"/>
      <w:sz w:val="20"/>
      <w:szCs w:val="20"/>
      <w:lang w:val="nl-BE"/>
    </w:rPr>
  </w:style>
  <w:style w:type="paragraph" w:styleId="ListContinue3">
    <w:name w:val="List Continue 3"/>
    <w:basedOn w:val="Normal"/>
    <w:uiPriority w:val="99"/>
    <w:rsid w:val="00B758A1"/>
    <w:pPr>
      <w:spacing w:after="120" w:line="240" w:lineRule="auto"/>
      <w:ind w:left="849"/>
      <w:contextualSpacing/>
      <w:jc w:val="both"/>
    </w:pPr>
    <w:rPr>
      <w:rFonts w:ascii="Arial" w:hAnsi="Arial"/>
      <w:spacing w:val="-10"/>
      <w:sz w:val="20"/>
      <w:szCs w:val="20"/>
      <w:lang w:val="nl-BE"/>
    </w:rPr>
  </w:style>
  <w:style w:type="paragraph" w:styleId="ListNumber3">
    <w:name w:val="List Number 3"/>
    <w:basedOn w:val="Normal"/>
    <w:uiPriority w:val="99"/>
    <w:rsid w:val="00B758A1"/>
    <w:pPr>
      <w:numPr>
        <w:numId w:val="22"/>
      </w:numPr>
      <w:tabs>
        <w:tab w:val="num" w:pos="360"/>
      </w:tabs>
      <w:spacing w:after="60" w:line="240" w:lineRule="auto"/>
      <w:contextualSpacing/>
    </w:pPr>
    <w:rPr>
      <w:rFonts w:ascii="Arial" w:eastAsia="Times New Roman" w:hAnsi="Arial" w:cs="Times New Roman"/>
      <w:spacing w:val="-10"/>
      <w:szCs w:val="20"/>
      <w:lang w:val="nl-BE" w:eastAsia="de-DE"/>
    </w:rPr>
  </w:style>
  <w:style w:type="paragraph" w:styleId="ListNumber4">
    <w:name w:val="List Number 4"/>
    <w:basedOn w:val="Normal"/>
    <w:uiPriority w:val="99"/>
    <w:rsid w:val="00B758A1"/>
    <w:pPr>
      <w:numPr>
        <w:numId w:val="23"/>
      </w:numPr>
      <w:tabs>
        <w:tab w:val="num" w:pos="360"/>
      </w:tabs>
      <w:spacing w:after="60" w:line="240" w:lineRule="auto"/>
      <w:contextualSpacing/>
    </w:pPr>
    <w:rPr>
      <w:rFonts w:ascii="Arial" w:eastAsia="Times New Roman" w:hAnsi="Arial" w:cs="Times New Roman"/>
      <w:spacing w:val="-10"/>
      <w:szCs w:val="20"/>
      <w:lang w:val="nl-BE" w:eastAsia="de-DE"/>
    </w:rPr>
  </w:style>
  <w:style w:type="paragraph" w:customStyle="1" w:styleId="Style3">
    <w:name w:val="Style3"/>
    <w:basedOn w:val="Normal"/>
    <w:next w:val="Normal"/>
    <w:link w:val="Style3Char"/>
    <w:autoRedefine/>
    <w:uiPriority w:val="99"/>
    <w:qFormat/>
    <w:rsid w:val="00B758A1"/>
    <w:pPr>
      <w:keepNext/>
      <w:tabs>
        <w:tab w:val="left" w:pos="1080"/>
        <w:tab w:val="num" w:pos="1277"/>
      </w:tabs>
      <w:overflowPunct w:val="0"/>
      <w:autoSpaceDE w:val="0"/>
      <w:autoSpaceDN w:val="0"/>
      <w:adjustRightInd w:val="0"/>
      <w:spacing w:before="360" w:after="240" w:line="240" w:lineRule="auto"/>
      <w:ind w:left="1277" w:hanging="851"/>
      <w:textAlignment w:val="baseline"/>
    </w:pPr>
    <w:rPr>
      <w:rFonts w:ascii="Verdana" w:eastAsia="Times New Roman" w:hAnsi="Verdana" w:cs="Times New Roman"/>
      <w:b/>
      <w:color w:val="5F5F5F"/>
      <w:spacing w:val="-10"/>
      <w:szCs w:val="24"/>
      <w:lang w:val="nl-BE" w:eastAsia="de-DE"/>
    </w:rPr>
  </w:style>
  <w:style w:type="paragraph" w:styleId="ListNumber5">
    <w:name w:val="List Number 5"/>
    <w:basedOn w:val="Normal"/>
    <w:uiPriority w:val="99"/>
    <w:rsid w:val="00B758A1"/>
    <w:pPr>
      <w:tabs>
        <w:tab w:val="num" w:pos="1492"/>
      </w:tabs>
      <w:spacing w:after="60" w:line="240" w:lineRule="auto"/>
      <w:ind w:left="1492" w:hanging="360"/>
      <w:contextualSpacing/>
      <w:jc w:val="both"/>
    </w:pPr>
    <w:rPr>
      <w:rFonts w:ascii="Arial" w:hAnsi="Arial"/>
      <w:spacing w:val="-10"/>
      <w:sz w:val="20"/>
      <w:szCs w:val="20"/>
      <w:lang w:val="nl-BE"/>
    </w:rPr>
  </w:style>
  <w:style w:type="paragraph" w:styleId="MacroText">
    <w:name w:val="macro"/>
    <w:link w:val="MacroTextChar"/>
    <w:uiPriority w:val="99"/>
    <w:rsid w:val="00B758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Yu Gothic UI Light" w:hAnsi="Yu Gothic UI Light" w:cs="Yu Gothic UI Light"/>
      <w:sz w:val="20"/>
      <w:szCs w:val="20"/>
      <w:lang w:val="nl-BE"/>
    </w:rPr>
  </w:style>
  <w:style w:type="character" w:customStyle="1" w:styleId="MacroTextChar">
    <w:name w:val="Macro Text Char"/>
    <w:basedOn w:val="DefaultParagraphFont"/>
    <w:link w:val="MacroText"/>
    <w:uiPriority w:val="99"/>
    <w:rsid w:val="00B758A1"/>
    <w:rPr>
      <w:rFonts w:ascii="Yu Gothic UI Light" w:hAnsi="Yu Gothic UI Light" w:cs="Yu Gothic UI Light"/>
      <w:sz w:val="20"/>
      <w:szCs w:val="20"/>
      <w:lang w:val="nl-BE"/>
    </w:rPr>
  </w:style>
  <w:style w:type="paragraph" w:customStyle="1" w:styleId="Style4bis-smallerparagraph">
    <w:name w:val="Style4 bis - smaller paragraph"/>
    <w:basedOn w:val="Normal"/>
    <w:link w:val="Style4bis-smallerparagraphChar"/>
    <w:uiPriority w:val="99"/>
    <w:qFormat/>
    <w:rsid w:val="00B758A1"/>
    <w:pPr>
      <w:keepNext/>
      <w:overflowPunct w:val="0"/>
      <w:autoSpaceDE w:val="0"/>
      <w:autoSpaceDN w:val="0"/>
      <w:adjustRightInd w:val="0"/>
      <w:spacing w:before="200" w:after="120" w:line="240" w:lineRule="auto"/>
      <w:textAlignment w:val="baseline"/>
    </w:pPr>
    <w:rPr>
      <w:rFonts w:ascii="Verdana" w:eastAsia="Times New Roman" w:hAnsi="Verdana" w:cs="Times New Roman"/>
      <w:b/>
      <w:i/>
      <w:noProof/>
      <w:color w:val="808080"/>
      <w:spacing w:val="-10"/>
      <w:szCs w:val="20"/>
      <w:lang w:val="nl-BE" w:eastAsia="nl-BE"/>
    </w:rPr>
  </w:style>
  <w:style w:type="character" w:customStyle="1" w:styleId="Style4bis-smallerparagraphChar">
    <w:name w:val="Style4 bis - smaller paragraph Char"/>
    <w:basedOn w:val="DefaultParagraphFont"/>
    <w:link w:val="Style4bis-smallerparagraph"/>
    <w:uiPriority w:val="99"/>
    <w:rsid w:val="00B758A1"/>
    <w:rPr>
      <w:rFonts w:ascii="Verdana" w:eastAsia="Times New Roman" w:hAnsi="Verdana" w:cs="Times New Roman"/>
      <w:b/>
      <w:i/>
      <w:noProof/>
      <w:color w:val="808080"/>
      <w:spacing w:val="-10"/>
      <w:szCs w:val="20"/>
      <w:lang w:val="nl-BE" w:eastAsia="nl-BE"/>
    </w:rPr>
  </w:style>
  <w:style w:type="paragraph" w:customStyle="1" w:styleId="Style4">
    <w:name w:val="Style4"/>
    <w:basedOn w:val="Heading5"/>
    <w:link w:val="Style4Char"/>
    <w:uiPriority w:val="99"/>
    <w:qFormat/>
    <w:rsid w:val="00B758A1"/>
    <w:pPr>
      <w:keepLines w:val="0"/>
      <w:spacing w:before="240" w:after="120" w:line="240" w:lineRule="atLeast"/>
      <w:ind w:left="1008" w:hanging="1008"/>
    </w:pPr>
    <w:rPr>
      <w:rFonts w:eastAsia="Times New Roman" w:cs="Times New Roman"/>
      <w:bCs/>
      <w:iCs/>
      <w:noProof/>
      <w:color w:val="262626"/>
      <w:szCs w:val="20"/>
      <w:u w:val="none"/>
      <w:lang w:val="nl-BE" w:eastAsia="nl-BE"/>
    </w:rPr>
  </w:style>
  <w:style w:type="paragraph" w:customStyle="1" w:styleId="Tableheading1">
    <w:name w:val="Table heading 1"/>
    <w:basedOn w:val="Normal"/>
    <w:next w:val="Normal"/>
    <w:uiPriority w:val="1"/>
    <w:qFormat/>
    <w:rsid w:val="00B758A1"/>
    <w:pPr>
      <w:keepNext/>
      <w:overflowPunct w:val="0"/>
      <w:autoSpaceDE w:val="0"/>
      <w:autoSpaceDN w:val="0"/>
      <w:adjustRightInd w:val="0"/>
      <w:spacing w:after="0" w:line="260" w:lineRule="atLeast"/>
      <w:textAlignment w:val="baseline"/>
    </w:pPr>
    <w:rPr>
      <w:rFonts w:ascii="Arial" w:eastAsia="Times New Roman" w:hAnsi="Arial" w:cs="Times New Roman"/>
      <w:b/>
      <w:color w:val="FFFFFF"/>
      <w:spacing w:val="-10"/>
      <w:kern w:val="12"/>
      <w:szCs w:val="20"/>
      <w:lang w:val="nl-NL" w:eastAsia="de-DE"/>
    </w:rPr>
  </w:style>
  <w:style w:type="table" w:customStyle="1" w:styleId="LightShading-Accent312">
    <w:name w:val="Light Shading - Accent 312"/>
    <w:basedOn w:val="TableNormal"/>
    <w:next w:val="LightShading-Accent3"/>
    <w:uiPriority w:val="60"/>
    <w:rsid w:val="00B758A1"/>
    <w:pPr>
      <w:spacing w:after="0" w:line="240" w:lineRule="auto"/>
    </w:pPr>
    <w:rPr>
      <w:rFonts w:ascii="Arial" w:hAnsi="Arial"/>
      <w:color w:val="7B7B7B"/>
      <w:sz w:val="20"/>
      <w:szCs w:val="20"/>
      <w:lang w:val="nl-BE"/>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customStyle="1" w:styleId="MessageHeader1">
    <w:name w:val="Message Header1"/>
    <w:basedOn w:val="Normal"/>
    <w:next w:val="MessageHeader"/>
    <w:link w:val="MessageHeaderChar"/>
    <w:uiPriority w:val="99"/>
    <w:rsid w:val="00B758A1"/>
    <w:pPr>
      <w:framePr w:wrap="around" w:vAnchor="text" w:hAnchor="text" w:y="1"/>
      <w:pBdr>
        <w:top w:val="single" w:sz="6" w:space="1" w:color="FFC000"/>
        <w:left w:val="single" w:sz="6" w:space="1" w:color="FFC000"/>
        <w:bottom w:val="single" w:sz="6" w:space="1" w:color="FFC000"/>
        <w:right w:val="single" w:sz="6" w:space="1" w:color="FFC000"/>
      </w:pBdr>
      <w:shd w:val="clear" w:color="auto" w:fill="FBE4D5"/>
      <w:spacing w:after="0" w:line="240" w:lineRule="auto"/>
    </w:pPr>
    <w:rPr>
      <w:rFonts w:ascii="Arial" w:eastAsia="Cambria Math" w:hAnsi="Arial" w:cs="Times New Roman"/>
      <w:spacing w:val="-10"/>
      <w:sz w:val="18"/>
      <w:szCs w:val="24"/>
      <w:lang w:val="nl-BE" w:eastAsia="de-DE"/>
    </w:rPr>
  </w:style>
  <w:style w:type="character" w:customStyle="1" w:styleId="MessageHeaderChar">
    <w:name w:val="Message Header Char"/>
    <w:basedOn w:val="DefaultParagraphFont"/>
    <w:link w:val="MessageHeader1"/>
    <w:uiPriority w:val="99"/>
    <w:rsid w:val="00B758A1"/>
    <w:rPr>
      <w:rFonts w:ascii="Arial" w:eastAsia="Cambria Math" w:hAnsi="Arial" w:cs="Times New Roman"/>
      <w:spacing w:val="-10"/>
      <w:sz w:val="18"/>
      <w:szCs w:val="24"/>
      <w:shd w:val="clear" w:color="auto" w:fill="FBE4D5"/>
      <w:lang w:val="nl-BE" w:eastAsia="de-DE"/>
    </w:rPr>
  </w:style>
  <w:style w:type="paragraph" w:styleId="PlainText">
    <w:name w:val="Plain Text"/>
    <w:basedOn w:val="Normal"/>
    <w:link w:val="PlainTextChar"/>
    <w:uiPriority w:val="99"/>
    <w:rsid w:val="00B758A1"/>
    <w:pPr>
      <w:spacing w:after="0" w:line="240" w:lineRule="auto"/>
      <w:jc w:val="both"/>
    </w:pPr>
    <w:rPr>
      <w:rFonts w:ascii="Arial" w:hAnsi="Arial" w:cs="Yu Gothic UI Light"/>
      <w:spacing w:val="-10"/>
      <w:sz w:val="21"/>
      <w:szCs w:val="21"/>
      <w:lang w:val="nl-BE"/>
    </w:rPr>
  </w:style>
  <w:style w:type="character" w:customStyle="1" w:styleId="PlainTextChar">
    <w:name w:val="Plain Text Char"/>
    <w:basedOn w:val="DefaultParagraphFont"/>
    <w:link w:val="PlainText"/>
    <w:uiPriority w:val="99"/>
    <w:rsid w:val="00B758A1"/>
    <w:rPr>
      <w:rFonts w:ascii="Arial" w:hAnsi="Arial" w:cs="Yu Gothic UI Light"/>
      <w:spacing w:val="-10"/>
      <w:sz w:val="21"/>
      <w:szCs w:val="21"/>
      <w:lang w:val="nl-BE"/>
    </w:rPr>
  </w:style>
  <w:style w:type="table" w:customStyle="1" w:styleId="Style2">
    <w:name w:val="Style2"/>
    <w:basedOn w:val="TableNormal"/>
    <w:uiPriority w:val="99"/>
    <w:rsid w:val="00B758A1"/>
    <w:pPr>
      <w:spacing w:after="0" w:line="240" w:lineRule="auto"/>
    </w:pPr>
    <w:rPr>
      <w:rFonts w:ascii="Arial" w:hAnsi="Arial"/>
      <w:sz w:val="20"/>
      <w:szCs w:val="20"/>
      <w:lang w:val="nl-BE"/>
    </w:rPr>
    <w:tblPr/>
  </w:style>
  <w:style w:type="paragraph" w:customStyle="1" w:styleId="BoxBullet0">
    <w:name w:val="Box Bullet"/>
    <w:basedOn w:val="ListParagraph"/>
    <w:link w:val="BoxBulletChar"/>
    <w:qFormat/>
    <w:rsid w:val="00B758A1"/>
    <w:pPr>
      <w:spacing w:before="120" w:after="120"/>
      <w:ind w:left="1434" w:hanging="357"/>
      <w:contextualSpacing w:val="0"/>
      <w:jc w:val="left"/>
    </w:pPr>
    <w:rPr>
      <w:rFonts w:ascii="Arial" w:hAnsi="Arial"/>
      <w:iCs/>
      <w:spacing w:val="-10"/>
      <w:sz w:val="18"/>
      <w:szCs w:val="18"/>
      <w:lang w:val="en-US" w:eastAsia="en-GB"/>
    </w:rPr>
  </w:style>
  <w:style w:type="character" w:customStyle="1" w:styleId="BoxBulletChar">
    <w:name w:val="Box Bullet Char"/>
    <w:basedOn w:val="DefaultParagraphFont"/>
    <w:link w:val="BoxBullet0"/>
    <w:rsid w:val="00B758A1"/>
    <w:rPr>
      <w:rFonts w:ascii="Arial" w:eastAsia="Times New Roman" w:hAnsi="Arial" w:cs="Times New Roman"/>
      <w:iCs/>
      <w:spacing w:val="-10"/>
      <w:sz w:val="18"/>
      <w:szCs w:val="18"/>
      <w:lang w:val="en-US" w:eastAsia="en-GB"/>
    </w:rPr>
  </w:style>
  <w:style w:type="table" w:customStyle="1" w:styleId="Style5">
    <w:name w:val="Style5"/>
    <w:basedOn w:val="TableNormal"/>
    <w:uiPriority w:val="99"/>
    <w:rsid w:val="00B758A1"/>
    <w:pPr>
      <w:spacing w:after="0" w:line="240" w:lineRule="auto"/>
    </w:pPr>
    <w:rPr>
      <w:rFonts w:ascii="Arial" w:hAnsi="Arial"/>
      <w:sz w:val="20"/>
      <w:szCs w:val="20"/>
      <w:lang w:val="nl-BE"/>
    </w:rPr>
    <w:tblPr/>
    <w:tblStylePr w:type="firstRow">
      <w:rPr>
        <w:rFonts w:ascii="Yu Mincho" w:hAnsi="Yu Mincho"/>
        <w:sz w:val="18"/>
      </w:rPr>
      <w:tblPr/>
      <w:tcPr>
        <w:tcBorders>
          <w:top w:val="nil"/>
          <w:left w:val="nil"/>
          <w:bottom w:val="nil"/>
          <w:right w:val="nil"/>
          <w:insideH w:val="nil"/>
          <w:insideV w:val="nil"/>
          <w:tl2br w:val="nil"/>
          <w:tr2bl w:val="nil"/>
        </w:tcBorders>
      </w:tcPr>
    </w:tblStylePr>
  </w:style>
  <w:style w:type="table" w:customStyle="1" w:styleId="LightShading-Accent32">
    <w:name w:val="Light Shading - Accent 32"/>
    <w:basedOn w:val="TableNormal"/>
    <w:next w:val="LightShading-Accent3"/>
    <w:uiPriority w:val="99"/>
    <w:rsid w:val="00B758A1"/>
    <w:pPr>
      <w:spacing w:after="0" w:line="240" w:lineRule="auto"/>
    </w:pPr>
    <w:rPr>
      <w:rFonts w:ascii="Wingdings 3" w:eastAsia="Wingdings 3" w:hAnsi="Wingdings 3" w:cs="Times New Roman"/>
      <w:color w:val="727272"/>
      <w:sz w:val="20"/>
      <w:szCs w:val="20"/>
      <w:lang w:val="en-GB" w:eastAsia="en-GB"/>
    </w:rPr>
    <w:tblPr>
      <w:tblStyleRowBandSize w:val="1"/>
      <w:tblStyleColBandSize w:val="1"/>
      <w:tblBorders>
        <w:top w:val="single" w:sz="8" w:space="0" w:color="999999"/>
        <w:bottom w:val="single" w:sz="8" w:space="0" w:color="999999"/>
      </w:tblBorders>
    </w:tblPr>
    <w:tblStylePr w:type="firstRow">
      <w:pPr>
        <w:spacing w:before="0" w:after="0"/>
      </w:pPr>
      <w:rPr>
        <w:rFonts w:cs="Times New Roman"/>
        <w:b/>
        <w:bCs/>
      </w:rPr>
      <w:tblPr/>
      <w:tcPr>
        <w:tcBorders>
          <w:top w:val="single" w:sz="8" w:space="0" w:color="999999"/>
          <w:left w:val="nil"/>
          <w:bottom w:val="single" w:sz="8" w:space="0" w:color="999999"/>
          <w:right w:val="nil"/>
          <w:insideH w:val="nil"/>
          <w:insideV w:val="nil"/>
        </w:tcBorders>
      </w:tcPr>
    </w:tblStylePr>
    <w:tblStylePr w:type="lastRow">
      <w:pPr>
        <w:spacing w:before="0" w:after="0"/>
      </w:pPr>
      <w:rPr>
        <w:rFonts w:cs="Times New Roman"/>
        <w:b/>
        <w:bCs/>
      </w:rPr>
      <w:tblPr/>
      <w:tcPr>
        <w:tcBorders>
          <w:top w:val="single" w:sz="8" w:space="0" w:color="999999"/>
          <w:left w:val="nil"/>
          <w:bottom w:val="single" w:sz="8" w:space="0" w:color="99999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5E5E5"/>
      </w:tcPr>
    </w:tblStylePr>
    <w:tblStylePr w:type="band1Horz">
      <w:rPr>
        <w:rFonts w:cs="Times New Roman"/>
      </w:rPr>
      <w:tblPr/>
      <w:tcPr>
        <w:tcBorders>
          <w:left w:val="nil"/>
          <w:right w:val="nil"/>
          <w:insideH w:val="nil"/>
          <w:insideV w:val="nil"/>
        </w:tcBorders>
        <w:shd w:val="clear" w:color="auto" w:fill="E5E5E5"/>
      </w:tcPr>
    </w:tblStylePr>
  </w:style>
  <w:style w:type="table" w:customStyle="1" w:styleId="LightList-Accent311">
    <w:name w:val="Light List - Accent 311"/>
    <w:basedOn w:val="TableNormal"/>
    <w:next w:val="LightList-Accent3"/>
    <w:uiPriority w:val="99"/>
    <w:rsid w:val="00B758A1"/>
    <w:pPr>
      <w:spacing w:after="0" w:line="240" w:lineRule="auto"/>
    </w:pPr>
    <w:rPr>
      <w:rFonts w:ascii="Wingdings 3" w:eastAsia="Wingdings 3" w:hAnsi="Wingdings 3" w:cs="Times New Roman"/>
      <w:sz w:val="20"/>
      <w:szCs w:val="20"/>
      <w:lang w:val="en-GB" w:eastAsia="en-GB"/>
    </w:rPr>
    <w:tblPr>
      <w:tblStyleRowBandSize w:val="1"/>
      <w:tblStyleColBandSize w:val="1"/>
      <w:tblBorders>
        <w:top w:val="single" w:sz="8" w:space="0" w:color="999999"/>
        <w:left w:val="single" w:sz="8" w:space="0" w:color="999999"/>
        <w:bottom w:val="single" w:sz="8" w:space="0" w:color="999999"/>
        <w:right w:val="single" w:sz="8" w:space="0" w:color="999999"/>
      </w:tblBorders>
    </w:tblPr>
    <w:tblStylePr w:type="firstRow">
      <w:pPr>
        <w:spacing w:before="0" w:after="0"/>
      </w:pPr>
      <w:rPr>
        <w:rFonts w:cs="Times New Roman"/>
        <w:b/>
        <w:bCs/>
        <w:color w:val="646464"/>
      </w:rPr>
      <w:tblPr/>
      <w:tcPr>
        <w:shd w:val="clear" w:color="auto" w:fill="999999"/>
      </w:tcPr>
    </w:tblStylePr>
    <w:tblStylePr w:type="lastRow">
      <w:pPr>
        <w:spacing w:before="0" w:after="0"/>
      </w:pPr>
      <w:rPr>
        <w:rFonts w:cs="Times New Roman"/>
        <w:b/>
        <w:bCs/>
      </w:rPr>
      <w:tblPr/>
      <w:tcPr>
        <w:tcBorders>
          <w:top w:val="double" w:sz="6" w:space="0" w:color="999999"/>
          <w:left w:val="single" w:sz="8" w:space="0" w:color="999999"/>
          <w:bottom w:val="single" w:sz="8" w:space="0" w:color="999999"/>
          <w:right w:val="single" w:sz="8" w:space="0" w:color="99999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99999"/>
          <w:left w:val="single" w:sz="8" w:space="0" w:color="999999"/>
          <w:bottom w:val="single" w:sz="8" w:space="0" w:color="999999"/>
          <w:right w:val="single" w:sz="8" w:space="0" w:color="999999"/>
        </w:tcBorders>
      </w:tcPr>
    </w:tblStylePr>
    <w:tblStylePr w:type="band1Horz">
      <w:rPr>
        <w:rFonts w:cs="Times New Roman"/>
      </w:rPr>
      <w:tblPr/>
      <w:tcPr>
        <w:tcBorders>
          <w:top w:val="single" w:sz="8" w:space="0" w:color="999999"/>
          <w:left w:val="single" w:sz="8" w:space="0" w:color="999999"/>
          <w:bottom w:val="single" w:sz="8" w:space="0" w:color="999999"/>
          <w:right w:val="single" w:sz="8" w:space="0" w:color="999999"/>
        </w:tcBorders>
      </w:tcPr>
    </w:tblStylePr>
  </w:style>
  <w:style w:type="table" w:customStyle="1" w:styleId="MediumShading1-Accent311">
    <w:name w:val="Medium Shading 1 - Accent 311"/>
    <w:basedOn w:val="TableNormal"/>
    <w:next w:val="MediumShading1-Accent3"/>
    <w:uiPriority w:val="99"/>
    <w:rsid w:val="00B758A1"/>
    <w:pPr>
      <w:spacing w:after="0" w:line="240" w:lineRule="auto"/>
    </w:pPr>
    <w:rPr>
      <w:rFonts w:ascii="Arial" w:eastAsia="Wingdings 3" w:hAnsi="Arial" w:cs="Times New Roman"/>
      <w:sz w:val="18"/>
      <w:szCs w:val="20"/>
      <w:lang w:val="en-GB" w:eastAsia="en-GB"/>
    </w:rPr>
    <w:tblPr>
      <w:tblStyleRowBandSize w:val="1"/>
      <w:tblStyleColBandSize w:val="1"/>
      <w:tblBorders>
        <w:top w:val="single" w:sz="8" w:space="0" w:color="B2B2B2"/>
        <w:left w:val="single" w:sz="8" w:space="0" w:color="B2B2B2"/>
        <w:bottom w:val="single" w:sz="8" w:space="0" w:color="B2B2B2"/>
        <w:right w:val="single" w:sz="8" w:space="0" w:color="B2B2B2"/>
        <w:insideH w:val="single" w:sz="8" w:space="0" w:color="B2B2B2"/>
      </w:tblBorders>
    </w:tblPr>
    <w:tblStylePr w:type="firstRow">
      <w:pPr>
        <w:spacing w:before="0" w:after="0"/>
      </w:pPr>
      <w:rPr>
        <w:rFonts w:cs="Times New Roman"/>
        <w:b/>
        <w:bCs/>
        <w:color w:val="646464"/>
      </w:rPr>
      <w:tblPr/>
      <w:tcPr>
        <w:tcBorders>
          <w:top w:val="single" w:sz="8" w:space="0" w:color="B2B2B2"/>
          <w:left w:val="single" w:sz="8" w:space="0" w:color="B2B2B2"/>
          <w:bottom w:val="single" w:sz="8" w:space="0" w:color="B2B2B2"/>
          <w:right w:val="single" w:sz="8" w:space="0" w:color="B2B2B2"/>
          <w:insideH w:val="nil"/>
          <w:insideV w:val="nil"/>
        </w:tcBorders>
        <w:shd w:val="clear" w:color="auto" w:fill="999999"/>
      </w:tcPr>
    </w:tblStylePr>
    <w:tblStylePr w:type="lastRow">
      <w:pPr>
        <w:spacing w:before="0" w:after="0"/>
      </w:pPr>
      <w:rPr>
        <w:rFonts w:cs="Times New Roman"/>
        <w:b/>
        <w:bCs/>
      </w:rPr>
      <w:tblPr/>
      <w:tcPr>
        <w:tcBorders>
          <w:top w:val="double" w:sz="6" w:space="0" w:color="B2B2B2"/>
          <w:left w:val="single" w:sz="8" w:space="0" w:color="B2B2B2"/>
          <w:bottom w:val="single" w:sz="8" w:space="0" w:color="B2B2B2"/>
          <w:right w:val="single" w:sz="8" w:space="0" w:color="B2B2B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E5E5"/>
      </w:tcPr>
    </w:tblStylePr>
    <w:tblStylePr w:type="band1Horz">
      <w:rPr>
        <w:rFonts w:cs="Times New Roman"/>
      </w:rPr>
      <w:tblPr/>
      <w:tcPr>
        <w:tcBorders>
          <w:insideH w:val="nil"/>
          <w:insideV w:val="nil"/>
        </w:tcBorders>
        <w:shd w:val="clear" w:color="auto" w:fill="E5E5E5"/>
      </w:tcPr>
    </w:tblStylePr>
    <w:tblStylePr w:type="band2Horz">
      <w:rPr>
        <w:rFonts w:cs="Times New Roman"/>
      </w:rPr>
      <w:tblPr/>
      <w:tcPr>
        <w:tcBorders>
          <w:insideH w:val="nil"/>
          <w:insideV w:val="nil"/>
        </w:tcBorders>
      </w:tcPr>
    </w:tblStylePr>
  </w:style>
  <w:style w:type="table" w:customStyle="1" w:styleId="MediumList2-Accent211">
    <w:name w:val="Medium List 2 - Accent 211"/>
    <w:basedOn w:val="TableNormal"/>
    <w:uiPriority w:val="99"/>
    <w:rsid w:val="00B758A1"/>
    <w:pPr>
      <w:spacing w:after="0" w:line="240" w:lineRule="auto"/>
    </w:pPr>
    <w:rPr>
      <w:rFonts w:ascii="Arial" w:eastAsia="Times New Roman" w:hAnsi="Arial" w:cs="Times New Roman"/>
      <w:color w:val="000000"/>
      <w:sz w:val="18"/>
      <w:szCs w:val="20"/>
      <w:lang w:val="en-GB" w:eastAsia="en-GB"/>
    </w:rPr>
    <w:tblPr>
      <w:tblStyleRowBandSize w:val="1"/>
      <w:tblStyleColBandSize w:val="1"/>
      <w:tblBorders>
        <w:top w:val="single" w:sz="8" w:space="0" w:color="44546A"/>
        <w:left w:val="single" w:sz="8" w:space="0" w:color="44546A"/>
        <w:bottom w:val="single" w:sz="8" w:space="0" w:color="44546A"/>
        <w:right w:val="single" w:sz="8" w:space="0" w:color="44546A"/>
        <w:insideH w:val="single" w:sz="8" w:space="0" w:color="44546A"/>
        <w:insideV w:val="single" w:sz="8" w:space="0" w:color="44546A"/>
      </w:tblBorders>
    </w:tblPr>
    <w:tcPr>
      <w:shd w:val="clear" w:color="auto" w:fill="FFC000"/>
    </w:tcPr>
    <w:tblStylePr w:type="firstRow">
      <w:rPr>
        <w:rFonts w:ascii="Yu Mincho" w:hAnsi="Yu Mincho" w:cs="Times New Roman"/>
        <w:sz w:val="24"/>
        <w:szCs w:val="24"/>
      </w:rPr>
      <w:tblPr/>
      <w:tcPr>
        <w:shd w:val="clear" w:color="auto" w:fill="FFFFFF"/>
      </w:tcPr>
    </w:tblStylePr>
    <w:tblStylePr w:type="lastRow">
      <w:rPr>
        <w:rFonts w:ascii="Yu Mincho" w:hAnsi="Yu Mincho" w:cs="Times New Roman"/>
        <w:color w:val="auto"/>
        <w:sz w:val="18"/>
      </w:rPr>
      <w:tblPr/>
      <w:tcPr>
        <w:shd w:val="clear" w:color="auto" w:fill="FFC000"/>
      </w:tcPr>
    </w:tblStylePr>
    <w:tblStylePr w:type="firstCol">
      <w:rPr>
        <w:rFonts w:ascii="Yu Mincho" w:hAnsi="Yu Mincho" w:cs="Times New Roman"/>
        <w:sz w:val="18"/>
      </w:rPr>
    </w:tblStylePr>
    <w:tblStylePr w:type="lastCol">
      <w:rPr>
        <w:rFonts w:ascii="Yu Mincho" w:hAnsi="Yu Mincho" w:cs="Times New Roman"/>
        <w:sz w:val="18"/>
      </w:rPr>
    </w:tblStylePr>
    <w:tblStylePr w:type="band1Vert">
      <w:rPr>
        <w:rFonts w:ascii="Yu Mincho" w:hAnsi="Yu Mincho" w:cs="Times New Roman"/>
        <w:sz w:val="18"/>
      </w:rPr>
    </w:tblStylePr>
    <w:tblStylePr w:type="band2Vert">
      <w:rPr>
        <w:rFonts w:ascii="Yu Mincho" w:hAnsi="Yu Mincho"/>
        <w:sz w:val="18"/>
      </w:rPr>
    </w:tblStylePr>
    <w:tblStylePr w:type="band1Horz">
      <w:rPr>
        <w:rFonts w:ascii="Yu Mincho" w:hAnsi="Yu Mincho" w:cs="Times New Roman"/>
        <w:sz w:val="18"/>
      </w:rPr>
      <w:tblPr/>
      <w:tcPr>
        <w:shd w:val="clear" w:color="auto" w:fill="FFFFFF"/>
      </w:tcPr>
    </w:tblStylePr>
    <w:tblStylePr w:type="band2Horz">
      <w:rPr>
        <w:rFonts w:ascii="Yu Mincho" w:hAnsi="Yu Mincho"/>
        <w:sz w:val="18"/>
      </w:rPr>
      <w:tblPr/>
      <w:tcPr>
        <w:shd w:val="clear" w:color="auto" w:fill="FFC000"/>
      </w:tcPr>
    </w:tblStylePr>
    <w:tblStylePr w:type="neCell">
      <w:rPr>
        <w:rFonts w:ascii="Yu Mincho" w:hAnsi="Yu Mincho"/>
        <w:sz w:val="18"/>
      </w:rPr>
      <w:tblPr/>
      <w:tcPr>
        <w:shd w:val="clear" w:color="auto" w:fill="FFFFFF"/>
      </w:tcPr>
    </w:tblStylePr>
    <w:tblStylePr w:type="nwCell">
      <w:rPr>
        <w:rFonts w:cs="Times New Roman"/>
      </w:rPr>
      <w:tblPr/>
      <w:tcPr>
        <w:shd w:val="clear" w:color="auto" w:fill="FFFFFF"/>
      </w:tcPr>
    </w:tblStylePr>
    <w:tblStylePr w:type="seCell">
      <w:rPr>
        <w:rFonts w:ascii="Yu Mincho" w:hAnsi="Yu Mincho"/>
        <w:sz w:val="18"/>
      </w:rPr>
    </w:tblStylePr>
    <w:tblStylePr w:type="swCell">
      <w:rPr>
        <w:rFonts w:ascii="Yu Mincho" w:hAnsi="Yu Mincho" w:cs="Times New Roman"/>
        <w:sz w:val="18"/>
      </w:rPr>
    </w:tblStylePr>
  </w:style>
  <w:style w:type="table" w:customStyle="1" w:styleId="ColorfulList-Accent32">
    <w:name w:val="Colorful List - Accent 32"/>
    <w:basedOn w:val="TableNormal"/>
    <w:next w:val="ColorfulList-Accent3"/>
    <w:uiPriority w:val="99"/>
    <w:rsid w:val="00B758A1"/>
    <w:pPr>
      <w:spacing w:after="0" w:line="240" w:lineRule="auto"/>
    </w:pPr>
    <w:rPr>
      <w:rFonts w:ascii="Wingdings 3" w:eastAsia="Wingdings 3" w:hAnsi="Wingdings 3" w:cs="Times New Roman"/>
      <w:color w:val="000000"/>
      <w:sz w:val="20"/>
      <w:szCs w:val="20"/>
      <w:lang w:val="en-GB" w:eastAsia="en-GB"/>
    </w:rPr>
    <w:tblPr>
      <w:tblStyleRowBandSize w:val="1"/>
      <w:tblStyleColBandSize w:val="1"/>
    </w:tblPr>
    <w:tcPr>
      <w:shd w:val="clear" w:color="auto" w:fill="F5F5F5"/>
    </w:tcPr>
    <w:tblStylePr w:type="firstRow">
      <w:rPr>
        <w:rFonts w:cs="Times New Roman"/>
        <w:b/>
        <w:bCs/>
        <w:color w:val="646464"/>
      </w:rPr>
      <w:tblPr/>
      <w:tcPr>
        <w:tcBorders>
          <w:bottom w:val="single" w:sz="12" w:space="0" w:color="646464"/>
        </w:tcBorders>
        <w:shd w:val="clear" w:color="auto" w:fill="C0C0C0"/>
      </w:tcPr>
    </w:tblStylePr>
    <w:tblStylePr w:type="lastRow">
      <w:rPr>
        <w:rFonts w:cs="Times New Roman"/>
        <w:b/>
        <w:bCs/>
        <w:color w:val="C0C0C0"/>
      </w:rPr>
      <w:tblPr/>
      <w:tcPr>
        <w:tcBorders>
          <w:top w:val="single" w:sz="12" w:space="0" w:color="000000"/>
        </w:tcBorders>
        <w:shd w:val="clear" w:color="auto" w:fill="646464"/>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5E5E5"/>
      </w:tcPr>
    </w:tblStylePr>
    <w:tblStylePr w:type="band1Horz">
      <w:rPr>
        <w:rFonts w:cs="Times New Roman"/>
      </w:rPr>
      <w:tblPr/>
      <w:tcPr>
        <w:shd w:val="clear" w:color="auto" w:fill="EAEAEA"/>
      </w:tcPr>
    </w:tblStylePr>
  </w:style>
  <w:style w:type="paragraph" w:customStyle="1" w:styleId="Bullettabella">
    <w:name w:val="Bullet tabella"/>
    <w:basedOn w:val="ListParagraph"/>
    <w:uiPriority w:val="99"/>
    <w:qFormat/>
    <w:rsid w:val="00B758A1"/>
    <w:pPr>
      <w:widowControl w:val="0"/>
      <w:adjustRightInd w:val="0"/>
      <w:spacing w:before="120" w:after="120" w:line="276" w:lineRule="auto"/>
      <w:ind w:left="360" w:hanging="357"/>
      <w:contextualSpacing w:val="0"/>
      <w:jc w:val="left"/>
      <w:textAlignment w:val="baseline"/>
    </w:pPr>
    <w:rPr>
      <w:rFonts w:ascii="Arial" w:hAnsi="Arial"/>
      <w:iCs/>
      <w:spacing w:val="-10"/>
      <w:sz w:val="18"/>
      <w:szCs w:val="24"/>
      <w:lang w:val="de-DE" w:eastAsia="de-DE"/>
    </w:rPr>
  </w:style>
  <w:style w:type="character" w:customStyle="1" w:styleId="CommentSubjectChar1">
    <w:name w:val="Comment Subject Char1"/>
    <w:basedOn w:val="DefaultParagraphFont"/>
    <w:uiPriority w:val="99"/>
    <w:semiHidden/>
    <w:locked/>
    <w:rsid w:val="00B758A1"/>
    <w:rPr>
      <w:rFonts w:ascii="Arial" w:hAnsi="Arial" w:cs="Times New Roman"/>
      <w:b/>
      <w:bCs/>
      <w:sz w:val="20"/>
      <w:szCs w:val="20"/>
      <w:lang w:val="en-GB" w:eastAsia="en-US"/>
    </w:rPr>
  </w:style>
  <w:style w:type="table" w:customStyle="1" w:styleId="LightShading-Accent111">
    <w:name w:val="Light Shading - Accent 111"/>
    <w:uiPriority w:val="99"/>
    <w:rsid w:val="00B758A1"/>
    <w:pPr>
      <w:spacing w:after="0" w:line="240" w:lineRule="auto"/>
    </w:pPr>
    <w:rPr>
      <w:rFonts w:ascii="Wingdings 3" w:eastAsia="Wingdings 3" w:hAnsi="Wingdings 3" w:cs="Times New Roman"/>
      <w:color w:val="5F5E61"/>
      <w:sz w:val="20"/>
      <w:szCs w:val="20"/>
      <w:lang w:val="en-GB" w:eastAsia="en-GB"/>
    </w:rPr>
    <w:tblPr>
      <w:tblStyleRowBandSize w:val="1"/>
      <w:tblStyleColBandSize w:val="1"/>
      <w:tblInd w:w="0" w:type="dxa"/>
      <w:tblBorders>
        <w:top w:val="single" w:sz="8" w:space="0" w:color="7F7E82"/>
        <w:bottom w:val="single" w:sz="8" w:space="0" w:color="7F7E82"/>
      </w:tblBorders>
      <w:tblCellMar>
        <w:top w:w="0" w:type="dxa"/>
        <w:left w:w="108" w:type="dxa"/>
        <w:bottom w:w="0" w:type="dxa"/>
        <w:right w:w="108" w:type="dxa"/>
      </w:tblCellMar>
    </w:tblPr>
  </w:style>
  <w:style w:type="paragraph" w:customStyle="1" w:styleId="Style9">
    <w:name w:val="Style9"/>
    <w:basedOn w:val="Normal"/>
    <w:link w:val="Style9Char"/>
    <w:uiPriority w:val="1"/>
    <w:qFormat/>
    <w:rsid w:val="00B758A1"/>
    <w:pPr>
      <w:spacing w:before="120" w:after="60"/>
      <w:ind w:left="1145" w:hanging="360"/>
      <w:jc w:val="both"/>
    </w:pPr>
    <w:rPr>
      <w:rFonts w:ascii="Arial" w:eastAsia="Wingdings 3" w:hAnsi="Arial" w:cs="Times New Roman"/>
      <w:spacing w:val="-10"/>
      <w:sz w:val="20"/>
      <w:lang w:val="en-GB"/>
    </w:rPr>
  </w:style>
  <w:style w:type="table" w:customStyle="1" w:styleId="ColorfulShading-Accent21">
    <w:name w:val="Colorful Shading - Accent 21"/>
    <w:basedOn w:val="TableNormal"/>
    <w:next w:val="ColorfulShading-Accent2"/>
    <w:uiPriority w:val="71"/>
    <w:rsid w:val="00B758A1"/>
    <w:pPr>
      <w:spacing w:after="0" w:line="240" w:lineRule="auto"/>
    </w:pPr>
    <w:rPr>
      <w:rFonts w:ascii="Arial" w:hAnsi="Arial"/>
      <w:color w:val="000000"/>
      <w:sz w:val="20"/>
      <w:szCs w:val="20"/>
      <w:lang w:val="nl-BE"/>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ED7D31"/>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customStyle="1" w:styleId="ColorfulShading-Accent41">
    <w:name w:val="Colorful Shading - Accent 41"/>
    <w:basedOn w:val="TableNormal"/>
    <w:next w:val="ColorfulShading-Accent4"/>
    <w:uiPriority w:val="71"/>
    <w:rsid w:val="00B758A1"/>
    <w:pPr>
      <w:spacing w:after="0" w:line="240" w:lineRule="auto"/>
    </w:pPr>
    <w:rPr>
      <w:rFonts w:ascii="Arial" w:hAnsi="Arial"/>
      <w:color w:val="000000"/>
      <w:sz w:val="20"/>
      <w:szCs w:val="20"/>
      <w:lang w:val="nl-BE"/>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ColorfulList-Accent11">
    <w:name w:val="Colorful List - Accent 11"/>
    <w:basedOn w:val="TableNormal"/>
    <w:next w:val="ColorfulList-Accent1"/>
    <w:uiPriority w:val="72"/>
    <w:rsid w:val="00B758A1"/>
    <w:pPr>
      <w:spacing w:after="0" w:line="240" w:lineRule="auto"/>
    </w:pPr>
    <w:rPr>
      <w:rFonts w:ascii="Arial" w:hAnsi="Arial"/>
      <w:color w:val="000000"/>
      <w:sz w:val="20"/>
      <w:szCs w:val="20"/>
      <w:lang w:val="nl-BE"/>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MediumGrid1-Accent41">
    <w:name w:val="Medium Grid 1 - Accent 41"/>
    <w:basedOn w:val="TableNormal"/>
    <w:next w:val="MediumGrid1-Accent4"/>
    <w:uiPriority w:val="67"/>
    <w:rsid w:val="00B758A1"/>
    <w:pPr>
      <w:spacing w:after="0" w:line="240" w:lineRule="auto"/>
    </w:pPr>
    <w:rPr>
      <w:rFonts w:ascii="Arial" w:hAnsi="Arial"/>
      <w:sz w:val="20"/>
      <w:szCs w:val="20"/>
      <w:lang w:val="nl-BE"/>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LightList-Accent21">
    <w:name w:val="Light List - Accent 21"/>
    <w:basedOn w:val="TableNormal"/>
    <w:next w:val="LightList-Accent2"/>
    <w:uiPriority w:val="61"/>
    <w:rsid w:val="00B758A1"/>
    <w:pPr>
      <w:spacing w:after="0" w:line="240" w:lineRule="auto"/>
    </w:pPr>
    <w:rPr>
      <w:rFonts w:ascii="Arial" w:hAnsi="Arial"/>
      <w:sz w:val="20"/>
      <w:szCs w:val="20"/>
      <w:lang w:val="nl-BE"/>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paragraph" w:customStyle="1" w:styleId="Legende">
    <w:name w:val="Legende"/>
    <w:basedOn w:val="Normal"/>
    <w:uiPriority w:val="1"/>
    <w:rsid w:val="00B758A1"/>
    <w:pPr>
      <w:spacing w:before="120" w:after="120" w:line="320" w:lineRule="exact"/>
      <w:jc w:val="both"/>
    </w:pPr>
    <w:rPr>
      <w:rFonts w:ascii="Arial" w:eastAsia="Times New Roman" w:hAnsi="Arial" w:cs="Times New Roman"/>
      <w:i/>
      <w:color w:val="646464"/>
      <w:spacing w:val="-10"/>
      <w:sz w:val="18"/>
      <w:szCs w:val="18"/>
      <w:lang w:val="nl-BE"/>
    </w:rPr>
  </w:style>
  <w:style w:type="paragraph" w:customStyle="1" w:styleId="Imageplaceholder">
    <w:name w:val="Image placeholder"/>
    <w:qFormat/>
    <w:rsid w:val="00B758A1"/>
    <w:pPr>
      <w:spacing w:after="0" w:line="240" w:lineRule="auto"/>
      <w:jc w:val="center"/>
    </w:pPr>
    <w:rPr>
      <w:rFonts w:ascii="Yu Gothic UI Light" w:eastAsia="Times New Roman" w:hAnsi="Yu Gothic UI Light" w:cs="Times New Roman"/>
      <w:color w:val="FFFFFF"/>
      <w:sz w:val="28"/>
      <w:szCs w:val="24"/>
      <w:lang w:val="en-GB"/>
    </w:rPr>
  </w:style>
  <w:style w:type="paragraph" w:styleId="TOC9">
    <w:name w:val="toc 9"/>
    <w:basedOn w:val="Normal"/>
    <w:next w:val="Normal"/>
    <w:uiPriority w:val="39"/>
    <w:rsid w:val="00B758A1"/>
    <w:pPr>
      <w:tabs>
        <w:tab w:val="right" w:leader="dot" w:pos="6634"/>
      </w:tabs>
      <w:overflowPunct w:val="0"/>
      <w:autoSpaceDE w:val="0"/>
      <w:autoSpaceDN w:val="0"/>
      <w:adjustRightInd w:val="0"/>
      <w:spacing w:before="80" w:after="0" w:line="280" w:lineRule="exact"/>
      <w:ind w:left="1600"/>
      <w:textAlignment w:val="baseline"/>
    </w:pPr>
    <w:rPr>
      <w:rFonts w:ascii="Arial" w:eastAsia="Times New Roman" w:hAnsi="Arial" w:cs="Times New Roman"/>
      <w:spacing w:val="-10"/>
      <w:szCs w:val="20"/>
      <w:lang w:val="nl-BE" w:eastAsia="de-DE"/>
    </w:rPr>
  </w:style>
  <w:style w:type="paragraph" w:styleId="Index1">
    <w:name w:val="index 1"/>
    <w:basedOn w:val="Normal"/>
    <w:next w:val="Normal"/>
    <w:autoRedefine/>
    <w:uiPriority w:val="1"/>
    <w:rsid w:val="00B758A1"/>
    <w:pPr>
      <w:spacing w:after="0" w:line="240" w:lineRule="auto"/>
      <w:ind w:left="180" w:hanging="180"/>
    </w:pPr>
    <w:rPr>
      <w:rFonts w:ascii="Arial" w:eastAsia="Times New Roman" w:hAnsi="Arial" w:cs="Times New Roman"/>
      <w:spacing w:val="-10"/>
      <w:szCs w:val="24"/>
      <w:lang w:val="nl-BE" w:eastAsia="de-DE"/>
    </w:rPr>
  </w:style>
  <w:style w:type="paragraph" w:styleId="IndexHeading">
    <w:name w:val="index heading"/>
    <w:basedOn w:val="Normal"/>
    <w:next w:val="Index1"/>
    <w:uiPriority w:val="1"/>
    <w:rsid w:val="00B758A1"/>
    <w:pPr>
      <w:overflowPunct w:val="0"/>
      <w:autoSpaceDE w:val="0"/>
      <w:autoSpaceDN w:val="0"/>
      <w:adjustRightInd w:val="0"/>
      <w:spacing w:before="80" w:after="0" w:line="280" w:lineRule="exact"/>
      <w:textAlignment w:val="baseline"/>
    </w:pPr>
    <w:rPr>
      <w:rFonts w:ascii="Arial" w:eastAsia="Times New Roman" w:hAnsi="Arial" w:cs="Times New Roman"/>
      <w:spacing w:val="-10"/>
      <w:szCs w:val="20"/>
      <w:lang w:val="nl-BE" w:eastAsia="de-DE"/>
    </w:rPr>
  </w:style>
  <w:style w:type="paragraph" w:styleId="TOC4">
    <w:name w:val="toc 4"/>
    <w:basedOn w:val="Normal"/>
    <w:next w:val="Normal"/>
    <w:autoRedefine/>
    <w:uiPriority w:val="39"/>
    <w:rsid w:val="00B758A1"/>
    <w:pPr>
      <w:tabs>
        <w:tab w:val="left" w:pos="993"/>
        <w:tab w:val="right" w:pos="9204"/>
      </w:tabs>
      <w:spacing w:after="0" w:line="240" w:lineRule="auto"/>
      <w:ind w:left="998"/>
    </w:pPr>
    <w:rPr>
      <w:rFonts w:ascii="Arial" w:eastAsia="Times New Roman" w:hAnsi="Arial" w:cs="Times New Roman"/>
      <w:i/>
      <w:spacing w:val="-10"/>
      <w:szCs w:val="24"/>
      <w:lang w:val="nl-BE" w:eastAsia="de-DE"/>
    </w:rPr>
  </w:style>
  <w:style w:type="paragraph" w:styleId="TOC5">
    <w:name w:val="toc 5"/>
    <w:basedOn w:val="Normal"/>
    <w:next w:val="Normal"/>
    <w:uiPriority w:val="39"/>
    <w:rsid w:val="00B758A1"/>
    <w:pPr>
      <w:tabs>
        <w:tab w:val="right" w:leader="dot" w:pos="6634"/>
      </w:tabs>
      <w:overflowPunct w:val="0"/>
      <w:autoSpaceDE w:val="0"/>
      <w:autoSpaceDN w:val="0"/>
      <w:adjustRightInd w:val="0"/>
      <w:spacing w:before="80" w:after="0" w:line="280" w:lineRule="exact"/>
      <w:ind w:left="800"/>
      <w:textAlignment w:val="baseline"/>
    </w:pPr>
    <w:rPr>
      <w:rFonts w:ascii="Arial" w:eastAsia="Times New Roman" w:hAnsi="Arial" w:cs="Times New Roman"/>
      <w:spacing w:val="-10"/>
      <w:szCs w:val="20"/>
      <w:lang w:val="nl-BE" w:eastAsia="de-DE"/>
    </w:rPr>
  </w:style>
  <w:style w:type="paragraph" w:styleId="TOC6">
    <w:name w:val="toc 6"/>
    <w:basedOn w:val="Normal"/>
    <w:next w:val="Normal"/>
    <w:uiPriority w:val="39"/>
    <w:rsid w:val="00B758A1"/>
    <w:pPr>
      <w:tabs>
        <w:tab w:val="right" w:leader="dot" w:pos="6634"/>
      </w:tabs>
      <w:overflowPunct w:val="0"/>
      <w:autoSpaceDE w:val="0"/>
      <w:autoSpaceDN w:val="0"/>
      <w:adjustRightInd w:val="0"/>
      <w:spacing w:before="80" w:after="0" w:line="280" w:lineRule="exact"/>
      <w:ind w:left="1000"/>
      <w:textAlignment w:val="baseline"/>
    </w:pPr>
    <w:rPr>
      <w:rFonts w:ascii="Arial" w:eastAsia="Times New Roman" w:hAnsi="Arial" w:cs="Times New Roman"/>
      <w:spacing w:val="-10"/>
      <w:szCs w:val="20"/>
      <w:lang w:val="nl-BE" w:eastAsia="de-DE"/>
    </w:rPr>
  </w:style>
  <w:style w:type="paragraph" w:styleId="TOC7">
    <w:name w:val="toc 7"/>
    <w:basedOn w:val="Normal"/>
    <w:next w:val="Normal"/>
    <w:uiPriority w:val="39"/>
    <w:rsid w:val="00B758A1"/>
    <w:pPr>
      <w:tabs>
        <w:tab w:val="right" w:leader="dot" w:pos="6634"/>
      </w:tabs>
      <w:overflowPunct w:val="0"/>
      <w:autoSpaceDE w:val="0"/>
      <w:autoSpaceDN w:val="0"/>
      <w:adjustRightInd w:val="0"/>
      <w:spacing w:before="80" w:after="0" w:line="280" w:lineRule="exact"/>
      <w:ind w:left="1200"/>
      <w:textAlignment w:val="baseline"/>
    </w:pPr>
    <w:rPr>
      <w:rFonts w:ascii="Arial" w:eastAsia="Times New Roman" w:hAnsi="Arial" w:cs="Times New Roman"/>
      <w:spacing w:val="-10"/>
      <w:szCs w:val="20"/>
      <w:lang w:val="nl-BE" w:eastAsia="de-DE"/>
    </w:rPr>
  </w:style>
  <w:style w:type="paragraph" w:styleId="TOC8">
    <w:name w:val="toc 8"/>
    <w:basedOn w:val="Normal"/>
    <w:next w:val="Normal"/>
    <w:uiPriority w:val="39"/>
    <w:rsid w:val="00B758A1"/>
    <w:pPr>
      <w:tabs>
        <w:tab w:val="right" w:leader="dot" w:pos="6634"/>
      </w:tabs>
      <w:overflowPunct w:val="0"/>
      <w:autoSpaceDE w:val="0"/>
      <w:autoSpaceDN w:val="0"/>
      <w:adjustRightInd w:val="0"/>
      <w:spacing w:before="80" w:after="0" w:line="280" w:lineRule="exact"/>
      <w:ind w:left="1400"/>
      <w:textAlignment w:val="baseline"/>
    </w:pPr>
    <w:rPr>
      <w:rFonts w:ascii="Arial" w:eastAsia="Times New Roman" w:hAnsi="Arial" w:cs="Times New Roman"/>
      <w:spacing w:val="-10"/>
      <w:szCs w:val="20"/>
      <w:lang w:val="nl-BE" w:eastAsia="de-DE"/>
    </w:rPr>
  </w:style>
  <w:style w:type="character" w:styleId="EndnoteReference">
    <w:name w:val="endnote reference"/>
    <w:basedOn w:val="DefaultParagraphFont"/>
    <w:rsid w:val="00B758A1"/>
    <w:rPr>
      <w:rFonts w:ascii="Arial" w:hAnsi="Arial"/>
      <w:sz w:val="18"/>
      <w:vertAlign w:val="superscript"/>
    </w:rPr>
  </w:style>
  <w:style w:type="paragraph" w:styleId="Index2">
    <w:name w:val="index 2"/>
    <w:basedOn w:val="Normal"/>
    <w:next w:val="Normal"/>
    <w:uiPriority w:val="1"/>
    <w:rsid w:val="00B758A1"/>
    <w:pPr>
      <w:tabs>
        <w:tab w:val="right" w:leader="dot" w:pos="9883"/>
      </w:tabs>
      <w:overflowPunct w:val="0"/>
      <w:autoSpaceDE w:val="0"/>
      <w:autoSpaceDN w:val="0"/>
      <w:adjustRightInd w:val="0"/>
      <w:spacing w:before="80" w:after="0" w:line="280" w:lineRule="exact"/>
      <w:ind w:left="400" w:hanging="200"/>
      <w:textAlignment w:val="baseline"/>
    </w:pPr>
    <w:rPr>
      <w:rFonts w:ascii="Arial" w:eastAsia="Times New Roman" w:hAnsi="Arial" w:cs="Times New Roman"/>
      <w:spacing w:val="-10"/>
      <w:szCs w:val="20"/>
      <w:lang w:val="nl-BE" w:eastAsia="de-DE"/>
    </w:rPr>
  </w:style>
  <w:style w:type="paragraph" w:styleId="Index3">
    <w:name w:val="index 3"/>
    <w:basedOn w:val="Normal"/>
    <w:next w:val="Normal"/>
    <w:uiPriority w:val="1"/>
    <w:rsid w:val="00B758A1"/>
    <w:pPr>
      <w:tabs>
        <w:tab w:val="right" w:leader="dot" w:pos="9883"/>
      </w:tabs>
      <w:overflowPunct w:val="0"/>
      <w:autoSpaceDE w:val="0"/>
      <w:autoSpaceDN w:val="0"/>
      <w:adjustRightInd w:val="0"/>
      <w:spacing w:before="80" w:after="0" w:line="280" w:lineRule="exact"/>
      <w:ind w:left="600" w:hanging="200"/>
      <w:textAlignment w:val="baseline"/>
    </w:pPr>
    <w:rPr>
      <w:rFonts w:ascii="Arial" w:eastAsia="Times New Roman" w:hAnsi="Arial" w:cs="Times New Roman"/>
      <w:spacing w:val="-10"/>
      <w:szCs w:val="20"/>
      <w:lang w:val="nl-BE" w:eastAsia="de-DE"/>
    </w:rPr>
  </w:style>
  <w:style w:type="paragraph" w:styleId="Index4">
    <w:name w:val="index 4"/>
    <w:basedOn w:val="Normal"/>
    <w:next w:val="Normal"/>
    <w:uiPriority w:val="1"/>
    <w:rsid w:val="00B758A1"/>
    <w:pPr>
      <w:numPr>
        <w:numId w:val="15"/>
      </w:numPr>
      <w:tabs>
        <w:tab w:val="num" w:pos="360"/>
        <w:tab w:val="right" w:leader="dot" w:pos="9883"/>
      </w:tabs>
      <w:overflowPunct w:val="0"/>
      <w:autoSpaceDE w:val="0"/>
      <w:autoSpaceDN w:val="0"/>
      <w:adjustRightInd w:val="0"/>
      <w:spacing w:before="80" w:after="0" w:line="280" w:lineRule="exact"/>
      <w:textAlignment w:val="baseline"/>
    </w:pPr>
    <w:rPr>
      <w:rFonts w:ascii="Arial" w:eastAsia="Times New Roman" w:hAnsi="Arial" w:cs="Times New Roman"/>
      <w:spacing w:val="-10"/>
      <w:szCs w:val="20"/>
      <w:lang w:val="nl-BE" w:eastAsia="de-DE"/>
    </w:rPr>
  </w:style>
  <w:style w:type="paragraph" w:styleId="Index5">
    <w:name w:val="index 5"/>
    <w:basedOn w:val="Normal"/>
    <w:next w:val="Normal"/>
    <w:uiPriority w:val="1"/>
    <w:rsid w:val="00B758A1"/>
    <w:pPr>
      <w:tabs>
        <w:tab w:val="right" w:leader="dot" w:pos="9883"/>
      </w:tabs>
      <w:overflowPunct w:val="0"/>
      <w:autoSpaceDE w:val="0"/>
      <w:autoSpaceDN w:val="0"/>
      <w:adjustRightInd w:val="0"/>
      <w:spacing w:before="80" w:after="0" w:line="280" w:lineRule="exact"/>
      <w:ind w:left="1000" w:hanging="200"/>
      <w:textAlignment w:val="baseline"/>
    </w:pPr>
    <w:rPr>
      <w:rFonts w:ascii="Arial" w:eastAsia="Times New Roman" w:hAnsi="Arial" w:cs="Times New Roman"/>
      <w:spacing w:val="-10"/>
      <w:szCs w:val="20"/>
      <w:lang w:val="nl-BE" w:eastAsia="de-DE"/>
    </w:rPr>
  </w:style>
  <w:style w:type="paragraph" w:styleId="Index6">
    <w:name w:val="index 6"/>
    <w:basedOn w:val="Normal"/>
    <w:next w:val="Normal"/>
    <w:uiPriority w:val="1"/>
    <w:rsid w:val="00B758A1"/>
    <w:pPr>
      <w:tabs>
        <w:tab w:val="right" w:leader="dot" w:pos="9883"/>
      </w:tabs>
      <w:overflowPunct w:val="0"/>
      <w:autoSpaceDE w:val="0"/>
      <w:autoSpaceDN w:val="0"/>
      <w:adjustRightInd w:val="0"/>
      <w:spacing w:before="80" w:after="0" w:line="280" w:lineRule="exact"/>
      <w:ind w:left="1200" w:hanging="200"/>
      <w:textAlignment w:val="baseline"/>
    </w:pPr>
    <w:rPr>
      <w:rFonts w:ascii="Arial" w:eastAsia="Times New Roman" w:hAnsi="Arial" w:cs="Times New Roman"/>
      <w:spacing w:val="-10"/>
      <w:szCs w:val="20"/>
      <w:lang w:val="nl-BE" w:eastAsia="de-DE"/>
    </w:rPr>
  </w:style>
  <w:style w:type="paragraph" w:styleId="Index7">
    <w:name w:val="index 7"/>
    <w:basedOn w:val="Normal"/>
    <w:next w:val="Normal"/>
    <w:uiPriority w:val="1"/>
    <w:rsid w:val="00B758A1"/>
    <w:pPr>
      <w:tabs>
        <w:tab w:val="right" w:leader="dot" w:pos="9883"/>
      </w:tabs>
      <w:overflowPunct w:val="0"/>
      <w:autoSpaceDE w:val="0"/>
      <w:autoSpaceDN w:val="0"/>
      <w:adjustRightInd w:val="0"/>
      <w:spacing w:before="80" w:after="0" w:line="280" w:lineRule="exact"/>
      <w:ind w:left="1400" w:hanging="200"/>
      <w:textAlignment w:val="baseline"/>
    </w:pPr>
    <w:rPr>
      <w:rFonts w:ascii="Arial" w:eastAsia="Times New Roman" w:hAnsi="Arial" w:cs="Times New Roman"/>
      <w:spacing w:val="-10"/>
      <w:szCs w:val="20"/>
      <w:lang w:val="nl-BE" w:eastAsia="de-DE"/>
    </w:rPr>
  </w:style>
  <w:style w:type="paragraph" w:styleId="Index8">
    <w:name w:val="index 8"/>
    <w:basedOn w:val="Normal"/>
    <w:next w:val="Normal"/>
    <w:uiPriority w:val="1"/>
    <w:rsid w:val="00B758A1"/>
    <w:pPr>
      <w:tabs>
        <w:tab w:val="right" w:leader="dot" w:pos="9883"/>
      </w:tabs>
      <w:overflowPunct w:val="0"/>
      <w:autoSpaceDE w:val="0"/>
      <w:autoSpaceDN w:val="0"/>
      <w:adjustRightInd w:val="0"/>
      <w:spacing w:before="80" w:after="0" w:line="280" w:lineRule="exact"/>
      <w:ind w:left="1600" w:hanging="200"/>
      <w:textAlignment w:val="baseline"/>
    </w:pPr>
    <w:rPr>
      <w:rFonts w:ascii="Arial" w:eastAsia="Times New Roman" w:hAnsi="Arial" w:cs="Times New Roman"/>
      <w:spacing w:val="-10"/>
      <w:szCs w:val="20"/>
      <w:lang w:val="nl-BE" w:eastAsia="de-DE"/>
    </w:rPr>
  </w:style>
  <w:style w:type="paragraph" w:styleId="Index9">
    <w:name w:val="index 9"/>
    <w:basedOn w:val="Normal"/>
    <w:next w:val="Normal"/>
    <w:uiPriority w:val="1"/>
    <w:rsid w:val="00B758A1"/>
    <w:pPr>
      <w:tabs>
        <w:tab w:val="right" w:leader="dot" w:pos="9883"/>
      </w:tabs>
      <w:overflowPunct w:val="0"/>
      <w:autoSpaceDE w:val="0"/>
      <w:autoSpaceDN w:val="0"/>
      <w:adjustRightInd w:val="0"/>
      <w:spacing w:before="80" w:after="0" w:line="280" w:lineRule="exact"/>
      <w:ind w:left="1800" w:hanging="200"/>
      <w:textAlignment w:val="baseline"/>
    </w:pPr>
    <w:rPr>
      <w:rFonts w:ascii="Arial" w:eastAsia="Times New Roman" w:hAnsi="Arial" w:cs="Times New Roman"/>
      <w:spacing w:val="-10"/>
      <w:szCs w:val="20"/>
      <w:lang w:val="nl-BE" w:eastAsia="de-DE"/>
    </w:rPr>
  </w:style>
  <w:style w:type="paragraph" w:customStyle="1" w:styleId="Boxtext">
    <w:name w:val="Box text"/>
    <w:basedOn w:val="Normal"/>
    <w:uiPriority w:val="1"/>
    <w:rsid w:val="00B758A1"/>
    <w:pPr>
      <w:spacing w:before="240" w:after="0" w:line="240" w:lineRule="auto"/>
      <w:jc w:val="both"/>
    </w:pPr>
    <w:rPr>
      <w:rFonts w:ascii="Arial" w:hAnsi="Arial"/>
      <w:spacing w:val="-10"/>
      <w:sz w:val="18"/>
      <w:szCs w:val="18"/>
      <w:lang w:val="nl-BE"/>
    </w:rPr>
  </w:style>
  <w:style w:type="paragraph" w:customStyle="1" w:styleId="TableContent">
    <w:name w:val="Table Content"/>
    <w:basedOn w:val="Normal"/>
    <w:uiPriority w:val="1"/>
    <w:rsid w:val="00B758A1"/>
    <w:pPr>
      <w:spacing w:before="60" w:after="60" w:line="240" w:lineRule="auto"/>
      <w:jc w:val="both"/>
    </w:pPr>
    <w:rPr>
      <w:rFonts w:ascii="Arial" w:eastAsia="Times New Roman" w:hAnsi="Arial" w:cs="Times New Roman"/>
      <w:spacing w:val="-10"/>
      <w:sz w:val="18"/>
      <w:szCs w:val="20"/>
      <w:lang w:val="en-US"/>
    </w:rPr>
  </w:style>
  <w:style w:type="table" w:customStyle="1" w:styleId="MediumShading2-Accent31">
    <w:name w:val="Medium Shading 2 - Accent 31"/>
    <w:basedOn w:val="TableNormal"/>
    <w:next w:val="MediumShading2-Accent3"/>
    <w:uiPriority w:val="64"/>
    <w:rsid w:val="00B758A1"/>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1">
    <w:name w:val="Medium Grid 3 - Accent 11"/>
    <w:basedOn w:val="TableNormal"/>
    <w:next w:val="MediumGrid3-Accent1"/>
    <w:uiPriority w:val="69"/>
    <w:rsid w:val="00B758A1"/>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paragraph" w:customStyle="1" w:styleId="AppendixHeading1">
    <w:name w:val="Appendix Heading 1"/>
    <w:basedOn w:val="Heading1"/>
    <w:next w:val="Normal"/>
    <w:uiPriority w:val="1"/>
    <w:qFormat/>
    <w:rsid w:val="00B758A1"/>
    <w:pPr>
      <w:keepLines/>
      <w:numPr>
        <w:numId w:val="18"/>
      </w:numPr>
      <w:spacing w:before="120"/>
      <w:jc w:val="left"/>
    </w:pPr>
    <w:rPr>
      <w:rFonts w:ascii="Arial" w:hAnsi="Arial"/>
      <w:bCs/>
      <w:smallCaps w:val="0"/>
      <w:color w:val="BFBFBF"/>
      <w:spacing w:val="-10"/>
      <w:sz w:val="32"/>
      <w:szCs w:val="28"/>
      <w:lang w:val="de-DE" w:eastAsia="nl-BE"/>
    </w:rPr>
  </w:style>
  <w:style w:type="character" w:customStyle="1" w:styleId="Style9Char">
    <w:name w:val="Style9 Char"/>
    <w:link w:val="Style9"/>
    <w:uiPriority w:val="1"/>
    <w:rsid w:val="00B758A1"/>
    <w:rPr>
      <w:rFonts w:ascii="Arial" w:eastAsia="Wingdings 3" w:hAnsi="Arial" w:cs="Times New Roman"/>
      <w:spacing w:val="-10"/>
      <w:sz w:val="20"/>
      <w:lang w:val="en-GB"/>
    </w:rPr>
  </w:style>
  <w:style w:type="table" w:customStyle="1" w:styleId="LightList-Accent211">
    <w:name w:val="Light List - Accent 211"/>
    <w:basedOn w:val="TableNormal"/>
    <w:next w:val="LightList-Accent2"/>
    <w:uiPriority w:val="61"/>
    <w:rsid w:val="00B758A1"/>
    <w:pPr>
      <w:spacing w:after="0" w:line="240" w:lineRule="auto"/>
    </w:pPr>
    <w:rPr>
      <w:rFonts w:ascii="Wingdings 3" w:eastAsia="Wingdings 3" w:hAnsi="Wingdings 3" w:cs="Times New Roman"/>
      <w:sz w:val="20"/>
      <w:szCs w:val="20"/>
      <w:lang w:val="it-IT" w:eastAsia="it-IT"/>
    </w:rPr>
    <w:tblPr>
      <w:tblStyleRowBandSize w:val="1"/>
      <w:tblStyleColBandSize w:val="1"/>
      <w:tblBorders>
        <w:top w:val="single" w:sz="8" w:space="0" w:color="FFE600"/>
        <w:left w:val="single" w:sz="8" w:space="0" w:color="FFE600"/>
        <w:bottom w:val="single" w:sz="8" w:space="0" w:color="FFE600"/>
        <w:right w:val="single" w:sz="8" w:space="0" w:color="FFE600"/>
      </w:tblBorders>
    </w:tblPr>
    <w:tblStylePr w:type="firstRow">
      <w:pPr>
        <w:spacing w:before="0" w:after="0" w:line="240" w:lineRule="auto"/>
      </w:pPr>
      <w:rPr>
        <w:b/>
        <w:bCs/>
        <w:color w:val="646464"/>
      </w:rPr>
      <w:tblPr/>
      <w:tcPr>
        <w:shd w:val="clear" w:color="auto" w:fill="FFE600"/>
      </w:tcPr>
    </w:tblStylePr>
    <w:tblStylePr w:type="lastRow">
      <w:pPr>
        <w:spacing w:before="0" w:after="0" w:line="240" w:lineRule="auto"/>
      </w:pPr>
      <w:rPr>
        <w:b/>
        <w:bCs/>
      </w:rPr>
      <w:tblPr/>
      <w:tcPr>
        <w:tcBorders>
          <w:top w:val="double" w:sz="6" w:space="0" w:color="FFE600"/>
          <w:left w:val="single" w:sz="8" w:space="0" w:color="FFE600"/>
          <w:bottom w:val="single" w:sz="8" w:space="0" w:color="FFE600"/>
          <w:right w:val="single" w:sz="8" w:space="0" w:color="FFE600"/>
        </w:tcBorders>
      </w:tcPr>
    </w:tblStylePr>
    <w:tblStylePr w:type="firstCol">
      <w:rPr>
        <w:b/>
        <w:bCs/>
      </w:rPr>
    </w:tblStylePr>
    <w:tblStylePr w:type="lastCol">
      <w:rPr>
        <w:b/>
        <w:bCs/>
      </w:rPr>
    </w:tblStylePr>
    <w:tblStylePr w:type="band1Vert">
      <w:tblPr/>
      <w:tcPr>
        <w:tcBorders>
          <w:top w:val="single" w:sz="8" w:space="0" w:color="FFE600"/>
          <w:left w:val="single" w:sz="8" w:space="0" w:color="FFE600"/>
          <w:bottom w:val="single" w:sz="8" w:space="0" w:color="FFE600"/>
          <w:right w:val="single" w:sz="8" w:space="0" w:color="FFE600"/>
        </w:tcBorders>
      </w:tcPr>
    </w:tblStylePr>
    <w:tblStylePr w:type="band1Horz">
      <w:tblPr/>
      <w:tcPr>
        <w:tcBorders>
          <w:top w:val="single" w:sz="8" w:space="0" w:color="FFE600"/>
          <w:left w:val="single" w:sz="8" w:space="0" w:color="FFE600"/>
          <w:bottom w:val="single" w:sz="8" w:space="0" w:color="FFE600"/>
          <w:right w:val="single" w:sz="8" w:space="0" w:color="FFE600"/>
        </w:tcBorders>
      </w:tcPr>
    </w:tblStylePr>
  </w:style>
  <w:style w:type="paragraph" w:customStyle="1" w:styleId="Quote1">
    <w:name w:val="Quote1"/>
    <w:basedOn w:val="Normal"/>
    <w:next w:val="Normal"/>
    <w:uiPriority w:val="29"/>
    <w:qFormat/>
    <w:rsid w:val="00B758A1"/>
    <w:pPr>
      <w:spacing w:after="60" w:line="240" w:lineRule="auto"/>
      <w:jc w:val="both"/>
    </w:pPr>
    <w:rPr>
      <w:rFonts w:ascii="Arial" w:hAnsi="Arial"/>
      <w:i/>
      <w:iCs/>
      <w:color w:val="000000"/>
      <w:spacing w:val="-10"/>
      <w:sz w:val="20"/>
      <w:szCs w:val="20"/>
      <w:lang w:val="en-US"/>
    </w:rPr>
  </w:style>
  <w:style w:type="character" w:customStyle="1" w:styleId="QuoteChar">
    <w:name w:val="Quote Char"/>
    <w:basedOn w:val="DefaultParagraphFont"/>
    <w:link w:val="Quote"/>
    <w:uiPriority w:val="29"/>
    <w:rsid w:val="00B758A1"/>
    <w:rPr>
      <w:rFonts w:ascii="Arial" w:hAnsi="Arial"/>
      <w:i/>
      <w:iCs/>
      <w:color w:val="000000"/>
      <w:spacing w:val="-10"/>
      <w:sz w:val="20"/>
      <w:szCs w:val="20"/>
      <w:lang w:val="en-US"/>
    </w:rPr>
  </w:style>
  <w:style w:type="character" w:customStyle="1" w:styleId="Style3Char">
    <w:name w:val="Style3 Char"/>
    <w:basedOn w:val="DefaultParagraphFont"/>
    <w:link w:val="Style3"/>
    <w:uiPriority w:val="99"/>
    <w:rsid w:val="00B758A1"/>
    <w:rPr>
      <w:rFonts w:ascii="Verdana" w:eastAsia="Times New Roman" w:hAnsi="Verdana" w:cs="Times New Roman"/>
      <w:b/>
      <w:color w:val="5F5F5F"/>
      <w:spacing w:val="-10"/>
      <w:szCs w:val="24"/>
      <w:lang w:val="nl-BE" w:eastAsia="de-DE"/>
    </w:rPr>
  </w:style>
  <w:style w:type="paragraph" w:customStyle="1" w:styleId="EYTableNormal">
    <w:name w:val="EY Table Normal"/>
    <w:basedOn w:val="Normal"/>
    <w:autoRedefine/>
    <w:uiPriority w:val="1"/>
    <w:rsid w:val="00B758A1"/>
    <w:pPr>
      <w:spacing w:before="40" w:after="40" w:line="240" w:lineRule="auto"/>
    </w:pPr>
    <w:rPr>
      <w:rFonts w:ascii="Arial" w:eastAsia="Times New Roman" w:hAnsi="Arial" w:cs="Times New Roman"/>
      <w:color w:val="000000"/>
      <w:spacing w:val="-10"/>
      <w:sz w:val="18"/>
      <w:szCs w:val="24"/>
      <w:lang w:val="en-US" w:eastAsia="en-GB"/>
    </w:rPr>
  </w:style>
  <w:style w:type="paragraph" w:customStyle="1" w:styleId="EYTableHeadingWhite">
    <w:name w:val="EY Table Heading (White)"/>
    <w:basedOn w:val="Normal"/>
    <w:uiPriority w:val="1"/>
    <w:rsid w:val="00B758A1"/>
    <w:pPr>
      <w:spacing w:before="60" w:after="60" w:line="240" w:lineRule="auto"/>
    </w:pPr>
    <w:rPr>
      <w:rFonts w:ascii="Arial" w:eastAsia="Times New Roman" w:hAnsi="Arial" w:cs="Times New Roman"/>
      <w:bCs/>
      <w:color w:val="FFFFFF"/>
      <w:spacing w:val="-10"/>
      <w:sz w:val="18"/>
      <w:szCs w:val="24"/>
      <w:lang w:val="en-US" w:eastAsia="de-DE"/>
    </w:rPr>
  </w:style>
  <w:style w:type="table" w:customStyle="1" w:styleId="LightShading-Accent42">
    <w:name w:val="Light Shading - Accent 42"/>
    <w:basedOn w:val="TableNormal"/>
    <w:next w:val="LightShading-Accent4"/>
    <w:uiPriority w:val="60"/>
    <w:rsid w:val="00B758A1"/>
    <w:pPr>
      <w:spacing w:after="0" w:line="240" w:lineRule="auto"/>
    </w:pPr>
    <w:rPr>
      <w:rFonts w:ascii="Arial" w:hAnsi="Arial"/>
      <w:color w:val="5F497A"/>
      <w:sz w:val="20"/>
      <w:szCs w:val="20"/>
      <w:lang w:val="it-IT"/>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1">
    <w:name w:val="Light Shading - Accent 41"/>
    <w:basedOn w:val="TableNormal"/>
    <w:next w:val="LightShading-Accent4"/>
    <w:uiPriority w:val="60"/>
    <w:rsid w:val="00B758A1"/>
    <w:pPr>
      <w:spacing w:after="0" w:line="240" w:lineRule="auto"/>
    </w:pPr>
    <w:rPr>
      <w:rFonts w:ascii="Arial" w:hAnsi="Arial"/>
      <w:color w:val="BF8F00"/>
      <w:sz w:val="20"/>
      <w:szCs w:val="20"/>
      <w:lang w:val="nl-BE"/>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paragraph" w:customStyle="1" w:styleId="Tablerowheader">
    <w:name w:val="Table row header"/>
    <w:basedOn w:val="Normal"/>
    <w:uiPriority w:val="1"/>
    <w:rsid w:val="00B758A1"/>
    <w:pPr>
      <w:spacing w:after="0" w:line="240" w:lineRule="auto"/>
    </w:pPr>
    <w:rPr>
      <w:rFonts w:ascii="Arial" w:eastAsia="Times New Roman" w:hAnsi="Arial" w:cs="Times New Roman"/>
      <w:b/>
      <w:color w:val="000000"/>
      <w:spacing w:val="-10"/>
      <w:sz w:val="18"/>
      <w:szCs w:val="24"/>
      <w:lang w:val="nl-BE" w:eastAsia="de-DE"/>
    </w:rPr>
  </w:style>
  <w:style w:type="character" w:customStyle="1" w:styleId="Style4Char">
    <w:name w:val="Style4 Char"/>
    <w:link w:val="Style4"/>
    <w:uiPriority w:val="99"/>
    <w:rsid w:val="00B758A1"/>
    <w:rPr>
      <w:rFonts w:ascii="Verdana" w:eastAsia="Times New Roman" w:hAnsi="Verdana" w:cs="Times New Roman"/>
      <w:b/>
      <w:bCs/>
      <w:iCs/>
      <w:noProof/>
      <w:color w:val="262626"/>
      <w:sz w:val="20"/>
      <w:szCs w:val="20"/>
      <w:lang w:val="nl-BE" w:eastAsia="nl-BE"/>
    </w:rPr>
  </w:style>
  <w:style w:type="paragraph" w:customStyle="1" w:styleId="AppendixHeading2">
    <w:name w:val="Appendix Heading 2"/>
    <w:basedOn w:val="Normal"/>
    <w:uiPriority w:val="1"/>
    <w:rsid w:val="00B758A1"/>
    <w:pPr>
      <w:keepNext/>
      <w:numPr>
        <w:ilvl w:val="1"/>
        <w:numId w:val="19"/>
      </w:numPr>
      <w:tabs>
        <w:tab w:val="num" w:pos="360"/>
      </w:tabs>
      <w:spacing w:after="120" w:line="240" w:lineRule="auto"/>
      <w:ind w:left="360" w:hanging="360"/>
    </w:pPr>
    <w:rPr>
      <w:rFonts w:ascii="Verdana" w:eastAsia="Times New Roman" w:hAnsi="Verdana" w:cs="Times New Roman"/>
      <w:b/>
      <w:color w:val="BFBFBF"/>
      <w:spacing w:val="-10"/>
      <w:sz w:val="28"/>
      <w:szCs w:val="24"/>
      <w:lang w:val="nl-BE" w:eastAsia="de-DE"/>
    </w:rPr>
  </w:style>
  <w:style w:type="paragraph" w:customStyle="1" w:styleId="AppendixHeading3">
    <w:name w:val="Appendix Heading 3"/>
    <w:basedOn w:val="Normal"/>
    <w:uiPriority w:val="1"/>
    <w:rsid w:val="00B758A1"/>
    <w:pPr>
      <w:keepNext/>
      <w:numPr>
        <w:ilvl w:val="2"/>
        <w:numId w:val="19"/>
      </w:numPr>
      <w:tabs>
        <w:tab w:val="num" w:pos="360"/>
      </w:tabs>
      <w:spacing w:after="120" w:line="240" w:lineRule="auto"/>
      <w:ind w:left="360" w:hanging="360"/>
    </w:pPr>
    <w:rPr>
      <w:rFonts w:ascii="Verdana" w:eastAsia="Times New Roman" w:hAnsi="Verdana" w:cs="Times New Roman"/>
      <w:b/>
      <w:color w:val="333333"/>
      <w:spacing w:val="-10"/>
      <w:szCs w:val="24"/>
      <w:lang w:val="nl-BE" w:eastAsia="de-DE"/>
    </w:rPr>
  </w:style>
  <w:style w:type="paragraph" w:customStyle="1" w:styleId="ListepuceCV">
    <w:name w:val="Liste puce CV"/>
    <w:basedOn w:val="Normal"/>
    <w:uiPriority w:val="1"/>
    <w:qFormat/>
    <w:rsid w:val="00B758A1"/>
    <w:pPr>
      <w:spacing w:before="20" w:after="120"/>
      <w:ind w:left="823" w:hanging="360"/>
    </w:pPr>
    <w:rPr>
      <w:rFonts w:ascii="Arial" w:eastAsia="Times New Roman" w:hAnsi="Arial" w:cs="Times New Roman"/>
      <w:color w:val="C00000"/>
      <w:spacing w:val="-10"/>
      <w:szCs w:val="24"/>
      <w:lang w:val="de-DE" w:eastAsia="de-DE"/>
    </w:rPr>
  </w:style>
  <w:style w:type="table" w:customStyle="1" w:styleId="LightGrid-Accent41">
    <w:name w:val="Light Grid - Accent 41"/>
    <w:basedOn w:val="TableNormal"/>
    <w:next w:val="LightGrid-Accent4"/>
    <w:uiPriority w:val="62"/>
    <w:rsid w:val="00B758A1"/>
    <w:pPr>
      <w:spacing w:after="0" w:line="240" w:lineRule="auto"/>
    </w:pPr>
    <w:rPr>
      <w:rFonts w:ascii="Arial" w:hAnsi="Arial"/>
      <w:sz w:val="18"/>
      <w:szCs w:val="20"/>
      <w:lang w:val="nl-BE"/>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Yu Mincho" w:eastAsia="Yu Mincho" w:hAnsi="Yu Mincho" w:cs="Times New Roman"/>
        <w:b/>
        <w:bCs/>
        <w:sz w:val="18"/>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Yu Mincho" w:eastAsia="Yu Mincho" w:hAnsi="Yu Mincho" w:cs="Times New Roman"/>
        <w:b/>
        <w:bCs/>
        <w:sz w:val="18"/>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Yu Mincho" w:eastAsia="Yu Mincho" w:hAnsi="Yu Mincho" w:cs="Times New Roman"/>
        <w:b/>
        <w:bCs/>
        <w:sz w:val="18"/>
      </w:rPr>
    </w:tblStylePr>
    <w:tblStylePr w:type="lastCol">
      <w:rPr>
        <w:rFonts w:ascii="Yu Mincho" w:eastAsia="Yu Mincho" w:hAnsi="Yu Mincho"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2Vert">
      <w:rPr>
        <w:rFonts w:ascii="Yu Mincho" w:hAnsi="Yu Mincho"/>
        <w:sz w:val="18"/>
      </w:rPr>
    </w:tblStylePr>
    <w:tblStylePr w:type="band1Horz">
      <w:rPr>
        <w:rFonts w:ascii="Yu Mincho" w:hAnsi="Yu Mincho"/>
      </w:rPr>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rPr>
        <w:rFonts w:ascii="Yu Mincho" w:hAnsi="Yu Mincho"/>
      </w:rPr>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paragraph" w:customStyle="1" w:styleId="hunntm">
    <w:name w:val="hun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itantm">
    <w:name w:val="ita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table" w:customStyle="1" w:styleId="LightShading1">
    <w:name w:val="Light Shading1"/>
    <w:basedOn w:val="TableNormal"/>
    <w:next w:val="LightShading"/>
    <w:uiPriority w:val="60"/>
    <w:rsid w:val="00B758A1"/>
    <w:pPr>
      <w:spacing w:after="0" w:line="240" w:lineRule="auto"/>
    </w:pPr>
    <w:rPr>
      <w:rFonts w:ascii="Arial" w:hAnsi="Arial"/>
      <w:color w:val="000000"/>
      <w:sz w:val="20"/>
      <w:szCs w:val="20"/>
      <w:lang w:val="nl-B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21">
    <w:name w:val="Light Shading - Accent 21"/>
    <w:basedOn w:val="TableNormal"/>
    <w:next w:val="LightShading-Accent2"/>
    <w:uiPriority w:val="60"/>
    <w:rsid w:val="00B758A1"/>
    <w:pPr>
      <w:spacing w:after="0" w:line="240" w:lineRule="auto"/>
    </w:pPr>
    <w:rPr>
      <w:rFonts w:ascii="Arial" w:hAnsi="Arial"/>
      <w:color w:val="C45911"/>
      <w:sz w:val="18"/>
      <w:szCs w:val="20"/>
      <w:lang w:val="nl-BE"/>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customStyle="1" w:styleId="LightShading-Accent11">
    <w:name w:val="Light Shading - Accent 11"/>
    <w:basedOn w:val="TableNormal"/>
    <w:next w:val="LightShading-Accent1"/>
    <w:uiPriority w:val="60"/>
    <w:rsid w:val="00B758A1"/>
    <w:pPr>
      <w:spacing w:after="0" w:line="240" w:lineRule="auto"/>
    </w:pPr>
    <w:rPr>
      <w:rFonts w:ascii="Arial" w:hAnsi="Arial"/>
      <w:color w:val="2F5496"/>
      <w:sz w:val="18"/>
      <w:szCs w:val="20"/>
      <w:lang w:val="nl-BE"/>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paragraph" w:customStyle="1" w:styleId="Lettrepuce2">
    <w:name w:val="Lettre puce 2"/>
    <w:basedOn w:val="Normal"/>
    <w:uiPriority w:val="99"/>
    <w:rsid w:val="00B758A1"/>
    <w:pPr>
      <w:tabs>
        <w:tab w:val="left" w:pos="560"/>
        <w:tab w:val="num" w:pos="1364"/>
      </w:tabs>
      <w:spacing w:before="60" w:after="60"/>
      <w:ind w:left="1364" w:hanging="284"/>
    </w:pPr>
    <w:rPr>
      <w:rFonts w:ascii="Arial" w:eastAsia="Times New Roman" w:hAnsi="Arial" w:cs="Times New Roman"/>
      <w:spacing w:val="-10"/>
      <w:szCs w:val="18"/>
      <w:lang w:val="de-DE" w:eastAsia="de-DE"/>
    </w:rPr>
  </w:style>
  <w:style w:type="table" w:customStyle="1" w:styleId="ColorfulList-Accent311">
    <w:name w:val="Colorful List - Accent 311"/>
    <w:basedOn w:val="TableNormal"/>
    <w:uiPriority w:val="72"/>
    <w:rsid w:val="00B758A1"/>
    <w:pPr>
      <w:spacing w:after="0" w:line="240" w:lineRule="auto"/>
    </w:pPr>
    <w:rPr>
      <w:color w:val="000000"/>
      <w:lang w:val="nl-BE"/>
    </w:rPr>
    <w:tblPr>
      <w:tblStyleRowBandSize w:val="1"/>
      <w:tblStyleColBandSize w:val="1"/>
    </w:tblPr>
    <w:tcPr>
      <w:shd w:val="clear" w:color="auto" w:fill="F5F5F5"/>
    </w:tcPr>
    <w:tblStylePr w:type="firstRow">
      <w:rPr>
        <w:b/>
        <w:bCs/>
        <w:color w:val="646464"/>
      </w:rPr>
      <w:tblPr/>
      <w:tcPr>
        <w:tcBorders>
          <w:bottom w:val="single" w:sz="12" w:space="0" w:color="646464"/>
        </w:tcBorders>
        <w:shd w:val="clear" w:color="auto" w:fill="C0C0C0"/>
      </w:tcPr>
    </w:tblStylePr>
    <w:tblStylePr w:type="lastRow">
      <w:rPr>
        <w:b/>
        <w:bCs/>
        <w:color w:val="C0C0C0"/>
      </w:rPr>
      <w:tblPr/>
      <w:tcPr>
        <w:tcBorders>
          <w:top w:val="single" w:sz="12" w:space="0" w:color="000000"/>
        </w:tcBorders>
        <w:shd w:val="clear" w:color="auto" w:fill="646464"/>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TabelEcorys1">
    <w:name w:val="TabelEcorys1"/>
    <w:basedOn w:val="TableNormal"/>
    <w:next w:val="TableGrid"/>
    <w:uiPriority w:val="59"/>
    <w:rsid w:val="00B758A1"/>
    <w:pPr>
      <w:spacing w:after="0" w:line="240" w:lineRule="auto"/>
    </w:pPr>
    <w:rPr>
      <w:rFonts w:ascii="Wingdings 3" w:hAnsi="Wingdings 3"/>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0">
    <w:name w:val="000"/>
    <w:aliases w:val="standaard,standaard uitvullen,standaard (alt-s),stan084daard,standaard 04...,standaard 155,standaard uitv042ullen,sta550ndaard,standaard 040,standaard81,0001,standaard 042,standaard1,standaard uitvullen1,standaard (alt-s)1,stan084daard1,standaard811"/>
    <w:basedOn w:val="Normal"/>
    <w:link w:val="000Char"/>
    <w:uiPriority w:val="1"/>
    <w:rsid w:val="00B758A1"/>
    <w:pPr>
      <w:tabs>
        <w:tab w:val="left" w:pos="907"/>
      </w:tabs>
      <w:overflowPunct w:val="0"/>
      <w:autoSpaceDE w:val="0"/>
      <w:autoSpaceDN w:val="0"/>
      <w:adjustRightInd w:val="0"/>
      <w:spacing w:before="60" w:after="60" w:line="260" w:lineRule="atLeast"/>
      <w:textAlignment w:val="baseline"/>
    </w:pPr>
    <w:rPr>
      <w:rFonts w:ascii="Arial" w:eastAsia="Times New Roman" w:hAnsi="Arial" w:cs="Times New Roman"/>
      <w:spacing w:val="-10"/>
      <w:kern w:val="12"/>
      <w:szCs w:val="20"/>
      <w:lang w:val="en-US" w:eastAsia="de-DE"/>
    </w:rPr>
  </w:style>
  <w:style w:type="character" w:customStyle="1" w:styleId="000Char">
    <w:name w:val="000 Char"/>
    <w:aliases w:val="standaard Char,standaard uitvullen Char,stan084daard Char,standaard (alt-s) Char,standaard uitvull0083 Char,standaard 040 Char,standaard 042 Char,standaard 155 Char,standaard81 Char,standaard uitv042ullen Char,standaard uitvulle045n Char"/>
    <w:basedOn w:val="DefaultParagraphFont"/>
    <w:link w:val="000"/>
    <w:uiPriority w:val="1"/>
    <w:rsid w:val="00B758A1"/>
    <w:rPr>
      <w:rFonts w:ascii="Arial" w:eastAsia="Times New Roman" w:hAnsi="Arial" w:cs="Times New Roman"/>
      <w:spacing w:val="-10"/>
      <w:kern w:val="12"/>
      <w:szCs w:val="20"/>
      <w:lang w:val="en-US" w:eastAsia="de-DE"/>
    </w:rPr>
  </w:style>
  <w:style w:type="paragraph" w:customStyle="1" w:styleId="EYBodytextnoparaspace">
    <w:name w:val="EY Body text (no para space)"/>
    <w:basedOn w:val="000"/>
    <w:link w:val="EYBodytextnoparaspaceChar"/>
    <w:uiPriority w:val="1"/>
    <w:qFormat/>
    <w:rsid w:val="00B758A1"/>
  </w:style>
  <w:style w:type="paragraph" w:customStyle="1" w:styleId="Listepuces1">
    <w:name w:val="Liste à puces 1"/>
    <w:basedOn w:val="Normal"/>
    <w:rsid w:val="00B758A1"/>
    <w:pPr>
      <w:tabs>
        <w:tab w:val="num" w:pos="284"/>
        <w:tab w:val="left" w:pos="907"/>
      </w:tabs>
      <w:spacing w:before="60" w:after="120"/>
      <w:ind w:left="284" w:hanging="284"/>
      <w:jc w:val="both"/>
    </w:pPr>
    <w:rPr>
      <w:rFonts w:ascii="Arial" w:eastAsia="Times New Roman" w:hAnsi="Arial" w:cs="Times New Roman"/>
      <w:color w:val="000000"/>
      <w:spacing w:val="-10"/>
      <w:kern w:val="12"/>
      <w:sz w:val="20"/>
      <w:szCs w:val="18"/>
      <w:lang w:val="en-GB" w:eastAsia="fr-FR"/>
    </w:rPr>
  </w:style>
  <w:style w:type="character" w:customStyle="1" w:styleId="EYBodytextnoparaspaceChar">
    <w:name w:val="EY Body text (no para space) Char"/>
    <w:basedOn w:val="000Char"/>
    <w:link w:val="EYBodytextnoparaspace"/>
    <w:uiPriority w:val="1"/>
    <w:rsid w:val="00B758A1"/>
    <w:rPr>
      <w:rFonts w:ascii="Arial" w:eastAsia="Times New Roman" w:hAnsi="Arial" w:cs="Times New Roman"/>
      <w:spacing w:val="-10"/>
      <w:kern w:val="12"/>
      <w:szCs w:val="20"/>
      <w:lang w:val="en-US" w:eastAsia="de-DE"/>
    </w:rPr>
  </w:style>
  <w:style w:type="paragraph" w:customStyle="1" w:styleId="Captiondghome">
    <w:name w:val="Caption dg home"/>
    <w:basedOn w:val="Normal"/>
    <w:link w:val="CaptiondghomeChar"/>
    <w:uiPriority w:val="1"/>
    <w:qFormat/>
    <w:rsid w:val="00B758A1"/>
    <w:pPr>
      <w:keepNext/>
      <w:spacing w:before="200" w:after="120" w:line="240" w:lineRule="auto"/>
      <w:jc w:val="center"/>
    </w:pPr>
    <w:rPr>
      <w:rFonts w:ascii="Verdana" w:eastAsia="Wingdings 3" w:hAnsi="Verdana" w:cs="Times New Roman"/>
      <w:b/>
      <w:bCs/>
      <w:color w:val="7F7E82"/>
      <w:spacing w:val="-10"/>
      <w:sz w:val="18"/>
      <w:szCs w:val="18"/>
      <w:lang w:val="en-GB"/>
    </w:rPr>
  </w:style>
  <w:style w:type="character" w:customStyle="1" w:styleId="CaptiondghomeChar">
    <w:name w:val="Caption dg home Char"/>
    <w:basedOn w:val="DefaultParagraphFont"/>
    <w:link w:val="Captiondghome"/>
    <w:uiPriority w:val="1"/>
    <w:rsid w:val="00B758A1"/>
    <w:rPr>
      <w:rFonts w:ascii="Verdana" w:eastAsia="Wingdings 3" w:hAnsi="Verdana" w:cs="Times New Roman"/>
      <w:b/>
      <w:bCs/>
      <w:color w:val="7F7E82"/>
      <w:spacing w:val="-10"/>
      <w:sz w:val="18"/>
      <w:szCs w:val="18"/>
      <w:lang w:val="en-GB"/>
    </w:rPr>
  </w:style>
  <w:style w:type="table" w:customStyle="1" w:styleId="CV13">
    <w:name w:val="CV13"/>
    <w:basedOn w:val="TableNormal"/>
    <w:next w:val="TableGrid"/>
    <w:uiPriority w:val="59"/>
    <w:rsid w:val="00B758A1"/>
    <w:pPr>
      <w:spacing w:after="0" w:line="240" w:lineRule="auto"/>
    </w:pPr>
    <w:rPr>
      <w:rFonts w:ascii="Wingdings 3" w:eastAsia="Wingdings 3" w:hAnsi="Wingdings 3" w:cs="Wingdings 3"/>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autitreEY">
    <w:name w:val="Tableau titre_EY"/>
    <w:basedOn w:val="Normal"/>
    <w:link w:val="TableautitreEYChar"/>
    <w:autoRedefine/>
    <w:uiPriority w:val="1"/>
    <w:rsid w:val="00B758A1"/>
    <w:pPr>
      <w:keepNext/>
      <w:spacing w:beforeLines="23" w:before="55" w:afterLines="23" w:after="55"/>
      <w:ind w:right="-108"/>
      <w:jc w:val="center"/>
    </w:pPr>
    <w:rPr>
      <w:rFonts w:ascii="Arial" w:eastAsia="Times New Roman" w:hAnsi="Arial" w:cs="Times New Roman"/>
      <w:bCs/>
      <w:color w:val="595959"/>
      <w:spacing w:val="-10"/>
      <w:sz w:val="20"/>
      <w:szCs w:val="20"/>
      <w:lang w:val="en-US"/>
    </w:rPr>
  </w:style>
  <w:style w:type="character" w:customStyle="1" w:styleId="TableautitreEYChar">
    <w:name w:val="Tableau titre_EY Char"/>
    <w:basedOn w:val="DefaultParagraphFont"/>
    <w:link w:val="TableautitreEY"/>
    <w:uiPriority w:val="1"/>
    <w:rsid w:val="00B758A1"/>
    <w:rPr>
      <w:rFonts w:ascii="Arial" w:eastAsia="Times New Roman" w:hAnsi="Arial" w:cs="Times New Roman"/>
      <w:bCs/>
      <w:color w:val="595959"/>
      <w:spacing w:val="-10"/>
      <w:sz w:val="20"/>
      <w:szCs w:val="20"/>
      <w:lang w:val="en-US"/>
    </w:rPr>
  </w:style>
  <w:style w:type="paragraph" w:customStyle="1" w:styleId="Heading3EYEY">
    <w:name w:val="Heading 3 EY EY"/>
    <w:basedOn w:val="Heading1"/>
    <w:link w:val="Heading3EYEYChar"/>
    <w:autoRedefine/>
    <w:uiPriority w:val="1"/>
    <w:qFormat/>
    <w:rsid w:val="00B758A1"/>
    <w:pPr>
      <w:keepLines/>
      <w:spacing w:before="360" w:after="120" w:line="276" w:lineRule="auto"/>
      <w:jc w:val="left"/>
    </w:pPr>
    <w:rPr>
      <w:rFonts w:ascii="Arial" w:eastAsiaTheme="majorEastAsia" w:hAnsi="Arial" w:cstheme="majorBidi"/>
      <w:bCs/>
      <w:smallCaps w:val="0"/>
      <w:noProof/>
      <w:color w:val="646464"/>
      <w:sz w:val="32"/>
      <w:szCs w:val="32"/>
      <w:lang w:val="de-DE" w:eastAsia="en-GB"/>
    </w:rPr>
  </w:style>
  <w:style w:type="paragraph" w:customStyle="1" w:styleId="Heading2EYEY">
    <w:name w:val="Heading 2 EY EY"/>
    <w:basedOn w:val="Heading1"/>
    <w:autoRedefine/>
    <w:uiPriority w:val="1"/>
    <w:qFormat/>
    <w:rsid w:val="00B758A1"/>
    <w:pPr>
      <w:keepLines/>
      <w:ind w:left="1021" w:hanging="1021"/>
      <w:jc w:val="left"/>
    </w:pPr>
    <w:rPr>
      <w:rFonts w:ascii="Arial" w:eastAsiaTheme="majorEastAsia" w:hAnsi="Arial" w:cstheme="majorBidi"/>
      <w:bCs/>
      <w:smallCaps w:val="0"/>
      <w:color w:val="646464"/>
      <w:spacing w:val="-10"/>
      <w:sz w:val="22"/>
      <w:szCs w:val="44"/>
      <w:lang w:val="de-DE" w:eastAsia="de-DE"/>
    </w:rPr>
  </w:style>
  <w:style w:type="character" w:customStyle="1" w:styleId="Heading3EYEYChar">
    <w:name w:val="Heading 3 EY EY Char"/>
    <w:basedOn w:val="DefaultParagraphFont"/>
    <w:link w:val="Heading3EYEY"/>
    <w:uiPriority w:val="1"/>
    <w:rsid w:val="00B758A1"/>
    <w:rPr>
      <w:rFonts w:ascii="Arial" w:eastAsiaTheme="majorEastAsia" w:hAnsi="Arial" w:cstheme="majorBidi"/>
      <w:b/>
      <w:bCs/>
      <w:noProof/>
      <w:color w:val="646464"/>
      <w:sz w:val="32"/>
      <w:szCs w:val="32"/>
      <w:lang w:val="de-DE" w:eastAsia="en-GB"/>
    </w:rPr>
  </w:style>
  <w:style w:type="paragraph" w:customStyle="1" w:styleId="Bullet3">
    <w:name w:val="Bullet 3"/>
    <w:basedOn w:val="ListParagraph"/>
    <w:uiPriority w:val="1"/>
    <w:qFormat/>
    <w:rsid w:val="00B758A1"/>
    <w:pPr>
      <w:widowControl w:val="0"/>
      <w:adjustRightInd w:val="0"/>
      <w:spacing w:before="120" w:after="120" w:line="276" w:lineRule="auto"/>
      <w:ind w:left="0" w:hanging="283"/>
      <w:contextualSpacing w:val="0"/>
      <w:jc w:val="left"/>
      <w:textAlignment w:val="baseline"/>
    </w:pPr>
    <w:rPr>
      <w:rFonts w:ascii="Arial" w:hAnsi="Arial"/>
      <w:iCs/>
      <w:spacing w:val="-10"/>
      <w:sz w:val="22"/>
      <w:szCs w:val="24"/>
      <w:lang w:val="en-US" w:eastAsia="de-DE"/>
    </w:rPr>
  </w:style>
  <w:style w:type="character" w:customStyle="1" w:styleId="Style1Char">
    <w:name w:val="Style1 Char"/>
    <w:uiPriority w:val="1"/>
    <w:rsid w:val="00B758A1"/>
    <w:rPr>
      <w:rFonts w:eastAsia="Calibri" w:cs="EYInterstate Light"/>
      <w:szCs w:val="22"/>
      <w:lang w:val="en-GB"/>
    </w:rPr>
  </w:style>
  <w:style w:type="paragraph" w:customStyle="1" w:styleId="Heading4EYEY">
    <w:name w:val="Heading 4 EY EY"/>
    <w:basedOn w:val="Heading1"/>
    <w:link w:val="Heading4EYEYChar"/>
    <w:autoRedefine/>
    <w:uiPriority w:val="1"/>
    <w:qFormat/>
    <w:rsid w:val="00B758A1"/>
    <w:pPr>
      <w:keepLines/>
      <w:spacing w:line="276" w:lineRule="auto"/>
      <w:ind w:left="709"/>
      <w:jc w:val="left"/>
    </w:pPr>
    <w:rPr>
      <w:rFonts w:ascii="Arial" w:eastAsiaTheme="majorEastAsia" w:hAnsi="Arial" w:cstheme="majorBidi"/>
      <w:bCs/>
      <w:smallCaps w:val="0"/>
      <w:noProof/>
      <w:color w:val="646464"/>
      <w:sz w:val="48"/>
      <w:szCs w:val="28"/>
      <w:lang w:val="en" w:eastAsia="en-GB"/>
    </w:rPr>
  </w:style>
  <w:style w:type="character" w:customStyle="1" w:styleId="Heading4EYEYChar">
    <w:name w:val="Heading 4 EY EY Char"/>
    <w:basedOn w:val="DefaultParagraphFont"/>
    <w:link w:val="Heading4EYEY"/>
    <w:uiPriority w:val="1"/>
    <w:rsid w:val="00B758A1"/>
    <w:rPr>
      <w:rFonts w:ascii="Arial" w:eastAsiaTheme="majorEastAsia" w:hAnsi="Arial" w:cstheme="majorBidi"/>
      <w:b/>
      <w:bCs/>
      <w:noProof/>
      <w:color w:val="646464"/>
      <w:sz w:val="48"/>
      <w:szCs w:val="28"/>
      <w:lang w:val="en" w:eastAsia="en-GB"/>
    </w:rPr>
  </w:style>
  <w:style w:type="table" w:customStyle="1" w:styleId="MediumList2-Accent2111">
    <w:name w:val="Medium List 2 - Accent 2111"/>
    <w:basedOn w:val="TableNormal"/>
    <w:uiPriority w:val="99"/>
    <w:rsid w:val="00B758A1"/>
    <w:pPr>
      <w:spacing w:after="0" w:line="240" w:lineRule="auto"/>
    </w:pPr>
    <w:rPr>
      <w:rFonts w:ascii="Arial" w:eastAsia="Times New Roman" w:hAnsi="Arial" w:cs="Times New Roman"/>
      <w:color w:val="000000"/>
      <w:sz w:val="18"/>
      <w:szCs w:val="20"/>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cs="Times New Roman"/>
        <w:sz w:val="24"/>
        <w:szCs w:val="24"/>
      </w:rPr>
      <w:tblPr/>
      <w:tcPr>
        <w:shd w:val="clear" w:color="auto" w:fill="C1C1C1"/>
      </w:tcPr>
    </w:tblStylePr>
    <w:tblStylePr w:type="lastRow">
      <w:rPr>
        <w:rFonts w:ascii="Yu Mincho" w:hAnsi="Yu Mincho" w:cs="Times New Roman"/>
        <w:color w:val="auto"/>
        <w:sz w:val="18"/>
      </w:rPr>
      <w:tblPr/>
      <w:tcPr>
        <w:shd w:val="clear" w:color="auto" w:fill="F0F0F0"/>
      </w:tcPr>
    </w:tblStylePr>
    <w:tblStylePr w:type="firstCol">
      <w:rPr>
        <w:rFonts w:ascii="Yu Mincho" w:hAnsi="Yu Mincho" w:cs="Times New Roman"/>
        <w:sz w:val="18"/>
      </w:rPr>
    </w:tblStylePr>
    <w:tblStylePr w:type="lastCol">
      <w:rPr>
        <w:rFonts w:ascii="Yu Mincho" w:hAnsi="Yu Mincho" w:cs="Times New Roman"/>
        <w:sz w:val="18"/>
      </w:rPr>
    </w:tblStylePr>
    <w:tblStylePr w:type="band1Vert">
      <w:rPr>
        <w:rFonts w:ascii="Yu Mincho" w:hAnsi="Yu Mincho" w:cs="Times New Roman"/>
        <w:sz w:val="18"/>
      </w:rPr>
    </w:tblStylePr>
    <w:tblStylePr w:type="band2Vert">
      <w:rPr>
        <w:rFonts w:ascii="Yu Mincho" w:hAnsi="Yu Mincho"/>
        <w:sz w:val="18"/>
      </w:rPr>
    </w:tblStylePr>
    <w:tblStylePr w:type="band1Horz">
      <w:rPr>
        <w:rFonts w:ascii="Yu Mincho" w:hAnsi="Yu Mincho" w:cs="Times New Roman"/>
        <w:sz w:val="18"/>
      </w:rPr>
      <w:tblPr/>
      <w:tcPr>
        <w:shd w:val="clear" w:color="auto" w:fill="E0E0E0"/>
      </w:tcPr>
    </w:tblStylePr>
    <w:tblStylePr w:type="band2Horz">
      <w:rPr>
        <w:rFonts w:ascii="Yu Mincho" w:hAnsi="Yu Mincho"/>
        <w:sz w:val="18"/>
      </w:rPr>
      <w:tblPr/>
      <w:tcPr>
        <w:shd w:val="clear" w:color="auto" w:fill="F0F0F0"/>
      </w:tcPr>
    </w:tblStylePr>
    <w:tblStylePr w:type="neCell">
      <w:rPr>
        <w:rFonts w:ascii="Yu Mincho" w:hAnsi="Yu Mincho"/>
        <w:sz w:val="18"/>
      </w:rPr>
      <w:tblPr/>
      <w:tcPr>
        <w:shd w:val="clear" w:color="auto" w:fill="C1C1C1"/>
      </w:tcPr>
    </w:tblStylePr>
    <w:tblStylePr w:type="nwCell">
      <w:rPr>
        <w:rFonts w:cs="Times New Roman"/>
      </w:rPr>
      <w:tblPr/>
      <w:tcPr>
        <w:shd w:val="clear" w:color="auto" w:fill="C1C1C1"/>
      </w:tcPr>
    </w:tblStylePr>
    <w:tblStylePr w:type="seCell">
      <w:rPr>
        <w:rFonts w:ascii="Yu Mincho" w:hAnsi="Yu Mincho"/>
        <w:sz w:val="18"/>
      </w:rPr>
    </w:tblStylePr>
    <w:tblStylePr w:type="swCell">
      <w:rPr>
        <w:rFonts w:ascii="Yu Mincho" w:hAnsi="Yu Mincho" w:cs="Times New Roman"/>
        <w:sz w:val="18"/>
      </w:rPr>
    </w:tblStylePr>
  </w:style>
  <w:style w:type="paragraph" w:customStyle="1" w:styleId="CVNormal">
    <w:name w:val="CV Normal"/>
    <w:basedOn w:val="Normal"/>
    <w:link w:val="CVNormalChar"/>
    <w:rsid w:val="00B758A1"/>
    <w:pPr>
      <w:suppressAutoHyphens/>
      <w:spacing w:after="0" w:line="240" w:lineRule="auto"/>
      <w:ind w:left="113" w:right="113"/>
      <w:jc w:val="both"/>
    </w:pPr>
    <w:rPr>
      <w:rFonts w:ascii="Verdana" w:eastAsia="Times New Roman" w:hAnsi="Verdana" w:cs="Times New Roman"/>
      <w:spacing w:val="-10"/>
      <w:sz w:val="20"/>
      <w:szCs w:val="20"/>
      <w:lang w:val="en-US" w:eastAsia="ar-SA"/>
    </w:rPr>
  </w:style>
  <w:style w:type="paragraph" w:customStyle="1" w:styleId="ECVSectionBullet">
    <w:name w:val="_ECV_SectionBullet"/>
    <w:basedOn w:val="Normal"/>
    <w:uiPriority w:val="1"/>
    <w:rsid w:val="00B758A1"/>
    <w:pPr>
      <w:widowControl w:val="0"/>
      <w:suppressLineNumbers/>
      <w:suppressAutoHyphens/>
      <w:autoSpaceDE w:val="0"/>
      <w:spacing w:after="0" w:line="100" w:lineRule="atLeast"/>
    </w:pPr>
    <w:rPr>
      <w:rFonts w:ascii="Verdana" w:eastAsia="Wingdings 3" w:hAnsi="Verdana" w:cs="Cambria Math"/>
      <w:color w:val="3F3A38"/>
      <w:spacing w:val="-6"/>
      <w:kern w:val="1"/>
      <w:sz w:val="18"/>
      <w:szCs w:val="24"/>
      <w:lang w:val="de-DE" w:eastAsia="zh-CN" w:bidi="hi-IN"/>
    </w:rPr>
  </w:style>
  <w:style w:type="paragraph" w:customStyle="1" w:styleId="TableParagraph">
    <w:name w:val="Table Paragraph"/>
    <w:basedOn w:val="Normal"/>
    <w:uiPriority w:val="1"/>
    <w:qFormat/>
    <w:rsid w:val="00B758A1"/>
    <w:pPr>
      <w:widowControl w:val="0"/>
      <w:spacing w:after="0" w:line="240" w:lineRule="auto"/>
    </w:pPr>
    <w:rPr>
      <w:rFonts w:ascii="Wingdings 3" w:eastAsia="Times New Roman" w:hAnsi="Wingdings 3" w:cs="Times New Roman"/>
      <w:spacing w:val="-10"/>
      <w:szCs w:val="24"/>
      <w:lang w:val="en-US" w:eastAsia="de-DE"/>
    </w:rPr>
  </w:style>
  <w:style w:type="paragraph" w:customStyle="1" w:styleId="CharCharChar">
    <w:name w:val="Char Char Char"/>
    <w:basedOn w:val="Normal"/>
    <w:uiPriority w:val="99"/>
    <w:rsid w:val="00B758A1"/>
    <w:pPr>
      <w:spacing w:before="60" w:after="160" w:line="240" w:lineRule="exact"/>
    </w:pPr>
    <w:rPr>
      <w:rFonts w:ascii="Arial" w:eastAsia="Wingdings 3" w:hAnsi="Arial" w:cs="Times New Roman"/>
      <w:spacing w:val="-10"/>
      <w:sz w:val="16"/>
      <w:szCs w:val="20"/>
      <w:vertAlign w:val="superscript"/>
      <w:lang w:val="de-DE" w:eastAsia="it-IT"/>
    </w:rPr>
  </w:style>
  <w:style w:type="paragraph" w:customStyle="1" w:styleId="SmallNormal">
    <w:name w:val="Small Normal"/>
    <w:basedOn w:val="Normal"/>
    <w:link w:val="SmallNormalChar"/>
    <w:uiPriority w:val="1"/>
    <w:qFormat/>
    <w:rsid w:val="00B758A1"/>
    <w:pPr>
      <w:tabs>
        <w:tab w:val="num" w:pos="720"/>
        <w:tab w:val="right" w:pos="6804"/>
      </w:tabs>
      <w:spacing w:beforeLines="23" w:before="120" w:afterLines="23" w:after="60"/>
    </w:pPr>
    <w:rPr>
      <w:rFonts w:ascii="Arial" w:eastAsia="Wingdings 3" w:hAnsi="Arial" w:cs="Times New Roman"/>
      <w:spacing w:val="-10"/>
      <w:szCs w:val="18"/>
      <w:lang w:val="de-DE" w:eastAsia="de-DE"/>
    </w:rPr>
  </w:style>
  <w:style w:type="character" w:customStyle="1" w:styleId="SmallNormalChar">
    <w:name w:val="Small Normal Char"/>
    <w:basedOn w:val="DefaultParagraphFont"/>
    <w:link w:val="SmallNormal"/>
    <w:uiPriority w:val="1"/>
    <w:rsid w:val="00B758A1"/>
    <w:rPr>
      <w:rFonts w:ascii="Arial" w:eastAsia="Wingdings 3" w:hAnsi="Arial" w:cs="Times New Roman"/>
      <w:spacing w:val="-10"/>
      <w:szCs w:val="18"/>
      <w:lang w:val="de-DE" w:eastAsia="de-DE"/>
    </w:rPr>
  </w:style>
  <w:style w:type="paragraph" w:customStyle="1" w:styleId="Lettrepuce1">
    <w:name w:val="Lettre puce 1"/>
    <w:basedOn w:val="Normal"/>
    <w:uiPriority w:val="1"/>
    <w:rsid w:val="00B758A1"/>
    <w:pPr>
      <w:tabs>
        <w:tab w:val="num" w:pos="0"/>
        <w:tab w:val="left" w:pos="294"/>
      </w:tabs>
      <w:overflowPunct w:val="0"/>
      <w:autoSpaceDE w:val="0"/>
      <w:autoSpaceDN w:val="0"/>
      <w:adjustRightInd w:val="0"/>
      <w:spacing w:before="120" w:after="120" w:line="300" w:lineRule="exact"/>
      <w:ind w:left="283" w:right="-109" w:hanging="283"/>
      <w:jc w:val="both"/>
      <w:textAlignment w:val="baseline"/>
    </w:pPr>
    <w:rPr>
      <w:rFonts w:ascii="Arial" w:eastAsia="Times New Roman" w:hAnsi="Arial" w:cs="Times New Roman"/>
      <w:spacing w:val="-10"/>
      <w:sz w:val="18"/>
      <w:szCs w:val="18"/>
      <w:lang w:val="fr-FR"/>
    </w:rPr>
  </w:style>
  <w:style w:type="character" w:customStyle="1" w:styleId="MatrixnormalChar">
    <w:name w:val="Matrix normal Char"/>
    <w:basedOn w:val="DefaultParagraphFont"/>
    <w:link w:val="Matrixnormal"/>
    <w:uiPriority w:val="1"/>
    <w:locked/>
    <w:rsid w:val="00B758A1"/>
    <w:rPr>
      <w:rFonts w:ascii="Verdana" w:eastAsia="Times New Roman" w:hAnsi="Verdana" w:cs="Verdana"/>
      <w:color w:val="000000"/>
      <w:szCs w:val="24"/>
      <w:lang w:eastAsia="de-DE"/>
    </w:rPr>
  </w:style>
  <w:style w:type="paragraph" w:customStyle="1" w:styleId="Matrixnormal">
    <w:name w:val="Matrix normal"/>
    <w:basedOn w:val="Normal"/>
    <w:link w:val="MatrixnormalChar"/>
    <w:uiPriority w:val="1"/>
    <w:qFormat/>
    <w:rsid w:val="00B758A1"/>
    <w:pPr>
      <w:spacing w:after="0" w:line="280" w:lineRule="exact"/>
    </w:pPr>
    <w:rPr>
      <w:rFonts w:ascii="Verdana" w:eastAsia="Times New Roman" w:hAnsi="Verdana" w:cs="Verdana"/>
      <w:color w:val="000000"/>
      <w:szCs w:val="24"/>
      <w:lang w:eastAsia="de-DE"/>
    </w:rPr>
  </w:style>
  <w:style w:type="paragraph" w:customStyle="1" w:styleId="subhead321">
    <w:name w:val="subhead 321"/>
    <w:basedOn w:val="Normal"/>
    <w:next w:val="Normal"/>
    <w:uiPriority w:val="99"/>
    <w:unhideWhenUsed/>
    <w:qFormat/>
    <w:rsid w:val="00B758A1"/>
    <w:pPr>
      <w:keepNext/>
      <w:keepLines/>
      <w:spacing w:before="200" w:after="120"/>
      <w:ind w:left="864" w:hanging="864"/>
      <w:outlineLvl w:val="3"/>
    </w:pPr>
    <w:rPr>
      <w:rFonts w:ascii="Arial" w:eastAsia="Times New Roman" w:hAnsi="Arial" w:cs="Times New Roman"/>
      <w:b/>
      <w:bCs/>
      <w:i/>
      <w:iCs/>
      <w:spacing w:val="-10"/>
      <w:szCs w:val="24"/>
      <w:lang w:val="de-DE" w:eastAsia="de-DE"/>
    </w:rPr>
  </w:style>
  <w:style w:type="paragraph" w:customStyle="1" w:styleId="boxbullet1">
    <w:name w:val="box bullet"/>
    <w:basedOn w:val="ListParagraph"/>
    <w:uiPriority w:val="99"/>
    <w:rsid w:val="00B758A1"/>
    <w:pPr>
      <w:suppressAutoHyphens/>
      <w:spacing w:before="120" w:after="60"/>
      <w:ind w:left="436"/>
      <w:contextualSpacing w:val="0"/>
      <w:jc w:val="left"/>
    </w:pPr>
    <w:rPr>
      <w:rFonts w:ascii="Verdana" w:hAnsi="Verdana"/>
      <w:iCs/>
      <w:spacing w:val="-10"/>
      <w:sz w:val="18"/>
      <w:szCs w:val="18"/>
      <w:lang w:val="de-DE" w:eastAsia="de-DE"/>
    </w:rPr>
  </w:style>
  <w:style w:type="table" w:customStyle="1" w:styleId="EYTable2">
    <w:name w:val="EY Table 2"/>
    <w:basedOn w:val="TableGrid"/>
    <w:next w:val="TableNormal"/>
    <w:rsid w:val="00B758A1"/>
    <w:pPr>
      <w:overflowPunct w:val="0"/>
      <w:autoSpaceDE w:val="0"/>
      <w:autoSpaceDN w:val="0"/>
      <w:adjustRightInd w:val="0"/>
      <w:textAlignment w:val="baseline"/>
    </w:pPr>
    <w:rPr>
      <w:rFonts w:ascii="Arial" w:hAnsi="Arial"/>
      <w:sz w:val="18"/>
      <w:lang w:val="en-US" w:eastAsia="en-US"/>
    </w:rPr>
    <w:tblPr>
      <w:tblStyleRowBandSize w:val="1"/>
      <w:tblInd w:w="108" w:type="dxa"/>
      <w:tblBorders>
        <w:top w:val="none" w:sz="0" w:space="0" w:color="auto"/>
        <w:left w:val="none" w:sz="0" w:space="0" w:color="auto"/>
        <w:bottom w:val="none" w:sz="0" w:space="0" w:color="auto"/>
        <w:right w:val="none" w:sz="0" w:space="0" w:color="auto"/>
        <w:insideH w:val="single" w:sz="8" w:space="0" w:color="FFFFFF"/>
        <w:insideV w:val="single" w:sz="8" w:space="0" w:color="FFFFFF"/>
      </w:tblBorders>
      <w:tblCellMar>
        <w:top w:w="57" w:type="dxa"/>
        <w:bottom w:w="57" w:type="dxa"/>
      </w:tblCellMar>
    </w:tblPr>
    <w:tcPr>
      <w:shd w:val="clear" w:color="auto" w:fill="F0F0F0"/>
    </w:tcPr>
    <w:tblStylePr w:type="firstRow">
      <w:rPr>
        <w:rFonts w:ascii="Yu Mincho" w:hAnsi="Yu Mincho"/>
        <w:b/>
        <w:i w:val="0"/>
        <w:color w:val="646464"/>
        <w:sz w:val="20"/>
      </w:rPr>
      <w:tblPr/>
      <w:tcPr>
        <w:shd w:val="clear" w:color="auto" w:fill="FFE600"/>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paragraph" w:customStyle="1" w:styleId="ListBullet1">
    <w:name w:val="List Bullet 1"/>
    <w:basedOn w:val="Normal"/>
    <w:uiPriority w:val="99"/>
    <w:rsid w:val="00B758A1"/>
    <w:pPr>
      <w:tabs>
        <w:tab w:val="left" w:pos="907"/>
      </w:tabs>
      <w:spacing w:before="120" w:after="60" w:line="240" w:lineRule="auto"/>
      <w:ind w:left="360" w:hanging="360"/>
      <w:jc w:val="both"/>
    </w:pPr>
    <w:rPr>
      <w:rFonts w:ascii="Arial" w:hAnsi="Arial"/>
      <w:noProof/>
      <w:spacing w:val="-10"/>
      <w:kern w:val="12"/>
      <w:sz w:val="20"/>
      <w:lang w:val="en-GB"/>
    </w:rPr>
  </w:style>
  <w:style w:type="table" w:customStyle="1" w:styleId="Table-standard2">
    <w:name w:val="Table - standard2"/>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ED7D31"/>
      </w:tcPr>
    </w:tblStylePr>
    <w:tblStylePr w:type="lastRow">
      <w:rPr>
        <w:rFonts w:ascii="Yu Mincho" w:hAnsi="Yu Mincho"/>
      </w:rPr>
    </w:tblStylePr>
    <w:tblStylePr w:type="firstCol">
      <w:tblPr/>
      <w:tcPr>
        <w:tcBorders>
          <w:insideH w:val="single" w:sz="4" w:space="0" w:color="auto"/>
        </w:tcBorders>
        <w:shd w:val="clear" w:color="auto" w:fill="404F64"/>
      </w:tcPr>
    </w:tblStylePr>
  </w:style>
  <w:style w:type="paragraph" w:customStyle="1" w:styleId="Bullettable2">
    <w:name w:val="Bullet table 2"/>
    <w:basedOn w:val="Normal"/>
    <w:link w:val="Bullettable2Char"/>
    <w:uiPriority w:val="1"/>
    <w:qFormat/>
    <w:rsid w:val="00B758A1"/>
    <w:pPr>
      <w:numPr>
        <w:numId w:val="24"/>
      </w:numPr>
      <w:tabs>
        <w:tab w:val="num" w:pos="360"/>
      </w:tabs>
      <w:spacing w:before="40" w:after="40" w:line="240" w:lineRule="auto"/>
    </w:pPr>
    <w:rPr>
      <w:rFonts w:ascii="Arial" w:eastAsia="Times New Roman" w:hAnsi="Arial" w:cs="Times New Roman"/>
      <w:noProof/>
      <w:spacing w:val="-10"/>
      <w:sz w:val="18"/>
      <w:szCs w:val="18"/>
      <w:lang w:val="de-DE" w:eastAsia="de-DE"/>
    </w:rPr>
  </w:style>
  <w:style w:type="character" w:customStyle="1" w:styleId="Bullettable2Char">
    <w:name w:val="Bullet table 2 Char"/>
    <w:basedOn w:val="DefaultParagraphFont"/>
    <w:link w:val="Bullettable2"/>
    <w:uiPriority w:val="1"/>
    <w:rsid w:val="00B758A1"/>
    <w:rPr>
      <w:rFonts w:ascii="Arial" w:eastAsia="Times New Roman" w:hAnsi="Arial" w:cs="Times New Roman"/>
      <w:noProof/>
      <w:spacing w:val="-10"/>
      <w:sz w:val="18"/>
      <w:szCs w:val="18"/>
      <w:lang w:val="de-DE" w:eastAsia="de-DE"/>
    </w:rPr>
  </w:style>
  <w:style w:type="character" w:customStyle="1" w:styleId="date-display-single">
    <w:name w:val="date-display-single"/>
    <w:basedOn w:val="DefaultParagraphFont"/>
    <w:rsid w:val="00B758A1"/>
  </w:style>
  <w:style w:type="table" w:customStyle="1" w:styleId="ColorfulList-Accent3111">
    <w:name w:val="Colorful List - Accent 3111"/>
    <w:uiPriority w:val="72"/>
    <w:rsid w:val="00B758A1"/>
    <w:pPr>
      <w:spacing w:after="0" w:line="240" w:lineRule="auto"/>
    </w:pPr>
    <w:rPr>
      <w:rFonts w:ascii="Wingdings 3" w:eastAsia="Wingdings 3" w:hAnsi="Wingdings 3" w:cs="Times New Roman"/>
      <w:color w:val="000000"/>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5F5F5"/>
    </w:tcPr>
  </w:style>
  <w:style w:type="character" w:customStyle="1" w:styleId="file-link">
    <w:name w:val="file-link"/>
    <w:basedOn w:val="DefaultParagraphFont"/>
    <w:rsid w:val="00B758A1"/>
  </w:style>
  <w:style w:type="table" w:customStyle="1" w:styleId="Style111">
    <w:name w:val="Style111"/>
    <w:basedOn w:val="TableNormal"/>
    <w:uiPriority w:val="99"/>
    <w:rsid w:val="00B758A1"/>
    <w:pPr>
      <w:spacing w:after="0" w:line="240" w:lineRule="auto"/>
    </w:pPr>
    <w:rPr>
      <w:rFonts w:ascii="Wingdings 3" w:eastAsia="Wingdings 3" w:hAnsi="Wingdings 3" w:cs="Times New Roman"/>
      <w:lang w:val="en-GB"/>
    </w:rPr>
    <w:tblPr/>
  </w:style>
  <w:style w:type="paragraph" w:customStyle="1" w:styleId="Style8">
    <w:name w:val="Style8"/>
    <w:basedOn w:val="Heading6"/>
    <w:link w:val="Style8Char"/>
    <w:uiPriority w:val="1"/>
    <w:qFormat/>
    <w:rsid w:val="00B758A1"/>
    <w:pPr>
      <w:numPr>
        <w:ilvl w:val="5"/>
        <w:numId w:val="25"/>
      </w:numPr>
      <w:tabs>
        <w:tab w:val="num" w:pos="360"/>
        <w:tab w:val="num" w:pos="4320"/>
      </w:tabs>
      <w:spacing w:before="200" w:after="120"/>
      <w:jc w:val="left"/>
    </w:pPr>
    <w:rPr>
      <w:rFonts w:ascii="Arial" w:hAnsi="Arial"/>
      <w:iCs/>
      <w:color w:val="1F3763"/>
      <w:szCs w:val="20"/>
      <w:lang w:eastAsia="de-DE"/>
    </w:rPr>
  </w:style>
  <w:style w:type="paragraph" w:customStyle="1" w:styleId="autntm">
    <w:name w:val="aut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table" w:customStyle="1" w:styleId="CV1111">
    <w:name w:val="CV1111"/>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paragraph" w:customStyle="1" w:styleId="belntm">
    <w:name w:val="bel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bgrntm">
    <w:name w:val="bgr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Biblio">
    <w:name w:val="Biblio"/>
    <w:basedOn w:val="TOC1"/>
    <w:link w:val="BiblioChar"/>
    <w:uiPriority w:val="1"/>
    <w:qFormat/>
    <w:rsid w:val="00B758A1"/>
    <w:pPr>
      <w:tabs>
        <w:tab w:val="clear" w:pos="8640"/>
        <w:tab w:val="left" w:pos="400"/>
        <w:tab w:val="right" w:leader="dot" w:pos="10194"/>
        <w:tab w:val="right" w:leader="dot" w:pos="10466"/>
      </w:tabs>
      <w:overflowPunct w:val="0"/>
      <w:autoSpaceDE w:val="0"/>
      <w:autoSpaceDN w:val="0"/>
      <w:adjustRightInd w:val="0"/>
      <w:spacing w:before="240" w:after="0" w:line="260" w:lineRule="atLeast"/>
      <w:ind w:left="360" w:right="0" w:hanging="360"/>
      <w:jc w:val="left"/>
      <w:textAlignment w:val="baseline"/>
    </w:pPr>
    <w:rPr>
      <w:rFonts w:ascii="Arial" w:hAnsi="Arial"/>
      <w:b/>
      <w:caps w:val="0"/>
      <w:noProof/>
      <w:spacing w:val="-10"/>
      <w:sz w:val="18"/>
      <w:szCs w:val="18"/>
      <w:lang w:eastAsia="nl-BE"/>
    </w:rPr>
  </w:style>
  <w:style w:type="character" w:customStyle="1" w:styleId="BiblioChar">
    <w:name w:val="Biblio Char"/>
    <w:basedOn w:val="TOC1Char"/>
    <w:link w:val="Biblio"/>
    <w:uiPriority w:val="1"/>
    <w:rsid w:val="00B758A1"/>
    <w:rPr>
      <w:rFonts w:ascii="Arial" w:eastAsia="Times New Roman" w:hAnsi="Arial" w:cs="Times New Roman"/>
      <w:b/>
      <w:caps w:val="0"/>
      <w:noProof/>
      <w:spacing w:val="-10"/>
      <w:sz w:val="18"/>
      <w:szCs w:val="18"/>
      <w:lang w:val="en-GB" w:eastAsia="nl-BE"/>
    </w:rPr>
  </w:style>
  <w:style w:type="paragraph" w:customStyle="1" w:styleId="hrvntm">
    <w:name w:val="hrv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cypntm">
    <w:name w:val="cyp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estntm">
    <w:name w:val="est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finntm">
    <w:name w:val="fin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ltuntm">
    <w:name w:val="ltu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mltntm">
    <w:name w:val="mlt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irlntm">
    <w:name w:val="irl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rountm">
    <w:name w:val="rou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character" w:customStyle="1" w:styleId="vmimore">
    <w:name w:val="vmimore"/>
    <w:basedOn w:val="DefaultParagraphFont"/>
    <w:rsid w:val="00B758A1"/>
  </w:style>
  <w:style w:type="paragraph" w:customStyle="1" w:styleId="prtntm">
    <w:name w:val="prt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svkntm">
    <w:name w:val="svk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svnntm">
    <w:name w:val="svn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swentm">
    <w:name w:val="swe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paragraph" w:customStyle="1" w:styleId="espntm">
    <w:name w:val="esp_ntm"/>
    <w:basedOn w:val="Normal"/>
    <w:uiPriority w:val="1"/>
    <w:rsid w:val="00B758A1"/>
    <w:pPr>
      <w:spacing w:before="100" w:beforeAutospacing="1" w:after="100" w:afterAutospacing="1" w:line="240" w:lineRule="auto"/>
    </w:pPr>
    <w:rPr>
      <w:rFonts w:ascii="Verdana" w:eastAsia="Times New Roman" w:hAnsi="Verdana" w:cs="Times New Roman"/>
      <w:szCs w:val="24"/>
      <w:lang w:val="de-DE" w:eastAsia="it-IT"/>
    </w:rPr>
  </w:style>
  <w:style w:type="table" w:customStyle="1" w:styleId="Table-standard41">
    <w:name w:val="Table - standard41"/>
    <w:basedOn w:val="TableNormal"/>
    <w:rsid w:val="00B758A1"/>
    <w:pPr>
      <w:spacing w:after="0" w:line="240" w:lineRule="auto"/>
    </w:pPr>
    <w:rPr>
      <w:rFonts w:ascii="Arial" w:eastAsia="Times New Roman" w:hAnsi="Arial"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Table-standard111">
    <w:name w:val="Table - standard111"/>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none11">
    <w:name w:val="none11"/>
    <w:basedOn w:val="TableNormal"/>
    <w:next w:val="TableGrid"/>
    <w:uiPriority w:val="59"/>
    <w:rsid w:val="00B758A1"/>
    <w:pPr>
      <w:spacing w:after="0" w:line="240" w:lineRule="auto"/>
    </w:pPr>
    <w:rPr>
      <w:rFonts w:ascii="Arial" w:hAnsi="Arial"/>
      <w:sz w:val="20"/>
      <w:szCs w:val="20"/>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11">
    <w:name w:val="Light Shading - Accent 3111"/>
    <w:basedOn w:val="TableNormal"/>
    <w:next w:val="LightShading-Accent3"/>
    <w:uiPriority w:val="60"/>
    <w:rsid w:val="00B758A1"/>
    <w:pPr>
      <w:spacing w:after="0" w:line="240" w:lineRule="auto"/>
    </w:pPr>
    <w:rPr>
      <w:rFonts w:ascii="Arial" w:hAnsi="Arial"/>
      <w:color w:val="727272"/>
      <w:sz w:val="20"/>
      <w:szCs w:val="20"/>
      <w:lang w:val="nl-BE"/>
    </w:rPr>
    <w:tblPr>
      <w:tblStyleRowBandSize w:val="1"/>
      <w:tblStyleColBandSize w:val="1"/>
      <w:tblBorders>
        <w:top w:val="single" w:sz="8" w:space="0" w:color="999999"/>
        <w:bottom w:val="single" w:sz="8" w:space="0" w:color="999999"/>
      </w:tblBorders>
    </w:tblPr>
    <w:tblStylePr w:type="firstRow">
      <w:pPr>
        <w:spacing w:before="0" w:after="0" w:line="240" w:lineRule="auto"/>
      </w:pPr>
      <w:rPr>
        <w:b/>
        <w:bCs/>
      </w:rPr>
      <w:tblPr/>
      <w:tcPr>
        <w:tcBorders>
          <w:top w:val="single" w:sz="8" w:space="0" w:color="999999"/>
          <w:left w:val="nil"/>
          <w:bottom w:val="single" w:sz="8" w:space="0" w:color="999999"/>
          <w:right w:val="nil"/>
          <w:insideH w:val="nil"/>
          <w:insideV w:val="nil"/>
        </w:tcBorders>
      </w:tcPr>
    </w:tblStylePr>
    <w:tblStylePr w:type="lastRow">
      <w:pPr>
        <w:spacing w:before="0" w:after="0" w:line="240" w:lineRule="auto"/>
      </w:pPr>
      <w:rPr>
        <w:b/>
        <w:bCs/>
      </w:rPr>
      <w:tblPr/>
      <w:tcPr>
        <w:tcBorders>
          <w:top w:val="single" w:sz="8" w:space="0" w:color="999999"/>
          <w:left w:val="nil"/>
          <w:bottom w:val="single" w:sz="8" w:space="0" w:color="99999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Table-standard51">
    <w:name w:val="Table - standard51"/>
    <w:basedOn w:val="TableNormal"/>
    <w:rsid w:val="00B758A1"/>
    <w:pPr>
      <w:spacing w:after="0" w:line="240" w:lineRule="auto"/>
    </w:pPr>
    <w:rPr>
      <w:rFonts w:ascii="Arial" w:eastAsia="Times New Roman" w:hAnsi="Arial"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Table-standard61">
    <w:name w:val="Table - standard61"/>
    <w:basedOn w:val="TableNormal"/>
    <w:rsid w:val="00B758A1"/>
    <w:pPr>
      <w:spacing w:after="0" w:line="240" w:lineRule="auto"/>
    </w:pPr>
    <w:rPr>
      <w:rFonts w:ascii="Arial" w:eastAsia="Times New Roman" w:hAnsi="Arial"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Table-standard71">
    <w:name w:val="Table - standard71"/>
    <w:basedOn w:val="TableNormal"/>
    <w:rsid w:val="00B758A1"/>
    <w:pPr>
      <w:spacing w:after="0" w:line="240" w:lineRule="auto"/>
    </w:pPr>
    <w:rPr>
      <w:rFonts w:ascii="Arial" w:eastAsia="Times New Roman" w:hAnsi="Arial"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none21">
    <w:name w:val="none21"/>
    <w:basedOn w:val="TableNormal"/>
    <w:next w:val="TableGrid"/>
    <w:uiPriority w:val="39"/>
    <w:rsid w:val="00B758A1"/>
    <w:pPr>
      <w:spacing w:after="0" w:line="240" w:lineRule="auto"/>
    </w:pPr>
    <w:rPr>
      <w:rFonts w:ascii="Yu Gothic UI Light" w:eastAsia="Times New Roman" w:hAnsi="Yu Gothic UI Light" w:cs="Times New Roman"/>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cs="Times New Roman"/>
        <w:color w:val="FFFFFF"/>
      </w:rPr>
      <w:tblPr/>
      <w:tcPr>
        <w:shd w:val="clear" w:color="auto" w:fill="00AEF0"/>
      </w:tcPr>
    </w:tblStylePr>
  </w:style>
  <w:style w:type="table" w:customStyle="1" w:styleId="none111">
    <w:name w:val="none111"/>
    <w:basedOn w:val="TableNormal"/>
    <w:next w:val="TableGrid"/>
    <w:uiPriority w:val="59"/>
    <w:rsid w:val="00B758A1"/>
    <w:pPr>
      <w:spacing w:after="0" w:line="240" w:lineRule="auto"/>
    </w:pPr>
    <w:rPr>
      <w:rFonts w:ascii="Yu Gothic UI Light" w:eastAsia="Times New Roman" w:hAnsi="Yu Gothic UI Light" w:cs="Times New Roman"/>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cs="Times New Roman"/>
        <w:color w:val="FFFFFF"/>
      </w:rPr>
      <w:tblPr/>
      <w:tcPr>
        <w:shd w:val="clear" w:color="auto" w:fill="00AEF0"/>
      </w:tcPr>
    </w:tblStylePr>
  </w:style>
  <w:style w:type="paragraph" w:customStyle="1" w:styleId="font11">
    <w:name w:val="font11"/>
    <w:basedOn w:val="Normal"/>
    <w:uiPriority w:val="1"/>
    <w:rsid w:val="00B758A1"/>
    <w:pPr>
      <w:spacing w:before="100" w:beforeAutospacing="1" w:after="100" w:afterAutospacing="1" w:line="240" w:lineRule="auto"/>
    </w:pPr>
    <w:rPr>
      <w:rFonts w:ascii="Arial" w:eastAsia="Times New Roman" w:hAnsi="Arial" w:cs="Times New Roman"/>
      <w:b/>
      <w:bCs/>
      <w:sz w:val="18"/>
      <w:szCs w:val="18"/>
      <w:lang w:val="de-DE" w:eastAsia="it-IT"/>
    </w:rPr>
  </w:style>
  <w:style w:type="paragraph" w:customStyle="1" w:styleId="font12">
    <w:name w:val="font12"/>
    <w:basedOn w:val="Normal"/>
    <w:uiPriority w:val="1"/>
    <w:rsid w:val="00B758A1"/>
    <w:pPr>
      <w:spacing w:before="100" w:beforeAutospacing="1" w:after="100" w:afterAutospacing="1" w:line="240" w:lineRule="auto"/>
    </w:pPr>
    <w:rPr>
      <w:rFonts w:ascii="Verdana" w:eastAsia="Times New Roman" w:hAnsi="Verdana" w:cs="Times New Roman"/>
      <w:b/>
      <w:bCs/>
      <w:color w:val="000000"/>
      <w:sz w:val="16"/>
      <w:szCs w:val="16"/>
      <w:lang w:val="de-DE" w:eastAsia="it-IT"/>
    </w:rPr>
  </w:style>
  <w:style w:type="paragraph" w:customStyle="1" w:styleId="font13">
    <w:name w:val="font13"/>
    <w:basedOn w:val="Normal"/>
    <w:uiPriority w:val="1"/>
    <w:rsid w:val="00B758A1"/>
    <w:pPr>
      <w:spacing w:before="100" w:beforeAutospacing="1" w:after="100" w:afterAutospacing="1" w:line="240" w:lineRule="auto"/>
    </w:pPr>
    <w:rPr>
      <w:rFonts w:ascii="Arial" w:eastAsia="Times New Roman" w:hAnsi="Arial" w:cs="Times New Roman"/>
      <w:b/>
      <w:bCs/>
      <w:color w:val="FF0000"/>
      <w:sz w:val="18"/>
      <w:szCs w:val="18"/>
      <w:lang w:val="de-DE" w:eastAsia="it-IT"/>
    </w:rPr>
  </w:style>
  <w:style w:type="paragraph" w:customStyle="1" w:styleId="font14">
    <w:name w:val="font14"/>
    <w:basedOn w:val="Normal"/>
    <w:uiPriority w:val="1"/>
    <w:rsid w:val="00B758A1"/>
    <w:pPr>
      <w:spacing w:before="100" w:beforeAutospacing="1" w:after="100" w:afterAutospacing="1" w:line="240" w:lineRule="auto"/>
    </w:pPr>
    <w:rPr>
      <w:rFonts w:ascii="Arial" w:eastAsia="Times New Roman" w:hAnsi="Arial" w:cs="Times New Roman"/>
      <w:color w:val="FF0000"/>
      <w:sz w:val="18"/>
      <w:szCs w:val="18"/>
      <w:lang w:val="de-DE" w:eastAsia="it-IT"/>
    </w:rPr>
  </w:style>
  <w:style w:type="paragraph" w:customStyle="1" w:styleId="font15">
    <w:name w:val="font15"/>
    <w:basedOn w:val="Normal"/>
    <w:uiPriority w:val="1"/>
    <w:rsid w:val="00B758A1"/>
    <w:pPr>
      <w:spacing w:before="100" w:beforeAutospacing="1" w:after="100" w:afterAutospacing="1" w:line="240" w:lineRule="auto"/>
    </w:pPr>
    <w:rPr>
      <w:rFonts w:ascii="Arial" w:eastAsia="Times New Roman" w:hAnsi="Arial" w:cs="Times New Roman"/>
      <w:b/>
      <w:bCs/>
      <w:color w:val="000000"/>
      <w:sz w:val="16"/>
      <w:szCs w:val="16"/>
      <w:lang w:val="de-DE" w:eastAsia="it-IT"/>
    </w:rPr>
  </w:style>
  <w:style w:type="paragraph" w:customStyle="1" w:styleId="xl132">
    <w:name w:val="xl132"/>
    <w:basedOn w:val="Normal"/>
    <w:rsid w:val="00B758A1"/>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textAlignment w:val="top"/>
    </w:pPr>
    <w:rPr>
      <w:rFonts w:ascii="Arial" w:eastAsia="Times New Roman" w:hAnsi="Arial" w:cs="Times New Roman"/>
      <w:i/>
      <w:iCs/>
      <w:sz w:val="18"/>
      <w:szCs w:val="18"/>
      <w:lang w:val="de-DE" w:eastAsia="it-IT"/>
    </w:rPr>
  </w:style>
  <w:style w:type="paragraph" w:customStyle="1" w:styleId="xl133">
    <w:name w:val="xl133"/>
    <w:basedOn w:val="Normal"/>
    <w:rsid w:val="00B758A1"/>
    <w:pPr>
      <w:pBdr>
        <w:top w:val="single" w:sz="4" w:space="0" w:color="FFFFFF"/>
        <w:left w:val="single" w:sz="4" w:space="0" w:color="FFFFFF"/>
        <w:bottom w:val="single" w:sz="4" w:space="0" w:color="FFFFFF"/>
        <w:right w:val="single" w:sz="4" w:space="0" w:color="FFFFFF"/>
      </w:pBdr>
      <w:spacing w:before="100" w:beforeAutospacing="1" w:after="100" w:afterAutospacing="1" w:line="240" w:lineRule="auto"/>
      <w:textAlignment w:val="center"/>
    </w:pPr>
    <w:rPr>
      <w:rFonts w:ascii="Arial" w:eastAsia="Times New Roman" w:hAnsi="Arial" w:cs="Times New Roman"/>
      <w:sz w:val="18"/>
      <w:szCs w:val="18"/>
      <w:lang w:val="de-DE" w:eastAsia="it-IT"/>
    </w:rPr>
  </w:style>
  <w:style w:type="paragraph" w:customStyle="1" w:styleId="xl134">
    <w:name w:val="xl134"/>
    <w:basedOn w:val="Normal"/>
    <w:rsid w:val="00B758A1"/>
    <w:pPr>
      <w:pBdr>
        <w:top w:val="single" w:sz="4" w:space="0" w:color="FFFFFF"/>
        <w:left w:val="single" w:sz="4" w:space="0" w:color="FFFFFF"/>
        <w:right w:val="single" w:sz="4" w:space="0" w:color="FFFFFF"/>
      </w:pBdr>
      <w:shd w:val="clear" w:color="000000" w:fill="E7E6E6"/>
      <w:spacing w:before="100" w:beforeAutospacing="1" w:after="100" w:afterAutospacing="1" w:line="240" w:lineRule="auto"/>
      <w:jc w:val="center"/>
      <w:textAlignment w:val="center"/>
    </w:pPr>
    <w:rPr>
      <w:rFonts w:ascii="Arial" w:eastAsia="Times New Roman" w:hAnsi="Arial" w:cs="Times New Roman"/>
      <w:i/>
      <w:iCs/>
      <w:sz w:val="18"/>
      <w:szCs w:val="18"/>
      <w:lang w:val="en-GB" w:eastAsia="it-IT"/>
    </w:rPr>
  </w:style>
  <w:style w:type="paragraph" w:customStyle="1" w:styleId="xl135">
    <w:name w:val="xl135"/>
    <w:basedOn w:val="Normal"/>
    <w:rsid w:val="00B758A1"/>
    <w:pPr>
      <w:pBdr>
        <w:left w:val="single" w:sz="4" w:space="0" w:color="FFFFFF"/>
        <w:right w:val="single" w:sz="4" w:space="0" w:color="FFFFFF"/>
      </w:pBdr>
      <w:shd w:val="clear" w:color="000000" w:fill="E7E6E6"/>
      <w:spacing w:before="100" w:beforeAutospacing="1" w:after="100" w:afterAutospacing="1" w:line="240" w:lineRule="auto"/>
      <w:jc w:val="center"/>
      <w:textAlignment w:val="center"/>
    </w:pPr>
    <w:rPr>
      <w:rFonts w:ascii="Arial" w:eastAsia="Times New Roman" w:hAnsi="Arial" w:cs="Times New Roman"/>
      <w:i/>
      <w:iCs/>
      <w:sz w:val="18"/>
      <w:szCs w:val="18"/>
      <w:lang w:val="en-GB" w:eastAsia="it-IT"/>
    </w:rPr>
  </w:style>
  <w:style w:type="paragraph" w:customStyle="1" w:styleId="xl136">
    <w:name w:val="xl136"/>
    <w:basedOn w:val="Normal"/>
    <w:uiPriority w:val="1"/>
    <w:rsid w:val="00B758A1"/>
    <w:pPr>
      <w:pBdr>
        <w:left w:val="single" w:sz="4" w:space="0" w:color="FFFFFF"/>
        <w:bottom w:val="single" w:sz="4" w:space="0" w:color="FFFFFF"/>
        <w:right w:val="single" w:sz="4" w:space="0" w:color="FFFFFF"/>
      </w:pBdr>
      <w:shd w:val="clear" w:color="000000" w:fill="E7E6E6"/>
      <w:spacing w:before="100" w:beforeAutospacing="1" w:after="100" w:afterAutospacing="1" w:line="240" w:lineRule="auto"/>
      <w:jc w:val="center"/>
      <w:textAlignment w:val="center"/>
    </w:pPr>
    <w:rPr>
      <w:rFonts w:ascii="Arial" w:eastAsia="Times New Roman" w:hAnsi="Arial" w:cs="Times New Roman"/>
      <w:i/>
      <w:iCs/>
      <w:sz w:val="18"/>
      <w:szCs w:val="18"/>
      <w:lang w:val="en-GB" w:eastAsia="it-IT"/>
    </w:rPr>
  </w:style>
  <w:style w:type="paragraph" w:customStyle="1" w:styleId="xl137">
    <w:name w:val="xl137"/>
    <w:basedOn w:val="Normal"/>
    <w:uiPriority w:val="1"/>
    <w:rsid w:val="00B758A1"/>
    <w:pPr>
      <w:pBdr>
        <w:top w:val="single" w:sz="4" w:space="0" w:color="FFFFFF"/>
        <w:left w:val="single" w:sz="4" w:space="0" w:color="FFFFFF"/>
        <w:bottom w:val="single" w:sz="4" w:space="0" w:color="FFFFFF"/>
      </w:pBdr>
      <w:shd w:val="clear" w:color="000000" w:fill="AEAAAA"/>
      <w:spacing w:before="100" w:beforeAutospacing="1" w:after="100" w:afterAutospacing="1" w:line="240" w:lineRule="auto"/>
      <w:textAlignment w:val="top"/>
    </w:pPr>
    <w:rPr>
      <w:rFonts w:ascii="Arial" w:eastAsia="Times New Roman" w:hAnsi="Arial" w:cs="Times New Roman"/>
      <w:b/>
      <w:bCs/>
      <w:i/>
      <w:iCs/>
      <w:color w:val="FFFFFF"/>
      <w:sz w:val="18"/>
      <w:szCs w:val="18"/>
      <w:lang w:val="de-DE" w:eastAsia="it-IT"/>
    </w:rPr>
  </w:style>
  <w:style w:type="paragraph" w:customStyle="1" w:styleId="xl138">
    <w:name w:val="xl138"/>
    <w:basedOn w:val="Normal"/>
    <w:uiPriority w:val="1"/>
    <w:rsid w:val="00B758A1"/>
    <w:pPr>
      <w:pBdr>
        <w:top w:val="single" w:sz="4" w:space="0" w:color="FFFFFF"/>
        <w:bottom w:val="single" w:sz="4" w:space="0" w:color="FFFFFF"/>
      </w:pBdr>
      <w:shd w:val="clear" w:color="000000" w:fill="AEAAAA"/>
      <w:spacing w:before="100" w:beforeAutospacing="1" w:after="100" w:afterAutospacing="1" w:line="240" w:lineRule="auto"/>
      <w:textAlignment w:val="top"/>
    </w:pPr>
    <w:rPr>
      <w:rFonts w:ascii="Arial" w:eastAsia="Times New Roman" w:hAnsi="Arial" w:cs="Times New Roman"/>
      <w:b/>
      <w:bCs/>
      <w:i/>
      <w:iCs/>
      <w:color w:val="FFFFFF"/>
      <w:sz w:val="18"/>
      <w:szCs w:val="18"/>
      <w:lang w:val="de-DE" w:eastAsia="it-IT"/>
    </w:rPr>
  </w:style>
  <w:style w:type="paragraph" w:customStyle="1" w:styleId="xl139">
    <w:name w:val="xl139"/>
    <w:basedOn w:val="Normal"/>
    <w:uiPriority w:val="1"/>
    <w:rsid w:val="00B758A1"/>
    <w:pPr>
      <w:spacing w:before="60" w:beforeAutospacing="1" w:after="20" w:afterAutospacing="1" w:line="240" w:lineRule="auto"/>
    </w:pPr>
    <w:rPr>
      <w:rFonts w:ascii="Arial" w:eastAsia="Times New Roman" w:hAnsi="Arial" w:cs="Times New Roman"/>
      <w:b/>
      <w:bCs/>
      <w:i/>
      <w:iCs/>
      <w:color w:val="FFFFFF"/>
      <w:sz w:val="18"/>
      <w:szCs w:val="18"/>
      <w:lang w:val="it-IT" w:eastAsia="it-IT"/>
    </w:rPr>
  </w:style>
  <w:style w:type="paragraph" w:customStyle="1" w:styleId="xl140">
    <w:name w:val="xl140"/>
    <w:basedOn w:val="Normal"/>
    <w:uiPriority w:val="1"/>
    <w:rsid w:val="00B758A1"/>
    <w:pPr>
      <w:pBdr>
        <w:top w:val="single" w:sz="4" w:space="0" w:color="FFFFFF"/>
        <w:bottom w:val="single" w:sz="4" w:space="0" w:color="FFFFFF"/>
      </w:pBdr>
      <w:shd w:val="clear" w:color="000000" w:fill="AEAAAA"/>
      <w:spacing w:before="100" w:beforeAutospacing="1" w:after="100" w:afterAutospacing="1" w:line="240" w:lineRule="auto"/>
      <w:textAlignment w:val="top"/>
    </w:pPr>
    <w:rPr>
      <w:rFonts w:ascii="Arial" w:eastAsia="Times New Roman" w:hAnsi="Arial" w:cs="Times New Roman"/>
      <w:b/>
      <w:bCs/>
      <w:color w:val="FFFFFF"/>
      <w:sz w:val="18"/>
      <w:szCs w:val="18"/>
      <w:lang w:val="de-DE" w:eastAsia="it-IT"/>
    </w:rPr>
  </w:style>
  <w:style w:type="paragraph" w:customStyle="1" w:styleId="xl141">
    <w:name w:val="xl141"/>
    <w:basedOn w:val="Normal"/>
    <w:uiPriority w:val="1"/>
    <w:rsid w:val="00B758A1"/>
    <w:pPr>
      <w:pBdr>
        <w:top w:val="single" w:sz="4" w:space="0" w:color="FFFFFF"/>
        <w:bottom w:val="single" w:sz="4" w:space="0" w:color="FFFFFF"/>
        <w:right w:val="single" w:sz="4" w:space="0" w:color="FFFFFF"/>
      </w:pBdr>
      <w:shd w:val="clear" w:color="000000" w:fill="AEAAAA"/>
      <w:spacing w:before="100" w:beforeAutospacing="1" w:after="100" w:afterAutospacing="1" w:line="240" w:lineRule="auto"/>
      <w:textAlignment w:val="top"/>
    </w:pPr>
    <w:rPr>
      <w:rFonts w:ascii="Arial" w:eastAsia="Times New Roman" w:hAnsi="Arial" w:cs="Times New Roman"/>
      <w:b/>
      <w:bCs/>
      <w:color w:val="FFFFFF"/>
      <w:sz w:val="18"/>
      <w:szCs w:val="18"/>
      <w:lang w:val="de-DE" w:eastAsia="it-IT"/>
    </w:rPr>
  </w:style>
  <w:style w:type="paragraph" w:customStyle="1" w:styleId="xl142">
    <w:name w:val="xl142"/>
    <w:basedOn w:val="Normal"/>
    <w:uiPriority w:val="1"/>
    <w:rsid w:val="00B758A1"/>
    <w:pPr>
      <w:pBdr>
        <w:top w:val="single" w:sz="4" w:space="0" w:color="FFFFFF"/>
        <w:left w:val="single" w:sz="4" w:space="0" w:color="FFFFFF"/>
        <w:bottom w:val="single" w:sz="4" w:space="0" w:color="FFFFFF"/>
      </w:pBdr>
      <w:shd w:val="clear" w:color="000000" w:fill="D0CECE"/>
      <w:spacing w:before="100" w:beforeAutospacing="1" w:after="100" w:afterAutospacing="1" w:line="240" w:lineRule="auto"/>
      <w:textAlignment w:val="top"/>
    </w:pPr>
    <w:rPr>
      <w:rFonts w:ascii="Arial" w:eastAsia="Times New Roman" w:hAnsi="Arial" w:cs="Times New Roman"/>
      <w:b/>
      <w:bCs/>
      <w:i/>
      <w:iCs/>
      <w:sz w:val="18"/>
      <w:szCs w:val="18"/>
      <w:lang w:val="de-DE" w:eastAsia="it-IT"/>
    </w:rPr>
  </w:style>
  <w:style w:type="paragraph" w:customStyle="1" w:styleId="xl143">
    <w:name w:val="xl143"/>
    <w:basedOn w:val="Normal"/>
    <w:uiPriority w:val="1"/>
    <w:rsid w:val="00B758A1"/>
    <w:pPr>
      <w:pBdr>
        <w:top w:val="single" w:sz="4" w:space="0" w:color="FFFFFF"/>
        <w:bottom w:val="single" w:sz="4" w:space="0" w:color="FFFFFF"/>
      </w:pBdr>
      <w:shd w:val="clear" w:color="000000" w:fill="D0CECE"/>
      <w:spacing w:before="100" w:beforeAutospacing="1" w:after="100" w:afterAutospacing="1" w:line="240" w:lineRule="auto"/>
      <w:textAlignment w:val="top"/>
    </w:pPr>
    <w:rPr>
      <w:rFonts w:ascii="Arial" w:eastAsia="Times New Roman" w:hAnsi="Arial" w:cs="Times New Roman"/>
      <w:b/>
      <w:bCs/>
      <w:i/>
      <w:iCs/>
      <w:sz w:val="18"/>
      <w:szCs w:val="18"/>
      <w:lang w:val="de-DE" w:eastAsia="it-IT"/>
    </w:rPr>
  </w:style>
  <w:style w:type="paragraph" w:customStyle="1" w:styleId="xl144">
    <w:name w:val="xl144"/>
    <w:basedOn w:val="Normal"/>
    <w:uiPriority w:val="1"/>
    <w:rsid w:val="00B758A1"/>
    <w:pPr>
      <w:pBdr>
        <w:top w:val="single" w:sz="4" w:space="0" w:color="FFFFFF"/>
        <w:bottom w:val="single" w:sz="4" w:space="0" w:color="FFFFFF"/>
        <w:right w:val="single" w:sz="4" w:space="0" w:color="FFFFFF"/>
      </w:pBdr>
      <w:shd w:val="clear" w:color="000000" w:fill="D0CECE"/>
      <w:spacing w:before="100" w:beforeAutospacing="1" w:after="100" w:afterAutospacing="1" w:line="240" w:lineRule="auto"/>
      <w:textAlignment w:val="top"/>
    </w:pPr>
    <w:rPr>
      <w:rFonts w:ascii="Arial" w:eastAsia="Times New Roman" w:hAnsi="Arial" w:cs="Times New Roman"/>
      <w:b/>
      <w:bCs/>
      <w:i/>
      <w:iCs/>
      <w:sz w:val="18"/>
      <w:szCs w:val="18"/>
      <w:lang w:val="de-DE" w:eastAsia="it-IT"/>
    </w:rPr>
  </w:style>
  <w:style w:type="table" w:customStyle="1" w:styleId="Style10">
    <w:name w:val="Style10"/>
    <w:basedOn w:val="TableNormal"/>
    <w:uiPriority w:val="99"/>
    <w:rsid w:val="00B758A1"/>
    <w:pPr>
      <w:spacing w:after="0" w:line="240" w:lineRule="auto"/>
    </w:pPr>
    <w:rPr>
      <w:lang w:val="it-I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tblPr/>
      <w:tcPr>
        <w:shd w:val="clear" w:color="auto" w:fill="E7E6E6"/>
      </w:tcPr>
    </w:tblStylePr>
  </w:style>
  <w:style w:type="table" w:customStyle="1" w:styleId="Style6">
    <w:name w:val="Style6"/>
    <w:basedOn w:val="TableNormal"/>
    <w:uiPriority w:val="99"/>
    <w:rsid w:val="00B758A1"/>
    <w:pPr>
      <w:spacing w:after="0" w:line="240" w:lineRule="auto"/>
    </w:pPr>
    <w:rPr>
      <w:rFonts w:ascii="Arial" w:hAnsi="Arial"/>
      <w:sz w:val="20"/>
      <w:szCs w:val="20"/>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tblPr/>
      <w:tcPr>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val="clear" w:color="auto" w:fill="E7E6E6"/>
      </w:tcPr>
    </w:tblStylePr>
    <w:tblStylePr w:type="firstCol">
      <w:rPr>
        <w:rFonts w:ascii="Calibri Light" w:hAnsi="Calibri Light"/>
        <w:color w:val="000000"/>
      </w:rPr>
      <w:tblPr/>
      <w:tcPr>
        <w:shd w:val="clear" w:color="auto" w:fill="FFE600"/>
      </w:tcPr>
    </w:tblStylePr>
  </w:style>
  <w:style w:type="table" w:customStyle="1" w:styleId="Table-standard31">
    <w:name w:val="Table - standard31"/>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character" w:customStyle="1" w:styleId="eop">
    <w:name w:val="eop"/>
    <w:basedOn w:val="DefaultParagraphFont"/>
    <w:rsid w:val="00B758A1"/>
  </w:style>
  <w:style w:type="paragraph" w:customStyle="1" w:styleId="font0">
    <w:name w:val="font0"/>
    <w:basedOn w:val="Normal"/>
    <w:uiPriority w:val="1"/>
    <w:rsid w:val="00B758A1"/>
    <w:pPr>
      <w:spacing w:before="100" w:beforeAutospacing="1" w:after="100" w:afterAutospacing="1" w:line="240" w:lineRule="auto"/>
    </w:pPr>
    <w:rPr>
      <w:rFonts w:ascii="Wingdings 3" w:eastAsia="Times New Roman" w:hAnsi="Wingdings 3" w:cs="Wingdings 3"/>
      <w:color w:val="000000"/>
      <w:szCs w:val="24"/>
      <w:lang w:val="de-DE" w:eastAsia="it-IT"/>
    </w:rPr>
  </w:style>
  <w:style w:type="character" w:customStyle="1" w:styleId="FuturaMedEmphasisChar">
    <w:name w:val="Futura Med Emphasis Char"/>
    <w:basedOn w:val="DefaultParagraphFont"/>
    <w:link w:val="FuturaMedEmphasis"/>
    <w:locked/>
    <w:rsid w:val="00B758A1"/>
    <w:rPr>
      <w:rFonts w:ascii="Verdana" w:eastAsia="Times New Roman" w:hAnsi="Verdana" w:cs="Times New Roman"/>
      <w:b/>
      <w:bCs/>
      <w:szCs w:val="24"/>
      <w:lang w:eastAsia="de-DE"/>
    </w:rPr>
  </w:style>
  <w:style w:type="paragraph" w:customStyle="1" w:styleId="FuturaMedEmphasis">
    <w:name w:val="Futura Med Emphasis"/>
    <w:basedOn w:val="Normal"/>
    <w:link w:val="FuturaMedEmphasisChar"/>
    <w:rsid w:val="00B758A1"/>
    <w:pPr>
      <w:spacing w:after="80" w:line="288" w:lineRule="auto"/>
    </w:pPr>
    <w:rPr>
      <w:rFonts w:ascii="Verdana" w:eastAsia="Times New Roman" w:hAnsi="Verdana" w:cs="Times New Roman"/>
      <w:b/>
      <w:bCs/>
      <w:szCs w:val="24"/>
      <w:lang w:eastAsia="de-DE"/>
    </w:rPr>
  </w:style>
  <w:style w:type="character" w:styleId="SubtleEmphasis">
    <w:name w:val="Subtle Emphasis"/>
    <w:aliases w:val="Subtitle 2"/>
    <w:basedOn w:val="DefaultParagraphFont"/>
    <w:uiPriority w:val="19"/>
    <w:qFormat/>
    <w:rsid w:val="00B758A1"/>
    <w:rPr>
      <w:i/>
      <w:iCs/>
      <w:color w:val="404040" w:themeColor="text1" w:themeTint="BF"/>
    </w:rPr>
  </w:style>
  <w:style w:type="paragraph" w:styleId="IntenseQuote">
    <w:name w:val="Intense Quote"/>
    <w:basedOn w:val="Normal"/>
    <w:next w:val="Normal"/>
    <w:link w:val="IntenseQuoteChar"/>
    <w:uiPriority w:val="30"/>
    <w:qFormat/>
    <w:rsid w:val="00B758A1"/>
    <w:pPr>
      <w:pBdr>
        <w:top w:val="single" w:sz="4" w:space="10" w:color="1E858B" w:themeColor="accent1"/>
        <w:bottom w:val="single" w:sz="4" w:space="10" w:color="1E858B" w:themeColor="accent1"/>
      </w:pBdr>
      <w:spacing w:before="360" w:after="360" w:line="240" w:lineRule="auto"/>
      <w:ind w:left="864" w:right="864"/>
      <w:jc w:val="center"/>
    </w:pPr>
    <w:rPr>
      <w:rFonts w:ascii="Arial" w:hAnsi="Arial"/>
      <w:b/>
      <w:bCs/>
      <w:i/>
      <w:iCs/>
      <w:color w:val="4472C4"/>
      <w:spacing w:val="-10"/>
      <w:sz w:val="20"/>
      <w:szCs w:val="20"/>
      <w:lang w:val="nl-BE"/>
    </w:rPr>
  </w:style>
  <w:style w:type="character" w:customStyle="1" w:styleId="IntenseQuoteChar1">
    <w:name w:val="Intense Quote Char1"/>
    <w:basedOn w:val="DefaultParagraphFont"/>
    <w:uiPriority w:val="30"/>
    <w:rsid w:val="00B758A1"/>
    <w:rPr>
      <w:i/>
      <w:iCs/>
      <w:color w:val="1E858B" w:themeColor="accent1"/>
    </w:rPr>
  </w:style>
  <w:style w:type="table" w:styleId="LightList-Accent3">
    <w:name w:val="Light List Accent 3"/>
    <w:basedOn w:val="TableNormal"/>
    <w:uiPriority w:val="61"/>
    <w:unhideWhenUsed/>
    <w:rsid w:val="00B758A1"/>
    <w:pPr>
      <w:spacing w:after="0" w:line="240" w:lineRule="auto"/>
    </w:pPr>
    <w:rPr>
      <w:lang w:val="it-IT"/>
    </w:rPr>
    <w:tblPr>
      <w:tblStyleRowBandSize w:val="1"/>
      <w:tblStyleColBandSize w:val="1"/>
      <w:tblBorders>
        <w:top w:val="single" w:sz="8" w:space="0" w:color="1EC08A" w:themeColor="accent3"/>
        <w:left w:val="single" w:sz="8" w:space="0" w:color="1EC08A" w:themeColor="accent3"/>
        <w:bottom w:val="single" w:sz="8" w:space="0" w:color="1EC08A" w:themeColor="accent3"/>
        <w:right w:val="single" w:sz="8" w:space="0" w:color="1EC08A" w:themeColor="accent3"/>
      </w:tblBorders>
    </w:tblPr>
    <w:tblStylePr w:type="firstRow">
      <w:pPr>
        <w:spacing w:before="0" w:after="0" w:line="240" w:lineRule="auto"/>
      </w:pPr>
      <w:rPr>
        <w:b/>
        <w:bCs/>
        <w:color w:val="FFFFFF" w:themeColor="background1"/>
      </w:rPr>
      <w:tblPr/>
      <w:tcPr>
        <w:shd w:val="clear" w:color="auto" w:fill="1EC08A" w:themeFill="accent3"/>
      </w:tcPr>
    </w:tblStylePr>
    <w:tblStylePr w:type="lastRow">
      <w:pPr>
        <w:spacing w:before="0" w:after="0" w:line="240" w:lineRule="auto"/>
      </w:pPr>
      <w:rPr>
        <w:b/>
        <w:bCs/>
      </w:rPr>
      <w:tblPr/>
      <w:tcPr>
        <w:tcBorders>
          <w:top w:val="double" w:sz="6" w:space="0" w:color="1EC08A" w:themeColor="accent3"/>
          <w:left w:val="single" w:sz="8" w:space="0" w:color="1EC08A" w:themeColor="accent3"/>
          <w:bottom w:val="single" w:sz="8" w:space="0" w:color="1EC08A" w:themeColor="accent3"/>
          <w:right w:val="single" w:sz="8" w:space="0" w:color="1EC08A" w:themeColor="accent3"/>
        </w:tcBorders>
      </w:tcPr>
    </w:tblStylePr>
    <w:tblStylePr w:type="firstCol">
      <w:rPr>
        <w:b/>
        <w:bCs/>
      </w:rPr>
    </w:tblStylePr>
    <w:tblStylePr w:type="lastCol">
      <w:rPr>
        <w:b/>
        <w:bCs/>
      </w:rPr>
    </w:tblStylePr>
    <w:tblStylePr w:type="band1Vert">
      <w:tblPr/>
      <w:tcPr>
        <w:tcBorders>
          <w:top w:val="single" w:sz="8" w:space="0" w:color="1EC08A" w:themeColor="accent3"/>
          <w:left w:val="single" w:sz="8" w:space="0" w:color="1EC08A" w:themeColor="accent3"/>
          <w:bottom w:val="single" w:sz="8" w:space="0" w:color="1EC08A" w:themeColor="accent3"/>
          <w:right w:val="single" w:sz="8" w:space="0" w:color="1EC08A" w:themeColor="accent3"/>
        </w:tcBorders>
      </w:tcPr>
    </w:tblStylePr>
    <w:tblStylePr w:type="band1Horz">
      <w:tblPr/>
      <w:tcPr>
        <w:tcBorders>
          <w:top w:val="single" w:sz="8" w:space="0" w:color="1EC08A" w:themeColor="accent3"/>
          <w:left w:val="single" w:sz="8" w:space="0" w:color="1EC08A" w:themeColor="accent3"/>
          <w:bottom w:val="single" w:sz="8" w:space="0" w:color="1EC08A" w:themeColor="accent3"/>
          <w:right w:val="single" w:sz="8" w:space="0" w:color="1EC08A" w:themeColor="accent3"/>
        </w:tcBorders>
      </w:tcPr>
    </w:tblStylePr>
  </w:style>
  <w:style w:type="table" w:styleId="MediumShading1-Accent2">
    <w:name w:val="Medium Shading 1 Accent 2"/>
    <w:basedOn w:val="TableNormal"/>
    <w:uiPriority w:val="63"/>
    <w:unhideWhenUsed/>
    <w:rsid w:val="00B758A1"/>
    <w:pPr>
      <w:spacing w:after="0" w:line="240" w:lineRule="auto"/>
    </w:pPr>
    <w:rPr>
      <w:lang w:val="it-IT"/>
    </w:rPr>
    <w:tblPr>
      <w:tblStyleRowBandSize w:val="1"/>
      <w:tblStyleColBandSize w:val="1"/>
      <w:tblBorders>
        <w:top w:val="single" w:sz="8" w:space="0" w:color="78D3E6" w:themeColor="accent2" w:themeTint="BF"/>
        <w:left w:val="single" w:sz="8" w:space="0" w:color="78D3E6" w:themeColor="accent2" w:themeTint="BF"/>
        <w:bottom w:val="single" w:sz="8" w:space="0" w:color="78D3E6" w:themeColor="accent2" w:themeTint="BF"/>
        <w:right w:val="single" w:sz="8" w:space="0" w:color="78D3E6" w:themeColor="accent2" w:themeTint="BF"/>
        <w:insideH w:val="single" w:sz="8" w:space="0" w:color="78D3E6" w:themeColor="accent2" w:themeTint="BF"/>
      </w:tblBorders>
    </w:tblPr>
    <w:tblStylePr w:type="firstRow">
      <w:pPr>
        <w:spacing w:before="0" w:after="0" w:line="240" w:lineRule="auto"/>
      </w:pPr>
      <w:rPr>
        <w:b/>
        <w:bCs/>
        <w:color w:val="FFFFFF" w:themeColor="background1"/>
      </w:rPr>
      <w:tblPr/>
      <w:tcPr>
        <w:tcBorders>
          <w:top w:val="single" w:sz="8" w:space="0" w:color="78D3E6" w:themeColor="accent2" w:themeTint="BF"/>
          <w:left w:val="single" w:sz="8" w:space="0" w:color="78D3E6" w:themeColor="accent2" w:themeTint="BF"/>
          <w:bottom w:val="single" w:sz="8" w:space="0" w:color="78D3E6" w:themeColor="accent2" w:themeTint="BF"/>
          <w:right w:val="single" w:sz="8" w:space="0" w:color="78D3E6" w:themeColor="accent2" w:themeTint="BF"/>
          <w:insideH w:val="nil"/>
          <w:insideV w:val="nil"/>
        </w:tcBorders>
        <w:shd w:val="clear" w:color="auto" w:fill="4BC5DE" w:themeFill="accent2"/>
      </w:tcPr>
    </w:tblStylePr>
    <w:tblStylePr w:type="lastRow">
      <w:pPr>
        <w:spacing w:before="0" w:after="0" w:line="240" w:lineRule="auto"/>
      </w:pPr>
      <w:rPr>
        <w:b/>
        <w:bCs/>
      </w:rPr>
      <w:tblPr/>
      <w:tcPr>
        <w:tcBorders>
          <w:top w:val="double" w:sz="6" w:space="0" w:color="78D3E6" w:themeColor="accent2" w:themeTint="BF"/>
          <w:left w:val="single" w:sz="8" w:space="0" w:color="78D3E6" w:themeColor="accent2" w:themeTint="BF"/>
          <w:bottom w:val="single" w:sz="8" w:space="0" w:color="78D3E6" w:themeColor="accent2" w:themeTint="BF"/>
          <w:right w:val="single" w:sz="8" w:space="0" w:color="78D3E6" w:themeColor="accent2" w:themeTint="BF"/>
          <w:insideH w:val="nil"/>
          <w:insideV w:val="nil"/>
        </w:tcBorders>
      </w:tcPr>
    </w:tblStylePr>
    <w:tblStylePr w:type="firstCol">
      <w:rPr>
        <w:b/>
        <w:bCs/>
      </w:rPr>
    </w:tblStylePr>
    <w:tblStylePr w:type="lastCol">
      <w:rPr>
        <w:b/>
        <w:bCs/>
      </w:rPr>
    </w:tblStylePr>
    <w:tblStylePr w:type="band1Vert">
      <w:tblPr/>
      <w:tcPr>
        <w:shd w:val="clear" w:color="auto" w:fill="D2F0F6" w:themeFill="accent2" w:themeFillTint="3F"/>
      </w:tcPr>
    </w:tblStylePr>
    <w:tblStylePr w:type="band1Horz">
      <w:tblPr/>
      <w:tcPr>
        <w:tcBorders>
          <w:insideH w:val="nil"/>
          <w:insideV w:val="nil"/>
        </w:tcBorders>
        <w:shd w:val="clear" w:color="auto" w:fill="D2F0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unhideWhenUsed/>
    <w:rsid w:val="00B758A1"/>
    <w:pPr>
      <w:spacing w:after="0" w:line="240" w:lineRule="auto"/>
    </w:pPr>
    <w:rPr>
      <w:lang w:val="it-IT"/>
    </w:rPr>
    <w:tblPr>
      <w:tblStyleRowBandSize w:val="1"/>
      <w:tblStyleColBandSize w:val="1"/>
      <w:tblBorders>
        <w:top w:val="single" w:sz="8" w:space="0" w:color="44E1AD" w:themeColor="accent3" w:themeTint="BF"/>
        <w:left w:val="single" w:sz="8" w:space="0" w:color="44E1AD" w:themeColor="accent3" w:themeTint="BF"/>
        <w:bottom w:val="single" w:sz="8" w:space="0" w:color="44E1AD" w:themeColor="accent3" w:themeTint="BF"/>
        <w:right w:val="single" w:sz="8" w:space="0" w:color="44E1AD" w:themeColor="accent3" w:themeTint="BF"/>
        <w:insideH w:val="single" w:sz="8" w:space="0" w:color="44E1AD" w:themeColor="accent3" w:themeTint="BF"/>
      </w:tblBorders>
    </w:tblPr>
    <w:tblStylePr w:type="firstRow">
      <w:pPr>
        <w:spacing w:before="0" w:after="0" w:line="240" w:lineRule="auto"/>
      </w:pPr>
      <w:rPr>
        <w:b/>
        <w:bCs/>
        <w:color w:val="FFFFFF" w:themeColor="background1"/>
      </w:rPr>
      <w:tblPr/>
      <w:tcPr>
        <w:tcBorders>
          <w:top w:val="single" w:sz="8" w:space="0" w:color="44E1AD" w:themeColor="accent3" w:themeTint="BF"/>
          <w:left w:val="single" w:sz="8" w:space="0" w:color="44E1AD" w:themeColor="accent3" w:themeTint="BF"/>
          <w:bottom w:val="single" w:sz="8" w:space="0" w:color="44E1AD" w:themeColor="accent3" w:themeTint="BF"/>
          <w:right w:val="single" w:sz="8" w:space="0" w:color="44E1AD" w:themeColor="accent3" w:themeTint="BF"/>
          <w:insideH w:val="nil"/>
          <w:insideV w:val="nil"/>
        </w:tcBorders>
        <w:shd w:val="clear" w:color="auto" w:fill="1EC08A" w:themeFill="accent3"/>
      </w:tcPr>
    </w:tblStylePr>
    <w:tblStylePr w:type="lastRow">
      <w:pPr>
        <w:spacing w:before="0" w:after="0" w:line="240" w:lineRule="auto"/>
      </w:pPr>
      <w:rPr>
        <w:b/>
        <w:bCs/>
      </w:rPr>
      <w:tblPr/>
      <w:tcPr>
        <w:tcBorders>
          <w:top w:val="double" w:sz="6" w:space="0" w:color="44E1AD" w:themeColor="accent3" w:themeTint="BF"/>
          <w:left w:val="single" w:sz="8" w:space="0" w:color="44E1AD" w:themeColor="accent3" w:themeTint="BF"/>
          <w:bottom w:val="single" w:sz="8" w:space="0" w:color="44E1AD" w:themeColor="accent3" w:themeTint="BF"/>
          <w:right w:val="single" w:sz="8" w:space="0" w:color="44E1AD" w:themeColor="accent3" w:themeTint="BF"/>
          <w:insideH w:val="nil"/>
          <w:insideV w:val="nil"/>
        </w:tcBorders>
      </w:tcPr>
    </w:tblStylePr>
    <w:tblStylePr w:type="firstCol">
      <w:rPr>
        <w:b/>
        <w:bCs/>
      </w:rPr>
    </w:tblStylePr>
    <w:tblStylePr w:type="lastCol">
      <w:rPr>
        <w:b/>
        <w:bCs/>
      </w:rPr>
    </w:tblStylePr>
    <w:tblStylePr w:type="band1Vert">
      <w:tblPr/>
      <w:tcPr>
        <w:shd w:val="clear" w:color="auto" w:fill="C1F5E4" w:themeFill="accent3" w:themeFillTint="3F"/>
      </w:tcPr>
    </w:tblStylePr>
    <w:tblStylePr w:type="band1Horz">
      <w:tblPr/>
      <w:tcPr>
        <w:tcBorders>
          <w:insideH w:val="nil"/>
          <w:insideV w:val="nil"/>
        </w:tcBorders>
        <w:shd w:val="clear" w:color="auto" w:fill="C1F5E4" w:themeFill="accent3" w:themeFillTint="3F"/>
      </w:tcPr>
    </w:tblStylePr>
    <w:tblStylePr w:type="band2Horz">
      <w:tblPr/>
      <w:tcPr>
        <w:tcBorders>
          <w:insideH w:val="nil"/>
          <w:insideV w:val="nil"/>
        </w:tcBorders>
      </w:tcPr>
    </w:tblStylePr>
  </w:style>
  <w:style w:type="table" w:styleId="MediumList2-Accent2">
    <w:name w:val="Medium List 2 Accent 2"/>
    <w:basedOn w:val="TableNormal"/>
    <w:uiPriority w:val="66"/>
    <w:unhideWhenUsed/>
    <w:rsid w:val="00B758A1"/>
    <w:pPr>
      <w:spacing w:after="0" w:line="240" w:lineRule="auto"/>
    </w:pPr>
    <w:rPr>
      <w:rFonts w:asciiTheme="majorHAnsi" w:eastAsiaTheme="majorEastAsia" w:hAnsiTheme="majorHAnsi" w:cstheme="majorBidi"/>
      <w:color w:val="000000" w:themeColor="text1"/>
      <w:lang w:val="it-IT"/>
    </w:rPr>
    <w:tblPr>
      <w:tblStyleRowBandSize w:val="1"/>
      <w:tblStyleColBandSize w:val="1"/>
      <w:tblBorders>
        <w:top w:val="single" w:sz="8" w:space="0" w:color="4BC5DE" w:themeColor="accent2"/>
        <w:left w:val="single" w:sz="8" w:space="0" w:color="4BC5DE" w:themeColor="accent2"/>
        <w:bottom w:val="single" w:sz="8" w:space="0" w:color="4BC5DE" w:themeColor="accent2"/>
        <w:right w:val="single" w:sz="8" w:space="0" w:color="4BC5DE" w:themeColor="accent2"/>
      </w:tblBorders>
    </w:tblPr>
    <w:tblStylePr w:type="firstRow">
      <w:rPr>
        <w:sz w:val="24"/>
        <w:szCs w:val="24"/>
      </w:rPr>
      <w:tblPr/>
      <w:tcPr>
        <w:tcBorders>
          <w:top w:val="nil"/>
          <w:left w:val="nil"/>
          <w:bottom w:val="single" w:sz="24" w:space="0" w:color="4BC5DE" w:themeColor="accent2"/>
          <w:right w:val="nil"/>
          <w:insideH w:val="nil"/>
          <w:insideV w:val="nil"/>
        </w:tcBorders>
        <w:shd w:val="clear" w:color="auto" w:fill="FFFFFF" w:themeFill="background1"/>
      </w:tcPr>
    </w:tblStylePr>
    <w:tblStylePr w:type="lastRow">
      <w:tblPr/>
      <w:tcPr>
        <w:tcBorders>
          <w:top w:val="single" w:sz="8" w:space="0" w:color="4BC5D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C5DE" w:themeColor="accent2"/>
          <w:insideH w:val="nil"/>
          <w:insideV w:val="nil"/>
        </w:tcBorders>
        <w:shd w:val="clear" w:color="auto" w:fill="FFFFFF" w:themeFill="background1"/>
      </w:tcPr>
    </w:tblStylePr>
    <w:tblStylePr w:type="lastCol">
      <w:tblPr/>
      <w:tcPr>
        <w:tcBorders>
          <w:top w:val="nil"/>
          <w:left w:val="single" w:sz="8" w:space="0" w:color="4BC5D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F0F6" w:themeFill="accent2" w:themeFillTint="3F"/>
      </w:tcPr>
    </w:tblStylePr>
    <w:tblStylePr w:type="band1Horz">
      <w:tblPr/>
      <w:tcPr>
        <w:tcBorders>
          <w:top w:val="nil"/>
          <w:bottom w:val="nil"/>
          <w:insideH w:val="nil"/>
          <w:insideV w:val="nil"/>
        </w:tcBorders>
        <w:shd w:val="clear" w:color="auto" w:fill="D2F0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character" w:styleId="SubtleReference">
    <w:name w:val="Subtle Reference"/>
    <w:basedOn w:val="DefaultParagraphFont"/>
    <w:uiPriority w:val="31"/>
    <w:qFormat/>
    <w:rsid w:val="00B758A1"/>
    <w:rPr>
      <w:smallCaps/>
      <w:color w:val="5A5A5A" w:themeColor="text1" w:themeTint="A5"/>
    </w:rPr>
  </w:style>
  <w:style w:type="character" w:styleId="IntenseReference">
    <w:name w:val="Intense Reference"/>
    <w:basedOn w:val="DefaultParagraphFont"/>
    <w:uiPriority w:val="32"/>
    <w:qFormat/>
    <w:rsid w:val="00B758A1"/>
    <w:rPr>
      <w:b/>
      <w:bCs/>
      <w:smallCaps/>
      <w:color w:val="1E858B" w:themeColor="accent1"/>
      <w:spacing w:val="5"/>
    </w:rPr>
  </w:style>
  <w:style w:type="table" w:styleId="ColorfulList-Accent3">
    <w:name w:val="Colorful List Accent 3"/>
    <w:basedOn w:val="TableNormal"/>
    <w:uiPriority w:val="72"/>
    <w:unhideWhenUsed/>
    <w:rsid w:val="00B758A1"/>
    <w:pPr>
      <w:spacing w:after="0" w:line="240" w:lineRule="auto"/>
    </w:pPr>
    <w:rPr>
      <w:color w:val="000000" w:themeColor="text1"/>
      <w:lang w:val="it-IT"/>
    </w:rPr>
    <w:tblPr>
      <w:tblStyleRowBandSize w:val="1"/>
      <w:tblStyleColBandSize w:val="1"/>
    </w:tblPr>
    <w:tcPr>
      <w:shd w:val="clear" w:color="auto" w:fill="E6FBF4" w:themeFill="accent3" w:themeFillTint="19"/>
    </w:tcPr>
    <w:tblStylePr w:type="firstRow">
      <w:rPr>
        <w:b/>
        <w:bCs/>
        <w:color w:val="FFFFFF" w:themeColor="background1"/>
      </w:rPr>
      <w:tblPr/>
      <w:tcPr>
        <w:tcBorders>
          <w:bottom w:val="single" w:sz="12" w:space="0" w:color="FFFFFF" w:themeColor="background1"/>
        </w:tcBorders>
        <w:shd w:val="clear" w:color="auto" w:fill="D07012" w:themeFill="accent4" w:themeFillShade="CC"/>
      </w:tcPr>
    </w:tblStylePr>
    <w:tblStylePr w:type="lastRow">
      <w:rPr>
        <w:b/>
        <w:bCs/>
        <w:color w:val="D0701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1F5E4" w:themeFill="accent3" w:themeFillTint="3F"/>
      </w:tcPr>
    </w:tblStylePr>
    <w:tblStylePr w:type="band1Horz">
      <w:tblPr/>
      <w:tcPr>
        <w:shd w:val="clear" w:color="auto" w:fill="CDF7E9" w:themeFill="accent3" w:themeFillTint="33"/>
      </w:tcPr>
    </w:tblStylePr>
  </w:style>
  <w:style w:type="paragraph" w:styleId="MessageHeader">
    <w:name w:val="Message Header"/>
    <w:basedOn w:val="Normal"/>
    <w:link w:val="MessageHeaderChar1"/>
    <w:uiPriority w:val="99"/>
    <w:unhideWhenUsed/>
    <w:rsid w:val="00B758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lang w:val="de-DE" w:eastAsia="de-DE"/>
    </w:rPr>
  </w:style>
  <w:style w:type="character" w:customStyle="1" w:styleId="MessageHeaderChar1">
    <w:name w:val="Message Header Char1"/>
    <w:basedOn w:val="DefaultParagraphFont"/>
    <w:link w:val="MessageHeader"/>
    <w:uiPriority w:val="99"/>
    <w:rsid w:val="00B758A1"/>
    <w:rPr>
      <w:rFonts w:asciiTheme="majorHAnsi" w:eastAsiaTheme="majorEastAsia" w:hAnsiTheme="majorHAnsi" w:cstheme="majorBidi"/>
      <w:szCs w:val="24"/>
      <w:shd w:val="pct20" w:color="auto" w:fill="auto"/>
      <w:lang w:val="de-DE" w:eastAsia="de-DE"/>
    </w:rPr>
  </w:style>
  <w:style w:type="table" w:styleId="ColorfulShading-Accent2">
    <w:name w:val="Colorful Shading Accent 2"/>
    <w:basedOn w:val="TableNormal"/>
    <w:uiPriority w:val="71"/>
    <w:unhideWhenUsed/>
    <w:rsid w:val="00B758A1"/>
    <w:pPr>
      <w:spacing w:after="0" w:line="240" w:lineRule="auto"/>
    </w:pPr>
    <w:rPr>
      <w:color w:val="000000" w:themeColor="text1"/>
      <w:lang w:val="it-IT"/>
    </w:rPr>
    <w:tblPr>
      <w:tblStyleRowBandSize w:val="1"/>
      <w:tblStyleColBandSize w:val="1"/>
      <w:tblBorders>
        <w:top w:val="single" w:sz="24" w:space="0" w:color="4BC5DE" w:themeColor="accent2"/>
        <w:left w:val="single" w:sz="4" w:space="0" w:color="4BC5DE" w:themeColor="accent2"/>
        <w:bottom w:val="single" w:sz="4" w:space="0" w:color="4BC5DE" w:themeColor="accent2"/>
        <w:right w:val="single" w:sz="4" w:space="0" w:color="4BC5DE" w:themeColor="accent2"/>
        <w:insideH w:val="single" w:sz="4" w:space="0" w:color="FFFFFF" w:themeColor="background1"/>
        <w:insideV w:val="single" w:sz="4" w:space="0" w:color="FFFFFF" w:themeColor="background1"/>
      </w:tblBorders>
    </w:tblPr>
    <w:tcPr>
      <w:shd w:val="clear" w:color="auto" w:fill="EDF9FB" w:themeFill="accent2" w:themeFillTint="19"/>
    </w:tcPr>
    <w:tblStylePr w:type="firstRow">
      <w:rPr>
        <w:b/>
        <w:bCs/>
      </w:rPr>
      <w:tblPr/>
      <w:tcPr>
        <w:tcBorders>
          <w:top w:val="nil"/>
          <w:left w:val="nil"/>
          <w:bottom w:val="single" w:sz="24" w:space="0" w:color="4BC5D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B8196" w:themeFill="accent2" w:themeFillShade="99"/>
      </w:tcPr>
    </w:tblStylePr>
    <w:tblStylePr w:type="firstCol">
      <w:rPr>
        <w:color w:val="FFFFFF" w:themeColor="background1"/>
      </w:rPr>
      <w:tblPr/>
      <w:tcPr>
        <w:tcBorders>
          <w:top w:val="nil"/>
          <w:left w:val="nil"/>
          <w:bottom w:val="nil"/>
          <w:right w:val="nil"/>
          <w:insideH w:val="single" w:sz="4" w:space="0" w:color="1B8196" w:themeColor="accent2" w:themeShade="99"/>
          <w:insideV w:val="nil"/>
        </w:tcBorders>
        <w:shd w:val="clear" w:color="auto" w:fill="1B819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B8196" w:themeFill="accent2" w:themeFillShade="99"/>
      </w:tcPr>
    </w:tblStylePr>
    <w:tblStylePr w:type="band1Vert">
      <w:tblPr/>
      <w:tcPr>
        <w:shd w:val="clear" w:color="auto" w:fill="B6E7F1" w:themeFill="accent2" w:themeFillTint="66"/>
      </w:tcPr>
    </w:tblStylePr>
    <w:tblStylePr w:type="band1Horz">
      <w:tblPr/>
      <w:tcPr>
        <w:shd w:val="clear" w:color="auto" w:fill="A5E1EE" w:themeFill="accent2"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unhideWhenUsed/>
    <w:rsid w:val="00B758A1"/>
    <w:pPr>
      <w:spacing w:after="0" w:line="240" w:lineRule="auto"/>
    </w:pPr>
    <w:rPr>
      <w:color w:val="000000" w:themeColor="text1"/>
      <w:lang w:val="it-IT"/>
    </w:rPr>
    <w:tblPr>
      <w:tblStyleRowBandSize w:val="1"/>
      <w:tblStyleColBandSize w:val="1"/>
      <w:tblBorders>
        <w:top w:val="single" w:sz="24" w:space="0" w:color="1EC08A" w:themeColor="accent3"/>
        <w:left w:val="single" w:sz="4" w:space="0" w:color="ED8D2F" w:themeColor="accent4"/>
        <w:bottom w:val="single" w:sz="4" w:space="0" w:color="ED8D2F" w:themeColor="accent4"/>
        <w:right w:val="single" w:sz="4" w:space="0" w:color="ED8D2F" w:themeColor="accent4"/>
        <w:insideH w:val="single" w:sz="4" w:space="0" w:color="FFFFFF" w:themeColor="background1"/>
        <w:insideV w:val="single" w:sz="4" w:space="0" w:color="FFFFFF" w:themeColor="background1"/>
      </w:tblBorders>
    </w:tblPr>
    <w:tcPr>
      <w:shd w:val="clear" w:color="auto" w:fill="FDF3EA" w:themeFill="accent4" w:themeFillTint="19"/>
    </w:tcPr>
    <w:tblStylePr w:type="firstRow">
      <w:rPr>
        <w:b/>
        <w:bCs/>
      </w:rPr>
      <w:tblPr/>
      <w:tcPr>
        <w:tcBorders>
          <w:top w:val="nil"/>
          <w:left w:val="nil"/>
          <w:bottom w:val="single" w:sz="24" w:space="0" w:color="1EC08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C540D" w:themeFill="accent4" w:themeFillShade="99"/>
      </w:tcPr>
    </w:tblStylePr>
    <w:tblStylePr w:type="firstCol">
      <w:rPr>
        <w:color w:val="FFFFFF" w:themeColor="background1"/>
      </w:rPr>
      <w:tblPr/>
      <w:tcPr>
        <w:tcBorders>
          <w:top w:val="nil"/>
          <w:left w:val="nil"/>
          <w:bottom w:val="nil"/>
          <w:right w:val="nil"/>
          <w:insideH w:val="single" w:sz="4" w:space="0" w:color="9C540D" w:themeColor="accent4" w:themeShade="99"/>
          <w:insideV w:val="nil"/>
        </w:tcBorders>
        <w:shd w:val="clear" w:color="auto" w:fill="9C540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C540D" w:themeFill="accent4" w:themeFillShade="99"/>
      </w:tcPr>
    </w:tblStylePr>
    <w:tblStylePr w:type="band1Vert">
      <w:tblPr/>
      <w:tcPr>
        <w:shd w:val="clear" w:color="auto" w:fill="F7D1AB" w:themeFill="accent4" w:themeFillTint="66"/>
      </w:tcPr>
    </w:tblStylePr>
    <w:tblStylePr w:type="band1Horz">
      <w:tblPr/>
      <w:tcPr>
        <w:shd w:val="clear" w:color="auto" w:fill="F6C697" w:themeFill="accent4"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unhideWhenUsed/>
    <w:rsid w:val="00B758A1"/>
    <w:pPr>
      <w:spacing w:after="0" w:line="240" w:lineRule="auto"/>
    </w:pPr>
    <w:rPr>
      <w:color w:val="000000" w:themeColor="text1"/>
      <w:lang w:val="it-IT"/>
    </w:rPr>
    <w:tblPr>
      <w:tblStyleRowBandSize w:val="1"/>
      <w:tblStyleColBandSize w:val="1"/>
    </w:tblPr>
    <w:tcPr>
      <w:shd w:val="clear" w:color="auto" w:fill="E3F7F9" w:themeFill="accent1" w:themeFillTint="19"/>
    </w:tcPr>
    <w:tblStylePr w:type="firstRow">
      <w:rPr>
        <w:b/>
        <w:bCs/>
        <w:color w:val="FFFFFF" w:themeColor="background1"/>
      </w:rPr>
      <w:tblPr/>
      <w:tcPr>
        <w:tcBorders>
          <w:bottom w:val="single" w:sz="12" w:space="0" w:color="FFFFFF" w:themeColor="background1"/>
        </w:tcBorders>
        <w:shd w:val="clear" w:color="auto" w:fill="25ACC8" w:themeFill="accent2" w:themeFillShade="CC"/>
      </w:tcPr>
    </w:tblStylePr>
    <w:tblStylePr w:type="lastRow">
      <w:rPr>
        <w:b/>
        <w:bCs/>
        <w:color w:val="25ACC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CF0" w:themeFill="accent1" w:themeFillTint="3F"/>
      </w:tcPr>
    </w:tblStylePr>
    <w:tblStylePr w:type="band1Horz">
      <w:tblPr/>
      <w:tcPr>
        <w:shd w:val="clear" w:color="auto" w:fill="C6F0F3" w:themeFill="accent1" w:themeFillTint="33"/>
      </w:tcPr>
    </w:tblStylePr>
  </w:style>
  <w:style w:type="table" w:styleId="MediumGrid1-Accent4">
    <w:name w:val="Medium Grid 1 Accent 4"/>
    <w:basedOn w:val="TableNormal"/>
    <w:uiPriority w:val="67"/>
    <w:unhideWhenUsed/>
    <w:rsid w:val="00B758A1"/>
    <w:pPr>
      <w:spacing w:after="0" w:line="240" w:lineRule="auto"/>
    </w:pPr>
    <w:rPr>
      <w:lang w:val="it-IT"/>
    </w:rPr>
    <w:tblPr>
      <w:tblStyleRowBandSize w:val="1"/>
      <w:tblStyleColBandSize w:val="1"/>
      <w:tblBorders>
        <w:top w:val="single" w:sz="8" w:space="0" w:color="F1A963" w:themeColor="accent4" w:themeTint="BF"/>
        <w:left w:val="single" w:sz="8" w:space="0" w:color="F1A963" w:themeColor="accent4" w:themeTint="BF"/>
        <w:bottom w:val="single" w:sz="8" w:space="0" w:color="F1A963" w:themeColor="accent4" w:themeTint="BF"/>
        <w:right w:val="single" w:sz="8" w:space="0" w:color="F1A963" w:themeColor="accent4" w:themeTint="BF"/>
        <w:insideH w:val="single" w:sz="8" w:space="0" w:color="F1A963" w:themeColor="accent4" w:themeTint="BF"/>
        <w:insideV w:val="single" w:sz="8" w:space="0" w:color="F1A963" w:themeColor="accent4" w:themeTint="BF"/>
      </w:tblBorders>
    </w:tblPr>
    <w:tcPr>
      <w:shd w:val="clear" w:color="auto" w:fill="FAE2CB" w:themeFill="accent4" w:themeFillTint="3F"/>
    </w:tcPr>
    <w:tblStylePr w:type="firstRow">
      <w:rPr>
        <w:b/>
        <w:bCs/>
      </w:rPr>
    </w:tblStylePr>
    <w:tblStylePr w:type="lastRow">
      <w:rPr>
        <w:b/>
        <w:bCs/>
      </w:rPr>
      <w:tblPr/>
      <w:tcPr>
        <w:tcBorders>
          <w:top w:val="single" w:sz="18" w:space="0" w:color="F1A963" w:themeColor="accent4" w:themeTint="BF"/>
        </w:tcBorders>
      </w:tcPr>
    </w:tblStylePr>
    <w:tblStylePr w:type="firstCol">
      <w:rPr>
        <w:b/>
        <w:bCs/>
      </w:rPr>
    </w:tblStylePr>
    <w:tblStylePr w:type="lastCol">
      <w:rPr>
        <w:b/>
        <w:bCs/>
      </w:rPr>
    </w:tblStylePr>
    <w:tblStylePr w:type="band1Vert">
      <w:tblPr/>
      <w:tcPr>
        <w:shd w:val="clear" w:color="auto" w:fill="F6C697" w:themeFill="accent4" w:themeFillTint="7F"/>
      </w:tcPr>
    </w:tblStylePr>
    <w:tblStylePr w:type="band1Horz">
      <w:tblPr/>
      <w:tcPr>
        <w:shd w:val="clear" w:color="auto" w:fill="F6C697" w:themeFill="accent4" w:themeFillTint="7F"/>
      </w:tcPr>
    </w:tblStylePr>
  </w:style>
  <w:style w:type="table" w:styleId="LightList-Accent2">
    <w:name w:val="Light List Accent 2"/>
    <w:basedOn w:val="TableNormal"/>
    <w:uiPriority w:val="61"/>
    <w:unhideWhenUsed/>
    <w:rsid w:val="00B758A1"/>
    <w:pPr>
      <w:spacing w:after="0" w:line="240" w:lineRule="auto"/>
    </w:pPr>
    <w:rPr>
      <w:lang w:val="it-IT"/>
    </w:rPr>
    <w:tblPr>
      <w:tblStyleRowBandSize w:val="1"/>
      <w:tblStyleColBandSize w:val="1"/>
      <w:tblBorders>
        <w:top w:val="single" w:sz="8" w:space="0" w:color="4BC5DE" w:themeColor="accent2"/>
        <w:left w:val="single" w:sz="8" w:space="0" w:color="4BC5DE" w:themeColor="accent2"/>
        <w:bottom w:val="single" w:sz="8" w:space="0" w:color="4BC5DE" w:themeColor="accent2"/>
        <w:right w:val="single" w:sz="8" w:space="0" w:color="4BC5DE" w:themeColor="accent2"/>
      </w:tblBorders>
    </w:tblPr>
    <w:tblStylePr w:type="firstRow">
      <w:pPr>
        <w:spacing w:before="0" w:after="0" w:line="240" w:lineRule="auto"/>
      </w:pPr>
      <w:rPr>
        <w:b/>
        <w:bCs/>
        <w:color w:val="FFFFFF" w:themeColor="background1"/>
      </w:rPr>
      <w:tblPr/>
      <w:tcPr>
        <w:shd w:val="clear" w:color="auto" w:fill="4BC5DE" w:themeFill="accent2"/>
      </w:tcPr>
    </w:tblStylePr>
    <w:tblStylePr w:type="lastRow">
      <w:pPr>
        <w:spacing w:before="0" w:after="0" w:line="240" w:lineRule="auto"/>
      </w:pPr>
      <w:rPr>
        <w:b/>
        <w:bCs/>
      </w:rPr>
      <w:tblPr/>
      <w:tcPr>
        <w:tcBorders>
          <w:top w:val="double" w:sz="6" w:space="0" w:color="4BC5DE" w:themeColor="accent2"/>
          <w:left w:val="single" w:sz="8" w:space="0" w:color="4BC5DE" w:themeColor="accent2"/>
          <w:bottom w:val="single" w:sz="8" w:space="0" w:color="4BC5DE" w:themeColor="accent2"/>
          <w:right w:val="single" w:sz="8" w:space="0" w:color="4BC5DE" w:themeColor="accent2"/>
        </w:tcBorders>
      </w:tcPr>
    </w:tblStylePr>
    <w:tblStylePr w:type="firstCol">
      <w:rPr>
        <w:b/>
        <w:bCs/>
      </w:rPr>
    </w:tblStylePr>
    <w:tblStylePr w:type="lastCol">
      <w:rPr>
        <w:b/>
        <w:bCs/>
      </w:rPr>
    </w:tblStylePr>
    <w:tblStylePr w:type="band1Vert">
      <w:tblPr/>
      <w:tcPr>
        <w:tcBorders>
          <w:top w:val="single" w:sz="8" w:space="0" w:color="4BC5DE" w:themeColor="accent2"/>
          <w:left w:val="single" w:sz="8" w:space="0" w:color="4BC5DE" w:themeColor="accent2"/>
          <w:bottom w:val="single" w:sz="8" w:space="0" w:color="4BC5DE" w:themeColor="accent2"/>
          <w:right w:val="single" w:sz="8" w:space="0" w:color="4BC5DE" w:themeColor="accent2"/>
        </w:tcBorders>
      </w:tcPr>
    </w:tblStylePr>
    <w:tblStylePr w:type="band1Horz">
      <w:tblPr/>
      <w:tcPr>
        <w:tcBorders>
          <w:top w:val="single" w:sz="8" w:space="0" w:color="4BC5DE" w:themeColor="accent2"/>
          <w:left w:val="single" w:sz="8" w:space="0" w:color="4BC5DE" w:themeColor="accent2"/>
          <w:bottom w:val="single" w:sz="8" w:space="0" w:color="4BC5DE" w:themeColor="accent2"/>
          <w:right w:val="single" w:sz="8" w:space="0" w:color="4BC5DE" w:themeColor="accent2"/>
        </w:tcBorders>
      </w:tcPr>
    </w:tblStylePr>
  </w:style>
  <w:style w:type="table" w:styleId="MediumShading2-Accent3">
    <w:name w:val="Medium Shading 2 Accent 3"/>
    <w:basedOn w:val="TableNormal"/>
    <w:uiPriority w:val="64"/>
    <w:unhideWhenUsed/>
    <w:rsid w:val="00B758A1"/>
    <w:pPr>
      <w:spacing w:after="0" w:line="240" w:lineRule="auto"/>
    </w:pPr>
    <w:rPr>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C08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EC08A" w:themeFill="accent3"/>
      </w:tcPr>
    </w:tblStylePr>
    <w:tblStylePr w:type="lastCol">
      <w:rPr>
        <w:b/>
        <w:bCs/>
        <w:color w:val="FFFFFF" w:themeColor="background1"/>
      </w:rPr>
      <w:tblPr/>
      <w:tcPr>
        <w:tcBorders>
          <w:left w:val="nil"/>
          <w:right w:val="nil"/>
          <w:insideH w:val="nil"/>
          <w:insideV w:val="nil"/>
        </w:tcBorders>
        <w:shd w:val="clear" w:color="auto" w:fill="1EC08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1">
    <w:name w:val="Medium Grid 3 Accent 1"/>
    <w:basedOn w:val="TableNormal"/>
    <w:uiPriority w:val="69"/>
    <w:unhideWhenUsed/>
    <w:rsid w:val="00B758A1"/>
    <w:pPr>
      <w:spacing w:after="0" w:line="240" w:lineRule="auto"/>
    </w:pPr>
    <w:rPr>
      <w:lang w:val="it-IT"/>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C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858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858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858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858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AE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AE0" w:themeFill="accent1" w:themeFillTint="7F"/>
      </w:tcPr>
    </w:tblStylePr>
  </w:style>
  <w:style w:type="paragraph" w:styleId="Quote">
    <w:name w:val="Quote"/>
    <w:basedOn w:val="Normal"/>
    <w:next w:val="Normal"/>
    <w:link w:val="QuoteChar"/>
    <w:uiPriority w:val="29"/>
    <w:qFormat/>
    <w:rsid w:val="00B758A1"/>
    <w:pPr>
      <w:spacing w:before="200" w:after="160" w:line="240" w:lineRule="auto"/>
      <w:jc w:val="center"/>
    </w:pPr>
    <w:rPr>
      <w:rFonts w:ascii="Arial" w:hAnsi="Arial"/>
      <w:i/>
      <w:iCs/>
      <w:color w:val="000000"/>
      <w:spacing w:val="-10"/>
      <w:sz w:val="20"/>
      <w:szCs w:val="20"/>
      <w:lang w:val="en-US"/>
    </w:rPr>
  </w:style>
  <w:style w:type="character" w:customStyle="1" w:styleId="QuoteChar1">
    <w:name w:val="Quote Char1"/>
    <w:basedOn w:val="DefaultParagraphFont"/>
    <w:uiPriority w:val="29"/>
    <w:rsid w:val="00B758A1"/>
    <w:rPr>
      <w:i/>
      <w:iCs/>
      <w:color w:val="404040" w:themeColor="text1" w:themeTint="BF"/>
    </w:rPr>
  </w:style>
  <w:style w:type="table" w:styleId="LightShading-Accent4">
    <w:name w:val="Light Shading Accent 4"/>
    <w:basedOn w:val="TableNormal"/>
    <w:uiPriority w:val="60"/>
    <w:unhideWhenUsed/>
    <w:rsid w:val="00B758A1"/>
    <w:pPr>
      <w:spacing w:after="0" w:line="240" w:lineRule="auto"/>
    </w:pPr>
    <w:rPr>
      <w:color w:val="C36911" w:themeColor="accent4" w:themeShade="BF"/>
      <w:lang w:val="it-IT"/>
    </w:rPr>
    <w:tblPr>
      <w:tblStyleRowBandSize w:val="1"/>
      <w:tblStyleColBandSize w:val="1"/>
      <w:tblBorders>
        <w:top w:val="single" w:sz="8" w:space="0" w:color="ED8D2F" w:themeColor="accent4"/>
        <w:bottom w:val="single" w:sz="8" w:space="0" w:color="ED8D2F" w:themeColor="accent4"/>
      </w:tblBorders>
    </w:tblPr>
    <w:tblStylePr w:type="firstRow">
      <w:pPr>
        <w:spacing w:before="0" w:after="0" w:line="240" w:lineRule="auto"/>
      </w:pPr>
      <w:rPr>
        <w:b/>
        <w:bCs/>
      </w:rPr>
      <w:tblPr/>
      <w:tcPr>
        <w:tcBorders>
          <w:top w:val="single" w:sz="8" w:space="0" w:color="ED8D2F" w:themeColor="accent4"/>
          <w:left w:val="nil"/>
          <w:bottom w:val="single" w:sz="8" w:space="0" w:color="ED8D2F" w:themeColor="accent4"/>
          <w:right w:val="nil"/>
          <w:insideH w:val="nil"/>
          <w:insideV w:val="nil"/>
        </w:tcBorders>
      </w:tcPr>
    </w:tblStylePr>
    <w:tblStylePr w:type="lastRow">
      <w:pPr>
        <w:spacing w:before="0" w:after="0" w:line="240" w:lineRule="auto"/>
      </w:pPr>
      <w:rPr>
        <w:b/>
        <w:bCs/>
      </w:rPr>
      <w:tblPr/>
      <w:tcPr>
        <w:tcBorders>
          <w:top w:val="single" w:sz="8" w:space="0" w:color="ED8D2F" w:themeColor="accent4"/>
          <w:left w:val="nil"/>
          <w:bottom w:val="single" w:sz="8" w:space="0" w:color="ED8D2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2CB" w:themeFill="accent4" w:themeFillTint="3F"/>
      </w:tcPr>
    </w:tblStylePr>
    <w:tblStylePr w:type="band1Horz">
      <w:tblPr/>
      <w:tcPr>
        <w:tcBorders>
          <w:left w:val="nil"/>
          <w:right w:val="nil"/>
          <w:insideH w:val="nil"/>
          <w:insideV w:val="nil"/>
        </w:tcBorders>
        <w:shd w:val="clear" w:color="auto" w:fill="FAE2CB" w:themeFill="accent4" w:themeFillTint="3F"/>
      </w:tcPr>
    </w:tblStylePr>
  </w:style>
  <w:style w:type="table" w:styleId="LightGrid-Accent4">
    <w:name w:val="Light Grid Accent 4"/>
    <w:basedOn w:val="TableNormal"/>
    <w:uiPriority w:val="62"/>
    <w:unhideWhenUsed/>
    <w:rsid w:val="00B758A1"/>
    <w:pPr>
      <w:spacing w:after="0" w:line="240" w:lineRule="auto"/>
    </w:pPr>
    <w:rPr>
      <w:lang w:val="it-IT"/>
    </w:rPr>
    <w:tblPr>
      <w:tblStyleRowBandSize w:val="1"/>
      <w:tblStyleColBandSize w:val="1"/>
      <w:tblBorders>
        <w:top w:val="single" w:sz="8" w:space="0" w:color="ED8D2F" w:themeColor="accent4"/>
        <w:left w:val="single" w:sz="8" w:space="0" w:color="ED8D2F" w:themeColor="accent4"/>
        <w:bottom w:val="single" w:sz="8" w:space="0" w:color="ED8D2F" w:themeColor="accent4"/>
        <w:right w:val="single" w:sz="8" w:space="0" w:color="ED8D2F" w:themeColor="accent4"/>
        <w:insideH w:val="single" w:sz="8" w:space="0" w:color="ED8D2F" w:themeColor="accent4"/>
        <w:insideV w:val="single" w:sz="8" w:space="0" w:color="ED8D2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8D2F" w:themeColor="accent4"/>
          <w:left w:val="single" w:sz="8" w:space="0" w:color="ED8D2F" w:themeColor="accent4"/>
          <w:bottom w:val="single" w:sz="18" w:space="0" w:color="ED8D2F" w:themeColor="accent4"/>
          <w:right w:val="single" w:sz="8" w:space="0" w:color="ED8D2F" w:themeColor="accent4"/>
          <w:insideH w:val="nil"/>
          <w:insideV w:val="single" w:sz="8" w:space="0" w:color="ED8D2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8D2F" w:themeColor="accent4"/>
          <w:left w:val="single" w:sz="8" w:space="0" w:color="ED8D2F" w:themeColor="accent4"/>
          <w:bottom w:val="single" w:sz="8" w:space="0" w:color="ED8D2F" w:themeColor="accent4"/>
          <w:right w:val="single" w:sz="8" w:space="0" w:color="ED8D2F" w:themeColor="accent4"/>
          <w:insideH w:val="nil"/>
          <w:insideV w:val="single" w:sz="8" w:space="0" w:color="ED8D2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8D2F" w:themeColor="accent4"/>
          <w:left w:val="single" w:sz="8" w:space="0" w:color="ED8D2F" w:themeColor="accent4"/>
          <w:bottom w:val="single" w:sz="8" w:space="0" w:color="ED8D2F" w:themeColor="accent4"/>
          <w:right w:val="single" w:sz="8" w:space="0" w:color="ED8D2F" w:themeColor="accent4"/>
        </w:tcBorders>
      </w:tcPr>
    </w:tblStylePr>
    <w:tblStylePr w:type="band1Vert">
      <w:tblPr/>
      <w:tcPr>
        <w:tcBorders>
          <w:top w:val="single" w:sz="8" w:space="0" w:color="ED8D2F" w:themeColor="accent4"/>
          <w:left w:val="single" w:sz="8" w:space="0" w:color="ED8D2F" w:themeColor="accent4"/>
          <w:bottom w:val="single" w:sz="8" w:space="0" w:color="ED8D2F" w:themeColor="accent4"/>
          <w:right w:val="single" w:sz="8" w:space="0" w:color="ED8D2F" w:themeColor="accent4"/>
        </w:tcBorders>
        <w:shd w:val="clear" w:color="auto" w:fill="FAE2CB" w:themeFill="accent4" w:themeFillTint="3F"/>
      </w:tcPr>
    </w:tblStylePr>
    <w:tblStylePr w:type="band1Horz">
      <w:tblPr/>
      <w:tcPr>
        <w:tcBorders>
          <w:top w:val="single" w:sz="8" w:space="0" w:color="ED8D2F" w:themeColor="accent4"/>
          <w:left w:val="single" w:sz="8" w:space="0" w:color="ED8D2F" w:themeColor="accent4"/>
          <w:bottom w:val="single" w:sz="8" w:space="0" w:color="ED8D2F" w:themeColor="accent4"/>
          <w:right w:val="single" w:sz="8" w:space="0" w:color="ED8D2F" w:themeColor="accent4"/>
          <w:insideV w:val="single" w:sz="8" w:space="0" w:color="ED8D2F" w:themeColor="accent4"/>
        </w:tcBorders>
        <w:shd w:val="clear" w:color="auto" w:fill="FAE2CB" w:themeFill="accent4" w:themeFillTint="3F"/>
      </w:tcPr>
    </w:tblStylePr>
    <w:tblStylePr w:type="band2Horz">
      <w:tblPr/>
      <w:tcPr>
        <w:tcBorders>
          <w:top w:val="single" w:sz="8" w:space="0" w:color="ED8D2F" w:themeColor="accent4"/>
          <w:left w:val="single" w:sz="8" w:space="0" w:color="ED8D2F" w:themeColor="accent4"/>
          <w:bottom w:val="single" w:sz="8" w:space="0" w:color="ED8D2F" w:themeColor="accent4"/>
          <w:right w:val="single" w:sz="8" w:space="0" w:color="ED8D2F" w:themeColor="accent4"/>
          <w:insideV w:val="single" w:sz="8" w:space="0" w:color="ED8D2F" w:themeColor="accent4"/>
        </w:tcBorders>
      </w:tcPr>
    </w:tblStylePr>
  </w:style>
  <w:style w:type="table" w:styleId="LightShading">
    <w:name w:val="Light Shading"/>
    <w:basedOn w:val="TableNormal"/>
    <w:uiPriority w:val="60"/>
    <w:unhideWhenUsed/>
    <w:rsid w:val="00B758A1"/>
    <w:pPr>
      <w:spacing w:after="0" w:line="240" w:lineRule="auto"/>
    </w:pPr>
    <w:rPr>
      <w:color w:val="000000" w:themeColor="text1" w:themeShade="BF"/>
      <w:lang w:val="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unhideWhenUsed/>
    <w:rsid w:val="00B758A1"/>
    <w:pPr>
      <w:spacing w:after="0" w:line="240" w:lineRule="auto"/>
    </w:pPr>
    <w:rPr>
      <w:color w:val="22A1BB" w:themeColor="accent2" w:themeShade="BF"/>
      <w:lang w:val="it-IT"/>
    </w:rPr>
    <w:tblPr>
      <w:tblStyleRowBandSize w:val="1"/>
      <w:tblStyleColBandSize w:val="1"/>
      <w:tblBorders>
        <w:top w:val="single" w:sz="8" w:space="0" w:color="4BC5DE" w:themeColor="accent2"/>
        <w:bottom w:val="single" w:sz="8" w:space="0" w:color="4BC5DE" w:themeColor="accent2"/>
      </w:tblBorders>
    </w:tblPr>
    <w:tblStylePr w:type="firstRow">
      <w:pPr>
        <w:spacing w:before="0" w:after="0" w:line="240" w:lineRule="auto"/>
      </w:pPr>
      <w:rPr>
        <w:b/>
        <w:bCs/>
      </w:rPr>
      <w:tblPr/>
      <w:tcPr>
        <w:tcBorders>
          <w:top w:val="single" w:sz="8" w:space="0" w:color="4BC5DE" w:themeColor="accent2"/>
          <w:left w:val="nil"/>
          <w:bottom w:val="single" w:sz="8" w:space="0" w:color="4BC5DE" w:themeColor="accent2"/>
          <w:right w:val="nil"/>
          <w:insideH w:val="nil"/>
          <w:insideV w:val="nil"/>
        </w:tcBorders>
      </w:tcPr>
    </w:tblStylePr>
    <w:tblStylePr w:type="lastRow">
      <w:pPr>
        <w:spacing w:before="0" w:after="0" w:line="240" w:lineRule="auto"/>
      </w:pPr>
      <w:rPr>
        <w:b/>
        <w:bCs/>
      </w:rPr>
      <w:tblPr/>
      <w:tcPr>
        <w:tcBorders>
          <w:top w:val="single" w:sz="8" w:space="0" w:color="4BC5DE" w:themeColor="accent2"/>
          <w:left w:val="nil"/>
          <w:bottom w:val="single" w:sz="8" w:space="0" w:color="4BC5D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F0F6" w:themeFill="accent2" w:themeFillTint="3F"/>
      </w:tcPr>
    </w:tblStylePr>
    <w:tblStylePr w:type="band1Horz">
      <w:tblPr/>
      <w:tcPr>
        <w:tcBorders>
          <w:left w:val="nil"/>
          <w:right w:val="nil"/>
          <w:insideH w:val="nil"/>
          <w:insideV w:val="nil"/>
        </w:tcBorders>
        <w:shd w:val="clear" w:color="auto" w:fill="D2F0F6" w:themeFill="accent2" w:themeFillTint="3F"/>
      </w:tcPr>
    </w:tblStylePr>
  </w:style>
  <w:style w:type="table" w:styleId="LightShading-Accent1">
    <w:name w:val="Light Shading Accent 1"/>
    <w:basedOn w:val="TableNormal"/>
    <w:uiPriority w:val="60"/>
    <w:unhideWhenUsed/>
    <w:rsid w:val="00B758A1"/>
    <w:pPr>
      <w:spacing w:after="0" w:line="240" w:lineRule="auto"/>
    </w:pPr>
    <w:rPr>
      <w:color w:val="166367" w:themeColor="accent1" w:themeShade="BF"/>
      <w:lang w:val="it-IT"/>
    </w:rPr>
    <w:tblPr>
      <w:tblStyleRowBandSize w:val="1"/>
      <w:tblStyleColBandSize w:val="1"/>
      <w:tblBorders>
        <w:top w:val="single" w:sz="8" w:space="0" w:color="1E858B" w:themeColor="accent1"/>
        <w:bottom w:val="single" w:sz="8" w:space="0" w:color="1E858B" w:themeColor="accent1"/>
      </w:tblBorders>
    </w:tblPr>
    <w:tblStylePr w:type="firstRow">
      <w:pPr>
        <w:spacing w:before="0" w:after="0" w:line="240" w:lineRule="auto"/>
      </w:pPr>
      <w:rPr>
        <w:b/>
        <w:bCs/>
      </w:rPr>
      <w:tblPr/>
      <w:tcPr>
        <w:tcBorders>
          <w:top w:val="single" w:sz="8" w:space="0" w:color="1E858B" w:themeColor="accent1"/>
          <w:left w:val="nil"/>
          <w:bottom w:val="single" w:sz="8" w:space="0" w:color="1E858B" w:themeColor="accent1"/>
          <w:right w:val="nil"/>
          <w:insideH w:val="nil"/>
          <w:insideV w:val="nil"/>
        </w:tcBorders>
      </w:tcPr>
    </w:tblStylePr>
    <w:tblStylePr w:type="lastRow">
      <w:pPr>
        <w:spacing w:before="0" w:after="0" w:line="240" w:lineRule="auto"/>
      </w:pPr>
      <w:rPr>
        <w:b/>
        <w:bCs/>
      </w:rPr>
      <w:tblPr/>
      <w:tcPr>
        <w:tcBorders>
          <w:top w:val="single" w:sz="8" w:space="0" w:color="1E858B" w:themeColor="accent1"/>
          <w:left w:val="nil"/>
          <w:bottom w:val="single" w:sz="8" w:space="0" w:color="1E858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CF0" w:themeFill="accent1" w:themeFillTint="3F"/>
      </w:tcPr>
    </w:tblStylePr>
    <w:tblStylePr w:type="band1Horz">
      <w:tblPr/>
      <w:tcPr>
        <w:tcBorders>
          <w:left w:val="nil"/>
          <w:right w:val="nil"/>
          <w:insideH w:val="nil"/>
          <w:insideV w:val="nil"/>
        </w:tcBorders>
        <w:shd w:val="clear" w:color="auto" w:fill="B9ECF0" w:themeFill="accent1" w:themeFillTint="3F"/>
      </w:tcPr>
    </w:tblStylePr>
  </w:style>
  <w:style w:type="character" w:customStyle="1" w:styleId="UnresolvedMention10000000000000000000000000">
    <w:name w:val="Unresolved Mention10000000000000000000000000"/>
    <w:basedOn w:val="DefaultParagraphFont"/>
    <w:uiPriority w:val="99"/>
    <w:unhideWhenUsed/>
    <w:rsid w:val="00B758A1"/>
    <w:rPr>
      <w:color w:val="605E5C"/>
      <w:shd w:val="clear" w:color="auto" w:fill="E1DFDD"/>
    </w:rPr>
  </w:style>
  <w:style w:type="character" w:customStyle="1" w:styleId="Mention10000000000000000000000000">
    <w:name w:val="Mention10000000000000000000000000"/>
    <w:basedOn w:val="DefaultParagraphFont"/>
    <w:uiPriority w:val="99"/>
    <w:unhideWhenUsed/>
    <w:rsid w:val="00B758A1"/>
    <w:rPr>
      <w:color w:val="2B579A"/>
      <w:shd w:val="clear" w:color="auto" w:fill="E1DFDD"/>
    </w:rPr>
  </w:style>
  <w:style w:type="character" w:customStyle="1" w:styleId="UnresolvedMention100000000000000000000000000">
    <w:name w:val="Unresolved Mention100000000000000000000000000"/>
    <w:basedOn w:val="DefaultParagraphFont"/>
    <w:uiPriority w:val="99"/>
    <w:unhideWhenUsed/>
    <w:rsid w:val="00B758A1"/>
    <w:rPr>
      <w:color w:val="605E5C"/>
      <w:shd w:val="clear" w:color="auto" w:fill="E1DFDD"/>
    </w:rPr>
  </w:style>
  <w:style w:type="character" w:customStyle="1" w:styleId="Mention100000000000000000000000000">
    <w:name w:val="Mention100000000000000000000000000"/>
    <w:basedOn w:val="DefaultParagraphFont"/>
    <w:uiPriority w:val="99"/>
    <w:unhideWhenUsed/>
    <w:rsid w:val="00B758A1"/>
    <w:rPr>
      <w:color w:val="2B579A"/>
      <w:shd w:val="clear" w:color="auto" w:fill="E1DFDD"/>
    </w:rPr>
  </w:style>
  <w:style w:type="character" w:customStyle="1" w:styleId="UnresolvedMention1000000000000000000000000000">
    <w:name w:val="Unresolved Mention1000000000000000000000000000"/>
    <w:basedOn w:val="DefaultParagraphFont"/>
    <w:uiPriority w:val="99"/>
    <w:unhideWhenUsed/>
    <w:rsid w:val="00B758A1"/>
    <w:rPr>
      <w:color w:val="605E5C"/>
      <w:shd w:val="clear" w:color="auto" w:fill="E1DFDD"/>
    </w:rPr>
  </w:style>
  <w:style w:type="character" w:customStyle="1" w:styleId="Mention1000000000000000000000000000">
    <w:name w:val="Mention1000000000000000000000000000"/>
    <w:basedOn w:val="DefaultParagraphFont"/>
    <w:uiPriority w:val="99"/>
    <w:unhideWhenUsed/>
    <w:rsid w:val="00B758A1"/>
    <w:rPr>
      <w:color w:val="2B579A"/>
      <w:shd w:val="clear" w:color="auto" w:fill="E1DFDD"/>
    </w:rPr>
  </w:style>
  <w:style w:type="character" w:customStyle="1" w:styleId="UnresolvedMention10000000000000000000000000000">
    <w:name w:val="Unresolved Mention10000000000000000000000000000"/>
    <w:basedOn w:val="DefaultParagraphFont"/>
    <w:uiPriority w:val="99"/>
    <w:unhideWhenUsed/>
    <w:rsid w:val="00B758A1"/>
    <w:rPr>
      <w:color w:val="605E5C"/>
      <w:shd w:val="clear" w:color="auto" w:fill="E1DFDD"/>
    </w:rPr>
  </w:style>
  <w:style w:type="character" w:customStyle="1" w:styleId="Mention10000000000000000000000000000">
    <w:name w:val="Mention10000000000000000000000000000"/>
    <w:basedOn w:val="DefaultParagraphFont"/>
    <w:uiPriority w:val="99"/>
    <w:unhideWhenUsed/>
    <w:rsid w:val="00B758A1"/>
    <w:rPr>
      <w:color w:val="2B579A"/>
      <w:shd w:val="clear" w:color="auto" w:fill="E1DFDD"/>
    </w:rPr>
  </w:style>
  <w:style w:type="character" w:customStyle="1" w:styleId="UnresolvedMention100000000000000000000000000000">
    <w:name w:val="Unresolved Mention100000000000000000000000000000"/>
    <w:basedOn w:val="DefaultParagraphFont"/>
    <w:uiPriority w:val="99"/>
    <w:unhideWhenUsed/>
    <w:rsid w:val="00B758A1"/>
    <w:rPr>
      <w:color w:val="605E5C"/>
      <w:shd w:val="clear" w:color="auto" w:fill="E1DFDD"/>
    </w:rPr>
  </w:style>
  <w:style w:type="character" w:customStyle="1" w:styleId="Mention100000000000000000000000000000">
    <w:name w:val="Mention100000000000000000000000000000"/>
    <w:basedOn w:val="DefaultParagraphFont"/>
    <w:uiPriority w:val="99"/>
    <w:unhideWhenUsed/>
    <w:rsid w:val="00B758A1"/>
    <w:rPr>
      <w:color w:val="2B579A"/>
      <w:shd w:val="clear" w:color="auto" w:fill="E1DFDD"/>
    </w:rPr>
  </w:style>
  <w:style w:type="character" w:customStyle="1" w:styleId="UnresolvedMention1000000000000000000000000000000">
    <w:name w:val="Unresolved Mention1000000000000000000000000000000"/>
    <w:basedOn w:val="DefaultParagraphFont"/>
    <w:uiPriority w:val="99"/>
    <w:unhideWhenUsed/>
    <w:rsid w:val="00B758A1"/>
    <w:rPr>
      <w:color w:val="605E5C"/>
      <w:shd w:val="clear" w:color="auto" w:fill="E1DFDD"/>
    </w:rPr>
  </w:style>
  <w:style w:type="character" w:customStyle="1" w:styleId="Mention1000000000000000000000000000000">
    <w:name w:val="Mention1000000000000000000000000000000"/>
    <w:basedOn w:val="DefaultParagraphFont"/>
    <w:uiPriority w:val="99"/>
    <w:unhideWhenUsed/>
    <w:rsid w:val="00B758A1"/>
    <w:rPr>
      <w:color w:val="2B579A"/>
      <w:shd w:val="clear" w:color="auto" w:fill="E1DFDD"/>
    </w:rPr>
  </w:style>
  <w:style w:type="character" w:customStyle="1" w:styleId="UnresolvedMention10000000000000000000000000000000">
    <w:name w:val="Unresolved Mention10000000000000000000000000000000"/>
    <w:basedOn w:val="DefaultParagraphFont"/>
    <w:uiPriority w:val="99"/>
    <w:unhideWhenUsed/>
    <w:rsid w:val="00B758A1"/>
    <w:rPr>
      <w:color w:val="605E5C"/>
      <w:shd w:val="clear" w:color="auto" w:fill="E1DFDD"/>
    </w:rPr>
  </w:style>
  <w:style w:type="character" w:customStyle="1" w:styleId="Mention10000000000000000000000000000000">
    <w:name w:val="Mention10000000000000000000000000000000"/>
    <w:basedOn w:val="DefaultParagraphFont"/>
    <w:uiPriority w:val="99"/>
    <w:unhideWhenUsed/>
    <w:rsid w:val="00B758A1"/>
    <w:rPr>
      <w:color w:val="2B579A"/>
      <w:shd w:val="clear" w:color="auto" w:fill="E1DFDD"/>
    </w:rPr>
  </w:style>
  <w:style w:type="character" w:customStyle="1" w:styleId="UnresolvedMention100000000000000000000000000000000">
    <w:name w:val="Unresolved Mention100000000000000000000000000000000"/>
    <w:basedOn w:val="DefaultParagraphFont"/>
    <w:uiPriority w:val="99"/>
    <w:unhideWhenUsed/>
    <w:rsid w:val="00B758A1"/>
    <w:rPr>
      <w:color w:val="605E5C"/>
      <w:shd w:val="clear" w:color="auto" w:fill="E1DFDD"/>
    </w:rPr>
  </w:style>
  <w:style w:type="character" w:customStyle="1" w:styleId="Mention100000000000000000000000000000000">
    <w:name w:val="Mention100000000000000000000000000000000"/>
    <w:basedOn w:val="DefaultParagraphFont"/>
    <w:uiPriority w:val="99"/>
    <w:unhideWhenUsed/>
    <w:rsid w:val="00B758A1"/>
    <w:rPr>
      <w:color w:val="2B579A"/>
      <w:shd w:val="clear" w:color="auto" w:fill="E1DFDD"/>
    </w:rPr>
  </w:style>
  <w:style w:type="character" w:customStyle="1" w:styleId="Style6Char">
    <w:name w:val="Style6 Char"/>
    <w:basedOn w:val="TOC1Char"/>
    <w:uiPriority w:val="99"/>
    <w:rsid w:val="00B758A1"/>
    <w:rPr>
      <w:rFonts w:ascii="Times New Roman" w:eastAsia="Times New Roman" w:hAnsi="Times New Roman" w:cs="Times New Roman"/>
      <w:bCs/>
      <w:caps/>
      <w:sz w:val="20"/>
      <w:szCs w:val="18"/>
      <w:lang w:val="en-GB" w:eastAsia="nl-BE"/>
    </w:rPr>
  </w:style>
  <w:style w:type="paragraph" w:styleId="BodyTextIndent2">
    <w:name w:val="Body Text Indent 2"/>
    <w:basedOn w:val="Normal"/>
    <w:link w:val="BodyTextIndent2Char"/>
    <w:uiPriority w:val="1"/>
    <w:rsid w:val="00B758A1"/>
    <w:pPr>
      <w:spacing w:before="60" w:after="120" w:line="480" w:lineRule="auto"/>
      <w:ind w:left="283"/>
    </w:pPr>
    <w:rPr>
      <w:rFonts w:ascii="Verdana" w:eastAsia="Times New Roman" w:hAnsi="Verdana" w:cs="Times New Roman"/>
      <w:szCs w:val="20"/>
      <w:lang w:val="fr-FR" w:eastAsia="de-DE"/>
    </w:rPr>
  </w:style>
  <w:style w:type="character" w:customStyle="1" w:styleId="BodyTextIndent2Char">
    <w:name w:val="Body Text Indent 2 Char"/>
    <w:basedOn w:val="DefaultParagraphFont"/>
    <w:link w:val="BodyTextIndent2"/>
    <w:uiPriority w:val="1"/>
    <w:rsid w:val="00B758A1"/>
    <w:rPr>
      <w:rFonts w:ascii="Verdana" w:eastAsia="Times New Roman" w:hAnsi="Verdana" w:cs="Times New Roman"/>
      <w:szCs w:val="20"/>
      <w:lang w:val="fr-FR" w:eastAsia="de-DE"/>
    </w:rPr>
  </w:style>
  <w:style w:type="paragraph" w:styleId="Bibliography">
    <w:name w:val="Bibliography"/>
    <w:basedOn w:val="Normal"/>
    <w:next w:val="Normal"/>
    <w:uiPriority w:val="37"/>
    <w:rsid w:val="00B758A1"/>
    <w:pPr>
      <w:spacing w:before="60" w:after="20" w:line="240" w:lineRule="auto"/>
      <w:jc w:val="both"/>
    </w:pPr>
    <w:rPr>
      <w:rFonts w:ascii="Arial" w:hAnsi="Arial"/>
      <w:sz w:val="20"/>
      <w:szCs w:val="20"/>
      <w:lang w:val="en-GB"/>
    </w:rPr>
  </w:style>
  <w:style w:type="paragraph" w:styleId="HTMLPreformatted">
    <w:name w:val="HTML Preformatted"/>
    <w:basedOn w:val="Normal"/>
    <w:link w:val="HTMLPreformattedChar"/>
    <w:uiPriority w:val="99"/>
    <w:semiHidden/>
    <w:unhideWhenUsed/>
    <w:rsid w:val="00B758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0" w:line="240" w:lineRule="auto"/>
    </w:pPr>
    <w:rPr>
      <w:rFonts w:ascii="Wingdings 3" w:eastAsia="Times New Roman" w:hAnsi="Wingdings 3" w:cs="Wingdings 3"/>
      <w:szCs w:val="20"/>
      <w:lang w:val="de-DE" w:eastAsia="it-IT"/>
    </w:rPr>
  </w:style>
  <w:style w:type="character" w:customStyle="1" w:styleId="HTMLPreformattedChar">
    <w:name w:val="HTML Preformatted Char"/>
    <w:basedOn w:val="DefaultParagraphFont"/>
    <w:link w:val="HTMLPreformatted"/>
    <w:uiPriority w:val="99"/>
    <w:semiHidden/>
    <w:rsid w:val="00B758A1"/>
    <w:rPr>
      <w:rFonts w:ascii="Wingdings 3" w:eastAsia="Times New Roman" w:hAnsi="Wingdings 3" w:cs="Wingdings 3"/>
      <w:szCs w:val="20"/>
      <w:lang w:val="de-DE" w:eastAsia="it-IT"/>
    </w:rPr>
  </w:style>
  <w:style w:type="character" w:customStyle="1" w:styleId="Style11Char">
    <w:name w:val="Style11 Char"/>
    <w:basedOn w:val="DefaultParagraphFont"/>
    <w:uiPriority w:val="1"/>
    <w:rsid w:val="00B758A1"/>
    <w:rPr>
      <w:rFonts w:eastAsia="Times New Roman" w:cs="Times New Roman"/>
      <w:sz w:val="18"/>
      <w:lang w:val="en-GB" w:eastAsia="en-GB"/>
    </w:rPr>
  </w:style>
  <w:style w:type="table" w:customStyle="1" w:styleId="TableEY1">
    <w:name w:val="Table EY1"/>
    <w:basedOn w:val="TableNormal"/>
    <w:next w:val="TableGrid"/>
    <w:uiPriority w:val="39"/>
    <w:rsid w:val="00B758A1"/>
    <w:pPr>
      <w:spacing w:after="0" w:line="240" w:lineRule="auto"/>
    </w:pPr>
    <w:rPr>
      <w:rFonts w:ascii="Arial" w:eastAsia="Wingdings 3" w:hAnsi="Arial" w:cs="Times New Roman"/>
      <w:sz w:val="20"/>
      <w:szCs w:val="20"/>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B758A1"/>
    <w:pPr>
      <w:spacing w:after="0" w:line="240" w:lineRule="auto"/>
    </w:pPr>
    <w:rPr>
      <w:rFonts w:ascii="Arial" w:hAnsi="Arial"/>
      <w:sz w:val="20"/>
      <w:szCs w:val="20"/>
      <w:lang w:val="nl-BE"/>
    </w:rPr>
    <w:tblPr>
      <w:tblStyleRowBandSize w:val="1"/>
      <w:tblStyleColBandSize w:val="1"/>
      <w:tblBorders>
        <w:top w:val="single" w:sz="4" w:space="0" w:color="92DBEB" w:themeColor="accent2" w:themeTint="99"/>
        <w:left w:val="single" w:sz="4" w:space="0" w:color="92DBEB" w:themeColor="accent2" w:themeTint="99"/>
        <w:bottom w:val="single" w:sz="4" w:space="0" w:color="92DBEB" w:themeColor="accent2" w:themeTint="99"/>
        <w:right w:val="single" w:sz="4" w:space="0" w:color="92DBEB" w:themeColor="accent2" w:themeTint="99"/>
        <w:insideH w:val="single" w:sz="4" w:space="0" w:color="92DBEB" w:themeColor="accent2" w:themeTint="99"/>
        <w:insideV w:val="single" w:sz="4" w:space="0" w:color="92DBEB" w:themeColor="accent2" w:themeTint="99"/>
      </w:tblBorders>
    </w:tblPr>
    <w:tblStylePr w:type="firstRow">
      <w:rPr>
        <w:b/>
        <w:bCs/>
        <w:color w:val="FFFFFF" w:themeColor="background1"/>
      </w:rPr>
      <w:tblPr/>
      <w:tcPr>
        <w:tcBorders>
          <w:top w:val="single" w:sz="4" w:space="0" w:color="4BC5DE" w:themeColor="accent2"/>
          <w:left w:val="single" w:sz="4" w:space="0" w:color="4BC5DE" w:themeColor="accent2"/>
          <w:bottom w:val="single" w:sz="4" w:space="0" w:color="4BC5DE" w:themeColor="accent2"/>
          <w:right w:val="single" w:sz="4" w:space="0" w:color="4BC5DE" w:themeColor="accent2"/>
          <w:insideH w:val="nil"/>
          <w:insideV w:val="nil"/>
        </w:tcBorders>
        <w:shd w:val="clear" w:color="auto" w:fill="4BC5DE" w:themeFill="accent2"/>
      </w:tcPr>
    </w:tblStylePr>
    <w:tblStylePr w:type="lastRow">
      <w:rPr>
        <w:b/>
        <w:bCs/>
      </w:rPr>
      <w:tblPr/>
      <w:tcPr>
        <w:tcBorders>
          <w:top w:val="double" w:sz="4" w:space="0" w:color="4BC5DE" w:themeColor="accent2"/>
        </w:tcBorders>
      </w:tcPr>
    </w:tblStylePr>
    <w:tblStylePr w:type="firstCol">
      <w:rPr>
        <w:b/>
        <w:bCs/>
      </w:rPr>
    </w:tblStylePr>
    <w:tblStylePr w:type="lastCol">
      <w:rPr>
        <w:b/>
        <w:bCs/>
      </w:rPr>
    </w:tblStylePr>
    <w:tblStylePr w:type="band1Vert">
      <w:tblPr/>
      <w:tcPr>
        <w:shd w:val="clear" w:color="auto" w:fill="DAF3F8" w:themeFill="accent2" w:themeFillTint="33"/>
      </w:tcPr>
    </w:tblStylePr>
    <w:tblStylePr w:type="band1Horz">
      <w:tblPr/>
      <w:tcPr>
        <w:shd w:val="clear" w:color="auto" w:fill="DAF3F8" w:themeFill="accent2" w:themeFillTint="33"/>
      </w:tcPr>
    </w:tblStylePr>
  </w:style>
  <w:style w:type="paragraph" w:customStyle="1" w:styleId="Tablenumber3">
    <w:name w:val="Table number 3"/>
    <w:basedOn w:val="Normal"/>
    <w:uiPriority w:val="1"/>
    <w:qFormat/>
    <w:rsid w:val="00B758A1"/>
    <w:pPr>
      <w:numPr>
        <w:numId w:val="27"/>
      </w:numPr>
      <w:spacing w:before="60" w:after="0" w:line="240" w:lineRule="auto"/>
    </w:pPr>
    <w:rPr>
      <w:rFonts w:ascii="Verdana" w:eastAsia="Times New Roman" w:hAnsi="Verdana" w:cs="Times New Roman"/>
      <w:kern w:val="16"/>
      <w:sz w:val="16"/>
      <w:szCs w:val="24"/>
      <w:lang w:val="de-DE" w:eastAsia="de-DE"/>
    </w:rPr>
  </w:style>
  <w:style w:type="paragraph" w:styleId="ListContinue4">
    <w:name w:val="List Continue 4"/>
    <w:basedOn w:val="Normal"/>
    <w:uiPriority w:val="1"/>
    <w:rsid w:val="00B758A1"/>
    <w:pPr>
      <w:spacing w:before="60" w:after="120" w:line="240" w:lineRule="auto"/>
      <w:ind w:left="1132"/>
    </w:pPr>
    <w:rPr>
      <w:rFonts w:ascii="Verdana" w:eastAsia="Times New Roman" w:hAnsi="Verdana" w:cs="Times New Roman"/>
      <w:szCs w:val="20"/>
      <w:lang w:val="fr-FR" w:eastAsia="de-DE"/>
    </w:rPr>
  </w:style>
  <w:style w:type="paragraph" w:customStyle="1" w:styleId="Tablenumber2">
    <w:name w:val="Table number 2"/>
    <w:basedOn w:val="Normal"/>
    <w:uiPriority w:val="1"/>
    <w:qFormat/>
    <w:rsid w:val="00B758A1"/>
    <w:pPr>
      <w:numPr>
        <w:numId w:val="28"/>
      </w:numPr>
      <w:spacing w:before="60" w:after="0" w:line="240" w:lineRule="auto"/>
    </w:pPr>
    <w:rPr>
      <w:rFonts w:ascii="Verdana" w:eastAsia="Times New Roman" w:hAnsi="Verdana" w:cs="Times New Roman"/>
      <w:kern w:val="16"/>
      <w:sz w:val="16"/>
      <w:szCs w:val="24"/>
      <w:lang w:val="de-DE" w:eastAsia="de-DE"/>
    </w:rPr>
  </w:style>
  <w:style w:type="table" w:customStyle="1" w:styleId="TableGrid1">
    <w:name w:val="Table Grid1"/>
    <w:basedOn w:val="TableNormal"/>
    <w:next w:val="TableGrid"/>
    <w:uiPriority w:val="39"/>
    <w:rsid w:val="00B758A1"/>
    <w:pPr>
      <w:spacing w:after="0" w:line="240" w:lineRule="auto"/>
    </w:pPr>
    <w:rPr>
      <w:rFonts w:ascii="Wingdings 3" w:hAnsi="Wingdings 3"/>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unhideWhenUsed/>
    <w:rsid w:val="00B758A1"/>
    <w:rPr>
      <w:color w:val="605E5C"/>
      <w:shd w:val="clear" w:color="auto" w:fill="E1DFDD"/>
    </w:rPr>
  </w:style>
  <w:style w:type="paragraph" w:styleId="ListBullet3">
    <w:name w:val="List Bullet 3"/>
    <w:basedOn w:val="Normal"/>
    <w:semiHidden/>
    <w:unhideWhenUsed/>
    <w:rsid w:val="00B758A1"/>
    <w:pPr>
      <w:numPr>
        <w:numId w:val="29"/>
      </w:numPr>
      <w:spacing w:before="60" w:after="20" w:line="240" w:lineRule="auto"/>
      <w:contextualSpacing/>
    </w:pPr>
    <w:rPr>
      <w:rFonts w:ascii="Arial" w:eastAsia="Times New Roman" w:hAnsi="Arial" w:cs="Times New Roman"/>
      <w:szCs w:val="20"/>
      <w:lang w:val="de-DE" w:eastAsia="de-DE"/>
    </w:rPr>
  </w:style>
  <w:style w:type="paragraph" w:customStyle="1" w:styleId="MediumGrid21">
    <w:name w:val="Medium Grid 21"/>
    <w:uiPriority w:val="1"/>
    <w:qFormat/>
    <w:rsid w:val="00B758A1"/>
    <w:pPr>
      <w:spacing w:after="0" w:line="240" w:lineRule="auto"/>
    </w:pPr>
    <w:rPr>
      <w:rFonts w:ascii="Cambria Math" w:eastAsia="Times New Roman" w:hAnsi="Cambria Math" w:cs="Times New Roman"/>
      <w:lang w:val="en-US"/>
    </w:rPr>
  </w:style>
  <w:style w:type="character" w:customStyle="1" w:styleId="at1">
    <w:name w:val="a__t1"/>
    <w:basedOn w:val="DefaultParagraphFont"/>
    <w:rsid w:val="00B758A1"/>
  </w:style>
  <w:style w:type="character" w:customStyle="1" w:styleId="CommentTextChar1">
    <w:name w:val="Comment Text Char1"/>
    <w:basedOn w:val="DefaultParagraphFont"/>
    <w:uiPriority w:val="99"/>
    <w:rsid w:val="00B758A1"/>
    <w:rPr>
      <w:sz w:val="20"/>
      <w:szCs w:val="20"/>
    </w:rPr>
  </w:style>
  <w:style w:type="paragraph" w:customStyle="1" w:styleId="CommentText1">
    <w:name w:val="Comment Text1"/>
    <w:basedOn w:val="Normal"/>
    <w:next w:val="CommentText"/>
    <w:uiPriority w:val="99"/>
    <w:rsid w:val="00B758A1"/>
    <w:pPr>
      <w:spacing w:after="80" w:line="240" w:lineRule="auto"/>
    </w:pPr>
    <w:rPr>
      <w:rFonts w:ascii="Wingdings 3" w:eastAsia="Times New Roman" w:hAnsi="Wingdings 3" w:cs="Times New Roman"/>
      <w:szCs w:val="24"/>
      <w:lang w:val="de-DE" w:eastAsia="de-DE"/>
    </w:rPr>
  </w:style>
  <w:style w:type="table" w:customStyle="1" w:styleId="MediumList2-Accent2112">
    <w:name w:val="Medium List 2 - Accent 2112"/>
    <w:basedOn w:val="TableNormal"/>
    <w:uiPriority w:val="99"/>
    <w:rsid w:val="00B758A1"/>
    <w:pPr>
      <w:spacing w:after="0" w:line="240" w:lineRule="auto"/>
    </w:pPr>
    <w:rPr>
      <w:rFonts w:ascii="Arial" w:eastAsia="Times New Roman" w:hAnsi="Arial" w:cs="Times New Roman"/>
      <w:color w:val="000000"/>
      <w:sz w:val="18"/>
      <w:szCs w:val="20"/>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cs="Times New Roman"/>
        <w:sz w:val="24"/>
        <w:szCs w:val="24"/>
      </w:rPr>
      <w:tblPr/>
      <w:tcPr>
        <w:shd w:val="clear" w:color="auto" w:fill="C1C1C1"/>
      </w:tcPr>
    </w:tblStylePr>
    <w:tblStylePr w:type="lastRow">
      <w:rPr>
        <w:rFonts w:ascii="Yu Mincho" w:hAnsi="Yu Mincho" w:cs="Times New Roman"/>
        <w:color w:val="auto"/>
        <w:sz w:val="18"/>
      </w:rPr>
      <w:tblPr/>
      <w:tcPr>
        <w:shd w:val="clear" w:color="auto" w:fill="F0F0F0"/>
      </w:tcPr>
    </w:tblStylePr>
    <w:tblStylePr w:type="firstCol">
      <w:rPr>
        <w:rFonts w:ascii="Yu Mincho" w:hAnsi="Yu Mincho" w:cs="Times New Roman"/>
        <w:sz w:val="18"/>
      </w:rPr>
    </w:tblStylePr>
    <w:tblStylePr w:type="lastCol">
      <w:rPr>
        <w:rFonts w:ascii="Yu Mincho" w:hAnsi="Yu Mincho" w:cs="Times New Roman"/>
        <w:sz w:val="18"/>
      </w:rPr>
    </w:tblStylePr>
    <w:tblStylePr w:type="band1Vert">
      <w:rPr>
        <w:rFonts w:ascii="Yu Mincho" w:hAnsi="Yu Mincho" w:cs="Times New Roman"/>
        <w:sz w:val="18"/>
      </w:rPr>
    </w:tblStylePr>
    <w:tblStylePr w:type="band2Vert">
      <w:rPr>
        <w:rFonts w:ascii="Yu Mincho" w:hAnsi="Yu Mincho"/>
        <w:sz w:val="18"/>
      </w:rPr>
    </w:tblStylePr>
    <w:tblStylePr w:type="band1Horz">
      <w:rPr>
        <w:rFonts w:ascii="Yu Mincho" w:hAnsi="Yu Mincho" w:cs="Times New Roman"/>
        <w:sz w:val="18"/>
      </w:rPr>
      <w:tblPr/>
      <w:tcPr>
        <w:shd w:val="clear" w:color="auto" w:fill="E0E0E0"/>
      </w:tcPr>
    </w:tblStylePr>
    <w:tblStylePr w:type="band2Horz">
      <w:rPr>
        <w:rFonts w:ascii="Yu Mincho" w:hAnsi="Yu Mincho"/>
        <w:sz w:val="18"/>
      </w:rPr>
      <w:tblPr/>
      <w:tcPr>
        <w:shd w:val="clear" w:color="auto" w:fill="F0F0F0"/>
      </w:tcPr>
    </w:tblStylePr>
    <w:tblStylePr w:type="neCell">
      <w:rPr>
        <w:rFonts w:ascii="Yu Mincho" w:hAnsi="Yu Mincho"/>
        <w:sz w:val="18"/>
      </w:rPr>
      <w:tblPr/>
      <w:tcPr>
        <w:shd w:val="clear" w:color="auto" w:fill="C1C1C1"/>
      </w:tcPr>
    </w:tblStylePr>
    <w:tblStylePr w:type="nwCell">
      <w:rPr>
        <w:rFonts w:cs="Times New Roman"/>
      </w:rPr>
      <w:tblPr/>
      <w:tcPr>
        <w:shd w:val="clear" w:color="auto" w:fill="C1C1C1"/>
      </w:tcPr>
    </w:tblStylePr>
    <w:tblStylePr w:type="seCell">
      <w:rPr>
        <w:rFonts w:ascii="Yu Mincho" w:hAnsi="Yu Mincho"/>
        <w:sz w:val="18"/>
      </w:rPr>
    </w:tblStylePr>
    <w:tblStylePr w:type="swCell">
      <w:rPr>
        <w:rFonts w:ascii="Yu Mincho" w:hAnsi="Yu Mincho" w:cs="Times New Roman"/>
        <w:sz w:val="18"/>
      </w:rPr>
    </w:tblStylePr>
  </w:style>
  <w:style w:type="paragraph" w:customStyle="1" w:styleId="Testocommento1">
    <w:name w:val="Testo commento1"/>
    <w:basedOn w:val="Normal"/>
    <w:next w:val="CommentText"/>
    <w:link w:val="TestocommentoCarattere"/>
    <w:uiPriority w:val="99"/>
    <w:rsid w:val="00B758A1"/>
    <w:pPr>
      <w:spacing w:after="80" w:line="240" w:lineRule="auto"/>
    </w:pPr>
    <w:rPr>
      <w:rFonts w:eastAsia="Times New Roman" w:cs="Times New Roman"/>
      <w:szCs w:val="24"/>
      <w:lang w:val="de-DE" w:eastAsia="de-DE"/>
    </w:rPr>
  </w:style>
  <w:style w:type="character" w:customStyle="1" w:styleId="TestocommentoCarattere">
    <w:name w:val="Testo commento Carattere"/>
    <w:basedOn w:val="DefaultParagraphFont"/>
    <w:link w:val="Testocommento1"/>
    <w:uiPriority w:val="99"/>
    <w:rsid w:val="00B758A1"/>
    <w:rPr>
      <w:rFonts w:eastAsia="Times New Roman" w:cs="Times New Roman"/>
      <w:szCs w:val="24"/>
      <w:lang w:val="de-DE" w:eastAsia="de-DE"/>
    </w:rPr>
  </w:style>
  <w:style w:type="paragraph" w:customStyle="1" w:styleId="EYHeading1">
    <w:name w:val="EY Heading 1"/>
    <w:basedOn w:val="Normal"/>
    <w:next w:val="Normal"/>
    <w:uiPriority w:val="1"/>
    <w:rsid w:val="00B758A1"/>
    <w:pPr>
      <w:pageBreakBefore/>
      <w:numPr>
        <w:numId w:val="30"/>
      </w:numPr>
      <w:spacing w:after="360" w:line="240" w:lineRule="auto"/>
      <w:outlineLvl w:val="0"/>
    </w:pPr>
    <w:rPr>
      <w:rFonts w:ascii="Arial" w:eastAsia="Times New Roman" w:hAnsi="Arial" w:cs="Verdana"/>
      <w:b/>
      <w:color w:val="7F7E82"/>
      <w:kern w:val="12"/>
      <w:sz w:val="32"/>
      <w:szCs w:val="24"/>
      <w:lang w:val="de-DE" w:eastAsia="de-DE"/>
    </w:rPr>
  </w:style>
  <w:style w:type="paragraph" w:customStyle="1" w:styleId="EYHeading2">
    <w:name w:val="EY Heading 2"/>
    <w:basedOn w:val="EYHeading1"/>
    <w:next w:val="Normal"/>
    <w:uiPriority w:val="1"/>
    <w:qFormat/>
    <w:rsid w:val="00B758A1"/>
    <w:pPr>
      <w:keepNext/>
      <w:pageBreakBefore w:val="0"/>
      <w:numPr>
        <w:ilvl w:val="1"/>
      </w:numPr>
      <w:spacing w:before="120" w:after="120"/>
    </w:pPr>
    <w:rPr>
      <w:color w:val="auto"/>
      <w:sz w:val="28"/>
    </w:rPr>
  </w:style>
  <w:style w:type="paragraph" w:customStyle="1" w:styleId="EYHeading3">
    <w:name w:val="EY Heading 3"/>
    <w:basedOn w:val="EYHeading1"/>
    <w:next w:val="Normal"/>
    <w:link w:val="EYHeading3Char"/>
    <w:uiPriority w:val="1"/>
    <w:rsid w:val="00B758A1"/>
    <w:pPr>
      <w:keepNext/>
      <w:pageBreakBefore w:val="0"/>
      <w:numPr>
        <w:ilvl w:val="2"/>
      </w:numPr>
      <w:spacing w:before="120" w:after="120"/>
    </w:pPr>
    <w:rPr>
      <w:color w:val="auto"/>
      <w:sz w:val="24"/>
    </w:rPr>
  </w:style>
  <w:style w:type="paragraph" w:customStyle="1" w:styleId="EYHeading4">
    <w:name w:val="EY Heading 4"/>
    <w:basedOn w:val="EYHeading3"/>
    <w:next w:val="Normal"/>
    <w:uiPriority w:val="1"/>
    <w:rsid w:val="00B758A1"/>
    <w:pPr>
      <w:numPr>
        <w:ilvl w:val="3"/>
      </w:numPr>
      <w:tabs>
        <w:tab w:val="clear" w:pos="0"/>
      </w:tabs>
      <w:ind w:left="2880" w:hanging="360"/>
    </w:pPr>
    <w:rPr>
      <w:sz w:val="20"/>
    </w:rPr>
  </w:style>
  <w:style w:type="character" w:customStyle="1" w:styleId="EYHeading3Char">
    <w:name w:val="EY Heading 3 Char"/>
    <w:basedOn w:val="DefaultParagraphFont"/>
    <w:link w:val="EYHeading3"/>
    <w:uiPriority w:val="1"/>
    <w:rsid w:val="00B758A1"/>
    <w:rPr>
      <w:rFonts w:ascii="Arial" w:eastAsia="Times New Roman" w:hAnsi="Arial" w:cs="Verdana"/>
      <w:b/>
      <w:kern w:val="12"/>
      <w:sz w:val="24"/>
      <w:szCs w:val="24"/>
      <w:lang w:val="de-DE" w:eastAsia="de-DE"/>
    </w:rPr>
  </w:style>
  <w:style w:type="table" w:customStyle="1" w:styleId="CVtable1">
    <w:name w:val="CV table1"/>
    <w:basedOn w:val="TableNormal"/>
    <w:next w:val="TableGrid"/>
    <w:uiPriority w:val="59"/>
    <w:rsid w:val="00B758A1"/>
    <w:pPr>
      <w:spacing w:after="0" w:line="240" w:lineRule="auto"/>
    </w:pPr>
    <w:rPr>
      <w:rFonts w:ascii="Wingdings 3" w:eastAsia="Wingdings 3" w:hAnsi="Wingdings 3"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758A1"/>
  </w:style>
  <w:style w:type="character" w:customStyle="1" w:styleId="Style8Char">
    <w:name w:val="Style8 Char"/>
    <w:basedOn w:val="Heading6Char"/>
    <w:link w:val="Style8"/>
    <w:uiPriority w:val="1"/>
    <w:rsid w:val="00B758A1"/>
    <w:rPr>
      <w:rFonts w:ascii="Arial" w:eastAsiaTheme="majorEastAsia" w:hAnsi="Arial" w:cstheme="majorBidi"/>
      <w:b/>
      <w:i/>
      <w:iCs/>
      <w:color w:val="1F3763"/>
      <w:sz w:val="20"/>
      <w:szCs w:val="20"/>
      <w:lang w:val="en-GB" w:eastAsia="de-DE"/>
    </w:rPr>
  </w:style>
  <w:style w:type="character" w:customStyle="1" w:styleId="Style2Char">
    <w:name w:val="Style2 Char"/>
    <w:basedOn w:val="DefaultParagraphFont"/>
    <w:rsid w:val="00B758A1"/>
    <w:rPr>
      <w:rFonts w:ascii="Verdana" w:hAnsi="Verdana"/>
      <w:sz w:val="20"/>
      <w:szCs w:val="24"/>
      <w:lang w:eastAsia="en-US"/>
    </w:rPr>
  </w:style>
  <w:style w:type="paragraph" w:customStyle="1" w:styleId="Tableaupucebis">
    <w:name w:val="Tableau puce bis"/>
    <w:basedOn w:val="Normal"/>
    <w:link w:val="TableaupucebisChar"/>
    <w:uiPriority w:val="1"/>
    <w:rsid w:val="00B758A1"/>
    <w:pPr>
      <w:tabs>
        <w:tab w:val="left" w:pos="227"/>
        <w:tab w:val="num" w:pos="360"/>
      </w:tabs>
      <w:overflowPunct w:val="0"/>
      <w:autoSpaceDE w:val="0"/>
      <w:autoSpaceDN w:val="0"/>
      <w:adjustRightInd w:val="0"/>
      <w:spacing w:before="60" w:after="0"/>
      <w:ind w:left="360" w:right="113" w:hanging="360"/>
      <w:jc w:val="both"/>
      <w:textAlignment w:val="baseline"/>
    </w:pPr>
    <w:rPr>
      <w:rFonts w:ascii="Verdana" w:eastAsia="Times New Roman" w:hAnsi="Verdana" w:cs="Times New Roman"/>
      <w:noProof/>
      <w:sz w:val="20"/>
      <w:szCs w:val="20"/>
      <w:lang w:val="en-US"/>
    </w:rPr>
  </w:style>
  <w:style w:type="character" w:customStyle="1" w:styleId="TableaupucebisChar">
    <w:name w:val="Tableau puce bis Char"/>
    <w:basedOn w:val="DefaultParagraphFont"/>
    <w:link w:val="Tableaupucebis"/>
    <w:uiPriority w:val="1"/>
    <w:rsid w:val="00B758A1"/>
    <w:rPr>
      <w:rFonts w:ascii="Verdana" w:eastAsia="Times New Roman" w:hAnsi="Verdana" w:cs="Times New Roman"/>
      <w:noProof/>
      <w:sz w:val="20"/>
      <w:szCs w:val="20"/>
      <w:lang w:val="en-US"/>
    </w:rPr>
  </w:style>
  <w:style w:type="table" w:customStyle="1" w:styleId="PlainTable32">
    <w:name w:val="Plain Table 32"/>
    <w:basedOn w:val="TableNormal"/>
    <w:uiPriority w:val="43"/>
    <w:rsid w:val="00B758A1"/>
    <w:pPr>
      <w:spacing w:after="0" w:line="240" w:lineRule="auto"/>
    </w:pPr>
    <w:rPr>
      <w:rFonts w:ascii="Arial" w:hAnsi="Arial"/>
      <w:sz w:val="20"/>
      <w:szCs w:val="20"/>
      <w:lang w:val="nl-B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31">
    <w:name w:val="Plain Table 31"/>
    <w:basedOn w:val="TableNormal"/>
    <w:next w:val="TableNormal"/>
    <w:uiPriority w:val="43"/>
    <w:rsid w:val="00B758A1"/>
    <w:pPr>
      <w:spacing w:after="0" w:line="240" w:lineRule="auto"/>
    </w:pPr>
    <w:rPr>
      <w:rFonts w:ascii="Wingdings 3" w:hAnsi="Wingdings 3"/>
      <w:lang w:val="it-IT"/>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stTable21">
    <w:name w:val="List Table 21"/>
    <w:basedOn w:val="TableNormal"/>
    <w:uiPriority w:val="47"/>
    <w:rsid w:val="00B758A1"/>
    <w:pPr>
      <w:spacing w:after="0" w:line="240" w:lineRule="auto"/>
    </w:pPr>
    <w:rPr>
      <w:lang w:val="it-IT"/>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41">
    <w:name w:val="Plain Table 41"/>
    <w:basedOn w:val="TableNormal"/>
    <w:uiPriority w:val="44"/>
    <w:rsid w:val="00B758A1"/>
    <w:pPr>
      <w:spacing w:after="0" w:line="240" w:lineRule="auto"/>
    </w:pPr>
    <w:rPr>
      <w:lang w:val="it-IT"/>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ub-Tasksstyle">
    <w:name w:val="Sub-Tasks style"/>
    <w:basedOn w:val="Normal"/>
    <w:link w:val="Sub-TasksstyleChar"/>
    <w:uiPriority w:val="1"/>
    <w:qFormat/>
    <w:rsid w:val="00B758A1"/>
    <w:pPr>
      <w:spacing w:before="240" w:after="80" w:line="240" w:lineRule="auto"/>
      <w:jc w:val="both"/>
    </w:pPr>
    <w:rPr>
      <w:rFonts w:ascii="Arial" w:hAnsi="Arial"/>
      <w:b/>
      <w:i/>
      <w:color w:val="BF8F00" w:themeColor="accent5" w:themeShade="BF"/>
      <w:sz w:val="20"/>
      <w:szCs w:val="20"/>
      <w:lang w:val="en-GB"/>
    </w:rPr>
  </w:style>
  <w:style w:type="character" w:customStyle="1" w:styleId="Sub-TasksstyleChar">
    <w:name w:val="Sub-Tasks style Char"/>
    <w:basedOn w:val="DefaultParagraphFont"/>
    <w:link w:val="Sub-Tasksstyle"/>
    <w:uiPriority w:val="1"/>
    <w:rsid w:val="00B758A1"/>
    <w:rPr>
      <w:rFonts w:ascii="Arial" w:hAnsi="Arial"/>
      <w:b/>
      <w:i/>
      <w:color w:val="BF8F00" w:themeColor="accent5" w:themeShade="BF"/>
      <w:sz w:val="20"/>
      <w:szCs w:val="20"/>
      <w:lang w:val="en-GB"/>
    </w:rPr>
  </w:style>
  <w:style w:type="paragraph" w:customStyle="1" w:styleId="EndNoteBibliography">
    <w:name w:val="EndNote Bibliography"/>
    <w:basedOn w:val="Normal"/>
    <w:link w:val="EndNoteBibliographyChar"/>
    <w:uiPriority w:val="1"/>
    <w:rsid w:val="00B758A1"/>
    <w:pPr>
      <w:spacing w:before="120" w:after="60" w:line="240" w:lineRule="auto"/>
      <w:jc w:val="both"/>
    </w:pPr>
    <w:rPr>
      <w:rFonts w:ascii="Arial" w:eastAsia="Times New Roman" w:hAnsi="Arial" w:cs="Verdana"/>
      <w:bCs/>
      <w:noProof/>
      <w:kern w:val="28"/>
      <w:sz w:val="28"/>
      <w:szCs w:val="20"/>
      <w:lang w:val="en-US"/>
    </w:rPr>
  </w:style>
  <w:style w:type="character" w:customStyle="1" w:styleId="EndNoteBibliographyChar">
    <w:name w:val="EndNote Bibliography Char"/>
    <w:basedOn w:val="DefaultParagraphFont"/>
    <w:link w:val="EndNoteBibliography"/>
    <w:uiPriority w:val="1"/>
    <w:rsid w:val="00B758A1"/>
    <w:rPr>
      <w:rFonts w:ascii="Arial" w:eastAsia="Times New Roman" w:hAnsi="Arial" w:cs="Verdana"/>
      <w:bCs/>
      <w:noProof/>
      <w:kern w:val="28"/>
      <w:sz w:val="28"/>
      <w:szCs w:val="20"/>
      <w:lang w:val="en-US"/>
    </w:rPr>
  </w:style>
  <w:style w:type="paragraph" w:customStyle="1" w:styleId="Bulletbody">
    <w:name w:val="Bullet body"/>
    <w:basedOn w:val="ListParagraph"/>
    <w:uiPriority w:val="1"/>
    <w:qFormat/>
    <w:rsid w:val="00B758A1"/>
    <w:pPr>
      <w:numPr>
        <w:ilvl w:val="1"/>
        <w:numId w:val="31"/>
      </w:numPr>
      <w:spacing w:before="60" w:after="120" w:line="276" w:lineRule="auto"/>
      <w:contextualSpacing w:val="0"/>
      <w:jc w:val="left"/>
    </w:pPr>
    <w:rPr>
      <w:rFonts w:ascii="Arial" w:hAnsi="Arial"/>
      <w:iCs/>
      <w:spacing w:val="-8"/>
      <w:sz w:val="18"/>
      <w:szCs w:val="24"/>
      <w:lang w:val="en-US" w:eastAsia="fr-FR"/>
    </w:rPr>
  </w:style>
  <w:style w:type="paragraph" w:customStyle="1" w:styleId="205">
    <w:name w:val="205"/>
    <w:aliases w:val="2 enkele telstreep h"/>
    <w:basedOn w:val="000"/>
    <w:next w:val="Normal"/>
    <w:uiPriority w:val="1"/>
    <w:rsid w:val="00B758A1"/>
    <w:pPr>
      <w:tabs>
        <w:tab w:val="left" w:pos="7300"/>
        <w:tab w:val="decimal" w:pos="8100"/>
        <w:tab w:val="left" w:pos="8580"/>
        <w:tab w:val="decimal" w:pos="9380"/>
      </w:tabs>
      <w:spacing w:line="140" w:lineRule="exact"/>
      <w:ind w:right="56"/>
      <w:jc w:val="both"/>
    </w:pPr>
    <w:rPr>
      <w:spacing w:val="0"/>
      <w:position w:val="4"/>
      <w:sz w:val="10"/>
    </w:rPr>
  </w:style>
  <w:style w:type="paragraph" w:customStyle="1" w:styleId="ListNumberRR">
    <w:name w:val="List Number RR"/>
    <w:basedOn w:val="000"/>
    <w:uiPriority w:val="1"/>
    <w:qFormat/>
    <w:rsid w:val="00B758A1"/>
    <w:pPr>
      <w:numPr>
        <w:numId w:val="32"/>
      </w:numPr>
      <w:spacing w:line="276" w:lineRule="auto"/>
      <w:ind w:right="56"/>
      <w:jc w:val="both"/>
    </w:pPr>
    <w:rPr>
      <w:spacing w:val="0"/>
    </w:rPr>
  </w:style>
  <w:style w:type="paragraph" w:customStyle="1" w:styleId="a202">
    <w:name w:val="a202"/>
    <w:aliases w:val="2 €- en %-tekens h en 100%"/>
    <w:basedOn w:val="000"/>
    <w:next w:val="Normal"/>
    <w:uiPriority w:val="1"/>
    <w:rsid w:val="00B758A1"/>
    <w:pPr>
      <w:tabs>
        <w:tab w:val="center" w:pos="6420"/>
        <w:tab w:val="center" w:pos="7380"/>
        <w:tab w:val="center" w:pos="8180"/>
        <w:tab w:val="center" w:pos="9140"/>
      </w:tabs>
      <w:spacing w:after="140" w:line="276" w:lineRule="auto"/>
      <w:ind w:right="56"/>
      <w:jc w:val="both"/>
    </w:pPr>
    <w:rPr>
      <w:spacing w:val="0"/>
    </w:rPr>
  </w:style>
  <w:style w:type="table" w:styleId="GridTable1Light-Accent2">
    <w:name w:val="Grid Table 1 Light Accent 2"/>
    <w:basedOn w:val="TableNormal"/>
    <w:uiPriority w:val="46"/>
    <w:rsid w:val="00B758A1"/>
    <w:pPr>
      <w:spacing w:after="0" w:line="240" w:lineRule="auto"/>
    </w:pPr>
    <w:rPr>
      <w:rFonts w:ascii="Arial" w:hAnsi="Arial"/>
      <w:sz w:val="20"/>
      <w:szCs w:val="20"/>
      <w:lang w:val="nl-BE"/>
    </w:rPr>
    <w:tblPr>
      <w:tblStyleRowBandSize w:val="1"/>
      <w:tblStyleColBandSize w:val="1"/>
      <w:tblBorders>
        <w:top w:val="single" w:sz="4" w:space="0" w:color="B6E7F1" w:themeColor="accent2" w:themeTint="66"/>
        <w:left w:val="single" w:sz="4" w:space="0" w:color="B6E7F1" w:themeColor="accent2" w:themeTint="66"/>
        <w:bottom w:val="single" w:sz="4" w:space="0" w:color="B6E7F1" w:themeColor="accent2" w:themeTint="66"/>
        <w:right w:val="single" w:sz="4" w:space="0" w:color="B6E7F1" w:themeColor="accent2" w:themeTint="66"/>
        <w:insideH w:val="single" w:sz="4" w:space="0" w:color="B6E7F1" w:themeColor="accent2" w:themeTint="66"/>
        <w:insideV w:val="single" w:sz="4" w:space="0" w:color="B6E7F1" w:themeColor="accent2" w:themeTint="66"/>
      </w:tblBorders>
    </w:tblPr>
    <w:tblStylePr w:type="firstRow">
      <w:rPr>
        <w:b/>
        <w:bCs/>
      </w:rPr>
      <w:tblPr/>
      <w:tcPr>
        <w:tcBorders>
          <w:bottom w:val="single" w:sz="12" w:space="0" w:color="92DBEB" w:themeColor="accent2" w:themeTint="99"/>
        </w:tcBorders>
      </w:tcPr>
    </w:tblStylePr>
    <w:tblStylePr w:type="lastRow">
      <w:rPr>
        <w:b/>
        <w:bCs/>
      </w:rPr>
      <w:tblPr/>
      <w:tcPr>
        <w:tcBorders>
          <w:top w:val="double" w:sz="2" w:space="0" w:color="92DB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758A1"/>
    <w:pPr>
      <w:spacing w:after="0" w:line="240" w:lineRule="auto"/>
    </w:pPr>
    <w:rPr>
      <w:rFonts w:ascii="Arial" w:hAnsi="Arial"/>
      <w:sz w:val="20"/>
      <w:szCs w:val="20"/>
      <w:lang w:val="nl-BE"/>
    </w:rPr>
    <w:tblPr>
      <w:tblStyleRowBandSize w:val="1"/>
      <w:tblStyleColBandSize w:val="1"/>
      <w:tblBorders>
        <w:top w:val="single" w:sz="4" w:space="0" w:color="9BEFD3" w:themeColor="accent3" w:themeTint="66"/>
        <w:left w:val="single" w:sz="4" w:space="0" w:color="9BEFD3" w:themeColor="accent3" w:themeTint="66"/>
        <w:bottom w:val="single" w:sz="4" w:space="0" w:color="9BEFD3" w:themeColor="accent3" w:themeTint="66"/>
        <w:right w:val="single" w:sz="4" w:space="0" w:color="9BEFD3" w:themeColor="accent3" w:themeTint="66"/>
        <w:insideH w:val="single" w:sz="4" w:space="0" w:color="9BEFD3" w:themeColor="accent3" w:themeTint="66"/>
        <w:insideV w:val="single" w:sz="4" w:space="0" w:color="9BEFD3" w:themeColor="accent3" w:themeTint="66"/>
      </w:tblBorders>
    </w:tblPr>
    <w:tblStylePr w:type="firstRow">
      <w:rPr>
        <w:b/>
        <w:bCs/>
      </w:rPr>
      <w:tblPr/>
      <w:tcPr>
        <w:tcBorders>
          <w:bottom w:val="single" w:sz="12" w:space="0" w:color="69E7BD" w:themeColor="accent3" w:themeTint="99"/>
        </w:tcBorders>
      </w:tcPr>
    </w:tblStylePr>
    <w:tblStylePr w:type="lastRow">
      <w:rPr>
        <w:b/>
        <w:bCs/>
      </w:rPr>
      <w:tblPr/>
      <w:tcPr>
        <w:tcBorders>
          <w:top w:val="double" w:sz="2" w:space="0" w:color="69E7BD" w:themeColor="accent3" w:themeTint="99"/>
        </w:tcBorders>
      </w:tcPr>
    </w:tblStylePr>
    <w:tblStylePr w:type="firstCol">
      <w:rPr>
        <w:b/>
        <w:bCs/>
      </w:rPr>
    </w:tblStylePr>
    <w:tblStylePr w:type="lastCol">
      <w:rPr>
        <w:b/>
        <w:bCs/>
      </w:rPr>
    </w:tblStylePr>
  </w:style>
  <w:style w:type="paragraph" w:customStyle="1" w:styleId="Style7">
    <w:name w:val="Style7"/>
    <w:basedOn w:val="Style4"/>
    <w:link w:val="Style7Char"/>
    <w:qFormat/>
    <w:rsid w:val="00B758A1"/>
    <w:pPr>
      <w:ind w:left="0" w:firstLine="0"/>
      <w:outlineLvl w:val="5"/>
    </w:pPr>
    <w:rPr>
      <w:i/>
      <w:color w:val="FFC000" w:themeColor="accent5"/>
      <w:szCs w:val="18"/>
      <w:lang w:val="en-GB"/>
    </w:rPr>
  </w:style>
  <w:style w:type="character" w:customStyle="1" w:styleId="Style7Char">
    <w:name w:val="Style7 Char"/>
    <w:basedOn w:val="Style4Char"/>
    <w:link w:val="Style7"/>
    <w:rsid w:val="00B758A1"/>
    <w:rPr>
      <w:rFonts w:ascii="Verdana" w:eastAsia="Times New Roman" w:hAnsi="Verdana" w:cs="Times New Roman"/>
      <w:b/>
      <w:bCs/>
      <w:i/>
      <w:iCs/>
      <w:noProof/>
      <w:color w:val="FFC000" w:themeColor="accent5"/>
      <w:sz w:val="20"/>
      <w:szCs w:val="18"/>
      <w:lang w:val="en-GB" w:eastAsia="nl-BE"/>
    </w:rPr>
  </w:style>
  <w:style w:type="character" w:customStyle="1" w:styleId="Style10Char">
    <w:name w:val="Style10 Char"/>
    <w:basedOn w:val="DefaultParagraphFont"/>
    <w:rsid w:val="00B758A1"/>
    <w:rPr>
      <w:rFonts w:ascii="Arial" w:eastAsia="Times New Roman" w:hAnsi="Arial" w:cs="Times New Roman"/>
      <w:sz w:val="20"/>
      <w:szCs w:val="24"/>
      <w:lang w:val="en-GB"/>
    </w:rPr>
  </w:style>
  <w:style w:type="paragraph" w:customStyle="1" w:styleId="Footerapproval">
    <w:name w:val="Footer approval"/>
    <w:basedOn w:val="Footer"/>
    <w:link w:val="ApprovalfooterChar"/>
    <w:uiPriority w:val="1"/>
    <w:qFormat/>
    <w:rsid w:val="00B758A1"/>
    <w:pPr>
      <w:tabs>
        <w:tab w:val="clear" w:pos="4535"/>
        <w:tab w:val="clear" w:pos="9071"/>
        <w:tab w:val="clear" w:pos="9921"/>
        <w:tab w:val="left" w:pos="6804"/>
      </w:tabs>
      <w:spacing w:before="0"/>
      <w:ind w:left="0" w:right="-567"/>
      <w:jc w:val="both"/>
    </w:pPr>
    <w:rPr>
      <w:rFonts w:ascii="Verdana" w:eastAsia="Times New Roman" w:hAnsi="Verdana"/>
      <w:sz w:val="13"/>
      <w:szCs w:val="20"/>
      <w:lang w:eastAsia="de-DE"/>
    </w:rPr>
  </w:style>
  <w:style w:type="character" w:customStyle="1" w:styleId="ApprovalfooterChar">
    <w:name w:val="Approval_footer Char"/>
    <w:basedOn w:val="FooterChar"/>
    <w:link w:val="Footerapproval"/>
    <w:uiPriority w:val="1"/>
    <w:rsid w:val="00B758A1"/>
    <w:rPr>
      <w:rFonts w:ascii="Verdana" w:eastAsia="Times New Roman" w:hAnsi="Verdana" w:cs="Times New Roman"/>
      <w:sz w:val="13"/>
      <w:szCs w:val="20"/>
      <w:lang w:eastAsia="de-DE"/>
    </w:rPr>
  </w:style>
  <w:style w:type="character" w:customStyle="1" w:styleId="Mention">
    <w:name w:val="Mention"/>
    <w:basedOn w:val="DefaultParagraphFont"/>
    <w:uiPriority w:val="99"/>
    <w:unhideWhenUsed/>
    <w:rsid w:val="00B758A1"/>
    <w:rPr>
      <w:color w:val="2B579A"/>
      <w:shd w:val="clear" w:color="auto" w:fill="E1DFDD"/>
    </w:rPr>
  </w:style>
  <w:style w:type="paragraph" w:customStyle="1" w:styleId="numbering">
    <w:name w:val="numbering"/>
    <w:basedOn w:val="Bulletcoretext"/>
    <w:uiPriority w:val="1"/>
    <w:qFormat/>
    <w:rsid w:val="00B758A1"/>
    <w:pPr>
      <w:numPr>
        <w:numId w:val="33"/>
      </w:numPr>
      <w:tabs>
        <w:tab w:val="left" w:pos="709"/>
        <w:tab w:val="left" w:pos="851"/>
      </w:tabs>
      <w:suppressAutoHyphens/>
      <w:spacing w:before="60" w:after="60"/>
      <w:ind w:left="1440"/>
    </w:pPr>
    <w:rPr>
      <w:rFonts w:eastAsia="Wingdings 3" w:cs="Times New Roman"/>
      <w:kern w:val="12"/>
      <w:sz w:val="18"/>
      <w:szCs w:val="20"/>
      <w:lang w:eastAsia="ar-SA"/>
    </w:rPr>
  </w:style>
  <w:style w:type="paragraph" w:customStyle="1" w:styleId="BulletPSP">
    <w:name w:val="Bullet PSP"/>
    <w:basedOn w:val="Normal"/>
    <w:link w:val="BulletPSPChar"/>
    <w:qFormat/>
    <w:rsid w:val="00B758A1"/>
    <w:pPr>
      <w:numPr>
        <w:numId w:val="34"/>
      </w:numPr>
      <w:spacing w:before="120" w:after="160" w:line="259" w:lineRule="auto"/>
      <w:contextualSpacing/>
    </w:pPr>
    <w:rPr>
      <w:rFonts w:ascii="Wingdings 3" w:eastAsiaTheme="minorEastAsia" w:hAnsi="Wingdings 3" w:cs="Times New Roman"/>
      <w:color w:val="000000"/>
      <w:szCs w:val="24"/>
      <w:lang w:val="de-DE" w:eastAsia="de-DE"/>
    </w:rPr>
  </w:style>
  <w:style w:type="character" w:customStyle="1" w:styleId="BulletPSPChar">
    <w:name w:val="Bullet PSP Char"/>
    <w:basedOn w:val="DefaultParagraphFont"/>
    <w:link w:val="BulletPSP"/>
    <w:qFormat/>
    <w:rsid w:val="00B758A1"/>
    <w:rPr>
      <w:rFonts w:ascii="Wingdings 3" w:eastAsiaTheme="minorEastAsia" w:hAnsi="Wingdings 3" w:cs="Times New Roman"/>
      <w:color w:val="000000"/>
      <w:szCs w:val="24"/>
      <w:lang w:val="de-DE" w:eastAsia="de-DE"/>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1"/>
    <w:qFormat/>
    <w:rsid w:val="00B758A1"/>
    <w:pPr>
      <w:spacing w:after="160" w:line="240" w:lineRule="exact"/>
    </w:pPr>
    <w:rPr>
      <w:rFonts w:eastAsia="Times New Roman" w:cs="Times New Roman"/>
      <w:szCs w:val="24"/>
      <w:vertAlign w:val="superscript"/>
      <w:lang w:val="de-DE" w:eastAsia="de-DE"/>
    </w:rPr>
  </w:style>
  <w:style w:type="table" w:customStyle="1" w:styleId="LightList-Accent22211">
    <w:name w:val="Light List - Accent 22211"/>
    <w:basedOn w:val="TableNormal"/>
    <w:uiPriority w:val="61"/>
    <w:semiHidden/>
    <w:rsid w:val="00B758A1"/>
    <w:pPr>
      <w:spacing w:after="0" w:line="240" w:lineRule="auto"/>
    </w:pPr>
    <w:rPr>
      <w:rFonts w:ascii="Wingdings 3" w:eastAsia="Wingdings 3" w:hAnsi="Wingdings 3" w:cs="Times New Roman"/>
      <w:sz w:val="20"/>
      <w:szCs w:val="20"/>
      <w:lang w:val="nl-BE" w:eastAsia="nl-BE"/>
    </w:rPr>
    <w:tblPr>
      <w:tblStyleRowBandSize w:val="1"/>
      <w:tblStyleColBandSize w:val="1"/>
      <w:tblInd w:w="0" w:type="nil"/>
      <w:tblBorders>
        <w:top w:val="single" w:sz="8" w:space="0" w:color="FFE600"/>
        <w:left w:val="single" w:sz="8" w:space="0" w:color="FFE600"/>
        <w:bottom w:val="single" w:sz="8" w:space="0" w:color="FFE600"/>
        <w:right w:val="single" w:sz="8" w:space="0" w:color="FFE600"/>
      </w:tblBorders>
    </w:tblPr>
    <w:tblStylePr w:type="firstRow">
      <w:pPr>
        <w:spacing w:beforeLines="0" w:before="100" w:beforeAutospacing="1" w:afterLines="0" w:after="100" w:afterAutospacing="1" w:line="240" w:lineRule="auto"/>
      </w:pPr>
      <w:rPr>
        <w:b/>
        <w:bCs/>
        <w:color w:val="646464"/>
      </w:rPr>
      <w:tblPr/>
      <w:tcPr>
        <w:shd w:val="clear" w:color="auto" w:fill="FFE600"/>
      </w:tcPr>
    </w:tblStylePr>
    <w:tblStylePr w:type="lastRow">
      <w:pPr>
        <w:spacing w:beforeLines="0" w:before="100" w:beforeAutospacing="1" w:afterLines="0" w:after="100" w:afterAutospacing="1" w:line="240" w:lineRule="auto"/>
      </w:pPr>
      <w:rPr>
        <w:b/>
        <w:bCs/>
      </w:rPr>
      <w:tblPr/>
      <w:tcPr>
        <w:tcBorders>
          <w:top w:val="double" w:sz="6" w:space="0" w:color="FFE600"/>
          <w:left w:val="single" w:sz="8" w:space="0" w:color="FFE600"/>
          <w:bottom w:val="single" w:sz="8" w:space="0" w:color="FFE600"/>
          <w:right w:val="single" w:sz="8" w:space="0" w:color="FFE600"/>
        </w:tcBorders>
      </w:tcPr>
    </w:tblStylePr>
    <w:tblStylePr w:type="firstCol">
      <w:rPr>
        <w:b/>
        <w:bCs/>
      </w:rPr>
    </w:tblStylePr>
    <w:tblStylePr w:type="lastCol">
      <w:rPr>
        <w:b/>
        <w:bCs/>
      </w:rPr>
    </w:tblStylePr>
    <w:tblStylePr w:type="band1Vert">
      <w:tblPr/>
      <w:tcPr>
        <w:tcBorders>
          <w:top w:val="single" w:sz="8" w:space="0" w:color="FFE600"/>
          <w:left w:val="single" w:sz="8" w:space="0" w:color="FFE600"/>
          <w:bottom w:val="single" w:sz="8" w:space="0" w:color="FFE600"/>
          <w:right w:val="single" w:sz="8" w:space="0" w:color="FFE600"/>
        </w:tcBorders>
      </w:tcPr>
    </w:tblStylePr>
    <w:tblStylePr w:type="band1Horz">
      <w:tblPr/>
      <w:tcPr>
        <w:tcBorders>
          <w:top w:val="single" w:sz="8" w:space="0" w:color="FFE600"/>
          <w:left w:val="single" w:sz="8" w:space="0" w:color="FFE600"/>
          <w:bottom w:val="single" w:sz="8" w:space="0" w:color="FFE600"/>
          <w:right w:val="single" w:sz="8" w:space="0" w:color="FFE600"/>
        </w:tcBorders>
      </w:tcPr>
    </w:tblStylePr>
  </w:style>
  <w:style w:type="table" w:customStyle="1" w:styleId="LightList-Accent2241">
    <w:name w:val="Light List - Accent 2241"/>
    <w:basedOn w:val="TableNormal"/>
    <w:uiPriority w:val="61"/>
    <w:semiHidden/>
    <w:rsid w:val="00B758A1"/>
    <w:pPr>
      <w:spacing w:after="0" w:line="240" w:lineRule="auto"/>
    </w:pPr>
    <w:rPr>
      <w:rFonts w:ascii="Wingdings 3" w:eastAsia="Wingdings 3" w:hAnsi="Wingdings 3" w:cs="Times New Roman"/>
      <w:sz w:val="20"/>
      <w:szCs w:val="20"/>
      <w:lang w:val="nl-BE" w:eastAsia="nl-BE"/>
    </w:rPr>
    <w:tblPr>
      <w:tblStyleRowBandSize w:val="1"/>
      <w:tblStyleColBandSize w:val="1"/>
      <w:tblInd w:w="0" w:type="nil"/>
      <w:tblBorders>
        <w:top w:val="single" w:sz="8" w:space="0" w:color="FFE600"/>
        <w:left w:val="single" w:sz="8" w:space="0" w:color="FFE600"/>
        <w:bottom w:val="single" w:sz="8" w:space="0" w:color="FFE600"/>
        <w:right w:val="single" w:sz="8" w:space="0" w:color="FFE600"/>
      </w:tblBorders>
    </w:tblPr>
    <w:tblStylePr w:type="firstRow">
      <w:pPr>
        <w:spacing w:beforeLines="0" w:before="100" w:beforeAutospacing="1" w:afterLines="0" w:after="100" w:afterAutospacing="1" w:line="240" w:lineRule="auto"/>
      </w:pPr>
      <w:rPr>
        <w:b/>
        <w:bCs/>
        <w:color w:val="646464"/>
      </w:rPr>
      <w:tblPr/>
      <w:tcPr>
        <w:shd w:val="clear" w:color="auto" w:fill="FFE600"/>
      </w:tcPr>
    </w:tblStylePr>
    <w:tblStylePr w:type="lastRow">
      <w:pPr>
        <w:spacing w:beforeLines="0" w:before="100" w:beforeAutospacing="1" w:afterLines="0" w:after="100" w:afterAutospacing="1" w:line="240" w:lineRule="auto"/>
      </w:pPr>
      <w:rPr>
        <w:b/>
        <w:bCs/>
      </w:rPr>
      <w:tblPr/>
      <w:tcPr>
        <w:tcBorders>
          <w:top w:val="double" w:sz="6" w:space="0" w:color="FFE600"/>
          <w:left w:val="single" w:sz="8" w:space="0" w:color="FFE600"/>
          <w:bottom w:val="single" w:sz="8" w:space="0" w:color="FFE600"/>
          <w:right w:val="single" w:sz="8" w:space="0" w:color="FFE600"/>
        </w:tcBorders>
      </w:tcPr>
    </w:tblStylePr>
    <w:tblStylePr w:type="firstCol">
      <w:rPr>
        <w:b/>
        <w:bCs/>
      </w:rPr>
    </w:tblStylePr>
    <w:tblStylePr w:type="lastCol">
      <w:rPr>
        <w:b/>
        <w:bCs/>
      </w:rPr>
    </w:tblStylePr>
    <w:tblStylePr w:type="band1Vert">
      <w:tblPr/>
      <w:tcPr>
        <w:tcBorders>
          <w:top w:val="single" w:sz="8" w:space="0" w:color="FFE600"/>
          <w:left w:val="single" w:sz="8" w:space="0" w:color="FFE600"/>
          <w:bottom w:val="single" w:sz="8" w:space="0" w:color="FFE600"/>
          <w:right w:val="single" w:sz="8" w:space="0" w:color="FFE600"/>
        </w:tcBorders>
      </w:tcPr>
    </w:tblStylePr>
    <w:tblStylePr w:type="band1Horz">
      <w:tblPr/>
      <w:tcPr>
        <w:tcBorders>
          <w:top w:val="single" w:sz="8" w:space="0" w:color="FFE600"/>
          <w:left w:val="single" w:sz="8" w:space="0" w:color="FFE600"/>
          <w:bottom w:val="single" w:sz="8" w:space="0" w:color="FFE600"/>
          <w:right w:val="single" w:sz="8" w:space="0" w:color="FFE600"/>
        </w:tcBorders>
      </w:tcPr>
    </w:tblStylePr>
  </w:style>
  <w:style w:type="character" w:customStyle="1" w:styleId="jlqj4b">
    <w:name w:val="jlqj4b"/>
    <w:basedOn w:val="DefaultParagraphFont"/>
    <w:rsid w:val="00B758A1"/>
  </w:style>
  <w:style w:type="character" w:customStyle="1" w:styleId="viiyi">
    <w:name w:val="viiyi"/>
    <w:basedOn w:val="DefaultParagraphFont"/>
    <w:rsid w:val="00B758A1"/>
  </w:style>
  <w:style w:type="paragraph" w:customStyle="1" w:styleId="9TblTxt">
    <w:name w:val="9 Tbl Txt"/>
    <w:basedOn w:val="Normal"/>
    <w:link w:val="9TblTxtChar"/>
    <w:uiPriority w:val="1"/>
    <w:qFormat/>
    <w:rsid w:val="00B758A1"/>
    <w:pPr>
      <w:spacing w:after="0" w:line="220" w:lineRule="atLeast"/>
    </w:pPr>
    <w:rPr>
      <w:rFonts w:eastAsia="Calibri" w:cs="Times New Roman"/>
      <w:sz w:val="18"/>
      <w:szCs w:val="18"/>
      <w:lang w:val="en-ZA" w:eastAsia="de-DE"/>
    </w:rPr>
  </w:style>
  <w:style w:type="character" w:customStyle="1" w:styleId="9TblTxtChar">
    <w:name w:val="9 Tbl Txt Char"/>
    <w:basedOn w:val="DefaultParagraphFont"/>
    <w:link w:val="9TblTxt"/>
    <w:uiPriority w:val="1"/>
    <w:rsid w:val="00B758A1"/>
    <w:rPr>
      <w:rFonts w:eastAsia="Calibri" w:cs="Times New Roman"/>
      <w:sz w:val="18"/>
      <w:szCs w:val="18"/>
      <w:lang w:val="en-ZA" w:eastAsia="de-DE"/>
    </w:rPr>
  </w:style>
  <w:style w:type="character" w:customStyle="1" w:styleId="BodyZchn">
    <w:name w:val="Body Zchn"/>
    <w:basedOn w:val="DefaultParagraphFont"/>
    <w:locked/>
    <w:rsid w:val="00B758A1"/>
    <w:rPr>
      <w:rFonts w:ascii="Arial" w:eastAsia="Times New Roman" w:hAnsi="Arial" w:cs="Times New Roman"/>
      <w:szCs w:val="20"/>
      <w:lang w:eastAsia="de-DE"/>
    </w:rPr>
  </w:style>
  <w:style w:type="paragraph" w:customStyle="1" w:styleId="43abc">
    <w:name w:val="4  Ü3 abc"/>
    <w:basedOn w:val="ListParagraph"/>
    <w:uiPriority w:val="1"/>
    <w:qFormat/>
    <w:rsid w:val="00B758A1"/>
    <w:pPr>
      <w:numPr>
        <w:ilvl w:val="1"/>
        <w:numId w:val="35"/>
      </w:numPr>
      <w:overflowPunct w:val="0"/>
      <w:autoSpaceDE w:val="0"/>
      <w:autoSpaceDN w:val="0"/>
      <w:adjustRightInd w:val="0"/>
      <w:spacing w:before="120" w:after="120"/>
      <w:contextualSpacing w:val="0"/>
      <w:jc w:val="left"/>
      <w:textAlignment w:val="baseline"/>
      <w:outlineLvl w:val="2"/>
    </w:pPr>
    <w:rPr>
      <w:rFonts w:ascii="Arial" w:hAnsi="Arial"/>
      <w:b/>
      <w:iCs/>
      <w:sz w:val="22"/>
      <w:lang w:val="de-DE" w:eastAsia="de-DE"/>
    </w:rPr>
  </w:style>
  <w:style w:type="table" w:customStyle="1" w:styleId="Tabellenraster10">
    <w:name w:val="Tabellenraster10"/>
    <w:basedOn w:val="TableNormal"/>
    <w:rsid w:val="00B758A1"/>
    <w:pPr>
      <w:spacing w:after="0" w:line="320" w:lineRule="atLeast"/>
    </w:pPr>
    <w:rPr>
      <w:rFonts w:ascii="Times New Roman" w:eastAsia="Times New Roman" w:hAnsi="Times New Roman" w:cs="Times New Roman"/>
      <w:sz w:val="20"/>
      <w:szCs w:val="20"/>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VContactDetails1">
    <w:name w:val="_ECV_ContactDetails1"/>
    <w:basedOn w:val="Normal"/>
    <w:uiPriority w:val="1"/>
    <w:rsid w:val="00B758A1"/>
    <w:pPr>
      <w:widowControl w:val="0"/>
      <w:suppressLineNumbers/>
      <w:suppressAutoHyphens/>
      <w:spacing w:after="0" w:line="100" w:lineRule="atLeast"/>
      <w:textAlignment w:val="center"/>
    </w:pPr>
    <w:rPr>
      <w:rFonts w:ascii="Verdana" w:eastAsia="Wingdings 3" w:hAnsi="Verdana" w:cs="Cambria Math"/>
      <w:color w:val="3F3A38"/>
      <w:spacing w:val="-6"/>
      <w:sz w:val="18"/>
      <w:szCs w:val="18"/>
      <w:lang w:val="de-DE" w:eastAsia="zh-CN" w:bidi="hi-IN"/>
    </w:rPr>
  </w:style>
  <w:style w:type="paragraph" w:customStyle="1" w:styleId="ECVNameField">
    <w:name w:val="_ECV_NameField"/>
    <w:basedOn w:val="Normal"/>
    <w:uiPriority w:val="1"/>
    <w:rsid w:val="00B758A1"/>
    <w:pPr>
      <w:widowControl w:val="0"/>
      <w:suppressLineNumbers/>
      <w:suppressAutoHyphens/>
      <w:spacing w:after="0" w:line="100" w:lineRule="atLeast"/>
    </w:pPr>
    <w:rPr>
      <w:rFonts w:ascii="Verdana" w:eastAsia="Wingdings 3" w:hAnsi="Verdana" w:cs="Cambria Math"/>
      <w:color w:val="3F3A38"/>
      <w:spacing w:val="-6"/>
      <w:kern w:val="1"/>
      <w:sz w:val="26"/>
      <w:szCs w:val="18"/>
      <w:lang w:val="de-DE" w:eastAsia="zh-CN" w:bidi="hi-IN"/>
    </w:rPr>
  </w:style>
  <w:style w:type="table" w:customStyle="1" w:styleId="CV11111">
    <w:name w:val="CV11111"/>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2">
    <w:name w:val="CV11112"/>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3">
    <w:name w:val="CV11113"/>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4">
    <w:name w:val="CV11114"/>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5">
    <w:name w:val="CV11115"/>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6">
    <w:name w:val="CV11116"/>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7">
    <w:name w:val="CV11117"/>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8">
    <w:name w:val="CV11118"/>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9">
    <w:name w:val="CV11119"/>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10">
    <w:name w:val="CV111110"/>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11">
    <w:name w:val="CV111111"/>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12">
    <w:name w:val="CV111112"/>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13">
    <w:name w:val="CV111113"/>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14">
    <w:name w:val="CV111114"/>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15">
    <w:name w:val="CV111115"/>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16">
    <w:name w:val="CV111116"/>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17">
    <w:name w:val="CV111117"/>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none12">
    <w:name w:val="none12"/>
    <w:basedOn w:val="TableNormal"/>
    <w:next w:val="TableGrid"/>
    <w:uiPriority w:val="59"/>
    <w:rsid w:val="00B758A1"/>
    <w:pPr>
      <w:spacing w:after="0" w:line="240" w:lineRule="auto"/>
    </w:pPr>
    <w:rPr>
      <w:rFonts w:ascii="Yu Gothic UI Light" w:eastAsia="Times New Roman" w:hAnsi="Yu Gothic UI Light" w:cs="Times New Roman"/>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themeColor="background1"/>
        <w:sz w:val="18"/>
      </w:rPr>
      <w:tblPr/>
      <w:tcPr>
        <w:shd w:val="clear" w:color="auto" w:fill="00AEF0"/>
      </w:tcPr>
    </w:tblStylePr>
  </w:style>
  <w:style w:type="table" w:customStyle="1" w:styleId="CV111118">
    <w:name w:val="CV111118"/>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19">
    <w:name w:val="CV111119"/>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V111120">
    <w:name w:val="CV111120"/>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none211">
    <w:name w:val="none211"/>
    <w:basedOn w:val="TableNormal"/>
    <w:next w:val="TableGrid"/>
    <w:uiPriority w:val="39"/>
    <w:rsid w:val="00B758A1"/>
    <w:pPr>
      <w:spacing w:after="0" w:line="240" w:lineRule="auto"/>
    </w:pPr>
    <w:rPr>
      <w:rFonts w:ascii="Yu Gothic UI Light" w:eastAsia="Times New Roman" w:hAnsi="Yu Gothic UI Light" w:cs="Times New Roman"/>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cs="Times New Roman"/>
        <w:color w:val="FFFFFF"/>
      </w:rPr>
      <w:tblPr/>
      <w:tcPr>
        <w:shd w:val="clear" w:color="auto" w:fill="00AEF0"/>
      </w:tcPr>
    </w:tblStylePr>
  </w:style>
  <w:style w:type="table" w:customStyle="1" w:styleId="CV111121">
    <w:name w:val="CV111121"/>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none212">
    <w:name w:val="none212"/>
    <w:basedOn w:val="TableNormal"/>
    <w:next w:val="TableGrid"/>
    <w:uiPriority w:val="39"/>
    <w:rsid w:val="00B758A1"/>
    <w:pPr>
      <w:spacing w:after="0" w:line="240" w:lineRule="auto"/>
    </w:pPr>
    <w:rPr>
      <w:rFonts w:ascii="Yu Gothic UI Light" w:eastAsia="Times New Roman" w:hAnsi="Yu Gothic UI Light" w:cs="Times New Roman"/>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cs="Times New Roman"/>
        <w:color w:val="FFFFFF"/>
      </w:rPr>
      <w:tblPr/>
      <w:tcPr>
        <w:shd w:val="clear" w:color="auto" w:fill="00AEF0"/>
      </w:tcPr>
    </w:tblStylePr>
  </w:style>
  <w:style w:type="table" w:customStyle="1" w:styleId="CV111122">
    <w:name w:val="CV111122"/>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ColorfulList-Accent3112">
    <w:name w:val="Colorful List - Accent 3112"/>
    <w:basedOn w:val="TableNormal"/>
    <w:uiPriority w:val="72"/>
    <w:rsid w:val="00B758A1"/>
    <w:pPr>
      <w:spacing w:after="0" w:line="240" w:lineRule="auto"/>
    </w:pPr>
    <w:rPr>
      <w:color w:val="000000"/>
      <w:lang w:val="nl-BE"/>
    </w:rPr>
    <w:tblPr>
      <w:tblStyleRowBandSize w:val="1"/>
      <w:tblStyleColBandSize w:val="1"/>
    </w:tblPr>
    <w:tcPr>
      <w:shd w:val="clear" w:color="auto" w:fill="F5F5F5"/>
    </w:tcPr>
    <w:tblStylePr w:type="firstRow">
      <w:rPr>
        <w:b/>
        <w:bCs/>
        <w:color w:val="646464"/>
      </w:rPr>
      <w:tblPr/>
      <w:tcPr>
        <w:tcBorders>
          <w:bottom w:val="single" w:sz="12" w:space="0" w:color="646464"/>
        </w:tcBorders>
        <w:shd w:val="clear" w:color="auto" w:fill="C0C0C0"/>
      </w:tcPr>
    </w:tblStylePr>
    <w:tblStylePr w:type="lastRow">
      <w:rPr>
        <w:b/>
        <w:bCs/>
        <w:color w:val="C0C0C0"/>
      </w:rPr>
      <w:tblPr/>
      <w:tcPr>
        <w:tcBorders>
          <w:top w:val="single" w:sz="12" w:space="0" w:color="000000"/>
        </w:tcBorders>
        <w:shd w:val="clear" w:color="auto" w:fill="646464"/>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312">
    <w:name w:val="Colorful List - Accent 312"/>
    <w:basedOn w:val="TableNormal"/>
    <w:next w:val="ColorfulList-Accent3"/>
    <w:uiPriority w:val="72"/>
    <w:rsid w:val="00B758A1"/>
    <w:pPr>
      <w:spacing w:after="0" w:line="240" w:lineRule="auto"/>
    </w:pPr>
    <w:rPr>
      <w:rFonts w:ascii="Arial" w:hAnsi="Arial"/>
      <w:color w:val="000000"/>
      <w:sz w:val="20"/>
      <w:szCs w:val="20"/>
      <w:lang w:val="nl-BE"/>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paragraph" w:customStyle="1" w:styleId="Heading01">
    <w:name w:val="Heading 01"/>
    <w:basedOn w:val="Normal"/>
    <w:next w:val="Normal"/>
    <w:uiPriority w:val="9"/>
    <w:qFormat/>
    <w:rsid w:val="00B758A1"/>
    <w:pPr>
      <w:keepNext/>
      <w:keepLines/>
      <w:spacing w:before="240" w:after="240" w:line="240" w:lineRule="auto"/>
      <w:ind w:left="432" w:hanging="432"/>
      <w:jc w:val="both"/>
      <w:outlineLvl w:val="0"/>
    </w:pPr>
    <w:rPr>
      <w:rFonts w:ascii="Verdana" w:eastAsia="Yu Gothic Light" w:hAnsi="Verdana" w:cs="Times New Roman"/>
      <w:b/>
      <w:sz w:val="26"/>
      <w:szCs w:val="32"/>
      <w:lang w:val="en-GB"/>
    </w:rPr>
  </w:style>
  <w:style w:type="paragraph" w:customStyle="1" w:styleId="h2111">
    <w:name w:val="h2111"/>
    <w:basedOn w:val="Normal"/>
    <w:next w:val="Normal"/>
    <w:uiPriority w:val="9"/>
    <w:unhideWhenUsed/>
    <w:qFormat/>
    <w:rsid w:val="00B758A1"/>
    <w:pPr>
      <w:keepNext/>
      <w:keepLines/>
      <w:spacing w:before="240" w:after="240" w:line="240" w:lineRule="auto"/>
      <w:ind w:left="576" w:hanging="576"/>
      <w:outlineLvl w:val="1"/>
    </w:pPr>
    <w:rPr>
      <w:rFonts w:ascii="Verdana" w:eastAsia="Yu Gothic Light" w:hAnsi="Verdana" w:cs="Times New Roman"/>
      <w:b/>
      <w:szCs w:val="26"/>
      <w:lang w:val="de-DE" w:eastAsia="de-DE"/>
    </w:rPr>
  </w:style>
  <w:style w:type="paragraph" w:customStyle="1" w:styleId="l31">
    <w:name w:val="l31"/>
    <w:basedOn w:val="Normal"/>
    <w:next w:val="Normal"/>
    <w:uiPriority w:val="9"/>
    <w:unhideWhenUsed/>
    <w:rsid w:val="00B758A1"/>
    <w:pPr>
      <w:keepNext/>
      <w:keepLines/>
      <w:spacing w:before="240" w:after="240" w:line="240" w:lineRule="auto"/>
      <w:ind w:left="720" w:hanging="720"/>
      <w:outlineLvl w:val="2"/>
    </w:pPr>
    <w:rPr>
      <w:rFonts w:ascii="Verdana" w:eastAsia="Yu Gothic Light" w:hAnsi="Verdana" w:cs="Times New Roman"/>
      <w:b/>
      <w:szCs w:val="24"/>
      <w:lang w:val="de-DE" w:eastAsia="de-DE"/>
    </w:rPr>
  </w:style>
  <w:style w:type="paragraph" w:customStyle="1" w:styleId="h411">
    <w:name w:val="h411"/>
    <w:basedOn w:val="Normal"/>
    <w:next w:val="Normal"/>
    <w:uiPriority w:val="9"/>
    <w:unhideWhenUsed/>
    <w:rsid w:val="00B758A1"/>
    <w:pPr>
      <w:keepNext/>
      <w:keepLines/>
      <w:spacing w:before="120" w:after="120" w:line="240" w:lineRule="auto"/>
      <w:ind w:left="6393" w:hanging="864"/>
      <w:outlineLvl w:val="3"/>
    </w:pPr>
    <w:rPr>
      <w:rFonts w:ascii="Verdana" w:eastAsia="Yu Gothic Light" w:hAnsi="Verdana" w:cs="Times New Roman"/>
      <w:b/>
      <w:bCs/>
      <w:i/>
      <w:iCs/>
      <w:color w:val="7F7F7F"/>
      <w:szCs w:val="24"/>
      <w:lang w:val="de-DE" w:eastAsia="de-DE"/>
    </w:rPr>
  </w:style>
  <w:style w:type="paragraph" w:customStyle="1" w:styleId="Subhead11">
    <w:name w:val="Subhead 11"/>
    <w:basedOn w:val="Normal"/>
    <w:next w:val="Normal"/>
    <w:uiPriority w:val="20"/>
    <w:unhideWhenUsed/>
    <w:rsid w:val="00B758A1"/>
    <w:pPr>
      <w:keepNext/>
      <w:keepLines/>
      <w:spacing w:before="80" w:after="40" w:line="240" w:lineRule="auto"/>
      <w:jc w:val="both"/>
      <w:outlineLvl w:val="4"/>
    </w:pPr>
    <w:rPr>
      <w:rFonts w:ascii="Verdana" w:eastAsia="Yu Gothic Light" w:hAnsi="Verdana" w:cs="Times New Roman"/>
      <w:b/>
      <w:sz w:val="20"/>
      <w:u w:val="single"/>
      <w:lang w:val="en-GB"/>
    </w:rPr>
  </w:style>
  <w:style w:type="paragraph" w:customStyle="1" w:styleId="Heading6AppendixYZ1">
    <w:name w:val="Heading 6  Appendix Y &amp; Z1"/>
    <w:basedOn w:val="Normal"/>
    <w:next w:val="Normal"/>
    <w:uiPriority w:val="9"/>
    <w:unhideWhenUsed/>
    <w:rsid w:val="00B758A1"/>
    <w:pPr>
      <w:keepNext/>
      <w:keepLines/>
      <w:spacing w:before="40" w:after="0" w:line="240" w:lineRule="auto"/>
      <w:jc w:val="both"/>
      <w:outlineLvl w:val="5"/>
    </w:pPr>
    <w:rPr>
      <w:rFonts w:ascii="Verdana" w:eastAsia="Yu Gothic Light" w:hAnsi="Verdana" w:cs="Times New Roman"/>
      <w:b/>
      <w:i/>
      <w:color w:val="7F7F7F"/>
      <w:sz w:val="20"/>
      <w:lang w:val="en-GB"/>
    </w:rPr>
  </w:style>
  <w:style w:type="paragraph" w:customStyle="1" w:styleId="TITREPARTIE1">
    <w:name w:val="TITRE PARTIE1"/>
    <w:basedOn w:val="Normal"/>
    <w:next w:val="Normal"/>
    <w:uiPriority w:val="9"/>
    <w:unhideWhenUsed/>
    <w:rsid w:val="00B758A1"/>
    <w:pPr>
      <w:keepNext/>
      <w:keepLines/>
      <w:spacing w:before="40" w:after="0" w:line="240" w:lineRule="auto"/>
      <w:ind w:left="1296" w:hanging="1296"/>
      <w:jc w:val="both"/>
      <w:outlineLvl w:val="6"/>
    </w:pPr>
    <w:rPr>
      <w:rFonts w:ascii="Wingdings 3" w:eastAsia="Cambria Math" w:hAnsi="Wingdings 3" w:cs="Times New Roman"/>
      <w:i/>
      <w:iCs/>
      <w:color w:val="243F60"/>
      <w:sz w:val="20"/>
      <w:lang w:val="en-GB"/>
    </w:rPr>
  </w:style>
  <w:style w:type="paragraph" w:customStyle="1" w:styleId="action321">
    <w:name w:val="action321"/>
    <w:basedOn w:val="Normal"/>
    <w:next w:val="Normal"/>
    <w:uiPriority w:val="9"/>
    <w:unhideWhenUsed/>
    <w:rsid w:val="00B758A1"/>
    <w:pPr>
      <w:keepNext/>
      <w:keepLines/>
      <w:spacing w:before="40" w:after="0" w:line="240" w:lineRule="auto"/>
      <w:ind w:left="1440" w:hanging="1440"/>
      <w:jc w:val="both"/>
      <w:outlineLvl w:val="7"/>
    </w:pPr>
    <w:rPr>
      <w:rFonts w:ascii="Wingdings 3" w:eastAsia="Cambria Math" w:hAnsi="Wingdings 3" w:cs="Times New Roman"/>
      <w:color w:val="272727"/>
      <w:sz w:val="21"/>
      <w:szCs w:val="21"/>
      <w:lang w:val="en-GB"/>
    </w:rPr>
  </w:style>
  <w:style w:type="paragraph" w:customStyle="1" w:styleId="App11">
    <w:name w:val="App11"/>
    <w:basedOn w:val="Normal"/>
    <w:next w:val="Normal"/>
    <w:uiPriority w:val="9"/>
    <w:unhideWhenUsed/>
    <w:rsid w:val="00B758A1"/>
    <w:pPr>
      <w:keepNext/>
      <w:keepLines/>
      <w:spacing w:before="40" w:after="0" w:line="240" w:lineRule="auto"/>
      <w:ind w:left="1584" w:hanging="1584"/>
      <w:jc w:val="both"/>
      <w:outlineLvl w:val="8"/>
    </w:pPr>
    <w:rPr>
      <w:rFonts w:ascii="Wingdings 3" w:eastAsia="Cambria Math" w:hAnsi="Wingdings 3" w:cs="Times New Roman"/>
      <w:i/>
      <w:iCs/>
      <w:color w:val="272727"/>
      <w:sz w:val="21"/>
      <w:szCs w:val="21"/>
      <w:lang w:val="en-GB"/>
    </w:rPr>
  </w:style>
  <w:style w:type="table" w:customStyle="1" w:styleId="PlainTable51">
    <w:name w:val="Plain Table 51"/>
    <w:basedOn w:val="TableNormal"/>
    <w:next w:val="PlainTable5"/>
    <w:uiPriority w:val="45"/>
    <w:rsid w:val="00B758A1"/>
    <w:pPr>
      <w:spacing w:after="0" w:line="240" w:lineRule="auto"/>
    </w:pPr>
    <w:rPr>
      <w:lang w:val="it-IT"/>
    </w:rPr>
    <w:tblPr>
      <w:tblStyleRowBandSize w:val="1"/>
      <w:tblStyleColBandSize w:val="1"/>
    </w:tblPr>
    <w:tblStylePr w:type="firstRow">
      <w:rPr>
        <w:rFonts w:ascii="Calibri Light" w:eastAsia="Yu Mincho" w:hAnsi="Calibri Light" w:cs="Times New Roman"/>
        <w:i/>
        <w:iCs/>
        <w:sz w:val="26"/>
      </w:rPr>
      <w:tblPr/>
      <w:tcPr>
        <w:tcBorders>
          <w:bottom w:val="single" w:sz="4" w:space="0" w:color="7F7F7F"/>
        </w:tcBorders>
        <w:shd w:val="clear" w:color="auto" w:fill="FFFFFF"/>
      </w:tcPr>
    </w:tblStylePr>
    <w:tblStylePr w:type="lastRow">
      <w:rPr>
        <w:rFonts w:ascii="Calibri Light" w:eastAsia="Yu Mincho"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Yu Mincho" w:hAnsi="Calibri Light" w:cs="Times New Roman"/>
        <w:i/>
        <w:iCs/>
        <w:sz w:val="26"/>
      </w:rPr>
      <w:tblPr/>
      <w:tcPr>
        <w:tcBorders>
          <w:right w:val="single" w:sz="4" w:space="0" w:color="7F7F7F"/>
        </w:tcBorders>
        <w:shd w:val="clear" w:color="auto" w:fill="FFFFFF"/>
      </w:tcPr>
    </w:tblStylePr>
    <w:tblStylePr w:type="lastCol">
      <w:rPr>
        <w:rFonts w:ascii="Calibri Light" w:eastAsia="Yu Mincho"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FollowedHyperlink1">
    <w:name w:val="FollowedHyperlink1"/>
    <w:basedOn w:val="DefaultParagraphFont"/>
    <w:uiPriority w:val="99"/>
    <w:unhideWhenUsed/>
    <w:rsid w:val="00B758A1"/>
    <w:rPr>
      <w:color w:val="800080"/>
      <w:u w:val="single"/>
    </w:rPr>
  </w:style>
  <w:style w:type="paragraph" w:customStyle="1" w:styleId="TOCHeading1">
    <w:name w:val="TOC Heading1"/>
    <w:basedOn w:val="Heading1"/>
    <w:next w:val="Normal"/>
    <w:uiPriority w:val="39"/>
    <w:unhideWhenUsed/>
    <w:rsid w:val="00B758A1"/>
    <w:pPr>
      <w:keepLines/>
      <w:spacing w:after="0" w:line="259" w:lineRule="auto"/>
      <w:jc w:val="left"/>
    </w:pPr>
    <w:rPr>
      <w:rFonts w:ascii="Verdana" w:eastAsia="Yu Gothic Light" w:hAnsi="Verdana"/>
      <w:smallCaps w:val="0"/>
      <w:sz w:val="26"/>
      <w:szCs w:val="32"/>
      <w:lang w:val="de-DE" w:eastAsia="de-DE"/>
    </w:rPr>
  </w:style>
  <w:style w:type="paragraph" w:customStyle="1" w:styleId="Title1">
    <w:name w:val="Title1"/>
    <w:basedOn w:val="Normal"/>
    <w:next w:val="Normal"/>
    <w:uiPriority w:val="10"/>
    <w:rsid w:val="00B758A1"/>
    <w:pPr>
      <w:spacing w:after="0" w:line="240" w:lineRule="auto"/>
      <w:contextualSpacing/>
      <w:jc w:val="center"/>
    </w:pPr>
    <w:rPr>
      <w:rFonts w:ascii="Verdana" w:eastAsia="Yu Gothic Light" w:hAnsi="Verdana" w:cs="Times New Roman"/>
      <w:b/>
      <w:spacing w:val="-10"/>
      <w:kern w:val="28"/>
      <w:szCs w:val="56"/>
      <w:lang w:val="pl-PL"/>
    </w:rPr>
  </w:style>
  <w:style w:type="character" w:customStyle="1" w:styleId="IntenseEmphasis1">
    <w:name w:val="Intense Emphasis1"/>
    <w:basedOn w:val="DefaultParagraphFont"/>
    <w:uiPriority w:val="21"/>
    <w:rsid w:val="00B758A1"/>
    <w:rPr>
      <w:rFonts w:ascii="Arial" w:hAnsi="Arial"/>
      <w:b/>
      <w:i/>
      <w:iCs/>
      <w:color w:val="4F81BD"/>
      <w:sz w:val="20"/>
    </w:rPr>
  </w:style>
  <w:style w:type="paragraph" w:customStyle="1" w:styleId="Subtitle10">
    <w:name w:val="Subtitle1"/>
    <w:basedOn w:val="Normal"/>
    <w:next w:val="Normal"/>
    <w:uiPriority w:val="11"/>
    <w:rsid w:val="00B758A1"/>
    <w:pPr>
      <w:keepNext/>
      <w:numPr>
        <w:ilvl w:val="1"/>
      </w:numPr>
      <w:spacing w:before="60" w:after="60" w:line="240" w:lineRule="auto"/>
      <w:jc w:val="both"/>
      <w:outlineLvl w:val="4"/>
    </w:pPr>
    <w:rPr>
      <w:rFonts w:ascii="Verdana" w:eastAsia="Verdana" w:hAnsi="Verdana"/>
      <w:b/>
      <w:color w:val="000000"/>
      <w:spacing w:val="15"/>
      <w:sz w:val="20"/>
      <w:lang w:val="en-GB"/>
    </w:rPr>
  </w:style>
  <w:style w:type="table" w:customStyle="1" w:styleId="LightShading-Accent3121">
    <w:name w:val="Light Shading - Accent 3121"/>
    <w:basedOn w:val="TableNormal"/>
    <w:next w:val="LightShading-Accent3"/>
    <w:uiPriority w:val="60"/>
    <w:rsid w:val="00B758A1"/>
    <w:pPr>
      <w:spacing w:after="0" w:line="240" w:lineRule="auto"/>
    </w:pPr>
    <w:rPr>
      <w:rFonts w:ascii="Arial" w:hAnsi="Arial"/>
      <w:color w:val="7B7B7B"/>
      <w:sz w:val="20"/>
      <w:szCs w:val="20"/>
      <w:lang w:val="nl-BE"/>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character" w:customStyle="1" w:styleId="Subtitle22">
    <w:name w:val="Subtitle 22"/>
    <w:basedOn w:val="DefaultParagraphFont"/>
    <w:uiPriority w:val="19"/>
    <w:rsid w:val="00B758A1"/>
    <w:rPr>
      <w:i/>
      <w:iCs/>
      <w:color w:val="404040"/>
    </w:rPr>
  </w:style>
  <w:style w:type="paragraph" w:customStyle="1" w:styleId="IntenseQuote2">
    <w:name w:val="Intense Quote2"/>
    <w:basedOn w:val="Normal"/>
    <w:next w:val="Normal"/>
    <w:uiPriority w:val="30"/>
    <w:rsid w:val="00B758A1"/>
    <w:pPr>
      <w:pBdr>
        <w:top w:val="single" w:sz="4" w:space="10" w:color="4F81BD"/>
        <w:bottom w:val="single" w:sz="4" w:space="10" w:color="4F81BD"/>
      </w:pBdr>
      <w:spacing w:before="360" w:after="360" w:line="240" w:lineRule="auto"/>
      <w:ind w:left="864" w:right="864"/>
      <w:jc w:val="center"/>
    </w:pPr>
    <w:rPr>
      <w:rFonts w:ascii="Arial" w:hAnsi="Arial"/>
      <w:b/>
      <w:bCs/>
      <w:i/>
      <w:iCs/>
      <w:color w:val="4472C4"/>
      <w:spacing w:val="-10"/>
      <w:sz w:val="20"/>
      <w:szCs w:val="20"/>
      <w:lang w:val="nl-BE"/>
    </w:rPr>
  </w:style>
  <w:style w:type="table" w:customStyle="1" w:styleId="LightList-Accent32">
    <w:name w:val="Light List - Accent 32"/>
    <w:basedOn w:val="TableNormal"/>
    <w:next w:val="LightList-Accent3"/>
    <w:uiPriority w:val="61"/>
    <w:unhideWhenUsed/>
    <w:rsid w:val="00B758A1"/>
    <w:pPr>
      <w:spacing w:after="0" w:line="240" w:lineRule="auto"/>
    </w:pPr>
    <w:rPr>
      <w:lang w:val="it-IT"/>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1-Accent22">
    <w:name w:val="Medium Shading 1 - Accent 22"/>
    <w:basedOn w:val="TableNormal"/>
    <w:next w:val="MediumShading1-Accent2"/>
    <w:uiPriority w:val="63"/>
    <w:unhideWhenUsed/>
    <w:rsid w:val="00B758A1"/>
    <w:pPr>
      <w:spacing w:after="0" w:line="240" w:lineRule="auto"/>
    </w:pPr>
    <w:rPr>
      <w:lang w:val="it-IT"/>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99"/>
    <w:unhideWhenUsed/>
    <w:rsid w:val="00B758A1"/>
    <w:pPr>
      <w:spacing w:after="0" w:line="240" w:lineRule="auto"/>
    </w:pPr>
    <w:rPr>
      <w:lang w:val="it-IT"/>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List2-Accent22">
    <w:name w:val="Medium List 2 - Accent 22"/>
    <w:basedOn w:val="TableNormal"/>
    <w:next w:val="MediumList2-Accent2"/>
    <w:uiPriority w:val="66"/>
    <w:unhideWhenUsed/>
    <w:rsid w:val="00B758A1"/>
    <w:pPr>
      <w:spacing w:after="0" w:line="240" w:lineRule="auto"/>
    </w:pPr>
    <w:rPr>
      <w:rFonts w:ascii="Wingdings 3" w:eastAsia="Cambria Math" w:hAnsi="Wingdings 3" w:cs="Times New Roman"/>
      <w:color w:val="000000"/>
      <w:lang w:val="it-I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character" w:customStyle="1" w:styleId="SubtleReference2">
    <w:name w:val="Subtle Reference2"/>
    <w:basedOn w:val="DefaultParagraphFont"/>
    <w:uiPriority w:val="31"/>
    <w:rsid w:val="00B758A1"/>
    <w:rPr>
      <w:smallCaps/>
      <w:color w:val="5A5A5A"/>
    </w:rPr>
  </w:style>
  <w:style w:type="character" w:customStyle="1" w:styleId="IntenseReference2">
    <w:name w:val="Intense Reference2"/>
    <w:basedOn w:val="DefaultParagraphFont"/>
    <w:uiPriority w:val="32"/>
    <w:rsid w:val="00B758A1"/>
    <w:rPr>
      <w:b/>
      <w:bCs/>
      <w:smallCaps/>
      <w:color w:val="4F81BD"/>
      <w:spacing w:val="5"/>
    </w:rPr>
  </w:style>
  <w:style w:type="table" w:customStyle="1" w:styleId="ColorfulList-Accent33">
    <w:name w:val="Colorful List - Accent 33"/>
    <w:basedOn w:val="TableNormal"/>
    <w:next w:val="ColorfulList-Accent3"/>
    <w:uiPriority w:val="72"/>
    <w:unhideWhenUsed/>
    <w:rsid w:val="00B758A1"/>
    <w:pPr>
      <w:spacing w:after="0" w:line="240" w:lineRule="auto"/>
    </w:pPr>
    <w:rPr>
      <w:color w:val="000000"/>
      <w:lang w:val="it-IT"/>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paragraph" w:customStyle="1" w:styleId="MessageHeader2">
    <w:name w:val="Message Header2"/>
    <w:basedOn w:val="Normal"/>
    <w:next w:val="MessageHeader"/>
    <w:uiPriority w:val="99"/>
    <w:unhideWhenUsed/>
    <w:rsid w:val="00B758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Wingdings 3" w:eastAsia="Cambria Math" w:hAnsi="Wingdings 3" w:cs="Times New Roman"/>
      <w:szCs w:val="24"/>
      <w:lang w:val="de-DE" w:eastAsia="de-DE"/>
    </w:rPr>
  </w:style>
  <w:style w:type="table" w:customStyle="1" w:styleId="ColorfulShading-Accent22">
    <w:name w:val="Colorful Shading - Accent 22"/>
    <w:basedOn w:val="TableNormal"/>
    <w:next w:val="ColorfulShading-Accent2"/>
    <w:uiPriority w:val="71"/>
    <w:unhideWhenUsed/>
    <w:rsid w:val="00B758A1"/>
    <w:pPr>
      <w:spacing w:after="0" w:line="240" w:lineRule="auto"/>
    </w:pPr>
    <w:rPr>
      <w:color w:val="000000"/>
      <w:lang w:val="it-IT"/>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42">
    <w:name w:val="Colorful Shading - Accent 42"/>
    <w:basedOn w:val="TableNormal"/>
    <w:next w:val="ColorfulShading-Accent4"/>
    <w:uiPriority w:val="71"/>
    <w:unhideWhenUsed/>
    <w:rsid w:val="00B758A1"/>
    <w:pPr>
      <w:spacing w:after="0" w:line="240" w:lineRule="auto"/>
    </w:pPr>
    <w:rPr>
      <w:color w:val="000000"/>
      <w:lang w:val="it-IT"/>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List-Accent12">
    <w:name w:val="Colorful List - Accent 12"/>
    <w:basedOn w:val="TableNormal"/>
    <w:next w:val="ColorfulList-Accent1"/>
    <w:uiPriority w:val="72"/>
    <w:unhideWhenUsed/>
    <w:rsid w:val="00B758A1"/>
    <w:pPr>
      <w:spacing w:after="0" w:line="240" w:lineRule="auto"/>
    </w:pPr>
    <w:rPr>
      <w:color w:val="000000"/>
      <w:lang w:val="it-IT"/>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MediumGrid1-Accent42">
    <w:name w:val="Medium Grid 1 - Accent 42"/>
    <w:basedOn w:val="TableNormal"/>
    <w:next w:val="MediumGrid1-Accent4"/>
    <w:uiPriority w:val="67"/>
    <w:unhideWhenUsed/>
    <w:rsid w:val="00B758A1"/>
    <w:pPr>
      <w:spacing w:after="0" w:line="240" w:lineRule="auto"/>
    </w:pPr>
    <w:rPr>
      <w:lang w:val="it-IT"/>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LightList-Accent22">
    <w:name w:val="Light List - Accent 22"/>
    <w:basedOn w:val="TableNormal"/>
    <w:next w:val="LightList-Accent2"/>
    <w:uiPriority w:val="61"/>
    <w:unhideWhenUsed/>
    <w:rsid w:val="00B758A1"/>
    <w:pPr>
      <w:spacing w:after="0" w:line="240" w:lineRule="auto"/>
    </w:pPr>
    <w:rPr>
      <w:lang w:val="it-I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Shading2-Accent32">
    <w:name w:val="Medium Shading 2 - Accent 32"/>
    <w:basedOn w:val="TableNormal"/>
    <w:next w:val="MediumShading2-Accent3"/>
    <w:uiPriority w:val="64"/>
    <w:unhideWhenUsed/>
    <w:rsid w:val="00B758A1"/>
    <w:pPr>
      <w:spacing w:after="0" w:line="240" w:lineRule="auto"/>
    </w:pPr>
    <w:rPr>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3-Accent12">
    <w:name w:val="Medium Grid 3 - Accent 12"/>
    <w:basedOn w:val="TableNormal"/>
    <w:next w:val="MediumGrid3-Accent1"/>
    <w:uiPriority w:val="69"/>
    <w:unhideWhenUsed/>
    <w:rsid w:val="00B758A1"/>
    <w:pPr>
      <w:spacing w:after="0" w:line="240" w:lineRule="auto"/>
    </w:pPr>
    <w:rPr>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ghtShading-Accent43">
    <w:name w:val="Light Shading - Accent 43"/>
    <w:basedOn w:val="TableNormal"/>
    <w:next w:val="LightShading-Accent4"/>
    <w:uiPriority w:val="60"/>
    <w:unhideWhenUsed/>
    <w:rsid w:val="00B758A1"/>
    <w:pPr>
      <w:spacing w:after="0" w:line="240" w:lineRule="auto"/>
    </w:pPr>
    <w:rPr>
      <w:color w:val="5F497A"/>
      <w:lang w:val="it-IT"/>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Grid-Accent42">
    <w:name w:val="Light Grid - Accent 42"/>
    <w:basedOn w:val="TableNormal"/>
    <w:next w:val="LightGrid-Accent4"/>
    <w:uiPriority w:val="62"/>
    <w:unhideWhenUsed/>
    <w:rsid w:val="00B758A1"/>
    <w:pPr>
      <w:spacing w:after="0" w:line="240" w:lineRule="auto"/>
    </w:pPr>
    <w:rPr>
      <w:lang w:val="it-IT"/>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Yu Mincho"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Yu Mincho"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Yu Mincho" w:hAnsi="Calibri Light" w:cs="Times New Roman"/>
        <w:b/>
        <w:bCs/>
      </w:rPr>
    </w:tblStylePr>
    <w:tblStylePr w:type="lastCol">
      <w:rPr>
        <w:rFonts w:ascii="Calibri Light" w:eastAsia="Yu Mincho"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Shading2">
    <w:name w:val="Light Shading2"/>
    <w:basedOn w:val="TableNormal"/>
    <w:next w:val="LightShading"/>
    <w:uiPriority w:val="60"/>
    <w:unhideWhenUsed/>
    <w:rsid w:val="00B758A1"/>
    <w:pPr>
      <w:spacing w:after="0" w:line="240" w:lineRule="auto"/>
    </w:pPr>
    <w:rPr>
      <w:color w:val="000000"/>
      <w:lang w:val="it-IT"/>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22">
    <w:name w:val="Light Shading - Accent 22"/>
    <w:basedOn w:val="TableNormal"/>
    <w:next w:val="LightShading-Accent2"/>
    <w:uiPriority w:val="60"/>
    <w:unhideWhenUsed/>
    <w:rsid w:val="00B758A1"/>
    <w:pPr>
      <w:spacing w:after="0" w:line="240" w:lineRule="auto"/>
    </w:pPr>
    <w:rPr>
      <w:color w:val="943634"/>
      <w:lang w:val="it-IT"/>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2">
    <w:name w:val="Light Shading - Accent 12"/>
    <w:basedOn w:val="TableNormal"/>
    <w:next w:val="LightShading-Accent1"/>
    <w:uiPriority w:val="60"/>
    <w:unhideWhenUsed/>
    <w:rsid w:val="00B758A1"/>
    <w:pPr>
      <w:spacing w:after="0" w:line="240" w:lineRule="auto"/>
    </w:pPr>
    <w:rPr>
      <w:color w:val="365F91"/>
      <w:lang w:val="it-IT"/>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GridTable4-Accent21">
    <w:name w:val="Grid Table 4 - Accent 21"/>
    <w:basedOn w:val="TableNormal"/>
    <w:next w:val="GridTable4-Accent2"/>
    <w:uiPriority w:val="49"/>
    <w:rsid w:val="00B758A1"/>
    <w:pPr>
      <w:spacing w:after="0" w:line="240" w:lineRule="auto"/>
    </w:pPr>
    <w:rPr>
      <w:rFonts w:ascii="Arial" w:hAnsi="Arial"/>
      <w:sz w:val="20"/>
      <w:szCs w:val="20"/>
      <w:lang w:val="nl-B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1Light-Accent21">
    <w:name w:val="Grid Table 1 Light - Accent 21"/>
    <w:basedOn w:val="TableNormal"/>
    <w:next w:val="GridTable1Light-Accent2"/>
    <w:uiPriority w:val="46"/>
    <w:rsid w:val="00B758A1"/>
    <w:pPr>
      <w:spacing w:after="0" w:line="240" w:lineRule="auto"/>
    </w:pPr>
    <w:rPr>
      <w:rFonts w:ascii="Arial" w:hAnsi="Arial"/>
      <w:sz w:val="20"/>
      <w:szCs w:val="20"/>
      <w:lang w:val="nl-B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B758A1"/>
    <w:pPr>
      <w:spacing w:after="0" w:line="240" w:lineRule="auto"/>
    </w:pPr>
    <w:rPr>
      <w:rFonts w:ascii="Arial" w:hAnsi="Arial"/>
      <w:sz w:val="20"/>
      <w:szCs w:val="20"/>
      <w:lang w:val="nl-BE"/>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character" w:customStyle="1" w:styleId="Heading1Char1">
    <w:name w:val="Heading 1 Char1"/>
    <w:basedOn w:val="DefaultParagraphFont"/>
    <w:uiPriority w:val="9"/>
    <w:rsid w:val="00B758A1"/>
    <w:rPr>
      <w:rFonts w:asciiTheme="majorHAnsi" w:eastAsiaTheme="majorEastAsia" w:hAnsiTheme="majorHAnsi" w:cstheme="majorBidi"/>
      <w:color w:val="166367" w:themeColor="accent1" w:themeShade="BF"/>
      <w:sz w:val="32"/>
      <w:szCs w:val="32"/>
    </w:rPr>
  </w:style>
  <w:style w:type="character" w:customStyle="1" w:styleId="Heading2Char1">
    <w:name w:val="Heading 2 Char1"/>
    <w:basedOn w:val="DefaultParagraphFont"/>
    <w:uiPriority w:val="9"/>
    <w:semiHidden/>
    <w:rsid w:val="00B758A1"/>
    <w:rPr>
      <w:rFonts w:asciiTheme="majorHAnsi" w:eastAsiaTheme="majorEastAsia" w:hAnsiTheme="majorHAnsi" w:cstheme="majorBidi"/>
      <w:color w:val="166367" w:themeColor="accent1" w:themeShade="BF"/>
      <w:sz w:val="26"/>
      <w:szCs w:val="26"/>
    </w:rPr>
  </w:style>
  <w:style w:type="character" w:customStyle="1" w:styleId="Heading3Char1">
    <w:name w:val="Heading 3 Char1"/>
    <w:basedOn w:val="DefaultParagraphFont"/>
    <w:uiPriority w:val="9"/>
    <w:semiHidden/>
    <w:rsid w:val="00B758A1"/>
    <w:rPr>
      <w:rFonts w:asciiTheme="majorHAnsi" w:eastAsiaTheme="majorEastAsia" w:hAnsiTheme="majorHAnsi" w:cstheme="majorBidi"/>
      <w:color w:val="0F4145" w:themeColor="accent1" w:themeShade="7F"/>
      <w:sz w:val="24"/>
      <w:szCs w:val="24"/>
    </w:rPr>
  </w:style>
  <w:style w:type="character" w:customStyle="1" w:styleId="Heading4Char1">
    <w:name w:val="Heading 4 Char1"/>
    <w:basedOn w:val="DefaultParagraphFont"/>
    <w:uiPriority w:val="9"/>
    <w:semiHidden/>
    <w:rsid w:val="00B758A1"/>
    <w:rPr>
      <w:rFonts w:asciiTheme="majorHAnsi" w:eastAsiaTheme="majorEastAsia" w:hAnsiTheme="majorHAnsi" w:cstheme="majorBidi"/>
      <w:i/>
      <w:iCs/>
      <w:color w:val="166367" w:themeColor="accent1" w:themeShade="BF"/>
    </w:rPr>
  </w:style>
  <w:style w:type="character" w:customStyle="1" w:styleId="Heading5Char1">
    <w:name w:val="Heading 5 Char1"/>
    <w:basedOn w:val="DefaultParagraphFont"/>
    <w:uiPriority w:val="9"/>
    <w:semiHidden/>
    <w:rsid w:val="00B758A1"/>
    <w:rPr>
      <w:rFonts w:asciiTheme="majorHAnsi" w:eastAsiaTheme="majorEastAsia" w:hAnsiTheme="majorHAnsi" w:cstheme="majorBidi"/>
      <w:color w:val="166367" w:themeColor="accent1" w:themeShade="BF"/>
    </w:rPr>
  </w:style>
  <w:style w:type="character" w:customStyle="1" w:styleId="Heading6Char2">
    <w:name w:val="Heading 6 Char2"/>
    <w:basedOn w:val="DefaultParagraphFont"/>
    <w:uiPriority w:val="9"/>
    <w:semiHidden/>
    <w:rsid w:val="00B758A1"/>
    <w:rPr>
      <w:rFonts w:asciiTheme="majorHAnsi" w:eastAsiaTheme="majorEastAsia" w:hAnsiTheme="majorHAnsi" w:cstheme="majorBidi"/>
      <w:color w:val="0F4145" w:themeColor="accent1" w:themeShade="7F"/>
    </w:rPr>
  </w:style>
  <w:style w:type="character" w:customStyle="1" w:styleId="Heading7Char2">
    <w:name w:val="Heading 7 Char2"/>
    <w:basedOn w:val="DefaultParagraphFont"/>
    <w:uiPriority w:val="9"/>
    <w:semiHidden/>
    <w:rsid w:val="00B758A1"/>
    <w:rPr>
      <w:rFonts w:asciiTheme="majorHAnsi" w:eastAsiaTheme="majorEastAsia" w:hAnsiTheme="majorHAnsi" w:cstheme="majorBidi"/>
      <w:i/>
      <w:iCs/>
      <w:color w:val="0F4145" w:themeColor="accent1" w:themeShade="7F"/>
    </w:rPr>
  </w:style>
  <w:style w:type="character" w:customStyle="1" w:styleId="Heading8Char2">
    <w:name w:val="Heading 8 Char2"/>
    <w:basedOn w:val="DefaultParagraphFont"/>
    <w:uiPriority w:val="9"/>
    <w:semiHidden/>
    <w:rsid w:val="00B758A1"/>
    <w:rPr>
      <w:rFonts w:asciiTheme="majorHAnsi" w:eastAsiaTheme="majorEastAsia" w:hAnsiTheme="majorHAnsi" w:cstheme="majorBidi"/>
      <w:color w:val="272727" w:themeColor="text1" w:themeTint="D8"/>
      <w:sz w:val="21"/>
      <w:szCs w:val="21"/>
    </w:rPr>
  </w:style>
  <w:style w:type="character" w:customStyle="1" w:styleId="Heading9Char2">
    <w:name w:val="Heading 9 Char2"/>
    <w:basedOn w:val="DefaultParagraphFont"/>
    <w:uiPriority w:val="9"/>
    <w:semiHidden/>
    <w:rsid w:val="00B758A1"/>
    <w:rPr>
      <w:rFonts w:asciiTheme="majorHAnsi" w:eastAsiaTheme="majorEastAsia" w:hAnsiTheme="majorHAnsi" w:cstheme="majorBidi"/>
      <w:i/>
      <w:iCs/>
      <w:color w:val="272727" w:themeColor="text1" w:themeTint="D8"/>
      <w:sz w:val="21"/>
      <w:szCs w:val="21"/>
    </w:rPr>
  </w:style>
  <w:style w:type="character" w:customStyle="1" w:styleId="TitleChar1">
    <w:name w:val="Title Char1"/>
    <w:basedOn w:val="DefaultParagraphFont"/>
    <w:uiPriority w:val="10"/>
    <w:rsid w:val="00B758A1"/>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B758A1"/>
    <w:rPr>
      <w:rFonts w:eastAsiaTheme="minorEastAsia"/>
      <w:color w:val="5A5A5A" w:themeColor="text1" w:themeTint="A5"/>
      <w:spacing w:val="15"/>
    </w:rPr>
  </w:style>
  <w:style w:type="character" w:customStyle="1" w:styleId="IntenseQuoteChar2">
    <w:name w:val="Intense Quote Char2"/>
    <w:basedOn w:val="DefaultParagraphFont"/>
    <w:uiPriority w:val="30"/>
    <w:rsid w:val="00B758A1"/>
    <w:rPr>
      <w:i/>
      <w:iCs/>
      <w:color w:val="1E858B" w:themeColor="accent1"/>
    </w:rPr>
  </w:style>
  <w:style w:type="character" w:customStyle="1" w:styleId="MessageHeaderChar2">
    <w:name w:val="Message Header Char2"/>
    <w:basedOn w:val="DefaultParagraphFont"/>
    <w:uiPriority w:val="99"/>
    <w:semiHidden/>
    <w:rsid w:val="00B758A1"/>
    <w:rPr>
      <w:rFonts w:asciiTheme="majorHAnsi" w:eastAsiaTheme="majorEastAsia" w:hAnsiTheme="majorHAnsi" w:cstheme="majorBidi"/>
      <w:sz w:val="24"/>
      <w:szCs w:val="24"/>
      <w:shd w:val="pct20" w:color="auto" w:fill="auto"/>
    </w:rPr>
  </w:style>
  <w:style w:type="paragraph" w:customStyle="1" w:styleId="EDC-Bullettabelle">
    <w:name w:val="EDC - Bullet tabelle"/>
    <w:basedOn w:val="Normal"/>
    <w:link w:val="EDC-BullettabelleChar"/>
    <w:uiPriority w:val="99"/>
    <w:qFormat/>
    <w:rsid w:val="00B758A1"/>
    <w:pPr>
      <w:numPr>
        <w:numId w:val="36"/>
      </w:numPr>
      <w:tabs>
        <w:tab w:val="num" w:pos="360"/>
      </w:tabs>
      <w:spacing w:beforeLines="1" w:before="2" w:afterLines="1" w:after="2"/>
    </w:pPr>
    <w:rPr>
      <w:rFonts w:ascii="Wingdings 3" w:eastAsia="Cambria Math" w:hAnsi="Wingdings 3" w:cs="Wingdings 3"/>
      <w:sz w:val="18"/>
      <w:szCs w:val="24"/>
      <w:lang w:val="it-IT" w:eastAsia="fr-FR"/>
    </w:rPr>
  </w:style>
  <w:style w:type="paragraph" w:customStyle="1" w:styleId="Boxbullet">
    <w:name w:val="Box bullet"/>
    <w:basedOn w:val="Normal"/>
    <w:link w:val="BoxbulletZchn"/>
    <w:qFormat/>
    <w:rsid w:val="00B758A1"/>
    <w:pPr>
      <w:numPr>
        <w:numId w:val="37"/>
      </w:numPr>
      <w:spacing w:before="40" w:after="20" w:line="240" w:lineRule="auto"/>
    </w:pPr>
    <w:rPr>
      <w:rFonts w:ascii="Arial" w:eastAsia="Times New Roman" w:hAnsi="Arial" w:cs="Times New Roman"/>
      <w:sz w:val="18"/>
      <w:szCs w:val="20"/>
      <w:lang w:val="de-DE" w:eastAsia="fr-FR"/>
    </w:rPr>
  </w:style>
  <w:style w:type="character" w:customStyle="1" w:styleId="BoxbulletZchn">
    <w:name w:val="Box bullet Zchn"/>
    <w:basedOn w:val="DefaultParagraphFont"/>
    <w:link w:val="Boxbullet"/>
    <w:rsid w:val="00B758A1"/>
    <w:rPr>
      <w:rFonts w:ascii="Arial" w:eastAsia="Times New Roman" w:hAnsi="Arial" w:cs="Times New Roman"/>
      <w:sz w:val="18"/>
      <w:szCs w:val="20"/>
      <w:lang w:val="de-DE" w:eastAsia="fr-FR"/>
    </w:rPr>
  </w:style>
  <w:style w:type="table" w:customStyle="1" w:styleId="Table-standard21">
    <w:name w:val="Table - standard21"/>
    <w:basedOn w:val="TableNormal"/>
    <w:rsid w:val="00B758A1"/>
    <w:pPr>
      <w:spacing w:before="60" w:after="60" w:line="240" w:lineRule="auto"/>
    </w:pPr>
    <w:rPr>
      <w:rFonts w:ascii="Arial" w:eastAsia="Times New Roman" w:hAnsi="Arial" w:cs="Times New Roman"/>
      <w:sz w:val="18"/>
      <w:szCs w:val="20"/>
      <w:lang w:val="fr-FR" w:eastAsia="fr-FR"/>
    </w:rPr>
    <w:tblPr>
      <w:tblInd w:w="0" w:type="nil"/>
      <w:tblBorders>
        <w:insideH w:val="single" w:sz="4" w:space="0" w:color="auto"/>
      </w:tblBorders>
      <w:tblCellMar>
        <w:left w:w="57" w:type="dxa"/>
        <w:right w:w="57" w:type="dxa"/>
      </w:tblCellMar>
    </w:tblPr>
    <w:tblStylePr w:type="firstRow">
      <w:rPr>
        <w:rFonts w:ascii="Yu Mincho" w:hAnsi="Yu Mincho" w:hint="default"/>
        <w:sz w:val="18"/>
        <w:szCs w:val="18"/>
      </w:rPr>
      <w:tblPr/>
      <w:tcPr>
        <w:shd w:val="clear" w:color="auto" w:fill="FFE600"/>
      </w:tcPr>
    </w:tblStylePr>
    <w:tblStylePr w:type="lastRow">
      <w:rPr>
        <w:rFonts w:ascii="Yu Mincho" w:hAnsi="Yu Mincho" w:hint="default"/>
      </w:rPr>
    </w:tblStylePr>
    <w:tblStylePr w:type="firstCol">
      <w:tblPr/>
      <w:tcPr>
        <w:tcBorders>
          <w:insideH w:val="single" w:sz="4" w:space="0" w:color="auto"/>
        </w:tcBorders>
        <w:shd w:val="clear" w:color="auto" w:fill="F2F2F2"/>
      </w:tcPr>
    </w:tblStylePr>
  </w:style>
  <w:style w:type="table" w:customStyle="1" w:styleId="Table-standard22">
    <w:name w:val="Table - standard22"/>
    <w:basedOn w:val="TableNormal"/>
    <w:rsid w:val="00B758A1"/>
    <w:pPr>
      <w:spacing w:before="60" w:after="60" w:line="240" w:lineRule="auto"/>
    </w:pPr>
    <w:rPr>
      <w:rFonts w:ascii="Arial" w:eastAsia="Times New Roman" w:hAnsi="Arial" w:cs="Times New Roman"/>
      <w:sz w:val="18"/>
      <w:szCs w:val="20"/>
      <w:lang w:val="fr-FR" w:eastAsia="fr-FR"/>
    </w:rPr>
    <w:tblPr>
      <w:tblInd w:w="0" w:type="nil"/>
      <w:tblBorders>
        <w:insideH w:val="single" w:sz="4" w:space="0" w:color="auto"/>
      </w:tblBorders>
      <w:tblCellMar>
        <w:left w:w="57" w:type="dxa"/>
        <w:right w:w="57" w:type="dxa"/>
      </w:tblCellMar>
    </w:tblPr>
    <w:tblStylePr w:type="firstRow">
      <w:rPr>
        <w:rFonts w:ascii="Yu Mincho" w:hAnsi="Yu Mincho" w:hint="default"/>
        <w:sz w:val="18"/>
        <w:szCs w:val="18"/>
      </w:rPr>
      <w:tblPr/>
      <w:tcPr>
        <w:shd w:val="clear" w:color="auto" w:fill="FFE600"/>
      </w:tcPr>
    </w:tblStylePr>
    <w:tblStylePr w:type="lastRow">
      <w:rPr>
        <w:rFonts w:ascii="Yu Mincho" w:hAnsi="Yu Mincho" w:hint="default"/>
      </w:rPr>
    </w:tblStylePr>
    <w:tblStylePr w:type="firstCol">
      <w:tblPr/>
      <w:tcPr>
        <w:tcBorders>
          <w:insideH w:val="single" w:sz="4" w:space="0" w:color="auto"/>
        </w:tcBorders>
        <w:shd w:val="clear" w:color="auto" w:fill="F2F2F2"/>
      </w:tcPr>
    </w:tblStylePr>
  </w:style>
  <w:style w:type="character" w:customStyle="1" w:styleId="wtoffscreen">
    <w:name w:val="wtoffscreen"/>
    <w:basedOn w:val="DefaultParagraphFont"/>
    <w:rsid w:val="00B758A1"/>
  </w:style>
  <w:style w:type="character" w:customStyle="1" w:styleId="bold">
    <w:name w:val="bold"/>
    <w:basedOn w:val="DefaultParagraphFont"/>
    <w:rsid w:val="00B758A1"/>
  </w:style>
  <w:style w:type="paragraph" w:customStyle="1" w:styleId="Normal1">
    <w:name w:val="Normal1"/>
    <w:basedOn w:val="Normal"/>
    <w:uiPriority w:val="1"/>
    <w:rsid w:val="00B758A1"/>
    <w:pPr>
      <w:spacing w:before="60" w:beforeAutospacing="1" w:after="20" w:afterAutospacing="1" w:line="240" w:lineRule="auto"/>
    </w:pPr>
    <w:rPr>
      <w:rFonts w:ascii="Verdana" w:eastAsia="Times New Roman" w:hAnsi="Verdana" w:cs="Times New Roman"/>
      <w:szCs w:val="24"/>
      <w:lang w:val="de-DE" w:eastAsia="de-DE"/>
    </w:rPr>
  </w:style>
  <w:style w:type="paragraph" w:customStyle="1" w:styleId="CVNormal-FirstLine">
    <w:name w:val="CV Normal - First Line"/>
    <w:basedOn w:val="Normal"/>
    <w:uiPriority w:val="1"/>
    <w:rsid w:val="00B758A1"/>
    <w:pPr>
      <w:spacing w:before="74" w:after="0" w:line="240" w:lineRule="auto"/>
      <w:ind w:left="113" w:right="113"/>
    </w:pPr>
    <w:rPr>
      <w:rFonts w:ascii="Verdana" w:eastAsia="Times New Roman" w:hAnsi="Verdana" w:cs="Times New Roman"/>
      <w:szCs w:val="20"/>
      <w:lang w:val="de-DE" w:eastAsia="ja-JP"/>
    </w:rPr>
  </w:style>
  <w:style w:type="table" w:customStyle="1" w:styleId="Table-standard9">
    <w:name w:val="Table - standard9"/>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b/>
        <w:sz w:val="18"/>
      </w:rPr>
      <w:tblPr/>
      <w:tcPr>
        <w:shd w:val="clear" w:color="auto" w:fill="4BC5DE" w:themeFill="accent2"/>
      </w:tcPr>
    </w:tblStylePr>
    <w:tblStylePr w:type="lastRow">
      <w:rPr>
        <w:rFonts w:ascii="Yu Mincho" w:hAnsi="Yu Mincho"/>
      </w:rPr>
    </w:tblStylePr>
    <w:tblStylePr w:type="firstCol">
      <w:tblPr/>
      <w:tcPr>
        <w:tcBorders>
          <w:insideH w:val="single" w:sz="4" w:space="0" w:color="auto"/>
        </w:tcBorders>
        <w:shd w:val="clear" w:color="auto" w:fill="034999" w:themeFill="text2" w:themeFillShade="F2"/>
      </w:tcPr>
    </w:tblStylePr>
  </w:style>
  <w:style w:type="table" w:styleId="GridTable3-Accent4">
    <w:name w:val="Grid Table 3 Accent 4"/>
    <w:basedOn w:val="TableNormal"/>
    <w:uiPriority w:val="48"/>
    <w:rsid w:val="00B758A1"/>
    <w:pPr>
      <w:spacing w:after="0" w:line="240" w:lineRule="auto"/>
    </w:pPr>
    <w:rPr>
      <w:rFonts w:ascii="Arial" w:hAnsi="Arial"/>
      <w:sz w:val="20"/>
      <w:szCs w:val="20"/>
      <w:lang w:val="nl-BE"/>
    </w:rPr>
    <w:tblPr>
      <w:tblStyleRowBandSize w:val="1"/>
      <w:tblStyleColBandSize w:val="1"/>
      <w:tblBorders>
        <w:top w:val="single" w:sz="4" w:space="0" w:color="F4BA82" w:themeColor="accent4" w:themeTint="99"/>
        <w:left w:val="single" w:sz="4" w:space="0" w:color="F4BA82" w:themeColor="accent4" w:themeTint="99"/>
        <w:bottom w:val="single" w:sz="4" w:space="0" w:color="F4BA82" w:themeColor="accent4" w:themeTint="99"/>
        <w:right w:val="single" w:sz="4" w:space="0" w:color="F4BA82" w:themeColor="accent4" w:themeTint="99"/>
        <w:insideH w:val="single" w:sz="4" w:space="0" w:color="F4BA82" w:themeColor="accent4" w:themeTint="99"/>
        <w:insideV w:val="single" w:sz="4" w:space="0" w:color="F4BA8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8D5" w:themeFill="accent4" w:themeFillTint="33"/>
      </w:tcPr>
    </w:tblStylePr>
    <w:tblStylePr w:type="band1Horz">
      <w:tblPr/>
      <w:tcPr>
        <w:shd w:val="clear" w:color="auto" w:fill="FBE8D5" w:themeFill="accent4" w:themeFillTint="33"/>
      </w:tcPr>
    </w:tblStylePr>
    <w:tblStylePr w:type="neCell">
      <w:tblPr/>
      <w:tcPr>
        <w:tcBorders>
          <w:bottom w:val="single" w:sz="4" w:space="0" w:color="F4BA82" w:themeColor="accent4" w:themeTint="99"/>
        </w:tcBorders>
      </w:tcPr>
    </w:tblStylePr>
    <w:tblStylePr w:type="nwCell">
      <w:tblPr/>
      <w:tcPr>
        <w:tcBorders>
          <w:bottom w:val="single" w:sz="4" w:space="0" w:color="F4BA82" w:themeColor="accent4" w:themeTint="99"/>
        </w:tcBorders>
      </w:tcPr>
    </w:tblStylePr>
    <w:tblStylePr w:type="seCell">
      <w:tblPr/>
      <w:tcPr>
        <w:tcBorders>
          <w:top w:val="single" w:sz="4" w:space="0" w:color="F4BA82" w:themeColor="accent4" w:themeTint="99"/>
        </w:tcBorders>
      </w:tcPr>
    </w:tblStylePr>
    <w:tblStylePr w:type="swCell">
      <w:tblPr/>
      <w:tcPr>
        <w:tcBorders>
          <w:top w:val="single" w:sz="4" w:space="0" w:color="F4BA82" w:themeColor="accent4" w:themeTint="99"/>
        </w:tcBorders>
      </w:tcPr>
    </w:tblStylePr>
  </w:style>
  <w:style w:type="table" w:styleId="ListTable3-Accent1">
    <w:name w:val="List Table 3 Accent 1"/>
    <w:basedOn w:val="TableNormal"/>
    <w:uiPriority w:val="48"/>
    <w:rsid w:val="00B758A1"/>
    <w:pPr>
      <w:spacing w:after="0" w:line="240" w:lineRule="auto"/>
    </w:pPr>
    <w:rPr>
      <w:rFonts w:ascii="Arial" w:hAnsi="Arial"/>
      <w:sz w:val="20"/>
      <w:szCs w:val="20"/>
      <w:lang w:val="nl-BE"/>
    </w:rPr>
    <w:tblPr>
      <w:tblStyleRowBandSize w:val="1"/>
      <w:tblStyleColBandSize w:val="1"/>
      <w:tblBorders>
        <w:top w:val="single" w:sz="4" w:space="0" w:color="1E858B" w:themeColor="accent1"/>
        <w:left w:val="single" w:sz="4" w:space="0" w:color="1E858B" w:themeColor="accent1"/>
        <w:bottom w:val="single" w:sz="4" w:space="0" w:color="1E858B" w:themeColor="accent1"/>
        <w:right w:val="single" w:sz="4" w:space="0" w:color="1E858B" w:themeColor="accent1"/>
      </w:tblBorders>
    </w:tblPr>
    <w:tblStylePr w:type="firstRow">
      <w:rPr>
        <w:b/>
        <w:bCs/>
        <w:color w:val="FFFFFF" w:themeColor="background1"/>
      </w:rPr>
      <w:tblPr/>
      <w:tcPr>
        <w:shd w:val="clear" w:color="auto" w:fill="1E858B" w:themeFill="accent1"/>
      </w:tcPr>
    </w:tblStylePr>
    <w:tblStylePr w:type="lastRow">
      <w:rPr>
        <w:b/>
        <w:bCs/>
      </w:rPr>
      <w:tblPr/>
      <w:tcPr>
        <w:tcBorders>
          <w:top w:val="double" w:sz="4" w:space="0" w:color="1E858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858B" w:themeColor="accent1"/>
          <w:right w:val="single" w:sz="4" w:space="0" w:color="1E858B" w:themeColor="accent1"/>
        </w:tcBorders>
      </w:tcPr>
    </w:tblStylePr>
    <w:tblStylePr w:type="band1Horz">
      <w:tblPr/>
      <w:tcPr>
        <w:tcBorders>
          <w:top w:val="single" w:sz="4" w:space="0" w:color="1E858B" w:themeColor="accent1"/>
          <w:bottom w:val="single" w:sz="4" w:space="0" w:color="1E858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858B" w:themeColor="accent1"/>
          <w:left w:val="nil"/>
        </w:tcBorders>
      </w:tcPr>
    </w:tblStylePr>
    <w:tblStylePr w:type="swCell">
      <w:tblPr/>
      <w:tcPr>
        <w:tcBorders>
          <w:top w:val="double" w:sz="4" w:space="0" w:color="1E858B" w:themeColor="accent1"/>
          <w:right w:val="nil"/>
        </w:tcBorders>
      </w:tcPr>
    </w:tblStylePr>
  </w:style>
  <w:style w:type="table" w:styleId="GridTable1Light-Accent4">
    <w:name w:val="Grid Table 1 Light Accent 4"/>
    <w:basedOn w:val="TableNormal"/>
    <w:uiPriority w:val="46"/>
    <w:rsid w:val="00B758A1"/>
    <w:pPr>
      <w:spacing w:after="0" w:line="240" w:lineRule="auto"/>
    </w:pPr>
    <w:rPr>
      <w:rFonts w:ascii="Arial" w:hAnsi="Arial"/>
      <w:sz w:val="20"/>
      <w:szCs w:val="20"/>
      <w:lang w:val="nl-BE"/>
    </w:rPr>
    <w:tblPr>
      <w:tblStyleRowBandSize w:val="1"/>
      <w:tblStyleColBandSize w:val="1"/>
      <w:tblBorders>
        <w:top w:val="single" w:sz="4" w:space="0" w:color="F7D1AB" w:themeColor="accent4" w:themeTint="66"/>
        <w:left w:val="single" w:sz="4" w:space="0" w:color="F7D1AB" w:themeColor="accent4" w:themeTint="66"/>
        <w:bottom w:val="single" w:sz="4" w:space="0" w:color="F7D1AB" w:themeColor="accent4" w:themeTint="66"/>
        <w:right w:val="single" w:sz="4" w:space="0" w:color="F7D1AB" w:themeColor="accent4" w:themeTint="66"/>
        <w:insideH w:val="single" w:sz="4" w:space="0" w:color="F7D1AB" w:themeColor="accent4" w:themeTint="66"/>
        <w:insideV w:val="single" w:sz="4" w:space="0" w:color="F7D1AB" w:themeColor="accent4" w:themeTint="66"/>
      </w:tblBorders>
    </w:tblPr>
    <w:tblStylePr w:type="firstRow">
      <w:rPr>
        <w:b/>
        <w:bCs/>
      </w:rPr>
      <w:tblPr/>
      <w:tcPr>
        <w:tcBorders>
          <w:bottom w:val="single" w:sz="12" w:space="0" w:color="F4BA82" w:themeColor="accent4" w:themeTint="99"/>
        </w:tcBorders>
      </w:tcPr>
    </w:tblStylePr>
    <w:tblStylePr w:type="lastRow">
      <w:rPr>
        <w:b/>
        <w:bCs/>
      </w:rPr>
      <w:tblPr/>
      <w:tcPr>
        <w:tcBorders>
          <w:top w:val="double" w:sz="2" w:space="0" w:color="F4BA82" w:themeColor="accent4" w:themeTint="99"/>
        </w:tcBorders>
      </w:tcPr>
    </w:tblStylePr>
    <w:tblStylePr w:type="firstCol">
      <w:rPr>
        <w:b/>
        <w:bCs/>
      </w:rPr>
    </w:tblStylePr>
    <w:tblStylePr w:type="lastCol">
      <w:rPr>
        <w:b/>
        <w:bCs/>
      </w:rPr>
    </w:tblStylePr>
  </w:style>
  <w:style w:type="table" w:customStyle="1" w:styleId="Table-standard91">
    <w:name w:val="Table - standard91"/>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b/>
        <w:sz w:val="18"/>
      </w:rPr>
      <w:tblPr/>
      <w:tcPr>
        <w:shd w:val="clear" w:color="auto" w:fill="4BC5DE" w:themeFill="accent2"/>
      </w:tcPr>
    </w:tblStylePr>
    <w:tblStylePr w:type="lastRow">
      <w:rPr>
        <w:rFonts w:ascii="Yu Mincho" w:hAnsi="Yu Mincho"/>
      </w:rPr>
    </w:tblStylePr>
    <w:tblStylePr w:type="firstCol">
      <w:tblPr/>
      <w:tcPr>
        <w:tcBorders>
          <w:insideH w:val="single" w:sz="4" w:space="0" w:color="auto"/>
        </w:tcBorders>
        <w:shd w:val="clear" w:color="auto" w:fill="034999" w:themeFill="text2" w:themeFillShade="F2"/>
      </w:tcPr>
    </w:tblStylePr>
  </w:style>
  <w:style w:type="character" w:customStyle="1" w:styleId="CVNormalChar">
    <w:name w:val="CV Normal Char"/>
    <w:basedOn w:val="DefaultParagraphFont"/>
    <w:link w:val="CVNormal"/>
    <w:rsid w:val="00B758A1"/>
    <w:rPr>
      <w:rFonts w:ascii="Verdana" w:eastAsia="Times New Roman" w:hAnsi="Verdana" w:cs="Times New Roman"/>
      <w:spacing w:val="-10"/>
      <w:sz w:val="20"/>
      <w:szCs w:val="20"/>
      <w:lang w:val="en-US" w:eastAsia="ar-SA"/>
    </w:rPr>
  </w:style>
  <w:style w:type="paragraph" w:customStyle="1" w:styleId="Datecouverture">
    <w:name w:val="Date couverture"/>
    <w:rsid w:val="00B758A1"/>
    <w:pPr>
      <w:spacing w:after="0" w:line="240" w:lineRule="auto"/>
    </w:pPr>
    <w:rPr>
      <w:rFonts w:ascii="Yu Gothic UI Light" w:eastAsia="Times New Roman" w:hAnsi="Yu Gothic UI Light" w:cs="Verdana"/>
      <w:bCs/>
      <w:spacing w:val="-10"/>
      <w:kern w:val="32"/>
      <w:sz w:val="40"/>
      <w:szCs w:val="48"/>
      <w:lang w:val="en-GB"/>
    </w:rPr>
  </w:style>
  <w:style w:type="paragraph" w:customStyle="1" w:styleId="Couvdate">
    <w:name w:val="Couv date"/>
    <w:rsid w:val="00B758A1"/>
    <w:pPr>
      <w:spacing w:after="0" w:line="240" w:lineRule="auto"/>
    </w:pPr>
    <w:rPr>
      <w:rFonts w:ascii="Arial" w:eastAsia="Times New Roman" w:hAnsi="Arial" w:cs="Verdana"/>
      <w:bCs/>
      <w:noProof/>
      <w:color w:val="646464"/>
      <w:spacing w:val="-10"/>
      <w:kern w:val="32"/>
      <w:sz w:val="20"/>
      <w:szCs w:val="20"/>
      <w:lang w:val="fr-FR" w:eastAsia="fr-FR"/>
    </w:rPr>
  </w:style>
  <w:style w:type="paragraph" w:customStyle="1" w:styleId="footnote">
    <w:name w:val="footnote"/>
    <w:basedOn w:val="FootnoteText"/>
    <w:link w:val="footnoteChar"/>
    <w:qFormat/>
    <w:rsid w:val="00B758A1"/>
    <w:pPr>
      <w:spacing w:after="0"/>
      <w:ind w:left="284" w:hanging="284"/>
      <w:jc w:val="left"/>
    </w:pPr>
    <w:rPr>
      <w:rFonts w:ascii="Arial" w:hAnsi="Arial" w:cs="Wingdings 3"/>
      <w:spacing w:val="-6"/>
      <w:sz w:val="16"/>
      <w:lang w:eastAsia="de-DE"/>
    </w:rPr>
  </w:style>
  <w:style w:type="character" w:customStyle="1" w:styleId="footnoteChar">
    <w:name w:val="footnote Char"/>
    <w:basedOn w:val="DefaultParagraphFont"/>
    <w:link w:val="footnote"/>
    <w:rsid w:val="00B758A1"/>
    <w:rPr>
      <w:rFonts w:ascii="Arial" w:eastAsia="Times New Roman" w:hAnsi="Arial" w:cs="Wingdings 3"/>
      <w:spacing w:val="-6"/>
      <w:sz w:val="16"/>
      <w:szCs w:val="20"/>
      <w:lang w:val="en-GB" w:eastAsia="de-DE"/>
    </w:rPr>
  </w:style>
  <w:style w:type="paragraph" w:customStyle="1" w:styleId="Bullettable0">
    <w:name w:val="Bullet table+"/>
    <w:basedOn w:val="Normal"/>
    <w:link w:val="BullettableChar0"/>
    <w:rsid w:val="00B758A1"/>
    <w:pPr>
      <w:spacing w:after="0" w:line="240" w:lineRule="auto"/>
    </w:pPr>
    <w:rPr>
      <w:rFonts w:ascii="Wingdings 3" w:eastAsia="Cambria Math" w:hAnsi="Wingdings 3" w:cs="Wingdings 3"/>
      <w:color w:val="000000"/>
      <w:szCs w:val="24"/>
      <w:lang w:val="en-US" w:eastAsia="it-IT"/>
    </w:rPr>
  </w:style>
  <w:style w:type="character" w:customStyle="1" w:styleId="BullettableChar0">
    <w:name w:val="Bullet table+ Char"/>
    <w:basedOn w:val="DefaultParagraphFont"/>
    <w:link w:val="Bullettable0"/>
    <w:rsid w:val="00B758A1"/>
    <w:rPr>
      <w:rFonts w:ascii="Wingdings 3" w:eastAsia="Cambria Math" w:hAnsi="Wingdings 3" w:cs="Wingdings 3"/>
      <w:color w:val="000000"/>
      <w:szCs w:val="24"/>
      <w:lang w:val="en-US" w:eastAsia="it-IT"/>
    </w:rPr>
  </w:style>
  <w:style w:type="paragraph" w:customStyle="1" w:styleId="Table-new">
    <w:name w:val="Table-new"/>
    <w:basedOn w:val="Normal"/>
    <w:link w:val="Table-newChar"/>
    <w:qFormat/>
    <w:rsid w:val="00B758A1"/>
    <w:pPr>
      <w:overflowPunct w:val="0"/>
      <w:autoSpaceDE w:val="0"/>
      <w:autoSpaceDN w:val="0"/>
      <w:adjustRightInd w:val="0"/>
      <w:spacing w:after="120" w:line="240" w:lineRule="auto"/>
      <w:textAlignment w:val="baseline"/>
    </w:pPr>
    <w:rPr>
      <w:rFonts w:ascii="Verdana" w:eastAsia="Times New Roman" w:hAnsi="Verdana" w:cs="Times New Roman"/>
      <w:color w:val="000000"/>
      <w:sz w:val="18"/>
      <w:szCs w:val="16"/>
      <w:lang w:val="en-US" w:eastAsia="de-DE"/>
    </w:rPr>
  </w:style>
  <w:style w:type="character" w:customStyle="1" w:styleId="Table-newChar">
    <w:name w:val="Table-new Char"/>
    <w:basedOn w:val="DefaultParagraphFont"/>
    <w:link w:val="Table-new"/>
    <w:rsid w:val="00B758A1"/>
    <w:rPr>
      <w:rFonts w:ascii="Verdana" w:eastAsia="Times New Roman" w:hAnsi="Verdana" w:cs="Times New Roman"/>
      <w:color w:val="000000"/>
      <w:sz w:val="18"/>
      <w:szCs w:val="16"/>
      <w:lang w:val="en-US" w:eastAsia="de-DE"/>
    </w:rPr>
  </w:style>
  <w:style w:type="paragraph" w:styleId="BodyTextFirstIndent">
    <w:name w:val="Body Text First Indent"/>
    <w:basedOn w:val="Normal"/>
    <w:link w:val="BodyTextFirstIndentChar"/>
    <w:uiPriority w:val="99"/>
    <w:rsid w:val="00B758A1"/>
    <w:pPr>
      <w:tabs>
        <w:tab w:val="num" w:pos="283"/>
      </w:tabs>
      <w:spacing w:after="120" w:line="240" w:lineRule="auto"/>
      <w:ind w:left="283" w:hanging="283"/>
    </w:pPr>
    <w:rPr>
      <w:rFonts w:ascii="Cambria Math" w:eastAsia="Cambria Math" w:hAnsi="Cambria Math" w:cs="Cambria Math"/>
      <w:szCs w:val="20"/>
      <w:lang w:val="fr-FR" w:eastAsia="de-DE"/>
    </w:rPr>
  </w:style>
  <w:style w:type="character" w:customStyle="1" w:styleId="BodyTextFirstIndentChar">
    <w:name w:val="Body Text First Indent Char"/>
    <w:basedOn w:val="BodyTextChar"/>
    <w:link w:val="BodyTextFirstIndent"/>
    <w:uiPriority w:val="99"/>
    <w:rsid w:val="00B758A1"/>
    <w:rPr>
      <w:rFonts w:ascii="Cambria Math" w:eastAsia="Cambria Math" w:hAnsi="Cambria Math" w:cs="Cambria Math"/>
      <w:sz w:val="20"/>
      <w:szCs w:val="20"/>
      <w:lang w:val="fr-FR" w:eastAsia="de-DE"/>
    </w:rPr>
  </w:style>
  <w:style w:type="paragraph" w:customStyle="1" w:styleId="ListBulletLevel4">
    <w:name w:val="List Bullet (Level 4)"/>
    <w:uiPriority w:val="5"/>
    <w:qFormat/>
    <w:rsid w:val="00B758A1"/>
    <w:pPr>
      <w:spacing w:after="240" w:line="281" w:lineRule="auto"/>
      <w:ind w:left="1928" w:hanging="482"/>
    </w:pPr>
    <w:rPr>
      <w:rFonts w:ascii="Yu Gothic UI Light" w:eastAsia="Cambria Math" w:hAnsi="Yu Gothic UI Light" w:cs="Cambria Math"/>
      <w:sz w:val="24"/>
      <w:szCs w:val="24"/>
      <w:lang w:val="en-GB" w:eastAsia="en-GB"/>
    </w:rPr>
  </w:style>
  <w:style w:type="paragraph" w:customStyle="1" w:styleId="ListBulletLevel2">
    <w:name w:val="List Bullet (Level 2)"/>
    <w:uiPriority w:val="5"/>
    <w:qFormat/>
    <w:rsid w:val="00B758A1"/>
    <w:pPr>
      <w:tabs>
        <w:tab w:val="num" w:pos="283"/>
      </w:tabs>
      <w:spacing w:after="240" w:line="281" w:lineRule="auto"/>
      <w:ind w:left="283" w:hanging="283"/>
    </w:pPr>
    <w:rPr>
      <w:rFonts w:ascii="Yu Gothic UI Light" w:eastAsia="Cambria Math" w:hAnsi="Yu Gothic UI Light" w:cs="Cambria Math"/>
      <w:sz w:val="24"/>
      <w:szCs w:val="24"/>
      <w:lang w:val="en-GB" w:eastAsia="en-GB"/>
    </w:rPr>
  </w:style>
  <w:style w:type="table" w:customStyle="1" w:styleId="Table-standard10">
    <w:name w:val="Table - standard10"/>
    <w:basedOn w:val="TableNormal"/>
    <w:rsid w:val="00B758A1"/>
    <w:pPr>
      <w:numPr>
        <w:numId w:val="23"/>
      </w:numPr>
      <w:tabs>
        <w:tab w:val="num" w:pos="360"/>
      </w:tabs>
      <w:spacing w:after="0" w:line="240" w:lineRule="auto"/>
      <w:ind w:left="360"/>
    </w:pPr>
    <w:rPr>
      <w:rFonts w:ascii="Wingdings 3" w:eastAsia="Cambria Math" w:hAnsi="Wingdings 3" w:cs="Cambria Math"/>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Bahnschrift Condensed" w:hAnsi="Bahnschrift Condensed"/>
        <w:sz w:val="18"/>
      </w:rPr>
      <w:tblPr/>
      <w:tcPr>
        <w:shd w:val="clear" w:color="auto" w:fill="FFC000"/>
      </w:tcPr>
    </w:tblStylePr>
    <w:tblStylePr w:type="lastRow">
      <w:rPr>
        <w:rFonts w:ascii="Bahnschrift Condensed" w:hAnsi="Bahnschrift Condensed"/>
      </w:rPr>
    </w:tblStylePr>
  </w:style>
  <w:style w:type="table" w:customStyle="1" w:styleId="Table-standard16">
    <w:name w:val="Table - standard16"/>
    <w:basedOn w:val="TableNormal"/>
    <w:rsid w:val="00B758A1"/>
    <w:pPr>
      <w:tabs>
        <w:tab w:val="num" w:pos="720"/>
      </w:tabs>
      <w:spacing w:after="0" w:line="240" w:lineRule="auto"/>
      <w:ind w:left="720" w:hanging="720"/>
    </w:pPr>
    <w:rPr>
      <w:rFonts w:ascii="Wingdings 3" w:eastAsia="Times New Roman" w:hAnsi="Wingdings 3"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TableEY11">
    <w:name w:val="Table EY11"/>
    <w:basedOn w:val="TableNormal"/>
    <w:next w:val="TableGrid"/>
    <w:uiPriority w:val="39"/>
    <w:rsid w:val="00B758A1"/>
    <w:pPr>
      <w:tabs>
        <w:tab w:val="num" w:pos="360"/>
      </w:tabs>
      <w:spacing w:after="0" w:line="240" w:lineRule="auto"/>
    </w:pPr>
    <w:rPr>
      <w:rFonts w:ascii="Wingdings 3" w:eastAsia="Wingdings 3" w:hAnsi="Wingdings 3" w:cs="Times New Roman"/>
      <w:sz w:val="20"/>
      <w:szCs w:val="20"/>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andard17">
    <w:name w:val="Table - standard17"/>
    <w:basedOn w:val="TableNormal"/>
    <w:rsid w:val="00B758A1"/>
    <w:pPr>
      <w:spacing w:after="0" w:line="240" w:lineRule="auto"/>
    </w:pPr>
    <w:rPr>
      <w:rFonts w:ascii="Wingdings 3" w:eastAsia="Times New Roman" w:hAnsi="Wingdings 3"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Table-standard18">
    <w:name w:val="Table - standard18"/>
    <w:basedOn w:val="TableNormal"/>
    <w:rsid w:val="00B758A1"/>
    <w:pPr>
      <w:spacing w:before="60" w:after="60" w:line="240" w:lineRule="auto"/>
    </w:pPr>
    <w:rPr>
      <w:rFonts w:ascii="Wingdings 3" w:eastAsia="Times New Roman" w:hAnsi="Wingdings 3"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paragraph" w:customStyle="1" w:styleId="Bulletnumber">
    <w:name w:val="Bullet number"/>
    <w:basedOn w:val="ListParagraph"/>
    <w:link w:val="BulletnumberChar"/>
    <w:autoRedefine/>
    <w:qFormat/>
    <w:rsid w:val="00B758A1"/>
    <w:pPr>
      <w:spacing w:before="120" w:after="120"/>
      <w:ind w:left="1070"/>
      <w:jc w:val="left"/>
    </w:pPr>
    <w:rPr>
      <w:rFonts w:ascii="Arial" w:hAnsi="Arial" w:cstheme="minorBidi"/>
      <w:sz w:val="22"/>
      <w:szCs w:val="16"/>
      <w:lang w:val="de-DE" w:eastAsia="de-DE"/>
    </w:rPr>
  </w:style>
  <w:style w:type="character" w:customStyle="1" w:styleId="BulletnumberChar">
    <w:name w:val="Bullet number Char"/>
    <w:basedOn w:val="DefaultParagraphFont"/>
    <w:link w:val="Bulletnumber"/>
    <w:rsid w:val="00B758A1"/>
    <w:rPr>
      <w:rFonts w:ascii="Arial" w:eastAsia="Times New Roman" w:hAnsi="Arial"/>
      <w:szCs w:val="16"/>
      <w:lang w:val="de-DE" w:eastAsia="de-DE"/>
    </w:rPr>
  </w:style>
  <w:style w:type="paragraph" w:customStyle="1" w:styleId="Tablebulletn">
    <w:name w:val="Table bullet n"/>
    <w:basedOn w:val="ListParagraph"/>
    <w:link w:val="TablebulletnChar"/>
    <w:qFormat/>
    <w:rsid w:val="00B758A1"/>
    <w:pPr>
      <w:numPr>
        <w:numId w:val="38"/>
      </w:numPr>
      <w:spacing w:beforeLines="1" w:before="1" w:afterLines="1" w:after="1"/>
      <w:contextualSpacing w:val="0"/>
      <w:jc w:val="left"/>
    </w:pPr>
    <w:rPr>
      <w:rFonts w:ascii="Arial" w:hAnsi="Arial" w:cs="Verdana"/>
      <w:sz w:val="18"/>
      <w:lang w:val="de-DE" w:eastAsia="it-IT"/>
    </w:rPr>
  </w:style>
  <w:style w:type="character" w:customStyle="1" w:styleId="TablebulletnChar">
    <w:name w:val="Table bullet n Char"/>
    <w:basedOn w:val="DefaultParagraphFont"/>
    <w:link w:val="Tablebulletn"/>
    <w:rsid w:val="00B758A1"/>
    <w:rPr>
      <w:rFonts w:ascii="Arial" w:eastAsia="Times New Roman" w:hAnsi="Arial" w:cs="Verdana"/>
      <w:sz w:val="18"/>
      <w:szCs w:val="20"/>
      <w:lang w:val="de-DE" w:eastAsia="it-IT"/>
    </w:rPr>
  </w:style>
  <w:style w:type="paragraph" w:customStyle="1" w:styleId="Style13-TABLEBULLET">
    <w:name w:val="Style13 - TABLE BULLET"/>
    <w:basedOn w:val="Normal"/>
    <w:link w:val="Style13-TABLEBULLETChar"/>
    <w:qFormat/>
    <w:rsid w:val="00B758A1"/>
    <w:pPr>
      <w:numPr>
        <w:numId w:val="39"/>
      </w:numPr>
      <w:spacing w:before="60" w:after="60" w:line="240" w:lineRule="auto"/>
      <w:contextualSpacing/>
    </w:pPr>
    <w:rPr>
      <w:rFonts w:ascii="Verdana" w:eastAsia="Times New Roman" w:hAnsi="Verdana" w:cs="Times New Roman"/>
      <w:sz w:val="18"/>
      <w:szCs w:val="18"/>
      <w:lang w:val="de-DE" w:eastAsia="fr-FR"/>
    </w:rPr>
  </w:style>
  <w:style w:type="character" w:customStyle="1" w:styleId="Style13-TABLEBULLETChar">
    <w:name w:val="Style13 - TABLE BULLET Char"/>
    <w:basedOn w:val="DefaultParagraphFont"/>
    <w:link w:val="Style13-TABLEBULLET"/>
    <w:rsid w:val="00B758A1"/>
    <w:rPr>
      <w:rFonts w:ascii="Verdana" w:eastAsia="Times New Roman" w:hAnsi="Verdana" w:cs="Times New Roman"/>
      <w:sz w:val="18"/>
      <w:szCs w:val="18"/>
      <w:lang w:val="de-DE" w:eastAsia="fr-FR"/>
    </w:rPr>
  </w:style>
  <w:style w:type="table" w:styleId="GridTable1Light">
    <w:name w:val="Grid Table 1 Light"/>
    <w:basedOn w:val="TableNormal"/>
    <w:uiPriority w:val="46"/>
    <w:rsid w:val="00B758A1"/>
    <w:pPr>
      <w:spacing w:after="0" w:line="240" w:lineRule="auto"/>
    </w:pPr>
    <w:rPr>
      <w:rFonts w:ascii="Wingdings 3" w:hAnsi="Wingdings 3"/>
      <w:sz w:val="20"/>
      <w:szCs w:val="20"/>
      <w:lang w:val="en-GB"/>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B758A1"/>
    <w:pPr>
      <w:spacing w:after="0" w:line="240" w:lineRule="auto"/>
    </w:pPr>
    <w:rPr>
      <w:rFonts w:ascii="Wingdings 3" w:hAnsi="Wingdings 3"/>
      <w:sz w:val="20"/>
      <w:szCs w:val="20"/>
      <w:lang w:val="en-GB"/>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B758A1"/>
    <w:pPr>
      <w:spacing w:after="0" w:line="240" w:lineRule="auto"/>
    </w:pPr>
    <w:rPr>
      <w:rFonts w:ascii="Wingdings 3" w:hAnsi="Wingdings 3"/>
      <w:sz w:val="20"/>
      <w:szCs w:val="20"/>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DCTabelletesto">
    <w:name w:val="EDC Tabelle testo"/>
    <w:basedOn w:val="Normal"/>
    <w:link w:val="EDCTabelletestoChar"/>
    <w:uiPriority w:val="99"/>
    <w:qFormat/>
    <w:rsid w:val="00B758A1"/>
    <w:pPr>
      <w:spacing w:after="60" w:line="240" w:lineRule="auto"/>
    </w:pPr>
    <w:rPr>
      <w:rFonts w:ascii="Verdana" w:eastAsia="Times New Roman" w:hAnsi="Verdana" w:cs="Times New Roman"/>
      <w:sz w:val="18"/>
      <w:szCs w:val="20"/>
      <w:lang w:val="de-DE" w:eastAsia="de-DE"/>
    </w:rPr>
  </w:style>
  <w:style w:type="character" w:customStyle="1" w:styleId="EDCTabelletestoChar">
    <w:name w:val="EDC Tabelle testo Char"/>
    <w:link w:val="EDCTabelletesto"/>
    <w:uiPriority w:val="99"/>
    <w:rsid w:val="00B758A1"/>
    <w:rPr>
      <w:rFonts w:ascii="Verdana" w:eastAsia="Times New Roman" w:hAnsi="Verdana" w:cs="Times New Roman"/>
      <w:sz w:val="18"/>
      <w:szCs w:val="20"/>
      <w:lang w:val="de-DE" w:eastAsia="de-DE"/>
    </w:rPr>
  </w:style>
  <w:style w:type="paragraph" w:customStyle="1" w:styleId="Captionnew">
    <w:name w:val="Caption_new"/>
    <w:basedOn w:val="Normal"/>
    <w:link w:val="CaptionnewChar"/>
    <w:uiPriority w:val="1"/>
    <w:qFormat/>
    <w:rsid w:val="00B758A1"/>
    <w:pPr>
      <w:keepNext/>
      <w:spacing w:before="120" w:after="120" w:line="240" w:lineRule="auto"/>
      <w:jc w:val="center"/>
    </w:pPr>
    <w:rPr>
      <w:rFonts w:ascii="Wingdings 3" w:eastAsia="Cambria Math" w:hAnsi="Wingdings 3" w:cs="Wingdings 3"/>
      <w:b/>
      <w:color w:val="325BAA"/>
      <w:szCs w:val="24"/>
      <w:lang w:val="de-DE" w:eastAsia="en-GB"/>
    </w:rPr>
  </w:style>
  <w:style w:type="character" w:customStyle="1" w:styleId="CaptionnewChar">
    <w:name w:val="Caption_new Char"/>
    <w:basedOn w:val="DefaultParagraphFont"/>
    <w:link w:val="Captionnew"/>
    <w:uiPriority w:val="1"/>
    <w:rsid w:val="00B758A1"/>
    <w:rPr>
      <w:rFonts w:ascii="Wingdings 3" w:eastAsia="Cambria Math" w:hAnsi="Wingdings 3" w:cs="Wingdings 3"/>
      <w:b/>
      <w:color w:val="325BAA"/>
      <w:szCs w:val="24"/>
      <w:lang w:val="de-DE" w:eastAsia="en-GB"/>
    </w:rPr>
  </w:style>
  <w:style w:type="paragraph" w:customStyle="1" w:styleId="ABullet2">
    <w:name w:val="ABullet 2"/>
    <w:basedOn w:val="Normal"/>
    <w:uiPriority w:val="99"/>
    <w:qFormat/>
    <w:rsid w:val="00B758A1"/>
    <w:pPr>
      <w:spacing w:after="0" w:line="240" w:lineRule="auto"/>
      <w:ind w:left="414" w:hanging="357"/>
      <w:jc w:val="both"/>
    </w:pPr>
    <w:rPr>
      <w:rFonts w:ascii="Wingdings 3" w:eastAsia="Cambria Math" w:hAnsi="Wingdings 3" w:cs="Wingdings 3"/>
      <w:sz w:val="18"/>
      <w:szCs w:val="16"/>
      <w:lang w:val="nl-BE" w:eastAsia="en-GB"/>
    </w:rPr>
  </w:style>
  <w:style w:type="character" w:customStyle="1" w:styleId="EDC-BullettabelleChar">
    <w:name w:val="EDC - Bullet tabelle Char"/>
    <w:basedOn w:val="DefaultParagraphFont"/>
    <w:link w:val="EDC-Bullettabelle"/>
    <w:uiPriority w:val="99"/>
    <w:rsid w:val="00B758A1"/>
    <w:rPr>
      <w:rFonts w:ascii="Wingdings 3" w:eastAsia="Cambria Math" w:hAnsi="Wingdings 3" w:cs="Wingdings 3"/>
      <w:sz w:val="18"/>
      <w:szCs w:val="24"/>
      <w:lang w:val="it-IT" w:eastAsia="fr-FR"/>
    </w:rPr>
  </w:style>
  <w:style w:type="paragraph" w:customStyle="1" w:styleId="Text2">
    <w:name w:val="Text 2"/>
    <w:basedOn w:val="Normal"/>
    <w:uiPriority w:val="99"/>
    <w:rsid w:val="00B758A1"/>
    <w:pPr>
      <w:tabs>
        <w:tab w:val="left" w:pos="2302"/>
      </w:tabs>
      <w:spacing w:before="120" w:after="240" w:line="240" w:lineRule="auto"/>
      <w:ind w:left="1202"/>
    </w:pPr>
    <w:rPr>
      <w:rFonts w:ascii="Verdana" w:eastAsia="Times New Roman" w:hAnsi="Verdana" w:cs="Times New Roman"/>
      <w:szCs w:val="20"/>
      <w:lang w:val="fr-FR" w:eastAsia="de-DE"/>
    </w:rPr>
  </w:style>
  <w:style w:type="paragraph" w:customStyle="1" w:styleId="OPAboutEU-list">
    <w:name w:val="OP_About EU - list"/>
    <w:basedOn w:val="Normal"/>
    <w:rsid w:val="00B758A1"/>
    <w:pPr>
      <w:numPr>
        <w:numId w:val="40"/>
      </w:numPr>
      <w:pBdr>
        <w:top w:val="single" w:sz="2" w:space="31" w:color="325BAA"/>
        <w:left w:val="single" w:sz="2" w:space="31" w:color="325BAA"/>
        <w:bottom w:val="single" w:sz="2" w:space="31" w:color="325BAA"/>
        <w:right w:val="single" w:sz="2" w:space="31" w:color="325BAA"/>
      </w:pBdr>
      <w:tabs>
        <w:tab w:val="num" w:pos="360"/>
      </w:tabs>
      <w:spacing w:after="0" w:line="240" w:lineRule="auto"/>
      <w:ind w:right="794"/>
    </w:pPr>
    <w:rPr>
      <w:rFonts w:ascii="Wingdings 3" w:eastAsia="Cambria Math" w:hAnsi="Wingdings 3" w:cs="Cambria Math"/>
      <w:szCs w:val="20"/>
      <w:lang w:val="de-DE" w:eastAsia="en-GB"/>
    </w:rPr>
  </w:style>
  <w:style w:type="paragraph" w:customStyle="1" w:styleId="ListBulletLevel3">
    <w:name w:val="List Bullet (Level 3)"/>
    <w:uiPriority w:val="5"/>
    <w:qFormat/>
    <w:rsid w:val="00B758A1"/>
    <w:pPr>
      <w:spacing w:after="240" w:line="281" w:lineRule="auto"/>
      <w:ind w:left="1446" w:hanging="482"/>
    </w:pPr>
    <w:rPr>
      <w:rFonts w:ascii="Yu Gothic UI Light" w:eastAsia="Cambria Math" w:hAnsi="Yu Gothic UI Light" w:cs="Cambria Math"/>
      <w:sz w:val="24"/>
      <w:szCs w:val="24"/>
      <w:lang w:val="en-GB" w:eastAsia="en-GB"/>
    </w:rPr>
  </w:style>
  <w:style w:type="table" w:customStyle="1" w:styleId="DocumentTable1">
    <w:name w:val="Document Table1"/>
    <w:basedOn w:val="TableNormal"/>
    <w:next w:val="TableGrid"/>
    <w:uiPriority w:val="59"/>
    <w:rsid w:val="00B758A1"/>
    <w:pPr>
      <w:spacing w:after="0" w:line="240" w:lineRule="auto"/>
    </w:pPr>
    <w:rPr>
      <w:rFonts w:ascii="Yu Gothic UI Light" w:eastAsia="Times New Roman" w:hAnsi="Yu Gothic UI Light" w:cs="Times New Roman"/>
      <w:sz w:val="18"/>
      <w:szCs w:val="20"/>
      <w:lang w:val="nl-BE" w:eastAsia="nl-BE"/>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Yu Mincho" w:hAnsi="Yu Mincho"/>
        <w:b/>
        <w:color w:val="FFFFFF" w:themeColor="background1"/>
        <w:sz w:val="18"/>
      </w:rPr>
      <w:tblPr/>
      <w:tcPr>
        <w:shd w:val="clear" w:color="auto" w:fill="00AEF0"/>
      </w:tcPr>
    </w:tblStylePr>
    <w:tblStylePr w:type="band1Horz">
      <w:rPr>
        <w:sz w:val="18"/>
      </w:rPr>
    </w:tblStyle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B758A1"/>
    <w:pPr>
      <w:spacing w:after="0" w:line="240" w:lineRule="auto"/>
    </w:pPr>
    <w:rPr>
      <w:rFonts w:eastAsia="Times New Roman" w:cs="Times New Roman"/>
      <w:szCs w:val="24"/>
      <w:vertAlign w:val="superscript"/>
      <w:lang w:val="de-DE" w:eastAsia="de-DE"/>
    </w:rPr>
  </w:style>
  <w:style w:type="table" w:styleId="GridTable4-Accent1">
    <w:name w:val="Grid Table 4 Accent 1"/>
    <w:basedOn w:val="TableNormal"/>
    <w:uiPriority w:val="49"/>
    <w:rsid w:val="00B758A1"/>
    <w:pPr>
      <w:spacing w:after="0" w:line="240" w:lineRule="auto"/>
    </w:pPr>
    <w:rPr>
      <w:lang w:val="en-GB"/>
    </w:rPr>
    <w:tblPr>
      <w:tblStyleRowBandSize w:val="1"/>
      <w:tblStyleColBandSize w:val="1"/>
      <w:tblBorders>
        <w:top w:val="single" w:sz="4" w:space="0" w:color="56D2DA" w:themeColor="accent1" w:themeTint="99"/>
        <w:left w:val="single" w:sz="4" w:space="0" w:color="56D2DA" w:themeColor="accent1" w:themeTint="99"/>
        <w:bottom w:val="single" w:sz="4" w:space="0" w:color="56D2DA" w:themeColor="accent1" w:themeTint="99"/>
        <w:right w:val="single" w:sz="4" w:space="0" w:color="56D2DA" w:themeColor="accent1" w:themeTint="99"/>
        <w:insideH w:val="single" w:sz="4" w:space="0" w:color="56D2DA" w:themeColor="accent1" w:themeTint="99"/>
        <w:insideV w:val="single" w:sz="4" w:space="0" w:color="56D2DA" w:themeColor="accent1" w:themeTint="99"/>
      </w:tblBorders>
    </w:tblPr>
    <w:tblStylePr w:type="firstRow">
      <w:rPr>
        <w:b/>
        <w:bCs/>
        <w:color w:val="FFFFFF" w:themeColor="background1"/>
      </w:rPr>
      <w:tblPr/>
      <w:tcPr>
        <w:tcBorders>
          <w:top w:val="single" w:sz="4" w:space="0" w:color="1E858B" w:themeColor="accent1"/>
          <w:left w:val="single" w:sz="4" w:space="0" w:color="1E858B" w:themeColor="accent1"/>
          <w:bottom w:val="single" w:sz="4" w:space="0" w:color="1E858B" w:themeColor="accent1"/>
          <w:right w:val="single" w:sz="4" w:space="0" w:color="1E858B" w:themeColor="accent1"/>
          <w:insideH w:val="nil"/>
          <w:insideV w:val="nil"/>
        </w:tcBorders>
        <w:shd w:val="clear" w:color="auto" w:fill="1E858B" w:themeFill="accent1"/>
      </w:tcPr>
    </w:tblStylePr>
    <w:tblStylePr w:type="lastRow">
      <w:rPr>
        <w:b/>
        <w:bCs/>
      </w:rPr>
      <w:tblPr/>
      <w:tcPr>
        <w:tcBorders>
          <w:top w:val="double" w:sz="4" w:space="0" w:color="1E858B" w:themeColor="accent1"/>
        </w:tcBorders>
      </w:tcPr>
    </w:tblStylePr>
    <w:tblStylePr w:type="firstCol">
      <w:rPr>
        <w:b/>
        <w:bCs/>
      </w:rPr>
    </w:tblStylePr>
    <w:tblStylePr w:type="lastCol">
      <w:rPr>
        <w:b/>
        <w:bCs/>
      </w:rPr>
    </w:tblStylePr>
    <w:tblStylePr w:type="band1Vert">
      <w:tblPr/>
      <w:tcPr>
        <w:shd w:val="clear" w:color="auto" w:fill="C6F0F3" w:themeFill="accent1" w:themeFillTint="33"/>
      </w:tcPr>
    </w:tblStylePr>
    <w:tblStylePr w:type="band1Horz">
      <w:tblPr/>
      <w:tcPr>
        <w:shd w:val="clear" w:color="auto" w:fill="C6F0F3" w:themeFill="accent1" w:themeFillTint="33"/>
      </w:tcPr>
    </w:tblStylePr>
  </w:style>
  <w:style w:type="paragraph" w:customStyle="1" w:styleId="BodyTextAfterTable">
    <w:name w:val="Body Text After Table"/>
    <w:basedOn w:val="BodyText"/>
    <w:next w:val="BodyText"/>
    <w:link w:val="BodyTextAfterTableChar"/>
    <w:uiPriority w:val="1"/>
    <w:qFormat/>
    <w:rsid w:val="00B758A1"/>
    <w:pPr>
      <w:spacing w:before="200"/>
    </w:pPr>
    <w:rPr>
      <w:rFonts w:ascii="Cambria Math" w:hAnsi="Cambria Math"/>
      <w:kern w:val="18"/>
    </w:rPr>
  </w:style>
  <w:style w:type="character" w:customStyle="1" w:styleId="BodyTextAfterTableChar">
    <w:name w:val="Body Text After Table Char"/>
    <w:basedOn w:val="BodyTextChar"/>
    <w:link w:val="BodyTextAfterTable"/>
    <w:uiPriority w:val="1"/>
    <w:rsid w:val="00B758A1"/>
    <w:rPr>
      <w:rFonts w:ascii="Cambria Math" w:hAnsi="Cambria Math"/>
      <w:kern w:val="18"/>
      <w:sz w:val="20"/>
      <w:lang w:val="en-GB"/>
    </w:rPr>
  </w:style>
  <w:style w:type="table" w:styleId="GridTable5Dark-Accent4">
    <w:name w:val="Grid Table 5 Dark Accent 4"/>
    <w:basedOn w:val="TableNormal"/>
    <w:uiPriority w:val="50"/>
    <w:rsid w:val="00B758A1"/>
    <w:pPr>
      <w:spacing w:after="0" w:line="240" w:lineRule="auto"/>
    </w:pPr>
    <w:rPr>
      <w:rFonts w:ascii="Wingdings 3" w:hAnsi="Wingdings 3"/>
      <w:sz w:val="20"/>
      <w:szCs w:val="20"/>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8D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8D2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8D2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8D2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8D2F" w:themeFill="accent4"/>
      </w:tcPr>
    </w:tblStylePr>
    <w:tblStylePr w:type="band1Vert">
      <w:tblPr/>
      <w:tcPr>
        <w:shd w:val="clear" w:color="auto" w:fill="F7D1AB" w:themeFill="accent4" w:themeFillTint="66"/>
      </w:tcPr>
    </w:tblStylePr>
    <w:tblStylePr w:type="band1Horz">
      <w:tblPr/>
      <w:tcPr>
        <w:shd w:val="clear" w:color="auto" w:fill="F7D1AB" w:themeFill="accent4" w:themeFillTint="66"/>
      </w:tcPr>
    </w:tblStylePr>
  </w:style>
  <w:style w:type="table" w:styleId="GridTable4-Accent4">
    <w:name w:val="Grid Table 4 Accent 4"/>
    <w:basedOn w:val="TableNormal"/>
    <w:uiPriority w:val="49"/>
    <w:rsid w:val="00B758A1"/>
    <w:pPr>
      <w:spacing w:after="0" w:line="240" w:lineRule="auto"/>
    </w:pPr>
    <w:rPr>
      <w:rFonts w:ascii="Wingdings 3" w:hAnsi="Wingdings 3"/>
      <w:sz w:val="20"/>
      <w:szCs w:val="20"/>
      <w:lang w:val="en-GB"/>
    </w:rPr>
    <w:tblPr>
      <w:tblStyleRowBandSize w:val="1"/>
      <w:tblStyleColBandSize w:val="1"/>
      <w:tblBorders>
        <w:top w:val="single" w:sz="4" w:space="0" w:color="F4BA82" w:themeColor="accent4" w:themeTint="99"/>
        <w:left w:val="single" w:sz="4" w:space="0" w:color="F4BA82" w:themeColor="accent4" w:themeTint="99"/>
        <w:bottom w:val="single" w:sz="4" w:space="0" w:color="F4BA82" w:themeColor="accent4" w:themeTint="99"/>
        <w:right w:val="single" w:sz="4" w:space="0" w:color="F4BA82" w:themeColor="accent4" w:themeTint="99"/>
        <w:insideH w:val="single" w:sz="4" w:space="0" w:color="F4BA82" w:themeColor="accent4" w:themeTint="99"/>
        <w:insideV w:val="single" w:sz="4" w:space="0" w:color="F4BA82" w:themeColor="accent4" w:themeTint="99"/>
      </w:tblBorders>
    </w:tblPr>
    <w:tblStylePr w:type="firstRow">
      <w:rPr>
        <w:b/>
        <w:bCs/>
        <w:color w:val="FFFFFF" w:themeColor="background1"/>
      </w:rPr>
      <w:tblPr/>
      <w:tcPr>
        <w:tcBorders>
          <w:top w:val="single" w:sz="4" w:space="0" w:color="ED8D2F" w:themeColor="accent4"/>
          <w:left w:val="single" w:sz="4" w:space="0" w:color="ED8D2F" w:themeColor="accent4"/>
          <w:bottom w:val="single" w:sz="4" w:space="0" w:color="ED8D2F" w:themeColor="accent4"/>
          <w:right w:val="single" w:sz="4" w:space="0" w:color="ED8D2F" w:themeColor="accent4"/>
          <w:insideH w:val="nil"/>
          <w:insideV w:val="nil"/>
        </w:tcBorders>
        <w:shd w:val="clear" w:color="auto" w:fill="ED8D2F" w:themeFill="accent4"/>
      </w:tcPr>
    </w:tblStylePr>
    <w:tblStylePr w:type="lastRow">
      <w:rPr>
        <w:b/>
        <w:bCs/>
      </w:rPr>
      <w:tblPr/>
      <w:tcPr>
        <w:tcBorders>
          <w:top w:val="double" w:sz="4" w:space="0" w:color="ED8D2F" w:themeColor="accent4"/>
        </w:tcBorders>
      </w:tcPr>
    </w:tblStylePr>
    <w:tblStylePr w:type="firstCol">
      <w:rPr>
        <w:b/>
        <w:bCs/>
      </w:rPr>
    </w:tblStylePr>
    <w:tblStylePr w:type="lastCol">
      <w:rPr>
        <w:b/>
        <w:bCs/>
      </w:rPr>
    </w:tblStylePr>
    <w:tblStylePr w:type="band1Vert">
      <w:tblPr/>
      <w:tcPr>
        <w:shd w:val="clear" w:color="auto" w:fill="FBE8D5" w:themeFill="accent4" w:themeFillTint="33"/>
      </w:tcPr>
    </w:tblStylePr>
    <w:tblStylePr w:type="band1Horz">
      <w:tblPr/>
      <w:tcPr>
        <w:shd w:val="clear" w:color="auto" w:fill="FBE8D5" w:themeFill="accent4" w:themeFillTint="33"/>
      </w:tcPr>
    </w:tblStylePr>
  </w:style>
  <w:style w:type="table" w:styleId="GridTable3-Accent3">
    <w:name w:val="Grid Table 3 Accent 3"/>
    <w:basedOn w:val="TableNormal"/>
    <w:uiPriority w:val="48"/>
    <w:rsid w:val="00B758A1"/>
    <w:pPr>
      <w:spacing w:after="0" w:line="240" w:lineRule="auto"/>
    </w:pPr>
    <w:rPr>
      <w:rFonts w:ascii="Arial" w:hAnsi="Arial"/>
      <w:sz w:val="20"/>
      <w:szCs w:val="20"/>
      <w:lang w:val="nl-BE"/>
    </w:rPr>
    <w:tblPr>
      <w:tblStyleRowBandSize w:val="1"/>
      <w:tblStyleColBandSize w:val="1"/>
      <w:tblBorders>
        <w:top w:val="single" w:sz="4" w:space="0" w:color="69E7BD" w:themeColor="accent3" w:themeTint="99"/>
        <w:left w:val="single" w:sz="4" w:space="0" w:color="69E7BD" w:themeColor="accent3" w:themeTint="99"/>
        <w:bottom w:val="single" w:sz="4" w:space="0" w:color="69E7BD" w:themeColor="accent3" w:themeTint="99"/>
        <w:right w:val="single" w:sz="4" w:space="0" w:color="69E7BD" w:themeColor="accent3" w:themeTint="99"/>
        <w:insideH w:val="single" w:sz="4" w:space="0" w:color="69E7BD" w:themeColor="accent3" w:themeTint="99"/>
        <w:insideV w:val="single" w:sz="4" w:space="0" w:color="69E7B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DF7E9" w:themeFill="accent3" w:themeFillTint="33"/>
      </w:tcPr>
    </w:tblStylePr>
    <w:tblStylePr w:type="band1Horz">
      <w:tblPr/>
      <w:tcPr>
        <w:shd w:val="clear" w:color="auto" w:fill="CDF7E9" w:themeFill="accent3" w:themeFillTint="33"/>
      </w:tcPr>
    </w:tblStylePr>
    <w:tblStylePr w:type="neCell">
      <w:tblPr/>
      <w:tcPr>
        <w:tcBorders>
          <w:bottom w:val="single" w:sz="4" w:space="0" w:color="69E7BD" w:themeColor="accent3" w:themeTint="99"/>
        </w:tcBorders>
      </w:tcPr>
    </w:tblStylePr>
    <w:tblStylePr w:type="nwCell">
      <w:tblPr/>
      <w:tcPr>
        <w:tcBorders>
          <w:bottom w:val="single" w:sz="4" w:space="0" w:color="69E7BD" w:themeColor="accent3" w:themeTint="99"/>
        </w:tcBorders>
      </w:tcPr>
    </w:tblStylePr>
    <w:tblStylePr w:type="seCell">
      <w:tblPr/>
      <w:tcPr>
        <w:tcBorders>
          <w:top w:val="single" w:sz="4" w:space="0" w:color="69E7BD" w:themeColor="accent3" w:themeTint="99"/>
        </w:tcBorders>
      </w:tcPr>
    </w:tblStylePr>
    <w:tblStylePr w:type="swCell">
      <w:tblPr/>
      <w:tcPr>
        <w:tcBorders>
          <w:top w:val="single" w:sz="4" w:space="0" w:color="69E7BD" w:themeColor="accent3" w:themeTint="99"/>
        </w:tcBorders>
      </w:tcPr>
    </w:tblStylePr>
  </w:style>
  <w:style w:type="table" w:styleId="GridTable5Dark-Accent2">
    <w:name w:val="Grid Table 5 Dark Accent 2"/>
    <w:basedOn w:val="TableNormal"/>
    <w:uiPriority w:val="50"/>
    <w:rsid w:val="00B758A1"/>
    <w:pPr>
      <w:spacing w:after="0" w:line="240" w:lineRule="auto"/>
    </w:pPr>
    <w:rPr>
      <w:rFonts w:ascii="Arial" w:hAnsi="Arial"/>
      <w:sz w:val="20"/>
      <w:szCs w:val="20"/>
      <w:lang w:val="nl-B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3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C5D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C5D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C5D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C5DE" w:themeFill="accent2"/>
      </w:tcPr>
    </w:tblStylePr>
    <w:tblStylePr w:type="band1Vert">
      <w:tblPr/>
      <w:tcPr>
        <w:shd w:val="clear" w:color="auto" w:fill="B6E7F1" w:themeFill="accent2" w:themeFillTint="66"/>
      </w:tcPr>
    </w:tblStylePr>
    <w:tblStylePr w:type="band1Horz">
      <w:tblPr/>
      <w:tcPr>
        <w:shd w:val="clear" w:color="auto" w:fill="B6E7F1" w:themeFill="accent2" w:themeFillTint="66"/>
      </w:tcPr>
    </w:tblStylePr>
  </w:style>
  <w:style w:type="table" w:customStyle="1" w:styleId="Table-standard19">
    <w:name w:val="Table - standard19"/>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paragraph" w:customStyle="1" w:styleId="ECVOrganisationDetails">
    <w:name w:val="_ECV_OrganisationDetails"/>
    <w:basedOn w:val="Normal"/>
    <w:rsid w:val="00B758A1"/>
    <w:pPr>
      <w:widowControl w:val="0"/>
      <w:suppressLineNumbers/>
      <w:suppressAutoHyphens/>
      <w:autoSpaceDE w:val="0"/>
      <w:spacing w:before="57" w:after="85" w:line="100" w:lineRule="atLeast"/>
    </w:pPr>
    <w:rPr>
      <w:rFonts w:ascii="Verdana" w:eastAsia="Arial" w:hAnsi="Verdana" w:cs="Arial"/>
      <w:color w:val="3F3A38"/>
      <w:spacing w:val="-6"/>
      <w:kern w:val="1"/>
      <w:sz w:val="18"/>
      <w:szCs w:val="18"/>
      <w:lang w:val="de-DE" w:eastAsia="hi-IN" w:bidi="hi-IN"/>
    </w:rPr>
  </w:style>
  <w:style w:type="table" w:customStyle="1" w:styleId="Table-standard110">
    <w:name w:val="Table - standard110"/>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Formatvorlage1">
    <w:name w:val="Formatvorlage1"/>
    <w:basedOn w:val="TableNormal"/>
    <w:uiPriority w:val="99"/>
    <w:rsid w:val="00B758A1"/>
    <w:pPr>
      <w:spacing w:after="0" w:line="240" w:lineRule="auto"/>
    </w:pPr>
    <w:rPr>
      <w:rFonts w:ascii="Arial" w:hAnsi="Arial"/>
      <w:sz w:val="20"/>
      <w:szCs w:val="20"/>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034EA2" w:themeFill="text2"/>
    </w:tcPr>
    <w:tblStylePr w:type="firstRow">
      <w:pPr>
        <w:jc w:val="left"/>
      </w:pPr>
      <w:tblPr/>
      <w:tcPr>
        <w:shd w:val="clear" w:color="auto" w:fill="4BC5DE" w:themeFill="accent2"/>
      </w:tcPr>
    </w:tblStylePr>
  </w:style>
  <w:style w:type="character" w:customStyle="1" w:styleId="StyleSuperscript1">
    <w:name w:val="Style Superscript1"/>
    <w:basedOn w:val="DefaultParagraphFont"/>
    <w:rsid w:val="00B758A1"/>
    <w:rPr>
      <w:rFonts w:ascii="Yu Gothic UI Light" w:hAnsi="Yu Gothic UI Light"/>
      <w:sz w:val="18"/>
      <w:vertAlign w:val="superscript"/>
    </w:rPr>
  </w:style>
  <w:style w:type="character" w:customStyle="1" w:styleId="field">
    <w:name w:val="field"/>
    <w:basedOn w:val="DefaultParagraphFont"/>
    <w:rsid w:val="00B758A1"/>
  </w:style>
  <w:style w:type="character" w:customStyle="1" w:styleId="footnoteCarattere">
    <w:name w:val="footnote Carattere"/>
    <w:basedOn w:val="DefaultParagraphFont"/>
    <w:rsid w:val="00B758A1"/>
    <w:rPr>
      <w:rFonts w:ascii="Wingdings 3" w:eastAsia="Yu Gothic UI Light" w:hAnsi="Wingdings 3"/>
      <w:sz w:val="16"/>
      <w:szCs w:val="22"/>
      <w:lang w:eastAsia="en-US"/>
    </w:rPr>
  </w:style>
  <w:style w:type="character" w:customStyle="1" w:styleId="langHR">
    <w:name w:val="lang_HR"/>
    <w:rsid w:val="00B758A1"/>
    <w:rPr>
      <w:lang w:val="hr-HR"/>
    </w:rPr>
  </w:style>
  <w:style w:type="character" w:customStyle="1" w:styleId="cf01">
    <w:name w:val="cf01"/>
    <w:basedOn w:val="DefaultParagraphFont"/>
    <w:rsid w:val="00B758A1"/>
    <w:rPr>
      <w:rFonts w:ascii="Cambria Math" w:hAnsi="Cambria Math" w:cs="Cambria Math" w:hint="default"/>
      <w:sz w:val="18"/>
      <w:szCs w:val="18"/>
    </w:rPr>
  </w:style>
  <w:style w:type="character" w:customStyle="1" w:styleId="ui-provider">
    <w:name w:val="ui-provider"/>
    <w:basedOn w:val="DefaultParagraphFont"/>
    <w:rsid w:val="00B758A1"/>
  </w:style>
  <w:style w:type="paragraph" w:customStyle="1" w:styleId="NormalText">
    <w:name w:val="Normal Text"/>
    <w:basedOn w:val="Normal"/>
    <w:link w:val="NormalTextChar"/>
    <w:uiPriority w:val="1"/>
    <w:qFormat/>
    <w:rsid w:val="00B758A1"/>
    <w:pPr>
      <w:spacing w:before="120" w:after="120" w:line="240" w:lineRule="auto"/>
      <w:contextualSpacing/>
      <w:jc w:val="both"/>
    </w:pPr>
    <w:rPr>
      <w:rFonts w:ascii="Verdana" w:eastAsiaTheme="majorEastAsia" w:hAnsi="Verdana" w:cstheme="majorBidi"/>
      <w:kern w:val="28"/>
      <w:sz w:val="20"/>
      <w:szCs w:val="56"/>
      <w:lang w:val="en-GB" w:eastAsia="de-DE"/>
    </w:rPr>
  </w:style>
  <w:style w:type="character" w:customStyle="1" w:styleId="NormalTextChar">
    <w:name w:val="Normal Text Char"/>
    <w:basedOn w:val="DefaultParagraphFont"/>
    <w:link w:val="NormalText"/>
    <w:uiPriority w:val="1"/>
    <w:rsid w:val="00B758A1"/>
    <w:rPr>
      <w:rFonts w:ascii="Verdana" w:eastAsiaTheme="majorEastAsia" w:hAnsi="Verdana" w:cstheme="majorBidi"/>
      <w:kern w:val="28"/>
      <w:sz w:val="20"/>
      <w:szCs w:val="56"/>
      <w:lang w:val="en-GB" w:eastAsia="de-DE"/>
    </w:rPr>
  </w:style>
  <w:style w:type="table" w:customStyle="1" w:styleId="Table-standard112">
    <w:name w:val="Table - standard112"/>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Table-standard142">
    <w:name w:val="Table - standard142"/>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EYQuestionTable1">
    <w:name w:val="EY Question Table1"/>
    <w:basedOn w:val="TableNormal"/>
    <w:next w:val="TableGrid"/>
    <w:uiPriority w:val="39"/>
    <w:qFormat/>
    <w:rsid w:val="00B758A1"/>
    <w:pPr>
      <w:spacing w:after="0" w:line="240" w:lineRule="auto"/>
    </w:pPr>
    <w:rPr>
      <w:rFonts w:ascii="Arial" w:hAnsi="Arial"/>
      <w:sz w:val="20"/>
      <w:szCs w:val="20"/>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3">
    <w:name w:val="Light Shading - Accent 33"/>
    <w:basedOn w:val="TableNormal"/>
    <w:next w:val="LightShading-Accent3"/>
    <w:uiPriority w:val="60"/>
    <w:rsid w:val="00B758A1"/>
    <w:pPr>
      <w:spacing w:before="40" w:after="40" w:line="240" w:lineRule="auto"/>
    </w:pPr>
    <w:rPr>
      <w:rFonts w:ascii="Arial" w:hAnsi="Arial"/>
      <w:color w:val="727272"/>
      <w:sz w:val="18"/>
      <w:szCs w:val="20"/>
      <w:lang w:val="nl-BE"/>
    </w:rPr>
    <w:tblPr>
      <w:tblStyleRowBandSize w:val="1"/>
      <w:tblStyleColBandSize w:val="1"/>
      <w:tblBorders>
        <w:top w:val="single" w:sz="18" w:space="0" w:color="7F7E82"/>
      </w:tblBorders>
    </w:tblPr>
    <w:tblStylePr w:type="firstRow">
      <w:pPr>
        <w:spacing w:before="0" w:after="0" w:line="240" w:lineRule="auto"/>
      </w:pPr>
      <w:rPr>
        <w:rFonts w:ascii="Yu Mincho" w:hAnsi="Yu Mincho"/>
        <w:b/>
        <w:bCs/>
        <w:sz w:val="18"/>
      </w:rPr>
      <w:tblPr/>
      <w:tcPr>
        <w:shd w:val="clear" w:color="auto" w:fill="FFC000"/>
      </w:tcPr>
    </w:tblStylePr>
    <w:tblStylePr w:type="lastRow">
      <w:pPr>
        <w:spacing w:before="0" w:after="0" w:line="240" w:lineRule="auto"/>
      </w:pPr>
      <w:rPr>
        <w:rFonts w:ascii="Yu Mincho" w:hAnsi="Yu Mincho"/>
        <w:b/>
        <w:bCs/>
      </w:rPr>
      <w:tblPr/>
      <w:tcPr>
        <w:tcBorders>
          <w:top w:val="single" w:sz="4" w:space="0" w:color="FFFFFF"/>
          <w:left w:val="single" w:sz="4" w:space="0" w:color="FFFFFF"/>
          <w:bottom w:val="single" w:sz="12" w:space="0" w:color="646464"/>
          <w:right w:val="single" w:sz="4" w:space="0" w:color="FFFFFF"/>
          <w:insideH w:val="single" w:sz="4" w:space="0" w:color="FFFFFF"/>
          <w:insideV w:val="single" w:sz="4" w:space="0" w:color="FFFFFF"/>
        </w:tcBorders>
      </w:tcPr>
    </w:tblStylePr>
    <w:tblStylePr w:type="firstCol">
      <w:rPr>
        <w:b/>
        <w:bCs/>
      </w:rPr>
    </w:tblStylePr>
    <w:tblStylePr w:type="lastCol">
      <w:rPr>
        <w:b/>
        <w:bCs/>
      </w:rPr>
    </w:tblStylePr>
    <w:tblStylePr w:type="band2Vert">
      <w:rPr>
        <w:rFonts w:ascii="Yu Mincho" w:hAnsi="Yu Mincho"/>
      </w:rPr>
    </w:tblStylePr>
    <w:tblStylePr w:type="band1Horz">
      <w:tblPr/>
      <w:tcPr>
        <w:tcBorders>
          <w:left w:val="nil"/>
          <w:right w:val="nil"/>
          <w:insideH w:val="nil"/>
          <w:insideV w:val="nil"/>
        </w:tcBorders>
        <w:shd w:val="clear" w:color="auto" w:fill="E5E5E5"/>
      </w:tcPr>
    </w:tblStylePr>
  </w:style>
  <w:style w:type="table" w:customStyle="1" w:styleId="LightList-Accent33">
    <w:name w:val="Light List - Accent 33"/>
    <w:basedOn w:val="TableNormal"/>
    <w:next w:val="LightList-Accent3"/>
    <w:uiPriority w:val="61"/>
    <w:rsid w:val="00B758A1"/>
    <w:pPr>
      <w:spacing w:after="0" w:line="240" w:lineRule="auto"/>
    </w:pPr>
    <w:rPr>
      <w:rFonts w:ascii="Arial" w:hAnsi="Arial"/>
      <w:sz w:val="20"/>
      <w:szCs w:val="20"/>
      <w:lang w:val="nl-BE"/>
    </w:rPr>
    <w:tblPr>
      <w:tblStyleRowBandSize w:val="1"/>
      <w:tblStyleColBandSize w:val="1"/>
      <w:tblBorders>
        <w:top w:val="single" w:sz="8" w:space="0" w:color="999999"/>
        <w:left w:val="single" w:sz="8" w:space="0" w:color="999999"/>
        <w:bottom w:val="single" w:sz="8" w:space="0" w:color="999999"/>
        <w:right w:val="single" w:sz="8" w:space="0" w:color="999999"/>
      </w:tblBorders>
    </w:tblPr>
    <w:tblStylePr w:type="firstRow">
      <w:pPr>
        <w:spacing w:before="0" w:after="0" w:line="240" w:lineRule="auto"/>
      </w:pPr>
      <w:rPr>
        <w:b/>
        <w:bCs/>
        <w:color w:val="646464"/>
      </w:rPr>
      <w:tblPr/>
      <w:tcPr>
        <w:shd w:val="clear" w:color="auto" w:fill="999999"/>
      </w:tcPr>
    </w:tblStylePr>
    <w:tblStylePr w:type="lastRow">
      <w:pPr>
        <w:spacing w:before="0" w:after="0" w:line="240" w:lineRule="auto"/>
      </w:pPr>
      <w:rPr>
        <w:b/>
        <w:bCs/>
      </w:rPr>
      <w:tblPr/>
      <w:tcPr>
        <w:tcBorders>
          <w:top w:val="double" w:sz="6" w:space="0" w:color="999999"/>
          <w:left w:val="single" w:sz="8" w:space="0" w:color="999999"/>
          <w:bottom w:val="single" w:sz="8" w:space="0" w:color="999999"/>
          <w:right w:val="single" w:sz="8" w:space="0" w:color="999999"/>
        </w:tcBorders>
      </w:tcPr>
    </w:tblStylePr>
    <w:tblStylePr w:type="firstCol">
      <w:rPr>
        <w:b/>
        <w:bCs/>
      </w:rPr>
    </w:tblStylePr>
    <w:tblStylePr w:type="lastCol">
      <w:rPr>
        <w:b/>
        <w:bCs/>
      </w:rPr>
    </w:tblStylePr>
    <w:tblStylePr w:type="band1Vert">
      <w:tblPr/>
      <w:tcPr>
        <w:tcBorders>
          <w:top w:val="single" w:sz="8" w:space="0" w:color="999999"/>
          <w:left w:val="single" w:sz="8" w:space="0" w:color="999999"/>
          <w:bottom w:val="single" w:sz="8" w:space="0" w:color="999999"/>
          <w:right w:val="single" w:sz="8" w:space="0" w:color="999999"/>
        </w:tcBorders>
      </w:tcPr>
    </w:tblStylePr>
    <w:tblStylePr w:type="band1Horz">
      <w:tblPr/>
      <w:tcPr>
        <w:tcBorders>
          <w:top w:val="single" w:sz="8" w:space="0" w:color="999999"/>
          <w:left w:val="single" w:sz="8" w:space="0" w:color="999999"/>
          <w:bottom w:val="single" w:sz="8" w:space="0" w:color="999999"/>
          <w:right w:val="single" w:sz="8" w:space="0" w:color="999999"/>
        </w:tcBorders>
      </w:tcPr>
    </w:tblStylePr>
  </w:style>
  <w:style w:type="table" w:customStyle="1" w:styleId="MediumShading1-Accent23">
    <w:name w:val="Medium Shading 1 - Accent 23"/>
    <w:basedOn w:val="TableNormal"/>
    <w:next w:val="MediumShading1-Accent2"/>
    <w:uiPriority w:val="63"/>
    <w:rsid w:val="00B758A1"/>
    <w:pPr>
      <w:spacing w:after="0" w:line="240" w:lineRule="auto"/>
    </w:pPr>
    <w:rPr>
      <w:rFonts w:ascii="Arial" w:hAnsi="Arial"/>
      <w:sz w:val="20"/>
      <w:szCs w:val="20"/>
      <w:lang w:val="nl-BE"/>
    </w:rPr>
    <w:tblPr>
      <w:tblStyleRowBandSize w:val="1"/>
      <w:tblStyleColBandSize w:val="1"/>
      <w:tblBorders>
        <w:top w:val="single" w:sz="8" w:space="0" w:color="FFEC40"/>
        <w:left w:val="single" w:sz="8" w:space="0" w:color="FFEC40"/>
        <w:bottom w:val="single" w:sz="8" w:space="0" w:color="FFEC40"/>
        <w:right w:val="single" w:sz="8" w:space="0" w:color="FFEC40"/>
        <w:insideH w:val="single" w:sz="8" w:space="0" w:color="FFEC40"/>
      </w:tblBorders>
    </w:tblPr>
    <w:tblStylePr w:type="firstRow">
      <w:pPr>
        <w:spacing w:before="0" w:after="0" w:line="240" w:lineRule="auto"/>
      </w:pPr>
      <w:rPr>
        <w:b/>
        <w:bCs/>
        <w:color w:val="646464"/>
      </w:rPr>
      <w:tblPr/>
      <w:tcPr>
        <w:tcBorders>
          <w:top w:val="single" w:sz="8" w:space="0" w:color="FFEC40"/>
          <w:left w:val="single" w:sz="8" w:space="0" w:color="FFEC40"/>
          <w:bottom w:val="single" w:sz="8" w:space="0" w:color="FFEC40"/>
          <w:right w:val="single" w:sz="8" w:space="0" w:color="FFEC40"/>
          <w:insideH w:val="nil"/>
          <w:insideV w:val="nil"/>
        </w:tcBorders>
        <w:shd w:val="clear" w:color="auto" w:fill="FFE600"/>
      </w:tcPr>
    </w:tblStylePr>
    <w:tblStylePr w:type="lastRow">
      <w:pPr>
        <w:spacing w:before="0" w:after="0" w:line="240" w:lineRule="auto"/>
      </w:pPr>
      <w:rPr>
        <w:b/>
        <w:bCs/>
      </w:rPr>
      <w:tblPr/>
      <w:tcPr>
        <w:tcBorders>
          <w:top w:val="double" w:sz="6" w:space="0" w:color="FFEC40"/>
          <w:left w:val="single" w:sz="8" w:space="0" w:color="FFEC40"/>
          <w:bottom w:val="single" w:sz="8" w:space="0" w:color="FFEC40"/>
          <w:right w:val="single" w:sz="8" w:space="0" w:color="FFEC40"/>
          <w:insideH w:val="nil"/>
          <w:insideV w:val="nil"/>
        </w:tcBorders>
      </w:tcPr>
    </w:tblStylePr>
    <w:tblStylePr w:type="firstCol">
      <w:rPr>
        <w:b/>
        <w:bCs/>
      </w:rPr>
    </w:tblStylePr>
    <w:tblStylePr w:type="lastCol">
      <w:rPr>
        <w:b/>
        <w:bCs/>
      </w:rPr>
    </w:tblStylePr>
    <w:tblStylePr w:type="band1Vert">
      <w:tblPr/>
      <w:tcPr>
        <w:shd w:val="clear" w:color="auto" w:fill="FFF8C0"/>
      </w:tcPr>
    </w:tblStylePr>
    <w:tblStylePr w:type="band1Horz">
      <w:tblPr/>
      <w:tcPr>
        <w:tcBorders>
          <w:insideH w:val="nil"/>
          <w:insideV w:val="nil"/>
        </w:tcBorders>
        <w:shd w:val="clear" w:color="auto" w:fill="FFF8C0"/>
      </w:tcPr>
    </w:tblStylePr>
    <w:tblStylePr w:type="band2Horz">
      <w:tblPr/>
      <w:tcPr>
        <w:tcBorders>
          <w:insideH w:val="nil"/>
          <w:insideV w:val="nil"/>
        </w:tcBorders>
      </w:tcPr>
    </w:tblStylePr>
  </w:style>
  <w:style w:type="table" w:customStyle="1" w:styleId="MediumShading1-Accent33">
    <w:name w:val="Medium Shading 1 - Accent 33"/>
    <w:basedOn w:val="TableNormal"/>
    <w:next w:val="MediumShading1-Accent3"/>
    <w:uiPriority w:val="99"/>
    <w:rsid w:val="00B758A1"/>
    <w:pPr>
      <w:spacing w:after="0" w:line="240" w:lineRule="auto"/>
    </w:pPr>
    <w:rPr>
      <w:rFonts w:ascii="Arial" w:hAnsi="Arial"/>
      <w:sz w:val="20"/>
      <w:szCs w:val="20"/>
      <w:lang w:val="nl-BE"/>
    </w:rPr>
    <w:tblPr>
      <w:tblStyleRowBandSize w:val="1"/>
      <w:tblStyleColBandSize w:val="1"/>
      <w:tblBorders>
        <w:top w:val="single" w:sz="8" w:space="0" w:color="B2B2B2"/>
        <w:left w:val="single" w:sz="8" w:space="0" w:color="B2B2B2"/>
        <w:bottom w:val="single" w:sz="8" w:space="0" w:color="B2B2B2"/>
        <w:right w:val="single" w:sz="8" w:space="0" w:color="B2B2B2"/>
        <w:insideH w:val="single" w:sz="8" w:space="0" w:color="B2B2B2"/>
      </w:tblBorders>
    </w:tblPr>
    <w:tblStylePr w:type="firstRow">
      <w:pPr>
        <w:spacing w:before="0" w:after="0" w:line="240" w:lineRule="auto"/>
      </w:pPr>
      <w:rPr>
        <w:b/>
        <w:bCs/>
        <w:color w:val="646464"/>
      </w:rPr>
      <w:tblPr/>
      <w:tcPr>
        <w:tcBorders>
          <w:top w:val="single" w:sz="8" w:space="0" w:color="B2B2B2"/>
          <w:left w:val="single" w:sz="8" w:space="0" w:color="B2B2B2"/>
          <w:bottom w:val="single" w:sz="8" w:space="0" w:color="B2B2B2"/>
          <w:right w:val="single" w:sz="8" w:space="0" w:color="B2B2B2"/>
          <w:insideH w:val="nil"/>
          <w:insideV w:val="nil"/>
        </w:tcBorders>
        <w:shd w:val="clear" w:color="auto" w:fill="999999"/>
      </w:tcPr>
    </w:tblStylePr>
    <w:tblStylePr w:type="lastRow">
      <w:pPr>
        <w:spacing w:before="0" w:after="0" w:line="240" w:lineRule="auto"/>
      </w:pPr>
      <w:rPr>
        <w:b/>
        <w:bCs/>
      </w:rPr>
      <w:tblPr/>
      <w:tcPr>
        <w:tcBorders>
          <w:top w:val="double" w:sz="6" w:space="0" w:color="B2B2B2"/>
          <w:left w:val="single" w:sz="8" w:space="0" w:color="B2B2B2"/>
          <w:bottom w:val="single" w:sz="8" w:space="0" w:color="B2B2B2"/>
          <w:right w:val="single" w:sz="8" w:space="0" w:color="B2B2B2"/>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List2-Accent23">
    <w:name w:val="Medium List 2 - Accent 23"/>
    <w:basedOn w:val="TableNormal"/>
    <w:next w:val="MediumList2-Accent2"/>
    <w:uiPriority w:val="66"/>
    <w:rsid w:val="00B758A1"/>
    <w:pPr>
      <w:spacing w:after="0" w:line="240" w:lineRule="auto"/>
    </w:pPr>
    <w:rPr>
      <w:rFonts w:ascii="Cambria Math" w:eastAsia="Verdana" w:hAnsi="Cambria Math" w:cs="Times New Roman"/>
      <w:color w:val="000000"/>
      <w:sz w:val="20"/>
      <w:szCs w:val="20"/>
      <w:lang w:val="nl-BE"/>
    </w:rPr>
    <w:tblPr>
      <w:tblStyleRowBandSize w:val="1"/>
      <w:tblStyleColBandSize w:val="1"/>
      <w:tblBorders>
        <w:top w:val="single" w:sz="8" w:space="0" w:color="FFE600"/>
        <w:left w:val="single" w:sz="8" w:space="0" w:color="FFE600"/>
        <w:bottom w:val="single" w:sz="8" w:space="0" w:color="FFE600"/>
        <w:right w:val="single" w:sz="8" w:space="0" w:color="FFE600"/>
      </w:tblBorders>
    </w:tblPr>
    <w:tblStylePr w:type="firstRow">
      <w:rPr>
        <w:sz w:val="24"/>
        <w:szCs w:val="24"/>
      </w:rPr>
      <w:tblPr/>
      <w:tcPr>
        <w:tcBorders>
          <w:top w:val="nil"/>
          <w:left w:val="nil"/>
          <w:bottom w:val="single" w:sz="24" w:space="0" w:color="FFE600"/>
          <w:right w:val="nil"/>
          <w:insideH w:val="nil"/>
          <w:insideV w:val="nil"/>
        </w:tcBorders>
        <w:shd w:val="clear" w:color="auto" w:fill="646464"/>
      </w:tcPr>
    </w:tblStylePr>
    <w:tblStylePr w:type="lastRow">
      <w:tblPr/>
      <w:tcPr>
        <w:tcBorders>
          <w:top w:val="single" w:sz="8" w:space="0" w:color="FFE600"/>
          <w:left w:val="nil"/>
          <w:bottom w:val="nil"/>
          <w:right w:val="nil"/>
          <w:insideH w:val="nil"/>
          <w:insideV w:val="nil"/>
        </w:tcBorders>
        <w:shd w:val="clear" w:color="auto" w:fill="646464"/>
      </w:tcPr>
    </w:tblStylePr>
    <w:tblStylePr w:type="firstCol">
      <w:tblPr/>
      <w:tcPr>
        <w:tcBorders>
          <w:top w:val="nil"/>
          <w:left w:val="nil"/>
          <w:bottom w:val="nil"/>
          <w:right w:val="single" w:sz="8" w:space="0" w:color="FFE600"/>
          <w:insideH w:val="nil"/>
          <w:insideV w:val="nil"/>
        </w:tcBorders>
        <w:shd w:val="clear" w:color="auto" w:fill="646464"/>
      </w:tcPr>
    </w:tblStylePr>
    <w:tblStylePr w:type="lastCol">
      <w:tblPr/>
      <w:tcPr>
        <w:tcBorders>
          <w:top w:val="nil"/>
          <w:left w:val="single" w:sz="8" w:space="0" w:color="FFE600"/>
          <w:bottom w:val="nil"/>
          <w:right w:val="nil"/>
          <w:insideH w:val="nil"/>
          <w:insideV w:val="nil"/>
        </w:tcBorders>
        <w:shd w:val="clear" w:color="auto" w:fill="646464"/>
      </w:tcPr>
    </w:tblStylePr>
    <w:tblStylePr w:type="band1Vert">
      <w:tblPr/>
      <w:tcPr>
        <w:tcBorders>
          <w:left w:val="nil"/>
          <w:right w:val="nil"/>
          <w:insideH w:val="nil"/>
          <w:insideV w:val="nil"/>
        </w:tcBorders>
        <w:shd w:val="clear" w:color="auto" w:fill="FFF8C0"/>
      </w:tcPr>
    </w:tblStylePr>
    <w:tblStylePr w:type="band1Horz">
      <w:tblPr/>
      <w:tcPr>
        <w:tcBorders>
          <w:top w:val="nil"/>
          <w:bottom w:val="nil"/>
          <w:insideH w:val="nil"/>
          <w:insideV w:val="nil"/>
        </w:tcBorders>
        <w:shd w:val="clear" w:color="auto" w:fill="FFF8C0"/>
      </w:tcPr>
    </w:tblStylePr>
    <w:tblStylePr w:type="nwCell">
      <w:tblPr/>
      <w:tcPr>
        <w:shd w:val="clear" w:color="auto" w:fill="646464"/>
      </w:tcPr>
    </w:tblStylePr>
    <w:tblStylePr w:type="swCell">
      <w:tblPr/>
      <w:tcPr>
        <w:tcBorders>
          <w:top w:val="nil"/>
        </w:tcBorders>
      </w:tcPr>
    </w:tblStylePr>
  </w:style>
  <w:style w:type="table" w:customStyle="1" w:styleId="ColorfulList-Accent34">
    <w:name w:val="Colorful List - Accent 34"/>
    <w:basedOn w:val="TableNormal"/>
    <w:next w:val="ColorfulList-Accent3"/>
    <w:uiPriority w:val="72"/>
    <w:rsid w:val="00B758A1"/>
    <w:pPr>
      <w:spacing w:after="0" w:line="240" w:lineRule="auto"/>
    </w:pPr>
    <w:rPr>
      <w:rFonts w:ascii="Arial" w:hAnsi="Arial"/>
      <w:color w:val="000000"/>
      <w:sz w:val="20"/>
      <w:szCs w:val="20"/>
      <w:lang w:val="nl-BE"/>
    </w:rPr>
    <w:tblPr>
      <w:tblStyleRowBandSize w:val="1"/>
      <w:tblStyleColBandSize w:val="1"/>
    </w:tblPr>
    <w:tcPr>
      <w:shd w:val="clear" w:color="auto" w:fill="F5F5F5"/>
    </w:tcPr>
    <w:tblStylePr w:type="firstRow">
      <w:rPr>
        <w:b/>
        <w:bCs/>
        <w:color w:val="646464"/>
      </w:rPr>
      <w:tblPr/>
      <w:tcPr>
        <w:tcBorders>
          <w:bottom w:val="single" w:sz="12" w:space="0" w:color="646464"/>
        </w:tcBorders>
        <w:shd w:val="clear" w:color="auto" w:fill="C0C0C0"/>
      </w:tcPr>
    </w:tblStylePr>
    <w:tblStylePr w:type="lastRow">
      <w:rPr>
        <w:b/>
        <w:bCs/>
        <w:color w:val="C0C0C0"/>
      </w:rPr>
      <w:tblPr/>
      <w:tcPr>
        <w:tcBorders>
          <w:top w:val="single" w:sz="12" w:space="0" w:color="000000"/>
        </w:tcBorders>
        <w:shd w:val="clear" w:color="auto" w:fill="646464"/>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LightShading-Accent313">
    <w:name w:val="Light Shading - Accent 313"/>
    <w:basedOn w:val="TableNormal"/>
    <w:next w:val="LightShading-Accent3"/>
    <w:uiPriority w:val="60"/>
    <w:rsid w:val="00B758A1"/>
    <w:pPr>
      <w:spacing w:after="0" w:line="240" w:lineRule="auto"/>
    </w:pPr>
    <w:rPr>
      <w:rFonts w:ascii="Arial" w:hAnsi="Arial"/>
      <w:color w:val="727272"/>
      <w:sz w:val="20"/>
      <w:szCs w:val="20"/>
      <w:lang w:val="nl-BE"/>
    </w:rPr>
    <w:tblPr>
      <w:tblStyleRowBandSize w:val="1"/>
      <w:tblStyleColBandSize w:val="1"/>
      <w:tblBorders>
        <w:top w:val="single" w:sz="8" w:space="0" w:color="999999"/>
        <w:bottom w:val="single" w:sz="8" w:space="0" w:color="999999"/>
      </w:tblBorders>
    </w:tblPr>
    <w:tblStylePr w:type="firstRow">
      <w:pPr>
        <w:spacing w:before="0" w:after="0" w:line="240" w:lineRule="auto"/>
      </w:pPr>
      <w:rPr>
        <w:b/>
        <w:bCs/>
      </w:rPr>
      <w:tblPr/>
      <w:tcPr>
        <w:tcBorders>
          <w:top w:val="single" w:sz="8" w:space="0" w:color="999999"/>
          <w:left w:val="nil"/>
          <w:bottom w:val="single" w:sz="8" w:space="0" w:color="999999"/>
          <w:right w:val="nil"/>
          <w:insideH w:val="nil"/>
          <w:insideV w:val="nil"/>
        </w:tcBorders>
      </w:tcPr>
    </w:tblStylePr>
    <w:tblStylePr w:type="lastRow">
      <w:pPr>
        <w:spacing w:before="0" w:after="0" w:line="240" w:lineRule="auto"/>
      </w:pPr>
      <w:rPr>
        <w:b/>
        <w:bCs/>
      </w:rPr>
      <w:tblPr/>
      <w:tcPr>
        <w:tcBorders>
          <w:top w:val="single" w:sz="8" w:space="0" w:color="999999"/>
          <w:left w:val="nil"/>
          <w:bottom w:val="single" w:sz="8" w:space="0" w:color="99999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Style21">
    <w:name w:val="Style21"/>
    <w:basedOn w:val="TableNormal"/>
    <w:uiPriority w:val="99"/>
    <w:rsid w:val="00B758A1"/>
    <w:pPr>
      <w:spacing w:after="0" w:line="240" w:lineRule="auto"/>
    </w:pPr>
    <w:rPr>
      <w:rFonts w:ascii="Arial" w:hAnsi="Arial"/>
      <w:sz w:val="20"/>
      <w:szCs w:val="20"/>
      <w:lang w:val="nl-BE"/>
    </w:rPr>
    <w:tblPr/>
  </w:style>
  <w:style w:type="table" w:customStyle="1" w:styleId="Table-standard151">
    <w:name w:val="Table - standard151"/>
    <w:basedOn w:val="TableNormal"/>
    <w:rsid w:val="00B758A1"/>
    <w:pPr>
      <w:spacing w:after="0" w:line="240" w:lineRule="auto"/>
    </w:pPr>
    <w:rPr>
      <w:rFonts w:ascii="Arial" w:eastAsia="Times New Roman" w:hAnsi="Arial" w:cs="Times New Roman"/>
      <w:sz w:val="20"/>
      <w:szCs w:val="20"/>
      <w:lang w:val="fr-FR" w:eastAsia="fr-FR"/>
    </w:rPr>
    <w:tblPr>
      <w:tblInd w:w="0" w:type="nil"/>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hint="default"/>
        <w:sz w:val="18"/>
        <w:szCs w:val="18"/>
      </w:rPr>
      <w:tblPr/>
      <w:tcPr>
        <w:shd w:val="clear" w:color="auto" w:fill="FFC000"/>
      </w:tcPr>
    </w:tblStylePr>
    <w:tblStylePr w:type="lastRow">
      <w:rPr>
        <w:rFonts w:ascii="Yu Mincho" w:hAnsi="Yu Mincho" w:hint="default"/>
      </w:rPr>
    </w:tblStylePr>
  </w:style>
  <w:style w:type="table" w:customStyle="1" w:styleId="Style51">
    <w:name w:val="Style51"/>
    <w:basedOn w:val="TableNormal"/>
    <w:uiPriority w:val="99"/>
    <w:rsid w:val="00B758A1"/>
    <w:pPr>
      <w:spacing w:after="0" w:line="240" w:lineRule="auto"/>
    </w:pPr>
    <w:rPr>
      <w:rFonts w:ascii="Arial" w:hAnsi="Arial"/>
      <w:sz w:val="20"/>
      <w:szCs w:val="20"/>
      <w:lang w:val="nl-BE"/>
    </w:rPr>
    <w:tblPr/>
    <w:tblStylePr w:type="firstRow">
      <w:rPr>
        <w:rFonts w:ascii="Yu Mincho" w:hAnsi="Yu Mincho"/>
        <w:sz w:val="18"/>
      </w:rPr>
      <w:tblPr/>
      <w:tcPr>
        <w:tcBorders>
          <w:top w:val="nil"/>
          <w:left w:val="nil"/>
          <w:bottom w:val="nil"/>
          <w:right w:val="nil"/>
          <w:insideH w:val="nil"/>
          <w:insideV w:val="nil"/>
          <w:tl2br w:val="nil"/>
          <w:tr2bl w:val="nil"/>
        </w:tcBorders>
      </w:tcPr>
    </w:tblStylePr>
  </w:style>
  <w:style w:type="table" w:customStyle="1" w:styleId="LightShading-Accent321">
    <w:name w:val="Light Shading - Accent 321"/>
    <w:basedOn w:val="TableNormal"/>
    <w:next w:val="LightShading-Accent3"/>
    <w:uiPriority w:val="99"/>
    <w:rsid w:val="00B758A1"/>
    <w:pPr>
      <w:spacing w:after="0" w:line="240" w:lineRule="auto"/>
    </w:pPr>
    <w:rPr>
      <w:rFonts w:ascii="Wingdings 3" w:eastAsia="Wingdings 3" w:hAnsi="Wingdings 3" w:cs="Times New Roman"/>
      <w:color w:val="727272"/>
      <w:sz w:val="20"/>
      <w:szCs w:val="20"/>
      <w:lang w:val="en-GB" w:eastAsia="en-GB"/>
    </w:rPr>
    <w:tblPr>
      <w:tblStyleRowBandSize w:val="1"/>
      <w:tblStyleColBandSize w:val="1"/>
      <w:tblBorders>
        <w:top w:val="single" w:sz="8" w:space="0" w:color="999999"/>
        <w:bottom w:val="single" w:sz="8" w:space="0" w:color="999999"/>
      </w:tblBorders>
    </w:tblPr>
    <w:tblStylePr w:type="firstRow">
      <w:pPr>
        <w:spacing w:before="0" w:after="0"/>
      </w:pPr>
      <w:rPr>
        <w:rFonts w:cs="Times New Roman"/>
        <w:b/>
        <w:bCs/>
      </w:rPr>
      <w:tblPr/>
      <w:tcPr>
        <w:tcBorders>
          <w:top w:val="single" w:sz="8" w:space="0" w:color="999999"/>
          <w:left w:val="nil"/>
          <w:bottom w:val="single" w:sz="8" w:space="0" w:color="999999"/>
          <w:right w:val="nil"/>
          <w:insideH w:val="nil"/>
          <w:insideV w:val="nil"/>
        </w:tcBorders>
      </w:tcPr>
    </w:tblStylePr>
    <w:tblStylePr w:type="lastRow">
      <w:pPr>
        <w:spacing w:before="0" w:after="0"/>
      </w:pPr>
      <w:rPr>
        <w:rFonts w:cs="Times New Roman"/>
        <w:b/>
        <w:bCs/>
      </w:rPr>
      <w:tblPr/>
      <w:tcPr>
        <w:tcBorders>
          <w:top w:val="single" w:sz="8" w:space="0" w:color="999999"/>
          <w:left w:val="nil"/>
          <w:bottom w:val="single" w:sz="8" w:space="0" w:color="999999"/>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5E5E5"/>
      </w:tcPr>
    </w:tblStylePr>
    <w:tblStylePr w:type="band1Horz">
      <w:rPr>
        <w:rFonts w:cs="Times New Roman"/>
      </w:rPr>
      <w:tblPr/>
      <w:tcPr>
        <w:tcBorders>
          <w:left w:val="nil"/>
          <w:right w:val="nil"/>
          <w:insideH w:val="nil"/>
          <w:insideV w:val="nil"/>
        </w:tcBorders>
        <w:shd w:val="clear" w:color="auto" w:fill="E5E5E5"/>
      </w:tcPr>
    </w:tblStylePr>
  </w:style>
  <w:style w:type="table" w:customStyle="1" w:styleId="LightList-Accent312">
    <w:name w:val="Light List - Accent 312"/>
    <w:basedOn w:val="TableNormal"/>
    <w:next w:val="LightList-Accent3"/>
    <w:uiPriority w:val="99"/>
    <w:rsid w:val="00B758A1"/>
    <w:pPr>
      <w:spacing w:after="0" w:line="240" w:lineRule="auto"/>
    </w:pPr>
    <w:rPr>
      <w:rFonts w:ascii="Wingdings 3" w:eastAsia="Wingdings 3" w:hAnsi="Wingdings 3" w:cs="Times New Roman"/>
      <w:sz w:val="20"/>
      <w:szCs w:val="20"/>
      <w:lang w:val="en-GB" w:eastAsia="en-GB"/>
    </w:rPr>
    <w:tblPr>
      <w:tblStyleRowBandSize w:val="1"/>
      <w:tblStyleColBandSize w:val="1"/>
      <w:tblBorders>
        <w:top w:val="single" w:sz="8" w:space="0" w:color="999999"/>
        <w:left w:val="single" w:sz="8" w:space="0" w:color="999999"/>
        <w:bottom w:val="single" w:sz="8" w:space="0" w:color="999999"/>
        <w:right w:val="single" w:sz="8" w:space="0" w:color="999999"/>
      </w:tblBorders>
    </w:tblPr>
    <w:tblStylePr w:type="firstRow">
      <w:pPr>
        <w:spacing w:before="0" w:after="0"/>
      </w:pPr>
      <w:rPr>
        <w:rFonts w:cs="Times New Roman"/>
        <w:b/>
        <w:bCs/>
        <w:color w:val="646464"/>
      </w:rPr>
      <w:tblPr/>
      <w:tcPr>
        <w:shd w:val="clear" w:color="auto" w:fill="999999"/>
      </w:tcPr>
    </w:tblStylePr>
    <w:tblStylePr w:type="lastRow">
      <w:pPr>
        <w:spacing w:before="0" w:after="0"/>
      </w:pPr>
      <w:rPr>
        <w:rFonts w:cs="Times New Roman"/>
        <w:b/>
        <w:bCs/>
      </w:rPr>
      <w:tblPr/>
      <w:tcPr>
        <w:tcBorders>
          <w:top w:val="double" w:sz="6" w:space="0" w:color="999999"/>
          <w:left w:val="single" w:sz="8" w:space="0" w:color="999999"/>
          <w:bottom w:val="single" w:sz="8" w:space="0" w:color="999999"/>
          <w:right w:val="single" w:sz="8" w:space="0" w:color="999999"/>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99999"/>
          <w:left w:val="single" w:sz="8" w:space="0" w:color="999999"/>
          <w:bottom w:val="single" w:sz="8" w:space="0" w:color="999999"/>
          <w:right w:val="single" w:sz="8" w:space="0" w:color="999999"/>
        </w:tcBorders>
      </w:tcPr>
    </w:tblStylePr>
    <w:tblStylePr w:type="band1Horz">
      <w:rPr>
        <w:rFonts w:cs="Times New Roman"/>
      </w:rPr>
      <w:tblPr/>
      <w:tcPr>
        <w:tcBorders>
          <w:top w:val="single" w:sz="8" w:space="0" w:color="999999"/>
          <w:left w:val="single" w:sz="8" w:space="0" w:color="999999"/>
          <w:bottom w:val="single" w:sz="8" w:space="0" w:color="999999"/>
          <w:right w:val="single" w:sz="8" w:space="0" w:color="999999"/>
        </w:tcBorders>
      </w:tcPr>
    </w:tblStylePr>
  </w:style>
  <w:style w:type="table" w:customStyle="1" w:styleId="MediumShading1-Accent312">
    <w:name w:val="Medium Shading 1 - Accent 312"/>
    <w:basedOn w:val="TableNormal"/>
    <w:next w:val="MediumShading1-Accent3"/>
    <w:uiPriority w:val="99"/>
    <w:rsid w:val="00B758A1"/>
    <w:pPr>
      <w:spacing w:after="0" w:line="240" w:lineRule="auto"/>
    </w:pPr>
    <w:rPr>
      <w:rFonts w:ascii="Arial" w:eastAsia="Wingdings 3" w:hAnsi="Arial" w:cs="Times New Roman"/>
      <w:sz w:val="18"/>
      <w:szCs w:val="20"/>
      <w:lang w:val="en-GB" w:eastAsia="en-GB"/>
    </w:rPr>
    <w:tblPr>
      <w:tblStyleRowBandSize w:val="1"/>
      <w:tblStyleColBandSize w:val="1"/>
      <w:tblBorders>
        <w:top w:val="single" w:sz="8" w:space="0" w:color="B2B2B2"/>
        <w:left w:val="single" w:sz="8" w:space="0" w:color="B2B2B2"/>
        <w:bottom w:val="single" w:sz="8" w:space="0" w:color="B2B2B2"/>
        <w:right w:val="single" w:sz="8" w:space="0" w:color="B2B2B2"/>
        <w:insideH w:val="single" w:sz="8" w:space="0" w:color="B2B2B2"/>
      </w:tblBorders>
    </w:tblPr>
    <w:tblStylePr w:type="firstRow">
      <w:pPr>
        <w:spacing w:before="0" w:after="0"/>
      </w:pPr>
      <w:rPr>
        <w:rFonts w:cs="Times New Roman"/>
        <w:b/>
        <w:bCs/>
        <w:color w:val="646464"/>
      </w:rPr>
      <w:tblPr/>
      <w:tcPr>
        <w:tcBorders>
          <w:top w:val="single" w:sz="8" w:space="0" w:color="B2B2B2"/>
          <w:left w:val="single" w:sz="8" w:space="0" w:color="B2B2B2"/>
          <w:bottom w:val="single" w:sz="8" w:space="0" w:color="B2B2B2"/>
          <w:right w:val="single" w:sz="8" w:space="0" w:color="B2B2B2"/>
          <w:insideH w:val="nil"/>
          <w:insideV w:val="nil"/>
        </w:tcBorders>
        <w:shd w:val="clear" w:color="auto" w:fill="999999"/>
      </w:tcPr>
    </w:tblStylePr>
    <w:tblStylePr w:type="lastRow">
      <w:pPr>
        <w:spacing w:before="0" w:after="0"/>
      </w:pPr>
      <w:rPr>
        <w:rFonts w:cs="Times New Roman"/>
        <w:b/>
        <w:bCs/>
      </w:rPr>
      <w:tblPr/>
      <w:tcPr>
        <w:tcBorders>
          <w:top w:val="double" w:sz="6" w:space="0" w:color="B2B2B2"/>
          <w:left w:val="single" w:sz="8" w:space="0" w:color="B2B2B2"/>
          <w:bottom w:val="single" w:sz="8" w:space="0" w:color="B2B2B2"/>
          <w:right w:val="single" w:sz="8" w:space="0" w:color="B2B2B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E5E5"/>
      </w:tcPr>
    </w:tblStylePr>
    <w:tblStylePr w:type="band1Horz">
      <w:rPr>
        <w:rFonts w:cs="Times New Roman"/>
      </w:rPr>
      <w:tblPr/>
      <w:tcPr>
        <w:tcBorders>
          <w:insideH w:val="nil"/>
          <w:insideV w:val="nil"/>
        </w:tcBorders>
        <w:shd w:val="clear" w:color="auto" w:fill="E5E5E5"/>
      </w:tcPr>
    </w:tblStylePr>
    <w:tblStylePr w:type="band2Horz">
      <w:rPr>
        <w:rFonts w:cs="Times New Roman"/>
      </w:rPr>
      <w:tblPr/>
      <w:tcPr>
        <w:tcBorders>
          <w:insideH w:val="nil"/>
          <w:insideV w:val="nil"/>
        </w:tcBorders>
      </w:tcPr>
    </w:tblStylePr>
  </w:style>
  <w:style w:type="table" w:customStyle="1" w:styleId="MediumList2-Accent212">
    <w:name w:val="Medium List 2 - Accent 212"/>
    <w:basedOn w:val="TableNormal"/>
    <w:uiPriority w:val="99"/>
    <w:rsid w:val="00B758A1"/>
    <w:pPr>
      <w:spacing w:after="0" w:line="240" w:lineRule="auto"/>
    </w:pPr>
    <w:rPr>
      <w:rFonts w:ascii="Arial" w:eastAsia="Times New Roman" w:hAnsi="Arial" w:cs="Times New Roman"/>
      <w:color w:val="000000"/>
      <w:sz w:val="18"/>
      <w:szCs w:val="20"/>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cs="Times New Roman"/>
        <w:sz w:val="24"/>
        <w:szCs w:val="24"/>
      </w:rPr>
      <w:tblPr/>
      <w:tcPr>
        <w:shd w:val="clear" w:color="auto" w:fill="C1C1C1"/>
      </w:tcPr>
    </w:tblStylePr>
    <w:tblStylePr w:type="lastRow">
      <w:rPr>
        <w:rFonts w:ascii="Yu Mincho" w:hAnsi="Yu Mincho" w:cs="Times New Roman"/>
        <w:color w:val="auto"/>
        <w:sz w:val="18"/>
      </w:rPr>
      <w:tblPr/>
      <w:tcPr>
        <w:shd w:val="clear" w:color="auto" w:fill="F0F0F0"/>
      </w:tcPr>
    </w:tblStylePr>
    <w:tblStylePr w:type="firstCol">
      <w:rPr>
        <w:rFonts w:ascii="Yu Mincho" w:hAnsi="Yu Mincho" w:cs="Times New Roman"/>
        <w:sz w:val="18"/>
      </w:rPr>
    </w:tblStylePr>
    <w:tblStylePr w:type="lastCol">
      <w:rPr>
        <w:rFonts w:ascii="Yu Mincho" w:hAnsi="Yu Mincho" w:cs="Times New Roman"/>
        <w:sz w:val="18"/>
      </w:rPr>
    </w:tblStylePr>
    <w:tblStylePr w:type="band1Vert">
      <w:rPr>
        <w:rFonts w:ascii="Yu Mincho" w:hAnsi="Yu Mincho" w:cs="Times New Roman"/>
        <w:sz w:val="18"/>
      </w:rPr>
    </w:tblStylePr>
    <w:tblStylePr w:type="band2Vert">
      <w:rPr>
        <w:rFonts w:ascii="Yu Mincho" w:hAnsi="Yu Mincho"/>
        <w:sz w:val="18"/>
      </w:rPr>
    </w:tblStylePr>
    <w:tblStylePr w:type="band1Horz">
      <w:rPr>
        <w:rFonts w:ascii="Yu Mincho" w:hAnsi="Yu Mincho" w:cs="Times New Roman"/>
        <w:sz w:val="18"/>
      </w:rPr>
      <w:tblPr/>
      <w:tcPr>
        <w:shd w:val="clear" w:color="auto" w:fill="E0E0E0"/>
      </w:tcPr>
    </w:tblStylePr>
    <w:tblStylePr w:type="band2Horz">
      <w:rPr>
        <w:rFonts w:ascii="Yu Mincho" w:hAnsi="Yu Mincho"/>
        <w:sz w:val="18"/>
      </w:rPr>
      <w:tblPr/>
      <w:tcPr>
        <w:shd w:val="clear" w:color="auto" w:fill="F0F0F0"/>
      </w:tcPr>
    </w:tblStylePr>
    <w:tblStylePr w:type="neCell">
      <w:rPr>
        <w:rFonts w:ascii="Yu Mincho" w:hAnsi="Yu Mincho"/>
        <w:sz w:val="18"/>
      </w:rPr>
      <w:tblPr/>
      <w:tcPr>
        <w:shd w:val="clear" w:color="auto" w:fill="C1C1C1"/>
      </w:tcPr>
    </w:tblStylePr>
    <w:tblStylePr w:type="nwCell">
      <w:rPr>
        <w:rFonts w:cs="Times New Roman"/>
      </w:rPr>
      <w:tblPr/>
      <w:tcPr>
        <w:shd w:val="clear" w:color="auto" w:fill="C1C1C1"/>
      </w:tcPr>
    </w:tblStylePr>
    <w:tblStylePr w:type="seCell">
      <w:rPr>
        <w:rFonts w:ascii="Yu Mincho" w:hAnsi="Yu Mincho"/>
        <w:sz w:val="18"/>
      </w:rPr>
    </w:tblStylePr>
    <w:tblStylePr w:type="swCell">
      <w:rPr>
        <w:rFonts w:ascii="Yu Mincho" w:hAnsi="Yu Mincho" w:cs="Times New Roman"/>
        <w:sz w:val="18"/>
      </w:rPr>
    </w:tblStylePr>
  </w:style>
  <w:style w:type="table" w:customStyle="1" w:styleId="ColorfulList-Accent321">
    <w:name w:val="Colorful List - Accent 321"/>
    <w:basedOn w:val="TableNormal"/>
    <w:next w:val="ColorfulList-Accent3"/>
    <w:uiPriority w:val="99"/>
    <w:rsid w:val="00B758A1"/>
    <w:pPr>
      <w:spacing w:after="0" w:line="240" w:lineRule="auto"/>
    </w:pPr>
    <w:rPr>
      <w:rFonts w:ascii="Wingdings 3" w:eastAsia="Wingdings 3" w:hAnsi="Wingdings 3" w:cs="Times New Roman"/>
      <w:color w:val="000000"/>
      <w:sz w:val="20"/>
      <w:szCs w:val="20"/>
      <w:lang w:val="en-GB" w:eastAsia="en-GB"/>
    </w:rPr>
    <w:tblPr>
      <w:tblStyleRowBandSize w:val="1"/>
      <w:tblStyleColBandSize w:val="1"/>
    </w:tblPr>
    <w:tcPr>
      <w:shd w:val="clear" w:color="auto" w:fill="F5F5F5"/>
    </w:tcPr>
    <w:tblStylePr w:type="firstRow">
      <w:rPr>
        <w:rFonts w:cs="Times New Roman"/>
        <w:b/>
        <w:bCs/>
        <w:color w:val="646464"/>
      </w:rPr>
      <w:tblPr/>
      <w:tcPr>
        <w:tcBorders>
          <w:bottom w:val="single" w:sz="12" w:space="0" w:color="646464"/>
        </w:tcBorders>
        <w:shd w:val="clear" w:color="auto" w:fill="C0C0C0"/>
      </w:tcPr>
    </w:tblStylePr>
    <w:tblStylePr w:type="lastRow">
      <w:rPr>
        <w:rFonts w:cs="Times New Roman"/>
        <w:b/>
        <w:bCs/>
        <w:color w:val="C0C0C0"/>
      </w:rPr>
      <w:tblPr/>
      <w:tcPr>
        <w:tcBorders>
          <w:top w:val="single" w:sz="12" w:space="0" w:color="000000"/>
        </w:tcBorders>
        <w:shd w:val="clear" w:color="auto" w:fill="646464"/>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5E5E5"/>
      </w:tcPr>
    </w:tblStylePr>
    <w:tblStylePr w:type="band1Horz">
      <w:rPr>
        <w:rFonts w:cs="Times New Roman"/>
      </w:rPr>
      <w:tblPr/>
      <w:tcPr>
        <w:shd w:val="clear" w:color="auto" w:fill="EAEAEA"/>
      </w:tcPr>
    </w:tblStylePr>
  </w:style>
  <w:style w:type="table" w:customStyle="1" w:styleId="LightShading-Accent1111">
    <w:name w:val="Light Shading - Accent 1111"/>
    <w:uiPriority w:val="99"/>
    <w:rsid w:val="00B758A1"/>
    <w:pPr>
      <w:numPr>
        <w:numId w:val="39"/>
      </w:numPr>
      <w:tabs>
        <w:tab w:val="num" w:pos="720"/>
      </w:tabs>
      <w:spacing w:after="0" w:line="240" w:lineRule="auto"/>
      <w:ind w:left="1428"/>
    </w:pPr>
    <w:rPr>
      <w:rFonts w:ascii="Wingdings 3" w:eastAsia="Wingdings 3" w:hAnsi="Wingdings 3" w:cs="Times New Roman"/>
      <w:color w:val="5F5E61"/>
      <w:sz w:val="20"/>
      <w:szCs w:val="20"/>
      <w:lang w:val="en-GB" w:eastAsia="en-GB"/>
    </w:rPr>
    <w:tblPr>
      <w:tblStyleRowBandSize w:val="1"/>
      <w:tblStyleColBandSize w:val="1"/>
      <w:tblInd w:w="0" w:type="dxa"/>
      <w:tblBorders>
        <w:top w:val="single" w:sz="8" w:space="0" w:color="7F7E82"/>
        <w:bottom w:val="single" w:sz="8" w:space="0" w:color="7F7E82"/>
      </w:tblBorders>
      <w:tblCellMar>
        <w:top w:w="0" w:type="dxa"/>
        <w:left w:w="108" w:type="dxa"/>
        <w:bottom w:w="0" w:type="dxa"/>
        <w:right w:w="108" w:type="dxa"/>
      </w:tblCellMar>
    </w:tblPr>
  </w:style>
  <w:style w:type="table" w:customStyle="1" w:styleId="ColorfulShading-Accent23">
    <w:name w:val="Colorful Shading - Accent 23"/>
    <w:basedOn w:val="TableNormal"/>
    <w:next w:val="ColorfulShading-Accent2"/>
    <w:uiPriority w:val="71"/>
    <w:rsid w:val="00B758A1"/>
    <w:pPr>
      <w:spacing w:after="0" w:line="240" w:lineRule="auto"/>
    </w:pPr>
    <w:rPr>
      <w:rFonts w:ascii="Arial" w:hAnsi="Arial"/>
      <w:color w:val="000000"/>
      <w:sz w:val="20"/>
      <w:szCs w:val="20"/>
      <w:lang w:val="nl-BE"/>
    </w:rPr>
    <w:tblPr>
      <w:tblStyleRowBandSize w:val="1"/>
      <w:tblStyleColBandSize w:val="1"/>
      <w:tblBorders>
        <w:top w:val="single" w:sz="24" w:space="0" w:color="FFE600"/>
        <w:left w:val="single" w:sz="4" w:space="0" w:color="FFE600"/>
        <w:bottom w:val="single" w:sz="4" w:space="0" w:color="FFE600"/>
        <w:right w:val="single" w:sz="4" w:space="0" w:color="FFE600"/>
        <w:insideH w:val="single" w:sz="4" w:space="0" w:color="646464"/>
        <w:insideV w:val="single" w:sz="4" w:space="0" w:color="646464"/>
      </w:tblBorders>
    </w:tblPr>
    <w:tcPr>
      <w:shd w:val="clear" w:color="auto" w:fill="FFE600"/>
    </w:tcPr>
    <w:tblStylePr w:type="firstRow">
      <w:rPr>
        <w:b/>
        <w:bCs/>
      </w:rPr>
      <w:tblPr/>
      <w:tcPr>
        <w:tcBorders>
          <w:top w:val="nil"/>
          <w:left w:val="nil"/>
          <w:bottom w:val="single" w:sz="24" w:space="0" w:color="FFE600"/>
          <w:right w:val="nil"/>
          <w:insideH w:val="nil"/>
          <w:insideV w:val="nil"/>
        </w:tcBorders>
        <w:shd w:val="clear" w:color="auto" w:fill="646464"/>
      </w:tcPr>
    </w:tblStylePr>
    <w:tblStylePr w:type="lastRow">
      <w:rPr>
        <w:b/>
        <w:bCs/>
        <w:color w:val="646464"/>
      </w:rPr>
      <w:tblPr/>
      <w:tcPr>
        <w:tcBorders>
          <w:top w:val="single" w:sz="6" w:space="0" w:color="646464"/>
        </w:tcBorders>
        <w:shd w:val="clear" w:color="auto" w:fill="998A00"/>
      </w:tcPr>
    </w:tblStylePr>
    <w:tblStylePr w:type="firstCol">
      <w:rPr>
        <w:color w:val="646464"/>
      </w:rPr>
      <w:tblPr/>
      <w:tcPr>
        <w:tcBorders>
          <w:top w:val="nil"/>
          <w:left w:val="nil"/>
          <w:bottom w:val="nil"/>
          <w:right w:val="nil"/>
          <w:insideH w:val="single" w:sz="4" w:space="0" w:color="998A00"/>
          <w:insideV w:val="nil"/>
        </w:tcBorders>
        <w:shd w:val="clear" w:color="auto" w:fill="998A00"/>
      </w:tcPr>
    </w:tblStylePr>
    <w:tblStylePr w:type="lastCol">
      <w:rPr>
        <w:color w:val="646464"/>
      </w:rPr>
      <w:tblPr/>
      <w:tcPr>
        <w:tcBorders>
          <w:top w:val="nil"/>
          <w:left w:val="nil"/>
          <w:bottom w:val="nil"/>
          <w:right w:val="nil"/>
          <w:insideH w:val="nil"/>
          <w:insideV w:val="nil"/>
        </w:tcBorders>
        <w:shd w:val="clear" w:color="auto" w:fill="998A00"/>
      </w:tcPr>
    </w:tblStylePr>
    <w:tblStylePr w:type="band1Vert">
      <w:tblPr/>
      <w:tcPr>
        <w:shd w:val="clear" w:color="auto" w:fill="FFF599"/>
      </w:tcPr>
    </w:tblStylePr>
    <w:tblStylePr w:type="band1Horz">
      <w:tblPr/>
      <w:tcPr>
        <w:shd w:val="clear" w:color="auto" w:fill="FFF280"/>
      </w:tcPr>
    </w:tblStylePr>
    <w:tblStylePr w:type="neCell">
      <w:rPr>
        <w:color w:val="000000"/>
      </w:rPr>
    </w:tblStylePr>
    <w:tblStylePr w:type="nwCell">
      <w:rPr>
        <w:color w:val="000000"/>
      </w:rPr>
    </w:tblStylePr>
  </w:style>
  <w:style w:type="table" w:customStyle="1" w:styleId="ColorfulShading-Accent43">
    <w:name w:val="Colorful Shading - Accent 43"/>
    <w:basedOn w:val="TableNormal"/>
    <w:next w:val="ColorfulShading-Accent4"/>
    <w:uiPriority w:val="71"/>
    <w:rsid w:val="00B758A1"/>
    <w:pPr>
      <w:spacing w:after="0" w:line="240" w:lineRule="auto"/>
    </w:pPr>
    <w:rPr>
      <w:rFonts w:ascii="Arial" w:hAnsi="Arial"/>
      <w:color w:val="000000"/>
      <w:sz w:val="20"/>
      <w:szCs w:val="20"/>
      <w:lang w:val="nl-BE"/>
    </w:rPr>
    <w:tblPr>
      <w:tblStyleRowBandSize w:val="1"/>
      <w:tblStyleColBandSize w:val="1"/>
      <w:tblBorders>
        <w:top w:val="single" w:sz="24" w:space="0" w:color="999999"/>
        <w:left w:val="single" w:sz="4" w:space="0" w:color="F0F0F0"/>
        <w:bottom w:val="single" w:sz="4" w:space="0" w:color="F0F0F0"/>
        <w:right w:val="single" w:sz="4" w:space="0" w:color="F0F0F0"/>
        <w:insideH w:val="single" w:sz="4" w:space="0" w:color="646464"/>
        <w:insideV w:val="single" w:sz="4" w:space="0" w:color="646464"/>
      </w:tblBorders>
    </w:tblPr>
    <w:tcPr>
      <w:shd w:val="clear" w:color="auto" w:fill="FDFDFD"/>
    </w:tcPr>
    <w:tblStylePr w:type="firstRow">
      <w:rPr>
        <w:b/>
        <w:bCs/>
      </w:rPr>
      <w:tblPr/>
      <w:tcPr>
        <w:tcBorders>
          <w:top w:val="nil"/>
          <w:left w:val="nil"/>
          <w:bottom w:val="single" w:sz="24" w:space="0" w:color="999999"/>
          <w:right w:val="nil"/>
          <w:insideH w:val="nil"/>
          <w:insideV w:val="nil"/>
        </w:tcBorders>
        <w:shd w:val="clear" w:color="auto" w:fill="646464"/>
      </w:tcPr>
    </w:tblStylePr>
    <w:tblStylePr w:type="lastRow">
      <w:rPr>
        <w:b/>
        <w:bCs/>
        <w:color w:val="646464"/>
      </w:rPr>
      <w:tblPr/>
      <w:tcPr>
        <w:tcBorders>
          <w:top w:val="single" w:sz="6" w:space="0" w:color="646464"/>
        </w:tcBorders>
        <w:shd w:val="clear" w:color="auto" w:fill="909090"/>
      </w:tcPr>
    </w:tblStylePr>
    <w:tblStylePr w:type="firstCol">
      <w:rPr>
        <w:color w:val="646464"/>
      </w:rPr>
      <w:tblPr/>
      <w:tcPr>
        <w:tcBorders>
          <w:top w:val="nil"/>
          <w:left w:val="nil"/>
          <w:bottom w:val="nil"/>
          <w:right w:val="nil"/>
          <w:insideH w:val="single" w:sz="4" w:space="0" w:color="909090"/>
          <w:insideV w:val="nil"/>
        </w:tcBorders>
        <w:shd w:val="clear" w:color="auto" w:fill="909090"/>
      </w:tcPr>
    </w:tblStylePr>
    <w:tblStylePr w:type="lastCol">
      <w:rPr>
        <w:color w:val="646464"/>
      </w:rPr>
      <w:tblPr/>
      <w:tcPr>
        <w:tcBorders>
          <w:top w:val="nil"/>
          <w:left w:val="nil"/>
          <w:bottom w:val="nil"/>
          <w:right w:val="nil"/>
          <w:insideH w:val="nil"/>
          <w:insideV w:val="nil"/>
        </w:tcBorders>
        <w:shd w:val="clear" w:color="auto" w:fill="909090"/>
      </w:tcPr>
    </w:tblStylePr>
    <w:tblStylePr w:type="band1Vert">
      <w:tblPr/>
      <w:tcPr>
        <w:shd w:val="clear" w:color="auto" w:fill="F9F9F9"/>
      </w:tcPr>
    </w:tblStylePr>
    <w:tblStylePr w:type="band1Horz">
      <w:tblPr/>
      <w:tcPr>
        <w:shd w:val="clear" w:color="auto" w:fill="F7F7F7"/>
      </w:tcPr>
    </w:tblStylePr>
    <w:tblStylePr w:type="neCell">
      <w:rPr>
        <w:color w:val="000000"/>
      </w:rPr>
    </w:tblStylePr>
    <w:tblStylePr w:type="nwCell">
      <w:rPr>
        <w:color w:val="000000"/>
      </w:rPr>
    </w:tblStylePr>
  </w:style>
  <w:style w:type="table" w:customStyle="1" w:styleId="ColorfulList-Accent13">
    <w:name w:val="Colorful List - Accent 13"/>
    <w:basedOn w:val="TableNormal"/>
    <w:next w:val="ColorfulList-Accent1"/>
    <w:uiPriority w:val="72"/>
    <w:rsid w:val="00B758A1"/>
    <w:pPr>
      <w:spacing w:after="0" w:line="240" w:lineRule="auto"/>
    </w:pPr>
    <w:rPr>
      <w:rFonts w:ascii="Arial" w:hAnsi="Arial"/>
      <w:color w:val="000000"/>
      <w:sz w:val="20"/>
      <w:szCs w:val="20"/>
      <w:lang w:val="nl-BE"/>
    </w:rPr>
    <w:tblPr>
      <w:tblStyleRowBandSize w:val="1"/>
      <w:tblStyleColBandSize w:val="1"/>
    </w:tblPr>
    <w:tcPr>
      <w:shd w:val="clear" w:color="auto" w:fill="F2F2F2"/>
    </w:tcPr>
    <w:tblStylePr w:type="firstRow">
      <w:rPr>
        <w:b/>
        <w:bCs/>
        <w:color w:val="646464"/>
      </w:rPr>
      <w:tblPr/>
      <w:tcPr>
        <w:tcBorders>
          <w:bottom w:val="single" w:sz="12" w:space="0" w:color="646464"/>
        </w:tcBorders>
        <w:shd w:val="clear" w:color="auto" w:fill="CCB800"/>
      </w:tcPr>
    </w:tblStylePr>
    <w:tblStylePr w:type="lastRow">
      <w:rPr>
        <w:b/>
        <w:bCs/>
        <w:color w:val="CCB800"/>
      </w:rPr>
      <w:tblPr/>
      <w:tcPr>
        <w:tcBorders>
          <w:top w:val="single" w:sz="12" w:space="0" w:color="000000"/>
        </w:tcBorders>
        <w:shd w:val="clear" w:color="auto" w:fill="646464"/>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E0"/>
      </w:tcPr>
    </w:tblStylePr>
    <w:tblStylePr w:type="band1Horz">
      <w:tblPr/>
      <w:tcPr>
        <w:shd w:val="clear" w:color="auto" w:fill="E5E5E6"/>
      </w:tcPr>
    </w:tblStylePr>
  </w:style>
  <w:style w:type="table" w:customStyle="1" w:styleId="MediumGrid1-Accent43">
    <w:name w:val="Medium Grid 1 - Accent 43"/>
    <w:basedOn w:val="TableNormal"/>
    <w:next w:val="MediumGrid1-Accent4"/>
    <w:uiPriority w:val="67"/>
    <w:rsid w:val="00B758A1"/>
    <w:pPr>
      <w:spacing w:after="0" w:line="240" w:lineRule="auto"/>
    </w:pPr>
    <w:rPr>
      <w:rFonts w:ascii="Arial" w:hAnsi="Arial"/>
      <w:sz w:val="20"/>
      <w:szCs w:val="20"/>
      <w:lang w:val="nl-BE"/>
    </w:rPr>
    <w:tblPr>
      <w:tblStyleRowBandSize w:val="1"/>
      <w:tblStyleColBandSize w:val="1"/>
      <w:tblBorders>
        <w:top w:val="single" w:sz="8" w:space="0" w:color="F3F3F3"/>
        <w:left w:val="single" w:sz="8" w:space="0" w:color="F3F3F3"/>
        <w:bottom w:val="single" w:sz="8" w:space="0" w:color="F3F3F3"/>
        <w:right w:val="single" w:sz="8" w:space="0" w:color="F3F3F3"/>
        <w:insideH w:val="single" w:sz="8" w:space="0" w:color="F3F3F3"/>
        <w:insideV w:val="single" w:sz="8" w:space="0" w:color="F3F3F3"/>
      </w:tblBorders>
    </w:tblPr>
    <w:tcPr>
      <w:shd w:val="clear" w:color="auto" w:fill="FBFBFB"/>
    </w:tcPr>
    <w:tblStylePr w:type="firstRow">
      <w:rPr>
        <w:b/>
        <w:bCs/>
      </w:rPr>
    </w:tblStylePr>
    <w:tblStylePr w:type="lastRow">
      <w:rPr>
        <w:b/>
        <w:bCs/>
      </w:rPr>
      <w:tblPr/>
      <w:tcPr>
        <w:tcBorders>
          <w:top w:val="single" w:sz="18" w:space="0" w:color="F3F3F3"/>
        </w:tcBorders>
      </w:tcPr>
    </w:tblStylePr>
    <w:tblStylePr w:type="firstCol">
      <w:rPr>
        <w:b/>
        <w:bCs/>
      </w:rPr>
    </w:tblStylePr>
    <w:tblStylePr w:type="lastCol">
      <w:rPr>
        <w:b/>
        <w:bCs/>
      </w:rPr>
    </w:tblStylePr>
    <w:tblStylePr w:type="band1Vert">
      <w:tblPr/>
      <w:tcPr>
        <w:shd w:val="clear" w:color="auto" w:fill="F7F7F7"/>
      </w:tcPr>
    </w:tblStylePr>
    <w:tblStylePr w:type="band1Horz">
      <w:tblPr/>
      <w:tcPr>
        <w:shd w:val="clear" w:color="auto" w:fill="F7F7F7"/>
      </w:tcPr>
    </w:tblStylePr>
  </w:style>
  <w:style w:type="table" w:customStyle="1" w:styleId="LightList-Accent23">
    <w:name w:val="Light List - Accent 23"/>
    <w:basedOn w:val="TableNormal"/>
    <w:next w:val="LightList-Accent2"/>
    <w:uiPriority w:val="61"/>
    <w:rsid w:val="00B758A1"/>
    <w:pPr>
      <w:spacing w:after="0" w:line="240" w:lineRule="auto"/>
    </w:pPr>
    <w:rPr>
      <w:rFonts w:ascii="Arial" w:hAnsi="Arial"/>
      <w:sz w:val="20"/>
      <w:szCs w:val="20"/>
      <w:lang w:val="nl-BE"/>
    </w:rPr>
    <w:tblPr>
      <w:tblStyleRowBandSize w:val="1"/>
      <w:tblStyleColBandSize w:val="1"/>
      <w:tblBorders>
        <w:top w:val="single" w:sz="8" w:space="0" w:color="FFE600"/>
        <w:left w:val="single" w:sz="8" w:space="0" w:color="FFE600"/>
        <w:bottom w:val="single" w:sz="8" w:space="0" w:color="FFE600"/>
        <w:right w:val="single" w:sz="8" w:space="0" w:color="FFE600"/>
      </w:tblBorders>
    </w:tblPr>
    <w:tblStylePr w:type="firstRow">
      <w:pPr>
        <w:spacing w:before="0" w:after="0" w:line="240" w:lineRule="auto"/>
      </w:pPr>
      <w:rPr>
        <w:b/>
        <w:bCs/>
        <w:color w:val="646464"/>
      </w:rPr>
      <w:tblPr/>
      <w:tcPr>
        <w:shd w:val="clear" w:color="auto" w:fill="FFE600"/>
      </w:tcPr>
    </w:tblStylePr>
    <w:tblStylePr w:type="lastRow">
      <w:pPr>
        <w:spacing w:before="0" w:after="0" w:line="240" w:lineRule="auto"/>
      </w:pPr>
      <w:rPr>
        <w:b/>
        <w:bCs/>
      </w:rPr>
      <w:tblPr/>
      <w:tcPr>
        <w:tcBorders>
          <w:top w:val="double" w:sz="6" w:space="0" w:color="FFE600"/>
          <w:left w:val="single" w:sz="8" w:space="0" w:color="FFE600"/>
          <w:bottom w:val="single" w:sz="8" w:space="0" w:color="FFE600"/>
          <w:right w:val="single" w:sz="8" w:space="0" w:color="FFE600"/>
        </w:tcBorders>
      </w:tcPr>
    </w:tblStylePr>
    <w:tblStylePr w:type="firstCol">
      <w:rPr>
        <w:b/>
        <w:bCs/>
      </w:rPr>
    </w:tblStylePr>
    <w:tblStylePr w:type="lastCol">
      <w:rPr>
        <w:b/>
        <w:bCs/>
      </w:rPr>
    </w:tblStylePr>
    <w:tblStylePr w:type="band1Vert">
      <w:tblPr/>
      <w:tcPr>
        <w:tcBorders>
          <w:top w:val="single" w:sz="8" w:space="0" w:color="FFE600"/>
          <w:left w:val="single" w:sz="8" w:space="0" w:color="FFE600"/>
          <w:bottom w:val="single" w:sz="8" w:space="0" w:color="FFE600"/>
          <w:right w:val="single" w:sz="8" w:space="0" w:color="FFE600"/>
        </w:tcBorders>
      </w:tcPr>
    </w:tblStylePr>
    <w:tblStylePr w:type="band1Horz">
      <w:tblPr/>
      <w:tcPr>
        <w:tcBorders>
          <w:top w:val="single" w:sz="8" w:space="0" w:color="FFE600"/>
          <w:left w:val="single" w:sz="8" w:space="0" w:color="FFE600"/>
          <w:bottom w:val="single" w:sz="8" w:space="0" w:color="FFE600"/>
          <w:right w:val="single" w:sz="8" w:space="0" w:color="FFE600"/>
        </w:tcBorders>
      </w:tcPr>
    </w:tblStylePr>
  </w:style>
  <w:style w:type="table" w:customStyle="1" w:styleId="Table-standard20">
    <w:name w:val="Table - standard20"/>
    <w:basedOn w:val="TableNormal"/>
    <w:rsid w:val="00B758A1"/>
    <w:pPr>
      <w:spacing w:after="0" w:line="240" w:lineRule="auto"/>
    </w:pPr>
    <w:rPr>
      <w:rFonts w:ascii="Arial" w:eastAsia="Times New Roman" w:hAnsi="Arial"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MediumShading2-Accent33">
    <w:name w:val="Medium Shading 2 - Accent 33"/>
    <w:basedOn w:val="TableNormal"/>
    <w:next w:val="MediumShading2-Accent3"/>
    <w:uiPriority w:val="64"/>
    <w:rsid w:val="00B758A1"/>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646464"/>
      </w:rPr>
      <w:tblPr/>
      <w:tcPr>
        <w:tcBorders>
          <w:top w:val="single" w:sz="18" w:space="0" w:color="auto"/>
          <w:left w:val="nil"/>
          <w:bottom w:val="single" w:sz="18" w:space="0" w:color="auto"/>
          <w:right w:val="nil"/>
          <w:insideH w:val="nil"/>
          <w:insideV w:val="nil"/>
        </w:tcBorders>
        <w:shd w:val="clear" w:color="auto" w:fill="99999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646464"/>
      </w:tcPr>
    </w:tblStylePr>
    <w:tblStylePr w:type="firstCol">
      <w:rPr>
        <w:b/>
        <w:bCs/>
        <w:color w:val="646464"/>
      </w:rPr>
      <w:tblPr/>
      <w:tcPr>
        <w:tcBorders>
          <w:top w:val="nil"/>
          <w:left w:val="nil"/>
          <w:bottom w:val="single" w:sz="18" w:space="0" w:color="auto"/>
          <w:right w:val="nil"/>
          <w:insideH w:val="nil"/>
          <w:insideV w:val="nil"/>
        </w:tcBorders>
        <w:shd w:val="clear" w:color="auto" w:fill="999999"/>
      </w:tcPr>
    </w:tblStylePr>
    <w:tblStylePr w:type="lastCol">
      <w:rPr>
        <w:b/>
        <w:bCs/>
        <w:color w:val="646464"/>
      </w:rPr>
      <w:tblPr/>
      <w:tcPr>
        <w:tcBorders>
          <w:left w:val="nil"/>
          <w:right w:val="nil"/>
          <w:insideH w:val="nil"/>
          <w:insideV w:val="nil"/>
        </w:tcBorders>
        <w:shd w:val="clear" w:color="auto" w:fill="999999"/>
      </w:tcPr>
    </w:tblStylePr>
    <w:tblStylePr w:type="band1Vert">
      <w:tblPr/>
      <w:tcPr>
        <w:tcBorders>
          <w:left w:val="nil"/>
          <w:right w:val="nil"/>
          <w:insideH w:val="nil"/>
          <w:insideV w:val="nil"/>
        </w:tcBorders>
        <w:shd w:val="clear" w:color="auto" w:fill="545454"/>
      </w:tcPr>
    </w:tblStylePr>
    <w:tblStylePr w:type="band1Horz">
      <w:tblPr/>
      <w:tcPr>
        <w:shd w:val="clear" w:color="auto" w:fill="545454"/>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646464"/>
      </w:rPr>
      <w:tblPr/>
      <w:tcPr>
        <w:tcBorders>
          <w:top w:val="single" w:sz="18" w:space="0" w:color="auto"/>
          <w:left w:val="nil"/>
          <w:bottom w:val="single" w:sz="18" w:space="0" w:color="auto"/>
          <w:right w:val="nil"/>
          <w:insideH w:val="nil"/>
          <w:insideV w:val="nil"/>
        </w:tcBorders>
      </w:tcPr>
    </w:tblStylePr>
  </w:style>
  <w:style w:type="table" w:customStyle="1" w:styleId="MediumGrid3-Accent13">
    <w:name w:val="Medium Grid 3 - Accent 13"/>
    <w:basedOn w:val="TableNormal"/>
    <w:next w:val="MediumGrid3-Accent1"/>
    <w:uiPriority w:val="69"/>
    <w:rsid w:val="00B758A1"/>
    <w:pPr>
      <w:spacing w:after="0" w:line="240" w:lineRule="auto"/>
    </w:pPr>
    <w:rPr>
      <w:rFonts w:ascii="Times New Roman" w:eastAsia="Times New Roman" w:hAnsi="Times New Roman" w:cs="Times New Roman"/>
      <w:sz w:val="20"/>
      <w:szCs w:val="20"/>
      <w:lang w:val="fr-FR" w:eastAsia="fr-FR"/>
    </w:rPr>
    <w:tblPr>
      <w:tblStyleRowBandSize w:val="1"/>
      <w:tblStyleColBandSize w:val="1"/>
      <w:tblBorders>
        <w:top w:val="single" w:sz="8" w:space="0" w:color="646464"/>
        <w:left w:val="single" w:sz="8" w:space="0" w:color="646464"/>
        <w:bottom w:val="single" w:sz="8" w:space="0" w:color="646464"/>
        <w:right w:val="single" w:sz="8" w:space="0" w:color="646464"/>
        <w:insideH w:val="single" w:sz="6" w:space="0" w:color="646464"/>
        <w:insideV w:val="single" w:sz="6" w:space="0" w:color="646464"/>
      </w:tblBorders>
    </w:tblPr>
    <w:tcPr>
      <w:shd w:val="clear" w:color="auto" w:fill="DFDFE0"/>
    </w:tcPr>
    <w:tblStylePr w:type="firstRow">
      <w:rPr>
        <w:b/>
        <w:bCs/>
        <w:i w:val="0"/>
        <w:iCs w:val="0"/>
        <w:color w:val="646464"/>
      </w:rPr>
      <w:tblPr/>
      <w:tcPr>
        <w:tcBorders>
          <w:top w:val="single" w:sz="8" w:space="0" w:color="646464"/>
          <w:left w:val="single" w:sz="8" w:space="0" w:color="646464"/>
          <w:bottom w:val="single" w:sz="24" w:space="0" w:color="646464"/>
          <w:right w:val="single" w:sz="8" w:space="0" w:color="646464"/>
          <w:insideH w:val="nil"/>
          <w:insideV w:val="single" w:sz="8" w:space="0" w:color="646464"/>
        </w:tcBorders>
        <w:shd w:val="clear" w:color="auto" w:fill="7F7E82"/>
      </w:tcPr>
    </w:tblStylePr>
    <w:tblStylePr w:type="lastRow">
      <w:rPr>
        <w:b/>
        <w:bCs/>
        <w:i w:val="0"/>
        <w:iCs w:val="0"/>
        <w:color w:val="646464"/>
      </w:rPr>
      <w:tblPr/>
      <w:tcPr>
        <w:tcBorders>
          <w:top w:val="single" w:sz="24" w:space="0" w:color="646464"/>
          <w:left w:val="single" w:sz="8" w:space="0" w:color="646464"/>
          <w:bottom w:val="single" w:sz="8" w:space="0" w:color="646464"/>
          <w:right w:val="single" w:sz="8" w:space="0" w:color="646464"/>
          <w:insideH w:val="nil"/>
          <w:insideV w:val="single" w:sz="8" w:space="0" w:color="646464"/>
        </w:tcBorders>
        <w:shd w:val="clear" w:color="auto" w:fill="7F7E82"/>
      </w:tcPr>
    </w:tblStylePr>
    <w:tblStylePr w:type="firstCol">
      <w:rPr>
        <w:b/>
        <w:bCs/>
        <w:i w:val="0"/>
        <w:iCs w:val="0"/>
        <w:color w:val="646464"/>
      </w:rPr>
      <w:tblPr/>
      <w:tcPr>
        <w:tcBorders>
          <w:left w:val="single" w:sz="8" w:space="0" w:color="646464"/>
          <w:right w:val="single" w:sz="24" w:space="0" w:color="646464"/>
          <w:insideH w:val="nil"/>
          <w:insideV w:val="nil"/>
        </w:tcBorders>
        <w:shd w:val="clear" w:color="auto" w:fill="7F7E82"/>
      </w:tcPr>
    </w:tblStylePr>
    <w:tblStylePr w:type="lastCol">
      <w:rPr>
        <w:b/>
        <w:bCs/>
        <w:i w:val="0"/>
        <w:iCs w:val="0"/>
        <w:color w:val="646464"/>
      </w:rPr>
      <w:tblPr/>
      <w:tcPr>
        <w:tcBorders>
          <w:top w:val="nil"/>
          <w:left w:val="single" w:sz="24" w:space="0" w:color="646464"/>
          <w:bottom w:val="nil"/>
          <w:right w:val="nil"/>
          <w:insideH w:val="nil"/>
          <w:insideV w:val="nil"/>
        </w:tcBorders>
        <w:shd w:val="clear" w:color="auto" w:fill="7F7E82"/>
      </w:tcPr>
    </w:tblStylePr>
    <w:tblStylePr w:type="band1Vert">
      <w:tblPr/>
      <w:tcPr>
        <w:tcBorders>
          <w:top w:val="single" w:sz="8" w:space="0" w:color="646464"/>
          <w:left w:val="single" w:sz="8" w:space="0" w:color="646464"/>
          <w:bottom w:val="single" w:sz="8" w:space="0" w:color="646464"/>
          <w:right w:val="single" w:sz="8" w:space="0" w:color="646464"/>
          <w:insideH w:val="nil"/>
          <w:insideV w:val="nil"/>
        </w:tcBorders>
        <w:shd w:val="clear" w:color="auto" w:fill="BFBEC0"/>
      </w:tcPr>
    </w:tblStylePr>
    <w:tblStylePr w:type="band1Horz">
      <w:tblPr/>
      <w:tcPr>
        <w:tcBorders>
          <w:top w:val="single" w:sz="8" w:space="0" w:color="646464"/>
          <w:left w:val="single" w:sz="8" w:space="0" w:color="646464"/>
          <w:bottom w:val="single" w:sz="8" w:space="0" w:color="646464"/>
          <w:right w:val="single" w:sz="8" w:space="0" w:color="646464"/>
          <w:insideH w:val="single" w:sz="8" w:space="0" w:color="646464"/>
          <w:insideV w:val="single" w:sz="8" w:space="0" w:color="646464"/>
        </w:tcBorders>
        <w:shd w:val="clear" w:color="auto" w:fill="BFBEC0"/>
      </w:tcPr>
    </w:tblStylePr>
  </w:style>
  <w:style w:type="table" w:customStyle="1" w:styleId="LightList-Accent212">
    <w:name w:val="Light List - Accent 212"/>
    <w:basedOn w:val="TableNormal"/>
    <w:next w:val="LightList-Accent2"/>
    <w:uiPriority w:val="61"/>
    <w:rsid w:val="00B758A1"/>
    <w:pPr>
      <w:spacing w:after="0" w:line="240" w:lineRule="auto"/>
    </w:pPr>
    <w:rPr>
      <w:rFonts w:ascii="Wingdings 3" w:eastAsia="Wingdings 3" w:hAnsi="Wingdings 3" w:cs="Times New Roman"/>
      <w:sz w:val="20"/>
      <w:szCs w:val="20"/>
      <w:lang w:val="it-IT" w:eastAsia="it-IT"/>
    </w:rPr>
    <w:tblPr>
      <w:tblStyleRowBandSize w:val="1"/>
      <w:tblStyleColBandSize w:val="1"/>
      <w:tblBorders>
        <w:top w:val="single" w:sz="8" w:space="0" w:color="FFE600"/>
        <w:left w:val="single" w:sz="8" w:space="0" w:color="FFE600"/>
        <w:bottom w:val="single" w:sz="8" w:space="0" w:color="FFE600"/>
        <w:right w:val="single" w:sz="8" w:space="0" w:color="FFE600"/>
      </w:tblBorders>
    </w:tblPr>
    <w:tblStylePr w:type="firstRow">
      <w:pPr>
        <w:spacing w:before="0" w:after="0" w:line="240" w:lineRule="auto"/>
      </w:pPr>
      <w:rPr>
        <w:b/>
        <w:bCs/>
        <w:color w:val="646464"/>
      </w:rPr>
      <w:tblPr/>
      <w:tcPr>
        <w:shd w:val="clear" w:color="auto" w:fill="FFE600"/>
      </w:tcPr>
    </w:tblStylePr>
    <w:tblStylePr w:type="lastRow">
      <w:pPr>
        <w:spacing w:before="0" w:after="0" w:line="240" w:lineRule="auto"/>
      </w:pPr>
      <w:rPr>
        <w:b/>
        <w:bCs/>
      </w:rPr>
      <w:tblPr/>
      <w:tcPr>
        <w:tcBorders>
          <w:top w:val="double" w:sz="6" w:space="0" w:color="FFE600"/>
          <w:left w:val="single" w:sz="8" w:space="0" w:color="FFE600"/>
          <w:bottom w:val="single" w:sz="8" w:space="0" w:color="FFE600"/>
          <w:right w:val="single" w:sz="8" w:space="0" w:color="FFE600"/>
        </w:tcBorders>
      </w:tcPr>
    </w:tblStylePr>
    <w:tblStylePr w:type="firstCol">
      <w:rPr>
        <w:b/>
        <w:bCs/>
      </w:rPr>
    </w:tblStylePr>
    <w:tblStylePr w:type="lastCol">
      <w:rPr>
        <w:b/>
        <w:bCs/>
      </w:rPr>
    </w:tblStylePr>
    <w:tblStylePr w:type="band1Vert">
      <w:tblPr/>
      <w:tcPr>
        <w:tcBorders>
          <w:top w:val="single" w:sz="8" w:space="0" w:color="FFE600"/>
          <w:left w:val="single" w:sz="8" w:space="0" w:color="FFE600"/>
          <w:bottom w:val="single" w:sz="8" w:space="0" w:color="FFE600"/>
          <w:right w:val="single" w:sz="8" w:space="0" w:color="FFE600"/>
        </w:tcBorders>
      </w:tcPr>
    </w:tblStylePr>
    <w:tblStylePr w:type="band1Horz">
      <w:tblPr/>
      <w:tcPr>
        <w:tcBorders>
          <w:top w:val="single" w:sz="8" w:space="0" w:color="FFE600"/>
          <w:left w:val="single" w:sz="8" w:space="0" w:color="FFE600"/>
          <w:bottom w:val="single" w:sz="8" w:space="0" w:color="FFE600"/>
          <w:right w:val="single" w:sz="8" w:space="0" w:color="FFE600"/>
        </w:tcBorders>
      </w:tcPr>
    </w:tblStylePr>
  </w:style>
  <w:style w:type="table" w:customStyle="1" w:styleId="Table-standard211">
    <w:name w:val="Table - standard211"/>
    <w:basedOn w:val="TableNormal"/>
    <w:rsid w:val="00B758A1"/>
    <w:pPr>
      <w:spacing w:before="60" w:after="60" w:line="240" w:lineRule="auto"/>
    </w:pPr>
    <w:rPr>
      <w:rFonts w:ascii="Arial" w:eastAsia="Times New Roman" w:hAnsi="Arial" w:cs="Times New Roman"/>
      <w:sz w:val="18"/>
      <w:szCs w:val="20"/>
      <w:lang w:val="fr-FR" w:eastAsia="fr-FR"/>
    </w:rPr>
    <w:tblPr>
      <w:tblInd w:w="0" w:type="nil"/>
      <w:tblBorders>
        <w:insideH w:val="single" w:sz="4" w:space="0" w:color="auto"/>
      </w:tblBorders>
      <w:tblCellMar>
        <w:left w:w="57" w:type="dxa"/>
        <w:right w:w="57" w:type="dxa"/>
      </w:tblCellMar>
    </w:tblPr>
    <w:tblStylePr w:type="firstRow">
      <w:rPr>
        <w:rFonts w:ascii="Yu Mincho" w:hAnsi="Yu Mincho" w:hint="default"/>
        <w:sz w:val="18"/>
        <w:szCs w:val="18"/>
      </w:rPr>
      <w:tblPr/>
      <w:tcPr>
        <w:shd w:val="clear" w:color="auto" w:fill="FFE600"/>
      </w:tcPr>
    </w:tblStylePr>
    <w:tblStylePr w:type="lastRow">
      <w:rPr>
        <w:rFonts w:ascii="Yu Mincho" w:hAnsi="Yu Mincho" w:hint="default"/>
      </w:rPr>
    </w:tblStylePr>
    <w:tblStylePr w:type="firstCol">
      <w:tblPr/>
      <w:tcPr>
        <w:tcBorders>
          <w:insideH w:val="single" w:sz="4" w:space="0" w:color="auto"/>
        </w:tcBorders>
        <w:shd w:val="clear" w:color="auto" w:fill="F2F2F2"/>
      </w:tcPr>
    </w:tblStylePr>
  </w:style>
  <w:style w:type="table" w:customStyle="1" w:styleId="LightShading-Accent421">
    <w:name w:val="Light Shading - Accent 421"/>
    <w:basedOn w:val="TableNormal"/>
    <w:next w:val="LightShading-Accent4"/>
    <w:uiPriority w:val="60"/>
    <w:rsid w:val="00B758A1"/>
    <w:pPr>
      <w:spacing w:after="0" w:line="240" w:lineRule="auto"/>
    </w:pPr>
    <w:rPr>
      <w:rFonts w:ascii="Arial" w:hAnsi="Arial"/>
      <w:color w:val="5F497A"/>
      <w:sz w:val="20"/>
      <w:szCs w:val="20"/>
      <w:lang w:val="it-IT"/>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44">
    <w:name w:val="Light Shading - Accent 44"/>
    <w:basedOn w:val="TableNormal"/>
    <w:next w:val="LightShading-Accent4"/>
    <w:uiPriority w:val="60"/>
    <w:rsid w:val="00B758A1"/>
    <w:pPr>
      <w:spacing w:after="0" w:line="240" w:lineRule="auto"/>
    </w:pPr>
    <w:rPr>
      <w:rFonts w:ascii="Arial" w:hAnsi="Arial"/>
      <w:color w:val="B3B3B3"/>
      <w:sz w:val="20"/>
      <w:szCs w:val="20"/>
      <w:lang w:val="nl-BE"/>
    </w:rPr>
    <w:tblPr>
      <w:tblStyleRowBandSize w:val="1"/>
      <w:tblStyleColBandSize w:val="1"/>
      <w:tblBorders>
        <w:top w:val="single" w:sz="8" w:space="0" w:color="F0F0F0"/>
        <w:bottom w:val="single" w:sz="8" w:space="0" w:color="F0F0F0"/>
      </w:tblBorders>
    </w:tblPr>
    <w:tblStylePr w:type="firstRow">
      <w:pPr>
        <w:spacing w:before="0" w:after="0" w:line="240" w:lineRule="auto"/>
      </w:pPr>
      <w:rPr>
        <w:b/>
        <w:bCs/>
      </w:rPr>
      <w:tblPr/>
      <w:tcPr>
        <w:tcBorders>
          <w:top w:val="single" w:sz="8" w:space="0" w:color="F0F0F0"/>
          <w:left w:val="nil"/>
          <w:bottom w:val="single" w:sz="8" w:space="0" w:color="F0F0F0"/>
          <w:right w:val="nil"/>
          <w:insideH w:val="nil"/>
          <w:insideV w:val="nil"/>
        </w:tcBorders>
      </w:tcPr>
    </w:tblStylePr>
    <w:tblStylePr w:type="lastRow">
      <w:pPr>
        <w:spacing w:before="0" w:after="0" w:line="240" w:lineRule="auto"/>
      </w:pPr>
      <w:rPr>
        <w:b/>
        <w:bCs/>
      </w:rPr>
      <w:tblPr/>
      <w:tcPr>
        <w:tcBorders>
          <w:top w:val="single" w:sz="8" w:space="0" w:color="F0F0F0"/>
          <w:left w:val="nil"/>
          <w:bottom w:val="single" w:sz="8" w:space="0" w:color="F0F0F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BFB"/>
      </w:tcPr>
    </w:tblStylePr>
    <w:tblStylePr w:type="band1Horz">
      <w:tblPr/>
      <w:tcPr>
        <w:tcBorders>
          <w:left w:val="nil"/>
          <w:right w:val="nil"/>
          <w:insideH w:val="nil"/>
          <w:insideV w:val="nil"/>
        </w:tcBorders>
        <w:shd w:val="clear" w:color="auto" w:fill="FBFBFB"/>
      </w:tcPr>
    </w:tblStylePr>
  </w:style>
  <w:style w:type="table" w:customStyle="1" w:styleId="LightGrid-Accent43">
    <w:name w:val="Light Grid - Accent 43"/>
    <w:basedOn w:val="TableNormal"/>
    <w:next w:val="LightGrid-Accent4"/>
    <w:uiPriority w:val="62"/>
    <w:rsid w:val="00B758A1"/>
    <w:pPr>
      <w:spacing w:after="0" w:line="240" w:lineRule="auto"/>
    </w:pPr>
    <w:rPr>
      <w:rFonts w:ascii="Arial" w:hAnsi="Arial"/>
      <w:sz w:val="18"/>
      <w:szCs w:val="20"/>
      <w:lang w:val="nl-BE"/>
    </w:rPr>
    <w:tblPr>
      <w:tblStyleRowBandSize w:val="1"/>
      <w:tblStyleColBandSize w:val="1"/>
      <w:tblBorders>
        <w:top w:val="single" w:sz="8" w:space="0" w:color="F0F0F0"/>
        <w:left w:val="single" w:sz="8" w:space="0" w:color="F0F0F0"/>
        <w:bottom w:val="single" w:sz="8" w:space="0" w:color="F0F0F0"/>
        <w:right w:val="single" w:sz="8" w:space="0" w:color="F0F0F0"/>
        <w:insideH w:val="single" w:sz="8" w:space="0" w:color="F0F0F0"/>
        <w:insideV w:val="single" w:sz="8" w:space="0" w:color="F0F0F0"/>
      </w:tblBorders>
    </w:tblPr>
    <w:tblStylePr w:type="firstRow">
      <w:pPr>
        <w:spacing w:before="0" w:after="0" w:line="240" w:lineRule="auto"/>
      </w:pPr>
      <w:rPr>
        <w:rFonts w:ascii="Yu Mincho" w:eastAsia="MS Gothic" w:hAnsi="Yu Mincho" w:cs="Times New Roman"/>
        <w:b/>
        <w:bCs/>
        <w:sz w:val="18"/>
      </w:rPr>
      <w:tblPr/>
      <w:tcPr>
        <w:tcBorders>
          <w:top w:val="single" w:sz="8" w:space="0" w:color="F0F0F0"/>
          <w:left w:val="single" w:sz="8" w:space="0" w:color="F0F0F0"/>
          <w:bottom w:val="single" w:sz="18" w:space="0" w:color="F0F0F0"/>
          <w:right w:val="single" w:sz="8" w:space="0" w:color="F0F0F0"/>
          <w:insideH w:val="nil"/>
          <w:insideV w:val="single" w:sz="8" w:space="0" w:color="F0F0F0"/>
        </w:tcBorders>
      </w:tcPr>
    </w:tblStylePr>
    <w:tblStylePr w:type="lastRow">
      <w:pPr>
        <w:spacing w:before="0" w:after="0" w:line="240" w:lineRule="auto"/>
      </w:pPr>
      <w:rPr>
        <w:rFonts w:ascii="Yu Mincho" w:eastAsia="MS Gothic" w:hAnsi="Yu Mincho" w:cs="Times New Roman"/>
        <w:b/>
        <w:bCs/>
        <w:sz w:val="18"/>
      </w:rPr>
      <w:tblPr/>
      <w:tcPr>
        <w:tcBorders>
          <w:top w:val="double" w:sz="6" w:space="0" w:color="F0F0F0"/>
          <w:left w:val="single" w:sz="8" w:space="0" w:color="F0F0F0"/>
          <w:bottom w:val="single" w:sz="8" w:space="0" w:color="F0F0F0"/>
          <w:right w:val="single" w:sz="8" w:space="0" w:color="F0F0F0"/>
          <w:insideH w:val="nil"/>
          <w:insideV w:val="single" w:sz="8" w:space="0" w:color="F0F0F0"/>
        </w:tcBorders>
      </w:tcPr>
    </w:tblStylePr>
    <w:tblStylePr w:type="firstCol">
      <w:rPr>
        <w:rFonts w:ascii="Yu Mincho" w:eastAsia="MS Gothic" w:hAnsi="Yu Mincho" w:cs="Times New Roman"/>
        <w:b/>
        <w:bCs/>
        <w:sz w:val="18"/>
      </w:rPr>
    </w:tblStylePr>
    <w:tblStylePr w:type="lastCol">
      <w:rPr>
        <w:rFonts w:ascii="Yu Mincho" w:eastAsia="MS Gothic" w:hAnsi="Yu Mincho" w:cs="Times New Roman"/>
        <w:b/>
        <w:bCs/>
      </w:rPr>
      <w:tblPr/>
      <w:tcPr>
        <w:tcBorders>
          <w:top w:val="single" w:sz="8" w:space="0" w:color="F0F0F0"/>
          <w:left w:val="single" w:sz="8" w:space="0" w:color="F0F0F0"/>
          <w:bottom w:val="single" w:sz="8" w:space="0" w:color="F0F0F0"/>
          <w:right w:val="single" w:sz="8" w:space="0" w:color="F0F0F0"/>
        </w:tcBorders>
      </w:tcPr>
    </w:tblStylePr>
    <w:tblStylePr w:type="band1Vert">
      <w:tblPr/>
      <w:tcPr>
        <w:tcBorders>
          <w:top w:val="single" w:sz="8" w:space="0" w:color="F0F0F0"/>
          <w:left w:val="single" w:sz="8" w:space="0" w:color="F0F0F0"/>
          <w:bottom w:val="single" w:sz="8" w:space="0" w:color="F0F0F0"/>
          <w:right w:val="single" w:sz="8" w:space="0" w:color="F0F0F0"/>
        </w:tcBorders>
        <w:shd w:val="clear" w:color="auto" w:fill="FBFBFB"/>
      </w:tcPr>
    </w:tblStylePr>
    <w:tblStylePr w:type="band2Vert">
      <w:rPr>
        <w:rFonts w:ascii="Yu Mincho" w:hAnsi="Yu Mincho"/>
        <w:sz w:val="18"/>
      </w:rPr>
    </w:tblStylePr>
    <w:tblStylePr w:type="band1Horz">
      <w:rPr>
        <w:rFonts w:ascii="Yu Mincho" w:hAnsi="Yu Mincho"/>
      </w:rPr>
      <w:tblPr/>
      <w:tcPr>
        <w:tcBorders>
          <w:top w:val="single" w:sz="8" w:space="0" w:color="F0F0F0"/>
          <w:left w:val="single" w:sz="8" w:space="0" w:color="F0F0F0"/>
          <w:bottom w:val="single" w:sz="8" w:space="0" w:color="F0F0F0"/>
          <w:right w:val="single" w:sz="8" w:space="0" w:color="F0F0F0"/>
          <w:insideV w:val="single" w:sz="8" w:space="0" w:color="F0F0F0"/>
        </w:tcBorders>
        <w:shd w:val="clear" w:color="auto" w:fill="FBFBFB"/>
      </w:tcPr>
    </w:tblStylePr>
    <w:tblStylePr w:type="band2Horz">
      <w:rPr>
        <w:rFonts w:ascii="Yu Mincho" w:hAnsi="Yu Mincho"/>
      </w:rPr>
      <w:tblPr/>
      <w:tcPr>
        <w:tcBorders>
          <w:top w:val="single" w:sz="8" w:space="0" w:color="F0F0F0"/>
          <w:left w:val="single" w:sz="8" w:space="0" w:color="F0F0F0"/>
          <w:bottom w:val="single" w:sz="8" w:space="0" w:color="F0F0F0"/>
          <w:right w:val="single" w:sz="8" w:space="0" w:color="F0F0F0"/>
          <w:insideV w:val="single" w:sz="8" w:space="0" w:color="F0F0F0"/>
        </w:tcBorders>
      </w:tcPr>
    </w:tblStylePr>
  </w:style>
  <w:style w:type="table" w:customStyle="1" w:styleId="CV21">
    <w:name w:val="CV21"/>
    <w:basedOn w:val="TableNormal"/>
    <w:rsid w:val="00B758A1"/>
    <w:pPr>
      <w:spacing w:after="0" w:line="240" w:lineRule="auto"/>
    </w:pPr>
    <w:rPr>
      <w:rFonts w:ascii="Yu Gothic UI Light" w:eastAsia="Times New Roman" w:hAnsi="Yu Gothic UI Light" w:cs="Times New Roman"/>
      <w:sz w:val="16"/>
      <w:szCs w:val="16"/>
      <w:lang w:val="fr-FR" w:eastAsia="fr-FR"/>
    </w:rPr>
    <w:tblPr>
      <w:tblBorders>
        <w:top w:val="single" w:sz="8" w:space="0" w:color="808080"/>
        <w:bottom w:val="single" w:sz="8" w:space="0" w:color="808080"/>
        <w:insideH w:val="single" w:sz="2" w:space="0" w:color="808080"/>
      </w:tblBorders>
      <w:tblCellMar>
        <w:top w:w="85" w:type="dxa"/>
      </w:tblCellMar>
    </w:tblPr>
    <w:tcPr>
      <w:shd w:val="clear" w:color="auto" w:fill="auto"/>
    </w:tcPr>
    <w:tblStylePr w:type="firstRow">
      <w:pPr>
        <w:wordWrap/>
        <w:spacing w:line="240" w:lineRule="auto"/>
      </w:pPr>
      <w:rPr>
        <w:rFonts w:ascii="Yu Mincho" w:hAnsi="Yu Mincho"/>
        <w:b w:val="0"/>
        <w:bCs/>
        <w:color w:val="auto"/>
        <w:sz w:val="16"/>
      </w:rPr>
      <w:tblPr/>
      <w:tcPr>
        <w:tcBorders>
          <w:top w:val="nil"/>
          <w:left w:val="nil"/>
          <w:bottom w:val="nil"/>
          <w:right w:val="nil"/>
          <w:insideH w:val="nil"/>
          <w:insideV w:val="nil"/>
          <w:tl2br w:val="nil"/>
          <w:tr2bl w:val="nil"/>
        </w:tcBorders>
        <w:shd w:val="clear" w:color="auto" w:fill="FFD200"/>
      </w:tcPr>
    </w:tblStylePr>
    <w:tblStylePr w:type="nwCell">
      <w:pPr>
        <w:wordWrap/>
        <w:spacing w:line="240" w:lineRule="auto"/>
      </w:pPr>
      <w:rPr>
        <w:rFonts w:ascii="Yu Mincho" w:hAnsi="Yu Mincho"/>
      </w:rPr>
      <w:tblPr/>
      <w:tcPr>
        <w:tcBorders>
          <w:top w:val="nil"/>
          <w:left w:val="nil"/>
          <w:bottom w:val="nil"/>
          <w:right w:val="nil"/>
          <w:insideH w:val="nil"/>
          <w:insideV w:val="nil"/>
          <w:tl2br w:val="nil"/>
          <w:tr2bl w:val="nil"/>
        </w:tcBorders>
        <w:shd w:val="clear" w:color="auto" w:fill="FFD200"/>
      </w:tcPr>
    </w:tblStylePr>
  </w:style>
  <w:style w:type="table" w:customStyle="1" w:styleId="LightShading3">
    <w:name w:val="Light Shading3"/>
    <w:basedOn w:val="TableNormal"/>
    <w:next w:val="LightShading"/>
    <w:uiPriority w:val="60"/>
    <w:rsid w:val="00B758A1"/>
    <w:pPr>
      <w:spacing w:after="0" w:line="240" w:lineRule="auto"/>
    </w:pPr>
    <w:rPr>
      <w:rFonts w:ascii="Arial" w:hAnsi="Arial"/>
      <w:color w:val="000000"/>
      <w:sz w:val="20"/>
      <w:szCs w:val="20"/>
      <w:lang w:val="nl-B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23">
    <w:name w:val="Light Shading - Accent 23"/>
    <w:basedOn w:val="TableNormal"/>
    <w:next w:val="LightShading-Accent2"/>
    <w:uiPriority w:val="60"/>
    <w:rsid w:val="00B758A1"/>
    <w:pPr>
      <w:spacing w:after="0" w:line="240" w:lineRule="auto"/>
    </w:pPr>
    <w:rPr>
      <w:rFonts w:ascii="Arial" w:hAnsi="Arial"/>
      <w:color w:val="BFAC00"/>
      <w:sz w:val="18"/>
      <w:szCs w:val="20"/>
      <w:lang w:val="nl-BE"/>
    </w:rPr>
    <w:tblPr>
      <w:tblStyleRowBandSize w:val="1"/>
      <w:tblStyleColBandSize w:val="1"/>
      <w:tblBorders>
        <w:top w:val="single" w:sz="8" w:space="0" w:color="FFE600"/>
        <w:bottom w:val="single" w:sz="8" w:space="0" w:color="FFE600"/>
      </w:tblBorders>
    </w:tblPr>
    <w:tblStylePr w:type="firstRow">
      <w:pPr>
        <w:spacing w:before="0" w:after="0" w:line="240" w:lineRule="auto"/>
      </w:pPr>
      <w:rPr>
        <w:b/>
        <w:bCs/>
      </w:rPr>
      <w:tblPr/>
      <w:tcPr>
        <w:tcBorders>
          <w:top w:val="single" w:sz="8" w:space="0" w:color="FFE600"/>
          <w:left w:val="nil"/>
          <w:bottom w:val="single" w:sz="8" w:space="0" w:color="FFE600"/>
          <w:right w:val="nil"/>
          <w:insideH w:val="nil"/>
          <w:insideV w:val="nil"/>
        </w:tcBorders>
      </w:tcPr>
    </w:tblStylePr>
    <w:tblStylePr w:type="lastRow">
      <w:pPr>
        <w:spacing w:before="0" w:after="0" w:line="240" w:lineRule="auto"/>
      </w:pPr>
      <w:rPr>
        <w:b/>
        <w:bCs/>
      </w:rPr>
      <w:tblPr/>
      <w:tcPr>
        <w:tcBorders>
          <w:top w:val="single" w:sz="8" w:space="0" w:color="FFE600"/>
          <w:left w:val="nil"/>
          <w:bottom w:val="single" w:sz="8" w:space="0" w:color="FFE6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8C0"/>
      </w:tcPr>
    </w:tblStylePr>
    <w:tblStylePr w:type="band1Horz">
      <w:tblPr/>
      <w:tcPr>
        <w:tcBorders>
          <w:left w:val="nil"/>
          <w:right w:val="nil"/>
          <w:insideH w:val="nil"/>
          <w:insideV w:val="nil"/>
        </w:tcBorders>
        <w:shd w:val="clear" w:color="auto" w:fill="FFF8C0"/>
      </w:tcPr>
    </w:tblStylePr>
  </w:style>
  <w:style w:type="table" w:customStyle="1" w:styleId="LightShading-Accent13">
    <w:name w:val="Light Shading - Accent 13"/>
    <w:basedOn w:val="TableNormal"/>
    <w:next w:val="LightShading-Accent1"/>
    <w:uiPriority w:val="60"/>
    <w:rsid w:val="00B758A1"/>
    <w:pPr>
      <w:spacing w:after="0" w:line="240" w:lineRule="auto"/>
    </w:pPr>
    <w:rPr>
      <w:rFonts w:ascii="Arial" w:hAnsi="Arial"/>
      <w:color w:val="5F5E61"/>
      <w:sz w:val="18"/>
      <w:szCs w:val="20"/>
      <w:lang w:val="nl-BE"/>
    </w:rPr>
    <w:tblPr>
      <w:tblStyleRowBandSize w:val="1"/>
      <w:tblStyleColBandSize w:val="1"/>
      <w:tblBorders>
        <w:top w:val="single" w:sz="8" w:space="0" w:color="7F7E82"/>
        <w:bottom w:val="single" w:sz="8" w:space="0" w:color="7F7E82"/>
      </w:tblBorders>
    </w:tblPr>
    <w:tblStylePr w:type="firstRow">
      <w:pPr>
        <w:spacing w:before="0" w:after="0" w:line="240" w:lineRule="auto"/>
      </w:pPr>
      <w:rPr>
        <w:b/>
        <w:bCs/>
      </w:rPr>
      <w:tblPr/>
      <w:tcPr>
        <w:tcBorders>
          <w:top w:val="single" w:sz="8" w:space="0" w:color="7F7E82"/>
          <w:left w:val="nil"/>
          <w:bottom w:val="single" w:sz="8" w:space="0" w:color="7F7E82"/>
          <w:right w:val="nil"/>
          <w:insideH w:val="nil"/>
          <w:insideV w:val="nil"/>
        </w:tcBorders>
      </w:tcPr>
    </w:tblStylePr>
    <w:tblStylePr w:type="lastRow">
      <w:pPr>
        <w:spacing w:before="0" w:after="0" w:line="240" w:lineRule="auto"/>
      </w:pPr>
      <w:rPr>
        <w:b/>
        <w:bCs/>
      </w:rPr>
      <w:tblPr/>
      <w:tcPr>
        <w:tcBorders>
          <w:top w:val="single" w:sz="8" w:space="0" w:color="7F7E82"/>
          <w:left w:val="nil"/>
          <w:bottom w:val="single" w:sz="8" w:space="0" w:color="7F7E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E0"/>
      </w:tcPr>
    </w:tblStylePr>
    <w:tblStylePr w:type="band1Horz">
      <w:tblPr/>
      <w:tcPr>
        <w:tcBorders>
          <w:left w:val="nil"/>
          <w:right w:val="nil"/>
          <w:insideH w:val="nil"/>
          <w:insideV w:val="nil"/>
        </w:tcBorders>
        <w:shd w:val="clear" w:color="auto" w:fill="DFDFE0"/>
      </w:tcPr>
    </w:tblStylePr>
  </w:style>
  <w:style w:type="table" w:customStyle="1" w:styleId="ColorfulList-Accent313">
    <w:name w:val="Colorful List - Accent 313"/>
    <w:basedOn w:val="TableNormal"/>
    <w:uiPriority w:val="72"/>
    <w:rsid w:val="00B758A1"/>
    <w:pPr>
      <w:spacing w:after="0" w:line="240" w:lineRule="auto"/>
    </w:pPr>
    <w:rPr>
      <w:color w:val="000000"/>
      <w:lang w:val="nl-BE"/>
    </w:rPr>
    <w:tblPr>
      <w:tblStyleRowBandSize w:val="1"/>
      <w:tblStyleColBandSize w:val="1"/>
    </w:tblPr>
    <w:tcPr>
      <w:shd w:val="clear" w:color="auto" w:fill="F5F5F5"/>
    </w:tcPr>
    <w:tblStylePr w:type="firstRow">
      <w:rPr>
        <w:b/>
        <w:bCs/>
        <w:color w:val="646464"/>
      </w:rPr>
      <w:tblPr/>
      <w:tcPr>
        <w:tcBorders>
          <w:bottom w:val="single" w:sz="12" w:space="0" w:color="646464"/>
        </w:tcBorders>
        <w:shd w:val="clear" w:color="auto" w:fill="C0C0C0"/>
      </w:tcPr>
    </w:tblStylePr>
    <w:tblStylePr w:type="lastRow">
      <w:rPr>
        <w:b/>
        <w:bCs/>
        <w:color w:val="C0C0C0"/>
      </w:rPr>
      <w:tblPr/>
      <w:tcPr>
        <w:tcBorders>
          <w:top w:val="single" w:sz="12" w:space="0" w:color="000000"/>
        </w:tcBorders>
        <w:shd w:val="clear" w:color="auto" w:fill="646464"/>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TabelEcorys11">
    <w:name w:val="TabelEcorys11"/>
    <w:basedOn w:val="TableNormal"/>
    <w:next w:val="TableGrid"/>
    <w:uiPriority w:val="59"/>
    <w:rsid w:val="00B758A1"/>
    <w:pPr>
      <w:spacing w:after="0" w:line="240" w:lineRule="auto"/>
    </w:pPr>
    <w:rPr>
      <w:rFonts w:ascii="Wingdings 3" w:hAnsi="Wingdings 3"/>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1">
    <w:name w:val="CV131"/>
    <w:basedOn w:val="TableNormal"/>
    <w:next w:val="TableGrid"/>
    <w:uiPriority w:val="59"/>
    <w:rsid w:val="00B758A1"/>
    <w:pPr>
      <w:spacing w:after="0" w:line="240" w:lineRule="auto"/>
    </w:pPr>
    <w:rPr>
      <w:rFonts w:ascii="Wingdings 3" w:eastAsia="Wingdings 3" w:hAnsi="Wingdings 3" w:cs="Wingdings 3"/>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3113">
    <w:name w:val="Colorful List - Accent 3113"/>
    <w:uiPriority w:val="72"/>
    <w:rsid w:val="00B758A1"/>
    <w:pPr>
      <w:spacing w:after="0" w:line="240" w:lineRule="auto"/>
    </w:pPr>
    <w:rPr>
      <w:rFonts w:ascii="Wingdings 3" w:eastAsia="Wingdings 3" w:hAnsi="Wingdings 3" w:cs="Times New Roman"/>
      <w:color w:val="000000"/>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5F5F5"/>
    </w:tcPr>
  </w:style>
  <w:style w:type="table" w:customStyle="1" w:styleId="Table-standard113">
    <w:name w:val="Table - standard113"/>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Table-standard23">
    <w:name w:val="Table - standard23"/>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TableEY12">
    <w:name w:val="Table EY12"/>
    <w:basedOn w:val="TableNormal"/>
    <w:next w:val="TableGrid"/>
    <w:uiPriority w:val="39"/>
    <w:rsid w:val="00B758A1"/>
    <w:pPr>
      <w:spacing w:after="0" w:line="240" w:lineRule="auto"/>
    </w:pPr>
    <w:rPr>
      <w:rFonts w:ascii="Arial" w:eastAsia="Wingdings 3" w:hAnsi="Arial" w:cs="Times New Roman"/>
      <w:sz w:val="20"/>
      <w:szCs w:val="20"/>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2">
    <w:name w:val="Grid Table 4 - Accent 22"/>
    <w:basedOn w:val="TableNormal"/>
    <w:next w:val="GridTable4-Accent2"/>
    <w:uiPriority w:val="49"/>
    <w:rsid w:val="00B758A1"/>
    <w:pPr>
      <w:spacing w:after="0" w:line="240" w:lineRule="auto"/>
    </w:pPr>
    <w:rPr>
      <w:rFonts w:ascii="Arial" w:hAnsi="Arial"/>
      <w:sz w:val="20"/>
      <w:szCs w:val="20"/>
      <w:lang w:val="nl-BE"/>
    </w:rPr>
    <w:tblPr>
      <w:tblStyleRowBandSize w:val="1"/>
      <w:tblStyleColBandSize w:val="1"/>
      <w:tblBorders>
        <w:top w:val="single" w:sz="4" w:space="0" w:color="FFF066"/>
        <w:left w:val="single" w:sz="4" w:space="0" w:color="FFF066"/>
        <w:bottom w:val="single" w:sz="4" w:space="0" w:color="FFF066"/>
        <w:right w:val="single" w:sz="4" w:space="0" w:color="FFF066"/>
        <w:insideH w:val="single" w:sz="4" w:space="0" w:color="FFF066"/>
        <w:insideV w:val="single" w:sz="4" w:space="0" w:color="FFF066"/>
      </w:tblBorders>
    </w:tblPr>
    <w:tblStylePr w:type="firstRow">
      <w:rPr>
        <w:b/>
        <w:bCs/>
        <w:color w:val="646464"/>
      </w:rPr>
      <w:tblPr/>
      <w:tcPr>
        <w:tcBorders>
          <w:top w:val="single" w:sz="4" w:space="0" w:color="FFE600"/>
          <w:left w:val="single" w:sz="4" w:space="0" w:color="FFE600"/>
          <w:bottom w:val="single" w:sz="4" w:space="0" w:color="FFE600"/>
          <w:right w:val="single" w:sz="4" w:space="0" w:color="FFE600"/>
          <w:insideH w:val="nil"/>
          <w:insideV w:val="nil"/>
        </w:tcBorders>
        <w:shd w:val="clear" w:color="auto" w:fill="FFE600"/>
      </w:tcPr>
    </w:tblStylePr>
    <w:tblStylePr w:type="lastRow">
      <w:rPr>
        <w:b/>
        <w:bCs/>
      </w:rPr>
      <w:tblPr/>
      <w:tcPr>
        <w:tcBorders>
          <w:top w:val="double" w:sz="4" w:space="0" w:color="FFE600"/>
        </w:tcBorders>
      </w:tcPr>
    </w:tblStylePr>
    <w:tblStylePr w:type="firstCol">
      <w:rPr>
        <w:b/>
        <w:bCs/>
      </w:rPr>
    </w:tblStylePr>
    <w:tblStylePr w:type="lastCol">
      <w:rPr>
        <w:b/>
        <w:bCs/>
      </w:rPr>
    </w:tblStylePr>
    <w:tblStylePr w:type="band1Vert">
      <w:tblPr/>
      <w:tcPr>
        <w:shd w:val="clear" w:color="auto" w:fill="FFFACC"/>
      </w:tcPr>
    </w:tblStylePr>
    <w:tblStylePr w:type="band1Horz">
      <w:tblPr/>
      <w:tcPr>
        <w:shd w:val="clear" w:color="auto" w:fill="FFFACC"/>
      </w:tcPr>
    </w:tblStylePr>
  </w:style>
  <w:style w:type="table" w:customStyle="1" w:styleId="TableGrid11">
    <w:name w:val="Table Grid11"/>
    <w:basedOn w:val="TableNormal"/>
    <w:next w:val="TableGrid"/>
    <w:uiPriority w:val="39"/>
    <w:rsid w:val="00B758A1"/>
    <w:pPr>
      <w:spacing w:after="0" w:line="240" w:lineRule="auto"/>
    </w:pPr>
    <w:rPr>
      <w:rFonts w:ascii="Wingdings 3" w:hAnsi="Wingdings 3"/>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andard32">
    <w:name w:val="Table - standard32"/>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MediumList2-Accent2113">
    <w:name w:val="Medium List 2 - Accent 2113"/>
    <w:basedOn w:val="TableNormal"/>
    <w:uiPriority w:val="99"/>
    <w:rsid w:val="00B758A1"/>
    <w:pPr>
      <w:spacing w:after="0" w:line="240" w:lineRule="auto"/>
    </w:pPr>
    <w:rPr>
      <w:rFonts w:ascii="Arial" w:eastAsia="Times New Roman" w:hAnsi="Arial" w:cs="Times New Roman"/>
      <w:color w:val="000000"/>
      <w:sz w:val="18"/>
      <w:szCs w:val="20"/>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cs="Times New Roman"/>
        <w:sz w:val="24"/>
        <w:szCs w:val="24"/>
      </w:rPr>
      <w:tblPr/>
      <w:tcPr>
        <w:shd w:val="clear" w:color="auto" w:fill="C1C1C1"/>
      </w:tcPr>
    </w:tblStylePr>
    <w:tblStylePr w:type="lastRow">
      <w:rPr>
        <w:rFonts w:ascii="Yu Mincho" w:hAnsi="Yu Mincho" w:cs="Times New Roman"/>
        <w:color w:val="auto"/>
        <w:sz w:val="18"/>
      </w:rPr>
      <w:tblPr/>
      <w:tcPr>
        <w:shd w:val="clear" w:color="auto" w:fill="F0F0F0"/>
      </w:tcPr>
    </w:tblStylePr>
    <w:tblStylePr w:type="firstCol">
      <w:rPr>
        <w:rFonts w:ascii="Yu Mincho" w:hAnsi="Yu Mincho" w:cs="Times New Roman"/>
        <w:sz w:val="18"/>
      </w:rPr>
    </w:tblStylePr>
    <w:tblStylePr w:type="lastCol">
      <w:rPr>
        <w:rFonts w:ascii="Yu Mincho" w:hAnsi="Yu Mincho" w:cs="Times New Roman"/>
        <w:sz w:val="18"/>
      </w:rPr>
    </w:tblStylePr>
    <w:tblStylePr w:type="band1Vert">
      <w:rPr>
        <w:rFonts w:ascii="Yu Mincho" w:hAnsi="Yu Mincho" w:cs="Times New Roman"/>
        <w:sz w:val="18"/>
      </w:rPr>
    </w:tblStylePr>
    <w:tblStylePr w:type="band2Vert">
      <w:rPr>
        <w:rFonts w:ascii="Yu Mincho" w:hAnsi="Yu Mincho"/>
        <w:sz w:val="18"/>
      </w:rPr>
    </w:tblStylePr>
    <w:tblStylePr w:type="band1Horz">
      <w:rPr>
        <w:rFonts w:ascii="Yu Mincho" w:hAnsi="Yu Mincho" w:cs="Times New Roman"/>
        <w:sz w:val="18"/>
      </w:rPr>
      <w:tblPr/>
      <w:tcPr>
        <w:shd w:val="clear" w:color="auto" w:fill="E0E0E0"/>
      </w:tcPr>
    </w:tblStylePr>
    <w:tblStylePr w:type="band2Horz">
      <w:rPr>
        <w:rFonts w:ascii="Yu Mincho" w:hAnsi="Yu Mincho"/>
        <w:sz w:val="18"/>
      </w:rPr>
      <w:tblPr/>
      <w:tcPr>
        <w:shd w:val="clear" w:color="auto" w:fill="F0F0F0"/>
      </w:tcPr>
    </w:tblStylePr>
    <w:tblStylePr w:type="neCell">
      <w:rPr>
        <w:rFonts w:ascii="Yu Mincho" w:hAnsi="Yu Mincho"/>
        <w:sz w:val="18"/>
      </w:rPr>
      <w:tblPr/>
      <w:tcPr>
        <w:shd w:val="clear" w:color="auto" w:fill="C1C1C1"/>
      </w:tcPr>
    </w:tblStylePr>
    <w:tblStylePr w:type="nwCell">
      <w:rPr>
        <w:rFonts w:cs="Times New Roman"/>
      </w:rPr>
      <w:tblPr/>
      <w:tcPr>
        <w:shd w:val="clear" w:color="auto" w:fill="C1C1C1"/>
      </w:tcPr>
    </w:tblStylePr>
    <w:tblStylePr w:type="seCell">
      <w:rPr>
        <w:rFonts w:ascii="Yu Mincho" w:hAnsi="Yu Mincho"/>
        <w:sz w:val="18"/>
      </w:rPr>
    </w:tblStylePr>
    <w:tblStylePr w:type="swCell">
      <w:rPr>
        <w:rFonts w:ascii="Yu Mincho" w:hAnsi="Yu Mincho" w:cs="Times New Roman"/>
        <w:sz w:val="18"/>
      </w:rPr>
    </w:tblStylePr>
  </w:style>
  <w:style w:type="table" w:customStyle="1" w:styleId="CV1112">
    <w:name w:val="CV1112"/>
    <w:basedOn w:val="TableNormal"/>
    <w:next w:val="TableGrid"/>
    <w:rsid w:val="00B758A1"/>
    <w:pPr>
      <w:spacing w:after="120" w:line="240" w:lineRule="exact"/>
      <w:jc w:val="right"/>
    </w:pPr>
    <w:rPr>
      <w:rFonts w:ascii="Yu Gothic UI Light" w:eastAsia="Times New Roman" w:hAnsi="Yu Gothic UI Light" w:cs="Times New Roman"/>
      <w:sz w:val="16"/>
      <w:szCs w:val="20"/>
      <w:lang w:val="fr-FR" w:eastAsia="fr-FR"/>
    </w:rPr>
    <w:tblPr>
      <w:tblStyleRowBandSize w:val="1"/>
      <w:tblStyleColBandSize w:val="1"/>
      <w:tblBorders>
        <w:top w:val="single" w:sz="24" w:space="0" w:color="808080"/>
        <w:bottom w:val="single" w:sz="24" w:space="0" w:color="808080"/>
        <w:insideH w:val="single" w:sz="8" w:space="0" w:color="808080"/>
      </w:tblBorders>
    </w:tblPr>
    <w:tcPr>
      <w:noWrap/>
    </w:tcPr>
    <w:tblStylePr w:type="firstRow">
      <w:rPr>
        <w:rFonts w:ascii="Yu Mincho" w:hAnsi="Yu Mincho"/>
        <w:sz w:val="16"/>
      </w:rPr>
    </w:tblStylePr>
  </w:style>
  <w:style w:type="table" w:customStyle="1" w:styleId="Table-standard221">
    <w:name w:val="Table - standard221"/>
    <w:basedOn w:val="TableNormal"/>
    <w:rsid w:val="00B758A1"/>
    <w:pPr>
      <w:spacing w:before="60" w:after="60" w:line="240" w:lineRule="auto"/>
    </w:pPr>
    <w:rPr>
      <w:rFonts w:ascii="Arial" w:eastAsia="Times New Roman" w:hAnsi="Arial" w:cs="Times New Roman"/>
      <w:sz w:val="18"/>
      <w:szCs w:val="20"/>
      <w:lang w:val="fr-FR" w:eastAsia="fr-FR"/>
    </w:rPr>
    <w:tblPr>
      <w:tblInd w:w="0" w:type="nil"/>
      <w:tblBorders>
        <w:insideH w:val="single" w:sz="4" w:space="0" w:color="auto"/>
      </w:tblBorders>
      <w:tblCellMar>
        <w:left w:w="57" w:type="dxa"/>
        <w:right w:w="57" w:type="dxa"/>
      </w:tblCellMar>
    </w:tblPr>
    <w:tblStylePr w:type="firstRow">
      <w:rPr>
        <w:rFonts w:ascii="Yu Mincho" w:hAnsi="Yu Mincho" w:hint="default"/>
        <w:sz w:val="18"/>
        <w:szCs w:val="18"/>
      </w:rPr>
      <w:tblPr/>
      <w:tcPr>
        <w:shd w:val="clear" w:color="auto" w:fill="FFE600"/>
      </w:tcPr>
    </w:tblStylePr>
    <w:tblStylePr w:type="lastRow">
      <w:rPr>
        <w:rFonts w:ascii="Yu Mincho" w:hAnsi="Yu Mincho" w:hint="default"/>
      </w:rPr>
    </w:tblStylePr>
    <w:tblStylePr w:type="firstCol">
      <w:tblPr/>
      <w:tcPr>
        <w:tcBorders>
          <w:insideH w:val="single" w:sz="4" w:space="0" w:color="auto"/>
        </w:tcBorders>
        <w:shd w:val="clear" w:color="auto" w:fill="F2F2F2"/>
      </w:tcPr>
    </w:tblStylePr>
  </w:style>
  <w:style w:type="table" w:customStyle="1" w:styleId="MediumList2-Accent21111">
    <w:name w:val="Medium List 2 - Accent 21111"/>
    <w:basedOn w:val="TableNormal"/>
    <w:uiPriority w:val="99"/>
    <w:rsid w:val="00B758A1"/>
    <w:pPr>
      <w:spacing w:after="0" w:line="240" w:lineRule="auto"/>
    </w:pPr>
    <w:rPr>
      <w:rFonts w:ascii="Arial" w:eastAsia="Times New Roman" w:hAnsi="Arial" w:cs="Times New Roman"/>
      <w:color w:val="000000"/>
      <w:sz w:val="18"/>
      <w:szCs w:val="20"/>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cs="Times New Roman"/>
        <w:sz w:val="24"/>
        <w:szCs w:val="24"/>
      </w:rPr>
      <w:tblPr/>
      <w:tcPr>
        <w:shd w:val="clear" w:color="auto" w:fill="C1C1C1"/>
      </w:tcPr>
    </w:tblStylePr>
    <w:tblStylePr w:type="lastRow">
      <w:rPr>
        <w:rFonts w:ascii="Yu Mincho" w:hAnsi="Yu Mincho" w:cs="Times New Roman"/>
        <w:color w:val="auto"/>
        <w:sz w:val="18"/>
      </w:rPr>
      <w:tblPr/>
      <w:tcPr>
        <w:shd w:val="clear" w:color="auto" w:fill="F0F0F0"/>
      </w:tcPr>
    </w:tblStylePr>
    <w:tblStylePr w:type="firstCol">
      <w:rPr>
        <w:rFonts w:ascii="Yu Mincho" w:hAnsi="Yu Mincho" w:cs="Times New Roman"/>
        <w:sz w:val="18"/>
      </w:rPr>
    </w:tblStylePr>
    <w:tblStylePr w:type="lastCol">
      <w:rPr>
        <w:rFonts w:ascii="Yu Mincho" w:hAnsi="Yu Mincho" w:cs="Times New Roman"/>
        <w:sz w:val="18"/>
      </w:rPr>
    </w:tblStylePr>
    <w:tblStylePr w:type="band1Vert">
      <w:rPr>
        <w:rFonts w:ascii="Yu Mincho" w:hAnsi="Yu Mincho" w:cs="Times New Roman"/>
        <w:sz w:val="18"/>
      </w:rPr>
    </w:tblStylePr>
    <w:tblStylePr w:type="band2Vert">
      <w:rPr>
        <w:rFonts w:ascii="Yu Mincho" w:hAnsi="Yu Mincho"/>
        <w:sz w:val="18"/>
      </w:rPr>
    </w:tblStylePr>
    <w:tblStylePr w:type="band1Horz">
      <w:rPr>
        <w:rFonts w:ascii="Yu Mincho" w:hAnsi="Yu Mincho" w:cs="Times New Roman"/>
        <w:sz w:val="18"/>
      </w:rPr>
      <w:tblPr/>
      <w:tcPr>
        <w:shd w:val="clear" w:color="auto" w:fill="E0E0E0"/>
      </w:tcPr>
    </w:tblStylePr>
    <w:tblStylePr w:type="band2Horz">
      <w:rPr>
        <w:rFonts w:ascii="Yu Mincho" w:hAnsi="Yu Mincho"/>
        <w:sz w:val="18"/>
      </w:rPr>
      <w:tblPr/>
      <w:tcPr>
        <w:shd w:val="clear" w:color="auto" w:fill="F0F0F0"/>
      </w:tcPr>
    </w:tblStylePr>
    <w:tblStylePr w:type="neCell">
      <w:rPr>
        <w:rFonts w:ascii="Yu Mincho" w:hAnsi="Yu Mincho"/>
        <w:sz w:val="18"/>
      </w:rPr>
      <w:tblPr/>
      <w:tcPr>
        <w:shd w:val="clear" w:color="auto" w:fill="C1C1C1"/>
      </w:tcPr>
    </w:tblStylePr>
    <w:tblStylePr w:type="nwCell">
      <w:rPr>
        <w:rFonts w:cs="Times New Roman"/>
      </w:rPr>
      <w:tblPr/>
      <w:tcPr>
        <w:shd w:val="clear" w:color="auto" w:fill="C1C1C1"/>
      </w:tcPr>
    </w:tblStylePr>
    <w:tblStylePr w:type="seCell">
      <w:rPr>
        <w:rFonts w:ascii="Yu Mincho" w:hAnsi="Yu Mincho"/>
        <w:sz w:val="18"/>
      </w:rPr>
    </w:tblStylePr>
    <w:tblStylePr w:type="swCell">
      <w:rPr>
        <w:rFonts w:ascii="Yu Mincho" w:hAnsi="Yu Mincho" w:cs="Times New Roman"/>
        <w:sz w:val="18"/>
      </w:rPr>
    </w:tblStylePr>
  </w:style>
  <w:style w:type="table" w:customStyle="1" w:styleId="MediumList2-Accent21121">
    <w:name w:val="Medium List 2 - Accent 21121"/>
    <w:basedOn w:val="TableNormal"/>
    <w:uiPriority w:val="99"/>
    <w:rsid w:val="00B758A1"/>
    <w:pPr>
      <w:spacing w:after="0" w:line="240" w:lineRule="auto"/>
    </w:pPr>
    <w:rPr>
      <w:rFonts w:ascii="Arial" w:eastAsia="Times New Roman" w:hAnsi="Arial" w:cs="Times New Roman"/>
      <w:color w:val="000000"/>
      <w:sz w:val="18"/>
      <w:szCs w:val="20"/>
      <w:lang w:val="en-GB" w:eastAsia="en-GB"/>
    </w:rPr>
    <w:tblPr>
      <w:tblStyleRowBandSize w:val="1"/>
      <w:tblStyleColBandSize w:val="1"/>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cs="Times New Roman"/>
        <w:sz w:val="24"/>
        <w:szCs w:val="24"/>
      </w:rPr>
      <w:tblPr/>
      <w:tcPr>
        <w:shd w:val="clear" w:color="auto" w:fill="C1C1C1"/>
      </w:tcPr>
    </w:tblStylePr>
    <w:tblStylePr w:type="lastRow">
      <w:rPr>
        <w:rFonts w:ascii="Yu Mincho" w:hAnsi="Yu Mincho" w:cs="Times New Roman"/>
        <w:color w:val="auto"/>
        <w:sz w:val="18"/>
      </w:rPr>
      <w:tblPr/>
      <w:tcPr>
        <w:shd w:val="clear" w:color="auto" w:fill="F0F0F0"/>
      </w:tcPr>
    </w:tblStylePr>
    <w:tblStylePr w:type="firstCol">
      <w:rPr>
        <w:rFonts w:ascii="Yu Mincho" w:hAnsi="Yu Mincho" w:cs="Times New Roman"/>
        <w:sz w:val="18"/>
      </w:rPr>
    </w:tblStylePr>
    <w:tblStylePr w:type="lastCol">
      <w:rPr>
        <w:rFonts w:ascii="Yu Mincho" w:hAnsi="Yu Mincho" w:cs="Times New Roman"/>
        <w:sz w:val="18"/>
      </w:rPr>
    </w:tblStylePr>
    <w:tblStylePr w:type="band1Vert">
      <w:rPr>
        <w:rFonts w:ascii="Yu Mincho" w:hAnsi="Yu Mincho" w:cs="Times New Roman"/>
        <w:sz w:val="18"/>
      </w:rPr>
    </w:tblStylePr>
    <w:tblStylePr w:type="band2Vert">
      <w:rPr>
        <w:rFonts w:ascii="Yu Mincho" w:hAnsi="Yu Mincho"/>
        <w:sz w:val="18"/>
      </w:rPr>
    </w:tblStylePr>
    <w:tblStylePr w:type="band1Horz">
      <w:rPr>
        <w:rFonts w:ascii="Yu Mincho" w:hAnsi="Yu Mincho" w:cs="Times New Roman"/>
        <w:sz w:val="18"/>
      </w:rPr>
      <w:tblPr/>
      <w:tcPr>
        <w:shd w:val="clear" w:color="auto" w:fill="E0E0E0"/>
      </w:tcPr>
    </w:tblStylePr>
    <w:tblStylePr w:type="band2Horz">
      <w:rPr>
        <w:rFonts w:ascii="Yu Mincho" w:hAnsi="Yu Mincho"/>
        <w:sz w:val="18"/>
      </w:rPr>
      <w:tblPr/>
      <w:tcPr>
        <w:shd w:val="clear" w:color="auto" w:fill="F0F0F0"/>
      </w:tcPr>
    </w:tblStylePr>
    <w:tblStylePr w:type="neCell">
      <w:rPr>
        <w:rFonts w:ascii="Yu Mincho" w:hAnsi="Yu Mincho"/>
        <w:sz w:val="18"/>
      </w:rPr>
      <w:tblPr/>
      <w:tcPr>
        <w:shd w:val="clear" w:color="auto" w:fill="C1C1C1"/>
      </w:tcPr>
    </w:tblStylePr>
    <w:tblStylePr w:type="nwCell">
      <w:rPr>
        <w:rFonts w:cs="Times New Roman"/>
      </w:rPr>
      <w:tblPr/>
      <w:tcPr>
        <w:shd w:val="clear" w:color="auto" w:fill="C1C1C1"/>
      </w:tcPr>
    </w:tblStylePr>
    <w:tblStylePr w:type="seCell">
      <w:rPr>
        <w:rFonts w:ascii="Yu Mincho" w:hAnsi="Yu Mincho"/>
        <w:sz w:val="18"/>
      </w:rPr>
    </w:tblStylePr>
    <w:tblStylePr w:type="swCell">
      <w:rPr>
        <w:rFonts w:ascii="Yu Mincho" w:hAnsi="Yu Mincho" w:cs="Times New Roman"/>
        <w:sz w:val="18"/>
      </w:rPr>
    </w:tblStylePr>
  </w:style>
  <w:style w:type="table" w:customStyle="1" w:styleId="CVtable11">
    <w:name w:val="CV table11"/>
    <w:basedOn w:val="TableNormal"/>
    <w:next w:val="TableGrid"/>
    <w:uiPriority w:val="59"/>
    <w:rsid w:val="00B758A1"/>
    <w:pPr>
      <w:spacing w:after="0" w:line="240" w:lineRule="auto"/>
    </w:pPr>
    <w:rPr>
      <w:rFonts w:ascii="Wingdings 3" w:eastAsia="Wingdings 3" w:hAnsi="Wingdings 3"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21">
    <w:name w:val="Plain Table 321"/>
    <w:basedOn w:val="TableNormal"/>
    <w:uiPriority w:val="43"/>
    <w:rsid w:val="00B758A1"/>
    <w:pPr>
      <w:spacing w:after="0" w:line="240" w:lineRule="auto"/>
    </w:pPr>
    <w:rPr>
      <w:rFonts w:ascii="Arial" w:hAnsi="Arial"/>
      <w:sz w:val="20"/>
      <w:szCs w:val="20"/>
      <w:lang w:val="nl-B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5E5E5E"/>
      </w:tcPr>
    </w:tblStylePr>
    <w:tblStylePr w:type="band1Horz">
      <w:tblPr/>
      <w:tcPr>
        <w:shd w:val="clear" w:color="auto" w:fill="5E5E5E"/>
      </w:tcPr>
    </w:tblStylePr>
    <w:tblStylePr w:type="neCell">
      <w:tblPr/>
      <w:tcPr>
        <w:tcBorders>
          <w:left w:val="nil"/>
        </w:tcBorders>
      </w:tcPr>
    </w:tblStylePr>
    <w:tblStylePr w:type="nwCell">
      <w:tblPr/>
      <w:tcPr>
        <w:tcBorders>
          <w:right w:val="nil"/>
        </w:tcBorders>
      </w:tcPr>
    </w:tblStylePr>
  </w:style>
  <w:style w:type="table" w:customStyle="1" w:styleId="PlainTable311">
    <w:name w:val="Plain Table 311"/>
    <w:basedOn w:val="TableNormal"/>
    <w:next w:val="TableNormal"/>
    <w:uiPriority w:val="43"/>
    <w:rsid w:val="00B758A1"/>
    <w:pPr>
      <w:spacing w:after="0" w:line="240" w:lineRule="auto"/>
    </w:pPr>
    <w:rPr>
      <w:rFonts w:ascii="Wingdings 3" w:hAnsi="Wingdings 3"/>
      <w:lang w:val="it-IT"/>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ListTable211">
    <w:name w:val="List Table 211"/>
    <w:basedOn w:val="TableNormal"/>
    <w:uiPriority w:val="47"/>
    <w:rsid w:val="00B758A1"/>
    <w:pPr>
      <w:spacing w:after="0" w:line="240" w:lineRule="auto"/>
    </w:pPr>
    <w:rPr>
      <w:lang w:val="it-IT"/>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PlainTable411">
    <w:name w:val="Plain Table 411"/>
    <w:basedOn w:val="TableNormal"/>
    <w:uiPriority w:val="44"/>
    <w:rsid w:val="00B758A1"/>
    <w:pPr>
      <w:spacing w:after="0" w:line="240" w:lineRule="auto"/>
    </w:pPr>
    <w:rPr>
      <w:lang w:val="it-IT"/>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5E5E5E"/>
      </w:tcPr>
    </w:tblStylePr>
    <w:tblStylePr w:type="band1Horz">
      <w:tblPr/>
      <w:tcPr>
        <w:shd w:val="clear" w:color="auto" w:fill="5E5E5E"/>
      </w:tcPr>
    </w:tblStylePr>
  </w:style>
  <w:style w:type="table" w:customStyle="1" w:styleId="PlainTable52">
    <w:name w:val="Plain Table 52"/>
    <w:basedOn w:val="TableNormal"/>
    <w:next w:val="PlainTable5"/>
    <w:uiPriority w:val="45"/>
    <w:rsid w:val="00B758A1"/>
    <w:pPr>
      <w:spacing w:after="0" w:line="240" w:lineRule="auto"/>
    </w:pPr>
    <w:rPr>
      <w:rFonts w:ascii="Arial" w:hAnsi="Arial"/>
      <w:sz w:val="20"/>
      <w:szCs w:val="20"/>
      <w:lang w:val="nl-BE"/>
    </w:rPr>
    <w:tblPr>
      <w:tblStyleRowBandSize w:val="1"/>
      <w:tblStyleColBandSize w:val="1"/>
    </w:tblPr>
    <w:tblStylePr w:type="firstRow">
      <w:rPr>
        <w:rFonts w:ascii="Yu Mincho" w:eastAsia="MS Gothic" w:hAnsi="Yu Mincho" w:cs="Times New Roman"/>
        <w:i/>
        <w:iCs/>
        <w:sz w:val="26"/>
      </w:rPr>
      <w:tblPr/>
      <w:tcPr>
        <w:tcBorders>
          <w:bottom w:val="single" w:sz="4" w:space="0" w:color="7F7F7F"/>
        </w:tcBorders>
        <w:shd w:val="clear" w:color="auto" w:fill="646464"/>
      </w:tcPr>
    </w:tblStylePr>
    <w:tblStylePr w:type="lastRow">
      <w:rPr>
        <w:rFonts w:ascii="Yu Mincho" w:eastAsia="MS Gothic" w:hAnsi="Yu Mincho" w:cs="Times New Roman"/>
        <w:i/>
        <w:iCs/>
        <w:sz w:val="26"/>
      </w:rPr>
      <w:tblPr/>
      <w:tcPr>
        <w:tcBorders>
          <w:top w:val="single" w:sz="4" w:space="0" w:color="7F7F7F"/>
        </w:tcBorders>
        <w:shd w:val="clear" w:color="auto" w:fill="646464"/>
      </w:tcPr>
    </w:tblStylePr>
    <w:tblStylePr w:type="firstCol">
      <w:pPr>
        <w:jc w:val="right"/>
      </w:pPr>
      <w:rPr>
        <w:rFonts w:ascii="Yu Mincho" w:eastAsia="MS Gothic" w:hAnsi="Yu Mincho" w:cs="Times New Roman"/>
        <w:i/>
        <w:iCs/>
        <w:sz w:val="26"/>
      </w:rPr>
      <w:tblPr/>
      <w:tcPr>
        <w:tcBorders>
          <w:right w:val="single" w:sz="4" w:space="0" w:color="7F7F7F"/>
        </w:tcBorders>
        <w:shd w:val="clear" w:color="auto" w:fill="646464"/>
      </w:tcPr>
    </w:tblStylePr>
    <w:tblStylePr w:type="lastCol">
      <w:rPr>
        <w:rFonts w:ascii="Yu Mincho" w:eastAsia="MS Gothic" w:hAnsi="Yu Mincho" w:cs="Times New Roman"/>
        <w:i/>
        <w:iCs/>
        <w:sz w:val="26"/>
      </w:rPr>
      <w:tblPr/>
      <w:tcPr>
        <w:tcBorders>
          <w:left w:val="single" w:sz="4" w:space="0" w:color="7F7F7F"/>
        </w:tcBorders>
        <w:shd w:val="clear" w:color="auto" w:fill="646464"/>
      </w:tcPr>
    </w:tblStylePr>
    <w:tblStylePr w:type="band1Vert">
      <w:tblPr/>
      <w:tcPr>
        <w:shd w:val="clear" w:color="auto" w:fill="5E5E5E"/>
      </w:tcPr>
    </w:tblStylePr>
    <w:tblStylePr w:type="band1Horz">
      <w:tblPr/>
      <w:tcPr>
        <w:shd w:val="clear" w:color="auto" w:fill="5E5E5E"/>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22">
    <w:name w:val="Grid Table 1 Light - Accent 22"/>
    <w:basedOn w:val="TableNormal"/>
    <w:next w:val="GridTable1Light-Accent2"/>
    <w:uiPriority w:val="46"/>
    <w:rsid w:val="00B758A1"/>
    <w:pPr>
      <w:spacing w:after="0" w:line="240" w:lineRule="auto"/>
    </w:pPr>
    <w:rPr>
      <w:rFonts w:ascii="Arial" w:hAnsi="Arial"/>
      <w:sz w:val="20"/>
      <w:szCs w:val="20"/>
      <w:lang w:val="nl-BE"/>
    </w:rPr>
    <w:tblPr>
      <w:tblStyleRowBandSize w:val="1"/>
      <w:tblStyleColBandSize w:val="1"/>
      <w:tblBorders>
        <w:top w:val="single" w:sz="4" w:space="0" w:color="FFF599"/>
        <w:left w:val="single" w:sz="4" w:space="0" w:color="FFF599"/>
        <w:bottom w:val="single" w:sz="4" w:space="0" w:color="FFF599"/>
        <w:right w:val="single" w:sz="4" w:space="0" w:color="FFF599"/>
        <w:insideH w:val="single" w:sz="4" w:space="0" w:color="FFF599"/>
        <w:insideV w:val="single" w:sz="4" w:space="0" w:color="FFF599"/>
      </w:tblBorders>
    </w:tblPr>
    <w:tblStylePr w:type="firstRow">
      <w:rPr>
        <w:b/>
        <w:bCs/>
      </w:rPr>
      <w:tblPr/>
      <w:tcPr>
        <w:tcBorders>
          <w:bottom w:val="single" w:sz="12" w:space="0" w:color="FFF066"/>
        </w:tcBorders>
      </w:tcPr>
    </w:tblStylePr>
    <w:tblStylePr w:type="lastRow">
      <w:rPr>
        <w:b/>
        <w:bCs/>
      </w:rPr>
      <w:tblPr/>
      <w:tcPr>
        <w:tcBorders>
          <w:top w:val="double" w:sz="2" w:space="0" w:color="FFF066"/>
        </w:tcBorders>
      </w:tcPr>
    </w:tblStylePr>
    <w:tblStylePr w:type="firstCol">
      <w:rPr>
        <w:b/>
        <w:bCs/>
      </w:rPr>
    </w:tblStylePr>
    <w:tblStylePr w:type="lastCol">
      <w:rPr>
        <w:b/>
        <w:bCs/>
      </w:rPr>
    </w:tblStylePr>
  </w:style>
  <w:style w:type="table" w:customStyle="1" w:styleId="GridTable1Light-Accent32">
    <w:name w:val="Grid Table 1 Light - Accent 32"/>
    <w:basedOn w:val="TableNormal"/>
    <w:next w:val="GridTable1Light-Accent3"/>
    <w:uiPriority w:val="46"/>
    <w:rsid w:val="00B758A1"/>
    <w:pPr>
      <w:spacing w:after="0" w:line="240" w:lineRule="auto"/>
    </w:pPr>
    <w:rPr>
      <w:rFonts w:ascii="Arial" w:hAnsi="Arial"/>
      <w:sz w:val="20"/>
      <w:szCs w:val="20"/>
      <w:lang w:val="nl-BE"/>
    </w:rPr>
    <w:tblPr>
      <w:tblStyleRowBandSize w:val="1"/>
      <w:tblStyleColBandSize w:val="1"/>
      <w:tblBorders>
        <w:top w:val="single" w:sz="4" w:space="0" w:color="D6D6D6"/>
        <w:left w:val="single" w:sz="4" w:space="0" w:color="D6D6D6"/>
        <w:bottom w:val="single" w:sz="4" w:space="0" w:color="D6D6D6"/>
        <w:right w:val="single" w:sz="4" w:space="0" w:color="D6D6D6"/>
        <w:insideH w:val="single" w:sz="4" w:space="0" w:color="D6D6D6"/>
        <w:insideV w:val="single" w:sz="4" w:space="0" w:color="D6D6D6"/>
      </w:tblBorders>
    </w:tblPr>
    <w:tblStylePr w:type="firstRow">
      <w:rPr>
        <w:b/>
        <w:bCs/>
      </w:rPr>
      <w:tblPr/>
      <w:tcPr>
        <w:tcBorders>
          <w:bottom w:val="single" w:sz="12" w:space="0" w:color="C1C1C1"/>
        </w:tcBorders>
      </w:tcPr>
    </w:tblStylePr>
    <w:tblStylePr w:type="lastRow">
      <w:rPr>
        <w:b/>
        <w:bCs/>
      </w:rPr>
      <w:tblPr/>
      <w:tcPr>
        <w:tcBorders>
          <w:top w:val="double" w:sz="2" w:space="0" w:color="C1C1C1"/>
        </w:tcBorders>
      </w:tcPr>
    </w:tblStylePr>
    <w:tblStylePr w:type="firstCol">
      <w:rPr>
        <w:b/>
        <w:bCs/>
      </w:rPr>
    </w:tblStylePr>
    <w:tblStylePr w:type="lastCol">
      <w:rPr>
        <w:b/>
        <w:bCs/>
      </w:rPr>
    </w:tblStylePr>
  </w:style>
  <w:style w:type="table" w:customStyle="1" w:styleId="LightList-Accent222111">
    <w:name w:val="Light List - Accent 222111"/>
    <w:basedOn w:val="TableNormal"/>
    <w:uiPriority w:val="61"/>
    <w:semiHidden/>
    <w:rsid w:val="00B758A1"/>
    <w:pPr>
      <w:spacing w:after="0" w:line="240" w:lineRule="auto"/>
    </w:pPr>
    <w:rPr>
      <w:rFonts w:ascii="Wingdings 3" w:eastAsia="Wingdings 3" w:hAnsi="Wingdings 3" w:cs="Times New Roman"/>
      <w:sz w:val="20"/>
      <w:szCs w:val="20"/>
      <w:lang w:val="nl-BE" w:eastAsia="nl-BE"/>
    </w:rPr>
    <w:tblPr>
      <w:tblStyleRowBandSize w:val="1"/>
      <w:tblStyleColBandSize w:val="1"/>
      <w:tblInd w:w="0" w:type="nil"/>
      <w:tblBorders>
        <w:top w:val="single" w:sz="8" w:space="0" w:color="FFE600"/>
        <w:left w:val="single" w:sz="8" w:space="0" w:color="FFE600"/>
        <w:bottom w:val="single" w:sz="8" w:space="0" w:color="FFE600"/>
        <w:right w:val="single" w:sz="8" w:space="0" w:color="FFE600"/>
      </w:tblBorders>
    </w:tblPr>
    <w:tblStylePr w:type="firstRow">
      <w:pPr>
        <w:spacing w:beforeLines="0" w:before="100" w:beforeAutospacing="1" w:afterLines="0" w:after="100" w:afterAutospacing="1" w:line="240" w:lineRule="auto"/>
      </w:pPr>
      <w:rPr>
        <w:b/>
        <w:bCs/>
        <w:color w:val="646464"/>
      </w:rPr>
      <w:tblPr/>
      <w:tcPr>
        <w:shd w:val="clear" w:color="auto" w:fill="FFE600"/>
      </w:tcPr>
    </w:tblStylePr>
    <w:tblStylePr w:type="lastRow">
      <w:pPr>
        <w:spacing w:beforeLines="0" w:before="100" w:beforeAutospacing="1" w:afterLines="0" w:after="100" w:afterAutospacing="1" w:line="240" w:lineRule="auto"/>
      </w:pPr>
      <w:rPr>
        <w:b/>
        <w:bCs/>
      </w:rPr>
      <w:tblPr/>
      <w:tcPr>
        <w:tcBorders>
          <w:top w:val="double" w:sz="6" w:space="0" w:color="FFE600"/>
          <w:left w:val="single" w:sz="8" w:space="0" w:color="FFE600"/>
          <w:bottom w:val="single" w:sz="8" w:space="0" w:color="FFE600"/>
          <w:right w:val="single" w:sz="8" w:space="0" w:color="FFE600"/>
        </w:tcBorders>
      </w:tcPr>
    </w:tblStylePr>
    <w:tblStylePr w:type="firstCol">
      <w:rPr>
        <w:b/>
        <w:bCs/>
      </w:rPr>
    </w:tblStylePr>
    <w:tblStylePr w:type="lastCol">
      <w:rPr>
        <w:b/>
        <w:bCs/>
      </w:rPr>
    </w:tblStylePr>
    <w:tblStylePr w:type="band1Vert">
      <w:tblPr/>
      <w:tcPr>
        <w:tcBorders>
          <w:top w:val="single" w:sz="8" w:space="0" w:color="FFE600"/>
          <w:left w:val="single" w:sz="8" w:space="0" w:color="FFE600"/>
          <w:bottom w:val="single" w:sz="8" w:space="0" w:color="FFE600"/>
          <w:right w:val="single" w:sz="8" w:space="0" w:color="FFE600"/>
        </w:tcBorders>
      </w:tcPr>
    </w:tblStylePr>
    <w:tblStylePr w:type="band1Horz">
      <w:tblPr/>
      <w:tcPr>
        <w:tcBorders>
          <w:top w:val="single" w:sz="8" w:space="0" w:color="FFE600"/>
          <w:left w:val="single" w:sz="8" w:space="0" w:color="FFE600"/>
          <w:bottom w:val="single" w:sz="8" w:space="0" w:color="FFE600"/>
          <w:right w:val="single" w:sz="8" w:space="0" w:color="FFE600"/>
        </w:tcBorders>
      </w:tcPr>
    </w:tblStylePr>
  </w:style>
  <w:style w:type="table" w:customStyle="1" w:styleId="LightList-Accent22411">
    <w:name w:val="Light List - Accent 22411"/>
    <w:basedOn w:val="TableNormal"/>
    <w:uiPriority w:val="61"/>
    <w:semiHidden/>
    <w:rsid w:val="00B758A1"/>
    <w:pPr>
      <w:spacing w:after="0" w:line="240" w:lineRule="auto"/>
    </w:pPr>
    <w:rPr>
      <w:rFonts w:ascii="Wingdings 3" w:eastAsia="Wingdings 3" w:hAnsi="Wingdings 3" w:cs="Times New Roman"/>
      <w:sz w:val="20"/>
      <w:szCs w:val="20"/>
      <w:lang w:val="nl-BE" w:eastAsia="nl-BE"/>
    </w:rPr>
    <w:tblPr>
      <w:tblStyleRowBandSize w:val="1"/>
      <w:tblStyleColBandSize w:val="1"/>
      <w:tblInd w:w="0" w:type="nil"/>
      <w:tblBorders>
        <w:top w:val="single" w:sz="8" w:space="0" w:color="FFE600"/>
        <w:left w:val="single" w:sz="8" w:space="0" w:color="FFE600"/>
        <w:bottom w:val="single" w:sz="8" w:space="0" w:color="FFE600"/>
        <w:right w:val="single" w:sz="8" w:space="0" w:color="FFE600"/>
      </w:tblBorders>
    </w:tblPr>
    <w:tblStylePr w:type="firstRow">
      <w:pPr>
        <w:spacing w:beforeLines="0" w:before="100" w:beforeAutospacing="1" w:afterLines="0" w:after="100" w:afterAutospacing="1" w:line="240" w:lineRule="auto"/>
      </w:pPr>
      <w:rPr>
        <w:b/>
        <w:bCs/>
        <w:color w:val="646464"/>
      </w:rPr>
      <w:tblPr/>
      <w:tcPr>
        <w:shd w:val="clear" w:color="auto" w:fill="FFE600"/>
      </w:tcPr>
    </w:tblStylePr>
    <w:tblStylePr w:type="lastRow">
      <w:pPr>
        <w:spacing w:beforeLines="0" w:before="100" w:beforeAutospacing="1" w:afterLines="0" w:after="100" w:afterAutospacing="1" w:line="240" w:lineRule="auto"/>
      </w:pPr>
      <w:rPr>
        <w:b/>
        <w:bCs/>
      </w:rPr>
      <w:tblPr/>
      <w:tcPr>
        <w:tcBorders>
          <w:top w:val="double" w:sz="6" w:space="0" w:color="FFE600"/>
          <w:left w:val="single" w:sz="8" w:space="0" w:color="FFE600"/>
          <w:bottom w:val="single" w:sz="8" w:space="0" w:color="FFE600"/>
          <w:right w:val="single" w:sz="8" w:space="0" w:color="FFE600"/>
        </w:tcBorders>
      </w:tcPr>
    </w:tblStylePr>
    <w:tblStylePr w:type="firstCol">
      <w:rPr>
        <w:b/>
        <w:bCs/>
      </w:rPr>
    </w:tblStylePr>
    <w:tblStylePr w:type="lastCol">
      <w:rPr>
        <w:b/>
        <w:bCs/>
      </w:rPr>
    </w:tblStylePr>
    <w:tblStylePr w:type="band1Vert">
      <w:tblPr/>
      <w:tcPr>
        <w:tcBorders>
          <w:top w:val="single" w:sz="8" w:space="0" w:color="FFE600"/>
          <w:left w:val="single" w:sz="8" w:space="0" w:color="FFE600"/>
          <w:bottom w:val="single" w:sz="8" w:space="0" w:color="FFE600"/>
          <w:right w:val="single" w:sz="8" w:space="0" w:color="FFE600"/>
        </w:tcBorders>
      </w:tcPr>
    </w:tblStylePr>
    <w:tblStylePr w:type="band1Horz">
      <w:tblPr/>
      <w:tcPr>
        <w:tcBorders>
          <w:top w:val="single" w:sz="8" w:space="0" w:color="FFE600"/>
          <w:left w:val="single" w:sz="8" w:space="0" w:color="FFE600"/>
          <w:bottom w:val="single" w:sz="8" w:space="0" w:color="FFE600"/>
          <w:right w:val="single" w:sz="8" w:space="0" w:color="FFE600"/>
        </w:tcBorders>
      </w:tcPr>
    </w:tblStylePr>
  </w:style>
  <w:style w:type="table" w:customStyle="1" w:styleId="Table-standard83">
    <w:name w:val="Table - standard83"/>
    <w:basedOn w:val="TableNormal"/>
    <w:rsid w:val="00B758A1"/>
    <w:pPr>
      <w:spacing w:after="0" w:line="240" w:lineRule="auto"/>
    </w:pPr>
    <w:rPr>
      <w:rFonts w:ascii="Arial" w:eastAsia="Times New Roman" w:hAnsi="Arial" w:cs="Times New Roman"/>
      <w:sz w:val="18"/>
      <w:szCs w:val="20"/>
      <w:lang w:val="fr-FR" w:eastAsia="fr-F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7E6E6"/>
      <w:vAlign w:val="center"/>
    </w:tcPr>
    <w:tblStylePr w:type="firstRow">
      <w:pPr>
        <w:jc w:val="left"/>
      </w:pPr>
      <w:rPr>
        <w:rFonts w:ascii="Yu Mincho" w:hAnsi="Yu Mincho"/>
        <w:b/>
        <w:color w:val="auto"/>
        <w:sz w:val="18"/>
      </w:rPr>
      <w:tblPr/>
      <w:tcPr>
        <w:shd w:val="clear" w:color="auto" w:fill="FFE600"/>
      </w:tcPr>
    </w:tblStylePr>
    <w:tblStylePr w:type="lastRow">
      <w:rPr>
        <w:rFonts w:ascii="Yu Mincho" w:hAnsi="Yu Mincho"/>
      </w:rPr>
    </w:tblStylePr>
    <w:tblStylePr w:type="firstCol">
      <w:rPr>
        <w:rFonts w:ascii="Yu Mincho" w:hAnsi="Yu Mincho"/>
      </w:rPr>
      <w:tblPr/>
      <w:tcPr>
        <w:shd w:val="clear" w:color="auto" w:fill="D0CECE"/>
      </w:tcPr>
    </w:tblStylePr>
    <w:tblStylePr w:type="lastCol">
      <w:rPr>
        <w:rFonts w:ascii="Yu Mincho" w:hAnsi="Yu Mincho"/>
      </w:rPr>
    </w:tblStylePr>
    <w:tblStylePr w:type="band1Vert">
      <w:rPr>
        <w:rFonts w:ascii="Yu Mincho" w:hAnsi="Yu Mincho"/>
      </w:rPr>
    </w:tblStylePr>
    <w:tblStylePr w:type="band2Vert">
      <w:rPr>
        <w:rFonts w:ascii="Yu Mincho" w:hAnsi="Yu Mincho"/>
      </w:rPr>
    </w:tblStylePr>
    <w:tblStylePr w:type="band1Horz">
      <w:rPr>
        <w:rFonts w:ascii="Yu Mincho" w:hAnsi="Yu Mincho"/>
      </w:rPr>
    </w:tblStylePr>
    <w:tblStylePr w:type="band2Horz">
      <w:rPr>
        <w:rFonts w:ascii="Yu Mincho" w:hAnsi="Yu Mincho"/>
      </w:rPr>
    </w:tblStylePr>
    <w:tblStylePr w:type="neCell">
      <w:rPr>
        <w:rFonts w:ascii="Yu Mincho" w:hAnsi="Yu Mincho"/>
      </w:rPr>
    </w:tblStylePr>
    <w:tblStylePr w:type="nwCell">
      <w:rPr>
        <w:rFonts w:ascii="Yu Mincho" w:hAnsi="Yu Mincho"/>
      </w:rPr>
    </w:tblStylePr>
    <w:tblStylePr w:type="seCell">
      <w:rPr>
        <w:rFonts w:ascii="Yu Mincho" w:hAnsi="Yu Mincho"/>
      </w:rPr>
    </w:tblStylePr>
    <w:tblStylePr w:type="swCell">
      <w:rPr>
        <w:rFonts w:ascii="Yu Mincho" w:hAnsi="Yu Mincho"/>
      </w:rPr>
    </w:tblStylePr>
  </w:style>
  <w:style w:type="table" w:customStyle="1" w:styleId="Table-standard121">
    <w:name w:val="Table - standard121"/>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Table-standard131">
    <w:name w:val="Table - standard131"/>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Table-standard141">
    <w:name w:val="Table - standard141"/>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EYTable21">
    <w:name w:val="EY Table 21"/>
    <w:basedOn w:val="TableGrid"/>
    <w:next w:val="TableNormal"/>
    <w:rsid w:val="00B758A1"/>
    <w:pPr>
      <w:overflowPunct w:val="0"/>
      <w:autoSpaceDE w:val="0"/>
      <w:autoSpaceDN w:val="0"/>
      <w:adjustRightInd w:val="0"/>
      <w:textAlignment w:val="baseline"/>
    </w:pPr>
    <w:rPr>
      <w:rFonts w:ascii="Arial" w:hAnsi="Arial"/>
      <w:sz w:val="18"/>
      <w:lang w:val="en-US" w:eastAsia="en-US"/>
    </w:rPr>
    <w:tblPr>
      <w:tblStyleRowBandSize w:val="1"/>
      <w:tblInd w:w="108" w:type="dxa"/>
      <w:tblBorders>
        <w:top w:val="none" w:sz="0" w:space="0" w:color="auto"/>
        <w:left w:val="none" w:sz="0" w:space="0" w:color="auto"/>
        <w:bottom w:val="none" w:sz="0" w:space="0" w:color="auto"/>
        <w:right w:val="none" w:sz="0" w:space="0" w:color="auto"/>
        <w:insideH w:val="single" w:sz="8" w:space="0" w:color="FFFFFF"/>
        <w:insideV w:val="single" w:sz="8" w:space="0" w:color="FFFFFF"/>
      </w:tblBorders>
      <w:tblCellMar>
        <w:top w:w="57" w:type="dxa"/>
        <w:bottom w:w="57" w:type="dxa"/>
      </w:tblCellMar>
    </w:tblPr>
    <w:tcPr>
      <w:shd w:val="clear" w:color="auto" w:fill="F0F0F0"/>
    </w:tcPr>
    <w:tblStylePr w:type="firstRow">
      <w:rPr>
        <w:rFonts w:ascii="Yu Mincho" w:hAnsi="Yu Mincho"/>
        <w:b/>
        <w:i w:val="0"/>
        <w:color w:val="646464"/>
        <w:sz w:val="20"/>
      </w:rPr>
      <w:tblPr/>
      <w:tcPr>
        <w:shd w:val="clear" w:color="auto" w:fill="FFE600"/>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table" w:customStyle="1" w:styleId="CV111123">
    <w:name w:val="CV111123"/>
    <w:basedOn w:val="TableNormal"/>
    <w:next w:val="TableGrid"/>
    <w:rsid w:val="00B758A1"/>
    <w:pPr>
      <w:spacing w:after="0" w:line="240" w:lineRule="auto"/>
    </w:pPr>
    <w:rPr>
      <w:rFonts w:ascii="Arial" w:eastAsia="Yu Gothic UI Light" w:hAnsi="Arial" w:cs="Yu Gothic UI Light"/>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cs="Times New Roman"/>
        <w:b/>
        <w:color w:val="FFFFFF"/>
      </w:rPr>
      <w:tblPr/>
      <w:tcPr>
        <w:shd w:val="clear" w:color="auto" w:fill="00AEF0"/>
      </w:tcPr>
    </w:tblStylePr>
  </w:style>
  <w:style w:type="table" w:customStyle="1" w:styleId="Table-standard42">
    <w:name w:val="Table - standard42"/>
    <w:basedOn w:val="TableNormal"/>
    <w:rsid w:val="00B758A1"/>
    <w:pPr>
      <w:spacing w:after="0" w:line="240" w:lineRule="auto"/>
    </w:pPr>
    <w:rPr>
      <w:rFonts w:ascii="Arial" w:eastAsia="Times New Roman" w:hAnsi="Arial"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Table-standard114">
    <w:name w:val="Table - standard114"/>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none13">
    <w:name w:val="none13"/>
    <w:basedOn w:val="TableNormal"/>
    <w:next w:val="TableGrid"/>
    <w:uiPriority w:val="59"/>
    <w:rsid w:val="00B758A1"/>
    <w:pPr>
      <w:spacing w:after="0" w:line="240" w:lineRule="auto"/>
    </w:pPr>
    <w:rPr>
      <w:rFonts w:ascii="Arial" w:hAnsi="Arial"/>
      <w:sz w:val="20"/>
      <w:szCs w:val="20"/>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12">
    <w:name w:val="Light Shading - Accent 3112"/>
    <w:basedOn w:val="TableNormal"/>
    <w:next w:val="LightShading-Accent3"/>
    <w:uiPriority w:val="60"/>
    <w:rsid w:val="00B758A1"/>
    <w:pPr>
      <w:spacing w:after="0" w:line="240" w:lineRule="auto"/>
    </w:pPr>
    <w:rPr>
      <w:rFonts w:ascii="Arial" w:hAnsi="Arial"/>
      <w:color w:val="727272"/>
      <w:sz w:val="20"/>
      <w:szCs w:val="20"/>
      <w:lang w:val="nl-BE"/>
    </w:rPr>
    <w:tblPr>
      <w:tblStyleRowBandSize w:val="1"/>
      <w:tblStyleColBandSize w:val="1"/>
      <w:tblBorders>
        <w:top w:val="single" w:sz="8" w:space="0" w:color="999999"/>
        <w:bottom w:val="single" w:sz="8" w:space="0" w:color="999999"/>
      </w:tblBorders>
    </w:tblPr>
    <w:tblStylePr w:type="firstRow">
      <w:pPr>
        <w:spacing w:before="0" w:after="0" w:line="240" w:lineRule="auto"/>
      </w:pPr>
      <w:rPr>
        <w:b/>
        <w:bCs/>
      </w:rPr>
      <w:tblPr/>
      <w:tcPr>
        <w:tcBorders>
          <w:top w:val="single" w:sz="8" w:space="0" w:color="999999"/>
          <w:left w:val="nil"/>
          <w:bottom w:val="single" w:sz="8" w:space="0" w:color="999999"/>
          <w:right w:val="nil"/>
          <w:insideH w:val="nil"/>
          <w:insideV w:val="nil"/>
        </w:tcBorders>
      </w:tcPr>
    </w:tblStylePr>
    <w:tblStylePr w:type="lastRow">
      <w:pPr>
        <w:spacing w:before="0" w:after="0" w:line="240" w:lineRule="auto"/>
      </w:pPr>
      <w:rPr>
        <w:b/>
        <w:bCs/>
      </w:rPr>
      <w:tblPr/>
      <w:tcPr>
        <w:tcBorders>
          <w:top w:val="single" w:sz="8" w:space="0" w:color="999999"/>
          <w:left w:val="nil"/>
          <w:bottom w:val="single" w:sz="8" w:space="0" w:color="99999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Table-standard52">
    <w:name w:val="Table - standard52"/>
    <w:basedOn w:val="TableNormal"/>
    <w:rsid w:val="00B758A1"/>
    <w:pPr>
      <w:spacing w:after="0" w:line="240" w:lineRule="auto"/>
    </w:pPr>
    <w:rPr>
      <w:rFonts w:ascii="Arial" w:eastAsia="Times New Roman" w:hAnsi="Arial"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Table-standard62">
    <w:name w:val="Table - standard62"/>
    <w:basedOn w:val="TableNormal"/>
    <w:rsid w:val="00B758A1"/>
    <w:pPr>
      <w:spacing w:after="0" w:line="240" w:lineRule="auto"/>
    </w:pPr>
    <w:rPr>
      <w:rFonts w:ascii="Arial" w:eastAsia="Times New Roman" w:hAnsi="Arial"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Table-standard72">
    <w:name w:val="Table - standard72"/>
    <w:basedOn w:val="TableNormal"/>
    <w:rsid w:val="00B758A1"/>
    <w:pPr>
      <w:spacing w:after="0" w:line="240" w:lineRule="auto"/>
    </w:pPr>
    <w:rPr>
      <w:rFonts w:ascii="Arial" w:eastAsia="Times New Roman" w:hAnsi="Arial"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none22">
    <w:name w:val="none22"/>
    <w:basedOn w:val="TableNormal"/>
    <w:next w:val="TableGrid"/>
    <w:uiPriority w:val="39"/>
    <w:rsid w:val="00B758A1"/>
    <w:pPr>
      <w:spacing w:after="0" w:line="240" w:lineRule="auto"/>
    </w:pPr>
    <w:rPr>
      <w:rFonts w:ascii="Yu Gothic UI Light" w:eastAsia="Times New Roman" w:hAnsi="Yu Gothic UI Light" w:cs="Times New Roman"/>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cs="Times New Roman"/>
        <w:color w:val="FFFFFF"/>
      </w:rPr>
      <w:tblPr/>
      <w:tcPr>
        <w:shd w:val="clear" w:color="auto" w:fill="00AEF0"/>
      </w:tcPr>
    </w:tblStylePr>
  </w:style>
  <w:style w:type="table" w:customStyle="1" w:styleId="none112">
    <w:name w:val="none112"/>
    <w:basedOn w:val="TableNormal"/>
    <w:next w:val="TableGrid"/>
    <w:uiPriority w:val="59"/>
    <w:rsid w:val="00B758A1"/>
    <w:pPr>
      <w:spacing w:after="0" w:line="240" w:lineRule="auto"/>
    </w:pPr>
    <w:rPr>
      <w:rFonts w:ascii="Yu Gothic UI Light" w:eastAsia="Times New Roman" w:hAnsi="Yu Gothic UI Light" w:cs="Times New Roman"/>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cs="Times New Roman"/>
        <w:color w:val="FFFFFF"/>
      </w:rPr>
      <w:tblPr/>
      <w:tcPr>
        <w:shd w:val="clear" w:color="auto" w:fill="00AEF0"/>
      </w:tcPr>
    </w:tblStylePr>
  </w:style>
  <w:style w:type="table" w:customStyle="1" w:styleId="Table-standard311">
    <w:name w:val="Table - standard311"/>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Tabellenraster101">
    <w:name w:val="Tabellenraster101"/>
    <w:basedOn w:val="TableNormal"/>
    <w:rsid w:val="00B758A1"/>
    <w:pPr>
      <w:spacing w:after="0" w:line="320" w:lineRule="atLeast"/>
    </w:pPr>
    <w:rPr>
      <w:rFonts w:ascii="Times New Roman" w:eastAsia="Times New Roman" w:hAnsi="Times New Roman" w:cs="Times New Roman"/>
      <w:sz w:val="20"/>
      <w:szCs w:val="20"/>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andard92">
    <w:name w:val="Table - standard92"/>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b/>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GridTable3-Accent41">
    <w:name w:val="Grid Table 3 - Accent 41"/>
    <w:basedOn w:val="TableNormal"/>
    <w:next w:val="GridTable3-Accent4"/>
    <w:uiPriority w:val="48"/>
    <w:rsid w:val="00B758A1"/>
    <w:pPr>
      <w:spacing w:after="0" w:line="240" w:lineRule="auto"/>
    </w:pPr>
    <w:rPr>
      <w:rFonts w:ascii="Arial" w:hAnsi="Arial"/>
      <w:sz w:val="20"/>
      <w:szCs w:val="20"/>
      <w:lang w:val="nl-BE"/>
    </w:rPr>
    <w:tblPr>
      <w:tblStyleRowBandSize w:val="1"/>
      <w:tblStyleColBandSize w:val="1"/>
      <w:tblBorders>
        <w:top w:val="single" w:sz="4" w:space="0" w:color="F6F6F6"/>
        <w:left w:val="single" w:sz="4" w:space="0" w:color="F6F6F6"/>
        <w:bottom w:val="single" w:sz="4" w:space="0" w:color="F6F6F6"/>
        <w:right w:val="single" w:sz="4" w:space="0" w:color="F6F6F6"/>
        <w:insideH w:val="single" w:sz="4" w:space="0" w:color="F6F6F6"/>
        <w:insideV w:val="single" w:sz="4" w:space="0" w:color="F6F6F6"/>
      </w:tblBorders>
    </w:tblPr>
    <w:tblStylePr w:type="firstRow">
      <w:rPr>
        <w:b/>
        <w:bCs/>
      </w:rPr>
      <w:tblPr/>
      <w:tcPr>
        <w:tcBorders>
          <w:top w:val="nil"/>
          <w:left w:val="nil"/>
          <w:right w:val="nil"/>
          <w:insideH w:val="nil"/>
          <w:insideV w:val="nil"/>
        </w:tcBorders>
        <w:shd w:val="clear" w:color="auto" w:fill="646464"/>
      </w:tcPr>
    </w:tblStylePr>
    <w:tblStylePr w:type="lastRow">
      <w:rPr>
        <w:b/>
        <w:bCs/>
      </w:rPr>
      <w:tblPr/>
      <w:tcPr>
        <w:tcBorders>
          <w:left w:val="nil"/>
          <w:bottom w:val="nil"/>
          <w:right w:val="nil"/>
          <w:insideH w:val="nil"/>
          <w:insideV w:val="nil"/>
        </w:tcBorders>
        <w:shd w:val="clear" w:color="auto" w:fill="646464"/>
      </w:tcPr>
    </w:tblStylePr>
    <w:tblStylePr w:type="firstCol">
      <w:pPr>
        <w:jc w:val="right"/>
      </w:pPr>
      <w:rPr>
        <w:i/>
        <w:iCs/>
      </w:rPr>
      <w:tblPr/>
      <w:tcPr>
        <w:tcBorders>
          <w:top w:val="nil"/>
          <w:left w:val="nil"/>
          <w:bottom w:val="nil"/>
          <w:insideH w:val="nil"/>
          <w:insideV w:val="nil"/>
        </w:tcBorders>
        <w:shd w:val="clear" w:color="auto" w:fill="646464"/>
      </w:tcPr>
    </w:tblStylePr>
    <w:tblStylePr w:type="lastCol">
      <w:rPr>
        <w:i/>
        <w:iCs/>
      </w:rPr>
      <w:tblPr/>
      <w:tcPr>
        <w:tcBorders>
          <w:top w:val="nil"/>
          <w:bottom w:val="nil"/>
          <w:right w:val="nil"/>
          <w:insideH w:val="nil"/>
          <w:insideV w:val="nil"/>
        </w:tcBorders>
        <w:shd w:val="clear" w:color="auto" w:fill="646464"/>
      </w:tcPr>
    </w:tblStylePr>
    <w:tblStylePr w:type="band1Vert">
      <w:tblPr/>
      <w:tcPr>
        <w:shd w:val="clear" w:color="auto" w:fill="FCFCFC"/>
      </w:tcPr>
    </w:tblStylePr>
    <w:tblStylePr w:type="band1Horz">
      <w:tblPr/>
      <w:tcPr>
        <w:shd w:val="clear" w:color="auto" w:fill="FCFCFC"/>
      </w:tcPr>
    </w:tblStylePr>
    <w:tblStylePr w:type="neCell">
      <w:tblPr/>
      <w:tcPr>
        <w:tcBorders>
          <w:bottom w:val="single" w:sz="4" w:space="0" w:color="F6F6F6"/>
        </w:tcBorders>
      </w:tcPr>
    </w:tblStylePr>
    <w:tblStylePr w:type="nwCell">
      <w:tblPr/>
      <w:tcPr>
        <w:tcBorders>
          <w:bottom w:val="single" w:sz="4" w:space="0" w:color="F6F6F6"/>
        </w:tcBorders>
      </w:tcPr>
    </w:tblStylePr>
    <w:tblStylePr w:type="seCell">
      <w:tblPr/>
      <w:tcPr>
        <w:tcBorders>
          <w:top w:val="single" w:sz="4" w:space="0" w:color="F6F6F6"/>
        </w:tcBorders>
      </w:tcPr>
    </w:tblStylePr>
    <w:tblStylePr w:type="swCell">
      <w:tblPr/>
      <w:tcPr>
        <w:tcBorders>
          <w:top w:val="single" w:sz="4" w:space="0" w:color="F6F6F6"/>
        </w:tcBorders>
      </w:tcPr>
    </w:tblStylePr>
  </w:style>
  <w:style w:type="table" w:customStyle="1" w:styleId="ListTable3-Accent11">
    <w:name w:val="List Table 3 - Accent 11"/>
    <w:basedOn w:val="TableNormal"/>
    <w:next w:val="ListTable3-Accent1"/>
    <w:uiPriority w:val="48"/>
    <w:rsid w:val="00B758A1"/>
    <w:pPr>
      <w:spacing w:after="0" w:line="240" w:lineRule="auto"/>
    </w:pPr>
    <w:rPr>
      <w:rFonts w:ascii="Arial" w:hAnsi="Arial"/>
      <w:sz w:val="20"/>
      <w:szCs w:val="20"/>
      <w:lang w:val="nl-BE"/>
    </w:rPr>
    <w:tblPr>
      <w:tblStyleRowBandSize w:val="1"/>
      <w:tblStyleColBandSize w:val="1"/>
      <w:tblBorders>
        <w:top w:val="single" w:sz="4" w:space="0" w:color="7F7E82"/>
        <w:left w:val="single" w:sz="4" w:space="0" w:color="7F7E82"/>
        <w:bottom w:val="single" w:sz="4" w:space="0" w:color="7F7E82"/>
        <w:right w:val="single" w:sz="4" w:space="0" w:color="7F7E82"/>
      </w:tblBorders>
    </w:tblPr>
    <w:tblStylePr w:type="firstRow">
      <w:rPr>
        <w:b/>
        <w:bCs/>
        <w:color w:val="646464"/>
      </w:rPr>
      <w:tblPr/>
      <w:tcPr>
        <w:shd w:val="clear" w:color="auto" w:fill="7F7E82"/>
      </w:tcPr>
    </w:tblStylePr>
    <w:tblStylePr w:type="lastRow">
      <w:rPr>
        <w:b/>
        <w:bCs/>
      </w:rPr>
      <w:tblPr/>
      <w:tcPr>
        <w:tcBorders>
          <w:top w:val="double" w:sz="4" w:space="0" w:color="7F7E82"/>
        </w:tcBorders>
        <w:shd w:val="clear" w:color="auto" w:fill="646464"/>
      </w:tcPr>
    </w:tblStylePr>
    <w:tblStylePr w:type="firstCol">
      <w:rPr>
        <w:b/>
        <w:bCs/>
      </w:rPr>
      <w:tblPr/>
      <w:tcPr>
        <w:tcBorders>
          <w:right w:val="nil"/>
        </w:tcBorders>
        <w:shd w:val="clear" w:color="auto" w:fill="646464"/>
      </w:tcPr>
    </w:tblStylePr>
    <w:tblStylePr w:type="lastCol">
      <w:rPr>
        <w:b/>
        <w:bCs/>
      </w:rPr>
      <w:tblPr/>
      <w:tcPr>
        <w:tcBorders>
          <w:left w:val="nil"/>
        </w:tcBorders>
        <w:shd w:val="clear" w:color="auto" w:fill="646464"/>
      </w:tcPr>
    </w:tblStylePr>
    <w:tblStylePr w:type="band1Vert">
      <w:tblPr/>
      <w:tcPr>
        <w:tcBorders>
          <w:left w:val="single" w:sz="4" w:space="0" w:color="7F7E82"/>
          <w:right w:val="single" w:sz="4" w:space="0" w:color="7F7E82"/>
        </w:tcBorders>
      </w:tcPr>
    </w:tblStylePr>
    <w:tblStylePr w:type="band1Horz">
      <w:tblPr/>
      <w:tcPr>
        <w:tcBorders>
          <w:top w:val="single" w:sz="4" w:space="0" w:color="7F7E82"/>
          <w:bottom w:val="single" w:sz="4" w:space="0" w:color="7F7E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F7E82"/>
          <w:left w:val="nil"/>
        </w:tcBorders>
      </w:tcPr>
    </w:tblStylePr>
    <w:tblStylePr w:type="swCell">
      <w:tblPr/>
      <w:tcPr>
        <w:tcBorders>
          <w:top w:val="double" w:sz="4" w:space="0" w:color="7F7E82"/>
          <w:right w:val="nil"/>
        </w:tcBorders>
      </w:tcPr>
    </w:tblStylePr>
  </w:style>
  <w:style w:type="table" w:customStyle="1" w:styleId="GridTable1Light-Accent41">
    <w:name w:val="Grid Table 1 Light - Accent 41"/>
    <w:basedOn w:val="TableNormal"/>
    <w:next w:val="GridTable1Light-Accent4"/>
    <w:uiPriority w:val="46"/>
    <w:rsid w:val="00B758A1"/>
    <w:pPr>
      <w:spacing w:after="0" w:line="240" w:lineRule="auto"/>
    </w:pPr>
    <w:rPr>
      <w:rFonts w:ascii="Arial" w:hAnsi="Arial"/>
      <w:sz w:val="20"/>
      <w:szCs w:val="20"/>
      <w:lang w:val="nl-BE"/>
    </w:rPr>
    <w:tblPr>
      <w:tblStyleRowBandSize w:val="1"/>
      <w:tblStyleColBandSize w:val="1"/>
      <w:tblBorders>
        <w:top w:val="single" w:sz="4" w:space="0" w:color="F9F9F9"/>
        <w:left w:val="single" w:sz="4" w:space="0" w:color="F9F9F9"/>
        <w:bottom w:val="single" w:sz="4" w:space="0" w:color="F9F9F9"/>
        <w:right w:val="single" w:sz="4" w:space="0" w:color="F9F9F9"/>
        <w:insideH w:val="single" w:sz="4" w:space="0" w:color="F9F9F9"/>
        <w:insideV w:val="single" w:sz="4" w:space="0" w:color="F9F9F9"/>
      </w:tblBorders>
    </w:tblPr>
    <w:tblStylePr w:type="firstRow">
      <w:rPr>
        <w:b/>
        <w:bCs/>
      </w:rPr>
      <w:tblPr/>
      <w:tcPr>
        <w:tcBorders>
          <w:bottom w:val="single" w:sz="12" w:space="0" w:color="F6F6F6"/>
        </w:tcBorders>
      </w:tcPr>
    </w:tblStylePr>
    <w:tblStylePr w:type="lastRow">
      <w:rPr>
        <w:b/>
        <w:bCs/>
      </w:rPr>
      <w:tblPr/>
      <w:tcPr>
        <w:tcBorders>
          <w:top w:val="double" w:sz="2" w:space="0" w:color="F6F6F6"/>
        </w:tcBorders>
      </w:tcPr>
    </w:tblStylePr>
    <w:tblStylePr w:type="firstCol">
      <w:rPr>
        <w:b/>
        <w:bCs/>
      </w:rPr>
    </w:tblStylePr>
    <w:tblStylePr w:type="lastCol">
      <w:rPr>
        <w:b/>
        <w:bCs/>
      </w:rPr>
    </w:tblStylePr>
  </w:style>
  <w:style w:type="table" w:customStyle="1" w:styleId="Table-standard911">
    <w:name w:val="Table - standard911"/>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b/>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Table-standard511">
    <w:name w:val="Table - standard511"/>
    <w:basedOn w:val="TableNormal"/>
    <w:rsid w:val="00B758A1"/>
    <w:pPr>
      <w:spacing w:after="0" w:line="240" w:lineRule="auto"/>
    </w:pPr>
    <w:rPr>
      <w:rFonts w:ascii="Wingdings 3" w:eastAsia="Times New Roman" w:hAnsi="Wingdings 3"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Table-standard101">
    <w:name w:val="Table - standard101"/>
    <w:basedOn w:val="TableNormal"/>
    <w:rsid w:val="00B758A1"/>
    <w:pPr>
      <w:numPr>
        <w:numId w:val="23"/>
      </w:numPr>
      <w:tabs>
        <w:tab w:val="num" w:pos="360"/>
      </w:tabs>
      <w:spacing w:after="0" w:line="240" w:lineRule="auto"/>
      <w:ind w:left="360"/>
    </w:pPr>
    <w:rPr>
      <w:rFonts w:ascii="Wingdings 3" w:eastAsia="Cambria Math" w:hAnsi="Wingdings 3" w:cs="Cambria Math"/>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Bahnschrift Condensed" w:hAnsi="Bahnschrift Condensed"/>
        <w:sz w:val="18"/>
      </w:rPr>
      <w:tblPr/>
      <w:tcPr>
        <w:shd w:val="clear" w:color="auto" w:fill="FFC000"/>
      </w:tcPr>
    </w:tblStylePr>
    <w:tblStylePr w:type="lastRow">
      <w:rPr>
        <w:rFonts w:ascii="Bahnschrift Condensed" w:hAnsi="Bahnschrift Condensed"/>
      </w:rPr>
    </w:tblStylePr>
  </w:style>
  <w:style w:type="table" w:customStyle="1" w:styleId="Table-standard161">
    <w:name w:val="Table - standard161"/>
    <w:basedOn w:val="TableNormal"/>
    <w:rsid w:val="00B758A1"/>
    <w:pPr>
      <w:tabs>
        <w:tab w:val="num" w:pos="720"/>
      </w:tabs>
      <w:spacing w:after="0" w:line="240" w:lineRule="auto"/>
      <w:ind w:left="720" w:hanging="720"/>
    </w:pPr>
    <w:rPr>
      <w:rFonts w:ascii="Wingdings 3" w:eastAsia="Times New Roman" w:hAnsi="Wingdings 3"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LightShading-Accent3122">
    <w:name w:val="Light Shading - Accent 3122"/>
    <w:basedOn w:val="TableNormal"/>
    <w:next w:val="LightShading-Accent3"/>
    <w:uiPriority w:val="60"/>
    <w:rsid w:val="00B758A1"/>
    <w:pPr>
      <w:spacing w:after="0" w:line="240" w:lineRule="auto"/>
    </w:pPr>
    <w:rPr>
      <w:rFonts w:ascii="Wingdings 3" w:hAnsi="Wingdings 3"/>
      <w:color w:val="727272"/>
      <w:sz w:val="20"/>
      <w:szCs w:val="20"/>
      <w:lang w:val="nl-BE"/>
    </w:rPr>
    <w:tblPr>
      <w:tblStyleRowBandSize w:val="1"/>
      <w:tblStyleColBandSize w:val="1"/>
      <w:tblBorders>
        <w:top w:val="single" w:sz="8" w:space="0" w:color="999999"/>
        <w:bottom w:val="single" w:sz="8" w:space="0" w:color="999999"/>
      </w:tblBorders>
    </w:tblPr>
    <w:tblStylePr w:type="firstRow">
      <w:pPr>
        <w:spacing w:before="0" w:after="0" w:line="240" w:lineRule="auto"/>
      </w:pPr>
      <w:rPr>
        <w:b/>
        <w:bCs/>
      </w:rPr>
      <w:tblPr/>
      <w:tcPr>
        <w:tcBorders>
          <w:top w:val="single" w:sz="8" w:space="0" w:color="999999"/>
          <w:left w:val="nil"/>
          <w:bottom w:val="single" w:sz="8" w:space="0" w:color="999999"/>
          <w:right w:val="nil"/>
          <w:insideH w:val="nil"/>
          <w:insideV w:val="nil"/>
        </w:tcBorders>
      </w:tcPr>
    </w:tblStylePr>
    <w:tblStylePr w:type="lastRow">
      <w:pPr>
        <w:spacing w:before="0" w:after="0" w:line="240" w:lineRule="auto"/>
      </w:pPr>
      <w:rPr>
        <w:b/>
        <w:bCs/>
      </w:rPr>
      <w:tblPr/>
      <w:tcPr>
        <w:tcBorders>
          <w:top w:val="single" w:sz="8" w:space="0" w:color="999999"/>
          <w:left w:val="nil"/>
          <w:bottom w:val="single" w:sz="8" w:space="0" w:color="99999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TableEY111">
    <w:name w:val="Table EY111"/>
    <w:basedOn w:val="TableNormal"/>
    <w:next w:val="TableGrid"/>
    <w:uiPriority w:val="39"/>
    <w:rsid w:val="00B758A1"/>
    <w:pPr>
      <w:tabs>
        <w:tab w:val="num" w:pos="360"/>
      </w:tabs>
      <w:spacing w:after="0" w:line="240" w:lineRule="auto"/>
    </w:pPr>
    <w:rPr>
      <w:rFonts w:ascii="Wingdings 3" w:eastAsia="Wingdings 3" w:hAnsi="Wingdings 3" w:cs="Times New Roman"/>
      <w:sz w:val="20"/>
      <w:szCs w:val="20"/>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andard171">
    <w:name w:val="Table - standard171"/>
    <w:basedOn w:val="TableNormal"/>
    <w:rsid w:val="00B758A1"/>
    <w:pPr>
      <w:spacing w:after="0" w:line="240" w:lineRule="auto"/>
    </w:pPr>
    <w:rPr>
      <w:rFonts w:ascii="Wingdings 3" w:eastAsia="Times New Roman" w:hAnsi="Wingdings 3" w:cs="Times New Roman"/>
      <w:sz w:val="18"/>
      <w:szCs w:val="20"/>
      <w:lang w:val="fr-FR" w:eastAsia="fr-FR"/>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0F0F0"/>
    </w:tcPr>
    <w:tblStylePr w:type="firstRow">
      <w:rPr>
        <w:rFonts w:ascii="Yu Mincho" w:hAnsi="Yu Mincho"/>
        <w:sz w:val="18"/>
      </w:rPr>
      <w:tblPr/>
      <w:tcPr>
        <w:shd w:val="clear" w:color="auto" w:fill="FFC000"/>
      </w:tcPr>
    </w:tblStylePr>
    <w:tblStylePr w:type="lastRow">
      <w:rPr>
        <w:rFonts w:ascii="Yu Mincho" w:hAnsi="Yu Mincho"/>
      </w:rPr>
    </w:tblStylePr>
  </w:style>
  <w:style w:type="table" w:customStyle="1" w:styleId="Table-standard181">
    <w:name w:val="Table - standard181"/>
    <w:basedOn w:val="TableNormal"/>
    <w:rsid w:val="00B758A1"/>
    <w:pPr>
      <w:spacing w:before="60" w:after="60" w:line="240" w:lineRule="auto"/>
    </w:pPr>
    <w:rPr>
      <w:rFonts w:ascii="Wingdings 3" w:eastAsia="Times New Roman" w:hAnsi="Wingdings 3"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GridTable1Light1">
    <w:name w:val="Grid Table 1 Light1"/>
    <w:basedOn w:val="TableNormal"/>
    <w:next w:val="GridTable1Light"/>
    <w:uiPriority w:val="46"/>
    <w:rsid w:val="00B758A1"/>
    <w:pPr>
      <w:spacing w:after="0" w:line="240" w:lineRule="auto"/>
    </w:pPr>
    <w:rPr>
      <w:rFonts w:ascii="Wingdings 3" w:hAnsi="Wingdings 3"/>
      <w:sz w:val="20"/>
      <w:szCs w:val="20"/>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PlainTable33">
    <w:name w:val="Plain Table 33"/>
    <w:basedOn w:val="TableNormal"/>
    <w:next w:val="PlainTable3"/>
    <w:uiPriority w:val="43"/>
    <w:rsid w:val="00B758A1"/>
    <w:pPr>
      <w:spacing w:after="0" w:line="240" w:lineRule="auto"/>
    </w:pPr>
    <w:rPr>
      <w:rFonts w:ascii="Wingdings 3" w:hAnsi="Wingdings 3"/>
      <w:sz w:val="20"/>
      <w:szCs w:val="20"/>
      <w:lang w:val="en-GB"/>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5E5E5E"/>
      </w:tcPr>
    </w:tblStylePr>
    <w:tblStylePr w:type="band1Horz">
      <w:tblPr/>
      <w:tcPr>
        <w:shd w:val="clear" w:color="auto" w:fill="5E5E5E"/>
      </w:tcPr>
    </w:tblStylePr>
    <w:tblStylePr w:type="neCell">
      <w:tblPr/>
      <w:tcPr>
        <w:tcBorders>
          <w:left w:val="nil"/>
        </w:tcBorders>
      </w:tcPr>
    </w:tblStylePr>
    <w:tblStylePr w:type="nwCell">
      <w:tblPr/>
      <w:tcPr>
        <w:tcBorders>
          <w:right w:val="nil"/>
        </w:tcBorders>
      </w:tcPr>
    </w:tblStylePr>
  </w:style>
  <w:style w:type="table" w:customStyle="1" w:styleId="PlainTable11">
    <w:name w:val="Plain Table 11"/>
    <w:basedOn w:val="TableNormal"/>
    <w:next w:val="PlainTable1"/>
    <w:uiPriority w:val="41"/>
    <w:rsid w:val="00B758A1"/>
    <w:pPr>
      <w:spacing w:after="0" w:line="240" w:lineRule="auto"/>
    </w:pPr>
    <w:rPr>
      <w:rFonts w:ascii="Wingdings 3" w:hAnsi="Wingdings 3"/>
      <w:sz w:val="20"/>
      <w:szCs w:val="20"/>
      <w:lang w:val="en-GB"/>
    </w:rPr>
    <w:tblPr>
      <w:tblStyleRowBandSize w:val="1"/>
      <w:tblStyleColBandSize w:val="1"/>
      <w:tblBorders>
        <w:top w:val="single" w:sz="4" w:space="0" w:color="4A4A4A"/>
        <w:left w:val="single" w:sz="4" w:space="0" w:color="4A4A4A"/>
        <w:bottom w:val="single" w:sz="4" w:space="0" w:color="4A4A4A"/>
        <w:right w:val="single" w:sz="4" w:space="0" w:color="4A4A4A"/>
        <w:insideH w:val="single" w:sz="4" w:space="0" w:color="4A4A4A"/>
        <w:insideV w:val="single" w:sz="4" w:space="0" w:color="4A4A4A"/>
      </w:tblBorders>
    </w:tblPr>
    <w:tblStylePr w:type="firstRow">
      <w:rPr>
        <w:b/>
        <w:bCs/>
      </w:rPr>
    </w:tblStylePr>
    <w:tblStylePr w:type="lastRow">
      <w:rPr>
        <w:b/>
        <w:bCs/>
      </w:rPr>
      <w:tblPr/>
      <w:tcPr>
        <w:tcBorders>
          <w:top w:val="double" w:sz="4" w:space="0" w:color="4A4A4A"/>
        </w:tcBorders>
      </w:tcPr>
    </w:tblStylePr>
    <w:tblStylePr w:type="firstCol">
      <w:rPr>
        <w:b/>
        <w:bCs/>
      </w:rPr>
    </w:tblStylePr>
    <w:tblStylePr w:type="lastCol">
      <w:rPr>
        <w:b/>
        <w:bCs/>
      </w:rPr>
    </w:tblStylePr>
    <w:tblStylePr w:type="band1Vert">
      <w:tblPr/>
      <w:tcPr>
        <w:shd w:val="clear" w:color="auto" w:fill="5E5E5E"/>
      </w:tcPr>
    </w:tblStylePr>
    <w:tblStylePr w:type="band1Horz">
      <w:tblPr/>
      <w:tcPr>
        <w:shd w:val="clear" w:color="auto" w:fill="5E5E5E"/>
      </w:tcPr>
    </w:tblStylePr>
  </w:style>
  <w:style w:type="table" w:customStyle="1" w:styleId="DocumentTable11">
    <w:name w:val="Document Table11"/>
    <w:basedOn w:val="TableNormal"/>
    <w:next w:val="TableGrid"/>
    <w:uiPriority w:val="59"/>
    <w:rsid w:val="00B758A1"/>
    <w:pPr>
      <w:spacing w:after="0" w:line="240" w:lineRule="auto"/>
    </w:pPr>
    <w:rPr>
      <w:rFonts w:ascii="Yu Gothic UI Light" w:eastAsia="Times New Roman" w:hAnsi="Yu Gothic UI Light" w:cs="Times New Roman"/>
      <w:sz w:val="18"/>
      <w:szCs w:val="20"/>
      <w:lang w:val="nl-BE" w:eastAsia="nl-BE"/>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Yu Mincho" w:hAnsi="Yu Mincho"/>
        <w:b/>
        <w:color w:val="646464"/>
        <w:sz w:val="18"/>
      </w:rPr>
      <w:tblPr/>
      <w:tcPr>
        <w:shd w:val="clear" w:color="auto" w:fill="00AEF0"/>
      </w:tcPr>
    </w:tblStylePr>
    <w:tblStylePr w:type="band1Horz">
      <w:rPr>
        <w:sz w:val="18"/>
      </w:rPr>
    </w:tblStylePr>
  </w:style>
  <w:style w:type="table" w:customStyle="1" w:styleId="GridTable4-Accent11">
    <w:name w:val="Grid Table 4 - Accent 11"/>
    <w:basedOn w:val="TableNormal"/>
    <w:next w:val="GridTable4-Accent1"/>
    <w:uiPriority w:val="49"/>
    <w:rsid w:val="00B758A1"/>
    <w:pPr>
      <w:spacing w:after="0" w:line="240" w:lineRule="auto"/>
    </w:pPr>
    <w:rPr>
      <w:lang w:val="en-GB"/>
    </w:rPr>
    <w:tblPr>
      <w:tblStyleRowBandSize w:val="1"/>
      <w:tblStyleColBandSize w:val="1"/>
      <w:tblBorders>
        <w:top w:val="single" w:sz="4" w:space="0" w:color="B1B1B4"/>
        <w:left w:val="single" w:sz="4" w:space="0" w:color="B1B1B4"/>
        <w:bottom w:val="single" w:sz="4" w:space="0" w:color="B1B1B4"/>
        <w:right w:val="single" w:sz="4" w:space="0" w:color="B1B1B4"/>
        <w:insideH w:val="single" w:sz="4" w:space="0" w:color="B1B1B4"/>
        <w:insideV w:val="single" w:sz="4" w:space="0" w:color="B1B1B4"/>
      </w:tblBorders>
    </w:tblPr>
    <w:tblStylePr w:type="firstRow">
      <w:rPr>
        <w:b/>
        <w:bCs/>
        <w:color w:val="646464"/>
      </w:rPr>
      <w:tblPr/>
      <w:tcPr>
        <w:tcBorders>
          <w:top w:val="single" w:sz="4" w:space="0" w:color="7F7E82"/>
          <w:left w:val="single" w:sz="4" w:space="0" w:color="7F7E82"/>
          <w:bottom w:val="single" w:sz="4" w:space="0" w:color="7F7E82"/>
          <w:right w:val="single" w:sz="4" w:space="0" w:color="7F7E82"/>
          <w:insideH w:val="nil"/>
          <w:insideV w:val="nil"/>
        </w:tcBorders>
        <w:shd w:val="clear" w:color="auto" w:fill="7F7E82"/>
      </w:tcPr>
    </w:tblStylePr>
    <w:tblStylePr w:type="lastRow">
      <w:rPr>
        <w:b/>
        <w:bCs/>
      </w:rPr>
      <w:tblPr/>
      <w:tcPr>
        <w:tcBorders>
          <w:top w:val="double" w:sz="4" w:space="0" w:color="7F7E82"/>
        </w:tcBorders>
      </w:tcPr>
    </w:tblStylePr>
    <w:tblStylePr w:type="firstCol">
      <w:rPr>
        <w:b/>
        <w:bCs/>
      </w:rPr>
    </w:tblStylePr>
    <w:tblStylePr w:type="lastCol">
      <w:rPr>
        <w:b/>
        <w:bCs/>
      </w:rPr>
    </w:tblStylePr>
    <w:tblStylePr w:type="band1Vert">
      <w:tblPr/>
      <w:tcPr>
        <w:shd w:val="clear" w:color="auto" w:fill="E5E5E6"/>
      </w:tcPr>
    </w:tblStylePr>
    <w:tblStylePr w:type="band1Horz">
      <w:tblPr/>
      <w:tcPr>
        <w:shd w:val="clear" w:color="auto" w:fill="E5E5E6"/>
      </w:tcPr>
    </w:tblStylePr>
  </w:style>
  <w:style w:type="table" w:customStyle="1" w:styleId="GridTable5Dark-Accent41">
    <w:name w:val="Grid Table 5 Dark - Accent 41"/>
    <w:basedOn w:val="TableNormal"/>
    <w:next w:val="GridTable5Dark-Accent4"/>
    <w:uiPriority w:val="50"/>
    <w:rsid w:val="00B758A1"/>
    <w:pPr>
      <w:spacing w:after="0" w:line="240" w:lineRule="auto"/>
    </w:pPr>
    <w:rPr>
      <w:rFonts w:ascii="Wingdings 3" w:hAnsi="Wingdings 3"/>
      <w:sz w:val="20"/>
      <w:szCs w:val="20"/>
      <w:lang w:val="en-GB"/>
    </w:rPr>
    <w:tblPr>
      <w:tblStyleRowBandSize w:val="1"/>
      <w:tblStyleColBandSize w:val="1"/>
      <w:tblBorders>
        <w:top w:val="single" w:sz="4" w:space="0" w:color="646464"/>
        <w:left w:val="single" w:sz="4" w:space="0" w:color="646464"/>
        <w:bottom w:val="single" w:sz="4" w:space="0" w:color="646464"/>
        <w:right w:val="single" w:sz="4" w:space="0" w:color="646464"/>
        <w:insideH w:val="single" w:sz="4" w:space="0" w:color="646464"/>
        <w:insideV w:val="single" w:sz="4" w:space="0" w:color="646464"/>
      </w:tblBorders>
    </w:tblPr>
    <w:tcPr>
      <w:shd w:val="clear" w:color="auto" w:fill="FCFCFC"/>
    </w:tcPr>
    <w:tblStylePr w:type="firstRow">
      <w:rPr>
        <w:b/>
        <w:bCs/>
        <w:color w:val="646464"/>
      </w:rPr>
      <w:tblPr/>
      <w:tcPr>
        <w:tcBorders>
          <w:top w:val="single" w:sz="4" w:space="0" w:color="646464"/>
          <w:left w:val="single" w:sz="4" w:space="0" w:color="646464"/>
          <w:right w:val="single" w:sz="4" w:space="0" w:color="646464"/>
          <w:insideH w:val="nil"/>
          <w:insideV w:val="nil"/>
        </w:tcBorders>
        <w:shd w:val="clear" w:color="auto" w:fill="F0F0F0"/>
      </w:tcPr>
    </w:tblStylePr>
    <w:tblStylePr w:type="lastRow">
      <w:rPr>
        <w:b/>
        <w:bCs/>
        <w:color w:val="646464"/>
      </w:rPr>
      <w:tblPr/>
      <w:tcPr>
        <w:tcBorders>
          <w:left w:val="single" w:sz="4" w:space="0" w:color="646464"/>
          <w:bottom w:val="single" w:sz="4" w:space="0" w:color="646464"/>
          <w:right w:val="single" w:sz="4" w:space="0" w:color="646464"/>
          <w:insideH w:val="nil"/>
          <w:insideV w:val="nil"/>
        </w:tcBorders>
        <w:shd w:val="clear" w:color="auto" w:fill="F0F0F0"/>
      </w:tcPr>
    </w:tblStylePr>
    <w:tblStylePr w:type="firstCol">
      <w:rPr>
        <w:b/>
        <w:bCs/>
        <w:color w:val="646464"/>
      </w:rPr>
      <w:tblPr/>
      <w:tcPr>
        <w:tcBorders>
          <w:top w:val="single" w:sz="4" w:space="0" w:color="646464"/>
          <w:left w:val="single" w:sz="4" w:space="0" w:color="646464"/>
          <w:bottom w:val="single" w:sz="4" w:space="0" w:color="646464"/>
          <w:insideV w:val="nil"/>
        </w:tcBorders>
        <w:shd w:val="clear" w:color="auto" w:fill="F0F0F0"/>
      </w:tcPr>
    </w:tblStylePr>
    <w:tblStylePr w:type="lastCol">
      <w:rPr>
        <w:b/>
        <w:bCs/>
        <w:color w:val="646464"/>
      </w:rPr>
      <w:tblPr/>
      <w:tcPr>
        <w:tcBorders>
          <w:top w:val="single" w:sz="4" w:space="0" w:color="646464"/>
          <w:bottom w:val="single" w:sz="4" w:space="0" w:color="646464"/>
          <w:right w:val="single" w:sz="4" w:space="0" w:color="646464"/>
          <w:insideV w:val="nil"/>
        </w:tcBorders>
        <w:shd w:val="clear" w:color="auto" w:fill="F0F0F0"/>
      </w:tcPr>
    </w:tblStylePr>
    <w:tblStylePr w:type="band1Vert">
      <w:tblPr/>
      <w:tcPr>
        <w:shd w:val="clear" w:color="auto" w:fill="F9F9F9"/>
      </w:tcPr>
    </w:tblStylePr>
    <w:tblStylePr w:type="band1Horz">
      <w:tblPr/>
      <w:tcPr>
        <w:shd w:val="clear" w:color="auto" w:fill="F9F9F9"/>
      </w:tcPr>
    </w:tblStylePr>
  </w:style>
  <w:style w:type="table" w:customStyle="1" w:styleId="GridTable4-Accent41">
    <w:name w:val="Grid Table 4 - Accent 41"/>
    <w:basedOn w:val="TableNormal"/>
    <w:next w:val="GridTable4-Accent4"/>
    <w:uiPriority w:val="49"/>
    <w:rsid w:val="00B758A1"/>
    <w:pPr>
      <w:spacing w:after="0" w:line="240" w:lineRule="auto"/>
    </w:pPr>
    <w:rPr>
      <w:rFonts w:ascii="Wingdings 3" w:hAnsi="Wingdings 3"/>
      <w:sz w:val="20"/>
      <w:szCs w:val="20"/>
      <w:lang w:val="en-GB"/>
    </w:rPr>
    <w:tblPr>
      <w:tblStyleRowBandSize w:val="1"/>
      <w:tblStyleColBandSize w:val="1"/>
      <w:tblBorders>
        <w:top w:val="single" w:sz="4" w:space="0" w:color="F6F6F6"/>
        <w:left w:val="single" w:sz="4" w:space="0" w:color="F6F6F6"/>
        <w:bottom w:val="single" w:sz="4" w:space="0" w:color="F6F6F6"/>
        <w:right w:val="single" w:sz="4" w:space="0" w:color="F6F6F6"/>
        <w:insideH w:val="single" w:sz="4" w:space="0" w:color="F6F6F6"/>
        <w:insideV w:val="single" w:sz="4" w:space="0" w:color="F6F6F6"/>
      </w:tblBorders>
    </w:tblPr>
    <w:tblStylePr w:type="firstRow">
      <w:rPr>
        <w:b/>
        <w:bCs/>
        <w:color w:val="646464"/>
      </w:rPr>
      <w:tblPr/>
      <w:tcPr>
        <w:tcBorders>
          <w:top w:val="single" w:sz="4" w:space="0" w:color="F0F0F0"/>
          <w:left w:val="single" w:sz="4" w:space="0" w:color="F0F0F0"/>
          <w:bottom w:val="single" w:sz="4" w:space="0" w:color="F0F0F0"/>
          <w:right w:val="single" w:sz="4" w:space="0" w:color="F0F0F0"/>
          <w:insideH w:val="nil"/>
          <w:insideV w:val="nil"/>
        </w:tcBorders>
        <w:shd w:val="clear" w:color="auto" w:fill="F0F0F0"/>
      </w:tcPr>
    </w:tblStylePr>
    <w:tblStylePr w:type="lastRow">
      <w:rPr>
        <w:b/>
        <w:bCs/>
      </w:rPr>
      <w:tblPr/>
      <w:tcPr>
        <w:tcBorders>
          <w:top w:val="double" w:sz="4" w:space="0" w:color="F0F0F0"/>
        </w:tcBorders>
      </w:tcPr>
    </w:tblStylePr>
    <w:tblStylePr w:type="firstCol">
      <w:rPr>
        <w:b/>
        <w:bCs/>
      </w:rPr>
    </w:tblStylePr>
    <w:tblStylePr w:type="lastCol">
      <w:rPr>
        <w:b/>
        <w:bCs/>
      </w:rPr>
    </w:tblStylePr>
    <w:tblStylePr w:type="band1Vert">
      <w:tblPr/>
      <w:tcPr>
        <w:shd w:val="clear" w:color="auto" w:fill="FCFCFC"/>
      </w:tcPr>
    </w:tblStylePr>
    <w:tblStylePr w:type="band1Horz">
      <w:tblPr/>
      <w:tcPr>
        <w:shd w:val="clear" w:color="auto" w:fill="FCFCFC"/>
      </w:tcPr>
    </w:tblStylePr>
  </w:style>
  <w:style w:type="table" w:customStyle="1" w:styleId="GridTable3-Accent31">
    <w:name w:val="Grid Table 3 - Accent 31"/>
    <w:basedOn w:val="TableNormal"/>
    <w:next w:val="GridTable3-Accent3"/>
    <w:uiPriority w:val="48"/>
    <w:rsid w:val="00B758A1"/>
    <w:pPr>
      <w:spacing w:after="0" w:line="240" w:lineRule="auto"/>
    </w:pPr>
    <w:rPr>
      <w:rFonts w:ascii="Arial" w:hAnsi="Arial"/>
      <w:sz w:val="20"/>
      <w:szCs w:val="20"/>
      <w:lang w:val="nl-BE"/>
    </w:rPr>
    <w:tblPr>
      <w:tblStyleRowBandSize w:val="1"/>
      <w:tblStyleColBandSize w:val="1"/>
      <w:tblBorders>
        <w:top w:val="single" w:sz="4" w:space="0" w:color="C1C1C1"/>
        <w:left w:val="single" w:sz="4" w:space="0" w:color="C1C1C1"/>
        <w:bottom w:val="single" w:sz="4" w:space="0" w:color="C1C1C1"/>
        <w:right w:val="single" w:sz="4" w:space="0" w:color="C1C1C1"/>
        <w:insideH w:val="single" w:sz="4" w:space="0" w:color="C1C1C1"/>
        <w:insideV w:val="single" w:sz="4" w:space="0" w:color="C1C1C1"/>
      </w:tblBorders>
    </w:tblPr>
    <w:tblStylePr w:type="firstRow">
      <w:rPr>
        <w:b/>
        <w:bCs/>
      </w:rPr>
      <w:tblPr/>
      <w:tcPr>
        <w:tcBorders>
          <w:top w:val="nil"/>
          <w:left w:val="nil"/>
          <w:right w:val="nil"/>
          <w:insideH w:val="nil"/>
          <w:insideV w:val="nil"/>
        </w:tcBorders>
        <w:shd w:val="clear" w:color="auto" w:fill="646464"/>
      </w:tcPr>
    </w:tblStylePr>
    <w:tblStylePr w:type="lastRow">
      <w:rPr>
        <w:b/>
        <w:bCs/>
      </w:rPr>
      <w:tblPr/>
      <w:tcPr>
        <w:tcBorders>
          <w:left w:val="nil"/>
          <w:bottom w:val="nil"/>
          <w:right w:val="nil"/>
          <w:insideH w:val="nil"/>
          <w:insideV w:val="nil"/>
        </w:tcBorders>
        <w:shd w:val="clear" w:color="auto" w:fill="646464"/>
      </w:tcPr>
    </w:tblStylePr>
    <w:tblStylePr w:type="firstCol">
      <w:pPr>
        <w:jc w:val="right"/>
      </w:pPr>
      <w:rPr>
        <w:i/>
        <w:iCs/>
      </w:rPr>
      <w:tblPr/>
      <w:tcPr>
        <w:tcBorders>
          <w:top w:val="nil"/>
          <w:left w:val="nil"/>
          <w:bottom w:val="nil"/>
          <w:insideH w:val="nil"/>
          <w:insideV w:val="nil"/>
        </w:tcBorders>
        <w:shd w:val="clear" w:color="auto" w:fill="646464"/>
      </w:tcPr>
    </w:tblStylePr>
    <w:tblStylePr w:type="lastCol">
      <w:rPr>
        <w:i/>
        <w:iCs/>
      </w:rPr>
      <w:tblPr/>
      <w:tcPr>
        <w:tcBorders>
          <w:top w:val="nil"/>
          <w:bottom w:val="nil"/>
          <w:right w:val="nil"/>
          <w:insideH w:val="nil"/>
          <w:insideV w:val="nil"/>
        </w:tcBorders>
        <w:shd w:val="clear" w:color="auto" w:fill="646464"/>
      </w:tcPr>
    </w:tblStylePr>
    <w:tblStylePr w:type="band1Vert">
      <w:tblPr/>
      <w:tcPr>
        <w:shd w:val="clear" w:color="auto" w:fill="EAEAEA"/>
      </w:tcPr>
    </w:tblStylePr>
    <w:tblStylePr w:type="band1Horz">
      <w:tblPr/>
      <w:tcPr>
        <w:shd w:val="clear" w:color="auto" w:fill="EAEAEA"/>
      </w:tcPr>
    </w:tblStylePr>
    <w:tblStylePr w:type="neCell">
      <w:tblPr/>
      <w:tcPr>
        <w:tcBorders>
          <w:bottom w:val="single" w:sz="4" w:space="0" w:color="C1C1C1"/>
        </w:tcBorders>
      </w:tcPr>
    </w:tblStylePr>
    <w:tblStylePr w:type="nwCell">
      <w:tblPr/>
      <w:tcPr>
        <w:tcBorders>
          <w:bottom w:val="single" w:sz="4" w:space="0" w:color="C1C1C1"/>
        </w:tcBorders>
      </w:tcPr>
    </w:tblStylePr>
    <w:tblStylePr w:type="seCell">
      <w:tblPr/>
      <w:tcPr>
        <w:tcBorders>
          <w:top w:val="single" w:sz="4" w:space="0" w:color="C1C1C1"/>
        </w:tcBorders>
      </w:tcPr>
    </w:tblStylePr>
    <w:tblStylePr w:type="swCell">
      <w:tblPr/>
      <w:tcPr>
        <w:tcBorders>
          <w:top w:val="single" w:sz="4" w:space="0" w:color="C1C1C1"/>
        </w:tcBorders>
      </w:tcPr>
    </w:tblStylePr>
  </w:style>
  <w:style w:type="table" w:customStyle="1" w:styleId="GridTable5Dark-Accent21">
    <w:name w:val="Grid Table 5 Dark - Accent 21"/>
    <w:basedOn w:val="TableNormal"/>
    <w:next w:val="GridTable5Dark-Accent2"/>
    <w:uiPriority w:val="50"/>
    <w:rsid w:val="00B758A1"/>
    <w:pPr>
      <w:spacing w:after="0" w:line="240" w:lineRule="auto"/>
    </w:pPr>
    <w:rPr>
      <w:rFonts w:ascii="Arial" w:hAnsi="Arial"/>
      <w:sz w:val="20"/>
      <w:szCs w:val="20"/>
      <w:lang w:val="nl-BE"/>
    </w:rPr>
    <w:tblPr>
      <w:tblStyleRowBandSize w:val="1"/>
      <w:tblStyleColBandSize w:val="1"/>
      <w:tblBorders>
        <w:top w:val="single" w:sz="4" w:space="0" w:color="646464"/>
        <w:left w:val="single" w:sz="4" w:space="0" w:color="646464"/>
        <w:bottom w:val="single" w:sz="4" w:space="0" w:color="646464"/>
        <w:right w:val="single" w:sz="4" w:space="0" w:color="646464"/>
        <w:insideH w:val="single" w:sz="4" w:space="0" w:color="646464"/>
        <w:insideV w:val="single" w:sz="4" w:space="0" w:color="646464"/>
      </w:tblBorders>
    </w:tblPr>
    <w:tcPr>
      <w:shd w:val="clear" w:color="auto" w:fill="FFFACC"/>
    </w:tcPr>
    <w:tblStylePr w:type="firstRow">
      <w:rPr>
        <w:b/>
        <w:bCs/>
        <w:color w:val="646464"/>
      </w:rPr>
      <w:tblPr/>
      <w:tcPr>
        <w:tcBorders>
          <w:top w:val="single" w:sz="4" w:space="0" w:color="646464"/>
          <w:left w:val="single" w:sz="4" w:space="0" w:color="646464"/>
          <w:right w:val="single" w:sz="4" w:space="0" w:color="646464"/>
          <w:insideH w:val="nil"/>
          <w:insideV w:val="nil"/>
        </w:tcBorders>
        <w:shd w:val="clear" w:color="auto" w:fill="FFE600"/>
      </w:tcPr>
    </w:tblStylePr>
    <w:tblStylePr w:type="lastRow">
      <w:rPr>
        <w:b/>
        <w:bCs/>
        <w:color w:val="646464"/>
      </w:rPr>
      <w:tblPr/>
      <w:tcPr>
        <w:tcBorders>
          <w:left w:val="single" w:sz="4" w:space="0" w:color="646464"/>
          <w:bottom w:val="single" w:sz="4" w:space="0" w:color="646464"/>
          <w:right w:val="single" w:sz="4" w:space="0" w:color="646464"/>
          <w:insideH w:val="nil"/>
          <w:insideV w:val="nil"/>
        </w:tcBorders>
        <w:shd w:val="clear" w:color="auto" w:fill="FFE600"/>
      </w:tcPr>
    </w:tblStylePr>
    <w:tblStylePr w:type="firstCol">
      <w:rPr>
        <w:b/>
        <w:bCs/>
        <w:color w:val="646464"/>
      </w:rPr>
      <w:tblPr/>
      <w:tcPr>
        <w:tcBorders>
          <w:top w:val="single" w:sz="4" w:space="0" w:color="646464"/>
          <w:left w:val="single" w:sz="4" w:space="0" w:color="646464"/>
          <w:bottom w:val="single" w:sz="4" w:space="0" w:color="646464"/>
          <w:insideV w:val="nil"/>
        </w:tcBorders>
        <w:shd w:val="clear" w:color="auto" w:fill="FFE600"/>
      </w:tcPr>
    </w:tblStylePr>
    <w:tblStylePr w:type="lastCol">
      <w:rPr>
        <w:b/>
        <w:bCs/>
        <w:color w:val="646464"/>
      </w:rPr>
      <w:tblPr/>
      <w:tcPr>
        <w:tcBorders>
          <w:top w:val="single" w:sz="4" w:space="0" w:color="646464"/>
          <w:bottom w:val="single" w:sz="4" w:space="0" w:color="646464"/>
          <w:right w:val="single" w:sz="4" w:space="0" w:color="646464"/>
          <w:insideV w:val="nil"/>
        </w:tcBorders>
        <w:shd w:val="clear" w:color="auto" w:fill="FFE600"/>
      </w:tcPr>
    </w:tblStylePr>
    <w:tblStylePr w:type="band1Vert">
      <w:tblPr/>
      <w:tcPr>
        <w:shd w:val="clear" w:color="auto" w:fill="FFF599"/>
      </w:tcPr>
    </w:tblStylePr>
    <w:tblStylePr w:type="band1Horz">
      <w:tblPr/>
      <w:tcPr>
        <w:shd w:val="clear" w:color="auto" w:fill="FFF599"/>
      </w:tcPr>
    </w:tblStylePr>
  </w:style>
  <w:style w:type="table" w:customStyle="1" w:styleId="Table-standard191">
    <w:name w:val="Table - standard191"/>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Table-standard1101">
    <w:name w:val="Table - standard1101"/>
    <w:basedOn w:val="TableNormal"/>
    <w:rsid w:val="00B758A1"/>
    <w:pPr>
      <w:spacing w:before="60" w:after="60" w:line="240" w:lineRule="auto"/>
    </w:pPr>
    <w:rPr>
      <w:rFonts w:ascii="Arial" w:eastAsia="Times New Roman" w:hAnsi="Arial" w:cs="Times New Roman"/>
      <w:sz w:val="18"/>
      <w:szCs w:val="20"/>
      <w:lang w:val="fr-FR" w:eastAsia="fr-FR"/>
    </w:rPr>
    <w:tblPr>
      <w:tblBorders>
        <w:insideH w:val="single" w:sz="4" w:space="0" w:color="auto"/>
      </w:tblBorders>
    </w:tblPr>
    <w:tcPr>
      <w:shd w:val="clear" w:color="auto" w:fill="auto"/>
    </w:tcPr>
    <w:tblStylePr w:type="firstRow">
      <w:rPr>
        <w:rFonts w:ascii="Yu Mincho" w:hAnsi="Yu Mincho"/>
        <w:sz w:val="18"/>
      </w:rPr>
      <w:tblPr/>
      <w:tcPr>
        <w:shd w:val="clear" w:color="auto" w:fill="FFE600"/>
      </w:tcPr>
    </w:tblStylePr>
    <w:tblStylePr w:type="lastRow">
      <w:rPr>
        <w:rFonts w:ascii="Yu Mincho" w:hAnsi="Yu Mincho"/>
      </w:rPr>
    </w:tblStylePr>
    <w:tblStylePr w:type="firstCol">
      <w:tblPr/>
      <w:tcPr>
        <w:tcBorders>
          <w:insideH w:val="single" w:sz="4" w:space="0" w:color="auto"/>
        </w:tcBorders>
        <w:shd w:val="clear" w:color="auto" w:fill="F2F2F2"/>
      </w:tcPr>
    </w:tblStylePr>
  </w:style>
  <w:style w:type="table" w:customStyle="1" w:styleId="Formatvorlage11">
    <w:name w:val="Formatvorlage11"/>
    <w:basedOn w:val="TableNormal"/>
    <w:uiPriority w:val="99"/>
    <w:rsid w:val="00B758A1"/>
    <w:pPr>
      <w:spacing w:after="0" w:line="240" w:lineRule="auto"/>
    </w:pPr>
    <w:rPr>
      <w:rFonts w:ascii="Arial" w:hAnsi="Arial"/>
      <w:sz w:val="20"/>
      <w:szCs w:val="20"/>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jc w:val="left"/>
      </w:pPr>
      <w:tblPr/>
      <w:tcPr>
        <w:shd w:val="clear" w:color="auto" w:fill="FFE600"/>
      </w:tcPr>
    </w:tblStylePr>
  </w:style>
  <w:style w:type="table" w:customStyle="1" w:styleId="GridTable3-Accent42">
    <w:name w:val="Grid Table 3 - Accent 42"/>
    <w:basedOn w:val="TableNormal"/>
    <w:next w:val="GridTable3-Accent4"/>
    <w:uiPriority w:val="48"/>
    <w:rsid w:val="00B758A1"/>
    <w:pPr>
      <w:spacing w:after="0" w:line="240" w:lineRule="auto"/>
    </w:pPr>
    <w:rPr>
      <w:rFonts w:ascii="Arial" w:hAnsi="Arial"/>
      <w:sz w:val="20"/>
      <w:szCs w:val="20"/>
      <w:lang w:val="nl-BE"/>
    </w:rPr>
    <w:tblPr>
      <w:tblStyleRowBandSize w:val="1"/>
      <w:tblStyleColBandSize w:val="1"/>
      <w:tblBorders>
        <w:top w:val="single" w:sz="4" w:space="0" w:color="F6F6F6"/>
        <w:left w:val="single" w:sz="4" w:space="0" w:color="F6F6F6"/>
        <w:bottom w:val="single" w:sz="4" w:space="0" w:color="F6F6F6"/>
        <w:right w:val="single" w:sz="4" w:space="0" w:color="F6F6F6"/>
        <w:insideH w:val="single" w:sz="4" w:space="0" w:color="F6F6F6"/>
        <w:insideV w:val="single" w:sz="4" w:space="0" w:color="F6F6F6"/>
      </w:tblBorders>
    </w:tblPr>
    <w:tblStylePr w:type="firstRow">
      <w:rPr>
        <w:b/>
        <w:bCs/>
      </w:rPr>
      <w:tblPr/>
      <w:tcPr>
        <w:tcBorders>
          <w:top w:val="nil"/>
          <w:left w:val="nil"/>
          <w:right w:val="nil"/>
          <w:insideH w:val="nil"/>
          <w:insideV w:val="nil"/>
        </w:tcBorders>
        <w:shd w:val="clear" w:color="auto" w:fill="646464"/>
      </w:tcPr>
    </w:tblStylePr>
    <w:tblStylePr w:type="lastRow">
      <w:rPr>
        <w:b/>
        <w:bCs/>
      </w:rPr>
      <w:tblPr/>
      <w:tcPr>
        <w:tcBorders>
          <w:left w:val="nil"/>
          <w:bottom w:val="nil"/>
          <w:right w:val="nil"/>
          <w:insideH w:val="nil"/>
          <w:insideV w:val="nil"/>
        </w:tcBorders>
        <w:shd w:val="clear" w:color="auto" w:fill="646464"/>
      </w:tcPr>
    </w:tblStylePr>
    <w:tblStylePr w:type="firstCol">
      <w:pPr>
        <w:jc w:val="right"/>
      </w:pPr>
      <w:rPr>
        <w:i/>
        <w:iCs/>
      </w:rPr>
      <w:tblPr/>
      <w:tcPr>
        <w:tcBorders>
          <w:top w:val="nil"/>
          <w:left w:val="nil"/>
          <w:bottom w:val="nil"/>
          <w:insideH w:val="nil"/>
          <w:insideV w:val="nil"/>
        </w:tcBorders>
        <w:shd w:val="clear" w:color="auto" w:fill="646464"/>
      </w:tcPr>
    </w:tblStylePr>
    <w:tblStylePr w:type="lastCol">
      <w:rPr>
        <w:i/>
        <w:iCs/>
      </w:rPr>
      <w:tblPr/>
      <w:tcPr>
        <w:tcBorders>
          <w:top w:val="nil"/>
          <w:bottom w:val="nil"/>
          <w:right w:val="nil"/>
          <w:insideH w:val="nil"/>
          <w:insideV w:val="nil"/>
        </w:tcBorders>
        <w:shd w:val="clear" w:color="auto" w:fill="646464"/>
      </w:tcPr>
    </w:tblStylePr>
    <w:tblStylePr w:type="band1Vert">
      <w:tblPr/>
      <w:tcPr>
        <w:shd w:val="clear" w:color="auto" w:fill="FCFCFC"/>
      </w:tcPr>
    </w:tblStylePr>
    <w:tblStylePr w:type="band1Horz">
      <w:tblPr/>
      <w:tcPr>
        <w:shd w:val="clear" w:color="auto" w:fill="FCFCFC"/>
      </w:tcPr>
    </w:tblStylePr>
    <w:tblStylePr w:type="neCell">
      <w:tblPr/>
      <w:tcPr>
        <w:tcBorders>
          <w:bottom w:val="single" w:sz="4" w:space="0" w:color="F6F6F6"/>
        </w:tcBorders>
      </w:tcPr>
    </w:tblStylePr>
    <w:tblStylePr w:type="nwCell">
      <w:tblPr/>
      <w:tcPr>
        <w:tcBorders>
          <w:bottom w:val="single" w:sz="4" w:space="0" w:color="F6F6F6"/>
        </w:tcBorders>
      </w:tcPr>
    </w:tblStylePr>
    <w:tblStylePr w:type="seCell">
      <w:tblPr/>
      <w:tcPr>
        <w:tcBorders>
          <w:top w:val="single" w:sz="4" w:space="0" w:color="F6F6F6"/>
        </w:tcBorders>
      </w:tcPr>
    </w:tblStylePr>
    <w:tblStylePr w:type="swCell">
      <w:tblPr/>
      <w:tcPr>
        <w:tcBorders>
          <w:top w:val="single" w:sz="4" w:space="0" w:color="F6F6F6"/>
        </w:tcBorders>
      </w:tcPr>
    </w:tblStylePr>
  </w:style>
  <w:style w:type="paragraph" w:customStyle="1" w:styleId="pf0">
    <w:name w:val="pf0"/>
    <w:basedOn w:val="Normal"/>
    <w:rsid w:val="00B758A1"/>
    <w:pPr>
      <w:spacing w:before="100" w:beforeAutospacing="1" w:after="100" w:afterAutospacing="1" w:line="240" w:lineRule="auto"/>
    </w:pPr>
    <w:rPr>
      <w:rFonts w:ascii="Verdana" w:eastAsia="Times New Roman" w:hAnsi="Verdana" w:cs="Times New Roman"/>
      <w:szCs w:val="24"/>
      <w:lang w:val="de-DE" w:eastAsia="de-DE"/>
    </w:rPr>
  </w:style>
  <w:style w:type="character" w:customStyle="1" w:styleId="bullet1Char0">
    <w:name w:val="bullet 1 Char"/>
    <w:link w:val="bullet1"/>
    <w:rsid w:val="00B758A1"/>
    <w:rPr>
      <w:rFonts w:ascii="Arial" w:eastAsia="Times New Roman" w:hAnsi="Arial"/>
      <w:szCs w:val="20"/>
      <w:lang w:val="de-DE" w:eastAsia="de-DE"/>
    </w:rPr>
  </w:style>
  <w:style w:type="paragraph" w:customStyle="1" w:styleId="Style13">
    <w:name w:val="Style13"/>
    <w:basedOn w:val="BodyText"/>
    <w:link w:val="Style13Char"/>
    <w:qFormat/>
    <w:rsid w:val="00B758A1"/>
    <w:pPr>
      <w:ind w:left="4956"/>
    </w:pPr>
    <w:rPr>
      <w:i/>
      <w:iCs/>
      <w:color w:val="00B0F0"/>
      <w:lang w:eastAsia="nl-BE"/>
    </w:rPr>
  </w:style>
  <w:style w:type="character" w:customStyle="1" w:styleId="Style13Char">
    <w:name w:val="Style13 Char"/>
    <w:basedOn w:val="BodyTextChar"/>
    <w:link w:val="Style13"/>
    <w:rsid w:val="00B758A1"/>
    <w:rPr>
      <w:rFonts w:ascii="Verdana" w:hAnsi="Verdana"/>
      <w:i/>
      <w:iCs/>
      <w:color w:val="00B0F0"/>
      <w:sz w:val="20"/>
      <w:lang w:val="en-GB" w:eastAsia="nl-BE"/>
    </w:rPr>
  </w:style>
  <w:style w:type="character" w:customStyle="1" w:styleId="cf21">
    <w:name w:val="cf21"/>
    <w:basedOn w:val="DefaultParagraphFont"/>
    <w:rsid w:val="00B758A1"/>
    <w:rPr>
      <w:rFonts w:ascii="Segoe UI" w:hAnsi="Segoe UI" w:cs="Segoe UI" w:hint="default"/>
      <w:sz w:val="18"/>
      <w:szCs w:val="18"/>
      <w:shd w:val="clear" w:color="auto" w:fill="00FF00"/>
    </w:rPr>
  </w:style>
  <w:style w:type="paragraph" w:customStyle="1" w:styleId="whitespace-pre-wrap">
    <w:name w:val="whitespace-pre-wrap"/>
    <w:basedOn w:val="Normal"/>
    <w:rsid w:val="00B758A1"/>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table" w:customStyle="1" w:styleId="Table1">
    <w:name w:val="Table 1"/>
    <w:basedOn w:val="TableNormal"/>
    <w:uiPriority w:val="99"/>
    <w:rsid w:val="00B758A1"/>
    <w:pPr>
      <w:spacing w:before="120" w:after="120" w:line="240" w:lineRule="auto"/>
    </w:pPr>
    <w:rPr>
      <w:rFonts w:ascii="Verdana" w:eastAsia="Times New Roman" w:hAnsi="Verdana" w:cs="Times New Roman"/>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Mar>
        <w:top w:w="0" w:type="dxa"/>
        <w:bottom w:w="0" w:type="dxa"/>
      </w:tcMar>
      <w:vAlign w:val="center"/>
    </w:tcPr>
    <w:tblStylePr w:type="firstRow">
      <w:rPr>
        <w:b/>
      </w:rPr>
      <w:tblPr/>
      <w:trPr>
        <w:tblHeader/>
      </w:tr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002395"/>
      </w:tcPr>
    </w:tblStylePr>
  </w:style>
  <w:style w:type="paragraph" w:customStyle="1" w:styleId="Body">
    <w:name w:val="Body"/>
    <w:basedOn w:val="Normal"/>
    <w:link w:val="BodyChar"/>
    <w:qFormat/>
    <w:rsid w:val="00B758A1"/>
    <w:pPr>
      <w:spacing w:before="60" w:after="60" w:line="240" w:lineRule="auto"/>
      <w:jc w:val="both"/>
    </w:pPr>
    <w:rPr>
      <w:rFonts w:ascii="Verdana" w:eastAsia="Times New Roman" w:hAnsi="Verdana" w:cs="Times New Roman"/>
      <w:sz w:val="20"/>
      <w:szCs w:val="20"/>
      <w:lang w:val="en-GB" w:eastAsia="nl-BE"/>
    </w:rPr>
  </w:style>
  <w:style w:type="character" w:customStyle="1" w:styleId="BodyChar">
    <w:name w:val="Body Char"/>
    <w:link w:val="Body"/>
    <w:rsid w:val="00B758A1"/>
    <w:rPr>
      <w:rFonts w:ascii="Verdana" w:eastAsia="Times New Roman" w:hAnsi="Verdana" w:cs="Times New Roman"/>
      <w:sz w:val="20"/>
      <w:szCs w:val="20"/>
      <w:lang w:val="en-GB" w:eastAsia="nl-BE"/>
    </w:rPr>
  </w:style>
  <w:style w:type="paragraph" w:customStyle="1" w:styleId="pf1">
    <w:name w:val="pf1"/>
    <w:basedOn w:val="Normal"/>
    <w:rsid w:val="00B758A1"/>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y2iqfc">
    <w:name w:val="y2iqfc"/>
    <w:basedOn w:val="DefaultParagraphFont"/>
    <w:rsid w:val="00B758A1"/>
  </w:style>
  <w:style w:type="paragraph" w:customStyle="1" w:styleId="FooterDate">
    <w:name w:val="Footer Date"/>
    <w:basedOn w:val="Footer"/>
    <w:link w:val="FooterDateChar"/>
    <w:rsid w:val="00B758A1"/>
    <w:pPr>
      <w:tabs>
        <w:tab w:val="clear" w:pos="4535"/>
        <w:tab w:val="clear" w:pos="9071"/>
        <w:tab w:val="clear" w:pos="9921"/>
        <w:tab w:val="right" w:pos="9240"/>
      </w:tabs>
      <w:spacing w:before="60"/>
      <w:ind w:left="0" w:right="-567"/>
    </w:pPr>
    <w:rPr>
      <w:rFonts w:ascii="Verdana" w:eastAsia="Times New Roman" w:hAnsi="Verdana"/>
      <w:sz w:val="16"/>
      <w:szCs w:val="20"/>
      <w:lang w:val="it-IT" w:eastAsia="nl-BE"/>
    </w:rPr>
  </w:style>
  <w:style w:type="character" w:customStyle="1" w:styleId="FooterDateChar">
    <w:name w:val="Footer Date Char"/>
    <w:link w:val="FooterDate"/>
    <w:rsid w:val="00B758A1"/>
    <w:rPr>
      <w:rFonts w:ascii="Verdana" w:eastAsia="Times New Roman" w:hAnsi="Verdana" w:cs="Times New Roman"/>
      <w:sz w:val="16"/>
      <w:szCs w:val="20"/>
      <w:lang w:val="it-IT" w:eastAsia="nl-BE"/>
    </w:rPr>
  </w:style>
  <w:style w:type="paragraph" w:customStyle="1" w:styleId="Languesfaisantfoi">
    <w:name w:val="Langues faisant foi"/>
    <w:basedOn w:val="Normal"/>
    <w:next w:val="Normal"/>
    <w:rsid w:val="00A659D1"/>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A659D1"/>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A659D1"/>
    <w:pPr>
      <w:spacing w:after="0"/>
    </w:pPr>
  </w:style>
  <w:style w:type="paragraph" w:customStyle="1" w:styleId="IntrtEEEPagedecouverture">
    <w:name w:val="Intérêt EEE (Page de couverture)"/>
    <w:basedOn w:val="IntrtEEE"/>
    <w:next w:val="Normal"/>
    <w:rsid w:val="00A65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92966">
      <w:bodyDiv w:val="1"/>
      <w:marLeft w:val="0"/>
      <w:marRight w:val="0"/>
      <w:marTop w:val="0"/>
      <w:marBottom w:val="0"/>
      <w:divBdr>
        <w:top w:val="none" w:sz="0" w:space="0" w:color="auto"/>
        <w:left w:val="none" w:sz="0" w:space="0" w:color="auto"/>
        <w:bottom w:val="none" w:sz="0" w:space="0" w:color="auto"/>
        <w:right w:val="none" w:sz="0" w:space="0" w:color="auto"/>
      </w:divBdr>
      <w:divsChild>
        <w:div w:id="1006128380">
          <w:marLeft w:val="0"/>
          <w:marRight w:val="0"/>
          <w:marTop w:val="0"/>
          <w:marBottom w:val="0"/>
          <w:divBdr>
            <w:top w:val="none" w:sz="0" w:space="0" w:color="auto"/>
            <w:left w:val="none" w:sz="0" w:space="0" w:color="auto"/>
            <w:bottom w:val="none" w:sz="0" w:space="0" w:color="auto"/>
            <w:right w:val="none" w:sz="0" w:space="0" w:color="auto"/>
          </w:divBdr>
        </w:div>
        <w:div w:id="1601139088">
          <w:marLeft w:val="0"/>
          <w:marRight w:val="0"/>
          <w:marTop w:val="0"/>
          <w:marBottom w:val="0"/>
          <w:divBdr>
            <w:top w:val="none" w:sz="0" w:space="0" w:color="auto"/>
            <w:left w:val="none" w:sz="0" w:space="0" w:color="auto"/>
            <w:bottom w:val="none" w:sz="0" w:space="0" w:color="auto"/>
            <w:right w:val="none" w:sz="0" w:space="0" w:color="auto"/>
          </w:divBdr>
        </w:div>
      </w:divsChild>
    </w:div>
    <w:div w:id="289551738">
      <w:bodyDiv w:val="1"/>
      <w:marLeft w:val="0"/>
      <w:marRight w:val="0"/>
      <w:marTop w:val="0"/>
      <w:marBottom w:val="0"/>
      <w:divBdr>
        <w:top w:val="none" w:sz="0" w:space="0" w:color="auto"/>
        <w:left w:val="none" w:sz="0" w:space="0" w:color="auto"/>
        <w:bottom w:val="none" w:sz="0" w:space="0" w:color="auto"/>
        <w:right w:val="none" w:sz="0" w:space="0" w:color="auto"/>
      </w:divBdr>
      <w:divsChild>
        <w:div w:id="158084094">
          <w:marLeft w:val="0"/>
          <w:marRight w:val="0"/>
          <w:marTop w:val="0"/>
          <w:marBottom w:val="0"/>
          <w:divBdr>
            <w:top w:val="none" w:sz="0" w:space="0" w:color="auto"/>
            <w:left w:val="none" w:sz="0" w:space="0" w:color="auto"/>
            <w:bottom w:val="none" w:sz="0" w:space="0" w:color="auto"/>
            <w:right w:val="none" w:sz="0" w:space="0" w:color="auto"/>
          </w:divBdr>
        </w:div>
        <w:div w:id="294216774">
          <w:marLeft w:val="0"/>
          <w:marRight w:val="0"/>
          <w:marTop w:val="0"/>
          <w:marBottom w:val="0"/>
          <w:divBdr>
            <w:top w:val="none" w:sz="0" w:space="0" w:color="auto"/>
            <w:left w:val="none" w:sz="0" w:space="0" w:color="auto"/>
            <w:bottom w:val="none" w:sz="0" w:space="0" w:color="auto"/>
            <w:right w:val="none" w:sz="0" w:space="0" w:color="auto"/>
          </w:divBdr>
        </w:div>
        <w:div w:id="683943312">
          <w:marLeft w:val="0"/>
          <w:marRight w:val="0"/>
          <w:marTop w:val="0"/>
          <w:marBottom w:val="0"/>
          <w:divBdr>
            <w:top w:val="none" w:sz="0" w:space="0" w:color="auto"/>
            <w:left w:val="none" w:sz="0" w:space="0" w:color="auto"/>
            <w:bottom w:val="none" w:sz="0" w:space="0" w:color="auto"/>
            <w:right w:val="none" w:sz="0" w:space="0" w:color="auto"/>
          </w:divBdr>
        </w:div>
        <w:div w:id="984240412">
          <w:marLeft w:val="0"/>
          <w:marRight w:val="0"/>
          <w:marTop w:val="0"/>
          <w:marBottom w:val="0"/>
          <w:divBdr>
            <w:top w:val="none" w:sz="0" w:space="0" w:color="auto"/>
            <w:left w:val="none" w:sz="0" w:space="0" w:color="auto"/>
            <w:bottom w:val="none" w:sz="0" w:space="0" w:color="auto"/>
            <w:right w:val="none" w:sz="0" w:space="0" w:color="auto"/>
          </w:divBdr>
        </w:div>
        <w:div w:id="1159465052">
          <w:marLeft w:val="0"/>
          <w:marRight w:val="0"/>
          <w:marTop w:val="0"/>
          <w:marBottom w:val="0"/>
          <w:divBdr>
            <w:top w:val="none" w:sz="0" w:space="0" w:color="auto"/>
            <w:left w:val="none" w:sz="0" w:space="0" w:color="auto"/>
            <w:bottom w:val="none" w:sz="0" w:space="0" w:color="auto"/>
            <w:right w:val="none" w:sz="0" w:space="0" w:color="auto"/>
          </w:divBdr>
        </w:div>
        <w:div w:id="1282416876">
          <w:marLeft w:val="0"/>
          <w:marRight w:val="0"/>
          <w:marTop w:val="0"/>
          <w:marBottom w:val="0"/>
          <w:divBdr>
            <w:top w:val="none" w:sz="0" w:space="0" w:color="auto"/>
            <w:left w:val="none" w:sz="0" w:space="0" w:color="auto"/>
            <w:bottom w:val="none" w:sz="0" w:space="0" w:color="auto"/>
            <w:right w:val="none" w:sz="0" w:space="0" w:color="auto"/>
          </w:divBdr>
        </w:div>
      </w:divsChild>
    </w:div>
    <w:div w:id="784081432">
      <w:bodyDiv w:val="1"/>
      <w:marLeft w:val="0"/>
      <w:marRight w:val="0"/>
      <w:marTop w:val="0"/>
      <w:marBottom w:val="0"/>
      <w:divBdr>
        <w:top w:val="none" w:sz="0" w:space="0" w:color="auto"/>
        <w:left w:val="none" w:sz="0" w:space="0" w:color="auto"/>
        <w:bottom w:val="none" w:sz="0" w:space="0" w:color="auto"/>
        <w:right w:val="none" w:sz="0" w:space="0" w:color="auto"/>
      </w:divBdr>
    </w:div>
    <w:div w:id="1053433151">
      <w:bodyDiv w:val="1"/>
      <w:marLeft w:val="0"/>
      <w:marRight w:val="0"/>
      <w:marTop w:val="0"/>
      <w:marBottom w:val="0"/>
      <w:divBdr>
        <w:top w:val="none" w:sz="0" w:space="0" w:color="auto"/>
        <w:left w:val="none" w:sz="0" w:space="0" w:color="auto"/>
        <w:bottom w:val="none" w:sz="0" w:space="0" w:color="auto"/>
        <w:right w:val="none" w:sz="0" w:space="0" w:color="auto"/>
      </w:divBdr>
      <w:divsChild>
        <w:div w:id="192545735">
          <w:marLeft w:val="0"/>
          <w:marRight w:val="0"/>
          <w:marTop w:val="0"/>
          <w:marBottom w:val="0"/>
          <w:divBdr>
            <w:top w:val="none" w:sz="0" w:space="0" w:color="auto"/>
            <w:left w:val="none" w:sz="0" w:space="0" w:color="auto"/>
            <w:bottom w:val="none" w:sz="0" w:space="0" w:color="auto"/>
            <w:right w:val="none" w:sz="0" w:space="0" w:color="auto"/>
          </w:divBdr>
        </w:div>
        <w:div w:id="671496079">
          <w:marLeft w:val="0"/>
          <w:marRight w:val="0"/>
          <w:marTop w:val="0"/>
          <w:marBottom w:val="0"/>
          <w:divBdr>
            <w:top w:val="none" w:sz="0" w:space="0" w:color="auto"/>
            <w:left w:val="none" w:sz="0" w:space="0" w:color="auto"/>
            <w:bottom w:val="none" w:sz="0" w:space="0" w:color="auto"/>
            <w:right w:val="none" w:sz="0" w:space="0" w:color="auto"/>
          </w:divBdr>
        </w:div>
        <w:div w:id="1102840450">
          <w:marLeft w:val="0"/>
          <w:marRight w:val="0"/>
          <w:marTop w:val="0"/>
          <w:marBottom w:val="0"/>
          <w:divBdr>
            <w:top w:val="none" w:sz="0" w:space="0" w:color="auto"/>
            <w:left w:val="none" w:sz="0" w:space="0" w:color="auto"/>
            <w:bottom w:val="none" w:sz="0" w:space="0" w:color="auto"/>
            <w:right w:val="none" w:sz="0" w:space="0" w:color="auto"/>
          </w:divBdr>
        </w:div>
        <w:div w:id="1741101317">
          <w:marLeft w:val="0"/>
          <w:marRight w:val="0"/>
          <w:marTop w:val="0"/>
          <w:marBottom w:val="0"/>
          <w:divBdr>
            <w:top w:val="none" w:sz="0" w:space="0" w:color="auto"/>
            <w:left w:val="none" w:sz="0" w:space="0" w:color="auto"/>
            <w:bottom w:val="none" w:sz="0" w:space="0" w:color="auto"/>
            <w:right w:val="none" w:sz="0" w:space="0" w:color="auto"/>
          </w:divBdr>
        </w:div>
        <w:div w:id="1897203549">
          <w:marLeft w:val="0"/>
          <w:marRight w:val="0"/>
          <w:marTop w:val="0"/>
          <w:marBottom w:val="0"/>
          <w:divBdr>
            <w:top w:val="none" w:sz="0" w:space="0" w:color="auto"/>
            <w:left w:val="none" w:sz="0" w:space="0" w:color="auto"/>
            <w:bottom w:val="none" w:sz="0" w:space="0" w:color="auto"/>
            <w:right w:val="none" w:sz="0" w:space="0" w:color="auto"/>
          </w:divBdr>
        </w:div>
        <w:div w:id="1939827387">
          <w:marLeft w:val="0"/>
          <w:marRight w:val="0"/>
          <w:marTop w:val="0"/>
          <w:marBottom w:val="0"/>
          <w:divBdr>
            <w:top w:val="none" w:sz="0" w:space="0" w:color="auto"/>
            <w:left w:val="none" w:sz="0" w:space="0" w:color="auto"/>
            <w:bottom w:val="none" w:sz="0" w:space="0" w:color="auto"/>
            <w:right w:val="none" w:sz="0" w:space="0" w:color="auto"/>
          </w:divBdr>
        </w:div>
      </w:divsChild>
    </w:div>
    <w:div w:id="1199664162">
      <w:bodyDiv w:val="1"/>
      <w:marLeft w:val="0"/>
      <w:marRight w:val="0"/>
      <w:marTop w:val="0"/>
      <w:marBottom w:val="0"/>
      <w:divBdr>
        <w:top w:val="none" w:sz="0" w:space="0" w:color="auto"/>
        <w:left w:val="none" w:sz="0" w:space="0" w:color="auto"/>
        <w:bottom w:val="none" w:sz="0" w:space="0" w:color="auto"/>
        <w:right w:val="none" w:sz="0" w:space="0" w:color="auto"/>
      </w:divBdr>
    </w:div>
    <w:div w:id="1333530746">
      <w:bodyDiv w:val="1"/>
      <w:marLeft w:val="0"/>
      <w:marRight w:val="0"/>
      <w:marTop w:val="0"/>
      <w:marBottom w:val="0"/>
      <w:divBdr>
        <w:top w:val="none" w:sz="0" w:space="0" w:color="auto"/>
        <w:left w:val="none" w:sz="0" w:space="0" w:color="auto"/>
        <w:bottom w:val="none" w:sz="0" w:space="0" w:color="auto"/>
        <w:right w:val="none" w:sz="0" w:space="0" w:color="auto"/>
      </w:divBdr>
    </w:div>
    <w:div w:id="1485703324">
      <w:bodyDiv w:val="1"/>
      <w:marLeft w:val="0"/>
      <w:marRight w:val="0"/>
      <w:marTop w:val="0"/>
      <w:marBottom w:val="0"/>
      <w:divBdr>
        <w:top w:val="none" w:sz="0" w:space="0" w:color="auto"/>
        <w:left w:val="none" w:sz="0" w:space="0" w:color="auto"/>
        <w:bottom w:val="none" w:sz="0" w:space="0" w:color="auto"/>
        <w:right w:val="none" w:sz="0" w:space="0" w:color="auto"/>
      </w:divBdr>
      <w:divsChild>
        <w:div w:id="1354917420">
          <w:marLeft w:val="0"/>
          <w:marRight w:val="0"/>
          <w:marTop w:val="0"/>
          <w:marBottom w:val="0"/>
          <w:divBdr>
            <w:top w:val="none" w:sz="0" w:space="0" w:color="auto"/>
            <w:left w:val="none" w:sz="0" w:space="0" w:color="auto"/>
            <w:bottom w:val="none" w:sz="0" w:space="0" w:color="auto"/>
            <w:right w:val="none" w:sz="0" w:space="0" w:color="auto"/>
          </w:divBdr>
        </w:div>
        <w:div w:id="1838304807">
          <w:marLeft w:val="0"/>
          <w:marRight w:val="0"/>
          <w:marTop w:val="0"/>
          <w:marBottom w:val="0"/>
          <w:divBdr>
            <w:top w:val="none" w:sz="0" w:space="0" w:color="auto"/>
            <w:left w:val="none" w:sz="0" w:space="0" w:color="auto"/>
            <w:bottom w:val="none" w:sz="0" w:space="0" w:color="auto"/>
            <w:right w:val="none" w:sz="0" w:space="0" w:color="auto"/>
          </w:divBdr>
        </w:div>
      </w:divsChild>
    </w:div>
    <w:div w:id="1631327187">
      <w:bodyDiv w:val="1"/>
      <w:marLeft w:val="0"/>
      <w:marRight w:val="0"/>
      <w:marTop w:val="0"/>
      <w:marBottom w:val="0"/>
      <w:divBdr>
        <w:top w:val="none" w:sz="0" w:space="0" w:color="auto"/>
        <w:left w:val="none" w:sz="0" w:space="0" w:color="auto"/>
        <w:bottom w:val="none" w:sz="0" w:space="0" w:color="auto"/>
        <w:right w:val="none" w:sz="0" w:space="0" w:color="auto"/>
      </w:divBdr>
    </w:div>
    <w:div w:id="190811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image" Target="media/image7.png"/><Relationship Id="rId21" Type="http://schemas.openxmlformats.org/officeDocument/2006/relationships/footer" Target="footer5.xml"/><Relationship Id="rId34" Type="http://schemas.openxmlformats.org/officeDocument/2006/relationships/footer" Target="footer11.xml"/><Relationship Id="rId42" Type="http://schemas.openxmlformats.org/officeDocument/2006/relationships/header" Target="header12.xml"/><Relationship Id="rId47" Type="http://schemas.openxmlformats.org/officeDocument/2006/relationships/image" Target="media/image11.png"/><Relationship Id="rId50" Type="http://schemas.openxmlformats.org/officeDocument/2006/relationships/footer" Target="footer14.xml"/><Relationship Id="rId55" Type="http://schemas.openxmlformats.org/officeDocument/2006/relationships/footer" Target="footer1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header" Target="header11.xml"/><Relationship Id="rId38" Type="http://schemas.openxmlformats.org/officeDocument/2006/relationships/image" Target="media/image6.png"/><Relationship Id="rId46" Type="http://schemas.openxmlformats.org/officeDocument/2006/relationships/image" Target="media/image10.jpeg"/><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image" Target="media/image9.png"/><Relationship Id="rId54"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footer" Target="footer13.xml"/><Relationship Id="rId53" Type="http://schemas.openxmlformats.org/officeDocument/2006/relationships/header" Target="header16.xml"/><Relationship Id="rId58"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header" Target="header14.xml"/><Relationship Id="rId57" Type="http://schemas.openxmlformats.org/officeDocument/2006/relationships/footer" Target="footer17.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0.xml"/><Relationship Id="rId44" Type="http://schemas.openxmlformats.org/officeDocument/2006/relationships/header" Target="header13.xml"/><Relationship Id="rId52"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image" Target="media/image2.png"/><Relationship Id="rId35" Type="http://schemas.openxmlformats.org/officeDocument/2006/relationships/image" Target="media/image3.jpeg"/><Relationship Id="rId43" Type="http://schemas.openxmlformats.org/officeDocument/2006/relationships/footer" Target="footer12.xml"/><Relationship Id="rId48" Type="http://schemas.openxmlformats.org/officeDocument/2006/relationships/image" Target="media/image12.png"/><Relationship Id="rId56" Type="http://schemas.openxmlformats.org/officeDocument/2006/relationships/header" Target="header17.xml"/><Relationship Id="rId8" Type="http://schemas.openxmlformats.org/officeDocument/2006/relationships/webSettings" Target="webSettings.xml"/><Relationship Id="rId51" Type="http://schemas.openxmlformats.org/officeDocument/2006/relationships/image" Target="media/image13.jpeg"/><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eulisa.europa.eu/our-publications/reports" TargetMode="External"/><Relationship Id="rId7" Type="http://schemas.openxmlformats.org/officeDocument/2006/relationships/hyperlink" Target="https://commission.europa.eu/law/law-making-process/planning-and-proposing-law/better-regulation/better-regulation-guidelines-and-toolbox_en" TargetMode="External"/><Relationship Id="rId2" Type="http://schemas.openxmlformats.org/officeDocument/2006/relationships/hyperlink" Target="https://www.eulisa.europa.eu/Publications/Reports/Factsheet%20SIS%20II%20technical%20functioning%202021-2022.pdf" TargetMode="External"/><Relationship Id="rId1" Type="http://schemas.openxmlformats.org/officeDocument/2006/relationships/hyperlink" Target="http://data.europa.eu/eli/reg/2018/1726/2025-01-28" TargetMode="External"/><Relationship Id="rId6" Type="http://schemas.openxmlformats.org/officeDocument/2006/relationships/hyperlink" Target="https://www.eulisa.europa.eu/Publications/Corporate/eu-LISA%20Strategy%202021-2027.pdf" TargetMode="External"/><Relationship Id="rId5" Type="http://schemas.openxmlformats.org/officeDocument/2006/relationships/hyperlink" Target="https://www.eulisa.europa.eu/about-us/finance" TargetMode="External"/><Relationship Id="rId4" Type="http://schemas.openxmlformats.org/officeDocument/2006/relationships/hyperlink" Target="https://www.eulisa.europa.eu/Publications/Corporate/eu-LISA%20Strategy%202021-2027.pdf" TargetMode="External"/></Relationships>
</file>

<file path=word/theme/theme1.xml><?xml version="1.0" encoding="utf-8"?>
<a:theme xmlns:a="http://schemas.openxmlformats.org/drawingml/2006/main" name="Office Theme">
  <a:themeElements>
    <a:clrScheme name="EC Template 2022">
      <a:dk1>
        <a:srgbClr val="000000"/>
      </a:dk1>
      <a:lt1>
        <a:srgbClr val="FFFFFF"/>
      </a:lt1>
      <a:dk2>
        <a:srgbClr val="034EA2"/>
      </a:dk2>
      <a:lt2>
        <a:srgbClr val="D3E8F9"/>
      </a:lt2>
      <a:accent1>
        <a:srgbClr val="1E858B"/>
      </a:accent1>
      <a:accent2>
        <a:srgbClr val="4BC5DE"/>
      </a:accent2>
      <a:accent3>
        <a:srgbClr val="1EC08A"/>
      </a:accent3>
      <a:accent4>
        <a:srgbClr val="ED8D2F"/>
      </a:accent4>
      <a:accent5>
        <a:srgbClr val="FFC000"/>
      </a:accent5>
      <a:accent6>
        <a:srgbClr val="E76C53"/>
      </a:accent6>
      <a:hlink>
        <a:srgbClr val="034EA2"/>
      </a:hlink>
      <a:folHlink>
        <a:srgbClr val="034EA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f72634d-5da9-4e9f-98c3-3013ce1d074f">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IconOverlay xmlns="http://schemas.microsoft.com/sharepoint/v4" xsi:nil="true"/>
    <TaxCatchAll xmlns="013aa35d-30e5-41d1-9a7b-1c862c53965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8946F0AA494C4BB25CCD4EAB82602F" ma:contentTypeVersion="15" ma:contentTypeDescription="Create a new document." ma:contentTypeScope="" ma:versionID="214de26464e7cf22b55fa3bebcee7715">
  <xsd:schema xmlns:xsd="http://www.w3.org/2001/XMLSchema" xmlns:xs="http://www.w3.org/2001/XMLSchema" xmlns:p="http://schemas.microsoft.com/office/2006/metadata/properties" xmlns:ns2="6f72634d-5da9-4e9f-98c3-3013ce1d074f" xmlns:ns3="013aa35d-30e5-41d1-9a7b-1c862c539650" xmlns:ns4="http://schemas.microsoft.com/sharepoint/v4" targetNamespace="http://schemas.microsoft.com/office/2006/metadata/properties" ma:root="true" ma:fieldsID="423adcbc9e1bf08788872a3c7d37c748" ns2:_="" ns3:_="" ns4:_="">
    <xsd:import namespace="6f72634d-5da9-4e9f-98c3-3013ce1d074f"/>
    <xsd:import namespace="013aa35d-30e5-41d1-9a7b-1c862c53965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4:IconOverlay"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634d-5da9-4e9f-98c3-3013ce1d07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2fff48a-96bb-4f33-81e2-f42f753577e5}"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F8F00A-7EEC-4E36-9BD1-9508F06FA772}">
  <ds:schemaRefs>
    <ds:schemaRef ds:uri="http://schemas.microsoft.com/office/2006/metadata/properties"/>
    <ds:schemaRef ds:uri="http://schemas.microsoft.com/office/infopath/2007/PartnerControls"/>
    <ds:schemaRef ds:uri="6f72634d-5da9-4e9f-98c3-3013ce1d074f"/>
    <ds:schemaRef ds:uri="http://schemas.microsoft.com/sharepoint/v4"/>
    <ds:schemaRef ds:uri="013aa35d-30e5-41d1-9a7b-1c862c539650"/>
  </ds:schemaRefs>
</ds:datastoreItem>
</file>

<file path=customXml/itemProps2.xml><?xml version="1.0" encoding="utf-8"?>
<ds:datastoreItem xmlns:ds="http://schemas.openxmlformats.org/officeDocument/2006/customXml" ds:itemID="{DEB8C7DA-729C-49FD-AB7B-FC884FFE6D03}">
  <ds:schemaRefs>
    <ds:schemaRef ds:uri="http://schemas.microsoft.com/sharepoint/v3/contenttype/forms"/>
  </ds:schemaRefs>
</ds:datastoreItem>
</file>

<file path=customXml/itemProps3.xml><?xml version="1.0" encoding="utf-8"?>
<ds:datastoreItem xmlns:ds="http://schemas.openxmlformats.org/officeDocument/2006/customXml" ds:itemID="{22088579-CBD4-4E98-9FA2-A02B42B7B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634d-5da9-4e9f-98c3-3013ce1d074f"/>
    <ds:schemaRef ds:uri="013aa35d-30e5-41d1-9a7b-1c862c53965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29A598-7C3A-4B8F-A64C-BDE907427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54230</Words>
  <Characters>309116</Characters>
  <Application>Microsoft Office Word</Application>
  <DocSecurity>0</DocSecurity>
  <Lines>2575</Lines>
  <Paragraphs>725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EC CoDe</cp:lastModifiedBy>
  <cp:revision>8</cp:revision>
  <cp:lastPrinted>2025-06-14T02:36:00Z</cp:lastPrinted>
  <dcterms:created xsi:type="dcterms:W3CDTF">2025-11-24T06:31:00Z</dcterms:created>
  <dcterms:modified xsi:type="dcterms:W3CDTF">2026-01-19T07:49:00Z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Level of sensitivity">
    <vt:lpwstr>Standard treatment</vt:lpwstr>
  </property>
  <property fmtid="{D5CDD505-2E9C-101B-9397-08002B2CF9AE}" pid="5" name="Last edited using">
    <vt:lpwstr>LW 9.2, Build 20250828</vt:lpwstr>
  </property>
  <property fmtid="{D5CDD505-2E9C-101B-9397-08002B2CF9AE}" pid="6" name="CPTemplateID">
    <vt:lpwstr>CP-053</vt:lpwstr>
  </property>
  <property fmtid="{D5CDD505-2E9C-101B-9397-08002B2CF9AE}" pid="7" name="ContentTypeId">
    <vt:lpwstr>0x010100F08946F0AA494C4BB25CCD4EAB82602F</vt:lpwstr>
  </property>
  <property fmtid="{D5CDD505-2E9C-101B-9397-08002B2CF9AE}" pid="8" name="TaxKeyword">
    <vt:lpwstr/>
  </property>
  <property fmtid="{D5CDD505-2E9C-101B-9397-08002B2CF9AE}" pid="9" name="MediaServiceImageTags">
    <vt:lpwstr/>
  </property>
  <property fmtid="{D5CDD505-2E9C-101B-9397-08002B2CF9AE}" pid="10" name="Responsible unit ">
    <vt:lpwstr>65;#SG.A.2|3cb8bfc5-e669-4eb4-a8d3-5922786e2056</vt:lpwstr>
  </property>
  <property fmtid="{D5CDD505-2E9C-101B-9397-08002B2CF9AE}" pid="11" name="Responsible unit">
    <vt:lpwstr>65;#SG.A.2|3cb8bfc5-e669-4eb4-a8d3-5922786e2056</vt:lpwstr>
  </property>
  <property fmtid="{D5CDD505-2E9C-101B-9397-08002B2CF9AE}" pid="12" name="MSIP_Label_6bd9ddd1-4d20-43f6-abfa-fc3c07406f94_Enabled">
    <vt:lpwstr>true</vt:lpwstr>
  </property>
  <property fmtid="{D5CDD505-2E9C-101B-9397-08002B2CF9AE}" pid="13" name="MSIP_Label_6bd9ddd1-4d20-43f6-abfa-fc3c07406f94_SetDate">
    <vt:lpwstr>2024-06-28T10:43:03Z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ac1c1964-9a2f-4383-a62b-0de4632ddcf8</vt:lpwstr>
  </property>
  <property fmtid="{D5CDD505-2E9C-101B-9397-08002B2CF9AE}" pid="18" name="MSIP_Label_6bd9ddd1-4d20-43f6-abfa-fc3c07406f94_ContentBits">
    <vt:lpwstr>0</vt:lpwstr>
  </property>
  <property fmtid="{D5CDD505-2E9C-101B-9397-08002B2CF9AE}" pid="19" name="DocStatus">
    <vt:lpwstr>Green</vt:lpwstr>
  </property>
</Properties>
</file>